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03"/>
        <w:ind w:left="1255" w:right="0" w:firstLine="0"/>
        <w:jc w:val="left"/>
        <w:rPr>
          <w:rFonts w:ascii="Times New Roman"/>
          <w:b/>
          <w:sz w:val="17"/>
        </w:rPr>
      </w:pPr>
      <w:r>
        <w:rPr/>
        <w:pict>
          <v:line style="position:absolute;mso-position-horizontal-relative:page;mso-position-vertical-relative:page;z-index:1024" from="298.170502pt,64.473pt" to="298.170502pt,812.819pt" stroked="true" strokeweight=".533pt" strokecolor="#231f20">
            <v:stroke dashstyle="solid"/>
            <w10:wrap type="none"/>
          </v:line>
        </w:pict>
      </w:r>
      <w:bookmarkStart w:name="_bookmark0" w:id="1"/>
      <w:bookmarkEnd w:id="1"/>
      <w:r>
        <w:rPr/>
      </w:r>
      <w:r>
        <w:rPr>
          <w:rFonts w:ascii="Times New Roman"/>
          <w:b/>
          <w:color w:val="231F20"/>
          <w:sz w:val="17"/>
        </w:rPr>
        <w:t>SERVICE PUBLIC FEDERAL JUSTICE</w:t>
      </w:r>
    </w:p>
    <w:p>
      <w:pPr>
        <w:pStyle w:val="BodyText"/>
        <w:spacing w:before="71"/>
        <w:ind w:left="4105" w:right="0" w:firstLine="0"/>
        <w:jc w:val="left"/>
      </w:pPr>
      <w:r>
        <w:rPr>
          <w:color w:val="231F20"/>
        </w:rPr>
        <w:t>[C − 2019/40586]</w:t>
      </w:r>
    </w:p>
    <w:p>
      <w:pPr>
        <w:spacing w:line="216" w:lineRule="auto" w:before="68"/>
        <w:ind w:left="512" w:right="438" w:hanging="1"/>
        <w:jc w:val="center"/>
        <w:rPr>
          <w:sz w:val="17"/>
        </w:rPr>
      </w:pPr>
      <w:r>
        <w:rPr>
          <w:rFonts w:ascii="Times New Roman" w:hAnsi="Times New Roman"/>
          <w:b/>
          <w:color w:val="231F20"/>
          <w:w w:val="110"/>
          <w:sz w:val="17"/>
        </w:rPr>
        <w:t>23 MARS 2019. </w:t>
      </w:r>
      <w:r>
        <w:rPr>
          <w:b/>
          <w:color w:val="231F20"/>
          <w:w w:val="110"/>
          <w:sz w:val="17"/>
        </w:rPr>
        <w:t>— </w:t>
      </w:r>
      <w:r>
        <w:rPr>
          <w:rFonts w:ascii="Times New Roman" w:hAnsi="Times New Roman"/>
          <w:b/>
          <w:color w:val="231F20"/>
          <w:w w:val="110"/>
          <w:sz w:val="17"/>
        </w:rPr>
        <w:t>Loi introduisant le Code des soci</w:t>
      </w:r>
      <w:r>
        <w:rPr>
          <w:b/>
          <w:color w:val="231F20"/>
          <w:w w:val="110"/>
          <w:sz w:val="17"/>
        </w:rPr>
        <w:t>é</w:t>
      </w:r>
      <w:r>
        <w:rPr>
          <w:rFonts w:ascii="Times New Roman" w:hAnsi="Times New Roman"/>
          <w:b/>
          <w:color w:val="231F20"/>
          <w:w w:val="110"/>
          <w:sz w:val="17"/>
        </w:rPr>
        <w:t>t</w:t>
      </w:r>
      <w:r>
        <w:rPr>
          <w:b/>
          <w:color w:val="231F20"/>
          <w:w w:val="110"/>
          <w:sz w:val="17"/>
        </w:rPr>
        <w:t>é</w:t>
      </w:r>
      <w:r>
        <w:rPr>
          <w:rFonts w:ascii="Times New Roman" w:hAnsi="Times New Roman"/>
          <w:b/>
          <w:color w:val="231F20"/>
          <w:w w:val="110"/>
          <w:sz w:val="17"/>
        </w:rPr>
        <w:t>s et des associations et portant des dispositions diverses </w:t>
      </w:r>
      <w:r>
        <w:rPr>
          <w:color w:val="231F20"/>
          <w:w w:val="110"/>
          <w:sz w:val="17"/>
        </w:rPr>
        <w:t>(1)</w:t>
      </w:r>
    </w:p>
    <w:p>
      <w:pPr>
        <w:pStyle w:val="BodyText"/>
        <w:ind w:left="0" w:right="0" w:firstLine="0"/>
        <w:jc w:val="left"/>
        <w:rPr>
          <w:sz w:val="20"/>
        </w:rPr>
      </w:pPr>
    </w:p>
    <w:p>
      <w:pPr>
        <w:pStyle w:val="BodyText"/>
        <w:spacing w:before="7"/>
        <w:ind w:left="0" w:right="0" w:firstLine="0"/>
        <w:jc w:val="left"/>
        <w:rPr>
          <w:sz w:val="18"/>
        </w:rPr>
      </w:pPr>
    </w:p>
    <w:p>
      <w:pPr>
        <w:pStyle w:val="BodyText"/>
        <w:ind w:left="795" w:right="0" w:firstLine="0"/>
        <w:jc w:val="left"/>
      </w:pPr>
      <w:r>
        <w:rPr>
          <w:color w:val="231F20"/>
        </w:rPr>
        <w:t>PHILIPPE, Roi des Belges,</w:t>
      </w:r>
    </w:p>
    <w:p>
      <w:pPr>
        <w:pStyle w:val="BodyText"/>
        <w:spacing w:before="25"/>
        <w:ind w:left="624" w:right="0" w:firstLine="0"/>
        <w:jc w:val="left"/>
      </w:pPr>
      <w:r>
        <w:rPr>
          <w:color w:val="231F20"/>
        </w:rPr>
        <w:t>A tous, présents et à venir, Salut.</w:t>
      </w:r>
    </w:p>
    <w:p>
      <w:pPr>
        <w:pStyle w:val="BodyText"/>
        <w:spacing w:line="218" w:lineRule="auto" w:before="40"/>
        <w:ind w:right="38"/>
      </w:pPr>
      <w:r>
        <w:rPr>
          <w:color w:val="231F20"/>
        </w:rPr>
        <w:t>La Chambre des représentants a adopté et Nous sanctionnons ce qui suit :</w:t>
      </w:r>
    </w:p>
    <w:p>
      <w:pPr>
        <w:spacing w:before="56"/>
        <w:ind w:left="1372" w:right="0" w:firstLine="0"/>
        <w:jc w:val="left"/>
        <w:rPr>
          <w:rFonts w:ascii="Times New Roman" w:hAnsi="Times New Roman"/>
          <w:i/>
          <w:sz w:val="17"/>
        </w:rPr>
      </w:pPr>
      <w:r>
        <w:rPr>
          <w:color w:val="231F20"/>
          <w:sz w:val="17"/>
        </w:rPr>
        <w:t>CHAPITRE I</w:t>
      </w:r>
      <w:r>
        <w:rPr>
          <w:color w:val="231F20"/>
          <w:position w:val="7"/>
          <w:sz w:val="11"/>
        </w:rPr>
        <w:t>er</w:t>
      </w:r>
      <w:r>
        <w:rPr>
          <w:color w:val="231F20"/>
          <w:sz w:val="17"/>
        </w:rPr>
        <w:t>. — </w:t>
      </w:r>
      <w:r>
        <w:rPr>
          <w:rFonts w:ascii="Times New Roman" w:hAnsi="Times New Roman"/>
          <w:i/>
          <w:color w:val="231F20"/>
          <w:sz w:val="17"/>
        </w:rPr>
        <w:t>Disposition g</w:t>
      </w:r>
      <w:r>
        <w:rPr>
          <w:i/>
          <w:color w:val="231F20"/>
          <w:sz w:val="17"/>
        </w:rPr>
        <w:t>é</w:t>
      </w:r>
      <w:r>
        <w:rPr>
          <w:rFonts w:ascii="Times New Roman" w:hAnsi="Times New Roman"/>
          <w:i/>
          <w:color w:val="231F20"/>
          <w:sz w:val="17"/>
        </w:rPr>
        <w:t>n</w:t>
      </w:r>
      <w:r>
        <w:rPr>
          <w:i/>
          <w:color w:val="231F20"/>
          <w:sz w:val="17"/>
        </w:rPr>
        <w:t>é</w:t>
      </w:r>
      <w:r>
        <w:rPr>
          <w:rFonts w:ascii="Times New Roman" w:hAnsi="Times New Roman"/>
          <w:i/>
          <w:color w:val="231F20"/>
          <w:sz w:val="17"/>
        </w:rPr>
        <w:t>rale</w:t>
      </w:r>
    </w:p>
    <w:p>
      <w:pPr>
        <w:pStyle w:val="BodyText"/>
        <w:spacing w:line="218" w:lineRule="auto" w:before="118"/>
        <w:ind w:right="38"/>
      </w:pPr>
      <w:r>
        <w:rPr>
          <w:rFonts w:ascii="Times New Roman" w:hAnsi="Times New Roman"/>
          <w:b/>
          <w:color w:val="231F20"/>
        </w:rPr>
        <w:t>Article 1</w:t>
      </w:r>
      <w:r>
        <w:rPr>
          <w:rFonts w:ascii="Times New Roman" w:hAnsi="Times New Roman"/>
          <w:b/>
          <w:color w:val="231F20"/>
          <w:position w:val="7"/>
          <w:sz w:val="11"/>
        </w:rPr>
        <w:t>er</w:t>
      </w:r>
      <w:r>
        <w:rPr>
          <w:rFonts w:ascii="Times New Roman" w:hAnsi="Times New Roman"/>
          <w:b/>
          <w:color w:val="231F20"/>
        </w:rPr>
        <w:t>. </w:t>
      </w:r>
      <w:r>
        <w:rPr>
          <w:color w:val="231F20"/>
        </w:rPr>
        <w:t>La présente loi règle une matière visée à l’article 74 de la Constitution.</w:t>
      </w:r>
    </w:p>
    <w:p>
      <w:pPr>
        <w:spacing w:before="69"/>
        <w:ind w:left="744" w:right="0" w:firstLine="0"/>
        <w:jc w:val="left"/>
        <w:rPr>
          <w:rFonts w:ascii="Times New Roman" w:hAnsi="Times New Roman"/>
          <w:i/>
          <w:sz w:val="17"/>
        </w:rPr>
      </w:pPr>
      <w:r>
        <w:rPr>
          <w:color w:val="231F20"/>
          <w:sz w:val="17"/>
        </w:rPr>
        <w:t>CHAPITRE II. — </w:t>
      </w:r>
      <w:r>
        <w:rPr>
          <w:rFonts w:ascii="Times New Roman" w:hAnsi="Times New Roman"/>
          <w:i/>
          <w:color w:val="231F20"/>
          <w:sz w:val="17"/>
        </w:rPr>
        <w:t>Le Code des soci</w:t>
      </w:r>
      <w:r>
        <w:rPr>
          <w:i/>
          <w:color w:val="231F20"/>
          <w:sz w:val="17"/>
        </w:rPr>
        <w:t>é</w:t>
      </w:r>
      <w:r>
        <w:rPr>
          <w:rFonts w:ascii="Times New Roman" w:hAnsi="Times New Roman"/>
          <w:i/>
          <w:color w:val="231F20"/>
          <w:sz w:val="17"/>
        </w:rPr>
        <w:t>t</w:t>
      </w:r>
      <w:r>
        <w:rPr>
          <w:i/>
          <w:color w:val="231F20"/>
          <w:sz w:val="17"/>
        </w:rPr>
        <w:t>é</w:t>
      </w:r>
      <w:r>
        <w:rPr>
          <w:rFonts w:ascii="Times New Roman" w:hAnsi="Times New Roman"/>
          <w:i/>
          <w:color w:val="231F20"/>
          <w:sz w:val="17"/>
        </w:rPr>
        <w:t>s et des associations</w:t>
      </w:r>
    </w:p>
    <w:p>
      <w:pPr>
        <w:pStyle w:val="BodyText"/>
        <w:spacing w:line="218" w:lineRule="auto" w:before="133"/>
        <w:ind w:right="38"/>
      </w:pPr>
      <w:r>
        <w:rPr>
          <w:rFonts w:ascii="Times New Roman" w:hAnsi="Times New Roman"/>
          <w:b/>
          <w:color w:val="231F20"/>
        </w:rPr>
        <w:t>Art. 2. </w:t>
      </w:r>
      <w:r>
        <w:rPr>
          <w:color w:val="231F20"/>
        </w:rPr>
        <w:t>Les dispositions suivantes forment le Code des sociétés et des associations :</w:t>
      </w:r>
    </w:p>
    <w:p>
      <w:pPr>
        <w:pStyle w:val="BodyText"/>
        <w:spacing w:before="71"/>
        <w:ind w:left="283" w:right="0" w:firstLine="0"/>
        <w:jc w:val="left"/>
      </w:pPr>
      <w:r>
        <w:rPr>
          <w:color w:val="231F20"/>
        </w:rPr>
        <w:t>“CODE DES SOCIÉTÉS ET DES ASSOCIATIONS</w:t>
      </w:r>
    </w:p>
    <w:p>
      <w:pPr>
        <w:pStyle w:val="BodyText"/>
        <w:spacing w:line="304" w:lineRule="auto" w:before="53"/>
        <w:ind w:left="283" w:right="2109" w:firstLine="0"/>
        <w:jc w:val="left"/>
      </w:pPr>
      <w:r>
        <w:rPr>
          <w:color w:val="231F20"/>
        </w:rPr>
        <w:t>PARTIE 1</w:t>
      </w:r>
      <w:r>
        <w:rPr>
          <w:color w:val="231F20"/>
          <w:position w:val="7"/>
          <w:sz w:val="11"/>
        </w:rPr>
        <w:t>re</w:t>
      </w:r>
      <w:r>
        <w:rPr>
          <w:color w:val="231F20"/>
        </w:rPr>
        <w:t>. Dispositions générales. LIVRE 1</w:t>
      </w:r>
      <w:r>
        <w:rPr>
          <w:color w:val="231F20"/>
          <w:position w:val="7"/>
          <w:sz w:val="11"/>
        </w:rPr>
        <w:t>er</w:t>
      </w:r>
      <w:r>
        <w:rPr>
          <w:color w:val="231F20"/>
        </w:rPr>
        <w:t>. Dispositions introductives.</w:t>
      </w:r>
    </w:p>
    <w:p>
      <w:pPr>
        <w:pStyle w:val="BodyText"/>
        <w:spacing w:before="2"/>
        <w:ind w:left="283" w:right="0" w:firstLine="0"/>
        <w:jc w:val="left"/>
      </w:pPr>
      <w:r>
        <w:rPr>
          <w:color w:val="231F20"/>
        </w:rPr>
        <w:t>TITRE 1</w:t>
      </w:r>
      <w:r>
        <w:rPr>
          <w:color w:val="231F20"/>
          <w:position w:val="7"/>
          <w:sz w:val="11"/>
        </w:rPr>
        <w:t>er</w:t>
      </w:r>
      <w:r>
        <w:rPr>
          <w:color w:val="231F20"/>
        </w:rPr>
        <w:t>. La société, l’association et la fondation.</w:t>
      </w:r>
    </w:p>
    <w:p>
      <w:pPr>
        <w:pStyle w:val="BodyText"/>
        <w:spacing w:line="218" w:lineRule="auto" w:before="82"/>
        <w:ind w:right="38"/>
      </w:pPr>
      <w:r>
        <w:rPr>
          <w:color w:val="231F20"/>
        </w:rPr>
        <w:t>Article 1:1. Une société est constituée par un acte juridique par lequel une ou plusieurs personnes, dénommées associés, font un apport. Elle  a un patrimoine et a pour objet l’exercice d’une ou plusieurs activités déterminées. Un de ses buts est de distribuer ou procurer à ses associés un</w:t>
      </w:r>
      <w:r>
        <w:rPr>
          <w:color w:val="231F20"/>
          <w:spacing w:val="15"/>
        </w:rPr>
        <w:t> </w:t>
      </w:r>
      <w:r>
        <w:rPr>
          <w:color w:val="231F20"/>
        </w:rPr>
        <w:t>avantage</w:t>
      </w:r>
      <w:r>
        <w:rPr>
          <w:color w:val="231F20"/>
          <w:spacing w:val="15"/>
        </w:rPr>
        <w:t> </w:t>
      </w:r>
      <w:r>
        <w:rPr>
          <w:color w:val="231F20"/>
        </w:rPr>
        <w:t>patrimonial</w:t>
      </w:r>
      <w:r>
        <w:rPr>
          <w:color w:val="231F20"/>
          <w:spacing w:val="15"/>
        </w:rPr>
        <w:t> </w:t>
      </w:r>
      <w:r>
        <w:rPr>
          <w:color w:val="231F20"/>
        </w:rPr>
        <w:t>direct</w:t>
      </w:r>
      <w:r>
        <w:rPr>
          <w:color w:val="231F20"/>
          <w:spacing w:val="16"/>
        </w:rPr>
        <w:t> </w:t>
      </w:r>
      <w:r>
        <w:rPr>
          <w:color w:val="231F20"/>
        </w:rPr>
        <w:t>ou</w:t>
      </w:r>
      <w:r>
        <w:rPr>
          <w:color w:val="231F20"/>
          <w:spacing w:val="15"/>
        </w:rPr>
        <w:t> </w:t>
      </w:r>
      <w:r>
        <w:rPr>
          <w:color w:val="231F20"/>
        </w:rPr>
        <w:t>indirect.</w:t>
      </w:r>
    </w:p>
    <w:p>
      <w:pPr>
        <w:pStyle w:val="BodyText"/>
        <w:ind w:left="0" w:right="0" w:firstLine="0"/>
        <w:jc w:val="left"/>
        <w:rPr>
          <w:sz w:val="23"/>
        </w:rPr>
      </w:pPr>
    </w:p>
    <w:p>
      <w:pPr>
        <w:pStyle w:val="BodyText"/>
        <w:spacing w:line="218" w:lineRule="auto"/>
        <w:ind w:right="38"/>
      </w:pPr>
      <w:r>
        <w:rPr>
          <w:color w:val="231F20"/>
        </w:rPr>
        <w:t>Art.</w:t>
      </w:r>
      <w:r>
        <w:rPr>
          <w:color w:val="231F20"/>
          <w:spacing w:val="-4"/>
        </w:rPr>
        <w:t> </w:t>
      </w:r>
      <w:r>
        <w:rPr>
          <w:color w:val="231F20"/>
        </w:rPr>
        <w:t>1:2.</w:t>
      </w:r>
      <w:r>
        <w:rPr>
          <w:color w:val="231F20"/>
          <w:spacing w:val="-3"/>
        </w:rPr>
        <w:t> </w:t>
      </w:r>
      <w:r>
        <w:rPr>
          <w:color w:val="231F20"/>
        </w:rPr>
        <w:t>Une</w:t>
      </w:r>
      <w:r>
        <w:rPr>
          <w:color w:val="231F20"/>
          <w:spacing w:val="-3"/>
        </w:rPr>
        <w:t> </w:t>
      </w:r>
      <w:r>
        <w:rPr>
          <w:color w:val="231F20"/>
        </w:rPr>
        <w:t>association</w:t>
      </w:r>
      <w:r>
        <w:rPr>
          <w:color w:val="231F20"/>
          <w:spacing w:val="-3"/>
        </w:rPr>
        <w:t> </w:t>
      </w:r>
      <w:r>
        <w:rPr>
          <w:color w:val="231F20"/>
        </w:rPr>
        <w:t>est</w:t>
      </w:r>
      <w:r>
        <w:rPr>
          <w:color w:val="231F20"/>
          <w:spacing w:val="-3"/>
        </w:rPr>
        <w:t> </w:t>
      </w:r>
      <w:r>
        <w:rPr>
          <w:color w:val="231F20"/>
        </w:rPr>
        <w:t>constituée</w:t>
      </w:r>
      <w:r>
        <w:rPr>
          <w:color w:val="231F20"/>
          <w:spacing w:val="-3"/>
        </w:rPr>
        <w:t> </w:t>
      </w:r>
      <w:r>
        <w:rPr>
          <w:color w:val="231F20"/>
        </w:rPr>
        <w:t>par</w:t>
      </w:r>
      <w:r>
        <w:rPr>
          <w:color w:val="231F20"/>
          <w:spacing w:val="-4"/>
        </w:rPr>
        <w:t> </w:t>
      </w:r>
      <w:r>
        <w:rPr>
          <w:color w:val="231F20"/>
        </w:rPr>
        <w:t>une</w:t>
      </w:r>
      <w:r>
        <w:rPr>
          <w:color w:val="231F20"/>
          <w:spacing w:val="-3"/>
        </w:rPr>
        <w:t> </w:t>
      </w:r>
      <w:r>
        <w:rPr>
          <w:color w:val="231F20"/>
        </w:rPr>
        <w:t>convention</w:t>
      </w:r>
      <w:r>
        <w:rPr>
          <w:color w:val="231F20"/>
          <w:spacing w:val="-3"/>
        </w:rPr>
        <w:t> </w:t>
      </w:r>
      <w:r>
        <w:rPr>
          <w:color w:val="231F20"/>
        </w:rPr>
        <w:t>entre</w:t>
      </w:r>
      <w:r>
        <w:rPr>
          <w:color w:val="231F20"/>
          <w:spacing w:val="-3"/>
        </w:rPr>
        <w:t> </w:t>
      </w:r>
      <w:r>
        <w:rPr>
          <w:color w:val="231F20"/>
        </w:rPr>
        <w:t>deux ou plusieurs personnes, dénommées membres. Elle poursuit un</w:t>
      </w:r>
      <w:r>
        <w:rPr>
          <w:color w:val="231F20"/>
          <w:spacing w:val="25"/>
        </w:rPr>
        <w:t> </w:t>
      </w:r>
      <w:r>
        <w:rPr>
          <w:color w:val="231F20"/>
        </w:rPr>
        <w:t>but désintéressé dans le cadre de l’exercice d’une ou plusieurs activités déterminées qui constituent son objet. Elle ne peut distribuer ni procurer directement ou indirectement un quelconque avantage patri- monial à ses fondateurs, ses membres, ses administrateurs ni à toute autre personne sauf dans le but désintéressé déterminé par les statuts. </w:t>
      </w:r>
      <w:r>
        <w:rPr>
          <w:color w:val="231F20"/>
          <w:spacing w:val="-4"/>
        </w:rPr>
        <w:t>Toute </w:t>
      </w:r>
      <w:r>
        <w:rPr>
          <w:color w:val="231F20"/>
        </w:rPr>
        <w:t>opération violant cette interdiction est</w:t>
      </w:r>
      <w:r>
        <w:rPr>
          <w:color w:val="231F20"/>
          <w:spacing w:val="15"/>
        </w:rPr>
        <w:t> </w:t>
      </w:r>
      <w:r>
        <w:rPr>
          <w:color w:val="231F20"/>
        </w:rPr>
        <w:t>nulle.</w:t>
      </w:r>
    </w:p>
    <w:p>
      <w:pPr>
        <w:pStyle w:val="BodyText"/>
        <w:spacing w:line="218" w:lineRule="auto" w:before="83"/>
        <w:ind w:right="38"/>
      </w:pPr>
      <w:r>
        <w:rPr>
          <w:color w:val="231F20"/>
        </w:rPr>
        <w:t>Art. 1:3</w:t>
      </w:r>
      <w:r>
        <w:rPr>
          <w:rFonts w:ascii="Times New Roman" w:hAnsi="Times New Roman"/>
          <w:i/>
          <w:color w:val="231F20"/>
        </w:rPr>
        <w:t>. </w:t>
      </w:r>
      <w:r>
        <w:rPr>
          <w:color w:val="231F20"/>
        </w:rPr>
        <w:t>Une fondation est une personne morale dépourvue de membres, constituée par une ou plusieurs personnes, dénommées fondateurs. Son patrimoine est affecté à la poursuite d’un but désinté- ressé dans le cadre de l’exercice d’une ou plusieurs activités détermi- nées qui constituent son objet. Elle ne peut distribuer ni procurer, directement ou indirectement, un quelconque avantage patrimonial à ses fondateurs, ses administrateurs ni à toute autre personne, sauf dans le but désintéressé déterminé par les statuts. Toute opération violant cette interdiction est nulle.</w:t>
      </w:r>
    </w:p>
    <w:p>
      <w:pPr>
        <w:pStyle w:val="BodyText"/>
        <w:spacing w:line="218" w:lineRule="auto" w:before="86"/>
        <w:ind w:right="38"/>
      </w:pPr>
      <w:r>
        <w:rPr>
          <w:color w:val="231F20"/>
        </w:rPr>
        <w:t>Art. 1:4. Aux fins des articles 1:2 et 1:3 est considérée comme distribution indirecte d’un avantage patrimonial toute opération par laquelle les actifs de l’association ou de la fondation diminuent ou les passifs augmentent et pour laquelle celle-ci soit ne reçoit pas de contrepartie soit reçoit une contrepartie manifestement trop faible par rapport à sa prestation.</w:t>
      </w:r>
    </w:p>
    <w:p>
      <w:pPr>
        <w:pStyle w:val="BodyText"/>
        <w:spacing w:line="218" w:lineRule="auto" w:before="86"/>
        <w:ind w:right="38"/>
      </w:pPr>
      <w:r>
        <w:rPr>
          <w:color w:val="231F20"/>
        </w:rPr>
        <w:t>L’interdiction visée aux articles 1:2 et 1:3 ne fait pas obstacle à ce que l’association rende gratuitement à ses membres des services qui relèvent de son objet et qui s’inscrivent dans le cadre de son but.</w:t>
      </w:r>
    </w:p>
    <w:p>
      <w:pPr>
        <w:pStyle w:val="BodyText"/>
        <w:spacing w:line="218" w:lineRule="auto" w:before="71"/>
        <w:ind w:right="38"/>
      </w:pPr>
      <w:r>
        <w:rPr>
          <w:color w:val="231F20"/>
        </w:rPr>
        <w:t>Art. 1:5. § 1</w:t>
      </w:r>
      <w:r>
        <w:rPr>
          <w:color w:val="231F20"/>
          <w:position w:val="7"/>
          <w:sz w:val="11"/>
        </w:rPr>
        <w:t>er</w:t>
      </w:r>
      <w:r>
        <w:rPr>
          <w:color w:val="231F20"/>
        </w:rPr>
        <w:t>. La société simple est une société qui est dépourvue de personnalité</w:t>
      </w:r>
      <w:r>
        <w:rPr>
          <w:color w:val="231F20"/>
          <w:spacing w:val="14"/>
        </w:rPr>
        <w:t> </w:t>
      </w:r>
      <w:r>
        <w:rPr>
          <w:color w:val="231F20"/>
        </w:rPr>
        <w:t>juridique.</w:t>
      </w:r>
    </w:p>
    <w:p>
      <w:pPr>
        <w:pStyle w:val="BodyText"/>
        <w:spacing w:line="218" w:lineRule="auto" w:before="85"/>
        <w:ind w:right="38"/>
      </w:pPr>
      <w:r>
        <w:rPr>
          <w:color w:val="231F20"/>
        </w:rPr>
        <w:t>§ 2. Le présent code reconnaît en tant que sociétés dotées de la personnalité</w:t>
      </w:r>
      <w:r>
        <w:rPr>
          <w:color w:val="231F20"/>
          <w:spacing w:val="14"/>
        </w:rPr>
        <w:t> </w:t>
      </w:r>
      <w:r>
        <w:rPr>
          <w:color w:val="231F20"/>
        </w:rPr>
        <w:t>juridique:</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la</w:t>
      </w:r>
      <w:r>
        <w:rPr>
          <w:color w:val="231F20"/>
          <w:spacing w:val="14"/>
          <w:sz w:val="17"/>
        </w:rPr>
        <w:t> </w:t>
      </w:r>
      <w:r>
        <w:rPr>
          <w:color w:val="231F20"/>
          <w:sz w:val="17"/>
        </w:rPr>
        <w:t>société</w:t>
      </w:r>
      <w:r>
        <w:rPr>
          <w:color w:val="231F20"/>
          <w:spacing w:val="15"/>
          <w:sz w:val="17"/>
        </w:rPr>
        <w:t> </w:t>
      </w:r>
      <w:r>
        <w:rPr>
          <w:color w:val="231F20"/>
          <w:sz w:val="17"/>
        </w:rPr>
        <w:t>en</w:t>
      </w:r>
      <w:r>
        <w:rPr>
          <w:color w:val="231F20"/>
          <w:spacing w:val="15"/>
          <w:sz w:val="17"/>
        </w:rPr>
        <w:t> </w:t>
      </w:r>
      <w:r>
        <w:rPr>
          <w:color w:val="231F20"/>
          <w:sz w:val="17"/>
        </w:rPr>
        <w:t>nom</w:t>
      </w:r>
      <w:r>
        <w:rPr>
          <w:color w:val="231F20"/>
          <w:spacing w:val="15"/>
          <w:sz w:val="17"/>
        </w:rPr>
        <w:t> </w:t>
      </w:r>
      <w:r>
        <w:rPr>
          <w:color w:val="231F20"/>
          <w:sz w:val="17"/>
        </w:rPr>
        <w:t>collectif,</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15"/>
          <w:sz w:val="17"/>
        </w:rPr>
        <w:t> </w:t>
      </w:r>
      <w:r>
        <w:rPr>
          <w:color w:val="231F20"/>
          <w:sz w:val="17"/>
        </w:rPr>
        <w:t>SNC;</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la</w:t>
      </w:r>
      <w:r>
        <w:rPr>
          <w:color w:val="231F20"/>
          <w:spacing w:val="14"/>
          <w:sz w:val="17"/>
        </w:rPr>
        <w:t> </w:t>
      </w:r>
      <w:r>
        <w:rPr>
          <w:color w:val="231F20"/>
          <w:sz w:val="17"/>
        </w:rPr>
        <w:t>société</w:t>
      </w:r>
      <w:r>
        <w:rPr>
          <w:color w:val="231F20"/>
          <w:spacing w:val="15"/>
          <w:sz w:val="17"/>
        </w:rPr>
        <w:t> </w:t>
      </w:r>
      <w:r>
        <w:rPr>
          <w:color w:val="231F20"/>
          <w:sz w:val="17"/>
        </w:rPr>
        <w:t>en</w:t>
      </w:r>
      <w:r>
        <w:rPr>
          <w:color w:val="231F20"/>
          <w:spacing w:val="15"/>
          <w:sz w:val="17"/>
        </w:rPr>
        <w:t> </w:t>
      </w:r>
      <w:r>
        <w:rPr>
          <w:color w:val="231F20"/>
          <w:sz w:val="17"/>
        </w:rPr>
        <w:t>commandite,</w:t>
      </w:r>
      <w:r>
        <w:rPr>
          <w:color w:val="231F20"/>
          <w:spacing w:val="15"/>
          <w:sz w:val="17"/>
        </w:rPr>
        <w:t> </w:t>
      </w:r>
      <w:r>
        <w:rPr>
          <w:color w:val="231F20"/>
          <w:sz w:val="17"/>
        </w:rPr>
        <w:t>en</w:t>
      </w:r>
      <w:r>
        <w:rPr>
          <w:color w:val="231F20"/>
          <w:spacing w:val="14"/>
          <w:sz w:val="17"/>
        </w:rPr>
        <w:t> </w:t>
      </w:r>
      <w:r>
        <w:rPr>
          <w:color w:val="231F20"/>
          <w:sz w:val="17"/>
        </w:rPr>
        <w:t>abrégé</w:t>
      </w:r>
      <w:r>
        <w:rPr>
          <w:color w:val="231F20"/>
          <w:spacing w:val="15"/>
          <w:sz w:val="17"/>
        </w:rPr>
        <w:t> </w:t>
      </w:r>
      <w:r>
        <w:rPr>
          <w:color w:val="231F20"/>
          <w:sz w:val="17"/>
        </w:rPr>
        <w:t>SComm;</w:t>
      </w:r>
    </w:p>
    <w:p>
      <w:pPr>
        <w:pStyle w:val="ListParagraph"/>
        <w:numPr>
          <w:ilvl w:val="0"/>
          <w:numId w:val="1"/>
        </w:numPr>
        <w:tabs>
          <w:tab w:pos="511" w:val="left" w:leader="none"/>
        </w:tabs>
        <w:spacing w:line="240" w:lineRule="auto" w:before="68" w:after="0"/>
        <w:ind w:left="510" w:right="0" w:hanging="227"/>
        <w:jc w:val="left"/>
        <w:rPr>
          <w:sz w:val="17"/>
        </w:rPr>
      </w:pPr>
      <w:r>
        <w:rPr>
          <w:color w:val="231F20"/>
          <w:sz w:val="17"/>
        </w:rPr>
        <w:t>la</w:t>
      </w:r>
      <w:r>
        <w:rPr>
          <w:color w:val="231F20"/>
          <w:spacing w:val="14"/>
          <w:sz w:val="17"/>
        </w:rPr>
        <w:t> </w:t>
      </w:r>
      <w:r>
        <w:rPr>
          <w:color w:val="231F20"/>
          <w:sz w:val="17"/>
        </w:rPr>
        <w:t>société</w:t>
      </w:r>
      <w:r>
        <w:rPr>
          <w:color w:val="231F20"/>
          <w:spacing w:val="-1"/>
          <w:sz w:val="17"/>
        </w:rPr>
        <w:t> </w:t>
      </w:r>
      <w:r>
        <w:rPr>
          <w:color w:val="231F20"/>
          <w:sz w:val="17"/>
        </w:rPr>
        <w:t>à</w:t>
      </w:r>
      <w:r>
        <w:rPr>
          <w:color w:val="231F20"/>
          <w:spacing w:val="14"/>
          <w:sz w:val="17"/>
        </w:rPr>
        <w:t> </w:t>
      </w:r>
      <w:r>
        <w:rPr>
          <w:color w:val="231F20"/>
          <w:sz w:val="17"/>
        </w:rPr>
        <w:t>responsabilité</w:t>
      </w:r>
      <w:r>
        <w:rPr>
          <w:color w:val="231F20"/>
          <w:spacing w:val="14"/>
          <w:sz w:val="17"/>
        </w:rPr>
        <w:t> </w:t>
      </w:r>
      <w:r>
        <w:rPr>
          <w:color w:val="231F20"/>
          <w:sz w:val="17"/>
        </w:rPr>
        <w:t>limitée,</w:t>
      </w:r>
      <w:r>
        <w:rPr>
          <w:color w:val="231F20"/>
          <w:spacing w:val="14"/>
          <w:sz w:val="17"/>
        </w:rPr>
        <w:t> </w:t>
      </w:r>
      <w:r>
        <w:rPr>
          <w:color w:val="231F20"/>
          <w:sz w:val="17"/>
        </w:rPr>
        <w:t>en</w:t>
      </w:r>
      <w:r>
        <w:rPr>
          <w:color w:val="231F20"/>
          <w:spacing w:val="14"/>
          <w:sz w:val="17"/>
        </w:rPr>
        <w:t> </w:t>
      </w:r>
      <w:r>
        <w:rPr>
          <w:color w:val="231F20"/>
          <w:sz w:val="17"/>
        </w:rPr>
        <w:t>abrégé</w:t>
      </w:r>
      <w:r>
        <w:rPr>
          <w:color w:val="231F20"/>
          <w:spacing w:val="15"/>
          <w:sz w:val="17"/>
        </w:rPr>
        <w:t> </w:t>
      </w:r>
      <w:r>
        <w:rPr>
          <w:color w:val="231F20"/>
          <w:sz w:val="17"/>
        </w:rPr>
        <w:t>SRL;</w:t>
      </w:r>
    </w:p>
    <w:p>
      <w:pPr>
        <w:pStyle w:val="ListParagraph"/>
        <w:numPr>
          <w:ilvl w:val="0"/>
          <w:numId w:val="1"/>
        </w:numPr>
        <w:tabs>
          <w:tab w:pos="511" w:val="left" w:leader="none"/>
        </w:tabs>
        <w:spacing w:line="240" w:lineRule="auto" w:before="68" w:after="0"/>
        <w:ind w:left="510" w:right="0" w:hanging="227"/>
        <w:jc w:val="left"/>
        <w:rPr>
          <w:sz w:val="17"/>
        </w:rPr>
      </w:pPr>
      <w:r>
        <w:rPr>
          <w:color w:val="231F20"/>
          <w:sz w:val="17"/>
        </w:rPr>
        <w:t>la</w:t>
      </w:r>
      <w:r>
        <w:rPr>
          <w:color w:val="231F20"/>
          <w:spacing w:val="14"/>
          <w:sz w:val="17"/>
        </w:rPr>
        <w:t> </w:t>
      </w:r>
      <w:r>
        <w:rPr>
          <w:color w:val="231F20"/>
          <w:sz w:val="17"/>
        </w:rPr>
        <w:t>société</w:t>
      </w:r>
      <w:r>
        <w:rPr>
          <w:color w:val="231F20"/>
          <w:spacing w:val="15"/>
          <w:sz w:val="17"/>
        </w:rPr>
        <w:t> </w:t>
      </w:r>
      <w:r>
        <w:rPr>
          <w:color w:val="231F20"/>
          <w:sz w:val="17"/>
        </w:rPr>
        <w:t>coopérative,</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15"/>
          <w:sz w:val="17"/>
        </w:rPr>
        <w:t> </w:t>
      </w:r>
      <w:r>
        <w:rPr>
          <w:color w:val="231F20"/>
          <w:sz w:val="17"/>
        </w:rPr>
        <w:t>SC;</w:t>
      </w:r>
    </w:p>
    <w:p>
      <w:pPr>
        <w:pStyle w:val="ListParagraph"/>
        <w:numPr>
          <w:ilvl w:val="0"/>
          <w:numId w:val="1"/>
        </w:numPr>
        <w:tabs>
          <w:tab w:pos="511" w:val="left" w:leader="none"/>
        </w:tabs>
        <w:spacing w:line="240" w:lineRule="auto" w:before="68" w:after="0"/>
        <w:ind w:left="510" w:right="0" w:hanging="227"/>
        <w:jc w:val="left"/>
        <w:rPr>
          <w:sz w:val="17"/>
        </w:rPr>
      </w:pPr>
      <w:r>
        <w:rPr>
          <w:color w:val="231F20"/>
          <w:sz w:val="17"/>
        </w:rPr>
        <w:t>la</w:t>
      </w:r>
      <w:r>
        <w:rPr>
          <w:color w:val="231F20"/>
          <w:spacing w:val="15"/>
          <w:sz w:val="17"/>
        </w:rPr>
        <w:t> </w:t>
      </w:r>
      <w:r>
        <w:rPr>
          <w:color w:val="231F20"/>
          <w:sz w:val="17"/>
        </w:rPr>
        <w:t>société</w:t>
      </w:r>
      <w:r>
        <w:rPr>
          <w:color w:val="231F20"/>
          <w:spacing w:val="15"/>
          <w:sz w:val="17"/>
        </w:rPr>
        <w:t> </w:t>
      </w:r>
      <w:r>
        <w:rPr>
          <w:color w:val="231F20"/>
          <w:sz w:val="17"/>
        </w:rPr>
        <w:t>anonyme,</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15"/>
          <w:sz w:val="17"/>
        </w:rPr>
        <w:t> </w:t>
      </w:r>
      <w:r>
        <w:rPr>
          <w:color w:val="231F20"/>
          <w:sz w:val="17"/>
        </w:rPr>
        <w:t>SA;</w:t>
      </w:r>
    </w:p>
    <w:p>
      <w:pPr>
        <w:pStyle w:val="ListParagraph"/>
        <w:numPr>
          <w:ilvl w:val="0"/>
          <w:numId w:val="1"/>
        </w:numPr>
        <w:tabs>
          <w:tab w:pos="511" w:val="left" w:leader="none"/>
        </w:tabs>
        <w:spacing w:line="240" w:lineRule="auto" w:before="68" w:after="0"/>
        <w:ind w:left="510" w:right="0" w:hanging="227"/>
        <w:jc w:val="left"/>
        <w:rPr>
          <w:sz w:val="17"/>
        </w:rPr>
      </w:pPr>
      <w:r>
        <w:rPr>
          <w:color w:val="231F20"/>
          <w:sz w:val="17"/>
        </w:rPr>
        <w:t>la</w:t>
      </w:r>
      <w:r>
        <w:rPr>
          <w:color w:val="231F20"/>
          <w:spacing w:val="14"/>
          <w:sz w:val="17"/>
        </w:rPr>
        <w:t> </w:t>
      </w:r>
      <w:r>
        <w:rPr>
          <w:color w:val="231F20"/>
          <w:sz w:val="17"/>
        </w:rPr>
        <w:t>société</w:t>
      </w:r>
      <w:r>
        <w:rPr>
          <w:color w:val="231F20"/>
          <w:spacing w:val="14"/>
          <w:sz w:val="17"/>
        </w:rPr>
        <w:t> </w:t>
      </w:r>
      <w:r>
        <w:rPr>
          <w:color w:val="231F20"/>
          <w:sz w:val="17"/>
        </w:rPr>
        <w:t>européenne,</w:t>
      </w:r>
      <w:r>
        <w:rPr>
          <w:color w:val="231F20"/>
          <w:spacing w:val="15"/>
          <w:sz w:val="17"/>
        </w:rPr>
        <w:t> </w:t>
      </w:r>
      <w:r>
        <w:rPr>
          <w:color w:val="231F20"/>
          <w:sz w:val="17"/>
        </w:rPr>
        <w:t>en</w:t>
      </w:r>
      <w:r>
        <w:rPr>
          <w:color w:val="231F20"/>
          <w:spacing w:val="14"/>
          <w:sz w:val="17"/>
        </w:rPr>
        <w:t> </w:t>
      </w:r>
      <w:r>
        <w:rPr>
          <w:color w:val="231F20"/>
          <w:sz w:val="17"/>
        </w:rPr>
        <w:t>abrégé</w:t>
      </w:r>
      <w:r>
        <w:rPr>
          <w:color w:val="231F20"/>
          <w:spacing w:val="14"/>
          <w:sz w:val="17"/>
        </w:rPr>
        <w:t> </w:t>
      </w:r>
      <w:r>
        <w:rPr>
          <w:color w:val="231F20"/>
          <w:sz w:val="17"/>
        </w:rPr>
        <w:t>SE;</w:t>
      </w:r>
    </w:p>
    <w:p>
      <w:pPr>
        <w:pStyle w:val="ListParagraph"/>
        <w:numPr>
          <w:ilvl w:val="0"/>
          <w:numId w:val="1"/>
        </w:numPr>
        <w:tabs>
          <w:tab w:pos="512" w:val="left" w:leader="none"/>
        </w:tabs>
        <w:spacing w:line="240" w:lineRule="auto" w:before="68" w:after="0"/>
        <w:ind w:left="511" w:right="0" w:hanging="228"/>
        <w:jc w:val="left"/>
        <w:rPr>
          <w:sz w:val="17"/>
        </w:rPr>
      </w:pPr>
      <w:r>
        <w:rPr>
          <w:color w:val="231F20"/>
          <w:sz w:val="17"/>
        </w:rPr>
        <w:t>la</w:t>
      </w:r>
      <w:r>
        <w:rPr>
          <w:color w:val="231F20"/>
          <w:spacing w:val="14"/>
          <w:sz w:val="17"/>
        </w:rPr>
        <w:t> </w:t>
      </w:r>
      <w:r>
        <w:rPr>
          <w:color w:val="231F20"/>
          <w:sz w:val="17"/>
        </w:rPr>
        <w:t>société</w:t>
      </w:r>
      <w:r>
        <w:rPr>
          <w:color w:val="231F20"/>
          <w:spacing w:val="15"/>
          <w:sz w:val="17"/>
        </w:rPr>
        <w:t> </w:t>
      </w:r>
      <w:r>
        <w:rPr>
          <w:color w:val="231F20"/>
          <w:sz w:val="17"/>
        </w:rPr>
        <w:t>coopérative</w:t>
      </w:r>
      <w:r>
        <w:rPr>
          <w:color w:val="231F20"/>
          <w:spacing w:val="15"/>
          <w:sz w:val="17"/>
        </w:rPr>
        <w:t> </w:t>
      </w:r>
      <w:r>
        <w:rPr>
          <w:color w:val="231F20"/>
          <w:sz w:val="17"/>
        </w:rPr>
        <w:t>européenne,</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15"/>
          <w:sz w:val="17"/>
        </w:rPr>
        <w:t> </w:t>
      </w:r>
      <w:r>
        <w:rPr>
          <w:color w:val="231F20"/>
          <w:sz w:val="17"/>
        </w:rPr>
        <w:t>SCE.</w:t>
      </w:r>
    </w:p>
    <w:p>
      <w:pPr>
        <w:pStyle w:val="BodyText"/>
        <w:spacing w:line="218" w:lineRule="auto" w:before="82"/>
        <w:ind w:right="38"/>
      </w:pPr>
      <w:r>
        <w:rPr>
          <w:color w:val="231F20"/>
        </w:rPr>
        <w:t>§ 3. Le présent code reconnaît le groupement européen d’intérêt économique, en abrégé GEIE, comme personne morale.</w:t>
      </w:r>
    </w:p>
    <w:p>
      <w:pPr>
        <w:pStyle w:val="BodyText"/>
        <w:spacing w:line="218" w:lineRule="auto" w:before="81"/>
        <w:ind w:right="39"/>
      </w:pPr>
      <w:r>
        <w:rPr>
          <w:color w:val="231F20"/>
        </w:rPr>
        <w:t>Art. 1:6. § 1</w:t>
      </w:r>
      <w:r>
        <w:rPr>
          <w:color w:val="231F20"/>
          <w:position w:val="7"/>
          <w:sz w:val="11"/>
        </w:rPr>
        <w:t>er</w:t>
      </w:r>
      <w:r>
        <w:rPr>
          <w:color w:val="231F20"/>
        </w:rPr>
        <w:t>. L’association de fait est une association sans personnalité juridique régie par la convention des parties.</w:t>
      </w:r>
    </w:p>
    <w:p>
      <w:pPr>
        <w:pStyle w:val="BodyText"/>
        <w:spacing w:line="218" w:lineRule="auto" w:before="96"/>
        <w:ind w:right="38"/>
      </w:pPr>
      <w:r>
        <w:rPr>
          <w:color w:val="231F20"/>
        </w:rPr>
        <w:t>§ 2. Le présent code reconnaît en tant qu’associations dotées de la personnalité juridique:</w:t>
      </w:r>
    </w:p>
    <w:p>
      <w:pPr>
        <w:pStyle w:val="ListParagraph"/>
        <w:numPr>
          <w:ilvl w:val="0"/>
          <w:numId w:val="1"/>
        </w:numPr>
        <w:tabs>
          <w:tab w:pos="511" w:val="left" w:leader="none"/>
        </w:tabs>
        <w:spacing w:line="240" w:lineRule="auto" w:before="82" w:after="0"/>
        <w:ind w:left="283" w:right="0" w:firstLine="0"/>
        <w:jc w:val="left"/>
        <w:rPr>
          <w:sz w:val="17"/>
        </w:rPr>
      </w:pPr>
      <w:r>
        <w:rPr>
          <w:color w:val="231F20"/>
          <w:sz w:val="17"/>
        </w:rPr>
        <w:t>l’association</w:t>
      </w:r>
      <w:r>
        <w:rPr>
          <w:color w:val="231F20"/>
          <w:spacing w:val="14"/>
          <w:sz w:val="17"/>
        </w:rPr>
        <w:t> </w:t>
      </w:r>
      <w:r>
        <w:rPr>
          <w:color w:val="231F20"/>
          <w:sz w:val="17"/>
        </w:rPr>
        <w:t>sans</w:t>
      </w:r>
      <w:r>
        <w:rPr>
          <w:color w:val="231F20"/>
          <w:spacing w:val="15"/>
          <w:sz w:val="17"/>
        </w:rPr>
        <w:t> </w:t>
      </w:r>
      <w:r>
        <w:rPr>
          <w:color w:val="231F20"/>
          <w:sz w:val="17"/>
        </w:rPr>
        <w:t>but</w:t>
      </w:r>
      <w:r>
        <w:rPr>
          <w:color w:val="231F20"/>
          <w:spacing w:val="15"/>
          <w:sz w:val="17"/>
        </w:rPr>
        <w:t> </w:t>
      </w:r>
      <w:r>
        <w:rPr>
          <w:color w:val="231F20"/>
          <w:sz w:val="17"/>
        </w:rPr>
        <w:t>lucratif,</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9"/>
          <w:sz w:val="17"/>
        </w:rPr>
        <w:t> </w:t>
      </w:r>
      <w:r>
        <w:rPr>
          <w:color w:val="231F20"/>
          <w:sz w:val="17"/>
        </w:rPr>
        <w:t>ASBL;</w:t>
      </w:r>
    </w:p>
    <w:p>
      <w:pPr>
        <w:spacing w:before="103"/>
        <w:ind w:left="1037" w:right="0" w:firstLine="0"/>
        <w:jc w:val="left"/>
        <w:rPr>
          <w:rFonts w:ascii="Times New Roman"/>
          <w:b/>
          <w:sz w:val="17"/>
        </w:rPr>
      </w:pPr>
      <w:r>
        <w:rPr/>
        <w:br w:type="column"/>
      </w:r>
      <w:r>
        <w:rPr>
          <w:rFonts w:ascii="Times New Roman"/>
          <w:b/>
          <w:color w:val="231F20"/>
          <w:sz w:val="17"/>
        </w:rPr>
        <w:t>FEDERALE OVERHEIDSDIENST JUSTITIE</w:t>
      </w:r>
    </w:p>
    <w:p>
      <w:pPr>
        <w:pStyle w:val="BodyText"/>
        <w:spacing w:before="71"/>
        <w:ind w:left="4105" w:right="0" w:firstLine="0"/>
        <w:jc w:val="left"/>
      </w:pPr>
      <w:r>
        <w:rPr>
          <w:color w:val="231F20"/>
        </w:rPr>
        <w:t>[C − 2019/40586]</w:t>
      </w:r>
    </w:p>
    <w:p>
      <w:pPr>
        <w:spacing w:line="216" w:lineRule="auto" w:before="67"/>
        <w:ind w:left="283" w:right="117" w:hanging="171"/>
        <w:jc w:val="both"/>
        <w:rPr>
          <w:sz w:val="17"/>
        </w:rPr>
      </w:pPr>
      <w:r>
        <w:rPr>
          <w:rFonts w:ascii="Times New Roman" w:hAnsi="Times New Roman"/>
          <w:b/>
          <w:color w:val="231F20"/>
          <w:w w:val="110"/>
          <w:sz w:val="17"/>
        </w:rPr>
        <w:t>23 MAART 2019. </w:t>
      </w:r>
      <w:r>
        <w:rPr>
          <w:b/>
          <w:color w:val="231F20"/>
          <w:w w:val="110"/>
          <w:sz w:val="17"/>
        </w:rPr>
        <w:t>— </w:t>
      </w:r>
      <w:r>
        <w:rPr>
          <w:rFonts w:ascii="Times New Roman" w:hAnsi="Times New Roman"/>
          <w:b/>
          <w:color w:val="231F20"/>
          <w:w w:val="110"/>
          <w:sz w:val="17"/>
        </w:rPr>
        <w:t>Wet tot invoering van het Wetboek van vennootschappen en verenigingen en houdende diverse bepalingen </w:t>
      </w:r>
      <w:r>
        <w:rPr>
          <w:color w:val="231F20"/>
          <w:w w:val="110"/>
          <w:sz w:val="17"/>
        </w:rPr>
        <w:t>(1)</w:t>
      </w:r>
    </w:p>
    <w:p>
      <w:pPr>
        <w:pStyle w:val="BodyText"/>
        <w:spacing w:before="2"/>
        <w:ind w:left="0" w:right="0" w:firstLine="0"/>
        <w:jc w:val="left"/>
        <w:rPr>
          <w:sz w:val="23"/>
        </w:rPr>
      </w:pPr>
    </w:p>
    <w:p>
      <w:pPr>
        <w:pStyle w:val="BodyText"/>
        <w:ind w:left="795" w:right="0" w:firstLine="0"/>
        <w:jc w:val="left"/>
      </w:pPr>
      <w:r>
        <w:rPr>
          <w:color w:val="231F20"/>
        </w:rPr>
        <w:t>FILIP, Koning der Belgen,</w:t>
      </w:r>
    </w:p>
    <w:p>
      <w:pPr>
        <w:pStyle w:val="BodyText"/>
        <w:spacing w:before="25"/>
        <w:ind w:left="624" w:right="0" w:firstLine="0"/>
        <w:jc w:val="left"/>
      </w:pPr>
      <w:r>
        <w:rPr>
          <w:color w:val="231F20"/>
        </w:rPr>
        <w:t>Aan allen die nu zijn en hierna wezen zullen, Onze Groet.</w:t>
      </w:r>
    </w:p>
    <w:p>
      <w:pPr>
        <w:pStyle w:val="BodyText"/>
        <w:spacing w:line="218" w:lineRule="auto" w:before="40"/>
      </w:pPr>
      <w:r>
        <w:rPr>
          <w:color w:val="231F20"/>
        </w:rPr>
        <w:t>De Kamer van volksvertegenwoordigers heeft aangenomen en Wij bekrachtigen hetgeen volgt :</w:t>
      </w:r>
    </w:p>
    <w:p>
      <w:pPr>
        <w:spacing w:before="68"/>
        <w:ind w:left="1375" w:right="0" w:firstLine="0"/>
        <w:jc w:val="left"/>
        <w:rPr>
          <w:rFonts w:ascii="Times New Roman" w:hAnsi="Times New Roman"/>
          <w:i/>
          <w:sz w:val="17"/>
        </w:rPr>
      </w:pPr>
      <w:r>
        <w:rPr>
          <w:color w:val="231F20"/>
          <w:sz w:val="17"/>
        </w:rPr>
        <w:t>HOOFDSTUK I. — </w:t>
      </w:r>
      <w:r>
        <w:rPr>
          <w:rFonts w:ascii="Times New Roman" w:hAnsi="Times New Roman"/>
          <w:i/>
          <w:color w:val="231F20"/>
          <w:sz w:val="17"/>
        </w:rPr>
        <w:t>Algemene bepaling</w:t>
      </w:r>
    </w:p>
    <w:p>
      <w:pPr>
        <w:pStyle w:val="BodyText"/>
        <w:spacing w:line="218" w:lineRule="auto" w:before="133"/>
      </w:pPr>
      <w:r>
        <w:rPr>
          <w:rFonts w:ascii="Times New Roman"/>
          <w:b/>
          <w:color w:val="231F20"/>
        </w:rPr>
        <w:t>Artikel 1. </w:t>
      </w:r>
      <w:r>
        <w:rPr>
          <w:color w:val="231F20"/>
        </w:rPr>
        <w:t>Deze wet regelt een aangelegenheid zoals bedoeld  in  artikel 74 van de</w:t>
      </w:r>
      <w:r>
        <w:rPr>
          <w:color w:val="231F20"/>
          <w:spacing w:val="20"/>
        </w:rPr>
        <w:t> </w:t>
      </w:r>
      <w:r>
        <w:rPr>
          <w:color w:val="231F20"/>
        </w:rPr>
        <w:t>Grondwet.</w:t>
      </w:r>
    </w:p>
    <w:p>
      <w:pPr>
        <w:spacing w:before="69"/>
        <w:ind w:left="202" w:right="0" w:firstLine="0"/>
        <w:jc w:val="both"/>
        <w:rPr>
          <w:rFonts w:ascii="Times New Roman" w:hAnsi="Times New Roman"/>
          <w:i/>
          <w:sz w:val="17"/>
        </w:rPr>
      </w:pPr>
      <w:r>
        <w:rPr>
          <w:color w:val="231F20"/>
          <w:sz w:val="17"/>
        </w:rPr>
        <w:t>HOOFDSTUK II. — </w:t>
      </w:r>
      <w:r>
        <w:rPr>
          <w:rFonts w:ascii="Times New Roman" w:hAnsi="Times New Roman"/>
          <w:i/>
          <w:color w:val="231F20"/>
          <w:sz w:val="17"/>
        </w:rPr>
        <w:t>Het Wetboek van vennootschappen en verenigingen</w:t>
      </w:r>
    </w:p>
    <w:p>
      <w:pPr>
        <w:pStyle w:val="BodyText"/>
        <w:spacing w:line="218" w:lineRule="auto" w:before="132"/>
      </w:pPr>
      <w:r>
        <w:rPr>
          <w:rFonts w:ascii="Times New Roman"/>
          <w:b/>
          <w:color w:val="231F20"/>
        </w:rPr>
        <w:t>Art. 2. </w:t>
      </w:r>
      <w:r>
        <w:rPr>
          <w:color w:val="231F20"/>
        </w:rPr>
        <w:t>De hiernavolgende bepalingen vormen het Wetboek van vennootschappen en verenigingen:</w:t>
      </w:r>
    </w:p>
    <w:p>
      <w:pPr>
        <w:pStyle w:val="BodyText"/>
        <w:spacing w:before="72"/>
        <w:ind w:left="283" w:right="0" w:firstLine="0"/>
        <w:jc w:val="left"/>
      </w:pPr>
      <w:r>
        <w:rPr>
          <w:color w:val="231F20"/>
          <w:w w:val="105"/>
        </w:rPr>
        <w:t>“WETBOEK VAN VENNOOTSCHAPPEN EN VERENIGINGEN</w:t>
      </w:r>
    </w:p>
    <w:p>
      <w:pPr>
        <w:pStyle w:val="BodyText"/>
        <w:spacing w:line="324" w:lineRule="auto" w:before="68"/>
        <w:ind w:left="283" w:right="2675" w:firstLine="0"/>
        <w:jc w:val="left"/>
      </w:pPr>
      <w:r>
        <w:rPr>
          <w:color w:val="231F20"/>
        </w:rPr>
        <w:t>DEEL 1. Algemene bepalingen. BOEK 1. Inleidende bepalingen.</w:t>
      </w:r>
    </w:p>
    <w:p>
      <w:pPr>
        <w:pStyle w:val="BodyText"/>
        <w:ind w:left="283" w:right="0" w:firstLine="0"/>
        <w:jc w:val="left"/>
      </w:pPr>
      <w:r>
        <w:rPr>
          <w:color w:val="231F20"/>
        </w:rPr>
        <w:t>TITEL 1. Vennootschap, vereniging en stichting.</w:t>
      </w:r>
    </w:p>
    <w:p>
      <w:pPr>
        <w:pStyle w:val="BodyText"/>
        <w:spacing w:line="218" w:lineRule="auto" w:before="80"/>
        <w:ind w:right="125"/>
      </w:pPr>
      <w:r>
        <w:rPr>
          <w:color w:val="231F20"/>
        </w:rPr>
        <w:t>Artikel 1:1</w:t>
      </w:r>
      <w:r>
        <w:rPr>
          <w:rFonts w:ascii="Times New Roman" w:hAnsi="Times New Roman"/>
          <w:i/>
          <w:color w:val="231F20"/>
        </w:rPr>
        <w:t>. </w:t>
      </w:r>
      <w:r>
        <w:rPr>
          <w:color w:val="231F20"/>
        </w:rPr>
        <w:t>Een vennootschap wordt opgericht bij een rechtshande- ling door één of meer personen, vennoten genaamd, die een inbreng doen. Zij heeft een vermogen en stelt zich de uitoefening van één of meer welbepaalde activiteiten tot voorwerp. Een van haar doelen is aan haar vennoten een rechtstreeks of onrechtstreeks vermogensvoordeel uit te keren of te bezorgen.</w:t>
      </w:r>
    </w:p>
    <w:p>
      <w:pPr>
        <w:pStyle w:val="BodyText"/>
        <w:spacing w:line="218" w:lineRule="auto" w:before="83"/>
      </w:pPr>
      <w:r>
        <w:rPr>
          <w:color w:val="231F20"/>
        </w:rPr>
        <w:t>Art. 1:2</w:t>
      </w:r>
      <w:r>
        <w:rPr>
          <w:rFonts w:ascii="Times New Roman" w:hAnsi="Times New Roman"/>
          <w:i/>
          <w:color w:val="231F20"/>
        </w:rPr>
        <w:t>. </w:t>
      </w:r>
      <w:r>
        <w:rPr>
          <w:color w:val="231F20"/>
        </w:rPr>
        <w:t>Een vereniging wordt opgericht bij een overeenkomst tussen twee of meer personen, leden genaamd. Zij streeft een belangeloos doel na in het kader van één of meer welbepaalde activiteiten die zij tot voorwerp heeft. Zij mag rechtstreeks noch onrechtstreeks enig vermo- gensvoordeel uitkeren of bezorgen aan de oprichters, de leden, de bestuurders of enig andere persoon behalve voor het in de statuten bepaald belangeloos doel. Elke verrichting in strijd met dit verbod is nietig.</w:t>
      </w:r>
    </w:p>
    <w:p>
      <w:pPr>
        <w:pStyle w:val="BodyText"/>
        <w:spacing w:line="218" w:lineRule="auto" w:before="83"/>
      </w:pPr>
      <w:r>
        <w:rPr>
          <w:color w:val="231F20"/>
        </w:rPr>
        <w:t>Art.</w:t>
      </w:r>
      <w:r>
        <w:rPr>
          <w:color w:val="231F20"/>
          <w:spacing w:val="-5"/>
        </w:rPr>
        <w:t> </w:t>
      </w:r>
      <w:r>
        <w:rPr>
          <w:color w:val="231F20"/>
        </w:rPr>
        <w:t>1:3</w:t>
      </w:r>
      <w:r>
        <w:rPr>
          <w:rFonts w:ascii="Times New Roman" w:hAnsi="Times New Roman"/>
          <w:i/>
          <w:color w:val="231F20"/>
        </w:rPr>
        <w:t>.</w:t>
      </w:r>
      <w:r>
        <w:rPr>
          <w:rFonts w:ascii="Times New Roman" w:hAnsi="Times New Roman"/>
          <w:i/>
          <w:color w:val="231F20"/>
          <w:spacing w:val="-6"/>
        </w:rPr>
        <w:t> </w:t>
      </w:r>
      <w:r>
        <w:rPr>
          <w:color w:val="231F20"/>
        </w:rPr>
        <w:t>Een</w:t>
      </w:r>
      <w:r>
        <w:rPr>
          <w:color w:val="231F20"/>
          <w:spacing w:val="-5"/>
        </w:rPr>
        <w:t> </w:t>
      </w:r>
      <w:r>
        <w:rPr>
          <w:color w:val="231F20"/>
        </w:rPr>
        <w:t>stichting</w:t>
      </w:r>
      <w:r>
        <w:rPr>
          <w:color w:val="231F20"/>
          <w:spacing w:val="-4"/>
        </w:rPr>
        <w:t> </w:t>
      </w:r>
      <w:r>
        <w:rPr>
          <w:color w:val="231F20"/>
        </w:rPr>
        <w:t>is</w:t>
      </w:r>
      <w:r>
        <w:rPr>
          <w:color w:val="231F20"/>
          <w:spacing w:val="-5"/>
        </w:rPr>
        <w:t> </w:t>
      </w:r>
      <w:r>
        <w:rPr>
          <w:color w:val="231F20"/>
        </w:rPr>
        <w:t>een</w:t>
      </w:r>
      <w:r>
        <w:rPr>
          <w:color w:val="231F20"/>
          <w:spacing w:val="-5"/>
        </w:rPr>
        <w:t> </w:t>
      </w:r>
      <w:r>
        <w:rPr>
          <w:color w:val="231F20"/>
        </w:rPr>
        <w:t>rechtspersoon</w:t>
      </w:r>
      <w:r>
        <w:rPr>
          <w:color w:val="231F20"/>
          <w:spacing w:val="-5"/>
        </w:rPr>
        <w:t> </w:t>
      </w:r>
      <w:r>
        <w:rPr>
          <w:color w:val="231F20"/>
        </w:rPr>
        <w:t>zonder</w:t>
      </w:r>
      <w:r>
        <w:rPr>
          <w:color w:val="231F20"/>
          <w:spacing w:val="-4"/>
        </w:rPr>
        <w:t> </w:t>
      </w:r>
      <w:r>
        <w:rPr>
          <w:color w:val="231F20"/>
        </w:rPr>
        <w:t>leden,</w:t>
      </w:r>
      <w:r>
        <w:rPr>
          <w:color w:val="231F20"/>
          <w:spacing w:val="-5"/>
        </w:rPr>
        <w:t> </w:t>
      </w:r>
      <w:r>
        <w:rPr>
          <w:color w:val="231F20"/>
        </w:rPr>
        <w:t>opgericht</w:t>
      </w:r>
      <w:r>
        <w:rPr>
          <w:color w:val="231F20"/>
          <w:spacing w:val="-5"/>
        </w:rPr>
        <w:t> </w:t>
      </w:r>
      <w:r>
        <w:rPr>
          <w:color w:val="231F20"/>
        </w:rPr>
        <w:t>bij rechtshandeling door één of meer personen, stichters genoemd. Haar vermogen wordt bestemd om een belangeloos doel na te streven in het kader van één of meer welbepaalde activiteiten die zij tot voorwerp heeft. Zij mag rechtstreeks noch onrechtstreeks enig vermogensvoor- deel uitkeren of bezorgen aan de stichters, de bestuurders of enig andere persoon, behalve voor het in de statuten bepaald belangeloos doel.</w:t>
      </w:r>
      <w:r>
        <w:rPr>
          <w:color w:val="231F20"/>
          <w:spacing w:val="15"/>
        </w:rPr>
        <w:t> </w:t>
      </w:r>
      <w:r>
        <w:rPr>
          <w:color w:val="231F20"/>
        </w:rPr>
        <w:t>Elke</w:t>
      </w:r>
      <w:r>
        <w:rPr>
          <w:color w:val="231F20"/>
          <w:spacing w:val="16"/>
        </w:rPr>
        <w:t> </w:t>
      </w:r>
      <w:r>
        <w:rPr>
          <w:color w:val="231F20"/>
        </w:rPr>
        <w:t>verrichting</w:t>
      </w:r>
      <w:r>
        <w:rPr>
          <w:color w:val="231F20"/>
          <w:spacing w:val="15"/>
        </w:rPr>
        <w:t> </w:t>
      </w:r>
      <w:r>
        <w:rPr>
          <w:color w:val="231F20"/>
        </w:rPr>
        <w:t>in</w:t>
      </w:r>
      <w:r>
        <w:rPr>
          <w:color w:val="231F20"/>
          <w:spacing w:val="16"/>
        </w:rPr>
        <w:t> </w:t>
      </w:r>
      <w:r>
        <w:rPr>
          <w:color w:val="231F20"/>
        </w:rPr>
        <w:t>strijd</w:t>
      </w:r>
      <w:r>
        <w:rPr>
          <w:color w:val="231F20"/>
          <w:spacing w:val="15"/>
        </w:rPr>
        <w:t> </w:t>
      </w:r>
      <w:r>
        <w:rPr>
          <w:color w:val="231F20"/>
        </w:rPr>
        <w:t>met</w:t>
      </w:r>
      <w:r>
        <w:rPr>
          <w:color w:val="231F20"/>
          <w:spacing w:val="16"/>
        </w:rPr>
        <w:t> </w:t>
      </w:r>
      <w:r>
        <w:rPr>
          <w:color w:val="231F20"/>
        </w:rPr>
        <w:t>dit</w:t>
      </w:r>
      <w:r>
        <w:rPr>
          <w:color w:val="231F20"/>
          <w:spacing w:val="15"/>
        </w:rPr>
        <w:t> </w:t>
      </w:r>
      <w:r>
        <w:rPr>
          <w:color w:val="231F20"/>
        </w:rPr>
        <w:t>verbod</w:t>
      </w:r>
      <w:r>
        <w:rPr>
          <w:color w:val="231F20"/>
          <w:spacing w:val="16"/>
        </w:rPr>
        <w:t> </w:t>
      </w:r>
      <w:r>
        <w:rPr>
          <w:color w:val="231F20"/>
        </w:rPr>
        <w:t>is</w:t>
      </w:r>
      <w:r>
        <w:rPr>
          <w:color w:val="231F20"/>
          <w:spacing w:val="15"/>
        </w:rPr>
        <w:t> </w:t>
      </w:r>
      <w:r>
        <w:rPr>
          <w:color w:val="231F20"/>
        </w:rPr>
        <w:t>nietig.</w:t>
      </w:r>
    </w:p>
    <w:p>
      <w:pPr>
        <w:pStyle w:val="BodyText"/>
        <w:spacing w:before="9"/>
        <w:ind w:left="0" w:right="0" w:firstLine="0"/>
        <w:jc w:val="left"/>
        <w:rPr>
          <w:sz w:val="22"/>
        </w:rPr>
      </w:pPr>
    </w:p>
    <w:p>
      <w:pPr>
        <w:pStyle w:val="BodyText"/>
        <w:spacing w:line="218" w:lineRule="auto" w:before="1"/>
      </w:pPr>
      <w:r>
        <w:rPr>
          <w:color w:val="231F20"/>
        </w:rPr>
        <w:t>Art. 1:4</w:t>
      </w:r>
      <w:r>
        <w:rPr>
          <w:rFonts w:ascii="Times New Roman"/>
          <w:i/>
          <w:color w:val="231F20"/>
        </w:rPr>
        <w:t>. </w:t>
      </w:r>
      <w:r>
        <w:rPr>
          <w:color w:val="231F20"/>
        </w:rPr>
        <w:t>Voor de doeleinden van de artikelen 1:2 en 1:3 wordt als onrechtstreekse uitkering van een vermogensvoordeel beschouwd elke verrichting waardoor de activa van een vereniging of stichting dalen of haar passiva stijgen en waarvoor zij hetzij geen tegenprestatie ontvangt, hetzij een tegenprestatie die kennelijk te laag is in verhouding tot de waarde van haar prestatie.</w:t>
      </w:r>
    </w:p>
    <w:p>
      <w:pPr>
        <w:pStyle w:val="BodyText"/>
        <w:spacing w:line="218" w:lineRule="auto" w:before="85"/>
      </w:pPr>
      <w:r>
        <w:rPr>
          <w:color w:val="231F20"/>
        </w:rPr>
        <w:t>Het in de artikelen 1:2 en 1:3 bedoelde verbod belet niet dat de vereniging voor haar leden diensten om niet levert die binnen haar voorwerp en in het kader van haar doel vallen.</w:t>
      </w:r>
    </w:p>
    <w:p>
      <w:pPr>
        <w:pStyle w:val="BodyText"/>
        <w:spacing w:line="218" w:lineRule="auto" w:before="86"/>
      </w:pPr>
      <w:r>
        <w:rPr>
          <w:color w:val="231F20"/>
        </w:rPr>
        <w:t>Art. 1:5. § 1. De maatschap is een vennootschap zonder rechtsper- soonlijkheid.</w:t>
      </w:r>
    </w:p>
    <w:p>
      <w:pPr>
        <w:pStyle w:val="BodyText"/>
        <w:spacing w:line="218" w:lineRule="auto" w:before="85"/>
      </w:pPr>
      <w:r>
        <w:rPr>
          <w:color w:val="231F20"/>
        </w:rPr>
        <w:t>§ 2. Dit wetboek erkent als vennootschappen met rechtspersoonlijk- heid:</w:t>
      </w:r>
    </w:p>
    <w:p>
      <w:pPr>
        <w:pStyle w:val="ListParagraph"/>
        <w:numPr>
          <w:ilvl w:val="0"/>
          <w:numId w:val="1"/>
        </w:numPr>
        <w:tabs>
          <w:tab w:pos="511" w:val="left" w:leader="none"/>
        </w:tabs>
        <w:spacing w:line="240" w:lineRule="auto" w:before="72" w:after="0"/>
        <w:ind w:left="283" w:right="0" w:firstLine="0"/>
        <w:jc w:val="left"/>
        <w:rPr>
          <w:sz w:val="17"/>
        </w:rPr>
      </w:pPr>
      <w:r>
        <w:rPr>
          <w:color w:val="231F20"/>
          <w:sz w:val="17"/>
        </w:rPr>
        <w:t>de</w:t>
      </w:r>
      <w:r>
        <w:rPr>
          <w:color w:val="231F20"/>
          <w:spacing w:val="15"/>
          <w:sz w:val="17"/>
        </w:rPr>
        <w:t> </w:t>
      </w:r>
      <w:r>
        <w:rPr>
          <w:color w:val="231F20"/>
          <w:sz w:val="17"/>
        </w:rPr>
        <w:t>vennootschap</w:t>
      </w:r>
      <w:r>
        <w:rPr>
          <w:color w:val="231F20"/>
          <w:spacing w:val="16"/>
          <w:sz w:val="17"/>
        </w:rPr>
        <w:t> </w:t>
      </w:r>
      <w:r>
        <w:rPr>
          <w:color w:val="231F20"/>
          <w:sz w:val="17"/>
        </w:rPr>
        <w:t>onder</w:t>
      </w:r>
      <w:r>
        <w:rPr>
          <w:color w:val="231F20"/>
          <w:spacing w:val="16"/>
          <w:sz w:val="17"/>
        </w:rPr>
        <w:t> </w:t>
      </w:r>
      <w:r>
        <w:rPr>
          <w:color w:val="231F20"/>
          <w:sz w:val="17"/>
        </w:rPr>
        <w:t>firma,</w:t>
      </w:r>
      <w:r>
        <w:rPr>
          <w:color w:val="231F20"/>
          <w:spacing w:val="15"/>
          <w:sz w:val="17"/>
        </w:rPr>
        <w:t> </w:t>
      </w:r>
      <w:r>
        <w:rPr>
          <w:color w:val="231F20"/>
          <w:sz w:val="17"/>
        </w:rPr>
        <w:t>afgekort</w:t>
      </w:r>
      <w:r>
        <w:rPr>
          <w:color w:val="231F20"/>
          <w:spacing w:val="16"/>
          <w:sz w:val="17"/>
        </w:rPr>
        <w:t> </w:t>
      </w:r>
      <w:r>
        <w:rPr>
          <w:color w:val="231F20"/>
          <w:sz w:val="17"/>
        </w:rPr>
        <w:t>VOF;</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 commanditaire vennootschap, afgekort</w:t>
      </w:r>
      <w:r>
        <w:rPr>
          <w:color w:val="231F20"/>
          <w:spacing w:val="22"/>
          <w:sz w:val="17"/>
        </w:rPr>
        <w:t> </w:t>
      </w:r>
      <w:r>
        <w:rPr>
          <w:color w:val="231F20"/>
          <w:sz w:val="17"/>
        </w:rPr>
        <w:t>CommV;</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 besloten vennootschap, afgekort</w:t>
      </w:r>
      <w:r>
        <w:rPr>
          <w:color w:val="231F20"/>
          <w:spacing w:val="20"/>
          <w:sz w:val="17"/>
        </w:rPr>
        <w:t> </w:t>
      </w:r>
      <w:r>
        <w:rPr>
          <w:color w:val="231F20"/>
          <w:spacing w:val="-4"/>
          <w:sz w:val="17"/>
        </w:rPr>
        <w:t>BV;</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 coöperatieve vennootschap, afgekort</w:t>
      </w:r>
      <w:r>
        <w:rPr>
          <w:color w:val="231F20"/>
          <w:spacing w:val="24"/>
          <w:sz w:val="17"/>
        </w:rPr>
        <w:t> </w:t>
      </w:r>
      <w:r>
        <w:rPr>
          <w:color w:val="231F20"/>
          <w:spacing w:val="-4"/>
          <w:sz w:val="17"/>
        </w:rPr>
        <w:t>CV;</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 naamloze vennootschap, afgekort</w:t>
      </w:r>
      <w:r>
        <w:rPr>
          <w:color w:val="231F20"/>
          <w:spacing w:val="23"/>
          <w:sz w:val="17"/>
        </w:rPr>
        <w:t> </w:t>
      </w:r>
      <w:r>
        <w:rPr>
          <w:color w:val="231F20"/>
          <w:spacing w:val="-4"/>
          <w:sz w:val="17"/>
        </w:rPr>
        <w:t>NV;</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 Europese vennootschap, afgekort</w:t>
      </w:r>
      <w:r>
        <w:rPr>
          <w:color w:val="231F20"/>
          <w:spacing w:val="18"/>
          <w:sz w:val="17"/>
        </w:rPr>
        <w:t> </w:t>
      </w:r>
      <w:r>
        <w:rPr>
          <w:color w:val="231F20"/>
          <w:sz w:val="17"/>
        </w:rPr>
        <w:t>SE;</w:t>
      </w:r>
    </w:p>
    <w:p>
      <w:pPr>
        <w:pStyle w:val="ListParagraph"/>
        <w:numPr>
          <w:ilvl w:val="0"/>
          <w:numId w:val="1"/>
        </w:numPr>
        <w:tabs>
          <w:tab w:pos="511" w:val="left" w:leader="none"/>
        </w:tabs>
        <w:spacing w:line="240" w:lineRule="auto" w:before="68" w:after="0"/>
        <w:ind w:left="283" w:right="0" w:firstLine="0"/>
        <w:jc w:val="left"/>
        <w:rPr>
          <w:sz w:val="17"/>
        </w:rPr>
      </w:pPr>
      <w:r>
        <w:rPr>
          <w:color w:val="231F20"/>
          <w:sz w:val="17"/>
        </w:rPr>
        <w:t>de</w:t>
      </w:r>
      <w:r>
        <w:rPr>
          <w:color w:val="231F20"/>
          <w:spacing w:val="16"/>
          <w:sz w:val="17"/>
        </w:rPr>
        <w:t> </w:t>
      </w:r>
      <w:r>
        <w:rPr>
          <w:color w:val="231F20"/>
          <w:sz w:val="17"/>
        </w:rPr>
        <w:t>Europese</w:t>
      </w:r>
      <w:r>
        <w:rPr>
          <w:color w:val="231F20"/>
          <w:spacing w:val="16"/>
          <w:sz w:val="17"/>
        </w:rPr>
        <w:t> </w:t>
      </w:r>
      <w:r>
        <w:rPr>
          <w:color w:val="231F20"/>
          <w:sz w:val="17"/>
        </w:rPr>
        <w:t>coöperatieve</w:t>
      </w:r>
      <w:r>
        <w:rPr>
          <w:color w:val="231F20"/>
          <w:spacing w:val="16"/>
          <w:sz w:val="17"/>
        </w:rPr>
        <w:t> </w:t>
      </w:r>
      <w:r>
        <w:rPr>
          <w:color w:val="231F20"/>
          <w:sz w:val="17"/>
        </w:rPr>
        <w:t>vennootschap,</w:t>
      </w:r>
      <w:r>
        <w:rPr>
          <w:color w:val="231F20"/>
          <w:spacing w:val="16"/>
          <w:sz w:val="17"/>
        </w:rPr>
        <w:t> </w:t>
      </w:r>
      <w:r>
        <w:rPr>
          <w:color w:val="231F20"/>
          <w:sz w:val="17"/>
        </w:rPr>
        <w:t>afgekort</w:t>
      </w:r>
      <w:r>
        <w:rPr>
          <w:color w:val="231F20"/>
          <w:spacing w:val="17"/>
          <w:sz w:val="17"/>
        </w:rPr>
        <w:t> </w:t>
      </w:r>
      <w:r>
        <w:rPr>
          <w:color w:val="231F20"/>
          <w:sz w:val="17"/>
        </w:rPr>
        <w:t>SCE.</w:t>
      </w:r>
    </w:p>
    <w:p>
      <w:pPr>
        <w:pStyle w:val="BodyText"/>
        <w:spacing w:line="218" w:lineRule="auto" w:before="82"/>
      </w:pPr>
      <w:r>
        <w:rPr>
          <w:color w:val="231F20"/>
        </w:rPr>
        <w:t>§ 3. Dit wetboek erkent het Europees economisch samenwerkings- verband, afgekort EESV, als een rechtspersoon.</w:t>
      </w:r>
    </w:p>
    <w:p>
      <w:pPr>
        <w:pStyle w:val="BodyText"/>
        <w:spacing w:line="218" w:lineRule="auto" w:before="96"/>
      </w:pPr>
      <w:r>
        <w:rPr>
          <w:color w:val="231F20"/>
        </w:rPr>
        <w:t>Art. 1:6. § 1. De feitelijke vereniging is een vereniging zonder rechtspersoonlijkheid</w:t>
      </w:r>
      <w:r>
        <w:rPr>
          <w:color w:val="231F20"/>
          <w:spacing w:val="13"/>
        </w:rPr>
        <w:t> </w:t>
      </w:r>
      <w:r>
        <w:rPr>
          <w:color w:val="231F20"/>
        </w:rPr>
        <w:t>beheerst</w:t>
      </w:r>
      <w:r>
        <w:rPr>
          <w:color w:val="231F20"/>
          <w:spacing w:val="13"/>
        </w:rPr>
        <w:t> </w:t>
      </w:r>
      <w:r>
        <w:rPr>
          <w:color w:val="231F20"/>
        </w:rPr>
        <w:t>door</w:t>
      </w:r>
      <w:r>
        <w:rPr>
          <w:color w:val="231F20"/>
          <w:spacing w:val="13"/>
        </w:rPr>
        <w:t> </w:t>
      </w:r>
      <w:r>
        <w:rPr>
          <w:color w:val="231F20"/>
        </w:rPr>
        <w:t>de</w:t>
      </w:r>
      <w:r>
        <w:rPr>
          <w:color w:val="231F20"/>
          <w:spacing w:val="13"/>
        </w:rPr>
        <w:t> </w:t>
      </w:r>
      <w:r>
        <w:rPr>
          <w:color w:val="231F20"/>
        </w:rPr>
        <w:t>overeenkomst</w:t>
      </w:r>
      <w:r>
        <w:rPr>
          <w:color w:val="231F20"/>
          <w:spacing w:val="13"/>
        </w:rPr>
        <w:t> </w:t>
      </w:r>
      <w:r>
        <w:rPr>
          <w:color w:val="231F20"/>
        </w:rPr>
        <w:t>tussen</w:t>
      </w:r>
      <w:r>
        <w:rPr>
          <w:color w:val="231F20"/>
          <w:spacing w:val="13"/>
        </w:rPr>
        <w:t> </w:t>
      </w:r>
      <w:r>
        <w:rPr>
          <w:color w:val="231F20"/>
        </w:rPr>
        <w:t>partijen.</w:t>
      </w:r>
    </w:p>
    <w:p>
      <w:pPr>
        <w:pStyle w:val="BodyText"/>
        <w:spacing w:before="82"/>
        <w:ind w:left="283" w:right="0" w:firstLine="0"/>
        <w:jc w:val="left"/>
      </w:pPr>
      <w:r>
        <w:rPr>
          <w:color w:val="231F20"/>
        </w:rPr>
        <w:t>§</w:t>
      </w:r>
      <w:r>
        <w:rPr>
          <w:color w:val="231F20"/>
          <w:spacing w:val="14"/>
        </w:rPr>
        <w:t> </w:t>
      </w:r>
      <w:r>
        <w:rPr>
          <w:color w:val="231F20"/>
        </w:rPr>
        <w:t>2.</w:t>
      </w:r>
      <w:r>
        <w:rPr>
          <w:color w:val="231F20"/>
          <w:spacing w:val="15"/>
        </w:rPr>
        <w:t> </w:t>
      </w:r>
      <w:r>
        <w:rPr>
          <w:color w:val="231F20"/>
        </w:rPr>
        <w:t>Dit</w:t>
      </w:r>
      <w:r>
        <w:rPr>
          <w:color w:val="231F20"/>
          <w:spacing w:val="14"/>
        </w:rPr>
        <w:t> </w:t>
      </w:r>
      <w:r>
        <w:rPr>
          <w:color w:val="231F20"/>
        </w:rPr>
        <w:t>wetboek</w:t>
      </w:r>
      <w:r>
        <w:rPr>
          <w:color w:val="231F20"/>
          <w:spacing w:val="15"/>
        </w:rPr>
        <w:t> </w:t>
      </w:r>
      <w:r>
        <w:rPr>
          <w:color w:val="231F20"/>
        </w:rPr>
        <w:t>erkent</w:t>
      </w:r>
      <w:r>
        <w:rPr>
          <w:color w:val="231F20"/>
          <w:spacing w:val="15"/>
        </w:rPr>
        <w:t> </w:t>
      </w:r>
      <w:r>
        <w:rPr>
          <w:color w:val="231F20"/>
        </w:rPr>
        <w:t>als</w:t>
      </w:r>
      <w:r>
        <w:rPr>
          <w:color w:val="231F20"/>
          <w:spacing w:val="14"/>
        </w:rPr>
        <w:t> </w:t>
      </w:r>
      <w:r>
        <w:rPr>
          <w:color w:val="231F20"/>
        </w:rPr>
        <w:t>verenigingen</w:t>
      </w:r>
      <w:r>
        <w:rPr>
          <w:color w:val="231F20"/>
          <w:spacing w:val="15"/>
        </w:rPr>
        <w:t> </w:t>
      </w:r>
      <w:r>
        <w:rPr>
          <w:color w:val="231F20"/>
        </w:rPr>
        <w:t>met</w:t>
      </w:r>
      <w:r>
        <w:rPr>
          <w:color w:val="231F20"/>
          <w:spacing w:val="15"/>
        </w:rPr>
        <w:t> </w:t>
      </w:r>
      <w:r>
        <w:rPr>
          <w:color w:val="231F20"/>
        </w:rPr>
        <w:t>rechtspersoonlijkheid:</w:t>
      </w:r>
    </w:p>
    <w:p>
      <w:pPr>
        <w:pStyle w:val="BodyText"/>
        <w:spacing w:before="4"/>
        <w:ind w:left="0" w:right="0" w:firstLine="0"/>
        <w:jc w:val="left"/>
        <w:rPr>
          <w:sz w:val="22"/>
        </w:rPr>
      </w:pPr>
    </w:p>
    <w:p>
      <w:pPr>
        <w:pStyle w:val="ListParagraph"/>
        <w:numPr>
          <w:ilvl w:val="0"/>
          <w:numId w:val="1"/>
        </w:numPr>
        <w:tabs>
          <w:tab w:pos="511" w:val="left" w:leader="none"/>
        </w:tabs>
        <w:spacing w:line="240" w:lineRule="auto" w:before="0" w:after="0"/>
        <w:ind w:left="283" w:right="0" w:firstLine="0"/>
        <w:jc w:val="left"/>
        <w:rPr>
          <w:sz w:val="17"/>
        </w:rPr>
      </w:pPr>
      <w:r>
        <w:rPr>
          <w:color w:val="231F20"/>
          <w:sz w:val="17"/>
        </w:rPr>
        <w:t>de</w:t>
      </w:r>
      <w:r>
        <w:rPr>
          <w:color w:val="231F20"/>
          <w:spacing w:val="18"/>
          <w:sz w:val="17"/>
        </w:rPr>
        <w:t> </w:t>
      </w:r>
      <w:r>
        <w:rPr>
          <w:color w:val="231F20"/>
          <w:sz w:val="17"/>
        </w:rPr>
        <w:t>vereniging</w:t>
      </w:r>
      <w:r>
        <w:rPr>
          <w:color w:val="231F20"/>
          <w:spacing w:val="18"/>
          <w:sz w:val="17"/>
        </w:rPr>
        <w:t> </w:t>
      </w:r>
      <w:r>
        <w:rPr>
          <w:color w:val="231F20"/>
          <w:sz w:val="17"/>
        </w:rPr>
        <w:t>zonder</w:t>
      </w:r>
      <w:r>
        <w:rPr>
          <w:color w:val="231F20"/>
          <w:spacing w:val="18"/>
          <w:sz w:val="17"/>
        </w:rPr>
        <w:t> </w:t>
      </w:r>
      <w:r>
        <w:rPr>
          <w:color w:val="231F20"/>
          <w:sz w:val="17"/>
        </w:rPr>
        <w:t>winstoogmerk,</w:t>
      </w:r>
      <w:r>
        <w:rPr>
          <w:color w:val="231F20"/>
          <w:spacing w:val="19"/>
          <w:sz w:val="17"/>
        </w:rPr>
        <w:t> </w:t>
      </w:r>
      <w:r>
        <w:rPr>
          <w:color w:val="231F20"/>
          <w:sz w:val="17"/>
        </w:rPr>
        <w:t>afgekort</w:t>
      </w:r>
      <w:r>
        <w:rPr>
          <w:color w:val="231F20"/>
          <w:spacing w:val="18"/>
          <w:sz w:val="17"/>
        </w:rPr>
        <w:t> </w:t>
      </w:r>
      <w:r>
        <w:rPr>
          <w:color w:val="231F20"/>
          <w:sz w:val="17"/>
        </w:rPr>
        <w:t>VZW;</w:t>
      </w:r>
    </w:p>
    <w:p>
      <w:pPr>
        <w:spacing w:after="0" w:line="240" w:lineRule="auto"/>
        <w:jc w:val="left"/>
        <w:rPr>
          <w:sz w:val="17"/>
        </w:rPr>
        <w:sectPr>
          <w:headerReference w:type="default" r:id="rId5"/>
          <w:headerReference w:type="even" r:id="rId6"/>
          <w:type w:val="continuous"/>
          <w:pgSz w:w="11940" w:h="16880"/>
          <w:pgMar w:header="666" w:top="1140" w:bottom="280" w:left="340" w:right="360"/>
          <w:cols w:num="2" w:equalWidth="0">
            <w:col w:w="5527" w:space="101"/>
            <w:col w:w="5612"/>
          </w:cols>
        </w:sectPr>
      </w:pPr>
    </w:p>
    <w:p>
      <w:pPr>
        <w:pStyle w:val="ListParagraph"/>
        <w:numPr>
          <w:ilvl w:val="0"/>
          <w:numId w:val="1"/>
        </w:numPr>
        <w:tabs>
          <w:tab w:pos="511" w:val="left" w:leader="none"/>
        </w:tabs>
        <w:spacing w:line="240" w:lineRule="auto" w:before="106" w:after="0"/>
        <w:ind w:left="283" w:right="0" w:firstLine="0"/>
        <w:jc w:val="left"/>
        <w:rPr>
          <w:sz w:val="17"/>
        </w:rPr>
      </w:pPr>
      <w:r>
        <w:rPr/>
        <w:pict>
          <v:line style="position:absolute;mso-position-horizontal-relative:page;mso-position-vertical-relative:page;z-index:1048" from="298.170502pt,64.473pt" to="298.170502pt,812.819pt" stroked="true" strokeweight=".533pt" strokecolor="#231f20">
            <v:stroke dashstyle="solid"/>
            <w10:wrap type="none"/>
          </v:line>
        </w:pict>
      </w:r>
      <w:bookmarkStart w:name="_bookmark1" w:id="2"/>
      <w:bookmarkEnd w:id="2"/>
      <w:r>
        <w:rPr/>
      </w:r>
      <w:bookmarkStart w:name="_bookmark1" w:id="3"/>
      <w:bookmarkEnd w:id="3"/>
      <w:r>
        <w:rPr>
          <w:color w:val="231F20"/>
          <w:sz w:val="17"/>
        </w:rPr>
        <w:t>l</w:t>
      </w:r>
      <w:r>
        <w:rPr>
          <w:color w:val="231F20"/>
          <w:sz w:val="17"/>
        </w:rPr>
        <w:t>’association</w:t>
      </w:r>
      <w:r>
        <w:rPr>
          <w:color w:val="231F20"/>
          <w:spacing w:val="13"/>
          <w:sz w:val="17"/>
        </w:rPr>
        <w:t> </w:t>
      </w:r>
      <w:r>
        <w:rPr>
          <w:color w:val="231F20"/>
          <w:sz w:val="17"/>
        </w:rPr>
        <w:t>internationale</w:t>
      </w:r>
      <w:r>
        <w:rPr>
          <w:color w:val="231F20"/>
          <w:spacing w:val="14"/>
          <w:sz w:val="17"/>
        </w:rPr>
        <w:t> </w:t>
      </w:r>
      <w:r>
        <w:rPr>
          <w:color w:val="231F20"/>
          <w:sz w:val="17"/>
        </w:rPr>
        <w:t>sans</w:t>
      </w:r>
      <w:r>
        <w:rPr>
          <w:color w:val="231F20"/>
          <w:spacing w:val="13"/>
          <w:sz w:val="17"/>
        </w:rPr>
        <w:t> </w:t>
      </w:r>
      <w:r>
        <w:rPr>
          <w:color w:val="231F20"/>
          <w:sz w:val="17"/>
        </w:rPr>
        <w:t>but</w:t>
      </w:r>
      <w:r>
        <w:rPr>
          <w:color w:val="231F20"/>
          <w:spacing w:val="14"/>
          <w:sz w:val="17"/>
        </w:rPr>
        <w:t> </w:t>
      </w:r>
      <w:r>
        <w:rPr>
          <w:color w:val="231F20"/>
          <w:sz w:val="17"/>
        </w:rPr>
        <w:t>lucratif,</w:t>
      </w:r>
      <w:r>
        <w:rPr>
          <w:color w:val="231F20"/>
          <w:spacing w:val="14"/>
          <w:sz w:val="17"/>
        </w:rPr>
        <w:t> </w:t>
      </w:r>
      <w:r>
        <w:rPr>
          <w:color w:val="231F20"/>
          <w:sz w:val="17"/>
        </w:rPr>
        <w:t>en</w:t>
      </w:r>
      <w:r>
        <w:rPr>
          <w:color w:val="231F20"/>
          <w:spacing w:val="13"/>
          <w:sz w:val="17"/>
        </w:rPr>
        <w:t> </w:t>
      </w:r>
      <w:r>
        <w:rPr>
          <w:color w:val="231F20"/>
          <w:sz w:val="17"/>
        </w:rPr>
        <w:t>abrégé</w:t>
      </w:r>
      <w:r>
        <w:rPr>
          <w:color w:val="231F20"/>
          <w:spacing w:val="8"/>
          <w:sz w:val="17"/>
        </w:rPr>
        <w:t> </w:t>
      </w:r>
      <w:r>
        <w:rPr>
          <w:color w:val="231F20"/>
          <w:sz w:val="17"/>
        </w:rPr>
        <w:t>AISBL.</w:t>
      </w:r>
    </w:p>
    <w:p>
      <w:pPr>
        <w:pStyle w:val="BodyText"/>
        <w:spacing w:before="7"/>
        <w:ind w:left="0" w:right="0" w:firstLine="0"/>
        <w:jc w:val="left"/>
        <w:rPr>
          <w:sz w:val="22"/>
        </w:rPr>
      </w:pPr>
    </w:p>
    <w:p>
      <w:pPr>
        <w:pStyle w:val="BodyText"/>
        <w:spacing w:line="218" w:lineRule="auto" w:before="1"/>
        <w:ind w:right="98"/>
      </w:pPr>
      <w:r>
        <w:rPr>
          <w:color w:val="231F20"/>
        </w:rPr>
        <w:t>Art. 1:7. Le présent code reconnaît en tant que fondation dotée de la personnalité juridique:</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la</w:t>
      </w:r>
      <w:r>
        <w:rPr>
          <w:color w:val="231F20"/>
          <w:spacing w:val="14"/>
          <w:sz w:val="17"/>
        </w:rPr>
        <w:t> </w:t>
      </w:r>
      <w:r>
        <w:rPr>
          <w:color w:val="231F20"/>
          <w:sz w:val="17"/>
        </w:rPr>
        <w:t>fondation</w:t>
      </w:r>
      <w:r>
        <w:rPr>
          <w:color w:val="231F20"/>
          <w:spacing w:val="15"/>
          <w:sz w:val="17"/>
        </w:rPr>
        <w:t> </w:t>
      </w:r>
      <w:r>
        <w:rPr>
          <w:color w:val="231F20"/>
          <w:sz w:val="17"/>
        </w:rPr>
        <w:t>privée,</w:t>
      </w:r>
      <w:r>
        <w:rPr>
          <w:color w:val="231F20"/>
          <w:spacing w:val="15"/>
          <w:sz w:val="17"/>
        </w:rPr>
        <w:t> </w:t>
      </w:r>
      <w:r>
        <w:rPr>
          <w:color w:val="231F20"/>
          <w:sz w:val="17"/>
        </w:rPr>
        <w:t>en</w:t>
      </w:r>
      <w:r>
        <w:rPr>
          <w:color w:val="231F20"/>
          <w:spacing w:val="15"/>
          <w:sz w:val="17"/>
        </w:rPr>
        <w:t> </w:t>
      </w:r>
      <w:r>
        <w:rPr>
          <w:color w:val="231F20"/>
          <w:sz w:val="17"/>
        </w:rPr>
        <w:t>abrégé</w:t>
      </w:r>
      <w:r>
        <w:rPr>
          <w:color w:val="231F20"/>
          <w:spacing w:val="15"/>
          <w:sz w:val="17"/>
        </w:rPr>
        <w:t> </w:t>
      </w:r>
      <w:r>
        <w:rPr>
          <w:color w:val="231F20"/>
          <w:sz w:val="17"/>
        </w:rPr>
        <w:t>FP;</w:t>
      </w:r>
    </w:p>
    <w:p>
      <w:pPr>
        <w:pStyle w:val="ListParagraph"/>
        <w:numPr>
          <w:ilvl w:val="0"/>
          <w:numId w:val="1"/>
        </w:numPr>
        <w:tabs>
          <w:tab w:pos="511" w:val="left" w:leader="none"/>
        </w:tabs>
        <w:spacing w:line="324" w:lineRule="auto" w:before="68" w:after="0"/>
        <w:ind w:left="283" w:right="1507" w:firstLine="0"/>
        <w:jc w:val="left"/>
        <w:rPr>
          <w:sz w:val="17"/>
        </w:rPr>
      </w:pPr>
      <w:r>
        <w:rPr>
          <w:color w:val="231F20"/>
          <w:sz w:val="17"/>
        </w:rPr>
        <w:t>la fondation d’utilité publique, en abrégé </w:t>
      </w:r>
      <w:r>
        <w:rPr>
          <w:color w:val="231F20"/>
          <w:spacing w:val="-6"/>
          <w:sz w:val="17"/>
        </w:rPr>
        <w:t>FUP. </w:t>
      </w:r>
      <w:r>
        <w:rPr>
          <w:color w:val="231F20"/>
          <w:sz w:val="17"/>
        </w:rPr>
        <w:t>TITRE 2.</w:t>
      </w:r>
      <w:r>
        <w:rPr>
          <w:color w:val="231F20"/>
          <w:spacing w:val="-13"/>
          <w:sz w:val="17"/>
        </w:rPr>
        <w:t> </w:t>
      </w:r>
      <w:r>
        <w:rPr>
          <w:color w:val="231F20"/>
          <w:sz w:val="17"/>
        </w:rPr>
        <w:t>L’apport.</w:t>
      </w:r>
    </w:p>
    <w:p>
      <w:pPr>
        <w:pStyle w:val="BodyText"/>
        <w:spacing w:line="218" w:lineRule="auto"/>
        <w:ind w:right="97"/>
      </w:pPr>
      <w:r>
        <w:rPr>
          <w:color w:val="231F20"/>
        </w:rPr>
        <w:t>Art. 1:8</w:t>
      </w:r>
      <w:r>
        <w:rPr>
          <w:rFonts w:ascii="Times New Roman" w:hAnsi="Times New Roman"/>
          <w:i/>
          <w:color w:val="231F20"/>
        </w:rPr>
        <w:t>. </w:t>
      </w:r>
      <w:r>
        <w:rPr>
          <w:color w:val="231F20"/>
        </w:rPr>
        <w:t>§ 1</w:t>
      </w:r>
      <w:r>
        <w:rPr>
          <w:color w:val="231F20"/>
          <w:position w:val="7"/>
          <w:sz w:val="11"/>
        </w:rPr>
        <w:t>er</w:t>
      </w:r>
      <w:r>
        <w:rPr>
          <w:color w:val="231F20"/>
        </w:rPr>
        <w:t>. L’apport est l’acte par lequel une personne met quelque chose à disposition d’une société à constituer ou d’une société existante pour en devenir associé ou accroître sa part d’associé, et dès lors participer aux bénéfices.</w:t>
      </w:r>
    </w:p>
    <w:p>
      <w:pPr>
        <w:pStyle w:val="BodyText"/>
        <w:spacing w:before="71"/>
        <w:ind w:left="283" w:right="0" w:firstLine="0"/>
        <w:jc w:val="left"/>
      </w:pPr>
      <w:r>
        <w:rPr>
          <w:color w:val="231F20"/>
        </w:rPr>
        <w:t>§ 2. L’apport en numéraire est l’apport d’une somme d’argent.</w:t>
      </w:r>
    </w:p>
    <w:p>
      <w:pPr>
        <w:pStyle w:val="BodyText"/>
        <w:spacing w:line="218" w:lineRule="auto" w:before="82"/>
        <w:ind w:right="98"/>
      </w:pPr>
      <w:r>
        <w:rPr>
          <w:color w:val="231F20"/>
        </w:rPr>
        <w:t>L’apport en nature est l’apport de tout autre bien corporel ou incorporel.</w:t>
      </w:r>
    </w:p>
    <w:p>
      <w:pPr>
        <w:pStyle w:val="BodyText"/>
        <w:spacing w:line="218" w:lineRule="auto" w:before="86"/>
        <w:ind w:right="98"/>
      </w:pPr>
      <w:r>
        <w:rPr>
          <w:color w:val="231F20"/>
        </w:rPr>
        <w:t>L’apport en industrie est l’engagement d’effectuer des travaux ou des prestations de services. Il constitue une forme d’apport en nature.</w:t>
      </w:r>
    </w:p>
    <w:p>
      <w:pPr>
        <w:pStyle w:val="BodyText"/>
        <w:spacing w:line="218" w:lineRule="auto" w:before="85"/>
        <w:ind w:right="98"/>
      </w:pPr>
      <w:r>
        <w:rPr>
          <w:color w:val="231F20"/>
        </w:rPr>
        <w:t>§ 3. L’apport en numéraire ou en nature peut être en propriété ou en jouissance.</w:t>
      </w:r>
    </w:p>
    <w:p>
      <w:pPr>
        <w:pStyle w:val="BodyText"/>
        <w:spacing w:line="218" w:lineRule="auto" w:before="86"/>
        <w:ind w:right="98"/>
      </w:pPr>
      <w:r>
        <w:rPr>
          <w:color w:val="231F20"/>
        </w:rPr>
        <w:t>Il</w:t>
      </w:r>
      <w:r>
        <w:rPr>
          <w:color w:val="231F20"/>
          <w:spacing w:val="-5"/>
        </w:rPr>
        <w:t> </w:t>
      </w:r>
      <w:r>
        <w:rPr>
          <w:color w:val="231F20"/>
        </w:rPr>
        <w:t>est</w:t>
      </w:r>
      <w:r>
        <w:rPr>
          <w:color w:val="231F20"/>
          <w:spacing w:val="-4"/>
        </w:rPr>
        <w:t> </w:t>
      </w:r>
      <w:r>
        <w:rPr>
          <w:color w:val="231F20"/>
        </w:rPr>
        <w:t>en</w:t>
      </w:r>
      <w:r>
        <w:rPr>
          <w:color w:val="231F20"/>
          <w:spacing w:val="-4"/>
        </w:rPr>
        <w:t> </w:t>
      </w:r>
      <w:r>
        <w:rPr>
          <w:color w:val="231F20"/>
        </w:rPr>
        <w:t>propriété</w:t>
      </w:r>
      <w:r>
        <w:rPr>
          <w:color w:val="231F20"/>
          <w:spacing w:val="-5"/>
        </w:rPr>
        <w:t> </w:t>
      </w:r>
      <w:r>
        <w:rPr>
          <w:color w:val="231F20"/>
        </w:rPr>
        <w:t>lorsque</w:t>
      </w:r>
      <w:r>
        <w:rPr>
          <w:color w:val="231F20"/>
          <w:spacing w:val="-4"/>
        </w:rPr>
        <w:t> </w:t>
      </w:r>
      <w:r>
        <w:rPr>
          <w:color w:val="231F20"/>
        </w:rPr>
        <w:t>la</w:t>
      </w:r>
      <w:r>
        <w:rPr>
          <w:color w:val="231F20"/>
          <w:spacing w:val="-4"/>
        </w:rPr>
        <w:t> </w:t>
      </w:r>
      <w:r>
        <w:rPr>
          <w:color w:val="231F20"/>
        </w:rPr>
        <w:t>propriété</w:t>
      </w:r>
      <w:r>
        <w:rPr>
          <w:color w:val="231F20"/>
          <w:spacing w:val="-4"/>
        </w:rPr>
        <w:t> </w:t>
      </w:r>
      <w:r>
        <w:rPr>
          <w:color w:val="231F20"/>
        </w:rPr>
        <w:t>des</w:t>
      </w:r>
      <w:r>
        <w:rPr>
          <w:color w:val="231F20"/>
          <w:spacing w:val="-5"/>
        </w:rPr>
        <w:t> </w:t>
      </w:r>
      <w:r>
        <w:rPr>
          <w:color w:val="231F20"/>
        </w:rPr>
        <w:t>biens</w:t>
      </w:r>
      <w:r>
        <w:rPr>
          <w:color w:val="231F20"/>
          <w:spacing w:val="-4"/>
        </w:rPr>
        <w:t> </w:t>
      </w:r>
      <w:r>
        <w:rPr>
          <w:color w:val="231F20"/>
        </w:rPr>
        <w:t>qui</w:t>
      </w:r>
      <w:r>
        <w:rPr>
          <w:color w:val="231F20"/>
          <w:spacing w:val="-4"/>
        </w:rPr>
        <w:t> </w:t>
      </w:r>
      <w:r>
        <w:rPr>
          <w:color w:val="231F20"/>
        </w:rPr>
        <w:t>en</w:t>
      </w:r>
      <w:r>
        <w:rPr>
          <w:color w:val="231F20"/>
          <w:spacing w:val="-4"/>
        </w:rPr>
        <w:t> </w:t>
      </w:r>
      <w:r>
        <w:rPr>
          <w:color w:val="231F20"/>
        </w:rPr>
        <w:t>forment</w:t>
      </w:r>
      <w:r>
        <w:rPr>
          <w:color w:val="231F20"/>
          <w:spacing w:val="-5"/>
        </w:rPr>
        <w:t> </w:t>
      </w:r>
      <w:r>
        <w:rPr>
          <w:color w:val="231F20"/>
        </w:rPr>
        <w:t>l’objet est</w:t>
      </w:r>
      <w:r>
        <w:rPr>
          <w:color w:val="231F20"/>
          <w:spacing w:val="14"/>
        </w:rPr>
        <w:t> </w:t>
      </w:r>
      <w:r>
        <w:rPr>
          <w:color w:val="231F20"/>
        </w:rPr>
        <w:t>transmise</w:t>
      </w:r>
      <w:r>
        <w:rPr>
          <w:color w:val="231F20"/>
          <w:spacing w:val="14"/>
        </w:rPr>
        <w:t> </w:t>
      </w:r>
      <w:r>
        <w:rPr>
          <w:color w:val="231F20"/>
        </w:rPr>
        <w:t>à</w:t>
      </w:r>
      <w:r>
        <w:rPr>
          <w:color w:val="231F20"/>
          <w:spacing w:val="15"/>
        </w:rPr>
        <w:t> </w:t>
      </w:r>
      <w:r>
        <w:rPr>
          <w:color w:val="231F20"/>
        </w:rPr>
        <w:t>la</w:t>
      </w:r>
      <w:r>
        <w:rPr>
          <w:color w:val="231F20"/>
          <w:spacing w:val="14"/>
        </w:rPr>
        <w:t> </w:t>
      </w:r>
      <w:r>
        <w:rPr>
          <w:color w:val="231F20"/>
        </w:rPr>
        <w:t>société</w:t>
      </w:r>
      <w:r>
        <w:rPr>
          <w:color w:val="231F20"/>
          <w:spacing w:val="15"/>
        </w:rPr>
        <w:t> </w:t>
      </w:r>
      <w:r>
        <w:rPr>
          <w:color w:val="231F20"/>
        </w:rPr>
        <w:t>dotée</w:t>
      </w:r>
      <w:r>
        <w:rPr>
          <w:color w:val="231F20"/>
          <w:spacing w:val="14"/>
        </w:rPr>
        <w:t> </w:t>
      </w:r>
      <w:r>
        <w:rPr>
          <w:color w:val="231F20"/>
        </w:rPr>
        <w:t>ou</w:t>
      </w:r>
      <w:r>
        <w:rPr>
          <w:color w:val="231F20"/>
          <w:spacing w:val="15"/>
        </w:rPr>
        <w:t> </w:t>
      </w:r>
      <w:r>
        <w:rPr>
          <w:color w:val="231F20"/>
        </w:rPr>
        <w:t>non</w:t>
      </w:r>
      <w:r>
        <w:rPr>
          <w:color w:val="231F20"/>
          <w:spacing w:val="14"/>
        </w:rPr>
        <w:t> </w:t>
      </w:r>
      <w:r>
        <w:rPr>
          <w:color w:val="231F20"/>
        </w:rPr>
        <w:t>de</w:t>
      </w:r>
      <w:r>
        <w:rPr>
          <w:color w:val="231F20"/>
          <w:spacing w:val="15"/>
        </w:rPr>
        <w:t> </w:t>
      </w:r>
      <w:r>
        <w:rPr>
          <w:color w:val="231F20"/>
        </w:rPr>
        <w:t>la</w:t>
      </w:r>
      <w:r>
        <w:rPr>
          <w:color w:val="231F20"/>
          <w:spacing w:val="14"/>
        </w:rPr>
        <w:t> </w:t>
      </w:r>
      <w:r>
        <w:rPr>
          <w:color w:val="231F20"/>
        </w:rPr>
        <w:t>personnalité</w:t>
      </w:r>
      <w:r>
        <w:rPr>
          <w:color w:val="231F20"/>
          <w:spacing w:val="15"/>
        </w:rPr>
        <w:t> </w:t>
      </w:r>
      <w:r>
        <w:rPr>
          <w:color w:val="231F20"/>
        </w:rPr>
        <w:t>juridique.</w:t>
      </w:r>
    </w:p>
    <w:p>
      <w:pPr>
        <w:pStyle w:val="BodyText"/>
        <w:spacing w:before="11"/>
        <w:ind w:left="0" w:right="0" w:firstLine="0"/>
        <w:jc w:val="left"/>
        <w:rPr>
          <w:sz w:val="22"/>
        </w:rPr>
      </w:pPr>
    </w:p>
    <w:p>
      <w:pPr>
        <w:pStyle w:val="BodyText"/>
        <w:spacing w:line="218" w:lineRule="auto"/>
        <w:ind w:right="98"/>
      </w:pPr>
      <w:r>
        <w:rPr>
          <w:color w:val="231F20"/>
        </w:rPr>
        <w:t>Il est en jouissance lorsqu’il est seulement mis à disposition de la société pour qu’elle puisse en user et en recueillir les fruits.</w:t>
      </w:r>
    </w:p>
    <w:p>
      <w:pPr>
        <w:pStyle w:val="BodyText"/>
        <w:spacing w:before="8"/>
        <w:ind w:left="0" w:right="0" w:firstLine="0"/>
        <w:jc w:val="left"/>
        <w:rPr>
          <w:sz w:val="21"/>
        </w:rPr>
      </w:pPr>
    </w:p>
    <w:p>
      <w:pPr>
        <w:pStyle w:val="BodyText"/>
        <w:spacing w:line="218" w:lineRule="auto"/>
        <w:ind w:right="98"/>
      </w:pPr>
      <w:r>
        <w:rPr>
          <w:color w:val="231F20"/>
        </w:rPr>
        <w:t>Art. 1:9</w:t>
      </w:r>
      <w:r>
        <w:rPr>
          <w:rFonts w:ascii="Times New Roman" w:hAnsi="Times New Roman"/>
          <w:i/>
          <w:color w:val="231F20"/>
        </w:rPr>
        <w:t>. </w:t>
      </w:r>
      <w:r>
        <w:rPr>
          <w:color w:val="231F20"/>
        </w:rPr>
        <w:t>§ 1</w:t>
      </w:r>
      <w:r>
        <w:rPr>
          <w:color w:val="231F20"/>
          <w:position w:val="7"/>
          <w:sz w:val="11"/>
        </w:rPr>
        <w:t>er</w:t>
      </w:r>
      <w:r>
        <w:rPr>
          <w:color w:val="231F20"/>
        </w:rPr>
        <w:t>. Chaque associé est débiteur envers la société de ce qu’il a promis d’apporter.</w:t>
      </w:r>
    </w:p>
    <w:p>
      <w:pPr>
        <w:pStyle w:val="BodyText"/>
        <w:spacing w:before="71"/>
        <w:ind w:left="283" w:right="0" w:firstLine="0"/>
        <w:jc w:val="left"/>
      </w:pPr>
      <w:r>
        <w:rPr>
          <w:color w:val="231F20"/>
        </w:rPr>
        <w:t>§ 2. Sauf convention contraire:</w:t>
      </w:r>
    </w:p>
    <w:p>
      <w:pPr>
        <w:pStyle w:val="BodyText"/>
        <w:spacing w:line="218" w:lineRule="auto" w:before="82"/>
        <w:ind w:right="98"/>
      </w:pPr>
      <w:r>
        <w:rPr>
          <w:color w:val="231F20"/>
        </w:rPr>
        <w:t>1° le débiteur d’un apport en numéraire devient, de plein droit et  sans mise en demeure, débiteur des intérêts de cette somme à compter du</w:t>
      </w:r>
      <w:r>
        <w:rPr>
          <w:color w:val="231F20"/>
          <w:spacing w:val="15"/>
        </w:rPr>
        <w:t> </w:t>
      </w:r>
      <w:r>
        <w:rPr>
          <w:color w:val="231F20"/>
        </w:rPr>
        <w:t>jour</w:t>
      </w:r>
      <w:r>
        <w:rPr>
          <w:color w:val="231F20"/>
          <w:spacing w:val="15"/>
        </w:rPr>
        <w:t> </w:t>
      </w:r>
      <w:r>
        <w:rPr>
          <w:color w:val="231F20"/>
        </w:rPr>
        <w:t>où</w:t>
      </w:r>
      <w:r>
        <w:rPr>
          <w:color w:val="231F20"/>
          <w:spacing w:val="15"/>
        </w:rPr>
        <w:t> </w:t>
      </w:r>
      <w:r>
        <w:rPr>
          <w:color w:val="231F20"/>
        </w:rPr>
        <w:t>elle</w:t>
      </w:r>
      <w:r>
        <w:rPr>
          <w:color w:val="231F20"/>
          <w:spacing w:val="15"/>
        </w:rPr>
        <w:t> </w:t>
      </w:r>
      <w:r>
        <w:rPr>
          <w:color w:val="231F20"/>
        </w:rPr>
        <w:t>était</w:t>
      </w:r>
      <w:r>
        <w:rPr>
          <w:color w:val="231F20"/>
          <w:spacing w:val="15"/>
        </w:rPr>
        <w:t> </w:t>
      </w:r>
      <w:r>
        <w:rPr>
          <w:color w:val="231F20"/>
        </w:rPr>
        <w:t>exigible;</w:t>
      </w:r>
    </w:p>
    <w:p>
      <w:pPr>
        <w:pStyle w:val="BodyText"/>
        <w:spacing w:line="218" w:lineRule="auto" w:before="86"/>
        <w:ind w:right="98"/>
      </w:pPr>
      <w:r>
        <w:rPr>
          <w:color w:val="231F20"/>
        </w:rPr>
        <w:t>2° le débiteur d’un apport en nature en propriété est tenu de la même manière qu’un vendeur vis-à-vis de son acheteur;</w:t>
      </w:r>
    </w:p>
    <w:p>
      <w:pPr>
        <w:pStyle w:val="BodyText"/>
        <w:spacing w:line="218" w:lineRule="auto" w:before="85"/>
        <w:ind w:right="98"/>
      </w:pPr>
      <w:r>
        <w:rPr>
          <w:color w:val="231F20"/>
        </w:rPr>
        <w:t>3° le débiteur d’un apport en industrie doit rendre compte à la</w:t>
      </w:r>
      <w:r>
        <w:rPr>
          <w:color w:val="231F20"/>
          <w:spacing w:val="-13"/>
        </w:rPr>
        <w:t> </w:t>
      </w:r>
      <w:r>
        <w:rPr>
          <w:color w:val="231F20"/>
        </w:rPr>
        <w:t>société de tous les profits liés directement ou indirectement à l’activité qu’il a apportée.</w:t>
      </w:r>
      <w:r>
        <w:rPr>
          <w:color w:val="231F20"/>
          <w:spacing w:val="-3"/>
        </w:rPr>
        <w:t> </w:t>
      </w:r>
      <w:r>
        <w:rPr>
          <w:color w:val="231F20"/>
        </w:rPr>
        <w:t>Il</w:t>
      </w:r>
      <w:r>
        <w:rPr>
          <w:color w:val="231F20"/>
          <w:spacing w:val="-3"/>
        </w:rPr>
        <w:t> </w:t>
      </w:r>
      <w:r>
        <w:rPr>
          <w:color w:val="231F20"/>
        </w:rPr>
        <w:t>ne</w:t>
      </w:r>
      <w:r>
        <w:rPr>
          <w:color w:val="231F20"/>
          <w:spacing w:val="-3"/>
        </w:rPr>
        <w:t> </w:t>
      </w:r>
      <w:r>
        <w:rPr>
          <w:color w:val="231F20"/>
        </w:rPr>
        <w:t>peut</w:t>
      </w:r>
      <w:r>
        <w:rPr>
          <w:color w:val="231F20"/>
          <w:spacing w:val="-3"/>
        </w:rPr>
        <w:t> </w:t>
      </w:r>
      <w:r>
        <w:rPr>
          <w:color w:val="231F20"/>
        </w:rPr>
        <w:t>faire</w:t>
      </w:r>
      <w:r>
        <w:rPr>
          <w:color w:val="231F20"/>
          <w:spacing w:val="-3"/>
        </w:rPr>
        <w:t> </w:t>
      </w:r>
      <w:r>
        <w:rPr>
          <w:color w:val="231F20"/>
        </w:rPr>
        <w:t>directement</w:t>
      </w:r>
      <w:r>
        <w:rPr>
          <w:color w:val="231F20"/>
          <w:spacing w:val="-3"/>
        </w:rPr>
        <w:t> </w:t>
      </w:r>
      <w:r>
        <w:rPr>
          <w:color w:val="231F20"/>
        </w:rPr>
        <w:t>ou</w:t>
      </w:r>
      <w:r>
        <w:rPr>
          <w:color w:val="231F20"/>
          <w:spacing w:val="-3"/>
        </w:rPr>
        <w:t> </w:t>
      </w:r>
      <w:r>
        <w:rPr>
          <w:color w:val="231F20"/>
        </w:rPr>
        <w:t>indirectement</w:t>
      </w:r>
      <w:r>
        <w:rPr>
          <w:color w:val="231F20"/>
          <w:spacing w:val="-3"/>
        </w:rPr>
        <w:t> </w:t>
      </w:r>
      <w:r>
        <w:rPr>
          <w:color w:val="231F20"/>
        </w:rPr>
        <w:t>concurrence</w:t>
      </w:r>
      <w:r>
        <w:rPr>
          <w:color w:val="231F20"/>
          <w:spacing w:val="-3"/>
        </w:rPr>
        <w:t> </w:t>
      </w:r>
      <w:r>
        <w:rPr>
          <w:color w:val="231F20"/>
        </w:rPr>
        <w:t>à</w:t>
      </w:r>
      <w:r>
        <w:rPr>
          <w:color w:val="231F20"/>
          <w:spacing w:val="-3"/>
        </w:rPr>
        <w:t> </w:t>
      </w:r>
      <w:r>
        <w:rPr>
          <w:color w:val="231F20"/>
        </w:rPr>
        <w:t>la société pendant toute la durée de son apport, ni développer aucune activité qui serait de nature à nuire à la société ou à réduire la valeur de son</w:t>
      </w:r>
      <w:r>
        <w:rPr>
          <w:color w:val="231F20"/>
          <w:spacing w:val="15"/>
        </w:rPr>
        <w:t> </w:t>
      </w:r>
      <w:r>
        <w:rPr>
          <w:color w:val="231F20"/>
        </w:rPr>
        <w:t>apport.</w:t>
      </w:r>
    </w:p>
    <w:p>
      <w:pPr>
        <w:pStyle w:val="BodyText"/>
        <w:spacing w:before="8"/>
        <w:ind w:left="0" w:right="0" w:firstLine="0"/>
        <w:jc w:val="left"/>
        <w:rPr>
          <w:sz w:val="21"/>
        </w:rPr>
      </w:pPr>
    </w:p>
    <w:p>
      <w:pPr>
        <w:pStyle w:val="BodyText"/>
        <w:spacing w:line="218" w:lineRule="auto"/>
        <w:ind w:right="98"/>
      </w:pPr>
      <w:r>
        <w:rPr>
          <w:color w:val="231F20"/>
        </w:rPr>
        <w:t>Art. 1:10</w:t>
      </w:r>
      <w:r>
        <w:rPr>
          <w:rFonts w:ascii="Times New Roman" w:hAnsi="Times New Roman"/>
          <w:i/>
          <w:color w:val="231F20"/>
        </w:rPr>
        <w:t>. </w:t>
      </w:r>
      <w:r>
        <w:rPr>
          <w:color w:val="231F20"/>
        </w:rPr>
        <w:t>§ 1</w:t>
      </w:r>
      <w:r>
        <w:rPr>
          <w:color w:val="231F20"/>
          <w:position w:val="7"/>
          <w:sz w:val="11"/>
        </w:rPr>
        <w:t>er</w:t>
      </w:r>
      <w:r>
        <w:rPr>
          <w:color w:val="231F20"/>
        </w:rPr>
        <w:t>. Sauf convention contraire, la chose certaine faisant l’objet d’un apport en propriété est aux risques de la société conformé- ment à l’article 1138 du Code civil dès qu’il y a accord sur cet apport.</w:t>
      </w:r>
    </w:p>
    <w:p>
      <w:pPr>
        <w:pStyle w:val="BodyText"/>
        <w:ind w:left="0" w:right="0" w:firstLine="0"/>
        <w:jc w:val="left"/>
        <w:rPr>
          <w:sz w:val="23"/>
        </w:rPr>
      </w:pPr>
    </w:p>
    <w:p>
      <w:pPr>
        <w:pStyle w:val="BodyText"/>
        <w:spacing w:line="218" w:lineRule="auto"/>
        <w:ind w:right="98"/>
      </w:pPr>
      <w:r>
        <w:rPr>
          <w:color w:val="231F20"/>
        </w:rPr>
        <w:t>Si l’apport en propriété porte sur des choses fongibles celles-ci sont aux risques de la société à compter de leur délivrance.</w:t>
      </w:r>
    </w:p>
    <w:p>
      <w:pPr>
        <w:pStyle w:val="BodyText"/>
        <w:ind w:left="0" w:right="0" w:firstLine="0"/>
        <w:jc w:val="left"/>
        <w:rPr>
          <w:sz w:val="23"/>
        </w:rPr>
      </w:pPr>
    </w:p>
    <w:p>
      <w:pPr>
        <w:pStyle w:val="BodyText"/>
        <w:spacing w:line="218" w:lineRule="auto"/>
        <w:ind w:right="97"/>
      </w:pPr>
      <w:r>
        <w:rPr>
          <w:color w:val="231F20"/>
        </w:rPr>
        <w:t>§ 2. Sauf convention contraire, si l’apport en jouissance porte sur des choses certaines qui ne se consomment pas par l’usage et ne sont pas destinées à être vendues, ces choses sont aux risques de l’associé qui en a effectué l’apport et est créancier de leur restitution.</w:t>
      </w:r>
    </w:p>
    <w:p>
      <w:pPr>
        <w:pStyle w:val="BodyText"/>
        <w:spacing w:line="218" w:lineRule="auto" w:before="86"/>
        <w:ind w:right="98"/>
      </w:pPr>
      <w:r>
        <w:rPr>
          <w:color w:val="231F20"/>
        </w:rPr>
        <w:t>Si l’apport en jouissance porte sur des choses fongibles ou des corps certains qui se consomment ou sont destinés à être vendus, ces choses sont aux risques de la société.</w:t>
      </w:r>
    </w:p>
    <w:p>
      <w:pPr>
        <w:pStyle w:val="BodyText"/>
        <w:spacing w:before="72"/>
        <w:ind w:left="283" w:right="0" w:firstLine="0"/>
        <w:jc w:val="left"/>
      </w:pPr>
      <w:r>
        <w:rPr>
          <w:color w:val="231F20"/>
        </w:rPr>
        <w:t>TITRE 3. Sociétés cotées et entités d’intérêt public.</w:t>
      </w:r>
    </w:p>
    <w:p>
      <w:pPr>
        <w:pStyle w:val="BodyText"/>
        <w:spacing w:before="7"/>
        <w:ind w:left="0" w:right="0" w:firstLine="0"/>
        <w:jc w:val="left"/>
        <w:rPr>
          <w:sz w:val="23"/>
        </w:rPr>
      </w:pPr>
    </w:p>
    <w:p>
      <w:pPr>
        <w:pStyle w:val="BodyText"/>
        <w:spacing w:line="218" w:lineRule="auto"/>
        <w:ind w:right="41"/>
        <w:jc w:val="left"/>
      </w:pPr>
      <w:r>
        <w:rPr>
          <w:color w:val="231F20"/>
        </w:rPr>
        <w:t>Art. 1:11. Par “société cotée”, il faut entendre la société dont les actions, les parts bénéficiaires ou les certificats se rapportant à ces actions sont admis aux négociations sur un marché réglementé </w:t>
      </w:r>
      <w:r>
        <w:rPr>
          <w:color w:val="231F20"/>
          <w:spacing w:val="4"/>
        </w:rPr>
        <w:t>visé </w:t>
      </w:r>
      <w:r>
        <w:rPr>
          <w:color w:val="231F20"/>
        </w:rPr>
        <w:t>à l’article 3, 7°, de la loi du 21 novembre 2017 relative aux infrastructures des marchés d’instruments financiers et portant transposition de la directive</w:t>
      </w:r>
      <w:r>
        <w:rPr>
          <w:color w:val="231F20"/>
          <w:spacing w:val="15"/>
        </w:rPr>
        <w:t> </w:t>
      </w:r>
      <w:r>
        <w:rPr>
          <w:color w:val="231F20"/>
        </w:rPr>
        <w:t>2014/65/UE.</w:t>
      </w:r>
    </w:p>
    <w:p>
      <w:pPr>
        <w:pStyle w:val="BodyText"/>
        <w:spacing w:before="11"/>
        <w:ind w:left="0" w:right="0" w:firstLine="0"/>
        <w:jc w:val="left"/>
        <w:rPr>
          <w:sz w:val="23"/>
        </w:rPr>
      </w:pPr>
    </w:p>
    <w:p>
      <w:pPr>
        <w:pStyle w:val="BodyText"/>
        <w:spacing w:line="218" w:lineRule="auto"/>
        <w:ind w:right="99"/>
      </w:pPr>
      <w:r>
        <w:rPr>
          <w:color w:val="231F20"/>
        </w:rPr>
        <w:t>Le Roi peut rendre les dispositions qui s’appliquent aux sociétés cotées applicables en tout ou en partie aux sociétés dont les actions ou les certificats se rapportant à ces actions sont négociés sur un système multilatéral de négociation visé à l’article 3, 7°, de la loi du 21 novem- bre 2017 relative aux infrastructures des marchés d’instruments finan- ciers et portant transposition de la directive 2014/65/UE, ou sur un système organisé de négociation au sens de l’article 3, 13°, de la loi précitée.</w:t>
      </w:r>
    </w:p>
    <w:p>
      <w:pPr>
        <w:pStyle w:val="BodyText"/>
        <w:spacing w:before="8"/>
        <w:ind w:left="0" w:right="0" w:firstLine="0"/>
        <w:jc w:val="left"/>
        <w:rPr>
          <w:sz w:val="22"/>
        </w:rPr>
      </w:pPr>
    </w:p>
    <w:p>
      <w:pPr>
        <w:pStyle w:val="BodyText"/>
        <w:spacing w:line="338" w:lineRule="auto"/>
        <w:ind w:left="283" w:right="1102" w:hanging="1"/>
        <w:jc w:val="left"/>
      </w:pPr>
      <w:r>
        <w:rPr>
          <w:color w:val="231F20"/>
        </w:rPr>
        <w:t>Art. 1:12. Par “entité d’intérêt public”, il faut entendre: 1°</w:t>
      </w:r>
      <w:r>
        <w:rPr>
          <w:color w:val="231F20"/>
          <w:spacing w:val="15"/>
        </w:rPr>
        <w:t> </w:t>
      </w:r>
      <w:r>
        <w:rPr>
          <w:color w:val="231F20"/>
        </w:rPr>
        <w:t>les</w:t>
      </w:r>
      <w:r>
        <w:rPr>
          <w:color w:val="231F20"/>
          <w:spacing w:val="15"/>
        </w:rPr>
        <w:t> </w:t>
      </w:r>
      <w:r>
        <w:rPr>
          <w:color w:val="231F20"/>
        </w:rPr>
        <w:t>sociétés</w:t>
      </w:r>
      <w:r>
        <w:rPr>
          <w:color w:val="231F20"/>
          <w:spacing w:val="16"/>
        </w:rPr>
        <w:t> </w:t>
      </w:r>
      <w:r>
        <w:rPr>
          <w:color w:val="231F20"/>
        </w:rPr>
        <w:t>cotées</w:t>
      </w:r>
      <w:r>
        <w:rPr>
          <w:color w:val="231F20"/>
          <w:spacing w:val="15"/>
        </w:rPr>
        <w:t> </w:t>
      </w:r>
      <w:r>
        <w:rPr>
          <w:color w:val="231F20"/>
        </w:rPr>
        <w:t>visées</w:t>
      </w:r>
      <w:r>
        <w:rPr>
          <w:color w:val="231F20"/>
          <w:spacing w:val="16"/>
        </w:rPr>
        <w:t> </w:t>
      </w:r>
      <w:r>
        <w:rPr>
          <w:color w:val="231F20"/>
        </w:rPr>
        <w:t>à</w:t>
      </w:r>
      <w:r>
        <w:rPr>
          <w:color w:val="231F20"/>
          <w:spacing w:val="15"/>
        </w:rPr>
        <w:t> </w:t>
      </w:r>
      <w:r>
        <w:rPr>
          <w:color w:val="231F20"/>
        </w:rPr>
        <w:t>l’article</w:t>
      </w:r>
      <w:r>
        <w:rPr>
          <w:color w:val="231F20"/>
          <w:spacing w:val="15"/>
        </w:rPr>
        <w:t> </w:t>
      </w:r>
      <w:r>
        <w:rPr>
          <w:color w:val="231F20"/>
        </w:rPr>
        <w:t>1:11;</w:t>
      </w:r>
    </w:p>
    <w:p>
      <w:pPr>
        <w:pStyle w:val="ListParagraph"/>
        <w:numPr>
          <w:ilvl w:val="0"/>
          <w:numId w:val="1"/>
        </w:numPr>
        <w:tabs>
          <w:tab w:pos="569" w:val="left" w:leader="none"/>
        </w:tabs>
        <w:spacing w:line="218" w:lineRule="auto" w:before="119" w:after="0"/>
        <w:ind w:left="113" w:right="124" w:firstLine="170"/>
        <w:jc w:val="both"/>
        <w:rPr>
          <w:sz w:val="17"/>
        </w:rPr>
      </w:pPr>
      <w:r>
        <w:rPr>
          <w:color w:val="231F20"/>
          <w:w w:val="103"/>
          <w:sz w:val="17"/>
        </w:rPr>
        <w:br w:type="column"/>
      </w:r>
      <w:r>
        <w:rPr>
          <w:color w:val="231F20"/>
          <w:sz w:val="17"/>
        </w:rPr>
        <w:t>de internationale vereniging zonder winstoogmerk, afgekort </w:t>
      </w:r>
      <w:r>
        <w:rPr>
          <w:color w:val="231F20"/>
          <w:spacing w:val="-4"/>
          <w:sz w:val="17"/>
        </w:rPr>
        <w:t>IVZW.</w:t>
      </w:r>
    </w:p>
    <w:p>
      <w:pPr>
        <w:pStyle w:val="BodyText"/>
        <w:spacing w:before="72"/>
        <w:ind w:left="283" w:right="0" w:firstLine="0"/>
        <w:jc w:val="left"/>
      </w:pPr>
      <w:r>
        <w:rPr>
          <w:color w:val="231F20"/>
        </w:rPr>
        <w:t>Art.</w:t>
      </w:r>
      <w:r>
        <w:rPr>
          <w:color w:val="231F20"/>
          <w:spacing w:val="14"/>
        </w:rPr>
        <w:t> </w:t>
      </w:r>
      <w:r>
        <w:rPr>
          <w:color w:val="231F20"/>
        </w:rPr>
        <w:t>1:7.</w:t>
      </w:r>
      <w:r>
        <w:rPr>
          <w:color w:val="231F20"/>
          <w:spacing w:val="15"/>
        </w:rPr>
        <w:t> </w:t>
      </w:r>
      <w:r>
        <w:rPr>
          <w:color w:val="231F20"/>
        </w:rPr>
        <w:t>Dit</w:t>
      </w:r>
      <w:r>
        <w:rPr>
          <w:color w:val="231F20"/>
          <w:spacing w:val="15"/>
        </w:rPr>
        <w:t> </w:t>
      </w:r>
      <w:r>
        <w:rPr>
          <w:color w:val="231F20"/>
        </w:rPr>
        <w:t>wetboek</w:t>
      </w:r>
      <w:r>
        <w:rPr>
          <w:color w:val="231F20"/>
          <w:spacing w:val="15"/>
        </w:rPr>
        <w:t> </w:t>
      </w:r>
      <w:r>
        <w:rPr>
          <w:color w:val="231F20"/>
        </w:rPr>
        <w:t>erkent</w:t>
      </w:r>
      <w:r>
        <w:rPr>
          <w:color w:val="231F20"/>
          <w:spacing w:val="15"/>
        </w:rPr>
        <w:t> </w:t>
      </w:r>
      <w:r>
        <w:rPr>
          <w:color w:val="231F20"/>
        </w:rPr>
        <w:t>als</w:t>
      </w:r>
      <w:r>
        <w:rPr>
          <w:color w:val="231F20"/>
          <w:spacing w:val="15"/>
        </w:rPr>
        <w:t> </w:t>
      </w:r>
      <w:r>
        <w:rPr>
          <w:color w:val="231F20"/>
        </w:rPr>
        <w:t>stichting</w:t>
      </w:r>
      <w:r>
        <w:rPr>
          <w:color w:val="231F20"/>
          <w:spacing w:val="15"/>
        </w:rPr>
        <w:t> </w:t>
      </w:r>
      <w:r>
        <w:rPr>
          <w:color w:val="231F20"/>
        </w:rPr>
        <w:t>met</w:t>
      </w:r>
      <w:r>
        <w:rPr>
          <w:color w:val="231F20"/>
          <w:spacing w:val="15"/>
        </w:rPr>
        <w:t> </w:t>
      </w:r>
      <w:r>
        <w:rPr>
          <w:color w:val="231F20"/>
        </w:rPr>
        <w:t>rechtspersoonlijkheid:</w:t>
      </w:r>
    </w:p>
    <w:p>
      <w:pPr>
        <w:pStyle w:val="BodyText"/>
        <w:spacing w:before="5"/>
        <w:ind w:left="0" w:right="0" w:firstLine="0"/>
        <w:jc w:val="left"/>
        <w:rPr>
          <w:sz w:val="21"/>
        </w:rPr>
      </w:pPr>
    </w:p>
    <w:p>
      <w:pPr>
        <w:pStyle w:val="ListParagraph"/>
        <w:numPr>
          <w:ilvl w:val="0"/>
          <w:numId w:val="1"/>
        </w:numPr>
        <w:tabs>
          <w:tab w:pos="511" w:val="left" w:leader="none"/>
        </w:tabs>
        <w:spacing w:line="240" w:lineRule="auto" w:before="0" w:after="0"/>
        <w:ind w:left="283" w:right="0" w:firstLine="0"/>
        <w:jc w:val="left"/>
        <w:rPr>
          <w:sz w:val="17"/>
        </w:rPr>
      </w:pPr>
      <w:r>
        <w:rPr>
          <w:color w:val="231F20"/>
          <w:sz w:val="17"/>
        </w:rPr>
        <w:t>de private stichting, afgekort</w:t>
      </w:r>
      <w:r>
        <w:rPr>
          <w:color w:val="231F20"/>
          <w:spacing w:val="19"/>
          <w:sz w:val="17"/>
        </w:rPr>
        <w:t> </w:t>
      </w:r>
      <w:r>
        <w:rPr>
          <w:color w:val="231F20"/>
          <w:sz w:val="17"/>
        </w:rPr>
        <w:t>PS;</w:t>
      </w:r>
    </w:p>
    <w:p>
      <w:pPr>
        <w:pStyle w:val="ListParagraph"/>
        <w:numPr>
          <w:ilvl w:val="0"/>
          <w:numId w:val="1"/>
        </w:numPr>
        <w:tabs>
          <w:tab w:pos="511" w:val="left" w:leader="none"/>
        </w:tabs>
        <w:spacing w:line="324" w:lineRule="auto" w:before="68" w:after="0"/>
        <w:ind w:left="283" w:right="1594" w:firstLine="0"/>
        <w:jc w:val="left"/>
        <w:rPr>
          <w:sz w:val="17"/>
        </w:rPr>
      </w:pPr>
      <w:r>
        <w:rPr>
          <w:color w:val="231F20"/>
          <w:sz w:val="17"/>
        </w:rPr>
        <w:t>de stichting van openbaar nut, afgekort SON. TITEL 2.</w:t>
      </w:r>
      <w:r>
        <w:rPr>
          <w:color w:val="231F20"/>
          <w:spacing w:val="22"/>
          <w:sz w:val="17"/>
        </w:rPr>
        <w:t> </w:t>
      </w:r>
      <w:r>
        <w:rPr>
          <w:color w:val="231F20"/>
          <w:sz w:val="17"/>
        </w:rPr>
        <w:t>Inbreng.</w:t>
      </w:r>
    </w:p>
    <w:p>
      <w:pPr>
        <w:pStyle w:val="BodyText"/>
        <w:spacing w:line="218" w:lineRule="auto" w:before="12"/>
      </w:pPr>
      <w:r>
        <w:rPr>
          <w:color w:val="231F20"/>
        </w:rPr>
        <w:t>Art. 1:8</w:t>
      </w:r>
      <w:r>
        <w:rPr>
          <w:rFonts w:ascii="Times New Roman" w:hAnsi="Times New Roman"/>
          <w:i/>
          <w:color w:val="231F20"/>
        </w:rPr>
        <w:t>. </w:t>
      </w:r>
      <w:r>
        <w:rPr>
          <w:color w:val="231F20"/>
        </w:rPr>
        <w:t>§ 1. De inbreng is de handeling waarbij een persoon iets ter beschikking stelt van een op te richten of een bestaande vennootschap, met het oogmerk vennoot ervan te worden of zijn aandeel in de vennootschap te vergroten, en derhalve deel te nemen in de winst.</w:t>
      </w:r>
    </w:p>
    <w:p>
      <w:pPr>
        <w:pStyle w:val="BodyText"/>
        <w:spacing w:before="72"/>
        <w:ind w:left="283" w:right="0" w:firstLine="0"/>
        <w:jc w:val="left"/>
      </w:pPr>
      <w:r>
        <w:rPr>
          <w:color w:val="231F20"/>
        </w:rPr>
        <w:t>§ 2. De inbreng in geld is de inbreng van een geldsom.</w:t>
      </w:r>
    </w:p>
    <w:p>
      <w:pPr>
        <w:pStyle w:val="BodyText"/>
        <w:spacing w:line="218" w:lineRule="auto" w:before="82"/>
      </w:pPr>
      <w:r>
        <w:rPr>
          <w:color w:val="231F20"/>
        </w:rPr>
        <w:t>De inbreng in natura is de inbreng van enig ander lichamelijk of onlichamelijk goed.</w:t>
      </w:r>
    </w:p>
    <w:p>
      <w:pPr>
        <w:pStyle w:val="BodyText"/>
        <w:spacing w:line="218" w:lineRule="auto" w:before="85"/>
      </w:pPr>
      <w:r>
        <w:rPr>
          <w:color w:val="231F20"/>
        </w:rPr>
        <w:t>De inbreng in nijverheid is een verbintenis om arbeid of diensten te presteren. Hij vormt een inbreng in natura.</w:t>
      </w:r>
    </w:p>
    <w:p>
      <w:pPr>
        <w:pStyle w:val="BodyText"/>
        <w:spacing w:line="218" w:lineRule="auto" w:before="86"/>
      </w:pPr>
      <w:r>
        <w:rPr>
          <w:color w:val="231F20"/>
        </w:rPr>
        <w:t>§ 3. De inbreng in geld of in natura kan in eigendom of in genot gebeuren.</w:t>
      </w:r>
    </w:p>
    <w:p>
      <w:pPr>
        <w:pStyle w:val="BodyText"/>
        <w:spacing w:line="218" w:lineRule="auto" w:before="85"/>
      </w:pPr>
      <w:r>
        <w:rPr>
          <w:color w:val="231F20"/>
        </w:rPr>
        <w:t>Hij gebeurt in eigendom wanneer de eigendom van de goederen wordt overgedragen aan de vennootschap met of zonder rechtspersoon- lijkheid.</w:t>
      </w:r>
    </w:p>
    <w:p>
      <w:pPr>
        <w:pStyle w:val="BodyText"/>
        <w:spacing w:line="218" w:lineRule="auto" w:before="86"/>
      </w:pPr>
      <w:r>
        <w:rPr>
          <w:color w:val="231F20"/>
        </w:rPr>
        <w:t>Hij gebeurt in genot wanneer hij enkel ter beschikking wordt gesteld van de vennootschap zodat zij ervan gebruik kan maken en de opbrengst ervan kan genieten.</w:t>
      </w:r>
    </w:p>
    <w:p>
      <w:pPr>
        <w:pStyle w:val="BodyText"/>
        <w:spacing w:line="218" w:lineRule="auto" w:before="83"/>
      </w:pPr>
      <w:r>
        <w:rPr>
          <w:color w:val="231F20"/>
        </w:rPr>
        <w:t>Art. 1:9</w:t>
      </w:r>
      <w:r>
        <w:rPr>
          <w:rFonts w:ascii="Times New Roman" w:hAnsi="Times New Roman"/>
          <w:i/>
          <w:color w:val="231F20"/>
        </w:rPr>
        <w:t>. </w:t>
      </w:r>
      <w:r>
        <w:rPr>
          <w:color w:val="231F20"/>
        </w:rPr>
        <w:t>§ 1. Iedere vennoot is aan de vennootschap verschuldigd wat hij heeft beloofd te zullen inbrengen.</w:t>
      </w:r>
    </w:p>
    <w:p>
      <w:pPr>
        <w:pStyle w:val="BodyText"/>
        <w:spacing w:before="71"/>
        <w:ind w:left="283" w:right="0" w:firstLine="0"/>
        <w:jc w:val="left"/>
      </w:pPr>
      <w:r>
        <w:rPr>
          <w:color w:val="231F20"/>
        </w:rPr>
        <w:t>§ 2. Tenzij anders is overeengekomen:</w:t>
      </w:r>
    </w:p>
    <w:p>
      <w:pPr>
        <w:pStyle w:val="BodyText"/>
        <w:spacing w:line="218" w:lineRule="auto" w:before="82"/>
      </w:pPr>
      <w:r>
        <w:rPr>
          <w:color w:val="231F20"/>
        </w:rPr>
        <w:t>1° is de schuldenaar van een inbreng in geld van rechtswege en zonder een ingebrekestelling, de interest van die som verschuldigd, te rekenen van de dag waarop zij opeisbaar was;</w:t>
      </w:r>
    </w:p>
    <w:p>
      <w:pPr>
        <w:pStyle w:val="BodyText"/>
        <w:spacing w:line="218" w:lineRule="auto" w:before="86"/>
      </w:pPr>
      <w:r>
        <w:rPr>
          <w:color w:val="231F20"/>
        </w:rPr>
        <w:t>2° is de schuldenaar van een inbreng in natura in eigendom op dezelfde wijze verbonden als een verkoper ten aanzien van zijn koper;</w:t>
      </w:r>
    </w:p>
    <w:p>
      <w:pPr>
        <w:pStyle w:val="BodyText"/>
        <w:spacing w:line="218" w:lineRule="auto" w:before="85"/>
        <w:ind w:right="123"/>
      </w:pPr>
      <w:r>
        <w:rPr>
          <w:color w:val="231F20"/>
        </w:rPr>
        <w:t>3° is de schuldenaar van een inbreng in nijverheid aan de vennoot- schap rekenschap verschuldigd van alle winsten die rechtstreeks of onrechtstreeks verband houden met de activiteit die hij heeft inge- bracht. Hij mag voor de volledige duur van zijn inbreng de vennoot- schap niet rechtstreeks of onrechtstreeks beconcurreren, noch enige activiteit ontwikkelen die de vennootschap nadeel zou kunnen toebren- gen of de waarde van zijn inbreng zou kunnen verminderen.</w:t>
      </w:r>
    </w:p>
    <w:p>
      <w:pPr>
        <w:pStyle w:val="BodyText"/>
        <w:spacing w:line="218" w:lineRule="auto" w:before="83"/>
      </w:pPr>
      <w:r>
        <w:rPr>
          <w:color w:val="231F20"/>
        </w:rPr>
        <w:t>Art. 1:10</w:t>
      </w:r>
      <w:r>
        <w:rPr>
          <w:rFonts w:ascii="Times New Roman" w:hAnsi="Times New Roman"/>
          <w:i/>
          <w:color w:val="231F20"/>
        </w:rPr>
        <w:t>. </w:t>
      </w:r>
      <w:r>
        <w:rPr>
          <w:color w:val="231F20"/>
        </w:rPr>
        <w:t>§ 1. </w:t>
      </w:r>
      <w:r>
        <w:rPr>
          <w:color w:val="231F20"/>
          <w:spacing w:val="-3"/>
        </w:rPr>
        <w:t>Tenzij </w:t>
      </w:r>
      <w:r>
        <w:rPr>
          <w:color w:val="231F20"/>
        </w:rPr>
        <w:t>anders is overeengekomen, draagt de vennoot- schap overeenkomstig artikel </w:t>
      </w:r>
      <w:r>
        <w:rPr>
          <w:color w:val="231F20"/>
          <w:spacing w:val="-3"/>
        </w:rPr>
        <w:t>1138 </w:t>
      </w:r>
      <w:r>
        <w:rPr>
          <w:color w:val="231F20"/>
        </w:rPr>
        <w:t>van het Burgerlijk </w:t>
      </w:r>
      <w:r>
        <w:rPr>
          <w:color w:val="231F20"/>
          <w:spacing w:val="-3"/>
        </w:rPr>
        <w:t>Wetboek </w:t>
      </w:r>
      <w:r>
        <w:rPr>
          <w:color w:val="231F20"/>
        </w:rPr>
        <w:t>het risico van de zekere zaak die het voorwerp is van een inbreng in eigendom, zodra er overeenstemming is over die inbreng.</w:t>
      </w:r>
    </w:p>
    <w:p>
      <w:pPr>
        <w:pStyle w:val="BodyText"/>
        <w:spacing w:line="218" w:lineRule="auto" w:before="86"/>
      </w:pPr>
      <w:r>
        <w:rPr>
          <w:color w:val="231F20"/>
        </w:rPr>
        <w:t>Als de inbreng in eigendom vervangbare zaken betreft, is het risico ervan voor de vennootschap, te rekenen vanaf de terbeschikkingstelling ervan.</w:t>
      </w:r>
    </w:p>
    <w:p>
      <w:pPr>
        <w:pStyle w:val="BodyText"/>
        <w:spacing w:line="218" w:lineRule="auto" w:before="85"/>
      </w:pPr>
      <w:r>
        <w:rPr>
          <w:color w:val="231F20"/>
        </w:rPr>
        <w:t>§ 2. Tenzij anders is overeengekomen, is, indien de inbreng in genot bepaalde zaken betreft die niet door het gebruik teniet gaan en niet zijn bestemd om te worden verkocht, het risico van die zaken voor de vennoot die heeft ingebracht en schuldeiser tot de teruggave ervan is.</w:t>
      </w:r>
    </w:p>
    <w:p>
      <w:pPr>
        <w:pStyle w:val="BodyText"/>
        <w:spacing w:line="218" w:lineRule="auto" w:before="86"/>
      </w:pPr>
      <w:r>
        <w:rPr>
          <w:color w:val="231F20"/>
        </w:rPr>
        <w:t>Indien de inbreng in genot vervangbare zaken of zekere zaken betreft die door het gebruik teniet gaan of zijn bestemd om te worden verkocht,</w:t>
      </w:r>
      <w:r>
        <w:rPr>
          <w:color w:val="231F20"/>
          <w:spacing w:val="17"/>
        </w:rPr>
        <w:t> </w:t>
      </w:r>
      <w:r>
        <w:rPr>
          <w:color w:val="231F20"/>
        </w:rPr>
        <w:t>is</w:t>
      </w:r>
      <w:r>
        <w:rPr>
          <w:color w:val="231F20"/>
          <w:spacing w:val="17"/>
        </w:rPr>
        <w:t> </w:t>
      </w:r>
      <w:r>
        <w:rPr>
          <w:color w:val="231F20"/>
        </w:rPr>
        <w:t>het</w:t>
      </w:r>
      <w:r>
        <w:rPr>
          <w:color w:val="231F20"/>
          <w:spacing w:val="17"/>
        </w:rPr>
        <w:t> </w:t>
      </w:r>
      <w:r>
        <w:rPr>
          <w:color w:val="231F20"/>
        </w:rPr>
        <w:t>risico</w:t>
      </w:r>
      <w:r>
        <w:rPr>
          <w:color w:val="231F20"/>
          <w:spacing w:val="18"/>
        </w:rPr>
        <w:t> </w:t>
      </w:r>
      <w:r>
        <w:rPr>
          <w:color w:val="231F20"/>
        </w:rPr>
        <w:t>van</w:t>
      </w:r>
      <w:r>
        <w:rPr>
          <w:color w:val="231F20"/>
          <w:spacing w:val="17"/>
        </w:rPr>
        <w:t> </w:t>
      </w:r>
      <w:r>
        <w:rPr>
          <w:color w:val="231F20"/>
        </w:rPr>
        <w:t>die</w:t>
      </w:r>
      <w:r>
        <w:rPr>
          <w:color w:val="231F20"/>
          <w:spacing w:val="17"/>
        </w:rPr>
        <w:t> </w:t>
      </w:r>
      <w:r>
        <w:rPr>
          <w:color w:val="231F20"/>
        </w:rPr>
        <w:t>zaken</w:t>
      </w:r>
      <w:r>
        <w:rPr>
          <w:color w:val="231F20"/>
          <w:spacing w:val="17"/>
        </w:rPr>
        <w:t> </w:t>
      </w:r>
      <w:r>
        <w:rPr>
          <w:color w:val="231F20"/>
        </w:rPr>
        <w:t>voor</w:t>
      </w:r>
      <w:r>
        <w:rPr>
          <w:color w:val="231F20"/>
          <w:spacing w:val="18"/>
        </w:rPr>
        <w:t> </w:t>
      </w:r>
      <w:r>
        <w:rPr>
          <w:color w:val="231F20"/>
        </w:rPr>
        <w:t>de</w:t>
      </w:r>
      <w:r>
        <w:rPr>
          <w:color w:val="231F20"/>
          <w:spacing w:val="17"/>
        </w:rPr>
        <w:t> </w:t>
      </w:r>
      <w:r>
        <w:rPr>
          <w:color w:val="231F20"/>
        </w:rPr>
        <w:t>vennootschap.</w:t>
      </w:r>
    </w:p>
    <w:p>
      <w:pPr>
        <w:pStyle w:val="BodyText"/>
        <w:spacing w:line="218" w:lineRule="auto" w:before="86"/>
      </w:pPr>
      <w:r>
        <w:rPr>
          <w:color w:val="231F20"/>
        </w:rPr>
        <w:t>TITEL 3. Genoteerde vennootschappen en organisaties van openbaar belang.</w:t>
      </w:r>
    </w:p>
    <w:p>
      <w:pPr>
        <w:pStyle w:val="BodyText"/>
        <w:spacing w:line="218" w:lineRule="auto" w:before="93"/>
      </w:pPr>
      <w:r>
        <w:rPr>
          <w:color w:val="231F20"/>
        </w:rPr>
        <w:t>Art. </w:t>
      </w:r>
      <w:r>
        <w:rPr>
          <w:color w:val="231F20"/>
          <w:spacing w:val="-3"/>
        </w:rPr>
        <w:t>1:11</w:t>
      </w:r>
      <w:r>
        <w:rPr>
          <w:rFonts w:ascii="Times New Roman" w:hAnsi="Times New Roman"/>
          <w:i/>
          <w:color w:val="231F20"/>
          <w:spacing w:val="-3"/>
        </w:rPr>
        <w:t>. </w:t>
      </w:r>
      <w:r>
        <w:rPr>
          <w:color w:val="231F20"/>
        </w:rPr>
        <w:t>Onder “genoteerde vennootschap” wordt verstaan een vennootschap waarvan de aandelen, winstbewijzen of de certificaten die betrekking hebben op deze aandelen zijn toegelaten tot de verhandeling op een gereglementeerde markt als bedoeld in artikel 3, 7°, van de wet van 21 november 2017 over de infrastructuren voor de markten voor financiële instrumenten en houdende omzetting van richtlijn</w:t>
      </w:r>
      <w:r>
        <w:rPr>
          <w:color w:val="231F20"/>
          <w:spacing w:val="14"/>
        </w:rPr>
        <w:t> </w:t>
      </w:r>
      <w:r>
        <w:rPr>
          <w:color w:val="231F20"/>
        </w:rPr>
        <w:t>2014/65/EU.</w:t>
      </w:r>
    </w:p>
    <w:p>
      <w:pPr>
        <w:pStyle w:val="BodyText"/>
        <w:spacing w:line="218" w:lineRule="auto" w:before="97"/>
      </w:pPr>
      <w:r>
        <w:rPr>
          <w:color w:val="231F20"/>
        </w:rPr>
        <w:t>De Koning kan de bepalingen van toepassing op genoteerde vennootschappen geheel of gedeeltelijk toepasselijk verklaren op vennootschappen waarvan de aandelen of de certificaten die op die aandelen betrekking hebben worden verhandeld op een multilaterale handelsfaciliteit als bedoeld in artikel 3, 10°, van de wet van 21 novem- ber 2017 over de infrastructuren voor de markten voor financiële instrumenten en houdende omzetting van richtlijn 2014/65/EU, of op een georganiseerde handelsfaciliteit als bedoeld in artikel 3, 13°, van voornoemde wet.</w:t>
      </w:r>
    </w:p>
    <w:p>
      <w:pPr>
        <w:pStyle w:val="BodyText"/>
        <w:spacing w:line="338" w:lineRule="auto" w:before="82"/>
        <w:ind w:left="283" w:right="183" w:firstLine="0"/>
        <w:jc w:val="left"/>
      </w:pPr>
      <w:r>
        <w:rPr>
          <w:color w:val="231F20"/>
        </w:rPr>
        <w:t>Art. 1:12. Onder “organisatie van openbaar belang” wordt verstaan:  1°</w:t>
      </w:r>
      <w:r>
        <w:rPr>
          <w:color w:val="231F20"/>
          <w:spacing w:val="17"/>
        </w:rPr>
        <w:t> </w:t>
      </w:r>
      <w:r>
        <w:rPr>
          <w:color w:val="231F20"/>
        </w:rPr>
        <w:t>de</w:t>
      </w:r>
      <w:r>
        <w:rPr>
          <w:color w:val="231F20"/>
          <w:spacing w:val="18"/>
        </w:rPr>
        <w:t> </w:t>
      </w:r>
      <w:r>
        <w:rPr>
          <w:color w:val="231F20"/>
        </w:rPr>
        <w:t>genoteerde</w:t>
      </w:r>
      <w:r>
        <w:rPr>
          <w:color w:val="231F20"/>
          <w:spacing w:val="17"/>
        </w:rPr>
        <w:t> </w:t>
      </w:r>
      <w:r>
        <w:rPr>
          <w:color w:val="231F20"/>
        </w:rPr>
        <w:t>vennootschappen</w:t>
      </w:r>
      <w:r>
        <w:rPr>
          <w:color w:val="231F20"/>
          <w:spacing w:val="18"/>
        </w:rPr>
        <w:t> </w:t>
      </w:r>
      <w:r>
        <w:rPr>
          <w:color w:val="231F20"/>
        </w:rPr>
        <w:t>bedoeld</w:t>
      </w:r>
      <w:r>
        <w:rPr>
          <w:color w:val="231F20"/>
          <w:spacing w:val="17"/>
        </w:rPr>
        <w:t> </w:t>
      </w:r>
      <w:r>
        <w:rPr>
          <w:color w:val="231F20"/>
        </w:rPr>
        <w:t>in</w:t>
      </w:r>
      <w:r>
        <w:rPr>
          <w:color w:val="231F20"/>
          <w:spacing w:val="18"/>
        </w:rPr>
        <w:t> </w:t>
      </w:r>
      <w:r>
        <w:rPr>
          <w:color w:val="231F20"/>
        </w:rPr>
        <w:t>artikel</w:t>
      </w:r>
      <w:r>
        <w:rPr>
          <w:color w:val="231F20"/>
          <w:spacing w:val="17"/>
        </w:rPr>
        <w:t> </w:t>
      </w:r>
      <w:r>
        <w:rPr>
          <w:color w:val="231F20"/>
        </w:rPr>
        <w:t>1:11;</w:t>
      </w:r>
    </w:p>
    <w:p>
      <w:pPr>
        <w:spacing w:after="0" w:line="338" w:lineRule="auto"/>
        <w:jc w:val="left"/>
        <w:sectPr>
          <w:pgSz w:w="11940" w:h="16880"/>
          <w:pgMar w:header="666" w:footer="0" w:top="1140" w:bottom="280" w:left="340" w:right="360"/>
          <w:cols w:num="2" w:equalWidth="0">
            <w:col w:w="5587" w:space="41"/>
            <w:col w:w="5612"/>
          </w:cols>
        </w:sectPr>
      </w:pPr>
    </w:p>
    <w:p>
      <w:pPr>
        <w:pStyle w:val="BodyText"/>
        <w:spacing w:line="218" w:lineRule="auto" w:before="117"/>
        <w:ind w:right="38"/>
      </w:pPr>
      <w:r>
        <w:rPr/>
        <w:pict>
          <v:line style="position:absolute;mso-position-horizontal-relative:page;mso-position-vertical-relative:page;z-index:1072" from="298.170502pt,64.473pt" to="298.170502pt,812.819pt" stroked="true" strokeweight=".533pt" strokecolor="#231f20">
            <v:stroke dashstyle="solid"/>
            <w10:wrap type="none"/>
          </v:line>
        </w:pict>
      </w:r>
      <w:bookmarkStart w:name="_bookmark2" w:id="4"/>
      <w:bookmarkEnd w:id="4"/>
      <w:r>
        <w:rPr/>
      </w:r>
      <w:r>
        <w:rPr>
          <w:color w:val="231F20"/>
        </w:rPr>
        <w:t>2° les sociétés dont les valeurs mobilières visées à l’article 2, 31°, </w:t>
      </w:r>
      <w:r>
        <w:rPr>
          <w:rFonts w:ascii="Times New Roman" w:hAnsi="Times New Roman"/>
          <w:i/>
          <w:color w:val="231F20"/>
        </w:rPr>
        <w:t>b) </w:t>
      </w:r>
      <w:r>
        <w:rPr>
          <w:color w:val="231F20"/>
        </w:rPr>
        <w:t>et </w:t>
      </w:r>
      <w:r>
        <w:rPr>
          <w:rFonts w:ascii="Times New Roman" w:hAnsi="Times New Roman"/>
          <w:i/>
          <w:color w:val="231F20"/>
        </w:rPr>
        <w:t>c)</w:t>
      </w:r>
      <w:r>
        <w:rPr>
          <w:color w:val="231F20"/>
        </w:rPr>
        <w:t>, de la loi du 2 août 2002 sur la surveillance du secteur financier et les services financiers, sont admis aux négociations sur un marché réglementé visé à l’article 3, 7°, de la loi du 21 novembre 2017 relative aux infrastructures des marchés d’instruments financiers et portant transposition de la directive 2014/65/UE;</w:t>
      </w:r>
    </w:p>
    <w:p>
      <w:pPr>
        <w:pStyle w:val="BodyText"/>
        <w:spacing w:before="8"/>
        <w:ind w:left="0" w:right="0" w:firstLine="0"/>
        <w:jc w:val="left"/>
        <w:rPr>
          <w:sz w:val="23"/>
        </w:rPr>
      </w:pPr>
    </w:p>
    <w:p>
      <w:pPr>
        <w:pStyle w:val="BodyText"/>
        <w:spacing w:line="218" w:lineRule="auto"/>
        <w:ind w:right="38"/>
      </w:pPr>
      <w:r>
        <w:rPr>
          <w:color w:val="231F20"/>
        </w:rPr>
        <w:t>3°  les  établissements  de  crédit  visés  au  livre  II  de  la  loi  du      25 avril 2014 relative au statut et au contrôle des établissements de crédit;</w:t>
      </w:r>
    </w:p>
    <w:p>
      <w:pPr>
        <w:pStyle w:val="BodyText"/>
        <w:spacing w:line="218" w:lineRule="auto" w:before="96"/>
        <w:ind w:right="38"/>
      </w:pPr>
      <w:r>
        <w:rPr>
          <w:color w:val="231F20"/>
        </w:rPr>
        <w:t>4° les entreprises d’assurance ou de réassurance visées au livre II de la loi du 13 mars 2016 relative au statut et au contrôle des entreprises d’assurance ou de</w:t>
      </w:r>
      <w:r>
        <w:rPr>
          <w:color w:val="231F20"/>
          <w:spacing w:val="4"/>
        </w:rPr>
        <w:t> </w:t>
      </w:r>
      <w:r>
        <w:rPr>
          <w:color w:val="231F20"/>
        </w:rPr>
        <w:t>réassurance;</w:t>
      </w:r>
    </w:p>
    <w:p>
      <w:pPr>
        <w:pStyle w:val="BodyText"/>
        <w:spacing w:line="218" w:lineRule="auto" w:before="97"/>
        <w:ind w:right="38"/>
      </w:pPr>
      <w:r>
        <w:rPr>
          <w:color w:val="231F20"/>
        </w:rPr>
        <w:t>5° les organismes de liquidation et les organismes assimilés à des organismes  de  liquidation  visés  à  l’article  36/1,  14°,  de  la  loi  du  22 février 1998 fixant le statut organique de la Banque nationale de Belgique ainsi que les organismes dont l’activité consiste à </w:t>
      </w:r>
      <w:r>
        <w:rPr>
          <w:color w:val="231F20"/>
          <w:spacing w:val="-3"/>
        </w:rPr>
        <w:t>assurer, </w:t>
      </w:r>
      <w:r>
        <w:rPr>
          <w:color w:val="231F20"/>
        </w:rPr>
        <w:t>en tout ou en partie, la gestion opérationnelle des services fournis par de tels organismes de</w:t>
      </w:r>
      <w:r>
        <w:rPr>
          <w:color w:val="231F20"/>
          <w:spacing w:val="4"/>
        </w:rPr>
        <w:t> </w:t>
      </w:r>
      <w:r>
        <w:rPr>
          <w:color w:val="231F20"/>
        </w:rPr>
        <w:t>liquidation.</w:t>
      </w:r>
    </w:p>
    <w:p>
      <w:pPr>
        <w:pStyle w:val="BodyText"/>
        <w:spacing w:line="218" w:lineRule="auto" w:before="96"/>
        <w:ind w:right="38"/>
      </w:pPr>
      <w:r>
        <w:rPr>
          <w:color w:val="231F20"/>
        </w:rPr>
        <w:t>Art. 1:13. Par “règlement (UE) n° 537/2014”, il faut entendre: le règlement (UE) n° 537/2014 du Parlement européen et du Conseil du 16 avril 2014 relatif aux exigences spécifiques applicables au contrôle légal des comptes des entités d’intérêt public et abrogeant la décision 2005/909/CE de la</w:t>
      </w:r>
      <w:r>
        <w:rPr>
          <w:color w:val="231F20"/>
          <w:spacing w:val="2"/>
        </w:rPr>
        <w:t> </w:t>
      </w:r>
      <w:r>
        <w:rPr>
          <w:color w:val="231F20"/>
        </w:rPr>
        <w:t>Commission.</w:t>
      </w:r>
    </w:p>
    <w:p>
      <w:pPr>
        <w:pStyle w:val="BodyText"/>
        <w:spacing w:line="319" w:lineRule="auto" w:before="82"/>
        <w:ind w:left="284" w:right="1150" w:firstLine="0"/>
        <w:jc w:val="left"/>
      </w:pPr>
      <w:r>
        <w:rPr>
          <w:color w:val="231F20"/>
        </w:rPr>
        <w:t>TITRE 4. Contrôle, sociétés mère et filiales. CHAPITRE 1</w:t>
      </w:r>
      <w:r>
        <w:rPr>
          <w:color w:val="231F20"/>
          <w:position w:val="7"/>
          <w:sz w:val="11"/>
        </w:rPr>
        <w:t>er</w:t>
      </w:r>
      <w:r>
        <w:rPr>
          <w:color w:val="231F20"/>
        </w:rPr>
        <w:t>. Contrôle.</w:t>
      </w:r>
    </w:p>
    <w:p>
      <w:pPr>
        <w:pStyle w:val="BodyText"/>
        <w:spacing w:line="218" w:lineRule="auto" w:before="14"/>
        <w:ind w:right="38"/>
      </w:pPr>
      <w:r>
        <w:rPr>
          <w:color w:val="231F20"/>
        </w:rPr>
        <w:t>Art. 1:14. § 1</w:t>
      </w:r>
      <w:r>
        <w:rPr>
          <w:color w:val="231F20"/>
          <w:position w:val="7"/>
          <w:sz w:val="11"/>
        </w:rPr>
        <w:t>er</w:t>
      </w:r>
      <w:r>
        <w:rPr>
          <w:color w:val="231F20"/>
        </w:rPr>
        <w:t>. Par “contrôle” d’une société, il faut entendre le  pouvoir de droit ou de fait d’exercer une influence décisive sur la désignation de la majorité des administrateurs ou gérants de celle-ci ou sur l’orientation de sa</w:t>
      </w:r>
      <w:r>
        <w:rPr>
          <w:color w:val="231F20"/>
          <w:spacing w:val="19"/>
        </w:rPr>
        <w:t> </w:t>
      </w:r>
      <w:r>
        <w:rPr>
          <w:color w:val="231F20"/>
        </w:rPr>
        <w:t>gestion.</w:t>
      </w:r>
    </w:p>
    <w:p>
      <w:pPr>
        <w:pStyle w:val="BodyText"/>
        <w:spacing w:before="82"/>
        <w:ind w:left="283" w:right="0" w:firstLine="0"/>
        <w:jc w:val="left"/>
      </w:pPr>
      <w:r>
        <w:rPr>
          <w:color w:val="231F20"/>
        </w:rPr>
        <w:t>§ 2. Le contrôle est de droit et présumé de manière irréfragable:</w:t>
      </w:r>
    </w:p>
    <w:p>
      <w:pPr>
        <w:pStyle w:val="BodyText"/>
        <w:spacing w:line="218" w:lineRule="auto" w:before="93"/>
        <w:ind w:right="38"/>
      </w:pPr>
      <w:r>
        <w:rPr>
          <w:color w:val="231F20"/>
        </w:rPr>
        <w:t>1° lorsqu’il résulte de la détention de la majorité des droits de vote attachés à l’ensemble des actions, parts ou droits d’associés de la</w:t>
      </w:r>
      <w:r>
        <w:rPr>
          <w:color w:val="231F20"/>
          <w:spacing w:val="-20"/>
        </w:rPr>
        <w:t> </w:t>
      </w:r>
      <w:r>
        <w:rPr>
          <w:color w:val="231F20"/>
        </w:rPr>
        <w:t>société en</w:t>
      </w:r>
      <w:r>
        <w:rPr>
          <w:color w:val="231F20"/>
          <w:spacing w:val="14"/>
        </w:rPr>
        <w:t> </w:t>
      </w:r>
      <w:r>
        <w:rPr>
          <w:color w:val="231F20"/>
        </w:rPr>
        <w:t>cause;</w:t>
      </w:r>
    </w:p>
    <w:p>
      <w:pPr>
        <w:pStyle w:val="BodyText"/>
        <w:spacing w:line="218" w:lineRule="auto" w:before="96"/>
        <w:ind w:right="38"/>
      </w:pPr>
      <w:r>
        <w:rPr>
          <w:color w:val="231F20"/>
        </w:rPr>
        <w:t>2° lorsqu’un associé a le droit de nommer ou de révoquer la majorité des administrateurs ou gérants;</w:t>
      </w:r>
    </w:p>
    <w:p>
      <w:pPr>
        <w:pStyle w:val="BodyText"/>
        <w:spacing w:line="218" w:lineRule="auto" w:before="107"/>
        <w:ind w:right="38"/>
      </w:pPr>
      <w:r>
        <w:rPr>
          <w:color w:val="231F20"/>
        </w:rPr>
        <w:t>3° lorsqu’un associé dispose du pouvoir de contrôle en vertu des statuts de la société en cause ou de conventions conclues avec celle-ci;</w:t>
      </w:r>
    </w:p>
    <w:p>
      <w:pPr>
        <w:pStyle w:val="BodyText"/>
        <w:spacing w:before="10"/>
        <w:ind w:left="0" w:right="0" w:firstLine="0"/>
        <w:jc w:val="left"/>
        <w:rPr>
          <w:sz w:val="24"/>
        </w:rPr>
      </w:pPr>
    </w:p>
    <w:p>
      <w:pPr>
        <w:pStyle w:val="BodyText"/>
        <w:spacing w:line="218" w:lineRule="auto"/>
        <w:ind w:right="38"/>
      </w:pPr>
      <w:r>
        <w:rPr>
          <w:color w:val="231F20"/>
        </w:rPr>
        <w:t>4° lorsque, par l’effet de conventions conclues avec d’autres associés de la société en cause, un associé dispose de la majorité des droits de vote attachés à l’ensemble des actions, parts ou droits d’associés de celle-ci;</w:t>
      </w:r>
    </w:p>
    <w:p>
      <w:pPr>
        <w:pStyle w:val="BodyText"/>
        <w:spacing w:before="93"/>
        <w:ind w:left="283" w:right="0" w:firstLine="0"/>
        <w:jc w:val="left"/>
      </w:pPr>
      <w:r>
        <w:rPr>
          <w:color w:val="231F20"/>
        </w:rPr>
        <w:t>5° en cas de contrôle conjoint.</w:t>
      </w:r>
    </w:p>
    <w:p>
      <w:pPr>
        <w:pStyle w:val="BodyText"/>
        <w:spacing w:line="218" w:lineRule="auto" w:before="103"/>
        <w:ind w:right="38"/>
      </w:pPr>
      <w:r>
        <w:rPr>
          <w:color w:val="231F20"/>
        </w:rPr>
        <w:t>§ 3. Le contrôle est de fait lorsqu’il résulte d’autres éléments que ceux visés au paragraphe 2.</w:t>
      </w:r>
    </w:p>
    <w:p>
      <w:pPr>
        <w:pStyle w:val="BodyText"/>
        <w:spacing w:line="218" w:lineRule="auto" w:before="107"/>
        <w:ind w:right="38"/>
      </w:pPr>
      <w:r>
        <w:rPr>
          <w:color w:val="231F20"/>
        </w:rPr>
        <w:t>Un associé est, sauf preuve contraire, présumé disposer d’un contrôle de fait sur la société si, à l’avant-dernière et à la dernière assemblée générale de cette société, il a exercé des droits de vote représentant la majorité des voix attachées aux titres représentés à ces assemblées.</w:t>
      </w:r>
    </w:p>
    <w:p>
      <w:pPr>
        <w:pStyle w:val="BodyText"/>
        <w:ind w:left="0" w:right="0" w:firstLine="0"/>
        <w:jc w:val="left"/>
        <w:rPr>
          <w:sz w:val="20"/>
        </w:rPr>
      </w:pPr>
    </w:p>
    <w:p>
      <w:pPr>
        <w:pStyle w:val="BodyText"/>
        <w:spacing w:line="280" w:lineRule="atLeast" w:before="130"/>
        <w:ind w:left="283" w:right="38" w:firstLine="0"/>
        <w:jc w:val="left"/>
      </w:pPr>
      <w:r>
        <w:rPr>
          <w:color w:val="231F20"/>
        </w:rPr>
        <w:t>Art. 1:15. Pour l’application du présent code, il faut entendre par:      1°</w:t>
      </w:r>
      <w:r>
        <w:rPr>
          <w:color w:val="231F20"/>
          <w:spacing w:val="24"/>
        </w:rPr>
        <w:t> </w:t>
      </w:r>
      <w:r>
        <w:rPr>
          <w:color w:val="231F20"/>
        </w:rPr>
        <w:t>“société</w:t>
      </w:r>
      <w:r>
        <w:rPr>
          <w:color w:val="231F20"/>
          <w:spacing w:val="24"/>
        </w:rPr>
        <w:t> </w:t>
      </w:r>
      <w:r>
        <w:rPr>
          <w:color w:val="231F20"/>
        </w:rPr>
        <w:t>mère”,</w:t>
      </w:r>
      <w:r>
        <w:rPr>
          <w:color w:val="231F20"/>
          <w:spacing w:val="25"/>
        </w:rPr>
        <w:t> </w:t>
      </w:r>
      <w:r>
        <w:rPr>
          <w:color w:val="231F20"/>
        </w:rPr>
        <w:t>la</w:t>
      </w:r>
      <w:r>
        <w:rPr>
          <w:color w:val="231F20"/>
          <w:spacing w:val="24"/>
        </w:rPr>
        <w:t> </w:t>
      </w:r>
      <w:r>
        <w:rPr>
          <w:color w:val="231F20"/>
        </w:rPr>
        <w:t>société</w:t>
      </w:r>
      <w:r>
        <w:rPr>
          <w:color w:val="231F20"/>
          <w:spacing w:val="25"/>
        </w:rPr>
        <w:t> </w:t>
      </w:r>
      <w:r>
        <w:rPr>
          <w:color w:val="231F20"/>
        </w:rPr>
        <w:t>qui</w:t>
      </w:r>
      <w:r>
        <w:rPr>
          <w:color w:val="231F20"/>
          <w:spacing w:val="24"/>
        </w:rPr>
        <w:t> </w:t>
      </w:r>
      <w:r>
        <w:rPr>
          <w:color w:val="231F20"/>
        </w:rPr>
        <w:t>détient</w:t>
      </w:r>
      <w:r>
        <w:rPr>
          <w:color w:val="231F20"/>
          <w:spacing w:val="24"/>
        </w:rPr>
        <w:t> </w:t>
      </w:r>
      <w:r>
        <w:rPr>
          <w:color w:val="231F20"/>
        </w:rPr>
        <w:t>un</w:t>
      </w:r>
      <w:r>
        <w:rPr>
          <w:color w:val="231F20"/>
          <w:spacing w:val="25"/>
        </w:rPr>
        <w:t> </w:t>
      </w:r>
      <w:r>
        <w:rPr>
          <w:color w:val="231F20"/>
        </w:rPr>
        <w:t>pouvoir</w:t>
      </w:r>
      <w:r>
        <w:rPr>
          <w:color w:val="231F20"/>
          <w:spacing w:val="24"/>
        </w:rPr>
        <w:t> </w:t>
      </w:r>
      <w:r>
        <w:rPr>
          <w:color w:val="231F20"/>
        </w:rPr>
        <w:t>de</w:t>
      </w:r>
      <w:r>
        <w:rPr>
          <w:color w:val="231F20"/>
          <w:spacing w:val="24"/>
        </w:rPr>
        <w:t> </w:t>
      </w:r>
      <w:r>
        <w:rPr>
          <w:color w:val="231F20"/>
        </w:rPr>
        <w:t>contrôle</w:t>
      </w:r>
      <w:r>
        <w:rPr>
          <w:color w:val="231F20"/>
          <w:spacing w:val="25"/>
        </w:rPr>
        <w:t> </w:t>
      </w:r>
      <w:r>
        <w:rPr>
          <w:color w:val="231F20"/>
        </w:rPr>
        <w:t>sur</w:t>
      </w:r>
    </w:p>
    <w:p>
      <w:pPr>
        <w:pStyle w:val="BodyText"/>
        <w:spacing w:line="178" w:lineRule="exact"/>
        <w:ind w:right="0" w:firstLine="0"/>
        <w:jc w:val="left"/>
      </w:pPr>
      <w:r>
        <w:rPr>
          <w:color w:val="231F20"/>
        </w:rPr>
        <w:t>une autre société;</w:t>
      </w:r>
    </w:p>
    <w:p>
      <w:pPr>
        <w:pStyle w:val="BodyText"/>
        <w:spacing w:line="218" w:lineRule="auto" w:before="104"/>
        <w:ind w:right="38"/>
      </w:pPr>
      <w:r>
        <w:rPr>
          <w:color w:val="231F20"/>
        </w:rPr>
        <w:t>2° “filiale”, la société à l’égard de laquelle un pouvoir de contrôle existe.</w:t>
      </w:r>
    </w:p>
    <w:p>
      <w:pPr>
        <w:pStyle w:val="BodyText"/>
        <w:spacing w:before="78"/>
        <w:ind w:left="283" w:right="0" w:firstLine="0"/>
        <w:jc w:val="left"/>
      </w:pPr>
      <w:r>
        <w:rPr>
          <w:color w:val="231F20"/>
        </w:rPr>
        <w:t>Art. 1:16. § 1</w:t>
      </w:r>
      <w:r>
        <w:rPr>
          <w:color w:val="231F20"/>
          <w:position w:val="7"/>
          <w:sz w:val="11"/>
        </w:rPr>
        <w:t>er</w:t>
      </w:r>
      <w:r>
        <w:rPr>
          <w:color w:val="231F20"/>
        </w:rPr>
        <w:t>. Pour la détermination du pouvoir de contrôle:</w:t>
      </w:r>
    </w:p>
    <w:p>
      <w:pPr>
        <w:pStyle w:val="BodyText"/>
        <w:spacing w:line="218" w:lineRule="auto" w:before="103"/>
        <w:ind w:right="38"/>
      </w:pPr>
      <w:r>
        <w:rPr>
          <w:color w:val="231F20"/>
        </w:rPr>
        <w:t>1° le pouvoir détenu indirectement à l’intermédiaire d’une filiale est ajouté au pouvoir détenu directement;</w:t>
      </w:r>
    </w:p>
    <w:p>
      <w:pPr>
        <w:pStyle w:val="BodyText"/>
        <w:spacing w:line="218" w:lineRule="auto" w:before="107"/>
        <w:ind w:right="38"/>
      </w:pPr>
      <w:r>
        <w:rPr>
          <w:color w:val="231F20"/>
        </w:rPr>
        <w:t>2° le pouvoir détenu par une personne servant d’intermédiaire à une autre personne est censé détenu exclusivement par cette dernière.</w:t>
      </w:r>
    </w:p>
    <w:p>
      <w:pPr>
        <w:pStyle w:val="BodyText"/>
        <w:spacing w:before="9"/>
        <w:ind w:left="0" w:right="0" w:firstLine="0"/>
        <w:jc w:val="left"/>
        <w:rPr>
          <w:sz w:val="24"/>
        </w:rPr>
      </w:pPr>
    </w:p>
    <w:p>
      <w:pPr>
        <w:pStyle w:val="BodyText"/>
        <w:spacing w:line="218" w:lineRule="auto"/>
        <w:ind w:right="38"/>
      </w:pPr>
      <w:r>
        <w:rPr>
          <w:color w:val="231F20"/>
        </w:rPr>
        <w:t>Pour la détermination du pouvoir de contrôle, il n’est pas tenu compte d’une suspension du droit de vote ni des limitations à l’exercice du droit de vote prévues par le présent code ou par des dispositions légales ou statutaires d’effet analogue.</w:t>
      </w:r>
    </w:p>
    <w:p>
      <w:pPr>
        <w:pStyle w:val="BodyText"/>
        <w:spacing w:line="218" w:lineRule="auto" w:before="107"/>
        <w:ind w:right="38"/>
      </w:pPr>
      <w:r>
        <w:rPr>
          <w:color w:val="231F20"/>
        </w:rPr>
        <w:t>Pour l’application de l’article 1:14, § 2, 1° et 4°, les droits de vote afférents à l’ensemble des titres d’une filiale s’entendent déduction faite des droits de vote afférents aux titres de cette filiale détenus par elle-même ou par ses filiales. La même règle s’applique dans le cas visé à l’article 1:14, § 3, alinéa 2, en ce qui concerne les titres représentés</w:t>
      </w:r>
      <w:r>
        <w:rPr>
          <w:color w:val="231F20"/>
          <w:spacing w:val="-23"/>
        </w:rPr>
        <w:t> </w:t>
      </w:r>
      <w:r>
        <w:rPr>
          <w:color w:val="231F20"/>
        </w:rPr>
        <w:t>aux</w:t>
      </w:r>
    </w:p>
    <w:p>
      <w:pPr>
        <w:pStyle w:val="BodyText"/>
        <w:spacing w:line="218" w:lineRule="auto" w:before="119"/>
      </w:pPr>
      <w:r>
        <w:rPr/>
        <w:br w:type="column"/>
      </w:r>
      <w:r>
        <w:rPr>
          <w:color w:val="231F20"/>
        </w:rPr>
        <w:t>2° de vennootschappen waarvan de effecten als bedoeld in artikel 2, 31°, </w:t>
      </w:r>
      <w:r>
        <w:rPr>
          <w:rFonts w:ascii="Times New Roman" w:hAnsi="Times New Roman"/>
          <w:i/>
          <w:color w:val="231F20"/>
        </w:rPr>
        <w:t>b) </w:t>
      </w:r>
      <w:r>
        <w:rPr>
          <w:color w:val="231F20"/>
        </w:rPr>
        <w:t>en </w:t>
      </w:r>
      <w:r>
        <w:rPr>
          <w:rFonts w:ascii="Times New Roman" w:hAnsi="Times New Roman"/>
          <w:i/>
          <w:color w:val="231F20"/>
        </w:rPr>
        <w:t>c)</w:t>
      </w:r>
      <w:r>
        <w:rPr>
          <w:color w:val="231F20"/>
        </w:rPr>
        <w:t>, van de wet van 2 augustus 2002 betreffende het toezicht</w:t>
      </w:r>
      <w:r>
        <w:rPr>
          <w:color w:val="231F20"/>
          <w:spacing w:val="-26"/>
        </w:rPr>
        <w:t> </w:t>
      </w:r>
      <w:r>
        <w:rPr>
          <w:color w:val="231F20"/>
        </w:rPr>
        <w:t>op de financiële sector en de financiële diensten, zijn toegelaten tot de verhandeling op een gereglementeerde markt als bedoeld in artikel 3, 7°, van de wet van 21 november 2017 over de infrastructuren voor de markten voor financiële instrumenten en houdende omzetting van richtlijn</w:t>
      </w:r>
      <w:r>
        <w:rPr>
          <w:color w:val="231F20"/>
          <w:spacing w:val="14"/>
        </w:rPr>
        <w:t> </w:t>
      </w:r>
      <w:r>
        <w:rPr>
          <w:color w:val="231F20"/>
        </w:rPr>
        <w:t>2014/65/EU;</w:t>
      </w:r>
    </w:p>
    <w:p>
      <w:pPr>
        <w:pStyle w:val="BodyText"/>
        <w:spacing w:line="218" w:lineRule="auto" w:before="94"/>
      </w:pPr>
      <w:r>
        <w:rPr>
          <w:color w:val="231F20"/>
        </w:rPr>
        <w:t>3°  de  kredietinstellingen  bedoeld  in   boek   II   van   de   wet  van 25 april 2014 op het statuut van en het toezicht op kredietinstellingen;</w:t>
      </w:r>
    </w:p>
    <w:p>
      <w:pPr>
        <w:pStyle w:val="BodyText"/>
        <w:spacing w:before="11"/>
        <w:ind w:left="0" w:right="0" w:firstLine="0"/>
        <w:jc w:val="left"/>
        <w:rPr>
          <w:sz w:val="23"/>
        </w:rPr>
      </w:pPr>
    </w:p>
    <w:p>
      <w:pPr>
        <w:pStyle w:val="BodyText"/>
        <w:spacing w:line="218" w:lineRule="auto"/>
      </w:pPr>
      <w:r>
        <w:rPr>
          <w:color w:val="231F20"/>
        </w:rPr>
        <w:t>4° de verzekerings- of herverzekeringsondernemingen bedoeld in boek II van de wet van 13 maart 2016 op het statuut van en het toezicht op de verzekerings- of herverzekeringsondernemingen;</w:t>
      </w:r>
    </w:p>
    <w:p>
      <w:pPr>
        <w:pStyle w:val="BodyText"/>
        <w:spacing w:line="218" w:lineRule="auto" w:before="96"/>
        <w:ind w:right="123"/>
      </w:pPr>
      <w:r>
        <w:rPr>
          <w:color w:val="231F20"/>
        </w:rPr>
        <w:t>5° de vereffeningsinstellingen en de met vereffeningsinstellingen gelijkgestelde</w:t>
      </w:r>
      <w:r>
        <w:rPr>
          <w:color w:val="231F20"/>
          <w:spacing w:val="16"/>
        </w:rPr>
        <w:t> </w:t>
      </w:r>
      <w:r>
        <w:rPr>
          <w:color w:val="231F20"/>
        </w:rPr>
        <w:t>instellingen</w:t>
      </w:r>
      <w:r>
        <w:rPr>
          <w:color w:val="231F20"/>
          <w:spacing w:val="16"/>
        </w:rPr>
        <w:t> </w:t>
      </w:r>
      <w:r>
        <w:rPr>
          <w:color w:val="231F20"/>
        </w:rPr>
        <w:t>bedoeld</w:t>
      </w:r>
      <w:r>
        <w:rPr>
          <w:color w:val="231F20"/>
          <w:spacing w:val="16"/>
        </w:rPr>
        <w:t> </w:t>
      </w:r>
      <w:r>
        <w:rPr>
          <w:color w:val="231F20"/>
        </w:rPr>
        <w:t>in</w:t>
      </w:r>
      <w:r>
        <w:rPr>
          <w:color w:val="231F20"/>
          <w:spacing w:val="16"/>
        </w:rPr>
        <w:t> </w:t>
      </w:r>
      <w:r>
        <w:rPr>
          <w:color w:val="231F20"/>
        </w:rPr>
        <w:t>artikel</w:t>
      </w:r>
      <w:r>
        <w:rPr>
          <w:color w:val="231F20"/>
          <w:spacing w:val="16"/>
        </w:rPr>
        <w:t> </w:t>
      </w:r>
      <w:r>
        <w:rPr>
          <w:color w:val="231F20"/>
        </w:rPr>
        <w:t>36/1,</w:t>
      </w:r>
      <w:r>
        <w:rPr>
          <w:color w:val="231F20"/>
          <w:spacing w:val="17"/>
        </w:rPr>
        <w:t> </w:t>
      </w:r>
      <w:r>
        <w:rPr>
          <w:color w:val="231F20"/>
        </w:rPr>
        <w:t>14°,</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wet</w:t>
      </w:r>
      <w:r>
        <w:rPr>
          <w:color w:val="231F20"/>
          <w:spacing w:val="16"/>
        </w:rPr>
        <w:t> </w:t>
      </w:r>
      <w:r>
        <w:rPr>
          <w:color w:val="231F20"/>
        </w:rPr>
        <w:t>van</w:t>
      </w:r>
    </w:p>
    <w:p>
      <w:pPr>
        <w:pStyle w:val="BodyText"/>
        <w:spacing w:line="218" w:lineRule="auto"/>
        <w:ind w:firstLine="0"/>
      </w:pPr>
      <w:r>
        <w:rPr>
          <w:color w:val="231F20"/>
        </w:rPr>
        <w:t>22 februari 1998 tot vaststelling van het organiek statuut van de Nationale Bank van België, alsook de instellingen waarvan de activiteit erin bestaat om, geheel of gedeeltelijk, het operationeel beheer van de dienstverlening door dergelijke vereffeningsinstellingen te</w:t>
      </w:r>
      <w:r>
        <w:rPr>
          <w:color w:val="231F20"/>
          <w:spacing w:val="23"/>
        </w:rPr>
        <w:t> </w:t>
      </w:r>
      <w:r>
        <w:rPr>
          <w:color w:val="231F20"/>
        </w:rPr>
        <w:t>waarborgen.</w:t>
      </w:r>
    </w:p>
    <w:p>
      <w:pPr>
        <w:pStyle w:val="BodyText"/>
        <w:spacing w:line="218" w:lineRule="auto" w:before="97"/>
      </w:pPr>
      <w:r>
        <w:rPr>
          <w:color w:val="231F20"/>
        </w:rPr>
        <w:t>Art. 1:13. Onder “verordening (EU) </w:t>
      </w:r>
      <w:r>
        <w:rPr>
          <w:color w:val="231F20"/>
          <w:spacing w:val="-5"/>
        </w:rPr>
        <w:t>nr. </w:t>
      </w:r>
      <w:r>
        <w:rPr>
          <w:color w:val="231F20"/>
        </w:rPr>
        <w:t>537/2014” wordt verstaan: de verordening (EU) </w:t>
      </w:r>
      <w:r>
        <w:rPr>
          <w:color w:val="231F20"/>
          <w:spacing w:val="-5"/>
        </w:rPr>
        <w:t>nr. </w:t>
      </w:r>
      <w:r>
        <w:rPr>
          <w:color w:val="231F20"/>
        </w:rPr>
        <w:t>537/2014 van het Europees Parlement en de Raad van 16 april 2014 betreffende specifieke eisen voor de wettelijke controle van financiële overzichten van organisaties van openbaar belang</w:t>
      </w:r>
      <w:r>
        <w:rPr>
          <w:color w:val="231F20"/>
          <w:spacing w:val="13"/>
        </w:rPr>
        <w:t> </w:t>
      </w:r>
      <w:r>
        <w:rPr>
          <w:color w:val="231F20"/>
        </w:rPr>
        <w:t>en</w:t>
      </w:r>
      <w:r>
        <w:rPr>
          <w:color w:val="231F20"/>
          <w:spacing w:val="13"/>
        </w:rPr>
        <w:t> </w:t>
      </w:r>
      <w:r>
        <w:rPr>
          <w:color w:val="231F20"/>
        </w:rPr>
        <w:t>tot</w:t>
      </w:r>
      <w:r>
        <w:rPr>
          <w:color w:val="231F20"/>
          <w:spacing w:val="14"/>
        </w:rPr>
        <w:t> </w:t>
      </w:r>
      <w:r>
        <w:rPr>
          <w:color w:val="231F20"/>
        </w:rPr>
        <w:t>intrekking</w:t>
      </w:r>
      <w:r>
        <w:rPr>
          <w:color w:val="231F20"/>
          <w:spacing w:val="13"/>
        </w:rPr>
        <w:t> </w:t>
      </w:r>
      <w:r>
        <w:rPr>
          <w:color w:val="231F20"/>
        </w:rPr>
        <w:t>van</w:t>
      </w:r>
      <w:r>
        <w:rPr>
          <w:color w:val="231F20"/>
          <w:spacing w:val="14"/>
        </w:rPr>
        <w:t> </w:t>
      </w:r>
      <w:r>
        <w:rPr>
          <w:color w:val="231F20"/>
        </w:rPr>
        <w:t>Besluit</w:t>
      </w:r>
      <w:r>
        <w:rPr>
          <w:color w:val="231F20"/>
          <w:spacing w:val="13"/>
        </w:rPr>
        <w:t> </w:t>
      </w:r>
      <w:r>
        <w:rPr>
          <w:color w:val="231F20"/>
        </w:rPr>
        <w:t>2005/909/EG</w:t>
      </w:r>
      <w:r>
        <w:rPr>
          <w:color w:val="231F20"/>
          <w:spacing w:val="14"/>
        </w:rPr>
        <w:t> </w:t>
      </w:r>
      <w:r>
        <w:rPr>
          <w:color w:val="231F20"/>
        </w:rPr>
        <w:t>van</w:t>
      </w:r>
      <w:r>
        <w:rPr>
          <w:color w:val="231F20"/>
          <w:spacing w:val="13"/>
        </w:rPr>
        <w:t> </w:t>
      </w:r>
      <w:r>
        <w:rPr>
          <w:color w:val="231F20"/>
        </w:rPr>
        <w:t>de</w:t>
      </w:r>
      <w:r>
        <w:rPr>
          <w:color w:val="231F20"/>
          <w:spacing w:val="14"/>
        </w:rPr>
        <w:t> </w:t>
      </w:r>
      <w:r>
        <w:rPr>
          <w:color w:val="231F20"/>
        </w:rPr>
        <w:t>Commissie.</w:t>
      </w:r>
    </w:p>
    <w:p>
      <w:pPr>
        <w:pStyle w:val="BodyText"/>
        <w:spacing w:line="338" w:lineRule="auto" w:before="82"/>
        <w:ind w:left="283" w:right="0" w:firstLine="0"/>
        <w:jc w:val="left"/>
      </w:pPr>
      <w:r>
        <w:rPr>
          <w:color w:val="231F20"/>
        </w:rPr>
        <w:t>TITEL 4. Controle, moeder- en dochtervennootschappen. HOOFDSTUK 1. Controle.</w:t>
      </w:r>
    </w:p>
    <w:p>
      <w:pPr>
        <w:pStyle w:val="BodyText"/>
        <w:spacing w:line="218" w:lineRule="auto" w:before="13"/>
      </w:pPr>
      <w:r>
        <w:rPr>
          <w:color w:val="231F20"/>
        </w:rPr>
        <w:t>Art. 1:14. § 1. Onder “controle” over een vennootschap wordt verstaan, de bevoegdheid in rechte of in feite om een beslissende invloed uit te oefenen op de aanstelling van de meerderheid van bestuurders</w:t>
      </w:r>
      <w:r>
        <w:rPr>
          <w:color w:val="231F20"/>
          <w:spacing w:val="17"/>
        </w:rPr>
        <w:t> </w:t>
      </w:r>
      <w:r>
        <w:rPr>
          <w:color w:val="231F20"/>
        </w:rPr>
        <w:t>of</w:t>
      </w:r>
      <w:r>
        <w:rPr>
          <w:color w:val="231F20"/>
          <w:spacing w:val="17"/>
        </w:rPr>
        <w:t> </w:t>
      </w:r>
      <w:r>
        <w:rPr>
          <w:color w:val="231F20"/>
        </w:rPr>
        <w:t>zaakvoerders</w:t>
      </w:r>
      <w:r>
        <w:rPr>
          <w:color w:val="231F20"/>
          <w:spacing w:val="17"/>
        </w:rPr>
        <w:t> </w:t>
      </w:r>
      <w:r>
        <w:rPr>
          <w:color w:val="231F20"/>
        </w:rPr>
        <w:t>of</w:t>
      </w:r>
      <w:r>
        <w:rPr>
          <w:color w:val="231F20"/>
          <w:spacing w:val="17"/>
        </w:rPr>
        <w:t> </w:t>
      </w:r>
      <w:r>
        <w:rPr>
          <w:color w:val="231F20"/>
        </w:rPr>
        <w:t>op</w:t>
      </w:r>
      <w:r>
        <w:rPr>
          <w:color w:val="231F20"/>
          <w:spacing w:val="17"/>
        </w:rPr>
        <w:t> </w:t>
      </w:r>
      <w:r>
        <w:rPr>
          <w:color w:val="231F20"/>
        </w:rPr>
        <w:t>de</w:t>
      </w:r>
      <w:r>
        <w:rPr>
          <w:color w:val="231F20"/>
          <w:spacing w:val="17"/>
        </w:rPr>
        <w:t> </w:t>
      </w:r>
      <w:r>
        <w:rPr>
          <w:color w:val="231F20"/>
        </w:rPr>
        <w:t>oriëntatie</w:t>
      </w:r>
      <w:r>
        <w:rPr>
          <w:color w:val="231F20"/>
          <w:spacing w:val="18"/>
        </w:rPr>
        <w:t> </w:t>
      </w:r>
      <w:r>
        <w:rPr>
          <w:color w:val="231F20"/>
        </w:rPr>
        <w:t>van</w:t>
      </w:r>
      <w:r>
        <w:rPr>
          <w:color w:val="231F20"/>
          <w:spacing w:val="17"/>
        </w:rPr>
        <w:t> </w:t>
      </w:r>
      <w:r>
        <w:rPr>
          <w:color w:val="231F20"/>
        </w:rPr>
        <w:t>het</w:t>
      </w:r>
      <w:r>
        <w:rPr>
          <w:color w:val="231F20"/>
          <w:spacing w:val="17"/>
        </w:rPr>
        <w:t> </w:t>
      </w:r>
      <w:r>
        <w:rPr>
          <w:color w:val="231F20"/>
        </w:rPr>
        <w:t>beleid.</w:t>
      </w:r>
    </w:p>
    <w:p>
      <w:pPr>
        <w:pStyle w:val="BodyText"/>
        <w:spacing w:before="82"/>
        <w:ind w:left="283" w:right="0" w:firstLine="0"/>
        <w:jc w:val="left"/>
      </w:pPr>
      <w:r>
        <w:rPr>
          <w:color w:val="231F20"/>
        </w:rPr>
        <w:t>§ 2. De controle is in rechte en wordt onweerlegbaar vermoed:</w:t>
      </w:r>
    </w:p>
    <w:p>
      <w:pPr>
        <w:pStyle w:val="BodyText"/>
        <w:spacing w:line="218" w:lineRule="auto" w:before="93"/>
      </w:pPr>
      <w:r>
        <w:rPr>
          <w:color w:val="231F20"/>
        </w:rPr>
        <w:t>1° wanneer zij voortvloeit uit het bezit van de meerderheid van de stemrechten verbonden aan het totaal van de aandelen van de betrokken vennootschap;</w:t>
      </w:r>
    </w:p>
    <w:p>
      <w:pPr>
        <w:pStyle w:val="BodyText"/>
        <w:spacing w:line="218" w:lineRule="auto" w:before="96"/>
      </w:pPr>
      <w:r>
        <w:rPr>
          <w:color w:val="231F20"/>
        </w:rPr>
        <w:t>2° wanneer een vennoot het recht heeft de meerderheid van de bestuurders of zaakvoerders te benoemen of te ontslaan;</w:t>
      </w:r>
    </w:p>
    <w:p>
      <w:pPr>
        <w:pStyle w:val="BodyText"/>
        <w:spacing w:line="218" w:lineRule="auto" w:before="107"/>
        <w:ind w:right="121"/>
      </w:pPr>
      <w:r>
        <w:rPr>
          <w:color w:val="231F20"/>
        </w:rPr>
        <w:t>3° wanneer een vennoot krachtens de statuten van de betrokken vennootschap</w:t>
      </w:r>
      <w:r>
        <w:rPr>
          <w:color w:val="231F20"/>
          <w:spacing w:val="-8"/>
        </w:rPr>
        <w:t> </w:t>
      </w:r>
      <w:r>
        <w:rPr>
          <w:color w:val="231F20"/>
        </w:rPr>
        <w:t>of</w:t>
      </w:r>
      <w:r>
        <w:rPr>
          <w:color w:val="231F20"/>
          <w:spacing w:val="-8"/>
        </w:rPr>
        <w:t> </w:t>
      </w:r>
      <w:r>
        <w:rPr>
          <w:color w:val="231F20"/>
        </w:rPr>
        <w:t>krachtens</w:t>
      </w:r>
      <w:r>
        <w:rPr>
          <w:color w:val="231F20"/>
          <w:spacing w:val="-7"/>
        </w:rPr>
        <w:t> </w:t>
      </w:r>
      <w:r>
        <w:rPr>
          <w:color w:val="231F20"/>
        </w:rPr>
        <w:t>met</w:t>
      </w:r>
      <w:r>
        <w:rPr>
          <w:color w:val="231F20"/>
          <w:spacing w:val="-8"/>
        </w:rPr>
        <w:t> </w:t>
      </w:r>
      <w:r>
        <w:rPr>
          <w:color w:val="231F20"/>
        </w:rPr>
        <w:t>die</w:t>
      </w:r>
      <w:r>
        <w:rPr>
          <w:color w:val="231F20"/>
          <w:spacing w:val="-7"/>
        </w:rPr>
        <w:t> </w:t>
      </w:r>
      <w:r>
        <w:rPr>
          <w:color w:val="231F20"/>
        </w:rPr>
        <w:t>vennootschap</w:t>
      </w:r>
      <w:r>
        <w:rPr>
          <w:color w:val="231F20"/>
          <w:spacing w:val="-8"/>
        </w:rPr>
        <w:t> </w:t>
      </w:r>
      <w:r>
        <w:rPr>
          <w:color w:val="231F20"/>
        </w:rPr>
        <w:t>gesloten</w:t>
      </w:r>
      <w:r>
        <w:rPr>
          <w:color w:val="231F20"/>
          <w:spacing w:val="-7"/>
        </w:rPr>
        <w:t> </w:t>
      </w:r>
      <w:r>
        <w:rPr>
          <w:color w:val="231F20"/>
        </w:rPr>
        <w:t>overeenkom- sten over de controlebevoegdheid</w:t>
      </w:r>
      <w:r>
        <w:rPr>
          <w:color w:val="231F20"/>
          <w:spacing w:val="21"/>
        </w:rPr>
        <w:t> </w:t>
      </w:r>
      <w:r>
        <w:rPr>
          <w:color w:val="231F20"/>
        </w:rPr>
        <w:t>beschikt;</w:t>
      </w:r>
    </w:p>
    <w:p>
      <w:pPr>
        <w:pStyle w:val="BodyText"/>
        <w:spacing w:line="218" w:lineRule="auto" w:before="107"/>
      </w:pPr>
      <w:r>
        <w:rPr>
          <w:color w:val="231F20"/>
        </w:rPr>
        <w:t>4° wanneer op grond van een overeenkomst met andere vennoten van de betrokken vennootschap, een vennoot beschikt over de meer- derheid van de stemrechten verbonden aan het totaal van de aandelen van die</w:t>
      </w:r>
      <w:r>
        <w:rPr>
          <w:color w:val="231F20"/>
          <w:spacing w:val="-11"/>
        </w:rPr>
        <w:t> </w:t>
      </w:r>
      <w:r>
        <w:rPr>
          <w:color w:val="231F20"/>
        </w:rPr>
        <w:t>vennootschap;</w:t>
      </w:r>
    </w:p>
    <w:p>
      <w:pPr>
        <w:pStyle w:val="BodyText"/>
        <w:spacing w:before="92"/>
        <w:ind w:left="283" w:right="0" w:firstLine="0"/>
        <w:jc w:val="left"/>
      </w:pPr>
      <w:r>
        <w:rPr>
          <w:color w:val="231F20"/>
        </w:rPr>
        <w:t>5° in geval van gezamenlijke controle.</w:t>
      </w:r>
    </w:p>
    <w:p>
      <w:pPr>
        <w:pStyle w:val="BodyText"/>
        <w:spacing w:line="218" w:lineRule="auto" w:before="104"/>
      </w:pPr>
      <w:r>
        <w:rPr>
          <w:color w:val="231F20"/>
        </w:rPr>
        <w:t>§ 3. De controle is in feite wanneer zij voortvloeit uit andere factoren dan bedoeld in paragraaf 2.</w:t>
      </w:r>
    </w:p>
    <w:p>
      <w:pPr>
        <w:pStyle w:val="BodyText"/>
        <w:spacing w:line="218" w:lineRule="auto" w:before="107"/>
      </w:pPr>
      <w:r>
        <w:rPr>
          <w:color w:val="231F20"/>
        </w:rPr>
        <w:t>Een vennoot wordt, behoudens bewijs van het tegendeel, vermoed over een controle in feite te beschikken op een vennootschap, wanneer hij op de voorlaatste en laatste algemene vergadering van deze vennootschap stemrechten heeft uitgeoefend die de meerderheid vertegenwoordigen van de stemrechten verbonden aan de op deze algemene vergaderingen vertegenwoordigde effecten.</w:t>
      </w:r>
    </w:p>
    <w:p>
      <w:pPr>
        <w:pStyle w:val="BodyText"/>
        <w:spacing w:line="280" w:lineRule="atLeast" w:before="6"/>
        <w:ind w:left="283" w:right="141" w:firstLine="0"/>
        <w:jc w:val="left"/>
      </w:pPr>
      <w:r>
        <w:rPr>
          <w:color w:val="231F20"/>
        </w:rPr>
        <w:t>Art. 1:15. </w:t>
      </w:r>
      <w:r>
        <w:rPr>
          <w:color w:val="231F20"/>
          <w:spacing w:val="-5"/>
        </w:rPr>
        <w:t>Voor </w:t>
      </w:r>
      <w:r>
        <w:rPr>
          <w:color w:val="231F20"/>
        </w:rPr>
        <w:t>de toepassing van dit wetboek wordt verstaan onder: 1° “moedervennootschap”, de vennootschap die een</w:t>
      </w:r>
      <w:r>
        <w:rPr>
          <w:color w:val="231F20"/>
          <w:spacing w:val="-13"/>
        </w:rPr>
        <w:t> </w:t>
      </w:r>
      <w:r>
        <w:rPr>
          <w:color w:val="231F20"/>
          <w:spacing w:val="-3"/>
        </w:rPr>
        <w:t>controlebevoegd-</w:t>
      </w:r>
    </w:p>
    <w:p>
      <w:pPr>
        <w:pStyle w:val="BodyText"/>
        <w:spacing w:line="178" w:lineRule="exact"/>
        <w:ind w:right="0" w:firstLine="0"/>
        <w:jc w:val="left"/>
      </w:pPr>
      <w:r>
        <w:rPr>
          <w:color w:val="231F20"/>
        </w:rPr>
        <w:t>heid uitoefent over een andere vennootschap;</w:t>
      </w:r>
    </w:p>
    <w:p>
      <w:pPr>
        <w:pStyle w:val="BodyText"/>
        <w:spacing w:line="218" w:lineRule="auto" w:before="103"/>
      </w:pPr>
      <w:r>
        <w:rPr>
          <w:color w:val="231F20"/>
        </w:rPr>
        <w:t>2° “dochtervennootschap”, de vennootschap ten opzichte waarvan een controlebevoegdheid bestaat.</w:t>
      </w:r>
    </w:p>
    <w:p>
      <w:pPr>
        <w:pStyle w:val="BodyText"/>
        <w:spacing w:before="93"/>
        <w:ind w:left="283" w:right="0" w:firstLine="0"/>
        <w:jc w:val="left"/>
      </w:pPr>
      <w:r>
        <w:rPr>
          <w:color w:val="231F20"/>
        </w:rPr>
        <w:t>Art. 1:16. § 1. Om de controlebevoegdheid vast te stellen:</w:t>
      </w:r>
    </w:p>
    <w:p>
      <w:pPr>
        <w:pStyle w:val="BodyText"/>
        <w:spacing w:line="218" w:lineRule="auto" w:before="103"/>
      </w:pPr>
      <w:r>
        <w:rPr>
          <w:color w:val="231F20"/>
        </w:rPr>
        <w:t>1° wordt de onrechtstreekse bevoegdheid via een dochtervennoot- schap bij de rechtstreekse bevoegdheid geteld;</w:t>
      </w:r>
    </w:p>
    <w:p>
      <w:pPr>
        <w:pStyle w:val="BodyText"/>
        <w:spacing w:line="218" w:lineRule="auto" w:before="107"/>
      </w:pPr>
      <w:r>
        <w:rPr>
          <w:color w:val="231F20"/>
        </w:rPr>
        <w:t>2° wordt de bevoegdheid van een persoon die optreedt als tussen- persoon van een andere persoon, geacht uitsluitend in het bezit te zijn van laatstgenoemde.</w:t>
      </w:r>
    </w:p>
    <w:p>
      <w:pPr>
        <w:pStyle w:val="BodyText"/>
        <w:spacing w:line="218" w:lineRule="auto" w:before="107"/>
        <w:ind w:right="123"/>
      </w:pPr>
      <w:r>
        <w:rPr>
          <w:color w:val="231F20"/>
        </w:rPr>
        <w:t>Om de controlebevoegdheid vast te stellen wordt geen rekening gehouden met een schorsing van het stemrecht, noch met de</w:t>
      </w:r>
      <w:r>
        <w:rPr>
          <w:color w:val="231F20"/>
          <w:spacing w:val="-14"/>
        </w:rPr>
        <w:t> </w:t>
      </w:r>
      <w:r>
        <w:rPr>
          <w:color w:val="231F20"/>
        </w:rPr>
        <w:t>stemrecht- beperkingen bedoeld in dit wetboek of in wettelijke of statutaire bepalingen met een soortgelijke</w:t>
      </w:r>
      <w:r>
        <w:rPr>
          <w:color w:val="231F20"/>
          <w:spacing w:val="21"/>
        </w:rPr>
        <w:t> </w:t>
      </w:r>
      <w:r>
        <w:rPr>
          <w:color w:val="231F20"/>
        </w:rPr>
        <w:t>uitwerking.</w:t>
      </w:r>
    </w:p>
    <w:p>
      <w:pPr>
        <w:pStyle w:val="BodyText"/>
        <w:spacing w:line="218" w:lineRule="auto" w:before="107"/>
        <w:ind w:right="123"/>
      </w:pPr>
      <w:r>
        <w:rPr>
          <w:color w:val="231F20"/>
        </w:rPr>
        <w:t>Voor de toepassing van artikel 1:14, § 2, 1° en 4°, moeten de stemrechten verbonden aan het totaal van de effecten van een dochtervennootschap worden verminderd met de stemrechten verbon- den aan de effecten van deze dochtervennootschap, gehouden door laatstgenoemde zelf of door haar dochtervennootschap. Dezelfde regel</w:t>
      </w:r>
    </w:p>
    <w:p>
      <w:pPr>
        <w:spacing w:after="0" w:line="218" w:lineRule="auto"/>
        <w:sectPr>
          <w:headerReference w:type="default" r:id="rId7"/>
          <w:headerReference w:type="even" r:id="rId8"/>
          <w:pgSz w:w="11940" w:h="16880"/>
          <w:pgMar w:header="666" w:footer="0" w:top="1140" w:bottom="280" w:left="340" w:right="360"/>
          <w:cols w:num="2" w:equalWidth="0">
            <w:col w:w="5527" w:space="100"/>
            <w:col w:w="5613"/>
          </w:cols>
        </w:sectPr>
      </w:pPr>
    </w:p>
    <w:p>
      <w:pPr>
        <w:pStyle w:val="BodyText"/>
        <w:spacing w:before="106"/>
        <w:ind w:right="0" w:firstLine="0"/>
        <w:jc w:val="left"/>
      </w:pPr>
      <w:r>
        <w:rPr/>
        <w:pict>
          <v:line style="position:absolute;mso-position-horizontal-relative:page;mso-position-vertical-relative:page;z-index:1096" from="298.170502pt,64.473pt" to="298.170502pt,812.819pt" stroked="true" strokeweight=".533pt" strokecolor="#231f20">
            <v:stroke dashstyle="solid"/>
            <w10:wrap type="none"/>
          </v:line>
        </w:pict>
      </w:r>
      <w:bookmarkStart w:name="_bookmark3" w:id="5"/>
      <w:bookmarkEnd w:id="5"/>
      <w:r>
        <w:rPr/>
      </w:r>
      <w:r>
        <w:rPr>
          <w:color w:val="231F20"/>
        </w:rPr>
        <w:t>deux dernières assemblées générales.</w:t>
      </w:r>
    </w:p>
    <w:p>
      <w:pPr>
        <w:pStyle w:val="BodyText"/>
        <w:ind w:left="0" w:right="0" w:firstLine="0"/>
        <w:jc w:val="left"/>
        <w:rPr>
          <w:sz w:val="20"/>
        </w:rPr>
      </w:pPr>
    </w:p>
    <w:p>
      <w:pPr>
        <w:pStyle w:val="BodyText"/>
        <w:spacing w:before="2"/>
        <w:ind w:left="0" w:right="0" w:firstLine="0"/>
        <w:jc w:val="left"/>
        <w:rPr>
          <w:sz w:val="18"/>
        </w:rPr>
      </w:pPr>
    </w:p>
    <w:p>
      <w:pPr>
        <w:pStyle w:val="BodyText"/>
        <w:spacing w:line="218" w:lineRule="auto"/>
        <w:ind w:right="38"/>
      </w:pPr>
      <w:r>
        <w:rPr>
          <w:color w:val="231F20"/>
        </w:rPr>
        <w:t>§ 2. Par “personne servant d’intermédiaire”, il faut entendre toute personne agissant en vertu d’une convention de mandat, de commis- sion, de portage, de prête-nom, de fiducie ou d’une convention d’effet équivalent, pour le compte d’une autre personne.</w:t>
      </w:r>
    </w:p>
    <w:p>
      <w:pPr>
        <w:pStyle w:val="BodyText"/>
        <w:spacing w:line="218" w:lineRule="auto" w:before="85"/>
        <w:ind w:right="38"/>
      </w:pPr>
      <w:r>
        <w:rPr>
          <w:color w:val="231F20"/>
        </w:rPr>
        <w:t>Art. 1:17. Il faut entendre par “contrôle exclusif”, le contrôle exercé par une société soit seule, soit avec une ou plusieurs de ses filiales.</w:t>
      </w:r>
    </w:p>
    <w:p>
      <w:pPr>
        <w:pStyle w:val="BodyText"/>
        <w:ind w:left="0" w:right="0" w:firstLine="0"/>
        <w:jc w:val="left"/>
        <w:rPr>
          <w:sz w:val="23"/>
        </w:rPr>
      </w:pPr>
    </w:p>
    <w:p>
      <w:pPr>
        <w:pStyle w:val="BodyText"/>
        <w:spacing w:line="218" w:lineRule="auto"/>
        <w:ind w:right="38"/>
      </w:pPr>
      <w:r>
        <w:rPr>
          <w:color w:val="231F20"/>
        </w:rPr>
        <w:t>Art. 1:18. Par “contrôle conjoint”, il faut entendre le contrôle exercé ensemble par un nombre limité d’associés, lorsque ceux-ci ont convenu que les décisions relatives à l’orientation de la gestion ne pourraient être</w:t>
      </w:r>
      <w:r>
        <w:rPr>
          <w:color w:val="231F20"/>
          <w:spacing w:val="15"/>
        </w:rPr>
        <w:t> </w:t>
      </w:r>
      <w:r>
        <w:rPr>
          <w:color w:val="231F20"/>
        </w:rPr>
        <w:t>prises</w:t>
      </w:r>
      <w:r>
        <w:rPr>
          <w:color w:val="231F20"/>
          <w:spacing w:val="15"/>
        </w:rPr>
        <w:t> </w:t>
      </w:r>
      <w:r>
        <w:rPr>
          <w:color w:val="231F20"/>
        </w:rPr>
        <w:t>que</w:t>
      </w:r>
      <w:r>
        <w:rPr>
          <w:color w:val="231F20"/>
          <w:spacing w:val="15"/>
        </w:rPr>
        <w:t> </w:t>
      </w:r>
      <w:r>
        <w:rPr>
          <w:color w:val="231F20"/>
        </w:rPr>
        <w:t>de</w:t>
      </w:r>
      <w:r>
        <w:rPr>
          <w:color w:val="231F20"/>
          <w:spacing w:val="15"/>
        </w:rPr>
        <w:t> </w:t>
      </w:r>
      <w:r>
        <w:rPr>
          <w:color w:val="231F20"/>
        </w:rPr>
        <w:t>leur</w:t>
      </w:r>
      <w:r>
        <w:rPr>
          <w:color w:val="231F20"/>
          <w:spacing w:val="15"/>
        </w:rPr>
        <w:t> </w:t>
      </w:r>
      <w:r>
        <w:rPr>
          <w:color w:val="231F20"/>
        </w:rPr>
        <w:t>commun</w:t>
      </w:r>
      <w:r>
        <w:rPr>
          <w:color w:val="231F20"/>
          <w:spacing w:val="15"/>
        </w:rPr>
        <w:t> </w:t>
      </w:r>
      <w:r>
        <w:rPr>
          <w:color w:val="231F20"/>
        </w:rPr>
        <w:t>accord.</w:t>
      </w:r>
    </w:p>
    <w:p>
      <w:pPr>
        <w:pStyle w:val="BodyText"/>
        <w:ind w:left="0" w:right="0" w:firstLine="0"/>
        <w:jc w:val="left"/>
        <w:rPr>
          <w:sz w:val="23"/>
        </w:rPr>
      </w:pPr>
    </w:p>
    <w:p>
      <w:pPr>
        <w:pStyle w:val="BodyText"/>
        <w:spacing w:line="218" w:lineRule="auto" w:before="1"/>
        <w:ind w:right="38"/>
      </w:pPr>
      <w:r>
        <w:rPr>
          <w:color w:val="231F20"/>
        </w:rPr>
        <w:t>Par “filiale commune”, il faut entendre la société à l’égard de laquelle un contrôle conjoint existe.</w:t>
      </w:r>
    </w:p>
    <w:p>
      <w:pPr>
        <w:pStyle w:val="BodyText"/>
        <w:spacing w:before="8"/>
        <w:ind w:left="0" w:right="0" w:firstLine="0"/>
        <w:jc w:val="left"/>
        <w:rPr>
          <w:sz w:val="21"/>
        </w:rPr>
      </w:pPr>
    </w:p>
    <w:p>
      <w:pPr>
        <w:pStyle w:val="BodyText"/>
        <w:ind w:left="283" w:right="0" w:firstLine="0"/>
        <w:jc w:val="left"/>
      </w:pPr>
      <w:r>
        <w:rPr>
          <w:color w:val="231F20"/>
        </w:rPr>
        <w:t>CHAPITRE 2. Consortium.</w:t>
      </w:r>
    </w:p>
    <w:p>
      <w:pPr>
        <w:pStyle w:val="BodyText"/>
        <w:spacing w:line="218" w:lineRule="auto" w:before="78"/>
        <w:ind w:right="38"/>
      </w:pPr>
      <w:r>
        <w:rPr>
          <w:color w:val="231F20"/>
        </w:rPr>
        <w:t>Art. 1:19. § 1</w:t>
      </w:r>
      <w:r>
        <w:rPr>
          <w:color w:val="231F20"/>
          <w:position w:val="7"/>
          <w:sz w:val="11"/>
        </w:rPr>
        <w:t>er</w:t>
      </w:r>
      <w:r>
        <w:rPr>
          <w:color w:val="231F20"/>
        </w:rPr>
        <w:t>. Par “consortium”, il faut entendre la situation dans laquelle une société, d’une part, et une ou plusieurs autres sociétés de droit belge ou étranger, d’autre part, qui ne sont ni filiales les unes des autres, ni filiales d’une même société, sont placées sous une direction unique.</w:t>
      </w:r>
    </w:p>
    <w:p>
      <w:pPr>
        <w:pStyle w:val="BodyText"/>
        <w:spacing w:line="218" w:lineRule="auto" w:before="96"/>
        <w:ind w:right="38"/>
      </w:pPr>
      <w:r>
        <w:rPr>
          <w:color w:val="231F20"/>
        </w:rPr>
        <w:t>§</w:t>
      </w:r>
      <w:r>
        <w:rPr>
          <w:color w:val="231F20"/>
          <w:spacing w:val="-4"/>
        </w:rPr>
        <w:t> </w:t>
      </w:r>
      <w:r>
        <w:rPr>
          <w:color w:val="231F20"/>
        </w:rPr>
        <w:t>2.</w:t>
      </w:r>
      <w:r>
        <w:rPr>
          <w:color w:val="231F20"/>
          <w:spacing w:val="-4"/>
        </w:rPr>
        <w:t> </w:t>
      </w:r>
      <w:r>
        <w:rPr>
          <w:color w:val="231F20"/>
        </w:rPr>
        <w:t>Ces</w:t>
      </w:r>
      <w:r>
        <w:rPr>
          <w:color w:val="231F20"/>
          <w:spacing w:val="-3"/>
        </w:rPr>
        <w:t> </w:t>
      </w:r>
      <w:r>
        <w:rPr>
          <w:color w:val="231F20"/>
        </w:rPr>
        <w:t>sociétés</w:t>
      </w:r>
      <w:r>
        <w:rPr>
          <w:color w:val="231F20"/>
          <w:spacing w:val="-4"/>
        </w:rPr>
        <w:t> </w:t>
      </w:r>
      <w:r>
        <w:rPr>
          <w:color w:val="231F20"/>
        </w:rPr>
        <w:t>sont</w:t>
      </w:r>
      <w:r>
        <w:rPr>
          <w:color w:val="231F20"/>
          <w:spacing w:val="-3"/>
        </w:rPr>
        <w:t> </w:t>
      </w:r>
      <w:r>
        <w:rPr>
          <w:color w:val="231F20"/>
        </w:rPr>
        <w:t>présumées,</w:t>
      </w:r>
      <w:r>
        <w:rPr>
          <w:color w:val="231F20"/>
          <w:spacing w:val="-4"/>
        </w:rPr>
        <w:t> </w:t>
      </w:r>
      <w:r>
        <w:rPr>
          <w:color w:val="231F20"/>
        </w:rPr>
        <w:t>de</w:t>
      </w:r>
      <w:r>
        <w:rPr>
          <w:color w:val="231F20"/>
          <w:spacing w:val="-3"/>
        </w:rPr>
        <w:t> </w:t>
      </w:r>
      <w:r>
        <w:rPr>
          <w:color w:val="231F20"/>
        </w:rPr>
        <w:t>manière</w:t>
      </w:r>
      <w:r>
        <w:rPr>
          <w:color w:val="231F20"/>
          <w:spacing w:val="-4"/>
        </w:rPr>
        <w:t> </w:t>
      </w:r>
      <w:r>
        <w:rPr>
          <w:color w:val="231F20"/>
        </w:rPr>
        <w:t>irréfragable,</w:t>
      </w:r>
      <w:r>
        <w:rPr>
          <w:color w:val="231F20"/>
          <w:spacing w:val="-4"/>
        </w:rPr>
        <w:t> </w:t>
      </w:r>
      <w:r>
        <w:rPr>
          <w:color w:val="231F20"/>
        </w:rPr>
        <w:t>être</w:t>
      </w:r>
      <w:r>
        <w:rPr>
          <w:color w:val="231F20"/>
          <w:spacing w:val="-3"/>
        </w:rPr>
        <w:t> </w:t>
      </w:r>
      <w:r>
        <w:rPr>
          <w:color w:val="231F20"/>
        </w:rPr>
        <w:t>placées sous une direction</w:t>
      </w:r>
      <w:r>
        <w:rPr>
          <w:color w:val="231F20"/>
          <w:spacing w:val="4"/>
        </w:rPr>
        <w:t> </w:t>
      </w:r>
      <w:r>
        <w:rPr>
          <w:color w:val="231F20"/>
        </w:rPr>
        <w:t>unique:</w:t>
      </w:r>
    </w:p>
    <w:p>
      <w:pPr>
        <w:pStyle w:val="BodyText"/>
        <w:spacing w:line="218" w:lineRule="auto" w:before="96"/>
        <w:ind w:right="38"/>
      </w:pPr>
      <w:r>
        <w:rPr>
          <w:color w:val="231F20"/>
        </w:rPr>
        <w:t>1° lorsque la direction unique de ces sociétés résulte de contrats conclus entre ces sociétés ou de dispositions statutaires, ou,</w:t>
      </w:r>
    </w:p>
    <w:p>
      <w:pPr>
        <w:pStyle w:val="BodyText"/>
        <w:spacing w:before="10"/>
        <w:ind w:left="0" w:right="0" w:firstLine="0"/>
        <w:jc w:val="left"/>
        <w:rPr>
          <w:sz w:val="23"/>
        </w:rPr>
      </w:pPr>
    </w:p>
    <w:p>
      <w:pPr>
        <w:pStyle w:val="BodyText"/>
        <w:spacing w:line="218" w:lineRule="auto" w:before="1"/>
        <w:ind w:right="38"/>
      </w:pPr>
      <w:r>
        <w:rPr>
          <w:color w:val="231F20"/>
        </w:rPr>
        <w:t>2° lorsque leurs organes d’administration sont composés en majorité des mêmes personnes.</w:t>
      </w:r>
    </w:p>
    <w:p>
      <w:pPr>
        <w:pStyle w:val="BodyText"/>
        <w:spacing w:line="218" w:lineRule="auto" w:before="96"/>
        <w:ind w:right="38"/>
      </w:pPr>
      <w:r>
        <w:rPr>
          <w:color w:val="231F20"/>
        </w:rPr>
        <w:t>§ 3. Des sociétés sont présumées, sauf preuve contraire, être placées sous une direction unique, lorsque les droits de vote attachés à leurs titres sont détenus en majorité par les mêmes personnes. Les disposi- tions de l’article 1:16 sont applicables.</w:t>
      </w:r>
    </w:p>
    <w:p>
      <w:pPr>
        <w:pStyle w:val="BodyText"/>
        <w:spacing w:line="218" w:lineRule="auto" w:before="96"/>
        <w:ind w:right="38"/>
      </w:pPr>
      <w:r>
        <w:rPr>
          <w:color w:val="231F20"/>
        </w:rPr>
        <w:t>Ce paragraphe n’est pas applicable aux titres détenus par des pouvoirs publics.</w:t>
      </w:r>
    </w:p>
    <w:p>
      <w:pPr>
        <w:pStyle w:val="BodyText"/>
        <w:spacing w:before="82"/>
        <w:ind w:left="283" w:right="0" w:firstLine="0"/>
        <w:jc w:val="left"/>
      </w:pPr>
      <w:r>
        <w:rPr>
          <w:color w:val="231F20"/>
        </w:rPr>
        <w:t>CHAPITRE 3. Sociétés liées et associées.</w:t>
      </w:r>
    </w:p>
    <w:p>
      <w:pPr>
        <w:pStyle w:val="BodyText"/>
        <w:spacing w:line="338" w:lineRule="auto" w:before="79"/>
        <w:ind w:left="283" w:right="281" w:firstLine="0"/>
        <w:jc w:val="left"/>
      </w:pPr>
      <w:r>
        <w:rPr>
          <w:color w:val="231F20"/>
        </w:rPr>
        <w:t>Art. 1:20. Pour l’application du présent code, il faut entendre par: 1°</w:t>
      </w:r>
      <w:r>
        <w:rPr>
          <w:color w:val="231F20"/>
          <w:spacing w:val="15"/>
        </w:rPr>
        <w:t> </w:t>
      </w:r>
      <w:r>
        <w:rPr>
          <w:color w:val="231F20"/>
        </w:rPr>
        <w:t>“sociétés</w:t>
      </w:r>
      <w:r>
        <w:rPr>
          <w:color w:val="231F20"/>
          <w:spacing w:val="15"/>
        </w:rPr>
        <w:t> </w:t>
      </w:r>
      <w:r>
        <w:rPr>
          <w:color w:val="231F20"/>
        </w:rPr>
        <w:t>liées</w:t>
      </w:r>
      <w:r>
        <w:rPr>
          <w:color w:val="231F20"/>
          <w:spacing w:val="15"/>
        </w:rPr>
        <w:t> </w:t>
      </w:r>
      <w:r>
        <w:rPr>
          <w:color w:val="231F20"/>
        </w:rPr>
        <w:t>à</w:t>
      </w:r>
      <w:r>
        <w:rPr>
          <w:color w:val="231F20"/>
          <w:spacing w:val="16"/>
        </w:rPr>
        <w:t> </w:t>
      </w:r>
      <w:r>
        <w:rPr>
          <w:color w:val="231F20"/>
        </w:rPr>
        <w:t>une</w:t>
      </w:r>
      <w:r>
        <w:rPr>
          <w:color w:val="231F20"/>
          <w:spacing w:val="15"/>
        </w:rPr>
        <w:t> </w:t>
      </w:r>
      <w:r>
        <w:rPr>
          <w:color w:val="231F20"/>
        </w:rPr>
        <w:t>société”:</w:t>
      </w:r>
    </w:p>
    <w:p>
      <w:pPr>
        <w:pStyle w:val="ListParagraph"/>
        <w:numPr>
          <w:ilvl w:val="0"/>
          <w:numId w:val="2"/>
        </w:numPr>
        <w:tabs>
          <w:tab w:pos="474" w:val="left" w:leader="none"/>
        </w:tabs>
        <w:spacing w:line="192" w:lineRule="exact" w:before="0" w:after="0"/>
        <w:ind w:left="113" w:right="0" w:firstLine="170"/>
        <w:jc w:val="left"/>
        <w:rPr>
          <w:sz w:val="17"/>
        </w:rPr>
      </w:pPr>
      <w:r>
        <w:rPr>
          <w:color w:val="231F20"/>
          <w:sz w:val="17"/>
        </w:rPr>
        <w:t>les sociétés qu’elle</w:t>
      </w:r>
      <w:r>
        <w:rPr>
          <w:color w:val="231F20"/>
          <w:spacing w:val="3"/>
          <w:sz w:val="17"/>
        </w:rPr>
        <w:t> </w:t>
      </w:r>
      <w:r>
        <w:rPr>
          <w:color w:val="231F20"/>
          <w:sz w:val="17"/>
        </w:rPr>
        <w:t>contrôle;</w:t>
      </w:r>
    </w:p>
    <w:p>
      <w:pPr>
        <w:pStyle w:val="BodyText"/>
        <w:spacing w:before="1"/>
        <w:ind w:left="0" w:right="0" w:firstLine="0"/>
        <w:jc w:val="left"/>
        <w:rPr>
          <w:sz w:val="22"/>
        </w:rPr>
      </w:pPr>
    </w:p>
    <w:p>
      <w:pPr>
        <w:pStyle w:val="ListParagraph"/>
        <w:numPr>
          <w:ilvl w:val="0"/>
          <w:numId w:val="2"/>
        </w:numPr>
        <w:tabs>
          <w:tab w:pos="477" w:val="left" w:leader="none"/>
        </w:tabs>
        <w:spacing w:line="240" w:lineRule="auto" w:before="0" w:after="0"/>
        <w:ind w:left="476" w:right="0" w:hanging="193"/>
        <w:jc w:val="left"/>
        <w:rPr>
          <w:sz w:val="17"/>
        </w:rPr>
      </w:pPr>
      <w:r>
        <w:rPr>
          <w:color w:val="231F20"/>
          <w:sz w:val="17"/>
        </w:rPr>
        <w:t>les sociétés qui la</w:t>
      </w:r>
      <w:r>
        <w:rPr>
          <w:color w:val="231F20"/>
          <w:spacing w:val="17"/>
          <w:sz w:val="17"/>
        </w:rPr>
        <w:t> </w:t>
      </w:r>
      <w:r>
        <w:rPr>
          <w:color w:val="231F20"/>
          <w:sz w:val="17"/>
        </w:rPr>
        <w:t>contrôlent;</w:t>
      </w:r>
    </w:p>
    <w:p>
      <w:pPr>
        <w:pStyle w:val="BodyText"/>
        <w:spacing w:before="2"/>
        <w:ind w:left="0" w:right="0" w:firstLine="0"/>
        <w:jc w:val="left"/>
        <w:rPr>
          <w:sz w:val="22"/>
        </w:rPr>
      </w:pPr>
    </w:p>
    <w:p>
      <w:pPr>
        <w:pStyle w:val="ListParagraph"/>
        <w:numPr>
          <w:ilvl w:val="0"/>
          <w:numId w:val="2"/>
        </w:numPr>
        <w:tabs>
          <w:tab w:pos="467" w:val="left" w:leader="none"/>
        </w:tabs>
        <w:spacing w:line="240" w:lineRule="auto" w:before="0" w:after="0"/>
        <w:ind w:left="466" w:right="0" w:hanging="183"/>
        <w:jc w:val="left"/>
        <w:rPr>
          <w:sz w:val="17"/>
        </w:rPr>
      </w:pPr>
      <w:r>
        <w:rPr>
          <w:color w:val="231F20"/>
          <w:sz w:val="17"/>
        </w:rPr>
        <w:t>les</w:t>
      </w:r>
      <w:r>
        <w:rPr>
          <w:color w:val="231F20"/>
          <w:spacing w:val="15"/>
          <w:sz w:val="17"/>
        </w:rPr>
        <w:t> </w:t>
      </w:r>
      <w:r>
        <w:rPr>
          <w:color w:val="231F20"/>
          <w:sz w:val="17"/>
        </w:rPr>
        <w:t>sociétés</w:t>
      </w:r>
      <w:r>
        <w:rPr>
          <w:color w:val="231F20"/>
          <w:spacing w:val="15"/>
          <w:sz w:val="17"/>
        </w:rPr>
        <w:t> </w:t>
      </w:r>
      <w:r>
        <w:rPr>
          <w:color w:val="231F20"/>
          <w:sz w:val="17"/>
        </w:rPr>
        <w:t>avec</w:t>
      </w:r>
      <w:r>
        <w:rPr>
          <w:color w:val="231F20"/>
          <w:spacing w:val="15"/>
          <w:sz w:val="17"/>
        </w:rPr>
        <w:t> </w:t>
      </w:r>
      <w:r>
        <w:rPr>
          <w:color w:val="231F20"/>
          <w:sz w:val="17"/>
        </w:rPr>
        <w:t>lesquelles</w:t>
      </w:r>
      <w:r>
        <w:rPr>
          <w:color w:val="231F20"/>
          <w:spacing w:val="15"/>
          <w:sz w:val="17"/>
        </w:rPr>
        <w:t> </w:t>
      </w:r>
      <w:r>
        <w:rPr>
          <w:color w:val="231F20"/>
          <w:sz w:val="17"/>
        </w:rPr>
        <w:t>elle</w:t>
      </w:r>
      <w:r>
        <w:rPr>
          <w:color w:val="231F20"/>
          <w:spacing w:val="15"/>
          <w:sz w:val="17"/>
        </w:rPr>
        <w:t> </w:t>
      </w:r>
      <w:r>
        <w:rPr>
          <w:color w:val="231F20"/>
          <w:sz w:val="17"/>
        </w:rPr>
        <w:t>forme</w:t>
      </w:r>
      <w:r>
        <w:rPr>
          <w:color w:val="231F20"/>
          <w:spacing w:val="15"/>
          <w:sz w:val="17"/>
        </w:rPr>
        <w:t> </w:t>
      </w:r>
      <w:r>
        <w:rPr>
          <w:color w:val="231F20"/>
          <w:sz w:val="17"/>
        </w:rPr>
        <w:t>un</w:t>
      </w:r>
      <w:r>
        <w:rPr>
          <w:color w:val="231F20"/>
          <w:spacing w:val="15"/>
          <w:sz w:val="17"/>
        </w:rPr>
        <w:t> </w:t>
      </w:r>
      <w:r>
        <w:rPr>
          <w:color w:val="231F20"/>
          <w:sz w:val="17"/>
        </w:rPr>
        <w:t>consortium;</w:t>
      </w:r>
    </w:p>
    <w:p>
      <w:pPr>
        <w:pStyle w:val="ListParagraph"/>
        <w:numPr>
          <w:ilvl w:val="0"/>
          <w:numId w:val="2"/>
        </w:numPr>
        <w:tabs>
          <w:tab w:pos="474" w:val="left" w:leader="none"/>
        </w:tabs>
        <w:spacing w:line="216" w:lineRule="auto" w:before="92" w:after="0"/>
        <w:ind w:left="113" w:right="38" w:firstLine="170"/>
        <w:jc w:val="both"/>
        <w:rPr>
          <w:sz w:val="17"/>
        </w:rPr>
      </w:pPr>
      <w:r>
        <w:rPr>
          <w:color w:val="231F20"/>
          <w:sz w:val="17"/>
        </w:rPr>
        <w:t>les autres sociétés qui, à la connaissance de son organe d’adminis- tration,</w:t>
      </w:r>
      <w:r>
        <w:rPr>
          <w:color w:val="231F20"/>
          <w:spacing w:val="12"/>
          <w:sz w:val="17"/>
        </w:rPr>
        <w:t> </w:t>
      </w:r>
      <w:r>
        <w:rPr>
          <w:color w:val="231F20"/>
          <w:sz w:val="17"/>
        </w:rPr>
        <w:t>sont</w:t>
      </w:r>
      <w:r>
        <w:rPr>
          <w:color w:val="231F20"/>
          <w:spacing w:val="13"/>
          <w:sz w:val="17"/>
        </w:rPr>
        <w:t> </w:t>
      </w:r>
      <w:r>
        <w:rPr>
          <w:color w:val="231F20"/>
          <w:sz w:val="17"/>
        </w:rPr>
        <w:t>contrôlées</w:t>
      </w:r>
      <w:r>
        <w:rPr>
          <w:color w:val="231F20"/>
          <w:spacing w:val="13"/>
          <w:sz w:val="17"/>
        </w:rPr>
        <w:t> </w:t>
      </w:r>
      <w:r>
        <w:rPr>
          <w:color w:val="231F20"/>
          <w:sz w:val="17"/>
        </w:rPr>
        <w:t>par</w:t>
      </w:r>
      <w:r>
        <w:rPr>
          <w:color w:val="231F20"/>
          <w:spacing w:val="12"/>
          <w:sz w:val="17"/>
        </w:rPr>
        <w:t> </w:t>
      </w:r>
      <w:r>
        <w:rPr>
          <w:color w:val="231F20"/>
          <w:sz w:val="17"/>
        </w:rPr>
        <w:t>les</w:t>
      </w:r>
      <w:r>
        <w:rPr>
          <w:color w:val="231F20"/>
          <w:spacing w:val="13"/>
          <w:sz w:val="17"/>
        </w:rPr>
        <w:t> </w:t>
      </w:r>
      <w:r>
        <w:rPr>
          <w:color w:val="231F20"/>
          <w:sz w:val="17"/>
        </w:rPr>
        <w:t>sociétés</w:t>
      </w:r>
      <w:r>
        <w:rPr>
          <w:color w:val="231F20"/>
          <w:spacing w:val="13"/>
          <w:sz w:val="17"/>
        </w:rPr>
        <w:t> </w:t>
      </w:r>
      <w:r>
        <w:rPr>
          <w:color w:val="231F20"/>
          <w:sz w:val="17"/>
        </w:rPr>
        <w:t>visées</w:t>
      </w:r>
      <w:r>
        <w:rPr>
          <w:color w:val="231F20"/>
          <w:spacing w:val="12"/>
          <w:sz w:val="17"/>
        </w:rPr>
        <w:t> </w:t>
      </w:r>
      <w:r>
        <w:rPr>
          <w:color w:val="231F20"/>
          <w:sz w:val="17"/>
        </w:rPr>
        <w:t>sub</w:t>
      </w:r>
      <w:r>
        <w:rPr>
          <w:color w:val="231F20"/>
          <w:spacing w:val="13"/>
          <w:sz w:val="17"/>
        </w:rPr>
        <w:t> </w:t>
      </w:r>
      <w:r>
        <w:rPr>
          <w:rFonts w:ascii="Times New Roman" w:hAnsi="Times New Roman"/>
          <w:i/>
          <w:color w:val="231F20"/>
          <w:sz w:val="17"/>
        </w:rPr>
        <w:t>a)</w:t>
      </w:r>
      <w:r>
        <w:rPr>
          <w:color w:val="231F20"/>
          <w:sz w:val="17"/>
        </w:rPr>
        <w:t>,</w:t>
      </w:r>
      <w:r>
        <w:rPr>
          <w:color w:val="231F20"/>
          <w:spacing w:val="13"/>
          <w:sz w:val="17"/>
        </w:rPr>
        <w:t> </w:t>
      </w:r>
      <w:r>
        <w:rPr>
          <w:rFonts w:ascii="Times New Roman" w:hAnsi="Times New Roman"/>
          <w:i/>
          <w:color w:val="231F20"/>
          <w:sz w:val="17"/>
        </w:rPr>
        <w:t>b)</w:t>
      </w:r>
      <w:r>
        <w:rPr>
          <w:rFonts w:ascii="Times New Roman" w:hAnsi="Times New Roman"/>
          <w:i/>
          <w:color w:val="231F20"/>
          <w:spacing w:val="11"/>
          <w:sz w:val="17"/>
        </w:rPr>
        <w:t> </w:t>
      </w:r>
      <w:r>
        <w:rPr>
          <w:color w:val="231F20"/>
          <w:sz w:val="17"/>
        </w:rPr>
        <w:t>et</w:t>
      </w:r>
      <w:r>
        <w:rPr>
          <w:color w:val="231F20"/>
          <w:spacing w:val="13"/>
          <w:sz w:val="17"/>
        </w:rPr>
        <w:t> </w:t>
      </w:r>
      <w:r>
        <w:rPr>
          <w:rFonts w:ascii="Times New Roman" w:hAnsi="Times New Roman"/>
          <w:i/>
          <w:color w:val="231F20"/>
          <w:sz w:val="17"/>
        </w:rPr>
        <w:t>c)</w:t>
      </w:r>
      <w:r>
        <w:rPr>
          <w:color w:val="231F20"/>
          <w:sz w:val="17"/>
        </w:rPr>
        <w:t>;</w:t>
      </w:r>
    </w:p>
    <w:p>
      <w:pPr>
        <w:pStyle w:val="BodyText"/>
        <w:spacing w:before="10"/>
        <w:ind w:left="0" w:right="0" w:firstLine="0"/>
        <w:jc w:val="left"/>
        <w:rPr>
          <w:sz w:val="23"/>
        </w:rPr>
      </w:pPr>
    </w:p>
    <w:p>
      <w:pPr>
        <w:pStyle w:val="BodyText"/>
        <w:spacing w:line="218" w:lineRule="auto"/>
        <w:ind w:right="38"/>
      </w:pPr>
      <w:r>
        <w:rPr>
          <w:color w:val="231F20"/>
        </w:rPr>
        <w:t>2° “personnes liées à une personne”, les personnes physiques et morales lorsqu’il y a entre elles et cette personne un lien au sens du 1°.</w:t>
      </w:r>
    </w:p>
    <w:p>
      <w:pPr>
        <w:pStyle w:val="BodyText"/>
        <w:spacing w:before="10"/>
        <w:ind w:left="0" w:right="0" w:firstLine="0"/>
        <w:jc w:val="left"/>
        <w:rPr>
          <w:sz w:val="23"/>
        </w:rPr>
      </w:pPr>
    </w:p>
    <w:p>
      <w:pPr>
        <w:pStyle w:val="BodyText"/>
        <w:spacing w:line="218" w:lineRule="auto" w:before="1"/>
        <w:ind w:right="38"/>
      </w:pPr>
      <w:r>
        <w:rPr>
          <w:color w:val="231F20"/>
        </w:rPr>
        <w:t>Art. 1:21. Il faut entendre par “société associée”, toute société, autre qu’une filiale ou une filiale commune, dans laquelle une autre société détient une participation et sur l’orientation de laquelle elle exerce une influence notable.</w:t>
      </w:r>
    </w:p>
    <w:p>
      <w:pPr>
        <w:pStyle w:val="BodyText"/>
        <w:spacing w:before="10"/>
        <w:ind w:left="0" w:right="0" w:firstLine="0"/>
        <w:jc w:val="left"/>
        <w:rPr>
          <w:sz w:val="23"/>
        </w:rPr>
      </w:pPr>
    </w:p>
    <w:p>
      <w:pPr>
        <w:pStyle w:val="BodyText"/>
        <w:spacing w:line="218" w:lineRule="auto"/>
        <w:ind w:right="38"/>
      </w:pPr>
      <w:r>
        <w:rPr>
          <w:color w:val="231F20"/>
        </w:rPr>
        <w:t>Cette influence notable est présumée sauf preuve contraire, si les droits de vote attachés à cette participation représentent un cinquième ou plus des droits de vote des actionnaires ou associés de cette société. Les dispositions de l’article 1:16 sont applicables.</w:t>
      </w:r>
    </w:p>
    <w:p>
      <w:pPr>
        <w:pStyle w:val="BodyText"/>
        <w:spacing w:before="8"/>
        <w:ind w:left="0" w:right="0" w:firstLine="0"/>
        <w:jc w:val="left"/>
        <w:rPr>
          <w:sz w:val="22"/>
        </w:rPr>
      </w:pPr>
    </w:p>
    <w:p>
      <w:pPr>
        <w:pStyle w:val="BodyText"/>
        <w:spacing w:before="1"/>
        <w:ind w:left="284" w:right="0" w:firstLine="0"/>
        <w:jc w:val="left"/>
      </w:pPr>
      <w:r>
        <w:rPr>
          <w:color w:val="231F20"/>
        </w:rPr>
        <w:t>CHAPITRE 4. Participation et lien de participation.</w:t>
      </w:r>
    </w:p>
    <w:p>
      <w:pPr>
        <w:pStyle w:val="BodyText"/>
        <w:spacing w:line="218" w:lineRule="auto" w:before="92"/>
        <w:ind w:right="38"/>
      </w:pPr>
      <w:r>
        <w:rPr>
          <w:color w:val="231F20"/>
        </w:rPr>
        <w:t>Art. 1:22. Il faut entendre par “participation”, les droits sociaux détenus dans d’autres sociétés lorsque cette détention vise, par l’établissement d’un lien durable et spécifique avec ces sociétés, à permettre à la société d’exercer une influence sur l’orientation de la gestion de ces sociétés.</w:t>
      </w:r>
    </w:p>
    <w:p>
      <w:pPr>
        <w:pStyle w:val="BodyText"/>
        <w:spacing w:before="83"/>
        <w:ind w:left="284" w:right="0" w:firstLine="0"/>
        <w:jc w:val="left"/>
      </w:pPr>
      <w:r>
        <w:rPr>
          <w:color w:val="231F20"/>
        </w:rPr>
        <w:t>Est présumée constituer une participation, sauf preuve contraire:</w:t>
      </w:r>
    </w:p>
    <w:p>
      <w:pPr>
        <w:pStyle w:val="BodyText"/>
        <w:spacing w:before="7"/>
        <w:ind w:left="0" w:right="0" w:firstLine="0"/>
        <w:jc w:val="left"/>
        <w:rPr>
          <w:sz w:val="23"/>
        </w:rPr>
      </w:pPr>
    </w:p>
    <w:p>
      <w:pPr>
        <w:pStyle w:val="BodyText"/>
        <w:spacing w:line="218" w:lineRule="auto"/>
        <w:ind w:right="38"/>
      </w:pPr>
      <w:r>
        <w:rPr>
          <w:color w:val="231F20"/>
        </w:rPr>
        <w:t>1° la détention de droits sociaux représentant le dixième du capital, des capitaux propres ou d’une classe d’actions de la société;</w:t>
      </w:r>
    </w:p>
    <w:p>
      <w:pPr>
        <w:pStyle w:val="BodyText"/>
        <w:spacing w:line="218" w:lineRule="auto" w:before="119"/>
        <w:ind w:firstLine="0"/>
      </w:pPr>
      <w:r>
        <w:rPr/>
        <w:br w:type="column"/>
      </w:r>
      <w:r>
        <w:rPr>
          <w:color w:val="231F20"/>
          <w:w w:val="105"/>
        </w:rPr>
        <w:t>is</w:t>
      </w:r>
      <w:r>
        <w:rPr>
          <w:color w:val="231F20"/>
          <w:spacing w:val="-7"/>
          <w:w w:val="105"/>
        </w:rPr>
        <w:t> </w:t>
      </w:r>
      <w:r>
        <w:rPr>
          <w:color w:val="231F20"/>
          <w:w w:val="105"/>
        </w:rPr>
        <w:t>van</w:t>
      </w:r>
      <w:r>
        <w:rPr>
          <w:color w:val="231F20"/>
          <w:spacing w:val="-7"/>
          <w:w w:val="105"/>
        </w:rPr>
        <w:t> </w:t>
      </w:r>
      <w:r>
        <w:rPr>
          <w:color w:val="231F20"/>
          <w:w w:val="105"/>
        </w:rPr>
        <w:t>toepassing</w:t>
      </w:r>
      <w:r>
        <w:rPr>
          <w:color w:val="231F20"/>
          <w:spacing w:val="-7"/>
          <w:w w:val="105"/>
        </w:rPr>
        <w:t> </w:t>
      </w:r>
      <w:r>
        <w:rPr>
          <w:color w:val="231F20"/>
          <w:w w:val="105"/>
        </w:rPr>
        <w:t>in</w:t>
      </w:r>
      <w:r>
        <w:rPr>
          <w:color w:val="231F20"/>
          <w:spacing w:val="-7"/>
          <w:w w:val="105"/>
        </w:rPr>
        <w:t> </w:t>
      </w:r>
      <w:r>
        <w:rPr>
          <w:color w:val="231F20"/>
          <w:w w:val="105"/>
        </w:rPr>
        <w:t>het</w:t>
      </w:r>
      <w:r>
        <w:rPr>
          <w:color w:val="231F20"/>
          <w:spacing w:val="-7"/>
          <w:w w:val="105"/>
        </w:rPr>
        <w:t> </w:t>
      </w:r>
      <w:r>
        <w:rPr>
          <w:color w:val="231F20"/>
          <w:w w:val="105"/>
        </w:rPr>
        <w:t>in</w:t>
      </w:r>
      <w:r>
        <w:rPr>
          <w:color w:val="231F20"/>
          <w:spacing w:val="-7"/>
          <w:w w:val="105"/>
        </w:rPr>
        <w:t> </w:t>
      </w:r>
      <w:r>
        <w:rPr>
          <w:color w:val="231F20"/>
          <w:w w:val="105"/>
        </w:rPr>
        <w:t>artikel</w:t>
      </w:r>
      <w:r>
        <w:rPr>
          <w:color w:val="231F20"/>
          <w:spacing w:val="-7"/>
          <w:w w:val="105"/>
        </w:rPr>
        <w:t> </w:t>
      </w:r>
      <w:r>
        <w:rPr>
          <w:color w:val="231F20"/>
          <w:w w:val="105"/>
        </w:rPr>
        <w:t>1:14,</w:t>
      </w:r>
      <w:r>
        <w:rPr>
          <w:color w:val="231F20"/>
          <w:spacing w:val="-7"/>
          <w:w w:val="105"/>
        </w:rPr>
        <w:t> </w:t>
      </w:r>
      <w:r>
        <w:rPr>
          <w:color w:val="231F20"/>
          <w:w w:val="105"/>
        </w:rPr>
        <w:t>§</w:t>
      </w:r>
      <w:r>
        <w:rPr>
          <w:color w:val="231F20"/>
          <w:spacing w:val="-6"/>
          <w:w w:val="105"/>
        </w:rPr>
        <w:t> </w:t>
      </w:r>
      <w:r>
        <w:rPr>
          <w:color w:val="231F20"/>
          <w:w w:val="105"/>
        </w:rPr>
        <w:t>3,</w:t>
      </w:r>
      <w:r>
        <w:rPr>
          <w:color w:val="231F20"/>
          <w:spacing w:val="-7"/>
          <w:w w:val="105"/>
        </w:rPr>
        <w:t> </w:t>
      </w:r>
      <w:r>
        <w:rPr>
          <w:color w:val="231F20"/>
          <w:w w:val="105"/>
        </w:rPr>
        <w:t>tweede</w:t>
      </w:r>
      <w:r>
        <w:rPr>
          <w:color w:val="231F20"/>
          <w:spacing w:val="-7"/>
          <w:w w:val="105"/>
        </w:rPr>
        <w:t> </w:t>
      </w:r>
      <w:r>
        <w:rPr>
          <w:color w:val="231F20"/>
          <w:w w:val="105"/>
        </w:rPr>
        <w:t>lid,</w:t>
      </w:r>
      <w:r>
        <w:rPr>
          <w:color w:val="231F20"/>
          <w:spacing w:val="-7"/>
          <w:w w:val="105"/>
        </w:rPr>
        <w:t> </w:t>
      </w:r>
      <w:r>
        <w:rPr>
          <w:color w:val="231F20"/>
          <w:w w:val="105"/>
        </w:rPr>
        <w:t>bedoelde</w:t>
      </w:r>
      <w:r>
        <w:rPr>
          <w:color w:val="231F20"/>
          <w:spacing w:val="-7"/>
          <w:w w:val="105"/>
        </w:rPr>
        <w:t> </w:t>
      </w:r>
      <w:r>
        <w:rPr>
          <w:color w:val="231F20"/>
          <w:w w:val="105"/>
        </w:rPr>
        <w:t>geval, wat</w:t>
      </w:r>
      <w:r>
        <w:rPr>
          <w:color w:val="231F20"/>
          <w:spacing w:val="-9"/>
          <w:w w:val="105"/>
        </w:rPr>
        <w:t> </w:t>
      </w:r>
      <w:r>
        <w:rPr>
          <w:color w:val="231F20"/>
          <w:w w:val="105"/>
        </w:rPr>
        <w:t>de</w:t>
      </w:r>
      <w:r>
        <w:rPr>
          <w:color w:val="231F20"/>
          <w:spacing w:val="-8"/>
          <w:w w:val="105"/>
        </w:rPr>
        <w:t> </w:t>
      </w:r>
      <w:r>
        <w:rPr>
          <w:color w:val="231F20"/>
          <w:w w:val="105"/>
        </w:rPr>
        <w:t>effecten</w:t>
      </w:r>
      <w:r>
        <w:rPr>
          <w:color w:val="231F20"/>
          <w:spacing w:val="-8"/>
          <w:w w:val="105"/>
        </w:rPr>
        <w:t> </w:t>
      </w:r>
      <w:r>
        <w:rPr>
          <w:color w:val="231F20"/>
          <w:w w:val="105"/>
        </w:rPr>
        <w:t>betreft</w:t>
      </w:r>
      <w:r>
        <w:rPr>
          <w:color w:val="231F20"/>
          <w:spacing w:val="-8"/>
          <w:w w:val="105"/>
        </w:rPr>
        <w:t> </w:t>
      </w:r>
      <w:r>
        <w:rPr>
          <w:color w:val="231F20"/>
          <w:w w:val="105"/>
        </w:rPr>
        <w:t>die</w:t>
      </w:r>
      <w:r>
        <w:rPr>
          <w:color w:val="231F20"/>
          <w:spacing w:val="-8"/>
          <w:w w:val="105"/>
        </w:rPr>
        <w:t> </w:t>
      </w:r>
      <w:r>
        <w:rPr>
          <w:color w:val="231F20"/>
          <w:w w:val="105"/>
        </w:rPr>
        <w:t>op</w:t>
      </w:r>
      <w:r>
        <w:rPr>
          <w:color w:val="231F20"/>
          <w:spacing w:val="-8"/>
          <w:w w:val="105"/>
        </w:rPr>
        <w:t> </w:t>
      </w:r>
      <w:r>
        <w:rPr>
          <w:color w:val="231F20"/>
          <w:w w:val="105"/>
        </w:rPr>
        <w:t>de</w:t>
      </w:r>
      <w:r>
        <w:rPr>
          <w:color w:val="231F20"/>
          <w:spacing w:val="-8"/>
          <w:w w:val="105"/>
        </w:rPr>
        <w:t> </w:t>
      </w:r>
      <w:r>
        <w:rPr>
          <w:color w:val="231F20"/>
          <w:w w:val="105"/>
        </w:rPr>
        <w:t>laatste</w:t>
      </w:r>
      <w:r>
        <w:rPr>
          <w:color w:val="231F20"/>
          <w:spacing w:val="-9"/>
          <w:w w:val="105"/>
        </w:rPr>
        <w:t> </w:t>
      </w:r>
      <w:r>
        <w:rPr>
          <w:color w:val="231F20"/>
          <w:w w:val="105"/>
        </w:rPr>
        <w:t>twee</w:t>
      </w:r>
      <w:r>
        <w:rPr>
          <w:color w:val="231F20"/>
          <w:spacing w:val="-8"/>
          <w:w w:val="105"/>
        </w:rPr>
        <w:t> </w:t>
      </w:r>
      <w:r>
        <w:rPr>
          <w:color w:val="231F20"/>
          <w:w w:val="105"/>
        </w:rPr>
        <w:t>algemene</w:t>
      </w:r>
      <w:r>
        <w:rPr>
          <w:color w:val="231F20"/>
          <w:spacing w:val="-8"/>
          <w:w w:val="105"/>
        </w:rPr>
        <w:t> </w:t>
      </w:r>
      <w:r>
        <w:rPr>
          <w:color w:val="231F20"/>
          <w:w w:val="105"/>
        </w:rPr>
        <w:t>vergaderingen zijn</w:t>
      </w:r>
      <w:r>
        <w:rPr>
          <w:color w:val="231F20"/>
          <w:spacing w:val="12"/>
          <w:w w:val="105"/>
        </w:rPr>
        <w:t> </w:t>
      </w:r>
      <w:r>
        <w:rPr>
          <w:color w:val="231F20"/>
          <w:w w:val="105"/>
        </w:rPr>
        <w:t>vertegenwoordigd.</w:t>
      </w:r>
    </w:p>
    <w:p>
      <w:pPr>
        <w:pStyle w:val="BodyText"/>
        <w:spacing w:line="218" w:lineRule="auto" w:before="86"/>
      </w:pPr>
      <w:r>
        <w:rPr>
          <w:color w:val="231F20"/>
        </w:rPr>
        <w:t>§ 2. Onder “tussenpersoon” wordt verstaan, elke persoon die optreedt krachtens een overeenkomst van lastgeving, commissie, portage, naamlening, fiducie of een overeenkomst met een gelijkwaar- dige</w:t>
      </w:r>
      <w:r>
        <w:rPr>
          <w:color w:val="231F20"/>
          <w:spacing w:val="17"/>
        </w:rPr>
        <w:t> </w:t>
      </w:r>
      <w:r>
        <w:rPr>
          <w:color w:val="231F20"/>
        </w:rPr>
        <w:t>uitwerking,</w:t>
      </w:r>
      <w:r>
        <w:rPr>
          <w:color w:val="231F20"/>
          <w:spacing w:val="17"/>
        </w:rPr>
        <w:t> </w:t>
      </w:r>
      <w:r>
        <w:rPr>
          <w:color w:val="231F20"/>
        </w:rPr>
        <w:t>voor</w:t>
      </w:r>
      <w:r>
        <w:rPr>
          <w:color w:val="231F20"/>
          <w:spacing w:val="17"/>
        </w:rPr>
        <w:t> </w:t>
      </w:r>
      <w:r>
        <w:rPr>
          <w:color w:val="231F20"/>
        </w:rPr>
        <w:t>rekening</w:t>
      </w:r>
      <w:r>
        <w:rPr>
          <w:color w:val="231F20"/>
          <w:spacing w:val="18"/>
        </w:rPr>
        <w:t> </w:t>
      </w:r>
      <w:r>
        <w:rPr>
          <w:color w:val="231F20"/>
        </w:rPr>
        <w:t>van</w:t>
      </w:r>
      <w:r>
        <w:rPr>
          <w:color w:val="231F20"/>
          <w:spacing w:val="17"/>
        </w:rPr>
        <w:t> </w:t>
      </w:r>
      <w:r>
        <w:rPr>
          <w:color w:val="231F20"/>
        </w:rPr>
        <w:t>een</w:t>
      </w:r>
      <w:r>
        <w:rPr>
          <w:color w:val="231F20"/>
          <w:spacing w:val="17"/>
        </w:rPr>
        <w:t> </w:t>
      </w:r>
      <w:r>
        <w:rPr>
          <w:color w:val="231F20"/>
        </w:rPr>
        <w:t>andere</w:t>
      </w:r>
      <w:r>
        <w:rPr>
          <w:color w:val="231F20"/>
          <w:spacing w:val="17"/>
        </w:rPr>
        <w:t> </w:t>
      </w:r>
      <w:r>
        <w:rPr>
          <w:color w:val="231F20"/>
        </w:rPr>
        <w:t>persoon.</w:t>
      </w:r>
    </w:p>
    <w:p>
      <w:pPr>
        <w:pStyle w:val="BodyText"/>
        <w:spacing w:line="218" w:lineRule="auto" w:before="86"/>
      </w:pPr>
      <w:r>
        <w:rPr>
          <w:color w:val="231F20"/>
        </w:rPr>
        <w:t>Art. 1:17. Onder “exclusieve controle” wordt verstaan,  de  controle die een vennootschap alleen of samen met één of meer van haar dochtervennootschappen</w:t>
      </w:r>
      <w:r>
        <w:rPr>
          <w:color w:val="231F20"/>
          <w:spacing w:val="15"/>
        </w:rPr>
        <w:t> </w:t>
      </w:r>
      <w:r>
        <w:rPr>
          <w:color w:val="231F20"/>
        </w:rPr>
        <w:t>uitoefent.</w:t>
      </w:r>
    </w:p>
    <w:p>
      <w:pPr>
        <w:pStyle w:val="BodyText"/>
        <w:spacing w:line="218" w:lineRule="auto" w:before="85"/>
      </w:pPr>
      <w:r>
        <w:rPr>
          <w:color w:val="231F20"/>
        </w:rPr>
        <w:t>Art. 1:18. Onder “gezamenlijke controle” wordt verstaan, de controle die een beperkt aantal vennoten samen uitoefenen, wanneer zij zijn overeengekomen dat beslissingen over de oriëntatie van het beleid niet zonder hun gemeenschappelijke instemming kunnen worden geno- men.</w:t>
      </w:r>
    </w:p>
    <w:p>
      <w:pPr>
        <w:pStyle w:val="BodyText"/>
        <w:spacing w:line="218" w:lineRule="auto" w:before="86"/>
      </w:pPr>
      <w:r>
        <w:rPr>
          <w:color w:val="231F20"/>
        </w:rPr>
        <w:t>Onder “gemeenschappelijke dochtervennootschap” wordt verstaan, de vennootschap ten opzichte waarvan een gezamenlijke controle bestaat.</w:t>
      </w:r>
    </w:p>
    <w:p>
      <w:pPr>
        <w:pStyle w:val="BodyText"/>
        <w:spacing w:before="71"/>
        <w:ind w:left="283" w:right="0" w:firstLine="0"/>
        <w:jc w:val="left"/>
      </w:pPr>
      <w:r>
        <w:rPr>
          <w:color w:val="231F20"/>
        </w:rPr>
        <w:t>HOOFDSTUK 2. Consortium.</w:t>
      </w:r>
    </w:p>
    <w:p>
      <w:pPr>
        <w:pStyle w:val="BodyText"/>
        <w:spacing w:line="218" w:lineRule="auto" w:before="93"/>
      </w:pPr>
      <w:r>
        <w:rPr>
          <w:color w:val="231F20"/>
        </w:rPr>
        <w:t>Art. 1:19. § 1. Onder “consortium” wordt verstaan, de situatie waarbij een vennootschap enerzijds, en één of meer andere vennootschappen naar Belgisch of naar buitenlands recht anderzijds, die geen dochter- vennootschappen zijn van elkaar, noch dochtervennootschappen zijn van één en dezelfde vennootschap, onder centrale leiding staan.</w:t>
      </w:r>
    </w:p>
    <w:p>
      <w:pPr>
        <w:pStyle w:val="BodyText"/>
        <w:spacing w:line="218" w:lineRule="auto" w:before="96"/>
      </w:pPr>
      <w:r>
        <w:rPr>
          <w:color w:val="231F20"/>
        </w:rPr>
        <w:t>§ 2. Deze vennootschappen worden onweerlegbaar vermoed onder centrale leiding te</w:t>
      </w:r>
      <w:r>
        <w:rPr>
          <w:color w:val="231F20"/>
          <w:spacing w:val="3"/>
        </w:rPr>
        <w:t> </w:t>
      </w:r>
      <w:r>
        <w:rPr>
          <w:color w:val="231F20"/>
        </w:rPr>
        <w:t>staan:</w:t>
      </w:r>
    </w:p>
    <w:p>
      <w:pPr>
        <w:pStyle w:val="BodyText"/>
        <w:spacing w:line="218" w:lineRule="auto" w:before="97"/>
      </w:pPr>
      <w:r>
        <w:rPr>
          <w:color w:val="231F20"/>
        </w:rPr>
        <w:t>1° wanneer de centrale leiding van deze vennootschappen voort- vloeit uit tussen deze vennootschappen gesloten overeenkomsten of uit statutaire bepalingen,</w:t>
      </w:r>
      <w:r>
        <w:rPr>
          <w:color w:val="231F20"/>
          <w:spacing w:val="-12"/>
        </w:rPr>
        <w:t> </w:t>
      </w:r>
      <w:r>
        <w:rPr>
          <w:color w:val="231F20"/>
        </w:rPr>
        <w:t>of</w:t>
      </w:r>
    </w:p>
    <w:p>
      <w:pPr>
        <w:pStyle w:val="BodyText"/>
        <w:spacing w:line="218" w:lineRule="auto" w:before="96"/>
      </w:pPr>
      <w:r>
        <w:rPr>
          <w:color w:val="231F20"/>
        </w:rPr>
        <w:t>2° wanneer hun bestuursorganen voor het merendeel bestaan uit dezelfde personen.</w:t>
      </w:r>
    </w:p>
    <w:p>
      <w:pPr>
        <w:pStyle w:val="BodyText"/>
        <w:spacing w:line="218" w:lineRule="auto" w:before="96"/>
      </w:pPr>
      <w:r>
        <w:rPr>
          <w:color w:val="231F20"/>
        </w:rPr>
        <w:t>§ 3. Behoudens tegenbewijs worden vennootschappen vermoed onder centrale leiding te staan wanneer de meerderheid van de stemrechten verbonden aan hun effecten worden gehouden door dezelfde</w:t>
      </w:r>
      <w:r>
        <w:rPr>
          <w:color w:val="231F20"/>
          <w:spacing w:val="17"/>
        </w:rPr>
        <w:t> </w:t>
      </w:r>
      <w:r>
        <w:rPr>
          <w:color w:val="231F20"/>
        </w:rPr>
        <w:t>personen.</w:t>
      </w:r>
      <w:r>
        <w:rPr>
          <w:color w:val="231F20"/>
          <w:spacing w:val="18"/>
        </w:rPr>
        <w:t> </w:t>
      </w:r>
      <w:r>
        <w:rPr>
          <w:color w:val="231F20"/>
        </w:rPr>
        <w:t>De</w:t>
      </w:r>
      <w:r>
        <w:rPr>
          <w:color w:val="231F20"/>
          <w:spacing w:val="17"/>
        </w:rPr>
        <w:t> </w:t>
      </w:r>
      <w:r>
        <w:rPr>
          <w:color w:val="231F20"/>
        </w:rPr>
        <w:t>bepalingen</w:t>
      </w:r>
      <w:r>
        <w:rPr>
          <w:color w:val="231F20"/>
          <w:spacing w:val="18"/>
        </w:rPr>
        <w:t> </w:t>
      </w:r>
      <w:r>
        <w:rPr>
          <w:color w:val="231F20"/>
        </w:rPr>
        <w:t>van</w:t>
      </w:r>
      <w:r>
        <w:rPr>
          <w:color w:val="231F20"/>
          <w:spacing w:val="17"/>
        </w:rPr>
        <w:t> </w:t>
      </w:r>
      <w:r>
        <w:rPr>
          <w:color w:val="231F20"/>
        </w:rPr>
        <w:t>artikel</w:t>
      </w:r>
      <w:r>
        <w:rPr>
          <w:color w:val="231F20"/>
          <w:spacing w:val="18"/>
        </w:rPr>
        <w:t> </w:t>
      </w:r>
      <w:r>
        <w:rPr>
          <w:color w:val="231F20"/>
        </w:rPr>
        <w:t>1:16</w:t>
      </w:r>
      <w:r>
        <w:rPr>
          <w:color w:val="231F20"/>
          <w:spacing w:val="18"/>
        </w:rPr>
        <w:t> </w:t>
      </w:r>
      <w:r>
        <w:rPr>
          <w:color w:val="231F20"/>
        </w:rPr>
        <w:t>zijn</w:t>
      </w:r>
      <w:r>
        <w:rPr>
          <w:color w:val="231F20"/>
          <w:spacing w:val="17"/>
        </w:rPr>
        <w:t> </w:t>
      </w:r>
      <w:r>
        <w:rPr>
          <w:color w:val="231F20"/>
        </w:rPr>
        <w:t>van</w:t>
      </w:r>
      <w:r>
        <w:rPr>
          <w:color w:val="231F20"/>
          <w:spacing w:val="18"/>
        </w:rPr>
        <w:t> </w:t>
      </w:r>
      <w:r>
        <w:rPr>
          <w:color w:val="231F20"/>
        </w:rPr>
        <w:t>toepassing.</w:t>
      </w:r>
    </w:p>
    <w:p>
      <w:pPr>
        <w:pStyle w:val="BodyText"/>
        <w:spacing w:line="218" w:lineRule="auto" w:before="96"/>
      </w:pPr>
      <w:r>
        <w:rPr>
          <w:color w:val="231F20"/>
        </w:rPr>
        <w:t>Deze paragraaf is niet van toepassing op de effecten gehouden door overheden.</w:t>
      </w:r>
    </w:p>
    <w:p>
      <w:pPr>
        <w:pStyle w:val="BodyText"/>
        <w:spacing w:line="338" w:lineRule="auto" w:before="82"/>
        <w:ind w:left="283" w:right="169" w:firstLine="0"/>
        <w:jc w:val="left"/>
      </w:pPr>
      <w:r>
        <w:rPr>
          <w:color w:val="231F20"/>
        </w:rPr>
        <w:t>HOOFDSTUK 3. </w:t>
      </w:r>
      <w:r>
        <w:rPr>
          <w:color w:val="231F20"/>
          <w:spacing w:val="-3"/>
        </w:rPr>
        <w:t>Verbonden </w:t>
      </w:r>
      <w:r>
        <w:rPr>
          <w:color w:val="231F20"/>
        </w:rPr>
        <w:t>en  geassocieerde  vennootschappen. Art. 1:20. </w:t>
      </w:r>
      <w:r>
        <w:rPr>
          <w:color w:val="231F20"/>
          <w:spacing w:val="-5"/>
        </w:rPr>
        <w:t>Voor </w:t>
      </w:r>
      <w:r>
        <w:rPr>
          <w:color w:val="231F20"/>
        </w:rPr>
        <w:t>de toepassing van dit wetboek wordt verstaan onder: 1°</w:t>
      </w:r>
      <w:r>
        <w:rPr>
          <w:color w:val="231F20"/>
          <w:spacing w:val="18"/>
        </w:rPr>
        <w:t> </w:t>
      </w:r>
      <w:r>
        <w:rPr>
          <w:color w:val="231F20"/>
        </w:rPr>
        <w:t>“met</w:t>
      </w:r>
      <w:r>
        <w:rPr>
          <w:color w:val="231F20"/>
          <w:spacing w:val="18"/>
        </w:rPr>
        <w:t> </w:t>
      </w:r>
      <w:r>
        <w:rPr>
          <w:color w:val="231F20"/>
        </w:rPr>
        <w:t>een</w:t>
      </w:r>
      <w:r>
        <w:rPr>
          <w:color w:val="231F20"/>
          <w:spacing w:val="18"/>
        </w:rPr>
        <w:t> </w:t>
      </w:r>
      <w:r>
        <w:rPr>
          <w:color w:val="231F20"/>
        </w:rPr>
        <w:t>vennootschap</w:t>
      </w:r>
      <w:r>
        <w:rPr>
          <w:color w:val="231F20"/>
          <w:spacing w:val="19"/>
        </w:rPr>
        <w:t> </w:t>
      </w:r>
      <w:r>
        <w:rPr>
          <w:color w:val="231F20"/>
        </w:rPr>
        <w:t>verbonden</w:t>
      </w:r>
      <w:r>
        <w:rPr>
          <w:color w:val="231F20"/>
          <w:spacing w:val="18"/>
        </w:rPr>
        <w:t> </w:t>
      </w:r>
      <w:r>
        <w:rPr>
          <w:color w:val="231F20"/>
        </w:rPr>
        <w:t>vennootschappen”:</w:t>
      </w:r>
    </w:p>
    <w:p>
      <w:pPr>
        <w:pStyle w:val="ListParagraph"/>
        <w:numPr>
          <w:ilvl w:val="0"/>
          <w:numId w:val="3"/>
        </w:numPr>
        <w:tabs>
          <w:tab w:pos="468" w:val="left" w:leader="none"/>
        </w:tabs>
        <w:spacing w:line="218" w:lineRule="auto" w:before="10" w:after="0"/>
        <w:ind w:left="113" w:right="124" w:firstLine="170"/>
        <w:jc w:val="both"/>
        <w:rPr>
          <w:sz w:val="17"/>
        </w:rPr>
      </w:pPr>
      <w:r>
        <w:rPr>
          <w:color w:val="231F20"/>
          <w:sz w:val="17"/>
        </w:rPr>
        <w:t>de vennootschappen waarover zij een controlebevoegdheid uitoe- fent;</w:t>
      </w:r>
    </w:p>
    <w:p>
      <w:pPr>
        <w:pStyle w:val="ListParagraph"/>
        <w:numPr>
          <w:ilvl w:val="0"/>
          <w:numId w:val="3"/>
        </w:numPr>
        <w:tabs>
          <w:tab w:pos="531" w:val="left" w:leader="none"/>
        </w:tabs>
        <w:spacing w:line="218" w:lineRule="auto" w:before="94" w:after="0"/>
        <w:ind w:left="113" w:right="124" w:firstLine="170"/>
        <w:jc w:val="both"/>
        <w:rPr>
          <w:sz w:val="17"/>
        </w:rPr>
      </w:pPr>
      <w:r>
        <w:rPr>
          <w:color w:val="231F20"/>
          <w:sz w:val="17"/>
        </w:rPr>
        <w:t>de vennootschappen die een controlebevoegdheid over haar uitoefenen;</w:t>
      </w:r>
    </w:p>
    <w:p>
      <w:pPr>
        <w:pStyle w:val="ListParagraph"/>
        <w:numPr>
          <w:ilvl w:val="0"/>
          <w:numId w:val="3"/>
        </w:numPr>
        <w:tabs>
          <w:tab w:pos="467" w:val="left" w:leader="none"/>
        </w:tabs>
        <w:spacing w:line="240" w:lineRule="auto" w:before="79" w:after="0"/>
        <w:ind w:left="466" w:right="0" w:hanging="183"/>
        <w:jc w:val="left"/>
        <w:rPr>
          <w:sz w:val="17"/>
        </w:rPr>
      </w:pPr>
      <w:r>
        <w:rPr>
          <w:color w:val="231F20"/>
          <w:sz w:val="17"/>
        </w:rPr>
        <w:t>de</w:t>
      </w:r>
      <w:r>
        <w:rPr>
          <w:color w:val="231F20"/>
          <w:spacing w:val="16"/>
          <w:sz w:val="17"/>
        </w:rPr>
        <w:t> </w:t>
      </w:r>
      <w:r>
        <w:rPr>
          <w:color w:val="231F20"/>
          <w:sz w:val="17"/>
        </w:rPr>
        <w:t>vennootschappen</w:t>
      </w:r>
      <w:r>
        <w:rPr>
          <w:color w:val="231F20"/>
          <w:spacing w:val="17"/>
          <w:sz w:val="17"/>
        </w:rPr>
        <w:t> </w:t>
      </w:r>
      <w:r>
        <w:rPr>
          <w:color w:val="231F20"/>
          <w:sz w:val="17"/>
        </w:rPr>
        <w:t>waarmee</w:t>
      </w:r>
      <w:r>
        <w:rPr>
          <w:color w:val="231F20"/>
          <w:spacing w:val="16"/>
          <w:sz w:val="17"/>
        </w:rPr>
        <w:t> </w:t>
      </w:r>
      <w:r>
        <w:rPr>
          <w:color w:val="231F20"/>
          <w:sz w:val="17"/>
        </w:rPr>
        <w:t>zij</w:t>
      </w:r>
      <w:r>
        <w:rPr>
          <w:color w:val="231F20"/>
          <w:spacing w:val="17"/>
          <w:sz w:val="17"/>
        </w:rPr>
        <w:t> </w:t>
      </w:r>
      <w:r>
        <w:rPr>
          <w:color w:val="231F20"/>
          <w:sz w:val="17"/>
        </w:rPr>
        <w:t>een</w:t>
      </w:r>
      <w:r>
        <w:rPr>
          <w:color w:val="231F20"/>
          <w:spacing w:val="16"/>
          <w:sz w:val="17"/>
        </w:rPr>
        <w:t> </w:t>
      </w:r>
      <w:r>
        <w:rPr>
          <w:color w:val="231F20"/>
          <w:sz w:val="17"/>
        </w:rPr>
        <w:t>consortium</w:t>
      </w:r>
      <w:r>
        <w:rPr>
          <w:color w:val="231F20"/>
          <w:spacing w:val="17"/>
          <w:sz w:val="17"/>
        </w:rPr>
        <w:t> </w:t>
      </w:r>
      <w:r>
        <w:rPr>
          <w:color w:val="231F20"/>
          <w:sz w:val="17"/>
        </w:rPr>
        <w:t>vormt;</w:t>
      </w:r>
    </w:p>
    <w:p>
      <w:pPr>
        <w:pStyle w:val="ListParagraph"/>
        <w:numPr>
          <w:ilvl w:val="0"/>
          <w:numId w:val="3"/>
        </w:numPr>
        <w:tabs>
          <w:tab w:pos="495" w:val="left" w:leader="none"/>
        </w:tabs>
        <w:spacing w:line="216" w:lineRule="auto" w:before="91" w:after="0"/>
        <w:ind w:left="113" w:right="124" w:firstLine="170"/>
        <w:jc w:val="both"/>
        <w:rPr>
          <w:sz w:val="17"/>
        </w:rPr>
      </w:pPr>
      <w:r>
        <w:rPr>
          <w:color w:val="231F20"/>
          <w:sz w:val="17"/>
        </w:rPr>
        <w:t>de andere vennootschappen die, bij weten van haar bestuursor- gaan, onder de controle staan van de vennootschappen bedoeld in </w:t>
      </w:r>
      <w:r>
        <w:rPr>
          <w:rFonts w:ascii="Times New Roman"/>
          <w:i/>
          <w:color w:val="231F20"/>
          <w:sz w:val="17"/>
        </w:rPr>
        <w:t>a)</w:t>
      </w:r>
      <w:r>
        <w:rPr>
          <w:color w:val="231F20"/>
          <w:sz w:val="17"/>
        </w:rPr>
        <w:t>, </w:t>
      </w:r>
      <w:r>
        <w:rPr>
          <w:rFonts w:ascii="Times New Roman"/>
          <w:i/>
          <w:color w:val="231F20"/>
          <w:sz w:val="17"/>
        </w:rPr>
        <w:t>b) </w:t>
      </w:r>
      <w:r>
        <w:rPr>
          <w:color w:val="231F20"/>
          <w:sz w:val="17"/>
        </w:rPr>
        <w:t>en</w:t>
      </w:r>
      <w:r>
        <w:rPr>
          <w:color w:val="231F20"/>
          <w:spacing w:val="14"/>
          <w:sz w:val="17"/>
        </w:rPr>
        <w:t> </w:t>
      </w:r>
      <w:r>
        <w:rPr>
          <w:rFonts w:ascii="Times New Roman"/>
          <w:i/>
          <w:color w:val="231F20"/>
          <w:sz w:val="17"/>
        </w:rPr>
        <w:t>c)</w:t>
      </w:r>
      <w:r>
        <w:rPr>
          <w:color w:val="231F20"/>
          <w:sz w:val="17"/>
        </w:rPr>
        <w:t>;</w:t>
      </w:r>
    </w:p>
    <w:p>
      <w:pPr>
        <w:pStyle w:val="BodyText"/>
        <w:spacing w:line="218" w:lineRule="auto" w:before="96"/>
      </w:pPr>
      <w:r>
        <w:rPr>
          <w:color w:val="231F20"/>
        </w:rPr>
        <w:t>2° “personen verbonden met een persoon”, de natuurlijke en rechtspersonen die zijn verbonden met een persoon in de betekenis van het 1°.</w:t>
      </w:r>
    </w:p>
    <w:p>
      <w:pPr>
        <w:pStyle w:val="BodyText"/>
        <w:spacing w:line="218" w:lineRule="auto" w:before="96"/>
      </w:pPr>
      <w:r>
        <w:rPr>
          <w:color w:val="231F20"/>
        </w:rPr>
        <w:t>Art. 1:21. Onder “geassocieerde vennootschap” wordt verstaan, elke andere vennootschap dan een dochtervennootschap of een gemeen- schappelijke dochtervennootschap waarin een andere vennootschap een deelneming bezit en waarin zij een invloed van betekenis uitoefent op</w:t>
      </w:r>
      <w:r>
        <w:rPr>
          <w:color w:val="231F20"/>
          <w:spacing w:val="15"/>
        </w:rPr>
        <w:t> </w:t>
      </w:r>
      <w:r>
        <w:rPr>
          <w:color w:val="231F20"/>
        </w:rPr>
        <w:t>de</w:t>
      </w:r>
      <w:r>
        <w:rPr>
          <w:color w:val="231F20"/>
          <w:spacing w:val="15"/>
        </w:rPr>
        <w:t> </w:t>
      </w:r>
      <w:r>
        <w:rPr>
          <w:color w:val="231F20"/>
        </w:rPr>
        <w:t>oriëntatie</w:t>
      </w:r>
      <w:r>
        <w:rPr>
          <w:color w:val="231F20"/>
          <w:spacing w:val="15"/>
        </w:rPr>
        <w:t> </w:t>
      </w:r>
      <w:r>
        <w:rPr>
          <w:color w:val="231F20"/>
        </w:rPr>
        <w:t>van</w:t>
      </w:r>
      <w:r>
        <w:rPr>
          <w:color w:val="231F20"/>
          <w:spacing w:val="15"/>
        </w:rPr>
        <w:t> </w:t>
      </w:r>
      <w:r>
        <w:rPr>
          <w:color w:val="231F20"/>
        </w:rPr>
        <w:t>het</w:t>
      </w:r>
      <w:r>
        <w:rPr>
          <w:color w:val="231F20"/>
          <w:spacing w:val="15"/>
        </w:rPr>
        <w:t> </w:t>
      </w:r>
      <w:r>
        <w:rPr>
          <w:color w:val="231F20"/>
        </w:rPr>
        <w:t>beleid.</w:t>
      </w:r>
    </w:p>
    <w:p>
      <w:pPr>
        <w:pStyle w:val="BodyText"/>
        <w:spacing w:line="218" w:lineRule="auto" w:before="96"/>
      </w:pPr>
      <w:r>
        <w:rPr>
          <w:color w:val="231F20"/>
        </w:rPr>
        <w:t>Behoudens tegenbewijs wordt deze invloed van betekenis vermoed indien de stemrechten verbonden aan deze deelneming één vijfde of meer vertegenwoordigen van het totaal aantal stemrechten van de aandeelhouders of vennoten van deze vennootschap. De  bepalingen van</w:t>
      </w:r>
      <w:r>
        <w:rPr>
          <w:color w:val="231F20"/>
          <w:spacing w:val="15"/>
        </w:rPr>
        <w:t> </w:t>
      </w:r>
      <w:r>
        <w:rPr>
          <w:color w:val="231F20"/>
        </w:rPr>
        <w:t>artikel</w:t>
      </w:r>
      <w:r>
        <w:rPr>
          <w:color w:val="231F20"/>
          <w:spacing w:val="15"/>
        </w:rPr>
        <w:t> </w:t>
      </w:r>
      <w:r>
        <w:rPr>
          <w:color w:val="231F20"/>
        </w:rPr>
        <w:t>1:16</w:t>
      </w:r>
      <w:r>
        <w:rPr>
          <w:color w:val="231F20"/>
          <w:spacing w:val="16"/>
        </w:rPr>
        <w:t> </w:t>
      </w:r>
      <w:r>
        <w:rPr>
          <w:color w:val="231F20"/>
        </w:rPr>
        <w:t>zijn</w:t>
      </w:r>
      <w:r>
        <w:rPr>
          <w:color w:val="231F20"/>
          <w:spacing w:val="15"/>
        </w:rPr>
        <w:t> </w:t>
      </w:r>
      <w:r>
        <w:rPr>
          <w:color w:val="231F20"/>
        </w:rPr>
        <w:t>van</w:t>
      </w:r>
      <w:r>
        <w:rPr>
          <w:color w:val="231F20"/>
          <w:spacing w:val="16"/>
        </w:rPr>
        <w:t> </w:t>
      </w:r>
      <w:r>
        <w:rPr>
          <w:color w:val="231F20"/>
        </w:rPr>
        <w:t>toepassing.</w:t>
      </w:r>
    </w:p>
    <w:p>
      <w:pPr>
        <w:pStyle w:val="BodyText"/>
        <w:spacing w:before="83"/>
        <w:ind w:left="283" w:right="0" w:firstLine="0"/>
        <w:jc w:val="left"/>
      </w:pPr>
      <w:r>
        <w:rPr>
          <w:color w:val="231F20"/>
        </w:rPr>
        <w:t>HOOFDSTUK 4. Deelneming en deelnemingsverhouding.</w:t>
      </w:r>
    </w:p>
    <w:p>
      <w:pPr>
        <w:pStyle w:val="BodyText"/>
        <w:spacing w:line="218" w:lineRule="auto" w:before="92"/>
      </w:pPr>
      <w:r>
        <w:rPr>
          <w:color w:val="231F20"/>
        </w:rPr>
        <w:t>Art. 1:22. Onder “deelnemingen” wordt verstaan, de maatschappe- lijke rechten in andere vennootschappen die ertoe strekken door het scheppen van een duurzame en specifieke band met die andere vennootschappen, de vennootschap in staat te stellen een invloed uit te oefenen op de oriëntatie van het beleid van deze vennootschappen.</w:t>
      </w:r>
    </w:p>
    <w:p>
      <w:pPr>
        <w:pStyle w:val="BodyText"/>
        <w:spacing w:line="218" w:lineRule="auto" w:before="97"/>
      </w:pPr>
      <w:r>
        <w:rPr>
          <w:color w:val="231F20"/>
        </w:rPr>
        <w:t>Behoudens bewijs van het tegendeel, wordt vermoed een deelneming te zijn:</w:t>
      </w:r>
    </w:p>
    <w:p>
      <w:pPr>
        <w:pStyle w:val="BodyText"/>
        <w:spacing w:line="218" w:lineRule="auto" w:before="96"/>
      </w:pPr>
      <w:r>
        <w:rPr>
          <w:color w:val="231F20"/>
        </w:rPr>
        <w:t>1° het bezit van maatschappelijke rechten die één tiende vertegen- woordigen van het kapitaal, van het eigen vermogen of van een soort aandelen van een vennootschap;</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1120" from="298.170502pt,64.473pt" to="298.170502pt,812.819pt" stroked="true" strokeweight=".533pt" strokecolor="#231f20">
            <v:stroke dashstyle="solid"/>
            <w10:wrap type="none"/>
          </v:line>
        </w:pict>
      </w:r>
      <w:bookmarkStart w:name="_bookmark4" w:id="6"/>
      <w:bookmarkEnd w:id="6"/>
      <w:r>
        <w:rPr/>
      </w:r>
      <w:r>
        <w:rPr>
          <w:color w:val="231F20"/>
        </w:rPr>
        <w:t>2° la détention de droits sociaux représentant une quotité inférieure à 10</w:t>
      </w:r>
      <w:r>
        <w:rPr>
          <w:color w:val="231F20"/>
          <w:spacing w:val="-12"/>
        </w:rPr>
        <w:t> </w:t>
      </w:r>
      <w:r>
        <w:rPr>
          <w:color w:val="231F20"/>
        </w:rPr>
        <w:t>%:</w:t>
      </w:r>
    </w:p>
    <w:p>
      <w:pPr>
        <w:pStyle w:val="ListParagraph"/>
        <w:numPr>
          <w:ilvl w:val="0"/>
          <w:numId w:val="4"/>
        </w:numPr>
        <w:tabs>
          <w:tab w:pos="471" w:val="left" w:leader="none"/>
        </w:tabs>
        <w:spacing w:line="218" w:lineRule="auto" w:before="105" w:after="0"/>
        <w:ind w:left="113" w:right="38" w:firstLine="170"/>
        <w:jc w:val="both"/>
        <w:rPr>
          <w:sz w:val="17"/>
        </w:rPr>
      </w:pPr>
      <w:r>
        <w:rPr>
          <w:color w:val="231F20"/>
          <w:sz w:val="17"/>
        </w:rPr>
        <w:t>lorsque par l’addition des droits sociaux détenus dans une même société par la société et par ses filiales, ceux-ci représentent le dixième du capital, des capitaux propres ou d’une classe d’actions de la société en</w:t>
      </w:r>
      <w:r>
        <w:rPr>
          <w:color w:val="231F20"/>
          <w:spacing w:val="14"/>
          <w:sz w:val="17"/>
        </w:rPr>
        <w:t> </w:t>
      </w:r>
      <w:r>
        <w:rPr>
          <w:color w:val="231F20"/>
          <w:sz w:val="17"/>
        </w:rPr>
        <w:t>cause;</w:t>
      </w:r>
    </w:p>
    <w:p>
      <w:pPr>
        <w:pStyle w:val="ListParagraph"/>
        <w:numPr>
          <w:ilvl w:val="0"/>
          <w:numId w:val="4"/>
        </w:numPr>
        <w:tabs>
          <w:tab w:pos="484" w:val="left" w:leader="none"/>
        </w:tabs>
        <w:spacing w:line="218" w:lineRule="auto" w:before="104" w:after="0"/>
        <w:ind w:left="113" w:right="38" w:firstLine="170"/>
        <w:jc w:val="both"/>
        <w:rPr>
          <w:sz w:val="17"/>
        </w:rPr>
      </w:pPr>
      <w:r>
        <w:rPr>
          <w:color w:val="231F20"/>
          <w:sz w:val="17"/>
        </w:rPr>
        <w:t>lorsque les actes de disposition relatifs à ces actions ou parts ou l’exercice des droits y afférents sont soumis à des stipulations conven- tionnelles ou à des engagements unilatéraux auxquels le détenteur a souscrit.</w:t>
      </w:r>
    </w:p>
    <w:p>
      <w:pPr>
        <w:pStyle w:val="BodyText"/>
        <w:spacing w:line="218" w:lineRule="auto" w:before="107"/>
        <w:ind w:right="38"/>
      </w:pPr>
      <w:r>
        <w:rPr>
          <w:color w:val="231F20"/>
        </w:rPr>
        <w:t>Art. 1:23. Par “sociétés avec lesquelles il existe un lien de participa- tion”, il faut entendre les sociétés, autres que les sociétés liées:</w:t>
      </w:r>
    </w:p>
    <w:p>
      <w:pPr>
        <w:pStyle w:val="BodyText"/>
        <w:spacing w:before="10"/>
        <w:ind w:left="0" w:right="0" w:firstLine="0"/>
        <w:jc w:val="left"/>
        <w:rPr>
          <w:sz w:val="24"/>
        </w:rPr>
      </w:pPr>
    </w:p>
    <w:p>
      <w:pPr>
        <w:pStyle w:val="BodyText"/>
        <w:spacing w:line="218" w:lineRule="auto"/>
        <w:ind w:right="38"/>
      </w:pPr>
      <w:r>
        <w:rPr>
          <w:color w:val="231F20"/>
        </w:rPr>
        <w:t>1° dans lesquelles la société ou ses filiales détiennent une participa- tion;</w:t>
      </w:r>
    </w:p>
    <w:p>
      <w:pPr>
        <w:pStyle w:val="BodyText"/>
        <w:spacing w:line="218" w:lineRule="auto" w:before="107"/>
        <w:ind w:right="38"/>
      </w:pPr>
      <w:r>
        <w:rPr>
          <w:color w:val="231F20"/>
        </w:rPr>
        <w:t>2° qui, à la connaissance de l’organe d’administration de la société, détiennent directement ou par le biais de leurs filiales une participation dans le capital de la société;</w:t>
      </w:r>
    </w:p>
    <w:p>
      <w:pPr>
        <w:pStyle w:val="BodyText"/>
        <w:spacing w:line="218" w:lineRule="auto" w:before="106"/>
        <w:ind w:right="38"/>
      </w:pPr>
      <w:r>
        <w:rPr>
          <w:color w:val="231F20"/>
        </w:rPr>
        <w:t>3° qui, à la connaissance de l’organe d’administration de la société, sont filiales des sociétés visées au 2°.</w:t>
      </w:r>
    </w:p>
    <w:p>
      <w:pPr>
        <w:pStyle w:val="BodyText"/>
        <w:spacing w:line="331" w:lineRule="auto" w:before="93"/>
        <w:ind w:left="283" w:right="1150" w:hanging="1"/>
        <w:jc w:val="left"/>
      </w:pPr>
      <w:r>
        <w:rPr>
          <w:color w:val="231F20"/>
        </w:rPr>
        <w:t>TITRE 5. Dimension des sociétés et des groupes. CHAPITRE 1</w:t>
      </w:r>
      <w:r>
        <w:rPr>
          <w:color w:val="231F20"/>
          <w:position w:val="7"/>
          <w:sz w:val="11"/>
        </w:rPr>
        <w:t>er</w:t>
      </w:r>
      <w:r>
        <w:rPr>
          <w:color w:val="231F20"/>
        </w:rPr>
        <w:t>. Petites sociétés.</w:t>
      </w:r>
    </w:p>
    <w:p>
      <w:pPr>
        <w:pStyle w:val="BodyText"/>
        <w:spacing w:line="218" w:lineRule="auto" w:before="16"/>
        <w:ind w:right="38"/>
      </w:pPr>
      <w:r>
        <w:rPr>
          <w:color w:val="231F20"/>
        </w:rPr>
        <w:t>Art. 1:24. § 1</w:t>
      </w:r>
      <w:r>
        <w:rPr>
          <w:color w:val="231F20"/>
          <w:position w:val="7"/>
          <w:sz w:val="11"/>
        </w:rPr>
        <w:t>er</w:t>
      </w:r>
      <w:r>
        <w:rPr>
          <w:color w:val="231F20"/>
        </w:rPr>
        <w:t>. Les petites sociétés sont les sociétés dotées de la personnalité</w:t>
      </w:r>
      <w:r>
        <w:rPr>
          <w:color w:val="231F20"/>
          <w:spacing w:val="-4"/>
        </w:rPr>
        <w:t> </w:t>
      </w:r>
      <w:r>
        <w:rPr>
          <w:color w:val="231F20"/>
        </w:rPr>
        <w:t>juridique</w:t>
      </w:r>
      <w:r>
        <w:rPr>
          <w:color w:val="231F20"/>
          <w:spacing w:val="-3"/>
        </w:rPr>
        <w:t> </w:t>
      </w:r>
      <w:r>
        <w:rPr>
          <w:color w:val="231F20"/>
        </w:rPr>
        <w:t>qui,</w:t>
      </w:r>
      <w:r>
        <w:rPr>
          <w:color w:val="231F20"/>
          <w:spacing w:val="-3"/>
        </w:rPr>
        <w:t> </w:t>
      </w:r>
      <w:r>
        <w:rPr>
          <w:color w:val="231F20"/>
        </w:rPr>
        <w:t>à</w:t>
      </w:r>
      <w:r>
        <w:rPr>
          <w:color w:val="231F20"/>
          <w:spacing w:val="-4"/>
        </w:rPr>
        <w:t> </w:t>
      </w:r>
      <w:r>
        <w:rPr>
          <w:color w:val="231F20"/>
        </w:rPr>
        <w:t>la</w:t>
      </w:r>
      <w:r>
        <w:rPr>
          <w:color w:val="231F20"/>
          <w:spacing w:val="-3"/>
        </w:rPr>
        <w:t> </w:t>
      </w:r>
      <w:r>
        <w:rPr>
          <w:color w:val="231F20"/>
        </w:rPr>
        <w:t>date</w:t>
      </w:r>
      <w:r>
        <w:rPr>
          <w:color w:val="231F20"/>
          <w:spacing w:val="-3"/>
        </w:rPr>
        <w:t> </w:t>
      </w:r>
      <w:r>
        <w:rPr>
          <w:color w:val="231F20"/>
        </w:rPr>
        <w:t>de</w:t>
      </w:r>
      <w:r>
        <w:rPr>
          <w:color w:val="231F20"/>
          <w:spacing w:val="-3"/>
        </w:rPr>
        <w:t> </w:t>
      </w:r>
      <w:r>
        <w:rPr>
          <w:color w:val="231F20"/>
        </w:rPr>
        <w:t>bilan</w:t>
      </w:r>
      <w:r>
        <w:rPr>
          <w:color w:val="231F20"/>
          <w:spacing w:val="-4"/>
        </w:rPr>
        <w:t> </w:t>
      </w:r>
      <w:r>
        <w:rPr>
          <w:color w:val="231F20"/>
        </w:rPr>
        <w:t>du</w:t>
      </w:r>
      <w:r>
        <w:rPr>
          <w:color w:val="231F20"/>
          <w:spacing w:val="-3"/>
        </w:rPr>
        <w:t> </w:t>
      </w:r>
      <w:r>
        <w:rPr>
          <w:color w:val="231F20"/>
        </w:rPr>
        <w:t>dernier</w:t>
      </w:r>
      <w:r>
        <w:rPr>
          <w:color w:val="231F20"/>
          <w:spacing w:val="-3"/>
        </w:rPr>
        <w:t> </w:t>
      </w:r>
      <w:r>
        <w:rPr>
          <w:color w:val="231F20"/>
        </w:rPr>
        <w:t>exercice</w:t>
      </w:r>
      <w:r>
        <w:rPr>
          <w:color w:val="231F20"/>
          <w:spacing w:val="-4"/>
        </w:rPr>
        <w:t> </w:t>
      </w:r>
      <w:r>
        <w:rPr>
          <w:color w:val="231F20"/>
        </w:rPr>
        <w:t>clôturé, ne</w:t>
      </w:r>
      <w:r>
        <w:rPr>
          <w:color w:val="231F20"/>
          <w:spacing w:val="15"/>
        </w:rPr>
        <w:t> </w:t>
      </w:r>
      <w:r>
        <w:rPr>
          <w:color w:val="231F20"/>
        </w:rPr>
        <w:t>dépassent</w:t>
      </w:r>
      <w:r>
        <w:rPr>
          <w:color w:val="231F20"/>
          <w:spacing w:val="16"/>
        </w:rPr>
        <w:t> </w:t>
      </w:r>
      <w:r>
        <w:rPr>
          <w:color w:val="231F20"/>
        </w:rPr>
        <w:t>pas</w:t>
      </w:r>
      <w:r>
        <w:rPr>
          <w:color w:val="231F20"/>
          <w:spacing w:val="15"/>
        </w:rPr>
        <w:t> </w:t>
      </w:r>
      <w:r>
        <w:rPr>
          <w:color w:val="231F20"/>
        </w:rPr>
        <w:t>plus</w:t>
      </w:r>
      <w:r>
        <w:rPr>
          <w:color w:val="231F20"/>
          <w:spacing w:val="16"/>
        </w:rPr>
        <w:t> </w:t>
      </w:r>
      <w:r>
        <w:rPr>
          <w:color w:val="231F20"/>
        </w:rPr>
        <w:t>d’un</w:t>
      </w:r>
      <w:r>
        <w:rPr>
          <w:color w:val="231F20"/>
          <w:spacing w:val="15"/>
        </w:rPr>
        <w:t> </w:t>
      </w:r>
      <w:r>
        <w:rPr>
          <w:color w:val="231F20"/>
        </w:rPr>
        <w:t>des</w:t>
      </w:r>
      <w:r>
        <w:rPr>
          <w:color w:val="231F20"/>
          <w:spacing w:val="16"/>
        </w:rPr>
        <w:t> </w:t>
      </w:r>
      <w:r>
        <w:rPr>
          <w:color w:val="231F20"/>
        </w:rPr>
        <w:t>critères</w:t>
      </w:r>
      <w:r>
        <w:rPr>
          <w:color w:val="231F20"/>
          <w:spacing w:val="16"/>
        </w:rPr>
        <w:t> </w:t>
      </w:r>
      <w:r>
        <w:rPr>
          <w:color w:val="231F20"/>
        </w:rPr>
        <w:t>suivants:</w:t>
      </w:r>
    </w:p>
    <w:p>
      <w:pPr>
        <w:pStyle w:val="ListParagraph"/>
        <w:numPr>
          <w:ilvl w:val="0"/>
          <w:numId w:val="1"/>
        </w:numPr>
        <w:tabs>
          <w:tab w:pos="511" w:val="left" w:leader="none"/>
        </w:tabs>
        <w:spacing w:line="240" w:lineRule="auto" w:before="93" w:after="0"/>
        <w:ind w:left="510" w:right="0" w:hanging="227"/>
        <w:jc w:val="left"/>
        <w:rPr>
          <w:sz w:val="17"/>
        </w:rPr>
      </w:pPr>
      <w:r>
        <w:rPr>
          <w:color w:val="231F20"/>
          <w:sz w:val="17"/>
        </w:rPr>
        <w:t>nombre</w:t>
      </w:r>
      <w:r>
        <w:rPr>
          <w:color w:val="231F20"/>
          <w:spacing w:val="14"/>
          <w:sz w:val="17"/>
        </w:rPr>
        <w:t> </w:t>
      </w:r>
      <w:r>
        <w:rPr>
          <w:color w:val="231F20"/>
          <w:sz w:val="17"/>
        </w:rPr>
        <w:t>de</w:t>
      </w:r>
      <w:r>
        <w:rPr>
          <w:color w:val="231F20"/>
          <w:spacing w:val="13"/>
          <w:sz w:val="17"/>
        </w:rPr>
        <w:t> </w:t>
      </w:r>
      <w:r>
        <w:rPr>
          <w:color w:val="231F20"/>
          <w:sz w:val="17"/>
        </w:rPr>
        <w:t>travailleurs,</w:t>
      </w:r>
      <w:r>
        <w:rPr>
          <w:color w:val="231F20"/>
          <w:spacing w:val="14"/>
          <w:sz w:val="17"/>
        </w:rPr>
        <w:t> </w:t>
      </w:r>
      <w:r>
        <w:rPr>
          <w:color w:val="231F20"/>
          <w:sz w:val="17"/>
        </w:rPr>
        <w:t>en</w:t>
      </w:r>
      <w:r>
        <w:rPr>
          <w:color w:val="231F20"/>
          <w:spacing w:val="14"/>
          <w:sz w:val="17"/>
        </w:rPr>
        <w:t> </w:t>
      </w:r>
      <w:r>
        <w:rPr>
          <w:color w:val="231F20"/>
          <w:sz w:val="17"/>
        </w:rPr>
        <w:t>moyenne</w:t>
      </w:r>
      <w:r>
        <w:rPr>
          <w:color w:val="231F20"/>
          <w:spacing w:val="14"/>
          <w:sz w:val="17"/>
        </w:rPr>
        <w:t> </w:t>
      </w:r>
      <w:r>
        <w:rPr>
          <w:color w:val="231F20"/>
          <w:sz w:val="17"/>
        </w:rPr>
        <w:t>annuelle:</w:t>
      </w:r>
      <w:r>
        <w:rPr>
          <w:color w:val="231F20"/>
          <w:spacing w:val="14"/>
          <w:sz w:val="17"/>
        </w:rPr>
        <w:t> </w:t>
      </w:r>
      <w:r>
        <w:rPr>
          <w:color w:val="231F20"/>
          <w:sz w:val="17"/>
        </w:rPr>
        <w:t>50;</w:t>
      </w:r>
    </w:p>
    <w:p>
      <w:pPr>
        <w:pStyle w:val="ListParagraph"/>
        <w:numPr>
          <w:ilvl w:val="0"/>
          <w:numId w:val="1"/>
        </w:numPr>
        <w:tabs>
          <w:tab w:pos="585" w:val="left" w:leader="none"/>
        </w:tabs>
        <w:spacing w:line="218" w:lineRule="auto" w:before="103" w:after="0"/>
        <w:ind w:left="113" w:right="39" w:firstLine="170"/>
        <w:jc w:val="both"/>
        <w:rPr>
          <w:sz w:val="17"/>
        </w:rPr>
      </w:pPr>
      <w:r>
        <w:rPr>
          <w:color w:val="231F20"/>
          <w:sz w:val="17"/>
        </w:rPr>
        <w:t>chiffre  d’affaires   annuel,   hors   taxe   sur   la   valeur   ajoutée:  9 000 000</w:t>
      </w:r>
      <w:r>
        <w:rPr>
          <w:color w:val="231F20"/>
          <w:spacing w:val="39"/>
          <w:sz w:val="17"/>
        </w:rPr>
        <w:t> </w:t>
      </w:r>
      <w:r>
        <w:rPr>
          <w:color w:val="231F20"/>
          <w:sz w:val="17"/>
        </w:rPr>
        <w:t>euros;</w:t>
      </w:r>
    </w:p>
    <w:p>
      <w:pPr>
        <w:pStyle w:val="ListParagraph"/>
        <w:numPr>
          <w:ilvl w:val="0"/>
          <w:numId w:val="1"/>
        </w:numPr>
        <w:tabs>
          <w:tab w:pos="511" w:val="left" w:leader="none"/>
        </w:tabs>
        <w:spacing w:line="240" w:lineRule="auto" w:before="103" w:after="0"/>
        <w:ind w:left="510" w:right="0" w:hanging="227"/>
        <w:jc w:val="left"/>
        <w:rPr>
          <w:sz w:val="17"/>
        </w:rPr>
      </w:pPr>
      <w:r>
        <w:rPr>
          <w:color w:val="231F20"/>
          <w:sz w:val="17"/>
        </w:rPr>
        <w:t>total</w:t>
      </w:r>
      <w:r>
        <w:rPr>
          <w:color w:val="231F20"/>
          <w:spacing w:val="12"/>
          <w:sz w:val="17"/>
        </w:rPr>
        <w:t> </w:t>
      </w:r>
      <w:r>
        <w:rPr>
          <w:color w:val="231F20"/>
          <w:sz w:val="17"/>
        </w:rPr>
        <w:t>du</w:t>
      </w:r>
      <w:r>
        <w:rPr>
          <w:color w:val="231F20"/>
          <w:spacing w:val="13"/>
          <w:sz w:val="17"/>
        </w:rPr>
        <w:t> </w:t>
      </w:r>
      <w:r>
        <w:rPr>
          <w:color w:val="231F20"/>
          <w:sz w:val="17"/>
        </w:rPr>
        <w:t>bilan:</w:t>
      </w:r>
      <w:r>
        <w:rPr>
          <w:color w:val="231F20"/>
          <w:spacing w:val="13"/>
          <w:sz w:val="17"/>
        </w:rPr>
        <w:t> </w:t>
      </w:r>
      <w:r>
        <w:rPr>
          <w:color w:val="231F20"/>
          <w:sz w:val="17"/>
        </w:rPr>
        <w:t>4</w:t>
      </w:r>
      <w:r>
        <w:rPr>
          <w:color w:val="231F20"/>
          <w:spacing w:val="13"/>
          <w:sz w:val="17"/>
        </w:rPr>
        <w:t> </w:t>
      </w:r>
      <w:r>
        <w:rPr>
          <w:color w:val="231F20"/>
          <w:sz w:val="17"/>
        </w:rPr>
        <w:t>500</w:t>
      </w:r>
      <w:r>
        <w:rPr>
          <w:color w:val="231F20"/>
          <w:spacing w:val="12"/>
          <w:sz w:val="17"/>
        </w:rPr>
        <w:t> </w:t>
      </w:r>
      <w:r>
        <w:rPr>
          <w:color w:val="231F20"/>
          <w:sz w:val="17"/>
        </w:rPr>
        <w:t>000</w:t>
      </w:r>
      <w:r>
        <w:rPr>
          <w:color w:val="231F20"/>
          <w:spacing w:val="13"/>
          <w:sz w:val="17"/>
        </w:rPr>
        <w:t> </w:t>
      </w:r>
      <w:r>
        <w:rPr>
          <w:color w:val="231F20"/>
          <w:sz w:val="17"/>
        </w:rPr>
        <w:t>euros.</w:t>
      </w:r>
    </w:p>
    <w:p>
      <w:pPr>
        <w:pStyle w:val="BodyText"/>
        <w:spacing w:line="216" w:lineRule="auto" w:before="116"/>
        <w:ind w:right="38"/>
      </w:pPr>
      <w:r>
        <w:rPr>
          <w:color w:val="231F20"/>
        </w:rPr>
        <w:t>§ 2. Le fait de dépasser ou de ne plus dépasser plus d’un des critères visés au paragraphe 1</w:t>
      </w:r>
      <w:r>
        <w:rPr>
          <w:color w:val="231F20"/>
          <w:position w:val="7"/>
          <w:sz w:val="11"/>
        </w:rPr>
        <w:t>er </w:t>
      </w:r>
      <w:r>
        <w:rPr>
          <w:color w:val="231F20"/>
        </w:rPr>
        <w:t>n’a d’incidence que si cette circonstance se produit pendant deux exercices consécutifs. Dans ce cas, les</w:t>
      </w:r>
      <w:r>
        <w:rPr>
          <w:color w:val="231F20"/>
          <w:spacing w:val="-12"/>
        </w:rPr>
        <w:t> </w:t>
      </w:r>
      <w:r>
        <w:rPr>
          <w:color w:val="231F20"/>
        </w:rPr>
        <w:t>conséquen- ces de ce dépassement s’appliqueront à partir de l’exercice suivant l’exercice au cours duquel, pour la deuxième fois, plus d’un des critères ont</w:t>
      </w:r>
      <w:r>
        <w:rPr>
          <w:color w:val="231F20"/>
          <w:spacing w:val="15"/>
        </w:rPr>
        <w:t> </w:t>
      </w:r>
      <w:r>
        <w:rPr>
          <w:color w:val="231F20"/>
        </w:rPr>
        <w:t>été</w:t>
      </w:r>
      <w:r>
        <w:rPr>
          <w:color w:val="231F20"/>
          <w:spacing w:val="15"/>
        </w:rPr>
        <w:t> </w:t>
      </w:r>
      <w:r>
        <w:rPr>
          <w:color w:val="231F20"/>
        </w:rPr>
        <w:t>dépassés</w:t>
      </w:r>
      <w:r>
        <w:rPr>
          <w:color w:val="231F20"/>
          <w:spacing w:val="15"/>
        </w:rPr>
        <w:t> </w:t>
      </w:r>
      <w:r>
        <w:rPr>
          <w:color w:val="231F20"/>
        </w:rPr>
        <w:t>ou</w:t>
      </w:r>
      <w:r>
        <w:rPr>
          <w:color w:val="231F20"/>
          <w:spacing w:val="16"/>
        </w:rPr>
        <w:t> </w:t>
      </w:r>
      <w:r>
        <w:rPr>
          <w:color w:val="231F20"/>
        </w:rPr>
        <w:t>ne</w:t>
      </w:r>
      <w:r>
        <w:rPr>
          <w:color w:val="231F20"/>
          <w:spacing w:val="15"/>
        </w:rPr>
        <w:t> </w:t>
      </w:r>
      <w:r>
        <w:rPr>
          <w:color w:val="231F20"/>
        </w:rPr>
        <w:t>sont</w:t>
      </w:r>
      <w:r>
        <w:rPr>
          <w:color w:val="231F20"/>
          <w:spacing w:val="15"/>
        </w:rPr>
        <w:t> </w:t>
      </w:r>
      <w:r>
        <w:rPr>
          <w:color w:val="231F20"/>
        </w:rPr>
        <w:t>plus</w:t>
      </w:r>
      <w:r>
        <w:rPr>
          <w:color w:val="231F20"/>
          <w:spacing w:val="15"/>
        </w:rPr>
        <w:t> </w:t>
      </w:r>
      <w:r>
        <w:rPr>
          <w:color w:val="231F20"/>
        </w:rPr>
        <w:t>dépassés.</w:t>
      </w:r>
    </w:p>
    <w:p>
      <w:pPr>
        <w:pStyle w:val="BodyText"/>
        <w:spacing w:before="1"/>
        <w:ind w:left="0" w:right="0" w:firstLine="0"/>
        <w:jc w:val="left"/>
        <w:rPr>
          <w:sz w:val="24"/>
        </w:rPr>
      </w:pPr>
    </w:p>
    <w:p>
      <w:pPr>
        <w:pStyle w:val="BodyText"/>
        <w:spacing w:line="218" w:lineRule="auto"/>
        <w:ind w:right="38"/>
      </w:pPr>
      <w:r>
        <w:rPr>
          <w:color w:val="231F20"/>
        </w:rPr>
        <w:t>§ 3. L’application des critères fixés au paragraphe 1</w:t>
      </w:r>
      <w:r>
        <w:rPr>
          <w:color w:val="231F20"/>
          <w:position w:val="7"/>
          <w:sz w:val="11"/>
        </w:rPr>
        <w:t>er </w:t>
      </w:r>
      <w:r>
        <w:rPr>
          <w:color w:val="231F20"/>
        </w:rPr>
        <w:t>aux sociétés qui commencent leurs activités fait l’objet d’une estimation de bonne foi au début de l’exercice. S’il ressort de cette estimation que plus d’un des critères seront dépassés au cours du premier exercice, il faut en tenir compte dès ce premier exercice.</w:t>
      </w:r>
    </w:p>
    <w:p>
      <w:pPr>
        <w:pStyle w:val="BodyText"/>
        <w:spacing w:before="11"/>
        <w:ind w:left="0" w:right="0" w:firstLine="0"/>
        <w:jc w:val="left"/>
        <w:rPr>
          <w:sz w:val="25"/>
        </w:rPr>
      </w:pPr>
    </w:p>
    <w:p>
      <w:pPr>
        <w:pStyle w:val="BodyText"/>
        <w:spacing w:line="216" w:lineRule="auto"/>
        <w:ind w:right="38"/>
      </w:pPr>
      <w:r>
        <w:rPr>
          <w:color w:val="231F20"/>
        </w:rPr>
        <w:t>§ 4. Lorsque l’exercice a exceptionnellement une durée inférieure ou supérieure à douze mois, cette durée ne pouvant pas dépasser vingt-quatre mois moins un jour calendrier, le montant du </w:t>
      </w:r>
      <w:r>
        <w:rPr>
          <w:color w:val="231F20"/>
          <w:spacing w:val="-3"/>
        </w:rPr>
        <w:t>chiffre </w:t>
      </w:r>
      <w:r>
        <w:rPr>
          <w:color w:val="231F20"/>
        </w:rPr>
        <w:t>d’affaires à l’exclusion de la taxe sur la valeur ajoutée, visé au paragraphe 1</w:t>
      </w:r>
      <w:r>
        <w:rPr>
          <w:color w:val="231F20"/>
          <w:position w:val="7"/>
          <w:sz w:val="11"/>
        </w:rPr>
        <w:t>er</w:t>
      </w:r>
      <w:r>
        <w:rPr>
          <w:color w:val="231F20"/>
        </w:rPr>
        <w:t>, est multiplié par une fraction dont le dénominateur est douze et le numérateur le nombre de mois compris dans l’exercice considéré,</w:t>
      </w:r>
      <w:r>
        <w:rPr>
          <w:color w:val="231F20"/>
          <w:spacing w:val="15"/>
        </w:rPr>
        <w:t> </w:t>
      </w:r>
      <w:r>
        <w:rPr>
          <w:color w:val="231F20"/>
        </w:rPr>
        <w:t>tout</w:t>
      </w:r>
      <w:r>
        <w:rPr>
          <w:color w:val="231F20"/>
          <w:spacing w:val="15"/>
        </w:rPr>
        <w:t> </w:t>
      </w:r>
      <w:r>
        <w:rPr>
          <w:color w:val="231F20"/>
        </w:rPr>
        <w:t>mois</w:t>
      </w:r>
      <w:r>
        <w:rPr>
          <w:color w:val="231F20"/>
          <w:spacing w:val="15"/>
        </w:rPr>
        <w:t> </w:t>
      </w:r>
      <w:r>
        <w:rPr>
          <w:color w:val="231F20"/>
        </w:rPr>
        <w:t>commencé</w:t>
      </w:r>
      <w:r>
        <w:rPr>
          <w:color w:val="231F20"/>
          <w:spacing w:val="15"/>
        </w:rPr>
        <w:t> </w:t>
      </w:r>
      <w:r>
        <w:rPr>
          <w:color w:val="231F20"/>
        </w:rPr>
        <w:t>étant</w:t>
      </w:r>
      <w:r>
        <w:rPr>
          <w:color w:val="231F20"/>
          <w:spacing w:val="15"/>
        </w:rPr>
        <w:t> </w:t>
      </w:r>
      <w:r>
        <w:rPr>
          <w:color w:val="231F20"/>
        </w:rPr>
        <w:t>compté</w:t>
      </w:r>
      <w:r>
        <w:rPr>
          <w:color w:val="231F20"/>
          <w:spacing w:val="16"/>
        </w:rPr>
        <w:t> </w:t>
      </w:r>
      <w:r>
        <w:rPr>
          <w:color w:val="231F20"/>
        </w:rPr>
        <w:t>pour</w:t>
      </w:r>
      <w:r>
        <w:rPr>
          <w:color w:val="231F20"/>
          <w:spacing w:val="15"/>
        </w:rPr>
        <w:t> </w:t>
      </w:r>
      <w:r>
        <w:rPr>
          <w:color w:val="231F20"/>
        </w:rPr>
        <w:t>un</w:t>
      </w:r>
      <w:r>
        <w:rPr>
          <w:color w:val="231F20"/>
          <w:spacing w:val="15"/>
        </w:rPr>
        <w:t> </w:t>
      </w:r>
      <w:r>
        <w:rPr>
          <w:color w:val="231F20"/>
        </w:rPr>
        <w:t>mois</w:t>
      </w:r>
      <w:r>
        <w:rPr>
          <w:color w:val="231F20"/>
          <w:spacing w:val="15"/>
        </w:rPr>
        <w:t> </w:t>
      </w:r>
      <w:r>
        <w:rPr>
          <w:color w:val="231F20"/>
        </w:rPr>
        <w:t>complet.</w:t>
      </w:r>
    </w:p>
    <w:p>
      <w:pPr>
        <w:pStyle w:val="BodyText"/>
        <w:spacing w:before="8"/>
        <w:ind w:left="0" w:right="0" w:firstLine="0"/>
        <w:jc w:val="left"/>
        <w:rPr>
          <w:sz w:val="25"/>
        </w:rPr>
      </w:pPr>
    </w:p>
    <w:p>
      <w:pPr>
        <w:pStyle w:val="BodyText"/>
        <w:spacing w:line="216" w:lineRule="auto"/>
        <w:ind w:right="38"/>
      </w:pPr>
      <w:r>
        <w:rPr>
          <w:color w:val="231F20"/>
        </w:rPr>
        <w:t>§ 5. Le nombre moyen des travailleurs occupés,  visé  au  paragra- phe 1</w:t>
      </w:r>
      <w:r>
        <w:rPr>
          <w:color w:val="231F20"/>
          <w:position w:val="7"/>
          <w:sz w:val="11"/>
        </w:rPr>
        <w:t>er</w:t>
      </w:r>
      <w:r>
        <w:rPr>
          <w:color w:val="231F20"/>
        </w:rPr>
        <w:t>, est le nombre moyen des travailleurs exprimé en équivalents à temps plein inscrits à la banque de données DIMONA conformément à l’arrêté</w:t>
      </w:r>
      <w:r>
        <w:rPr>
          <w:color w:val="231F20"/>
          <w:spacing w:val="-8"/>
        </w:rPr>
        <w:t> </w:t>
      </w:r>
      <w:r>
        <w:rPr>
          <w:color w:val="231F20"/>
        </w:rPr>
        <w:t>royal</w:t>
      </w:r>
      <w:r>
        <w:rPr>
          <w:color w:val="231F20"/>
          <w:spacing w:val="-7"/>
        </w:rPr>
        <w:t> </w:t>
      </w:r>
      <w:r>
        <w:rPr>
          <w:color w:val="231F20"/>
        </w:rPr>
        <w:t>du</w:t>
      </w:r>
      <w:r>
        <w:rPr>
          <w:color w:val="231F20"/>
          <w:spacing w:val="-8"/>
        </w:rPr>
        <w:t> </w:t>
      </w:r>
      <w:r>
        <w:rPr>
          <w:color w:val="231F20"/>
        </w:rPr>
        <w:t>5</w:t>
      </w:r>
      <w:r>
        <w:rPr>
          <w:color w:val="231F20"/>
          <w:spacing w:val="-7"/>
        </w:rPr>
        <w:t> </w:t>
      </w:r>
      <w:r>
        <w:rPr>
          <w:color w:val="231F20"/>
        </w:rPr>
        <w:t>novembre</w:t>
      </w:r>
      <w:r>
        <w:rPr>
          <w:color w:val="231F20"/>
          <w:spacing w:val="-8"/>
        </w:rPr>
        <w:t> </w:t>
      </w:r>
      <w:r>
        <w:rPr>
          <w:color w:val="231F20"/>
        </w:rPr>
        <w:t>2002</w:t>
      </w:r>
      <w:r>
        <w:rPr>
          <w:color w:val="231F20"/>
          <w:spacing w:val="-7"/>
        </w:rPr>
        <w:t> </w:t>
      </w:r>
      <w:r>
        <w:rPr>
          <w:color w:val="231F20"/>
        </w:rPr>
        <w:t>instaurant</w:t>
      </w:r>
      <w:r>
        <w:rPr>
          <w:color w:val="231F20"/>
          <w:spacing w:val="-8"/>
        </w:rPr>
        <w:t> </w:t>
      </w:r>
      <w:r>
        <w:rPr>
          <w:color w:val="231F20"/>
        </w:rPr>
        <w:t>une</w:t>
      </w:r>
      <w:r>
        <w:rPr>
          <w:color w:val="231F20"/>
          <w:spacing w:val="-7"/>
        </w:rPr>
        <w:t> </w:t>
      </w:r>
      <w:r>
        <w:rPr>
          <w:color w:val="231F20"/>
        </w:rPr>
        <w:t>déclaration</w:t>
      </w:r>
      <w:r>
        <w:rPr>
          <w:color w:val="231F20"/>
          <w:spacing w:val="-8"/>
        </w:rPr>
        <w:t> </w:t>
      </w:r>
      <w:r>
        <w:rPr>
          <w:color w:val="231F20"/>
        </w:rPr>
        <w:t>immédiate de l’emploi, en application de l’article 38 de la loi du 26 juillet 1996</w:t>
      </w:r>
      <w:r>
        <w:rPr>
          <w:color w:val="231F20"/>
          <w:spacing w:val="-11"/>
        </w:rPr>
        <w:t> </w:t>
      </w:r>
      <w:r>
        <w:rPr>
          <w:color w:val="231F20"/>
        </w:rPr>
        <w:t>por- tant modernisation de la sécurité sociale et assurant la viabilité des régimes légaux des pensions, à la fin de chaque mois de l’exercice, ou lorsque l’emploi ne relève pas du champ d’application de cet arrêté royal, le nombre moyen des travailleurs exprimé en équivalents à  temps plein inscrits au registre général du personnel ou dans un document</w:t>
      </w:r>
      <w:r>
        <w:rPr>
          <w:color w:val="231F20"/>
          <w:spacing w:val="17"/>
        </w:rPr>
        <w:t> </w:t>
      </w:r>
      <w:r>
        <w:rPr>
          <w:color w:val="231F20"/>
        </w:rPr>
        <w:t>équivalent</w:t>
      </w:r>
      <w:r>
        <w:rPr>
          <w:color w:val="231F20"/>
          <w:spacing w:val="18"/>
        </w:rPr>
        <w:t> </w:t>
      </w:r>
      <w:r>
        <w:rPr>
          <w:color w:val="231F20"/>
        </w:rPr>
        <w:t>à</w:t>
      </w:r>
      <w:r>
        <w:rPr>
          <w:color w:val="231F20"/>
          <w:spacing w:val="17"/>
        </w:rPr>
        <w:t> </w:t>
      </w:r>
      <w:r>
        <w:rPr>
          <w:color w:val="231F20"/>
        </w:rPr>
        <w:t>la</w:t>
      </w:r>
      <w:r>
        <w:rPr>
          <w:color w:val="231F20"/>
          <w:spacing w:val="18"/>
        </w:rPr>
        <w:t> </w:t>
      </w:r>
      <w:r>
        <w:rPr>
          <w:color w:val="231F20"/>
        </w:rPr>
        <w:t>fin</w:t>
      </w:r>
      <w:r>
        <w:rPr>
          <w:color w:val="231F20"/>
          <w:spacing w:val="18"/>
        </w:rPr>
        <w:t> </w:t>
      </w:r>
      <w:r>
        <w:rPr>
          <w:color w:val="231F20"/>
        </w:rPr>
        <w:t>de</w:t>
      </w:r>
      <w:r>
        <w:rPr>
          <w:color w:val="231F20"/>
          <w:spacing w:val="17"/>
        </w:rPr>
        <w:t> </w:t>
      </w:r>
      <w:r>
        <w:rPr>
          <w:color w:val="231F20"/>
        </w:rPr>
        <w:t>chaque</w:t>
      </w:r>
      <w:r>
        <w:rPr>
          <w:color w:val="231F20"/>
          <w:spacing w:val="18"/>
        </w:rPr>
        <w:t> </w:t>
      </w:r>
      <w:r>
        <w:rPr>
          <w:color w:val="231F20"/>
        </w:rPr>
        <w:t>mois</w:t>
      </w:r>
      <w:r>
        <w:rPr>
          <w:color w:val="231F20"/>
          <w:spacing w:val="17"/>
        </w:rPr>
        <w:t> </w:t>
      </w:r>
      <w:r>
        <w:rPr>
          <w:color w:val="231F20"/>
        </w:rPr>
        <w:t>de</w:t>
      </w:r>
      <w:r>
        <w:rPr>
          <w:color w:val="231F20"/>
          <w:spacing w:val="18"/>
        </w:rPr>
        <w:t> </w:t>
      </w:r>
      <w:r>
        <w:rPr>
          <w:color w:val="231F20"/>
        </w:rPr>
        <w:t>l’exercice</w:t>
      </w:r>
      <w:r>
        <w:rPr>
          <w:color w:val="231F20"/>
          <w:spacing w:val="18"/>
        </w:rPr>
        <w:t> </w:t>
      </w:r>
      <w:r>
        <w:rPr>
          <w:color w:val="231F20"/>
        </w:rPr>
        <w:t>considéré.</w:t>
      </w:r>
    </w:p>
    <w:p>
      <w:pPr>
        <w:pStyle w:val="BodyText"/>
        <w:ind w:left="0" w:right="0" w:firstLine="0"/>
        <w:jc w:val="left"/>
        <w:rPr>
          <w:sz w:val="20"/>
        </w:rPr>
      </w:pPr>
    </w:p>
    <w:p>
      <w:pPr>
        <w:pStyle w:val="BodyText"/>
        <w:spacing w:before="9"/>
        <w:ind w:left="0" w:right="0" w:firstLine="0"/>
        <w:jc w:val="left"/>
        <w:rPr>
          <w:sz w:val="21"/>
        </w:rPr>
      </w:pPr>
    </w:p>
    <w:p>
      <w:pPr>
        <w:pStyle w:val="BodyText"/>
        <w:spacing w:line="218" w:lineRule="auto"/>
        <w:ind w:right="38"/>
      </w:pPr>
      <w:r>
        <w:rPr>
          <w:color w:val="231F20"/>
        </w:rPr>
        <w:t>Le nombre des travailleurs exprimé en équivalents à temps plein est égal au volume de travail exprimé en équivalents occupés à temps plein, à calculer pour les travailleurs occupés à temps partiel sur base du nombre conventionnel d’heures à prester par rapport à la durée normale</w:t>
      </w:r>
      <w:r>
        <w:rPr>
          <w:color w:val="231F20"/>
          <w:spacing w:val="17"/>
        </w:rPr>
        <w:t> </w:t>
      </w:r>
      <w:r>
        <w:rPr>
          <w:color w:val="231F20"/>
        </w:rPr>
        <w:t>de</w:t>
      </w:r>
      <w:r>
        <w:rPr>
          <w:color w:val="231F20"/>
          <w:spacing w:val="17"/>
        </w:rPr>
        <w:t> </w:t>
      </w:r>
      <w:r>
        <w:rPr>
          <w:color w:val="231F20"/>
        </w:rPr>
        <w:t>travail</w:t>
      </w:r>
      <w:r>
        <w:rPr>
          <w:color w:val="231F20"/>
          <w:spacing w:val="18"/>
        </w:rPr>
        <w:t> </w:t>
      </w:r>
      <w:r>
        <w:rPr>
          <w:color w:val="231F20"/>
        </w:rPr>
        <w:t>d’un</w:t>
      </w:r>
      <w:r>
        <w:rPr>
          <w:color w:val="231F20"/>
          <w:spacing w:val="17"/>
        </w:rPr>
        <w:t> </w:t>
      </w:r>
      <w:r>
        <w:rPr>
          <w:color w:val="231F20"/>
        </w:rPr>
        <w:t>travailleur</w:t>
      </w:r>
      <w:r>
        <w:rPr>
          <w:color w:val="231F20"/>
          <w:spacing w:val="17"/>
        </w:rPr>
        <w:t> </w:t>
      </w:r>
      <w:r>
        <w:rPr>
          <w:color w:val="231F20"/>
        </w:rPr>
        <w:t>à</w:t>
      </w:r>
      <w:r>
        <w:rPr>
          <w:color w:val="231F20"/>
          <w:spacing w:val="18"/>
        </w:rPr>
        <w:t> </w:t>
      </w:r>
      <w:r>
        <w:rPr>
          <w:color w:val="231F20"/>
        </w:rPr>
        <w:t>temps</w:t>
      </w:r>
      <w:r>
        <w:rPr>
          <w:color w:val="231F20"/>
          <w:spacing w:val="17"/>
        </w:rPr>
        <w:t> </w:t>
      </w:r>
      <w:r>
        <w:rPr>
          <w:color w:val="231F20"/>
        </w:rPr>
        <w:t>plein</w:t>
      </w:r>
      <w:r>
        <w:rPr>
          <w:color w:val="231F20"/>
          <w:spacing w:val="17"/>
        </w:rPr>
        <w:t> </w:t>
      </w:r>
      <w:r>
        <w:rPr>
          <w:color w:val="231F20"/>
        </w:rPr>
        <w:t>comparable.</w:t>
      </w:r>
    </w:p>
    <w:p>
      <w:pPr>
        <w:pStyle w:val="BodyText"/>
        <w:spacing w:line="213" w:lineRule="auto" w:before="121"/>
        <w:ind w:right="38"/>
      </w:pPr>
      <w:r>
        <w:rPr>
          <w:color w:val="231F20"/>
        </w:rPr>
        <w:t>Lorsque plus de la moitié des produits résultant de l’activité normale d’une société sont des produits non visés par la définition du poste “chiffre d’affaires”, il y a lieu, pour l’application du paragraphe 1</w:t>
      </w:r>
      <w:r>
        <w:rPr>
          <w:color w:val="231F20"/>
          <w:position w:val="7"/>
          <w:sz w:val="11"/>
        </w:rPr>
        <w:t>er</w:t>
      </w:r>
      <w:r>
        <w:rPr>
          <w:color w:val="231F20"/>
        </w:rPr>
        <w:t>, d’entendre par “chiffre d’affaires”, le total des produits d’exploitation et financiers à l’exclusion des produits non récurrents.</w:t>
      </w:r>
    </w:p>
    <w:p>
      <w:pPr>
        <w:pStyle w:val="BodyText"/>
        <w:spacing w:line="218" w:lineRule="auto" w:before="119"/>
      </w:pPr>
      <w:r>
        <w:rPr/>
        <w:br w:type="column"/>
      </w:r>
      <w:r>
        <w:rPr>
          <w:color w:val="231F20"/>
        </w:rPr>
        <w:t>2° het bezit van maatschappelijke rechten die een quotum van minder dan 10 %</w:t>
      </w:r>
      <w:r>
        <w:rPr>
          <w:color w:val="231F20"/>
          <w:spacing w:val="21"/>
        </w:rPr>
        <w:t> </w:t>
      </w:r>
      <w:r>
        <w:rPr>
          <w:color w:val="231F20"/>
        </w:rPr>
        <w:t>vertegenwoordigen:</w:t>
      </w:r>
    </w:p>
    <w:p>
      <w:pPr>
        <w:pStyle w:val="ListParagraph"/>
        <w:numPr>
          <w:ilvl w:val="0"/>
          <w:numId w:val="5"/>
        </w:numPr>
        <w:tabs>
          <w:tab w:pos="522" w:val="left" w:leader="none"/>
        </w:tabs>
        <w:spacing w:line="218" w:lineRule="auto" w:before="105" w:after="0"/>
        <w:ind w:left="113" w:right="124" w:firstLine="170"/>
        <w:jc w:val="both"/>
        <w:rPr>
          <w:sz w:val="17"/>
        </w:rPr>
      </w:pPr>
      <w:r>
        <w:rPr>
          <w:color w:val="231F20"/>
          <w:sz w:val="17"/>
        </w:rPr>
        <w:t>wanneer ze, samen met de maatschappelijke rechten die de dochtervennootschappen van de vennootschap in dezelfde vennoot- schap aanhouden, één tiende bereiken van het kapitaal, van het eigen vermogen</w:t>
      </w:r>
      <w:r>
        <w:rPr>
          <w:color w:val="231F20"/>
          <w:spacing w:val="17"/>
          <w:sz w:val="17"/>
        </w:rPr>
        <w:t> </w:t>
      </w:r>
      <w:r>
        <w:rPr>
          <w:color w:val="231F20"/>
          <w:sz w:val="17"/>
        </w:rPr>
        <w:t>of</w:t>
      </w:r>
      <w:r>
        <w:rPr>
          <w:color w:val="231F20"/>
          <w:spacing w:val="17"/>
          <w:sz w:val="17"/>
        </w:rPr>
        <w:t> </w:t>
      </w:r>
      <w:r>
        <w:rPr>
          <w:color w:val="231F20"/>
          <w:sz w:val="17"/>
        </w:rPr>
        <w:t>van</w:t>
      </w:r>
      <w:r>
        <w:rPr>
          <w:color w:val="231F20"/>
          <w:spacing w:val="17"/>
          <w:sz w:val="17"/>
        </w:rPr>
        <w:t> </w:t>
      </w:r>
      <w:r>
        <w:rPr>
          <w:color w:val="231F20"/>
          <w:sz w:val="17"/>
        </w:rPr>
        <w:t>een</w:t>
      </w:r>
      <w:r>
        <w:rPr>
          <w:color w:val="231F20"/>
          <w:spacing w:val="17"/>
          <w:sz w:val="17"/>
        </w:rPr>
        <w:t> </w:t>
      </w:r>
      <w:r>
        <w:rPr>
          <w:color w:val="231F20"/>
          <w:sz w:val="17"/>
        </w:rPr>
        <w:t>soort</w:t>
      </w:r>
      <w:r>
        <w:rPr>
          <w:color w:val="231F20"/>
          <w:spacing w:val="17"/>
          <w:sz w:val="17"/>
        </w:rPr>
        <w:t> </w:t>
      </w:r>
      <w:r>
        <w:rPr>
          <w:color w:val="231F20"/>
          <w:sz w:val="17"/>
        </w:rPr>
        <w:t>aandelen</w:t>
      </w:r>
      <w:r>
        <w:rPr>
          <w:color w:val="231F20"/>
          <w:spacing w:val="17"/>
          <w:sz w:val="17"/>
        </w:rPr>
        <w:t> </w:t>
      </w:r>
      <w:r>
        <w:rPr>
          <w:color w:val="231F20"/>
          <w:sz w:val="17"/>
        </w:rPr>
        <w:t>van</w:t>
      </w:r>
      <w:r>
        <w:rPr>
          <w:color w:val="231F20"/>
          <w:spacing w:val="17"/>
          <w:sz w:val="17"/>
        </w:rPr>
        <w:t> </w:t>
      </w:r>
      <w:r>
        <w:rPr>
          <w:color w:val="231F20"/>
          <w:sz w:val="17"/>
        </w:rPr>
        <w:t>die</w:t>
      </w:r>
      <w:r>
        <w:rPr>
          <w:color w:val="231F20"/>
          <w:spacing w:val="17"/>
          <w:sz w:val="17"/>
        </w:rPr>
        <w:t> </w:t>
      </w:r>
      <w:r>
        <w:rPr>
          <w:color w:val="231F20"/>
          <w:sz w:val="17"/>
        </w:rPr>
        <w:t>vennootschap;</w:t>
      </w:r>
    </w:p>
    <w:p>
      <w:pPr>
        <w:pStyle w:val="ListParagraph"/>
        <w:numPr>
          <w:ilvl w:val="0"/>
          <w:numId w:val="5"/>
        </w:numPr>
        <w:tabs>
          <w:tab w:pos="505" w:val="left" w:leader="none"/>
        </w:tabs>
        <w:spacing w:line="218" w:lineRule="auto" w:before="104" w:after="0"/>
        <w:ind w:left="113" w:right="124" w:firstLine="170"/>
        <w:jc w:val="both"/>
        <w:rPr>
          <w:sz w:val="17"/>
        </w:rPr>
      </w:pPr>
      <w:r>
        <w:rPr>
          <w:color w:val="231F20"/>
          <w:sz w:val="17"/>
        </w:rPr>
        <w:t>wanneer de daden van beschikking over deze aandelen of de uitoefening van de daaraan verbonden rechten zijn onderworpen aan overeenkomsten of aan eenzijdige verbintenissen die de houder is aangegaan.</w:t>
      </w:r>
    </w:p>
    <w:p>
      <w:pPr>
        <w:pStyle w:val="BodyText"/>
        <w:spacing w:line="218" w:lineRule="auto" w:before="107"/>
      </w:pPr>
      <w:r>
        <w:rPr>
          <w:color w:val="231F20"/>
        </w:rPr>
        <w:t>Art. 1:23. Onder “vennootschappen waarmee een deelnemingsver- houding bestaat”, wordt verstaan, de vennootschappen die geen verbonden vennootschappen zijn:</w:t>
      </w:r>
    </w:p>
    <w:p>
      <w:pPr>
        <w:pStyle w:val="BodyText"/>
        <w:spacing w:line="218" w:lineRule="auto" w:before="107"/>
      </w:pPr>
      <w:r>
        <w:rPr>
          <w:color w:val="231F20"/>
        </w:rPr>
        <w:t>1° waarin de vennootschap dan wel haar dochters een deelneming aanhouden;</w:t>
      </w:r>
    </w:p>
    <w:p>
      <w:pPr>
        <w:pStyle w:val="BodyText"/>
        <w:spacing w:line="218" w:lineRule="auto" w:before="107"/>
      </w:pPr>
      <w:r>
        <w:rPr>
          <w:color w:val="231F20"/>
        </w:rPr>
        <w:t>2° die, bij weten van het bestuursorgaan van de vennootschap, rechtstreeks of via hun dochters een deelneming in het kapitaal van de vennootschap aanhouden;</w:t>
      </w:r>
    </w:p>
    <w:p>
      <w:pPr>
        <w:pStyle w:val="BodyText"/>
        <w:spacing w:line="218" w:lineRule="auto" w:before="106"/>
      </w:pPr>
      <w:r>
        <w:rPr>
          <w:color w:val="231F20"/>
        </w:rPr>
        <w:t>3° die, bij weten van het bestuursorgaan van de vennootschap, dochters zijn van de vennootschappen bedoeld in het 2°.</w:t>
      </w:r>
    </w:p>
    <w:p>
      <w:pPr>
        <w:pStyle w:val="BodyText"/>
        <w:spacing w:line="350" w:lineRule="auto" w:before="93"/>
        <w:ind w:left="283" w:right="1017" w:firstLine="0"/>
        <w:jc w:val="left"/>
      </w:pPr>
      <w:r>
        <w:rPr>
          <w:color w:val="231F20"/>
        </w:rPr>
        <w:t>TITEL 5. Grootte van vennootschappen en groepen. HOOFDSTUK 1. Kleine vennootschappen.</w:t>
      </w:r>
    </w:p>
    <w:p>
      <w:pPr>
        <w:pStyle w:val="BodyText"/>
        <w:spacing w:line="218" w:lineRule="auto" w:before="15"/>
      </w:pPr>
      <w:r>
        <w:rPr>
          <w:color w:val="231F20"/>
        </w:rPr>
        <w:t>Art. 1:24. § 1. Kleine vennootschappen zijn vennootschappen met rechtspersoonlijkheid die op balansdatum van het laatst afgesloten boekjaar, niet meer dan één van de volgende criteria overschrijden:</w:t>
      </w:r>
    </w:p>
    <w:p>
      <w:pPr>
        <w:pStyle w:val="ListParagraph"/>
        <w:numPr>
          <w:ilvl w:val="0"/>
          <w:numId w:val="1"/>
        </w:numPr>
        <w:tabs>
          <w:tab w:pos="511" w:val="left" w:leader="none"/>
        </w:tabs>
        <w:spacing w:line="240" w:lineRule="auto" w:before="93"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4"/>
          <w:sz w:val="17"/>
        </w:rPr>
        <w:t> </w:t>
      </w:r>
      <w:r>
        <w:rPr>
          <w:color w:val="231F20"/>
          <w:sz w:val="17"/>
        </w:rPr>
        <w:t>het</w:t>
      </w:r>
      <w:r>
        <w:rPr>
          <w:color w:val="231F20"/>
          <w:spacing w:val="15"/>
          <w:sz w:val="17"/>
        </w:rPr>
        <w:t> </w:t>
      </w:r>
      <w:r>
        <w:rPr>
          <w:color w:val="231F20"/>
          <w:sz w:val="17"/>
        </w:rPr>
        <w:t>aantal</w:t>
      </w:r>
      <w:r>
        <w:rPr>
          <w:color w:val="231F20"/>
          <w:spacing w:val="14"/>
          <w:sz w:val="17"/>
        </w:rPr>
        <w:t> </w:t>
      </w:r>
      <w:r>
        <w:rPr>
          <w:color w:val="231F20"/>
          <w:sz w:val="17"/>
        </w:rPr>
        <w:t>werknemers:</w:t>
      </w:r>
      <w:r>
        <w:rPr>
          <w:color w:val="231F20"/>
          <w:spacing w:val="15"/>
          <w:sz w:val="17"/>
        </w:rPr>
        <w:t> </w:t>
      </w:r>
      <w:r>
        <w:rPr>
          <w:color w:val="231F20"/>
          <w:sz w:val="17"/>
        </w:rPr>
        <w:t>50;</w:t>
      </w:r>
    </w:p>
    <w:p>
      <w:pPr>
        <w:pStyle w:val="ListParagraph"/>
        <w:numPr>
          <w:ilvl w:val="0"/>
          <w:numId w:val="1"/>
        </w:numPr>
        <w:tabs>
          <w:tab w:pos="534" w:val="left" w:leader="none"/>
        </w:tabs>
        <w:spacing w:line="218" w:lineRule="auto" w:before="103" w:after="0"/>
        <w:ind w:left="113" w:right="124" w:firstLine="170"/>
        <w:jc w:val="both"/>
        <w:rPr>
          <w:sz w:val="17"/>
        </w:rPr>
      </w:pPr>
      <w:r>
        <w:rPr>
          <w:color w:val="231F20"/>
          <w:sz w:val="17"/>
        </w:rPr>
        <w:t>jaaromzet, exclusief de  belasting  over  de  toegevoegde  waarde: 9 000 000</w:t>
      </w:r>
      <w:r>
        <w:rPr>
          <w:color w:val="231F20"/>
          <w:spacing w:val="39"/>
          <w:sz w:val="17"/>
        </w:rPr>
        <w:t> </w:t>
      </w:r>
      <w:r>
        <w:rPr>
          <w:color w:val="231F20"/>
          <w:sz w:val="17"/>
        </w:rPr>
        <w:t>euro;</w:t>
      </w:r>
    </w:p>
    <w:p>
      <w:pPr>
        <w:pStyle w:val="ListParagraph"/>
        <w:numPr>
          <w:ilvl w:val="0"/>
          <w:numId w:val="1"/>
        </w:numPr>
        <w:tabs>
          <w:tab w:pos="511" w:val="left" w:leader="none"/>
        </w:tabs>
        <w:spacing w:line="240" w:lineRule="auto" w:before="104" w:after="0"/>
        <w:ind w:left="283" w:right="0" w:firstLine="0"/>
        <w:jc w:val="left"/>
        <w:rPr>
          <w:sz w:val="17"/>
        </w:rPr>
      </w:pPr>
      <w:r>
        <w:rPr>
          <w:color w:val="231F20"/>
          <w:sz w:val="17"/>
        </w:rPr>
        <w:t>balanstotaal: 4 500 000</w:t>
      </w:r>
      <w:r>
        <w:rPr>
          <w:color w:val="231F20"/>
          <w:spacing w:val="9"/>
          <w:sz w:val="17"/>
        </w:rPr>
        <w:t> </w:t>
      </w:r>
      <w:r>
        <w:rPr>
          <w:color w:val="231F20"/>
          <w:sz w:val="17"/>
        </w:rPr>
        <w:t>euro.</w:t>
      </w:r>
    </w:p>
    <w:p>
      <w:pPr>
        <w:pStyle w:val="BodyText"/>
        <w:spacing w:line="218" w:lineRule="auto" w:before="114"/>
      </w:pPr>
      <w:r>
        <w:rPr>
          <w:color w:val="231F20"/>
        </w:rPr>
        <w:t>§ 2. </w:t>
      </w:r>
      <w:r>
        <w:rPr>
          <w:color w:val="231F20"/>
          <w:spacing w:val="-3"/>
        </w:rPr>
        <w:t>Wanneer </w:t>
      </w:r>
      <w:r>
        <w:rPr>
          <w:color w:val="231F20"/>
        </w:rPr>
        <w:t>meer dan één van de in paragraaf 1 bedoelde criteria worden overschreden of niet meer worden overschreden, heeft dit slechts gevolgen wanneer dit zich gedurende twee achtereenvolgende boekjaren voordoet. De gevolgen gaan in dat geval in vanaf het  boekjaar dat volgt op het boekjaar gedurende hetwelk meer dan één van de criteria voor de tweede keer werden overschreden of niet meer werden</w:t>
      </w:r>
      <w:r>
        <w:rPr>
          <w:color w:val="231F20"/>
          <w:spacing w:val="15"/>
        </w:rPr>
        <w:t> </w:t>
      </w:r>
      <w:r>
        <w:rPr>
          <w:color w:val="231F20"/>
        </w:rPr>
        <w:t>overschreden.</w:t>
      </w:r>
    </w:p>
    <w:p>
      <w:pPr>
        <w:pStyle w:val="BodyText"/>
        <w:spacing w:line="218" w:lineRule="auto" w:before="117"/>
      </w:pPr>
      <w:r>
        <w:rPr>
          <w:color w:val="231F20"/>
        </w:rPr>
        <w:t>§ 3. </w:t>
      </w:r>
      <w:r>
        <w:rPr>
          <w:color w:val="231F20"/>
          <w:spacing w:val="-5"/>
        </w:rPr>
        <w:t>Voor </w:t>
      </w:r>
      <w:r>
        <w:rPr>
          <w:color w:val="231F20"/>
        </w:rPr>
        <w:t>vennootschappen die met hun bedrijf starten, worden voor de toepassing van de in paragraaf 1 vermelde criteria, deze cijfers bij het begin van het boekjaar te goeder trouw geschat. Indien uit deze schatting blijkt dat meer dan één van de criteria zullen worden overschreden gedurende het eerste boekjaar, moet daarmee voor dat eerste</w:t>
      </w:r>
      <w:r>
        <w:rPr>
          <w:color w:val="231F20"/>
          <w:spacing w:val="15"/>
        </w:rPr>
        <w:t> </w:t>
      </w:r>
      <w:r>
        <w:rPr>
          <w:color w:val="231F20"/>
        </w:rPr>
        <w:t>boekjaar</w:t>
      </w:r>
      <w:r>
        <w:rPr>
          <w:color w:val="231F20"/>
          <w:spacing w:val="15"/>
        </w:rPr>
        <w:t> </w:t>
      </w:r>
      <w:r>
        <w:rPr>
          <w:color w:val="231F20"/>
        </w:rPr>
        <w:t>meteen</w:t>
      </w:r>
      <w:r>
        <w:rPr>
          <w:color w:val="231F20"/>
          <w:spacing w:val="16"/>
        </w:rPr>
        <w:t> </w:t>
      </w:r>
      <w:r>
        <w:rPr>
          <w:color w:val="231F20"/>
        </w:rPr>
        <w:t>rekening</w:t>
      </w:r>
      <w:r>
        <w:rPr>
          <w:color w:val="231F20"/>
          <w:spacing w:val="15"/>
        </w:rPr>
        <w:t> </w:t>
      </w:r>
      <w:r>
        <w:rPr>
          <w:color w:val="231F20"/>
        </w:rPr>
        <w:t>worden</w:t>
      </w:r>
      <w:r>
        <w:rPr>
          <w:color w:val="231F20"/>
          <w:spacing w:val="16"/>
        </w:rPr>
        <w:t> </w:t>
      </w:r>
      <w:r>
        <w:rPr>
          <w:color w:val="231F20"/>
        </w:rPr>
        <w:t>gehouden.</w:t>
      </w:r>
    </w:p>
    <w:p>
      <w:pPr>
        <w:pStyle w:val="BodyText"/>
        <w:spacing w:line="218" w:lineRule="auto" w:before="118"/>
      </w:pPr>
      <w:r>
        <w:rPr>
          <w:color w:val="231F20"/>
          <w:w w:val="105"/>
        </w:rPr>
        <w:t>§ 4. Heeft het boekjaar uitzonderlijk een duur van minder of meer dan twaalf maanden, waarbij deze duur niet langer kan zijn dan vierentwintig maanden min één kalenderdag, dan wordt het bedrag van de omzet exclusief de belasting over de toegevoegde waarde bedoeld in paragraaf 1, vermenigvuldigd met een breuk waarvan de noemer twaalf is en de teller het aantal maanden van het betrokken boekjaar, waarbij elke begonnen maand voor een volle maand wordt geteld.</w:t>
      </w:r>
    </w:p>
    <w:p>
      <w:pPr>
        <w:pStyle w:val="BodyText"/>
        <w:spacing w:line="218" w:lineRule="auto" w:before="118"/>
        <w:ind w:right="123"/>
      </w:pPr>
      <w:r>
        <w:rPr>
          <w:color w:val="231F20"/>
        </w:rPr>
        <w:t>§ 5. Het gemiddeld aantal tewerkgestelde werknemers, bedoeld in paragraaf 1, is het gemiddelde van het aantal werknemers uitgedrukt in voltijdse equivalenten dat is geregistreerd in de DIMONA-databank overeenkomstig het koninklijk besluit van 5 november 2002 tot invoering van een onmiddellijke aangifte van tewerkstelling, met toepassing van artikel 38 van de wet van 26 juli 1996 tot modernisering van de sociale zekerheid en tot vrijwaring van de leefbaarheid van de wettelijke pensioenstelsels, per einde van elke maand van het boekjaar, of indien de tewerkstelling niet behoort tot het toepassingsgebied van dit koninklijk besluit, het gemiddelde aantal tewerkgestelde werkne- mers uitgedrukt in voltijdse equivalenten van de in het algemene personeelsregister of een gelijkwaardig document ingeschreven werk- nemers</w:t>
      </w:r>
      <w:r>
        <w:rPr>
          <w:color w:val="231F20"/>
          <w:spacing w:val="16"/>
        </w:rPr>
        <w:t> </w:t>
      </w:r>
      <w:r>
        <w:rPr>
          <w:color w:val="231F20"/>
        </w:rPr>
        <w:t>per</w:t>
      </w:r>
      <w:r>
        <w:rPr>
          <w:color w:val="231F20"/>
          <w:spacing w:val="17"/>
        </w:rPr>
        <w:t> </w:t>
      </w:r>
      <w:r>
        <w:rPr>
          <w:color w:val="231F20"/>
        </w:rPr>
        <w:t>einde</w:t>
      </w:r>
      <w:r>
        <w:rPr>
          <w:color w:val="231F20"/>
          <w:spacing w:val="17"/>
        </w:rPr>
        <w:t> </w:t>
      </w:r>
      <w:r>
        <w:rPr>
          <w:color w:val="231F20"/>
        </w:rPr>
        <w:t>van</w:t>
      </w:r>
      <w:r>
        <w:rPr>
          <w:color w:val="231F20"/>
          <w:spacing w:val="17"/>
        </w:rPr>
        <w:t> </w:t>
      </w:r>
      <w:r>
        <w:rPr>
          <w:color w:val="231F20"/>
        </w:rPr>
        <w:t>elke</w:t>
      </w:r>
      <w:r>
        <w:rPr>
          <w:color w:val="231F20"/>
          <w:spacing w:val="17"/>
        </w:rPr>
        <w:t> </w:t>
      </w:r>
      <w:r>
        <w:rPr>
          <w:color w:val="231F20"/>
        </w:rPr>
        <w:t>maand</w:t>
      </w:r>
      <w:r>
        <w:rPr>
          <w:color w:val="231F20"/>
          <w:spacing w:val="16"/>
        </w:rPr>
        <w:t> </w:t>
      </w:r>
      <w:r>
        <w:rPr>
          <w:color w:val="231F20"/>
        </w:rPr>
        <w:t>van</w:t>
      </w:r>
      <w:r>
        <w:rPr>
          <w:color w:val="231F20"/>
          <w:spacing w:val="17"/>
        </w:rPr>
        <w:t> </w:t>
      </w:r>
      <w:r>
        <w:rPr>
          <w:color w:val="231F20"/>
        </w:rPr>
        <w:t>het</w:t>
      </w:r>
      <w:r>
        <w:rPr>
          <w:color w:val="231F20"/>
          <w:spacing w:val="17"/>
        </w:rPr>
        <w:t> </w:t>
      </w:r>
      <w:r>
        <w:rPr>
          <w:color w:val="231F20"/>
        </w:rPr>
        <w:t>beschouwde</w:t>
      </w:r>
      <w:r>
        <w:rPr>
          <w:color w:val="231F20"/>
          <w:spacing w:val="17"/>
        </w:rPr>
        <w:t> </w:t>
      </w:r>
      <w:r>
        <w:rPr>
          <w:color w:val="231F20"/>
        </w:rPr>
        <w:t>boekjaar.</w:t>
      </w:r>
    </w:p>
    <w:p>
      <w:pPr>
        <w:pStyle w:val="BodyText"/>
        <w:spacing w:line="218" w:lineRule="auto" w:before="118"/>
        <w:ind w:right="123"/>
      </w:pPr>
      <w:r>
        <w:rPr>
          <w:color w:val="231F20"/>
        </w:rPr>
        <w:t>Het aantal werknemers uitgedrukt in voltijdse equivalenten is gelijk aan het arbeidsvolume uitgedrukt in voltijds tewerkgestelde equiva- lenten, te berekenen voor de deeltijdse werknemers op basis van het contractueel aantal te presteren uren, gerelateerd ten opzichte van de normale</w:t>
      </w:r>
      <w:r>
        <w:rPr>
          <w:color w:val="231F20"/>
          <w:spacing w:val="16"/>
        </w:rPr>
        <w:t> </w:t>
      </w:r>
      <w:r>
        <w:rPr>
          <w:color w:val="231F20"/>
        </w:rPr>
        <w:t>arbeidsduur</w:t>
      </w:r>
      <w:r>
        <w:rPr>
          <w:color w:val="231F20"/>
          <w:spacing w:val="17"/>
        </w:rPr>
        <w:t> </w:t>
      </w:r>
      <w:r>
        <w:rPr>
          <w:color w:val="231F20"/>
        </w:rPr>
        <w:t>van</w:t>
      </w:r>
      <w:r>
        <w:rPr>
          <w:color w:val="231F20"/>
          <w:spacing w:val="17"/>
        </w:rPr>
        <w:t> </w:t>
      </w:r>
      <w:r>
        <w:rPr>
          <w:color w:val="231F20"/>
        </w:rPr>
        <w:t>een</w:t>
      </w:r>
      <w:r>
        <w:rPr>
          <w:color w:val="231F20"/>
          <w:spacing w:val="17"/>
        </w:rPr>
        <w:t> </w:t>
      </w:r>
      <w:r>
        <w:rPr>
          <w:color w:val="231F20"/>
        </w:rPr>
        <w:t>vergelijkbare</w:t>
      </w:r>
      <w:r>
        <w:rPr>
          <w:color w:val="231F20"/>
          <w:spacing w:val="17"/>
        </w:rPr>
        <w:t> </w:t>
      </w:r>
      <w:r>
        <w:rPr>
          <w:color w:val="231F20"/>
        </w:rPr>
        <w:t>voltijdse</w:t>
      </w:r>
      <w:r>
        <w:rPr>
          <w:color w:val="231F20"/>
          <w:spacing w:val="17"/>
        </w:rPr>
        <w:t> </w:t>
      </w:r>
      <w:r>
        <w:rPr>
          <w:color w:val="231F20"/>
        </w:rPr>
        <w:t>werknemer.</w:t>
      </w:r>
    </w:p>
    <w:p>
      <w:pPr>
        <w:pStyle w:val="BodyText"/>
        <w:spacing w:line="218" w:lineRule="auto" w:before="118"/>
      </w:pPr>
      <w:r>
        <w:rPr>
          <w:color w:val="231F20"/>
          <w:spacing w:val="-3"/>
        </w:rPr>
        <w:t>Wanneer </w:t>
      </w:r>
      <w:r>
        <w:rPr>
          <w:color w:val="231F20"/>
        </w:rPr>
        <w:t>de opbrengsten die voortspruiten uit het gewoon</w:t>
      </w:r>
      <w:r>
        <w:rPr>
          <w:color w:val="231F20"/>
          <w:spacing w:val="27"/>
        </w:rPr>
        <w:t> </w:t>
      </w:r>
      <w:r>
        <w:rPr>
          <w:color w:val="231F20"/>
        </w:rPr>
        <w:t>bedrijf van een vennootschap voor meer dan de helft bestaan uit opbrengsten die niet aan de omschrijving beantwoorden van de post “omzet”, dan wordt voor de toepassing van paragraaf 1 onder omzet verstaan: het totaal van de bedrijfs- en financiële opbrengsten met uitsluiting van de niet-recurrente</w:t>
      </w:r>
      <w:r>
        <w:rPr>
          <w:color w:val="231F20"/>
          <w:spacing w:val="14"/>
        </w:rPr>
        <w:t> </w:t>
      </w:r>
      <w:r>
        <w:rPr>
          <w:color w:val="231F20"/>
        </w:rPr>
        <w:t>opbrengsten.</w:t>
      </w:r>
    </w:p>
    <w:p>
      <w:pPr>
        <w:spacing w:after="0" w:line="218" w:lineRule="auto"/>
        <w:sectPr>
          <w:headerReference w:type="default" r:id="rId9"/>
          <w:headerReference w:type="even" r:id="rId10"/>
          <w:pgSz w:w="11940" w:h="16880"/>
          <w:pgMar w:header="666" w:footer="0" w:top="1140" w:bottom="280" w:left="340" w:right="360"/>
          <w:pgNumType w:start="33243"/>
          <w:cols w:num="2" w:equalWidth="0">
            <w:col w:w="5527" w:space="101"/>
            <w:col w:w="5612"/>
          </w:cols>
        </w:sectPr>
      </w:pPr>
    </w:p>
    <w:p>
      <w:pPr>
        <w:pStyle w:val="BodyText"/>
        <w:spacing w:line="211" w:lineRule="auto" w:before="109"/>
        <w:ind w:right="60"/>
      </w:pPr>
      <w:r>
        <w:rPr/>
        <w:pict>
          <v:line style="position:absolute;mso-position-horizontal-relative:page;mso-position-vertical-relative:page;z-index:1144" from="298.170502pt,64.473pt" to="298.170502pt,812.819pt" stroked="true" strokeweight=".533pt" strokecolor="#231f20">
            <v:stroke dashstyle="solid"/>
            <w10:wrap type="none"/>
          </v:line>
        </w:pict>
      </w:r>
      <w:bookmarkStart w:name="_bookmark5" w:id="7"/>
      <w:bookmarkEnd w:id="7"/>
      <w:r>
        <w:rPr/>
      </w:r>
      <w:r>
        <w:rPr>
          <w:color w:val="231F20"/>
        </w:rPr>
        <w:t>Le total du bilan visé au paragraphe 1</w:t>
      </w:r>
      <w:r>
        <w:rPr>
          <w:color w:val="231F20"/>
          <w:position w:val="7"/>
          <w:sz w:val="11"/>
        </w:rPr>
        <w:t>er </w:t>
      </w:r>
      <w:r>
        <w:rPr>
          <w:color w:val="231F20"/>
        </w:rPr>
        <w:t>est la valeur comptable totale de l’actif tel qu’il apparaît au schéma du bilan qui est déterminé par arrêté royal pris en exécution de l’article 3:1, § 1</w:t>
      </w:r>
      <w:r>
        <w:rPr>
          <w:color w:val="231F20"/>
          <w:position w:val="7"/>
          <w:sz w:val="11"/>
        </w:rPr>
        <w:t>er</w:t>
      </w:r>
      <w:r>
        <w:rPr>
          <w:color w:val="231F20"/>
        </w:rPr>
        <w:t>. Le chiffre d’affaires visé aux paragraphes 1</w:t>
      </w:r>
      <w:r>
        <w:rPr>
          <w:color w:val="231F20"/>
          <w:position w:val="7"/>
          <w:sz w:val="11"/>
        </w:rPr>
        <w:t>er</w:t>
      </w:r>
      <w:r>
        <w:rPr>
          <w:color w:val="231F20"/>
        </w:rPr>
        <w:t>, 4 et 5, est le montant tel que défini par cet arrêté royal.</w:t>
      </w:r>
    </w:p>
    <w:p>
      <w:pPr>
        <w:pStyle w:val="BodyText"/>
        <w:spacing w:line="216" w:lineRule="auto" w:before="114"/>
        <w:ind w:right="0"/>
        <w:jc w:val="left"/>
      </w:pPr>
      <w:r>
        <w:rPr>
          <w:color w:val="231F20"/>
        </w:rPr>
        <w:t>§ 6. Dans le cas d’une société liée à une ou plusieurs autres, visé à l’article 1:20, les critères en matière de chiffre d’affaires et de total du bilan, visés au paragraphe 1</w:t>
      </w:r>
      <w:r>
        <w:rPr>
          <w:color w:val="231F20"/>
          <w:position w:val="7"/>
          <w:sz w:val="11"/>
        </w:rPr>
        <w:t>er</w:t>
      </w:r>
      <w:r>
        <w:rPr>
          <w:color w:val="231F20"/>
        </w:rPr>
        <w:t>, sont déterminés sur une base consolidée. Quant au critère en matière de travailleurs occupés, le nombre de travailleurs, calculé selon les dispositions du paragraphe 5, occupés en moyenne annuelle par chacune des sociétés liées est additionné.</w:t>
      </w:r>
    </w:p>
    <w:p>
      <w:pPr>
        <w:pStyle w:val="BodyText"/>
        <w:spacing w:before="4"/>
        <w:ind w:left="0" w:right="0" w:firstLine="0"/>
        <w:jc w:val="left"/>
        <w:rPr>
          <w:sz w:val="24"/>
        </w:rPr>
      </w:pPr>
    </w:p>
    <w:p>
      <w:pPr>
        <w:pStyle w:val="BodyText"/>
        <w:spacing w:line="213" w:lineRule="auto"/>
        <w:ind w:right="60"/>
      </w:pPr>
      <w:r>
        <w:rPr>
          <w:color w:val="231F20"/>
        </w:rPr>
        <w:t>Si, lors du calcul des seuils indiqués au paragraphe 1</w:t>
      </w:r>
      <w:r>
        <w:rPr>
          <w:color w:val="231F20"/>
          <w:position w:val="7"/>
          <w:sz w:val="11"/>
        </w:rPr>
        <w:t>er</w:t>
      </w:r>
      <w:r>
        <w:rPr>
          <w:color w:val="231F20"/>
        </w:rPr>
        <w:t>, les calculs définis par arrêté royal pris en exécution de l’article 3:30, § 1</w:t>
      </w:r>
      <w:r>
        <w:rPr>
          <w:color w:val="231F20"/>
          <w:position w:val="7"/>
          <w:sz w:val="11"/>
        </w:rPr>
        <w:t>er</w:t>
      </w:r>
      <w:r>
        <w:rPr>
          <w:color w:val="231F20"/>
        </w:rPr>
        <w:t>, et toute élimination qui en découle ne sont pas effectués, ces seuils relatifs au total du bilan et au chiffre d’affaires net sont augmentés de vingt pour cent.</w:t>
      </w:r>
    </w:p>
    <w:p>
      <w:pPr>
        <w:pStyle w:val="BodyText"/>
        <w:spacing w:before="10"/>
        <w:ind w:left="0" w:right="0" w:firstLine="0"/>
        <w:jc w:val="left"/>
        <w:rPr>
          <w:sz w:val="25"/>
        </w:rPr>
      </w:pPr>
    </w:p>
    <w:p>
      <w:pPr>
        <w:pStyle w:val="BodyText"/>
        <w:spacing w:line="218" w:lineRule="auto" w:before="1"/>
        <w:ind w:right="60"/>
      </w:pPr>
      <w:r>
        <w:rPr>
          <w:color w:val="231F20"/>
        </w:rPr>
        <w:t>§ 7. Le paragraphe 6 n’est pas applicable à d’autres sociétés que les sociétés mères visées à l’article 1:15, 1°, sauf si de telles sociétés sont constituées à seule fin d’éviter le rapportage d’informations.</w:t>
      </w:r>
    </w:p>
    <w:p>
      <w:pPr>
        <w:pStyle w:val="BodyText"/>
        <w:spacing w:before="9"/>
        <w:ind w:left="0" w:right="0" w:firstLine="0"/>
        <w:jc w:val="left"/>
        <w:rPr>
          <w:sz w:val="25"/>
        </w:rPr>
      </w:pPr>
    </w:p>
    <w:p>
      <w:pPr>
        <w:pStyle w:val="BodyText"/>
        <w:spacing w:line="218" w:lineRule="auto"/>
        <w:ind w:right="59"/>
      </w:pPr>
      <w:r>
        <w:rPr>
          <w:color w:val="231F20"/>
        </w:rPr>
        <w:t>Pour l’application du présent paragraphe et du paragraphe 6, les sociétés constituant un consortium visé à l’article 1:19 sont assimilées à une société mère.</w:t>
      </w:r>
    </w:p>
    <w:p>
      <w:pPr>
        <w:pStyle w:val="BodyText"/>
        <w:spacing w:line="213" w:lineRule="auto" w:before="105"/>
        <w:ind w:right="60"/>
      </w:pPr>
      <w:r>
        <w:rPr>
          <w:color w:val="231F20"/>
        </w:rPr>
        <w:t>§ 8. Le Roi peut modifier les chiffres mentionnés au paragraphe 1</w:t>
      </w:r>
      <w:r>
        <w:rPr>
          <w:color w:val="231F20"/>
          <w:position w:val="7"/>
          <w:sz w:val="11"/>
        </w:rPr>
        <w:t>er </w:t>
      </w:r>
      <w:r>
        <w:rPr>
          <w:color w:val="231F20"/>
        </w:rPr>
        <w:t>ainsi que les modalités de leur calcul. Ces arrêtés royaux sont pris après délibération en Conseil des ministres et sur avis du Conseil central de l’économie. L’avis du Conseil national du travail est en outre demandé pour la modification du paragraphe 5, alinéas 1</w:t>
      </w:r>
      <w:r>
        <w:rPr>
          <w:color w:val="231F20"/>
          <w:position w:val="7"/>
          <w:sz w:val="11"/>
        </w:rPr>
        <w:t>er </w:t>
      </w:r>
      <w:r>
        <w:rPr>
          <w:color w:val="231F20"/>
        </w:rPr>
        <w:t>et 2.</w:t>
      </w:r>
    </w:p>
    <w:p>
      <w:pPr>
        <w:pStyle w:val="BodyText"/>
        <w:spacing w:before="7"/>
        <w:ind w:left="0" w:right="0" w:firstLine="0"/>
        <w:jc w:val="left"/>
        <w:rPr>
          <w:sz w:val="24"/>
        </w:rPr>
      </w:pPr>
    </w:p>
    <w:p>
      <w:pPr>
        <w:pStyle w:val="BodyText"/>
        <w:spacing w:line="218" w:lineRule="auto" w:before="1"/>
        <w:ind w:right="60"/>
      </w:pPr>
      <w:r>
        <w:rPr>
          <w:color w:val="231F20"/>
        </w:rPr>
        <w:t>Art. 1:25. § 1</w:t>
      </w:r>
      <w:r>
        <w:rPr>
          <w:color w:val="231F20"/>
          <w:position w:val="7"/>
          <w:sz w:val="11"/>
        </w:rPr>
        <w:t>er</w:t>
      </w:r>
      <w:r>
        <w:rPr>
          <w:color w:val="231F20"/>
        </w:rPr>
        <w:t>. Par “microsociétés”, il faut entendre les petites sociétés dotées de la personnalité juridique qui ne sont pas une société filiale ou une société mère et qui à la date de bilan du dernier exercice clôturé</w:t>
      </w:r>
      <w:r>
        <w:rPr>
          <w:color w:val="231F20"/>
          <w:spacing w:val="15"/>
        </w:rPr>
        <w:t> </w:t>
      </w:r>
      <w:r>
        <w:rPr>
          <w:color w:val="231F20"/>
        </w:rPr>
        <w:t>ne</w:t>
      </w:r>
      <w:r>
        <w:rPr>
          <w:color w:val="231F20"/>
          <w:spacing w:val="16"/>
        </w:rPr>
        <w:t> </w:t>
      </w:r>
      <w:r>
        <w:rPr>
          <w:color w:val="231F20"/>
        </w:rPr>
        <w:t>dépassent</w:t>
      </w:r>
      <w:r>
        <w:rPr>
          <w:color w:val="231F20"/>
          <w:spacing w:val="16"/>
        </w:rPr>
        <w:t> </w:t>
      </w:r>
      <w:r>
        <w:rPr>
          <w:color w:val="231F20"/>
        </w:rPr>
        <w:t>pas</w:t>
      </w:r>
      <w:r>
        <w:rPr>
          <w:color w:val="231F20"/>
          <w:spacing w:val="16"/>
        </w:rPr>
        <w:t> </w:t>
      </w:r>
      <w:r>
        <w:rPr>
          <w:color w:val="231F20"/>
        </w:rPr>
        <w:t>plus</w:t>
      </w:r>
      <w:r>
        <w:rPr>
          <w:color w:val="231F20"/>
          <w:spacing w:val="16"/>
        </w:rPr>
        <w:t> </w:t>
      </w:r>
      <w:r>
        <w:rPr>
          <w:color w:val="231F20"/>
        </w:rPr>
        <w:t>d’un</w:t>
      </w:r>
      <w:r>
        <w:rPr>
          <w:color w:val="231F20"/>
          <w:spacing w:val="15"/>
        </w:rPr>
        <w:t> </w:t>
      </w:r>
      <w:r>
        <w:rPr>
          <w:color w:val="231F20"/>
        </w:rPr>
        <w:t>des</w:t>
      </w:r>
      <w:r>
        <w:rPr>
          <w:color w:val="231F20"/>
          <w:spacing w:val="16"/>
        </w:rPr>
        <w:t> </w:t>
      </w:r>
      <w:r>
        <w:rPr>
          <w:color w:val="231F20"/>
        </w:rPr>
        <w:t>critères</w:t>
      </w:r>
      <w:r>
        <w:rPr>
          <w:color w:val="231F20"/>
          <w:spacing w:val="16"/>
        </w:rPr>
        <w:t> </w:t>
      </w:r>
      <w:r>
        <w:rPr>
          <w:color w:val="231F20"/>
        </w:rPr>
        <w:t>suivants:</w:t>
      </w:r>
    </w:p>
    <w:p>
      <w:pPr>
        <w:pStyle w:val="BodyText"/>
        <w:spacing w:before="6"/>
        <w:ind w:left="0" w:right="0" w:firstLine="0"/>
        <w:jc w:val="left"/>
        <w:rPr>
          <w:sz w:val="24"/>
        </w:rPr>
      </w:pPr>
    </w:p>
    <w:p>
      <w:pPr>
        <w:pStyle w:val="ListParagraph"/>
        <w:numPr>
          <w:ilvl w:val="0"/>
          <w:numId w:val="1"/>
        </w:numPr>
        <w:tabs>
          <w:tab w:pos="511" w:val="left" w:leader="none"/>
        </w:tabs>
        <w:spacing w:line="240" w:lineRule="auto" w:before="0" w:after="0"/>
        <w:ind w:left="511" w:right="0" w:hanging="228"/>
        <w:jc w:val="left"/>
        <w:rPr>
          <w:sz w:val="17"/>
        </w:rPr>
      </w:pPr>
      <w:r>
        <w:rPr>
          <w:color w:val="231F20"/>
          <w:sz w:val="17"/>
        </w:rPr>
        <w:t>nombre</w:t>
      </w:r>
      <w:r>
        <w:rPr>
          <w:color w:val="231F20"/>
          <w:spacing w:val="14"/>
          <w:sz w:val="17"/>
        </w:rPr>
        <w:t> </w:t>
      </w:r>
      <w:r>
        <w:rPr>
          <w:color w:val="231F20"/>
          <w:sz w:val="17"/>
        </w:rPr>
        <w:t>de</w:t>
      </w:r>
      <w:r>
        <w:rPr>
          <w:color w:val="231F20"/>
          <w:spacing w:val="15"/>
          <w:sz w:val="17"/>
        </w:rPr>
        <w:t> </w:t>
      </w:r>
      <w:r>
        <w:rPr>
          <w:color w:val="231F20"/>
          <w:sz w:val="17"/>
        </w:rPr>
        <w:t>travailleurs,</w:t>
      </w:r>
      <w:r>
        <w:rPr>
          <w:color w:val="231F20"/>
          <w:spacing w:val="14"/>
          <w:sz w:val="17"/>
        </w:rPr>
        <w:t> </w:t>
      </w:r>
      <w:r>
        <w:rPr>
          <w:color w:val="231F20"/>
          <w:sz w:val="17"/>
        </w:rPr>
        <w:t>en</w:t>
      </w:r>
      <w:r>
        <w:rPr>
          <w:color w:val="231F20"/>
          <w:spacing w:val="15"/>
          <w:sz w:val="17"/>
        </w:rPr>
        <w:t> </w:t>
      </w:r>
      <w:r>
        <w:rPr>
          <w:color w:val="231F20"/>
          <w:sz w:val="17"/>
        </w:rPr>
        <w:t>moyenne</w:t>
      </w:r>
      <w:r>
        <w:rPr>
          <w:color w:val="231F20"/>
          <w:spacing w:val="15"/>
          <w:sz w:val="17"/>
        </w:rPr>
        <w:t> </w:t>
      </w:r>
      <w:r>
        <w:rPr>
          <w:color w:val="231F20"/>
          <w:sz w:val="17"/>
        </w:rPr>
        <w:t>annuelle:</w:t>
      </w:r>
      <w:r>
        <w:rPr>
          <w:color w:val="231F20"/>
          <w:spacing w:val="14"/>
          <w:sz w:val="17"/>
        </w:rPr>
        <w:t> </w:t>
      </w:r>
      <w:r>
        <w:rPr>
          <w:color w:val="231F20"/>
          <w:sz w:val="17"/>
        </w:rPr>
        <w:t>10;</w:t>
      </w:r>
    </w:p>
    <w:p>
      <w:pPr>
        <w:pStyle w:val="ListParagraph"/>
        <w:numPr>
          <w:ilvl w:val="0"/>
          <w:numId w:val="1"/>
        </w:numPr>
        <w:tabs>
          <w:tab w:pos="585" w:val="left" w:leader="none"/>
        </w:tabs>
        <w:spacing w:line="218" w:lineRule="auto" w:before="114" w:after="0"/>
        <w:ind w:left="113" w:right="60" w:firstLine="170"/>
        <w:jc w:val="both"/>
        <w:rPr>
          <w:sz w:val="17"/>
        </w:rPr>
      </w:pPr>
      <w:r>
        <w:rPr>
          <w:color w:val="231F20"/>
          <w:sz w:val="17"/>
        </w:rPr>
        <w:t>chiffre  d’affaires  annuel,  hors  taxe  sur  la   valeur   ajoutée:  700 000</w:t>
      </w:r>
      <w:r>
        <w:rPr>
          <w:color w:val="231F20"/>
          <w:spacing w:val="-14"/>
          <w:sz w:val="17"/>
        </w:rPr>
        <w:t> </w:t>
      </w:r>
      <w:r>
        <w:rPr>
          <w:color w:val="231F20"/>
          <w:sz w:val="17"/>
        </w:rPr>
        <w:t>euros;</w:t>
      </w:r>
    </w:p>
    <w:p>
      <w:pPr>
        <w:pStyle w:val="ListParagraph"/>
        <w:numPr>
          <w:ilvl w:val="0"/>
          <w:numId w:val="1"/>
        </w:numPr>
        <w:tabs>
          <w:tab w:pos="511" w:val="left" w:leader="none"/>
        </w:tabs>
        <w:spacing w:line="240" w:lineRule="auto" w:before="104" w:after="0"/>
        <w:ind w:left="511" w:right="0" w:hanging="228"/>
        <w:jc w:val="left"/>
        <w:rPr>
          <w:sz w:val="17"/>
        </w:rPr>
      </w:pPr>
      <w:r>
        <w:rPr>
          <w:color w:val="231F20"/>
          <w:sz w:val="17"/>
        </w:rPr>
        <w:t>total du bilan: 350 000</w:t>
      </w:r>
      <w:r>
        <w:rPr>
          <w:color w:val="231F20"/>
          <w:spacing w:val="25"/>
          <w:sz w:val="17"/>
        </w:rPr>
        <w:t> </w:t>
      </w:r>
      <w:r>
        <w:rPr>
          <w:color w:val="231F20"/>
          <w:sz w:val="17"/>
        </w:rPr>
        <w:t>euros.</w:t>
      </w:r>
    </w:p>
    <w:p>
      <w:pPr>
        <w:pStyle w:val="BodyText"/>
        <w:spacing w:line="364" w:lineRule="auto" w:before="100"/>
        <w:ind w:left="283" w:right="1142" w:hanging="1"/>
        <w:jc w:val="left"/>
      </w:pPr>
      <w:r>
        <w:rPr>
          <w:color w:val="231F20"/>
        </w:rPr>
        <w:t>§ 2. L’article 1:24, §§ 2 à 5 et § 8, s’applique. CHAPITRE 2. Groupes de taille réduite.</w:t>
      </w:r>
    </w:p>
    <w:p>
      <w:pPr>
        <w:pStyle w:val="BodyText"/>
        <w:spacing w:line="218" w:lineRule="auto"/>
        <w:ind w:right="60"/>
      </w:pPr>
      <w:r>
        <w:rPr>
          <w:color w:val="231F20"/>
        </w:rPr>
        <w:t>Art. 1:26. § 1</w:t>
      </w:r>
      <w:r>
        <w:rPr>
          <w:color w:val="231F20"/>
          <w:position w:val="7"/>
          <w:sz w:val="11"/>
        </w:rPr>
        <w:t>er</w:t>
      </w:r>
      <w:r>
        <w:rPr>
          <w:color w:val="231F20"/>
        </w:rPr>
        <w:t>. Une société et ses filiales, ou les sociétés qui constituent ensemble un consortium, sont considérées comme formant un groupe de taille réduite avec ses filiales lorsque ces sociétés ensemble, sur une base consolidée, ne dépassent pas plus d’un des critères suivants:</w:t>
      </w:r>
    </w:p>
    <w:p>
      <w:pPr>
        <w:pStyle w:val="ListParagraph"/>
        <w:numPr>
          <w:ilvl w:val="0"/>
          <w:numId w:val="1"/>
        </w:numPr>
        <w:tabs>
          <w:tab w:pos="511" w:val="left" w:leader="none"/>
        </w:tabs>
        <w:spacing w:line="240" w:lineRule="auto" w:before="101" w:after="0"/>
        <w:ind w:left="510" w:right="0" w:hanging="227"/>
        <w:jc w:val="left"/>
        <w:rPr>
          <w:sz w:val="17"/>
        </w:rPr>
      </w:pPr>
      <w:r>
        <w:rPr>
          <w:color w:val="231F20"/>
          <w:sz w:val="17"/>
        </w:rPr>
        <w:t>nombre</w:t>
      </w:r>
      <w:r>
        <w:rPr>
          <w:color w:val="231F20"/>
          <w:spacing w:val="13"/>
          <w:sz w:val="17"/>
        </w:rPr>
        <w:t> </w:t>
      </w:r>
      <w:r>
        <w:rPr>
          <w:color w:val="231F20"/>
          <w:sz w:val="17"/>
        </w:rPr>
        <w:t>de</w:t>
      </w:r>
      <w:r>
        <w:rPr>
          <w:color w:val="231F20"/>
          <w:spacing w:val="14"/>
          <w:sz w:val="17"/>
        </w:rPr>
        <w:t> </w:t>
      </w:r>
      <w:r>
        <w:rPr>
          <w:color w:val="231F20"/>
          <w:sz w:val="17"/>
        </w:rPr>
        <w:t>travailleurs</w:t>
      </w:r>
      <w:r>
        <w:rPr>
          <w:color w:val="231F20"/>
          <w:spacing w:val="14"/>
          <w:sz w:val="17"/>
        </w:rPr>
        <w:t> </w:t>
      </w:r>
      <w:r>
        <w:rPr>
          <w:color w:val="231F20"/>
          <w:sz w:val="17"/>
        </w:rPr>
        <w:t>en</w:t>
      </w:r>
      <w:r>
        <w:rPr>
          <w:color w:val="231F20"/>
          <w:spacing w:val="13"/>
          <w:sz w:val="17"/>
        </w:rPr>
        <w:t> </w:t>
      </w:r>
      <w:r>
        <w:rPr>
          <w:color w:val="231F20"/>
          <w:sz w:val="17"/>
        </w:rPr>
        <w:t>moyenne</w:t>
      </w:r>
      <w:r>
        <w:rPr>
          <w:color w:val="231F20"/>
          <w:spacing w:val="14"/>
          <w:sz w:val="17"/>
        </w:rPr>
        <w:t> </w:t>
      </w:r>
      <w:r>
        <w:rPr>
          <w:color w:val="231F20"/>
          <w:sz w:val="17"/>
        </w:rPr>
        <w:t>annuelle:</w:t>
      </w:r>
      <w:r>
        <w:rPr>
          <w:color w:val="231F20"/>
          <w:spacing w:val="14"/>
          <w:sz w:val="17"/>
        </w:rPr>
        <w:t> </w:t>
      </w:r>
      <w:r>
        <w:rPr>
          <w:color w:val="231F20"/>
          <w:sz w:val="17"/>
        </w:rPr>
        <w:t>250;</w:t>
      </w:r>
    </w:p>
    <w:p>
      <w:pPr>
        <w:pStyle w:val="ListParagraph"/>
        <w:numPr>
          <w:ilvl w:val="0"/>
          <w:numId w:val="1"/>
        </w:numPr>
        <w:tabs>
          <w:tab w:pos="585" w:val="left" w:leader="none"/>
        </w:tabs>
        <w:spacing w:line="218" w:lineRule="auto" w:before="114" w:after="0"/>
        <w:ind w:left="113" w:right="60" w:firstLine="170"/>
        <w:jc w:val="both"/>
        <w:rPr>
          <w:sz w:val="17"/>
        </w:rPr>
      </w:pPr>
      <w:r>
        <w:rPr>
          <w:color w:val="231F20"/>
          <w:sz w:val="17"/>
        </w:rPr>
        <w:t>chiffre  d’affaires  annuel,  hors  taxe   sur   la   valeur   ajoutée:  34 000 000</w:t>
      </w:r>
      <w:r>
        <w:rPr>
          <w:color w:val="231F20"/>
          <w:spacing w:val="39"/>
          <w:sz w:val="17"/>
        </w:rPr>
        <w:t> </w:t>
      </w:r>
      <w:r>
        <w:rPr>
          <w:color w:val="231F20"/>
          <w:sz w:val="17"/>
        </w:rPr>
        <w:t>euros;</w:t>
      </w:r>
    </w:p>
    <w:p>
      <w:pPr>
        <w:pStyle w:val="ListParagraph"/>
        <w:numPr>
          <w:ilvl w:val="0"/>
          <w:numId w:val="1"/>
        </w:numPr>
        <w:tabs>
          <w:tab w:pos="511" w:val="left" w:leader="none"/>
        </w:tabs>
        <w:spacing w:line="240" w:lineRule="auto" w:before="104" w:after="0"/>
        <w:ind w:left="510" w:right="0" w:hanging="227"/>
        <w:jc w:val="left"/>
        <w:rPr>
          <w:sz w:val="17"/>
        </w:rPr>
      </w:pPr>
      <w:r>
        <w:rPr>
          <w:color w:val="231F20"/>
          <w:sz w:val="17"/>
        </w:rPr>
        <w:t>total</w:t>
      </w:r>
      <w:r>
        <w:rPr>
          <w:color w:val="231F20"/>
          <w:spacing w:val="12"/>
          <w:sz w:val="17"/>
        </w:rPr>
        <w:t> </w:t>
      </w:r>
      <w:r>
        <w:rPr>
          <w:color w:val="231F20"/>
          <w:sz w:val="17"/>
        </w:rPr>
        <w:t>du</w:t>
      </w:r>
      <w:r>
        <w:rPr>
          <w:color w:val="231F20"/>
          <w:spacing w:val="13"/>
          <w:sz w:val="17"/>
        </w:rPr>
        <w:t> </w:t>
      </w:r>
      <w:r>
        <w:rPr>
          <w:color w:val="231F20"/>
          <w:sz w:val="17"/>
        </w:rPr>
        <w:t>bilan:</w:t>
      </w:r>
      <w:r>
        <w:rPr>
          <w:color w:val="231F20"/>
          <w:spacing w:val="13"/>
          <w:sz w:val="17"/>
        </w:rPr>
        <w:t> </w:t>
      </w:r>
      <w:r>
        <w:rPr>
          <w:color w:val="231F20"/>
          <w:sz w:val="17"/>
        </w:rPr>
        <w:t>17</w:t>
      </w:r>
      <w:r>
        <w:rPr>
          <w:color w:val="231F20"/>
          <w:spacing w:val="13"/>
          <w:sz w:val="17"/>
        </w:rPr>
        <w:t> </w:t>
      </w:r>
      <w:r>
        <w:rPr>
          <w:color w:val="231F20"/>
          <w:sz w:val="17"/>
        </w:rPr>
        <w:t>000</w:t>
      </w:r>
      <w:r>
        <w:rPr>
          <w:color w:val="231F20"/>
          <w:spacing w:val="13"/>
          <w:sz w:val="17"/>
        </w:rPr>
        <w:t> </w:t>
      </w:r>
      <w:r>
        <w:rPr>
          <w:color w:val="231F20"/>
          <w:sz w:val="17"/>
        </w:rPr>
        <w:t>000</w:t>
      </w:r>
      <w:r>
        <w:rPr>
          <w:color w:val="231F20"/>
          <w:spacing w:val="13"/>
          <w:sz w:val="17"/>
        </w:rPr>
        <w:t> </w:t>
      </w:r>
      <w:r>
        <w:rPr>
          <w:color w:val="231F20"/>
          <w:sz w:val="17"/>
        </w:rPr>
        <w:t>euros.</w:t>
      </w:r>
    </w:p>
    <w:p>
      <w:pPr>
        <w:pStyle w:val="BodyText"/>
        <w:spacing w:line="218" w:lineRule="auto" w:before="109"/>
        <w:ind w:right="60"/>
      </w:pPr>
      <w:r>
        <w:rPr>
          <w:color w:val="231F20"/>
        </w:rPr>
        <w:t>§ 2. Les chiffres visés au paragraphe 1</w:t>
      </w:r>
      <w:r>
        <w:rPr>
          <w:color w:val="231F20"/>
          <w:position w:val="7"/>
          <w:sz w:val="11"/>
        </w:rPr>
        <w:t>er </w:t>
      </w:r>
      <w:r>
        <w:rPr>
          <w:color w:val="231F20"/>
        </w:rPr>
        <w:t>sont vérifiés à la date de clôture des comptes annuels de la société consolidante, sur la base des derniers comptes annuels arrêtés des sociétés à comprendre dans la consolidation.</w:t>
      </w:r>
    </w:p>
    <w:p>
      <w:pPr>
        <w:pStyle w:val="BodyText"/>
        <w:spacing w:before="114"/>
        <w:ind w:left="283" w:right="0" w:firstLine="0"/>
        <w:jc w:val="left"/>
      </w:pPr>
      <w:r>
        <w:rPr>
          <w:color w:val="231F20"/>
        </w:rPr>
        <w:t>L’article 1:24, § 2, est pour le surplus d’application.</w:t>
      </w:r>
    </w:p>
    <w:p>
      <w:pPr>
        <w:pStyle w:val="BodyText"/>
        <w:spacing w:line="201" w:lineRule="auto" w:before="136"/>
        <w:ind w:right="60"/>
      </w:pPr>
      <w:r>
        <w:rPr>
          <w:color w:val="231F20"/>
        </w:rPr>
        <w:t>§ 3. Le nombre moyen des travailleurs occupés,  visé  au  paragra- phe</w:t>
      </w:r>
      <w:r>
        <w:rPr>
          <w:color w:val="231F20"/>
          <w:spacing w:val="13"/>
        </w:rPr>
        <w:t> </w:t>
      </w:r>
      <w:r>
        <w:rPr>
          <w:color w:val="231F20"/>
        </w:rPr>
        <w:t>1</w:t>
      </w:r>
      <w:r>
        <w:rPr>
          <w:color w:val="231F20"/>
          <w:position w:val="7"/>
          <w:sz w:val="11"/>
        </w:rPr>
        <w:t>er</w:t>
      </w:r>
      <w:r>
        <w:rPr>
          <w:color w:val="231F20"/>
        </w:rPr>
        <w:t>,</w:t>
      </w:r>
      <w:r>
        <w:rPr>
          <w:color w:val="231F20"/>
          <w:spacing w:val="14"/>
        </w:rPr>
        <w:t> </w:t>
      </w:r>
      <w:r>
        <w:rPr>
          <w:color w:val="231F20"/>
        </w:rPr>
        <w:t>est</w:t>
      </w:r>
      <w:r>
        <w:rPr>
          <w:color w:val="231F20"/>
          <w:spacing w:val="14"/>
        </w:rPr>
        <w:t> </w:t>
      </w:r>
      <w:r>
        <w:rPr>
          <w:color w:val="231F20"/>
        </w:rPr>
        <w:t>déterminé</w:t>
      </w:r>
      <w:r>
        <w:rPr>
          <w:color w:val="231F20"/>
          <w:spacing w:val="14"/>
        </w:rPr>
        <w:t> </w:t>
      </w:r>
      <w:r>
        <w:rPr>
          <w:color w:val="231F20"/>
        </w:rPr>
        <w:t>conformément</w:t>
      </w:r>
      <w:r>
        <w:rPr>
          <w:color w:val="231F20"/>
          <w:spacing w:val="14"/>
        </w:rPr>
        <w:t> </w:t>
      </w:r>
      <w:r>
        <w:rPr>
          <w:color w:val="231F20"/>
        </w:rPr>
        <w:t>à</w:t>
      </w:r>
      <w:r>
        <w:rPr>
          <w:color w:val="231F20"/>
          <w:spacing w:val="14"/>
        </w:rPr>
        <w:t> </w:t>
      </w:r>
      <w:r>
        <w:rPr>
          <w:color w:val="231F20"/>
        </w:rPr>
        <w:t>l’article</w:t>
      </w:r>
      <w:r>
        <w:rPr>
          <w:color w:val="231F20"/>
          <w:spacing w:val="14"/>
        </w:rPr>
        <w:t> </w:t>
      </w:r>
      <w:r>
        <w:rPr>
          <w:color w:val="231F20"/>
        </w:rPr>
        <w:t>1:24,</w:t>
      </w:r>
      <w:r>
        <w:rPr>
          <w:color w:val="231F20"/>
          <w:spacing w:val="14"/>
        </w:rPr>
        <w:t> </w:t>
      </w:r>
      <w:r>
        <w:rPr>
          <w:color w:val="231F20"/>
        </w:rPr>
        <w:t>§</w:t>
      </w:r>
      <w:r>
        <w:rPr>
          <w:color w:val="231F20"/>
          <w:spacing w:val="13"/>
        </w:rPr>
        <w:t> </w:t>
      </w:r>
      <w:r>
        <w:rPr>
          <w:color w:val="231F20"/>
        </w:rPr>
        <w:t>5,</w:t>
      </w:r>
      <w:r>
        <w:rPr>
          <w:color w:val="231F20"/>
          <w:spacing w:val="14"/>
        </w:rPr>
        <w:t> </w:t>
      </w:r>
      <w:r>
        <w:rPr>
          <w:color w:val="231F20"/>
        </w:rPr>
        <w:t>alinéas</w:t>
      </w:r>
      <w:r>
        <w:rPr>
          <w:color w:val="231F20"/>
          <w:spacing w:val="14"/>
        </w:rPr>
        <w:t> </w:t>
      </w:r>
      <w:r>
        <w:rPr>
          <w:color w:val="231F20"/>
        </w:rPr>
        <w:t>1</w:t>
      </w:r>
      <w:r>
        <w:rPr>
          <w:color w:val="231F20"/>
          <w:spacing w:val="14"/>
        </w:rPr>
        <w:t> </w:t>
      </w:r>
      <w:r>
        <w:rPr>
          <w:color w:val="231F20"/>
        </w:rPr>
        <w:t>à</w:t>
      </w:r>
      <w:r>
        <w:rPr>
          <w:color w:val="231F20"/>
          <w:spacing w:val="14"/>
        </w:rPr>
        <w:t> </w:t>
      </w:r>
      <w:r>
        <w:rPr>
          <w:color w:val="231F20"/>
        </w:rPr>
        <w:t>3.</w:t>
      </w:r>
    </w:p>
    <w:p>
      <w:pPr>
        <w:pStyle w:val="BodyText"/>
        <w:spacing w:before="11"/>
        <w:ind w:left="0" w:right="0" w:firstLine="0"/>
        <w:jc w:val="left"/>
        <w:rPr>
          <w:sz w:val="25"/>
        </w:rPr>
      </w:pPr>
    </w:p>
    <w:p>
      <w:pPr>
        <w:pStyle w:val="BodyText"/>
        <w:spacing w:line="211" w:lineRule="auto"/>
        <w:ind w:right="60"/>
      </w:pPr>
      <w:r>
        <w:rPr>
          <w:color w:val="231F20"/>
        </w:rPr>
        <w:t>Le total du bilan visé au paragraphe 1</w:t>
      </w:r>
      <w:r>
        <w:rPr>
          <w:color w:val="231F20"/>
          <w:position w:val="7"/>
          <w:sz w:val="11"/>
        </w:rPr>
        <w:t>er </w:t>
      </w:r>
      <w:r>
        <w:rPr>
          <w:color w:val="231F20"/>
        </w:rPr>
        <w:t>est la valeur comptable totale de l’actif tel qu’il apparaît au schéma du bilan qui est déterminé par arrêté royal pris en exécution de l’article 3:30, § 1</w:t>
      </w:r>
      <w:r>
        <w:rPr>
          <w:color w:val="231F20"/>
          <w:position w:val="7"/>
          <w:sz w:val="11"/>
        </w:rPr>
        <w:t>er</w:t>
      </w:r>
      <w:r>
        <w:rPr>
          <w:color w:val="231F20"/>
        </w:rPr>
        <w:t>.</w:t>
      </w:r>
    </w:p>
    <w:p>
      <w:pPr>
        <w:pStyle w:val="BodyText"/>
        <w:spacing w:line="213" w:lineRule="auto" w:before="114"/>
        <w:ind w:right="60"/>
      </w:pPr>
      <w:r>
        <w:rPr>
          <w:color w:val="231F20"/>
        </w:rPr>
        <w:t>Si, lors du calcul des seuils indiqués au paragraphe 1</w:t>
      </w:r>
      <w:r>
        <w:rPr>
          <w:color w:val="231F20"/>
          <w:position w:val="7"/>
          <w:sz w:val="11"/>
        </w:rPr>
        <w:t>er</w:t>
      </w:r>
      <w:r>
        <w:rPr>
          <w:color w:val="231F20"/>
        </w:rPr>
        <w:t>, les calculs définis par arrêté royal en vertu de l’article 3:30, § 1</w:t>
      </w:r>
      <w:r>
        <w:rPr>
          <w:color w:val="231F20"/>
          <w:position w:val="7"/>
          <w:sz w:val="11"/>
        </w:rPr>
        <w:t>er</w:t>
      </w:r>
      <w:r>
        <w:rPr>
          <w:color w:val="231F20"/>
        </w:rPr>
        <w:t>, et toute élimination qui en découle ne sont pas effectués, ces seuils relatifs au total du bilan et au chiffre d’affaires net sont augmentés de vingt pour cent.</w:t>
      </w:r>
    </w:p>
    <w:p>
      <w:pPr>
        <w:pStyle w:val="BodyText"/>
        <w:spacing w:line="218" w:lineRule="auto" w:before="114"/>
        <w:ind w:right="61"/>
      </w:pPr>
      <w:r>
        <w:rPr>
          <w:color w:val="231F20"/>
        </w:rPr>
        <w:t>§ 4. Le Roi peut modifier les chiffres mentionnés au paragraphe 1</w:t>
      </w:r>
      <w:r>
        <w:rPr>
          <w:color w:val="231F20"/>
          <w:position w:val="7"/>
          <w:sz w:val="11"/>
        </w:rPr>
        <w:t>er</w:t>
      </w:r>
      <w:r>
        <w:rPr>
          <w:color w:val="231F20"/>
        </w:rPr>
        <w:t>, ainsi que les modalités de leur calcul. Ces arrêtés royaux sont pris après délibération en Conseil des ministres et sur avis du Conseil central de l’économie.</w:t>
      </w:r>
    </w:p>
    <w:p>
      <w:pPr>
        <w:pStyle w:val="BodyText"/>
        <w:spacing w:line="218" w:lineRule="auto" w:before="119"/>
      </w:pPr>
      <w:r>
        <w:rPr/>
        <w:br w:type="column"/>
      </w:r>
      <w:r>
        <w:rPr>
          <w:color w:val="231F20"/>
        </w:rPr>
        <w:t>Het in paragraaf 1 bedoelde balanstotaal is de totale boekwaarde van de activa zoals ze blijkt uit het balansschema dat vastgesteld is bij koninklijk besluit genomen ter uitvoering van artikel 3:1, § 1. De omzet bedoeld in de paragrafen 1, 4 en 5, is het bedrag zoals bepaald door dit koninklijk besluit.</w:t>
      </w:r>
    </w:p>
    <w:p>
      <w:pPr>
        <w:pStyle w:val="BodyText"/>
        <w:spacing w:line="218" w:lineRule="auto" w:before="118"/>
      </w:pPr>
      <w:r>
        <w:rPr>
          <w:color w:val="231F20"/>
        </w:rPr>
        <w:t>§ 6. Als de vennootschap met één of meer andere vennootschappen  is verbonden als bedoeld in artikel 1:20, worden de criteria inzake omzet en balanstotaal bedoeld in paragraaf 1 berekend op geconsoli- deerde basis. </w:t>
      </w:r>
      <w:r>
        <w:rPr>
          <w:color w:val="231F20"/>
          <w:spacing w:val="-6"/>
        </w:rPr>
        <w:t>Wat </w:t>
      </w:r>
      <w:r>
        <w:rPr>
          <w:color w:val="231F20"/>
        </w:rPr>
        <w:t>het criterium aantal werknemers betreft, wordt het aantal werknemers, berekend volgens de bepalingen van paragraaf 5, dat elk van de betrokken verbonden vennootschappen jaarlijks gemid- deld tewerkstelt,</w:t>
      </w:r>
      <w:r>
        <w:rPr>
          <w:color w:val="231F20"/>
          <w:spacing w:val="-10"/>
        </w:rPr>
        <w:t> </w:t>
      </w:r>
      <w:r>
        <w:rPr>
          <w:color w:val="231F20"/>
        </w:rPr>
        <w:t>opgeteld.</w:t>
      </w:r>
    </w:p>
    <w:p>
      <w:pPr>
        <w:pStyle w:val="BodyText"/>
        <w:spacing w:line="218" w:lineRule="auto" w:before="118"/>
      </w:pPr>
      <w:r>
        <w:rPr>
          <w:color w:val="231F20"/>
        </w:rPr>
        <w:t>Indien, bij de berekening van de in paragraaf 1 genoemde grensbe- dragen, de in het koninklijk besluit genomen  ter  uitvoering  van  artikel 3:30, § 1, bedoelde verrekeningen en elke daaruit voortvloeiende weglating niet worden verricht, dan worden deze</w:t>
      </w:r>
      <w:r>
        <w:rPr>
          <w:color w:val="231F20"/>
          <w:spacing w:val="27"/>
        </w:rPr>
        <w:t> </w:t>
      </w:r>
      <w:r>
        <w:rPr>
          <w:color w:val="231F20"/>
        </w:rPr>
        <w:t>grensbedragen betreffende het balanstotaal en de netto-omzet vermeerderd met twintig</w:t>
      </w:r>
      <w:r>
        <w:rPr>
          <w:color w:val="231F20"/>
          <w:spacing w:val="15"/>
        </w:rPr>
        <w:t> </w:t>
      </w:r>
      <w:r>
        <w:rPr>
          <w:color w:val="231F20"/>
        </w:rPr>
        <w:t>procent.</w:t>
      </w:r>
    </w:p>
    <w:p>
      <w:pPr>
        <w:pStyle w:val="BodyText"/>
        <w:spacing w:line="218" w:lineRule="auto" w:before="118"/>
      </w:pPr>
      <w:r>
        <w:rPr>
          <w:color w:val="231F20"/>
        </w:rPr>
        <w:t>§ 7. Paragraaf 6 is niet van toepassing op andere vennootschappen dan moedervennootschappen als bedoeld in artikel 1:15, 1°,</w:t>
      </w:r>
      <w:r>
        <w:rPr>
          <w:color w:val="231F20"/>
          <w:spacing w:val="34"/>
        </w:rPr>
        <w:t> </w:t>
      </w:r>
      <w:r>
        <w:rPr>
          <w:color w:val="231F20"/>
        </w:rPr>
        <w:t>behalve indien dergelijke vennootschappen zijn opgericht met als enig doel de verslaggeving</w:t>
      </w:r>
      <w:r>
        <w:rPr>
          <w:color w:val="231F20"/>
          <w:spacing w:val="17"/>
        </w:rPr>
        <w:t> </w:t>
      </w:r>
      <w:r>
        <w:rPr>
          <w:color w:val="231F20"/>
        </w:rPr>
        <w:t>van</w:t>
      </w:r>
      <w:r>
        <w:rPr>
          <w:color w:val="231F20"/>
          <w:spacing w:val="17"/>
        </w:rPr>
        <w:t> </w:t>
      </w:r>
      <w:r>
        <w:rPr>
          <w:color w:val="231F20"/>
        </w:rPr>
        <w:t>bepaalde</w:t>
      </w:r>
      <w:r>
        <w:rPr>
          <w:color w:val="231F20"/>
          <w:spacing w:val="17"/>
        </w:rPr>
        <w:t> </w:t>
      </w:r>
      <w:r>
        <w:rPr>
          <w:color w:val="231F20"/>
        </w:rPr>
        <w:t>informatie</w:t>
      </w:r>
      <w:r>
        <w:rPr>
          <w:color w:val="231F20"/>
          <w:spacing w:val="17"/>
        </w:rPr>
        <w:t> </w:t>
      </w:r>
      <w:r>
        <w:rPr>
          <w:color w:val="231F20"/>
        </w:rPr>
        <w:t>te</w:t>
      </w:r>
      <w:r>
        <w:rPr>
          <w:color w:val="231F20"/>
          <w:spacing w:val="17"/>
        </w:rPr>
        <w:t> </w:t>
      </w:r>
      <w:r>
        <w:rPr>
          <w:color w:val="231F20"/>
        </w:rPr>
        <w:t>ontwijken.</w:t>
      </w:r>
    </w:p>
    <w:p>
      <w:pPr>
        <w:pStyle w:val="BodyText"/>
        <w:spacing w:line="218" w:lineRule="auto" w:before="117"/>
      </w:pPr>
      <w:r>
        <w:rPr>
          <w:color w:val="231F20"/>
          <w:spacing w:val="-5"/>
        </w:rPr>
        <w:t>Voor </w:t>
      </w:r>
      <w:r>
        <w:rPr>
          <w:color w:val="231F20"/>
        </w:rPr>
        <w:t>de toepassing van deze paragraaf en paragraaf 6 worden vennootschappen die een  consortium  vormen  als  bedoeld  in  arti-  kel</w:t>
      </w:r>
      <w:r>
        <w:rPr>
          <w:color w:val="231F20"/>
          <w:spacing w:val="15"/>
        </w:rPr>
        <w:t> </w:t>
      </w:r>
      <w:r>
        <w:rPr>
          <w:color w:val="231F20"/>
        </w:rPr>
        <w:t>1:19,</w:t>
      </w:r>
      <w:r>
        <w:rPr>
          <w:color w:val="231F20"/>
          <w:spacing w:val="16"/>
        </w:rPr>
        <w:t> </w:t>
      </w:r>
      <w:r>
        <w:rPr>
          <w:color w:val="231F20"/>
        </w:rPr>
        <w:t>gelijkgesteld</w:t>
      </w:r>
      <w:r>
        <w:rPr>
          <w:color w:val="231F20"/>
          <w:spacing w:val="16"/>
        </w:rPr>
        <w:t> </w:t>
      </w:r>
      <w:r>
        <w:rPr>
          <w:color w:val="231F20"/>
        </w:rPr>
        <w:t>met</w:t>
      </w:r>
      <w:r>
        <w:rPr>
          <w:color w:val="231F20"/>
          <w:spacing w:val="16"/>
        </w:rPr>
        <w:t> </w:t>
      </w:r>
      <w:r>
        <w:rPr>
          <w:color w:val="231F20"/>
        </w:rPr>
        <w:t>een</w:t>
      </w:r>
      <w:r>
        <w:rPr>
          <w:color w:val="231F20"/>
          <w:spacing w:val="16"/>
        </w:rPr>
        <w:t> </w:t>
      </w:r>
      <w:r>
        <w:rPr>
          <w:color w:val="231F20"/>
        </w:rPr>
        <w:t>moedervennootschap.</w:t>
      </w:r>
    </w:p>
    <w:p>
      <w:pPr>
        <w:pStyle w:val="BodyText"/>
        <w:spacing w:line="218" w:lineRule="auto" w:before="118"/>
      </w:pPr>
      <w:r>
        <w:rPr>
          <w:color w:val="231F20"/>
        </w:rPr>
        <w:t>§ 8. De Koning kan de in paragraaf 1 vermelde cijfers en de wijze waarop ze worden berekend, wijzigen. Deze koninklijke besluiten worden genomen na overleg in de Ministerraad en na advies van de Centrale Raad voor het Bedrijfsleven. </w:t>
      </w:r>
      <w:r>
        <w:rPr>
          <w:color w:val="231F20"/>
          <w:spacing w:val="-5"/>
        </w:rPr>
        <w:t>Voor </w:t>
      </w:r>
      <w:r>
        <w:rPr>
          <w:color w:val="231F20"/>
        </w:rPr>
        <w:t>de wijziging van  para-  graaf 5, eerste en tweede lid, wordt bovendien het advies van de Nationale Arbeidsraad</w:t>
      </w:r>
      <w:r>
        <w:rPr>
          <w:color w:val="231F20"/>
          <w:spacing w:val="26"/>
        </w:rPr>
        <w:t> </w:t>
      </w:r>
      <w:r>
        <w:rPr>
          <w:color w:val="231F20"/>
        </w:rPr>
        <w:t>gevraagd.</w:t>
      </w:r>
    </w:p>
    <w:p>
      <w:pPr>
        <w:pStyle w:val="BodyText"/>
        <w:spacing w:line="218" w:lineRule="auto" w:before="118"/>
      </w:pPr>
      <w:r>
        <w:rPr>
          <w:color w:val="231F20"/>
        </w:rPr>
        <w:t>Art. 1:25. § 1. Onder “microvennootschappen” wordt verstaan, kleine vennootschappen met rechtspersoonlijkheid die geen dochtervennoot- schap of moedervennootschap zijn en die op balansdatum van het  laatst afgesloten boekjaar niet meer dan één der volgende criteria overschrijden:</w:t>
      </w:r>
    </w:p>
    <w:p>
      <w:pPr>
        <w:pStyle w:val="ListParagraph"/>
        <w:numPr>
          <w:ilvl w:val="0"/>
          <w:numId w:val="1"/>
        </w:numPr>
        <w:tabs>
          <w:tab w:pos="511" w:val="left" w:leader="none"/>
        </w:tabs>
        <w:spacing w:line="240" w:lineRule="auto" w:before="103"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aantal</w:t>
      </w:r>
      <w:r>
        <w:rPr>
          <w:color w:val="231F20"/>
          <w:spacing w:val="15"/>
          <w:sz w:val="17"/>
        </w:rPr>
        <w:t> </w:t>
      </w:r>
      <w:r>
        <w:rPr>
          <w:color w:val="231F20"/>
          <w:sz w:val="17"/>
        </w:rPr>
        <w:t>werknemers:</w:t>
      </w:r>
      <w:r>
        <w:rPr>
          <w:color w:val="231F20"/>
          <w:spacing w:val="15"/>
          <w:sz w:val="17"/>
        </w:rPr>
        <w:t> </w:t>
      </w:r>
      <w:r>
        <w:rPr>
          <w:color w:val="231F20"/>
          <w:sz w:val="17"/>
        </w:rPr>
        <w:t>10;</w:t>
      </w:r>
    </w:p>
    <w:p>
      <w:pPr>
        <w:pStyle w:val="ListParagraph"/>
        <w:numPr>
          <w:ilvl w:val="0"/>
          <w:numId w:val="1"/>
        </w:numPr>
        <w:tabs>
          <w:tab w:pos="534" w:val="left" w:leader="none"/>
        </w:tabs>
        <w:spacing w:line="218" w:lineRule="auto" w:before="114" w:after="0"/>
        <w:ind w:left="113" w:right="124" w:firstLine="170"/>
        <w:jc w:val="both"/>
        <w:rPr>
          <w:sz w:val="17"/>
        </w:rPr>
      </w:pPr>
      <w:r>
        <w:rPr>
          <w:color w:val="231F20"/>
          <w:sz w:val="17"/>
        </w:rPr>
        <w:t>jaaromzet, exclusief de belasting over de toegevoegde  waarde: 700 000</w:t>
      </w:r>
      <w:r>
        <w:rPr>
          <w:color w:val="231F20"/>
          <w:spacing w:val="-14"/>
          <w:sz w:val="17"/>
        </w:rPr>
        <w:t> </w:t>
      </w:r>
      <w:r>
        <w:rPr>
          <w:color w:val="231F20"/>
          <w:sz w:val="17"/>
        </w:rPr>
        <w:t>euro;</w:t>
      </w:r>
    </w:p>
    <w:p>
      <w:pPr>
        <w:pStyle w:val="ListParagraph"/>
        <w:numPr>
          <w:ilvl w:val="0"/>
          <w:numId w:val="1"/>
        </w:numPr>
        <w:tabs>
          <w:tab w:pos="511" w:val="left" w:leader="none"/>
        </w:tabs>
        <w:spacing w:line="240" w:lineRule="auto" w:before="104" w:after="0"/>
        <w:ind w:left="283" w:right="0" w:firstLine="0"/>
        <w:jc w:val="left"/>
        <w:rPr>
          <w:sz w:val="17"/>
        </w:rPr>
      </w:pPr>
      <w:r>
        <w:rPr>
          <w:color w:val="231F20"/>
          <w:sz w:val="17"/>
        </w:rPr>
        <w:t>balanstotaal: 350 000</w:t>
      </w:r>
      <w:r>
        <w:rPr>
          <w:color w:val="231F20"/>
          <w:spacing w:val="39"/>
          <w:sz w:val="17"/>
        </w:rPr>
        <w:t> </w:t>
      </w:r>
      <w:r>
        <w:rPr>
          <w:color w:val="231F20"/>
          <w:sz w:val="17"/>
        </w:rPr>
        <w:t>euro.</w:t>
      </w:r>
    </w:p>
    <w:p>
      <w:pPr>
        <w:pStyle w:val="BodyText"/>
        <w:spacing w:line="364" w:lineRule="auto" w:before="100"/>
        <w:ind w:left="283" w:right="1017" w:firstLine="0"/>
        <w:jc w:val="left"/>
      </w:pPr>
      <w:r>
        <w:rPr>
          <w:color w:val="231F20"/>
        </w:rPr>
        <w:t>§ 2. Artikel 1:24, §§ 2 tot 5 en § 8, is van toepassing. HOOFDSTUK 2. Groepen van beperkte omvang.</w:t>
      </w:r>
    </w:p>
    <w:p>
      <w:pPr>
        <w:pStyle w:val="BodyText"/>
        <w:spacing w:line="218" w:lineRule="auto" w:before="13"/>
      </w:pPr>
      <w:r>
        <w:rPr>
          <w:color w:val="231F20"/>
        </w:rPr>
        <w:t>Art. 1:26. § 1. Een vennootschap samen met haar dochtervennoot- schappen, of vennootschappen die samen een consortium uitmaken, worden geacht een groep van beperkte omvang te vormen, indien deze vennootschappen samen, op geconsolideerde basis, niet meer dan één van de volgende criteria overschrijden:</w:t>
      </w:r>
    </w:p>
    <w:p>
      <w:pPr>
        <w:pStyle w:val="ListParagraph"/>
        <w:numPr>
          <w:ilvl w:val="0"/>
          <w:numId w:val="1"/>
        </w:numPr>
        <w:tabs>
          <w:tab w:pos="511" w:val="left" w:leader="none"/>
        </w:tabs>
        <w:spacing w:line="240" w:lineRule="auto" w:before="103"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4"/>
          <w:sz w:val="17"/>
        </w:rPr>
        <w:t> </w:t>
      </w:r>
      <w:r>
        <w:rPr>
          <w:color w:val="231F20"/>
          <w:sz w:val="17"/>
        </w:rPr>
        <w:t>het</w:t>
      </w:r>
      <w:r>
        <w:rPr>
          <w:color w:val="231F20"/>
          <w:spacing w:val="14"/>
          <w:sz w:val="17"/>
        </w:rPr>
        <w:t> </w:t>
      </w:r>
      <w:r>
        <w:rPr>
          <w:color w:val="231F20"/>
          <w:sz w:val="17"/>
        </w:rPr>
        <w:t>aantal</w:t>
      </w:r>
      <w:r>
        <w:rPr>
          <w:color w:val="231F20"/>
          <w:spacing w:val="14"/>
          <w:sz w:val="17"/>
        </w:rPr>
        <w:t> </w:t>
      </w:r>
      <w:r>
        <w:rPr>
          <w:color w:val="231F20"/>
          <w:sz w:val="17"/>
        </w:rPr>
        <w:t>werknemers:</w:t>
      </w:r>
      <w:r>
        <w:rPr>
          <w:color w:val="231F20"/>
          <w:spacing w:val="14"/>
          <w:sz w:val="17"/>
        </w:rPr>
        <w:t> </w:t>
      </w:r>
      <w:r>
        <w:rPr>
          <w:color w:val="231F20"/>
          <w:sz w:val="17"/>
        </w:rPr>
        <w:t>250;</w:t>
      </w:r>
    </w:p>
    <w:p>
      <w:pPr>
        <w:pStyle w:val="ListParagraph"/>
        <w:numPr>
          <w:ilvl w:val="0"/>
          <w:numId w:val="1"/>
        </w:numPr>
        <w:tabs>
          <w:tab w:pos="572" w:val="left" w:leader="none"/>
        </w:tabs>
        <w:spacing w:line="218" w:lineRule="auto" w:before="114" w:after="0"/>
        <w:ind w:left="113" w:right="124" w:firstLine="170"/>
        <w:jc w:val="both"/>
        <w:rPr>
          <w:sz w:val="17"/>
        </w:rPr>
      </w:pPr>
      <w:r>
        <w:rPr>
          <w:color w:val="231F20"/>
          <w:sz w:val="17"/>
        </w:rPr>
        <w:t>jaaromzet,  exclusief  belasting  over  de   toegevoegde   waarde: 34 000 000</w:t>
      </w:r>
      <w:r>
        <w:rPr>
          <w:color w:val="231F20"/>
          <w:spacing w:val="39"/>
          <w:sz w:val="17"/>
        </w:rPr>
        <w:t> </w:t>
      </w:r>
      <w:r>
        <w:rPr>
          <w:color w:val="231F20"/>
          <w:sz w:val="17"/>
        </w:rPr>
        <w:t>euro;</w:t>
      </w:r>
    </w:p>
    <w:p>
      <w:pPr>
        <w:pStyle w:val="ListParagraph"/>
        <w:numPr>
          <w:ilvl w:val="0"/>
          <w:numId w:val="1"/>
        </w:numPr>
        <w:tabs>
          <w:tab w:pos="511" w:val="left" w:leader="none"/>
        </w:tabs>
        <w:spacing w:line="240" w:lineRule="auto" w:before="104" w:after="0"/>
        <w:ind w:left="283" w:right="0" w:firstLine="0"/>
        <w:jc w:val="left"/>
        <w:rPr>
          <w:sz w:val="17"/>
        </w:rPr>
      </w:pPr>
      <w:r>
        <w:rPr>
          <w:color w:val="231F20"/>
          <w:sz w:val="17"/>
        </w:rPr>
        <w:t>balanstotaal: 17 000 000</w:t>
      </w:r>
      <w:r>
        <w:rPr>
          <w:color w:val="231F20"/>
          <w:spacing w:val="10"/>
          <w:sz w:val="17"/>
        </w:rPr>
        <w:t> </w:t>
      </w:r>
      <w:r>
        <w:rPr>
          <w:color w:val="231F20"/>
          <w:sz w:val="17"/>
        </w:rPr>
        <w:t>euro.</w:t>
      </w:r>
    </w:p>
    <w:p>
      <w:pPr>
        <w:pStyle w:val="BodyText"/>
        <w:spacing w:line="218" w:lineRule="auto" w:before="124"/>
      </w:pPr>
      <w:r>
        <w:rPr>
          <w:color w:val="231F20"/>
        </w:rPr>
        <w:t>§ 2. De in paragraaf 1 bedoelde cijfers worden getoetst op de datum van de afsluiting van de jaarrekening van de consoliderende vennoot- schap, op basis van de laatste opgemaakte jaarrekeningen van de te consolideren vennootschappen.</w:t>
      </w:r>
    </w:p>
    <w:p>
      <w:pPr>
        <w:pStyle w:val="BodyText"/>
        <w:spacing w:before="115"/>
        <w:ind w:left="283" w:right="0" w:firstLine="0"/>
        <w:jc w:val="left"/>
      </w:pPr>
      <w:r>
        <w:rPr>
          <w:color w:val="231F20"/>
        </w:rPr>
        <w:t>Artikel 1:24, § 2, is voor het overige van toepassing.</w:t>
      </w:r>
    </w:p>
    <w:p>
      <w:pPr>
        <w:pStyle w:val="BodyText"/>
        <w:spacing w:line="218" w:lineRule="auto" w:before="124"/>
      </w:pPr>
      <w:r>
        <w:rPr>
          <w:color w:val="231F20"/>
        </w:rPr>
        <w:t>§ 3. Het gemiddeld aantal tewerkgestelde werknemers bedoeld</w:t>
      </w:r>
      <w:r>
        <w:rPr>
          <w:color w:val="231F20"/>
          <w:spacing w:val="30"/>
        </w:rPr>
        <w:t> </w:t>
      </w:r>
      <w:r>
        <w:rPr>
          <w:color w:val="231F20"/>
        </w:rPr>
        <w:t>in paragraaf 1 wordt bepaald overeenkomstig artikel 1:24, § 5, eerste tot</w:t>
      </w:r>
      <w:r>
        <w:rPr>
          <w:color w:val="231F20"/>
          <w:spacing w:val="-18"/>
        </w:rPr>
        <w:t> </w:t>
      </w:r>
      <w:r>
        <w:rPr>
          <w:color w:val="231F20"/>
        </w:rPr>
        <w:t>en met derde</w:t>
      </w:r>
      <w:r>
        <w:rPr>
          <w:color w:val="231F20"/>
          <w:spacing w:val="-11"/>
        </w:rPr>
        <w:t> </w:t>
      </w:r>
      <w:r>
        <w:rPr>
          <w:color w:val="231F20"/>
        </w:rPr>
        <w:t>lid.</w:t>
      </w:r>
    </w:p>
    <w:p>
      <w:pPr>
        <w:pStyle w:val="BodyText"/>
        <w:spacing w:line="218" w:lineRule="auto" w:before="128"/>
      </w:pPr>
      <w:r>
        <w:rPr>
          <w:color w:val="231F20"/>
        </w:rPr>
        <w:t>Het in paragraaf 1 bedoelde balanstotaal is de totale boekwaarde van de activa zoals ze blijkt uit het balansschema dat vastgesteld is bij koninklijk besluit genomen ter uitvoering van artikel 3:30, § 1.</w:t>
      </w:r>
    </w:p>
    <w:p>
      <w:pPr>
        <w:pStyle w:val="BodyText"/>
        <w:spacing w:line="218" w:lineRule="auto" w:before="129"/>
      </w:pPr>
      <w:r>
        <w:rPr>
          <w:color w:val="231F20"/>
        </w:rPr>
        <w:t>Indien, bij de berekening van de in paragraaf 1 genoemde grensbe- dragen, de in het koninklijk besluit ter uitvoering van artikel 3:30,</w:t>
      </w:r>
    </w:p>
    <w:p>
      <w:pPr>
        <w:pStyle w:val="BodyText"/>
        <w:spacing w:line="218" w:lineRule="auto"/>
        <w:ind w:firstLine="0"/>
      </w:pPr>
      <w:r>
        <w:rPr>
          <w:color w:val="231F20"/>
        </w:rPr>
        <w:t>§ 1, bedoelde verrekeningen en elke daaruit voortvloeiende weglating niet worden verricht, dan worden deze grensbedragen betreffende het balanstotaal en de netto-omzet vermeerderd met twintig procent.</w:t>
      </w:r>
    </w:p>
    <w:p>
      <w:pPr>
        <w:pStyle w:val="BodyText"/>
        <w:spacing w:line="218" w:lineRule="auto" w:before="128"/>
      </w:pPr>
      <w:r>
        <w:rPr>
          <w:color w:val="231F20"/>
        </w:rPr>
        <w:t>§ 4. De Koning kan de in paragraaf 1 vermelde cijfers en de wijze waarop ze worden berekend, wijzigen. Deze koninklijke besluiten worden genomen na overleg in de Ministerraad en na advies van de Centrale Raad voor het Bedrijfsleven.</w:t>
      </w:r>
    </w:p>
    <w:p>
      <w:pPr>
        <w:spacing w:after="0" w:line="218" w:lineRule="auto"/>
        <w:sectPr>
          <w:pgSz w:w="11940" w:h="16880"/>
          <w:pgMar w:header="666" w:footer="0" w:top="1140" w:bottom="280" w:left="340" w:right="360"/>
          <w:cols w:num="2" w:equalWidth="0">
            <w:col w:w="5549" w:space="79"/>
            <w:col w:w="5612"/>
          </w:cols>
        </w:sectPr>
      </w:pPr>
    </w:p>
    <w:p>
      <w:pPr>
        <w:pStyle w:val="BodyText"/>
        <w:spacing w:before="106"/>
        <w:ind w:left="283" w:right="0" w:firstLine="0"/>
        <w:jc w:val="left"/>
      </w:pPr>
      <w:r>
        <w:rPr/>
        <w:pict>
          <v:line style="position:absolute;mso-position-horizontal-relative:page;mso-position-vertical-relative:page;z-index:1168" from="298.170502pt,64.473pt" to="298.170502pt,812.819pt" stroked="true" strokeweight=".533pt" strokecolor="#231f20">
            <v:stroke dashstyle="solid"/>
            <w10:wrap type="none"/>
          </v:line>
        </w:pict>
      </w:r>
      <w:bookmarkStart w:name="_bookmark6" w:id="8"/>
      <w:bookmarkEnd w:id="8"/>
      <w:r>
        <w:rPr/>
      </w:r>
      <w:r>
        <w:rPr>
          <w:color w:val="231F20"/>
        </w:rPr>
        <w:t>CHAPITRE 3. Personnel.</w:t>
      </w:r>
    </w:p>
    <w:p>
      <w:pPr>
        <w:pStyle w:val="BodyText"/>
        <w:spacing w:line="218" w:lineRule="auto" w:before="82"/>
        <w:ind w:right="38"/>
      </w:pPr>
      <w:r>
        <w:rPr>
          <w:color w:val="231F20"/>
        </w:rPr>
        <w:t>Art. 1:27. Pour l’application des livres 5, 6 et 7, il faut entendre par “personnel”:</w:t>
      </w:r>
    </w:p>
    <w:p>
      <w:pPr>
        <w:pStyle w:val="BodyText"/>
        <w:spacing w:line="218" w:lineRule="auto" w:before="85"/>
        <w:ind w:right="38"/>
      </w:pPr>
      <w:r>
        <w:rPr>
          <w:color w:val="231F20"/>
        </w:rPr>
        <w:t>1° toute personne physique engagée dans les liens d’un contrat de travail, d’un contrat de management ou d’un contrat similaire avec la société ou sa/ses filiale(s);</w:t>
      </w:r>
    </w:p>
    <w:p>
      <w:pPr>
        <w:pStyle w:val="BodyText"/>
        <w:spacing w:line="218" w:lineRule="auto" w:before="86"/>
        <w:ind w:right="38"/>
      </w:pPr>
      <w:r>
        <w:rPr>
          <w:color w:val="231F20"/>
        </w:rPr>
        <w:t>2° toute personne morale engagée dans les liens d’un contrat de management ou d’un contrat similaire avec la société ou sa/ses filiale(s), en vertu duquel cette personne morale n’est représentée que par une seule personne physique qui en est également l’associé ou l’actionnaire de contrôle;</w:t>
      </w:r>
    </w:p>
    <w:p>
      <w:pPr>
        <w:pStyle w:val="BodyText"/>
        <w:spacing w:line="218" w:lineRule="auto" w:before="86"/>
        <w:ind w:right="38"/>
      </w:pPr>
      <w:r>
        <w:rPr>
          <w:color w:val="231F20"/>
        </w:rPr>
        <w:t>3° les membres de l’organe d’administration de la société ou de sa/ses filiale(s), en ce compris les personnes morales dont le représen- tant</w:t>
      </w:r>
      <w:r>
        <w:rPr>
          <w:color w:val="231F20"/>
          <w:spacing w:val="14"/>
        </w:rPr>
        <w:t> </w:t>
      </w:r>
      <w:r>
        <w:rPr>
          <w:color w:val="231F20"/>
        </w:rPr>
        <w:t>permanent</w:t>
      </w:r>
      <w:r>
        <w:rPr>
          <w:color w:val="231F20"/>
          <w:spacing w:val="14"/>
        </w:rPr>
        <w:t> </w:t>
      </w:r>
      <w:r>
        <w:rPr>
          <w:color w:val="231F20"/>
        </w:rPr>
        <w:t>est</w:t>
      </w:r>
      <w:r>
        <w:rPr>
          <w:color w:val="231F20"/>
          <w:spacing w:val="15"/>
        </w:rPr>
        <w:t> </w:t>
      </w:r>
      <w:r>
        <w:rPr>
          <w:color w:val="231F20"/>
        </w:rPr>
        <w:t>également</w:t>
      </w:r>
      <w:r>
        <w:rPr>
          <w:color w:val="231F20"/>
          <w:spacing w:val="14"/>
        </w:rPr>
        <w:t> </w:t>
      </w:r>
      <w:r>
        <w:rPr>
          <w:color w:val="231F20"/>
        </w:rPr>
        <w:t>l’associé</w:t>
      </w:r>
      <w:r>
        <w:rPr>
          <w:color w:val="231F20"/>
          <w:spacing w:val="14"/>
        </w:rPr>
        <w:t> </w:t>
      </w:r>
      <w:r>
        <w:rPr>
          <w:color w:val="231F20"/>
        </w:rPr>
        <w:t>ou</w:t>
      </w:r>
      <w:r>
        <w:rPr>
          <w:color w:val="231F20"/>
          <w:spacing w:val="15"/>
        </w:rPr>
        <w:t> </w:t>
      </w:r>
      <w:r>
        <w:rPr>
          <w:color w:val="231F20"/>
        </w:rPr>
        <w:t>l’actionnaire</w:t>
      </w:r>
      <w:r>
        <w:rPr>
          <w:color w:val="231F20"/>
          <w:spacing w:val="14"/>
        </w:rPr>
        <w:t> </w:t>
      </w:r>
      <w:r>
        <w:rPr>
          <w:color w:val="231F20"/>
        </w:rPr>
        <w:t>de</w:t>
      </w:r>
      <w:r>
        <w:rPr>
          <w:color w:val="231F20"/>
          <w:spacing w:val="14"/>
        </w:rPr>
        <w:t> </w:t>
      </w:r>
      <w:r>
        <w:rPr>
          <w:color w:val="231F20"/>
        </w:rPr>
        <w:t>contrôle.</w:t>
      </w:r>
    </w:p>
    <w:p>
      <w:pPr>
        <w:pStyle w:val="BodyText"/>
        <w:spacing w:before="8"/>
        <w:ind w:left="0" w:right="0" w:firstLine="0"/>
        <w:jc w:val="left"/>
        <w:rPr>
          <w:sz w:val="21"/>
        </w:rPr>
      </w:pPr>
    </w:p>
    <w:p>
      <w:pPr>
        <w:pStyle w:val="BodyText"/>
        <w:spacing w:line="304" w:lineRule="auto"/>
        <w:ind w:left="283" w:right="281" w:firstLine="0"/>
        <w:jc w:val="left"/>
      </w:pPr>
      <w:r>
        <w:rPr>
          <w:color w:val="231F20"/>
        </w:rPr>
        <w:t>TITRE 6. Dimension des associations et des fondations. CHAPITRE 1</w:t>
      </w:r>
      <w:r>
        <w:rPr>
          <w:color w:val="231F20"/>
          <w:position w:val="7"/>
          <w:sz w:val="11"/>
        </w:rPr>
        <w:t>er</w:t>
      </w:r>
      <w:r>
        <w:rPr>
          <w:color w:val="231F20"/>
        </w:rPr>
        <w:t>. Petites associations.</w:t>
      </w:r>
    </w:p>
    <w:p>
      <w:pPr>
        <w:pStyle w:val="BodyText"/>
        <w:spacing w:line="218" w:lineRule="auto" w:before="16"/>
        <w:ind w:right="38"/>
      </w:pPr>
      <w:r>
        <w:rPr>
          <w:color w:val="231F20"/>
        </w:rPr>
        <w:t>Art. 1:28. § 1</w:t>
      </w:r>
      <w:r>
        <w:rPr>
          <w:color w:val="231F20"/>
          <w:position w:val="7"/>
          <w:sz w:val="11"/>
        </w:rPr>
        <w:t>er</w:t>
      </w:r>
      <w:r>
        <w:rPr>
          <w:color w:val="231F20"/>
        </w:rPr>
        <w:t>. Les petites ASBL et AISBL sont les ASBL et AISBL</w:t>
      </w:r>
      <w:r>
        <w:rPr>
          <w:color w:val="231F20"/>
          <w:spacing w:val="-22"/>
        </w:rPr>
        <w:t> </w:t>
      </w:r>
      <w:r>
        <w:rPr>
          <w:color w:val="231F20"/>
        </w:rPr>
        <w:t>qui, à la date du bilan du dernier exercice clôturé, ne dépassent pas plus d’un des critères</w:t>
      </w:r>
      <w:r>
        <w:rPr>
          <w:color w:val="231F20"/>
          <w:spacing w:val="4"/>
        </w:rPr>
        <w:t> </w:t>
      </w:r>
      <w:r>
        <w:rPr>
          <w:color w:val="231F20"/>
        </w:rPr>
        <w:t>suivants:</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nombre</w:t>
      </w:r>
      <w:r>
        <w:rPr>
          <w:color w:val="231F20"/>
          <w:spacing w:val="14"/>
          <w:sz w:val="17"/>
        </w:rPr>
        <w:t> </w:t>
      </w:r>
      <w:r>
        <w:rPr>
          <w:color w:val="231F20"/>
          <w:sz w:val="17"/>
        </w:rPr>
        <w:t>de</w:t>
      </w:r>
      <w:r>
        <w:rPr>
          <w:color w:val="231F20"/>
          <w:spacing w:val="13"/>
          <w:sz w:val="17"/>
        </w:rPr>
        <w:t> </w:t>
      </w:r>
      <w:r>
        <w:rPr>
          <w:color w:val="231F20"/>
          <w:sz w:val="17"/>
        </w:rPr>
        <w:t>travailleurs,</w:t>
      </w:r>
      <w:r>
        <w:rPr>
          <w:color w:val="231F20"/>
          <w:spacing w:val="14"/>
          <w:sz w:val="17"/>
        </w:rPr>
        <w:t> </w:t>
      </w:r>
      <w:r>
        <w:rPr>
          <w:color w:val="231F20"/>
          <w:sz w:val="17"/>
        </w:rPr>
        <w:t>en</w:t>
      </w:r>
      <w:r>
        <w:rPr>
          <w:color w:val="231F20"/>
          <w:spacing w:val="14"/>
          <w:sz w:val="17"/>
        </w:rPr>
        <w:t> </w:t>
      </w:r>
      <w:r>
        <w:rPr>
          <w:color w:val="231F20"/>
          <w:sz w:val="17"/>
        </w:rPr>
        <w:t>moyenne</w:t>
      </w:r>
      <w:r>
        <w:rPr>
          <w:color w:val="231F20"/>
          <w:spacing w:val="14"/>
          <w:sz w:val="17"/>
        </w:rPr>
        <w:t> </w:t>
      </w:r>
      <w:r>
        <w:rPr>
          <w:color w:val="231F20"/>
          <w:sz w:val="17"/>
        </w:rPr>
        <w:t>annuelle:</w:t>
      </w:r>
      <w:r>
        <w:rPr>
          <w:color w:val="231F20"/>
          <w:spacing w:val="14"/>
          <w:sz w:val="17"/>
        </w:rPr>
        <w:t> </w:t>
      </w:r>
      <w:r>
        <w:rPr>
          <w:color w:val="231F20"/>
          <w:sz w:val="17"/>
        </w:rPr>
        <w:t>50;</w:t>
      </w:r>
    </w:p>
    <w:p>
      <w:pPr>
        <w:pStyle w:val="ListParagraph"/>
        <w:numPr>
          <w:ilvl w:val="0"/>
          <w:numId w:val="1"/>
        </w:numPr>
        <w:tabs>
          <w:tab w:pos="585" w:val="left" w:leader="none"/>
        </w:tabs>
        <w:spacing w:line="218" w:lineRule="auto" w:before="93" w:after="0"/>
        <w:ind w:left="113" w:right="39" w:firstLine="170"/>
        <w:jc w:val="both"/>
        <w:rPr>
          <w:sz w:val="17"/>
        </w:rPr>
      </w:pPr>
      <w:r>
        <w:rPr>
          <w:color w:val="231F20"/>
          <w:sz w:val="17"/>
        </w:rPr>
        <w:t>chiffre  d’affaires   annuel,   hors   taxe   sur   la   valeur   ajoutée:  9 000 000</w:t>
      </w:r>
      <w:r>
        <w:rPr>
          <w:color w:val="231F20"/>
          <w:spacing w:val="39"/>
          <w:sz w:val="17"/>
        </w:rPr>
        <w:t> </w:t>
      </w:r>
      <w:r>
        <w:rPr>
          <w:color w:val="231F20"/>
          <w:sz w:val="17"/>
        </w:rPr>
        <w:t>euros;</w:t>
      </w:r>
    </w:p>
    <w:p>
      <w:pPr>
        <w:pStyle w:val="ListParagraph"/>
        <w:numPr>
          <w:ilvl w:val="0"/>
          <w:numId w:val="1"/>
        </w:numPr>
        <w:tabs>
          <w:tab w:pos="511" w:val="left" w:leader="none"/>
        </w:tabs>
        <w:spacing w:line="240" w:lineRule="auto" w:before="82" w:after="0"/>
        <w:ind w:left="283" w:right="0" w:firstLine="0"/>
        <w:jc w:val="left"/>
        <w:rPr>
          <w:sz w:val="17"/>
        </w:rPr>
      </w:pPr>
      <w:r>
        <w:rPr>
          <w:color w:val="231F20"/>
          <w:sz w:val="17"/>
        </w:rPr>
        <w:t>total</w:t>
      </w:r>
      <w:r>
        <w:rPr>
          <w:color w:val="231F20"/>
          <w:spacing w:val="12"/>
          <w:sz w:val="17"/>
        </w:rPr>
        <w:t> </w:t>
      </w:r>
      <w:r>
        <w:rPr>
          <w:color w:val="231F20"/>
          <w:sz w:val="17"/>
        </w:rPr>
        <w:t>du</w:t>
      </w:r>
      <w:r>
        <w:rPr>
          <w:color w:val="231F20"/>
          <w:spacing w:val="13"/>
          <w:sz w:val="17"/>
        </w:rPr>
        <w:t> </w:t>
      </w:r>
      <w:r>
        <w:rPr>
          <w:color w:val="231F20"/>
          <w:sz w:val="17"/>
        </w:rPr>
        <w:t>bilan:</w:t>
      </w:r>
      <w:r>
        <w:rPr>
          <w:color w:val="231F20"/>
          <w:spacing w:val="13"/>
          <w:sz w:val="17"/>
        </w:rPr>
        <w:t> </w:t>
      </w:r>
      <w:r>
        <w:rPr>
          <w:color w:val="231F20"/>
          <w:sz w:val="17"/>
        </w:rPr>
        <w:t>4</w:t>
      </w:r>
      <w:r>
        <w:rPr>
          <w:color w:val="231F20"/>
          <w:spacing w:val="13"/>
          <w:sz w:val="17"/>
        </w:rPr>
        <w:t> </w:t>
      </w:r>
      <w:r>
        <w:rPr>
          <w:color w:val="231F20"/>
          <w:sz w:val="17"/>
        </w:rPr>
        <w:t>500</w:t>
      </w:r>
      <w:r>
        <w:rPr>
          <w:color w:val="231F20"/>
          <w:spacing w:val="12"/>
          <w:sz w:val="17"/>
        </w:rPr>
        <w:t> </w:t>
      </w:r>
      <w:r>
        <w:rPr>
          <w:color w:val="231F20"/>
          <w:sz w:val="17"/>
        </w:rPr>
        <w:t>000</w:t>
      </w:r>
      <w:r>
        <w:rPr>
          <w:color w:val="231F20"/>
          <w:spacing w:val="13"/>
          <w:sz w:val="17"/>
        </w:rPr>
        <w:t> </w:t>
      </w:r>
      <w:r>
        <w:rPr>
          <w:color w:val="231F20"/>
          <w:sz w:val="17"/>
        </w:rPr>
        <w:t>euros.</w:t>
      </w:r>
    </w:p>
    <w:p>
      <w:pPr>
        <w:pStyle w:val="BodyText"/>
        <w:spacing w:line="216" w:lineRule="auto" w:before="94"/>
        <w:ind w:right="38"/>
      </w:pPr>
      <w:r>
        <w:rPr>
          <w:color w:val="231F20"/>
        </w:rPr>
        <w:t>§ 2. Le fait de dépasser ou de ne plus dépasser plus d’un des critères visés au paragraphe 1</w:t>
      </w:r>
      <w:r>
        <w:rPr>
          <w:color w:val="231F20"/>
          <w:position w:val="7"/>
          <w:sz w:val="11"/>
        </w:rPr>
        <w:t>er </w:t>
      </w:r>
      <w:r>
        <w:rPr>
          <w:color w:val="231F20"/>
        </w:rPr>
        <w:t>n’a d’incidence que si cette circonstance se produit pendant deux exercices consécutifs. Dans ce cas, les</w:t>
      </w:r>
      <w:r>
        <w:rPr>
          <w:color w:val="231F20"/>
          <w:spacing w:val="-12"/>
        </w:rPr>
        <w:t> </w:t>
      </w:r>
      <w:r>
        <w:rPr>
          <w:color w:val="231F20"/>
        </w:rPr>
        <w:t>conséquen- ces de ce dépassement s’appliqueront à partir de l’exercice suivant l’exercice au cours duquel, pour la deuxième fois, plus d’un des critères ont</w:t>
      </w:r>
      <w:r>
        <w:rPr>
          <w:color w:val="231F20"/>
          <w:spacing w:val="15"/>
        </w:rPr>
        <w:t> </w:t>
      </w:r>
      <w:r>
        <w:rPr>
          <w:color w:val="231F20"/>
        </w:rPr>
        <w:t>été</w:t>
      </w:r>
      <w:r>
        <w:rPr>
          <w:color w:val="231F20"/>
          <w:spacing w:val="15"/>
        </w:rPr>
        <w:t> </w:t>
      </w:r>
      <w:r>
        <w:rPr>
          <w:color w:val="231F20"/>
        </w:rPr>
        <w:t>dépassés</w:t>
      </w:r>
      <w:r>
        <w:rPr>
          <w:color w:val="231F20"/>
          <w:spacing w:val="15"/>
        </w:rPr>
        <w:t> </w:t>
      </w:r>
      <w:r>
        <w:rPr>
          <w:color w:val="231F20"/>
        </w:rPr>
        <w:t>ou</w:t>
      </w:r>
      <w:r>
        <w:rPr>
          <w:color w:val="231F20"/>
          <w:spacing w:val="16"/>
        </w:rPr>
        <w:t> </w:t>
      </w:r>
      <w:r>
        <w:rPr>
          <w:color w:val="231F20"/>
        </w:rPr>
        <w:t>ne</w:t>
      </w:r>
      <w:r>
        <w:rPr>
          <w:color w:val="231F20"/>
          <w:spacing w:val="15"/>
        </w:rPr>
        <w:t> </w:t>
      </w:r>
      <w:r>
        <w:rPr>
          <w:color w:val="231F20"/>
        </w:rPr>
        <w:t>sont</w:t>
      </w:r>
      <w:r>
        <w:rPr>
          <w:color w:val="231F20"/>
          <w:spacing w:val="15"/>
        </w:rPr>
        <w:t> </w:t>
      </w:r>
      <w:r>
        <w:rPr>
          <w:color w:val="231F20"/>
        </w:rPr>
        <w:t>plus</w:t>
      </w:r>
      <w:r>
        <w:rPr>
          <w:color w:val="231F20"/>
          <w:spacing w:val="15"/>
        </w:rPr>
        <w:t> </w:t>
      </w:r>
      <w:r>
        <w:rPr>
          <w:color w:val="231F20"/>
        </w:rPr>
        <w:t>dépassés.</w:t>
      </w:r>
    </w:p>
    <w:p>
      <w:pPr>
        <w:pStyle w:val="BodyText"/>
        <w:spacing w:before="2"/>
        <w:ind w:left="0" w:right="0" w:firstLine="0"/>
        <w:jc w:val="left"/>
        <w:rPr>
          <w:sz w:val="22"/>
        </w:rPr>
      </w:pPr>
    </w:p>
    <w:p>
      <w:pPr>
        <w:pStyle w:val="BodyText"/>
        <w:spacing w:line="218" w:lineRule="auto"/>
        <w:ind w:right="38"/>
      </w:pPr>
      <w:r>
        <w:rPr>
          <w:color w:val="231F20"/>
        </w:rPr>
        <w:t>§ 3. L’application des critères fixés au paragraphe 1</w:t>
      </w:r>
      <w:r>
        <w:rPr>
          <w:color w:val="231F20"/>
          <w:position w:val="7"/>
          <w:sz w:val="11"/>
        </w:rPr>
        <w:t>er </w:t>
      </w:r>
      <w:r>
        <w:rPr>
          <w:color w:val="231F20"/>
        </w:rPr>
        <w:t>aux ASBL et AISBL qui commencent leurs activités fait l’objet d’une estimation de bonne foi au début de l’exercice. S’il ressort de cette estimation que</w:t>
      </w:r>
      <w:r>
        <w:rPr>
          <w:color w:val="231F20"/>
          <w:spacing w:val="-16"/>
        </w:rPr>
        <w:t> </w:t>
      </w:r>
      <w:r>
        <w:rPr>
          <w:color w:val="231F20"/>
        </w:rPr>
        <w:t>plus d’un des critères seront dépassés au cours du premier exercice, il faut en</w:t>
      </w:r>
      <w:r>
        <w:rPr>
          <w:color w:val="231F20"/>
          <w:spacing w:val="14"/>
        </w:rPr>
        <w:t> </w:t>
      </w:r>
      <w:r>
        <w:rPr>
          <w:color w:val="231F20"/>
        </w:rPr>
        <w:t>tenir</w:t>
      </w:r>
      <w:r>
        <w:rPr>
          <w:color w:val="231F20"/>
          <w:spacing w:val="15"/>
        </w:rPr>
        <w:t> </w:t>
      </w:r>
      <w:r>
        <w:rPr>
          <w:color w:val="231F20"/>
        </w:rPr>
        <w:t>compte</w:t>
      </w:r>
      <w:r>
        <w:rPr>
          <w:color w:val="231F20"/>
          <w:spacing w:val="14"/>
        </w:rPr>
        <w:t> </w:t>
      </w:r>
      <w:r>
        <w:rPr>
          <w:color w:val="231F20"/>
        </w:rPr>
        <w:t>dès</w:t>
      </w:r>
      <w:r>
        <w:rPr>
          <w:color w:val="231F20"/>
          <w:spacing w:val="15"/>
        </w:rPr>
        <w:t> </w:t>
      </w:r>
      <w:r>
        <w:rPr>
          <w:color w:val="231F20"/>
        </w:rPr>
        <w:t>ce</w:t>
      </w:r>
      <w:r>
        <w:rPr>
          <w:color w:val="231F20"/>
          <w:spacing w:val="14"/>
        </w:rPr>
        <w:t> </w:t>
      </w:r>
      <w:r>
        <w:rPr>
          <w:color w:val="231F20"/>
        </w:rPr>
        <w:t>premier</w:t>
      </w:r>
      <w:r>
        <w:rPr>
          <w:color w:val="231F20"/>
          <w:spacing w:val="15"/>
        </w:rPr>
        <w:t> </w:t>
      </w:r>
      <w:r>
        <w:rPr>
          <w:color w:val="231F20"/>
        </w:rPr>
        <w:t>exercice.</w:t>
      </w:r>
    </w:p>
    <w:p>
      <w:pPr>
        <w:pStyle w:val="BodyText"/>
        <w:spacing w:before="1"/>
        <w:ind w:left="0" w:right="0" w:firstLine="0"/>
        <w:jc w:val="left"/>
        <w:rPr>
          <w:sz w:val="24"/>
        </w:rPr>
      </w:pPr>
    </w:p>
    <w:p>
      <w:pPr>
        <w:pStyle w:val="BodyText"/>
        <w:spacing w:line="216" w:lineRule="auto"/>
        <w:ind w:right="38"/>
      </w:pPr>
      <w:r>
        <w:rPr>
          <w:color w:val="231F20"/>
        </w:rPr>
        <w:t>§ 4. Lorsque l’exercice a exceptionnellement une durée inférieure ou supérieure à douze mois, cette durée ne pouvant pas dépasser vingt-quatre mois moins un jour calendrier, le montant du chiffre d’affaires à l’exclusion de la taxe sur la valeur ajoutée, visé au paragraphe 1</w:t>
      </w:r>
      <w:r>
        <w:rPr>
          <w:color w:val="231F20"/>
          <w:position w:val="7"/>
          <w:sz w:val="11"/>
        </w:rPr>
        <w:t>er</w:t>
      </w:r>
      <w:r>
        <w:rPr>
          <w:color w:val="231F20"/>
        </w:rPr>
        <w:t>, est multiplié par une fraction dont le dénominateur est douze et le numérateur le nombre de mois compris dans l’exercice considéré, tout mois commencé étant compté pour un mois complet.</w:t>
      </w:r>
    </w:p>
    <w:p>
      <w:pPr>
        <w:pStyle w:val="BodyText"/>
        <w:spacing w:before="10"/>
        <w:ind w:left="0" w:right="0" w:firstLine="0"/>
        <w:jc w:val="left"/>
        <w:rPr>
          <w:sz w:val="23"/>
        </w:rPr>
      </w:pPr>
    </w:p>
    <w:p>
      <w:pPr>
        <w:pStyle w:val="BodyText"/>
        <w:spacing w:line="216" w:lineRule="auto"/>
        <w:ind w:right="38"/>
      </w:pPr>
      <w:r>
        <w:rPr>
          <w:color w:val="231F20"/>
        </w:rPr>
        <w:t>§ 5. Le nombre moyen de travailleurs  occupés,  visé  au  paragra-  phe 1</w:t>
      </w:r>
      <w:r>
        <w:rPr>
          <w:color w:val="231F20"/>
          <w:position w:val="7"/>
          <w:sz w:val="11"/>
        </w:rPr>
        <w:t>er</w:t>
      </w:r>
      <w:r>
        <w:rPr>
          <w:color w:val="231F20"/>
        </w:rPr>
        <w:t>, est le nombre moyen des travailleurs exprimé en équivalents à temps plein inscrits à la banque de données DIMONA conformément à l’arrêté</w:t>
      </w:r>
      <w:r>
        <w:rPr>
          <w:color w:val="231F20"/>
          <w:spacing w:val="-8"/>
        </w:rPr>
        <w:t> </w:t>
      </w:r>
      <w:r>
        <w:rPr>
          <w:color w:val="231F20"/>
        </w:rPr>
        <w:t>royal</w:t>
      </w:r>
      <w:r>
        <w:rPr>
          <w:color w:val="231F20"/>
          <w:spacing w:val="-7"/>
        </w:rPr>
        <w:t> </w:t>
      </w:r>
      <w:r>
        <w:rPr>
          <w:color w:val="231F20"/>
        </w:rPr>
        <w:t>du</w:t>
      </w:r>
      <w:r>
        <w:rPr>
          <w:color w:val="231F20"/>
          <w:spacing w:val="-8"/>
        </w:rPr>
        <w:t> </w:t>
      </w:r>
      <w:r>
        <w:rPr>
          <w:color w:val="231F20"/>
        </w:rPr>
        <w:t>5</w:t>
      </w:r>
      <w:r>
        <w:rPr>
          <w:color w:val="231F20"/>
          <w:spacing w:val="-7"/>
        </w:rPr>
        <w:t> </w:t>
      </w:r>
      <w:r>
        <w:rPr>
          <w:color w:val="231F20"/>
        </w:rPr>
        <w:t>novembre</w:t>
      </w:r>
      <w:r>
        <w:rPr>
          <w:color w:val="231F20"/>
          <w:spacing w:val="-8"/>
        </w:rPr>
        <w:t> </w:t>
      </w:r>
      <w:r>
        <w:rPr>
          <w:color w:val="231F20"/>
        </w:rPr>
        <w:t>2002</w:t>
      </w:r>
      <w:r>
        <w:rPr>
          <w:color w:val="231F20"/>
          <w:spacing w:val="-7"/>
        </w:rPr>
        <w:t> </w:t>
      </w:r>
      <w:r>
        <w:rPr>
          <w:color w:val="231F20"/>
        </w:rPr>
        <w:t>instaurant</w:t>
      </w:r>
      <w:r>
        <w:rPr>
          <w:color w:val="231F20"/>
          <w:spacing w:val="-8"/>
        </w:rPr>
        <w:t> </w:t>
      </w:r>
      <w:r>
        <w:rPr>
          <w:color w:val="231F20"/>
        </w:rPr>
        <w:t>une</w:t>
      </w:r>
      <w:r>
        <w:rPr>
          <w:color w:val="231F20"/>
          <w:spacing w:val="-7"/>
        </w:rPr>
        <w:t> </w:t>
      </w:r>
      <w:r>
        <w:rPr>
          <w:color w:val="231F20"/>
        </w:rPr>
        <w:t>déclaration</w:t>
      </w:r>
      <w:r>
        <w:rPr>
          <w:color w:val="231F20"/>
          <w:spacing w:val="-8"/>
        </w:rPr>
        <w:t> </w:t>
      </w:r>
      <w:r>
        <w:rPr>
          <w:color w:val="231F20"/>
        </w:rPr>
        <w:t>immédiate de l’emploi, en application de l’article 38 de la loi du 26 juillet 1996</w:t>
      </w:r>
      <w:r>
        <w:rPr>
          <w:color w:val="231F20"/>
          <w:spacing w:val="-11"/>
        </w:rPr>
        <w:t> </w:t>
      </w:r>
      <w:r>
        <w:rPr>
          <w:color w:val="231F20"/>
        </w:rPr>
        <w:t>por- tant modernisation de la sécurité sociale et assurant la viabilité des régimes légaux des pensions, à la fin de chaque mois de l’exercice, ou lorsque l’emploi ne relève pas du champ d’application de cet arrêté royal, le nombre moyen des travailleurs occupés à temps plein inscrits au registre général du personnel ou dans un document équivalent à la fin</w:t>
      </w:r>
      <w:r>
        <w:rPr>
          <w:color w:val="231F20"/>
          <w:spacing w:val="15"/>
        </w:rPr>
        <w:t> </w:t>
      </w:r>
      <w:r>
        <w:rPr>
          <w:color w:val="231F20"/>
        </w:rPr>
        <w:t>de</w:t>
      </w:r>
      <w:r>
        <w:rPr>
          <w:color w:val="231F20"/>
          <w:spacing w:val="15"/>
        </w:rPr>
        <w:t> </w:t>
      </w:r>
      <w:r>
        <w:rPr>
          <w:color w:val="231F20"/>
        </w:rPr>
        <w:t>chaque</w:t>
      </w:r>
      <w:r>
        <w:rPr>
          <w:color w:val="231F20"/>
          <w:spacing w:val="15"/>
        </w:rPr>
        <w:t> </w:t>
      </w:r>
      <w:r>
        <w:rPr>
          <w:color w:val="231F20"/>
        </w:rPr>
        <w:t>mois</w:t>
      </w:r>
      <w:r>
        <w:rPr>
          <w:color w:val="231F20"/>
          <w:spacing w:val="15"/>
        </w:rPr>
        <w:t> </w:t>
      </w:r>
      <w:r>
        <w:rPr>
          <w:color w:val="231F20"/>
        </w:rPr>
        <w:t>de</w:t>
      </w:r>
      <w:r>
        <w:rPr>
          <w:color w:val="231F20"/>
          <w:spacing w:val="16"/>
        </w:rPr>
        <w:t> </w:t>
      </w:r>
      <w:r>
        <w:rPr>
          <w:color w:val="231F20"/>
        </w:rPr>
        <w:t>l’exercice</w:t>
      </w:r>
      <w:r>
        <w:rPr>
          <w:color w:val="231F20"/>
          <w:spacing w:val="15"/>
        </w:rPr>
        <w:t> </w:t>
      </w:r>
      <w:r>
        <w:rPr>
          <w:color w:val="231F20"/>
        </w:rPr>
        <w:t>considéré.</w:t>
      </w:r>
    </w:p>
    <w:p>
      <w:pPr>
        <w:pStyle w:val="BodyText"/>
        <w:ind w:left="0" w:right="0" w:firstLine="0"/>
        <w:jc w:val="left"/>
        <w:rPr>
          <w:sz w:val="20"/>
        </w:rPr>
      </w:pPr>
    </w:p>
    <w:p>
      <w:pPr>
        <w:pStyle w:val="BodyText"/>
        <w:spacing w:before="10"/>
        <w:ind w:left="0" w:right="0" w:firstLine="0"/>
        <w:jc w:val="left"/>
        <w:rPr>
          <w:sz w:val="19"/>
        </w:rPr>
      </w:pPr>
    </w:p>
    <w:p>
      <w:pPr>
        <w:pStyle w:val="BodyText"/>
        <w:spacing w:line="218" w:lineRule="auto"/>
        <w:ind w:right="38"/>
      </w:pPr>
      <w:r>
        <w:rPr>
          <w:color w:val="231F20"/>
        </w:rPr>
        <w:t>Le nombre des travailleurs exprimé en équivalents à temps plein est égal au volume de travail exprimé en équivalents occupés à temps plein, à calculer pour les travailleurs occupés à temps partiel sur la base du nombre conventionnel d’heures à prester par rapport à la durée normale</w:t>
      </w:r>
      <w:r>
        <w:rPr>
          <w:color w:val="231F20"/>
          <w:spacing w:val="17"/>
        </w:rPr>
        <w:t> </w:t>
      </w:r>
      <w:r>
        <w:rPr>
          <w:color w:val="231F20"/>
        </w:rPr>
        <w:t>de</w:t>
      </w:r>
      <w:r>
        <w:rPr>
          <w:color w:val="231F20"/>
          <w:spacing w:val="17"/>
        </w:rPr>
        <w:t> </w:t>
      </w:r>
      <w:r>
        <w:rPr>
          <w:color w:val="231F20"/>
        </w:rPr>
        <w:t>travail</w:t>
      </w:r>
      <w:r>
        <w:rPr>
          <w:color w:val="231F20"/>
          <w:spacing w:val="18"/>
        </w:rPr>
        <w:t> </w:t>
      </w:r>
      <w:r>
        <w:rPr>
          <w:color w:val="231F20"/>
        </w:rPr>
        <w:t>d’un</w:t>
      </w:r>
      <w:r>
        <w:rPr>
          <w:color w:val="231F20"/>
          <w:spacing w:val="17"/>
        </w:rPr>
        <w:t> </w:t>
      </w:r>
      <w:r>
        <w:rPr>
          <w:color w:val="231F20"/>
        </w:rPr>
        <w:t>travailleur</w:t>
      </w:r>
      <w:r>
        <w:rPr>
          <w:color w:val="231F20"/>
          <w:spacing w:val="17"/>
        </w:rPr>
        <w:t> </w:t>
      </w:r>
      <w:r>
        <w:rPr>
          <w:color w:val="231F20"/>
        </w:rPr>
        <w:t>à</w:t>
      </w:r>
      <w:r>
        <w:rPr>
          <w:color w:val="231F20"/>
          <w:spacing w:val="18"/>
        </w:rPr>
        <w:t> </w:t>
      </w:r>
      <w:r>
        <w:rPr>
          <w:color w:val="231F20"/>
        </w:rPr>
        <w:t>temps</w:t>
      </w:r>
      <w:r>
        <w:rPr>
          <w:color w:val="231F20"/>
          <w:spacing w:val="17"/>
        </w:rPr>
        <w:t> </w:t>
      </w:r>
      <w:r>
        <w:rPr>
          <w:color w:val="231F20"/>
        </w:rPr>
        <w:t>plein</w:t>
      </w:r>
      <w:r>
        <w:rPr>
          <w:color w:val="231F20"/>
          <w:spacing w:val="17"/>
        </w:rPr>
        <w:t> </w:t>
      </w:r>
      <w:r>
        <w:rPr>
          <w:color w:val="231F20"/>
        </w:rPr>
        <w:t>comparable.</w:t>
      </w:r>
    </w:p>
    <w:p>
      <w:pPr>
        <w:pStyle w:val="BodyText"/>
        <w:spacing w:line="213" w:lineRule="auto" w:before="100"/>
        <w:ind w:right="38"/>
      </w:pPr>
      <w:r>
        <w:rPr>
          <w:color w:val="231F20"/>
        </w:rPr>
        <w:t>Lorsque plus de la moitié des produits résultant de l’activité normale d’une ASBL ou AISBL sont des produits non visés par la définition du poste “chiffre d’affaires”, il y a lieu, pour  l’application  du  paragra-  phe 1</w:t>
      </w:r>
      <w:r>
        <w:rPr>
          <w:color w:val="231F20"/>
          <w:position w:val="7"/>
          <w:sz w:val="11"/>
        </w:rPr>
        <w:t>er</w:t>
      </w:r>
      <w:r>
        <w:rPr>
          <w:color w:val="231F20"/>
        </w:rPr>
        <w:t>, d’entendre par “chiffre d’affaires”, le total des produits d’exploitation</w:t>
      </w:r>
      <w:r>
        <w:rPr>
          <w:color w:val="231F20"/>
          <w:spacing w:val="16"/>
        </w:rPr>
        <w:t> </w:t>
      </w:r>
      <w:r>
        <w:rPr>
          <w:color w:val="231F20"/>
        </w:rPr>
        <w:t>et</w:t>
      </w:r>
      <w:r>
        <w:rPr>
          <w:color w:val="231F20"/>
          <w:spacing w:val="16"/>
        </w:rPr>
        <w:t> </w:t>
      </w:r>
      <w:r>
        <w:rPr>
          <w:color w:val="231F20"/>
        </w:rPr>
        <w:t>financiers</w:t>
      </w:r>
      <w:r>
        <w:rPr>
          <w:color w:val="231F20"/>
          <w:spacing w:val="16"/>
        </w:rPr>
        <w:t> </w:t>
      </w:r>
      <w:r>
        <w:rPr>
          <w:color w:val="231F20"/>
        </w:rPr>
        <w:t>à</w:t>
      </w:r>
      <w:r>
        <w:rPr>
          <w:color w:val="231F20"/>
          <w:spacing w:val="17"/>
        </w:rPr>
        <w:t> </w:t>
      </w:r>
      <w:r>
        <w:rPr>
          <w:color w:val="231F20"/>
        </w:rPr>
        <w:t>l’exclusion</w:t>
      </w:r>
      <w:r>
        <w:rPr>
          <w:color w:val="231F20"/>
          <w:spacing w:val="16"/>
        </w:rPr>
        <w:t> </w:t>
      </w:r>
      <w:r>
        <w:rPr>
          <w:color w:val="231F20"/>
        </w:rPr>
        <w:t>des</w:t>
      </w:r>
      <w:r>
        <w:rPr>
          <w:color w:val="231F20"/>
          <w:spacing w:val="16"/>
        </w:rPr>
        <w:t> </w:t>
      </w:r>
      <w:r>
        <w:rPr>
          <w:color w:val="231F20"/>
        </w:rPr>
        <w:t>produits</w:t>
      </w:r>
      <w:r>
        <w:rPr>
          <w:color w:val="231F20"/>
          <w:spacing w:val="17"/>
        </w:rPr>
        <w:t> </w:t>
      </w:r>
      <w:r>
        <w:rPr>
          <w:color w:val="231F20"/>
        </w:rPr>
        <w:t>non</w:t>
      </w:r>
      <w:r>
        <w:rPr>
          <w:color w:val="231F20"/>
          <w:spacing w:val="16"/>
        </w:rPr>
        <w:t> </w:t>
      </w:r>
      <w:r>
        <w:rPr>
          <w:color w:val="231F20"/>
        </w:rPr>
        <w:t>récurrents.</w:t>
      </w:r>
    </w:p>
    <w:p>
      <w:pPr>
        <w:pStyle w:val="BodyText"/>
        <w:ind w:left="0" w:right="0" w:firstLine="0"/>
        <w:jc w:val="left"/>
        <w:rPr>
          <w:sz w:val="23"/>
        </w:rPr>
      </w:pPr>
    </w:p>
    <w:p>
      <w:pPr>
        <w:pStyle w:val="BodyText"/>
        <w:spacing w:line="213" w:lineRule="auto"/>
        <w:ind w:right="38"/>
      </w:pPr>
      <w:r>
        <w:rPr>
          <w:color w:val="231F20"/>
        </w:rPr>
        <w:t>Le total du bilan visé au paragraphe 1</w:t>
      </w:r>
      <w:r>
        <w:rPr>
          <w:color w:val="231F20"/>
          <w:position w:val="7"/>
          <w:sz w:val="11"/>
        </w:rPr>
        <w:t>er </w:t>
      </w:r>
      <w:r>
        <w:rPr>
          <w:color w:val="231F20"/>
        </w:rPr>
        <w:t>est la valeur comptable totale de l’actif tel qu’il apparaît au schéma du bilan qui est déterminé par arrêté royal pris en exécution de l’article 3:47. Le chiffre d’affaires visé aux paragraphes 1</w:t>
      </w:r>
      <w:r>
        <w:rPr>
          <w:color w:val="231F20"/>
          <w:position w:val="7"/>
          <w:sz w:val="11"/>
        </w:rPr>
        <w:t>er</w:t>
      </w:r>
      <w:r>
        <w:rPr>
          <w:color w:val="231F20"/>
        </w:rPr>
        <w:t>, 4 et 5 est le montant tel que défini par cet arrêté royal.</w:t>
      </w:r>
    </w:p>
    <w:p>
      <w:pPr>
        <w:pStyle w:val="BodyText"/>
        <w:spacing w:line="218" w:lineRule="auto" w:before="83"/>
        <w:ind w:right="38"/>
      </w:pPr>
      <w:r>
        <w:rPr>
          <w:color w:val="231F20"/>
        </w:rPr>
        <w:t>§ 6. Le Roi peut modifier les chiffres prévus au paragraphe 1</w:t>
      </w:r>
      <w:r>
        <w:rPr>
          <w:color w:val="231F20"/>
          <w:position w:val="7"/>
          <w:sz w:val="11"/>
        </w:rPr>
        <w:t>er </w:t>
      </w:r>
      <w:r>
        <w:rPr>
          <w:color w:val="231F20"/>
        </w:rPr>
        <w:t>ainsi que les modalités de leur calcul.</w:t>
      </w:r>
    </w:p>
    <w:p>
      <w:pPr>
        <w:pStyle w:val="BodyText"/>
        <w:spacing w:before="105"/>
        <w:ind w:left="283" w:right="0" w:firstLine="0"/>
        <w:jc w:val="left"/>
      </w:pPr>
      <w:r>
        <w:rPr/>
        <w:br w:type="column"/>
      </w:r>
      <w:r>
        <w:rPr>
          <w:color w:val="231F20"/>
        </w:rPr>
        <w:t>HOOFDSTUK 3. Personeel.</w:t>
      </w:r>
    </w:p>
    <w:p>
      <w:pPr>
        <w:pStyle w:val="BodyText"/>
        <w:spacing w:line="218" w:lineRule="auto" w:before="82"/>
      </w:pPr>
      <w:r>
        <w:rPr>
          <w:color w:val="231F20"/>
        </w:rPr>
        <w:t>Art. 1:27. Voor de toepassing van de boeken 5, 6 en 7 wordt onder “personeel” verstaan:</w:t>
      </w:r>
    </w:p>
    <w:p>
      <w:pPr>
        <w:pStyle w:val="BodyText"/>
        <w:spacing w:line="218" w:lineRule="auto" w:before="86"/>
      </w:pPr>
      <w:r>
        <w:rPr>
          <w:color w:val="231F20"/>
        </w:rPr>
        <w:t>1° elke natuurlijke persoon die met een vennootschap of met haar dochtervennootschap(pen) door een arbeidsovereenkomst, een mana- gementovereenkomst of een gelijkaardige overeenkomst is verbonden;</w:t>
      </w:r>
    </w:p>
    <w:p>
      <w:pPr>
        <w:pStyle w:val="BodyText"/>
        <w:spacing w:line="218" w:lineRule="auto" w:before="85"/>
      </w:pPr>
      <w:r>
        <w:rPr>
          <w:color w:val="231F20"/>
        </w:rPr>
        <w:t>2° elke rechtspersoon die met een vennootschap of met haar dochtervennootschap(pen) door een managementovereenkomst of een gelijkaardige overeenkomst is verbonden, waarbij die rechtspersoon door één enkele natuurlijke persoon wordt vertegenwoordigd, die er tevens de controlerende vennoot of aandeelhouder van is;</w:t>
      </w:r>
    </w:p>
    <w:p>
      <w:pPr>
        <w:pStyle w:val="BodyText"/>
        <w:spacing w:line="218" w:lineRule="auto" w:before="86"/>
      </w:pPr>
      <w:r>
        <w:rPr>
          <w:color w:val="231F20"/>
        </w:rPr>
        <w:t>3° de leden van het bestuursorgaan van een vennootschap of haar dochtervennootschap(pen), met inbegrip van rechtspersonen van wie de vaste vertegenwoordiger ook de controlerende vennoot of aandeel- houder</w:t>
      </w:r>
      <w:r>
        <w:rPr>
          <w:color w:val="231F20"/>
          <w:spacing w:val="15"/>
        </w:rPr>
        <w:t> </w:t>
      </w:r>
      <w:r>
        <w:rPr>
          <w:color w:val="231F20"/>
        </w:rPr>
        <w:t>is.</w:t>
      </w:r>
    </w:p>
    <w:p>
      <w:pPr>
        <w:pStyle w:val="BodyText"/>
        <w:spacing w:line="324" w:lineRule="auto" w:before="72"/>
        <w:ind w:left="283" w:right="1017" w:firstLine="0"/>
        <w:jc w:val="left"/>
      </w:pPr>
      <w:r>
        <w:rPr>
          <w:color w:val="231F20"/>
        </w:rPr>
        <w:t>TITEL 6. Grootte van verenigingen en stichtingen. HOOFDSTUK 1. Kleine verenigingen.</w:t>
      </w:r>
    </w:p>
    <w:p>
      <w:pPr>
        <w:pStyle w:val="BodyText"/>
        <w:spacing w:line="218" w:lineRule="auto" w:before="14"/>
      </w:pPr>
      <w:r>
        <w:rPr>
          <w:color w:val="231F20"/>
        </w:rPr>
        <w:t>Art. 1:28. § 1. Kleine VZW’s en IVZW’s zijn VZW’s en IVZW’s die op balansdatum van het laatst afgesloten boekjaar, niet meer dan één van de volgende criteria overschrijden:</w:t>
      </w:r>
    </w:p>
    <w:p>
      <w:pPr>
        <w:pStyle w:val="ListParagraph"/>
        <w:numPr>
          <w:ilvl w:val="0"/>
          <w:numId w:val="1"/>
        </w:numPr>
        <w:tabs>
          <w:tab w:pos="511" w:val="left" w:leader="none"/>
        </w:tabs>
        <w:spacing w:line="240" w:lineRule="auto" w:before="72"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4"/>
          <w:sz w:val="17"/>
        </w:rPr>
        <w:t> </w:t>
      </w:r>
      <w:r>
        <w:rPr>
          <w:color w:val="231F20"/>
          <w:sz w:val="17"/>
        </w:rPr>
        <w:t>het</w:t>
      </w:r>
      <w:r>
        <w:rPr>
          <w:color w:val="231F20"/>
          <w:spacing w:val="15"/>
          <w:sz w:val="17"/>
        </w:rPr>
        <w:t> </w:t>
      </w:r>
      <w:r>
        <w:rPr>
          <w:color w:val="231F20"/>
          <w:sz w:val="17"/>
        </w:rPr>
        <w:t>aantal</w:t>
      </w:r>
      <w:r>
        <w:rPr>
          <w:color w:val="231F20"/>
          <w:spacing w:val="14"/>
          <w:sz w:val="17"/>
        </w:rPr>
        <w:t> </w:t>
      </w:r>
      <w:r>
        <w:rPr>
          <w:color w:val="231F20"/>
          <w:sz w:val="17"/>
        </w:rPr>
        <w:t>werknemers:</w:t>
      </w:r>
      <w:r>
        <w:rPr>
          <w:color w:val="231F20"/>
          <w:spacing w:val="15"/>
          <w:sz w:val="17"/>
        </w:rPr>
        <w:t> </w:t>
      </w:r>
      <w:r>
        <w:rPr>
          <w:color w:val="231F20"/>
          <w:sz w:val="17"/>
        </w:rPr>
        <w:t>50;</w:t>
      </w:r>
    </w:p>
    <w:p>
      <w:pPr>
        <w:pStyle w:val="ListParagraph"/>
        <w:numPr>
          <w:ilvl w:val="0"/>
          <w:numId w:val="1"/>
        </w:numPr>
        <w:tabs>
          <w:tab w:pos="534" w:val="left" w:leader="none"/>
        </w:tabs>
        <w:spacing w:line="218" w:lineRule="auto" w:before="93" w:after="0"/>
        <w:ind w:left="113" w:right="124" w:firstLine="170"/>
        <w:jc w:val="both"/>
        <w:rPr>
          <w:sz w:val="17"/>
        </w:rPr>
      </w:pPr>
      <w:r>
        <w:rPr>
          <w:color w:val="231F20"/>
          <w:sz w:val="17"/>
        </w:rPr>
        <w:t>jaaromzet, exclusief de  belasting  over  de  toegevoegde  waarde: 9 000 000</w:t>
      </w:r>
      <w:r>
        <w:rPr>
          <w:color w:val="231F20"/>
          <w:spacing w:val="12"/>
          <w:sz w:val="17"/>
        </w:rPr>
        <w:t> </w:t>
      </w:r>
      <w:r>
        <w:rPr>
          <w:color w:val="231F20"/>
          <w:sz w:val="17"/>
        </w:rPr>
        <w:t>euro;</w:t>
      </w:r>
    </w:p>
    <w:p>
      <w:pPr>
        <w:pStyle w:val="ListParagraph"/>
        <w:numPr>
          <w:ilvl w:val="0"/>
          <w:numId w:val="1"/>
        </w:numPr>
        <w:tabs>
          <w:tab w:pos="511" w:val="left" w:leader="none"/>
        </w:tabs>
        <w:spacing w:line="240" w:lineRule="auto" w:before="82" w:after="0"/>
        <w:ind w:left="283" w:right="0" w:firstLine="0"/>
        <w:jc w:val="left"/>
        <w:rPr>
          <w:sz w:val="17"/>
        </w:rPr>
      </w:pPr>
      <w:r>
        <w:rPr>
          <w:color w:val="231F20"/>
          <w:sz w:val="17"/>
        </w:rPr>
        <w:t>balanstotaal: 4 500 000</w:t>
      </w:r>
      <w:r>
        <w:rPr>
          <w:color w:val="231F20"/>
          <w:spacing w:val="-18"/>
          <w:sz w:val="17"/>
        </w:rPr>
        <w:t> </w:t>
      </w:r>
      <w:r>
        <w:rPr>
          <w:color w:val="231F20"/>
          <w:sz w:val="17"/>
        </w:rPr>
        <w:t>euro.</w:t>
      </w:r>
    </w:p>
    <w:p>
      <w:pPr>
        <w:pStyle w:val="BodyText"/>
        <w:spacing w:line="218" w:lineRule="auto" w:before="92"/>
      </w:pPr>
      <w:r>
        <w:rPr>
          <w:color w:val="231F20"/>
        </w:rPr>
        <w:t>§ 2. </w:t>
      </w:r>
      <w:r>
        <w:rPr>
          <w:color w:val="231F20"/>
          <w:spacing w:val="-3"/>
        </w:rPr>
        <w:t>Wanneer </w:t>
      </w:r>
      <w:r>
        <w:rPr>
          <w:color w:val="231F20"/>
        </w:rPr>
        <w:t>meer dan één van de in paragraaf 1 bedoelde criteria worden overschreden of niet meer worden overschreden, heeft dit slechts gevolgen wanneer dit zich gedurende twee achtereenvolgende boekjaren voordoet. De gevolgen gaan in dat geval in vanaf het  boekjaar dat volgt op het boekjaar gedurende hetwelk meer dan één van de criteria voor de tweede keer werden overschreden of niet meer werden</w:t>
      </w:r>
      <w:r>
        <w:rPr>
          <w:color w:val="231F20"/>
          <w:spacing w:val="15"/>
        </w:rPr>
        <w:t> </w:t>
      </w:r>
      <w:r>
        <w:rPr>
          <w:color w:val="231F20"/>
        </w:rPr>
        <w:t>overschreden.</w:t>
      </w:r>
    </w:p>
    <w:p>
      <w:pPr>
        <w:pStyle w:val="BodyText"/>
        <w:spacing w:line="218" w:lineRule="auto" w:before="97"/>
      </w:pPr>
      <w:r>
        <w:rPr>
          <w:color w:val="231F20"/>
        </w:rPr>
        <w:t>§ 3. </w:t>
      </w:r>
      <w:r>
        <w:rPr>
          <w:color w:val="231F20"/>
          <w:spacing w:val="-5"/>
        </w:rPr>
        <w:t>Voor </w:t>
      </w:r>
      <w:r>
        <w:rPr>
          <w:color w:val="231F20"/>
        </w:rPr>
        <w:t>VZW’s en IVZW’s die met hun bedrijf starten, worden voor de toepassing van de in paragraaf 1 vermelde criteria, deze cijfers bij het begin van het boekjaar te goeder trouw geschat. Indien uit deze schatting blijkt dat meer dan één van de criteria zullen worden overschreden gedurende het eerste boekjaar, moet daarmee voor dat eerste</w:t>
      </w:r>
      <w:r>
        <w:rPr>
          <w:color w:val="231F20"/>
          <w:spacing w:val="15"/>
        </w:rPr>
        <w:t> </w:t>
      </w:r>
      <w:r>
        <w:rPr>
          <w:color w:val="231F20"/>
        </w:rPr>
        <w:t>boekjaar</w:t>
      </w:r>
      <w:r>
        <w:rPr>
          <w:color w:val="231F20"/>
          <w:spacing w:val="15"/>
        </w:rPr>
        <w:t> </w:t>
      </w:r>
      <w:r>
        <w:rPr>
          <w:color w:val="231F20"/>
        </w:rPr>
        <w:t>meteen</w:t>
      </w:r>
      <w:r>
        <w:rPr>
          <w:color w:val="231F20"/>
          <w:spacing w:val="16"/>
        </w:rPr>
        <w:t> </w:t>
      </w:r>
      <w:r>
        <w:rPr>
          <w:color w:val="231F20"/>
        </w:rPr>
        <w:t>rekening</w:t>
      </w:r>
      <w:r>
        <w:rPr>
          <w:color w:val="231F20"/>
          <w:spacing w:val="15"/>
        </w:rPr>
        <w:t> </w:t>
      </w:r>
      <w:r>
        <w:rPr>
          <w:color w:val="231F20"/>
        </w:rPr>
        <w:t>worden</w:t>
      </w:r>
      <w:r>
        <w:rPr>
          <w:color w:val="231F20"/>
          <w:spacing w:val="16"/>
        </w:rPr>
        <w:t> </w:t>
      </w:r>
      <w:r>
        <w:rPr>
          <w:color w:val="231F20"/>
        </w:rPr>
        <w:t>gehouden.</w:t>
      </w:r>
    </w:p>
    <w:p>
      <w:pPr>
        <w:pStyle w:val="BodyText"/>
        <w:spacing w:line="218" w:lineRule="auto" w:before="96"/>
      </w:pPr>
      <w:r>
        <w:rPr>
          <w:color w:val="231F20"/>
          <w:w w:val="105"/>
        </w:rPr>
        <w:t>§ 4. Heeft het boekjaar uitzonderlijk een duur van minder of meer dan twaalf maanden, waarbij deze duur niet langer kan zijn dan vierentwintig maanden min één kalenderdag, dan wordt het bedrag van de omzet exclusief de belasting over de toegevoegde waarde bedoeld in paragraaf 1, vermenigvuldigd met een breuk waarvan de noemer twaalf is en de teller het aantal maanden van het betrokken boekjaar, waarbij elke begonnen maand voor een volle maand wordt geteld.</w:t>
      </w:r>
    </w:p>
    <w:p>
      <w:pPr>
        <w:pStyle w:val="BodyText"/>
        <w:spacing w:line="218" w:lineRule="auto" w:before="97"/>
        <w:ind w:right="123"/>
      </w:pPr>
      <w:r>
        <w:rPr>
          <w:color w:val="231F20"/>
        </w:rPr>
        <w:t>§ 5. Het gemiddeld aantal tewerkgestelde werknemers, bedoeld in paragraaf 1, is het gemiddelde van het aantal werknemers uitgedrukt in voltijdse equivalenten dat is geregistreerd in de DIMONA-databank overeenkomstig het koninklijk besluit van 5 november 2002 tot invoering van een onmiddellijke aangifte van tewerkstelling, met toepassing van artikel 38 van de wet van 26 juli 1996 tot modernisering van de sociale zekerheid en tot vrijwaring van de leefbaarheid van de wettelijke pensioenstelsels, per einde van elke maand van het boekjaar, of indien de tewerkstelling niet behoort tot het toepassingsgebied van dit koninklijk besluit, het gemiddelde aantal tewerkgestelde werkne- mers uitgedrukt in voltijdse equivalenten van de in het algemene personeelsregister of een gelijkwaardig document ingeschreven werk- nemers</w:t>
      </w:r>
      <w:r>
        <w:rPr>
          <w:color w:val="231F20"/>
          <w:spacing w:val="16"/>
        </w:rPr>
        <w:t> </w:t>
      </w:r>
      <w:r>
        <w:rPr>
          <w:color w:val="231F20"/>
        </w:rPr>
        <w:t>per</w:t>
      </w:r>
      <w:r>
        <w:rPr>
          <w:color w:val="231F20"/>
          <w:spacing w:val="17"/>
        </w:rPr>
        <w:t> </w:t>
      </w:r>
      <w:r>
        <w:rPr>
          <w:color w:val="231F20"/>
        </w:rPr>
        <w:t>einde</w:t>
      </w:r>
      <w:r>
        <w:rPr>
          <w:color w:val="231F20"/>
          <w:spacing w:val="17"/>
        </w:rPr>
        <w:t> </w:t>
      </w:r>
      <w:r>
        <w:rPr>
          <w:color w:val="231F20"/>
        </w:rPr>
        <w:t>van</w:t>
      </w:r>
      <w:r>
        <w:rPr>
          <w:color w:val="231F20"/>
          <w:spacing w:val="17"/>
        </w:rPr>
        <w:t> </w:t>
      </w:r>
      <w:r>
        <w:rPr>
          <w:color w:val="231F20"/>
        </w:rPr>
        <w:t>elke</w:t>
      </w:r>
      <w:r>
        <w:rPr>
          <w:color w:val="231F20"/>
          <w:spacing w:val="17"/>
        </w:rPr>
        <w:t> </w:t>
      </w:r>
      <w:r>
        <w:rPr>
          <w:color w:val="231F20"/>
        </w:rPr>
        <w:t>maand</w:t>
      </w:r>
      <w:r>
        <w:rPr>
          <w:color w:val="231F20"/>
          <w:spacing w:val="16"/>
        </w:rPr>
        <w:t> </w:t>
      </w:r>
      <w:r>
        <w:rPr>
          <w:color w:val="231F20"/>
        </w:rPr>
        <w:t>van</w:t>
      </w:r>
      <w:r>
        <w:rPr>
          <w:color w:val="231F20"/>
          <w:spacing w:val="17"/>
        </w:rPr>
        <w:t> </w:t>
      </w:r>
      <w:r>
        <w:rPr>
          <w:color w:val="231F20"/>
        </w:rPr>
        <w:t>het</w:t>
      </w:r>
      <w:r>
        <w:rPr>
          <w:color w:val="231F20"/>
          <w:spacing w:val="17"/>
        </w:rPr>
        <w:t> </w:t>
      </w:r>
      <w:r>
        <w:rPr>
          <w:color w:val="231F20"/>
        </w:rPr>
        <w:t>beschouwde</w:t>
      </w:r>
      <w:r>
        <w:rPr>
          <w:color w:val="231F20"/>
          <w:spacing w:val="17"/>
        </w:rPr>
        <w:t> </w:t>
      </w:r>
      <w:r>
        <w:rPr>
          <w:color w:val="231F20"/>
        </w:rPr>
        <w:t>boekjaar.</w:t>
      </w:r>
    </w:p>
    <w:p>
      <w:pPr>
        <w:pStyle w:val="BodyText"/>
        <w:spacing w:line="218" w:lineRule="auto" w:before="97"/>
        <w:ind w:right="123"/>
      </w:pPr>
      <w:r>
        <w:rPr>
          <w:color w:val="231F20"/>
        </w:rPr>
        <w:t>Het aantal werknemers uitgedrukt in voltijdse equivalenten is gelijk aan het arbeidsvolume uitgedrukt in voltijds tewerkgestelde equiva- lenten, te berekenen voor de deeltijdse werknemers op basis van het contractueel aantal te presteren uren, gerelateerd ten opzichte van de normale</w:t>
      </w:r>
      <w:r>
        <w:rPr>
          <w:color w:val="231F20"/>
          <w:spacing w:val="16"/>
        </w:rPr>
        <w:t> </w:t>
      </w:r>
      <w:r>
        <w:rPr>
          <w:color w:val="231F20"/>
        </w:rPr>
        <w:t>arbeidsduur</w:t>
      </w:r>
      <w:r>
        <w:rPr>
          <w:color w:val="231F20"/>
          <w:spacing w:val="17"/>
        </w:rPr>
        <w:t> </w:t>
      </w:r>
      <w:r>
        <w:rPr>
          <w:color w:val="231F20"/>
        </w:rPr>
        <w:t>van</w:t>
      </w:r>
      <w:r>
        <w:rPr>
          <w:color w:val="231F20"/>
          <w:spacing w:val="17"/>
        </w:rPr>
        <w:t> </w:t>
      </w:r>
      <w:r>
        <w:rPr>
          <w:color w:val="231F20"/>
        </w:rPr>
        <w:t>een</w:t>
      </w:r>
      <w:r>
        <w:rPr>
          <w:color w:val="231F20"/>
          <w:spacing w:val="17"/>
        </w:rPr>
        <w:t> </w:t>
      </w:r>
      <w:r>
        <w:rPr>
          <w:color w:val="231F20"/>
        </w:rPr>
        <w:t>vergelijkbare</w:t>
      </w:r>
      <w:r>
        <w:rPr>
          <w:color w:val="231F20"/>
          <w:spacing w:val="17"/>
        </w:rPr>
        <w:t> </w:t>
      </w:r>
      <w:r>
        <w:rPr>
          <w:color w:val="231F20"/>
        </w:rPr>
        <w:t>voltijdse</w:t>
      </w:r>
      <w:r>
        <w:rPr>
          <w:color w:val="231F20"/>
          <w:spacing w:val="17"/>
        </w:rPr>
        <w:t> </w:t>
      </w:r>
      <w:r>
        <w:rPr>
          <w:color w:val="231F20"/>
        </w:rPr>
        <w:t>werknemer.</w:t>
      </w:r>
    </w:p>
    <w:p>
      <w:pPr>
        <w:pStyle w:val="BodyText"/>
        <w:spacing w:line="218" w:lineRule="auto" w:before="97"/>
      </w:pPr>
      <w:r>
        <w:rPr>
          <w:color w:val="231F20"/>
          <w:spacing w:val="-3"/>
        </w:rPr>
        <w:t>Wanneer </w:t>
      </w:r>
      <w:r>
        <w:rPr>
          <w:color w:val="231F20"/>
        </w:rPr>
        <w:t>de opbrengsten die voortspruiten uit het gewoon</w:t>
      </w:r>
      <w:r>
        <w:rPr>
          <w:color w:val="231F20"/>
          <w:spacing w:val="27"/>
        </w:rPr>
        <w:t> </w:t>
      </w:r>
      <w:r>
        <w:rPr>
          <w:color w:val="231F20"/>
        </w:rPr>
        <w:t>bedrijf van een VZW of IVZW voor meer dan de helft bestaan uit opbrengsten die niet aan de omschrijving beantwoorden van de post “omzet”, dan wordt voor de toepassing van paragraaf 1 onder omzet verstaan: het totaal van de bedrijfs- en financiële opbrengsten met uitsluiting van de niet-recurrente</w:t>
      </w:r>
      <w:r>
        <w:rPr>
          <w:color w:val="231F20"/>
          <w:spacing w:val="14"/>
        </w:rPr>
        <w:t> </w:t>
      </w:r>
      <w:r>
        <w:rPr>
          <w:color w:val="231F20"/>
        </w:rPr>
        <w:t>opbrengsten.</w:t>
      </w:r>
    </w:p>
    <w:p>
      <w:pPr>
        <w:pStyle w:val="BodyText"/>
        <w:spacing w:line="218" w:lineRule="auto" w:before="96"/>
      </w:pPr>
      <w:r>
        <w:rPr>
          <w:color w:val="231F20"/>
        </w:rPr>
        <w:t>Het in paragraaf 1 bedoelde balanstotaal is de totale boekwaarde van de activa zoals ze blijkt uit het balansschema dat vastgesteld is bij koninklijk besluit genomen ter uitvoering van artikel 3:47. De omzet bedoeld in de paragrafen 1, 4 en 5 is het bedrag zoals bepaald door dit koninklijk besluit.</w:t>
      </w:r>
    </w:p>
    <w:p>
      <w:pPr>
        <w:pStyle w:val="BodyText"/>
        <w:spacing w:line="218" w:lineRule="auto" w:before="96"/>
        <w:ind w:right="125"/>
      </w:pPr>
      <w:r>
        <w:rPr>
          <w:color w:val="231F20"/>
        </w:rPr>
        <w:t>§ 6. De Koning kan de in paragraaf 1 vermelde cijfers en de wijze waarop ze worden berekend, wijzigen.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1192" from="298.170502pt,64.473pt" to="298.170502pt,812.819pt" stroked="true" strokeweight=".533pt" strokecolor="#231f20">
            <v:stroke dashstyle="solid"/>
            <w10:wrap type="none"/>
          </v:line>
        </w:pict>
      </w:r>
      <w:bookmarkStart w:name="_bookmark7" w:id="9"/>
      <w:bookmarkEnd w:id="9"/>
      <w:r>
        <w:rPr/>
      </w:r>
      <w:r>
        <w:rPr>
          <w:color w:val="231F20"/>
        </w:rPr>
        <w:t>Art. 1:29. § 1</w:t>
      </w:r>
      <w:r>
        <w:rPr>
          <w:color w:val="231F20"/>
          <w:position w:val="7"/>
          <w:sz w:val="11"/>
        </w:rPr>
        <w:t>er</w:t>
      </w:r>
      <w:r>
        <w:rPr>
          <w:color w:val="231F20"/>
        </w:rPr>
        <w:t>. On entend par “micro-ASBL” ou “micro-AISBL” les petites ASBL ou AISBL qui, à la date du bilan du dernier exercice clôturé, ne dépassent pas plus d’un des critères suivants:</w:t>
      </w:r>
    </w:p>
    <w:p>
      <w:pPr>
        <w:pStyle w:val="BodyText"/>
        <w:spacing w:before="8"/>
        <w:ind w:left="0" w:right="0" w:firstLine="0"/>
        <w:jc w:val="left"/>
        <w:rPr>
          <w:sz w:val="21"/>
        </w:rPr>
      </w:pPr>
    </w:p>
    <w:p>
      <w:pPr>
        <w:pStyle w:val="ListParagraph"/>
        <w:numPr>
          <w:ilvl w:val="0"/>
          <w:numId w:val="1"/>
        </w:numPr>
        <w:tabs>
          <w:tab w:pos="511" w:val="left" w:leader="none"/>
        </w:tabs>
        <w:spacing w:line="240" w:lineRule="auto" w:before="0" w:after="0"/>
        <w:ind w:left="510" w:right="0" w:hanging="227"/>
        <w:jc w:val="left"/>
        <w:rPr>
          <w:sz w:val="17"/>
        </w:rPr>
      </w:pPr>
      <w:r>
        <w:rPr>
          <w:color w:val="231F20"/>
          <w:sz w:val="17"/>
        </w:rPr>
        <w:t>nombre</w:t>
      </w:r>
      <w:r>
        <w:rPr>
          <w:color w:val="231F20"/>
          <w:spacing w:val="14"/>
          <w:sz w:val="17"/>
        </w:rPr>
        <w:t> </w:t>
      </w:r>
      <w:r>
        <w:rPr>
          <w:color w:val="231F20"/>
          <w:sz w:val="17"/>
        </w:rPr>
        <w:t>de</w:t>
      </w:r>
      <w:r>
        <w:rPr>
          <w:color w:val="231F20"/>
          <w:spacing w:val="15"/>
          <w:sz w:val="17"/>
        </w:rPr>
        <w:t> </w:t>
      </w:r>
      <w:r>
        <w:rPr>
          <w:color w:val="231F20"/>
          <w:sz w:val="17"/>
        </w:rPr>
        <w:t>travailleurs,</w:t>
      </w:r>
      <w:r>
        <w:rPr>
          <w:color w:val="231F20"/>
          <w:spacing w:val="14"/>
          <w:sz w:val="17"/>
        </w:rPr>
        <w:t> </w:t>
      </w:r>
      <w:r>
        <w:rPr>
          <w:color w:val="231F20"/>
          <w:sz w:val="17"/>
        </w:rPr>
        <w:t>en</w:t>
      </w:r>
      <w:r>
        <w:rPr>
          <w:color w:val="231F20"/>
          <w:spacing w:val="15"/>
          <w:sz w:val="17"/>
        </w:rPr>
        <w:t> </w:t>
      </w:r>
      <w:r>
        <w:rPr>
          <w:color w:val="231F20"/>
          <w:sz w:val="17"/>
        </w:rPr>
        <w:t>moyenne</w:t>
      </w:r>
      <w:r>
        <w:rPr>
          <w:color w:val="231F20"/>
          <w:spacing w:val="14"/>
          <w:sz w:val="17"/>
        </w:rPr>
        <w:t> </w:t>
      </w:r>
      <w:r>
        <w:rPr>
          <w:color w:val="231F20"/>
          <w:sz w:val="17"/>
        </w:rPr>
        <w:t>annuelle:</w:t>
      </w:r>
      <w:r>
        <w:rPr>
          <w:color w:val="231F20"/>
          <w:spacing w:val="15"/>
          <w:sz w:val="17"/>
        </w:rPr>
        <w:t> </w:t>
      </w:r>
      <w:r>
        <w:rPr>
          <w:color w:val="231F20"/>
          <w:sz w:val="17"/>
        </w:rPr>
        <w:t>10;</w:t>
      </w:r>
    </w:p>
    <w:p>
      <w:pPr>
        <w:pStyle w:val="ListParagraph"/>
        <w:numPr>
          <w:ilvl w:val="0"/>
          <w:numId w:val="1"/>
        </w:numPr>
        <w:tabs>
          <w:tab w:pos="585" w:val="left" w:leader="none"/>
        </w:tabs>
        <w:spacing w:line="218" w:lineRule="auto" w:before="82" w:after="0"/>
        <w:ind w:left="113" w:right="39" w:firstLine="170"/>
        <w:jc w:val="both"/>
        <w:rPr>
          <w:sz w:val="17"/>
        </w:rPr>
      </w:pPr>
      <w:r>
        <w:rPr>
          <w:color w:val="231F20"/>
          <w:sz w:val="17"/>
        </w:rPr>
        <w:t>chiffre  d’affaires  annuel,  hors  taxe  sur  la   valeur   ajoutée:  700 000</w:t>
      </w:r>
      <w:r>
        <w:rPr>
          <w:color w:val="231F20"/>
          <w:spacing w:val="-14"/>
          <w:sz w:val="17"/>
        </w:rPr>
        <w:t> </w:t>
      </w:r>
      <w:r>
        <w:rPr>
          <w:color w:val="231F20"/>
          <w:sz w:val="17"/>
        </w:rPr>
        <w:t>euros;</w:t>
      </w:r>
    </w:p>
    <w:p>
      <w:pPr>
        <w:pStyle w:val="ListParagraph"/>
        <w:numPr>
          <w:ilvl w:val="0"/>
          <w:numId w:val="1"/>
        </w:numPr>
        <w:tabs>
          <w:tab w:pos="511" w:val="left" w:leader="none"/>
        </w:tabs>
        <w:spacing w:line="240" w:lineRule="auto" w:before="72" w:after="0"/>
        <w:ind w:left="510" w:right="0" w:hanging="227"/>
        <w:jc w:val="left"/>
        <w:rPr>
          <w:sz w:val="17"/>
        </w:rPr>
      </w:pPr>
      <w:r>
        <w:rPr>
          <w:color w:val="231F20"/>
          <w:sz w:val="17"/>
        </w:rPr>
        <w:t>total du bilan: 350 000</w:t>
      </w:r>
      <w:r>
        <w:rPr>
          <w:color w:val="231F20"/>
          <w:spacing w:val="25"/>
          <w:sz w:val="17"/>
        </w:rPr>
        <w:t> </w:t>
      </w:r>
      <w:r>
        <w:rPr>
          <w:color w:val="231F20"/>
          <w:sz w:val="17"/>
        </w:rPr>
        <w:t>euros.</w:t>
      </w:r>
    </w:p>
    <w:p>
      <w:pPr>
        <w:pStyle w:val="BodyText"/>
        <w:spacing w:line="324" w:lineRule="auto" w:before="68"/>
        <w:ind w:left="283" w:right="1150" w:firstLine="0"/>
        <w:jc w:val="left"/>
      </w:pPr>
      <w:r>
        <w:rPr>
          <w:color w:val="231F20"/>
        </w:rPr>
        <w:t>§ 2. L’article 1:28, §§ 2 à 6, s’applique par analogie. CHAPITRE 2. Petites fondations.</w:t>
      </w:r>
    </w:p>
    <w:p>
      <w:pPr>
        <w:pStyle w:val="BodyText"/>
        <w:spacing w:line="218" w:lineRule="auto"/>
        <w:ind w:right="38"/>
      </w:pPr>
      <w:r>
        <w:rPr>
          <w:color w:val="231F20"/>
        </w:rPr>
        <w:t>Art.</w:t>
      </w:r>
      <w:r>
        <w:rPr>
          <w:color w:val="231F20"/>
          <w:spacing w:val="-3"/>
        </w:rPr>
        <w:t> </w:t>
      </w:r>
      <w:r>
        <w:rPr>
          <w:color w:val="231F20"/>
        </w:rPr>
        <w:t>1:30.</w:t>
      </w:r>
      <w:r>
        <w:rPr>
          <w:color w:val="231F20"/>
          <w:spacing w:val="-2"/>
        </w:rPr>
        <w:t> </w:t>
      </w:r>
      <w:r>
        <w:rPr>
          <w:color w:val="231F20"/>
        </w:rPr>
        <w:t>§</w:t>
      </w:r>
      <w:r>
        <w:rPr>
          <w:color w:val="231F20"/>
          <w:spacing w:val="-2"/>
        </w:rPr>
        <w:t> </w:t>
      </w:r>
      <w:r>
        <w:rPr>
          <w:color w:val="231F20"/>
        </w:rPr>
        <w:t>1</w:t>
      </w:r>
      <w:r>
        <w:rPr>
          <w:color w:val="231F20"/>
          <w:position w:val="7"/>
          <w:sz w:val="11"/>
        </w:rPr>
        <w:t>er</w:t>
      </w:r>
      <w:r>
        <w:rPr>
          <w:color w:val="231F20"/>
        </w:rPr>
        <w:t>.</w:t>
      </w:r>
      <w:r>
        <w:rPr>
          <w:color w:val="231F20"/>
          <w:spacing w:val="-3"/>
        </w:rPr>
        <w:t> </w:t>
      </w:r>
      <w:r>
        <w:rPr>
          <w:color w:val="231F20"/>
        </w:rPr>
        <w:t>Les</w:t>
      </w:r>
      <w:r>
        <w:rPr>
          <w:color w:val="231F20"/>
          <w:spacing w:val="-2"/>
        </w:rPr>
        <w:t> </w:t>
      </w:r>
      <w:r>
        <w:rPr>
          <w:color w:val="231F20"/>
        </w:rPr>
        <w:t>petites</w:t>
      </w:r>
      <w:r>
        <w:rPr>
          <w:color w:val="231F20"/>
          <w:spacing w:val="-2"/>
        </w:rPr>
        <w:t> </w:t>
      </w:r>
      <w:r>
        <w:rPr>
          <w:color w:val="231F20"/>
        </w:rPr>
        <w:t>fondations</w:t>
      </w:r>
      <w:r>
        <w:rPr>
          <w:color w:val="231F20"/>
          <w:spacing w:val="-3"/>
        </w:rPr>
        <w:t> </w:t>
      </w:r>
      <w:r>
        <w:rPr>
          <w:color w:val="231F20"/>
        </w:rPr>
        <w:t>sont</w:t>
      </w:r>
      <w:r>
        <w:rPr>
          <w:color w:val="231F20"/>
          <w:spacing w:val="-2"/>
        </w:rPr>
        <w:t> </w:t>
      </w:r>
      <w:r>
        <w:rPr>
          <w:color w:val="231F20"/>
        </w:rPr>
        <w:t>les</w:t>
      </w:r>
      <w:r>
        <w:rPr>
          <w:color w:val="231F20"/>
          <w:spacing w:val="-2"/>
        </w:rPr>
        <w:t> </w:t>
      </w:r>
      <w:r>
        <w:rPr>
          <w:color w:val="231F20"/>
        </w:rPr>
        <w:t>fondations</w:t>
      </w:r>
      <w:r>
        <w:rPr>
          <w:color w:val="231F20"/>
          <w:spacing w:val="-3"/>
        </w:rPr>
        <w:t> </w:t>
      </w:r>
      <w:r>
        <w:rPr>
          <w:color w:val="231F20"/>
        </w:rPr>
        <w:t>qui,</w:t>
      </w:r>
      <w:r>
        <w:rPr>
          <w:color w:val="231F20"/>
          <w:spacing w:val="-2"/>
        </w:rPr>
        <w:t> </w:t>
      </w:r>
      <w:r>
        <w:rPr>
          <w:color w:val="231F20"/>
        </w:rPr>
        <w:t>à</w:t>
      </w:r>
      <w:r>
        <w:rPr>
          <w:color w:val="231F20"/>
          <w:spacing w:val="-2"/>
        </w:rPr>
        <w:t> </w:t>
      </w:r>
      <w:r>
        <w:rPr>
          <w:color w:val="231F20"/>
        </w:rPr>
        <w:t>la</w:t>
      </w:r>
      <w:r>
        <w:rPr>
          <w:color w:val="231F20"/>
          <w:spacing w:val="-3"/>
        </w:rPr>
        <w:t> </w:t>
      </w:r>
      <w:r>
        <w:rPr>
          <w:color w:val="231F20"/>
        </w:rPr>
        <w:t>date du bilan du dernier exercice clôturé, ne dépassent pas plus d’un des critères</w:t>
      </w:r>
      <w:r>
        <w:rPr>
          <w:color w:val="231F20"/>
          <w:spacing w:val="14"/>
        </w:rPr>
        <w:t> </w:t>
      </w:r>
      <w:r>
        <w:rPr>
          <w:color w:val="231F20"/>
        </w:rPr>
        <w:t>suivants:</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nombre</w:t>
      </w:r>
      <w:r>
        <w:rPr>
          <w:color w:val="231F20"/>
          <w:spacing w:val="14"/>
          <w:sz w:val="17"/>
        </w:rPr>
        <w:t> </w:t>
      </w:r>
      <w:r>
        <w:rPr>
          <w:color w:val="231F20"/>
          <w:sz w:val="17"/>
        </w:rPr>
        <w:t>de</w:t>
      </w:r>
      <w:r>
        <w:rPr>
          <w:color w:val="231F20"/>
          <w:spacing w:val="13"/>
          <w:sz w:val="17"/>
        </w:rPr>
        <w:t> </w:t>
      </w:r>
      <w:r>
        <w:rPr>
          <w:color w:val="231F20"/>
          <w:sz w:val="17"/>
        </w:rPr>
        <w:t>travailleurs,</w:t>
      </w:r>
      <w:r>
        <w:rPr>
          <w:color w:val="231F20"/>
          <w:spacing w:val="14"/>
          <w:sz w:val="17"/>
        </w:rPr>
        <w:t> </w:t>
      </w:r>
      <w:r>
        <w:rPr>
          <w:color w:val="231F20"/>
          <w:sz w:val="17"/>
        </w:rPr>
        <w:t>en</w:t>
      </w:r>
      <w:r>
        <w:rPr>
          <w:color w:val="231F20"/>
          <w:spacing w:val="14"/>
          <w:sz w:val="17"/>
        </w:rPr>
        <w:t> </w:t>
      </w:r>
      <w:r>
        <w:rPr>
          <w:color w:val="231F20"/>
          <w:sz w:val="17"/>
        </w:rPr>
        <w:t>moyenne</w:t>
      </w:r>
      <w:r>
        <w:rPr>
          <w:color w:val="231F20"/>
          <w:spacing w:val="14"/>
          <w:sz w:val="17"/>
        </w:rPr>
        <w:t> </w:t>
      </w:r>
      <w:r>
        <w:rPr>
          <w:color w:val="231F20"/>
          <w:sz w:val="17"/>
        </w:rPr>
        <w:t>annuelle:</w:t>
      </w:r>
      <w:r>
        <w:rPr>
          <w:color w:val="231F20"/>
          <w:spacing w:val="14"/>
          <w:sz w:val="17"/>
        </w:rPr>
        <w:t> </w:t>
      </w:r>
      <w:r>
        <w:rPr>
          <w:color w:val="231F20"/>
          <w:sz w:val="17"/>
        </w:rPr>
        <w:t>50;</w:t>
      </w:r>
    </w:p>
    <w:p>
      <w:pPr>
        <w:pStyle w:val="ListParagraph"/>
        <w:numPr>
          <w:ilvl w:val="0"/>
          <w:numId w:val="1"/>
        </w:numPr>
        <w:tabs>
          <w:tab w:pos="585" w:val="left" w:leader="none"/>
        </w:tabs>
        <w:spacing w:line="218" w:lineRule="auto" w:before="82" w:after="0"/>
        <w:ind w:left="113" w:right="39" w:firstLine="170"/>
        <w:jc w:val="both"/>
        <w:rPr>
          <w:sz w:val="17"/>
        </w:rPr>
      </w:pPr>
      <w:r>
        <w:rPr>
          <w:color w:val="231F20"/>
          <w:sz w:val="17"/>
        </w:rPr>
        <w:t>chiffre  d’affaires   annuel,   hors   taxe   sur   la   valeur   ajoutée:  9 000 000</w:t>
      </w:r>
      <w:r>
        <w:rPr>
          <w:color w:val="231F20"/>
          <w:spacing w:val="39"/>
          <w:sz w:val="17"/>
        </w:rPr>
        <w:t> </w:t>
      </w:r>
      <w:r>
        <w:rPr>
          <w:color w:val="231F20"/>
          <w:sz w:val="17"/>
        </w:rPr>
        <w:t>euros;</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total</w:t>
      </w:r>
      <w:r>
        <w:rPr>
          <w:color w:val="231F20"/>
          <w:spacing w:val="12"/>
          <w:sz w:val="17"/>
        </w:rPr>
        <w:t> </w:t>
      </w:r>
      <w:r>
        <w:rPr>
          <w:color w:val="231F20"/>
          <w:sz w:val="17"/>
        </w:rPr>
        <w:t>du</w:t>
      </w:r>
      <w:r>
        <w:rPr>
          <w:color w:val="231F20"/>
          <w:spacing w:val="13"/>
          <w:sz w:val="17"/>
        </w:rPr>
        <w:t> </w:t>
      </w:r>
      <w:r>
        <w:rPr>
          <w:color w:val="231F20"/>
          <w:sz w:val="17"/>
        </w:rPr>
        <w:t>bilan:</w:t>
      </w:r>
      <w:r>
        <w:rPr>
          <w:color w:val="231F20"/>
          <w:spacing w:val="13"/>
          <w:sz w:val="17"/>
        </w:rPr>
        <w:t> </w:t>
      </w:r>
      <w:r>
        <w:rPr>
          <w:color w:val="231F20"/>
          <w:sz w:val="17"/>
        </w:rPr>
        <w:t>4</w:t>
      </w:r>
      <w:r>
        <w:rPr>
          <w:color w:val="231F20"/>
          <w:spacing w:val="13"/>
          <w:sz w:val="17"/>
        </w:rPr>
        <w:t> </w:t>
      </w:r>
      <w:r>
        <w:rPr>
          <w:color w:val="231F20"/>
          <w:sz w:val="17"/>
        </w:rPr>
        <w:t>500</w:t>
      </w:r>
      <w:r>
        <w:rPr>
          <w:color w:val="231F20"/>
          <w:spacing w:val="12"/>
          <w:sz w:val="17"/>
        </w:rPr>
        <w:t> </w:t>
      </w:r>
      <w:r>
        <w:rPr>
          <w:color w:val="231F20"/>
          <w:sz w:val="17"/>
        </w:rPr>
        <w:t>000</w:t>
      </w:r>
      <w:r>
        <w:rPr>
          <w:color w:val="231F20"/>
          <w:spacing w:val="13"/>
          <w:sz w:val="17"/>
        </w:rPr>
        <w:t> </w:t>
      </w:r>
      <w:r>
        <w:rPr>
          <w:color w:val="231F20"/>
          <w:sz w:val="17"/>
        </w:rPr>
        <w:t>euros.</w:t>
      </w:r>
    </w:p>
    <w:p>
      <w:pPr>
        <w:pStyle w:val="BodyText"/>
        <w:spacing w:before="68"/>
        <w:ind w:left="283" w:right="0" w:firstLine="0"/>
        <w:jc w:val="left"/>
      </w:pPr>
      <w:r>
        <w:rPr>
          <w:color w:val="231F20"/>
        </w:rPr>
        <w:t>§ 2. L’article 1:28, §§ 2 à 6, s’applique par analogie.</w:t>
      </w:r>
    </w:p>
    <w:p>
      <w:pPr>
        <w:pStyle w:val="BodyText"/>
        <w:spacing w:line="218" w:lineRule="auto" w:before="67"/>
        <w:ind w:right="38"/>
      </w:pPr>
      <w:r>
        <w:rPr>
          <w:color w:val="231F20"/>
        </w:rPr>
        <w:t>Art. 1:31. § 1</w:t>
      </w:r>
      <w:r>
        <w:rPr>
          <w:color w:val="231F20"/>
          <w:position w:val="7"/>
          <w:sz w:val="11"/>
        </w:rPr>
        <w:t>er</w:t>
      </w:r>
      <w:r>
        <w:rPr>
          <w:color w:val="231F20"/>
        </w:rPr>
        <w:t>. On entend par “microfondations” les petites fondations qui, à la date du bilan du dernier exercice clôturé, ne dépassent</w:t>
      </w:r>
      <w:r>
        <w:rPr>
          <w:color w:val="231F20"/>
          <w:spacing w:val="15"/>
        </w:rPr>
        <w:t> </w:t>
      </w:r>
      <w:r>
        <w:rPr>
          <w:color w:val="231F20"/>
        </w:rPr>
        <w:t>pas</w:t>
      </w:r>
      <w:r>
        <w:rPr>
          <w:color w:val="231F20"/>
          <w:spacing w:val="16"/>
        </w:rPr>
        <w:t> </w:t>
      </w:r>
      <w:r>
        <w:rPr>
          <w:color w:val="231F20"/>
        </w:rPr>
        <w:t>plus</w:t>
      </w:r>
      <w:r>
        <w:rPr>
          <w:color w:val="231F20"/>
          <w:spacing w:val="15"/>
        </w:rPr>
        <w:t> </w:t>
      </w:r>
      <w:r>
        <w:rPr>
          <w:color w:val="231F20"/>
        </w:rPr>
        <w:t>d’un</w:t>
      </w:r>
      <w:r>
        <w:rPr>
          <w:color w:val="231F20"/>
          <w:spacing w:val="16"/>
        </w:rPr>
        <w:t> </w:t>
      </w:r>
      <w:r>
        <w:rPr>
          <w:color w:val="231F20"/>
        </w:rPr>
        <w:t>des</w:t>
      </w:r>
      <w:r>
        <w:rPr>
          <w:color w:val="231F20"/>
          <w:spacing w:val="16"/>
        </w:rPr>
        <w:t> </w:t>
      </w:r>
      <w:r>
        <w:rPr>
          <w:color w:val="231F20"/>
        </w:rPr>
        <w:t>critères</w:t>
      </w:r>
      <w:r>
        <w:rPr>
          <w:color w:val="231F20"/>
          <w:spacing w:val="15"/>
        </w:rPr>
        <w:t> </w:t>
      </w:r>
      <w:r>
        <w:rPr>
          <w:color w:val="231F20"/>
        </w:rPr>
        <w:t>suivants:</w:t>
      </w:r>
    </w:p>
    <w:p>
      <w:pPr>
        <w:pStyle w:val="ListParagraph"/>
        <w:numPr>
          <w:ilvl w:val="0"/>
          <w:numId w:val="1"/>
        </w:numPr>
        <w:tabs>
          <w:tab w:pos="511" w:val="left" w:leader="none"/>
        </w:tabs>
        <w:spacing w:line="240" w:lineRule="auto" w:before="72" w:after="0"/>
        <w:ind w:left="510" w:right="0" w:hanging="227"/>
        <w:jc w:val="left"/>
        <w:rPr>
          <w:sz w:val="17"/>
        </w:rPr>
      </w:pPr>
      <w:r>
        <w:rPr>
          <w:color w:val="231F20"/>
          <w:sz w:val="17"/>
        </w:rPr>
        <w:t>nombre</w:t>
      </w:r>
      <w:r>
        <w:rPr>
          <w:color w:val="231F20"/>
          <w:spacing w:val="14"/>
          <w:sz w:val="17"/>
        </w:rPr>
        <w:t> </w:t>
      </w:r>
      <w:r>
        <w:rPr>
          <w:color w:val="231F20"/>
          <w:sz w:val="17"/>
        </w:rPr>
        <w:t>de</w:t>
      </w:r>
      <w:r>
        <w:rPr>
          <w:color w:val="231F20"/>
          <w:spacing w:val="15"/>
          <w:sz w:val="17"/>
        </w:rPr>
        <w:t> </w:t>
      </w:r>
      <w:r>
        <w:rPr>
          <w:color w:val="231F20"/>
          <w:sz w:val="17"/>
        </w:rPr>
        <w:t>travailleurs,</w:t>
      </w:r>
      <w:r>
        <w:rPr>
          <w:color w:val="231F20"/>
          <w:spacing w:val="14"/>
          <w:sz w:val="17"/>
        </w:rPr>
        <w:t> </w:t>
      </w:r>
      <w:r>
        <w:rPr>
          <w:color w:val="231F20"/>
          <w:sz w:val="17"/>
        </w:rPr>
        <w:t>en</w:t>
      </w:r>
      <w:r>
        <w:rPr>
          <w:color w:val="231F20"/>
          <w:spacing w:val="15"/>
          <w:sz w:val="17"/>
        </w:rPr>
        <w:t> </w:t>
      </w:r>
      <w:r>
        <w:rPr>
          <w:color w:val="231F20"/>
          <w:sz w:val="17"/>
        </w:rPr>
        <w:t>moyenne</w:t>
      </w:r>
      <w:r>
        <w:rPr>
          <w:color w:val="231F20"/>
          <w:spacing w:val="14"/>
          <w:sz w:val="17"/>
        </w:rPr>
        <w:t> </w:t>
      </w:r>
      <w:r>
        <w:rPr>
          <w:color w:val="231F20"/>
          <w:sz w:val="17"/>
        </w:rPr>
        <w:t>annuelle:</w:t>
      </w:r>
      <w:r>
        <w:rPr>
          <w:color w:val="231F20"/>
          <w:spacing w:val="15"/>
          <w:sz w:val="17"/>
        </w:rPr>
        <w:t> </w:t>
      </w:r>
      <w:r>
        <w:rPr>
          <w:color w:val="231F20"/>
          <w:sz w:val="17"/>
        </w:rPr>
        <w:t>10;</w:t>
      </w:r>
    </w:p>
    <w:p>
      <w:pPr>
        <w:pStyle w:val="ListParagraph"/>
        <w:numPr>
          <w:ilvl w:val="0"/>
          <w:numId w:val="1"/>
        </w:numPr>
        <w:tabs>
          <w:tab w:pos="585" w:val="left" w:leader="none"/>
        </w:tabs>
        <w:spacing w:line="218" w:lineRule="auto" w:before="82" w:after="0"/>
        <w:ind w:left="113" w:right="39" w:firstLine="170"/>
        <w:jc w:val="both"/>
        <w:rPr>
          <w:sz w:val="17"/>
        </w:rPr>
      </w:pPr>
      <w:r>
        <w:rPr>
          <w:color w:val="231F20"/>
          <w:sz w:val="17"/>
        </w:rPr>
        <w:t>chiffre  d’affaires  annuel,  hors  taxe  sur  la   valeur   ajoutée:  700 000</w:t>
      </w:r>
      <w:r>
        <w:rPr>
          <w:color w:val="231F20"/>
          <w:spacing w:val="-14"/>
          <w:sz w:val="17"/>
        </w:rPr>
        <w:t> </w:t>
      </w:r>
      <w:r>
        <w:rPr>
          <w:color w:val="231F20"/>
          <w:sz w:val="17"/>
        </w:rPr>
        <w:t>euros;</w:t>
      </w:r>
    </w:p>
    <w:p>
      <w:pPr>
        <w:pStyle w:val="ListParagraph"/>
        <w:numPr>
          <w:ilvl w:val="0"/>
          <w:numId w:val="1"/>
        </w:numPr>
        <w:tabs>
          <w:tab w:pos="511" w:val="left" w:leader="none"/>
        </w:tabs>
        <w:spacing w:line="240" w:lineRule="auto" w:before="71" w:after="0"/>
        <w:ind w:left="510" w:right="0" w:hanging="227"/>
        <w:jc w:val="left"/>
        <w:rPr>
          <w:sz w:val="17"/>
        </w:rPr>
      </w:pPr>
      <w:r>
        <w:rPr>
          <w:color w:val="231F20"/>
          <w:sz w:val="17"/>
        </w:rPr>
        <w:t>total du bilan: 350 000</w:t>
      </w:r>
      <w:r>
        <w:rPr>
          <w:color w:val="231F20"/>
          <w:spacing w:val="25"/>
          <w:sz w:val="17"/>
        </w:rPr>
        <w:t> </w:t>
      </w:r>
      <w:r>
        <w:rPr>
          <w:color w:val="231F20"/>
          <w:sz w:val="17"/>
        </w:rPr>
        <w:t>euros.</w:t>
      </w:r>
    </w:p>
    <w:p>
      <w:pPr>
        <w:pStyle w:val="BodyText"/>
        <w:spacing w:before="65"/>
        <w:ind w:left="283" w:right="0" w:firstLine="0"/>
        <w:jc w:val="left"/>
        <w:rPr>
          <w:rFonts w:ascii="Times New Roman" w:hAnsi="Times New Roman"/>
          <w:i/>
        </w:rPr>
      </w:pPr>
      <w:r>
        <w:rPr>
          <w:color w:val="231F20"/>
        </w:rPr>
        <w:t>§ 2. L’article 1:28, §§ 2 à 6, s’applique par analogie</w:t>
      </w:r>
      <w:r>
        <w:rPr>
          <w:rFonts w:ascii="Times New Roman" w:hAnsi="Times New Roman"/>
          <w:i/>
          <w:color w:val="231F20"/>
        </w:rPr>
        <w:t>.</w:t>
      </w:r>
    </w:p>
    <w:p>
      <w:pPr>
        <w:pStyle w:val="BodyText"/>
        <w:spacing w:before="68"/>
        <w:ind w:left="283" w:right="0" w:firstLine="0"/>
        <w:jc w:val="left"/>
      </w:pPr>
      <w:r>
        <w:rPr>
          <w:color w:val="231F20"/>
        </w:rPr>
        <w:t>TITRE 7. Délais.</w:t>
      </w:r>
    </w:p>
    <w:p>
      <w:pPr>
        <w:pStyle w:val="BodyText"/>
        <w:spacing w:line="218" w:lineRule="auto" w:before="82"/>
        <w:ind w:right="38"/>
      </w:pPr>
      <w:r>
        <w:rPr>
          <w:color w:val="231F20"/>
        </w:rPr>
        <w:t>Art. 1:32. Sauf si le présent code en dispose autrement, les délais qu’il prévoit sont soumis aux règles suivantes.</w:t>
      </w:r>
    </w:p>
    <w:p>
      <w:pPr>
        <w:pStyle w:val="BodyText"/>
        <w:spacing w:line="218" w:lineRule="auto" w:before="86"/>
        <w:ind w:right="38"/>
      </w:pPr>
      <w:r>
        <w:rPr>
          <w:color w:val="231F20"/>
        </w:rPr>
        <w:t>Le délai se compte de minuit à minuit. Il est calculé depuis le lendemain du jour de l’acte ou de l’événement qui y donne cours et comprend</w:t>
      </w:r>
      <w:r>
        <w:rPr>
          <w:color w:val="231F20"/>
          <w:spacing w:val="-3"/>
        </w:rPr>
        <w:t> </w:t>
      </w:r>
      <w:r>
        <w:rPr>
          <w:color w:val="231F20"/>
        </w:rPr>
        <w:t>tous</w:t>
      </w:r>
      <w:r>
        <w:rPr>
          <w:color w:val="231F20"/>
          <w:spacing w:val="-3"/>
        </w:rPr>
        <w:t> </w:t>
      </w:r>
      <w:r>
        <w:rPr>
          <w:color w:val="231F20"/>
        </w:rPr>
        <w:t>les</w:t>
      </w:r>
      <w:r>
        <w:rPr>
          <w:color w:val="231F20"/>
          <w:spacing w:val="-3"/>
        </w:rPr>
        <w:t> </w:t>
      </w:r>
      <w:r>
        <w:rPr>
          <w:color w:val="231F20"/>
        </w:rPr>
        <w:t>jours,</w:t>
      </w:r>
      <w:r>
        <w:rPr>
          <w:color w:val="231F20"/>
          <w:spacing w:val="-3"/>
        </w:rPr>
        <w:t> </w:t>
      </w:r>
      <w:r>
        <w:rPr>
          <w:color w:val="231F20"/>
        </w:rPr>
        <w:t>même</w:t>
      </w:r>
      <w:r>
        <w:rPr>
          <w:color w:val="231F20"/>
          <w:spacing w:val="-3"/>
        </w:rPr>
        <w:t> </w:t>
      </w:r>
      <w:r>
        <w:rPr>
          <w:color w:val="231F20"/>
        </w:rPr>
        <w:t>le</w:t>
      </w:r>
      <w:r>
        <w:rPr>
          <w:color w:val="231F20"/>
          <w:spacing w:val="-3"/>
        </w:rPr>
        <w:t> </w:t>
      </w:r>
      <w:r>
        <w:rPr>
          <w:color w:val="231F20"/>
        </w:rPr>
        <w:t>samedi,</w:t>
      </w:r>
      <w:r>
        <w:rPr>
          <w:color w:val="231F20"/>
          <w:spacing w:val="-3"/>
        </w:rPr>
        <w:t> </w:t>
      </w:r>
      <w:r>
        <w:rPr>
          <w:color w:val="231F20"/>
        </w:rPr>
        <w:t>le</w:t>
      </w:r>
      <w:r>
        <w:rPr>
          <w:color w:val="231F20"/>
          <w:spacing w:val="-3"/>
        </w:rPr>
        <w:t> </w:t>
      </w:r>
      <w:r>
        <w:rPr>
          <w:color w:val="231F20"/>
        </w:rPr>
        <w:t>dimanche</w:t>
      </w:r>
      <w:r>
        <w:rPr>
          <w:color w:val="231F20"/>
          <w:spacing w:val="-3"/>
        </w:rPr>
        <w:t> </w:t>
      </w:r>
      <w:r>
        <w:rPr>
          <w:color w:val="231F20"/>
        </w:rPr>
        <w:t>et</w:t>
      </w:r>
      <w:r>
        <w:rPr>
          <w:color w:val="231F20"/>
          <w:spacing w:val="-3"/>
        </w:rPr>
        <w:t> </w:t>
      </w:r>
      <w:r>
        <w:rPr>
          <w:color w:val="231F20"/>
        </w:rPr>
        <w:t>les</w:t>
      </w:r>
      <w:r>
        <w:rPr>
          <w:color w:val="231F20"/>
          <w:spacing w:val="-3"/>
        </w:rPr>
        <w:t> </w:t>
      </w:r>
      <w:r>
        <w:rPr>
          <w:color w:val="231F20"/>
        </w:rPr>
        <w:t>jours</w:t>
      </w:r>
      <w:r>
        <w:rPr>
          <w:color w:val="231F20"/>
          <w:spacing w:val="-3"/>
        </w:rPr>
        <w:t> </w:t>
      </w:r>
      <w:r>
        <w:rPr>
          <w:color w:val="231F20"/>
        </w:rPr>
        <w:t>fériés légaux.</w:t>
      </w:r>
    </w:p>
    <w:p>
      <w:pPr>
        <w:pStyle w:val="BodyText"/>
        <w:spacing w:line="218" w:lineRule="auto" w:before="85"/>
        <w:ind w:right="38"/>
      </w:pPr>
      <w:r>
        <w:rPr>
          <w:color w:val="231F20"/>
        </w:rPr>
        <w:t>Le jour de l’échéance est compris dans le délai. Toutefois, lorsque ce jour est un samedi, un dimanche ou un jour férié légal, le jour de l’échéance est reporté au plus prochain jour ouvrable.</w:t>
      </w:r>
    </w:p>
    <w:p>
      <w:pPr>
        <w:pStyle w:val="BodyText"/>
        <w:spacing w:line="218" w:lineRule="auto" w:before="86"/>
        <w:ind w:right="38"/>
      </w:pPr>
      <w:r>
        <w:rPr>
          <w:color w:val="231F20"/>
        </w:rPr>
        <w:t>Pour l’application du présent article constitue un “jour ouvrable” chaque jour à l’exception d’un samedi, d’un dimanche ou d’un jour  férié</w:t>
      </w:r>
      <w:r>
        <w:rPr>
          <w:color w:val="231F20"/>
          <w:spacing w:val="15"/>
        </w:rPr>
        <w:t> </w:t>
      </w:r>
      <w:r>
        <w:rPr>
          <w:color w:val="231F20"/>
        </w:rPr>
        <w:t>légal.</w:t>
      </w:r>
    </w:p>
    <w:p>
      <w:pPr>
        <w:pStyle w:val="BodyText"/>
        <w:spacing w:before="71"/>
        <w:ind w:left="283" w:right="0" w:firstLine="0"/>
        <w:jc w:val="left"/>
      </w:pPr>
      <w:r>
        <w:rPr>
          <w:color w:val="231F20"/>
        </w:rPr>
        <w:t>TITRE 8. Le bénéficiaire effectif.</w:t>
      </w:r>
    </w:p>
    <w:p>
      <w:pPr>
        <w:pStyle w:val="BodyText"/>
        <w:spacing w:line="218" w:lineRule="auto" w:before="82"/>
        <w:ind w:right="38"/>
      </w:pPr>
      <w:r>
        <w:rPr>
          <w:color w:val="231F20"/>
        </w:rPr>
        <w:t>Art. 1:33. Ce titre est d’application à toutes les sociétés et personnes morales régies par le présent code, à l’exception  des  partis  politi-  ques</w:t>
      </w:r>
      <w:r>
        <w:rPr>
          <w:color w:val="231F20"/>
          <w:spacing w:val="15"/>
        </w:rPr>
        <w:t> </w:t>
      </w:r>
      <w:r>
        <w:rPr>
          <w:color w:val="231F20"/>
        </w:rPr>
        <w:t>européens</w:t>
      </w:r>
      <w:r>
        <w:rPr>
          <w:color w:val="231F20"/>
          <w:spacing w:val="16"/>
        </w:rPr>
        <w:t> </w:t>
      </w:r>
      <w:r>
        <w:rPr>
          <w:color w:val="231F20"/>
        </w:rPr>
        <w:t>et</w:t>
      </w:r>
      <w:r>
        <w:rPr>
          <w:color w:val="231F20"/>
          <w:spacing w:val="15"/>
        </w:rPr>
        <w:t> </w:t>
      </w:r>
      <w:r>
        <w:rPr>
          <w:color w:val="231F20"/>
        </w:rPr>
        <w:t>des</w:t>
      </w:r>
      <w:r>
        <w:rPr>
          <w:color w:val="231F20"/>
          <w:spacing w:val="16"/>
        </w:rPr>
        <w:t> </w:t>
      </w:r>
      <w:r>
        <w:rPr>
          <w:color w:val="231F20"/>
        </w:rPr>
        <w:t>fondations</w:t>
      </w:r>
      <w:r>
        <w:rPr>
          <w:color w:val="231F20"/>
          <w:spacing w:val="15"/>
        </w:rPr>
        <w:t> </w:t>
      </w:r>
      <w:r>
        <w:rPr>
          <w:color w:val="231F20"/>
        </w:rPr>
        <w:t>politiques</w:t>
      </w:r>
      <w:r>
        <w:rPr>
          <w:color w:val="231F20"/>
          <w:spacing w:val="16"/>
        </w:rPr>
        <w:t> </w:t>
      </w:r>
      <w:r>
        <w:rPr>
          <w:color w:val="231F20"/>
        </w:rPr>
        <w:t>européennes.</w:t>
      </w:r>
    </w:p>
    <w:p>
      <w:pPr>
        <w:pStyle w:val="BodyText"/>
        <w:spacing w:line="213" w:lineRule="auto" w:before="89"/>
        <w:ind w:right="38"/>
      </w:pPr>
      <w:r>
        <w:rPr>
          <w:color w:val="231F20"/>
        </w:rPr>
        <w:t>Art. 1:34. Par “bénéficiaire effectif”, il faut entendre les personnes mentionnées  à  l’article  4,  alinéa  1</w:t>
      </w:r>
      <w:r>
        <w:rPr>
          <w:color w:val="231F20"/>
          <w:position w:val="7"/>
          <w:sz w:val="11"/>
        </w:rPr>
        <w:t>er</w:t>
      </w:r>
      <w:r>
        <w:rPr>
          <w:color w:val="231F20"/>
        </w:rPr>
        <w:t>,  27°,  </w:t>
      </w:r>
      <w:r>
        <w:rPr>
          <w:rFonts w:ascii="Times New Roman" w:hAnsi="Times New Roman"/>
          <w:i/>
          <w:color w:val="231F20"/>
        </w:rPr>
        <w:t>a)  </w:t>
      </w:r>
      <w:r>
        <w:rPr>
          <w:color w:val="231F20"/>
        </w:rPr>
        <w:t>et  </w:t>
      </w:r>
      <w:r>
        <w:rPr>
          <w:rFonts w:ascii="Times New Roman" w:hAnsi="Times New Roman"/>
          <w:i/>
          <w:color w:val="231F20"/>
        </w:rPr>
        <w:t>c)</w:t>
      </w:r>
      <w:r>
        <w:rPr>
          <w:color w:val="231F20"/>
        </w:rPr>
        <w:t>,  de  la  loi  du       18 septembre 2017 relative à la prévention du blanchiment de capitaux et du financement du terrorisme et à la limitation de l’utilisation des espèces.</w:t>
      </w:r>
    </w:p>
    <w:p>
      <w:pPr>
        <w:pStyle w:val="BodyText"/>
        <w:spacing w:line="218" w:lineRule="auto" w:before="87"/>
        <w:ind w:right="38"/>
      </w:pPr>
      <w:r>
        <w:rPr>
          <w:color w:val="231F20"/>
        </w:rPr>
        <w:t>Art. 1:35. Les sociétés et les personnes morales sont tenues de recueillir et de conserver des informations adéquates, exactes et actuelles sur leurs bénéficiaires effectifs. Les informations concernent au moins le nom, la date de naissance, la nationalité et l’adresse du bénéficiaire effectif, ainsi que, s’il s’agit d’une société, la nature et l’étendue de l’intérêt économique détenu par lui.</w:t>
      </w:r>
    </w:p>
    <w:p>
      <w:pPr>
        <w:pStyle w:val="BodyText"/>
        <w:spacing w:line="218" w:lineRule="auto" w:before="97"/>
        <w:ind w:right="38"/>
      </w:pPr>
      <w:r>
        <w:rPr>
          <w:color w:val="231F20"/>
        </w:rPr>
        <w:t>L’organe d’administration transmet, dans le mois et par voie électronique, les données visées à l’alinéa précédent au Registre des bénéficiaires effectifs (UBO), créé par l’article 73 de la loi précitée, et ce, de la manière prévue par l’article 75 de cette même loi.</w:t>
      </w:r>
    </w:p>
    <w:p>
      <w:pPr>
        <w:pStyle w:val="BodyText"/>
        <w:spacing w:line="213" w:lineRule="auto" w:before="99"/>
        <w:ind w:right="38"/>
      </w:pPr>
      <w:r>
        <w:rPr>
          <w:color w:val="231F20"/>
        </w:rPr>
        <w:t>Outre les informations sur le propriétaire légal, l’information sur le bénéficiaire effectif, visé à l’alinéa 2, est fournie aux entités assujetties, visées à l’article 5, § 1</w:t>
      </w:r>
      <w:r>
        <w:rPr>
          <w:color w:val="231F20"/>
          <w:position w:val="7"/>
          <w:sz w:val="11"/>
        </w:rPr>
        <w:t>er</w:t>
      </w:r>
      <w:r>
        <w:rPr>
          <w:color w:val="231F20"/>
        </w:rPr>
        <w:t>, de la loi précitée, lorsque celles-ci prennent des mesures de vigilance à l’égard de la clientèle, conformément au livre II, titre 3, de cette même loi.</w:t>
      </w:r>
    </w:p>
    <w:p>
      <w:pPr>
        <w:pStyle w:val="BodyText"/>
        <w:spacing w:line="213" w:lineRule="auto" w:before="101"/>
        <w:ind w:right="38"/>
      </w:pPr>
      <w:r>
        <w:rPr>
          <w:color w:val="231F20"/>
        </w:rPr>
        <w:t>Art. 1:36. Seront punis d’une amende de 50 euros à 5 000 euros, les membres de l’organe d’administration qui omettent de procéder aux formalités prévues à l’article 1:35, alinéas 1</w:t>
      </w:r>
      <w:r>
        <w:rPr>
          <w:color w:val="231F20"/>
          <w:position w:val="7"/>
          <w:sz w:val="11"/>
        </w:rPr>
        <w:t>er </w:t>
      </w:r>
      <w:r>
        <w:rPr>
          <w:color w:val="231F20"/>
        </w:rPr>
        <w:t>et 2, dans le délai fixé dans cet article.</w:t>
      </w:r>
    </w:p>
    <w:p>
      <w:pPr>
        <w:pStyle w:val="BodyText"/>
        <w:spacing w:before="79"/>
        <w:ind w:left="283" w:right="0" w:firstLine="0"/>
        <w:jc w:val="left"/>
      </w:pPr>
      <w:r>
        <w:rPr>
          <w:color w:val="231F20"/>
        </w:rPr>
        <w:t>TITRE 9. Disposition pénale générale.</w:t>
      </w:r>
    </w:p>
    <w:p>
      <w:pPr>
        <w:pStyle w:val="BodyText"/>
        <w:spacing w:line="218" w:lineRule="auto" w:before="78"/>
        <w:ind w:right="38"/>
      </w:pPr>
      <w:r>
        <w:rPr>
          <w:color w:val="231F20"/>
          <w:w w:val="105"/>
        </w:rPr>
        <w:t>Art. 1:37. Le livre 1</w:t>
      </w:r>
      <w:r>
        <w:rPr>
          <w:color w:val="231F20"/>
          <w:w w:val="105"/>
          <w:position w:val="7"/>
          <w:sz w:val="11"/>
        </w:rPr>
        <w:t>er </w:t>
      </w:r>
      <w:r>
        <w:rPr>
          <w:color w:val="231F20"/>
          <w:w w:val="105"/>
        </w:rPr>
        <w:t>du Code pénal, sans exception du chapitre</w:t>
      </w:r>
      <w:r>
        <w:rPr>
          <w:color w:val="231F20"/>
          <w:spacing w:val="-24"/>
          <w:w w:val="105"/>
        </w:rPr>
        <w:t> </w:t>
      </w:r>
      <w:r>
        <w:rPr>
          <w:color w:val="231F20"/>
          <w:w w:val="105"/>
        </w:rPr>
        <w:t>VII et</w:t>
      </w:r>
      <w:r>
        <w:rPr>
          <w:color w:val="231F20"/>
          <w:spacing w:val="-25"/>
          <w:w w:val="105"/>
        </w:rPr>
        <w:t> </w:t>
      </w:r>
      <w:r>
        <w:rPr>
          <w:color w:val="231F20"/>
          <w:w w:val="105"/>
        </w:rPr>
        <w:t>de</w:t>
      </w:r>
      <w:r>
        <w:rPr>
          <w:color w:val="231F20"/>
          <w:spacing w:val="-25"/>
          <w:w w:val="105"/>
        </w:rPr>
        <w:t> </w:t>
      </w:r>
      <w:r>
        <w:rPr>
          <w:color w:val="231F20"/>
          <w:w w:val="105"/>
        </w:rPr>
        <w:t>l’article</w:t>
      </w:r>
      <w:r>
        <w:rPr>
          <w:color w:val="231F20"/>
          <w:spacing w:val="-25"/>
          <w:w w:val="105"/>
        </w:rPr>
        <w:t> </w:t>
      </w:r>
      <w:r>
        <w:rPr>
          <w:color w:val="231F20"/>
          <w:w w:val="105"/>
        </w:rPr>
        <w:t>85,</w:t>
      </w:r>
      <w:r>
        <w:rPr>
          <w:color w:val="231F20"/>
          <w:spacing w:val="-25"/>
          <w:w w:val="105"/>
        </w:rPr>
        <w:t> </w:t>
      </w:r>
      <w:r>
        <w:rPr>
          <w:color w:val="231F20"/>
          <w:w w:val="105"/>
        </w:rPr>
        <w:t>est</w:t>
      </w:r>
      <w:r>
        <w:rPr>
          <w:color w:val="231F20"/>
          <w:spacing w:val="-25"/>
          <w:w w:val="105"/>
        </w:rPr>
        <w:t> </w:t>
      </w:r>
      <w:r>
        <w:rPr>
          <w:color w:val="231F20"/>
          <w:w w:val="105"/>
        </w:rPr>
        <w:t>d’application</w:t>
      </w:r>
      <w:r>
        <w:rPr>
          <w:color w:val="231F20"/>
          <w:spacing w:val="-25"/>
          <w:w w:val="105"/>
        </w:rPr>
        <w:t> </w:t>
      </w:r>
      <w:r>
        <w:rPr>
          <w:color w:val="231F20"/>
          <w:w w:val="105"/>
        </w:rPr>
        <w:t>aux</w:t>
      </w:r>
      <w:r>
        <w:rPr>
          <w:color w:val="231F20"/>
          <w:spacing w:val="-24"/>
          <w:w w:val="105"/>
        </w:rPr>
        <w:t> </w:t>
      </w:r>
      <w:r>
        <w:rPr>
          <w:color w:val="231F20"/>
          <w:w w:val="105"/>
        </w:rPr>
        <w:t>infractions</w:t>
      </w:r>
      <w:r>
        <w:rPr>
          <w:color w:val="231F20"/>
          <w:spacing w:val="-25"/>
          <w:w w:val="105"/>
        </w:rPr>
        <w:t> </w:t>
      </w:r>
      <w:r>
        <w:rPr>
          <w:color w:val="231F20"/>
          <w:w w:val="105"/>
        </w:rPr>
        <w:t>prévues</w:t>
      </w:r>
      <w:r>
        <w:rPr>
          <w:color w:val="231F20"/>
          <w:spacing w:val="-25"/>
          <w:w w:val="105"/>
        </w:rPr>
        <w:t> </w:t>
      </w:r>
      <w:r>
        <w:rPr>
          <w:color w:val="231F20"/>
          <w:w w:val="105"/>
        </w:rPr>
        <w:t>par</w:t>
      </w:r>
      <w:r>
        <w:rPr>
          <w:color w:val="231F20"/>
          <w:spacing w:val="-25"/>
          <w:w w:val="105"/>
        </w:rPr>
        <w:t> </w:t>
      </w:r>
      <w:r>
        <w:rPr>
          <w:color w:val="231F20"/>
          <w:w w:val="105"/>
        </w:rPr>
        <w:t>le</w:t>
      </w:r>
      <w:r>
        <w:rPr>
          <w:color w:val="231F20"/>
          <w:spacing w:val="-25"/>
          <w:w w:val="105"/>
        </w:rPr>
        <w:t> </w:t>
      </w:r>
      <w:r>
        <w:rPr>
          <w:color w:val="231F20"/>
          <w:w w:val="105"/>
        </w:rPr>
        <w:t>présent code.</w:t>
      </w:r>
    </w:p>
    <w:p>
      <w:pPr>
        <w:pStyle w:val="BodyText"/>
        <w:spacing w:line="218" w:lineRule="auto" w:before="119"/>
      </w:pPr>
      <w:r>
        <w:rPr/>
        <w:br w:type="column"/>
      </w:r>
      <w:r>
        <w:rPr>
          <w:color w:val="231F20"/>
        </w:rPr>
        <w:t>Art. 1:29. § 1. Onder “microVZW’s” of “microIVZW’s” wordt  verstaan, kleine VZW’S of iVZW’S die op balansdatum van het laatst afgesloten boekjaar niet meer dan één van de volgende criteria overschrijden:</w:t>
      </w:r>
    </w:p>
    <w:p>
      <w:pPr>
        <w:pStyle w:val="ListParagraph"/>
        <w:numPr>
          <w:ilvl w:val="0"/>
          <w:numId w:val="1"/>
        </w:numPr>
        <w:tabs>
          <w:tab w:pos="511" w:val="left" w:leader="none"/>
        </w:tabs>
        <w:spacing w:line="240" w:lineRule="auto" w:before="72"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aantal</w:t>
      </w:r>
      <w:r>
        <w:rPr>
          <w:color w:val="231F20"/>
          <w:spacing w:val="15"/>
          <w:sz w:val="17"/>
        </w:rPr>
        <w:t> </w:t>
      </w:r>
      <w:r>
        <w:rPr>
          <w:color w:val="231F20"/>
          <w:sz w:val="17"/>
        </w:rPr>
        <w:t>werknemers:</w:t>
      </w:r>
      <w:r>
        <w:rPr>
          <w:color w:val="231F20"/>
          <w:spacing w:val="15"/>
          <w:sz w:val="17"/>
        </w:rPr>
        <w:t> </w:t>
      </w:r>
      <w:r>
        <w:rPr>
          <w:color w:val="231F20"/>
          <w:sz w:val="17"/>
        </w:rPr>
        <w:t>10;</w:t>
      </w:r>
    </w:p>
    <w:p>
      <w:pPr>
        <w:pStyle w:val="ListParagraph"/>
        <w:numPr>
          <w:ilvl w:val="0"/>
          <w:numId w:val="1"/>
        </w:numPr>
        <w:tabs>
          <w:tab w:pos="534" w:val="left" w:leader="none"/>
        </w:tabs>
        <w:spacing w:line="218" w:lineRule="auto" w:before="82" w:after="0"/>
        <w:ind w:left="113" w:right="124" w:firstLine="170"/>
        <w:jc w:val="both"/>
        <w:rPr>
          <w:sz w:val="17"/>
        </w:rPr>
      </w:pPr>
      <w:r>
        <w:rPr>
          <w:color w:val="231F20"/>
          <w:sz w:val="17"/>
        </w:rPr>
        <w:t>jaaromzet, exclusief de belasting over de toegevoegde  waarde: 700 000</w:t>
      </w:r>
      <w:r>
        <w:rPr>
          <w:color w:val="231F20"/>
          <w:spacing w:val="13"/>
          <w:sz w:val="17"/>
        </w:rPr>
        <w:t> </w:t>
      </w:r>
      <w:r>
        <w:rPr>
          <w:color w:val="231F20"/>
          <w:sz w:val="17"/>
        </w:rPr>
        <w:t>euro;</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balanstotaal: 350 000</w:t>
      </w:r>
      <w:r>
        <w:rPr>
          <w:color w:val="231F20"/>
          <w:spacing w:val="-16"/>
          <w:sz w:val="17"/>
        </w:rPr>
        <w:t> </w:t>
      </w:r>
      <w:r>
        <w:rPr>
          <w:color w:val="231F20"/>
          <w:sz w:val="17"/>
        </w:rPr>
        <w:t>euro.</w:t>
      </w:r>
    </w:p>
    <w:p>
      <w:pPr>
        <w:pStyle w:val="BodyText"/>
        <w:spacing w:line="324" w:lineRule="auto" w:before="68"/>
        <w:ind w:left="283" w:right="0" w:firstLine="0"/>
        <w:jc w:val="left"/>
      </w:pPr>
      <w:r>
        <w:rPr>
          <w:color w:val="231F20"/>
        </w:rPr>
        <w:t>§ 2. Artikel 1:28, §§ 2 tot en met 6, is van overeenkomstige toepassing. HOOFDSTUK 2. Kleine stichtingen.</w:t>
      </w:r>
    </w:p>
    <w:p>
      <w:pPr>
        <w:pStyle w:val="BodyText"/>
        <w:spacing w:line="218" w:lineRule="auto" w:before="15"/>
      </w:pPr>
      <w:r>
        <w:rPr>
          <w:color w:val="231F20"/>
        </w:rPr>
        <w:t>Art. 1:30. § 1. Kleine stichtingen zijn stichtingen die op balansdatum van het laatst afgesloten boekjaar, niet meer dan één van de volgende criteria overschrijden:</w:t>
      </w:r>
    </w:p>
    <w:p>
      <w:pPr>
        <w:pStyle w:val="ListParagraph"/>
        <w:numPr>
          <w:ilvl w:val="0"/>
          <w:numId w:val="1"/>
        </w:numPr>
        <w:tabs>
          <w:tab w:pos="511" w:val="left" w:leader="none"/>
        </w:tabs>
        <w:spacing w:line="240" w:lineRule="auto" w:before="72"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4"/>
          <w:sz w:val="17"/>
        </w:rPr>
        <w:t> </w:t>
      </w:r>
      <w:r>
        <w:rPr>
          <w:color w:val="231F20"/>
          <w:sz w:val="17"/>
        </w:rPr>
        <w:t>het</w:t>
      </w:r>
      <w:r>
        <w:rPr>
          <w:color w:val="231F20"/>
          <w:spacing w:val="15"/>
          <w:sz w:val="17"/>
        </w:rPr>
        <w:t> </w:t>
      </w:r>
      <w:r>
        <w:rPr>
          <w:color w:val="231F20"/>
          <w:sz w:val="17"/>
        </w:rPr>
        <w:t>aantal</w:t>
      </w:r>
      <w:r>
        <w:rPr>
          <w:color w:val="231F20"/>
          <w:spacing w:val="14"/>
          <w:sz w:val="17"/>
        </w:rPr>
        <w:t> </w:t>
      </w:r>
      <w:r>
        <w:rPr>
          <w:color w:val="231F20"/>
          <w:sz w:val="17"/>
        </w:rPr>
        <w:t>werknemers:</w:t>
      </w:r>
      <w:r>
        <w:rPr>
          <w:color w:val="231F20"/>
          <w:spacing w:val="15"/>
          <w:sz w:val="17"/>
        </w:rPr>
        <w:t> </w:t>
      </w:r>
      <w:r>
        <w:rPr>
          <w:color w:val="231F20"/>
          <w:sz w:val="17"/>
        </w:rPr>
        <w:t>50;</w:t>
      </w:r>
    </w:p>
    <w:p>
      <w:pPr>
        <w:pStyle w:val="ListParagraph"/>
        <w:numPr>
          <w:ilvl w:val="0"/>
          <w:numId w:val="1"/>
        </w:numPr>
        <w:tabs>
          <w:tab w:pos="534" w:val="left" w:leader="none"/>
        </w:tabs>
        <w:spacing w:line="218" w:lineRule="auto" w:before="82" w:after="0"/>
        <w:ind w:left="113" w:right="124" w:firstLine="170"/>
        <w:jc w:val="both"/>
        <w:rPr>
          <w:sz w:val="17"/>
        </w:rPr>
      </w:pPr>
      <w:r>
        <w:rPr>
          <w:color w:val="231F20"/>
          <w:sz w:val="17"/>
        </w:rPr>
        <w:t>jaaromzet, exclusief de  belasting  over  de  toegevoegde  waarde: 9 000 000</w:t>
      </w:r>
      <w:r>
        <w:rPr>
          <w:color w:val="231F20"/>
          <w:spacing w:val="12"/>
          <w:sz w:val="17"/>
        </w:rPr>
        <w:t> </w:t>
      </w:r>
      <w:r>
        <w:rPr>
          <w:color w:val="231F20"/>
          <w:sz w:val="17"/>
        </w:rPr>
        <w:t>euro;</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balanstotaal: 4 500 000</w:t>
      </w:r>
      <w:r>
        <w:rPr>
          <w:color w:val="231F20"/>
          <w:spacing w:val="-18"/>
          <w:sz w:val="17"/>
        </w:rPr>
        <w:t> </w:t>
      </w:r>
      <w:r>
        <w:rPr>
          <w:color w:val="231F20"/>
          <w:sz w:val="17"/>
        </w:rPr>
        <w:t>euro.</w:t>
      </w:r>
    </w:p>
    <w:p>
      <w:pPr>
        <w:pStyle w:val="BodyText"/>
        <w:spacing w:before="68"/>
        <w:ind w:left="283" w:right="0" w:firstLine="0"/>
        <w:jc w:val="left"/>
      </w:pPr>
      <w:r>
        <w:rPr>
          <w:color w:val="231F20"/>
        </w:rPr>
        <w:t>§ 2. Artikel 1:28, §§ 2 tot en met 6, is van overeenkomstige toepassing.</w:t>
      </w:r>
    </w:p>
    <w:p>
      <w:pPr>
        <w:pStyle w:val="BodyText"/>
        <w:spacing w:line="218" w:lineRule="auto" w:before="82"/>
      </w:pPr>
      <w:r>
        <w:rPr>
          <w:color w:val="231F20"/>
        </w:rPr>
        <w:t>Art. 1:31. § 1. Onder “microstichtingen” wordt verstaan, kleine stichtingen die op balansdatum van het laatst afgesloten boekjaar niet meer dan één van de volgende criteria overschrijden:</w:t>
      </w:r>
    </w:p>
    <w:p>
      <w:pPr>
        <w:pStyle w:val="ListParagraph"/>
        <w:numPr>
          <w:ilvl w:val="0"/>
          <w:numId w:val="1"/>
        </w:numPr>
        <w:tabs>
          <w:tab w:pos="511" w:val="left" w:leader="none"/>
        </w:tabs>
        <w:spacing w:line="240" w:lineRule="auto" w:before="72" w:after="0"/>
        <w:ind w:left="283" w:right="0" w:firstLine="0"/>
        <w:jc w:val="left"/>
        <w:rPr>
          <w:sz w:val="17"/>
        </w:rPr>
      </w:pPr>
      <w:r>
        <w:rPr>
          <w:color w:val="231F20"/>
          <w:sz w:val="17"/>
        </w:rPr>
        <w:t>jaargemiddelde</w:t>
      </w:r>
      <w:r>
        <w:rPr>
          <w:color w:val="231F20"/>
          <w:spacing w:val="14"/>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aantal</w:t>
      </w:r>
      <w:r>
        <w:rPr>
          <w:color w:val="231F20"/>
          <w:spacing w:val="15"/>
          <w:sz w:val="17"/>
        </w:rPr>
        <w:t> </w:t>
      </w:r>
      <w:r>
        <w:rPr>
          <w:color w:val="231F20"/>
          <w:sz w:val="17"/>
        </w:rPr>
        <w:t>werknemers:</w:t>
      </w:r>
      <w:r>
        <w:rPr>
          <w:color w:val="231F20"/>
          <w:spacing w:val="15"/>
          <w:sz w:val="17"/>
        </w:rPr>
        <w:t> </w:t>
      </w:r>
      <w:r>
        <w:rPr>
          <w:color w:val="231F20"/>
          <w:sz w:val="17"/>
        </w:rPr>
        <w:t>10;</w:t>
      </w:r>
    </w:p>
    <w:p>
      <w:pPr>
        <w:pStyle w:val="ListParagraph"/>
        <w:numPr>
          <w:ilvl w:val="0"/>
          <w:numId w:val="1"/>
        </w:numPr>
        <w:tabs>
          <w:tab w:pos="534" w:val="left" w:leader="none"/>
        </w:tabs>
        <w:spacing w:line="218" w:lineRule="auto" w:before="82" w:after="0"/>
        <w:ind w:left="113" w:right="124" w:firstLine="170"/>
        <w:jc w:val="both"/>
        <w:rPr>
          <w:sz w:val="17"/>
        </w:rPr>
      </w:pPr>
      <w:r>
        <w:rPr>
          <w:color w:val="231F20"/>
          <w:sz w:val="17"/>
        </w:rPr>
        <w:t>jaaromzet, exclusief de belasting over de toegevoegde  waarde: 700 000</w:t>
      </w:r>
      <w:r>
        <w:rPr>
          <w:color w:val="231F20"/>
          <w:spacing w:val="13"/>
          <w:sz w:val="17"/>
        </w:rPr>
        <w:t> </w:t>
      </w:r>
      <w:r>
        <w:rPr>
          <w:color w:val="231F20"/>
          <w:sz w:val="17"/>
        </w:rPr>
        <w:t>euro;</w:t>
      </w:r>
    </w:p>
    <w:p>
      <w:pPr>
        <w:pStyle w:val="ListParagraph"/>
        <w:numPr>
          <w:ilvl w:val="0"/>
          <w:numId w:val="1"/>
        </w:numPr>
        <w:tabs>
          <w:tab w:pos="511" w:val="left" w:leader="none"/>
        </w:tabs>
        <w:spacing w:line="240" w:lineRule="auto" w:before="71" w:after="0"/>
        <w:ind w:left="283" w:right="0" w:firstLine="0"/>
        <w:jc w:val="left"/>
        <w:rPr>
          <w:sz w:val="17"/>
        </w:rPr>
      </w:pPr>
      <w:r>
        <w:rPr>
          <w:color w:val="231F20"/>
          <w:sz w:val="17"/>
        </w:rPr>
        <w:t>balanstotaal: 350 000</w:t>
      </w:r>
      <w:r>
        <w:rPr>
          <w:color w:val="231F20"/>
          <w:spacing w:val="-16"/>
          <w:sz w:val="17"/>
        </w:rPr>
        <w:t> </w:t>
      </w:r>
      <w:r>
        <w:rPr>
          <w:color w:val="231F20"/>
          <w:sz w:val="17"/>
        </w:rPr>
        <w:t>euro.</w:t>
      </w:r>
    </w:p>
    <w:p>
      <w:pPr>
        <w:pStyle w:val="BodyText"/>
        <w:spacing w:line="324" w:lineRule="auto" w:before="68"/>
        <w:ind w:left="283" w:right="0" w:firstLine="0"/>
        <w:jc w:val="left"/>
      </w:pPr>
      <w:r>
        <w:rPr>
          <w:color w:val="231F20"/>
        </w:rPr>
        <w:t>§ 2. Artikel 1:28, §§ 2 tot en met 6, is van overeenkomstige toepassing. TITEL 7. Termijnen.</w:t>
      </w:r>
    </w:p>
    <w:p>
      <w:pPr>
        <w:pStyle w:val="BodyText"/>
        <w:spacing w:line="218" w:lineRule="auto" w:before="15"/>
      </w:pPr>
      <w:r>
        <w:rPr>
          <w:color w:val="231F20"/>
        </w:rPr>
        <w:t>Art. 1:32. Tenzij dit wetboek anders bepaalt, zijn de termijnen waarin het voorziet onderworpen aan de volgende regels.</w:t>
      </w:r>
    </w:p>
    <w:p>
      <w:pPr>
        <w:pStyle w:val="BodyText"/>
        <w:spacing w:line="218" w:lineRule="auto" w:before="85"/>
      </w:pPr>
      <w:r>
        <w:rPr>
          <w:color w:val="231F20"/>
        </w:rPr>
        <w:t>De termijn wordt gerekend van middernacht tot middernacht. Hij wordt gerekend vanaf de dag na die van de akte of van de gebeurtenis die hem doet ingaan, en omvat alle dagen, ook de zaterdag, de zondag en de wettelijke feestdagen.</w:t>
      </w:r>
    </w:p>
    <w:p>
      <w:pPr>
        <w:pStyle w:val="BodyText"/>
        <w:spacing w:line="218" w:lineRule="auto" w:before="86"/>
      </w:pPr>
      <w:r>
        <w:rPr>
          <w:color w:val="231F20"/>
        </w:rPr>
        <w:t>De vervaldag is in de termijn begrepen. Is die dag echter een zaterdag, een zondag of een wettelijke feestdag, dan wordt de  vervaldag</w:t>
      </w:r>
      <w:r>
        <w:rPr>
          <w:color w:val="231F20"/>
          <w:spacing w:val="18"/>
        </w:rPr>
        <w:t> </w:t>
      </w:r>
      <w:r>
        <w:rPr>
          <w:color w:val="231F20"/>
        </w:rPr>
        <w:t>verplaatst</w:t>
      </w:r>
      <w:r>
        <w:rPr>
          <w:color w:val="231F20"/>
          <w:spacing w:val="18"/>
        </w:rPr>
        <w:t> </w:t>
      </w:r>
      <w:r>
        <w:rPr>
          <w:color w:val="231F20"/>
        </w:rPr>
        <w:t>op</w:t>
      </w:r>
      <w:r>
        <w:rPr>
          <w:color w:val="231F20"/>
          <w:spacing w:val="19"/>
        </w:rPr>
        <w:t> </w:t>
      </w:r>
      <w:r>
        <w:rPr>
          <w:color w:val="231F20"/>
        </w:rPr>
        <w:t>de</w:t>
      </w:r>
      <w:r>
        <w:rPr>
          <w:color w:val="231F20"/>
          <w:spacing w:val="18"/>
        </w:rPr>
        <w:t> </w:t>
      </w:r>
      <w:r>
        <w:rPr>
          <w:color w:val="231F20"/>
        </w:rPr>
        <w:t>eerstvolgende</w:t>
      </w:r>
      <w:r>
        <w:rPr>
          <w:color w:val="231F20"/>
          <w:spacing w:val="19"/>
        </w:rPr>
        <w:t> </w:t>
      </w:r>
      <w:r>
        <w:rPr>
          <w:color w:val="231F20"/>
        </w:rPr>
        <w:t>werkdag.</w:t>
      </w:r>
    </w:p>
    <w:p>
      <w:pPr>
        <w:pStyle w:val="BodyText"/>
        <w:spacing w:line="218" w:lineRule="auto" w:before="85"/>
      </w:pPr>
      <w:r>
        <w:rPr>
          <w:color w:val="231F20"/>
        </w:rPr>
        <w:t>Voor de toepassing van dit artikel is een “werkdag” elke dag met uitzondering van een zaterdag, een zondag of een wettelijke feestdag.</w:t>
      </w:r>
    </w:p>
    <w:p>
      <w:pPr>
        <w:pStyle w:val="BodyText"/>
        <w:spacing w:before="9"/>
        <w:ind w:left="0" w:right="0" w:firstLine="0"/>
        <w:jc w:val="left"/>
        <w:rPr>
          <w:sz w:val="21"/>
        </w:rPr>
      </w:pPr>
    </w:p>
    <w:p>
      <w:pPr>
        <w:pStyle w:val="BodyText"/>
        <w:ind w:left="283" w:right="0" w:firstLine="0"/>
        <w:jc w:val="left"/>
      </w:pPr>
      <w:r>
        <w:rPr>
          <w:color w:val="231F20"/>
        </w:rPr>
        <w:t>TITEL 8. De uiteindelijke begunstigde.</w:t>
      </w:r>
    </w:p>
    <w:p>
      <w:pPr>
        <w:pStyle w:val="BodyText"/>
        <w:spacing w:line="218" w:lineRule="auto" w:before="82"/>
      </w:pPr>
      <w:r>
        <w:rPr>
          <w:color w:val="231F20"/>
        </w:rPr>
        <w:t>Art. 1:33. Deze titel is van toepassing op alle vennootschappen en rechtspersonen geregeld in dit wetboek, met uitzondering van de Europese politieke partijen en de Europese politieke stichtingen.</w:t>
      </w:r>
    </w:p>
    <w:p>
      <w:pPr>
        <w:pStyle w:val="BodyText"/>
        <w:spacing w:line="218" w:lineRule="auto" w:before="86"/>
      </w:pPr>
      <w:r>
        <w:rPr>
          <w:color w:val="231F20"/>
        </w:rPr>
        <w:t>Art. 1:34. Onder “uiteindelijke begunstigde(n)” wordt verstaan, de personen vermeld in artikel 4, eerste lid, 27°, </w:t>
      </w:r>
      <w:r>
        <w:rPr>
          <w:rFonts w:ascii="Times New Roman" w:hAnsi="Times New Roman"/>
          <w:i/>
          <w:color w:val="231F20"/>
        </w:rPr>
        <w:t>a) </w:t>
      </w:r>
      <w:r>
        <w:rPr>
          <w:color w:val="231F20"/>
        </w:rPr>
        <w:t>en </w:t>
      </w:r>
      <w:r>
        <w:rPr>
          <w:rFonts w:ascii="Times New Roman" w:hAnsi="Times New Roman"/>
          <w:i/>
          <w:color w:val="231F20"/>
        </w:rPr>
        <w:t>c)</w:t>
      </w:r>
      <w:r>
        <w:rPr>
          <w:color w:val="231F20"/>
        </w:rPr>
        <w:t>, van de wet van  18 september 2017 tot voorkoming van het witwassen van geld en de financiering van terrorisme en tot beperking van het gebruik van contanten.</w:t>
      </w:r>
    </w:p>
    <w:p>
      <w:pPr>
        <w:pStyle w:val="BodyText"/>
        <w:spacing w:line="218" w:lineRule="auto" w:before="83"/>
        <w:ind w:right="123"/>
      </w:pPr>
      <w:r>
        <w:rPr>
          <w:color w:val="231F20"/>
        </w:rPr>
        <w:t>Art. 1:35. Vennootschappen en rechtspersonen moeten toereikende, accurate en actuele informatie inwinnen en bijhouden over hun uiteindelijke begunstigden. De inlichtingen betreffen ten minste de naam, geboortedatum, nationaliteit en adres van de uiteindelijke begunstigden evenals, wanneer het een vennootschap betreft, de aard en omvang van het door hen gehouden economisch belang.</w:t>
      </w:r>
    </w:p>
    <w:p>
      <w:pPr>
        <w:pStyle w:val="BodyText"/>
        <w:spacing w:line="218" w:lineRule="auto" w:before="96"/>
      </w:pPr>
      <w:r>
        <w:rPr>
          <w:color w:val="231F20"/>
        </w:rPr>
        <w:t>Het bestuursorgaan maakt de in het vorige lid bedoelde informatie binnen de maand via elektronische weg over aan het Register van uiteindelijke begunstigden (UBO), opgericht door artikel 73 van voornoemde wet, op de wijze bepaald door artikel 75 van dezelfde wet.</w:t>
      </w:r>
    </w:p>
    <w:p>
      <w:pPr>
        <w:pStyle w:val="BodyText"/>
        <w:spacing w:line="218" w:lineRule="auto" w:before="96"/>
        <w:ind w:right="123"/>
      </w:pPr>
      <w:r>
        <w:rPr>
          <w:color w:val="231F20"/>
        </w:rPr>
        <w:t>De informatie over de uiteindelijke begunstigde, bedoeld in het tweede lid, wordt, naast de informatie over de juridische eigenaar, aan de onderworpen entiteiten, bedoeld in artikel 5, § 1, van voornoemde wet, verstrekt wanneer deze entiteiten cliëntonderzoeksmaatregelen toepassen overeenkomstig boek II, titel 3, van dezelfde wet.</w:t>
      </w:r>
    </w:p>
    <w:p>
      <w:pPr>
        <w:pStyle w:val="BodyText"/>
        <w:spacing w:line="218" w:lineRule="auto" w:before="97"/>
      </w:pPr>
      <w:r>
        <w:rPr>
          <w:color w:val="231F20"/>
        </w:rPr>
        <w:t>Art.  1:36.  </w:t>
      </w:r>
      <w:r>
        <w:rPr>
          <w:color w:val="231F20"/>
          <w:spacing w:val="-4"/>
        </w:rPr>
        <w:t>Worden   </w:t>
      </w:r>
      <w:r>
        <w:rPr>
          <w:color w:val="231F20"/>
        </w:rPr>
        <w:t>gestraft  met  een  geldboete  van  50  euro  tot     5 000 euro, de leden van het bestuursorgaan die de formaliteiten bedoeld in artikel 1:35, eerste  en  tweede  lid,  binnen  de  in  dat  artikel vastgelegde termijn niet</w:t>
      </w:r>
      <w:r>
        <w:rPr>
          <w:color w:val="231F20"/>
          <w:spacing w:val="19"/>
        </w:rPr>
        <w:t> </w:t>
      </w:r>
      <w:r>
        <w:rPr>
          <w:color w:val="231F20"/>
        </w:rPr>
        <w:t>uitvoeren.</w:t>
      </w:r>
    </w:p>
    <w:p>
      <w:pPr>
        <w:pStyle w:val="BodyText"/>
        <w:spacing w:before="82"/>
        <w:ind w:left="283" w:right="0" w:firstLine="0"/>
        <w:jc w:val="left"/>
      </w:pPr>
      <w:r>
        <w:rPr>
          <w:color w:val="231F20"/>
        </w:rPr>
        <w:t>TITEL 9. Algemene strafbepaling.</w:t>
      </w:r>
    </w:p>
    <w:p>
      <w:pPr>
        <w:pStyle w:val="BodyText"/>
        <w:spacing w:line="218" w:lineRule="auto" w:before="93"/>
      </w:pPr>
      <w:r>
        <w:rPr>
          <w:color w:val="231F20"/>
        </w:rPr>
        <w:t>Art. 1:37. Boek  I  van  het  Strafwetboek,  Hoofdstuk  VII  en  arti-  kel 85 niet uitgezonderd, is mede van toepassing op de misdrijven in dit wetboek</w:t>
      </w:r>
      <w:r>
        <w:rPr>
          <w:color w:val="231F20"/>
          <w:spacing w:val="15"/>
        </w:rPr>
        <w:t> </w:t>
      </w:r>
      <w:r>
        <w:rPr>
          <w:color w:val="231F20"/>
        </w:rPr>
        <w:t>omschreven.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1216" from="298.170502pt,64.473pt" to="298.170502pt,812.819pt" stroked="true" strokeweight=".533pt" strokecolor="#231f20">
            <v:stroke dashstyle="solid"/>
            <w10:wrap type="none"/>
          </v:line>
        </w:pict>
      </w:r>
      <w:bookmarkStart w:name="_bookmark8" w:id="10"/>
      <w:bookmarkEnd w:id="10"/>
      <w:r>
        <w:rPr/>
      </w:r>
      <w:r>
        <w:rPr>
          <w:color w:val="231F20"/>
        </w:rPr>
        <w:t>LIVRE 2. Dispositions communes aux personnes morales régies par le présent code.</w:t>
      </w:r>
    </w:p>
    <w:p>
      <w:pPr>
        <w:pStyle w:val="BodyText"/>
        <w:spacing w:before="67"/>
        <w:ind w:left="283" w:right="0" w:firstLine="0"/>
        <w:jc w:val="left"/>
      </w:pPr>
      <w:r>
        <w:rPr>
          <w:color w:val="231F20"/>
        </w:rPr>
        <w:t>TITRE 1</w:t>
      </w:r>
      <w:r>
        <w:rPr>
          <w:color w:val="231F20"/>
          <w:position w:val="7"/>
          <w:sz w:val="11"/>
        </w:rPr>
        <w:t>er</w:t>
      </w:r>
      <w:r>
        <w:rPr>
          <w:color w:val="231F20"/>
        </w:rPr>
        <w:t>. Disposition générale.</w:t>
      </w:r>
    </w:p>
    <w:p>
      <w:pPr>
        <w:pStyle w:val="BodyText"/>
        <w:spacing w:line="218" w:lineRule="auto" w:before="92"/>
        <w:ind w:right="38"/>
      </w:pPr>
      <w:r>
        <w:rPr>
          <w:color w:val="231F20"/>
        </w:rPr>
        <w:t>Art. 2:1. Les dispositions du présent livre s’appliquent à toutes les personnes morales régies par le présent code, pour autant qu’il n’y soit pas dérogé par les livres qui suivent.</w:t>
      </w:r>
    </w:p>
    <w:p>
      <w:pPr>
        <w:pStyle w:val="BodyText"/>
        <w:spacing w:line="218" w:lineRule="auto" w:before="96"/>
        <w:ind w:right="38"/>
      </w:pPr>
      <w:r>
        <w:rPr>
          <w:color w:val="231F20"/>
        </w:rPr>
        <w:t>TITRE 2. Engagements pris au nom d’une personne morale en formation.</w:t>
      </w:r>
    </w:p>
    <w:p>
      <w:pPr>
        <w:pStyle w:val="BodyText"/>
        <w:spacing w:line="218" w:lineRule="auto" w:before="107"/>
        <w:ind w:right="38"/>
      </w:pPr>
      <w:r>
        <w:rPr>
          <w:color w:val="231F20"/>
        </w:rPr>
        <w:t>Art. 2:2. A défaut de convention contraire, ceux qui, au nom d’une personne morale en formation, et avant l’acquisition par celle-ci de la personnalité juridique, ont pris un engagement à quelque titre que ce soit, en sont personnellement et solidairement responsables, sauf si la personnalité</w:t>
      </w:r>
      <w:r>
        <w:rPr>
          <w:color w:val="231F20"/>
          <w:spacing w:val="-3"/>
        </w:rPr>
        <w:t> </w:t>
      </w:r>
      <w:r>
        <w:rPr>
          <w:color w:val="231F20"/>
        </w:rPr>
        <w:t>juridique</w:t>
      </w:r>
      <w:r>
        <w:rPr>
          <w:color w:val="231F20"/>
          <w:spacing w:val="-3"/>
        </w:rPr>
        <w:t> </w:t>
      </w:r>
      <w:r>
        <w:rPr>
          <w:color w:val="231F20"/>
        </w:rPr>
        <w:t>a</w:t>
      </w:r>
      <w:r>
        <w:rPr>
          <w:color w:val="231F20"/>
          <w:spacing w:val="-2"/>
        </w:rPr>
        <w:t> </w:t>
      </w:r>
      <w:r>
        <w:rPr>
          <w:color w:val="231F20"/>
        </w:rPr>
        <w:t>été</w:t>
      </w:r>
      <w:r>
        <w:rPr>
          <w:color w:val="231F20"/>
          <w:spacing w:val="-3"/>
        </w:rPr>
        <w:t> </w:t>
      </w:r>
      <w:r>
        <w:rPr>
          <w:color w:val="231F20"/>
        </w:rPr>
        <w:t>acquise</w:t>
      </w:r>
      <w:r>
        <w:rPr>
          <w:color w:val="231F20"/>
          <w:spacing w:val="-3"/>
        </w:rPr>
        <w:t> </w:t>
      </w:r>
      <w:r>
        <w:rPr>
          <w:color w:val="231F20"/>
        </w:rPr>
        <w:t>dans</w:t>
      </w:r>
      <w:r>
        <w:rPr>
          <w:color w:val="231F20"/>
          <w:spacing w:val="-2"/>
        </w:rPr>
        <w:t> </w:t>
      </w:r>
      <w:r>
        <w:rPr>
          <w:color w:val="231F20"/>
        </w:rPr>
        <w:t>les</w:t>
      </w:r>
      <w:r>
        <w:rPr>
          <w:color w:val="231F20"/>
          <w:spacing w:val="-3"/>
        </w:rPr>
        <w:t> </w:t>
      </w:r>
      <w:r>
        <w:rPr>
          <w:color w:val="231F20"/>
        </w:rPr>
        <w:t>deux</w:t>
      </w:r>
      <w:r>
        <w:rPr>
          <w:color w:val="231F20"/>
          <w:spacing w:val="-3"/>
        </w:rPr>
        <w:t> </w:t>
      </w:r>
      <w:r>
        <w:rPr>
          <w:color w:val="231F20"/>
        </w:rPr>
        <w:t>ans</w:t>
      </w:r>
      <w:r>
        <w:rPr>
          <w:color w:val="231F20"/>
          <w:spacing w:val="-2"/>
        </w:rPr>
        <w:t> </w:t>
      </w:r>
      <w:r>
        <w:rPr>
          <w:color w:val="231F20"/>
        </w:rPr>
        <w:t>de</w:t>
      </w:r>
      <w:r>
        <w:rPr>
          <w:color w:val="231F20"/>
          <w:spacing w:val="-3"/>
        </w:rPr>
        <w:t> </w:t>
      </w:r>
      <w:r>
        <w:rPr>
          <w:color w:val="231F20"/>
        </w:rPr>
        <w:t>la</w:t>
      </w:r>
      <w:r>
        <w:rPr>
          <w:color w:val="231F20"/>
          <w:spacing w:val="-3"/>
        </w:rPr>
        <w:t> </w:t>
      </w:r>
      <w:r>
        <w:rPr>
          <w:color w:val="231F20"/>
        </w:rPr>
        <w:t>naissance</w:t>
      </w:r>
      <w:r>
        <w:rPr>
          <w:color w:val="231F20"/>
          <w:spacing w:val="-2"/>
        </w:rPr>
        <w:t> </w:t>
      </w:r>
      <w:r>
        <w:rPr>
          <w:color w:val="231F20"/>
        </w:rPr>
        <w:t>de l’engagement et si la personne morale a repris ces engagements dans</w:t>
      </w:r>
      <w:r>
        <w:rPr>
          <w:color w:val="231F20"/>
          <w:spacing w:val="-26"/>
        </w:rPr>
        <w:t> </w:t>
      </w:r>
      <w:r>
        <w:rPr>
          <w:color w:val="231F20"/>
        </w:rPr>
        <w:t>les trois mois de l’acquisition de la personnalité juridique. Les</w:t>
      </w:r>
      <w:r>
        <w:rPr>
          <w:color w:val="231F20"/>
          <w:spacing w:val="30"/>
        </w:rPr>
        <w:t> </w:t>
      </w:r>
      <w:r>
        <w:rPr>
          <w:color w:val="231F20"/>
        </w:rPr>
        <w:t>engage- ments repris par la personne morale sont réputés avoir été contractés par celle-ci dès</w:t>
      </w:r>
      <w:r>
        <w:rPr>
          <w:color w:val="231F20"/>
          <w:spacing w:val="4"/>
        </w:rPr>
        <w:t> </w:t>
      </w:r>
      <w:r>
        <w:rPr>
          <w:color w:val="231F20"/>
        </w:rPr>
        <w:t>l’origine.</w:t>
      </w:r>
    </w:p>
    <w:p>
      <w:pPr>
        <w:pStyle w:val="BodyText"/>
        <w:spacing w:before="8"/>
        <w:ind w:left="0" w:right="0" w:firstLine="0"/>
        <w:jc w:val="left"/>
        <w:rPr>
          <w:sz w:val="23"/>
        </w:rPr>
      </w:pPr>
    </w:p>
    <w:p>
      <w:pPr>
        <w:pStyle w:val="BodyText"/>
        <w:ind w:left="283" w:right="0" w:firstLine="0"/>
        <w:jc w:val="left"/>
      </w:pPr>
      <w:r>
        <w:rPr>
          <w:color w:val="231F20"/>
        </w:rPr>
        <w:t>TITRE 3. La dénomination et le siège d’une personne morale.</w:t>
      </w:r>
    </w:p>
    <w:p>
      <w:pPr>
        <w:pStyle w:val="BodyText"/>
        <w:spacing w:line="218" w:lineRule="auto" w:before="88"/>
        <w:ind w:right="38"/>
      </w:pPr>
      <w:r>
        <w:rPr>
          <w:color w:val="231F20"/>
        </w:rPr>
        <w:t>Art. 2:3. § 1</w:t>
      </w:r>
      <w:r>
        <w:rPr>
          <w:color w:val="231F20"/>
          <w:position w:val="7"/>
          <w:sz w:val="11"/>
        </w:rPr>
        <w:t>er</w:t>
      </w:r>
      <w:r>
        <w:rPr>
          <w:color w:val="231F20"/>
        </w:rPr>
        <w:t>. Chaque personne morale doit être désignée par une dénomination qui diffère de celle de toute autre personne morale.</w:t>
      </w:r>
    </w:p>
    <w:p>
      <w:pPr>
        <w:pStyle w:val="BodyText"/>
        <w:spacing w:line="218" w:lineRule="auto" w:before="107"/>
        <w:ind w:right="38"/>
      </w:pPr>
      <w:r>
        <w:rPr>
          <w:color w:val="231F20"/>
        </w:rPr>
        <w:t>Si la dénomination est identique à une autre, ou si la ressemblance peut induire en erreur, tout intéressé peut la faire modifier et réclamer des dommages-intérêts, s’il y a lieu.</w:t>
      </w:r>
    </w:p>
    <w:p>
      <w:pPr>
        <w:pStyle w:val="BodyText"/>
        <w:spacing w:before="10"/>
        <w:ind w:left="0" w:right="0" w:firstLine="0"/>
        <w:jc w:val="left"/>
        <w:rPr>
          <w:sz w:val="24"/>
        </w:rPr>
      </w:pPr>
    </w:p>
    <w:p>
      <w:pPr>
        <w:pStyle w:val="BodyText"/>
        <w:spacing w:line="218" w:lineRule="auto"/>
        <w:ind w:right="38"/>
      </w:pPr>
      <w:r>
        <w:rPr>
          <w:color w:val="231F20"/>
        </w:rPr>
        <w:t>Une personne morale ne peut faire usage dans sa dénomination ni autrement d’une autre forme légale que celle qu’elle a valablement adoptée. En cas de non-respect de cette règle, tout intéressé peut demander au tribunal de l’entreprise du siège de la personne morale d’ordonner la cessation de cet usage.</w:t>
      </w:r>
    </w:p>
    <w:p>
      <w:pPr>
        <w:pStyle w:val="BodyText"/>
        <w:spacing w:line="213" w:lineRule="auto" w:before="110"/>
        <w:ind w:right="38"/>
      </w:pPr>
      <w:r>
        <w:rPr>
          <w:color w:val="231F20"/>
        </w:rPr>
        <w:t>§ 2. Nonobstant toute disposition contraire, les fondateurs d’une société, ou en cas de modification ultérieure de la dénomination, les membres de l’organe d’administration sont tenus solidairement envers les intéressés des dommages-intérêts visés au paragraphe 1</w:t>
      </w:r>
      <w:r>
        <w:rPr>
          <w:color w:val="231F20"/>
          <w:position w:val="7"/>
          <w:sz w:val="11"/>
        </w:rPr>
        <w:t>er</w:t>
      </w:r>
      <w:r>
        <w:rPr>
          <w:color w:val="231F20"/>
        </w:rPr>
        <w:t>, alinéa 2.</w:t>
      </w:r>
    </w:p>
    <w:p>
      <w:pPr>
        <w:pStyle w:val="BodyText"/>
        <w:spacing w:line="218" w:lineRule="auto" w:before="104"/>
        <w:ind w:right="38"/>
      </w:pPr>
      <w:r>
        <w:rPr>
          <w:color w:val="231F20"/>
        </w:rPr>
        <w:t>Art. 2:4. Les statuts doivent indiquer la Région dans laquelle le siège de la personne morale est établi. Ils peuvent aussi indiquer l’adresse à laquelle le siège de la personne morale est établi.</w:t>
      </w:r>
    </w:p>
    <w:p>
      <w:pPr>
        <w:pStyle w:val="BodyText"/>
        <w:spacing w:line="218" w:lineRule="auto" w:before="107"/>
        <w:ind w:right="38"/>
      </w:pPr>
      <w:r>
        <w:rPr>
          <w:color w:val="231F20"/>
        </w:rPr>
        <w:t>L’organe d’administration a le pouvoir de déplacer le siège de la personne morale en Belgique, pour autant que pareil déplacement n’impose pas la modification de la langue des statuts en vertu de la règlementation linguistique applicable. Cette décision de l’organe d’administration n’impose pas de modification des statuts, à moins que l’adresse de la personne morale ne figure dans ceux-ci ou que le siège soit transféré vers une autre Région. Dans ces derniers cas, l’organe d’administration a le pouvoir de modifier les statuts.</w:t>
      </w:r>
    </w:p>
    <w:p>
      <w:pPr>
        <w:pStyle w:val="BodyText"/>
        <w:spacing w:line="218" w:lineRule="auto" w:before="108"/>
        <w:ind w:right="38"/>
      </w:pPr>
      <w:r>
        <w:rPr>
          <w:color w:val="231F20"/>
        </w:rPr>
        <w:t>Les statuts peuvent exclure ou limiter le pouvoir de l’organe d’administration prévu à l’alinéa 2.</w:t>
      </w:r>
    </w:p>
    <w:p>
      <w:pPr>
        <w:pStyle w:val="BodyText"/>
        <w:spacing w:line="218" w:lineRule="auto" w:before="106"/>
        <w:ind w:right="38"/>
      </w:pPr>
      <w:r>
        <w:rPr>
          <w:color w:val="231F20"/>
        </w:rPr>
        <w:t>Si en raison du déplacement du siège la langue des statuts doit être modifiée, seule l’assemblée générale a le pouvoir de prendre cette décision moyennant le respect des règles prescrites pour la modifica- tion des statuts.</w:t>
      </w:r>
    </w:p>
    <w:p>
      <w:pPr>
        <w:pStyle w:val="BodyText"/>
        <w:spacing w:line="218" w:lineRule="auto" w:before="107"/>
        <w:ind w:right="38"/>
      </w:pPr>
      <w:r>
        <w:rPr>
          <w:color w:val="231F20"/>
        </w:rPr>
        <w:t>Nonobstant toute disposition contraire, les personnes morales ne sont tenues de procéder à la modification de leurs statuts ou à des formalités de publicité suite à la modification administrative d’adresse de leur siège ou succursale qu’à l’occasion de la première modification de leurs statuts suivant la publication de la modification </w:t>
      </w:r>
      <w:r>
        <w:rPr>
          <w:color w:val="231F20"/>
          <w:spacing w:val="-4"/>
        </w:rPr>
        <w:t>d’office  </w:t>
      </w:r>
      <w:r>
        <w:rPr>
          <w:color w:val="231F20"/>
        </w:rPr>
        <w:t>visée   à</w:t>
      </w:r>
      <w:r>
        <w:rPr>
          <w:color w:val="231F20"/>
          <w:spacing w:val="15"/>
        </w:rPr>
        <w:t> </w:t>
      </w:r>
      <w:r>
        <w:rPr>
          <w:color w:val="231F20"/>
        </w:rPr>
        <w:t>l’article</w:t>
      </w:r>
      <w:r>
        <w:rPr>
          <w:color w:val="231F20"/>
          <w:spacing w:val="15"/>
        </w:rPr>
        <w:t> </w:t>
      </w:r>
      <w:r>
        <w:rPr>
          <w:color w:val="231F20"/>
        </w:rPr>
        <w:t>III.42/1,</w:t>
      </w:r>
      <w:r>
        <w:rPr>
          <w:color w:val="231F20"/>
          <w:spacing w:val="15"/>
        </w:rPr>
        <w:t> </w:t>
      </w:r>
      <w:r>
        <w:rPr>
          <w:color w:val="231F20"/>
        </w:rPr>
        <w:t>alinéa</w:t>
      </w:r>
      <w:r>
        <w:rPr>
          <w:color w:val="231F20"/>
          <w:spacing w:val="16"/>
        </w:rPr>
        <w:t> </w:t>
      </w:r>
      <w:r>
        <w:rPr>
          <w:color w:val="231F20"/>
        </w:rPr>
        <w:t>2,</w:t>
      </w:r>
      <w:r>
        <w:rPr>
          <w:color w:val="231F20"/>
          <w:spacing w:val="15"/>
        </w:rPr>
        <w:t> </w:t>
      </w:r>
      <w:r>
        <w:rPr>
          <w:color w:val="231F20"/>
        </w:rPr>
        <w:t>du</w:t>
      </w:r>
      <w:r>
        <w:rPr>
          <w:color w:val="231F20"/>
          <w:spacing w:val="15"/>
        </w:rPr>
        <w:t> </w:t>
      </w:r>
      <w:r>
        <w:rPr>
          <w:color w:val="231F20"/>
        </w:rPr>
        <w:t>Code</w:t>
      </w:r>
      <w:r>
        <w:rPr>
          <w:color w:val="231F20"/>
          <w:spacing w:val="16"/>
        </w:rPr>
        <w:t> </w:t>
      </w:r>
      <w:r>
        <w:rPr>
          <w:color w:val="231F20"/>
        </w:rPr>
        <w:t>de</w:t>
      </w:r>
      <w:r>
        <w:rPr>
          <w:color w:val="231F20"/>
          <w:spacing w:val="15"/>
        </w:rPr>
        <w:t> </w:t>
      </w:r>
      <w:r>
        <w:rPr>
          <w:color w:val="231F20"/>
        </w:rPr>
        <w:t>droit</w:t>
      </w:r>
      <w:r>
        <w:rPr>
          <w:color w:val="231F20"/>
          <w:spacing w:val="15"/>
        </w:rPr>
        <w:t> </w:t>
      </w:r>
      <w:r>
        <w:rPr>
          <w:color w:val="231F20"/>
        </w:rPr>
        <w:t>économique.</w:t>
      </w:r>
    </w:p>
    <w:p>
      <w:pPr>
        <w:pStyle w:val="BodyText"/>
        <w:spacing w:before="8"/>
        <w:ind w:left="0" w:right="0" w:firstLine="0"/>
        <w:jc w:val="left"/>
        <w:rPr>
          <w:sz w:val="23"/>
        </w:rPr>
      </w:pPr>
    </w:p>
    <w:p>
      <w:pPr>
        <w:pStyle w:val="BodyText"/>
        <w:spacing w:line="331" w:lineRule="auto"/>
        <w:ind w:left="283" w:right="1150" w:firstLine="0"/>
        <w:jc w:val="left"/>
      </w:pPr>
      <w:r>
        <w:rPr>
          <w:color w:val="231F20"/>
        </w:rPr>
        <w:t>TITRE 4. Constitution et formalités de publicité. CHAPITRE 1</w:t>
      </w:r>
      <w:r>
        <w:rPr>
          <w:color w:val="231F20"/>
          <w:position w:val="7"/>
          <w:sz w:val="11"/>
        </w:rPr>
        <w:t>er</w:t>
      </w:r>
      <w:r>
        <w:rPr>
          <w:color w:val="231F20"/>
        </w:rPr>
        <w:t>. Forme de l’acte constitutif.</w:t>
      </w:r>
    </w:p>
    <w:p>
      <w:pPr>
        <w:pStyle w:val="BodyText"/>
        <w:spacing w:line="218" w:lineRule="auto" w:before="16"/>
        <w:ind w:right="38"/>
      </w:pPr>
      <w:r>
        <w:rPr>
          <w:color w:val="231F20"/>
        </w:rPr>
        <w:t>Art. 2:5. § 1</w:t>
      </w:r>
      <w:r>
        <w:rPr>
          <w:color w:val="231F20"/>
          <w:position w:val="7"/>
          <w:sz w:val="11"/>
        </w:rPr>
        <w:t>er</w:t>
      </w:r>
      <w:r>
        <w:rPr>
          <w:color w:val="231F20"/>
        </w:rPr>
        <w:t>. Les sociétés en nom collectif, les sociétés</w:t>
      </w:r>
      <w:r>
        <w:rPr>
          <w:color w:val="231F20"/>
          <w:spacing w:val="23"/>
        </w:rPr>
        <w:t> </w:t>
      </w:r>
      <w:r>
        <w:rPr>
          <w:color w:val="231F20"/>
        </w:rPr>
        <w:t>en commandite et les groupements européens d’intérêt économique sont, à peine de nullité, constitués par acte authentique ou sous seing privé, en</w:t>
      </w:r>
      <w:r>
        <w:rPr>
          <w:color w:val="231F20"/>
          <w:spacing w:val="16"/>
        </w:rPr>
        <w:t> </w:t>
      </w:r>
      <w:r>
        <w:rPr>
          <w:color w:val="231F20"/>
        </w:rPr>
        <w:t>se</w:t>
      </w:r>
      <w:r>
        <w:rPr>
          <w:color w:val="231F20"/>
          <w:spacing w:val="16"/>
        </w:rPr>
        <w:t> </w:t>
      </w:r>
      <w:r>
        <w:rPr>
          <w:color w:val="231F20"/>
        </w:rPr>
        <w:t>conformant,</w:t>
      </w:r>
      <w:r>
        <w:rPr>
          <w:color w:val="231F20"/>
          <w:spacing w:val="16"/>
        </w:rPr>
        <w:t> </w:t>
      </w:r>
      <w:r>
        <w:rPr>
          <w:color w:val="231F20"/>
        </w:rPr>
        <w:t>dans</w:t>
      </w:r>
      <w:r>
        <w:rPr>
          <w:color w:val="231F20"/>
          <w:spacing w:val="16"/>
        </w:rPr>
        <w:t> </w:t>
      </w:r>
      <w:r>
        <w:rPr>
          <w:color w:val="231F20"/>
        </w:rPr>
        <w:t>ce</w:t>
      </w:r>
      <w:r>
        <w:rPr>
          <w:color w:val="231F20"/>
          <w:spacing w:val="16"/>
        </w:rPr>
        <w:t> </w:t>
      </w:r>
      <w:r>
        <w:rPr>
          <w:color w:val="231F20"/>
        </w:rPr>
        <w:t>dernier</w:t>
      </w:r>
      <w:r>
        <w:rPr>
          <w:color w:val="231F20"/>
          <w:spacing w:val="16"/>
        </w:rPr>
        <w:t> </w:t>
      </w:r>
      <w:r>
        <w:rPr>
          <w:color w:val="231F20"/>
        </w:rPr>
        <w:t>cas,</w:t>
      </w:r>
      <w:r>
        <w:rPr>
          <w:color w:val="231F20"/>
          <w:spacing w:val="16"/>
        </w:rPr>
        <w:t> </w:t>
      </w:r>
      <w:r>
        <w:rPr>
          <w:color w:val="231F20"/>
        </w:rPr>
        <w:t>à</w:t>
      </w:r>
      <w:r>
        <w:rPr>
          <w:color w:val="231F20"/>
          <w:spacing w:val="16"/>
        </w:rPr>
        <w:t> </w:t>
      </w:r>
      <w:r>
        <w:rPr>
          <w:color w:val="231F20"/>
        </w:rPr>
        <w:t>l’article</w:t>
      </w:r>
      <w:r>
        <w:rPr>
          <w:color w:val="231F20"/>
          <w:spacing w:val="16"/>
        </w:rPr>
        <w:t> </w:t>
      </w:r>
      <w:r>
        <w:rPr>
          <w:color w:val="231F20"/>
        </w:rPr>
        <w:t>1325</w:t>
      </w:r>
      <w:r>
        <w:rPr>
          <w:color w:val="231F20"/>
          <w:spacing w:val="16"/>
        </w:rPr>
        <w:t> </w:t>
      </w:r>
      <w:r>
        <w:rPr>
          <w:color w:val="231F20"/>
        </w:rPr>
        <w:t>du</w:t>
      </w:r>
      <w:r>
        <w:rPr>
          <w:color w:val="231F20"/>
          <w:spacing w:val="16"/>
        </w:rPr>
        <w:t> </w:t>
      </w:r>
      <w:r>
        <w:rPr>
          <w:color w:val="231F20"/>
        </w:rPr>
        <w:t>Code</w:t>
      </w:r>
      <w:r>
        <w:rPr>
          <w:color w:val="231F20"/>
          <w:spacing w:val="16"/>
        </w:rPr>
        <w:t> </w:t>
      </w:r>
      <w:r>
        <w:rPr>
          <w:color w:val="231F20"/>
        </w:rPr>
        <w:t>civil.</w:t>
      </w:r>
    </w:p>
    <w:p>
      <w:pPr>
        <w:pStyle w:val="BodyText"/>
        <w:spacing w:before="10"/>
        <w:ind w:left="0" w:right="0" w:firstLine="0"/>
        <w:jc w:val="left"/>
        <w:rPr>
          <w:sz w:val="24"/>
        </w:rPr>
      </w:pPr>
    </w:p>
    <w:p>
      <w:pPr>
        <w:pStyle w:val="BodyText"/>
        <w:spacing w:line="218" w:lineRule="auto"/>
        <w:ind w:right="38"/>
      </w:pPr>
      <w:r>
        <w:rPr>
          <w:color w:val="231F20"/>
        </w:rPr>
        <w:t>Les sociétés à responsabilité limitée, les sociétés coopératives, les sociétés anonymes, les sociétés européennes et les sociétés coopérati- ves européennes sont, à peine de nullité, constituées par acte authen- tique.</w:t>
      </w:r>
    </w:p>
    <w:p>
      <w:pPr>
        <w:pStyle w:val="BodyText"/>
        <w:spacing w:line="218" w:lineRule="auto" w:before="107"/>
        <w:ind w:right="38"/>
      </w:pPr>
      <w:r>
        <w:rPr>
          <w:color w:val="231F20"/>
        </w:rPr>
        <w:t>Pour les sociétés auxquelles elles s’appliquent, les données mention- nées à l’article 2:8, § 2, 1°, 3°, 5°, 7°, 8°, 9°, 12° et 13°, sont reprises</w:t>
      </w:r>
      <w:r>
        <w:rPr>
          <w:color w:val="231F20"/>
          <w:spacing w:val="-27"/>
        </w:rPr>
        <w:t> </w:t>
      </w:r>
      <w:r>
        <w:rPr>
          <w:color w:val="231F20"/>
        </w:rPr>
        <w:t>dans les statuts de la société. Les données mentionnées à l’article 2:8, § 2, 2°, 4°, 6°, 10° et 14°, peuvent être reprises dans les autres dispositions de l’acte</w:t>
      </w:r>
      <w:r>
        <w:rPr>
          <w:color w:val="231F20"/>
          <w:spacing w:val="14"/>
        </w:rPr>
        <w:t> </w:t>
      </w:r>
      <w:r>
        <w:rPr>
          <w:color w:val="231F20"/>
        </w:rPr>
        <w:t>constitutif.</w:t>
      </w:r>
    </w:p>
    <w:p>
      <w:pPr>
        <w:pStyle w:val="BodyText"/>
        <w:spacing w:line="218" w:lineRule="auto" w:before="119"/>
      </w:pPr>
      <w:r>
        <w:rPr/>
        <w:br w:type="column"/>
      </w:r>
      <w:r>
        <w:rPr>
          <w:color w:val="231F20"/>
        </w:rPr>
        <w:t>BOEK 2. Bepalingen gemeenschappelijk aan de rechtspersonen geregeld in dit wetboek.</w:t>
      </w:r>
    </w:p>
    <w:p>
      <w:pPr>
        <w:pStyle w:val="BodyText"/>
        <w:spacing w:before="83"/>
        <w:ind w:left="283" w:right="0" w:firstLine="0"/>
        <w:jc w:val="left"/>
      </w:pPr>
      <w:r>
        <w:rPr>
          <w:color w:val="231F20"/>
        </w:rPr>
        <w:t>TITEL 1. Algemene bepaling.</w:t>
      </w:r>
    </w:p>
    <w:p>
      <w:pPr>
        <w:pStyle w:val="BodyText"/>
        <w:spacing w:line="218" w:lineRule="auto" w:before="92"/>
      </w:pPr>
      <w:r>
        <w:rPr>
          <w:color w:val="231F20"/>
        </w:rPr>
        <w:t>Art. 2:1. De bepalingen van dit boek zijn van toepassing op alle rechtspersonen geregeld in dit wetboek, voor zover ervan niet wordt afgeweken in de volgende boeken.</w:t>
      </w:r>
    </w:p>
    <w:p>
      <w:pPr>
        <w:pStyle w:val="BodyText"/>
        <w:spacing w:before="82"/>
        <w:ind w:left="283" w:right="0" w:firstLine="0"/>
        <w:jc w:val="left"/>
      </w:pPr>
      <w:r>
        <w:rPr>
          <w:color w:val="231F20"/>
        </w:rPr>
        <w:t>TITEL 2. Verbintenissen in naam van een rechtspersoon in oprichting.</w:t>
      </w:r>
    </w:p>
    <w:p>
      <w:pPr>
        <w:pStyle w:val="BodyText"/>
        <w:spacing w:before="7"/>
        <w:ind w:left="0" w:right="0" w:firstLine="0"/>
        <w:jc w:val="left"/>
        <w:rPr>
          <w:sz w:val="24"/>
        </w:rPr>
      </w:pPr>
    </w:p>
    <w:p>
      <w:pPr>
        <w:pStyle w:val="BodyText"/>
        <w:spacing w:line="218" w:lineRule="auto"/>
        <w:ind w:right="123"/>
      </w:pPr>
      <w:r>
        <w:rPr>
          <w:color w:val="231F20"/>
        </w:rPr>
        <w:t>Art. 2:2. Tenzij anders is overeengekomen, zijn zij die in naam van een rechtspersoon in oprichting en vooraleer deze rechtspersoonlijk- heid heeft verkregen, in enigerlei hoedanigheid een verbintenis hebben aangegaan, persoonlijk en hoofdelijk aansprakelijk, behalve wanneer binnen twee jaar na het ontstaan van de verbintenis rechtspersoonlijk- heid werd verkregen en de rechtspersoon die verbintenis binnen drie maanden na voormelde verkrijging van de rechtspersoonlijkheid heeft overgenomen. Verbintenissen overgenomen door de rechtspersoon worden geacht door hem te zijn aangegaan vanaf het ontstaan van die verbintenissen.</w:t>
      </w:r>
    </w:p>
    <w:p>
      <w:pPr>
        <w:pStyle w:val="BodyText"/>
        <w:spacing w:before="93"/>
        <w:ind w:left="283" w:right="0" w:firstLine="0"/>
        <w:jc w:val="left"/>
      </w:pPr>
      <w:r>
        <w:rPr>
          <w:color w:val="231F20"/>
        </w:rPr>
        <w:t>TITEL 3. De naam en de zetel van een rechtspersoon.</w:t>
      </w:r>
    </w:p>
    <w:p>
      <w:pPr>
        <w:pStyle w:val="BodyText"/>
        <w:spacing w:line="218" w:lineRule="auto" w:before="104"/>
      </w:pPr>
      <w:r>
        <w:rPr>
          <w:color w:val="231F20"/>
        </w:rPr>
        <w:t>Art. 2:3. § 1. Elke rechtspersoon moet een naam voeren, die verschilt van die van elke andere rechtspersoon.</w:t>
      </w:r>
    </w:p>
    <w:p>
      <w:pPr>
        <w:pStyle w:val="BodyText"/>
        <w:spacing w:line="218" w:lineRule="auto" w:before="106"/>
      </w:pPr>
      <w:r>
        <w:rPr>
          <w:color w:val="231F20"/>
        </w:rPr>
        <w:t>Indien de naam gelijk is aan een andere of er zozeer op gelijkt dat er verwarring kan ontstaan, kan iedere belanghebbende hem doen wijzigen en, indien daartoe grond bestaat, schadevergoeding eisen van de rechtspersoon.</w:t>
      </w:r>
    </w:p>
    <w:p>
      <w:pPr>
        <w:pStyle w:val="BodyText"/>
        <w:spacing w:line="218" w:lineRule="auto" w:before="107"/>
      </w:pPr>
      <w:r>
        <w:rPr>
          <w:color w:val="231F20"/>
        </w:rPr>
        <w:t>Een rechtspersoon kan in zijn naam of op enige andere wijze geen andere rechtsvorm gebruiken dan diegene die hij geldig heeft aange- nomen. In geval van schending van deze regel, kan elke belangheb- bende bij de ondernemingsrechtbank van de zetel van de rechtspersoon de staking van dit gebruik vorderen.</w:t>
      </w:r>
    </w:p>
    <w:p>
      <w:pPr>
        <w:pStyle w:val="BodyText"/>
        <w:spacing w:line="218" w:lineRule="auto" w:before="107"/>
      </w:pPr>
      <w:r>
        <w:rPr>
          <w:color w:val="231F20"/>
        </w:rPr>
        <w:t>§ 2. Niettegenstaande andersluidende bepaling, zijn de oprichters van een vennootschap of, bij latere naamswijziging, de leden van het bestuursorgaan hoofdelijk gehouden jegens de belanghebbenden tot betaling</w:t>
      </w:r>
      <w:r>
        <w:rPr>
          <w:color w:val="231F20"/>
          <w:spacing w:val="26"/>
        </w:rPr>
        <w:t> </w:t>
      </w:r>
      <w:r>
        <w:rPr>
          <w:color w:val="231F20"/>
        </w:rPr>
        <w:t>van</w:t>
      </w:r>
      <w:r>
        <w:rPr>
          <w:color w:val="231F20"/>
          <w:spacing w:val="26"/>
        </w:rPr>
        <w:t> </w:t>
      </w:r>
      <w:r>
        <w:rPr>
          <w:color w:val="231F20"/>
        </w:rPr>
        <w:t>de</w:t>
      </w:r>
      <w:r>
        <w:rPr>
          <w:color w:val="231F20"/>
          <w:spacing w:val="27"/>
        </w:rPr>
        <w:t> </w:t>
      </w:r>
      <w:r>
        <w:rPr>
          <w:color w:val="231F20"/>
        </w:rPr>
        <w:t>schadevergoeding</w:t>
      </w:r>
      <w:r>
        <w:rPr>
          <w:color w:val="231F20"/>
          <w:spacing w:val="26"/>
        </w:rPr>
        <w:t> </w:t>
      </w:r>
      <w:r>
        <w:rPr>
          <w:color w:val="231F20"/>
        </w:rPr>
        <w:t>bedoeld</w:t>
      </w:r>
      <w:r>
        <w:rPr>
          <w:color w:val="231F20"/>
          <w:spacing w:val="26"/>
        </w:rPr>
        <w:t> </w:t>
      </w:r>
      <w:r>
        <w:rPr>
          <w:color w:val="231F20"/>
        </w:rPr>
        <w:t>in</w:t>
      </w:r>
      <w:r>
        <w:rPr>
          <w:color w:val="231F20"/>
          <w:spacing w:val="27"/>
        </w:rPr>
        <w:t> </w:t>
      </w:r>
      <w:r>
        <w:rPr>
          <w:color w:val="231F20"/>
        </w:rPr>
        <w:t>paragraaf</w:t>
      </w:r>
      <w:r>
        <w:rPr>
          <w:color w:val="231F20"/>
          <w:spacing w:val="26"/>
        </w:rPr>
        <w:t> </w:t>
      </w:r>
      <w:r>
        <w:rPr>
          <w:color w:val="231F20"/>
        </w:rPr>
        <w:t>1,</w:t>
      </w:r>
      <w:r>
        <w:rPr>
          <w:color w:val="231F20"/>
          <w:spacing w:val="26"/>
        </w:rPr>
        <w:t> </w:t>
      </w:r>
      <w:r>
        <w:rPr>
          <w:color w:val="231F20"/>
        </w:rPr>
        <w:t>tweede</w:t>
      </w:r>
      <w:r>
        <w:rPr>
          <w:color w:val="231F20"/>
          <w:spacing w:val="27"/>
        </w:rPr>
        <w:t> </w:t>
      </w:r>
      <w:r>
        <w:rPr>
          <w:color w:val="231F20"/>
        </w:rPr>
        <w:t>lid.</w:t>
      </w:r>
    </w:p>
    <w:p>
      <w:pPr>
        <w:pStyle w:val="BodyText"/>
        <w:spacing w:line="218" w:lineRule="auto" w:before="107"/>
      </w:pPr>
      <w:r>
        <w:rPr>
          <w:color w:val="231F20"/>
        </w:rPr>
        <w:t>Art. 2:4. De statuten moeten het Gewest bepalen waarin de zetel van de rechtspersoon is gevestigd. Zij mogen ook het adres bepalen waarop de zetel van de rechtspersoon is gevestigd.</w:t>
      </w:r>
    </w:p>
    <w:p>
      <w:pPr>
        <w:pStyle w:val="BodyText"/>
        <w:spacing w:line="218" w:lineRule="auto" w:before="107"/>
      </w:pPr>
      <w:r>
        <w:rPr>
          <w:color w:val="231F20"/>
        </w:rPr>
        <w:t>Het bestuursorgaan is bevoegd de zetel van de rechtspersoon binnen België te verplaatsen voor zover die verplaatsing overeenkomstig de toepasselijke taalwetgeving niet verplicht tot een wijziging van de taal van de statuten. Dergelijke beslissing van het bestuursorgaan vereist geen statutenwijziging, tenzij het adres van de rechtspersoon in de statuten is opgenomen of wanneer de zetel verplaatst wordt naar een ander Gewest. In die laatste gevallen is het bestuursorgaan bevoegd om tot de statutenwijziging te beslissen.</w:t>
      </w:r>
    </w:p>
    <w:p>
      <w:pPr>
        <w:pStyle w:val="BodyText"/>
        <w:spacing w:line="218" w:lineRule="auto" w:before="107"/>
      </w:pPr>
      <w:r>
        <w:rPr>
          <w:color w:val="231F20"/>
        </w:rPr>
        <w:t>De statuten kunnen de in het tweede lid bedoelde bevoegdheid van het bestuursorgaan uitsluiten of beperken.</w:t>
      </w:r>
    </w:p>
    <w:p>
      <w:pPr>
        <w:pStyle w:val="BodyText"/>
        <w:spacing w:line="218" w:lineRule="auto" w:before="107"/>
      </w:pPr>
      <w:r>
        <w:rPr>
          <w:color w:val="231F20"/>
        </w:rPr>
        <w:t>Indien ten gevolge van de verplaatsing van de zetel de taal van de statuten moet worden gewijzigd, kan enkel de algemene vergadering deze beslissing nemen met inachtneming van de vereisten voor een statutenwijziging.</w:t>
      </w:r>
    </w:p>
    <w:p>
      <w:pPr>
        <w:pStyle w:val="BodyText"/>
        <w:spacing w:line="218" w:lineRule="auto" w:before="107"/>
      </w:pPr>
      <w:r>
        <w:rPr>
          <w:color w:val="231F20"/>
        </w:rPr>
        <w:t>Niettegenstaande andersluidende bepalingen zijn rechtspersonen niet gehouden hun statuten te wijzigen of openbaarmakingsformalitei- ten te vervullen naar aanleiding van een administratieve adreswijzi- ging van hun zetel of hun bijkantoor, tenzij hun statuten voor het eerst worden gewijzigd na de in artikel III.42/1, tweede lid, van het </w:t>
      </w:r>
      <w:r>
        <w:rPr>
          <w:color w:val="231F20"/>
          <w:spacing w:val="-3"/>
        </w:rPr>
        <w:t>Wetboek </w:t>
      </w:r>
      <w:r>
        <w:rPr>
          <w:color w:val="231F20"/>
        </w:rPr>
        <w:t>van economisch recht bedoelde bekendmaking van de ambtshalve wijziging.</w:t>
      </w:r>
    </w:p>
    <w:p>
      <w:pPr>
        <w:pStyle w:val="BodyText"/>
        <w:spacing w:line="350" w:lineRule="auto" w:before="93"/>
        <w:ind w:left="283" w:right="183" w:firstLine="0"/>
        <w:jc w:val="left"/>
      </w:pPr>
      <w:r>
        <w:rPr>
          <w:color w:val="231F20"/>
        </w:rPr>
        <w:t>TITEL 4. Oprichting en openbaarmakingsformaliteiten. HOOFDSTUK 1. Vorm van de oprichtingsakte.</w:t>
      </w:r>
    </w:p>
    <w:p>
      <w:pPr>
        <w:pStyle w:val="BodyText"/>
        <w:spacing w:line="218" w:lineRule="auto" w:before="15"/>
      </w:pPr>
      <w:r>
        <w:rPr>
          <w:color w:val="231F20"/>
        </w:rPr>
        <w:t>Art. 2:5. § 1. Vennootschappen onder firma, commanditaire vennoot- schappen en Europese economische samenwerkingsverbanden wor- den, op straffe van nietigheid, opgericht bij authentieke of onderhandse akte, met inachtneming, in dit laatste geval, van artikel 1325 van het Burgerlijk Wetboek.</w:t>
      </w:r>
    </w:p>
    <w:p>
      <w:pPr>
        <w:pStyle w:val="BodyText"/>
        <w:spacing w:line="218" w:lineRule="auto" w:before="107"/>
      </w:pPr>
      <w:r>
        <w:rPr>
          <w:color w:val="231F20"/>
        </w:rPr>
        <w:t>Besloten vennootschappen, coöperatieve vennootschappen, naam- loze vennootschappen, Europese vennootschappen en Europese coöpe- ratieve vennootschappen worden, op straffe van nietigheid, opgericht bij authentieke akte.</w:t>
      </w:r>
    </w:p>
    <w:p>
      <w:pPr>
        <w:pStyle w:val="BodyText"/>
        <w:spacing w:line="218" w:lineRule="auto" w:before="107"/>
      </w:pPr>
      <w:r>
        <w:rPr>
          <w:color w:val="231F20"/>
          <w:spacing w:val="-5"/>
        </w:rPr>
        <w:t>Voor </w:t>
      </w:r>
      <w:r>
        <w:rPr>
          <w:color w:val="231F20"/>
        </w:rPr>
        <w:t>de vennootschappen waarvoor zij gelden, worden de gegevens vermeld</w:t>
      </w:r>
      <w:r>
        <w:rPr>
          <w:color w:val="231F20"/>
          <w:spacing w:val="-5"/>
        </w:rPr>
        <w:t> </w:t>
      </w:r>
      <w:r>
        <w:rPr>
          <w:color w:val="231F20"/>
        </w:rPr>
        <w:t>onder</w:t>
      </w:r>
      <w:r>
        <w:rPr>
          <w:color w:val="231F20"/>
          <w:spacing w:val="-5"/>
        </w:rPr>
        <w:t> </w:t>
      </w:r>
      <w:r>
        <w:rPr>
          <w:color w:val="231F20"/>
        </w:rPr>
        <w:t>artikel</w:t>
      </w:r>
      <w:r>
        <w:rPr>
          <w:color w:val="231F20"/>
          <w:spacing w:val="-4"/>
        </w:rPr>
        <w:t> </w:t>
      </w:r>
      <w:r>
        <w:rPr>
          <w:color w:val="231F20"/>
        </w:rPr>
        <w:t>2:8,</w:t>
      </w:r>
      <w:r>
        <w:rPr>
          <w:color w:val="231F20"/>
          <w:spacing w:val="-5"/>
        </w:rPr>
        <w:t> </w:t>
      </w:r>
      <w:r>
        <w:rPr>
          <w:color w:val="231F20"/>
        </w:rPr>
        <w:t>§</w:t>
      </w:r>
      <w:r>
        <w:rPr>
          <w:color w:val="231F20"/>
          <w:spacing w:val="-5"/>
        </w:rPr>
        <w:t> </w:t>
      </w:r>
      <w:r>
        <w:rPr>
          <w:color w:val="231F20"/>
        </w:rPr>
        <w:t>2,</w:t>
      </w:r>
      <w:r>
        <w:rPr>
          <w:color w:val="231F20"/>
          <w:spacing w:val="-4"/>
        </w:rPr>
        <w:t> </w:t>
      </w:r>
      <w:r>
        <w:rPr>
          <w:color w:val="231F20"/>
        </w:rPr>
        <w:t>1°,</w:t>
      </w:r>
      <w:r>
        <w:rPr>
          <w:color w:val="231F20"/>
          <w:spacing w:val="-5"/>
        </w:rPr>
        <w:t> </w:t>
      </w:r>
      <w:r>
        <w:rPr>
          <w:color w:val="231F20"/>
        </w:rPr>
        <w:t>3°,</w:t>
      </w:r>
      <w:r>
        <w:rPr>
          <w:color w:val="231F20"/>
          <w:spacing w:val="-5"/>
        </w:rPr>
        <w:t> </w:t>
      </w:r>
      <w:r>
        <w:rPr>
          <w:color w:val="231F20"/>
        </w:rPr>
        <w:t>5°,</w:t>
      </w:r>
      <w:r>
        <w:rPr>
          <w:color w:val="231F20"/>
          <w:spacing w:val="-4"/>
        </w:rPr>
        <w:t> </w:t>
      </w:r>
      <w:r>
        <w:rPr>
          <w:color w:val="231F20"/>
        </w:rPr>
        <w:t>7°,</w:t>
      </w:r>
      <w:r>
        <w:rPr>
          <w:color w:val="231F20"/>
          <w:spacing w:val="-5"/>
        </w:rPr>
        <w:t> </w:t>
      </w:r>
      <w:r>
        <w:rPr>
          <w:color w:val="231F20"/>
        </w:rPr>
        <w:t>8°,</w:t>
      </w:r>
      <w:r>
        <w:rPr>
          <w:color w:val="231F20"/>
          <w:spacing w:val="-5"/>
        </w:rPr>
        <w:t> </w:t>
      </w:r>
      <w:r>
        <w:rPr>
          <w:color w:val="231F20"/>
        </w:rPr>
        <w:t>9°,</w:t>
      </w:r>
      <w:r>
        <w:rPr>
          <w:color w:val="231F20"/>
          <w:spacing w:val="-4"/>
        </w:rPr>
        <w:t> </w:t>
      </w:r>
      <w:r>
        <w:rPr>
          <w:color w:val="231F20"/>
        </w:rPr>
        <w:t>12°</w:t>
      </w:r>
      <w:r>
        <w:rPr>
          <w:color w:val="231F20"/>
          <w:spacing w:val="-5"/>
        </w:rPr>
        <w:t> </w:t>
      </w:r>
      <w:r>
        <w:rPr>
          <w:color w:val="231F20"/>
        </w:rPr>
        <w:t>en</w:t>
      </w:r>
      <w:r>
        <w:rPr>
          <w:color w:val="231F20"/>
          <w:spacing w:val="-5"/>
        </w:rPr>
        <w:t> </w:t>
      </w:r>
      <w:r>
        <w:rPr>
          <w:color w:val="231F20"/>
        </w:rPr>
        <w:t>13,</w:t>
      </w:r>
      <w:r>
        <w:rPr>
          <w:color w:val="231F20"/>
          <w:spacing w:val="-4"/>
        </w:rPr>
        <w:t> </w:t>
      </w:r>
      <w:r>
        <w:rPr>
          <w:color w:val="231F20"/>
        </w:rPr>
        <w:t>opgenomen in de statuten van de vennootschap. De gegevens vermeld  onder  artikel 2:8, § 2, 2°, 4°, 6°, 10° en 14°, worden opgenomen in de andere bepalingen van de</w:t>
      </w:r>
      <w:r>
        <w:rPr>
          <w:color w:val="231F20"/>
          <w:spacing w:val="5"/>
        </w:rPr>
        <w:t> </w:t>
      </w:r>
      <w:r>
        <w:rPr>
          <w:color w:val="231F20"/>
        </w:rPr>
        <w:t>oprichtingsakte.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1240" from="298.170502pt,64.473pt" to="298.170502pt,812.819pt" stroked="true" strokeweight=".533pt" strokecolor="#231f20">
            <v:stroke dashstyle="solid"/>
            <w10:wrap type="none"/>
          </v:line>
        </w:pict>
      </w:r>
      <w:bookmarkStart w:name="_bookmark9" w:id="11"/>
      <w:bookmarkEnd w:id="11"/>
      <w:r>
        <w:rPr/>
      </w:r>
      <w:r>
        <w:rPr>
          <w:color w:val="231F20"/>
        </w:rPr>
        <w:t>§ 2. Les ASBL sont, à peine de nullité, constituées par acte authentique ou sous seing privé. Dans ce dernier cas, l’acte doit être dressé en deux originaux seulement, par dérogation à l’article 1325 du Code civil.</w:t>
      </w:r>
    </w:p>
    <w:p>
      <w:pPr>
        <w:pStyle w:val="BodyText"/>
        <w:spacing w:line="218" w:lineRule="auto" w:before="85"/>
        <w:ind w:right="38"/>
      </w:pPr>
      <w:r>
        <w:rPr>
          <w:color w:val="231F20"/>
        </w:rPr>
        <w:t>Les</w:t>
      </w:r>
      <w:r>
        <w:rPr>
          <w:color w:val="231F20"/>
          <w:spacing w:val="-6"/>
        </w:rPr>
        <w:t> </w:t>
      </w:r>
      <w:r>
        <w:rPr>
          <w:color w:val="231F20"/>
        </w:rPr>
        <w:t>données</w:t>
      </w:r>
      <w:r>
        <w:rPr>
          <w:color w:val="231F20"/>
          <w:spacing w:val="-5"/>
        </w:rPr>
        <w:t> </w:t>
      </w:r>
      <w:r>
        <w:rPr>
          <w:color w:val="231F20"/>
        </w:rPr>
        <w:t>mentionnées</w:t>
      </w:r>
      <w:r>
        <w:rPr>
          <w:color w:val="231F20"/>
          <w:spacing w:val="-5"/>
        </w:rPr>
        <w:t> </w:t>
      </w:r>
      <w:r>
        <w:rPr>
          <w:color w:val="231F20"/>
        </w:rPr>
        <w:t>à</w:t>
      </w:r>
      <w:r>
        <w:rPr>
          <w:color w:val="231F20"/>
          <w:spacing w:val="-5"/>
        </w:rPr>
        <w:t> </w:t>
      </w:r>
      <w:r>
        <w:rPr>
          <w:color w:val="231F20"/>
        </w:rPr>
        <w:t>l’article</w:t>
      </w:r>
      <w:r>
        <w:rPr>
          <w:color w:val="231F20"/>
          <w:spacing w:val="-5"/>
        </w:rPr>
        <w:t> </w:t>
      </w:r>
      <w:r>
        <w:rPr>
          <w:color w:val="231F20"/>
        </w:rPr>
        <w:t>2:9,</w:t>
      </w:r>
      <w:r>
        <w:rPr>
          <w:color w:val="231F20"/>
          <w:spacing w:val="-5"/>
        </w:rPr>
        <w:t> </w:t>
      </w:r>
      <w:r>
        <w:rPr>
          <w:color w:val="231F20"/>
        </w:rPr>
        <w:t>§</w:t>
      </w:r>
      <w:r>
        <w:rPr>
          <w:color w:val="231F20"/>
          <w:spacing w:val="-6"/>
        </w:rPr>
        <w:t> </w:t>
      </w:r>
      <w:r>
        <w:rPr>
          <w:color w:val="231F20"/>
        </w:rPr>
        <w:t>2,</w:t>
      </w:r>
      <w:r>
        <w:rPr>
          <w:color w:val="231F20"/>
          <w:spacing w:val="-5"/>
        </w:rPr>
        <w:t> </w:t>
      </w:r>
      <w:r>
        <w:rPr>
          <w:color w:val="231F20"/>
        </w:rPr>
        <w:t>2°,</w:t>
      </w:r>
      <w:r>
        <w:rPr>
          <w:color w:val="231F20"/>
          <w:spacing w:val="-5"/>
        </w:rPr>
        <w:t> </w:t>
      </w:r>
      <w:r>
        <w:rPr>
          <w:color w:val="231F20"/>
        </w:rPr>
        <w:t>3°,</w:t>
      </w:r>
      <w:r>
        <w:rPr>
          <w:color w:val="231F20"/>
          <w:spacing w:val="-5"/>
        </w:rPr>
        <w:t> </w:t>
      </w:r>
      <w:r>
        <w:rPr>
          <w:color w:val="231F20"/>
        </w:rPr>
        <w:t>4°,</w:t>
      </w:r>
      <w:r>
        <w:rPr>
          <w:color w:val="231F20"/>
          <w:spacing w:val="-5"/>
        </w:rPr>
        <w:t> </w:t>
      </w:r>
      <w:r>
        <w:rPr>
          <w:color w:val="231F20"/>
        </w:rPr>
        <w:t>5°,</w:t>
      </w:r>
      <w:r>
        <w:rPr>
          <w:color w:val="231F20"/>
          <w:spacing w:val="-5"/>
        </w:rPr>
        <w:t> </w:t>
      </w:r>
      <w:r>
        <w:rPr>
          <w:color w:val="231F20"/>
        </w:rPr>
        <w:t>6°,</w:t>
      </w:r>
      <w:r>
        <w:rPr>
          <w:color w:val="231F20"/>
          <w:spacing w:val="-5"/>
        </w:rPr>
        <w:t> </w:t>
      </w:r>
      <w:r>
        <w:rPr>
          <w:color w:val="231F20"/>
        </w:rPr>
        <w:t>7°,</w:t>
      </w:r>
      <w:r>
        <w:rPr>
          <w:color w:val="231F20"/>
          <w:spacing w:val="-6"/>
        </w:rPr>
        <w:t> </w:t>
      </w:r>
      <w:r>
        <w:rPr>
          <w:color w:val="231F20"/>
        </w:rPr>
        <w:t>8°,</w:t>
      </w:r>
      <w:r>
        <w:rPr>
          <w:color w:val="231F20"/>
          <w:spacing w:val="-5"/>
        </w:rPr>
        <w:t> </w:t>
      </w:r>
      <w:r>
        <w:rPr>
          <w:color w:val="231F20"/>
        </w:rPr>
        <w:t>9° et 10°, sont reprises dans les statuts de l’ASBL. Les données mention- nées à l’article 2:9, § 2, 1°, </w:t>
      </w:r>
      <w:r>
        <w:rPr>
          <w:color w:val="231F20"/>
          <w:spacing w:val="-4"/>
        </w:rPr>
        <w:t>11° </w:t>
      </w:r>
      <w:r>
        <w:rPr>
          <w:color w:val="231F20"/>
        </w:rPr>
        <w:t>et 12°, peuvent être reprises dans les autres dispositions de l’acte</w:t>
      </w:r>
      <w:r>
        <w:rPr>
          <w:color w:val="231F20"/>
          <w:spacing w:val="19"/>
        </w:rPr>
        <w:t> </w:t>
      </w:r>
      <w:r>
        <w:rPr>
          <w:color w:val="231F20"/>
        </w:rPr>
        <w:t>constitutif.</w:t>
      </w:r>
    </w:p>
    <w:p>
      <w:pPr>
        <w:pStyle w:val="BodyText"/>
        <w:spacing w:line="218" w:lineRule="auto" w:before="86"/>
        <w:ind w:right="38"/>
      </w:pPr>
      <w:r>
        <w:rPr>
          <w:color w:val="231F20"/>
        </w:rPr>
        <w:t>§ 3. Les AISBL et les fondations sont, à peine de nullité, constituées par acte authentique. Si la constitution de la fondation prend la forme d’un testament, la fondation peut recevoir des dons par testament nonobstant l’article 906, alinéa 2, du Code civil.</w:t>
      </w:r>
    </w:p>
    <w:p>
      <w:pPr>
        <w:pStyle w:val="BodyText"/>
        <w:ind w:left="0" w:right="0" w:firstLine="0"/>
        <w:jc w:val="left"/>
        <w:rPr>
          <w:sz w:val="23"/>
        </w:rPr>
      </w:pPr>
    </w:p>
    <w:p>
      <w:pPr>
        <w:pStyle w:val="BodyText"/>
        <w:spacing w:line="218" w:lineRule="auto"/>
        <w:ind w:right="38"/>
      </w:pPr>
      <w:r>
        <w:rPr>
          <w:color w:val="231F20"/>
        </w:rPr>
        <w:t>Les</w:t>
      </w:r>
      <w:r>
        <w:rPr>
          <w:color w:val="231F20"/>
          <w:spacing w:val="-6"/>
        </w:rPr>
        <w:t> </w:t>
      </w:r>
      <w:r>
        <w:rPr>
          <w:color w:val="231F20"/>
        </w:rPr>
        <w:t>données</w:t>
      </w:r>
      <w:r>
        <w:rPr>
          <w:color w:val="231F20"/>
          <w:spacing w:val="-6"/>
        </w:rPr>
        <w:t> </w:t>
      </w:r>
      <w:r>
        <w:rPr>
          <w:color w:val="231F20"/>
        </w:rPr>
        <w:t>mentionnées</w:t>
      </w:r>
      <w:r>
        <w:rPr>
          <w:color w:val="231F20"/>
          <w:spacing w:val="-6"/>
        </w:rPr>
        <w:t> </w:t>
      </w:r>
      <w:r>
        <w:rPr>
          <w:color w:val="231F20"/>
        </w:rPr>
        <w:t>à</w:t>
      </w:r>
      <w:r>
        <w:rPr>
          <w:color w:val="231F20"/>
          <w:spacing w:val="-6"/>
        </w:rPr>
        <w:t> </w:t>
      </w:r>
      <w:r>
        <w:rPr>
          <w:color w:val="231F20"/>
        </w:rPr>
        <w:t>l’article</w:t>
      </w:r>
      <w:r>
        <w:rPr>
          <w:color w:val="231F20"/>
          <w:spacing w:val="-6"/>
        </w:rPr>
        <w:t> </w:t>
      </w:r>
      <w:r>
        <w:rPr>
          <w:color w:val="231F20"/>
        </w:rPr>
        <w:t>2:10,</w:t>
      </w:r>
      <w:r>
        <w:rPr>
          <w:color w:val="231F20"/>
          <w:spacing w:val="-6"/>
        </w:rPr>
        <w:t> </w:t>
      </w:r>
      <w:r>
        <w:rPr>
          <w:color w:val="231F20"/>
        </w:rPr>
        <w:t>§</w:t>
      </w:r>
      <w:r>
        <w:rPr>
          <w:color w:val="231F20"/>
          <w:spacing w:val="-6"/>
        </w:rPr>
        <w:t> </w:t>
      </w:r>
      <w:r>
        <w:rPr>
          <w:color w:val="231F20"/>
        </w:rPr>
        <w:t>2,</w:t>
      </w:r>
      <w:r>
        <w:rPr>
          <w:color w:val="231F20"/>
          <w:spacing w:val="-6"/>
        </w:rPr>
        <w:t> </w:t>
      </w:r>
      <w:r>
        <w:rPr>
          <w:color w:val="231F20"/>
        </w:rPr>
        <w:t>2°,</w:t>
      </w:r>
      <w:r>
        <w:rPr>
          <w:color w:val="231F20"/>
          <w:spacing w:val="-6"/>
        </w:rPr>
        <w:t> </w:t>
      </w:r>
      <w:r>
        <w:rPr>
          <w:color w:val="231F20"/>
        </w:rPr>
        <w:t>3°,</w:t>
      </w:r>
      <w:r>
        <w:rPr>
          <w:color w:val="231F20"/>
          <w:spacing w:val="-6"/>
        </w:rPr>
        <w:t> </w:t>
      </w:r>
      <w:r>
        <w:rPr>
          <w:color w:val="231F20"/>
        </w:rPr>
        <w:t>4°,</w:t>
      </w:r>
      <w:r>
        <w:rPr>
          <w:color w:val="231F20"/>
          <w:spacing w:val="-6"/>
        </w:rPr>
        <w:t> </w:t>
      </w:r>
      <w:r>
        <w:rPr>
          <w:color w:val="231F20"/>
        </w:rPr>
        <w:t>5°,</w:t>
      </w:r>
      <w:r>
        <w:rPr>
          <w:color w:val="231F20"/>
          <w:spacing w:val="-6"/>
        </w:rPr>
        <w:t> </w:t>
      </w:r>
      <w:r>
        <w:rPr>
          <w:color w:val="231F20"/>
        </w:rPr>
        <w:t>6°,</w:t>
      </w:r>
      <w:r>
        <w:rPr>
          <w:color w:val="231F20"/>
          <w:spacing w:val="-5"/>
        </w:rPr>
        <w:t> </w:t>
      </w:r>
      <w:r>
        <w:rPr>
          <w:color w:val="231F20"/>
        </w:rPr>
        <w:t>7°,</w:t>
      </w:r>
      <w:r>
        <w:rPr>
          <w:color w:val="231F20"/>
          <w:spacing w:val="-6"/>
        </w:rPr>
        <w:t> </w:t>
      </w:r>
      <w:r>
        <w:rPr>
          <w:color w:val="231F20"/>
        </w:rPr>
        <w:t>8°</w:t>
      </w:r>
      <w:r>
        <w:rPr>
          <w:color w:val="231F20"/>
          <w:spacing w:val="-6"/>
        </w:rPr>
        <w:t> </w:t>
      </w:r>
      <w:r>
        <w:rPr>
          <w:color w:val="231F20"/>
        </w:rPr>
        <w:t>et 9°, sont reprises dans les statuts de l’AISBL. Les données mentionnées à l’article 2:10, § 2, 1°, 10° et </w:t>
      </w:r>
      <w:r>
        <w:rPr>
          <w:color w:val="231F20"/>
          <w:spacing w:val="-3"/>
        </w:rPr>
        <w:t>11°, </w:t>
      </w:r>
      <w:r>
        <w:rPr>
          <w:color w:val="231F20"/>
        </w:rPr>
        <w:t>peuvent être reprises dans les autres dispositions de l’acte</w:t>
      </w:r>
      <w:r>
        <w:rPr>
          <w:color w:val="231F20"/>
          <w:spacing w:val="4"/>
        </w:rPr>
        <w:t> </w:t>
      </w:r>
      <w:r>
        <w:rPr>
          <w:color w:val="231F20"/>
        </w:rPr>
        <w:t>constitutif.</w:t>
      </w:r>
    </w:p>
    <w:p>
      <w:pPr>
        <w:pStyle w:val="BodyText"/>
        <w:spacing w:line="218" w:lineRule="auto" w:before="86"/>
        <w:ind w:right="38"/>
      </w:pPr>
      <w:r>
        <w:rPr>
          <w:color w:val="231F20"/>
        </w:rPr>
        <w:t>Les données mentionnées à l’article 2:11, § 2, </w:t>
      </w:r>
      <w:r>
        <w:rPr>
          <w:color w:val="231F20"/>
          <w:spacing w:val="13"/>
        </w:rPr>
        <w:t>2° </w:t>
      </w:r>
      <w:r>
        <w:rPr>
          <w:color w:val="231F20"/>
        </w:rPr>
        <w:t>à 6°, sont reprises dans les statuts de la fondation.  Les  données  mentionnées  à  l’arti- cle 2:11, § 2, 1°, 7° et 8°, peuvent être reprises dans les autres dispositions de l’acte</w:t>
      </w:r>
      <w:r>
        <w:rPr>
          <w:color w:val="231F20"/>
          <w:spacing w:val="4"/>
        </w:rPr>
        <w:t> </w:t>
      </w:r>
      <w:r>
        <w:rPr>
          <w:color w:val="231F20"/>
        </w:rPr>
        <w:t>constitutif.</w:t>
      </w:r>
    </w:p>
    <w:p>
      <w:pPr>
        <w:pStyle w:val="BodyText"/>
        <w:spacing w:line="218" w:lineRule="auto" w:before="85"/>
        <w:ind w:right="38"/>
      </w:pPr>
      <w:r>
        <w:rPr>
          <w:color w:val="231F20"/>
        </w:rPr>
        <w:t>§ 4. Toute modification des statuts doit, à peine de nullité, être faite en la forme requise pour l’acte constitutif.</w:t>
      </w:r>
    </w:p>
    <w:p>
      <w:pPr>
        <w:pStyle w:val="BodyText"/>
        <w:spacing w:before="57"/>
        <w:ind w:left="283" w:right="0" w:firstLine="0"/>
        <w:jc w:val="left"/>
      </w:pPr>
      <w:r>
        <w:rPr>
          <w:color w:val="231F20"/>
        </w:rPr>
        <w:t>Par dérogation à l’alinéa 1</w:t>
      </w:r>
      <w:r>
        <w:rPr>
          <w:color w:val="231F20"/>
          <w:position w:val="7"/>
          <w:sz w:val="11"/>
        </w:rPr>
        <w:t>er</w:t>
      </w:r>
      <w:r>
        <w:rPr>
          <w:color w:val="231F20"/>
        </w:rPr>
        <w:t>:</w:t>
      </w:r>
    </w:p>
    <w:p>
      <w:pPr>
        <w:pStyle w:val="BodyText"/>
        <w:spacing w:line="218" w:lineRule="auto" w:before="81"/>
        <w:ind w:right="38"/>
      </w:pPr>
      <w:r>
        <w:rPr>
          <w:color w:val="231F20"/>
        </w:rPr>
        <w:t>1° dans le cas d’une AISBL, seule la modification des éléments visés  à</w:t>
      </w:r>
      <w:r>
        <w:rPr>
          <w:color w:val="231F20"/>
          <w:spacing w:val="8"/>
        </w:rPr>
        <w:t> </w:t>
      </w:r>
      <w:r>
        <w:rPr>
          <w:color w:val="231F20"/>
        </w:rPr>
        <w:t>l’article</w:t>
      </w:r>
      <w:r>
        <w:rPr>
          <w:color w:val="231F20"/>
          <w:spacing w:val="8"/>
        </w:rPr>
        <w:t> </w:t>
      </w:r>
      <w:r>
        <w:rPr>
          <w:color w:val="231F20"/>
        </w:rPr>
        <w:t>2:10,</w:t>
      </w:r>
      <w:r>
        <w:rPr>
          <w:color w:val="231F20"/>
          <w:spacing w:val="9"/>
        </w:rPr>
        <w:t> </w:t>
      </w:r>
      <w:r>
        <w:rPr>
          <w:color w:val="231F20"/>
        </w:rPr>
        <w:t>§</w:t>
      </w:r>
      <w:r>
        <w:rPr>
          <w:color w:val="231F20"/>
          <w:spacing w:val="8"/>
        </w:rPr>
        <w:t> </w:t>
      </w:r>
      <w:r>
        <w:rPr>
          <w:color w:val="231F20"/>
        </w:rPr>
        <w:t>2,</w:t>
      </w:r>
      <w:r>
        <w:rPr>
          <w:color w:val="231F20"/>
          <w:spacing w:val="9"/>
        </w:rPr>
        <w:t> </w:t>
      </w:r>
      <w:r>
        <w:rPr>
          <w:color w:val="231F20"/>
        </w:rPr>
        <w:t>6°,</w:t>
      </w:r>
      <w:r>
        <w:rPr>
          <w:color w:val="231F20"/>
          <w:spacing w:val="8"/>
        </w:rPr>
        <w:t> </w:t>
      </w:r>
      <w:r>
        <w:rPr>
          <w:color w:val="231F20"/>
        </w:rPr>
        <w:t>8°</w:t>
      </w:r>
      <w:r>
        <w:rPr>
          <w:color w:val="231F20"/>
          <w:spacing w:val="9"/>
        </w:rPr>
        <w:t> </w:t>
      </w:r>
      <w:r>
        <w:rPr>
          <w:color w:val="231F20"/>
        </w:rPr>
        <w:t>et</w:t>
      </w:r>
      <w:r>
        <w:rPr>
          <w:color w:val="231F20"/>
          <w:spacing w:val="8"/>
        </w:rPr>
        <w:t> </w:t>
      </w:r>
      <w:r>
        <w:rPr>
          <w:color w:val="231F20"/>
        </w:rPr>
        <w:t>9°,</w:t>
      </w:r>
      <w:r>
        <w:rPr>
          <w:color w:val="231F20"/>
          <w:spacing w:val="8"/>
        </w:rPr>
        <w:t> </w:t>
      </w:r>
      <w:r>
        <w:rPr>
          <w:color w:val="231F20"/>
        </w:rPr>
        <w:t>est</w:t>
      </w:r>
      <w:r>
        <w:rPr>
          <w:color w:val="231F20"/>
          <w:spacing w:val="9"/>
        </w:rPr>
        <w:t> </w:t>
      </w:r>
      <w:r>
        <w:rPr>
          <w:color w:val="231F20"/>
        </w:rPr>
        <w:t>constatée</w:t>
      </w:r>
      <w:r>
        <w:rPr>
          <w:color w:val="231F20"/>
          <w:spacing w:val="8"/>
        </w:rPr>
        <w:t> </w:t>
      </w:r>
      <w:r>
        <w:rPr>
          <w:color w:val="231F20"/>
        </w:rPr>
        <w:t>par</w:t>
      </w:r>
      <w:r>
        <w:rPr>
          <w:color w:val="231F20"/>
          <w:spacing w:val="9"/>
        </w:rPr>
        <w:t> </w:t>
      </w:r>
      <w:r>
        <w:rPr>
          <w:color w:val="231F20"/>
        </w:rPr>
        <w:t>acte</w:t>
      </w:r>
      <w:r>
        <w:rPr>
          <w:color w:val="231F20"/>
          <w:spacing w:val="8"/>
        </w:rPr>
        <w:t> </w:t>
      </w:r>
      <w:r>
        <w:rPr>
          <w:color w:val="231F20"/>
        </w:rPr>
        <w:t>authentique;</w:t>
      </w:r>
    </w:p>
    <w:p>
      <w:pPr>
        <w:pStyle w:val="BodyText"/>
        <w:spacing w:line="218" w:lineRule="auto" w:before="86"/>
        <w:ind w:right="38"/>
      </w:pPr>
      <w:r>
        <w:rPr>
          <w:color w:val="231F20"/>
        </w:rPr>
        <w:t>2° dans le cas d’une fondation, seule la modification des éléments visés à l’article 2:11, § 2, 3° à 6°, est constatée par acte authentique.</w:t>
      </w:r>
    </w:p>
    <w:p>
      <w:pPr>
        <w:pStyle w:val="BodyText"/>
        <w:ind w:left="0" w:right="0" w:firstLine="0"/>
        <w:jc w:val="left"/>
        <w:rPr>
          <w:sz w:val="23"/>
        </w:rPr>
      </w:pPr>
    </w:p>
    <w:p>
      <w:pPr>
        <w:pStyle w:val="BodyText"/>
        <w:spacing w:line="218" w:lineRule="auto"/>
        <w:ind w:right="38"/>
      </w:pPr>
      <w:r>
        <w:rPr>
          <w:color w:val="231F20"/>
        </w:rPr>
        <w:t>Dans le cas d’une AISBL et d’une fondation d’utilité publique, toute modification des mentions reprises aux articles 2:10, § 2, 3°, et 2:11, §</w:t>
      </w:r>
      <w:r>
        <w:rPr>
          <w:color w:val="231F20"/>
          <w:spacing w:val="-11"/>
        </w:rPr>
        <w:t> </w:t>
      </w:r>
      <w:r>
        <w:rPr>
          <w:color w:val="231F20"/>
        </w:rPr>
        <w:t>2, 3°,</w:t>
      </w:r>
      <w:r>
        <w:rPr>
          <w:color w:val="231F20"/>
          <w:spacing w:val="14"/>
        </w:rPr>
        <w:t> </w:t>
      </w:r>
      <w:r>
        <w:rPr>
          <w:color w:val="231F20"/>
        </w:rPr>
        <w:t>doit</w:t>
      </w:r>
      <w:r>
        <w:rPr>
          <w:color w:val="231F20"/>
          <w:spacing w:val="15"/>
        </w:rPr>
        <w:t> </w:t>
      </w:r>
      <w:r>
        <w:rPr>
          <w:color w:val="231F20"/>
        </w:rPr>
        <w:t>être</w:t>
      </w:r>
      <w:r>
        <w:rPr>
          <w:color w:val="231F20"/>
          <w:spacing w:val="15"/>
        </w:rPr>
        <w:t> </w:t>
      </w:r>
      <w:r>
        <w:rPr>
          <w:color w:val="231F20"/>
        </w:rPr>
        <w:t>approuvée</w:t>
      </w:r>
      <w:r>
        <w:rPr>
          <w:color w:val="231F20"/>
          <w:spacing w:val="15"/>
        </w:rPr>
        <w:t> </w:t>
      </w:r>
      <w:r>
        <w:rPr>
          <w:color w:val="231F20"/>
        </w:rPr>
        <w:t>par</w:t>
      </w:r>
      <w:r>
        <w:rPr>
          <w:color w:val="231F20"/>
          <w:spacing w:val="15"/>
        </w:rPr>
        <w:t> </w:t>
      </w:r>
      <w:r>
        <w:rPr>
          <w:color w:val="231F20"/>
        </w:rPr>
        <w:t>le</w:t>
      </w:r>
      <w:r>
        <w:rPr>
          <w:color w:val="231F20"/>
          <w:spacing w:val="15"/>
        </w:rPr>
        <w:t> </w:t>
      </w:r>
      <w:r>
        <w:rPr>
          <w:color w:val="231F20"/>
        </w:rPr>
        <w:t>Roi.</w:t>
      </w:r>
    </w:p>
    <w:p>
      <w:pPr>
        <w:pStyle w:val="BodyText"/>
        <w:spacing w:before="82"/>
        <w:ind w:left="283" w:right="0" w:firstLine="0"/>
        <w:jc w:val="left"/>
      </w:pPr>
      <w:r>
        <w:rPr>
          <w:color w:val="231F20"/>
        </w:rPr>
        <w:t>CHAPITRE 2. Acquisition de la personnalité juridique.</w:t>
      </w:r>
    </w:p>
    <w:p>
      <w:pPr>
        <w:pStyle w:val="BodyText"/>
        <w:spacing w:line="211" w:lineRule="auto" w:before="82"/>
        <w:ind w:right="38"/>
      </w:pPr>
      <w:r>
        <w:rPr>
          <w:color w:val="231F20"/>
        </w:rPr>
        <w:t>Art. 2:6. § 1</w:t>
      </w:r>
      <w:r>
        <w:rPr>
          <w:color w:val="231F20"/>
          <w:position w:val="7"/>
          <w:sz w:val="11"/>
        </w:rPr>
        <w:t>er</w:t>
      </w:r>
      <w:r>
        <w:rPr>
          <w:color w:val="231F20"/>
        </w:rPr>
        <w:t>. Les sociétés acquièrent la personnalité juridique à compter du jour du dépôt des documents visés à l’article 2:8, § 1</w:t>
      </w:r>
      <w:r>
        <w:rPr>
          <w:color w:val="231F20"/>
          <w:position w:val="7"/>
          <w:sz w:val="11"/>
        </w:rPr>
        <w:t>er</w:t>
      </w:r>
      <w:r>
        <w:rPr>
          <w:color w:val="231F20"/>
        </w:rPr>
        <w:t>, alinéa 1</w:t>
      </w:r>
      <w:r>
        <w:rPr>
          <w:color w:val="231F20"/>
          <w:position w:val="7"/>
          <w:sz w:val="11"/>
        </w:rPr>
        <w:t>er</w:t>
      </w:r>
      <w:r>
        <w:rPr>
          <w:color w:val="231F20"/>
        </w:rPr>
        <w:t>, 1°, 2° et 5°, </w:t>
      </w:r>
      <w:r>
        <w:rPr>
          <w:rFonts w:ascii="Times New Roman" w:hAnsi="Times New Roman"/>
          <w:i/>
          <w:color w:val="231F20"/>
        </w:rPr>
        <w:t>a)</w:t>
      </w:r>
      <w:r>
        <w:rPr>
          <w:color w:val="231F20"/>
        </w:rPr>
        <w:t>. Toutefois, la société européenne, la société coopérative européenne et le groupement européen d’intérêt économi- que acquièrent la personnalité juridique le jour de leur inscription au registre des personnes morales, répertoire de la Banque-Carrefour des Entreprises, conformément à l’article 2:7, § 1</w:t>
      </w:r>
      <w:r>
        <w:rPr>
          <w:color w:val="231F20"/>
          <w:position w:val="7"/>
          <w:sz w:val="11"/>
        </w:rPr>
        <w:t>er</w:t>
      </w:r>
      <w:r>
        <w:rPr>
          <w:color w:val="231F20"/>
        </w:rPr>
        <w:t>, alinéa 2.</w:t>
      </w:r>
    </w:p>
    <w:p>
      <w:pPr>
        <w:pStyle w:val="BodyText"/>
        <w:spacing w:before="7"/>
        <w:ind w:left="0" w:right="0" w:firstLine="0"/>
        <w:jc w:val="left"/>
        <w:rPr>
          <w:sz w:val="23"/>
        </w:rPr>
      </w:pPr>
    </w:p>
    <w:p>
      <w:pPr>
        <w:pStyle w:val="BodyText"/>
        <w:spacing w:line="211" w:lineRule="auto"/>
        <w:ind w:right="38"/>
      </w:pPr>
      <w:r>
        <w:rPr>
          <w:color w:val="231F20"/>
        </w:rPr>
        <w:t>§ 2. Les ASBL acquièrent la personnalité juridique à compter du jour où est effectué le dépôt des documents visés à l’article 2:9, § 1</w:t>
      </w:r>
      <w:r>
        <w:rPr>
          <w:color w:val="231F20"/>
          <w:position w:val="7"/>
          <w:sz w:val="11"/>
        </w:rPr>
        <w:t>er</w:t>
      </w:r>
      <w:r>
        <w:rPr>
          <w:color w:val="231F20"/>
        </w:rPr>
        <w:t>, 1°, 3°  et</w:t>
      </w:r>
      <w:r>
        <w:rPr>
          <w:color w:val="231F20"/>
          <w:spacing w:val="14"/>
        </w:rPr>
        <w:t> </w:t>
      </w:r>
      <w:r>
        <w:rPr>
          <w:color w:val="231F20"/>
        </w:rPr>
        <w:t>4°.</w:t>
      </w:r>
    </w:p>
    <w:p>
      <w:pPr>
        <w:pStyle w:val="BodyText"/>
        <w:spacing w:line="218" w:lineRule="auto" w:before="94"/>
        <w:ind w:right="38"/>
      </w:pPr>
      <w:r>
        <w:rPr>
          <w:color w:val="231F20"/>
        </w:rPr>
        <w:t>§ 3. Les AISBL acquièrent la personnalité juridique à la date de l’arrêté royal portant leur reconnaissance. À cette fin, l’acte constitutif est communiqué au ministre qui a la Justice dans ses attributions avec la demande d’octroi de la personnalité juridique et d’approbation des statuts. La personnalité juridique sera accordée si l’objet de l’AISBL répond aux conditions visées à l’article 10:1.</w:t>
      </w:r>
    </w:p>
    <w:p>
      <w:pPr>
        <w:pStyle w:val="BodyText"/>
        <w:spacing w:before="4"/>
        <w:ind w:left="0" w:right="0" w:firstLine="0"/>
        <w:jc w:val="left"/>
        <w:rPr>
          <w:sz w:val="24"/>
        </w:rPr>
      </w:pPr>
    </w:p>
    <w:p>
      <w:pPr>
        <w:pStyle w:val="BodyText"/>
        <w:spacing w:line="211" w:lineRule="auto" w:before="1"/>
        <w:ind w:right="38"/>
      </w:pPr>
      <w:r>
        <w:rPr>
          <w:color w:val="231F20"/>
        </w:rPr>
        <w:t>§ 4. Les fondations privées acquièrent la personnalité juridique</w:t>
      </w:r>
      <w:r>
        <w:rPr>
          <w:color w:val="231F20"/>
          <w:spacing w:val="16"/>
        </w:rPr>
        <w:t> </w:t>
      </w:r>
      <w:r>
        <w:rPr>
          <w:color w:val="231F20"/>
        </w:rPr>
        <w:t>à compter du jour où est effectué le dépôt des documents  visés  à  l’article</w:t>
      </w:r>
      <w:r>
        <w:rPr>
          <w:color w:val="231F20"/>
          <w:spacing w:val="14"/>
        </w:rPr>
        <w:t> </w:t>
      </w:r>
      <w:r>
        <w:rPr>
          <w:color w:val="231F20"/>
        </w:rPr>
        <w:t>2:11,</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rPr>
        <w:t>1°,</w:t>
      </w:r>
      <w:r>
        <w:rPr>
          <w:color w:val="231F20"/>
          <w:spacing w:val="15"/>
        </w:rPr>
        <w:t> </w:t>
      </w:r>
      <w:r>
        <w:rPr>
          <w:color w:val="231F20"/>
        </w:rPr>
        <w:t>3°</w:t>
      </w:r>
      <w:r>
        <w:rPr>
          <w:color w:val="231F20"/>
          <w:spacing w:val="15"/>
        </w:rPr>
        <w:t> </w:t>
      </w:r>
      <w:r>
        <w:rPr>
          <w:color w:val="231F20"/>
        </w:rPr>
        <w:t>et</w:t>
      </w:r>
      <w:r>
        <w:rPr>
          <w:color w:val="231F20"/>
          <w:spacing w:val="15"/>
        </w:rPr>
        <w:t> </w:t>
      </w:r>
      <w:r>
        <w:rPr>
          <w:color w:val="231F20"/>
        </w:rPr>
        <w:t>4°.</w:t>
      </w:r>
    </w:p>
    <w:p>
      <w:pPr>
        <w:pStyle w:val="BodyText"/>
        <w:spacing w:line="218" w:lineRule="auto" w:before="93"/>
        <w:ind w:right="38"/>
      </w:pPr>
      <w:r>
        <w:rPr>
          <w:color w:val="231F20"/>
        </w:rPr>
        <w:t>Les fondations d’utilité publique acquièrent la personnalité juridique à la date de l’arrêté royal portant leur reconnaissance. À cette fin, l’acte constitutif est communiqué au ministre qui a la Justice dans ses attributions avec la demande d’octroi de la personnalité juridique et d’approbation des statuts. La personnalité juridique sera accordée si l’objet de la fondation d’utilité publique répond aux conditions visées   à l’article</w:t>
      </w:r>
      <w:r>
        <w:rPr>
          <w:color w:val="231F20"/>
          <w:spacing w:val="-11"/>
        </w:rPr>
        <w:t> </w:t>
      </w:r>
      <w:r>
        <w:rPr>
          <w:color w:val="231F20"/>
        </w:rPr>
        <w:t>11:1.</w:t>
      </w:r>
    </w:p>
    <w:p>
      <w:pPr>
        <w:pStyle w:val="BodyText"/>
        <w:spacing w:line="319" w:lineRule="auto" w:before="83"/>
        <w:ind w:left="283" w:right="2109" w:firstLine="0"/>
        <w:jc w:val="left"/>
      </w:pPr>
      <w:r>
        <w:rPr>
          <w:color w:val="231F20"/>
        </w:rPr>
        <w:t>CHAPITRE 3. Formalités de publicité. Section 1</w:t>
      </w:r>
      <w:r>
        <w:rPr>
          <w:color w:val="231F20"/>
          <w:position w:val="7"/>
          <w:sz w:val="11"/>
        </w:rPr>
        <w:t>re</w:t>
      </w:r>
      <w:r>
        <w:rPr>
          <w:color w:val="231F20"/>
        </w:rPr>
        <w:t>. Personnes morales belges.</w:t>
      </w:r>
    </w:p>
    <w:p>
      <w:pPr>
        <w:pStyle w:val="BodyText"/>
        <w:spacing w:line="208" w:lineRule="exact"/>
        <w:ind w:left="283" w:right="0" w:firstLine="0"/>
        <w:jc w:val="left"/>
      </w:pPr>
      <w:r>
        <w:rPr>
          <w:color w:val="231F20"/>
        </w:rPr>
        <w:t>Sous-section 1</w:t>
      </w:r>
      <w:r>
        <w:rPr>
          <w:color w:val="231F20"/>
          <w:position w:val="7"/>
          <w:sz w:val="11"/>
        </w:rPr>
        <w:t>re</w:t>
      </w:r>
      <w:r>
        <w:rPr>
          <w:color w:val="231F20"/>
        </w:rPr>
        <w:t>. Le dossier de la personne morale.</w:t>
      </w:r>
    </w:p>
    <w:p>
      <w:pPr>
        <w:pStyle w:val="BodyText"/>
        <w:spacing w:line="218" w:lineRule="auto" w:before="78"/>
        <w:ind w:right="38"/>
      </w:pPr>
      <w:r>
        <w:rPr>
          <w:color w:val="231F20"/>
        </w:rPr>
        <w:t>Art. 2:7. § 1</w:t>
      </w:r>
      <w:r>
        <w:rPr>
          <w:color w:val="231F20"/>
          <w:position w:val="7"/>
          <w:sz w:val="11"/>
        </w:rPr>
        <w:t>er</w:t>
      </w:r>
      <w:r>
        <w:rPr>
          <w:color w:val="231F20"/>
        </w:rPr>
        <w:t>. Sans préjudice du paragraphe 2 concernant la conservation électronique de la première version et des coordinations ultérieures des statuts, il est tenu, pour chaque personne morale, un dossier au greffe du tribunal de l’entreprise du siège de la personne morale.</w:t>
      </w:r>
    </w:p>
    <w:p>
      <w:pPr>
        <w:pStyle w:val="BodyText"/>
        <w:spacing w:line="218" w:lineRule="auto" w:before="81"/>
        <w:ind w:right="38"/>
      </w:pPr>
      <w:r>
        <w:rPr>
          <w:color w:val="231F20"/>
        </w:rPr>
        <w:t>Le dossier visé à l’alinéa 1</w:t>
      </w:r>
      <w:r>
        <w:rPr>
          <w:color w:val="231F20"/>
          <w:position w:val="7"/>
          <w:sz w:val="11"/>
        </w:rPr>
        <w:t>er </w:t>
      </w:r>
      <w:r>
        <w:rPr>
          <w:color w:val="231F20"/>
        </w:rPr>
        <w:t>tend à permettre aux tiers avec lesquels toute personne morale traite de vérifier que celle-ci est légalement constituée, qu’elle a le droit d’exercer ses activités, que ses organes de représentation ont le pouvoir de l’engager, et, dans une société, si les associés ou actionnaires ont une responsabilité illimitée ou non. Il doit aussi permettre à tout intéressé de mettre en cause la responsabilité des</w:t>
      </w:r>
    </w:p>
    <w:p>
      <w:pPr>
        <w:pStyle w:val="BodyText"/>
        <w:spacing w:line="218" w:lineRule="auto" w:before="119"/>
      </w:pPr>
      <w:r>
        <w:rPr/>
        <w:br w:type="column"/>
      </w:r>
      <w:r>
        <w:rPr>
          <w:color w:val="231F20"/>
        </w:rPr>
        <w:t>§ 2. VZW’s worden, op straffe van nietigheid, opgericht bij authen- tieke of onderhandse akte. In dat laatste geval moet de akte in afwijking van artikel 1325 van het Burgerlijk Wetboek, slechts in twee originelen worden opgesteld.</w:t>
      </w:r>
    </w:p>
    <w:p>
      <w:pPr>
        <w:pStyle w:val="BodyText"/>
        <w:spacing w:line="218" w:lineRule="auto" w:before="86"/>
      </w:pPr>
      <w:r>
        <w:rPr>
          <w:color w:val="231F20"/>
        </w:rPr>
        <w:t>De gegevens vermeld onder artikel 2:9, § 2, 2°, 3°, 4°, 5°, 6°, 7°, 8°,</w:t>
      </w:r>
      <w:r>
        <w:rPr>
          <w:color w:val="231F20"/>
          <w:spacing w:val="-11"/>
        </w:rPr>
        <w:t> </w:t>
      </w:r>
      <w:r>
        <w:rPr>
          <w:color w:val="231F20"/>
        </w:rPr>
        <w:t>9° en 10°, worden opgenomen in de statuten van de </w:t>
      </w:r>
      <w:r>
        <w:rPr>
          <w:color w:val="231F20"/>
          <w:spacing w:val="-4"/>
        </w:rPr>
        <w:t>VZW. </w:t>
      </w:r>
      <w:r>
        <w:rPr>
          <w:color w:val="231F20"/>
        </w:rPr>
        <w:t>De gegevens vermeld onder artikel 2:9, § 2, 1°, </w:t>
      </w:r>
      <w:r>
        <w:rPr>
          <w:color w:val="231F20"/>
          <w:spacing w:val="-4"/>
        </w:rPr>
        <w:t>11° </w:t>
      </w:r>
      <w:r>
        <w:rPr>
          <w:color w:val="231F20"/>
        </w:rPr>
        <w:t>en 12°, mogen worden opgenomen in</w:t>
      </w:r>
      <w:r>
        <w:rPr>
          <w:color w:val="231F20"/>
          <w:spacing w:val="15"/>
        </w:rPr>
        <w:t> </w:t>
      </w:r>
      <w:r>
        <w:rPr>
          <w:color w:val="231F20"/>
        </w:rPr>
        <w:t>de</w:t>
      </w:r>
      <w:r>
        <w:rPr>
          <w:color w:val="231F20"/>
          <w:spacing w:val="16"/>
        </w:rPr>
        <w:t> </w:t>
      </w:r>
      <w:r>
        <w:rPr>
          <w:color w:val="231F20"/>
        </w:rPr>
        <w:t>andere</w:t>
      </w:r>
      <w:r>
        <w:rPr>
          <w:color w:val="231F20"/>
          <w:spacing w:val="16"/>
        </w:rPr>
        <w:t> </w:t>
      </w:r>
      <w:r>
        <w:rPr>
          <w:color w:val="231F20"/>
        </w:rPr>
        <w:t>bepalingen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oprichtingsakte.</w:t>
      </w:r>
    </w:p>
    <w:p>
      <w:pPr>
        <w:pStyle w:val="BodyText"/>
        <w:spacing w:line="218" w:lineRule="auto" w:before="86"/>
      </w:pPr>
      <w:r>
        <w:rPr>
          <w:color w:val="231F20"/>
        </w:rPr>
        <w:t>§ 3. IVZW’s en stichtingen worden, op straffe van nietigheid, opgericht bij authentieke akte. Indien de oprichting van de stichting in de vorm van een testament gebeurt, kan de stichting giften bij testament verkrijgen niettegenstaande artikel 906, tweede lid, van het Burgerlijk Wetboek.</w:t>
      </w:r>
    </w:p>
    <w:p>
      <w:pPr>
        <w:pStyle w:val="BodyText"/>
        <w:spacing w:line="218" w:lineRule="auto" w:before="85"/>
      </w:pPr>
      <w:r>
        <w:rPr>
          <w:color w:val="231F20"/>
        </w:rPr>
        <w:t>De</w:t>
      </w:r>
      <w:r>
        <w:rPr>
          <w:color w:val="231F20"/>
          <w:spacing w:val="-4"/>
        </w:rPr>
        <w:t> </w:t>
      </w:r>
      <w:r>
        <w:rPr>
          <w:color w:val="231F20"/>
        </w:rPr>
        <w:t>gegevens</w:t>
      </w:r>
      <w:r>
        <w:rPr>
          <w:color w:val="231F20"/>
          <w:spacing w:val="-4"/>
        </w:rPr>
        <w:t> </w:t>
      </w:r>
      <w:r>
        <w:rPr>
          <w:color w:val="231F20"/>
        </w:rPr>
        <w:t>vermeld</w:t>
      </w:r>
      <w:r>
        <w:rPr>
          <w:color w:val="231F20"/>
          <w:spacing w:val="-3"/>
        </w:rPr>
        <w:t> </w:t>
      </w:r>
      <w:r>
        <w:rPr>
          <w:color w:val="231F20"/>
        </w:rPr>
        <w:t>onder</w:t>
      </w:r>
      <w:r>
        <w:rPr>
          <w:color w:val="231F20"/>
          <w:spacing w:val="-4"/>
        </w:rPr>
        <w:t> </w:t>
      </w:r>
      <w:r>
        <w:rPr>
          <w:color w:val="231F20"/>
        </w:rPr>
        <w:t>artikel</w:t>
      </w:r>
      <w:r>
        <w:rPr>
          <w:color w:val="231F20"/>
          <w:spacing w:val="-4"/>
        </w:rPr>
        <w:t> </w:t>
      </w:r>
      <w:r>
        <w:rPr>
          <w:color w:val="231F20"/>
        </w:rPr>
        <w:t>2:10,</w:t>
      </w:r>
      <w:r>
        <w:rPr>
          <w:color w:val="231F20"/>
          <w:spacing w:val="-4"/>
        </w:rPr>
        <w:t> </w:t>
      </w:r>
      <w:r>
        <w:rPr>
          <w:color w:val="231F20"/>
        </w:rPr>
        <w:t>§</w:t>
      </w:r>
      <w:r>
        <w:rPr>
          <w:color w:val="231F20"/>
          <w:spacing w:val="-4"/>
        </w:rPr>
        <w:t> </w:t>
      </w:r>
      <w:r>
        <w:rPr>
          <w:color w:val="231F20"/>
        </w:rPr>
        <w:t>2,</w:t>
      </w:r>
      <w:r>
        <w:rPr>
          <w:color w:val="231F20"/>
          <w:spacing w:val="-4"/>
        </w:rPr>
        <w:t> </w:t>
      </w:r>
      <w:r>
        <w:rPr>
          <w:color w:val="231F20"/>
        </w:rPr>
        <w:t>2°,</w:t>
      </w:r>
      <w:r>
        <w:rPr>
          <w:color w:val="231F20"/>
          <w:spacing w:val="-3"/>
        </w:rPr>
        <w:t> </w:t>
      </w:r>
      <w:r>
        <w:rPr>
          <w:color w:val="231F20"/>
        </w:rPr>
        <w:t>3°,</w:t>
      </w:r>
      <w:r>
        <w:rPr>
          <w:color w:val="231F20"/>
          <w:spacing w:val="-4"/>
        </w:rPr>
        <w:t> </w:t>
      </w:r>
      <w:r>
        <w:rPr>
          <w:color w:val="231F20"/>
        </w:rPr>
        <w:t>4°,</w:t>
      </w:r>
      <w:r>
        <w:rPr>
          <w:color w:val="231F20"/>
          <w:spacing w:val="-4"/>
        </w:rPr>
        <w:t> </w:t>
      </w:r>
      <w:r>
        <w:rPr>
          <w:color w:val="231F20"/>
        </w:rPr>
        <w:t>5°,</w:t>
      </w:r>
      <w:r>
        <w:rPr>
          <w:color w:val="231F20"/>
          <w:spacing w:val="-3"/>
        </w:rPr>
        <w:t> </w:t>
      </w:r>
      <w:r>
        <w:rPr>
          <w:color w:val="231F20"/>
        </w:rPr>
        <w:t>6°,</w:t>
      </w:r>
      <w:r>
        <w:rPr>
          <w:color w:val="231F20"/>
          <w:spacing w:val="-4"/>
        </w:rPr>
        <w:t> </w:t>
      </w:r>
      <w:r>
        <w:rPr>
          <w:color w:val="231F20"/>
        </w:rPr>
        <w:t>7°,</w:t>
      </w:r>
      <w:r>
        <w:rPr>
          <w:color w:val="231F20"/>
          <w:spacing w:val="-4"/>
        </w:rPr>
        <w:t> </w:t>
      </w:r>
      <w:r>
        <w:rPr>
          <w:color w:val="231F20"/>
        </w:rPr>
        <w:t>8°</w:t>
      </w:r>
      <w:r>
        <w:rPr>
          <w:color w:val="231F20"/>
          <w:spacing w:val="-3"/>
        </w:rPr>
        <w:t> </w:t>
      </w:r>
      <w:r>
        <w:rPr>
          <w:color w:val="231F20"/>
        </w:rPr>
        <w:t>en 9°, worden opgenomen in de statuten van de </w:t>
      </w:r>
      <w:r>
        <w:rPr>
          <w:color w:val="231F20"/>
          <w:spacing w:val="-4"/>
        </w:rPr>
        <w:t>IVZW. </w:t>
      </w:r>
      <w:r>
        <w:rPr>
          <w:color w:val="231F20"/>
        </w:rPr>
        <w:t>De gegevens vermeld onder artikel 2:10, § 2, 1°, 10° en </w:t>
      </w:r>
      <w:r>
        <w:rPr>
          <w:color w:val="231F20"/>
          <w:spacing w:val="-3"/>
        </w:rPr>
        <w:t>11°, </w:t>
      </w:r>
      <w:r>
        <w:rPr>
          <w:color w:val="231F20"/>
        </w:rPr>
        <w:t>mogen worden opgenomen</w:t>
      </w:r>
      <w:r>
        <w:rPr>
          <w:color w:val="231F20"/>
          <w:spacing w:val="17"/>
        </w:rPr>
        <w:t> </w:t>
      </w:r>
      <w:r>
        <w:rPr>
          <w:color w:val="231F20"/>
        </w:rPr>
        <w:t>in</w:t>
      </w:r>
      <w:r>
        <w:rPr>
          <w:color w:val="231F20"/>
          <w:spacing w:val="17"/>
        </w:rPr>
        <w:t> </w:t>
      </w:r>
      <w:r>
        <w:rPr>
          <w:color w:val="231F20"/>
        </w:rPr>
        <w:t>de</w:t>
      </w:r>
      <w:r>
        <w:rPr>
          <w:color w:val="231F20"/>
          <w:spacing w:val="17"/>
        </w:rPr>
        <w:t> </w:t>
      </w:r>
      <w:r>
        <w:rPr>
          <w:color w:val="231F20"/>
        </w:rPr>
        <w:t>andere</w:t>
      </w:r>
      <w:r>
        <w:rPr>
          <w:color w:val="231F20"/>
          <w:spacing w:val="18"/>
        </w:rPr>
        <w:t> </w:t>
      </w:r>
      <w:r>
        <w:rPr>
          <w:color w:val="231F20"/>
        </w:rPr>
        <w:t>bepalingen</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oprichtingsakte.</w:t>
      </w:r>
    </w:p>
    <w:p>
      <w:pPr>
        <w:pStyle w:val="BodyText"/>
        <w:spacing w:line="218" w:lineRule="auto" w:before="86"/>
      </w:pPr>
      <w:r>
        <w:rPr>
          <w:color w:val="231F20"/>
        </w:rPr>
        <w:t>De gegevens vermeld onder artikel 2:11, § 2, 2° tot 6°, worden opgenomen in de statuten van de stichting. De gegevens vermeld onder artikel 2:11, § 2, 1°, 7° en 8°, mogen worden opgenomen in de andere bepalingen van de oprichtingsakte.</w:t>
      </w:r>
    </w:p>
    <w:p>
      <w:pPr>
        <w:pStyle w:val="BodyText"/>
        <w:spacing w:line="218" w:lineRule="auto" w:before="86"/>
      </w:pPr>
      <w:r>
        <w:rPr>
          <w:color w:val="231F20"/>
        </w:rPr>
        <w:t>§ 4. Iedere statutenwijziging moet, op straffe van nietigheid, gebeu- ren in de vorm die voor de oprichtingsakte is vereist.</w:t>
      </w:r>
    </w:p>
    <w:p>
      <w:pPr>
        <w:pStyle w:val="BodyText"/>
        <w:spacing w:before="71"/>
        <w:ind w:left="283" w:right="0" w:firstLine="0"/>
        <w:jc w:val="left"/>
      </w:pPr>
      <w:r>
        <w:rPr>
          <w:color w:val="231F20"/>
        </w:rPr>
        <w:t>In afwijking van het eerste lid:</w:t>
      </w:r>
    </w:p>
    <w:p>
      <w:pPr>
        <w:pStyle w:val="BodyText"/>
        <w:spacing w:line="218" w:lineRule="auto" w:before="82"/>
      </w:pPr>
      <w:r>
        <w:rPr>
          <w:color w:val="231F20"/>
        </w:rPr>
        <w:t>1° wordt in geval van een </w:t>
      </w:r>
      <w:r>
        <w:rPr>
          <w:color w:val="231F20"/>
          <w:spacing w:val="-4"/>
        </w:rPr>
        <w:t>IVZW, </w:t>
      </w:r>
      <w:r>
        <w:rPr>
          <w:color w:val="231F20"/>
        </w:rPr>
        <w:t>enkel de wijziging van de gegevens vermeld</w:t>
      </w:r>
      <w:r>
        <w:rPr>
          <w:color w:val="231F20"/>
          <w:spacing w:val="-6"/>
        </w:rPr>
        <w:t> </w:t>
      </w:r>
      <w:r>
        <w:rPr>
          <w:color w:val="231F20"/>
        </w:rPr>
        <w:t>in</w:t>
      </w:r>
      <w:r>
        <w:rPr>
          <w:color w:val="231F20"/>
          <w:spacing w:val="-6"/>
        </w:rPr>
        <w:t> </w:t>
      </w:r>
      <w:r>
        <w:rPr>
          <w:color w:val="231F20"/>
        </w:rPr>
        <w:t>artikel</w:t>
      </w:r>
      <w:r>
        <w:rPr>
          <w:color w:val="231F20"/>
          <w:spacing w:val="-6"/>
        </w:rPr>
        <w:t> </w:t>
      </w:r>
      <w:r>
        <w:rPr>
          <w:color w:val="231F20"/>
        </w:rPr>
        <w:t>2:10,</w:t>
      </w:r>
      <w:r>
        <w:rPr>
          <w:color w:val="231F20"/>
          <w:spacing w:val="-6"/>
        </w:rPr>
        <w:t> </w:t>
      </w:r>
      <w:r>
        <w:rPr>
          <w:color w:val="231F20"/>
        </w:rPr>
        <w:t>§</w:t>
      </w:r>
      <w:r>
        <w:rPr>
          <w:color w:val="231F20"/>
          <w:spacing w:val="-6"/>
        </w:rPr>
        <w:t> </w:t>
      </w:r>
      <w:r>
        <w:rPr>
          <w:color w:val="231F20"/>
        </w:rPr>
        <w:t>2,</w:t>
      </w:r>
      <w:r>
        <w:rPr>
          <w:color w:val="231F20"/>
          <w:spacing w:val="-6"/>
        </w:rPr>
        <w:t> </w:t>
      </w:r>
      <w:r>
        <w:rPr>
          <w:color w:val="231F20"/>
        </w:rPr>
        <w:t>6°,</w:t>
      </w:r>
      <w:r>
        <w:rPr>
          <w:color w:val="231F20"/>
          <w:spacing w:val="-6"/>
        </w:rPr>
        <w:t> </w:t>
      </w:r>
      <w:r>
        <w:rPr>
          <w:color w:val="231F20"/>
        </w:rPr>
        <w:t>8°</w:t>
      </w:r>
      <w:r>
        <w:rPr>
          <w:color w:val="231F20"/>
          <w:spacing w:val="-6"/>
        </w:rPr>
        <w:t> </w:t>
      </w:r>
      <w:r>
        <w:rPr>
          <w:color w:val="231F20"/>
        </w:rPr>
        <w:t>en</w:t>
      </w:r>
      <w:r>
        <w:rPr>
          <w:color w:val="231F20"/>
          <w:spacing w:val="-6"/>
        </w:rPr>
        <w:t> </w:t>
      </w:r>
      <w:r>
        <w:rPr>
          <w:color w:val="231F20"/>
        </w:rPr>
        <w:t>9°,</w:t>
      </w:r>
      <w:r>
        <w:rPr>
          <w:color w:val="231F20"/>
          <w:spacing w:val="-6"/>
        </w:rPr>
        <w:t> </w:t>
      </w:r>
      <w:r>
        <w:rPr>
          <w:color w:val="231F20"/>
        </w:rPr>
        <w:t>bij</w:t>
      </w:r>
      <w:r>
        <w:rPr>
          <w:color w:val="231F20"/>
          <w:spacing w:val="-6"/>
        </w:rPr>
        <w:t> </w:t>
      </w:r>
      <w:r>
        <w:rPr>
          <w:color w:val="231F20"/>
        </w:rPr>
        <w:t>authentieke</w:t>
      </w:r>
      <w:r>
        <w:rPr>
          <w:color w:val="231F20"/>
          <w:spacing w:val="-6"/>
        </w:rPr>
        <w:t> </w:t>
      </w:r>
      <w:r>
        <w:rPr>
          <w:color w:val="231F20"/>
        </w:rPr>
        <w:t>akte</w:t>
      </w:r>
      <w:r>
        <w:rPr>
          <w:color w:val="231F20"/>
          <w:spacing w:val="-6"/>
        </w:rPr>
        <w:t> </w:t>
      </w:r>
      <w:r>
        <w:rPr>
          <w:color w:val="231F20"/>
        </w:rPr>
        <w:t>vastgesteld;</w:t>
      </w:r>
    </w:p>
    <w:p>
      <w:pPr>
        <w:pStyle w:val="BodyText"/>
        <w:spacing w:line="218" w:lineRule="auto" w:before="86"/>
      </w:pPr>
      <w:r>
        <w:rPr>
          <w:color w:val="231F20"/>
        </w:rPr>
        <w:t>2° wordt in geval van een stichting, enkel de wijziging van de gegevens vermeld in artikel 2:11, § 2, 3° tot 6°, bij authentieke akte vastgesteld.</w:t>
      </w:r>
    </w:p>
    <w:p>
      <w:pPr>
        <w:pStyle w:val="BodyText"/>
        <w:spacing w:line="218" w:lineRule="auto" w:before="85"/>
      </w:pPr>
      <w:r>
        <w:rPr>
          <w:color w:val="231F20"/>
        </w:rPr>
        <w:t>In geval van een IVZW en een stichting van openbaar nut moet elke wijziging van de gegevens vermeld in de artikelen 2:10, § 2, 3°, en 2:11,</w:t>
      </w:r>
    </w:p>
    <w:p>
      <w:pPr>
        <w:pStyle w:val="BodyText"/>
        <w:spacing w:line="179" w:lineRule="exact"/>
        <w:ind w:right="0" w:firstLine="0"/>
        <w:jc w:val="left"/>
      </w:pPr>
      <w:r>
        <w:rPr>
          <w:color w:val="231F20"/>
        </w:rPr>
        <w:t>§ 2, 3°, door de Koning worden goedgekeurd.</w:t>
      </w:r>
    </w:p>
    <w:p>
      <w:pPr>
        <w:pStyle w:val="BodyText"/>
        <w:spacing w:before="79"/>
        <w:ind w:left="283" w:right="0" w:firstLine="0"/>
        <w:jc w:val="left"/>
      </w:pPr>
      <w:r>
        <w:rPr>
          <w:color w:val="231F20"/>
        </w:rPr>
        <w:t>HOOFDSTUK 2. Verkrijging van de rechtspersoonlijkheid.</w:t>
      </w:r>
    </w:p>
    <w:p>
      <w:pPr>
        <w:pStyle w:val="BodyText"/>
        <w:spacing w:line="218" w:lineRule="auto" w:before="92"/>
        <w:ind w:right="125"/>
      </w:pPr>
      <w:r>
        <w:rPr>
          <w:color w:val="231F20"/>
        </w:rPr>
        <w:t>Art. 2:6. § 1. De vennootschappen verkrijgen rechtspersoonlijkheid vanaf de dag van de neerlegging van de in artikel 2:8, § 1, eerste lid, 1°, 2° en 5°, </w:t>
      </w:r>
      <w:r>
        <w:rPr>
          <w:rFonts w:ascii="Times New Roman" w:hAnsi="Times New Roman"/>
          <w:i/>
          <w:color w:val="231F20"/>
        </w:rPr>
        <w:t>a)</w:t>
      </w:r>
      <w:r>
        <w:rPr>
          <w:color w:val="231F20"/>
        </w:rPr>
        <w:t>, bedoelde stukken. Nochtans verkrijgen Europese vennoot- schappen, Europese coöperatieve vennootschappen en Europese eco- nomische samenwerkingsverbanden rechtspersoonlijkheid de dag van hun inschrijving in het rechtspersonenregister, onderdeel van de Kruispuntbank van Ondernemingen, overeenkomstig artikel 2:7, § 1, tweede lid.</w:t>
      </w:r>
    </w:p>
    <w:p>
      <w:pPr>
        <w:pStyle w:val="BodyText"/>
        <w:spacing w:line="218" w:lineRule="auto" w:before="94"/>
      </w:pPr>
      <w:r>
        <w:rPr>
          <w:color w:val="231F20"/>
        </w:rPr>
        <w:t>§ 2. De VZW’s verkrijgen rechtspersoonlijkheid vanaf de dag van de neerlegging van de in artikel 2:9, § 1, 1°, 3° en 4°, bedoelde stukken.</w:t>
      </w:r>
    </w:p>
    <w:p>
      <w:pPr>
        <w:pStyle w:val="BodyText"/>
        <w:ind w:left="0" w:right="0" w:firstLine="0"/>
        <w:jc w:val="left"/>
        <w:rPr>
          <w:sz w:val="24"/>
        </w:rPr>
      </w:pPr>
    </w:p>
    <w:p>
      <w:pPr>
        <w:pStyle w:val="BodyText"/>
        <w:spacing w:line="218" w:lineRule="auto"/>
        <w:ind w:right="123"/>
      </w:pPr>
      <w:r>
        <w:rPr>
          <w:color w:val="231F20"/>
        </w:rPr>
        <w:t>§ 3. De IVZW’s verkrijgen rechtspersoonlijkheid op de datum van het koninklijk besluit waarbij zij worden erkend. Met het oog hierop wordt de oprichtingsakte meegedeeld aan de minister die bevoegd is voor Justitie met het verzoek rechtspersoonlijkheid te verlenen en de statuten goed te keuren. Rechtspersoonlijkheid wordt verleend indien het voorwerp van de IVZW voldoet aan de in artikel 10:1 bedoelde voorwaarden.</w:t>
      </w:r>
    </w:p>
    <w:p>
      <w:pPr>
        <w:pStyle w:val="BodyText"/>
        <w:spacing w:line="218" w:lineRule="auto" w:before="96"/>
      </w:pPr>
      <w:r>
        <w:rPr>
          <w:color w:val="231F20"/>
        </w:rPr>
        <w:t>§ 4. De private stichtingen verkrijgen rechtspersoonlijkheid vanaf de dag van de neerlegging van de in artikel 2:11, § 1, 1°, 3° en 4°, bedoelde stukken.</w:t>
      </w:r>
    </w:p>
    <w:p>
      <w:pPr>
        <w:pStyle w:val="BodyText"/>
        <w:spacing w:line="218" w:lineRule="auto" w:before="97"/>
      </w:pPr>
      <w:r>
        <w:rPr>
          <w:color w:val="231F20"/>
        </w:rPr>
        <w:t>De stichtingen van openbaar nut verkrijgen rechtspersoonlijkheid op de datum van het koninklijk besluit waarbij zij worden erkend. Met het oog hierop wordt de oprichtingsakte meegedeeld aan de minister die bevoegd is voor Justitie met het verzoek rechtspersoonlijkheid te verlenen en de statuten goed te keuren. Rechtspersoonlijkheid wordt verleend indien het voorwerp van de stichting van openbaar nut voldoet</w:t>
      </w:r>
      <w:r>
        <w:rPr>
          <w:color w:val="231F20"/>
          <w:spacing w:val="17"/>
        </w:rPr>
        <w:t> </w:t>
      </w:r>
      <w:r>
        <w:rPr>
          <w:color w:val="231F20"/>
        </w:rPr>
        <w:t>aan</w:t>
      </w:r>
      <w:r>
        <w:rPr>
          <w:color w:val="231F20"/>
          <w:spacing w:val="18"/>
        </w:rPr>
        <w:t> </w:t>
      </w:r>
      <w:r>
        <w:rPr>
          <w:color w:val="231F20"/>
        </w:rPr>
        <w:t>de</w:t>
      </w:r>
      <w:r>
        <w:rPr>
          <w:color w:val="231F20"/>
          <w:spacing w:val="18"/>
        </w:rPr>
        <w:t> </w:t>
      </w:r>
      <w:r>
        <w:rPr>
          <w:color w:val="231F20"/>
        </w:rPr>
        <w:t>in</w:t>
      </w:r>
      <w:r>
        <w:rPr>
          <w:color w:val="231F20"/>
          <w:spacing w:val="18"/>
        </w:rPr>
        <w:t> </w:t>
      </w:r>
      <w:r>
        <w:rPr>
          <w:color w:val="231F20"/>
        </w:rPr>
        <w:t>artikel</w:t>
      </w:r>
      <w:r>
        <w:rPr>
          <w:color w:val="231F20"/>
          <w:spacing w:val="18"/>
        </w:rPr>
        <w:t> </w:t>
      </w:r>
      <w:r>
        <w:rPr>
          <w:color w:val="231F20"/>
          <w:spacing w:val="-3"/>
        </w:rPr>
        <w:t>11:1</w:t>
      </w:r>
      <w:r>
        <w:rPr>
          <w:color w:val="231F20"/>
          <w:spacing w:val="18"/>
        </w:rPr>
        <w:t> </w:t>
      </w:r>
      <w:r>
        <w:rPr>
          <w:color w:val="231F20"/>
        </w:rPr>
        <w:t>bedoelde</w:t>
      </w:r>
      <w:r>
        <w:rPr>
          <w:color w:val="231F20"/>
          <w:spacing w:val="17"/>
        </w:rPr>
        <w:t> </w:t>
      </w:r>
      <w:r>
        <w:rPr>
          <w:color w:val="231F20"/>
        </w:rPr>
        <w:t>voorwaarden.</w:t>
      </w:r>
    </w:p>
    <w:p>
      <w:pPr>
        <w:pStyle w:val="BodyText"/>
        <w:spacing w:line="338" w:lineRule="auto" w:before="82"/>
        <w:ind w:left="283" w:right="1017" w:firstLine="0"/>
        <w:jc w:val="left"/>
      </w:pPr>
      <w:r>
        <w:rPr>
          <w:color w:val="231F20"/>
        </w:rPr>
        <w:t>HOOFDSTUK 3. Openbaarmakingsformaliteiten. Afdeling 1. Belgische rechtspersonen.</w:t>
      </w:r>
    </w:p>
    <w:p>
      <w:pPr>
        <w:pStyle w:val="BodyText"/>
        <w:spacing w:line="192" w:lineRule="exact"/>
        <w:ind w:left="283" w:right="0" w:firstLine="0"/>
        <w:jc w:val="left"/>
      </w:pPr>
      <w:r>
        <w:rPr>
          <w:color w:val="231F20"/>
        </w:rPr>
        <w:t>Onderafdeling 1. Het dossier van de rechtspersoon.</w:t>
      </w:r>
    </w:p>
    <w:p>
      <w:pPr>
        <w:pStyle w:val="BodyText"/>
        <w:spacing w:line="218" w:lineRule="auto" w:before="93"/>
      </w:pPr>
      <w:r>
        <w:rPr>
          <w:color w:val="231F20"/>
        </w:rPr>
        <w:t>Art. 2:7. § 1. Onverminderd paragraaf 2 met betrekking tot de elektronische bewaring van de eerste versie en de latere coördinaties van de statuten, wordt op de griffie van de ondernemingsrechtbank van de zetel van de rechtspersoon, voor iedere rechtspersoon een dossier gehouden.</w:t>
      </w:r>
    </w:p>
    <w:p>
      <w:pPr>
        <w:pStyle w:val="BodyText"/>
        <w:spacing w:line="218" w:lineRule="auto" w:before="96"/>
        <w:ind w:right="123"/>
      </w:pPr>
      <w:r>
        <w:rPr>
          <w:color w:val="231F20"/>
        </w:rPr>
        <w:t>Het in het eerste lid bedoelde dossier strekt ertoe derden waarmee elke rechtspersoon handelt of te maken heeft na te gaan of die rechtspersoon geldig is opgericht, of hij het recht heeft zijn activiteiten uit te oefenen, of zijn vertegenwoordigingsorganen het recht hebben hem te verbinden, en of, in een vennootschap, de vennoten of aandeelhouders al dan niet onbeperkt aansprakelijk zijn. Dit dossier</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0" w:firstLine="0"/>
        <w:jc w:val="left"/>
      </w:pPr>
      <w:r>
        <w:rPr/>
        <w:pict>
          <v:line style="position:absolute;mso-position-horizontal-relative:page;mso-position-vertical-relative:page;z-index:1264" from="298.170502pt,64.473pt" to="298.170502pt,812.819pt" stroked="true" strokeweight=".533pt" strokecolor="#231f20">
            <v:stroke dashstyle="solid"/>
            <w10:wrap type="none"/>
          </v:line>
        </w:pict>
      </w:r>
      <w:bookmarkStart w:name="_bookmark10" w:id="12"/>
      <w:bookmarkEnd w:id="12"/>
      <w:r>
        <w:rPr/>
      </w:r>
      <w:r>
        <w:rPr>
          <w:color w:val="231F20"/>
        </w:rPr>
        <w:t>membres des organes chargés de l’administration, de la surveillance ou du contrôle des personnes morales.</w:t>
      </w:r>
    </w:p>
    <w:p>
      <w:pPr>
        <w:pStyle w:val="BodyText"/>
        <w:spacing w:before="11"/>
        <w:ind w:left="0" w:right="0" w:firstLine="0"/>
        <w:jc w:val="left"/>
        <w:rPr>
          <w:sz w:val="22"/>
        </w:rPr>
      </w:pPr>
    </w:p>
    <w:p>
      <w:pPr>
        <w:pStyle w:val="BodyText"/>
        <w:spacing w:line="218" w:lineRule="auto"/>
        <w:ind w:right="38"/>
      </w:pPr>
      <w:r>
        <w:rPr>
          <w:color w:val="231F20"/>
        </w:rPr>
        <w:t>La personne morale est inscrite au registre des personnes morales, répertoire de la Banque-Carrefour des Entreprises.</w:t>
      </w:r>
    </w:p>
    <w:p>
      <w:pPr>
        <w:pStyle w:val="BodyText"/>
        <w:spacing w:line="218" w:lineRule="auto" w:before="85"/>
        <w:ind w:right="38"/>
      </w:pPr>
      <w:r>
        <w:rPr>
          <w:color w:val="231F20"/>
        </w:rPr>
        <w:t>§ 2. Le texte de la première version des statuts issue de l’acte constitutif et de la version coordonnée des statuts après chaque modification,</w:t>
      </w:r>
      <w:r>
        <w:rPr>
          <w:color w:val="231F20"/>
          <w:spacing w:val="-6"/>
        </w:rPr>
        <w:t> </w:t>
      </w:r>
      <w:r>
        <w:rPr>
          <w:color w:val="231F20"/>
        </w:rPr>
        <w:t>visé</w:t>
      </w:r>
      <w:r>
        <w:rPr>
          <w:color w:val="231F20"/>
          <w:spacing w:val="-5"/>
        </w:rPr>
        <w:t> </w:t>
      </w:r>
      <w:r>
        <w:rPr>
          <w:color w:val="231F20"/>
        </w:rPr>
        <w:t>aux</w:t>
      </w:r>
      <w:r>
        <w:rPr>
          <w:color w:val="231F20"/>
          <w:spacing w:val="-5"/>
        </w:rPr>
        <w:t> </w:t>
      </w:r>
      <w:r>
        <w:rPr>
          <w:color w:val="231F20"/>
        </w:rPr>
        <w:t>articles</w:t>
      </w:r>
      <w:r>
        <w:rPr>
          <w:color w:val="231F20"/>
          <w:spacing w:val="-5"/>
        </w:rPr>
        <w:t> </w:t>
      </w:r>
      <w:r>
        <w:rPr>
          <w:color w:val="231F20"/>
        </w:rPr>
        <w:t>2:8,</w:t>
      </w:r>
      <w:r>
        <w:rPr>
          <w:color w:val="231F20"/>
          <w:spacing w:val="-5"/>
        </w:rPr>
        <w:t> </w:t>
      </w:r>
      <w:r>
        <w:rPr>
          <w:color w:val="231F20"/>
        </w:rPr>
        <w:t>2:9,</w:t>
      </w:r>
      <w:r>
        <w:rPr>
          <w:color w:val="231F20"/>
          <w:spacing w:val="-5"/>
        </w:rPr>
        <w:t> </w:t>
      </w:r>
      <w:r>
        <w:rPr>
          <w:color w:val="231F20"/>
        </w:rPr>
        <w:t>2:10</w:t>
      </w:r>
      <w:r>
        <w:rPr>
          <w:color w:val="231F20"/>
          <w:spacing w:val="-5"/>
        </w:rPr>
        <w:t> </w:t>
      </w:r>
      <w:r>
        <w:rPr>
          <w:color w:val="231F20"/>
        </w:rPr>
        <w:t>et</w:t>
      </w:r>
      <w:r>
        <w:rPr>
          <w:color w:val="231F20"/>
          <w:spacing w:val="-5"/>
        </w:rPr>
        <w:t> </w:t>
      </w:r>
      <w:r>
        <w:rPr>
          <w:color w:val="231F20"/>
        </w:rPr>
        <w:t>2:11,</w:t>
      </w:r>
      <w:r>
        <w:rPr>
          <w:color w:val="231F20"/>
          <w:spacing w:val="-5"/>
        </w:rPr>
        <w:t> </w:t>
      </w:r>
      <w:r>
        <w:rPr>
          <w:color w:val="231F20"/>
        </w:rPr>
        <w:t>est</w:t>
      </w:r>
      <w:r>
        <w:rPr>
          <w:color w:val="231F20"/>
          <w:spacing w:val="-5"/>
        </w:rPr>
        <w:t> </w:t>
      </w:r>
      <w:r>
        <w:rPr>
          <w:color w:val="231F20"/>
        </w:rPr>
        <w:t>conservé</w:t>
      </w:r>
      <w:r>
        <w:rPr>
          <w:color w:val="231F20"/>
          <w:spacing w:val="-5"/>
        </w:rPr>
        <w:t> </w:t>
      </w:r>
      <w:r>
        <w:rPr>
          <w:color w:val="231F20"/>
        </w:rPr>
        <w:t>dans</w:t>
      </w:r>
      <w:r>
        <w:rPr>
          <w:color w:val="231F20"/>
          <w:spacing w:val="-5"/>
        </w:rPr>
        <w:t> </w:t>
      </w:r>
      <w:r>
        <w:rPr>
          <w:color w:val="231F20"/>
        </w:rPr>
        <w:t>un système de base de données électronique consultable publiquement, qui fait partie du dossier de la personne morale et qui est géré, pour les statuts et leurs mises-à-jour qui découlent d’actes notariés reçus</w:t>
      </w:r>
      <w:r>
        <w:rPr>
          <w:color w:val="231F20"/>
          <w:spacing w:val="16"/>
        </w:rPr>
        <w:t> </w:t>
      </w:r>
      <w:r>
        <w:rPr>
          <w:color w:val="231F20"/>
        </w:rPr>
        <w:t>en Belgique, par la Fédération Royale du Notariat belge et pour les autres par</w:t>
      </w:r>
      <w:r>
        <w:rPr>
          <w:color w:val="231F20"/>
          <w:spacing w:val="15"/>
        </w:rPr>
        <w:t> </w:t>
      </w:r>
      <w:r>
        <w:rPr>
          <w:color w:val="231F20"/>
        </w:rPr>
        <w:t>une</w:t>
      </w:r>
      <w:r>
        <w:rPr>
          <w:color w:val="231F20"/>
          <w:spacing w:val="15"/>
        </w:rPr>
        <w:t> </w:t>
      </w:r>
      <w:r>
        <w:rPr>
          <w:color w:val="231F20"/>
        </w:rPr>
        <w:t>instance</w:t>
      </w:r>
      <w:r>
        <w:rPr>
          <w:color w:val="231F20"/>
          <w:spacing w:val="15"/>
        </w:rPr>
        <w:t> </w:t>
      </w:r>
      <w:r>
        <w:rPr>
          <w:color w:val="231F20"/>
        </w:rPr>
        <w:t>à</w:t>
      </w:r>
      <w:r>
        <w:rPr>
          <w:color w:val="231F20"/>
          <w:spacing w:val="15"/>
        </w:rPr>
        <w:t> </w:t>
      </w:r>
      <w:r>
        <w:rPr>
          <w:color w:val="231F20"/>
        </w:rPr>
        <w:t>désigner</w:t>
      </w:r>
      <w:r>
        <w:rPr>
          <w:color w:val="231F20"/>
          <w:spacing w:val="15"/>
        </w:rPr>
        <w:t> </w:t>
      </w:r>
      <w:r>
        <w:rPr>
          <w:color w:val="231F20"/>
        </w:rPr>
        <w:t>par</w:t>
      </w:r>
      <w:r>
        <w:rPr>
          <w:color w:val="231F20"/>
          <w:spacing w:val="15"/>
        </w:rPr>
        <w:t> </w:t>
      </w:r>
      <w:r>
        <w:rPr>
          <w:color w:val="231F20"/>
        </w:rPr>
        <w:t>le</w:t>
      </w:r>
      <w:r>
        <w:rPr>
          <w:color w:val="231F20"/>
          <w:spacing w:val="15"/>
        </w:rPr>
        <w:t> </w:t>
      </w:r>
      <w:r>
        <w:rPr>
          <w:color w:val="231F20"/>
        </w:rPr>
        <w:t>Roi.</w:t>
      </w:r>
    </w:p>
    <w:p>
      <w:pPr>
        <w:pStyle w:val="BodyText"/>
        <w:spacing w:before="1"/>
        <w:ind w:left="0" w:right="0" w:firstLine="0"/>
        <w:jc w:val="left"/>
        <w:rPr>
          <w:sz w:val="23"/>
        </w:rPr>
      </w:pPr>
    </w:p>
    <w:p>
      <w:pPr>
        <w:pStyle w:val="BodyText"/>
        <w:spacing w:line="218" w:lineRule="auto"/>
        <w:ind w:right="38"/>
      </w:pPr>
      <w:r>
        <w:rPr>
          <w:color w:val="231F20"/>
        </w:rPr>
        <w:t>§ 3. Le Roi détermine les modalités de constitution du dossier et la forme sous laquelle les actes, extraits et décisions doivent être déposés, ainsi que le montant de la redevance imputée à l’intéressé. Il détermine également les modalités du traitement automatisé des données du dossier, ainsi que de la mise en relation des fichiers de données. Aux conditions déterminées par le Roi, les copies font foi comme les documents originaux et peuvent leur être substituées.</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Le Roi détermine les modalités d’inscription des personnes morales et d’autres données pertinentes à la Banque-Carrefour des Entreprises.</w:t>
      </w:r>
    </w:p>
    <w:p>
      <w:pPr>
        <w:pStyle w:val="BodyText"/>
        <w:ind w:left="0" w:right="0" w:firstLine="0"/>
        <w:jc w:val="left"/>
        <w:rPr>
          <w:sz w:val="23"/>
        </w:rPr>
      </w:pPr>
    </w:p>
    <w:p>
      <w:pPr>
        <w:pStyle w:val="BodyText"/>
        <w:spacing w:line="218" w:lineRule="auto"/>
        <w:ind w:right="38"/>
      </w:pPr>
      <w:r>
        <w:rPr>
          <w:color w:val="231F20"/>
        </w:rPr>
        <w:t>§ 4. Les données à caractère personnel sont conservées pendant une durée n’excédant pas celle nécessaire aux finalités pour lesquelles elles sont enregistrées et selon les modalités déterminées dans le présent code.</w:t>
      </w:r>
    </w:p>
    <w:p>
      <w:pPr>
        <w:pStyle w:val="BodyText"/>
        <w:spacing w:line="218" w:lineRule="auto" w:before="85"/>
        <w:ind w:right="38"/>
      </w:pPr>
      <w:r>
        <w:rPr>
          <w:color w:val="231F20"/>
        </w:rPr>
        <w:t>§ 5. Chaque fondateur, associé, actionnaire ou membre, et, sans préjudice de l’article 2:54, chaque membre d’un organe d’administra- tion, délégué à la gestion journalière, commissaire, liquidateur ou administrateur provisoire peut élire domicile au lieu où il poursuit son activité professionnelle. Dans ce cas, seule cette adresse sera commu- niquée en cas de consultation du dossier.</w:t>
      </w:r>
    </w:p>
    <w:p>
      <w:pPr>
        <w:pStyle w:val="BodyText"/>
        <w:spacing w:line="218" w:lineRule="auto" w:before="71"/>
        <w:ind w:right="38"/>
      </w:pPr>
      <w:r>
        <w:rPr>
          <w:color w:val="231F20"/>
        </w:rPr>
        <w:t>Art. 2:8. § 1</w:t>
      </w:r>
      <w:r>
        <w:rPr>
          <w:color w:val="231F20"/>
          <w:position w:val="7"/>
          <w:sz w:val="11"/>
        </w:rPr>
        <w:t>er</w:t>
      </w:r>
      <w:r>
        <w:rPr>
          <w:color w:val="231F20"/>
        </w:rPr>
        <w:t>. Afin d’être versés au dossier de la société, les documents suivants sont déposés pour les sociétés dans les trente jours, à compter de la date de l’acte définitif, du prononcé du jugement exécutoire par provision ou de la date à laquelle le jugement est passé en force de chose jugée:</w:t>
      </w:r>
    </w:p>
    <w:p>
      <w:pPr>
        <w:pStyle w:val="BodyText"/>
        <w:spacing w:line="218" w:lineRule="auto" w:before="86"/>
        <w:ind w:right="38"/>
      </w:pPr>
      <w:r>
        <w:rPr>
          <w:color w:val="231F20"/>
        </w:rPr>
        <w:t>1° une expédition de l’acte constitutif authentique ou un double de l’acte constitutif sous seing privé;</w:t>
      </w:r>
    </w:p>
    <w:p>
      <w:pPr>
        <w:pStyle w:val="BodyText"/>
        <w:spacing w:before="71"/>
        <w:ind w:left="283" w:right="0" w:firstLine="0"/>
        <w:jc w:val="left"/>
      </w:pPr>
      <w:r>
        <w:rPr>
          <w:color w:val="231F20"/>
        </w:rPr>
        <w:t>2° l’extrait de l’acte constitutif visé au paragraphe 2;</w:t>
      </w:r>
    </w:p>
    <w:p>
      <w:pPr>
        <w:pStyle w:val="BodyText"/>
        <w:spacing w:line="218" w:lineRule="auto" w:before="82"/>
        <w:ind w:right="38"/>
      </w:pPr>
      <w:r>
        <w:rPr>
          <w:color w:val="231F20"/>
        </w:rPr>
        <w:t>3° une expédition des procurations authentiques ou un original des procurations sous seing privé relatives à l’acte constitutif sous seing privé;</w:t>
      </w:r>
    </w:p>
    <w:p>
      <w:pPr>
        <w:pStyle w:val="BodyText"/>
        <w:spacing w:line="218" w:lineRule="auto" w:before="86"/>
        <w:ind w:right="38"/>
      </w:pPr>
      <w:r>
        <w:rPr>
          <w:color w:val="231F20"/>
        </w:rPr>
        <w:t>4° la première version du texte des statuts ainsi que l’acte constitutif, et le texte coordonné de ces statuts mis à jour ainsi que chaque modification des statuts y compris, le cas échéant, tout changement dans la composition d’un groupement européen d’intérêt économique;</w:t>
      </w:r>
    </w:p>
    <w:p>
      <w:pPr>
        <w:pStyle w:val="BodyText"/>
        <w:ind w:left="0" w:right="0" w:firstLine="0"/>
        <w:jc w:val="left"/>
        <w:rPr>
          <w:sz w:val="23"/>
        </w:rPr>
      </w:pPr>
    </w:p>
    <w:p>
      <w:pPr>
        <w:pStyle w:val="BodyText"/>
        <w:spacing w:line="218" w:lineRule="auto"/>
        <w:ind w:right="38"/>
      </w:pPr>
      <w:r>
        <w:rPr>
          <w:color w:val="231F20"/>
        </w:rPr>
        <w:t>5° l’extrait des actes relatifs à la nomination et à la cessation des fonctions:</w:t>
      </w:r>
    </w:p>
    <w:p>
      <w:pPr>
        <w:pStyle w:val="ListParagraph"/>
        <w:numPr>
          <w:ilvl w:val="0"/>
          <w:numId w:val="6"/>
        </w:numPr>
        <w:tabs>
          <w:tab w:pos="472" w:val="left" w:leader="none"/>
        </w:tabs>
        <w:spacing w:line="240" w:lineRule="auto" w:before="68" w:after="0"/>
        <w:ind w:left="471" w:right="0" w:hanging="188"/>
        <w:jc w:val="left"/>
        <w:rPr>
          <w:sz w:val="17"/>
        </w:rPr>
      </w:pPr>
      <w:r>
        <w:rPr>
          <w:color w:val="231F20"/>
          <w:sz w:val="17"/>
        </w:rPr>
        <w:t>des</w:t>
      </w:r>
      <w:r>
        <w:rPr>
          <w:color w:val="231F20"/>
          <w:spacing w:val="9"/>
          <w:sz w:val="17"/>
        </w:rPr>
        <w:t> </w:t>
      </w:r>
      <w:r>
        <w:rPr>
          <w:color w:val="231F20"/>
          <w:sz w:val="17"/>
        </w:rPr>
        <w:t>personnes</w:t>
      </w:r>
      <w:r>
        <w:rPr>
          <w:color w:val="231F20"/>
          <w:spacing w:val="10"/>
          <w:sz w:val="17"/>
        </w:rPr>
        <w:t> </w:t>
      </w:r>
      <w:r>
        <w:rPr>
          <w:color w:val="231F20"/>
          <w:sz w:val="17"/>
        </w:rPr>
        <w:t>autorisées</w:t>
      </w:r>
      <w:r>
        <w:rPr>
          <w:color w:val="231F20"/>
          <w:spacing w:val="10"/>
          <w:sz w:val="17"/>
        </w:rPr>
        <w:t> </w:t>
      </w:r>
      <w:r>
        <w:rPr>
          <w:color w:val="231F20"/>
          <w:sz w:val="17"/>
        </w:rPr>
        <w:t>à</w:t>
      </w:r>
      <w:r>
        <w:rPr>
          <w:color w:val="231F20"/>
          <w:spacing w:val="10"/>
          <w:sz w:val="17"/>
        </w:rPr>
        <w:t> </w:t>
      </w:r>
      <w:r>
        <w:rPr>
          <w:color w:val="231F20"/>
          <w:sz w:val="17"/>
        </w:rPr>
        <w:t>administrer</w:t>
      </w:r>
      <w:r>
        <w:rPr>
          <w:color w:val="231F20"/>
          <w:spacing w:val="9"/>
          <w:sz w:val="17"/>
        </w:rPr>
        <w:t> </w:t>
      </w:r>
      <w:r>
        <w:rPr>
          <w:color w:val="231F20"/>
          <w:sz w:val="17"/>
        </w:rPr>
        <w:t>et</w:t>
      </w:r>
      <w:r>
        <w:rPr>
          <w:color w:val="231F20"/>
          <w:spacing w:val="10"/>
          <w:sz w:val="17"/>
        </w:rPr>
        <w:t> </w:t>
      </w:r>
      <w:r>
        <w:rPr>
          <w:color w:val="231F20"/>
          <w:sz w:val="17"/>
        </w:rPr>
        <w:t>à</w:t>
      </w:r>
      <w:r>
        <w:rPr>
          <w:color w:val="231F20"/>
          <w:spacing w:val="10"/>
          <w:sz w:val="17"/>
        </w:rPr>
        <w:t> </w:t>
      </w:r>
      <w:r>
        <w:rPr>
          <w:color w:val="231F20"/>
          <w:sz w:val="17"/>
        </w:rPr>
        <w:t>représenter</w:t>
      </w:r>
      <w:r>
        <w:rPr>
          <w:color w:val="231F20"/>
          <w:spacing w:val="10"/>
          <w:sz w:val="17"/>
        </w:rPr>
        <w:t> </w:t>
      </w:r>
      <w:r>
        <w:rPr>
          <w:color w:val="231F20"/>
          <w:sz w:val="17"/>
        </w:rPr>
        <w:t>la</w:t>
      </w:r>
      <w:r>
        <w:rPr>
          <w:color w:val="231F20"/>
          <w:spacing w:val="10"/>
          <w:sz w:val="17"/>
        </w:rPr>
        <w:t> </w:t>
      </w:r>
      <w:r>
        <w:rPr>
          <w:color w:val="231F20"/>
          <w:sz w:val="17"/>
        </w:rPr>
        <w:t>société;</w:t>
      </w:r>
    </w:p>
    <w:p>
      <w:pPr>
        <w:pStyle w:val="BodyText"/>
        <w:spacing w:before="3"/>
        <w:ind w:left="0" w:right="0" w:firstLine="0"/>
        <w:jc w:val="left"/>
        <w:rPr>
          <w:sz w:val="21"/>
        </w:rPr>
      </w:pPr>
    </w:p>
    <w:p>
      <w:pPr>
        <w:pStyle w:val="ListParagraph"/>
        <w:numPr>
          <w:ilvl w:val="0"/>
          <w:numId w:val="6"/>
        </w:numPr>
        <w:tabs>
          <w:tab w:pos="477" w:val="left" w:leader="none"/>
        </w:tabs>
        <w:spacing w:line="240" w:lineRule="auto" w:before="0" w:after="0"/>
        <w:ind w:left="476" w:right="0" w:hanging="193"/>
        <w:jc w:val="left"/>
        <w:rPr>
          <w:sz w:val="17"/>
        </w:rPr>
      </w:pPr>
      <w:r>
        <w:rPr>
          <w:color w:val="231F20"/>
          <w:sz w:val="17"/>
        </w:rPr>
        <w:t>des</w:t>
      </w:r>
      <w:r>
        <w:rPr>
          <w:color w:val="231F20"/>
          <w:spacing w:val="14"/>
          <w:sz w:val="17"/>
        </w:rPr>
        <w:t> </w:t>
      </w:r>
      <w:r>
        <w:rPr>
          <w:color w:val="231F20"/>
          <w:sz w:val="17"/>
        </w:rPr>
        <w:t>commissaires;</w:t>
      </w:r>
    </w:p>
    <w:p>
      <w:pPr>
        <w:pStyle w:val="ListParagraph"/>
        <w:numPr>
          <w:ilvl w:val="0"/>
          <w:numId w:val="6"/>
        </w:numPr>
        <w:tabs>
          <w:tab w:pos="467" w:val="left" w:leader="none"/>
        </w:tabs>
        <w:spacing w:line="240" w:lineRule="auto" w:before="65" w:after="0"/>
        <w:ind w:left="466" w:right="0" w:hanging="183"/>
        <w:jc w:val="left"/>
        <w:rPr>
          <w:sz w:val="17"/>
        </w:rPr>
      </w:pPr>
      <w:r>
        <w:rPr>
          <w:color w:val="231F20"/>
          <w:sz w:val="17"/>
        </w:rPr>
        <w:t>des</w:t>
      </w:r>
      <w:r>
        <w:rPr>
          <w:color w:val="231F20"/>
          <w:spacing w:val="15"/>
          <w:sz w:val="17"/>
        </w:rPr>
        <w:t> </w:t>
      </w:r>
      <w:r>
        <w:rPr>
          <w:color w:val="231F20"/>
          <w:sz w:val="17"/>
        </w:rPr>
        <w:t>liquidateurs;</w:t>
      </w:r>
    </w:p>
    <w:p>
      <w:pPr>
        <w:pStyle w:val="ListParagraph"/>
        <w:numPr>
          <w:ilvl w:val="0"/>
          <w:numId w:val="6"/>
        </w:numPr>
        <w:tabs>
          <w:tab w:pos="483" w:val="left" w:leader="none"/>
        </w:tabs>
        <w:spacing w:line="240" w:lineRule="auto" w:before="65" w:after="0"/>
        <w:ind w:left="482" w:right="0" w:hanging="199"/>
        <w:jc w:val="left"/>
        <w:rPr>
          <w:sz w:val="17"/>
        </w:rPr>
      </w:pPr>
      <w:r>
        <w:rPr>
          <w:color w:val="231F20"/>
          <w:sz w:val="17"/>
        </w:rPr>
        <w:t>des administrateurs</w:t>
      </w:r>
      <w:r>
        <w:rPr>
          <w:color w:val="231F20"/>
          <w:spacing w:val="-12"/>
          <w:sz w:val="17"/>
        </w:rPr>
        <w:t> </w:t>
      </w:r>
      <w:r>
        <w:rPr>
          <w:color w:val="231F20"/>
          <w:sz w:val="17"/>
        </w:rPr>
        <w:t>provisoires;</w:t>
      </w:r>
    </w:p>
    <w:p>
      <w:pPr>
        <w:pStyle w:val="ListParagraph"/>
        <w:numPr>
          <w:ilvl w:val="0"/>
          <w:numId w:val="6"/>
        </w:numPr>
        <w:tabs>
          <w:tab w:pos="464" w:val="left" w:leader="none"/>
        </w:tabs>
        <w:spacing w:line="240" w:lineRule="auto" w:before="65" w:after="0"/>
        <w:ind w:left="463" w:right="0" w:hanging="180"/>
        <w:jc w:val="left"/>
        <w:rPr>
          <w:sz w:val="17"/>
        </w:rPr>
      </w:pPr>
      <w:r>
        <w:rPr>
          <w:color w:val="231F20"/>
          <w:sz w:val="17"/>
        </w:rPr>
        <w:t>des</w:t>
      </w:r>
      <w:r>
        <w:rPr>
          <w:color w:val="231F20"/>
          <w:spacing w:val="15"/>
          <w:sz w:val="17"/>
        </w:rPr>
        <w:t> </w:t>
      </w:r>
      <w:r>
        <w:rPr>
          <w:color w:val="231F20"/>
          <w:sz w:val="17"/>
        </w:rPr>
        <w:t>membres</w:t>
      </w:r>
      <w:r>
        <w:rPr>
          <w:color w:val="231F20"/>
          <w:spacing w:val="15"/>
          <w:sz w:val="17"/>
        </w:rPr>
        <w:t> </w:t>
      </w:r>
      <w:r>
        <w:rPr>
          <w:color w:val="231F20"/>
          <w:sz w:val="17"/>
        </w:rPr>
        <w:t>du</w:t>
      </w:r>
      <w:r>
        <w:rPr>
          <w:color w:val="231F20"/>
          <w:spacing w:val="16"/>
          <w:sz w:val="17"/>
        </w:rPr>
        <w:t> </w:t>
      </w:r>
      <w:r>
        <w:rPr>
          <w:color w:val="231F20"/>
          <w:sz w:val="17"/>
        </w:rPr>
        <w:t>conseil</w:t>
      </w:r>
      <w:r>
        <w:rPr>
          <w:color w:val="231F20"/>
          <w:spacing w:val="15"/>
          <w:sz w:val="17"/>
        </w:rPr>
        <w:t> </w:t>
      </w:r>
      <w:r>
        <w:rPr>
          <w:color w:val="231F20"/>
          <w:sz w:val="17"/>
        </w:rPr>
        <w:t>de</w:t>
      </w:r>
      <w:r>
        <w:rPr>
          <w:color w:val="231F20"/>
          <w:spacing w:val="15"/>
          <w:sz w:val="17"/>
        </w:rPr>
        <w:t> </w:t>
      </w:r>
      <w:r>
        <w:rPr>
          <w:color w:val="231F20"/>
          <w:sz w:val="17"/>
        </w:rPr>
        <w:t>surveillance;</w:t>
      </w:r>
    </w:p>
    <w:p>
      <w:pPr>
        <w:pStyle w:val="BodyText"/>
        <w:spacing w:line="218" w:lineRule="auto" w:before="82"/>
        <w:ind w:right="38"/>
      </w:pPr>
      <w:r>
        <w:rPr>
          <w:color w:val="231F20"/>
        </w:rPr>
        <w:t>6° l’extrait de la décision judiciaire passée en force de chose jugée ou exécutoire par provision prononçant la nullité ou la dissolution de la société, ainsi que l’extrait de la décision judiciaire réformant le jugement exécutoire par provision précité;</w:t>
      </w:r>
    </w:p>
    <w:p>
      <w:pPr>
        <w:pStyle w:val="BodyText"/>
        <w:ind w:left="0" w:right="0" w:firstLine="0"/>
        <w:jc w:val="left"/>
        <w:rPr>
          <w:sz w:val="23"/>
        </w:rPr>
      </w:pPr>
    </w:p>
    <w:p>
      <w:pPr>
        <w:pStyle w:val="BodyText"/>
        <w:spacing w:line="218" w:lineRule="auto"/>
        <w:ind w:right="38"/>
      </w:pPr>
      <w:r>
        <w:rPr>
          <w:color w:val="231F20"/>
        </w:rPr>
        <w:t>7° une déclaration, signée par les organes compétents de la société, constatant:</w:t>
      </w:r>
    </w:p>
    <w:p>
      <w:pPr>
        <w:pStyle w:val="ListParagraph"/>
        <w:numPr>
          <w:ilvl w:val="0"/>
          <w:numId w:val="7"/>
        </w:numPr>
        <w:tabs>
          <w:tab w:pos="474" w:val="left" w:leader="none"/>
        </w:tabs>
        <w:spacing w:line="240" w:lineRule="auto" w:before="69" w:after="0"/>
        <w:ind w:left="113" w:right="0" w:firstLine="170"/>
        <w:jc w:val="left"/>
        <w:rPr>
          <w:sz w:val="17"/>
        </w:rPr>
      </w:pPr>
      <w:r>
        <w:rPr>
          <w:color w:val="231F20"/>
          <w:sz w:val="17"/>
        </w:rPr>
        <w:t>la dissolution de la</w:t>
      </w:r>
      <w:r>
        <w:rPr>
          <w:color w:val="231F20"/>
          <w:spacing w:val="18"/>
          <w:sz w:val="17"/>
        </w:rPr>
        <w:t> </w:t>
      </w:r>
      <w:r>
        <w:rPr>
          <w:color w:val="231F20"/>
          <w:sz w:val="17"/>
        </w:rPr>
        <w:t>société;</w:t>
      </w:r>
    </w:p>
    <w:p>
      <w:pPr>
        <w:pStyle w:val="ListParagraph"/>
        <w:numPr>
          <w:ilvl w:val="0"/>
          <w:numId w:val="7"/>
        </w:numPr>
        <w:tabs>
          <w:tab w:pos="459" w:val="left" w:leader="none"/>
        </w:tabs>
        <w:spacing w:line="218" w:lineRule="auto" w:before="90" w:after="0"/>
        <w:ind w:left="113" w:right="38" w:firstLine="170"/>
        <w:jc w:val="both"/>
        <w:rPr>
          <w:sz w:val="17"/>
        </w:rPr>
      </w:pPr>
      <w:r>
        <w:rPr>
          <w:color w:val="231F20"/>
          <w:sz w:val="17"/>
        </w:rPr>
        <w:t>le fait que la fonction d’une des personnes mentionnées au 5° a</w:t>
      </w:r>
      <w:r>
        <w:rPr>
          <w:color w:val="231F20"/>
          <w:spacing w:val="-24"/>
          <w:sz w:val="17"/>
        </w:rPr>
        <w:t> </w:t>
      </w:r>
      <w:r>
        <w:rPr>
          <w:color w:val="231F20"/>
          <w:sz w:val="17"/>
        </w:rPr>
        <w:t>pris fin de plein</w:t>
      </w:r>
      <w:r>
        <w:rPr>
          <w:color w:val="231F20"/>
          <w:spacing w:val="3"/>
          <w:sz w:val="17"/>
        </w:rPr>
        <w:t> </w:t>
      </w:r>
      <w:r>
        <w:rPr>
          <w:color w:val="231F20"/>
          <w:sz w:val="17"/>
        </w:rPr>
        <w:t>droit;</w:t>
      </w:r>
    </w:p>
    <w:p>
      <w:pPr>
        <w:pStyle w:val="BodyText"/>
        <w:spacing w:line="218" w:lineRule="auto" w:before="96"/>
        <w:ind w:right="38"/>
      </w:pPr>
      <w:r>
        <w:rPr>
          <w:color w:val="231F20"/>
        </w:rPr>
        <w:t>8° les actes ou extraits d’actes dont le dépôt est prescrit par le présent code;</w:t>
      </w:r>
    </w:p>
    <w:p>
      <w:pPr>
        <w:pStyle w:val="BodyText"/>
        <w:spacing w:line="218" w:lineRule="auto" w:before="96"/>
        <w:ind w:right="38"/>
      </w:pPr>
      <w:r>
        <w:rPr>
          <w:color w:val="231F20"/>
        </w:rPr>
        <w:t>9° les actes apportant une modification aux dispositions des actes dont le présent code prescrit le dépôt;</w:t>
      </w:r>
    </w:p>
    <w:p>
      <w:pPr>
        <w:pStyle w:val="BodyText"/>
        <w:spacing w:line="218" w:lineRule="auto" w:before="119"/>
        <w:ind w:firstLine="0"/>
      </w:pPr>
      <w:r>
        <w:rPr/>
        <w:br w:type="column"/>
      </w:r>
      <w:r>
        <w:rPr>
          <w:color w:val="231F20"/>
        </w:rPr>
        <w:t>stelt elke belanghebbende in staat de leden van de organen belast met het bestuur, het toezicht of de controle van rechtspersonen ter verantwoording te roepen.</w:t>
      </w:r>
    </w:p>
    <w:p>
      <w:pPr>
        <w:pStyle w:val="BodyText"/>
        <w:spacing w:line="218" w:lineRule="auto" w:before="86"/>
        <w:ind w:right="123"/>
      </w:pPr>
      <w:r>
        <w:rPr>
          <w:color w:val="231F20"/>
        </w:rPr>
        <w:t>De rechtspersoon wordt ingeschreven in het rechtspersonenregister, onderdeel van de Kruispuntbank van ondernemingen.</w:t>
      </w:r>
    </w:p>
    <w:p>
      <w:pPr>
        <w:pStyle w:val="BodyText"/>
        <w:spacing w:line="218" w:lineRule="auto" w:before="85"/>
      </w:pPr>
      <w:r>
        <w:rPr>
          <w:color w:val="231F20"/>
        </w:rPr>
        <w:t>§ 2. De in de artikelen 2:8, 2:9, 2:10 en </w:t>
      </w:r>
      <w:r>
        <w:rPr>
          <w:color w:val="231F20"/>
          <w:spacing w:val="-3"/>
        </w:rPr>
        <w:t>2:11 </w:t>
      </w:r>
      <w:r>
        <w:rPr>
          <w:color w:val="231F20"/>
        </w:rPr>
        <w:t>bedoelde tekst van de eerste versie van de statuten uit de oprichtingsakte en van</w:t>
      </w:r>
      <w:r>
        <w:rPr>
          <w:color w:val="231F20"/>
          <w:spacing w:val="37"/>
        </w:rPr>
        <w:t> </w:t>
      </w:r>
      <w:r>
        <w:rPr>
          <w:color w:val="231F20"/>
        </w:rPr>
        <w:t>de gecoördineerde versie van de statuten na elke wijziging,  wordt  bewaard in een openbaar raadpleegbaar elektronisch databanksysteem dat deel uitmaakt van het dossier van de rechtspersoon en dat, voor  wat betreft de statuten en de bijwerkingen daarvan die voortvloeien uit in België verleden notariële akten, wordt beheerd door de Koninklijke Federatie van het Belgisch Notariaat, en voor de andere door een door de</w:t>
      </w:r>
      <w:r>
        <w:rPr>
          <w:color w:val="231F20"/>
          <w:spacing w:val="15"/>
        </w:rPr>
        <w:t> </w:t>
      </w:r>
      <w:r>
        <w:rPr>
          <w:color w:val="231F20"/>
        </w:rPr>
        <w:t>Koning</w:t>
      </w:r>
      <w:r>
        <w:rPr>
          <w:color w:val="231F20"/>
          <w:spacing w:val="15"/>
        </w:rPr>
        <w:t> </w:t>
      </w:r>
      <w:r>
        <w:rPr>
          <w:color w:val="231F20"/>
        </w:rPr>
        <w:t>aan</w:t>
      </w:r>
      <w:r>
        <w:rPr>
          <w:color w:val="231F20"/>
          <w:spacing w:val="15"/>
        </w:rPr>
        <w:t> </w:t>
      </w:r>
      <w:r>
        <w:rPr>
          <w:color w:val="231F20"/>
        </w:rPr>
        <w:t>te</w:t>
      </w:r>
      <w:r>
        <w:rPr>
          <w:color w:val="231F20"/>
          <w:spacing w:val="16"/>
        </w:rPr>
        <w:t> </w:t>
      </w:r>
      <w:r>
        <w:rPr>
          <w:color w:val="231F20"/>
        </w:rPr>
        <w:t>wijzen</w:t>
      </w:r>
      <w:r>
        <w:rPr>
          <w:color w:val="231F20"/>
          <w:spacing w:val="15"/>
        </w:rPr>
        <w:t> </w:t>
      </w:r>
      <w:r>
        <w:rPr>
          <w:color w:val="231F20"/>
        </w:rPr>
        <w:t>instantie.</w:t>
      </w:r>
    </w:p>
    <w:p>
      <w:pPr>
        <w:pStyle w:val="BodyText"/>
        <w:spacing w:line="218" w:lineRule="auto" w:before="87"/>
      </w:pPr>
      <w:r>
        <w:rPr>
          <w:color w:val="231F20"/>
        </w:rPr>
        <w:t>§ 3. De Koning bepaalt de wijze waarop het dossier moet worden aangelegd en bepaalt de vorm waaronder akten, de uittreksels en de beslissingen moeten worden neergelegd, alsook de hoogte van de vergoeding die wordt aangerekend aan de belanghebbende. Hij bepaalt eveneens de modaliteiten van de geautomatiseerde verwerking van de gegevens van het dossier, alsook de koppeling van de gegevensbestan- den. Onder de voorwaarden bepaald door de Koning, hebben kopieën dezelfde bewijskracht als originele stukken en kunnen deze in de plaats ervan worden gesteld.</w:t>
      </w:r>
    </w:p>
    <w:p>
      <w:pPr>
        <w:pStyle w:val="BodyText"/>
        <w:spacing w:line="218" w:lineRule="auto" w:before="86"/>
      </w:pPr>
      <w:r>
        <w:rPr>
          <w:color w:val="231F20"/>
        </w:rPr>
        <w:t>De Koning stelt nadere regels op met betrekking tot de inschrijving van de rechtspersonen en andere relevante gegevens in de Kruispunt- bank van Ondernemingen.</w:t>
      </w:r>
    </w:p>
    <w:p>
      <w:pPr>
        <w:pStyle w:val="BodyText"/>
        <w:spacing w:line="218" w:lineRule="auto" w:before="85"/>
      </w:pPr>
      <w:r>
        <w:rPr>
          <w:color w:val="231F20"/>
        </w:rPr>
        <w:t>§ 4. De persoonsgegevens worden niet langer bewaard dan noodza- kelijk voor de doeleinden waarvoor ze worden opgeslagen en volgens  de</w:t>
      </w:r>
      <w:r>
        <w:rPr>
          <w:color w:val="231F20"/>
          <w:spacing w:val="15"/>
        </w:rPr>
        <w:t> </w:t>
      </w:r>
      <w:r>
        <w:rPr>
          <w:color w:val="231F20"/>
        </w:rPr>
        <w:t>nadere</w:t>
      </w:r>
      <w:r>
        <w:rPr>
          <w:color w:val="231F20"/>
          <w:spacing w:val="16"/>
        </w:rPr>
        <w:t> </w:t>
      </w:r>
      <w:r>
        <w:rPr>
          <w:color w:val="231F20"/>
        </w:rPr>
        <w:t>regels</w:t>
      </w:r>
      <w:r>
        <w:rPr>
          <w:color w:val="231F20"/>
          <w:spacing w:val="16"/>
        </w:rPr>
        <w:t> </w:t>
      </w:r>
      <w:r>
        <w:rPr>
          <w:color w:val="231F20"/>
        </w:rPr>
        <w:t>bepaald</w:t>
      </w:r>
      <w:r>
        <w:rPr>
          <w:color w:val="231F20"/>
          <w:spacing w:val="15"/>
        </w:rPr>
        <w:t> </w:t>
      </w:r>
      <w:r>
        <w:rPr>
          <w:color w:val="231F20"/>
        </w:rPr>
        <w:t>in</w:t>
      </w:r>
      <w:r>
        <w:rPr>
          <w:color w:val="231F20"/>
          <w:spacing w:val="16"/>
        </w:rPr>
        <w:t> </w:t>
      </w:r>
      <w:r>
        <w:rPr>
          <w:color w:val="231F20"/>
        </w:rPr>
        <w:t>dit</w:t>
      </w:r>
      <w:r>
        <w:rPr>
          <w:color w:val="231F20"/>
          <w:spacing w:val="16"/>
        </w:rPr>
        <w:t> </w:t>
      </w:r>
      <w:r>
        <w:rPr>
          <w:color w:val="231F20"/>
        </w:rPr>
        <w:t>wetboek.</w:t>
      </w:r>
    </w:p>
    <w:p>
      <w:pPr>
        <w:pStyle w:val="BodyText"/>
        <w:ind w:left="0" w:right="0" w:firstLine="0"/>
        <w:jc w:val="left"/>
        <w:rPr>
          <w:sz w:val="23"/>
        </w:rPr>
      </w:pPr>
    </w:p>
    <w:p>
      <w:pPr>
        <w:pStyle w:val="BodyText"/>
        <w:spacing w:line="218" w:lineRule="auto"/>
      </w:pPr>
      <w:r>
        <w:rPr>
          <w:color w:val="231F20"/>
        </w:rPr>
        <w:t>§ 5. Elke oprichter, vennoot, aandeelhouder of lid, en, onverminderd artikel 2:54, elk lid van een bestuursorgaan, dagelijks bestuurder, commissaris, vereffenaar of voorlopig bewindvoerder kan woonplaats kiezen op de plaats waar hij een professionele activiteit voert. In dat geval wordt uitsluitend dit adres meegedeeld bij raadpleging van het dossier.</w:t>
      </w:r>
    </w:p>
    <w:p>
      <w:pPr>
        <w:pStyle w:val="BodyText"/>
        <w:spacing w:line="218" w:lineRule="auto" w:before="86"/>
      </w:pPr>
      <w:r>
        <w:rPr>
          <w:color w:val="231F20"/>
        </w:rPr>
        <w:t>Art. 2:8. § 1. Met het oog op hun opname in het</w:t>
      </w:r>
      <w:r>
        <w:rPr>
          <w:color w:val="231F20"/>
          <w:spacing w:val="-24"/>
        </w:rPr>
        <w:t> </w:t>
      </w:r>
      <w:r>
        <w:rPr>
          <w:color w:val="231F20"/>
        </w:rPr>
        <w:t>vennootschapsdossier worden binnen dertig dagen, te rekenen vanaf de dagtekening van de definitieve akte, de uitspraak van het vonnis uitvoerbaar bij voorraad of het in kracht van gewijsde gaan van het vonnis, voor vennootschappen de volgende stukken</w:t>
      </w:r>
      <w:r>
        <w:rPr>
          <w:color w:val="231F20"/>
          <w:spacing w:val="6"/>
        </w:rPr>
        <w:t> </w:t>
      </w:r>
      <w:r>
        <w:rPr>
          <w:color w:val="231F20"/>
        </w:rPr>
        <w:t>neergelegd:</w:t>
      </w:r>
    </w:p>
    <w:p>
      <w:pPr>
        <w:pStyle w:val="BodyText"/>
        <w:spacing w:line="218" w:lineRule="auto" w:before="86"/>
      </w:pPr>
      <w:r>
        <w:rPr>
          <w:color w:val="231F20"/>
        </w:rPr>
        <w:t>1° een uitgifte van de authentieke oprichtingsakte of een dubbel van de onderhandse</w:t>
      </w:r>
      <w:r>
        <w:rPr>
          <w:color w:val="231F20"/>
          <w:spacing w:val="-11"/>
        </w:rPr>
        <w:t> </w:t>
      </w:r>
      <w:r>
        <w:rPr>
          <w:color w:val="231F20"/>
        </w:rPr>
        <w:t>oprichtingsakte;</w:t>
      </w:r>
    </w:p>
    <w:p>
      <w:pPr>
        <w:pStyle w:val="BodyText"/>
        <w:spacing w:before="71"/>
        <w:ind w:left="283" w:right="0" w:firstLine="0"/>
        <w:jc w:val="left"/>
      </w:pPr>
      <w:r>
        <w:rPr>
          <w:color w:val="231F20"/>
        </w:rPr>
        <w:t>2° het uittreksel uit de oprichtingsakte zoals bedoeld in paragraaf 2;</w:t>
      </w:r>
    </w:p>
    <w:p>
      <w:pPr>
        <w:pStyle w:val="BodyText"/>
        <w:spacing w:line="218" w:lineRule="auto" w:before="82"/>
      </w:pPr>
      <w:r>
        <w:rPr>
          <w:color w:val="231F20"/>
        </w:rPr>
        <w:t>3° een uitgifte van de authentieke of een origineel van de onder- handse volmachten met betrekking tot de onderhandse oprichtings- akte;</w:t>
      </w:r>
    </w:p>
    <w:p>
      <w:pPr>
        <w:pStyle w:val="BodyText"/>
        <w:spacing w:line="218" w:lineRule="auto" w:before="86"/>
      </w:pPr>
      <w:r>
        <w:rPr>
          <w:color w:val="231F20"/>
        </w:rPr>
        <w:t>4° de eerste versie van de tekst van de statuten samen met de oprichtingsakte, en de bijgewerkte en gecoördineerde tekst van de statuten samen met iedere statutenwijziging met inbegrip, in voorko- mend geval, van iedere wijziging in de samenstelling van een Europees economisch samenwerkingsverband;</w:t>
      </w:r>
    </w:p>
    <w:p>
      <w:pPr>
        <w:pStyle w:val="BodyText"/>
        <w:spacing w:line="218" w:lineRule="auto" w:before="85"/>
      </w:pPr>
      <w:r>
        <w:rPr>
          <w:color w:val="231F20"/>
        </w:rPr>
        <w:t>5° het uittreksel uit de akten betreffende de benoeming en ambts- beëindiging van:</w:t>
      </w:r>
    </w:p>
    <w:p>
      <w:pPr>
        <w:pStyle w:val="ListParagraph"/>
        <w:numPr>
          <w:ilvl w:val="0"/>
          <w:numId w:val="8"/>
        </w:numPr>
        <w:tabs>
          <w:tab w:pos="457" w:val="left" w:leader="none"/>
        </w:tabs>
        <w:spacing w:line="218" w:lineRule="auto" w:before="83" w:after="0"/>
        <w:ind w:left="113" w:right="124" w:firstLine="170"/>
        <w:jc w:val="both"/>
        <w:rPr>
          <w:sz w:val="17"/>
        </w:rPr>
      </w:pPr>
      <w:r>
        <w:rPr>
          <w:color w:val="231F20"/>
          <w:sz w:val="17"/>
        </w:rPr>
        <w:t>de personen die gemachtigd zijn de vennootschap te besturen en te vertegenwoordigen;</w:t>
      </w:r>
    </w:p>
    <w:p>
      <w:pPr>
        <w:pStyle w:val="ListParagraph"/>
        <w:numPr>
          <w:ilvl w:val="0"/>
          <w:numId w:val="8"/>
        </w:numPr>
        <w:tabs>
          <w:tab w:pos="477" w:val="left" w:leader="none"/>
        </w:tabs>
        <w:spacing w:line="240" w:lineRule="auto" w:before="69" w:after="0"/>
        <w:ind w:left="476" w:right="0" w:hanging="193"/>
        <w:jc w:val="left"/>
        <w:rPr>
          <w:sz w:val="17"/>
        </w:rPr>
      </w:pPr>
      <w:r>
        <w:rPr>
          <w:color w:val="231F20"/>
          <w:sz w:val="17"/>
        </w:rPr>
        <w:t>de</w:t>
      </w:r>
      <w:r>
        <w:rPr>
          <w:color w:val="231F20"/>
          <w:spacing w:val="14"/>
          <w:sz w:val="17"/>
        </w:rPr>
        <w:t> </w:t>
      </w:r>
      <w:r>
        <w:rPr>
          <w:color w:val="231F20"/>
          <w:sz w:val="17"/>
        </w:rPr>
        <w:t>commissarissen;</w:t>
      </w:r>
    </w:p>
    <w:p>
      <w:pPr>
        <w:pStyle w:val="ListParagraph"/>
        <w:numPr>
          <w:ilvl w:val="0"/>
          <w:numId w:val="8"/>
        </w:numPr>
        <w:tabs>
          <w:tab w:pos="467" w:val="left" w:leader="none"/>
        </w:tabs>
        <w:spacing w:line="240" w:lineRule="auto" w:before="65" w:after="0"/>
        <w:ind w:left="466" w:right="0" w:hanging="183"/>
        <w:jc w:val="left"/>
        <w:rPr>
          <w:sz w:val="17"/>
        </w:rPr>
      </w:pPr>
      <w:r>
        <w:rPr>
          <w:color w:val="231F20"/>
          <w:sz w:val="17"/>
        </w:rPr>
        <w:t>de</w:t>
      </w:r>
      <w:r>
        <w:rPr>
          <w:color w:val="231F20"/>
          <w:spacing w:val="14"/>
          <w:sz w:val="17"/>
        </w:rPr>
        <w:t> </w:t>
      </w:r>
      <w:r>
        <w:rPr>
          <w:color w:val="231F20"/>
          <w:sz w:val="17"/>
        </w:rPr>
        <w:t>vereffenaars;</w:t>
      </w:r>
    </w:p>
    <w:p>
      <w:pPr>
        <w:pStyle w:val="ListParagraph"/>
        <w:numPr>
          <w:ilvl w:val="0"/>
          <w:numId w:val="8"/>
        </w:numPr>
        <w:tabs>
          <w:tab w:pos="483" w:val="left" w:leader="none"/>
        </w:tabs>
        <w:spacing w:line="240" w:lineRule="auto" w:before="65" w:after="0"/>
        <w:ind w:left="482" w:right="0" w:hanging="199"/>
        <w:jc w:val="left"/>
        <w:rPr>
          <w:sz w:val="17"/>
        </w:rPr>
      </w:pPr>
      <w:r>
        <w:rPr>
          <w:color w:val="231F20"/>
          <w:w w:val="105"/>
          <w:sz w:val="17"/>
        </w:rPr>
        <w:t>de voorlopige</w:t>
      </w:r>
      <w:r>
        <w:rPr>
          <w:color w:val="231F20"/>
          <w:spacing w:val="23"/>
          <w:w w:val="105"/>
          <w:sz w:val="17"/>
        </w:rPr>
        <w:t> </w:t>
      </w:r>
      <w:r>
        <w:rPr>
          <w:color w:val="231F20"/>
          <w:w w:val="105"/>
          <w:sz w:val="17"/>
        </w:rPr>
        <w:t>bewindvoerders;</w:t>
      </w:r>
    </w:p>
    <w:p>
      <w:pPr>
        <w:pStyle w:val="ListParagraph"/>
        <w:numPr>
          <w:ilvl w:val="0"/>
          <w:numId w:val="8"/>
        </w:numPr>
        <w:tabs>
          <w:tab w:pos="464" w:val="left" w:leader="none"/>
        </w:tabs>
        <w:spacing w:line="240" w:lineRule="auto" w:before="65" w:after="0"/>
        <w:ind w:left="463" w:right="0" w:hanging="180"/>
        <w:jc w:val="left"/>
        <w:rPr>
          <w:sz w:val="17"/>
        </w:rPr>
      </w:pPr>
      <w:r>
        <w:rPr>
          <w:color w:val="231F20"/>
          <w:sz w:val="17"/>
        </w:rPr>
        <w:t>de</w:t>
      </w:r>
      <w:r>
        <w:rPr>
          <w:color w:val="231F20"/>
          <w:spacing w:val="15"/>
          <w:sz w:val="17"/>
        </w:rPr>
        <w:t> </w:t>
      </w:r>
      <w:r>
        <w:rPr>
          <w:color w:val="231F20"/>
          <w:sz w:val="17"/>
        </w:rPr>
        <w:t>leden</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5"/>
          <w:sz w:val="17"/>
        </w:rPr>
        <w:t> </w:t>
      </w:r>
      <w:r>
        <w:rPr>
          <w:color w:val="231F20"/>
          <w:sz w:val="17"/>
        </w:rPr>
        <w:t>raad</w:t>
      </w:r>
      <w:r>
        <w:rPr>
          <w:color w:val="231F20"/>
          <w:spacing w:val="16"/>
          <w:sz w:val="17"/>
        </w:rPr>
        <w:t> </w:t>
      </w:r>
      <w:r>
        <w:rPr>
          <w:color w:val="231F20"/>
          <w:sz w:val="17"/>
        </w:rPr>
        <w:t>van</w:t>
      </w:r>
      <w:r>
        <w:rPr>
          <w:color w:val="231F20"/>
          <w:spacing w:val="16"/>
          <w:sz w:val="17"/>
        </w:rPr>
        <w:t> </w:t>
      </w:r>
      <w:r>
        <w:rPr>
          <w:color w:val="231F20"/>
          <w:sz w:val="17"/>
        </w:rPr>
        <w:t>toezicht;</w:t>
      </w:r>
    </w:p>
    <w:p>
      <w:pPr>
        <w:pStyle w:val="BodyText"/>
        <w:spacing w:line="218" w:lineRule="auto" w:before="82"/>
      </w:pPr>
      <w:r>
        <w:rPr>
          <w:color w:val="231F20"/>
        </w:rPr>
        <w:t>6° het uittreksel uit de in kracht van gewijsde gegane of bij voorraad uitvoerbare rechterlijke beslissing waarbij de nietigheid of de ontbin- ding van de vennootschap wordt uitgesproken, alsook het uittreksel uit de rechterlijke beslissing waarbij voornoemd bij voorraad uitvoerbaar vonnis wordt tenietgedaan;</w:t>
      </w:r>
    </w:p>
    <w:p>
      <w:pPr>
        <w:pStyle w:val="BodyText"/>
        <w:spacing w:line="218" w:lineRule="auto" w:before="86"/>
      </w:pPr>
      <w:r>
        <w:rPr>
          <w:color w:val="231F20"/>
        </w:rPr>
        <w:t>7° een verklaring, ondertekend door de bevoegde organen van de vennootschap, waarin wordt vermeld:</w:t>
      </w:r>
    </w:p>
    <w:p>
      <w:pPr>
        <w:pStyle w:val="ListParagraph"/>
        <w:numPr>
          <w:ilvl w:val="0"/>
          <w:numId w:val="9"/>
        </w:numPr>
        <w:tabs>
          <w:tab w:pos="473" w:val="left" w:leader="none"/>
        </w:tabs>
        <w:spacing w:line="240" w:lineRule="auto" w:before="69" w:after="0"/>
        <w:ind w:left="113" w:right="0" w:firstLine="170"/>
        <w:jc w:val="left"/>
        <w:rPr>
          <w:sz w:val="17"/>
        </w:rPr>
      </w:pPr>
      <w:r>
        <w:rPr>
          <w:color w:val="231F20"/>
          <w:sz w:val="17"/>
        </w:rPr>
        <w:t>de ontbinding van de</w:t>
      </w:r>
      <w:r>
        <w:rPr>
          <w:color w:val="231F20"/>
          <w:spacing w:val="21"/>
          <w:sz w:val="17"/>
        </w:rPr>
        <w:t> </w:t>
      </w:r>
      <w:r>
        <w:rPr>
          <w:color w:val="231F20"/>
          <w:sz w:val="17"/>
        </w:rPr>
        <w:t>vennootschap;</w:t>
      </w:r>
    </w:p>
    <w:p>
      <w:pPr>
        <w:pStyle w:val="ListParagraph"/>
        <w:numPr>
          <w:ilvl w:val="0"/>
          <w:numId w:val="9"/>
        </w:numPr>
        <w:tabs>
          <w:tab w:pos="459" w:val="left" w:leader="none"/>
        </w:tabs>
        <w:spacing w:line="218" w:lineRule="auto" w:before="90" w:after="0"/>
        <w:ind w:left="113" w:right="124" w:firstLine="170"/>
        <w:jc w:val="both"/>
        <w:rPr>
          <w:sz w:val="17"/>
        </w:rPr>
      </w:pPr>
      <w:r>
        <w:rPr>
          <w:color w:val="231F20"/>
          <w:sz w:val="17"/>
        </w:rPr>
        <w:t>het feit dat de functie van de persoon bedoeld in de bepaling onder 5°, van rechtswege is</w:t>
      </w:r>
      <w:r>
        <w:rPr>
          <w:color w:val="231F20"/>
          <w:spacing w:val="20"/>
          <w:sz w:val="17"/>
        </w:rPr>
        <w:t> </w:t>
      </w:r>
      <w:r>
        <w:rPr>
          <w:color w:val="231F20"/>
          <w:sz w:val="17"/>
        </w:rPr>
        <w:t>beëindigd;</w:t>
      </w:r>
    </w:p>
    <w:p>
      <w:pPr>
        <w:pStyle w:val="BodyText"/>
        <w:spacing w:line="218" w:lineRule="auto" w:before="96"/>
      </w:pPr>
      <w:r>
        <w:rPr>
          <w:color w:val="231F20"/>
        </w:rPr>
        <w:t>8° de akten of uittreksels van akten die volgens dit wetboek moeten worden neergelegd;</w:t>
      </w:r>
    </w:p>
    <w:p>
      <w:pPr>
        <w:pStyle w:val="BodyText"/>
        <w:spacing w:line="218" w:lineRule="auto" w:before="96"/>
      </w:pPr>
      <w:r>
        <w:rPr>
          <w:color w:val="231F20"/>
        </w:rPr>
        <w:t>9° de akten die bepalingen wijzigen in akten waarvoor dit wetboek  de neerlegging</w:t>
      </w:r>
      <w:r>
        <w:rPr>
          <w:color w:val="231F20"/>
          <w:spacing w:val="-11"/>
        </w:rPr>
        <w:t> </w:t>
      </w:r>
      <w:r>
        <w:rPr>
          <w:color w:val="231F20"/>
        </w:rPr>
        <w:t>voorschrijft;</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5"/>
        <w:ind w:left="283" w:right="0" w:firstLine="0"/>
        <w:jc w:val="left"/>
      </w:pPr>
      <w:r>
        <w:rPr/>
        <w:pict>
          <v:line style="position:absolute;mso-position-horizontal-relative:page;mso-position-vertical-relative:page;z-index:1288" from="298.170502pt,64.473pt" to="298.170502pt,812.819pt" stroked="true" strokeweight=".533pt" strokecolor="#231f20">
            <v:stroke dashstyle="solid"/>
            <w10:wrap type="none"/>
          </v:line>
        </w:pict>
      </w:r>
      <w:bookmarkStart w:name="_bookmark11" w:id="13"/>
      <w:bookmarkEnd w:id="13"/>
      <w:r>
        <w:rPr/>
      </w:r>
      <w:r>
        <w:rPr>
          <w:color w:val="231F20"/>
        </w:rPr>
        <w:t>10° pour le groupement européen d’intérêt économique:</w:t>
      </w:r>
    </w:p>
    <w:p>
      <w:pPr>
        <w:pStyle w:val="ListParagraph"/>
        <w:numPr>
          <w:ilvl w:val="0"/>
          <w:numId w:val="10"/>
        </w:numPr>
        <w:tabs>
          <w:tab w:pos="477" w:val="left" w:leader="none"/>
        </w:tabs>
        <w:spacing w:line="218" w:lineRule="auto" w:before="90" w:after="0"/>
        <w:ind w:left="113" w:right="38" w:firstLine="170"/>
        <w:jc w:val="both"/>
        <w:rPr>
          <w:sz w:val="17"/>
        </w:rPr>
      </w:pPr>
      <w:r>
        <w:rPr>
          <w:color w:val="231F20"/>
          <w:sz w:val="17"/>
        </w:rPr>
        <w:t>la clause exonérant un nouveau membre du paiement des dettes nées antérieurement à son entrée, lorsqu’elle figure dans l’acte d’admis- sion;</w:t>
      </w:r>
    </w:p>
    <w:p>
      <w:pPr>
        <w:pStyle w:val="ListParagraph"/>
        <w:numPr>
          <w:ilvl w:val="0"/>
          <w:numId w:val="10"/>
        </w:numPr>
        <w:tabs>
          <w:tab w:pos="545" w:val="left" w:leader="none"/>
        </w:tabs>
        <w:spacing w:line="211" w:lineRule="auto" w:before="99" w:after="0"/>
        <w:ind w:left="113" w:right="38" w:firstLine="170"/>
        <w:jc w:val="both"/>
        <w:rPr>
          <w:sz w:val="17"/>
        </w:rPr>
      </w:pPr>
      <w:r>
        <w:rPr>
          <w:color w:val="231F20"/>
          <w:sz w:val="17"/>
        </w:rPr>
        <w:t>toute cession par un membre de sa participation dans le groupement européen d’intérêt économique ou d’une fraction de celle-ci</w:t>
      </w:r>
      <w:r>
        <w:rPr>
          <w:color w:val="231F20"/>
          <w:spacing w:val="-3"/>
          <w:sz w:val="17"/>
        </w:rPr>
        <w:t> </w:t>
      </w:r>
      <w:r>
        <w:rPr>
          <w:color w:val="231F20"/>
          <w:sz w:val="17"/>
        </w:rPr>
        <w:t>conformément</w:t>
      </w:r>
      <w:r>
        <w:rPr>
          <w:color w:val="231F20"/>
          <w:spacing w:val="-3"/>
          <w:sz w:val="17"/>
        </w:rPr>
        <w:t> </w:t>
      </w:r>
      <w:r>
        <w:rPr>
          <w:color w:val="231F20"/>
          <w:sz w:val="17"/>
        </w:rPr>
        <w:t>à</w:t>
      </w:r>
      <w:r>
        <w:rPr>
          <w:color w:val="231F20"/>
          <w:spacing w:val="-3"/>
          <w:sz w:val="17"/>
        </w:rPr>
        <w:t> </w:t>
      </w:r>
      <w:r>
        <w:rPr>
          <w:color w:val="231F20"/>
          <w:sz w:val="17"/>
        </w:rPr>
        <w:t>l’article</w:t>
      </w:r>
      <w:r>
        <w:rPr>
          <w:color w:val="231F20"/>
          <w:spacing w:val="-3"/>
          <w:sz w:val="17"/>
        </w:rPr>
        <w:t> </w:t>
      </w:r>
      <w:r>
        <w:rPr>
          <w:color w:val="231F20"/>
          <w:sz w:val="17"/>
        </w:rPr>
        <w:t>22,</w:t>
      </w:r>
      <w:r>
        <w:rPr>
          <w:color w:val="231F20"/>
          <w:spacing w:val="-3"/>
          <w:sz w:val="17"/>
        </w:rPr>
        <w:t> </w:t>
      </w:r>
      <w:r>
        <w:rPr>
          <w:color w:val="231F20"/>
          <w:sz w:val="17"/>
        </w:rPr>
        <w:t>§</w:t>
      </w:r>
      <w:r>
        <w:rPr>
          <w:color w:val="231F20"/>
          <w:spacing w:val="-3"/>
          <w:sz w:val="17"/>
        </w:rPr>
        <w:t> </w:t>
      </w:r>
      <w:r>
        <w:rPr>
          <w:color w:val="231F20"/>
          <w:sz w:val="17"/>
        </w:rPr>
        <w:t>1</w:t>
      </w:r>
      <w:r>
        <w:rPr>
          <w:color w:val="231F20"/>
          <w:position w:val="7"/>
          <w:sz w:val="11"/>
        </w:rPr>
        <w:t>er</w:t>
      </w:r>
      <w:r>
        <w:rPr>
          <w:color w:val="231F20"/>
          <w:sz w:val="17"/>
        </w:rPr>
        <w:t>,</w:t>
      </w:r>
      <w:r>
        <w:rPr>
          <w:color w:val="231F20"/>
          <w:spacing w:val="-3"/>
          <w:sz w:val="17"/>
        </w:rPr>
        <w:t> </w:t>
      </w:r>
      <w:r>
        <w:rPr>
          <w:color w:val="231F20"/>
          <w:sz w:val="17"/>
        </w:rPr>
        <w:t>du</w:t>
      </w:r>
      <w:r>
        <w:rPr>
          <w:color w:val="231F20"/>
          <w:spacing w:val="-3"/>
          <w:sz w:val="17"/>
        </w:rPr>
        <w:t> </w:t>
      </w:r>
      <w:r>
        <w:rPr>
          <w:color w:val="231F20"/>
          <w:sz w:val="17"/>
        </w:rPr>
        <w:t>règlement</w:t>
      </w:r>
      <w:r>
        <w:rPr>
          <w:color w:val="231F20"/>
          <w:spacing w:val="-3"/>
          <w:sz w:val="17"/>
        </w:rPr>
        <w:t> </w:t>
      </w:r>
      <w:r>
        <w:rPr>
          <w:color w:val="231F20"/>
          <w:sz w:val="17"/>
        </w:rPr>
        <w:t>CEE</w:t>
      </w:r>
      <w:r>
        <w:rPr>
          <w:color w:val="231F20"/>
          <w:spacing w:val="-3"/>
          <w:sz w:val="17"/>
        </w:rPr>
        <w:t> </w:t>
      </w:r>
      <w:r>
        <w:rPr>
          <w:color w:val="231F20"/>
          <w:sz w:val="17"/>
        </w:rPr>
        <w:t>n°</w:t>
      </w:r>
      <w:r>
        <w:rPr>
          <w:color w:val="231F20"/>
          <w:spacing w:val="-3"/>
          <w:sz w:val="17"/>
        </w:rPr>
        <w:t> </w:t>
      </w:r>
      <w:r>
        <w:rPr>
          <w:color w:val="231F20"/>
          <w:sz w:val="17"/>
        </w:rPr>
        <w:t>2137/85.</w:t>
      </w:r>
    </w:p>
    <w:p>
      <w:pPr>
        <w:pStyle w:val="BodyText"/>
        <w:spacing w:line="218" w:lineRule="auto" w:before="79"/>
        <w:ind w:right="39"/>
      </w:pPr>
      <w:r>
        <w:rPr>
          <w:color w:val="231F20"/>
        </w:rPr>
        <w:t>L’alinéa 1</w:t>
      </w:r>
      <w:r>
        <w:rPr>
          <w:color w:val="231F20"/>
          <w:position w:val="7"/>
          <w:sz w:val="11"/>
        </w:rPr>
        <w:t>er</w:t>
      </w:r>
      <w:r>
        <w:rPr>
          <w:color w:val="231F20"/>
        </w:rPr>
        <w:t>, 1° et 3°, ne sont pas applicables à la société en nom collectif et à la société en commandite.</w:t>
      </w:r>
    </w:p>
    <w:p>
      <w:pPr>
        <w:pStyle w:val="BodyText"/>
        <w:spacing w:line="218" w:lineRule="auto" w:before="81"/>
        <w:ind w:right="38"/>
      </w:pPr>
      <w:r>
        <w:rPr>
          <w:color w:val="231F20"/>
        </w:rPr>
        <w:t>L’extrait visé à l’alinéa 1</w:t>
      </w:r>
      <w:r>
        <w:rPr>
          <w:color w:val="231F20"/>
          <w:position w:val="7"/>
          <w:sz w:val="11"/>
        </w:rPr>
        <w:t>er</w:t>
      </w:r>
      <w:r>
        <w:rPr>
          <w:color w:val="231F20"/>
        </w:rPr>
        <w:t>, 5°, contient leurs nom, prénom, domicile ou, lorsqu’il s’agit de personnes morales, leurs dénomination, forme légale, numéro d’entreprise et siège. L’extrait précise, sauf en ce qui concerne les commissaires, l’étendue de leurs pouvoirs ainsi que les modalités d’exercice de ces derniers, soit séparément, soit conjointe- ment, soit en collège.</w:t>
      </w:r>
    </w:p>
    <w:p>
      <w:pPr>
        <w:pStyle w:val="BodyText"/>
        <w:spacing w:before="67"/>
        <w:ind w:left="283" w:right="0" w:firstLine="0"/>
        <w:jc w:val="left"/>
      </w:pPr>
      <w:r>
        <w:rPr>
          <w:color w:val="231F20"/>
        </w:rPr>
        <w:t>L’extrait visé à l’alinéa 1</w:t>
      </w:r>
      <w:r>
        <w:rPr>
          <w:color w:val="231F20"/>
          <w:position w:val="7"/>
          <w:sz w:val="11"/>
        </w:rPr>
        <w:t>er</w:t>
      </w:r>
      <w:r>
        <w:rPr>
          <w:color w:val="231F20"/>
        </w:rPr>
        <w:t>, 6°, contient:</w:t>
      </w:r>
    </w:p>
    <w:p>
      <w:pPr>
        <w:pStyle w:val="ListParagraph"/>
        <w:numPr>
          <w:ilvl w:val="0"/>
          <w:numId w:val="11"/>
        </w:numPr>
        <w:tabs>
          <w:tab w:pos="473" w:val="left" w:leader="none"/>
        </w:tabs>
        <w:spacing w:line="240" w:lineRule="auto" w:before="76" w:after="0"/>
        <w:ind w:left="472" w:right="0" w:hanging="189"/>
        <w:jc w:val="left"/>
        <w:rPr>
          <w:sz w:val="17"/>
        </w:rPr>
      </w:pPr>
      <w:r>
        <w:rPr>
          <w:color w:val="231F20"/>
          <w:sz w:val="17"/>
        </w:rPr>
        <w:t>la</w:t>
      </w:r>
      <w:r>
        <w:rPr>
          <w:color w:val="231F20"/>
          <w:spacing w:val="14"/>
          <w:sz w:val="17"/>
        </w:rPr>
        <w:t> </w:t>
      </w:r>
      <w:r>
        <w:rPr>
          <w:color w:val="231F20"/>
          <w:sz w:val="17"/>
        </w:rPr>
        <w:t>dénomination</w:t>
      </w:r>
      <w:r>
        <w:rPr>
          <w:color w:val="231F20"/>
          <w:spacing w:val="15"/>
          <w:sz w:val="17"/>
        </w:rPr>
        <w:t> </w:t>
      </w:r>
      <w:r>
        <w:rPr>
          <w:color w:val="231F20"/>
          <w:sz w:val="17"/>
        </w:rPr>
        <w:t>et</w:t>
      </w:r>
      <w:r>
        <w:rPr>
          <w:color w:val="231F20"/>
          <w:spacing w:val="15"/>
          <w:sz w:val="17"/>
        </w:rPr>
        <w:t> </w:t>
      </w:r>
      <w:r>
        <w:rPr>
          <w:color w:val="231F20"/>
          <w:sz w:val="17"/>
        </w:rPr>
        <w:t>le</w:t>
      </w:r>
      <w:r>
        <w:rPr>
          <w:color w:val="231F20"/>
          <w:spacing w:val="15"/>
          <w:sz w:val="17"/>
        </w:rPr>
        <w:t> </w:t>
      </w:r>
      <w:r>
        <w:rPr>
          <w:color w:val="231F20"/>
          <w:sz w:val="17"/>
        </w:rPr>
        <w:t>siège</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4"/>
          <w:sz w:val="17"/>
        </w:rPr>
        <w:t> </w:t>
      </w:r>
      <w:r>
        <w:rPr>
          <w:color w:val="231F20"/>
          <w:sz w:val="17"/>
        </w:rPr>
        <w:t>société;</w:t>
      </w:r>
    </w:p>
    <w:p>
      <w:pPr>
        <w:pStyle w:val="ListParagraph"/>
        <w:numPr>
          <w:ilvl w:val="0"/>
          <w:numId w:val="11"/>
        </w:numPr>
        <w:tabs>
          <w:tab w:pos="477" w:val="left" w:leader="none"/>
        </w:tabs>
        <w:spacing w:line="240" w:lineRule="auto" w:before="76" w:after="0"/>
        <w:ind w:left="476" w:right="0" w:hanging="193"/>
        <w:jc w:val="left"/>
        <w:rPr>
          <w:sz w:val="17"/>
        </w:rPr>
      </w:pPr>
      <w:r>
        <w:rPr>
          <w:color w:val="231F20"/>
          <w:sz w:val="17"/>
        </w:rPr>
        <w:t>la</w:t>
      </w:r>
      <w:r>
        <w:rPr>
          <w:color w:val="231F20"/>
          <w:spacing w:val="16"/>
          <w:sz w:val="17"/>
        </w:rPr>
        <w:t> </w:t>
      </w:r>
      <w:r>
        <w:rPr>
          <w:color w:val="231F20"/>
          <w:sz w:val="17"/>
        </w:rPr>
        <w:t>date</w:t>
      </w:r>
      <w:r>
        <w:rPr>
          <w:color w:val="231F20"/>
          <w:spacing w:val="16"/>
          <w:sz w:val="17"/>
        </w:rPr>
        <w:t> </w:t>
      </w:r>
      <w:r>
        <w:rPr>
          <w:color w:val="231F20"/>
          <w:sz w:val="17"/>
        </w:rPr>
        <w:t>de</w:t>
      </w:r>
      <w:r>
        <w:rPr>
          <w:color w:val="231F20"/>
          <w:spacing w:val="16"/>
          <w:sz w:val="17"/>
        </w:rPr>
        <w:t> </w:t>
      </w:r>
      <w:r>
        <w:rPr>
          <w:color w:val="231F20"/>
          <w:sz w:val="17"/>
        </w:rPr>
        <w:t>la</w:t>
      </w:r>
      <w:r>
        <w:rPr>
          <w:color w:val="231F20"/>
          <w:spacing w:val="16"/>
          <w:sz w:val="17"/>
        </w:rPr>
        <w:t> </w:t>
      </w:r>
      <w:r>
        <w:rPr>
          <w:color w:val="231F20"/>
          <w:sz w:val="17"/>
        </w:rPr>
        <w:t>décision</w:t>
      </w:r>
      <w:r>
        <w:rPr>
          <w:color w:val="231F20"/>
          <w:spacing w:val="16"/>
          <w:sz w:val="17"/>
        </w:rPr>
        <w:t> </w:t>
      </w:r>
      <w:r>
        <w:rPr>
          <w:color w:val="231F20"/>
          <w:sz w:val="17"/>
        </w:rPr>
        <w:t>et</w:t>
      </w:r>
      <w:r>
        <w:rPr>
          <w:color w:val="231F20"/>
          <w:spacing w:val="16"/>
          <w:sz w:val="17"/>
        </w:rPr>
        <w:t> </w:t>
      </w:r>
      <w:r>
        <w:rPr>
          <w:color w:val="231F20"/>
          <w:sz w:val="17"/>
        </w:rPr>
        <w:t>le</w:t>
      </w:r>
      <w:r>
        <w:rPr>
          <w:color w:val="231F20"/>
          <w:spacing w:val="17"/>
          <w:sz w:val="17"/>
        </w:rPr>
        <w:t> </w:t>
      </w:r>
      <w:r>
        <w:rPr>
          <w:color w:val="231F20"/>
          <w:sz w:val="17"/>
        </w:rPr>
        <w:t>juge</w:t>
      </w:r>
      <w:r>
        <w:rPr>
          <w:color w:val="231F20"/>
          <w:spacing w:val="16"/>
          <w:sz w:val="17"/>
        </w:rPr>
        <w:t> </w:t>
      </w:r>
      <w:r>
        <w:rPr>
          <w:color w:val="231F20"/>
          <w:sz w:val="17"/>
        </w:rPr>
        <w:t>qui</w:t>
      </w:r>
      <w:r>
        <w:rPr>
          <w:color w:val="231F20"/>
          <w:spacing w:val="16"/>
          <w:sz w:val="17"/>
        </w:rPr>
        <w:t> </w:t>
      </w:r>
      <w:r>
        <w:rPr>
          <w:color w:val="231F20"/>
          <w:sz w:val="17"/>
        </w:rPr>
        <w:t>l’a</w:t>
      </w:r>
      <w:r>
        <w:rPr>
          <w:color w:val="231F20"/>
          <w:spacing w:val="16"/>
          <w:sz w:val="17"/>
        </w:rPr>
        <w:t> </w:t>
      </w:r>
      <w:r>
        <w:rPr>
          <w:color w:val="231F20"/>
          <w:sz w:val="17"/>
        </w:rPr>
        <w:t>prononcée;</w:t>
      </w:r>
    </w:p>
    <w:p>
      <w:pPr>
        <w:pStyle w:val="ListParagraph"/>
        <w:numPr>
          <w:ilvl w:val="0"/>
          <w:numId w:val="11"/>
        </w:numPr>
        <w:tabs>
          <w:tab w:pos="467" w:val="left" w:leader="none"/>
        </w:tabs>
        <w:spacing w:line="240" w:lineRule="auto" w:before="76" w:after="0"/>
        <w:ind w:left="466" w:right="0" w:hanging="183"/>
        <w:jc w:val="left"/>
        <w:rPr>
          <w:sz w:val="17"/>
        </w:rPr>
      </w:pPr>
      <w:r>
        <w:rPr>
          <w:color w:val="231F20"/>
          <w:sz w:val="17"/>
        </w:rPr>
        <w:t>le</w:t>
      </w:r>
      <w:r>
        <w:rPr>
          <w:color w:val="231F20"/>
          <w:spacing w:val="15"/>
          <w:sz w:val="17"/>
        </w:rPr>
        <w:t> </w:t>
      </w:r>
      <w:r>
        <w:rPr>
          <w:color w:val="231F20"/>
          <w:sz w:val="17"/>
        </w:rPr>
        <w:t>cas</w:t>
      </w:r>
      <w:r>
        <w:rPr>
          <w:color w:val="231F20"/>
          <w:spacing w:val="15"/>
          <w:sz w:val="17"/>
        </w:rPr>
        <w:t> </w:t>
      </w:r>
      <w:r>
        <w:rPr>
          <w:color w:val="231F20"/>
          <w:sz w:val="17"/>
        </w:rPr>
        <w:t>échéant,</w:t>
      </w:r>
      <w:r>
        <w:rPr>
          <w:color w:val="231F20"/>
          <w:spacing w:val="15"/>
          <w:sz w:val="17"/>
        </w:rPr>
        <w:t> </w:t>
      </w:r>
      <w:r>
        <w:rPr>
          <w:color w:val="231F20"/>
          <w:sz w:val="17"/>
        </w:rPr>
        <w:t>le</w:t>
      </w:r>
      <w:r>
        <w:rPr>
          <w:color w:val="231F20"/>
          <w:spacing w:val="15"/>
          <w:sz w:val="17"/>
        </w:rPr>
        <w:t> </w:t>
      </w:r>
      <w:r>
        <w:rPr>
          <w:color w:val="231F20"/>
          <w:sz w:val="17"/>
        </w:rPr>
        <w:t>nom</w:t>
      </w:r>
      <w:r>
        <w:rPr>
          <w:color w:val="231F20"/>
          <w:spacing w:val="15"/>
          <w:sz w:val="17"/>
        </w:rPr>
        <w:t> </w:t>
      </w:r>
      <w:r>
        <w:rPr>
          <w:color w:val="231F20"/>
          <w:sz w:val="17"/>
        </w:rPr>
        <w:t>et</w:t>
      </w:r>
      <w:r>
        <w:rPr>
          <w:color w:val="231F20"/>
          <w:spacing w:val="15"/>
          <w:sz w:val="17"/>
        </w:rPr>
        <w:t> </w:t>
      </w:r>
      <w:r>
        <w:rPr>
          <w:color w:val="231F20"/>
          <w:sz w:val="17"/>
        </w:rPr>
        <w:t>prénom</w:t>
      </w:r>
      <w:r>
        <w:rPr>
          <w:color w:val="231F20"/>
          <w:spacing w:val="15"/>
          <w:sz w:val="17"/>
        </w:rPr>
        <w:t> </w:t>
      </w:r>
      <w:r>
        <w:rPr>
          <w:color w:val="231F20"/>
          <w:sz w:val="17"/>
        </w:rPr>
        <w:t>des</w:t>
      </w:r>
      <w:r>
        <w:rPr>
          <w:color w:val="231F20"/>
          <w:spacing w:val="15"/>
          <w:sz w:val="17"/>
        </w:rPr>
        <w:t> </w:t>
      </w:r>
      <w:r>
        <w:rPr>
          <w:color w:val="231F20"/>
          <w:sz w:val="17"/>
        </w:rPr>
        <w:t>liquidateurs.</w:t>
      </w:r>
    </w:p>
    <w:p>
      <w:pPr>
        <w:pStyle w:val="BodyText"/>
        <w:spacing w:before="3"/>
        <w:ind w:left="0" w:right="0" w:firstLine="0"/>
        <w:jc w:val="left"/>
        <w:rPr>
          <w:sz w:val="22"/>
        </w:rPr>
      </w:pPr>
    </w:p>
    <w:p>
      <w:pPr>
        <w:pStyle w:val="BodyText"/>
        <w:spacing w:line="218" w:lineRule="auto"/>
        <w:ind w:right="38"/>
      </w:pPr>
      <w:r>
        <w:rPr>
          <w:color w:val="231F20"/>
        </w:rPr>
        <w:t>§ 2. L’extrait de l’acte constitutif visé au paragraphe 1</w:t>
      </w:r>
      <w:r>
        <w:rPr>
          <w:color w:val="231F20"/>
          <w:position w:val="7"/>
          <w:sz w:val="11"/>
        </w:rPr>
        <w:t>er</w:t>
      </w:r>
      <w:r>
        <w:rPr>
          <w:color w:val="231F20"/>
        </w:rPr>
        <w:t>, 2°, du</w:t>
      </w:r>
      <w:r>
        <w:rPr>
          <w:color w:val="231F20"/>
          <w:spacing w:val="-26"/>
        </w:rPr>
        <w:t> </w:t>
      </w:r>
      <w:r>
        <w:rPr>
          <w:color w:val="231F20"/>
        </w:rPr>
        <w:t>présent article</w:t>
      </w:r>
      <w:r>
        <w:rPr>
          <w:color w:val="231F20"/>
          <w:spacing w:val="14"/>
        </w:rPr>
        <w:t> </w:t>
      </w:r>
      <w:r>
        <w:rPr>
          <w:color w:val="231F20"/>
        </w:rPr>
        <w:t>contient:</w:t>
      </w:r>
    </w:p>
    <w:p>
      <w:pPr>
        <w:pStyle w:val="BodyText"/>
        <w:spacing w:line="218" w:lineRule="auto" w:before="96"/>
        <w:ind w:right="38"/>
      </w:pPr>
      <w:r>
        <w:rPr>
          <w:color w:val="231F20"/>
        </w:rPr>
        <w:t>1° la forme légale de la société, sa dénomination et l’indication de la région dans laquelle le siège de la société est établi;</w:t>
      </w:r>
    </w:p>
    <w:p>
      <w:pPr>
        <w:pStyle w:val="BodyText"/>
        <w:spacing w:line="218" w:lineRule="auto" w:before="96"/>
        <w:ind w:right="38"/>
      </w:pPr>
      <w:r>
        <w:rPr>
          <w:color w:val="231F20"/>
        </w:rPr>
        <w:t>2° la désignation précise de l’adresse à laquelle le siège de la société est établi et, le cas échéant, l’adresse électronique et le site internet de</w:t>
      </w:r>
      <w:r>
        <w:rPr>
          <w:color w:val="231F20"/>
          <w:spacing w:val="-28"/>
        </w:rPr>
        <w:t> </w:t>
      </w:r>
      <w:r>
        <w:rPr>
          <w:color w:val="231F20"/>
        </w:rPr>
        <w:t>la société;</w:t>
      </w:r>
    </w:p>
    <w:p>
      <w:pPr>
        <w:pStyle w:val="BodyText"/>
        <w:spacing w:before="83"/>
        <w:ind w:left="283" w:right="0" w:firstLine="0"/>
        <w:jc w:val="left"/>
      </w:pPr>
      <w:r>
        <w:rPr>
          <w:color w:val="231F20"/>
        </w:rPr>
        <w:t>3° la durée de la société lorsqu’elle n’est pas illimitée;</w:t>
      </w:r>
    </w:p>
    <w:p>
      <w:pPr>
        <w:pStyle w:val="BodyText"/>
        <w:spacing w:before="7"/>
        <w:ind w:left="0" w:right="0" w:firstLine="0"/>
        <w:jc w:val="left"/>
        <w:rPr>
          <w:sz w:val="23"/>
        </w:rPr>
      </w:pPr>
    </w:p>
    <w:p>
      <w:pPr>
        <w:pStyle w:val="BodyText"/>
        <w:spacing w:line="218" w:lineRule="auto"/>
        <w:ind w:right="38"/>
      </w:pPr>
      <w:r>
        <w:rPr>
          <w:color w:val="231F20"/>
        </w:rPr>
        <w:t>4° les nom, prénom et domicile des associés solidaires, des fonda- teurs et des associés ou actionnaires qui n’ont pas encore libéré leur apport; dans ce dernier cas, l’extrait contient pour chaque associé ou actionnaire le montant qui reste à libérer;</w:t>
      </w:r>
    </w:p>
    <w:p>
      <w:pPr>
        <w:pStyle w:val="BodyText"/>
        <w:spacing w:before="10"/>
        <w:ind w:left="0" w:right="0" w:firstLine="0"/>
        <w:jc w:val="left"/>
        <w:rPr>
          <w:sz w:val="24"/>
        </w:rPr>
      </w:pPr>
    </w:p>
    <w:p>
      <w:pPr>
        <w:pStyle w:val="BodyText"/>
        <w:spacing w:line="218" w:lineRule="auto"/>
        <w:ind w:right="38"/>
      </w:pPr>
      <w:r>
        <w:rPr>
          <w:color w:val="231F20"/>
        </w:rPr>
        <w:t>5° le cas échéant, le montant du capital et le montant du capital autorisé;</w:t>
      </w:r>
    </w:p>
    <w:p>
      <w:pPr>
        <w:pStyle w:val="BodyText"/>
        <w:spacing w:line="218" w:lineRule="auto" w:before="107"/>
        <w:ind w:right="38"/>
      </w:pPr>
      <w:r>
        <w:rPr>
          <w:color w:val="231F20"/>
        </w:rPr>
        <w:t>6° les apports des fondateurs, le montant pour lequel les apports sont libérés, le cas échéant, les conclusions du rapport du réviseur d’entre- prises concernant les apports en nature, et, en outre, pour la société en commandite, le montant des valeurs libérées ou à libérer par les associés commanditaires;</w:t>
      </w:r>
    </w:p>
    <w:p>
      <w:pPr>
        <w:pStyle w:val="BodyText"/>
        <w:spacing w:before="93"/>
        <w:ind w:left="283" w:right="0" w:firstLine="0"/>
        <w:jc w:val="left"/>
      </w:pPr>
      <w:r>
        <w:rPr>
          <w:color w:val="231F20"/>
        </w:rPr>
        <w:t>7° le début et la fin de chaque exercice social;</w:t>
      </w:r>
    </w:p>
    <w:p>
      <w:pPr>
        <w:pStyle w:val="BodyText"/>
        <w:spacing w:line="218" w:lineRule="auto" w:before="103"/>
        <w:ind w:right="38"/>
      </w:pPr>
      <w:r>
        <w:rPr>
          <w:color w:val="231F20"/>
        </w:rPr>
        <w:t>8° les dispositions relatives à la constitution des réserves, à la répartition des bénéfices et du boni de liquidation de la société;</w:t>
      </w:r>
    </w:p>
    <w:p>
      <w:pPr>
        <w:pStyle w:val="BodyText"/>
        <w:spacing w:before="10"/>
        <w:ind w:left="0" w:right="0" w:firstLine="0"/>
        <w:jc w:val="left"/>
        <w:rPr>
          <w:sz w:val="24"/>
        </w:rPr>
      </w:pPr>
    </w:p>
    <w:p>
      <w:pPr>
        <w:pStyle w:val="BodyText"/>
        <w:spacing w:line="218" w:lineRule="auto"/>
        <w:ind w:right="38"/>
      </w:pPr>
      <w:r>
        <w:rPr>
          <w:color w:val="231F20"/>
        </w:rPr>
        <w:t>9° le mode de nomination et de cessation de fonctions des personnes autorisées à administrer et à représenter la société, l’étendue de leurs pouvoirs et les modalités d’exercice de ces derniers soit séparément, soit conjointement, soit en collège, et le cas échéant, l’étendue des pouvoirs des membres du conseil de surveillance et les modalités d’exercice de ces</w:t>
      </w:r>
      <w:r>
        <w:rPr>
          <w:color w:val="231F20"/>
          <w:spacing w:val="3"/>
        </w:rPr>
        <w:t> </w:t>
      </w:r>
      <w:r>
        <w:rPr>
          <w:color w:val="231F20"/>
        </w:rPr>
        <w:t>derniers;</w:t>
      </w:r>
    </w:p>
    <w:p>
      <w:pPr>
        <w:pStyle w:val="BodyText"/>
        <w:spacing w:line="218" w:lineRule="auto" w:before="107"/>
        <w:ind w:right="38"/>
      </w:pPr>
      <w:r>
        <w:rPr>
          <w:color w:val="231F20"/>
        </w:rPr>
        <w:t>10° l’identité des personnes autorisées à administrer et à représenter la société et, le cas échéant, des membres du conseil de surveillance et du commissaire;</w:t>
      </w:r>
    </w:p>
    <w:p>
      <w:pPr>
        <w:pStyle w:val="BodyText"/>
        <w:spacing w:line="218" w:lineRule="auto" w:before="107"/>
        <w:ind w:right="38"/>
      </w:pPr>
      <w:r>
        <w:rPr>
          <w:color w:val="231F20"/>
        </w:rPr>
        <w:t>11° le cas échéant, la description précise du ou des buts qu’elle poursuit en plus du but de distribuer ou procurer à ses associés un avantage patrimonial direct ou indirect;</w:t>
      </w:r>
    </w:p>
    <w:p>
      <w:pPr>
        <w:pStyle w:val="BodyText"/>
        <w:spacing w:before="7"/>
        <w:ind w:left="0" w:right="0" w:firstLine="0"/>
        <w:jc w:val="left"/>
        <w:rPr>
          <w:sz w:val="23"/>
        </w:rPr>
      </w:pPr>
    </w:p>
    <w:p>
      <w:pPr>
        <w:pStyle w:val="BodyText"/>
        <w:ind w:left="284" w:right="0" w:firstLine="0"/>
        <w:jc w:val="left"/>
      </w:pPr>
      <w:r>
        <w:rPr>
          <w:color w:val="231F20"/>
        </w:rPr>
        <w:t>12° la désignation de l’objet de la société;</w:t>
      </w:r>
    </w:p>
    <w:p>
      <w:pPr>
        <w:pStyle w:val="BodyText"/>
        <w:spacing w:line="218" w:lineRule="auto" w:before="104"/>
        <w:ind w:right="38"/>
      </w:pPr>
      <w:r>
        <w:rPr>
          <w:color w:val="231F20"/>
        </w:rPr>
        <w:t>13° les lieu, jour et heure de l’assemblée générale ordinaire des associés ou actionnaires ainsi que les conditions d’admission et d’exercice du droit de vote;</w:t>
      </w:r>
    </w:p>
    <w:p>
      <w:pPr>
        <w:pStyle w:val="BodyText"/>
        <w:spacing w:line="218" w:lineRule="auto" w:before="106"/>
        <w:ind w:right="38"/>
      </w:pPr>
      <w:r>
        <w:rPr>
          <w:color w:val="231F20"/>
        </w:rPr>
        <w:t>14° les nom, prénom et domicile ou, pour les personnes morales, leurs dénomination, forme légale, numéro d’entreprise et siège, des mandataires, les données prévues par le présent code ainsi que les dispositions pertinentes des procurations sous seing privé ou authen- tique;</w:t>
      </w:r>
    </w:p>
    <w:p>
      <w:pPr>
        <w:pStyle w:val="BodyText"/>
        <w:spacing w:before="93"/>
        <w:ind w:left="284" w:right="0" w:firstLine="0"/>
        <w:jc w:val="left"/>
      </w:pPr>
      <w:r>
        <w:rPr>
          <w:color w:val="231F20"/>
        </w:rPr>
        <w:t>15° pour le groupement européen d’intérêt économique:</w:t>
      </w:r>
    </w:p>
    <w:p>
      <w:pPr>
        <w:pStyle w:val="BodyText"/>
        <w:spacing w:line="218" w:lineRule="auto" w:before="101"/>
        <w:ind w:right="38"/>
      </w:pPr>
      <w:r>
        <w:rPr>
          <w:rFonts w:ascii="Times New Roman" w:hAnsi="Times New Roman"/>
          <w:i/>
          <w:color w:val="231F20"/>
        </w:rPr>
        <w:t>a) </w:t>
      </w:r>
      <w:r>
        <w:rPr>
          <w:color w:val="231F20"/>
        </w:rPr>
        <w:t>les nom, raison sociale ou dénomination, la forme légale, le domicile ou siège et, le cas échéant, le numéro et le lieu d’immatricu- lation de chacun des membres;</w:t>
      </w:r>
    </w:p>
    <w:p>
      <w:pPr>
        <w:pStyle w:val="BodyText"/>
        <w:spacing w:before="105"/>
        <w:ind w:left="283" w:right="0" w:firstLine="0"/>
        <w:jc w:val="left"/>
      </w:pPr>
      <w:r>
        <w:rPr/>
        <w:br w:type="column"/>
      </w:r>
      <w:r>
        <w:rPr>
          <w:color w:val="231F20"/>
        </w:rPr>
        <w:t>10° voor het Europees economisch samenwerkingsverband:</w:t>
      </w:r>
    </w:p>
    <w:p>
      <w:pPr>
        <w:pStyle w:val="ListParagraph"/>
        <w:numPr>
          <w:ilvl w:val="0"/>
          <w:numId w:val="12"/>
        </w:numPr>
        <w:tabs>
          <w:tab w:pos="483" w:val="left" w:leader="none"/>
        </w:tabs>
        <w:spacing w:line="218" w:lineRule="auto" w:before="90" w:after="0"/>
        <w:ind w:left="113" w:right="124" w:firstLine="170"/>
        <w:jc w:val="both"/>
        <w:rPr>
          <w:sz w:val="17"/>
        </w:rPr>
      </w:pPr>
      <w:r>
        <w:rPr>
          <w:color w:val="231F20"/>
          <w:sz w:val="17"/>
        </w:rPr>
        <w:t>het beding waarbij een nieuw lid wordt vrijgesteld van betaling van de schulden die voor zijn toetreding zijn ontstaan wanneer dit in de toetredingsakte is</w:t>
      </w:r>
      <w:r>
        <w:rPr>
          <w:color w:val="231F20"/>
          <w:spacing w:val="-11"/>
          <w:sz w:val="17"/>
        </w:rPr>
        <w:t> </w:t>
      </w:r>
      <w:r>
        <w:rPr>
          <w:color w:val="231F20"/>
          <w:sz w:val="17"/>
        </w:rPr>
        <w:t>vervat;</w:t>
      </w:r>
    </w:p>
    <w:p>
      <w:pPr>
        <w:pStyle w:val="ListParagraph"/>
        <w:numPr>
          <w:ilvl w:val="0"/>
          <w:numId w:val="12"/>
        </w:numPr>
        <w:tabs>
          <w:tab w:pos="531" w:val="left" w:leader="none"/>
        </w:tabs>
        <w:spacing w:line="218" w:lineRule="auto" w:before="94" w:after="0"/>
        <w:ind w:left="113" w:right="124" w:firstLine="170"/>
        <w:jc w:val="both"/>
        <w:rPr>
          <w:sz w:val="17"/>
        </w:rPr>
      </w:pPr>
      <w:r>
        <w:rPr>
          <w:color w:val="231F20"/>
          <w:sz w:val="17"/>
        </w:rPr>
        <w:t>elke overdracht door een lid van het Europees economisch samenwerkingsverband van het geheel of een deel van zijn deelneming overeenkomstig artikel 22, lid 1, van de verordening (EEG) </w:t>
      </w:r>
      <w:r>
        <w:rPr>
          <w:color w:val="231F20"/>
          <w:spacing w:val="-5"/>
          <w:sz w:val="17"/>
        </w:rPr>
        <w:t>nr.</w:t>
      </w:r>
      <w:r>
        <w:rPr>
          <w:color w:val="231F20"/>
          <w:spacing w:val="23"/>
          <w:sz w:val="17"/>
        </w:rPr>
        <w:t> </w:t>
      </w:r>
      <w:r>
        <w:rPr>
          <w:color w:val="231F20"/>
          <w:sz w:val="17"/>
        </w:rPr>
        <w:t>2137/85.</w:t>
      </w:r>
    </w:p>
    <w:p>
      <w:pPr>
        <w:pStyle w:val="BodyText"/>
        <w:spacing w:line="218" w:lineRule="auto" w:before="96"/>
      </w:pPr>
      <w:r>
        <w:rPr>
          <w:color w:val="231F20"/>
        </w:rPr>
        <w:t>Het eerste lid, 1° en 3°, zijn niet van toepassing op de vennootschap onder</w:t>
      </w:r>
      <w:r>
        <w:rPr>
          <w:color w:val="231F20"/>
          <w:spacing w:val="15"/>
        </w:rPr>
        <w:t> </w:t>
      </w:r>
      <w:r>
        <w:rPr>
          <w:color w:val="231F20"/>
        </w:rPr>
        <w:t>firma</w:t>
      </w:r>
      <w:r>
        <w:rPr>
          <w:color w:val="231F20"/>
          <w:spacing w:val="15"/>
        </w:rPr>
        <w:t> </w:t>
      </w:r>
      <w:r>
        <w:rPr>
          <w:color w:val="231F20"/>
        </w:rPr>
        <w:t>en</w:t>
      </w:r>
      <w:r>
        <w:rPr>
          <w:color w:val="231F20"/>
          <w:spacing w:val="15"/>
        </w:rPr>
        <w:t> </w:t>
      </w:r>
      <w:r>
        <w:rPr>
          <w:color w:val="231F20"/>
        </w:rPr>
        <w:t>de</w:t>
      </w:r>
      <w:r>
        <w:rPr>
          <w:color w:val="231F20"/>
          <w:spacing w:val="16"/>
        </w:rPr>
        <w:t> </w:t>
      </w:r>
      <w:r>
        <w:rPr>
          <w:color w:val="231F20"/>
        </w:rPr>
        <w:t>commanditaire</w:t>
      </w:r>
      <w:r>
        <w:rPr>
          <w:color w:val="231F20"/>
          <w:spacing w:val="15"/>
        </w:rPr>
        <w:t> </w:t>
      </w:r>
      <w:r>
        <w:rPr>
          <w:color w:val="231F20"/>
        </w:rPr>
        <w:t>vennootschap.</w:t>
      </w:r>
    </w:p>
    <w:p>
      <w:pPr>
        <w:pStyle w:val="BodyText"/>
        <w:spacing w:line="218" w:lineRule="auto" w:before="96"/>
      </w:pPr>
      <w:r>
        <w:rPr>
          <w:color w:val="231F20"/>
        </w:rPr>
        <w:t>Het in het eerste lid, 5°, vermelde uittreksel bevat hun naam, voornaam, woonplaats, of, ingeval het een rechtspersoon betreft, hun naam, rechtsvorm, ondernemingsnummer en zetel. In het uittreksel wordt, behalve voor de commissarissen, de omvang van hun bevoegd- heid nader aangegeven, alsook de wijze waarop zij deze</w:t>
      </w:r>
      <w:r>
        <w:rPr>
          <w:color w:val="231F20"/>
          <w:spacing w:val="28"/>
        </w:rPr>
        <w:t> </w:t>
      </w:r>
      <w:r>
        <w:rPr>
          <w:color w:val="231F20"/>
        </w:rPr>
        <w:t>uitoefenen, ofwel</w:t>
      </w:r>
      <w:r>
        <w:rPr>
          <w:color w:val="231F20"/>
          <w:spacing w:val="16"/>
        </w:rPr>
        <w:t> </w:t>
      </w:r>
      <w:r>
        <w:rPr>
          <w:color w:val="231F20"/>
        </w:rPr>
        <w:t>alleen</w:t>
      </w:r>
      <w:r>
        <w:rPr>
          <w:color w:val="231F20"/>
          <w:spacing w:val="17"/>
        </w:rPr>
        <w:t> </w:t>
      </w:r>
      <w:r>
        <w:rPr>
          <w:color w:val="231F20"/>
        </w:rPr>
        <w:t>dan</w:t>
      </w:r>
      <w:r>
        <w:rPr>
          <w:color w:val="231F20"/>
          <w:spacing w:val="16"/>
        </w:rPr>
        <w:t> </w:t>
      </w:r>
      <w:r>
        <w:rPr>
          <w:color w:val="231F20"/>
        </w:rPr>
        <w:t>wel</w:t>
      </w:r>
      <w:r>
        <w:rPr>
          <w:color w:val="231F20"/>
          <w:spacing w:val="17"/>
        </w:rPr>
        <w:t> </w:t>
      </w:r>
      <w:r>
        <w:rPr>
          <w:color w:val="231F20"/>
        </w:rPr>
        <w:t>gezamenlijk,</w:t>
      </w:r>
      <w:r>
        <w:rPr>
          <w:color w:val="231F20"/>
          <w:spacing w:val="16"/>
        </w:rPr>
        <w:t> </w:t>
      </w:r>
      <w:r>
        <w:rPr>
          <w:color w:val="231F20"/>
        </w:rPr>
        <w:t>of</w:t>
      </w:r>
      <w:r>
        <w:rPr>
          <w:color w:val="231F20"/>
          <w:spacing w:val="17"/>
        </w:rPr>
        <w:t> </w:t>
      </w:r>
      <w:r>
        <w:rPr>
          <w:color w:val="231F20"/>
        </w:rPr>
        <w:t>als</w:t>
      </w:r>
      <w:r>
        <w:rPr>
          <w:color w:val="231F20"/>
          <w:spacing w:val="17"/>
        </w:rPr>
        <w:t> </w:t>
      </w:r>
      <w:r>
        <w:rPr>
          <w:color w:val="231F20"/>
        </w:rPr>
        <w:t>college.</w:t>
      </w:r>
    </w:p>
    <w:p>
      <w:pPr>
        <w:pStyle w:val="BodyText"/>
        <w:spacing w:before="83"/>
        <w:ind w:left="283" w:right="0" w:firstLine="0"/>
        <w:jc w:val="left"/>
      </w:pPr>
      <w:r>
        <w:rPr>
          <w:color w:val="231F20"/>
        </w:rPr>
        <w:t>Het in het eerste lid, 6°, vermelde uittreksel vermeldt:</w:t>
      </w:r>
    </w:p>
    <w:p>
      <w:pPr>
        <w:pStyle w:val="ListParagraph"/>
        <w:numPr>
          <w:ilvl w:val="0"/>
          <w:numId w:val="13"/>
        </w:numPr>
        <w:tabs>
          <w:tab w:pos="473" w:val="left" w:leader="none"/>
        </w:tabs>
        <w:spacing w:line="240" w:lineRule="auto" w:before="76" w:after="0"/>
        <w:ind w:left="113" w:right="0" w:firstLine="170"/>
        <w:jc w:val="left"/>
        <w:rPr>
          <w:sz w:val="17"/>
        </w:rPr>
      </w:pPr>
      <w:r>
        <w:rPr>
          <w:color w:val="231F20"/>
          <w:sz w:val="17"/>
        </w:rPr>
        <w:t>de</w:t>
      </w:r>
      <w:r>
        <w:rPr>
          <w:color w:val="231F20"/>
          <w:spacing w:val="15"/>
          <w:sz w:val="17"/>
        </w:rPr>
        <w:t> </w:t>
      </w:r>
      <w:r>
        <w:rPr>
          <w:color w:val="231F20"/>
          <w:sz w:val="17"/>
        </w:rPr>
        <w:t>naam</w:t>
      </w:r>
      <w:r>
        <w:rPr>
          <w:color w:val="231F20"/>
          <w:spacing w:val="16"/>
          <w:sz w:val="17"/>
        </w:rPr>
        <w:t> </w:t>
      </w:r>
      <w:r>
        <w:rPr>
          <w:color w:val="231F20"/>
          <w:sz w:val="17"/>
        </w:rPr>
        <w:t>en</w:t>
      </w:r>
      <w:r>
        <w:rPr>
          <w:color w:val="231F20"/>
          <w:spacing w:val="16"/>
          <w:sz w:val="17"/>
        </w:rPr>
        <w:t> </w:t>
      </w:r>
      <w:r>
        <w:rPr>
          <w:color w:val="231F20"/>
          <w:sz w:val="17"/>
        </w:rPr>
        <w:t>de</w:t>
      </w:r>
      <w:r>
        <w:rPr>
          <w:color w:val="231F20"/>
          <w:spacing w:val="16"/>
          <w:sz w:val="17"/>
        </w:rPr>
        <w:t> </w:t>
      </w:r>
      <w:r>
        <w:rPr>
          <w:color w:val="231F20"/>
          <w:sz w:val="17"/>
        </w:rPr>
        <w:t>zetel</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5"/>
          <w:sz w:val="17"/>
        </w:rPr>
        <w:t> </w:t>
      </w:r>
      <w:r>
        <w:rPr>
          <w:color w:val="231F20"/>
          <w:sz w:val="17"/>
        </w:rPr>
        <w:t>vennootschap;</w:t>
      </w:r>
    </w:p>
    <w:p>
      <w:pPr>
        <w:pStyle w:val="ListParagraph"/>
        <w:numPr>
          <w:ilvl w:val="0"/>
          <w:numId w:val="13"/>
        </w:numPr>
        <w:tabs>
          <w:tab w:pos="477" w:val="left" w:leader="none"/>
        </w:tabs>
        <w:spacing w:line="240" w:lineRule="auto" w:before="75" w:after="0"/>
        <w:ind w:left="476" w:right="0" w:hanging="193"/>
        <w:jc w:val="left"/>
        <w:rPr>
          <w:sz w:val="17"/>
        </w:rPr>
      </w:pPr>
      <w:r>
        <w:rPr>
          <w:color w:val="231F20"/>
          <w:sz w:val="17"/>
        </w:rPr>
        <w:t>de</w:t>
      </w:r>
      <w:r>
        <w:rPr>
          <w:color w:val="231F20"/>
          <w:spacing w:val="18"/>
          <w:sz w:val="17"/>
        </w:rPr>
        <w:t> </w:t>
      </w:r>
      <w:r>
        <w:rPr>
          <w:color w:val="231F20"/>
          <w:sz w:val="17"/>
        </w:rPr>
        <w:t>datum</w:t>
      </w:r>
      <w:r>
        <w:rPr>
          <w:color w:val="231F20"/>
          <w:spacing w:val="19"/>
          <w:sz w:val="17"/>
        </w:rPr>
        <w:t> </w:t>
      </w:r>
      <w:r>
        <w:rPr>
          <w:color w:val="231F20"/>
          <w:sz w:val="17"/>
        </w:rPr>
        <w:t>van</w:t>
      </w:r>
      <w:r>
        <w:rPr>
          <w:color w:val="231F20"/>
          <w:spacing w:val="19"/>
          <w:sz w:val="17"/>
        </w:rPr>
        <w:t> </w:t>
      </w:r>
      <w:r>
        <w:rPr>
          <w:color w:val="231F20"/>
          <w:sz w:val="17"/>
        </w:rPr>
        <w:t>de</w:t>
      </w:r>
      <w:r>
        <w:rPr>
          <w:color w:val="231F20"/>
          <w:spacing w:val="19"/>
          <w:sz w:val="17"/>
        </w:rPr>
        <w:t> </w:t>
      </w:r>
      <w:r>
        <w:rPr>
          <w:color w:val="231F20"/>
          <w:sz w:val="17"/>
        </w:rPr>
        <w:t>beslissing</w:t>
      </w:r>
      <w:r>
        <w:rPr>
          <w:color w:val="231F20"/>
          <w:spacing w:val="19"/>
          <w:sz w:val="17"/>
        </w:rPr>
        <w:t> </w:t>
      </w:r>
      <w:r>
        <w:rPr>
          <w:color w:val="231F20"/>
          <w:sz w:val="17"/>
        </w:rPr>
        <w:t>en</w:t>
      </w:r>
      <w:r>
        <w:rPr>
          <w:color w:val="231F20"/>
          <w:spacing w:val="18"/>
          <w:sz w:val="17"/>
        </w:rPr>
        <w:t> </w:t>
      </w:r>
      <w:r>
        <w:rPr>
          <w:color w:val="231F20"/>
          <w:sz w:val="17"/>
        </w:rPr>
        <w:t>de</w:t>
      </w:r>
      <w:r>
        <w:rPr>
          <w:color w:val="231F20"/>
          <w:spacing w:val="19"/>
          <w:sz w:val="17"/>
        </w:rPr>
        <w:t> </w:t>
      </w:r>
      <w:r>
        <w:rPr>
          <w:color w:val="231F20"/>
          <w:sz w:val="17"/>
        </w:rPr>
        <w:t>rechter</w:t>
      </w:r>
      <w:r>
        <w:rPr>
          <w:color w:val="231F20"/>
          <w:spacing w:val="19"/>
          <w:sz w:val="17"/>
        </w:rPr>
        <w:t> </w:t>
      </w:r>
      <w:r>
        <w:rPr>
          <w:color w:val="231F20"/>
          <w:sz w:val="17"/>
        </w:rPr>
        <w:t>die</w:t>
      </w:r>
      <w:r>
        <w:rPr>
          <w:color w:val="231F20"/>
          <w:spacing w:val="19"/>
          <w:sz w:val="17"/>
        </w:rPr>
        <w:t> </w:t>
      </w:r>
      <w:r>
        <w:rPr>
          <w:color w:val="231F20"/>
          <w:sz w:val="17"/>
        </w:rPr>
        <w:t>ze</w:t>
      </w:r>
      <w:r>
        <w:rPr>
          <w:color w:val="231F20"/>
          <w:spacing w:val="19"/>
          <w:sz w:val="17"/>
        </w:rPr>
        <w:t> </w:t>
      </w:r>
      <w:r>
        <w:rPr>
          <w:color w:val="231F20"/>
          <w:sz w:val="17"/>
        </w:rPr>
        <w:t>heeft</w:t>
      </w:r>
      <w:r>
        <w:rPr>
          <w:color w:val="231F20"/>
          <w:spacing w:val="19"/>
          <w:sz w:val="17"/>
        </w:rPr>
        <w:t> </w:t>
      </w:r>
      <w:r>
        <w:rPr>
          <w:color w:val="231F20"/>
          <w:sz w:val="17"/>
        </w:rPr>
        <w:t>gewezen;</w:t>
      </w:r>
    </w:p>
    <w:p>
      <w:pPr>
        <w:pStyle w:val="ListParagraph"/>
        <w:numPr>
          <w:ilvl w:val="0"/>
          <w:numId w:val="13"/>
        </w:numPr>
        <w:tabs>
          <w:tab w:pos="476" w:val="left" w:leader="none"/>
        </w:tabs>
        <w:spacing w:line="218" w:lineRule="auto" w:before="90" w:after="0"/>
        <w:ind w:left="113" w:right="125" w:firstLine="170"/>
        <w:jc w:val="both"/>
        <w:rPr>
          <w:sz w:val="17"/>
        </w:rPr>
      </w:pPr>
      <w:r>
        <w:rPr>
          <w:color w:val="231F20"/>
          <w:sz w:val="17"/>
        </w:rPr>
        <w:t>in voorkomend geval, de naam en de voornaam van de vereffe- naars.</w:t>
      </w:r>
    </w:p>
    <w:p>
      <w:pPr>
        <w:pStyle w:val="BodyText"/>
        <w:spacing w:line="218" w:lineRule="auto" w:before="97"/>
      </w:pPr>
      <w:r>
        <w:rPr>
          <w:color w:val="231F20"/>
        </w:rPr>
        <w:t>§ 2. Het uittreksel uit de oprichtingsakte bedoeld in paragraaf 1, 2°, bevat:</w:t>
      </w:r>
    </w:p>
    <w:p>
      <w:pPr>
        <w:pStyle w:val="BodyText"/>
        <w:spacing w:line="218" w:lineRule="auto" w:before="96"/>
      </w:pPr>
      <w:r>
        <w:rPr>
          <w:color w:val="231F20"/>
        </w:rPr>
        <w:t>1° de rechtsvorm van de vennootschap, haar naam en de aanduiding van het gewest waarin de zetel van de vennootschap is gevestigd;</w:t>
      </w:r>
    </w:p>
    <w:p>
      <w:pPr>
        <w:pStyle w:val="BodyText"/>
        <w:spacing w:line="218" w:lineRule="auto" w:before="96"/>
      </w:pPr>
      <w:r>
        <w:rPr>
          <w:color w:val="231F20"/>
        </w:rPr>
        <w:t>2° de nauwkeurige aanduiding van het adres waarop de zetel van de vennootschap is gevestigd en, in voorkomend geval, het e-mailadres en de website van de vennootschap;</w:t>
      </w:r>
    </w:p>
    <w:p>
      <w:pPr>
        <w:pStyle w:val="BodyText"/>
        <w:spacing w:line="218" w:lineRule="auto" w:before="96"/>
      </w:pPr>
      <w:r>
        <w:rPr>
          <w:color w:val="231F20"/>
        </w:rPr>
        <w:t>3° de duur van de vennootschap, tenzij zij voor onbepaalde tijd is aangegaan;</w:t>
      </w:r>
    </w:p>
    <w:p>
      <w:pPr>
        <w:pStyle w:val="BodyText"/>
        <w:spacing w:line="218" w:lineRule="auto" w:before="96"/>
        <w:ind w:right="123"/>
      </w:pPr>
      <w:r>
        <w:rPr>
          <w:color w:val="231F20"/>
        </w:rPr>
        <w:t>4° de naam, voornaam en woonplaats van de hoofdelijk aansprake- lijke vennoten, de oprichters en de vennoten of aandeelhouders die hun inbreng nog niet volledig hebben volgestort; in dit laatste geval bevat het uittreksel voor elk van deze vennoten of aandeelhouders het bedrag van de nog niet volgestorte inbrengen;</w:t>
      </w:r>
    </w:p>
    <w:p>
      <w:pPr>
        <w:pStyle w:val="BodyText"/>
        <w:spacing w:line="218" w:lineRule="auto" w:before="107"/>
      </w:pPr>
      <w:r>
        <w:rPr>
          <w:color w:val="231F20"/>
        </w:rPr>
        <w:t>5° in voorkomend geval, het bedrag van het kapitaal en het bedrag van het toegestane kapitaal;</w:t>
      </w:r>
    </w:p>
    <w:p>
      <w:pPr>
        <w:pStyle w:val="BodyText"/>
        <w:spacing w:line="218" w:lineRule="auto" w:before="107"/>
      </w:pPr>
      <w:r>
        <w:rPr>
          <w:color w:val="231F20"/>
        </w:rPr>
        <w:t>6° de inbrengen van de oprichters, het op de inbrengen gestorte bedrag, in voorkomend geval, de conclusies van het verslag van de bedrijfsrevisor met betrekking tot de inbrengen in natura, en</w:t>
      </w:r>
      <w:r>
        <w:rPr>
          <w:color w:val="231F20"/>
          <w:spacing w:val="-8"/>
        </w:rPr>
        <w:t> </w:t>
      </w:r>
      <w:r>
        <w:rPr>
          <w:color w:val="231F20"/>
        </w:rPr>
        <w:t>bovendien voor de commanditaire vennootschap, de door de commanditaire vennoten</w:t>
      </w:r>
      <w:r>
        <w:rPr>
          <w:color w:val="231F20"/>
          <w:spacing w:val="14"/>
        </w:rPr>
        <w:t> </w:t>
      </w:r>
      <w:r>
        <w:rPr>
          <w:color w:val="231F20"/>
        </w:rPr>
        <w:t>gestorte</w:t>
      </w:r>
      <w:r>
        <w:rPr>
          <w:color w:val="231F20"/>
          <w:spacing w:val="15"/>
        </w:rPr>
        <w:t> </w:t>
      </w:r>
      <w:r>
        <w:rPr>
          <w:color w:val="231F20"/>
        </w:rPr>
        <w:t>en</w:t>
      </w:r>
      <w:r>
        <w:rPr>
          <w:color w:val="231F20"/>
          <w:spacing w:val="14"/>
        </w:rPr>
        <w:t> </w:t>
      </w:r>
      <w:r>
        <w:rPr>
          <w:color w:val="231F20"/>
        </w:rPr>
        <w:t>nog</w:t>
      </w:r>
      <w:r>
        <w:rPr>
          <w:color w:val="231F20"/>
          <w:spacing w:val="15"/>
        </w:rPr>
        <w:t> </w:t>
      </w:r>
      <w:r>
        <w:rPr>
          <w:color w:val="231F20"/>
        </w:rPr>
        <w:t>te</w:t>
      </w:r>
      <w:r>
        <w:rPr>
          <w:color w:val="231F20"/>
          <w:spacing w:val="15"/>
        </w:rPr>
        <w:t> </w:t>
      </w:r>
      <w:r>
        <w:rPr>
          <w:color w:val="231F20"/>
        </w:rPr>
        <w:t>storten</w:t>
      </w:r>
      <w:r>
        <w:rPr>
          <w:color w:val="231F20"/>
          <w:spacing w:val="14"/>
        </w:rPr>
        <w:t> </w:t>
      </w:r>
      <w:r>
        <w:rPr>
          <w:color w:val="231F20"/>
        </w:rPr>
        <w:t>inbreng;</w:t>
      </w:r>
    </w:p>
    <w:p>
      <w:pPr>
        <w:pStyle w:val="BodyText"/>
        <w:spacing w:before="93"/>
        <w:ind w:left="283" w:right="0" w:firstLine="0"/>
        <w:jc w:val="left"/>
      </w:pPr>
      <w:r>
        <w:rPr>
          <w:color w:val="231F20"/>
        </w:rPr>
        <w:t>7° het begin en het einde van het boekjaar;</w:t>
      </w:r>
    </w:p>
    <w:p>
      <w:pPr>
        <w:pStyle w:val="BodyText"/>
        <w:spacing w:line="218" w:lineRule="auto" w:before="103"/>
      </w:pPr>
      <w:r>
        <w:rPr>
          <w:color w:val="231F20"/>
        </w:rPr>
        <w:t>8° de bepalingen betreffende de aanleg van reserves, de verdeling  van de winst en de verdeling van het na vereffening overblijvende saldo;</w:t>
      </w:r>
    </w:p>
    <w:p>
      <w:pPr>
        <w:pStyle w:val="BodyText"/>
        <w:spacing w:line="218" w:lineRule="auto" w:before="107"/>
        <w:ind w:right="123"/>
      </w:pPr>
      <w:r>
        <w:rPr>
          <w:color w:val="231F20"/>
        </w:rPr>
        <w:t>9° de wijze van benoeming en ambtsbeëindiging van de personen die gemachtigd zijn de vennootschap te besturen en te vertegenwoordigen, de omvang van hun bevoegdheden en de wijze waarop zij die uitoefenen, ofwel alleen, ofwel gezamenlijk, ofwel als college, en in voorkomend geval de omvang van de bevoegdheid van de leden van    de</w:t>
      </w:r>
      <w:r>
        <w:rPr>
          <w:color w:val="231F20"/>
          <w:spacing w:val="17"/>
        </w:rPr>
        <w:t> </w:t>
      </w:r>
      <w:r>
        <w:rPr>
          <w:color w:val="231F20"/>
        </w:rPr>
        <w:t>raad</w:t>
      </w:r>
      <w:r>
        <w:rPr>
          <w:color w:val="231F20"/>
          <w:spacing w:val="18"/>
        </w:rPr>
        <w:t> </w:t>
      </w:r>
      <w:r>
        <w:rPr>
          <w:color w:val="231F20"/>
        </w:rPr>
        <w:t>van</w:t>
      </w:r>
      <w:r>
        <w:rPr>
          <w:color w:val="231F20"/>
          <w:spacing w:val="18"/>
        </w:rPr>
        <w:t> </w:t>
      </w:r>
      <w:r>
        <w:rPr>
          <w:color w:val="231F20"/>
        </w:rPr>
        <w:t>toezicht</w:t>
      </w:r>
      <w:r>
        <w:rPr>
          <w:color w:val="231F20"/>
          <w:spacing w:val="18"/>
        </w:rPr>
        <w:t> </w:t>
      </w:r>
      <w:r>
        <w:rPr>
          <w:color w:val="231F20"/>
        </w:rPr>
        <w:t>en</w:t>
      </w:r>
      <w:r>
        <w:rPr>
          <w:color w:val="231F20"/>
          <w:spacing w:val="18"/>
        </w:rPr>
        <w:t> </w:t>
      </w:r>
      <w:r>
        <w:rPr>
          <w:color w:val="231F20"/>
        </w:rPr>
        <w:t>de</w:t>
      </w:r>
      <w:r>
        <w:rPr>
          <w:color w:val="231F20"/>
          <w:spacing w:val="18"/>
        </w:rPr>
        <w:t> </w:t>
      </w:r>
      <w:r>
        <w:rPr>
          <w:color w:val="231F20"/>
        </w:rPr>
        <w:t>wijze</w:t>
      </w:r>
      <w:r>
        <w:rPr>
          <w:color w:val="231F20"/>
          <w:spacing w:val="18"/>
        </w:rPr>
        <w:t> </w:t>
      </w:r>
      <w:r>
        <w:rPr>
          <w:color w:val="231F20"/>
        </w:rPr>
        <w:t>waarop</w:t>
      </w:r>
      <w:r>
        <w:rPr>
          <w:color w:val="231F20"/>
          <w:spacing w:val="18"/>
        </w:rPr>
        <w:t> </w:t>
      </w:r>
      <w:r>
        <w:rPr>
          <w:color w:val="231F20"/>
        </w:rPr>
        <w:t>zij</w:t>
      </w:r>
      <w:r>
        <w:rPr>
          <w:color w:val="231F20"/>
          <w:spacing w:val="18"/>
        </w:rPr>
        <w:t> </w:t>
      </w:r>
      <w:r>
        <w:rPr>
          <w:color w:val="231F20"/>
        </w:rPr>
        <w:t>deze</w:t>
      </w:r>
      <w:r>
        <w:rPr>
          <w:color w:val="231F20"/>
          <w:spacing w:val="18"/>
        </w:rPr>
        <w:t> </w:t>
      </w:r>
      <w:r>
        <w:rPr>
          <w:color w:val="231F20"/>
        </w:rPr>
        <w:t>uitoefenen;</w:t>
      </w:r>
    </w:p>
    <w:p>
      <w:pPr>
        <w:pStyle w:val="BodyText"/>
        <w:spacing w:line="218" w:lineRule="auto" w:before="107"/>
      </w:pPr>
      <w:r>
        <w:rPr>
          <w:color w:val="231F20"/>
        </w:rPr>
        <w:t>10° de identiteit van de personen die gemachtigd zijn de vennoot- schap te besturen en te vertegenwoordigen en, in voorkomend geval, van de leden van de raad van toezicht en van de commissaris;</w:t>
      </w:r>
    </w:p>
    <w:p>
      <w:pPr>
        <w:pStyle w:val="BodyText"/>
        <w:spacing w:line="218" w:lineRule="auto" w:before="107"/>
      </w:pPr>
      <w:r>
        <w:rPr>
          <w:color w:val="231F20"/>
        </w:rPr>
        <w:t>11° in voorkomend geval, de precieze omschrijving van het doel of de doelen die zij nastreeft bovenop het doel om aan haar vennoten een rechtstreeks of onrechtstreeks vermogensvoordeel uit te keren of te bezorgen;</w:t>
      </w:r>
    </w:p>
    <w:p>
      <w:pPr>
        <w:pStyle w:val="BodyText"/>
        <w:spacing w:before="93"/>
        <w:ind w:left="283" w:right="0" w:firstLine="0"/>
        <w:jc w:val="left"/>
      </w:pPr>
      <w:r>
        <w:rPr>
          <w:color w:val="231F20"/>
        </w:rPr>
        <w:t>12° de omschrijving van het voorwerp van de vennootschap;</w:t>
      </w:r>
    </w:p>
    <w:p>
      <w:pPr>
        <w:pStyle w:val="BodyText"/>
        <w:spacing w:line="218" w:lineRule="auto" w:before="103"/>
      </w:pPr>
      <w:r>
        <w:rPr>
          <w:color w:val="231F20"/>
        </w:rPr>
        <w:t>13° de plaats, de dag en het uur van de jaarvergadering van de vennoten of aandeelhouders, alsook de voorwaarden voor de toelating tot de vergadering en voor de uitoefening van het stemrecht;</w:t>
      </w:r>
    </w:p>
    <w:p>
      <w:pPr>
        <w:pStyle w:val="BodyText"/>
        <w:spacing w:line="218" w:lineRule="auto" w:before="107"/>
      </w:pPr>
      <w:r>
        <w:rPr>
          <w:color w:val="231F20"/>
        </w:rPr>
        <w:t>14° de naam, voornaam en woonplaats, of voor rechtspersonen de naam, rechtsvorm, ondernemingsnummer en zetel, van de lasthebbers, de door dit wetboek bepaalde gegevens evenals de relevante bepalin- gen uit onderhandse of authentieke volmachten;</w:t>
      </w:r>
    </w:p>
    <w:p>
      <w:pPr>
        <w:pStyle w:val="BodyText"/>
        <w:spacing w:before="7"/>
        <w:ind w:left="0" w:right="0" w:firstLine="0"/>
        <w:jc w:val="left"/>
        <w:rPr>
          <w:sz w:val="23"/>
        </w:rPr>
      </w:pPr>
    </w:p>
    <w:p>
      <w:pPr>
        <w:pStyle w:val="BodyText"/>
        <w:ind w:left="283" w:right="0" w:firstLine="0"/>
        <w:jc w:val="left"/>
      </w:pPr>
      <w:r>
        <w:rPr>
          <w:color w:val="231F20"/>
        </w:rPr>
        <w:t>15° voor het Europees economisch samenwerkingsverband:</w:t>
      </w:r>
    </w:p>
    <w:p>
      <w:pPr>
        <w:pStyle w:val="ListParagraph"/>
        <w:numPr>
          <w:ilvl w:val="0"/>
          <w:numId w:val="14"/>
        </w:numPr>
        <w:tabs>
          <w:tab w:pos="528" w:val="left" w:leader="none"/>
        </w:tabs>
        <w:spacing w:line="218" w:lineRule="auto" w:before="101" w:after="0"/>
        <w:ind w:left="113" w:right="124" w:firstLine="170"/>
        <w:jc w:val="both"/>
        <w:rPr>
          <w:sz w:val="17"/>
        </w:rPr>
      </w:pPr>
      <w:r>
        <w:rPr>
          <w:color w:val="231F20"/>
          <w:sz w:val="17"/>
        </w:rPr>
        <w:t>de naam, de handelsnaam of benaming, de rechtsvorm, de woonplaats of de zetel evenals, in voorkomend geval, het nummer en  de</w:t>
      </w:r>
      <w:r>
        <w:rPr>
          <w:color w:val="231F20"/>
          <w:spacing w:val="16"/>
          <w:sz w:val="17"/>
        </w:rPr>
        <w:t> </w:t>
      </w:r>
      <w:r>
        <w:rPr>
          <w:color w:val="231F20"/>
          <w:sz w:val="17"/>
        </w:rPr>
        <w:t>plaats</w:t>
      </w:r>
      <w:r>
        <w:rPr>
          <w:color w:val="231F20"/>
          <w:spacing w:val="16"/>
          <w:sz w:val="17"/>
        </w:rPr>
        <w:t> </w:t>
      </w:r>
      <w:r>
        <w:rPr>
          <w:color w:val="231F20"/>
          <w:sz w:val="17"/>
        </w:rPr>
        <w:t>van</w:t>
      </w:r>
      <w:r>
        <w:rPr>
          <w:color w:val="231F20"/>
          <w:spacing w:val="16"/>
          <w:sz w:val="17"/>
        </w:rPr>
        <w:t> </w:t>
      </w:r>
      <w:r>
        <w:rPr>
          <w:color w:val="231F20"/>
          <w:sz w:val="17"/>
        </w:rPr>
        <w:t>inschrijving</w:t>
      </w:r>
      <w:r>
        <w:rPr>
          <w:color w:val="231F20"/>
          <w:spacing w:val="16"/>
          <w:sz w:val="17"/>
        </w:rPr>
        <w:t> </w:t>
      </w:r>
      <w:r>
        <w:rPr>
          <w:color w:val="231F20"/>
          <w:sz w:val="17"/>
        </w:rPr>
        <w:t>van</w:t>
      </w:r>
      <w:r>
        <w:rPr>
          <w:color w:val="231F20"/>
          <w:spacing w:val="17"/>
          <w:sz w:val="17"/>
        </w:rPr>
        <w:t> </w:t>
      </w:r>
      <w:r>
        <w:rPr>
          <w:color w:val="231F20"/>
          <w:sz w:val="17"/>
        </w:rPr>
        <w:t>elk</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leden;</w:t>
      </w:r>
    </w:p>
    <w:p>
      <w:pPr>
        <w:spacing w:after="0" w:line="218" w:lineRule="auto"/>
        <w:jc w:val="both"/>
        <w:rPr>
          <w:sz w:val="17"/>
        </w:rPr>
        <w:sectPr>
          <w:headerReference w:type="even" r:id="rId11"/>
          <w:headerReference w:type="default" r:id="rId12"/>
          <w:pgSz w:w="11940" w:h="16880"/>
          <w:pgMar w:header="666" w:footer="0" w:top="1140" w:bottom="280" w:left="340" w:right="360"/>
          <w:cols w:num="2" w:equalWidth="0">
            <w:col w:w="5527" w:space="100"/>
            <w:col w:w="5613"/>
          </w:cols>
        </w:sectPr>
      </w:pPr>
    </w:p>
    <w:p>
      <w:pPr>
        <w:pStyle w:val="ListParagraph"/>
        <w:numPr>
          <w:ilvl w:val="0"/>
          <w:numId w:val="14"/>
        </w:numPr>
        <w:tabs>
          <w:tab w:pos="523" w:val="left" w:leader="none"/>
        </w:tabs>
        <w:spacing w:line="218" w:lineRule="auto" w:before="117" w:after="0"/>
        <w:ind w:left="113" w:right="38" w:firstLine="170"/>
        <w:jc w:val="both"/>
        <w:rPr>
          <w:sz w:val="17"/>
        </w:rPr>
      </w:pPr>
      <w:r>
        <w:rPr/>
        <w:pict>
          <v:line style="position:absolute;mso-position-horizontal-relative:page;mso-position-vertical-relative:page;z-index:1312" from="298.170502pt,64.473pt" to="298.170502pt,812.819pt" stroked="true" strokeweight=".533pt" strokecolor="#231f20">
            <v:stroke dashstyle="solid"/>
            <w10:wrap type="none"/>
          </v:line>
        </w:pict>
      </w:r>
      <w:bookmarkStart w:name="_bookmark12" w:id="14"/>
      <w:bookmarkEnd w:id="14"/>
      <w:r>
        <w:rPr/>
      </w:r>
      <w:bookmarkStart w:name="_bookmark12" w:id="15"/>
      <w:bookmarkEnd w:id="15"/>
      <w:r>
        <w:rPr>
          <w:color w:val="231F20"/>
          <w:sz w:val="17"/>
        </w:rPr>
        <w:t>le</w:t>
      </w:r>
      <w:r>
        <w:rPr>
          <w:color w:val="231F20"/>
          <w:sz w:val="17"/>
        </w:rPr>
        <w:t> cas échéant, la clause exonérant un nouveau membre du paiement</w:t>
      </w:r>
      <w:r>
        <w:rPr>
          <w:color w:val="231F20"/>
          <w:spacing w:val="13"/>
          <w:sz w:val="17"/>
        </w:rPr>
        <w:t> </w:t>
      </w:r>
      <w:r>
        <w:rPr>
          <w:color w:val="231F20"/>
          <w:sz w:val="17"/>
        </w:rPr>
        <w:t>des</w:t>
      </w:r>
      <w:r>
        <w:rPr>
          <w:color w:val="231F20"/>
          <w:spacing w:val="14"/>
          <w:sz w:val="17"/>
        </w:rPr>
        <w:t> </w:t>
      </w:r>
      <w:r>
        <w:rPr>
          <w:color w:val="231F20"/>
          <w:sz w:val="17"/>
        </w:rPr>
        <w:t>dettes</w:t>
      </w:r>
      <w:r>
        <w:rPr>
          <w:color w:val="231F20"/>
          <w:spacing w:val="14"/>
          <w:sz w:val="17"/>
        </w:rPr>
        <w:t> </w:t>
      </w:r>
      <w:r>
        <w:rPr>
          <w:color w:val="231F20"/>
          <w:sz w:val="17"/>
        </w:rPr>
        <w:t>nées</w:t>
      </w:r>
      <w:r>
        <w:rPr>
          <w:color w:val="231F20"/>
          <w:spacing w:val="13"/>
          <w:sz w:val="17"/>
        </w:rPr>
        <w:t> </w:t>
      </w:r>
      <w:r>
        <w:rPr>
          <w:color w:val="231F20"/>
          <w:sz w:val="17"/>
        </w:rPr>
        <w:t>antérieurement</w:t>
      </w:r>
      <w:r>
        <w:rPr>
          <w:color w:val="231F20"/>
          <w:spacing w:val="14"/>
          <w:sz w:val="17"/>
        </w:rPr>
        <w:t> </w:t>
      </w:r>
      <w:r>
        <w:rPr>
          <w:color w:val="231F20"/>
          <w:sz w:val="17"/>
        </w:rPr>
        <w:t>à</w:t>
      </w:r>
      <w:r>
        <w:rPr>
          <w:color w:val="231F20"/>
          <w:spacing w:val="14"/>
          <w:sz w:val="17"/>
        </w:rPr>
        <w:t> </w:t>
      </w:r>
      <w:r>
        <w:rPr>
          <w:color w:val="231F20"/>
          <w:sz w:val="17"/>
        </w:rPr>
        <w:t>son</w:t>
      </w:r>
      <w:r>
        <w:rPr>
          <w:color w:val="231F20"/>
          <w:spacing w:val="14"/>
          <w:sz w:val="17"/>
        </w:rPr>
        <w:t> </w:t>
      </w:r>
      <w:r>
        <w:rPr>
          <w:color w:val="231F20"/>
          <w:sz w:val="17"/>
        </w:rPr>
        <w:t>entrée;</w:t>
      </w:r>
    </w:p>
    <w:p>
      <w:pPr>
        <w:pStyle w:val="BodyText"/>
        <w:spacing w:before="7"/>
        <w:ind w:left="0" w:right="0" w:firstLine="0"/>
        <w:jc w:val="left"/>
        <w:rPr>
          <w:sz w:val="24"/>
        </w:rPr>
      </w:pPr>
    </w:p>
    <w:p>
      <w:pPr>
        <w:pStyle w:val="ListParagraph"/>
        <w:numPr>
          <w:ilvl w:val="0"/>
          <w:numId w:val="14"/>
        </w:numPr>
        <w:tabs>
          <w:tab w:pos="501" w:val="left" w:leader="none"/>
        </w:tabs>
        <w:spacing w:line="218" w:lineRule="auto" w:before="0" w:after="0"/>
        <w:ind w:left="113" w:right="38" w:firstLine="170"/>
        <w:jc w:val="both"/>
        <w:rPr>
          <w:sz w:val="17"/>
        </w:rPr>
      </w:pPr>
      <w:r>
        <w:rPr>
          <w:color w:val="231F20"/>
          <w:sz w:val="17"/>
        </w:rPr>
        <w:t>la clause prévoyant la désignation d’un réviseur d’entreprises chargé d’évaluer les apports autres qu’en numéraire. Le Roi peut, par arrêté délibéré en Conseil des ministres, déterminer les catégories de groupements européens d’intérêt économique dispensés de cette formalité.</w:t>
      </w:r>
    </w:p>
    <w:p>
      <w:pPr>
        <w:pStyle w:val="BodyText"/>
        <w:spacing w:line="218" w:lineRule="auto" w:before="107"/>
        <w:ind w:right="38"/>
      </w:pPr>
      <w:r>
        <w:rPr>
          <w:color w:val="231F20"/>
        </w:rPr>
        <w:t>Le 13° et le 14° ne sont pas applicables à la société en nom collectif et à la société en commandite.</w:t>
      </w:r>
    </w:p>
    <w:p>
      <w:pPr>
        <w:pStyle w:val="BodyText"/>
        <w:spacing w:line="218" w:lineRule="auto" w:before="107"/>
        <w:ind w:right="38"/>
      </w:pPr>
      <w:r>
        <w:rPr>
          <w:color w:val="231F20"/>
        </w:rPr>
        <w:t>§ 3. Afin d’être versé au dossier de société, un extrait des conditions d’émission des titres peut être déposé. L’extrait contient au moins le nom, la forme légale, le numéro d’entreprise et le siège de la personne morale émettrice, une identification claire de l’émission et les restric- tions à la cessibilité figurant dans les conditions d’émission.</w:t>
      </w:r>
    </w:p>
    <w:p>
      <w:pPr>
        <w:pStyle w:val="BodyText"/>
        <w:spacing w:before="7"/>
        <w:ind w:left="0" w:right="0" w:firstLine="0"/>
        <w:jc w:val="left"/>
        <w:rPr>
          <w:sz w:val="23"/>
        </w:rPr>
      </w:pPr>
    </w:p>
    <w:p>
      <w:pPr>
        <w:pStyle w:val="BodyText"/>
        <w:spacing w:line="218" w:lineRule="auto"/>
        <w:ind w:right="38"/>
      </w:pPr>
      <w:r>
        <w:rPr>
          <w:color w:val="231F20"/>
        </w:rPr>
        <w:t>Art. 2:9. § 1</w:t>
      </w:r>
      <w:r>
        <w:rPr>
          <w:color w:val="231F20"/>
          <w:position w:val="7"/>
          <w:sz w:val="11"/>
        </w:rPr>
        <w:t>er</w:t>
      </w:r>
      <w:r>
        <w:rPr>
          <w:color w:val="231F20"/>
        </w:rPr>
        <w:t>. Afin d’être versés au dossier de l’association, les documents suivants sont déposés pour l’ASBL, dans les trente jours à compter de la date de l’acte définitif, du prononcé du jugement exécutoire par provision ou du moment où le jugement est passé en force de chose jugée:</w:t>
      </w:r>
    </w:p>
    <w:p>
      <w:pPr>
        <w:pStyle w:val="BodyText"/>
        <w:spacing w:before="92"/>
        <w:ind w:left="283" w:right="0" w:firstLine="0"/>
        <w:jc w:val="left"/>
      </w:pPr>
      <w:r>
        <w:rPr>
          <w:color w:val="231F20"/>
        </w:rPr>
        <w:t>1° l’acte constitutif;</w:t>
      </w:r>
    </w:p>
    <w:p>
      <w:pPr>
        <w:pStyle w:val="BodyText"/>
        <w:spacing w:line="218" w:lineRule="auto" w:before="104"/>
        <w:ind w:right="38"/>
      </w:pPr>
      <w:r>
        <w:rPr>
          <w:color w:val="231F20"/>
        </w:rPr>
        <w:t>2° la première version du texte des statuts ainsi que l’acte constitutif, et le texte coordonné de ces statuts mis à jour ainsi que chaque modification des statuts;</w:t>
      </w:r>
    </w:p>
    <w:p>
      <w:pPr>
        <w:pStyle w:val="BodyText"/>
        <w:spacing w:before="93"/>
        <w:ind w:left="283" w:right="0" w:firstLine="0"/>
        <w:jc w:val="left"/>
      </w:pPr>
      <w:r>
        <w:rPr>
          <w:color w:val="231F20"/>
        </w:rPr>
        <w:t>3° l’extrait de l’acte constitutif visé au paragraphe 2;</w:t>
      </w:r>
    </w:p>
    <w:p>
      <w:pPr>
        <w:pStyle w:val="BodyText"/>
        <w:spacing w:line="218" w:lineRule="auto" w:before="100"/>
        <w:ind w:right="38"/>
      </w:pPr>
      <w:r>
        <w:rPr>
          <w:color w:val="231F20"/>
        </w:rPr>
        <w:t>4° </w:t>
      </w:r>
      <w:r>
        <w:rPr>
          <w:rFonts w:ascii="Times New Roman" w:hAnsi="Times New Roman"/>
          <w:i/>
          <w:color w:val="231F20"/>
        </w:rPr>
        <w:t>a) </w:t>
      </w:r>
      <w:r>
        <w:rPr>
          <w:color w:val="231F20"/>
        </w:rPr>
        <w:t>l’extrait des actes relatifs à la nomination et à la cessation de fonctions des administrateurs et, le cas échéant, des personnes habili- tées à représenter l’ASBL;</w:t>
      </w:r>
    </w:p>
    <w:p>
      <w:pPr>
        <w:pStyle w:val="ListParagraph"/>
        <w:numPr>
          <w:ilvl w:val="0"/>
          <w:numId w:val="15"/>
        </w:numPr>
        <w:tabs>
          <w:tab w:pos="489" w:val="left" w:leader="none"/>
        </w:tabs>
        <w:spacing w:line="218" w:lineRule="auto" w:before="105" w:after="0"/>
        <w:ind w:left="113" w:right="38" w:firstLine="170"/>
        <w:jc w:val="both"/>
        <w:rPr>
          <w:sz w:val="17"/>
        </w:rPr>
      </w:pPr>
      <w:r>
        <w:rPr>
          <w:color w:val="231F20"/>
          <w:sz w:val="17"/>
        </w:rPr>
        <w:t>le cas échéant, l’extrait des actes relatifs à la nomination et à la cessation de fonctions des personnes auxquelles la gestion journalière a été</w:t>
      </w:r>
      <w:r>
        <w:rPr>
          <w:color w:val="231F20"/>
          <w:spacing w:val="15"/>
          <w:sz w:val="17"/>
        </w:rPr>
        <w:t> </w:t>
      </w:r>
      <w:r>
        <w:rPr>
          <w:color w:val="231F20"/>
          <w:sz w:val="17"/>
        </w:rPr>
        <w:t>déléguée;</w:t>
      </w:r>
    </w:p>
    <w:p>
      <w:pPr>
        <w:pStyle w:val="ListParagraph"/>
        <w:numPr>
          <w:ilvl w:val="0"/>
          <w:numId w:val="15"/>
        </w:numPr>
        <w:tabs>
          <w:tab w:pos="481" w:val="left" w:leader="none"/>
        </w:tabs>
        <w:spacing w:line="218" w:lineRule="auto" w:before="104" w:after="0"/>
        <w:ind w:left="113" w:right="38" w:firstLine="170"/>
        <w:jc w:val="both"/>
        <w:rPr>
          <w:sz w:val="17"/>
        </w:rPr>
      </w:pPr>
      <w:r>
        <w:rPr>
          <w:color w:val="231F20"/>
          <w:sz w:val="17"/>
        </w:rPr>
        <w:t>le cas échéant, l’extrait des actes relatifs à la nomination et à la cessation de fonctions des</w:t>
      </w:r>
      <w:r>
        <w:rPr>
          <w:color w:val="231F20"/>
          <w:spacing w:val="17"/>
          <w:sz w:val="17"/>
        </w:rPr>
        <w:t> </w:t>
      </w:r>
      <w:r>
        <w:rPr>
          <w:color w:val="231F20"/>
          <w:sz w:val="17"/>
        </w:rPr>
        <w:t>commissaires.</w:t>
      </w:r>
    </w:p>
    <w:p>
      <w:pPr>
        <w:pStyle w:val="BodyText"/>
        <w:spacing w:line="218" w:lineRule="auto" w:before="107"/>
        <w:ind w:right="38"/>
      </w:pPr>
      <w:r>
        <w:rPr>
          <w:color w:val="231F20"/>
        </w:rPr>
        <w:t>5° les décisions relatives à la nullité ou à la dissolution de l’ASBL, à  sa liquidation, à la nomination et à la cessation de fonctions des liquidateurs, aux conditions de liquidation, à la clôture ou à la réouverture de la liquidation et à la destination de l’actif; les décisions judiciaires ne doivent être déposées au dossier que si elles sont passées en</w:t>
      </w:r>
      <w:r>
        <w:rPr>
          <w:color w:val="231F20"/>
          <w:spacing w:val="15"/>
        </w:rPr>
        <w:t> </w:t>
      </w:r>
      <w:r>
        <w:rPr>
          <w:color w:val="231F20"/>
        </w:rPr>
        <w:t>force</w:t>
      </w:r>
      <w:r>
        <w:rPr>
          <w:color w:val="231F20"/>
          <w:spacing w:val="15"/>
        </w:rPr>
        <w:t> </w:t>
      </w:r>
      <w:r>
        <w:rPr>
          <w:color w:val="231F20"/>
        </w:rPr>
        <w:t>de</w:t>
      </w:r>
      <w:r>
        <w:rPr>
          <w:color w:val="231F20"/>
          <w:spacing w:val="15"/>
        </w:rPr>
        <w:t> </w:t>
      </w:r>
      <w:r>
        <w:rPr>
          <w:color w:val="231F20"/>
        </w:rPr>
        <w:t>chose</w:t>
      </w:r>
      <w:r>
        <w:rPr>
          <w:color w:val="231F20"/>
          <w:spacing w:val="15"/>
        </w:rPr>
        <w:t> </w:t>
      </w:r>
      <w:r>
        <w:rPr>
          <w:color w:val="231F20"/>
        </w:rPr>
        <w:t>jugée</w:t>
      </w:r>
      <w:r>
        <w:rPr>
          <w:color w:val="231F20"/>
          <w:spacing w:val="15"/>
        </w:rPr>
        <w:t> </w:t>
      </w:r>
      <w:r>
        <w:rPr>
          <w:color w:val="231F20"/>
        </w:rPr>
        <w:t>ou</w:t>
      </w:r>
      <w:r>
        <w:rPr>
          <w:color w:val="231F20"/>
          <w:spacing w:val="15"/>
        </w:rPr>
        <w:t> </w:t>
      </w:r>
      <w:r>
        <w:rPr>
          <w:color w:val="231F20"/>
        </w:rPr>
        <w:t>exécutoires</w:t>
      </w:r>
      <w:r>
        <w:rPr>
          <w:color w:val="231F20"/>
          <w:spacing w:val="15"/>
        </w:rPr>
        <w:t> </w:t>
      </w:r>
      <w:r>
        <w:rPr>
          <w:color w:val="231F20"/>
        </w:rPr>
        <w:t>par</w:t>
      </w:r>
      <w:r>
        <w:rPr>
          <w:color w:val="231F20"/>
          <w:spacing w:val="15"/>
        </w:rPr>
        <w:t> </w:t>
      </w:r>
      <w:r>
        <w:rPr>
          <w:color w:val="231F20"/>
        </w:rPr>
        <w:t>provision;</w:t>
      </w:r>
    </w:p>
    <w:p>
      <w:pPr>
        <w:pStyle w:val="BodyText"/>
        <w:spacing w:line="218" w:lineRule="auto" w:before="107"/>
        <w:ind w:right="38"/>
      </w:pPr>
      <w:r>
        <w:rPr>
          <w:color w:val="231F20"/>
        </w:rPr>
        <w:t>6° l’extrait des décisions visées au 5°, mentionnant le juge, la date et le dispositif de la décision;</w:t>
      </w:r>
    </w:p>
    <w:p>
      <w:pPr>
        <w:pStyle w:val="BodyText"/>
        <w:spacing w:line="218" w:lineRule="auto" w:before="106"/>
        <w:ind w:right="38"/>
      </w:pPr>
      <w:r>
        <w:rPr>
          <w:color w:val="231F20"/>
        </w:rPr>
        <w:t>7° l’extrait des actes et décisions relatifs à la nomination et à la cessation de fonctions des liquidateurs, comportant leurs nom, prénom et domicile, ou, lorsqu’il s’agit de personnes morales, leurs dénomina- tion, forme légale, numéro d’entreprise et siège;</w:t>
      </w:r>
    </w:p>
    <w:p>
      <w:pPr>
        <w:pStyle w:val="BodyText"/>
        <w:spacing w:before="93"/>
        <w:ind w:left="283" w:right="0" w:firstLine="0"/>
        <w:jc w:val="left"/>
      </w:pPr>
      <w:r>
        <w:rPr>
          <w:color w:val="231F20"/>
        </w:rPr>
        <w:t>8° les comptes annuels, établis conformément à l’article 3:47;</w:t>
      </w:r>
    </w:p>
    <w:p>
      <w:pPr>
        <w:pStyle w:val="BodyText"/>
        <w:spacing w:line="218" w:lineRule="auto" w:before="104"/>
        <w:ind w:right="38"/>
      </w:pPr>
      <w:r>
        <w:rPr>
          <w:color w:val="231F20"/>
        </w:rPr>
        <w:t>9° les décisions prises et les actes passés relatifs à la transformation d’une société ou une AISBL en une ASBL conformément au livre 14;</w:t>
      </w:r>
    </w:p>
    <w:p>
      <w:pPr>
        <w:pStyle w:val="BodyText"/>
        <w:spacing w:before="9"/>
        <w:ind w:left="0" w:right="0" w:firstLine="0"/>
        <w:jc w:val="left"/>
        <w:rPr>
          <w:sz w:val="24"/>
        </w:rPr>
      </w:pPr>
    </w:p>
    <w:p>
      <w:pPr>
        <w:pStyle w:val="BodyText"/>
        <w:spacing w:line="218" w:lineRule="auto" w:before="1"/>
        <w:ind w:right="38"/>
      </w:pPr>
      <w:r>
        <w:rPr>
          <w:color w:val="231F20"/>
        </w:rPr>
        <w:t>10° les modifications aux actes, documents et décisions visés aux 1°, 4°, 7°, 8° et 9°.</w:t>
      </w:r>
    </w:p>
    <w:p>
      <w:pPr>
        <w:pStyle w:val="BodyText"/>
        <w:spacing w:before="77"/>
        <w:ind w:left="283" w:right="0" w:firstLine="0"/>
        <w:jc w:val="left"/>
      </w:pPr>
      <w:r>
        <w:rPr>
          <w:color w:val="231F20"/>
        </w:rPr>
        <w:t>Les extraits visés à l’alinéa 1</w:t>
      </w:r>
      <w:r>
        <w:rPr>
          <w:color w:val="231F20"/>
          <w:position w:val="7"/>
          <w:sz w:val="11"/>
        </w:rPr>
        <w:t>er</w:t>
      </w:r>
      <w:r>
        <w:rPr>
          <w:color w:val="231F20"/>
        </w:rPr>
        <w:t>, 4°, contiennent:</w:t>
      </w:r>
    </w:p>
    <w:p>
      <w:pPr>
        <w:pStyle w:val="ListParagraph"/>
        <w:numPr>
          <w:ilvl w:val="0"/>
          <w:numId w:val="16"/>
        </w:numPr>
        <w:tabs>
          <w:tab w:pos="505" w:val="left" w:leader="none"/>
        </w:tabs>
        <w:spacing w:line="218" w:lineRule="auto" w:before="101" w:after="0"/>
        <w:ind w:left="113" w:right="38" w:firstLine="170"/>
        <w:jc w:val="both"/>
        <w:rPr>
          <w:sz w:val="17"/>
        </w:rPr>
      </w:pPr>
      <w:r>
        <w:rPr>
          <w:color w:val="231F20"/>
          <w:sz w:val="17"/>
        </w:rPr>
        <w:t>leurs nom, prénom, domicile ou, lorsqu’il s’agit de personnes morales, leurs dénomination, forme légale, numéro d’entreprise et siège;</w:t>
      </w:r>
    </w:p>
    <w:p>
      <w:pPr>
        <w:pStyle w:val="ListParagraph"/>
        <w:numPr>
          <w:ilvl w:val="0"/>
          <w:numId w:val="16"/>
        </w:numPr>
        <w:tabs>
          <w:tab w:pos="468" w:val="left" w:leader="none"/>
        </w:tabs>
        <w:spacing w:line="218" w:lineRule="auto" w:before="104" w:after="0"/>
        <w:ind w:left="113" w:right="38" w:firstLine="170"/>
        <w:jc w:val="both"/>
        <w:rPr>
          <w:sz w:val="17"/>
        </w:rPr>
      </w:pPr>
      <w:r>
        <w:rPr>
          <w:color w:val="231F20"/>
          <w:sz w:val="17"/>
        </w:rPr>
        <w:t>le cas échéant, l’étendue de leurs pouvoirs de représentation et les modalités d’exercice de ces derniers soit séparément, soit conjointe- ment, soit en</w:t>
      </w:r>
      <w:r>
        <w:rPr>
          <w:color w:val="231F20"/>
          <w:spacing w:val="3"/>
          <w:sz w:val="17"/>
        </w:rPr>
        <w:t> </w:t>
      </w:r>
      <w:r>
        <w:rPr>
          <w:color w:val="231F20"/>
          <w:sz w:val="17"/>
        </w:rPr>
        <w:t>collège.</w:t>
      </w:r>
    </w:p>
    <w:p>
      <w:pPr>
        <w:pStyle w:val="BodyText"/>
        <w:spacing w:before="78"/>
        <w:ind w:left="283" w:right="0" w:firstLine="0"/>
        <w:jc w:val="left"/>
      </w:pPr>
      <w:r>
        <w:rPr>
          <w:color w:val="231F20"/>
        </w:rPr>
        <w:t>§ 2. L’extrait visé au paragraphe 1</w:t>
      </w:r>
      <w:r>
        <w:rPr>
          <w:color w:val="231F20"/>
          <w:position w:val="7"/>
          <w:sz w:val="11"/>
        </w:rPr>
        <w:t>er</w:t>
      </w:r>
      <w:r>
        <w:rPr>
          <w:color w:val="231F20"/>
        </w:rPr>
        <w:t>, 3°, contient:</w:t>
      </w:r>
    </w:p>
    <w:p>
      <w:pPr>
        <w:pStyle w:val="BodyText"/>
        <w:spacing w:line="218" w:lineRule="auto" w:before="103"/>
        <w:ind w:right="38"/>
      </w:pPr>
      <w:r>
        <w:rPr>
          <w:color w:val="231F20"/>
        </w:rPr>
        <w:t>1° les nom, prénom et domicile de chaque fondateur, ou, lorsqu’il s’agit d’une personne morale, sa dénomination, sa forme légale, son numéro d’entreprise et l’adresse de son siège;</w:t>
      </w:r>
    </w:p>
    <w:p>
      <w:pPr>
        <w:pStyle w:val="BodyText"/>
        <w:spacing w:line="218" w:lineRule="auto" w:before="107"/>
        <w:ind w:right="38"/>
      </w:pPr>
      <w:r>
        <w:rPr>
          <w:color w:val="231F20"/>
        </w:rPr>
        <w:t>2° la dénomination et l’indication de la région dans laquelle le siège de l’ASBL est établi;</w:t>
      </w:r>
    </w:p>
    <w:p>
      <w:pPr>
        <w:pStyle w:val="BodyText"/>
        <w:spacing w:before="104"/>
        <w:ind w:left="283" w:right="0" w:firstLine="0"/>
        <w:jc w:val="left"/>
      </w:pPr>
      <w:r>
        <w:rPr>
          <w:color w:val="231F20"/>
        </w:rPr>
        <w:t>3° le nombre minimum des membres;</w:t>
      </w:r>
    </w:p>
    <w:p>
      <w:pPr>
        <w:pStyle w:val="BodyText"/>
        <w:spacing w:line="218" w:lineRule="auto" w:before="113"/>
        <w:ind w:right="38"/>
      </w:pPr>
      <w:r>
        <w:rPr>
          <w:color w:val="231F20"/>
        </w:rPr>
        <w:t>4° la description précise du but désintéressé qu’elle poursuit et des activités qui constituent son objet;</w:t>
      </w:r>
    </w:p>
    <w:p>
      <w:pPr>
        <w:pStyle w:val="BodyText"/>
        <w:spacing w:before="104"/>
        <w:ind w:left="283" w:right="0" w:firstLine="0"/>
        <w:jc w:val="left"/>
      </w:pPr>
      <w:r>
        <w:rPr>
          <w:color w:val="231F20"/>
        </w:rPr>
        <w:t>5° les conditions et formalités d’admission et de sortie des membres;</w:t>
      </w:r>
    </w:p>
    <w:p>
      <w:pPr>
        <w:pStyle w:val="ListParagraph"/>
        <w:numPr>
          <w:ilvl w:val="0"/>
          <w:numId w:val="17"/>
        </w:numPr>
        <w:tabs>
          <w:tab w:pos="497" w:val="left" w:leader="none"/>
        </w:tabs>
        <w:spacing w:line="218" w:lineRule="auto" w:before="117" w:after="0"/>
        <w:ind w:left="113" w:right="124" w:firstLine="170"/>
        <w:jc w:val="both"/>
        <w:rPr>
          <w:sz w:val="17"/>
        </w:rPr>
      </w:pPr>
      <w:r>
        <w:rPr>
          <w:color w:val="231F20"/>
          <w:w w:val="99"/>
          <w:sz w:val="17"/>
        </w:rPr>
        <w:br w:type="column"/>
      </w:r>
      <w:r>
        <w:rPr>
          <w:color w:val="231F20"/>
          <w:sz w:val="17"/>
        </w:rPr>
        <w:t>in voorkomend geval, het beding waarbij een nieuw lid wordt vrijgesteld van betaling van de schulden die voor zijn toetreding zijn ontstaan;</w:t>
      </w:r>
    </w:p>
    <w:p>
      <w:pPr>
        <w:pStyle w:val="ListParagraph"/>
        <w:numPr>
          <w:ilvl w:val="0"/>
          <w:numId w:val="17"/>
        </w:numPr>
        <w:tabs>
          <w:tab w:pos="460" w:val="left" w:leader="none"/>
        </w:tabs>
        <w:spacing w:line="218" w:lineRule="auto" w:before="104" w:after="0"/>
        <w:ind w:left="113" w:right="124" w:firstLine="170"/>
        <w:jc w:val="both"/>
        <w:rPr>
          <w:sz w:val="17"/>
        </w:rPr>
      </w:pPr>
      <w:r>
        <w:rPr>
          <w:color w:val="231F20"/>
          <w:sz w:val="17"/>
        </w:rPr>
        <w:t>het beding waarbij in de aanwijzing van een bedrijfsrevisor wordt voorzien, belast met de waardering van inbrengen die niet in geld bestaan. De Koning kan bij in Ministerraad overlegd besluit de soorten Europese economisch samenwerkingsverbanden bepalen die van deze vereiste worden</w:t>
      </w:r>
      <w:r>
        <w:rPr>
          <w:color w:val="231F20"/>
          <w:spacing w:val="-11"/>
          <w:sz w:val="17"/>
        </w:rPr>
        <w:t> </w:t>
      </w:r>
      <w:r>
        <w:rPr>
          <w:color w:val="231F20"/>
          <w:sz w:val="17"/>
        </w:rPr>
        <w:t>vrijgesteld.</w:t>
      </w:r>
    </w:p>
    <w:p>
      <w:pPr>
        <w:pStyle w:val="BodyText"/>
        <w:spacing w:line="218" w:lineRule="auto" w:before="107"/>
      </w:pPr>
      <w:r>
        <w:rPr>
          <w:color w:val="231F20"/>
        </w:rPr>
        <w:t>Op de vennootschap onder firma en de commanditaire vennootschap zijn de punten 13° en 14° niet van toepassing.</w:t>
      </w:r>
    </w:p>
    <w:p>
      <w:pPr>
        <w:pStyle w:val="BodyText"/>
        <w:spacing w:line="218" w:lineRule="auto" w:before="107"/>
        <w:ind w:right="123"/>
      </w:pPr>
      <w:r>
        <w:rPr>
          <w:color w:val="231F20"/>
        </w:rPr>
        <w:t>§ 3. Met het oog op hun opname in het vennootschapsdossier kan een uittreksel van uitgiftevoorwaarden van effecten worden neergelegd.  Het</w:t>
      </w:r>
      <w:r>
        <w:rPr>
          <w:color w:val="231F20"/>
          <w:spacing w:val="-12"/>
        </w:rPr>
        <w:t> </w:t>
      </w:r>
      <w:r>
        <w:rPr>
          <w:color w:val="231F20"/>
        </w:rPr>
        <w:t>uittreksel</w:t>
      </w:r>
      <w:r>
        <w:rPr>
          <w:color w:val="231F20"/>
          <w:spacing w:val="-11"/>
        </w:rPr>
        <w:t> </w:t>
      </w:r>
      <w:r>
        <w:rPr>
          <w:color w:val="231F20"/>
        </w:rPr>
        <w:t>bevat</w:t>
      </w:r>
      <w:r>
        <w:rPr>
          <w:color w:val="231F20"/>
          <w:spacing w:val="-11"/>
        </w:rPr>
        <w:t> </w:t>
      </w:r>
      <w:r>
        <w:rPr>
          <w:color w:val="231F20"/>
        </w:rPr>
        <w:t>minstens</w:t>
      </w:r>
      <w:r>
        <w:rPr>
          <w:color w:val="231F20"/>
          <w:spacing w:val="-12"/>
        </w:rPr>
        <w:t> </w:t>
      </w:r>
      <w:r>
        <w:rPr>
          <w:color w:val="231F20"/>
        </w:rPr>
        <w:t>de</w:t>
      </w:r>
      <w:r>
        <w:rPr>
          <w:color w:val="231F20"/>
          <w:spacing w:val="-11"/>
        </w:rPr>
        <w:t> </w:t>
      </w:r>
      <w:r>
        <w:rPr>
          <w:color w:val="231F20"/>
        </w:rPr>
        <w:t>naam,</w:t>
      </w:r>
      <w:r>
        <w:rPr>
          <w:color w:val="231F20"/>
          <w:spacing w:val="-11"/>
        </w:rPr>
        <w:t> </w:t>
      </w:r>
      <w:r>
        <w:rPr>
          <w:color w:val="231F20"/>
        </w:rPr>
        <w:t>rechtsvorm,</w:t>
      </w:r>
      <w:r>
        <w:rPr>
          <w:color w:val="231F20"/>
          <w:spacing w:val="-11"/>
        </w:rPr>
        <w:t> </w:t>
      </w:r>
      <w:r>
        <w:rPr>
          <w:color w:val="231F20"/>
        </w:rPr>
        <w:t>ondernemingsnum- mer en zetel van de rechtspersoon-emittent, een duidelijke identificatie van de emissie en de in de uitgiftevoorwaarden opgenomen beperkin- gen aan de</w:t>
      </w:r>
      <w:r>
        <w:rPr>
          <w:color w:val="231F20"/>
          <w:spacing w:val="5"/>
        </w:rPr>
        <w:t> </w:t>
      </w:r>
      <w:r>
        <w:rPr>
          <w:color w:val="231F20"/>
        </w:rPr>
        <w:t>overdraagbaarheid.</w:t>
      </w:r>
    </w:p>
    <w:p>
      <w:pPr>
        <w:pStyle w:val="BodyText"/>
        <w:spacing w:line="218" w:lineRule="auto" w:before="107"/>
      </w:pPr>
      <w:r>
        <w:rPr>
          <w:color w:val="231F20"/>
        </w:rPr>
        <w:t>Art. 2:9. § 1. Met het oog op hun opname in het verenigingsdossier worden voor een VZW binnen dertig dagen, te rekenen vanaf de dagtekening van de definitieve akte, de uitspraak van het vonnis uitvoerbaar bij voorraad of het in kracht van gewijsde gaan van het vonnis, de volgende stukken neergelegd:</w:t>
      </w:r>
    </w:p>
    <w:p>
      <w:pPr>
        <w:pStyle w:val="BodyText"/>
        <w:spacing w:before="93"/>
        <w:ind w:left="283" w:right="0" w:firstLine="0"/>
        <w:jc w:val="left"/>
      </w:pPr>
      <w:r>
        <w:rPr>
          <w:color w:val="231F20"/>
          <w:w w:val="105"/>
        </w:rPr>
        <w:t>1° de oprichtingsakte;</w:t>
      </w:r>
    </w:p>
    <w:p>
      <w:pPr>
        <w:pStyle w:val="BodyText"/>
        <w:spacing w:line="218" w:lineRule="auto" w:before="103"/>
      </w:pPr>
      <w:r>
        <w:rPr>
          <w:color w:val="231F20"/>
        </w:rPr>
        <w:t>2° de eerste versie van de tekst van de statuten samen met de oprichtingsakte, en de bijgewerkte en gecoördineerde tekst van de statuten samen met iedere statutenwijziging;</w:t>
      </w:r>
    </w:p>
    <w:p>
      <w:pPr>
        <w:pStyle w:val="BodyText"/>
        <w:spacing w:before="93"/>
        <w:ind w:left="283" w:right="0" w:firstLine="0"/>
        <w:jc w:val="left"/>
      </w:pPr>
      <w:r>
        <w:rPr>
          <w:color w:val="231F20"/>
        </w:rPr>
        <w:t>3° het uittreksel uit de oprichtingsakte zoals bedoeld in paragraaf 2;</w:t>
      </w:r>
    </w:p>
    <w:p>
      <w:pPr>
        <w:pStyle w:val="BodyText"/>
        <w:spacing w:line="218" w:lineRule="auto" w:before="101"/>
      </w:pPr>
      <w:r>
        <w:rPr>
          <w:color w:val="231F20"/>
        </w:rPr>
        <w:t>4° </w:t>
      </w:r>
      <w:r>
        <w:rPr>
          <w:rFonts w:ascii="Times New Roman" w:hAnsi="Times New Roman"/>
          <w:i/>
          <w:color w:val="231F20"/>
        </w:rPr>
        <w:t>a) </w:t>
      </w:r>
      <w:r>
        <w:rPr>
          <w:color w:val="231F20"/>
        </w:rPr>
        <w:t>het uittreksel uit de akten betreffende de benoeming en ambtsbeëindiging van de bestuurders en, in voorkomend geval, van de personen gemachtigd om de VZW te vertegenwoordigen;</w:t>
      </w:r>
    </w:p>
    <w:p>
      <w:pPr>
        <w:pStyle w:val="ListParagraph"/>
        <w:numPr>
          <w:ilvl w:val="0"/>
          <w:numId w:val="18"/>
        </w:numPr>
        <w:tabs>
          <w:tab w:pos="491" w:val="left" w:leader="none"/>
        </w:tabs>
        <w:spacing w:line="218" w:lineRule="auto" w:before="104" w:after="0"/>
        <w:ind w:left="113" w:right="124" w:firstLine="170"/>
        <w:jc w:val="both"/>
        <w:rPr>
          <w:sz w:val="17"/>
        </w:rPr>
      </w:pPr>
      <w:r>
        <w:rPr>
          <w:color w:val="231F20"/>
          <w:sz w:val="17"/>
        </w:rPr>
        <w:t>in voorkomend geval, het uittreksel uit de akten betreffende de benoeming en ambtsbeëindiging van de personen aan wie het dagelijks bestuur is</w:t>
      </w:r>
      <w:r>
        <w:rPr>
          <w:color w:val="231F20"/>
          <w:spacing w:val="-11"/>
          <w:sz w:val="17"/>
        </w:rPr>
        <w:t> </w:t>
      </w:r>
      <w:r>
        <w:rPr>
          <w:color w:val="231F20"/>
          <w:sz w:val="17"/>
        </w:rPr>
        <w:t>opgedragen;</w:t>
      </w:r>
    </w:p>
    <w:p>
      <w:pPr>
        <w:pStyle w:val="ListParagraph"/>
        <w:numPr>
          <w:ilvl w:val="0"/>
          <w:numId w:val="18"/>
        </w:numPr>
        <w:tabs>
          <w:tab w:pos="482" w:val="left" w:leader="none"/>
        </w:tabs>
        <w:spacing w:line="218" w:lineRule="auto" w:before="104" w:after="0"/>
        <w:ind w:left="113" w:right="124" w:firstLine="170"/>
        <w:jc w:val="both"/>
        <w:rPr>
          <w:sz w:val="17"/>
        </w:rPr>
      </w:pPr>
      <w:r>
        <w:rPr>
          <w:color w:val="231F20"/>
          <w:sz w:val="17"/>
        </w:rPr>
        <w:t>in voorkomend geval, het uittreksel uit de akten betreffende de benoeming</w:t>
      </w:r>
      <w:r>
        <w:rPr>
          <w:color w:val="231F20"/>
          <w:spacing w:val="15"/>
          <w:sz w:val="17"/>
        </w:rPr>
        <w:t> </w:t>
      </w:r>
      <w:r>
        <w:rPr>
          <w:color w:val="231F20"/>
          <w:sz w:val="17"/>
        </w:rPr>
        <w:t>en</w:t>
      </w:r>
      <w:r>
        <w:rPr>
          <w:color w:val="231F20"/>
          <w:spacing w:val="16"/>
          <w:sz w:val="17"/>
        </w:rPr>
        <w:t> </w:t>
      </w:r>
      <w:r>
        <w:rPr>
          <w:color w:val="231F20"/>
          <w:sz w:val="17"/>
        </w:rPr>
        <w:t>ambtsbeëindiging</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commissarissen.</w:t>
      </w:r>
    </w:p>
    <w:p>
      <w:pPr>
        <w:pStyle w:val="BodyText"/>
        <w:spacing w:line="218" w:lineRule="auto" w:before="107"/>
      </w:pPr>
      <w:r>
        <w:rPr>
          <w:color w:val="231F20"/>
        </w:rPr>
        <w:t>5° de beslissingen betreffende de nietigheid of de ontbinding van de VZW, de vereffening ervan, de benoeming en ambtsbeëindiging van de vereffenaars, de vereffeningsvoorwaarden, de sluiting of de heropening van de vereffening en de bestemming van het actief; de rechterlijke beslissingen moeten slechts bij het dossier worden gevoegd als zij in kracht van gewijsde zijn gegaan of uitvoerbaar zijn bij voorraad;</w:t>
      </w:r>
    </w:p>
    <w:p>
      <w:pPr>
        <w:pStyle w:val="BodyText"/>
        <w:spacing w:line="218" w:lineRule="auto" w:before="107"/>
      </w:pPr>
      <w:r>
        <w:rPr>
          <w:color w:val="231F20"/>
        </w:rPr>
        <w:t>6° het uittreksel uit de onder 5° bedoelde beslissingen, dat de rechter, de datum en het dispositief van de beslissing vermeldt;</w:t>
      </w:r>
    </w:p>
    <w:p>
      <w:pPr>
        <w:pStyle w:val="BodyText"/>
        <w:spacing w:line="218" w:lineRule="auto" w:before="107"/>
        <w:ind w:right="123"/>
      </w:pPr>
      <w:r>
        <w:rPr>
          <w:color w:val="231F20"/>
        </w:rPr>
        <w:t>7° het uittreksel uit de akten en beslissingen betreffende de benoe- ming en ambtsbeëindiging van de vereffenaars, dat hun naam, voornaam en woonplaats, of, ingeval het een rechtspersoon betreft, hun naam, rechtsvorm, ondernemingsnummer en zetel vermeldt;</w:t>
      </w:r>
    </w:p>
    <w:p>
      <w:pPr>
        <w:pStyle w:val="BodyText"/>
        <w:spacing w:before="93"/>
        <w:ind w:left="283" w:right="0" w:firstLine="0"/>
        <w:jc w:val="left"/>
      </w:pPr>
      <w:r>
        <w:rPr>
          <w:color w:val="231F20"/>
        </w:rPr>
        <w:t>8° de jaarrekening, opgemaakt overeenkomstig artikel 3:47;</w:t>
      </w:r>
    </w:p>
    <w:p>
      <w:pPr>
        <w:pStyle w:val="BodyText"/>
        <w:spacing w:line="218" w:lineRule="auto" w:before="103"/>
      </w:pPr>
      <w:r>
        <w:rPr>
          <w:color w:val="231F20"/>
        </w:rPr>
        <w:t>9° de beslissingen en akten betreffende de omzetting van een vennootschap of een IVZW in een VZW die overeenkomstig boek 14 tot stand komen;</w:t>
      </w:r>
    </w:p>
    <w:p>
      <w:pPr>
        <w:pStyle w:val="BodyText"/>
        <w:spacing w:line="218" w:lineRule="auto" w:before="107"/>
      </w:pPr>
      <w:r>
        <w:rPr>
          <w:color w:val="231F20"/>
        </w:rPr>
        <w:t>10°</w:t>
      </w:r>
      <w:r>
        <w:rPr>
          <w:color w:val="231F20"/>
          <w:spacing w:val="-4"/>
        </w:rPr>
        <w:t> </w:t>
      </w:r>
      <w:r>
        <w:rPr>
          <w:color w:val="231F20"/>
        </w:rPr>
        <w:t>de</w:t>
      </w:r>
      <w:r>
        <w:rPr>
          <w:color w:val="231F20"/>
          <w:spacing w:val="-4"/>
        </w:rPr>
        <w:t> </w:t>
      </w:r>
      <w:r>
        <w:rPr>
          <w:color w:val="231F20"/>
        </w:rPr>
        <w:t>wijzigingen</w:t>
      </w:r>
      <w:r>
        <w:rPr>
          <w:color w:val="231F20"/>
          <w:spacing w:val="-4"/>
        </w:rPr>
        <w:t> </w:t>
      </w:r>
      <w:r>
        <w:rPr>
          <w:color w:val="231F20"/>
        </w:rPr>
        <w:t>in</w:t>
      </w:r>
      <w:r>
        <w:rPr>
          <w:color w:val="231F20"/>
          <w:spacing w:val="-4"/>
        </w:rPr>
        <w:t> </w:t>
      </w:r>
      <w:r>
        <w:rPr>
          <w:color w:val="231F20"/>
        </w:rPr>
        <w:t>de</w:t>
      </w:r>
      <w:r>
        <w:rPr>
          <w:color w:val="231F20"/>
          <w:spacing w:val="-4"/>
        </w:rPr>
        <w:t> </w:t>
      </w:r>
      <w:r>
        <w:rPr>
          <w:color w:val="231F20"/>
        </w:rPr>
        <w:t>in</w:t>
      </w:r>
      <w:r>
        <w:rPr>
          <w:color w:val="231F20"/>
          <w:spacing w:val="-4"/>
        </w:rPr>
        <w:t> </w:t>
      </w:r>
      <w:r>
        <w:rPr>
          <w:color w:val="231F20"/>
        </w:rPr>
        <w:t>1°,</w:t>
      </w:r>
      <w:r>
        <w:rPr>
          <w:color w:val="231F20"/>
          <w:spacing w:val="-4"/>
        </w:rPr>
        <w:t> </w:t>
      </w:r>
      <w:r>
        <w:rPr>
          <w:color w:val="231F20"/>
        </w:rPr>
        <w:t>4°,</w:t>
      </w:r>
      <w:r>
        <w:rPr>
          <w:color w:val="231F20"/>
          <w:spacing w:val="-4"/>
        </w:rPr>
        <w:t> </w:t>
      </w:r>
      <w:r>
        <w:rPr>
          <w:color w:val="231F20"/>
        </w:rPr>
        <w:t>7°,</w:t>
      </w:r>
      <w:r>
        <w:rPr>
          <w:color w:val="231F20"/>
          <w:spacing w:val="-4"/>
        </w:rPr>
        <w:t> </w:t>
      </w:r>
      <w:r>
        <w:rPr>
          <w:color w:val="231F20"/>
        </w:rPr>
        <w:t>8°</w:t>
      </w:r>
      <w:r>
        <w:rPr>
          <w:color w:val="231F20"/>
          <w:spacing w:val="-3"/>
        </w:rPr>
        <w:t> </w:t>
      </w:r>
      <w:r>
        <w:rPr>
          <w:color w:val="231F20"/>
        </w:rPr>
        <w:t>en</w:t>
      </w:r>
      <w:r>
        <w:rPr>
          <w:color w:val="231F20"/>
          <w:spacing w:val="-4"/>
        </w:rPr>
        <w:t> </w:t>
      </w:r>
      <w:r>
        <w:rPr>
          <w:color w:val="231F20"/>
        </w:rPr>
        <w:t>9°,</w:t>
      </w:r>
      <w:r>
        <w:rPr>
          <w:color w:val="231F20"/>
          <w:spacing w:val="-4"/>
        </w:rPr>
        <w:t> </w:t>
      </w:r>
      <w:r>
        <w:rPr>
          <w:color w:val="231F20"/>
        </w:rPr>
        <w:t>bedoelde</w:t>
      </w:r>
      <w:r>
        <w:rPr>
          <w:color w:val="231F20"/>
          <w:spacing w:val="-4"/>
        </w:rPr>
        <w:t> </w:t>
      </w:r>
      <w:r>
        <w:rPr>
          <w:color w:val="231F20"/>
        </w:rPr>
        <w:t>akten,</w:t>
      </w:r>
      <w:r>
        <w:rPr>
          <w:color w:val="231F20"/>
          <w:spacing w:val="-4"/>
        </w:rPr>
        <w:t> </w:t>
      </w:r>
      <w:r>
        <w:rPr>
          <w:color w:val="231F20"/>
        </w:rPr>
        <w:t>stukken en</w:t>
      </w:r>
      <w:r>
        <w:rPr>
          <w:color w:val="231F20"/>
          <w:spacing w:val="14"/>
        </w:rPr>
        <w:t> </w:t>
      </w:r>
      <w:r>
        <w:rPr>
          <w:color w:val="231F20"/>
        </w:rPr>
        <w:t>beslissingen.</w:t>
      </w:r>
    </w:p>
    <w:p>
      <w:pPr>
        <w:pStyle w:val="BodyText"/>
        <w:spacing w:before="93"/>
        <w:ind w:left="283" w:right="0" w:firstLine="0"/>
        <w:jc w:val="left"/>
      </w:pPr>
      <w:r>
        <w:rPr>
          <w:color w:val="231F20"/>
        </w:rPr>
        <w:t>De in het eerste lid, 4°, bedoelde uittreksels vermelden:</w:t>
      </w:r>
    </w:p>
    <w:p>
      <w:pPr>
        <w:pStyle w:val="ListParagraph"/>
        <w:numPr>
          <w:ilvl w:val="0"/>
          <w:numId w:val="19"/>
        </w:numPr>
        <w:tabs>
          <w:tab w:pos="485" w:val="left" w:leader="none"/>
        </w:tabs>
        <w:spacing w:line="218" w:lineRule="auto" w:before="100" w:after="0"/>
        <w:ind w:left="113" w:right="124" w:firstLine="170"/>
        <w:jc w:val="both"/>
        <w:rPr>
          <w:sz w:val="17"/>
        </w:rPr>
      </w:pPr>
      <w:r>
        <w:rPr>
          <w:color w:val="231F20"/>
          <w:sz w:val="17"/>
        </w:rPr>
        <w:t>hun naam, voornaam, woonplaats of, ingeval het een rechtsper- soon</w:t>
      </w:r>
      <w:r>
        <w:rPr>
          <w:color w:val="231F20"/>
          <w:spacing w:val="13"/>
          <w:sz w:val="17"/>
        </w:rPr>
        <w:t> </w:t>
      </w:r>
      <w:r>
        <w:rPr>
          <w:color w:val="231F20"/>
          <w:sz w:val="17"/>
        </w:rPr>
        <w:t>betreft,</w:t>
      </w:r>
      <w:r>
        <w:rPr>
          <w:color w:val="231F20"/>
          <w:spacing w:val="14"/>
          <w:sz w:val="17"/>
        </w:rPr>
        <w:t> </w:t>
      </w:r>
      <w:r>
        <w:rPr>
          <w:color w:val="231F20"/>
          <w:sz w:val="17"/>
        </w:rPr>
        <w:t>hun</w:t>
      </w:r>
      <w:r>
        <w:rPr>
          <w:color w:val="231F20"/>
          <w:spacing w:val="13"/>
          <w:sz w:val="17"/>
        </w:rPr>
        <w:t> </w:t>
      </w:r>
      <w:r>
        <w:rPr>
          <w:color w:val="231F20"/>
          <w:sz w:val="17"/>
        </w:rPr>
        <w:t>naam,</w:t>
      </w:r>
      <w:r>
        <w:rPr>
          <w:color w:val="231F20"/>
          <w:spacing w:val="14"/>
          <w:sz w:val="17"/>
        </w:rPr>
        <w:t> </w:t>
      </w:r>
      <w:r>
        <w:rPr>
          <w:color w:val="231F20"/>
          <w:sz w:val="17"/>
        </w:rPr>
        <w:t>rechtsvorm,</w:t>
      </w:r>
      <w:r>
        <w:rPr>
          <w:color w:val="231F20"/>
          <w:spacing w:val="13"/>
          <w:sz w:val="17"/>
        </w:rPr>
        <w:t> </w:t>
      </w:r>
      <w:r>
        <w:rPr>
          <w:color w:val="231F20"/>
          <w:sz w:val="17"/>
        </w:rPr>
        <w:t>ondernemingsnummer</w:t>
      </w:r>
      <w:r>
        <w:rPr>
          <w:color w:val="231F20"/>
          <w:spacing w:val="14"/>
          <w:sz w:val="17"/>
        </w:rPr>
        <w:t> </w:t>
      </w:r>
      <w:r>
        <w:rPr>
          <w:color w:val="231F20"/>
          <w:sz w:val="17"/>
        </w:rPr>
        <w:t>en</w:t>
      </w:r>
      <w:r>
        <w:rPr>
          <w:color w:val="231F20"/>
          <w:spacing w:val="13"/>
          <w:sz w:val="17"/>
        </w:rPr>
        <w:t> </w:t>
      </w:r>
      <w:r>
        <w:rPr>
          <w:color w:val="231F20"/>
          <w:sz w:val="17"/>
        </w:rPr>
        <w:t>zetel;</w:t>
      </w:r>
    </w:p>
    <w:p>
      <w:pPr>
        <w:pStyle w:val="BodyText"/>
        <w:spacing w:before="8"/>
        <w:ind w:left="0" w:right="0" w:firstLine="0"/>
        <w:jc w:val="left"/>
        <w:rPr>
          <w:sz w:val="24"/>
        </w:rPr>
      </w:pPr>
    </w:p>
    <w:p>
      <w:pPr>
        <w:pStyle w:val="ListParagraph"/>
        <w:numPr>
          <w:ilvl w:val="0"/>
          <w:numId w:val="19"/>
        </w:numPr>
        <w:tabs>
          <w:tab w:pos="474" w:val="left" w:leader="none"/>
        </w:tabs>
        <w:spacing w:line="218" w:lineRule="auto" w:before="0" w:after="0"/>
        <w:ind w:left="113" w:right="124" w:firstLine="170"/>
        <w:jc w:val="both"/>
        <w:rPr>
          <w:sz w:val="17"/>
        </w:rPr>
      </w:pPr>
      <w:r>
        <w:rPr>
          <w:color w:val="231F20"/>
          <w:sz w:val="17"/>
        </w:rPr>
        <w:t>in voorkomend geval, de omvang van hun vertegenwoordigings- bevoegdheden en de wijze waarop zij die uitoefenen, alleen dan wel gezamenlijk, ofwel als</w:t>
      </w:r>
      <w:r>
        <w:rPr>
          <w:color w:val="231F20"/>
          <w:spacing w:val="5"/>
          <w:sz w:val="17"/>
        </w:rPr>
        <w:t> </w:t>
      </w:r>
      <w:r>
        <w:rPr>
          <w:color w:val="231F20"/>
          <w:sz w:val="17"/>
        </w:rPr>
        <w:t>college.</w:t>
      </w:r>
    </w:p>
    <w:p>
      <w:pPr>
        <w:pStyle w:val="BodyText"/>
        <w:spacing w:before="93"/>
        <w:ind w:left="283" w:right="0" w:firstLine="0"/>
        <w:jc w:val="left"/>
      </w:pPr>
      <w:r>
        <w:rPr>
          <w:color w:val="231F20"/>
        </w:rPr>
        <w:t>§ 2. Het uittreksel bedoeld in paragraaf 1, 3°, bevat:</w:t>
      </w:r>
    </w:p>
    <w:p>
      <w:pPr>
        <w:pStyle w:val="BodyText"/>
        <w:spacing w:line="218" w:lineRule="auto" w:before="103"/>
        <w:ind w:right="121"/>
      </w:pPr>
      <w:r>
        <w:rPr>
          <w:color w:val="231F20"/>
        </w:rPr>
        <w:t>1° de naam, voornaam en woonplaats van iedere oprichter of, ingeval het</w:t>
      </w:r>
      <w:r>
        <w:rPr>
          <w:color w:val="231F20"/>
          <w:spacing w:val="-15"/>
        </w:rPr>
        <w:t> </w:t>
      </w:r>
      <w:r>
        <w:rPr>
          <w:color w:val="231F20"/>
        </w:rPr>
        <w:t>een</w:t>
      </w:r>
      <w:r>
        <w:rPr>
          <w:color w:val="231F20"/>
          <w:spacing w:val="-14"/>
        </w:rPr>
        <w:t> </w:t>
      </w:r>
      <w:r>
        <w:rPr>
          <w:color w:val="231F20"/>
        </w:rPr>
        <w:t>rechtspersoon</w:t>
      </w:r>
      <w:r>
        <w:rPr>
          <w:color w:val="231F20"/>
          <w:spacing w:val="-15"/>
        </w:rPr>
        <w:t> </w:t>
      </w:r>
      <w:r>
        <w:rPr>
          <w:color w:val="231F20"/>
        </w:rPr>
        <w:t>betreft,</w:t>
      </w:r>
      <w:r>
        <w:rPr>
          <w:color w:val="231F20"/>
          <w:spacing w:val="-14"/>
        </w:rPr>
        <w:t> </w:t>
      </w:r>
      <w:r>
        <w:rPr>
          <w:color w:val="231F20"/>
        </w:rPr>
        <w:t>de</w:t>
      </w:r>
      <w:r>
        <w:rPr>
          <w:color w:val="231F20"/>
          <w:spacing w:val="-15"/>
        </w:rPr>
        <w:t> </w:t>
      </w:r>
      <w:r>
        <w:rPr>
          <w:color w:val="231F20"/>
        </w:rPr>
        <w:t>naam,</w:t>
      </w:r>
      <w:r>
        <w:rPr>
          <w:color w:val="231F20"/>
          <w:spacing w:val="-14"/>
        </w:rPr>
        <w:t> </w:t>
      </w:r>
      <w:r>
        <w:rPr>
          <w:color w:val="231F20"/>
        </w:rPr>
        <w:t>rechtsvorm,</w:t>
      </w:r>
      <w:r>
        <w:rPr>
          <w:color w:val="231F20"/>
          <w:spacing w:val="-15"/>
        </w:rPr>
        <w:t> </w:t>
      </w:r>
      <w:r>
        <w:rPr>
          <w:color w:val="231F20"/>
        </w:rPr>
        <w:t>ondernemingsnum- mer</w:t>
      </w:r>
      <w:r>
        <w:rPr>
          <w:color w:val="231F20"/>
          <w:spacing w:val="15"/>
        </w:rPr>
        <w:t> </w:t>
      </w:r>
      <w:r>
        <w:rPr>
          <w:color w:val="231F20"/>
        </w:rPr>
        <w:t>en</w:t>
      </w:r>
      <w:r>
        <w:rPr>
          <w:color w:val="231F20"/>
          <w:spacing w:val="15"/>
        </w:rPr>
        <w:t> </w:t>
      </w:r>
      <w:r>
        <w:rPr>
          <w:color w:val="231F20"/>
        </w:rPr>
        <w:t>adres</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zetel;</w:t>
      </w:r>
    </w:p>
    <w:p>
      <w:pPr>
        <w:pStyle w:val="BodyText"/>
        <w:spacing w:line="218" w:lineRule="auto" w:before="107"/>
      </w:pPr>
      <w:r>
        <w:rPr>
          <w:color w:val="231F20"/>
        </w:rPr>
        <w:t>2° de naam en de aanduiding van het gewest waarin de zetel van de VZW is gevestigd;</w:t>
      </w:r>
    </w:p>
    <w:p>
      <w:pPr>
        <w:pStyle w:val="BodyText"/>
        <w:spacing w:before="103"/>
        <w:ind w:left="283" w:right="0" w:firstLine="0"/>
        <w:jc w:val="left"/>
      </w:pPr>
      <w:r>
        <w:rPr>
          <w:color w:val="231F20"/>
        </w:rPr>
        <w:t>3° het minimumaantal leden;</w:t>
      </w:r>
    </w:p>
    <w:p>
      <w:pPr>
        <w:pStyle w:val="BodyText"/>
        <w:spacing w:line="218" w:lineRule="auto" w:before="114"/>
        <w:ind w:right="123"/>
      </w:pPr>
      <w:r>
        <w:rPr>
          <w:color w:val="231F20"/>
        </w:rPr>
        <w:t>4° de precieze omschrijving van het belangeloos doel dat zij nastreeft en van de activiteiten die zij tot voorwerp heeft;</w:t>
      </w:r>
    </w:p>
    <w:p>
      <w:pPr>
        <w:pStyle w:val="BodyText"/>
        <w:spacing w:line="218" w:lineRule="auto" w:before="118"/>
      </w:pPr>
      <w:r>
        <w:rPr>
          <w:color w:val="231F20"/>
        </w:rPr>
        <w:t>5° de voorwaarden en de formaliteiten betreffende toetreding en uittreding van de leden;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41"/>
      </w:pPr>
      <w:r>
        <w:rPr/>
        <w:pict>
          <v:line style="position:absolute;mso-position-horizontal-relative:page;mso-position-vertical-relative:page;z-index:1336" from="298.170502pt,64.473pt" to="298.170502pt,812.819pt" stroked="true" strokeweight=".533pt" strokecolor="#231f20">
            <v:stroke dashstyle="solid"/>
            <w10:wrap type="none"/>
          </v:line>
        </w:pict>
      </w:r>
      <w:bookmarkStart w:name="_bookmark13" w:id="16"/>
      <w:bookmarkEnd w:id="16"/>
      <w:r>
        <w:rPr/>
      </w:r>
      <w:r>
        <w:rPr>
          <w:color w:val="231F20"/>
        </w:rPr>
        <w:t>6° les attributions et le mode de convocation de l’assemblée générale ainsi que la manière dont ses résolutions sont portées à la connaissance des membres et des tiers;</w:t>
      </w:r>
    </w:p>
    <w:p>
      <w:pPr>
        <w:pStyle w:val="BodyText"/>
        <w:spacing w:line="218" w:lineRule="auto" w:before="104"/>
        <w:ind w:right="41"/>
      </w:pPr>
      <w:r>
        <w:rPr>
          <w:color w:val="231F20"/>
        </w:rPr>
        <w:t>7° </w:t>
      </w:r>
      <w:r>
        <w:rPr>
          <w:rFonts w:ascii="Times New Roman" w:hAnsi="Times New Roman"/>
          <w:i/>
          <w:color w:val="231F20"/>
        </w:rPr>
        <w:t>a) </w:t>
      </w:r>
      <w:r>
        <w:rPr>
          <w:color w:val="231F20"/>
        </w:rPr>
        <w:t>le mode de nomination et de cessation de fonctions des administrateurs, ainsi que la durée de leur mandat;</w:t>
      </w:r>
    </w:p>
    <w:p>
      <w:pPr>
        <w:pStyle w:val="ListParagraph"/>
        <w:numPr>
          <w:ilvl w:val="0"/>
          <w:numId w:val="20"/>
        </w:numPr>
        <w:tabs>
          <w:tab w:pos="468" w:val="left" w:leader="none"/>
        </w:tabs>
        <w:spacing w:line="218" w:lineRule="auto" w:before="104" w:after="0"/>
        <w:ind w:left="113" w:right="38" w:firstLine="170"/>
        <w:jc w:val="both"/>
        <w:rPr>
          <w:sz w:val="17"/>
        </w:rPr>
      </w:pPr>
      <w:r>
        <w:rPr>
          <w:color w:val="231F20"/>
          <w:sz w:val="17"/>
        </w:rPr>
        <w:t>le cas échéant, le mode de nomination et de cessation de fonctions des personnes habilitées à représenter l’ASBL conformément à l’arti- cle 9:7, § 2, l’étendue de leurs pouvoirs de représentation et la manière d’exercer leurs pouvoirs, en agissant soit individuellement, soit</w:t>
      </w:r>
      <w:r>
        <w:rPr>
          <w:color w:val="231F20"/>
          <w:spacing w:val="-9"/>
          <w:sz w:val="17"/>
        </w:rPr>
        <w:t> </w:t>
      </w:r>
      <w:r>
        <w:rPr>
          <w:color w:val="231F20"/>
          <w:sz w:val="17"/>
        </w:rPr>
        <w:t>conjoin- tement, soit en</w:t>
      </w:r>
      <w:r>
        <w:rPr>
          <w:color w:val="231F20"/>
          <w:spacing w:val="3"/>
          <w:sz w:val="17"/>
        </w:rPr>
        <w:t> </w:t>
      </w:r>
      <w:r>
        <w:rPr>
          <w:color w:val="231F20"/>
          <w:sz w:val="17"/>
        </w:rPr>
        <w:t>collège;</w:t>
      </w:r>
    </w:p>
    <w:p>
      <w:pPr>
        <w:pStyle w:val="ListParagraph"/>
        <w:numPr>
          <w:ilvl w:val="0"/>
          <w:numId w:val="20"/>
        </w:numPr>
        <w:tabs>
          <w:tab w:pos="459" w:val="left" w:leader="none"/>
        </w:tabs>
        <w:spacing w:line="218" w:lineRule="auto" w:before="104" w:after="0"/>
        <w:ind w:left="113" w:right="41" w:firstLine="170"/>
        <w:jc w:val="both"/>
        <w:rPr>
          <w:sz w:val="17"/>
        </w:rPr>
      </w:pPr>
      <w:r>
        <w:rPr>
          <w:color w:val="231F20"/>
          <w:sz w:val="17"/>
        </w:rPr>
        <w:t>le cas échéant, le mode de nomination et de cessation de fonctions des personnes déléguées à la gestion journalière de l’ASBL conformé- ment à l’article 9:10, et la manière d’exercer leurs pouvoirs, en agissant soit</w:t>
      </w:r>
      <w:r>
        <w:rPr>
          <w:color w:val="231F20"/>
          <w:spacing w:val="13"/>
          <w:sz w:val="17"/>
        </w:rPr>
        <w:t> </w:t>
      </w:r>
      <w:r>
        <w:rPr>
          <w:color w:val="231F20"/>
          <w:sz w:val="17"/>
        </w:rPr>
        <w:t>séparément,</w:t>
      </w:r>
      <w:r>
        <w:rPr>
          <w:color w:val="231F20"/>
          <w:spacing w:val="14"/>
          <w:sz w:val="17"/>
        </w:rPr>
        <w:t> </w:t>
      </w:r>
      <w:r>
        <w:rPr>
          <w:color w:val="231F20"/>
          <w:sz w:val="17"/>
        </w:rPr>
        <w:t>soit</w:t>
      </w:r>
      <w:r>
        <w:rPr>
          <w:color w:val="231F20"/>
          <w:spacing w:val="13"/>
          <w:sz w:val="17"/>
        </w:rPr>
        <w:t> </w:t>
      </w:r>
      <w:r>
        <w:rPr>
          <w:color w:val="231F20"/>
          <w:sz w:val="17"/>
        </w:rPr>
        <w:t>conjointement,</w:t>
      </w:r>
      <w:r>
        <w:rPr>
          <w:color w:val="231F20"/>
          <w:spacing w:val="14"/>
          <w:sz w:val="17"/>
        </w:rPr>
        <w:t> </w:t>
      </w:r>
      <w:r>
        <w:rPr>
          <w:color w:val="231F20"/>
          <w:sz w:val="17"/>
        </w:rPr>
        <w:t>soit</w:t>
      </w:r>
      <w:r>
        <w:rPr>
          <w:color w:val="231F20"/>
          <w:spacing w:val="14"/>
          <w:sz w:val="17"/>
        </w:rPr>
        <w:t> </w:t>
      </w:r>
      <w:r>
        <w:rPr>
          <w:color w:val="231F20"/>
          <w:sz w:val="17"/>
        </w:rPr>
        <w:t>en</w:t>
      </w:r>
      <w:r>
        <w:rPr>
          <w:color w:val="231F20"/>
          <w:spacing w:val="13"/>
          <w:sz w:val="17"/>
        </w:rPr>
        <w:t> </w:t>
      </w:r>
      <w:r>
        <w:rPr>
          <w:color w:val="231F20"/>
          <w:sz w:val="17"/>
        </w:rPr>
        <w:t>collège;</w:t>
      </w:r>
    </w:p>
    <w:p>
      <w:pPr>
        <w:pStyle w:val="BodyText"/>
        <w:spacing w:line="218" w:lineRule="auto" w:before="107"/>
        <w:ind w:right="41"/>
      </w:pPr>
      <w:r>
        <w:rPr>
          <w:color w:val="231F20"/>
        </w:rPr>
        <w:t>8°</w:t>
      </w:r>
      <w:r>
        <w:rPr>
          <w:color w:val="231F20"/>
          <w:spacing w:val="-4"/>
        </w:rPr>
        <w:t> </w:t>
      </w:r>
      <w:r>
        <w:rPr>
          <w:color w:val="231F20"/>
        </w:rPr>
        <w:t>le</w:t>
      </w:r>
      <w:r>
        <w:rPr>
          <w:color w:val="231F20"/>
          <w:spacing w:val="-4"/>
        </w:rPr>
        <w:t> </w:t>
      </w:r>
      <w:r>
        <w:rPr>
          <w:color w:val="231F20"/>
        </w:rPr>
        <w:t>montant</w:t>
      </w:r>
      <w:r>
        <w:rPr>
          <w:color w:val="231F20"/>
          <w:spacing w:val="-4"/>
        </w:rPr>
        <w:t> </w:t>
      </w:r>
      <w:r>
        <w:rPr>
          <w:color w:val="231F20"/>
        </w:rPr>
        <w:t>maximum</w:t>
      </w:r>
      <w:r>
        <w:rPr>
          <w:color w:val="231F20"/>
          <w:spacing w:val="-4"/>
        </w:rPr>
        <w:t> </w:t>
      </w:r>
      <w:r>
        <w:rPr>
          <w:color w:val="231F20"/>
        </w:rPr>
        <w:t>des</w:t>
      </w:r>
      <w:r>
        <w:rPr>
          <w:color w:val="231F20"/>
          <w:spacing w:val="-4"/>
        </w:rPr>
        <w:t> </w:t>
      </w:r>
      <w:r>
        <w:rPr>
          <w:color w:val="231F20"/>
        </w:rPr>
        <w:t>cotisations</w:t>
      </w:r>
      <w:r>
        <w:rPr>
          <w:color w:val="231F20"/>
          <w:spacing w:val="-4"/>
        </w:rPr>
        <w:t> </w:t>
      </w:r>
      <w:r>
        <w:rPr>
          <w:color w:val="231F20"/>
        </w:rPr>
        <w:t>ou</w:t>
      </w:r>
      <w:r>
        <w:rPr>
          <w:color w:val="231F20"/>
          <w:spacing w:val="-4"/>
        </w:rPr>
        <w:t> </w:t>
      </w:r>
      <w:r>
        <w:rPr>
          <w:color w:val="231F20"/>
        </w:rPr>
        <w:t>des</w:t>
      </w:r>
      <w:r>
        <w:rPr>
          <w:color w:val="231F20"/>
          <w:spacing w:val="-3"/>
        </w:rPr>
        <w:t> </w:t>
      </w:r>
      <w:r>
        <w:rPr>
          <w:color w:val="231F20"/>
        </w:rPr>
        <w:t>versements</w:t>
      </w:r>
      <w:r>
        <w:rPr>
          <w:color w:val="231F20"/>
          <w:spacing w:val="-4"/>
        </w:rPr>
        <w:t> </w:t>
      </w:r>
      <w:r>
        <w:rPr>
          <w:color w:val="231F20"/>
        </w:rPr>
        <w:t>à</w:t>
      </w:r>
      <w:r>
        <w:rPr>
          <w:color w:val="231F20"/>
          <w:spacing w:val="-4"/>
        </w:rPr>
        <w:t> </w:t>
      </w:r>
      <w:r>
        <w:rPr>
          <w:color w:val="231F20"/>
        </w:rPr>
        <w:t>effectuer par les</w:t>
      </w:r>
      <w:r>
        <w:rPr>
          <w:color w:val="231F20"/>
          <w:spacing w:val="-12"/>
        </w:rPr>
        <w:t> </w:t>
      </w:r>
      <w:r>
        <w:rPr>
          <w:color w:val="231F20"/>
        </w:rPr>
        <w:t>membres;</w:t>
      </w:r>
    </w:p>
    <w:p>
      <w:pPr>
        <w:pStyle w:val="BodyText"/>
        <w:spacing w:line="218" w:lineRule="auto" w:before="107"/>
        <w:ind w:right="41"/>
      </w:pPr>
      <w:r>
        <w:rPr>
          <w:color w:val="231F20"/>
        </w:rPr>
        <w:t>9° le but désintéressé auquel l’ASBL doit affecter son patrimoine en cas de dissolution;</w:t>
      </w:r>
    </w:p>
    <w:p>
      <w:pPr>
        <w:pStyle w:val="BodyText"/>
        <w:spacing w:before="93"/>
        <w:ind w:left="283" w:right="0" w:firstLine="0"/>
        <w:jc w:val="left"/>
      </w:pPr>
      <w:r>
        <w:rPr>
          <w:color w:val="231F20"/>
        </w:rPr>
        <w:t>10° la durée de l’ASBL lorsqu’elle n’est pas illimitée;</w:t>
      </w:r>
    </w:p>
    <w:p>
      <w:pPr>
        <w:pStyle w:val="BodyText"/>
        <w:spacing w:before="6"/>
        <w:ind w:left="0" w:right="0" w:firstLine="0"/>
        <w:jc w:val="left"/>
        <w:rPr>
          <w:sz w:val="24"/>
        </w:rPr>
      </w:pPr>
    </w:p>
    <w:p>
      <w:pPr>
        <w:pStyle w:val="BodyText"/>
        <w:spacing w:line="218" w:lineRule="auto"/>
        <w:ind w:right="40"/>
      </w:pPr>
      <w:r>
        <w:rPr>
          <w:color w:val="231F20"/>
        </w:rPr>
        <w:t>11° la désignation précise de l’adresse à laquelle le siège de l’ASBL est établi et, le cas échéant, l’adresse électronique et le site internet de l’ASBL;</w:t>
      </w:r>
    </w:p>
    <w:p>
      <w:pPr>
        <w:pStyle w:val="BodyText"/>
        <w:spacing w:line="218" w:lineRule="auto" w:before="107"/>
        <w:ind w:right="41"/>
      </w:pPr>
      <w:r>
        <w:rPr>
          <w:color w:val="231F20"/>
        </w:rPr>
        <w:t>12° l’identité des administrateurs et, le cas échéant, des personnes déléguées à la gestion journalière de  l’ASBL  conformément  à  l’arti- cle 9:10, des personnes habilitées à représenter l’ASBL conformément à l’article</w:t>
      </w:r>
      <w:r>
        <w:rPr>
          <w:color w:val="231F20"/>
          <w:spacing w:val="14"/>
        </w:rPr>
        <w:t> </w:t>
      </w:r>
      <w:r>
        <w:rPr>
          <w:color w:val="231F20"/>
        </w:rPr>
        <w:t>9:7,</w:t>
      </w:r>
      <w:r>
        <w:rPr>
          <w:color w:val="231F20"/>
          <w:spacing w:val="14"/>
        </w:rPr>
        <w:t> </w:t>
      </w:r>
      <w:r>
        <w:rPr>
          <w:color w:val="231F20"/>
        </w:rPr>
        <w:t>§</w:t>
      </w:r>
      <w:r>
        <w:rPr>
          <w:color w:val="231F20"/>
          <w:spacing w:val="14"/>
        </w:rPr>
        <w:t> </w:t>
      </w:r>
      <w:r>
        <w:rPr>
          <w:color w:val="231F20"/>
        </w:rPr>
        <w:t>2,</w:t>
      </w:r>
      <w:r>
        <w:rPr>
          <w:color w:val="231F20"/>
          <w:spacing w:val="15"/>
        </w:rPr>
        <w:t> </w:t>
      </w:r>
      <w:r>
        <w:rPr>
          <w:color w:val="231F20"/>
        </w:rPr>
        <w:t>et</w:t>
      </w:r>
      <w:r>
        <w:rPr>
          <w:color w:val="231F20"/>
          <w:spacing w:val="14"/>
        </w:rPr>
        <w:t> </w:t>
      </w:r>
      <w:r>
        <w:rPr>
          <w:color w:val="231F20"/>
        </w:rPr>
        <w:t>du</w:t>
      </w:r>
      <w:r>
        <w:rPr>
          <w:color w:val="231F20"/>
          <w:spacing w:val="14"/>
        </w:rPr>
        <w:t> </w:t>
      </w:r>
      <w:r>
        <w:rPr>
          <w:color w:val="231F20"/>
        </w:rPr>
        <w:t>commissaire.</w:t>
      </w:r>
    </w:p>
    <w:p>
      <w:pPr>
        <w:pStyle w:val="BodyText"/>
        <w:spacing w:before="7"/>
        <w:ind w:left="0" w:right="0" w:firstLine="0"/>
        <w:jc w:val="left"/>
        <w:rPr>
          <w:sz w:val="23"/>
        </w:rPr>
      </w:pPr>
    </w:p>
    <w:p>
      <w:pPr>
        <w:pStyle w:val="BodyText"/>
        <w:spacing w:line="218" w:lineRule="auto"/>
        <w:ind w:right="41"/>
      </w:pPr>
      <w:r>
        <w:rPr>
          <w:color w:val="231F20"/>
        </w:rPr>
        <w:t>Art. 2:10. § 1</w:t>
      </w:r>
      <w:r>
        <w:rPr>
          <w:color w:val="231F20"/>
          <w:position w:val="7"/>
          <w:sz w:val="11"/>
        </w:rPr>
        <w:t>er</w:t>
      </w:r>
      <w:r>
        <w:rPr>
          <w:color w:val="231F20"/>
        </w:rPr>
        <w:t>. Afin d’être versés au dossier de l’association, les documents suivants sont déposés pour l’AISBL dans les trente jours, à compter de la date de l’acte définitif, du prononcé du jugement exécutoire par provision ou de la date à laquelle le jugement est passé en force de chose jugée:</w:t>
      </w:r>
    </w:p>
    <w:p>
      <w:pPr>
        <w:pStyle w:val="BodyText"/>
        <w:spacing w:before="92"/>
        <w:ind w:left="283" w:right="0" w:firstLine="0"/>
        <w:jc w:val="left"/>
      </w:pPr>
      <w:r>
        <w:rPr>
          <w:color w:val="231F20"/>
        </w:rPr>
        <w:t>1° l’acte constitutif;</w:t>
      </w:r>
    </w:p>
    <w:p>
      <w:pPr>
        <w:pStyle w:val="BodyText"/>
        <w:spacing w:line="218" w:lineRule="auto" w:before="104"/>
        <w:ind w:right="41"/>
      </w:pPr>
      <w:r>
        <w:rPr>
          <w:color w:val="231F20"/>
        </w:rPr>
        <w:t>2° la première version du texte des statuts ainsi que l’acte constitutif, et le texte coordonné de ces statuts mis à jour ainsi que chaque modification des statuts;</w:t>
      </w:r>
    </w:p>
    <w:p>
      <w:pPr>
        <w:pStyle w:val="BodyText"/>
        <w:spacing w:before="103"/>
        <w:ind w:left="283" w:right="0" w:firstLine="0"/>
        <w:jc w:val="left"/>
      </w:pPr>
      <w:r>
        <w:rPr>
          <w:color w:val="231F20"/>
        </w:rPr>
        <w:t>3° l’extrait de l’acte constitutif visé au paragraphe 2;</w:t>
      </w:r>
    </w:p>
    <w:p>
      <w:pPr>
        <w:pStyle w:val="BodyText"/>
        <w:spacing w:line="218" w:lineRule="auto" w:before="112"/>
        <w:ind w:right="41"/>
      </w:pPr>
      <w:r>
        <w:rPr>
          <w:color w:val="231F20"/>
        </w:rPr>
        <w:t>4° </w:t>
      </w:r>
      <w:r>
        <w:rPr>
          <w:rFonts w:ascii="Times New Roman" w:hAnsi="Times New Roman"/>
          <w:i/>
          <w:color w:val="231F20"/>
        </w:rPr>
        <w:t>a) </w:t>
      </w:r>
      <w:r>
        <w:rPr>
          <w:color w:val="231F20"/>
        </w:rPr>
        <w:t>l’extrait des actes relatifs à la nomination et à la cessation des fonctions des administrateurs et, le cas échéant, des personnes habili- tées à représenter l’AISBL;</w:t>
      </w:r>
    </w:p>
    <w:p>
      <w:pPr>
        <w:pStyle w:val="ListParagraph"/>
        <w:numPr>
          <w:ilvl w:val="0"/>
          <w:numId w:val="21"/>
        </w:numPr>
        <w:tabs>
          <w:tab w:pos="490" w:val="left" w:leader="none"/>
        </w:tabs>
        <w:spacing w:line="218" w:lineRule="auto" w:before="115" w:after="0"/>
        <w:ind w:left="113" w:right="41" w:firstLine="170"/>
        <w:jc w:val="both"/>
        <w:rPr>
          <w:sz w:val="17"/>
        </w:rPr>
      </w:pPr>
      <w:r>
        <w:rPr>
          <w:color w:val="231F20"/>
          <w:sz w:val="17"/>
        </w:rPr>
        <w:t>le cas échéant, l’extrait des actes relatifs à la nomination et à la cessation de fonctions des personnes auxquelles la gestion journalière a été</w:t>
      </w:r>
      <w:r>
        <w:rPr>
          <w:color w:val="231F20"/>
          <w:spacing w:val="15"/>
          <w:sz w:val="17"/>
        </w:rPr>
        <w:t> </w:t>
      </w:r>
      <w:r>
        <w:rPr>
          <w:color w:val="231F20"/>
          <w:sz w:val="17"/>
        </w:rPr>
        <w:t>déléguée.</w:t>
      </w:r>
    </w:p>
    <w:p>
      <w:pPr>
        <w:pStyle w:val="ListParagraph"/>
        <w:numPr>
          <w:ilvl w:val="0"/>
          <w:numId w:val="21"/>
        </w:numPr>
        <w:tabs>
          <w:tab w:pos="507" w:val="left" w:leader="none"/>
        </w:tabs>
        <w:spacing w:line="218" w:lineRule="auto" w:before="114" w:after="0"/>
        <w:ind w:left="113" w:right="41" w:firstLine="170"/>
        <w:jc w:val="both"/>
        <w:rPr>
          <w:sz w:val="17"/>
        </w:rPr>
      </w:pPr>
      <w:r>
        <w:rPr>
          <w:color w:val="231F20"/>
          <w:sz w:val="17"/>
        </w:rPr>
        <w:t>le cas échéant, l’extrait des actes relatifs à la nomination du commissaire;</w:t>
      </w:r>
    </w:p>
    <w:p>
      <w:pPr>
        <w:pStyle w:val="BodyText"/>
        <w:spacing w:line="218" w:lineRule="auto" w:before="118"/>
        <w:ind w:right="41"/>
      </w:pPr>
      <w:r>
        <w:rPr>
          <w:color w:val="231F20"/>
        </w:rPr>
        <w:t>5° les décisions relatives à la nullité ou à la dissolution de l’AISBL, à sa liquidation, à la nomination et à la cessation de fonctions des liquidateurs, aux conditions de liquidation, à la clôture ou à la réouverture de la liquidation et à la destination de l’actif; les décisions judiciaires ne doivent être déposées au dossier que si elles sont passées en force de chose jugée ou exécutoires par provision;</w:t>
      </w:r>
    </w:p>
    <w:p>
      <w:pPr>
        <w:pStyle w:val="BodyText"/>
        <w:spacing w:line="218" w:lineRule="auto" w:before="118"/>
        <w:ind w:right="41"/>
      </w:pPr>
      <w:r>
        <w:rPr>
          <w:color w:val="231F20"/>
        </w:rPr>
        <w:t>6° l’extrait des décisions visées au 5°, mentionnant le juge, la date et le dispositif de la décision;</w:t>
      </w:r>
    </w:p>
    <w:p>
      <w:pPr>
        <w:pStyle w:val="BodyText"/>
        <w:spacing w:line="218" w:lineRule="auto" w:before="117"/>
        <w:ind w:right="41"/>
      </w:pPr>
      <w:r>
        <w:rPr>
          <w:color w:val="231F20"/>
        </w:rPr>
        <w:t>7° l’extrait des actes et décisions relatifs à la nomination et à la cessation de fonctions des liquidateurs, comportant leurs nom, prénom et domicile, ou, lorsqu’il s’agit de personnes morales, leurs dénomina- tion, forme légale, numéro d’entreprise et siège;</w:t>
      </w:r>
    </w:p>
    <w:p>
      <w:pPr>
        <w:pStyle w:val="BodyText"/>
        <w:spacing w:before="104"/>
        <w:ind w:left="283" w:right="0" w:firstLine="0"/>
        <w:jc w:val="left"/>
      </w:pPr>
      <w:r>
        <w:rPr>
          <w:color w:val="231F20"/>
        </w:rPr>
        <w:t>8° les comptes annuels, établis conformément à l’article 3:47;</w:t>
      </w:r>
    </w:p>
    <w:p>
      <w:pPr>
        <w:pStyle w:val="BodyText"/>
        <w:spacing w:line="218" w:lineRule="auto" w:before="114"/>
        <w:ind w:right="41"/>
      </w:pPr>
      <w:r>
        <w:rPr>
          <w:color w:val="231F20"/>
        </w:rPr>
        <w:t>9° les décisions prises et les actes passés relatifs à la transformation d’une société ou d’une ASBL en une AISBL conformément au livre 14;</w:t>
      </w:r>
    </w:p>
    <w:p>
      <w:pPr>
        <w:pStyle w:val="BodyText"/>
        <w:spacing w:before="9"/>
        <w:ind w:left="0" w:right="0" w:firstLine="0"/>
        <w:jc w:val="left"/>
        <w:rPr>
          <w:sz w:val="25"/>
        </w:rPr>
      </w:pPr>
    </w:p>
    <w:p>
      <w:pPr>
        <w:pStyle w:val="BodyText"/>
        <w:spacing w:line="218" w:lineRule="auto"/>
        <w:ind w:right="41"/>
      </w:pPr>
      <w:r>
        <w:rPr>
          <w:color w:val="231F20"/>
        </w:rPr>
        <w:t>10° les modifications aux actes, documents et décisions visés aux 1°, 4°, 5°, 8° et 9°.</w:t>
      </w:r>
    </w:p>
    <w:p>
      <w:pPr>
        <w:pStyle w:val="BodyText"/>
        <w:spacing w:before="88"/>
        <w:ind w:left="284" w:right="0" w:firstLine="0"/>
        <w:jc w:val="left"/>
      </w:pPr>
      <w:r>
        <w:rPr>
          <w:color w:val="231F20"/>
        </w:rPr>
        <w:t>Les extraits visés à l’alinéa 1</w:t>
      </w:r>
      <w:r>
        <w:rPr>
          <w:color w:val="231F20"/>
          <w:position w:val="7"/>
          <w:sz w:val="11"/>
        </w:rPr>
        <w:t>er</w:t>
      </w:r>
      <w:r>
        <w:rPr>
          <w:color w:val="231F20"/>
        </w:rPr>
        <w:t>, 4°, contiennent:</w:t>
      </w:r>
    </w:p>
    <w:p>
      <w:pPr>
        <w:pStyle w:val="ListParagraph"/>
        <w:numPr>
          <w:ilvl w:val="0"/>
          <w:numId w:val="22"/>
        </w:numPr>
        <w:tabs>
          <w:tab w:pos="486" w:val="left" w:leader="none"/>
        </w:tabs>
        <w:spacing w:line="218" w:lineRule="auto" w:before="111" w:after="0"/>
        <w:ind w:left="113" w:right="41" w:firstLine="170"/>
        <w:jc w:val="both"/>
        <w:rPr>
          <w:sz w:val="17"/>
        </w:rPr>
      </w:pPr>
      <w:r>
        <w:rPr>
          <w:color w:val="231F20"/>
          <w:sz w:val="17"/>
        </w:rPr>
        <w:t>leurs nom, prénom et domicile ou, lorsqu’il s’agit de personnes morales, leurs dénomination, forme légale, numéro d’entreprise et siège;</w:t>
      </w:r>
    </w:p>
    <w:p>
      <w:pPr>
        <w:pStyle w:val="ListParagraph"/>
        <w:numPr>
          <w:ilvl w:val="0"/>
          <w:numId w:val="22"/>
        </w:numPr>
        <w:tabs>
          <w:tab w:pos="516" w:val="left" w:leader="none"/>
        </w:tabs>
        <w:spacing w:line="218" w:lineRule="auto" w:before="115" w:after="0"/>
        <w:ind w:left="113" w:right="41" w:firstLine="170"/>
        <w:jc w:val="both"/>
        <w:rPr>
          <w:sz w:val="17"/>
        </w:rPr>
      </w:pPr>
      <w:r>
        <w:rPr>
          <w:color w:val="231F20"/>
          <w:sz w:val="17"/>
        </w:rPr>
        <w:t>sauf en ce qui concerne les commissaires, l’étendue de leurs pouvoirs</w:t>
      </w:r>
      <w:r>
        <w:rPr>
          <w:color w:val="231F20"/>
          <w:spacing w:val="15"/>
          <w:sz w:val="17"/>
        </w:rPr>
        <w:t> </w:t>
      </w:r>
      <w:r>
        <w:rPr>
          <w:color w:val="231F20"/>
          <w:sz w:val="17"/>
        </w:rPr>
        <w:t>et</w:t>
      </w:r>
      <w:r>
        <w:rPr>
          <w:color w:val="231F20"/>
          <w:spacing w:val="15"/>
          <w:sz w:val="17"/>
        </w:rPr>
        <w:t> </w:t>
      </w:r>
      <w:r>
        <w:rPr>
          <w:color w:val="231F20"/>
          <w:sz w:val="17"/>
        </w:rPr>
        <w:t>la</w:t>
      </w:r>
      <w:r>
        <w:rPr>
          <w:color w:val="231F20"/>
          <w:spacing w:val="15"/>
          <w:sz w:val="17"/>
        </w:rPr>
        <w:t> </w:t>
      </w:r>
      <w:r>
        <w:rPr>
          <w:color w:val="231F20"/>
          <w:sz w:val="17"/>
        </w:rPr>
        <w:t>manière</w:t>
      </w:r>
      <w:r>
        <w:rPr>
          <w:color w:val="231F20"/>
          <w:spacing w:val="16"/>
          <w:sz w:val="17"/>
        </w:rPr>
        <w:t> </w:t>
      </w:r>
      <w:r>
        <w:rPr>
          <w:color w:val="231F20"/>
          <w:sz w:val="17"/>
        </w:rPr>
        <w:t>de</w:t>
      </w:r>
      <w:r>
        <w:rPr>
          <w:color w:val="231F20"/>
          <w:spacing w:val="15"/>
          <w:sz w:val="17"/>
        </w:rPr>
        <w:t> </w:t>
      </w:r>
      <w:r>
        <w:rPr>
          <w:color w:val="231F20"/>
          <w:sz w:val="17"/>
        </w:rPr>
        <w:t>les</w:t>
      </w:r>
      <w:r>
        <w:rPr>
          <w:color w:val="231F20"/>
          <w:spacing w:val="15"/>
          <w:sz w:val="17"/>
        </w:rPr>
        <w:t> </w:t>
      </w:r>
      <w:r>
        <w:rPr>
          <w:color w:val="231F20"/>
          <w:spacing w:val="-3"/>
          <w:sz w:val="17"/>
        </w:rPr>
        <w:t>exercer.</w:t>
      </w:r>
    </w:p>
    <w:p>
      <w:pPr>
        <w:pStyle w:val="BodyText"/>
        <w:spacing w:line="218" w:lineRule="auto" w:before="119"/>
      </w:pPr>
      <w:r>
        <w:rPr/>
        <w:br w:type="column"/>
      </w:r>
      <w:r>
        <w:rPr>
          <w:color w:val="231F20"/>
        </w:rPr>
        <w:t>6° de bevoegdheden van de algemene vergadering en de wijze van bijeenroeping ervan, alsook de wijze waarop haar besluiten aan de leden</w:t>
      </w:r>
      <w:r>
        <w:rPr>
          <w:color w:val="231F20"/>
          <w:spacing w:val="15"/>
        </w:rPr>
        <w:t> </w:t>
      </w:r>
      <w:r>
        <w:rPr>
          <w:color w:val="231F20"/>
        </w:rPr>
        <w:t>en</w:t>
      </w:r>
      <w:r>
        <w:rPr>
          <w:color w:val="231F20"/>
          <w:spacing w:val="15"/>
        </w:rPr>
        <w:t> </w:t>
      </w:r>
      <w:r>
        <w:rPr>
          <w:color w:val="231F20"/>
        </w:rPr>
        <w:t>aan</w:t>
      </w:r>
      <w:r>
        <w:rPr>
          <w:color w:val="231F20"/>
          <w:spacing w:val="15"/>
        </w:rPr>
        <w:t> </w:t>
      </w:r>
      <w:r>
        <w:rPr>
          <w:color w:val="231F20"/>
        </w:rPr>
        <w:t>derden</w:t>
      </w:r>
      <w:r>
        <w:rPr>
          <w:color w:val="231F20"/>
          <w:spacing w:val="15"/>
        </w:rPr>
        <w:t> </w:t>
      </w:r>
      <w:r>
        <w:rPr>
          <w:color w:val="231F20"/>
        </w:rPr>
        <w:t>ter</w:t>
      </w:r>
      <w:r>
        <w:rPr>
          <w:color w:val="231F20"/>
          <w:spacing w:val="15"/>
        </w:rPr>
        <w:t> </w:t>
      </w:r>
      <w:r>
        <w:rPr>
          <w:color w:val="231F20"/>
        </w:rPr>
        <w:t>kennis</w:t>
      </w:r>
      <w:r>
        <w:rPr>
          <w:color w:val="231F20"/>
          <w:spacing w:val="16"/>
        </w:rPr>
        <w:t> </w:t>
      </w:r>
      <w:r>
        <w:rPr>
          <w:color w:val="231F20"/>
        </w:rPr>
        <w:t>worden</w:t>
      </w:r>
      <w:r>
        <w:rPr>
          <w:color w:val="231F20"/>
          <w:spacing w:val="15"/>
        </w:rPr>
        <w:t> </w:t>
      </w:r>
      <w:r>
        <w:rPr>
          <w:color w:val="231F20"/>
        </w:rPr>
        <w:t>gebracht;</w:t>
      </w:r>
    </w:p>
    <w:p>
      <w:pPr>
        <w:pStyle w:val="BodyText"/>
        <w:spacing w:line="218" w:lineRule="auto" w:before="105"/>
      </w:pPr>
      <w:r>
        <w:rPr>
          <w:color w:val="231F20"/>
        </w:rPr>
        <w:t>7° </w:t>
      </w:r>
      <w:r>
        <w:rPr>
          <w:rFonts w:ascii="Times New Roman" w:hAnsi="Times New Roman"/>
          <w:i/>
          <w:color w:val="231F20"/>
        </w:rPr>
        <w:t>a) </w:t>
      </w:r>
      <w:r>
        <w:rPr>
          <w:color w:val="231F20"/>
        </w:rPr>
        <w:t>de wijze van benoeming en ambtsbeëindiging van de bestuur- ders en de duur van hun mandaat;</w:t>
      </w:r>
    </w:p>
    <w:p>
      <w:pPr>
        <w:pStyle w:val="ListParagraph"/>
        <w:numPr>
          <w:ilvl w:val="0"/>
          <w:numId w:val="23"/>
        </w:numPr>
        <w:tabs>
          <w:tab w:pos="479" w:val="left" w:leader="none"/>
        </w:tabs>
        <w:spacing w:line="218" w:lineRule="auto" w:before="104" w:after="0"/>
        <w:ind w:left="113" w:right="124" w:firstLine="170"/>
        <w:jc w:val="both"/>
        <w:rPr>
          <w:sz w:val="17"/>
        </w:rPr>
      </w:pPr>
      <w:r>
        <w:rPr>
          <w:color w:val="231F20"/>
          <w:sz w:val="17"/>
        </w:rPr>
        <w:t>in voorkomend geval, de wijze van benoeming en ambtsbeëindi- ging</w:t>
      </w:r>
      <w:r>
        <w:rPr>
          <w:color w:val="231F20"/>
          <w:spacing w:val="14"/>
          <w:sz w:val="17"/>
        </w:rPr>
        <w:t> </w:t>
      </w:r>
      <w:r>
        <w:rPr>
          <w:color w:val="231F20"/>
          <w:sz w:val="17"/>
        </w:rPr>
        <w:t>van</w:t>
      </w:r>
      <w:r>
        <w:rPr>
          <w:color w:val="231F20"/>
          <w:spacing w:val="15"/>
          <w:sz w:val="17"/>
        </w:rPr>
        <w:t> </w:t>
      </w:r>
      <w:r>
        <w:rPr>
          <w:color w:val="231F20"/>
          <w:sz w:val="17"/>
        </w:rPr>
        <w:t>de</w:t>
      </w:r>
      <w:r>
        <w:rPr>
          <w:color w:val="231F20"/>
          <w:spacing w:val="14"/>
          <w:sz w:val="17"/>
        </w:rPr>
        <w:t> </w:t>
      </w:r>
      <w:r>
        <w:rPr>
          <w:color w:val="231F20"/>
          <w:sz w:val="17"/>
        </w:rPr>
        <w:t>personen</w:t>
      </w:r>
      <w:r>
        <w:rPr>
          <w:color w:val="231F20"/>
          <w:spacing w:val="15"/>
          <w:sz w:val="17"/>
        </w:rPr>
        <w:t> </w:t>
      </w:r>
      <w:r>
        <w:rPr>
          <w:color w:val="231F20"/>
          <w:sz w:val="17"/>
        </w:rPr>
        <w:t>gemachtigd</w:t>
      </w:r>
      <w:r>
        <w:rPr>
          <w:color w:val="231F20"/>
          <w:spacing w:val="15"/>
          <w:sz w:val="17"/>
        </w:rPr>
        <w:t> </w:t>
      </w:r>
      <w:r>
        <w:rPr>
          <w:color w:val="231F20"/>
          <w:sz w:val="17"/>
        </w:rPr>
        <w:t>de</w:t>
      </w:r>
      <w:r>
        <w:rPr>
          <w:color w:val="231F20"/>
          <w:spacing w:val="14"/>
          <w:sz w:val="17"/>
        </w:rPr>
        <w:t> </w:t>
      </w:r>
      <w:r>
        <w:rPr>
          <w:color w:val="231F20"/>
          <w:sz w:val="17"/>
        </w:rPr>
        <w:t>VZW</w:t>
      </w:r>
      <w:r>
        <w:rPr>
          <w:color w:val="231F20"/>
          <w:spacing w:val="15"/>
          <w:sz w:val="17"/>
        </w:rPr>
        <w:t> </w:t>
      </w:r>
      <w:r>
        <w:rPr>
          <w:color w:val="231F20"/>
          <w:sz w:val="17"/>
        </w:rPr>
        <w:t>overeenkomstig</w:t>
      </w:r>
      <w:r>
        <w:rPr>
          <w:color w:val="231F20"/>
          <w:spacing w:val="14"/>
          <w:sz w:val="17"/>
        </w:rPr>
        <w:t> </w:t>
      </w:r>
      <w:r>
        <w:rPr>
          <w:color w:val="231F20"/>
          <w:sz w:val="17"/>
        </w:rPr>
        <w:t>artikel</w:t>
      </w:r>
      <w:r>
        <w:rPr>
          <w:color w:val="231F20"/>
          <w:spacing w:val="15"/>
          <w:sz w:val="17"/>
        </w:rPr>
        <w:t> </w:t>
      </w:r>
      <w:r>
        <w:rPr>
          <w:color w:val="231F20"/>
          <w:sz w:val="17"/>
        </w:rPr>
        <w:t>9:7,</w:t>
      </w:r>
    </w:p>
    <w:p>
      <w:pPr>
        <w:pStyle w:val="BodyText"/>
        <w:spacing w:line="218" w:lineRule="auto"/>
        <w:ind w:firstLine="0"/>
      </w:pPr>
      <w:r>
        <w:rPr>
          <w:color w:val="231F20"/>
        </w:rPr>
        <w:t>§ 2, te vertegenwoordigen, de omvang van hun vertegenwoordigings- bevoegdheden en de wijze waarop zij hun bevoegdheid uitoefenen, alleen dan wel gezamenlijk, of als college;</w:t>
      </w:r>
    </w:p>
    <w:p>
      <w:pPr>
        <w:pStyle w:val="ListParagraph"/>
        <w:numPr>
          <w:ilvl w:val="0"/>
          <w:numId w:val="23"/>
        </w:numPr>
        <w:tabs>
          <w:tab w:pos="470" w:val="left" w:leader="none"/>
        </w:tabs>
        <w:spacing w:line="218" w:lineRule="auto" w:before="104" w:after="0"/>
        <w:ind w:left="113" w:right="124" w:firstLine="170"/>
        <w:jc w:val="both"/>
        <w:rPr>
          <w:sz w:val="17"/>
        </w:rPr>
      </w:pPr>
      <w:r>
        <w:rPr>
          <w:color w:val="231F20"/>
          <w:sz w:val="17"/>
        </w:rPr>
        <w:t>in voorkomend geval, de wijze van benoeming en ambtsbeëindi- ging van de personen aan wie het dagelijks bestuur van de VZW is opgedragen overeenkomstig artikel 9:10, en de wijze waarop zij hun bevoegdheid</w:t>
      </w:r>
      <w:r>
        <w:rPr>
          <w:color w:val="231F20"/>
          <w:spacing w:val="20"/>
          <w:sz w:val="17"/>
        </w:rPr>
        <w:t> </w:t>
      </w:r>
      <w:r>
        <w:rPr>
          <w:color w:val="231F20"/>
          <w:sz w:val="17"/>
        </w:rPr>
        <w:t>uitoefenen,</w:t>
      </w:r>
      <w:r>
        <w:rPr>
          <w:color w:val="231F20"/>
          <w:spacing w:val="20"/>
          <w:sz w:val="17"/>
        </w:rPr>
        <w:t> </w:t>
      </w:r>
      <w:r>
        <w:rPr>
          <w:color w:val="231F20"/>
          <w:sz w:val="17"/>
        </w:rPr>
        <w:t>alleen</w:t>
      </w:r>
      <w:r>
        <w:rPr>
          <w:color w:val="231F20"/>
          <w:spacing w:val="20"/>
          <w:sz w:val="17"/>
        </w:rPr>
        <w:t> </w:t>
      </w:r>
      <w:r>
        <w:rPr>
          <w:color w:val="231F20"/>
          <w:sz w:val="17"/>
        </w:rPr>
        <w:t>dan</w:t>
      </w:r>
      <w:r>
        <w:rPr>
          <w:color w:val="231F20"/>
          <w:spacing w:val="20"/>
          <w:sz w:val="17"/>
        </w:rPr>
        <w:t> </w:t>
      </w:r>
      <w:r>
        <w:rPr>
          <w:color w:val="231F20"/>
          <w:sz w:val="17"/>
        </w:rPr>
        <w:t>wel</w:t>
      </w:r>
      <w:r>
        <w:rPr>
          <w:color w:val="231F20"/>
          <w:spacing w:val="20"/>
          <w:sz w:val="17"/>
        </w:rPr>
        <w:t> </w:t>
      </w:r>
      <w:r>
        <w:rPr>
          <w:color w:val="231F20"/>
          <w:sz w:val="17"/>
        </w:rPr>
        <w:t>gezamenlijk,</w:t>
      </w:r>
      <w:r>
        <w:rPr>
          <w:color w:val="231F20"/>
          <w:spacing w:val="21"/>
          <w:sz w:val="17"/>
        </w:rPr>
        <w:t> </w:t>
      </w:r>
      <w:r>
        <w:rPr>
          <w:color w:val="231F20"/>
          <w:sz w:val="17"/>
        </w:rPr>
        <w:t>of</w:t>
      </w:r>
      <w:r>
        <w:rPr>
          <w:color w:val="231F20"/>
          <w:spacing w:val="20"/>
          <w:sz w:val="17"/>
        </w:rPr>
        <w:t> </w:t>
      </w:r>
      <w:r>
        <w:rPr>
          <w:color w:val="231F20"/>
          <w:sz w:val="17"/>
        </w:rPr>
        <w:t>als</w:t>
      </w:r>
      <w:r>
        <w:rPr>
          <w:color w:val="231F20"/>
          <w:spacing w:val="20"/>
          <w:sz w:val="17"/>
        </w:rPr>
        <w:t> </w:t>
      </w:r>
      <w:r>
        <w:rPr>
          <w:color w:val="231F20"/>
          <w:sz w:val="17"/>
        </w:rPr>
        <w:t>college;</w:t>
      </w:r>
    </w:p>
    <w:p>
      <w:pPr>
        <w:pStyle w:val="BodyText"/>
        <w:spacing w:line="218" w:lineRule="auto" w:before="107"/>
      </w:pPr>
      <w:r>
        <w:rPr>
          <w:color w:val="231F20"/>
        </w:rPr>
        <w:t>8° het maximumbedrag van de bijdragen of van de stortingen ten laste van de leden;</w:t>
      </w:r>
    </w:p>
    <w:p>
      <w:pPr>
        <w:pStyle w:val="BodyText"/>
        <w:spacing w:line="218" w:lineRule="auto" w:before="107"/>
      </w:pPr>
      <w:r>
        <w:rPr>
          <w:color w:val="231F20"/>
        </w:rPr>
        <w:t>9° het belangeloos doel waaraan de VZW, bij haar ontbinding, het vermogen moet bestemmen;</w:t>
      </w:r>
    </w:p>
    <w:p>
      <w:pPr>
        <w:pStyle w:val="BodyText"/>
        <w:spacing w:line="218" w:lineRule="auto" w:before="107"/>
      </w:pPr>
      <w:r>
        <w:rPr>
          <w:color w:val="231F20"/>
        </w:rPr>
        <w:t>10° de duur van de VZW ingeval zij niet voor onbepaalde tijd is aangegaan;</w:t>
      </w:r>
    </w:p>
    <w:p>
      <w:pPr>
        <w:pStyle w:val="BodyText"/>
        <w:spacing w:line="218" w:lineRule="auto" w:before="106"/>
      </w:pPr>
      <w:r>
        <w:rPr>
          <w:color w:val="231F20"/>
          <w:w w:val="105"/>
        </w:rPr>
        <w:t>11° de nauwkeurige aanduiding van het adres waarop de zetel van de VZW is gevestigd en, in voorkomend geval, het e-mailadres en de website van de VZW;</w:t>
      </w:r>
    </w:p>
    <w:p>
      <w:pPr>
        <w:pStyle w:val="BodyText"/>
        <w:spacing w:line="218" w:lineRule="auto" w:before="107"/>
      </w:pPr>
      <w:r>
        <w:rPr>
          <w:color w:val="231F20"/>
        </w:rPr>
        <w:t>12° de identiteit van de bestuurders en, in voorkomend geval, van de personen aan wie het dagelijks bestuur van de VZW is opgedragen overeenkomstig artikel 9:10, van de personen gemachtigd de VZW overeenkomstig artikel 9:7, § 2, te vertegenwoordigen en van de commissaris.</w:t>
      </w:r>
    </w:p>
    <w:p>
      <w:pPr>
        <w:pStyle w:val="BodyText"/>
        <w:spacing w:line="218" w:lineRule="auto" w:before="107"/>
      </w:pPr>
      <w:r>
        <w:rPr>
          <w:color w:val="231F20"/>
        </w:rPr>
        <w:t>Art. 2:10. § 1. Met het oog op hun opname in het verenigingsdossier worden voor de IVZW binnen dertig dagen, te rekenen vanaf de dagtekening van de definitieve akte, de uitspraak van het vonnis uitvoerbaar bij voorraad of het in kracht van gewijsde gaan van het vonnis, de volgende stukken neergelegd:</w:t>
      </w:r>
    </w:p>
    <w:p>
      <w:pPr>
        <w:pStyle w:val="BodyText"/>
        <w:spacing w:before="93"/>
        <w:ind w:left="283" w:right="0" w:firstLine="0"/>
        <w:jc w:val="left"/>
      </w:pPr>
      <w:r>
        <w:rPr>
          <w:color w:val="231F20"/>
          <w:w w:val="105"/>
        </w:rPr>
        <w:t>1° de oprichtingsakte;</w:t>
      </w:r>
    </w:p>
    <w:p>
      <w:pPr>
        <w:pStyle w:val="BodyText"/>
        <w:spacing w:line="218" w:lineRule="auto" w:before="104"/>
      </w:pPr>
      <w:r>
        <w:rPr>
          <w:color w:val="231F20"/>
        </w:rPr>
        <w:t>2° de eerste versie van de tekst van de statuten samen met de oprichtingsakte, en de bijgewerkte en gecoördineerde tekst van de statuten samen met iedere statutenwijziging;</w:t>
      </w:r>
    </w:p>
    <w:p>
      <w:pPr>
        <w:pStyle w:val="BodyText"/>
        <w:spacing w:before="103"/>
        <w:ind w:left="283" w:right="0" w:hanging="1"/>
        <w:jc w:val="left"/>
      </w:pPr>
      <w:r>
        <w:rPr>
          <w:color w:val="231F20"/>
        </w:rPr>
        <w:t>3° het uittreksel uit de oprichtingsakte, zoals bedoeld in paragraaf 2;</w:t>
      </w:r>
    </w:p>
    <w:p>
      <w:pPr>
        <w:pStyle w:val="BodyText"/>
        <w:spacing w:line="218" w:lineRule="auto" w:before="112"/>
      </w:pPr>
      <w:r>
        <w:rPr>
          <w:color w:val="231F20"/>
        </w:rPr>
        <w:t>4° </w:t>
      </w:r>
      <w:r>
        <w:rPr>
          <w:rFonts w:ascii="Times New Roman" w:hAnsi="Times New Roman"/>
          <w:i/>
          <w:color w:val="231F20"/>
        </w:rPr>
        <w:t>a) </w:t>
      </w:r>
      <w:r>
        <w:rPr>
          <w:color w:val="231F20"/>
        </w:rPr>
        <w:t>het uittreksel uit de akten betreffende de benoeming en ambtsbeëindiging van de bestuurders en, in voorkomend geval, van de personen gemachtigd om de IVZW te vertegenwoordigen;</w:t>
      </w:r>
    </w:p>
    <w:p>
      <w:pPr>
        <w:pStyle w:val="ListParagraph"/>
        <w:numPr>
          <w:ilvl w:val="0"/>
          <w:numId w:val="24"/>
        </w:numPr>
        <w:tabs>
          <w:tab w:pos="491" w:val="left" w:leader="none"/>
        </w:tabs>
        <w:spacing w:line="218" w:lineRule="auto" w:before="114" w:after="0"/>
        <w:ind w:left="113" w:right="124" w:firstLine="170"/>
        <w:jc w:val="both"/>
        <w:rPr>
          <w:sz w:val="17"/>
        </w:rPr>
      </w:pPr>
      <w:r>
        <w:rPr>
          <w:color w:val="231F20"/>
          <w:sz w:val="17"/>
        </w:rPr>
        <w:t>in voorkomend geval, het uittreksel uit de akten betreffende de benoeming en de ambtsbeëindiging van de personen aan wie het dagelijks bestuur werd</w:t>
      </w:r>
      <w:r>
        <w:rPr>
          <w:color w:val="231F20"/>
          <w:spacing w:val="6"/>
          <w:sz w:val="17"/>
        </w:rPr>
        <w:t> </w:t>
      </w:r>
      <w:r>
        <w:rPr>
          <w:color w:val="231F20"/>
          <w:sz w:val="17"/>
        </w:rPr>
        <w:t>gedelegeerd.</w:t>
      </w:r>
    </w:p>
    <w:p>
      <w:pPr>
        <w:pStyle w:val="ListParagraph"/>
        <w:numPr>
          <w:ilvl w:val="0"/>
          <w:numId w:val="24"/>
        </w:numPr>
        <w:tabs>
          <w:tab w:pos="492" w:val="left" w:leader="none"/>
        </w:tabs>
        <w:spacing w:line="218" w:lineRule="auto" w:before="115" w:after="0"/>
        <w:ind w:left="113" w:right="124" w:firstLine="170"/>
        <w:jc w:val="both"/>
        <w:rPr>
          <w:sz w:val="17"/>
        </w:rPr>
      </w:pPr>
      <w:r>
        <w:rPr>
          <w:color w:val="231F20"/>
          <w:sz w:val="17"/>
        </w:rPr>
        <w:t>in voorkomend geval, het uittreksel uit de akte betreffende de benoeming van de</w:t>
      </w:r>
      <w:r>
        <w:rPr>
          <w:color w:val="231F20"/>
          <w:spacing w:val="4"/>
          <w:sz w:val="17"/>
        </w:rPr>
        <w:t> </w:t>
      </w:r>
      <w:r>
        <w:rPr>
          <w:color w:val="231F20"/>
          <w:sz w:val="17"/>
        </w:rPr>
        <w:t>commissaris;</w:t>
      </w:r>
    </w:p>
    <w:p>
      <w:pPr>
        <w:pStyle w:val="BodyText"/>
        <w:spacing w:line="218" w:lineRule="auto" w:before="118"/>
      </w:pPr>
      <w:r>
        <w:rPr>
          <w:color w:val="231F20"/>
        </w:rPr>
        <w:t>5° de beslissingen betreffende de nietigheid of de ontbinding van de IVZW, de vereffening ervan, de benoeming en ambtsbeëindiging van de vereffenaars, de vereffeningsvoorwaarden, de sluiting of de heropening van de vereffening en de bestemming van het actief; de rechterlijke beslissingen moeten slechts bij het dossier worden gevoegd als zij in kracht van gewijsde zijn gegaan of uitvoerbaar zijn bij voorraad;</w:t>
      </w:r>
    </w:p>
    <w:p>
      <w:pPr>
        <w:pStyle w:val="BodyText"/>
        <w:spacing w:line="218" w:lineRule="auto" w:before="117"/>
      </w:pPr>
      <w:r>
        <w:rPr>
          <w:color w:val="231F20"/>
        </w:rPr>
        <w:t>6° het uittreksel uit de onder 5° bedoelde beslissingen, dat de rechter, de datum en het dispositief van de beslissing vermeldt;</w:t>
      </w:r>
    </w:p>
    <w:p>
      <w:pPr>
        <w:pStyle w:val="BodyText"/>
        <w:spacing w:line="218" w:lineRule="auto" w:before="118"/>
        <w:ind w:right="123"/>
      </w:pPr>
      <w:r>
        <w:rPr>
          <w:color w:val="231F20"/>
        </w:rPr>
        <w:t>7° het uittreksel uit de akten en beslissingen betreffende de benoe- ming en ambtsbeëindiging van de vereffenaars, dat hun naam, voornaam en woonplaats, of, ingeval het een rechtspersoon betreft, hun naam, rechtsvorm, ondernemingsnummer en zetel vermeldt;</w:t>
      </w:r>
    </w:p>
    <w:p>
      <w:pPr>
        <w:pStyle w:val="BodyText"/>
        <w:spacing w:before="103"/>
        <w:ind w:left="283" w:right="0" w:firstLine="0"/>
        <w:jc w:val="left"/>
      </w:pPr>
      <w:r>
        <w:rPr>
          <w:color w:val="231F20"/>
        </w:rPr>
        <w:t>8° de jaarrekening, opgesteld overeenkomstig artikel 3:47;</w:t>
      </w:r>
    </w:p>
    <w:p>
      <w:pPr>
        <w:pStyle w:val="BodyText"/>
        <w:spacing w:line="218" w:lineRule="auto" w:before="114"/>
      </w:pPr>
      <w:r>
        <w:rPr>
          <w:color w:val="231F20"/>
        </w:rPr>
        <w:t>9° de beslissingen en akten betreffende de omzetting van een vennootschap of van een VZW in een IVZW die overeenkomstig boek  14 tot stand</w:t>
      </w:r>
      <w:r>
        <w:rPr>
          <w:color w:val="231F20"/>
          <w:spacing w:val="3"/>
        </w:rPr>
        <w:t> </w:t>
      </w:r>
      <w:r>
        <w:rPr>
          <w:color w:val="231F20"/>
        </w:rPr>
        <w:t>komen;</w:t>
      </w:r>
    </w:p>
    <w:p>
      <w:pPr>
        <w:pStyle w:val="BodyText"/>
        <w:spacing w:line="218" w:lineRule="auto" w:before="118"/>
      </w:pPr>
      <w:r>
        <w:rPr>
          <w:color w:val="231F20"/>
        </w:rPr>
        <w:t>10° de wijzigingen aan de in 1°, 4°, 5°, 8° en 9°, bedoelde akten, stukken en beslissingen.</w:t>
      </w:r>
    </w:p>
    <w:p>
      <w:pPr>
        <w:pStyle w:val="BodyText"/>
        <w:spacing w:before="103"/>
        <w:ind w:left="283" w:right="0" w:firstLine="0"/>
        <w:jc w:val="left"/>
      </w:pPr>
      <w:r>
        <w:rPr>
          <w:color w:val="231F20"/>
        </w:rPr>
        <w:t>De in het eerste lid, 4°, bedoelde uittreksels vermelden:</w:t>
      </w:r>
    </w:p>
    <w:p>
      <w:pPr>
        <w:pStyle w:val="ListParagraph"/>
        <w:numPr>
          <w:ilvl w:val="0"/>
          <w:numId w:val="25"/>
        </w:numPr>
        <w:tabs>
          <w:tab w:pos="485" w:val="left" w:leader="none"/>
        </w:tabs>
        <w:spacing w:line="218" w:lineRule="auto" w:before="112" w:after="0"/>
        <w:ind w:left="113" w:right="124" w:firstLine="170"/>
        <w:jc w:val="both"/>
        <w:rPr>
          <w:sz w:val="17"/>
        </w:rPr>
      </w:pPr>
      <w:r>
        <w:rPr>
          <w:color w:val="231F20"/>
          <w:sz w:val="17"/>
        </w:rPr>
        <w:t>hun naam, voornaam, woonplaats of, ingeval het een rechtsper- soon</w:t>
      </w:r>
      <w:r>
        <w:rPr>
          <w:color w:val="231F20"/>
          <w:spacing w:val="13"/>
          <w:sz w:val="17"/>
        </w:rPr>
        <w:t> </w:t>
      </w:r>
      <w:r>
        <w:rPr>
          <w:color w:val="231F20"/>
          <w:sz w:val="17"/>
        </w:rPr>
        <w:t>betreft,</w:t>
      </w:r>
      <w:r>
        <w:rPr>
          <w:color w:val="231F20"/>
          <w:spacing w:val="14"/>
          <w:sz w:val="17"/>
        </w:rPr>
        <w:t> </w:t>
      </w:r>
      <w:r>
        <w:rPr>
          <w:color w:val="231F20"/>
          <w:sz w:val="17"/>
        </w:rPr>
        <w:t>hun</w:t>
      </w:r>
      <w:r>
        <w:rPr>
          <w:color w:val="231F20"/>
          <w:spacing w:val="13"/>
          <w:sz w:val="17"/>
        </w:rPr>
        <w:t> </w:t>
      </w:r>
      <w:r>
        <w:rPr>
          <w:color w:val="231F20"/>
          <w:sz w:val="17"/>
        </w:rPr>
        <w:t>naam,</w:t>
      </w:r>
      <w:r>
        <w:rPr>
          <w:color w:val="231F20"/>
          <w:spacing w:val="14"/>
          <w:sz w:val="17"/>
        </w:rPr>
        <w:t> </w:t>
      </w:r>
      <w:r>
        <w:rPr>
          <w:color w:val="231F20"/>
          <w:sz w:val="17"/>
        </w:rPr>
        <w:t>rechtsvorm,</w:t>
      </w:r>
      <w:r>
        <w:rPr>
          <w:color w:val="231F20"/>
          <w:spacing w:val="13"/>
          <w:sz w:val="17"/>
        </w:rPr>
        <w:t> </w:t>
      </w:r>
      <w:r>
        <w:rPr>
          <w:color w:val="231F20"/>
          <w:sz w:val="17"/>
        </w:rPr>
        <w:t>ondernemingsnummer</w:t>
      </w:r>
      <w:r>
        <w:rPr>
          <w:color w:val="231F20"/>
          <w:spacing w:val="14"/>
          <w:sz w:val="17"/>
        </w:rPr>
        <w:t> </w:t>
      </w:r>
      <w:r>
        <w:rPr>
          <w:color w:val="231F20"/>
          <w:sz w:val="17"/>
        </w:rPr>
        <w:t>en</w:t>
      </w:r>
      <w:r>
        <w:rPr>
          <w:color w:val="231F20"/>
          <w:spacing w:val="13"/>
          <w:sz w:val="17"/>
        </w:rPr>
        <w:t> </w:t>
      </w:r>
      <w:r>
        <w:rPr>
          <w:color w:val="231F20"/>
          <w:sz w:val="17"/>
        </w:rPr>
        <w:t>zetel;</w:t>
      </w:r>
    </w:p>
    <w:p>
      <w:pPr>
        <w:pStyle w:val="BodyText"/>
        <w:spacing w:before="6"/>
        <w:ind w:left="0" w:right="0" w:firstLine="0"/>
        <w:jc w:val="left"/>
        <w:rPr>
          <w:sz w:val="25"/>
        </w:rPr>
      </w:pPr>
    </w:p>
    <w:p>
      <w:pPr>
        <w:pStyle w:val="ListParagraph"/>
        <w:numPr>
          <w:ilvl w:val="0"/>
          <w:numId w:val="25"/>
        </w:numPr>
        <w:tabs>
          <w:tab w:pos="471" w:val="left" w:leader="none"/>
        </w:tabs>
        <w:spacing w:line="218" w:lineRule="auto" w:before="0" w:after="0"/>
        <w:ind w:left="113" w:right="124" w:firstLine="170"/>
        <w:jc w:val="both"/>
        <w:rPr>
          <w:sz w:val="17"/>
        </w:rPr>
      </w:pPr>
      <w:r>
        <w:rPr>
          <w:color w:val="231F20"/>
          <w:sz w:val="17"/>
        </w:rPr>
        <w:t>behalve voor de commissaris, de omvang van hun bevoegdheden en</w:t>
      </w:r>
      <w:r>
        <w:rPr>
          <w:color w:val="231F20"/>
          <w:spacing w:val="15"/>
          <w:sz w:val="17"/>
        </w:rPr>
        <w:t> </w:t>
      </w:r>
      <w:r>
        <w:rPr>
          <w:color w:val="231F20"/>
          <w:sz w:val="17"/>
        </w:rPr>
        <w:t>de</w:t>
      </w:r>
      <w:r>
        <w:rPr>
          <w:color w:val="231F20"/>
          <w:spacing w:val="16"/>
          <w:sz w:val="17"/>
        </w:rPr>
        <w:t> </w:t>
      </w:r>
      <w:r>
        <w:rPr>
          <w:color w:val="231F20"/>
          <w:sz w:val="17"/>
        </w:rPr>
        <w:t>wijze</w:t>
      </w:r>
      <w:r>
        <w:rPr>
          <w:color w:val="231F20"/>
          <w:spacing w:val="16"/>
          <w:sz w:val="17"/>
        </w:rPr>
        <w:t> </w:t>
      </w:r>
      <w:r>
        <w:rPr>
          <w:color w:val="231F20"/>
          <w:sz w:val="17"/>
        </w:rPr>
        <w:t>waarop</w:t>
      </w:r>
      <w:r>
        <w:rPr>
          <w:color w:val="231F20"/>
          <w:spacing w:val="16"/>
          <w:sz w:val="17"/>
        </w:rPr>
        <w:t> </w:t>
      </w:r>
      <w:r>
        <w:rPr>
          <w:color w:val="231F20"/>
          <w:sz w:val="17"/>
        </w:rPr>
        <w:t>zij</w:t>
      </w:r>
      <w:r>
        <w:rPr>
          <w:color w:val="231F20"/>
          <w:spacing w:val="16"/>
          <w:sz w:val="17"/>
        </w:rPr>
        <w:t> </w:t>
      </w:r>
      <w:r>
        <w:rPr>
          <w:color w:val="231F20"/>
          <w:sz w:val="17"/>
        </w:rPr>
        <w:t>die</w:t>
      </w:r>
      <w:r>
        <w:rPr>
          <w:color w:val="231F20"/>
          <w:spacing w:val="15"/>
          <w:sz w:val="17"/>
        </w:rPr>
        <w:t> </w:t>
      </w:r>
      <w:r>
        <w:rPr>
          <w:color w:val="231F20"/>
          <w:sz w:val="17"/>
        </w:rPr>
        <w:t>uitoefenen.</w:t>
      </w:r>
    </w:p>
    <w:p>
      <w:pPr>
        <w:spacing w:after="0" w:line="218" w:lineRule="auto"/>
        <w:jc w:val="both"/>
        <w:rPr>
          <w:sz w:val="17"/>
        </w:rPr>
        <w:sectPr>
          <w:headerReference w:type="even" r:id="rId13"/>
          <w:headerReference w:type="default" r:id="rId14"/>
          <w:pgSz w:w="11940" w:h="16880"/>
          <w:pgMar w:header="666" w:footer="0" w:top="1140" w:bottom="280" w:left="340" w:right="360"/>
          <w:pgNumType w:start="33252"/>
          <w:cols w:num="2" w:equalWidth="0">
            <w:col w:w="5530" w:space="97"/>
            <w:col w:w="5613"/>
          </w:cols>
        </w:sectPr>
      </w:pPr>
    </w:p>
    <w:p>
      <w:pPr>
        <w:pStyle w:val="BodyText"/>
        <w:spacing w:before="91"/>
        <w:ind w:left="283" w:right="0" w:firstLine="0"/>
        <w:jc w:val="left"/>
      </w:pPr>
      <w:r>
        <w:rPr/>
        <w:pict>
          <v:line style="position:absolute;mso-position-horizontal-relative:page;mso-position-vertical-relative:page;z-index:1360" from="298.170502pt,64.473pt" to="298.170502pt,812.819pt" stroked="true" strokeweight=".533pt" strokecolor="#231f20">
            <v:stroke dashstyle="solid"/>
            <w10:wrap type="none"/>
          </v:line>
        </w:pict>
      </w:r>
      <w:bookmarkStart w:name="_bookmark14" w:id="17"/>
      <w:bookmarkEnd w:id="17"/>
      <w:r>
        <w:rPr/>
      </w:r>
      <w:r>
        <w:rPr>
          <w:color w:val="231F20"/>
        </w:rPr>
        <w:t>§ 2. L’extrait visé au paragraphe 1</w:t>
      </w:r>
      <w:r>
        <w:rPr>
          <w:color w:val="231F20"/>
          <w:position w:val="7"/>
          <w:sz w:val="11"/>
        </w:rPr>
        <w:t>er</w:t>
      </w:r>
      <w:r>
        <w:rPr>
          <w:color w:val="231F20"/>
        </w:rPr>
        <w:t>, 3°, contient:</w:t>
      </w:r>
    </w:p>
    <w:p>
      <w:pPr>
        <w:pStyle w:val="BodyText"/>
        <w:spacing w:line="218" w:lineRule="auto" w:before="92"/>
        <w:ind w:right="39"/>
      </w:pPr>
      <w:r>
        <w:rPr>
          <w:color w:val="231F20"/>
        </w:rPr>
        <w:t>1° les nom, prénom et domicile de chaque fondateur, ou, lorsqu’il s’agit d’une personne morale, sa dénomination, sa forme légale, son numéro d’entreprise et l’adresse de son siège;</w:t>
      </w:r>
    </w:p>
    <w:p>
      <w:pPr>
        <w:pStyle w:val="BodyText"/>
        <w:spacing w:line="218" w:lineRule="auto" w:before="96"/>
        <w:ind w:right="38"/>
      </w:pPr>
      <w:r>
        <w:rPr>
          <w:color w:val="231F20"/>
        </w:rPr>
        <w:t>2° la dénomination et l’indication de la région dans laquelle le siège de l’AISBL est établi;</w:t>
      </w:r>
    </w:p>
    <w:p>
      <w:pPr>
        <w:pStyle w:val="BodyText"/>
        <w:spacing w:line="218" w:lineRule="auto" w:before="96"/>
        <w:ind w:right="38"/>
      </w:pPr>
      <w:r>
        <w:rPr>
          <w:color w:val="231F20"/>
        </w:rPr>
        <w:t>3° la description précise du but désintéressé qu’elle poursuit et des activités qui constituent son objet;</w:t>
      </w:r>
    </w:p>
    <w:p>
      <w:pPr>
        <w:pStyle w:val="BodyText"/>
        <w:spacing w:line="218" w:lineRule="auto" w:before="97"/>
        <w:ind w:right="38"/>
      </w:pPr>
      <w:r>
        <w:rPr>
          <w:color w:val="231F20"/>
          <w:w w:val="105"/>
        </w:rPr>
        <w:t>4°</w:t>
      </w:r>
      <w:r>
        <w:rPr>
          <w:color w:val="231F20"/>
          <w:spacing w:val="-14"/>
          <w:w w:val="105"/>
        </w:rPr>
        <w:t> </w:t>
      </w:r>
      <w:r>
        <w:rPr>
          <w:color w:val="231F20"/>
          <w:w w:val="105"/>
        </w:rPr>
        <w:t>les</w:t>
      </w:r>
      <w:r>
        <w:rPr>
          <w:color w:val="231F20"/>
          <w:spacing w:val="-14"/>
          <w:w w:val="105"/>
        </w:rPr>
        <w:t> </w:t>
      </w:r>
      <w:r>
        <w:rPr>
          <w:color w:val="231F20"/>
          <w:w w:val="105"/>
        </w:rPr>
        <w:t>conditions</w:t>
      </w:r>
      <w:r>
        <w:rPr>
          <w:color w:val="231F20"/>
          <w:spacing w:val="-14"/>
          <w:w w:val="105"/>
        </w:rPr>
        <w:t> </w:t>
      </w:r>
      <w:r>
        <w:rPr>
          <w:color w:val="231F20"/>
          <w:w w:val="105"/>
        </w:rPr>
        <w:t>et</w:t>
      </w:r>
      <w:r>
        <w:rPr>
          <w:color w:val="231F20"/>
          <w:spacing w:val="-14"/>
          <w:w w:val="105"/>
        </w:rPr>
        <w:t> </w:t>
      </w:r>
      <w:r>
        <w:rPr>
          <w:color w:val="231F20"/>
          <w:w w:val="105"/>
        </w:rPr>
        <w:t>formalités</w:t>
      </w:r>
      <w:r>
        <w:rPr>
          <w:color w:val="231F20"/>
          <w:spacing w:val="-14"/>
          <w:w w:val="105"/>
        </w:rPr>
        <w:t> </w:t>
      </w:r>
      <w:r>
        <w:rPr>
          <w:color w:val="231F20"/>
          <w:w w:val="105"/>
        </w:rPr>
        <w:t>d’admission</w:t>
      </w:r>
      <w:r>
        <w:rPr>
          <w:color w:val="231F20"/>
          <w:spacing w:val="-14"/>
          <w:w w:val="105"/>
        </w:rPr>
        <w:t> </w:t>
      </w:r>
      <w:r>
        <w:rPr>
          <w:color w:val="231F20"/>
          <w:w w:val="105"/>
        </w:rPr>
        <w:t>et</w:t>
      </w:r>
      <w:r>
        <w:rPr>
          <w:color w:val="231F20"/>
          <w:spacing w:val="-14"/>
          <w:w w:val="105"/>
        </w:rPr>
        <w:t> </w:t>
      </w:r>
      <w:r>
        <w:rPr>
          <w:color w:val="231F20"/>
          <w:w w:val="105"/>
        </w:rPr>
        <w:t>de</w:t>
      </w:r>
      <w:r>
        <w:rPr>
          <w:color w:val="231F20"/>
          <w:spacing w:val="-13"/>
          <w:w w:val="105"/>
        </w:rPr>
        <w:t> </w:t>
      </w:r>
      <w:r>
        <w:rPr>
          <w:color w:val="231F20"/>
          <w:w w:val="105"/>
        </w:rPr>
        <w:t>sortie</w:t>
      </w:r>
      <w:r>
        <w:rPr>
          <w:color w:val="231F20"/>
          <w:spacing w:val="-14"/>
          <w:w w:val="105"/>
        </w:rPr>
        <w:t> </w:t>
      </w:r>
      <w:r>
        <w:rPr>
          <w:color w:val="231F20"/>
          <w:w w:val="105"/>
        </w:rPr>
        <w:t>des</w:t>
      </w:r>
      <w:r>
        <w:rPr>
          <w:color w:val="231F20"/>
          <w:spacing w:val="-14"/>
          <w:w w:val="105"/>
        </w:rPr>
        <w:t> </w:t>
      </w:r>
      <w:r>
        <w:rPr>
          <w:color w:val="231F20"/>
          <w:w w:val="105"/>
        </w:rPr>
        <w:t>membres et,</w:t>
      </w:r>
      <w:r>
        <w:rPr>
          <w:color w:val="231F20"/>
          <w:spacing w:val="8"/>
          <w:w w:val="105"/>
        </w:rPr>
        <w:t> </w:t>
      </w:r>
      <w:r>
        <w:rPr>
          <w:color w:val="231F20"/>
          <w:w w:val="105"/>
        </w:rPr>
        <w:t>s’il</w:t>
      </w:r>
      <w:r>
        <w:rPr>
          <w:color w:val="231F20"/>
          <w:spacing w:val="8"/>
          <w:w w:val="105"/>
        </w:rPr>
        <w:t> </w:t>
      </w:r>
      <w:r>
        <w:rPr>
          <w:color w:val="231F20"/>
          <w:w w:val="105"/>
        </w:rPr>
        <w:t>y</w:t>
      </w:r>
      <w:r>
        <w:rPr>
          <w:color w:val="231F20"/>
          <w:spacing w:val="8"/>
          <w:w w:val="105"/>
        </w:rPr>
        <w:t> </w:t>
      </w:r>
      <w:r>
        <w:rPr>
          <w:color w:val="231F20"/>
          <w:w w:val="105"/>
        </w:rPr>
        <w:t>a</w:t>
      </w:r>
      <w:r>
        <w:rPr>
          <w:color w:val="231F20"/>
          <w:spacing w:val="8"/>
          <w:w w:val="105"/>
        </w:rPr>
        <w:t> </w:t>
      </w:r>
      <w:r>
        <w:rPr>
          <w:color w:val="231F20"/>
          <w:w w:val="105"/>
        </w:rPr>
        <w:t>lieu,</w:t>
      </w:r>
      <w:r>
        <w:rPr>
          <w:color w:val="231F20"/>
          <w:spacing w:val="8"/>
          <w:w w:val="105"/>
        </w:rPr>
        <w:t> </w:t>
      </w:r>
      <w:r>
        <w:rPr>
          <w:color w:val="231F20"/>
          <w:w w:val="105"/>
        </w:rPr>
        <w:t>des</w:t>
      </w:r>
      <w:r>
        <w:rPr>
          <w:color w:val="231F20"/>
          <w:spacing w:val="8"/>
          <w:w w:val="105"/>
        </w:rPr>
        <w:t> </w:t>
      </w:r>
      <w:r>
        <w:rPr>
          <w:color w:val="231F20"/>
          <w:w w:val="105"/>
        </w:rPr>
        <w:t>membres</w:t>
      </w:r>
      <w:r>
        <w:rPr>
          <w:color w:val="231F20"/>
          <w:spacing w:val="8"/>
          <w:w w:val="105"/>
        </w:rPr>
        <w:t> </w:t>
      </w:r>
      <w:r>
        <w:rPr>
          <w:color w:val="231F20"/>
          <w:w w:val="105"/>
        </w:rPr>
        <w:t>des</w:t>
      </w:r>
      <w:r>
        <w:rPr>
          <w:color w:val="231F20"/>
          <w:spacing w:val="8"/>
          <w:w w:val="105"/>
        </w:rPr>
        <w:t> </w:t>
      </w:r>
      <w:r>
        <w:rPr>
          <w:color w:val="231F20"/>
          <w:w w:val="105"/>
        </w:rPr>
        <w:t>diverses</w:t>
      </w:r>
      <w:r>
        <w:rPr>
          <w:color w:val="231F20"/>
          <w:spacing w:val="8"/>
          <w:w w:val="105"/>
        </w:rPr>
        <w:t> </w:t>
      </w:r>
      <w:r>
        <w:rPr>
          <w:color w:val="231F20"/>
          <w:w w:val="105"/>
        </w:rPr>
        <w:t>catégories;</w:t>
      </w:r>
    </w:p>
    <w:p>
      <w:pPr>
        <w:pStyle w:val="BodyText"/>
        <w:spacing w:before="10"/>
        <w:ind w:left="0" w:right="0" w:firstLine="0"/>
        <w:jc w:val="left"/>
        <w:rPr>
          <w:sz w:val="23"/>
        </w:rPr>
      </w:pPr>
    </w:p>
    <w:p>
      <w:pPr>
        <w:pStyle w:val="BodyText"/>
        <w:spacing w:line="218" w:lineRule="auto"/>
        <w:ind w:right="38"/>
      </w:pPr>
      <w:r>
        <w:rPr>
          <w:color w:val="231F20"/>
        </w:rPr>
        <w:t>5° les droits et les obligations des membres et, s’il y a lieu, des membres des diverses catégories;</w:t>
      </w:r>
    </w:p>
    <w:p>
      <w:pPr>
        <w:pStyle w:val="BodyText"/>
        <w:spacing w:line="218" w:lineRule="auto" w:before="96"/>
        <w:ind w:right="38"/>
      </w:pPr>
      <w:r>
        <w:rPr>
          <w:color w:val="231F20"/>
        </w:rPr>
        <w:t>6° les attributions, le mode de convocation et le mode de décision de l’assemblée générale de l’AISBL, ainsi que les conditions dans lesquel- les ses résolutions sont portées à la connaissance des membres;</w:t>
      </w:r>
    </w:p>
    <w:p>
      <w:pPr>
        <w:pStyle w:val="BodyText"/>
        <w:spacing w:before="8"/>
        <w:ind w:left="0" w:right="0" w:firstLine="0"/>
        <w:jc w:val="left"/>
        <w:rPr>
          <w:sz w:val="23"/>
        </w:rPr>
      </w:pPr>
    </w:p>
    <w:p>
      <w:pPr>
        <w:pStyle w:val="BodyText"/>
        <w:spacing w:line="218" w:lineRule="auto"/>
        <w:ind w:right="39"/>
      </w:pPr>
      <w:r>
        <w:rPr>
          <w:color w:val="231F20"/>
        </w:rPr>
        <w:t>7° </w:t>
      </w:r>
      <w:r>
        <w:rPr>
          <w:rFonts w:ascii="Times New Roman" w:hAnsi="Times New Roman"/>
          <w:i/>
          <w:color w:val="231F20"/>
        </w:rPr>
        <w:t>a) </w:t>
      </w:r>
      <w:r>
        <w:rPr>
          <w:color w:val="231F20"/>
        </w:rPr>
        <w:t>les attributions, le mode de convocation et le mode de décision de l’organe d’administration de l’AISBL;</w:t>
      </w:r>
    </w:p>
    <w:p>
      <w:pPr>
        <w:pStyle w:val="ListParagraph"/>
        <w:numPr>
          <w:ilvl w:val="0"/>
          <w:numId w:val="26"/>
        </w:numPr>
        <w:tabs>
          <w:tab w:pos="468" w:val="left" w:leader="none"/>
        </w:tabs>
        <w:spacing w:line="218" w:lineRule="auto" w:before="94" w:after="0"/>
        <w:ind w:left="113" w:right="39" w:firstLine="170"/>
        <w:jc w:val="both"/>
        <w:rPr>
          <w:sz w:val="17"/>
        </w:rPr>
      </w:pPr>
      <w:r>
        <w:rPr>
          <w:color w:val="231F20"/>
          <w:sz w:val="17"/>
        </w:rPr>
        <w:t>le mode de nomination, de révocation et de cessation de fonctions des administrateurs, leur nombre minimum, la durée de leur mandat, l’étendue</w:t>
      </w:r>
      <w:r>
        <w:rPr>
          <w:color w:val="231F20"/>
          <w:spacing w:val="16"/>
          <w:sz w:val="17"/>
        </w:rPr>
        <w:t> </w:t>
      </w:r>
      <w:r>
        <w:rPr>
          <w:color w:val="231F20"/>
          <w:sz w:val="17"/>
        </w:rPr>
        <w:t>de</w:t>
      </w:r>
      <w:r>
        <w:rPr>
          <w:color w:val="231F20"/>
          <w:spacing w:val="17"/>
          <w:sz w:val="17"/>
        </w:rPr>
        <w:t> </w:t>
      </w:r>
      <w:r>
        <w:rPr>
          <w:color w:val="231F20"/>
          <w:sz w:val="17"/>
        </w:rPr>
        <w:t>leurs</w:t>
      </w:r>
      <w:r>
        <w:rPr>
          <w:color w:val="231F20"/>
          <w:spacing w:val="16"/>
          <w:sz w:val="17"/>
        </w:rPr>
        <w:t> </w:t>
      </w:r>
      <w:r>
        <w:rPr>
          <w:color w:val="231F20"/>
          <w:sz w:val="17"/>
        </w:rPr>
        <w:t>pouvoirs</w:t>
      </w:r>
      <w:r>
        <w:rPr>
          <w:color w:val="231F20"/>
          <w:spacing w:val="17"/>
          <w:sz w:val="17"/>
        </w:rPr>
        <w:t> </w:t>
      </w:r>
      <w:r>
        <w:rPr>
          <w:color w:val="231F20"/>
          <w:sz w:val="17"/>
        </w:rPr>
        <w:t>et</w:t>
      </w:r>
      <w:r>
        <w:rPr>
          <w:color w:val="231F20"/>
          <w:spacing w:val="17"/>
          <w:sz w:val="17"/>
        </w:rPr>
        <w:t> </w:t>
      </w:r>
      <w:r>
        <w:rPr>
          <w:color w:val="231F20"/>
          <w:sz w:val="17"/>
        </w:rPr>
        <w:t>les</w:t>
      </w:r>
      <w:r>
        <w:rPr>
          <w:color w:val="231F20"/>
          <w:spacing w:val="16"/>
          <w:sz w:val="17"/>
        </w:rPr>
        <w:t> </w:t>
      </w:r>
      <w:r>
        <w:rPr>
          <w:color w:val="231F20"/>
          <w:sz w:val="17"/>
        </w:rPr>
        <w:t>modalités</w:t>
      </w:r>
      <w:r>
        <w:rPr>
          <w:color w:val="231F20"/>
          <w:spacing w:val="17"/>
          <w:sz w:val="17"/>
        </w:rPr>
        <w:t> </w:t>
      </w:r>
      <w:r>
        <w:rPr>
          <w:color w:val="231F20"/>
          <w:sz w:val="17"/>
        </w:rPr>
        <w:t>de</w:t>
      </w:r>
      <w:r>
        <w:rPr>
          <w:color w:val="231F20"/>
          <w:spacing w:val="16"/>
          <w:sz w:val="17"/>
        </w:rPr>
        <w:t> </w:t>
      </w:r>
      <w:r>
        <w:rPr>
          <w:color w:val="231F20"/>
          <w:sz w:val="17"/>
        </w:rPr>
        <w:t>leur</w:t>
      </w:r>
      <w:r>
        <w:rPr>
          <w:color w:val="231F20"/>
          <w:spacing w:val="17"/>
          <w:sz w:val="17"/>
        </w:rPr>
        <w:t> </w:t>
      </w:r>
      <w:r>
        <w:rPr>
          <w:color w:val="231F20"/>
          <w:sz w:val="17"/>
        </w:rPr>
        <w:t>exercice;</w:t>
      </w:r>
    </w:p>
    <w:p>
      <w:pPr>
        <w:pStyle w:val="BodyText"/>
        <w:spacing w:before="8"/>
        <w:ind w:left="0" w:right="0" w:firstLine="0"/>
        <w:jc w:val="left"/>
        <w:rPr>
          <w:sz w:val="23"/>
        </w:rPr>
      </w:pPr>
    </w:p>
    <w:p>
      <w:pPr>
        <w:pStyle w:val="ListParagraph"/>
        <w:numPr>
          <w:ilvl w:val="0"/>
          <w:numId w:val="26"/>
        </w:numPr>
        <w:tabs>
          <w:tab w:pos="501" w:val="left" w:leader="none"/>
        </w:tabs>
        <w:spacing w:line="218" w:lineRule="auto" w:before="0" w:after="0"/>
        <w:ind w:left="113" w:right="38" w:firstLine="170"/>
        <w:jc w:val="both"/>
        <w:rPr>
          <w:sz w:val="17"/>
        </w:rPr>
      </w:pPr>
      <w:r>
        <w:rPr>
          <w:color w:val="231F20"/>
          <w:sz w:val="17"/>
        </w:rPr>
        <w:t>le mode de désignation des personnes qui ont le pouvoir de représenter l’AISBL vis-à-vis des</w:t>
      </w:r>
      <w:r>
        <w:rPr>
          <w:color w:val="231F20"/>
          <w:spacing w:val="12"/>
          <w:sz w:val="17"/>
        </w:rPr>
        <w:t> </w:t>
      </w:r>
      <w:r>
        <w:rPr>
          <w:color w:val="231F20"/>
          <w:sz w:val="17"/>
        </w:rPr>
        <w:t>tiers;</w:t>
      </w:r>
    </w:p>
    <w:p>
      <w:pPr>
        <w:pStyle w:val="ListParagraph"/>
        <w:numPr>
          <w:ilvl w:val="0"/>
          <w:numId w:val="26"/>
        </w:numPr>
        <w:tabs>
          <w:tab w:pos="479" w:val="left" w:leader="none"/>
        </w:tabs>
        <w:spacing w:line="218" w:lineRule="auto" w:before="93" w:after="0"/>
        <w:ind w:left="113" w:right="38" w:firstLine="170"/>
        <w:jc w:val="both"/>
        <w:rPr>
          <w:sz w:val="17"/>
        </w:rPr>
      </w:pPr>
      <w:r>
        <w:rPr>
          <w:color w:val="231F20"/>
          <w:sz w:val="17"/>
        </w:rPr>
        <w:t>le cas échéant, le mode de nomination et de cessation de fonction des personnes déléguées à la gestion journalière de l’AISBL conformé- ment à l’article 10:11, et la manière d’exercer leurs pouvoirs, en agissant soit</w:t>
      </w:r>
      <w:r>
        <w:rPr>
          <w:color w:val="231F20"/>
          <w:spacing w:val="13"/>
          <w:sz w:val="17"/>
        </w:rPr>
        <w:t> </w:t>
      </w:r>
      <w:r>
        <w:rPr>
          <w:color w:val="231F20"/>
          <w:sz w:val="17"/>
        </w:rPr>
        <w:t>séparément,</w:t>
      </w:r>
      <w:r>
        <w:rPr>
          <w:color w:val="231F20"/>
          <w:spacing w:val="14"/>
          <w:sz w:val="17"/>
        </w:rPr>
        <w:t> </w:t>
      </w:r>
      <w:r>
        <w:rPr>
          <w:color w:val="231F20"/>
          <w:sz w:val="17"/>
        </w:rPr>
        <w:t>soit</w:t>
      </w:r>
      <w:r>
        <w:rPr>
          <w:color w:val="231F20"/>
          <w:spacing w:val="14"/>
          <w:sz w:val="17"/>
        </w:rPr>
        <w:t> </w:t>
      </w:r>
      <w:r>
        <w:rPr>
          <w:color w:val="231F20"/>
          <w:sz w:val="17"/>
        </w:rPr>
        <w:t>conjointement,</w:t>
      </w:r>
      <w:r>
        <w:rPr>
          <w:color w:val="231F20"/>
          <w:spacing w:val="14"/>
          <w:sz w:val="17"/>
        </w:rPr>
        <w:t> </w:t>
      </w:r>
      <w:r>
        <w:rPr>
          <w:color w:val="231F20"/>
          <w:sz w:val="17"/>
        </w:rPr>
        <w:t>soit</w:t>
      </w:r>
      <w:r>
        <w:rPr>
          <w:color w:val="231F20"/>
          <w:spacing w:val="14"/>
          <w:sz w:val="17"/>
        </w:rPr>
        <w:t> </w:t>
      </w:r>
      <w:r>
        <w:rPr>
          <w:color w:val="231F20"/>
          <w:sz w:val="17"/>
        </w:rPr>
        <w:t>en</w:t>
      </w:r>
      <w:r>
        <w:rPr>
          <w:color w:val="231F20"/>
          <w:spacing w:val="14"/>
          <w:sz w:val="17"/>
        </w:rPr>
        <w:t> </w:t>
      </w:r>
      <w:r>
        <w:rPr>
          <w:color w:val="231F20"/>
          <w:sz w:val="17"/>
        </w:rPr>
        <w:t>collège.</w:t>
      </w:r>
    </w:p>
    <w:p>
      <w:pPr>
        <w:pStyle w:val="BodyText"/>
        <w:spacing w:before="83"/>
        <w:ind w:left="283" w:right="0" w:firstLine="0"/>
        <w:jc w:val="left"/>
      </w:pPr>
      <w:r>
        <w:rPr>
          <w:color w:val="231F20"/>
        </w:rPr>
        <w:t>8° les conditions de modification des statuts;</w:t>
      </w:r>
    </w:p>
    <w:p>
      <w:pPr>
        <w:pStyle w:val="BodyText"/>
        <w:spacing w:line="218" w:lineRule="auto" w:before="92"/>
        <w:ind w:right="38"/>
      </w:pPr>
      <w:r>
        <w:rPr>
          <w:color w:val="231F20"/>
        </w:rPr>
        <w:t>9° les conditions de dissolution et de liquidation de l’AISBL et le but désintéressé auquel l’AISBL doit affecter son patrimoine en cas de dissolution;</w:t>
      </w:r>
    </w:p>
    <w:p>
      <w:pPr>
        <w:pStyle w:val="BodyText"/>
        <w:spacing w:line="218" w:lineRule="auto" w:before="97"/>
        <w:ind w:right="38"/>
      </w:pPr>
      <w:r>
        <w:rPr>
          <w:color w:val="231F20"/>
        </w:rPr>
        <w:t>10° la désignation précise de l’adresse à laquelle le siège de l’AISBL est établi et, le cas échéant, l’adresse électronique et le site internet de l’AISBL;</w:t>
      </w:r>
    </w:p>
    <w:p>
      <w:pPr>
        <w:pStyle w:val="BodyText"/>
        <w:spacing w:line="218" w:lineRule="auto" w:before="106"/>
        <w:ind w:right="38"/>
      </w:pPr>
      <w:r>
        <w:rPr>
          <w:color w:val="231F20"/>
        </w:rPr>
        <w:t>11° l’identité des administrateurs et des personnes qui ont le pouvoir de représenter l’AISBL vis-à-vis des tiers, et, le cas échéant, du commissaire.</w:t>
      </w:r>
    </w:p>
    <w:p>
      <w:pPr>
        <w:pStyle w:val="BodyText"/>
        <w:spacing w:line="218" w:lineRule="auto" w:before="92"/>
        <w:ind w:right="39"/>
      </w:pPr>
      <w:r>
        <w:rPr>
          <w:color w:val="231F20"/>
        </w:rPr>
        <w:t>Art. 2:11. § 1</w:t>
      </w:r>
      <w:r>
        <w:rPr>
          <w:color w:val="231F20"/>
          <w:position w:val="7"/>
          <w:sz w:val="11"/>
        </w:rPr>
        <w:t>er</w:t>
      </w:r>
      <w:r>
        <w:rPr>
          <w:color w:val="231F20"/>
        </w:rPr>
        <w:t>. Afin d’être versés au dossier de la fondation, les documents suivants sont déposés pour la fondation dans les trente jours, à compter de la date de l’acte définitif, du prononcé du jugement exécutoire par provision ou du moment où le jugement est passé en force de chose jugée:</w:t>
      </w:r>
    </w:p>
    <w:p>
      <w:pPr>
        <w:pStyle w:val="BodyText"/>
        <w:spacing w:before="93"/>
        <w:ind w:left="283" w:right="0" w:firstLine="0"/>
        <w:jc w:val="left"/>
      </w:pPr>
      <w:r>
        <w:rPr>
          <w:color w:val="231F20"/>
        </w:rPr>
        <w:t>1° l’acte constitutif;</w:t>
      </w:r>
    </w:p>
    <w:p>
      <w:pPr>
        <w:pStyle w:val="BodyText"/>
        <w:spacing w:line="218" w:lineRule="auto" w:before="103"/>
        <w:ind w:right="38"/>
      </w:pPr>
      <w:r>
        <w:rPr>
          <w:color w:val="231F20"/>
        </w:rPr>
        <w:t>2° la première version du texte des statuts, ainsi que l’acte constitutif, et le texte coordonné de ces statuts mis à jour ainsi que chaque modification des statuts;</w:t>
      </w:r>
    </w:p>
    <w:p>
      <w:pPr>
        <w:pStyle w:val="BodyText"/>
        <w:spacing w:before="93"/>
        <w:ind w:left="283" w:right="0" w:firstLine="0"/>
        <w:jc w:val="left"/>
      </w:pPr>
      <w:r>
        <w:rPr>
          <w:color w:val="231F20"/>
        </w:rPr>
        <w:t>3° l’extrait de l’acte constitutif visé au paragraphe 2;</w:t>
      </w:r>
    </w:p>
    <w:p>
      <w:pPr>
        <w:pStyle w:val="BodyText"/>
        <w:spacing w:line="218" w:lineRule="auto" w:before="101"/>
        <w:ind w:right="38"/>
      </w:pPr>
      <w:r>
        <w:rPr>
          <w:color w:val="231F20"/>
        </w:rPr>
        <w:t>4° </w:t>
      </w:r>
      <w:r>
        <w:rPr>
          <w:rFonts w:ascii="Times New Roman" w:hAnsi="Times New Roman"/>
          <w:i/>
          <w:color w:val="231F20"/>
        </w:rPr>
        <w:t>a) </w:t>
      </w:r>
      <w:r>
        <w:rPr>
          <w:color w:val="231F20"/>
        </w:rPr>
        <w:t>l’extrait des actes relatifs à la nomination et à la cessation des fonctions des administrateurs et, le cas échéant, des personnes habili- tées à représenter la fondation;</w:t>
      </w:r>
    </w:p>
    <w:p>
      <w:pPr>
        <w:pStyle w:val="ListParagraph"/>
        <w:numPr>
          <w:ilvl w:val="0"/>
          <w:numId w:val="27"/>
        </w:numPr>
        <w:tabs>
          <w:tab w:pos="511" w:val="left" w:leader="none"/>
        </w:tabs>
        <w:spacing w:line="218" w:lineRule="auto" w:before="104" w:after="0"/>
        <w:ind w:left="113" w:right="38" w:firstLine="170"/>
        <w:jc w:val="both"/>
        <w:rPr>
          <w:sz w:val="17"/>
        </w:rPr>
      </w:pPr>
      <w:r>
        <w:rPr>
          <w:color w:val="231F20"/>
          <w:sz w:val="17"/>
        </w:rPr>
        <w:t>le cas échéant, l’extrait des actes relatifs à la nomination des personnes</w:t>
      </w:r>
      <w:r>
        <w:rPr>
          <w:color w:val="231F20"/>
          <w:spacing w:val="14"/>
          <w:sz w:val="17"/>
        </w:rPr>
        <w:t> </w:t>
      </w:r>
      <w:r>
        <w:rPr>
          <w:color w:val="231F20"/>
          <w:sz w:val="17"/>
        </w:rPr>
        <w:t>déléguées</w:t>
      </w:r>
      <w:r>
        <w:rPr>
          <w:color w:val="231F20"/>
          <w:spacing w:val="15"/>
          <w:sz w:val="17"/>
        </w:rPr>
        <w:t> </w:t>
      </w:r>
      <w:r>
        <w:rPr>
          <w:color w:val="231F20"/>
          <w:sz w:val="17"/>
        </w:rPr>
        <w:t>à</w:t>
      </w:r>
      <w:r>
        <w:rPr>
          <w:color w:val="231F20"/>
          <w:spacing w:val="15"/>
          <w:sz w:val="17"/>
        </w:rPr>
        <w:t> </w:t>
      </w:r>
      <w:r>
        <w:rPr>
          <w:color w:val="231F20"/>
          <w:sz w:val="17"/>
        </w:rPr>
        <w:t>la</w:t>
      </w:r>
      <w:r>
        <w:rPr>
          <w:color w:val="231F20"/>
          <w:spacing w:val="15"/>
          <w:sz w:val="17"/>
        </w:rPr>
        <w:t> </w:t>
      </w:r>
      <w:r>
        <w:rPr>
          <w:color w:val="231F20"/>
          <w:sz w:val="17"/>
        </w:rPr>
        <w:t>gestion</w:t>
      </w:r>
      <w:r>
        <w:rPr>
          <w:color w:val="231F20"/>
          <w:spacing w:val="15"/>
          <w:sz w:val="17"/>
        </w:rPr>
        <w:t> </w:t>
      </w:r>
      <w:r>
        <w:rPr>
          <w:color w:val="231F20"/>
          <w:sz w:val="17"/>
        </w:rPr>
        <w:t>journalière;</w:t>
      </w:r>
    </w:p>
    <w:p>
      <w:pPr>
        <w:pStyle w:val="BodyText"/>
        <w:spacing w:before="7"/>
        <w:ind w:left="0" w:right="0" w:firstLine="0"/>
        <w:jc w:val="left"/>
        <w:rPr>
          <w:sz w:val="24"/>
        </w:rPr>
      </w:pPr>
    </w:p>
    <w:p>
      <w:pPr>
        <w:pStyle w:val="ListParagraph"/>
        <w:numPr>
          <w:ilvl w:val="0"/>
          <w:numId w:val="27"/>
        </w:numPr>
        <w:tabs>
          <w:tab w:pos="503" w:val="left" w:leader="none"/>
        </w:tabs>
        <w:spacing w:line="218" w:lineRule="auto" w:before="1" w:after="0"/>
        <w:ind w:left="113" w:right="38" w:firstLine="170"/>
        <w:jc w:val="both"/>
        <w:rPr>
          <w:sz w:val="17"/>
        </w:rPr>
      </w:pPr>
      <w:r>
        <w:rPr>
          <w:color w:val="231F20"/>
          <w:sz w:val="17"/>
        </w:rPr>
        <w:t>le cas échéant, l’extrait des actes relatifs à la nomination des commissaires;</w:t>
      </w:r>
    </w:p>
    <w:p>
      <w:pPr>
        <w:pStyle w:val="BodyText"/>
        <w:spacing w:before="92"/>
        <w:ind w:left="283" w:right="0" w:firstLine="0"/>
        <w:jc w:val="left"/>
      </w:pPr>
      <w:r>
        <w:rPr>
          <w:color w:val="231F20"/>
        </w:rPr>
        <w:t>Ces extraits contiennent les mentions suivantes:</w:t>
      </w:r>
    </w:p>
    <w:p>
      <w:pPr>
        <w:pStyle w:val="ListParagraph"/>
        <w:numPr>
          <w:ilvl w:val="0"/>
          <w:numId w:val="28"/>
        </w:numPr>
        <w:tabs>
          <w:tab w:pos="487" w:val="left" w:leader="none"/>
        </w:tabs>
        <w:spacing w:line="218" w:lineRule="auto" w:before="101" w:after="0"/>
        <w:ind w:left="113" w:right="38" w:firstLine="170"/>
        <w:jc w:val="both"/>
        <w:rPr>
          <w:sz w:val="17"/>
        </w:rPr>
      </w:pPr>
      <w:r>
        <w:rPr>
          <w:color w:val="231F20"/>
          <w:sz w:val="17"/>
        </w:rPr>
        <w:t>leurs nom, prénom et domicile ou, lorsqu’il s’agit de personnes morales, leurs dénomination, forme légale, numéro d’entreprise et siège;</w:t>
      </w:r>
    </w:p>
    <w:p>
      <w:pPr>
        <w:pStyle w:val="ListParagraph"/>
        <w:numPr>
          <w:ilvl w:val="0"/>
          <w:numId w:val="28"/>
        </w:numPr>
        <w:tabs>
          <w:tab w:pos="474" w:val="left" w:leader="none"/>
        </w:tabs>
        <w:spacing w:line="218" w:lineRule="auto" w:before="104" w:after="0"/>
        <w:ind w:left="113" w:right="38" w:firstLine="170"/>
        <w:jc w:val="both"/>
        <w:rPr>
          <w:sz w:val="17"/>
        </w:rPr>
      </w:pPr>
      <w:r>
        <w:rPr>
          <w:color w:val="231F20"/>
          <w:sz w:val="17"/>
        </w:rPr>
        <w:t>le cas échéant, l’étendue de leurs pouvoirs de représentation et la manière</w:t>
      </w:r>
      <w:r>
        <w:rPr>
          <w:color w:val="231F20"/>
          <w:spacing w:val="-5"/>
          <w:sz w:val="17"/>
        </w:rPr>
        <w:t> </w:t>
      </w:r>
      <w:r>
        <w:rPr>
          <w:color w:val="231F20"/>
          <w:sz w:val="17"/>
        </w:rPr>
        <w:t>de</w:t>
      </w:r>
      <w:r>
        <w:rPr>
          <w:color w:val="231F20"/>
          <w:spacing w:val="-5"/>
          <w:sz w:val="17"/>
        </w:rPr>
        <w:t> </w:t>
      </w:r>
      <w:r>
        <w:rPr>
          <w:color w:val="231F20"/>
          <w:sz w:val="17"/>
        </w:rPr>
        <w:t>les</w:t>
      </w:r>
      <w:r>
        <w:rPr>
          <w:color w:val="231F20"/>
          <w:spacing w:val="-4"/>
          <w:sz w:val="17"/>
        </w:rPr>
        <w:t> </w:t>
      </w:r>
      <w:r>
        <w:rPr>
          <w:color w:val="231F20"/>
          <w:spacing w:val="-3"/>
          <w:sz w:val="17"/>
        </w:rPr>
        <w:t>exercer,</w:t>
      </w:r>
      <w:r>
        <w:rPr>
          <w:color w:val="231F20"/>
          <w:spacing w:val="-5"/>
          <w:sz w:val="17"/>
        </w:rPr>
        <w:t> </w:t>
      </w:r>
      <w:r>
        <w:rPr>
          <w:color w:val="231F20"/>
          <w:sz w:val="17"/>
        </w:rPr>
        <w:t>soit</w:t>
      </w:r>
      <w:r>
        <w:rPr>
          <w:color w:val="231F20"/>
          <w:spacing w:val="-5"/>
          <w:sz w:val="17"/>
        </w:rPr>
        <w:t> </w:t>
      </w:r>
      <w:r>
        <w:rPr>
          <w:color w:val="231F20"/>
          <w:sz w:val="17"/>
        </w:rPr>
        <w:t>individuellement,</w:t>
      </w:r>
      <w:r>
        <w:rPr>
          <w:color w:val="231F20"/>
          <w:spacing w:val="-4"/>
          <w:sz w:val="17"/>
        </w:rPr>
        <w:t> </w:t>
      </w:r>
      <w:r>
        <w:rPr>
          <w:color w:val="231F20"/>
          <w:sz w:val="17"/>
        </w:rPr>
        <w:t>soit</w:t>
      </w:r>
      <w:r>
        <w:rPr>
          <w:color w:val="231F20"/>
          <w:spacing w:val="-5"/>
          <w:sz w:val="17"/>
        </w:rPr>
        <w:t> </w:t>
      </w:r>
      <w:r>
        <w:rPr>
          <w:color w:val="231F20"/>
          <w:sz w:val="17"/>
        </w:rPr>
        <w:t>conjointement,</w:t>
      </w:r>
      <w:r>
        <w:rPr>
          <w:color w:val="231F20"/>
          <w:spacing w:val="-5"/>
          <w:sz w:val="17"/>
        </w:rPr>
        <w:t> </w:t>
      </w:r>
      <w:r>
        <w:rPr>
          <w:color w:val="231F20"/>
          <w:sz w:val="17"/>
        </w:rPr>
        <w:t>soit</w:t>
      </w:r>
      <w:r>
        <w:rPr>
          <w:color w:val="231F20"/>
          <w:spacing w:val="-4"/>
          <w:sz w:val="17"/>
        </w:rPr>
        <w:t> </w:t>
      </w:r>
      <w:r>
        <w:rPr>
          <w:color w:val="231F20"/>
          <w:sz w:val="17"/>
        </w:rPr>
        <w:t>en collège;</w:t>
      </w:r>
    </w:p>
    <w:p>
      <w:pPr>
        <w:pStyle w:val="BodyText"/>
        <w:spacing w:line="218" w:lineRule="auto" w:before="107"/>
        <w:ind w:right="38"/>
      </w:pPr>
      <w:r>
        <w:rPr>
          <w:color w:val="231F20"/>
        </w:rPr>
        <w:t>5° les décisions relatives à la nullité ou à la dissolution de la fondation, à sa liquidation et à la nomination et à la cessation de fonctions des liquidateurs, aux conditions de liquidation, à la clôture ou à la réouverture de la liquidation et à la destination de l’actif; les décisions judiciaires ne doivent être déposées au dossier que si elles sont passées en force de chose jugée ou exécutoires par provision;</w:t>
      </w:r>
    </w:p>
    <w:p>
      <w:pPr>
        <w:pStyle w:val="BodyText"/>
        <w:spacing w:before="105"/>
        <w:ind w:left="283" w:right="0" w:firstLine="0"/>
        <w:jc w:val="left"/>
      </w:pPr>
      <w:r>
        <w:rPr/>
        <w:br w:type="column"/>
      </w:r>
      <w:r>
        <w:rPr>
          <w:color w:val="231F20"/>
        </w:rPr>
        <w:t>§ 2. Het uittreksel bedoeld in paragraaf 1, 3°, bevat:</w:t>
      </w:r>
    </w:p>
    <w:p>
      <w:pPr>
        <w:pStyle w:val="BodyText"/>
        <w:spacing w:line="218" w:lineRule="auto" w:before="93"/>
        <w:ind w:right="122"/>
      </w:pPr>
      <w:r>
        <w:rPr>
          <w:color w:val="231F20"/>
        </w:rPr>
        <w:t>1° de naam, voornaam en woonplaats van iedere oprichter of, ingeval het</w:t>
      </w:r>
      <w:r>
        <w:rPr>
          <w:color w:val="231F20"/>
          <w:spacing w:val="-15"/>
        </w:rPr>
        <w:t> </w:t>
      </w:r>
      <w:r>
        <w:rPr>
          <w:color w:val="231F20"/>
        </w:rPr>
        <w:t>een</w:t>
      </w:r>
      <w:r>
        <w:rPr>
          <w:color w:val="231F20"/>
          <w:spacing w:val="-14"/>
        </w:rPr>
        <w:t> </w:t>
      </w:r>
      <w:r>
        <w:rPr>
          <w:color w:val="231F20"/>
        </w:rPr>
        <w:t>rechtspersoon</w:t>
      </w:r>
      <w:r>
        <w:rPr>
          <w:color w:val="231F20"/>
          <w:spacing w:val="-15"/>
        </w:rPr>
        <w:t> </w:t>
      </w:r>
      <w:r>
        <w:rPr>
          <w:color w:val="231F20"/>
        </w:rPr>
        <w:t>betreft,</w:t>
      </w:r>
      <w:r>
        <w:rPr>
          <w:color w:val="231F20"/>
          <w:spacing w:val="-14"/>
        </w:rPr>
        <w:t> </w:t>
      </w:r>
      <w:r>
        <w:rPr>
          <w:color w:val="231F20"/>
        </w:rPr>
        <w:t>de</w:t>
      </w:r>
      <w:r>
        <w:rPr>
          <w:color w:val="231F20"/>
          <w:spacing w:val="-15"/>
        </w:rPr>
        <w:t> </w:t>
      </w:r>
      <w:r>
        <w:rPr>
          <w:color w:val="231F20"/>
        </w:rPr>
        <w:t>naam,</w:t>
      </w:r>
      <w:r>
        <w:rPr>
          <w:color w:val="231F20"/>
          <w:spacing w:val="-14"/>
        </w:rPr>
        <w:t> </w:t>
      </w:r>
      <w:r>
        <w:rPr>
          <w:color w:val="231F20"/>
        </w:rPr>
        <w:t>rechtsvorm,</w:t>
      </w:r>
      <w:r>
        <w:rPr>
          <w:color w:val="231F20"/>
          <w:spacing w:val="-15"/>
        </w:rPr>
        <w:t> </w:t>
      </w:r>
      <w:r>
        <w:rPr>
          <w:color w:val="231F20"/>
        </w:rPr>
        <w:t>ondernemingsnum- mer</w:t>
      </w:r>
      <w:r>
        <w:rPr>
          <w:color w:val="231F20"/>
          <w:spacing w:val="15"/>
        </w:rPr>
        <w:t> </w:t>
      </w:r>
      <w:r>
        <w:rPr>
          <w:color w:val="231F20"/>
        </w:rPr>
        <w:t>en</w:t>
      </w:r>
      <w:r>
        <w:rPr>
          <w:color w:val="231F20"/>
          <w:spacing w:val="15"/>
        </w:rPr>
        <w:t> </w:t>
      </w:r>
      <w:r>
        <w:rPr>
          <w:color w:val="231F20"/>
        </w:rPr>
        <w:t>adres</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zetel;</w:t>
      </w:r>
    </w:p>
    <w:p>
      <w:pPr>
        <w:pStyle w:val="BodyText"/>
        <w:spacing w:line="218" w:lineRule="auto" w:before="96"/>
      </w:pPr>
      <w:r>
        <w:rPr>
          <w:color w:val="231F20"/>
        </w:rPr>
        <w:t>2° de naam en de aanduiding van het gewest waarin de zetel van de IVZW is gevestigd;</w:t>
      </w:r>
    </w:p>
    <w:p>
      <w:pPr>
        <w:pStyle w:val="BodyText"/>
        <w:spacing w:line="218" w:lineRule="auto" w:before="96"/>
      </w:pPr>
      <w:r>
        <w:rPr>
          <w:color w:val="231F20"/>
        </w:rPr>
        <w:t>3° de precieze omschrijving van het belangeloos doel dat zij nastreeft en van de activiteiten die zij tot voorwerp heeft;</w:t>
      </w:r>
    </w:p>
    <w:p>
      <w:pPr>
        <w:pStyle w:val="BodyText"/>
        <w:spacing w:line="218" w:lineRule="auto" w:before="96"/>
      </w:pPr>
      <w:r>
        <w:rPr>
          <w:color w:val="231F20"/>
        </w:rPr>
        <w:t>4° de voorwaarden en de formaliteiten betreffende toetreding en uittreding van de leden en, in voorkomend geval, van de leden van de verschillende categorieën;</w:t>
      </w:r>
    </w:p>
    <w:p>
      <w:pPr>
        <w:pStyle w:val="BodyText"/>
        <w:spacing w:line="218" w:lineRule="auto" w:before="97"/>
      </w:pPr>
      <w:r>
        <w:rPr>
          <w:color w:val="231F20"/>
        </w:rPr>
        <w:t>5° de rechten en verplichtingen van de leden en, in voorkomend geval, van de leden van de verschillende categorieën;</w:t>
      </w:r>
    </w:p>
    <w:p>
      <w:pPr>
        <w:pStyle w:val="BodyText"/>
        <w:spacing w:line="218" w:lineRule="auto" w:before="96"/>
      </w:pPr>
      <w:r>
        <w:rPr>
          <w:color w:val="231F20"/>
        </w:rPr>
        <w:t>6° de bevoegdheden van de algemene vergadering van de </w:t>
      </w:r>
      <w:r>
        <w:rPr>
          <w:color w:val="231F20"/>
          <w:spacing w:val="-4"/>
        </w:rPr>
        <w:t>IVZW, </w:t>
      </w:r>
      <w:r>
        <w:rPr>
          <w:color w:val="231F20"/>
        </w:rPr>
        <w:t>en de wijze van bijeenroeping en van besluitvorming ervan, alsook de voorwaarden waaronder haar beslissingen aan de leden ter kennis worden</w:t>
      </w:r>
      <w:r>
        <w:rPr>
          <w:color w:val="231F20"/>
          <w:spacing w:val="15"/>
        </w:rPr>
        <w:t> </w:t>
      </w:r>
      <w:r>
        <w:rPr>
          <w:color w:val="231F20"/>
        </w:rPr>
        <w:t>gebracht;</w:t>
      </w:r>
    </w:p>
    <w:p>
      <w:pPr>
        <w:pStyle w:val="BodyText"/>
        <w:spacing w:line="218" w:lineRule="auto" w:before="93"/>
      </w:pPr>
      <w:r>
        <w:rPr>
          <w:color w:val="231F20"/>
        </w:rPr>
        <w:t>7° </w:t>
      </w:r>
      <w:r>
        <w:rPr>
          <w:rFonts w:ascii="Times New Roman" w:hAnsi="Times New Roman"/>
          <w:i/>
          <w:color w:val="231F20"/>
        </w:rPr>
        <w:t>a) </w:t>
      </w:r>
      <w:r>
        <w:rPr>
          <w:color w:val="231F20"/>
        </w:rPr>
        <w:t>de bevoegdheden van het bestuursorgaan van de IVZW, en de wijze van bijeenroeping en van besluitvorming ervan;</w:t>
      </w:r>
    </w:p>
    <w:p>
      <w:pPr>
        <w:pStyle w:val="ListParagraph"/>
        <w:numPr>
          <w:ilvl w:val="0"/>
          <w:numId w:val="29"/>
        </w:numPr>
        <w:tabs>
          <w:tab w:pos="481" w:val="left" w:leader="none"/>
        </w:tabs>
        <w:spacing w:line="218" w:lineRule="auto" w:before="94" w:after="0"/>
        <w:ind w:left="113" w:right="124" w:firstLine="170"/>
        <w:jc w:val="both"/>
        <w:rPr>
          <w:sz w:val="17"/>
        </w:rPr>
      </w:pPr>
      <w:r>
        <w:rPr>
          <w:color w:val="231F20"/>
          <w:sz w:val="17"/>
        </w:rPr>
        <w:t>de wijze van benoeming, van afzetting en van ambtsbeëindiging van de bestuurders, hun minimumaantal, de duur van hun mandaat,  de omvang van hun bevoegdheden en de wijze waarop zij deze uitoefenen;</w:t>
      </w:r>
    </w:p>
    <w:p>
      <w:pPr>
        <w:pStyle w:val="ListParagraph"/>
        <w:numPr>
          <w:ilvl w:val="0"/>
          <w:numId w:val="29"/>
        </w:numPr>
        <w:tabs>
          <w:tab w:pos="455" w:val="left" w:leader="none"/>
        </w:tabs>
        <w:spacing w:line="218" w:lineRule="auto" w:before="94" w:after="0"/>
        <w:ind w:left="113" w:right="124" w:firstLine="170"/>
        <w:jc w:val="both"/>
        <w:rPr>
          <w:sz w:val="17"/>
        </w:rPr>
      </w:pPr>
      <w:r>
        <w:rPr>
          <w:color w:val="231F20"/>
          <w:w w:val="105"/>
          <w:sz w:val="17"/>
        </w:rPr>
        <w:t>de</w:t>
      </w:r>
      <w:r>
        <w:rPr>
          <w:color w:val="231F20"/>
          <w:spacing w:val="-9"/>
          <w:w w:val="105"/>
          <w:sz w:val="17"/>
        </w:rPr>
        <w:t> </w:t>
      </w:r>
      <w:r>
        <w:rPr>
          <w:color w:val="231F20"/>
          <w:w w:val="105"/>
          <w:sz w:val="17"/>
        </w:rPr>
        <w:t>wijze</w:t>
      </w:r>
      <w:r>
        <w:rPr>
          <w:color w:val="231F20"/>
          <w:spacing w:val="-8"/>
          <w:w w:val="105"/>
          <w:sz w:val="17"/>
        </w:rPr>
        <w:t> </w:t>
      </w:r>
      <w:r>
        <w:rPr>
          <w:color w:val="231F20"/>
          <w:w w:val="105"/>
          <w:sz w:val="17"/>
        </w:rPr>
        <w:t>van</w:t>
      </w:r>
      <w:r>
        <w:rPr>
          <w:color w:val="231F20"/>
          <w:spacing w:val="-8"/>
          <w:w w:val="105"/>
          <w:sz w:val="17"/>
        </w:rPr>
        <w:t> </w:t>
      </w:r>
      <w:r>
        <w:rPr>
          <w:color w:val="231F20"/>
          <w:w w:val="105"/>
          <w:sz w:val="17"/>
        </w:rPr>
        <w:t>aanwijzing</w:t>
      </w:r>
      <w:r>
        <w:rPr>
          <w:color w:val="231F20"/>
          <w:spacing w:val="-8"/>
          <w:w w:val="105"/>
          <w:sz w:val="17"/>
        </w:rPr>
        <w:t> </w:t>
      </w:r>
      <w:r>
        <w:rPr>
          <w:color w:val="231F20"/>
          <w:w w:val="105"/>
          <w:sz w:val="17"/>
        </w:rPr>
        <w:t>van</w:t>
      </w:r>
      <w:r>
        <w:rPr>
          <w:color w:val="231F20"/>
          <w:spacing w:val="-8"/>
          <w:w w:val="105"/>
          <w:sz w:val="17"/>
        </w:rPr>
        <w:t> </w:t>
      </w:r>
      <w:r>
        <w:rPr>
          <w:color w:val="231F20"/>
          <w:w w:val="105"/>
          <w:sz w:val="17"/>
        </w:rPr>
        <w:t>de</w:t>
      </w:r>
      <w:r>
        <w:rPr>
          <w:color w:val="231F20"/>
          <w:spacing w:val="-8"/>
          <w:w w:val="105"/>
          <w:sz w:val="17"/>
        </w:rPr>
        <w:t> </w:t>
      </w:r>
      <w:r>
        <w:rPr>
          <w:color w:val="231F20"/>
          <w:w w:val="105"/>
          <w:sz w:val="17"/>
        </w:rPr>
        <w:t>personen</w:t>
      </w:r>
      <w:r>
        <w:rPr>
          <w:color w:val="231F20"/>
          <w:spacing w:val="-8"/>
          <w:w w:val="105"/>
          <w:sz w:val="17"/>
        </w:rPr>
        <w:t> </w:t>
      </w:r>
      <w:r>
        <w:rPr>
          <w:color w:val="231F20"/>
          <w:w w:val="105"/>
          <w:sz w:val="17"/>
        </w:rPr>
        <w:t>bevoegd</w:t>
      </w:r>
      <w:r>
        <w:rPr>
          <w:color w:val="231F20"/>
          <w:spacing w:val="-8"/>
          <w:w w:val="105"/>
          <w:sz w:val="17"/>
        </w:rPr>
        <w:t> </w:t>
      </w:r>
      <w:r>
        <w:rPr>
          <w:color w:val="231F20"/>
          <w:w w:val="105"/>
          <w:sz w:val="17"/>
        </w:rPr>
        <w:t>om</w:t>
      </w:r>
      <w:r>
        <w:rPr>
          <w:color w:val="231F20"/>
          <w:spacing w:val="-8"/>
          <w:w w:val="105"/>
          <w:sz w:val="17"/>
        </w:rPr>
        <w:t> </w:t>
      </w:r>
      <w:r>
        <w:rPr>
          <w:color w:val="231F20"/>
          <w:w w:val="105"/>
          <w:sz w:val="17"/>
        </w:rPr>
        <w:t>de</w:t>
      </w:r>
      <w:r>
        <w:rPr>
          <w:color w:val="231F20"/>
          <w:spacing w:val="-8"/>
          <w:w w:val="105"/>
          <w:sz w:val="17"/>
        </w:rPr>
        <w:t> </w:t>
      </w:r>
      <w:r>
        <w:rPr>
          <w:color w:val="231F20"/>
          <w:w w:val="105"/>
          <w:sz w:val="17"/>
        </w:rPr>
        <w:t>IVZW</w:t>
      </w:r>
      <w:r>
        <w:rPr>
          <w:color w:val="231F20"/>
          <w:spacing w:val="-8"/>
          <w:w w:val="105"/>
          <w:sz w:val="17"/>
        </w:rPr>
        <w:t> </w:t>
      </w:r>
      <w:r>
        <w:rPr>
          <w:color w:val="231F20"/>
          <w:w w:val="105"/>
          <w:sz w:val="17"/>
        </w:rPr>
        <w:t>te vertegenwoordigen tegenover</w:t>
      </w:r>
      <w:r>
        <w:rPr>
          <w:color w:val="231F20"/>
          <w:spacing w:val="21"/>
          <w:w w:val="105"/>
          <w:sz w:val="17"/>
        </w:rPr>
        <w:t> </w:t>
      </w:r>
      <w:r>
        <w:rPr>
          <w:color w:val="231F20"/>
          <w:w w:val="105"/>
          <w:sz w:val="17"/>
        </w:rPr>
        <w:t>derden;</w:t>
      </w:r>
    </w:p>
    <w:p>
      <w:pPr>
        <w:pStyle w:val="ListParagraph"/>
        <w:numPr>
          <w:ilvl w:val="0"/>
          <w:numId w:val="29"/>
        </w:numPr>
        <w:tabs>
          <w:tab w:pos="484" w:val="left" w:leader="none"/>
        </w:tabs>
        <w:spacing w:line="218" w:lineRule="auto" w:before="93" w:after="0"/>
        <w:ind w:left="113" w:right="124" w:firstLine="170"/>
        <w:jc w:val="both"/>
        <w:rPr>
          <w:sz w:val="17"/>
        </w:rPr>
      </w:pPr>
      <w:r>
        <w:rPr>
          <w:color w:val="231F20"/>
          <w:sz w:val="17"/>
        </w:rPr>
        <w:t>in voorkomend geval, de wijze van benoeming en ambtsbeëindi- ging van de personen aan wie het dagelijks bestuur van de IVZW is opgedragen overeenkomstig artikel 10:11, en de wijze waarop zij hun bevoegdheid</w:t>
      </w:r>
      <w:r>
        <w:rPr>
          <w:color w:val="231F20"/>
          <w:spacing w:val="20"/>
          <w:sz w:val="17"/>
        </w:rPr>
        <w:t> </w:t>
      </w:r>
      <w:r>
        <w:rPr>
          <w:color w:val="231F20"/>
          <w:sz w:val="17"/>
        </w:rPr>
        <w:t>uitoefenen,</w:t>
      </w:r>
      <w:r>
        <w:rPr>
          <w:color w:val="231F20"/>
          <w:spacing w:val="21"/>
          <w:sz w:val="17"/>
        </w:rPr>
        <w:t> </w:t>
      </w:r>
      <w:r>
        <w:rPr>
          <w:color w:val="231F20"/>
          <w:sz w:val="17"/>
        </w:rPr>
        <w:t>alleen</w:t>
      </w:r>
      <w:r>
        <w:rPr>
          <w:color w:val="231F20"/>
          <w:spacing w:val="21"/>
          <w:sz w:val="17"/>
        </w:rPr>
        <w:t> </w:t>
      </w:r>
      <w:r>
        <w:rPr>
          <w:color w:val="231F20"/>
          <w:sz w:val="17"/>
        </w:rPr>
        <w:t>dan</w:t>
      </w:r>
      <w:r>
        <w:rPr>
          <w:color w:val="231F20"/>
          <w:spacing w:val="21"/>
          <w:sz w:val="17"/>
        </w:rPr>
        <w:t> </w:t>
      </w:r>
      <w:r>
        <w:rPr>
          <w:color w:val="231F20"/>
          <w:sz w:val="17"/>
        </w:rPr>
        <w:t>wel</w:t>
      </w:r>
      <w:r>
        <w:rPr>
          <w:color w:val="231F20"/>
          <w:spacing w:val="20"/>
          <w:sz w:val="17"/>
        </w:rPr>
        <w:t> </w:t>
      </w:r>
      <w:r>
        <w:rPr>
          <w:color w:val="231F20"/>
          <w:sz w:val="17"/>
        </w:rPr>
        <w:t>gezamenlijk,</w:t>
      </w:r>
      <w:r>
        <w:rPr>
          <w:color w:val="231F20"/>
          <w:spacing w:val="21"/>
          <w:sz w:val="17"/>
        </w:rPr>
        <w:t> </w:t>
      </w:r>
      <w:r>
        <w:rPr>
          <w:color w:val="231F20"/>
          <w:sz w:val="17"/>
        </w:rPr>
        <w:t>of</w:t>
      </w:r>
      <w:r>
        <w:rPr>
          <w:color w:val="231F20"/>
          <w:spacing w:val="21"/>
          <w:sz w:val="17"/>
        </w:rPr>
        <w:t> </w:t>
      </w:r>
      <w:r>
        <w:rPr>
          <w:color w:val="231F20"/>
          <w:sz w:val="17"/>
        </w:rPr>
        <w:t>als</w:t>
      </w:r>
      <w:r>
        <w:rPr>
          <w:color w:val="231F20"/>
          <w:spacing w:val="21"/>
          <w:sz w:val="17"/>
        </w:rPr>
        <w:t> </w:t>
      </w:r>
      <w:r>
        <w:rPr>
          <w:color w:val="231F20"/>
          <w:sz w:val="17"/>
        </w:rPr>
        <w:t>college.</w:t>
      </w:r>
    </w:p>
    <w:p>
      <w:pPr>
        <w:pStyle w:val="BodyText"/>
        <w:spacing w:before="82"/>
        <w:ind w:left="283" w:right="0" w:firstLine="0"/>
        <w:jc w:val="left"/>
      </w:pPr>
      <w:r>
        <w:rPr>
          <w:color w:val="231F20"/>
        </w:rPr>
        <w:t>8° de voorwaarden voor statutenwijziging;</w:t>
      </w:r>
    </w:p>
    <w:p>
      <w:pPr>
        <w:pStyle w:val="BodyText"/>
        <w:spacing w:line="218" w:lineRule="auto" w:before="93"/>
      </w:pPr>
      <w:r>
        <w:rPr>
          <w:color w:val="231F20"/>
        </w:rPr>
        <w:t>9° de voorwaarden voor ontbinding en vereffening van de IVZW en het belangeloos doel waaraan de IVZW, bij haar ontbinding, het vermogen moet bestemmen;</w:t>
      </w:r>
    </w:p>
    <w:p>
      <w:pPr>
        <w:pStyle w:val="BodyText"/>
        <w:spacing w:line="218" w:lineRule="auto" w:before="96"/>
      </w:pPr>
      <w:r>
        <w:rPr>
          <w:color w:val="231F20"/>
        </w:rPr>
        <w:t>10° de nauwkeurige aanduiding van het adres waarop de zetel van   de IVZW is gevestigd en, in voorkomend geval, het e-mailadres en de website van de</w:t>
      </w:r>
      <w:r>
        <w:rPr>
          <w:color w:val="231F20"/>
          <w:spacing w:val="5"/>
        </w:rPr>
        <w:t> </w:t>
      </w:r>
      <w:r>
        <w:rPr>
          <w:color w:val="231F20"/>
        </w:rPr>
        <w:t>IVZW;</w:t>
      </w:r>
    </w:p>
    <w:p>
      <w:pPr>
        <w:pStyle w:val="BodyText"/>
        <w:spacing w:line="218" w:lineRule="auto" w:before="107"/>
      </w:pPr>
      <w:r>
        <w:rPr>
          <w:color w:val="231F20"/>
          <w:spacing w:val="-4"/>
          <w:w w:val="105"/>
        </w:rPr>
        <w:t>11° </w:t>
      </w:r>
      <w:r>
        <w:rPr>
          <w:color w:val="231F20"/>
          <w:w w:val="105"/>
        </w:rPr>
        <w:t>de identiteit van de bestuurders en de personen bevoegd om</w:t>
      </w:r>
      <w:r>
        <w:rPr>
          <w:color w:val="231F20"/>
          <w:spacing w:val="-20"/>
          <w:w w:val="105"/>
        </w:rPr>
        <w:t> </w:t>
      </w:r>
      <w:r>
        <w:rPr>
          <w:color w:val="231F20"/>
          <w:w w:val="105"/>
        </w:rPr>
        <w:t>de IVZW te vertegenwoordigen tegenover derden, en, in voorkomend geval, van de</w:t>
      </w:r>
      <w:r>
        <w:rPr>
          <w:color w:val="231F20"/>
          <w:spacing w:val="35"/>
          <w:w w:val="105"/>
        </w:rPr>
        <w:t> </w:t>
      </w:r>
      <w:r>
        <w:rPr>
          <w:color w:val="231F20"/>
          <w:w w:val="105"/>
        </w:rPr>
        <w:t>commissaris.</w:t>
      </w:r>
    </w:p>
    <w:p>
      <w:pPr>
        <w:pStyle w:val="BodyText"/>
        <w:spacing w:line="218" w:lineRule="auto" w:before="107"/>
      </w:pPr>
      <w:r>
        <w:rPr>
          <w:color w:val="231F20"/>
        </w:rPr>
        <w:t>Art. 2:11. § 1. Met het oog op hun opname in het stichtingsdossier worden voor de stichting binnen dertig dagen, te rekenen vanaf de dagtekening van de definitieve akte, de uitspraak van het vonnis uitvoerbaar bij voorraad of het in kracht van gewijsde gaan van het vonnis, de volgende stukken neergelegd:</w:t>
      </w:r>
    </w:p>
    <w:p>
      <w:pPr>
        <w:pStyle w:val="BodyText"/>
        <w:spacing w:before="93"/>
        <w:ind w:left="283" w:right="0" w:firstLine="0"/>
        <w:jc w:val="left"/>
      </w:pPr>
      <w:r>
        <w:rPr>
          <w:color w:val="231F20"/>
          <w:w w:val="105"/>
        </w:rPr>
        <w:t>1° de oprichtingsakte;</w:t>
      </w:r>
    </w:p>
    <w:p>
      <w:pPr>
        <w:pStyle w:val="BodyText"/>
        <w:spacing w:line="218" w:lineRule="auto" w:before="103"/>
      </w:pPr>
      <w:r>
        <w:rPr>
          <w:color w:val="231F20"/>
        </w:rPr>
        <w:t>2° de eerste versie van de tekst van de statuten samen met de oprichtingsakte, en de bijgewerkte en gecoördineerde tekst van de statuten samen met iedere statutenwijziging;</w:t>
      </w:r>
    </w:p>
    <w:p>
      <w:pPr>
        <w:pStyle w:val="BodyText"/>
        <w:spacing w:before="93"/>
        <w:ind w:left="283" w:right="0" w:hanging="1"/>
        <w:jc w:val="left"/>
      </w:pPr>
      <w:r>
        <w:rPr>
          <w:color w:val="231F20"/>
        </w:rPr>
        <w:t>3° het uittreksel uit de oprichtingsakte, zoals bedoeld in paragraaf 2;</w:t>
      </w:r>
    </w:p>
    <w:p>
      <w:pPr>
        <w:pStyle w:val="BodyText"/>
        <w:spacing w:line="218" w:lineRule="auto" w:before="101"/>
      </w:pPr>
      <w:r>
        <w:rPr>
          <w:color w:val="231F20"/>
        </w:rPr>
        <w:t>4° </w:t>
      </w:r>
      <w:r>
        <w:rPr>
          <w:rFonts w:ascii="Times New Roman" w:hAnsi="Times New Roman"/>
          <w:i/>
          <w:color w:val="231F20"/>
        </w:rPr>
        <w:t>a) </w:t>
      </w:r>
      <w:r>
        <w:rPr>
          <w:color w:val="231F20"/>
        </w:rPr>
        <w:t>het uittreksel uit de akten betreffende de benoeming en ambtsbeëindiging van de bestuurders en, in voorkomend geval, van de personen gemachtigd om de stichting te vertegenwoordigen;</w:t>
      </w:r>
    </w:p>
    <w:p>
      <w:pPr>
        <w:pStyle w:val="ListParagraph"/>
        <w:numPr>
          <w:ilvl w:val="0"/>
          <w:numId w:val="30"/>
        </w:numPr>
        <w:tabs>
          <w:tab w:pos="491" w:val="left" w:leader="none"/>
        </w:tabs>
        <w:spacing w:line="218" w:lineRule="auto" w:before="104" w:after="0"/>
        <w:ind w:left="113" w:right="124" w:firstLine="170"/>
        <w:jc w:val="both"/>
        <w:rPr>
          <w:sz w:val="17"/>
        </w:rPr>
      </w:pPr>
      <w:r>
        <w:rPr>
          <w:color w:val="231F20"/>
          <w:sz w:val="17"/>
        </w:rPr>
        <w:t>in voorkomend geval, het uittreksel uit de akten betreffende de benoeming van de personen aan wie het dagelijks bestuur is opgedra- gen;</w:t>
      </w:r>
    </w:p>
    <w:p>
      <w:pPr>
        <w:pStyle w:val="ListParagraph"/>
        <w:numPr>
          <w:ilvl w:val="0"/>
          <w:numId w:val="30"/>
        </w:numPr>
        <w:tabs>
          <w:tab w:pos="492" w:val="left" w:leader="none"/>
        </w:tabs>
        <w:spacing w:line="218" w:lineRule="auto" w:before="104" w:after="0"/>
        <w:ind w:left="113" w:right="124" w:firstLine="170"/>
        <w:jc w:val="both"/>
        <w:rPr>
          <w:sz w:val="17"/>
        </w:rPr>
      </w:pPr>
      <w:r>
        <w:rPr>
          <w:color w:val="231F20"/>
          <w:sz w:val="17"/>
        </w:rPr>
        <w:t>in voorkomend geval, het uittreksel uit de akte betreffende de benoeming van de</w:t>
      </w:r>
      <w:r>
        <w:rPr>
          <w:color w:val="231F20"/>
          <w:spacing w:val="4"/>
          <w:sz w:val="17"/>
        </w:rPr>
        <w:t> </w:t>
      </w:r>
      <w:r>
        <w:rPr>
          <w:color w:val="231F20"/>
          <w:sz w:val="17"/>
        </w:rPr>
        <w:t>commissarissen;</w:t>
      </w:r>
    </w:p>
    <w:p>
      <w:pPr>
        <w:pStyle w:val="BodyText"/>
        <w:spacing w:before="93"/>
        <w:ind w:left="283" w:right="0" w:firstLine="0"/>
        <w:jc w:val="left"/>
      </w:pPr>
      <w:r>
        <w:rPr>
          <w:color w:val="231F20"/>
        </w:rPr>
        <w:t>Deze uittreksels bevatten de volgende zaken:</w:t>
      </w:r>
    </w:p>
    <w:p>
      <w:pPr>
        <w:pStyle w:val="ListParagraph"/>
        <w:numPr>
          <w:ilvl w:val="0"/>
          <w:numId w:val="31"/>
        </w:numPr>
        <w:tabs>
          <w:tab w:pos="485" w:val="left" w:leader="none"/>
        </w:tabs>
        <w:spacing w:line="218" w:lineRule="auto" w:before="101" w:after="0"/>
        <w:ind w:left="113" w:right="124" w:firstLine="170"/>
        <w:jc w:val="both"/>
        <w:rPr>
          <w:sz w:val="17"/>
        </w:rPr>
      </w:pPr>
      <w:r>
        <w:rPr>
          <w:color w:val="231F20"/>
          <w:sz w:val="17"/>
        </w:rPr>
        <w:t>hun naam, voornaam, woonplaats of, ingeval het een rechtsper- soon</w:t>
      </w:r>
      <w:r>
        <w:rPr>
          <w:color w:val="231F20"/>
          <w:spacing w:val="13"/>
          <w:sz w:val="17"/>
        </w:rPr>
        <w:t> </w:t>
      </w:r>
      <w:r>
        <w:rPr>
          <w:color w:val="231F20"/>
          <w:sz w:val="17"/>
        </w:rPr>
        <w:t>betreft,</w:t>
      </w:r>
      <w:r>
        <w:rPr>
          <w:color w:val="231F20"/>
          <w:spacing w:val="14"/>
          <w:sz w:val="17"/>
        </w:rPr>
        <w:t> </w:t>
      </w:r>
      <w:r>
        <w:rPr>
          <w:color w:val="231F20"/>
          <w:sz w:val="17"/>
        </w:rPr>
        <w:t>hun</w:t>
      </w:r>
      <w:r>
        <w:rPr>
          <w:color w:val="231F20"/>
          <w:spacing w:val="13"/>
          <w:sz w:val="17"/>
        </w:rPr>
        <w:t> </w:t>
      </w:r>
      <w:r>
        <w:rPr>
          <w:color w:val="231F20"/>
          <w:sz w:val="17"/>
        </w:rPr>
        <w:t>naam,</w:t>
      </w:r>
      <w:r>
        <w:rPr>
          <w:color w:val="231F20"/>
          <w:spacing w:val="14"/>
          <w:sz w:val="17"/>
        </w:rPr>
        <w:t> </w:t>
      </w:r>
      <w:r>
        <w:rPr>
          <w:color w:val="231F20"/>
          <w:sz w:val="17"/>
        </w:rPr>
        <w:t>rechtsvorm,</w:t>
      </w:r>
      <w:r>
        <w:rPr>
          <w:color w:val="231F20"/>
          <w:spacing w:val="13"/>
          <w:sz w:val="17"/>
        </w:rPr>
        <w:t> </w:t>
      </w:r>
      <w:r>
        <w:rPr>
          <w:color w:val="231F20"/>
          <w:sz w:val="17"/>
        </w:rPr>
        <w:t>ondernemingsnummer</w:t>
      </w:r>
      <w:r>
        <w:rPr>
          <w:color w:val="231F20"/>
          <w:spacing w:val="14"/>
          <w:sz w:val="17"/>
        </w:rPr>
        <w:t> </w:t>
      </w:r>
      <w:r>
        <w:rPr>
          <w:color w:val="231F20"/>
          <w:sz w:val="17"/>
        </w:rPr>
        <w:t>en</w:t>
      </w:r>
      <w:r>
        <w:rPr>
          <w:color w:val="231F20"/>
          <w:spacing w:val="13"/>
          <w:sz w:val="17"/>
        </w:rPr>
        <w:t> </w:t>
      </w:r>
      <w:r>
        <w:rPr>
          <w:color w:val="231F20"/>
          <w:sz w:val="17"/>
        </w:rPr>
        <w:t>zetel;</w:t>
      </w:r>
    </w:p>
    <w:p>
      <w:pPr>
        <w:pStyle w:val="BodyText"/>
        <w:spacing w:before="7"/>
        <w:ind w:left="0" w:right="0" w:firstLine="0"/>
        <w:jc w:val="left"/>
        <w:rPr>
          <w:sz w:val="24"/>
        </w:rPr>
      </w:pPr>
    </w:p>
    <w:p>
      <w:pPr>
        <w:pStyle w:val="ListParagraph"/>
        <w:numPr>
          <w:ilvl w:val="0"/>
          <w:numId w:val="31"/>
        </w:numPr>
        <w:tabs>
          <w:tab w:pos="474" w:val="left" w:leader="none"/>
        </w:tabs>
        <w:spacing w:line="218" w:lineRule="auto" w:before="0" w:after="0"/>
        <w:ind w:left="113" w:right="124" w:firstLine="170"/>
        <w:jc w:val="both"/>
        <w:rPr>
          <w:sz w:val="17"/>
        </w:rPr>
      </w:pPr>
      <w:r>
        <w:rPr>
          <w:color w:val="231F20"/>
          <w:sz w:val="17"/>
        </w:rPr>
        <w:t>in voorkomend geval, de omvang van hun vertegenwoordigings- bevoegdheden en de wijze waarop zij die uitoefenen, alleen dan wel gezamenlijk, of als</w:t>
      </w:r>
      <w:r>
        <w:rPr>
          <w:color w:val="231F20"/>
          <w:spacing w:val="4"/>
          <w:sz w:val="17"/>
        </w:rPr>
        <w:t> </w:t>
      </w:r>
      <w:r>
        <w:rPr>
          <w:color w:val="231F20"/>
          <w:sz w:val="17"/>
        </w:rPr>
        <w:t>college;</w:t>
      </w:r>
    </w:p>
    <w:p>
      <w:pPr>
        <w:pStyle w:val="BodyText"/>
        <w:spacing w:line="218" w:lineRule="auto" w:before="107"/>
        <w:ind w:right="123"/>
      </w:pPr>
      <w:r>
        <w:rPr>
          <w:color w:val="231F20"/>
        </w:rPr>
        <w:t>5° de beslissingen betreffende de nietigheid of de ontbinding van de stichting, de vereffening ervan, en de benoeming en ambtsbeëindiging van de vereffenaars, de vereffeningsvoorwaarden, de sluiting of de heropening van de vereffening en de bestemming van het actief; de rechterlijke beslissingen moeten slechts bij het dossier worden gevoegd als zij in kracht van gewijsde zijn gegaan of uitvoerbaar zijn bij voorraad;</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1384" from="298.170502pt,64.473pt" to="298.170502pt,812.819pt" stroked="true" strokeweight=".533pt" strokecolor="#231f20">
            <v:stroke dashstyle="solid"/>
            <w10:wrap type="none"/>
          </v:line>
        </w:pict>
      </w:r>
      <w:bookmarkStart w:name="_bookmark15" w:id="18"/>
      <w:bookmarkEnd w:id="18"/>
      <w:r>
        <w:rPr/>
      </w:r>
      <w:r>
        <w:rPr>
          <w:color w:val="231F20"/>
        </w:rPr>
        <w:t>6° l’extrait des décisions visées au 5°, mentionnant le juge, la date et le dispositif de la décision;</w:t>
      </w:r>
    </w:p>
    <w:p>
      <w:pPr>
        <w:pStyle w:val="BodyText"/>
        <w:spacing w:line="218" w:lineRule="auto" w:before="96"/>
        <w:ind w:right="38"/>
      </w:pPr>
      <w:r>
        <w:rPr>
          <w:color w:val="231F20"/>
        </w:rPr>
        <w:t>7° l’extrait des actes et décisions relatifs à la nomination et à la cessation de fonctions des liquidateurs, comportant leurs nom, prénom et domicile, ou, lorsqu’il s’agit de personnes morales, leurs dénomina- tion, forme légale, numéro d’entreprise et siège;</w:t>
      </w:r>
    </w:p>
    <w:p>
      <w:pPr>
        <w:pStyle w:val="BodyText"/>
        <w:spacing w:before="82"/>
        <w:ind w:left="283" w:right="0" w:firstLine="0"/>
        <w:jc w:val="left"/>
      </w:pPr>
      <w:r>
        <w:rPr>
          <w:color w:val="231F20"/>
        </w:rPr>
        <w:t>8° les comptes annuels, établis conformément à l’article 3:51;</w:t>
      </w:r>
    </w:p>
    <w:p>
      <w:pPr>
        <w:pStyle w:val="BodyText"/>
        <w:spacing w:line="218" w:lineRule="auto" w:before="93"/>
        <w:ind w:right="38"/>
      </w:pPr>
      <w:r>
        <w:rPr>
          <w:color w:val="231F20"/>
        </w:rPr>
        <w:t>9° les décisions et actes relatifs à la transformation d’une fondation privée en une fondation d’utilité publique pris  conformément  à l’article</w:t>
      </w:r>
      <w:r>
        <w:rPr>
          <w:color w:val="231F20"/>
          <w:spacing w:val="14"/>
        </w:rPr>
        <w:t> </w:t>
      </w:r>
      <w:r>
        <w:rPr>
          <w:color w:val="231F20"/>
        </w:rPr>
        <w:t>14:67;</w:t>
      </w:r>
    </w:p>
    <w:p>
      <w:pPr>
        <w:pStyle w:val="BodyText"/>
        <w:spacing w:line="218" w:lineRule="auto" w:before="96"/>
        <w:ind w:right="38"/>
      </w:pPr>
      <w:r>
        <w:rPr>
          <w:color w:val="231F20"/>
        </w:rPr>
        <w:t>10° les modifications aux actes, documents et décisions visés aux 1°, 4°, 5°, 8° et 9°.</w:t>
      </w:r>
    </w:p>
    <w:p>
      <w:pPr>
        <w:pStyle w:val="BodyText"/>
        <w:spacing w:before="67"/>
        <w:ind w:left="283" w:right="0" w:firstLine="0"/>
        <w:jc w:val="left"/>
      </w:pPr>
      <w:r>
        <w:rPr>
          <w:color w:val="231F20"/>
        </w:rPr>
        <w:t>§ 2. L’extrait visé au paragraphe 1</w:t>
      </w:r>
      <w:r>
        <w:rPr>
          <w:color w:val="231F20"/>
          <w:position w:val="7"/>
          <w:sz w:val="11"/>
        </w:rPr>
        <w:t>er</w:t>
      </w:r>
      <w:r>
        <w:rPr>
          <w:color w:val="231F20"/>
        </w:rPr>
        <w:t>, 3°, contient:</w:t>
      </w:r>
    </w:p>
    <w:p>
      <w:pPr>
        <w:pStyle w:val="BodyText"/>
        <w:spacing w:line="218" w:lineRule="auto" w:before="92"/>
        <w:ind w:right="38"/>
      </w:pPr>
      <w:r>
        <w:rPr>
          <w:color w:val="231F20"/>
        </w:rPr>
        <w:t>1° les nom, prénom et domicile de chaque fondateur, ou, lorsqu’il s’agit d’une personne morale, sa dénomination, sa forme légale, son numéro d’entreprise et l’adresse de son siège;</w:t>
      </w:r>
    </w:p>
    <w:p>
      <w:pPr>
        <w:pStyle w:val="BodyText"/>
        <w:spacing w:line="218" w:lineRule="auto" w:before="97"/>
        <w:ind w:right="38"/>
      </w:pPr>
      <w:r>
        <w:rPr>
          <w:color w:val="231F20"/>
        </w:rPr>
        <w:t>2° la dénomination et l’indication de la région dans laquelle le siège de la fondation est établi;</w:t>
      </w:r>
    </w:p>
    <w:p>
      <w:pPr>
        <w:pStyle w:val="BodyText"/>
        <w:spacing w:line="218" w:lineRule="auto" w:before="96"/>
        <w:ind w:right="38"/>
      </w:pPr>
      <w:r>
        <w:rPr>
          <w:color w:val="231F20"/>
        </w:rPr>
        <w:t>3° la description précise du but désintéressé qu’elle poursuit et des activités qui constituent son objet;</w:t>
      </w:r>
    </w:p>
    <w:p>
      <w:pPr>
        <w:pStyle w:val="BodyText"/>
        <w:spacing w:line="218" w:lineRule="auto" w:before="93"/>
        <w:ind w:right="38"/>
      </w:pPr>
      <w:r>
        <w:rPr>
          <w:color w:val="231F20"/>
        </w:rPr>
        <w:t>4° </w:t>
      </w:r>
      <w:r>
        <w:rPr>
          <w:rFonts w:ascii="Times New Roman" w:hAnsi="Times New Roman"/>
          <w:i/>
          <w:color w:val="231F20"/>
        </w:rPr>
        <w:t>a) </w:t>
      </w:r>
      <w:r>
        <w:rPr>
          <w:color w:val="231F20"/>
        </w:rPr>
        <w:t>le mode de nomination, de révocation et de cessation de fonctions des administrateurs;</w:t>
      </w:r>
    </w:p>
    <w:p>
      <w:pPr>
        <w:pStyle w:val="ListParagraph"/>
        <w:numPr>
          <w:ilvl w:val="0"/>
          <w:numId w:val="32"/>
        </w:numPr>
        <w:tabs>
          <w:tab w:pos="521" w:val="left" w:leader="none"/>
        </w:tabs>
        <w:spacing w:line="218" w:lineRule="auto" w:before="94" w:after="0"/>
        <w:ind w:left="113" w:right="38" w:firstLine="170"/>
        <w:jc w:val="both"/>
        <w:rPr>
          <w:sz w:val="17"/>
        </w:rPr>
      </w:pPr>
      <w:r>
        <w:rPr>
          <w:color w:val="231F20"/>
          <w:sz w:val="17"/>
        </w:rPr>
        <w:t>le cas échéant, le mode de nomination, de révocation et de cessation de fonctions des personnes habilitées à représenter</w:t>
      </w:r>
      <w:r>
        <w:rPr>
          <w:color w:val="231F20"/>
          <w:spacing w:val="20"/>
          <w:sz w:val="17"/>
        </w:rPr>
        <w:t> </w:t>
      </w:r>
      <w:r>
        <w:rPr>
          <w:color w:val="231F20"/>
          <w:sz w:val="17"/>
        </w:rPr>
        <w:t>la fondation conformément à l’article 11:7, § 2, et la manière d’exercer leurs pouvoirs, en agissant soit séparément, soit conjointement, soit en collège;</w:t>
      </w:r>
    </w:p>
    <w:p>
      <w:pPr>
        <w:pStyle w:val="ListParagraph"/>
        <w:numPr>
          <w:ilvl w:val="0"/>
          <w:numId w:val="32"/>
        </w:numPr>
        <w:tabs>
          <w:tab w:pos="512" w:val="left" w:leader="none"/>
        </w:tabs>
        <w:spacing w:line="218" w:lineRule="auto" w:before="93" w:after="0"/>
        <w:ind w:left="113" w:right="38" w:firstLine="170"/>
        <w:jc w:val="both"/>
        <w:rPr>
          <w:sz w:val="17"/>
        </w:rPr>
      </w:pPr>
      <w:r>
        <w:rPr>
          <w:color w:val="231F20"/>
          <w:sz w:val="17"/>
        </w:rPr>
        <w:t>le cas échéant, le mode de nomination, de révocation et de cessation de fonctions des personnes déléguées à la gestion journalière de la fondation conformément à l’article 11:14, et les modalités d’exercice de ces derniers soit séparément, soit conjointement, soit en collège;</w:t>
      </w:r>
    </w:p>
    <w:p>
      <w:pPr>
        <w:pStyle w:val="BodyText"/>
        <w:spacing w:before="83"/>
        <w:ind w:left="283" w:right="0" w:firstLine="0"/>
        <w:jc w:val="left"/>
      </w:pPr>
      <w:r>
        <w:rPr>
          <w:color w:val="231F20"/>
        </w:rPr>
        <w:t>5° les conditions de modification des statuts;</w:t>
      </w:r>
    </w:p>
    <w:p>
      <w:pPr>
        <w:pStyle w:val="BodyText"/>
        <w:spacing w:line="218" w:lineRule="auto" w:before="92"/>
        <w:ind w:right="38"/>
      </w:pPr>
      <w:r>
        <w:rPr>
          <w:color w:val="231F20"/>
        </w:rPr>
        <w:t>6° la destination du patrimoine de la fondation en cas de dissolution, qui doit être affecté à un but désintéressé;</w:t>
      </w:r>
    </w:p>
    <w:p>
      <w:pPr>
        <w:pStyle w:val="BodyText"/>
        <w:spacing w:line="218" w:lineRule="auto" w:before="97"/>
        <w:ind w:right="38"/>
      </w:pPr>
      <w:r>
        <w:rPr>
          <w:color w:val="231F20"/>
        </w:rPr>
        <w:t>7° la désignation précise de l’adresse à laquelle le siège de la fondation est établi et, le cas échéant, l’adresse électronique et le site internet de la fondation;</w:t>
      </w:r>
    </w:p>
    <w:p>
      <w:pPr>
        <w:pStyle w:val="BodyText"/>
        <w:spacing w:line="218" w:lineRule="auto" w:before="96"/>
        <w:ind w:right="38"/>
      </w:pPr>
      <w:r>
        <w:rPr>
          <w:color w:val="231F20"/>
        </w:rPr>
        <w:t>8° l’identité des administrateurs, des délégués à la gestion journalière et des autres personnes qui ont le pouvoir de représenter la fondation, et, le cas échéant, du commissaire.</w:t>
      </w:r>
    </w:p>
    <w:p>
      <w:pPr>
        <w:pStyle w:val="BodyText"/>
        <w:spacing w:line="218" w:lineRule="auto" w:before="81"/>
        <w:ind w:right="38"/>
      </w:pPr>
      <w:r>
        <w:rPr>
          <w:color w:val="231F20"/>
        </w:rPr>
        <w:t>Art.</w:t>
      </w:r>
      <w:r>
        <w:rPr>
          <w:color w:val="231F20"/>
          <w:spacing w:val="-7"/>
        </w:rPr>
        <w:t> </w:t>
      </w:r>
      <w:r>
        <w:rPr>
          <w:color w:val="231F20"/>
        </w:rPr>
        <w:t>2:12.</w:t>
      </w:r>
      <w:r>
        <w:rPr>
          <w:color w:val="231F20"/>
          <w:spacing w:val="-7"/>
        </w:rPr>
        <w:t> </w:t>
      </w:r>
      <w:r>
        <w:rPr>
          <w:color w:val="231F20"/>
        </w:rPr>
        <w:t>§</w:t>
      </w:r>
      <w:r>
        <w:rPr>
          <w:color w:val="231F20"/>
          <w:spacing w:val="-7"/>
        </w:rPr>
        <w:t> </w:t>
      </w:r>
      <w:r>
        <w:rPr>
          <w:color w:val="231F20"/>
        </w:rPr>
        <w:t>1</w:t>
      </w:r>
      <w:r>
        <w:rPr>
          <w:color w:val="231F20"/>
          <w:position w:val="7"/>
          <w:sz w:val="11"/>
        </w:rPr>
        <w:t>er</w:t>
      </w:r>
      <w:r>
        <w:rPr>
          <w:color w:val="231F20"/>
        </w:rPr>
        <w:t>.</w:t>
      </w:r>
      <w:r>
        <w:rPr>
          <w:color w:val="231F20"/>
          <w:spacing w:val="-7"/>
        </w:rPr>
        <w:t> </w:t>
      </w:r>
      <w:r>
        <w:rPr>
          <w:color w:val="231F20"/>
        </w:rPr>
        <w:t>Les</w:t>
      </w:r>
      <w:r>
        <w:rPr>
          <w:color w:val="231F20"/>
          <w:spacing w:val="-6"/>
        </w:rPr>
        <w:t> </w:t>
      </w:r>
      <w:r>
        <w:rPr>
          <w:color w:val="231F20"/>
        </w:rPr>
        <w:t>dépôts</w:t>
      </w:r>
      <w:r>
        <w:rPr>
          <w:color w:val="231F20"/>
          <w:spacing w:val="-7"/>
        </w:rPr>
        <w:t> </w:t>
      </w:r>
      <w:r>
        <w:rPr>
          <w:color w:val="231F20"/>
        </w:rPr>
        <w:t>visés</w:t>
      </w:r>
      <w:r>
        <w:rPr>
          <w:color w:val="231F20"/>
          <w:spacing w:val="-7"/>
        </w:rPr>
        <w:t> </w:t>
      </w:r>
      <w:r>
        <w:rPr>
          <w:color w:val="231F20"/>
        </w:rPr>
        <w:t>aux</w:t>
      </w:r>
      <w:r>
        <w:rPr>
          <w:color w:val="231F20"/>
          <w:spacing w:val="-7"/>
        </w:rPr>
        <w:t> </w:t>
      </w:r>
      <w:r>
        <w:rPr>
          <w:color w:val="231F20"/>
        </w:rPr>
        <w:t>articles</w:t>
      </w:r>
      <w:r>
        <w:rPr>
          <w:color w:val="231F20"/>
          <w:spacing w:val="-7"/>
        </w:rPr>
        <w:t> </w:t>
      </w:r>
      <w:r>
        <w:rPr>
          <w:color w:val="231F20"/>
        </w:rPr>
        <w:t>2:8,</w:t>
      </w:r>
      <w:r>
        <w:rPr>
          <w:color w:val="231F20"/>
          <w:spacing w:val="-7"/>
        </w:rPr>
        <w:t> </w:t>
      </w:r>
      <w:r>
        <w:rPr>
          <w:color w:val="231F20"/>
        </w:rPr>
        <w:t>2:9,</w:t>
      </w:r>
      <w:r>
        <w:rPr>
          <w:color w:val="231F20"/>
          <w:spacing w:val="-6"/>
        </w:rPr>
        <w:t> </w:t>
      </w:r>
      <w:r>
        <w:rPr>
          <w:color w:val="231F20"/>
        </w:rPr>
        <w:t>2:10</w:t>
      </w:r>
      <w:r>
        <w:rPr>
          <w:color w:val="231F20"/>
          <w:spacing w:val="-7"/>
        </w:rPr>
        <w:t> </w:t>
      </w:r>
      <w:r>
        <w:rPr>
          <w:color w:val="231F20"/>
        </w:rPr>
        <w:t>et</w:t>
      </w:r>
      <w:r>
        <w:rPr>
          <w:color w:val="231F20"/>
          <w:spacing w:val="-7"/>
        </w:rPr>
        <w:t> </w:t>
      </w:r>
      <w:r>
        <w:rPr>
          <w:color w:val="231F20"/>
          <w:spacing w:val="-3"/>
        </w:rPr>
        <w:t>2:11</w:t>
      </w:r>
      <w:r>
        <w:rPr>
          <w:color w:val="231F20"/>
          <w:spacing w:val="-7"/>
        </w:rPr>
        <w:t> </w:t>
      </w:r>
      <w:r>
        <w:rPr>
          <w:color w:val="231F20"/>
        </w:rPr>
        <w:t>se</w:t>
      </w:r>
      <w:r>
        <w:rPr>
          <w:color w:val="231F20"/>
          <w:spacing w:val="-7"/>
        </w:rPr>
        <w:t> </w:t>
      </w:r>
      <w:r>
        <w:rPr>
          <w:color w:val="231F20"/>
        </w:rPr>
        <w:t>font par l’intermédiaire du notaire pour les actes authentiques et, pour les actes sous seing privé et les décisions judiciaires, par l’intermédiaire d’un notaire ou d’un guichet d’entreprise ou par tous les associés solidaires,</w:t>
      </w:r>
      <w:r>
        <w:rPr>
          <w:color w:val="231F20"/>
          <w:spacing w:val="14"/>
        </w:rPr>
        <w:t> </w:t>
      </w:r>
      <w:r>
        <w:rPr>
          <w:color w:val="231F20"/>
        </w:rPr>
        <w:t>l’organe</w:t>
      </w:r>
      <w:r>
        <w:rPr>
          <w:color w:val="231F20"/>
          <w:spacing w:val="15"/>
        </w:rPr>
        <w:t> </w:t>
      </w:r>
      <w:r>
        <w:rPr>
          <w:color w:val="231F20"/>
        </w:rPr>
        <w:t>de</w:t>
      </w:r>
      <w:r>
        <w:rPr>
          <w:color w:val="231F20"/>
          <w:spacing w:val="15"/>
        </w:rPr>
        <w:t> </w:t>
      </w:r>
      <w:r>
        <w:rPr>
          <w:color w:val="231F20"/>
        </w:rPr>
        <w:t>représentation</w:t>
      </w:r>
      <w:r>
        <w:rPr>
          <w:color w:val="231F20"/>
          <w:spacing w:val="15"/>
        </w:rPr>
        <w:t> </w:t>
      </w:r>
      <w:r>
        <w:rPr>
          <w:color w:val="231F20"/>
        </w:rPr>
        <w:t>ou</w:t>
      </w:r>
      <w:r>
        <w:rPr>
          <w:color w:val="231F20"/>
          <w:spacing w:val="15"/>
        </w:rPr>
        <w:t> </w:t>
      </w:r>
      <w:r>
        <w:rPr>
          <w:color w:val="231F20"/>
        </w:rPr>
        <w:t>leur</w:t>
      </w:r>
      <w:r>
        <w:rPr>
          <w:color w:val="231F20"/>
          <w:spacing w:val="15"/>
        </w:rPr>
        <w:t> </w:t>
      </w:r>
      <w:r>
        <w:rPr>
          <w:color w:val="231F20"/>
        </w:rPr>
        <w:t>mandataire.</w:t>
      </w:r>
    </w:p>
    <w:p>
      <w:pPr>
        <w:pStyle w:val="BodyText"/>
        <w:spacing w:before="10"/>
        <w:ind w:left="0" w:right="0" w:firstLine="0"/>
        <w:jc w:val="left"/>
        <w:rPr>
          <w:sz w:val="24"/>
        </w:rPr>
      </w:pPr>
    </w:p>
    <w:p>
      <w:pPr>
        <w:pStyle w:val="BodyText"/>
        <w:spacing w:line="218" w:lineRule="auto"/>
        <w:ind w:right="38"/>
      </w:pPr>
      <w:r>
        <w:rPr>
          <w:color w:val="231F20"/>
        </w:rPr>
        <w:t>Le Roi peut prévoir que ces dépôts doivent être effectués à un guichet digital unique, sauf force majeure ou indisponibilité du système, auquel cas</w:t>
      </w:r>
      <w:r>
        <w:rPr>
          <w:color w:val="231F20"/>
          <w:spacing w:val="7"/>
        </w:rPr>
        <w:t> </w:t>
      </w:r>
      <w:r>
        <w:rPr>
          <w:color w:val="231F20"/>
        </w:rPr>
        <w:t>le</w:t>
      </w:r>
      <w:r>
        <w:rPr>
          <w:color w:val="231F20"/>
          <w:spacing w:val="7"/>
        </w:rPr>
        <w:t> </w:t>
      </w:r>
      <w:r>
        <w:rPr>
          <w:color w:val="231F20"/>
        </w:rPr>
        <w:t>dépôt</w:t>
      </w:r>
      <w:r>
        <w:rPr>
          <w:color w:val="231F20"/>
          <w:spacing w:val="8"/>
        </w:rPr>
        <w:t> </w:t>
      </w:r>
      <w:r>
        <w:rPr>
          <w:color w:val="231F20"/>
        </w:rPr>
        <w:t>peut</w:t>
      </w:r>
      <w:r>
        <w:rPr>
          <w:color w:val="231F20"/>
          <w:spacing w:val="7"/>
        </w:rPr>
        <w:t> </w:t>
      </w:r>
      <w:r>
        <w:rPr>
          <w:color w:val="231F20"/>
        </w:rPr>
        <w:t>avoir</w:t>
      </w:r>
      <w:r>
        <w:rPr>
          <w:color w:val="231F20"/>
          <w:spacing w:val="8"/>
        </w:rPr>
        <w:t> </w:t>
      </w:r>
      <w:r>
        <w:rPr>
          <w:color w:val="231F20"/>
        </w:rPr>
        <w:t>lieu</w:t>
      </w:r>
      <w:r>
        <w:rPr>
          <w:color w:val="231F20"/>
          <w:spacing w:val="7"/>
        </w:rPr>
        <w:t> </w:t>
      </w:r>
      <w:r>
        <w:rPr>
          <w:color w:val="231F20"/>
        </w:rPr>
        <w:t>sous</w:t>
      </w:r>
      <w:r>
        <w:rPr>
          <w:color w:val="231F20"/>
          <w:spacing w:val="8"/>
        </w:rPr>
        <w:t> </w:t>
      </w:r>
      <w:r>
        <w:rPr>
          <w:color w:val="231F20"/>
        </w:rPr>
        <w:t>une</w:t>
      </w:r>
      <w:r>
        <w:rPr>
          <w:color w:val="231F20"/>
          <w:spacing w:val="7"/>
        </w:rPr>
        <w:t> </w:t>
      </w:r>
      <w:r>
        <w:rPr>
          <w:color w:val="231F20"/>
        </w:rPr>
        <w:t>forme</w:t>
      </w:r>
      <w:r>
        <w:rPr>
          <w:color w:val="231F20"/>
          <w:spacing w:val="7"/>
        </w:rPr>
        <w:t> </w:t>
      </w:r>
      <w:r>
        <w:rPr>
          <w:color w:val="231F20"/>
        </w:rPr>
        <w:t>papier</w:t>
      </w:r>
      <w:r>
        <w:rPr>
          <w:color w:val="231F20"/>
          <w:spacing w:val="8"/>
        </w:rPr>
        <w:t> </w:t>
      </w:r>
      <w:r>
        <w:rPr>
          <w:color w:val="231F20"/>
        </w:rPr>
        <w:t>au</w:t>
      </w:r>
      <w:r>
        <w:rPr>
          <w:color w:val="231F20"/>
          <w:spacing w:val="7"/>
        </w:rPr>
        <w:t> </w:t>
      </w:r>
      <w:r>
        <w:rPr>
          <w:color w:val="231F20"/>
          <w:spacing w:val="-3"/>
        </w:rPr>
        <w:t>greffe</w:t>
      </w:r>
      <w:r>
        <w:rPr>
          <w:color w:val="231F20"/>
          <w:spacing w:val="8"/>
        </w:rPr>
        <w:t> </w:t>
      </w:r>
      <w:r>
        <w:rPr>
          <w:color w:val="231F20"/>
        </w:rPr>
        <w:t>compétent.</w:t>
      </w:r>
    </w:p>
    <w:p>
      <w:pPr>
        <w:pStyle w:val="BodyText"/>
        <w:spacing w:before="10"/>
        <w:ind w:left="0" w:right="0" w:firstLine="0"/>
        <w:jc w:val="left"/>
        <w:rPr>
          <w:sz w:val="24"/>
        </w:rPr>
      </w:pPr>
    </w:p>
    <w:p>
      <w:pPr>
        <w:pStyle w:val="BodyText"/>
        <w:spacing w:line="218" w:lineRule="auto"/>
        <w:ind w:right="38"/>
      </w:pPr>
      <w:r>
        <w:rPr>
          <w:color w:val="231F20"/>
        </w:rPr>
        <w:t>Le Roi peut également prévoir les dépôts d’actes sous seing privé et de décisions judiciaires qui peuvent, le cas échéant, uniquement être déposés</w:t>
      </w:r>
      <w:r>
        <w:rPr>
          <w:color w:val="231F20"/>
          <w:spacing w:val="22"/>
        </w:rPr>
        <w:t> </w:t>
      </w:r>
      <w:r>
        <w:rPr>
          <w:color w:val="231F20"/>
        </w:rPr>
        <w:t>par</w:t>
      </w:r>
      <w:r>
        <w:rPr>
          <w:color w:val="231F20"/>
          <w:spacing w:val="22"/>
        </w:rPr>
        <w:t> </w:t>
      </w:r>
      <w:r>
        <w:rPr>
          <w:color w:val="231F20"/>
        </w:rPr>
        <w:t>l’intermédiaire</w:t>
      </w:r>
      <w:r>
        <w:rPr>
          <w:color w:val="231F20"/>
          <w:spacing w:val="22"/>
        </w:rPr>
        <w:t> </w:t>
      </w:r>
      <w:r>
        <w:rPr>
          <w:color w:val="231F20"/>
        </w:rPr>
        <w:t>d’un</w:t>
      </w:r>
      <w:r>
        <w:rPr>
          <w:color w:val="231F20"/>
          <w:spacing w:val="22"/>
        </w:rPr>
        <w:t> </w:t>
      </w:r>
      <w:r>
        <w:rPr>
          <w:color w:val="231F20"/>
        </w:rPr>
        <w:t>notaire</w:t>
      </w:r>
      <w:r>
        <w:rPr>
          <w:color w:val="231F20"/>
          <w:spacing w:val="22"/>
        </w:rPr>
        <w:t> </w:t>
      </w:r>
      <w:r>
        <w:rPr>
          <w:color w:val="231F20"/>
        </w:rPr>
        <w:t>ou</w:t>
      </w:r>
      <w:r>
        <w:rPr>
          <w:color w:val="231F20"/>
          <w:spacing w:val="22"/>
        </w:rPr>
        <w:t> </w:t>
      </w:r>
      <w:r>
        <w:rPr>
          <w:color w:val="231F20"/>
        </w:rPr>
        <w:t>d’un</w:t>
      </w:r>
      <w:r>
        <w:rPr>
          <w:color w:val="231F20"/>
          <w:spacing w:val="23"/>
        </w:rPr>
        <w:t> </w:t>
      </w:r>
      <w:r>
        <w:rPr>
          <w:color w:val="231F20"/>
        </w:rPr>
        <w:t>guichet</w:t>
      </w:r>
      <w:r>
        <w:rPr>
          <w:color w:val="231F20"/>
          <w:spacing w:val="22"/>
        </w:rPr>
        <w:t> </w:t>
      </w:r>
      <w:r>
        <w:rPr>
          <w:color w:val="231F20"/>
        </w:rPr>
        <w:t>d’entreprise.</w:t>
      </w:r>
    </w:p>
    <w:p>
      <w:pPr>
        <w:pStyle w:val="BodyText"/>
        <w:spacing w:before="10"/>
        <w:ind w:left="0" w:right="0" w:firstLine="0"/>
        <w:jc w:val="left"/>
        <w:rPr>
          <w:sz w:val="24"/>
        </w:rPr>
      </w:pPr>
    </w:p>
    <w:p>
      <w:pPr>
        <w:pStyle w:val="BodyText"/>
        <w:spacing w:line="218" w:lineRule="auto"/>
        <w:ind w:right="38"/>
      </w:pPr>
      <w:r>
        <w:rPr>
          <w:color w:val="231F20"/>
        </w:rPr>
        <w:t>§ 2. </w:t>
      </w:r>
      <w:r>
        <w:rPr>
          <w:color w:val="231F20"/>
          <w:spacing w:val="-4"/>
        </w:rPr>
        <w:t>Toute </w:t>
      </w:r>
      <w:r>
        <w:rPr>
          <w:color w:val="231F20"/>
        </w:rPr>
        <w:t>personne peut prendre connaissance gratuitement des documents déposés relatifs à une personne morale déterminée et en obtenir,</w:t>
      </w:r>
      <w:r>
        <w:rPr>
          <w:color w:val="231F20"/>
          <w:spacing w:val="-4"/>
        </w:rPr>
        <w:t> </w:t>
      </w:r>
      <w:r>
        <w:rPr>
          <w:color w:val="231F20"/>
        </w:rPr>
        <w:t>sur</w:t>
      </w:r>
      <w:r>
        <w:rPr>
          <w:color w:val="231F20"/>
          <w:spacing w:val="-3"/>
        </w:rPr>
        <w:t> </w:t>
      </w:r>
      <w:r>
        <w:rPr>
          <w:color w:val="231F20"/>
        </w:rPr>
        <w:t>demande</w:t>
      </w:r>
      <w:r>
        <w:rPr>
          <w:color w:val="231F20"/>
          <w:spacing w:val="-3"/>
        </w:rPr>
        <w:t> </w:t>
      </w:r>
      <w:r>
        <w:rPr>
          <w:color w:val="231F20"/>
        </w:rPr>
        <w:t>écrite</w:t>
      </w:r>
      <w:r>
        <w:rPr>
          <w:color w:val="231F20"/>
          <w:spacing w:val="-3"/>
        </w:rPr>
        <w:t> </w:t>
      </w:r>
      <w:r>
        <w:rPr>
          <w:color w:val="231F20"/>
        </w:rPr>
        <w:t>ou</w:t>
      </w:r>
      <w:r>
        <w:rPr>
          <w:color w:val="231F20"/>
          <w:spacing w:val="-3"/>
        </w:rPr>
        <w:t> </w:t>
      </w:r>
      <w:r>
        <w:rPr>
          <w:color w:val="231F20"/>
        </w:rPr>
        <w:t>verbale,</w:t>
      </w:r>
      <w:r>
        <w:rPr>
          <w:color w:val="231F20"/>
          <w:spacing w:val="-3"/>
        </w:rPr>
        <w:t> </w:t>
      </w:r>
      <w:r>
        <w:rPr>
          <w:color w:val="231F20"/>
        </w:rPr>
        <w:t>copie</w:t>
      </w:r>
      <w:r>
        <w:rPr>
          <w:color w:val="231F20"/>
          <w:spacing w:val="-4"/>
        </w:rPr>
        <w:t> </w:t>
      </w:r>
      <w:r>
        <w:rPr>
          <w:color w:val="231F20"/>
        </w:rPr>
        <w:t>intégrale</w:t>
      </w:r>
      <w:r>
        <w:rPr>
          <w:color w:val="231F20"/>
          <w:spacing w:val="-3"/>
        </w:rPr>
        <w:t> </w:t>
      </w:r>
      <w:r>
        <w:rPr>
          <w:color w:val="231F20"/>
        </w:rPr>
        <w:t>ou</w:t>
      </w:r>
      <w:r>
        <w:rPr>
          <w:color w:val="231F20"/>
          <w:spacing w:val="-3"/>
        </w:rPr>
        <w:t> </w:t>
      </w:r>
      <w:r>
        <w:rPr>
          <w:color w:val="231F20"/>
        </w:rPr>
        <w:t>partielle,</w:t>
      </w:r>
      <w:r>
        <w:rPr>
          <w:color w:val="231F20"/>
          <w:spacing w:val="-3"/>
        </w:rPr>
        <w:t> </w:t>
      </w:r>
      <w:r>
        <w:rPr>
          <w:color w:val="231F20"/>
        </w:rPr>
        <w:t>sans autre paiement que celui des droits de </w:t>
      </w:r>
      <w:r>
        <w:rPr>
          <w:color w:val="231F20"/>
          <w:spacing w:val="-3"/>
        </w:rPr>
        <w:t>greffe. </w:t>
      </w:r>
      <w:r>
        <w:rPr>
          <w:color w:val="231F20"/>
        </w:rPr>
        <w:t>Ces copies sont certifiées conformes à l’original, à moins que le demandeur ne renonce à cette formalité.</w:t>
      </w:r>
    </w:p>
    <w:p>
      <w:pPr>
        <w:pStyle w:val="BodyText"/>
        <w:spacing w:before="93"/>
        <w:ind w:left="283" w:right="0" w:firstLine="0"/>
        <w:jc w:val="left"/>
      </w:pPr>
      <w:r>
        <w:rPr>
          <w:color w:val="231F20"/>
        </w:rPr>
        <w:t>Sous-section 2. Obligations de publication.</w:t>
      </w:r>
    </w:p>
    <w:p>
      <w:pPr>
        <w:pStyle w:val="BodyText"/>
        <w:spacing w:line="218" w:lineRule="auto" w:before="101"/>
        <w:ind w:right="38"/>
      </w:pPr>
      <w:r>
        <w:rPr>
          <w:color w:val="231F20"/>
        </w:rPr>
        <w:t>Art. 2:13. La publication a lieu dans les Annexes du </w:t>
      </w:r>
      <w:r>
        <w:rPr>
          <w:rFonts w:ascii="Times New Roman" w:hAnsi="Times New Roman"/>
          <w:i/>
          <w:color w:val="231F20"/>
        </w:rPr>
        <w:t>Moniteur belge </w:t>
      </w:r>
      <w:r>
        <w:rPr>
          <w:color w:val="231F20"/>
        </w:rPr>
        <w:t>dans les dix jours du dépôt, à peine de dommages-intérêts contre les fonctionnaires auxquels l’omission ou le retard serait imputable.</w:t>
      </w:r>
    </w:p>
    <w:p>
      <w:pPr>
        <w:pStyle w:val="BodyText"/>
        <w:spacing w:before="10"/>
        <w:ind w:left="0" w:right="0" w:firstLine="0"/>
        <w:jc w:val="left"/>
        <w:rPr>
          <w:sz w:val="24"/>
        </w:rPr>
      </w:pPr>
    </w:p>
    <w:p>
      <w:pPr>
        <w:pStyle w:val="BodyText"/>
        <w:spacing w:line="218" w:lineRule="auto"/>
        <w:ind w:right="38"/>
      </w:pPr>
      <w:r>
        <w:rPr>
          <w:color w:val="231F20"/>
        </w:rPr>
        <w:t>Le Roi désigne les fonctionnaires ou systèmes électroniques qui recevront les actes, les parties d’actes, les extraits et les décisions et détermine la forme et les conditions de la publication, ainsi que le montant de la redevance imputée à l’intéressé. Cette redevance reste due même si finalement aucun dossier n’est constitué et aucune publication n’est faite.</w:t>
      </w:r>
    </w:p>
    <w:p>
      <w:pPr>
        <w:pStyle w:val="BodyText"/>
        <w:spacing w:line="218" w:lineRule="auto" w:before="119"/>
      </w:pPr>
      <w:r>
        <w:rPr/>
        <w:br w:type="column"/>
      </w:r>
      <w:r>
        <w:rPr>
          <w:color w:val="231F20"/>
        </w:rPr>
        <w:t>6° het uittreksel uit de onder 5° bedoelde beslissingen, dat de rechter, de datum en het dispositief van de beslissing vermeldt;</w:t>
      </w:r>
    </w:p>
    <w:p>
      <w:pPr>
        <w:pStyle w:val="BodyText"/>
        <w:spacing w:line="218" w:lineRule="auto" w:before="97"/>
        <w:ind w:right="123"/>
      </w:pPr>
      <w:r>
        <w:rPr>
          <w:color w:val="231F20"/>
        </w:rPr>
        <w:t>7° het uittreksel uit de akten en beslissingen betreffende de benoe- ming en ambtsbeëindiging van de vereffenaars, dat hun naam, voornaam en woonplaats, of, ingeval het een rechtspersoon betreft, hun naam, rechtsvorm, ondernemingsnummer en zetel vermeldt;</w:t>
      </w:r>
    </w:p>
    <w:p>
      <w:pPr>
        <w:pStyle w:val="BodyText"/>
        <w:spacing w:before="82"/>
        <w:ind w:left="283" w:right="0" w:firstLine="0"/>
        <w:jc w:val="left"/>
      </w:pPr>
      <w:r>
        <w:rPr>
          <w:color w:val="231F20"/>
        </w:rPr>
        <w:t>8° de jaarrekening, opgemaakt overeenkomstig artikel 3:51;</w:t>
      </w:r>
    </w:p>
    <w:p>
      <w:pPr>
        <w:pStyle w:val="BodyText"/>
        <w:spacing w:line="218" w:lineRule="auto" w:before="92"/>
      </w:pPr>
      <w:r>
        <w:rPr>
          <w:color w:val="231F20"/>
        </w:rPr>
        <w:t>9° de beslissingen en akten betreffende de omzetting van een private stichting in een stichting van  openbaar  nut  die  overeenkomstig artikel 14:67 tot stand</w:t>
      </w:r>
      <w:r>
        <w:rPr>
          <w:color w:val="231F20"/>
          <w:spacing w:val="16"/>
        </w:rPr>
        <w:t> </w:t>
      </w:r>
      <w:r>
        <w:rPr>
          <w:color w:val="231F20"/>
        </w:rPr>
        <w:t>komen;</w:t>
      </w:r>
    </w:p>
    <w:p>
      <w:pPr>
        <w:pStyle w:val="BodyText"/>
        <w:spacing w:line="218" w:lineRule="auto" w:before="97"/>
      </w:pPr>
      <w:r>
        <w:rPr>
          <w:color w:val="231F20"/>
        </w:rPr>
        <w:t>10° de wijzigingen aan de in 1°, 4°, 5°, 8° en 9°, bedoelde akten, stukken en beslissingen.</w:t>
      </w:r>
    </w:p>
    <w:p>
      <w:pPr>
        <w:pStyle w:val="BodyText"/>
        <w:spacing w:before="82"/>
        <w:ind w:left="283" w:right="0" w:firstLine="0"/>
        <w:jc w:val="left"/>
      </w:pPr>
      <w:r>
        <w:rPr>
          <w:color w:val="231F20"/>
        </w:rPr>
        <w:t>§ 2. Het uittreksel bedoeld in paragraaf 1, 3°, bevat:</w:t>
      </w:r>
    </w:p>
    <w:p>
      <w:pPr>
        <w:pStyle w:val="BodyText"/>
        <w:spacing w:line="218" w:lineRule="auto" w:before="92"/>
        <w:ind w:right="123"/>
      </w:pPr>
      <w:r>
        <w:rPr>
          <w:color w:val="231F20"/>
        </w:rPr>
        <w:t>1° de naam, voornaam en woonplaats van iedere stichter of, ingeval het</w:t>
      </w:r>
      <w:r>
        <w:rPr>
          <w:color w:val="231F20"/>
          <w:spacing w:val="-15"/>
        </w:rPr>
        <w:t> </w:t>
      </w:r>
      <w:r>
        <w:rPr>
          <w:color w:val="231F20"/>
        </w:rPr>
        <w:t>een</w:t>
      </w:r>
      <w:r>
        <w:rPr>
          <w:color w:val="231F20"/>
          <w:spacing w:val="-14"/>
        </w:rPr>
        <w:t> </w:t>
      </w:r>
      <w:r>
        <w:rPr>
          <w:color w:val="231F20"/>
        </w:rPr>
        <w:t>rechtspersoon</w:t>
      </w:r>
      <w:r>
        <w:rPr>
          <w:color w:val="231F20"/>
          <w:spacing w:val="-15"/>
        </w:rPr>
        <w:t> </w:t>
      </w:r>
      <w:r>
        <w:rPr>
          <w:color w:val="231F20"/>
        </w:rPr>
        <w:t>betreft,</w:t>
      </w:r>
      <w:r>
        <w:rPr>
          <w:color w:val="231F20"/>
          <w:spacing w:val="-14"/>
        </w:rPr>
        <w:t> </w:t>
      </w:r>
      <w:r>
        <w:rPr>
          <w:color w:val="231F20"/>
        </w:rPr>
        <w:t>de</w:t>
      </w:r>
      <w:r>
        <w:rPr>
          <w:color w:val="231F20"/>
          <w:spacing w:val="-15"/>
        </w:rPr>
        <w:t> </w:t>
      </w:r>
      <w:r>
        <w:rPr>
          <w:color w:val="231F20"/>
        </w:rPr>
        <w:t>naam,</w:t>
      </w:r>
      <w:r>
        <w:rPr>
          <w:color w:val="231F20"/>
          <w:spacing w:val="-14"/>
        </w:rPr>
        <w:t> </w:t>
      </w:r>
      <w:r>
        <w:rPr>
          <w:color w:val="231F20"/>
        </w:rPr>
        <w:t>rechtsvorm,</w:t>
      </w:r>
      <w:r>
        <w:rPr>
          <w:color w:val="231F20"/>
          <w:spacing w:val="-15"/>
        </w:rPr>
        <w:t> </w:t>
      </w:r>
      <w:r>
        <w:rPr>
          <w:color w:val="231F20"/>
        </w:rPr>
        <w:t>ondernemingsnum- mer</w:t>
      </w:r>
      <w:r>
        <w:rPr>
          <w:color w:val="231F20"/>
          <w:spacing w:val="15"/>
        </w:rPr>
        <w:t> </w:t>
      </w:r>
      <w:r>
        <w:rPr>
          <w:color w:val="231F20"/>
        </w:rPr>
        <w:t>en</w:t>
      </w:r>
      <w:r>
        <w:rPr>
          <w:color w:val="231F20"/>
          <w:spacing w:val="15"/>
        </w:rPr>
        <w:t> </w:t>
      </w:r>
      <w:r>
        <w:rPr>
          <w:color w:val="231F20"/>
        </w:rPr>
        <w:t>adres</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zetel;</w:t>
      </w:r>
    </w:p>
    <w:p>
      <w:pPr>
        <w:pStyle w:val="BodyText"/>
        <w:spacing w:line="218" w:lineRule="auto" w:before="97"/>
      </w:pPr>
      <w:r>
        <w:rPr>
          <w:color w:val="231F20"/>
        </w:rPr>
        <w:t>2° de naam en de aanduiding van het gewest waarin de zetel van de stichting is gevestigd;</w:t>
      </w:r>
    </w:p>
    <w:p>
      <w:pPr>
        <w:pStyle w:val="BodyText"/>
        <w:spacing w:line="218" w:lineRule="auto" w:before="96"/>
      </w:pPr>
      <w:r>
        <w:rPr>
          <w:color w:val="231F20"/>
        </w:rPr>
        <w:t>3° de precieze omschrijving van het belangeloos doel dat zij nastreeft en van de activiteiten die zij tot voorwerp heeft;</w:t>
      </w:r>
    </w:p>
    <w:p>
      <w:pPr>
        <w:pStyle w:val="BodyText"/>
        <w:spacing w:line="218" w:lineRule="auto" w:before="93"/>
      </w:pPr>
      <w:r>
        <w:rPr>
          <w:color w:val="231F20"/>
        </w:rPr>
        <w:t>4° </w:t>
      </w:r>
      <w:r>
        <w:rPr>
          <w:rFonts w:ascii="Times New Roman" w:hAnsi="Times New Roman"/>
          <w:i/>
          <w:color w:val="231F20"/>
        </w:rPr>
        <w:t>a) </w:t>
      </w:r>
      <w:r>
        <w:rPr>
          <w:color w:val="231F20"/>
        </w:rPr>
        <w:t>de wijze van benoeming, van afzetting en van ambtsbeëindiging van de bestuurders;</w:t>
      </w:r>
    </w:p>
    <w:p>
      <w:pPr>
        <w:pStyle w:val="ListParagraph"/>
        <w:numPr>
          <w:ilvl w:val="0"/>
          <w:numId w:val="33"/>
        </w:numPr>
        <w:tabs>
          <w:tab w:pos="481" w:val="left" w:leader="none"/>
        </w:tabs>
        <w:spacing w:line="218" w:lineRule="auto" w:before="94" w:after="0"/>
        <w:ind w:left="113" w:right="124" w:firstLine="170"/>
        <w:jc w:val="both"/>
        <w:rPr>
          <w:sz w:val="17"/>
        </w:rPr>
      </w:pPr>
      <w:r>
        <w:rPr>
          <w:color w:val="231F20"/>
          <w:sz w:val="17"/>
        </w:rPr>
        <w:t>in voorkomend geval, de wijze van benoeming, van afzetting en van ambtsbeëindiging van de personen gemachtigd om de stichting overeenkomstig artikel 11:7, § 2, te vertegenwoordigen, en de wijze waarop zij hun bevoegdheid uitoefenen, alleen dan wel gezamenlijk, of als</w:t>
      </w:r>
      <w:r>
        <w:rPr>
          <w:color w:val="231F20"/>
          <w:spacing w:val="14"/>
          <w:sz w:val="17"/>
        </w:rPr>
        <w:t> </w:t>
      </w:r>
      <w:r>
        <w:rPr>
          <w:color w:val="231F20"/>
          <w:sz w:val="17"/>
        </w:rPr>
        <w:t>college;</w:t>
      </w:r>
    </w:p>
    <w:p>
      <w:pPr>
        <w:pStyle w:val="ListParagraph"/>
        <w:numPr>
          <w:ilvl w:val="0"/>
          <w:numId w:val="33"/>
        </w:numPr>
        <w:tabs>
          <w:tab w:pos="473" w:val="left" w:leader="none"/>
        </w:tabs>
        <w:spacing w:line="218" w:lineRule="auto" w:before="93" w:after="0"/>
        <w:ind w:left="113" w:right="124" w:firstLine="170"/>
        <w:jc w:val="both"/>
        <w:rPr>
          <w:sz w:val="17"/>
        </w:rPr>
      </w:pPr>
      <w:r>
        <w:rPr>
          <w:color w:val="231F20"/>
          <w:sz w:val="17"/>
        </w:rPr>
        <w:t>in voorkomend geval, de wijze van benoeming, van afzetting en van ambtsbeëindiging van de personen aan  wie  overeenkomstig artikel 11:14 het dagelijks bestuur van de stichting is opgedragen, en de wijze waarop zij deze uitoefenen alleen dan wel gezamenlijk, of als college;</w:t>
      </w:r>
    </w:p>
    <w:p>
      <w:pPr>
        <w:pStyle w:val="BodyText"/>
        <w:spacing w:before="83"/>
        <w:ind w:left="283" w:right="0" w:firstLine="0"/>
        <w:jc w:val="left"/>
      </w:pPr>
      <w:r>
        <w:rPr>
          <w:color w:val="231F20"/>
        </w:rPr>
        <w:t>5° de voorwaarden voor statutenwijziging;</w:t>
      </w:r>
    </w:p>
    <w:p>
      <w:pPr>
        <w:pStyle w:val="BodyText"/>
        <w:spacing w:line="218" w:lineRule="auto" w:before="92"/>
      </w:pPr>
      <w:r>
        <w:rPr>
          <w:color w:val="231F20"/>
        </w:rPr>
        <w:t>6° de bestemming van het vermogen van de stichting bij ontbinding, dat tot een belangeloos doel moet worden aangewend;</w:t>
      </w:r>
    </w:p>
    <w:p>
      <w:pPr>
        <w:pStyle w:val="BodyText"/>
        <w:spacing w:line="218" w:lineRule="auto" w:before="97"/>
      </w:pPr>
      <w:r>
        <w:rPr>
          <w:color w:val="231F20"/>
        </w:rPr>
        <w:t>7° de nauwkeurige aanduiding van het adres waarop de zetel van de stichting is gevestigd en, in voorkomend geval, het e-mailadres en de website van de stichting;</w:t>
      </w:r>
    </w:p>
    <w:p>
      <w:pPr>
        <w:pStyle w:val="BodyText"/>
        <w:spacing w:line="218" w:lineRule="auto" w:before="96"/>
      </w:pPr>
      <w:r>
        <w:rPr>
          <w:color w:val="231F20"/>
        </w:rPr>
        <w:t>8° de identiteit van de bestuurders, dagelijks bestuurders en de andere personen bevoegd om de stichting te vertegenwoordigen, en, in voorkomend geval, van de commissaris.</w:t>
      </w:r>
    </w:p>
    <w:p>
      <w:pPr>
        <w:pStyle w:val="BodyText"/>
        <w:spacing w:line="218" w:lineRule="auto" w:before="96"/>
      </w:pPr>
      <w:r>
        <w:rPr>
          <w:color w:val="231F20"/>
          <w:w w:val="105"/>
        </w:rPr>
        <w:t>Art. 2:12. § 1. De neerleggingen bedoeld in de artikelen 2:8, 2:9, 2:10</w:t>
      </w:r>
      <w:r>
        <w:rPr>
          <w:color w:val="231F20"/>
          <w:spacing w:val="-24"/>
          <w:w w:val="105"/>
        </w:rPr>
        <w:t> </w:t>
      </w:r>
      <w:r>
        <w:rPr>
          <w:color w:val="231F20"/>
          <w:w w:val="105"/>
        </w:rPr>
        <w:t>en</w:t>
      </w:r>
      <w:r>
        <w:rPr>
          <w:color w:val="231F20"/>
          <w:spacing w:val="-24"/>
          <w:w w:val="105"/>
        </w:rPr>
        <w:t> </w:t>
      </w:r>
      <w:r>
        <w:rPr>
          <w:color w:val="231F20"/>
          <w:spacing w:val="-3"/>
          <w:w w:val="105"/>
        </w:rPr>
        <w:t>2:11</w:t>
      </w:r>
      <w:r>
        <w:rPr>
          <w:color w:val="231F20"/>
          <w:spacing w:val="-23"/>
          <w:w w:val="105"/>
        </w:rPr>
        <w:t> </w:t>
      </w:r>
      <w:r>
        <w:rPr>
          <w:color w:val="231F20"/>
          <w:w w:val="105"/>
        </w:rPr>
        <w:t>gebeuren</w:t>
      </w:r>
      <w:r>
        <w:rPr>
          <w:color w:val="231F20"/>
          <w:spacing w:val="-24"/>
          <w:w w:val="105"/>
        </w:rPr>
        <w:t> </w:t>
      </w:r>
      <w:r>
        <w:rPr>
          <w:color w:val="231F20"/>
          <w:w w:val="105"/>
        </w:rPr>
        <w:t>voor</w:t>
      </w:r>
      <w:r>
        <w:rPr>
          <w:color w:val="231F20"/>
          <w:spacing w:val="-23"/>
          <w:w w:val="105"/>
        </w:rPr>
        <w:t> </w:t>
      </w:r>
      <w:r>
        <w:rPr>
          <w:color w:val="231F20"/>
          <w:w w:val="105"/>
        </w:rPr>
        <w:t>de</w:t>
      </w:r>
      <w:r>
        <w:rPr>
          <w:color w:val="231F20"/>
          <w:spacing w:val="-24"/>
          <w:w w:val="105"/>
        </w:rPr>
        <w:t> </w:t>
      </w:r>
      <w:r>
        <w:rPr>
          <w:color w:val="231F20"/>
          <w:w w:val="105"/>
        </w:rPr>
        <w:t>authentieke</w:t>
      </w:r>
      <w:r>
        <w:rPr>
          <w:color w:val="231F20"/>
          <w:spacing w:val="-24"/>
          <w:w w:val="105"/>
        </w:rPr>
        <w:t> </w:t>
      </w:r>
      <w:r>
        <w:rPr>
          <w:color w:val="231F20"/>
          <w:w w:val="105"/>
        </w:rPr>
        <w:t>akten</w:t>
      </w:r>
      <w:r>
        <w:rPr>
          <w:color w:val="231F20"/>
          <w:spacing w:val="-23"/>
          <w:w w:val="105"/>
        </w:rPr>
        <w:t> </w:t>
      </w:r>
      <w:r>
        <w:rPr>
          <w:color w:val="231F20"/>
          <w:w w:val="105"/>
        </w:rPr>
        <w:t>door</w:t>
      </w:r>
      <w:r>
        <w:rPr>
          <w:color w:val="231F20"/>
          <w:spacing w:val="-24"/>
          <w:w w:val="105"/>
        </w:rPr>
        <w:t> </w:t>
      </w:r>
      <w:r>
        <w:rPr>
          <w:color w:val="231F20"/>
          <w:w w:val="105"/>
        </w:rPr>
        <w:t>de</w:t>
      </w:r>
      <w:r>
        <w:rPr>
          <w:color w:val="231F20"/>
          <w:spacing w:val="-23"/>
          <w:w w:val="105"/>
        </w:rPr>
        <w:t> </w:t>
      </w:r>
      <w:r>
        <w:rPr>
          <w:color w:val="231F20"/>
          <w:w w:val="105"/>
        </w:rPr>
        <w:t>notaris</w:t>
      </w:r>
      <w:r>
        <w:rPr>
          <w:color w:val="231F20"/>
          <w:spacing w:val="-24"/>
          <w:w w:val="105"/>
        </w:rPr>
        <w:t> </w:t>
      </w:r>
      <w:r>
        <w:rPr>
          <w:color w:val="231F20"/>
          <w:w w:val="105"/>
        </w:rPr>
        <w:t>en</w:t>
      </w:r>
      <w:r>
        <w:rPr>
          <w:color w:val="231F20"/>
          <w:spacing w:val="-24"/>
          <w:w w:val="105"/>
        </w:rPr>
        <w:t> </w:t>
      </w:r>
      <w:r>
        <w:rPr>
          <w:color w:val="231F20"/>
          <w:w w:val="105"/>
        </w:rPr>
        <w:t>voor de onderhandse akten en rechterlijke beslissingen door een notaris, door een ondernemingsloket of door alle hoofdelijk aansprakelijke vennoten, het vertegenwoordigingsbevoegd orgaan of hun gemach- tigde.</w:t>
      </w:r>
    </w:p>
    <w:p>
      <w:pPr>
        <w:pStyle w:val="BodyText"/>
        <w:spacing w:line="218" w:lineRule="auto" w:before="107"/>
      </w:pPr>
      <w:r>
        <w:rPr>
          <w:color w:val="231F20"/>
        </w:rPr>
        <w:t>De Koning kan bepalen dat deze neerleggingen dienen te gebeuren via een uniek digitaal loket, behoudens overmacht of onbeschikbaar- heid van het systeem, in welk geval de neerlegging op papier kan geschieden bij de bevoegde</w:t>
      </w:r>
      <w:r>
        <w:rPr>
          <w:color w:val="231F20"/>
          <w:spacing w:val="21"/>
        </w:rPr>
        <w:t> </w:t>
      </w:r>
      <w:r>
        <w:rPr>
          <w:color w:val="231F20"/>
          <w:spacing w:val="-3"/>
        </w:rPr>
        <w:t>griffie.</w:t>
      </w:r>
    </w:p>
    <w:p>
      <w:pPr>
        <w:pStyle w:val="BodyText"/>
        <w:spacing w:line="218" w:lineRule="auto" w:before="107"/>
      </w:pPr>
      <w:r>
        <w:rPr>
          <w:color w:val="231F20"/>
        </w:rPr>
        <w:t>De Koning kan tevens bepalen welke neerleggingen van onder- handse akten en rechterlijke beslissingen in voorkomend geval enkel via tussenkomst van een notaris of een ondernemingsloket kunnen gebeuren.</w:t>
      </w:r>
    </w:p>
    <w:p>
      <w:pPr>
        <w:pStyle w:val="BodyText"/>
        <w:spacing w:line="218" w:lineRule="auto" w:before="107"/>
        <w:ind w:right="123"/>
      </w:pPr>
      <w:r>
        <w:rPr>
          <w:color w:val="231F20"/>
        </w:rPr>
        <w:t>§ 2. Eenieder kan met betrekking tot een bepaalde rechtspersoon kosteloos kennis nemen van de neergelegde stukken. </w:t>
      </w:r>
      <w:r>
        <w:rPr>
          <w:color w:val="231F20"/>
          <w:spacing w:val="-4"/>
        </w:rPr>
        <w:t>Tegen </w:t>
      </w:r>
      <w:r>
        <w:rPr>
          <w:color w:val="231F20"/>
        </w:rPr>
        <w:t>betaling van de griffierechten en zonder andere kosten als deze kan, op mondelinge of schriftelijke aanvraag, een volledig of gedeeltelijk kopie ervan worden verkregen. Deze kopieën worden eensluidend verklaard met</w:t>
      </w:r>
      <w:r>
        <w:rPr>
          <w:color w:val="231F20"/>
          <w:spacing w:val="17"/>
        </w:rPr>
        <w:t> </w:t>
      </w:r>
      <w:r>
        <w:rPr>
          <w:color w:val="231F20"/>
        </w:rPr>
        <w:t>het</w:t>
      </w:r>
      <w:r>
        <w:rPr>
          <w:color w:val="231F20"/>
          <w:spacing w:val="17"/>
        </w:rPr>
        <w:t> </w:t>
      </w:r>
      <w:r>
        <w:rPr>
          <w:color w:val="231F20"/>
        </w:rPr>
        <w:t>origineel,</w:t>
      </w:r>
      <w:r>
        <w:rPr>
          <w:color w:val="231F20"/>
          <w:spacing w:val="17"/>
        </w:rPr>
        <w:t> </w:t>
      </w:r>
      <w:r>
        <w:rPr>
          <w:color w:val="231F20"/>
        </w:rPr>
        <w:t>tenzij</w:t>
      </w:r>
      <w:r>
        <w:rPr>
          <w:color w:val="231F20"/>
          <w:spacing w:val="17"/>
        </w:rPr>
        <w:t> </w:t>
      </w:r>
      <w:r>
        <w:rPr>
          <w:color w:val="231F20"/>
        </w:rPr>
        <w:t>de</w:t>
      </w:r>
      <w:r>
        <w:rPr>
          <w:color w:val="231F20"/>
          <w:spacing w:val="18"/>
        </w:rPr>
        <w:t> </w:t>
      </w:r>
      <w:r>
        <w:rPr>
          <w:color w:val="231F20"/>
        </w:rPr>
        <w:t>aanvrager</w:t>
      </w:r>
      <w:r>
        <w:rPr>
          <w:color w:val="231F20"/>
          <w:spacing w:val="17"/>
        </w:rPr>
        <w:t> </w:t>
      </w:r>
      <w:r>
        <w:rPr>
          <w:color w:val="231F20"/>
        </w:rPr>
        <w:t>van</w:t>
      </w:r>
      <w:r>
        <w:rPr>
          <w:color w:val="231F20"/>
          <w:spacing w:val="17"/>
        </w:rPr>
        <w:t> </w:t>
      </w:r>
      <w:r>
        <w:rPr>
          <w:color w:val="231F20"/>
        </w:rPr>
        <w:t>deze</w:t>
      </w:r>
      <w:r>
        <w:rPr>
          <w:color w:val="231F20"/>
          <w:spacing w:val="17"/>
        </w:rPr>
        <w:t> </w:t>
      </w:r>
      <w:r>
        <w:rPr>
          <w:color w:val="231F20"/>
        </w:rPr>
        <w:t>formaliteit</w:t>
      </w:r>
      <w:r>
        <w:rPr>
          <w:color w:val="231F20"/>
          <w:spacing w:val="17"/>
        </w:rPr>
        <w:t> </w:t>
      </w:r>
      <w:r>
        <w:rPr>
          <w:color w:val="231F20"/>
        </w:rPr>
        <w:t>afziet.</w:t>
      </w:r>
    </w:p>
    <w:p>
      <w:pPr>
        <w:pStyle w:val="BodyText"/>
        <w:spacing w:before="93"/>
        <w:ind w:left="283" w:right="0" w:firstLine="0"/>
        <w:jc w:val="left"/>
      </w:pPr>
      <w:r>
        <w:rPr>
          <w:color w:val="231F20"/>
        </w:rPr>
        <w:t>Onderafdeling 2. Bekendmakingsverplichtingen.</w:t>
      </w:r>
    </w:p>
    <w:p>
      <w:pPr>
        <w:pStyle w:val="BodyText"/>
        <w:spacing w:line="218" w:lineRule="auto" w:before="101"/>
      </w:pPr>
      <w:r>
        <w:rPr>
          <w:color w:val="231F20"/>
        </w:rPr>
        <w:t>Art. 2:13. De bekendmaking gebeurt in de Bijlagen bij het </w:t>
      </w:r>
      <w:r>
        <w:rPr>
          <w:rFonts w:ascii="Times New Roman"/>
          <w:i/>
          <w:color w:val="231F20"/>
        </w:rPr>
        <w:t>Belgisch </w:t>
      </w:r>
      <w:r>
        <w:rPr>
          <w:rFonts w:ascii="Times New Roman"/>
          <w:i/>
          <w:color w:val="231F20"/>
        </w:rPr>
        <w:t>Staatsblad</w:t>
      </w:r>
      <w:r>
        <w:rPr>
          <w:color w:val="231F20"/>
        </w:rPr>
        <w:t>, binnen tien dagen na de neerlegging, op straffe van schadevergoeding ten laste van de ambtenaren aan wie het verzuim of de vertraging is te wijten.</w:t>
      </w:r>
    </w:p>
    <w:p>
      <w:pPr>
        <w:pStyle w:val="BodyText"/>
        <w:spacing w:line="218" w:lineRule="auto" w:before="104"/>
        <w:ind w:right="125"/>
      </w:pPr>
      <w:r>
        <w:rPr>
          <w:color w:val="231F20"/>
        </w:rPr>
        <w:t>De Koning wijst de ambtenaren of elektronische systemen aan die de akten, de onderdelen van akten, de uittreksels en de beslissingen zullen ontvangen en stelt de vorm en de vereisten voor de bekendmaking vast, alsook de hoogte van de vergoeding die wordt aangerekend aan de belanghebbende. Deze vergoeding blijft verschuldigd, ook als er uiteindelijk geen dossier wordt aangelegd of geen bekendmaking gebeurt.</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1408" from="298.170502pt,64.473pt" to="298.170502pt,812.819pt" stroked="true" strokeweight=".533pt" strokecolor="#231f20">
            <v:stroke dashstyle="solid"/>
            <w10:wrap type="none"/>
          </v:line>
        </w:pict>
      </w:r>
      <w:bookmarkStart w:name="_bookmark16" w:id="19"/>
      <w:bookmarkEnd w:id="19"/>
      <w:r>
        <w:rPr/>
      </w:r>
      <w:r>
        <w:rPr>
          <w:color w:val="231F20"/>
        </w:rPr>
        <w:t>Art. 2:14. Sont publiés pour les sociétés:</w:t>
      </w:r>
    </w:p>
    <w:p>
      <w:pPr>
        <w:pStyle w:val="BodyText"/>
        <w:spacing w:line="216" w:lineRule="auto" w:before="68"/>
        <w:ind w:right="38"/>
      </w:pPr>
      <w:r>
        <w:rPr>
          <w:color w:val="231F20"/>
        </w:rPr>
        <w:t>1° les extraits, déclarations et documents visés à l’article 2:8, § 1</w:t>
      </w:r>
      <w:r>
        <w:rPr>
          <w:color w:val="231F20"/>
          <w:position w:val="7"/>
          <w:sz w:val="11"/>
        </w:rPr>
        <w:t>er</w:t>
      </w:r>
      <w:r>
        <w:rPr>
          <w:color w:val="231F20"/>
        </w:rPr>
        <w:t>, 2°, 5°, 6°, 7°, 8° et 10°, </w:t>
      </w:r>
      <w:r>
        <w:rPr>
          <w:rFonts w:ascii="Times New Roman" w:hAnsi="Times New Roman"/>
          <w:i/>
          <w:color w:val="231F20"/>
        </w:rPr>
        <w:t>a)</w:t>
      </w:r>
      <w:r>
        <w:rPr>
          <w:color w:val="231F20"/>
        </w:rPr>
        <w:t>, et § 3;</w:t>
      </w:r>
    </w:p>
    <w:p>
      <w:pPr>
        <w:pStyle w:val="BodyText"/>
        <w:spacing w:line="216" w:lineRule="auto" w:before="72"/>
        <w:ind w:right="38"/>
      </w:pPr>
      <w:r>
        <w:rPr>
          <w:color w:val="231F20"/>
        </w:rPr>
        <w:t>2° la mention de l’objet des documents visés à l’article 2:8, § 1</w:t>
      </w:r>
      <w:r>
        <w:rPr>
          <w:color w:val="231F20"/>
          <w:position w:val="7"/>
          <w:sz w:val="11"/>
        </w:rPr>
        <w:t>er</w:t>
      </w:r>
      <w:r>
        <w:rPr>
          <w:color w:val="231F20"/>
        </w:rPr>
        <w:t>, 4° et 10°, </w:t>
      </w:r>
      <w:r>
        <w:rPr>
          <w:rFonts w:ascii="Times New Roman" w:hAnsi="Times New Roman"/>
          <w:i/>
          <w:color w:val="231F20"/>
        </w:rPr>
        <w:t>b)</w:t>
      </w:r>
      <w:r>
        <w:rPr>
          <w:color w:val="231F20"/>
        </w:rPr>
        <w:t>;</w:t>
      </w:r>
    </w:p>
    <w:p>
      <w:pPr>
        <w:pStyle w:val="BodyText"/>
        <w:spacing w:line="218" w:lineRule="auto" w:before="85"/>
        <w:ind w:right="38"/>
      </w:pPr>
      <w:r>
        <w:rPr>
          <w:color w:val="231F20"/>
        </w:rPr>
        <w:t>3° l’objet des documents modificatifs de l’acte constitutif qui ne doivent pas être publiés par extrait;</w:t>
      </w:r>
    </w:p>
    <w:p>
      <w:pPr>
        <w:pStyle w:val="BodyText"/>
        <w:ind w:left="0" w:right="0" w:firstLine="0"/>
        <w:jc w:val="left"/>
        <w:rPr>
          <w:sz w:val="23"/>
        </w:rPr>
      </w:pPr>
    </w:p>
    <w:p>
      <w:pPr>
        <w:pStyle w:val="BodyText"/>
        <w:spacing w:line="218" w:lineRule="auto"/>
        <w:ind w:right="38"/>
      </w:pPr>
      <w:r>
        <w:rPr>
          <w:color w:val="231F20"/>
        </w:rPr>
        <w:t>4° l’objet des documents dont le dépôt seul est prescrit par le présent code;</w:t>
      </w:r>
    </w:p>
    <w:p>
      <w:pPr>
        <w:pStyle w:val="BodyText"/>
        <w:spacing w:line="218" w:lineRule="auto" w:before="85"/>
        <w:ind w:right="38"/>
      </w:pPr>
      <w:r>
        <w:rPr>
          <w:color w:val="231F20"/>
        </w:rPr>
        <w:t>5° les actes ou extraits modifiant les dispositions dont le présent code prescrit la publication.</w:t>
      </w:r>
    </w:p>
    <w:p>
      <w:pPr>
        <w:pStyle w:val="BodyText"/>
        <w:spacing w:line="201" w:lineRule="auto" w:before="97"/>
        <w:ind w:right="38"/>
      </w:pPr>
      <w:r>
        <w:rPr>
          <w:color w:val="231F20"/>
        </w:rPr>
        <w:t>Art. 2:15. Sont publiés, pour les ASBL, les documents  visés  à  l’article</w:t>
      </w:r>
      <w:r>
        <w:rPr>
          <w:color w:val="231F20"/>
          <w:spacing w:val="11"/>
        </w:rPr>
        <w:t> </w:t>
      </w:r>
      <w:r>
        <w:rPr>
          <w:color w:val="231F20"/>
        </w:rPr>
        <w:t>2:9,</w:t>
      </w:r>
      <w:r>
        <w:rPr>
          <w:color w:val="231F20"/>
          <w:spacing w:val="12"/>
        </w:rPr>
        <w:t> </w:t>
      </w:r>
      <w:r>
        <w:rPr>
          <w:color w:val="231F20"/>
        </w:rPr>
        <w:t>§</w:t>
      </w:r>
      <w:r>
        <w:rPr>
          <w:color w:val="231F20"/>
          <w:spacing w:val="12"/>
        </w:rPr>
        <w:t> </w:t>
      </w:r>
      <w:r>
        <w:rPr>
          <w:color w:val="231F20"/>
        </w:rPr>
        <w:t>1</w:t>
      </w:r>
      <w:r>
        <w:rPr>
          <w:color w:val="231F20"/>
          <w:position w:val="7"/>
          <w:sz w:val="11"/>
        </w:rPr>
        <w:t>er</w:t>
      </w:r>
      <w:r>
        <w:rPr>
          <w:color w:val="231F20"/>
        </w:rPr>
        <w:t>,</w:t>
      </w:r>
      <w:r>
        <w:rPr>
          <w:color w:val="231F20"/>
          <w:spacing w:val="12"/>
        </w:rPr>
        <w:t> </w:t>
      </w:r>
      <w:r>
        <w:rPr>
          <w:color w:val="231F20"/>
        </w:rPr>
        <w:t>3°,</w:t>
      </w:r>
      <w:r>
        <w:rPr>
          <w:color w:val="231F20"/>
          <w:spacing w:val="12"/>
        </w:rPr>
        <w:t> </w:t>
      </w:r>
      <w:r>
        <w:rPr>
          <w:color w:val="231F20"/>
        </w:rPr>
        <w:t>4°,</w:t>
      </w:r>
      <w:r>
        <w:rPr>
          <w:color w:val="231F20"/>
          <w:spacing w:val="12"/>
        </w:rPr>
        <w:t> </w:t>
      </w:r>
      <w:r>
        <w:rPr>
          <w:color w:val="231F20"/>
        </w:rPr>
        <w:t>6°,</w:t>
      </w:r>
      <w:r>
        <w:rPr>
          <w:color w:val="231F20"/>
          <w:spacing w:val="12"/>
        </w:rPr>
        <w:t> </w:t>
      </w:r>
      <w:r>
        <w:rPr>
          <w:color w:val="231F20"/>
        </w:rPr>
        <w:t>7°</w:t>
      </w:r>
      <w:r>
        <w:rPr>
          <w:color w:val="231F20"/>
          <w:spacing w:val="12"/>
        </w:rPr>
        <w:t> </w:t>
      </w:r>
      <w:r>
        <w:rPr>
          <w:color w:val="231F20"/>
        </w:rPr>
        <w:t>et</w:t>
      </w:r>
      <w:r>
        <w:rPr>
          <w:color w:val="231F20"/>
          <w:spacing w:val="12"/>
        </w:rPr>
        <w:t> </w:t>
      </w:r>
      <w:r>
        <w:rPr>
          <w:color w:val="231F20"/>
        </w:rPr>
        <w:t>9°,</w:t>
      </w:r>
      <w:r>
        <w:rPr>
          <w:color w:val="231F20"/>
          <w:spacing w:val="12"/>
        </w:rPr>
        <w:t> </w:t>
      </w:r>
      <w:r>
        <w:rPr>
          <w:color w:val="231F20"/>
        </w:rPr>
        <w:t>et</w:t>
      </w:r>
      <w:r>
        <w:rPr>
          <w:color w:val="231F20"/>
          <w:spacing w:val="11"/>
        </w:rPr>
        <w:t> </w:t>
      </w:r>
      <w:r>
        <w:rPr>
          <w:color w:val="231F20"/>
        </w:rPr>
        <w:t>leurs</w:t>
      </w:r>
      <w:r>
        <w:rPr>
          <w:color w:val="231F20"/>
          <w:spacing w:val="12"/>
        </w:rPr>
        <w:t> </w:t>
      </w:r>
      <w:r>
        <w:rPr>
          <w:color w:val="231F20"/>
        </w:rPr>
        <w:t>modifications.</w:t>
      </w:r>
    </w:p>
    <w:p>
      <w:pPr>
        <w:pStyle w:val="BodyText"/>
        <w:spacing w:line="201" w:lineRule="auto" w:before="97"/>
        <w:ind w:right="38"/>
      </w:pPr>
      <w:r>
        <w:rPr>
          <w:color w:val="231F20"/>
        </w:rPr>
        <w:t>Art. 2:16. Sont publiés, pour les AISBL, les documents visés à  l’article</w:t>
      </w:r>
      <w:r>
        <w:rPr>
          <w:color w:val="231F20"/>
          <w:spacing w:val="11"/>
        </w:rPr>
        <w:t> </w:t>
      </w:r>
      <w:r>
        <w:rPr>
          <w:color w:val="231F20"/>
        </w:rPr>
        <w:t>2:10,</w:t>
      </w:r>
      <w:r>
        <w:rPr>
          <w:color w:val="231F20"/>
          <w:spacing w:val="12"/>
        </w:rPr>
        <w:t> </w:t>
      </w:r>
      <w:r>
        <w:rPr>
          <w:color w:val="231F20"/>
        </w:rPr>
        <w:t>§</w:t>
      </w:r>
      <w:r>
        <w:rPr>
          <w:color w:val="231F20"/>
          <w:spacing w:val="12"/>
        </w:rPr>
        <w:t> </w:t>
      </w:r>
      <w:r>
        <w:rPr>
          <w:color w:val="231F20"/>
        </w:rPr>
        <w:t>1</w:t>
      </w:r>
      <w:r>
        <w:rPr>
          <w:color w:val="231F20"/>
          <w:position w:val="7"/>
          <w:sz w:val="11"/>
        </w:rPr>
        <w:t>er</w:t>
      </w:r>
      <w:r>
        <w:rPr>
          <w:color w:val="231F20"/>
        </w:rPr>
        <w:t>,</w:t>
      </w:r>
      <w:r>
        <w:rPr>
          <w:color w:val="231F20"/>
          <w:spacing w:val="11"/>
        </w:rPr>
        <w:t> </w:t>
      </w:r>
      <w:r>
        <w:rPr>
          <w:color w:val="231F20"/>
        </w:rPr>
        <w:t>1°,</w:t>
      </w:r>
      <w:r>
        <w:rPr>
          <w:color w:val="231F20"/>
          <w:spacing w:val="12"/>
        </w:rPr>
        <w:t> </w:t>
      </w:r>
      <w:r>
        <w:rPr>
          <w:color w:val="231F20"/>
        </w:rPr>
        <w:t>3°,</w:t>
      </w:r>
      <w:r>
        <w:rPr>
          <w:color w:val="231F20"/>
          <w:spacing w:val="12"/>
        </w:rPr>
        <w:t> </w:t>
      </w:r>
      <w:r>
        <w:rPr>
          <w:color w:val="231F20"/>
        </w:rPr>
        <w:t>4°,</w:t>
      </w:r>
      <w:r>
        <w:rPr>
          <w:color w:val="231F20"/>
          <w:spacing w:val="11"/>
        </w:rPr>
        <w:t> </w:t>
      </w:r>
      <w:r>
        <w:rPr>
          <w:color w:val="231F20"/>
        </w:rPr>
        <w:t>6°,</w:t>
      </w:r>
      <w:r>
        <w:rPr>
          <w:color w:val="231F20"/>
          <w:spacing w:val="12"/>
        </w:rPr>
        <w:t> </w:t>
      </w:r>
      <w:r>
        <w:rPr>
          <w:color w:val="231F20"/>
        </w:rPr>
        <w:t>7°</w:t>
      </w:r>
      <w:r>
        <w:rPr>
          <w:color w:val="231F20"/>
          <w:spacing w:val="11"/>
        </w:rPr>
        <w:t> </w:t>
      </w:r>
      <w:r>
        <w:rPr>
          <w:color w:val="231F20"/>
        </w:rPr>
        <w:t>et</w:t>
      </w:r>
      <w:r>
        <w:rPr>
          <w:color w:val="231F20"/>
          <w:spacing w:val="12"/>
        </w:rPr>
        <w:t> </w:t>
      </w:r>
      <w:r>
        <w:rPr>
          <w:color w:val="231F20"/>
        </w:rPr>
        <w:t>9°,</w:t>
      </w:r>
      <w:r>
        <w:rPr>
          <w:color w:val="231F20"/>
          <w:spacing w:val="12"/>
        </w:rPr>
        <w:t> </w:t>
      </w:r>
      <w:r>
        <w:rPr>
          <w:color w:val="231F20"/>
        </w:rPr>
        <w:t>et</w:t>
      </w:r>
      <w:r>
        <w:rPr>
          <w:color w:val="231F20"/>
          <w:spacing w:val="11"/>
        </w:rPr>
        <w:t> </w:t>
      </w:r>
      <w:r>
        <w:rPr>
          <w:color w:val="231F20"/>
        </w:rPr>
        <w:t>leurs</w:t>
      </w:r>
      <w:r>
        <w:rPr>
          <w:color w:val="231F20"/>
          <w:spacing w:val="12"/>
        </w:rPr>
        <w:t> </w:t>
      </w:r>
      <w:r>
        <w:rPr>
          <w:color w:val="231F20"/>
        </w:rPr>
        <w:t>modifications.</w:t>
      </w:r>
    </w:p>
    <w:p>
      <w:pPr>
        <w:pStyle w:val="BodyText"/>
        <w:spacing w:line="201" w:lineRule="auto" w:before="98"/>
        <w:ind w:right="38"/>
      </w:pPr>
      <w:r>
        <w:rPr>
          <w:color w:val="231F20"/>
        </w:rPr>
        <w:t>Art. 2:17. Sont publiés, pour les fondations, les documents visés à l’article</w:t>
      </w:r>
      <w:r>
        <w:rPr>
          <w:color w:val="231F20"/>
          <w:spacing w:val="12"/>
        </w:rPr>
        <w:t> </w:t>
      </w:r>
      <w:r>
        <w:rPr>
          <w:color w:val="231F20"/>
        </w:rPr>
        <w:t>2:11,</w:t>
      </w:r>
      <w:r>
        <w:rPr>
          <w:color w:val="231F20"/>
          <w:spacing w:val="13"/>
        </w:rPr>
        <w:t> </w:t>
      </w:r>
      <w:r>
        <w:rPr>
          <w:color w:val="231F20"/>
        </w:rPr>
        <w:t>§</w:t>
      </w:r>
      <w:r>
        <w:rPr>
          <w:color w:val="231F20"/>
          <w:spacing w:val="12"/>
        </w:rPr>
        <w:t> </w:t>
      </w:r>
      <w:r>
        <w:rPr>
          <w:color w:val="231F20"/>
        </w:rPr>
        <w:t>1</w:t>
      </w:r>
      <w:r>
        <w:rPr>
          <w:color w:val="231F20"/>
          <w:position w:val="7"/>
          <w:sz w:val="11"/>
        </w:rPr>
        <w:t>er</w:t>
      </w:r>
      <w:r>
        <w:rPr>
          <w:color w:val="231F20"/>
        </w:rPr>
        <w:t>,</w:t>
      </w:r>
      <w:r>
        <w:rPr>
          <w:color w:val="231F20"/>
          <w:spacing w:val="13"/>
        </w:rPr>
        <w:t> </w:t>
      </w:r>
      <w:r>
        <w:rPr>
          <w:color w:val="231F20"/>
        </w:rPr>
        <w:t>1°,</w:t>
      </w:r>
      <w:r>
        <w:rPr>
          <w:color w:val="231F20"/>
          <w:spacing w:val="13"/>
        </w:rPr>
        <w:t> </w:t>
      </w:r>
      <w:r>
        <w:rPr>
          <w:color w:val="231F20"/>
        </w:rPr>
        <w:t>3°,</w:t>
      </w:r>
      <w:r>
        <w:rPr>
          <w:color w:val="231F20"/>
          <w:spacing w:val="12"/>
        </w:rPr>
        <w:t> </w:t>
      </w:r>
      <w:r>
        <w:rPr>
          <w:color w:val="231F20"/>
        </w:rPr>
        <w:t>4°,</w:t>
      </w:r>
      <w:r>
        <w:rPr>
          <w:color w:val="231F20"/>
          <w:spacing w:val="13"/>
        </w:rPr>
        <w:t> </w:t>
      </w:r>
      <w:r>
        <w:rPr>
          <w:color w:val="231F20"/>
        </w:rPr>
        <w:t>6°,</w:t>
      </w:r>
      <w:r>
        <w:rPr>
          <w:color w:val="231F20"/>
          <w:spacing w:val="12"/>
        </w:rPr>
        <w:t> </w:t>
      </w:r>
      <w:r>
        <w:rPr>
          <w:color w:val="231F20"/>
        </w:rPr>
        <w:t>7°</w:t>
      </w:r>
      <w:r>
        <w:rPr>
          <w:color w:val="231F20"/>
          <w:spacing w:val="13"/>
        </w:rPr>
        <w:t> </w:t>
      </w:r>
      <w:r>
        <w:rPr>
          <w:color w:val="231F20"/>
        </w:rPr>
        <w:t>et</w:t>
      </w:r>
      <w:r>
        <w:rPr>
          <w:color w:val="231F20"/>
          <w:spacing w:val="13"/>
        </w:rPr>
        <w:t> </w:t>
      </w:r>
      <w:r>
        <w:rPr>
          <w:color w:val="231F20"/>
        </w:rPr>
        <w:t>9°,</w:t>
      </w:r>
      <w:r>
        <w:rPr>
          <w:color w:val="231F20"/>
          <w:spacing w:val="12"/>
        </w:rPr>
        <w:t> </w:t>
      </w:r>
      <w:r>
        <w:rPr>
          <w:color w:val="231F20"/>
        </w:rPr>
        <w:t>et</w:t>
      </w:r>
      <w:r>
        <w:rPr>
          <w:color w:val="231F20"/>
          <w:spacing w:val="13"/>
        </w:rPr>
        <w:t> </w:t>
      </w:r>
      <w:r>
        <w:rPr>
          <w:color w:val="231F20"/>
        </w:rPr>
        <w:t>leurs</w:t>
      </w:r>
      <w:r>
        <w:rPr>
          <w:color w:val="231F20"/>
          <w:spacing w:val="12"/>
        </w:rPr>
        <w:t> </w:t>
      </w:r>
      <w:r>
        <w:rPr>
          <w:color w:val="231F20"/>
        </w:rPr>
        <w:t>modifications.</w:t>
      </w:r>
    </w:p>
    <w:p>
      <w:pPr>
        <w:pStyle w:val="BodyText"/>
        <w:spacing w:before="72"/>
        <w:ind w:left="283" w:right="0" w:firstLine="0"/>
        <w:jc w:val="left"/>
      </w:pPr>
      <w:r>
        <w:rPr>
          <w:color w:val="231F20"/>
        </w:rPr>
        <w:t>Sous-section 3. Opposabilité.</w:t>
      </w:r>
    </w:p>
    <w:p>
      <w:pPr>
        <w:pStyle w:val="BodyText"/>
        <w:spacing w:line="218" w:lineRule="auto" w:before="82"/>
        <w:ind w:right="38"/>
      </w:pPr>
      <w:r>
        <w:rPr>
          <w:color w:val="231F20"/>
        </w:rPr>
        <w:t>Art. 2:18. Les documents dont la publicité est prescrite par le présent chapitre ne sont opposables aux tiers qu’à partir du jour de leur dépôt ou, lorsque la publication en est également prescrite par le présent chapitre, à partir du jour de leur publication aux Annexes du </w:t>
      </w:r>
      <w:r>
        <w:rPr>
          <w:rFonts w:ascii="Times New Roman" w:hAnsi="Times New Roman"/>
          <w:i/>
          <w:color w:val="231F20"/>
        </w:rPr>
        <w:t>Moniteur </w:t>
      </w:r>
      <w:r>
        <w:rPr>
          <w:rFonts w:ascii="Times New Roman" w:hAnsi="Times New Roman"/>
          <w:i/>
          <w:color w:val="231F20"/>
        </w:rPr>
        <w:t>belge</w:t>
      </w:r>
      <w:r>
        <w:rPr>
          <w:color w:val="231F20"/>
        </w:rPr>
        <w:t>, sauf si la personne morale prouve que ces tiers en avaient antérieurement connaissance. Les tiers peuvent néanmoins se prévaloir des documents dont le dépôt ou la publication n’ont pas été effectués. En ce qui concerne des opérations intervenues avant le seizième jour qui suit celui de la publication, ces documents ne sont pas opposables aux tiers qui prouvent qu’ils ont été dans l’impossibilité d’en avoir connaissance.</w:t>
      </w:r>
    </w:p>
    <w:p>
      <w:pPr>
        <w:pStyle w:val="BodyText"/>
        <w:spacing w:line="218" w:lineRule="auto" w:before="81"/>
        <w:ind w:right="38"/>
      </w:pPr>
      <w:r>
        <w:rPr>
          <w:color w:val="231F20"/>
        </w:rPr>
        <w:t>En cas de discordance entre le texte déposé et celui qui est publié aux Annexes du </w:t>
      </w:r>
      <w:r>
        <w:rPr>
          <w:rFonts w:ascii="Times New Roman" w:hAnsi="Times New Roman"/>
          <w:i/>
          <w:color w:val="231F20"/>
        </w:rPr>
        <w:t>Moniteur belge</w:t>
      </w:r>
      <w:r>
        <w:rPr>
          <w:color w:val="231F20"/>
        </w:rPr>
        <w:t>, ce dernier n’est pas opposable aux tiers. Ceux-ci peuvent néanmoins s’en prévaloir, à moins que la personne morale ne prouve qu’ils ont eu connaissance du texte déposé.</w:t>
      </w:r>
    </w:p>
    <w:p>
      <w:pPr>
        <w:pStyle w:val="BodyText"/>
        <w:spacing w:before="9"/>
        <w:ind w:left="0" w:right="0" w:firstLine="0"/>
        <w:jc w:val="left"/>
        <w:rPr>
          <w:sz w:val="22"/>
        </w:rPr>
      </w:pPr>
    </w:p>
    <w:p>
      <w:pPr>
        <w:pStyle w:val="BodyText"/>
        <w:spacing w:line="218" w:lineRule="auto"/>
        <w:ind w:right="38"/>
      </w:pPr>
      <w:r>
        <w:rPr>
          <w:color w:val="231F20"/>
        </w:rPr>
        <w:t>Art. 2:19. L’accomplissement des formalités de publicité relatives aux personnes qui, en qualité d’organe de la personne morale, ont le pouvoir de la représenter, rend toute irrégularité dans leur nomination inopposable aux tiers, à moins que la personne morale ne prouve que ces tiers en avaient</w:t>
      </w:r>
      <w:r>
        <w:rPr>
          <w:color w:val="231F20"/>
          <w:spacing w:val="17"/>
        </w:rPr>
        <w:t> </w:t>
      </w:r>
      <w:r>
        <w:rPr>
          <w:color w:val="231F20"/>
        </w:rPr>
        <w:t>connaissance.</w:t>
      </w:r>
    </w:p>
    <w:p>
      <w:pPr>
        <w:pStyle w:val="BodyText"/>
        <w:spacing w:before="82"/>
        <w:ind w:left="283" w:right="0" w:firstLine="0"/>
        <w:jc w:val="left"/>
      </w:pPr>
      <w:r>
        <w:rPr>
          <w:color w:val="231F20"/>
        </w:rPr>
        <w:t>Sous-section 4. De certaines indications à faire dans les actes.</w:t>
      </w:r>
    </w:p>
    <w:p>
      <w:pPr>
        <w:pStyle w:val="BodyText"/>
        <w:spacing w:line="218" w:lineRule="auto" w:before="93"/>
        <w:ind w:right="38"/>
      </w:pPr>
      <w:r>
        <w:rPr>
          <w:color w:val="231F20"/>
        </w:rPr>
        <w:t>Art. 2:20. Tous les actes, factures, annonces, publications, lettres, notes de commande, sites internet et autres documents, sous forme électronique ou non, émanant d’une personne morale, doivent contenir les indications suivantes:</w:t>
      </w:r>
    </w:p>
    <w:p>
      <w:pPr>
        <w:pStyle w:val="BodyText"/>
        <w:spacing w:line="338" w:lineRule="auto" w:before="82"/>
        <w:ind w:left="283" w:right="2014" w:firstLine="0"/>
        <w:jc w:val="left"/>
      </w:pPr>
      <w:r>
        <w:rPr>
          <w:color w:val="231F20"/>
        </w:rPr>
        <w:t>1° la dénomination de la personne morale; 2° la forme légale, en entier ou en abrégé;</w:t>
      </w:r>
    </w:p>
    <w:p>
      <w:pPr>
        <w:pStyle w:val="BodyText"/>
        <w:spacing w:line="338" w:lineRule="auto"/>
        <w:ind w:left="283" w:right="1150" w:hanging="1"/>
        <w:jc w:val="left"/>
      </w:pPr>
      <w:r>
        <w:rPr>
          <w:color w:val="231F20"/>
        </w:rPr>
        <w:t>3° l’indication précise du siège de la personne morale; 4° le numéro d’entreprise;</w:t>
      </w:r>
    </w:p>
    <w:p>
      <w:pPr>
        <w:pStyle w:val="BodyText"/>
        <w:spacing w:line="218" w:lineRule="auto" w:before="12"/>
        <w:ind w:right="38"/>
      </w:pPr>
      <w:r>
        <w:rPr>
          <w:color w:val="231F20"/>
        </w:rPr>
        <w:t>5° les termes “registre des personnes morales” ou l’abréviation “RPM”, suivis de l’indication du tribunal du siège de la personne morale;</w:t>
      </w:r>
    </w:p>
    <w:p>
      <w:pPr>
        <w:pStyle w:val="BodyText"/>
        <w:spacing w:line="218" w:lineRule="auto" w:before="96"/>
        <w:ind w:right="38"/>
      </w:pPr>
      <w:r>
        <w:rPr>
          <w:color w:val="231F20"/>
        </w:rPr>
        <w:t>6° le cas échéant, l’adresse électronique et le site internet de la personne morale;</w:t>
      </w:r>
    </w:p>
    <w:p>
      <w:pPr>
        <w:pStyle w:val="BodyText"/>
        <w:spacing w:line="218" w:lineRule="auto" w:before="96"/>
        <w:ind w:right="38"/>
      </w:pPr>
      <w:r>
        <w:rPr>
          <w:color w:val="231F20"/>
        </w:rPr>
        <w:t>7° le cas échéant, l’indication que la personne morale est en liquidation.</w:t>
      </w:r>
    </w:p>
    <w:p>
      <w:pPr>
        <w:pStyle w:val="BodyText"/>
        <w:spacing w:line="218" w:lineRule="auto" w:before="97"/>
        <w:ind w:right="38"/>
      </w:pPr>
      <w:r>
        <w:rPr>
          <w:color w:val="231F20"/>
        </w:rPr>
        <w:t>Art. 2:21. Au cas où une société anonyme, une société européenne ou une société coopérative européenne fait mention sur les sites internet ou dans les documents visés à l’article 2:20 du capital de la société, celui-ci doit être le capital libéré, tel qu’il résulte du dernier bilan. Si celui-ci fait apparaître que le capital libéré n’est plus intact, mention doit être faite de l’actif net tel qu’il résulte du dernier bilan.</w:t>
      </w:r>
    </w:p>
    <w:p>
      <w:pPr>
        <w:pStyle w:val="BodyText"/>
        <w:spacing w:before="2"/>
        <w:ind w:left="0" w:right="0" w:firstLine="0"/>
        <w:jc w:val="left"/>
        <w:rPr>
          <w:sz w:val="24"/>
        </w:rPr>
      </w:pPr>
    </w:p>
    <w:p>
      <w:pPr>
        <w:pStyle w:val="BodyText"/>
        <w:spacing w:line="213" w:lineRule="auto"/>
        <w:ind w:right="38"/>
      </w:pPr>
      <w:r>
        <w:rPr>
          <w:color w:val="231F20"/>
        </w:rPr>
        <w:t>Au cas où est mentionné un montant supérieur au montant déterminé conformément à l’alinéa 1</w:t>
      </w:r>
      <w:r>
        <w:rPr>
          <w:color w:val="231F20"/>
          <w:position w:val="7"/>
          <w:sz w:val="11"/>
        </w:rPr>
        <w:t>er </w:t>
      </w:r>
      <w:r>
        <w:rPr>
          <w:color w:val="231F20"/>
        </w:rPr>
        <w:t>et où la société demeure en défaut de faire face à ses obligations, le tiers concerné aura le droit de réclamer à la personne intervenue pour la société dans cet acte ou sur ce</w:t>
      </w:r>
      <w:r>
        <w:rPr>
          <w:color w:val="231F20"/>
          <w:spacing w:val="14"/>
        </w:rPr>
        <w:t> </w:t>
      </w:r>
      <w:r>
        <w:rPr>
          <w:color w:val="231F20"/>
        </w:rPr>
        <w:t>site</w:t>
      </w:r>
      <w:r>
        <w:rPr>
          <w:color w:val="231F20"/>
          <w:spacing w:val="15"/>
        </w:rPr>
        <w:t> </w:t>
      </w:r>
      <w:r>
        <w:rPr>
          <w:color w:val="231F20"/>
        </w:rPr>
        <w:t>internet</w:t>
      </w:r>
      <w:r>
        <w:rPr>
          <w:color w:val="231F20"/>
          <w:spacing w:val="14"/>
        </w:rPr>
        <w:t> </w:t>
      </w:r>
      <w:r>
        <w:rPr>
          <w:color w:val="231F20"/>
        </w:rPr>
        <w:t>la</w:t>
      </w:r>
      <w:r>
        <w:rPr>
          <w:color w:val="231F20"/>
          <w:spacing w:val="15"/>
        </w:rPr>
        <w:t> </w:t>
      </w:r>
      <w:r>
        <w:rPr>
          <w:color w:val="231F20"/>
        </w:rPr>
        <w:t>réparation</w:t>
      </w:r>
      <w:r>
        <w:rPr>
          <w:color w:val="231F20"/>
          <w:spacing w:val="14"/>
        </w:rPr>
        <w:t> </w:t>
      </w:r>
      <w:r>
        <w:rPr>
          <w:color w:val="231F20"/>
        </w:rPr>
        <w:t>du</w:t>
      </w:r>
      <w:r>
        <w:rPr>
          <w:color w:val="231F20"/>
          <w:spacing w:val="15"/>
        </w:rPr>
        <w:t> </w:t>
      </w:r>
      <w:r>
        <w:rPr>
          <w:color w:val="231F20"/>
        </w:rPr>
        <w:t>préjudice</w:t>
      </w:r>
      <w:r>
        <w:rPr>
          <w:color w:val="231F20"/>
          <w:spacing w:val="14"/>
        </w:rPr>
        <w:t> </w:t>
      </w:r>
      <w:r>
        <w:rPr>
          <w:color w:val="231F20"/>
        </w:rPr>
        <w:t>qui</w:t>
      </w:r>
      <w:r>
        <w:rPr>
          <w:color w:val="231F20"/>
          <w:spacing w:val="15"/>
        </w:rPr>
        <w:t> </w:t>
      </w:r>
      <w:r>
        <w:rPr>
          <w:color w:val="231F20"/>
        </w:rPr>
        <w:t>en</w:t>
      </w:r>
      <w:r>
        <w:rPr>
          <w:color w:val="231F20"/>
          <w:spacing w:val="15"/>
        </w:rPr>
        <w:t> </w:t>
      </w:r>
      <w:r>
        <w:rPr>
          <w:color w:val="231F20"/>
        </w:rPr>
        <w:t>résulte.</w:t>
      </w:r>
    </w:p>
    <w:p>
      <w:pPr>
        <w:pStyle w:val="BodyText"/>
        <w:spacing w:line="218" w:lineRule="auto" w:before="98"/>
        <w:ind w:right="38"/>
      </w:pPr>
      <w:r>
        <w:rPr>
          <w:color w:val="231F20"/>
        </w:rPr>
        <w:t>Art. 2:22. </w:t>
      </w:r>
      <w:r>
        <w:rPr>
          <w:color w:val="231F20"/>
          <w:spacing w:val="-4"/>
        </w:rPr>
        <w:t>Toute </w:t>
      </w:r>
      <w:r>
        <w:rPr>
          <w:color w:val="231F20"/>
        </w:rPr>
        <w:t>personne qui interviendra pour une personne morale dans un acte ou sur un site internet qui ne respecterait pas les conditions prescrites par l’article 2:20 pourra, suivant les</w:t>
      </w:r>
      <w:r>
        <w:rPr>
          <w:color w:val="231F20"/>
          <w:spacing w:val="-20"/>
        </w:rPr>
        <w:t> </w:t>
      </w:r>
      <w:r>
        <w:rPr>
          <w:color w:val="231F20"/>
        </w:rPr>
        <w:t>circonstances, être déclarée responsable des engagements qui y sont pris par la personne</w:t>
      </w:r>
      <w:r>
        <w:rPr>
          <w:color w:val="231F20"/>
          <w:spacing w:val="14"/>
        </w:rPr>
        <w:t> </w:t>
      </w:r>
      <w:r>
        <w:rPr>
          <w:color w:val="231F20"/>
        </w:rPr>
        <w:t>morale.</w:t>
      </w:r>
    </w:p>
    <w:p>
      <w:pPr>
        <w:pStyle w:val="BodyText"/>
        <w:spacing w:before="105"/>
        <w:ind w:left="283" w:right="0" w:firstLine="0"/>
        <w:jc w:val="left"/>
      </w:pPr>
      <w:r>
        <w:rPr/>
        <w:br w:type="column"/>
      </w:r>
      <w:r>
        <w:rPr>
          <w:color w:val="231F20"/>
        </w:rPr>
        <w:t>Art. 2:14. Voor vennootschappen worden bekendgemaakt:</w:t>
      </w:r>
    </w:p>
    <w:p>
      <w:pPr>
        <w:pStyle w:val="BodyText"/>
        <w:spacing w:line="216" w:lineRule="auto" w:before="84"/>
      </w:pPr>
      <w:r>
        <w:rPr>
          <w:color w:val="231F20"/>
        </w:rPr>
        <w:t>1° de uittreksels, verklaringen en stukken bedoeld in artikel 2:8, § 1, 2°, 5°, 6°, 7°, 8° en 10°, </w:t>
      </w:r>
      <w:r>
        <w:rPr>
          <w:rFonts w:ascii="Times New Roman" w:hAnsi="Times New Roman"/>
          <w:i/>
          <w:color w:val="231F20"/>
        </w:rPr>
        <w:t>a)</w:t>
      </w:r>
      <w:r>
        <w:rPr>
          <w:color w:val="231F20"/>
        </w:rPr>
        <w:t>, en § 3;</w:t>
      </w:r>
    </w:p>
    <w:p>
      <w:pPr>
        <w:pStyle w:val="BodyText"/>
        <w:spacing w:line="216" w:lineRule="auto" w:before="87"/>
      </w:pPr>
      <w:r>
        <w:rPr>
          <w:color w:val="231F20"/>
        </w:rPr>
        <w:t>2° de mededeling van het onderwerp van de stukken bedoeld in artikel 2:8, § 1, 4° en 10°, </w:t>
      </w:r>
      <w:r>
        <w:rPr>
          <w:rFonts w:ascii="Times New Roman" w:hAnsi="Times New Roman"/>
          <w:i/>
          <w:color w:val="231F20"/>
        </w:rPr>
        <w:t>b)</w:t>
      </w:r>
      <w:r>
        <w:rPr>
          <w:color w:val="231F20"/>
        </w:rPr>
        <w:t>;</w:t>
      </w:r>
    </w:p>
    <w:p>
      <w:pPr>
        <w:pStyle w:val="BodyText"/>
        <w:spacing w:line="218" w:lineRule="auto" w:before="85"/>
      </w:pPr>
      <w:r>
        <w:rPr>
          <w:color w:val="231F20"/>
        </w:rPr>
        <w:t>3° de mededeling van het onderwerp van de stukken die de oprichtingsakte wijzigen, en die niet bij uittreksel moeten worden bekendgemaakt;</w:t>
      </w:r>
    </w:p>
    <w:p>
      <w:pPr>
        <w:pStyle w:val="BodyText"/>
        <w:spacing w:line="218" w:lineRule="auto" w:before="85"/>
      </w:pPr>
      <w:r>
        <w:rPr>
          <w:color w:val="231F20"/>
        </w:rPr>
        <w:t>4° de mededeling van het onderwerp van de stukken die volgens dit wetboek enkel moeten worden neergelegd;</w:t>
      </w:r>
    </w:p>
    <w:p>
      <w:pPr>
        <w:pStyle w:val="BodyText"/>
        <w:spacing w:line="218" w:lineRule="auto" w:before="86"/>
      </w:pPr>
      <w:r>
        <w:rPr>
          <w:color w:val="231F20"/>
        </w:rPr>
        <w:t>5° de akten of uittreksels die bepalingen wijzigen waarvoor dit wetboek de bekendmaking voorschrijft.</w:t>
      </w:r>
    </w:p>
    <w:p>
      <w:pPr>
        <w:pStyle w:val="BodyText"/>
        <w:spacing w:line="218" w:lineRule="auto" w:before="85"/>
      </w:pPr>
      <w:r>
        <w:rPr>
          <w:color w:val="231F20"/>
        </w:rPr>
        <w:t>Art. 2:15. </w:t>
      </w:r>
      <w:r>
        <w:rPr>
          <w:color w:val="231F20"/>
          <w:spacing w:val="-5"/>
        </w:rPr>
        <w:t>Voor </w:t>
      </w:r>
      <w:r>
        <w:rPr>
          <w:color w:val="231F20"/>
        </w:rPr>
        <w:t>VZW’s worden de stukken bedoeld in artikel 2:9, § 1, 3°,</w:t>
      </w:r>
      <w:r>
        <w:rPr>
          <w:color w:val="231F20"/>
          <w:spacing w:val="14"/>
        </w:rPr>
        <w:t> </w:t>
      </w:r>
      <w:r>
        <w:rPr>
          <w:color w:val="231F20"/>
        </w:rPr>
        <w:t>4°,</w:t>
      </w:r>
      <w:r>
        <w:rPr>
          <w:color w:val="231F20"/>
          <w:spacing w:val="14"/>
        </w:rPr>
        <w:t> </w:t>
      </w:r>
      <w:r>
        <w:rPr>
          <w:color w:val="231F20"/>
        </w:rPr>
        <w:t>6°,</w:t>
      </w:r>
      <w:r>
        <w:rPr>
          <w:color w:val="231F20"/>
          <w:spacing w:val="14"/>
        </w:rPr>
        <w:t> </w:t>
      </w:r>
      <w:r>
        <w:rPr>
          <w:color w:val="231F20"/>
        </w:rPr>
        <w:t>7°</w:t>
      </w:r>
      <w:r>
        <w:rPr>
          <w:color w:val="231F20"/>
          <w:spacing w:val="15"/>
        </w:rPr>
        <w:t> </w:t>
      </w:r>
      <w:r>
        <w:rPr>
          <w:color w:val="231F20"/>
        </w:rPr>
        <w:t>en</w:t>
      </w:r>
      <w:r>
        <w:rPr>
          <w:color w:val="231F20"/>
          <w:spacing w:val="14"/>
        </w:rPr>
        <w:t> </w:t>
      </w:r>
      <w:r>
        <w:rPr>
          <w:color w:val="231F20"/>
        </w:rPr>
        <w:t>9°,</w:t>
      </w:r>
      <w:r>
        <w:rPr>
          <w:color w:val="231F20"/>
          <w:spacing w:val="14"/>
        </w:rPr>
        <w:t> </w:t>
      </w:r>
      <w:r>
        <w:rPr>
          <w:color w:val="231F20"/>
        </w:rPr>
        <w:t>en</w:t>
      </w:r>
      <w:r>
        <w:rPr>
          <w:color w:val="231F20"/>
          <w:spacing w:val="14"/>
        </w:rPr>
        <w:t> </w:t>
      </w:r>
      <w:r>
        <w:rPr>
          <w:color w:val="231F20"/>
        </w:rPr>
        <w:t>de</w:t>
      </w:r>
      <w:r>
        <w:rPr>
          <w:color w:val="231F20"/>
          <w:spacing w:val="15"/>
        </w:rPr>
        <w:t> </w:t>
      </w:r>
      <w:r>
        <w:rPr>
          <w:color w:val="231F20"/>
        </w:rPr>
        <w:t>wijzigingen</w:t>
      </w:r>
      <w:r>
        <w:rPr>
          <w:color w:val="231F20"/>
          <w:spacing w:val="14"/>
        </w:rPr>
        <w:t> </w:t>
      </w:r>
      <w:r>
        <w:rPr>
          <w:color w:val="231F20"/>
        </w:rPr>
        <w:t>ervan</w:t>
      </w:r>
      <w:r>
        <w:rPr>
          <w:color w:val="231F20"/>
          <w:spacing w:val="14"/>
        </w:rPr>
        <w:t> </w:t>
      </w:r>
      <w:r>
        <w:rPr>
          <w:color w:val="231F20"/>
        </w:rPr>
        <w:t>bekendgemaakt.</w:t>
      </w:r>
    </w:p>
    <w:p>
      <w:pPr>
        <w:pStyle w:val="BodyText"/>
        <w:spacing w:line="218" w:lineRule="auto" w:before="86"/>
      </w:pPr>
      <w:r>
        <w:rPr>
          <w:color w:val="231F20"/>
        </w:rPr>
        <w:t>Art. 2:16. </w:t>
      </w:r>
      <w:r>
        <w:rPr>
          <w:color w:val="231F20"/>
          <w:spacing w:val="-5"/>
        </w:rPr>
        <w:t>Voor </w:t>
      </w:r>
      <w:r>
        <w:rPr>
          <w:color w:val="231F20"/>
        </w:rPr>
        <w:t>IVZW’s worden de stukken bedoeld in artikel 2:10, § 1, 3°,</w:t>
      </w:r>
      <w:r>
        <w:rPr>
          <w:color w:val="231F20"/>
          <w:spacing w:val="14"/>
        </w:rPr>
        <w:t> </w:t>
      </w:r>
      <w:r>
        <w:rPr>
          <w:color w:val="231F20"/>
        </w:rPr>
        <w:t>4°,</w:t>
      </w:r>
      <w:r>
        <w:rPr>
          <w:color w:val="231F20"/>
          <w:spacing w:val="14"/>
        </w:rPr>
        <w:t> </w:t>
      </w:r>
      <w:r>
        <w:rPr>
          <w:color w:val="231F20"/>
        </w:rPr>
        <w:t>6°,</w:t>
      </w:r>
      <w:r>
        <w:rPr>
          <w:color w:val="231F20"/>
          <w:spacing w:val="14"/>
        </w:rPr>
        <w:t> </w:t>
      </w:r>
      <w:r>
        <w:rPr>
          <w:color w:val="231F20"/>
        </w:rPr>
        <w:t>7°</w:t>
      </w:r>
      <w:r>
        <w:rPr>
          <w:color w:val="231F20"/>
          <w:spacing w:val="15"/>
        </w:rPr>
        <w:t> </w:t>
      </w:r>
      <w:r>
        <w:rPr>
          <w:color w:val="231F20"/>
        </w:rPr>
        <w:t>en</w:t>
      </w:r>
      <w:r>
        <w:rPr>
          <w:color w:val="231F20"/>
          <w:spacing w:val="14"/>
        </w:rPr>
        <w:t> </w:t>
      </w:r>
      <w:r>
        <w:rPr>
          <w:color w:val="231F20"/>
        </w:rPr>
        <w:t>9°,</w:t>
      </w:r>
      <w:r>
        <w:rPr>
          <w:color w:val="231F20"/>
          <w:spacing w:val="14"/>
        </w:rPr>
        <w:t> </w:t>
      </w:r>
      <w:r>
        <w:rPr>
          <w:color w:val="231F20"/>
        </w:rPr>
        <w:t>en</w:t>
      </w:r>
      <w:r>
        <w:rPr>
          <w:color w:val="231F20"/>
          <w:spacing w:val="14"/>
        </w:rPr>
        <w:t> </w:t>
      </w:r>
      <w:r>
        <w:rPr>
          <w:color w:val="231F20"/>
        </w:rPr>
        <w:t>de</w:t>
      </w:r>
      <w:r>
        <w:rPr>
          <w:color w:val="231F20"/>
          <w:spacing w:val="15"/>
        </w:rPr>
        <w:t> </w:t>
      </w:r>
      <w:r>
        <w:rPr>
          <w:color w:val="231F20"/>
        </w:rPr>
        <w:t>wijzigingen</w:t>
      </w:r>
      <w:r>
        <w:rPr>
          <w:color w:val="231F20"/>
          <w:spacing w:val="14"/>
        </w:rPr>
        <w:t> </w:t>
      </w:r>
      <w:r>
        <w:rPr>
          <w:color w:val="231F20"/>
        </w:rPr>
        <w:t>ervan</w:t>
      </w:r>
      <w:r>
        <w:rPr>
          <w:color w:val="231F20"/>
          <w:spacing w:val="14"/>
        </w:rPr>
        <w:t> </w:t>
      </w:r>
      <w:r>
        <w:rPr>
          <w:color w:val="231F20"/>
        </w:rPr>
        <w:t>bekendgemaakt.</w:t>
      </w:r>
    </w:p>
    <w:p>
      <w:pPr>
        <w:pStyle w:val="BodyText"/>
        <w:spacing w:line="185" w:lineRule="exact" w:before="71"/>
        <w:ind w:left="283" w:right="0" w:firstLine="0"/>
        <w:jc w:val="left"/>
      </w:pPr>
      <w:r>
        <w:rPr>
          <w:color w:val="231F20"/>
        </w:rPr>
        <w:t>Art. 2:17. Voor stichtingen worden de stukken bedoeld in artikel 2:11,</w:t>
      </w:r>
    </w:p>
    <w:p>
      <w:pPr>
        <w:pStyle w:val="BodyText"/>
        <w:spacing w:line="185" w:lineRule="exact"/>
        <w:ind w:right="0" w:firstLine="0"/>
        <w:jc w:val="left"/>
      </w:pPr>
      <w:r>
        <w:rPr>
          <w:color w:val="231F20"/>
        </w:rPr>
        <w:t>§ 1, 3°, 4°, 6°, 7° en 9°, en de wijzigingen ervan bekendgemaakt.</w:t>
      </w:r>
    </w:p>
    <w:p>
      <w:pPr>
        <w:pStyle w:val="BodyText"/>
        <w:spacing w:before="68"/>
        <w:ind w:left="283" w:right="0" w:firstLine="0"/>
        <w:jc w:val="left"/>
      </w:pPr>
      <w:r>
        <w:rPr>
          <w:color w:val="231F20"/>
        </w:rPr>
        <w:t>Onderafdeling 3. Tegenwerpelijkheid.</w:t>
      </w:r>
    </w:p>
    <w:p>
      <w:pPr>
        <w:pStyle w:val="BodyText"/>
        <w:spacing w:line="218" w:lineRule="auto" w:before="82"/>
        <w:ind w:right="123"/>
      </w:pPr>
      <w:r>
        <w:rPr>
          <w:color w:val="231F20"/>
        </w:rPr>
        <w:t>Art. 2:18. De stukken die krachtens dit hoofdstuk moeten worden openbaar gemaakt, kunnen aan derden slechts worden tegengeworpen vanaf de dag van neerlegging ervan of, indien zij volgens de voorschriften van dit hoofdstuk ook moeten worden bekendgemaakt, vanaf de dag van bekendmaking ervan in de Bijlagen bij het </w:t>
      </w:r>
      <w:r>
        <w:rPr>
          <w:rFonts w:ascii="Times New Roman"/>
          <w:i/>
          <w:color w:val="231F20"/>
        </w:rPr>
        <w:t>Belgisch </w:t>
      </w:r>
      <w:r>
        <w:rPr>
          <w:rFonts w:ascii="Times New Roman"/>
          <w:i/>
          <w:color w:val="231F20"/>
        </w:rPr>
        <w:t>Staatsblad</w:t>
      </w:r>
      <w:r>
        <w:rPr>
          <w:color w:val="231F20"/>
        </w:rPr>
        <w:t>, behalve indien de rechtspersoon aantoont dat die derden er reeds kennis van hadden. Derden kunnen zich niettemin beroepen op stukken die niet zijn neergelegd of bekendgemaakt. Die stukken kunnen met betrekking tot handelingen verricht voor de zestiende dag volgend op de bekendmaking, niet worden tegengeworpen aan derden die</w:t>
      </w:r>
      <w:r>
        <w:rPr>
          <w:color w:val="231F20"/>
          <w:spacing w:val="11"/>
        </w:rPr>
        <w:t> </w:t>
      </w:r>
      <w:r>
        <w:rPr>
          <w:color w:val="231F20"/>
        </w:rPr>
        <w:t>aantonen</w:t>
      </w:r>
      <w:r>
        <w:rPr>
          <w:color w:val="231F20"/>
          <w:spacing w:val="11"/>
        </w:rPr>
        <w:t> </w:t>
      </w:r>
      <w:r>
        <w:rPr>
          <w:color w:val="231F20"/>
        </w:rPr>
        <w:t>dat</w:t>
      </w:r>
      <w:r>
        <w:rPr>
          <w:color w:val="231F20"/>
          <w:spacing w:val="12"/>
        </w:rPr>
        <w:t> </w:t>
      </w:r>
      <w:r>
        <w:rPr>
          <w:color w:val="231F20"/>
        </w:rPr>
        <w:t>zij</w:t>
      </w:r>
      <w:r>
        <w:rPr>
          <w:color w:val="231F20"/>
          <w:spacing w:val="11"/>
        </w:rPr>
        <w:t> </w:t>
      </w:r>
      <w:r>
        <w:rPr>
          <w:color w:val="231F20"/>
        </w:rPr>
        <w:t>er</w:t>
      </w:r>
      <w:r>
        <w:rPr>
          <w:color w:val="231F20"/>
          <w:spacing w:val="11"/>
        </w:rPr>
        <w:t> </w:t>
      </w:r>
      <w:r>
        <w:rPr>
          <w:color w:val="231F20"/>
        </w:rPr>
        <w:t>onmogelijk</w:t>
      </w:r>
      <w:r>
        <w:rPr>
          <w:color w:val="231F20"/>
          <w:spacing w:val="12"/>
        </w:rPr>
        <w:t> </w:t>
      </w:r>
      <w:r>
        <w:rPr>
          <w:color w:val="231F20"/>
        </w:rPr>
        <w:t>kennis</w:t>
      </w:r>
      <w:r>
        <w:rPr>
          <w:color w:val="231F20"/>
          <w:spacing w:val="11"/>
        </w:rPr>
        <w:t> </w:t>
      </w:r>
      <w:r>
        <w:rPr>
          <w:color w:val="231F20"/>
        </w:rPr>
        <w:t>van</w:t>
      </w:r>
      <w:r>
        <w:rPr>
          <w:color w:val="231F20"/>
          <w:spacing w:val="11"/>
        </w:rPr>
        <w:t> </w:t>
      </w:r>
      <w:r>
        <w:rPr>
          <w:color w:val="231F20"/>
        </w:rPr>
        <w:t>hadden</w:t>
      </w:r>
      <w:r>
        <w:rPr>
          <w:color w:val="231F20"/>
          <w:spacing w:val="12"/>
        </w:rPr>
        <w:t> </w:t>
      </w:r>
      <w:r>
        <w:rPr>
          <w:color w:val="231F20"/>
        </w:rPr>
        <w:t>kunnen</w:t>
      </w:r>
      <w:r>
        <w:rPr>
          <w:color w:val="231F20"/>
          <w:spacing w:val="11"/>
        </w:rPr>
        <w:t> </w:t>
      </w:r>
      <w:r>
        <w:rPr>
          <w:color w:val="231F20"/>
        </w:rPr>
        <w:t>hebben.</w:t>
      </w:r>
    </w:p>
    <w:p>
      <w:pPr>
        <w:pStyle w:val="BodyText"/>
        <w:spacing w:line="218" w:lineRule="auto" w:before="81"/>
        <w:ind w:right="123"/>
      </w:pPr>
      <w:r>
        <w:rPr>
          <w:color w:val="231F20"/>
        </w:rPr>
        <w:t>In geval van tegenstrijdigheid tussen de neergelegde tekst en de tekst bekendgemaakt in de Bijlagen bij het </w:t>
      </w:r>
      <w:r>
        <w:rPr>
          <w:rFonts w:ascii="Times New Roman"/>
          <w:i/>
          <w:color w:val="231F20"/>
        </w:rPr>
        <w:t>Belgisch Staatsblad</w:t>
      </w:r>
      <w:r>
        <w:rPr>
          <w:color w:val="231F20"/>
        </w:rPr>
        <w:t>, kan deze laatste niet aan derden worden tegengeworpen. Zij kunnen zich evenwel erop beroepen tenzij de rechtspersoon aantoont dat zij van de neergelegde tekst kennis</w:t>
      </w:r>
      <w:r>
        <w:rPr>
          <w:color w:val="231F20"/>
          <w:spacing w:val="5"/>
        </w:rPr>
        <w:t> </w:t>
      </w:r>
      <w:r>
        <w:rPr>
          <w:color w:val="231F20"/>
        </w:rPr>
        <w:t>hadden.</w:t>
      </w:r>
    </w:p>
    <w:p>
      <w:pPr>
        <w:pStyle w:val="BodyText"/>
        <w:spacing w:line="218" w:lineRule="auto" w:before="83"/>
        <w:ind w:right="123"/>
      </w:pPr>
      <w:r>
        <w:rPr>
          <w:color w:val="231F20"/>
        </w:rPr>
        <w:t>Art. 2:19. Na de vervulling van de formaliteiten van de openbaarma- king betreffende de personen die als orgaan van de rechtspersoon bevoegd zijn om deze te vertegenwoordigen, kan een onregelmatigheid in hun benoeming niet meer aan derden worden tegengeworpen, tenzij de rechtspersoon aantoont dat die derden daarvan kennis hadden.</w:t>
      </w:r>
    </w:p>
    <w:p>
      <w:pPr>
        <w:pStyle w:val="BodyText"/>
        <w:spacing w:line="270" w:lineRule="atLeast" w:before="6"/>
        <w:ind w:left="283" w:right="169" w:firstLine="0"/>
        <w:jc w:val="left"/>
      </w:pPr>
      <w:r>
        <w:rPr>
          <w:color w:val="231F20"/>
        </w:rPr>
        <w:t>Onderafdeling 4. Enige in de stukken op te nemen vermeldingen.  Art. 2:20. Alle akten, facturen, aankondigingen,</w:t>
      </w:r>
      <w:r>
        <w:rPr>
          <w:color w:val="231F20"/>
          <w:spacing w:val="1"/>
        </w:rPr>
        <w:t> </w:t>
      </w:r>
      <w:r>
        <w:rPr>
          <w:color w:val="231F20"/>
        </w:rPr>
        <w:t>bekendmakingen,</w:t>
      </w:r>
    </w:p>
    <w:p>
      <w:pPr>
        <w:pStyle w:val="BodyText"/>
        <w:spacing w:line="218" w:lineRule="auto"/>
        <w:ind w:right="123" w:firstLine="0"/>
      </w:pPr>
      <w:r>
        <w:rPr>
          <w:color w:val="231F20"/>
        </w:rPr>
        <w:t>brieven,</w:t>
      </w:r>
      <w:r>
        <w:rPr>
          <w:color w:val="231F20"/>
          <w:spacing w:val="-4"/>
        </w:rPr>
        <w:t> </w:t>
      </w:r>
      <w:r>
        <w:rPr>
          <w:color w:val="231F20"/>
        </w:rPr>
        <w:t>orders,</w:t>
      </w:r>
      <w:r>
        <w:rPr>
          <w:color w:val="231F20"/>
          <w:spacing w:val="-3"/>
        </w:rPr>
        <w:t> </w:t>
      </w:r>
      <w:r>
        <w:rPr>
          <w:color w:val="231F20"/>
        </w:rPr>
        <w:t>websites</w:t>
      </w:r>
      <w:r>
        <w:rPr>
          <w:color w:val="231F20"/>
          <w:spacing w:val="-3"/>
        </w:rPr>
        <w:t> </w:t>
      </w:r>
      <w:r>
        <w:rPr>
          <w:color w:val="231F20"/>
        </w:rPr>
        <w:t>en</w:t>
      </w:r>
      <w:r>
        <w:rPr>
          <w:color w:val="231F20"/>
          <w:spacing w:val="-3"/>
        </w:rPr>
        <w:t> </w:t>
      </w:r>
      <w:r>
        <w:rPr>
          <w:color w:val="231F20"/>
        </w:rPr>
        <w:t>andere</w:t>
      </w:r>
      <w:r>
        <w:rPr>
          <w:color w:val="231F20"/>
          <w:spacing w:val="-4"/>
        </w:rPr>
        <w:t> </w:t>
      </w:r>
      <w:r>
        <w:rPr>
          <w:color w:val="231F20"/>
        </w:rPr>
        <w:t>stukken,</w:t>
      </w:r>
      <w:r>
        <w:rPr>
          <w:color w:val="231F20"/>
          <w:spacing w:val="-3"/>
        </w:rPr>
        <w:t> </w:t>
      </w:r>
      <w:r>
        <w:rPr>
          <w:color w:val="231F20"/>
        </w:rPr>
        <w:t>al</w:t>
      </w:r>
      <w:r>
        <w:rPr>
          <w:color w:val="231F20"/>
          <w:spacing w:val="-3"/>
        </w:rPr>
        <w:t> </w:t>
      </w:r>
      <w:r>
        <w:rPr>
          <w:color w:val="231F20"/>
        </w:rPr>
        <w:t>dan</w:t>
      </w:r>
      <w:r>
        <w:rPr>
          <w:color w:val="231F20"/>
          <w:spacing w:val="-3"/>
        </w:rPr>
        <w:t> </w:t>
      </w:r>
      <w:r>
        <w:rPr>
          <w:color w:val="231F20"/>
        </w:rPr>
        <w:t>niet</w:t>
      </w:r>
      <w:r>
        <w:rPr>
          <w:color w:val="231F20"/>
          <w:spacing w:val="-4"/>
        </w:rPr>
        <w:t> </w:t>
      </w:r>
      <w:r>
        <w:rPr>
          <w:color w:val="231F20"/>
        </w:rPr>
        <w:t>in</w:t>
      </w:r>
      <w:r>
        <w:rPr>
          <w:color w:val="231F20"/>
          <w:spacing w:val="-3"/>
        </w:rPr>
        <w:t> </w:t>
      </w:r>
      <w:r>
        <w:rPr>
          <w:color w:val="231F20"/>
        </w:rPr>
        <w:t>elektronische vorm, uitgaande van een rechtspersoon moeten de volgende gegevens vermelden:</w:t>
      </w:r>
    </w:p>
    <w:p>
      <w:pPr>
        <w:pStyle w:val="BodyText"/>
        <w:spacing w:line="338" w:lineRule="auto" w:before="81"/>
        <w:ind w:left="283" w:right="2535" w:hanging="1"/>
        <w:jc w:val="left"/>
      </w:pPr>
      <w:r>
        <w:rPr>
          <w:color w:val="231F20"/>
        </w:rPr>
        <w:t>1° de naam van  de  rechtspersoon; 2°</w:t>
      </w:r>
      <w:r>
        <w:rPr>
          <w:color w:val="231F20"/>
          <w:spacing w:val="16"/>
        </w:rPr>
        <w:t> </w:t>
      </w:r>
      <w:r>
        <w:rPr>
          <w:color w:val="231F20"/>
        </w:rPr>
        <w:t>de</w:t>
      </w:r>
      <w:r>
        <w:rPr>
          <w:color w:val="231F20"/>
          <w:spacing w:val="16"/>
        </w:rPr>
        <w:t> </w:t>
      </w:r>
      <w:r>
        <w:rPr>
          <w:color w:val="231F20"/>
        </w:rPr>
        <w:t>rechtsvorm,</w:t>
      </w:r>
      <w:r>
        <w:rPr>
          <w:color w:val="231F20"/>
          <w:spacing w:val="17"/>
        </w:rPr>
        <w:t> </w:t>
      </w:r>
      <w:r>
        <w:rPr>
          <w:color w:val="231F20"/>
        </w:rPr>
        <w:t>voluit</w:t>
      </w:r>
      <w:r>
        <w:rPr>
          <w:color w:val="231F20"/>
          <w:spacing w:val="16"/>
        </w:rPr>
        <w:t> </w:t>
      </w:r>
      <w:r>
        <w:rPr>
          <w:color w:val="231F20"/>
        </w:rPr>
        <w:t>of</w:t>
      </w:r>
      <w:r>
        <w:rPr>
          <w:color w:val="231F20"/>
          <w:spacing w:val="16"/>
        </w:rPr>
        <w:t> </w:t>
      </w:r>
      <w:r>
        <w:rPr>
          <w:color w:val="231F20"/>
        </w:rPr>
        <w:t>afgekort;</w:t>
      </w:r>
    </w:p>
    <w:p>
      <w:pPr>
        <w:pStyle w:val="BodyText"/>
        <w:spacing w:line="338" w:lineRule="auto"/>
        <w:ind w:left="283" w:right="280" w:hanging="1"/>
        <w:jc w:val="left"/>
      </w:pPr>
      <w:r>
        <w:rPr>
          <w:color w:val="231F20"/>
        </w:rPr>
        <w:t>3° de nauwkeurige aanduiding van de zetel van de rechtspersoon;  4° het</w:t>
      </w:r>
      <w:r>
        <w:rPr>
          <w:color w:val="231F20"/>
          <w:spacing w:val="-12"/>
        </w:rPr>
        <w:t> </w:t>
      </w:r>
      <w:r>
        <w:rPr>
          <w:color w:val="231F20"/>
        </w:rPr>
        <w:t>ondernemingsnummer;</w:t>
      </w:r>
    </w:p>
    <w:p>
      <w:pPr>
        <w:pStyle w:val="BodyText"/>
        <w:spacing w:line="218" w:lineRule="auto" w:before="11"/>
      </w:pPr>
      <w:r>
        <w:rPr>
          <w:color w:val="231F20"/>
        </w:rPr>
        <w:t>5° het woord “rechtspersonenregister” of de afkorting “RPR”,  gevolgd door de vermelding van de rechtbank van de zetel van de rechtspersoon;</w:t>
      </w:r>
    </w:p>
    <w:p>
      <w:pPr>
        <w:pStyle w:val="BodyText"/>
        <w:spacing w:line="218" w:lineRule="auto" w:before="97"/>
      </w:pPr>
      <w:r>
        <w:rPr>
          <w:color w:val="231F20"/>
        </w:rPr>
        <w:t>6° in voorkomend geval, het e-mailadres en de website van de rechtspersoon;</w:t>
      </w:r>
    </w:p>
    <w:p>
      <w:pPr>
        <w:pStyle w:val="BodyText"/>
        <w:spacing w:line="185" w:lineRule="exact" w:before="82"/>
        <w:ind w:left="283" w:right="0" w:firstLine="0"/>
        <w:jc w:val="left"/>
      </w:pPr>
      <w:r>
        <w:rPr>
          <w:color w:val="231F20"/>
        </w:rPr>
        <w:t>7° in voorkomend geval, het feit dat de rechtspersoon in vereffening</w:t>
      </w:r>
    </w:p>
    <w:p>
      <w:pPr>
        <w:pStyle w:val="BodyText"/>
        <w:spacing w:line="185" w:lineRule="exact"/>
        <w:ind w:right="0" w:firstLine="0"/>
        <w:jc w:val="left"/>
      </w:pPr>
      <w:r>
        <w:rPr>
          <w:color w:val="231F20"/>
        </w:rPr>
        <w:t>is.</w:t>
      </w:r>
    </w:p>
    <w:p>
      <w:pPr>
        <w:pStyle w:val="BodyText"/>
        <w:spacing w:line="218" w:lineRule="auto" w:before="92"/>
        <w:ind w:right="123"/>
      </w:pPr>
      <w:r>
        <w:rPr>
          <w:color w:val="231F20"/>
        </w:rPr>
        <w:t>Art. 2:21. Indien bij een naamloze vennootschap, een Europese vennootschap of een Europese coöperatieve vennootschap, de websites of de in artikel 2:20 bedoelde stukken het kapitaal van de vennootschap vermelden, dient dit het gestorte kapitaal te zijn, zoals dit blijkt uit de laatste</w:t>
      </w:r>
      <w:r>
        <w:rPr>
          <w:color w:val="231F20"/>
          <w:spacing w:val="-5"/>
        </w:rPr>
        <w:t> </w:t>
      </w:r>
      <w:r>
        <w:rPr>
          <w:color w:val="231F20"/>
        </w:rPr>
        <w:t>balans.</w:t>
      </w:r>
      <w:r>
        <w:rPr>
          <w:color w:val="231F20"/>
          <w:spacing w:val="-4"/>
        </w:rPr>
        <w:t> </w:t>
      </w:r>
      <w:r>
        <w:rPr>
          <w:color w:val="231F20"/>
        </w:rPr>
        <w:t>Indien</w:t>
      </w:r>
      <w:r>
        <w:rPr>
          <w:color w:val="231F20"/>
          <w:spacing w:val="-4"/>
        </w:rPr>
        <w:t> </w:t>
      </w:r>
      <w:r>
        <w:rPr>
          <w:color w:val="231F20"/>
        </w:rPr>
        <w:t>hieruit</w:t>
      </w:r>
      <w:r>
        <w:rPr>
          <w:color w:val="231F20"/>
          <w:spacing w:val="-4"/>
        </w:rPr>
        <w:t> </w:t>
      </w:r>
      <w:r>
        <w:rPr>
          <w:color w:val="231F20"/>
        </w:rPr>
        <w:t>blijkt</w:t>
      </w:r>
      <w:r>
        <w:rPr>
          <w:color w:val="231F20"/>
          <w:spacing w:val="-5"/>
        </w:rPr>
        <w:t> </w:t>
      </w:r>
      <w:r>
        <w:rPr>
          <w:color w:val="231F20"/>
        </w:rPr>
        <w:t>dat</w:t>
      </w:r>
      <w:r>
        <w:rPr>
          <w:color w:val="231F20"/>
          <w:spacing w:val="-4"/>
        </w:rPr>
        <w:t> </w:t>
      </w:r>
      <w:r>
        <w:rPr>
          <w:color w:val="231F20"/>
        </w:rPr>
        <w:t>het</w:t>
      </w:r>
      <w:r>
        <w:rPr>
          <w:color w:val="231F20"/>
          <w:spacing w:val="-4"/>
        </w:rPr>
        <w:t> </w:t>
      </w:r>
      <w:r>
        <w:rPr>
          <w:color w:val="231F20"/>
        </w:rPr>
        <w:t>gestorte</w:t>
      </w:r>
      <w:r>
        <w:rPr>
          <w:color w:val="231F20"/>
          <w:spacing w:val="-4"/>
        </w:rPr>
        <w:t> </w:t>
      </w:r>
      <w:r>
        <w:rPr>
          <w:color w:val="231F20"/>
        </w:rPr>
        <w:t>kapitaal</w:t>
      </w:r>
      <w:r>
        <w:rPr>
          <w:color w:val="231F20"/>
          <w:spacing w:val="-4"/>
        </w:rPr>
        <w:t> </w:t>
      </w:r>
      <w:r>
        <w:rPr>
          <w:color w:val="231F20"/>
        </w:rPr>
        <w:t>is</w:t>
      </w:r>
      <w:r>
        <w:rPr>
          <w:color w:val="231F20"/>
          <w:spacing w:val="-5"/>
        </w:rPr>
        <w:t> </w:t>
      </w:r>
      <w:r>
        <w:rPr>
          <w:color w:val="231F20"/>
        </w:rPr>
        <w:t>aangetast, dient melding te worden gemaakt van het nettoactief zoals dit blijkt uit de laatste</w:t>
      </w:r>
      <w:r>
        <w:rPr>
          <w:color w:val="231F20"/>
          <w:spacing w:val="-12"/>
        </w:rPr>
        <w:t> </w:t>
      </w:r>
      <w:r>
        <w:rPr>
          <w:color w:val="231F20"/>
        </w:rPr>
        <w:t>balans.</w:t>
      </w:r>
    </w:p>
    <w:p>
      <w:pPr>
        <w:pStyle w:val="BodyText"/>
        <w:spacing w:line="218" w:lineRule="auto" w:before="97"/>
        <w:ind w:right="123"/>
      </w:pPr>
      <w:r>
        <w:rPr>
          <w:color w:val="231F20"/>
        </w:rPr>
        <w:t>Ingeval een hoger bedrag is opgegeven dan overeenkomstig het eerste lid is bepaald en de vennootschap in gebreke blijft haar verplichtingen na te komen, heeft de betrokken derde het recht om van de persoon die namens de vennootschap in de akte of website is opgetreden,</w:t>
      </w:r>
      <w:r>
        <w:rPr>
          <w:color w:val="231F20"/>
          <w:spacing w:val="18"/>
        </w:rPr>
        <w:t> </w:t>
      </w:r>
      <w:r>
        <w:rPr>
          <w:color w:val="231F20"/>
        </w:rPr>
        <w:t>het</w:t>
      </w:r>
      <w:r>
        <w:rPr>
          <w:color w:val="231F20"/>
          <w:spacing w:val="18"/>
        </w:rPr>
        <w:t> </w:t>
      </w:r>
      <w:r>
        <w:rPr>
          <w:color w:val="231F20"/>
        </w:rPr>
        <w:t>herstel</w:t>
      </w:r>
      <w:r>
        <w:rPr>
          <w:color w:val="231F20"/>
          <w:spacing w:val="18"/>
        </w:rPr>
        <w:t> </w:t>
      </w:r>
      <w:r>
        <w:rPr>
          <w:color w:val="231F20"/>
        </w:rPr>
        <w:t>te</w:t>
      </w:r>
      <w:r>
        <w:rPr>
          <w:color w:val="231F20"/>
          <w:spacing w:val="19"/>
        </w:rPr>
        <w:t> </w:t>
      </w:r>
      <w:r>
        <w:rPr>
          <w:color w:val="231F20"/>
        </w:rPr>
        <w:t>vorderen</w:t>
      </w:r>
      <w:r>
        <w:rPr>
          <w:color w:val="231F20"/>
          <w:spacing w:val="18"/>
        </w:rPr>
        <w:t> </w:t>
      </w:r>
      <w:r>
        <w:rPr>
          <w:color w:val="231F20"/>
        </w:rPr>
        <w:t>van</w:t>
      </w:r>
      <w:r>
        <w:rPr>
          <w:color w:val="231F20"/>
          <w:spacing w:val="18"/>
        </w:rPr>
        <w:t> </w:t>
      </w:r>
      <w:r>
        <w:rPr>
          <w:color w:val="231F20"/>
        </w:rPr>
        <w:t>de</w:t>
      </w:r>
      <w:r>
        <w:rPr>
          <w:color w:val="231F20"/>
          <w:spacing w:val="19"/>
        </w:rPr>
        <w:t> </w:t>
      </w:r>
      <w:r>
        <w:rPr>
          <w:color w:val="231F20"/>
        </w:rPr>
        <w:t>daardoor</w:t>
      </w:r>
      <w:r>
        <w:rPr>
          <w:color w:val="231F20"/>
          <w:spacing w:val="18"/>
        </w:rPr>
        <w:t> </w:t>
      </w:r>
      <w:r>
        <w:rPr>
          <w:color w:val="231F20"/>
        </w:rPr>
        <w:t>geleden</w:t>
      </w:r>
      <w:r>
        <w:rPr>
          <w:color w:val="231F20"/>
          <w:spacing w:val="18"/>
        </w:rPr>
        <w:t> </w:t>
      </w:r>
      <w:r>
        <w:rPr>
          <w:color w:val="231F20"/>
        </w:rPr>
        <w:t>schade.</w:t>
      </w:r>
    </w:p>
    <w:p>
      <w:pPr>
        <w:pStyle w:val="BodyText"/>
        <w:spacing w:line="218" w:lineRule="auto" w:before="96"/>
      </w:pPr>
      <w:r>
        <w:rPr>
          <w:color w:val="231F20"/>
        </w:rPr>
        <w:t>Art.</w:t>
      </w:r>
      <w:r>
        <w:rPr>
          <w:color w:val="231F20"/>
          <w:spacing w:val="-6"/>
        </w:rPr>
        <w:t> </w:t>
      </w:r>
      <w:r>
        <w:rPr>
          <w:color w:val="231F20"/>
        </w:rPr>
        <w:t>2:22.</w:t>
      </w:r>
      <w:r>
        <w:rPr>
          <w:color w:val="231F20"/>
          <w:spacing w:val="-5"/>
        </w:rPr>
        <w:t> </w:t>
      </w:r>
      <w:r>
        <w:rPr>
          <w:color w:val="231F20"/>
        </w:rPr>
        <w:t>Hij</w:t>
      </w:r>
      <w:r>
        <w:rPr>
          <w:color w:val="231F20"/>
          <w:spacing w:val="-5"/>
        </w:rPr>
        <w:t> </w:t>
      </w:r>
      <w:r>
        <w:rPr>
          <w:color w:val="231F20"/>
        </w:rPr>
        <w:t>die</w:t>
      </w:r>
      <w:r>
        <w:rPr>
          <w:color w:val="231F20"/>
          <w:spacing w:val="-5"/>
        </w:rPr>
        <w:t> </w:t>
      </w:r>
      <w:r>
        <w:rPr>
          <w:color w:val="231F20"/>
        </w:rPr>
        <w:t>namens</w:t>
      </w:r>
      <w:r>
        <w:rPr>
          <w:color w:val="231F20"/>
          <w:spacing w:val="-5"/>
        </w:rPr>
        <w:t> </w:t>
      </w:r>
      <w:r>
        <w:rPr>
          <w:color w:val="231F20"/>
        </w:rPr>
        <w:t>een</w:t>
      </w:r>
      <w:r>
        <w:rPr>
          <w:color w:val="231F20"/>
          <w:spacing w:val="-5"/>
        </w:rPr>
        <w:t> </w:t>
      </w:r>
      <w:r>
        <w:rPr>
          <w:color w:val="231F20"/>
        </w:rPr>
        <w:t>rechtspersoon</w:t>
      </w:r>
      <w:r>
        <w:rPr>
          <w:color w:val="231F20"/>
          <w:spacing w:val="-5"/>
        </w:rPr>
        <w:t> </w:t>
      </w:r>
      <w:r>
        <w:rPr>
          <w:color w:val="231F20"/>
        </w:rPr>
        <w:t>meewerkt</w:t>
      </w:r>
      <w:r>
        <w:rPr>
          <w:color w:val="231F20"/>
          <w:spacing w:val="-5"/>
        </w:rPr>
        <w:t> </w:t>
      </w:r>
      <w:r>
        <w:rPr>
          <w:color w:val="231F20"/>
        </w:rPr>
        <w:t>aan</w:t>
      </w:r>
      <w:r>
        <w:rPr>
          <w:color w:val="231F20"/>
          <w:spacing w:val="-6"/>
        </w:rPr>
        <w:t> </w:t>
      </w:r>
      <w:r>
        <w:rPr>
          <w:color w:val="231F20"/>
        </w:rPr>
        <w:t>een</w:t>
      </w:r>
      <w:r>
        <w:rPr>
          <w:color w:val="231F20"/>
          <w:spacing w:val="-5"/>
        </w:rPr>
        <w:t> </w:t>
      </w:r>
      <w:r>
        <w:rPr>
          <w:color w:val="231F20"/>
        </w:rPr>
        <w:t>akte</w:t>
      </w:r>
      <w:r>
        <w:rPr>
          <w:color w:val="231F20"/>
          <w:spacing w:val="-5"/>
        </w:rPr>
        <w:t> </w:t>
      </w:r>
      <w:r>
        <w:rPr>
          <w:color w:val="231F20"/>
        </w:rPr>
        <w:t>of website die niet voldoet aan de in artikel 2:20 bedoelde voorschriften kan, naar gelang van de omstandigheden, aansprakelijk  worden gesteld voor de daarin door de rechtspersoon aangegane verbintenis- sen.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1432" from="298.170502pt,64.473pt" to="298.170502pt,812.819pt" stroked="true" strokeweight=".533pt" strokecolor="#231f20">
            <v:stroke dashstyle="solid"/>
            <w10:wrap type="none"/>
          </v:line>
        </w:pict>
      </w:r>
      <w:bookmarkStart w:name="_bookmark17" w:id="20"/>
      <w:bookmarkEnd w:id="20"/>
      <w:r>
        <w:rPr/>
      </w:r>
      <w:r>
        <w:rPr>
          <w:color w:val="231F20"/>
        </w:rPr>
        <w:t>Section 2. Personnes morales étrangères disposant en Belgique d’une succursale.</w:t>
      </w:r>
    </w:p>
    <w:p>
      <w:pPr>
        <w:pStyle w:val="BodyText"/>
        <w:spacing w:line="218" w:lineRule="auto" w:before="70"/>
        <w:ind w:right="38"/>
      </w:pPr>
      <w:r>
        <w:rPr>
          <w:color w:val="231F20"/>
        </w:rPr>
        <w:t>Sous-section 1</w:t>
      </w:r>
      <w:r>
        <w:rPr>
          <w:color w:val="231F20"/>
          <w:position w:val="7"/>
          <w:sz w:val="11"/>
        </w:rPr>
        <w:t>re</w:t>
      </w:r>
      <w:r>
        <w:rPr>
          <w:color w:val="231F20"/>
        </w:rPr>
        <w:t>. Dossier de la personne morale étrangère disposant en Belgique d’une succursale.</w:t>
      </w:r>
    </w:p>
    <w:p>
      <w:pPr>
        <w:pStyle w:val="BodyText"/>
        <w:spacing w:line="218" w:lineRule="auto" w:before="70"/>
        <w:ind w:right="38"/>
      </w:pPr>
      <w:r>
        <w:rPr>
          <w:color w:val="231F20"/>
        </w:rPr>
        <w:t>Art. 2:23. § 1</w:t>
      </w:r>
      <w:r>
        <w:rPr>
          <w:color w:val="231F20"/>
          <w:position w:val="7"/>
          <w:sz w:val="11"/>
        </w:rPr>
        <w:t>er</w:t>
      </w:r>
      <w:r>
        <w:rPr>
          <w:color w:val="231F20"/>
        </w:rPr>
        <w:t>. Pour chaque personne morale étrangère ayant une succursale en Belgique, il est tenu un dossier au tribunal de l’entreprise dans le ressort duquel la succursale est établie. Si la personne morale étrangère a plusieurs succursales en Belgique, le dossier est tenu au greffe du tribunal de l’entreprise dans le ressort duquel une des succursales est établie, ceci au choix de la personne morale étrangère. Dans ce cas, la personne morale étrangère indique dans ses actes et dans sa correspondance le lieu où son dossier est tenu.</w:t>
      </w:r>
    </w:p>
    <w:p>
      <w:pPr>
        <w:pStyle w:val="BodyText"/>
        <w:ind w:left="0" w:right="0" w:firstLine="0"/>
        <w:jc w:val="left"/>
        <w:rPr>
          <w:sz w:val="20"/>
        </w:rPr>
      </w:pPr>
    </w:p>
    <w:p>
      <w:pPr>
        <w:pStyle w:val="BodyText"/>
        <w:spacing w:before="2"/>
        <w:ind w:left="0" w:right="0" w:firstLine="0"/>
        <w:jc w:val="left"/>
      </w:pPr>
    </w:p>
    <w:p>
      <w:pPr>
        <w:pStyle w:val="BodyText"/>
        <w:spacing w:line="218" w:lineRule="auto" w:before="1"/>
        <w:ind w:right="38"/>
      </w:pPr>
      <w:r>
        <w:rPr>
          <w:color w:val="231F20"/>
        </w:rPr>
        <w:t>Le dossier visé à l’alinéa 1</w:t>
      </w:r>
      <w:r>
        <w:rPr>
          <w:color w:val="231F20"/>
          <w:position w:val="7"/>
          <w:sz w:val="11"/>
        </w:rPr>
        <w:t>er </w:t>
      </w:r>
      <w:r>
        <w:rPr>
          <w:color w:val="231F20"/>
        </w:rPr>
        <w:t>tend à permettre aux tiers avec lesquels toute personne morale traite de vérifier que celle-ci est légalement constituée, qu’elle a le droit d’exercer ses activités, que ses organes de représentation ont le pouvoir de l’engager, et, dans une société, si les associés ou actionnaires ont une responsabilité illimitée ou non. Il doit aussi permettre à tout intéressé de mettre en cause la responsabilité des personnes qui ont le pouvoir de représenter la personne morale.</w:t>
      </w:r>
    </w:p>
    <w:p>
      <w:pPr>
        <w:pStyle w:val="BodyText"/>
        <w:ind w:left="0" w:right="0" w:firstLine="0"/>
        <w:jc w:val="left"/>
        <w:rPr>
          <w:sz w:val="23"/>
        </w:rPr>
      </w:pPr>
    </w:p>
    <w:p>
      <w:pPr>
        <w:pStyle w:val="BodyText"/>
        <w:spacing w:line="218" w:lineRule="auto"/>
        <w:ind w:right="38"/>
      </w:pPr>
      <w:r>
        <w:rPr>
          <w:color w:val="231F20"/>
        </w:rPr>
        <w:t>La personne morale étrangère est inscrite au registre des personnes morales, répertoire de la Banque-Carrefour des Entreprises.</w:t>
      </w:r>
    </w:p>
    <w:p>
      <w:pPr>
        <w:pStyle w:val="BodyText"/>
        <w:spacing w:line="218" w:lineRule="auto" w:before="86"/>
        <w:ind w:right="38"/>
      </w:pPr>
      <w:r>
        <w:rPr>
          <w:color w:val="231F20"/>
        </w:rPr>
        <w:t>§ 2. Le Roi détermine les modalités de constitution du dossier et la forme sous laquelle les actes, parties d’actes, extraits et décisions doivent être déposés, ainsi que le montant de la redevance imputée à l’intéressé. Il détermine également les modalités du traitement automa- tisé des données du dossier, ainsi que de la mise en relation des fichiers de données. Aux conditions déterminées par le Roi, les copies font foi comme les documents originaux et peuvent leur être substituées.</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ind w:right="38"/>
      </w:pPr>
      <w:r>
        <w:rPr>
          <w:color w:val="231F20"/>
        </w:rPr>
        <w:t>Le Roi détermine les modalités d’inscription des personnes morales étrangères et d’autres données pertinentes à la Banque-Carrefour des Entreprises.</w:t>
      </w:r>
    </w:p>
    <w:p>
      <w:pPr>
        <w:pStyle w:val="BodyText"/>
        <w:spacing w:line="218" w:lineRule="auto" w:before="86"/>
        <w:ind w:right="38"/>
      </w:pPr>
      <w:r>
        <w:rPr>
          <w:color w:val="231F20"/>
        </w:rPr>
        <w:t>§ 3. Les données à caractère personnel sont conservées pendant une durée n’excédant pas celle nécessaire aux finalités pour lesquelles elles sont enregistrées et selon les modalités déterminées dans le présent code.</w:t>
      </w:r>
    </w:p>
    <w:p>
      <w:pPr>
        <w:pStyle w:val="BodyText"/>
        <w:spacing w:line="218" w:lineRule="auto" w:before="86"/>
        <w:ind w:right="38"/>
      </w:pPr>
      <w:r>
        <w:rPr>
          <w:color w:val="231F20"/>
        </w:rPr>
        <w:t>§ 4. Chaque personne qui a le pouvoir de représenter la personne morale peut élire domicile au lieu où elle poursuit son activité professionnelle. Dans ce cas, seule cette adresse sera communiquée en cas de consultation du</w:t>
      </w:r>
      <w:r>
        <w:rPr>
          <w:color w:val="231F20"/>
          <w:spacing w:val="18"/>
        </w:rPr>
        <w:t> </w:t>
      </w:r>
      <w:r>
        <w:rPr>
          <w:color w:val="231F20"/>
        </w:rPr>
        <w:t>dossier.</w:t>
      </w:r>
    </w:p>
    <w:p>
      <w:pPr>
        <w:pStyle w:val="BodyText"/>
        <w:spacing w:line="218" w:lineRule="auto" w:before="85"/>
        <w:ind w:right="38"/>
      </w:pPr>
      <w:r>
        <w:rPr>
          <w:color w:val="231F20"/>
        </w:rPr>
        <w:t>§ 5. Le présent article s’applique également au groupement européen d’intérêt économique</w:t>
      </w:r>
      <w:r>
        <w:rPr>
          <w:color w:val="231F20"/>
          <w:spacing w:val="-12"/>
        </w:rPr>
        <w:t> </w:t>
      </w:r>
      <w:r>
        <w:rPr>
          <w:color w:val="231F20"/>
        </w:rPr>
        <w:t>étranger.</w:t>
      </w:r>
    </w:p>
    <w:p>
      <w:pPr>
        <w:pStyle w:val="BodyText"/>
        <w:spacing w:line="218" w:lineRule="auto" w:before="71"/>
        <w:ind w:right="38"/>
      </w:pPr>
      <w:r>
        <w:rPr>
          <w:color w:val="231F20"/>
        </w:rPr>
        <w:t>Art. 2:24. § 1</w:t>
      </w:r>
      <w:r>
        <w:rPr>
          <w:color w:val="231F20"/>
          <w:position w:val="7"/>
          <w:sz w:val="11"/>
        </w:rPr>
        <w:t>er</w:t>
      </w:r>
      <w:r>
        <w:rPr>
          <w:color w:val="231F20"/>
        </w:rPr>
        <w:t>. Afin d’être versés au dossier d’une société étrangère relevant du droit d’un autre État de l’Union européenne et fondant une succursale en Belgique, les documents suivants sont déposés préalable- ment à l’ouverture de la succursale:</w:t>
      </w:r>
    </w:p>
    <w:p>
      <w:pPr>
        <w:pStyle w:val="BodyText"/>
        <w:spacing w:before="11"/>
        <w:ind w:left="0" w:right="0" w:firstLine="0"/>
        <w:jc w:val="left"/>
        <w:rPr>
          <w:sz w:val="22"/>
        </w:rPr>
      </w:pPr>
    </w:p>
    <w:p>
      <w:pPr>
        <w:pStyle w:val="BodyText"/>
        <w:spacing w:line="218" w:lineRule="auto"/>
        <w:ind w:right="38"/>
      </w:pPr>
      <w:r>
        <w:rPr>
          <w:color w:val="231F20"/>
        </w:rPr>
        <w:t>1° l’acte constitutif et les statuts si ces derniers font l’objet d’un acte séparé ou le texte intégral de ces documents dans une rédaction mise à jour si ceux-ci ont fait l’objet de modifications;</w:t>
      </w:r>
    </w:p>
    <w:p>
      <w:pPr>
        <w:pStyle w:val="BodyText"/>
        <w:spacing w:before="72"/>
        <w:ind w:left="283" w:right="0" w:firstLine="0"/>
        <w:jc w:val="left"/>
      </w:pPr>
      <w:r>
        <w:rPr>
          <w:color w:val="231F20"/>
        </w:rPr>
        <w:t>2° la dénomination et la forme légale de la société;</w:t>
      </w:r>
    </w:p>
    <w:p>
      <w:pPr>
        <w:pStyle w:val="BodyText"/>
        <w:spacing w:line="218" w:lineRule="auto" w:before="82"/>
        <w:ind w:right="38"/>
      </w:pPr>
      <w:r>
        <w:rPr>
          <w:color w:val="231F20"/>
        </w:rPr>
        <w:t>3° le registre auprès duquel le dossier mentionné à l’article 16 de la directive  2017/1132/UE  du  Parlement  européen  et  du  Conseil  du  14 juin 2017 relative à certains aspects du droit des sociétés est ouvert pour la société et le numéro d’immatriculation de celle-ci dans ce registre;</w:t>
      </w:r>
    </w:p>
    <w:p>
      <w:pPr>
        <w:pStyle w:val="BodyText"/>
        <w:spacing w:line="218" w:lineRule="auto" w:before="85"/>
        <w:ind w:right="38"/>
      </w:pPr>
      <w:r>
        <w:rPr>
          <w:color w:val="231F20"/>
        </w:rPr>
        <w:t>4° un document émanant du registre visé au 3° attestant l’existence de la société;</w:t>
      </w:r>
    </w:p>
    <w:p>
      <w:pPr>
        <w:pStyle w:val="BodyText"/>
        <w:spacing w:line="218" w:lineRule="auto" w:before="86"/>
        <w:ind w:right="38"/>
      </w:pPr>
      <w:r>
        <w:rPr>
          <w:color w:val="231F20"/>
        </w:rPr>
        <w:t>5° l’adresse et l’indication des activités de la succursale, ainsi que sa dénomination si elle ne correspond pas à celle de la société;</w:t>
      </w:r>
    </w:p>
    <w:p>
      <w:pPr>
        <w:pStyle w:val="BodyText"/>
        <w:spacing w:line="218" w:lineRule="auto" w:before="85"/>
        <w:ind w:right="38"/>
      </w:pPr>
      <w:r>
        <w:rPr>
          <w:color w:val="231F20"/>
        </w:rPr>
        <w:t>6° la nomination et l’identité des personnes qui ont le pouvoir de représenter la société à l’égard des tiers:</w:t>
      </w:r>
    </w:p>
    <w:p>
      <w:pPr>
        <w:pStyle w:val="ListParagraph"/>
        <w:numPr>
          <w:ilvl w:val="0"/>
          <w:numId w:val="34"/>
        </w:numPr>
        <w:tabs>
          <w:tab w:pos="481" w:val="left" w:leader="none"/>
        </w:tabs>
        <w:spacing w:line="218" w:lineRule="auto" w:before="83" w:after="0"/>
        <w:ind w:left="113" w:right="38" w:firstLine="170"/>
        <w:jc w:val="both"/>
        <w:rPr>
          <w:sz w:val="17"/>
        </w:rPr>
      </w:pPr>
      <w:r>
        <w:rPr>
          <w:color w:val="231F20"/>
          <w:sz w:val="17"/>
        </w:rPr>
        <w:t>en tant qu’organe de la société légalement prévu ou en tant que membres de cet</w:t>
      </w:r>
      <w:r>
        <w:rPr>
          <w:color w:val="231F20"/>
          <w:spacing w:val="3"/>
          <w:sz w:val="17"/>
        </w:rPr>
        <w:t> </w:t>
      </w:r>
      <w:r>
        <w:rPr>
          <w:color w:val="231F20"/>
          <w:sz w:val="17"/>
        </w:rPr>
        <w:t>organe;</w:t>
      </w:r>
    </w:p>
    <w:p>
      <w:pPr>
        <w:pStyle w:val="ListParagraph"/>
        <w:numPr>
          <w:ilvl w:val="0"/>
          <w:numId w:val="34"/>
        </w:numPr>
        <w:tabs>
          <w:tab w:pos="523" w:val="left" w:leader="none"/>
        </w:tabs>
        <w:spacing w:line="218" w:lineRule="auto" w:before="93" w:after="0"/>
        <w:ind w:left="113" w:right="38" w:firstLine="170"/>
        <w:jc w:val="both"/>
        <w:rPr>
          <w:sz w:val="17"/>
        </w:rPr>
      </w:pPr>
      <w:r>
        <w:rPr>
          <w:color w:val="231F20"/>
          <w:sz w:val="17"/>
        </w:rPr>
        <w:t>en tant que représentants de la société pour l’activité de la succursale,</w:t>
      </w:r>
      <w:r>
        <w:rPr>
          <w:color w:val="231F20"/>
          <w:spacing w:val="15"/>
          <w:sz w:val="17"/>
        </w:rPr>
        <w:t> </w:t>
      </w:r>
      <w:r>
        <w:rPr>
          <w:color w:val="231F20"/>
          <w:sz w:val="17"/>
        </w:rPr>
        <w:t>avec</w:t>
      </w:r>
      <w:r>
        <w:rPr>
          <w:color w:val="231F20"/>
          <w:spacing w:val="16"/>
          <w:sz w:val="17"/>
        </w:rPr>
        <w:t> </w:t>
      </w:r>
      <w:r>
        <w:rPr>
          <w:color w:val="231F20"/>
          <w:sz w:val="17"/>
        </w:rPr>
        <w:t>indication</w:t>
      </w:r>
      <w:r>
        <w:rPr>
          <w:color w:val="231F20"/>
          <w:spacing w:val="15"/>
          <w:sz w:val="17"/>
        </w:rPr>
        <w:t> </w:t>
      </w:r>
      <w:r>
        <w:rPr>
          <w:color w:val="231F20"/>
          <w:sz w:val="17"/>
        </w:rPr>
        <w:t>des</w:t>
      </w:r>
      <w:r>
        <w:rPr>
          <w:color w:val="231F20"/>
          <w:spacing w:val="16"/>
          <w:sz w:val="17"/>
        </w:rPr>
        <w:t> </w:t>
      </w:r>
      <w:r>
        <w:rPr>
          <w:color w:val="231F20"/>
          <w:sz w:val="17"/>
        </w:rPr>
        <w:t>pouvoirs</w:t>
      </w:r>
      <w:r>
        <w:rPr>
          <w:color w:val="231F20"/>
          <w:spacing w:val="16"/>
          <w:sz w:val="17"/>
        </w:rPr>
        <w:t> </w:t>
      </w:r>
      <w:r>
        <w:rPr>
          <w:color w:val="231F20"/>
          <w:sz w:val="17"/>
        </w:rPr>
        <w:t>de</w:t>
      </w:r>
      <w:r>
        <w:rPr>
          <w:color w:val="231F20"/>
          <w:spacing w:val="15"/>
          <w:sz w:val="17"/>
        </w:rPr>
        <w:t> </w:t>
      </w:r>
      <w:r>
        <w:rPr>
          <w:color w:val="231F20"/>
          <w:sz w:val="17"/>
        </w:rPr>
        <w:t>ces</w:t>
      </w:r>
      <w:r>
        <w:rPr>
          <w:color w:val="231F20"/>
          <w:spacing w:val="16"/>
          <w:sz w:val="17"/>
        </w:rPr>
        <w:t> </w:t>
      </w:r>
      <w:r>
        <w:rPr>
          <w:color w:val="231F20"/>
          <w:sz w:val="17"/>
        </w:rPr>
        <w:t>représentants;</w:t>
      </w:r>
    </w:p>
    <w:p>
      <w:pPr>
        <w:pStyle w:val="BodyText"/>
        <w:spacing w:before="11"/>
        <w:ind w:left="0" w:right="0" w:firstLine="0"/>
        <w:jc w:val="left"/>
        <w:rPr>
          <w:sz w:val="23"/>
        </w:rPr>
      </w:pPr>
    </w:p>
    <w:p>
      <w:pPr>
        <w:pStyle w:val="BodyText"/>
        <w:spacing w:line="218" w:lineRule="auto"/>
        <w:ind w:right="38"/>
      </w:pPr>
      <w:r>
        <w:rPr>
          <w:color w:val="231F20"/>
        </w:rPr>
        <w:t>7° les comptes annuels et les comptes consolidés de la société, afférents au dernier exercice clôturé, dans la forme dans laquelle ces comptes ont été établis, contrôlés et publiés selon le droit de l’État membre dont la société relève.</w:t>
      </w:r>
    </w:p>
    <w:p>
      <w:pPr>
        <w:pStyle w:val="BodyText"/>
        <w:spacing w:line="218" w:lineRule="auto" w:before="119"/>
      </w:pPr>
      <w:r>
        <w:rPr/>
        <w:br w:type="column"/>
      </w:r>
      <w:r>
        <w:rPr>
          <w:color w:val="231F20"/>
        </w:rPr>
        <w:t>Afdeling 2. Buitenlandse rechtspersonen met een bijkantoor in België.</w:t>
      </w:r>
    </w:p>
    <w:p>
      <w:pPr>
        <w:pStyle w:val="BodyText"/>
        <w:spacing w:line="218" w:lineRule="auto" w:before="86"/>
      </w:pPr>
      <w:r>
        <w:rPr>
          <w:color w:val="231F20"/>
        </w:rPr>
        <w:t>Onderafdeling 1. Dossier van de buitenlandse rechtspersoon met een bijkantoor in België.</w:t>
      </w:r>
    </w:p>
    <w:p>
      <w:pPr>
        <w:pStyle w:val="BodyText"/>
        <w:spacing w:line="218" w:lineRule="auto" w:before="85"/>
      </w:pPr>
      <w:r>
        <w:rPr>
          <w:color w:val="231F20"/>
        </w:rPr>
        <w:t>Art. 2:23. § 1. Op de griffie van de ondernemingsrechtbank in het ambtsgebied waarvan het bijkantoor is gevestigd, wordt voor iedere buitenlandse rechtspersoon met een bijkantoor in België een dossier gehouden. Ingeval de buitenlandse rechtspersoon in België verschei- dene bijkantoren heeft, wordt het dossier gehouden op de griffie van de ondernemingsrechtbank in het ambtsgebied waarvan een van die bijkantoren is gevestigd, zulks naar keuze van de buitenlandse rechtspersoon. In dat geval vermeldt de buitenlandse rechtspersoon in zijn akten en in zijn briefwisseling de plaats waar zijn dossier wordt gehouden.</w:t>
      </w:r>
    </w:p>
    <w:p>
      <w:pPr>
        <w:pStyle w:val="BodyText"/>
        <w:spacing w:line="218" w:lineRule="auto" w:before="87"/>
      </w:pPr>
      <w:r>
        <w:rPr>
          <w:color w:val="231F20"/>
        </w:rPr>
        <w:t>Het in het eerste lid bedoelde dossier strekt ertoe derden waarmee elke rechtspersoon handelt of te maken heeft na te gaan of die rechtspersoon geldig is opgericht, of hij het recht heeft zijn activiteiten uit te oefenen, of zijn vertegenwoordigingsorganen het recht hebben hem te verbinden, en of, in een vennootschap, de vennoten of aandeelhouders al dan niet onbeperkt aansprakelijk zijn. Dit dossier stelt elke belanghebbende in staat de personen die bevoegd zijn de rechtspersoon te vertegenwoordigen ter verantwoording te roepen.</w:t>
      </w:r>
    </w:p>
    <w:p>
      <w:pPr>
        <w:pStyle w:val="BodyText"/>
        <w:spacing w:line="218" w:lineRule="auto" w:before="86"/>
      </w:pPr>
      <w:r>
        <w:rPr>
          <w:color w:val="231F20"/>
        </w:rPr>
        <w:t>De buitenlandse rechtspersoon wordt ingeschreven in het rechtsper- sonenregister, onderdeel van de Kruispuntbank van Ondernemingen.</w:t>
      </w:r>
    </w:p>
    <w:p>
      <w:pPr>
        <w:pStyle w:val="BodyText"/>
        <w:spacing w:line="218" w:lineRule="auto" w:before="85"/>
      </w:pPr>
      <w:r>
        <w:rPr>
          <w:color w:val="231F20"/>
        </w:rPr>
        <w:t>§ 2. De Koning bepaalt de wijze waarop het dossier moet worden aangelegd en bepaalt de vorm waaronder akten, de onderdelen van akten, de uittreksels en de beslissingen moeten worden neergelegd, alsook de hoogte van de vergoeding die wordt aangerekend aan de belanghebbende. Hij bepaalt eveneens de modaliteiten van de geauto- matiseerde verwerking van de gegevens van het dossier, alsook de koppeling van de gegevensbestanden. Onder de voorwaarden bepaald door de Koning, hebben kopieën dezelfde bewijskracht als originele stukken en kunnen deze in de plaats ervan worden gesteld.</w:t>
      </w:r>
    </w:p>
    <w:p>
      <w:pPr>
        <w:pStyle w:val="BodyText"/>
        <w:spacing w:line="218" w:lineRule="auto" w:before="86"/>
      </w:pPr>
      <w:r>
        <w:rPr>
          <w:color w:val="231F20"/>
        </w:rPr>
        <w:t>De Koning stelt nadere regels op met betrekking tot de inschrijving van de buitenlandse rechtspersonen en andere relevante gegevens in de Kruispuntbank van Ondernemingen.</w:t>
      </w:r>
    </w:p>
    <w:p>
      <w:pPr>
        <w:pStyle w:val="BodyText"/>
        <w:spacing w:line="218" w:lineRule="auto" w:before="86"/>
      </w:pPr>
      <w:r>
        <w:rPr>
          <w:color w:val="231F20"/>
        </w:rPr>
        <w:t>§ 3. De persoonsgegevens worden niet langer bewaard dan noodza- kelijk voor de doeleinden waarvoor ze worden opgeslagen en volgens  de</w:t>
      </w:r>
      <w:r>
        <w:rPr>
          <w:color w:val="231F20"/>
          <w:spacing w:val="15"/>
        </w:rPr>
        <w:t> </w:t>
      </w:r>
      <w:r>
        <w:rPr>
          <w:color w:val="231F20"/>
        </w:rPr>
        <w:t>nadere</w:t>
      </w:r>
      <w:r>
        <w:rPr>
          <w:color w:val="231F20"/>
          <w:spacing w:val="16"/>
        </w:rPr>
        <w:t> </w:t>
      </w:r>
      <w:r>
        <w:rPr>
          <w:color w:val="231F20"/>
        </w:rPr>
        <w:t>regels</w:t>
      </w:r>
      <w:r>
        <w:rPr>
          <w:color w:val="231F20"/>
          <w:spacing w:val="16"/>
        </w:rPr>
        <w:t> </w:t>
      </w:r>
      <w:r>
        <w:rPr>
          <w:color w:val="231F20"/>
        </w:rPr>
        <w:t>bepaald</w:t>
      </w:r>
      <w:r>
        <w:rPr>
          <w:color w:val="231F20"/>
          <w:spacing w:val="15"/>
        </w:rPr>
        <w:t> </w:t>
      </w:r>
      <w:r>
        <w:rPr>
          <w:color w:val="231F20"/>
        </w:rPr>
        <w:t>in</w:t>
      </w:r>
      <w:r>
        <w:rPr>
          <w:color w:val="231F20"/>
          <w:spacing w:val="16"/>
        </w:rPr>
        <w:t> </w:t>
      </w:r>
      <w:r>
        <w:rPr>
          <w:color w:val="231F20"/>
        </w:rPr>
        <w:t>dit</w:t>
      </w:r>
      <w:r>
        <w:rPr>
          <w:color w:val="231F20"/>
          <w:spacing w:val="16"/>
        </w:rPr>
        <w:t> </w:t>
      </w:r>
      <w:r>
        <w:rPr>
          <w:color w:val="231F20"/>
        </w:rPr>
        <w:t>wetboek.</w:t>
      </w:r>
    </w:p>
    <w:p>
      <w:pPr>
        <w:pStyle w:val="BodyText"/>
        <w:spacing w:before="11"/>
        <w:ind w:left="0" w:right="0" w:firstLine="0"/>
        <w:jc w:val="left"/>
        <w:rPr>
          <w:sz w:val="22"/>
        </w:rPr>
      </w:pPr>
    </w:p>
    <w:p>
      <w:pPr>
        <w:pStyle w:val="BodyText"/>
        <w:spacing w:line="218" w:lineRule="auto"/>
      </w:pPr>
      <w:r>
        <w:rPr>
          <w:color w:val="231F20"/>
        </w:rPr>
        <w:t>§ 4. Elke persoon die de bevoegdheid heeft de rechtspersoon jegens derden te vertegenwoordigen kan woonplaats kiezen op de plaats waar hij een professionele activiteit voert. In dat geval wordt uitsluitend dit adres meegedeeld bij raadpleging van het dossier.</w:t>
      </w:r>
    </w:p>
    <w:p>
      <w:pPr>
        <w:pStyle w:val="BodyText"/>
        <w:spacing w:line="218" w:lineRule="auto" w:before="86"/>
      </w:pPr>
      <w:r>
        <w:rPr>
          <w:color w:val="231F20"/>
        </w:rPr>
        <w:t>§ 5. Dit artikel is ook van toepassing op het buitenlands Europees economisch samenwerkingsverband.</w:t>
      </w:r>
    </w:p>
    <w:p>
      <w:pPr>
        <w:pStyle w:val="BodyText"/>
        <w:spacing w:line="218" w:lineRule="auto" w:before="85"/>
      </w:pPr>
      <w:r>
        <w:rPr>
          <w:color w:val="231F20"/>
        </w:rPr>
        <w:t>Art. 2:24. § 1. Met het oog op hun opname in het dossier van een buitenlandse vennootschap die valt onder het recht van een andere lidstaat van de Europese Unie en een bijkantoor opricht in België, worden vóór de opening van het bijkantoor de volgende stukken neergelegd:</w:t>
      </w:r>
    </w:p>
    <w:p>
      <w:pPr>
        <w:pStyle w:val="BodyText"/>
        <w:spacing w:line="218" w:lineRule="auto" w:before="86"/>
      </w:pPr>
      <w:r>
        <w:rPr>
          <w:color w:val="231F20"/>
        </w:rPr>
        <w:t>1° de oprichtingsakte en de statuten indien deze laatste in een afzonderlijke akte zijn opgenomen, ofwel een bijgewerkte volledige tekst</w:t>
      </w:r>
      <w:r>
        <w:rPr>
          <w:color w:val="231F20"/>
          <w:spacing w:val="18"/>
        </w:rPr>
        <w:t> </w:t>
      </w:r>
      <w:r>
        <w:rPr>
          <w:color w:val="231F20"/>
        </w:rPr>
        <w:t>van</w:t>
      </w:r>
      <w:r>
        <w:rPr>
          <w:color w:val="231F20"/>
          <w:spacing w:val="18"/>
        </w:rPr>
        <w:t> </w:t>
      </w:r>
      <w:r>
        <w:rPr>
          <w:color w:val="231F20"/>
        </w:rPr>
        <w:t>deze</w:t>
      </w:r>
      <w:r>
        <w:rPr>
          <w:color w:val="231F20"/>
          <w:spacing w:val="19"/>
        </w:rPr>
        <w:t> </w:t>
      </w:r>
      <w:r>
        <w:rPr>
          <w:color w:val="231F20"/>
        </w:rPr>
        <w:t>stukken</w:t>
      </w:r>
      <w:r>
        <w:rPr>
          <w:color w:val="231F20"/>
          <w:spacing w:val="18"/>
        </w:rPr>
        <w:t> </w:t>
      </w:r>
      <w:r>
        <w:rPr>
          <w:color w:val="231F20"/>
        </w:rPr>
        <w:t>indien</w:t>
      </w:r>
      <w:r>
        <w:rPr>
          <w:color w:val="231F20"/>
          <w:spacing w:val="18"/>
        </w:rPr>
        <w:t> </w:t>
      </w:r>
      <w:r>
        <w:rPr>
          <w:color w:val="231F20"/>
        </w:rPr>
        <w:t>hierin</w:t>
      </w:r>
      <w:r>
        <w:rPr>
          <w:color w:val="231F20"/>
          <w:spacing w:val="19"/>
        </w:rPr>
        <w:t> </w:t>
      </w:r>
      <w:r>
        <w:rPr>
          <w:color w:val="231F20"/>
        </w:rPr>
        <w:t>wijzigingen</w:t>
      </w:r>
      <w:r>
        <w:rPr>
          <w:color w:val="231F20"/>
          <w:spacing w:val="18"/>
        </w:rPr>
        <w:t> </w:t>
      </w:r>
      <w:r>
        <w:rPr>
          <w:color w:val="231F20"/>
        </w:rPr>
        <w:t>werden</w:t>
      </w:r>
      <w:r>
        <w:rPr>
          <w:color w:val="231F20"/>
          <w:spacing w:val="18"/>
        </w:rPr>
        <w:t> </w:t>
      </w:r>
      <w:r>
        <w:rPr>
          <w:color w:val="231F20"/>
        </w:rPr>
        <w:t>aangebracht;</w:t>
      </w:r>
    </w:p>
    <w:p>
      <w:pPr>
        <w:pStyle w:val="BodyText"/>
        <w:spacing w:before="71"/>
        <w:ind w:left="283" w:right="0" w:firstLine="0"/>
        <w:jc w:val="left"/>
      </w:pPr>
      <w:r>
        <w:rPr>
          <w:color w:val="231F20"/>
        </w:rPr>
        <w:t>2° de naam en de rechtsvorm van de vennootschap;</w:t>
      </w:r>
    </w:p>
    <w:p>
      <w:pPr>
        <w:pStyle w:val="BodyText"/>
        <w:spacing w:line="218" w:lineRule="auto" w:before="82"/>
      </w:pPr>
      <w:r>
        <w:rPr>
          <w:color w:val="231F20"/>
        </w:rPr>
        <w:t>3° het register waarbij het in artikel 16 van richtlijn 2017/1132/EU van het Europees Parlement en de Raad van 14 juni 2017 aangaande bepaalde aspecten van het vennootschapsrecht vermelde dossier voor de vennootschap werd aangelegd en het nummer waaronder de vennootschap in dit register is ingeschreven;</w:t>
      </w:r>
    </w:p>
    <w:p>
      <w:pPr>
        <w:pStyle w:val="BodyText"/>
        <w:spacing w:line="218" w:lineRule="auto" w:before="86"/>
      </w:pPr>
      <w:r>
        <w:rPr>
          <w:color w:val="231F20"/>
        </w:rPr>
        <w:t>4° een stuk uitgaande van het in het 3°, bedoelde register dat het bestaan van de vennootschap vaststelt;</w:t>
      </w:r>
    </w:p>
    <w:p>
      <w:pPr>
        <w:pStyle w:val="BodyText"/>
        <w:spacing w:line="218" w:lineRule="auto" w:before="85"/>
      </w:pPr>
      <w:r>
        <w:rPr>
          <w:color w:val="231F20"/>
        </w:rPr>
        <w:t>5° het adres en de werkzaamheden van het bijkantoor, evenals zijn naam als deze niet met die van de vennootschap overeenstemt;</w:t>
      </w:r>
    </w:p>
    <w:p>
      <w:pPr>
        <w:pStyle w:val="BodyText"/>
        <w:spacing w:line="218" w:lineRule="auto" w:before="86"/>
      </w:pPr>
      <w:r>
        <w:rPr>
          <w:color w:val="231F20"/>
        </w:rPr>
        <w:t>6° de benoeming en de identiteit van de personen die de bevoegd- heid hebben de vennootschap jegens derden te vertegenwoordigen:</w:t>
      </w:r>
    </w:p>
    <w:p>
      <w:pPr>
        <w:pStyle w:val="ListParagraph"/>
        <w:numPr>
          <w:ilvl w:val="0"/>
          <w:numId w:val="35"/>
        </w:numPr>
        <w:tabs>
          <w:tab w:pos="494" w:val="left" w:leader="none"/>
        </w:tabs>
        <w:spacing w:line="218" w:lineRule="auto" w:before="83" w:after="0"/>
        <w:ind w:left="113" w:right="124" w:firstLine="170"/>
        <w:jc w:val="both"/>
        <w:rPr>
          <w:sz w:val="17"/>
        </w:rPr>
      </w:pPr>
      <w:r>
        <w:rPr>
          <w:color w:val="231F20"/>
          <w:sz w:val="17"/>
        </w:rPr>
        <w:t>als orgaan van de vennootschap waarin de wet voorziet of als leden van dit</w:t>
      </w:r>
      <w:r>
        <w:rPr>
          <w:color w:val="231F20"/>
          <w:spacing w:val="4"/>
          <w:sz w:val="17"/>
        </w:rPr>
        <w:t> </w:t>
      </w:r>
      <w:r>
        <w:rPr>
          <w:color w:val="231F20"/>
          <w:sz w:val="17"/>
        </w:rPr>
        <w:t>orgaan;</w:t>
      </w:r>
    </w:p>
    <w:p>
      <w:pPr>
        <w:pStyle w:val="ListParagraph"/>
        <w:numPr>
          <w:ilvl w:val="0"/>
          <w:numId w:val="35"/>
        </w:numPr>
        <w:tabs>
          <w:tab w:pos="474" w:val="left" w:leader="none"/>
        </w:tabs>
        <w:spacing w:line="218" w:lineRule="auto" w:before="93" w:after="0"/>
        <w:ind w:left="113" w:right="124" w:firstLine="170"/>
        <w:jc w:val="both"/>
        <w:rPr>
          <w:sz w:val="17"/>
        </w:rPr>
      </w:pPr>
      <w:r>
        <w:rPr>
          <w:color w:val="231F20"/>
          <w:sz w:val="17"/>
        </w:rPr>
        <w:t>als vertegenwoordigers van de vennootschap voor de werkzaam- heden van het bijkantoor, met vermelding van de bevoegdheden van deze</w:t>
      </w:r>
      <w:r>
        <w:rPr>
          <w:color w:val="231F20"/>
          <w:spacing w:val="15"/>
          <w:sz w:val="17"/>
        </w:rPr>
        <w:t> </w:t>
      </w:r>
      <w:r>
        <w:rPr>
          <w:color w:val="231F20"/>
          <w:sz w:val="17"/>
        </w:rPr>
        <w:t>vertegenwoordigers;</w:t>
      </w:r>
    </w:p>
    <w:p>
      <w:pPr>
        <w:pStyle w:val="BodyText"/>
        <w:spacing w:line="218" w:lineRule="auto" w:before="96"/>
      </w:pPr>
      <w:r>
        <w:rPr>
          <w:color w:val="231F20"/>
        </w:rPr>
        <w:t>7° de jaarrekening en de geconsolideerde jaarrekening van de vennootschap betreffende het laatst afgesloten boekjaar, in de vorm waarin deze rekeningen werden opgesteld, gecontroleerd en openbaar gemaakt volgens het recht van de lidstaat waaronder de vennootschap valt.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1456" from="298.170502pt,64.473pt" to="298.170502pt,812.819pt" stroked="true" strokeweight=".533pt" strokecolor="#231f20">
            <v:stroke dashstyle="solid"/>
            <w10:wrap type="none"/>
          </v:line>
        </w:pict>
      </w:r>
      <w:bookmarkStart w:name="_bookmark18" w:id="21"/>
      <w:bookmarkEnd w:id="21"/>
      <w:r>
        <w:rPr/>
      </w:r>
      <w:r>
        <w:rPr>
          <w:color w:val="231F20"/>
        </w:rPr>
        <w:t>Les actes visés à l’alinéa 1</w:t>
      </w:r>
      <w:r>
        <w:rPr>
          <w:color w:val="231F20"/>
          <w:position w:val="7"/>
          <w:sz w:val="11"/>
        </w:rPr>
        <w:t>er</w:t>
      </w:r>
      <w:r>
        <w:rPr>
          <w:color w:val="231F20"/>
        </w:rPr>
        <w:t>, 6°, comportent leurs nom, prénom, domicile ou, lorsqu’il s’agit de personnes morales, leurs dénomination, forme légale, numéro d’entreprise et siège.</w:t>
      </w:r>
    </w:p>
    <w:p>
      <w:pPr>
        <w:pStyle w:val="BodyText"/>
        <w:spacing w:line="218" w:lineRule="auto" w:before="117"/>
        <w:ind w:right="38"/>
      </w:pPr>
      <w:r>
        <w:rPr>
          <w:color w:val="231F20"/>
        </w:rPr>
        <w:t>§ 2. Afin d’être versés au dossier d’une société étrangère relevant du droit d’un État non membre de l’Union européenne et fondant une succursale en Belgique, les documents suivants sont déposés préalable- ment à l’ouverture de la succursale:</w:t>
      </w:r>
    </w:p>
    <w:p>
      <w:pPr>
        <w:pStyle w:val="BodyText"/>
        <w:spacing w:before="9"/>
        <w:ind w:left="0" w:right="0" w:firstLine="0"/>
        <w:jc w:val="left"/>
        <w:rPr>
          <w:sz w:val="25"/>
        </w:rPr>
      </w:pPr>
    </w:p>
    <w:p>
      <w:pPr>
        <w:pStyle w:val="BodyText"/>
        <w:spacing w:line="218" w:lineRule="auto"/>
        <w:ind w:right="38"/>
      </w:pPr>
      <w:r>
        <w:rPr>
          <w:color w:val="231F20"/>
        </w:rPr>
        <w:t>1° l’acte constitutif et les statuts si ces derniers font l’objet d’un acte séparé ou le texte intégral de ces documents dans une rédaction mise à jour si ceux-ci ont fait l’objet de modifications;</w:t>
      </w:r>
    </w:p>
    <w:p>
      <w:pPr>
        <w:pStyle w:val="BodyText"/>
        <w:spacing w:line="218" w:lineRule="auto" w:before="118"/>
        <w:ind w:right="38"/>
      </w:pPr>
      <w:r>
        <w:rPr>
          <w:color w:val="231F20"/>
        </w:rPr>
        <w:t>2° la dénomination, la forme légale, le siège et l’objet de la société ainsi que, au moins annuellement, le montant du capital souscrit si ces indications ne figurent pas dans les documents visés au 1°;</w:t>
      </w:r>
    </w:p>
    <w:p>
      <w:pPr>
        <w:pStyle w:val="BodyText"/>
        <w:spacing w:before="9"/>
        <w:ind w:left="0" w:right="0" w:firstLine="0"/>
        <w:jc w:val="left"/>
        <w:rPr>
          <w:sz w:val="25"/>
        </w:rPr>
      </w:pPr>
    </w:p>
    <w:p>
      <w:pPr>
        <w:pStyle w:val="BodyText"/>
        <w:spacing w:line="218" w:lineRule="auto"/>
        <w:ind w:right="38"/>
      </w:pPr>
      <w:r>
        <w:rPr>
          <w:color w:val="231F20"/>
        </w:rPr>
        <w:t>3° le droit de l’État dont la société relève ainsi que, si ce droit le prévoit, le registre dans lequel la société est inscrite et le numéro d’immatriculation de celle-ci dans ce registre;</w:t>
      </w:r>
    </w:p>
    <w:p>
      <w:pPr>
        <w:pStyle w:val="BodyText"/>
        <w:spacing w:before="9"/>
        <w:ind w:left="0" w:right="0" w:firstLine="0"/>
        <w:jc w:val="left"/>
        <w:rPr>
          <w:sz w:val="25"/>
        </w:rPr>
      </w:pPr>
    </w:p>
    <w:p>
      <w:pPr>
        <w:pStyle w:val="BodyText"/>
        <w:spacing w:line="218" w:lineRule="auto" w:before="1"/>
        <w:ind w:right="38"/>
      </w:pPr>
      <w:r>
        <w:rPr>
          <w:color w:val="231F20"/>
        </w:rPr>
        <w:t>4° un document émanant du registre visé au 3° attestant l’existence de la société;</w:t>
      </w:r>
    </w:p>
    <w:p>
      <w:pPr>
        <w:pStyle w:val="BodyText"/>
        <w:spacing w:line="218" w:lineRule="auto" w:before="117"/>
        <w:ind w:right="38"/>
      </w:pPr>
      <w:r>
        <w:rPr>
          <w:color w:val="231F20"/>
        </w:rPr>
        <w:t>5° l’adresse et l’indication des activités de la succursale, ainsi que sa dénomination si elle ne correspond pas à celle de la société;</w:t>
      </w:r>
    </w:p>
    <w:p>
      <w:pPr>
        <w:pStyle w:val="BodyText"/>
        <w:spacing w:line="218" w:lineRule="auto" w:before="117"/>
        <w:ind w:right="38"/>
      </w:pPr>
      <w:r>
        <w:rPr>
          <w:color w:val="231F20"/>
        </w:rPr>
        <w:t>6° la nomination et l’identité des personnes qui ont le pouvoir de représenter la société à l’égard des tiers:</w:t>
      </w:r>
    </w:p>
    <w:p>
      <w:pPr>
        <w:pStyle w:val="ListParagraph"/>
        <w:numPr>
          <w:ilvl w:val="0"/>
          <w:numId w:val="36"/>
        </w:numPr>
        <w:tabs>
          <w:tab w:pos="481" w:val="left" w:leader="none"/>
        </w:tabs>
        <w:spacing w:line="218" w:lineRule="auto" w:before="115" w:after="0"/>
        <w:ind w:left="113" w:right="38" w:firstLine="170"/>
        <w:jc w:val="both"/>
        <w:rPr>
          <w:sz w:val="17"/>
        </w:rPr>
      </w:pPr>
      <w:r>
        <w:rPr>
          <w:color w:val="231F20"/>
          <w:sz w:val="17"/>
        </w:rPr>
        <w:t>en tant qu’organe de la société légalement prévu ou en tant que membres d’un tel</w:t>
      </w:r>
      <w:r>
        <w:rPr>
          <w:color w:val="231F20"/>
          <w:spacing w:val="3"/>
          <w:sz w:val="17"/>
        </w:rPr>
        <w:t> </w:t>
      </w:r>
      <w:r>
        <w:rPr>
          <w:color w:val="231F20"/>
          <w:sz w:val="17"/>
        </w:rPr>
        <w:t>organe;</w:t>
      </w:r>
    </w:p>
    <w:p>
      <w:pPr>
        <w:pStyle w:val="ListParagraph"/>
        <w:numPr>
          <w:ilvl w:val="0"/>
          <w:numId w:val="36"/>
        </w:numPr>
        <w:tabs>
          <w:tab w:pos="520" w:val="left" w:leader="none"/>
        </w:tabs>
        <w:spacing w:line="218" w:lineRule="auto" w:before="115" w:after="0"/>
        <w:ind w:left="113" w:right="38" w:firstLine="170"/>
        <w:jc w:val="both"/>
        <w:rPr>
          <w:sz w:val="17"/>
        </w:rPr>
      </w:pPr>
      <w:r>
        <w:rPr>
          <w:color w:val="231F20"/>
          <w:sz w:val="17"/>
        </w:rPr>
        <w:t>en tant que représentants permanents de la société pour les activités de la</w:t>
      </w:r>
      <w:r>
        <w:rPr>
          <w:color w:val="231F20"/>
          <w:spacing w:val="3"/>
          <w:sz w:val="17"/>
        </w:rPr>
        <w:t> </w:t>
      </w:r>
      <w:r>
        <w:rPr>
          <w:color w:val="231F20"/>
          <w:sz w:val="17"/>
        </w:rPr>
        <w:t>succursale;</w:t>
      </w:r>
    </w:p>
    <w:p>
      <w:pPr>
        <w:pStyle w:val="BodyText"/>
        <w:spacing w:line="218" w:lineRule="auto" w:before="117"/>
        <w:ind w:right="38"/>
      </w:pPr>
      <w:r>
        <w:rPr>
          <w:color w:val="231F20"/>
        </w:rPr>
        <w:t>7° l’étendue des pouvoirs des personnes visées au point 6° et si elles peuvent les exercer séparément ou seulement conjointement;</w:t>
      </w:r>
    </w:p>
    <w:p>
      <w:pPr>
        <w:pStyle w:val="BodyText"/>
        <w:spacing w:before="9"/>
        <w:ind w:left="0" w:right="0" w:firstLine="0"/>
        <w:jc w:val="left"/>
        <w:rPr>
          <w:sz w:val="25"/>
        </w:rPr>
      </w:pPr>
    </w:p>
    <w:p>
      <w:pPr>
        <w:pStyle w:val="BodyText"/>
        <w:spacing w:line="218" w:lineRule="auto" w:before="1"/>
        <w:ind w:right="38"/>
      </w:pPr>
      <w:r>
        <w:rPr>
          <w:color w:val="231F20"/>
        </w:rPr>
        <w:t>8° les comptes annuels et les comptes consolidés de la société afférents au dernier exercice clôturé, dans la forme dans laquelle ces comptes ont été établis, contrôlés et publiés selon le droit de l’État dont la société relève.</w:t>
      </w:r>
    </w:p>
    <w:p>
      <w:pPr>
        <w:pStyle w:val="BodyText"/>
        <w:spacing w:before="5"/>
        <w:ind w:left="0" w:right="0" w:firstLine="0"/>
        <w:jc w:val="left"/>
        <w:rPr>
          <w:sz w:val="24"/>
        </w:rPr>
      </w:pPr>
    </w:p>
    <w:p>
      <w:pPr>
        <w:pStyle w:val="BodyText"/>
        <w:spacing w:line="218" w:lineRule="auto"/>
        <w:ind w:right="38"/>
      </w:pPr>
      <w:r>
        <w:rPr>
          <w:color w:val="231F20"/>
        </w:rPr>
        <w:t>Les actes visés à l’alinéa 1</w:t>
      </w:r>
      <w:r>
        <w:rPr>
          <w:color w:val="231F20"/>
          <w:position w:val="7"/>
          <w:sz w:val="11"/>
        </w:rPr>
        <w:t>er</w:t>
      </w:r>
      <w:r>
        <w:rPr>
          <w:color w:val="231F20"/>
        </w:rPr>
        <w:t>, 6°, comportent leurs nom, prénom, domicile ou, lorsqu’il s’agit de personnes morales, leurs dénomination, forme légale, numéro d’entreprise et siège.</w:t>
      </w:r>
    </w:p>
    <w:p>
      <w:pPr>
        <w:pStyle w:val="BodyText"/>
        <w:spacing w:line="218" w:lineRule="auto" w:before="118"/>
        <w:ind w:right="38"/>
      </w:pPr>
      <w:r>
        <w:rPr>
          <w:color w:val="231F20"/>
        </w:rPr>
        <w:t>§ 3. Afin d’être versés au dossier d’une société étrangère ayant une succursale en Belgique, les documents suivants sont déposés:</w:t>
      </w:r>
    </w:p>
    <w:p>
      <w:pPr>
        <w:pStyle w:val="BodyText"/>
        <w:spacing w:before="6"/>
        <w:ind w:left="0" w:right="0" w:firstLine="0"/>
        <w:jc w:val="left"/>
        <w:rPr>
          <w:sz w:val="24"/>
        </w:rPr>
      </w:pPr>
    </w:p>
    <w:p>
      <w:pPr>
        <w:pStyle w:val="BodyText"/>
        <w:ind w:left="283" w:right="0" w:firstLine="0"/>
        <w:jc w:val="left"/>
      </w:pPr>
      <w:r>
        <w:rPr>
          <w:color w:val="231F20"/>
        </w:rPr>
        <w:t>1° dans les trente jours qui suivent la décision ou l’événement:</w:t>
      </w:r>
    </w:p>
    <w:p>
      <w:pPr>
        <w:pStyle w:val="ListParagraph"/>
        <w:numPr>
          <w:ilvl w:val="0"/>
          <w:numId w:val="37"/>
        </w:numPr>
        <w:tabs>
          <w:tab w:pos="473" w:val="left" w:leader="none"/>
        </w:tabs>
        <w:spacing w:line="211" w:lineRule="auto" w:before="116" w:after="0"/>
        <w:ind w:left="113" w:right="38" w:firstLine="170"/>
        <w:jc w:val="both"/>
        <w:rPr>
          <w:sz w:val="17"/>
        </w:rPr>
      </w:pPr>
      <w:r>
        <w:rPr>
          <w:color w:val="231F20"/>
          <w:sz w:val="17"/>
        </w:rPr>
        <w:t>toute modification aux documents et indications visés respective- ment au paragraphe 1</w:t>
      </w:r>
      <w:r>
        <w:rPr>
          <w:color w:val="231F20"/>
          <w:position w:val="7"/>
          <w:sz w:val="11"/>
        </w:rPr>
        <w:t>er</w:t>
      </w:r>
      <w:r>
        <w:rPr>
          <w:color w:val="231F20"/>
          <w:sz w:val="17"/>
        </w:rPr>
        <w:t>, 1°, 2°, 3°, 5° et 6°, ou au paragraphe 2, 1°, 2°, 3°, 5°, 6° et</w:t>
      </w:r>
      <w:r>
        <w:rPr>
          <w:color w:val="231F20"/>
          <w:spacing w:val="16"/>
          <w:sz w:val="17"/>
        </w:rPr>
        <w:t> </w:t>
      </w:r>
      <w:r>
        <w:rPr>
          <w:color w:val="231F20"/>
          <w:sz w:val="17"/>
        </w:rPr>
        <w:t>7°;</w:t>
      </w:r>
    </w:p>
    <w:p>
      <w:pPr>
        <w:pStyle w:val="ListParagraph"/>
        <w:numPr>
          <w:ilvl w:val="0"/>
          <w:numId w:val="37"/>
        </w:numPr>
        <w:tabs>
          <w:tab w:pos="463" w:val="left" w:leader="none"/>
        </w:tabs>
        <w:spacing w:line="218" w:lineRule="auto" w:before="113" w:after="0"/>
        <w:ind w:left="113" w:right="38" w:firstLine="170"/>
        <w:jc w:val="both"/>
        <w:rPr>
          <w:sz w:val="17"/>
        </w:rPr>
      </w:pPr>
      <w:r>
        <w:rPr>
          <w:color w:val="231F20"/>
          <w:sz w:val="17"/>
        </w:rPr>
        <w:t>la dissolution de la société, la nomination, l’identité et les pouvoirs des</w:t>
      </w:r>
      <w:r>
        <w:rPr>
          <w:color w:val="231F20"/>
          <w:spacing w:val="15"/>
          <w:sz w:val="17"/>
        </w:rPr>
        <w:t> </w:t>
      </w:r>
      <w:r>
        <w:rPr>
          <w:color w:val="231F20"/>
          <w:sz w:val="17"/>
        </w:rPr>
        <w:t>liquidateurs,</w:t>
      </w:r>
      <w:r>
        <w:rPr>
          <w:color w:val="231F20"/>
          <w:spacing w:val="16"/>
          <w:sz w:val="17"/>
        </w:rPr>
        <w:t> </w:t>
      </w:r>
      <w:r>
        <w:rPr>
          <w:color w:val="231F20"/>
          <w:sz w:val="17"/>
        </w:rPr>
        <w:t>ainsi</w:t>
      </w:r>
      <w:r>
        <w:rPr>
          <w:color w:val="231F20"/>
          <w:spacing w:val="15"/>
          <w:sz w:val="17"/>
        </w:rPr>
        <w:t> </w:t>
      </w:r>
      <w:r>
        <w:rPr>
          <w:color w:val="231F20"/>
          <w:sz w:val="17"/>
        </w:rPr>
        <w:t>que</w:t>
      </w:r>
      <w:r>
        <w:rPr>
          <w:color w:val="231F20"/>
          <w:spacing w:val="16"/>
          <w:sz w:val="17"/>
        </w:rPr>
        <w:t> </w:t>
      </w:r>
      <w:r>
        <w:rPr>
          <w:color w:val="231F20"/>
          <w:sz w:val="17"/>
        </w:rPr>
        <w:t>la</w:t>
      </w:r>
      <w:r>
        <w:rPr>
          <w:color w:val="231F20"/>
          <w:spacing w:val="15"/>
          <w:sz w:val="17"/>
        </w:rPr>
        <w:t> </w:t>
      </w:r>
      <w:r>
        <w:rPr>
          <w:color w:val="231F20"/>
          <w:sz w:val="17"/>
        </w:rPr>
        <w:t>clôture</w:t>
      </w:r>
      <w:r>
        <w:rPr>
          <w:color w:val="231F20"/>
          <w:spacing w:val="16"/>
          <w:sz w:val="17"/>
        </w:rPr>
        <w:t> </w:t>
      </w:r>
      <w:r>
        <w:rPr>
          <w:color w:val="231F20"/>
          <w:sz w:val="17"/>
        </w:rPr>
        <w:t>de</w:t>
      </w:r>
      <w:r>
        <w:rPr>
          <w:color w:val="231F20"/>
          <w:spacing w:val="15"/>
          <w:sz w:val="17"/>
        </w:rPr>
        <w:t> </w:t>
      </w:r>
      <w:r>
        <w:rPr>
          <w:color w:val="231F20"/>
          <w:sz w:val="17"/>
        </w:rPr>
        <w:t>la</w:t>
      </w:r>
      <w:r>
        <w:rPr>
          <w:color w:val="231F20"/>
          <w:spacing w:val="16"/>
          <w:sz w:val="17"/>
        </w:rPr>
        <w:t> </w:t>
      </w:r>
      <w:r>
        <w:rPr>
          <w:color w:val="231F20"/>
          <w:sz w:val="17"/>
        </w:rPr>
        <w:t>liquidation;</w:t>
      </w:r>
    </w:p>
    <w:p>
      <w:pPr>
        <w:pStyle w:val="BodyText"/>
        <w:spacing w:before="6"/>
        <w:ind w:left="0" w:right="0" w:firstLine="0"/>
        <w:jc w:val="left"/>
        <w:rPr>
          <w:sz w:val="25"/>
        </w:rPr>
      </w:pPr>
    </w:p>
    <w:p>
      <w:pPr>
        <w:pStyle w:val="ListParagraph"/>
        <w:numPr>
          <w:ilvl w:val="0"/>
          <w:numId w:val="37"/>
        </w:numPr>
        <w:tabs>
          <w:tab w:pos="482" w:val="left" w:leader="none"/>
        </w:tabs>
        <w:spacing w:line="218" w:lineRule="auto" w:before="1" w:after="0"/>
        <w:ind w:left="113" w:right="38" w:firstLine="170"/>
        <w:jc w:val="both"/>
        <w:rPr>
          <w:sz w:val="17"/>
        </w:rPr>
      </w:pPr>
      <w:r>
        <w:rPr>
          <w:color w:val="231F20"/>
          <w:sz w:val="17"/>
        </w:rPr>
        <w:t>toute procédure de faillite, de réorganisation judiciaire ou toute autre</w:t>
      </w:r>
      <w:r>
        <w:rPr>
          <w:color w:val="231F20"/>
          <w:spacing w:val="14"/>
          <w:sz w:val="17"/>
        </w:rPr>
        <w:t> </w:t>
      </w:r>
      <w:r>
        <w:rPr>
          <w:color w:val="231F20"/>
          <w:sz w:val="17"/>
        </w:rPr>
        <w:t>procédure</w:t>
      </w:r>
      <w:r>
        <w:rPr>
          <w:color w:val="231F20"/>
          <w:spacing w:val="15"/>
          <w:sz w:val="17"/>
        </w:rPr>
        <w:t> </w:t>
      </w:r>
      <w:r>
        <w:rPr>
          <w:color w:val="231F20"/>
          <w:sz w:val="17"/>
        </w:rPr>
        <w:t>analogue</w:t>
      </w:r>
      <w:r>
        <w:rPr>
          <w:color w:val="231F20"/>
          <w:spacing w:val="15"/>
          <w:sz w:val="17"/>
        </w:rPr>
        <w:t> </w:t>
      </w:r>
      <w:r>
        <w:rPr>
          <w:color w:val="231F20"/>
          <w:sz w:val="17"/>
        </w:rPr>
        <w:t>dont</w:t>
      </w:r>
      <w:r>
        <w:rPr>
          <w:color w:val="231F20"/>
          <w:spacing w:val="14"/>
          <w:sz w:val="17"/>
        </w:rPr>
        <w:t> </w:t>
      </w:r>
      <w:r>
        <w:rPr>
          <w:color w:val="231F20"/>
          <w:sz w:val="17"/>
        </w:rPr>
        <w:t>la</w:t>
      </w:r>
      <w:r>
        <w:rPr>
          <w:color w:val="231F20"/>
          <w:spacing w:val="15"/>
          <w:sz w:val="17"/>
        </w:rPr>
        <w:t> </w:t>
      </w:r>
      <w:r>
        <w:rPr>
          <w:color w:val="231F20"/>
          <w:sz w:val="17"/>
        </w:rPr>
        <w:t>société</w:t>
      </w:r>
      <w:r>
        <w:rPr>
          <w:color w:val="231F20"/>
          <w:spacing w:val="15"/>
          <w:sz w:val="17"/>
        </w:rPr>
        <w:t> </w:t>
      </w:r>
      <w:r>
        <w:rPr>
          <w:color w:val="231F20"/>
          <w:sz w:val="17"/>
        </w:rPr>
        <w:t>fait</w:t>
      </w:r>
      <w:r>
        <w:rPr>
          <w:color w:val="231F20"/>
          <w:spacing w:val="15"/>
          <w:sz w:val="17"/>
        </w:rPr>
        <w:t> </w:t>
      </w:r>
      <w:r>
        <w:rPr>
          <w:color w:val="231F20"/>
          <w:sz w:val="17"/>
        </w:rPr>
        <w:t>l’objet;</w:t>
      </w:r>
    </w:p>
    <w:p>
      <w:pPr>
        <w:pStyle w:val="ListParagraph"/>
        <w:numPr>
          <w:ilvl w:val="0"/>
          <w:numId w:val="37"/>
        </w:numPr>
        <w:tabs>
          <w:tab w:pos="483" w:val="left" w:leader="none"/>
        </w:tabs>
        <w:spacing w:line="240" w:lineRule="auto" w:before="100" w:after="0"/>
        <w:ind w:left="482" w:right="0" w:hanging="199"/>
        <w:jc w:val="left"/>
        <w:rPr>
          <w:sz w:val="17"/>
        </w:rPr>
      </w:pPr>
      <w:r>
        <w:rPr>
          <w:color w:val="231F20"/>
          <w:sz w:val="17"/>
        </w:rPr>
        <w:t>la fermeture de la</w:t>
      </w:r>
      <w:r>
        <w:rPr>
          <w:color w:val="231F20"/>
          <w:spacing w:val="18"/>
          <w:sz w:val="17"/>
        </w:rPr>
        <w:t> </w:t>
      </w:r>
      <w:r>
        <w:rPr>
          <w:color w:val="231F20"/>
          <w:sz w:val="17"/>
        </w:rPr>
        <w:t>succursale;</w:t>
      </w:r>
    </w:p>
    <w:p>
      <w:pPr>
        <w:pStyle w:val="BodyText"/>
        <w:spacing w:line="213" w:lineRule="auto" w:before="117"/>
        <w:ind w:right="38"/>
      </w:pPr>
      <w:r>
        <w:rPr>
          <w:color w:val="231F20"/>
        </w:rPr>
        <w:t>2° annuellement, dans le mois qui suit l’assemblée générale et au</w:t>
      </w:r>
      <w:r>
        <w:rPr>
          <w:color w:val="231F20"/>
          <w:spacing w:val="-20"/>
        </w:rPr>
        <w:t> </w:t>
      </w:r>
      <w:r>
        <w:rPr>
          <w:color w:val="231F20"/>
        </w:rPr>
        <w:t>plus tard sept mois après la date de clôture de l’exercice, les comptes</w:t>
      </w:r>
      <w:r>
        <w:rPr>
          <w:color w:val="231F20"/>
          <w:spacing w:val="-28"/>
        </w:rPr>
        <w:t> </w:t>
      </w:r>
      <w:r>
        <w:rPr>
          <w:color w:val="231F20"/>
        </w:rPr>
        <w:t>annuels et les comptes consolidés, selon les dispositions du paragraphe 1</w:t>
      </w:r>
      <w:r>
        <w:rPr>
          <w:color w:val="231F20"/>
          <w:position w:val="7"/>
          <w:sz w:val="11"/>
        </w:rPr>
        <w:t>er</w:t>
      </w:r>
      <w:r>
        <w:rPr>
          <w:color w:val="231F20"/>
        </w:rPr>
        <w:t>, 7°, et du paragraphe 2,</w:t>
      </w:r>
      <w:r>
        <w:rPr>
          <w:color w:val="231F20"/>
          <w:spacing w:val="18"/>
        </w:rPr>
        <w:t> </w:t>
      </w:r>
      <w:r>
        <w:rPr>
          <w:color w:val="231F20"/>
        </w:rPr>
        <w:t>8°.</w:t>
      </w:r>
    </w:p>
    <w:p>
      <w:pPr>
        <w:pStyle w:val="BodyText"/>
        <w:spacing w:line="218" w:lineRule="auto" w:before="101"/>
        <w:ind w:right="38"/>
      </w:pPr>
      <w:r>
        <w:rPr>
          <w:color w:val="231F20"/>
        </w:rPr>
        <w:t>Les actes visés à l’alinéa 1</w:t>
      </w:r>
      <w:r>
        <w:rPr>
          <w:color w:val="231F20"/>
          <w:position w:val="7"/>
          <w:sz w:val="11"/>
        </w:rPr>
        <w:t>er</w:t>
      </w:r>
      <w:r>
        <w:rPr>
          <w:color w:val="231F20"/>
        </w:rPr>
        <w:t>, 1°, </w:t>
      </w:r>
      <w:r>
        <w:rPr>
          <w:rFonts w:ascii="Times New Roman" w:hAnsi="Times New Roman"/>
          <w:i/>
          <w:color w:val="231F20"/>
        </w:rPr>
        <w:t>a) </w:t>
      </w:r>
      <w:r>
        <w:rPr>
          <w:color w:val="231F20"/>
        </w:rPr>
        <w:t>et </w:t>
      </w:r>
      <w:r>
        <w:rPr>
          <w:rFonts w:ascii="Times New Roman" w:hAnsi="Times New Roman"/>
          <w:i/>
          <w:color w:val="231F20"/>
        </w:rPr>
        <w:t>b) </w:t>
      </w:r>
      <w:r>
        <w:rPr>
          <w:color w:val="231F20"/>
        </w:rPr>
        <w:t>comportent leurs nom, prénom, domicile ou, lorsqu’il s’agit de personnes morales, leurs dénomination, forme légale, numéro d’entreprise et siège.</w:t>
      </w:r>
    </w:p>
    <w:p>
      <w:pPr>
        <w:pStyle w:val="BodyText"/>
        <w:spacing w:line="218" w:lineRule="auto" w:before="102"/>
        <w:ind w:right="38"/>
      </w:pPr>
      <w:r>
        <w:rPr>
          <w:color w:val="231F20"/>
        </w:rPr>
        <w:t>Par dérogation à l’article 2:23, les documents visés à l’alinéa 1</w:t>
      </w:r>
      <w:r>
        <w:rPr>
          <w:color w:val="231F20"/>
          <w:position w:val="7"/>
          <w:sz w:val="11"/>
        </w:rPr>
        <w:t>er</w:t>
      </w:r>
      <w:r>
        <w:rPr>
          <w:color w:val="231F20"/>
        </w:rPr>
        <w:t>, 2°, sont déposés à la Banque nationale de Belgique.</w:t>
      </w:r>
    </w:p>
    <w:p>
      <w:pPr>
        <w:pStyle w:val="BodyText"/>
        <w:spacing w:line="218" w:lineRule="auto" w:before="102"/>
        <w:ind w:right="38"/>
      </w:pPr>
      <w:r>
        <w:rPr>
          <w:color w:val="231F20"/>
        </w:rPr>
        <w:t>Art. 2:25. § 1</w:t>
      </w:r>
      <w:r>
        <w:rPr>
          <w:color w:val="231F20"/>
          <w:position w:val="7"/>
          <w:sz w:val="11"/>
        </w:rPr>
        <w:t>er</w:t>
      </w:r>
      <w:r>
        <w:rPr>
          <w:color w:val="231F20"/>
        </w:rPr>
        <w:t>. Afin d’être versés au dossier d’une association dotée de la personnalité juridique valablement constituée à l’étranger confor- mément à la loi de l’État dont elle relève et qui ouvre une succursale en Belgique, les documents suivants sont déposés préalablement à l’ouver- ture de la</w:t>
      </w:r>
      <w:r>
        <w:rPr>
          <w:color w:val="231F20"/>
          <w:spacing w:val="3"/>
        </w:rPr>
        <w:t> </w:t>
      </w:r>
      <w:r>
        <w:rPr>
          <w:color w:val="231F20"/>
        </w:rPr>
        <w:t>succursale:</w:t>
      </w:r>
    </w:p>
    <w:p>
      <w:pPr>
        <w:pStyle w:val="BodyText"/>
        <w:spacing w:line="218" w:lineRule="auto" w:before="118"/>
        <w:ind w:right="38"/>
      </w:pPr>
      <w:r>
        <w:rPr>
          <w:color w:val="231F20"/>
        </w:rPr>
        <w:t>1° l’acte constitutif et les statuts si ces derniers font l’objet d’un acte séparé ou le texte intégral de ces documents dans une rédaction mise à jour si ceux-ci ont fait l’objet de modifications;</w:t>
      </w:r>
    </w:p>
    <w:p>
      <w:pPr>
        <w:pStyle w:val="BodyText"/>
        <w:spacing w:line="218" w:lineRule="auto" w:before="119"/>
      </w:pPr>
      <w:r>
        <w:rPr/>
        <w:br w:type="column"/>
      </w:r>
      <w:r>
        <w:rPr>
          <w:color w:val="231F20"/>
        </w:rPr>
        <w:t>De in het eerste lid, 6°, bedoelde akten bevatten hun naam, voornaam, woonplaats of, ingeval het een rechtspersoon betreft, hun naam, rechtsvorm, ondernemingsnummer en zetel.</w:t>
      </w:r>
    </w:p>
    <w:p>
      <w:pPr>
        <w:pStyle w:val="BodyText"/>
        <w:spacing w:line="218" w:lineRule="auto" w:before="118"/>
      </w:pPr>
      <w:r>
        <w:rPr>
          <w:color w:val="231F20"/>
        </w:rPr>
        <w:t>§ 2. Met het oog op hun opname in het dossier van een buitenlandse vennootschap die valt onder het recht van een andere Staat dan een lidstaat van de Europese Unie en een bijkantoor opricht in België, worden vóór de opening van het bijkantoor de volgende stukken neergelegd:</w:t>
      </w:r>
    </w:p>
    <w:p>
      <w:pPr>
        <w:pStyle w:val="BodyText"/>
        <w:spacing w:line="218" w:lineRule="auto" w:before="118"/>
      </w:pPr>
      <w:r>
        <w:rPr>
          <w:color w:val="231F20"/>
        </w:rPr>
        <w:t>1° de oprichtingsakte en de statuten indien deze laatste in een afzonderlijke akte zijn opgenomen, ofwel een bijgewerkte volledige tekst</w:t>
      </w:r>
      <w:r>
        <w:rPr>
          <w:color w:val="231F20"/>
          <w:spacing w:val="18"/>
        </w:rPr>
        <w:t> </w:t>
      </w:r>
      <w:r>
        <w:rPr>
          <w:color w:val="231F20"/>
        </w:rPr>
        <w:t>van</w:t>
      </w:r>
      <w:r>
        <w:rPr>
          <w:color w:val="231F20"/>
          <w:spacing w:val="18"/>
        </w:rPr>
        <w:t> </w:t>
      </w:r>
      <w:r>
        <w:rPr>
          <w:color w:val="231F20"/>
        </w:rPr>
        <w:t>deze</w:t>
      </w:r>
      <w:r>
        <w:rPr>
          <w:color w:val="231F20"/>
          <w:spacing w:val="19"/>
        </w:rPr>
        <w:t> </w:t>
      </w:r>
      <w:r>
        <w:rPr>
          <w:color w:val="231F20"/>
        </w:rPr>
        <w:t>stukken</w:t>
      </w:r>
      <w:r>
        <w:rPr>
          <w:color w:val="231F20"/>
          <w:spacing w:val="18"/>
        </w:rPr>
        <w:t> </w:t>
      </w:r>
      <w:r>
        <w:rPr>
          <w:color w:val="231F20"/>
        </w:rPr>
        <w:t>indien</w:t>
      </w:r>
      <w:r>
        <w:rPr>
          <w:color w:val="231F20"/>
          <w:spacing w:val="18"/>
        </w:rPr>
        <w:t> </w:t>
      </w:r>
      <w:r>
        <w:rPr>
          <w:color w:val="231F20"/>
        </w:rPr>
        <w:t>hierin</w:t>
      </w:r>
      <w:r>
        <w:rPr>
          <w:color w:val="231F20"/>
          <w:spacing w:val="19"/>
        </w:rPr>
        <w:t> </w:t>
      </w:r>
      <w:r>
        <w:rPr>
          <w:color w:val="231F20"/>
        </w:rPr>
        <w:t>wijzigingen</w:t>
      </w:r>
      <w:r>
        <w:rPr>
          <w:color w:val="231F20"/>
          <w:spacing w:val="18"/>
        </w:rPr>
        <w:t> </w:t>
      </w:r>
      <w:r>
        <w:rPr>
          <w:color w:val="231F20"/>
        </w:rPr>
        <w:t>werden</w:t>
      </w:r>
      <w:r>
        <w:rPr>
          <w:color w:val="231F20"/>
          <w:spacing w:val="18"/>
        </w:rPr>
        <w:t> </w:t>
      </w:r>
      <w:r>
        <w:rPr>
          <w:color w:val="231F20"/>
        </w:rPr>
        <w:t>aangebracht;</w:t>
      </w:r>
    </w:p>
    <w:p>
      <w:pPr>
        <w:pStyle w:val="BodyText"/>
        <w:spacing w:line="218" w:lineRule="auto" w:before="117"/>
      </w:pPr>
      <w:r>
        <w:rPr>
          <w:color w:val="231F20"/>
        </w:rPr>
        <w:t>2° de naam, de rechtsvorm, de zetel en het voorwerp van de vennootschap, evenals, ten minste eenmaal per jaar, het bedrag van het geplaatste kapitaal, voor zover deze gegevens niet in de in het 1°, genoemde stukken voorkomen;</w:t>
      </w:r>
    </w:p>
    <w:p>
      <w:pPr>
        <w:pStyle w:val="BodyText"/>
        <w:spacing w:line="218" w:lineRule="auto" w:before="118"/>
      </w:pPr>
      <w:r>
        <w:rPr>
          <w:color w:val="231F20"/>
        </w:rPr>
        <w:t>3° het recht van de Staat waaronder de vennootschap valt, evenals indien dat recht hierin voorziet, het register waarin de vennootschap is ingeschreven en het nummer waaronder de vennootschap daarin is ingeschreven;</w:t>
      </w:r>
    </w:p>
    <w:p>
      <w:pPr>
        <w:pStyle w:val="BodyText"/>
        <w:spacing w:line="218" w:lineRule="auto" w:before="117"/>
      </w:pPr>
      <w:r>
        <w:rPr>
          <w:color w:val="231F20"/>
        </w:rPr>
        <w:t>4° een stuk uitgaande van het in het 3°, bedoelde register dat het bestaan van de vennootschap vaststelt;</w:t>
      </w:r>
    </w:p>
    <w:p>
      <w:pPr>
        <w:pStyle w:val="BodyText"/>
        <w:spacing w:line="218" w:lineRule="auto" w:before="118"/>
      </w:pPr>
      <w:r>
        <w:rPr>
          <w:color w:val="231F20"/>
        </w:rPr>
        <w:t>5° het adres en de werkzaamheden van het bijkantoor, evenals zijn naam als deze niet met deze van de vennootschap overeenstemt;</w:t>
      </w:r>
    </w:p>
    <w:p>
      <w:pPr>
        <w:pStyle w:val="BodyText"/>
        <w:spacing w:line="218" w:lineRule="auto" w:before="117"/>
      </w:pPr>
      <w:r>
        <w:rPr>
          <w:color w:val="231F20"/>
        </w:rPr>
        <w:t>6° de benoeming en de identiteit van de personen die bevoegd zijn de vennootschap jegens derden te vertegenwoordigen:</w:t>
      </w:r>
    </w:p>
    <w:p>
      <w:pPr>
        <w:pStyle w:val="ListParagraph"/>
        <w:numPr>
          <w:ilvl w:val="0"/>
          <w:numId w:val="38"/>
        </w:numPr>
        <w:tabs>
          <w:tab w:pos="490" w:val="left" w:leader="none"/>
        </w:tabs>
        <w:spacing w:line="218" w:lineRule="auto" w:before="115" w:after="0"/>
        <w:ind w:left="113" w:right="124" w:firstLine="170"/>
        <w:jc w:val="both"/>
        <w:rPr>
          <w:sz w:val="17"/>
        </w:rPr>
      </w:pPr>
      <w:r>
        <w:rPr>
          <w:color w:val="231F20"/>
          <w:sz w:val="17"/>
        </w:rPr>
        <w:t>als orgaan van de vennootschap waarin de wet voorziet, of</w:t>
      </w:r>
      <w:r>
        <w:rPr>
          <w:color w:val="231F20"/>
          <w:spacing w:val="29"/>
          <w:sz w:val="17"/>
        </w:rPr>
        <w:t> </w:t>
      </w:r>
      <w:r>
        <w:rPr>
          <w:color w:val="231F20"/>
          <w:sz w:val="17"/>
        </w:rPr>
        <w:t>als leden van een dergelijk</w:t>
      </w:r>
      <w:r>
        <w:rPr>
          <w:color w:val="231F20"/>
          <w:spacing w:val="19"/>
          <w:sz w:val="17"/>
        </w:rPr>
        <w:t> </w:t>
      </w:r>
      <w:r>
        <w:rPr>
          <w:color w:val="231F20"/>
          <w:sz w:val="17"/>
        </w:rPr>
        <w:t>orgaan;</w:t>
      </w:r>
    </w:p>
    <w:p>
      <w:pPr>
        <w:pStyle w:val="ListParagraph"/>
        <w:numPr>
          <w:ilvl w:val="0"/>
          <w:numId w:val="38"/>
        </w:numPr>
        <w:tabs>
          <w:tab w:pos="531" w:val="left" w:leader="none"/>
        </w:tabs>
        <w:spacing w:line="218" w:lineRule="auto" w:before="115" w:after="0"/>
        <w:ind w:left="113" w:right="124" w:firstLine="170"/>
        <w:jc w:val="both"/>
        <w:rPr>
          <w:sz w:val="17"/>
        </w:rPr>
      </w:pPr>
      <w:r>
        <w:rPr>
          <w:color w:val="231F20"/>
          <w:sz w:val="17"/>
        </w:rPr>
        <w:t>als vaste vertegenwoordigers van de vennootschap voor de werkzaamheden van het</w:t>
      </w:r>
      <w:r>
        <w:rPr>
          <w:color w:val="231F20"/>
          <w:spacing w:val="5"/>
          <w:sz w:val="17"/>
        </w:rPr>
        <w:t> </w:t>
      </w:r>
      <w:r>
        <w:rPr>
          <w:color w:val="231F20"/>
          <w:sz w:val="17"/>
        </w:rPr>
        <w:t>bijkantoor;</w:t>
      </w:r>
    </w:p>
    <w:p>
      <w:pPr>
        <w:pStyle w:val="BodyText"/>
        <w:spacing w:line="218" w:lineRule="auto" w:before="117"/>
      </w:pPr>
      <w:r>
        <w:rPr>
          <w:color w:val="231F20"/>
        </w:rPr>
        <w:t>7° de omvang van de bevoegdheden van de personen bedoeld in het 6°, alsook of deze personen die bevoegdheid alleen of slechts gezamen- lijk kunnen uitoefenen;</w:t>
      </w:r>
    </w:p>
    <w:p>
      <w:pPr>
        <w:pStyle w:val="BodyText"/>
        <w:spacing w:line="218" w:lineRule="auto" w:before="118"/>
      </w:pPr>
      <w:r>
        <w:rPr>
          <w:color w:val="231F20"/>
        </w:rPr>
        <w:t>8° de jaarrekening en de geconsolideerde jaarrekening van de vennootschap betreffende het laatst afgesloten boekjaar, in de vorm waarin deze rekeningen werden opgesteld, gecontroleerd en openbaar gemaakt volgens het recht van de Staat waaronder de vennootschap valt.</w:t>
      </w:r>
    </w:p>
    <w:p>
      <w:pPr>
        <w:pStyle w:val="BodyText"/>
        <w:spacing w:line="218" w:lineRule="auto" w:before="118"/>
      </w:pPr>
      <w:r>
        <w:rPr>
          <w:color w:val="231F20"/>
        </w:rPr>
        <w:t>De in het eerste lid, 6°, bedoelde akten bevatten hun naam, voornaam, woonplaats of, ingeval het een rechtspersoon betreft, hun naam, rechtsvorm, ondernemingsnummer en zetel.</w:t>
      </w:r>
    </w:p>
    <w:p>
      <w:pPr>
        <w:pStyle w:val="BodyText"/>
        <w:spacing w:line="218" w:lineRule="auto" w:before="117"/>
      </w:pPr>
      <w:r>
        <w:rPr>
          <w:color w:val="231F20"/>
        </w:rPr>
        <w:t>§ 3. Met het oog op hun opname in het dossier van een buitenlandse vennootschap die een bijkantoor heeft in België, worden de volgende stukken neergelegd:</w:t>
      </w:r>
    </w:p>
    <w:p>
      <w:pPr>
        <w:pStyle w:val="BodyText"/>
        <w:spacing w:before="103"/>
        <w:ind w:left="283" w:right="0" w:firstLine="0"/>
        <w:jc w:val="left"/>
      </w:pPr>
      <w:r>
        <w:rPr>
          <w:color w:val="231F20"/>
        </w:rPr>
        <w:t>1° binnen dertig dagen na de beslissing of de gebeurtenis:</w:t>
      </w:r>
    </w:p>
    <w:p>
      <w:pPr>
        <w:pStyle w:val="ListParagraph"/>
        <w:numPr>
          <w:ilvl w:val="0"/>
          <w:numId w:val="39"/>
        </w:numPr>
        <w:tabs>
          <w:tab w:pos="463" w:val="left" w:leader="none"/>
        </w:tabs>
        <w:spacing w:line="218" w:lineRule="auto" w:before="112" w:after="0"/>
        <w:ind w:left="113" w:right="123" w:firstLine="170"/>
        <w:jc w:val="both"/>
        <w:rPr>
          <w:sz w:val="17"/>
        </w:rPr>
      </w:pPr>
      <w:r>
        <w:rPr>
          <w:color w:val="231F20"/>
          <w:sz w:val="17"/>
        </w:rPr>
        <w:t>elke wijziging van de stukken en gegevens respectievelijk bedoeld in paragraaf 1, 1°, 2°, 3°, 5° en 6°, of in paragraaf 2, 1°, 2°, 3°, 5°, 6° en 7°;</w:t>
      </w:r>
    </w:p>
    <w:p>
      <w:pPr>
        <w:pStyle w:val="ListParagraph"/>
        <w:numPr>
          <w:ilvl w:val="0"/>
          <w:numId w:val="39"/>
        </w:numPr>
        <w:tabs>
          <w:tab w:pos="480" w:val="left" w:leader="none"/>
        </w:tabs>
        <w:spacing w:line="218" w:lineRule="auto" w:before="115" w:after="0"/>
        <w:ind w:left="113" w:right="124" w:firstLine="170"/>
        <w:jc w:val="both"/>
        <w:rPr>
          <w:sz w:val="17"/>
        </w:rPr>
      </w:pPr>
      <w:r>
        <w:rPr>
          <w:color w:val="231F20"/>
          <w:sz w:val="17"/>
        </w:rPr>
        <w:t>de ontbinding van de vennootschap, de benoeming, de identiteit en de bevoegdheden van de vereffenaars, evenals de sluiting van de vereffening;</w:t>
      </w:r>
    </w:p>
    <w:p>
      <w:pPr>
        <w:pStyle w:val="ListParagraph"/>
        <w:numPr>
          <w:ilvl w:val="0"/>
          <w:numId w:val="39"/>
        </w:numPr>
        <w:tabs>
          <w:tab w:pos="475" w:val="left" w:leader="none"/>
        </w:tabs>
        <w:spacing w:line="218" w:lineRule="auto" w:before="115" w:after="0"/>
        <w:ind w:left="113" w:right="123" w:firstLine="170"/>
        <w:jc w:val="both"/>
        <w:rPr>
          <w:sz w:val="17"/>
        </w:rPr>
      </w:pPr>
      <w:r>
        <w:rPr>
          <w:color w:val="231F20"/>
          <w:sz w:val="17"/>
        </w:rPr>
        <w:t>elk faillissement, gerechtelijke reorganisatie of elke andere soort- gelijke</w:t>
      </w:r>
      <w:r>
        <w:rPr>
          <w:color w:val="231F20"/>
          <w:spacing w:val="15"/>
          <w:sz w:val="17"/>
        </w:rPr>
        <w:t> </w:t>
      </w:r>
      <w:r>
        <w:rPr>
          <w:color w:val="231F20"/>
          <w:sz w:val="17"/>
        </w:rPr>
        <w:t>procedure</w:t>
      </w:r>
      <w:r>
        <w:rPr>
          <w:color w:val="231F20"/>
          <w:spacing w:val="15"/>
          <w:sz w:val="17"/>
        </w:rPr>
        <w:t> </w:t>
      </w:r>
      <w:r>
        <w:rPr>
          <w:color w:val="231F20"/>
          <w:sz w:val="17"/>
        </w:rPr>
        <w:t>met</w:t>
      </w:r>
      <w:r>
        <w:rPr>
          <w:color w:val="231F20"/>
          <w:spacing w:val="15"/>
          <w:sz w:val="17"/>
        </w:rPr>
        <w:t> </w:t>
      </w:r>
      <w:r>
        <w:rPr>
          <w:color w:val="231F20"/>
          <w:sz w:val="17"/>
        </w:rPr>
        <w:t>betrekking</w:t>
      </w:r>
      <w:r>
        <w:rPr>
          <w:color w:val="231F20"/>
          <w:spacing w:val="16"/>
          <w:sz w:val="17"/>
        </w:rPr>
        <w:t> </w:t>
      </w:r>
      <w:r>
        <w:rPr>
          <w:color w:val="231F20"/>
          <w:sz w:val="17"/>
        </w:rPr>
        <w:t>tot</w:t>
      </w:r>
      <w:r>
        <w:rPr>
          <w:color w:val="231F20"/>
          <w:spacing w:val="15"/>
          <w:sz w:val="17"/>
        </w:rPr>
        <w:t> </w:t>
      </w:r>
      <w:r>
        <w:rPr>
          <w:color w:val="231F20"/>
          <w:sz w:val="17"/>
        </w:rPr>
        <w:t>de</w:t>
      </w:r>
      <w:r>
        <w:rPr>
          <w:color w:val="231F20"/>
          <w:spacing w:val="15"/>
          <w:sz w:val="17"/>
        </w:rPr>
        <w:t> </w:t>
      </w:r>
      <w:r>
        <w:rPr>
          <w:color w:val="231F20"/>
          <w:sz w:val="17"/>
        </w:rPr>
        <w:t>vennootschap;</w:t>
      </w:r>
    </w:p>
    <w:p>
      <w:pPr>
        <w:pStyle w:val="ListParagraph"/>
        <w:numPr>
          <w:ilvl w:val="0"/>
          <w:numId w:val="39"/>
        </w:numPr>
        <w:tabs>
          <w:tab w:pos="483" w:val="left" w:leader="none"/>
        </w:tabs>
        <w:spacing w:line="240" w:lineRule="auto" w:before="100" w:after="0"/>
        <w:ind w:left="482" w:right="0" w:hanging="199"/>
        <w:jc w:val="left"/>
        <w:rPr>
          <w:sz w:val="17"/>
        </w:rPr>
      </w:pPr>
      <w:r>
        <w:rPr>
          <w:color w:val="231F20"/>
          <w:sz w:val="17"/>
        </w:rPr>
        <w:t>de sluiting van het</w:t>
      </w:r>
      <w:r>
        <w:rPr>
          <w:color w:val="231F20"/>
          <w:spacing w:val="19"/>
          <w:sz w:val="17"/>
        </w:rPr>
        <w:t> </w:t>
      </w:r>
      <w:r>
        <w:rPr>
          <w:color w:val="231F20"/>
          <w:sz w:val="17"/>
        </w:rPr>
        <w:t>bijkantoor;</w:t>
      </w:r>
    </w:p>
    <w:p>
      <w:pPr>
        <w:pStyle w:val="BodyText"/>
        <w:spacing w:line="218" w:lineRule="auto" w:before="114"/>
      </w:pPr>
      <w:r>
        <w:rPr>
          <w:color w:val="231F20"/>
        </w:rPr>
        <w:t>2° jaarlijks, binnen een maand volgend op de algemene vergadering en ten laatste zeven maanden na de datum van afsluiting van het boekjaar, de jaarrekening en de geconsolideerde jaarrekening volgens de bepalingen van paragraaf 1, 7°, en paragraaf 2, 8°.</w:t>
      </w:r>
    </w:p>
    <w:p>
      <w:pPr>
        <w:pStyle w:val="BodyText"/>
        <w:spacing w:line="218" w:lineRule="auto" w:before="115"/>
        <w:ind w:right="123"/>
      </w:pPr>
      <w:r>
        <w:rPr>
          <w:color w:val="231F20"/>
        </w:rPr>
        <w:t>De in het eerste lid, 1°, </w:t>
      </w:r>
      <w:r>
        <w:rPr>
          <w:rFonts w:ascii="Times New Roman" w:hAnsi="Times New Roman"/>
          <w:i/>
          <w:color w:val="231F20"/>
        </w:rPr>
        <w:t>a) </w:t>
      </w:r>
      <w:r>
        <w:rPr>
          <w:color w:val="231F20"/>
        </w:rPr>
        <w:t>en </w:t>
      </w:r>
      <w:r>
        <w:rPr>
          <w:rFonts w:ascii="Times New Roman" w:hAnsi="Times New Roman"/>
          <w:i/>
          <w:color w:val="231F20"/>
        </w:rPr>
        <w:t>b)</w:t>
      </w:r>
      <w:r>
        <w:rPr>
          <w:color w:val="231F20"/>
        </w:rPr>
        <w:t>, bedoelde akten bevatten hun naam, voornaam, woonplaats of, ingeval het een rechtspersoon betreft, hun naam, rechtsvorm, ondernemingsnummer en zetel.</w:t>
      </w:r>
    </w:p>
    <w:p>
      <w:pPr>
        <w:pStyle w:val="BodyText"/>
        <w:spacing w:line="218" w:lineRule="auto" w:before="118"/>
      </w:pPr>
      <w:r>
        <w:rPr>
          <w:color w:val="231F20"/>
        </w:rPr>
        <w:t>In afwijking van artikel 2:23 worden de in het eerste lid, 2°, bedoelde stukken neergelegd bij de Nationale Bank van België.</w:t>
      </w:r>
    </w:p>
    <w:p>
      <w:pPr>
        <w:pStyle w:val="BodyText"/>
        <w:spacing w:line="218" w:lineRule="auto" w:before="117"/>
      </w:pPr>
      <w:r>
        <w:rPr>
          <w:color w:val="231F20"/>
        </w:rPr>
        <w:t>Art. 2:25. § 1. Met het oog op hun opname in het dossier van een vereniging met rechtspersoonlijkheid die op geldige wijze in het buitenland is opgericht overeenkomstig de wet van de Staat waartoe zij behoort en die een bijkantoor opent in België, worden vóór de opening van het bijkantoor de volgende stukken neergelegd:</w:t>
      </w:r>
    </w:p>
    <w:p>
      <w:pPr>
        <w:pStyle w:val="BodyText"/>
        <w:spacing w:line="218" w:lineRule="auto" w:before="118"/>
      </w:pPr>
      <w:r>
        <w:rPr>
          <w:color w:val="231F20"/>
        </w:rPr>
        <w:t>1° de oprichtingsakte en de statuten indien deze laatste in een afzonderlijke akte zijn opgenomen, ofwel een bijgewerkte volledige tekst</w:t>
      </w:r>
      <w:r>
        <w:rPr>
          <w:color w:val="231F20"/>
          <w:spacing w:val="18"/>
        </w:rPr>
        <w:t> </w:t>
      </w:r>
      <w:r>
        <w:rPr>
          <w:color w:val="231F20"/>
        </w:rPr>
        <w:t>van</w:t>
      </w:r>
      <w:r>
        <w:rPr>
          <w:color w:val="231F20"/>
          <w:spacing w:val="18"/>
        </w:rPr>
        <w:t> </w:t>
      </w:r>
      <w:r>
        <w:rPr>
          <w:color w:val="231F20"/>
        </w:rPr>
        <w:t>deze</w:t>
      </w:r>
      <w:r>
        <w:rPr>
          <w:color w:val="231F20"/>
          <w:spacing w:val="19"/>
        </w:rPr>
        <w:t> </w:t>
      </w:r>
      <w:r>
        <w:rPr>
          <w:color w:val="231F20"/>
        </w:rPr>
        <w:t>stukken</w:t>
      </w:r>
      <w:r>
        <w:rPr>
          <w:color w:val="231F20"/>
          <w:spacing w:val="18"/>
        </w:rPr>
        <w:t> </w:t>
      </w:r>
      <w:r>
        <w:rPr>
          <w:color w:val="231F20"/>
        </w:rPr>
        <w:t>indien</w:t>
      </w:r>
      <w:r>
        <w:rPr>
          <w:color w:val="231F20"/>
          <w:spacing w:val="18"/>
        </w:rPr>
        <w:t> </w:t>
      </w:r>
      <w:r>
        <w:rPr>
          <w:color w:val="231F20"/>
        </w:rPr>
        <w:t>hierin</w:t>
      </w:r>
      <w:r>
        <w:rPr>
          <w:color w:val="231F20"/>
          <w:spacing w:val="19"/>
        </w:rPr>
        <w:t> </w:t>
      </w:r>
      <w:r>
        <w:rPr>
          <w:color w:val="231F20"/>
        </w:rPr>
        <w:t>wijzigingen</w:t>
      </w:r>
      <w:r>
        <w:rPr>
          <w:color w:val="231F20"/>
          <w:spacing w:val="18"/>
        </w:rPr>
        <w:t> </w:t>
      </w:r>
      <w:r>
        <w:rPr>
          <w:color w:val="231F20"/>
        </w:rPr>
        <w:t>werden</w:t>
      </w:r>
      <w:r>
        <w:rPr>
          <w:color w:val="231F20"/>
          <w:spacing w:val="18"/>
        </w:rPr>
        <w:t> </w:t>
      </w:r>
      <w:r>
        <w:rPr>
          <w:color w:val="231F20"/>
        </w:rPr>
        <w:t>aangebracht;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1480" from="298.170502pt,64.473pt" to="298.170502pt,812.819pt" stroked="true" strokeweight=".533pt" strokecolor="#231f20">
            <v:stroke dashstyle="solid"/>
            <w10:wrap type="none"/>
          </v:line>
        </w:pict>
      </w:r>
      <w:bookmarkStart w:name="_bookmark19" w:id="22"/>
      <w:bookmarkEnd w:id="22"/>
      <w:r>
        <w:rPr/>
      </w:r>
      <w:r>
        <w:rPr>
          <w:color w:val="231F20"/>
        </w:rPr>
        <w:t>2° l’adresse du siège de l’association dotée de la personnalité juridique, l’indication des buts et des activités, l’adresse de la succur- sale ainsi que sa dénomination si elle ne correspond pas à celle de l’association;</w:t>
      </w:r>
    </w:p>
    <w:p>
      <w:pPr>
        <w:pStyle w:val="BodyText"/>
        <w:spacing w:line="218" w:lineRule="auto" w:before="117"/>
        <w:ind w:right="38"/>
      </w:pPr>
      <w:r>
        <w:rPr>
          <w:color w:val="231F20"/>
        </w:rPr>
        <w:t>3° la nomination et l’identité des personnes qui ont le pouvoir de représenter l’association dotée de la personnalité juridique à l’égard des tiers:</w:t>
      </w:r>
    </w:p>
    <w:p>
      <w:pPr>
        <w:pStyle w:val="ListParagraph"/>
        <w:numPr>
          <w:ilvl w:val="0"/>
          <w:numId w:val="40"/>
        </w:numPr>
        <w:tabs>
          <w:tab w:pos="532" w:val="left" w:leader="none"/>
        </w:tabs>
        <w:spacing w:line="218" w:lineRule="auto" w:before="115" w:after="0"/>
        <w:ind w:left="113" w:right="38" w:firstLine="170"/>
        <w:jc w:val="both"/>
        <w:rPr>
          <w:sz w:val="17"/>
        </w:rPr>
      </w:pPr>
      <w:r>
        <w:rPr>
          <w:color w:val="231F20"/>
          <w:sz w:val="17"/>
        </w:rPr>
        <w:t>en tant qu’organe de l’association dotée de la personnalité juridique</w:t>
      </w:r>
      <w:r>
        <w:rPr>
          <w:color w:val="231F20"/>
          <w:spacing w:val="17"/>
          <w:sz w:val="17"/>
        </w:rPr>
        <w:t> </w:t>
      </w:r>
      <w:r>
        <w:rPr>
          <w:color w:val="231F20"/>
          <w:sz w:val="17"/>
        </w:rPr>
        <w:t>légalement</w:t>
      </w:r>
      <w:r>
        <w:rPr>
          <w:color w:val="231F20"/>
          <w:spacing w:val="17"/>
          <w:sz w:val="17"/>
        </w:rPr>
        <w:t> </w:t>
      </w:r>
      <w:r>
        <w:rPr>
          <w:color w:val="231F20"/>
          <w:sz w:val="17"/>
        </w:rPr>
        <w:t>prévu</w:t>
      </w:r>
      <w:r>
        <w:rPr>
          <w:color w:val="231F20"/>
          <w:spacing w:val="18"/>
          <w:sz w:val="17"/>
        </w:rPr>
        <w:t> </w:t>
      </w:r>
      <w:r>
        <w:rPr>
          <w:color w:val="231F20"/>
          <w:sz w:val="17"/>
        </w:rPr>
        <w:t>ou</w:t>
      </w:r>
      <w:r>
        <w:rPr>
          <w:color w:val="231F20"/>
          <w:spacing w:val="17"/>
          <w:sz w:val="17"/>
        </w:rPr>
        <w:t> </w:t>
      </w:r>
      <w:r>
        <w:rPr>
          <w:color w:val="231F20"/>
          <w:sz w:val="17"/>
        </w:rPr>
        <w:t>en</w:t>
      </w:r>
      <w:r>
        <w:rPr>
          <w:color w:val="231F20"/>
          <w:spacing w:val="17"/>
          <w:sz w:val="17"/>
        </w:rPr>
        <w:t> </w:t>
      </w:r>
      <w:r>
        <w:rPr>
          <w:color w:val="231F20"/>
          <w:sz w:val="17"/>
        </w:rPr>
        <w:t>tant</w:t>
      </w:r>
      <w:r>
        <w:rPr>
          <w:color w:val="231F20"/>
          <w:spacing w:val="18"/>
          <w:sz w:val="17"/>
        </w:rPr>
        <w:t> </w:t>
      </w:r>
      <w:r>
        <w:rPr>
          <w:color w:val="231F20"/>
          <w:sz w:val="17"/>
        </w:rPr>
        <w:t>que</w:t>
      </w:r>
      <w:r>
        <w:rPr>
          <w:color w:val="231F20"/>
          <w:spacing w:val="17"/>
          <w:sz w:val="17"/>
        </w:rPr>
        <w:t> </w:t>
      </w:r>
      <w:r>
        <w:rPr>
          <w:color w:val="231F20"/>
          <w:sz w:val="17"/>
        </w:rPr>
        <w:t>membres</w:t>
      </w:r>
      <w:r>
        <w:rPr>
          <w:color w:val="231F20"/>
          <w:spacing w:val="17"/>
          <w:sz w:val="17"/>
        </w:rPr>
        <w:t> </w:t>
      </w:r>
      <w:r>
        <w:rPr>
          <w:color w:val="231F20"/>
          <w:sz w:val="17"/>
        </w:rPr>
        <w:t>d’un</w:t>
      </w:r>
      <w:r>
        <w:rPr>
          <w:color w:val="231F20"/>
          <w:spacing w:val="18"/>
          <w:sz w:val="17"/>
        </w:rPr>
        <w:t> </w:t>
      </w:r>
      <w:r>
        <w:rPr>
          <w:color w:val="231F20"/>
          <w:sz w:val="17"/>
        </w:rPr>
        <w:t>tel</w:t>
      </w:r>
      <w:r>
        <w:rPr>
          <w:color w:val="231F20"/>
          <w:spacing w:val="17"/>
          <w:sz w:val="17"/>
        </w:rPr>
        <w:t> </w:t>
      </w:r>
      <w:r>
        <w:rPr>
          <w:color w:val="231F20"/>
          <w:sz w:val="17"/>
        </w:rPr>
        <w:t>organe;</w:t>
      </w:r>
    </w:p>
    <w:p>
      <w:pPr>
        <w:pStyle w:val="ListParagraph"/>
        <w:numPr>
          <w:ilvl w:val="0"/>
          <w:numId w:val="40"/>
        </w:numPr>
        <w:tabs>
          <w:tab w:pos="474" w:val="left" w:leader="none"/>
        </w:tabs>
        <w:spacing w:line="218" w:lineRule="auto" w:before="126" w:after="0"/>
        <w:ind w:left="113" w:right="38" w:firstLine="170"/>
        <w:jc w:val="both"/>
        <w:rPr>
          <w:sz w:val="17"/>
        </w:rPr>
      </w:pPr>
      <w:r>
        <w:rPr>
          <w:color w:val="231F20"/>
          <w:sz w:val="17"/>
        </w:rPr>
        <w:t>en tant que représentants permanents de l’association dotée de la personnalité</w:t>
      </w:r>
      <w:r>
        <w:rPr>
          <w:color w:val="231F20"/>
          <w:spacing w:val="15"/>
          <w:sz w:val="17"/>
        </w:rPr>
        <w:t> </w:t>
      </w:r>
      <w:r>
        <w:rPr>
          <w:color w:val="231F20"/>
          <w:sz w:val="17"/>
        </w:rPr>
        <w:t>juridique</w:t>
      </w:r>
      <w:r>
        <w:rPr>
          <w:color w:val="231F20"/>
          <w:spacing w:val="15"/>
          <w:sz w:val="17"/>
        </w:rPr>
        <w:t> </w:t>
      </w:r>
      <w:r>
        <w:rPr>
          <w:color w:val="231F20"/>
          <w:sz w:val="17"/>
        </w:rPr>
        <w:t>pour</w:t>
      </w:r>
      <w:r>
        <w:rPr>
          <w:color w:val="231F20"/>
          <w:spacing w:val="16"/>
          <w:sz w:val="17"/>
        </w:rPr>
        <w:t> </w:t>
      </w:r>
      <w:r>
        <w:rPr>
          <w:color w:val="231F20"/>
          <w:sz w:val="17"/>
        </w:rPr>
        <w:t>les</w:t>
      </w:r>
      <w:r>
        <w:rPr>
          <w:color w:val="231F20"/>
          <w:spacing w:val="15"/>
          <w:sz w:val="17"/>
        </w:rPr>
        <w:t> </w:t>
      </w:r>
      <w:r>
        <w:rPr>
          <w:color w:val="231F20"/>
          <w:sz w:val="17"/>
        </w:rPr>
        <w:t>activités</w:t>
      </w:r>
      <w:r>
        <w:rPr>
          <w:color w:val="231F20"/>
          <w:spacing w:val="15"/>
          <w:sz w:val="17"/>
        </w:rPr>
        <w:t> </w:t>
      </w:r>
      <w:r>
        <w:rPr>
          <w:color w:val="231F20"/>
          <w:sz w:val="17"/>
        </w:rPr>
        <w:t>de</w:t>
      </w:r>
      <w:r>
        <w:rPr>
          <w:color w:val="231F20"/>
          <w:spacing w:val="16"/>
          <w:sz w:val="17"/>
        </w:rPr>
        <w:t> </w:t>
      </w:r>
      <w:r>
        <w:rPr>
          <w:color w:val="231F20"/>
          <w:sz w:val="17"/>
        </w:rPr>
        <w:t>la</w:t>
      </w:r>
      <w:r>
        <w:rPr>
          <w:color w:val="231F20"/>
          <w:spacing w:val="15"/>
          <w:sz w:val="17"/>
        </w:rPr>
        <w:t> </w:t>
      </w:r>
      <w:r>
        <w:rPr>
          <w:color w:val="231F20"/>
          <w:sz w:val="17"/>
        </w:rPr>
        <w:t>succursale;</w:t>
      </w:r>
    </w:p>
    <w:p>
      <w:pPr>
        <w:pStyle w:val="BodyText"/>
        <w:spacing w:line="218" w:lineRule="auto" w:before="128"/>
        <w:ind w:right="38"/>
      </w:pPr>
      <w:r>
        <w:rPr>
          <w:color w:val="231F20"/>
        </w:rPr>
        <w:t>4° l’étendue des pouvoirs des personnes visées au point 3° et si elles peuvent les exercer séparément ou seulement conjointement;</w:t>
      </w:r>
    </w:p>
    <w:p>
      <w:pPr>
        <w:pStyle w:val="BodyText"/>
        <w:spacing w:before="5"/>
        <w:ind w:left="0" w:right="0" w:firstLine="0"/>
        <w:jc w:val="left"/>
        <w:rPr>
          <w:sz w:val="25"/>
        </w:rPr>
      </w:pPr>
    </w:p>
    <w:p>
      <w:pPr>
        <w:pStyle w:val="BodyText"/>
        <w:ind w:left="283" w:right="0" w:firstLine="0"/>
        <w:jc w:val="left"/>
      </w:pPr>
      <w:r>
        <w:rPr>
          <w:color w:val="231F20"/>
        </w:rPr>
        <w:t>5° les comptes annuels de l’association.</w:t>
      </w:r>
    </w:p>
    <w:p>
      <w:pPr>
        <w:pStyle w:val="BodyText"/>
        <w:spacing w:line="218" w:lineRule="auto" w:before="110"/>
        <w:ind w:right="38"/>
      </w:pPr>
      <w:r>
        <w:rPr>
          <w:color w:val="231F20"/>
        </w:rPr>
        <w:t>Les actes visés à l’alinéa 1</w:t>
      </w:r>
      <w:r>
        <w:rPr>
          <w:color w:val="231F20"/>
          <w:position w:val="7"/>
          <w:sz w:val="11"/>
        </w:rPr>
        <w:t>er</w:t>
      </w:r>
      <w:r>
        <w:rPr>
          <w:color w:val="231F20"/>
        </w:rPr>
        <w:t>, 3°, comportent leurs nom, prénom, domicile ou, lorsqu’il s’agit de personnes morales, leurs dénomination, forme légale, numéro d’entreprise et siège.</w:t>
      </w:r>
    </w:p>
    <w:p>
      <w:pPr>
        <w:pStyle w:val="BodyText"/>
        <w:spacing w:line="218" w:lineRule="auto" w:before="128"/>
        <w:ind w:right="38"/>
      </w:pPr>
      <w:r>
        <w:rPr>
          <w:color w:val="231F20"/>
        </w:rPr>
        <w:t>§ 2. Afin d’être versés au dossier d’une association dotée de la personnalité juridique valablement constituée à l’étranger conformé- ment à la loi de l’État dont elle relève et qui a une succursale en Belgique, les documents suivants sont déposés:</w:t>
      </w:r>
    </w:p>
    <w:p>
      <w:pPr>
        <w:pStyle w:val="BodyText"/>
        <w:spacing w:before="6"/>
        <w:ind w:left="0" w:right="0" w:firstLine="0"/>
        <w:jc w:val="left"/>
        <w:rPr>
          <w:sz w:val="25"/>
        </w:rPr>
      </w:pPr>
    </w:p>
    <w:p>
      <w:pPr>
        <w:pStyle w:val="BodyText"/>
        <w:ind w:left="283" w:right="0" w:firstLine="0"/>
        <w:jc w:val="left"/>
      </w:pPr>
      <w:r>
        <w:rPr>
          <w:color w:val="231F20"/>
        </w:rPr>
        <w:t>1° dans les trente jours qui suivent la décision ou l’événement:</w:t>
      </w:r>
    </w:p>
    <w:p>
      <w:pPr>
        <w:pStyle w:val="ListParagraph"/>
        <w:numPr>
          <w:ilvl w:val="0"/>
          <w:numId w:val="41"/>
        </w:numPr>
        <w:tabs>
          <w:tab w:pos="465" w:val="left" w:leader="none"/>
        </w:tabs>
        <w:spacing w:line="201" w:lineRule="auto" w:before="133" w:after="0"/>
        <w:ind w:left="113" w:right="38" w:firstLine="170"/>
        <w:jc w:val="both"/>
        <w:rPr>
          <w:sz w:val="17"/>
        </w:rPr>
      </w:pPr>
      <w:r>
        <w:rPr>
          <w:color w:val="231F20"/>
          <w:sz w:val="17"/>
        </w:rPr>
        <w:t>toute modification aux documents et indications visés au paragra- phe</w:t>
      </w:r>
      <w:r>
        <w:rPr>
          <w:color w:val="231F20"/>
          <w:spacing w:val="14"/>
          <w:sz w:val="17"/>
        </w:rPr>
        <w:t> </w:t>
      </w:r>
      <w:r>
        <w:rPr>
          <w:color w:val="231F20"/>
          <w:sz w:val="17"/>
        </w:rPr>
        <w:t>1</w:t>
      </w:r>
      <w:r>
        <w:rPr>
          <w:color w:val="231F20"/>
          <w:position w:val="7"/>
          <w:sz w:val="11"/>
        </w:rPr>
        <w:t>er</w:t>
      </w:r>
      <w:r>
        <w:rPr>
          <w:color w:val="231F20"/>
          <w:sz w:val="17"/>
        </w:rPr>
        <w:t>,</w:t>
      </w:r>
      <w:r>
        <w:rPr>
          <w:color w:val="231F20"/>
          <w:spacing w:val="15"/>
          <w:sz w:val="17"/>
        </w:rPr>
        <w:t> </w:t>
      </w:r>
      <w:r>
        <w:rPr>
          <w:color w:val="231F20"/>
          <w:sz w:val="17"/>
        </w:rPr>
        <w:t>1°,</w:t>
      </w:r>
      <w:r>
        <w:rPr>
          <w:color w:val="231F20"/>
          <w:spacing w:val="15"/>
          <w:sz w:val="17"/>
        </w:rPr>
        <w:t> </w:t>
      </w:r>
      <w:r>
        <w:rPr>
          <w:color w:val="231F20"/>
          <w:sz w:val="17"/>
        </w:rPr>
        <w:t>2°,</w:t>
      </w:r>
      <w:r>
        <w:rPr>
          <w:color w:val="231F20"/>
          <w:spacing w:val="14"/>
          <w:sz w:val="17"/>
        </w:rPr>
        <w:t> </w:t>
      </w:r>
      <w:r>
        <w:rPr>
          <w:color w:val="231F20"/>
          <w:sz w:val="17"/>
        </w:rPr>
        <w:t>3°</w:t>
      </w:r>
      <w:r>
        <w:rPr>
          <w:color w:val="231F20"/>
          <w:spacing w:val="15"/>
          <w:sz w:val="17"/>
        </w:rPr>
        <w:t> </w:t>
      </w:r>
      <w:r>
        <w:rPr>
          <w:color w:val="231F20"/>
          <w:sz w:val="17"/>
        </w:rPr>
        <w:t>et</w:t>
      </w:r>
      <w:r>
        <w:rPr>
          <w:color w:val="231F20"/>
          <w:spacing w:val="15"/>
          <w:sz w:val="17"/>
        </w:rPr>
        <w:t> </w:t>
      </w:r>
      <w:r>
        <w:rPr>
          <w:color w:val="231F20"/>
          <w:sz w:val="17"/>
        </w:rPr>
        <w:t>4°;</w:t>
      </w:r>
    </w:p>
    <w:p>
      <w:pPr>
        <w:pStyle w:val="ListParagraph"/>
        <w:numPr>
          <w:ilvl w:val="0"/>
          <w:numId w:val="41"/>
        </w:numPr>
        <w:tabs>
          <w:tab w:pos="516" w:val="left" w:leader="none"/>
        </w:tabs>
        <w:spacing w:line="218" w:lineRule="auto" w:before="127" w:after="0"/>
        <w:ind w:left="113" w:right="38" w:firstLine="170"/>
        <w:jc w:val="both"/>
        <w:rPr>
          <w:sz w:val="17"/>
        </w:rPr>
      </w:pPr>
      <w:r>
        <w:rPr>
          <w:color w:val="231F20"/>
          <w:sz w:val="17"/>
        </w:rPr>
        <w:t>la dissolution de l’association, la nomination, l’identité et les pouvoirs</w:t>
      </w:r>
      <w:r>
        <w:rPr>
          <w:color w:val="231F20"/>
          <w:spacing w:val="17"/>
          <w:sz w:val="17"/>
        </w:rPr>
        <w:t> </w:t>
      </w:r>
      <w:r>
        <w:rPr>
          <w:color w:val="231F20"/>
          <w:sz w:val="17"/>
        </w:rPr>
        <w:t>des</w:t>
      </w:r>
      <w:r>
        <w:rPr>
          <w:color w:val="231F20"/>
          <w:spacing w:val="17"/>
          <w:sz w:val="17"/>
        </w:rPr>
        <w:t> </w:t>
      </w:r>
      <w:r>
        <w:rPr>
          <w:color w:val="231F20"/>
          <w:sz w:val="17"/>
        </w:rPr>
        <w:t>liquidateurs,</w:t>
      </w:r>
      <w:r>
        <w:rPr>
          <w:color w:val="231F20"/>
          <w:spacing w:val="17"/>
          <w:sz w:val="17"/>
        </w:rPr>
        <w:t> </w:t>
      </w:r>
      <w:r>
        <w:rPr>
          <w:color w:val="231F20"/>
          <w:sz w:val="17"/>
        </w:rPr>
        <w:t>ainsi</w:t>
      </w:r>
      <w:r>
        <w:rPr>
          <w:color w:val="231F20"/>
          <w:spacing w:val="17"/>
          <w:sz w:val="17"/>
        </w:rPr>
        <w:t> </w:t>
      </w:r>
      <w:r>
        <w:rPr>
          <w:color w:val="231F20"/>
          <w:sz w:val="17"/>
        </w:rPr>
        <w:t>que</w:t>
      </w:r>
      <w:r>
        <w:rPr>
          <w:color w:val="231F20"/>
          <w:spacing w:val="17"/>
          <w:sz w:val="17"/>
        </w:rPr>
        <w:t> </w:t>
      </w:r>
      <w:r>
        <w:rPr>
          <w:color w:val="231F20"/>
          <w:sz w:val="17"/>
        </w:rPr>
        <w:t>la</w:t>
      </w:r>
      <w:r>
        <w:rPr>
          <w:color w:val="231F20"/>
          <w:spacing w:val="17"/>
          <w:sz w:val="17"/>
        </w:rPr>
        <w:t> </w:t>
      </w:r>
      <w:r>
        <w:rPr>
          <w:color w:val="231F20"/>
          <w:sz w:val="17"/>
        </w:rPr>
        <w:t>clôture</w:t>
      </w:r>
      <w:r>
        <w:rPr>
          <w:color w:val="231F20"/>
          <w:spacing w:val="17"/>
          <w:sz w:val="17"/>
        </w:rPr>
        <w:t> </w:t>
      </w:r>
      <w:r>
        <w:rPr>
          <w:color w:val="231F20"/>
          <w:sz w:val="17"/>
        </w:rPr>
        <w:t>de</w:t>
      </w:r>
      <w:r>
        <w:rPr>
          <w:color w:val="231F20"/>
          <w:spacing w:val="17"/>
          <w:sz w:val="17"/>
        </w:rPr>
        <w:t> </w:t>
      </w:r>
      <w:r>
        <w:rPr>
          <w:color w:val="231F20"/>
          <w:sz w:val="17"/>
        </w:rPr>
        <w:t>la</w:t>
      </w:r>
      <w:r>
        <w:rPr>
          <w:color w:val="231F20"/>
          <w:spacing w:val="17"/>
          <w:sz w:val="17"/>
        </w:rPr>
        <w:t> </w:t>
      </w:r>
      <w:r>
        <w:rPr>
          <w:color w:val="231F20"/>
          <w:sz w:val="17"/>
        </w:rPr>
        <w:t>liquidation;</w:t>
      </w:r>
    </w:p>
    <w:p>
      <w:pPr>
        <w:pStyle w:val="BodyText"/>
        <w:spacing w:before="6"/>
        <w:ind w:left="0" w:right="0" w:firstLine="0"/>
        <w:jc w:val="left"/>
        <w:rPr>
          <w:sz w:val="26"/>
        </w:rPr>
      </w:pPr>
    </w:p>
    <w:p>
      <w:pPr>
        <w:pStyle w:val="ListParagraph"/>
        <w:numPr>
          <w:ilvl w:val="0"/>
          <w:numId w:val="41"/>
        </w:numPr>
        <w:tabs>
          <w:tab w:pos="482" w:val="left" w:leader="none"/>
        </w:tabs>
        <w:spacing w:line="218" w:lineRule="auto" w:before="0" w:after="0"/>
        <w:ind w:left="113" w:right="38" w:firstLine="170"/>
        <w:jc w:val="both"/>
        <w:rPr>
          <w:sz w:val="17"/>
        </w:rPr>
      </w:pPr>
      <w:r>
        <w:rPr>
          <w:color w:val="231F20"/>
          <w:sz w:val="17"/>
        </w:rPr>
        <w:t>toute procédure de faillite, de réorganisation judiciaire ou toute autre procédure analogue dont l’association dotée de la personnalité juridique fait</w:t>
      </w:r>
      <w:r>
        <w:rPr>
          <w:color w:val="231F20"/>
          <w:spacing w:val="-12"/>
          <w:sz w:val="17"/>
        </w:rPr>
        <w:t> </w:t>
      </w:r>
      <w:r>
        <w:rPr>
          <w:color w:val="231F20"/>
          <w:sz w:val="17"/>
        </w:rPr>
        <w:t>l’objet;</w:t>
      </w:r>
    </w:p>
    <w:p>
      <w:pPr>
        <w:pStyle w:val="ListParagraph"/>
        <w:numPr>
          <w:ilvl w:val="0"/>
          <w:numId w:val="41"/>
        </w:numPr>
        <w:tabs>
          <w:tab w:pos="483" w:val="left" w:leader="none"/>
        </w:tabs>
        <w:spacing w:line="240" w:lineRule="auto" w:before="111" w:after="0"/>
        <w:ind w:left="482" w:right="0" w:hanging="199"/>
        <w:jc w:val="left"/>
        <w:rPr>
          <w:sz w:val="17"/>
        </w:rPr>
      </w:pPr>
      <w:r>
        <w:rPr>
          <w:color w:val="231F20"/>
          <w:sz w:val="17"/>
        </w:rPr>
        <w:t>la fermeture de la</w:t>
      </w:r>
      <w:r>
        <w:rPr>
          <w:color w:val="231F20"/>
          <w:spacing w:val="18"/>
          <w:sz w:val="17"/>
        </w:rPr>
        <w:t> </w:t>
      </w:r>
      <w:r>
        <w:rPr>
          <w:color w:val="231F20"/>
          <w:sz w:val="17"/>
        </w:rPr>
        <w:t>succursale;</w:t>
      </w:r>
    </w:p>
    <w:p>
      <w:pPr>
        <w:pStyle w:val="BodyText"/>
        <w:spacing w:line="218" w:lineRule="auto" w:before="125"/>
        <w:ind w:right="38"/>
      </w:pPr>
      <w:r>
        <w:rPr>
          <w:color w:val="231F20"/>
        </w:rPr>
        <w:t>2° annuellement, dans le mois qui suit l’assemblée générale et au</w:t>
      </w:r>
      <w:r>
        <w:rPr>
          <w:color w:val="231F20"/>
          <w:spacing w:val="-20"/>
        </w:rPr>
        <w:t> </w:t>
      </w:r>
      <w:r>
        <w:rPr>
          <w:color w:val="231F20"/>
        </w:rPr>
        <w:t>plus tard sept mois après la date de clôture de l’exercice, les comptes</w:t>
      </w:r>
      <w:r>
        <w:rPr>
          <w:color w:val="231F20"/>
          <w:spacing w:val="-28"/>
        </w:rPr>
        <w:t> </w:t>
      </w:r>
      <w:r>
        <w:rPr>
          <w:color w:val="231F20"/>
        </w:rPr>
        <w:t>annuels de</w:t>
      </w:r>
      <w:r>
        <w:rPr>
          <w:color w:val="231F20"/>
          <w:spacing w:val="15"/>
        </w:rPr>
        <w:t> </w:t>
      </w:r>
      <w:r>
        <w:rPr>
          <w:color w:val="231F20"/>
        </w:rPr>
        <w:t>l’association.</w:t>
      </w:r>
    </w:p>
    <w:p>
      <w:pPr>
        <w:pStyle w:val="BodyText"/>
        <w:spacing w:line="218" w:lineRule="auto" w:before="113"/>
        <w:ind w:right="38"/>
      </w:pPr>
      <w:r>
        <w:rPr>
          <w:color w:val="231F20"/>
        </w:rPr>
        <w:t>Les actes visés à l’alinéa 1</w:t>
      </w:r>
      <w:r>
        <w:rPr>
          <w:color w:val="231F20"/>
          <w:position w:val="7"/>
          <w:sz w:val="11"/>
        </w:rPr>
        <w:t>er</w:t>
      </w:r>
      <w:r>
        <w:rPr>
          <w:color w:val="231F20"/>
        </w:rPr>
        <w:t>, 1°, </w:t>
      </w:r>
      <w:r>
        <w:rPr>
          <w:rFonts w:ascii="Times New Roman" w:hAnsi="Times New Roman"/>
          <w:i/>
          <w:color w:val="231F20"/>
        </w:rPr>
        <w:t>a) </w:t>
      </w:r>
      <w:r>
        <w:rPr>
          <w:color w:val="231F20"/>
        </w:rPr>
        <w:t>et </w:t>
      </w:r>
      <w:r>
        <w:rPr>
          <w:rFonts w:ascii="Times New Roman" w:hAnsi="Times New Roman"/>
          <w:i/>
          <w:color w:val="231F20"/>
        </w:rPr>
        <w:t>b)</w:t>
      </w:r>
      <w:r>
        <w:rPr>
          <w:color w:val="231F20"/>
        </w:rPr>
        <w:t>, comportent leurs nom, prénom, domicile ou, lorsqu’il s’agit de personnes morales, leurs dénomination, forme légale, numéro d’entreprise et siège.</w:t>
      </w:r>
    </w:p>
    <w:p>
      <w:pPr>
        <w:pStyle w:val="BodyText"/>
        <w:spacing w:line="213" w:lineRule="auto" w:before="131"/>
        <w:ind w:right="38"/>
      </w:pPr>
      <w:r>
        <w:rPr>
          <w:color w:val="231F20"/>
        </w:rPr>
        <w:t>Par dérogation à l’article 2:23, une association dotée de la personna- lité juridique étrangère ayant une succursale en Belgique qui à la date du bilan du dernier exercice clôturé dépasse plus d’un des critères visés à l’article 3:47, § 2, dépose les comptes annuels visés à l’alinéa 1</w:t>
      </w:r>
      <w:r>
        <w:rPr>
          <w:color w:val="231F20"/>
          <w:position w:val="7"/>
          <w:sz w:val="11"/>
        </w:rPr>
        <w:t>er</w:t>
      </w:r>
      <w:r>
        <w:rPr>
          <w:color w:val="231F20"/>
        </w:rPr>
        <w:t>, 2°, à la Banque nationale de Belgique.</w:t>
      </w:r>
    </w:p>
    <w:p>
      <w:pPr>
        <w:pStyle w:val="BodyText"/>
        <w:spacing w:line="218" w:lineRule="auto" w:before="115"/>
        <w:ind w:right="38"/>
      </w:pPr>
      <w:r>
        <w:rPr>
          <w:color w:val="231F20"/>
        </w:rPr>
        <w:t>Art. 2:26. § 1</w:t>
      </w:r>
      <w:r>
        <w:rPr>
          <w:color w:val="231F20"/>
          <w:position w:val="7"/>
          <w:sz w:val="11"/>
        </w:rPr>
        <w:t>er</w:t>
      </w:r>
      <w:r>
        <w:rPr>
          <w:color w:val="231F20"/>
        </w:rPr>
        <w:t>. Afin d’être versés au dossier d’une fondation valablement constituée à l’étranger conformément à la loi de l’État dont elle relève et qui ouvre une succursale en Belgique, les documents suivants sont déposés préalablement à l’ouverture de la succursale:</w:t>
      </w:r>
    </w:p>
    <w:p>
      <w:pPr>
        <w:pStyle w:val="BodyText"/>
        <w:spacing w:before="8"/>
        <w:ind w:left="0" w:right="0" w:firstLine="0"/>
        <w:jc w:val="left"/>
        <w:rPr>
          <w:sz w:val="26"/>
        </w:rPr>
      </w:pPr>
    </w:p>
    <w:p>
      <w:pPr>
        <w:pStyle w:val="BodyText"/>
        <w:spacing w:line="218" w:lineRule="auto" w:before="1"/>
        <w:ind w:right="38"/>
      </w:pPr>
      <w:r>
        <w:rPr>
          <w:color w:val="231F20"/>
        </w:rPr>
        <w:t>1° l’acte constitutif et les statuts si ces derniers font l’objet d’un acte séparé ou le texte intégral de ces documents dans une rédaction mise à jour si ceux-ci ont fait l’objet de modifications;</w:t>
      </w:r>
    </w:p>
    <w:p>
      <w:pPr>
        <w:pStyle w:val="BodyText"/>
        <w:spacing w:line="218" w:lineRule="auto" w:before="128"/>
        <w:ind w:right="38"/>
      </w:pPr>
      <w:r>
        <w:rPr>
          <w:color w:val="231F20"/>
        </w:rPr>
        <w:t>2° l’adresse du siège de la fondation, l’indication des buts et des activités, l’adresse de la succursale ainsi que sa dénomination si elle ne correspond pas à celle de la fondation;</w:t>
      </w:r>
    </w:p>
    <w:p>
      <w:pPr>
        <w:pStyle w:val="BodyText"/>
        <w:spacing w:line="218" w:lineRule="auto" w:before="128"/>
        <w:ind w:right="38"/>
      </w:pPr>
      <w:r>
        <w:rPr>
          <w:color w:val="231F20"/>
        </w:rPr>
        <w:t>3° la nomination et l’identité des personnes qui ont le pouvoir de représenter la fondation à l’égard des tiers:</w:t>
      </w:r>
    </w:p>
    <w:p>
      <w:pPr>
        <w:pStyle w:val="ListParagraph"/>
        <w:numPr>
          <w:ilvl w:val="0"/>
          <w:numId w:val="42"/>
        </w:numPr>
        <w:tabs>
          <w:tab w:pos="462" w:val="left" w:leader="none"/>
        </w:tabs>
        <w:spacing w:line="218" w:lineRule="auto" w:before="125" w:after="0"/>
        <w:ind w:left="113" w:right="38" w:firstLine="170"/>
        <w:jc w:val="both"/>
        <w:rPr>
          <w:sz w:val="17"/>
        </w:rPr>
      </w:pPr>
      <w:r>
        <w:rPr>
          <w:color w:val="231F20"/>
          <w:sz w:val="17"/>
        </w:rPr>
        <w:t>en tant qu’organe de la fondation légalement prévu ou en tant que membres d’un tel</w:t>
      </w:r>
      <w:r>
        <w:rPr>
          <w:color w:val="231F20"/>
          <w:spacing w:val="3"/>
          <w:sz w:val="17"/>
        </w:rPr>
        <w:t> </w:t>
      </w:r>
      <w:r>
        <w:rPr>
          <w:color w:val="231F20"/>
          <w:sz w:val="17"/>
        </w:rPr>
        <w:t>organe;</w:t>
      </w:r>
    </w:p>
    <w:p>
      <w:pPr>
        <w:pStyle w:val="ListParagraph"/>
        <w:numPr>
          <w:ilvl w:val="0"/>
          <w:numId w:val="42"/>
        </w:numPr>
        <w:tabs>
          <w:tab w:pos="497" w:val="left" w:leader="none"/>
        </w:tabs>
        <w:spacing w:line="218" w:lineRule="auto" w:before="126" w:after="0"/>
        <w:ind w:left="113" w:right="38" w:firstLine="170"/>
        <w:jc w:val="both"/>
        <w:rPr>
          <w:sz w:val="17"/>
        </w:rPr>
      </w:pPr>
      <w:r>
        <w:rPr>
          <w:color w:val="231F20"/>
          <w:sz w:val="17"/>
        </w:rPr>
        <w:t>en tant que représentants permanents de la fondation pour les activités de la</w:t>
      </w:r>
      <w:r>
        <w:rPr>
          <w:color w:val="231F20"/>
          <w:spacing w:val="3"/>
          <w:sz w:val="17"/>
        </w:rPr>
        <w:t> </w:t>
      </w:r>
      <w:r>
        <w:rPr>
          <w:color w:val="231F20"/>
          <w:sz w:val="17"/>
        </w:rPr>
        <w:t>succursale;</w:t>
      </w:r>
    </w:p>
    <w:p>
      <w:pPr>
        <w:pStyle w:val="BodyText"/>
        <w:spacing w:line="218" w:lineRule="auto" w:before="128"/>
        <w:ind w:right="38"/>
      </w:pPr>
      <w:r>
        <w:rPr>
          <w:color w:val="231F20"/>
        </w:rPr>
        <w:t>4° l’étendue des pouvoirs des personnes visées au point 3° et si elles peuvent les exercer séparément ou seulement conjointement;</w:t>
      </w:r>
    </w:p>
    <w:p>
      <w:pPr>
        <w:pStyle w:val="BodyText"/>
        <w:spacing w:before="6"/>
        <w:ind w:left="0" w:right="0" w:firstLine="0"/>
        <w:jc w:val="left"/>
        <w:rPr>
          <w:sz w:val="25"/>
        </w:rPr>
      </w:pPr>
    </w:p>
    <w:p>
      <w:pPr>
        <w:pStyle w:val="BodyText"/>
        <w:ind w:left="283" w:right="0" w:firstLine="0"/>
        <w:jc w:val="left"/>
      </w:pPr>
      <w:r>
        <w:rPr>
          <w:color w:val="231F20"/>
        </w:rPr>
        <w:t>5° les comptes annuels de la fondation.</w:t>
      </w:r>
    </w:p>
    <w:p>
      <w:pPr>
        <w:pStyle w:val="BodyText"/>
        <w:spacing w:line="218" w:lineRule="auto" w:before="109"/>
        <w:ind w:right="38"/>
      </w:pPr>
      <w:r>
        <w:rPr>
          <w:color w:val="231F20"/>
        </w:rPr>
        <w:t>Les actes visés à l’alinéa 1</w:t>
      </w:r>
      <w:r>
        <w:rPr>
          <w:color w:val="231F20"/>
          <w:position w:val="7"/>
          <w:sz w:val="11"/>
        </w:rPr>
        <w:t>er</w:t>
      </w:r>
      <w:r>
        <w:rPr>
          <w:color w:val="231F20"/>
        </w:rPr>
        <w:t>, 3°, comportent leurs nom, prénom, domicile ou, lorsqu’il s’agit de personnes morales, leurs dénomination, forme légale, numéro d’entreprise et siège.</w:t>
      </w:r>
    </w:p>
    <w:p>
      <w:pPr>
        <w:pStyle w:val="BodyText"/>
        <w:spacing w:line="218" w:lineRule="auto" w:before="119"/>
      </w:pPr>
      <w:r>
        <w:rPr/>
        <w:br w:type="column"/>
      </w:r>
      <w:r>
        <w:rPr>
          <w:color w:val="231F20"/>
        </w:rPr>
        <w:t>2° het adres van de zetel van de vereniging met rechtspersoonlijk- heid, de opgave van de doeleinden en van de activiteiten, het adres van het bijkantoor alsook zijn naam als die niet overeenstemt met de naam van de vereniging;</w:t>
      </w:r>
    </w:p>
    <w:p>
      <w:pPr>
        <w:pStyle w:val="BodyText"/>
        <w:spacing w:line="218" w:lineRule="auto" w:before="118"/>
      </w:pPr>
      <w:r>
        <w:rPr>
          <w:color w:val="231F20"/>
        </w:rPr>
        <w:t>3° de benoeming en de identiteit van de personen die bevoegd zijn de vereniging met rechtspersoonlijkheid jegens derden te vertegenwoor- digen:</w:t>
      </w:r>
    </w:p>
    <w:p>
      <w:pPr>
        <w:pStyle w:val="ListParagraph"/>
        <w:numPr>
          <w:ilvl w:val="0"/>
          <w:numId w:val="43"/>
        </w:numPr>
        <w:tabs>
          <w:tab w:pos="465" w:val="left" w:leader="none"/>
        </w:tabs>
        <w:spacing w:line="218" w:lineRule="auto" w:before="115" w:after="0"/>
        <w:ind w:left="113" w:right="124" w:firstLine="170"/>
        <w:jc w:val="both"/>
        <w:rPr>
          <w:sz w:val="17"/>
        </w:rPr>
      </w:pPr>
      <w:r>
        <w:rPr>
          <w:color w:val="231F20"/>
          <w:sz w:val="17"/>
        </w:rPr>
        <w:t>als orgaan van de vereniging met rechtspersoonlijkheid waarin de wet</w:t>
      </w:r>
      <w:r>
        <w:rPr>
          <w:color w:val="231F20"/>
          <w:spacing w:val="16"/>
          <w:sz w:val="17"/>
        </w:rPr>
        <w:t> </w:t>
      </w:r>
      <w:r>
        <w:rPr>
          <w:color w:val="231F20"/>
          <w:sz w:val="17"/>
        </w:rPr>
        <w:t>voorziet,</w:t>
      </w:r>
      <w:r>
        <w:rPr>
          <w:color w:val="231F20"/>
          <w:spacing w:val="16"/>
          <w:sz w:val="17"/>
        </w:rPr>
        <w:t> </w:t>
      </w:r>
      <w:r>
        <w:rPr>
          <w:color w:val="231F20"/>
          <w:sz w:val="17"/>
        </w:rPr>
        <w:t>of</w:t>
      </w:r>
      <w:r>
        <w:rPr>
          <w:color w:val="231F20"/>
          <w:spacing w:val="16"/>
          <w:sz w:val="17"/>
        </w:rPr>
        <w:t> </w:t>
      </w:r>
      <w:r>
        <w:rPr>
          <w:color w:val="231F20"/>
          <w:sz w:val="17"/>
        </w:rPr>
        <w:t>als</w:t>
      </w:r>
      <w:r>
        <w:rPr>
          <w:color w:val="231F20"/>
          <w:spacing w:val="16"/>
          <w:sz w:val="17"/>
        </w:rPr>
        <w:t> </w:t>
      </w:r>
      <w:r>
        <w:rPr>
          <w:color w:val="231F20"/>
          <w:sz w:val="17"/>
        </w:rPr>
        <w:t>leden</w:t>
      </w:r>
      <w:r>
        <w:rPr>
          <w:color w:val="231F20"/>
          <w:spacing w:val="16"/>
          <w:sz w:val="17"/>
        </w:rPr>
        <w:t> </w:t>
      </w:r>
      <w:r>
        <w:rPr>
          <w:color w:val="231F20"/>
          <w:sz w:val="17"/>
        </w:rPr>
        <w:t>van</w:t>
      </w:r>
      <w:r>
        <w:rPr>
          <w:color w:val="231F20"/>
          <w:spacing w:val="16"/>
          <w:sz w:val="17"/>
        </w:rPr>
        <w:t> </w:t>
      </w:r>
      <w:r>
        <w:rPr>
          <w:color w:val="231F20"/>
          <w:sz w:val="17"/>
        </w:rPr>
        <w:t>een</w:t>
      </w:r>
      <w:r>
        <w:rPr>
          <w:color w:val="231F20"/>
          <w:spacing w:val="16"/>
          <w:sz w:val="17"/>
        </w:rPr>
        <w:t> </w:t>
      </w:r>
      <w:r>
        <w:rPr>
          <w:color w:val="231F20"/>
          <w:sz w:val="17"/>
        </w:rPr>
        <w:t>dergelijk</w:t>
      </w:r>
      <w:r>
        <w:rPr>
          <w:color w:val="231F20"/>
          <w:spacing w:val="17"/>
          <w:sz w:val="17"/>
        </w:rPr>
        <w:t> </w:t>
      </w:r>
      <w:r>
        <w:rPr>
          <w:color w:val="231F20"/>
          <w:sz w:val="17"/>
        </w:rPr>
        <w:t>orgaan;</w:t>
      </w:r>
    </w:p>
    <w:p>
      <w:pPr>
        <w:pStyle w:val="ListParagraph"/>
        <w:numPr>
          <w:ilvl w:val="0"/>
          <w:numId w:val="43"/>
        </w:numPr>
        <w:tabs>
          <w:tab w:pos="498" w:val="left" w:leader="none"/>
        </w:tabs>
        <w:spacing w:line="218" w:lineRule="auto" w:before="125" w:after="0"/>
        <w:ind w:left="113" w:right="124" w:firstLine="170"/>
        <w:jc w:val="both"/>
        <w:rPr>
          <w:sz w:val="17"/>
        </w:rPr>
      </w:pPr>
      <w:r>
        <w:rPr>
          <w:color w:val="231F20"/>
          <w:sz w:val="17"/>
        </w:rPr>
        <w:t>als vaste vertegenwoordigers van de vereniging met rechtsper- soonlijkheid</w:t>
      </w:r>
      <w:r>
        <w:rPr>
          <w:color w:val="231F20"/>
          <w:spacing w:val="16"/>
          <w:sz w:val="17"/>
        </w:rPr>
        <w:t> </w:t>
      </w:r>
      <w:r>
        <w:rPr>
          <w:color w:val="231F20"/>
          <w:sz w:val="17"/>
        </w:rPr>
        <w:t>voor</w:t>
      </w:r>
      <w:r>
        <w:rPr>
          <w:color w:val="231F20"/>
          <w:spacing w:val="17"/>
          <w:sz w:val="17"/>
        </w:rPr>
        <w:t> </w:t>
      </w:r>
      <w:r>
        <w:rPr>
          <w:color w:val="231F20"/>
          <w:sz w:val="17"/>
        </w:rPr>
        <w:t>de</w:t>
      </w:r>
      <w:r>
        <w:rPr>
          <w:color w:val="231F20"/>
          <w:spacing w:val="16"/>
          <w:sz w:val="17"/>
        </w:rPr>
        <w:t> </w:t>
      </w:r>
      <w:r>
        <w:rPr>
          <w:color w:val="231F20"/>
          <w:sz w:val="17"/>
        </w:rPr>
        <w:t>werkzaamheden</w:t>
      </w:r>
      <w:r>
        <w:rPr>
          <w:color w:val="231F20"/>
          <w:spacing w:val="17"/>
          <w:sz w:val="17"/>
        </w:rPr>
        <w:t> </w:t>
      </w:r>
      <w:r>
        <w:rPr>
          <w:color w:val="231F20"/>
          <w:sz w:val="17"/>
        </w:rPr>
        <w:t>van</w:t>
      </w:r>
      <w:r>
        <w:rPr>
          <w:color w:val="231F20"/>
          <w:spacing w:val="17"/>
          <w:sz w:val="17"/>
        </w:rPr>
        <w:t> </w:t>
      </w:r>
      <w:r>
        <w:rPr>
          <w:color w:val="231F20"/>
          <w:sz w:val="17"/>
        </w:rPr>
        <w:t>het</w:t>
      </w:r>
      <w:r>
        <w:rPr>
          <w:color w:val="231F20"/>
          <w:spacing w:val="16"/>
          <w:sz w:val="17"/>
        </w:rPr>
        <w:t> </w:t>
      </w:r>
      <w:r>
        <w:rPr>
          <w:color w:val="231F20"/>
          <w:sz w:val="17"/>
        </w:rPr>
        <w:t>bijkantoor;</w:t>
      </w:r>
    </w:p>
    <w:p>
      <w:pPr>
        <w:pStyle w:val="BodyText"/>
        <w:spacing w:line="218" w:lineRule="auto" w:before="129"/>
      </w:pPr>
      <w:r>
        <w:rPr>
          <w:color w:val="231F20"/>
        </w:rPr>
        <w:t>4° de omvang van de bevoegdheden van de personen bedoeld in het 3°, alsook of deze personen die bevoegdheid alleen of slechts gezamen- lijk kunnen uitoefenen;</w:t>
      </w:r>
    </w:p>
    <w:p>
      <w:pPr>
        <w:pStyle w:val="BodyText"/>
        <w:spacing w:before="114"/>
        <w:ind w:left="283" w:right="0" w:firstLine="0"/>
        <w:jc w:val="left"/>
      </w:pPr>
      <w:r>
        <w:rPr>
          <w:color w:val="231F20"/>
        </w:rPr>
        <w:t>5° de jaarrekening van de vereniging.</w:t>
      </w:r>
    </w:p>
    <w:p>
      <w:pPr>
        <w:pStyle w:val="BodyText"/>
        <w:spacing w:line="218" w:lineRule="auto" w:before="124"/>
      </w:pPr>
      <w:r>
        <w:rPr>
          <w:color w:val="231F20"/>
        </w:rPr>
        <w:t>De in het eerste lid, 3°, bedoelde akten bevatten hun naam, voornaam, woonplaats of, ingeval het een rechtspersoon betreft, hun naam, rechtsvorm, ondernemingsnummer en zetel.</w:t>
      </w:r>
    </w:p>
    <w:p>
      <w:pPr>
        <w:pStyle w:val="BodyText"/>
        <w:spacing w:line="218" w:lineRule="auto" w:before="128"/>
      </w:pPr>
      <w:r>
        <w:rPr>
          <w:color w:val="231F20"/>
        </w:rPr>
        <w:t>§ 2. Met het oog op hun opname in het dossier van een vereniging met rechtspersoonlijkheid die op geldige wijze in het buitenland is opgericht overeenkomstig de wet van de Staat waartoe zij behoort en die een bijkantoor heeft in België, worden de volgende stukken neergelegd:</w:t>
      </w:r>
    </w:p>
    <w:p>
      <w:pPr>
        <w:pStyle w:val="BodyText"/>
        <w:spacing w:before="115"/>
        <w:ind w:left="283" w:right="0" w:firstLine="0"/>
        <w:jc w:val="left"/>
      </w:pPr>
      <w:r>
        <w:rPr>
          <w:color w:val="231F20"/>
        </w:rPr>
        <w:t>1° binnen dertig dagen na de beslissing of de gebeurtenis:</w:t>
      </w:r>
    </w:p>
    <w:p>
      <w:pPr>
        <w:pStyle w:val="ListParagraph"/>
        <w:numPr>
          <w:ilvl w:val="0"/>
          <w:numId w:val="44"/>
        </w:numPr>
        <w:tabs>
          <w:tab w:pos="461" w:val="left" w:leader="none"/>
        </w:tabs>
        <w:spacing w:line="218" w:lineRule="auto" w:before="122" w:after="0"/>
        <w:ind w:left="113" w:right="124" w:firstLine="170"/>
        <w:jc w:val="both"/>
        <w:rPr>
          <w:sz w:val="17"/>
        </w:rPr>
      </w:pPr>
      <w:r>
        <w:rPr>
          <w:color w:val="231F20"/>
          <w:sz w:val="17"/>
        </w:rPr>
        <w:t>elke wijziging van de stukken en gegevens bedoeld in paragraaf 1, 1°, 2°, 3° en</w:t>
      </w:r>
      <w:r>
        <w:rPr>
          <w:color w:val="231F20"/>
          <w:spacing w:val="16"/>
          <w:sz w:val="17"/>
        </w:rPr>
        <w:t> </w:t>
      </w:r>
      <w:r>
        <w:rPr>
          <w:color w:val="231F20"/>
          <w:sz w:val="17"/>
        </w:rPr>
        <w:t>4°;</w:t>
      </w:r>
    </w:p>
    <w:p>
      <w:pPr>
        <w:pStyle w:val="ListParagraph"/>
        <w:numPr>
          <w:ilvl w:val="0"/>
          <w:numId w:val="44"/>
        </w:numPr>
        <w:tabs>
          <w:tab w:pos="457" w:val="left" w:leader="none"/>
        </w:tabs>
        <w:spacing w:line="218" w:lineRule="auto" w:before="125" w:after="0"/>
        <w:ind w:left="113" w:right="124" w:firstLine="170"/>
        <w:jc w:val="both"/>
        <w:rPr>
          <w:sz w:val="17"/>
        </w:rPr>
      </w:pPr>
      <w:r>
        <w:rPr>
          <w:color w:val="231F20"/>
          <w:sz w:val="17"/>
        </w:rPr>
        <w:t>de ontbinding van de vereniging, de benoeming, de identiteit en de bevoegdheden van de vereffenaars, evenals de sluiting van de vereffe- ning;</w:t>
      </w:r>
    </w:p>
    <w:p>
      <w:pPr>
        <w:pStyle w:val="ListParagraph"/>
        <w:numPr>
          <w:ilvl w:val="0"/>
          <w:numId w:val="44"/>
        </w:numPr>
        <w:tabs>
          <w:tab w:pos="475" w:val="left" w:leader="none"/>
        </w:tabs>
        <w:spacing w:line="218" w:lineRule="auto" w:before="126" w:after="0"/>
        <w:ind w:left="113" w:right="123" w:firstLine="170"/>
        <w:jc w:val="both"/>
        <w:rPr>
          <w:sz w:val="17"/>
        </w:rPr>
      </w:pPr>
      <w:r>
        <w:rPr>
          <w:color w:val="231F20"/>
          <w:sz w:val="17"/>
        </w:rPr>
        <w:t>elk faillissement, gerechtelijke reorganisatie of elke andere soort- gelijke procedure met betrekking tot de vereniging met rechtspersoon- lijkheid;</w:t>
      </w:r>
    </w:p>
    <w:p>
      <w:pPr>
        <w:pStyle w:val="ListParagraph"/>
        <w:numPr>
          <w:ilvl w:val="0"/>
          <w:numId w:val="44"/>
        </w:numPr>
        <w:tabs>
          <w:tab w:pos="483" w:val="left" w:leader="none"/>
        </w:tabs>
        <w:spacing w:line="240" w:lineRule="auto" w:before="111" w:after="0"/>
        <w:ind w:left="482" w:right="0" w:hanging="199"/>
        <w:jc w:val="left"/>
        <w:rPr>
          <w:sz w:val="17"/>
        </w:rPr>
      </w:pPr>
      <w:r>
        <w:rPr>
          <w:color w:val="231F20"/>
          <w:sz w:val="17"/>
        </w:rPr>
        <w:t>de sluiting van het</w:t>
      </w:r>
      <w:r>
        <w:rPr>
          <w:color w:val="231F20"/>
          <w:spacing w:val="19"/>
          <w:sz w:val="17"/>
        </w:rPr>
        <w:t> </w:t>
      </w:r>
      <w:r>
        <w:rPr>
          <w:color w:val="231F20"/>
          <w:sz w:val="17"/>
        </w:rPr>
        <w:t>bijkantoor;</w:t>
      </w:r>
    </w:p>
    <w:p>
      <w:pPr>
        <w:pStyle w:val="BodyText"/>
        <w:spacing w:line="218" w:lineRule="auto" w:before="125"/>
      </w:pPr>
      <w:r>
        <w:rPr>
          <w:color w:val="231F20"/>
        </w:rPr>
        <w:t>2° jaarlijks, binnen een maand volgend op de algemene vergadering en ten laatste zeven maanden na de datum van afsluiting van het boekjaar, de jaarrekening van de vereniging.</w:t>
      </w:r>
    </w:p>
    <w:p>
      <w:pPr>
        <w:pStyle w:val="BodyText"/>
        <w:spacing w:line="218" w:lineRule="auto" w:before="125"/>
        <w:ind w:right="125"/>
      </w:pPr>
      <w:r>
        <w:rPr>
          <w:color w:val="231F20"/>
        </w:rPr>
        <w:t>De in het eerste lid, 1°, </w:t>
      </w:r>
      <w:r>
        <w:rPr>
          <w:rFonts w:ascii="Times New Roman" w:hAnsi="Times New Roman"/>
          <w:i/>
          <w:color w:val="231F20"/>
        </w:rPr>
        <w:t>a) </w:t>
      </w:r>
      <w:r>
        <w:rPr>
          <w:color w:val="231F20"/>
        </w:rPr>
        <w:t>en </w:t>
      </w:r>
      <w:r>
        <w:rPr>
          <w:rFonts w:ascii="Times New Roman" w:hAnsi="Times New Roman"/>
          <w:i/>
          <w:color w:val="231F20"/>
        </w:rPr>
        <w:t>b)</w:t>
      </w:r>
      <w:r>
        <w:rPr>
          <w:color w:val="231F20"/>
        </w:rPr>
        <w:t>, bedoelde akten bevatten hun naam, voornaam, woonplaats of, ingeval het een rechtspersoon betreft, hun naam, rechtsvorm, ondernemingsnummer en zetel.</w:t>
      </w:r>
    </w:p>
    <w:p>
      <w:pPr>
        <w:pStyle w:val="BodyText"/>
        <w:spacing w:line="218" w:lineRule="auto" w:before="128"/>
      </w:pPr>
      <w:r>
        <w:rPr>
          <w:color w:val="231F20"/>
        </w:rPr>
        <w:t>In afwijking van artikel 2:23, legt een buitenlandse vereniging met rechtspersoonlijkheid die in België een bijkantoor heeft dat op de balansdatum van het laatst afgesloten boekjaar meer dan één van de in artikel 3:47, § 2, bedoelde criteria overschrijdt, de in het eerste lid, 2°, bedoelde jaarrekening neer bij de Nationale Bank van België.</w:t>
      </w:r>
    </w:p>
    <w:p>
      <w:pPr>
        <w:pStyle w:val="BodyText"/>
        <w:spacing w:line="218" w:lineRule="auto" w:before="129"/>
      </w:pPr>
      <w:r>
        <w:rPr>
          <w:color w:val="231F20"/>
        </w:rPr>
        <w:t>Art. 2:26. § 1. Met het oog op hun opname in het dossier van een stichting die op geldige wijze in het buitenland is opgericht overeen- komstig de wet van de Staat waartoe zij behoort en die een bijkantoor opent in België, worden vóór de opening van het bijkantoor de volgende stukken</w:t>
      </w:r>
      <w:r>
        <w:rPr>
          <w:color w:val="231F20"/>
          <w:spacing w:val="-10"/>
        </w:rPr>
        <w:t> </w:t>
      </w:r>
      <w:r>
        <w:rPr>
          <w:color w:val="231F20"/>
        </w:rPr>
        <w:t>neergelegd:</w:t>
      </w:r>
    </w:p>
    <w:p>
      <w:pPr>
        <w:pStyle w:val="BodyText"/>
        <w:spacing w:line="218" w:lineRule="auto" w:before="128"/>
      </w:pPr>
      <w:r>
        <w:rPr>
          <w:color w:val="231F20"/>
        </w:rPr>
        <w:t>1° de oprichtingsakte en de statuten indien deze laatste in een afzonderlijke akte zijn opgenomen, ofwel een bijgewerkte volledige tekst</w:t>
      </w:r>
      <w:r>
        <w:rPr>
          <w:color w:val="231F20"/>
          <w:spacing w:val="18"/>
        </w:rPr>
        <w:t> </w:t>
      </w:r>
      <w:r>
        <w:rPr>
          <w:color w:val="231F20"/>
        </w:rPr>
        <w:t>van</w:t>
      </w:r>
      <w:r>
        <w:rPr>
          <w:color w:val="231F20"/>
          <w:spacing w:val="18"/>
        </w:rPr>
        <w:t> </w:t>
      </w:r>
      <w:r>
        <w:rPr>
          <w:color w:val="231F20"/>
        </w:rPr>
        <w:t>deze</w:t>
      </w:r>
      <w:r>
        <w:rPr>
          <w:color w:val="231F20"/>
          <w:spacing w:val="19"/>
        </w:rPr>
        <w:t> </w:t>
      </w:r>
      <w:r>
        <w:rPr>
          <w:color w:val="231F20"/>
        </w:rPr>
        <w:t>stukken</w:t>
      </w:r>
      <w:r>
        <w:rPr>
          <w:color w:val="231F20"/>
          <w:spacing w:val="18"/>
        </w:rPr>
        <w:t> </w:t>
      </w:r>
      <w:r>
        <w:rPr>
          <w:color w:val="231F20"/>
        </w:rPr>
        <w:t>indien</w:t>
      </w:r>
      <w:r>
        <w:rPr>
          <w:color w:val="231F20"/>
          <w:spacing w:val="18"/>
        </w:rPr>
        <w:t> </w:t>
      </w:r>
      <w:r>
        <w:rPr>
          <w:color w:val="231F20"/>
        </w:rPr>
        <w:t>hierin</w:t>
      </w:r>
      <w:r>
        <w:rPr>
          <w:color w:val="231F20"/>
          <w:spacing w:val="19"/>
        </w:rPr>
        <w:t> </w:t>
      </w:r>
      <w:r>
        <w:rPr>
          <w:color w:val="231F20"/>
        </w:rPr>
        <w:t>wijzigingen</w:t>
      </w:r>
      <w:r>
        <w:rPr>
          <w:color w:val="231F20"/>
          <w:spacing w:val="18"/>
        </w:rPr>
        <w:t> </w:t>
      </w:r>
      <w:r>
        <w:rPr>
          <w:color w:val="231F20"/>
        </w:rPr>
        <w:t>werden</w:t>
      </w:r>
      <w:r>
        <w:rPr>
          <w:color w:val="231F20"/>
          <w:spacing w:val="18"/>
        </w:rPr>
        <w:t> </w:t>
      </w:r>
      <w:r>
        <w:rPr>
          <w:color w:val="231F20"/>
        </w:rPr>
        <w:t>aangebracht;</w:t>
      </w:r>
    </w:p>
    <w:p>
      <w:pPr>
        <w:pStyle w:val="BodyText"/>
        <w:spacing w:line="218" w:lineRule="auto" w:before="128"/>
      </w:pPr>
      <w:r>
        <w:rPr>
          <w:color w:val="231F20"/>
        </w:rPr>
        <w:t>2° het adres van de zetel van de stichting, de opgave van de doeleinden en van de activiteiten, het adres van het bijkantoor alsook zijn naam als die niet overeenstemt met de naam van de stichting;</w:t>
      </w:r>
    </w:p>
    <w:p>
      <w:pPr>
        <w:pStyle w:val="BodyText"/>
        <w:spacing w:line="218" w:lineRule="auto" w:before="128"/>
      </w:pPr>
      <w:r>
        <w:rPr>
          <w:color w:val="231F20"/>
        </w:rPr>
        <w:t>3° de benoeming en de identiteit van de personen die bevoegd zijn de stichting jegens derden te vertegenwoordigen:</w:t>
      </w:r>
    </w:p>
    <w:p>
      <w:pPr>
        <w:pStyle w:val="ListParagraph"/>
        <w:numPr>
          <w:ilvl w:val="0"/>
          <w:numId w:val="45"/>
        </w:numPr>
        <w:tabs>
          <w:tab w:pos="456" w:val="left" w:leader="none"/>
        </w:tabs>
        <w:spacing w:line="218" w:lineRule="auto" w:before="126" w:after="0"/>
        <w:ind w:left="113" w:right="124" w:firstLine="170"/>
        <w:jc w:val="both"/>
        <w:rPr>
          <w:sz w:val="17"/>
        </w:rPr>
      </w:pPr>
      <w:r>
        <w:rPr>
          <w:color w:val="231F20"/>
          <w:sz w:val="17"/>
        </w:rPr>
        <w:t>als orgaan van de stichting waarin de wet voorziet, of als leden van een dergelijk</w:t>
      </w:r>
      <w:r>
        <w:rPr>
          <w:color w:val="231F20"/>
          <w:spacing w:val="-12"/>
          <w:sz w:val="17"/>
        </w:rPr>
        <w:t> </w:t>
      </w:r>
      <w:r>
        <w:rPr>
          <w:color w:val="231F20"/>
          <w:sz w:val="17"/>
        </w:rPr>
        <w:t>orgaan;</w:t>
      </w:r>
    </w:p>
    <w:p>
      <w:pPr>
        <w:pStyle w:val="ListParagraph"/>
        <w:numPr>
          <w:ilvl w:val="0"/>
          <w:numId w:val="45"/>
        </w:numPr>
        <w:tabs>
          <w:tab w:pos="469" w:val="left" w:leader="none"/>
        </w:tabs>
        <w:spacing w:line="218" w:lineRule="auto" w:before="125" w:after="0"/>
        <w:ind w:left="113" w:right="124" w:firstLine="170"/>
        <w:jc w:val="both"/>
        <w:rPr>
          <w:sz w:val="17"/>
        </w:rPr>
      </w:pPr>
      <w:r>
        <w:rPr>
          <w:color w:val="231F20"/>
          <w:sz w:val="17"/>
        </w:rPr>
        <w:t>als vaste vertegenwoordigers van de stichting voor de werkzaam- heden van het</w:t>
      </w:r>
      <w:r>
        <w:rPr>
          <w:color w:val="231F20"/>
          <w:spacing w:val="3"/>
          <w:sz w:val="17"/>
        </w:rPr>
        <w:t> </w:t>
      </w:r>
      <w:r>
        <w:rPr>
          <w:color w:val="231F20"/>
          <w:sz w:val="17"/>
        </w:rPr>
        <w:t>bijkantoor;</w:t>
      </w:r>
    </w:p>
    <w:p>
      <w:pPr>
        <w:pStyle w:val="BodyText"/>
        <w:spacing w:line="218" w:lineRule="auto" w:before="128"/>
      </w:pPr>
      <w:r>
        <w:rPr>
          <w:color w:val="231F20"/>
        </w:rPr>
        <w:t>4° de omvang van de bevoegdheden van de personen bedoeld in het 3°, alsook of deze personen die bevoegdheid alleen of slechts gezamen- lijk kunnen uitoefenen;</w:t>
      </w:r>
    </w:p>
    <w:p>
      <w:pPr>
        <w:pStyle w:val="BodyText"/>
        <w:spacing w:before="115"/>
        <w:ind w:left="283" w:right="0" w:firstLine="0"/>
        <w:jc w:val="left"/>
      </w:pPr>
      <w:r>
        <w:rPr>
          <w:color w:val="231F20"/>
        </w:rPr>
        <w:t>5° de jaarrekening van de stichting.</w:t>
      </w:r>
    </w:p>
    <w:p>
      <w:pPr>
        <w:pStyle w:val="BodyText"/>
        <w:spacing w:line="218" w:lineRule="auto" w:before="124"/>
      </w:pPr>
      <w:r>
        <w:rPr>
          <w:color w:val="231F20"/>
        </w:rPr>
        <w:t>De in het eerste lid, 3°, bedoelde akten bevatten hun naam, voornaam, woonplaats of, ingeval het een rechtspersoon betreft, hun naam, rechtsvorm, ondernemingsnummer en zetel.</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1504" from="298.170502pt,64.473pt" to="298.170502pt,812.819pt" stroked="true" strokeweight=".533pt" strokecolor="#231f20">
            <v:stroke dashstyle="solid"/>
            <w10:wrap type="none"/>
          </v:line>
        </w:pict>
      </w:r>
      <w:bookmarkStart w:name="_bookmark20" w:id="23"/>
      <w:bookmarkEnd w:id="23"/>
      <w:r>
        <w:rPr/>
      </w:r>
      <w:r>
        <w:rPr>
          <w:color w:val="231F20"/>
        </w:rPr>
        <w:t>§ 2. Afin d’être versés au dossier d’une fondation valablement constituée à l’étranger conformément à la loi de l’État dont elle relève  et qui a une succursale en Belgique, les documents suivants sont déposés:</w:t>
      </w:r>
    </w:p>
    <w:p>
      <w:pPr>
        <w:pStyle w:val="BodyText"/>
        <w:spacing w:before="72"/>
        <w:ind w:left="283" w:right="0" w:firstLine="0"/>
        <w:jc w:val="left"/>
      </w:pPr>
      <w:r>
        <w:rPr>
          <w:color w:val="231F20"/>
        </w:rPr>
        <w:t>1° dans les trente jours qui suivent la décision ou l’événement:</w:t>
      </w:r>
    </w:p>
    <w:p>
      <w:pPr>
        <w:pStyle w:val="ListParagraph"/>
        <w:numPr>
          <w:ilvl w:val="0"/>
          <w:numId w:val="46"/>
        </w:numPr>
        <w:tabs>
          <w:tab w:pos="465" w:val="left" w:leader="none"/>
        </w:tabs>
        <w:spacing w:line="201" w:lineRule="auto" w:before="91" w:after="0"/>
        <w:ind w:left="113" w:right="38" w:firstLine="170"/>
        <w:jc w:val="both"/>
        <w:rPr>
          <w:sz w:val="17"/>
        </w:rPr>
      </w:pPr>
      <w:r>
        <w:rPr>
          <w:color w:val="231F20"/>
          <w:sz w:val="17"/>
        </w:rPr>
        <w:t>toute modification aux documents et indications visés au paragra- phe</w:t>
      </w:r>
      <w:r>
        <w:rPr>
          <w:color w:val="231F20"/>
          <w:spacing w:val="14"/>
          <w:sz w:val="17"/>
        </w:rPr>
        <w:t> </w:t>
      </w:r>
      <w:r>
        <w:rPr>
          <w:color w:val="231F20"/>
          <w:sz w:val="17"/>
        </w:rPr>
        <w:t>1</w:t>
      </w:r>
      <w:r>
        <w:rPr>
          <w:color w:val="231F20"/>
          <w:position w:val="7"/>
          <w:sz w:val="11"/>
        </w:rPr>
        <w:t>er</w:t>
      </w:r>
      <w:r>
        <w:rPr>
          <w:color w:val="231F20"/>
          <w:sz w:val="17"/>
        </w:rPr>
        <w:t>,</w:t>
      </w:r>
      <w:r>
        <w:rPr>
          <w:color w:val="231F20"/>
          <w:spacing w:val="15"/>
          <w:sz w:val="17"/>
        </w:rPr>
        <w:t> </w:t>
      </w:r>
      <w:r>
        <w:rPr>
          <w:color w:val="231F20"/>
          <w:sz w:val="17"/>
        </w:rPr>
        <w:t>1°,</w:t>
      </w:r>
      <w:r>
        <w:rPr>
          <w:color w:val="231F20"/>
          <w:spacing w:val="15"/>
          <w:sz w:val="17"/>
        </w:rPr>
        <w:t> </w:t>
      </w:r>
      <w:r>
        <w:rPr>
          <w:color w:val="231F20"/>
          <w:sz w:val="17"/>
        </w:rPr>
        <w:t>2°,</w:t>
      </w:r>
      <w:r>
        <w:rPr>
          <w:color w:val="231F20"/>
          <w:spacing w:val="14"/>
          <w:sz w:val="17"/>
        </w:rPr>
        <w:t> </w:t>
      </w:r>
      <w:r>
        <w:rPr>
          <w:color w:val="231F20"/>
          <w:sz w:val="17"/>
        </w:rPr>
        <w:t>3°</w:t>
      </w:r>
      <w:r>
        <w:rPr>
          <w:color w:val="231F20"/>
          <w:spacing w:val="15"/>
          <w:sz w:val="17"/>
        </w:rPr>
        <w:t> </w:t>
      </w:r>
      <w:r>
        <w:rPr>
          <w:color w:val="231F20"/>
          <w:sz w:val="17"/>
        </w:rPr>
        <w:t>et</w:t>
      </w:r>
      <w:r>
        <w:rPr>
          <w:color w:val="231F20"/>
          <w:spacing w:val="15"/>
          <w:sz w:val="17"/>
        </w:rPr>
        <w:t> </w:t>
      </w:r>
      <w:r>
        <w:rPr>
          <w:color w:val="231F20"/>
          <w:sz w:val="17"/>
        </w:rPr>
        <w:t>4°;</w:t>
      </w:r>
    </w:p>
    <w:p>
      <w:pPr>
        <w:pStyle w:val="ListParagraph"/>
        <w:numPr>
          <w:ilvl w:val="0"/>
          <w:numId w:val="46"/>
        </w:numPr>
        <w:tabs>
          <w:tab w:pos="512" w:val="left" w:leader="none"/>
        </w:tabs>
        <w:spacing w:line="218" w:lineRule="auto" w:before="83" w:after="0"/>
        <w:ind w:left="113" w:right="38" w:firstLine="170"/>
        <w:jc w:val="both"/>
        <w:rPr>
          <w:sz w:val="17"/>
        </w:rPr>
      </w:pPr>
      <w:r>
        <w:rPr>
          <w:color w:val="231F20"/>
          <w:sz w:val="17"/>
        </w:rPr>
        <w:t>la dissolution de la fondation, la nomination, l’identité et les pouvoirs</w:t>
      </w:r>
      <w:r>
        <w:rPr>
          <w:color w:val="231F20"/>
          <w:spacing w:val="17"/>
          <w:sz w:val="17"/>
        </w:rPr>
        <w:t> </w:t>
      </w:r>
      <w:r>
        <w:rPr>
          <w:color w:val="231F20"/>
          <w:sz w:val="17"/>
        </w:rPr>
        <w:t>des</w:t>
      </w:r>
      <w:r>
        <w:rPr>
          <w:color w:val="231F20"/>
          <w:spacing w:val="17"/>
          <w:sz w:val="17"/>
        </w:rPr>
        <w:t> </w:t>
      </w:r>
      <w:r>
        <w:rPr>
          <w:color w:val="231F20"/>
          <w:sz w:val="17"/>
        </w:rPr>
        <w:t>liquidateurs,</w:t>
      </w:r>
      <w:r>
        <w:rPr>
          <w:color w:val="231F20"/>
          <w:spacing w:val="17"/>
          <w:sz w:val="17"/>
        </w:rPr>
        <w:t> </w:t>
      </w:r>
      <w:r>
        <w:rPr>
          <w:color w:val="231F20"/>
          <w:sz w:val="17"/>
        </w:rPr>
        <w:t>ainsi</w:t>
      </w:r>
      <w:r>
        <w:rPr>
          <w:color w:val="231F20"/>
          <w:spacing w:val="17"/>
          <w:sz w:val="17"/>
        </w:rPr>
        <w:t> </w:t>
      </w:r>
      <w:r>
        <w:rPr>
          <w:color w:val="231F20"/>
          <w:sz w:val="17"/>
        </w:rPr>
        <w:t>que</w:t>
      </w:r>
      <w:r>
        <w:rPr>
          <w:color w:val="231F20"/>
          <w:spacing w:val="17"/>
          <w:sz w:val="17"/>
        </w:rPr>
        <w:t> </w:t>
      </w:r>
      <w:r>
        <w:rPr>
          <w:color w:val="231F20"/>
          <w:sz w:val="17"/>
        </w:rPr>
        <w:t>la</w:t>
      </w:r>
      <w:r>
        <w:rPr>
          <w:color w:val="231F20"/>
          <w:spacing w:val="17"/>
          <w:sz w:val="17"/>
        </w:rPr>
        <w:t> </w:t>
      </w:r>
      <w:r>
        <w:rPr>
          <w:color w:val="231F20"/>
          <w:sz w:val="17"/>
        </w:rPr>
        <w:t>clôture</w:t>
      </w:r>
      <w:r>
        <w:rPr>
          <w:color w:val="231F20"/>
          <w:spacing w:val="17"/>
          <w:sz w:val="17"/>
        </w:rPr>
        <w:t> </w:t>
      </w:r>
      <w:r>
        <w:rPr>
          <w:color w:val="231F20"/>
          <w:sz w:val="17"/>
        </w:rPr>
        <w:t>de</w:t>
      </w:r>
      <w:r>
        <w:rPr>
          <w:color w:val="231F20"/>
          <w:spacing w:val="17"/>
          <w:sz w:val="17"/>
        </w:rPr>
        <w:t> </w:t>
      </w:r>
      <w:r>
        <w:rPr>
          <w:color w:val="231F20"/>
          <w:sz w:val="17"/>
        </w:rPr>
        <w:t>la</w:t>
      </w:r>
      <w:r>
        <w:rPr>
          <w:color w:val="231F20"/>
          <w:spacing w:val="17"/>
          <w:sz w:val="17"/>
        </w:rPr>
        <w:t> </w:t>
      </w:r>
      <w:r>
        <w:rPr>
          <w:color w:val="231F20"/>
          <w:sz w:val="17"/>
        </w:rPr>
        <w:t>liquidation;</w:t>
      </w:r>
    </w:p>
    <w:p>
      <w:pPr>
        <w:pStyle w:val="BodyText"/>
        <w:spacing w:before="9"/>
        <w:ind w:left="0" w:right="0" w:firstLine="0"/>
        <w:jc w:val="left"/>
        <w:rPr>
          <w:sz w:val="22"/>
        </w:rPr>
      </w:pPr>
    </w:p>
    <w:p>
      <w:pPr>
        <w:pStyle w:val="ListParagraph"/>
        <w:numPr>
          <w:ilvl w:val="0"/>
          <w:numId w:val="46"/>
        </w:numPr>
        <w:tabs>
          <w:tab w:pos="482" w:val="left" w:leader="none"/>
        </w:tabs>
        <w:spacing w:line="218" w:lineRule="auto" w:before="0" w:after="0"/>
        <w:ind w:left="113" w:right="38" w:firstLine="170"/>
        <w:jc w:val="both"/>
        <w:rPr>
          <w:sz w:val="17"/>
        </w:rPr>
      </w:pPr>
      <w:r>
        <w:rPr>
          <w:color w:val="231F20"/>
          <w:sz w:val="17"/>
        </w:rPr>
        <w:t>toute procédure de faillite, de réorganisation judiciaire ou toute autre</w:t>
      </w:r>
      <w:r>
        <w:rPr>
          <w:color w:val="231F20"/>
          <w:spacing w:val="15"/>
          <w:sz w:val="17"/>
        </w:rPr>
        <w:t> </w:t>
      </w:r>
      <w:r>
        <w:rPr>
          <w:color w:val="231F20"/>
          <w:sz w:val="17"/>
        </w:rPr>
        <w:t>procédure</w:t>
      </w:r>
      <w:r>
        <w:rPr>
          <w:color w:val="231F20"/>
          <w:spacing w:val="15"/>
          <w:sz w:val="17"/>
        </w:rPr>
        <w:t> </w:t>
      </w:r>
      <w:r>
        <w:rPr>
          <w:color w:val="231F20"/>
          <w:sz w:val="17"/>
        </w:rPr>
        <w:t>analogue</w:t>
      </w:r>
      <w:r>
        <w:rPr>
          <w:color w:val="231F20"/>
          <w:spacing w:val="15"/>
          <w:sz w:val="17"/>
        </w:rPr>
        <w:t> </w:t>
      </w:r>
      <w:r>
        <w:rPr>
          <w:color w:val="231F20"/>
          <w:sz w:val="17"/>
        </w:rPr>
        <w:t>dont</w:t>
      </w:r>
      <w:r>
        <w:rPr>
          <w:color w:val="231F20"/>
          <w:spacing w:val="15"/>
          <w:sz w:val="17"/>
        </w:rPr>
        <w:t> </w:t>
      </w:r>
      <w:r>
        <w:rPr>
          <w:color w:val="231F20"/>
          <w:sz w:val="17"/>
        </w:rPr>
        <w:t>la</w:t>
      </w:r>
      <w:r>
        <w:rPr>
          <w:color w:val="231F20"/>
          <w:spacing w:val="15"/>
          <w:sz w:val="17"/>
        </w:rPr>
        <w:t> </w:t>
      </w:r>
      <w:r>
        <w:rPr>
          <w:color w:val="231F20"/>
          <w:sz w:val="17"/>
        </w:rPr>
        <w:t>fondation</w:t>
      </w:r>
      <w:r>
        <w:rPr>
          <w:color w:val="231F20"/>
          <w:spacing w:val="15"/>
          <w:sz w:val="17"/>
        </w:rPr>
        <w:t> </w:t>
      </w:r>
      <w:r>
        <w:rPr>
          <w:color w:val="231F20"/>
          <w:sz w:val="17"/>
        </w:rPr>
        <w:t>fait</w:t>
      </w:r>
      <w:r>
        <w:rPr>
          <w:color w:val="231F20"/>
          <w:spacing w:val="15"/>
          <w:sz w:val="17"/>
        </w:rPr>
        <w:t> </w:t>
      </w:r>
      <w:r>
        <w:rPr>
          <w:color w:val="231F20"/>
          <w:sz w:val="17"/>
        </w:rPr>
        <w:t>l’objet;</w:t>
      </w:r>
    </w:p>
    <w:p>
      <w:pPr>
        <w:pStyle w:val="ListParagraph"/>
        <w:numPr>
          <w:ilvl w:val="0"/>
          <w:numId w:val="46"/>
        </w:numPr>
        <w:tabs>
          <w:tab w:pos="483" w:val="left" w:leader="none"/>
        </w:tabs>
        <w:spacing w:line="240" w:lineRule="auto" w:before="69" w:after="0"/>
        <w:ind w:left="482" w:right="0" w:hanging="199"/>
        <w:jc w:val="left"/>
        <w:rPr>
          <w:sz w:val="17"/>
        </w:rPr>
      </w:pPr>
      <w:r>
        <w:rPr>
          <w:color w:val="231F20"/>
          <w:sz w:val="17"/>
        </w:rPr>
        <w:t>la fermeture de la</w:t>
      </w:r>
      <w:r>
        <w:rPr>
          <w:color w:val="231F20"/>
          <w:spacing w:val="18"/>
          <w:sz w:val="17"/>
        </w:rPr>
        <w:t> </w:t>
      </w:r>
      <w:r>
        <w:rPr>
          <w:color w:val="231F20"/>
          <w:sz w:val="17"/>
        </w:rPr>
        <w:t>succursale;</w:t>
      </w:r>
    </w:p>
    <w:p>
      <w:pPr>
        <w:pStyle w:val="BodyText"/>
        <w:spacing w:line="218" w:lineRule="auto" w:before="92"/>
        <w:ind w:right="38"/>
      </w:pPr>
      <w:r>
        <w:rPr>
          <w:color w:val="231F20"/>
        </w:rPr>
        <w:t>2° annuellement, dans le mois qui suit l’assemblée générale et au</w:t>
      </w:r>
      <w:r>
        <w:rPr>
          <w:color w:val="231F20"/>
          <w:spacing w:val="-20"/>
        </w:rPr>
        <w:t> </w:t>
      </w:r>
      <w:r>
        <w:rPr>
          <w:color w:val="231F20"/>
        </w:rPr>
        <w:t>plus tard sept mois après la date de clôture de l’exercice, les comptes</w:t>
      </w:r>
      <w:r>
        <w:rPr>
          <w:color w:val="231F20"/>
          <w:spacing w:val="-28"/>
        </w:rPr>
        <w:t> </w:t>
      </w:r>
      <w:r>
        <w:rPr>
          <w:color w:val="231F20"/>
        </w:rPr>
        <w:t>annuels de la</w:t>
      </w:r>
      <w:r>
        <w:rPr>
          <w:color w:val="231F20"/>
          <w:spacing w:val="-11"/>
        </w:rPr>
        <w:t> </w:t>
      </w:r>
      <w:r>
        <w:rPr>
          <w:color w:val="231F20"/>
        </w:rPr>
        <w:t>fondation.</w:t>
      </w:r>
    </w:p>
    <w:p>
      <w:pPr>
        <w:pStyle w:val="BodyText"/>
        <w:spacing w:line="213" w:lineRule="auto" w:before="100"/>
        <w:ind w:right="38"/>
      </w:pPr>
      <w:r>
        <w:rPr>
          <w:color w:val="231F20"/>
        </w:rPr>
        <w:t>Par dérogation à l’article 2:23, une fondation étrangère ayant une succursale en Belgique qui à la date du bilan du dernier exercice clôturé dépasse plus d’un des critères visés à l’article 3:51, § 2, dépose les comptes annuels visés à l’alinéa 1</w:t>
      </w:r>
      <w:r>
        <w:rPr>
          <w:color w:val="231F20"/>
          <w:position w:val="7"/>
          <w:sz w:val="11"/>
        </w:rPr>
        <w:t>er</w:t>
      </w:r>
      <w:r>
        <w:rPr>
          <w:color w:val="231F20"/>
        </w:rPr>
        <w:t>, 2°, à la Banque nationale de Belgique.</w:t>
      </w:r>
    </w:p>
    <w:p>
      <w:pPr>
        <w:pStyle w:val="BodyText"/>
        <w:spacing w:line="218" w:lineRule="auto" w:before="83"/>
        <w:ind w:right="38"/>
      </w:pPr>
      <w:r>
        <w:rPr>
          <w:color w:val="231F20"/>
        </w:rPr>
        <w:t>Les actes visés à l’alinéa 1</w:t>
      </w:r>
      <w:r>
        <w:rPr>
          <w:color w:val="231F20"/>
          <w:position w:val="7"/>
          <w:sz w:val="11"/>
        </w:rPr>
        <w:t>er</w:t>
      </w:r>
      <w:r>
        <w:rPr>
          <w:color w:val="231F20"/>
        </w:rPr>
        <w:t>, 1°, </w:t>
      </w:r>
      <w:r>
        <w:rPr>
          <w:rFonts w:ascii="Times New Roman" w:hAnsi="Times New Roman"/>
          <w:i/>
          <w:color w:val="231F20"/>
        </w:rPr>
        <w:t>a) </w:t>
      </w:r>
      <w:r>
        <w:rPr>
          <w:color w:val="231F20"/>
        </w:rPr>
        <w:t>et </w:t>
      </w:r>
      <w:r>
        <w:rPr>
          <w:rFonts w:ascii="Times New Roman" w:hAnsi="Times New Roman"/>
          <w:i/>
          <w:color w:val="231F20"/>
        </w:rPr>
        <w:t>b)</w:t>
      </w:r>
      <w:r>
        <w:rPr>
          <w:color w:val="231F20"/>
        </w:rPr>
        <w:t>, comportent leurs nom, prénom, domicile ou, lorsqu’il s’agit de personnes morales, leurs dénomination, forme légale, numéro d’entreprise et siège.</w:t>
      </w:r>
    </w:p>
    <w:p>
      <w:pPr>
        <w:pStyle w:val="BodyText"/>
        <w:spacing w:before="82"/>
        <w:ind w:left="283" w:right="0" w:firstLine="0"/>
        <w:jc w:val="left"/>
      </w:pPr>
      <w:r>
        <w:rPr>
          <w:color w:val="231F20"/>
        </w:rPr>
        <w:t>Sous-section 2. Obligation de publication.</w:t>
      </w:r>
    </w:p>
    <w:p>
      <w:pPr>
        <w:pStyle w:val="BodyText"/>
        <w:spacing w:line="216" w:lineRule="auto" w:before="94"/>
        <w:ind w:right="38"/>
      </w:pPr>
      <w:r>
        <w:rPr>
          <w:color w:val="231F20"/>
        </w:rPr>
        <w:t>Art. 2:27. Conformément à l’article 2:13, l’objet des documents visés aux</w:t>
      </w:r>
      <w:r>
        <w:rPr>
          <w:color w:val="231F20"/>
          <w:spacing w:val="-7"/>
        </w:rPr>
        <w:t> </w:t>
      </w:r>
      <w:r>
        <w:rPr>
          <w:color w:val="231F20"/>
        </w:rPr>
        <w:t>articles</w:t>
      </w:r>
      <w:r>
        <w:rPr>
          <w:color w:val="231F20"/>
          <w:spacing w:val="-6"/>
        </w:rPr>
        <w:t> </w:t>
      </w:r>
      <w:r>
        <w:rPr>
          <w:color w:val="231F20"/>
        </w:rPr>
        <w:t>2:24,</w:t>
      </w:r>
      <w:r>
        <w:rPr>
          <w:color w:val="231F20"/>
          <w:spacing w:val="-6"/>
        </w:rPr>
        <w:t> </w:t>
      </w:r>
      <w:r>
        <w:rPr>
          <w:color w:val="231F20"/>
        </w:rPr>
        <w:t>2:25,</w:t>
      </w:r>
      <w:r>
        <w:rPr>
          <w:color w:val="231F20"/>
          <w:spacing w:val="-7"/>
        </w:rPr>
        <w:t> </w:t>
      </w:r>
      <w:r>
        <w:rPr>
          <w:color w:val="231F20"/>
        </w:rPr>
        <w:t>§</w:t>
      </w:r>
      <w:r>
        <w:rPr>
          <w:color w:val="231F20"/>
          <w:spacing w:val="-6"/>
        </w:rPr>
        <w:t> </w:t>
      </w:r>
      <w:r>
        <w:rPr>
          <w:color w:val="231F20"/>
        </w:rPr>
        <w:t>2</w:t>
      </w:r>
      <w:r>
        <w:rPr>
          <w:color w:val="231F20"/>
          <w:spacing w:val="-6"/>
        </w:rPr>
        <w:t> </w:t>
      </w:r>
      <w:r>
        <w:rPr>
          <w:color w:val="231F20"/>
        </w:rPr>
        <w:t>et</w:t>
      </w:r>
      <w:r>
        <w:rPr>
          <w:color w:val="231F20"/>
          <w:spacing w:val="-6"/>
        </w:rPr>
        <w:t> </w:t>
      </w:r>
      <w:r>
        <w:rPr>
          <w:color w:val="231F20"/>
        </w:rPr>
        <w:t>2:26</w:t>
      </w:r>
      <w:r>
        <w:rPr>
          <w:color w:val="231F20"/>
          <w:spacing w:val="-7"/>
        </w:rPr>
        <w:t> </w:t>
      </w:r>
      <w:r>
        <w:rPr>
          <w:color w:val="231F20"/>
        </w:rPr>
        <w:t>est</w:t>
      </w:r>
      <w:r>
        <w:rPr>
          <w:color w:val="231F20"/>
          <w:spacing w:val="-6"/>
        </w:rPr>
        <w:t> </w:t>
      </w:r>
      <w:r>
        <w:rPr>
          <w:color w:val="231F20"/>
        </w:rPr>
        <w:t>publié</w:t>
      </w:r>
      <w:r>
        <w:rPr>
          <w:color w:val="231F20"/>
          <w:spacing w:val="-6"/>
        </w:rPr>
        <w:t> </w:t>
      </w:r>
      <w:r>
        <w:rPr>
          <w:color w:val="231F20"/>
        </w:rPr>
        <w:t>par</w:t>
      </w:r>
      <w:r>
        <w:rPr>
          <w:color w:val="231F20"/>
          <w:spacing w:val="-6"/>
        </w:rPr>
        <w:t> </w:t>
      </w:r>
      <w:r>
        <w:rPr>
          <w:color w:val="231F20"/>
        </w:rPr>
        <w:t>mention</w:t>
      </w:r>
      <w:r>
        <w:rPr>
          <w:color w:val="231F20"/>
          <w:spacing w:val="-7"/>
        </w:rPr>
        <w:t> </w:t>
      </w:r>
      <w:r>
        <w:rPr>
          <w:color w:val="231F20"/>
        </w:rPr>
        <w:t>aux</w:t>
      </w:r>
      <w:r>
        <w:rPr>
          <w:color w:val="231F20"/>
          <w:spacing w:val="-6"/>
        </w:rPr>
        <w:t> </w:t>
      </w:r>
      <w:r>
        <w:rPr>
          <w:color w:val="231F20"/>
        </w:rPr>
        <w:t>annexes</w:t>
      </w:r>
      <w:r>
        <w:rPr>
          <w:color w:val="231F20"/>
          <w:spacing w:val="-6"/>
        </w:rPr>
        <w:t> </w:t>
      </w:r>
      <w:r>
        <w:rPr>
          <w:color w:val="231F20"/>
        </w:rPr>
        <w:t>du </w:t>
      </w:r>
      <w:r>
        <w:rPr>
          <w:rFonts w:ascii="Times New Roman" w:hAnsi="Times New Roman"/>
          <w:i/>
          <w:color w:val="231F20"/>
        </w:rPr>
        <w:t>Moniteur</w:t>
      </w:r>
      <w:r>
        <w:rPr>
          <w:rFonts w:ascii="Times New Roman" w:hAnsi="Times New Roman"/>
          <w:i/>
          <w:color w:val="231F20"/>
          <w:spacing w:val="14"/>
        </w:rPr>
        <w:t> </w:t>
      </w:r>
      <w:r>
        <w:rPr>
          <w:rFonts w:ascii="Times New Roman" w:hAnsi="Times New Roman"/>
          <w:i/>
          <w:color w:val="231F20"/>
        </w:rPr>
        <w:t>belge</w:t>
      </w:r>
      <w:r>
        <w:rPr>
          <w:color w:val="231F20"/>
        </w:rPr>
        <w:t>.</w:t>
      </w:r>
    </w:p>
    <w:p>
      <w:pPr>
        <w:pStyle w:val="BodyText"/>
        <w:spacing w:before="84"/>
        <w:ind w:left="283" w:right="0" w:firstLine="0"/>
        <w:jc w:val="left"/>
      </w:pPr>
      <w:r>
        <w:rPr>
          <w:color w:val="231F20"/>
        </w:rPr>
        <w:t>Sous-section 3. Opposabilité.</w:t>
      </w:r>
    </w:p>
    <w:p>
      <w:pPr>
        <w:pStyle w:val="BodyText"/>
        <w:spacing w:line="218" w:lineRule="auto" w:before="92"/>
        <w:ind w:right="38"/>
      </w:pPr>
      <w:r>
        <w:rPr>
          <w:color w:val="231F20"/>
        </w:rPr>
        <w:t>Art. 2:28. Les documents déposés sont opposables aux tiers confor- mément à l’article 2:18.</w:t>
      </w:r>
    </w:p>
    <w:p>
      <w:pPr>
        <w:pStyle w:val="BodyText"/>
        <w:spacing w:line="218" w:lineRule="auto" w:before="97"/>
        <w:ind w:right="38"/>
      </w:pPr>
      <w:r>
        <w:rPr>
          <w:color w:val="231F20"/>
        </w:rPr>
        <w:t>Sous-section</w:t>
      </w:r>
      <w:r>
        <w:rPr>
          <w:color w:val="231F20"/>
          <w:spacing w:val="-6"/>
        </w:rPr>
        <w:t> </w:t>
      </w:r>
      <w:r>
        <w:rPr>
          <w:color w:val="231F20"/>
        </w:rPr>
        <w:t>4.</w:t>
      </w:r>
      <w:r>
        <w:rPr>
          <w:color w:val="231F20"/>
          <w:spacing w:val="-6"/>
        </w:rPr>
        <w:t> </w:t>
      </w:r>
      <w:r>
        <w:rPr>
          <w:color w:val="231F20"/>
        </w:rPr>
        <w:t>De</w:t>
      </w:r>
      <w:r>
        <w:rPr>
          <w:color w:val="231F20"/>
          <w:spacing w:val="-6"/>
        </w:rPr>
        <w:t> </w:t>
      </w:r>
      <w:r>
        <w:rPr>
          <w:color w:val="231F20"/>
        </w:rPr>
        <w:t>certaines</w:t>
      </w:r>
      <w:r>
        <w:rPr>
          <w:color w:val="231F20"/>
          <w:spacing w:val="-6"/>
        </w:rPr>
        <w:t> </w:t>
      </w:r>
      <w:r>
        <w:rPr>
          <w:color w:val="231F20"/>
        </w:rPr>
        <w:t>indications</w:t>
      </w:r>
      <w:r>
        <w:rPr>
          <w:color w:val="231F20"/>
          <w:spacing w:val="-6"/>
        </w:rPr>
        <w:t> </w:t>
      </w:r>
      <w:r>
        <w:rPr>
          <w:color w:val="231F20"/>
        </w:rPr>
        <w:t>à</w:t>
      </w:r>
      <w:r>
        <w:rPr>
          <w:color w:val="231F20"/>
          <w:spacing w:val="-6"/>
        </w:rPr>
        <w:t> </w:t>
      </w:r>
      <w:r>
        <w:rPr>
          <w:color w:val="231F20"/>
        </w:rPr>
        <w:t>faire</w:t>
      </w:r>
      <w:r>
        <w:rPr>
          <w:color w:val="231F20"/>
          <w:spacing w:val="-6"/>
        </w:rPr>
        <w:t> </w:t>
      </w:r>
      <w:r>
        <w:rPr>
          <w:color w:val="231F20"/>
        </w:rPr>
        <w:t>dans</w:t>
      </w:r>
      <w:r>
        <w:rPr>
          <w:color w:val="231F20"/>
          <w:spacing w:val="-6"/>
        </w:rPr>
        <w:t> </w:t>
      </w:r>
      <w:r>
        <w:rPr>
          <w:color w:val="231F20"/>
        </w:rPr>
        <w:t>les</w:t>
      </w:r>
      <w:r>
        <w:rPr>
          <w:color w:val="231F20"/>
          <w:spacing w:val="-6"/>
        </w:rPr>
        <w:t> </w:t>
      </w:r>
      <w:r>
        <w:rPr>
          <w:color w:val="231F20"/>
        </w:rPr>
        <w:t>actes</w:t>
      </w:r>
      <w:r>
        <w:rPr>
          <w:color w:val="231F20"/>
          <w:spacing w:val="-6"/>
        </w:rPr>
        <w:t> </w:t>
      </w:r>
      <w:r>
        <w:rPr>
          <w:color w:val="231F20"/>
        </w:rPr>
        <w:t>émanant des</w:t>
      </w:r>
      <w:r>
        <w:rPr>
          <w:color w:val="231F20"/>
          <w:spacing w:val="15"/>
        </w:rPr>
        <w:t> </w:t>
      </w:r>
      <w:r>
        <w:rPr>
          <w:color w:val="231F20"/>
        </w:rPr>
        <w:t>succursales.</w:t>
      </w:r>
    </w:p>
    <w:p>
      <w:pPr>
        <w:pStyle w:val="BodyText"/>
        <w:spacing w:line="218" w:lineRule="auto" w:before="96"/>
        <w:ind w:right="38"/>
      </w:pPr>
      <w:r>
        <w:rPr>
          <w:color w:val="231F20"/>
        </w:rPr>
        <w:t>Art. 2:29. Tous les actes, factures, annonces, publications, lettres, notes de commande, sites internet et autres documents, sous forme electronique ou non, émanant de succursales de personnes morales étrangères en Belgique, doivent contenir les indications suivantes:</w:t>
      </w:r>
    </w:p>
    <w:p>
      <w:pPr>
        <w:pStyle w:val="BodyText"/>
        <w:spacing w:line="338" w:lineRule="auto" w:before="82"/>
        <w:ind w:left="283" w:right="2014" w:firstLine="0"/>
        <w:jc w:val="left"/>
      </w:pPr>
      <w:r>
        <w:rPr>
          <w:color w:val="231F20"/>
        </w:rPr>
        <w:t>1° la dénomination de la personne morale; 2° la forme légale;</w:t>
      </w:r>
    </w:p>
    <w:p>
      <w:pPr>
        <w:pStyle w:val="BodyText"/>
        <w:spacing w:line="218" w:lineRule="auto" w:before="13"/>
        <w:ind w:right="38"/>
      </w:pPr>
      <w:r>
        <w:rPr>
          <w:color w:val="231F20"/>
        </w:rPr>
        <w:t>3° l’indication précise du siège de la personne morale et de l’adresse de la succursale;</w:t>
      </w:r>
    </w:p>
    <w:p>
      <w:pPr>
        <w:pStyle w:val="BodyText"/>
        <w:spacing w:line="218" w:lineRule="auto" w:before="96"/>
        <w:ind w:right="38"/>
      </w:pPr>
      <w:r>
        <w:rPr>
          <w:color w:val="231F20"/>
        </w:rPr>
        <w:t>4° le cas échéant, le registre dans lequel la personne morale est inscrite, suivi de son numéro d’immatriculation dans ce registre;</w:t>
      </w:r>
    </w:p>
    <w:p>
      <w:pPr>
        <w:pStyle w:val="BodyText"/>
        <w:spacing w:before="82"/>
        <w:ind w:left="283" w:right="0" w:firstLine="0"/>
        <w:jc w:val="left"/>
      </w:pPr>
      <w:r>
        <w:rPr>
          <w:color w:val="231F20"/>
        </w:rPr>
        <w:t>5° le numéro d’entreprise;</w:t>
      </w:r>
    </w:p>
    <w:p>
      <w:pPr>
        <w:pStyle w:val="BodyText"/>
        <w:spacing w:line="218" w:lineRule="auto" w:before="93"/>
        <w:ind w:right="38"/>
      </w:pPr>
      <w:r>
        <w:rPr>
          <w:color w:val="231F20"/>
        </w:rPr>
        <w:t>6° le cas échéant, l’indication que la personne morale est en liquidation.</w:t>
      </w:r>
    </w:p>
    <w:p>
      <w:pPr>
        <w:pStyle w:val="BodyText"/>
        <w:spacing w:line="218" w:lineRule="auto" w:before="81"/>
        <w:ind w:right="38"/>
      </w:pPr>
      <w:r>
        <w:rPr>
          <w:color w:val="231F20"/>
        </w:rPr>
        <w:t>Si les documents indiqués à l’alinéa 1</w:t>
      </w:r>
      <w:r>
        <w:rPr>
          <w:color w:val="231F20"/>
          <w:position w:val="7"/>
          <w:sz w:val="11"/>
        </w:rPr>
        <w:t>er </w:t>
      </w:r>
      <w:r>
        <w:rPr>
          <w:color w:val="231F20"/>
        </w:rPr>
        <w:t>mentionnent le capital de la personne morale, celui-ci doit être le capital libéré, tel qu’il résulte du dernier bilan. Si celui-ci fait apparaître que le capital libéré n’est plus intact, mention doit être faite de l’actif net tel qu’il résulte du dernier bilan.</w:t>
      </w:r>
    </w:p>
    <w:p>
      <w:pPr>
        <w:pStyle w:val="BodyText"/>
        <w:spacing w:line="218" w:lineRule="auto" w:before="96"/>
        <w:ind w:right="38"/>
      </w:pPr>
      <w:r>
        <w:rPr>
          <w:color w:val="231F20"/>
        </w:rPr>
        <w:t>Au cas où est mentionné un montant supérieur au montant déterminé conformément à l’alinéa 2 et où la personne morale demeure en défaut de faire face à ses obligations, le tiers concerné aura le droit de réclamer à la personne intervenue pour la personne morale dans cet acte</w:t>
      </w:r>
      <w:r>
        <w:rPr>
          <w:color w:val="231F20"/>
          <w:spacing w:val="14"/>
        </w:rPr>
        <w:t> </w:t>
      </w:r>
      <w:r>
        <w:rPr>
          <w:color w:val="231F20"/>
        </w:rPr>
        <w:t>ou</w:t>
      </w:r>
      <w:r>
        <w:rPr>
          <w:color w:val="231F20"/>
          <w:spacing w:val="14"/>
        </w:rPr>
        <w:t> </w:t>
      </w:r>
      <w:r>
        <w:rPr>
          <w:color w:val="231F20"/>
        </w:rPr>
        <w:t>sur</w:t>
      </w:r>
      <w:r>
        <w:rPr>
          <w:color w:val="231F20"/>
          <w:spacing w:val="15"/>
        </w:rPr>
        <w:t> </w:t>
      </w:r>
      <w:r>
        <w:rPr>
          <w:color w:val="231F20"/>
        </w:rPr>
        <w:t>ce</w:t>
      </w:r>
      <w:r>
        <w:rPr>
          <w:color w:val="231F20"/>
          <w:spacing w:val="14"/>
        </w:rPr>
        <w:t> </w:t>
      </w:r>
      <w:r>
        <w:rPr>
          <w:color w:val="231F20"/>
        </w:rPr>
        <w:t>site</w:t>
      </w:r>
      <w:r>
        <w:rPr>
          <w:color w:val="231F20"/>
          <w:spacing w:val="14"/>
        </w:rPr>
        <w:t> </w:t>
      </w:r>
      <w:r>
        <w:rPr>
          <w:color w:val="231F20"/>
        </w:rPr>
        <w:t>internet</w:t>
      </w:r>
      <w:r>
        <w:rPr>
          <w:color w:val="231F20"/>
          <w:spacing w:val="15"/>
        </w:rPr>
        <w:t> </w:t>
      </w:r>
      <w:r>
        <w:rPr>
          <w:color w:val="231F20"/>
        </w:rPr>
        <w:t>la</w:t>
      </w:r>
      <w:r>
        <w:rPr>
          <w:color w:val="231F20"/>
          <w:spacing w:val="14"/>
        </w:rPr>
        <w:t> </w:t>
      </w:r>
      <w:r>
        <w:rPr>
          <w:color w:val="231F20"/>
        </w:rPr>
        <w:t>réparation</w:t>
      </w:r>
      <w:r>
        <w:rPr>
          <w:color w:val="231F20"/>
          <w:spacing w:val="14"/>
        </w:rPr>
        <w:t> </w:t>
      </w:r>
      <w:r>
        <w:rPr>
          <w:color w:val="231F20"/>
        </w:rPr>
        <w:t>du</w:t>
      </w:r>
      <w:r>
        <w:rPr>
          <w:color w:val="231F20"/>
          <w:spacing w:val="15"/>
        </w:rPr>
        <w:t> </w:t>
      </w:r>
      <w:r>
        <w:rPr>
          <w:color w:val="231F20"/>
        </w:rPr>
        <w:t>préjudice</w:t>
      </w:r>
      <w:r>
        <w:rPr>
          <w:color w:val="231F20"/>
          <w:spacing w:val="14"/>
        </w:rPr>
        <w:t> </w:t>
      </w:r>
      <w:r>
        <w:rPr>
          <w:color w:val="231F20"/>
        </w:rPr>
        <w:t>qui</w:t>
      </w:r>
      <w:r>
        <w:rPr>
          <w:color w:val="231F20"/>
          <w:spacing w:val="15"/>
        </w:rPr>
        <w:t> </w:t>
      </w:r>
      <w:r>
        <w:rPr>
          <w:color w:val="231F20"/>
        </w:rPr>
        <w:t>en</w:t>
      </w:r>
      <w:r>
        <w:rPr>
          <w:color w:val="231F20"/>
          <w:spacing w:val="14"/>
        </w:rPr>
        <w:t> </w:t>
      </w:r>
      <w:r>
        <w:rPr>
          <w:color w:val="231F20"/>
        </w:rPr>
        <w:t>résulte.</w:t>
      </w:r>
    </w:p>
    <w:p>
      <w:pPr>
        <w:pStyle w:val="BodyText"/>
        <w:spacing w:line="218" w:lineRule="auto" w:before="96"/>
        <w:ind w:right="38"/>
      </w:pPr>
      <w:r>
        <w:rPr>
          <w:color w:val="231F20"/>
          <w:spacing w:val="-4"/>
        </w:rPr>
        <w:t>Toute </w:t>
      </w:r>
      <w:r>
        <w:rPr>
          <w:color w:val="231F20"/>
        </w:rPr>
        <w:t>personne qui interviendra pour une personne morale étrangère dans un acte ou sur un site internet qui ne respecterait pas les conditions prescrites par le présent article, pourra, suivant les circons- tances, être déclarée responsable des engagements qui y sont pris pour la personne morale.</w:t>
      </w:r>
    </w:p>
    <w:p>
      <w:pPr>
        <w:pStyle w:val="BodyText"/>
        <w:spacing w:line="218" w:lineRule="auto" w:before="97"/>
        <w:ind w:right="38"/>
      </w:pPr>
      <w:r>
        <w:rPr>
          <w:color w:val="231F20"/>
        </w:rPr>
        <w:t>Section 3. La protection des personnes physiques à l’égard du traitement des données à caractère personnel.</w:t>
      </w:r>
    </w:p>
    <w:p>
      <w:pPr>
        <w:pStyle w:val="BodyText"/>
        <w:spacing w:line="218" w:lineRule="auto" w:before="96"/>
        <w:ind w:right="38"/>
      </w:pPr>
      <w:r>
        <w:rPr>
          <w:color w:val="231F20"/>
        </w:rPr>
        <w:t>Art. 2:30. L’usage abusif des données extraites du dossier visé aux articles</w:t>
      </w:r>
      <w:r>
        <w:rPr>
          <w:color w:val="231F20"/>
          <w:spacing w:val="-4"/>
        </w:rPr>
        <w:t> </w:t>
      </w:r>
      <w:r>
        <w:rPr>
          <w:color w:val="231F20"/>
        </w:rPr>
        <w:t>2:7</w:t>
      </w:r>
      <w:r>
        <w:rPr>
          <w:color w:val="231F20"/>
          <w:spacing w:val="-3"/>
        </w:rPr>
        <w:t> </w:t>
      </w:r>
      <w:r>
        <w:rPr>
          <w:color w:val="231F20"/>
        </w:rPr>
        <w:t>et</w:t>
      </w:r>
      <w:r>
        <w:rPr>
          <w:color w:val="231F20"/>
          <w:spacing w:val="-3"/>
        </w:rPr>
        <w:t> </w:t>
      </w:r>
      <w:r>
        <w:rPr>
          <w:color w:val="231F20"/>
        </w:rPr>
        <w:t>2:23</w:t>
      </w:r>
      <w:r>
        <w:rPr>
          <w:color w:val="231F20"/>
          <w:spacing w:val="-3"/>
        </w:rPr>
        <w:t> </w:t>
      </w:r>
      <w:r>
        <w:rPr>
          <w:color w:val="231F20"/>
        </w:rPr>
        <w:t>constitue</w:t>
      </w:r>
      <w:r>
        <w:rPr>
          <w:color w:val="231F20"/>
          <w:spacing w:val="-3"/>
        </w:rPr>
        <w:t> </w:t>
      </w:r>
      <w:r>
        <w:rPr>
          <w:color w:val="231F20"/>
        </w:rPr>
        <w:t>une</w:t>
      </w:r>
      <w:r>
        <w:rPr>
          <w:color w:val="231F20"/>
          <w:spacing w:val="-3"/>
        </w:rPr>
        <w:t> </w:t>
      </w:r>
      <w:r>
        <w:rPr>
          <w:color w:val="231F20"/>
        </w:rPr>
        <w:t>violation</w:t>
      </w:r>
      <w:r>
        <w:rPr>
          <w:color w:val="231F20"/>
          <w:spacing w:val="-3"/>
        </w:rPr>
        <w:t> </w:t>
      </w:r>
      <w:r>
        <w:rPr>
          <w:color w:val="231F20"/>
        </w:rPr>
        <w:t>du</w:t>
      </w:r>
      <w:r>
        <w:rPr>
          <w:color w:val="231F20"/>
          <w:spacing w:val="-3"/>
        </w:rPr>
        <w:t> </w:t>
      </w:r>
      <w:r>
        <w:rPr>
          <w:color w:val="231F20"/>
        </w:rPr>
        <w:t>Règlement</w:t>
      </w:r>
      <w:r>
        <w:rPr>
          <w:color w:val="231F20"/>
          <w:spacing w:val="-3"/>
        </w:rPr>
        <w:t> </w:t>
      </w:r>
      <w:r>
        <w:rPr>
          <w:color w:val="231F20"/>
        </w:rPr>
        <w:t>(UE)</w:t>
      </w:r>
      <w:r>
        <w:rPr>
          <w:color w:val="231F20"/>
          <w:spacing w:val="-3"/>
        </w:rPr>
        <w:t> </w:t>
      </w:r>
      <w:r>
        <w:rPr>
          <w:color w:val="231F20"/>
        </w:rPr>
        <w:t>2016/679 du Parlement européen et du Conseil du 27 avril 2016 relatif à la protection des personnes physiques à l’égard du traitement</w:t>
      </w:r>
      <w:r>
        <w:rPr>
          <w:color w:val="231F20"/>
          <w:spacing w:val="28"/>
        </w:rPr>
        <w:t> </w:t>
      </w:r>
      <w:r>
        <w:rPr>
          <w:color w:val="231F20"/>
        </w:rPr>
        <w:t>des données à caractère personnel et à la libre circulation de ces données,</w:t>
      </w:r>
      <w:r>
        <w:rPr>
          <w:color w:val="231F20"/>
          <w:spacing w:val="-20"/>
        </w:rPr>
        <w:t> </w:t>
      </w:r>
      <w:r>
        <w:rPr>
          <w:color w:val="231F20"/>
        </w:rPr>
        <w:t>et abrogeant la directive 95/46/CE et de la loi du 30 juillet 2018 relative à la protection des personnes physiques à l’égard des traitements de données à caractère personnel, et engage la responsabilité de l’utilisa- teur pour dommage</w:t>
      </w:r>
      <w:r>
        <w:rPr>
          <w:color w:val="231F20"/>
          <w:spacing w:val="5"/>
        </w:rPr>
        <w:t> </w:t>
      </w:r>
      <w:r>
        <w:rPr>
          <w:color w:val="231F20"/>
        </w:rPr>
        <w:t>éventuel.</w:t>
      </w:r>
    </w:p>
    <w:p>
      <w:pPr>
        <w:pStyle w:val="BodyText"/>
        <w:spacing w:line="218" w:lineRule="auto" w:before="119"/>
      </w:pPr>
      <w:r>
        <w:rPr/>
        <w:br w:type="column"/>
      </w:r>
      <w:r>
        <w:rPr>
          <w:color w:val="231F20"/>
        </w:rPr>
        <w:t>§ 2. Met het oog op hun opname in het dossier van een stichting die op geldige wijze in het buitenland is opgericht overeenkomstig de wet van de Staat waartoe zij behoort en die een bijkantoor heeft in België, worden de volgende stukken neergelegd:</w:t>
      </w:r>
    </w:p>
    <w:p>
      <w:pPr>
        <w:pStyle w:val="BodyText"/>
        <w:spacing w:before="72"/>
        <w:ind w:left="283" w:right="0" w:firstLine="0"/>
        <w:jc w:val="left"/>
      </w:pPr>
      <w:r>
        <w:rPr>
          <w:color w:val="231F20"/>
        </w:rPr>
        <w:t>1° binnen dertig dagen na de beslissing of de gebeurtenis:</w:t>
      </w:r>
    </w:p>
    <w:p>
      <w:pPr>
        <w:pStyle w:val="ListParagraph"/>
        <w:numPr>
          <w:ilvl w:val="0"/>
          <w:numId w:val="47"/>
        </w:numPr>
        <w:tabs>
          <w:tab w:pos="461" w:val="left" w:leader="none"/>
        </w:tabs>
        <w:spacing w:line="218" w:lineRule="auto" w:before="79" w:after="0"/>
        <w:ind w:left="113" w:right="124" w:firstLine="170"/>
        <w:jc w:val="both"/>
        <w:rPr>
          <w:sz w:val="17"/>
        </w:rPr>
      </w:pPr>
      <w:r>
        <w:rPr>
          <w:color w:val="231F20"/>
          <w:sz w:val="17"/>
        </w:rPr>
        <w:t>elke wijziging van de stukken en gegevens bedoeld in paragraaf 1, 1°, 2°, 3° en</w:t>
      </w:r>
      <w:r>
        <w:rPr>
          <w:color w:val="231F20"/>
          <w:spacing w:val="16"/>
          <w:sz w:val="17"/>
        </w:rPr>
        <w:t> </w:t>
      </w:r>
      <w:r>
        <w:rPr>
          <w:color w:val="231F20"/>
          <w:sz w:val="17"/>
        </w:rPr>
        <w:t>4°;</w:t>
      </w:r>
    </w:p>
    <w:p>
      <w:pPr>
        <w:pStyle w:val="ListParagraph"/>
        <w:numPr>
          <w:ilvl w:val="0"/>
          <w:numId w:val="47"/>
        </w:numPr>
        <w:tabs>
          <w:tab w:pos="472" w:val="left" w:leader="none"/>
        </w:tabs>
        <w:spacing w:line="218" w:lineRule="auto" w:before="83" w:after="0"/>
        <w:ind w:left="113" w:right="124" w:firstLine="170"/>
        <w:jc w:val="both"/>
        <w:rPr>
          <w:sz w:val="17"/>
        </w:rPr>
      </w:pPr>
      <w:r>
        <w:rPr>
          <w:color w:val="231F20"/>
          <w:sz w:val="17"/>
        </w:rPr>
        <w:t>de ontbinding van de stichting, de benoeming, de identiteit en de bevoegdheden van de vereffenaars, evenals de sluiting van de vereffe- ning;</w:t>
      </w:r>
    </w:p>
    <w:p>
      <w:pPr>
        <w:pStyle w:val="ListParagraph"/>
        <w:numPr>
          <w:ilvl w:val="0"/>
          <w:numId w:val="47"/>
        </w:numPr>
        <w:tabs>
          <w:tab w:pos="475" w:val="left" w:leader="none"/>
        </w:tabs>
        <w:spacing w:line="218" w:lineRule="auto" w:before="83" w:after="0"/>
        <w:ind w:left="113" w:right="124" w:firstLine="170"/>
        <w:jc w:val="both"/>
        <w:rPr>
          <w:sz w:val="17"/>
        </w:rPr>
      </w:pPr>
      <w:r>
        <w:rPr>
          <w:color w:val="231F20"/>
          <w:sz w:val="17"/>
        </w:rPr>
        <w:t>elk faillissement, gerechtelijke reorganisatie of elke andere soort- gelijke</w:t>
      </w:r>
      <w:r>
        <w:rPr>
          <w:color w:val="231F20"/>
          <w:spacing w:val="14"/>
          <w:sz w:val="17"/>
        </w:rPr>
        <w:t> </w:t>
      </w:r>
      <w:r>
        <w:rPr>
          <w:color w:val="231F20"/>
          <w:sz w:val="17"/>
        </w:rPr>
        <w:t>procedure</w:t>
      </w:r>
      <w:r>
        <w:rPr>
          <w:color w:val="231F20"/>
          <w:spacing w:val="15"/>
          <w:sz w:val="17"/>
        </w:rPr>
        <w:t> </w:t>
      </w:r>
      <w:r>
        <w:rPr>
          <w:color w:val="231F20"/>
          <w:sz w:val="17"/>
        </w:rPr>
        <w:t>met</w:t>
      </w:r>
      <w:r>
        <w:rPr>
          <w:color w:val="231F20"/>
          <w:spacing w:val="15"/>
          <w:sz w:val="17"/>
        </w:rPr>
        <w:t> </w:t>
      </w:r>
      <w:r>
        <w:rPr>
          <w:color w:val="231F20"/>
          <w:sz w:val="17"/>
        </w:rPr>
        <w:t>betrekking</w:t>
      </w:r>
      <w:r>
        <w:rPr>
          <w:color w:val="231F20"/>
          <w:spacing w:val="15"/>
          <w:sz w:val="17"/>
        </w:rPr>
        <w:t> </w:t>
      </w:r>
      <w:r>
        <w:rPr>
          <w:color w:val="231F20"/>
          <w:sz w:val="17"/>
        </w:rPr>
        <w:t>tot</w:t>
      </w:r>
      <w:r>
        <w:rPr>
          <w:color w:val="231F20"/>
          <w:spacing w:val="15"/>
          <w:sz w:val="17"/>
        </w:rPr>
        <w:t> </w:t>
      </w:r>
      <w:r>
        <w:rPr>
          <w:color w:val="231F20"/>
          <w:sz w:val="17"/>
        </w:rPr>
        <w:t>de</w:t>
      </w:r>
      <w:r>
        <w:rPr>
          <w:color w:val="231F20"/>
          <w:spacing w:val="15"/>
          <w:sz w:val="17"/>
        </w:rPr>
        <w:t> </w:t>
      </w:r>
      <w:r>
        <w:rPr>
          <w:color w:val="231F20"/>
          <w:sz w:val="17"/>
        </w:rPr>
        <w:t>stichting;</w:t>
      </w:r>
    </w:p>
    <w:p>
      <w:pPr>
        <w:pStyle w:val="ListParagraph"/>
        <w:numPr>
          <w:ilvl w:val="0"/>
          <w:numId w:val="47"/>
        </w:numPr>
        <w:tabs>
          <w:tab w:pos="483" w:val="left" w:leader="none"/>
        </w:tabs>
        <w:spacing w:line="240" w:lineRule="auto" w:before="69" w:after="0"/>
        <w:ind w:left="482" w:right="0" w:hanging="199"/>
        <w:jc w:val="left"/>
        <w:rPr>
          <w:sz w:val="17"/>
        </w:rPr>
      </w:pPr>
      <w:r>
        <w:rPr>
          <w:color w:val="231F20"/>
          <w:sz w:val="17"/>
        </w:rPr>
        <w:t>de sluiting van het</w:t>
      </w:r>
      <w:r>
        <w:rPr>
          <w:color w:val="231F20"/>
          <w:spacing w:val="19"/>
          <w:sz w:val="17"/>
        </w:rPr>
        <w:t> </w:t>
      </w:r>
      <w:r>
        <w:rPr>
          <w:color w:val="231F20"/>
          <w:sz w:val="17"/>
        </w:rPr>
        <w:t>bijkantoor;</w:t>
      </w:r>
    </w:p>
    <w:p>
      <w:pPr>
        <w:pStyle w:val="BodyText"/>
        <w:spacing w:line="218" w:lineRule="auto" w:before="92"/>
      </w:pPr>
      <w:r>
        <w:rPr>
          <w:color w:val="231F20"/>
        </w:rPr>
        <w:t>2° jaarlijks, binnen een maand volgend op de algemene vergadering en ten laatste zeven maanden na de datum van afsluiting van het boekjaar, de jaarrekening van de stichting.</w:t>
      </w:r>
    </w:p>
    <w:p>
      <w:pPr>
        <w:pStyle w:val="BodyText"/>
        <w:spacing w:line="218" w:lineRule="auto" w:before="97"/>
      </w:pPr>
      <w:r>
        <w:rPr>
          <w:color w:val="231F20"/>
        </w:rPr>
        <w:t>In afwijking van artikel 2:23, legt een buitenlandse stichting die in België een bijkantoor heeft dat op de balansdatum van het laatst afgesloten boekjaar meer dan één van de in artikel 3:51, § 2, bedoelde criteria overschrijdt, de in het eerste lid, 2°, bedoelde jaarrekening neer bij de Nationale Bank van België.</w:t>
      </w:r>
    </w:p>
    <w:p>
      <w:pPr>
        <w:pStyle w:val="BodyText"/>
        <w:spacing w:line="218" w:lineRule="auto" w:before="93"/>
      </w:pPr>
      <w:r>
        <w:rPr>
          <w:color w:val="231F20"/>
        </w:rPr>
        <w:t>De in het eerste lid, 1°, </w:t>
      </w:r>
      <w:r>
        <w:rPr>
          <w:rFonts w:ascii="Times New Roman" w:hAnsi="Times New Roman"/>
          <w:i/>
          <w:color w:val="231F20"/>
        </w:rPr>
        <w:t>a) </w:t>
      </w:r>
      <w:r>
        <w:rPr>
          <w:color w:val="231F20"/>
        </w:rPr>
        <w:t>en </w:t>
      </w:r>
      <w:r>
        <w:rPr>
          <w:rFonts w:ascii="Times New Roman" w:hAnsi="Times New Roman"/>
          <w:i/>
          <w:color w:val="231F20"/>
        </w:rPr>
        <w:t>b)</w:t>
      </w:r>
      <w:r>
        <w:rPr>
          <w:color w:val="231F20"/>
        </w:rPr>
        <w:t>, bedoelde akten bevatten hun naam, voornaam, woonplaats of, ingeval het een rechtspersoon betreft, hun naam, rechtsvorm, ondernemingsnummer en zetel.</w:t>
      </w:r>
    </w:p>
    <w:p>
      <w:pPr>
        <w:pStyle w:val="BodyText"/>
        <w:spacing w:before="83"/>
        <w:ind w:left="283" w:right="0" w:firstLine="0"/>
        <w:jc w:val="left"/>
      </w:pPr>
      <w:r>
        <w:rPr>
          <w:color w:val="231F20"/>
        </w:rPr>
        <w:t>Onderafdeling 2. Bekendmakingsverplichting.</w:t>
      </w:r>
    </w:p>
    <w:p>
      <w:pPr>
        <w:pStyle w:val="BodyText"/>
        <w:spacing w:line="216" w:lineRule="auto" w:before="94"/>
      </w:pPr>
      <w:r>
        <w:rPr>
          <w:color w:val="231F20"/>
        </w:rPr>
        <w:t>Art. 2:27. Overeenkomstig artikel 2:13 wordt het onderwerp van de stukken bedoeld in de artikelen 2:24, 2:25, § 2 en 2:26, bekendgemaakt in de vorm van een mededeling in de Bijlagen bij het </w:t>
      </w:r>
      <w:r>
        <w:rPr>
          <w:rFonts w:ascii="Times New Roman" w:hAnsi="Times New Roman"/>
          <w:i/>
          <w:color w:val="231F20"/>
        </w:rPr>
        <w:t>Belgisch Staatsblad</w:t>
      </w:r>
      <w:r>
        <w:rPr>
          <w:color w:val="231F20"/>
        </w:rPr>
        <w:t>.</w:t>
      </w:r>
    </w:p>
    <w:p>
      <w:pPr>
        <w:pStyle w:val="BodyText"/>
        <w:spacing w:before="84"/>
        <w:ind w:left="283" w:right="0" w:firstLine="0"/>
        <w:jc w:val="left"/>
      </w:pPr>
      <w:r>
        <w:rPr>
          <w:color w:val="231F20"/>
        </w:rPr>
        <w:t>Onderafdeling 3. Tegenwerpelijkheid.</w:t>
      </w:r>
    </w:p>
    <w:p>
      <w:pPr>
        <w:pStyle w:val="BodyText"/>
        <w:spacing w:line="218" w:lineRule="auto" w:before="92"/>
      </w:pPr>
      <w:r>
        <w:rPr>
          <w:color w:val="231F20"/>
        </w:rPr>
        <w:t>Art. 2:28. De neergelegde stukken kunnen aan derden worden tegengeworpen overeenkomstig artikel 2:18.</w:t>
      </w:r>
    </w:p>
    <w:p>
      <w:pPr>
        <w:pStyle w:val="BodyText"/>
        <w:spacing w:line="218" w:lineRule="auto" w:before="96"/>
      </w:pPr>
      <w:r>
        <w:rPr>
          <w:color w:val="231F20"/>
        </w:rPr>
        <w:t>Onderafdeling 4. Enige in de stukken uitgaande van bijkantoren op  te nemen</w:t>
      </w:r>
      <w:r>
        <w:rPr>
          <w:color w:val="231F20"/>
          <w:spacing w:val="-11"/>
        </w:rPr>
        <w:t> </w:t>
      </w:r>
      <w:r>
        <w:rPr>
          <w:color w:val="231F20"/>
        </w:rPr>
        <w:t>vermeldingen.</w:t>
      </w:r>
    </w:p>
    <w:p>
      <w:pPr>
        <w:pStyle w:val="BodyText"/>
        <w:spacing w:line="218" w:lineRule="auto" w:before="96"/>
      </w:pPr>
      <w:r>
        <w:rPr>
          <w:color w:val="231F20"/>
        </w:rPr>
        <w:t>Art. 2:29. Alle akten, facturen, aankondigingen, bekendmakingen, brieven,</w:t>
      </w:r>
      <w:r>
        <w:rPr>
          <w:color w:val="231F20"/>
          <w:spacing w:val="-4"/>
        </w:rPr>
        <w:t> </w:t>
      </w:r>
      <w:r>
        <w:rPr>
          <w:color w:val="231F20"/>
        </w:rPr>
        <w:t>orders,</w:t>
      </w:r>
      <w:r>
        <w:rPr>
          <w:color w:val="231F20"/>
          <w:spacing w:val="-3"/>
        </w:rPr>
        <w:t> </w:t>
      </w:r>
      <w:r>
        <w:rPr>
          <w:color w:val="231F20"/>
        </w:rPr>
        <w:t>websites</w:t>
      </w:r>
      <w:r>
        <w:rPr>
          <w:color w:val="231F20"/>
          <w:spacing w:val="-3"/>
        </w:rPr>
        <w:t> </w:t>
      </w:r>
      <w:r>
        <w:rPr>
          <w:color w:val="231F20"/>
        </w:rPr>
        <w:t>en</w:t>
      </w:r>
      <w:r>
        <w:rPr>
          <w:color w:val="231F20"/>
          <w:spacing w:val="-3"/>
        </w:rPr>
        <w:t> </w:t>
      </w:r>
      <w:r>
        <w:rPr>
          <w:color w:val="231F20"/>
        </w:rPr>
        <w:t>andere</w:t>
      </w:r>
      <w:r>
        <w:rPr>
          <w:color w:val="231F20"/>
          <w:spacing w:val="-4"/>
        </w:rPr>
        <w:t> </w:t>
      </w:r>
      <w:r>
        <w:rPr>
          <w:color w:val="231F20"/>
        </w:rPr>
        <w:t>stukken,</w:t>
      </w:r>
      <w:r>
        <w:rPr>
          <w:color w:val="231F20"/>
          <w:spacing w:val="-3"/>
        </w:rPr>
        <w:t> </w:t>
      </w:r>
      <w:r>
        <w:rPr>
          <w:color w:val="231F20"/>
        </w:rPr>
        <w:t>al</w:t>
      </w:r>
      <w:r>
        <w:rPr>
          <w:color w:val="231F20"/>
          <w:spacing w:val="-3"/>
        </w:rPr>
        <w:t> </w:t>
      </w:r>
      <w:r>
        <w:rPr>
          <w:color w:val="231F20"/>
        </w:rPr>
        <w:t>dan</w:t>
      </w:r>
      <w:r>
        <w:rPr>
          <w:color w:val="231F20"/>
          <w:spacing w:val="-3"/>
        </w:rPr>
        <w:t> </w:t>
      </w:r>
      <w:r>
        <w:rPr>
          <w:color w:val="231F20"/>
        </w:rPr>
        <w:t>niet</w:t>
      </w:r>
      <w:r>
        <w:rPr>
          <w:color w:val="231F20"/>
          <w:spacing w:val="-4"/>
        </w:rPr>
        <w:t> </w:t>
      </w:r>
      <w:r>
        <w:rPr>
          <w:color w:val="231F20"/>
        </w:rPr>
        <w:t>in</w:t>
      </w:r>
      <w:r>
        <w:rPr>
          <w:color w:val="231F20"/>
          <w:spacing w:val="-3"/>
        </w:rPr>
        <w:t> </w:t>
      </w:r>
      <w:r>
        <w:rPr>
          <w:color w:val="231F20"/>
        </w:rPr>
        <w:t>elektronische vorm, uitgaande van bijkantoren in België van buitenlandse rechtsper- sonen</w:t>
      </w:r>
      <w:r>
        <w:rPr>
          <w:color w:val="231F20"/>
          <w:spacing w:val="16"/>
        </w:rPr>
        <w:t> </w:t>
      </w:r>
      <w:r>
        <w:rPr>
          <w:color w:val="231F20"/>
        </w:rPr>
        <w:t>moeten</w:t>
      </w:r>
      <w:r>
        <w:rPr>
          <w:color w:val="231F20"/>
          <w:spacing w:val="17"/>
        </w:rPr>
        <w:t> </w:t>
      </w:r>
      <w:r>
        <w:rPr>
          <w:color w:val="231F20"/>
        </w:rPr>
        <w:t>de</w:t>
      </w:r>
      <w:r>
        <w:rPr>
          <w:color w:val="231F20"/>
          <w:spacing w:val="16"/>
        </w:rPr>
        <w:t> </w:t>
      </w:r>
      <w:r>
        <w:rPr>
          <w:color w:val="231F20"/>
        </w:rPr>
        <w:t>volgende</w:t>
      </w:r>
      <w:r>
        <w:rPr>
          <w:color w:val="231F20"/>
          <w:spacing w:val="17"/>
        </w:rPr>
        <w:t> </w:t>
      </w:r>
      <w:r>
        <w:rPr>
          <w:color w:val="231F20"/>
        </w:rPr>
        <w:t>gegevens</w:t>
      </w:r>
      <w:r>
        <w:rPr>
          <w:color w:val="231F20"/>
          <w:spacing w:val="17"/>
        </w:rPr>
        <w:t> </w:t>
      </w:r>
      <w:r>
        <w:rPr>
          <w:color w:val="231F20"/>
        </w:rPr>
        <w:t>vermelden:</w:t>
      </w:r>
    </w:p>
    <w:p>
      <w:pPr>
        <w:pStyle w:val="BodyText"/>
        <w:spacing w:line="338" w:lineRule="auto" w:before="83"/>
        <w:ind w:left="283" w:right="2675" w:hanging="1"/>
        <w:jc w:val="left"/>
      </w:pPr>
      <w:r>
        <w:rPr>
          <w:color w:val="231F20"/>
        </w:rPr>
        <w:t>1° de naam van de rechtspersoon; 2° de rechtsvorm;</w:t>
      </w:r>
    </w:p>
    <w:p>
      <w:pPr>
        <w:pStyle w:val="BodyText"/>
        <w:spacing w:line="218" w:lineRule="auto" w:before="13"/>
      </w:pPr>
      <w:r>
        <w:rPr>
          <w:color w:val="231F20"/>
        </w:rPr>
        <w:t>3° de nauwkeurige aanduiding van de zetel van de rechtspersoon en van het adres van het bijkantoor;</w:t>
      </w:r>
    </w:p>
    <w:p>
      <w:pPr>
        <w:pStyle w:val="BodyText"/>
        <w:spacing w:line="218" w:lineRule="auto" w:before="96"/>
      </w:pPr>
      <w:r>
        <w:rPr>
          <w:color w:val="231F20"/>
        </w:rPr>
        <w:t>4° in voorkomend geval, het register waarin de rechtspersoon is ingeschreven, gevolgd door het nummer van inschrijving;</w:t>
      </w:r>
    </w:p>
    <w:p>
      <w:pPr>
        <w:pStyle w:val="BodyText"/>
        <w:spacing w:before="82"/>
        <w:ind w:left="283" w:right="0" w:firstLine="0"/>
        <w:jc w:val="left"/>
      </w:pPr>
      <w:r>
        <w:rPr>
          <w:color w:val="231F20"/>
        </w:rPr>
        <w:t>5° het ondernemingsnummer;</w:t>
      </w:r>
    </w:p>
    <w:p>
      <w:pPr>
        <w:pStyle w:val="BodyText"/>
        <w:spacing w:line="185" w:lineRule="exact" w:before="78"/>
        <w:ind w:left="283" w:right="0" w:firstLine="0"/>
        <w:jc w:val="left"/>
      </w:pPr>
      <w:r>
        <w:rPr>
          <w:color w:val="231F20"/>
        </w:rPr>
        <w:t>6° in voorkomend geval, het feit dat de rechtspersoon in vereffening</w:t>
      </w:r>
    </w:p>
    <w:p>
      <w:pPr>
        <w:pStyle w:val="BodyText"/>
        <w:spacing w:line="185" w:lineRule="exact"/>
        <w:ind w:right="0" w:firstLine="0"/>
        <w:jc w:val="left"/>
      </w:pPr>
      <w:r>
        <w:rPr>
          <w:color w:val="231F20"/>
        </w:rPr>
        <w:t>is.</w:t>
      </w:r>
    </w:p>
    <w:p>
      <w:pPr>
        <w:pStyle w:val="BodyText"/>
        <w:spacing w:line="218" w:lineRule="auto" w:before="93"/>
      </w:pPr>
      <w:r>
        <w:rPr>
          <w:color w:val="231F20"/>
        </w:rPr>
        <w:t>Indien de in het eerste lid bedoelde stukken het kapitaal van de rechtspersoon vermelden, dient dit het gestorte kapitaal te zijn, zoals dit blijkt uit de laatste balans. Indien hieruit blijkt dat het</w:t>
      </w:r>
      <w:r>
        <w:rPr>
          <w:color w:val="231F20"/>
          <w:spacing w:val="10"/>
        </w:rPr>
        <w:t> </w:t>
      </w:r>
      <w:r>
        <w:rPr>
          <w:color w:val="231F20"/>
        </w:rPr>
        <w:t>gestorte kapitaal is aangetast, dient melding te worden gemaakt van het nettoactief</w:t>
      </w:r>
      <w:r>
        <w:rPr>
          <w:color w:val="231F20"/>
          <w:spacing w:val="14"/>
        </w:rPr>
        <w:t> </w:t>
      </w:r>
      <w:r>
        <w:rPr>
          <w:color w:val="231F20"/>
        </w:rPr>
        <w:t>zoals</w:t>
      </w:r>
      <w:r>
        <w:rPr>
          <w:color w:val="231F20"/>
          <w:spacing w:val="15"/>
        </w:rPr>
        <w:t> </w:t>
      </w:r>
      <w:r>
        <w:rPr>
          <w:color w:val="231F20"/>
        </w:rPr>
        <w:t>dit</w:t>
      </w:r>
      <w:r>
        <w:rPr>
          <w:color w:val="231F20"/>
          <w:spacing w:val="15"/>
        </w:rPr>
        <w:t> </w:t>
      </w:r>
      <w:r>
        <w:rPr>
          <w:color w:val="231F20"/>
        </w:rPr>
        <w:t>blijkt</w:t>
      </w:r>
      <w:r>
        <w:rPr>
          <w:color w:val="231F20"/>
          <w:spacing w:val="14"/>
        </w:rPr>
        <w:t> </w:t>
      </w:r>
      <w:r>
        <w:rPr>
          <w:color w:val="231F20"/>
        </w:rPr>
        <w:t>uit</w:t>
      </w:r>
      <w:r>
        <w:rPr>
          <w:color w:val="231F20"/>
          <w:spacing w:val="15"/>
        </w:rPr>
        <w:t> </w:t>
      </w:r>
      <w:r>
        <w:rPr>
          <w:color w:val="231F20"/>
        </w:rPr>
        <w:t>de</w:t>
      </w:r>
      <w:r>
        <w:rPr>
          <w:color w:val="231F20"/>
          <w:spacing w:val="15"/>
        </w:rPr>
        <w:t> </w:t>
      </w:r>
      <w:r>
        <w:rPr>
          <w:color w:val="231F20"/>
        </w:rPr>
        <w:t>laatste</w:t>
      </w:r>
      <w:r>
        <w:rPr>
          <w:color w:val="231F20"/>
          <w:spacing w:val="14"/>
        </w:rPr>
        <w:t> </w:t>
      </w:r>
      <w:r>
        <w:rPr>
          <w:color w:val="231F20"/>
        </w:rPr>
        <w:t>balans.</w:t>
      </w:r>
    </w:p>
    <w:p>
      <w:pPr>
        <w:pStyle w:val="BodyText"/>
        <w:spacing w:line="218" w:lineRule="auto" w:before="96"/>
      </w:pPr>
      <w:r>
        <w:rPr>
          <w:color w:val="231F20"/>
        </w:rPr>
        <w:t>Ingeval een hoger bedrag is opgegeven dan overeenkomstig het tweede lid is bepaald en de rechtspersoon in gebreke blijft haar verplichtingen na te komen, heeft de betrokken derde het recht om van de persoon die namens de rechtspersoon in de akte of website is opgetreden, het herstel te vorderen van de daardoor geleden schade.</w:t>
      </w:r>
    </w:p>
    <w:p>
      <w:pPr>
        <w:pStyle w:val="BodyText"/>
        <w:spacing w:line="218" w:lineRule="auto" w:before="97"/>
      </w:pPr>
      <w:r>
        <w:rPr>
          <w:color w:val="231F20"/>
        </w:rPr>
        <w:t>Hij die namens een buitenlandse rechtspersoon meewerkt aan een akte of website die niet voldoet aan de in dit artikel bedoelde voorschriften kan, naar gelang van de omstandigheden, aansprakelijk worden gesteld voor de daarin door de rechtspersoon aangegane verbintenissen.</w:t>
      </w:r>
    </w:p>
    <w:p>
      <w:pPr>
        <w:pStyle w:val="BodyText"/>
        <w:spacing w:line="218" w:lineRule="auto" w:before="96"/>
      </w:pPr>
      <w:r>
        <w:rPr>
          <w:color w:val="231F20"/>
        </w:rPr>
        <w:t>Afdeling 3. Bescherming van natuurlijke personen in verband met de verwerking van persoonsgegevens.</w:t>
      </w:r>
    </w:p>
    <w:p>
      <w:pPr>
        <w:pStyle w:val="BodyText"/>
        <w:spacing w:line="218" w:lineRule="auto" w:before="96"/>
        <w:ind w:right="123"/>
      </w:pPr>
      <w:r>
        <w:rPr>
          <w:color w:val="231F20"/>
        </w:rPr>
        <w:t>Art. 2:30. Oneigenlijk gebruik van de gegevens ingewonnen uit het dossier bedoeld in de artikelen 2:7 en 2:23 maakt een inbreuk uit op de </w:t>
      </w:r>
      <w:r>
        <w:rPr>
          <w:color w:val="231F20"/>
          <w:spacing w:val="-3"/>
        </w:rPr>
        <w:t>Verordening </w:t>
      </w:r>
      <w:r>
        <w:rPr>
          <w:color w:val="231F20"/>
        </w:rPr>
        <w:t>(EU) 2016/679 van het Europees Parlement en de Raad van 27 april 2016 betreffende de bescherming van natuurlijke personen in verband met de verwerking van persoonsgegevens en betreffende  het vrije verkeer van die gegevens en tot intrekking van Richtlijn 95/46/EG en de wet van 30 juli 2018 betreffende de bescherming van natuurlijke personen met betrekking tot de verwerking van persoons- gegevens,</w:t>
      </w:r>
      <w:r>
        <w:rPr>
          <w:color w:val="231F20"/>
          <w:spacing w:val="20"/>
        </w:rPr>
        <w:t> </w:t>
      </w:r>
      <w:r>
        <w:rPr>
          <w:color w:val="231F20"/>
        </w:rPr>
        <w:t>en</w:t>
      </w:r>
      <w:r>
        <w:rPr>
          <w:color w:val="231F20"/>
          <w:spacing w:val="20"/>
        </w:rPr>
        <w:t> </w:t>
      </w:r>
      <w:r>
        <w:rPr>
          <w:color w:val="231F20"/>
        </w:rPr>
        <w:t>stelt</w:t>
      </w:r>
      <w:r>
        <w:rPr>
          <w:color w:val="231F20"/>
          <w:spacing w:val="20"/>
        </w:rPr>
        <w:t> </w:t>
      </w:r>
      <w:r>
        <w:rPr>
          <w:color w:val="231F20"/>
        </w:rPr>
        <w:t>de</w:t>
      </w:r>
      <w:r>
        <w:rPr>
          <w:color w:val="231F20"/>
          <w:spacing w:val="20"/>
        </w:rPr>
        <w:t> </w:t>
      </w:r>
      <w:r>
        <w:rPr>
          <w:color w:val="231F20"/>
        </w:rPr>
        <w:t>gebruiker</w:t>
      </w:r>
      <w:r>
        <w:rPr>
          <w:color w:val="231F20"/>
          <w:spacing w:val="20"/>
        </w:rPr>
        <w:t> </w:t>
      </w:r>
      <w:r>
        <w:rPr>
          <w:color w:val="231F20"/>
        </w:rPr>
        <w:t>aansprakelijk</w:t>
      </w:r>
      <w:r>
        <w:rPr>
          <w:color w:val="231F20"/>
          <w:spacing w:val="20"/>
        </w:rPr>
        <w:t> </w:t>
      </w:r>
      <w:r>
        <w:rPr>
          <w:color w:val="231F20"/>
        </w:rPr>
        <w:t>voor</w:t>
      </w:r>
      <w:r>
        <w:rPr>
          <w:color w:val="231F20"/>
          <w:spacing w:val="20"/>
        </w:rPr>
        <w:t> </w:t>
      </w:r>
      <w:r>
        <w:rPr>
          <w:color w:val="231F20"/>
        </w:rPr>
        <w:t>gebeurlijke</w:t>
      </w:r>
      <w:r>
        <w:rPr>
          <w:color w:val="231F20"/>
          <w:spacing w:val="20"/>
        </w:rPr>
        <w:t> </w:t>
      </w:r>
      <w:r>
        <w:rPr>
          <w:color w:val="231F20"/>
        </w:rPr>
        <w:t>schade.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1528" from="298.170502pt,64.473pt" to="298.170502pt,812.819pt" stroked="true" strokeweight=".533pt" strokecolor="#231f20">
            <v:stroke dashstyle="solid"/>
            <w10:wrap type="none"/>
          </v:line>
        </w:pict>
      </w:r>
      <w:bookmarkStart w:name="_bookmark21" w:id="24"/>
      <w:bookmarkEnd w:id="24"/>
      <w:r>
        <w:rPr/>
      </w:r>
      <w:r>
        <w:rPr>
          <w:color w:val="231F20"/>
        </w:rPr>
        <w:t>Toute utilisation des données à caractère personnel sujettes à publicité en vertu de ce chapitre à des fins de prospection auprès des personnes physiques et de commercialisation d’informations financiè- res sur les personnes physiques y reprises est interdite.</w:t>
      </w:r>
    </w:p>
    <w:p>
      <w:pPr>
        <w:pStyle w:val="BodyText"/>
        <w:spacing w:before="93"/>
        <w:ind w:left="283" w:right="0" w:firstLine="0"/>
        <w:jc w:val="left"/>
      </w:pPr>
      <w:r>
        <w:rPr>
          <w:color w:val="231F20"/>
        </w:rPr>
        <w:t>CHAPITRE</w:t>
      </w:r>
      <w:r>
        <w:rPr>
          <w:color w:val="231F20"/>
          <w:spacing w:val="-5"/>
        </w:rPr>
        <w:t> </w:t>
      </w:r>
      <w:r>
        <w:rPr>
          <w:color w:val="231F20"/>
        </w:rPr>
        <w:t>4.</w:t>
      </w:r>
      <w:r>
        <w:rPr>
          <w:color w:val="231F20"/>
          <w:spacing w:val="-4"/>
        </w:rPr>
        <w:t> </w:t>
      </w:r>
      <w:r>
        <w:rPr>
          <w:color w:val="231F20"/>
        </w:rPr>
        <w:t>Site</w:t>
      </w:r>
      <w:r>
        <w:rPr>
          <w:color w:val="231F20"/>
          <w:spacing w:val="-5"/>
        </w:rPr>
        <w:t> </w:t>
      </w:r>
      <w:r>
        <w:rPr>
          <w:color w:val="231F20"/>
        </w:rPr>
        <w:t>internet</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personne</w:t>
      </w:r>
      <w:r>
        <w:rPr>
          <w:color w:val="231F20"/>
          <w:spacing w:val="-5"/>
        </w:rPr>
        <w:t> </w:t>
      </w:r>
      <w:r>
        <w:rPr>
          <w:color w:val="231F20"/>
        </w:rPr>
        <w:t>morale</w:t>
      </w:r>
      <w:r>
        <w:rPr>
          <w:color w:val="231F20"/>
          <w:spacing w:val="-4"/>
        </w:rPr>
        <w:t> </w:t>
      </w:r>
      <w:r>
        <w:rPr>
          <w:color w:val="231F20"/>
        </w:rPr>
        <w:t>et</w:t>
      </w:r>
      <w:r>
        <w:rPr>
          <w:color w:val="231F20"/>
          <w:spacing w:val="-5"/>
        </w:rPr>
        <w:t> </w:t>
      </w:r>
      <w:r>
        <w:rPr>
          <w:color w:val="231F20"/>
        </w:rPr>
        <w:t>communications.</w:t>
      </w:r>
    </w:p>
    <w:p>
      <w:pPr>
        <w:pStyle w:val="BodyText"/>
        <w:spacing w:line="218" w:lineRule="auto" w:before="103"/>
        <w:ind w:right="38"/>
      </w:pPr>
      <w:r>
        <w:rPr>
          <w:color w:val="231F20"/>
        </w:rPr>
        <w:t>Art. 2:31. Une personne morale peut mentionner une adresse électronique dans son acte constitutif. </w:t>
      </w:r>
      <w:r>
        <w:rPr>
          <w:color w:val="231F20"/>
          <w:spacing w:val="-4"/>
        </w:rPr>
        <w:t>Toute </w:t>
      </w:r>
      <w:r>
        <w:rPr>
          <w:color w:val="231F20"/>
        </w:rPr>
        <w:t>communication vers cette adresse</w:t>
      </w:r>
      <w:r>
        <w:rPr>
          <w:color w:val="231F20"/>
          <w:spacing w:val="-4"/>
        </w:rPr>
        <w:t> </w:t>
      </w:r>
      <w:r>
        <w:rPr>
          <w:color w:val="231F20"/>
        </w:rPr>
        <w:t>par</w:t>
      </w:r>
      <w:r>
        <w:rPr>
          <w:color w:val="231F20"/>
          <w:spacing w:val="-3"/>
        </w:rPr>
        <w:t> </w:t>
      </w:r>
      <w:r>
        <w:rPr>
          <w:color w:val="231F20"/>
        </w:rPr>
        <w:t>les</w:t>
      </w:r>
      <w:r>
        <w:rPr>
          <w:color w:val="231F20"/>
          <w:spacing w:val="-3"/>
        </w:rPr>
        <w:t> </w:t>
      </w:r>
      <w:r>
        <w:rPr>
          <w:color w:val="231F20"/>
        </w:rPr>
        <w:t>associés</w:t>
      </w:r>
      <w:r>
        <w:rPr>
          <w:color w:val="231F20"/>
          <w:spacing w:val="-3"/>
        </w:rPr>
        <w:t> </w:t>
      </w:r>
      <w:r>
        <w:rPr>
          <w:color w:val="231F20"/>
        </w:rPr>
        <w:t>ou</w:t>
      </w:r>
      <w:r>
        <w:rPr>
          <w:color w:val="231F20"/>
          <w:spacing w:val="-3"/>
        </w:rPr>
        <w:t> </w:t>
      </w:r>
      <w:r>
        <w:rPr>
          <w:color w:val="231F20"/>
        </w:rPr>
        <w:t>actionnaires,</w:t>
      </w:r>
      <w:r>
        <w:rPr>
          <w:color w:val="231F20"/>
          <w:spacing w:val="-3"/>
        </w:rPr>
        <w:t> </w:t>
      </w:r>
      <w:r>
        <w:rPr>
          <w:color w:val="231F20"/>
        </w:rPr>
        <w:t>les</w:t>
      </w:r>
      <w:r>
        <w:rPr>
          <w:color w:val="231F20"/>
          <w:spacing w:val="-3"/>
        </w:rPr>
        <w:t> </w:t>
      </w:r>
      <w:r>
        <w:rPr>
          <w:color w:val="231F20"/>
        </w:rPr>
        <w:t>membres</w:t>
      </w:r>
      <w:r>
        <w:rPr>
          <w:color w:val="231F20"/>
          <w:spacing w:val="-3"/>
        </w:rPr>
        <w:t> </w:t>
      </w:r>
      <w:r>
        <w:rPr>
          <w:color w:val="231F20"/>
        </w:rPr>
        <w:t>ou</w:t>
      </w:r>
      <w:r>
        <w:rPr>
          <w:color w:val="231F20"/>
          <w:spacing w:val="-3"/>
        </w:rPr>
        <w:t> </w:t>
      </w:r>
      <w:r>
        <w:rPr>
          <w:color w:val="231F20"/>
        </w:rPr>
        <w:t>les</w:t>
      </w:r>
      <w:r>
        <w:rPr>
          <w:color w:val="231F20"/>
          <w:spacing w:val="-3"/>
        </w:rPr>
        <w:t> </w:t>
      </w:r>
      <w:r>
        <w:rPr>
          <w:color w:val="231F20"/>
        </w:rPr>
        <w:t>titulaires</w:t>
      </w:r>
      <w:r>
        <w:rPr>
          <w:color w:val="231F20"/>
          <w:spacing w:val="-3"/>
        </w:rPr>
        <w:t> </w:t>
      </w:r>
      <w:r>
        <w:rPr>
          <w:color w:val="231F20"/>
        </w:rPr>
        <w:t>de titres émis par la société et les titulaires de certificats émis avec</w:t>
      </w:r>
      <w:r>
        <w:rPr>
          <w:color w:val="231F20"/>
          <w:spacing w:val="20"/>
        </w:rPr>
        <w:t> </w:t>
      </w:r>
      <w:r>
        <w:rPr>
          <w:color w:val="231F20"/>
        </w:rPr>
        <w:t>la collaboration de la société est réputée être intervenue valablement. Le cas échéant, l’adresse électronique peut être remplacée par un autre moyen de communication</w:t>
      </w:r>
      <w:r>
        <w:rPr>
          <w:color w:val="231F20"/>
          <w:spacing w:val="5"/>
        </w:rPr>
        <w:t> </w:t>
      </w:r>
      <w:r>
        <w:rPr>
          <w:color w:val="231F20"/>
        </w:rPr>
        <w:t>équivalent.</w:t>
      </w:r>
    </w:p>
    <w:p>
      <w:pPr>
        <w:pStyle w:val="BodyText"/>
        <w:spacing w:line="218" w:lineRule="auto" w:before="107"/>
        <w:ind w:right="38"/>
      </w:pPr>
      <w:r>
        <w:rPr>
          <w:color w:val="231F20"/>
        </w:rPr>
        <w:t>Une société cotée ou une entité d’intérêt public visée à l’article 1:12, 2°, est obligée de publier une telle adresse électronique.</w:t>
      </w:r>
    </w:p>
    <w:p>
      <w:pPr>
        <w:pStyle w:val="BodyText"/>
        <w:spacing w:before="10"/>
        <w:ind w:left="0" w:right="0" w:firstLine="0"/>
        <w:jc w:val="left"/>
        <w:rPr>
          <w:sz w:val="24"/>
        </w:rPr>
      </w:pPr>
    </w:p>
    <w:p>
      <w:pPr>
        <w:pStyle w:val="BodyText"/>
        <w:spacing w:line="218" w:lineRule="auto"/>
        <w:ind w:right="38"/>
      </w:pPr>
      <w:r>
        <w:rPr>
          <w:color w:val="231F20"/>
        </w:rPr>
        <w:t>Une personne morale peut mentionner un site internet dans son acte constitutif.</w:t>
      </w:r>
    </w:p>
    <w:p>
      <w:pPr>
        <w:pStyle w:val="BodyText"/>
        <w:spacing w:line="218" w:lineRule="auto" w:before="107"/>
        <w:ind w:right="38"/>
      </w:pPr>
      <w:r>
        <w:rPr>
          <w:color w:val="231F20"/>
        </w:rPr>
        <w:t>Une société cotée ou une entité d’intérêt public visée à l’article 1:12, 2°, est obligée de créer et de publier un tel site internet.</w:t>
      </w:r>
    </w:p>
    <w:p>
      <w:pPr>
        <w:pStyle w:val="BodyText"/>
        <w:spacing w:before="10"/>
        <w:ind w:left="0" w:right="0" w:firstLine="0"/>
        <w:jc w:val="left"/>
        <w:rPr>
          <w:sz w:val="24"/>
        </w:rPr>
      </w:pPr>
    </w:p>
    <w:p>
      <w:pPr>
        <w:pStyle w:val="BodyText"/>
        <w:spacing w:line="218" w:lineRule="auto"/>
        <w:ind w:right="38"/>
      </w:pPr>
      <w:r>
        <w:rPr>
          <w:color w:val="231F20"/>
        </w:rPr>
        <w:t>L’organe d’administration peut modifier l’adresse du site internet et l’adresse électronique même si elles figurent dans les statuts. La modification est communiquée aux associés ou actionnaires, aux membres et aux titulaires de titres, conformément à l’article 2:32. De la même façon, l’organe d’administration peut à tout moment adopter et publier un site internet ou une adresse électronique si cela n’a pas été fait dans l’acte constitutif.</w:t>
      </w:r>
    </w:p>
    <w:p>
      <w:pPr>
        <w:pStyle w:val="BodyText"/>
        <w:spacing w:line="218" w:lineRule="auto" w:before="107"/>
        <w:ind w:right="38"/>
      </w:pPr>
      <w:r>
        <w:rPr>
          <w:color w:val="231F20"/>
        </w:rPr>
        <w:t>Art. 2:32. L’associé, l’actionnaire, le membre ou le titulaire d’un titre émis par une société ou d’un certificat émis avec la collaboration d’une société peut à tout moment communiquer une adresse électronique à la personne morale aux fins de communiquer avec elle. Toute communi- cation à cette adresse électronique est réputée être intervenue valable- ment. La personne morale peut utiliser cette adresse jusqu’à ce que le membre concerné, l’associé ou actionnaire ou le titulaire de titres communique une autre adresse électronique ou son souhait de ne plus communiquer par courrier électronique.</w:t>
      </w:r>
    </w:p>
    <w:p>
      <w:pPr>
        <w:pStyle w:val="BodyText"/>
        <w:spacing w:line="218" w:lineRule="auto" w:before="107"/>
        <w:ind w:right="38"/>
      </w:pPr>
      <w:r>
        <w:rPr>
          <w:color w:val="231F20"/>
        </w:rPr>
        <w:t>Les membres de l’organe d’administration et, le cas échéant, le commissaire, peuvent communiquer au début de leur mandat une adresse électronique aux fins de communiquer avec la personne morale. </w:t>
      </w:r>
      <w:r>
        <w:rPr>
          <w:color w:val="231F20"/>
          <w:spacing w:val="-4"/>
        </w:rPr>
        <w:t>Toute </w:t>
      </w:r>
      <w:r>
        <w:rPr>
          <w:color w:val="231F20"/>
        </w:rPr>
        <w:t>communication à cette adresse électronique est réputée être intervenue valablement. La personne morale peut utiliser cette adresse jusqu’à ce que le mandataire concerné communique une autre adresse électronique ou son souhait de ne plus communiquer par courrier</w:t>
      </w:r>
      <w:r>
        <w:rPr>
          <w:color w:val="231F20"/>
          <w:spacing w:val="14"/>
        </w:rPr>
        <w:t> </w:t>
      </w:r>
      <w:r>
        <w:rPr>
          <w:color w:val="231F20"/>
        </w:rPr>
        <w:t>électronique.</w:t>
      </w:r>
    </w:p>
    <w:p>
      <w:pPr>
        <w:pStyle w:val="BodyText"/>
        <w:spacing w:line="218" w:lineRule="auto" w:before="108"/>
        <w:ind w:right="38"/>
      </w:pPr>
      <w:r>
        <w:rPr>
          <w:color w:val="231F20"/>
        </w:rPr>
        <w:t>Le cas échéant, l’adresse électronique peut être remplacée par un autre moyen de communication équivalent.</w:t>
      </w:r>
    </w:p>
    <w:p>
      <w:pPr>
        <w:pStyle w:val="BodyText"/>
        <w:spacing w:line="218" w:lineRule="auto" w:before="106"/>
        <w:ind w:right="38"/>
      </w:pPr>
      <w:r>
        <w:rPr>
          <w:color w:val="231F20"/>
        </w:rPr>
        <w:t>La personne morale communique par courrier ordinaire, qu’elle envoie le même jour que les communications électroniques, avec les associés, les actionnaires, les membres ou les titulaires de titres ainsi que les membres de l’organe d’administration et, le cas échéant, les commissaires pour lesquels elle ne dispose pas d’une adresse électro- nique.</w:t>
      </w:r>
    </w:p>
    <w:p>
      <w:pPr>
        <w:pStyle w:val="BodyText"/>
        <w:spacing w:before="93"/>
        <w:ind w:left="283" w:right="0" w:firstLine="0"/>
        <w:jc w:val="left"/>
      </w:pPr>
      <w:r>
        <w:rPr>
          <w:color w:val="231F20"/>
        </w:rPr>
        <w:t>CHAPITRE 5. De la langue.</w:t>
      </w:r>
    </w:p>
    <w:p>
      <w:pPr>
        <w:pStyle w:val="BodyText"/>
        <w:spacing w:line="218" w:lineRule="auto" w:before="104"/>
        <w:ind w:right="38"/>
      </w:pPr>
      <w:r>
        <w:rPr>
          <w:color w:val="231F20"/>
        </w:rPr>
        <w:t>Art. 2:33. Les sociétés et les ASBL, les AISBL et les fondations soumises à la législation sur l’emploi des langues déposent les documents visés au chapitre 3 du présent titre et aux articles 3:10 et 3:12, sous forme électronique ou non, dans la langue ou dans une des langues officielles de la région linguistique où le siège de la personne morale est établi.</w:t>
      </w:r>
    </w:p>
    <w:p>
      <w:pPr>
        <w:pStyle w:val="BodyText"/>
        <w:spacing w:line="218" w:lineRule="auto" w:before="107"/>
        <w:ind w:right="38"/>
      </w:pPr>
      <w:r>
        <w:rPr>
          <w:color w:val="231F20"/>
        </w:rPr>
        <w:t>Les documents visés au chapitre 3  du  présent  titre  et  aux  arti-  cles 3:10 et 3:12 peuvent en outre être traduits et déposés, sous forme électronique ou non, dans une ou plusieurs langues </w:t>
      </w:r>
      <w:r>
        <w:rPr>
          <w:color w:val="231F20"/>
          <w:spacing w:val="-3"/>
        </w:rPr>
        <w:t>officielles </w:t>
      </w:r>
      <w:r>
        <w:rPr>
          <w:color w:val="231F20"/>
        </w:rPr>
        <w:t>de l’Union</w:t>
      </w:r>
      <w:r>
        <w:rPr>
          <w:color w:val="231F20"/>
          <w:spacing w:val="15"/>
        </w:rPr>
        <w:t> </w:t>
      </w:r>
      <w:r>
        <w:rPr>
          <w:color w:val="231F20"/>
        </w:rPr>
        <w:t>européenne.</w:t>
      </w:r>
    </w:p>
    <w:p>
      <w:pPr>
        <w:pStyle w:val="BodyText"/>
        <w:spacing w:line="216" w:lineRule="auto" w:before="93"/>
        <w:ind w:right="38"/>
      </w:pPr>
      <w:r>
        <w:rPr>
          <w:color w:val="231F20"/>
        </w:rPr>
        <w:t>En cas de discordance entre les documents visés à l’alinéa 1</w:t>
      </w:r>
      <w:r>
        <w:rPr>
          <w:color w:val="231F20"/>
          <w:position w:val="7"/>
          <w:sz w:val="11"/>
        </w:rPr>
        <w:t>er </w:t>
      </w:r>
      <w:r>
        <w:rPr>
          <w:color w:val="231F20"/>
        </w:rPr>
        <w:t>et la traduction rendue publique volontairement conformément à l’alinéa 2, cette traduction n’est pas opposable aux tiers. Ceux-ci peuvent néanmoins se prévaloir de la traduction rendue publique volontaire- ment, sauf si la personne morale prouve que les tiers avaient connaissance de la version visée à l’alinéa 1</w:t>
      </w:r>
      <w:r>
        <w:rPr>
          <w:color w:val="231F20"/>
          <w:position w:val="7"/>
          <w:sz w:val="11"/>
        </w:rPr>
        <w:t>er</w:t>
      </w:r>
      <w:r>
        <w:rPr>
          <w:color w:val="231F20"/>
        </w:rPr>
        <w:t>.</w:t>
      </w:r>
    </w:p>
    <w:p>
      <w:pPr>
        <w:pStyle w:val="BodyText"/>
        <w:spacing w:before="2"/>
        <w:ind w:left="0" w:right="0" w:firstLine="0"/>
        <w:jc w:val="left"/>
        <w:rPr>
          <w:sz w:val="23"/>
        </w:rPr>
      </w:pPr>
    </w:p>
    <w:p>
      <w:pPr>
        <w:pStyle w:val="BodyText"/>
        <w:spacing w:before="1"/>
        <w:ind w:left="283" w:right="0" w:firstLine="0"/>
        <w:jc w:val="left"/>
      </w:pPr>
      <w:r>
        <w:rPr>
          <w:color w:val="231F20"/>
        </w:rPr>
        <w:t>TITRE 5. Nullité.</w:t>
      </w:r>
    </w:p>
    <w:p>
      <w:pPr>
        <w:pStyle w:val="BodyText"/>
        <w:spacing w:line="218" w:lineRule="auto" w:before="88"/>
        <w:ind w:right="38"/>
      </w:pPr>
      <w:r>
        <w:rPr>
          <w:color w:val="231F20"/>
        </w:rPr>
        <w:t>CHAPITRE 1</w:t>
      </w:r>
      <w:r>
        <w:rPr>
          <w:color w:val="231F20"/>
          <w:position w:val="7"/>
          <w:sz w:val="11"/>
        </w:rPr>
        <w:t>er</w:t>
      </w:r>
      <w:r>
        <w:rPr>
          <w:color w:val="231F20"/>
        </w:rPr>
        <w:t>. Procédure et effets de la nullité des personnes morales.</w:t>
      </w:r>
    </w:p>
    <w:p>
      <w:pPr>
        <w:pStyle w:val="BodyText"/>
        <w:spacing w:line="218" w:lineRule="auto" w:before="102"/>
        <w:ind w:right="38"/>
      </w:pPr>
      <w:r>
        <w:rPr>
          <w:color w:val="231F20"/>
        </w:rPr>
        <w:t>Section 1</w:t>
      </w:r>
      <w:r>
        <w:rPr>
          <w:color w:val="231F20"/>
          <w:position w:val="7"/>
          <w:sz w:val="11"/>
        </w:rPr>
        <w:t>re</w:t>
      </w:r>
      <w:r>
        <w:rPr>
          <w:color w:val="231F20"/>
        </w:rPr>
        <w:t>. Procédure et effets de la nullité des sociétés et des dispositions des statuts et de l’acte constitutif.</w:t>
      </w:r>
    </w:p>
    <w:p>
      <w:pPr>
        <w:pStyle w:val="BodyText"/>
        <w:spacing w:line="218" w:lineRule="auto" w:before="119"/>
      </w:pPr>
      <w:r>
        <w:rPr/>
        <w:br w:type="column"/>
      </w:r>
      <w:r>
        <w:rPr>
          <w:color w:val="231F20"/>
        </w:rPr>
        <w:t>Elk gebruik van persoonsgegevens die onder dit hoofdstuk vallen voor prospectie bij natuurlijke personen en commercialisering van financiële informatie over de daarin opgenomen natuurlijke personen</w:t>
      </w:r>
      <w:r>
        <w:rPr>
          <w:color w:val="231F20"/>
          <w:spacing w:val="-15"/>
        </w:rPr>
        <w:t> </w:t>
      </w:r>
      <w:r>
        <w:rPr>
          <w:color w:val="231F20"/>
        </w:rPr>
        <w:t>is verboden.</w:t>
      </w:r>
    </w:p>
    <w:p>
      <w:pPr>
        <w:pStyle w:val="BodyText"/>
        <w:spacing w:before="93"/>
        <w:ind w:left="283" w:right="0" w:firstLine="0"/>
        <w:jc w:val="left"/>
      </w:pPr>
      <w:r>
        <w:rPr>
          <w:color w:val="231F20"/>
        </w:rPr>
        <w:t>HOOFDSTUK 4. Website van de rechtspersoon en mededelingen.</w:t>
      </w:r>
    </w:p>
    <w:p>
      <w:pPr>
        <w:pStyle w:val="BodyText"/>
        <w:spacing w:line="218" w:lineRule="auto" w:before="104"/>
      </w:pPr>
      <w:r>
        <w:rPr>
          <w:color w:val="231F20"/>
        </w:rPr>
        <w:t>Art. 2:31. Een rechtspersoon kan een e-mailadres opnemen in haar oprichtingsakte. Elke communicatie via dit adres door de vennoten of aandeelhouders, leden of houders van effecten uitgegeven door de vennootschap en de houders van certificaten uitgegeven met de medewerking van de vennootschap wordt geacht geldig te  zijn  gebeurd. Het e-mailadres kan in voorkomend geval worden vervangen door een ander gelijkwaardig</w:t>
      </w:r>
      <w:r>
        <w:rPr>
          <w:color w:val="231F20"/>
          <w:spacing w:val="25"/>
        </w:rPr>
        <w:t> </w:t>
      </w:r>
      <w:r>
        <w:rPr>
          <w:color w:val="231F20"/>
        </w:rPr>
        <w:t>communicatiemiddel.</w:t>
      </w:r>
    </w:p>
    <w:p>
      <w:pPr>
        <w:pStyle w:val="BodyText"/>
        <w:spacing w:line="218" w:lineRule="auto" w:before="107"/>
      </w:pPr>
      <w:r>
        <w:rPr>
          <w:color w:val="231F20"/>
        </w:rPr>
        <w:t>Een genoteerde vennootschap of een organisatie van openbaar belang als bedoeld in artikel 1:12, 2°, moet dergelijk e-mailadres openbaarmaken.</w:t>
      </w:r>
    </w:p>
    <w:p>
      <w:pPr>
        <w:pStyle w:val="BodyText"/>
        <w:spacing w:before="93"/>
        <w:ind w:left="283" w:right="0" w:firstLine="0"/>
        <w:jc w:val="left"/>
      </w:pPr>
      <w:r>
        <w:rPr>
          <w:color w:val="231F20"/>
        </w:rPr>
        <w:t>Een rechtspersoon kan een website opnemen in haar oprichtingsakte.</w:t>
      </w:r>
    </w:p>
    <w:p>
      <w:pPr>
        <w:pStyle w:val="BodyText"/>
        <w:spacing w:before="6"/>
        <w:ind w:left="0" w:right="0" w:firstLine="0"/>
        <w:jc w:val="left"/>
        <w:rPr>
          <w:sz w:val="24"/>
        </w:rPr>
      </w:pPr>
    </w:p>
    <w:p>
      <w:pPr>
        <w:pStyle w:val="BodyText"/>
        <w:spacing w:line="218" w:lineRule="auto"/>
      </w:pPr>
      <w:r>
        <w:rPr>
          <w:color w:val="231F20"/>
        </w:rPr>
        <w:t>Een genoteerde vennootschap of een organisatie van openbaar belang als bedoeld in artikel 1:12, 2°, moet dergelijke website creëren</w:t>
      </w:r>
      <w:r>
        <w:rPr>
          <w:color w:val="231F20"/>
          <w:spacing w:val="-8"/>
        </w:rPr>
        <w:t> </w:t>
      </w:r>
      <w:r>
        <w:rPr>
          <w:color w:val="231F20"/>
        </w:rPr>
        <w:t>en openbaarmaken.</w:t>
      </w:r>
    </w:p>
    <w:p>
      <w:pPr>
        <w:pStyle w:val="BodyText"/>
        <w:spacing w:line="218" w:lineRule="auto" w:before="107"/>
      </w:pPr>
      <w:r>
        <w:rPr>
          <w:color w:val="231F20"/>
        </w:rPr>
        <w:t>Het bestuursorgaan kan het adres van de website en het e-mailadres wijzigen zelfs indien zij voorkomen in de statuten. Deze wijziging  wordt aan de vennoten of aandeelhouders, leden of houders van effecten meegedeeld overeenkomstig artikel 2:32. Op dezelfde wijze kan het bestuursorgaan op ieder moment een website en/of een e-mailadres aannemen en openbaarmaken indien dit niet is</w:t>
      </w:r>
      <w:r>
        <w:rPr>
          <w:color w:val="231F20"/>
          <w:spacing w:val="-21"/>
        </w:rPr>
        <w:t> </w:t>
      </w:r>
      <w:r>
        <w:rPr>
          <w:color w:val="231F20"/>
        </w:rPr>
        <w:t>opgenomen in de</w:t>
      </w:r>
      <w:r>
        <w:rPr>
          <w:color w:val="231F20"/>
          <w:spacing w:val="-11"/>
        </w:rPr>
        <w:t> </w:t>
      </w:r>
      <w:r>
        <w:rPr>
          <w:color w:val="231F20"/>
        </w:rPr>
        <w:t>oprichtingsakte.</w:t>
      </w:r>
    </w:p>
    <w:p>
      <w:pPr>
        <w:pStyle w:val="BodyText"/>
        <w:spacing w:line="218" w:lineRule="auto" w:before="107"/>
      </w:pPr>
      <w:r>
        <w:rPr>
          <w:color w:val="231F20"/>
        </w:rPr>
        <w:t>Art. 2:32. De vennoot, aandeelhouder, lid of houder van een effect uitgegeven door een vennootschap of van een certificaat  uitgegeven met medewerking van een vennootschap kan de rechtspersoon op elk ogenblik</w:t>
      </w:r>
      <w:r>
        <w:rPr>
          <w:color w:val="231F20"/>
          <w:spacing w:val="-4"/>
        </w:rPr>
        <w:t> </w:t>
      </w:r>
      <w:r>
        <w:rPr>
          <w:color w:val="231F20"/>
        </w:rPr>
        <w:t>een</w:t>
      </w:r>
      <w:r>
        <w:rPr>
          <w:color w:val="231F20"/>
          <w:spacing w:val="-4"/>
        </w:rPr>
        <w:t> </w:t>
      </w:r>
      <w:r>
        <w:rPr>
          <w:color w:val="231F20"/>
        </w:rPr>
        <w:t>e-mailadres</w:t>
      </w:r>
      <w:r>
        <w:rPr>
          <w:color w:val="231F20"/>
          <w:spacing w:val="-4"/>
        </w:rPr>
        <w:t> </w:t>
      </w:r>
      <w:r>
        <w:rPr>
          <w:color w:val="231F20"/>
        </w:rPr>
        <w:t>meedelen</w:t>
      </w:r>
      <w:r>
        <w:rPr>
          <w:color w:val="231F20"/>
          <w:spacing w:val="-3"/>
        </w:rPr>
        <w:t> </w:t>
      </w:r>
      <w:r>
        <w:rPr>
          <w:color w:val="231F20"/>
        </w:rPr>
        <w:t>om</w:t>
      </w:r>
      <w:r>
        <w:rPr>
          <w:color w:val="231F20"/>
          <w:spacing w:val="-4"/>
        </w:rPr>
        <w:t> </w:t>
      </w:r>
      <w:r>
        <w:rPr>
          <w:color w:val="231F20"/>
        </w:rPr>
        <w:t>met</w:t>
      </w:r>
      <w:r>
        <w:rPr>
          <w:color w:val="231F20"/>
          <w:spacing w:val="-4"/>
        </w:rPr>
        <w:t> </w:t>
      </w:r>
      <w:r>
        <w:rPr>
          <w:color w:val="231F20"/>
        </w:rPr>
        <w:t>hem</w:t>
      </w:r>
      <w:r>
        <w:rPr>
          <w:color w:val="231F20"/>
          <w:spacing w:val="-4"/>
        </w:rPr>
        <w:t> </w:t>
      </w:r>
      <w:r>
        <w:rPr>
          <w:color w:val="231F20"/>
        </w:rPr>
        <w:t>te</w:t>
      </w:r>
      <w:r>
        <w:rPr>
          <w:color w:val="231F20"/>
          <w:spacing w:val="-3"/>
        </w:rPr>
        <w:t> </w:t>
      </w:r>
      <w:r>
        <w:rPr>
          <w:color w:val="231F20"/>
        </w:rPr>
        <w:t>communiceren.</w:t>
      </w:r>
      <w:r>
        <w:rPr>
          <w:color w:val="231F20"/>
          <w:spacing w:val="-4"/>
        </w:rPr>
        <w:t> </w:t>
      </w:r>
      <w:r>
        <w:rPr>
          <w:color w:val="231F20"/>
        </w:rPr>
        <w:t>Elke communicatie op dit e-mailadres wordt geacht geldig te zijn gebeurd. De rechtspersoon kan dit adres gebruiken tot aan de mededeling door het betrokken lid, de betrokken vennoot of aandeelhouder of effecten- houder van een ander e-mailadres of van zijn wens niet meer per e-mail te</w:t>
      </w:r>
      <w:r>
        <w:rPr>
          <w:color w:val="231F20"/>
          <w:spacing w:val="14"/>
        </w:rPr>
        <w:t> </w:t>
      </w:r>
      <w:r>
        <w:rPr>
          <w:color w:val="231F20"/>
        </w:rPr>
        <w:t>communiceren.</w:t>
      </w:r>
    </w:p>
    <w:p>
      <w:pPr>
        <w:pStyle w:val="BodyText"/>
        <w:spacing w:line="218" w:lineRule="auto" w:before="108"/>
      </w:pPr>
      <w:r>
        <w:rPr>
          <w:color w:val="231F20"/>
        </w:rPr>
        <w:t>De leden van het bestuursorgaan en, in voorkomend geval, de commissaris, kunnen bij de aanvang van hun mandaat een e-mailadres meedelen om met de rechtspersoon te communiceren. Elke communi- catie op dit e-mailadres wordt geacht geldig te zijn gebeurd. De rechtspersoon kan dit adres gebruiken tot aan de mededeling door de betrokken mandaathouder van een ander e-mailadres of van zijn wens niet meer per e-mail te communiceren.</w:t>
      </w:r>
    </w:p>
    <w:p>
      <w:pPr>
        <w:pStyle w:val="BodyText"/>
        <w:spacing w:before="10"/>
        <w:ind w:left="0" w:right="0" w:firstLine="0"/>
        <w:jc w:val="left"/>
        <w:rPr>
          <w:sz w:val="24"/>
        </w:rPr>
      </w:pPr>
    </w:p>
    <w:p>
      <w:pPr>
        <w:pStyle w:val="BodyText"/>
        <w:spacing w:line="218" w:lineRule="auto"/>
      </w:pPr>
      <w:r>
        <w:rPr>
          <w:color w:val="231F20"/>
        </w:rPr>
        <w:t>Het e-mailadres kan in voorkomend geval worden vervangen door een ander gelijkwaardig communicatiemiddel.</w:t>
      </w:r>
    </w:p>
    <w:p>
      <w:pPr>
        <w:pStyle w:val="BodyText"/>
        <w:spacing w:line="218" w:lineRule="auto" w:before="107"/>
      </w:pPr>
      <w:r>
        <w:rPr>
          <w:color w:val="231F20"/>
        </w:rPr>
        <w:t>Met vennoten, aandeelhouders, leden of effectenhouders, leden van het bestuursorgaan en, in voorkomend geval, commissarissen voor wie de rechtspersoon niet over een e-mailadres beschikt, communiceert hij per gewone post, die hij op dezelfde dag verzendt als de communica- ties per e-mail.</w:t>
      </w:r>
    </w:p>
    <w:p>
      <w:pPr>
        <w:pStyle w:val="BodyText"/>
        <w:spacing w:before="7"/>
        <w:ind w:left="0" w:right="0" w:firstLine="0"/>
        <w:jc w:val="left"/>
        <w:rPr>
          <w:sz w:val="23"/>
        </w:rPr>
      </w:pPr>
    </w:p>
    <w:p>
      <w:pPr>
        <w:pStyle w:val="BodyText"/>
        <w:ind w:left="283" w:right="0" w:firstLine="0"/>
        <w:jc w:val="left"/>
      </w:pPr>
      <w:r>
        <w:rPr>
          <w:color w:val="231F20"/>
        </w:rPr>
        <w:t>HOOFDSTUK 5. Taal.</w:t>
      </w:r>
    </w:p>
    <w:p>
      <w:pPr>
        <w:pStyle w:val="BodyText"/>
        <w:spacing w:line="218" w:lineRule="auto" w:before="104"/>
      </w:pPr>
      <w:r>
        <w:rPr>
          <w:color w:val="231F20"/>
        </w:rPr>
        <w:t>Art. 2:33. Vennootschappen en onder de taalwetgeving vallende VZW’s, IVZW’s en stichtingen, leggen de stukken bedoeld in hoofdstuk</w:t>
      </w:r>
    </w:p>
    <w:p>
      <w:pPr>
        <w:pStyle w:val="BodyText"/>
        <w:spacing w:line="218" w:lineRule="auto"/>
        <w:ind w:firstLine="0"/>
      </w:pPr>
      <w:r>
        <w:rPr>
          <w:color w:val="231F20"/>
        </w:rPr>
        <w:t>3 van deze titel en in de artikelen 3:10 en 3:12, al dan niet in elektronische vorm, neer in de taal of in één van de officiële talen van het taalgebied waar de zetel van de rechtspersoon is gevestigd.</w:t>
      </w:r>
    </w:p>
    <w:p>
      <w:pPr>
        <w:pStyle w:val="BodyText"/>
        <w:spacing w:before="10"/>
        <w:ind w:left="0" w:right="0" w:firstLine="0"/>
        <w:jc w:val="left"/>
        <w:rPr>
          <w:sz w:val="24"/>
        </w:rPr>
      </w:pPr>
    </w:p>
    <w:p>
      <w:pPr>
        <w:pStyle w:val="BodyText"/>
        <w:spacing w:line="218" w:lineRule="auto"/>
      </w:pPr>
      <w:r>
        <w:rPr>
          <w:color w:val="231F20"/>
        </w:rPr>
        <w:t>Daarenboven kunnen de stukken bedoeld in hoofdstuk 3 van deze titel en in de artikelen 3:10 en 3:12, worden vertaald en neergelegd, al dan niet in elektronische vorm, in één of meer officiële talen van de Europese Unie.</w:t>
      </w:r>
    </w:p>
    <w:p>
      <w:pPr>
        <w:pStyle w:val="BodyText"/>
        <w:spacing w:line="218" w:lineRule="auto" w:before="107"/>
      </w:pPr>
      <w:r>
        <w:rPr>
          <w:color w:val="231F20"/>
        </w:rPr>
        <w:t>In geval van tegenstrijdigheid tussen de stukken bedoeld in het  eerste lid met de vertaling die krachtens het tweede lid vrijwillig wordt openbaar gemaakt, kan deze laatste vertaling niet aan derden worden tegengeworpen. Die derden kunnen zich echter wel beroepen op</w:t>
      </w:r>
      <w:r>
        <w:rPr>
          <w:color w:val="231F20"/>
          <w:spacing w:val="18"/>
        </w:rPr>
        <w:t> </w:t>
      </w:r>
      <w:r>
        <w:rPr>
          <w:color w:val="231F20"/>
        </w:rPr>
        <w:t>de vrijwillig openbaar gemaakte vertaling, tenzij de rechtspersoon</w:t>
      </w:r>
      <w:r>
        <w:rPr>
          <w:color w:val="231F20"/>
          <w:spacing w:val="34"/>
        </w:rPr>
        <w:t> </w:t>
      </w:r>
      <w:r>
        <w:rPr>
          <w:color w:val="231F20"/>
        </w:rPr>
        <w:t>aan- toont dat de derden kennis droegen van de versie bedoeld in het eerste lid.</w:t>
      </w:r>
    </w:p>
    <w:p>
      <w:pPr>
        <w:pStyle w:val="BodyText"/>
        <w:spacing w:before="93"/>
        <w:ind w:left="283" w:right="0" w:firstLine="0"/>
        <w:jc w:val="left"/>
      </w:pPr>
      <w:r>
        <w:rPr>
          <w:color w:val="231F20"/>
        </w:rPr>
        <w:t>TITEL 5. Nietigheid.</w:t>
      </w:r>
    </w:p>
    <w:p>
      <w:pPr>
        <w:pStyle w:val="BodyText"/>
        <w:spacing w:line="218" w:lineRule="auto" w:before="103"/>
      </w:pPr>
      <w:r>
        <w:rPr>
          <w:color w:val="231F20"/>
        </w:rPr>
        <w:t>HOOFDSTUK 1. Procedure en gevolgen van de nietigheid van rechtspersonen.</w:t>
      </w:r>
    </w:p>
    <w:p>
      <w:pPr>
        <w:pStyle w:val="BodyText"/>
        <w:spacing w:line="218" w:lineRule="auto" w:before="118"/>
      </w:pPr>
      <w:r>
        <w:rPr>
          <w:color w:val="231F20"/>
        </w:rPr>
        <w:t>Afdeling 1. Procedure en gevolgen van de nietigheid van vennoot- schappen en van bepalingen in de statuten en van de oprichtingsakte.</w:t>
      </w:r>
    </w:p>
    <w:p>
      <w:pPr>
        <w:spacing w:after="0" w:line="218" w:lineRule="auto"/>
        <w:sectPr>
          <w:headerReference w:type="even" r:id="rId15"/>
          <w:headerReference w:type="default" r:id="rId16"/>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1552" from="298.170502pt,64.473pt" to="298.170502pt,812.819pt" stroked="true" strokeweight=".533pt" strokecolor="#231f20">
            <v:stroke dashstyle="solid"/>
            <w10:wrap type="none"/>
          </v:line>
        </w:pict>
      </w:r>
      <w:bookmarkStart w:name="_bookmark22" w:id="25"/>
      <w:bookmarkEnd w:id="25"/>
      <w:r>
        <w:rPr/>
      </w:r>
      <w:r>
        <w:rPr>
          <w:color w:val="231F20"/>
        </w:rPr>
        <w:t>Art. 2:34. La nullité d’une société doit être prononcée par une décision judiciaire.</w:t>
      </w:r>
    </w:p>
    <w:p>
      <w:pPr>
        <w:pStyle w:val="BodyText"/>
        <w:spacing w:before="124"/>
        <w:ind w:left="283" w:right="0" w:firstLine="0"/>
        <w:jc w:val="left"/>
      </w:pPr>
      <w:r>
        <w:rPr>
          <w:color w:val="231F20"/>
        </w:rPr>
        <w:t>Cette nullité produit ses effets à dater de la décision qui la prononce.</w:t>
      </w:r>
    </w:p>
    <w:p>
      <w:pPr>
        <w:pStyle w:val="BodyText"/>
        <w:spacing w:before="4"/>
        <w:ind w:left="0" w:right="0" w:firstLine="0"/>
        <w:jc w:val="left"/>
        <w:rPr>
          <w:sz w:val="27"/>
        </w:rPr>
      </w:pPr>
    </w:p>
    <w:p>
      <w:pPr>
        <w:pStyle w:val="BodyText"/>
        <w:spacing w:line="218" w:lineRule="auto" w:before="1"/>
        <w:ind w:right="38"/>
      </w:pPr>
      <w:r>
        <w:rPr>
          <w:color w:val="231F20"/>
        </w:rPr>
        <w:t>Toutefois, elle n’est opposable aux tiers qu’à partir de la publication prescrite par les articles 2:7, 2:13 et 2:35.</w:t>
      </w:r>
    </w:p>
    <w:p>
      <w:pPr>
        <w:pStyle w:val="BodyText"/>
        <w:spacing w:line="218" w:lineRule="auto" w:before="138"/>
        <w:ind w:right="38"/>
      </w:pPr>
      <w:r>
        <w:rPr>
          <w:color w:val="231F20"/>
        </w:rPr>
        <w:t>Art. 2:35. L’extrait de la décision judiciaire passée en force de chose jugée ou exécutoire par provision prononçant la nullité de la société, de même que l’extrait de la décision judiciaire réformant le jugement exécutoire par provision précité, sont déposés et publiés conformément aux articles 2:7 et 2:13.</w:t>
      </w:r>
    </w:p>
    <w:p>
      <w:pPr>
        <w:pStyle w:val="BodyText"/>
        <w:spacing w:before="6"/>
        <w:ind w:left="0" w:right="0" w:firstLine="0"/>
        <w:jc w:val="left"/>
        <w:rPr>
          <w:sz w:val="26"/>
        </w:rPr>
      </w:pPr>
    </w:p>
    <w:p>
      <w:pPr>
        <w:pStyle w:val="BodyText"/>
        <w:ind w:left="283" w:right="0" w:firstLine="0"/>
        <w:jc w:val="left"/>
      </w:pPr>
      <w:r>
        <w:rPr>
          <w:color w:val="231F20"/>
        </w:rPr>
        <w:t>Cet extrait contient:</w:t>
      </w:r>
    </w:p>
    <w:p>
      <w:pPr>
        <w:pStyle w:val="BodyText"/>
        <w:spacing w:before="121"/>
        <w:ind w:left="283" w:right="0" w:firstLine="0"/>
        <w:jc w:val="left"/>
      </w:pPr>
      <w:r>
        <w:rPr>
          <w:color w:val="231F20"/>
        </w:rPr>
        <w:t>1° la dénomination et le siège de la société;</w:t>
      </w:r>
    </w:p>
    <w:p>
      <w:pPr>
        <w:pStyle w:val="BodyText"/>
        <w:spacing w:before="121"/>
        <w:ind w:left="283" w:right="0" w:firstLine="0"/>
        <w:jc w:val="left"/>
      </w:pPr>
      <w:r>
        <w:rPr>
          <w:color w:val="231F20"/>
        </w:rPr>
        <w:t>2° la date de la décision et le juge qui l’a prononcée;</w:t>
      </w:r>
    </w:p>
    <w:p>
      <w:pPr>
        <w:pStyle w:val="BodyText"/>
        <w:spacing w:line="218" w:lineRule="auto" w:before="136"/>
        <w:ind w:right="38"/>
      </w:pPr>
      <w:r>
        <w:rPr>
          <w:color w:val="231F20"/>
        </w:rPr>
        <w:t>3° le cas échéant, les nom, prénom et le domicile des liquidateurs; au cas où le liquidateur est une personne morale, l’extrait contiendra la désignation ou la modification à la désignation de la personne physique qui la représente pour l’exercice des pouvoirs de liquidation.</w:t>
      </w:r>
    </w:p>
    <w:p>
      <w:pPr>
        <w:pStyle w:val="BodyText"/>
        <w:spacing w:before="7"/>
        <w:ind w:left="0" w:right="0" w:firstLine="0"/>
        <w:jc w:val="left"/>
        <w:rPr>
          <w:sz w:val="27"/>
        </w:rPr>
      </w:pPr>
    </w:p>
    <w:p>
      <w:pPr>
        <w:pStyle w:val="BodyText"/>
        <w:spacing w:line="218" w:lineRule="auto" w:before="1"/>
        <w:ind w:right="38"/>
      </w:pPr>
      <w:r>
        <w:rPr>
          <w:color w:val="231F20"/>
        </w:rPr>
        <w:t>Art. 2:36. La nullité d’une société pour vice de forme ne peut être opposée aux tiers par la société ou par un associé ou actionnaire, même par voie d’exception, à moins qu’elle n’ait été constatée par une décision</w:t>
      </w:r>
      <w:r>
        <w:rPr>
          <w:color w:val="231F20"/>
          <w:spacing w:val="13"/>
        </w:rPr>
        <w:t> </w:t>
      </w:r>
      <w:r>
        <w:rPr>
          <w:color w:val="231F20"/>
        </w:rPr>
        <w:t>judiciaire</w:t>
      </w:r>
      <w:r>
        <w:rPr>
          <w:color w:val="231F20"/>
          <w:spacing w:val="14"/>
        </w:rPr>
        <w:t> </w:t>
      </w:r>
      <w:r>
        <w:rPr>
          <w:color w:val="231F20"/>
        </w:rPr>
        <w:t>publiée</w:t>
      </w:r>
      <w:r>
        <w:rPr>
          <w:color w:val="231F20"/>
          <w:spacing w:val="13"/>
        </w:rPr>
        <w:t> </w:t>
      </w:r>
      <w:r>
        <w:rPr>
          <w:color w:val="231F20"/>
        </w:rPr>
        <w:t>conformément</w:t>
      </w:r>
      <w:r>
        <w:rPr>
          <w:color w:val="231F20"/>
          <w:spacing w:val="14"/>
        </w:rPr>
        <w:t> </w:t>
      </w:r>
      <w:r>
        <w:rPr>
          <w:color w:val="231F20"/>
        </w:rPr>
        <w:t>à</w:t>
      </w:r>
      <w:r>
        <w:rPr>
          <w:color w:val="231F20"/>
          <w:spacing w:val="14"/>
        </w:rPr>
        <w:t> </w:t>
      </w:r>
      <w:r>
        <w:rPr>
          <w:color w:val="231F20"/>
        </w:rPr>
        <w:t>l’article</w:t>
      </w:r>
      <w:r>
        <w:rPr>
          <w:color w:val="231F20"/>
          <w:spacing w:val="13"/>
        </w:rPr>
        <w:t> </w:t>
      </w:r>
      <w:r>
        <w:rPr>
          <w:color w:val="231F20"/>
        </w:rPr>
        <w:t>2:35.</w:t>
      </w:r>
    </w:p>
    <w:p>
      <w:pPr>
        <w:pStyle w:val="BodyText"/>
        <w:spacing w:before="7"/>
        <w:ind w:left="0" w:right="0" w:firstLine="0"/>
        <w:jc w:val="left"/>
        <w:rPr>
          <w:sz w:val="27"/>
        </w:rPr>
      </w:pPr>
    </w:p>
    <w:p>
      <w:pPr>
        <w:pStyle w:val="BodyText"/>
        <w:spacing w:line="218" w:lineRule="auto" w:before="1"/>
        <w:ind w:right="38"/>
      </w:pPr>
      <w:r>
        <w:rPr>
          <w:color w:val="231F20"/>
        </w:rPr>
        <w:t>Art. 2:37. La nullité d’une société prononcée par une décision judiciaire conformément à l’article 2:34 entraîne la liquidation de la société comme dans le cas d’une dissolution.</w:t>
      </w:r>
    </w:p>
    <w:p>
      <w:pPr>
        <w:pStyle w:val="BodyText"/>
        <w:spacing w:line="218" w:lineRule="auto" w:before="138"/>
        <w:ind w:right="38"/>
      </w:pPr>
      <w:r>
        <w:rPr>
          <w:color w:val="231F20"/>
        </w:rPr>
        <w:t>La nullité ne porte pas atteinte par elle-même à la validité des engagements de la société ou de ceux pris envers elle, sans préjudice des</w:t>
      </w:r>
      <w:r>
        <w:rPr>
          <w:color w:val="231F20"/>
          <w:spacing w:val="15"/>
        </w:rPr>
        <w:t> </w:t>
      </w:r>
      <w:r>
        <w:rPr>
          <w:color w:val="231F20"/>
        </w:rPr>
        <w:t>effets</w:t>
      </w:r>
      <w:r>
        <w:rPr>
          <w:color w:val="231F20"/>
          <w:spacing w:val="15"/>
        </w:rPr>
        <w:t> </w:t>
      </w:r>
      <w:r>
        <w:rPr>
          <w:color w:val="231F20"/>
        </w:rPr>
        <w:t>de</w:t>
      </w:r>
      <w:r>
        <w:rPr>
          <w:color w:val="231F20"/>
          <w:spacing w:val="15"/>
        </w:rPr>
        <w:t> </w:t>
      </w:r>
      <w:r>
        <w:rPr>
          <w:color w:val="231F20"/>
        </w:rPr>
        <w:t>l’état</w:t>
      </w:r>
      <w:r>
        <w:rPr>
          <w:color w:val="231F20"/>
          <w:spacing w:val="15"/>
        </w:rPr>
        <w:t> </w:t>
      </w:r>
      <w:r>
        <w:rPr>
          <w:color w:val="231F20"/>
        </w:rPr>
        <w:t>de</w:t>
      </w:r>
      <w:r>
        <w:rPr>
          <w:color w:val="231F20"/>
          <w:spacing w:val="15"/>
        </w:rPr>
        <w:t> </w:t>
      </w:r>
      <w:r>
        <w:rPr>
          <w:color w:val="231F20"/>
        </w:rPr>
        <w:t>liquidation.</w:t>
      </w:r>
    </w:p>
    <w:p>
      <w:pPr>
        <w:pStyle w:val="BodyText"/>
        <w:spacing w:before="8"/>
        <w:ind w:left="0" w:right="0" w:firstLine="0"/>
        <w:jc w:val="left"/>
        <w:rPr>
          <w:sz w:val="27"/>
        </w:rPr>
      </w:pPr>
    </w:p>
    <w:p>
      <w:pPr>
        <w:pStyle w:val="BodyText"/>
        <w:spacing w:line="218" w:lineRule="auto"/>
        <w:ind w:right="38"/>
      </w:pPr>
      <w:r>
        <w:rPr>
          <w:color w:val="231F20"/>
        </w:rPr>
        <w:t>Les tribunaux peuvent désigner les liquidateurs. Ils peuvent déter- miner le mode de liquidation de la société annulée entre les associés ou actionnaires, sauf si la nullité est prononcée sur base des articles 2:5, 5:13, 1° ou 2°, 6:14, 1° et 2°, ou 7:15, 1° ou 2°.</w:t>
      </w:r>
    </w:p>
    <w:p>
      <w:pPr>
        <w:pStyle w:val="BodyText"/>
        <w:spacing w:before="8"/>
        <w:ind w:left="0" w:right="0" w:firstLine="0"/>
        <w:jc w:val="left"/>
        <w:rPr>
          <w:sz w:val="27"/>
        </w:rPr>
      </w:pPr>
    </w:p>
    <w:p>
      <w:pPr>
        <w:pStyle w:val="BodyText"/>
        <w:spacing w:line="218" w:lineRule="auto"/>
        <w:ind w:right="38"/>
      </w:pPr>
      <w:r>
        <w:rPr>
          <w:color w:val="231F20"/>
        </w:rPr>
        <w:t>Art. 2:38. Lorsqu’une régularisation de la situation de la société est possible, le tribunal peut accorder un délai permettant de procéder à cette régularisation.</w:t>
      </w:r>
    </w:p>
    <w:p>
      <w:pPr>
        <w:pStyle w:val="BodyText"/>
        <w:spacing w:line="218" w:lineRule="auto" w:before="139"/>
        <w:ind w:right="38"/>
      </w:pPr>
      <w:r>
        <w:rPr>
          <w:color w:val="231F20"/>
        </w:rPr>
        <w:t>Art.</w:t>
      </w:r>
      <w:r>
        <w:rPr>
          <w:color w:val="231F20"/>
          <w:spacing w:val="-12"/>
        </w:rPr>
        <w:t> </w:t>
      </w:r>
      <w:r>
        <w:rPr>
          <w:color w:val="231F20"/>
        </w:rPr>
        <w:t>2:39.</w:t>
      </w:r>
      <w:r>
        <w:rPr>
          <w:color w:val="231F20"/>
          <w:spacing w:val="-11"/>
        </w:rPr>
        <w:t> </w:t>
      </w:r>
      <w:r>
        <w:rPr>
          <w:color w:val="231F20"/>
        </w:rPr>
        <w:t>Les</w:t>
      </w:r>
      <w:r>
        <w:rPr>
          <w:color w:val="231F20"/>
          <w:spacing w:val="-12"/>
        </w:rPr>
        <w:t> </w:t>
      </w:r>
      <w:r>
        <w:rPr>
          <w:color w:val="231F20"/>
        </w:rPr>
        <w:t>articles</w:t>
      </w:r>
      <w:r>
        <w:rPr>
          <w:color w:val="231F20"/>
          <w:spacing w:val="-11"/>
        </w:rPr>
        <w:t> </w:t>
      </w:r>
      <w:r>
        <w:rPr>
          <w:color w:val="231F20"/>
        </w:rPr>
        <w:t>2:34</w:t>
      </w:r>
      <w:r>
        <w:rPr>
          <w:color w:val="231F20"/>
          <w:spacing w:val="-12"/>
        </w:rPr>
        <w:t> </w:t>
      </w:r>
      <w:r>
        <w:rPr>
          <w:color w:val="231F20"/>
        </w:rPr>
        <w:t>et</w:t>
      </w:r>
      <w:r>
        <w:rPr>
          <w:color w:val="231F20"/>
          <w:spacing w:val="-11"/>
        </w:rPr>
        <w:t> </w:t>
      </w:r>
      <w:r>
        <w:rPr>
          <w:color w:val="231F20"/>
        </w:rPr>
        <w:t>2:36</w:t>
      </w:r>
      <w:r>
        <w:rPr>
          <w:color w:val="231F20"/>
          <w:spacing w:val="-12"/>
        </w:rPr>
        <w:t> </w:t>
      </w:r>
      <w:r>
        <w:rPr>
          <w:color w:val="231F20"/>
        </w:rPr>
        <w:t>sont</w:t>
      </w:r>
      <w:r>
        <w:rPr>
          <w:color w:val="231F20"/>
          <w:spacing w:val="-11"/>
        </w:rPr>
        <w:t> </w:t>
      </w:r>
      <w:r>
        <w:rPr>
          <w:color w:val="231F20"/>
        </w:rPr>
        <w:t>applicables</w:t>
      </w:r>
      <w:r>
        <w:rPr>
          <w:color w:val="231F20"/>
          <w:spacing w:val="-12"/>
        </w:rPr>
        <w:t> </w:t>
      </w:r>
      <w:r>
        <w:rPr>
          <w:color w:val="231F20"/>
        </w:rPr>
        <w:t>à</w:t>
      </w:r>
      <w:r>
        <w:rPr>
          <w:color w:val="231F20"/>
          <w:spacing w:val="-11"/>
        </w:rPr>
        <w:t> </w:t>
      </w:r>
      <w:r>
        <w:rPr>
          <w:color w:val="231F20"/>
        </w:rPr>
        <w:t>la</w:t>
      </w:r>
      <w:r>
        <w:rPr>
          <w:color w:val="231F20"/>
          <w:spacing w:val="-12"/>
        </w:rPr>
        <w:t> </w:t>
      </w:r>
      <w:r>
        <w:rPr>
          <w:color w:val="231F20"/>
        </w:rPr>
        <w:t>nullité</w:t>
      </w:r>
      <w:r>
        <w:rPr>
          <w:color w:val="231F20"/>
          <w:spacing w:val="-11"/>
        </w:rPr>
        <w:t> </w:t>
      </w:r>
      <w:r>
        <w:rPr>
          <w:color w:val="231F20"/>
        </w:rPr>
        <w:t>pour</w:t>
      </w:r>
      <w:r>
        <w:rPr>
          <w:color w:val="231F20"/>
          <w:spacing w:val="-12"/>
        </w:rPr>
        <w:t> </w:t>
      </w:r>
      <w:r>
        <w:rPr>
          <w:color w:val="231F20"/>
        </w:rPr>
        <w:t>vice de forme des modifications des dispositions des statuts et de l’acte constitutif.</w:t>
      </w:r>
    </w:p>
    <w:p>
      <w:pPr>
        <w:pStyle w:val="BodyText"/>
        <w:spacing w:line="218" w:lineRule="auto" w:before="139"/>
        <w:ind w:right="38"/>
      </w:pPr>
      <w:r>
        <w:rPr>
          <w:color w:val="231F20"/>
        </w:rPr>
        <w:t>Section 2. Procédure et effets de la nullité des associations et fondations.</w:t>
      </w:r>
    </w:p>
    <w:p>
      <w:pPr>
        <w:pStyle w:val="BodyText"/>
        <w:spacing w:line="218" w:lineRule="auto" w:before="124"/>
        <w:ind w:right="39"/>
      </w:pPr>
      <w:r>
        <w:rPr>
          <w:color w:val="231F20"/>
        </w:rPr>
        <w:t>Art. 2:40. § 1</w:t>
      </w:r>
      <w:r>
        <w:rPr>
          <w:color w:val="231F20"/>
          <w:position w:val="7"/>
          <w:sz w:val="11"/>
        </w:rPr>
        <w:t>er</w:t>
      </w:r>
      <w:r>
        <w:rPr>
          <w:color w:val="231F20"/>
        </w:rPr>
        <w:t>. La nullité d’une association ou d’une fondation doit être prononcée par une décision judiciaire.</w:t>
      </w:r>
    </w:p>
    <w:p>
      <w:pPr>
        <w:pStyle w:val="BodyText"/>
        <w:spacing w:line="218" w:lineRule="auto" w:before="138"/>
        <w:ind w:right="38"/>
      </w:pPr>
      <w:r>
        <w:rPr>
          <w:color w:val="231F20"/>
        </w:rPr>
        <w:t>Lorsqu’une régularisation de la situation de l’association ou de fondation est possible, le tribunal peut accorder un délai permettant de procéder à cette régularisation.</w:t>
      </w:r>
    </w:p>
    <w:p>
      <w:pPr>
        <w:pStyle w:val="BodyText"/>
        <w:spacing w:line="218" w:lineRule="auto" w:before="139"/>
        <w:ind w:right="38"/>
      </w:pPr>
      <w:r>
        <w:rPr>
          <w:color w:val="231F20"/>
        </w:rPr>
        <w:t>§</w:t>
      </w:r>
      <w:r>
        <w:rPr>
          <w:color w:val="231F20"/>
          <w:spacing w:val="-5"/>
        </w:rPr>
        <w:t> </w:t>
      </w:r>
      <w:r>
        <w:rPr>
          <w:color w:val="231F20"/>
        </w:rPr>
        <w:t>2.</w:t>
      </w:r>
      <w:r>
        <w:rPr>
          <w:color w:val="231F20"/>
          <w:spacing w:val="-5"/>
        </w:rPr>
        <w:t> </w:t>
      </w:r>
      <w:r>
        <w:rPr>
          <w:color w:val="231F20"/>
        </w:rPr>
        <w:t>Sans</w:t>
      </w:r>
      <w:r>
        <w:rPr>
          <w:color w:val="231F20"/>
          <w:spacing w:val="-4"/>
        </w:rPr>
        <w:t> </w:t>
      </w:r>
      <w:r>
        <w:rPr>
          <w:color w:val="231F20"/>
        </w:rPr>
        <w:t>préjudice</w:t>
      </w:r>
      <w:r>
        <w:rPr>
          <w:color w:val="231F20"/>
          <w:spacing w:val="-5"/>
        </w:rPr>
        <w:t> </w:t>
      </w:r>
      <w:r>
        <w:rPr>
          <w:color w:val="231F20"/>
        </w:rPr>
        <w:t>des</w:t>
      </w:r>
      <w:r>
        <w:rPr>
          <w:color w:val="231F20"/>
          <w:spacing w:val="-4"/>
        </w:rPr>
        <w:t> </w:t>
      </w:r>
      <w:r>
        <w:rPr>
          <w:color w:val="231F20"/>
        </w:rPr>
        <w:t>articles</w:t>
      </w:r>
      <w:r>
        <w:rPr>
          <w:color w:val="231F20"/>
          <w:spacing w:val="-5"/>
        </w:rPr>
        <w:t> </w:t>
      </w:r>
      <w:r>
        <w:rPr>
          <w:color w:val="231F20"/>
        </w:rPr>
        <w:t>2:9,</w:t>
      </w:r>
      <w:r>
        <w:rPr>
          <w:color w:val="231F20"/>
          <w:spacing w:val="-5"/>
        </w:rPr>
        <w:t> </w:t>
      </w:r>
      <w:r>
        <w:rPr>
          <w:color w:val="231F20"/>
        </w:rPr>
        <w:t>2:10,</w:t>
      </w:r>
      <w:r>
        <w:rPr>
          <w:color w:val="231F20"/>
          <w:spacing w:val="-4"/>
        </w:rPr>
        <w:t> </w:t>
      </w:r>
      <w:r>
        <w:rPr>
          <w:color w:val="231F20"/>
          <w:spacing w:val="-3"/>
        </w:rPr>
        <w:t>2:11</w:t>
      </w:r>
      <w:r>
        <w:rPr>
          <w:color w:val="231F20"/>
          <w:spacing w:val="-5"/>
        </w:rPr>
        <w:t> </w:t>
      </w:r>
      <w:r>
        <w:rPr>
          <w:color w:val="231F20"/>
        </w:rPr>
        <w:t>et</w:t>
      </w:r>
      <w:r>
        <w:rPr>
          <w:color w:val="231F20"/>
          <w:spacing w:val="-4"/>
        </w:rPr>
        <w:t> </w:t>
      </w:r>
      <w:r>
        <w:rPr>
          <w:color w:val="231F20"/>
        </w:rPr>
        <w:t>2:18,</w:t>
      </w:r>
      <w:r>
        <w:rPr>
          <w:color w:val="231F20"/>
          <w:spacing w:val="-5"/>
        </w:rPr>
        <w:t> </w:t>
      </w:r>
      <w:r>
        <w:rPr>
          <w:color w:val="231F20"/>
        </w:rPr>
        <w:t>la</w:t>
      </w:r>
      <w:r>
        <w:rPr>
          <w:color w:val="231F20"/>
          <w:spacing w:val="-4"/>
        </w:rPr>
        <w:t> </w:t>
      </w:r>
      <w:r>
        <w:rPr>
          <w:color w:val="231F20"/>
        </w:rPr>
        <w:t>nullité</w:t>
      </w:r>
      <w:r>
        <w:rPr>
          <w:color w:val="231F20"/>
          <w:spacing w:val="-5"/>
        </w:rPr>
        <w:t> </w:t>
      </w:r>
      <w:r>
        <w:rPr>
          <w:color w:val="231F20"/>
        </w:rPr>
        <w:t>produit ses</w:t>
      </w:r>
      <w:r>
        <w:rPr>
          <w:color w:val="231F20"/>
          <w:spacing w:val="14"/>
        </w:rPr>
        <w:t> </w:t>
      </w:r>
      <w:r>
        <w:rPr>
          <w:color w:val="231F20"/>
        </w:rPr>
        <w:t>effets</w:t>
      </w:r>
      <w:r>
        <w:rPr>
          <w:color w:val="231F20"/>
          <w:spacing w:val="15"/>
        </w:rPr>
        <w:t> </w:t>
      </w:r>
      <w:r>
        <w:rPr>
          <w:color w:val="231F20"/>
        </w:rPr>
        <w:t>à</w:t>
      </w:r>
      <w:r>
        <w:rPr>
          <w:color w:val="231F20"/>
          <w:spacing w:val="15"/>
        </w:rPr>
        <w:t> </w:t>
      </w:r>
      <w:r>
        <w:rPr>
          <w:color w:val="231F20"/>
        </w:rPr>
        <w:t>dater</w:t>
      </w:r>
      <w:r>
        <w:rPr>
          <w:color w:val="231F20"/>
          <w:spacing w:val="15"/>
        </w:rPr>
        <w:t> </w:t>
      </w:r>
      <w:r>
        <w:rPr>
          <w:color w:val="231F20"/>
        </w:rPr>
        <w:t>de</w:t>
      </w:r>
      <w:r>
        <w:rPr>
          <w:color w:val="231F20"/>
          <w:spacing w:val="15"/>
        </w:rPr>
        <w:t> </w:t>
      </w:r>
      <w:r>
        <w:rPr>
          <w:color w:val="231F20"/>
        </w:rPr>
        <w:t>la</w:t>
      </w:r>
      <w:r>
        <w:rPr>
          <w:color w:val="231F20"/>
          <w:spacing w:val="14"/>
        </w:rPr>
        <w:t> </w:t>
      </w:r>
      <w:r>
        <w:rPr>
          <w:color w:val="231F20"/>
        </w:rPr>
        <w:t>décision</w:t>
      </w:r>
      <w:r>
        <w:rPr>
          <w:color w:val="231F20"/>
          <w:spacing w:val="15"/>
        </w:rPr>
        <w:t> </w:t>
      </w:r>
      <w:r>
        <w:rPr>
          <w:color w:val="231F20"/>
        </w:rPr>
        <w:t>qui</w:t>
      </w:r>
      <w:r>
        <w:rPr>
          <w:color w:val="231F20"/>
          <w:spacing w:val="15"/>
        </w:rPr>
        <w:t> </w:t>
      </w:r>
      <w:r>
        <w:rPr>
          <w:color w:val="231F20"/>
        </w:rPr>
        <w:t>la</w:t>
      </w:r>
      <w:r>
        <w:rPr>
          <w:color w:val="231F20"/>
          <w:spacing w:val="15"/>
        </w:rPr>
        <w:t> </w:t>
      </w:r>
      <w:r>
        <w:rPr>
          <w:color w:val="231F20"/>
        </w:rPr>
        <w:t>prononce.</w:t>
      </w:r>
    </w:p>
    <w:p>
      <w:pPr>
        <w:pStyle w:val="BodyText"/>
        <w:spacing w:line="218" w:lineRule="auto" w:before="139"/>
        <w:ind w:right="38"/>
      </w:pPr>
      <w:r>
        <w:rPr>
          <w:color w:val="231F20"/>
        </w:rPr>
        <w:t>La décision prononçant la nullité de l’association ou de la fondation entraîne la liquidation de celle-ci conformément aux articles 2:109 à 2:133 ou 2:134 à 2:135.</w:t>
      </w:r>
    </w:p>
    <w:p>
      <w:pPr>
        <w:pStyle w:val="BodyText"/>
        <w:spacing w:before="7"/>
        <w:ind w:left="0" w:right="0" w:firstLine="0"/>
        <w:jc w:val="left"/>
        <w:rPr>
          <w:sz w:val="27"/>
        </w:rPr>
      </w:pPr>
    </w:p>
    <w:p>
      <w:pPr>
        <w:pStyle w:val="BodyText"/>
        <w:spacing w:line="218" w:lineRule="auto" w:before="1"/>
        <w:ind w:right="38"/>
      </w:pPr>
      <w:r>
        <w:rPr>
          <w:color w:val="231F20"/>
        </w:rPr>
        <w:t>La nullité de l’association ou de la fondation ne porte pas atteinte par elle-même à la validité de ses engagements ni à celle des engagements pris envers elle sans préjudice des effets de l’état de liquidation.</w:t>
      </w:r>
    </w:p>
    <w:p>
      <w:pPr>
        <w:pStyle w:val="BodyText"/>
        <w:spacing w:before="7"/>
        <w:ind w:left="0" w:right="0" w:firstLine="0"/>
        <w:jc w:val="left"/>
        <w:rPr>
          <w:sz w:val="27"/>
        </w:rPr>
      </w:pPr>
    </w:p>
    <w:p>
      <w:pPr>
        <w:pStyle w:val="BodyText"/>
        <w:spacing w:line="218" w:lineRule="auto" w:before="1"/>
        <w:ind w:right="38"/>
      </w:pPr>
      <w:r>
        <w:rPr>
          <w:color w:val="231F20"/>
        </w:rPr>
        <w:t>CHAPITRE 2. Règles de délibération, de nullité et de suspension des décisions d’organes de personnes morales et des décisions de l’assem- blée générale des obligataires.</w:t>
      </w:r>
    </w:p>
    <w:p>
      <w:pPr>
        <w:pStyle w:val="BodyText"/>
        <w:spacing w:before="109"/>
        <w:ind w:left="283" w:right="0" w:firstLine="0"/>
        <w:jc w:val="left"/>
      </w:pPr>
      <w:r>
        <w:rPr>
          <w:color w:val="231F20"/>
        </w:rPr>
        <w:t>Section 1</w:t>
      </w:r>
      <w:r>
        <w:rPr>
          <w:color w:val="231F20"/>
          <w:position w:val="7"/>
          <w:sz w:val="11"/>
        </w:rPr>
        <w:t>re</w:t>
      </w:r>
      <w:r>
        <w:rPr>
          <w:color w:val="231F20"/>
        </w:rPr>
        <w:t>. Règles de délibération.</w:t>
      </w:r>
    </w:p>
    <w:p>
      <w:pPr>
        <w:pStyle w:val="BodyText"/>
        <w:spacing w:line="218" w:lineRule="auto" w:before="136"/>
        <w:ind w:right="38"/>
      </w:pPr>
      <w:r>
        <w:rPr>
          <w:color w:val="231F20"/>
        </w:rPr>
        <w:t>Art. 2:41. A défaut de dispositions contraires des statuts, les règles ordinaires des assemblées délibérantes s’appliquent aux collèges et assemblées prévus par le présent code, sauf si celui-ci en dispose autrement.</w:t>
      </w:r>
    </w:p>
    <w:p>
      <w:pPr>
        <w:pStyle w:val="BodyText"/>
        <w:spacing w:line="218" w:lineRule="auto" w:before="119"/>
      </w:pPr>
      <w:r>
        <w:rPr/>
        <w:br w:type="column"/>
      </w:r>
      <w:r>
        <w:rPr>
          <w:color w:val="231F20"/>
        </w:rPr>
        <w:t>Art. 2:34. De nietigheid van een vennootschap moet bij rechterlijke beslissing worden uitgesproken.</w:t>
      </w:r>
    </w:p>
    <w:p>
      <w:pPr>
        <w:pStyle w:val="BodyText"/>
        <w:spacing w:line="218" w:lineRule="auto" w:before="139"/>
      </w:pPr>
      <w:r>
        <w:rPr>
          <w:color w:val="231F20"/>
        </w:rPr>
        <w:t>De nietigheid heeft gevolg te rekenen van de dag waarop zij is uitgesproken.</w:t>
      </w:r>
    </w:p>
    <w:p>
      <w:pPr>
        <w:pStyle w:val="BodyText"/>
        <w:spacing w:line="218" w:lineRule="auto" w:before="139"/>
      </w:pPr>
      <w:r>
        <w:rPr>
          <w:color w:val="231F20"/>
        </w:rPr>
        <w:t>Aan derden kan zij slechts worden tegengeworpen vanaf de bij de artikelen 2:7, 2:13 en 2:35 voorgeschreven bekendmaking.</w:t>
      </w:r>
    </w:p>
    <w:p>
      <w:pPr>
        <w:pStyle w:val="BodyText"/>
        <w:spacing w:line="218" w:lineRule="auto" w:before="139"/>
      </w:pPr>
      <w:r>
        <w:rPr>
          <w:color w:val="231F20"/>
        </w:rPr>
        <w:t>Art. 2:35. Het uittreksel uit de in kracht van gewijsde gegane of bij voorraad uitvoerbare rechterlijke beslissing waarbij de nietigheid van de vennootschap wordt uitgesproken, alsook het uittreksel uit de rechterlijke beslissing waarbij voornoemd bij voorraad uitvoerbaar vonnis wordt tenietgedaan, worden neergelegd en bekendgemaakt overeenkomstig</w:t>
      </w:r>
      <w:r>
        <w:rPr>
          <w:color w:val="231F20"/>
          <w:spacing w:val="14"/>
        </w:rPr>
        <w:t> </w:t>
      </w:r>
      <w:r>
        <w:rPr>
          <w:color w:val="231F20"/>
        </w:rPr>
        <w:t>de</w:t>
      </w:r>
      <w:r>
        <w:rPr>
          <w:color w:val="231F20"/>
          <w:spacing w:val="14"/>
        </w:rPr>
        <w:t> </w:t>
      </w:r>
      <w:r>
        <w:rPr>
          <w:color w:val="231F20"/>
        </w:rPr>
        <w:t>artikelen</w:t>
      </w:r>
      <w:r>
        <w:rPr>
          <w:color w:val="231F20"/>
          <w:spacing w:val="15"/>
        </w:rPr>
        <w:t> </w:t>
      </w:r>
      <w:r>
        <w:rPr>
          <w:color w:val="231F20"/>
        </w:rPr>
        <w:t>2:7</w:t>
      </w:r>
      <w:r>
        <w:rPr>
          <w:color w:val="231F20"/>
          <w:spacing w:val="14"/>
        </w:rPr>
        <w:t> </w:t>
      </w:r>
      <w:r>
        <w:rPr>
          <w:color w:val="231F20"/>
        </w:rPr>
        <w:t>en</w:t>
      </w:r>
      <w:r>
        <w:rPr>
          <w:color w:val="231F20"/>
          <w:spacing w:val="15"/>
        </w:rPr>
        <w:t> </w:t>
      </w:r>
      <w:r>
        <w:rPr>
          <w:color w:val="231F20"/>
        </w:rPr>
        <w:t>2:13.</w:t>
      </w:r>
    </w:p>
    <w:p>
      <w:pPr>
        <w:pStyle w:val="BodyText"/>
        <w:spacing w:before="125"/>
        <w:ind w:left="283" w:right="0" w:firstLine="0"/>
        <w:jc w:val="left"/>
      </w:pPr>
      <w:r>
        <w:rPr>
          <w:color w:val="231F20"/>
        </w:rPr>
        <w:t>Dat uittreksel vermeldt:</w:t>
      </w:r>
    </w:p>
    <w:p>
      <w:pPr>
        <w:pStyle w:val="BodyText"/>
        <w:spacing w:before="121"/>
        <w:ind w:left="283" w:right="0" w:firstLine="0"/>
        <w:jc w:val="left"/>
      </w:pPr>
      <w:r>
        <w:rPr>
          <w:color w:val="231F20"/>
        </w:rPr>
        <w:t>1° de naam en de zetel van de vennootschap;</w:t>
      </w:r>
    </w:p>
    <w:p>
      <w:pPr>
        <w:pStyle w:val="BodyText"/>
        <w:spacing w:line="310" w:lineRule="atLeast" w:before="4"/>
        <w:ind w:left="283" w:right="125" w:hanging="1"/>
        <w:jc w:val="left"/>
      </w:pPr>
      <w:r>
        <w:rPr>
          <w:color w:val="231F20"/>
        </w:rPr>
        <w:t>2° de datum van de beslissing en de rechter die ze heeft gewezen;     3°</w:t>
      </w:r>
      <w:r>
        <w:rPr>
          <w:color w:val="231F20"/>
          <w:spacing w:val="28"/>
        </w:rPr>
        <w:t> </w:t>
      </w:r>
      <w:r>
        <w:rPr>
          <w:color w:val="231F20"/>
        </w:rPr>
        <w:t>in</w:t>
      </w:r>
      <w:r>
        <w:rPr>
          <w:color w:val="231F20"/>
          <w:spacing w:val="28"/>
        </w:rPr>
        <w:t> </w:t>
      </w:r>
      <w:r>
        <w:rPr>
          <w:color w:val="231F20"/>
        </w:rPr>
        <w:t>voorkomend</w:t>
      </w:r>
      <w:r>
        <w:rPr>
          <w:color w:val="231F20"/>
          <w:spacing w:val="28"/>
        </w:rPr>
        <w:t> </w:t>
      </w:r>
      <w:r>
        <w:rPr>
          <w:color w:val="231F20"/>
        </w:rPr>
        <w:t>geval,</w:t>
      </w:r>
      <w:r>
        <w:rPr>
          <w:color w:val="231F20"/>
          <w:spacing w:val="28"/>
        </w:rPr>
        <w:t> </w:t>
      </w:r>
      <w:r>
        <w:rPr>
          <w:color w:val="231F20"/>
        </w:rPr>
        <w:t>de</w:t>
      </w:r>
      <w:r>
        <w:rPr>
          <w:color w:val="231F20"/>
          <w:spacing w:val="28"/>
        </w:rPr>
        <w:t> </w:t>
      </w:r>
      <w:r>
        <w:rPr>
          <w:color w:val="231F20"/>
        </w:rPr>
        <w:t>naam,</w:t>
      </w:r>
      <w:r>
        <w:rPr>
          <w:color w:val="231F20"/>
          <w:spacing w:val="28"/>
        </w:rPr>
        <w:t> </w:t>
      </w:r>
      <w:r>
        <w:rPr>
          <w:color w:val="231F20"/>
        </w:rPr>
        <w:t>de</w:t>
      </w:r>
      <w:r>
        <w:rPr>
          <w:color w:val="231F20"/>
          <w:spacing w:val="28"/>
        </w:rPr>
        <w:t> </w:t>
      </w:r>
      <w:r>
        <w:rPr>
          <w:color w:val="231F20"/>
        </w:rPr>
        <w:t>voornaam</w:t>
      </w:r>
      <w:r>
        <w:rPr>
          <w:color w:val="231F20"/>
          <w:spacing w:val="28"/>
        </w:rPr>
        <w:t> </w:t>
      </w:r>
      <w:r>
        <w:rPr>
          <w:color w:val="231F20"/>
        </w:rPr>
        <w:t>en</w:t>
      </w:r>
      <w:r>
        <w:rPr>
          <w:color w:val="231F20"/>
          <w:spacing w:val="28"/>
        </w:rPr>
        <w:t> </w:t>
      </w:r>
      <w:r>
        <w:rPr>
          <w:color w:val="231F20"/>
        </w:rPr>
        <w:t>de</w:t>
      </w:r>
      <w:r>
        <w:rPr>
          <w:color w:val="231F20"/>
          <w:spacing w:val="28"/>
        </w:rPr>
        <w:t> </w:t>
      </w:r>
      <w:r>
        <w:rPr>
          <w:color w:val="231F20"/>
        </w:rPr>
        <w:t>woonplaats</w:t>
      </w:r>
    </w:p>
    <w:p>
      <w:pPr>
        <w:pStyle w:val="BodyText"/>
        <w:spacing w:line="218" w:lineRule="auto" w:before="2"/>
        <w:ind w:firstLine="0"/>
      </w:pPr>
      <w:r>
        <w:rPr>
          <w:color w:val="231F20"/>
        </w:rPr>
        <w:t>van de vereffenaars; ingeval de vereffenaar een rechtspersoon is, bevat het uittreksel de aanwijzing of de wijziging van de aanwijzing van de natuurlijke persoon die deze vertegenwoordigt voor de uitoefening van de vereffeningsbevoegdheid.</w:t>
      </w:r>
    </w:p>
    <w:p>
      <w:pPr>
        <w:pStyle w:val="BodyText"/>
        <w:spacing w:line="218" w:lineRule="auto" w:before="139"/>
      </w:pPr>
      <w:r>
        <w:rPr>
          <w:color w:val="231F20"/>
        </w:rPr>
        <w:t>Art. 2:36. De nietigheid wegens vormgebrek van een vennootschap kan door de vennootschap of door een vennoot of aandeelhouder aan derden niet worden tegengeworpen, ook niet bij wege van exceptie, tenzij ze is vastgesteld in een overeenkomstig artikel 2:35 bekendge- maakte rechterlijke beslissing.</w:t>
      </w:r>
    </w:p>
    <w:p>
      <w:pPr>
        <w:pStyle w:val="BodyText"/>
        <w:spacing w:line="218" w:lineRule="auto" w:before="139"/>
      </w:pPr>
      <w:r>
        <w:rPr>
          <w:color w:val="231F20"/>
        </w:rPr>
        <w:t>Art. 2:37. De overeenkomstig artikel 2:34 door de rechter uitgespro- ken nietigheid van een vennootschap brengt de vereffening van de vennootschap met zich, zoals bij ontbinding.</w:t>
      </w:r>
    </w:p>
    <w:p>
      <w:pPr>
        <w:pStyle w:val="BodyText"/>
        <w:spacing w:line="218" w:lineRule="auto" w:before="138"/>
      </w:pPr>
      <w:r>
        <w:rPr>
          <w:color w:val="231F20"/>
        </w:rPr>
        <w:t>De nietigheid doet op zichzelf geen afbreuk aan de rechtsgeldigheid van door of jegens de vennootschap aangegane verbintenissen, onver- minderd de gevolgen van het feit dat de vennootschap zich in vereffening bevindt.</w:t>
      </w:r>
    </w:p>
    <w:p>
      <w:pPr>
        <w:pStyle w:val="BodyText"/>
        <w:spacing w:line="218" w:lineRule="auto" w:before="139"/>
      </w:pPr>
      <w:r>
        <w:rPr>
          <w:color w:val="231F20"/>
        </w:rPr>
        <w:t>De rechtbanken kunnen vereffenaars aanwijzen. Zij kunnen vaststel- len op welke wijze de nietigverklaarde vennootschap zal worden vereffend onder de vennoten of aandeelhouders, tenzij de nietigheid is uitgesproken op grond van de artikelen 2:5, 5:13, 1° of 2°, 6:14, 1° en 2°,</w:t>
      </w:r>
    </w:p>
    <w:p>
      <w:pPr>
        <w:pStyle w:val="BodyText"/>
        <w:spacing w:line="179" w:lineRule="exact"/>
        <w:ind w:right="0" w:firstLine="0"/>
        <w:jc w:val="left"/>
      </w:pPr>
      <w:r>
        <w:rPr>
          <w:color w:val="231F20"/>
        </w:rPr>
        <w:t>of 7:15, 1° of 2°.</w:t>
      </w:r>
    </w:p>
    <w:p>
      <w:pPr>
        <w:pStyle w:val="BodyText"/>
        <w:spacing w:line="218" w:lineRule="auto" w:before="136"/>
      </w:pPr>
      <w:r>
        <w:rPr>
          <w:color w:val="231F20"/>
        </w:rPr>
        <w:t>Art. 2:38. Wanneer het mogelijk is de toestand van de vennootschap te regulariseren, kan de rechtbank daarvoor een termijn toestaan.</w:t>
      </w:r>
    </w:p>
    <w:p>
      <w:pPr>
        <w:pStyle w:val="BodyText"/>
        <w:spacing w:before="7"/>
        <w:ind w:left="0" w:right="0" w:firstLine="0"/>
        <w:jc w:val="left"/>
        <w:rPr>
          <w:sz w:val="27"/>
        </w:rPr>
      </w:pPr>
    </w:p>
    <w:p>
      <w:pPr>
        <w:pStyle w:val="BodyText"/>
        <w:spacing w:line="218" w:lineRule="auto"/>
      </w:pPr>
      <w:r>
        <w:rPr>
          <w:color w:val="231F20"/>
        </w:rPr>
        <w:t>Art. 2:39. De artikelen 2:34 en 2:36 zijn van toepassing op de nietigheid wegens vormgebrek van wijzigingen van de bepalingen van de statuten en van de oprichtingsakte.</w:t>
      </w:r>
    </w:p>
    <w:p>
      <w:pPr>
        <w:pStyle w:val="BodyText"/>
        <w:spacing w:line="218" w:lineRule="auto" w:before="139"/>
      </w:pPr>
      <w:r>
        <w:rPr>
          <w:color w:val="231F20"/>
        </w:rPr>
        <w:t>Afdeling 2. Procedure en gevolgen van de nietigheid van verenigin- gen en stichtingen.</w:t>
      </w:r>
    </w:p>
    <w:p>
      <w:pPr>
        <w:pStyle w:val="BodyText"/>
        <w:spacing w:line="218" w:lineRule="auto" w:before="139"/>
      </w:pPr>
      <w:r>
        <w:rPr>
          <w:color w:val="231F20"/>
        </w:rPr>
        <w:t>Art. 2:40. § 1. De nietigheid van een vereniging of stichting moet bij rechterlijke beslissing worden uitgesproken.</w:t>
      </w:r>
    </w:p>
    <w:p>
      <w:pPr>
        <w:pStyle w:val="BodyText"/>
        <w:spacing w:line="218" w:lineRule="auto" w:before="139"/>
        <w:ind w:right="123"/>
      </w:pPr>
      <w:r>
        <w:rPr>
          <w:color w:val="231F20"/>
        </w:rPr>
        <w:t>Wanneer het mogelijk is de toestand van de vereniging of stichting te regulariseren, kan de rechtbank daarvoor een termijn toestaan.</w:t>
      </w:r>
    </w:p>
    <w:p>
      <w:pPr>
        <w:pStyle w:val="BodyText"/>
        <w:spacing w:before="7"/>
        <w:ind w:left="0" w:right="0" w:firstLine="0"/>
        <w:jc w:val="left"/>
        <w:rPr>
          <w:sz w:val="27"/>
        </w:rPr>
      </w:pPr>
    </w:p>
    <w:p>
      <w:pPr>
        <w:pStyle w:val="BodyText"/>
        <w:spacing w:line="218" w:lineRule="auto"/>
      </w:pPr>
      <w:r>
        <w:rPr>
          <w:color w:val="231F20"/>
        </w:rPr>
        <w:t>§ 2. Onverminderd de artikelen 2:9, 2:10, 2:11 en 2:18, heeft de nietigheid gevolgen te rekenen van de dag waarop zij is uitgesproken.</w:t>
      </w:r>
    </w:p>
    <w:p>
      <w:pPr>
        <w:pStyle w:val="BodyText"/>
        <w:spacing w:line="218" w:lineRule="auto" w:before="139"/>
      </w:pPr>
      <w:r>
        <w:rPr>
          <w:color w:val="231F20"/>
        </w:rPr>
        <w:t>De beslissing waarbij de nietigheid van een vereniging of stichting wordt uitgesproken, brengt de vereffening van de vereniging of stichting mee overeenkomstig de artikelen 2:109 tot 2:133 of 2:134 tot 2:135.</w:t>
      </w:r>
    </w:p>
    <w:p>
      <w:pPr>
        <w:pStyle w:val="BodyText"/>
        <w:spacing w:line="218" w:lineRule="auto" w:before="139"/>
      </w:pPr>
      <w:r>
        <w:rPr>
          <w:color w:val="231F20"/>
        </w:rPr>
        <w:t>De nietigheid van de vereniging of stichting doet op zich zelf geen afbreuk aan de rechtsgeldigheid van door of jegens haar aangegane verbintenissen, onverminderd de gevolgen van het feit dat zij zich in vereffening bevindt.</w:t>
      </w:r>
    </w:p>
    <w:p>
      <w:pPr>
        <w:pStyle w:val="BodyText"/>
        <w:spacing w:line="218" w:lineRule="auto" w:before="139"/>
        <w:ind w:right="125"/>
      </w:pPr>
      <w:r>
        <w:rPr>
          <w:color w:val="231F20"/>
        </w:rPr>
        <w:t>HOOFDSTUK 2. Regels van beraadslaging, nietigheid en opschor- ting van besluiten van organen van rechtspersonen en van besluiten van</w:t>
      </w:r>
      <w:r>
        <w:rPr>
          <w:color w:val="231F20"/>
          <w:spacing w:val="17"/>
        </w:rPr>
        <w:t> </w:t>
      </w:r>
      <w:r>
        <w:rPr>
          <w:color w:val="231F20"/>
        </w:rPr>
        <w:t>de</w:t>
      </w:r>
      <w:r>
        <w:rPr>
          <w:color w:val="231F20"/>
          <w:spacing w:val="17"/>
        </w:rPr>
        <w:t> </w:t>
      </w:r>
      <w:r>
        <w:rPr>
          <w:color w:val="231F20"/>
        </w:rPr>
        <w:t>algemene</w:t>
      </w:r>
      <w:r>
        <w:rPr>
          <w:color w:val="231F20"/>
          <w:spacing w:val="17"/>
        </w:rPr>
        <w:t> </w:t>
      </w:r>
      <w:r>
        <w:rPr>
          <w:color w:val="231F20"/>
        </w:rPr>
        <w:t>vergadering</w:t>
      </w:r>
      <w:r>
        <w:rPr>
          <w:color w:val="231F20"/>
          <w:spacing w:val="18"/>
        </w:rPr>
        <w:t> </w:t>
      </w:r>
      <w:r>
        <w:rPr>
          <w:color w:val="231F20"/>
        </w:rPr>
        <w:t>van</w:t>
      </w:r>
      <w:r>
        <w:rPr>
          <w:color w:val="231F20"/>
          <w:spacing w:val="17"/>
        </w:rPr>
        <w:t> </w:t>
      </w:r>
      <w:r>
        <w:rPr>
          <w:color w:val="231F20"/>
        </w:rPr>
        <w:t>obligatiehouders.</w:t>
      </w:r>
    </w:p>
    <w:p>
      <w:pPr>
        <w:pStyle w:val="BodyText"/>
        <w:spacing w:before="125"/>
        <w:ind w:left="283" w:right="0" w:firstLine="0"/>
        <w:jc w:val="left"/>
      </w:pPr>
      <w:r>
        <w:rPr>
          <w:color w:val="231F20"/>
          <w:w w:val="105"/>
        </w:rPr>
        <w:t>Afdeling 1. Regels van beraadslaging.</w:t>
      </w:r>
    </w:p>
    <w:p>
      <w:pPr>
        <w:pStyle w:val="BodyText"/>
        <w:spacing w:line="218" w:lineRule="auto" w:before="135"/>
      </w:pPr>
      <w:r>
        <w:rPr>
          <w:color w:val="231F20"/>
        </w:rPr>
        <w:t>Art. 2:41. Bij gebrek aan andersluidende statutaire bepalingen, zijn</w:t>
      </w:r>
      <w:r>
        <w:rPr>
          <w:color w:val="231F20"/>
          <w:spacing w:val="-29"/>
        </w:rPr>
        <w:t> </w:t>
      </w:r>
      <w:r>
        <w:rPr>
          <w:color w:val="231F20"/>
        </w:rPr>
        <w:t>de gewone regels van de beraadslagende vergaderingen toepasselijk op de colleges en vergaderingen waarin dit wetboek voorziet, tenzij het wetboek anders</w:t>
      </w:r>
      <w:r>
        <w:rPr>
          <w:color w:val="231F20"/>
          <w:spacing w:val="-11"/>
        </w:rPr>
        <w:t> </w:t>
      </w:r>
      <w:r>
        <w:rPr>
          <w:color w:val="231F20"/>
        </w:rPr>
        <w:t>bepaalt.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1576" from="298.170502pt,64.473pt" to="298.170502pt,812.819pt" stroked="true" strokeweight=".533pt" strokecolor="#231f20">
            <v:stroke dashstyle="solid"/>
            <w10:wrap type="none"/>
          </v:line>
        </w:pict>
      </w:r>
      <w:bookmarkStart w:name="_bookmark23" w:id="26"/>
      <w:bookmarkEnd w:id="26"/>
      <w:r>
        <w:rPr/>
      </w:r>
      <w:r>
        <w:rPr>
          <w:color w:val="231F20"/>
        </w:rPr>
        <w:t>Section 2. Nullité des décisions des organes, des décisions de l’assemblée générale des obligataires et des votes.</w:t>
      </w:r>
    </w:p>
    <w:p>
      <w:pPr>
        <w:pStyle w:val="BodyText"/>
        <w:spacing w:line="218" w:lineRule="auto" w:before="107"/>
        <w:ind w:right="39"/>
      </w:pPr>
      <w:r>
        <w:rPr>
          <w:color w:val="231F20"/>
        </w:rPr>
        <w:t>Art. 2:42. Est frappée de nullité, la décision prise par un organe d’une personne morale ou par l’assemblée générale des obligataires:</w:t>
      </w:r>
    </w:p>
    <w:p>
      <w:pPr>
        <w:pStyle w:val="BodyText"/>
        <w:spacing w:line="218" w:lineRule="auto" w:before="106"/>
        <w:ind w:right="38"/>
      </w:pPr>
      <w:r>
        <w:rPr>
          <w:color w:val="231F20"/>
        </w:rPr>
        <w:t>1° lorsque cette décision a été adoptée de manière irrégulière, si le demandeur prouve que cette irrégularité a pu avoir une influence sur la délibération ou le vote ou a été commise dans une intention fraudu- leuse;</w:t>
      </w:r>
    </w:p>
    <w:p>
      <w:pPr>
        <w:pStyle w:val="BodyText"/>
        <w:spacing w:line="218" w:lineRule="auto" w:before="107"/>
        <w:ind w:right="39"/>
      </w:pPr>
      <w:r>
        <w:rPr>
          <w:color w:val="231F20"/>
        </w:rPr>
        <w:t>2° en cas d’abus de droit, d’abus, d’excès ou détournement de pouvoir;</w:t>
      </w:r>
    </w:p>
    <w:p>
      <w:pPr>
        <w:pStyle w:val="BodyText"/>
        <w:spacing w:line="218" w:lineRule="auto" w:before="107"/>
        <w:ind w:right="38"/>
      </w:pPr>
      <w:r>
        <w:rPr>
          <w:color w:val="231F20"/>
        </w:rPr>
        <w:t>3° lorsque des droits de vote ont été exercés alors qu’ils étaient suspendus en vertu d’une disposition légale non reprise dans le présent code et que, sans ces droits de vote illégalement exercés, les conditions de quorum ou de majorité requis pour les décisions d’assemblée générale n’auraient pas été réunis;</w:t>
      </w:r>
    </w:p>
    <w:p>
      <w:pPr>
        <w:pStyle w:val="BodyText"/>
        <w:spacing w:before="93"/>
        <w:ind w:left="283" w:right="0" w:firstLine="0"/>
        <w:jc w:val="left"/>
      </w:pPr>
      <w:r>
        <w:rPr>
          <w:color w:val="231F20"/>
        </w:rPr>
        <w:t>4° pour toute autre cause prévue dans le présent code.</w:t>
      </w:r>
    </w:p>
    <w:p>
      <w:pPr>
        <w:pStyle w:val="BodyText"/>
        <w:spacing w:line="218" w:lineRule="auto" w:before="114"/>
        <w:ind w:right="38"/>
      </w:pPr>
      <w:r>
        <w:rPr>
          <w:color w:val="231F20"/>
        </w:rPr>
        <w:t>Art. 2:43. Les causes de nullité d’un vote sont les mêmes que celles d’un acte juridique. La nullité d’un vote entraîne la nullité de la décision prise si le demandeur prouve que le vote nul a pu influencer   la délibération ou le</w:t>
      </w:r>
      <w:r>
        <w:rPr>
          <w:color w:val="231F20"/>
          <w:spacing w:val="19"/>
        </w:rPr>
        <w:t> </w:t>
      </w:r>
      <w:r>
        <w:rPr>
          <w:color w:val="231F20"/>
        </w:rPr>
        <w:t>vote.</w:t>
      </w:r>
    </w:p>
    <w:p>
      <w:pPr>
        <w:pStyle w:val="BodyText"/>
        <w:spacing w:before="9"/>
        <w:ind w:left="0" w:right="0" w:firstLine="0"/>
        <w:jc w:val="left"/>
        <w:rPr>
          <w:sz w:val="25"/>
        </w:rPr>
      </w:pPr>
    </w:p>
    <w:p>
      <w:pPr>
        <w:pStyle w:val="BodyText"/>
        <w:spacing w:line="218" w:lineRule="auto" w:before="1"/>
        <w:ind w:right="38"/>
      </w:pPr>
      <w:r>
        <w:rPr>
          <w:color w:val="231F20"/>
        </w:rPr>
        <w:t>Lorsqu’une minorité des votants abuse de son droit de vote de manière telle qu’une assemblée n’est pas en état de prendre une décision à la majorité requise par la loi ou les statuts, le juge peut, à la requête d’un membre de l’assemblée concernée ou de la personne morale, donner à sa décision la valeur d’un vote émis par cette minorité.</w:t>
      </w:r>
    </w:p>
    <w:p>
      <w:pPr>
        <w:pStyle w:val="BodyText"/>
        <w:spacing w:line="218" w:lineRule="auto" w:before="117"/>
        <w:ind w:right="38"/>
      </w:pPr>
      <w:r>
        <w:rPr>
          <w:color w:val="231F20"/>
        </w:rPr>
        <w:t>Section 3. Procédure et effets de la nullité et de la suspension des décisions d’un organe ou de l’assemblée générale des obligataires.</w:t>
      </w:r>
    </w:p>
    <w:p>
      <w:pPr>
        <w:pStyle w:val="BodyText"/>
        <w:spacing w:before="9"/>
        <w:ind w:left="0" w:right="0" w:firstLine="0"/>
        <w:jc w:val="left"/>
        <w:rPr>
          <w:sz w:val="25"/>
        </w:rPr>
      </w:pPr>
    </w:p>
    <w:p>
      <w:pPr>
        <w:pStyle w:val="BodyText"/>
        <w:spacing w:line="218" w:lineRule="auto" w:before="1"/>
        <w:ind w:right="38"/>
      </w:pPr>
      <w:r>
        <w:rPr>
          <w:color w:val="231F20"/>
        </w:rPr>
        <w:t>Art. 2:44. Le tribunal de l’entreprise prononce la nullité d’une décision à la requête de la personne morale ou d’une personne qui a intérêt au respect de la règle de droit méconnue.</w:t>
      </w:r>
    </w:p>
    <w:p>
      <w:pPr>
        <w:pStyle w:val="BodyText"/>
        <w:spacing w:line="218" w:lineRule="auto" w:before="117"/>
        <w:ind w:right="38"/>
      </w:pPr>
      <w:r>
        <w:rPr>
          <w:color w:val="231F20"/>
        </w:rPr>
        <w:t>N’est pas recevable à invoquer la nullité celui qui a voté en faveur de la décision attaquée, à moins que son consentement a été vicié, ou celui qui a renoncé, expressément ou tacitement, au droit de s’en prévaloir, à moins que la nullité ne résulte d’une règle d’ordre public.</w:t>
      </w:r>
    </w:p>
    <w:p>
      <w:pPr>
        <w:pStyle w:val="BodyText"/>
        <w:spacing w:before="9"/>
        <w:ind w:left="0" w:right="0" w:firstLine="0"/>
        <w:jc w:val="left"/>
        <w:rPr>
          <w:sz w:val="25"/>
        </w:rPr>
      </w:pPr>
    </w:p>
    <w:p>
      <w:pPr>
        <w:pStyle w:val="BodyText"/>
        <w:spacing w:line="218" w:lineRule="auto"/>
        <w:ind w:right="38"/>
      </w:pPr>
      <w:r>
        <w:rPr>
          <w:color w:val="231F20"/>
        </w:rPr>
        <w:t>Les actionnaires ne peuvent invoquer la nullité d’une décision de l’assemblée générale des obligataires.</w:t>
      </w:r>
    </w:p>
    <w:p>
      <w:pPr>
        <w:pStyle w:val="BodyText"/>
        <w:spacing w:before="104"/>
        <w:ind w:left="284" w:right="0" w:firstLine="0"/>
        <w:jc w:val="left"/>
      </w:pPr>
      <w:r>
        <w:rPr>
          <w:color w:val="231F20"/>
        </w:rPr>
        <w:t>Art. 2:45. L’action en nullité est dirigée contre la personne morale.</w:t>
      </w:r>
    </w:p>
    <w:p>
      <w:pPr>
        <w:pStyle w:val="BodyText"/>
        <w:spacing w:before="5"/>
        <w:ind w:left="0" w:right="0" w:firstLine="0"/>
        <w:jc w:val="left"/>
        <w:rPr>
          <w:sz w:val="25"/>
        </w:rPr>
      </w:pPr>
    </w:p>
    <w:p>
      <w:pPr>
        <w:pStyle w:val="BodyText"/>
        <w:spacing w:line="218" w:lineRule="auto" w:before="1"/>
        <w:ind w:right="38"/>
      </w:pPr>
      <w:r>
        <w:rPr>
          <w:color w:val="231F20"/>
        </w:rPr>
        <w:t>Si un représentant des obligataires a été désigné conformément aux articles 5:51, 6:48 et 7:63, l’action en nullité d’une décision de l’assemblée des obligataires peut être mue par ce représentant contre la société ou par la société contre ce représentant. Un obligataire peut aussi introduire une action en nullité contre la société, auquel cas la société en informe les autres obligataires.</w:t>
      </w:r>
    </w:p>
    <w:p>
      <w:pPr>
        <w:pStyle w:val="BodyText"/>
        <w:ind w:left="0" w:right="0" w:firstLine="0"/>
        <w:jc w:val="left"/>
        <w:rPr>
          <w:sz w:val="20"/>
        </w:rPr>
      </w:pPr>
    </w:p>
    <w:p>
      <w:pPr>
        <w:pStyle w:val="BodyText"/>
        <w:spacing w:before="3"/>
        <w:ind w:left="0" w:right="0" w:firstLine="0"/>
        <w:jc w:val="left"/>
        <w:rPr>
          <w:sz w:val="21"/>
        </w:rPr>
      </w:pPr>
    </w:p>
    <w:p>
      <w:pPr>
        <w:pStyle w:val="BodyText"/>
        <w:spacing w:line="218" w:lineRule="auto"/>
        <w:ind w:right="38"/>
      </w:pPr>
      <w:r>
        <w:rPr>
          <w:color w:val="231F20"/>
        </w:rPr>
        <w:t>Art. 2:46. Dans les cas qu’il estime urgents, le président du tribunal de l’entreprise peut, à la requête de la personne morale ou d’une personne qui a intérêt au respect de la règle de droit méconnue, ordonner en référé la suspension d’une décision si les moyens invoqués peuvent justifier prima facie l’annulation de la décision attaquée. L’article 2:45, alinéa 2, est d’application par analogie.</w:t>
      </w:r>
    </w:p>
    <w:p>
      <w:pPr>
        <w:pStyle w:val="BodyText"/>
        <w:spacing w:before="6"/>
        <w:ind w:left="0" w:right="0" w:firstLine="0"/>
        <w:jc w:val="left"/>
        <w:rPr>
          <w:sz w:val="24"/>
        </w:rPr>
      </w:pPr>
    </w:p>
    <w:p>
      <w:pPr>
        <w:pStyle w:val="BodyText"/>
        <w:spacing w:line="218" w:lineRule="auto"/>
        <w:ind w:right="38" w:firstLine="171"/>
      </w:pPr>
      <w:r>
        <w:rPr>
          <w:color w:val="231F20"/>
        </w:rPr>
        <w:t>Art. 2:47. § 1</w:t>
      </w:r>
      <w:r>
        <w:rPr>
          <w:color w:val="231F20"/>
          <w:position w:val="7"/>
          <w:sz w:val="11"/>
        </w:rPr>
        <w:t>er</w:t>
      </w:r>
      <w:r>
        <w:rPr>
          <w:color w:val="231F20"/>
        </w:rPr>
        <w:t>. Le jugement prononçant la nullité et l’ordonnance de suspension produisent leurs effets à l’égard de tous. À l’égard de personnes qui ne sont pas parties à la cause, le jugement prononçant la nullité et l’ordonnance de suspension ne produisent d’effet qu’à partir de la publication de la décision selon les modalités fixées aux paragraphes suivants, sans préjudice du droit de ces personnes de former une tierce opposition.</w:t>
      </w:r>
    </w:p>
    <w:p>
      <w:pPr>
        <w:pStyle w:val="BodyText"/>
        <w:spacing w:line="218" w:lineRule="auto" w:before="117"/>
        <w:ind w:right="38"/>
      </w:pPr>
      <w:r>
        <w:rPr>
          <w:color w:val="231F20"/>
        </w:rPr>
        <w:t>§ 2. L’extrait de la décision judiciaire passée en force de chose jugée ou exécutoire par provision prononçant la suspension ou la nullité d’une décision, de même que l’extrait de la décision judiciaire réformant le jugement exécutoire par provision précité, sont déposés et publiés</w:t>
      </w:r>
      <w:r>
        <w:rPr>
          <w:color w:val="231F20"/>
          <w:spacing w:val="13"/>
        </w:rPr>
        <w:t> </w:t>
      </w:r>
      <w:r>
        <w:rPr>
          <w:color w:val="231F20"/>
        </w:rPr>
        <w:t>conformément</w:t>
      </w:r>
      <w:r>
        <w:rPr>
          <w:color w:val="231F20"/>
          <w:spacing w:val="14"/>
        </w:rPr>
        <w:t> </w:t>
      </w:r>
      <w:r>
        <w:rPr>
          <w:color w:val="231F20"/>
        </w:rPr>
        <w:t>aux</w:t>
      </w:r>
      <w:r>
        <w:rPr>
          <w:color w:val="231F20"/>
          <w:spacing w:val="14"/>
        </w:rPr>
        <w:t> </w:t>
      </w:r>
      <w:r>
        <w:rPr>
          <w:color w:val="231F20"/>
        </w:rPr>
        <w:t>articles</w:t>
      </w:r>
      <w:r>
        <w:rPr>
          <w:color w:val="231F20"/>
          <w:spacing w:val="14"/>
        </w:rPr>
        <w:t> </w:t>
      </w:r>
      <w:r>
        <w:rPr>
          <w:color w:val="231F20"/>
        </w:rPr>
        <w:t>2:7</w:t>
      </w:r>
      <w:r>
        <w:rPr>
          <w:color w:val="231F20"/>
          <w:spacing w:val="14"/>
        </w:rPr>
        <w:t> </w:t>
      </w:r>
      <w:r>
        <w:rPr>
          <w:color w:val="231F20"/>
        </w:rPr>
        <w:t>et</w:t>
      </w:r>
      <w:r>
        <w:rPr>
          <w:color w:val="231F20"/>
          <w:spacing w:val="14"/>
        </w:rPr>
        <w:t> </w:t>
      </w:r>
      <w:r>
        <w:rPr>
          <w:color w:val="231F20"/>
        </w:rPr>
        <w:t>2:13.</w:t>
      </w:r>
    </w:p>
    <w:p>
      <w:pPr>
        <w:pStyle w:val="BodyText"/>
        <w:spacing w:before="7"/>
        <w:ind w:left="0" w:right="0" w:firstLine="0"/>
        <w:jc w:val="left"/>
        <w:rPr>
          <w:sz w:val="24"/>
        </w:rPr>
      </w:pPr>
    </w:p>
    <w:p>
      <w:pPr>
        <w:pStyle w:val="BodyText"/>
        <w:ind w:left="283" w:right="0" w:firstLine="0"/>
        <w:jc w:val="left"/>
      </w:pPr>
      <w:r>
        <w:rPr>
          <w:color w:val="231F20"/>
        </w:rPr>
        <w:t>Cet extrait contient:</w:t>
      </w:r>
    </w:p>
    <w:p>
      <w:pPr>
        <w:pStyle w:val="BodyText"/>
        <w:spacing w:line="364" w:lineRule="auto" w:before="100"/>
        <w:ind w:left="283" w:right="1150" w:hanging="1"/>
        <w:jc w:val="left"/>
      </w:pPr>
      <w:r>
        <w:rPr>
          <w:color w:val="231F20"/>
        </w:rPr>
        <w:t>1° la dénomination et le siège de la personne morale; 2° la date de la décision et le juge qui l’a prononcée.</w:t>
      </w:r>
    </w:p>
    <w:p>
      <w:pPr>
        <w:pStyle w:val="BodyText"/>
        <w:spacing w:line="218" w:lineRule="auto" w:before="119"/>
      </w:pPr>
      <w:r>
        <w:rPr/>
        <w:br w:type="column"/>
      </w:r>
      <w:r>
        <w:rPr>
          <w:color w:val="231F20"/>
        </w:rPr>
        <w:t>Afdeling 2. Nietigheid van besluiten van organen, van besluiten van de algemene vergadering van obligatiehouders en van stemmen.</w:t>
      </w:r>
    </w:p>
    <w:p>
      <w:pPr>
        <w:pStyle w:val="BodyText"/>
        <w:spacing w:line="218" w:lineRule="auto" w:before="107"/>
      </w:pPr>
      <w:r>
        <w:rPr>
          <w:color w:val="231F20"/>
        </w:rPr>
        <w:t>Art. 2:42. Een besluit van een orgaan van een rechtspersoon of van</w:t>
      </w:r>
      <w:r>
        <w:rPr>
          <w:color w:val="231F20"/>
          <w:spacing w:val="-26"/>
        </w:rPr>
        <w:t> </w:t>
      </w:r>
      <w:r>
        <w:rPr>
          <w:color w:val="231F20"/>
        </w:rPr>
        <w:t>de algemene</w:t>
      </w:r>
      <w:r>
        <w:rPr>
          <w:color w:val="231F20"/>
          <w:spacing w:val="16"/>
        </w:rPr>
        <w:t> </w:t>
      </w:r>
      <w:r>
        <w:rPr>
          <w:color w:val="231F20"/>
        </w:rPr>
        <w:t>vergadering</w:t>
      </w:r>
      <w:r>
        <w:rPr>
          <w:color w:val="231F20"/>
          <w:spacing w:val="17"/>
        </w:rPr>
        <w:t> </w:t>
      </w:r>
      <w:r>
        <w:rPr>
          <w:color w:val="231F20"/>
        </w:rPr>
        <w:t>van</w:t>
      </w:r>
      <w:r>
        <w:rPr>
          <w:color w:val="231F20"/>
          <w:spacing w:val="17"/>
        </w:rPr>
        <w:t> </w:t>
      </w:r>
      <w:r>
        <w:rPr>
          <w:color w:val="231F20"/>
        </w:rPr>
        <w:t>obligatiehouders</w:t>
      </w:r>
      <w:r>
        <w:rPr>
          <w:color w:val="231F20"/>
          <w:spacing w:val="16"/>
        </w:rPr>
        <w:t> </w:t>
      </w:r>
      <w:r>
        <w:rPr>
          <w:color w:val="231F20"/>
        </w:rPr>
        <w:t>is</w:t>
      </w:r>
      <w:r>
        <w:rPr>
          <w:color w:val="231F20"/>
          <w:spacing w:val="17"/>
        </w:rPr>
        <w:t> </w:t>
      </w:r>
      <w:r>
        <w:rPr>
          <w:color w:val="231F20"/>
        </w:rPr>
        <w:t>nietig:</w:t>
      </w:r>
    </w:p>
    <w:p>
      <w:pPr>
        <w:pStyle w:val="BodyText"/>
        <w:spacing w:line="218" w:lineRule="auto" w:before="107"/>
      </w:pPr>
      <w:r>
        <w:rPr>
          <w:color w:val="231F20"/>
        </w:rPr>
        <w:t>1° wegens enige onregelmatigheid in de wijze waarop een besluit tot stand komt, indien de eiser aantoont dat de begane onregelmatigheid hetzij de beraadslaging of de stemming heeft kunnen beïnvloeden, hetzij</w:t>
      </w:r>
      <w:r>
        <w:rPr>
          <w:color w:val="231F20"/>
          <w:spacing w:val="15"/>
        </w:rPr>
        <w:t> </w:t>
      </w:r>
      <w:r>
        <w:rPr>
          <w:color w:val="231F20"/>
        </w:rPr>
        <w:t>met</w:t>
      </w:r>
      <w:r>
        <w:rPr>
          <w:color w:val="231F20"/>
          <w:spacing w:val="15"/>
        </w:rPr>
        <w:t> </w:t>
      </w:r>
      <w:r>
        <w:rPr>
          <w:color w:val="231F20"/>
        </w:rPr>
        <w:t>bedrieglijk</w:t>
      </w:r>
      <w:r>
        <w:rPr>
          <w:color w:val="231F20"/>
          <w:spacing w:val="15"/>
        </w:rPr>
        <w:t> </w:t>
      </w:r>
      <w:r>
        <w:rPr>
          <w:color w:val="231F20"/>
        </w:rPr>
        <w:t>opzet</w:t>
      </w:r>
      <w:r>
        <w:rPr>
          <w:color w:val="231F20"/>
          <w:spacing w:val="15"/>
        </w:rPr>
        <w:t> </w:t>
      </w:r>
      <w:r>
        <w:rPr>
          <w:color w:val="231F20"/>
        </w:rPr>
        <w:t>is</w:t>
      </w:r>
      <w:r>
        <w:rPr>
          <w:color w:val="231F20"/>
          <w:spacing w:val="15"/>
        </w:rPr>
        <w:t> </w:t>
      </w:r>
      <w:r>
        <w:rPr>
          <w:color w:val="231F20"/>
        </w:rPr>
        <w:t>begaan;</w:t>
      </w:r>
    </w:p>
    <w:p>
      <w:pPr>
        <w:pStyle w:val="BodyText"/>
        <w:spacing w:line="218" w:lineRule="auto" w:before="107"/>
      </w:pPr>
      <w:r>
        <w:rPr>
          <w:color w:val="231F20"/>
        </w:rPr>
        <w:t>2° wegens rechtsmisbruik, misbruik, overschrijding of afwending  van</w:t>
      </w:r>
      <w:r>
        <w:rPr>
          <w:color w:val="231F20"/>
          <w:spacing w:val="15"/>
        </w:rPr>
        <w:t> </w:t>
      </w:r>
      <w:r>
        <w:rPr>
          <w:color w:val="231F20"/>
        </w:rPr>
        <w:t>bevoegdheid;</w:t>
      </w:r>
    </w:p>
    <w:p>
      <w:pPr>
        <w:pStyle w:val="BodyText"/>
        <w:spacing w:line="218" w:lineRule="auto" w:before="107"/>
        <w:ind w:right="123"/>
      </w:pPr>
      <w:r>
        <w:rPr>
          <w:color w:val="231F20"/>
        </w:rPr>
        <w:t>3° wanneer stemrechten werden uitgeoefend die opgeschort zijn krachtens een wettelijke bepaling die niet in dit wetboek is opgenomen en, buiten deze onwettig uitgeoefende stemrechten, het aanwezigheids- of meerderheidsquorum vereist voor de besluiten ter algemene verga- dering niet zou zijn bereikt;</w:t>
      </w:r>
    </w:p>
    <w:p>
      <w:pPr>
        <w:pStyle w:val="BodyText"/>
        <w:spacing w:before="93"/>
        <w:ind w:left="283" w:right="0" w:firstLine="0"/>
        <w:jc w:val="left"/>
      </w:pPr>
      <w:r>
        <w:rPr>
          <w:color w:val="231F20"/>
        </w:rPr>
        <w:t>4° wegens enige andere in dit wetboek vermelde reden.</w:t>
      </w:r>
    </w:p>
    <w:p>
      <w:pPr>
        <w:pStyle w:val="BodyText"/>
        <w:spacing w:line="218" w:lineRule="auto" w:before="114"/>
      </w:pPr>
      <w:r>
        <w:rPr>
          <w:color w:val="231F20"/>
        </w:rPr>
        <w:t>Art. 2:43. De gronden waarop een stem kan worden nietig verklaard zijn dezelfde als die van rechtshandelingen. De nietigheid van een stem brengt de nietigheid mee van het genomen besluit indien de eiser aantoont dat de nietige stem de beraadslaging of de stemming heeft kunnen</w:t>
      </w:r>
      <w:r>
        <w:rPr>
          <w:color w:val="231F20"/>
          <w:spacing w:val="15"/>
        </w:rPr>
        <w:t> </w:t>
      </w:r>
      <w:r>
        <w:rPr>
          <w:color w:val="231F20"/>
        </w:rPr>
        <w:t>beïnvloeden.</w:t>
      </w:r>
    </w:p>
    <w:p>
      <w:pPr>
        <w:pStyle w:val="BodyText"/>
        <w:spacing w:line="218" w:lineRule="auto" w:before="117"/>
      </w:pPr>
      <w:r>
        <w:rPr>
          <w:color w:val="231F20"/>
          <w:spacing w:val="-3"/>
        </w:rPr>
        <w:t>Wanneer </w:t>
      </w:r>
      <w:r>
        <w:rPr>
          <w:color w:val="231F20"/>
        </w:rPr>
        <w:t>een minderheid van de stemgerechtigden haar stemrecht misbruikt derwijze dat een vergadering niet in staat is een besluit te nemen met de door de wet of de statuten vereiste meerderheid, kan de </w:t>
      </w:r>
      <w:r>
        <w:rPr>
          <w:color w:val="231F20"/>
          <w:spacing w:val="-3"/>
        </w:rPr>
        <w:t>rechter, </w:t>
      </w:r>
      <w:r>
        <w:rPr>
          <w:color w:val="231F20"/>
        </w:rPr>
        <w:t>op vordering van een lid van de betrokken vergadering of van de rechtspersoon, zijn uitspraak laten gelden als een stem uitgebracht door die</w:t>
      </w:r>
      <w:r>
        <w:rPr>
          <w:color w:val="231F20"/>
          <w:spacing w:val="-11"/>
        </w:rPr>
        <w:t> </w:t>
      </w:r>
      <w:r>
        <w:rPr>
          <w:color w:val="231F20"/>
        </w:rPr>
        <w:t>minderheid.</w:t>
      </w:r>
    </w:p>
    <w:p>
      <w:pPr>
        <w:pStyle w:val="BodyText"/>
        <w:spacing w:line="218" w:lineRule="auto" w:before="118"/>
      </w:pPr>
      <w:r>
        <w:rPr>
          <w:color w:val="231F20"/>
        </w:rPr>
        <w:t>Afdeling 3. Procedure en gevolgen van nietigheid en opschorting van besluiten van organen of van de algemene vergadering van obligatie- houders.</w:t>
      </w:r>
    </w:p>
    <w:p>
      <w:pPr>
        <w:pStyle w:val="BodyText"/>
        <w:spacing w:line="218" w:lineRule="auto" w:before="118"/>
      </w:pPr>
      <w:r>
        <w:rPr>
          <w:color w:val="231F20"/>
        </w:rPr>
        <w:t>Art. 2:44. De ondernemingsrechtbank spreekt de nietigheid van een besluit uit op verzoek van de rechtspersoon of een persoon die belang heeft bij de naleving van de rechtsregel die niet is nagekomen.</w:t>
      </w:r>
    </w:p>
    <w:p>
      <w:pPr>
        <w:pStyle w:val="BodyText"/>
        <w:spacing w:line="218" w:lineRule="auto" w:before="117"/>
      </w:pPr>
      <w:r>
        <w:rPr>
          <w:color w:val="231F20"/>
        </w:rPr>
        <w:t>Hij die voor het bestreden besluit heeft gestemd of die uitdrukkelijk of stilzwijgend afstand heeft gedaan van het recht zich daarop te beroepen, kan de nietigheid ervan niet inroepen, behoudens een gebrek in de toestemming, tenzij de nietigheid het gevolg is van de overtreding van een regel van openbare orde.</w:t>
      </w:r>
    </w:p>
    <w:p>
      <w:pPr>
        <w:pStyle w:val="BodyText"/>
        <w:spacing w:line="218" w:lineRule="auto" w:before="118"/>
      </w:pPr>
      <w:r>
        <w:rPr>
          <w:color w:val="231F20"/>
        </w:rPr>
        <w:t>Aandeelhouders kunnen de nietigheid van een besluit van de algemene vergadering van obligatiehouders niet inroepen.</w:t>
      </w:r>
    </w:p>
    <w:p>
      <w:pPr>
        <w:pStyle w:val="BodyText"/>
        <w:spacing w:line="218" w:lineRule="auto" w:before="117"/>
      </w:pPr>
      <w:r>
        <w:rPr>
          <w:color w:val="231F20"/>
        </w:rPr>
        <w:t>Art. 2:45. De vordering tot nietigverklaring wordt tegen de rechts- persoon ingesteld.</w:t>
      </w:r>
    </w:p>
    <w:p>
      <w:pPr>
        <w:pStyle w:val="BodyText"/>
        <w:spacing w:line="218" w:lineRule="auto" w:before="118"/>
      </w:pPr>
      <w:r>
        <w:rPr>
          <w:color w:val="231F20"/>
          <w:w w:val="105"/>
        </w:rPr>
        <w:t>Is</w:t>
      </w:r>
      <w:r>
        <w:rPr>
          <w:color w:val="231F20"/>
          <w:spacing w:val="-6"/>
          <w:w w:val="105"/>
        </w:rPr>
        <w:t> </w:t>
      </w:r>
      <w:r>
        <w:rPr>
          <w:color w:val="231F20"/>
          <w:w w:val="105"/>
        </w:rPr>
        <w:t>er</w:t>
      </w:r>
      <w:r>
        <w:rPr>
          <w:color w:val="231F20"/>
          <w:spacing w:val="-5"/>
          <w:w w:val="105"/>
        </w:rPr>
        <w:t> </w:t>
      </w:r>
      <w:r>
        <w:rPr>
          <w:color w:val="231F20"/>
          <w:w w:val="105"/>
        </w:rPr>
        <w:t>een</w:t>
      </w:r>
      <w:r>
        <w:rPr>
          <w:color w:val="231F20"/>
          <w:spacing w:val="-5"/>
          <w:w w:val="105"/>
        </w:rPr>
        <w:t> </w:t>
      </w:r>
      <w:r>
        <w:rPr>
          <w:color w:val="231F20"/>
          <w:w w:val="105"/>
        </w:rPr>
        <w:t>vertegenwoordiger</w:t>
      </w:r>
      <w:r>
        <w:rPr>
          <w:color w:val="231F20"/>
          <w:spacing w:val="-5"/>
          <w:w w:val="105"/>
        </w:rPr>
        <w:t> </w:t>
      </w:r>
      <w:r>
        <w:rPr>
          <w:color w:val="231F20"/>
          <w:w w:val="105"/>
        </w:rPr>
        <w:t>van</w:t>
      </w:r>
      <w:r>
        <w:rPr>
          <w:color w:val="231F20"/>
          <w:spacing w:val="-6"/>
          <w:w w:val="105"/>
        </w:rPr>
        <w:t> </w:t>
      </w:r>
      <w:r>
        <w:rPr>
          <w:color w:val="231F20"/>
          <w:w w:val="105"/>
        </w:rPr>
        <w:t>de</w:t>
      </w:r>
      <w:r>
        <w:rPr>
          <w:color w:val="231F20"/>
          <w:spacing w:val="-5"/>
          <w:w w:val="105"/>
        </w:rPr>
        <w:t> </w:t>
      </w:r>
      <w:r>
        <w:rPr>
          <w:color w:val="231F20"/>
          <w:w w:val="105"/>
        </w:rPr>
        <w:t>obligatiehouders</w:t>
      </w:r>
      <w:r>
        <w:rPr>
          <w:color w:val="231F20"/>
          <w:spacing w:val="-5"/>
          <w:w w:val="105"/>
        </w:rPr>
        <w:t> </w:t>
      </w:r>
      <w:r>
        <w:rPr>
          <w:color w:val="231F20"/>
          <w:w w:val="105"/>
        </w:rPr>
        <w:t>als</w:t>
      </w:r>
      <w:r>
        <w:rPr>
          <w:color w:val="231F20"/>
          <w:spacing w:val="-5"/>
          <w:w w:val="105"/>
        </w:rPr>
        <w:t> </w:t>
      </w:r>
      <w:r>
        <w:rPr>
          <w:color w:val="231F20"/>
          <w:w w:val="105"/>
        </w:rPr>
        <w:t>bedoeld</w:t>
      </w:r>
      <w:r>
        <w:rPr>
          <w:color w:val="231F20"/>
          <w:spacing w:val="-6"/>
          <w:w w:val="105"/>
        </w:rPr>
        <w:t> </w:t>
      </w:r>
      <w:r>
        <w:rPr>
          <w:color w:val="231F20"/>
          <w:w w:val="105"/>
        </w:rPr>
        <w:t>in de artikelen 5:51, 6:48 en 7:63 aangesteld, kan de vordering</w:t>
      </w:r>
      <w:r>
        <w:rPr>
          <w:color w:val="231F20"/>
          <w:spacing w:val="36"/>
          <w:w w:val="105"/>
        </w:rPr>
        <w:t> </w:t>
      </w:r>
      <w:r>
        <w:rPr>
          <w:color w:val="231F20"/>
          <w:w w:val="105"/>
        </w:rPr>
        <w:t>tot nietigverklaring van een besluit van de algemene vergadering van obligatiehouders</w:t>
      </w:r>
      <w:r>
        <w:rPr>
          <w:color w:val="231F20"/>
          <w:spacing w:val="-25"/>
          <w:w w:val="105"/>
        </w:rPr>
        <w:t> </w:t>
      </w:r>
      <w:r>
        <w:rPr>
          <w:color w:val="231F20"/>
          <w:w w:val="105"/>
        </w:rPr>
        <w:t>worden</w:t>
      </w:r>
      <w:r>
        <w:rPr>
          <w:color w:val="231F20"/>
          <w:spacing w:val="-25"/>
          <w:w w:val="105"/>
        </w:rPr>
        <w:t> </w:t>
      </w:r>
      <w:r>
        <w:rPr>
          <w:color w:val="231F20"/>
          <w:w w:val="105"/>
        </w:rPr>
        <w:t>ingesteld</w:t>
      </w:r>
      <w:r>
        <w:rPr>
          <w:color w:val="231F20"/>
          <w:spacing w:val="-25"/>
          <w:w w:val="105"/>
        </w:rPr>
        <w:t> </w:t>
      </w:r>
      <w:r>
        <w:rPr>
          <w:color w:val="231F20"/>
          <w:w w:val="105"/>
        </w:rPr>
        <w:t>door</w:t>
      </w:r>
      <w:r>
        <w:rPr>
          <w:color w:val="231F20"/>
          <w:spacing w:val="-25"/>
          <w:w w:val="105"/>
        </w:rPr>
        <w:t> </w:t>
      </w:r>
      <w:r>
        <w:rPr>
          <w:color w:val="231F20"/>
          <w:w w:val="105"/>
        </w:rPr>
        <w:t>deze</w:t>
      </w:r>
      <w:r>
        <w:rPr>
          <w:color w:val="231F20"/>
          <w:spacing w:val="-25"/>
          <w:w w:val="105"/>
        </w:rPr>
        <w:t> </w:t>
      </w:r>
      <w:r>
        <w:rPr>
          <w:color w:val="231F20"/>
          <w:w w:val="105"/>
        </w:rPr>
        <w:t>vertegenwoordiger</w:t>
      </w:r>
      <w:r>
        <w:rPr>
          <w:color w:val="231F20"/>
          <w:spacing w:val="-25"/>
          <w:w w:val="105"/>
        </w:rPr>
        <w:t> </w:t>
      </w:r>
      <w:r>
        <w:rPr>
          <w:color w:val="231F20"/>
          <w:w w:val="105"/>
        </w:rPr>
        <w:t>tegen de vennootschap of door de vennootschap tegen deze vertegenwoor- </w:t>
      </w:r>
      <w:r>
        <w:rPr>
          <w:color w:val="231F20"/>
          <w:spacing w:val="-3"/>
          <w:w w:val="105"/>
        </w:rPr>
        <w:t>diger. </w:t>
      </w:r>
      <w:r>
        <w:rPr>
          <w:color w:val="231F20"/>
          <w:w w:val="105"/>
        </w:rPr>
        <w:t>Ook een obligatiehouder kan de vordering tot nietigverklaring instellen tegen de vennootschap, in welk geval de vennootschap de andere obligatiehouders</w:t>
      </w:r>
      <w:r>
        <w:rPr>
          <w:color w:val="231F20"/>
          <w:spacing w:val="22"/>
          <w:w w:val="105"/>
        </w:rPr>
        <w:t> </w:t>
      </w:r>
      <w:r>
        <w:rPr>
          <w:color w:val="231F20"/>
          <w:w w:val="105"/>
        </w:rPr>
        <w:t>verwittigt.</w:t>
      </w:r>
    </w:p>
    <w:p>
      <w:pPr>
        <w:pStyle w:val="BodyText"/>
        <w:spacing w:line="218" w:lineRule="auto" w:before="118"/>
      </w:pPr>
      <w:r>
        <w:rPr>
          <w:color w:val="231F20"/>
        </w:rPr>
        <w:t>Art. 2:46. In gevallen die hij spoedeisend acht, kan de voorzitter van de ondernemingsrechtbank, op vordering van de rechtspersoon of een persoon die belang heeft bij de naleving van de niet nagekomen rechtsregel, in kort geding de opschorting van een besluit bevelen indien de aangevoerde middelen de nietigverklaring van het bestreden besluit prima facie kunnen verantwoorden. Artikel 2:45, tweede lid, is van overeenkomstige toepassing.</w:t>
      </w:r>
    </w:p>
    <w:p>
      <w:pPr>
        <w:pStyle w:val="BodyText"/>
        <w:spacing w:line="218" w:lineRule="auto" w:before="118"/>
      </w:pPr>
      <w:r>
        <w:rPr>
          <w:color w:val="231F20"/>
        </w:rPr>
        <w:t>Art. 2:47. § 1. Het vonnis van nietigverklaring en de beschikking tot opschorting hebben gevolg ten aanzien van allen. Ten aanzien van personen die geen partij zijn in het geding hebben het vonnis van nietigverklaring en de beschikking tot opschorting slechts gevolg vanaf de bekendmaking van de uitspraak op de wijze in de volgende paragrafen bepaald, onverminderd het recht van die personen om derdenverzet in te stellen.</w:t>
      </w:r>
    </w:p>
    <w:p>
      <w:pPr>
        <w:pStyle w:val="BodyText"/>
        <w:spacing w:line="218" w:lineRule="auto" w:before="117"/>
      </w:pPr>
      <w:r>
        <w:rPr>
          <w:color w:val="231F20"/>
        </w:rPr>
        <w:t>§ 2. Het uittreksel uit de in kracht van gewijsde gegane of bij voorraad uitvoerbare rechterlijke beslissing waarbij de opschorting of de nietigheid van een besluit wordt uitgesproken, alsook het uittreksel uit de rechterlijke beslissing waarbij voornoemd bij voorraad uitvoer- bare vonnis wordt tenietgedaan, worden neergelegd en bekendge- maakt</w:t>
      </w:r>
      <w:r>
        <w:rPr>
          <w:color w:val="231F20"/>
          <w:spacing w:val="14"/>
        </w:rPr>
        <w:t> </w:t>
      </w:r>
      <w:r>
        <w:rPr>
          <w:color w:val="231F20"/>
        </w:rPr>
        <w:t>overeenkomstig</w:t>
      </w:r>
      <w:r>
        <w:rPr>
          <w:color w:val="231F20"/>
          <w:spacing w:val="14"/>
        </w:rPr>
        <w:t> </w:t>
      </w:r>
      <w:r>
        <w:rPr>
          <w:color w:val="231F20"/>
        </w:rPr>
        <w:t>de</w:t>
      </w:r>
      <w:r>
        <w:rPr>
          <w:color w:val="231F20"/>
          <w:spacing w:val="15"/>
        </w:rPr>
        <w:t> </w:t>
      </w:r>
      <w:r>
        <w:rPr>
          <w:color w:val="231F20"/>
        </w:rPr>
        <w:t>artikelen</w:t>
      </w:r>
      <w:r>
        <w:rPr>
          <w:color w:val="231F20"/>
          <w:spacing w:val="14"/>
        </w:rPr>
        <w:t> </w:t>
      </w:r>
      <w:r>
        <w:rPr>
          <w:color w:val="231F20"/>
        </w:rPr>
        <w:t>2:7</w:t>
      </w:r>
      <w:r>
        <w:rPr>
          <w:color w:val="231F20"/>
          <w:spacing w:val="14"/>
        </w:rPr>
        <w:t> </w:t>
      </w:r>
      <w:r>
        <w:rPr>
          <w:color w:val="231F20"/>
        </w:rPr>
        <w:t>en</w:t>
      </w:r>
      <w:r>
        <w:rPr>
          <w:color w:val="231F20"/>
          <w:spacing w:val="15"/>
        </w:rPr>
        <w:t> </w:t>
      </w:r>
      <w:r>
        <w:rPr>
          <w:color w:val="231F20"/>
        </w:rPr>
        <w:t>2:13.</w:t>
      </w:r>
    </w:p>
    <w:p>
      <w:pPr>
        <w:pStyle w:val="BodyText"/>
        <w:spacing w:before="104"/>
        <w:ind w:left="283" w:right="0" w:firstLine="0"/>
        <w:jc w:val="left"/>
      </w:pPr>
      <w:r>
        <w:rPr>
          <w:color w:val="231F20"/>
        </w:rPr>
        <w:t>Dat uittreksel vermeldt:</w:t>
      </w:r>
    </w:p>
    <w:p>
      <w:pPr>
        <w:pStyle w:val="BodyText"/>
        <w:spacing w:before="100"/>
        <w:ind w:left="283" w:right="0" w:firstLine="0"/>
        <w:jc w:val="left"/>
      </w:pPr>
      <w:r>
        <w:rPr>
          <w:color w:val="231F20"/>
        </w:rPr>
        <w:t>1° de naam en de zetel van de rechtspersoon;</w:t>
      </w:r>
    </w:p>
    <w:p>
      <w:pPr>
        <w:pStyle w:val="BodyText"/>
        <w:spacing w:before="100"/>
        <w:ind w:left="283" w:right="0" w:firstLine="0"/>
        <w:jc w:val="left"/>
      </w:pPr>
      <w:r>
        <w:rPr>
          <w:color w:val="231F20"/>
        </w:rPr>
        <w:t>2° de datum van de beslissing en de rechter die ze heeft gewezen.</w:t>
      </w:r>
    </w:p>
    <w:p>
      <w:pPr>
        <w:spacing w:after="0"/>
        <w:jc w:val="left"/>
        <w:sectPr>
          <w:headerReference w:type="even" r:id="rId17"/>
          <w:headerReference w:type="default" r:id="rId18"/>
          <w:pgSz w:w="11940" w:h="16880"/>
          <w:pgMar w:header="666" w:footer="0" w:top="1140" w:bottom="280" w:left="340" w:right="360"/>
          <w:pgNumType w:start="33262"/>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1600" from="298.170502pt,64.473pt" to="298.170502pt,812.819pt" stroked="true" strokeweight=".533pt" strokecolor="#231f20">
            <v:stroke dashstyle="solid"/>
            <w10:wrap type="none"/>
          </v:line>
        </w:pict>
      </w:r>
      <w:bookmarkStart w:name="_bookmark24" w:id="27"/>
      <w:bookmarkEnd w:id="27"/>
      <w:r>
        <w:rPr/>
      </w:r>
      <w:r>
        <w:rPr>
          <w:color w:val="231F20"/>
        </w:rPr>
        <w:t>Art. 2:48. Sans préjudice du droit du demandeur à des dommages- intérêts s’il y a lieu, la nullité ne peut être opposée aux tiers qui, sur la base de la décision, ont acquis des droits à l’égard de la personne morale sans qu’ils aient eu ou dû avoir connaissance du vice dont la décision était entachée. La nullité peut toutefois toujours être opposée aux membres des organes d’administration qui, en cette qualité, auraient acquis des droits à l’égard de la personne morale sur la base de la décision</w:t>
      </w:r>
      <w:r>
        <w:rPr>
          <w:color w:val="231F20"/>
          <w:spacing w:val="-11"/>
        </w:rPr>
        <w:t> </w:t>
      </w:r>
      <w:r>
        <w:rPr>
          <w:color w:val="231F20"/>
        </w:rPr>
        <w:t>annulée.</w:t>
      </w:r>
    </w:p>
    <w:p>
      <w:pPr>
        <w:pStyle w:val="BodyText"/>
        <w:spacing w:before="104"/>
        <w:ind w:left="283" w:right="0" w:firstLine="0"/>
        <w:jc w:val="left"/>
      </w:pPr>
      <w:r>
        <w:rPr>
          <w:color w:val="231F20"/>
        </w:rPr>
        <w:t>TITRE 6. Administration.</w:t>
      </w:r>
    </w:p>
    <w:p>
      <w:pPr>
        <w:pStyle w:val="BodyText"/>
        <w:spacing w:before="85"/>
        <w:ind w:left="283" w:right="0" w:firstLine="0"/>
        <w:jc w:val="left"/>
      </w:pPr>
      <w:r>
        <w:rPr>
          <w:color w:val="231F20"/>
        </w:rPr>
        <w:t>CHAPITRE 1</w:t>
      </w:r>
      <w:r>
        <w:rPr>
          <w:color w:val="231F20"/>
          <w:position w:val="7"/>
          <w:sz w:val="11"/>
        </w:rPr>
        <w:t>er</w:t>
      </w:r>
      <w:r>
        <w:rPr>
          <w:color w:val="231F20"/>
        </w:rPr>
        <w:t>. Administration et représentation.</w:t>
      </w:r>
    </w:p>
    <w:p>
      <w:pPr>
        <w:pStyle w:val="BodyText"/>
        <w:spacing w:line="218" w:lineRule="auto" w:before="114"/>
        <w:ind w:right="38"/>
      </w:pPr>
      <w:r>
        <w:rPr>
          <w:color w:val="231F20"/>
        </w:rPr>
        <w:t>Art. 2:49. Les personnes morales agissent par leurs organes dont les pouvoirs sont déterminés par le présent code, l’objet et les statuts. Les membres de ces organes ne contractent aucune responsabilité person- nelle relative aux engagements de la personne morale.</w:t>
      </w:r>
    </w:p>
    <w:p>
      <w:pPr>
        <w:pStyle w:val="BodyText"/>
        <w:spacing w:line="218" w:lineRule="auto" w:before="118"/>
        <w:ind w:right="38"/>
      </w:pPr>
      <w:r>
        <w:rPr>
          <w:color w:val="231F20"/>
        </w:rPr>
        <w:t>Art. 2:50. Sans préjudice de dispositions légales impératives, et nonobstant toute disposition statutaire qui attribue la compétence à un autre organe, l’assemblée générale, l’assemblée des associés ou l’assem- blée générale des membres a le pouvoir de déterminer les conditions notamment financières auxquelles le mandat d’un membre de l’organe d’administration est octroyé et exercé, de même que les conditions dans lesquelles il est mis fin à ce mandat.</w:t>
      </w:r>
    </w:p>
    <w:p>
      <w:pPr>
        <w:pStyle w:val="BodyText"/>
        <w:spacing w:before="9"/>
        <w:ind w:left="0" w:right="0" w:firstLine="0"/>
        <w:jc w:val="left"/>
        <w:rPr>
          <w:sz w:val="25"/>
        </w:rPr>
      </w:pPr>
    </w:p>
    <w:p>
      <w:pPr>
        <w:pStyle w:val="BodyText"/>
        <w:spacing w:line="218" w:lineRule="auto" w:before="1"/>
        <w:ind w:right="38"/>
      </w:pPr>
      <w:r>
        <w:rPr>
          <w:color w:val="231F20"/>
        </w:rPr>
        <w:t>Art. 2:51. Chaque membre d’un organe d’administration ou délégué  à la gestion journalière est tenu à l’égard de la personne morale de la bonne exécution du mandat </w:t>
      </w:r>
      <w:r>
        <w:rPr>
          <w:color w:val="231F20"/>
          <w:spacing w:val="2"/>
        </w:rPr>
        <w:t>qu’il</w:t>
      </w:r>
      <w:r>
        <w:rPr>
          <w:color w:val="231F20"/>
          <w:spacing w:val="34"/>
        </w:rPr>
        <w:t> </w:t>
      </w:r>
      <w:r>
        <w:rPr>
          <w:color w:val="231F20"/>
        </w:rPr>
        <w:t>a reçu.</w:t>
      </w:r>
    </w:p>
    <w:p>
      <w:pPr>
        <w:pStyle w:val="BodyText"/>
        <w:spacing w:line="218" w:lineRule="auto" w:before="117"/>
        <w:ind w:right="38"/>
      </w:pPr>
      <w:r>
        <w:rPr>
          <w:color w:val="231F20"/>
        </w:rPr>
        <w:t>Art.</w:t>
      </w:r>
      <w:r>
        <w:rPr>
          <w:color w:val="231F20"/>
          <w:spacing w:val="-4"/>
        </w:rPr>
        <w:t> </w:t>
      </w:r>
      <w:r>
        <w:rPr>
          <w:color w:val="231F20"/>
        </w:rPr>
        <w:t>2:52.</w:t>
      </w:r>
      <w:r>
        <w:rPr>
          <w:color w:val="231F20"/>
          <w:spacing w:val="-3"/>
        </w:rPr>
        <w:t> </w:t>
      </w:r>
      <w:r>
        <w:rPr>
          <w:color w:val="231F20"/>
        </w:rPr>
        <w:t>Lorsque</w:t>
      </w:r>
      <w:r>
        <w:rPr>
          <w:color w:val="231F20"/>
          <w:spacing w:val="-3"/>
        </w:rPr>
        <w:t> </w:t>
      </w:r>
      <w:r>
        <w:rPr>
          <w:color w:val="231F20"/>
        </w:rPr>
        <w:t>des</w:t>
      </w:r>
      <w:r>
        <w:rPr>
          <w:color w:val="231F20"/>
          <w:spacing w:val="-3"/>
        </w:rPr>
        <w:t> </w:t>
      </w:r>
      <w:r>
        <w:rPr>
          <w:color w:val="231F20"/>
        </w:rPr>
        <w:t>faits</w:t>
      </w:r>
      <w:r>
        <w:rPr>
          <w:color w:val="231F20"/>
          <w:spacing w:val="-4"/>
        </w:rPr>
        <w:t> </w:t>
      </w:r>
      <w:r>
        <w:rPr>
          <w:color w:val="231F20"/>
        </w:rPr>
        <w:t>graves</w:t>
      </w:r>
      <w:r>
        <w:rPr>
          <w:color w:val="231F20"/>
          <w:spacing w:val="-3"/>
        </w:rPr>
        <w:t> </w:t>
      </w:r>
      <w:r>
        <w:rPr>
          <w:color w:val="231F20"/>
        </w:rPr>
        <w:t>et</w:t>
      </w:r>
      <w:r>
        <w:rPr>
          <w:color w:val="231F20"/>
          <w:spacing w:val="-3"/>
        </w:rPr>
        <w:t> </w:t>
      </w:r>
      <w:r>
        <w:rPr>
          <w:color w:val="231F20"/>
        </w:rPr>
        <w:t>concordants</w:t>
      </w:r>
      <w:r>
        <w:rPr>
          <w:color w:val="231F20"/>
          <w:spacing w:val="-3"/>
        </w:rPr>
        <w:t> </w:t>
      </w:r>
      <w:r>
        <w:rPr>
          <w:color w:val="231F20"/>
        </w:rPr>
        <w:t>sont</w:t>
      </w:r>
      <w:r>
        <w:rPr>
          <w:color w:val="231F20"/>
          <w:spacing w:val="-3"/>
        </w:rPr>
        <w:t> </w:t>
      </w:r>
      <w:r>
        <w:rPr>
          <w:color w:val="231F20"/>
        </w:rPr>
        <w:t>susceptibles</w:t>
      </w:r>
      <w:r>
        <w:rPr>
          <w:color w:val="231F20"/>
          <w:spacing w:val="-4"/>
        </w:rPr>
        <w:t> </w:t>
      </w:r>
      <w:r>
        <w:rPr>
          <w:color w:val="231F20"/>
        </w:rPr>
        <w:t>de compromettre la continuité de l’entreprise, l’organe d’administration est tenu de délibérer sur les mesures qui devraient être prises pour assurer la continuité de l’activité économique pendant une période minimale de douze</w:t>
      </w:r>
      <w:r>
        <w:rPr>
          <w:color w:val="231F20"/>
          <w:spacing w:val="5"/>
        </w:rPr>
        <w:t> </w:t>
      </w:r>
      <w:r>
        <w:rPr>
          <w:color w:val="231F20"/>
        </w:rPr>
        <w:t>mois.</w:t>
      </w:r>
    </w:p>
    <w:p>
      <w:pPr>
        <w:pStyle w:val="BodyText"/>
        <w:spacing w:line="218" w:lineRule="auto" w:before="118"/>
        <w:ind w:right="38"/>
      </w:pPr>
      <w:r>
        <w:rPr>
          <w:color w:val="231F20"/>
        </w:rPr>
        <w:t>Art. 2:53. La personne qui représente une personne morale doit,</w:t>
      </w:r>
      <w:r>
        <w:rPr>
          <w:color w:val="231F20"/>
          <w:spacing w:val="-13"/>
        </w:rPr>
        <w:t> </w:t>
      </w:r>
      <w:r>
        <w:rPr>
          <w:color w:val="231F20"/>
        </w:rPr>
        <w:t>dans tous les actes engageant cette personne morale, faire précéder ou suivre immédiatement sa signature de l’indication de la qualité en vertu de laquelle elle</w:t>
      </w:r>
      <w:r>
        <w:rPr>
          <w:color w:val="231F20"/>
          <w:spacing w:val="-11"/>
        </w:rPr>
        <w:t> </w:t>
      </w:r>
      <w:r>
        <w:rPr>
          <w:color w:val="231F20"/>
        </w:rPr>
        <w:t>agit.</w:t>
      </w:r>
    </w:p>
    <w:p>
      <w:pPr>
        <w:pStyle w:val="BodyText"/>
        <w:spacing w:line="218" w:lineRule="auto" w:before="117"/>
        <w:ind w:right="38"/>
      </w:pPr>
      <w:r>
        <w:rPr>
          <w:color w:val="231F20"/>
        </w:rPr>
        <w:t>Art. 2:54. Chaque membre d’un organe d’administration ou délégué  à la gestion journalière peut élire domicile au siège de la</w:t>
      </w:r>
      <w:r>
        <w:rPr>
          <w:color w:val="231F20"/>
          <w:spacing w:val="32"/>
        </w:rPr>
        <w:t> </w:t>
      </w:r>
      <w:r>
        <w:rPr>
          <w:color w:val="231F20"/>
        </w:rPr>
        <w:t>personne morale pour toutes les questions qui concernent l’exercice de son mandat. Cette élection de domicile est opposable aux tiers</w:t>
      </w:r>
      <w:r>
        <w:rPr>
          <w:color w:val="231F20"/>
          <w:spacing w:val="22"/>
        </w:rPr>
        <w:t> </w:t>
      </w:r>
      <w:r>
        <w:rPr>
          <w:color w:val="231F20"/>
        </w:rPr>
        <w:t>aux conditions fixées à l’article</w:t>
      </w:r>
      <w:r>
        <w:rPr>
          <w:color w:val="231F20"/>
          <w:spacing w:val="17"/>
        </w:rPr>
        <w:t> </w:t>
      </w:r>
      <w:r>
        <w:rPr>
          <w:color w:val="231F20"/>
        </w:rPr>
        <w:t>2:18.</w:t>
      </w:r>
    </w:p>
    <w:p>
      <w:pPr>
        <w:pStyle w:val="BodyText"/>
        <w:spacing w:line="218" w:lineRule="auto" w:before="118"/>
        <w:ind w:right="38"/>
      </w:pPr>
      <w:r>
        <w:rPr>
          <w:color w:val="231F20"/>
        </w:rPr>
        <w:t>Art. 2:55. Lorsqu’une personne morale assume un mandat de membre d’un organe d’administration ou de délégué à la gestion journalière, elle désigne une personne physique comme représentant permanent chargé de l’exécution de ce mandat au nom et pour le compte de cette personne morale. Ce représentant permanent doit satisfaire aux mêmes conditions que la personne morale et encourt solidairement avec elle les mêmes responsabilités civiles et pénales, comme s’il avait exercé ce mandat en son nom et pour son compte. Les règles en matière de conflit d’intérêt applicables aux gérants et membres de l’organe d’administration s’appliquent le cas échéant au représentant permanent. Le représentant permanent ne peut siéger au sein de l’organe concerné ni à titre personnel ni en qualité de représentant d’une autre personne morale administrateur. La personne morale ne peut mettre fin à la représentation permanente sans avoir désigné simultanément un successeur.</w:t>
      </w:r>
    </w:p>
    <w:p>
      <w:pPr>
        <w:pStyle w:val="BodyText"/>
        <w:spacing w:line="218" w:lineRule="auto" w:before="119"/>
        <w:ind w:right="38"/>
      </w:pPr>
      <w:r>
        <w:rPr>
          <w:color w:val="231F20"/>
        </w:rPr>
        <w:t>Les règles de publicité en matière de désignation et de cessation du mandat de la personne morale s’appliquent également au représentant permanent de celle-ci.</w:t>
      </w:r>
    </w:p>
    <w:p>
      <w:pPr>
        <w:pStyle w:val="BodyText"/>
        <w:spacing w:line="218" w:lineRule="auto" w:before="102"/>
        <w:ind w:right="38"/>
      </w:pPr>
      <w:r>
        <w:rPr>
          <w:color w:val="231F20"/>
        </w:rPr>
        <w:t>Sans préjudice de l’alinéa 1</w:t>
      </w:r>
      <w:r>
        <w:rPr>
          <w:color w:val="231F20"/>
          <w:position w:val="7"/>
          <w:sz w:val="11"/>
        </w:rPr>
        <w:t>er</w:t>
      </w:r>
      <w:r>
        <w:rPr>
          <w:color w:val="231F20"/>
        </w:rPr>
        <w:t>, le représentant permanent d’une personne morale qui est également associée dans une société en nom collectif ou une société en commandite ne contracte aucune responsa- bilité personnelle relative aux engagements de la personne morale en sa qualité d’associé.</w:t>
      </w:r>
    </w:p>
    <w:p>
      <w:pPr>
        <w:pStyle w:val="BodyText"/>
        <w:spacing w:line="218" w:lineRule="auto" w:before="118"/>
        <w:ind w:right="38"/>
      </w:pPr>
      <w:r>
        <w:rPr>
          <w:color w:val="231F20"/>
        </w:rPr>
        <w:t>À défaut d’autres administrateurs au sein de la personne morale administrée outre la personne morale administrateur, celle-ci peut désigner, en plus du représentant permanent, un représentant perma- nent suppléant agissant en cas d’empêchement du représentant permanent. Les dispositions du présent article sont également d’appli- cation à ce représentant permanent suppléant.</w:t>
      </w:r>
    </w:p>
    <w:p>
      <w:pPr>
        <w:pStyle w:val="BodyText"/>
        <w:spacing w:before="103"/>
        <w:ind w:left="283" w:right="0" w:firstLine="0"/>
        <w:jc w:val="left"/>
      </w:pPr>
      <w:r>
        <w:rPr>
          <w:color w:val="231F20"/>
        </w:rPr>
        <w:t>CHAPITRE 2. Responsabilité des administrateurs.</w:t>
      </w:r>
    </w:p>
    <w:p>
      <w:pPr>
        <w:pStyle w:val="BodyText"/>
        <w:spacing w:line="218" w:lineRule="auto" w:before="114"/>
        <w:ind w:right="38"/>
      </w:pPr>
      <w:r>
        <w:rPr>
          <w:color w:val="231F20"/>
        </w:rPr>
        <w:t>Art. 2:56. Les personnes visées à l’article 2:51 et toutes les autres personnes qui détiennent ou ont détenu le pouvoir de gérer effective- ment la personne morale sont responsables envers la personne morale des fautes commises dans l’accomplissement de leur mission. Il en va de même envers les tiers pour autant que la faute commise présente un caractère</w:t>
      </w:r>
      <w:r>
        <w:rPr>
          <w:color w:val="231F20"/>
          <w:spacing w:val="-9"/>
        </w:rPr>
        <w:t> </w:t>
      </w:r>
      <w:r>
        <w:rPr>
          <w:color w:val="231F20"/>
        </w:rPr>
        <w:t>extracontractuel.</w:t>
      </w:r>
      <w:r>
        <w:rPr>
          <w:color w:val="231F20"/>
          <w:spacing w:val="-8"/>
        </w:rPr>
        <w:t> </w:t>
      </w:r>
      <w:r>
        <w:rPr>
          <w:color w:val="231F20"/>
        </w:rPr>
        <w:t>Ces</w:t>
      </w:r>
      <w:r>
        <w:rPr>
          <w:color w:val="231F20"/>
          <w:spacing w:val="-8"/>
        </w:rPr>
        <w:t> </w:t>
      </w:r>
      <w:r>
        <w:rPr>
          <w:color w:val="231F20"/>
        </w:rPr>
        <w:t>personnes</w:t>
      </w:r>
      <w:r>
        <w:rPr>
          <w:color w:val="231F20"/>
          <w:spacing w:val="-9"/>
        </w:rPr>
        <w:t> </w:t>
      </w:r>
      <w:r>
        <w:rPr>
          <w:color w:val="231F20"/>
        </w:rPr>
        <w:t>ne</w:t>
      </w:r>
      <w:r>
        <w:rPr>
          <w:color w:val="231F20"/>
          <w:spacing w:val="-8"/>
        </w:rPr>
        <w:t> </w:t>
      </w:r>
      <w:r>
        <w:rPr>
          <w:color w:val="231F20"/>
        </w:rPr>
        <w:t>sont</w:t>
      </w:r>
      <w:r>
        <w:rPr>
          <w:color w:val="231F20"/>
          <w:spacing w:val="-8"/>
        </w:rPr>
        <w:t> </w:t>
      </w:r>
      <w:r>
        <w:rPr>
          <w:color w:val="231F20"/>
        </w:rPr>
        <w:t>toutefois</w:t>
      </w:r>
      <w:r>
        <w:rPr>
          <w:color w:val="231F20"/>
          <w:spacing w:val="-9"/>
        </w:rPr>
        <w:t> </w:t>
      </w:r>
      <w:r>
        <w:rPr>
          <w:color w:val="231F20"/>
        </w:rPr>
        <w:t>responsables que des décisions, actes ou comportements qui excèdent</w:t>
      </w:r>
      <w:r>
        <w:rPr>
          <w:color w:val="231F20"/>
          <w:spacing w:val="-15"/>
        </w:rPr>
        <w:t> </w:t>
      </w:r>
      <w:r>
        <w:rPr>
          <w:color w:val="231F20"/>
        </w:rPr>
        <w:t>manifestement</w:t>
      </w:r>
    </w:p>
    <w:p>
      <w:pPr>
        <w:pStyle w:val="BodyText"/>
        <w:spacing w:line="218" w:lineRule="auto" w:before="119"/>
      </w:pPr>
      <w:r>
        <w:rPr/>
        <w:br w:type="column"/>
      </w:r>
      <w:r>
        <w:rPr>
          <w:color w:val="231F20"/>
        </w:rPr>
        <w:t>Art. 2:48. De nietigheid kan niet worden tegengeworpen aan derden die, op grond van het besluit, rechten jegens de rechtspersoon hebben verkregen zonder dat zij het gebrek waarmee het besluit is behept kenden of behoorden te kennen. Dit laat het recht op schadevergoeding van de eiser indien daartoe grond bestaat, onverlet. De nietigheid kan evenwel steeds worden tegengeworpen aan de leden van de bestuurs- organen die, in die hoedanigheid, op grond van het vernietigde besluit rechten jegens de rechtspersoon hebben verkregen.</w:t>
      </w:r>
    </w:p>
    <w:p>
      <w:pPr>
        <w:pStyle w:val="BodyText"/>
        <w:spacing w:before="104"/>
        <w:ind w:left="283" w:right="0" w:firstLine="0"/>
        <w:jc w:val="left"/>
      </w:pPr>
      <w:r>
        <w:rPr>
          <w:color w:val="231F20"/>
        </w:rPr>
        <w:t>TITEL 6. Bestuur.</w:t>
      </w:r>
    </w:p>
    <w:p>
      <w:pPr>
        <w:pStyle w:val="BodyText"/>
        <w:spacing w:before="100"/>
        <w:ind w:left="283" w:right="0" w:firstLine="0"/>
        <w:jc w:val="left"/>
      </w:pPr>
      <w:r>
        <w:rPr>
          <w:color w:val="231F20"/>
          <w:w w:val="105"/>
        </w:rPr>
        <w:t>HOOFDSTUK 1. Bestuur en vertegenwoordiging.</w:t>
      </w:r>
    </w:p>
    <w:p>
      <w:pPr>
        <w:pStyle w:val="BodyText"/>
        <w:spacing w:line="218" w:lineRule="auto" w:before="114"/>
      </w:pPr>
      <w:r>
        <w:rPr>
          <w:color w:val="231F20"/>
        </w:rPr>
        <w:t>Art. 2:49. De rechtspersonen handelen door hun organen wiens bevoegdheden worden vastgesteld door dit wetboek, het voorwerp en de statuten. De leden van deze organen verbinden zich niet persoonlijk voor</w:t>
      </w:r>
      <w:r>
        <w:rPr>
          <w:color w:val="231F20"/>
          <w:spacing w:val="15"/>
        </w:rPr>
        <w:t> </w:t>
      </w:r>
      <w:r>
        <w:rPr>
          <w:color w:val="231F20"/>
        </w:rPr>
        <w:t>de</w:t>
      </w:r>
      <w:r>
        <w:rPr>
          <w:color w:val="231F20"/>
          <w:spacing w:val="16"/>
        </w:rPr>
        <w:t> </w:t>
      </w:r>
      <w:r>
        <w:rPr>
          <w:color w:val="231F20"/>
        </w:rPr>
        <w:t>verbintenissen</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rechtspersoon.</w:t>
      </w:r>
    </w:p>
    <w:p>
      <w:pPr>
        <w:pStyle w:val="BodyText"/>
        <w:spacing w:line="218" w:lineRule="auto" w:before="118"/>
      </w:pPr>
      <w:r>
        <w:rPr>
          <w:color w:val="231F20"/>
        </w:rPr>
        <w:t>Art. 2:50. Onverminderd dwingende wettelijke bepalingen, en niet- tegenstaande elke statutaire bepaling die de bevoegdheid aan een  ander orgaan toewijst, is de algemene vergadering, de vergadering van vennoten of de algemene vergadering van leden bevoegd om de financiële en andere voorwaarden vast te stellen waaronder</w:t>
      </w:r>
      <w:r>
        <w:rPr>
          <w:color w:val="231F20"/>
          <w:spacing w:val="18"/>
        </w:rPr>
        <w:t> </w:t>
      </w:r>
      <w:r>
        <w:rPr>
          <w:color w:val="231F20"/>
        </w:rPr>
        <w:t>het mandaat van een lid van het bestuursorgaan wordt toegekend en uitgeoefend, evenals de voorwaarden waaronder dit mandaat wordt beëindigd.</w:t>
      </w:r>
    </w:p>
    <w:p>
      <w:pPr>
        <w:pStyle w:val="BodyText"/>
        <w:spacing w:line="218" w:lineRule="auto" w:before="118"/>
      </w:pPr>
      <w:r>
        <w:rPr>
          <w:color w:val="231F20"/>
        </w:rPr>
        <w:t>Art. 2:51. Elk lid van een bestuursorgaan of dagelijks bestuurder is tegenover de rechtspersoon gehouden tot een behoorlijke vervulling van de hem opgedragen</w:t>
      </w:r>
      <w:r>
        <w:rPr>
          <w:color w:val="231F20"/>
          <w:spacing w:val="21"/>
        </w:rPr>
        <w:t> </w:t>
      </w:r>
      <w:r>
        <w:rPr>
          <w:color w:val="231F20"/>
        </w:rPr>
        <w:t>taak.</w:t>
      </w:r>
    </w:p>
    <w:p>
      <w:pPr>
        <w:pStyle w:val="BodyText"/>
        <w:spacing w:line="218" w:lineRule="auto" w:before="117"/>
      </w:pPr>
      <w:r>
        <w:rPr>
          <w:color w:val="231F20"/>
        </w:rPr>
        <w:t>Art. 2:52. Wanneer gewichtige en overeenstemmende feiten de continuïteit van de onderneming in het gedrang kunnen brengen, moet het bestuursorgaan beraadslagen over de maatregelen die moeten worden genomen om de continuïteit van de economische activiteit voor een minimumduur van twaalf maanden te vrijwaren.</w:t>
      </w:r>
    </w:p>
    <w:p>
      <w:pPr>
        <w:pStyle w:val="BodyText"/>
        <w:spacing w:line="218" w:lineRule="auto" w:before="118"/>
      </w:pPr>
      <w:r>
        <w:rPr>
          <w:color w:val="231F20"/>
        </w:rPr>
        <w:t>Art. 2:53. In alle akten die een rechtspersoon verbinden, moet onmiddellijk voor of na de handtekening van de persoon die de rechtspersoon vertegenwoordigt, worden vermeld in welke hoedanig- heid hij optreedt.</w:t>
      </w:r>
    </w:p>
    <w:p>
      <w:pPr>
        <w:pStyle w:val="BodyText"/>
        <w:spacing w:line="218" w:lineRule="auto" w:before="118"/>
      </w:pPr>
      <w:r>
        <w:rPr>
          <w:color w:val="231F20"/>
        </w:rPr>
        <w:t>Art. 2:54. Elk lid van een bestuursorgaan of dagelijks bestuurder kan keuze van woonplaats doen op de zetel van de rechtspersoon, voor alle materies die aan de uitoefening van zijn mandaat raken. Deze woonplaatskeuze kan aan derden worden tegengeworpen onder de voorwaarden bepaald in artikel 2:18.</w:t>
      </w:r>
    </w:p>
    <w:p>
      <w:pPr>
        <w:pStyle w:val="BodyText"/>
        <w:spacing w:line="218" w:lineRule="auto" w:before="117"/>
      </w:pPr>
      <w:r>
        <w:rPr>
          <w:color w:val="231F20"/>
        </w:rPr>
        <w:t>Art. 2:55. </w:t>
      </w:r>
      <w:r>
        <w:rPr>
          <w:color w:val="231F20"/>
          <w:spacing w:val="-3"/>
        </w:rPr>
        <w:t>Wanneer </w:t>
      </w:r>
      <w:r>
        <w:rPr>
          <w:color w:val="231F20"/>
        </w:rPr>
        <w:t>een rechtspersoon een mandaat opneemt van lid van een bestuursorgaan of dagelijks bestuurder, benoemt hij een natuurlijke persoon als vaste vertegenwoordiger die wordt belast met de uitvoering van dat mandaat in naam en voor rekening van de rechtspersoon. Deze vaste vertegenwoordiger moet aan dezelfde voorwaarden voldoen als de rechtspersoon en is hoofdelijk met hem aansprakelijk alsof hij zelf het betrokken mandaat in eigen naam en voor eigen rekening had uitgevoerd. De regels inzake belangenconflic- ten voor zaakvoerders en leden van het bestuursorgaan vinden in voorkomend geval toepassing op de vaste vertegenwoordiger. De vaste vertegenwoordiger kan niet in eigen naam noch als vaste vertegen- woordiger van een andere rechtspersoon-bestuurder zetelen in het betreffende orgaan. De rechtspersoon mag de vaste vertegenwoordi- ging</w:t>
      </w:r>
      <w:r>
        <w:rPr>
          <w:color w:val="231F20"/>
          <w:spacing w:val="18"/>
        </w:rPr>
        <w:t> </w:t>
      </w:r>
      <w:r>
        <w:rPr>
          <w:color w:val="231F20"/>
        </w:rPr>
        <w:t>niet</w:t>
      </w:r>
      <w:r>
        <w:rPr>
          <w:color w:val="231F20"/>
          <w:spacing w:val="19"/>
        </w:rPr>
        <w:t> </w:t>
      </w:r>
      <w:r>
        <w:rPr>
          <w:color w:val="231F20"/>
        </w:rPr>
        <w:t>beëindigen</w:t>
      </w:r>
      <w:r>
        <w:rPr>
          <w:color w:val="231F20"/>
          <w:spacing w:val="19"/>
        </w:rPr>
        <w:t> </w:t>
      </w:r>
      <w:r>
        <w:rPr>
          <w:color w:val="231F20"/>
        </w:rPr>
        <w:t>zonder</w:t>
      </w:r>
      <w:r>
        <w:rPr>
          <w:color w:val="231F20"/>
          <w:spacing w:val="19"/>
        </w:rPr>
        <w:t> </w:t>
      </w:r>
      <w:r>
        <w:rPr>
          <w:color w:val="231F20"/>
        </w:rPr>
        <w:t>tegelijkertijd</w:t>
      </w:r>
      <w:r>
        <w:rPr>
          <w:color w:val="231F20"/>
          <w:spacing w:val="19"/>
        </w:rPr>
        <w:t> </w:t>
      </w:r>
      <w:r>
        <w:rPr>
          <w:color w:val="231F20"/>
        </w:rPr>
        <w:t>een</w:t>
      </w:r>
      <w:r>
        <w:rPr>
          <w:color w:val="231F20"/>
          <w:spacing w:val="19"/>
        </w:rPr>
        <w:t> </w:t>
      </w:r>
      <w:r>
        <w:rPr>
          <w:color w:val="231F20"/>
        </w:rPr>
        <w:t>opvolger</w:t>
      </w:r>
      <w:r>
        <w:rPr>
          <w:color w:val="231F20"/>
          <w:spacing w:val="19"/>
        </w:rPr>
        <w:t> </w:t>
      </w:r>
      <w:r>
        <w:rPr>
          <w:color w:val="231F20"/>
        </w:rPr>
        <w:t>te</w:t>
      </w:r>
      <w:r>
        <w:rPr>
          <w:color w:val="231F20"/>
          <w:spacing w:val="19"/>
        </w:rPr>
        <w:t> </w:t>
      </w:r>
      <w:r>
        <w:rPr>
          <w:color w:val="231F20"/>
        </w:rPr>
        <w:t>benoemen.</w:t>
      </w:r>
    </w:p>
    <w:p>
      <w:pPr>
        <w:pStyle w:val="BodyText"/>
        <w:spacing w:before="10"/>
        <w:ind w:left="0" w:right="0" w:firstLine="0"/>
        <w:jc w:val="left"/>
        <w:rPr>
          <w:sz w:val="25"/>
        </w:rPr>
      </w:pPr>
    </w:p>
    <w:p>
      <w:pPr>
        <w:pStyle w:val="BodyText"/>
        <w:spacing w:line="218" w:lineRule="auto" w:before="1"/>
      </w:pPr>
      <w:r>
        <w:rPr>
          <w:color w:val="231F20"/>
        </w:rPr>
        <w:t>De regels van openbaarmaking voor de benoeming en de beëindi- ging van het mandaat van de rechtspersoon zijn ook van toepassing op diens vaste vertegenwoordiger.</w:t>
      </w:r>
    </w:p>
    <w:p>
      <w:pPr>
        <w:pStyle w:val="BodyText"/>
        <w:spacing w:line="218" w:lineRule="auto" w:before="117"/>
      </w:pPr>
      <w:r>
        <w:rPr>
          <w:color w:val="231F20"/>
        </w:rPr>
        <w:t>De vaste vertegenwoordiger van een rechtspersoon die tevens vennoot is in een vennootschap onder firma of een commanditaire vennootschap, is, onverminderd het eerste lid, niet persoonlijk verbon- den voor de verbintenissen van de rechtspersoon in zijn hoedanigheid van vennoot.</w:t>
      </w:r>
    </w:p>
    <w:p>
      <w:pPr>
        <w:pStyle w:val="BodyText"/>
        <w:spacing w:line="218" w:lineRule="auto" w:before="118"/>
      </w:pPr>
      <w:r>
        <w:rPr>
          <w:color w:val="231F20"/>
        </w:rPr>
        <w:t>Ingeval er geen andere bestuurders in de bestuurde rechtspersoon zijn naast de besturende rechtspersoon mag deze, naast de vaste vertegenwoordiger, een plaatsvervangende vaste vertegenwoordiger aanduiden die optreedt bij verhindering van de vaste vertegenwoordi- ger. De bepalingen van dit artikel zijn eveneens van toepassing op deze plaatsvervangende vaste vertegenwoordiger.</w:t>
      </w:r>
    </w:p>
    <w:p>
      <w:pPr>
        <w:pStyle w:val="BodyText"/>
        <w:spacing w:before="103"/>
        <w:ind w:left="283" w:right="0" w:firstLine="0"/>
        <w:jc w:val="left"/>
      </w:pPr>
      <w:r>
        <w:rPr>
          <w:color w:val="231F20"/>
        </w:rPr>
        <w:t>HOOFDSTUK 2. Bestuurdersaansprakelijkheid.</w:t>
      </w:r>
    </w:p>
    <w:p>
      <w:pPr>
        <w:pStyle w:val="BodyText"/>
        <w:spacing w:line="218" w:lineRule="auto" w:before="114"/>
      </w:pPr>
      <w:r>
        <w:rPr>
          <w:color w:val="231F20"/>
        </w:rPr>
        <w:t>Art. 2:56. De in artikel 2:51 bedoelde personen en alle andere personen die ten aanzien van de rechtspersoon werkelijke bestuursbe- voegdheid hebben of hebben gehad zijn jegens de rechtspersoon aansprakelijk voor fouten begaan in de uitoefening van hun opdracht. Dit geldt ook jegens derden voor zover de begane fout een buitencon- tractuele fout is. Deze personen zijn evenwel slechts aansprakelijk voor beslissingen, daden of gedragingen die zich kennelijk buiten de marge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1624" from="298.170502pt,64.473pt" to="298.170502pt,812.819pt" stroked="true" strokeweight=".533pt" strokecolor="#231f20">
            <v:stroke dashstyle="solid"/>
            <w10:wrap type="none"/>
          </v:line>
        </w:pict>
      </w:r>
      <w:bookmarkStart w:name="_bookmark25" w:id="28"/>
      <w:bookmarkEnd w:id="28"/>
      <w:r>
        <w:rPr/>
      </w:r>
      <w:r>
        <w:rPr>
          <w:color w:val="231F20"/>
        </w:rPr>
        <w:t>la marge dans laquelle des administrateurs normalement prudents et diligents placés dans les mêmes circonstances peuvent</w:t>
      </w:r>
      <w:r>
        <w:rPr>
          <w:color w:val="231F20"/>
          <w:spacing w:val="-26"/>
        </w:rPr>
        <w:t> </w:t>
      </w:r>
      <w:r>
        <w:rPr>
          <w:color w:val="231F20"/>
        </w:rPr>
        <w:t>raisonnablement avoir une opinion</w:t>
      </w:r>
      <w:r>
        <w:rPr>
          <w:color w:val="231F20"/>
          <w:spacing w:val="5"/>
        </w:rPr>
        <w:t> </w:t>
      </w:r>
      <w:r>
        <w:rPr>
          <w:color w:val="231F20"/>
        </w:rPr>
        <w:t>divergente.</w:t>
      </w:r>
    </w:p>
    <w:p>
      <w:pPr>
        <w:pStyle w:val="BodyText"/>
        <w:spacing w:line="218" w:lineRule="auto" w:before="128"/>
        <w:ind w:right="38"/>
      </w:pPr>
      <w:r>
        <w:rPr>
          <w:color w:val="231F20"/>
        </w:rPr>
        <w:t>Lorsque l’organe d’administration forme un collège, elles sont solidairement responsables des décisions et des manquements de ce collège.</w:t>
      </w:r>
    </w:p>
    <w:p>
      <w:pPr>
        <w:pStyle w:val="BodyText"/>
        <w:spacing w:line="218" w:lineRule="auto" w:before="128"/>
        <w:ind w:right="38"/>
      </w:pPr>
      <w:r>
        <w:rPr>
          <w:color w:val="231F20"/>
        </w:rPr>
        <w:t>Même si l’organe d’administration ne forme pas un collège, ses membres répondent solidairement tant envers la personne morale qu’envers les tiers, de tout dommage résultant d’infractions aux dispositions du présent code ou aux statuts de cette personne morale.</w:t>
      </w:r>
    </w:p>
    <w:p>
      <w:pPr>
        <w:pStyle w:val="BodyText"/>
        <w:spacing w:line="218" w:lineRule="auto" w:before="128"/>
        <w:ind w:right="38"/>
      </w:pPr>
      <w:r>
        <w:rPr>
          <w:color w:val="231F20"/>
        </w:rPr>
        <w:t>Elles sont toutefois déchargées de leur responsabilité pour les fautes visées aux alinéas 2 et 3 auxquelles elles n’ont pas pris part si elles ont dénoncé la faute alléguée à tous les autres membres de l’organe d’administration, ou, le cas échéant, à l’organe d’administration collégial et au conseil de surveillance. Si elle est faite à un organe collégial d’administration ou de surveillance, cette dénonciation et les discussions auxquelles elle donne lieu sont mentionnées dans le procès-verbal.</w:t>
      </w:r>
    </w:p>
    <w:p>
      <w:pPr>
        <w:pStyle w:val="BodyText"/>
        <w:spacing w:line="218" w:lineRule="auto" w:before="114"/>
        <w:ind w:right="38"/>
      </w:pPr>
      <w:r>
        <w:rPr>
          <w:color w:val="231F20"/>
        </w:rPr>
        <w:t>Art. 2:57. § 1</w:t>
      </w:r>
      <w:r>
        <w:rPr>
          <w:color w:val="231F20"/>
          <w:position w:val="7"/>
          <w:sz w:val="11"/>
        </w:rPr>
        <w:t>er</w:t>
      </w:r>
      <w:r>
        <w:rPr>
          <w:color w:val="231F20"/>
        </w:rPr>
        <w:t>. La responsabilité visée à l’article 2:56, de même que toute autre responsabilité en raison de dommages causés découlant du présent code ou d’autres lois ou règlements à charge des personnes mentionnées à l’article 2:51, ainsi que la responsabilité pour les dettes de la personne morale visées aux articles XX.225 et XX.227 du Code de droit économique sont limitées aux montants suivants:</w:t>
      </w:r>
    </w:p>
    <w:p>
      <w:pPr>
        <w:pStyle w:val="BodyText"/>
        <w:spacing w:line="218" w:lineRule="auto" w:before="128"/>
        <w:ind w:right="38"/>
      </w:pPr>
      <w:r>
        <w:rPr>
          <w:color w:val="231F20"/>
        </w:rPr>
        <w:t>1° 125 000 euros, dans des personnes morales qui ont réalisé</w:t>
      </w:r>
      <w:r>
        <w:rPr>
          <w:color w:val="231F20"/>
          <w:spacing w:val="-23"/>
        </w:rPr>
        <w:t> </w:t>
      </w:r>
      <w:r>
        <w:rPr>
          <w:color w:val="231F20"/>
        </w:rPr>
        <w:t>pendant l’exercice précédant l’intentement de l’action en responsabilité, ou au cours de la période écoulée depuis la constitution si moins de trois exercices se sont écoulés depuis cette constitution un </w:t>
      </w:r>
      <w:r>
        <w:rPr>
          <w:color w:val="231F20"/>
          <w:spacing w:val="-3"/>
        </w:rPr>
        <w:t>chiffre </w:t>
      </w:r>
      <w:r>
        <w:rPr>
          <w:color w:val="231F20"/>
        </w:rPr>
        <w:t>d’affaires moyen sur base annuelle inférieur à 350 000 euros, hors taxe sur la valeur ajoutée, et dont le total du bilan moyen au cours de la même période</w:t>
      </w:r>
      <w:r>
        <w:rPr>
          <w:color w:val="231F20"/>
          <w:spacing w:val="14"/>
        </w:rPr>
        <w:t> </w:t>
      </w:r>
      <w:r>
        <w:rPr>
          <w:color w:val="231F20"/>
        </w:rPr>
        <w:t>n’a</w:t>
      </w:r>
      <w:r>
        <w:rPr>
          <w:color w:val="231F20"/>
          <w:spacing w:val="14"/>
        </w:rPr>
        <w:t> </w:t>
      </w:r>
      <w:r>
        <w:rPr>
          <w:color w:val="231F20"/>
        </w:rPr>
        <w:t>pas</w:t>
      </w:r>
      <w:r>
        <w:rPr>
          <w:color w:val="231F20"/>
          <w:spacing w:val="14"/>
        </w:rPr>
        <w:t> </w:t>
      </w:r>
      <w:r>
        <w:rPr>
          <w:color w:val="231F20"/>
        </w:rPr>
        <w:t>dépassé</w:t>
      </w:r>
      <w:r>
        <w:rPr>
          <w:color w:val="231F20"/>
          <w:spacing w:val="15"/>
        </w:rPr>
        <w:t> </w:t>
      </w:r>
      <w:r>
        <w:rPr>
          <w:color w:val="231F20"/>
        </w:rPr>
        <w:t>175</w:t>
      </w:r>
      <w:r>
        <w:rPr>
          <w:color w:val="231F20"/>
          <w:spacing w:val="14"/>
        </w:rPr>
        <w:t> </w:t>
      </w:r>
      <w:r>
        <w:rPr>
          <w:color w:val="231F20"/>
        </w:rPr>
        <w:t>000</w:t>
      </w:r>
      <w:r>
        <w:rPr>
          <w:color w:val="231F20"/>
          <w:spacing w:val="14"/>
        </w:rPr>
        <w:t> </w:t>
      </w:r>
      <w:r>
        <w:rPr>
          <w:color w:val="231F20"/>
        </w:rPr>
        <w:t>euros;</w:t>
      </w:r>
    </w:p>
    <w:p>
      <w:pPr>
        <w:pStyle w:val="BodyText"/>
        <w:spacing w:line="218" w:lineRule="auto" w:before="129"/>
        <w:ind w:right="38"/>
      </w:pPr>
      <w:r>
        <w:rPr>
          <w:color w:val="231F20"/>
        </w:rPr>
        <w:t>2° 250 000 euros, dans les personnes morales qui ne relèvent pas du 1° et qui ont réalisé pendant les trois exercices précédant l’intentement de l’action en responsabilité, ou au cours de la période écoulée depuis  la constitution si moins de trois exercices se sont écoulés depuis cette constitution un </w:t>
      </w:r>
      <w:r>
        <w:rPr>
          <w:color w:val="231F20"/>
          <w:spacing w:val="-3"/>
        </w:rPr>
        <w:t>chiffre </w:t>
      </w:r>
      <w:r>
        <w:rPr>
          <w:color w:val="231F20"/>
        </w:rPr>
        <w:t>d’affaires moyen sur base annuelle inférieur à 700 000 euros, hors taxe sur la valeur ajoutée, et dont le total du bilan moyen</w:t>
      </w:r>
      <w:r>
        <w:rPr>
          <w:color w:val="231F20"/>
          <w:spacing w:val="11"/>
        </w:rPr>
        <w:t> </w:t>
      </w:r>
      <w:r>
        <w:rPr>
          <w:color w:val="231F20"/>
        </w:rPr>
        <w:t>au</w:t>
      </w:r>
      <w:r>
        <w:rPr>
          <w:color w:val="231F20"/>
          <w:spacing w:val="12"/>
        </w:rPr>
        <w:t> </w:t>
      </w:r>
      <w:r>
        <w:rPr>
          <w:color w:val="231F20"/>
        </w:rPr>
        <w:t>cours</w:t>
      </w:r>
      <w:r>
        <w:rPr>
          <w:color w:val="231F20"/>
          <w:spacing w:val="11"/>
        </w:rPr>
        <w:t> </w:t>
      </w:r>
      <w:r>
        <w:rPr>
          <w:color w:val="231F20"/>
        </w:rPr>
        <w:t>de</w:t>
      </w:r>
      <w:r>
        <w:rPr>
          <w:color w:val="231F20"/>
          <w:spacing w:val="12"/>
        </w:rPr>
        <w:t> </w:t>
      </w:r>
      <w:r>
        <w:rPr>
          <w:color w:val="231F20"/>
        </w:rPr>
        <w:t>la</w:t>
      </w:r>
      <w:r>
        <w:rPr>
          <w:color w:val="231F20"/>
          <w:spacing w:val="11"/>
        </w:rPr>
        <w:t> </w:t>
      </w:r>
      <w:r>
        <w:rPr>
          <w:color w:val="231F20"/>
        </w:rPr>
        <w:t>même</w:t>
      </w:r>
      <w:r>
        <w:rPr>
          <w:color w:val="231F20"/>
          <w:spacing w:val="12"/>
        </w:rPr>
        <w:t> </w:t>
      </w:r>
      <w:r>
        <w:rPr>
          <w:color w:val="231F20"/>
        </w:rPr>
        <w:t>période</w:t>
      </w:r>
      <w:r>
        <w:rPr>
          <w:color w:val="231F20"/>
          <w:spacing w:val="11"/>
        </w:rPr>
        <w:t> </w:t>
      </w:r>
      <w:r>
        <w:rPr>
          <w:color w:val="231F20"/>
        </w:rPr>
        <w:t>n’a</w:t>
      </w:r>
      <w:r>
        <w:rPr>
          <w:color w:val="231F20"/>
          <w:spacing w:val="12"/>
        </w:rPr>
        <w:t> </w:t>
      </w:r>
      <w:r>
        <w:rPr>
          <w:color w:val="231F20"/>
        </w:rPr>
        <w:t>pas</w:t>
      </w:r>
      <w:r>
        <w:rPr>
          <w:color w:val="231F20"/>
          <w:spacing w:val="11"/>
        </w:rPr>
        <w:t> </w:t>
      </w:r>
      <w:r>
        <w:rPr>
          <w:color w:val="231F20"/>
        </w:rPr>
        <w:t>dépassé</w:t>
      </w:r>
      <w:r>
        <w:rPr>
          <w:color w:val="231F20"/>
          <w:spacing w:val="12"/>
        </w:rPr>
        <w:t> </w:t>
      </w:r>
      <w:r>
        <w:rPr>
          <w:color w:val="231F20"/>
        </w:rPr>
        <w:t>350</w:t>
      </w:r>
      <w:r>
        <w:rPr>
          <w:color w:val="231F20"/>
          <w:spacing w:val="12"/>
        </w:rPr>
        <w:t> </w:t>
      </w:r>
      <w:r>
        <w:rPr>
          <w:color w:val="231F20"/>
        </w:rPr>
        <w:t>000</w:t>
      </w:r>
      <w:r>
        <w:rPr>
          <w:color w:val="231F20"/>
          <w:spacing w:val="11"/>
        </w:rPr>
        <w:t> </w:t>
      </w:r>
      <w:r>
        <w:rPr>
          <w:color w:val="231F20"/>
        </w:rPr>
        <w:t>euros;</w:t>
      </w:r>
    </w:p>
    <w:p>
      <w:pPr>
        <w:pStyle w:val="BodyText"/>
        <w:spacing w:before="8"/>
        <w:ind w:left="0" w:right="0" w:firstLine="0"/>
        <w:jc w:val="left"/>
        <w:rPr>
          <w:sz w:val="26"/>
        </w:rPr>
      </w:pPr>
    </w:p>
    <w:p>
      <w:pPr>
        <w:pStyle w:val="BodyText"/>
        <w:spacing w:line="218" w:lineRule="auto" w:before="1"/>
        <w:ind w:right="38"/>
      </w:pPr>
      <w:r>
        <w:rPr>
          <w:color w:val="231F20"/>
        </w:rPr>
        <w:t>3° 1 million d’euros, dans les personnes morales qui ne relèvent pas du 1° et 2° et qui, pendant les trois exercices précédant l’intentement de l’action en responsabilité, ou au cours de la période écoulée depuis la constitution si moins de trois exercices se sont écoulés depuis cette constitution, n’ont pas dépassé plus d’une des limites suivantes:</w:t>
      </w:r>
    </w:p>
    <w:p>
      <w:pPr>
        <w:pStyle w:val="ListParagraph"/>
        <w:numPr>
          <w:ilvl w:val="0"/>
          <w:numId w:val="48"/>
        </w:numPr>
        <w:tabs>
          <w:tab w:pos="517" w:val="left" w:leader="none"/>
        </w:tabs>
        <w:spacing w:line="218" w:lineRule="auto" w:before="128" w:after="0"/>
        <w:ind w:left="113" w:right="38" w:firstLine="170"/>
        <w:jc w:val="both"/>
        <w:rPr>
          <w:sz w:val="17"/>
        </w:rPr>
      </w:pPr>
      <w:r>
        <w:rPr>
          <w:color w:val="231F20"/>
          <w:spacing w:val="-3"/>
          <w:sz w:val="17"/>
        </w:rPr>
        <w:t>chiffre </w:t>
      </w:r>
      <w:r>
        <w:rPr>
          <w:color w:val="231F20"/>
          <w:sz w:val="17"/>
        </w:rPr>
        <w:t>d’affaires moyen hors taxe sur la valeur ajoutée, sur base annuelle: 9 000 000</w:t>
      </w:r>
      <w:r>
        <w:rPr>
          <w:color w:val="231F20"/>
          <w:spacing w:val="10"/>
          <w:sz w:val="17"/>
        </w:rPr>
        <w:t> </w:t>
      </w:r>
      <w:r>
        <w:rPr>
          <w:color w:val="231F20"/>
          <w:sz w:val="17"/>
        </w:rPr>
        <w:t>euros;</w:t>
      </w:r>
    </w:p>
    <w:p>
      <w:pPr>
        <w:pStyle w:val="ListParagraph"/>
        <w:numPr>
          <w:ilvl w:val="0"/>
          <w:numId w:val="48"/>
        </w:numPr>
        <w:tabs>
          <w:tab w:pos="512" w:val="left" w:leader="none"/>
        </w:tabs>
        <w:spacing w:line="240" w:lineRule="auto" w:before="125" w:after="0"/>
        <w:ind w:left="511" w:right="0" w:hanging="228"/>
        <w:jc w:val="left"/>
        <w:rPr>
          <w:sz w:val="17"/>
        </w:rPr>
      </w:pPr>
      <w:r>
        <w:rPr>
          <w:color w:val="231F20"/>
          <w:sz w:val="17"/>
        </w:rPr>
        <w:t>total</w:t>
      </w:r>
      <w:r>
        <w:rPr>
          <w:color w:val="231F20"/>
          <w:spacing w:val="12"/>
          <w:sz w:val="17"/>
        </w:rPr>
        <w:t> </w:t>
      </w:r>
      <w:r>
        <w:rPr>
          <w:color w:val="231F20"/>
          <w:sz w:val="17"/>
        </w:rPr>
        <w:t>du</w:t>
      </w:r>
      <w:r>
        <w:rPr>
          <w:color w:val="231F20"/>
          <w:spacing w:val="12"/>
          <w:sz w:val="17"/>
        </w:rPr>
        <w:t> </w:t>
      </w:r>
      <w:r>
        <w:rPr>
          <w:color w:val="231F20"/>
          <w:sz w:val="17"/>
        </w:rPr>
        <w:t>bilan</w:t>
      </w:r>
      <w:r>
        <w:rPr>
          <w:color w:val="231F20"/>
          <w:spacing w:val="13"/>
          <w:sz w:val="17"/>
        </w:rPr>
        <w:t> </w:t>
      </w:r>
      <w:r>
        <w:rPr>
          <w:color w:val="231F20"/>
          <w:sz w:val="17"/>
        </w:rPr>
        <w:t>moyen:</w:t>
      </w:r>
      <w:r>
        <w:rPr>
          <w:color w:val="231F20"/>
          <w:spacing w:val="12"/>
          <w:sz w:val="17"/>
        </w:rPr>
        <w:t> </w:t>
      </w:r>
      <w:r>
        <w:rPr>
          <w:color w:val="231F20"/>
          <w:sz w:val="17"/>
        </w:rPr>
        <w:t>4</w:t>
      </w:r>
      <w:r>
        <w:rPr>
          <w:color w:val="231F20"/>
          <w:spacing w:val="12"/>
          <w:sz w:val="17"/>
        </w:rPr>
        <w:t> </w:t>
      </w:r>
      <w:r>
        <w:rPr>
          <w:color w:val="231F20"/>
          <w:sz w:val="17"/>
        </w:rPr>
        <w:t>500</w:t>
      </w:r>
      <w:r>
        <w:rPr>
          <w:color w:val="231F20"/>
          <w:spacing w:val="13"/>
          <w:sz w:val="17"/>
        </w:rPr>
        <w:t> </w:t>
      </w:r>
      <w:r>
        <w:rPr>
          <w:color w:val="231F20"/>
          <w:sz w:val="17"/>
        </w:rPr>
        <w:t>000</w:t>
      </w:r>
      <w:r>
        <w:rPr>
          <w:color w:val="231F20"/>
          <w:spacing w:val="12"/>
          <w:sz w:val="17"/>
        </w:rPr>
        <w:t> </w:t>
      </w:r>
      <w:r>
        <w:rPr>
          <w:color w:val="231F20"/>
          <w:sz w:val="17"/>
        </w:rPr>
        <w:t>euros;</w:t>
      </w:r>
    </w:p>
    <w:p>
      <w:pPr>
        <w:pStyle w:val="BodyText"/>
        <w:spacing w:line="218" w:lineRule="auto" w:before="135"/>
        <w:ind w:right="38"/>
      </w:pPr>
      <w:r>
        <w:rPr>
          <w:color w:val="231F20"/>
        </w:rPr>
        <w:t>4° 3 millions d’euros, dans les personnes morales qui ne relèvent pas du</w:t>
      </w:r>
      <w:r>
        <w:rPr>
          <w:color w:val="231F20"/>
          <w:spacing w:val="-6"/>
        </w:rPr>
        <w:t> </w:t>
      </w:r>
      <w:r>
        <w:rPr>
          <w:color w:val="231F20"/>
        </w:rPr>
        <w:t>1°,</w:t>
      </w:r>
      <w:r>
        <w:rPr>
          <w:color w:val="231F20"/>
          <w:spacing w:val="-6"/>
        </w:rPr>
        <w:t> </w:t>
      </w:r>
      <w:r>
        <w:rPr>
          <w:color w:val="231F20"/>
        </w:rPr>
        <w:t>2°</w:t>
      </w:r>
      <w:r>
        <w:rPr>
          <w:color w:val="231F20"/>
          <w:spacing w:val="-6"/>
        </w:rPr>
        <w:t> </w:t>
      </w:r>
      <w:r>
        <w:rPr>
          <w:color w:val="231F20"/>
        </w:rPr>
        <w:t>et</w:t>
      </w:r>
      <w:r>
        <w:rPr>
          <w:color w:val="231F20"/>
          <w:spacing w:val="-6"/>
        </w:rPr>
        <w:t> </w:t>
      </w:r>
      <w:r>
        <w:rPr>
          <w:color w:val="231F20"/>
        </w:rPr>
        <w:t>3°,</w:t>
      </w:r>
      <w:r>
        <w:rPr>
          <w:color w:val="231F20"/>
          <w:spacing w:val="-6"/>
        </w:rPr>
        <w:t> </w:t>
      </w:r>
      <w:r>
        <w:rPr>
          <w:color w:val="231F20"/>
        </w:rPr>
        <w:t>et</w:t>
      </w:r>
      <w:r>
        <w:rPr>
          <w:color w:val="231F20"/>
          <w:spacing w:val="-5"/>
        </w:rPr>
        <w:t> </w:t>
      </w:r>
      <w:r>
        <w:rPr>
          <w:color w:val="231F20"/>
        </w:rPr>
        <w:t>qui,</w:t>
      </w:r>
      <w:r>
        <w:rPr>
          <w:color w:val="231F20"/>
          <w:spacing w:val="-6"/>
        </w:rPr>
        <w:t> </w:t>
      </w:r>
      <w:r>
        <w:rPr>
          <w:color w:val="231F20"/>
        </w:rPr>
        <w:t>pendant</w:t>
      </w:r>
      <w:r>
        <w:rPr>
          <w:color w:val="231F20"/>
          <w:spacing w:val="-6"/>
        </w:rPr>
        <w:t> </w:t>
      </w:r>
      <w:r>
        <w:rPr>
          <w:color w:val="231F20"/>
        </w:rPr>
        <w:t>les</w:t>
      </w:r>
      <w:r>
        <w:rPr>
          <w:color w:val="231F20"/>
          <w:spacing w:val="-6"/>
        </w:rPr>
        <w:t> </w:t>
      </w:r>
      <w:r>
        <w:rPr>
          <w:color w:val="231F20"/>
        </w:rPr>
        <w:t>trois</w:t>
      </w:r>
      <w:r>
        <w:rPr>
          <w:color w:val="231F20"/>
          <w:spacing w:val="-6"/>
        </w:rPr>
        <w:t> </w:t>
      </w:r>
      <w:r>
        <w:rPr>
          <w:color w:val="231F20"/>
        </w:rPr>
        <w:t>exercices</w:t>
      </w:r>
      <w:r>
        <w:rPr>
          <w:color w:val="231F20"/>
          <w:spacing w:val="-6"/>
        </w:rPr>
        <w:t> </w:t>
      </w:r>
      <w:r>
        <w:rPr>
          <w:color w:val="231F20"/>
        </w:rPr>
        <w:t>précédant</w:t>
      </w:r>
      <w:r>
        <w:rPr>
          <w:color w:val="231F20"/>
          <w:spacing w:val="-5"/>
        </w:rPr>
        <w:t> </w:t>
      </w:r>
      <w:r>
        <w:rPr>
          <w:color w:val="231F20"/>
        </w:rPr>
        <w:t>l’intentement de l’action en responsabilité, ou au cours de la période écoulée depuis  la constitution si moins de trois exercices se sont écoulés depuis cette constitution, ont dépassé les limites mentionnées au 3°, mais n’ont atteint</w:t>
      </w:r>
      <w:r>
        <w:rPr>
          <w:color w:val="231F20"/>
          <w:spacing w:val="14"/>
        </w:rPr>
        <w:t> </w:t>
      </w:r>
      <w:r>
        <w:rPr>
          <w:color w:val="231F20"/>
        </w:rPr>
        <w:t>ou</w:t>
      </w:r>
      <w:r>
        <w:rPr>
          <w:color w:val="231F20"/>
          <w:spacing w:val="14"/>
        </w:rPr>
        <w:t> </w:t>
      </w:r>
      <w:r>
        <w:rPr>
          <w:color w:val="231F20"/>
        </w:rPr>
        <w:t>dépassé</w:t>
      </w:r>
      <w:r>
        <w:rPr>
          <w:color w:val="231F20"/>
          <w:spacing w:val="15"/>
        </w:rPr>
        <w:t> </w:t>
      </w:r>
      <w:r>
        <w:rPr>
          <w:color w:val="231F20"/>
        </w:rPr>
        <w:t>aucune</w:t>
      </w:r>
      <w:r>
        <w:rPr>
          <w:color w:val="231F20"/>
          <w:spacing w:val="14"/>
        </w:rPr>
        <w:t> </w:t>
      </w:r>
      <w:r>
        <w:rPr>
          <w:color w:val="231F20"/>
        </w:rPr>
        <w:t>des</w:t>
      </w:r>
      <w:r>
        <w:rPr>
          <w:color w:val="231F20"/>
          <w:spacing w:val="15"/>
        </w:rPr>
        <w:t> </w:t>
      </w:r>
      <w:r>
        <w:rPr>
          <w:color w:val="231F20"/>
        </w:rPr>
        <w:t>limites</w:t>
      </w:r>
      <w:r>
        <w:rPr>
          <w:color w:val="231F20"/>
          <w:spacing w:val="14"/>
        </w:rPr>
        <w:t> </w:t>
      </w:r>
      <w:r>
        <w:rPr>
          <w:color w:val="231F20"/>
        </w:rPr>
        <w:t>mentionnées</w:t>
      </w:r>
      <w:r>
        <w:rPr>
          <w:color w:val="231F20"/>
          <w:spacing w:val="15"/>
        </w:rPr>
        <w:t> </w:t>
      </w:r>
      <w:r>
        <w:rPr>
          <w:color w:val="231F20"/>
        </w:rPr>
        <w:t>au</w:t>
      </w:r>
      <w:r>
        <w:rPr>
          <w:color w:val="231F20"/>
          <w:spacing w:val="14"/>
        </w:rPr>
        <w:t> </w:t>
      </w:r>
      <w:r>
        <w:rPr>
          <w:color w:val="231F20"/>
        </w:rPr>
        <w:t>5°;</w:t>
      </w:r>
    </w:p>
    <w:p>
      <w:pPr>
        <w:pStyle w:val="BodyText"/>
        <w:spacing w:line="218" w:lineRule="auto" w:before="139"/>
        <w:ind w:right="38"/>
      </w:pPr>
      <w:r>
        <w:rPr>
          <w:color w:val="231F20"/>
        </w:rPr>
        <w:t>5° 12 millions d’euros, dans les entités d’intérêt public et les personnes</w:t>
      </w:r>
      <w:r>
        <w:rPr>
          <w:color w:val="231F20"/>
          <w:spacing w:val="-3"/>
        </w:rPr>
        <w:t> </w:t>
      </w:r>
      <w:r>
        <w:rPr>
          <w:color w:val="231F20"/>
        </w:rPr>
        <w:t>morales</w:t>
      </w:r>
      <w:r>
        <w:rPr>
          <w:color w:val="231F20"/>
          <w:spacing w:val="-3"/>
        </w:rPr>
        <w:t> </w:t>
      </w:r>
      <w:r>
        <w:rPr>
          <w:color w:val="231F20"/>
        </w:rPr>
        <w:t>qui</w:t>
      </w:r>
      <w:r>
        <w:rPr>
          <w:color w:val="231F20"/>
          <w:spacing w:val="-2"/>
        </w:rPr>
        <w:t> </w:t>
      </w:r>
      <w:r>
        <w:rPr>
          <w:color w:val="231F20"/>
        </w:rPr>
        <w:t>ne</w:t>
      </w:r>
      <w:r>
        <w:rPr>
          <w:color w:val="231F20"/>
          <w:spacing w:val="-3"/>
        </w:rPr>
        <w:t> </w:t>
      </w:r>
      <w:r>
        <w:rPr>
          <w:color w:val="231F20"/>
        </w:rPr>
        <w:t>relèvent</w:t>
      </w:r>
      <w:r>
        <w:rPr>
          <w:color w:val="231F20"/>
          <w:spacing w:val="-2"/>
        </w:rPr>
        <w:t> </w:t>
      </w:r>
      <w:r>
        <w:rPr>
          <w:color w:val="231F20"/>
        </w:rPr>
        <w:t>pas</w:t>
      </w:r>
      <w:r>
        <w:rPr>
          <w:color w:val="231F20"/>
          <w:spacing w:val="-3"/>
        </w:rPr>
        <w:t> </w:t>
      </w:r>
      <w:r>
        <w:rPr>
          <w:color w:val="231F20"/>
        </w:rPr>
        <w:t>du</w:t>
      </w:r>
      <w:r>
        <w:rPr>
          <w:color w:val="231F20"/>
          <w:spacing w:val="-3"/>
        </w:rPr>
        <w:t> </w:t>
      </w:r>
      <w:r>
        <w:rPr>
          <w:color w:val="231F20"/>
        </w:rPr>
        <w:t>1°,</w:t>
      </w:r>
      <w:r>
        <w:rPr>
          <w:color w:val="231F20"/>
          <w:spacing w:val="-2"/>
        </w:rPr>
        <w:t> </w:t>
      </w:r>
      <w:r>
        <w:rPr>
          <w:color w:val="231F20"/>
        </w:rPr>
        <w:t>2°,</w:t>
      </w:r>
      <w:r>
        <w:rPr>
          <w:color w:val="231F20"/>
          <w:spacing w:val="-3"/>
        </w:rPr>
        <w:t> </w:t>
      </w:r>
      <w:r>
        <w:rPr>
          <w:color w:val="231F20"/>
        </w:rPr>
        <w:t>3°</w:t>
      </w:r>
      <w:r>
        <w:rPr>
          <w:color w:val="231F20"/>
          <w:spacing w:val="-2"/>
        </w:rPr>
        <w:t> </w:t>
      </w:r>
      <w:r>
        <w:rPr>
          <w:color w:val="231F20"/>
        </w:rPr>
        <w:t>et</w:t>
      </w:r>
      <w:r>
        <w:rPr>
          <w:color w:val="231F20"/>
          <w:spacing w:val="-3"/>
        </w:rPr>
        <w:t> </w:t>
      </w:r>
      <w:r>
        <w:rPr>
          <w:color w:val="231F20"/>
        </w:rPr>
        <w:t>4°,</w:t>
      </w:r>
      <w:r>
        <w:rPr>
          <w:color w:val="231F20"/>
          <w:spacing w:val="-3"/>
        </w:rPr>
        <w:t> </w:t>
      </w:r>
      <w:r>
        <w:rPr>
          <w:color w:val="231F20"/>
        </w:rPr>
        <w:t>et</w:t>
      </w:r>
      <w:r>
        <w:rPr>
          <w:color w:val="231F20"/>
          <w:spacing w:val="-2"/>
        </w:rPr>
        <w:t> </w:t>
      </w:r>
      <w:r>
        <w:rPr>
          <w:color w:val="231F20"/>
        </w:rPr>
        <w:t>qui,</w:t>
      </w:r>
      <w:r>
        <w:rPr>
          <w:color w:val="231F20"/>
          <w:spacing w:val="-3"/>
        </w:rPr>
        <w:t> </w:t>
      </w:r>
      <w:r>
        <w:rPr>
          <w:color w:val="231F20"/>
        </w:rPr>
        <w:t>pendant les trois exercices précédant l’intentement de l’action en responsabilité, ou au cours de la période écoulée depuis la constitution si moins de trois exercices se sont écoulés depuis cette constitution, ont atteint ou dépassé</w:t>
      </w:r>
      <w:r>
        <w:rPr>
          <w:color w:val="231F20"/>
          <w:spacing w:val="15"/>
        </w:rPr>
        <w:t> </w:t>
      </w:r>
      <w:r>
        <w:rPr>
          <w:color w:val="231F20"/>
        </w:rPr>
        <w:t>au</w:t>
      </w:r>
      <w:r>
        <w:rPr>
          <w:color w:val="231F20"/>
          <w:spacing w:val="15"/>
        </w:rPr>
        <w:t> </w:t>
      </w:r>
      <w:r>
        <w:rPr>
          <w:color w:val="231F20"/>
        </w:rPr>
        <w:t>moins</w:t>
      </w:r>
      <w:r>
        <w:rPr>
          <w:color w:val="231F20"/>
          <w:spacing w:val="16"/>
        </w:rPr>
        <w:t> </w:t>
      </w:r>
      <w:r>
        <w:rPr>
          <w:color w:val="231F20"/>
        </w:rPr>
        <w:t>une</w:t>
      </w:r>
      <w:r>
        <w:rPr>
          <w:color w:val="231F20"/>
          <w:spacing w:val="15"/>
        </w:rPr>
        <w:t> </w:t>
      </w:r>
      <w:r>
        <w:rPr>
          <w:color w:val="231F20"/>
        </w:rPr>
        <w:t>des</w:t>
      </w:r>
      <w:r>
        <w:rPr>
          <w:color w:val="231F20"/>
          <w:spacing w:val="15"/>
        </w:rPr>
        <w:t> </w:t>
      </w:r>
      <w:r>
        <w:rPr>
          <w:color w:val="231F20"/>
        </w:rPr>
        <w:t>limites</w:t>
      </w:r>
      <w:r>
        <w:rPr>
          <w:color w:val="231F20"/>
          <w:spacing w:val="16"/>
        </w:rPr>
        <w:t> </w:t>
      </w:r>
      <w:r>
        <w:rPr>
          <w:color w:val="231F20"/>
        </w:rPr>
        <w:t>suivantes:</w:t>
      </w:r>
    </w:p>
    <w:p>
      <w:pPr>
        <w:pStyle w:val="ListParagraph"/>
        <w:numPr>
          <w:ilvl w:val="0"/>
          <w:numId w:val="48"/>
        </w:numPr>
        <w:tabs>
          <w:tab w:pos="512" w:val="left" w:leader="none"/>
        </w:tabs>
        <w:spacing w:line="240" w:lineRule="auto" w:before="125" w:after="0"/>
        <w:ind w:left="511" w:right="0" w:hanging="228"/>
        <w:jc w:val="left"/>
        <w:rPr>
          <w:sz w:val="17"/>
        </w:rPr>
      </w:pPr>
      <w:r>
        <w:rPr>
          <w:color w:val="231F20"/>
          <w:sz w:val="17"/>
        </w:rPr>
        <w:t>total</w:t>
      </w:r>
      <w:r>
        <w:rPr>
          <w:color w:val="231F20"/>
          <w:spacing w:val="15"/>
          <w:sz w:val="17"/>
        </w:rPr>
        <w:t> </w:t>
      </w:r>
      <w:r>
        <w:rPr>
          <w:color w:val="231F20"/>
          <w:sz w:val="17"/>
        </w:rPr>
        <w:t>du</w:t>
      </w:r>
      <w:r>
        <w:rPr>
          <w:color w:val="231F20"/>
          <w:spacing w:val="15"/>
          <w:sz w:val="17"/>
        </w:rPr>
        <w:t> </w:t>
      </w:r>
      <w:r>
        <w:rPr>
          <w:color w:val="231F20"/>
          <w:sz w:val="17"/>
        </w:rPr>
        <w:t>bilan</w:t>
      </w:r>
      <w:r>
        <w:rPr>
          <w:color w:val="231F20"/>
          <w:spacing w:val="15"/>
          <w:sz w:val="17"/>
        </w:rPr>
        <w:t> </w:t>
      </w:r>
      <w:r>
        <w:rPr>
          <w:color w:val="231F20"/>
          <w:sz w:val="17"/>
        </w:rPr>
        <w:t>moyen</w:t>
      </w:r>
      <w:r>
        <w:rPr>
          <w:color w:val="231F20"/>
          <w:spacing w:val="15"/>
          <w:sz w:val="17"/>
        </w:rPr>
        <w:t> </w:t>
      </w:r>
      <w:r>
        <w:rPr>
          <w:color w:val="231F20"/>
          <w:sz w:val="17"/>
        </w:rPr>
        <w:t>de</w:t>
      </w:r>
      <w:r>
        <w:rPr>
          <w:color w:val="231F20"/>
          <w:spacing w:val="16"/>
          <w:sz w:val="17"/>
        </w:rPr>
        <w:t> </w:t>
      </w:r>
      <w:r>
        <w:rPr>
          <w:color w:val="231F20"/>
          <w:sz w:val="17"/>
        </w:rPr>
        <w:t>43</w:t>
      </w:r>
      <w:r>
        <w:rPr>
          <w:color w:val="231F20"/>
          <w:spacing w:val="15"/>
          <w:sz w:val="17"/>
        </w:rPr>
        <w:t> </w:t>
      </w:r>
      <w:r>
        <w:rPr>
          <w:color w:val="231F20"/>
          <w:sz w:val="17"/>
        </w:rPr>
        <w:t>millions</w:t>
      </w:r>
      <w:r>
        <w:rPr>
          <w:color w:val="231F20"/>
          <w:spacing w:val="15"/>
          <w:sz w:val="17"/>
        </w:rPr>
        <w:t> </w:t>
      </w:r>
      <w:r>
        <w:rPr>
          <w:color w:val="231F20"/>
          <w:sz w:val="17"/>
        </w:rPr>
        <w:t>d’euros;</w:t>
      </w:r>
    </w:p>
    <w:p>
      <w:pPr>
        <w:pStyle w:val="ListParagraph"/>
        <w:numPr>
          <w:ilvl w:val="0"/>
          <w:numId w:val="48"/>
        </w:numPr>
        <w:tabs>
          <w:tab w:pos="517" w:val="left" w:leader="none"/>
        </w:tabs>
        <w:spacing w:line="218" w:lineRule="auto" w:before="135" w:after="0"/>
        <w:ind w:left="113" w:right="38" w:firstLine="170"/>
        <w:jc w:val="both"/>
        <w:rPr>
          <w:sz w:val="17"/>
        </w:rPr>
      </w:pPr>
      <w:r>
        <w:rPr>
          <w:color w:val="231F20"/>
          <w:spacing w:val="-3"/>
          <w:sz w:val="17"/>
        </w:rPr>
        <w:t>chiffre </w:t>
      </w:r>
      <w:r>
        <w:rPr>
          <w:color w:val="231F20"/>
          <w:sz w:val="17"/>
        </w:rPr>
        <w:t>d’affaires moyen hors taxe sur la valeur ajoutée, sur base annuelle de 50 millions</w:t>
      </w:r>
      <w:r>
        <w:rPr>
          <w:color w:val="231F20"/>
          <w:spacing w:val="18"/>
          <w:sz w:val="17"/>
        </w:rPr>
        <w:t> </w:t>
      </w:r>
      <w:r>
        <w:rPr>
          <w:color w:val="231F20"/>
          <w:sz w:val="17"/>
        </w:rPr>
        <w:t>d’euros.</w:t>
      </w:r>
    </w:p>
    <w:p>
      <w:pPr>
        <w:pStyle w:val="BodyText"/>
        <w:spacing w:line="218" w:lineRule="auto" w:before="139"/>
        <w:ind w:right="38"/>
      </w:pPr>
      <w:r>
        <w:rPr>
          <w:color w:val="231F20"/>
        </w:rPr>
        <w:t>Pour les personnes morales qui tiennent une comptabilité simplifiée en application de l’article III.85 du Code de droit économique, il convient d’entendre par </w:t>
      </w:r>
      <w:r>
        <w:rPr>
          <w:color w:val="231F20"/>
          <w:spacing w:val="-3"/>
        </w:rPr>
        <w:t>chiffre </w:t>
      </w:r>
      <w:r>
        <w:rPr>
          <w:color w:val="231F20"/>
        </w:rPr>
        <w:t>d’affaires, le montant des recettes autres que non récurrentes et par total du bilan, le plus grand des deux montants figurant sous les avoirs et les dettes.</w:t>
      </w:r>
    </w:p>
    <w:p>
      <w:pPr>
        <w:pStyle w:val="BodyText"/>
        <w:spacing w:line="213" w:lineRule="auto" w:before="142"/>
        <w:ind w:right="38"/>
      </w:pPr>
      <w:r>
        <w:rPr>
          <w:color w:val="231F20"/>
        </w:rPr>
        <w:t>Chaque fois que la hausse ou la baisse de l’indice des prix à la consommation entraîne au 1</w:t>
      </w:r>
      <w:r>
        <w:rPr>
          <w:color w:val="231F20"/>
          <w:position w:val="7"/>
          <w:sz w:val="11"/>
        </w:rPr>
        <w:t>er </w:t>
      </w:r>
      <w:r>
        <w:rPr>
          <w:color w:val="231F20"/>
        </w:rPr>
        <w:t>janvier de l’année suivante une hausse  ou une baisse </w:t>
      </w:r>
      <w:r>
        <w:rPr>
          <w:color w:val="231F20"/>
          <w:spacing w:val="18"/>
        </w:rPr>
        <w:t>de5%</w:t>
      </w:r>
      <w:r>
        <w:rPr>
          <w:color w:val="231F20"/>
          <w:spacing w:val="-29"/>
        </w:rPr>
        <w:t> </w:t>
      </w:r>
      <w:r>
        <w:rPr>
          <w:color w:val="231F20"/>
        </w:rPr>
        <w:t>ou plus, les montants mentionnés ci-dessus relatifs aux total du bilan et </w:t>
      </w:r>
      <w:r>
        <w:rPr>
          <w:color w:val="231F20"/>
          <w:spacing w:val="-3"/>
        </w:rPr>
        <w:t>chiffre </w:t>
      </w:r>
      <w:r>
        <w:rPr>
          <w:color w:val="231F20"/>
        </w:rPr>
        <w:t>d’affaires sont majorés ou minorés du même pourcentage à la même date. Ces adaptations sont publiées par avis au </w:t>
      </w:r>
      <w:r>
        <w:rPr>
          <w:rFonts w:ascii="Times New Roman" w:hAnsi="Times New Roman"/>
          <w:i/>
          <w:color w:val="231F20"/>
        </w:rPr>
        <w:t>Moniteur</w:t>
      </w:r>
      <w:r>
        <w:rPr>
          <w:rFonts w:ascii="Times New Roman" w:hAnsi="Times New Roman"/>
          <w:i/>
          <w:color w:val="231F20"/>
          <w:spacing w:val="14"/>
        </w:rPr>
        <w:t> </w:t>
      </w:r>
      <w:r>
        <w:rPr>
          <w:rFonts w:ascii="Times New Roman" w:hAnsi="Times New Roman"/>
          <w:i/>
          <w:color w:val="231F20"/>
        </w:rPr>
        <w:t>belge</w:t>
      </w:r>
      <w:r>
        <w:rPr>
          <w:color w:val="231F20"/>
        </w:rPr>
        <w:t>.</w:t>
      </w:r>
      <w:r>
        <w:rPr>
          <w:color w:val="231F20"/>
          <w:spacing w:val="15"/>
        </w:rPr>
        <w:t> </w:t>
      </w:r>
      <w:r>
        <w:rPr>
          <w:color w:val="231F20"/>
        </w:rPr>
        <w:t>L’indice</w:t>
      </w:r>
      <w:r>
        <w:rPr>
          <w:color w:val="231F20"/>
          <w:spacing w:val="15"/>
        </w:rPr>
        <w:t> </w:t>
      </w:r>
      <w:r>
        <w:rPr>
          <w:color w:val="231F20"/>
        </w:rPr>
        <w:t>de</w:t>
      </w:r>
      <w:r>
        <w:rPr>
          <w:color w:val="231F20"/>
          <w:spacing w:val="15"/>
        </w:rPr>
        <w:t> </w:t>
      </w:r>
      <w:r>
        <w:rPr>
          <w:color w:val="231F20"/>
        </w:rPr>
        <w:t>base</w:t>
      </w:r>
      <w:r>
        <w:rPr>
          <w:color w:val="231F20"/>
          <w:spacing w:val="15"/>
        </w:rPr>
        <w:t> </w:t>
      </w:r>
      <w:r>
        <w:rPr>
          <w:color w:val="231F20"/>
        </w:rPr>
        <w:t>est</w:t>
      </w:r>
      <w:r>
        <w:rPr>
          <w:color w:val="231F20"/>
          <w:spacing w:val="15"/>
        </w:rPr>
        <w:t> </w:t>
      </w:r>
      <w:r>
        <w:rPr>
          <w:color w:val="231F20"/>
        </w:rPr>
        <w:t>celui</w:t>
      </w:r>
      <w:r>
        <w:rPr>
          <w:color w:val="231F20"/>
          <w:spacing w:val="15"/>
        </w:rPr>
        <w:t> </w:t>
      </w:r>
      <w:r>
        <w:rPr>
          <w:color w:val="231F20"/>
        </w:rPr>
        <w:t>du</w:t>
      </w:r>
      <w:r>
        <w:rPr>
          <w:color w:val="231F20"/>
          <w:spacing w:val="15"/>
        </w:rPr>
        <w:t> </w:t>
      </w:r>
      <w:r>
        <w:rPr>
          <w:color w:val="231F20"/>
        </w:rPr>
        <w:t>mois</w:t>
      </w:r>
      <w:r>
        <w:rPr>
          <w:color w:val="231F20"/>
          <w:spacing w:val="15"/>
        </w:rPr>
        <w:t> </w:t>
      </w:r>
      <w:r>
        <w:rPr>
          <w:color w:val="231F20"/>
        </w:rPr>
        <w:t>de</w:t>
      </w:r>
      <w:r>
        <w:rPr>
          <w:color w:val="231F20"/>
          <w:spacing w:val="15"/>
        </w:rPr>
        <w:t> </w:t>
      </w:r>
      <w:r>
        <w:rPr>
          <w:color w:val="231F20"/>
        </w:rPr>
        <w:t>décembre</w:t>
      </w:r>
      <w:r>
        <w:rPr>
          <w:color w:val="231F20"/>
          <w:spacing w:val="15"/>
        </w:rPr>
        <w:t> </w:t>
      </w:r>
      <w:r>
        <w:rPr>
          <w:color w:val="231F20"/>
        </w:rPr>
        <w:t>2017.</w:t>
      </w:r>
    </w:p>
    <w:p>
      <w:pPr>
        <w:pStyle w:val="BodyText"/>
        <w:spacing w:line="218" w:lineRule="auto" w:before="119"/>
        <w:ind w:right="123" w:firstLine="0"/>
      </w:pPr>
      <w:r>
        <w:rPr/>
        <w:br w:type="column"/>
      </w:r>
      <w:r>
        <w:rPr>
          <w:color w:val="231F20"/>
        </w:rPr>
        <w:t>bevinden waarbinnen normaal voorzichtige en zorgvuldige bestuur- ders, geplaatst in dezelfde omstandigheden, redelijkerwijze van mening kunnen verschillen.</w:t>
      </w:r>
    </w:p>
    <w:p>
      <w:pPr>
        <w:pStyle w:val="BodyText"/>
        <w:spacing w:line="218" w:lineRule="auto" w:before="129"/>
      </w:pPr>
      <w:r>
        <w:rPr>
          <w:color w:val="231F20"/>
        </w:rPr>
        <w:t>Indien het bestuursorgaan een college vormt, is hun aansprakelijk- heid voor de beslissingen of nalatigheden van dit college hoofdelijk.</w:t>
      </w:r>
    </w:p>
    <w:p>
      <w:pPr>
        <w:pStyle w:val="BodyText"/>
        <w:spacing w:before="8"/>
        <w:ind w:left="0" w:right="0" w:firstLine="0"/>
        <w:jc w:val="left"/>
        <w:rPr>
          <w:sz w:val="26"/>
        </w:rPr>
      </w:pPr>
    </w:p>
    <w:p>
      <w:pPr>
        <w:pStyle w:val="BodyText"/>
        <w:spacing w:line="218" w:lineRule="auto"/>
      </w:pPr>
      <w:r>
        <w:rPr>
          <w:color w:val="231F20"/>
        </w:rPr>
        <w:t>Zelfs indien het bestuursorgaan geen college vormt, zijn diens leden zowel jegens de rechtspersoon als jegens derden hoofdelijk aansprake- lijk voor alle schade die het gevolg is van overtredingen van de bepalingen van dit wetboek of van de statuten van de rechtspersoon.</w:t>
      </w:r>
    </w:p>
    <w:p>
      <w:pPr>
        <w:pStyle w:val="BodyText"/>
        <w:spacing w:line="218" w:lineRule="auto" w:before="128"/>
      </w:pPr>
      <w:r>
        <w:rPr>
          <w:color w:val="231F20"/>
          <w:spacing w:val="-6"/>
        </w:rPr>
        <w:t>Wat </w:t>
      </w:r>
      <w:r>
        <w:rPr>
          <w:color w:val="231F20"/>
        </w:rPr>
        <w:t>fouten bedoeld in het tweede en derde lid betreft waaraan zij geen deel hebben gehad, zijn zij evenwel van hun aansprakelijkheid ontheven indien zij de beweerde fout hebben gemeld aan alle andere leden van het bestuursorgaan, of, in voorkomend geval, aan het collegiaal bestuursorgaan en aan de raad van toezicht. Indien zij gebeurt aan een collegiaal bestuurs- of toezichtsorgaan, wordt deze melding, evenals de bespreking waartoe zij aanleiding geeft, opgeno- men in de</w:t>
      </w:r>
      <w:r>
        <w:rPr>
          <w:color w:val="231F20"/>
          <w:spacing w:val="4"/>
        </w:rPr>
        <w:t> </w:t>
      </w:r>
      <w:r>
        <w:rPr>
          <w:color w:val="231F20"/>
        </w:rPr>
        <w:t>notulen.</w:t>
      </w:r>
    </w:p>
    <w:p>
      <w:pPr>
        <w:pStyle w:val="BodyText"/>
        <w:spacing w:line="218" w:lineRule="auto" w:before="129"/>
      </w:pPr>
      <w:r>
        <w:rPr>
          <w:color w:val="231F20"/>
        </w:rPr>
        <w:t>Art. 2:57. § 1. De aansprakelijkheid bedoeld in artikel 2:56, elke andere schadeaansprakelijkheid die voortvloeit uit dit wetboek of andere wetten of reglementen ten laste van de personen vermeld in artikel 2:51, evenals de aansprakelijkheid voor de schulden van de rechtspersoon bedoeld in de artikelen XX.225 en XX.227 van het Wetboek van economisch recht is beperkt tot de volgende bedragen:</w:t>
      </w:r>
    </w:p>
    <w:p>
      <w:pPr>
        <w:pStyle w:val="BodyText"/>
        <w:spacing w:line="218" w:lineRule="auto" w:before="129"/>
      </w:pPr>
      <w:r>
        <w:rPr>
          <w:color w:val="231F20"/>
        </w:rPr>
        <w:t>1° 125 000 euro, in rechtspersonen die in de drie boekjaren voorafgaand aan de instelling van de aansprakelijkheidsvordering of over de periode sinds de oprichting indien er sindsdien minder dan  drie boekjaren zijn verlopen, een gemiddelde omzet op jaarbasis van minder dan 350 000 EUR, exclusief de belasting over de toegevoegde waarde, hebben verwezenlijkt, en waarvan het gemiddelde balansto- taal</w:t>
      </w:r>
      <w:r>
        <w:rPr>
          <w:color w:val="231F20"/>
          <w:spacing w:val="15"/>
        </w:rPr>
        <w:t> </w:t>
      </w:r>
      <w:r>
        <w:rPr>
          <w:color w:val="231F20"/>
        </w:rPr>
        <w:t>over</w:t>
      </w:r>
      <w:r>
        <w:rPr>
          <w:color w:val="231F20"/>
          <w:spacing w:val="15"/>
        </w:rPr>
        <w:t> </w:t>
      </w:r>
      <w:r>
        <w:rPr>
          <w:color w:val="231F20"/>
        </w:rPr>
        <w:t>diezelfde</w:t>
      </w:r>
      <w:r>
        <w:rPr>
          <w:color w:val="231F20"/>
          <w:spacing w:val="15"/>
        </w:rPr>
        <w:t> </w:t>
      </w:r>
      <w:r>
        <w:rPr>
          <w:color w:val="231F20"/>
        </w:rPr>
        <w:t>periode</w:t>
      </w:r>
      <w:r>
        <w:rPr>
          <w:color w:val="231F20"/>
          <w:spacing w:val="15"/>
        </w:rPr>
        <w:t> </w:t>
      </w:r>
      <w:r>
        <w:rPr>
          <w:color w:val="231F20"/>
        </w:rPr>
        <w:t>niet</w:t>
      </w:r>
      <w:r>
        <w:rPr>
          <w:color w:val="231F20"/>
          <w:spacing w:val="15"/>
        </w:rPr>
        <w:t> </w:t>
      </w:r>
      <w:r>
        <w:rPr>
          <w:color w:val="231F20"/>
        </w:rPr>
        <w:t>hoger</w:t>
      </w:r>
      <w:r>
        <w:rPr>
          <w:color w:val="231F20"/>
          <w:spacing w:val="15"/>
        </w:rPr>
        <w:t> </w:t>
      </w:r>
      <w:r>
        <w:rPr>
          <w:color w:val="231F20"/>
        </w:rPr>
        <w:t>was</w:t>
      </w:r>
      <w:r>
        <w:rPr>
          <w:color w:val="231F20"/>
          <w:spacing w:val="16"/>
        </w:rPr>
        <w:t> </w:t>
      </w:r>
      <w:r>
        <w:rPr>
          <w:color w:val="231F20"/>
        </w:rPr>
        <w:t>dan</w:t>
      </w:r>
      <w:r>
        <w:rPr>
          <w:color w:val="231F20"/>
          <w:spacing w:val="15"/>
        </w:rPr>
        <w:t> </w:t>
      </w:r>
      <w:r>
        <w:rPr>
          <w:color w:val="231F20"/>
        </w:rPr>
        <w:t>175</w:t>
      </w:r>
      <w:r>
        <w:rPr>
          <w:color w:val="231F20"/>
          <w:spacing w:val="15"/>
        </w:rPr>
        <w:t> </w:t>
      </w:r>
      <w:r>
        <w:rPr>
          <w:color w:val="231F20"/>
        </w:rPr>
        <w:t>000</w:t>
      </w:r>
      <w:r>
        <w:rPr>
          <w:color w:val="231F20"/>
          <w:spacing w:val="15"/>
        </w:rPr>
        <w:t> </w:t>
      </w:r>
      <w:r>
        <w:rPr>
          <w:color w:val="231F20"/>
        </w:rPr>
        <w:t>euro;</w:t>
      </w:r>
    </w:p>
    <w:p>
      <w:pPr>
        <w:pStyle w:val="BodyText"/>
        <w:spacing w:line="218" w:lineRule="auto" w:before="128"/>
      </w:pPr>
      <w:r>
        <w:rPr>
          <w:color w:val="231F20"/>
        </w:rPr>
        <w:t>2° 250 000 euro, in rechtspersonen die niet onder het 1° vallen en</w:t>
      </w:r>
      <w:r>
        <w:rPr>
          <w:color w:val="231F20"/>
          <w:spacing w:val="-14"/>
        </w:rPr>
        <w:t> </w:t>
      </w:r>
      <w:r>
        <w:rPr>
          <w:color w:val="231F20"/>
        </w:rPr>
        <w:t>die in de drie boekjaren voorafgaand aan de instelling van de aansprake- lijkheidsvordering of over de periode sinds de oprichting indien er sindsdien minder dan drie boekjaren zijn verlopen een gemiddelde omzet op jaarbasis van minder dan 700 000 euro, exclusief de</w:t>
      </w:r>
      <w:r>
        <w:rPr>
          <w:color w:val="231F20"/>
          <w:spacing w:val="-12"/>
        </w:rPr>
        <w:t> </w:t>
      </w:r>
      <w:r>
        <w:rPr>
          <w:color w:val="231F20"/>
        </w:rPr>
        <w:t>belasting over de toegevoegde waarde, hebben verwezenlijkt, en waarvan het gemiddelde balanstotaal over dezelfde periode niet  hoger  was  dan  350 000</w:t>
      </w:r>
      <w:r>
        <w:rPr>
          <w:color w:val="231F20"/>
          <w:spacing w:val="-14"/>
        </w:rPr>
        <w:t> </w:t>
      </w:r>
      <w:r>
        <w:rPr>
          <w:color w:val="231F20"/>
        </w:rPr>
        <w:t>euro;</w:t>
      </w:r>
    </w:p>
    <w:p>
      <w:pPr>
        <w:pStyle w:val="BodyText"/>
        <w:spacing w:line="218" w:lineRule="auto" w:before="129"/>
      </w:pPr>
      <w:r>
        <w:rPr>
          <w:color w:val="231F20"/>
        </w:rPr>
        <w:t>3°</w:t>
      </w:r>
      <w:r>
        <w:rPr>
          <w:color w:val="231F20"/>
          <w:spacing w:val="-3"/>
        </w:rPr>
        <w:t> </w:t>
      </w:r>
      <w:r>
        <w:rPr>
          <w:color w:val="231F20"/>
        </w:rPr>
        <w:t>1</w:t>
      </w:r>
      <w:r>
        <w:rPr>
          <w:color w:val="231F20"/>
          <w:spacing w:val="-3"/>
        </w:rPr>
        <w:t> </w:t>
      </w:r>
      <w:r>
        <w:rPr>
          <w:color w:val="231F20"/>
        </w:rPr>
        <w:t>miljoen</w:t>
      </w:r>
      <w:r>
        <w:rPr>
          <w:color w:val="231F20"/>
          <w:spacing w:val="-2"/>
        </w:rPr>
        <w:t> </w:t>
      </w:r>
      <w:r>
        <w:rPr>
          <w:color w:val="231F20"/>
        </w:rPr>
        <w:t>euro,</w:t>
      </w:r>
      <w:r>
        <w:rPr>
          <w:color w:val="231F20"/>
          <w:spacing w:val="-3"/>
        </w:rPr>
        <w:t> </w:t>
      </w:r>
      <w:r>
        <w:rPr>
          <w:color w:val="231F20"/>
        </w:rPr>
        <w:t>in</w:t>
      </w:r>
      <w:r>
        <w:rPr>
          <w:color w:val="231F20"/>
          <w:spacing w:val="-3"/>
        </w:rPr>
        <w:t> </w:t>
      </w:r>
      <w:r>
        <w:rPr>
          <w:color w:val="231F20"/>
        </w:rPr>
        <w:t>rechtspersonen</w:t>
      </w:r>
      <w:r>
        <w:rPr>
          <w:color w:val="231F20"/>
          <w:spacing w:val="-2"/>
        </w:rPr>
        <w:t> </w:t>
      </w:r>
      <w:r>
        <w:rPr>
          <w:color w:val="231F20"/>
        </w:rPr>
        <w:t>die</w:t>
      </w:r>
      <w:r>
        <w:rPr>
          <w:color w:val="231F20"/>
          <w:spacing w:val="-3"/>
        </w:rPr>
        <w:t> </w:t>
      </w:r>
      <w:r>
        <w:rPr>
          <w:color w:val="231F20"/>
        </w:rPr>
        <w:t>niet</w:t>
      </w:r>
      <w:r>
        <w:rPr>
          <w:color w:val="231F20"/>
          <w:spacing w:val="-3"/>
        </w:rPr>
        <w:t> </w:t>
      </w:r>
      <w:r>
        <w:rPr>
          <w:color w:val="231F20"/>
        </w:rPr>
        <w:t>onder</w:t>
      </w:r>
      <w:r>
        <w:rPr>
          <w:color w:val="231F20"/>
          <w:spacing w:val="-2"/>
        </w:rPr>
        <w:t> </w:t>
      </w:r>
      <w:r>
        <w:rPr>
          <w:color w:val="231F20"/>
        </w:rPr>
        <w:t>het</w:t>
      </w:r>
      <w:r>
        <w:rPr>
          <w:color w:val="231F20"/>
          <w:spacing w:val="-3"/>
        </w:rPr>
        <w:t> </w:t>
      </w:r>
      <w:r>
        <w:rPr>
          <w:color w:val="231F20"/>
        </w:rPr>
        <w:t>1°</w:t>
      </w:r>
      <w:r>
        <w:rPr>
          <w:color w:val="231F20"/>
          <w:spacing w:val="-2"/>
        </w:rPr>
        <w:t> </w:t>
      </w:r>
      <w:r>
        <w:rPr>
          <w:color w:val="231F20"/>
        </w:rPr>
        <w:t>en</w:t>
      </w:r>
      <w:r>
        <w:rPr>
          <w:color w:val="231F20"/>
          <w:spacing w:val="-3"/>
        </w:rPr>
        <w:t> </w:t>
      </w:r>
      <w:r>
        <w:rPr>
          <w:color w:val="231F20"/>
        </w:rPr>
        <w:t>2°,</w:t>
      </w:r>
      <w:r>
        <w:rPr>
          <w:color w:val="231F20"/>
          <w:spacing w:val="-3"/>
        </w:rPr>
        <w:t> </w:t>
      </w:r>
      <w:r>
        <w:rPr>
          <w:color w:val="231F20"/>
        </w:rPr>
        <w:t>vallen en die in de drie boekjaren voorafgaand aan de instelling van de aansprakelijkheidsvordering of over de periode sinds de oprichting indien er sindsdien minder dan drie boekjaren zijn verlopen, niet meer dan</w:t>
      </w:r>
      <w:r>
        <w:rPr>
          <w:color w:val="231F20"/>
          <w:spacing w:val="16"/>
        </w:rPr>
        <w:t> </w:t>
      </w:r>
      <w:r>
        <w:rPr>
          <w:color w:val="231F20"/>
        </w:rPr>
        <w:t>één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volgende</w:t>
      </w:r>
      <w:r>
        <w:rPr>
          <w:color w:val="231F20"/>
          <w:spacing w:val="16"/>
        </w:rPr>
        <w:t> </w:t>
      </w:r>
      <w:r>
        <w:rPr>
          <w:color w:val="231F20"/>
        </w:rPr>
        <w:t>criteria</w:t>
      </w:r>
      <w:r>
        <w:rPr>
          <w:color w:val="231F20"/>
          <w:spacing w:val="16"/>
        </w:rPr>
        <w:t> </w:t>
      </w:r>
      <w:r>
        <w:rPr>
          <w:color w:val="231F20"/>
        </w:rPr>
        <w:t>hebben</w:t>
      </w:r>
      <w:r>
        <w:rPr>
          <w:color w:val="231F20"/>
          <w:spacing w:val="16"/>
        </w:rPr>
        <w:t> </w:t>
      </w:r>
      <w:r>
        <w:rPr>
          <w:color w:val="231F20"/>
        </w:rPr>
        <w:t>overschreden:</w:t>
      </w:r>
    </w:p>
    <w:p>
      <w:pPr>
        <w:pStyle w:val="ListParagraph"/>
        <w:numPr>
          <w:ilvl w:val="0"/>
          <w:numId w:val="48"/>
        </w:numPr>
        <w:tabs>
          <w:tab w:pos="536" w:val="left" w:leader="none"/>
        </w:tabs>
        <w:spacing w:line="218" w:lineRule="auto" w:before="128" w:after="0"/>
        <w:ind w:left="113" w:right="124" w:firstLine="170"/>
        <w:jc w:val="both"/>
        <w:rPr>
          <w:sz w:val="17"/>
        </w:rPr>
      </w:pPr>
      <w:r>
        <w:rPr>
          <w:color w:val="231F20"/>
          <w:sz w:val="17"/>
        </w:rPr>
        <w:t>gemiddelde omzet exclusief de belasting over de toegevoegde waarde</w:t>
      </w:r>
      <w:r>
        <w:rPr>
          <w:color w:val="231F20"/>
          <w:spacing w:val="12"/>
          <w:sz w:val="17"/>
        </w:rPr>
        <w:t> </w:t>
      </w:r>
      <w:r>
        <w:rPr>
          <w:color w:val="231F20"/>
          <w:sz w:val="17"/>
        </w:rPr>
        <w:t>op</w:t>
      </w:r>
      <w:r>
        <w:rPr>
          <w:color w:val="231F20"/>
          <w:spacing w:val="12"/>
          <w:sz w:val="17"/>
        </w:rPr>
        <w:t> </w:t>
      </w:r>
      <w:r>
        <w:rPr>
          <w:color w:val="231F20"/>
          <w:sz w:val="17"/>
        </w:rPr>
        <w:t>jaarbasis:</w:t>
      </w:r>
      <w:r>
        <w:rPr>
          <w:color w:val="231F20"/>
          <w:spacing w:val="12"/>
          <w:sz w:val="17"/>
        </w:rPr>
        <w:t> </w:t>
      </w:r>
      <w:r>
        <w:rPr>
          <w:color w:val="231F20"/>
          <w:sz w:val="17"/>
        </w:rPr>
        <w:t>9</w:t>
      </w:r>
      <w:r>
        <w:rPr>
          <w:color w:val="231F20"/>
          <w:spacing w:val="13"/>
          <w:sz w:val="17"/>
        </w:rPr>
        <w:t> </w:t>
      </w:r>
      <w:r>
        <w:rPr>
          <w:color w:val="231F20"/>
          <w:sz w:val="17"/>
        </w:rPr>
        <w:t>000</w:t>
      </w:r>
      <w:r>
        <w:rPr>
          <w:color w:val="231F20"/>
          <w:spacing w:val="12"/>
          <w:sz w:val="17"/>
        </w:rPr>
        <w:t> </w:t>
      </w:r>
      <w:r>
        <w:rPr>
          <w:color w:val="231F20"/>
          <w:sz w:val="17"/>
        </w:rPr>
        <w:t>000</w:t>
      </w:r>
      <w:r>
        <w:rPr>
          <w:color w:val="231F20"/>
          <w:spacing w:val="12"/>
          <w:sz w:val="17"/>
        </w:rPr>
        <w:t> </w:t>
      </w:r>
      <w:r>
        <w:rPr>
          <w:color w:val="231F20"/>
          <w:sz w:val="17"/>
        </w:rPr>
        <w:t>euro;</w:t>
      </w:r>
    </w:p>
    <w:p>
      <w:pPr>
        <w:pStyle w:val="ListParagraph"/>
        <w:numPr>
          <w:ilvl w:val="0"/>
          <w:numId w:val="48"/>
        </w:numPr>
        <w:tabs>
          <w:tab w:pos="511" w:val="left" w:leader="none"/>
        </w:tabs>
        <w:spacing w:line="240" w:lineRule="auto" w:before="125" w:after="0"/>
        <w:ind w:left="510" w:right="0" w:hanging="227"/>
        <w:jc w:val="left"/>
        <w:rPr>
          <w:sz w:val="17"/>
        </w:rPr>
      </w:pPr>
      <w:r>
        <w:rPr>
          <w:color w:val="231F20"/>
          <w:sz w:val="17"/>
        </w:rPr>
        <w:t>gemiddeld balanstotaal: 4 500 000</w:t>
      </w:r>
      <w:r>
        <w:rPr>
          <w:color w:val="231F20"/>
          <w:spacing w:val="20"/>
          <w:sz w:val="17"/>
        </w:rPr>
        <w:t> </w:t>
      </w:r>
      <w:r>
        <w:rPr>
          <w:color w:val="231F20"/>
          <w:sz w:val="17"/>
        </w:rPr>
        <w:t>euro;</w:t>
      </w:r>
    </w:p>
    <w:p>
      <w:pPr>
        <w:pStyle w:val="BodyText"/>
        <w:spacing w:line="218" w:lineRule="auto" w:before="135"/>
      </w:pPr>
      <w:r>
        <w:rPr>
          <w:color w:val="231F20"/>
        </w:rPr>
        <w:t>4° 3 miljoen euro, in rechtspersonen die niet onder het 1°, 2° en 3°, vallen en die in de drie boekjaren voorafgaand aan de instelling van de aansprakelijkheidsvordering of over de periode sinds de oprichting indien er sindsdien minder dan drie boekjaren zijn verlopen de grenzen vermeld in het 3°, overschreden hebben, maar geen enkele van de grenzen vermeld in het 5°, hebben bereikt of overschreden;</w:t>
      </w:r>
    </w:p>
    <w:p>
      <w:pPr>
        <w:pStyle w:val="BodyText"/>
        <w:spacing w:line="218" w:lineRule="auto" w:before="139"/>
      </w:pPr>
      <w:r>
        <w:rPr>
          <w:color w:val="231F20"/>
        </w:rPr>
        <w:t>5° 12 miljoen euro, in organisaties van openbaar belang en in rechtspersonen</w:t>
      </w:r>
      <w:r>
        <w:rPr>
          <w:color w:val="231F20"/>
          <w:spacing w:val="-5"/>
        </w:rPr>
        <w:t> </w:t>
      </w:r>
      <w:r>
        <w:rPr>
          <w:color w:val="231F20"/>
        </w:rPr>
        <w:t>die</w:t>
      </w:r>
      <w:r>
        <w:rPr>
          <w:color w:val="231F20"/>
          <w:spacing w:val="-5"/>
        </w:rPr>
        <w:t> </w:t>
      </w:r>
      <w:r>
        <w:rPr>
          <w:color w:val="231F20"/>
        </w:rPr>
        <w:t>niet</w:t>
      </w:r>
      <w:r>
        <w:rPr>
          <w:color w:val="231F20"/>
          <w:spacing w:val="-5"/>
        </w:rPr>
        <w:t> </w:t>
      </w:r>
      <w:r>
        <w:rPr>
          <w:color w:val="231F20"/>
        </w:rPr>
        <w:t>onder</w:t>
      </w:r>
      <w:r>
        <w:rPr>
          <w:color w:val="231F20"/>
          <w:spacing w:val="-5"/>
        </w:rPr>
        <w:t> </w:t>
      </w:r>
      <w:r>
        <w:rPr>
          <w:color w:val="231F20"/>
        </w:rPr>
        <w:t>het</w:t>
      </w:r>
      <w:r>
        <w:rPr>
          <w:color w:val="231F20"/>
          <w:spacing w:val="-5"/>
        </w:rPr>
        <w:t> </w:t>
      </w:r>
      <w:r>
        <w:rPr>
          <w:color w:val="231F20"/>
        </w:rPr>
        <w:t>1°,</w:t>
      </w:r>
      <w:r>
        <w:rPr>
          <w:color w:val="231F20"/>
          <w:spacing w:val="-4"/>
        </w:rPr>
        <w:t> </w:t>
      </w:r>
      <w:r>
        <w:rPr>
          <w:color w:val="231F20"/>
        </w:rPr>
        <w:t>2°,</w:t>
      </w:r>
      <w:r>
        <w:rPr>
          <w:color w:val="231F20"/>
          <w:spacing w:val="-5"/>
        </w:rPr>
        <w:t> </w:t>
      </w:r>
      <w:r>
        <w:rPr>
          <w:color w:val="231F20"/>
        </w:rPr>
        <w:t>3°</w:t>
      </w:r>
      <w:r>
        <w:rPr>
          <w:color w:val="231F20"/>
          <w:spacing w:val="-5"/>
        </w:rPr>
        <w:t> </w:t>
      </w:r>
      <w:r>
        <w:rPr>
          <w:color w:val="231F20"/>
        </w:rPr>
        <w:t>en</w:t>
      </w:r>
      <w:r>
        <w:rPr>
          <w:color w:val="231F20"/>
          <w:spacing w:val="-5"/>
        </w:rPr>
        <w:t> </w:t>
      </w:r>
      <w:r>
        <w:rPr>
          <w:color w:val="231F20"/>
        </w:rPr>
        <w:t>4°,</w:t>
      </w:r>
      <w:r>
        <w:rPr>
          <w:color w:val="231F20"/>
          <w:spacing w:val="-5"/>
        </w:rPr>
        <w:t> </w:t>
      </w:r>
      <w:r>
        <w:rPr>
          <w:color w:val="231F20"/>
        </w:rPr>
        <w:t>vallen</w:t>
      </w:r>
      <w:r>
        <w:rPr>
          <w:color w:val="231F20"/>
          <w:spacing w:val="-5"/>
        </w:rPr>
        <w:t> </w:t>
      </w:r>
      <w:r>
        <w:rPr>
          <w:color w:val="231F20"/>
        </w:rPr>
        <w:t>en</w:t>
      </w:r>
      <w:r>
        <w:rPr>
          <w:color w:val="231F20"/>
          <w:spacing w:val="-4"/>
        </w:rPr>
        <w:t> </w:t>
      </w:r>
      <w:r>
        <w:rPr>
          <w:color w:val="231F20"/>
        </w:rPr>
        <w:t>die</w:t>
      </w:r>
      <w:r>
        <w:rPr>
          <w:color w:val="231F20"/>
          <w:spacing w:val="-5"/>
        </w:rPr>
        <w:t> </w:t>
      </w:r>
      <w:r>
        <w:rPr>
          <w:color w:val="231F20"/>
        </w:rPr>
        <w:t>in</w:t>
      </w:r>
      <w:r>
        <w:rPr>
          <w:color w:val="231F20"/>
          <w:spacing w:val="-5"/>
        </w:rPr>
        <w:t> </w:t>
      </w:r>
      <w:r>
        <w:rPr>
          <w:color w:val="231F20"/>
        </w:rPr>
        <w:t>de</w:t>
      </w:r>
      <w:r>
        <w:rPr>
          <w:color w:val="231F20"/>
          <w:spacing w:val="-5"/>
        </w:rPr>
        <w:t> </w:t>
      </w:r>
      <w:r>
        <w:rPr>
          <w:color w:val="231F20"/>
        </w:rPr>
        <w:t>drie boekjaren voorafgaand aan de instelling van de aansprakelijkheidsvor- dering of over de periode sinds de oprichting indien er sindsdien minder dan drie boekjaren zijn verlopen minstens één van volgende grenzen bereikt of overschreden</w:t>
      </w:r>
      <w:r>
        <w:rPr>
          <w:color w:val="231F20"/>
          <w:spacing w:val="18"/>
        </w:rPr>
        <w:t> </w:t>
      </w:r>
      <w:r>
        <w:rPr>
          <w:color w:val="231F20"/>
        </w:rPr>
        <w:t>hebben:</w:t>
      </w:r>
    </w:p>
    <w:p>
      <w:pPr>
        <w:pStyle w:val="ListParagraph"/>
        <w:numPr>
          <w:ilvl w:val="0"/>
          <w:numId w:val="48"/>
        </w:numPr>
        <w:tabs>
          <w:tab w:pos="511" w:val="left" w:leader="none"/>
        </w:tabs>
        <w:spacing w:line="240" w:lineRule="auto" w:before="125" w:after="0"/>
        <w:ind w:left="510" w:right="0" w:hanging="227"/>
        <w:jc w:val="left"/>
        <w:rPr>
          <w:sz w:val="17"/>
        </w:rPr>
      </w:pPr>
      <w:r>
        <w:rPr>
          <w:color w:val="231F20"/>
          <w:sz w:val="17"/>
        </w:rPr>
        <w:t>gemiddeld</w:t>
      </w:r>
      <w:r>
        <w:rPr>
          <w:color w:val="231F20"/>
          <w:spacing w:val="14"/>
          <w:sz w:val="17"/>
        </w:rPr>
        <w:t> </w:t>
      </w:r>
      <w:r>
        <w:rPr>
          <w:color w:val="231F20"/>
          <w:sz w:val="17"/>
        </w:rPr>
        <w:t>balanstotaal</w:t>
      </w:r>
      <w:r>
        <w:rPr>
          <w:color w:val="231F20"/>
          <w:spacing w:val="15"/>
          <w:sz w:val="17"/>
        </w:rPr>
        <w:t> </w:t>
      </w:r>
      <w:r>
        <w:rPr>
          <w:color w:val="231F20"/>
          <w:sz w:val="17"/>
        </w:rPr>
        <w:t>van</w:t>
      </w:r>
      <w:r>
        <w:rPr>
          <w:color w:val="231F20"/>
          <w:spacing w:val="15"/>
          <w:sz w:val="17"/>
        </w:rPr>
        <w:t> </w:t>
      </w:r>
      <w:r>
        <w:rPr>
          <w:color w:val="231F20"/>
          <w:sz w:val="17"/>
        </w:rPr>
        <w:t>43</w:t>
      </w:r>
      <w:r>
        <w:rPr>
          <w:color w:val="231F20"/>
          <w:spacing w:val="15"/>
          <w:sz w:val="17"/>
        </w:rPr>
        <w:t> </w:t>
      </w:r>
      <w:r>
        <w:rPr>
          <w:color w:val="231F20"/>
          <w:sz w:val="17"/>
        </w:rPr>
        <w:t>miljoen</w:t>
      </w:r>
      <w:r>
        <w:rPr>
          <w:color w:val="231F20"/>
          <w:spacing w:val="15"/>
          <w:sz w:val="17"/>
        </w:rPr>
        <w:t> </w:t>
      </w:r>
      <w:r>
        <w:rPr>
          <w:color w:val="231F20"/>
          <w:sz w:val="17"/>
        </w:rPr>
        <w:t>euro;</w:t>
      </w:r>
    </w:p>
    <w:p>
      <w:pPr>
        <w:pStyle w:val="ListParagraph"/>
        <w:numPr>
          <w:ilvl w:val="0"/>
          <w:numId w:val="48"/>
        </w:numPr>
        <w:tabs>
          <w:tab w:pos="536" w:val="left" w:leader="none"/>
        </w:tabs>
        <w:spacing w:line="218" w:lineRule="auto" w:before="135" w:after="0"/>
        <w:ind w:left="113" w:right="124" w:firstLine="170"/>
        <w:jc w:val="both"/>
        <w:rPr>
          <w:sz w:val="17"/>
        </w:rPr>
      </w:pPr>
      <w:r>
        <w:rPr>
          <w:color w:val="231F20"/>
          <w:w w:val="105"/>
          <w:sz w:val="17"/>
        </w:rPr>
        <w:t>gemiddelde omzet exclusief de belasting over de toegevoegde waarde op jaarbasis van 50 miljoen</w:t>
      </w:r>
      <w:r>
        <w:rPr>
          <w:color w:val="231F20"/>
          <w:spacing w:val="13"/>
          <w:w w:val="105"/>
          <w:sz w:val="17"/>
        </w:rPr>
        <w:t> </w:t>
      </w:r>
      <w:r>
        <w:rPr>
          <w:color w:val="231F20"/>
          <w:w w:val="105"/>
          <w:sz w:val="17"/>
        </w:rPr>
        <w:t>euro.</w:t>
      </w:r>
    </w:p>
    <w:p>
      <w:pPr>
        <w:pStyle w:val="BodyText"/>
        <w:spacing w:line="218" w:lineRule="auto" w:before="139"/>
      </w:pPr>
      <w:r>
        <w:rPr>
          <w:color w:val="231F20"/>
        </w:rPr>
        <w:t>Voor rechtspersonen die in toepassing van artikel III.85 van het Wetboek van economisch recht een vereenvoudigde boekhouding voeren, moet onder omzet worden verstaan het bedrag van de andere dan niet-recurrente ontvangsten en onder balanstotaal het grootste van de twee bedragen vermeld onder de bezittingen en de schulden.</w:t>
      </w:r>
    </w:p>
    <w:p>
      <w:pPr>
        <w:pStyle w:val="BodyText"/>
        <w:spacing w:line="218" w:lineRule="auto" w:before="139"/>
        <w:ind w:right="125"/>
      </w:pPr>
      <w:r>
        <w:rPr>
          <w:color w:val="231F20"/>
          <w:spacing w:val="-3"/>
        </w:rPr>
        <w:t>Telkens </w:t>
      </w:r>
      <w:r>
        <w:rPr>
          <w:color w:val="231F20"/>
        </w:rPr>
        <w:t>als de stijgingen of dalingen van het indexcijfer van de consumptieprijzen op 1 januari van het volgende jaar leiden tot een stijging of daling </w:t>
      </w:r>
      <w:r>
        <w:rPr>
          <w:color w:val="231F20"/>
          <w:spacing w:val="12"/>
        </w:rPr>
        <w:t>van </w:t>
      </w:r>
      <w:r>
        <w:rPr>
          <w:color w:val="231F20"/>
          <w:spacing w:val="37"/>
        </w:rPr>
        <w:t>5 </w:t>
      </w:r>
      <w:r>
        <w:rPr>
          <w:color w:val="231F20"/>
        </w:rPr>
        <w:t>% of </w:t>
      </w:r>
      <w:r>
        <w:rPr>
          <w:color w:val="231F20"/>
          <w:spacing w:val="-3"/>
        </w:rPr>
        <w:t>meer, </w:t>
      </w:r>
      <w:r>
        <w:rPr>
          <w:color w:val="231F20"/>
        </w:rPr>
        <w:t>worden de hierboven vermelde bedragen betreffende balanstotaal en omzet vanaf dezelfde datum met hetzelfde percentage verhoogd of verlaagd. Die aanpassingen worden bij een bericht in het </w:t>
      </w:r>
      <w:r>
        <w:rPr>
          <w:rFonts w:ascii="Times New Roman"/>
          <w:i/>
          <w:color w:val="231F20"/>
        </w:rPr>
        <w:t>Belgisch Staatsblad </w:t>
      </w:r>
      <w:r>
        <w:rPr>
          <w:color w:val="231F20"/>
        </w:rPr>
        <w:t>bekendgemaakt. Het indexcijfer van</w:t>
      </w:r>
      <w:r>
        <w:rPr>
          <w:color w:val="231F20"/>
          <w:spacing w:val="15"/>
        </w:rPr>
        <w:t> </w:t>
      </w:r>
      <w:r>
        <w:rPr>
          <w:color w:val="231F20"/>
        </w:rPr>
        <w:t>december</w:t>
      </w:r>
      <w:r>
        <w:rPr>
          <w:color w:val="231F20"/>
          <w:spacing w:val="14"/>
        </w:rPr>
        <w:t> </w:t>
      </w:r>
      <w:r>
        <w:rPr>
          <w:color w:val="231F20"/>
        </w:rPr>
        <w:t>2017</w:t>
      </w:r>
      <w:r>
        <w:rPr>
          <w:color w:val="231F20"/>
          <w:spacing w:val="15"/>
        </w:rPr>
        <w:t> </w:t>
      </w:r>
      <w:r>
        <w:rPr>
          <w:color w:val="231F20"/>
        </w:rPr>
        <w:t>geldt</w:t>
      </w:r>
      <w:r>
        <w:rPr>
          <w:color w:val="231F20"/>
          <w:spacing w:val="15"/>
        </w:rPr>
        <w:t> </w:t>
      </w:r>
      <w:r>
        <w:rPr>
          <w:color w:val="231F20"/>
        </w:rPr>
        <w:t>als</w:t>
      </w:r>
      <w:r>
        <w:rPr>
          <w:color w:val="231F20"/>
          <w:spacing w:val="15"/>
        </w:rPr>
        <w:t> </w:t>
      </w:r>
      <w:r>
        <w:rPr>
          <w:color w:val="231F20"/>
        </w:rPr>
        <w:t>basis.</w:t>
      </w:r>
    </w:p>
    <w:p>
      <w:pPr>
        <w:spacing w:after="0" w:line="218" w:lineRule="auto"/>
        <w:sectPr>
          <w:pgSz w:w="11940" w:h="16880"/>
          <w:pgMar w:header="666" w:footer="0" w:top="1140" w:bottom="280" w:left="340" w:right="360"/>
          <w:cols w:num="2" w:equalWidth="0">
            <w:col w:w="5527" w:space="100"/>
            <w:col w:w="5613"/>
          </w:cols>
        </w:sectPr>
      </w:pPr>
    </w:p>
    <w:p>
      <w:pPr>
        <w:pStyle w:val="BodyText"/>
        <w:spacing w:line="216" w:lineRule="auto" w:before="106"/>
        <w:ind w:right="92"/>
      </w:pPr>
      <w:r>
        <w:rPr/>
        <w:pict>
          <v:line style="position:absolute;mso-position-horizontal-relative:page;mso-position-vertical-relative:page;z-index:1648" from="298.170502pt,64.473pt" to="298.170502pt,812.819pt" stroked="true" strokeweight=".533pt" strokecolor="#231f20">
            <v:stroke dashstyle="solid"/>
            <w10:wrap type="none"/>
          </v:line>
        </w:pict>
      </w:r>
      <w:bookmarkStart w:name="_bookmark26" w:id="29"/>
      <w:bookmarkEnd w:id="29"/>
      <w:r>
        <w:rPr/>
      </w:r>
      <w:r>
        <w:rPr>
          <w:color w:val="231F20"/>
        </w:rPr>
        <w:t>§ 2. La limitation de la responsabilité visée au paragraphe 1</w:t>
      </w:r>
      <w:r>
        <w:rPr>
          <w:color w:val="231F20"/>
          <w:position w:val="7"/>
          <w:sz w:val="11"/>
        </w:rPr>
        <w:t>er </w:t>
      </w:r>
      <w:r>
        <w:rPr>
          <w:color w:val="231F20"/>
        </w:rPr>
        <w:t>s’applique tant envers la personne morale qu’envers les tiers et ce que le fondement de l’action en responsabilité soit contractuel ou extracon- tractuel. Les montants maximaux s’appliquent à toutes les personnes visées au paragraphe 1</w:t>
      </w:r>
      <w:r>
        <w:rPr>
          <w:color w:val="231F20"/>
          <w:position w:val="7"/>
          <w:sz w:val="11"/>
        </w:rPr>
        <w:t>er </w:t>
      </w:r>
      <w:r>
        <w:rPr>
          <w:color w:val="231F20"/>
        </w:rPr>
        <w:t>prises dans leur ensemble. Ils s’appliquent par fait ou par ensemble de faits pouvant impliquer la responsabilité, quel que</w:t>
      </w:r>
      <w:r>
        <w:rPr>
          <w:color w:val="231F20"/>
          <w:spacing w:val="15"/>
        </w:rPr>
        <w:t> </w:t>
      </w:r>
      <w:r>
        <w:rPr>
          <w:color w:val="231F20"/>
        </w:rPr>
        <w:t>soit</w:t>
      </w:r>
      <w:r>
        <w:rPr>
          <w:color w:val="231F20"/>
          <w:spacing w:val="16"/>
        </w:rPr>
        <w:t> </w:t>
      </w:r>
      <w:r>
        <w:rPr>
          <w:color w:val="231F20"/>
        </w:rPr>
        <w:t>le</w:t>
      </w:r>
      <w:r>
        <w:rPr>
          <w:color w:val="231F20"/>
          <w:spacing w:val="16"/>
        </w:rPr>
        <w:t> </w:t>
      </w:r>
      <w:r>
        <w:rPr>
          <w:color w:val="231F20"/>
        </w:rPr>
        <w:t>nombre</w:t>
      </w:r>
      <w:r>
        <w:rPr>
          <w:color w:val="231F20"/>
          <w:spacing w:val="15"/>
        </w:rPr>
        <w:t> </w:t>
      </w:r>
      <w:r>
        <w:rPr>
          <w:color w:val="231F20"/>
        </w:rPr>
        <w:t>de</w:t>
      </w:r>
      <w:r>
        <w:rPr>
          <w:color w:val="231F20"/>
          <w:spacing w:val="16"/>
        </w:rPr>
        <w:t> </w:t>
      </w:r>
      <w:r>
        <w:rPr>
          <w:color w:val="231F20"/>
        </w:rPr>
        <w:t>demandeurs</w:t>
      </w:r>
      <w:r>
        <w:rPr>
          <w:color w:val="231F20"/>
          <w:spacing w:val="16"/>
        </w:rPr>
        <w:t> </w:t>
      </w:r>
      <w:r>
        <w:rPr>
          <w:color w:val="231F20"/>
        </w:rPr>
        <w:t>ou</w:t>
      </w:r>
      <w:r>
        <w:rPr>
          <w:color w:val="231F20"/>
          <w:spacing w:val="16"/>
        </w:rPr>
        <w:t> </w:t>
      </w:r>
      <w:r>
        <w:rPr>
          <w:color w:val="231F20"/>
        </w:rPr>
        <w:t>d’actions.</w:t>
      </w:r>
    </w:p>
    <w:p>
      <w:pPr>
        <w:pStyle w:val="BodyText"/>
        <w:spacing w:line="218" w:lineRule="auto" w:before="68"/>
        <w:ind w:right="93"/>
      </w:pPr>
      <w:r>
        <w:rPr>
          <w:color w:val="231F20"/>
        </w:rPr>
        <w:t>§ 3. La limitation de la responsabilité visée au paragraphe 1</w:t>
      </w:r>
      <w:r>
        <w:rPr>
          <w:color w:val="231F20"/>
          <w:position w:val="7"/>
          <w:sz w:val="11"/>
        </w:rPr>
        <w:t>er </w:t>
      </w:r>
      <w:r>
        <w:rPr>
          <w:color w:val="231F20"/>
        </w:rPr>
        <w:t>ne s’applique pas:</w:t>
      </w:r>
    </w:p>
    <w:p>
      <w:pPr>
        <w:pStyle w:val="BodyText"/>
        <w:spacing w:line="218" w:lineRule="auto" w:before="85"/>
        <w:ind w:right="92"/>
      </w:pPr>
      <w:r>
        <w:rPr>
          <w:color w:val="231F20"/>
        </w:rPr>
        <w:t>1° en cas de faute légère présentant dans leur chef un caractère habituel plutôt qu’accidentel, de faute grave, d’intention frauduleuse  ou</w:t>
      </w:r>
      <w:r>
        <w:rPr>
          <w:color w:val="231F20"/>
          <w:spacing w:val="15"/>
        </w:rPr>
        <w:t> </w:t>
      </w:r>
      <w:r>
        <w:rPr>
          <w:color w:val="231F20"/>
        </w:rPr>
        <w:t>à</w:t>
      </w:r>
      <w:r>
        <w:rPr>
          <w:color w:val="231F20"/>
          <w:spacing w:val="15"/>
        </w:rPr>
        <w:t> </w:t>
      </w:r>
      <w:r>
        <w:rPr>
          <w:color w:val="231F20"/>
        </w:rPr>
        <w:t>dessein</w:t>
      </w:r>
      <w:r>
        <w:rPr>
          <w:color w:val="231F20"/>
          <w:spacing w:val="16"/>
        </w:rPr>
        <w:t> </w:t>
      </w:r>
      <w:r>
        <w:rPr>
          <w:color w:val="231F20"/>
        </w:rPr>
        <w:t>de</w:t>
      </w:r>
      <w:r>
        <w:rPr>
          <w:color w:val="231F20"/>
          <w:spacing w:val="15"/>
        </w:rPr>
        <w:t> </w:t>
      </w:r>
      <w:r>
        <w:rPr>
          <w:color w:val="231F20"/>
        </w:rPr>
        <w:t>nuire</w:t>
      </w:r>
      <w:r>
        <w:rPr>
          <w:color w:val="231F20"/>
          <w:spacing w:val="15"/>
        </w:rPr>
        <w:t> </w:t>
      </w:r>
      <w:r>
        <w:rPr>
          <w:color w:val="231F20"/>
        </w:rPr>
        <w:t>dans</w:t>
      </w:r>
      <w:r>
        <w:rPr>
          <w:color w:val="231F20"/>
          <w:spacing w:val="16"/>
        </w:rPr>
        <w:t> </w:t>
      </w:r>
      <w:r>
        <w:rPr>
          <w:color w:val="231F20"/>
        </w:rPr>
        <w:t>le</w:t>
      </w:r>
      <w:r>
        <w:rPr>
          <w:color w:val="231F20"/>
          <w:spacing w:val="15"/>
        </w:rPr>
        <w:t> </w:t>
      </w:r>
      <w:r>
        <w:rPr>
          <w:color w:val="231F20"/>
        </w:rPr>
        <w:t>chef</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personne</w:t>
      </w:r>
      <w:r>
        <w:rPr>
          <w:color w:val="231F20"/>
          <w:spacing w:val="15"/>
        </w:rPr>
        <w:t> </w:t>
      </w:r>
      <w:r>
        <w:rPr>
          <w:color w:val="231F20"/>
        </w:rPr>
        <w:t>responsable;</w:t>
      </w:r>
    </w:p>
    <w:p>
      <w:pPr>
        <w:pStyle w:val="BodyText"/>
        <w:spacing w:line="185" w:lineRule="exact" w:before="72"/>
        <w:ind w:left="283" w:right="0" w:firstLine="0"/>
        <w:jc w:val="left"/>
      </w:pPr>
      <w:r>
        <w:rPr>
          <w:color w:val="231F20"/>
        </w:rPr>
        <w:t>2° aux obligations imposées par les articles 5:138, 1° à 3°, 6:111, 1° à </w:t>
      </w:r>
    </w:p>
    <w:p>
      <w:pPr>
        <w:pStyle w:val="BodyText"/>
        <w:spacing w:line="185" w:lineRule="exact"/>
        <w:ind w:right="0" w:firstLine="0"/>
        <w:jc w:val="left"/>
      </w:pPr>
      <w:r>
        <w:rPr>
          <w:color w:val="231F20"/>
        </w:rPr>
        <w:t>3°, et 7:205, 1° à 3°;</w:t>
      </w:r>
    </w:p>
    <w:p>
      <w:pPr>
        <w:pStyle w:val="BodyText"/>
        <w:spacing w:line="216" w:lineRule="auto" w:before="81"/>
        <w:ind w:right="93"/>
      </w:pPr>
      <w:r>
        <w:rPr>
          <w:color w:val="231F20"/>
        </w:rPr>
        <w:t>3° à la responsabilité solidaire visée aux articles 442</w:t>
      </w:r>
      <w:r>
        <w:rPr>
          <w:rFonts w:ascii="Times New Roman" w:hAnsi="Times New Roman"/>
          <w:i/>
          <w:color w:val="231F20"/>
        </w:rPr>
        <w:t>quater </w:t>
      </w:r>
      <w:r>
        <w:rPr>
          <w:color w:val="231F20"/>
        </w:rPr>
        <w:t>et 458 du Code des impôts sur les revenus 1992 et aux articles 73</w:t>
      </w:r>
      <w:r>
        <w:rPr>
          <w:rFonts w:ascii="Times New Roman" w:hAnsi="Times New Roman"/>
          <w:i/>
          <w:color w:val="231F20"/>
        </w:rPr>
        <w:t>sexies </w:t>
      </w:r>
      <w:r>
        <w:rPr>
          <w:color w:val="231F20"/>
        </w:rPr>
        <w:t>et 93</w:t>
      </w:r>
      <w:r>
        <w:rPr>
          <w:rFonts w:ascii="Times New Roman" w:hAnsi="Times New Roman"/>
          <w:i/>
          <w:color w:val="231F20"/>
        </w:rPr>
        <w:t>undeciesC </w:t>
      </w:r>
      <w:r>
        <w:rPr>
          <w:color w:val="231F20"/>
        </w:rPr>
        <w:t>du Code de la taxe sur la valeur ajoutée;</w:t>
      </w:r>
    </w:p>
    <w:p>
      <w:pPr>
        <w:pStyle w:val="BodyText"/>
        <w:spacing w:before="10"/>
        <w:ind w:left="0" w:right="0" w:firstLine="0"/>
        <w:jc w:val="left"/>
        <w:rPr>
          <w:sz w:val="22"/>
        </w:rPr>
      </w:pPr>
    </w:p>
    <w:p>
      <w:pPr>
        <w:pStyle w:val="BodyText"/>
        <w:spacing w:line="218" w:lineRule="auto"/>
        <w:ind w:right="93"/>
      </w:pPr>
      <w:r>
        <w:rPr>
          <w:color w:val="231F20"/>
        </w:rPr>
        <w:t>4° à la responsabilité solidaire visée à l’article XX.226 du Code de droit économique.</w:t>
      </w:r>
    </w:p>
    <w:p>
      <w:pPr>
        <w:pStyle w:val="BodyText"/>
        <w:spacing w:line="218" w:lineRule="auto" w:before="86"/>
        <w:ind w:right="92"/>
      </w:pPr>
      <w:r>
        <w:rPr>
          <w:color w:val="231F20"/>
        </w:rPr>
        <w:t>Art. 2:58. La responsabilité d’un membre d’un organe d’administra- tion ou délégué à la gestion journalière ne peut être limitée au-delà de ce qui est prévu à l’article 2:57.</w:t>
      </w:r>
    </w:p>
    <w:p>
      <w:pPr>
        <w:pStyle w:val="BodyText"/>
        <w:spacing w:line="211" w:lineRule="auto" w:before="90"/>
        <w:ind w:right="94"/>
      </w:pPr>
      <w:r>
        <w:rPr>
          <w:color w:val="231F20"/>
        </w:rPr>
        <w:t>La personne morale, ses filiales ou les entités qu’elle contrôle ne peuvent par avance exonérer ou garantir les personnes  visées  à  l’alinéa</w:t>
      </w:r>
      <w:r>
        <w:rPr>
          <w:color w:val="231F20"/>
          <w:spacing w:val="16"/>
        </w:rPr>
        <w:t> </w:t>
      </w:r>
      <w:r>
        <w:rPr>
          <w:color w:val="231F20"/>
        </w:rPr>
        <w:t>1</w:t>
      </w:r>
      <w:r>
        <w:rPr>
          <w:color w:val="231F20"/>
          <w:position w:val="7"/>
          <w:sz w:val="11"/>
        </w:rPr>
        <w:t>er</w:t>
      </w:r>
      <w:r>
        <w:rPr>
          <w:color w:val="231F20"/>
          <w:spacing w:val="18"/>
          <w:position w:val="7"/>
          <w:sz w:val="11"/>
        </w:rPr>
        <w:t> </w:t>
      </w:r>
      <w:r>
        <w:rPr>
          <w:color w:val="231F20"/>
        </w:rPr>
        <w:t>de</w:t>
      </w:r>
      <w:r>
        <w:rPr>
          <w:color w:val="231F20"/>
          <w:spacing w:val="16"/>
        </w:rPr>
        <w:t> </w:t>
      </w:r>
      <w:r>
        <w:rPr>
          <w:color w:val="231F20"/>
        </w:rPr>
        <w:t>leur</w:t>
      </w:r>
      <w:r>
        <w:rPr>
          <w:color w:val="231F20"/>
          <w:spacing w:val="16"/>
        </w:rPr>
        <w:t> </w:t>
      </w:r>
      <w:r>
        <w:rPr>
          <w:color w:val="231F20"/>
        </w:rPr>
        <w:t>responsabilité</w:t>
      </w:r>
      <w:r>
        <w:rPr>
          <w:color w:val="231F20"/>
          <w:spacing w:val="17"/>
        </w:rPr>
        <w:t> </w:t>
      </w:r>
      <w:r>
        <w:rPr>
          <w:color w:val="231F20"/>
        </w:rPr>
        <w:t>envers</w:t>
      </w:r>
      <w:r>
        <w:rPr>
          <w:color w:val="231F20"/>
          <w:spacing w:val="16"/>
        </w:rPr>
        <w:t> </w:t>
      </w:r>
      <w:r>
        <w:rPr>
          <w:color w:val="231F20"/>
        </w:rPr>
        <w:t>la</w:t>
      </w:r>
      <w:r>
        <w:rPr>
          <w:color w:val="231F20"/>
          <w:spacing w:val="17"/>
        </w:rPr>
        <w:t> </w:t>
      </w:r>
      <w:r>
        <w:rPr>
          <w:color w:val="231F20"/>
        </w:rPr>
        <w:t>société</w:t>
      </w:r>
      <w:r>
        <w:rPr>
          <w:color w:val="231F20"/>
          <w:spacing w:val="16"/>
        </w:rPr>
        <w:t> </w:t>
      </w:r>
      <w:r>
        <w:rPr>
          <w:color w:val="231F20"/>
        </w:rPr>
        <w:t>ou</w:t>
      </w:r>
      <w:r>
        <w:rPr>
          <w:color w:val="231F20"/>
          <w:spacing w:val="17"/>
        </w:rPr>
        <w:t> </w:t>
      </w:r>
      <w:r>
        <w:rPr>
          <w:color w:val="231F20"/>
        </w:rPr>
        <w:t>les</w:t>
      </w:r>
      <w:r>
        <w:rPr>
          <w:color w:val="231F20"/>
          <w:spacing w:val="16"/>
        </w:rPr>
        <w:t> </w:t>
      </w:r>
      <w:r>
        <w:rPr>
          <w:color w:val="231F20"/>
        </w:rPr>
        <w:t>tiers.</w:t>
      </w:r>
    </w:p>
    <w:p>
      <w:pPr>
        <w:pStyle w:val="BodyText"/>
        <w:spacing w:before="9"/>
        <w:ind w:left="0" w:right="0" w:firstLine="0"/>
        <w:jc w:val="left"/>
        <w:rPr>
          <w:sz w:val="22"/>
        </w:rPr>
      </w:pPr>
    </w:p>
    <w:p>
      <w:pPr>
        <w:pStyle w:val="BodyText"/>
        <w:spacing w:line="218" w:lineRule="auto"/>
        <w:ind w:right="93"/>
      </w:pPr>
      <w:r>
        <w:rPr>
          <w:color w:val="231F20"/>
        </w:rPr>
        <w:t>Toute disposition résultant des statuts, d’un contrat ou d’un engage- ment par déclaration unilatérale de volonté contraire aux dispositions du présent article est réputée non écrite.</w:t>
      </w:r>
    </w:p>
    <w:p>
      <w:pPr>
        <w:pStyle w:val="BodyText"/>
        <w:spacing w:before="72"/>
        <w:ind w:left="283" w:right="0" w:firstLine="0"/>
        <w:jc w:val="left"/>
      </w:pPr>
      <w:r>
        <w:rPr>
          <w:color w:val="231F20"/>
        </w:rPr>
        <w:t>CHAPITRE 3. Règlement d’ordre intérieur.</w:t>
      </w:r>
    </w:p>
    <w:p>
      <w:pPr>
        <w:pStyle w:val="BodyText"/>
        <w:spacing w:line="218" w:lineRule="auto" w:before="82"/>
        <w:ind w:right="93"/>
      </w:pPr>
      <w:r>
        <w:rPr>
          <w:color w:val="231F20"/>
        </w:rPr>
        <w:t>Art. 2:59. </w:t>
      </w:r>
      <w:r>
        <w:rPr>
          <w:color w:val="231F20"/>
          <w:spacing w:val="-3"/>
        </w:rPr>
        <w:t>L’organe </w:t>
      </w:r>
      <w:r>
        <w:rPr>
          <w:color w:val="231F20"/>
        </w:rPr>
        <w:t>d’administration peut édicter un règlement d’ordre intérieur moyennant autorisation statutaire. Pareil règlement d’ordre</w:t>
      </w:r>
      <w:r>
        <w:rPr>
          <w:color w:val="231F20"/>
          <w:spacing w:val="15"/>
        </w:rPr>
        <w:t> </w:t>
      </w:r>
      <w:r>
        <w:rPr>
          <w:color w:val="231F20"/>
        </w:rPr>
        <w:t>intérieur</w:t>
      </w:r>
      <w:r>
        <w:rPr>
          <w:color w:val="231F20"/>
          <w:spacing w:val="15"/>
        </w:rPr>
        <w:t> </w:t>
      </w:r>
      <w:r>
        <w:rPr>
          <w:color w:val="231F20"/>
        </w:rPr>
        <w:t>ne</w:t>
      </w:r>
      <w:r>
        <w:rPr>
          <w:color w:val="231F20"/>
          <w:spacing w:val="15"/>
        </w:rPr>
        <w:t> </w:t>
      </w:r>
      <w:r>
        <w:rPr>
          <w:color w:val="231F20"/>
        </w:rPr>
        <w:t>peut</w:t>
      </w:r>
      <w:r>
        <w:rPr>
          <w:color w:val="231F20"/>
          <w:spacing w:val="15"/>
        </w:rPr>
        <w:t> </w:t>
      </w:r>
      <w:r>
        <w:rPr>
          <w:color w:val="231F20"/>
        </w:rPr>
        <w:t>contenir</w:t>
      </w:r>
      <w:r>
        <w:rPr>
          <w:color w:val="231F20"/>
          <w:spacing w:val="15"/>
        </w:rPr>
        <w:t> </w:t>
      </w:r>
      <w:r>
        <w:rPr>
          <w:color w:val="231F20"/>
        </w:rPr>
        <w:t>de</w:t>
      </w:r>
      <w:r>
        <w:rPr>
          <w:color w:val="231F20"/>
          <w:spacing w:val="15"/>
        </w:rPr>
        <w:t> </w:t>
      </w:r>
      <w:r>
        <w:rPr>
          <w:color w:val="231F20"/>
        </w:rPr>
        <w:t>dispositions:</w:t>
      </w:r>
    </w:p>
    <w:p>
      <w:pPr>
        <w:pStyle w:val="BodyText"/>
        <w:spacing w:line="260" w:lineRule="atLeast" w:before="4"/>
        <w:ind w:left="283" w:right="93" w:hanging="1"/>
        <w:jc w:val="left"/>
      </w:pPr>
      <w:r>
        <w:rPr>
          <w:color w:val="231F20"/>
        </w:rPr>
        <w:t>1° contraires à des dispositions légales impératives ou aux statuts;    2°</w:t>
      </w:r>
      <w:r>
        <w:rPr>
          <w:color w:val="231F20"/>
          <w:spacing w:val="26"/>
        </w:rPr>
        <w:t> </w:t>
      </w:r>
      <w:r>
        <w:rPr>
          <w:color w:val="231F20"/>
        </w:rPr>
        <w:t>relatives</w:t>
      </w:r>
      <w:r>
        <w:rPr>
          <w:color w:val="231F20"/>
          <w:spacing w:val="26"/>
        </w:rPr>
        <w:t> </w:t>
      </w:r>
      <w:r>
        <w:rPr>
          <w:color w:val="231F20"/>
        </w:rPr>
        <w:t>aux</w:t>
      </w:r>
      <w:r>
        <w:rPr>
          <w:color w:val="231F20"/>
          <w:spacing w:val="26"/>
        </w:rPr>
        <w:t> </w:t>
      </w:r>
      <w:r>
        <w:rPr>
          <w:color w:val="231F20"/>
        </w:rPr>
        <w:t>matières</w:t>
      </w:r>
      <w:r>
        <w:rPr>
          <w:color w:val="231F20"/>
          <w:spacing w:val="26"/>
        </w:rPr>
        <w:t> </w:t>
      </w:r>
      <w:r>
        <w:rPr>
          <w:color w:val="231F20"/>
        </w:rPr>
        <w:t>pour</w:t>
      </w:r>
      <w:r>
        <w:rPr>
          <w:color w:val="231F20"/>
          <w:spacing w:val="26"/>
        </w:rPr>
        <w:t> </w:t>
      </w:r>
      <w:r>
        <w:rPr>
          <w:color w:val="231F20"/>
        </w:rPr>
        <w:t>lesquelles</w:t>
      </w:r>
      <w:r>
        <w:rPr>
          <w:color w:val="231F20"/>
          <w:spacing w:val="26"/>
        </w:rPr>
        <w:t> </w:t>
      </w:r>
      <w:r>
        <w:rPr>
          <w:color w:val="231F20"/>
        </w:rPr>
        <w:t>le</w:t>
      </w:r>
      <w:r>
        <w:rPr>
          <w:color w:val="231F20"/>
          <w:spacing w:val="26"/>
        </w:rPr>
        <w:t> </w:t>
      </w:r>
      <w:r>
        <w:rPr>
          <w:color w:val="231F20"/>
        </w:rPr>
        <w:t>présent</w:t>
      </w:r>
      <w:r>
        <w:rPr>
          <w:color w:val="231F20"/>
          <w:spacing w:val="27"/>
        </w:rPr>
        <w:t> </w:t>
      </w:r>
      <w:r>
        <w:rPr>
          <w:color w:val="231F20"/>
        </w:rPr>
        <w:t>code</w:t>
      </w:r>
      <w:r>
        <w:rPr>
          <w:color w:val="231F20"/>
          <w:spacing w:val="26"/>
        </w:rPr>
        <w:t> </w:t>
      </w:r>
      <w:r>
        <w:rPr>
          <w:color w:val="231F20"/>
        </w:rPr>
        <w:t>exige</w:t>
      </w:r>
      <w:r>
        <w:rPr>
          <w:color w:val="231F20"/>
          <w:spacing w:val="26"/>
        </w:rPr>
        <w:t> </w:t>
      </w:r>
      <w:r>
        <w:rPr>
          <w:color w:val="231F20"/>
        </w:rPr>
        <w:t>une</w:t>
      </w:r>
    </w:p>
    <w:p>
      <w:pPr>
        <w:pStyle w:val="BodyText"/>
        <w:spacing w:line="177" w:lineRule="exact"/>
        <w:ind w:right="0" w:firstLine="0"/>
        <w:jc w:val="left"/>
      </w:pPr>
      <w:r>
        <w:rPr>
          <w:color w:val="231F20"/>
        </w:rPr>
        <w:t>disposition statutaire;</w:t>
      </w:r>
    </w:p>
    <w:p>
      <w:pPr>
        <w:pStyle w:val="BodyText"/>
        <w:spacing w:line="218" w:lineRule="auto" w:before="93"/>
        <w:ind w:right="93"/>
      </w:pPr>
      <w:r>
        <w:rPr>
          <w:color w:val="231F20"/>
        </w:rPr>
        <w:t>3° touchant aux droits des associés, actionnaires ou membres, aux pouvoirs des organes ou à l’organisation et au mode de fonctionnement de l’assemblée générale.</w:t>
      </w:r>
    </w:p>
    <w:p>
      <w:pPr>
        <w:pStyle w:val="BodyText"/>
        <w:spacing w:line="218" w:lineRule="auto" w:before="96"/>
        <w:ind w:right="92"/>
      </w:pPr>
      <w:r>
        <w:rPr>
          <w:color w:val="231F20"/>
        </w:rPr>
        <w:t>Le règlement d’ordre intérieur et toute modification de celui-ci sont communiqués aux associés, actionnaires ou membres conformément à l’article 2:32. Les statuts font référence à la dernière version approuvée du règlement interne. L’organe d’administration peut adapter cette référénce dans les statuts et la publier.</w:t>
      </w:r>
    </w:p>
    <w:p>
      <w:pPr>
        <w:pStyle w:val="BodyText"/>
        <w:spacing w:before="82"/>
        <w:ind w:left="283" w:right="0" w:firstLine="0"/>
        <w:jc w:val="left"/>
      </w:pPr>
      <w:r>
        <w:rPr>
          <w:color w:val="231F20"/>
        </w:rPr>
        <w:t>TITRE 7. Résolution des conflits internes.</w:t>
      </w:r>
    </w:p>
    <w:p>
      <w:pPr>
        <w:pStyle w:val="BodyText"/>
        <w:spacing w:before="64"/>
        <w:ind w:left="283" w:right="0" w:firstLine="0"/>
        <w:jc w:val="left"/>
      </w:pPr>
      <w:r>
        <w:rPr>
          <w:color w:val="231F20"/>
          <w:w w:val="105"/>
        </w:rPr>
        <w:t>CHAPITRE 1</w:t>
      </w:r>
      <w:r>
        <w:rPr>
          <w:color w:val="231F20"/>
          <w:w w:val="105"/>
          <w:position w:val="7"/>
          <w:sz w:val="11"/>
        </w:rPr>
        <w:t>er</w:t>
      </w:r>
      <w:r>
        <w:rPr>
          <w:color w:val="231F20"/>
          <w:w w:val="105"/>
        </w:rPr>
        <w:t>. Champ d’application et dispositions générales.</w:t>
      </w:r>
    </w:p>
    <w:p>
      <w:pPr>
        <w:pStyle w:val="BodyText"/>
        <w:spacing w:line="218" w:lineRule="auto" w:before="93"/>
        <w:ind w:right="92"/>
      </w:pPr>
      <w:r>
        <w:rPr>
          <w:color w:val="231F20"/>
        </w:rPr>
        <w:t>Art. 2:60. Le titre 7 s’applique uniquement aux sociétés à responsa- bilité limitée et aux sociétés anonymes, à l’exception des sociétés</w:t>
      </w:r>
      <w:r>
        <w:rPr>
          <w:color w:val="231F20"/>
          <w:spacing w:val="-17"/>
        </w:rPr>
        <w:t> </w:t>
      </w:r>
      <w:r>
        <w:rPr>
          <w:color w:val="231F20"/>
        </w:rPr>
        <w:t>cotées.</w:t>
      </w:r>
    </w:p>
    <w:p>
      <w:pPr>
        <w:pStyle w:val="BodyText"/>
        <w:spacing w:before="7"/>
        <w:ind w:left="0" w:right="0" w:firstLine="0"/>
        <w:jc w:val="left"/>
        <w:rPr>
          <w:sz w:val="22"/>
        </w:rPr>
      </w:pPr>
    </w:p>
    <w:p>
      <w:pPr>
        <w:pStyle w:val="BodyText"/>
        <w:spacing w:before="1"/>
        <w:ind w:left="283" w:right="0" w:firstLine="0"/>
        <w:jc w:val="left"/>
      </w:pPr>
      <w:r>
        <w:rPr>
          <w:color w:val="231F20"/>
        </w:rPr>
        <w:t>Art. 2:61. Pour l’application du présent titre, on entend par:</w:t>
      </w:r>
    </w:p>
    <w:p>
      <w:pPr>
        <w:pStyle w:val="BodyText"/>
        <w:spacing w:line="218" w:lineRule="auto" w:before="92"/>
        <w:ind w:right="93"/>
      </w:pPr>
      <w:r>
        <w:rPr>
          <w:color w:val="231F20"/>
        </w:rPr>
        <w:t>1° actionnaire: tout titulaire d’une partie ou de l’ensemble du droit de propriété sur des titres à l’exception du droit de propriété à titre de sûreté;</w:t>
      </w:r>
    </w:p>
    <w:p>
      <w:pPr>
        <w:pStyle w:val="BodyText"/>
        <w:spacing w:line="218" w:lineRule="auto" w:before="96"/>
        <w:ind w:right="92"/>
      </w:pPr>
      <w:r>
        <w:rPr>
          <w:color w:val="231F20"/>
        </w:rPr>
        <w:t>2° titres: actions, parts bénéficiaires, et titres et droits contractuels donnant droit à l’acquisition de pareils titres.</w:t>
      </w:r>
    </w:p>
    <w:p>
      <w:pPr>
        <w:pStyle w:val="BodyText"/>
        <w:spacing w:line="218" w:lineRule="auto" w:before="82"/>
        <w:ind w:right="93"/>
      </w:pPr>
      <w:r>
        <w:rPr>
          <w:color w:val="231F20"/>
        </w:rPr>
        <w:t>Art. 2:62. § 1</w:t>
      </w:r>
      <w:r>
        <w:rPr>
          <w:color w:val="231F20"/>
          <w:position w:val="7"/>
          <w:sz w:val="11"/>
        </w:rPr>
        <w:t>er</w:t>
      </w:r>
      <w:r>
        <w:rPr>
          <w:color w:val="231F20"/>
        </w:rPr>
        <w:t>. Les actions en exclusion ou en retrait visées dans le présent titre sont portées devant le président du tribunal de l’entreprise du siège de la société, siégeant comme en référé.</w:t>
      </w:r>
    </w:p>
    <w:p>
      <w:pPr>
        <w:pStyle w:val="BodyText"/>
        <w:spacing w:before="10"/>
        <w:ind w:left="0" w:right="0" w:firstLine="0"/>
        <w:jc w:val="left"/>
        <w:rPr>
          <w:sz w:val="23"/>
        </w:rPr>
      </w:pPr>
    </w:p>
    <w:p>
      <w:pPr>
        <w:pStyle w:val="BodyText"/>
        <w:spacing w:line="218" w:lineRule="auto"/>
        <w:ind w:right="93"/>
      </w:pPr>
      <w:r>
        <w:rPr>
          <w:color w:val="231F20"/>
        </w:rPr>
        <w:t>La société doit être citée à comparaître en tant que partie. À défaut,  le juge remet l’affaire à une date rapprochée. La société avertit à son tour les autres</w:t>
      </w:r>
      <w:r>
        <w:rPr>
          <w:color w:val="231F20"/>
          <w:spacing w:val="2"/>
        </w:rPr>
        <w:t> </w:t>
      </w:r>
      <w:r>
        <w:rPr>
          <w:color w:val="231F20"/>
        </w:rPr>
        <w:t>actionnaires.</w:t>
      </w:r>
    </w:p>
    <w:p>
      <w:pPr>
        <w:pStyle w:val="BodyText"/>
        <w:spacing w:before="11"/>
        <w:ind w:left="0" w:right="0" w:firstLine="0"/>
        <w:jc w:val="left"/>
        <w:rPr>
          <w:sz w:val="23"/>
        </w:rPr>
      </w:pPr>
    </w:p>
    <w:p>
      <w:pPr>
        <w:pStyle w:val="BodyText"/>
        <w:spacing w:line="218" w:lineRule="auto"/>
        <w:ind w:right="92"/>
      </w:pPr>
      <w:r>
        <w:rPr>
          <w:color w:val="231F20"/>
        </w:rPr>
        <w:t>§ 2. Pour autant que cela soit nécessaire à l’appréciation de la recevabilité de l’action en exclusion ou en retrait, le président</w:t>
      </w:r>
      <w:r>
        <w:rPr>
          <w:color w:val="231F20"/>
          <w:spacing w:val="28"/>
        </w:rPr>
        <w:t> </w:t>
      </w:r>
      <w:r>
        <w:rPr>
          <w:color w:val="231F20"/>
        </w:rPr>
        <w:t>peut statuer sur tout litige portant sur tout ou partie du droit de propriété relatif aux titres des</w:t>
      </w:r>
      <w:r>
        <w:rPr>
          <w:color w:val="231F20"/>
          <w:spacing w:val="17"/>
        </w:rPr>
        <w:t> </w:t>
      </w:r>
      <w:r>
        <w:rPr>
          <w:color w:val="231F20"/>
        </w:rPr>
        <w:t>parties.</w:t>
      </w:r>
    </w:p>
    <w:p>
      <w:pPr>
        <w:pStyle w:val="BodyText"/>
        <w:spacing w:line="218" w:lineRule="auto" w:before="96"/>
        <w:ind w:right="92"/>
      </w:pPr>
      <w:r>
        <w:rPr>
          <w:color w:val="231F20"/>
        </w:rPr>
        <w:t>§ 3. Le président peut trancher tous les litiges connexes portant sur les</w:t>
      </w:r>
      <w:r>
        <w:rPr>
          <w:color w:val="231F20"/>
          <w:spacing w:val="-4"/>
        </w:rPr>
        <w:t> </w:t>
      </w:r>
      <w:r>
        <w:rPr>
          <w:color w:val="231F20"/>
        </w:rPr>
        <w:t>relations</w:t>
      </w:r>
      <w:r>
        <w:rPr>
          <w:color w:val="231F20"/>
          <w:spacing w:val="-3"/>
        </w:rPr>
        <w:t> </w:t>
      </w:r>
      <w:r>
        <w:rPr>
          <w:color w:val="231F20"/>
        </w:rPr>
        <w:t>financières</w:t>
      </w:r>
      <w:r>
        <w:rPr>
          <w:color w:val="231F20"/>
          <w:spacing w:val="-4"/>
        </w:rPr>
        <w:t> </w:t>
      </w:r>
      <w:r>
        <w:rPr>
          <w:color w:val="231F20"/>
        </w:rPr>
        <w:t>entre</w:t>
      </w:r>
      <w:r>
        <w:rPr>
          <w:color w:val="231F20"/>
          <w:spacing w:val="-3"/>
        </w:rPr>
        <w:t> </w:t>
      </w:r>
      <w:r>
        <w:rPr>
          <w:color w:val="231F20"/>
        </w:rPr>
        <w:t>les</w:t>
      </w:r>
      <w:r>
        <w:rPr>
          <w:color w:val="231F20"/>
          <w:spacing w:val="-4"/>
        </w:rPr>
        <w:t> </w:t>
      </w:r>
      <w:r>
        <w:rPr>
          <w:color w:val="231F20"/>
        </w:rPr>
        <w:t>parties</w:t>
      </w:r>
      <w:r>
        <w:rPr>
          <w:color w:val="231F20"/>
          <w:spacing w:val="-3"/>
        </w:rPr>
        <w:t> </w:t>
      </w:r>
      <w:r>
        <w:rPr>
          <w:color w:val="231F20"/>
        </w:rPr>
        <w:t>et</w:t>
      </w:r>
      <w:r>
        <w:rPr>
          <w:color w:val="231F20"/>
          <w:spacing w:val="-3"/>
        </w:rPr>
        <w:t> </w:t>
      </w:r>
      <w:r>
        <w:rPr>
          <w:color w:val="231F20"/>
        </w:rPr>
        <w:t>la</w:t>
      </w:r>
      <w:r>
        <w:rPr>
          <w:color w:val="231F20"/>
          <w:spacing w:val="-4"/>
        </w:rPr>
        <w:t> </w:t>
      </w:r>
      <w:r>
        <w:rPr>
          <w:color w:val="231F20"/>
        </w:rPr>
        <w:t>société</w:t>
      </w:r>
      <w:r>
        <w:rPr>
          <w:color w:val="231F20"/>
          <w:spacing w:val="-3"/>
        </w:rPr>
        <w:t> </w:t>
      </w:r>
      <w:r>
        <w:rPr>
          <w:color w:val="231F20"/>
        </w:rPr>
        <w:t>ou</w:t>
      </w:r>
      <w:r>
        <w:rPr>
          <w:color w:val="231F20"/>
          <w:spacing w:val="-4"/>
        </w:rPr>
        <w:t> </w:t>
      </w:r>
      <w:r>
        <w:rPr>
          <w:color w:val="231F20"/>
        </w:rPr>
        <w:t>avec</w:t>
      </w:r>
      <w:r>
        <w:rPr>
          <w:color w:val="231F20"/>
          <w:spacing w:val="-3"/>
        </w:rPr>
        <w:t> </w:t>
      </w:r>
      <w:r>
        <w:rPr>
          <w:color w:val="231F20"/>
        </w:rPr>
        <w:t>les</w:t>
      </w:r>
      <w:r>
        <w:rPr>
          <w:color w:val="231F20"/>
          <w:spacing w:val="-4"/>
        </w:rPr>
        <w:t> </w:t>
      </w:r>
      <w:r>
        <w:rPr>
          <w:color w:val="231F20"/>
        </w:rPr>
        <w:t>sociétés ou personnes qui y sont liées, notamment les litiges concernant</w:t>
      </w:r>
      <w:r>
        <w:rPr>
          <w:color w:val="231F20"/>
          <w:spacing w:val="18"/>
        </w:rPr>
        <w:t> </w:t>
      </w:r>
      <w:r>
        <w:rPr>
          <w:color w:val="231F20"/>
        </w:rPr>
        <w:t>les prêts, les comptes courants et les sûretés et portant sur les clauses de non-concurrence.</w:t>
      </w:r>
    </w:p>
    <w:p>
      <w:pPr>
        <w:pStyle w:val="BodyText"/>
        <w:spacing w:line="218" w:lineRule="auto" w:before="119"/>
        <w:ind w:right="121"/>
      </w:pPr>
      <w:r>
        <w:rPr/>
        <w:br w:type="column"/>
      </w:r>
      <w:r>
        <w:rPr>
          <w:color w:val="231F20"/>
        </w:rPr>
        <w:t>§ 2. De aansprakelijkheidsbeperking bedoeld in paragraaf 1 geldt zowel tegenover de rechtspersoon als tegenover derden, en ongeacht de contractuele</w:t>
      </w:r>
      <w:r>
        <w:rPr>
          <w:color w:val="231F20"/>
          <w:spacing w:val="-11"/>
        </w:rPr>
        <w:t> </w:t>
      </w:r>
      <w:r>
        <w:rPr>
          <w:color w:val="231F20"/>
        </w:rPr>
        <w:t>of</w:t>
      </w:r>
      <w:r>
        <w:rPr>
          <w:color w:val="231F20"/>
          <w:spacing w:val="-11"/>
        </w:rPr>
        <w:t> </w:t>
      </w:r>
      <w:r>
        <w:rPr>
          <w:color w:val="231F20"/>
        </w:rPr>
        <w:t>buitencontractuele</w:t>
      </w:r>
      <w:r>
        <w:rPr>
          <w:color w:val="231F20"/>
          <w:spacing w:val="-10"/>
        </w:rPr>
        <w:t> </w:t>
      </w:r>
      <w:r>
        <w:rPr>
          <w:color w:val="231F20"/>
        </w:rPr>
        <w:t>grondslag</w:t>
      </w:r>
      <w:r>
        <w:rPr>
          <w:color w:val="231F20"/>
          <w:spacing w:val="-11"/>
        </w:rPr>
        <w:t> </w:t>
      </w:r>
      <w:r>
        <w:rPr>
          <w:color w:val="231F20"/>
        </w:rPr>
        <w:t>van</w:t>
      </w:r>
      <w:r>
        <w:rPr>
          <w:color w:val="231F20"/>
          <w:spacing w:val="-10"/>
        </w:rPr>
        <w:t> </w:t>
      </w:r>
      <w:r>
        <w:rPr>
          <w:color w:val="231F20"/>
        </w:rPr>
        <w:t>de</w:t>
      </w:r>
      <w:r>
        <w:rPr>
          <w:color w:val="231F20"/>
          <w:spacing w:val="-11"/>
        </w:rPr>
        <w:t> </w:t>
      </w:r>
      <w:r>
        <w:rPr>
          <w:color w:val="231F20"/>
        </w:rPr>
        <w:t>aansprakelijkheids- </w:t>
      </w:r>
      <w:r>
        <w:rPr>
          <w:color w:val="231F20"/>
          <w:spacing w:val="2"/>
        </w:rPr>
        <w:t>vordering.  </w:t>
      </w:r>
      <w:r>
        <w:rPr>
          <w:color w:val="231F20"/>
        </w:rPr>
        <w:t>De  </w:t>
      </w:r>
      <w:r>
        <w:rPr>
          <w:color w:val="231F20"/>
          <w:spacing w:val="2"/>
        </w:rPr>
        <w:t>maximale  bedragen  gelden  voor  alle   </w:t>
      </w:r>
      <w:r>
        <w:rPr>
          <w:color w:val="231F20"/>
        </w:rPr>
        <w:t>in   </w:t>
      </w:r>
      <w:r>
        <w:rPr>
          <w:color w:val="231F20"/>
          <w:spacing w:val="3"/>
        </w:rPr>
        <w:t>para-  </w:t>
      </w:r>
      <w:r>
        <w:rPr>
          <w:color w:val="231F20"/>
        </w:rPr>
        <w:t>graaf 1 bedoelde personen samen. Zij gelden per feit of geheel  van feiten dat aanleiding kan geven tot aansprakelijkheid, ongeacht het aantal eisers of</w:t>
      </w:r>
      <w:r>
        <w:rPr>
          <w:color w:val="231F20"/>
          <w:spacing w:val="4"/>
        </w:rPr>
        <w:t> </w:t>
      </w:r>
      <w:r>
        <w:rPr>
          <w:color w:val="231F20"/>
        </w:rPr>
        <w:t>vorderingen.</w:t>
      </w:r>
    </w:p>
    <w:p>
      <w:pPr>
        <w:pStyle w:val="BodyText"/>
        <w:spacing w:line="218" w:lineRule="auto" w:before="86"/>
      </w:pPr>
      <w:r>
        <w:rPr>
          <w:color w:val="231F20"/>
        </w:rPr>
        <w:t>§ 3. De aansprakelijkheidsbeperking bedoeld in paragraaf 1 geldt niet:</w:t>
      </w:r>
    </w:p>
    <w:p>
      <w:pPr>
        <w:pStyle w:val="BodyText"/>
        <w:spacing w:line="218" w:lineRule="auto" w:before="86"/>
      </w:pPr>
      <w:r>
        <w:rPr>
          <w:color w:val="231F20"/>
        </w:rPr>
        <w:t>1° in geval van lichte fout die eerder gewoonlijk dan toevallig voorkomt, van zware fout, van bedrieglijk opzet of oogmerk om te schaden in hoofde van de persoon die aansprakelijk wordt gesteld;</w:t>
      </w:r>
    </w:p>
    <w:p>
      <w:pPr>
        <w:pStyle w:val="BodyText"/>
        <w:spacing w:line="218" w:lineRule="auto" w:before="85"/>
      </w:pPr>
      <w:r>
        <w:rPr>
          <w:color w:val="231F20"/>
        </w:rPr>
        <w:t>2° voor de in de artikelen 5:138, 1° tot 3°, 6:111, 1° tot 3°, en 7:205, 1° tot 3° bedoelde verplichtingen;</w:t>
      </w:r>
    </w:p>
    <w:p>
      <w:pPr>
        <w:pStyle w:val="BodyText"/>
        <w:spacing w:line="216" w:lineRule="auto" w:before="87"/>
      </w:pPr>
      <w:r>
        <w:rPr>
          <w:color w:val="231F20"/>
        </w:rPr>
        <w:t>3° voor de hoofdelijke aansprakelijkheid als bedoeld in de artike-   len</w:t>
      </w:r>
      <w:r>
        <w:rPr>
          <w:color w:val="231F20"/>
          <w:spacing w:val="-11"/>
        </w:rPr>
        <w:t> </w:t>
      </w:r>
      <w:r>
        <w:rPr>
          <w:color w:val="231F20"/>
        </w:rPr>
        <w:t>442</w:t>
      </w:r>
      <w:r>
        <w:rPr>
          <w:rFonts w:ascii="Times New Roman" w:hAnsi="Times New Roman"/>
          <w:i/>
          <w:color w:val="231F20"/>
        </w:rPr>
        <w:t>quater</w:t>
      </w:r>
      <w:r>
        <w:rPr>
          <w:rFonts w:ascii="Times New Roman" w:hAnsi="Times New Roman"/>
          <w:i/>
          <w:color w:val="231F20"/>
          <w:spacing w:val="-11"/>
        </w:rPr>
        <w:t> </w:t>
      </w:r>
      <w:r>
        <w:rPr>
          <w:color w:val="231F20"/>
        </w:rPr>
        <w:t>en</w:t>
      </w:r>
      <w:r>
        <w:rPr>
          <w:color w:val="231F20"/>
          <w:spacing w:val="-11"/>
        </w:rPr>
        <w:t> </w:t>
      </w:r>
      <w:r>
        <w:rPr>
          <w:color w:val="231F20"/>
        </w:rPr>
        <w:t>458</w:t>
      </w:r>
      <w:r>
        <w:rPr>
          <w:color w:val="231F20"/>
          <w:spacing w:val="-10"/>
        </w:rPr>
        <w:t> </w:t>
      </w:r>
      <w:r>
        <w:rPr>
          <w:color w:val="231F20"/>
        </w:rPr>
        <w:t>van</w:t>
      </w:r>
      <w:r>
        <w:rPr>
          <w:color w:val="231F20"/>
          <w:spacing w:val="-11"/>
        </w:rPr>
        <w:t> </w:t>
      </w:r>
      <w:r>
        <w:rPr>
          <w:color w:val="231F20"/>
        </w:rPr>
        <w:t>het</w:t>
      </w:r>
      <w:r>
        <w:rPr>
          <w:color w:val="231F20"/>
          <w:spacing w:val="-10"/>
        </w:rPr>
        <w:t> </w:t>
      </w:r>
      <w:r>
        <w:rPr>
          <w:color w:val="231F20"/>
          <w:spacing w:val="-3"/>
        </w:rPr>
        <w:t>Wetboek</w:t>
      </w:r>
      <w:r>
        <w:rPr>
          <w:color w:val="231F20"/>
          <w:spacing w:val="-11"/>
        </w:rPr>
        <w:t> </w:t>
      </w:r>
      <w:r>
        <w:rPr>
          <w:color w:val="231F20"/>
        </w:rPr>
        <w:t>van</w:t>
      </w:r>
      <w:r>
        <w:rPr>
          <w:color w:val="231F20"/>
          <w:spacing w:val="-10"/>
        </w:rPr>
        <w:t> </w:t>
      </w:r>
      <w:r>
        <w:rPr>
          <w:color w:val="231F20"/>
        </w:rPr>
        <w:t>inkomstenbelastingen</w:t>
      </w:r>
      <w:r>
        <w:rPr>
          <w:color w:val="231F20"/>
          <w:spacing w:val="-10"/>
        </w:rPr>
        <w:t> </w:t>
      </w:r>
      <w:r>
        <w:rPr>
          <w:color w:val="231F20"/>
        </w:rPr>
        <w:t>1992</w:t>
      </w:r>
      <w:r>
        <w:rPr>
          <w:color w:val="231F20"/>
          <w:spacing w:val="-11"/>
        </w:rPr>
        <w:t> </w:t>
      </w:r>
      <w:r>
        <w:rPr>
          <w:color w:val="231F20"/>
        </w:rPr>
        <w:t>en de artikelen 73</w:t>
      </w:r>
      <w:r>
        <w:rPr>
          <w:rFonts w:ascii="Times New Roman" w:hAnsi="Times New Roman"/>
          <w:i/>
          <w:color w:val="231F20"/>
        </w:rPr>
        <w:t>sexies </w:t>
      </w:r>
      <w:r>
        <w:rPr>
          <w:color w:val="231F20"/>
        </w:rPr>
        <w:t>en 93</w:t>
      </w:r>
      <w:r>
        <w:rPr>
          <w:rFonts w:ascii="Times New Roman" w:hAnsi="Times New Roman"/>
          <w:i/>
          <w:color w:val="231F20"/>
        </w:rPr>
        <w:t>undeciesC </w:t>
      </w:r>
      <w:r>
        <w:rPr>
          <w:color w:val="231F20"/>
        </w:rPr>
        <w:t>van het </w:t>
      </w:r>
      <w:r>
        <w:rPr>
          <w:color w:val="231F20"/>
          <w:spacing w:val="-3"/>
        </w:rPr>
        <w:t>Wetboek </w:t>
      </w:r>
      <w:r>
        <w:rPr>
          <w:color w:val="231F20"/>
        </w:rPr>
        <w:t>van de belasting over de toegevoegde</w:t>
      </w:r>
      <w:r>
        <w:rPr>
          <w:color w:val="231F20"/>
          <w:spacing w:val="6"/>
        </w:rPr>
        <w:t> </w:t>
      </w:r>
      <w:r>
        <w:rPr>
          <w:color w:val="231F20"/>
        </w:rPr>
        <w:t>waarde;</w:t>
      </w:r>
    </w:p>
    <w:p>
      <w:pPr>
        <w:pStyle w:val="BodyText"/>
        <w:spacing w:line="218" w:lineRule="auto" w:before="87"/>
        <w:ind w:right="126"/>
      </w:pPr>
      <w:r>
        <w:rPr>
          <w:color w:val="231F20"/>
        </w:rPr>
        <w:t>4°  voor  de  hoofdelijke  aansprakelijkheid  als   bedoeld   in   arti-  kel XX.226 van het </w:t>
      </w:r>
      <w:r>
        <w:rPr>
          <w:color w:val="231F20"/>
          <w:spacing w:val="-3"/>
        </w:rPr>
        <w:t>Wetboek </w:t>
      </w:r>
      <w:r>
        <w:rPr>
          <w:color w:val="231F20"/>
        </w:rPr>
        <w:t>van economisch</w:t>
      </w:r>
      <w:r>
        <w:rPr>
          <w:color w:val="231F20"/>
          <w:spacing w:val="22"/>
        </w:rPr>
        <w:t> </w:t>
      </w:r>
      <w:r>
        <w:rPr>
          <w:color w:val="231F20"/>
        </w:rPr>
        <w:t>recht.</w:t>
      </w:r>
    </w:p>
    <w:p>
      <w:pPr>
        <w:pStyle w:val="BodyText"/>
        <w:spacing w:line="218" w:lineRule="auto" w:before="85"/>
      </w:pPr>
      <w:r>
        <w:rPr>
          <w:color w:val="231F20"/>
        </w:rPr>
        <w:t>Art. 2:58. De aansprakelijkheid van een lid van een bestuursorgaan</w:t>
      </w:r>
      <w:r>
        <w:rPr>
          <w:color w:val="231F20"/>
          <w:spacing w:val="-17"/>
        </w:rPr>
        <w:t> </w:t>
      </w:r>
      <w:r>
        <w:rPr>
          <w:color w:val="231F20"/>
        </w:rPr>
        <w:t>of dagelijks bestuurder kan niet verder worden beperkt dan vermeld in artikel</w:t>
      </w:r>
      <w:r>
        <w:rPr>
          <w:color w:val="231F20"/>
          <w:spacing w:val="14"/>
        </w:rPr>
        <w:t> </w:t>
      </w:r>
      <w:r>
        <w:rPr>
          <w:color w:val="231F20"/>
        </w:rPr>
        <w:t>2:57.</w:t>
      </w:r>
    </w:p>
    <w:p>
      <w:pPr>
        <w:pStyle w:val="BodyText"/>
        <w:spacing w:line="218" w:lineRule="auto" w:before="86"/>
      </w:pPr>
      <w:r>
        <w:rPr>
          <w:color w:val="231F20"/>
        </w:rPr>
        <w:t>De rechtspersoon, zijn dochtervennootschappen of de door hem gecontroleerde entiteiten mogen de in het eerste lid vermelde personen niet vooraf exonereren of vrijwaren voor hun aansprakelijkheid jegens de vennootschap of jegens derden.</w:t>
      </w:r>
    </w:p>
    <w:p>
      <w:pPr>
        <w:pStyle w:val="BodyText"/>
        <w:spacing w:line="218" w:lineRule="auto" w:before="86"/>
      </w:pPr>
      <w:r>
        <w:rPr>
          <w:color w:val="231F20"/>
        </w:rPr>
        <w:t>Elke bepaling in de statuten, in een overeenkomst of een eenzijdige wilsuiting die strijdig is met de bepalingen van dit artikel wordt voor niet geschreven gehouden.</w:t>
      </w:r>
    </w:p>
    <w:p>
      <w:pPr>
        <w:pStyle w:val="BodyText"/>
        <w:spacing w:before="71"/>
        <w:ind w:left="283" w:right="0" w:firstLine="0"/>
        <w:jc w:val="left"/>
      </w:pPr>
      <w:r>
        <w:rPr>
          <w:color w:val="231F20"/>
        </w:rPr>
        <w:t>HOOFDSTUK 3. Intern reglement.</w:t>
      </w:r>
    </w:p>
    <w:p>
      <w:pPr>
        <w:pStyle w:val="BodyText"/>
        <w:spacing w:line="218" w:lineRule="auto" w:before="82"/>
      </w:pPr>
      <w:r>
        <w:rPr>
          <w:color w:val="231F20"/>
        </w:rPr>
        <w:t>Art. 2:59. Het bestuursorgaan kan een intern reglement uitvaardigen mits statutaire machtiging. Dergelijk intern reglement kan geen bepa- lingen bevatten:</w:t>
      </w:r>
    </w:p>
    <w:p>
      <w:pPr>
        <w:pStyle w:val="BodyText"/>
        <w:spacing w:line="260" w:lineRule="atLeast" w:before="5"/>
        <w:ind w:left="283" w:right="183" w:hanging="1"/>
        <w:jc w:val="left"/>
      </w:pPr>
      <w:r>
        <w:rPr>
          <w:color w:val="231F20"/>
        </w:rPr>
        <w:t>1° die strijdig zijn met  dwingende  wetsbepalingen  of  de  statuten; 2°</w:t>
      </w:r>
      <w:r>
        <w:rPr>
          <w:color w:val="231F20"/>
          <w:spacing w:val="28"/>
        </w:rPr>
        <w:t> </w:t>
      </w:r>
      <w:r>
        <w:rPr>
          <w:color w:val="231F20"/>
        </w:rPr>
        <w:t>over</w:t>
      </w:r>
      <w:r>
        <w:rPr>
          <w:color w:val="231F20"/>
          <w:spacing w:val="28"/>
        </w:rPr>
        <w:t> </w:t>
      </w:r>
      <w:r>
        <w:rPr>
          <w:color w:val="231F20"/>
        </w:rPr>
        <w:t>materies</w:t>
      </w:r>
      <w:r>
        <w:rPr>
          <w:color w:val="231F20"/>
          <w:spacing w:val="28"/>
        </w:rPr>
        <w:t> </w:t>
      </w:r>
      <w:r>
        <w:rPr>
          <w:color w:val="231F20"/>
        </w:rPr>
        <w:t>waarvoor</w:t>
      </w:r>
      <w:r>
        <w:rPr>
          <w:color w:val="231F20"/>
          <w:spacing w:val="28"/>
        </w:rPr>
        <w:t> </w:t>
      </w:r>
      <w:r>
        <w:rPr>
          <w:color w:val="231F20"/>
        </w:rPr>
        <w:t>dit</w:t>
      </w:r>
      <w:r>
        <w:rPr>
          <w:color w:val="231F20"/>
          <w:spacing w:val="28"/>
        </w:rPr>
        <w:t> </w:t>
      </w:r>
      <w:r>
        <w:rPr>
          <w:color w:val="231F20"/>
        </w:rPr>
        <w:t>wetboek</w:t>
      </w:r>
      <w:r>
        <w:rPr>
          <w:color w:val="231F20"/>
          <w:spacing w:val="28"/>
        </w:rPr>
        <w:t> </w:t>
      </w:r>
      <w:r>
        <w:rPr>
          <w:color w:val="231F20"/>
        </w:rPr>
        <w:t>een</w:t>
      </w:r>
      <w:r>
        <w:rPr>
          <w:color w:val="231F20"/>
          <w:spacing w:val="28"/>
        </w:rPr>
        <w:t> </w:t>
      </w:r>
      <w:r>
        <w:rPr>
          <w:color w:val="231F20"/>
        </w:rPr>
        <w:t>statutaire</w:t>
      </w:r>
      <w:r>
        <w:rPr>
          <w:color w:val="231F20"/>
          <w:spacing w:val="29"/>
        </w:rPr>
        <w:t> </w:t>
      </w:r>
      <w:r>
        <w:rPr>
          <w:color w:val="231F20"/>
        </w:rPr>
        <w:t>bepaling</w:t>
      </w:r>
    </w:p>
    <w:p>
      <w:pPr>
        <w:pStyle w:val="BodyText"/>
        <w:spacing w:line="177" w:lineRule="exact"/>
        <w:ind w:right="0" w:firstLine="0"/>
        <w:jc w:val="left"/>
      </w:pPr>
      <w:r>
        <w:rPr>
          <w:color w:val="231F20"/>
        </w:rPr>
        <w:t>vereist;</w:t>
      </w:r>
    </w:p>
    <w:p>
      <w:pPr>
        <w:pStyle w:val="BodyText"/>
        <w:spacing w:line="218" w:lineRule="auto" w:before="92"/>
      </w:pPr>
      <w:r>
        <w:rPr>
          <w:color w:val="231F20"/>
        </w:rPr>
        <w:t>3° die raken aan de rechten van de vennoten, aandeelhouders of leden, de bevoegdheid van de organen, of de organisatie en de werkwijze van de algemene vergadering.</w:t>
      </w:r>
    </w:p>
    <w:p>
      <w:pPr>
        <w:pStyle w:val="BodyText"/>
        <w:spacing w:line="218" w:lineRule="auto" w:before="97"/>
      </w:pPr>
      <w:r>
        <w:rPr>
          <w:color w:val="231F20"/>
        </w:rPr>
        <w:t>Het intern reglement en elke wijziging daarvan worden aan de vennoten, aandeelhouders of leden meegedeeld overeenkomstig arti- kel 2:32. De statuten bevatten een verwijzing naar de laatste goedge- keurde versie van het intern reglement. Het bestuurorgaan kan deze verwijzing in de statuten aanpassen en openbaarmaken.</w:t>
      </w:r>
    </w:p>
    <w:p>
      <w:pPr>
        <w:pStyle w:val="BodyText"/>
        <w:spacing w:before="82"/>
        <w:ind w:left="283" w:right="0" w:firstLine="0"/>
        <w:jc w:val="left"/>
      </w:pPr>
      <w:r>
        <w:rPr>
          <w:color w:val="231F20"/>
        </w:rPr>
        <w:t>TITEL 7. Geschillenregeling.</w:t>
      </w:r>
    </w:p>
    <w:p>
      <w:pPr>
        <w:pStyle w:val="BodyText"/>
        <w:spacing w:before="79"/>
        <w:ind w:left="283" w:right="0" w:firstLine="0"/>
        <w:jc w:val="left"/>
      </w:pPr>
      <w:r>
        <w:rPr>
          <w:color w:val="231F20"/>
        </w:rPr>
        <w:t>HOOFDSTUK 1. Toepassingsgebied en algemene bepalingen.</w:t>
      </w:r>
    </w:p>
    <w:p>
      <w:pPr>
        <w:pStyle w:val="BodyText"/>
        <w:spacing w:line="218" w:lineRule="auto" w:before="92"/>
      </w:pPr>
      <w:r>
        <w:rPr>
          <w:color w:val="231F20"/>
        </w:rPr>
        <w:t>Art. 2:60. Titel 7 is enkel van toepassing op besloten vennootschap- pen en naamloze vennootschappen, met uitsluiting van genoteerde vennootschappen.</w:t>
      </w:r>
    </w:p>
    <w:p>
      <w:pPr>
        <w:pStyle w:val="BodyText"/>
        <w:spacing w:line="270" w:lineRule="atLeast" w:before="6"/>
        <w:ind w:left="283" w:firstLine="0"/>
        <w:jc w:val="left"/>
      </w:pPr>
      <w:r>
        <w:rPr>
          <w:color w:val="231F20"/>
        </w:rPr>
        <w:t>Art. 2:61. </w:t>
      </w:r>
      <w:r>
        <w:rPr>
          <w:color w:val="231F20"/>
          <w:spacing w:val="-5"/>
        </w:rPr>
        <w:t>Voor  </w:t>
      </w:r>
      <w:r>
        <w:rPr>
          <w:color w:val="231F20"/>
        </w:rPr>
        <w:t>de toepassing van deze titel wordt verstaan onder:    1°</w:t>
      </w:r>
      <w:r>
        <w:rPr>
          <w:color w:val="231F20"/>
          <w:spacing w:val="13"/>
        </w:rPr>
        <w:t> </w:t>
      </w:r>
      <w:r>
        <w:rPr>
          <w:color w:val="231F20"/>
        </w:rPr>
        <w:t>aandeelhouder:</w:t>
      </w:r>
      <w:r>
        <w:rPr>
          <w:color w:val="231F20"/>
          <w:spacing w:val="13"/>
        </w:rPr>
        <w:t> </w:t>
      </w:r>
      <w:r>
        <w:rPr>
          <w:color w:val="231F20"/>
        </w:rPr>
        <w:t>iedere</w:t>
      </w:r>
      <w:r>
        <w:rPr>
          <w:color w:val="231F20"/>
          <w:spacing w:val="14"/>
        </w:rPr>
        <w:t> </w:t>
      </w:r>
      <w:r>
        <w:rPr>
          <w:color w:val="231F20"/>
        </w:rPr>
        <w:t>titularis</w:t>
      </w:r>
      <w:r>
        <w:rPr>
          <w:color w:val="231F20"/>
          <w:spacing w:val="13"/>
        </w:rPr>
        <w:t> </w:t>
      </w:r>
      <w:r>
        <w:rPr>
          <w:color w:val="231F20"/>
        </w:rPr>
        <w:t>van</w:t>
      </w:r>
      <w:r>
        <w:rPr>
          <w:color w:val="231F20"/>
          <w:spacing w:val="13"/>
        </w:rPr>
        <w:t> </w:t>
      </w:r>
      <w:r>
        <w:rPr>
          <w:color w:val="231F20"/>
        </w:rPr>
        <w:t>een</w:t>
      </w:r>
      <w:r>
        <w:rPr>
          <w:color w:val="231F20"/>
          <w:spacing w:val="14"/>
        </w:rPr>
        <w:t> </w:t>
      </w:r>
      <w:r>
        <w:rPr>
          <w:color w:val="231F20"/>
        </w:rPr>
        <w:t>deel</w:t>
      </w:r>
      <w:r>
        <w:rPr>
          <w:color w:val="231F20"/>
          <w:spacing w:val="13"/>
        </w:rPr>
        <w:t> </w:t>
      </w:r>
      <w:r>
        <w:rPr>
          <w:color w:val="231F20"/>
        </w:rPr>
        <w:t>of</w:t>
      </w:r>
      <w:r>
        <w:rPr>
          <w:color w:val="231F20"/>
          <w:spacing w:val="13"/>
        </w:rPr>
        <w:t> </w:t>
      </w:r>
      <w:r>
        <w:rPr>
          <w:color w:val="231F20"/>
        </w:rPr>
        <w:t>het</w:t>
      </w:r>
      <w:r>
        <w:rPr>
          <w:color w:val="231F20"/>
          <w:spacing w:val="14"/>
        </w:rPr>
        <w:t> </w:t>
      </w:r>
      <w:r>
        <w:rPr>
          <w:color w:val="231F20"/>
        </w:rPr>
        <w:t>geheel</w:t>
      </w:r>
      <w:r>
        <w:rPr>
          <w:color w:val="231F20"/>
          <w:spacing w:val="13"/>
        </w:rPr>
        <w:t> </w:t>
      </w:r>
      <w:r>
        <w:rPr>
          <w:color w:val="231F20"/>
        </w:rPr>
        <w:t>van</w:t>
      </w:r>
      <w:r>
        <w:rPr>
          <w:color w:val="231F20"/>
          <w:spacing w:val="14"/>
        </w:rPr>
        <w:t> </w:t>
      </w:r>
      <w:r>
        <w:rPr>
          <w:color w:val="231F20"/>
        </w:rPr>
        <w:t>het</w:t>
      </w:r>
    </w:p>
    <w:p>
      <w:pPr>
        <w:pStyle w:val="BodyText"/>
        <w:spacing w:line="218" w:lineRule="auto"/>
        <w:ind w:right="183" w:firstLine="0"/>
        <w:jc w:val="left"/>
      </w:pPr>
      <w:r>
        <w:rPr>
          <w:color w:val="231F20"/>
        </w:rPr>
        <w:t>eigendomsrecht op effecten met uitzondering van het eigendomsrecht dat tot zekerheid dient;</w:t>
      </w:r>
    </w:p>
    <w:p>
      <w:pPr>
        <w:pStyle w:val="BodyText"/>
        <w:spacing w:line="218" w:lineRule="auto" w:before="94"/>
        <w:ind w:right="123"/>
      </w:pPr>
      <w:r>
        <w:rPr>
          <w:color w:val="231F20"/>
        </w:rPr>
        <w:t>2° effecten: aandelen, winstbewijzen, en effecten en contractuele rechten die recht geven op de verwerving van dergelijke effecten.</w:t>
      </w:r>
    </w:p>
    <w:p>
      <w:pPr>
        <w:pStyle w:val="BodyText"/>
        <w:spacing w:line="218" w:lineRule="auto" w:before="96"/>
      </w:pPr>
      <w:r>
        <w:rPr>
          <w:color w:val="231F20"/>
        </w:rPr>
        <w:t>Art. 2:62. § 1. De in deze titel bedoelde rechtsvorderingen tot uitsluiting of uittreding worden gebracht voor de voorzitter van de ondernemingsrechtbank van de zetel van de vennootschap, zitting houdend zoals in kort geding.</w:t>
      </w:r>
    </w:p>
    <w:p>
      <w:pPr>
        <w:pStyle w:val="BodyText"/>
        <w:spacing w:line="218" w:lineRule="auto" w:before="97"/>
      </w:pPr>
      <w:r>
        <w:rPr>
          <w:color w:val="231F20"/>
        </w:rPr>
        <w:t>De vennootschap moet als partij worden gedagvaard om te verschij- nen. Indien dit niet gebeurt, verdaagt de rechter de zaak naar een</w:t>
      </w:r>
      <w:r>
        <w:rPr>
          <w:color w:val="231F20"/>
          <w:spacing w:val="-27"/>
        </w:rPr>
        <w:t> </w:t>
      </w:r>
      <w:r>
        <w:rPr>
          <w:color w:val="231F20"/>
        </w:rPr>
        <w:t>nabije datum. De vennootschap verwittigt op haar beurt de overige aandeel- houders.</w:t>
      </w:r>
    </w:p>
    <w:p>
      <w:pPr>
        <w:pStyle w:val="BodyText"/>
        <w:spacing w:line="218" w:lineRule="auto" w:before="96"/>
      </w:pPr>
      <w:r>
        <w:rPr>
          <w:color w:val="231F20"/>
        </w:rPr>
        <w:t>§ 2. In zoverre dit noodzakelijk is voor de beoordeling van de ontvankelijkheid van de rechtsvordering tot uitsluiting of uittreding kan de voorzitter elk geschil over een deel of het geheel van het eigendomsrecht</w:t>
      </w:r>
      <w:r>
        <w:rPr>
          <w:color w:val="231F20"/>
          <w:spacing w:val="14"/>
        </w:rPr>
        <w:t> </w:t>
      </w:r>
      <w:r>
        <w:rPr>
          <w:color w:val="231F20"/>
        </w:rPr>
        <w:t>op</w:t>
      </w:r>
      <w:r>
        <w:rPr>
          <w:color w:val="231F20"/>
          <w:spacing w:val="15"/>
        </w:rPr>
        <w:t> </w:t>
      </w:r>
      <w:r>
        <w:rPr>
          <w:color w:val="231F20"/>
        </w:rPr>
        <w:t>de</w:t>
      </w:r>
      <w:r>
        <w:rPr>
          <w:color w:val="231F20"/>
          <w:spacing w:val="15"/>
        </w:rPr>
        <w:t> </w:t>
      </w:r>
      <w:r>
        <w:rPr>
          <w:color w:val="231F20"/>
        </w:rPr>
        <w:t>effecten</w:t>
      </w:r>
      <w:r>
        <w:rPr>
          <w:color w:val="231F20"/>
          <w:spacing w:val="14"/>
        </w:rPr>
        <w:t> </w:t>
      </w:r>
      <w:r>
        <w:rPr>
          <w:color w:val="231F20"/>
        </w:rPr>
        <w:t>van</w:t>
      </w:r>
      <w:r>
        <w:rPr>
          <w:color w:val="231F20"/>
          <w:spacing w:val="15"/>
        </w:rPr>
        <w:t> </w:t>
      </w:r>
      <w:r>
        <w:rPr>
          <w:color w:val="231F20"/>
        </w:rPr>
        <w:t>de</w:t>
      </w:r>
      <w:r>
        <w:rPr>
          <w:color w:val="231F20"/>
          <w:spacing w:val="15"/>
        </w:rPr>
        <w:t> </w:t>
      </w:r>
      <w:r>
        <w:rPr>
          <w:color w:val="231F20"/>
        </w:rPr>
        <w:t>partijen</w:t>
      </w:r>
      <w:r>
        <w:rPr>
          <w:color w:val="231F20"/>
          <w:spacing w:val="14"/>
        </w:rPr>
        <w:t> </w:t>
      </w:r>
      <w:r>
        <w:rPr>
          <w:color w:val="231F20"/>
        </w:rPr>
        <w:t>beslechten.</w:t>
      </w:r>
    </w:p>
    <w:p>
      <w:pPr>
        <w:pStyle w:val="BodyText"/>
        <w:spacing w:line="218" w:lineRule="auto" w:before="96"/>
        <w:ind w:right="123"/>
      </w:pPr>
      <w:r>
        <w:rPr>
          <w:color w:val="231F20"/>
        </w:rPr>
        <w:t>§ 3. De voorzitter kan alle samenhangende geschillen beslechten over de financiële betrekkingen tussen de partijen en de vennootschap of met haar verbonden vennootschappen of personen, met name geschil- len betreffende leningen, rekeningen-courant en zekerheden en over niet-concurrentiebedingen.</w:t>
      </w:r>
    </w:p>
    <w:p>
      <w:pPr>
        <w:spacing w:after="0" w:line="218" w:lineRule="auto"/>
        <w:sectPr>
          <w:pgSz w:w="11940" w:h="16880"/>
          <w:pgMar w:header="666" w:footer="0" w:top="1140" w:bottom="280" w:left="340" w:right="360"/>
          <w:cols w:num="2" w:equalWidth="0">
            <w:col w:w="5582" w:space="46"/>
            <w:col w:w="5612"/>
          </w:cols>
        </w:sectPr>
      </w:pPr>
    </w:p>
    <w:p>
      <w:pPr>
        <w:pStyle w:val="BodyText"/>
        <w:spacing w:before="105"/>
        <w:ind w:left="283" w:right="0" w:firstLine="0"/>
        <w:jc w:val="left"/>
      </w:pPr>
      <w:r>
        <w:rPr/>
        <w:pict>
          <v:line style="position:absolute;mso-position-horizontal-relative:page;mso-position-vertical-relative:page;z-index:1672" from="298.170502pt,64.473pt" to="298.170502pt,812.819pt" stroked="true" strokeweight=".533pt" strokecolor="#231f20">
            <v:stroke dashstyle="solid"/>
            <w10:wrap type="none"/>
          </v:line>
        </w:pict>
      </w:r>
      <w:bookmarkStart w:name="_bookmark27" w:id="30"/>
      <w:bookmarkEnd w:id="30"/>
      <w:r>
        <w:rPr/>
      </w:r>
      <w:r>
        <w:rPr>
          <w:color w:val="231F20"/>
        </w:rPr>
        <w:t>CHAPITRE 2. De l’exclusion.</w:t>
      </w:r>
    </w:p>
    <w:p>
      <w:pPr>
        <w:pStyle w:val="BodyText"/>
        <w:spacing w:line="218" w:lineRule="auto" w:before="136"/>
        <w:ind w:right="38"/>
      </w:pPr>
      <w:r>
        <w:rPr>
          <w:color w:val="231F20"/>
        </w:rPr>
        <w:t>Art. 2:63. Un ou plusieurs actionnaires d’une société à responsabilité limitée détenant ensemble des titres représentant 30 % des voix attachées à l’ensemble des titres existants, ou auxquels 30 % des droits aux bénéfices sont attachés, peuvent demander en justice, pour de justes motifs, qu’un actionnaire transfère ses titres aux demandeurs.</w:t>
      </w:r>
    </w:p>
    <w:p>
      <w:pPr>
        <w:pStyle w:val="BodyText"/>
        <w:spacing w:before="8"/>
        <w:ind w:left="0" w:right="0" w:firstLine="0"/>
        <w:jc w:val="left"/>
        <w:rPr>
          <w:sz w:val="27"/>
        </w:rPr>
      </w:pPr>
    </w:p>
    <w:p>
      <w:pPr>
        <w:pStyle w:val="BodyText"/>
        <w:spacing w:line="218" w:lineRule="auto"/>
        <w:ind w:right="38"/>
      </w:pPr>
      <w:r>
        <w:rPr>
          <w:color w:val="231F20"/>
        </w:rPr>
        <w:t>Un ou plusieurs actionnaires d’une société anonyme détenant ensemble des titres représentant 30 % des voix attachées à l’ensemble des titres existants, ou des actions dont la valeur nominale ou le pair comptable représente 30 % du capital de la société, peuvent demander en justice, pour de justes motifs, qu’un actionnaire transfère ses titres aux demandeurs.</w:t>
      </w:r>
    </w:p>
    <w:p>
      <w:pPr>
        <w:pStyle w:val="BodyText"/>
        <w:spacing w:before="8"/>
        <w:ind w:left="0" w:right="0" w:firstLine="0"/>
        <w:jc w:val="left"/>
        <w:rPr>
          <w:sz w:val="27"/>
        </w:rPr>
      </w:pPr>
    </w:p>
    <w:p>
      <w:pPr>
        <w:pStyle w:val="BodyText"/>
        <w:spacing w:line="218" w:lineRule="auto"/>
        <w:ind w:right="38"/>
      </w:pPr>
      <w:r>
        <w:rPr>
          <w:color w:val="231F20"/>
        </w:rPr>
        <w:t>Art. 2:64. Si l’action est intentée par un titulaire d’une partie du droit de propriété sur des titres, les autres titulaires du droit de propriété sur ces titres doivent également être appelés à la cause. Si ces derniers introduisent une action en exclusion contre le même défendeur et que cette action est déclarée fondée, le juge peut décider que sont accordés aux demandeurs sur les titres de l’actionnaire exclu des droits de même nature que ceux qu’ils avaient sur leurs propres titres au moment de l’introduction de l’action.</w:t>
      </w:r>
    </w:p>
    <w:p>
      <w:pPr>
        <w:pStyle w:val="BodyText"/>
        <w:spacing w:before="8"/>
        <w:ind w:left="0" w:right="0" w:firstLine="0"/>
        <w:jc w:val="left"/>
        <w:rPr>
          <w:sz w:val="27"/>
        </w:rPr>
      </w:pPr>
    </w:p>
    <w:p>
      <w:pPr>
        <w:pStyle w:val="BodyText"/>
        <w:spacing w:line="218" w:lineRule="auto"/>
        <w:ind w:right="38"/>
      </w:pPr>
      <w:r>
        <w:rPr>
          <w:color w:val="231F20"/>
        </w:rPr>
        <w:t>Si l’action est intentée contre un titulaire d’une partie du droit de propriété sur des titres, les autres titulaires du droit de propriété sur</w:t>
      </w:r>
      <w:r>
        <w:rPr>
          <w:color w:val="231F20"/>
          <w:spacing w:val="-27"/>
        </w:rPr>
        <w:t> </w:t>
      </w:r>
      <w:r>
        <w:rPr>
          <w:color w:val="231F20"/>
        </w:rPr>
        <w:t>ces titres</w:t>
      </w:r>
      <w:r>
        <w:rPr>
          <w:color w:val="231F20"/>
          <w:spacing w:val="14"/>
        </w:rPr>
        <w:t> </w:t>
      </w:r>
      <w:r>
        <w:rPr>
          <w:color w:val="231F20"/>
        </w:rPr>
        <w:t>doivent</w:t>
      </w:r>
      <w:r>
        <w:rPr>
          <w:color w:val="231F20"/>
          <w:spacing w:val="15"/>
        </w:rPr>
        <w:t> </w:t>
      </w:r>
      <w:r>
        <w:rPr>
          <w:color w:val="231F20"/>
        </w:rPr>
        <w:t>être</w:t>
      </w:r>
      <w:r>
        <w:rPr>
          <w:color w:val="231F20"/>
          <w:spacing w:val="15"/>
        </w:rPr>
        <w:t> </w:t>
      </w:r>
      <w:r>
        <w:rPr>
          <w:color w:val="231F20"/>
        </w:rPr>
        <w:t>appelés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cause.</w:t>
      </w:r>
    </w:p>
    <w:p>
      <w:pPr>
        <w:pStyle w:val="BodyText"/>
        <w:spacing w:before="125"/>
        <w:ind w:left="283" w:right="0" w:firstLine="0"/>
        <w:jc w:val="left"/>
      </w:pPr>
      <w:r>
        <w:rPr>
          <w:color w:val="231F20"/>
        </w:rPr>
        <w:t>L’action ne peut être intentée par la société ou par ses filiales.</w:t>
      </w:r>
    </w:p>
    <w:p>
      <w:pPr>
        <w:pStyle w:val="BodyText"/>
        <w:spacing w:before="4"/>
        <w:ind w:left="0" w:right="0" w:firstLine="0"/>
        <w:jc w:val="left"/>
        <w:rPr>
          <w:sz w:val="27"/>
        </w:rPr>
      </w:pPr>
    </w:p>
    <w:p>
      <w:pPr>
        <w:pStyle w:val="BodyText"/>
        <w:spacing w:line="218" w:lineRule="auto"/>
        <w:ind w:right="38"/>
      </w:pPr>
      <w:r>
        <w:rPr>
          <w:color w:val="231F20"/>
        </w:rPr>
        <w:t>Art. 2:65. Le défendeur ne peut, après que la citation lui a été signifiée, aliéner ses titres ou les grever de droits réels, sauf avec l’accord du juge ou des parties à la cause. La décision du juge n’est susceptible d’aucun recours.</w:t>
      </w:r>
    </w:p>
    <w:p>
      <w:pPr>
        <w:pStyle w:val="BodyText"/>
        <w:spacing w:before="8"/>
        <w:ind w:left="0" w:right="0" w:firstLine="0"/>
        <w:jc w:val="left"/>
        <w:rPr>
          <w:sz w:val="28"/>
        </w:rPr>
      </w:pPr>
    </w:p>
    <w:p>
      <w:pPr>
        <w:pStyle w:val="BodyText"/>
        <w:spacing w:line="218" w:lineRule="auto"/>
        <w:ind w:right="38"/>
      </w:pPr>
      <w:r>
        <w:rPr>
          <w:color w:val="231F20"/>
        </w:rPr>
        <w:t>Art. 2:66. Lors du dépôt de ses premières conclusions, le défendeur joint à celles-ci une copie des statuts coordonnés et une copie ou un extrait de toutes les conventions restreignant la cessibilité de ses titres.</w:t>
      </w:r>
    </w:p>
    <w:p>
      <w:pPr>
        <w:pStyle w:val="BodyText"/>
        <w:spacing w:before="7"/>
        <w:ind w:left="0" w:right="0" w:firstLine="0"/>
        <w:jc w:val="left"/>
        <w:rPr>
          <w:sz w:val="28"/>
        </w:rPr>
      </w:pPr>
    </w:p>
    <w:p>
      <w:pPr>
        <w:pStyle w:val="BodyText"/>
        <w:spacing w:line="218" w:lineRule="auto"/>
        <w:ind w:right="38"/>
      </w:pPr>
      <w:r>
        <w:rPr>
          <w:color w:val="231F20"/>
        </w:rPr>
        <w:t>Le juge veille à respecter les restrictions qui résultent de ces dispositions statutaires et contractuelles lorsqu’il ordonne l’exclusion. Pour autant que les bénéficiaires aient été appelés à la cause, le juge peut:</w:t>
      </w:r>
    </w:p>
    <w:p>
      <w:pPr>
        <w:pStyle w:val="BodyText"/>
        <w:spacing w:line="218" w:lineRule="auto" w:before="149"/>
        <w:ind w:right="38"/>
      </w:pPr>
      <w:r>
        <w:rPr>
          <w:color w:val="231F20"/>
        </w:rPr>
        <w:t>1° se substituer à toute partie ou à tout tiers désigné par les statuts ou les conventions pour fixer le prix d’exercice d’un droit de préemption;</w:t>
      </w:r>
    </w:p>
    <w:p>
      <w:pPr>
        <w:pStyle w:val="BodyText"/>
        <w:spacing w:before="7"/>
        <w:ind w:left="0" w:right="0" w:firstLine="0"/>
        <w:jc w:val="left"/>
        <w:rPr>
          <w:sz w:val="28"/>
        </w:rPr>
      </w:pPr>
    </w:p>
    <w:p>
      <w:pPr>
        <w:pStyle w:val="BodyText"/>
        <w:spacing w:line="218" w:lineRule="auto" w:before="1"/>
        <w:ind w:right="38"/>
      </w:pPr>
      <w:r>
        <w:rPr>
          <w:color w:val="231F20"/>
        </w:rPr>
        <w:t>2° fixer le prix d’exercice du droit de préemption conformément à l’article 2:65, si les dispositions relatives au droit de préemption devaient donner lieu à un prix manifestement déraisonnable;</w:t>
      </w:r>
    </w:p>
    <w:p>
      <w:pPr>
        <w:pStyle w:val="BodyText"/>
        <w:spacing w:before="7"/>
        <w:ind w:left="0" w:right="0" w:firstLine="0"/>
        <w:jc w:val="left"/>
        <w:rPr>
          <w:sz w:val="28"/>
        </w:rPr>
      </w:pPr>
    </w:p>
    <w:p>
      <w:pPr>
        <w:pStyle w:val="BodyText"/>
        <w:spacing w:line="218" w:lineRule="auto"/>
        <w:ind w:right="38"/>
      </w:pPr>
      <w:r>
        <w:rPr>
          <w:color w:val="231F20"/>
        </w:rPr>
        <w:t>3° moyennant l’octroi d’un escompte, réduire les délais d’exercice du droit de préemption;</w:t>
      </w:r>
    </w:p>
    <w:p>
      <w:pPr>
        <w:pStyle w:val="BodyText"/>
        <w:spacing w:line="218" w:lineRule="auto" w:before="149"/>
        <w:ind w:right="38"/>
      </w:pPr>
      <w:r>
        <w:rPr>
          <w:color w:val="231F20"/>
        </w:rPr>
        <w:t>4° écarter l’application des clauses d’agrément applicables aux actionnaires.</w:t>
      </w:r>
    </w:p>
    <w:p>
      <w:pPr>
        <w:pStyle w:val="BodyText"/>
        <w:spacing w:line="218" w:lineRule="auto" w:before="150"/>
        <w:ind w:right="38"/>
      </w:pPr>
      <w:r>
        <w:rPr>
          <w:color w:val="231F20"/>
        </w:rPr>
        <w:t>Pour autant que les bénéficiaires aient été appelés à la cause, le juge peut se prononcer sur la validité de toute convention ou disposition statutaire restreignant la cessibilité des titres dans le chef du défendeur ou, le cas échéant, ordonner le transfert de ces conventions aux acquéreurs des titres.</w:t>
      </w:r>
    </w:p>
    <w:p>
      <w:pPr>
        <w:pStyle w:val="BodyText"/>
        <w:spacing w:line="218" w:lineRule="auto" w:before="149"/>
        <w:ind w:right="38"/>
      </w:pPr>
      <w:r>
        <w:rPr>
          <w:color w:val="231F20"/>
        </w:rPr>
        <w:t>Art. 2:67. Le juge condamne le défendeur à transférer, dans le délai qu’il fixe à dater de la signification du jugement, ses titres aux demandeurs, et les demandeurs à accepter les titres contre paiement du prix qu’il fixe. Le droit au paiement du prix naît au moment du</w:t>
      </w:r>
      <w:r>
        <w:rPr>
          <w:color w:val="231F20"/>
          <w:spacing w:val="-21"/>
        </w:rPr>
        <w:t> </w:t>
      </w:r>
      <w:r>
        <w:rPr>
          <w:color w:val="231F20"/>
        </w:rPr>
        <w:t>transfert de propriété. Si le juge ordonne le transfert de propriété sans imposer le paiement immédiat du prix définitif, il peut imposer au demandeur de</w:t>
      </w:r>
      <w:r>
        <w:rPr>
          <w:color w:val="231F20"/>
          <w:spacing w:val="15"/>
        </w:rPr>
        <w:t> </w:t>
      </w:r>
      <w:r>
        <w:rPr>
          <w:color w:val="231F20"/>
        </w:rPr>
        <w:t>fournir</w:t>
      </w:r>
      <w:r>
        <w:rPr>
          <w:color w:val="231F20"/>
          <w:spacing w:val="15"/>
        </w:rPr>
        <w:t> </w:t>
      </w:r>
      <w:r>
        <w:rPr>
          <w:color w:val="231F20"/>
        </w:rPr>
        <w:t>une</w:t>
      </w:r>
      <w:r>
        <w:rPr>
          <w:color w:val="231F20"/>
          <w:spacing w:val="16"/>
        </w:rPr>
        <w:t> </w:t>
      </w:r>
      <w:r>
        <w:rPr>
          <w:color w:val="231F20"/>
        </w:rPr>
        <w:t>sûreté</w:t>
      </w:r>
      <w:r>
        <w:rPr>
          <w:color w:val="231F20"/>
          <w:spacing w:val="15"/>
        </w:rPr>
        <w:t> </w:t>
      </w:r>
      <w:r>
        <w:rPr>
          <w:color w:val="231F20"/>
        </w:rPr>
        <w:t>pour</w:t>
      </w:r>
      <w:r>
        <w:rPr>
          <w:color w:val="231F20"/>
          <w:spacing w:val="15"/>
        </w:rPr>
        <w:t> </w:t>
      </w:r>
      <w:r>
        <w:rPr>
          <w:color w:val="231F20"/>
        </w:rPr>
        <w:t>le</w:t>
      </w:r>
      <w:r>
        <w:rPr>
          <w:color w:val="231F20"/>
          <w:spacing w:val="16"/>
        </w:rPr>
        <w:t> </w:t>
      </w:r>
      <w:r>
        <w:rPr>
          <w:color w:val="231F20"/>
        </w:rPr>
        <w:t>prix</w:t>
      </w:r>
      <w:r>
        <w:rPr>
          <w:color w:val="231F20"/>
          <w:spacing w:val="15"/>
        </w:rPr>
        <w:t> </w:t>
      </w:r>
      <w:r>
        <w:rPr>
          <w:color w:val="231F20"/>
        </w:rPr>
        <w:t>de</w:t>
      </w:r>
      <w:r>
        <w:rPr>
          <w:color w:val="231F20"/>
          <w:spacing w:val="16"/>
        </w:rPr>
        <w:t> </w:t>
      </w:r>
      <w:r>
        <w:rPr>
          <w:color w:val="231F20"/>
        </w:rPr>
        <w:t>reprise</w:t>
      </w:r>
      <w:r>
        <w:rPr>
          <w:color w:val="231F20"/>
          <w:spacing w:val="15"/>
        </w:rPr>
        <w:t> </w:t>
      </w:r>
      <w:r>
        <w:rPr>
          <w:color w:val="231F20"/>
        </w:rPr>
        <w:t>restant</w:t>
      </w:r>
      <w:r>
        <w:rPr>
          <w:color w:val="231F20"/>
          <w:spacing w:val="15"/>
        </w:rPr>
        <w:t> </w:t>
      </w:r>
      <w:r>
        <w:rPr>
          <w:color w:val="231F20"/>
        </w:rPr>
        <w:t>dû.</w:t>
      </w:r>
    </w:p>
    <w:p>
      <w:pPr>
        <w:pStyle w:val="BodyText"/>
        <w:spacing w:before="8"/>
        <w:ind w:left="0" w:right="0" w:firstLine="0"/>
        <w:jc w:val="left"/>
        <w:rPr>
          <w:sz w:val="28"/>
        </w:rPr>
      </w:pPr>
    </w:p>
    <w:p>
      <w:pPr>
        <w:pStyle w:val="BodyText"/>
        <w:spacing w:line="218" w:lineRule="auto"/>
        <w:ind w:right="38"/>
      </w:pPr>
      <w:r>
        <w:rPr>
          <w:color w:val="231F20"/>
        </w:rPr>
        <w:t>Lorsqu’il fixe le prix de reprise, le juge est tenu par les dispositions contractuelles ou statutaires relatives à la fixation de la valeur des</w:t>
      </w:r>
      <w:r>
        <w:rPr>
          <w:color w:val="231F20"/>
          <w:spacing w:val="-30"/>
        </w:rPr>
        <w:t> </w:t>
      </w:r>
      <w:r>
        <w:rPr>
          <w:color w:val="231F20"/>
        </w:rPr>
        <w:t>titres, pour autant que ces dispositions se rapportent spécifiquement à l’hypothèse d’une exclusion judiciaire et que ces conventions ne donnent pas lieu à un prix manifestement déraisonnable. En tous les cas, le juge peut se substituer à toute partie ou à tout tiers désigné par les</w:t>
      </w:r>
      <w:r>
        <w:rPr>
          <w:color w:val="231F20"/>
          <w:spacing w:val="15"/>
        </w:rPr>
        <w:t> </w:t>
      </w:r>
      <w:r>
        <w:rPr>
          <w:color w:val="231F20"/>
        </w:rPr>
        <w:t>statuts</w:t>
      </w:r>
      <w:r>
        <w:rPr>
          <w:color w:val="231F20"/>
          <w:spacing w:val="15"/>
        </w:rPr>
        <w:t> </w:t>
      </w:r>
      <w:r>
        <w:rPr>
          <w:color w:val="231F20"/>
        </w:rPr>
        <w:t>ou</w:t>
      </w:r>
      <w:r>
        <w:rPr>
          <w:color w:val="231F20"/>
          <w:spacing w:val="15"/>
        </w:rPr>
        <w:t> </w:t>
      </w:r>
      <w:r>
        <w:rPr>
          <w:color w:val="231F20"/>
        </w:rPr>
        <w:t>les</w:t>
      </w:r>
      <w:r>
        <w:rPr>
          <w:color w:val="231F20"/>
          <w:spacing w:val="16"/>
        </w:rPr>
        <w:t> </w:t>
      </w:r>
      <w:r>
        <w:rPr>
          <w:color w:val="231F20"/>
        </w:rPr>
        <w:t>conventions</w:t>
      </w:r>
      <w:r>
        <w:rPr>
          <w:color w:val="231F20"/>
          <w:spacing w:val="15"/>
        </w:rPr>
        <w:t> </w:t>
      </w:r>
      <w:r>
        <w:rPr>
          <w:color w:val="231F20"/>
        </w:rPr>
        <w:t>pour</w:t>
      </w:r>
      <w:r>
        <w:rPr>
          <w:color w:val="231F20"/>
          <w:spacing w:val="15"/>
        </w:rPr>
        <w:t> </w:t>
      </w:r>
      <w:r>
        <w:rPr>
          <w:color w:val="231F20"/>
        </w:rPr>
        <w:t>fixer</w:t>
      </w:r>
      <w:r>
        <w:rPr>
          <w:color w:val="231F20"/>
          <w:spacing w:val="16"/>
        </w:rPr>
        <w:t> </w:t>
      </w:r>
      <w:r>
        <w:rPr>
          <w:color w:val="231F20"/>
        </w:rPr>
        <w:t>le</w:t>
      </w:r>
      <w:r>
        <w:rPr>
          <w:color w:val="231F20"/>
          <w:spacing w:val="15"/>
        </w:rPr>
        <w:t> </w:t>
      </w:r>
      <w:r>
        <w:rPr>
          <w:color w:val="231F20"/>
        </w:rPr>
        <w:t>prix.</w:t>
      </w:r>
    </w:p>
    <w:p>
      <w:pPr>
        <w:pStyle w:val="BodyText"/>
        <w:spacing w:before="105"/>
        <w:ind w:left="283" w:right="0" w:firstLine="0"/>
        <w:jc w:val="left"/>
      </w:pPr>
      <w:r>
        <w:rPr/>
        <w:br w:type="column"/>
      </w:r>
      <w:r>
        <w:rPr>
          <w:color w:val="231F20"/>
        </w:rPr>
        <w:t>HOOFDSTUK  2.  De</w:t>
      </w:r>
      <w:r>
        <w:rPr>
          <w:color w:val="231F20"/>
          <w:spacing w:val="-20"/>
        </w:rPr>
        <w:t> </w:t>
      </w:r>
      <w:r>
        <w:rPr>
          <w:color w:val="231F20"/>
        </w:rPr>
        <w:t>uitsluiting.</w:t>
      </w:r>
    </w:p>
    <w:p>
      <w:pPr>
        <w:pStyle w:val="BodyText"/>
        <w:spacing w:line="218" w:lineRule="auto" w:before="136"/>
      </w:pPr>
      <w:r>
        <w:rPr>
          <w:color w:val="231F20"/>
        </w:rPr>
        <w:t>Art. 2:63. Eén of meer aandeelhouders van een besloten vennoot- schap die gezamenlijk effecten bezitten die 30 % vertegenwoordigen van de stemmen verbonden aan het geheel van de bestaande effecten, of waaraan 30 % van de winstrechten zijn verbonden, kunnen om gegronde redenen in rechte vorderen dat een aandeelhouder zijn effecten aan de eisers</w:t>
      </w:r>
      <w:r>
        <w:rPr>
          <w:color w:val="231F20"/>
          <w:spacing w:val="18"/>
        </w:rPr>
        <w:t> </w:t>
      </w:r>
      <w:r>
        <w:rPr>
          <w:color w:val="231F20"/>
        </w:rPr>
        <w:t>overdraagt.</w:t>
      </w:r>
    </w:p>
    <w:p>
      <w:pPr>
        <w:pStyle w:val="BodyText"/>
        <w:spacing w:line="218" w:lineRule="auto" w:before="139"/>
      </w:pPr>
      <w:r>
        <w:rPr>
          <w:color w:val="231F20"/>
        </w:rPr>
        <w:t>Eén of meer aandeelhouders van een naamloze vennootschap die gezamenlijk effecten bezitten die 30 % vertegenwoordigen van de stemmen verbonden aan het geheel van de bestaande effecten, of aandelen waarvan de nominale waarde of de fractiewaarde 30 % van het kapitaal van de vennootschap vertegenwoordigt, kunnen om gegronde redenen in rechte vorderen dat een aandeelhouder zijn effecten aan de eisers</w:t>
      </w:r>
      <w:r>
        <w:rPr>
          <w:color w:val="231F20"/>
          <w:spacing w:val="18"/>
        </w:rPr>
        <w:t> </w:t>
      </w:r>
      <w:r>
        <w:rPr>
          <w:color w:val="231F20"/>
        </w:rPr>
        <w:t>overdraagt.</w:t>
      </w:r>
    </w:p>
    <w:p>
      <w:pPr>
        <w:pStyle w:val="BodyText"/>
        <w:spacing w:line="218" w:lineRule="auto" w:before="139"/>
      </w:pPr>
      <w:r>
        <w:rPr>
          <w:color w:val="231F20"/>
        </w:rPr>
        <w:t>Art. 2:64. Indien de vordering wordt ingesteld door een titularis van een deel van het eigendomsrecht op effecten, moeten de overige titularissen van het eigendomsrecht op die effecten mee in de zaak worden betrokken. Indien deze laatsten een vordering tot uitsluiting tegen dezelfde verweerder instellen en deze vordering gegrond wordt verklaard, kan de rechter beslissen dat aan de eisers rechten van dezelfde aard worden toegekend op de effecten van de uitgesloten aandeelhouder als deze die zij op het moment van de inleiding van de vordering op hun eigen effecten bezaten.</w:t>
      </w:r>
    </w:p>
    <w:p>
      <w:pPr>
        <w:pStyle w:val="BodyText"/>
        <w:spacing w:line="218" w:lineRule="auto" w:before="139"/>
      </w:pPr>
      <w:r>
        <w:rPr>
          <w:color w:val="231F20"/>
        </w:rPr>
        <w:t>Indien de vordering wordt ingesteld tegen een titularis van een deel van het eigendomsrecht op effecten, moeten de overige titularissen van het eigendomsrecht op deze effecten in de zaak worden betrokken.</w:t>
      </w:r>
    </w:p>
    <w:p>
      <w:pPr>
        <w:pStyle w:val="BodyText"/>
        <w:spacing w:line="218" w:lineRule="auto" w:before="139"/>
      </w:pPr>
      <w:r>
        <w:rPr>
          <w:color w:val="231F20"/>
        </w:rPr>
        <w:t>De vordering kan niet worden ingesteld door de vennootschap of door haar dochtervennootschappen.</w:t>
      </w:r>
    </w:p>
    <w:p>
      <w:pPr>
        <w:pStyle w:val="BodyText"/>
        <w:spacing w:line="218" w:lineRule="auto" w:before="139"/>
      </w:pPr>
      <w:r>
        <w:rPr>
          <w:color w:val="231F20"/>
        </w:rPr>
        <w:t>Art. 2:65. Nadat de dagvaarding is betekend, mag de gedaagde zijn effecten niet vervreemden noch ze met zakelijke rechten bezwaren, behalve met toestemming van de rechter of van de partijen in het geding. </w:t>
      </w:r>
      <w:r>
        <w:rPr>
          <w:color w:val="231F20"/>
          <w:spacing w:val="-4"/>
        </w:rPr>
        <w:t>Tegen </w:t>
      </w:r>
      <w:r>
        <w:rPr>
          <w:color w:val="231F20"/>
        </w:rPr>
        <w:t>de beslissing van de rechter staat geen rechtsmiddel open.</w:t>
      </w:r>
    </w:p>
    <w:p>
      <w:pPr>
        <w:pStyle w:val="BodyText"/>
        <w:spacing w:line="218" w:lineRule="auto" w:before="150"/>
      </w:pPr>
      <w:r>
        <w:rPr>
          <w:color w:val="231F20"/>
        </w:rPr>
        <w:t>Art. 2:66. Bij de indiening van zijn eerste conclusie voegt de</w:t>
      </w:r>
      <w:r>
        <w:rPr>
          <w:color w:val="231F20"/>
          <w:spacing w:val="-15"/>
        </w:rPr>
        <w:t> </w:t>
      </w:r>
      <w:r>
        <w:rPr>
          <w:color w:val="231F20"/>
        </w:rPr>
        <w:t>gedaagde een kopie van de gecoördineerde statuten, alsook een kopie of een uittreksel van alle overeenkomsten die de overdraagbaarheid van zijn effecten</w:t>
      </w:r>
      <w:r>
        <w:rPr>
          <w:color w:val="231F20"/>
          <w:spacing w:val="14"/>
        </w:rPr>
        <w:t> </w:t>
      </w:r>
      <w:r>
        <w:rPr>
          <w:color w:val="231F20"/>
        </w:rPr>
        <w:t>beperken.</w:t>
      </w:r>
    </w:p>
    <w:p>
      <w:pPr>
        <w:pStyle w:val="BodyText"/>
        <w:spacing w:line="218" w:lineRule="auto" w:before="149"/>
      </w:pPr>
      <w:r>
        <w:rPr>
          <w:color w:val="231F20"/>
        </w:rPr>
        <w:t>Wanneer de rechter de uitsluiting beveelt, ziet hij erop toe dat die statutaire en contractuele beperkingen in acht worden genomen. Voor zover de begunstigden in het geding zijn betrokken, kan de rechter:</w:t>
      </w:r>
    </w:p>
    <w:p>
      <w:pPr>
        <w:pStyle w:val="BodyText"/>
        <w:spacing w:before="7"/>
        <w:ind w:left="0" w:right="0" w:firstLine="0"/>
        <w:jc w:val="left"/>
        <w:rPr>
          <w:sz w:val="28"/>
        </w:rPr>
      </w:pPr>
    </w:p>
    <w:p>
      <w:pPr>
        <w:pStyle w:val="BodyText"/>
        <w:spacing w:line="218" w:lineRule="auto"/>
      </w:pPr>
      <w:r>
        <w:rPr>
          <w:color w:val="231F20"/>
        </w:rPr>
        <w:t>1° zich in de plaats stellen van iedere partij of derde die in de statuten of de overeenkomsten is aangewezen om de prijs te bepalen waartegen het recht van voorkoop kan worden uitgeoefend;</w:t>
      </w:r>
    </w:p>
    <w:p>
      <w:pPr>
        <w:pStyle w:val="BodyText"/>
        <w:spacing w:line="218" w:lineRule="auto" w:before="150"/>
        <w:ind w:right="123"/>
      </w:pPr>
      <w:r>
        <w:rPr>
          <w:color w:val="231F20"/>
        </w:rPr>
        <w:t>2° de prijs waartegen het recht van voorkoop kan worden uitgeoe- fend bepalen overeenkomstig artikel 2:65, indien de bepalingen met betrekking tot het voorkooprecht tot een kennelijk onredelijke prijs zouden leiden;</w:t>
      </w:r>
    </w:p>
    <w:p>
      <w:pPr>
        <w:pStyle w:val="BodyText"/>
        <w:spacing w:line="218" w:lineRule="auto" w:before="149"/>
      </w:pPr>
      <w:r>
        <w:rPr>
          <w:color w:val="231F20"/>
        </w:rPr>
        <w:t>3° mits toekenning van een disconto op de prijs, de termijn verkorten waarbinnen het recht van voorkoop kan worden uitgeoefend;</w:t>
      </w:r>
    </w:p>
    <w:p>
      <w:pPr>
        <w:pStyle w:val="BodyText"/>
        <w:spacing w:line="218" w:lineRule="auto" w:before="150"/>
        <w:ind w:right="123"/>
      </w:pPr>
      <w:r>
        <w:rPr>
          <w:color w:val="231F20"/>
        </w:rPr>
        <w:t>4° de toepassing weigeren van goedkeuringsclausules vastgesteld ten behoeve van de aandeelhouders.</w:t>
      </w:r>
    </w:p>
    <w:p>
      <w:pPr>
        <w:pStyle w:val="BodyText"/>
        <w:spacing w:line="218" w:lineRule="auto" w:before="149"/>
      </w:pPr>
      <w:r>
        <w:rPr>
          <w:color w:val="231F20"/>
        </w:rPr>
        <w:t>Voor zover de begunstigden in het geding zijn betrokken, kan de rechter zich uitspreken over de geldigheid van elke overeenkomst of statutaire bepaling die de overdraagbaarheid van de effecten van de gedaagde beperkt of, in voorkomend geval, bevelen dat deze overeen- komsten overgaan op de verkrijgers van de effecten.</w:t>
      </w:r>
    </w:p>
    <w:p>
      <w:pPr>
        <w:pStyle w:val="BodyText"/>
        <w:spacing w:line="218" w:lineRule="auto" w:before="150"/>
      </w:pPr>
      <w:r>
        <w:rPr>
          <w:color w:val="231F20"/>
        </w:rPr>
        <w:t>Art. 2:67. De rechter veroordeelt de gedaagde om, binnen de door hem gestelde termijn te rekenen van de betekening van het vonnis, zijn effecten aan de eisers over te dragen en de eisers om deze effecten over te nemen tegen betaling van de prijs die hij vaststelt. Het recht op betaling van de prijs ontstaat op het tijdstip van de eigendomsover- dracht. Indien de rechter de eigendomsoverdracht beveelt zonder op te leggen dat de definitieve prijs meteen wordt betaald, kan hij aan de eiser</w:t>
      </w:r>
      <w:r>
        <w:rPr>
          <w:color w:val="231F20"/>
          <w:spacing w:val="17"/>
        </w:rPr>
        <w:t> </w:t>
      </w:r>
      <w:r>
        <w:rPr>
          <w:color w:val="231F20"/>
        </w:rPr>
        <w:t>een</w:t>
      </w:r>
      <w:r>
        <w:rPr>
          <w:color w:val="231F20"/>
          <w:spacing w:val="17"/>
        </w:rPr>
        <w:t> </w:t>
      </w:r>
      <w:r>
        <w:rPr>
          <w:color w:val="231F20"/>
        </w:rPr>
        <w:t>zekerheidstelling</w:t>
      </w:r>
      <w:r>
        <w:rPr>
          <w:color w:val="231F20"/>
          <w:spacing w:val="18"/>
        </w:rPr>
        <w:t> </w:t>
      </w:r>
      <w:r>
        <w:rPr>
          <w:color w:val="231F20"/>
        </w:rPr>
        <w:t>voor</w:t>
      </w:r>
      <w:r>
        <w:rPr>
          <w:color w:val="231F20"/>
          <w:spacing w:val="17"/>
        </w:rPr>
        <w:t> </w:t>
      </w:r>
      <w:r>
        <w:rPr>
          <w:color w:val="231F20"/>
        </w:rPr>
        <w:t>de</w:t>
      </w:r>
      <w:r>
        <w:rPr>
          <w:color w:val="231F20"/>
          <w:spacing w:val="18"/>
        </w:rPr>
        <w:t> </w:t>
      </w:r>
      <w:r>
        <w:rPr>
          <w:color w:val="231F20"/>
        </w:rPr>
        <w:t>nog</w:t>
      </w:r>
      <w:r>
        <w:rPr>
          <w:color w:val="231F20"/>
          <w:spacing w:val="17"/>
        </w:rPr>
        <w:t> </w:t>
      </w:r>
      <w:r>
        <w:rPr>
          <w:color w:val="231F20"/>
        </w:rPr>
        <w:t>te</w:t>
      </w:r>
      <w:r>
        <w:rPr>
          <w:color w:val="231F20"/>
          <w:spacing w:val="18"/>
        </w:rPr>
        <w:t> </w:t>
      </w:r>
      <w:r>
        <w:rPr>
          <w:color w:val="231F20"/>
        </w:rPr>
        <w:t>betalen</w:t>
      </w:r>
      <w:r>
        <w:rPr>
          <w:color w:val="231F20"/>
          <w:spacing w:val="17"/>
        </w:rPr>
        <w:t> </w:t>
      </w:r>
      <w:r>
        <w:rPr>
          <w:color w:val="231F20"/>
        </w:rPr>
        <w:t>prijs</w:t>
      </w:r>
      <w:r>
        <w:rPr>
          <w:color w:val="231F20"/>
          <w:spacing w:val="18"/>
        </w:rPr>
        <w:t> </w:t>
      </w:r>
      <w:r>
        <w:rPr>
          <w:color w:val="231F20"/>
        </w:rPr>
        <w:t>opleggen.</w:t>
      </w:r>
    </w:p>
    <w:p>
      <w:pPr>
        <w:pStyle w:val="BodyText"/>
        <w:spacing w:line="218" w:lineRule="auto" w:before="150"/>
        <w:ind w:right="123"/>
      </w:pPr>
      <w:r>
        <w:rPr>
          <w:color w:val="231F20"/>
        </w:rPr>
        <w:t>Bij de bepaling van de overnameprijs is de rechter gebonden door de contractuele of statutaire bepalingen over de vaststelling van de waarde van de effecten, voor zover deze bepalingen specifiek betrekking hebben op de hypothese van een gerechtelijke uitsluiting en deze overeenkomsten niet leiden tot een kennelijk onredelijke prijs. In ieder geval kan de rechter zich in de plaats stellen van iedere partij of derde die in de statuten of de overeenkomsten is aangewezen om de prijs te bepalen.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1696" from="298.170502pt,64.473pt" to="298.170502pt,812.819pt" stroked="true" strokeweight=".533pt" strokecolor="#231f20">
            <v:stroke dashstyle="solid"/>
            <w10:wrap type="none"/>
          </v:line>
        </w:pict>
      </w:r>
      <w:bookmarkStart w:name="_bookmark28" w:id="31"/>
      <w:bookmarkEnd w:id="31"/>
      <w:r>
        <w:rPr/>
      </w:r>
      <w:r>
        <w:rPr>
          <w:color w:val="231F20"/>
        </w:rPr>
        <w:t>Le juge estime la valeur des titres au moment où il ordonne leur transfert, sauf si cela conduit à un résultat manifestement déraisonna- ble. Dans ce cas, il peut, en tenant compte de toutes les circonstances pertinentes, décider d’une augmentation ou d’une réduction équitable du prix.</w:t>
      </w:r>
    </w:p>
    <w:p>
      <w:pPr>
        <w:pStyle w:val="BodyText"/>
        <w:spacing w:line="218" w:lineRule="auto" w:before="86"/>
        <w:ind w:right="38"/>
      </w:pPr>
      <w:r>
        <w:rPr>
          <w:color w:val="231F20"/>
        </w:rPr>
        <w:t>Le juge peut ordonner le transfert de propriété contre le paiement d’un prix provisoire en attendant la fixation du prix définitif.</w:t>
      </w:r>
    </w:p>
    <w:p>
      <w:pPr>
        <w:pStyle w:val="BodyText"/>
        <w:spacing w:before="11"/>
        <w:ind w:left="0" w:right="0" w:firstLine="0"/>
        <w:jc w:val="left"/>
        <w:rPr>
          <w:sz w:val="22"/>
        </w:rPr>
      </w:pPr>
    </w:p>
    <w:p>
      <w:pPr>
        <w:pStyle w:val="BodyText"/>
        <w:spacing w:line="218" w:lineRule="auto"/>
        <w:ind w:right="38"/>
      </w:pPr>
      <w:r>
        <w:rPr>
          <w:color w:val="231F20"/>
        </w:rPr>
        <w:t>Le juge peut subordonner une partie du prix à l’accord des défendeurs sur le respect d’une clause de non-concurrence avec la société qu’il propose ou sur le renforcement d’une clause de non- concurrence existante. À la demande des défendeurs, le juge peut également les délier d’une clause de non-concurrence existante, ou limiter une telle clause, en liant éventuellement cette décision à une diminution du</w:t>
      </w:r>
      <w:r>
        <w:rPr>
          <w:color w:val="231F20"/>
          <w:spacing w:val="-11"/>
        </w:rPr>
        <w:t> </w:t>
      </w:r>
      <w:r>
        <w:rPr>
          <w:color w:val="231F20"/>
        </w:rPr>
        <w:t>prix.</w:t>
      </w:r>
    </w:p>
    <w:p>
      <w:pPr>
        <w:pStyle w:val="BodyText"/>
        <w:spacing w:line="218" w:lineRule="auto" w:before="86"/>
        <w:ind w:right="38"/>
      </w:pPr>
      <w:r>
        <w:rPr>
          <w:color w:val="231F20"/>
        </w:rPr>
        <w:t>Le juge peut imposer aux demandeurs de libérer ou de faire libérer les défendeurs des sûretés réelles et personnelles octroyées en faveur de la société, ou de leur fournir à cet </w:t>
      </w:r>
      <w:r>
        <w:rPr>
          <w:color w:val="231F20"/>
          <w:spacing w:val="-3"/>
        </w:rPr>
        <w:t>effet </w:t>
      </w:r>
      <w:r>
        <w:rPr>
          <w:color w:val="231F20"/>
        </w:rPr>
        <w:t>une contre-garantie adéquate. La décision du juge tient lieu de titre pour la réalisation de toutes</w:t>
      </w:r>
      <w:r>
        <w:rPr>
          <w:color w:val="231F20"/>
          <w:spacing w:val="31"/>
        </w:rPr>
        <w:t> </w:t>
      </w:r>
      <w:r>
        <w:rPr>
          <w:color w:val="231F20"/>
        </w:rPr>
        <w:t>les formalités liées au</w:t>
      </w:r>
      <w:r>
        <w:rPr>
          <w:color w:val="231F20"/>
          <w:spacing w:val="3"/>
        </w:rPr>
        <w:t> </w:t>
      </w:r>
      <w:r>
        <w:rPr>
          <w:color w:val="231F20"/>
        </w:rPr>
        <w:t>transfert.</w:t>
      </w:r>
    </w:p>
    <w:p>
      <w:pPr>
        <w:pStyle w:val="BodyText"/>
        <w:ind w:left="0" w:right="0" w:firstLine="0"/>
        <w:jc w:val="left"/>
        <w:rPr>
          <w:sz w:val="23"/>
        </w:rPr>
      </w:pPr>
    </w:p>
    <w:p>
      <w:pPr>
        <w:pStyle w:val="BodyText"/>
        <w:spacing w:line="218" w:lineRule="auto"/>
        <w:ind w:right="38"/>
      </w:pPr>
      <w:r>
        <w:rPr>
          <w:color w:val="231F20"/>
        </w:rPr>
        <w:t>Le transfert a lieu, le cas échéant, après l’exercice des droits éventuels de préemption mentionnés dans le jugement, proportionnellement à la détention de titres de chacun, à moins qu’il en soit convenu autrement.</w:t>
      </w:r>
    </w:p>
    <w:p>
      <w:pPr>
        <w:pStyle w:val="BodyText"/>
        <w:spacing w:before="9"/>
        <w:ind w:left="0" w:right="0" w:firstLine="0"/>
        <w:jc w:val="left"/>
        <w:rPr>
          <w:sz w:val="21"/>
        </w:rPr>
      </w:pPr>
    </w:p>
    <w:p>
      <w:pPr>
        <w:pStyle w:val="BodyText"/>
        <w:spacing w:line="324" w:lineRule="auto"/>
        <w:ind w:left="283" w:right="0" w:firstLine="0"/>
        <w:jc w:val="left"/>
      </w:pPr>
      <w:r>
        <w:rPr>
          <w:color w:val="231F20"/>
        </w:rPr>
        <w:t>Les cessionnaires sont tenus solidairement au paiement du prix. CHAPITRE 3. Du retrait.</w:t>
      </w:r>
    </w:p>
    <w:p>
      <w:pPr>
        <w:pStyle w:val="BodyText"/>
        <w:spacing w:line="218" w:lineRule="auto" w:before="15"/>
        <w:ind w:right="38"/>
      </w:pPr>
      <w:r>
        <w:rPr>
          <w:color w:val="231F20"/>
        </w:rPr>
        <w:t>Art. 2:68. Tout actionnaire peut, pour de justes motifs, demander en justice que les actionnaires à l’origine de ces justes motifs reprennent tous ses titres.</w:t>
      </w:r>
    </w:p>
    <w:p>
      <w:pPr>
        <w:pStyle w:val="BodyText"/>
        <w:spacing w:line="218" w:lineRule="auto" w:before="85"/>
        <w:ind w:right="38"/>
      </w:pPr>
      <w:r>
        <w:rPr>
          <w:color w:val="231F20"/>
        </w:rPr>
        <w:t>Si l’action est intentée par ou contre un titulaire d’une partie du droit de propriété sur les titres à reprendre, les autres titulaires du droit de propriété sur ces titres doivent être appelés à la cause.</w:t>
      </w:r>
    </w:p>
    <w:p>
      <w:pPr>
        <w:pStyle w:val="BodyText"/>
        <w:ind w:left="0" w:right="0" w:firstLine="0"/>
        <w:jc w:val="left"/>
        <w:rPr>
          <w:sz w:val="23"/>
        </w:rPr>
      </w:pPr>
    </w:p>
    <w:p>
      <w:pPr>
        <w:pStyle w:val="BodyText"/>
        <w:spacing w:line="218" w:lineRule="auto"/>
        <w:ind w:right="38"/>
      </w:pPr>
      <w:r>
        <w:rPr>
          <w:color w:val="231F20"/>
        </w:rPr>
        <w:t>La circonstance que le défendeur cesse d’être actionnaire durant la procédure n’a pas d’incidence sur la poursuite de la procédure ni sur l’exercice des recours.</w:t>
      </w:r>
    </w:p>
    <w:p>
      <w:pPr>
        <w:pStyle w:val="BodyText"/>
        <w:spacing w:line="218" w:lineRule="auto" w:before="71"/>
        <w:ind w:right="39"/>
      </w:pPr>
      <w:r>
        <w:rPr>
          <w:color w:val="231F20"/>
        </w:rPr>
        <w:t>L’article</w:t>
      </w:r>
      <w:r>
        <w:rPr>
          <w:color w:val="231F20"/>
          <w:spacing w:val="-6"/>
        </w:rPr>
        <w:t> </w:t>
      </w:r>
      <w:r>
        <w:rPr>
          <w:color w:val="231F20"/>
        </w:rPr>
        <w:t>2:66,</w:t>
      </w:r>
      <w:r>
        <w:rPr>
          <w:color w:val="231F20"/>
          <w:spacing w:val="-6"/>
        </w:rPr>
        <w:t> </w:t>
      </w:r>
      <w:r>
        <w:rPr>
          <w:color w:val="231F20"/>
        </w:rPr>
        <w:t>alinéas</w:t>
      </w:r>
      <w:r>
        <w:rPr>
          <w:color w:val="231F20"/>
          <w:spacing w:val="-9"/>
        </w:rPr>
        <w:t> </w:t>
      </w:r>
      <w:r>
        <w:rPr>
          <w:color w:val="231F20"/>
        </w:rPr>
        <w:t>2</w:t>
      </w:r>
      <w:r>
        <w:rPr>
          <w:color w:val="231F20"/>
          <w:spacing w:val="-6"/>
        </w:rPr>
        <w:t> </w:t>
      </w:r>
      <w:r>
        <w:rPr>
          <w:color w:val="231F20"/>
        </w:rPr>
        <w:t>et</w:t>
      </w:r>
      <w:r>
        <w:rPr>
          <w:color w:val="231F20"/>
          <w:spacing w:val="-5"/>
        </w:rPr>
        <w:t> </w:t>
      </w:r>
      <w:r>
        <w:rPr>
          <w:color w:val="231F20"/>
        </w:rPr>
        <w:t>3,</w:t>
      </w:r>
      <w:r>
        <w:rPr>
          <w:color w:val="231F20"/>
          <w:spacing w:val="-6"/>
        </w:rPr>
        <w:t> </w:t>
      </w:r>
      <w:r>
        <w:rPr>
          <w:color w:val="231F20"/>
        </w:rPr>
        <w:t>est</w:t>
      </w:r>
      <w:r>
        <w:rPr>
          <w:color w:val="231F20"/>
          <w:spacing w:val="-6"/>
        </w:rPr>
        <w:t> </w:t>
      </w:r>
      <w:r>
        <w:rPr>
          <w:color w:val="231F20"/>
        </w:rPr>
        <w:t>d’application.</w:t>
      </w:r>
      <w:r>
        <w:rPr>
          <w:color w:val="231F20"/>
          <w:spacing w:val="-6"/>
        </w:rPr>
        <w:t> </w:t>
      </w:r>
      <w:r>
        <w:rPr>
          <w:color w:val="231F20"/>
        </w:rPr>
        <w:t>L’article</w:t>
      </w:r>
      <w:r>
        <w:rPr>
          <w:color w:val="231F20"/>
          <w:spacing w:val="-6"/>
        </w:rPr>
        <w:t> </w:t>
      </w:r>
      <w:r>
        <w:rPr>
          <w:color w:val="231F20"/>
        </w:rPr>
        <w:t>2:66,</w:t>
      </w:r>
      <w:r>
        <w:rPr>
          <w:color w:val="231F20"/>
          <w:spacing w:val="-6"/>
        </w:rPr>
        <w:t> </w:t>
      </w:r>
      <w:r>
        <w:rPr>
          <w:color w:val="231F20"/>
        </w:rPr>
        <w:t>alinéa</w:t>
      </w:r>
      <w:r>
        <w:rPr>
          <w:color w:val="231F20"/>
          <w:spacing w:val="-6"/>
        </w:rPr>
        <w:t> </w:t>
      </w:r>
      <w:r>
        <w:rPr>
          <w:color w:val="231F20"/>
        </w:rPr>
        <w:t>1</w:t>
      </w:r>
      <w:r>
        <w:rPr>
          <w:color w:val="231F20"/>
          <w:position w:val="7"/>
          <w:sz w:val="11"/>
        </w:rPr>
        <w:t>er</w:t>
      </w:r>
      <w:r>
        <w:rPr>
          <w:color w:val="231F20"/>
        </w:rPr>
        <w:t>, est</w:t>
      </w:r>
      <w:r>
        <w:rPr>
          <w:color w:val="231F20"/>
          <w:spacing w:val="15"/>
        </w:rPr>
        <w:t> </w:t>
      </w:r>
      <w:r>
        <w:rPr>
          <w:color w:val="231F20"/>
        </w:rPr>
        <w:t>d’application</w:t>
      </w:r>
      <w:r>
        <w:rPr>
          <w:color w:val="231F20"/>
          <w:spacing w:val="16"/>
        </w:rPr>
        <w:t> </w:t>
      </w:r>
      <w:r>
        <w:rPr>
          <w:color w:val="231F20"/>
        </w:rPr>
        <w:t>par</w:t>
      </w:r>
      <w:r>
        <w:rPr>
          <w:color w:val="231F20"/>
          <w:spacing w:val="16"/>
        </w:rPr>
        <w:t> </w:t>
      </w:r>
      <w:r>
        <w:rPr>
          <w:color w:val="231F20"/>
        </w:rPr>
        <w:t>analogie</w:t>
      </w:r>
      <w:r>
        <w:rPr>
          <w:color w:val="231F20"/>
          <w:spacing w:val="16"/>
        </w:rPr>
        <w:t> </w:t>
      </w:r>
      <w:r>
        <w:rPr>
          <w:color w:val="231F20"/>
        </w:rPr>
        <w:t>au</w:t>
      </w:r>
      <w:r>
        <w:rPr>
          <w:color w:val="231F20"/>
          <w:spacing w:val="15"/>
        </w:rPr>
        <w:t> </w:t>
      </w:r>
      <w:r>
        <w:rPr>
          <w:color w:val="231F20"/>
        </w:rPr>
        <w:t>demandeur.</w:t>
      </w:r>
    </w:p>
    <w:p>
      <w:pPr>
        <w:pStyle w:val="BodyText"/>
        <w:spacing w:line="218" w:lineRule="auto" w:before="85"/>
        <w:ind w:right="38"/>
      </w:pPr>
      <w:r>
        <w:rPr>
          <w:color w:val="231F20"/>
        </w:rPr>
        <w:t>Art. 2:69. Le juge condamne le défendeur à accepter les titres, dans le délai qu’il fixe à dater de la signification du jugement, et le demandeur à transférer les titres au défendeur contre paiement du prix qu’il fixe.</w:t>
      </w:r>
      <w:r>
        <w:rPr>
          <w:color w:val="231F20"/>
          <w:spacing w:val="-20"/>
        </w:rPr>
        <w:t> </w:t>
      </w:r>
      <w:r>
        <w:rPr>
          <w:color w:val="231F20"/>
        </w:rPr>
        <w:t>Le droit au paiement du prix naît au moment du transfert de propriété. Si le juge ordonne le transfert de propriété sans imposer le paiement immédiat du prix définitif, il peut imposer au défendeur de fournir une sûreté</w:t>
      </w:r>
      <w:r>
        <w:rPr>
          <w:color w:val="231F20"/>
          <w:spacing w:val="15"/>
        </w:rPr>
        <w:t> </w:t>
      </w:r>
      <w:r>
        <w:rPr>
          <w:color w:val="231F20"/>
        </w:rPr>
        <w:t>pour</w:t>
      </w:r>
      <w:r>
        <w:rPr>
          <w:color w:val="231F20"/>
          <w:spacing w:val="15"/>
        </w:rPr>
        <w:t> </w:t>
      </w:r>
      <w:r>
        <w:rPr>
          <w:color w:val="231F20"/>
        </w:rPr>
        <w:t>le</w:t>
      </w:r>
      <w:r>
        <w:rPr>
          <w:color w:val="231F20"/>
          <w:spacing w:val="15"/>
        </w:rPr>
        <w:t> </w:t>
      </w:r>
      <w:r>
        <w:rPr>
          <w:color w:val="231F20"/>
        </w:rPr>
        <w:t>prix</w:t>
      </w:r>
      <w:r>
        <w:rPr>
          <w:color w:val="231F20"/>
          <w:spacing w:val="15"/>
        </w:rPr>
        <w:t> </w:t>
      </w:r>
      <w:r>
        <w:rPr>
          <w:color w:val="231F20"/>
        </w:rPr>
        <w:t>de</w:t>
      </w:r>
      <w:r>
        <w:rPr>
          <w:color w:val="231F20"/>
          <w:spacing w:val="15"/>
        </w:rPr>
        <w:t> </w:t>
      </w:r>
      <w:r>
        <w:rPr>
          <w:color w:val="231F20"/>
        </w:rPr>
        <w:t>reprise</w:t>
      </w:r>
      <w:r>
        <w:rPr>
          <w:color w:val="231F20"/>
          <w:spacing w:val="15"/>
        </w:rPr>
        <w:t> </w:t>
      </w:r>
      <w:r>
        <w:rPr>
          <w:color w:val="231F20"/>
        </w:rPr>
        <w:t>restant</w:t>
      </w:r>
      <w:r>
        <w:rPr>
          <w:color w:val="231F20"/>
          <w:spacing w:val="15"/>
        </w:rPr>
        <w:t> </w:t>
      </w:r>
      <w:r>
        <w:rPr>
          <w:color w:val="231F20"/>
        </w:rPr>
        <w:t>dû.</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ind w:right="38"/>
      </w:pPr>
      <w:r>
        <w:rPr>
          <w:color w:val="231F20"/>
        </w:rPr>
        <w:t>Lorsqu’il fixe le prix de reprise, le juge est tenu par les dispositions contractuelles ou statutaires relatives à la fixation de la valeur des</w:t>
      </w:r>
      <w:r>
        <w:rPr>
          <w:color w:val="231F20"/>
          <w:spacing w:val="-30"/>
        </w:rPr>
        <w:t> </w:t>
      </w:r>
      <w:r>
        <w:rPr>
          <w:color w:val="231F20"/>
        </w:rPr>
        <w:t>titres, pour autant que ces dispositions se rapportent spécifiquement à l’hypothèse d’un retrait judiciaire et que ces conventions ne donnent pas lieu à un prix manifestement déraisonnable. En tous les cas, le juge peut se substituer à toute partie ou à tout tiers désigné par les statuts</w:t>
      </w:r>
      <w:r>
        <w:rPr>
          <w:color w:val="231F20"/>
          <w:spacing w:val="-17"/>
        </w:rPr>
        <w:t> </w:t>
      </w:r>
      <w:r>
        <w:rPr>
          <w:color w:val="231F20"/>
        </w:rPr>
        <w:t>ou les</w:t>
      </w:r>
      <w:r>
        <w:rPr>
          <w:color w:val="231F20"/>
          <w:spacing w:val="15"/>
        </w:rPr>
        <w:t> </w:t>
      </w:r>
      <w:r>
        <w:rPr>
          <w:color w:val="231F20"/>
        </w:rPr>
        <w:t>conventions</w:t>
      </w:r>
      <w:r>
        <w:rPr>
          <w:color w:val="231F20"/>
          <w:spacing w:val="15"/>
        </w:rPr>
        <w:t> </w:t>
      </w:r>
      <w:r>
        <w:rPr>
          <w:color w:val="231F20"/>
        </w:rPr>
        <w:t>pour</w:t>
      </w:r>
      <w:r>
        <w:rPr>
          <w:color w:val="231F20"/>
          <w:spacing w:val="15"/>
        </w:rPr>
        <w:t> </w:t>
      </w:r>
      <w:r>
        <w:rPr>
          <w:color w:val="231F20"/>
        </w:rPr>
        <w:t>fixer</w:t>
      </w:r>
      <w:r>
        <w:rPr>
          <w:color w:val="231F20"/>
          <w:spacing w:val="16"/>
        </w:rPr>
        <w:t> </w:t>
      </w:r>
      <w:r>
        <w:rPr>
          <w:color w:val="231F20"/>
        </w:rPr>
        <w:t>le</w:t>
      </w:r>
      <w:r>
        <w:rPr>
          <w:color w:val="231F20"/>
          <w:spacing w:val="15"/>
        </w:rPr>
        <w:t> </w:t>
      </w:r>
      <w:r>
        <w:rPr>
          <w:color w:val="231F20"/>
        </w:rPr>
        <w:t>prix.</w:t>
      </w:r>
    </w:p>
    <w:p>
      <w:pPr>
        <w:pStyle w:val="BodyText"/>
        <w:spacing w:before="1"/>
        <w:ind w:left="0" w:right="0" w:firstLine="0"/>
        <w:jc w:val="left"/>
        <w:rPr>
          <w:sz w:val="23"/>
        </w:rPr>
      </w:pPr>
    </w:p>
    <w:p>
      <w:pPr>
        <w:pStyle w:val="BodyText"/>
        <w:spacing w:line="218" w:lineRule="auto"/>
        <w:ind w:right="38"/>
      </w:pPr>
      <w:r>
        <w:rPr>
          <w:color w:val="231F20"/>
        </w:rPr>
        <w:t>Le juge estime la valeur des titres au moment où il ordonne leur reprise, sauf si cela conduit à un résultat manifestement déraisonnable. Dans ce cas, il peut, en tenant compte de toutes les circonstances pertinentes, décider d’une augmentation ou d’une réduction de prix équitable.</w:t>
      </w:r>
    </w:p>
    <w:p>
      <w:pPr>
        <w:pStyle w:val="BodyText"/>
        <w:spacing w:line="218" w:lineRule="auto" w:before="86"/>
        <w:ind w:right="38"/>
      </w:pPr>
      <w:r>
        <w:rPr>
          <w:color w:val="231F20"/>
        </w:rPr>
        <w:t>Le juge peut ordonner le transfert de propriété contre le paiement d’un prix provisoire en attendant la fixation du prix définitif.</w:t>
      </w:r>
    </w:p>
    <w:p>
      <w:pPr>
        <w:pStyle w:val="BodyText"/>
        <w:spacing w:before="11"/>
        <w:ind w:left="0" w:right="0" w:firstLine="0"/>
        <w:jc w:val="left"/>
        <w:rPr>
          <w:sz w:val="22"/>
        </w:rPr>
      </w:pPr>
    </w:p>
    <w:p>
      <w:pPr>
        <w:pStyle w:val="BodyText"/>
        <w:spacing w:line="218" w:lineRule="auto"/>
        <w:ind w:right="38"/>
      </w:pPr>
      <w:r>
        <w:rPr>
          <w:color w:val="231F20"/>
        </w:rPr>
        <w:t>Le juge peut subordonner une partie du prix à l’accord des demandeurs sur le respect d’une clause de non-concurrence qu’il propose ou sur le renforcement d’une clause de non-concurrence existante. À la demande des défendeurs, le juge peut également les délier d’une clause de non-concurrence existante, ou limiter une telle clause, en liant éventuellement cette décision à une diminution du prix.</w:t>
      </w:r>
    </w:p>
    <w:p>
      <w:pPr>
        <w:pStyle w:val="BodyText"/>
        <w:spacing w:before="11"/>
        <w:ind w:left="0" w:right="0" w:firstLine="0"/>
        <w:jc w:val="left"/>
        <w:rPr>
          <w:sz w:val="23"/>
        </w:rPr>
      </w:pPr>
    </w:p>
    <w:p>
      <w:pPr>
        <w:pStyle w:val="BodyText"/>
        <w:spacing w:line="218" w:lineRule="auto"/>
        <w:ind w:right="38"/>
      </w:pPr>
      <w:r>
        <w:rPr>
          <w:color w:val="231F20"/>
        </w:rPr>
        <w:t>Le juge peut imposer aux défendeurs de lever ou de faire lever les sûretés réelles et personnelles accordées par les demandeurs en faveur de la société, ou de fournir à cet effet une contre-garantie appropriée.</w:t>
      </w:r>
    </w:p>
    <w:p>
      <w:pPr>
        <w:pStyle w:val="BodyText"/>
        <w:spacing w:before="10"/>
        <w:ind w:left="0" w:right="0" w:firstLine="0"/>
        <w:jc w:val="left"/>
        <w:rPr>
          <w:sz w:val="23"/>
        </w:rPr>
      </w:pPr>
    </w:p>
    <w:p>
      <w:pPr>
        <w:pStyle w:val="BodyText"/>
        <w:spacing w:line="218" w:lineRule="auto" w:before="1"/>
        <w:ind w:right="38"/>
      </w:pPr>
      <w:r>
        <w:rPr>
          <w:color w:val="231F20"/>
        </w:rPr>
        <w:t>La décision du juge tient lieu de titre pour la réalisation de toutes les formalités liées au transfert.</w:t>
      </w:r>
    </w:p>
    <w:p>
      <w:pPr>
        <w:pStyle w:val="BodyText"/>
        <w:spacing w:line="218" w:lineRule="auto" w:before="119"/>
      </w:pPr>
      <w:r>
        <w:rPr/>
        <w:br w:type="column"/>
      </w:r>
      <w:r>
        <w:rPr>
          <w:color w:val="231F20"/>
        </w:rPr>
        <w:t>De rechter raamt de waarde van de effecten op het tijdstip waarop hij de overdracht ervan beveelt, tenzij dit tot een kennelijk onredelijk resultaat leidt. In dat geval mag hij, met inachtneming van alle relevante</w:t>
      </w:r>
      <w:r>
        <w:rPr>
          <w:color w:val="231F20"/>
          <w:spacing w:val="25"/>
        </w:rPr>
        <w:t> </w:t>
      </w:r>
      <w:r>
        <w:rPr>
          <w:color w:val="231F20"/>
        </w:rPr>
        <w:t>omstandigheden,</w:t>
      </w:r>
      <w:r>
        <w:rPr>
          <w:color w:val="231F20"/>
          <w:spacing w:val="26"/>
        </w:rPr>
        <w:t> </w:t>
      </w:r>
      <w:r>
        <w:rPr>
          <w:color w:val="231F20"/>
        </w:rPr>
        <w:t>beslissen</w:t>
      </w:r>
      <w:r>
        <w:rPr>
          <w:color w:val="231F20"/>
          <w:spacing w:val="25"/>
        </w:rPr>
        <w:t> </w:t>
      </w:r>
      <w:r>
        <w:rPr>
          <w:color w:val="231F20"/>
        </w:rPr>
        <w:t>tot</w:t>
      </w:r>
      <w:r>
        <w:rPr>
          <w:color w:val="231F20"/>
          <w:spacing w:val="26"/>
        </w:rPr>
        <w:t> </w:t>
      </w:r>
      <w:r>
        <w:rPr>
          <w:color w:val="231F20"/>
        </w:rPr>
        <w:t>een</w:t>
      </w:r>
      <w:r>
        <w:rPr>
          <w:color w:val="231F20"/>
          <w:spacing w:val="26"/>
        </w:rPr>
        <w:t> </w:t>
      </w:r>
      <w:r>
        <w:rPr>
          <w:color w:val="231F20"/>
        </w:rPr>
        <w:t>billijke</w:t>
      </w:r>
      <w:r>
        <w:rPr>
          <w:color w:val="231F20"/>
          <w:spacing w:val="25"/>
        </w:rPr>
        <w:t> </w:t>
      </w:r>
      <w:r>
        <w:rPr>
          <w:color w:val="231F20"/>
        </w:rPr>
        <w:t>prijsverhoging</w:t>
      </w:r>
      <w:r>
        <w:rPr>
          <w:color w:val="231F20"/>
          <w:spacing w:val="26"/>
        </w:rPr>
        <w:t> </w:t>
      </w:r>
      <w:r>
        <w:rPr>
          <w:color w:val="231F20"/>
        </w:rPr>
        <w:t>of</w:t>
      </w:r>
    </w:p>
    <w:p>
      <w:pPr>
        <w:pStyle w:val="BodyText"/>
        <w:spacing w:line="180" w:lineRule="exact"/>
        <w:ind w:right="0" w:firstLine="0"/>
        <w:jc w:val="left"/>
      </w:pPr>
      <w:r>
        <w:rPr>
          <w:color w:val="231F20"/>
        </w:rPr>
        <w:t>-vermindering.</w:t>
      </w:r>
    </w:p>
    <w:p>
      <w:pPr>
        <w:pStyle w:val="BodyText"/>
        <w:spacing w:line="218" w:lineRule="auto" w:before="82"/>
      </w:pPr>
      <w:r>
        <w:rPr>
          <w:color w:val="231F20"/>
        </w:rPr>
        <w:t>De rechter kan de eigendomsoverdracht bevelen tegen betaling van een provisionele prijs in afwachting van de bepaling van de definitieve prijs.</w:t>
      </w:r>
    </w:p>
    <w:p>
      <w:pPr>
        <w:pStyle w:val="BodyText"/>
        <w:spacing w:line="218" w:lineRule="auto" w:before="86"/>
      </w:pPr>
      <w:r>
        <w:rPr>
          <w:color w:val="231F20"/>
        </w:rPr>
        <w:t>De rechter kan een deel van de prijs koppelen aan de instemming van gedaagden met de naleving van een niet-concurrentiebeding met de vennootschap dat hij voorstelt of met de verstrenging van een bestaand niet-concurrentiebeding. Op verzoek van gedaagden kan de rechter  hen tevens ontheffen van een bestaand niet-concurrentiebeding, dan wel dergelijk beding beperken, al dan niet gekoppeld aan een vermindering van de</w:t>
      </w:r>
      <w:r>
        <w:rPr>
          <w:color w:val="231F20"/>
          <w:spacing w:val="5"/>
        </w:rPr>
        <w:t> </w:t>
      </w:r>
      <w:r>
        <w:rPr>
          <w:color w:val="231F20"/>
        </w:rPr>
        <w:t>prijs.</w:t>
      </w:r>
    </w:p>
    <w:p>
      <w:pPr>
        <w:pStyle w:val="BodyText"/>
        <w:spacing w:line="218" w:lineRule="auto" w:before="86"/>
      </w:pPr>
      <w:r>
        <w:rPr>
          <w:color w:val="231F20"/>
        </w:rPr>
        <w:t>De rechter kan aan de eisers de verplichting opleggen om de  zakelijke en persoonlijke zekerheden gesteld door de gedaagden</w:t>
      </w:r>
      <w:r>
        <w:rPr>
          <w:color w:val="231F20"/>
          <w:spacing w:val="19"/>
        </w:rPr>
        <w:t> </w:t>
      </w:r>
      <w:r>
        <w:rPr>
          <w:color w:val="231F20"/>
        </w:rPr>
        <w:t>ten voordele van de vennootschap op te heffen of te laten opheffen, of daarvoor een gepaste tegengarantie te geven. De beslissing geldt als titel voor de vervulling van de formaliteiten verbonden aan de overdracht.</w:t>
      </w:r>
    </w:p>
    <w:p>
      <w:pPr>
        <w:pStyle w:val="BodyText"/>
        <w:spacing w:line="218" w:lineRule="auto" w:before="86"/>
      </w:pPr>
      <w:r>
        <w:rPr>
          <w:color w:val="231F20"/>
        </w:rPr>
        <w:t>De overdracht gebeurt, in voorkomend geval, na de uitoefening van de eventuele rechten van voorkoop die in het vonnis worden genoemd, naar evenredigheid van ieders effectenbezit, tenzij anders is overeen- gekomen.</w:t>
      </w:r>
    </w:p>
    <w:p>
      <w:pPr>
        <w:pStyle w:val="BodyText"/>
        <w:spacing w:line="324" w:lineRule="auto" w:before="71"/>
        <w:ind w:left="283" w:right="0" w:firstLine="0"/>
        <w:jc w:val="left"/>
      </w:pPr>
      <w:r>
        <w:rPr>
          <w:color w:val="231F20"/>
        </w:rPr>
        <w:t>De overnemers zijn hoofdelijk gehouden tot betaling van de prijs. HOOFDSTUK 3. De uittreding.</w:t>
      </w:r>
    </w:p>
    <w:p>
      <w:pPr>
        <w:pStyle w:val="BodyText"/>
        <w:spacing w:line="218" w:lineRule="auto" w:before="15"/>
      </w:pPr>
      <w:r>
        <w:rPr>
          <w:color w:val="231F20"/>
        </w:rPr>
        <w:t>Art. 2:68. Iedere aandeelhouder kan om gegronde redenen in rechte vorderen dat zijn effecten worden overgenomen door de aandeelhou- ders op wie deze gegronde redenen betrekking hebben.</w:t>
      </w:r>
    </w:p>
    <w:p>
      <w:pPr>
        <w:pStyle w:val="BodyText"/>
        <w:spacing w:line="218" w:lineRule="auto" w:before="86"/>
      </w:pPr>
      <w:r>
        <w:rPr>
          <w:color w:val="231F20"/>
        </w:rPr>
        <w:t>Indien de vordering wordt ingesteld door of tegen een titularis van een deel van het eigendomsrecht op de over te nemen effecten, moeten de overige titularissen van het eigendomsrecht op deze effecten mee in de zaak worden betrokken.</w:t>
      </w:r>
    </w:p>
    <w:p>
      <w:pPr>
        <w:pStyle w:val="BodyText"/>
        <w:spacing w:line="218" w:lineRule="auto" w:before="85"/>
      </w:pPr>
      <w:r>
        <w:rPr>
          <w:color w:val="231F20"/>
        </w:rPr>
        <w:t>De omstandigheid dat de verweerder tijdens de procedure ophoudt aandeelhouder te zijn, heeft geen invloed op de voortzetting van de procedure noch op het aanwenden van rechtsmiddelen.</w:t>
      </w:r>
    </w:p>
    <w:p>
      <w:pPr>
        <w:pStyle w:val="BodyText"/>
        <w:spacing w:line="218" w:lineRule="auto" w:before="86"/>
      </w:pPr>
      <w:r>
        <w:rPr>
          <w:color w:val="231F20"/>
        </w:rPr>
        <w:t>Artikel 2:66, tweede en derde lid, is van toepassing. Artikel 2:66, eerste lid, is van overeenkomstige toepassing op de eiser.</w:t>
      </w:r>
    </w:p>
    <w:p>
      <w:pPr>
        <w:pStyle w:val="BodyText"/>
        <w:spacing w:line="218" w:lineRule="auto" w:before="85"/>
      </w:pPr>
      <w:r>
        <w:rPr>
          <w:color w:val="231F20"/>
        </w:rPr>
        <w:t>Art. 2:69. De rechter veroordeelt de gedaagde om, binnen de door hem gestelde termijn te rekenen van de betekening van het vonnis, de effecten over te nemen en de eiser om deze effecten aan de gedaagde over te dragen tegen betaling van de prijs die hij vaststelt. Het recht op betaling van de prijs ontstaat op het tijdstip van de eigendomsover- dracht. Indien de rechter de eigendomsoverdracht beveelt zonder op te leggen dat de definitieve prijs meteen wordt betaald, kan hij aan de gedaagde een zekerheidstelling voor de nog te betalen overnameprijs opleggen.</w:t>
      </w:r>
    </w:p>
    <w:p>
      <w:pPr>
        <w:pStyle w:val="BodyText"/>
        <w:spacing w:line="218" w:lineRule="auto" w:before="86"/>
        <w:ind w:right="123"/>
      </w:pPr>
      <w:r>
        <w:rPr>
          <w:color w:val="231F20"/>
        </w:rPr>
        <w:t>Bij de bepaling van de overnameprijs is de rechter gebonden door de contractuele of statutaire bepalingen over de vaststelling van de waarde van de effecten, voor zover deze bepalingen specifiek betrekking hebben op de hypothese van een gerechtelijke uittreding en deze overeenkomsten niet leiden tot een kennelijk onredelijke prijs. In ieder geval kan de rechter zich in de plaats stellen van iedere partij of derde die in de statuten of de overeenkomsten is aangewezen om de prijs te bepalen.</w:t>
      </w:r>
    </w:p>
    <w:p>
      <w:pPr>
        <w:pStyle w:val="BodyText"/>
        <w:spacing w:line="218" w:lineRule="auto" w:before="86"/>
        <w:ind w:right="125"/>
      </w:pPr>
      <w:r>
        <w:rPr>
          <w:color w:val="231F20"/>
        </w:rPr>
        <w:t>De rechter raamt de waarde van de effecten op het tijdstip waarop hij de overname ervan beveelt, tenzij dit tot een kennelijk onredelijk resultaat leidt. In dat geval mag hij, met inachtneming van alle relevante omstandigheden, beslissen tot een billijke prijsverhoging of</w:t>
      </w:r>
    </w:p>
    <w:p>
      <w:pPr>
        <w:pStyle w:val="BodyText"/>
        <w:spacing w:line="179" w:lineRule="exact"/>
        <w:ind w:right="0" w:firstLine="0"/>
        <w:jc w:val="left"/>
      </w:pPr>
      <w:r>
        <w:rPr>
          <w:color w:val="231F20"/>
        </w:rPr>
        <w:t>-vermindering.</w:t>
      </w:r>
    </w:p>
    <w:p>
      <w:pPr>
        <w:pStyle w:val="BodyText"/>
        <w:spacing w:line="218" w:lineRule="auto" w:before="82"/>
      </w:pPr>
      <w:r>
        <w:rPr>
          <w:color w:val="231F20"/>
        </w:rPr>
        <w:t>De rechter kan de eigendomsoverdracht bevelen tegen betaling van een provisionele prijs in afwachting van de bepaling van de definitieve prijs.</w:t>
      </w:r>
    </w:p>
    <w:p>
      <w:pPr>
        <w:pStyle w:val="BodyText"/>
        <w:spacing w:line="218" w:lineRule="auto" w:before="86"/>
      </w:pPr>
      <w:r>
        <w:rPr>
          <w:color w:val="231F20"/>
        </w:rPr>
        <w:t>De rechter kan een deel van de prijs koppelen aan de instemming van eisers met de naleving van een niet-concurrentiebeding dat hij voorstelt of met de verstrenging van een bestaand niet-concurrentiebeding. Op verzoek van gedaagden kan de rechter hen tevens ontheffen van een bestaand niet-concurrentiebeding met de vennootschap, dan wel dergelijk beding beperken, al dan niet gekoppeld aan een vermindering van de prijs.</w:t>
      </w:r>
    </w:p>
    <w:p>
      <w:pPr>
        <w:pStyle w:val="BodyText"/>
        <w:spacing w:line="218" w:lineRule="auto" w:before="96"/>
      </w:pPr>
      <w:r>
        <w:rPr>
          <w:color w:val="231F20"/>
        </w:rPr>
        <w:t>De rechter kan aan de gedaagden de verplichting opleggen om de zakelijke en persoonlijke zekerheden gesteld door de eisers ten voordele van de vennootschap op te heffen of te laten opheffen, of daarvoor</w:t>
      </w:r>
      <w:r>
        <w:rPr>
          <w:color w:val="231F20"/>
          <w:spacing w:val="15"/>
        </w:rPr>
        <w:t> </w:t>
      </w:r>
      <w:r>
        <w:rPr>
          <w:color w:val="231F20"/>
        </w:rPr>
        <w:t>een</w:t>
      </w:r>
      <w:r>
        <w:rPr>
          <w:color w:val="231F20"/>
          <w:spacing w:val="16"/>
        </w:rPr>
        <w:t> </w:t>
      </w:r>
      <w:r>
        <w:rPr>
          <w:color w:val="231F20"/>
        </w:rPr>
        <w:t>gepaste</w:t>
      </w:r>
      <w:r>
        <w:rPr>
          <w:color w:val="231F20"/>
          <w:spacing w:val="16"/>
        </w:rPr>
        <w:t> </w:t>
      </w:r>
      <w:r>
        <w:rPr>
          <w:color w:val="231F20"/>
        </w:rPr>
        <w:t>tegengarantie</w:t>
      </w:r>
      <w:r>
        <w:rPr>
          <w:color w:val="231F20"/>
          <w:spacing w:val="16"/>
        </w:rPr>
        <w:t> </w:t>
      </w:r>
      <w:r>
        <w:rPr>
          <w:color w:val="231F20"/>
        </w:rPr>
        <w:t>te</w:t>
      </w:r>
      <w:r>
        <w:rPr>
          <w:color w:val="231F20"/>
          <w:spacing w:val="16"/>
        </w:rPr>
        <w:t> </w:t>
      </w:r>
      <w:r>
        <w:rPr>
          <w:color w:val="231F20"/>
        </w:rPr>
        <w:t>geven.</w:t>
      </w:r>
    </w:p>
    <w:p>
      <w:pPr>
        <w:pStyle w:val="BodyText"/>
        <w:spacing w:line="218" w:lineRule="auto" w:before="97"/>
      </w:pPr>
      <w:r>
        <w:rPr>
          <w:color w:val="231F20"/>
        </w:rPr>
        <w:t>De beslissing geldt als titel voor het vervullen van de formaliteiten verbonden aan de overdracht.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85"/>
      </w:pPr>
      <w:r>
        <w:rPr/>
        <w:pict>
          <v:line style="position:absolute;mso-position-horizontal-relative:page;mso-position-vertical-relative:page;z-index:1720" from="298.170502pt,64.473pt" to="298.170502pt,812.819pt" stroked="true" strokeweight=".533pt" strokecolor="#231f20">
            <v:stroke dashstyle="solid"/>
            <w10:wrap type="none"/>
          </v:line>
        </w:pict>
      </w:r>
      <w:bookmarkStart w:name="_bookmark29" w:id="32"/>
      <w:bookmarkEnd w:id="32"/>
      <w:r>
        <w:rPr/>
      </w:r>
      <w:r>
        <w:rPr>
          <w:color w:val="231F20"/>
        </w:rPr>
        <w:t>Le transfert a lieu, le cas échéant, après l’exercice des droits éventuels de préemption mentionnés dans le jugement, proportionnellement à la détention d’actions de chacun, à moins qu’il en soit convenu autrement.</w:t>
      </w:r>
    </w:p>
    <w:p>
      <w:pPr>
        <w:pStyle w:val="BodyText"/>
        <w:spacing w:before="6"/>
        <w:ind w:left="0" w:right="0" w:firstLine="0"/>
        <w:jc w:val="left"/>
        <w:rPr>
          <w:sz w:val="24"/>
        </w:rPr>
      </w:pPr>
    </w:p>
    <w:p>
      <w:pPr>
        <w:pStyle w:val="BodyText"/>
        <w:spacing w:line="364" w:lineRule="auto"/>
        <w:ind w:left="283" w:right="0" w:firstLine="0"/>
        <w:jc w:val="left"/>
      </w:pPr>
      <w:r>
        <w:rPr>
          <w:color w:val="231F20"/>
        </w:rPr>
        <w:t>Les cessionnaires sont tenus solidairement au paiement du prix. TITRE 8. De la dissolution et de la liquidation.</w:t>
      </w:r>
    </w:p>
    <w:p>
      <w:pPr>
        <w:pStyle w:val="BodyText"/>
        <w:spacing w:line="192" w:lineRule="exact"/>
        <w:ind w:left="283" w:right="0" w:firstLine="0"/>
        <w:jc w:val="left"/>
      </w:pPr>
      <w:r>
        <w:rPr>
          <w:color w:val="231F20"/>
        </w:rPr>
        <w:t>CHAPITRE 1</w:t>
      </w:r>
      <w:r>
        <w:rPr>
          <w:color w:val="231F20"/>
          <w:position w:val="7"/>
          <w:sz w:val="11"/>
        </w:rPr>
        <w:t>er</w:t>
      </w:r>
      <w:r>
        <w:rPr>
          <w:color w:val="231F20"/>
        </w:rPr>
        <w:t>. Dissolution et liquidation des sociétés.</w:t>
      </w:r>
    </w:p>
    <w:p>
      <w:pPr>
        <w:pStyle w:val="BodyText"/>
        <w:spacing w:line="355" w:lineRule="auto" w:before="85"/>
        <w:ind w:left="283" w:right="2384" w:firstLine="0"/>
        <w:jc w:val="left"/>
      </w:pPr>
      <w:r>
        <w:rPr>
          <w:color w:val="231F20"/>
        </w:rPr>
        <w:t>Section 1</w:t>
      </w:r>
      <w:r>
        <w:rPr>
          <w:color w:val="231F20"/>
          <w:position w:val="7"/>
          <w:sz w:val="11"/>
        </w:rPr>
        <w:t>re</w:t>
      </w:r>
      <w:r>
        <w:rPr>
          <w:color w:val="231F20"/>
        </w:rPr>
        <w:t>. Dissolution des sociétés. Sous-section 1</w:t>
      </w:r>
      <w:r>
        <w:rPr>
          <w:color w:val="231F20"/>
          <w:position w:val="7"/>
          <w:sz w:val="11"/>
        </w:rPr>
        <w:t>re</w:t>
      </w:r>
      <w:r>
        <w:rPr>
          <w:color w:val="231F20"/>
        </w:rPr>
        <w:t>. Disposition générale. Art. 2:70. La société est dissoute:</w:t>
      </w:r>
    </w:p>
    <w:p>
      <w:pPr>
        <w:pStyle w:val="BodyText"/>
        <w:spacing w:before="7"/>
        <w:ind w:left="283" w:right="0" w:firstLine="0"/>
        <w:jc w:val="left"/>
      </w:pPr>
      <w:r>
        <w:rPr>
          <w:color w:val="231F20"/>
        </w:rPr>
        <w:t>1° par une décision de l’assemblée générale;</w:t>
      </w:r>
    </w:p>
    <w:p>
      <w:pPr>
        <w:pStyle w:val="BodyText"/>
        <w:spacing w:before="100"/>
        <w:ind w:left="283" w:right="0" w:firstLine="0"/>
        <w:jc w:val="left"/>
      </w:pPr>
      <w:r>
        <w:rPr>
          <w:color w:val="231F20"/>
        </w:rPr>
        <w:t>2° de plein droit, à la suite d’un fait ou événement prévu par la loi;</w:t>
      </w:r>
    </w:p>
    <w:p>
      <w:pPr>
        <w:pStyle w:val="BodyText"/>
        <w:spacing w:before="3"/>
        <w:ind w:left="0" w:right="0" w:firstLine="0"/>
        <w:jc w:val="left"/>
        <w:rPr>
          <w:sz w:val="24"/>
        </w:rPr>
      </w:pPr>
    </w:p>
    <w:p>
      <w:pPr>
        <w:pStyle w:val="BodyText"/>
        <w:ind w:left="283" w:right="0" w:firstLine="0"/>
        <w:jc w:val="left"/>
      </w:pPr>
      <w:r>
        <w:rPr>
          <w:color w:val="231F20"/>
        </w:rPr>
        <w:t>3° par une décision judiciaire.</w:t>
      </w:r>
    </w:p>
    <w:p>
      <w:pPr>
        <w:pStyle w:val="BodyText"/>
        <w:spacing w:line="364" w:lineRule="auto" w:before="100"/>
        <w:ind w:left="283" w:right="1715" w:hanging="1"/>
        <w:jc w:val="left"/>
      </w:pPr>
      <w:r>
        <w:rPr>
          <w:color w:val="231F20"/>
        </w:rPr>
        <w:t>La dissolution entraîne la clôture de l’exercice. Sous-section 2. Dissolution volontaire.</w:t>
      </w:r>
    </w:p>
    <w:p>
      <w:pPr>
        <w:pStyle w:val="BodyText"/>
        <w:spacing w:line="218" w:lineRule="auto"/>
        <w:ind w:right="85"/>
      </w:pPr>
      <w:r>
        <w:rPr>
          <w:color w:val="231F20"/>
        </w:rPr>
        <w:t>Art. 2:71. § 1</w:t>
      </w:r>
      <w:r>
        <w:rPr>
          <w:color w:val="231F20"/>
          <w:position w:val="7"/>
          <w:sz w:val="11"/>
        </w:rPr>
        <w:t>er</w:t>
      </w:r>
      <w:r>
        <w:rPr>
          <w:color w:val="231F20"/>
        </w:rPr>
        <w:t>. La société à responsabilité limitée, la société coopérative, la société anonyme, la société européenne ou la société coopérative européenne, peut à tout moment être dissoute par une décision de l’assemblée générale prise moyennant le respect des formalités et des conditions de quorum et de majorité prévues par le présent code.</w:t>
      </w:r>
    </w:p>
    <w:p>
      <w:pPr>
        <w:pStyle w:val="BodyText"/>
        <w:spacing w:line="218" w:lineRule="auto" w:before="116"/>
        <w:ind w:right="86"/>
      </w:pPr>
      <w:r>
        <w:rPr>
          <w:color w:val="231F20"/>
        </w:rPr>
        <w:t>§ 2. L’organe d’administration justifie la proposition de dissolution dans un rapport annoncé dans l’ordre du jour de l’assemblée appelée à se prononcer sur la dissolution.</w:t>
      </w:r>
    </w:p>
    <w:p>
      <w:pPr>
        <w:pStyle w:val="BodyText"/>
        <w:spacing w:line="218" w:lineRule="auto" w:before="117"/>
        <w:ind w:right="85"/>
      </w:pPr>
      <w:r>
        <w:rPr>
          <w:color w:val="231F20"/>
        </w:rPr>
        <w:t>À ce rapport est joint un état résumant la situation active et passive de la société, clôturé à une date ne remontant pas à plus de trois mois avant l’assemblée générale appelée à se prononcer sur la proposition de dissolution. Dans le cas où la société décide de mettre fin à ses activités ou si l’on ne peut plus escompter que la société poursuivra ses activités, l’état précité est établi conformément aux règles d’évaluation fixées en exécution</w:t>
      </w:r>
      <w:r>
        <w:rPr>
          <w:color w:val="231F20"/>
          <w:spacing w:val="15"/>
        </w:rPr>
        <w:t> </w:t>
      </w:r>
      <w:r>
        <w:rPr>
          <w:color w:val="231F20"/>
        </w:rPr>
        <w:t>de</w:t>
      </w:r>
      <w:r>
        <w:rPr>
          <w:color w:val="231F20"/>
          <w:spacing w:val="15"/>
        </w:rPr>
        <w:t> </w:t>
      </w:r>
      <w:r>
        <w:rPr>
          <w:color w:val="231F20"/>
        </w:rPr>
        <w:t>l’article</w:t>
      </w:r>
      <w:r>
        <w:rPr>
          <w:color w:val="231F20"/>
          <w:spacing w:val="16"/>
        </w:rPr>
        <w:t> </w:t>
      </w:r>
      <w:r>
        <w:rPr>
          <w:color w:val="231F20"/>
        </w:rPr>
        <w:t>3:1,</w:t>
      </w:r>
      <w:r>
        <w:rPr>
          <w:color w:val="231F20"/>
          <w:spacing w:val="15"/>
        </w:rPr>
        <w:t> </w:t>
      </w:r>
      <w:r>
        <w:rPr>
          <w:color w:val="231F20"/>
        </w:rPr>
        <w:t>sauf</w:t>
      </w:r>
      <w:r>
        <w:rPr>
          <w:color w:val="231F20"/>
          <w:spacing w:val="16"/>
        </w:rPr>
        <w:t> </w:t>
      </w:r>
      <w:r>
        <w:rPr>
          <w:color w:val="231F20"/>
        </w:rPr>
        <w:t>dérogation</w:t>
      </w:r>
      <w:r>
        <w:rPr>
          <w:color w:val="231F20"/>
          <w:spacing w:val="15"/>
        </w:rPr>
        <w:t> </w:t>
      </w:r>
      <w:r>
        <w:rPr>
          <w:color w:val="231F20"/>
        </w:rPr>
        <w:t>motivée.</w:t>
      </w:r>
    </w:p>
    <w:p>
      <w:pPr>
        <w:pStyle w:val="BodyText"/>
        <w:spacing w:before="10"/>
        <w:ind w:left="0" w:right="0" w:firstLine="0"/>
        <w:jc w:val="left"/>
        <w:rPr>
          <w:sz w:val="25"/>
        </w:rPr>
      </w:pPr>
    </w:p>
    <w:p>
      <w:pPr>
        <w:pStyle w:val="BodyText"/>
        <w:spacing w:line="218" w:lineRule="auto"/>
        <w:ind w:right="85"/>
      </w:pPr>
      <w:r>
        <w:rPr>
          <w:color w:val="231F20"/>
        </w:rPr>
        <w:t>Le commissaire ou, lorsqu’il n’y a pas de commissaire, un réviseur d’entreprises ou un expert-comptable externe désigné par l’organe d’administration contrôle cet état, en fait rapport et indique spéciale- ment s’il donne une image fidèle de la situation de la société.</w:t>
      </w:r>
    </w:p>
    <w:p>
      <w:pPr>
        <w:pStyle w:val="BodyText"/>
        <w:spacing w:before="1"/>
        <w:ind w:left="0" w:right="0" w:firstLine="0"/>
        <w:jc w:val="left"/>
        <w:rPr>
          <w:sz w:val="26"/>
        </w:rPr>
      </w:pPr>
    </w:p>
    <w:p>
      <w:pPr>
        <w:pStyle w:val="BodyText"/>
        <w:spacing w:line="213" w:lineRule="auto"/>
        <w:ind w:right="38"/>
      </w:pPr>
      <w:r>
        <w:rPr>
          <w:color w:val="231F20"/>
        </w:rPr>
        <w:t>§ 3. Une copie des rapports et de l’état résumant la situation active et passive, visés au paragraphe 1</w:t>
      </w:r>
      <w:r>
        <w:rPr>
          <w:color w:val="231F20"/>
          <w:position w:val="7"/>
          <w:sz w:val="11"/>
        </w:rPr>
        <w:t>er</w:t>
      </w:r>
      <w:r>
        <w:rPr>
          <w:color w:val="231F20"/>
        </w:rPr>
        <w:t>, est adressée aux associés conformé- ment aux articles 5:84 ou 7:132, suivant le cas, s’il s’agit d’une société à responsabilité limitée, d’une société coopérative ou d’une société anonyme.</w:t>
      </w:r>
    </w:p>
    <w:p>
      <w:pPr>
        <w:pStyle w:val="BodyText"/>
        <w:spacing w:line="218" w:lineRule="auto" w:before="119"/>
        <w:ind w:right="86"/>
      </w:pPr>
      <w:r>
        <w:rPr>
          <w:color w:val="231F20"/>
        </w:rPr>
        <w:t>§ 4. En l’absence des rapports visés au présent article, la décision de l’assemblée générale est nulle.</w:t>
      </w:r>
    </w:p>
    <w:p>
      <w:pPr>
        <w:pStyle w:val="BodyText"/>
        <w:spacing w:line="218" w:lineRule="auto" w:before="117"/>
        <w:ind w:right="86"/>
      </w:pPr>
      <w:r>
        <w:rPr>
          <w:color w:val="231F20"/>
        </w:rPr>
        <w:t>§ 5. La société en nom collectif et la société en commandite sont soumises aux dispositions des paragraphes 2 à 4 si elles souhaitent</w:t>
      </w:r>
      <w:r>
        <w:rPr>
          <w:color w:val="231F20"/>
          <w:spacing w:val="-9"/>
        </w:rPr>
        <w:t> </w:t>
      </w:r>
      <w:r>
        <w:rPr>
          <w:color w:val="231F20"/>
        </w:rPr>
        <w:t>faire usage</w:t>
      </w:r>
      <w:r>
        <w:rPr>
          <w:color w:val="231F20"/>
          <w:spacing w:val="14"/>
        </w:rPr>
        <w:t> </w:t>
      </w:r>
      <w:r>
        <w:rPr>
          <w:color w:val="231F20"/>
        </w:rPr>
        <w:t>de</w:t>
      </w:r>
      <w:r>
        <w:rPr>
          <w:color w:val="231F20"/>
          <w:spacing w:val="15"/>
        </w:rPr>
        <w:t> </w:t>
      </w:r>
      <w:r>
        <w:rPr>
          <w:color w:val="231F20"/>
        </w:rPr>
        <w:t>la</w:t>
      </w:r>
      <w:r>
        <w:rPr>
          <w:color w:val="231F20"/>
          <w:spacing w:val="14"/>
        </w:rPr>
        <w:t> </w:t>
      </w:r>
      <w:r>
        <w:rPr>
          <w:color w:val="231F20"/>
        </w:rPr>
        <w:t>procédure</w:t>
      </w:r>
      <w:r>
        <w:rPr>
          <w:color w:val="231F20"/>
          <w:spacing w:val="15"/>
        </w:rPr>
        <w:t> </w:t>
      </w:r>
      <w:r>
        <w:rPr>
          <w:color w:val="231F20"/>
        </w:rPr>
        <w:t>prévue</w:t>
      </w:r>
      <w:r>
        <w:rPr>
          <w:color w:val="231F20"/>
          <w:spacing w:val="14"/>
        </w:rPr>
        <w:t> </w:t>
      </w:r>
      <w:r>
        <w:rPr>
          <w:color w:val="231F20"/>
        </w:rPr>
        <w:t>à</w:t>
      </w:r>
      <w:r>
        <w:rPr>
          <w:color w:val="231F20"/>
          <w:spacing w:val="15"/>
        </w:rPr>
        <w:t> </w:t>
      </w:r>
      <w:r>
        <w:rPr>
          <w:color w:val="231F20"/>
        </w:rPr>
        <w:t>l’article</w:t>
      </w:r>
      <w:r>
        <w:rPr>
          <w:color w:val="231F20"/>
          <w:spacing w:val="15"/>
        </w:rPr>
        <w:t> </w:t>
      </w:r>
      <w:r>
        <w:rPr>
          <w:color w:val="231F20"/>
        </w:rPr>
        <w:t>2:80.</w:t>
      </w:r>
    </w:p>
    <w:p>
      <w:pPr>
        <w:pStyle w:val="BodyText"/>
        <w:spacing w:before="9"/>
        <w:ind w:left="0" w:right="0" w:firstLine="0"/>
        <w:jc w:val="left"/>
        <w:rPr>
          <w:sz w:val="26"/>
        </w:rPr>
      </w:pPr>
    </w:p>
    <w:p>
      <w:pPr>
        <w:pStyle w:val="BodyText"/>
        <w:spacing w:line="218" w:lineRule="auto"/>
        <w:ind w:right="85"/>
      </w:pPr>
      <w:r>
        <w:rPr>
          <w:color w:val="231F20"/>
        </w:rPr>
        <w:t>§ 6. Avant de dresser l’acte authentique de la décision de dissolution de la société, le notaire doit vérifier et attester l’existence et la légalité externe des actes et formalités incombant, en vertu du paragraphe 2, à la société auprès de laquelle il instrumente.</w:t>
      </w:r>
    </w:p>
    <w:p>
      <w:pPr>
        <w:pStyle w:val="BodyText"/>
        <w:spacing w:before="8"/>
        <w:ind w:left="0" w:right="0" w:firstLine="0"/>
        <w:jc w:val="left"/>
        <w:rPr>
          <w:sz w:val="26"/>
        </w:rPr>
      </w:pPr>
    </w:p>
    <w:p>
      <w:pPr>
        <w:pStyle w:val="BodyText"/>
        <w:spacing w:line="218" w:lineRule="auto"/>
        <w:ind w:right="85"/>
      </w:pPr>
      <w:r>
        <w:rPr>
          <w:color w:val="231F20"/>
          <w:spacing w:val="-3"/>
        </w:rPr>
        <w:t>L’acte </w:t>
      </w:r>
      <w:r>
        <w:rPr>
          <w:color w:val="231F20"/>
        </w:rPr>
        <w:t>reproduit la conclusion du rapport établi par le commissaire, le réviseur d’entreprises ou l’expert-comptable externe conformément au paragraphe 2.</w:t>
      </w:r>
    </w:p>
    <w:p>
      <w:pPr>
        <w:pStyle w:val="BodyText"/>
        <w:spacing w:before="115"/>
        <w:ind w:left="283" w:right="0" w:firstLine="0"/>
        <w:jc w:val="left"/>
      </w:pPr>
      <w:r>
        <w:rPr>
          <w:color w:val="231F20"/>
        </w:rPr>
        <w:t>Sous-section 3. Dissolution de plein droit.</w:t>
      </w:r>
    </w:p>
    <w:p>
      <w:pPr>
        <w:pStyle w:val="BodyText"/>
        <w:spacing w:line="218" w:lineRule="auto" w:before="124"/>
        <w:ind w:right="85"/>
      </w:pPr>
      <w:r>
        <w:rPr>
          <w:color w:val="231F20"/>
        </w:rPr>
        <w:t>Art. 2:72. Sans préjudice des dispositions particulières du présent code, les sociétés sont dissoutes de plein droit par l’expiration du terme pour lequel elles ont été conclues ou par l’effet d’une condition résolutoire expresse dont les associés ou les actionnaires ont assorti la société dans les statuts.</w:t>
      </w:r>
    </w:p>
    <w:p>
      <w:pPr>
        <w:pStyle w:val="BodyText"/>
        <w:spacing w:before="6"/>
        <w:ind w:left="0" w:right="0" w:firstLine="0"/>
        <w:jc w:val="left"/>
        <w:rPr>
          <w:sz w:val="25"/>
        </w:rPr>
      </w:pPr>
    </w:p>
    <w:p>
      <w:pPr>
        <w:pStyle w:val="BodyText"/>
        <w:ind w:left="283" w:right="0" w:firstLine="0"/>
        <w:jc w:val="left"/>
      </w:pPr>
      <w:r>
        <w:rPr>
          <w:color w:val="231F20"/>
        </w:rPr>
        <w:t>Sous-section 4. Dissolution judiciaire.</w:t>
      </w:r>
    </w:p>
    <w:p>
      <w:pPr>
        <w:pStyle w:val="BodyText"/>
        <w:spacing w:line="218" w:lineRule="auto" w:before="125"/>
        <w:ind w:right="85"/>
      </w:pPr>
      <w:r>
        <w:rPr>
          <w:color w:val="231F20"/>
        </w:rPr>
        <w:t>Art. 2:73. Le président du tribunal de l’entreprise du siège de la société, siégeant comme en référé à la requête d’un actionnaire ou associé, peut prononcer pour de justes motifs la dissolution d’une société.</w:t>
      </w:r>
    </w:p>
    <w:p>
      <w:pPr>
        <w:pStyle w:val="BodyText"/>
        <w:spacing w:line="218" w:lineRule="auto" w:before="119"/>
      </w:pPr>
      <w:r>
        <w:rPr/>
        <w:br w:type="column"/>
      </w:r>
      <w:r>
        <w:rPr>
          <w:color w:val="231F20"/>
        </w:rPr>
        <w:t>De overdracht gebeurt, in voorkomend geval, na de uitoefening van de eventuele rechten van voorkoop die in het vonnis worden genoemd, naar evenredigheid van ieders aandelenbezit, tenzij anders is overeen- gekomen.</w:t>
      </w:r>
    </w:p>
    <w:p>
      <w:pPr>
        <w:pStyle w:val="BodyText"/>
        <w:spacing w:line="364" w:lineRule="auto" w:before="104"/>
        <w:ind w:left="283" w:right="0" w:firstLine="0"/>
        <w:jc w:val="left"/>
      </w:pPr>
      <w:r>
        <w:rPr>
          <w:color w:val="231F20"/>
        </w:rPr>
        <w:t>De overnemers zijn hoofdelijk gehouden tot betaling van de prijs. TITEL 8. Ontbinding en vereffening.</w:t>
      </w:r>
    </w:p>
    <w:p>
      <w:pPr>
        <w:pStyle w:val="BodyText"/>
        <w:spacing w:line="364" w:lineRule="auto"/>
        <w:ind w:left="283" w:right="0" w:firstLine="0"/>
        <w:jc w:val="left"/>
      </w:pPr>
      <w:r>
        <w:rPr>
          <w:color w:val="231F20"/>
        </w:rPr>
        <w:t>HOOFDSTUK 1. Ontbinding en vereffening van vennootschappen. Afdeling 1. Ontbinding van vennootschappen.</w:t>
      </w:r>
    </w:p>
    <w:p>
      <w:pPr>
        <w:pStyle w:val="BodyText"/>
        <w:spacing w:line="192" w:lineRule="exact"/>
        <w:ind w:left="283" w:right="0" w:firstLine="0"/>
        <w:jc w:val="left"/>
      </w:pPr>
      <w:r>
        <w:rPr>
          <w:color w:val="231F20"/>
          <w:w w:val="105"/>
        </w:rPr>
        <w:t>Onderafdeling 1. Algemene bepaling.</w:t>
      </w:r>
    </w:p>
    <w:p>
      <w:pPr>
        <w:pStyle w:val="BodyText"/>
        <w:spacing w:before="99"/>
        <w:ind w:left="283" w:right="0" w:firstLine="0"/>
        <w:jc w:val="left"/>
      </w:pPr>
      <w:r>
        <w:rPr>
          <w:color w:val="231F20"/>
        </w:rPr>
        <w:t>Art. 2:70. De vennootschap wordt ontbonden:</w:t>
      </w:r>
    </w:p>
    <w:p>
      <w:pPr>
        <w:pStyle w:val="BodyText"/>
        <w:spacing w:before="100"/>
        <w:ind w:left="283" w:right="0" w:firstLine="0"/>
        <w:jc w:val="left"/>
      </w:pPr>
      <w:r>
        <w:rPr>
          <w:color w:val="231F20"/>
        </w:rPr>
        <w:t>1° door een besluit van de algemene vergadering;</w:t>
      </w:r>
    </w:p>
    <w:p>
      <w:pPr>
        <w:pStyle w:val="BodyText"/>
        <w:spacing w:line="218" w:lineRule="auto" w:before="114"/>
      </w:pPr>
      <w:r>
        <w:rPr>
          <w:color w:val="231F20"/>
        </w:rPr>
        <w:t>2° van rechtswege, als gevolg van een door de wet omschreven feit of gebeurtenis;</w:t>
      </w:r>
    </w:p>
    <w:p>
      <w:pPr>
        <w:pStyle w:val="BodyText"/>
        <w:spacing w:before="103"/>
        <w:ind w:left="283" w:right="0" w:firstLine="0"/>
        <w:jc w:val="left"/>
      </w:pPr>
      <w:r>
        <w:rPr>
          <w:color w:val="231F20"/>
        </w:rPr>
        <w:t>3° door een gerechtelijke beslissing.</w:t>
      </w:r>
    </w:p>
    <w:p>
      <w:pPr>
        <w:pStyle w:val="BodyText"/>
        <w:spacing w:line="364" w:lineRule="auto" w:before="100"/>
        <w:ind w:left="283" w:right="0" w:firstLine="0"/>
        <w:jc w:val="left"/>
      </w:pPr>
      <w:r>
        <w:rPr>
          <w:color w:val="231F20"/>
        </w:rPr>
        <w:t>De ontbinding heeft de afsluiting van het boekjaar tot gevolg. Onderafdeling 2. Vrijwillige ontbinding.</w:t>
      </w:r>
    </w:p>
    <w:p>
      <w:pPr>
        <w:pStyle w:val="BodyText"/>
        <w:spacing w:line="218" w:lineRule="auto" w:before="13"/>
      </w:pPr>
      <w:r>
        <w:rPr>
          <w:color w:val="231F20"/>
        </w:rPr>
        <w:t>Art. 2:71. § 1. Een besloten vennootschap, een coöperatieve vennoot- schap, een naamloze vennootschap, een Europese vennootschap of een Europese coöperatieve vennootschap kan op elk ogenblik worden ontbonden door een besluit van de algemene vergadering  genomen met inachtneming van de door dit wetboek bepaalde vormvereisten, aanwezigheidsquorum en</w:t>
      </w:r>
      <w:r>
        <w:rPr>
          <w:color w:val="231F20"/>
          <w:spacing w:val="-10"/>
        </w:rPr>
        <w:t> </w:t>
      </w:r>
      <w:r>
        <w:rPr>
          <w:color w:val="231F20"/>
        </w:rPr>
        <w:t>meerderheid.</w:t>
      </w:r>
    </w:p>
    <w:p>
      <w:pPr>
        <w:pStyle w:val="BodyText"/>
        <w:spacing w:line="218" w:lineRule="auto" w:before="118"/>
      </w:pPr>
      <w:r>
        <w:rPr>
          <w:color w:val="231F20"/>
        </w:rPr>
        <w:t>§ 2. Het bestuursorgaan licht het voorstel tot ontbinding toe in een verslag dat wordt vermeld in de agenda van de algemene vergadering die zich over de ontbinding moet uitspreken.</w:t>
      </w:r>
    </w:p>
    <w:p>
      <w:pPr>
        <w:pStyle w:val="BodyText"/>
        <w:spacing w:line="218" w:lineRule="auto" w:before="118"/>
      </w:pPr>
      <w:r>
        <w:rPr>
          <w:color w:val="231F20"/>
        </w:rPr>
        <w:t>Bij dat verslag wordt een staat van activa en passiva gevoegd, die niet meer dan drie maanden vóór de algemene vergadering die over het voorstel tot ontbinding moet besluiten is afgesloten. </w:t>
      </w:r>
      <w:r>
        <w:rPr>
          <w:color w:val="231F20"/>
          <w:spacing w:val="-5"/>
        </w:rPr>
        <w:t>Voor </w:t>
      </w:r>
      <w:r>
        <w:rPr>
          <w:color w:val="231F20"/>
        </w:rPr>
        <w:t>de gevallen waarin de vennootschap besluit haar activiteiten te beëindigen of indien er niet langer van kan worden uitgegaan dat de vennootschap haar activiteiten zal voortzetten, wordt voornoemde staat, behoudens met redenen gemotiveerde afwijking, opgesteld conform de</w:t>
      </w:r>
      <w:r>
        <w:rPr>
          <w:color w:val="231F20"/>
          <w:spacing w:val="29"/>
        </w:rPr>
        <w:t> </w:t>
      </w:r>
      <w:r>
        <w:rPr>
          <w:color w:val="231F20"/>
        </w:rPr>
        <w:t>waarde- ringsregels</w:t>
      </w:r>
      <w:r>
        <w:rPr>
          <w:color w:val="231F20"/>
          <w:spacing w:val="16"/>
        </w:rPr>
        <w:t> </w:t>
      </w:r>
      <w:r>
        <w:rPr>
          <w:color w:val="231F20"/>
        </w:rPr>
        <w:t>vastgesteld</w:t>
      </w:r>
      <w:r>
        <w:rPr>
          <w:color w:val="231F20"/>
          <w:spacing w:val="16"/>
        </w:rPr>
        <w:t> </w:t>
      </w:r>
      <w:r>
        <w:rPr>
          <w:color w:val="231F20"/>
        </w:rPr>
        <w:t>in</w:t>
      </w:r>
      <w:r>
        <w:rPr>
          <w:color w:val="231F20"/>
          <w:spacing w:val="16"/>
        </w:rPr>
        <w:t> </w:t>
      </w:r>
      <w:r>
        <w:rPr>
          <w:color w:val="231F20"/>
        </w:rPr>
        <w:t>uitvoering</w:t>
      </w:r>
      <w:r>
        <w:rPr>
          <w:color w:val="231F20"/>
          <w:spacing w:val="16"/>
        </w:rPr>
        <w:t> </w:t>
      </w:r>
      <w:r>
        <w:rPr>
          <w:color w:val="231F20"/>
        </w:rPr>
        <w:t>van</w:t>
      </w:r>
      <w:r>
        <w:rPr>
          <w:color w:val="231F20"/>
          <w:spacing w:val="17"/>
        </w:rPr>
        <w:t> </w:t>
      </w:r>
      <w:r>
        <w:rPr>
          <w:color w:val="231F20"/>
        </w:rPr>
        <w:t>artikel</w:t>
      </w:r>
      <w:r>
        <w:rPr>
          <w:color w:val="231F20"/>
          <w:spacing w:val="16"/>
        </w:rPr>
        <w:t> </w:t>
      </w:r>
      <w:r>
        <w:rPr>
          <w:color w:val="231F20"/>
        </w:rPr>
        <w:t>3:1.</w:t>
      </w:r>
    </w:p>
    <w:p>
      <w:pPr>
        <w:pStyle w:val="BodyText"/>
        <w:spacing w:line="218" w:lineRule="auto" w:before="118"/>
      </w:pPr>
      <w:r>
        <w:rPr>
          <w:color w:val="231F20"/>
        </w:rPr>
        <w:t>De commissaris of, als er geen commissaris is, een door het bestuursorgaan aangewezen bedrijfsrevisor of een externe accountant controleert deze staat, brengt daarover verslag uit en vermeldt inzonderheid of daarin een getrouw beeld wordt gegeven van de toestand van de vennootschap.</w:t>
      </w:r>
    </w:p>
    <w:p>
      <w:pPr>
        <w:pStyle w:val="BodyText"/>
        <w:spacing w:line="218" w:lineRule="auto" w:before="117"/>
      </w:pPr>
      <w:r>
        <w:rPr>
          <w:color w:val="231F20"/>
        </w:rPr>
        <w:t>§ 3. Een kopie van de in paragraaf 1 bedoelde verslagen en staat van activa en passiva wordt aan de vennoten verzonden overeenkomstig de artikelen 5:84 of 7:132, al naargelang het een besloten vennootschap, een coöperatieve vennootschap of een naamloze vennootschap betreft.</w:t>
      </w:r>
    </w:p>
    <w:p>
      <w:pPr>
        <w:pStyle w:val="BodyText"/>
        <w:spacing w:before="9"/>
        <w:ind w:left="0" w:right="0" w:firstLine="0"/>
        <w:jc w:val="left"/>
        <w:rPr>
          <w:sz w:val="25"/>
        </w:rPr>
      </w:pPr>
    </w:p>
    <w:p>
      <w:pPr>
        <w:pStyle w:val="BodyText"/>
        <w:spacing w:line="218" w:lineRule="auto" w:before="1"/>
      </w:pPr>
      <w:r>
        <w:rPr>
          <w:color w:val="231F20"/>
        </w:rPr>
        <w:t>§ 4. Wanneer de in dit artikel bedoelde verslagen ontbreken, is het besluit van de algemene vergadering nietig.</w:t>
      </w:r>
    </w:p>
    <w:p>
      <w:pPr>
        <w:pStyle w:val="BodyText"/>
        <w:spacing w:line="218" w:lineRule="auto" w:before="117"/>
      </w:pPr>
      <w:r>
        <w:rPr>
          <w:color w:val="231F20"/>
        </w:rPr>
        <w:t>§ 5. De vennootschap onder firma en de commanditaire vennoot- schap zijn aan de bepalingen van de paragrafen 2 tot 4 onderworpen indien zij gebruik wensen te maken van de in artikel 2:80 bedoelde procedure.</w:t>
      </w:r>
    </w:p>
    <w:p>
      <w:pPr>
        <w:pStyle w:val="BodyText"/>
        <w:spacing w:line="218" w:lineRule="auto" w:before="128"/>
      </w:pPr>
      <w:r>
        <w:rPr>
          <w:color w:val="231F20"/>
        </w:rPr>
        <w:t>§ 6. </w:t>
      </w:r>
      <w:r>
        <w:rPr>
          <w:color w:val="231F20"/>
          <w:spacing w:val="-3"/>
        </w:rPr>
        <w:t>Vooraleer </w:t>
      </w:r>
      <w:r>
        <w:rPr>
          <w:color w:val="231F20"/>
        </w:rPr>
        <w:t>de beslissing tot ontbinding van de vennootschap bij authentieke</w:t>
      </w:r>
      <w:r>
        <w:rPr>
          <w:color w:val="231F20"/>
          <w:spacing w:val="-3"/>
        </w:rPr>
        <w:t> </w:t>
      </w:r>
      <w:r>
        <w:rPr>
          <w:color w:val="231F20"/>
        </w:rPr>
        <w:t>akte</w:t>
      </w:r>
      <w:r>
        <w:rPr>
          <w:color w:val="231F20"/>
          <w:spacing w:val="-3"/>
        </w:rPr>
        <w:t> </w:t>
      </w:r>
      <w:r>
        <w:rPr>
          <w:color w:val="231F20"/>
        </w:rPr>
        <w:t>op</w:t>
      </w:r>
      <w:r>
        <w:rPr>
          <w:color w:val="231F20"/>
          <w:spacing w:val="-2"/>
        </w:rPr>
        <w:t> </w:t>
      </w:r>
      <w:r>
        <w:rPr>
          <w:color w:val="231F20"/>
        </w:rPr>
        <w:t>te</w:t>
      </w:r>
      <w:r>
        <w:rPr>
          <w:color w:val="231F20"/>
          <w:spacing w:val="-3"/>
        </w:rPr>
        <w:t> </w:t>
      </w:r>
      <w:r>
        <w:rPr>
          <w:color w:val="231F20"/>
        </w:rPr>
        <w:t>stellen,</w:t>
      </w:r>
      <w:r>
        <w:rPr>
          <w:color w:val="231F20"/>
          <w:spacing w:val="-2"/>
        </w:rPr>
        <w:t> </w:t>
      </w:r>
      <w:r>
        <w:rPr>
          <w:color w:val="231F20"/>
        </w:rPr>
        <w:t>moet</w:t>
      </w:r>
      <w:r>
        <w:rPr>
          <w:color w:val="231F20"/>
          <w:spacing w:val="-3"/>
        </w:rPr>
        <w:t> </w:t>
      </w:r>
      <w:r>
        <w:rPr>
          <w:color w:val="231F20"/>
        </w:rPr>
        <w:t>de</w:t>
      </w:r>
      <w:r>
        <w:rPr>
          <w:color w:val="231F20"/>
          <w:spacing w:val="-3"/>
        </w:rPr>
        <w:t> </w:t>
      </w:r>
      <w:r>
        <w:rPr>
          <w:color w:val="231F20"/>
        </w:rPr>
        <w:t>notaris</w:t>
      </w:r>
      <w:r>
        <w:rPr>
          <w:color w:val="231F20"/>
          <w:spacing w:val="-2"/>
        </w:rPr>
        <w:t> </w:t>
      </w:r>
      <w:r>
        <w:rPr>
          <w:color w:val="231F20"/>
        </w:rPr>
        <w:t>het</w:t>
      </w:r>
      <w:r>
        <w:rPr>
          <w:color w:val="231F20"/>
          <w:spacing w:val="-3"/>
        </w:rPr>
        <w:t> </w:t>
      </w:r>
      <w:r>
        <w:rPr>
          <w:color w:val="231F20"/>
        </w:rPr>
        <w:t>bestaan</w:t>
      </w:r>
      <w:r>
        <w:rPr>
          <w:color w:val="231F20"/>
          <w:spacing w:val="-2"/>
        </w:rPr>
        <w:t> </w:t>
      </w:r>
      <w:r>
        <w:rPr>
          <w:color w:val="231F20"/>
        </w:rPr>
        <w:t>en</w:t>
      </w:r>
      <w:r>
        <w:rPr>
          <w:color w:val="231F20"/>
          <w:spacing w:val="-3"/>
        </w:rPr>
        <w:t> </w:t>
      </w:r>
      <w:r>
        <w:rPr>
          <w:color w:val="231F20"/>
        </w:rPr>
        <w:t>de</w:t>
      </w:r>
      <w:r>
        <w:rPr>
          <w:color w:val="231F20"/>
          <w:spacing w:val="-3"/>
        </w:rPr>
        <w:t> </w:t>
      </w:r>
      <w:r>
        <w:rPr>
          <w:color w:val="231F20"/>
        </w:rPr>
        <w:t>externe wettigheid bevestigen van de rechtshandelingen en formaliteiten waartoe de vennootschap waarbij hij optreedt, krachtens paragraaf 2 is gehouden.</w:t>
      </w:r>
    </w:p>
    <w:p>
      <w:pPr>
        <w:pStyle w:val="BodyText"/>
        <w:spacing w:line="218" w:lineRule="auto" w:before="129"/>
      </w:pPr>
      <w:r>
        <w:rPr>
          <w:color w:val="231F20"/>
        </w:rPr>
        <w:t>In de akte worden de conclusies overgenomen van het verslag dat de commissaris, de bedrijfsrevisor of de externe accountant overeenkom- stig paragraaf 2 heeft opgemaakt.</w:t>
      </w:r>
    </w:p>
    <w:p>
      <w:pPr>
        <w:pStyle w:val="BodyText"/>
        <w:spacing w:before="114"/>
        <w:ind w:left="283" w:right="0" w:firstLine="0"/>
        <w:jc w:val="left"/>
      </w:pPr>
      <w:r>
        <w:rPr>
          <w:color w:val="231F20"/>
        </w:rPr>
        <w:t>Onderafdeling 3. Ontbinding van rechtswege.</w:t>
      </w:r>
    </w:p>
    <w:p>
      <w:pPr>
        <w:pStyle w:val="BodyText"/>
        <w:spacing w:line="218" w:lineRule="auto" w:before="124"/>
        <w:ind w:right="123"/>
      </w:pPr>
      <w:r>
        <w:rPr>
          <w:color w:val="231F20"/>
        </w:rPr>
        <w:t>Art. 2:72. Onverminderd de bijzondere bepalingen waarin dit wetboek voorziet, worden de vennootschappen van rechtswege ont- bonden door het verstrijken van de duur waarvoor zij zijn aangegaan   of door een uitdrukkelijke ontbindende voorwaarde waaraan de vennoten of aandeelhouders de vennootschap in de statuten hebben onderworpen.</w:t>
      </w:r>
    </w:p>
    <w:p>
      <w:pPr>
        <w:pStyle w:val="BodyText"/>
        <w:spacing w:before="115"/>
        <w:ind w:left="283" w:right="0" w:firstLine="0"/>
        <w:jc w:val="left"/>
      </w:pPr>
      <w:r>
        <w:rPr>
          <w:color w:val="231F20"/>
        </w:rPr>
        <w:t>Onderafdeling 4. Gerechtelijke ontbinding.</w:t>
      </w:r>
    </w:p>
    <w:p>
      <w:pPr>
        <w:pStyle w:val="BodyText"/>
        <w:spacing w:line="218" w:lineRule="auto" w:before="124"/>
      </w:pPr>
      <w:r>
        <w:rPr>
          <w:color w:val="231F20"/>
        </w:rPr>
        <w:t>Art. 2:73. De voorzitter van de ondernemingsrechtbank van de zetel van de vennootschap kan zitting houdend zoals in kort geding op verzoek van een aandeelhouder of vennoot om wettige redenen de ontbinding uitspreken van een vennootschap.</w:t>
      </w:r>
    </w:p>
    <w:p>
      <w:pPr>
        <w:spacing w:after="0" w:line="218" w:lineRule="auto"/>
        <w:sectPr>
          <w:pgSz w:w="11940" w:h="16880"/>
          <w:pgMar w:header="666" w:footer="0" w:top="1140" w:bottom="280" w:left="340" w:right="360"/>
          <w:cols w:num="2" w:equalWidth="0">
            <w:col w:w="5574" w:space="53"/>
            <w:col w:w="5613"/>
          </w:cols>
        </w:sectPr>
      </w:pPr>
    </w:p>
    <w:p>
      <w:pPr>
        <w:pStyle w:val="BodyText"/>
        <w:spacing w:line="218" w:lineRule="auto" w:before="119"/>
        <w:ind w:right="38"/>
      </w:pPr>
      <w:r>
        <w:rPr/>
        <w:pict>
          <v:line style="position:absolute;mso-position-horizontal-relative:page;mso-position-vertical-relative:page;z-index:1744" from="298.170502pt,64.473pt" to="298.170502pt,812.819pt" stroked="true" strokeweight=".533pt" strokecolor="#231f20">
            <v:stroke dashstyle="solid"/>
            <w10:wrap type="none"/>
          </v:line>
        </w:pict>
      </w:r>
      <w:bookmarkStart w:name="_bookmark30" w:id="33"/>
      <w:bookmarkEnd w:id="33"/>
      <w:r>
        <w:rPr/>
      </w:r>
      <w:r>
        <w:rPr>
          <w:color w:val="231F20"/>
        </w:rPr>
        <w:t>Il y a justes motifs, non seulement lorsqu’un actionnaire ou un associé manque gravement à ses obligations ou lorsque son infirmité le met dans l’impossibilité d’exécuter celles-ci, mais encore dans tous les autres cas qui rendent impossible la poursuite normale des</w:t>
      </w:r>
      <w:r>
        <w:rPr>
          <w:color w:val="231F20"/>
          <w:spacing w:val="31"/>
        </w:rPr>
        <w:t> </w:t>
      </w:r>
      <w:r>
        <w:rPr>
          <w:color w:val="231F20"/>
        </w:rPr>
        <w:t>affaires sociales, telle la mésintelligence grave et durable des actionnaires ou des</w:t>
      </w:r>
      <w:r>
        <w:rPr>
          <w:color w:val="231F20"/>
          <w:spacing w:val="14"/>
        </w:rPr>
        <w:t> </w:t>
      </w:r>
      <w:r>
        <w:rPr>
          <w:color w:val="231F20"/>
        </w:rPr>
        <w:t>associés.</w:t>
      </w:r>
    </w:p>
    <w:p>
      <w:pPr>
        <w:pStyle w:val="BodyText"/>
        <w:spacing w:line="218" w:lineRule="auto" w:before="82"/>
        <w:ind w:right="38"/>
      </w:pPr>
      <w:r>
        <w:rPr>
          <w:color w:val="231F20"/>
        </w:rPr>
        <w:t>Art. 2:74. § 1</w:t>
      </w:r>
      <w:r>
        <w:rPr>
          <w:color w:val="231F20"/>
          <w:position w:val="7"/>
          <w:sz w:val="11"/>
        </w:rPr>
        <w:t>er</w:t>
      </w:r>
      <w:r>
        <w:rPr>
          <w:color w:val="231F20"/>
        </w:rPr>
        <w:t>. À la demande de tout intéressé ou du ministère public, ou après communication par la chambre des entreprises en </w:t>
      </w:r>
      <w:r>
        <w:rPr>
          <w:color w:val="231F20"/>
          <w:spacing w:val="-3"/>
        </w:rPr>
        <w:t>difficulté </w:t>
      </w:r>
      <w:r>
        <w:rPr>
          <w:color w:val="231F20"/>
        </w:rPr>
        <w:t>conformément à l’article XX.29 du Code de droit économique, le tribunal peut prononcer la dissolution d’une société restée en défaut de satisfaire à l’obligation de déposer les comptes annuels conformé- ment</w:t>
      </w:r>
      <w:r>
        <w:rPr>
          <w:color w:val="231F20"/>
          <w:spacing w:val="14"/>
        </w:rPr>
        <w:t> </w:t>
      </w:r>
      <w:r>
        <w:rPr>
          <w:color w:val="231F20"/>
        </w:rPr>
        <w:t>aux</w:t>
      </w:r>
      <w:r>
        <w:rPr>
          <w:color w:val="231F20"/>
          <w:spacing w:val="14"/>
        </w:rPr>
        <w:t> </w:t>
      </w:r>
      <w:r>
        <w:rPr>
          <w:color w:val="231F20"/>
        </w:rPr>
        <w:t>articles</w:t>
      </w:r>
      <w:r>
        <w:rPr>
          <w:color w:val="231F20"/>
          <w:spacing w:val="14"/>
        </w:rPr>
        <w:t> </w:t>
      </w:r>
      <w:r>
        <w:rPr>
          <w:color w:val="231F20"/>
        </w:rPr>
        <w:t>3:10</w:t>
      </w:r>
      <w:r>
        <w:rPr>
          <w:color w:val="231F20"/>
          <w:spacing w:val="14"/>
        </w:rPr>
        <w:t> </w:t>
      </w:r>
      <w:r>
        <w:rPr>
          <w:color w:val="231F20"/>
        </w:rPr>
        <w:t>et</w:t>
      </w:r>
      <w:r>
        <w:rPr>
          <w:color w:val="231F20"/>
          <w:spacing w:val="14"/>
        </w:rPr>
        <w:t> </w:t>
      </w:r>
      <w:r>
        <w:rPr>
          <w:color w:val="231F20"/>
        </w:rPr>
        <w:t>3:12.</w:t>
      </w:r>
    </w:p>
    <w:p>
      <w:pPr>
        <w:pStyle w:val="BodyText"/>
        <w:spacing w:line="218" w:lineRule="auto" w:before="96"/>
        <w:ind w:right="38"/>
      </w:pPr>
      <w:r>
        <w:rPr>
          <w:color w:val="231F20"/>
        </w:rPr>
        <w:t>Dans le cas d’une communication par la chambre des entreprises en </w:t>
      </w:r>
      <w:r>
        <w:rPr>
          <w:color w:val="231F20"/>
          <w:spacing w:val="-3"/>
        </w:rPr>
        <w:t>difficulté, </w:t>
      </w:r>
      <w:r>
        <w:rPr>
          <w:color w:val="231F20"/>
        </w:rPr>
        <w:t>le tribunal peut soit accorder un délai de régularisation, et renvoyer le dossier à la chambre des entreprises en </w:t>
      </w:r>
      <w:r>
        <w:rPr>
          <w:color w:val="231F20"/>
          <w:spacing w:val="-3"/>
        </w:rPr>
        <w:t>difficulté </w:t>
      </w:r>
      <w:r>
        <w:rPr>
          <w:color w:val="231F20"/>
        </w:rPr>
        <w:t>afin qu’elle en assure le suivi, soit prononcer la dissolution.</w:t>
      </w:r>
    </w:p>
    <w:p>
      <w:pPr>
        <w:pStyle w:val="BodyText"/>
        <w:spacing w:line="218" w:lineRule="auto" w:before="97"/>
        <w:ind w:right="38"/>
      </w:pPr>
      <w:r>
        <w:rPr>
          <w:color w:val="231F20"/>
        </w:rPr>
        <w:t>Dans le cas d’une demande introduite par un intéressé ou le ministère public, le tribunal accorde un délai de régularisation de trois mois au moins, et il renvoie le dossier à la chambre des entreprises en </w:t>
      </w:r>
      <w:r>
        <w:rPr>
          <w:color w:val="231F20"/>
          <w:spacing w:val="-3"/>
        </w:rPr>
        <w:t>difficulté </w:t>
      </w:r>
      <w:r>
        <w:rPr>
          <w:color w:val="231F20"/>
        </w:rPr>
        <w:t>qui en assure le suivi. Après l’expiration du délai, le tribunal statue</w:t>
      </w:r>
      <w:r>
        <w:rPr>
          <w:color w:val="231F20"/>
          <w:spacing w:val="15"/>
        </w:rPr>
        <w:t> </w:t>
      </w:r>
      <w:r>
        <w:rPr>
          <w:color w:val="231F20"/>
        </w:rPr>
        <w:t>sur</w:t>
      </w:r>
      <w:r>
        <w:rPr>
          <w:color w:val="231F20"/>
          <w:spacing w:val="15"/>
        </w:rPr>
        <w:t> </w:t>
      </w:r>
      <w:r>
        <w:rPr>
          <w:color w:val="231F20"/>
        </w:rPr>
        <w:t>rapport</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chambre</w:t>
      </w:r>
      <w:r>
        <w:rPr>
          <w:color w:val="231F20"/>
          <w:spacing w:val="16"/>
        </w:rPr>
        <w:t> </w:t>
      </w:r>
      <w:r>
        <w:rPr>
          <w:color w:val="231F20"/>
        </w:rPr>
        <w:t>des</w:t>
      </w:r>
      <w:r>
        <w:rPr>
          <w:color w:val="231F20"/>
          <w:spacing w:val="15"/>
        </w:rPr>
        <w:t> </w:t>
      </w:r>
      <w:r>
        <w:rPr>
          <w:color w:val="231F20"/>
        </w:rPr>
        <w:t>entreprises</w:t>
      </w:r>
      <w:r>
        <w:rPr>
          <w:color w:val="231F20"/>
          <w:spacing w:val="15"/>
        </w:rPr>
        <w:t> </w:t>
      </w:r>
      <w:r>
        <w:rPr>
          <w:color w:val="231F20"/>
        </w:rPr>
        <w:t>en</w:t>
      </w:r>
      <w:r>
        <w:rPr>
          <w:color w:val="231F20"/>
          <w:spacing w:val="16"/>
        </w:rPr>
        <w:t> </w:t>
      </w:r>
      <w:r>
        <w:rPr>
          <w:color w:val="231F20"/>
          <w:spacing w:val="-3"/>
        </w:rPr>
        <w:t>difficulté.</w:t>
      </w:r>
    </w:p>
    <w:p>
      <w:pPr>
        <w:pStyle w:val="BodyText"/>
        <w:spacing w:before="10"/>
        <w:ind w:left="0" w:right="0" w:firstLine="0"/>
        <w:jc w:val="left"/>
        <w:rPr>
          <w:sz w:val="23"/>
        </w:rPr>
      </w:pPr>
    </w:p>
    <w:p>
      <w:pPr>
        <w:pStyle w:val="BodyText"/>
        <w:spacing w:line="218" w:lineRule="auto" w:before="1"/>
        <w:ind w:right="38"/>
      </w:pPr>
      <w:r>
        <w:rPr>
          <w:color w:val="231F20"/>
        </w:rPr>
        <w:t>L’action en dissolution visée dans le présent paragraphe ne peut être introduite qu’après l’expiration d’un délai de sept mois suivant la date de clôture de l’exercice comptable.</w:t>
      </w:r>
    </w:p>
    <w:p>
      <w:pPr>
        <w:pStyle w:val="BodyText"/>
        <w:spacing w:before="82"/>
        <w:ind w:left="283" w:right="0" w:firstLine="0"/>
        <w:jc w:val="left"/>
      </w:pPr>
      <w:r>
        <w:rPr>
          <w:color w:val="231F20"/>
        </w:rPr>
        <w:t>Cette action est dirigée contre la société.</w:t>
      </w:r>
    </w:p>
    <w:p>
      <w:pPr>
        <w:pStyle w:val="BodyText"/>
        <w:spacing w:line="218" w:lineRule="auto" w:before="92"/>
        <w:ind w:right="38"/>
      </w:pPr>
      <w:r>
        <w:rPr>
          <w:color w:val="231F20"/>
        </w:rPr>
        <w:t>§ 2. À la suite de la communication par la chambre des entreprises en difficulté conformément à l’article XX.29 du Code de droit économique, le tribunal peut soit accorder un délai de régularisation, par lequel il renvoie le dossier à la chambre des entreprises en difficulté qui en assure le suivi, soit prononcer la dissolution d’une société:</w:t>
      </w:r>
    </w:p>
    <w:p>
      <w:pPr>
        <w:pStyle w:val="BodyText"/>
        <w:spacing w:before="11"/>
        <w:ind w:left="0" w:right="0" w:firstLine="0"/>
        <w:jc w:val="left"/>
        <w:rPr>
          <w:sz w:val="24"/>
        </w:rPr>
      </w:pPr>
    </w:p>
    <w:p>
      <w:pPr>
        <w:pStyle w:val="BodyText"/>
        <w:spacing w:line="201" w:lineRule="auto"/>
        <w:ind w:right="38"/>
      </w:pPr>
      <w:r>
        <w:rPr>
          <w:color w:val="231F20"/>
        </w:rPr>
        <w:t>1° quand cette société a été radiée  </w:t>
      </w:r>
      <w:r>
        <w:rPr>
          <w:color w:val="231F20"/>
          <w:spacing w:val="-3"/>
        </w:rPr>
        <w:t>d’office  </w:t>
      </w:r>
      <w:r>
        <w:rPr>
          <w:color w:val="231F20"/>
        </w:rPr>
        <w:t>en  application  de  l’article</w:t>
      </w:r>
      <w:r>
        <w:rPr>
          <w:color w:val="231F20"/>
          <w:spacing w:val="14"/>
        </w:rPr>
        <w:t> </w:t>
      </w:r>
      <w:r>
        <w:rPr>
          <w:color w:val="231F20"/>
        </w:rPr>
        <w:t>III.42,</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rPr>
        <w:t>5°,</w:t>
      </w:r>
      <w:r>
        <w:rPr>
          <w:color w:val="231F20"/>
          <w:spacing w:val="14"/>
        </w:rPr>
        <w:t> </w:t>
      </w:r>
      <w:r>
        <w:rPr>
          <w:color w:val="231F20"/>
        </w:rPr>
        <w:t>du</w:t>
      </w:r>
      <w:r>
        <w:rPr>
          <w:color w:val="231F20"/>
          <w:spacing w:val="15"/>
        </w:rPr>
        <w:t> </w:t>
      </w:r>
      <w:r>
        <w:rPr>
          <w:color w:val="231F20"/>
        </w:rPr>
        <w:t>Code</w:t>
      </w:r>
      <w:r>
        <w:rPr>
          <w:color w:val="231F20"/>
          <w:spacing w:val="15"/>
        </w:rPr>
        <w:t> </w:t>
      </w:r>
      <w:r>
        <w:rPr>
          <w:color w:val="231F20"/>
        </w:rPr>
        <w:t>de</w:t>
      </w:r>
      <w:r>
        <w:rPr>
          <w:color w:val="231F20"/>
          <w:spacing w:val="15"/>
        </w:rPr>
        <w:t> </w:t>
      </w:r>
      <w:r>
        <w:rPr>
          <w:color w:val="231F20"/>
        </w:rPr>
        <w:t>droit</w:t>
      </w:r>
      <w:r>
        <w:rPr>
          <w:color w:val="231F20"/>
          <w:spacing w:val="14"/>
        </w:rPr>
        <w:t> </w:t>
      </w:r>
      <w:r>
        <w:rPr>
          <w:color w:val="231F20"/>
        </w:rPr>
        <w:t>économique;</w:t>
      </w:r>
    </w:p>
    <w:p>
      <w:pPr>
        <w:pStyle w:val="BodyText"/>
        <w:ind w:left="0" w:right="0" w:firstLine="0"/>
        <w:jc w:val="left"/>
        <w:rPr>
          <w:sz w:val="24"/>
        </w:rPr>
      </w:pPr>
    </w:p>
    <w:p>
      <w:pPr>
        <w:pStyle w:val="BodyText"/>
        <w:spacing w:line="218" w:lineRule="auto"/>
        <w:ind w:right="38"/>
      </w:pPr>
      <w:r>
        <w:rPr>
          <w:color w:val="231F20"/>
        </w:rPr>
        <w:t>2° si malgré deux convocations à trente jours d’intervalle, la seconde par pli judiciaire, elle n’a pas comparu devant la chambre des entreprises en difficulté;</w:t>
      </w:r>
    </w:p>
    <w:p>
      <w:pPr>
        <w:pStyle w:val="BodyText"/>
        <w:spacing w:line="218" w:lineRule="auto" w:before="96"/>
        <w:ind w:right="38"/>
      </w:pPr>
      <w:r>
        <w:rPr>
          <w:color w:val="231F20"/>
        </w:rPr>
        <w:t>3° si les membres de l’organe d’administration ne disposent pas des compétences fondamentales en matière de gestion ou ne disposent pas des qualifications professionnelles imposées par la loi, le décret ou l’ordonnance pour l’exercice de son activité.</w:t>
      </w:r>
    </w:p>
    <w:p>
      <w:pPr>
        <w:pStyle w:val="BodyText"/>
        <w:spacing w:line="218" w:lineRule="auto" w:before="107"/>
        <w:ind w:right="38"/>
      </w:pPr>
      <w:r>
        <w:rPr>
          <w:color w:val="231F20"/>
        </w:rPr>
        <w:t>Cette dissolution ne peut être prononcée aussi longtemps qu’une procédure de faillite, de réorganisation judiciaire ou de dissolution de la société est</w:t>
      </w:r>
      <w:r>
        <w:rPr>
          <w:color w:val="231F20"/>
          <w:spacing w:val="3"/>
        </w:rPr>
        <w:t> </w:t>
      </w:r>
      <w:r>
        <w:rPr>
          <w:color w:val="231F20"/>
        </w:rPr>
        <w:t>pendante.</w:t>
      </w:r>
    </w:p>
    <w:p>
      <w:pPr>
        <w:pStyle w:val="BodyText"/>
        <w:spacing w:line="216" w:lineRule="auto" w:before="109"/>
        <w:ind w:right="38"/>
      </w:pPr>
      <w:r>
        <w:rPr>
          <w:color w:val="231F20"/>
        </w:rPr>
        <w:t>§ 3. Après qu’un dossier de la chambre des entreprises en difficulté a été communiqué au tribunal comme prévu au paragraphe 1</w:t>
      </w:r>
      <w:r>
        <w:rPr>
          <w:color w:val="231F20"/>
          <w:position w:val="7"/>
          <w:sz w:val="11"/>
        </w:rPr>
        <w:t>er</w:t>
      </w:r>
      <w:r>
        <w:rPr>
          <w:color w:val="231F20"/>
        </w:rPr>
        <w:t>, ou après qu’un dossier a été communiqué comme prévu au paragraphe 2 et si le président du tribunal considère que le traitement du dossier doit être poursuivi le président demande au greffier de convoquer la société par un pli judiciaire qui contient la décision motivée de la chambre des entreprises en difficulté et le texte du présent article.</w:t>
      </w:r>
    </w:p>
    <w:p>
      <w:pPr>
        <w:pStyle w:val="BodyText"/>
        <w:spacing w:before="7"/>
        <w:ind w:left="0" w:right="0" w:firstLine="0"/>
        <w:jc w:val="left"/>
        <w:rPr>
          <w:sz w:val="24"/>
        </w:rPr>
      </w:pPr>
    </w:p>
    <w:p>
      <w:pPr>
        <w:pStyle w:val="BodyText"/>
        <w:spacing w:line="218" w:lineRule="auto"/>
        <w:ind w:right="38"/>
      </w:pPr>
      <w:r>
        <w:rPr>
          <w:color w:val="231F20"/>
        </w:rPr>
        <w:t>§ 4. La dissolution produit ses effets à dater de la décision qui la prononce.</w:t>
      </w:r>
    </w:p>
    <w:p>
      <w:pPr>
        <w:pStyle w:val="BodyText"/>
        <w:spacing w:line="218" w:lineRule="auto" w:before="107"/>
        <w:ind w:right="38"/>
      </w:pPr>
      <w:r>
        <w:rPr>
          <w:color w:val="231F20"/>
        </w:rPr>
        <w:t>Toutefois, elle n’est opposable aux tiers qu’à partir de la publication de la décision prescrite par l’article 2:14 et aux conditions prévues par l’article 2:7, sauf si la société prouve que ces tiers en avaient antérieurement connaissance.</w:t>
      </w:r>
    </w:p>
    <w:p>
      <w:pPr>
        <w:pStyle w:val="BodyText"/>
        <w:spacing w:before="6"/>
        <w:ind w:left="0" w:right="0" w:firstLine="0"/>
        <w:jc w:val="left"/>
        <w:rPr>
          <w:sz w:val="23"/>
        </w:rPr>
      </w:pPr>
    </w:p>
    <w:p>
      <w:pPr>
        <w:pStyle w:val="BodyText"/>
        <w:spacing w:line="218" w:lineRule="auto"/>
        <w:ind w:right="38"/>
      </w:pPr>
      <w:r>
        <w:rPr>
          <w:color w:val="231F20"/>
        </w:rPr>
        <w:t>Art. 2:75. § 1</w:t>
      </w:r>
      <w:r>
        <w:rPr>
          <w:color w:val="231F20"/>
          <w:position w:val="7"/>
          <w:sz w:val="11"/>
        </w:rPr>
        <w:t>er</w:t>
      </w:r>
      <w:r>
        <w:rPr>
          <w:color w:val="231F20"/>
        </w:rPr>
        <w:t>. Le jugement prononçant la dissolution judiciaire d’une</w:t>
      </w:r>
      <w:r>
        <w:rPr>
          <w:color w:val="231F20"/>
          <w:spacing w:val="17"/>
        </w:rPr>
        <w:t> </w:t>
      </w:r>
      <w:r>
        <w:rPr>
          <w:color w:val="231F20"/>
        </w:rPr>
        <w:t>société</w:t>
      </w:r>
      <w:r>
        <w:rPr>
          <w:color w:val="231F20"/>
          <w:spacing w:val="18"/>
        </w:rPr>
        <w:t> </w:t>
      </w:r>
      <w:r>
        <w:rPr>
          <w:color w:val="231F20"/>
        </w:rPr>
        <w:t>est</w:t>
      </w:r>
      <w:r>
        <w:rPr>
          <w:color w:val="231F20"/>
          <w:spacing w:val="18"/>
        </w:rPr>
        <w:t> </w:t>
      </w:r>
      <w:r>
        <w:rPr>
          <w:color w:val="231F20"/>
        </w:rPr>
        <w:t>susceptible</w:t>
      </w:r>
      <w:r>
        <w:rPr>
          <w:color w:val="231F20"/>
          <w:spacing w:val="17"/>
        </w:rPr>
        <w:t> </w:t>
      </w:r>
      <w:r>
        <w:rPr>
          <w:color w:val="231F20"/>
        </w:rPr>
        <w:t>d’opposition</w:t>
      </w:r>
      <w:r>
        <w:rPr>
          <w:color w:val="231F20"/>
          <w:spacing w:val="18"/>
        </w:rPr>
        <w:t> </w:t>
      </w:r>
      <w:r>
        <w:rPr>
          <w:color w:val="231F20"/>
        </w:rPr>
        <w:t>par</w:t>
      </w:r>
      <w:r>
        <w:rPr>
          <w:color w:val="231F20"/>
          <w:spacing w:val="18"/>
        </w:rPr>
        <w:t> </w:t>
      </w:r>
      <w:r>
        <w:rPr>
          <w:color w:val="231F20"/>
        </w:rPr>
        <w:t>la</w:t>
      </w:r>
      <w:r>
        <w:rPr>
          <w:color w:val="231F20"/>
          <w:spacing w:val="17"/>
        </w:rPr>
        <w:t> </w:t>
      </w:r>
      <w:r>
        <w:rPr>
          <w:color w:val="231F20"/>
        </w:rPr>
        <w:t>partie</w:t>
      </w:r>
      <w:r>
        <w:rPr>
          <w:color w:val="231F20"/>
          <w:spacing w:val="18"/>
        </w:rPr>
        <w:t> </w:t>
      </w:r>
      <w:r>
        <w:rPr>
          <w:color w:val="231F20"/>
        </w:rPr>
        <w:t>défaillante.</w:t>
      </w:r>
    </w:p>
    <w:p>
      <w:pPr>
        <w:pStyle w:val="BodyText"/>
        <w:ind w:left="0" w:right="0" w:firstLine="0"/>
        <w:jc w:val="left"/>
        <w:rPr>
          <w:sz w:val="25"/>
        </w:rPr>
      </w:pPr>
    </w:p>
    <w:p>
      <w:pPr>
        <w:pStyle w:val="BodyText"/>
        <w:spacing w:line="216" w:lineRule="auto"/>
        <w:ind w:right="38"/>
      </w:pPr>
      <w:r>
        <w:rPr>
          <w:color w:val="231F20"/>
        </w:rPr>
        <w:t>L’opposition n’est recevable que si elle est formée dans le mois de la publication</w:t>
      </w:r>
      <w:r>
        <w:rPr>
          <w:color w:val="231F20"/>
          <w:spacing w:val="18"/>
        </w:rPr>
        <w:t> </w:t>
      </w:r>
      <w:r>
        <w:rPr>
          <w:color w:val="231F20"/>
        </w:rPr>
        <w:t>au</w:t>
      </w:r>
      <w:r>
        <w:rPr>
          <w:color w:val="231F20"/>
          <w:spacing w:val="18"/>
        </w:rPr>
        <w:t> </w:t>
      </w:r>
      <w:r>
        <w:rPr>
          <w:rFonts w:ascii="Times New Roman" w:hAnsi="Times New Roman"/>
          <w:i/>
          <w:color w:val="231F20"/>
        </w:rPr>
        <w:t>Moniteur</w:t>
      </w:r>
      <w:r>
        <w:rPr>
          <w:rFonts w:ascii="Times New Roman" w:hAnsi="Times New Roman"/>
          <w:i/>
          <w:color w:val="231F20"/>
          <w:spacing w:val="18"/>
        </w:rPr>
        <w:t> </w:t>
      </w:r>
      <w:r>
        <w:rPr>
          <w:rFonts w:ascii="Times New Roman" w:hAnsi="Times New Roman"/>
          <w:i/>
          <w:color w:val="231F20"/>
        </w:rPr>
        <w:t>belge</w:t>
      </w:r>
      <w:r>
        <w:rPr>
          <w:rFonts w:ascii="Times New Roman" w:hAnsi="Times New Roman"/>
          <w:i/>
          <w:color w:val="231F20"/>
          <w:spacing w:val="17"/>
        </w:rPr>
        <w:t> </w:t>
      </w:r>
      <w:r>
        <w:rPr>
          <w:color w:val="231F20"/>
        </w:rPr>
        <w:t>par</w:t>
      </w:r>
      <w:r>
        <w:rPr>
          <w:color w:val="231F20"/>
          <w:spacing w:val="19"/>
        </w:rPr>
        <w:t> </w:t>
      </w:r>
      <w:r>
        <w:rPr>
          <w:color w:val="231F20"/>
        </w:rPr>
        <w:t>le</w:t>
      </w:r>
      <w:r>
        <w:rPr>
          <w:color w:val="231F20"/>
          <w:spacing w:val="18"/>
        </w:rPr>
        <w:t> </w:t>
      </w:r>
      <w:r>
        <w:rPr>
          <w:color w:val="231F20"/>
          <w:spacing w:val="-3"/>
        </w:rPr>
        <w:t>greffe</w:t>
      </w:r>
      <w:r>
        <w:rPr>
          <w:color w:val="231F20"/>
          <w:spacing w:val="19"/>
        </w:rPr>
        <w:t> </w:t>
      </w:r>
      <w:r>
        <w:rPr>
          <w:color w:val="231F20"/>
        </w:rPr>
        <w:t>de</w:t>
      </w:r>
      <w:r>
        <w:rPr>
          <w:color w:val="231F20"/>
          <w:spacing w:val="18"/>
        </w:rPr>
        <w:t> </w:t>
      </w:r>
      <w:r>
        <w:rPr>
          <w:color w:val="231F20"/>
        </w:rPr>
        <w:t>la</w:t>
      </w:r>
      <w:r>
        <w:rPr>
          <w:color w:val="231F20"/>
          <w:spacing w:val="19"/>
        </w:rPr>
        <w:t> </w:t>
      </w:r>
      <w:r>
        <w:rPr>
          <w:color w:val="231F20"/>
        </w:rPr>
        <w:t>dissolution</w:t>
      </w:r>
      <w:r>
        <w:rPr>
          <w:color w:val="231F20"/>
          <w:spacing w:val="18"/>
        </w:rPr>
        <w:t> </w:t>
      </w:r>
      <w:r>
        <w:rPr>
          <w:color w:val="231F20"/>
        </w:rPr>
        <w:t>judiciaire.</w:t>
      </w:r>
    </w:p>
    <w:p>
      <w:pPr>
        <w:pStyle w:val="BodyText"/>
        <w:ind w:left="0" w:right="0" w:firstLine="0"/>
        <w:jc w:val="left"/>
        <w:rPr>
          <w:sz w:val="25"/>
        </w:rPr>
      </w:pPr>
    </w:p>
    <w:p>
      <w:pPr>
        <w:pStyle w:val="BodyText"/>
        <w:spacing w:line="216" w:lineRule="auto"/>
        <w:ind w:right="38"/>
      </w:pPr>
      <w:r>
        <w:rPr>
          <w:color w:val="231F20"/>
        </w:rPr>
        <w:t>Le délai pour former appel du jugement est d’un mois à compter de la publication au </w:t>
      </w:r>
      <w:r>
        <w:rPr>
          <w:rFonts w:ascii="Times New Roman" w:hAnsi="Times New Roman"/>
          <w:i/>
          <w:color w:val="231F20"/>
        </w:rPr>
        <w:t>Moniteur belge </w:t>
      </w:r>
      <w:r>
        <w:rPr>
          <w:color w:val="231F20"/>
        </w:rPr>
        <w:t>par le </w:t>
      </w:r>
      <w:r>
        <w:rPr>
          <w:color w:val="231F20"/>
          <w:spacing w:val="-3"/>
        </w:rPr>
        <w:t>greffe </w:t>
      </w:r>
      <w:r>
        <w:rPr>
          <w:color w:val="231F20"/>
        </w:rPr>
        <w:t>de la dissolution </w:t>
      </w:r>
      <w:r>
        <w:rPr>
          <w:color w:val="231F20"/>
          <w:spacing w:val="4"/>
        </w:rPr>
        <w:t> </w:t>
      </w:r>
      <w:r>
        <w:rPr>
          <w:color w:val="231F20"/>
        </w:rPr>
        <w:t>judiciaire.</w:t>
      </w:r>
    </w:p>
    <w:p>
      <w:pPr>
        <w:pStyle w:val="BodyText"/>
        <w:spacing w:before="10"/>
        <w:ind w:left="0" w:right="0" w:firstLine="0"/>
        <w:jc w:val="left"/>
        <w:rPr>
          <w:sz w:val="24"/>
        </w:rPr>
      </w:pPr>
    </w:p>
    <w:p>
      <w:pPr>
        <w:pStyle w:val="BodyText"/>
        <w:spacing w:line="218" w:lineRule="auto"/>
        <w:ind w:right="38"/>
      </w:pPr>
      <w:r>
        <w:rPr>
          <w:color w:val="231F20"/>
        </w:rPr>
        <w:t>§ 2. L’appel, l’opposition ou la tierce opposition dirigés contre le jugement</w:t>
      </w:r>
      <w:r>
        <w:rPr>
          <w:color w:val="231F20"/>
          <w:spacing w:val="-6"/>
        </w:rPr>
        <w:t> </w:t>
      </w:r>
      <w:r>
        <w:rPr>
          <w:color w:val="231F20"/>
        </w:rPr>
        <w:t>prononçant</w:t>
      </w:r>
      <w:r>
        <w:rPr>
          <w:color w:val="231F20"/>
          <w:spacing w:val="-5"/>
        </w:rPr>
        <w:t> </w:t>
      </w:r>
      <w:r>
        <w:rPr>
          <w:color w:val="231F20"/>
        </w:rPr>
        <w:t>la</w:t>
      </w:r>
      <w:r>
        <w:rPr>
          <w:color w:val="231F20"/>
          <w:spacing w:val="-5"/>
        </w:rPr>
        <w:t> </w:t>
      </w:r>
      <w:r>
        <w:rPr>
          <w:color w:val="231F20"/>
        </w:rPr>
        <w:t>dissolution</w:t>
      </w:r>
      <w:r>
        <w:rPr>
          <w:color w:val="231F20"/>
          <w:spacing w:val="-5"/>
        </w:rPr>
        <w:t> </w:t>
      </w:r>
      <w:r>
        <w:rPr>
          <w:color w:val="231F20"/>
        </w:rPr>
        <w:t>judiciaire</w:t>
      </w:r>
      <w:r>
        <w:rPr>
          <w:color w:val="231F20"/>
          <w:spacing w:val="-5"/>
        </w:rPr>
        <w:t> </w:t>
      </w:r>
      <w:r>
        <w:rPr>
          <w:color w:val="231F20"/>
        </w:rPr>
        <w:t>ou</w:t>
      </w:r>
      <w:r>
        <w:rPr>
          <w:color w:val="231F20"/>
          <w:spacing w:val="-6"/>
        </w:rPr>
        <w:t> </w:t>
      </w:r>
      <w:r>
        <w:rPr>
          <w:color w:val="231F20"/>
        </w:rPr>
        <w:t>refusant</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déclarer, sont instruits avec</w:t>
      </w:r>
      <w:r>
        <w:rPr>
          <w:color w:val="231F20"/>
          <w:spacing w:val="3"/>
        </w:rPr>
        <w:t> </w:t>
      </w:r>
      <w:r>
        <w:rPr>
          <w:color w:val="231F20"/>
        </w:rPr>
        <w:t>célérité.</w:t>
      </w:r>
    </w:p>
    <w:p>
      <w:pPr>
        <w:pStyle w:val="BodyText"/>
        <w:spacing w:line="218" w:lineRule="auto" w:before="107"/>
        <w:ind w:right="38"/>
      </w:pPr>
      <w:r>
        <w:rPr>
          <w:color w:val="231F20"/>
        </w:rPr>
        <w:t>Si le jugement entrepris a désigné un liquidateur, celui-ci doit être appelé à la cause avant la clôture des débats.</w:t>
      </w:r>
    </w:p>
    <w:p>
      <w:pPr>
        <w:pStyle w:val="BodyText"/>
        <w:spacing w:line="218" w:lineRule="auto" w:before="119"/>
      </w:pPr>
      <w:r>
        <w:rPr/>
        <w:br w:type="column"/>
      </w:r>
      <w:r>
        <w:rPr>
          <w:color w:val="231F20"/>
        </w:rPr>
        <w:t>Er zijn niet alleen wettige redenen wanneer een aandeelhouder of vennoot zijn verplichtingen in grove mate verzuimt of wanneer een kwaal het hem onmogelijk maakt om ze uit te voeren, maar ook in alle andere gevallen die de normale voortzetting van de zaken van de vennootschap onmogelijk maken, zoals de diepgaande en blijvende onenigheid tussen de aandeelhouders of vennoten.</w:t>
      </w:r>
    </w:p>
    <w:p>
      <w:pPr>
        <w:pStyle w:val="BodyText"/>
        <w:spacing w:line="218" w:lineRule="auto" w:before="97"/>
      </w:pPr>
      <w:r>
        <w:rPr>
          <w:color w:val="231F20"/>
        </w:rPr>
        <w:t>Art. 2:74. § 1. De rechtbank kan op vraag van iedere belanghebbende of van het openbaar ministerie, dan wel na mededeling door de kamer voor ondernemingen in moeilijkheden krachtens artikel XX.29 van het Wetboek van economisch recht, de ontbinding uitspreken van een vennootschap die haar verplichting om een jaarrekening neer te leggen overeenkomstig de artikelen 3:10 en 3:12 niet is nagekomen.</w:t>
      </w:r>
    </w:p>
    <w:p>
      <w:pPr>
        <w:pStyle w:val="BodyText"/>
        <w:spacing w:line="218" w:lineRule="auto" w:before="96"/>
      </w:pPr>
      <w:r>
        <w:rPr>
          <w:color w:val="231F20"/>
        </w:rPr>
        <w:t>In geval van mededeling door de kamer voor ondernemingen in moeilijkheden kan de rechtbank hetzij een regularisatietermijn uitspre- ken, waarbij zij het dossier voor opvolging terugverwijst naar de kamer voor ondernemingen in moeilijkheden, hetzij de ontbinding uitspreken.</w:t>
      </w:r>
    </w:p>
    <w:p>
      <w:pPr>
        <w:pStyle w:val="BodyText"/>
        <w:spacing w:line="218" w:lineRule="auto" w:before="97"/>
      </w:pPr>
      <w:r>
        <w:rPr>
          <w:color w:val="231F20"/>
        </w:rPr>
        <w:t>In geval van een verzoek van een belanghebbende of het openbaar ministerie kent de rechtbank een regularisatietermijn toe van</w:t>
      </w:r>
      <w:r>
        <w:rPr>
          <w:color w:val="231F20"/>
          <w:spacing w:val="-18"/>
        </w:rPr>
        <w:t> </w:t>
      </w:r>
      <w:r>
        <w:rPr>
          <w:color w:val="231F20"/>
        </w:rPr>
        <w:t>tenminste drie maanden, en verwijst het dossier voor opvolging naar de kamer voor ondernemingen in moeilijkheden. Na afloop van de termijn doet de rechtbank uitspraak op verslag van de kamer voor ondernemingen in</w:t>
      </w:r>
      <w:r>
        <w:rPr>
          <w:color w:val="231F20"/>
          <w:spacing w:val="14"/>
        </w:rPr>
        <w:t> </w:t>
      </w:r>
      <w:r>
        <w:rPr>
          <w:color w:val="231F20"/>
        </w:rPr>
        <w:t>moeilijkheden.</w:t>
      </w:r>
    </w:p>
    <w:p>
      <w:pPr>
        <w:pStyle w:val="BodyText"/>
        <w:spacing w:line="218" w:lineRule="auto" w:before="96"/>
      </w:pPr>
      <w:r>
        <w:rPr>
          <w:color w:val="231F20"/>
        </w:rPr>
        <w:t>De vordering tot ontbinding bedoeld in deze paragraaf kan slechts worden ingesteld na het verstrijken van een termijn van</w:t>
      </w:r>
      <w:r>
        <w:rPr>
          <w:color w:val="231F20"/>
          <w:spacing w:val="24"/>
        </w:rPr>
        <w:t> </w:t>
      </w:r>
      <w:r>
        <w:rPr>
          <w:color w:val="231F20"/>
        </w:rPr>
        <w:t>zeven maanden</w:t>
      </w:r>
      <w:r>
        <w:rPr>
          <w:color w:val="231F20"/>
          <w:spacing w:val="16"/>
        </w:rPr>
        <w:t> </w:t>
      </w:r>
      <w:r>
        <w:rPr>
          <w:color w:val="231F20"/>
        </w:rPr>
        <w:t>te</w:t>
      </w:r>
      <w:r>
        <w:rPr>
          <w:color w:val="231F20"/>
          <w:spacing w:val="17"/>
        </w:rPr>
        <w:t> </w:t>
      </w:r>
      <w:r>
        <w:rPr>
          <w:color w:val="231F20"/>
        </w:rPr>
        <w:t>rekenen</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datum</w:t>
      </w:r>
      <w:r>
        <w:rPr>
          <w:color w:val="231F20"/>
          <w:spacing w:val="17"/>
        </w:rPr>
        <w:t> </w:t>
      </w:r>
      <w:r>
        <w:rPr>
          <w:color w:val="231F20"/>
        </w:rPr>
        <w:t>van</w:t>
      </w:r>
      <w:r>
        <w:rPr>
          <w:color w:val="231F20"/>
          <w:spacing w:val="16"/>
        </w:rPr>
        <w:t> </w:t>
      </w:r>
      <w:r>
        <w:rPr>
          <w:color w:val="231F20"/>
        </w:rPr>
        <w:t>afsluiting</w:t>
      </w:r>
      <w:r>
        <w:rPr>
          <w:color w:val="231F20"/>
          <w:spacing w:val="17"/>
        </w:rPr>
        <w:t> </w:t>
      </w:r>
      <w:r>
        <w:rPr>
          <w:color w:val="231F20"/>
        </w:rPr>
        <w:t>van</w:t>
      </w:r>
      <w:r>
        <w:rPr>
          <w:color w:val="231F20"/>
          <w:spacing w:val="16"/>
        </w:rPr>
        <w:t> </w:t>
      </w:r>
      <w:r>
        <w:rPr>
          <w:color w:val="231F20"/>
        </w:rPr>
        <w:t>het</w:t>
      </w:r>
      <w:r>
        <w:rPr>
          <w:color w:val="231F20"/>
          <w:spacing w:val="17"/>
        </w:rPr>
        <w:t> </w:t>
      </w:r>
      <w:r>
        <w:rPr>
          <w:color w:val="231F20"/>
        </w:rPr>
        <w:t>boekjaar.</w:t>
      </w:r>
    </w:p>
    <w:p>
      <w:pPr>
        <w:pStyle w:val="BodyText"/>
        <w:spacing w:before="82"/>
        <w:ind w:left="283" w:right="0" w:firstLine="0"/>
        <w:jc w:val="left"/>
      </w:pPr>
      <w:r>
        <w:rPr>
          <w:color w:val="231F20"/>
        </w:rPr>
        <w:t>Die vordering wordt ingesteld tegen de vennootschap.</w:t>
      </w:r>
    </w:p>
    <w:p>
      <w:pPr>
        <w:pStyle w:val="BodyText"/>
        <w:spacing w:line="218" w:lineRule="auto" w:before="93"/>
      </w:pPr>
      <w:r>
        <w:rPr>
          <w:color w:val="231F20"/>
        </w:rPr>
        <w:t>§ 2. Ingevolge mededeling door de kamer voor ondernemingen in moeilijkheden krachtens artikel XX.29 van het </w:t>
      </w:r>
      <w:r>
        <w:rPr>
          <w:color w:val="231F20"/>
          <w:spacing w:val="-3"/>
        </w:rPr>
        <w:t>Wetboek </w:t>
      </w:r>
      <w:r>
        <w:rPr>
          <w:color w:val="231F20"/>
        </w:rPr>
        <w:t>van econo- misch recht, kan de rechtbank hetzij een regularisatietermijn</w:t>
      </w:r>
      <w:r>
        <w:rPr>
          <w:color w:val="231F20"/>
          <w:spacing w:val="-26"/>
        </w:rPr>
        <w:t> </w:t>
      </w:r>
      <w:r>
        <w:rPr>
          <w:color w:val="231F20"/>
        </w:rPr>
        <w:t>toekennen en het dossier voor opvolging terug verwijzen naar de kamer voor ondernemingen in moeilijkheden, hetzij de ontbinding van een ven- nootschap</w:t>
      </w:r>
      <w:r>
        <w:rPr>
          <w:color w:val="231F20"/>
          <w:spacing w:val="14"/>
        </w:rPr>
        <w:t> </w:t>
      </w:r>
      <w:r>
        <w:rPr>
          <w:color w:val="231F20"/>
        </w:rPr>
        <w:t>uitspreken:</w:t>
      </w:r>
    </w:p>
    <w:p>
      <w:pPr>
        <w:pStyle w:val="BodyText"/>
        <w:spacing w:line="218" w:lineRule="auto" w:before="96"/>
      </w:pPr>
      <w:r>
        <w:rPr>
          <w:color w:val="231F20"/>
        </w:rPr>
        <w:t>1° wanneer die vennootschap ambtshalve werd geschrapt met toepassing van artikel III.42, § 1, 5°, van het Wetboek van economisch recht;</w:t>
      </w:r>
    </w:p>
    <w:p>
      <w:pPr>
        <w:pStyle w:val="BodyText"/>
        <w:spacing w:line="218" w:lineRule="auto" w:before="97"/>
      </w:pPr>
      <w:r>
        <w:rPr>
          <w:color w:val="231F20"/>
        </w:rPr>
        <w:t>2° indien zij ondanks twee oproepingen met dertig dagen tussentijd, waarvan de tweede per gerechtsbrief, niet voor de kamer voor ondernemingen in moeilijkheden is verschenen;</w:t>
      </w:r>
    </w:p>
    <w:p>
      <w:pPr>
        <w:pStyle w:val="BodyText"/>
        <w:spacing w:line="218" w:lineRule="auto" w:before="96"/>
      </w:pPr>
      <w:r>
        <w:rPr>
          <w:color w:val="231F20"/>
        </w:rPr>
        <w:t>3° indien de leden van het bestuursorgaan ervan niet over de fundamentele beheersvaardigheden of niet over de beroepsbekwaam- heid beschikken die voor de uitoefening van haar activiteit bij wet, decreet of ordonnantie worden opgelegd.</w:t>
      </w:r>
    </w:p>
    <w:p>
      <w:pPr>
        <w:pStyle w:val="BodyText"/>
        <w:spacing w:line="218" w:lineRule="auto" w:before="107"/>
      </w:pPr>
      <w:r>
        <w:rPr>
          <w:color w:val="231F20"/>
        </w:rPr>
        <w:t>Deze ontbinding kan niet worden uitgesproken zolang er een procedure loopt inzake faillissement, gerechtelijke reorganisatie of ontbinding van de vennootschap.</w:t>
      </w:r>
    </w:p>
    <w:p>
      <w:pPr>
        <w:pStyle w:val="BodyText"/>
        <w:spacing w:line="218" w:lineRule="auto" w:before="107"/>
      </w:pPr>
      <w:r>
        <w:rPr>
          <w:color w:val="231F20"/>
        </w:rPr>
        <w:t>§ 3. Nadat een dossier van de kamer voor ondernemingen in moeilijkheden is medegedeeld aan de rechtbank zoals bepaald bij paragraaf 1, of nadat een dossier is medegedeeld zoals bepaald bij paragraaf 2 en indien de voorzitter van de rechtbank van oordeel is dat het dossier verder behandeld moet worden, verzoekt de voorzitter van de rechtbank de griffier om de vennootschap op te roepen bij gerechtsbrief die de met redenen omklede beslissing van de kamer voor ondernemingen in moeilijkheden en de tekst van dit artikel bevat.</w:t>
      </w:r>
    </w:p>
    <w:p>
      <w:pPr>
        <w:pStyle w:val="BodyText"/>
        <w:spacing w:line="218" w:lineRule="auto" w:before="107"/>
      </w:pPr>
      <w:r>
        <w:rPr>
          <w:color w:val="231F20"/>
        </w:rPr>
        <w:t>§ 4. De ontbinding heeft uitwerking vanaf de datum waarop zij is uitgesproken.</w:t>
      </w:r>
    </w:p>
    <w:p>
      <w:pPr>
        <w:pStyle w:val="BodyText"/>
        <w:spacing w:line="218" w:lineRule="auto" w:before="107"/>
      </w:pPr>
      <w:r>
        <w:rPr>
          <w:color w:val="231F20"/>
        </w:rPr>
        <w:t>De ontbinding kan evenwel pas vanaf de bekendmaking van de beslissingen voorgeschreven door artikel 2:14, en onder de voorwaar- den bepaald in artikel 2:7 aan derden worden tegengeworpen, behalve indien de vennootschap bewijst dat die derden voordien ervan op de hoogte</w:t>
      </w:r>
      <w:r>
        <w:rPr>
          <w:color w:val="231F20"/>
          <w:spacing w:val="15"/>
        </w:rPr>
        <w:t> </w:t>
      </w:r>
      <w:r>
        <w:rPr>
          <w:color w:val="231F20"/>
        </w:rPr>
        <w:t>waren.</w:t>
      </w:r>
    </w:p>
    <w:p>
      <w:pPr>
        <w:pStyle w:val="BodyText"/>
        <w:spacing w:line="218" w:lineRule="auto" w:before="107"/>
      </w:pPr>
      <w:r>
        <w:rPr>
          <w:color w:val="231F20"/>
        </w:rPr>
        <w:t>Art. 2:75. § 1. Het vonnis dat de gerechtelijke ontbinding van een vennootschap uitspreekt, is vatbaar voor verzet vanwege de verstek- doende</w:t>
      </w:r>
      <w:r>
        <w:rPr>
          <w:color w:val="231F20"/>
          <w:spacing w:val="14"/>
        </w:rPr>
        <w:t> </w:t>
      </w:r>
      <w:r>
        <w:rPr>
          <w:color w:val="231F20"/>
        </w:rPr>
        <w:t>partij.</w:t>
      </w:r>
    </w:p>
    <w:p>
      <w:pPr>
        <w:pStyle w:val="BodyText"/>
        <w:spacing w:line="216" w:lineRule="auto" w:before="108"/>
      </w:pPr>
      <w:r>
        <w:rPr>
          <w:color w:val="231F20"/>
        </w:rPr>
        <w:t>Het verzet is slechts ontvankelijk indien het wordt gedaan binnen  een maand na de bekendmaking in het </w:t>
      </w:r>
      <w:r>
        <w:rPr>
          <w:rFonts w:ascii="Times New Roman"/>
          <w:i/>
          <w:color w:val="231F20"/>
        </w:rPr>
        <w:t>Belgisch Staatsblad </w:t>
      </w:r>
      <w:r>
        <w:rPr>
          <w:color w:val="231F20"/>
        </w:rPr>
        <w:t>van de gerechtelijke ontbinding door de</w:t>
      </w:r>
      <w:r>
        <w:rPr>
          <w:color w:val="231F20"/>
          <w:spacing w:val="20"/>
        </w:rPr>
        <w:t> </w:t>
      </w:r>
      <w:r>
        <w:rPr>
          <w:color w:val="231F20"/>
          <w:spacing w:val="-3"/>
        </w:rPr>
        <w:t>griffie.</w:t>
      </w:r>
    </w:p>
    <w:p>
      <w:pPr>
        <w:pStyle w:val="BodyText"/>
        <w:spacing w:line="216" w:lineRule="auto" w:before="110"/>
      </w:pPr>
      <w:r>
        <w:rPr>
          <w:color w:val="231F20"/>
        </w:rPr>
        <w:t>De termijn om hoger beroep in te stellen tegen het vonnis, is een maand te rekenen vanaf de bekendmaking in het </w:t>
      </w:r>
      <w:r>
        <w:rPr>
          <w:rFonts w:ascii="Times New Roman"/>
          <w:i/>
          <w:color w:val="231F20"/>
        </w:rPr>
        <w:t>Belgisch Staatsblad </w:t>
      </w:r>
      <w:r>
        <w:rPr>
          <w:color w:val="231F20"/>
        </w:rPr>
        <w:t>van de gerechtelijke ontbinding door de griffie.</w:t>
      </w:r>
    </w:p>
    <w:p>
      <w:pPr>
        <w:pStyle w:val="BodyText"/>
        <w:spacing w:line="218" w:lineRule="auto" w:before="108"/>
      </w:pPr>
      <w:r>
        <w:rPr>
          <w:color w:val="231F20"/>
        </w:rPr>
        <w:t>§ 2. Hoger beroep, verzet of derdenverzet tegen het vonnis dat de gerechtelijke ontbinding uitspreekt of afwijst, worden zonder verwijl in staat gesteld.</w:t>
      </w:r>
    </w:p>
    <w:p>
      <w:pPr>
        <w:pStyle w:val="BodyText"/>
        <w:spacing w:line="218" w:lineRule="auto" w:before="107"/>
      </w:pPr>
      <w:r>
        <w:rPr>
          <w:color w:val="231F20"/>
        </w:rPr>
        <w:t>Indien het aangevochten vonnis een vereffenaar heeft aangewezen, dient deze in de zaak te worden betrokken voor het sluiten van de debatten.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62"/>
      </w:pPr>
      <w:r>
        <w:rPr/>
        <w:pict>
          <v:line style="position:absolute;mso-position-horizontal-relative:page;mso-position-vertical-relative:page;z-index:1768" from="298.170502pt,64.473pt" to="298.170502pt,812.819pt" stroked="true" strokeweight=".533pt" strokecolor="#231f20">
            <v:stroke dashstyle="solid"/>
            <w10:wrap type="none"/>
          </v:line>
        </w:pict>
      </w:r>
      <w:bookmarkStart w:name="_bookmark31" w:id="34"/>
      <w:bookmarkEnd w:id="34"/>
      <w:r>
        <w:rPr/>
      </w:r>
      <w:r>
        <w:rPr>
          <w:color w:val="231F20"/>
        </w:rPr>
        <w:t>À la demande de la partie la plus diligente, l’affaire est fixée pour être plaidée dans le mois de la demande de fixation.</w:t>
      </w:r>
    </w:p>
    <w:p>
      <w:pPr>
        <w:pStyle w:val="BodyText"/>
        <w:spacing w:before="7"/>
        <w:ind w:left="0" w:right="0" w:firstLine="0"/>
        <w:jc w:val="left"/>
        <w:rPr>
          <w:sz w:val="22"/>
        </w:rPr>
      </w:pPr>
    </w:p>
    <w:p>
      <w:pPr>
        <w:pStyle w:val="BodyText"/>
        <w:spacing w:line="319" w:lineRule="auto" w:before="1"/>
        <w:ind w:left="283" w:right="2215" w:hanging="1"/>
        <w:jc w:val="left"/>
      </w:pPr>
      <w:r>
        <w:rPr>
          <w:color w:val="231F20"/>
        </w:rPr>
        <w:t>Section 2. Liquidation des sociétés. Sous-section 1</w:t>
      </w:r>
      <w:r>
        <w:rPr>
          <w:color w:val="231F20"/>
          <w:position w:val="7"/>
          <w:sz w:val="11"/>
        </w:rPr>
        <w:t>re</w:t>
      </w:r>
      <w:r>
        <w:rPr>
          <w:color w:val="231F20"/>
        </w:rPr>
        <w:t>. Dispositions générales.</w:t>
      </w:r>
    </w:p>
    <w:p>
      <w:pPr>
        <w:pStyle w:val="BodyText"/>
        <w:spacing w:line="218" w:lineRule="auto" w:before="28"/>
        <w:ind w:right="62"/>
      </w:pPr>
      <w:r>
        <w:rPr>
          <w:color w:val="231F20"/>
        </w:rPr>
        <w:t>Art. 2:76. Les sociétés sont, après leur dissolution, réputées exister pour leur liquidation jusqu’à la clôture de celle-ci.</w:t>
      </w:r>
    </w:p>
    <w:p>
      <w:pPr>
        <w:pStyle w:val="BodyText"/>
        <w:spacing w:line="218" w:lineRule="auto" w:before="96"/>
        <w:ind w:right="61"/>
      </w:pPr>
      <w:r>
        <w:rPr>
          <w:color w:val="231F20"/>
        </w:rPr>
        <w:t>Toutes les pièces émanant d’une société dissoute mentionnent qu’elle est en liquidation.</w:t>
      </w:r>
    </w:p>
    <w:p>
      <w:pPr>
        <w:pStyle w:val="BodyText"/>
        <w:spacing w:line="218" w:lineRule="auto" w:before="96"/>
        <w:ind w:right="62"/>
      </w:pPr>
      <w:r>
        <w:rPr>
          <w:color w:val="231F20"/>
        </w:rPr>
        <w:t>Art. 2:77. Une société en liquidation ne peut modifier sa dénomina- tion.</w:t>
      </w:r>
    </w:p>
    <w:p>
      <w:pPr>
        <w:pStyle w:val="BodyText"/>
        <w:spacing w:line="218" w:lineRule="auto" w:before="97"/>
        <w:ind w:right="61"/>
      </w:pPr>
      <w:r>
        <w:rPr>
          <w:color w:val="231F20"/>
        </w:rPr>
        <w:t>Art. 2:78. Une procédure de transfert du siège d’une société en liquidation ne peut être mise à exécution qu’après homologation par le tribunal du siège de la société.</w:t>
      </w:r>
    </w:p>
    <w:p>
      <w:pPr>
        <w:pStyle w:val="BodyText"/>
        <w:spacing w:before="92"/>
        <w:ind w:left="283" w:right="0" w:firstLine="0"/>
        <w:jc w:val="left"/>
      </w:pPr>
      <w:r>
        <w:rPr>
          <w:color w:val="231F20"/>
        </w:rPr>
        <w:t>L’homologation est sollicitée sur requête du liquidateur.</w:t>
      </w:r>
    </w:p>
    <w:p>
      <w:pPr>
        <w:pStyle w:val="BodyText"/>
        <w:spacing w:before="7"/>
        <w:ind w:left="0" w:right="0" w:firstLine="0"/>
        <w:jc w:val="left"/>
        <w:rPr>
          <w:sz w:val="24"/>
        </w:rPr>
      </w:pPr>
    </w:p>
    <w:p>
      <w:pPr>
        <w:pStyle w:val="BodyText"/>
        <w:spacing w:line="218" w:lineRule="auto"/>
        <w:ind w:right="61"/>
      </w:pPr>
      <w:r>
        <w:rPr>
          <w:color w:val="231F20"/>
        </w:rPr>
        <w:t>Le tribunal statue toutes affaires cessantes. Le ministère public est entendu. Le tribunal accorde l’homologation lorsqu’il estime que le déplacement du siège est utile à la liquidation.</w:t>
      </w:r>
    </w:p>
    <w:p>
      <w:pPr>
        <w:pStyle w:val="BodyText"/>
        <w:spacing w:before="10"/>
        <w:ind w:left="0" w:right="0" w:firstLine="0"/>
        <w:jc w:val="left"/>
        <w:rPr>
          <w:sz w:val="24"/>
        </w:rPr>
      </w:pPr>
    </w:p>
    <w:p>
      <w:pPr>
        <w:pStyle w:val="BodyText"/>
        <w:spacing w:line="218" w:lineRule="auto"/>
        <w:ind w:right="61"/>
      </w:pPr>
      <w:r>
        <w:rPr>
          <w:color w:val="231F20"/>
        </w:rPr>
        <w:t>Un acte portant transfert du siège d’une société en liquidation ne peut</w:t>
      </w:r>
      <w:r>
        <w:rPr>
          <w:color w:val="231F20"/>
          <w:spacing w:val="-5"/>
        </w:rPr>
        <w:t> </w:t>
      </w:r>
      <w:r>
        <w:rPr>
          <w:color w:val="231F20"/>
        </w:rPr>
        <w:t>être</w:t>
      </w:r>
      <w:r>
        <w:rPr>
          <w:color w:val="231F20"/>
          <w:spacing w:val="-5"/>
        </w:rPr>
        <w:t> </w:t>
      </w:r>
      <w:r>
        <w:rPr>
          <w:color w:val="231F20"/>
        </w:rPr>
        <w:t>valablement</w:t>
      </w:r>
      <w:r>
        <w:rPr>
          <w:color w:val="231F20"/>
          <w:spacing w:val="-4"/>
        </w:rPr>
        <w:t> </w:t>
      </w:r>
      <w:r>
        <w:rPr>
          <w:color w:val="231F20"/>
        </w:rPr>
        <w:t>déposé</w:t>
      </w:r>
      <w:r>
        <w:rPr>
          <w:color w:val="231F20"/>
          <w:spacing w:val="-5"/>
        </w:rPr>
        <w:t> </w:t>
      </w:r>
      <w:r>
        <w:rPr>
          <w:color w:val="231F20"/>
        </w:rPr>
        <w:t>et</w:t>
      </w:r>
      <w:r>
        <w:rPr>
          <w:color w:val="231F20"/>
          <w:spacing w:val="-5"/>
        </w:rPr>
        <w:t> </w:t>
      </w:r>
      <w:r>
        <w:rPr>
          <w:color w:val="231F20"/>
        </w:rPr>
        <w:t>publié</w:t>
      </w:r>
      <w:r>
        <w:rPr>
          <w:color w:val="231F20"/>
          <w:spacing w:val="-4"/>
        </w:rPr>
        <w:t> </w:t>
      </w:r>
      <w:r>
        <w:rPr>
          <w:color w:val="231F20"/>
        </w:rPr>
        <w:t>conformément</w:t>
      </w:r>
      <w:r>
        <w:rPr>
          <w:color w:val="231F20"/>
          <w:spacing w:val="-5"/>
        </w:rPr>
        <w:t> </w:t>
      </w:r>
      <w:r>
        <w:rPr>
          <w:color w:val="231F20"/>
        </w:rPr>
        <w:t>aux</w:t>
      </w:r>
      <w:r>
        <w:rPr>
          <w:color w:val="231F20"/>
          <w:spacing w:val="-5"/>
        </w:rPr>
        <w:t> </w:t>
      </w:r>
      <w:r>
        <w:rPr>
          <w:color w:val="231F20"/>
        </w:rPr>
        <w:t>articles</w:t>
      </w:r>
      <w:r>
        <w:rPr>
          <w:color w:val="231F20"/>
          <w:spacing w:val="-4"/>
        </w:rPr>
        <w:t> </w:t>
      </w:r>
      <w:r>
        <w:rPr>
          <w:color w:val="231F20"/>
        </w:rPr>
        <w:t>2:8</w:t>
      </w:r>
      <w:r>
        <w:rPr>
          <w:color w:val="231F20"/>
          <w:spacing w:val="-5"/>
        </w:rPr>
        <w:t> </w:t>
      </w:r>
      <w:r>
        <w:rPr>
          <w:color w:val="231F20"/>
        </w:rPr>
        <w:t>et 2:14, 1°, que si une copie de la décision d’homologation du tribunal y  est</w:t>
      </w:r>
      <w:r>
        <w:rPr>
          <w:color w:val="231F20"/>
          <w:spacing w:val="14"/>
        </w:rPr>
        <w:t> </w:t>
      </w:r>
      <w:r>
        <w:rPr>
          <w:color w:val="231F20"/>
        </w:rPr>
        <w:t>jointe.</w:t>
      </w:r>
    </w:p>
    <w:p>
      <w:pPr>
        <w:pStyle w:val="BodyText"/>
        <w:spacing w:line="218" w:lineRule="auto" w:before="107"/>
        <w:ind w:right="61"/>
      </w:pPr>
      <w:r>
        <w:rPr>
          <w:color w:val="231F20"/>
        </w:rPr>
        <w:t>Art. 2:79. À défaut de nomination ou de désignation de liquidateurs, les associés-gérants dans les sociétés en nom collectif ou en comman- dite, les membres du conseil d’administration ou les membres du conseil de direction dans une société européenne ou une société coopérative européenne ainsi que les administrateurs dans les sociétés à responsabilité limitée, les sociétés coopératives et les sociétés anonymes seront, à l’égard des tiers, considérés comme liquidateurs de plein droit sans toutefois disposer des pouvoirs que la loi et les statuts accordent en ce qui concerne les opérations de liquidation au liquida- teur nommé dans les statuts, par l’assemblée générale ou par le tribunal.</w:t>
      </w:r>
    </w:p>
    <w:p>
      <w:pPr>
        <w:pStyle w:val="BodyText"/>
        <w:spacing w:before="93"/>
        <w:ind w:left="283" w:right="0" w:firstLine="0"/>
        <w:jc w:val="left"/>
      </w:pPr>
      <w:r>
        <w:rPr>
          <w:color w:val="231F20"/>
        </w:rPr>
        <w:t>Sous-section 2. Clôture immédiate de la liquidation.</w:t>
      </w:r>
    </w:p>
    <w:p>
      <w:pPr>
        <w:pStyle w:val="BodyText"/>
        <w:spacing w:line="218" w:lineRule="auto" w:before="104"/>
        <w:ind w:right="61"/>
      </w:pPr>
      <w:r>
        <w:rPr>
          <w:color w:val="231F20"/>
        </w:rPr>
        <w:t>Art. 2:80. Sans préjudice de l’article 2:71, une dissolution et la clôture de la liquidation en un seul acte sont possibles moyennant le respect des conditions</w:t>
      </w:r>
      <w:r>
        <w:rPr>
          <w:color w:val="231F20"/>
          <w:spacing w:val="-11"/>
        </w:rPr>
        <w:t> </w:t>
      </w:r>
      <w:r>
        <w:rPr>
          <w:color w:val="231F20"/>
        </w:rPr>
        <w:t>suivantes:</w:t>
      </w:r>
    </w:p>
    <w:p>
      <w:pPr>
        <w:pStyle w:val="BodyText"/>
        <w:spacing w:before="92"/>
        <w:ind w:left="283" w:right="0" w:firstLine="0"/>
        <w:jc w:val="left"/>
      </w:pPr>
      <w:r>
        <w:rPr>
          <w:color w:val="231F20"/>
        </w:rPr>
        <w:t>1° aucun liquidateur n’est </w:t>
      </w:r>
      <w:r>
        <w:rPr>
          <w:color w:val="231F20"/>
          <w:spacing w:val="38"/>
        </w:rPr>
        <w:t> </w:t>
      </w:r>
      <w:r>
        <w:rPr>
          <w:color w:val="231F20"/>
        </w:rPr>
        <w:t>nommé;</w:t>
      </w:r>
    </w:p>
    <w:p>
      <w:pPr>
        <w:pStyle w:val="BodyText"/>
        <w:spacing w:line="218" w:lineRule="auto" w:before="104"/>
        <w:ind w:right="0"/>
        <w:jc w:val="left"/>
      </w:pPr>
      <w:r>
        <w:rPr>
          <w:color w:val="231F20"/>
        </w:rPr>
        <w:t>2° toutes les dettes à l’égard d’associés ou actionnaires ou de tiers mentionnées dans l’état résumant la situation active et passive </w:t>
      </w:r>
      <w:r>
        <w:rPr>
          <w:color w:val="231F20"/>
          <w:spacing w:val="5"/>
        </w:rPr>
        <w:t>visé </w:t>
      </w:r>
      <w:r>
        <w:rPr>
          <w:color w:val="231F20"/>
        </w:rPr>
        <w:t>à l’article 2:71, § 2, alinéa 2, ont été remboursées ou les sommes nécessaires à leur acquittement ont été consignées; le commissaire ou, à défaut, le réviseur d’entreprises ou l’expert comptable externe qui fait rapport conformément à l’article 2:71, § 2, alinéa 3, confirme ce paiement ou cette consignation dans les conclusions de son rapport; le remboursement ou la consignation n’est toutefois pas requis pour ce  qui concerne les dettes à l’égard d’actionnaires, d’associés ou de tiers dont la créance figure dans l’état résumant la situation active et passive </w:t>
      </w:r>
      <w:r>
        <w:rPr>
          <w:color w:val="231F20"/>
          <w:spacing w:val="8"/>
        </w:rPr>
        <w:t>viséà </w:t>
      </w:r>
      <w:r>
        <w:rPr>
          <w:color w:val="231F20"/>
        </w:rPr>
        <w:t>l’article 2:71, § 2, alinéa 2, et qui ont confirmé par écrit leur accord sur l’application de cet article; le commissaire ou, à défaut, le réviseur d’entreprises ou l’expert-comptable externe qui fait rapport conformé- ment à l’article 2:71, § 2, alinéa 3, confirme l’existence de cet accord écrit dans</w:t>
      </w:r>
      <w:r>
        <w:rPr>
          <w:color w:val="231F20"/>
          <w:spacing w:val="15"/>
        </w:rPr>
        <w:t> </w:t>
      </w:r>
      <w:r>
        <w:rPr>
          <w:color w:val="231F20"/>
        </w:rPr>
        <w:t>les</w:t>
      </w:r>
      <w:r>
        <w:rPr>
          <w:color w:val="231F20"/>
          <w:spacing w:val="15"/>
        </w:rPr>
        <w:t> </w:t>
      </w:r>
      <w:r>
        <w:rPr>
          <w:color w:val="231F20"/>
        </w:rPr>
        <w:t>conclusions</w:t>
      </w:r>
      <w:r>
        <w:rPr>
          <w:color w:val="231F20"/>
          <w:spacing w:val="15"/>
        </w:rPr>
        <w:t> </w:t>
      </w:r>
      <w:r>
        <w:rPr>
          <w:color w:val="231F20"/>
        </w:rPr>
        <w:t>de</w:t>
      </w:r>
      <w:r>
        <w:rPr>
          <w:color w:val="231F20"/>
          <w:spacing w:val="15"/>
        </w:rPr>
        <w:t> </w:t>
      </w:r>
      <w:r>
        <w:rPr>
          <w:color w:val="231F20"/>
        </w:rPr>
        <w:t>son</w:t>
      </w:r>
      <w:r>
        <w:rPr>
          <w:color w:val="231F20"/>
          <w:spacing w:val="15"/>
        </w:rPr>
        <w:t> </w:t>
      </w:r>
      <w:r>
        <w:rPr>
          <w:color w:val="231F20"/>
        </w:rPr>
        <w:t>rapport;</w:t>
      </w:r>
    </w:p>
    <w:p>
      <w:pPr>
        <w:pStyle w:val="BodyText"/>
        <w:spacing w:line="218" w:lineRule="auto" w:before="108"/>
        <w:ind w:right="61"/>
      </w:pPr>
      <w:r>
        <w:rPr>
          <w:color w:val="231F20"/>
        </w:rPr>
        <w:t>3° l’assemblée générale des associés ou actionnaires se prononce en faveur de la dissolution et la clôture de la liquidation en un seul acte:</w:t>
      </w:r>
    </w:p>
    <w:p>
      <w:pPr>
        <w:pStyle w:val="ListParagraph"/>
        <w:numPr>
          <w:ilvl w:val="0"/>
          <w:numId w:val="49"/>
        </w:numPr>
        <w:tabs>
          <w:tab w:pos="472" w:val="left" w:leader="none"/>
        </w:tabs>
        <w:spacing w:line="218" w:lineRule="auto" w:before="104" w:after="0"/>
        <w:ind w:left="113" w:right="61" w:firstLine="171"/>
        <w:jc w:val="both"/>
        <w:rPr>
          <w:sz w:val="17"/>
        </w:rPr>
      </w:pPr>
      <w:r>
        <w:rPr>
          <w:color w:val="231F20"/>
          <w:sz w:val="17"/>
        </w:rPr>
        <w:t>à l’unanimité de tous les associés, s’il s’agit d’une société en nom collectif</w:t>
      </w:r>
      <w:r>
        <w:rPr>
          <w:color w:val="231F20"/>
          <w:spacing w:val="15"/>
          <w:sz w:val="17"/>
        </w:rPr>
        <w:t> </w:t>
      </w:r>
      <w:r>
        <w:rPr>
          <w:color w:val="231F20"/>
          <w:sz w:val="17"/>
        </w:rPr>
        <w:t>ou</w:t>
      </w:r>
      <w:r>
        <w:rPr>
          <w:color w:val="231F20"/>
          <w:spacing w:val="15"/>
          <w:sz w:val="17"/>
        </w:rPr>
        <w:t> </w:t>
      </w:r>
      <w:r>
        <w:rPr>
          <w:color w:val="231F20"/>
          <w:sz w:val="17"/>
        </w:rPr>
        <w:t>d’une</w:t>
      </w:r>
      <w:r>
        <w:rPr>
          <w:color w:val="231F20"/>
          <w:spacing w:val="15"/>
          <w:sz w:val="17"/>
        </w:rPr>
        <w:t> </w:t>
      </w:r>
      <w:r>
        <w:rPr>
          <w:color w:val="231F20"/>
          <w:sz w:val="17"/>
        </w:rPr>
        <w:t>société</w:t>
      </w:r>
      <w:r>
        <w:rPr>
          <w:color w:val="231F20"/>
          <w:spacing w:val="15"/>
          <w:sz w:val="17"/>
        </w:rPr>
        <w:t> </w:t>
      </w:r>
      <w:r>
        <w:rPr>
          <w:color w:val="231F20"/>
          <w:sz w:val="17"/>
        </w:rPr>
        <w:t>en</w:t>
      </w:r>
      <w:r>
        <w:rPr>
          <w:color w:val="231F20"/>
          <w:spacing w:val="15"/>
          <w:sz w:val="17"/>
        </w:rPr>
        <w:t> </w:t>
      </w:r>
      <w:r>
        <w:rPr>
          <w:color w:val="231F20"/>
          <w:sz w:val="17"/>
        </w:rPr>
        <w:t>commandite;</w:t>
      </w:r>
    </w:p>
    <w:p>
      <w:pPr>
        <w:pStyle w:val="ListParagraph"/>
        <w:numPr>
          <w:ilvl w:val="0"/>
          <w:numId w:val="49"/>
        </w:numPr>
        <w:tabs>
          <w:tab w:pos="463" w:val="left" w:leader="none"/>
        </w:tabs>
        <w:spacing w:line="218" w:lineRule="auto" w:before="104" w:after="0"/>
        <w:ind w:left="113" w:right="61" w:firstLine="171"/>
        <w:jc w:val="both"/>
        <w:rPr>
          <w:sz w:val="17"/>
        </w:rPr>
      </w:pPr>
      <w:r>
        <w:rPr>
          <w:color w:val="231F20"/>
          <w:sz w:val="17"/>
        </w:rPr>
        <w:t>ou à l’unanimité des voix des actionnaires présents ou représentés, pour autant qu’ils représentent, s’il s’agit d’une société à responsabilité limitée ou d’une société coopérative, la moitié au moins du nombre total des actions émises, ou s’il s’agit d’une société anonyme, la moitié au moins du</w:t>
      </w:r>
      <w:r>
        <w:rPr>
          <w:color w:val="231F20"/>
          <w:spacing w:val="4"/>
          <w:sz w:val="17"/>
        </w:rPr>
        <w:t> </w:t>
      </w:r>
      <w:r>
        <w:rPr>
          <w:color w:val="231F20"/>
          <w:sz w:val="17"/>
        </w:rPr>
        <w:t>capital.</w:t>
      </w:r>
    </w:p>
    <w:p>
      <w:pPr>
        <w:pStyle w:val="BodyText"/>
        <w:spacing w:before="93"/>
        <w:ind w:left="284" w:right="0" w:firstLine="0"/>
        <w:jc w:val="left"/>
      </w:pPr>
      <w:r>
        <w:rPr>
          <w:color w:val="231F20"/>
        </w:rPr>
        <w:t>L’actif restant est repris par les associés mêmes.</w:t>
      </w:r>
    </w:p>
    <w:p>
      <w:pPr>
        <w:pStyle w:val="BodyText"/>
        <w:spacing w:line="218" w:lineRule="auto" w:before="103"/>
        <w:ind w:right="61"/>
      </w:pPr>
      <w:r>
        <w:rPr>
          <w:color w:val="231F20"/>
        </w:rPr>
        <w:t>Art. 2:81. Si le tribunal ne désigne pas de liquidateur en cas de dissolution judiciaire, il prononce la dissolution et la clôture immédiate de la liquidation.</w:t>
      </w:r>
    </w:p>
    <w:p>
      <w:pPr>
        <w:pStyle w:val="BodyText"/>
        <w:spacing w:before="93"/>
        <w:ind w:left="284" w:right="0" w:firstLine="0"/>
        <w:jc w:val="left"/>
      </w:pPr>
      <w:r>
        <w:rPr>
          <w:color w:val="231F20"/>
        </w:rPr>
        <w:t>Sous-section 3. Liquidation par un ou plusieurs liquidateurs.</w:t>
      </w:r>
    </w:p>
    <w:p>
      <w:pPr>
        <w:pStyle w:val="BodyText"/>
        <w:spacing w:line="218" w:lineRule="auto" w:before="103"/>
        <w:ind w:right="61"/>
      </w:pPr>
      <w:r>
        <w:rPr>
          <w:color w:val="231F20"/>
        </w:rPr>
        <w:t>Art. 2:82. La société est liquidée par le liquidateur. Sous réserve de l’article 2:93, si plus d’un liquidateur sont nommés ou désignés, ceux-ci forment un collège qui délibère et prend des décisions conformément à l’article 2:41.</w:t>
      </w:r>
    </w:p>
    <w:p>
      <w:pPr>
        <w:pStyle w:val="BodyText"/>
        <w:spacing w:line="218" w:lineRule="auto" w:before="119"/>
      </w:pPr>
      <w:r>
        <w:rPr/>
        <w:br w:type="column"/>
      </w:r>
      <w:r>
        <w:rPr>
          <w:color w:val="231F20"/>
        </w:rPr>
        <w:t>Op verzoek van de meest gerede partij wordt de zaak vastgesteld om gepleit te worden binnen een maand volgend op het verzoek tot bepaling van de rechtsdag.</w:t>
      </w:r>
    </w:p>
    <w:p>
      <w:pPr>
        <w:pStyle w:val="BodyText"/>
        <w:spacing w:line="338" w:lineRule="auto" w:before="83"/>
        <w:ind w:left="283" w:right="1262" w:firstLine="0"/>
        <w:jc w:val="left"/>
      </w:pPr>
      <w:r>
        <w:rPr>
          <w:color w:val="231F20"/>
        </w:rPr>
        <w:t>Afdeling 2. Vereffening van vennootschappen. Onderafdeling 1. Algemene bepalingen.</w:t>
      </w:r>
    </w:p>
    <w:p>
      <w:pPr>
        <w:pStyle w:val="BodyText"/>
        <w:spacing w:line="218" w:lineRule="auto" w:before="13"/>
      </w:pPr>
      <w:r>
        <w:rPr>
          <w:color w:val="231F20"/>
        </w:rPr>
        <w:t>Art. 2:76. Een vennootschap wordt na ontbinding geacht voort te bestaan voor haar vereffening tot aan de sluiting daarvan.</w:t>
      </w:r>
    </w:p>
    <w:p>
      <w:pPr>
        <w:pStyle w:val="BodyText"/>
        <w:spacing w:line="218" w:lineRule="auto" w:before="96"/>
      </w:pPr>
      <w:r>
        <w:rPr>
          <w:color w:val="231F20"/>
        </w:rPr>
        <w:t>Alle stukken uitgaande van een ontbonden vennootschap vermelden dat zij in vereffening is.</w:t>
      </w:r>
    </w:p>
    <w:p>
      <w:pPr>
        <w:pStyle w:val="BodyText"/>
        <w:spacing w:line="218" w:lineRule="auto" w:before="96"/>
      </w:pPr>
      <w:r>
        <w:rPr>
          <w:color w:val="231F20"/>
        </w:rPr>
        <w:t>Art. 2:77. Een vennootschap in vereffening mag haar naam niet wijzigen.</w:t>
      </w:r>
    </w:p>
    <w:p>
      <w:pPr>
        <w:pStyle w:val="BodyText"/>
        <w:spacing w:line="218" w:lineRule="auto" w:before="96"/>
      </w:pPr>
      <w:r>
        <w:rPr>
          <w:color w:val="231F20"/>
        </w:rPr>
        <w:t>Art. 2:78. Een besluit tot verplaatsing van de zetel van een vennootschap in vereffening kan niet worden uitgevoerd dan na homologatie door de rechtbank van de zetel van de vennootschap.</w:t>
      </w:r>
    </w:p>
    <w:p>
      <w:pPr>
        <w:pStyle w:val="BodyText"/>
        <w:spacing w:line="218" w:lineRule="auto" w:before="107"/>
      </w:pPr>
      <w:r>
        <w:rPr>
          <w:color w:val="231F20"/>
        </w:rPr>
        <w:t>De homologatie wordt bij verzoekschrift aangevraagd door de vereffenaar.</w:t>
      </w:r>
    </w:p>
    <w:p>
      <w:pPr>
        <w:pStyle w:val="BodyText"/>
        <w:spacing w:line="218" w:lineRule="auto" w:before="106"/>
      </w:pPr>
      <w:r>
        <w:rPr>
          <w:color w:val="231F20"/>
        </w:rPr>
        <w:t>De rechtbank doet uitspraak met voorrang boven alle andere zaken en na het openbaar ministerie te hebben gehoord. Zij verleent de homologatie wanneer zij oordeelt dat de zetelverplaatsing dienstig is voor de</w:t>
      </w:r>
      <w:r>
        <w:rPr>
          <w:color w:val="231F20"/>
          <w:spacing w:val="-11"/>
        </w:rPr>
        <w:t> </w:t>
      </w:r>
      <w:r>
        <w:rPr>
          <w:color w:val="231F20"/>
        </w:rPr>
        <w:t>vereffening.</w:t>
      </w:r>
    </w:p>
    <w:p>
      <w:pPr>
        <w:pStyle w:val="BodyText"/>
        <w:spacing w:line="218" w:lineRule="auto" w:before="107"/>
      </w:pPr>
      <w:r>
        <w:rPr>
          <w:color w:val="231F20"/>
        </w:rPr>
        <w:t>Een akte houdende verplaatsing van de zetel van een vennootschap in vereffening kan slechts geldig worden neergelegd en bekendgemaakt overeenkomstig de artikelen 2:8 en 2:14, 1°, wanneer er een kopie</w:t>
      </w:r>
      <w:r>
        <w:rPr>
          <w:color w:val="231F20"/>
          <w:spacing w:val="-29"/>
        </w:rPr>
        <w:t> </w:t>
      </w:r>
      <w:r>
        <w:rPr>
          <w:color w:val="231F20"/>
        </w:rPr>
        <w:t>wordt bijgevoegd</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beslissing</w:t>
      </w:r>
      <w:r>
        <w:rPr>
          <w:color w:val="231F20"/>
          <w:spacing w:val="19"/>
        </w:rPr>
        <w:t> </w:t>
      </w:r>
      <w:r>
        <w:rPr>
          <w:color w:val="231F20"/>
        </w:rPr>
        <w:t>tot</w:t>
      </w:r>
      <w:r>
        <w:rPr>
          <w:color w:val="231F20"/>
          <w:spacing w:val="18"/>
        </w:rPr>
        <w:t> </w:t>
      </w:r>
      <w:r>
        <w:rPr>
          <w:color w:val="231F20"/>
        </w:rPr>
        <w:t>homologatie</w:t>
      </w:r>
      <w:r>
        <w:rPr>
          <w:color w:val="231F20"/>
          <w:spacing w:val="18"/>
        </w:rPr>
        <w:t> </w:t>
      </w:r>
      <w:r>
        <w:rPr>
          <w:color w:val="231F20"/>
        </w:rPr>
        <w:t>door</w:t>
      </w:r>
      <w:r>
        <w:rPr>
          <w:color w:val="231F20"/>
          <w:spacing w:val="18"/>
        </w:rPr>
        <w:t> </w:t>
      </w:r>
      <w:r>
        <w:rPr>
          <w:color w:val="231F20"/>
        </w:rPr>
        <w:t>de</w:t>
      </w:r>
      <w:r>
        <w:rPr>
          <w:color w:val="231F20"/>
          <w:spacing w:val="19"/>
        </w:rPr>
        <w:t> </w:t>
      </w:r>
      <w:r>
        <w:rPr>
          <w:color w:val="231F20"/>
        </w:rPr>
        <w:t>rechtbank.</w:t>
      </w:r>
    </w:p>
    <w:p>
      <w:pPr>
        <w:pStyle w:val="BodyText"/>
        <w:spacing w:line="218" w:lineRule="auto" w:before="107"/>
        <w:ind w:right="125"/>
      </w:pPr>
      <w:r>
        <w:rPr>
          <w:color w:val="231F20"/>
        </w:rPr>
        <w:t>Art. 2:79. </w:t>
      </w:r>
      <w:r>
        <w:rPr>
          <w:color w:val="231F20"/>
          <w:spacing w:val="-4"/>
        </w:rPr>
        <w:t>Worden </w:t>
      </w:r>
      <w:r>
        <w:rPr>
          <w:color w:val="231F20"/>
        </w:rPr>
        <w:t>geen vereffenaars benoemd of aangewezen, dan worden de vennoten-zaakvoerders in de vennootschappen onder firma of in de commanditaire vennootschappen, de leden van de raad van bestuur of de leden van directieraad in een Europese vennootschap of Europese coöperatieve vennootschap alsook de bestuurders in de besloten vennootschap, de coöperatieve vennootschap, en de naamloze vennootschap, ten aanzien van derden als vereffenaars van rechtswege beschouwd, evenwel zonder de bevoegdheden die de wet en  de  statuten met betrekking tot de verrichtingen van de vereffening toe te kennen aan de vereffenaar benoemd in de statuten, door de algemene vergadering of door de</w:t>
      </w:r>
      <w:r>
        <w:rPr>
          <w:color w:val="231F20"/>
          <w:spacing w:val="21"/>
        </w:rPr>
        <w:t> </w:t>
      </w:r>
      <w:r>
        <w:rPr>
          <w:color w:val="231F20"/>
        </w:rPr>
        <w:t>rechtbank.</w:t>
      </w:r>
    </w:p>
    <w:p>
      <w:pPr>
        <w:pStyle w:val="BodyText"/>
        <w:spacing w:before="94"/>
        <w:ind w:left="283" w:right="0" w:firstLine="0"/>
        <w:jc w:val="left"/>
      </w:pPr>
      <w:r>
        <w:rPr>
          <w:color w:val="231F20"/>
        </w:rPr>
        <w:t>Onderafdeling 2. Onmiddellijke sluiting van de vereffening.</w:t>
      </w:r>
    </w:p>
    <w:p>
      <w:pPr>
        <w:pStyle w:val="BodyText"/>
        <w:spacing w:line="218" w:lineRule="auto" w:before="103"/>
      </w:pPr>
      <w:r>
        <w:rPr>
          <w:color w:val="231F20"/>
        </w:rPr>
        <w:t>Art. 2:80. Onverminderd artikel 2:71, zijn een ontbinding en de sluiting van de vereffening in één akte mogelijk met naleving van de volgende voorwaarden:</w:t>
      </w:r>
    </w:p>
    <w:p>
      <w:pPr>
        <w:pStyle w:val="BodyText"/>
        <w:spacing w:before="93"/>
        <w:ind w:left="283" w:right="0" w:firstLine="0"/>
        <w:jc w:val="left"/>
      </w:pPr>
      <w:r>
        <w:rPr>
          <w:color w:val="231F20"/>
        </w:rPr>
        <w:t>1° er wordt geen vereffenaar benoemd;</w:t>
      </w:r>
    </w:p>
    <w:p>
      <w:pPr>
        <w:pStyle w:val="BodyText"/>
        <w:spacing w:line="218" w:lineRule="auto" w:before="103"/>
        <w:ind w:right="123"/>
      </w:pPr>
      <w:r>
        <w:rPr>
          <w:color w:val="231F20"/>
        </w:rPr>
        <w:t>2° alle schulden ten aanzien van vennoten of aandeelhouders, of derden zoals vermeld in de staat van activa en passiva bedoeld in  artikel 2:71, § 2, tweede lid, zijn terugbetaald of de nodige gelden om die te voldoen werden geconsigneerd; de commissaris of, als er geen commissaris is, de bedrijfsrevisor of externe accountant die overeen- komstig artikel 2:71, § 2, derde lid, een verslag opmaakt, bevestigt deze betaling of consignatie in de conclusies van zijn verslag; de terugbeta- ling of consignatie is evenwel niet vereist voor wat betreft de schulden aan aandeelhouders, vennoten of derden wiens schuldvordering is opgenomen in de staat van activa en passiva bedoeld in artikel 2:71, § 2, tweede lid, en die schriftelijk hebben bevestigd in te stemmen met de toepassing</w:t>
      </w:r>
      <w:r>
        <w:rPr>
          <w:color w:val="231F20"/>
          <w:spacing w:val="-4"/>
        </w:rPr>
        <w:t> </w:t>
      </w:r>
      <w:r>
        <w:rPr>
          <w:color w:val="231F20"/>
        </w:rPr>
        <w:t>van</w:t>
      </w:r>
      <w:r>
        <w:rPr>
          <w:color w:val="231F20"/>
          <w:spacing w:val="-4"/>
        </w:rPr>
        <w:t> </w:t>
      </w:r>
      <w:r>
        <w:rPr>
          <w:color w:val="231F20"/>
        </w:rPr>
        <w:t>dit</w:t>
      </w:r>
      <w:r>
        <w:rPr>
          <w:color w:val="231F20"/>
          <w:spacing w:val="-4"/>
        </w:rPr>
        <w:t> </w:t>
      </w:r>
      <w:r>
        <w:rPr>
          <w:color w:val="231F20"/>
        </w:rPr>
        <w:t>artikel;</w:t>
      </w:r>
      <w:r>
        <w:rPr>
          <w:color w:val="231F20"/>
          <w:spacing w:val="-3"/>
        </w:rPr>
        <w:t> </w:t>
      </w:r>
      <w:r>
        <w:rPr>
          <w:color w:val="231F20"/>
        </w:rPr>
        <w:t>de</w:t>
      </w:r>
      <w:r>
        <w:rPr>
          <w:color w:val="231F20"/>
          <w:spacing w:val="-4"/>
        </w:rPr>
        <w:t> </w:t>
      </w:r>
      <w:r>
        <w:rPr>
          <w:color w:val="231F20"/>
        </w:rPr>
        <w:t>commissaris</w:t>
      </w:r>
      <w:r>
        <w:rPr>
          <w:color w:val="231F20"/>
          <w:spacing w:val="-4"/>
        </w:rPr>
        <w:t> </w:t>
      </w:r>
      <w:r>
        <w:rPr>
          <w:color w:val="231F20"/>
        </w:rPr>
        <w:t>of,</w:t>
      </w:r>
      <w:r>
        <w:rPr>
          <w:color w:val="231F20"/>
          <w:spacing w:val="-3"/>
        </w:rPr>
        <w:t> </w:t>
      </w:r>
      <w:r>
        <w:rPr>
          <w:color w:val="231F20"/>
        </w:rPr>
        <w:t>als</w:t>
      </w:r>
      <w:r>
        <w:rPr>
          <w:color w:val="231F20"/>
          <w:spacing w:val="-4"/>
        </w:rPr>
        <w:t> </w:t>
      </w:r>
      <w:r>
        <w:rPr>
          <w:color w:val="231F20"/>
        </w:rPr>
        <w:t>er</w:t>
      </w:r>
      <w:r>
        <w:rPr>
          <w:color w:val="231F20"/>
          <w:spacing w:val="-4"/>
        </w:rPr>
        <w:t> </w:t>
      </w:r>
      <w:r>
        <w:rPr>
          <w:color w:val="231F20"/>
        </w:rPr>
        <w:t>geen</w:t>
      </w:r>
      <w:r>
        <w:rPr>
          <w:color w:val="231F20"/>
          <w:spacing w:val="-4"/>
        </w:rPr>
        <w:t> </w:t>
      </w:r>
      <w:r>
        <w:rPr>
          <w:color w:val="231F20"/>
        </w:rPr>
        <w:t>commissaris</w:t>
      </w:r>
      <w:r>
        <w:rPr>
          <w:color w:val="231F20"/>
          <w:spacing w:val="-3"/>
        </w:rPr>
        <w:t> </w:t>
      </w:r>
      <w:r>
        <w:rPr>
          <w:color w:val="231F20"/>
        </w:rPr>
        <w:t>is, de bedrijfsrevisor  of  externe  accountant  die  overeenkomstig  arti-  kel 2:71, § 2, derde lid, een verslag opmaakt, bevestigt dit schriftelijk akkoord</w:t>
      </w:r>
      <w:r>
        <w:rPr>
          <w:color w:val="231F20"/>
          <w:spacing w:val="15"/>
        </w:rPr>
        <w:t> </w:t>
      </w:r>
      <w:r>
        <w:rPr>
          <w:color w:val="231F20"/>
        </w:rPr>
        <w:t>in</w:t>
      </w:r>
      <w:r>
        <w:rPr>
          <w:color w:val="231F20"/>
          <w:spacing w:val="16"/>
        </w:rPr>
        <w:t> </w:t>
      </w:r>
      <w:r>
        <w:rPr>
          <w:color w:val="231F20"/>
        </w:rPr>
        <w:t>de</w:t>
      </w:r>
      <w:r>
        <w:rPr>
          <w:color w:val="231F20"/>
          <w:spacing w:val="16"/>
        </w:rPr>
        <w:t> </w:t>
      </w:r>
      <w:r>
        <w:rPr>
          <w:color w:val="231F20"/>
        </w:rPr>
        <w:t>conclusies</w:t>
      </w:r>
      <w:r>
        <w:rPr>
          <w:color w:val="231F20"/>
          <w:spacing w:val="15"/>
        </w:rPr>
        <w:t> </w:t>
      </w:r>
      <w:r>
        <w:rPr>
          <w:color w:val="231F20"/>
        </w:rPr>
        <w:t>van</w:t>
      </w:r>
      <w:r>
        <w:rPr>
          <w:color w:val="231F20"/>
          <w:spacing w:val="16"/>
        </w:rPr>
        <w:t> </w:t>
      </w:r>
      <w:r>
        <w:rPr>
          <w:color w:val="231F20"/>
        </w:rPr>
        <w:t>zijn</w:t>
      </w:r>
      <w:r>
        <w:rPr>
          <w:color w:val="231F20"/>
          <w:spacing w:val="16"/>
        </w:rPr>
        <w:t> </w:t>
      </w:r>
      <w:r>
        <w:rPr>
          <w:color w:val="231F20"/>
        </w:rPr>
        <w:t>verslag;</w:t>
      </w:r>
    </w:p>
    <w:p>
      <w:pPr>
        <w:pStyle w:val="BodyText"/>
        <w:spacing w:line="218" w:lineRule="auto" w:before="108"/>
      </w:pPr>
      <w:r>
        <w:rPr>
          <w:color w:val="231F20"/>
        </w:rPr>
        <w:t>3° de algemene vergadering van vennoten of aandeelhouders beslist tot de ontbinding en de sluiting van de vereffening in één akte:</w:t>
      </w:r>
    </w:p>
    <w:p>
      <w:pPr>
        <w:pStyle w:val="ListParagraph"/>
        <w:numPr>
          <w:ilvl w:val="0"/>
          <w:numId w:val="50"/>
        </w:numPr>
        <w:tabs>
          <w:tab w:pos="458" w:val="left" w:leader="none"/>
        </w:tabs>
        <w:spacing w:line="218" w:lineRule="auto" w:before="104" w:after="0"/>
        <w:ind w:left="113" w:right="124" w:firstLine="170"/>
        <w:jc w:val="both"/>
        <w:rPr>
          <w:sz w:val="17"/>
        </w:rPr>
      </w:pPr>
      <w:r>
        <w:rPr>
          <w:color w:val="231F20"/>
          <w:sz w:val="17"/>
        </w:rPr>
        <w:t>mits unanieme instemming van alle vennoten in een vennootschap onder</w:t>
      </w:r>
      <w:r>
        <w:rPr>
          <w:color w:val="231F20"/>
          <w:spacing w:val="14"/>
          <w:sz w:val="17"/>
        </w:rPr>
        <w:t> </w:t>
      </w:r>
      <w:r>
        <w:rPr>
          <w:color w:val="231F20"/>
          <w:sz w:val="17"/>
        </w:rPr>
        <w:t>firma</w:t>
      </w:r>
      <w:r>
        <w:rPr>
          <w:color w:val="231F20"/>
          <w:spacing w:val="15"/>
          <w:sz w:val="17"/>
        </w:rPr>
        <w:t> </w:t>
      </w:r>
      <w:r>
        <w:rPr>
          <w:color w:val="231F20"/>
          <w:sz w:val="17"/>
        </w:rPr>
        <w:t>of</w:t>
      </w:r>
      <w:r>
        <w:rPr>
          <w:color w:val="231F20"/>
          <w:spacing w:val="15"/>
          <w:sz w:val="17"/>
        </w:rPr>
        <w:t> </w:t>
      </w:r>
      <w:r>
        <w:rPr>
          <w:color w:val="231F20"/>
          <w:sz w:val="17"/>
        </w:rPr>
        <w:t>een</w:t>
      </w:r>
      <w:r>
        <w:rPr>
          <w:color w:val="231F20"/>
          <w:spacing w:val="15"/>
          <w:sz w:val="17"/>
        </w:rPr>
        <w:t> </w:t>
      </w:r>
      <w:r>
        <w:rPr>
          <w:color w:val="231F20"/>
          <w:sz w:val="17"/>
        </w:rPr>
        <w:t>commanditaire</w:t>
      </w:r>
      <w:r>
        <w:rPr>
          <w:color w:val="231F20"/>
          <w:spacing w:val="15"/>
          <w:sz w:val="17"/>
        </w:rPr>
        <w:t> </w:t>
      </w:r>
      <w:r>
        <w:rPr>
          <w:color w:val="231F20"/>
          <w:sz w:val="17"/>
        </w:rPr>
        <w:t>vennootschap;</w:t>
      </w:r>
    </w:p>
    <w:p>
      <w:pPr>
        <w:pStyle w:val="ListParagraph"/>
        <w:numPr>
          <w:ilvl w:val="0"/>
          <w:numId w:val="50"/>
        </w:numPr>
        <w:tabs>
          <w:tab w:pos="468" w:val="left" w:leader="none"/>
        </w:tabs>
        <w:spacing w:line="218" w:lineRule="auto" w:before="105" w:after="0"/>
        <w:ind w:left="113" w:right="124" w:firstLine="170"/>
        <w:jc w:val="both"/>
        <w:rPr>
          <w:sz w:val="17"/>
        </w:rPr>
      </w:pPr>
      <w:r>
        <w:rPr>
          <w:color w:val="231F20"/>
          <w:sz w:val="17"/>
        </w:rPr>
        <w:t>of mits eenparigheid van stemmen van de aanwezige of vertegen- woordigde aandeelhouders voor zover zij, in een besloten of coöpera- tieve vennootschap, ten minste de helft van het totaal aantal uitgegeven aandelen vertegenwoordigen of, in een naamloze vennootschap, ten minste</w:t>
      </w:r>
      <w:r>
        <w:rPr>
          <w:color w:val="231F20"/>
          <w:spacing w:val="15"/>
          <w:sz w:val="17"/>
        </w:rPr>
        <w:t> </w:t>
      </w:r>
      <w:r>
        <w:rPr>
          <w:color w:val="231F20"/>
          <w:sz w:val="17"/>
        </w:rPr>
        <w:t>de</w:t>
      </w:r>
      <w:r>
        <w:rPr>
          <w:color w:val="231F20"/>
          <w:spacing w:val="15"/>
          <w:sz w:val="17"/>
        </w:rPr>
        <w:t> </w:t>
      </w:r>
      <w:r>
        <w:rPr>
          <w:color w:val="231F20"/>
          <w:sz w:val="17"/>
        </w:rPr>
        <w:t>helft</w:t>
      </w:r>
      <w:r>
        <w:rPr>
          <w:color w:val="231F20"/>
          <w:spacing w:val="15"/>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kapitaal.</w:t>
      </w:r>
    </w:p>
    <w:p>
      <w:pPr>
        <w:pStyle w:val="BodyText"/>
        <w:spacing w:before="93"/>
        <w:ind w:left="283" w:right="0" w:firstLine="0"/>
        <w:jc w:val="left"/>
      </w:pPr>
      <w:r>
        <w:rPr>
          <w:color w:val="231F20"/>
        </w:rPr>
        <w:t>De terugname van het resterend actief gebeurt door de vennoten zelf.</w:t>
      </w:r>
    </w:p>
    <w:p>
      <w:pPr>
        <w:pStyle w:val="BodyText"/>
        <w:spacing w:line="218" w:lineRule="auto" w:before="103"/>
      </w:pPr>
      <w:r>
        <w:rPr>
          <w:color w:val="231F20"/>
        </w:rPr>
        <w:t>Art. 2:81. In het geval van een gerechtelijke ontbinding de rechtbank geen vereffenaar aanwijst, spreekt zij de ontbinding en de onmiddel- lijke sluiting van de vereffening uit.</w:t>
      </w:r>
    </w:p>
    <w:p>
      <w:pPr>
        <w:pStyle w:val="BodyText"/>
        <w:spacing w:line="280" w:lineRule="atLeast" w:before="6"/>
        <w:ind w:left="283" w:right="169" w:firstLine="0"/>
        <w:jc w:val="left"/>
      </w:pPr>
      <w:r>
        <w:rPr>
          <w:color w:val="231F20"/>
        </w:rPr>
        <w:t>Onderafdeling 3. </w:t>
      </w:r>
      <w:r>
        <w:rPr>
          <w:color w:val="231F20"/>
          <w:spacing w:val="-4"/>
        </w:rPr>
        <w:t>Vereffening </w:t>
      </w:r>
      <w:r>
        <w:rPr>
          <w:color w:val="231F20"/>
        </w:rPr>
        <w:t>door één  of  meerdere  vereffenaars. Art.</w:t>
      </w:r>
      <w:r>
        <w:rPr>
          <w:color w:val="231F20"/>
          <w:spacing w:val="8"/>
        </w:rPr>
        <w:t> </w:t>
      </w:r>
      <w:r>
        <w:rPr>
          <w:color w:val="231F20"/>
        </w:rPr>
        <w:t>2:82.</w:t>
      </w:r>
      <w:r>
        <w:rPr>
          <w:color w:val="231F20"/>
          <w:spacing w:val="8"/>
        </w:rPr>
        <w:t> </w:t>
      </w:r>
      <w:r>
        <w:rPr>
          <w:color w:val="231F20"/>
        </w:rPr>
        <w:t>De</w:t>
      </w:r>
      <w:r>
        <w:rPr>
          <w:color w:val="231F20"/>
          <w:spacing w:val="8"/>
        </w:rPr>
        <w:t> </w:t>
      </w:r>
      <w:r>
        <w:rPr>
          <w:color w:val="231F20"/>
        </w:rPr>
        <w:t>vennootschap</w:t>
      </w:r>
      <w:r>
        <w:rPr>
          <w:color w:val="231F20"/>
          <w:spacing w:val="8"/>
        </w:rPr>
        <w:t> </w:t>
      </w:r>
      <w:r>
        <w:rPr>
          <w:color w:val="231F20"/>
        </w:rPr>
        <w:t>wordt</w:t>
      </w:r>
      <w:r>
        <w:rPr>
          <w:color w:val="231F20"/>
          <w:spacing w:val="8"/>
        </w:rPr>
        <w:t> </w:t>
      </w:r>
      <w:r>
        <w:rPr>
          <w:color w:val="231F20"/>
        </w:rPr>
        <w:t>vereffend</w:t>
      </w:r>
      <w:r>
        <w:rPr>
          <w:color w:val="231F20"/>
          <w:spacing w:val="8"/>
        </w:rPr>
        <w:t> </w:t>
      </w:r>
      <w:r>
        <w:rPr>
          <w:color w:val="231F20"/>
        </w:rPr>
        <w:t>door</w:t>
      </w:r>
      <w:r>
        <w:rPr>
          <w:color w:val="231F20"/>
          <w:spacing w:val="8"/>
        </w:rPr>
        <w:t> </w:t>
      </w:r>
      <w:r>
        <w:rPr>
          <w:color w:val="231F20"/>
        </w:rPr>
        <w:t>de</w:t>
      </w:r>
      <w:r>
        <w:rPr>
          <w:color w:val="231F20"/>
          <w:spacing w:val="8"/>
        </w:rPr>
        <w:t> </w:t>
      </w:r>
      <w:r>
        <w:rPr>
          <w:color w:val="231F20"/>
          <w:spacing w:val="-3"/>
        </w:rPr>
        <w:t>vereffenaar.</w:t>
      </w:r>
    </w:p>
    <w:p>
      <w:pPr>
        <w:pStyle w:val="BodyText"/>
        <w:spacing w:line="218" w:lineRule="auto"/>
        <w:ind w:firstLine="0"/>
      </w:pPr>
      <w:r>
        <w:rPr>
          <w:color w:val="231F20"/>
        </w:rPr>
        <w:t>Onder voorbehoud van artikel 2:93 vormen zij, indien meer dan één vereffenaar worden benoemd of aangewezen, een college dat beraad- slaagt en besluit overeenkomstig artikel 2:41.</w:t>
      </w:r>
    </w:p>
    <w:p>
      <w:pPr>
        <w:spacing w:after="0" w:line="218" w:lineRule="auto"/>
        <w:sectPr>
          <w:headerReference w:type="even" r:id="rId19"/>
          <w:headerReference w:type="default" r:id="rId20"/>
          <w:pgSz w:w="11940" w:h="16880"/>
          <w:pgMar w:header="666" w:footer="0" w:top="1140" w:bottom="280" w:left="340" w:right="360"/>
          <w:cols w:num="2" w:equalWidth="0">
            <w:col w:w="5550" w:space="77"/>
            <w:col w:w="5613"/>
          </w:cols>
        </w:sectPr>
      </w:pPr>
    </w:p>
    <w:p>
      <w:pPr>
        <w:pStyle w:val="BodyText"/>
        <w:spacing w:line="218" w:lineRule="auto" w:before="119"/>
        <w:ind w:right="38"/>
      </w:pPr>
      <w:r>
        <w:rPr/>
        <w:pict>
          <v:line style="position:absolute;mso-position-horizontal-relative:page;mso-position-vertical-relative:page;z-index:1792" from="298.170502pt,64.473pt" to="298.170502pt,812.819pt" stroked="true" strokeweight=".533pt" strokecolor="#231f20">
            <v:stroke dashstyle="solid"/>
            <w10:wrap type="none"/>
          </v:line>
        </w:pict>
      </w:r>
      <w:bookmarkStart w:name="_bookmark32" w:id="35"/>
      <w:bookmarkEnd w:id="35"/>
      <w:r>
        <w:rPr/>
      </w:r>
      <w:r>
        <w:rPr>
          <w:color w:val="231F20"/>
        </w:rPr>
        <w:t>Si un liquidateur est une personne morale, l’article 2:55 est d’appli- cation par analogie.</w:t>
      </w:r>
    </w:p>
    <w:p>
      <w:pPr>
        <w:pStyle w:val="BodyText"/>
        <w:spacing w:line="218" w:lineRule="auto" w:before="150"/>
        <w:ind w:right="38"/>
      </w:pPr>
      <w:r>
        <w:rPr>
          <w:color w:val="231F20"/>
        </w:rPr>
        <w:t>Ne peuvent en aucun cas être désignés comme liquidateurs, ni les personnes qui ont été condamnées pour infraction aux articles 489 à 490</w:t>
      </w:r>
      <w:r>
        <w:rPr>
          <w:rFonts w:ascii="Times New Roman" w:hAnsi="Times New Roman"/>
          <w:i/>
          <w:color w:val="231F20"/>
        </w:rPr>
        <w:t>bis </w:t>
      </w:r>
      <w:r>
        <w:rPr>
          <w:color w:val="231F20"/>
        </w:rPr>
        <w:t>du Code pénal ou pour vol, faux, concussion, escroquerie ou abus de confiance, ainsi que tout dépositaire, tuteur, administrateur ou comptable, qui n’a pas rendu et soldé son compte en temps utile. Cette interdiction ne vaut que pour un délai de dix ans, prenant cours à dater d’une décision définitive de condamnation ou de l’absence de reddition et</w:t>
      </w:r>
      <w:r>
        <w:rPr>
          <w:color w:val="231F20"/>
          <w:spacing w:val="15"/>
        </w:rPr>
        <w:t> </w:t>
      </w:r>
      <w:r>
        <w:rPr>
          <w:color w:val="231F20"/>
        </w:rPr>
        <w:t>solde</w:t>
      </w:r>
      <w:r>
        <w:rPr>
          <w:color w:val="231F20"/>
          <w:spacing w:val="15"/>
        </w:rPr>
        <w:t> </w:t>
      </w:r>
      <w:r>
        <w:rPr>
          <w:color w:val="231F20"/>
        </w:rPr>
        <w:t>de</w:t>
      </w:r>
      <w:r>
        <w:rPr>
          <w:color w:val="231F20"/>
          <w:spacing w:val="15"/>
        </w:rPr>
        <w:t> </w:t>
      </w:r>
      <w:r>
        <w:rPr>
          <w:color w:val="231F20"/>
        </w:rPr>
        <w:t>compte</w:t>
      </w:r>
      <w:r>
        <w:rPr>
          <w:color w:val="231F20"/>
          <w:spacing w:val="15"/>
        </w:rPr>
        <w:t> </w:t>
      </w:r>
      <w:r>
        <w:rPr>
          <w:color w:val="231F20"/>
        </w:rPr>
        <w:t>en</w:t>
      </w:r>
      <w:r>
        <w:rPr>
          <w:color w:val="231F20"/>
          <w:spacing w:val="16"/>
        </w:rPr>
        <w:t> </w:t>
      </w:r>
      <w:r>
        <w:rPr>
          <w:color w:val="231F20"/>
        </w:rPr>
        <w:t>temps</w:t>
      </w:r>
      <w:r>
        <w:rPr>
          <w:color w:val="231F20"/>
          <w:spacing w:val="15"/>
        </w:rPr>
        <w:t> </w:t>
      </w:r>
      <w:r>
        <w:rPr>
          <w:color w:val="231F20"/>
        </w:rPr>
        <w:t>utile.</w:t>
      </w:r>
    </w:p>
    <w:p>
      <w:pPr>
        <w:pStyle w:val="BodyText"/>
        <w:spacing w:before="5"/>
        <w:ind w:left="0" w:right="0" w:firstLine="0"/>
        <w:jc w:val="left"/>
        <w:rPr>
          <w:sz w:val="28"/>
        </w:rPr>
      </w:pPr>
    </w:p>
    <w:p>
      <w:pPr>
        <w:pStyle w:val="BodyText"/>
        <w:spacing w:line="218" w:lineRule="auto"/>
        <w:ind w:right="38"/>
      </w:pPr>
      <w:r>
        <w:rPr>
          <w:color w:val="231F20"/>
        </w:rPr>
        <w:t>Art. 2:83. Sauf disposition statutaire contraire, l’assemblée générale nomme les liquidateurs à la majorité simple.</w:t>
      </w:r>
    </w:p>
    <w:p>
      <w:pPr>
        <w:pStyle w:val="BodyText"/>
        <w:spacing w:before="7"/>
        <w:ind w:left="0" w:right="0" w:firstLine="0"/>
        <w:jc w:val="left"/>
        <w:rPr>
          <w:sz w:val="28"/>
        </w:rPr>
      </w:pPr>
    </w:p>
    <w:p>
      <w:pPr>
        <w:pStyle w:val="BodyText"/>
        <w:spacing w:line="218" w:lineRule="auto"/>
        <w:ind w:right="38"/>
      </w:pPr>
      <w:r>
        <w:rPr>
          <w:color w:val="231F20"/>
        </w:rPr>
        <w:t>Si un ou plusieurs liquidateurs sont une personne morale, la désignation de la personne physique qui représente la personne morale doit être soumise à l’approbation de l’assemblée générale de la société dissoute.</w:t>
      </w:r>
    </w:p>
    <w:p>
      <w:pPr>
        <w:pStyle w:val="BodyText"/>
        <w:spacing w:line="218" w:lineRule="auto" w:before="150"/>
        <w:ind w:right="38"/>
      </w:pPr>
      <w:r>
        <w:rPr>
          <w:color w:val="231F20"/>
        </w:rPr>
        <w:t>Art. 2:84. S’il résulte de l’état résumant la situation active et passive de la société établi conformément à l’article 2:71, § 2, alinéa 2, que tous les créanciers ne pourront pas être remboursés intégralement, la nomination des liquidateurs par les statuts ou par l’assemblée générale doit être soumise au président du tribunal pour confirmation. Cette confirmation n’est toutefois pas requise s’il résulte de cet état résumant la situation active et passive que la société n’a des dettes qu’à l’égard de ses actionnaires et que tous les actionnaires qui sont les créanciers de la société confirment par écrit leur accord concernant la nomination.</w:t>
      </w:r>
    </w:p>
    <w:p>
      <w:pPr>
        <w:pStyle w:val="BodyText"/>
        <w:spacing w:before="7"/>
        <w:ind w:left="0" w:right="0" w:firstLine="0"/>
        <w:jc w:val="left"/>
        <w:rPr>
          <w:sz w:val="28"/>
        </w:rPr>
      </w:pPr>
    </w:p>
    <w:p>
      <w:pPr>
        <w:pStyle w:val="BodyText"/>
        <w:spacing w:line="218" w:lineRule="auto"/>
        <w:ind w:right="38"/>
      </w:pPr>
      <w:r>
        <w:rPr>
          <w:color w:val="231F20"/>
        </w:rPr>
        <w:t>Le tribunal compétent est celui du ressort où la société a son siège le jour de la décision de dissolution. Si le siège de la société a été déplacé dans les six mois précédant la décision de dissolution, le tribunal compétent est celui du ressort où la société avait son siège six mois avant la décision de dissolution.</w:t>
      </w:r>
    </w:p>
    <w:p>
      <w:pPr>
        <w:pStyle w:val="BodyText"/>
        <w:spacing w:before="8"/>
        <w:ind w:left="0" w:right="0" w:firstLine="0"/>
        <w:jc w:val="left"/>
        <w:rPr>
          <w:sz w:val="28"/>
        </w:rPr>
      </w:pPr>
    </w:p>
    <w:p>
      <w:pPr>
        <w:pStyle w:val="BodyText"/>
        <w:spacing w:line="218" w:lineRule="auto"/>
        <w:ind w:right="38"/>
      </w:pPr>
      <w:r>
        <w:rPr>
          <w:color w:val="231F20"/>
        </w:rPr>
        <w:t>Le président du tribunal ne confirme la nomination qu’après s’être assuré que les liquidateurs offrent toutes les garanties de compétence et d’intégrité pour l’exercice de leur mandat.</w:t>
      </w:r>
    </w:p>
    <w:p>
      <w:pPr>
        <w:pStyle w:val="BodyText"/>
        <w:spacing w:line="218" w:lineRule="auto" w:before="149"/>
        <w:ind w:right="38"/>
      </w:pPr>
      <w:r>
        <w:rPr>
          <w:color w:val="231F20"/>
        </w:rPr>
        <w:t>Le président du tribunal statue également sur les actes que le liquidateur a éventuellement accomplis entre sa nomination par l’assemblée générale et la confirmation de cette nomination. Il peut les annuler s’ils constituent une violation manifeste des droits de tiers.</w:t>
      </w:r>
    </w:p>
    <w:p>
      <w:pPr>
        <w:pStyle w:val="BodyText"/>
        <w:spacing w:before="10"/>
        <w:ind w:left="0" w:right="0" w:firstLine="0"/>
        <w:jc w:val="left"/>
        <w:rPr>
          <w:sz w:val="28"/>
        </w:rPr>
      </w:pPr>
    </w:p>
    <w:p>
      <w:pPr>
        <w:pStyle w:val="BodyText"/>
        <w:spacing w:line="213" w:lineRule="auto" w:before="1"/>
        <w:ind w:right="38"/>
      </w:pPr>
      <w:r>
        <w:rPr>
          <w:color w:val="231F20"/>
        </w:rPr>
        <w:t>Ne peuvent être nommées comme liquidateur, sauf  homologation par le président du tribunal compétent, les personnes qui ont été déclarées en faillite sans avoir obtenu la réhabilitation et celles qui ont encouru une peine d’emprisonnement, même avec sursis, pour l’une des infractions mentionnées à l’article 1</w:t>
      </w:r>
      <w:r>
        <w:rPr>
          <w:color w:val="231F20"/>
          <w:position w:val="7"/>
          <w:sz w:val="11"/>
        </w:rPr>
        <w:t>er </w:t>
      </w:r>
      <w:r>
        <w:rPr>
          <w:color w:val="231F20"/>
        </w:rPr>
        <w:t>de l’arrêté royal n° 22</w:t>
      </w:r>
      <w:r>
        <w:rPr>
          <w:color w:val="231F20"/>
          <w:spacing w:val="3"/>
        </w:rPr>
        <w:t> </w:t>
      </w:r>
      <w:r>
        <w:rPr>
          <w:color w:val="231F20"/>
        </w:rPr>
        <w:t>du</w:t>
      </w:r>
    </w:p>
    <w:p>
      <w:pPr>
        <w:pStyle w:val="BodyText"/>
        <w:spacing w:line="218" w:lineRule="auto" w:before="1"/>
        <w:ind w:right="38" w:firstLine="0"/>
      </w:pPr>
      <w:r>
        <w:rPr>
          <w:color w:val="231F20"/>
        </w:rPr>
        <w:t>24 octobre 1934 relatif à l’interdiction judiciaire faite à certains condamnés et faillis d’exercer certaines fonctions, professions ou activités, pour une infraction au Livre III, </w:t>
      </w:r>
      <w:r>
        <w:rPr>
          <w:color w:val="231F20"/>
          <w:spacing w:val="-3"/>
        </w:rPr>
        <w:t>Titre </w:t>
      </w:r>
      <w:r>
        <w:rPr>
          <w:color w:val="231F20"/>
        </w:rPr>
        <w:t>3, Chapitre 2 du Code</w:t>
      </w:r>
      <w:r>
        <w:rPr>
          <w:color w:val="231F20"/>
          <w:spacing w:val="-21"/>
        </w:rPr>
        <w:t> </w:t>
      </w:r>
      <w:r>
        <w:rPr>
          <w:color w:val="231F20"/>
        </w:rPr>
        <w:t>de droit économique ou à ses arrêtés d’exécution, ou pour une infraction   à la législation</w:t>
      </w:r>
      <w:r>
        <w:rPr>
          <w:color w:val="231F20"/>
          <w:spacing w:val="3"/>
        </w:rPr>
        <w:t> </w:t>
      </w:r>
      <w:r>
        <w:rPr>
          <w:color w:val="231F20"/>
        </w:rPr>
        <w:t>fiscale.</w:t>
      </w:r>
    </w:p>
    <w:p>
      <w:pPr>
        <w:pStyle w:val="BodyText"/>
        <w:spacing w:before="7"/>
        <w:ind w:left="0" w:right="0" w:firstLine="0"/>
        <w:jc w:val="left"/>
        <w:rPr>
          <w:sz w:val="28"/>
        </w:rPr>
      </w:pPr>
    </w:p>
    <w:p>
      <w:pPr>
        <w:pStyle w:val="BodyText"/>
        <w:spacing w:line="218" w:lineRule="auto"/>
        <w:ind w:right="38"/>
      </w:pPr>
      <w:r>
        <w:rPr>
          <w:color w:val="231F20"/>
        </w:rPr>
        <w:t>La décision de nomination du liquidateur peut mentionner un ou plusieurs candidats liquidateurs de remplacement, éventuellement classés par ordre de préférence, pour le cas où la nomination d’un liquidateur n’est pas confirmée ou homologuée par le président du tribunal. Si le président du tribunal compétent refuse de procéder à l’homologation ou à la confirmation, il désigne un ou plusieurs de ces candidats de remplacement comme liquidateur en fonction du nombre de personnes nommées par l’assemblée générale. Si aucun des candidats ne satisfait aux conditions décrites dans le présent article, le président du tribunal désigne lui-même un ou plusieurs liquidateurs.</w:t>
      </w:r>
    </w:p>
    <w:p>
      <w:pPr>
        <w:pStyle w:val="BodyText"/>
        <w:spacing w:line="218" w:lineRule="auto" w:before="151"/>
        <w:ind w:right="38"/>
      </w:pPr>
      <w:r>
        <w:rPr>
          <w:color w:val="231F20"/>
        </w:rPr>
        <w:t>Le président du tribunal est saisi sur requête unilatérale de la société, déposée conformément aux articles 1025 et suivants du Code judiciaire. La requête unilatérale est signée par le liquidateur, par un avocat, par un notaire ou par un membre de l’organe d’administration de la société. Le président du tribunal statue au plus tard dans les cinq jours ouvrables du dépôt de la requête.</w:t>
      </w:r>
    </w:p>
    <w:p>
      <w:pPr>
        <w:pStyle w:val="BodyText"/>
        <w:ind w:left="0" w:right="0" w:firstLine="0"/>
        <w:jc w:val="left"/>
        <w:rPr>
          <w:sz w:val="20"/>
        </w:rPr>
      </w:pPr>
    </w:p>
    <w:p>
      <w:pPr>
        <w:pStyle w:val="BodyText"/>
        <w:spacing w:before="1"/>
        <w:ind w:left="0" w:right="0" w:firstLine="0"/>
        <w:jc w:val="left"/>
        <w:rPr>
          <w:sz w:val="24"/>
        </w:rPr>
      </w:pPr>
    </w:p>
    <w:p>
      <w:pPr>
        <w:pStyle w:val="BodyText"/>
        <w:spacing w:line="218" w:lineRule="auto"/>
        <w:ind w:right="38"/>
      </w:pPr>
      <w:r>
        <w:rPr>
          <w:color w:val="231F20"/>
        </w:rPr>
        <w:t>Ce délai est suspendu pour la durée de la remise accordée au requérant ou requise après une réouverture des débats. À défaut de décision dans ce délai, la nomination du premier ou des premiers liquidateurs présentés dans la liste est considérée comme confirmée ou homologuée.</w:t>
      </w:r>
    </w:p>
    <w:p>
      <w:pPr>
        <w:pStyle w:val="BodyText"/>
        <w:spacing w:line="218" w:lineRule="auto" w:before="119"/>
      </w:pPr>
      <w:r>
        <w:rPr/>
        <w:br w:type="column"/>
      </w:r>
      <w:r>
        <w:rPr>
          <w:color w:val="231F20"/>
        </w:rPr>
        <w:t>Ingeval een vereffenaar een rechtspersoon is, is artikel 2:55 van overeenkomstige toepassing.</w:t>
      </w:r>
    </w:p>
    <w:p>
      <w:pPr>
        <w:pStyle w:val="BodyText"/>
        <w:spacing w:line="218" w:lineRule="auto" w:before="150"/>
        <w:ind w:right="123"/>
      </w:pPr>
      <w:r>
        <w:rPr>
          <w:color w:val="231F20"/>
        </w:rPr>
        <w:t>Eenieder die werd veroordeeld wegens een inbreuk  op  de  artike- len 489 tot 490</w:t>
      </w:r>
      <w:r>
        <w:rPr>
          <w:rFonts w:ascii="Times New Roman"/>
          <w:i/>
          <w:color w:val="231F20"/>
        </w:rPr>
        <w:t>bis </w:t>
      </w:r>
      <w:r>
        <w:rPr>
          <w:color w:val="231F20"/>
        </w:rPr>
        <w:t>van het Strafwetboek dan wel wegens diefstal, valsheid, knevelarij, oplichting of misbruik van vertrouwen mag in  geen geval tot vereffenaar worden aangewezen, net zomin als</w:t>
      </w:r>
      <w:r>
        <w:rPr>
          <w:color w:val="231F20"/>
          <w:spacing w:val="26"/>
        </w:rPr>
        <w:t> </w:t>
      </w:r>
      <w:r>
        <w:rPr>
          <w:color w:val="231F20"/>
        </w:rPr>
        <w:t>enige bewaarder, voogd, bestuurder of rekenplichtige die niet tijdig rekening en verantwoording heeft gedaan en niet tijdig heeft afgerekend.</w:t>
      </w:r>
      <w:r>
        <w:rPr>
          <w:color w:val="231F20"/>
          <w:spacing w:val="18"/>
        </w:rPr>
        <w:t> </w:t>
      </w:r>
      <w:r>
        <w:rPr>
          <w:color w:val="231F20"/>
        </w:rPr>
        <w:t>Dit verbod</w:t>
      </w:r>
      <w:r>
        <w:rPr>
          <w:color w:val="231F20"/>
          <w:spacing w:val="-4"/>
        </w:rPr>
        <w:t> </w:t>
      </w:r>
      <w:r>
        <w:rPr>
          <w:color w:val="231F20"/>
        </w:rPr>
        <w:t>geldt</w:t>
      </w:r>
      <w:r>
        <w:rPr>
          <w:color w:val="231F20"/>
          <w:spacing w:val="-3"/>
        </w:rPr>
        <w:t> </w:t>
      </w:r>
      <w:r>
        <w:rPr>
          <w:color w:val="231F20"/>
        </w:rPr>
        <w:t>voor</w:t>
      </w:r>
      <w:r>
        <w:rPr>
          <w:color w:val="231F20"/>
          <w:spacing w:val="-3"/>
        </w:rPr>
        <w:t> </w:t>
      </w:r>
      <w:r>
        <w:rPr>
          <w:color w:val="231F20"/>
        </w:rPr>
        <w:t>een</w:t>
      </w:r>
      <w:r>
        <w:rPr>
          <w:color w:val="231F20"/>
          <w:spacing w:val="-3"/>
        </w:rPr>
        <w:t> </w:t>
      </w:r>
      <w:r>
        <w:rPr>
          <w:color w:val="231F20"/>
        </w:rPr>
        <w:t>termijn</w:t>
      </w:r>
      <w:r>
        <w:rPr>
          <w:color w:val="231F20"/>
          <w:spacing w:val="-3"/>
        </w:rPr>
        <w:t> </w:t>
      </w:r>
      <w:r>
        <w:rPr>
          <w:color w:val="231F20"/>
        </w:rPr>
        <w:t>van</w:t>
      </w:r>
      <w:r>
        <w:rPr>
          <w:color w:val="231F20"/>
          <w:spacing w:val="-3"/>
        </w:rPr>
        <w:t> </w:t>
      </w:r>
      <w:r>
        <w:rPr>
          <w:color w:val="231F20"/>
        </w:rPr>
        <w:t>tien</w:t>
      </w:r>
      <w:r>
        <w:rPr>
          <w:color w:val="231F20"/>
          <w:spacing w:val="-3"/>
        </w:rPr>
        <w:t> jaar, </w:t>
      </w:r>
      <w:r>
        <w:rPr>
          <w:color w:val="231F20"/>
        </w:rPr>
        <w:t>te</w:t>
      </w:r>
      <w:r>
        <w:rPr>
          <w:color w:val="231F20"/>
          <w:spacing w:val="-3"/>
        </w:rPr>
        <w:t> </w:t>
      </w:r>
      <w:r>
        <w:rPr>
          <w:color w:val="231F20"/>
        </w:rPr>
        <w:t>rekenen</w:t>
      </w:r>
      <w:r>
        <w:rPr>
          <w:color w:val="231F20"/>
          <w:spacing w:val="-3"/>
        </w:rPr>
        <w:t> </w:t>
      </w:r>
      <w:r>
        <w:rPr>
          <w:color w:val="231F20"/>
        </w:rPr>
        <w:t>van</w:t>
      </w:r>
      <w:r>
        <w:rPr>
          <w:color w:val="231F20"/>
          <w:spacing w:val="-3"/>
        </w:rPr>
        <w:t> </w:t>
      </w:r>
      <w:r>
        <w:rPr>
          <w:color w:val="231F20"/>
        </w:rPr>
        <w:t>een</w:t>
      </w:r>
      <w:r>
        <w:rPr>
          <w:color w:val="231F20"/>
          <w:spacing w:val="-3"/>
        </w:rPr>
        <w:t> </w:t>
      </w:r>
      <w:r>
        <w:rPr>
          <w:color w:val="231F20"/>
        </w:rPr>
        <w:t>definitief rechterlijke uitspraak van veroordeling dan wel van het uitblijven van het</w:t>
      </w:r>
      <w:r>
        <w:rPr>
          <w:color w:val="231F20"/>
          <w:spacing w:val="16"/>
        </w:rPr>
        <w:t> </w:t>
      </w:r>
      <w:r>
        <w:rPr>
          <w:color w:val="231F20"/>
        </w:rPr>
        <w:t>tijdig</w:t>
      </w:r>
      <w:r>
        <w:rPr>
          <w:color w:val="231F20"/>
          <w:spacing w:val="17"/>
        </w:rPr>
        <w:t> </w:t>
      </w:r>
      <w:r>
        <w:rPr>
          <w:color w:val="231F20"/>
        </w:rPr>
        <w:t>rekening</w:t>
      </w:r>
      <w:r>
        <w:rPr>
          <w:color w:val="231F20"/>
          <w:spacing w:val="17"/>
        </w:rPr>
        <w:t> </w:t>
      </w:r>
      <w:r>
        <w:rPr>
          <w:color w:val="231F20"/>
        </w:rPr>
        <w:t>en</w:t>
      </w:r>
      <w:r>
        <w:rPr>
          <w:color w:val="231F20"/>
          <w:spacing w:val="16"/>
        </w:rPr>
        <w:t> </w:t>
      </w:r>
      <w:r>
        <w:rPr>
          <w:color w:val="231F20"/>
        </w:rPr>
        <w:t>verantwoording</w:t>
      </w:r>
      <w:r>
        <w:rPr>
          <w:color w:val="231F20"/>
          <w:spacing w:val="17"/>
        </w:rPr>
        <w:t> </w:t>
      </w:r>
      <w:r>
        <w:rPr>
          <w:color w:val="231F20"/>
        </w:rPr>
        <w:t>doen</w:t>
      </w:r>
      <w:r>
        <w:rPr>
          <w:color w:val="231F20"/>
          <w:spacing w:val="17"/>
        </w:rPr>
        <w:t> </w:t>
      </w:r>
      <w:r>
        <w:rPr>
          <w:color w:val="231F20"/>
        </w:rPr>
        <w:t>en</w:t>
      </w:r>
      <w:r>
        <w:rPr>
          <w:color w:val="231F20"/>
          <w:spacing w:val="16"/>
        </w:rPr>
        <w:t> </w:t>
      </w:r>
      <w:r>
        <w:rPr>
          <w:color w:val="231F20"/>
        </w:rPr>
        <w:t>tijdig</w:t>
      </w:r>
      <w:r>
        <w:rPr>
          <w:color w:val="231F20"/>
          <w:spacing w:val="17"/>
        </w:rPr>
        <w:t> </w:t>
      </w:r>
      <w:r>
        <w:rPr>
          <w:color w:val="231F20"/>
        </w:rPr>
        <w:t>afrekenen.</w:t>
      </w:r>
    </w:p>
    <w:p>
      <w:pPr>
        <w:pStyle w:val="BodyText"/>
        <w:spacing w:line="218" w:lineRule="auto" w:before="147"/>
      </w:pPr>
      <w:r>
        <w:rPr>
          <w:color w:val="231F20"/>
        </w:rPr>
        <w:t>Art. 2:83. Tenzij de statuten anders bepalen, worden de vereffenaars benoemd door de algemene vergadering, die beslist bij gewone meerderheid.</w:t>
      </w:r>
    </w:p>
    <w:p>
      <w:pPr>
        <w:pStyle w:val="BodyText"/>
        <w:spacing w:line="218" w:lineRule="auto" w:before="150"/>
      </w:pPr>
      <w:r>
        <w:rPr>
          <w:color w:val="231F20"/>
        </w:rPr>
        <w:t>Ingeval één of meerdere vereffenaars een rechtspersoon zijn, moet de aanstelling van de natuurlijke persoon die de rechtspersoon vertegen- woordigt, door de algemene vergadering van de ontbonden vennoot- schap worden goedgekeurd.</w:t>
      </w:r>
    </w:p>
    <w:p>
      <w:pPr>
        <w:pStyle w:val="BodyText"/>
        <w:spacing w:line="218" w:lineRule="auto" w:before="149"/>
        <w:ind w:right="123"/>
      </w:pPr>
      <w:r>
        <w:rPr>
          <w:color w:val="231F20"/>
        </w:rPr>
        <w:t>Art. 2:84. Indien uit de staat van actief en passief opgemaakt overeenkomstig artikel 2:71, § 2, tweede lid, blijkt dat niet alle schuldeisers volledig kunnen worden terugbetaald, moet de benoe- ming van de vereffenaars in de statuten of door de algemene vergadering aan de voorzitter van de rechtbank ter bevestiging worden voorgelegd. Deze bevestiging is evenwel niet vereist indien uit die staat van actief en passief blijkt dat de vennootschap enkel schulden heeft</w:t>
      </w:r>
      <w:r>
        <w:rPr>
          <w:color w:val="231F20"/>
          <w:spacing w:val="-21"/>
        </w:rPr>
        <w:t> </w:t>
      </w:r>
      <w:r>
        <w:rPr>
          <w:color w:val="231F20"/>
        </w:rPr>
        <w:t>ten aanzien van haar aandeelhouders en alle aandeelhouders die schuld- eiser zijn van de vennootschap schriftelijk bevestigen akkoord te gaan met de</w:t>
      </w:r>
      <w:r>
        <w:rPr>
          <w:color w:val="231F20"/>
          <w:spacing w:val="-11"/>
        </w:rPr>
        <w:t> </w:t>
      </w:r>
      <w:r>
        <w:rPr>
          <w:color w:val="231F20"/>
        </w:rPr>
        <w:t>benoeming.</w:t>
      </w:r>
    </w:p>
    <w:p>
      <w:pPr>
        <w:pStyle w:val="BodyText"/>
        <w:spacing w:line="218" w:lineRule="auto" w:before="151"/>
      </w:pPr>
      <w:r>
        <w:rPr>
          <w:color w:val="231F20"/>
        </w:rPr>
        <w:t>De bevoegde rechtbank is die van het rechtsgebied waar de vennootschap op de dag van het besluit tot ontbinding haar zetel heeft. Indien de zetel van de vennootschap binnen zes maanden voor</w:t>
      </w:r>
      <w:r>
        <w:rPr>
          <w:color w:val="231F20"/>
          <w:spacing w:val="31"/>
        </w:rPr>
        <w:t> </w:t>
      </w:r>
      <w:r>
        <w:rPr>
          <w:color w:val="231F20"/>
        </w:rPr>
        <w:t>het besluit tot ontbinding werd verplaatst, is de bevoegde rechtbank die van het rechtsgebied waar de vennootschap haar zetel had  zes maanden</w:t>
      </w:r>
      <w:r>
        <w:rPr>
          <w:color w:val="231F20"/>
          <w:spacing w:val="15"/>
        </w:rPr>
        <w:t> </w:t>
      </w:r>
      <w:r>
        <w:rPr>
          <w:color w:val="231F20"/>
        </w:rPr>
        <w:t>voorafgaandelijk</w:t>
      </w:r>
      <w:r>
        <w:rPr>
          <w:color w:val="231F20"/>
          <w:spacing w:val="16"/>
        </w:rPr>
        <w:t> </w:t>
      </w:r>
      <w:r>
        <w:rPr>
          <w:color w:val="231F20"/>
        </w:rPr>
        <w:t>aan</w:t>
      </w:r>
      <w:r>
        <w:rPr>
          <w:color w:val="231F20"/>
          <w:spacing w:val="16"/>
        </w:rPr>
        <w:t> </w:t>
      </w:r>
      <w:r>
        <w:rPr>
          <w:color w:val="231F20"/>
        </w:rPr>
        <w:t>het</w:t>
      </w:r>
      <w:r>
        <w:rPr>
          <w:color w:val="231F20"/>
          <w:spacing w:val="16"/>
        </w:rPr>
        <w:t> </w:t>
      </w:r>
      <w:r>
        <w:rPr>
          <w:color w:val="231F20"/>
        </w:rPr>
        <w:t>besluit</w:t>
      </w:r>
      <w:r>
        <w:rPr>
          <w:color w:val="231F20"/>
          <w:spacing w:val="16"/>
        </w:rPr>
        <w:t> </w:t>
      </w:r>
      <w:r>
        <w:rPr>
          <w:color w:val="231F20"/>
        </w:rPr>
        <w:t>tot</w:t>
      </w:r>
      <w:r>
        <w:rPr>
          <w:color w:val="231F20"/>
          <w:spacing w:val="16"/>
        </w:rPr>
        <w:t> </w:t>
      </w:r>
      <w:r>
        <w:rPr>
          <w:color w:val="231F20"/>
        </w:rPr>
        <w:t>ontbinding.</w:t>
      </w:r>
    </w:p>
    <w:p>
      <w:pPr>
        <w:pStyle w:val="BodyText"/>
        <w:spacing w:line="218" w:lineRule="auto" w:before="149"/>
      </w:pPr>
      <w:r>
        <w:rPr>
          <w:color w:val="231F20"/>
        </w:rPr>
        <w:t>De voorzitter van de rechtbank bevestigt de benoeming pas nadat hij heeft vastgesteld dat de vereffenaars voor de uitoefening van hun mandaat alle waarborgen van competentie en integriteit bieden.</w:t>
      </w:r>
    </w:p>
    <w:p>
      <w:pPr>
        <w:pStyle w:val="BodyText"/>
        <w:spacing w:line="218" w:lineRule="auto" w:before="150"/>
      </w:pPr>
      <w:r>
        <w:rPr>
          <w:color w:val="231F20"/>
        </w:rPr>
        <w:t>De voorzitter van de rechtbank oordeelt tevens over de handelingen die de vereffenaar eventueel gesteld heeft tussen zijn benoeming door de algemene vergadering en de bevestiging ervan. Hij kan die handelingen nietig verklaren indien ze kennelijk in strijd zijn met de rechten van derden.</w:t>
      </w:r>
    </w:p>
    <w:p>
      <w:pPr>
        <w:pStyle w:val="BodyText"/>
        <w:spacing w:line="218" w:lineRule="auto" w:before="149"/>
      </w:pPr>
      <w:r>
        <w:rPr>
          <w:color w:val="231F20"/>
          <w:spacing w:val="-3"/>
        </w:rPr>
        <w:t>Tenzij </w:t>
      </w:r>
      <w:r>
        <w:rPr>
          <w:color w:val="231F20"/>
        </w:rPr>
        <w:t>de voorzitter van de bevoegde rechtbank daartoe homologatie verleent, mag niet tot vereffenaar worden benoemd eenieder die failliet werd verklaard zonder rehabilitatie te hebben verkregen, alsook wie een gevangenisstraf, zelfs met uitstel, heeft opgelopen wegens een van de strafbare feiten die bedoeld worden in artikel 1 van het koninklijk besluit</w:t>
      </w:r>
      <w:r>
        <w:rPr>
          <w:color w:val="231F20"/>
          <w:spacing w:val="-5"/>
        </w:rPr>
        <w:t> nr. </w:t>
      </w:r>
      <w:r>
        <w:rPr>
          <w:color w:val="231F20"/>
        </w:rPr>
        <w:t>22</w:t>
      </w:r>
      <w:r>
        <w:rPr>
          <w:color w:val="231F20"/>
          <w:spacing w:val="-5"/>
        </w:rPr>
        <w:t> </w:t>
      </w:r>
      <w:r>
        <w:rPr>
          <w:color w:val="231F20"/>
        </w:rPr>
        <w:t>van</w:t>
      </w:r>
      <w:r>
        <w:rPr>
          <w:color w:val="231F20"/>
          <w:spacing w:val="-5"/>
        </w:rPr>
        <w:t> </w:t>
      </w:r>
      <w:r>
        <w:rPr>
          <w:color w:val="231F20"/>
        </w:rPr>
        <w:t>24</w:t>
      </w:r>
      <w:r>
        <w:rPr>
          <w:color w:val="231F20"/>
          <w:spacing w:val="-4"/>
        </w:rPr>
        <w:t> </w:t>
      </w:r>
      <w:r>
        <w:rPr>
          <w:color w:val="231F20"/>
        </w:rPr>
        <w:t>oktober</w:t>
      </w:r>
      <w:r>
        <w:rPr>
          <w:color w:val="231F20"/>
          <w:spacing w:val="-5"/>
        </w:rPr>
        <w:t> </w:t>
      </w:r>
      <w:r>
        <w:rPr>
          <w:color w:val="231F20"/>
        </w:rPr>
        <w:t>1934</w:t>
      </w:r>
      <w:r>
        <w:rPr>
          <w:color w:val="231F20"/>
          <w:spacing w:val="-5"/>
        </w:rPr>
        <w:t> </w:t>
      </w:r>
      <w:r>
        <w:rPr>
          <w:color w:val="231F20"/>
        </w:rPr>
        <w:t>betreffende</w:t>
      </w:r>
      <w:r>
        <w:rPr>
          <w:color w:val="231F20"/>
          <w:spacing w:val="-5"/>
        </w:rPr>
        <w:t> </w:t>
      </w:r>
      <w:r>
        <w:rPr>
          <w:color w:val="231F20"/>
        </w:rPr>
        <w:t>het</w:t>
      </w:r>
      <w:r>
        <w:rPr>
          <w:color w:val="231F20"/>
          <w:spacing w:val="-4"/>
        </w:rPr>
        <w:t> </w:t>
      </w:r>
      <w:r>
        <w:rPr>
          <w:color w:val="231F20"/>
        </w:rPr>
        <w:t>rechterlijk</w:t>
      </w:r>
      <w:r>
        <w:rPr>
          <w:color w:val="231F20"/>
          <w:spacing w:val="-5"/>
        </w:rPr>
        <w:t> </w:t>
      </w:r>
      <w:r>
        <w:rPr>
          <w:color w:val="231F20"/>
        </w:rPr>
        <w:t>verbod</w:t>
      </w:r>
      <w:r>
        <w:rPr>
          <w:color w:val="231F20"/>
          <w:spacing w:val="-5"/>
        </w:rPr>
        <w:t> </w:t>
      </w:r>
      <w:r>
        <w:rPr>
          <w:color w:val="231F20"/>
        </w:rPr>
        <w:t>aan bepaalde veroordeelden en gefailleerden om bepaalde ambten, beroe- pen of werkzaamheden uit te oefenen, wegens een inbreuk op Boek III, Titel 3, Hoofdstuk 2 van het </w:t>
      </w:r>
      <w:r>
        <w:rPr>
          <w:color w:val="231F20"/>
          <w:spacing w:val="-3"/>
        </w:rPr>
        <w:t>Wetboek </w:t>
      </w:r>
      <w:r>
        <w:rPr>
          <w:color w:val="231F20"/>
        </w:rPr>
        <w:t>van economisch recht of op de uitvoeringsbesluiten ervan, of wegens een inbreuk op de</w:t>
      </w:r>
      <w:r>
        <w:rPr>
          <w:color w:val="231F20"/>
          <w:spacing w:val="36"/>
        </w:rPr>
        <w:t> </w:t>
      </w:r>
      <w:r>
        <w:rPr>
          <w:color w:val="231F20"/>
        </w:rPr>
        <w:t>fiscale wetgeving.</w:t>
      </w:r>
    </w:p>
    <w:p>
      <w:pPr>
        <w:pStyle w:val="BodyText"/>
        <w:spacing w:line="218" w:lineRule="auto" w:before="150"/>
      </w:pPr>
      <w:r>
        <w:rPr>
          <w:color w:val="231F20"/>
        </w:rPr>
        <w:t>Het benoemingsbesluit van de vereffenaar kan één of meer alterna- tieve kandidaat-vereffenaars bevatten, eventueel in volgorde van voorkeur, voor het geval de benoeming van een vereffenaar niet wordt bevestigd of gehomologeerd door de voorzitter van de rechtbank. Zo   de voorzitter van de bevoegde rechtbank weigert over te gaan tot homologatie of bevestiging, wijst hij één of meerdere van</w:t>
      </w:r>
      <w:r>
        <w:rPr>
          <w:color w:val="231F20"/>
          <w:spacing w:val="30"/>
        </w:rPr>
        <w:t> </w:t>
      </w:r>
      <w:r>
        <w:rPr>
          <w:color w:val="231F20"/>
        </w:rPr>
        <w:t>deze alternatieve kandidaten aan als vereffenaar naargelang het aantal dat de algemene vergadering heeft benoemd. </w:t>
      </w:r>
      <w:r>
        <w:rPr>
          <w:color w:val="231F20"/>
          <w:spacing w:val="-3"/>
        </w:rPr>
        <w:t>Voldoet </w:t>
      </w:r>
      <w:r>
        <w:rPr>
          <w:color w:val="231F20"/>
        </w:rPr>
        <w:t>geen enkele van de kandidaten aan de in dit artikel omschreven voorwaarden, dan wijst de voorzitter</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rechtbank</w:t>
      </w:r>
      <w:r>
        <w:rPr>
          <w:color w:val="231F20"/>
          <w:spacing w:val="15"/>
        </w:rPr>
        <w:t> </w:t>
      </w:r>
      <w:r>
        <w:rPr>
          <w:color w:val="231F20"/>
        </w:rPr>
        <w:t>zelf</w:t>
      </w:r>
      <w:r>
        <w:rPr>
          <w:color w:val="231F20"/>
          <w:spacing w:val="16"/>
        </w:rPr>
        <w:t> </w:t>
      </w:r>
      <w:r>
        <w:rPr>
          <w:color w:val="231F20"/>
        </w:rPr>
        <w:t>één</w:t>
      </w:r>
      <w:r>
        <w:rPr>
          <w:color w:val="231F20"/>
          <w:spacing w:val="16"/>
        </w:rPr>
        <w:t> </w:t>
      </w:r>
      <w:r>
        <w:rPr>
          <w:color w:val="231F20"/>
        </w:rPr>
        <w:t>of</w:t>
      </w:r>
      <w:r>
        <w:rPr>
          <w:color w:val="231F20"/>
          <w:spacing w:val="15"/>
        </w:rPr>
        <w:t> </w:t>
      </w:r>
      <w:r>
        <w:rPr>
          <w:color w:val="231F20"/>
        </w:rPr>
        <w:t>meerdere</w:t>
      </w:r>
      <w:r>
        <w:rPr>
          <w:color w:val="231F20"/>
          <w:spacing w:val="16"/>
        </w:rPr>
        <w:t> </w:t>
      </w:r>
      <w:r>
        <w:rPr>
          <w:color w:val="231F20"/>
        </w:rPr>
        <w:t>vereffenaars</w:t>
      </w:r>
      <w:r>
        <w:rPr>
          <w:color w:val="231F20"/>
          <w:spacing w:val="16"/>
        </w:rPr>
        <w:t> </w:t>
      </w:r>
      <w:r>
        <w:rPr>
          <w:color w:val="231F20"/>
        </w:rPr>
        <w:t>aan.</w:t>
      </w:r>
    </w:p>
    <w:p>
      <w:pPr>
        <w:pStyle w:val="BodyText"/>
        <w:spacing w:line="218" w:lineRule="auto" w:before="150"/>
      </w:pPr>
      <w:r>
        <w:rPr>
          <w:color w:val="231F20"/>
        </w:rPr>
        <w:t>De voorzitter van de rechtbank wordt aangezocht bij eenzijdig verzoekschrift van de vennootschap, dat wordt ingediend overeenkom- stig de artikelen 1025 en volgende van het Gerechtelijk Wetboek. Het eenzijdig verzoekschrift wordt ondertekend door de vereffenaar, door een advocaat, door een notaris dan wel door een lid van het bestuursorgaan van de vennootschap. De voorzitter van de rechtbank doet uitspraak uiterlijk binnen vijf werkdagen nadat het verzoekschrift is ingediend.</w:t>
      </w:r>
    </w:p>
    <w:p>
      <w:pPr>
        <w:pStyle w:val="BodyText"/>
        <w:spacing w:line="218" w:lineRule="auto" w:before="150"/>
      </w:pPr>
      <w:r>
        <w:rPr>
          <w:color w:val="231F20"/>
        </w:rPr>
        <w:t>Deze termijn wordt opgeschort voor de duur van het uitstel aan de verzoeker toegekend of vereist na een heropening van de debatten. Bij gebrek aan een uitspraak binnen deze termijn wordt de benoeming van de eerst in de lijst voorgedragen vereffenaar of vereffenaars beschouwd als bevestigd dan wel gehomologeerd.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6" w:lineRule="auto" w:before="121"/>
        <w:ind w:right="38"/>
      </w:pPr>
      <w:r>
        <w:rPr/>
        <w:pict>
          <v:line style="position:absolute;mso-position-horizontal-relative:page;mso-position-vertical-relative:page;z-index:1816" from="298.170502pt,64.473pt" to="298.170502pt,812.819pt" stroked="true" strokeweight=".533pt" strokecolor="#231f20">
            <v:stroke dashstyle="solid"/>
            <w10:wrap type="none"/>
          </v:line>
        </w:pict>
      </w:r>
      <w:bookmarkStart w:name="_bookmark33" w:id="36"/>
      <w:bookmarkEnd w:id="36"/>
      <w:r>
        <w:rPr/>
      </w:r>
      <w:r>
        <w:rPr>
          <w:color w:val="231F20"/>
        </w:rPr>
        <w:t>Le président du tribunal peut également être saisi sur requête du ministère public ou de tout tiers intéressé, conformément  aux  arti- cles</w:t>
      </w:r>
      <w:r>
        <w:rPr>
          <w:color w:val="231F20"/>
          <w:spacing w:val="14"/>
        </w:rPr>
        <w:t> </w:t>
      </w:r>
      <w:r>
        <w:rPr>
          <w:color w:val="231F20"/>
        </w:rPr>
        <w:t>1034</w:t>
      </w:r>
      <w:r>
        <w:rPr>
          <w:rFonts w:ascii="Times New Roman" w:hAnsi="Times New Roman"/>
          <w:i/>
          <w:color w:val="231F20"/>
        </w:rPr>
        <w:t>bis</w:t>
      </w:r>
      <w:r>
        <w:rPr>
          <w:rFonts w:ascii="Times New Roman" w:hAnsi="Times New Roman"/>
          <w:i/>
          <w:color w:val="231F20"/>
          <w:spacing w:val="14"/>
        </w:rPr>
        <w:t> </w:t>
      </w:r>
      <w:r>
        <w:rPr>
          <w:color w:val="231F20"/>
        </w:rPr>
        <w:t>et</w:t>
      </w:r>
      <w:r>
        <w:rPr>
          <w:color w:val="231F20"/>
          <w:spacing w:val="15"/>
        </w:rPr>
        <w:t> </w:t>
      </w:r>
      <w:r>
        <w:rPr>
          <w:color w:val="231F20"/>
        </w:rPr>
        <w:t>suivants</w:t>
      </w:r>
      <w:r>
        <w:rPr>
          <w:color w:val="231F20"/>
          <w:spacing w:val="15"/>
        </w:rPr>
        <w:t> </w:t>
      </w:r>
      <w:r>
        <w:rPr>
          <w:color w:val="231F20"/>
        </w:rPr>
        <w:t>du</w:t>
      </w:r>
      <w:r>
        <w:rPr>
          <w:color w:val="231F20"/>
          <w:spacing w:val="15"/>
        </w:rPr>
        <w:t> </w:t>
      </w:r>
      <w:r>
        <w:rPr>
          <w:color w:val="231F20"/>
        </w:rPr>
        <w:t>Code</w:t>
      </w:r>
      <w:r>
        <w:rPr>
          <w:color w:val="231F20"/>
          <w:spacing w:val="14"/>
        </w:rPr>
        <w:t> </w:t>
      </w:r>
      <w:r>
        <w:rPr>
          <w:color w:val="231F20"/>
        </w:rPr>
        <w:t>judiciaire.</w:t>
      </w:r>
    </w:p>
    <w:p>
      <w:pPr>
        <w:pStyle w:val="BodyText"/>
        <w:ind w:left="0" w:right="0" w:firstLine="0"/>
        <w:jc w:val="left"/>
        <w:rPr>
          <w:sz w:val="26"/>
        </w:rPr>
      </w:pPr>
    </w:p>
    <w:p>
      <w:pPr>
        <w:pStyle w:val="BodyText"/>
        <w:spacing w:line="218" w:lineRule="auto"/>
        <w:ind w:right="38"/>
      </w:pPr>
      <w:r>
        <w:rPr>
          <w:color w:val="231F20"/>
        </w:rPr>
        <w:t>Art.</w:t>
      </w:r>
      <w:r>
        <w:rPr>
          <w:color w:val="231F20"/>
          <w:spacing w:val="-14"/>
        </w:rPr>
        <w:t> </w:t>
      </w:r>
      <w:r>
        <w:rPr>
          <w:color w:val="231F20"/>
        </w:rPr>
        <w:t>2:85.</w:t>
      </w:r>
      <w:r>
        <w:rPr>
          <w:color w:val="231F20"/>
          <w:spacing w:val="-14"/>
        </w:rPr>
        <w:t> </w:t>
      </w:r>
      <w:r>
        <w:rPr>
          <w:color w:val="231F20"/>
        </w:rPr>
        <w:t>Par</w:t>
      </w:r>
      <w:r>
        <w:rPr>
          <w:color w:val="231F20"/>
          <w:spacing w:val="-14"/>
        </w:rPr>
        <w:t> </w:t>
      </w:r>
      <w:r>
        <w:rPr>
          <w:color w:val="231F20"/>
        </w:rPr>
        <w:t>dérogation</w:t>
      </w:r>
      <w:r>
        <w:rPr>
          <w:color w:val="231F20"/>
          <w:spacing w:val="-14"/>
        </w:rPr>
        <w:t> </w:t>
      </w:r>
      <w:r>
        <w:rPr>
          <w:color w:val="231F20"/>
        </w:rPr>
        <w:t>aux</w:t>
      </w:r>
      <w:r>
        <w:rPr>
          <w:color w:val="231F20"/>
          <w:spacing w:val="-14"/>
        </w:rPr>
        <w:t> </w:t>
      </w:r>
      <w:r>
        <w:rPr>
          <w:color w:val="231F20"/>
        </w:rPr>
        <w:t>articles</w:t>
      </w:r>
      <w:r>
        <w:rPr>
          <w:color w:val="231F20"/>
          <w:spacing w:val="-13"/>
        </w:rPr>
        <w:t> </w:t>
      </w:r>
      <w:r>
        <w:rPr>
          <w:color w:val="231F20"/>
        </w:rPr>
        <w:t>2:83</w:t>
      </w:r>
      <w:r>
        <w:rPr>
          <w:color w:val="231F20"/>
          <w:spacing w:val="-14"/>
        </w:rPr>
        <w:t> </w:t>
      </w:r>
      <w:r>
        <w:rPr>
          <w:color w:val="231F20"/>
        </w:rPr>
        <w:t>et</w:t>
      </w:r>
      <w:r>
        <w:rPr>
          <w:color w:val="231F20"/>
          <w:spacing w:val="-14"/>
        </w:rPr>
        <w:t> </w:t>
      </w:r>
      <w:r>
        <w:rPr>
          <w:color w:val="231F20"/>
        </w:rPr>
        <w:t>2:84,</w:t>
      </w:r>
      <w:r>
        <w:rPr>
          <w:color w:val="231F20"/>
          <w:spacing w:val="-14"/>
        </w:rPr>
        <w:t> </w:t>
      </w:r>
      <w:r>
        <w:rPr>
          <w:color w:val="231F20"/>
        </w:rPr>
        <w:t>en</w:t>
      </w:r>
      <w:r>
        <w:rPr>
          <w:color w:val="231F20"/>
          <w:spacing w:val="-14"/>
        </w:rPr>
        <w:t> </w:t>
      </w:r>
      <w:r>
        <w:rPr>
          <w:color w:val="231F20"/>
        </w:rPr>
        <w:t>cas</w:t>
      </w:r>
      <w:r>
        <w:rPr>
          <w:color w:val="231F20"/>
          <w:spacing w:val="-14"/>
        </w:rPr>
        <w:t> </w:t>
      </w:r>
      <w:r>
        <w:rPr>
          <w:color w:val="231F20"/>
        </w:rPr>
        <w:t>de</w:t>
      </w:r>
      <w:r>
        <w:rPr>
          <w:color w:val="231F20"/>
          <w:spacing w:val="-13"/>
        </w:rPr>
        <w:t> </w:t>
      </w:r>
      <w:r>
        <w:rPr>
          <w:color w:val="231F20"/>
        </w:rPr>
        <w:t>dissolution judiciaire, un ou plusieurs liquidateurs peuvent être désignés par le tribunal qui prononce la dissolution. Au cas où un ou plusieurs liquidateurs sont une personne morale, le tribunal nomme également la personne physique qui représente la personne morale. Il détermine le mode de</w:t>
      </w:r>
      <w:r>
        <w:rPr>
          <w:color w:val="231F20"/>
          <w:spacing w:val="-11"/>
        </w:rPr>
        <w:t> </w:t>
      </w:r>
      <w:r>
        <w:rPr>
          <w:color w:val="231F20"/>
        </w:rPr>
        <w:t>liquidation.</w:t>
      </w:r>
    </w:p>
    <w:p>
      <w:pPr>
        <w:pStyle w:val="BodyText"/>
        <w:spacing w:line="218" w:lineRule="auto" w:before="118"/>
        <w:ind w:right="38"/>
      </w:pPr>
      <w:r>
        <w:rPr>
          <w:color w:val="231F20"/>
        </w:rPr>
        <w:t>Art. 2:86. Le président du tribunal compétent peut, sur requête du ministère public ou de tout tiers intéressé, remplacer un ou plusieurs liquidateurs pour de justes motifs, après les avoir entendus.</w:t>
      </w:r>
    </w:p>
    <w:p>
      <w:pPr>
        <w:pStyle w:val="BodyText"/>
        <w:spacing w:before="6"/>
        <w:ind w:left="0" w:right="0" w:firstLine="0"/>
        <w:jc w:val="left"/>
        <w:rPr>
          <w:sz w:val="24"/>
        </w:rPr>
      </w:pPr>
    </w:p>
    <w:p>
      <w:pPr>
        <w:pStyle w:val="BodyText"/>
        <w:ind w:left="283" w:right="0" w:firstLine="0"/>
        <w:jc w:val="left"/>
      </w:pPr>
      <w:r>
        <w:rPr>
          <w:color w:val="231F20"/>
        </w:rPr>
        <w:t>Sous-section 4. Pouvoirs du liquidateur.</w:t>
      </w:r>
    </w:p>
    <w:p>
      <w:pPr>
        <w:pStyle w:val="BodyText"/>
        <w:spacing w:line="218" w:lineRule="auto" w:before="99"/>
        <w:ind w:right="38"/>
      </w:pPr>
      <w:r>
        <w:rPr>
          <w:color w:val="231F20"/>
        </w:rPr>
        <w:t>Art. 2:87. § 1</w:t>
      </w:r>
      <w:r>
        <w:rPr>
          <w:color w:val="231F20"/>
          <w:position w:val="7"/>
          <w:sz w:val="11"/>
        </w:rPr>
        <w:t>er</w:t>
      </w:r>
      <w:r>
        <w:rPr>
          <w:color w:val="231F20"/>
        </w:rPr>
        <w:t>. Sauf disposition contraire dans les statuts, dans l’acte de nomination ou dans la décision judiciaire, le liquidateur a le pouvoir d’accomplir tous les actes nécessaires ou utiles à la liquidation de la société.</w:t>
      </w:r>
    </w:p>
    <w:p>
      <w:pPr>
        <w:pStyle w:val="BodyText"/>
        <w:spacing w:line="218" w:lineRule="auto" w:before="118"/>
        <w:ind w:right="38"/>
      </w:pPr>
      <w:r>
        <w:rPr>
          <w:color w:val="231F20"/>
        </w:rPr>
        <w:t>Les statuts, l’arrêté de nomination ou la décision judiciaire peuvent limiter les pouvoirs du liquidateur. Pareille limitation peut être opposée aux tiers, moyennant dépôt et publication conformément  aux  arti-  cles 2:8 et 2:14,</w:t>
      </w:r>
      <w:r>
        <w:rPr>
          <w:color w:val="231F20"/>
          <w:spacing w:val="15"/>
        </w:rPr>
        <w:t> </w:t>
      </w:r>
      <w:r>
        <w:rPr>
          <w:color w:val="231F20"/>
        </w:rPr>
        <w:t>1°.</w:t>
      </w:r>
    </w:p>
    <w:p>
      <w:pPr>
        <w:pStyle w:val="BodyText"/>
        <w:spacing w:line="218" w:lineRule="auto" w:before="117"/>
        <w:ind w:right="38"/>
      </w:pPr>
      <w:r>
        <w:rPr>
          <w:color w:val="231F20"/>
        </w:rPr>
        <w:t>Par dérogation à l’alinéa 2, les limitations des pouvoirs du liquida- teur intégrées dans les statuts, dans l’arrêté de nomination ou dans la décision judiciaire ne sont pas opposables aux tiers, s’il s’agit d’une société à responsabilité limitée, d’une société coopérative et d’une société anonyme, même si ces limitations ont été publiées.</w:t>
      </w:r>
    </w:p>
    <w:p>
      <w:pPr>
        <w:pStyle w:val="BodyText"/>
        <w:spacing w:line="218" w:lineRule="auto" w:before="118"/>
        <w:ind w:right="38"/>
      </w:pPr>
      <w:r>
        <w:rPr>
          <w:color w:val="231F20"/>
        </w:rPr>
        <w:t>§ 2. Le liquidateur représente la société à l’égard des tiers, y compris en justice.</w:t>
      </w:r>
    </w:p>
    <w:p>
      <w:pPr>
        <w:pStyle w:val="BodyText"/>
        <w:spacing w:line="218" w:lineRule="auto" w:before="117"/>
        <w:ind w:right="38"/>
      </w:pPr>
      <w:r>
        <w:rPr>
          <w:color w:val="231F20"/>
        </w:rPr>
        <w:t>Les statuts, l’arrêté de nomination ou la décision judiciaire peuvent apporter des restrictions à ce pouvoir de représentation. Pareille limitation peut être opposée aux tiers, moyennant dépôt et publication conformément aux articles 2:8 et 2:14, 1°.</w:t>
      </w:r>
    </w:p>
    <w:p>
      <w:pPr>
        <w:pStyle w:val="BodyText"/>
        <w:spacing w:before="10"/>
        <w:ind w:left="0" w:right="0" w:firstLine="0"/>
        <w:jc w:val="left"/>
        <w:rPr>
          <w:sz w:val="25"/>
        </w:rPr>
      </w:pPr>
    </w:p>
    <w:p>
      <w:pPr>
        <w:pStyle w:val="BodyText"/>
        <w:spacing w:line="218" w:lineRule="auto"/>
        <w:ind w:right="38"/>
      </w:pPr>
      <w:r>
        <w:rPr>
          <w:color w:val="231F20"/>
        </w:rPr>
        <w:t>Par dérogation à l’alinéa 2, les limitations du pouvoir de représenta- tion du liquidateur intégrées dans les statuts, dans l’arrêté de nomina- tion ou dans la décision judiciaire ne sont pas opposables aux tiers, s’il s’agit d’une sociétéà responsabilité limitée, d’une société coopérative et d’une société anonyme, même si cette limitation a été déposée et publiée conformément aux articles 2:8 et 2:14, 1°.</w:t>
      </w:r>
    </w:p>
    <w:p>
      <w:pPr>
        <w:pStyle w:val="BodyText"/>
        <w:spacing w:before="1"/>
        <w:ind w:left="0" w:right="0" w:firstLine="0"/>
        <w:jc w:val="left"/>
        <w:rPr>
          <w:sz w:val="26"/>
        </w:rPr>
      </w:pPr>
    </w:p>
    <w:p>
      <w:pPr>
        <w:pStyle w:val="BodyText"/>
        <w:spacing w:line="213" w:lineRule="auto"/>
        <w:ind w:right="38"/>
      </w:pPr>
      <w:r>
        <w:rPr>
          <w:color w:val="231F20"/>
        </w:rPr>
        <w:t>§ 3. Le liquidateur ne peut aliéner les immeubles de la société que s’il juge la vente nécessaire au paiement des dettes sociales. Sans préjudice des dispositions de l’article 2:88, § 1</w:t>
      </w:r>
      <w:r>
        <w:rPr>
          <w:color w:val="231F20"/>
          <w:position w:val="7"/>
          <w:sz w:val="11"/>
        </w:rPr>
        <w:t>er</w:t>
      </w:r>
      <w:r>
        <w:rPr>
          <w:color w:val="231F20"/>
        </w:rPr>
        <w:t>, 5°, les immeubles sont toujours aliénés par adjudication publique.</w:t>
      </w:r>
    </w:p>
    <w:p>
      <w:pPr>
        <w:pStyle w:val="BodyText"/>
        <w:spacing w:before="3"/>
        <w:ind w:left="0" w:right="0" w:firstLine="0"/>
        <w:jc w:val="left"/>
        <w:rPr>
          <w:sz w:val="24"/>
        </w:rPr>
      </w:pPr>
    </w:p>
    <w:p>
      <w:pPr>
        <w:pStyle w:val="BodyText"/>
        <w:spacing w:line="218" w:lineRule="auto"/>
        <w:ind w:right="38"/>
      </w:pPr>
      <w:r>
        <w:rPr>
          <w:color w:val="231F20"/>
        </w:rPr>
        <w:t>Art. 2:88. § 1</w:t>
      </w:r>
      <w:r>
        <w:rPr>
          <w:color w:val="231F20"/>
          <w:position w:val="7"/>
          <w:sz w:val="11"/>
        </w:rPr>
        <w:t>er</w:t>
      </w:r>
      <w:r>
        <w:rPr>
          <w:color w:val="231F20"/>
        </w:rPr>
        <w:t>. Par dérogation à l’article 2:87 et nonobstant toute disposition statutaire contraire, le liquidateur ne peut accomplir les actes suivants qu’avec l’autorisation de l’assemblée générale, donnée conformément à l’article 2:83:</w:t>
      </w:r>
    </w:p>
    <w:p>
      <w:pPr>
        <w:pStyle w:val="BodyText"/>
        <w:spacing w:before="104"/>
        <w:ind w:left="283" w:right="0" w:firstLine="0"/>
        <w:jc w:val="left"/>
      </w:pPr>
      <w:r>
        <w:rPr>
          <w:color w:val="231F20"/>
        </w:rPr>
        <w:t>1° poursuivre l’activité jusqu’à la réalisation des actifs;</w:t>
      </w:r>
    </w:p>
    <w:p>
      <w:pPr>
        <w:pStyle w:val="BodyText"/>
        <w:spacing w:before="100"/>
        <w:ind w:left="283" w:right="0" w:firstLine="0"/>
        <w:jc w:val="left"/>
      </w:pPr>
      <w:r>
        <w:rPr>
          <w:color w:val="231F20"/>
        </w:rPr>
        <w:t>2° contracter des crédits afin de payer les dettes de la société;</w:t>
      </w:r>
    </w:p>
    <w:p>
      <w:pPr>
        <w:pStyle w:val="BodyText"/>
        <w:spacing w:before="3"/>
        <w:ind w:left="0" w:right="0" w:firstLine="0"/>
        <w:jc w:val="left"/>
        <w:rPr>
          <w:sz w:val="24"/>
        </w:rPr>
      </w:pPr>
    </w:p>
    <w:p>
      <w:pPr>
        <w:pStyle w:val="BodyText"/>
        <w:ind w:left="283" w:right="0" w:firstLine="0"/>
        <w:jc w:val="left"/>
      </w:pPr>
      <w:r>
        <w:rPr>
          <w:color w:val="231F20"/>
        </w:rPr>
        <w:t>3° hypothéquer ou donner en gage les biens de la société;</w:t>
      </w:r>
    </w:p>
    <w:p>
      <w:pPr>
        <w:pStyle w:val="BodyText"/>
        <w:spacing w:line="218" w:lineRule="auto" w:before="114"/>
        <w:ind w:right="38"/>
      </w:pPr>
      <w:r>
        <w:rPr>
          <w:color w:val="231F20"/>
        </w:rPr>
        <w:t>4° vendre par adjudication publique les immeubles de la société si les liquidateurs ne les jugent pas nécessaires au paiement des dettes de la société;</w:t>
      </w:r>
    </w:p>
    <w:p>
      <w:pPr>
        <w:pStyle w:val="BodyText"/>
        <w:spacing w:line="218" w:lineRule="auto" w:before="117"/>
        <w:ind w:right="38"/>
      </w:pPr>
      <w:r>
        <w:rPr>
          <w:color w:val="231F20"/>
        </w:rPr>
        <w:t>5° vendre de gréà gré les immeubles de la société qu’il estime ou non pareille vente nécessaire au paiement des dettes de la société;</w:t>
      </w:r>
    </w:p>
    <w:p>
      <w:pPr>
        <w:pStyle w:val="BodyText"/>
        <w:spacing w:before="7"/>
        <w:ind w:left="0" w:right="0" w:firstLine="0"/>
        <w:jc w:val="left"/>
        <w:rPr>
          <w:sz w:val="24"/>
        </w:rPr>
      </w:pPr>
    </w:p>
    <w:p>
      <w:pPr>
        <w:pStyle w:val="BodyText"/>
        <w:ind w:left="283" w:right="0" w:firstLine="0"/>
        <w:jc w:val="left"/>
      </w:pPr>
      <w:r>
        <w:rPr>
          <w:color w:val="231F20"/>
        </w:rPr>
        <w:t>6° faire apport d’un élément du patrimoine à d’autres sociétés.</w:t>
      </w:r>
    </w:p>
    <w:p>
      <w:pPr>
        <w:pStyle w:val="BodyText"/>
        <w:spacing w:before="5"/>
        <w:ind w:left="0" w:right="0" w:firstLine="0"/>
        <w:jc w:val="left"/>
        <w:rPr>
          <w:sz w:val="25"/>
        </w:rPr>
      </w:pPr>
    </w:p>
    <w:p>
      <w:pPr>
        <w:pStyle w:val="BodyText"/>
        <w:spacing w:line="218" w:lineRule="auto" w:before="1"/>
        <w:ind w:right="38"/>
      </w:pPr>
      <w:r>
        <w:rPr>
          <w:color w:val="231F20"/>
        </w:rPr>
        <w:t>§ 2. L’apport de l’ensemble du patrimoine à d’autres sociétés requiert l’autorisation de l’assemblée générale accordée dans le respect des conditions de quorum et de majorité requises pour la modification des statuts.</w:t>
      </w:r>
    </w:p>
    <w:p>
      <w:pPr>
        <w:pStyle w:val="BodyText"/>
        <w:spacing w:line="218" w:lineRule="auto" w:before="102"/>
        <w:ind w:right="38"/>
      </w:pPr>
      <w:r>
        <w:rPr>
          <w:color w:val="231F20"/>
        </w:rPr>
        <w:t>§ 3. L’autorisation visée aux paragraphes 1</w:t>
      </w:r>
      <w:r>
        <w:rPr>
          <w:color w:val="231F20"/>
          <w:position w:val="7"/>
          <w:sz w:val="11"/>
        </w:rPr>
        <w:t>er </w:t>
      </w:r>
      <w:r>
        <w:rPr>
          <w:color w:val="231F20"/>
        </w:rPr>
        <w:t>et 2 est accordée par l’assemblée générale soit dans la décision de nomination du liquida- teur, soit par décision séparée ultérieure.</w:t>
      </w:r>
    </w:p>
    <w:p>
      <w:pPr>
        <w:pStyle w:val="BodyText"/>
        <w:spacing w:line="201" w:lineRule="auto" w:before="129"/>
        <w:ind w:right="38"/>
      </w:pPr>
      <w:r>
        <w:rPr>
          <w:color w:val="231F20"/>
        </w:rPr>
        <w:t>§ 4. En cas de dissolution judiciaire, l’autorisation visée aux paragraphes 1</w:t>
      </w:r>
      <w:r>
        <w:rPr>
          <w:color w:val="231F20"/>
          <w:position w:val="7"/>
          <w:sz w:val="11"/>
        </w:rPr>
        <w:t>er </w:t>
      </w:r>
      <w:r>
        <w:rPr>
          <w:color w:val="231F20"/>
        </w:rPr>
        <w:t>et 2 est accordée par le tribunal.</w:t>
      </w:r>
    </w:p>
    <w:p>
      <w:pPr>
        <w:pStyle w:val="BodyText"/>
        <w:spacing w:line="218" w:lineRule="auto" w:before="119"/>
      </w:pPr>
      <w:r>
        <w:rPr/>
        <w:br w:type="column"/>
      </w:r>
      <w:r>
        <w:rPr>
          <w:color w:val="231F20"/>
        </w:rPr>
        <w:t>De voorzitter van de rechtbank kan eveneens worden aangezocht bij verzoekschrift van het openbaar ministerie dan wel van iedere belanghebbende derde, overeenkomstig de artikelen 1034</w:t>
      </w:r>
      <w:r>
        <w:rPr>
          <w:rFonts w:ascii="Times New Roman"/>
          <w:i/>
          <w:color w:val="231F20"/>
        </w:rPr>
        <w:t>bis </w:t>
      </w:r>
      <w:r>
        <w:rPr>
          <w:color w:val="231F20"/>
        </w:rPr>
        <w:t>en vol- gende van het Gerechtelijk Wetboek.</w:t>
      </w:r>
    </w:p>
    <w:p>
      <w:pPr>
        <w:pStyle w:val="BodyText"/>
        <w:spacing w:line="218" w:lineRule="auto" w:before="115"/>
        <w:ind w:right="123"/>
      </w:pPr>
      <w:r>
        <w:rPr>
          <w:color w:val="231F20"/>
        </w:rPr>
        <w:t>Art. 2:85. In afwijking van de artikelen 2:83 en 2:84 kunnen bij een gerechtelijke ontbinding één of meerdere vereffenaars worden aange- wezen door de rechtbank die de ontbinding uitspreekt. Ingeval één of meerdere</w:t>
      </w:r>
      <w:r>
        <w:rPr>
          <w:color w:val="231F20"/>
          <w:spacing w:val="-5"/>
        </w:rPr>
        <w:t> </w:t>
      </w:r>
      <w:r>
        <w:rPr>
          <w:color w:val="231F20"/>
        </w:rPr>
        <w:t>vereffenaars</w:t>
      </w:r>
      <w:r>
        <w:rPr>
          <w:color w:val="231F20"/>
          <w:spacing w:val="-4"/>
        </w:rPr>
        <w:t> </w:t>
      </w:r>
      <w:r>
        <w:rPr>
          <w:color w:val="231F20"/>
        </w:rPr>
        <w:t>een</w:t>
      </w:r>
      <w:r>
        <w:rPr>
          <w:color w:val="231F20"/>
          <w:spacing w:val="-5"/>
        </w:rPr>
        <w:t> </w:t>
      </w:r>
      <w:r>
        <w:rPr>
          <w:color w:val="231F20"/>
        </w:rPr>
        <w:t>rechtspersoon</w:t>
      </w:r>
      <w:r>
        <w:rPr>
          <w:color w:val="231F20"/>
          <w:spacing w:val="-4"/>
        </w:rPr>
        <w:t> </w:t>
      </w:r>
      <w:r>
        <w:rPr>
          <w:color w:val="231F20"/>
        </w:rPr>
        <w:t>zijn,</w:t>
      </w:r>
      <w:r>
        <w:rPr>
          <w:color w:val="231F20"/>
          <w:spacing w:val="-5"/>
        </w:rPr>
        <w:t> </w:t>
      </w:r>
      <w:r>
        <w:rPr>
          <w:color w:val="231F20"/>
        </w:rPr>
        <w:t>wijst</w:t>
      </w:r>
      <w:r>
        <w:rPr>
          <w:color w:val="231F20"/>
          <w:spacing w:val="-4"/>
        </w:rPr>
        <w:t> </w:t>
      </w:r>
      <w:r>
        <w:rPr>
          <w:color w:val="231F20"/>
        </w:rPr>
        <w:t>de</w:t>
      </w:r>
      <w:r>
        <w:rPr>
          <w:color w:val="231F20"/>
          <w:spacing w:val="-4"/>
        </w:rPr>
        <w:t> </w:t>
      </w:r>
      <w:r>
        <w:rPr>
          <w:color w:val="231F20"/>
        </w:rPr>
        <w:t>rechtbank</w:t>
      </w:r>
      <w:r>
        <w:rPr>
          <w:color w:val="231F20"/>
          <w:spacing w:val="-5"/>
        </w:rPr>
        <w:t> </w:t>
      </w:r>
      <w:r>
        <w:rPr>
          <w:color w:val="231F20"/>
        </w:rPr>
        <w:t>tevens de natuurlijke persoon aan die de rechtspersoon vertegenwoordigt. Zij bepaalt de</w:t>
      </w:r>
      <w:r>
        <w:rPr>
          <w:color w:val="231F20"/>
          <w:spacing w:val="-11"/>
        </w:rPr>
        <w:t> </w:t>
      </w:r>
      <w:r>
        <w:rPr>
          <w:color w:val="231F20"/>
        </w:rPr>
        <w:t>vereffeningswijze.</w:t>
      </w:r>
    </w:p>
    <w:p>
      <w:pPr>
        <w:pStyle w:val="BodyText"/>
        <w:spacing w:line="218" w:lineRule="auto" w:before="118"/>
      </w:pPr>
      <w:r>
        <w:rPr>
          <w:color w:val="231F20"/>
        </w:rPr>
        <w:t>Art. 2:86. De voorzitter van de bevoegde rechtbank kan op verzoek van het openbaar ministerie of van iedere belanghebbende derde één of meer vereffenaars vervangen wegens wettige reden, na hen te hebben gehoord.</w:t>
      </w:r>
    </w:p>
    <w:p>
      <w:pPr>
        <w:pStyle w:val="BodyText"/>
        <w:spacing w:before="104"/>
        <w:ind w:left="283" w:right="0" w:firstLine="0"/>
        <w:jc w:val="left"/>
      </w:pPr>
      <w:r>
        <w:rPr>
          <w:color w:val="231F20"/>
        </w:rPr>
        <w:t>Onderafdeling 4. Bevoegdheden van de vereffenaar.</w:t>
      </w:r>
    </w:p>
    <w:p>
      <w:pPr>
        <w:pStyle w:val="BodyText"/>
        <w:spacing w:line="218" w:lineRule="auto" w:before="114"/>
      </w:pPr>
      <w:r>
        <w:rPr>
          <w:color w:val="231F20"/>
        </w:rPr>
        <w:t>Art. 2:87. § 1. Tenzij de statuten, de akte van benoeming of de rechterlijke uitspraak anders bepalen, is de vereffenaar bevoegd voor alle handelingen die nodig of dienstig zijn voor de vereffening van de vennootschap.</w:t>
      </w:r>
    </w:p>
    <w:p>
      <w:pPr>
        <w:pStyle w:val="BodyText"/>
        <w:spacing w:line="218" w:lineRule="auto" w:before="117"/>
      </w:pPr>
      <w:r>
        <w:rPr>
          <w:color w:val="231F20"/>
        </w:rPr>
        <w:t>De statuten, het benoemingsbesluit of de rechterlijke uitspraak kunnen de bevoegdheden van de vereffenaar beperken. Zodanig beperking kan aan derden worden tegengeworpen mits neerlegging en bekendmaking overeenkomstig de artikelen 2:8 en 2:14, 1°.</w:t>
      </w:r>
    </w:p>
    <w:p>
      <w:pPr>
        <w:pStyle w:val="BodyText"/>
        <w:spacing w:line="218" w:lineRule="auto" w:before="118"/>
      </w:pPr>
      <w:r>
        <w:rPr>
          <w:color w:val="231F20"/>
        </w:rPr>
        <w:t>In afwijking van het tweede lid kunnen bevoegdheidsbeperkingen van de vereffenaar opgenomen in de statuten, in het benoemingsbesluit of de rechterlijke uitspraak in een besloten vennootschap, een coöpe- ratieve vennootschap en een naamloze vennootschap niet aan derden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line="218" w:lineRule="auto" w:before="118"/>
      </w:pPr>
      <w:r>
        <w:rPr>
          <w:color w:val="231F20"/>
        </w:rPr>
        <w:t>§ 2. De vereffenaar vertegenwoordigt de vennootschap  jegens derden,</w:t>
      </w:r>
      <w:r>
        <w:rPr>
          <w:color w:val="231F20"/>
          <w:spacing w:val="17"/>
        </w:rPr>
        <w:t> </w:t>
      </w:r>
      <w:r>
        <w:rPr>
          <w:color w:val="231F20"/>
        </w:rPr>
        <w:t>met</w:t>
      </w:r>
      <w:r>
        <w:rPr>
          <w:color w:val="231F20"/>
          <w:spacing w:val="18"/>
        </w:rPr>
        <w:t> </w:t>
      </w:r>
      <w:r>
        <w:rPr>
          <w:color w:val="231F20"/>
        </w:rPr>
        <w:t>inbegrip</w:t>
      </w:r>
      <w:r>
        <w:rPr>
          <w:color w:val="231F20"/>
          <w:spacing w:val="17"/>
        </w:rPr>
        <w:t> </w:t>
      </w:r>
      <w:r>
        <w:rPr>
          <w:color w:val="231F20"/>
        </w:rPr>
        <w:t>van</w:t>
      </w:r>
      <w:r>
        <w:rPr>
          <w:color w:val="231F20"/>
          <w:spacing w:val="18"/>
        </w:rPr>
        <w:t> </w:t>
      </w:r>
      <w:r>
        <w:rPr>
          <w:color w:val="231F20"/>
        </w:rPr>
        <w:t>de</w:t>
      </w:r>
      <w:r>
        <w:rPr>
          <w:color w:val="231F20"/>
          <w:spacing w:val="17"/>
        </w:rPr>
        <w:t> </w:t>
      </w:r>
      <w:r>
        <w:rPr>
          <w:color w:val="231F20"/>
        </w:rPr>
        <w:t>vertegenwoordiging</w:t>
      </w:r>
      <w:r>
        <w:rPr>
          <w:color w:val="231F20"/>
          <w:spacing w:val="18"/>
        </w:rPr>
        <w:t> </w:t>
      </w:r>
      <w:r>
        <w:rPr>
          <w:color w:val="231F20"/>
        </w:rPr>
        <w:t>in</w:t>
      </w:r>
      <w:r>
        <w:rPr>
          <w:color w:val="231F20"/>
          <w:spacing w:val="17"/>
        </w:rPr>
        <w:t> </w:t>
      </w:r>
      <w:r>
        <w:rPr>
          <w:color w:val="231F20"/>
        </w:rPr>
        <w:t>rechte.</w:t>
      </w:r>
    </w:p>
    <w:p>
      <w:pPr>
        <w:pStyle w:val="BodyText"/>
        <w:spacing w:line="218" w:lineRule="auto" w:before="117"/>
      </w:pPr>
      <w:r>
        <w:rPr>
          <w:color w:val="231F20"/>
          <w:w w:val="105"/>
        </w:rPr>
        <w:t>De statuten, het benoemingsbesluit of de rechterlijke uitspraak kunnen</w:t>
      </w:r>
      <w:r>
        <w:rPr>
          <w:color w:val="231F20"/>
          <w:spacing w:val="-13"/>
          <w:w w:val="105"/>
        </w:rPr>
        <w:t> </w:t>
      </w:r>
      <w:r>
        <w:rPr>
          <w:color w:val="231F20"/>
          <w:w w:val="105"/>
        </w:rPr>
        <w:t>aan</w:t>
      </w:r>
      <w:r>
        <w:rPr>
          <w:color w:val="231F20"/>
          <w:spacing w:val="-12"/>
          <w:w w:val="105"/>
        </w:rPr>
        <w:t> </w:t>
      </w:r>
      <w:r>
        <w:rPr>
          <w:color w:val="231F20"/>
          <w:w w:val="105"/>
        </w:rPr>
        <w:t>deze</w:t>
      </w:r>
      <w:r>
        <w:rPr>
          <w:color w:val="231F20"/>
          <w:spacing w:val="-13"/>
          <w:w w:val="105"/>
        </w:rPr>
        <w:t> </w:t>
      </w:r>
      <w:r>
        <w:rPr>
          <w:color w:val="231F20"/>
          <w:w w:val="105"/>
        </w:rPr>
        <w:t>vertegenwoordigingsbevoegdheid</w:t>
      </w:r>
      <w:r>
        <w:rPr>
          <w:color w:val="231F20"/>
          <w:spacing w:val="-12"/>
          <w:w w:val="105"/>
        </w:rPr>
        <w:t> </w:t>
      </w:r>
      <w:r>
        <w:rPr>
          <w:color w:val="231F20"/>
          <w:w w:val="105"/>
        </w:rPr>
        <w:t>beperkingen</w:t>
      </w:r>
      <w:r>
        <w:rPr>
          <w:color w:val="231F20"/>
          <w:spacing w:val="-13"/>
          <w:w w:val="105"/>
        </w:rPr>
        <w:t> </w:t>
      </w:r>
      <w:r>
        <w:rPr>
          <w:color w:val="231F20"/>
          <w:w w:val="105"/>
        </w:rPr>
        <w:t>aan- brengen.</w:t>
      </w:r>
      <w:r>
        <w:rPr>
          <w:color w:val="231F20"/>
          <w:spacing w:val="-12"/>
          <w:w w:val="105"/>
        </w:rPr>
        <w:t> </w:t>
      </w:r>
      <w:r>
        <w:rPr>
          <w:color w:val="231F20"/>
          <w:w w:val="105"/>
        </w:rPr>
        <w:t>Zodanige</w:t>
      </w:r>
      <w:r>
        <w:rPr>
          <w:color w:val="231F20"/>
          <w:spacing w:val="-11"/>
          <w:w w:val="105"/>
        </w:rPr>
        <w:t> </w:t>
      </w:r>
      <w:r>
        <w:rPr>
          <w:color w:val="231F20"/>
          <w:w w:val="105"/>
        </w:rPr>
        <w:t>beperking</w:t>
      </w:r>
      <w:r>
        <w:rPr>
          <w:color w:val="231F20"/>
          <w:spacing w:val="-12"/>
          <w:w w:val="105"/>
        </w:rPr>
        <w:t> </w:t>
      </w:r>
      <w:r>
        <w:rPr>
          <w:color w:val="231F20"/>
          <w:w w:val="105"/>
        </w:rPr>
        <w:t>kan</w:t>
      </w:r>
      <w:r>
        <w:rPr>
          <w:color w:val="231F20"/>
          <w:spacing w:val="-11"/>
          <w:w w:val="105"/>
        </w:rPr>
        <w:t> </w:t>
      </w:r>
      <w:r>
        <w:rPr>
          <w:color w:val="231F20"/>
          <w:w w:val="105"/>
        </w:rPr>
        <w:t>aan</w:t>
      </w:r>
      <w:r>
        <w:rPr>
          <w:color w:val="231F20"/>
          <w:spacing w:val="-12"/>
          <w:w w:val="105"/>
        </w:rPr>
        <w:t> </w:t>
      </w:r>
      <w:r>
        <w:rPr>
          <w:color w:val="231F20"/>
          <w:w w:val="105"/>
        </w:rPr>
        <w:t>derden</w:t>
      </w:r>
      <w:r>
        <w:rPr>
          <w:color w:val="231F20"/>
          <w:spacing w:val="-11"/>
          <w:w w:val="105"/>
        </w:rPr>
        <w:t> </w:t>
      </w:r>
      <w:r>
        <w:rPr>
          <w:color w:val="231F20"/>
          <w:w w:val="105"/>
        </w:rPr>
        <w:t>worden</w:t>
      </w:r>
      <w:r>
        <w:rPr>
          <w:color w:val="231F20"/>
          <w:spacing w:val="-12"/>
          <w:w w:val="105"/>
        </w:rPr>
        <w:t> </w:t>
      </w:r>
      <w:r>
        <w:rPr>
          <w:color w:val="231F20"/>
          <w:w w:val="105"/>
        </w:rPr>
        <w:t>tegengeworpen mits</w:t>
      </w:r>
      <w:r>
        <w:rPr>
          <w:color w:val="231F20"/>
          <w:spacing w:val="-25"/>
          <w:w w:val="105"/>
        </w:rPr>
        <w:t> </w:t>
      </w:r>
      <w:r>
        <w:rPr>
          <w:color w:val="231F20"/>
          <w:w w:val="105"/>
        </w:rPr>
        <w:t>neerlegging</w:t>
      </w:r>
      <w:r>
        <w:rPr>
          <w:color w:val="231F20"/>
          <w:spacing w:val="-24"/>
          <w:w w:val="105"/>
        </w:rPr>
        <w:t> </w:t>
      </w:r>
      <w:r>
        <w:rPr>
          <w:color w:val="231F20"/>
          <w:w w:val="105"/>
        </w:rPr>
        <w:t>en</w:t>
      </w:r>
      <w:r>
        <w:rPr>
          <w:color w:val="231F20"/>
          <w:spacing w:val="-24"/>
          <w:w w:val="105"/>
        </w:rPr>
        <w:t> </w:t>
      </w:r>
      <w:r>
        <w:rPr>
          <w:color w:val="231F20"/>
          <w:w w:val="105"/>
        </w:rPr>
        <w:t>bekendmaking</w:t>
      </w:r>
      <w:r>
        <w:rPr>
          <w:color w:val="231F20"/>
          <w:spacing w:val="-25"/>
          <w:w w:val="105"/>
        </w:rPr>
        <w:t> </w:t>
      </w:r>
      <w:r>
        <w:rPr>
          <w:color w:val="231F20"/>
          <w:w w:val="105"/>
        </w:rPr>
        <w:t>overeenkomstig</w:t>
      </w:r>
      <w:r>
        <w:rPr>
          <w:color w:val="231F20"/>
          <w:spacing w:val="-24"/>
          <w:w w:val="105"/>
        </w:rPr>
        <w:t> </w:t>
      </w:r>
      <w:r>
        <w:rPr>
          <w:color w:val="231F20"/>
          <w:w w:val="105"/>
        </w:rPr>
        <w:t>de</w:t>
      </w:r>
      <w:r>
        <w:rPr>
          <w:color w:val="231F20"/>
          <w:spacing w:val="-24"/>
          <w:w w:val="105"/>
        </w:rPr>
        <w:t> </w:t>
      </w:r>
      <w:r>
        <w:rPr>
          <w:color w:val="231F20"/>
          <w:w w:val="105"/>
        </w:rPr>
        <w:t>artikelen</w:t>
      </w:r>
      <w:r>
        <w:rPr>
          <w:color w:val="231F20"/>
          <w:spacing w:val="-25"/>
          <w:w w:val="105"/>
        </w:rPr>
        <w:t> </w:t>
      </w:r>
      <w:r>
        <w:rPr>
          <w:color w:val="231F20"/>
          <w:w w:val="105"/>
        </w:rPr>
        <w:t>2:8</w:t>
      </w:r>
      <w:r>
        <w:rPr>
          <w:color w:val="231F20"/>
          <w:spacing w:val="-24"/>
          <w:w w:val="105"/>
        </w:rPr>
        <w:t> </w:t>
      </w:r>
      <w:r>
        <w:rPr>
          <w:color w:val="231F20"/>
          <w:w w:val="105"/>
        </w:rPr>
        <w:t>en 2:14,</w:t>
      </w:r>
      <w:r>
        <w:rPr>
          <w:color w:val="231F20"/>
          <w:spacing w:val="12"/>
          <w:w w:val="105"/>
        </w:rPr>
        <w:t> </w:t>
      </w:r>
      <w:r>
        <w:rPr>
          <w:color w:val="231F20"/>
          <w:w w:val="105"/>
        </w:rPr>
        <w:t>1°.</w:t>
      </w:r>
    </w:p>
    <w:p>
      <w:pPr>
        <w:pStyle w:val="BodyText"/>
        <w:spacing w:line="218" w:lineRule="auto" w:before="118"/>
      </w:pPr>
      <w:r>
        <w:rPr>
          <w:color w:val="231F20"/>
          <w:w w:val="105"/>
        </w:rPr>
        <w:t>In afwijking van het tweede lid kunnen beperkingen van de vertegenwoordigingsbevoegdheid</w:t>
      </w:r>
      <w:r>
        <w:rPr>
          <w:color w:val="231F20"/>
          <w:spacing w:val="-29"/>
          <w:w w:val="105"/>
        </w:rPr>
        <w:t> </w:t>
      </w:r>
      <w:r>
        <w:rPr>
          <w:color w:val="231F20"/>
          <w:w w:val="105"/>
        </w:rPr>
        <w:t>van</w:t>
      </w:r>
      <w:r>
        <w:rPr>
          <w:color w:val="231F20"/>
          <w:spacing w:val="-28"/>
          <w:w w:val="105"/>
        </w:rPr>
        <w:t> </w:t>
      </w:r>
      <w:r>
        <w:rPr>
          <w:color w:val="231F20"/>
          <w:w w:val="105"/>
        </w:rPr>
        <w:t>de</w:t>
      </w:r>
      <w:r>
        <w:rPr>
          <w:color w:val="231F20"/>
          <w:spacing w:val="-29"/>
          <w:w w:val="105"/>
        </w:rPr>
        <w:t> </w:t>
      </w:r>
      <w:r>
        <w:rPr>
          <w:color w:val="231F20"/>
          <w:w w:val="105"/>
        </w:rPr>
        <w:t>vereffenaar</w:t>
      </w:r>
      <w:r>
        <w:rPr>
          <w:color w:val="231F20"/>
          <w:spacing w:val="-28"/>
          <w:w w:val="105"/>
        </w:rPr>
        <w:t> </w:t>
      </w:r>
      <w:r>
        <w:rPr>
          <w:color w:val="231F20"/>
          <w:w w:val="105"/>
        </w:rPr>
        <w:t>opgenomen</w:t>
      </w:r>
      <w:r>
        <w:rPr>
          <w:color w:val="231F20"/>
          <w:spacing w:val="-28"/>
          <w:w w:val="105"/>
        </w:rPr>
        <w:t> </w:t>
      </w:r>
      <w:r>
        <w:rPr>
          <w:color w:val="231F20"/>
          <w:w w:val="105"/>
        </w:rPr>
        <w:t>in</w:t>
      </w:r>
      <w:r>
        <w:rPr>
          <w:color w:val="231F20"/>
          <w:spacing w:val="-29"/>
          <w:w w:val="105"/>
        </w:rPr>
        <w:t> </w:t>
      </w:r>
      <w:r>
        <w:rPr>
          <w:color w:val="231F20"/>
          <w:w w:val="105"/>
        </w:rPr>
        <w:t>de statuten, in benoemingsbesluit of de rechterlijke uitspraak in een besloten</w:t>
      </w:r>
      <w:r>
        <w:rPr>
          <w:color w:val="231F20"/>
          <w:spacing w:val="-13"/>
          <w:w w:val="105"/>
        </w:rPr>
        <w:t> </w:t>
      </w:r>
      <w:r>
        <w:rPr>
          <w:color w:val="231F20"/>
          <w:w w:val="105"/>
        </w:rPr>
        <w:t>vennootschap,</w:t>
      </w:r>
      <w:r>
        <w:rPr>
          <w:color w:val="231F20"/>
          <w:spacing w:val="-12"/>
          <w:w w:val="105"/>
        </w:rPr>
        <w:t> </w:t>
      </w:r>
      <w:r>
        <w:rPr>
          <w:color w:val="231F20"/>
          <w:w w:val="105"/>
        </w:rPr>
        <w:t>een</w:t>
      </w:r>
      <w:r>
        <w:rPr>
          <w:color w:val="231F20"/>
          <w:spacing w:val="-12"/>
          <w:w w:val="105"/>
        </w:rPr>
        <w:t> </w:t>
      </w:r>
      <w:r>
        <w:rPr>
          <w:color w:val="231F20"/>
          <w:w w:val="105"/>
        </w:rPr>
        <w:t>coöperatieve</w:t>
      </w:r>
      <w:r>
        <w:rPr>
          <w:color w:val="231F20"/>
          <w:spacing w:val="-12"/>
          <w:w w:val="105"/>
        </w:rPr>
        <w:t> </w:t>
      </w:r>
      <w:r>
        <w:rPr>
          <w:color w:val="231F20"/>
          <w:w w:val="105"/>
        </w:rPr>
        <w:t>vennootschap</w:t>
      </w:r>
      <w:r>
        <w:rPr>
          <w:color w:val="231F20"/>
          <w:spacing w:val="-12"/>
          <w:w w:val="105"/>
        </w:rPr>
        <w:t> </w:t>
      </w:r>
      <w:r>
        <w:rPr>
          <w:color w:val="231F20"/>
          <w:w w:val="105"/>
        </w:rPr>
        <w:t>en</w:t>
      </w:r>
      <w:r>
        <w:rPr>
          <w:color w:val="231F20"/>
          <w:spacing w:val="-12"/>
          <w:w w:val="105"/>
        </w:rPr>
        <w:t> </w:t>
      </w:r>
      <w:r>
        <w:rPr>
          <w:color w:val="231F20"/>
          <w:w w:val="105"/>
        </w:rPr>
        <w:t>een</w:t>
      </w:r>
      <w:r>
        <w:rPr>
          <w:color w:val="231F20"/>
          <w:spacing w:val="-12"/>
          <w:w w:val="105"/>
        </w:rPr>
        <w:t> </w:t>
      </w:r>
      <w:r>
        <w:rPr>
          <w:color w:val="231F20"/>
          <w:w w:val="105"/>
        </w:rPr>
        <w:t>naam- loze vennootschap niet aan derden worden tegengeworpen, ook al is die beperking neergelegd en bekendgemaakt overeenkomstig de artikelen 2:8 en 2:14, 1°.</w:t>
      </w:r>
    </w:p>
    <w:p>
      <w:pPr>
        <w:pStyle w:val="BodyText"/>
        <w:spacing w:line="218" w:lineRule="auto" w:before="118"/>
      </w:pPr>
      <w:r>
        <w:rPr>
          <w:color w:val="231F20"/>
        </w:rPr>
        <w:t>§ 3. De vereffenaar kan de onroerende goederen van de</w:t>
      </w:r>
      <w:r>
        <w:rPr>
          <w:color w:val="231F20"/>
          <w:spacing w:val="-11"/>
        </w:rPr>
        <w:t> </w:t>
      </w:r>
      <w:r>
        <w:rPr>
          <w:color w:val="231F20"/>
        </w:rPr>
        <w:t>vennootschap enkel verkopen indien hij de verkoop nodig acht voor de betaling van de schulden van de vennootschap. Onverminderd wat is bepaald</w:t>
      </w:r>
      <w:r>
        <w:rPr>
          <w:color w:val="231F20"/>
          <w:spacing w:val="32"/>
        </w:rPr>
        <w:t> </w:t>
      </w:r>
      <w:r>
        <w:rPr>
          <w:color w:val="231F20"/>
        </w:rPr>
        <w:t>in artikel 2:88, § 1, 5°, worden de onroerende goederen steeds openbaar verkocht.</w:t>
      </w:r>
    </w:p>
    <w:p>
      <w:pPr>
        <w:pStyle w:val="BodyText"/>
        <w:spacing w:line="218" w:lineRule="auto" w:before="117"/>
      </w:pPr>
      <w:r>
        <w:rPr>
          <w:color w:val="231F20"/>
        </w:rPr>
        <w:t>Art. 2:88. § 1. In afwijking van artikel 2:87 en niettegenstaande andersluidende statutaire bepaling kan de vereffenaar de volgende handelingen enkel stellen met machtiging van de algemene vergade- ring, verleend overeenkomstig artikel 2:83:</w:t>
      </w:r>
    </w:p>
    <w:p>
      <w:pPr>
        <w:pStyle w:val="BodyText"/>
        <w:spacing w:line="290" w:lineRule="atLeast" w:before="7"/>
        <w:ind w:left="283" w:firstLine="0"/>
        <w:jc w:val="left"/>
      </w:pPr>
      <w:r>
        <w:rPr>
          <w:color w:val="231F20"/>
        </w:rPr>
        <w:t>1° de voortzetting van het bedrijf tot de tegeldemaking van de activa; 2° kredieten aangaan voor de betaling van de schulden van de</w:t>
      </w:r>
    </w:p>
    <w:p>
      <w:pPr>
        <w:pStyle w:val="BodyText"/>
        <w:spacing w:line="179" w:lineRule="exact"/>
        <w:ind w:right="0" w:firstLine="0"/>
        <w:jc w:val="left"/>
      </w:pPr>
      <w:r>
        <w:rPr>
          <w:color w:val="231F20"/>
        </w:rPr>
        <w:t>vennootschap;</w:t>
      </w:r>
    </w:p>
    <w:p>
      <w:pPr>
        <w:pStyle w:val="BodyText"/>
        <w:spacing w:before="100"/>
        <w:ind w:left="283" w:right="0" w:firstLine="0"/>
        <w:jc w:val="left"/>
      </w:pPr>
      <w:r>
        <w:rPr>
          <w:color w:val="231F20"/>
        </w:rPr>
        <w:t>3° de goederen van de vennootschap hypothekeren of in pand geven;</w:t>
      </w:r>
    </w:p>
    <w:p>
      <w:pPr>
        <w:pStyle w:val="BodyText"/>
        <w:spacing w:line="218" w:lineRule="auto" w:before="114"/>
      </w:pPr>
      <w:r>
        <w:rPr>
          <w:color w:val="231F20"/>
        </w:rPr>
        <w:t>4° de openbare verkoop van de onroerende goederen van de vennootschap, indien de vereffenaars deze niet nodig achten voor de betaling</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schulden</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vennootschap;</w:t>
      </w:r>
    </w:p>
    <w:p>
      <w:pPr>
        <w:pStyle w:val="BodyText"/>
        <w:spacing w:line="218" w:lineRule="auto" w:before="118"/>
      </w:pPr>
      <w:r>
        <w:rPr>
          <w:color w:val="231F20"/>
        </w:rPr>
        <w:t>5° de verkoop uit de hand van de onroerende goederen van de vennootschap, ongeacht of de vereffenaar deze nodig acht voor de betaling</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schulden</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vennootschap;</w:t>
      </w:r>
    </w:p>
    <w:p>
      <w:pPr>
        <w:pStyle w:val="BodyText"/>
        <w:spacing w:line="218" w:lineRule="auto" w:before="117"/>
      </w:pPr>
      <w:r>
        <w:rPr>
          <w:color w:val="231F20"/>
        </w:rPr>
        <w:t>6° de inbreng van een vermogensbestanddeel in andere vennoot- schappen.</w:t>
      </w:r>
    </w:p>
    <w:p>
      <w:pPr>
        <w:pStyle w:val="BodyText"/>
        <w:spacing w:line="218" w:lineRule="auto" w:before="118"/>
      </w:pPr>
      <w:r>
        <w:rPr>
          <w:color w:val="231F20"/>
        </w:rPr>
        <w:t>§ 2. De inbreng van het volledige vermogen in andere vennootschap- pen vereist de machtiging van de algemene vergadering met naleving van de aanwezigheids- en meerderheidsvereisten voorgeschreven voor een statutenwijziging.</w:t>
      </w:r>
    </w:p>
    <w:p>
      <w:pPr>
        <w:pStyle w:val="BodyText"/>
        <w:spacing w:line="218" w:lineRule="auto" w:before="117"/>
      </w:pPr>
      <w:r>
        <w:rPr>
          <w:color w:val="231F20"/>
        </w:rPr>
        <w:t>§ 3. De machtiging bedoeld in de paragrafen 1 en 2 wordt verleend door de algemene vergadering, hetzij in het benoemingsbesluit van de vereffenaar, hetzij bij later afzonderlijk besluit.</w:t>
      </w:r>
    </w:p>
    <w:p>
      <w:pPr>
        <w:pStyle w:val="BodyText"/>
        <w:spacing w:line="218" w:lineRule="auto" w:before="118"/>
      </w:pPr>
      <w:r>
        <w:rPr>
          <w:color w:val="231F20"/>
        </w:rPr>
        <w:t>§ 4. In het geval van een gerechtelijke ontbinding wordt de machtiging bedoeld in paragrafen 1 en 2 verleend door de rechtbank.</w:t>
      </w:r>
    </w:p>
    <w:p>
      <w:pPr>
        <w:spacing w:after="0" w:line="218" w:lineRule="auto"/>
        <w:sectPr>
          <w:headerReference w:type="even" r:id="rId21"/>
          <w:headerReference w:type="default" r:id="rId22"/>
          <w:pgSz w:w="11940" w:h="16880"/>
          <w:pgMar w:header="666" w:footer="0" w:top="1140" w:bottom="280" w:left="340" w:right="360"/>
          <w:pgNumType w:start="33272"/>
          <w:cols w:num="2" w:equalWidth="0">
            <w:col w:w="5527" w:space="100"/>
            <w:col w:w="5613"/>
          </w:cols>
        </w:sectPr>
      </w:pPr>
    </w:p>
    <w:p>
      <w:pPr>
        <w:pStyle w:val="BodyText"/>
        <w:spacing w:line="218" w:lineRule="auto" w:before="120"/>
        <w:ind w:right="95"/>
      </w:pPr>
      <w:r>
        <w:rPr/>
        <w:pict>
          <v:line style="position:absolute;mso-position-horizontal-relative:page;mso-position-vertical-relative:page;z-index:1840" from="298.170502pt,64.473pt" to="298.170502pt,812.819pt" stroked="true" strokeweight=".533pt" strokecolor="#231f20">
            <v:stroke dashstyle="solid"/>
            <w10:wrap type="none"/>
          </v:line>
        </w:pict>
      </w:r>
      <w:bookmarkStart w:name="_bookmark34" w:id="37"/>
      <w:bookmarkEnd w:id="37"/>
      <w:r>
        <w:rPr/>
      </w:r>
      <w:r>
        <w:rPr>
          <w:color w:val="231F20"/>
        </w:rPr>
        <w:t>Art. 2:89. Le liquidateur peut exiger des actionnaires ou des associés le paiement des sommes que ceux-ci se sont engagés à verser et que le liquidateur juge nécessaires au paiement des dettes de la société et des frais de liquidation.</w:t>
      </w:r>
    </w:p>
    <w:p>
      <w:pPr>
        <w:pStyle w:val="BodyText"/>
        <w:spacing w:line="218" w:lineRule="auto" w:before="85"/>
        <w:ind w:right="96"/>
      </w:pPr>
      <w:r>
        <w:rPr>
          <w:color w:val="231F20"/>
        </w:rPr>
        <w:t>À moins que les statuts, la décision de nomination ou la décision judiciaire n’en disposent autrement, le liquidateur peut également exiger des actionnaires ou des associés le paiement de sommes que ces derniers se sont engagés à verser et que le liquidateur considère comme nécessaires pour assurer l’égalité de traitement des actionnaires ou associés.</w:t>
      </w:r>
    </w:p>
    <w:p>
      <w:pPr>
        <w:pStyle w:val="BodyText"/>
        <w:spacing w:line="218" w:lineRule="auto" w:before="86"/>
        <w:ind w:right="95"/>
      </w:pPr>
      <w:r>
        <w:rPr>
          <w:color w:val="231F20"/>
        </w:rPr>
        <w:t>Art. 2:90. Les membres de l’organe d’administration de la société dissoute donnent suite à toutes les convocations qui leur sont faites par le liquidateur et lui fournissent tous les renseignements requis.</w:t>
      </w:r>
    </w:p>
    <w:p>
      <w:pPr>
        <w:pStyle w:val="BodyText"/>
        <w:spacing w:line="218" w:lineRule="auto" w:before="86"/>
        <w:ind w:right="96"/>
      </w:pPr>
      <w:r>
        <w:rPr>
          <w:color w:val="231F20"/>
        </w:rPr>
        <w:t>Les membres de l’organe d’administration de la société dissoute sont tenus d’aviser le liquidateur de tout changement d’adresse.</w:t>
      </w:r>
    </w:p>
    <w:p>
      <w:pPr>
        <w:pStyle w:val="BodyText"/>
        <w:spacing w:line="218" w:lineRule="auto" w:before="85"/>
        <w:ind w:right="96"/>
      </w:pPr>
      <w:r>
        <w:rPr>
          <w:color w:val="231F20"/>
        </w:rPr>
        <w:t>Art. 2:91. Le liquidateur invite les membres de l’organe d’adminis- tration de la société dissoute à assister à la clôture et l’arrêt des livres et écritures.</w:t>
      </w:r>
    </w:p>
    <w:p>
      <w:pPr>
        <w:pStyle w:val="BodyText"/>
        <w:spacing w:line="218" w:lineRule="auto" w:before="86"/>
        <w:ind w:right="95"/>
      </w:pPr>
      <w:r>
        <w:rPr>
          <w:color w:val="231F20"/>
        </w:rPr>
        <w:t>Le liquidateur procède immédiatement à la vérification et à la rectification du dernier bilan déposé. Il dresse un bilan conformément aux règles et principes du droit comptable, à l’aide des livres et documents de la société dissoute et des renseignements qu’il pourra se procurer. Il dépose ce bilan au dossier visé à l’article 2:8.</w:t>
      </w:r>
    </w:p>
    <w:p>
      <w:pPr>
        <w:pStyle w:val="BodyText"/>
        <w:ind w:left="0" w:right="0" w:firstLine="0"/>
        <w:jc w:val="left"/>
        <w:rPr>
          <w:sz w:val="23"/>
        </w:rPr>
      </w:pPr>
    </w:p>
    <w:p>
      <w:pPr>
        <w:pStyle w:val="BodyText"/>
        <w:spacing w:line="218" w:lineRule="auto"/>
        <w:ind w:right="94"/>
      </w:pPr>
      <w:r>
        <w:rPr>
          <w:color w:val="231F20"/>
        </w:rPr>
        <w:t>Pour autant que l’actif soit suffisant pour en couvrir les frais, le liquidateur peut s’adjoindre le concours d’un expert-comptable externe, d’un comptable agréé ou d’un comptable-fiscaliste agréé en vue de l’établissement du bilan.</w:t>
      </w:r>
    </w:p>
    <w:p>
      <w:pPr>
        <w:pStyle w:val="BodyText"/>
        <w:spacing w:line="218" w:lineRule="auto" w:before="86"/>
        <w:ind w:right="96"/>
      </w:pPr>
      <w:r>
        <w:rPr>
          <w:color w:val="231F20"/>
        </w:rPr>
        <w:t>Le tribunal peut, sur requête du liquidateur, condamner solidaire- ment les membres de l’organe d’administration de la société dissoute au</w:t>
      </w:r>
      <w:r>
        <w:rPr>
          <w:color w:val="231F20"/>
          <w:spacing w:val="15"/>
        </w:rPr>
        <w:t> </w:t>
      </w:r>
      <w:r>
        <w:rPr>
          <w:color w:val="231F20"/>
        </w:rPr>
        <w:t>paiement</w:t>
      </w:r>
      <w:r>
        <w:rPr>
          <w:color w:val="231F20"/>
          <w:spacing w:val="15"/>
        </w:rPr>
        <w:t> </w:t>
      </w:r>
      <w:r>
        <w:rPr>
          <w:color w:val="231F20"/>
        </w:rPr>
        <w:t>des</w:t>
      </w:r>
      <w:r>
        <w:rPr>
          <w:color w:val="231F20"/>
          <w:spacing w:val="15"/>
        </w:rPr>
        <w:t> </w:t>
      </w:r>
      <w:r>
        <w:rPr>
          <w:color w:val="231F20"/>
        </w:rPr>
        <w:t>frais</w:t>
      </w:r>
      <w:r>
        <w:rPr>
          <w:color w:val="231F20"/>
          <w:spacing w:val="15"/>
        </w:rPr>
        <w:t> </w:t>
      </w:r>
      <w:r>
        <w:rPr>
          <w:color w:val="231F20"/>
        </w:rPr>
        <w:t>de</w:t>
      </w:r>
      <w:r>
        <w:rPr>
          <w:color w:val="231F20"/>
          <w:spacing w:val="15"/>
        </w:rPr>
        <w:t> </w:t>
      </w:r>
      <w:r>
        <w:rPr>
          <w:color w:val="231F20"/>
        </w:rPr>
        <w:t>rectification</w:t>
      </w:r>
      <w:r>
        <w:rPr>
          <w:color w:val="231F20"/>
          <w:spacing w:val="15"/>
        </w:rPr>
        <w:t> </w:t>
      </w:r>
      <w:r>
        <w:rPr>
          <w:color w:val="231F20"/>
        </w:rPr>
        <w:t>et</w:t>
      </w:r>
      <w:r>
        <w:rPr>
          <w:color w:val="231F20"/>
          <w:spacing w:val="15"/>
        </w:rPr>
        <w:t> </w:t>
      </w:r>
      <w:r>
        <w:rPr>
          <w:color w:val="231F20"/>
        </w:rPr>
        <w:t>d’établissement</w:t>
      </w:r>
      <w:r>
        <w:rPr>
          <w:color w:val="231F20"/>
          <w:spacing w:val="15"/>
        </w:rPr>
        <w:t> </w:t>
      </w:r>
      <w:r>
        <w:rPr>
          <w:color w:val="231F20"/>
        </w:rPr>
        <w:t>du</w:t>
      </w:r>
      <w:r>
        <w:rPr>
          <w:color w:val="231F20"/>
          <w:spacing w:val="15"/>
        </w:rPr>
        <w:t> </w:t>
      </w:r>
      <w:r>
        <w:rPr>
          <w:color w:val="231F20"/>
        </w:rPr>
        <w:t>bilan.</w:t>
      </w:r>
    </w:p>
    <w:p>
      <w:pPr>
        <w:pStyle w:val="BodyText"/>
        <w:ind w:left="0" w:right="0" w:firstLine="0"/>
        <w:jc w:val="left"/>
        <w:rPr>
          <w:sz w:val="23"/>
        </w:rPr>
      </w:pPr>
    </w:p>
    <w:p>
      <w:pPr>
        <w:pStyle w:val="BodyText"/>
        <w:spacing w:line="218" w:lineRule="auto"/>
        <w:ind w:right="95"/>
      </w:pPr>
      <w:r>
        <w:rPr>
          <w:color w:val="231F20"/>
        </w:rPr>
        <w:t>Art. 2:92. Le liquidateur peut entendre les membres de l’organe d’administration, les travailleurs qu’ils occupent ainsi que toute autre personne tant à propos de la vérification des livres et écritures comptables, qu’à propos des causes et circonstances qui ont entraîné la dissolution.</w:t>
      </w:r>
    </w:p>
    <w:p>
      <w:pPr>
        <w:pStyle w:val="BodyText"/>
        <w:spacing w:before="71"/>
        <w:ind w:left="283" w:right="0" w:firstLine="0"/>
        <w:jc w:val="left"/>
      </w:pPr>
      <w:r>
        <w:rPr>
          <w:color w:val="231F20"/>
        </w:rPr>
        <w:t>Sous-section 5. Collège des liquidateurs.</w:t>
      </w:r>
    </w:p>
    <w:p>
      <w:pPr>
        <w:pStyle w:val="BodyText"/>
        <w:spacing w:line="218" w:lineRule="auto" w:before="67"/>
        <w:ind w:right="96"/>
      </w:pPr>
      <w:r>
        <w:rPr>
          <w:color w:val="231F20"/>
        </w:rPr>
        <w:t>Art. 2:93. § 1</w:t>
      </w:r>
      <w:r>
        <w:rPr>
          <w:color w:val="231F20"/>
          <w:position w:val="7"/>
          <w:sz w:val="11"/>
        </w:rPr>
        <w:t>er</w:t>
      </w:r>
      <w:r>
        <w:rPr>
          <w:color w:val="231F20"/>
        </w:rPr>
        <w:t>. Si plus d’une personne est nommée ou désignée comme liquidateur, les statuts, ou pour les sociétés qui n’ont pas la forme d’une société à responsabilité limitée, d’une société coopérative et d’une société anonyme, la décision de nomination ou la décision judiciaire peuvent prévoir que chaque personne pourra accomplir, séparément, tous les actes nécessaires ou utiles à la liquidation. Pareille disposition est opposable aux tiers moyennant dépôt et publication conformément</w:t>
      </w:r>
      <w:r>
        <w:rPr>
          <w:color w:val="231F20"/>
          <w:spacing w:val="13"/>
        </w:rPr>
        <w:t> </w:t>
      </w:r>
      <w:r>
        <w:rPr>
          <w:color w:val="231F20"/>
        </w:rPr>
        <w:t>aux</w:t>
      </w:r>
      <w:r>
        <w:rPr>
          <w:color w:val="231F20"/>
          <w:spacing w:val="14"/>
        </w:rPr>
        <w:t> </w:t>
      </w:r>
      <w:r>
        <w:rPr>
          <w:color w:val="231F20"/>
        </w:rPr>
        <w:t>articles</w:t>
      </w:r>
      <w:r>
        <w:rPr>
          <w:color w:val="231F20"/>
          <w:spacing w:val="13"/>
        </w:rPr>
        <w:t> </w:t>
      </w:r>
      <w:r>
        <w:rPr>
          <w:color w:val="231F20"/>
        </w:rPr>
        <w:t>2:8</w:t>
      </w:r>
      <w:r>
        <w:rPr>
          <w:color w:val="231F20"/>
          <w:spacing w:val="14"/>
        </w:rPr>
        <w:t> </w:t>
      </w:r>
      <w:r>
        <w:rPr>
          <w:color w:val="231F20"/>
        </w:rPr>
        <w:t>et</w:t>
      </w:r>
      <w:r>
        <w:rPr>
          <w:color w:val="231F20"/>
          <w:spacing w:val="14"/>
        </w:rPr>
        <w:t> </w:t>
      </w:r>
      <w:r>
        <w:rPr>
          <w:color w:val="231F20"/>
        </w:rPr>
        <w:t>2:14,</w:t>
      </w:r>
      <w:r>
        <w:rPr>
          <w:color w:val="231F20"/>
          <w:spacing w:val="13"/>
        </w:rPr>
        <w:t> </w:t>
      </w:r>
      <w:r>
        <w:rPr>
          <w:color w:val="231F20"/>
        </w:rPr>
        <w:t>1°.</w:t>
      </w:r>
    </w:p>
    <w:p>
      <w:pPr>
        <w:pStyle w:val="BodyText"/>
        <w:ind w:left="0" w:right="0" w:firstLine="0"/>
        <w:jc w:val="left"/>
        <w:rPr>
          <w:sz w:val="23"/>
        </w:rPr>
      </w:pPr>
    </w:p>
    <w:p>
      <w:pPr>
        <w:pStyle w:val="BodyText"/>
        <w:spacing w:line="218" w:lineRule="auto"/>
        <w:ind w:right="96"/>
      </w:pPr>
      <w:r>
        <w:rPr>
          <w:color w:val="231F20"/>
        </w:rPr>
        <w:t>§ 2. Le collège des liquidateurs représente la société à l’égard des tiers, y compris en justice.</w:t>
      </w:r>
    </w:p>
    <w:p>
      <w:pPr>
        <w:pStyle w:val="BodyText"/>
        <w:spacing w:line="218" w:lineRule="auto" w:before="86"/>
        <w:ind w:right="29"/>
        <w:jc w:val="left"/>
      </w:pPr>
      <w:r>
        <w:rPr>
          <w:color w:val="231F20"/>
        </w:rPr>
        <w:t>Si plus d’une personne est nommée ou désignée comme liquidateur, les statuts, ou pour les sociétés qui n’ont pas la forme d’une société à responsabilité limitée, d’une société coopérative et d’une société anonyme, la décision de nomination ou la décision judiciaire peuvent prévoir que la société est également valablement représentée à l’égard des tiers, y compris en justice, par une personne agissant seule ou par deux personnes ou plus agissant conjointement. Pareille clause de représentation est opposable aux tiers moyennant dépôt et publication conformément aux articles 2:8 et 2:14, 1°.</w:t>
      </w:r>
    </w:p>
    <w:p>
      <w:pPr>
        <w:pStyle w:val="BodyText"/>
        <w:ind w:left="0" w:right="0" w:firstLine="0"/>
        <w:jc w:val="left"/>
        <w:rPr>
          <w:sz w:val="23"/>
        </w:rPr>
      </w:pPr>
    </w:p>
    <w:p>
      <w:pPr>
        <w:pStyle w:val="BodyText"/>
        <w:spacing w:line="218" w:lineRule="auto"/>
        <w:ind w:right="95"/>
      </w:pPr>
      <w:r>
        <w:rPr>
          <w:color w:val="231F20"/>
        </w:rPr>
        <w:t>Pour les sociétés qui n’ont pas la forme d’une société à responsabilité limitée, d’une société coopérative ou d’une société anonyme, les statuts, la décision de nomination ou la décision judiciaire peuvent apporter des restrictions quantitatives et qualitatives à ce pouvoir individuel ou conjoint de représentation. Pareilles restrictions sont opposables aux tiers moyennant dépôt et publication conformément aux articles 2:8 et 2:14,</w:t>
      </w:r>
      <w:r>
        <w:rPr>
          <w:color w:val="231F20"/>
          <w:spacing w:val="14"/>
        </w:rPr>
        <w:t> </w:t>
      </w:r>
      <w:r>
        <w:rPr>
          <w:color w:val="231F20"/>
        </w:rPr>
        <w:t>1°.</w:t>
      </w:r>
    </w:p>
    <w:p>
      <w:pPr>
        <w:pStyle w:val="BodyText"/>
        <w:spacing w:line="218" w:lineRule="auto" w:before="86"/>
        <w:ind w:right="95"/>
      </w:pPr>
      <w:r>
        <w:rPr>
          <w:color w:val="231F20"/>
        </w:rPr>
        <w:t>Dans une société à responsabilité limitée, une société coopérative et une société anonyme, de telles restrictions quantitatives et qualitatives apportées aux pouvoirs de représentation du liquidateur par les statuts, la décision de nomination ou la décision judiciaire ne sont pas opposables aux tiers, même si elles ont été déposées et publiées conformément aux articles 2:8 et 2:14, 1°. Il en va de même pour une répartition des tâches entre les liquidateurs.</w:t>
      </w:r>
    </w:p>
    <w:p>
      <w:pPr>
        <w:pStyle w:val="BodyText"/>
        <w:spacing w:line="218" w:lineRule="auto" w:before="97"/>
        <w:ind w:right="96"/>
      </w:pPr>
      <w:r>
        <w:rPr>
          <w:color w:val="231F20"/>
        </w:rPr>
        <w:t>§ 3. Si la nomination des liquidateurs doit être confirmée ou homologuée conformément à l’article 2:84, l’acte portant nomination d’un liquidateur ou, le cas échéant, de son représentant permanent ou la modification de celui-ci ne peut être déposé et publié conformément aux</w:t>
      </w:r>
      <w:r>
        <w:rPr>
          <w:color w:val="231F20"/>
          <w:spacing w:val="8"/>
        </w:rPr>
        <w:t> </w:t>
      </w:r>
      <w:r>
        <w:rPr>
          <w:color w:val="231F20"/>
        </w:rPr>
        <w:t>articles</w:t>
      </w:r>
      <w:r>
        <w:rPr>
          <w:color w:val="231F20"/>
          <w:spacing w:val="8"/>
        </w:rPr>
        <w:t> </w:t>
      </w:r>
      <w:r>
        <w:rPr>
          <w:color w:val="231F20"/>
        </w:rPr>
        <w:t>2:8</w:t>
      </w:r>
      <w:r>
        <w:rPr>
          <w:color w:val="231F20"/>
          <w:spacing w:val="9"/>
        </w:rPr>
        <w:t> </w:t>
      </w:r>
      <w:r>
        <w:rPr>
          <w:color w:val="231F20"/>
        </w:rPr>
        <w:t>et</w:t>
      </w:r>
      <w:r>
        <w:rPr>
          <w:color w:val="231F20"/>
          <w:spacing w:val="8"/>
        </w:rPr>
        <w:t> </w:t>
      </w:r>
      <w:r>
        <w:rPr>
          <w:color w:val="231F20"/>
        </w:rPr>
        <w:t>2:14,</w:t>
      </w:r>
      <w:r>
        <w:rPr>
          <w:color w:val="231F20"/>
          <w:spacing w:val="8"/>
        </w:rPr>
        <w:t> </w:t>
      </w:r>
      <w:r>
        <w:rPr>
          <w:color w:val="231F20"/>
        </w:rPr>
        <w:t>1°,</w:t>
      </w:r>
      <w:r>
        <w:rPr>
          <w:color w:val="231F20"/>
          <w:spacing w:val="9"/>
        </w:rPr>
        <w:t> </w:t>
      </w:r>
      <w:r>
        <w:rPr>
          <w:color w:val="231F20"/>
        </w:rPr>
        <w:t>que</w:t>
      </w:r>
      <w:r>
        <w:rPr>
          <w:color w:val="231F20"/>
          <w:spacing w:val="8"/>
        </w:rPr>
        <w:t> </w:t>
      </w:r>
      <w:r>
        <w:rPr>
          <w:color w:val="231F20"/>
        </w:rPr>
        <w:t>si</w:t>
      </w:r>
      <w:r>
        <w:rPr>
          <w:color w:val="231F20"/>
          <w:spacing w:val="9"/>
        </w:rPr>
        <w:t> </w:t>
      </w:r>
      <w:r>
        <w:rPr>
          <w:color w:val="231F20"/>
        </w:rPr>
        <w:t>une</w:t>
      </w:r>
      <w:r>
        <w:rPr>
          <w:color w:val="231F20"/>
          <w:spacing w:val="8"/>
        </w:rPr>
        <w:t> </w:t>
      </w:r>
      <w:r>
        <w:rPr>
          <w:color w:val="231F20"/>
        </w:rPr>
        <w:t>copie</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décision</w:t>
      </w:r>
      <w:r>
        <w:rPr>
          <w:color w:val="231F20"/>
          <w:spacing w:val="9"/>
        </w:rPr>
        <w:t> </w:t>
      </w:r>
      <w:r>
        <w:rPr>
          <w:color w:val="231F20"/>
        </w:rPr>
        <w:t>du</w:t>
      </w:r>
      <w:r>
        <w:rPr>
          <w:color w:val="231F20"/>
          <w:spacing w:val="8"/>
        </w:rPr>
        <w:t> </w:t>
      </w:r>
      <w:r>
        <w:rPr>
          <w:color w:val="231F20"/>
        </w:rPr>
        <w:t>président</w:t>
      </w:r>
    </w:p>
    <w:p>
      <w:pPr>
        <w:pStyle w:val="BodyText"/>
        <w:spacing w:line="218" w:lineRule="auto" w:before="119"/>
      </w:pPr>
      <w:r>
        <w:rPr/>
        <w:br w:type="column"/>
      </w:r>
      <w:r>
        <w:rPr>
          <w:color w:val="231F20"/>
        </w:rPr>
        <w:t>Art. 2:89. De vereffenaar kan van de aandeelhouders of vennoten betaling eisen van de bedragen tot de storting waarvan laatstgenoem- den zich verbonden hebben en die de vereffenaar nodig acht om de schulden van de vennootschap en de kosten van vereffening te voldoen.</w:t>
      </w:r>
    </w:p>
    <w:p>
      <w:pPr>
        <w:pStyle w:val="BodyText"/>
        <w:spacing w:line="218" w:lineRule="auto" w:before="86"/>
      </w:pPr>
      <w:r>
        <w:rPr>
          <w:color w:val="231F20"/>
        </w:rPr>
        <w:t>Tenzij anders bepaald in de statuten, het benoemingsbesluit of de rechterlijke uitspraak, is de vereffenaar tevens bevoegd om van de aandeelhouders of vennoten betaling te eisen van de bedragen tot de storting waarvan laatstgenoemden zich verbonden hebben en die de vereffenaar nodig acht om de gelijke behandeling van de aandeelhou- ders of vennoten te waarborgen.</w:t>
      </w:r>
    </w:p>
    <w:p>
      <w:pPr>
        <w:pStyle w:val="BodyText"/>
        <w:spacing w:line="218" w:lineRule="auto" w:before="86"/>
      </w:pPr>
      <w:r>
        <w:rPr>
          <w:color w:val="231F20"/>
        </w:rPr>
        <w:t>Art. 2:90. De leden van het bestuursorgaan van de ontbonden vennootschap geven gevolg aan alle oproepingen die zij ontvangen van de vereffenaar en verstrekken hem alle vereiste inlichtingen.</w:t>
      </w:r>
    </w:p>
    <w:p>
      <w:pPr>
        <w:pStyle w:val="BodyText"/>
        <w:spacing w:line="218" w:lineRule="auto" w:before="85"/>
      </w:pPr>
      <w:r>
        <w:rPr>
          <w:color w:val="231F20"/>
        </w:rPr>
        <w:t>De leden van het bestuursorgaan van de ontbonden vennootschap zijn verplicht de vereffenaar elke adreswijziging mede te delen.</w:t>
      </w:r>
    </w:p>
    <w:p>
      <w:pPr>
        <w:pStyle w:val="BodyText"/>
        <w:spacing w:line="218" w:lineRule="auto" w:before="86"/>
      </w:pPr>
      <w:r>
        <w:rPr>
          <w:color w:val="231F20"/>
        </w:rPr>
        <w:t>Art. 2:91. De vereffenaar ontbiedt de leden van het bestuursorgaan van de ontbonden vennootschap om in hun tegenwoordigheid de boeken en bescheiden vast te stellen en af te sluiten.</w:t>
      </w:r>
    </w:p>
    <w:p>
      <w:pPr>
        <w:pStyle w:val="BodyText"/>
        <w:spacing w:line="218" w:lineRule="auto" w:before="85"/>
        <w:ind w:right="125"/>
      </w:pPr>
      <w:r>
        <w:rPr>
          <w:color w:val="231F20"/>
        </w:rPr>
        <w:t>De vereffenaar gaat onmiddellijk over tot verificatie en verbetering van de laatst neergelegde balans. Hij maakt een balans op, overeen- komstig de regels en de beginselen van het boekhoudrecht, met behulp van de boeken en bescheiden van de ontbonden vennootschap en met behulp van de inlichtingen die hij kan inwinnen. Hij legt deze neer in het dossier bedoeld in artikel 2:8.</w:t>
      </w:r>
    </w:p>
    <w:p>
      <w:pPr>
        <w:pStyle w:val="BodyText"/>
        <w:spacing w:line="218" w:lineRule="auto" w:before="86"/>
      </w:pPr>
      <w:r>
        <w:rPr>
          <w:color w:val="231F20"/>
        </w:rPr>
        <w:t>Indien de activa toereikend zijn om de kosten ervan te dekken, kan de vereffenaar de hulp inroepen van een externe accountant, erkende boekhouder of erkende boekhouder-fiscalist met het oog op de opmaak van de</w:t>
      </w:r>
      <w:r>
        <w:rPr>
          <w:color w:val="231F20"/>
          <w:spacing w:val="-11"/>
        </w:rPr>
        <w:t> </w:t>
      </w:r>
      <w:r>
        <w:rPr>
          <w:color w:val="231F20"/>
        </w:rPr>
        <w:t>balans.</w:t>
      </w:r>
    </w:p>
    <w:p>
      <w:pPr>
        <w:pStyle w:val="BodyText"/>
        <w:spacing w:line="218" w:lineRule="auto" w:before="86"/>
      </w:pPr>
      <w:r>
        <w:rPr>
          <w:color w:val="231F20"/>
        </w:rPr>
        <w:t>De rechtbank kan op verzoek van de vereffenaar de leden van het bestuursorgaan van de ontbonden vennootschap hoofdelijk veroorde- len tot betaling van de kosten voor de verbetering en opmaak van de balans.</w:t>
      </w:r>
    </w:p>
    <w:p>
      <w:pPr>
        <w:pStyle w:val="BodyText"/>
        <w:spacing w:line="218" w:lineRule="auto" w:before="86"/>
      </w:pPr>
      <w:r>
        <w:rPr>
          <w:color w:val="231F20"/>
        </w:rPr>
        <w:t>Art. 2:92. De vereffenaar kan de leden van het bestuursorgaan, hun werknemers en wie dan ook horen, zowel aangaande het onderzoek  van de boeken en de boekhoudkundige bescheiden als aangaande de oorzaken en de omstandigheden die aanleiding hebben gegeven tot de ontbinding.</w:t>
      </w:r>
    </w:p>
    <w:p>
      <w:pPr>
        <w:pStyle w:val="BodyText"/>
        <w:spacing w:before="71"/>
        <w:ind w:left="283" w:right="0" w:firstLine="0"/>
        <w:jc w:val="left"/>
      </w:pPr>
      <w:r>
        <w:rPr>
          <w:color w:val="231F20"/>
        </w:rPr>
        <w:t>Onderafdeling 5. College van vereffenaars.</w:t>
      </w:r>
    </w:p>
    <w:p>
      <w:pPr>
        <w:pStyle w:val="BodyText"/>
        <w:spacing w:line="218" w:lineRule="auto" w:before="82"/>
      </w:pPr>
      <w:r>
        <w:rPr>
          <w:color w:val="231F20"/>
        </w:rPr>
        <w:t>Art. 2:93. § 1. Wanneer meer dan één persoon als vereffenaar is benoemd of aangewezen, kunnen de statuten of, in andere vennoot- schappen dan de besloten vennootschap, de coöperatieve vennoot- schap en de naamloze vennootschap, het benoemingsbesluit of de rechterlijke uitspraak, bepalen dat elke persoon individueel handelend bevoegd is om alle handelingen te stellen die nodig of dienstig zijn voor de vereffening. Zodanige bepaling kan aan derden worden tegenge- worpen mits neerlegging en bekendmaking overeenkomstig de artike- len 2:8 en 2:14, 1°.</w:t>
      </w:r>
    </w:p>
    <w:p>
      <w:pPr>
        <w:pStyle w:val="BodyText"/>
        <w:spacing w:line="218" w:lineRule="auto" w:before="86"/>
      </w:pPr>
      <w:r>
        <w:rPr>
          <w:color w:val="231F20"/>
          <w:w w:val="105"/>
        </w:rPr>
        <w:t>§</w:t>
      </w:r>
      <w:r>
        <w:rPr>
          <w:color w:val="231F20"/>
          <w:spacing w:val="-18"/>
          <w:w w:val="105"/>
        </w:rPr>
        <w:t> </w:t>
      </w:r>
      <w:r>
        <w:rPr>
          <w:color w:val="231F20"/>
          <w:w w:val="105"/>
        </w:rPr>
        <w:t>2.</w:t>
      </w:r>
      <w:r>
        <w:rPr>
          <w:color w:val="231F20"/>
          <w:spacing w:val="-18"/>
          <w:w w:val="105"/>
        </w:rPr>
        <w:t> </w:t>
      </w:r>
      <w:r>
        <w:rPr>
          <w:color w:val="231F20"/>
          <w:w w:val="105"/>
        </w:rPr>
        <w:t>Het</w:t>
      </w:r>
      <w:r>
        <w:rPr>
          <w:color w:val="231F20"/>
          <w:spacing w:val="-17"/>
          <w:w w:val="105"/>
        </w:rPr>
        <w:t> </w:t>
      </w:r>
      <w:r>
        <w:rPr>
          <w:color w:val="231F20"/>
          <w:w w:val="105"/>
        </w:rPr>
        <w:t>college</w:t>
      </w:r>
      <w:r>
        <w:rPr>
          <w:color w:val="231F20"/>
          <w:spacing w:val="-18"/>
          <w:w w:val="105"/>
        </w:rPr>
        <w:t> </w:t>
      </w:r>
      <w:r>
        <w:rPr>
          <w:color w:val="231F20"/>
          <w:w w:val="105"/>
        </w:rPr>
        <w:t>van</w:t>
      </w:r>
      <w:r>
        <w:rPr>
          <w:color w:val="231F20"/>
          <w:spacing w:val="-18"/>
          <w:w w:val="105"/>
        </w:rPr>
        <w:t> </w:t>
      </w:r>
      <w:r>
        <w:rPr>
          <w:color w:val="231F20"/>
          <w:w w:val="105"/>
        </w:rPr>
        <w:t>vereffenaars</w:t>
      </w:r>
      <w:r>
        <w:rPr>
          <w:color w:val="231F20"/>
          <w:spacing w:val="-18"/>
          <w:w w:val="105"/>
        </w:rPr>
        <w:t> </w:t>
      </w:r>
      <w:r>
        <w:rPr>
          <w:color w:val="231F20"/>
          <w:w w:val="105"/>
        </w:rPr>
        <w:t>vertegenwoordigt</w:t>
      </w:r>
      <w:r>
        <w:rPr>
          <w:color w:val="231F20"/>
          <w:spacing w:val="-17"/>
          <w:w w:val="105"/>
        </w:rPr>
        <w:t> </w:t>
      </w:r>
      <w:r>
        <w:rPr>
          <w:color w:val="231F20"/>
          <w:w w:val="105"/>
        </w:rPr>
        <w:t>de</w:t>
      </w:r>
      <w:r>
        <w:rPr>
          <w:color w:val="231F20"/>
          <w:spacing w:val="-18"/>
          <w:w w:val="105"/>
        </w:rPr>
        <w:t> </w:t>
      </w:r>
      <w:r>
        <w:rPr>
          <w:color w:val="231F20"/>
          <w:w w:val="105"/>
        </w:rPr>
        <w:t>vennootschap jegens derden, met inbegrip van de vertegenwoordiging in</w:t>
      </w:r>
      <w:r>
        <w:rPr>
          <w:color w:val="231F20"/>
          <w:spacing w:val="-5"/>
          <w:w w:val="105"/>
        </w:rPr>
        <w:t> </w:t>
      </w:r>
      <w:r>
        <w:rPr>
          <w:color w:val="231F20"/>
          <w:w w:val="105"/>
        </w:rPr>
        <w:t>rechte.</w:t>
      </w:r>
    </w:p>
    <w:p>
      <w:pPr>
        <w:pStyle w:val="BodyText"/>
        <w:spacing w:line="218" w:lineRule="auto" w:before="86"/>
      </w:pPr>
      <w:r>
        <w:rPr>
          <w:color w:val="231F20"/>
        </w:rPr>
        <w:t>Wanneer meer dan één persoon als vereffenaar is benoemd of aangewezen, kunnen de statuten of, in andere vennootschappen dan de besloten vennootschap, de coöperatieve vennootschap en de naamloze vennootschap, het benoemingsbesluit of de rechterlijke uitspraak, bepalen dat de vennootschap tevens rechtsgeldig wordt vertegenwoor- digd jegens derden, met inbegrip van de vertegenwoordiging in rechte, door één persoon individueel handelend dan wel door twee of meer personen gezamenlijk handelend. Zodanige vertegenwoordigingsclau- sule kan aan derden worden tegengeworpen mits neerlegging en bekendmaking overeenkomstig de artikelen 2:8 en 2:14, 1°.</w:t>
      </w:r>
    </w:p>
    <w:p>
      <w:pPr>
        <w:pStyle w:val="BodyText"/>
        <w:spacing w:line="218" w:lineRule="auto" w:before="86"/>
        <w:ind w:right="125"/>
      </w:pPr>
      <w:r>
        <w:rPr>
          <w:color w:val="231F20"/>
          <w:w w:val="105"/>
        </w:rPr>
        <w:t>In andere vennootschappen dan de besloten vennootschap, de coöperatieve</w:t>
      </w:r>
      <w:r>
        <w:rPr>
          <w:color w:val="231F20"/>
          <w:spacing w:val="-7"/>
          <w:w w:val="105"/>
        </w:rPr>
        <w:t> </w:t>
      </w:r>
      <w:r>
        <w:rPr>
          <w:color w:val="231F20"/>
          <w:w w:val="105"/>
        </w:rPr>
        <w:t>vennootschap</w:t>
      </w:r>
      <w:r>
        <w:rPr>
          <w:color w:val="231F20"/>
          <w:spacing w:val="-6"/>
          <w:w w:val="105"/>
        </w:rPr>
        <w:t> </w:t>
      </w:r>
      <w:r>
        <w:rPr>
          <w:color w:val="231F20"/>
          <w:w w:val="105"/>
        </w:rPr>
        <w:t>en</w:t>
      </w:r>
      <w:r>
        <w:rPr>
          <w:color w:val="231F20"/>
          <w:spacing w:val="-6"/>
          <w:w w:val="105"/>
        </w:rPr>
        <w:t> </w:t>
      </w:r>
      <w:r>
        <w:rPr>
          <w:color w:val="231F20"/>
          <w:w w:val="105"/>
        </w:rPr>
        <w:t>de</w:t>
      </w:r>
      <w:r>
        <w:rPr>
          <w:color w:val="231F20"/>
          <w:spacing w:val="-6"/>
          <w:w w:val="105"/>
        </w:rPr>
        <w:t> </w:t>
      </w:r>
      <w:r>
        <w:rPr>
          <w:color w:val="231F20"/>
          <w:w w:val="105"/>
        </w:rPr>
        <w:t>naamloze</w:t>
      </w:r>
      <w:r>
        <w:rPr>
          <w:color w:val="231F20"/>
          <w:spacing w:val="-6"/>
          <w:w w:val="105"/>
        </w:rPr>
        <w:t> </w:t>
      </w:r>
      <w:r>
        <w:rPr>
          <w:color w:val="231F20"/>
          <w:w w:val="105"/>
        </w:rPr>
        <w:t>vennootschap</w:t>
      </w:r>
      <w:r>
        <w:rPr>
          <w:color w:val="231F20"/>
          <w:spacing w:val="-6"/>
          <w:w w:val="105"/>
        </w:rPr>
        <w:t> </w:t>
      </w:r>
      <w:r>
        <w:rPr>
          <w:color w:val="231F20"/>
          <w:w w:val="105"/>
        </w:rPr>
        <w:t>kunnen</w:t>
      </w:r>
      <w:r>
        <w:rPr>
          <w:color w:val="231F20"/>
          <w:spacing w:val="-6"/>
          <w:w w:val="105"/>
        </w:rPr>
        <w:t> </w:t>
      </w:r>
      <w:r>
        <w:rPr>
          <w:color w:val="231F20"/>
          <w:w w:val="105"/>
        </w:rPr>
        <w:t>de</w:t>
      </w:r>
      <w:r>
        <w:rPr>
          <w:color w:val="231F20"/>
          <w:w w:val="103"/>
        </w:rPr>
        <w:t> </w:t>
      </w:r>
      <w:r>
        <w:rPr>
          <w:color w:val="231F20"/>
          <w:w w:val="105"/>
        </w:rPr>
        <w:t>statuten, het benoemingsbesluit of de rechterlijke uitspraak</w:t>
      </w:r>
      <w:r>
        <w:rPr>
          <w:color w:val="231F20"/>
          <w:spacing w:val="29"/>
          <w:w w:val="105"/>
        </w:rPr>
        <w:t> </w:t>
      </w:r>
      <w:r>
        <w:rPr>
          <w:color w:val="231F20"/>
          <w:w w:val="105"/>
        </w:rPr>
        <w:t>deze </w:t>
      </w:r>
      <w:r>
        <w:rPr>
          <w:color w:val="231F20"/>
        </w:rPr>
        <w:t>individuele of gezamenlijke vertegenwoordigingsbevoegdheid kwanti- </w:t>
      </w:r>
      <w:r>
        <w:rPr>
          <w:color w:val="231F20"/>
          <w:w w:val="105"/>
        </w:rPr>
        <w:t>tatief en kwalitatief beperken. Dergelijke beperkingen kunnen aan derden worden tegengeworpen, mits neerlegging en bekendmaking overeenkomstig de artikelen 2:8 en 2:14,</w:t>
      </w:r>
      <w:r>
        <w:rPr>
          <w:color w:val="231F20"/>
          <w:spacing w:val="7"/>
          <w:w w:val="105"/>
        </w:rPr>
        <w:t> </w:t>
      </w:r>
      <w:r>
        <w:rPr>
          <w:color w:val="231F20"/>
          <w:w w:val="105"/>
        </w:rPr>
        <w:t>1°.</w:t>
      </w:r>
    </w:p>
    <w:p>
      <w:pPr>
        <w:pStyle w:val="BodyText"/>
        <w:spacing w:line="218" w:lineRule="auto" w:before="86"/>
        <w:ind w:right="123"/>
      </w:pPr>
      <w:r>
        <w:rPr>
          <w:color w:val="231F20"/>
        </w:rPr>
        <w:t>In een besloten vennootschap, een coöperatieve vennootschap en een </w:t>
      </w:r>
      <w:r>
        <w:rPr>
          <w:color w:val="231F20"/>
          <w:w w:val="105"/>
        </w:rPr>
        <w:t>naamloze vennootschap kunnen dergelijke kwantitatieve en</w:t>
      </w:r>
      <w:r>
        <w:rPr>
          <w:color w:val="231F20"/>
          <w:spacing w:val="-9"/>
          <w:w w:val="105"/>
        </w:rPr>
        <w:t> </w:t>
      </w:r>
      <w:r>
        <w:rPr>
          <w:color w:val="231F20"/>
          <w:w w:val="105"/>
        </w:rPr>
        <w:t>kwalita- tieve beperkingen van de vertegenwoordigingsbevoegdheid in de statuten, het benoemingsbesluit of de rechterlijke uitspraak niet aan derden worden tegengeworpen, ook al zijn ze neergelegd en bekend- gemaakt overeenkomstig de artikelen 2:8 en 2:14, 1°. Hetzelfde</w:t>
      </w:r>
      <w:r>
        <w:rPr>
          <w:color w:val="231F20"/>
          <w:spacing w:val="-18"/>
          <w:w w:val="105"/>
        </w:rPr>
        <w:t> </w:t>
      </w:r>
      <w:r>
        <w:rPr>
          <w:color w:val="231F20"/>
          <w:w w:val="105"/>
        </w:rPr>
        <w:t>geldt voor een onderlinge taakverdeling onder de</w:t>
      </w:r>
      <w:r>
        <w:rPr>
          <w:color w:val="231F20"/>
          <w:spacing w:val="35"/>
          <w:w w:val="105"/>
        </w:rPr>
        <w:t> </w:t>
      </w:r>
      <w:r>
        <w:rPr>
          <w:color w:val="231F20"/>
          <w:w w:val="105"/>
        </w:rPr>
        <w:t>vereffenaars.</w:t>
      </w:r>
    </w:p>
    <w:p>
      <w:pPr>
        <w:pStyle w:val="BodyText"/>
        <w:spacing w:line="218" w:lineRule="auto" w:before="96"/>
      </w:pPr>
      <w:r>
        <w:rPr>
          <w:color w:val="231F20"/>
        </w:rPr>
        <w:t>§ 3. Indien de benoeming van de vereffenaars moet worden bevestigd dan wel gehomologeerd overeenkomstig artikel 2:84 kan de akte houdende benoeming van een vereffenaar of, in voorkomend geval, diens vaste vertegenwoordiger of de wijziging daarvan, slechts worden neergelegd en bekendgemaakt overeenkomstig de artikelen 2:8 en 2:14,</w:t>
      </w:r>
    </w:p>
    <w:p>
      <w:pPr>
        <w:spacing w:after="0" w:line="218" w:lineRule="auto"/>
        <w:sectPr>
          <w:pgSz w:w="11940" w:h="16880"/>
          <w:pgMar w:header="666" w:footer="0" w:top="1140" w:bottom="280" w:left="340" w:right="360"/>
          <w:cols w:num="2" w:equalWidth="0">
            <w:col w:w="5585" w:space="43"/>
            <w:col w:w="5612"/>
          </w:cols>
        </w:sectPr>
      </w:pPr>
    </w:p>
    <w:p>
      <w:pPr>
        <w:pStyle w:val="BodyText"/>
        <w:spacing w:line="218" w:lineRule="auto" w:before="119"/>
        <w:ind w:right="38" w:hanging="1"/>
      </w:pPr>
      <w:r>
        <w:rPr/>
        <w:pict>
          <v:line style="position:absolute;mso-position-horizontal-relative:page;mso-position-vertical-relative:page;z-index:1864" from="298.170502pt,64.473pt" to="298.170502pt,812.819pt" stroked="true" strokeweight=".533pt" strokecolor="#231f20">
            <v:stroke dashstyle="solid"/>
            <w10:wrap type="none"/>
          </v:line>
        </w:pict>
      </w:r>
      <w:bookmarkStart w:name="_bookmark35" w:id="38"/>
      <w:bookmarkEnd w:id="38"/>
      <w:r>
        <w:rPr/>
      </w:r>
      <w:r>
        <w:rPr>
          <w:color w:val="231F20"/>
        </w:rPr>
        <w:t>du tribunal y est jointe. À la demande de la société, le </w:t>
      </w:r>
      <w:r>
        <w:rPr>
          <w:color w:val="231F20"/>
          <w:spacing w:val="-4"/>
        </w:rPr>
        <w:t>greffier </w:t>
      </w:r>
      <w:r>
        <w:rPr>
          <w:color w:val="231F20"/>
        </w:rPr>
        <w:t>délivre une attestation dans laquelle il déclare que le président n’a pas statué dans</w:t>
      </w:r>
      <w:r>
        <w:rPr>
          <w:color w:val="231F20"/>
          <w:spacing w:val="14"/>
        </w:rPr>
        <w:t> </w:t>
      </w:r>
      <w:r>
        <w:rPr>
          <w:color w:val="231F20"/>
        </w:rPr>
        <w:t>le</w:t>
      </w:r>
      <w:r>
        <w:rPr>
          <w:color w:val="231F20"/>
          <w:spacing w:val="14"/>
        </w:rPr>
        <w:t> </w:t>
      </w:r>
      <w:r>
        <w:rPr>
          <w:color w:val="231F20"/>
        </w:rPr>
        <w:t>délai</w:t>
      </w:r>
      <w:r>
        <w:rPr>
          <w:color w:val="231F20"/>
          <w:spacing w:val="15"/>
        </w:rPr>
        <w:t> </w:t>
      </w:r>
      <w:r>
        <w:rPr>
          <w:color w:val="231F20"/>
        </w:rPr>
        <w:t>prévu</w:t>
      </w:r>
      <w:r>
        <w:rPr>
          <w:color w:val="231F20"/>
          <w:spacing w:val="14"/>
        </w:rPr>
        <w:t> </w:t>
      </w:r>
      <w:r>
        <w:rPr>
          <w:color w:val="231F20"/>
        </w:rPr>
        <w:t>à</w:t>
      </w:r>
      <w:r>
        <w:rPr>
          <w:color w:val="231F20"/>
          <w:spacing w:val="15"/>
        </w:rPr>
        <w:t> </w:t>
      </w:r>
      <w:r>
        <w:rPr>
          <w:color w:val="231F20"/>
        </w:rPr>
        <w:t>l’article</w:t>
      </w:r>
      <w:r>
        <w:rPr>
          <w:color w:val="231F20"/>
          <w:spacing w:val="14"/>
        </w:rPr>
        <w:t> </w:t>
      </w:r>
      <w:r>
        <w:rPr>
          <w:color w:val="231F20"/>
        </w:rPr>
        <w:t>2:84,</w:t>
      </w:r>
      <w:r>
        <w:rPr>
          <w:color w:val="231F20"/>
          <w:spacing w:val="15"/>
        </w:rPr>
        <w:t> </w:t>
      </w:r>
      <w:r>
        <w:rPr>
          <w:color w:val="231F20"/>
        </w:rPr>
        <w:t>alinéa</w:t>
      </w:r>
      <w:r>
        <w:rPr>
          <w:color w:val="231F20"/>
          <w:spacing w:val="14"/>
        </w:rPr>
        <w:t> </w:t>
      </w:r>
      <w:r>
        <w:rPr>
          <w:color w:val="231F20"/>
        </w:rPr>
        <w:t>7.</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Pour</w:t>
      </w:r>
      <w:r>
        <w:rPr>
          <w:color w:val="231F20"/>
          <w:spacing w:val="-4"/>
        </w:rPr>
        <w:t> </w:t>
      </w:r>
      <w:r>
        <w:rPr>
          <w:color w:val="231F20"/>
        </w:rPr>
        <w:t>ces</w:t>
      </w:r>
      <w:r>
        <w:rPr>
          <w:color w:val="231F20"/>
          <w:spacing w:val="-4"/>
        </w:rPr>
        <w:t> </w:t>
      </w:r>
      <w:r>
        <w:rPr>
          <w:color w:val="231F20"/>
        </w:rPr>
        <w:t>actes,</w:t>
      </w:r>
      <w:r>
        <w:rPr>
          <w:color w:val="231F20"/>
          <w:spacing w:val="-3"/>
        </w:rPr>
        <w:t> </w:t>
      </w:r>
      <w:r>
        <w:rPr>
          <w:color w:val="231F20"/>
        </w:rPr>
        <w:t>le</w:t>
      </w:r>
      <w:r>
        <w:rPr>
          <w:color w:val="231F20"/>
          <w:spacing w:val="-4"/>
        </w:rPr>
        <w:t> </w:t>
      </w:r>
      <w:r>
        <w:rPr>
          <w:color w:val="231F20"/>
        </w:rPr>
        <w:t>délai</w:t>
      </w:r>
      <w:r>
        <w:rPr>
          <w:color w:val="231F20"/>
          <w:spacing w:val="-3"/>
        </w:rPr>
        <w:t> </w:t>
      </w:r>
      <w:r>
        <w:rPr>
          <w:color w:val="231F20"/>
        </w:rPr>
        <w:t>de</w:t>
      </w:r>
      <w:r>
        <w:rPr>
          <w:color w:val="231F20"/>
          <w:spacing w:val="-4"/>
        </w:rPr>
        <w:t> </w:t>
      </w:r>
      <w:r>
        <w:rPr>
          <w:color w:val="231F20"/>
        </w:rPr>
        <w:t>trente</w:t>
      </w:r>
      <w:r>
        <w:rPr>
          <w:color w:val="231F20"/>
          <w:spacing w:val="-3"/>
        </w:rPr>
        <w:t> </w:t>
      </w:r>
      <w:r>
        <w:rPr>
          <w:color w:val="231F20"/>
        </w:rPr>
        <w:t>jours</w:t>
      </w:r>
      <w:r>
        <w:rPr>
          <w:color w:val="231F20"/>
          <w:spacing w:val="-4"/>
        </w:rPr>
        <w:t> </w:t>
      </w:r>
      <w:r>
        <w:rPr>
          <w:color w:val="231F20"/>
        </w:rPr>
        <w:t>visé</w:t>
      </w:r>
      <w:r>
        <w:rPr>
          <w:color w:val="231F20"/>
          <w:spacing w:val="-3"/>
        </w:rPr>
        <w:t> </w:t>
      </w:r>
      <w:r>
        <w:rPr>
          <w:color w:val="231F20"/>
        </w:rPr>
        <w:t>à</w:t>
      </w:r>
      <w:r>
        <w:rPr>
          <w:color w:val="231F20"/>
          <w:spacing w:val="-4"/>
        </w:rPr>
        <w:t> </w:t>
      </w:r>
      <w:r>
        <w:rPr>
          <w:color w:val="231F20"/>
        </w:rPr>
        <w:t>l’article</w:t>
      </w:r>
      <w:r>
        <w:rPr>
          <w:color w:val="231F20"/>
          <w:spacing w:val="-3"/>
        </w:rPr>
        <w:t> </w:t>
      </w:r>
      <w:r>
        <w:rPr>
          <w:color w:val="231F20"/>
        </w:rPr>
        <w:t>2:8</w:t>
      </w:r>
      <w:r>
        <w:rPr>
          <w:color w:val="231F20"/>
          <w:spacing w:val="-4"/>
        </w:rPr>
        <w:t> </w:t>
      </w:r>
      <w:r>
        <w:rPr>
          <w:color w:val="231F20"/>
        </w:rPr>
        <w:t>ne</w:t>
      </w:r>
      <w:r>
        <w:rPr>
          <w:color w:val="231F20"/>
          <w:spacing w:val="-3"/>
        </w:rPr>
        <w:t> </w:t>
      </w:r>
      <w:r>
        <w:rPr>
          <w:color w:val="231F20"/>
        </w:rPr>
        <w:t>commence à courir qu’à compter de la décision du président du tribunal ou de l’expiration du délai de cinq jours ouvrables visé à  l’article  2:84,  alinéa</w:t>
      </w:r>
      <w:r>
        <w:rPr>
          <w:color w:val="231F20"/>
          <w:spacing w:val="14"/>
        </w:rPr>
        <w:t> </w:t>
      </w:r>
      <w:r>
        <w:rPr>
          <w:color w:val="231F20"/>
        </w:rPr>
        <w:t>7.</w:t>
      </w:r>
    </w:p>
    <w:p>
      <w:pPr>
        <w:pStyle w:val="BodyText"/>
        <w:spacing w:before="72"/>
        <w:ind w:left="283" w:right="0" w:firstLine="0"/>
        <w:jc w:val="left"/>
      </w:pPr>
      <w:r>
        <w:rPr>
          <w:color w:val="231F20"/>
        </w:rPr>
        <w:t>Sous-section 6. Opérations de la liquidation.</w:t>
      </w:r>
    </w:p>
    <w:p>
      <w:pPr>
        <w:pStyle w:val="BodyText"/>
        <w:spacing w:line="213" w:lineRule="auto" w:before="85"/>
        <w:ind w:right="38"/>
      </w:pPr>
      <w:r>
        <w:rPr>
          <w:color w:val="231F20"/>
        </w:rPr>
        <w:t>Art. 2:94. Si les comptes annuels concernant le dernier exercice et l’exercice qui s’achève par la dissolution n’ont pas encore été soumis à l’approbation des associés réunis en assemblée ou de l’assemblée générale, le liquidateur convoque celle-ci dans les délais visés  à  l’article</w:t>
      </w:r>
      <w:r>
        <w:rPr>
          <w:color w:val="231F20"/>
          <w:spacing w:val="15"/>
        </w:rPr>
        <w:t> </w:t>
      </w:r>
      <w:r>
        <w:rPr>
          <w:color w:val="231F20"/>
        </w:rPr>
        <w:t>3:1,</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rPr>
        <w:t>alinéa</w:t>
      </w:r>
      <w:r>
        <w:rPr>
          <w:color w:val="231F20"/>
          <w:spacing w:val="15"/>
        </w:rPr>
        <w:t> </w:t>
      </w:r>
      <w:r>
        <w:rPr>
          <w:color w:val="231F20"/>
        </w:rPr>
        <w:t>2.</w:t>
      </w:r>
    </w:p>
    <w:p>
      <w:pPr>
        <w:pStyle w:val="BodyText"/>
        <w:spacing w:line="218" w:lineRule="auto" w:before="87"/>
        <w:ind w:right="38"/>
      </w:pPr>
      <w:r>
        <w:rPr>
          <w:color w:val="231F20"/>
        </w:rPr>
        <w:t>Art. 2:95. Le liquidateur doit convoquer l’assemblée générale dans les trois</w:t>
      </w:r>
      <w:r>
        <w:rPr>
          <w:color w:val="231F20"/>
          <w:spacing w:val="-4"/>
        </w:rPr>
        <w:t> </w:t>
      </w:r>
      <w:r>
        <w:rPr>
          <w:color w:val="231F20"/>
        </w:rPr>
        <w:t>semaines</w:t>
      </w:r>
      <w:r>
        <w:rPr>
          <w:color w:val="231F20"/>
          <w:spacing w:val="-4"/>
        </w:rPr>
        <w:t> </w:t>
      </w:r>
      <w:r>
        <w:rPr>
          <w:color w:val="231F20"/>
        </w:rPr>
        <w:t>sur</w:t>
      </w:r>
      <w:r>
        <w:rPr>
          <w:color w:val="231F20"/>
          <w:spacing w:val="-4"/>
        </w:rPr>
        <w:t> </w:t>
      </w:r>
      <w:r>
        <w:rPr>
          <w:color w:val="231F20"/>
        </w:rPr>
        <w:t>la</w:t>
      </w:r>
      <w:r>
        <w:rPr>
          <w:color w:val="231F20"/>
          <w:spacing w:val="-4"/>
        </w:rPr>
        <w:t> </w:t>
      </w:r>
      <w:r>
        <w:rPr>
          <w:color w:val="231F20"/>
        </w:rPr>
        <w:t>demande</w:t>
      </w:r>
      <w:r>
        <w:rPr>
          <w:color w:val="231F20"/>
          <w:spacing w:val="-4"/>
        </w:rPr>
        <w:t> </w:t>
      </w:r>
      <w:r>
        <w:rPr>
          <w:color w:val="231F20"/>
        </w:rPr>
        <w:t>d’actionnaires</w:t>
      </w:r>
      <w:r>
        <w:rPr>
          <w:color w:val="231F20"/>
          <w:spacing w:val="-4"/>
        </w:rPr>
        <w:t> </w:t>
      </w:r>
      <w:r>
        <w:rPr>
          <w:color w:val="231F20"/>
        </w:rPr>
        <w:t>ou</w:t>
      </w:r>
      <w:r>
        <w:rPr>
          <w:color w:val="231F20"/>
          <w:spacing w:val="-4"/>
        </w:rPr>
        <w:t> </w:t>
      </w:r>
      <w:r>
        <w:rPr>
          <w:color w:val="231F20"/>
        </w:rPr>
        <w:t>d’associés</w:t>
      </w:r>
      <w:r>
        <w:rPr>
          <w:color w:val="231F20"/>
          <w:spacing w:val="-4"/>
        </w:rPr>
        <w:t> </w:t>
      </w:r>
      <w:r>
        <w:rPr>
          <w:color w:val="231F20"/>
        </w:rPr>
        <w:t>représentant le dixième du capital ou, s’il s’agit d’une société à responsabilité limitée ou d’une société coopérative, le dixième des actions émises, et ils doivent convoquer dans le même délai l’assemblée générale des obligataires sur la demande d’obligataires représentant le cinquième du montant des obligations en</w:t>
      </w:r>
      <w:r>
        <w:rPr>
          <w:color w:val="231F20"/>
          <w:spacing w:val="18"/>
        </w:rPr>
        <w:t> </w:t>
      </w:r>
      <w:r>
        <w:rPr>
          <w:color w:val="231F20"/>
        </w:rPr>
        <w:t>circulation.</w:t>
      </w:r>
    </w:p>
    <w:p>
      <w:pPr>
        <w:pStyle w:val="BodyText"/>
        <w:ind w:left="0" w:right="0" w:firstLine="0"/>
        <w:jc w:val="left"/>
        <w:rPr>
          <w:sz w:val="23"/>
        </w:rPr>
      </w:pPr>
    </w:p>
    <w:p>
      <w:pPr>
        <w:pStyle w:val="BodyText"/>
        <w:spacing w:line="218" w:lineRule="auto"/>
        <w:ind w:right="38"/>
      </w:pPr>
      <w:r>
        <w:rPr>
          <w:color w:val="231F20"/>
        </w:rPr>
        <w:t>Art. 2:96. Au cours des septième et treizième mois de la mise en liquidation, le liquidateur transmet au greffe du tribunal de l’entreprise où le siège de la société est établi un état détaillé de la situation de la liquidation, établi à la fin des sixième et douzième mois de la première année de la liquidation.</w:t>
      </w:r>
    </w:p>
    <w:p>
      <w:pPr>
        <w:pStyle w:val="BodyText"/>
        <w:ind w:left="0" w:right="0" w:firstLine="0"/>
        <w:jc w:val="left"/>
        <w:rPr>
          <w:sz w:val="23"/>
        </w:rPr>
      </w:pPr>
    </w:p>
    <w:p>
      <w:pPr>
        <w:pStyle w:val="BodyText"/>
        <w:spacing w:line="218" w:lineRule="auto"/>
        <w:ind w:right="38"/>
      </w:pPr>
      <w:r>
        <w:rPr>
          <w:color w:val="231F20"/>
        </w:rPr>
        <w:t>Cet état détaillé, qui comporte notamment l’indication des recettes, des dépenses, des répartitions, ainsi que de ce qu’il reste à liquider, est versé au dossier de la société visé à l’article 2:7.</w:t>
      </w:r>
    </w:p>
    <w:p>
      <w:pPr>
        <w:pStyle w:val="BodyText"/>
        <w:ind w:left="0" w:right="0" w:firstLine="0"/>
        <w:jc w:val="left"/>
        <w:rPr>
          <w:sz w:val="23"/>
        </w:rPr>
      </w:pPr>
    </w:p>
    <w:p>
      <w:pPr>
        <w:pStyle w:val="BodyText"/>
        <w:spacing w:line="218" w:lineRule="auto"/>
        <w:ind w:right="38"/>
      </w:pPr>
      <w:r>
        <w:rPr>
          <w:color w:val="231F20"/>
        </w:rPr>
        <w:t>À partir de la deuxième année de la liquidation, cet état détaillé n’est transmis au greffe et versé au dossier de société que tous les ans.</w:t>
      </w:r>
    </w:p>
    <w:p>
      <w:pPr>
        <w:pStyle w:val="BodyText"/>
        <w:spacing w:before="8"/>
        <w:ind w:left="0" w:right="0" w:firstLine="0"/>
        <w:jc w:val="left"/>
        <w:rPr>
          <w:sz w:val="21"/>
        </w:rPr>
      </w:pPr>
    </w:p>
    <w:p>
      <w:pPr>
        <w:pStyle w:val="BodyText"/>
        <w:spacing w:line="218" w:lineRule="auto"/>
        <w:ind w:right="38"/>
      </w:pPr>
      <w:r>
        <w:rPr>
          <w:color w:val="231F20"/>
        </w:rPr>
        <w:t>Art. 2:97. § 1</w:t>
      </w:r>
      <w:r>
        <w:rPr>
          <w:color w:val="231F20"/>
          <w:position w:val="7"/>
          <w:sz w:val="11"/>
        </w:rPr>
        <w:t>er</w:t>
      </w:r>
      <w:r>
        <w:rPr>
          <w:color w:val="231F20"/>
        </w:rPr>
        <w:t>. Sans préjudice des droits des créanciers privilégiés, le liquidateur, paie toutes les dettes, proportionnellement et sans distinc- tion entre les dettes exigibles et les dettes non exigibles, sous déduction de l’escompte pour celles-ci.</w:t>
      </w:r>
    </w:p>
    <w:p>
      <w:pPr>
        <w:pStyle w:val="BodyText"/>
        <w:spacing w:line="218" w:lineRule="auto" w:before="86"/>
        <w:ind w:right="38"/>
      </w:pPr>
      <w:r>
        <w:rPr>
          <w:color w:val="231F20"/>
        </w:rPr>
        <w:t>Il peut cependant, sous leur garantie personnelle, payer d’abord les créances exigibles, si l’actif dépasse notablement le passif ou si les créances à terme ont une garantie suffisante et sauf le droit des créanciers de recourir aux tribunaux.</w:t>
      </w:r>
    </w:p>
    <w:p>
      <w:pPr>
        <w:pStyle w:val="BodyText"/>
        <w:spacing w:line="218" w:lineRule="auto" w:before="70"/>
        <w:ind w:right="38"/>
      </w:pPr>
      <w:r>
        <w:rPr>
          <w:color w:val="231F20"/>
        </w:rPr>
        <w:t>§ 2. S’il résulte des comptes visés à l’article 2:100, § 1</w:t>
      </w:r>
      <w:r>
        <w:rPr>
          <w:color w:val="231F20"/>
          <w:position w:val="7"/>
          <w:sz w:val="11"/>
        </w:rPr>
        <w:t>er</w:t>
      </w:r>
      <w:r>
        <w:rPr>
          <w:color w:val="231F20"/>
        </w:rPr>
        <w:t>, que tous les créanciers ne pourront être remboursés intégralement, le liquidateur soumet, avant la clôture de la liquidation, par requête unilatérale conformément aux articles 1025 et suivants du Code judiciaire, le plan de répartition de l’actif entre les différentes catégories de créanciers pour accord au tribunal compétent. La requête précitée peut être signée par le liquidateur, par un avocat ou par un notaire.</w:t>
      </w:r>
    </w:p>
    <w:p>
      <w:pPr>
        <w:pStyle w:val="BodyText"/>
        <w:spacing w:before="8"/>
        <w:ind w:left="0" w:right="0" w:firstLine="0"/>
        <w:jc w:val="left"/>
        <w:rPr>
          <w:sz w:val="21"/>
        </w:rPr>
      </w:pPr>
    </w:p>
    <w:p>
      <w:pPr>
        <w:pStyle w:val="BodyText"/>
        <w:spacing w:line="218" w:lineRule="auto"/>
        <w:ind w:right="38"/>
      </w:pPr>
      <w:r>
        <w:rPr>
          <w:color w:val="231F20"/>
        </w:rPr>
        <w:t>L’obligation visée à l’alinéa 1</w:t>
      </w:r>
      <w:r>
        <w:rPr>
          <w:color w:val="231F20"/>
          <w:position w:val="7"/>
          <w:sz w:val="11"/>
        </w:rPr>
        <w:t>er </w:t>
      </w:r>
      <w:r>
        <w:rPr>
          <w:color w:val="231F20"/>
        </w:rPr>
        <w:t>de soumettre le plan de répartition pour approbation au tribunal ne s’applique pas lorsque les créanciers qui n’ont pas été intégralement remboursés, sont des actionnaires ou des associés de la société et que tous ces actionnaires ou associés approuvent le plan de répartition par écrit et renoncent à soumettre celui-ci.</w:t>
      </w:r>
    </w:p>
    <w:p>
      <w:pPr>
        <w:pStyle w:val="BodyText"/>
        <w:ind w:left="0" w:right="0" w:firstLine="0"/>
        <w:jc w:val="left"/>
        <w:rPr>
          <w:sz w:val="23"/>
        </w:rPr>
      </w:pPr>
    </w:p>
    <w:p>
      <w:pPr>
        <w:pStyle w:val="BodyText"/>
        <w:spacing w:line="218" w:lineRule="auto" w:before="1"/>
        <w:ind w:right="38"/>
      </w:pPr>
      <w:r>
        <w:rPr>
          <w:color w:val="231F20"/>
        </w:rPr>
        <w:t>Le tribunal peut requérir du liquidateur tous renseignements utiles pour vérifier la validité du plan de répartition.</w:t>
      </w:r>
    </w:p>
    <w:p>
      <w:pPr>
        <w:pStyle w:val="BodyText"/>
        <w:spacing w:line="218" w:lineRule="auto" w:before="85"/>
        <w:ind w:right="38"/>
      </w:pPr>
      <w:r>
        <w:rPr>
          <w:color w:val="231F20"/>
        </w:rPr>
        <w:t>§ 3. Après le paiement ou la consignation des sommes nécessaires au paiement des dettes d’une société, le liquidateur distribue aux action- naires et aux associés les sommes ou valeurs qui peuvent former des répartitions égales; il leur remet les biens qu’il a dû conserver pour un partage ultérieur.</w:t>
      </w:r>
    </w:p>
    <w:p>
      <w:pPr>
        <w:pStyle w:val="BodyText"/>
        <w:spacing w:line="218" w:lineRule="auto" w:before="86"/>
        <w:ind w:right="38"/>
      </w:pPr>
      <w:r>
        <w:rPr>
          <w:color w:val="231F20"/>
        </w:rPr>
        <w:t>Il peut, moyennant l’autorisation visée à l’article 2:88, racheter les actions de la société, soit en bourse, soit au terme d’une offre ou une demande de prix adressée aux actionnaires ou aux associés qui doivent tous être admis à participer à l’opération.</w:t>
      </w:r>
    </w:p>
    <w:p>
      <w:pPr>
        <w:pStyle w:val="BodyText"/>
        <w:spacing w:line="218" w:lineRule="auto" w:before="81"/>
        <w:ind w:right="38"/>
      </w:pPr>
      <w:r>
        <w:rPr>
          <w:color w:val="231F20"/>
        </w:rPr>
        <w:t>Art. 2:98. § 1</w:t>
      </w:r>
      <w:r>
        <w:rPr>
          <w:color w:val="231F20"/>
          <w:position w:val="7"/>
          <w:sz w:val="11"/>
        </w:rPr>
        <w:t>er</w:t>
      </w:r>
      <w:r>
        <w:rPr>
          <w:color w:val="231F20"/>
        </w:rPr>
        <w:t>. Lorsqu’il y a plusieurs liquidateurs dans une société   à responsabilité limitée, une société coopérative, une société anonyme, une société européenne ou une société coopérative européenne, qui peuvent agir séparément, et qu’ils sont appelés à prendre une décision ou se prononcer sur une opération relevant de leurs pouvoirs à propos de laquelle un liquidateur a un intérêt direct ou indirect de nature patrimoniale qui est opposé à l’intérêt de la société, ce liquidateur doit en</w:t>
      </w:r>
      <w:r>
        <w:rPr>
          <w:color w:val="231F20"/>
          <w:spacing w:val="25"/>
        </w:rPr>
        <w:t> </w:t>
      </w:r>
      <w:r>
        <w:rPr>
          <w:color w:val="231F20"/>
        </w:rPr>
        <w:t>informer</w:t>
      </w:r>
      <w:r>
        <w:rPr>
          <w:color w:val="231F20"/>
          <w:spacing w:val="25"/>
        </w:rPr>
        <w:t> </w:t>
      </w:r>
      <w:r>
        <w:rPr>
          <w:color w:val="231F20"/>
        </w:rPr>
        <w:t>les</w:t>
      </w:r>
      <w:r>
        <w:rPr>
          <w:color w:val="231F20"/>
          <w:spacing w:val="25"/>
        </w:rPr>
        <w:t> </w:t>
      </w:r>
      <w:r>
        <w:rPr>
          <w:color w:val="231F20"/>
        </w:rPr>
        <w:t>autres</w:t>
      </w:r>
      <w:r>
        <w:rPr>
          <w:color w:val="231F20"/>
          <w:spacing w:val="25"/>
        </w:rPr>
        <w:t> </w:t>
      </w:r>
      <w:r>
        <w:rPr>
          <w:color w:val="231F20"/>
        </w:rPr>
        <w:t>liquidateurs.</w:t>
      </w:r>
      <w:r>
        <w:rPr>
          <w:color w:val="231F20"/>
          <w:spacing w:val="25"/>
        </w:rPr>
        <w:t> </w:t>
      </w:r>
      <w:r>
        <w:rPr>
          <w:color w:val="231F20"/>
        </w:rPr>
        <w:t>Sa</w:t>
      </w:r>
      <w:r>
        <w:rPr>
          <w:color w:val="231F20"/>
          <w:spacing w:val="26"/>
        </w:rPr>
        <w:t> </w:t>
      </w:r>
      <w:r>
        <w:rPr>
          <w:color w:val="231F20"/>
        </w:rPr>
        <w:t>déclaration</w:t>
      </w:r>
      <w:r>
        <w:rPr>
          <w:color w:val="231F20"/>
          <w:spacing w:val="25"/>
        </w:rPr>
        <w:t> </w:t>
      </w:r>
      <w:r>
        <w:rPr>
          <w:color w:val="231F20"/>
        </w:rPr>
        <w:t>et</w:t>
      </w:r>
      <w:r>
        <w:rPr>
          <w:color w:val="231F20"/>
          <w:spacing w:val="25"/>
        </w:rPr>
        <w:t> </w:t>
      </w:r>
      <w:r>
        <w:rPr>
          <w:color w:val="231F20"/>
        </w:rPr>
        <w:t>ses</w:t>
      </w:r>
      <w:r>
        <w:rPr>
          <w:color w:val="231F20"/>
          <w:spacing w:val="25"/>
        </w:rPr>
        <w:t> </w:t>
      </w:r>
      <w:r>
        <w:rPr>
          <w:color w:val="231F20"/>
        </w:rPr>
        <w:t>explications</w:t>
      </w:r>
    </w:p>
    <w:p>
      <w:pPr>
        <w:pStyle w:val="BodyText"/>
        <w:spacing w:line="218" w:lineRule="auto" w:before="119"/>
        <w:ind w:firstLine="0"/>
      </w:pPr>
      <w:r>
        <w:rPr/>
        <w:br w:type="column"/>
      </w:r>
      <w:r>
        <w:rPr>
          <w:color w:val="231F20"/>
        </w:rPr>
        <w:t>1°, wanneer er een kopie wordt bijgevoegd van de uitspraak van de voorzitter van de rechtbank. Op verzoek van de vennootschap reikt de griffier een attest uit waarin hij verklaart dat de voorzitter geen uitspraak heeft gedaan binnen de in artikel 2:84, zevende lid, voorziene termijn.</w:t>
      </w:r>
    </w:p>
    <w:p>
      <w:pPr>
        <w:pStyle w:val="BodyText"/>
        <w:spacing w:line="218" w:lineRule="auto" w:before="86"/>
      </w:pPr>
      <w:r>
        <w:rPr>
          <w:color w:val="231F20"/>
        </w:rPr>
        <w:t>Voor deze akten begint de termijn van dertig dagen zoals bedoeld in artikel 2:8 pas te lopen vanaf de uitspraak van de voorzitter van de rechtbank of vanaf het verstrijken van de termijn van vijf werkdagen zoals bedoeld in artikel 2:84, zevende lid.</w:t>
      </w:r>
    </w:p>
    <w:p>
      <w:pPr>
        <w:pStyle w:val="BodyText"/>
        <w:spacing w:before="72"/>
        <w:ind w:left="283" w:right="0" w:firstLine="0"/>
        <w:jc w:val="left"/>
      </w:pPr>
      <w:r>
        <w:rPr>
          <w:color w:val="231F20"/>
        </w:rPr>
        <w:t>Onderafdeling 6. Verrichtingen van de vereffening.</w:t>
      </w:r>
    </w:p>
    <w:p>
      <w:pPr>
        <w:pStyle w:val="BodyText"/>
        <w:spacing w:line="218" w:lineRule="auto" w:before="82"/>
      </w:pPr>
      <w:r>
        <w:rPr>
          <w:color w:val="231F20"/>
        </w:rPr>
        <w:t>Art. 2:94. Indien de jaarrekening met betrekking tot het laatste boekjaar en het boekjaar dat eindigt door de ontbinding nog niet ter goedkeuring werd voorgelegd aan de vennoten verenigd in vergade- ring of de algemene vergadering roept de vereffenaar haar bijeen binnen</w:t>
      </w:r>
      <w:r>
        <w:rPr>
          <w:color w:val="231F20"/>
          <w:spacing w:val="15"/>
        </w:rPr>
        <w:t> </w:t>
      </w:r>
      <w:r>
        <w:rPr>
          <w:color w:val="231F20"/>
        </w:rPr>
        <w:t>de</w:t>
      </w:r>
      <w:r>
        <w:rPr>
          <w:color w:val="231F20"/>
          <w:spacing w:val="16"/>
        </w:rPr>
        <w:t> </w:t>
      </w:r>
      <w:r>
        <w:rPr>
          <w:color w:val="231F20"/>
        </w:rPr>
        <w:t>in</w:t>
      </w:r>
      <w:r>
        <w:rPr>
          <w:color w:val="231F20"/>
          <w:spacing w:val="16"/>
        </w:rPr>
        <w:t> </w:t>
      </w:r>
      <w:r>
        <w:rPr>
          <w:color w:val="231F20"/>
        </w:rPr>
        <w:t>artikel</w:t>
      </w:r>
      <w:r>
        <w:rPr>
          <w:color w:val="231F20"/>
          <w:spacing w:val="15"/>
        </w:rPr>
        <w:t> </w:t>
      </w:r>
      <w:r>
        <w:rPr>
          <w:color w:val="231F20"/>
        </w:rPr>
        <w:t>3:1,</w:t>
      </w:r>
      <w:r>
        <w:rPr>
          <w:color w:val="231F20"/>
          <w:spacing w:val="16"/>
        </w:rPr>
        <w:t> </w:t>
      </w:r>
      <w:r>
        <w:rPr>
          <w:color w:val="231F20"/>
        </w:rPr>
        <w:t>§</w:t>
      </w:r>
      <w:r>
        <w:rPr>
          <w:color w:val="231F20"/>
          <w:spacing w:val="16"/>
        </w:rPr>
        <w:t> </w:t>
      </w:r>
      <w:r>
        <w:rPr>
          <w:color w:val="231F20"/>
        </w:rPr>
        <w:t>1,</w:t>
      </w:r>
      <w:r>
        <w:rPr>
          <w:color w:val="231F20"/>
          <w:spacing w:val="15"/>
        </w:rPr>
        <w:t> </w:t>
      </w:r>
      <w:r>
        <w:rPr>
          <w:color w:val="231F20"/>
        </w:rPr>
        <w:t>tweede</w:t>
      </w:r>
      <w:r>
        <w:rPr>
          <w:color w:val="231F20"/>
          <w:spacing w:val="16"/>
        </w:rPr>
        <w:t> </w:t>
      </w:r>
      <w:r>
        <w:rPr>
          <w:color w:val="231F20"/>
        </w:rPr>
        <w:t>lid,</w:t>
      </w:r>
      <w:r>
        <w:rPr>
          <w:color w:val="231F20"/>
          <w:spacing w:val="16"/>
        </w:rPr>
        <w:t> </w:t>
      </w:r>
      <w:r>
        <w:rPr>
          <w:color w:val="231F20"/>
        </w:rPr>
        <w:t>vermelde</w:t>
      </w:r>
      <w:r>
        <w:rPr>
          <w:color w:val="231F20"/>
          <w:spacing w:val="15"/>
        </w:rPr>
        <w:t> </w:t>
      </w:r>
      <w:r>
        <w:rPr>
          <w:color w:val="231F20"/>
        </w:rPr>
        <w:t>termijn.</w:t>
      </w:r>
    </w:p>
    <w:p>
      <w:pPr>
        <w:pStyle w:val="BodyText"/>
        <w:spacing w:line="218" w:lineRule="auto" w:before="85"/>
      </w:pPr>
      <w:r>
        <w:rPr>
          <w:color w:val="231F20"/>
        </w:rPr>
        <w:t>Art. 2:95. De vereffenaar moet binnen drie weken de algemene vergadering bijeenroepen wanneer aandeelhouders of vennoten die één tiende van het kapitaal of, in een besloten of coöperatieve vennoot- schap, één tiende van het aantal uitgegeven aandelen vertegenwoordi- gen, het vragen en zij moeten binnen dezelfde termijn de algemene vergadering van obligatiehouders bijeenroepen wanneer obligatiehou- ders die één vijfde van het bedrag van de in omloop zijnde obligaties vertegenwoordigen, het vragen.</w:t>
      </w:r>
    </w:p>
    <w:p>
      <w:pPr>
        <w:pStyle w:val="BodyText"/>
        <w:spacing w:line="218" w:lineRule="auto" w:before="87"/>
      </w:pPr>
      <w:r>
        <w:rPr>
          <w:color w:val="231F20"/>
        </w:rPr>
        <w:t>Art. 2:96. De vereffenaar zendt in de zevende en de dertiende maand na de invereffeningstelling een omstandige staat van de toestand van  de vereffening, opgesteld aan het einde van de zesde en twaalfde  maand van het eerste vereffeningsjaar, over aan de </w:t>
      </w:r>
      <w:r>
        <w:rPr>
          <w:color w:val="231F20"/>
          <w:spacing w:val="-4"/>
        </w:rPr>
        <w:t>griffie </w:t>
      </w:r>
      <w:r>
        <w:rPr>
          <w:color w:val="231F20"/>
        </w:rPr>
        <w:t>van de ondernemingsrechtbank waar de zetel van de vennootschap is geves- tigd.</w:t>
      </w:r>
    </w:p>
    <w:p>
      <w:pPr>
        <w:pStyle w:val="BodyText"/>
        <w:spacing w:line="218" w:lineRule="auto" w:before="85"/>
      </w:pPr>
      <w:r>
        <w:rPr>
          <w:color w:val="231F20"/>
        </w:rPr>
        <w:t>Die omstandige staat, die onder meer de ontvangsten, de uitgaven en de uitkeringen vermeldt en die aangeeft wat nog moet worden vereffend, wordt bij het in artikel 2:7 bedoelde vennootschapsdossier gevoegd.</w:t>
      </w:r>
    </w:p>
    <w:p>
      <w:pPr>
        <w:pStyle w:val="BodyText"/>
        <w:spacing w:line="218" w:lineRule="auto" w:before="86"/>
      </w:pPr>
      <w:r>
        <w:rPr>
          <w:color w:val="231F20"/>
        </w:rPr>
        <w:t>Vanaf het tweede jaar van de vereffening wordt die omstandige staat slechts om het jaar aan de griffie overgezonden en bij het vennoot- schapsdossier gevoegd.</w:t>
      </w:r>
    </w:p>
    <w:p>
      <w:pPr>
        <w:pStyle w:val="BodyText"/>
        <w:spacing w:line="218" w:lineRule="auto" w:before="85"/>
      </w:pPr>
      <w:r>
        <w:rPr>
          <w:color w:val="231F20"/>
        </w:rPr>
        <w:t>Art. 2:97. § 1. Onverminderd de rechten van de bevoorrechte schuldeisers, betaalt de vereffenaar alle schulden naar evenredigheid en zonder onderscheid tussen opeisbare en niet opeisbare schulden, onder aftrek, wat deze betreft, van het disconto.</w:t>
      </w:r>
    </w:p>
    <w:p>
      <w:pPr>
        <w:pStyle w:val="BodyText"/>
        <w:spacing w:line="218" w:lineRule="auto" w:before="86"/>
      </w:pPr>
      <w:r>
        <w:rPr>
          <w:color w:val="231F20"/>
        </w:rPr>
        <w:t>Hij mag echter op eigen risico eerst de opeisbare schulden betalen, ingeval de activa de passiva aanmerkelijk te boven gaan of de schuldvorderingen op termijn voldoende gewaarborgd zijn, onvermin- derd het recht van de schuldeisers om zich tot de rechtbank te wenden.</w:t>
      </w:r>
    </w:p>
    <w:p>
      <w:pPr>
        <w:pStyle w:val="BodyText"/>
        <w:spacing w:line="218" w:lineRule="auto" w:before="86"/>
      </w:pPr>
      <w:r>
        <w:rPr>
          <w:color w:val="231F20"/>
        </w:rPr>
        <w:t>§ 2. Indien uit de rekeningen bedoeld in artikel 2:100, § 1, blijkt dat niet alle schuldeisers integraal kunnen worden terugbetaald, legt de vereffenaar vooraleer de vereffening wordt gesloten, bij eenzijdig verzoekschrift overeenkomstig de artikelen 1025 en volgende van het Gerechtelijk Wetboek het plan voor de verdeling van de activa onder de verschillende categorieën schuldeisers ter goedkeuring voor aan de bevoegde rechtbank. Voormeld verzoekschrift mag worden onderte- kend door de vereffenaar, door een advocaat of door een notaris.</w:t>
      </w:r>
    </w:p>
    <w:p>
      <w:pPr>
        <w:pStyle w:val="BodyText"/>
        <w:spacing w:line="218" w:lineRule="auto" w:before="86"/>
      </w:pPr>
      <w:r>
        <w:rPr>
          <w:color w:val="231F20"/>
        </w:rPr>
        <w:t>De in het eerste lid bedoelde verplichting tot het ter goedkeuring voorleggen van het plan van verdeling aan de rechtbank geldt niet wanneer de schuldeisers die niet integraal werden terugbetaald, aandeelhouders of vennoten van de vennootschap zijn en al deze aandeelhouders of vennoten schriftelijk akkoord gaan met het plan van verdeling en afstand doen van het voorleggen van het plan van verdeling.</w:t>
      </w:r>
    </w:p>
    <w:p>
      <w:pPr>
        <w:pStyle w:val="BodyText"/>
        <w:spacing w:line="218" w:lineRule="auto" w:before="85"/>
      </w:pPr>
      <w:r>
        <w:rPr>
          <w:color w:val="231F20"/>
        </w:rPr>
        <w:t>De rechtbank kan van de vereffenaar alle dienstige inlichtingen vorderen om de geldigheid van het verdelingsplan na te gaan.</w:t>
      </w:r>
    </w:p>
    <w:p>
      <w:pPr>
        <w:pStyle w:val="BodyText"/>
        <w:spacing w:line="218" w:lineRule="auto" w:before="86"/>
      </w:pPr>
      <w:r>
        <w:rPr>
          <w:color w:val="231F20"/>
        </w:rPr>
        <w:t>§ 3. Na betaling van de schulden of consignatie van de nodige gelden om die te voldoen, verdeelt de vereffenaar onder de aandeelhouders of vennoten de gelden of waarden die gelijk verdeeld kunnen worden; hij overhandigt hun de goederen die hij voor nadere verdeling heeft moeten</w:t>
      </w:r>
      <w:r>
        <w:rPr>
          <w:color w:val="231F20"/>
          <w:spacing w:val="15"/>
        </w:rPr>
        <w:t> </w:t>
      </w:r>
      <w:r>
        <w:rPr>
          <w:color w:val="231F20"/>
        </w:rPr>
        <w:t>overhouden.</w:t>
      </w:r>
    </w:p>
    <w:p>
      <w:pPr>
        <w:pStyle w:val="BodyText"/>
        <w:spacing w:line="218" w:lineRule="auto" w:before="85"/>
      </w:pPr>
      <w:r>
        <w:rPr>
          <w:color w:val="231F20"/>
        </w:rPr>
        <w:t>Hij mag, met de in artikel 2:88 bedoelde machtiging, de aandelen</w:t>
      </w:r>
      <w:r>
        <w:rPr>
          <w:color w:val="231F20"/>
          <w:spacing w:val="-13"/>
        </w:rPr>
        <w:t> </w:t>
      </w:r>
      <w:r>
        <w:rPr>
          <w:color w:val="231F20"/>
        </w:rPr>
        <w:t>van de vennootschap inkopen, hetzij op de beurs, hetzij door middel van een bod of een prijsaanvraag, gericht aan de aandeelhouders of vennoten,</w:t>
      </w:r>
      <w:r>
        <w:rPr>
          <w:color w:val="231F20"/>
          <w:spacing w:val="16"/>
        </w:rPr>
        <w:t> </w:t>
      </w:r>
      <w:r>
        <w:rPr>
          <w:color w:val="231F20"/>
        </w:rPr>
        <w:t>die</w:t>
      </w:r>
      <w:r>
        <w:rPr>
          <w:color w:val="231F20"/>
          <w:spacing w:val="17"/>
        </w:rPr>
        <w:t> </w:t>
      </w:r>
      <w:r>
        <w:rPr>
          <w:color w:val="231F20"/>
        </w:rPr>
        <w:t>allen</w:t>
      </w:r>
      <w:r>
        <w:rPr>
          <w:color w:val="231F20"/>
          <w:spacing w:val="17"/>
        </w:rPr>
        <w:t> </w:t>
      </w:r>
      <w:r>
        <w:rPr>
          <w:color w:val="231F20"/>
        </w:rPr>
        <w:t>aan</w:t>
      </w:r>
      <w:r>
        <w:rPr>
          <w:color w:val="231F20"/>
          <w:spacing w:val="17"/>
        </w:rPr>
        <w:t> </w:t>
      </w:r>
      <w:r>
        <w:rPr>
          <w:color w:val="231F20"/>
        </w:rPr>
        <w:t>de</w:t>
      </w:r>
      <w:r>
        <w:rPr>
          <w:color w:val="231F20"/>
          <w:spacing w:val="17"/>
        </w:rPr>
        <w:t> </w:t>
      </w:r>
      <w:r>
        <w:rPr>
          <w:color w:val="231F20"/>
        </w:rPr>
        <w:t>verrichting</w:t>
      </w:r>
      <w:r>
        <w:rPr>
          <w:color w:val="231F20"/>
          <w:spacing w:val="17"/>
        </w:rPr>
        <w:t> </w:t>
      </w:r>
      <w:r>
        <w:rPr>
          <w:color w:val="231F20"/>
        </w:rPr>
        <w:t>moeten</w:t>
      </w:r>
      <w:r>
        <w:rPr>
          <w:color w:val="231F20"/>
          <w:spacing w:val="17"/>
        </w:rPr>
        <w:t> </w:t>
      </w:r>
      <w:r>
        <w:rPr>
          <w:color w:val="231F20"/>
        </w:rPr>
        <w:t>kunnen</w:t>
      </w:r>
      <w:r>
        <w:rPr>
          <w:color w:val="231F20"/>
          <w:spacing w:val="17"/>
        </w:rPr>
        <w:t> </w:t>
      </w:r>
      <w:r>
        <w:rPr>
          <w:color w:val="231F20"/>
        </w:rPr>
        <w:t>deelnemen.</w:t>
      </w:r>
    </w:p>
    <w:p>
      <w:pPr>
        <w:pStyle w:val="BodyText"/>
        <w:spacing w:line="218" w:lineRule="auto" w:before="97"/>
      </w:pPr>
      <w:r>
        <w:rPr>
          <w:color w:val="231F20"/>
        </w:rPr>
        <w:t>Art. 2:98. § 1. </w:t>
      </w:r>
      <w:r>
        <w:rPr>
          <w:color w:val="231F20"/>
          <w:spacing w:val="-3"/>
        </w:rPr>
        <w:t>Wanneer </w:t>
      </w:r>
      <w:r>
        <w:rPr>
          <w:color w:val="231F20"/>
        </w:rPr>
        <w:t>er meerdere vereffenaars zijn in een besloten vennootschap, een coöperatieve vennootschap, een naamloze vennoot- schap, een Europese vennootschap of een Europese coöperatieve vennootschap die elk individueel bevoegd zijn, en zij een beslissing moeten nemen of zich over een verrichting moeten uitspreken die onder hun bevoegdheid vallen, waarbij een vereffenaar een rechtstreeks of onrechtstreeks belang van vermogensrechtelijke aard heeft dat strijdig is met het belang van de vennootschap, moet de</w:t>
      </w:r>
      <w:r>
        <w:rPr>
          <w:color w:val="231F20"/>
          <w:spacing w:val="33"/>
        </w:rPr>
        <w:t> </w:t>
      </w:r>
      <w:r>
        <w:rPr>
          <w:color w:val="231F20"/>
        </w:rPr>
        <w:t>betrokken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hanging="1"/>
      </w:pPr>
      <w:r>
        <w:rPr/>
        <w:pict>
          <v:line style="position:absolute;mso-position-horizontal-relative:page;mso-position-vertical-relative:page;z-index:1888" from="298.170502pt,64.473pt" to="298.170502pt,812.819pt" stroked="true" strokeweight=".533pt" strokecolor="#231f20">
            <v:stroke dashstyle="solid"/>
            <w10:wrap type="none"/>
          </v:line>
        </w:pict>
      </w:r>
      <w:bookmarkStart w:name="_bookmark36" w:id="39"/>
      <w:bookmarkEnd w:id="39"/>
      <w:r>
        <w:rPr/>
      </w:r>
      <w:r>
        <w:rPr>
          <w:color w:val="231F20"/>
        </w:rPr>
        <w:t>sur la nature de cet intérêt opposé doivent figurer dans le procès-verbal d’une réunion des autres liquidateurs. Ces autres liquidateurs peuvent eux-mêmes prendre la décision ou réaliser l’opération. Dans ce cas, le liquidateur qui a le conflit d’intérêts ne peut pas participer à la réunion des autres liquidateurs concernant cette décision ou opération.</w:t>
      </w:r>
    </w:p>
    <w:p>
      <w:pPr>
        <w:pStyle w:val="BodyText"/>
        <w:ind w:left="0" w:right="0" w:firstLine="0"/>
        <w:jc w:val="left"/>
        <w:rPr>
          <w:sz w:val="20"/>
        </w:rPr>
      </w:pPr>
    </w:p>
    <w:p>
      <w:pPr>
        <w:pStyle w:val="BodyText"/>
        <w:ind w:left="0" w:right="0" w:firstLine="0"/>
        <w:jc w:val="left"/>
        <w:rPr>
          <w:sz w:val="27"/>
        </w:rPr>
      </w:pPr>
    </w:p>
    <w:p>
      <w:pPr>
        <w:pStyle w:val="BodyText"/>
        <w:spacing w:line="218" w:lineRule="auto"/>
        <w:ind w:right="38"/>
      </w:pPr>
      <w:r>
        <w:rPr>
          <w:color w:val="231F20"/>
        </w:rPr>
        <w:t>Si tous les liquidateurs ont un conflit d’intérêts, la décision ou l’opération est soumise à l’assemblée générale ou, en cas de dissolution judiciaire, au tribunal; en cas d’approbation par ceux-ci, les</w:t>
      </w:r>
      <w:r>
        <w:rPr>
          <w:color w:val="231F20"/>
          <w:spacing w:val="-20"/>
        </w:rPr>
        <w:t> </w:t>
      </w:r>
      <w:r>
        <w:rPr>
          <w:color w:val="231F20"/>
        </w:rPr>
        <w:t>liquidateurs peuvent</w:t>
      </w:r>
      <w:r>
        <w:rPr>
          <w:color w:val="231F20"/>
          <w:spacing w:val="15"/>
        </w:rPr>
        <w:t> </w:t>
      </w:r>
      <w:r>
        <w:rPr>
          <w:color w:val="231F20"/>
        </w:rPr>
        <w:t>l’exécuter.</w:t>
      </w:r>
    </w:p>
    <w:p>
      <w:pPr>
        <w:pStyle w:val="BodyText"/>
        <w:ind w:left="0" w:right="0" w:firstLine="0"/>
        <w:jc w:val="left"/>
        <w:rPr>
          <w:sz w:val="20"/>
        </w:rPr>
      </w:pPr>
    </w:p>
    <w:p>
      <w:pPr>
        <w:pStyle w:val="BodyText"/>
        <w:spacing w:before="10"/>
        <w:ind w:left="0" w:right="0" w:firstLine="0"/>
        <w:jc w:val="left"/>
        <w:rPr>
          <w:sz w:val="26"/>
        </w:rPr>
      </w:pPr>
    </w:p>
    <w:p>
      <w:pPr>
        <w:pStyle w:val="BodyText"/>
        <w:spacing w:line="218" w:lineRule="auto"/>
        <w:ind w:right="38"/>
      </w:pPr>
      <w:r>
        <w:rPr>
          <w:color w:val="231F20"/>
        </w:rPr>
        <w:t>§ 2. Si les liquidateurs forment un collège, la décision est prise ou l’opération accomplie par ce collège, sans que le liquidateur en</w:t>
      </w:r>
      <w:r>
        <w:rPr>
          <w:color w:val="231F20"/>
          <w:spacing w:val="-12"/>
        </w:rPr>
        <w:t> </w:t>
      </w:r>
      <w:r>
        <w:rPr>
          <w:color w:val="231F20"/>
        </w:rPr>
        <w:t>situation de conflit d’intérêts puisse participer aux délibérations du collège concernant cette décision ou cette opération, ni participer au vote à ce propos. Si tous les liquidateurs du collège ont un conflit d’intérêts, la décision ou l’opération est soumise à l’assemblée générale ou, en cas de dissolution judiciaire, au tribunal; en cas d’approbation par celle-ci, le collège des liquidateurs peut</w:t>
      </w:r>
      <w:r>
        <w:rPr>
          <w:color w:val="231F20"/>
          <w:spacing w:val="20"/>
        </w:rPr>
        <w:t> </w:t>
      </w:r>
      <w:r>
        <w:rPr>
          <w:color w:val="231F20"/>
        </w:rPr>
        <w:t>l’exécuter.</w:t>
      </w:r>
    </w:p>
    <w:p>
      <w:pPr>
        <w:pStyle w:val="BodyText"/>
        <w:ind w:left="0" w:right="0" w:firstLine="0"/>
        <w:jc w:val="left"/>
        <w:rPr>
          <w:sz w:val="20"/>
        </w:rPr>
      </w:pPr>
    </w:p>
    <w:p>
      <w:pPr>
        <w:pStyle w:val="BodyText"/>
        <w:ind w:left="0" w:right="0" w:firstLine="0"/>
        <w:jc w:val="left"/>
        <w:rPr>
          <w:sz w:val="20"/>
        </w:rPr>
      </w:pPr>
    </w:p>
    <w:p>
      <w:pPr>
        <w:pStyle w:val="BodyText"/>
        <w:spacing w:before="5"/>
        <w:ind w:left="0" w:right="0" w:firstLine="0"/>
        <w:jc w:val="left"/>
        <w:rPr>
          <w:sz w:val="22"/>
        </w:rPr>
      </w:pPr>
    </w:p>
    <w:p>
      <w:pPr>
        <w:pStyle w:val="BodyText"/>
        <w:spacing w:line="218" w:lineRule="auto"/>
        <w:ind w:right="38"/>
      </w:pPr>
      <w:r>
        <w:rPr>
          <w:color w:val="231F20"/>
        </w:rPr>
        <w:t>§ 3. S’il n’y a qu’un seul liquidateur et qu’il a un conflit d’intérêts, la décision ou l’opération est soumise à l’assemblée générale ou, en cas de dissolution judiciaire, au tribunal; en cas d’approbation par l’assemblée générale ou le tribunal, le liquidateur peut l’exécuter.</w:t>
      </w:r>
    </w:p>
    <w:p>
      <w:pPr>
        <w:pStyle w:val="BodyText"/>
        <w:ind w:left="0" w:right="0" w:firstLine="0"/>
        <w:jc w:val="left"/>
        <w:rPr>
          <w:sz w:val="20"/>
        </w:rPr>
      </w:pPr>
    </w:p>
    <w:p>
      <w:pPr>
        <w:pStyle w:val="BodyText"/>
        <w:spacing w:before="11"/>
        <w:ind w:left="0" w:right="0" w:firstLine="0"/>
        <w:jc w:val="left"/>
        <w:rPr>
          <w:sz w:val="26"/>
        </w:rPr>
      </w:pPr>
    </w:p>
    <w:p>
      <w:pPr>
        <w:pStyle w:val="BodyText"/>
        <w:spacing w:line="218" w:lineRule="auto"/>
        <w:ind w:right="38"/>
      </w:pPr>
      <w:r>
        <w:rPr>
          <w:color w:val="231F20"/>
        </w:rPr>
        <w:t>Si le liquidateur unique est également l’actionnaire unique, il peut prendre la décision ou réaliser l’opération lui-même.</w:t>
      </w:r>
    </w:p>
    <w:p>
      <w:pPr>
        <w:pStyle w:val="BodyText"/>
        <w:spacing w:before="11"/>
        <w:ind w:left="0" w:right="0" w:firstLine="0"/>
        <w:jc w:val="left"/>
        <w:rPr>
          <w:sz w:val="15"/>
        </w:rPr>
      </w:pPr>
    </w:p>
    <w:p>
      <w:pPr>
        <w:pStyle w:val="BodyText"/>
        <w:spacing w:line="218" w:lineRule="auto"/>
        <w:ind w:right="38"/>
      </w:pPr>
      <w:r>
        <w:rPr>
          <w:color w:val="231F20"/>
        </w:rPr>
        <w:t>Art. 2:99. Pour chaque exercice comptable, le liquidateur soumet les comptes annuels à l’assemblée générale avec l’indication des causes qui ont empêché la liquidation d’être terminée.</w:t>
      </w:r>
    </w:p>
    <w:p>
      <w:pPr>
        <w:pStyle w:val="BodyText"/>
        <w:spacing w:before="11"/>
        <w:ind w:left="0" w:right="0" w:firstLine="0"/>
        <w:jc w:val="left"/>
        <w:rPr>
          <w:sz w:val="15"/>
        </w:rPr>
      </w:pPr>
    </w:p>
    <w:p>
      <w:pPr>
        <w:pStyle w:val="BodyText"/>
        <w:spacing w:line="218" w:lineRule="auto"/>
        <w:ind w:right="38"/>
      </w:pPr>
      <w:r>
        <w:rPr>
          <w:color w:val="231F20"/>
        </w:rPr>
        <w:t>S’il s’agit d’une société à responsabilité limitée, d’une société coopérative, d’une société anonyme, d’une société européenne ou  d’une société coopérative européenne, il doit établir des comptes annuels conformément à l’article 3:1, les soumettre à l’assemblée générale ou, en cas de dissolution judiciaire, au tribunal et, dans les trente jours de la date de l’assemblée et au plus tard sept mois après la date de clôture de l’exercice social, les déposer à la Banque nationale de Belgique, accompagnés des autres documents prévus par le présent article;</w:t>
      </w:r>
      <w:r>
        <w:rPr>
          <w:color w:val="231F20"/>
          <w:spacing w:val="10"/>
        </w:rPr>
        <w:t> </w:t>
      </w:r>
      <w:r>
        <w:rPr>
          <w:color w:val="231F20"/>
        </w:rPr>
        <w:t>les</w:t>
      </w:r>
      <w:r>
        <w:rPr>
          <w:color w:val="231F20"/>
          <w:spacing w:val="10"/>
        </w:rPr>
        <w:t> </w:t>
      </w:r>
      <w:r>
        <w:rPr>
          <w:color w:val="231F20"/>
        </w:rPr>
        <w:t>articles</w:t>
      </w:r>
      <w:r>
        <w:rPr>
          <w:color w:val="231F20"/>
          <w:spacing w:val="11"/>
        </w:rPr>
        <w:t> </w:t>
      </w:r>
      <w:r>
        <w:rPr>
          <w:color w:val="231F20"/>
        </w:rPr>
        <w:t>2:33,</w:t>
      </w:r>
      <w:r>
        <w:rPr>
          <w:color w:val="231F20"/>
          <w:spacing w:val="10"/>
        </w:rPr>
        <w:t> </w:t>
      </w:r>
      <w:r>
        <w:rPr>
          <w:color w:val="231F20"/>
        </w:rPr>
        <w:t>3:13</w:t>
      </w:r>
      <w:r>
        <w:rPr>
          <w:color w:val="231F20"/>
          <w:spacing w:val="10"/>
        </w:rPr>
        <w:t> </w:t>
      </w:r>
      <w:r>
        <w:rPr>
          <w:color w:val="231F20"/>
        </w:rPr>
        <w:t>et</w:t>
      </w:r>
      <w:r>
        <w:rPr>
          <w:color w:val="231F20"/>
          <w:spacing w:val="11"/>
        </w:rPr>
        <w:t> </w:t>
      </w:r>
      <w:r>
        <w:rPr>
          <w:color w:val="231F20"/>
        </w:rPr>
        <w:t>3:14</w:t>
      </w:r>
      <w:r>
        <w:rPr>
          <w:color w:val="231F20"/>
          <w:spacing w:val="10"/>
        </w:rPr>
        <w:t> </w:t>
      </w:r>
      <w:r>
        <w:rPr>
          <w:color w:val="231F20"/>
        </w:rPr>
        <w:t>sont</w:t>
      </w:r>
      <w:r>
        <w:rPr>
          <w:color w:val="231F20"/>
          <w:spacing w:val="10"/>
        </w:rPr>
        <w:t> </w:t>
      </w:r>
      <w:r>
        <w:rPr>
          <w:color w:val="231F20"/>
        </w:rPr>
        <w:t>applicables</w:t>
      </w:r>
      <w:r>
        <w:rPr>
          <w:color w:val="231F20"/>
          <w:spacing w:val="11"/>
        </w:rPr>
        <w:t> </w:t>
      </w:r>
      <w:r>
        <w:rPr>
          <w:color w:val="231F20"/>
        </w:rPr>
        <w:t>à</w:t>
      </w:r>
      <w:r>
        <w:rPr>
          <w:color w:val="231F20"/>
          <w:spacing w:val="10"/>
        </w:rPr>
        <w:t> </w:t>
      </w:r>
      <w:r>
        <w:rPr>
          <w:color w:val="231F20"/>
        </w:rPr>
        <w:t>ce</w:t>
      </w:r>
      <w:r>
        <w:rPr>
          <w:color w:val="231F20"/>
          <w:spacing w:val="11"/>
        </w:rPr>
        <w:t> </w:t>
      </w:r>
      <w:r>
        <w:rPr>
          <w:color w:val="231F20"/>
        </w:rPr>
        <w:t>dépôt.</w:t>
      </w:r>
    </w:p>
    <w:p>
      <w:pPr>
        <w:pStyle w:val="BodyText"/>
        <w:ind w:left="0" w:right="0" w:firstLine="0"/>
        <w:jc w:val="left"/>
        <w:rPr>
          <w:sz w:val="20"/>
        </w:rPr>
      </w:pPr>
    </w:p>
    <w:p>
      <w:pPr>
        <w:pStyle w:val="BodyText"/>
        <w:spacing w:before="117"/>
        <w:ind w:left="284" w:right="0" w:firstLine="0"/>
        <w:jc w:val="left"/>
      </w:pPr>
      <w:r>
        <w:rPr>
          <w:color w:val="231F20"/>
        </w:rPr>
        <w:t>Sous-section 7. Clôture de la liquidation.</w:t>
      </w:r>
    </w:p>
    <w:p>
      <w:pPr>
        <w:pStyle w:val="BodyText"/>
        <w:spacing w:line="218" w:lineRule="auto" w:before="177"/>
        <w:ind w:right="38"/>
      </w:pPr>
      <w:r>
        <w:rPr>
          <w:color w:val="231F20"/>
        </w:rPr>
        <w:t>Art.</w:t>
      </w:r>
      <w:r>
        <w:rPr>
          <w:color w:val="231F20"/>
          <w:spacing w:val="-4"/>
        </w:rPr>
        <w:t> </w:t>
      </w:r>
      <w:r>
        <w:rPr>
          <w:color w:val="231F20"/>
        </w:rPr>
        <w:t>2:100.</w:t>
      </w:r>
      <w:r>
        <w:rPr>
          <w:color w:val="231F20"/>
          <w:spacing w:val="-9"/>
        </w:rPr>
        <w:t> </w:t>
      </w:r>
      <w:r>
        <w:rPr>
          <w:color w:val="231F20"/>
        </w:rPr>
        <w:t>Après</w:t>
      </w:r>
      <w:r>
        <w:rPr>
          <w:color w:val="231F20"/>
          <w:spacing w:val="-4"/>
        </w:rPr>
        <w:t> </w:t>
      </w:r>
      <w:r>
        <w:rPr>
          <w:color w:val="231F20"/>
        </w:rPr>
        <w:t>la</w:t>
      </w:r>
      <w:r>
        <w:rPr>
          <w:color w:val="231F20"/>
          <w:spacing w:val="-3"/>
        </w:rPr>
        <w:t> </w:t>
      </w:r>
      <w:r>
        <w:rPr>
          <w:color w:val="231F20"/>
        </w:rPr>
        <w:t>liquidation</w:t>
      </w:r>
      <w:r>
        <w:rPr>
          <w:color w:val="231F20"/>
          <w:spacing w:val="-4"/>
        </w:rPr>
        <w:t> </w:t>
      </w:r>
      <w:r>
        <w:rPr>
          <w:color w:val="231F20"/>
        </w:rPr>
        <w:t>et</w:t>
      </w:r>
      <w:r>
        <w:rPr>
          <w:color w:val="231F20"/>
          <w:spacing w:val="-3"/>
        </w:rPr>
        <w:t> </w:t>
      </w:r>
      <w:r>
        <w:rPr>
          <w:color w:val="231F20"/>
        </w:rPr>
        <w:t>au</w:t>
      </w:r>
      <w:r>
        <w:rPr>
          <w:color w:val="231F20"/>
          <w:spacing w:val="-3"/>
        </w:rPr>
        <w:t> </w:t>
      </w:r>
      <w:r>
        <w:rPr>
          <w:color w:val="231F20"/>
        </w:rPr>
        <w:t>moins</w:t>
      </w:r>
      <w:r>
        <w:rPr>
          <w:color w:val="231F20"/>
          <w:spacing w:val="-4"/>
        </w:rPr>
        <w:t> </w:t>
      </w:r>
      <w:r>
        <w:rPr>
          <w:color w:val="231F20"/>
        </w:rPr>
        <w:t>un</w:t>
      </w:r>
      <w:r>
        <w:rPr>
          <w:color w:val="231F20"/>
          <w:spacing w:val="-3"/>
        </w:rPr>
        <w:t> </w:t>
      </w:r>
      <w:r>
        <w:rPr>
          <w:color w:val="231F20"/>
        </w:rPr>
        <w:t>mois</w:t>
      </w:r>
      <w:r>
        <w:rPr>
          <w:color w:val="231F20"/>
          <w:spacing w:val="-4"/>
        </w:rPr>
        <w:t> </w:t>
      </w:r>
      <w:r>
        <w:rPr>
          <w:color w:val="231F20"/>
        </w:rPr>
        <w:t>avant</w:t>
      </w:r>
      <w:r>
        <w:rPr>
          <w:color w:val="231F20"/>
          <w:spacing w:val="-3"/>
        </w:rPr>
        <w:t> </w:t>
      </w:r>
      <w:r>
        <w:rPr>
          <w:color w:val="231F20"/>
        </w:rPr>
        <w:t>l’assemblée générale, le liquidateur dépose au siège de la société un rapport chiffré sur la liquidation comportant les comptes de liquidation et pièces à l’appui. Le rapport contient, le cas échéant, les informations relatives à la restitution des apports et à la distribution d’un éventuel solde de liquidation aux actionnaires ou aux associés. Ces documents sont contrôlés par le commissaire. Lorsqu’il n’y a pas de commissaire, les associés ou les actionnaires disposent d’un droit individuel d’investi- gation, pour lequel ils peuvent se faire assister d’un réviseur d’entre- prises ou d’un expert-comptable externe. Il ne peut être renoncé au délai d’un mois qu’avec l’accord de tous les associés ou actionnaires et détenteurs de titres conférant le droit de vote, donné soit individuelle- ment avant l’assemblée à laquelle la clôture sera décidée, soit ensemble à l’occasion de cette assemblée, préalablement à l’examen de tout autre point à l’ordre du</w:t>
      </w:r>
      <w:r>
        <w:rPr>
          <w:color w:val="231F20"/>
          <w:spacing w:val="19"/>
        </w:rPr>
        <w:t> </w:t>
      </w:r>
      <w:r>
        <w:rPr>
          <w:color w:val="231F20"/>
          <w:spacing w:val="-3"/>
        </w:rPr>
        <w:t>jour.</w:t>
      </w:r>
    </w:p>
    <w:p>
      <w:pPr>
        <w:pStyle w:val="BodyText"/>
        <w:ind w:left="0" w:right="0" w:firstLine="0"/>
        <w:jc w:val="left"/>
        <w:rPr>
          <w:sz w:val="20"/>
        </w:rPr>
      </w:pPr>
    </w:p>
    <w:p>
      <w:pPr>
        <w:pStyle w:val="BodyText"/>
        <w:spacing w:line="218" w:lineRule="auto" w:before="132"/>
        <w:ind w:left="114" w:right="38"/>
      </w:pPr>
      <w:r>
        <w:rPr>
          <w:color w:val="231F20"/>
        </w:rPr>
        <w:t>Après </w:t>
      </w:r>
      <w:r>
        <w:rPr>
          <w:color w:val="231F20"/>
          <w:spacing w:val="-3"/>
        </w:rPr>
        <w:t>avoir, </w:t>
      </w:r>
      <w:r>
        <w:rPr>
          <w:color w:val="231F20"/>
        </w:rPr>
        <w:t>le cas échéant, pris connaissance du rapport, l’assemblée générale se prononce sur l’approbation des comptes. Elle statue ensuite par un vote spécial sur la décharge des liquidateurs et, le cas échéant, du</w:t>
      </w:r>
      <w:r>
        <w:rPr>
          <w:color w:val="231F20"/>
          <w:spacing w:val="15"/>
        </w:rPr>
        <w:t> </w:t>
      </w:r>
      <w:r>
        <w:rPr>
          <w:color w:val="231F20"/>
        </w:rPr>
        <w:t>commissaire</w:t>
      </w:r>
      <w:r>
        <w:rPr>
          <w:color w:val="231F20"/>
          <w:spacing w:val="16"/>
        </w:rPr>
        <w:t> </w:t>
      </w:r>
      <w:r>
        <w:rPr>
          <w:color w:val="231F20"/>
        </w:rPr>
        <w:t>ainsi</w:t>
      </w:r>
      <w:r>
        <w:rPr>
          <w:color w:val="231F20"/>
          <w:spacing w:val="15"/>
        </w:rPr>
        <w:t> </w:t>
      </w:r>
      <w:r>
        <w:rPr>
          <w:color w:val="231F20"/>
        </w:rPr>
        <w:t>que</w:t>
      </w:r>
      <w:r>
        <w:rPr>
          <w:color w:val="231F20"/>
          <w:spacing w:val="16"/>
        </w:rPr>
        <w:t> </w:t>
      </w:r>
      <w:r>
        <w:rPr>
          <w:color w:val="231F20"/>
        </w:rPr>
        <w:t>sur</w:t>
      </w:r>
      <w:r>
        <w:rPr>
          <w:color w:val="231F20"/>
          <w:spacing w:val="15"/>
        </w:rPr>
        <w:t> </w:t>
      </w:r>
      <w:r>
        <w:rPr>
          <w:color w:val="231F20"/>
        </w:rPr>
        <w:t>la</w:t>
      </w:r>
      <w:r>
        <w:rPr>
          <w:color w:val="231F20"/>
          <w:spacing w:val="16"/>
        </w:rPr>
        <w:t> </w:t>
      </w:r>
      <w:r>
        <w:rPr>
          <w:color w:val="231F20"/>
        </w:rPr>
        <w:t>clôture</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rPr>
        <w:t>liquidation.</w:t>
      </w:r>
    </w:p>
    <w:p>
      <w:pPr>
        <w:pStyle w:val="BodyText"/>
        <w:ind w:left="0" w:right="0" w:firstLine="0"/>
        <w:jc w:val="left"/>
        <w:rPr>
          <w:sz w:val="20"/>
        </w:rPr>
      </w:pPr>
    </w:p>
    <w:p>
      <w:pPr>
        <w:pStyle w:val="BodyText"/>
        <w:spacing w:line="213" w:lineRule="auto" w:before="133"/>
        <w:ind w:right="38" w:firstLine="171"/>
      </w:pPr>
      <w:r>
        <w:rPr>
          <w:color w:val="231F20"/>
        </w:rPr>
        <w:t>Art. 2:101. Par dérogation à l’article 2:100, en cas de dissolution judiciaire, le liquidateur fait rapport au tribunal, à l’issue de la liquidation, en lui soumettant le rapport chiffré visé à l’article 2:100, alinéa 1</w:t>
      </w:r>
      <w:r>
        <w:rPr>
          <w:color w:val="231F20"/>
          <w:position w:val="7"/>
          <w:sz w:val="11"/>
        </w:rPr>
        <w:t>er</w:t>
      </w:r>
      <w:r>
        <w:rPr>
          <w:color w:val="231F20"/>
        </w:rPr>
        <w:t>, sur la liquidation, et indique le cas échéant la destination qui est donnée aux actifs restants.</w:t>
      </w:r>
    </w:p>
    <w:p>
      <w:pPr>
        <w:pStyle w:val="BodyText"/>
        <w:ind w:left="0" w:right="0" w:firstLine="0"/>
        <w:jc w:val="left"/>
        <w:rPr>
          <w:sz w:val="20"/>
        </w:rPr>
      </w:pPr>
    </w:p>
    <w:p>
      <w:pPr>
        <w:pStyle w:val="BodyText"/>
        <w:spacing w:before="117"/>
        <w:ind w:left="283" w:right="0" w:firstLine="0"/>
        <w:jc w:val="left"/>
      </w:pPr>
      <w:r>
        <w:rPr>
          <w:color w:val="231F20"/>
        </w:rPr>
        <w:t>Le tribunal prononce la clôture de la liquidation.</w:t>
      </w:r>
    </w:p>
    <w:p>
      <w:pPr>
        <w:pStyle w:val="BodyText"/>
        <w:spacing w:line="218" w:lineRule="auto" w:before="119"/>
        <w:ind w:firstLine="0"/>
      </w:pPr>
      <w:r>
        <w:rPr/>
        <w:br w:type="column"/>
      </w:r>
      <w:r>
        <w:rPr>
          <w:color w:val="231F20"/>
        </w:rPr>
        <w:t>vereffenaar dit mededelen aan de andere vereffenaars. Zijn verklaring en toelichting over de aard van dit strijdig belang worden opgenomen in de notulen van een vergadering van die andere vereffenaars. Die andere vereffenaars nemen de beslissing of voeren de verrichting uit. In dat geval mag de vereffenaar met het belangenconflict niet deelnemen aan de vergadering van de andere vereffenaars over deze beslissingen of</w:t>
      </w:r>
      <w:r>
        <w:rPr>
          <w:color w:val="231F20"/>
          <w:spacing w:val="15"/>
        </w:rPr>
        <w:t> </w:t>
      </w:r>
      <w:r>
        <w:rPr>
          <w:color w:val="231F20"/>
        </w:rPr>
        <w:t>verrichtingen.</w:t>
      </w:r>
    </w:p>
    <w:p>
      <w:pPr>
        <w:pStyle w:val="BodyText"/>
        <w:ind w:left="0" w:right="0" w:firstLine="0"/>
        <w:jc w:val="left"/>
        <w:rPr>
          <w:sz w:val="16"/>
        </w:rPr>
      </w:pPr>
    </w:p>
    <w:p>
      <w:pPr>
        <w:pStyle w:val="BodyText"/>
        <w:spacing w:line="218" w:lineRule="auto"/>
      </w:pPr>
      <w:r>
        <w:rPr>
          <w:color w:val="231F20"/>
          <w:spacing w:val="-3"/>
        </w:rPr>
        <w:t>Wanneer </w:t>
      </w:r>
      <w:r>
        <w:rPr>
          <w:color w:val="231F20"/>
        </w:rPr>
        <w:t>alle vereffenaars een belangenconflict hebben, dan wordt de beslissing of de verrichting aan de algemene vergadering of, in geval van een gerechtelijke ontbinding, aan de rechtbank voorgelegd; ingeval de algemene vergadering of in geval van een gerechtelijke ontbinding de rechtbank de beslissing of de verrichting goedkeurt, kunnen de vereffenaars ze</w:t>
      </w:r>
      <w:r>
        <w:rPr>
          <w:color w:val="231F20"/>
          <w:spacing w:val="-11"/>
        </w:rPr>
        <w:t> </w:t>
      </w:r>
      <w:r>
        <w:rPr>
          <w:color w:val="231F20"/>
        </w:rPr>
        <w:t>uitvoeren.</w:t>
      </w:r>
    </w:p>
    <w:p>
      <w:pPr>
        <w:pStyle w:val="BodyText"/>
        <w:ind w:left="0" w:right="0" w:firstLine="0"/>
        <w:jc w:val="left"/>
        <w:rPr>
          <w:sz w:val="16"/>
        </w:rPr>
      </w:pPr>
    </w:p>
    <w:p>
      <w:pPr>
        <w:pStyle w:val="BodyText"/>
        <w:spacing w:line="218" w:lineRule="auto"/>
        <w:ind w:right="123"/>
      </w:pPr>
      <w:r>
        <w:rPr>
          <w:color w:val="231F20"/>
        </w:rPr>
        <w:t>§ 2. Is er een college van vereffenaars, dan wordt de beslissing genomen of de verrichting uitgevoerd door dit college, waarbij de vereffenaar met het belangenconflict niet mag deelnemen aan de beraadslagingen van het college over deze beslissingen of verrichtin- gen, noch aan de stemming in dat verband. Wanneer alle vereffenaars van het college een belangenconflict hebben, dan wordt de beslissing of de verrichting aan de algemene vergadering of, in geval van een gerechtelijke ontbinding, aan de rechtbank voorgelegd; ingeval de algemene vergadering of, in geval van een gerechtelijke ontbinding, de rechtbank de beslissing of de verrichting goedkeurt, kan het college van vereffenaars ze verder uitvoeren.</w:t>
      </w:r>
    </w:p>
    <w:p>
      <w:pPr>
        <w:pStyle w:val="BodyText"/>
        <w:spacing w:before="1"/>
        <w:ind w:left="0" w:right="0" w:firstLine="0"/>
        <w:jc w:val="left"/>
        <w:rPr>
          <w:sz w:val="16"/>
        </w:rPr>
      </w:pPr>
    </w:p>
    <w:p>
      <w:pPr>
        <w:pStyle w:val="BodyText"/>
        <w:spacing w:line="218" w:lineRule="auto"/>
      </w:pPr>
      <w:r>
        <w:rPr>
          <w:color w:val="231F20"/>
        </w:rPr>
        <w:t>§</w:t>
      </w:r>
      <w:r>
        <w:rPr>
          <w:color w:val="231F20"/>
          <w:spacing w:val="-3"/>
        </w:rPr>
        <w:t> </w:t>
      </w:r>
      <w:r>
        <w:rPr>
          <w:color w:val="231F20"/>
        </w:rPr>
        <w:t>3.</w:t>
      </w:r>
      <w:r>
        <w:rPr>
          <w:color w:val="231F20"/>
          <w:spacing w:val="-3"/>
        </w:rPr>
        <w:t> </w:t>
      </w:r>
      <w:r>
        <w:rPr>
          <w:color w:val="231F20"/>
        </w:rPr>
        <w:t>Is</w:t>
      </w:r>
      <w:r>
        <w:rPr>
          <w:color w:val="231F20"/>
          <w:spacing w:val="-3"/>
        </w:rPr>
        <w:t> </w:t>
      </w:r>
      <w:r>
        <w:rPr>
          <w:color w:val="231F20"/>
        </w:rPr>
        <w:t>er</w:t>
      </w:r>
      <w:r>
        <w:rPr>
          <w:color w:val="231F20"/>
          <w:spacing w:val="-3"/>
        </w:rPr>
        <w:t> </w:t>
      </w:r>
      <w:r>
        <w:rPr>
          <w:color w:val="231F20"/>
        </w:rPr>
        <w:t>slechts</w:t>
      </w:r>
      <w:r>
        <w:rPr>
          <w:color w:val="231F20"/>
          <w:spacing w:val="-2"/>
        </w:rPr>
        <w:t> </w:t>
      </w:r>
      <w:r>
        <w:rPr>
          <w:color w:val="231F20"/>
        </w:rPr>
        <w:t>één</w:t>
      </w:r>
      <w:r>
        <w:rPr>
          <w:color w:val="231F20"/>
          <w:spacing w:val="-3"/>
        </w:rPr>
        <w:t> </w:t>
      </w:r>
      <w:r>
        <w:rPr>
          <w:color w:val="231F20"/>
        </w:rPr>
        <w:t>vereffenaar</w:t>
      </w:r>
      <w:r>
        <w:rPr>
          <w:color w:val="231F20"/>
          <w:spacing w:val="-3"/>
        </w:rPr>
        <w:t> </w:t>
      </w:r>
      <w:r>
        <w:rPr>
          <w:color w:val="231F20"/>
        </w:rPr>
        <w:t>en</w:t>
      </w:r>
      <w:r>
        <w:rPr>
          <w:color w:val="231F20"/>
          <w:spacing w:val="-3"/>
        </w:rPr>
        <w:t> </w:t>
      </w:r>
      <w:r>
        <w:rPr>
          <w:color w:val="231F20"/>
        </w:rPr>
        <w:t>heeft</w:t>
      </w:r>
      <w:r>
        <w:rPr>
          <w:color w:val="231F20"/>
          <w:spacing w:val="-2"/>
        </w:rPr>
        <w:t> </w:t>
      </w:r>
      <w:r>
        <w:rPr>
          <w:color w:val="231F20"/>
        </w:rPr>
        <w:t>hij</w:t>
      </w:r>
      <w:r>
        <w:rPr>
          <w:color w:val="231F20"/>
          <w:spacing w:val="-3"/>
        </w:rPr>
        <w:t> </w:t>
      </w:r>
      <w:r>
        <w:rPr>
          <w:color w:val="231F20"/>
        </w:rPr>
        <w:t>een</w:t>
      </w:r>
      <w:r>
        <w:rPr>
          <w:color w:val="231F20"/>
          <w:spacing w:val="-3"/>
        </w:rPr>
        <w:t> </w:t>
      </w:r>
      <w:r>
        <w:rPr>
          <w:color w:val="231F20"/>
        </w:rPr>
        <w:t>belangenconflict,</w:t>
      </w:r>
      <w:r>
        <w:rPr>
          <w:color w:val="231F20"/>
          <w:spacing w:val="-3"/>
        </w:rPr>
        <w:t> </w:t>
      </w:r>
      <w:r>
        <w:rPr>
          <w:color w:val="231F20"/>
        </w:rPr>
        <w:t>dan wordt de beslissing of de verrichting aan de algemene vergadering of in geval van een gerechtelijke ontbinding aan de rechtbank voorgelegd; ingeval de algemene vergadering of, in geval van een gerechtelijke ontbinding, de rechtbank de beslissing of de verrichting goedkeurt, kan de vereffenaar ze</w:t>
      </w:r>
      <w:r>
        <w:rPr>
          <w:color w:val="231F20"/>
          <w:spacing w:val="4"/>
        </w:rPr>
        <w:t> </w:t>
      </w:r>
      <w:r>
        <w:rPr>
          <w:color w:val="231F20"/>
        </w:rPr>
        <w:t>uitvoeren.</w:t>
      </w:r>
    </w:p>
    <w:p>
      <w:pPr>
        <w:pStyle w:val="BodyText"/>
        <w:ind w:left="0" w:right="0" w:firstLine="0"/>
        <w:jc w:val="left"/>
        <w:rPr>
          <w:sz w:val="16"/>
        </w:rPr>
      </w:pPr>
    </w:p>
    <w:p>
      <w:pPr>
        <w:pStyle w:val="BodyText"/>
        <w:spacing w:line="218" w:lineRule="auto"/>
      </w:pPr>
      <w:r>
        <w:rPr>
          <w:color w:val="231F20"/>
        </w:rPr>
        <w:t>Is de enige vereffenaar ook de enige aandeelhouder, mag hij de beslissing zelf nemen of de verrichting uitvoeren.</w:t>
      </w:r>
    </w:p>
    <w:p>
      <w:pPr>
        <w:pStyle w:val="BodyText"/>
        <w:spacing w:before="11"/>
        <w:ind w:left="0" w:right="0" w:firstLine="0"/>
        <w:jc w:val="left"/>
        <w:rPr>
          <w:sz w:val="15"/>
        </w:rPr>
      </w:pPr>
    </w:p>
    <w:p>
      <w:pPr>
        <w:pStyle w:val="BodyText"/>
        <w:spacing w:line="218" w:lineRule="auto"/>
      </w:pPr>
      <w:r>
        <w:rPr>
          <w:color w:val="231F20"/>
        </w:rPr>
        <w:t>Art. 2:99. Elk boekjaar legt de vereffenaar aan de algemene vergade- ring de jaarrekening voor met vermelding van de redenen waarom de vereffening niet kon worden voltooid.</w:t>
      </w:r>
    </w:p>
    <w:p>
      <w:pPr>
        <w:pStyle w:val="BodyText"/>
        <w:spacing w:before="11"/>
        <w:ind w:left="0" w:right="0" w:firstLine="0"/>
        <w:jc w:val="left"/>
        <w:rPr>
          <w:sz w:val="15"/>
        </w:rPr>
      </w:pPr>
    </w:p>
    <w:p>
      <w:pPr>
        <w:pStyle w:val="BodyText"/>
        <w:spacing w:line="218" w:lineRule="auto"/>
      </w:pPr>
      <w:r>
        <w:rPr>
          <w:color w:val="231F20"/>
        </w:rPr>
        <w:t>Betreft het een besloten vennootschap, een coöperatieve vennoot- schap, een naamloze vennootschap, een Europese vennootschap of een Europese coöperatieve vennootschap, dan moet hij een jaarrekening opstellen overeenkomstig artikel 3:1, die voorleggen aan de algemene vergadering of, in geval van een gerechtelijke ontbinding, aan de rechtbank en, binnen dertig dagen na de datum van de vergadering, en ten laatste zeven maanden na de datum van afsluiting van het boekjaar, neerleggen bij de Nationale Bank van België, samen met de andere bij dit artikel voorgeschreven stukken; de artikelen 2:33, 3:13 en 3:14 zijn van toepassing op deze neerlegging.</w:t>
      </w:r>
    </w:p>
    <w:p>
      <w:pPr>
        <w:pStyle w:val="BodyText"/>
        <w:spacing w:before="168"/>
        <w:ind w:left="283" w:right="0" w:firstLine="0"/>
        <w:jc w:val="left"/>
      </w:pPr>
      <w:r>
        <w:rPr>
          <w:color w:val="231F20"/>
        </w:rPr>
        <w:t>Onderafdeling 7. Sluiting van de vereffening.</w:t>
      </w:r>
    </w:p>
    <w:p>
      <w:pPr>
        <w:pStyle w:val="BodyText"/>
        <w:spacing w:line="218" w:lineRule="auto" w:before="178"/>
      </w:pPr>
      <w:r>
        <w:rPr>
          <w:color w:val="231F20"/>
        </w:rPr>
        <w:t>Art. 2:100. Bij de beëindiging van de vereffening en ten minste één maand voor de algemene vergadering, legt de vereffenaar op de zetel van de vennootschap een cijfermatig verslag over de vereffening </w:t>
      </w:r>
      <w:r>
        <w:rPr>
          <w:color w:val="231F20"/>
          <w:spacing w:val="-3"/>
        </w:rPr>
        <w:t>neer, </w:t>
      </w:r>
      <w:r>
        <w:rPr>
          <w:color w:val="231F20"/>
        </w:rPr>
        <w:t>houdende de vereffeningsrekeningen samen met de stukken tot  staving. Het verslag bevat in voorkomend geval de informatie over de teruggave van de inbrengen en de uitkering van een eventueel vereffeningssaldo aan de aandeelhouders of vennoten. Deze documen- ten worden gecontroleerd door de commissaris. Als er geen commis- saris is, beschikken de vennoten of aandeelhouders over een indivi- dueel onderzoeksrecht, waarbij zij zich kunnen laten bijstaan door een bedrijfsrevisor of een externe accountant. Aan de termijn van één maand kan slechts worden verzaakt met instemming van alle vennoten of aandeelhouders en houders van stemrechtverlenende effecten, hetzij individueel voorafgaandelijk aan de vergadering waarop tot sluiting wordt beslist, hetzij gezamenlijk ter gelegenheid van deze vergadering voorafgaandelijk</w:t>
      </w:r>
      <w:r>
        <w:rPr>
          <w:color w:val="231F20"/>
          <w:spacing w:val="20"/>
        </w:rPr>
        <w:t> </w:t>
      </w:r>
      <w:r>
        <w:rPr>
          <w:color w:val="231F20"/>
        </w:rPr>
        <w:t>aan</w:t>
      </w:r>
      <w:r>
        <w:rPr>
          <w:color w:val="231F20"/>
          <w:spacing w:val="21"/>
        </w:rPr>
        <w:t> </w:t>
      </w:r>
      <w:r>
        <w:rPr>
          <w:color w:val="231F20"/>
        </w:rPr>
        <w:t>de</w:t>
      </w:r>
      <w:r>
        <w:rPr>
          <w:color w:val="231F20"/>
          <w:spacing w:val="20"/>
        </w:rPr>
        <w:t> </w:t>
      </w:r>
      <w:r>
        <w:rPr>
          <w:color w:val="231F20"/>
        </w:rPr>
        <w:t>behandeling</w:t>
      </w:r>
      <w:r>
        <w:rPr>
          <w:color w:val="231F20"/>
          <w:spacing w:val="21"/>
        </w:rPr>
        <w:t> </w:t>
      </w:r>
      <w:r>
        <w:rPr>
          <w:color w:val="231F20"/>
        </w:rPr>
        <w:t>van</w:t>
      </w:r>
      <w:r>
        <w:rPr>
          <w:color w:val="231F20"/>
          <w:spacing w:val="20"/>
        </w:rPr>
        <w:t> </w:t>
      </w:r>
      <w:r>
        <w:rPr>
          <w:color w:val="231F20"/>
        </w:rPr>
        <w:t>enig</w:t>
      </w:r>
      <w:r>
        <w:rPr>
          <w:color w:val="231F20"/>
          <w:spacing w:val="21"/>
        </w:rPr>
        <w:t> </w:t>
      </w:r>
      <w:r>
        <w:rPr>
          <w:color w:val="231F20"/>
        </w:rPr>
        <w:t>ander</w:t>
      </w:r>
      <w:r>
        <w:rPr>
          <w:color w:val="231F20"/>
          <w:spacing w:val="21"/>
        </w:rPr>
        <w:t> </w:t>
      </w:r>
      <w:r>
        <w:rPr>
          <w:color w:val="231F20"/>
        </w:rPr>
        <w:t>agendapunt.</w:t>
      </w:r>
    </w:p>
    <w:p>
      <w:pPr>
        <w:pStyle w:val="BodyText"/>
        <w:ind w:left="0" w:right="0" w:firstLine="0"/>
        <w:jc w:val="left"/>
        <w:rPr>
          <w:sz w:val="16"/>
        </w:rPr>
      </w:pPr>
    </w:p>
    <w:p>
      <w:pPr>
        <w:pStyle w:val="BodyText"/>
        <w:spacing w:line="218" w:lineRule="auto"/>
      </w:pPr>
      <w:r>
        <w:rPr>
          <w:color w:val="231F20"/>
        </w:rPr>
        <w:t>Nadat zij in voorkomend geval kennis heeft genomen van het verslag van de commissaris, beslist de algemene vergadering over de goedkeu- ring van de rekeningen. Bij afzonderlijke stemming beslist zij aanslui- tend over de kwijting aan de vereffenaars en, in voorkomend geval, aan de commissaris, en over de sluiting van de vereffening.</w:t>
      </w:r>
    </w:p>
    <w:p>
      <w:pPr>
        <w:pStyle w:val="BodyText"/>
        <w:ind w:left="0" w:right="0" w:firstLine="0"/>
        <w:jc w:val="left"/>
        <w:rPr>
          <w:sz w:val="16"/>
        </w:rPr>
      </w:pPr>
    </w:p>
    <w:p>
      <w:pPr>
        <w:pStyle w:val="BodyText"/>
        <w:spacing w:line="218" w:lineRule="auto"/>
      </w:pPr>
      <w:r>
        <w:rPr>
          <w:color w:val="231F20"/>
        </w:rPr>
        <w:t>Art. 2:101. In afwijking van artikel 2:100, brengt de </w:t>
      </w:r>
      <w:r>
        <w:rPr>
          <w:color w:val="231F20"/>
          <w:spacing w:val="-3"/>
        </w:rPr>
        <w:t>vereffenaar, </w:t>
      </w:r>
      <w:r>
        <w:rPr>
          <w:color w:val="231F20"/>
        </w:rPr>
        <w:t>in geval van gerechtelijke ontbinding, bij de beëindiging van de vereffe- ning, verslag uit aan de rechtbank, waarbij hij aan de rechtbank het in artikel</w:t>
      </w:r>
      <w:r>
        <w:rPr>
          <w:color w:val="231F20"/>
          <w:spacing w:val="-4"/>
        </w:rPr>
        <w:t> </w:t>
      </w:r>
      <w:r>
        <w:rPr>
          <w:color w:val="231F20"/>
        </w:rPr>
        <w:t>2:100,</w:t>
      </w:r>
      <w:r>
        <w:rPr>
          <w:color w:val="231F20"/>
          <w:spacing w:val="-4"/>
        </w:rPr>
        <w:t> </w:t>
      </w:r>
      <w:r>
        <w:rPr>
          <w:color w:val="231F20"/>
        </w:rPr>
        <w:t>eerste</w:t>
      </w:r>
      <w:r>
        <w:rPr>
          <w:color w:val="231F20"/>
          <w:spacing w:val="-3"/>
        </w:rPr>
        <w:t> </w:t>
      </w:r>
      <w:r>
        <w:rPr>
          <w:color w:val="231F20"/>
        </w:rPr>
        <w:t>lid,</w:t>
      </w:r>
      <w:r>
        <w:rPr>
          <w:color w:val="231F20"/>
          <w:spacing w:val="-4"/>
        </w:rPr>
        <w:t> </w:t>
      </w:r>
      <w:r>
        <w:rPr>
          <w:color w:val="231F20"/>
        </w:rPr>
        <w:t>bedoelde</w:t>
      </w:r>
      <w:r>
        <w:rPr>
          <w:color w:val="231F20"/>
          <w:spacing w:val="-3"/>
        </w:rPr>
        <w:t> </w:t>
      </w:r>
      <w:r>
        <w:rPr>
          <w:color w:val="231F20"/>
        </w:rPr>
        <w:t>cijfermatig</w:t>
      </w:r>
      <w:r>
        <w:rPr>
          <w:color w:val="231F20"/>
          <w:spacing w:val="-4"/>
        </w:rPr>
        <w:t> </w:t>
      </w:r>
      <w:r>
        <w:rPr>
          <w:color w:val="231F20"/>
        </w:rPr>
        <w:t>verslag</w:t>
      </w:r>
      <w:r>
        <w:rPr>
          <w:color w:val="231F20"/>
          <w:spacing w:val="-3"/>
        </w:rPr>
        <w:t> </w:t>
      </w:r>
      <w:r>
        <w:rPr>
          <w:color w:val="231F20"/>
        </w:rPr>
        <w:t>over</w:t>
      </w:r>
      <w:r>
        <w:rPr>
          <w:color w:val="231F20"/>
          <w:spacing w:val="-4"/>
        </w:rPr>
        <w:t> </w:t>
      </w:r>
      <w:r>
        <w:rPr>
          <w:color w:val="231F20"/>
        </w:rPr>
        <w:t>de</w:t>
      </w:r>
      <w:r>
        <w:rPr>
          <w:color w:val="231F20"/>
          <w:spacing w:val="-4"/>
        </w:rPr>
        <w:t> </w:t>
      </w:r>
      <w:r>
        <w:rPr>
          <w:color w:val="231F20"/>
        </w:rPr>
        <w:t>vereffening voorlegt, en in voorkomend geval aangeeft welke bestemming aan de overblijvende activa is</w:t>
      </w:r>
      <w:r>
        <w:rPr>
          <w:color w:val="231F20"/>
          <w:spacing w:val="6"/>
        </w:rPr>
        <w:t> </w:t>
      </w:r>
      <w:r>
        <w:rPr>
          <w:color w:val="231F20"/>
        </w:rPr>
        <w:t>gegeven.</w:t>
      </w:r>
    </w:p>
    <w:p>
      <w:pPr>
        <w:pStyle w:val="BodyText"/>
        <w:spacing w:before="168"/>
        <w:ind w:left="283" w:right="0" w:firstLine="0"/>
        <w:jc w:val="left"/>
      </w:pPr>
      <w:r>
        <w:rPr>
          <w:color w:val="231F20"/>
        </w:rPr>
        <w:t>De rechtbank spreekt de sluiting van de vereffening uit.</w:t>
      </w:r>
    </w:p>
    <w:p>
      <w:pPr>
        <w:spacing w:after="0"/>
        <w:jc w:val="left"/>
        <w:sectPr>
          <w:pgSz w:w="11940" w:h="16880"/>
          <w:pgMar w:header="666" w:footer="0" w:top="1140" w:bottom="280" w:left="340" w:right="360"/>
          <w:cols w:num="2" w:equalWidth="0">
            <w:col w:w="5528" w:space="100"/>
            <w:col w:w="5612"/>
          </w:cols>
        </w:sectPr>
      </w:pPr>
    </w:p>
    <w:p>
      <w:pPr>
        <w:pStyle w:val="BodyText"/>
        <w:spacing w:line="218" w:lineRule="auto" w:before="105"/>
        <w:ind w:right="38"/>
      </w:pPr>
      <w:r>
        <w:rPr/>
        <w:pict>
          <v:line style="position:absolute;mso-position-horizontal-relative:page;mso-position-vertical-relative:page;z-index:1912" from="298.170502pt,64.473pt" to="298.170502pt,812.819pt" stroked="true" strokeweight=".533pt" strokecolor="#231f20">
            <v:stroke dashstyle="solid"/>
            <w10:wrap type="none"/>
          </v:line>
        </w:pict>
      </w:r>
      <w:bookmarkStart w:name="_bookmark37" w:id="40"/>
      <w:bookmarkEnd w:id="40"/>
      <w:r>
        <w:rPr/>
      </w:r>
      <w:r>
        <w:rPr>
          <w:color w:val="231F20"/>
        </w:rPr>
        <w:t>Art. 2:102. § 1</w:t>
      </w:r>
      <w:r>
        <w:rPr>
          <w:color w:val="231F20"/>
          <w:position w:val="7"/>
          <w:sz w:val="11"/>
        </w:rPr>
        <w:t>er</w:t>
      </w:r>
      <w:r>
        <w:rPr>
          <w:color w:val="231F20"/>
        </w:rPr>
        <w:t>. La clôture de la liquidation est publiée conformé- ment aux articles 2:7 et 2:13.</w:t>
      </w:r>
    </w:p>
    <w:p>
      <w:pPr>
        <w:pStyle w:val="BodyText"/>
        <w:spacing w:before="71"/>
        <w:ind w:left="283" w:right="0" w:firstLine="0"/>
        <w:jc w:val="left"/>
      </w:pPr>
      <w:r>
        <w:rPr>
          <w:color w:val="231F20"/>
        </w:rPr>
        <w:t>Cette publication contient en outre:</w:t>
      </w:r>
    </w:p>
    <w:p>
      <w:pPr>
        <w:pStyle w:val="BodyText"/>
        <w:spacing w:line="218" w:lineRule="auto" w:before="82"/>
        <w:ind w:right="38"/>
      </w:pPr>
      <w:r>
        <w:rPr>
          <w:color w:val="231F20"/>
        </w:rPr>
        <w:t>1° l’indication de l’endroit désigné par l’assemblée générale, où les livres et documents sociaux sont déposés et seront conservés pendant cinq ans au moins;</w:t>
      </w:r>
    </w:p>
    <w:p>
      <w:pPr>
        <w:pStyle w:val="BodyText"/>
        <w:spacing w:line="218" w:lineRule="auto" w:before="85"/>
        <w:ind w:right="38"/>
      </w:pPr>
      <w:r>
        <w:rPr>
          <w:color w:val="231F20"/>
        </w:rPr>
        <w:t>2° l’indication des mesures prises en vue de la consignation des sommes et valeurs auprès de la Caisse des dépôts et consignations revenant aux créanciers ou aux associés et dont la remise n’aurait pu leur être faite.</w:t>
      </w:r>
    </w:p>
    <w:p>
      <w:pPr>
        <w:pStyle w:val="BodyText"/>
        <w:spacing w:line="218" w:lineRule="auto" w:before="86"/>
        <w:ind w:right="38"/>
      </w:pPr>
      <w:r>
        <w:rPr>
          <w:color w:val="231F20"/>
        </w:rPr>
        <w:t>§ 2. Dans le cas d’une clôture judiciaire de la liquidation de la société, l’extrait de la décision judiciaire passée en force de chose jugée ou exécutoire par provision prononçant la clôture judiciaire de la liquida- tion de la société, de même que l’extrait de la décision judiciaire réformant le jugement exécutoire par provision précité, est publié par</w:t>
      </w:r>
      <w:r>
        <w:rPr>
          <w:color w:val="231F20"/>
          <w:spacing w:val="-16"/>
        </w:rPr>
        <w:t> </w:t>
      </w:r>
      <w:r>
        <w:rPr>
          <w:color w:val="231F20"/>
        </w:rPr>
        <w:t>le </w:t>
      </w:r>
      <w:r>
        <w:rPr>
          <w:color w:val="231F20"/>
          <w:spacing w:val="-4"/>
        </w:rPr>
        <w:t>greffier </w:t>
      </w:r>
      <w:r>
        <w:rPr>
          <w:color w:val="231F20"/>
        </w:rPr>
        <w:t>conformément aux articles 2:7 et</w:t>
      </w:r>
      <w:r>
        <w:rPr>
          <w:color w:val="231F20"/>
          <w:spacing w:val="9"/>
        </w:rPr>
        <w:t> </w:t>
      </w:r>
      <w:r>
        <w:rPr>
          <w:color w:val="231F20"/>
        </w:rPr>
        <w:t>2:13.</w:t>
      </w:r>
    </w:p>
    <w:p>
      <w:pPr>
        <w:pStyle w:val="BodyText"/>
        <w:spacing w:before="9"/>
        <w:ind w:left="0" w:right="0" w:firstLine="0"/>
        <w:jc w:val="left"/>
        <w:rPr>
          <w:sz w:val="21"/>
        </w:rPr>
      </w:pPr>
    </w:p>
    <w:p>
      <w:pPr>
        <w:pStyle w:val="BodyText"/>
        <w:ind w:left="283" w:right="0" w:firstLine="0"/>
        <w:jc w:val="left"/>
      </w:pPr>
      <w:r>
        <w:rPr>
          <w:color w:val="231F20"/>
        </w:rPr>
        <w:t>Cet extrait contient:</w:t>
      </w:r>
    </w:p>
    <w:p>
      <w:pPr>
        <w:pStyle w:val="BodyText"/>
        <w:spacing w:before="68"/>
        <w:ind w:left="283" w:right="0" w:firstLine="0"/>
        <w:jc w:val="left"/>
      </w:pPr>
      <w:r>
        <w:rPr>
          <w:color w:val="231F20"/>
        </w:rPr>
        <w:t>1° la dénomination et le siège de la société;</w:t>
      </w:r>
    </w:p>
    <w:p>
      <w:pPr>
        <w:pStyle w:val="BodyText"/>
        <w:spacing w:before="68"/>
        <w:ind w:left="283" w:right="0" w:firstLine="0"/>
        <w:jc w:val="left"/>
      </w:pPr>
      <w:r>
        <w:rPr>
          <w:color w:val="231F20"/>
        </w:rPr>
        <w:t>2° la date de la décision et le juge qui l’a prononcée;</w:t>
      </w:r>
    </w:p>
    <w:p>
      <w:pPr>
        <w:pStyle w:val="BodyText"/>
        <w:spacing w:line="218" w:lineRule="auto" w:before="82"/>
        <w:ind w:right="38"/>
      </w:pPr>
      <w:r>
        <w:rPr>
          <w:color w:val="231F20"/>
        </w:rPr>
        <w:t>3°</w:t>
      </w:r>
      <w:r>
        <w:rPr>
          <w:color w:val="231F20"/>
          <w:spacing w:val="-6"/>
        </w:rPr>
        <w:t> </w:t>
      </w:r>
      <w:r>
        <w:rPr>
          <w:color w:val="231F20"/>
        </w:rPr>
        <w:t>le</w:t>
      </w:r>
      <w:r>
        <w:rPr>
          <w:color w:val="231F20"/>
          <w:spacing w:val="-5"/>
        </w:rPr>
        <w:t> </w:t>
      </w:r>
      <w:r>
        <w:rPr>
          <w:color w:val="231F20"/>
        </w:rPr>
        <w:t>cas</w:t>
      </w:r>
      <w:r>
        <w:rPr>
          <w:color w:val="231F20"/>
          <w:spacing w:val="-5"/>
        </w:rPr>
        <w:t> </w:t>
      </w:r>
      <w:r>
        <w:rPr>
          <w:color w:val="231F20"/>
        </w:rPr>
        <w:t>échéant,</w:t>
      </w:r>
      <w:r>
        <w:rPr>
          <w:color w:val="231F20"/>
          <w:spacing w:val="-5"/>
        </w:rPr>
        <w:t> </w:t>
      </w:r>
      <w:r>
        <w:rPr>
          <w:color w:val="231F20"/>
        </w:rPr>
        <w:t>les</w:t>
      </w:r>
      <w:r>
        <w:rPr>
          <w:color w:val="231F20"/>
          <w:spacing w:val="-5"/>
        </w:rPr>
        <w:t> </w:t>
      </w:r>
      <w:r>
        <w:rPr>
          <w:color w:val="231F20"/>
        </w:rPr>
        <w:t>nom,</w:t>
      </w:r>
      <w:r>
        <w:rPr>
          <w:color w:val="231F20"/>
          <w:spacing w:val="-5"/>
        </w:rPr>
        <w:t> </w:t>
      </w:r>
      <w:r>
        <w:rPr>
          <w:color w:val="231F20"/>
        </w:rPr>
        <w:t>prénom</w:t>
      </w:r>
      <w:r>
        <w:rPr>
          <w:color w:val="231F20"/>
          <w:spacing w:val="-5"/>
        </w:rPr>
        <w:t> </w:t>
      </w:r>
      <w:r>
        <w:rPr>
          <w:color w:val="231F20"/>
        </w:rPr>
        <w:t>et</w:t>
      </w:r>
      <w:r>
        <w:rPr>
          <w:color w:val="231F20"/>
          <w:spacing w:val="-6"/>
        </w:rPr>
        <w:t> </w:t>
      </w:r>
      <w:r>
        <w:rPr>
          <w:color w:val="231F20"/>
        </w:rPr>
        <w:t>domicile</w:t>
      </w:r>
      <w:r>
        <w:rPr>
          <w:color w:val="231F20"/>
          <w:spacing w:val="-5"/>
        </w:rPr>
        <w:t> </w:t>
      </w:r>
      <w:r>
        <w:rPr>
          <w:color w:val="231F20"/>
        </w:rPr>
        <w:t>des</w:t>
      </w:r>
      <w:r>
        <w:rPr>
          <w:color w:val="231F20"/>
          <w:spacing w:val="-5"/>
        </w:rPr>
        <w:t> </w:t>
      </w:r>
      <w:r>
        <w:rPr>
          <w:color w:val="231F20"/>
        </w:rPr>
        <w:t>liquidateurs;</w:t>
      </w:r>
      <w:r>
        <w:rPr>
          <w:color w:val="231F20"/>
          <w:spacing w:val="-5"/>
        </w:rPr>
        <w:t> </w:t>
      </w:r>
      <w:r>
        <w:rPr>
          <w:color w:val="231F20"/>
        </w:rPr>
        <w:t>au</w:t>
      </w:r>
      <w:r>
        <w:rPr>
          <w:color w:val="231F20"/>
          <w:spacing w:val="-5"/>
        </w:rPr>
        <w:t> </w:t>
      </w:r>
      <w:r>
        <w:rPr>
          <w:color w:val="231F20"/>
        </w:rPr>
        <w:t>cas où le liquidateur est une personne morale, l’extrait contient la désignation ou la modification de la désignation de la personne physique</w:t>
      </w:r>
      <w:r>
        <w:rPr>
          <w:color w:val="231F20"/>
          <w:spacing w:val="14"/>
        </w:rPr>
        <w:t> </w:t>
      </w:r>
      <w:r>
        <w:rPr>
          <w:color w:val="231F20"/>
        </w:rPr>
        <w:t>qui</w:t>
      </w:r>
      <w:r>
        <w:rPr>
          <w:color w:val="231F20"/>
          <w:spacing w:val="14"/>
        </w:rPr>
        <w:t> </w:t>
      </w:r>
      <w:r>
        <w:rPr>
          <w:color w:val="231F20"/>
        </w:rPr>
        <w:t>la</w:t>
      </w:r>
      <w:r>
        <w:rPr>
          <w:color w:val="231F20"/>
          <w:spacing w:val="14"/>
        </w:rPr>
        <w:t> </w:t>
      </w:r>
      <w:r>
        <w:rPr>
          <w:color w:val="231F20"/>
        </w:rPr>
        <w:t>représente</w:t>
      </w:r>
      <w:r>
        <w:rPr>
          <w:color w:val="231F20"/>
          <w:spacing w:val="14"/>
        </w:rPr>
        <w:t> </w:t>
      </w:r>
      <w:r>
        <w:rPr>
          <w:color w:val="231F20"/>
        </w:rPr>
        <w:t>pour</w:t>
      </w:r>
      <w:r>
        <w:rPr>
          <w:color w:val="231F20"/>
          <w:spacing w:val="14"/>
        </w:rPr>
        <w:t> </w:t>
      </w:r>
      <w:r>
        <w:rPr>
          <w:color w:val="231F20"/>
        </w:rPr>
        <w:t>l’exercice</w:t>
      </w:r>
      <w:r>
        <w:rPr>
          <w:color w:val="231F20"/>
          <w:spacing w:val="15"/>
        </w:rPr>
        <w:t> </w:t>
      </w:r>
      <w:r>
        <w:rPr>
          <w:color w:val="231F20"/>
        </w:rPr>
        <w:t>des</w:t>
      </w:r>
      <w:r>
        <w:rPr>
          <w:color w:val="231F20"/>
          <w:spacing w:val="14"/>
        </w:rPr>
        <w:t> </w:t>
      </w:r>
      <w:r>
        <w:rPr>
          <w:color w:val="231F20"/>
        </w:rPr>
        <w:t>pouvoirs</w:t>
      </w:r>
      <w:r>
        <w:rPr>
          <w:color w:val="231F20"/>
          <w:spacing w:val="14"/>
        </w:rPr>
        <w:t> </w:t>
      </w:r>
      <w:r>
        <w:rPr>
          <w:color w:val="231F20"/>
        </w:rPr>
        <w:t>de</w:t>
      </w:r>
      <w:r>
        <w:rPr>
          <w:color w:val="231F20"/>
          <w:spacing w:val="14"/>
        </w:rPr>
        <w:t> </w:t>
      </w:r>
      <w:r>
        <w:rPr>
          <w:color w:val="231F20"/>
        </w:rPr>
        <w:t>liquidation;</w:t>
      </w:r>
    </w:p>
    <w:p>
      <w:pPr>
        <w:pStyle w:val="BodyText"/>
        <w:ind w:left="0" w:right="0" w:firstLine="0"/>
        <w:jc w:val="left"/>
        <w:rPr>
          <w:sz w:val="23"/>
        </w:rPr>
      </w:pPr>
    </w:p>
    <w:p>
      <w:pPr>
        <w:pStyle w:val="BodyText"/>
        <w:spacing w:line="218" w:lineRule="auto"/>
        <w:ind w:right="38"/>
      </w:pPr>
      <w:r>
        <w:rPr>
          <w:color w:val="231F20"/>
        </w:rPr>
        <w:t>4° l’indication de l’endroit où les livres et documents sociaux sont déposés et seront conservés, pendant cinq ans au moins et l’indication de la consignation des sommes et valeurs revenant aux créanciers ou aux associés et dont la remise n’aurait pu leur être faite.</w:t>
      </w:r>
    </w:p>
    <w:p>
      <w:pPr>
        <w:pStyle w:val="BodyText"/>
        <w:ind w:left="0" w:right="0" w:firstLine="0"/>
        <w:jc w:val="left"/>
        <w:rPr>
          <w:sz w:val="23"/>
        </w:rPr>
      </w:pPr>
    </w:p>
    <w:p>
      <w:pPr>
        <w:pStyle w:val="BodyText"/>
        <w:spacing w:line="218" w:lineRule="auto"/>
        <w:ind w:right="38"/>
      </w:pPr>
      <w:r>
        <w:rPr>
          <w:color w:val="231F20"/>
        </w:rPr>
        <w:t>Art. 2:103. Pour chaque liquidation, les pièces suivantes sont déposées au greffe dans le dossier visé à l’article 2:7:</w:t>
      </w:r>
    </w:p>
    <w:p>
      <w:pPr>
        <w:pStyle w:val="BodyText"/>
        <w:spacing w:before="72"/>
        <w:ind w:left="283" w:right="0" w:firstLine="0"/>
        <w:jc w:val="left"/>
      </w:pPr>
      <w:r>
        <w:rPr>
          <w:color w:val="231F20"/>
        </w:rPr>
        <w:t>1° la copie des rapports visés à l’article 2:71, § 2;</w:t>
      </w:r>
    </w:p>
    <w:p>
      <w:pPr>
        <w:pStyle w:val="BodyText"/>
        <w:spacing w:before="78"/>
        <w:ind w:left="283" w:right="0" w:firstLine="0"/>
        <w:jc w:val="left"/>
      </w:pPr>
      <w:r>
        <w:rPr>
          <w:color w:val="231F20"/>
        </w:rPr>
        <w:t>2° une copie des états de liquidation visés à l’article 2:96;</w:t>
      </w:r>
    </w:p>
    <w:p>
      <w:pPr>
        <w:pStyle w:val="BodyText"/>
        <w:spacing w:line="218" w:lineRule="auto" w:before="78"/>
        <w:ind w:right="38"/>
      </w:pPr>
      <w:r>
        <w:rPr>
          <w:color w:val="231F20"/>
        </w:rPr>
        <w:t>3° les extraits des publications prévues aux articles 2:8, § 1</w:t>
      </w:r>
      <w:r>
        <w:rPr>
          <w:color w:val="231F20"/>
          <w:position w:val="7"/>
          <w:sz w:val="11"/>
        </w:rPr>
        <w:t>er</w:t>
      </w:r>
      <w:r>
        <w:rPr>
          <w:color w:val="231F20"/>
        </w:rPr>
        <w:t>, 5°, et 2:102;</w:t>
      </w:r>
    </w:p>
    <w:p>
      <w:pPr>
        <w:pStyle w:val="BodyText"/>
        <w:spacing w:before="82"/>
        <w:ind w:left="283" w:right="0" w:firstLine="0"/>
        <w:jc w:val="left"/>
      </w:pPr>
      <w:r>
        <w:rPr>
          <w:color w:val="231F20"/>
        </w:rPr>
        <w:t>4° le plan de répartition de l’actif approuvé et visé à l’article 2:97, § 2;</w:t>
      </w:r>
    </w:p>
    <w:p>
      <w:pPr>
        <w:pStyle w:val="BodyText"/>
        <w:spacing w:before="3"/>
        <w:ind w:left="0" w:right="0" w:firstLine="0"/>
        <w:jc w:val="left"/>
        <w:rPr>
          <w:sz w:val="22"/>
        </w:rPr>
      </w:pPr>
    </w:p>
    <w:p>
      <w:pPr>
        <w:pStyle w:val="BodyText"/>
        <w:spacing w:line="218" w:lineRule="auto" w:before="1"/>
        <w:ind w:right="38"/>
      </w:pPr>
      <w:r>
        <w:rPr>
          <w:color w:val="231F20"/>
        </w:rPr>
        <w:t>5° le rapport visé à l’article 2:100, alinéa 1</w:t>
      </w:r>
      <w:r>
        <w:rPr>
          <w:color w:val="231F20"/>
          <w:position w:val="7"/>
          <w:sz w:val="11"/>
        </w:rPr>
        <w:t>er</w:t>
      </w:r>
      <w:r>
        <w:rPr>
          <w:color w:val="231F20"/>
        </w:rPr>
        <w:t>, le cas échéant avec des informations relatives à la restitution des apports et à la distribution d’un solde de liquidation aux actionnaires ou associés;</w:t>
      </w:r>
    </w:p>
    <w:p>
      <w:pPr>
        <w:pStyle w:val="BodyText"/>
        <w:spacing w:before="7"/>
        <w:ind w:left="0" w:right="0" w:firstLine="0"/>
        <w:jc w:val="left"/>
        <w:rPr>
          <w:sz w:val="22"/>
        </w:rPr>
      </w:pPr>
    </w:p>
    <w:p>
      <w:pPr>
        <w:pStyle w:val="BodyText"/>
        <w:spacing w:before="1"/>
        <w:ind w:left="283" w:right="0" w:firstLine="0"/>
        <w:jc w:val="left"/>
      </w:pPr>
      <w:r>
        <w:rPr>
          <w:color w:val="231F20"/>
        </w:rPr>
        <w:t>6° le cas échéant, la liste des homologations et des confirmations.</w:t>
      </w:r>
    </w:p>
    <w:p>
      <w:pPr>
        <w:pStyle w:val="BodyText"/>
        <w:spacing w:line="218" w:lineRule="auto" w:before="92"/>
        <w:ind w:right="38"/>
      </w:pPr>
      <w:r>
        <w:rPr>
          <w:color w:val="231F20"/>
        </w:rPr>
        <w:t>Tout intéressé peut prendre gratuitement connaissance du dossier et en obtenir copie moyennant le paiement des frais de greffe.</w:t>
      </w:r>
    </w:p>
    <w:p>
      <w:pPr>
        <w:pStyle w:val="BodyText"/>
        <w:spacing w:before="82"/>
        <w:ind w:left="283" w:right="0" w:firstLine="0"/>
        <w:jc w:val="left"/>
      </w:pPr>
      <w:r>
        <w:rPr>
          <w:color w:val="231F20"/>
        </w:rPr>
        <w:t>L’article 2:14, 4°, ne s’applique pas à ce dépôt.</w:t>
      </w:r>
    </w:p>
    <w:p>
      <w:pPr>
        <w:pStyle w:val="BodyText"/>
        <w:spacing w:line="218" w:lineRule="auto" w:before="78"/>
        <w:ind w:right="38"/>
      </w:pPr>
      <w:r>
        <w:rPr>
          <w:color w:val="231F20"/>
        </w:rPr>
        <w:t>Art. 2:104. § 1</w:t>
      </w:r>
      <w:r>
        <w:rPr>
          <w:color w:val="231F20"/>
          <w:position w:val="7"/>
          <w:sz w:val="11"/>
        </w:rPr>
        <w:t>er</w:t>
      </w:r>
      <w:r>
        <w:rPr>
          <w:color w:val="231F20"/>
        </w:rPr>
        <w:t>. À la suite de la clôture de la liquidation, les associés ou actionnaires deviennent, de plein droit chacun pour sa part, propriétaires indivis de tous les actifs de la société même si ceux-ci ne sont pas connus au moment de la clôture de la liquidation.</w:t>
      </w:r>
    </w:p>
    <w:p>
      <w:pPr>
        <w:pStyle w:val="BodyText"/>
        <w:spacing w:before="11"/>
        <w:ind w:left="0" w:right="0" w:firstLine="0"/>
        <w:jc w:val="left"/>
        <w:rPr>
          <w:sz w:val="23"/>
        </w:rPr>
      </w:pPr>
    </w:p>
    <w:p>
      <w:pPr>
        <w:pStyle w:val="BodyText"/>
        <w:spacing w:line="218" w:lineRule="auto"/>
        <w:ind w:right="39"/>
      </w:pPr>
      <w:r>
        <w:rPr>
          <w:color w:val="231F20"/>
        </w:rPr>
        <w:t>Le Roi détermine la procédure à suivre pour la réalisation et la consignation de ces actifs si aucun associé ou actionnaire n’est connu.</w:t>
      </w:r>
    </w:p>
    <w:p>
      <w:pPr>
        <w:pStyle w:val="BodyText"/>
        <w:spacing w:before="10"/>
        <w:ind w:left="0" w:right="0" w:firstLine="0"/>
        <w:jc w:val="left"/>
        <w:rPr>
          <w:sz w:val="23"/>
        </w:rPr>
      </w:pPr>
    </w:p>
    <w:p>
      <w:pPr>
        <w:pStyle w:val="BodyText"/>
        <w:spacing w:line="218" w:lineRule="auto"/>
        <w:ind w:right="38"/>
      </w:pPr>
      <w:r>
        <w:rPr>
          <w:color w:val="231F20"/>
        </w:rPr>
        <w:t>§ 2. Les actionnaires d’une société à responsabilité limitée,</w:t>
      </w:r>
      <w:r>
        <w:rPr>
          <w:color w:val="231F20"/>
          <w:spacing w:val="27"/>
        </w:rPr>
        <w:t> </w:t>
      </w:r>
      <w:r>
        <w:rPr>
          <w:color w:val="231F20"/>
        </w:rPr>
        <w:t>d’une société coopérative et d’une société anonyme sont responsables, sans solidarité entre eux, des dettes de la société dissoute qui n’ont pas été payées au plus tard lors de la clôture de la liquidation et pour lesquelles il n’a pas été consigné, au plus tard à cette date, un montant </w:t>
      </w:r>
      <w:r>
        <w:rPr>
          <w:color w:val="231F20"/>
          <w:spacing w:val="-3"/>
        </w:rPr>
        <w:t>suffisant </w:t>
      </w:r>
      <w:r>
        <w:rPr>
          <w:color w:val="231F20"/>
        </w:rPr>
        <w:t>pour couvrir ces dettes en principal et accessoires, s’ils en connaissaient l’existence ou ne pouvaient les ignorer compte tenu des circonstances. Cette responsabilité est, pour chaque actionnaire, limitée au montant égal à la somme de l’apport qui lui est remboursé et de sa part dans le solde de liquidation reçue avant ou lors de la clôture de la liquidation de la société. Il en va de même des actionnaires qui ont cédé leurs actions avant la clôture de la liquidation, à concurrence des acomptes qu’ils auraient</w:t>
      </w:r>
      <w:r>
        <w:rPr>
          <w:color w:val="231F20"/>
          <w:spacing w:val="-11"/>
        </w:rPr>
        <w:t> </w:t>
      </w:r>
      <w:r>
        <w:rPr>
          <w:color w:val="231F20"/>
        </w:rPr>
        <w:t>perçus.</w:t>
      </w:r>
    </w:p>
    <w:p>
      <w:pPr>
        <w:pStyle w:val="BodyText"/>
        <w:ind w:left="0" w:right="0" w:firstLine="0"/>
        <w:jc w:val="left"/>
        <w:rPr>
          <w:sz w:val="20"/>
        </w:rPr>
      </w:pPr>
    </w:p>
    <w:p>
      <w:pPr>
        <w:pStyle w:val="BodyText"/>
        <w:spacing w:before="6"/>
        <w:ind w:left="0" w:right="0" w:firstLine="0"/>
        <w:jc w:val="left"/>
        <w:rPr>
          <w:sz w:val="19"/>
        </w:rPr>
      </w:pPr>
    </w:p>
    <w:p>
      <w:pPr>
        <w:pStyle w:val="BodyText"/>
        <w:spacing w:line="218" w:lineRule="auto"/>
        <w:ind w:right="38"/>
      </w:pPr>
      <w:r>
        <w:rPr>
          <w:color w:val="231F20"/>
        </w:rPr>
        <w:t>§ 3. En cas d’application des articles 2:80 et 2:81, les actionnaires d’une société à responsabilité limitée, d’une société coopérative et  d’une société anonyme sont, par dérogation au paragraphe 2 toujours responsables, sans solidarité entre eux, des dettes visées au paragra- phe</w:t>
      </w:r>
      <w:r>
        <w:rPr>
          <w:color w:val="231F20"/>
          <w:spacing w:val="22"/>
        </w:rPr>
        <w:t> </w:t>
      </w:r>
      <w:r>
        <w:rPr>
          <w:color w:val="231F20"/>
        </w:rPr>
        <w:t>2</w:t>
      </w:r>
      <w:r>
        <w:rPr>
          <w:color w:val="231F20"/>
          <w:spacing w:val="23"/>
        </w:rPr>
        <w:t> </w:t>
      </w:r>
      <w:r>
        <w:rPr>
          <w:color w:val="231F20"/>
        </w:rPr>
        <w:t>indépendamment</w:t>
      </w:r>
      <w:r>
        <w:rPr>
          <w:color w:val="231F20"/>
          <w:spacing w:val="22"/>
        </w:rPr>
        <w:t> </w:t>
      </w:r>
      <w:r>
        <w:rPr>
          <w:color w:val="231F20"/>
        </w:rPr>
        <w:t>du</w:t>
      </w:r>
      <w:r>
        <w:rPr>
          <w:color w:val="231F20"/>
          <w:spacing w:val="23"/>
        </w:rPr>
        <w:t> </w:t>
      </w:r>
      <w:r>
        <w:rPr>
          <w:color w:val="231F20"/>
        </w:rPr>
        <w:t>fait</w:t>
      </w:r>
      <w:r>
        <w:rPr>
          <w:color w:val="231F20"/>
          <w:spacing w:val="22"/>
        </w:rPr>
        <w:t> </w:t>
      </w:r>
      <w:r>
        <w:rPr>
          <w:color w:val="231F20"/>
        </w:rPr>
        <w:t>qu’ils</w:t>
      </w:r>
      <w:r>
        <w:rPr>
          <w:color w:val="231F20"/>
          <w:spacing w:val="23"/>
        </w:rPr>
        <w:t> </w:t>
      </w:r>
      <w:r>
        <w:rPr>
          <w:color w:val="231F20"/>
        </w:rPr>
        <w:t>en</w:t>
      </w:r>
      <w:r>
        <w:rPr>
          <w:color w:val="231F20"/>
          <w:spacing w:val="22"/>
        </w:rPr>
        <w:t> </w:t>
      </w:r>
      <w:r>
        <w:rPr>
          <w:color w:val="231F20"/>
        </w:rPr>
        <w:t>aient</w:t>
      </w:r>
      <w:r>
        <w:rPr>
          <w:color w:val="231F20"/>
          <w:spacing w:val="23"/>
        </w:rPr>
        <w:t> </w:t>
      </w:r>
      <w:r>
        <w:rPr>
          <w:color w:val="231F20"/>
        </w:rPr>
        <w:t>ou</w:t>
      </w:r>
      <w:r>
        <w:rPr>
          <w:color w:val="231F20"/>
          <w:spacing w:val="22"/>
        </w:rPr>
        <w:t> </w:t>
      </w:r>
      <w:r>
        <w:rPr>
          <w:color w:val="231F20"/>
        </w:rPr>
        <w:t>non</w:t>
      </w:r>
      <w:r>
        <w:rPr>
          <w:color w:val="231F20"/>
          <w:spacing w:val="23"/>
        </w:rPr>
        <w:t> </w:t>
      </w:r>
      <w:r>
        <w:rPr>
          <w:color w:val="231F20"/>
        </w:rPr>
        <w:t>eu</w:t>
      </w:r>
      <w:r>
        <w:rPr>
          <w:color w:val="231F20"/>
          <w:spacing w:val="22"/>
        </w:rPr>
        <w:t> </w:t>
      </w:r>
      <w:r>
        <w:rPr>
          <w:color w:val="231F20"/>
        </w:rPr>
        <w:t>ou</w:t>
      </w:r>
      <w:r>
        <w:rPr>
          <w:color w:val="231F20"/>
          <w:spacing w:val="23"/>
        </w:rPr>
        <w:t> </w:t>
      </w:r>
      <w:r>
        <w:rPr>
          <w:color w:val="231F20"/>
        </w:rPr>
        <w:t>dû</w:t>
      </w:r>
      <w:r>
        <w:rPr>
          <w:color w:val="231F20"/>
          <w:spacing w:val="22"/>
        </w:rPr>
        <w:t> </w:t>
      </w:r>
      <w:r>
        <w:rPr>
          <w:color w:val="231F20"/>
        </w:rPr>
        <w:t>avoir</w:t>
      </w:r>
    </w:p>
    <w:p>
      <w:pPr>
        <w:pStyle w:val="BodyText"/>
        <w:spacing w:line="218" w:lineRule="auto" w:before="119"/>
      </w:pPr>
      <w:r>
        <w:rPr/>
        <w:br w:type="column"/>
      </w:r>
      <w:r>
        <w:rPr>
          <w:color w:val="231F20"/>
        </w:rPr>
        <w:t>Art. 2:102. § 1. De sluiting van de vereffening wordt bekendgemaakt overeenkomstig de artikelen 2:7 en 2:13.</w:t>
      </w:r>
    </w:p>
    <w:p>
      <w:pPr>
        <w:pStyle w:val="BodyText"/>
        <w:spacing w:before="72"/>
        <w:ind w:left="283" w:right="0" w:firstLine="0"/>
        <w:jc w:val="left"/>
      </w:pPr>
      <w:r>
        <w:rPr>
          <w:color w:val="231F20"/>
        </w:rPr>
        <w:t>Deze bekendmaking behelst bovendien opgave:</w:t>
      </w:r>
    </w:p>
    <w:p>
      <w:pPr>
        <w:pStyle w:val="BodyText"/>
        <w:spacing w:line="218" w:lineRule="auto" w:before="82"/>
      </w:pPr>
      <w:r>
        <w:rPr>
          <w:color w:val="231F20"/>
        </w:rPr>
        <w:t>1° van de plaats, door de algemene vergadering aangewezen, waar   de boeken en bescheiden van de vennootschap moeten worden neergelegd</w:t>
      </w:r>
      <w:r>
        <w:rPr>
          <w:color w:val="231F20"/>
          <w:spacing w:val="15"/>
        </w:rPr>
        <w:t> </w:t>
      </w:r>
      <w:r>
        <w:rPr>
          <w:color w:val="231F20"/>
        </w:rPr>
        <w:t>en</w:t>
      </w:r>
      <w:r>
        <w:rPr>
          <w:color w:val="231F20"/>
          <w:spacing w:val="16"/>
        </w:rPr>
        <w:t> </w:t>
      </w:r>
      <w:r>
        <w:rPr>
          <w:color w:val="231F20"/>
        </w:rPr>
        <w:t>bewaard</w:t>
      </w:r>
      <w:r>
        <w:rPr>
          <w:color w:val="231F20"/>
          <w:spacing w:val="15"/>
        </w:rPr>
        <w:t> </w:t>
      </w:r>
      <w:r>
        <w:rPr>
          <w:color w:val="231F20"/>
        </w:rPr>
        <w:t>gedurende</w:t>
      </w:r>
      <w:r>
        <w:rPr>
          <w:color w:val="231F20"/>
          <w:spacing w:val="16"/>
        </w:rPr>
        <w:t> </w:t>
      </w:r>
      <w:r>
        <w:rPr>
          <w:color w:val="231F20"/>
        </w:rPr>
        <w:t>ten</w:t>
      </w:r>
      <w:r>
        <w:rPr>
          <w:color w:val="231F20"/>
          <w:spacing w:val="15"/>
        </w:rPr>
        <w:t> </w:t>
      </w:r>
      <w:r>
        <w:rPr>
          <w:color w:val="231F20"/>
        </w:rPr>
        <w:t>minste</w:t>
      </w:r>
      <w:r>
        <w:rPr>
          <w:color w:val="231F20"/>
          <w:spacing w:val="16"/>
        </w:rPr>
        <w:t> </w:t>
      </w:r>
      <w:r>
        <w:rPr>
          <w:color w:val="231F20"/>
        </w:rPr>
        <w:t>vijf</w:t>
      </w:r>
      <w:r>
        <w:rPr>
          <w:color w:val="231F20"/>
          <w:spacing w:val="15"/>
        </w:rPr>
        <w:t> </w:t>
      </w:r>
      <w:r>
        <w:rPr>
          <w:color w:val="231F20"/>
        </w:rPr>
        <w:t>jaar;</w:t>
      </w:r>
    </w:p>
    <w:p>
      <w:pPr>
        <w:pStyle w:val="BodyText"/>
        <w:spacing w:line="218" w:lineRule="auto" w:before="85"/>
      </w:pPr>
      <w:r>
        <w:rPr>
          <w:color w:val="231F20"/>
        </w:rPr>
        <w:t>2° van de maatregelen, genomen voor de consignatie van de gelden en waarden bij de Deposito- en Consignatiekas die aan schuldeisers of aan</w:t>
      </w:r>
      <w:r>
        <w:rPr>
          <w:color w:val="231F20"/>
          <w:spacing w:val="19"/>
        </w:rPr>
        <w:t> </w:t>
      </w:r>
      <w:r>
        <w:rPr>
          <w:color w:val="231F20"/>
        </w:rPr>
        <w:t>vennoten</w:t>
      </w:r>
      <w:r>
        <w:rPr>
          <w:color w:val="231F20"/>
          <w:spacing w:val="20"/>
        </w:rPr>
        <w:t> </w:t>
      </w:r>
      <w:r>
        <w:rPr>
          <w:color w:val="231F20"/>
        </w:rPr>
        <w:t>toekomen</w:t>
      </w:r>
      <w:r>
        <w:rPr>
          <w:color w:val="231F20"/>
          <w:spacing w:val="20"/>
        </w:rPr>
        <w:t> </w:t>
      </w:r>
      <w:r>
        <w:rPr>
          <w:color w:val="231F20"/>
        </w:rPr>
        <w:t>en</w:t>
      </w:r>
      <w:r>
        <w:rPr>
          <w:color w:val="231F20"/>
          <w:spacing w:val="20"/>
        </w:rPr>
        <w:t> </w:t>
      </w:r>
      <w:r>
        <w:rPr>
          <w:color w:val="231F20"/>
        </w:rPr>
        <w:t>die</w:t>
      </w:r>
      <w:r>
        <w:rPr>
          <w:color w:val="231F20"/>
          <w:spacing w:val="20"/>
        </w:rPr>
        <w:t> </w:t>
      </w:r>
      <w:r>
        <w:rPr>
          <w:color w:val="231F20"/>
        </w:rPr>
        <w:t>hun</w:t>
      </w:r>
      <w:r>
        <w:rPr>
          <w:color w:val="231F20"/>
          <w:spacing w:val="20"/>
        </w:rPr>
        <w:t> </w:t>
      </w:r>
      <w:r>
        <w:rPr>
          <w:color w:val="231F20"/>
        </w:rPr>
        <w:t>niet</w:t>
      </w:r>
      <w:r>
        <w:rPr>
          <w:color w:val="231F20"/>
          <w:spacing w:val="20"/>
        </w:rPr>
        <w:t> </w:t>
      </w:r>
      <w:r>
        <w:rPr>
          <w:color w:val="231F20"/>
        </w:rPr>
        <w:t>konden</w:t>
      </w:r>
      <w:r>
        <w:rPr>
          <w:color w:val="231F20"/>
          <w:spacing w:val="20"/>
        </w:rPr>
        <w:t> </w:t>
      </w:r>
      <w:r>
        <w:rPr>
          <w:color w:val="231F20"/>
        </w:rPr>
        <w:t>worden</w:t>
      </w:r>
      <w:r>
        <w:rPr>
          <w:color w:val="231F20"/>
          <w:spacing w:val="20"/>
        </w:rPr>
        <w:t> </w:t>
      </w:r>
      <w:r>
        <w:rPr>
          <w:color w:val="231F20"/>
        </w:rPr>
        <w:t>afgegeven.</w:t>
      </w:r>
    </w:p>
    <w:p>
      <w:pPr>
        <w:pStyle w:val="BodyText"/>
        <w:ind w:left="0" w:right="0" w:firstLine="0"/>
        <w:jc w:val="left"/>
        <w:rPr>
          <w:sz w:val="23"/>
        </w:rPr>
      </w:pPr>
    </w:p>
    <w:p>
      <w:pPr>
        <w:pStyle w:val="BodyText"/>
        <w:spacing w:line="218" w:lineRule="auto"/>
        <w:ind w:right="123"/>
      </w:pPr>
      <w:r>
        <w:rPr>
          <w:color w:val="231F20"/>
        </w:rPr>
        <w:t>§ 2. In geval van gerechtelijke sluiting van de vereffening, worden het uittreksel uit de in kracht van gewijsde gegane of bij voorraad uitvoerbare rechterlijke beslissing waarbij de gerechtelijke sluiting van de vereffening wordt uitgesproken, alsook het uittreksel uit de rechterlijke beslissing waarbij voornoemd bij voorraad uitvoerbaar vonnis wordt teniet gedaan, neergelegd en bekendgemaakt door de griffier overeenkomstig de artikelen 2:7 en 2:13.</w:t>
      </w:r>
    </w:p>
    <w:p>
      <w:pPr>
        <w:pStyle w:val="BodyText"/>
        <w:spacing w:before="72"/>
        <w:ind w:left="283" w:right="0" w:firstLine="0"/>
        <w:jc w:val="left"/>
      </w:pPr>
      <w:r>
        <w:rPr>
          <w:color w:val="231F20"/>
        </w:rPr>
        <w:t>Dat uittreksel vermeldt:</w:t>
      </w:r>
    </w:p>
    <w:p>
      <w:pPr>
        <w:pStyle w:val="BodyText"/>
        <w:spacing w:before="68"/>
        <w:ind w:left="283" w:right="0" w:firstLine="0"/>
        <w:jc w:val="left"/>
      </w:pPr>
      <w:r>
        <w:rPr>
          <w:color w:val="231F20"/>
        </w:rPr>
        <w:t>1° de naam en de zetel van de vennootschap;</w:t>
      </w:r>
    </w:p>
    <w:p>
      <w:pPr>
        <w:pStyle w:val="BodyText"/>
        <w:spacing w:line="260" w:lineRule="atLeast" w:before="1"/>
        <w:ind w:left="283" w:right="125" w:hanging="1"/>
        <w:jc w:val="left"/>
      </w:pPr>
      <w:r>
        <w:rPr>
          <w:color w:val="231F20"/>
        </w:rPr>
        <w:t>2° de datum van de beslissing en de rechter die ze heeft gewezen;     3°</w:t>
      </w:r>
      <w:r>
        <w:rPr>
          <w:color w:val="231F20"/>
          <w:spacing w:val="28"/>
        </w:rPr>
        <w:t> </w:t>
      </w:r>
      <w:r>
        <w:rPr>
          <w:color w:val="231F20"/>
        </w:rPr>
        <w:t>in</w:t>
      </w:r>
      <w:r>
        <w:rPr>
          <w:color w:val="231F20"/>
          <w:spacing w:val="28"/>
        </w:rPr>
        <w:t> </w:t>
      </w:r>
      <w:r>
        <w:rPr>
          <w:color w:val="231F20"/>
        </w:rPr>
        <w:t>voorkomend</w:t>
      </w:r>
      <w:r>
        <w:rPr>
          <w:color w:val="231F20"/>
          <w:spacing w:val="28"/>
        </w:rPr>
        <w:t> </w:t>
      </w:r>
      <w:r>
        <w:rPr>
          <w:color w:val="231F20"/>
        </w:rPr>
        <w:t>geval,</w:t>
      </w:r>
      <w:r>
        <w:rPr>
          <w:color w:val="231F20"/>
          <w:spacing w:val="28"/>
        </w:rPr>
        <w:t> </w:t>
      </w:r>
      <w:r>
        <w:rPr>
          <w:color w:val="231F20"/>
        </w:rPr>
        <w:t>de</w:t>
      </w:r>
      <w:r>
        <w:rPr>
          <w:color w:val="231F20"/>
          <w:spacing w:val="28"/>
        </w:rPr>
        <w:t> </w:t>
      </w:r>
      <w:r>
        <w:rPr>
          <w:color w:val="231F20"/>
        </w:rPr>
        <w:t>naam,</w:t>
      </w:r>
      <w:r>
        <w:rPr>
          <w:color w:val="231F20"/>
          <w:spacing w:val="28"/>
        </w:rPr>
        <w:t> </w:t>
      </w:r>
      <w:r>
        <w:rPr>
          <w:color w:val="231F20"/>
        </w:rPr>
        <w:t>de</w:t>
      </w:r>
      <w:r>
        <w:rPr>
          <w:color w:val="231F20"/>
          <w:spacing w:val="28"/>
        </w:rPr>
        <w:t> </w:t>
      </w:r>
      <w:r>
        <w:rPr>
          <w:color w:val="231F20"/>
        </w:rPr>
        <w:t>voornaam</w:t>
      </w:r>
      <w:r>
        <w:rPr>
          <w:color w:val="231F20"/>
          <w:spacing w:val="28"/>
        </w:rPr>
        <w:t> </w:t>
      </w:r>
      <w:r>
        <w:rPr>
          <w:color w:val="231F20"/>
        </w:rPr>
        <w:t>en</w:t>
      </w:r>
      <w:r>
        <w:rPr>
          <w:color w:val="231F20"/>
          <w:spacing w:val="28"/>
        </w:rPr>
        <w:t> </w:t>
      </w:r>
      <w:r>
        <w:rPr>
          <w:color w:val="231F20"/>
        </w:rPr>
        <w:t>de</w:t>
      </w:r>
      <w:r>
        <w:rPr>
          <w:color w:val="231F20"/>
          <w:spacing w:val="28"/>
        </w:rPr>
        <w:t> </w:t>
      </w:r>
      <w:r>
        <w:rPr>
          <w:color w:val="231F20"/>
        </w:rPr>
        <w:t>woonplaats</w:t>
      </w:r>
    </w:p>
    <w:p>
      <w:pPr>
        <w:pStyle w:val="BodyText"/>
        <w:spacing w:line="218" w:lineRule="auto"/>
        <w:ind w:firstLine="0"/>
      </w:pPr>
      <w:r>
        <w:rPr>
          <w:color w:val="231F20"/>
        </w:rPr>
        <w:t>van de vereffenaars; ingeval de vereffenaar een rechtspersoon is, bevat het uittreksel de aanwijzing of de wijziging van de aanwijzing van de natuurlijke persoon die deze vertegenwoordigt voor de uitoefening van de vereffening;</w:t>
      </w:r>
    </w:p>
    <w:p>
      <w:pPr>
        <w:pStyle w:val="BodyText"/>
        <w:spacing w:line="218" w:lineRule="auto" w:before="84"/>
      </w:pPr>
      <w:r>
        <w:rPr>
          <w:color w:val="231F20"/>
        </w:rPr>
        <w:t>4° de plaats waar de boeken en bescheiden van de vennootschap worden neergelegd en gedurende ten minste vijf jaar moeten worden bewaard en de in consignatie gegeven gelden en waarden die aan de schuldeisers of aan de vennoten toekomen en die hun nog niet konden worden afgegeven.</w:t>
      </w:r>
    </w:p>
    <w:p>
      <w:pPr>
        <w:pStyle w:val="BodyText"/>
        <w:spacing w:line="218" w:lineRule="auto" w:before="86"/>
      </w:pPr>
      <w:r>
        <w:rPr>
          <w:color w:val="231F20"/>
        </w:rPr>
        <w:t>Art. 2:103. </w:t>
      </w:r>
      <w:r>
        <w:rPr>
          <w:color w:val="231F20"/>
          <w:spacing w:val="-5"/>
        </w:rPr>
        <w:t>Voor  </w:t>
      </w:r>
      <w:r>
        <w:rPr>
          <w:color w:val="231F20"/>
        </w:rPr>
        <w:t>elke  vereffening  worden  ter  </w:t>
      </w:r>
      <w:r>
        <w:rPr>
          <w:color w:val="231F20"/>
          <w:spacing w:val="-4"/>
        </w:rPr>
        <w:t>griffie  </w:t>
      </w:r>
      <w:r>
        <w:rPr>
          <w:color w:val="231F20"/>
        </w:rPr>
        <w:t>in  het  in artikel</w:t>
      </w:r>
      <w:r>
        <w:rPr>
          <w:color w:val="231F20"/>
          <w:spacing w:val="16"/>
        </w:rPr>
        <w:t> </w:t>
      </w:r>
      <w:r>
        <w:rPr>
          <w:color w:val="231F20"/>
        </w:rPr>
        <w:t>2:7</w:t>
      </w:r>
      <w:r>
        <w:rPr>
          <w:color w:val="231F20"/>
          <w:spacing w:val="16"/>
        </w:rPr>
        <w:t> </w:t>
      </w:r>
      <w:r>
        <w:rPr>
          <w:color w:val="231F20"/>
        </w:rPr>
        <w:t>bedoelde</w:t>
      </w:r>
      <w:r>
        <w:rPr>
          <w:color w:val="231F20"/>
          <w:spacing w:val="16"/>
        </w:rPr>
        <w:t> </w:t>
      </w:r>
      <w:r>
        <w:rPr>
          <w:color w:val="231F20"/>
        </w:rPr>
        <w:t>dossier,</w:t>
      </w:r>
      <w:r>
        <w:rPr>
          <w:color w:val="231F20"/>
          <w:spacing w:val="16"/>
        </w:rPr>
        <w:t> </w:t>
      </w:r>
      <w:r>
        <w:rPr>
          <w:color w:val="231F20"/>
        </w:rPr>
        <w:t>de</w:t>
      </w:r>
      <w:r>
        <w:rPr>
          <w:color w:val="231F20"/>
          <w:spacing w:val="16"/>
        </w:rPr>
        <w:t> </w:t>
      </w:r>
      <w:r>
        <w:rPr>
          <w:color w:val="231F20"/>
        </w:rPr>
        <w:t>volgende</w:t>
      </w:r>
      <w:r>
        <w:rPr>
          <w:color w:val="231F20"/>
          <w:spacing w:val="16"/>
        </w:rPr>
        <w:t> </w:t>
      </w:r>
      <w:r>
        <w:rPr>
          <w:color w:val="231F20"/>
        </w:rPr>
        <w:t>stukken</w:t>
      </w:r>
      <w:r>
        <w:rPr>
          <w:color w:val="231F20"/>
          <w:spacing w:val="17"/>
        </w:rPr>
        <w:t> </w:t>
      </w:r>
      <w:r>
        <w:rPr>
          <w:color w:val="231F20"/>
        </w:rPr>
        <w:t>neergelegd:</w:t>
      </w:r>
    </w:p>
    <w:p>
      <w:pPr>
        <w:pStyle w:val="BodyText"/>
        <w:spacing w:before="71"/>
        <w:ind w:left="283" w:right="0" w:firstLine="0"/>
        <w:jc w:val="left"/>
      </w:pPr>
      <w:r>
        <w:rPr>
          <w:color w:val="231F20"/>
        </w:rPr>
        <w:t>1° de kopie van de in artikel 2:71, § 2, bedoelde verslagen;</w:t>
      </w:r>
    </w:p>
    <w:p>
      <w:pPr>
        <w:pStyle w:val="BodyText"/>
        <w:spacing w:before="79"/>
        <w:ind w:left="283" w:right="0" w:firstLine="0"/>
        <w:jc w:val="left"/>
      </w:pPr>
      <w:r>
        <w:rPr>
          <w:color w:val="231F20"/>
        </w:rPr>
        <w:t>2° een kopie van de in artikel 2:96 bedoelde vereffeningsstaten;</w:t>
      </w:r>
    </w:p>
    <w:p>
      <w:pPr>
        <w:pStyle w:val="BodyText"/>
        <w:spacing w:line="218" w:lineRule="auto" w:before="92"/>
      </w:pPr>
      <w:r>
        <w:rPr>
          <w:color w:val="231F20"/>
        </w:rPr>
        <w:t>3° de uittreksels van de in de artikelen 2:8, § 1, 5°, en 2:102, bedoelde bekendmakingen;</w:t>
      </w:r>
    </w:p>
    <w:p>
      <w:pPr>
        <w:pStyle w:val="BodyText"/>
        <w:spacing w:line="218" w:lineRule="auto" w:before="96"/>
      </w:pPr>
      <w:r>
        <w:rPr>
          <w:color w:val="231F20"/>
        </w:rPr>
        <w:t>4° het in artikel 2:97, § 2, bedoelde en goedgekeurde plan voor de verdeling van de activa;</w:t>
      </w:r>
    </w:p>
    <w:p>
      <w:pPr>
        <w:pStyle w:val="BodyText"/>
        <w:spacing w:line="218" w:lineRule="auto" w:before="97"/>
      </w:pPr>
      <w:r>
        <w:rPr>
          <w:color w:val="231F20"/>
        </w:rPr>
        <w:t>5° het in artikel 2:100, eerste lid, bedoelde verslag, in voorkomend geval met informatie over de teruggave van de inbrengen en de uitkering van een vereffeningssaldo aan de aandeelhouders of venno- ten;</w:t>
      </w:r>
    </w:p>
    <w:p>
      <w:pPr>
        <w:pStyle w:val="BodyText"/>
        <w:spacing w:before="82"/>
        <w:ind w:left="283" w:right="0" w:firstLine="0"/>
        <w:jc w:val="left"/>
      </w:pPr>
      <w:r>
        <w:rPr>
          <w:color w:val="231F20"/>
        </w:rPr>
        <w:t>6° in voorkomend geval, de lijst van homologaties en bevestigingen.</w:t>
      </w:r>
    </w:p>
    <w:p>
      <w:pPr>
        <w:pStyle w:val="BodyText"/>
        <w:spacing w:line="218" w:lineRule="auto" w:before="92"/>
      </w:pPr>
      <w:r>
        <w:rPr>
          <w:color w:val="231F20"/>
        </w:rPr>
        <w:t>Elke belanghebbende kan kosteloos inzage nemen van het dossier en er tegen betaling van de griffiekosten een kopie van verkrijgen.</w:t>
      </w:r>
    </w:p>
    <w:p>
      <w:pPr>
        <w:pStyle w:val="BodyText"/>
        <w:spacing w:before="83"/>
        <w:ind w:left="283" w:right="0" w:firstLine="0"/>
        <w:jc w:val="left"/>
      </w:pPr>
      <w:r>
        <w:rPr>
          <w:color w:val="231F20"/>
        </w:rPr>
        <w:t>Op deze neerlegging is artikel 2:14, 4°, niet van toepassing.</w:t>
      </w:r>
    </w:p>
    <w:p>
      <w:pPr>
        <w:pStyle w:val="BodyText"/>
        <w:spacing w:line="218" w:lineRule="auto" w:before="92"/>
      </w:pPr>
      <w:r>
        <w:rPr>
          <w:color w:val="231F20"/>
        </w:rPr>
        <w:t>Art. 2:104. § 1. De vennoten of aandeelhouders worden door de sluiting van de vereffening van rechtswege onverdeelde eigenaars, elk voor hun deel, van alle actieve vermogensbestanddelen van de vennootschap, ook al zijn deze op het ogenblik van de sluiting van de vereffening niet gekend.</w:t>
      </w:r>
    </w:p>
    <w:p>
      <w:pPr>
        <w:pStyle w:val="BodyText"/>
        <w:spacing w:line="218" w:lineRule="auto" w:before="97"/>
      </w:pPr>
      <w:r>
        <w:rPr>
          <w:color w:val="231F20"/>
        </w:rPr>
        <w:t>De Koning bepaalt welke procedure moet worden gevolgd voor de realisatie en consignatie van deze activa indien geen enkel vennoot of aandeelhouder gekend is.</w:t>
      </w:r>
    </w:p>
    <w:p>
      <w:pPr>
        <w:pStyle w:val="BodyText"/>
        <w:spacing w:line="218" w:lineRule="auto" w:before="96"/>
      </w:pPr>
      <w:r>
        <w:rPr>
          <w:color w:val="231F20"/>
        </w:rPr>
        <w:t>§ 2. De aandeelhouders van een besloten vennootschap, een coöpe- ratieve vennootschap en een naamloze vennootschap zijn, zonder hoofdelijkheid tussen hen, aansprakelijk voor de schulden van de ontbonden vennootschap die niet uiterlijk bij de sluiting van de vereffening werden betaald en waarvoor niet uiterlijk op dat tijdstip  een bedrag werd geconsigneerd dat volstaat om deze schulden te betalen in hoofdsom en toebehoren, indien zij op de hoogte waren van het bestaan van deze schulden of daarvan, gezien de omstandigheden, niet onkundig konden zijn. Deze aansprakelijkheid is voor iedere aandeelhouder beperkt tot het bedrag gelijk aan de som van de hem terugbetaalde inbreng en zijn aandeel in het vereffeningssaldo zoals ontvangen voor of bij de sluiting van de vereffening van de vennoot- schap. Dit geldt ook voor aandeelhouders die hun aandelen</w:t>
      </w:r>
      <w:r>
        <w:rPr>
          <w:color w:val="231F20"/>
          <w:spacing w:val="15"/>
        </w:rPr>
        <w:t> </w:t>
      </w:r>
      <w:r>
        <w:rPr>
          <w:color w:val="231F20"/>
        </w:rPr>
        <w:t>hebben overgedragen vóór de sluiting van de vereffening, ten belope van de voorschotten die zij hebben</w:t>
      </w:r>
      <w:r>
        <w:rPr>
          <w:color w:val="231F20"/>
          <w:spacing w:val="20"/>
        </w:rPr>
        <w:t> </w:t>
      </w:r>
      <w:r>
        <w:rPr>
          <w:color w:val="231F20"/>
        </w:rPr>
        <w:t>ontvangen.</w:t>
      </w:r>
    </w:p>
    <w:p>
      <w:pPr>
        <w:pStyle w:val="BodyText"/>
        <w:spacing w:line="218" w:lineRule="auto" w:before="97"/>
      </w:pPr>
      <w:r>
        <w:rPr>
          <w:color w:val="231F20"/>
        </w:rPr>
        <w:t>§ 3. In geval van toepassing van de artikelen 2:80 en 2:81 zijn, in afwijking van paragraaf 2 de aandeelhouders van een besloten vennootschap, een coöperatieve vennootschap en een naamloze ven- nootschap, steeds, zonder hoofdelijkheid tussen hen, aansprakelijk voor</w:t>
      </w:r>
      <w:r>
        <w:rPr>
          <w:color w:val="231F20"/>
          <w:spacing w:val="23"/>
        </w:rPr>
        <w:t> </w:t>
      </w:r>
      <w:r>
        <w:rPr>
          <w:color w:val="231F20"/>
        </w:rPr>
        <w:t>de</w:t>
      </w:r>
      <w:r>
        <w:rPr>
          <w:color w:val="231F20"/>
          <w:spacing w:val="23"/>
        </w:rPr>
        <w:t> </w:t>
      </w:r>
      <w:r>
        <w:rPr>
          <w:color w:val="231F20"/>
        </w:rPr>
        <w:t>in</w:t>
      </w:r>
      <w:r>
        <w:rPr>
          <w:color w:val="231F20"/>
          <w:spacing w:val="24"/>
        </w:rPr>
        <w:t> </w:t>
      </w:r>
      <w:r>
        <w:rPr>
          <w:color w:val="231F20"/>
        </w:rPr>
        <w:t>paragraaf</w:t>
      </w:r>
      <w:r>
        <w:rPr>
          <w:color w:val="231F20"/>
          <w:spacing w:val="23"/>
        </w:rPr>
        <w:t> </w:t>
      </w:r>
      <w:r>
        <w:rPr>
          <w:color w:val="231F20"/>
        </w:rPr>
        <w:t>2</w:t>
      </w:r>
      <w:r>
        <w:rPr>
          <w:color w:val="231F20"/>
          <w:spacing w:val="24"/>
        </w:rPr>
        <w:t> </w:t>
      </w:r>
      <w:r>
        <w:rPr>
          <w:color w:val="231F20"/>
        </w:rPr>
        <w:t>bedoelde</w:t>
      </w:r>
      <w:r>
        <w:rPr>
          <w:color w:val="231F20"/>
          <w:spacing w:val="23"/>
        </w:rPr>
        <w:t> </w:t>
      </w:r>
      <w:r>
        <w:rPr>
          <w:color w:val="231F20"/>
        </w:rPr>
        <w:t>schulden,</w:t>
      </w:r>
      <w:r>
        <w:rPr>
          <w:color w:val="231F20"/>
          <w:spacing w:val="24"/>
        </w:rPr>
        <w:t> </w:t>
      </w:r>
      <w:r>
        <w:rPr>
          <w:color w:val="231F20"/>
        </w:rPr>
        <w:t>ongeacht</w:t>
      </w:r>
      <w:r>
        <w:rPr>
          <w:color w:val="231F20"/>
          <w:spacing w:val="23"/>
        </w:rPr>
        <w:t> </w:t>
      </w:r>
      <w:r>
        <w:rPr>
          <w:color w:val="231F20"/>
        </w:rPr>
        <w:t>of</w:t>
      </w:r>
      <w:r>
        <w:rPr>
          <w:color w:val="231F20"/>
          <w:spacing w:val="24"/>
        </w:rPr>
        <w:t> </w:t>
      </w:r>
      <w:r>
        <w:rPr>
          <w:color w:val="231F20"/>
        </w:rPr>
        <w:t>zij</w:t>
      </w:r>
      <w:r>
        <w:rPr>
          <w:color w:val="231F20"/>
          <w:spacing w:val="23"/>
        </w:rPr>
        <w:t> </w:t>
      </w:r>
      <w:r>
        <w:rPr>
          <w:color w:val="231F20"/>
        </w:rPr>
        <w:t>al</w:t>
      </w:r>
      <w:r>
        <w:rPr>
          <w:color w:val="231F20"/>
          <w:spacing w:val="24"/>
        </w:rPr>
        <w:t> </w:t>
      </w:r>
      <w:r>
        <w:rPr>
          <w:color w:val="231F20"/>
        </w:rPr>
        <w:t>dan</w:t>
      </w:r>
      <w:r>
        <w:rPr>
          <w:color w:val="231F20"/>
          <w:spacing w:val="23"/>
        </w:rPr>
        <w:t> </w:t>
      </w:r>
      <w:r>
        <w:rPr>
          <w:color w:val="231F20"/>
        </w:rPr>
        <w:t>niet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1936" from="298.170502pt,64.473pt" to="298.170502pt,812.819pt" stroked="true" strokeweight=".533pt" strokecolor="#231f20">
            <v:stroke dashstyle="solid"/>
            <w10:wrap type="none"/>
          </v:line>
        </w:pict>
      </w:r>
      <w:bookmarkStart w:name="_bookmark38" w:id="41"/>
      <w:bookmarkEnd w:id="41"/>
      <w:r>
        <w:rPr/>
      </w:r>
      <w:r>
        <w:rPr>
          <w:color w:val="231F20"/>
        </w:rPr>
        <w:t>connaissance compte tenu des circonstances. S’ils sont de bonne foi, ils peuvent exercer un recours contre les derniers membres de l’organe d’administration en fonction. La responsabilité à l’égard des actionnai- res est, pour chaque actionnaire, limitée au montant égal à la somme de l’apport qui lui a été remboursé et de sa part dans le solde de liquidation reçue avant ou lors de la clôture de la liquidation de</w:t>
      </w:r>
      <w:r>
        <w:rPr>
          <w:color w:val="231F20"/>
          <w:spacing w:val="9"/>
        </w:rPr>
        <w:t> </w:t>
      </w:r>
      <w:r>
        <w:rPr>
          <w:color w:val="231F20"/>
        </w:rPr>
        <w:t>la société.</w:t>
      </w:r>
    </w:p>
    <w:p>
      <w:pPr>
        <w:pStyle w:val="BodyText"/>
        <w:spacing w:before="9"/>
        <w:ind w:left="0" w:right="0" w:firstLine="0"/>
        <w:jc w:val="left"/>
        <w:rPr>
          <w:sz w:val="21"/>
        </w:rPr>
      </w:pPr>
    </w:p>
    <w:p>
      <w:pPr>
        <w:pStyle w:val="BodyText"/>
        <w:ind w:left="283" w:right="0" w:firstLine="0"/>
        <w:jc w:val="left"/>
      </w:pPr>
      <w:r>
        <w:rPr>
          <w:color w:val="231F20"/>
        </w:rPr>
        <w:t>Sous-section 8. Réouverture de la liquidation.</w:t>
      </w:r>
    </w:p>
    <w:p>
      <w:pPr>
        <w:pStyle w:val="BodyText"/>
        <w:spacing w:line="218" w:lineRule="auto" w:before="67"/>
        <w:ind w:right="38"/>
      </w:pPr>
      <w:r>
        <w:rPr>
          <w:color w:val="231F20"/>
        </w:rPr>
        <w:t>Art. 2:105. § 1</w:t>
      </w:r>
      <w:r>
        <w:rPr>
          <w:color w:val="231F20"/>
          <w:position w:val="7"/>
          <w:sz w:val="11"/>
        </w:rPr>
        <w:t>er</w:t>
      </w:r>
      <w:r>
        <w:rPr>
          <w:color w:val="231F20"/>
        </w:rPr>
        <w:t>. </w:t>
      </w:r>
      <w:r>
        <w:rPr>
          <w:color w:val="231F20"/>
          <w:spacing w:val="-4"/>
        </w:rPr>
        <w:t>Tout </w:t>
      </w:r>
      <w:r>
        <w:rPr>
          <w:color w:val="231F20"/>
        </w:rPr>
        <w:t>créancier qui n’a pas recouvré l’intégralité de sa créance peut demander la réouverture de la liquidation s’il s’avère après</w:t>
      </w:r>
      <w:r>
        <w:rPr>
          <w:color w:val="231F20"/>
          <w:spacing w:val="16"/>
        </w:rPr>
        <w:t> </w:t>
      </w:r>
      <w:r>
        <w:rPr>
          <w:color w:val="231F20"/>
        </w:rPr>
        <w:t>la</w:t>
      </w:r>
      <w:r>
        <w:rPr>
          <w:color w:val="231F20"/>
          <w:spacing w:val="17"/>
        </w:rPr>
        <w:t> </w:t>
      </w:r>
      <w:r>
        <w:rPr>
          <w:color w:val="231F20"/>
        </w:rPr>
        <w:t>clôture</w:t>
      </w:r>
      <w:r>
        <w:rPr>
          <w:color w:val="231F20"/>
          <w:spacing w:val="16"/>
        </w:rPr>
        <w:t> </w:t>
      </w:r>
      <w:r>
        <w:rPr>
          <w:color w:val="231F20"/>
        </w:rPr>
        <w:t>qu’un</w:t>
      </w:r>
      <w:r>
        <w:rPr>
          <w:color w:val="231F20"/>
          <w:spacing w:val="17"/>
        </w:rPr>
        <w:t> </w:t>
      </w:r>
      <w:r>
        <w:rPr>
          <w:color w:val="231F20"/>
        </w:rPr>
        <w:t>ou</w:t>
      </w:r>
      <w:r>
        <w:rPr>
          <w:color w:val="231F20"/>
          <w:spacing w:val="17"/>
        </w:rPr>
        <w:t> </w:t>
      </w:r>
      <w:r>
        <w:rPr>
          <w:color w:val="231F20"/>
        </w:rPr>
        <w:t>plusieurs</w:t>
      </w:r>
      <w:r>
        <w:rPr>
          <w:color w:val="231F20"/>
          <w:spacing w:val="16"/>
        </w:rPr>
        <w:t> </w:t>
      </w:r>
      <w:r>
        <w:rPr>
          <w:color w:val="231F20"/>
        </w:rPr>
        <w:t>actifs</w:t>
      </w:r>
      <w:r>
        <w:rPr>
          <w:color w:val="231F20"/>
          <w:spacing w:val="17"/>
        </w:rPr>
        <w:t> </w:t>
      </w:r>
      <w:r>
        <w:rPr>
          <w:color w:val="231F20"/>
        </w:rPr>
        <w:t>de</w:t>
      </w:r>
      <w:r>
        <w:rPr>
          <w:color w:val="231F20"/>
          <w:spacing w:val="16"/>
        </w:rPr>
        <w:t> </w:t>
      </w:r>
      <w:r>
        <w:rPr>
          <w:color w:val="231F20"/>
        </w:rPr>
        <w:t>la</w:t>
      </w:r>
      <w:r>
        <w:rPr>
          <w:color w:val="231F20"/>
          <w:spacing w:val="17"/>
        </w:rPr>
        <w:t> </w:t>
      </w:r>
      <w:r>
        <w:rPr>
          <w:color w:val="231F20"/>
        </w:rPr>
        <w:t>société</w:t>
      </w:r>
      <w:r>
        <w:rPr>
          <w:color w:val="231F20"/>
          <w:spacing w:val="17"/>
        </w:rPr>
        <w:t> </w:t>
      </w:r>
      <w:r>
        <w:rPr>
          <w:color w:val="231F20"/>
        </w:rPr>
        <w:t>ont</w:t>
      </w:r>
      <w:r>
        <w:rPr>
          <w:color w:val="231F20"/>
          <w:spacing w:val="16"/>
        </w:rPr>
        <w:t> </w:t>
      </w:r>
      <w:r>
        <w:rPr>
          <w:color w:val="231F20"/>
        </w:rPr>
        <w:t>été</w:t>
      </w:r>
      <w:r>
        <w:rPr>
          <w:color w:val="231F20"/>
          <w:spacing w:val="17"/>
        </w:rPr>
        <w:t> </w:t>
      </w:r>
      <w:r>
        <w:rPr>
          <w:color w:val="231F20"/>
        </w:rPr>
        <w:t>oubliés.</w:t>
      </w:r>
    </w:p>
    <w:p>
      <w:pPr>
        <w:pStyle w:val="BodyText"/>
        <w:spacing w:before="11"/>
        <w:ind w:left="0" w:right="0" w:firstLine="0"/>
        <w:jc w:val="left"/>
        <w:rPr>
          <w:sz w:val="22"/>
        </w:rPr>
      </w:pPr>
    </w:p>
    <w:p>
      <w:pPr>
        <w:pStyle w:val="BodyText"/>
        <w:spacing w:line="218" w:lineRule="auto"/>
        <w:ind w:right="38"/>
      </w:pPr>
      <w:r>
        <w:rPr>
          <w:color w:val="231F20"/>
        </w:rPr>
        <w:t>L’action en réouverture de la liquidation est introduite contre</w:t>
      </w:r>
      <w:r>
        <w:rPr>
          <w:color w:val="231F20"/>
          <w:spacing w:val="28"/>
        </w:rPr>
        <w:t> </w:t>
      </w:r>
      <w:r>
        <w:rPr>
          <w:color w:val="231F20"/>
        </w:rPr>
        <w:t>les derniers liquidateurs en fonction ou les personnes désignées à l’arti-  cle</w:t>
      </w:r>
      <w:r>
        <w:rPr>
          <w:color w:val="231F20"/>
          <w:spacing w:val="14"/>
        </w:rPr>
        <w:t> </w:t>
      </w:r>
      <w:r>
        <w:rPr>
          <w:color w:val="231F20"/>
        </w:rPr>
        <w:t>2:79.</w:t>
      </w:r>
    </w:p>
    <w:p>
      <w:pPr>
        <w:pStyle w:val="BodyText"/>
        <w:spacing w:line="218" w:lineRule="auto" w:before="86"/>
        <w:ind w:right="38"/>
      </w:pPr>
      <w:r>
        <w:rPr>
          <w:color w:val="231F20"/>
        </w:rPr>
        <w:t>Le tribunal n’ordonne la réouverture de la liquidation que si la valeur de l’actif oublié dépasse les frais de réouverture.</w:t>
      </w:r>
    </w:p>
    <w:p>
      <w:pPr>
        <w:pStyle w:val="BodyText"/>
        <w:spacing w:before="11"/>
        <w:ind w:left="0" w:right="0" w:firstLine="0"/>
        <w:jc w:val="left"/>
        <w:rPr>
          <w:sz w:val="22"/>
        </w:rPr>
      </w:pPr>
    </w:p>
    <w:p>
      <w:pPr>
        <w:pStyle w:val="BodyText"/>
        <w:spacing w:line="218" w:lineRule="auto"/>
        <w:ind w:right="38"/>
      </w:pPr>
      <w:r>
        <w:rPr>
          <w:color w:val="231F20"/>
        </w:rPr>
        <w:t>§ 2. Sans préjudice des droits des tiers de bonne foi, la société recouvre la personnalité juridique par la réouverture de la liquidation et devient de plein droit propriétaire de l’actif oublié. Les derniers liquidateurs en fonction recouvrent cette qualité, sauf si le tribunal les remplace ou réduit leur nombre. Lors de la réouverture de la liquidation visée aux articles 2:79 et 2:80, le tribunal peut désigner un liquidateur.</w:t>
      </w:r>
    </w:p>
    <w:p>
      <w:pPr>
        <w:pStyle w:val="BodyText"/>
        <w:ind w:left="0" w:right="0" w:firstLine="0"/>
        <w:jc w:val="left"/>
        <w:rPr>
          <w:sz w:val="23"/>
        </w:rPr>
      </w:pPr>
    </w:p>
    <w:p>
      <w:pPr>
        <w:pStyle w:val="BodyText"/>
        <w:spacing w:line="218" w:lineRule="auto"/>
        <w:ind w:right="38"/>
      </w:pPr>
      <w:r>
        <w:rPr>
          <w:color w:val="231F20"/>
        </w:rPr>
        <w:t>§ 3. La réouverture produit ses effets entre les parties à compter de la date où elle a été prononcée. Elle n’est opposable aux tiers qu’à partir de</w:t>
      </w:r>
      <w:r>
        <w:rPr>
          <w:color w:val="231F20"/>
          <w:spacing w:val="13"/>
        </w:rPr>
        <w:t> </w:t>
      </w:r>
      <w:r>
        <w:rPr>
          <w:color w:val="231F20"/>
        </w:rPr>
        <w:t>la</w:t>
      </w:r>
      <w:r>
        <w:rPr>
          <w:color w:val="231F20"/>
          <w:spacing w:val="14"/>
        </w:rPr>
        <w:t> </w:t>
      </w:r>
      <w:r>
        <w:rPr>
          <w:color w:val="231F20"/>
        </w:rPr>
        <w:t>publication</w:t>
      </w:r>
      <w:r>
        <w:rPr>
          <w:color w:val="231F20"/>
          <w:spacing w:val="14"/>
        </w:rPr>
        <w:t> </w:t>
      </w:r>
      <w:r>
        <w:rPr>
          <w:color w:val="231F20"/>
        </w:rPr>
        <w:t>visée</w:t>
      </w:r>
      <w:r>
        <w:rPr>
          <w:color w:val="231F20"/>
          <w:spacing w:val="14"/>
        </w:rPr>
        <w:t> </w:t>
      </w:r>
      <w:r>
        <w:rPr>
          <w:color w:val="231F20"/>
        </w:rPr>
        <w:t>au</w:t>
      </w:r>
      <w:r>
        <w:rPr>
          <w:color w:val="231F20"/>
          <w:spacing w:val="14"/>
        </w:rPr>
        <w:t> </w:t>
      </w:r>
      <w:r>
        <w:rPr>
          <w:color w:val="231F20"/>
        </w:rPr>
        <w:t>paragraphe</w:t>
      </w:r>
      <w:r>
        <w:rPr>
          <w:color w:val="231F20"/>
          <w:spacing w:val="14"/>
        </w:rPr>
        <w:t> </w:t>
      </w:r>
      <w:r>
        <w:rPr>
          <w:color w:val="231F20"/>
        </w:rPr>
        <w:t>4</w:t>
      </w:r>
      <w:r>
        <w:rPr>
          <w:color w:val="231F20"/>
          <w:spacing w:val="14"/>
        </w:rPr>
        <w:t> </w:t>
      </w:r>
      <w:r>
        <w:rPr>
          <w:color w:val="231F20"/>
        </w:rPr>
        <w:t>et</w:t>
      </w:r>
      <w:r>
        <w:rPr>
          <w:color w:val="231F20"/>
          <w:spacing w:val="13"/>
        </w:rPr>
        <w:t> </w:t>
      </w:r>
      <w:r>
        <w:rPr>
          <w:color w:val="231F20"/>
        </w:rPr>
        <w:t>aux</w:t>
      </w:r>
      <w:r>
        <w:rPr>
          <w:color w:val="231F20"/>
          <w:spacing w:val="14"/>
        </w:rPr>
        <w:t> </w:t>
      </w:r>
      <w:r>
        <w:rPr>
          <w:color w:val="231F20"/>
        </w:rPr>
        <w:t>articles</w:t>
      </w:r>
      <w:r>
        <w:rPr>
          <w:color w:val="231F20"/>
          <w:spacing w:val="14"/>
        </w:rPr>
        <w:t> </w:t>
      </w:r>
      <w:r>
        <w:rPr>
          <w:color w:val="231F20"/>
        </w:rPr>
        <w:t>2:7</w:t>
      </w:r>
      <w:r>
        <w:rPr>
          <w:color w:val="231F20"/>
          <w:spacing w:val="14"/>
        </w:rPr>
        <w:t> </w:t>
      </w:r>
      <w:r>
        <w:rPr>
          <w:color w:val="231F20"/>
        </w:rPr>
        <w:t>et</w:t>
      </w:r>
      <w:r>
        <w:rPr>
          <w:color w:val="231F20"/>
          <w:spacing w:val="14"/>
        </w:rPr>
        <w:t> </w:t>
      </w:r>
      <w:r>
        <w:rPr>
          <w:color w:val="231F20"/>
        </w:rPr>
        <w:t>2:13.</w:t>
      </w:r>
    </w:p>
    <w:p>
      <w:pPr>
        <w:pStyle w:val="BodyText"/>
        <w:ind w:left="0" w:right="0" w:firstLine="0"/>
        <w:jc w:val="left"/>
        <w:rPr>
          <w:sz w:val="23"/>
        </w:rPr>
      </w:pPr>
    </w:p>
    <w:p>
      <w:pPr>
        <w:pStyle w:val="BodyText"/>
        <w:spacing w:line="218" w:lineRule="auto"/>
        <w:ind w:right="38"/>
      </w:pPr>
      <w:r>
        <w:rPr>
          <w:color w:val="231F20"/>
        </w:rPr>
        <w:t>§ 4. L’extrait de la décision judiciaire passée en force de chose jugée ou exécutoire par provision prononçant la réouverture de la liquida- tion, de même que l’extrait de la décision judiciaire réformant le jugement précité, sont déposés et publiés  conformément  aux  arti-  cles 2:7 et</w:t>
      </w:r>
      <w:r>
        <w:rPr>
          <w:color w:val="231F20"/>
          <w:spacing w:val="2"/>
        </w:rPr>
        <w:t> </w:t>
      </w:r>
      <w:r>
        <w:rPr>
          <w:color w:val="231F20"/>
        </w:rPr>
        <w:t>2:13.</w:t>
      </w:r>
    </w:p>
    <w:p>
      <w:pPr>
        <w:pStyle w:val="BodyText"/>
        <w:spacing w:before="9"/>
        <w:ind w:left="0" w:right="0" w:firstLine="0"/>
        <w:jc w:val="left"/>
        <w:rPr>
          <w:sz w:val="21"/>
        </w:rPr>
      </w:pPr>
    </w:p>
    <w:p>
      <w:pPr>
        <w:pStyle w:val="BodyText"/>
        <w:ind w:left="283" w:right="0" w:firstLine="0"/>
        <w:jc w:val="left"/>
      </w:pPr>
      <w:r>
        <w:rPr>
          <w:color w:val="231F20"/>
        </w:rPr>
        <w:t>Cet extrait contient:</w:t>
      </w:r>
    </w:p>
    <w:p>
      <w:pPr>
        <w:pStyle w:val="BodyText"/>
        <w:spacing w:before="68"/>
        <w:ind w:left="283" w:right="0" w:firstLine="0"/>
        <w:jc w:val="left"/>
      </w:pPr>
      <w:r>
        <w:rPr>
          <w:color w:val="231F20"/>
        </w:rPr>
        <w:t>1° la dénomination et le siège de la société;</w:t>
      </w:r>
    </w:p>
    <w:p>
      <w:pPr>
        <w:pStyle w:val="BodyText"/>
        <w:spacing w:before="68"/>
        <w:ind w:left="283" w:right="0" w:firstLine="0"/>
        <w:jc w:val="left"/>
      </w:pPr>
      <w:r>
        <w:rPr>
          <w:color w:val="231F20"/>
        </w:rPr>
        <w:t>2° la date de la décision et le juge qui l’a prononcée;</w:t>
      </w:r>
    </w:p>
    <w:p>
      <w:pPr>
        <w:pStyle w:val="BodyText"/>
        <w:spacing w:line="218" w:lineRule="auto" w:before="82"/>
        <w:ind w:right="38"/>
      </w:pPr>
      <w:r>
        <w:rPr>
          <w:color w:val="231F20"/>
        </w:rPr>
        <w:t>3° les nom, prénom et domicile des liquidateurs et, lorsqu’un liquidateur est une personne morale, du représentant permanent.</w:t>
      </w:r>
    </w:p>
    <w:p>
      <w:pPr>
        <w:pStyle w:val="BodyText"/>
        <w:ind w:left="0" w:right="0" w:firstLine="0"/>
        <w:jc w:val="left"/>
        <w:rPr>
          <w:sz w:val="23"/>
        </w:rPr>
      </w:pPr>
    </w:p>
    <w:p>
      <w:pPr>
        <w:pStyle w:val="BodyText"/>
        <w:spacing w:line="218" w:lineRule="auto"/>
        <w:ind w:right="38"/>
      </w:pPr>
      <w:r>
        <w:rPr>
          <w:color w:val="231F20"/>
        </w:rPr>
        <w:t>§ 5. Toutes les dispositions du présent chapitre s’appliquent à la liquidation ainsi rouverte.</w:t>
      </w:r>
    </w:p>
    <w:p>
      <w:pPr>
        <w:pStyle w:val="BodyText"/>
        <w:spacing w:before="72"/>
        <w:ind w:left="283" w:right="0" w:firstLine="0"/>
        <w:jc w:val="left"/>
      </w:pPr>
      <w:r>
        <w:rPr>
          <w:color w:val="231F20"/>
        </w:rPr>
        <w:t>Sous-section 9. Responsabilité des liquidateurs.</w:t>
      </w:r>
    </w:p>
    <w:p>
      <w:pPr>
        <w:pStyle w:val="BodyText"/>
        <w:spacing w:line="218" w:lineRule="auto" w:before="82"/>
        <w:ind w:right="38"/>
      </w:pPr>
      <w:r>
        <w:rPr>
          <w:color w:val="231F20"/>
        </w:rPr>
        <w:t>Art. 2:106. Chaque liquidateur est tenu envers la société de remplir correctement la mission qui lui est confiée.</w:t>
      </w:r>
    </w:p>
    <w:p>
      <w:pPr>
        <w:pStyle w:val="BodyText"/>
        <w:spacing w:line="218" w:lineRule="auto" w:before="85"/>
        <w:ind w:right="38"/>
      </w:pPr>
      <w:r>
        <w:rPr>
          <w:color w:val="231F20"/>
        </w:rPr>
        <w:t>Les liquidateurs sont responsables envers la société et ses créanciers des fautes commises dans l’accomplissement de leur mission. Il en va de même envers les autres tiers pour autant que la faute commise présente un caractère</w:t>
      </w:r>
      <w:r>
        <w:rPr>
          <w:color w:val="231F20"/>
          <w:spacing w:val="2"/>
        </w:rPr>
        <w:t> </w:t>
      </w:r>
      <w:r>
        <w:rPr>
          <w:color w:val="231F20"/>
        </w:rPr>
        <w:t>extracontractuel.</w:t>
      </w:r>
    </w:p>
    <w:p>
      <w:pPr>
        <w:pStyle w:val="BodyText"/>
        <w:spacing w:line="218" w:lineRule="auto" w:before="86"/>
        <w:ind w:right="38"/>
      </w:pPr>
      <w:r>
        <w:rPr>
          <w:color w:val="231F20"/>
        </w:rPr>
        <w:t>Si les liquidateurs forment un collège, ils sont solidairement respon- sables des décisions et des manquements de ce collège.</w:t>
      </w:r>
    </w:p>
    <w:p>
      <w:pPr>
        <w:pStyle w:val="BodyText"/>
        <w:spacing w:line="218" w:lineRule="auto" w:before="85"/>
        <w:ind w:right="38"/>
      </w:pPr>
      <w:r>
        <w:rPr>
          <w:color w:val="231F20"/>
        </w:rPr>
        <w:t>Même si les liquidateurs ne forment pas un collège, ils répondent solidairement tant envers la société qu’envers les tiers de tout dommage résultant d’infractions aux dispositions du présent code ou aux statuts de la</w:t>
      </w:r>
      <w:r>
        <w:rPr>
          <w:color w:val="231F20"/>
          <w:spacing w:val="18"/>
        </w:rPr>
        <w:t> </w:t>
      </w:r>
      <w:r>
        <w:rPr>
          <w:color w:val="231F20"/>
        </w:rPr>
        <w:t>société.</w:t>
      </w:r>
    </w:p>
    <w:p>
      <w:pPr>
        <w:pStyle w:val="BodyText"/>
        <w:spacing w:line="218" w:lineRule="auto" w:before="86"/>
        <w:ind w:right="38"/>
      </w:pPr>
      <w:r>
        <w:rPr>
          <w:color w:val="231F20"/>
        </w:rPr>
        <w:t>Le liquidateur est toutefois déchargé de sa responsabilité pour les fautes ou infractions auxquelles il n’a pas pris part s’il a dénoncé la faute ou l’infraction à l’assemblée générale ou, en cas de dissolution judiciaire, au tribunal.</w:t>
      </w:r>
    </w:p>
    <w:p>
      <w:pPr>
        <w:pStyle w:val="BodyText"/>
        <w:spacing w:line="218" w:lineRule="auto" w:before="96"/>
        <w:ind w:right="38"/>
      </w:pPr>
      <w:r>
        <w:rPr>
          <w:color w:val="231F20"/>
        </w:rPr>
        <w:t>Art. 2:107. L’assemblée générale décide s’il y a lieu d’exercer l’action sociale contre les liquidateurs. Elle peut charger un ou plusieurs mandataires de l’exécution de cette décision.</w:t>
      </w:r>
    </w:p>
    <w:p>
      <w:pPr>
        <w:pStyle w:val="BodyText"/>
        <w:spacing w:line="213" w:lineRule="auto" w:before="99"/>
        <w:ind w:right="38"/>
      </w:pPr>
      <w:r>
        <w:rPr>
          <w:color w:val="231F20"/>
        </w:rPr>
        <w:t>Les actionnaires minoritaires d’une </w:t>
      </w:r>
      <w:r>
        <w:rPr>
          <w:color w:val="231F20"/>
          <w:spacing w:val="4"/>
        </w:rPr>
        <w:t>sociétéà</w:t>
      </w:r>
      <w:r>
        <w:rPr>
          <w:color w:val="231F20"/>
          <w:spacing w:val="-29"/>
        </w:rPr>
        <w:t> </w:t>
      </w:r>
      <w:r>
        <w:rPr>
          <w:color w:val="231F20"/>
        </w:rPr>
        <w:t>responsabilité limitée ou d’une société coopérative qui remplissent les conditions visées à l’article 5:104, § 1</w:t>
      </w:r>
      <w:r>
        <w:rPr>
          <w:color w:val="231F20"/>
          <w:position w:val="7"/>
          <w:sz w:val="11"/>
        </w:rPr>
        <w:t>er</w:t>
      </w:r>
      <w:r>
        <w:rPr>
          <w:color w:val="231F20"/>
        </w:rPr>
        <w:t>, ou à l’article 6:89, § 1</w:t>
      </w:r>
      <w:r>
        <w:rPr>
          <w:color w:val="231F20"/>
          <w:position w:val="7"/>
          <w:sz w:val="11"/>
        </w:rPr>
        <w:t>er</w:t>
      </w:r>
      <w:r>
        <w:rPr>
          <w:color w:val="231F20"/>
        </w:rPr>
        <w:t>, peuvent intenter pour le compte</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société</w:t>
      </w:r>
      <w:r>
        <w:rPr>
          <w:color w:val="231F20"/>
          <w:spacing w:val="-6"/>
        </w:rPr>
        <w:t> </w:t>
      </w:r>
      <w:r>
        <w:rPr>
          <w:color w:val="231F20"/>
        </w:rPr>
        <w:t>une</w:t>
      </w:r>
      <w:r>
        <w:rPr>
          <w:color w:val="231F20"/>
          <w:spacing w:val="-5"/>
        </w:rPr>
        <w:t> </w:t>
      </w:r>
      <w:r>
        <w:rPr>
          <w:color w:val="231F20"/>
        </w:rPr>
        <w:t>action</w:t>
      </w:r>
      <w:r>
        <w:rPr>
          <w:color w:val="231F20"/>
          <w:spacing w:val="-5"/>
        </w:rPr>
        <w:t> </w:t>
      </w:r>
      <w:r>
        <w:rPr>
          <w:color w:val="231F20"/>
        </w:rPr>
        <w:t>en</w:t>
      </w:r>
      <w:r>
        <w:rPr>
          <w:color w:val="231F20"/>
          <w:spacing w:val="-6"/>
        </w:rPr>
        <w:t> </w:t>
      </w:r>
      <w:r>
        <w:rPr>
          <w:color w:val="231F20"/>
        </w:rPr>
        <w:t>responsabilité</w:t>
      </w:r>
      <w:r>
        <w:rPr>
          <w:color w:val="231F20"/>
          <w:spacing w:val="-5"/>
        </w:rPr>
        <w:t> </w:t>
      </w:r>
      <w:r>
        <w:rPr>
          <w:color w:val="231F20"/>
        </w:rPr>
        <w:t>contre</w:t>
      </w:r>
      <w:r>
        <w:rPr>
          <w:color w:val="231F20"/>
          <w:spacing w:val="-5"/>
        </w:rPr>
        <w:t> </w:t>
      </w:r>
      <w:r>
        <w:rPr>
          <w:color w:val="231F20"/>
        </w:rPr>
        <w:t>les</w:t>
      </w:r>
      <w:r>
        <w:rPr>
          <w:color w:val="231F20"/>
          <w:spacing w:val="-6"/>
        </w:rPr>
        <w:t> </w:t>
      </w:r>
      <w:r>
        <w:rPr>
          <w:color w:val="231F20"/>
        </w:rPr>
        <w:t>liquidateurs. L’article</w:t>
      </w:r>
      <w:r>
        <w:rPr>
          <w:color w:val="231F20"/>
          <w:spacing w:val="14"/>
        </w:rPr>
        <w:t> </w:t>
      </w:r>
      <w:r>
        <w:rPr>
          <w:color w:val="231F20"/>
        </w:rPr>
        <w:t>5:104</w:t>
      </w:r>
      <w:r>
        <w:rPr>
          <w:color w:val="231F20"/>
          <w:spacing w:val="14"/>
        </w:rPr>
        <w:t> </w:t>
      </w:r>
      <w:r>
        <w:rPr>
          <w:color w:val="231F20"/>
        </w:rPr>
        <w:t>est</w:t>
      </w:r>
      <w:r>
        <w:rPr>
          <w:color w:val="231F20"/>
          <w:spacing w:val="14"/>
        </w:rPr>
        <w:t> </w:t>
      </w:r>
      <w:r>
        <w:rPr>
          <w:color w:val="231F20"/>
        </w:rPr>
        <w:t>applicable</w:t>
      </w:r>
      <w:r>
        <w:rPr>
          <w:color w:val="231F20"/>
          <w:spacing w:val="15"/>
        </w:rPr>
        <w:t> </w:t>
      </w:r>
      <w:r>
        <w:rPr>
          <w:color w:val="231F20"/>
        </w:rPr>
        <w:t>par</w:t>
      </w:r>
      <w:r>
        <w:rPr>
          <w:color w:val="231F20"/>
          <w:spacing w:val="14"/>
        </w:rPr>
        <w:t> </w:t>
      </w:r>
      <w:r>
        <w:rPr>
          <w:color w:val="231F20"/>
        </w:rPr>
        <w:t>analogie.</w:t>
      </w:r>
    </w:p>
    <w:p>
      <w:pPr>
        <w:pStyle w:val="BodyText"/>
        <w:spacing w:line="213" w:lineRule="auto" w:before="101"/>
        <w:ind w:right="38"/>
      </w:pPr>
      <w:r>
        <w:rPr>
          <w:color w:val="231F20"/>
        </w:rPr>
        <w:t>Les actionnaires minoritaires d’une société anonyme qui remplissent les conditions visées à l’article 7:157, § 1</w:t>
      </w:r>
      <w:r>
        <w:rPr>
          <w:color w:val="231F20"/>
          <w:position w:val="7"/>
          <w:sz w:val="11"/>
        </w:rPr>
        <w:t>er</w:t>
      </w:r>
      <w:r>
        <w:rPr>
          <w:color w:val="231F20"/>
        </w:rPr>
        <w:t>, peuvent intenter pour le compte</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société</w:t>
      </w:r>
      <w:r>
        <w:rPr>
          <w:color w:val="231F20"/>
          <w:spacing w:val="-6"/>
        </w:rPr>
        <w:t> </w:t>
      </w:r>
      <w:r>
        <w:rPr>
          <w:color w:val="231F20"/>
        </w:rPr>
        <w:t>une</w:t>
      </w:r>
      <w:r>
        <w:rPr>
          <w:color w:val="231F20"/>
          <w:spacing w:val="-5"/>
        </w:rPr>
        <w:t> </w:t>
      </w:r>
      <w:r>
        <w:rPr>
          <w:color w:val="231F20"/>
        </w:rPr>
        <w:t>action</w:t>
      </w:r>
      <w:r>
        <w:rPr>
          <w:color w:val="231F20"/>
          <w:spacing w:val="-5"/>
        </w:rPr>
        <w:t> </w:t>
      </w:r>
      <w:r>
        <w:rPr>
          <w:color w:val="231F20"/>
        </w:rPr>
        <w:t>en</w:t>
      </w:r>
      <w:r>
        <w:rPr>
          <w:color w:val="231F20"/>
          <w:spacing w:val="-6"/>
        </w:rPr>
        <w:t> </w:t>
      </w:r>
      <w:r>
        <w:rPr>
          <w:color w:val="231F20"/>
        </w:rPr>
        <w:t>responsabilité</w:t>
      </w:r>
      <w:r>
        <w:rPr>
          <w:color w:val="231F20"/>
          <w:spacing w:val="-5"/>
        </w:rPr>
        <w:t> </w:t>
      </w:r>
      <w:r>
        <w:rPr>
          <w:color w:val="231F20"/>
        </w:rPr>
        <w:t>contre</w:t>
      </w:r>
      <w:r>
        <w:rPr>
          <w:color w:val="231F20"/>
          <w:spacing w:val="-5"/>
        </w:rPr>
        <w:t> </w:t>
      </w:r>
      <w:r>
        <w:rPr>
          <w:color w:val="231F20"/>
        </w:rPr>
        <w:t>les</w:t>
      </w:r>
      <w:r>
        <w:rPr>
          <w:color w:val="231F20"/>
          <w:spacing w:val="-6"/>
        </w:rPr>
        <w:t> </w:t>
      </w:r>
      <w:r>
        <w:rPr>
          <w:color w:val="231F20"/>
        </w:rPr>
        <w:t>liquidateurs. L’article</w:t>
      </w:r>
      <w:r>
        <w:rPr>
          <w:color w:val="231F20"/>
          <w:spacing w:val="14"/>
        </w:rPr>
        <w:t> </w:t>
      </w:r>
      <w:r>
        <w:rPr>
          <w:color w:val="231F20"/>
        </w:rPr>
        <w:t>7:157</w:t>
      </w:r>
      <w:r>
        <w:rPr>
          <w:color w:val="231F20"/>
          <w:spacing w:val="15"/>
        </w:rPr>
        <w:t> </w:t>
      </w:r>
      <w:r>
        <w:rPr>
          <w:color w:val="231F20"/>
        </w:rPr>
        <w:t>est</w:t>
      </w:r>
      <w:r>
        <w:rPr>
          <w:color w:val="231F20"/>
          <w:spacing w:val="15"/>
        </w:rPr>
        <w:t> </w:t>
      </w:r>
      <w:r>
        <w:rPr>
          <w:color w:val="231F20"/>
        </w:rPr>
        <w:t>applicable</w:t>
      </w:r>
      <w:r>
        <w:rPr>
          <w:color w:val="231F20"/>
          <w:spacing w:val="15"/>
        </w:rPr>
        <w:t> </w:t>
      </w:r>
      <w:r>
        <w:rPr>
          <w:color w:val="231F20"/>
        </w:rPr>
        <w:t>par</w:t>
      </w:r>
      <w:r>
        <w:rPr>
          <w:color w:val="231F20"/>
          <w:spacing w:val="15"/>
        </w:rPr>
        <w:t> </w:t>
      </w:r>
      <w:r>
        <w:rPr>
          <w:color w:val="231F20"/>
        </w:rPr>
        <w:t>analogie.</w:t>
      </w:r>
    </w:p>
    <w:p>
      <w:pPr>
        <w:pStyle w:val="BodyText"/>
        <w:spacing w:line="218" w:lineRule="auto" w:before="119"/>
        <w:ind w:firstLine="0"/>
      </w:pPr>
      <w:r>
        <w:rPr/>
        <w:br w:type="column"/>
      </w:r>
      <w:r>
        <w:rPr>
          <w:color w:val="231F20"/>
        </w:rPr>
        <w:t>van deze schulden op de hoogte waren of gezien de omstandigheden behoorden te zijn. Zijn zij te goeder </w:t>
      </w:r>
      <w:r>
        <w:rPr>
          <w:color w:val="231F20"/>
          <w:spacing w:val="-4"/>
        </w:rPr>
        <w:t>trouw, </w:t>
      </w:r>
      <w:r>
        <w:rPr>
          <w:color w:val="231F20"/>
        </w:rPr>
        <w:t>kunnen zij verhaal uitoefenen op de leden van het bestuursorgaan die het laatst in functie waren. De aansprakelijkheid ten aanzien van de aandeelhouders is  voor iedere aandeelhouder beperkt tot het bedrag gelijk aan de som van de hem terugbetaalde inbreng en zijn aandeel in het vereffeningssaldo zoals ontvangen voor of bij de sluiting van de vereffening van de vennootschap.</w:t>
      </w:r>
    </w:p>
    <w:p>
      <w:pPr>
        <w:pStyle w:val="BodyText"/>
        <w:spacing w:before="72"/>
        <w:ind w:left="283" w:right="0" w:firstLine="0"/>
        <w:jc w:val="left"/>
      </w:pPr>
      <w:r>
        <w:rPr>
          <w:color w:val="231F20"/>
        </w:rPr>
        <w:t>Onderafdeling 8. Heropening van de vereffening.</w:t>
      </w:r>
    </w:p>
    <w:p>
      <w:pPr>
        <w:pStyle w:val="BodyText"/>
        <w:spacing w:line="218" w:lineRule="auto" w:before="82"/>
      </w:pPr>
      <w:r>
        <w:rPr>
          <w:color w:val="231F20"/>
        </w:rPr>
        <w:t>Art. 2:105. § 1. Indien na de sluiting van de vereffening blijkt dat één of meerdere actieve vermogensbestanddelen van de vennootschap werden vergeten, kan elke schuldeiser wiens schuldvordering niet integraal werd voldaan de heropening van de vereffening vorderen.</w:t>
      </w:r>
    </w:p>
    <w:p>
      <w:pPr>
        <w:pStyle w:val="BodyText"/>
        <w:spacing w:line="218" w:lineRule="auto" w:before="86"/>
      </w:pPr>
      <w:r>
        <w:rPr>
          <w:color w:val="231F20"/>
        </w:rPr>
        <w:t>De vordering tot heropening van de vereffening wordt ingesteld tegen  de  vereffenaars  die  laatst  in  functie  waren  of  de  in  arti-    kel 2:79 aangewezen</w:t>
      </w:r>
      <w:r>
        <w:rPr>
          <w:color w:val="231F20"/>
          <w:spacing w:val="4"/>
        </w:rPr>
        <w:t> </w:t>
      </w:r>
      <w:r>
        <w:rPr>
          <w:color w:val="231F20"/>
        </w:rPr>
        <w:t>personen.</w:t>
      </w:r>
    </w:p>
    <w:p>
      <w:pPr>
        <w:pStyle w:val="BodyText"/>
        <w:spacing w:line="218" w:lineRule="auto" w:before="86"/>
        <w:ind w:right="123"/>
      </w:pPr>
      <w:r>
        <w:rPr>
          <w:color w:val="231F20"/>
        </w:rPr>
        <w:t>De rechtbank beveelt slechts de heropening van de vereffening indien de waarde van het vergeten actieve vermogensbestanddeel de kosten van de heropening overschrijdt.</w:t>
      </w:r>
    </w:p>
    <w:p>
      <w:pPr>
        <w:pStyle w:val="BodyText"/>
        <w:spacing w:line="218" w:lineRule="auto" w:before="85"/>
      </w:pPr>
      <w:r>
        <w:rPr>
          <w:color w:val="231F20"/>
        </w:rPr>
        <w:t>§ 2. Onverminderd de rechten van derden te goeder trouw verkrijgt de vennootschap door de heropening opnieuw</w:t>
      </w:r>
      <w:r>
        <w:rPr>
          <w:color w:val="231F20"/>
          <w:spacing w:val="29"/>
        </w:rPr>
        <w:t> </w:t>
      </w:r>
      <w:r>
        <w:rPr>
          <w:color w:val="231F20"/>
        </w:rPr>
        <w:t>rechtspersoonlijkheid en wordt zij van rechtswege eigenaar van het vergeten actieve vermogensbestanddeel. De vereffenaars die laatst in functie waren verkrijgen opnieuw deze hoedanigheid tenzij de rechtbank hen ver- vangt of het aantal beperkt. Bij een heropening van een vereffening bedoeld in de artikelen 2:79 en 2:80 kan de rechtbank een vereffenaar aanwijzen.</w:t>
      </w:r>
    </w:p>
    <w:p>
      <w:pPr>
        <w:pStyle w:val="BodyText"/>
        <w:spacing w:line="218" w:lineRule="auto" w:before="86"/>
      </w:pPr>
      <w:r>
        <w:rPr>
          <w:color w:val="231F20"/>
        </w:rPr>
        <w:t>§ 3. Tussen partijen heeft de heropening uitwerking vanaf de dag dat zij is uitgesproken. Aan derden kan zij slechts worden tegengeworpen vanaf de bekendmaking bedoeld in paragraaf 4 en de artikelen 2:7 en 2:13.</w:t>
      </w:r>
    </w:p>
    <w:p>
      <w:pPr>
        <w:pStyle w:val="BodyText"/>
        <w:spacing w:line="218" w:lineRule="auto" w:before="86"/>
      </w:pPr>
      <w:r>
        <w:rPr>
          <w:color w:val="231F20"/>
        </w:rPr>
        <w:t>§ 4. Het uittreksel uit de in kracht van gewijsde gegane of bij voorraad uitvoerbare rechterlijke beslissing waarbij de heropening van de vereffening wordt uitgesproken, alsook het uittreksel uit de rechterlijke beslissing waarbij voornoemd vonnis wordt tenietgedaan, worden  neergelegd  en  bekendgemaakt  overeenkomstig  de  artike- len 2:7 en</w:t>
      </w:r>
      <w:r>
        <w:rPr>
          <w:color w:val="231F20"/>
          <w:spacing w:val="2"/>
        </w:rPr>
        <w:t> </w:t>
      </w:r>
      <w:r>
        <w:rPr>
          <w:color w:val="231F20"/>
        </w:rPr>
        <w:t>2:13.</w:t>
      </w:r>
    </w:p>
    <w:p>
      <w:pPr>
        <w:pStyle w:val="BodyText"/>
        <w:spacing w:before="72"/>
        <w:ind w:left="283" w:right="0" w:firstLine="0"/>
        <w:jc w:val="left"/>
      </w:pPr>
      <w:r>
        <w:rPr>
          <w:color w:val="231F20"/>
        </w:rPr>
        <w:t>Dat uittreksel vermeldt:</w:t>
      </w:r>
    </w:p>
    <w:p>
      <w:pPr>
        <w:pStyle w:val="BodyText"/>
        <w:spacing w:before="68"/>
        <w:ind w:left="283" w:right="0" w:firstLine="0"/>
        <w:jc w:val="left"/>
      </w:pPr>
      <w:r>
        <w:rPr>
          <w:color w:val="231F20"/>
        </w:rPr>
        <w:t>1° de naam en de zetel van de vennootschap;</w:t>
      </w:r>
    </w:p>
    <w:p>
      <w:pPr>
        <w:pStyle w:val="BodyText"/>
        <w:spacing w:line="260" w:lineRule="atLeast" w:before="1"/>
        <w:ind w:left="283" w:hanging="1"/>
        <w:jc w:val="left"/>
      </w:pPr>
      <w:r>
        <w:rPr>
          <w:color w:val="231F20"/>
        </w:rPr>
        <w:t>2° de datum van de beslissing en de rechter die ze heeft gewezen;     3°</w:t>
      </w:r>
      <w:r>
        <w:rPr>
          <w:color w:val="231F20"/>
          <w:spacing w:val="19"/>
        </w:rPr>
        <w:t> </w:t>
      </w:r>
      <w:r>
        <w:rPr>
          <w:color w:val="231F20"/>
        </w:rPr>
        <w:t>de</w:t>
      </w:r>
      <w:r>
        <w:rPr>
          <w:color w:val="231F20"/>
          <w:spacing w:val="19"/>
        </w:rPr>
        <w:t> </w:t>
      </w:r>
      <w:r>
        <w:rPr>
          <w:color w:val="231F20"/>
        </w:rPr>
        <w:t>naam,</w:t>
      </w:r>
      <w:r>
        <w:rPr>
          <w:color w:val="231F20"/>
          <w:spacing w:val="19"/>
        </w:rPr>
        <w:t> </w:t>
      </w:r>
      <w:r>
        <w:rPr>
          <w:color w:val="231F20"/>
        </w:rPr>
        <w:t>de</w:t>
      </w:r>
      <w:r>
        <w:rPr>
          <w:color w:val="231F20"/>
          <w:spacing w:val="20"/>
        </w:rPr>
        <w:t> </w:t>
      </w:r>
      <w:r>
        <w:rPr>
          <w:color w:val="231F20"/>
        </w:rPr>
        <w:t>voornaam</w:t>
      </w:r>
      <w:r>
        <w:rPr>
          <w:color w:val="231F20"/>
          <w:spacing w:val="19"/>
        </w:rPr>
        <w:t> </w:t>
      </w:r>
      <w:r>
        <w:rPr>
          <w:color w:val="231F20"/>
        </w:rPr>
        <w:t>en</w:t>
      </w:r>
      <w:r>
        <w:rPr>
          <w:color w:val="231F20"/>
          <w:spacing w:val="19"/>
        </w:rPr>
        <w:t> </w:t>
      </w:r>
      <w:r>
        <w:rPr>
          <w:color w:val="231F20"/>
        </w:rPr>
        <w:t>de</w:t>
      </w:r>
      <w:r>
        <w:rPr>
          <w:color w:val="231F20"/>
          <w:spacing w:val="19"/>
        </w:rPr>
        <w:t> </w:t>
      </w:r>
      <w:r>
        <w:rPr>
          <w:color w:val="231F20"/>
        </w:rPr>
        <w:t>woonplaats</w:t>
      </w:r>
      <w:r>
        <w:rPr>
          <w:color w:val="231F20"/>
          <w:spacing w:val="20"/>
        </w:rPr>
        <w:t> </w:t>
      </w:r>
      <w:r>
        <w:rPr>
          <w:color w:val="231F20"/>
        </w:rPr>
        <w:t>van</w:t>
      </w:r>
      <w:r>
        <w:rPr>
          <w:color w:val="231F20"/>
          <w:spacing w:val="19"/>
        </w:rPr>
        <w:t> </w:t>
      </w:r>
      <w:r>
        <w:rPr>
          <w:color w:val="231F20"/>
        </w:rPr>
        <w:t>de</w:t>
      </w:r>
      <w:r>
        <w:rPr>
          <w:color w:val="231F20"/>
          <w:spacing w:val="19"/>
        </w:rPr>
        <w:t> </w:t>
      </w:r>
      <w:r>
        <w:rPr>
          <w:color w:val="231F20"/>
        </w:rPr>
        <w:t>vereffenaars</w:t>
      </w:r>
      <w:r>
        <w:rPr>
          <w:color w:val="231F20"/>
          <w:spacing w:val="19"/>
        </w:rPr>
        <w:t> </w:t>
      </w:r>
      <w:r>
        <w:rPr>
          <w:color w:val="231F20"/>
        </w:rPr>
        <w:t>en</w:t>
      </w:r>
    </w:p>
    <w:p>
      <w:pPr>
        <w:pStyle w:val="BodyText"/>
        <w:spacing w:line="218" w:lineRule="auto"/>
        <w:ind w:right="123" w:firstLine="0"/>
      </w:pPr>
      <w:r>
        <w:rPr>
          <w:color w:val="231F20"/>
        </w:rPr>
        <w:t>ingeval een vereffenaar een rechtspersoon is, de vaste vertegenwoordi- ger.</w:t>
      </w:r>
    </w:p>
    <w:p>
      <w:pPr>
        <w:pStyle w:val="BodyText"/>
        <w:spacing w:line="218" w:lineRule="auto" w:before="83"/>
      </w:pPr>
      <w:r>
        <w:rPr>
          <w:color w:val="231F20"/>
        </w:rPr>
        <w:t>§ 5. Alle bepalingen van dit hoofdstuk zijn van toepassing op  de aldus heropende</w:t>
      </w:r>
      <w:r>
        <w:rPr>
          <w:color w:val="231F20"/>
          <w:spacing w:val="-11"/>
        </w:rPr>
        <w:t> </w:t>
      </w:r>
      <w:r>
        <w:rPr>
          <w:color w:val="231F20"/>
        </w:rPr>
        <w:t>vereffening.</w:t>
      </w:r>
    </w:p>
    <w:p>
      <w:pPr>
        <w:pStyle w:val="BodyText"/>
        <w:spacing w:before="71"/>
        <w:ind w:left="283" w:right="0" w:firstLine="0"/>
        <w:jc w:val="left"/>
      </w:pPr>
      <w:r>
        <w:rPr>
          <w:color w:val="231F20"/>
        </w:rPr>
        <w:t>Onderafdeling 9. Aansprakelijkheid van de vereffenaars.</w:t>
      </w:r>
    </w:p>
    <w:p>
      <w:pPr>
        <w:pStyle w:val="BodyText"/>
        <w:spacing w:line="218" w:lineRule="auto" w:before="82"/>
      </w:pPr>
      <w:r>
        <w:rPr>
          <w:color w:val="231F20"/>
        </w:rPr>
        <w:t>Art. 2:106. Iedere vereffenaar is tegenover de vennootschap gehou- den tot een behoorlijke vervulling van de hem opgedragen taak.</w:t>
      </w:r>
    </w:p>
    <w:p>
      <w:pPr>
        <w:pStyle w:val="BodyText"/>
        <w:spacing w:line="218" w:lineRule="auto" w:before="86"/>
      </w:pPr>
      <w:r>
        <w:rPr>
          <w:color w:val="231F20"/>
        </w:rPr>
        <w:t>De vereffenaars zijn jegens de vennootschap en jegens haar schuld- eisers aansprakelijk voor fouten begaan in de uitvoering van hun opdracht. Dit geldt ook jegens andere derden voor zover de begane fout een buitencontractuele fout is.</w:t>
      </w:r>
    </w:p>
    <w:p>
      <w:pPr>
        <w:pStyle w:val="BodyText"/>
        <w:spacing w:line="218" w:lineRule="auto" w:before="86"/>
      </w:pPr>
      <w:r>
        <w:rPr>
          <w:color w:val="231F20"/>
        </w:rPr>
        <w:t>Indien de vereffenaars een college vormen, is hun aansprakelijkheid voor de beslissingen of nalatigheden van dit college hoofdelijk.</w:t>
      </w:r>
    </w:p>
    <w:p>
      <w:pPr>
        <w:pStyle w:val="BodyText"/>
        <w:spacing w:line="218" w:lineRule="auto" w:before="85"/>
      </w:pPr>
      <w:r>
        <w:rPr>
          <w:color w:val="231F20"/>
        </w:rPr>
        <w:t>Zelfs indien de vereffenaars geen college vormen, zijn zij zowel  jegens de vennootschap als jegens derden hoofdelijk aansprakelijk voor alle schade die het gevolg is van overtredingen van de bepalingen van dit</w:t>
      </w:r>
      <w:r>
        <w:rPr>
          <w:color w:val="231F20"/>
          <w:spacing w:val="16"/>
        </w:rPr>
        <w:t> </w:t>
      </w:r>
      <w:r>
        <w:rPr>
          <w:color w:val="231F20"/>
        </w:rPr>
        <w:t>wetboek</w:t>
      </w:r>
      <w:r>
        <w:rPr>
          <w:color w:val="231F20"/>
          <w:spacing w:val="17"/>
        </w:rPr>
        <w:t> </w:t>
      </w:r>
      <w:r>
        <w:rPr>
          <w:color w:val="231F20"/>
        </w:rPr>
        <w:t>of</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statuten</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vennootschap.</w:t>
      </w:r>
    </w:p>
    <w:p>
      <w:pPr>
        <w:pStyle w:val="BodyText"/>
        <w:spacing w:line="218" w:lineRule="auto" w:before="86"/>
      </w:pPr>
      <w:r>
        <w:rPr>
          <w:color w:val="231F20"/>
          <w:spacing w:val="-5"/>
        </w:rPr>
        <w:t>Voor </w:t>
      </w:r>
      <w:r>
        <w:rPr>
          <w:color w:val="231F20"/>
        </w:rPr>
        <w:t>fouten of overtredingen waaraan hij geen deel heeft gehad wordt een vereffenaar evenwel van zijn aansprakelijkheid ontheven indien hij de fout of overtreding heeft gemeld aan de algemene vergadering of, in geval van gerechtelijke ontbinding, aan de</w:t>
      </w:r>
      <w:r>
        <w:rPr>
          <w:color w:val="231F20"/>
          <w:spacing w:val="11"/>
        </w:rPr>
        <w:t> </w:t>
      </w:r>
      <w:r>
        <w:rPr>
          <w:color w:val="231F20"/>
        </w:rPr>
        <w:t>rechtbank.</w:t>
      </w:r>
    </w:p>
    <w:p>
      <w:pPr>
        <w:pStyle w:val="BodyText"/>
        <w:spacing w:line="218" w:lineRule="auto" w:before="96"/>
      </w:pPr>
      <w:r>
        <w:rPr>
          <w:color w:val="231F20"/>
        </w:rPr>
        <w:t>Art. 2:107. De algemene vergadering beslist of tegen de vereffenaars een vennootschapsvordering moet worden ingesteld. Zij kan één of meer lasthebbers aanstellen voor de uitvoering van die beslissing.</w:t>
      </w:r>
    </w:p>
    <w:p>
      <w:pPr>
        <w:pStyle w:val="BodyText"/>
        <w:spacing w:line="218" w:lineRule="auto" w:before="96"/>
      </w:pPr>
      <w:r>
        <w:rPr>
          <w:color w:val="231F20"/>
        </w:rPr>
        <w:t>Minderheidsaandeelhouders van een besloten vennootschap of een coöperatieve vennootschap die voldoen aan de voorwaarden van  artikel 5:104, § 1, of artikel 6:89, § 1, kunnen voor rekening van de vennootschap een aansprakelijkheidsvordering tegen de</w:t>
      </w:r>
      <w:r>
        <w:rPr>
          <w:color w:val="231F20"/>
          <w:spacing w:val="28"/>
        </w:rPr>
        <w:t> </w:t>
      </w:r>
      <w:r>
        <w:rPr>
          <w:color w:val="231F20"/>
        </w:rPr>
        <w:t>vereffenaars instellen.</w:t>
      </w:r>
      <w:r>
        <w:rPr>
          <w:color w:val="231F20"/>
          <w:spacing w:val="9"/>
        </w:rPr>
        <w:t> </w:t>
      </w:r>
      <w:r>
        <w:rPr>
          <w:color w:val="231F20"/>
        </w:rPr>
        <w:t>Artikel</w:t>
      </w:r>
      <w:r>
        <w:rPr>
          <w:color w:val="231F20"/>
          <w:spacing w:val="15"/>
        </w:rPr>
        <w:t> </w:t>
      </w:r>
      <w:r>
        <w:rPr>
          <w:color w:val="231F20"/>
        </w:rPr>
        <w:t>5:104</w:t>
      </w:r>
      <w:r>
        <w:rPr>
          <w:color w:val="231F20"/>
          <w:spacing w:val="15"/>
        </w:rPr>
        <w:t> </w:t>
      </w:r>
      <w:r>
        <w:rPr>
          <w:color w:val="231F20"/>
        </w:rPr>
        <w:t>is</w:t>
      </w:r>
      <w:r>
        <w:rPr>
          <w:color w:val="231F20"/>
          <w:spacing w:val="15"/>
        </w:rPr>
        <w:t> </w:t>
      </w:r>
      <w:r>
        <w:rPr>
          <w:color w:val="231F20"/>
        </w:rPr>
        <w:t>van</w:t>
      </w:r>
      <w:r>
        <w:rPr>
          <w:color w:val="231F20"/>
          <w:spacing w:val="15"/>
        </w:rPr>
        <w:t> </w:t>
      </w:r>
      <w:r>
        <w:rPr>
          <w:color w:val="231F20"/>
        </w:rPr>
        <w:t>overeenkomstige</w:t>
      </w:r>
      <w:r>
        <w:rPr>
          <w:color w:val="231F20"/>
          <w:spacing w:val="15"/>
        </w:rPr>
        <w:t> </w:t>
      </w:r>
      <w:r>
        <w:rPr>
          <w:color w:val="231F20"/>
        </w:rPr>
        <w:t>toepassing.</w:t>
      </w:r>
    </w:p>
    <w:p>
      <w:pPr>
        <w:pStyle w:val="BodyText"/>
        <w:spacing w:line="218" w:lineRule="auto" w:before="96"/>
      </w:pPr>
      <w:r>
        <w:rPr>
          <w:color w:val="231F20"/>
        </w:rPr>
        <w:t>Minderheidsaandeelhouders van een naamloze vennootschap die voldoen aan de voorwaarden van artikel 7:157, § 1, kunnen voor rekening van de vennootschap een aansprakelijkheidsvordering tegen de vereffenaars instellen. Artikel 7:157 is van overeenkomstige toepas- sing.</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1960" from="298.170502pt,64.473pt" to="298.170502pt,812.819pt" stroked="true" strokeweight=".533pt" strokecolor="#231f20">
            <v:stroke dashstyle="solid"/>
            <w10:wrap type="none"/>
          </v:line>
        </w:pict>
      </w:r>
      <w:bookmarkStart w:name="_bookmark39" w:id="42"/>
      <w:bookmarkEnd w:id="42"/>
      <w:r>
        <w:rPr/>
      </w:r>
      <w:r>
        <w:rPr>
          <w:color w:val="231F20"/>
        </w:rPr>
        <w:t>Après la clôture de la liquidation, tout associé ou actionnaire de la société liquidée peut intenter une action en responsabilité contre les liquidateurs de cette société pour obtenir la réparation du préjudice qu’il aurait subi par suite d’une faute commise lors de la liquidation.</w:t>
      </w:r>
    </w:p>
    <w:p>
      <w:pPr>
        <w:pStyle w:val="BodyText"/>
        <w:spacing w:before="8"/>
        <w:ind w:left="0" w:right="0" w:firstLine="0"/>
        <w:jc w:val="left"/>
        <w:rPr>
          <w:sz w:val="23"/>
        </w:rPr>
      </w:pPr>
    </w:p>
    <w:p>
      <w:pPr>
        <w:pStyle w:val="BodyText"/>
        <w:ind w:left="283" w:right="0" w:firstLine="0"/>
        <w:jc w:val="left"/>
      </w:pPr>
      <w:r>
        <w:rPr>
          <w:color w:val="231F20"/>
        </w:rPr>
        <w:t>Section 3. Disposition pénale.</w:t>
      </w:r>
    </w:p>
    <w:p>
      <w:pPr>
        <w:pStyle w:val="BodyText"/>
        <w:spacing w:line="218" w:lineRule="auto" w:before="103"/>
        <w:ind w:right="38"/>
      </w:pPr>
      <w:r>
        <w:rPr>
          <w:color w:val="231F20"/>
        </w:rPr>
        <w:t>Art. 2:108. Seront punis d’une amende de cinquante euros à  dix mille</w:t>
      </w:r>
      <w:r>
        <w:rPr>
          <w:color w:val="231F20"/>
          <w:spacing w:val="14"/>
        </w:rPr>
        <w:t> </w:t>
      </w:r>
      <w:r>
        <w:rPr>
          <w:color w:val="231F20"/>
        </w:rPr>
        <w:t>euros:</w:t>
      </w:r>
    </w:p>
    <w:p>
      <w:pPr>
        <w:pStyle w:val="BodyText"/>
        <w:spacing w:line="218" w:lineRule="auto" w:before="107"/>
        <w:ind w:right="38"/>
      </w:pPr>
      <w:r>
        <w:rPr>
          <w:color w:val="231F20"/>
        </w:rPr>
        <w:t>1° les liquidateurs qui contreviennent à l’une des obligations des articles 2:23, 2:24, 2:29, 2:33, 3:5 et 3:6;</w:t>
      </w:r>
    </w:p>
    <w:p>
      <w:pPr>
        <w:pStyle w:val="BodyText"/>
        <w:spacing w:line="218" w:lineRule="auto" w:before="107"/>
        <w:ind w:right="38"/>
      </w:pPr>
      <w:r>
        <w:rPr>
          <w:color w:val="231F20"/>
        </w:rPr>
        <w:t>2° les liquidateurs qui négligent de soumettre à l’assemblée générale les comptes annuels ou les résultats de la liquidation, conformément aux articles 2:99 et 2:100;</w:t>
      </w:r>
    </w:p>
    <w:p>
      <w:pPr>
        <w:pStyle w:val="BodyText"/>
        <w:spacing w:line="218" w:lineRule="auto" w:before="107"/>
        <w:ind w:right="38"/>
      </w:pPr>
      <w:r>
        <w:rPr>
          <w:color w:val="231F20"/>
        </w:rPr>
        <w:t>3° les liquidateurs qui négligent de transmettre au </w:t>
      </w:r>
      <w:r>
        <w:rPr>
          <w:color w:val="231F20"/>
          <w:spacing w:val="-3"/>
        </w:rPr>
        <w:t>greffe </w:t>
      </w:r>
      <w:r>
        <w:rPr>
          <w:color w:val="231F20"/>
        </w:rPr>
        <w:t>du tribunal de l’entreprise du ressort dans lequel se trouve le siège de la société, l’état détaillé de la situation de la liquidation,  conformément  à  l’article</w:t>
      </w:r>
      <w:r>
        <w:rPr>
          <w:color w:val="231F20"/>
          <w:spacing w:val="14"/>
        </w:rPr>
        <w:t> </w:t>
      </w:r>
      <w:r>
        <w:rPr>
          <w:color w:val="231F20"/>
        </w:rPr>
        <w:t>2:96.</w:t>
      </w:r>
    </w:p>
    <w:p>
      <w:pPr>
        <w:pStyle w:val="BodyText"/>
        <w:spacing w:line="218" w:lineRule="auto" w:before="92"/>
        <w:ind w:right="38"/>
      </w:pPr>
      <w:r>
        <w:rPr>
          <w:color w:val="231F20"/>
        </w:rPr>
        <w:t>Si la violation des dispositions visées à l’alinéa 1</w:t>
      </w:r>
      <w:r>
        <w:rPr>
          <w:color w:val="231F20"/>
          <w:position w:val="7"/>
          <w:sz w:val="11"/>
        </w:rPr>
        <w:t>er</w:t>
      </w:r>
      <w:r>
        <w:rPr>
          <w:color w:val="231F20"/>
        </w:rPr>
        <w:t>, 1°, a lieu dans un but frauduleux, ils peuvent en outre être punis d’un emprisonnement d’un mois à un an ou de ces deux peines cumulées.</w:t>
      </w:r>
    </w:p>
    <w:p>
      <w:pPr>
        <w:pStyle w:val="BodyText"/>
        <w:spacing w:before="7"/>
        <w:ind w:left="0" w:right="0" w:firstLine="0"/>
        <w:jc w:val="left"/>
        <w:rPr>
          <w:sz w:val="23"/>
        </w:rPr>
      </w:pPr>
    </w:p>
    <w:p>
      <w:pPr>
        <w:pStyle w:val="BodyText"/>
        <w:spacing w:line="331" w:lineRule="auto"/>
        <w:ind w:left="283" w:right="281" w:firstLine="0"/>
        <w:jc w:val="left"/>
      </w:pPr>
      <w:r>
        <w:rPr>
          <w:color w:val="231F20"/>
        </w:rPr>
        <w:t>CHAPITRE 2. Dissolution des associations et des fondations. Section 1</w:t>
      </w:r>
      <w:r>
        <w:rPr>
          <w:color w:val="231F20"/>
          <w:position w:val="7"/>
          <w:sz w:val="11"/>
        </w:rPr>
        <w:t>re</w:t>
      </w:r>
      <w:r>
        <w:rPr>
          <w:color w:val="231F20"/>
        </w:rPr>
        <w:t>. Dissolution des ASBL et des AISBL.</w:t>
      </w:r>
    </w:p>
    <w:p>
      <w:pPr>
        <w:pStyle w:val="BodyText"/>
        <w:spacing w:before="2"/>
        <w:ind w:left="283" w:right="0" w:firstLine="0"/>
        <w:jc w:val="left"/>
      </w:pPr>
      <w:r>
        <w:rPr>
          <w:color w:val="231F20"/>
        </w:rPr>
        <w:t>Sous-section 1</w:t>
      </w:r>
      <w:r>
        <w:rPr>
          <w:color w:val="231F20"/>
          <w:position w:val="7"/>
          <w:sz w:val="11"/>
        </w:rPr>
        <w:t>re</w:t>
      </w:r>
      <w:r>
        <w:rPr>
          <w:color w:val="231F20"/>
        </w:rPr>
        <w:t>. Disposition générale.</w:t>
      </w:r>
    </w:p>
    <w:p>
      <w:pPr>
        <w:pStyle w:val="BodyText"/>
        <w:spacing w:line="350" w:lineRule="auto" w:before="89"/>
        <w:ind w:left="283" w:right="1760" w:firstLine="0"/>
        <w:jc w:val="left"/>
      </w:pPr>
      <w:r>
        <w:rPr>
          <w:color w:val="231F20"/>
        </w:rPr>
        <w:t>Art. 2:109. L’ASBL et l’AISBL sont dissoutes: 1° par une décision de l’assemblée générale;</w:t>
      </w:r>
    </w:p>
    <w:p>
      <w:pPr>
        <w:pStyle w:val="BodyText"/>
        <w:spacing w:line="218" w:lineRule="auto" w:before="15"/>
        <w:ind w:right="38"/>
      </w:pPr>
      <w:r>
        <w:rPr>
          <w:color w:val="231F20"/>
        </w:rPr>
        <w:t>2° de plein droit, à la suite d’un fait ou événement défini par la loi ou les statuts;</w:t>
      </w:r>
    </w:p>
    <w:p>
      <w:pPr>
        <w:pStyle w:val="BodyText"/>
        <w:spacing w:before="93"/>
        <w:ind w:left="283" w:right="0" w:firstLine="0"/>
        <w:jc w:val="left"/>
      </w:pPr>
      <w:r>
        <w:rPr>
          <w:color w:val="231F20"/>
        </w:rPr>
        <w:t>3° par une décision judiciaire.</w:t>
      </w:r>
    </w:p>
    <w:p>
      <w:pPr>
        <w:pStyle w:val="BodyText"/>
        <w:spacing w:before="89"/>
        <w:ind w:left="283" w:right="0" w:firstLine="0"/>
        <w:jc w:val="left"/>
      </w:pPr>
      <w:r>
        <w:rPr>
          <w:color w:val="231F20"/>
        </w:rPr>
        <w:t>Sous-section 2. Dissolution volontaire.</w:t>
      </w:r>
    </w:p>
    <w:p>
      <w:pPr>
        <w:pStyle w:val="BodyText"/>
        <w:spacing w:line="218" w:lineRule="auto" w:before="88"/>
        <w:ind w:right="38"/>
      </w:pPr>
      <w:r>
        <w:rPr>
          <w:color w:val="231F20"/>
        </w:rPr>
        <w:t>Art. 2:110. § 1</w:t>
      </w:r>
      <w:r>
        <w:rPr>
          <w:color w:val="231F20"/>
          <w:position w:val="7"/>
          <w:sz w:val="11"/>
        </w:rPr>
        <w:t>er</w:t>
      </w:r>
      <w:r>
        <w:rPr>
          <w:color w:val="231F20"/>
        </w:rPr>
        <w:t>. Une ASBL peut à tout moment être dissoute par une délibération de l’assemblée générale prise aux mêmes conditions que celles prévues pour la modification de l’objet ou du but désintéressé de l’association.</w:t>
      </w:r>
    </w:p>
    <w:p>
      <w:pPr>
        <w:pStyle w:val="BodyText"/>
        <w:spacing w:line="218" w:lineRule="auto" w:before="107"/>
        <w:ind w:right="38"/>
      </w:pPr>
      <w:r>
        <w:rPr>
          <w:color w:val="231F20"/>
        </w:rPr>
        <w:t>Une AISBL peut à tout moment être dissoute conformément aux conditions prévues par les statuts.</w:t>
      </w:r>
    </w:p>
    <w:p>
      <w:pPr>
        <w:pStyle w:val="BodyText"/>
        <w:spacing w:line="218" w:lineRule="auto" w:before="107"/>
        <w:ind w:right="38"/>
      </w:pPr>
      <w:r>
        <w:rPr>
          <w:color w:val="231F20"/>
        </w:rPr>
        <w:t>§</w:t>
      </w:r>
      <w:r>
        <w:rPr>
          <w:color w:val="231F20"/>
          <w:spacing w:val="-6"/>
        </w:rPr>
        <w:t> </w:t>
      </w:r>
      <w:r>
        <w:rPr>
          <w:color w:val="231F20"/>
        </w:rPr>
        <w:t>2.</w:t>
      </w:r>
      <w:r>
        <w:rPr>
          <w:color w:val="231F20"/>
          <w:spacing w:val="-5"/>
        </w:rPr>
        <w:t> </w:t>
      </w:r>
      <w:r>
        <w:rPr>
          <w:color w:val="231F20"/>
        </w:rPr>
        <w:t>Dans</w:t>
      </w:r>
      <w:r>
        <w:rPr>
          <w:color w:val="231F20"/>
          <w:spacing w:val="-5"/>
        </w:rPr>
        <w:t> </w:t>
      </w:r>
      <w:r>
        <w:rPr>
          <w:color w:val="231F20"/>
        </w:rPr>
        <w:t>les</w:t>
      </w:r>
      <w:r>
        <w:rPr>
          <w:color w:val="231F20"/>
          <w:spacing w:val="-11"/>
        </w:rPr>
        <w:t> </w:t>
      </w:r>
      <w:r>
        <w:rPr>
          <w:color w:val="231F20"/>
        </w:rPr>
        <w:t>ASBL</w:t>
      </w:r>
      <w:r>
        <w:rPr>
          <w:color w:val="231F20"/>
          <w:spacing w:val="-10"/>
        </w:rPr>
        <w:t> </w:t>
      </w:r>
      <w:r>
        <w:rPr>
          <w:color w:val="231F20"/>
        </w:rPr>
        <w:t>et</w:t>
      </w:r>
      <w:r>
        <w:rPr>
          <w:color w:val="231F20"/>
          <w:spacing w:val="-5"/>
        </w:rPr>
        <w:t> </w:t>
      </w:r>
      <w:r>
        <w:rPr>
          <w:color w:val="231F20"/>
        </w:rPr>
        <w:t>les</w:t>
      </w:r>
      <w:r>
        <w:rPr>
          <w:color w:val="231F20"/>
          <w:spacing w:val="-11"/>
        </w:rPr>
        <w:t> </w:t>
      </w:r>
      <w:r>
        <w:rPr>
          <w:color w:val="231F20"/>
        </w:rPr>
        <w:t>AISBL</w:t>
      </w:r>
      <w:r>
        <w:rPr>
          <w:color w:val="231F20"/>
          <w:spacing w:val="-10"/>
        </w:rPr>
        <w:t> </w:t>
      </w:r>
      <w:r>
        <w:rPr>
          <w:color w:val="231F20"/>
        </w:rPr>
        <w:t>qui,</w:t>
      </w:r>
      <w:r>
        <w:rPr>
          <w:color w:val="231F20"/>
          <w:spacing w:val="-6"/>
        </w:rPr>
        <w:t> </w:t>
      </w:r>
      <w:r>
        <w:rPr>
          <w:color w:val="231F20"/>
        </w:rPr>
        <w:t>conformément</w:t>
      </w:r>
      <w:r>
        <w:rPr>
          <w:color w:val="231F20"/>
          <w:spacing w:val="-5"/>
        </w:rPr>
        <w:t> </w:t>
      </w:r>
      <w:r>
        <w:rPr>
          <w:color w:val="231F20"/>
        </w:rPr>
        <w:t>à</w:t>
      </w:r>
      <w:r>
        <w:rPr>
          <w:color w:val="231F20"/>
          <w:spacing w:val="-5"/>
        </w:rPr>
        <w:t> </w:t>
      </w:r>
      <w:r>
        <w:rPr>
          <w:color w:val="231F20"/>
        </w:rPr>
        <w:t>l’article</w:t>
      </w:r>
      <w:r>
        <w:rPr>
          <w:color w:val="231F20"/>
          <w:spacing w:val="-5"/>
        </w:rPr>
        <w:t> </w:t>
      </w:r>
      <w:r>
        <w:rPr>
          <w:color w:val="231F20"/>
        </w:rPr>
        <w:t>3:47,</w:t>
      </w:r>
      <w:r>
        <w:rPr>
          <w:color w:val="231F20"/>
          <w:spacing w:val="-5"/>
        </w:rPr>
        <w:t> </w:t>
      </w:r>
      <w:r>
        <w:rPr>
          <w:color w:val="231F20"/>
        </w:rPr>
        <w:t>§</w:t>
      </w:r>
      <w:r>
        <w:rPr>
          <w:color w:val="231F20"/>
          <w:spacing w:val="-6"/>
        </w:rPr>
        <w:t> </w:t>
      </w:r>
      <w:r>
        <w:rPr>
          <w:color w:val="231F20"/>
        </w:rPr>
        <w:t>6, doivent désigner un ou plusieurs commissaires, la proposition de dissolution fait l’objet d’un rapport établi par l’organe d’administration et mentionné dans l’ordre du jour de l’assemblée appelée à se prononcer sur la</w:t>
      </w:r>
      <w:r>
        <w:rPr>
          <w:color w:val="231F20"/>
          <w:spacing w:val="4"/>
        </w:rPr>
        <w:t> </w:t>
      </w:r>
      <w:r>
        <w:rPr>
          <w:color w:val="231F20"/>
        </w:rPr>
        <w:t>dissolution.</w:t>
      </w:r>
    </w:p>
    <w:p>
      <w:pPr>
        <w:pStyle w:val="BodyText"/>
        <w:spacing w:line="218" w:lineRule="auto" w:before="107"/>
        <w:ind w:right="38"/>
      </w:pPr>
      <w:r>
        <w:rPr>
          <w:color w:val="231F20"/>
        </w:rPr>
        <w:t>À ce rapport est joint un état résumant la situation active et passive de l’association, </w:t>
      </w:r>
      <w:r>
        <w:rPr>
          <w:color w:val="231F20"/>
          <w:spacing w:val="3"/>
        </w:rPr>
        <w:t>clôturé </w:t>
      </w:r>
      <w:r>
        <w:rPr>
          <w:color w:val="231F20"/>
        </w:rPr>
        <w:t>à une date ne remontant pas à plus de trois mois avant l’assemblée appelée à se prononcer sur la proposition de dissolution. Dans les cas où l’association décide de mettre fin à ses activités ou si l’on ne peut plus escompter qu’elle poursuivra son activité, l’état précité, sous réserve d’une dérogation motivée, est établi conformément aux règles d’évaluation fixées  en  exécution  de  l’arti- cle</w:t>
      </w:r>
      <w:r>
        <w:rPr>
          <w:color w:val="231F20"/>
          <w:spacing w:val="14"/>
        </w:rPr>
        <w:t> </w:t>
      </w:r>
      <w:r>
        <w:rPr>
          <w:color w:val="231F20"/>
        </w:rPr>
        <w:t>3:1.</w:t>
      </w:r>
    </w:p>
    <w:p>
      <w:pPr>
        <w:pStyle w:val="BodyText"/>
        <w:spacing w:line="218" w:lineRule="auto" w:before="107"/>
        <w:ind w:right="38"/>
      </w:pPr>
      <w:r>
        <w:rPr>
          <w:color w:val="231F20"/>
        </w:rPr>
        <w:t>Le commissaire contrôle cet état, en fait rapport et indique spéciale- ment s’il donne une image fidèle de la situation de l’association.</w:t>
      </w:r>
    </w:p>
    <w:p>
      <w:pPr>
        <w:pStyle w:val="BodyText"/>
        <w:spacing w:before="10"/>
        <w:ind w:left="0" w:right="0" w:firstLine="0"/>
        <w:jc w:val="left"/>
        <w:rPr>
          <w:sz w:val="24"/>
        </w:rPr>
      </w:pPr>
    </w:p>
    <w:p>
      <w:pPr>
        <w:pStyle w:val="BodyText"/>
        <w:spacing w:line="218" w:lineRule="auto"/>
        <w:ind w:right="38"/>
      </w:pPr>
      <w:r>
        <w:rPr>
          <w:color w:val="231F20"/>
        </w:rPr>
        <w:t>§ 3. Une copie des rapports et de l’état résumant la situation active et passive, visés au paragraphe 2, est adressée aux membres conformé- ment à l’article 2:32.</w:t>
      </w:r>
    </w:p>
    <w:p>
      <w:pPr>
        <w:pStyle w:val="BodyText"/>
        <w:spacing w:line="218" w:lineRule="auto" w:before="107"/>
        <w:ind w:right="38"/>
      </w:pPr>
      <w:r>
        <w:rPr>
          <w:color w:val="231F20"/>
        </w:rPr>
        <w:t>§ 4. En l’absence des rapports prévus par cet article la décision de l’assemblée générale est nulle.</w:t>
      </w:r>
    </w:p>
    <w:p>
      <w:pPr>
        <w:pStyle w:val="BodyText"/>
        <w:spacing w:line="218" w:lineRule="auto" w:before="107"/>
        <w:ind w:right="38"/>
      </w:pPr>
      <w:r>
        <w:rPr>
          <w:color w:val="231F20"/>
        </w:rPr>
        <w:t>§ 5. Le procès-verbal de l’assemblée générale qui ordonne la dissolution reproduit les conclusions du rapport établi par le commis- saire conformément au paragraphe 2.</w:t>
      </w:r>
    </w:p>
    <w:p>
      <w:pPr>
        <w:pStyle w:val="BodyText"/>
        <w:spacing w:before="92"/>
        <w:ind w:left="283" w:right="0" w:firstLine="0"/>
        <w:jc w:val="left"/>
      </w:pPr>
      <w:r>
        <w:rPr>
          <w:color w:val="231F20"/>
        </w:rPr>
        <w:t>Sous-section 3. Dissolution de plein droit.</w:t>
      </w:r>
    </w:p>
    <w:p>
      <w:pPr>
        <w:pStyle w:val="BodyText"/>
        <w:spacing w:before="90"/>
        <w:ind w:left="283" w:right="0" w:firstLine="0"/>
        <w:jc w:val="left"/>
      </w:pPr>
      <w:r>
        <w:rPr>
          <w:color w:val="231F20"/>
        </w:rPr>
        <w:t>Art. 2:111. L’ASBL et l’AISBL sont dissoutes de plein droit:</w:t>
      </w:r>
    </w:p>
    <w:p>
      <w:pPr>
        <w:pStyle w:val="BodyText"/>
        <w:spacing w:before="89"/>
        <w:ind w:left="283" w:right="0" w:firstLine="0"/>
        <w:jc w:val="left"/>
      </w:pPr>
      <w:r>
        <w:rPr>
          <w:color w:val="231F20"/>
        </w:rPr>
        <w:t>1° par l’expiration du terme pour lequel elles ont été conclues;</w:t>
      </w:r>
    </w:p>
    <w:p>
      <w:pPr>
        <w:pStyle w:val="BodyText"/>
        <w:spacing w:line="218" w:lineRule="auto" w:before="103"/>
        <w:ind w:right="38"/>
      </w:pPr>
      <w:r>
        <w:rPr>
          <w:color w:val="231F20"/>
        </w:rPr>
        <w:t>2° par la réalisation d’une condition résolutoire expresse dont l’association est assortie en vertu des statuts.</w:t>
      </w:r>
    </w:p>
    <w:p>
      <w:pPr>
        <w:pStyle w:val="BodyText"/>
        <w:spacing w:line="218" w:lineRule="auto" w:before="107"/>
        <w:ind w:right="38"/>
      </w:pPr>
      <w:r>
        <w:rPr>
          <w:color w:val="231F20"/>
        </w:rPr>
        <w:t>Art. 2:112. La prolongation de la durée d’une ASBL ou d’une AISBL conclue pour une durée déterminée ne peut être établie que par un écrit rédigé en la forme requise pour l’acte constitutif.</w:t>
      </w:r>
    </w:p>
    <w:p>
      <w:pPr>
        <w:pStyle w:val="BodyText"/>
        <w:spacing w:line="218" w:lineRule="auto" w:before="119"/>
      </w:pPr>
      <w:r>
        <w:rPr/>
        <w:br w:type="column"/>
      </w:r>
      <w:r>
        <w:rPr>
          <w:color w:val="231F20"/>
        </w:rPr>
        <w:t>Na de sluiting van de vereffening kan iedere vennoot of aandeelhou- der van de vereffende vennootschap tegen de vereffenaars van die vennootschap een aansprakelijkheidsvordering instellen voor de ver- goeding van de schade die hij heeft geleden ten gevolge van een bij de vereffening begane fout.</w:t>
      </w:r>
    </w:p>
    <w:p>
      <w:pPr>
        <w:pStyle w:val="BodyText"/>
        <w:spacing w:before="93"/>
        <w:ind w:left="283" w:right="0" w:firstLine="0"/>
        <w:jc w:val="left"/>
      </w:pPr>
      <w:r>
        <w:rPr>
          <w:color w:val="231F20"/>
        </w:rPr>
        <w:t>Afdeling 3. Strafbepaling.</w:t>
      </w:r>
    </w:p>
    <w:p>
      <w:pPr>
        <w:pStyle w:val="BodyText"/>
        <w:spacing w:line="218" w:lineRule="auto" w:before="104"/>
      </w:pPr>
      <w:r>
        <w:rPr>
          <w:color w:val="231F20"/>
        </w:rPr>
        <w:t>Art. 2:108. Worden gestraft met geldboete van vijftig euro tot tienduizend euro:</w:t>
      </w:r>
    </w:p>
    <w:p>
      <w:pPr>
        <w:pStyle w:val="BodyText"/>
        <w:spacing w:line="218" w:lineRule="auto" w:before="107"/>
      </w:pPr>
      <w:r>
        <w:rPr>
          <w:color w:val="231F20"/>
        </w:rPr>
        <w:t>1°</w:t>
      </w:r>
      <w:r>
        <w:rPr>
          <w:color w:val="231F20"/>
          <w:spacing w:val="-9"/>
        </w:rPr>
        <w:t> </w:t>
      </w:r>
      <w:r>
        <w:rPr>
          <w:color w:val="231F20"/>
        </w:rPr>
        <w:t>de</w:t>
      </w:r>
      <w:r>
        <w:rPr>
          <w:color w:val="231F20"/>
          <w:spacing w:val="-8"/>
        </w:rPr>
        <w:t> </w:t>
      </w:r>
      <w:r>
        <w:rPr>
          <w:color w:val="231F20"/>
        </w:rPr>
        <w:t>vereffenaars</w:t>
      </w:r>
      <w:r>
        <w:rPr>
          <w:color w:val="231F20"/>
          <w:spacing w:val="-9"/>
        </w:rPr>
        <w:t> </w:t>
      </w:r>
      <w:r>
        <w:rPr>
          <w:color w:val="231F20"/>
        </w:rPr>
        <w:t>die</w:t>
      </w:r>
      <w:r>
        <w:rPr>
          <w:color w:val="231F20"/>
          <w:spacing w:val="-8"/>
        </w:rPr>
        <w:t> </w:t>
      </w:r>
      <w:r>
        <w:rPr>
          <w:color w:val="231F20"/>
        </w:rPr>
        <w:t>een</w:t>
      </w:r>
      <w:r>
        <w:rPr>
          <w:color w:val="231F20"/>
          <w:spacing w:val="-9"/>
        </w:rPr>
        <w:t> </w:t>
      </w:r>
      <w:r>
        <w:rPr>
          <w:color w:val="231F20"/>
        </w:rPr>
        <w:t>van</w:t>
      </w:r>
      <w:r>
        <w:rPr>
          <w:color w:val="231F20"/>
          <w:spacing w:val="-8"/>
        </w:rPr>
        <w:t> </w:t>
      </w:r>
      <w:r>
        <w:rPr>
          <w:color w:val="231F20"/>
        </w:rPr>
        <w:t>de</w:t>
      </w:r>
      <w:r>
        <w:rPr>
          <w:color w:val="231F20"/>
          <w:spacing w:val="-9"/>
        </w:rPr>
        <w:t> </w:t>
      </w:r>
      <w:r>
        <w:rPr>
          <w:color w:val="231F20"/>
        </w:rPr>
        <w:t>bij</w:t>
      </w:r>
      <w:r>
        <w:rPr>
          <w:color w:val="231F20"/>
          <w:spacing w:val="-8"/>
        </w:rPr>
        <w:t> </w:t>
      </w:r>
      <w:r>
        <w:rPr>
          <w:color w:val="231F20"/>
        </w:rPr>
        <w:t>de</w:t>
      </w:r>
      <w:r>
        <w:rPr>
          <w:color w:val="231F20"/>
          <w:spacing w:val="-9"/>
        </w:rPr>
        <w:t> </w:t>
      </w:r>
      <w:r>
        <w:rPr>
          <w:color w:val="231F20"/>
        </w:rPr>
        <w:t>artikelen</w:t>
      </w:r>
      <w:r>
        <w:rPr>
          <w:color w:val="231F20"/>
          <w:spacing w:val="-8"/>
        </w:rPr>
        <w:t> </w:t>
      </w:r>
      <w:r>
        <w:rPr>
          <w:color w:val="231F20"/>
        </w:rPr>
        <w:t>2:23,</w:t>
      </w:r>
      <w:r>
        <w:rPr>
          <w:color w:val="231F20"/>
          <w:spacing w:val="-9"/>
        </w:rPr>
        <w:t> </w:t>
      </w:r>
      <w:r>
        <w:rPr>
          <w:color w:val="231F20"/>
        </w:rPr>
        <w:t>2:24,</w:t>
      </w:r>
      <w:r>
        <w:rPr>
          <w:color w:val="231F20"/>
          <w:spacing w:val="-8"/>
        </w:rPr>
        <w:t> </w:t>
      </w:r>
      <w:r>
        <w:rPr>
          <w:color w:val="231F20"/>
        </w:rPr>
        <w:t>2:29,</w:t>
      </w:r>
      <w:r>
        <w:rPr>
          <w:color w:val="231F20"/>
          <w:spacing w:val="-8"/>
        </w:rPr>
        <w:t> </w:t>
      </w:r>
      <w:r>
        <w:rPr>
          <w:color w:val="231F20"/>
        </w:rPr>
        <w:t>2:33, 3:5</w:t>
      </w:r>
      <w:r>
        <w:rPr>
          <w:color w:val="231F20"/>
          <w:spacing w:val="13"/>
        </w:rPr>
        <w:t> </w:t>
      </w:r>
      <w:r>
        <w:rPr>
          <w:color w:val="231F20"/>
        </w:rPr>
        <w:t>en</w:t>
      </w:r>
      <w:r>
        <w:rPr>
          <w:color w:val="231F20"/>
          <w:spacing w:val="14"/>
        </w:rPr>
        <w:t> </w:t>
      </w:r>
      <w:r>
        <w:rPr>
          <w:color w:val="231F20"/>
        </w:rPr>
        <w:t>3:6</w:t>
      </w:r>
      <w:r>
        <w:rPr>
          <w:color w:val="231F20"/>
          <w:spacing w:val="14"/>
        </w:rPr>
        <w:t> </w:t>
      </w:r>
      <w:r>
        <w:rPr>
          <w:color w:val="231F20"/>
        </w:rPr>
        <w:t>gestelde</w:t>
      </w:r>
      <w:r>
        <w:rPr>
          <w:color w:val="231F20"/>
          <w:spacing w:val="14"/>
        </w:rPr>
        <w:t> </w:t>
      </w:r>
      <w:r>
        <w:rPr>
          <w:color w:val="231F20"/>
        </w:rPr>
        <w:t>verplichtingen</w:t>
      </w:r>
      <w:r>
        <w:rPr>
          <w:color w:val="231F20"/>
          <w:spacing w:val="14"/>
        </w:rPr>
        <w:t> </w:t>
      </w:r>
      <w:r>
        <w:rPr>
          <w:color w:val="231F20"/>
        </w:rPr>
        <w:t>niet</w:t>
      </w:r>
      <w:r>
        <w:rPr>
          <w:color w:val="231F20"/>
          <w:spacing w:val="14"/>
        </w:rPr>
        <w:t> </w:t>
      </w:r>
      <w:r>
        <w:rPr>
          <w:color w:val="231F20"/>
        </w:rPr>
        <w:t>nakomen;</w:t>
      </w:r>
    </w:p>
    <w:p>
      <w:pPr>
        <w:pStyle w:val="BodyText"/>
        <w:spacing w:line="218" w:lineRule="auto" w:before="106"/>
      </w:pPr>
      <w:r>
        <w:rPr>
          <w:color w:val="231F20"/>
        </w:rPr>
        <w:t>2° de vereffenaars die nalaten aan de algemene vergadering de jaarrekening of de uitkomsten van de vereffening voor te leggen, overeenkomstig de artikelen 2:99 en 2:100;</w:t>
      </w:r>
    </w:p>
    <w:p>
      <w:pPr>
        <w:pStyle w:val="BodyText"/>
        <w:spacing w:line="218" w:lineRule="auto" w:before="107"/>
      </w:pPr>
      <w:r>
        <w:rPr>
          <w:color w:val="231F20"/>
        </w:rPr>
        <w:t>3° de vereffenaars die verzuimen aan de griffie van de ondernemings- rechtbank van het rechtsgebied waar de vennootschap haar zetel heeft, de omstandige staat van de toestand van de vereffening over te zenden, overeenkomstig artikel 2:96.</w:t>
      </w:r>
    </w:p>
    <w:p>
      <w:pPr>
        <w:pStyle w:val="BodyText"/>
        <w:spacing w:line="218" w:lineRule="auto" w:before="107"/>
      </w:pPr>
      <w:r>
        <w:rPr>
          <w:color w:val="231F20"/>
        </w:rPr>
        <w:t>Indien de schending van de artikelen bedoeld in het eerste lid, 1°, gebeurt met bedrieglijk oogmerk kunnen zij bovendien worden gestraft met gevangenisstraf van een maand tot een jaar of met beide straffen samen.</w:t>
      </w:r>
    </w:p>
    <w:p>
      <w:pPr>
        <w:pStyle w:val="BodyText"/>
        <w:spacing w:line="350" w:lineRule="auto" w:before="93"/>
        <w:ind w:left="283" w:right="169" w:firstLine="0"/>
        <w:jc w:val="left"/>
      </w:pPr>
      <w:r>
        <w:rPr>
          <w:color w:val="231F20"/>
        </w:rPr>
        <w:t>HOOFDSTUK 2. Ontbinding van verenigingen en stichtingen. Afdeling 1. Ontbinding van VZW’s en van IVZW’s.</w:t>
      </w:r>
    </w:p>
    <w:p>
      <w:pPr>
        <w:pStyle w:val="BodyText"/>
        <w:spacing w:before="1"/>
        <w:ind w:left="283" w:right="0" w:firstLine="0"/>
        <w:jc w:val="left"/>
      </w:pPr>
      <w:r>
        <w:rPr>
          <w:color w:val="231F20"/>
          <w:w w:val="105"/>
        </w:rPr>
        <w:t>Onderafdeling 1. Algemene bepaling.</w:t>
      </w:r>
    </w:p>
    <w:p>
      <w:pPr>
        <w:pStyle w:val="BodyText"/>
        <w:spacing w:line="350" w:lineRule="auto" w:before="89"/>
        <w:ind w:left="283" w:right="1262" w:firstLine="0"/>
        <w:jc w:val="left"/>
      </w:pPr>
      <w:r>
        <w:rPr>
          <w:color w:val="231F20"/>
        </w:rPr>
        <w:t>Art. 2:109. De VZW en de IVZW worden ontbonden: 1°</w:t>
      </w:r>
      <w:r>
        <w:rPr>
          <w:color w:val="231F20"/>
          <w:spacing w:val="19"/>
        </w:rPr>
        <w:t> </w:t>
      </w:r>
      <w:r>
        <w:rPr>
          <w:color w:val="231F20"/>
        </w:rPr>
        <w:t>door</w:t>
      </w:r>
      <w:r>
        <w:rPr>
          <w:color w:val="231F20"/>
          <w:spacing w:val="19"/>
        </w:rPr>
        <w:t> </w:t>
      </w:r>
      <w:r>
        <w:rPr>
          <w:color w:val="231F20"/>
        </w:rPr>
        <w:t>een</w:t>
      </w:r>
      <w:r>
        <w:rPr>
          <w:color w:val="231F20"/>
          <w:spacing w:val="20"/>
        </w:rPr>
        <w:t> </w:t>
      </w:r>
      <w:r>
        <w:rPr>
          <w:color w:val="231F20"/>
        </w:rPr>
        <w:t>besluit</w:t>
      </w:r>
      <w:r>
        <w:rPr>
          <w:color w:val="231F20"/>
          <w:spacing w:val="19"/>
        </w:rPr>
        <w:t> </w:t>
      </w:r>
      <w:r>
        <w:rPr>
          <w:color w:val="231F20"/>
        </w:rPr>
        <w:t>van</w:t>
      </w:r>
      <w:r>
        <w:rPr>
          <w:color w:val="231F20"/>
          <w:spacing w:val="19"/>
        </w:rPr>
        <w:t> </w:t>
      </w:r>
      <w:r>
        <w:rPr>
          <w:color w:val="231F20"/>
        </w:rPr>
        <w:t>de</w:t>
      </w:r>
      <w:r>
        <w:rPr>
          <w:color w:val="231F20"/>
          <w:spacing w:val="20"/>
        </w:rPr>
        <w:t> </w:t>
      </w:r>
      <w:r>
        <w:rPr>
          <w:color w:val="231F20"/>
        </w:rPr>
        <w:t>algemene</w:t>
      </w:r>
      <w:r>
        <w:rPr>
          <w:color w:val="231F20"/>
          <w:spacing w:val="19"/>
        </w:rPr>
        <w:t> </w:t>
      </w:r>
      <w:r>
        <w:rPr>
          <w:color w:val="231F20"/>
        </w:rPr>
        <w:t>vergadering;</w:t>
      </w:r>
    </w:p>
    <w:p>
      <w:pPr>
        <w:pStyle w:val="BodyText"/>
        <w:spacing w:line="218" w:lineRule="auto" w:before="15"/>
      </w:pPr>
      <w:r>
        <w:rPr>
          <w:color w:val="231F20"/>
        </w:rPr>
        <w:t>2° van rechtswege, als gevolg van een door de wet of de statuten omschreven feit of gebeurtenis;</w:t>
      </w:r>
    </w:p>
    <w:p>
      <w:pPr>
        <w:pStyle w:val="BodyText"/>
        <w:spacing w:line="350" w:lineRule="auto" w:before="93"/>
        <w:ind w:left="283" w:right="1786" w:hanging="1"/>
        <w:jc w:val="left"/>
      </w:pPr>
      <w:r>
        <w:rPr>
          <w:color w:val="231F20"/>
        </w:rPr>
        <w:t>3° door een gerechtelijke beslissing. Onderafdeling 2. Vrijwillige ontbinding.</w:t>
      </w:r>
    </w:p>
    <w:p>
      <w:pPr>
        <w:pStyle w:val="BodyText"/>
        <w:spacing w:line="218" w:lineRule="auto" w:before="15"/>
      </w:pPr>
      <w:r>
        <w:rPr>
          <w:color w:val="231F20"/>
          <w:w w:val="105"/>
        </w:rPr>
        <w:t>Art.</w:t>
      </w:r>
      <w:r>
        <w:rPr>
          <w:color w:val="231F20"/>
          <w:spacing w:val="-20"/>
          <w:w w:val="105"/>
        </w:rPr>
        <w:t> </w:t>
      </w:r>
      <w:r>
        <w:rPr>
          <w:color w:val="231F20"/>
          <w:w w:val="105"/>
        </w:rPr>
        <w:t>2:110.</w:t>
      </w:r>
      <w:r>
        <w:rPr>
          <w:color w:val="231F20"/>
          <w:spacing w:val="-19"/>
          <w:w w:val="105"/>
        </w:rPr>
        <w:t> </w:t>
      </w:r>
      <w:r>
        <w:rPr>
          <w:color w:val="231F20"/>
          <w:w w:val="105"/>
        </w:rPr>
        <w:t>§</w:t>
      </w:r>
      <w:r>
        <w:rPr>
          <w:color w:val="231F20"/>
          <w:spacing w:val="-19"/>
          <w:w w:val="105"/>
        </w:rPr>
        <w:t> </w:t>
      </w:r>
      <w:r>
        <w:rPr>
          <w:color w:val="231F20"/>
          <w:w w:val="105"/>
        </w:rPr>
        <w:t>1.</w:t>
      </w:r>
      <w:r>
        <w:rPr>
          <w:color w:val="231F20"/>
          <w:spacing w:val="-20"/>
          <w:w w:val="105"/>
        </w:rPr>
        <w:t> </w:t>
      </w:r>
      <w:r>
        <w:rPr>
          <w:color w:val="231F20"/>
          <w:w w:val="105"/>
        </w:rPr>
        <w:t>Een</w:t>
      </w:r>
      <w:r>
        <w:rPr>
          <w:color w:val="231F20"/>
          <w:spacing w:val="-19"/>
          <w:w w:val="105"/>
        </w:rPr>
        <w:t> </w:t>
      </w:r>
      <w:r>
        <w:rPr>
          <w:color w:val="231F20"/>
          <w:w w:val="105"/>
        </w:rPr>
        <w:t>VZW</w:t>
      </w:r>
      <w:r>
        <w:rPr>
          <w:color w:val="231F20"/>
          <w:spacing w:val="-19"/>
          <w:w w:val="105"/>
        </w:rPr>
        <w:t> </w:t>
      </w:r>
      <w:r>
        <w:rPr>
          <w:color w:val="231F20"/>
          <w:w w:val="105"/>
        </w:rPr>
        <w:t>kan</w:t>
      </w:r>
      <w:r>
        <w:rPr>
          <w:color w:val="231F20"/>
          <w:spacing w:val="-20"/>
          <w:w w:val="105"/>
        </w:rPr>
        <w:t> </w:t>
      </w:r>
      <w:r>
        <w:rPr>
          <w:color w:val="231F20"/>
          <w:w w:val="105"/>
        </w:rPr>
        <w:t>op</w:t>
      </w:r>
      <w:r>
        <w:rPr>
          <w:color w:val="231F20"/>
          <w:spacing w:val="-19"/>
          <w:w w:val="105"/>
        </w:rPr>
        <w:t> </w:t>
      </w:r>
      <w:r>
        <w:rPr>
          <w:color w:val="231F20"/>
          <w:w w:val="105"/>
        </w:rPr>
        <w:t>elk</w:t>
      </w:r>
      <w:r>
        <w:rPr>
          <w:color w:val="231F20"/>
          <w:spacing w:val="-19"/>
          <w:w w:val="105"/>
        </w:rPr>
        <w:t> </w:t>
      </w:r>
      <w:r>
        <w:rPr>
          <w:color w:val="231F20"/>
          <w:w w:val="105"/>
        </w:rPr>
        <w:t>ogenblik</w:t>
      </w:r>
      <w:r>
        <w:rPr>
          <w:color w:val="231F20"/>
          <w:spacing w:val="-19"/>
          <w:w w:val="105"/>
        </w:rPr>
        <w:t> </w:t>
      </w:r>
      <w:r>
        <w:rPr>
          <w:color w:val="231F20"/>
          <w:w w:val="105"/>
        </w:rPr>
        <w:t>worden</w:t>
      </w:r>
      <w:r>
        <w:rPr>
          <w:color w:val="231F20"/>
          <w:spacing w:val="-20"/>
          <w:w w:val="105"/>
        </w:rPr>
        <w:t> </w:t>
      </w:r>
      <w:r>
        <w:rPr>
          <w:color w:val="231F20"/>
          <w:w w:val="105"/>
        </w:rPr>
        <w:t>ontbonden</w:t>
      </w:r>
      <w:r>
        <w:rPr>
          <w:color w:val="231F20"/>
          <w:spacing w:val="-19"/>
          <w:w w:val="105"/>
        </w:rPr>
        <w:t> </w:t>
      </w:r>
      <w:r>
        <w:rPr>
          <w:color w:val="231F20"/>
          <w:w w:val="105"/>
        </w:rPr>
        <w:t>door een besluit van de algemene vergadering genomen onder dezelfde voorwaarden als voor de wijziging van het voorwerp of van het belangeloos doel van de</w:t>
      </w:r>
      <w:r>
        <w:rPr>
          <w:color w:val="231F20"/>
          <w:spacing w:val="2"/>
          <w:w w:val="105"/>
        </w:rPr>
        <w:t> </w:t>
      </w:r>
      <w:r>
        <w:rPr>
          <w:color w:val="231F20"/>
          <w:w w:val="105"/>
        </w:rPr>
        <w:t>vereniging.</w:t>
      </w:r>
    </w:p>
    <w:p>
      <w:pPr>
        <w:pStyle w:val="BodyText"/>
        <w:spacing w:line="218" w:lineRule="auto" w:before="107"/>
      </w:pPr>
      <w:r>
        <w:rPr>
          <w:color w:val="231F20"/>
        </w:rPr>
        <w:t>Een IVZW kan op elk ogenblik worden ontbonden overeenkomstig  de</w:t>
      </w:r>
      <w:r>
        <w:rPr>
          <w:color w:val="231F20"/>
          <w:spacing w:val="15"/>
        </w:rPr>
        <w:t> </w:t>
      </w:r>
      <w:r>
        <w:rPr>
          <w:color w:val="231F20"/>
        </w:rPr>
        <w:t>voorwaarden</w:t>
      </w:r>
      <w:r>
        <w:rPr>
          <w:color w:val="231F20"/>
          <w:spacing w:val="16"/>
        </w:rPr>
        <w:t> </w:t>
      </w:r>
      <w:r>
        <w:rPr>
          <w:color w:val="231F20"/>
        </w:rPr>
        <w:t>bepaald</w:t>
      </w:r>
      <w:r>
        <w:rPr>
          <w:color w:val="231F20"/>
          <w:spacing w:val="16"/>
        </w:rPr>
        <w:t> </w:t>
      </w:r>
      <w:r>
        <w:rPr>
          <w:color w:val="231F20"/>
        </w:rPr>
        <w:t>in</w:t>
      </w:r>
      <w:r>
        <w:rPr>
          <w:color w:val="231F20"/>
          <w:spacing w:val="16"/>
        </w:rPr>
        <w:t> </w:t>
      </w:r>
      <w:r>
        <w:rPr>
          <w:color w:val="231F20"/>
        </w:rPr>
        <w:t>de</w:t>
      </w:r>
      <w:r>
        <w:rPr>
          <w:color w:val="231F20"/>
          <w:spacing w:val="16"/>
        </w:rPr>
        <w:t> </w:t>
      </w:r>
      <w:r>
        <w:rPr>
          <w:color w:val="231F20"/>
        </w:rPr>
        <w:t>statuten.</w:t>
      </w:r>
    </w:p>
    <w:p>
      <w:pPr>
        <w:pStyle w:val="BodyText"/>
        <w:spacing w:line="218" w:lineRule="auto" w:before="106"/>
      </w:pPr>
      <w:r>
        <w:rPr>
          <w:color w:val="231F20"/>
        </w:rPr>
        <w:t>§ 2. In de VZW’s en de IVZW’s die overeenkomstig artikel 3:47, § 6, één of meer commissarissen moeten aanstellen, wordt het voorstel tot ontbinding toegelicht in een door het bestuursorgaan opgesteld verslag dat wordt vermeld in de agenda van de vergadering die zich over de ontbinding moet uitspreken.</w:t>
      </w:r>
    </w:p>
    <w:p>
      <w:pPr>
        <w:pStyle w:val="BodyText"/>
        <w:spacing w:line="218" w:lineRule="auto" w:before="107"/>
      </w:pPr>
      <w:r>
        <w:rPr>
          <w:color w:val="231F20"/>
        </w:rPr>
        <w:t>Bij dat verslag wordt een staat van activa en passiva gevoegd, die niet meer dan drie maanden vóór de vergadering die over het voorstel tot ontbinding moet besluiten is afgesloten. </w:t>
      </w:r>
      <w:r>
        <w:rPr>
          <w:color w:val="231F20"/>
          <w:spacing w:val="-5"/>
        </w:rPr>
        <w:t>Voor </w:t>
      </w:r>
      <w:r>
        <w:rPr>
          <w:color w:val="231F20"/>
        </w:rPr>
        <w:t>de gevallen waarin de vereniging besluit haar activiteiten te beëindigen of indien er niet langer van kan worden uitgegaan dat de vereniging haar bedrijf zal voortzetten, wordt voornoemde staat, behoudens gemotiveerde afwij- king, opgesteld overeenkomstig de waarderingsregels vastgesteld ter uitvoering van artikel</w:t>
      </w:r>
      <w:r>
        <w:rPr>
          <w:color w:val="231F20"/>
          <w:spacing w:val="4"/>
        </w:rPr>
        <w:t> </w:t>
      </w:r>
      <w:r>
        <w:rPr>
          <w:color w:val="231F20"/>
        </w:rPr>
        <w:t>3:1.</w:t>
      </w:r>
    </w:p>
    <w:p>
      <w:pPr>
        <w:pStyle w:val="BodyText"/>
        <w:spacing w:line="218" w:lineRule="auto" w:before="108"/>
      </w:pPr>
      <w:r>
        <w:rPr>
          <w:color w:val="231F20"/>
        </w:rPr>
        <w:t>De commissaris controleert deze staat, brengt daarover verslag uit en vermeldt inzonderheid of daarin een getrouw beeld wordt gegeven van de toestand van de vereniging.</w:t>
      </w:r>
    </w:p>
    <w:p>
      <w:pPr>
        <w:pStyle w:val="BodyText"/>
        <w:spacing w:line="218" w:lineRule="auto" w:before="106"/>
      </w:pPr>
      <w:r>
        <w:rPr>
          <w:color w:val="231F20"/>
        </w:rPr>
        <w:t>§ 3. Een kopie van de in paragraaf 2 bedoelde verslagen en staat van activa en passiva wordt aan de leden verzonden  overeenkomstig  artikel</w:t>
      </w:r>
      <w:r>
        <w:rPr>
          <w:color w:val="231F20"/>
          <w:spacing w:val="14"/>
        </w:rPr>
        <w:t> </w:t>
      </w:r>
      <w:r>
        <w:rPr>
          <w:color w:val="231F20"/>
        </w:rPr>
        <w:t>2:32.</w:t>
      </w:r>
    </w:p>
    <w:p>
      <w:pPr>
        <w:pStyle w:val="BodyText"/>
        <w:spacing w:line="218" w:lineRule="auto" w:before="107"/>
      </w:pPr>
      <w:r>
        <w:rPr>
          <w:color w:val="231F20"/>
        </w:rPr>
        <w:t>§ 4. Wanneer de in dit artikel bedoelde verslagen ontbreken is het besluit van de algemene vergadering nietig.</w:t>
      </w:r>
    </w:p>
    <w:p>
      <w:pPr>
        <w:pStyle w:val="BodyText"/>
        <w:spacing w:line="218" w:lineRule="auto" w:before="107"/>
      </w:pPr>
      <w:r>
        <w:rPr>
          <w:color w:val="231F20"/>
        </w:rPr>
        <w:t>§ 5. In de notulen van de algemene vergadering die tot ontbinding beslist, worden de conclusies overgenomen van het verslag dat de commissaris overeenkomstig paragraaf 2 heeft opgemaakt.</w:t>
      </w:r>
    </w:p>
    <w:p>
      <w:pPr>
        <w:pStyle w:val="BodyText"/>
        <w:spacing w:before="93"/>
        <w:ind w:left="283" w:right="0" w:firstLine="0"/>
        <w:jc w:val="left"/>
      </w:pPr>
      <w:r>
        <w:rPr>
          <w:color w:val="231F20"/>
        </w:rPr>
        <w:t>Onderafdeling 3. Ontbinding van rechtswege.</w:t>
      </w:r>
    </w:p>
    <w:p>
      <w:pPr>
        <w:pStyle w:val="BodyText"/>
        <w:spacing w:line="350" w:lineRule="auto" w:before="89"/>
        <w:ind w:left="283" w:right="169" w:firstLine="0"/>
        <w:jc w:val="left"/>
      </w:pPr>
      <w:r>
        <w:rPr>
          <w:color w:val="231F20"/>
        </w:rPr>
        <w:t>Art. </w:t>
      </w:r>
      <w:r>
        <w:rPr>
          <w:color w:val="231F20"/>
          <w:spacing w:val="-4"/>
        </w:rPr>
        <w:t>2:111. </w:t>
      </w:r>
      <w:r>
        <w:rPr>
          <w:color w:val="231F20"/>
        </w:rPr>
        <w:t>De VZW en de IVZW worden van rechtswege ontbonden: 1°</w:t>
      </w:r>
      <w:r>
        <w:rPr>
          <w:color w:val="231F20"/>
          <w:spacing w:val="19"/>
        </w:rPr>
        <w:t> </w:t>
      </w:r>
      <w:r>
        <w:rPr>
          <w:color w:val="231F20"/>
        </w:rPr>
        <w:t>door</w:t>
      </w:r>
      <w:r>
        <w:rPr>
          <w:color w:val="231F20"/>
          <w:spacing w:val="20"/>
        </w:rPr>
        <w:t> </w:t>
      </w:r>
      <w:r>
        <w:rPr>
          <w:color w:val="231F20"/>
        </w:rPr>
        <w:t>het</w:t>
      </w:r>
      <w:r>
        <w:rPr>
          <w:color w:val="231F20"/>
          <w:spacing w:val="20"/>
        </w:rPr>
        <w:t> </w:t>
      </w:r>
      <w:r>
        <w:rPr>
          <w:color w:val="231F20"/>
        </w:rPr>
        <w:t>verstrijken</w:t>
      </w:r>
      <w:r>
        <w:rPr>
          <w:color w:val="231F20"/>
          <w:spacing w:val="19"/>
        </w:rPr>
        <w:t> </w:t>
      </w:r>
      <w:r>
        <w:rPr>
          <w:color w:val="231F20"/>
        </w:rPr>
        <w:t>van</w:t>
      </w:r>
      <w:r>
        <w:rPr>
          <w:color w:val="231F20"/>
          <w:spacing w:val="20"/>
        </w:rPr>
        <w:t> </w:t>
      </w:r>
      <w:r>
        <w:rPr>
          <w:color w:val="231F20"/>
        </w:rPr>
        <w:t>de</w:t>
      </w:r>
      <w:r>
        <w:rPr>
          <w:color w:val="231F20"/>
          <w:spacing w:val="20"/>
        </w:rPr>
        <w:t> </w:t>
      </w:r>
      <w:r>
        <w:rPr>
          <w:color w:val="231F20"/>
        </w:rPr>
        <w:t>duur</w:t>
      </w:r>
      <w:r>
        <w:rPr>
          <w:color w:val="231F20"/>
          <w:spacing w:val="19"/>
        </w:rPr>
        <w:t> </w:t>
      </w:r>
      <w:r>
        <w:rPr>
          <w:color w:val="231F20"/>
        </w:rPr>
        <w:t>waarvoor</w:t>
      </w:r>
      <w:r>
        <w:rPr>
          <w:color w:val="231F20"/>
          <w:spacing w:val="20"/>
        </w:rPr>
        <w:t> </w:t>
      </w:r>
      <w:r>
        <w:rPr>
          <w:color w:val="231F20"/>
        </w:rPr>
        <w:t>zij</w:t>
      </w:r>
      <w:r>
        <w:rPr>
          <w:color w:val="231F20"/>
          <w:spacing w:val="20"/>
        </w:rPr>
        <w:t> </w:t>
      </w:r>
      <w:r>
        <w:rPr>
          <w:color w:val="231F20"/>
        </w:rPr>
        <w:t>zijn</w:t>
      </w:r>
      <w:r>
        <w:rPr>
          <w:color w:val="231F20"/>
          <w:spacing w:val="20"/>
        </w:rPr>
        <w:t> </w:t>
      </w:r>
      <w:r>
        <w:rPr>
          <w:color w:val="231F20"/>
        </w:rPr>
        <w:t>aangegaan;</w:t>
      </w:r>
    </w:p>
    <w:p>
      <w:pPr>
        <w:pStyle w:val="BodyText"/>
        <w:spacing w:line="218" w:lineRule="auto" w:before="15"/>
      </w:pPr>
      <w:r>
        <w:rPr>
          <w:color w:val="231F20"/>
        </w:rPr>
        <w:t>2° door de verwezenlijking van een uitdrukkelijk ontbindende voorwaarde waaraan de statuten de vereniging hebben onderworpen.</w:t>
      </w:r>
    </w:p>
    <w:p>
      <w:pPr>
        <w:pStyle w:val="BodyText"/>
        <w:spacing w:line="218" w:lineRule="auto" w:before="107"/>
      </w:pPr>
      <w:r>
        <w:rPr>
          <w:color w:val="231F20"/>
        </w:rPr>
        <w:t>Art. 2:112. De verlenging van de duur van een VZW of van een IVZW die voor een bepaalde duur is aangegaan, kan slechts worden bewezen door een geschrift opgemaakt in de vorm vereist voor de oprichtings- akte.</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1984" from="298.170502pt,64.473pt" to="298.170502pt,812.819pt" stroked="true" strokeweight=".533pt" strokecolor="#231f20">
            <v:stroke dashstyle="solid"/>
            <w10:wrap type="none"/>
          </v:line>
        </w:pict>
      </w:r>
      <w:bookmarkStart w:name="_bookmark40" w:id="43"/>
      <w:bookmarkEnd w:id="43"/>
      <w:r>
        <w:rPr/>
      </w:r>
      <w:r>
        <w:rPr>
          <w:color w:val="231F20"/>
        </w:rPr>
        <w:t>Sous-section 4. Dissolution judiciaire.</w:t>
      </w:r>
    </w:p>
    <w:p>
      <w:pPr>
        <w:pStyle w:val="BodyText"/>
        <w:spacing w:line="218" w:lineRule="auto" w:before="67"/>
        <w:ind w:right="38"/>
      </w:pPr>
      <w:r>
        <w:rPr>
          <w:color w:val="231F20"/>
        </w:rPr>
        <w:t>Art. 2:113. § 1</w:t>
      </w:r>
      <w:r>
        <w:rPr>
          <w:color w:val="231F20"/>
          <w:position w:val="7"/>
          <w:sz w:val="11"/>
        </w:rPr>
        <w:t>er</w:t>
      </w:r>
      <w:r>
        <w:rPr>
          <w:color w:val="231F20"/>
        </w:rPr>
        <w:t>. Le tribunal pourra prononcer à la requête soit d’un membre,</w:t>
      </w:r>
      <w:r>
        <w:rPr>
          <w:color w:val="231F20"/>
          <w:spacing w:val="-5"/>
        </w:rPr>
        <w:t> </w:t>
      </w:r>
      <w:r>
        <w:rPr>
          <w:color w:val="231F20"/>
        </w:rPr>
        <w:t>soit</w:t>
      </w:r>
      <w:r>
        <w:rPr>
          <w:color w:val="231F20"/>
          <w:spacing w:val="-5"/>
        </w:rPr>
        <w:t> </w:t>
      </w:r>
      <w:r>
        <w:rPr>
          <w:color w:val="231F20"/>
        </w:rPr>
        <w:t>d’un</w:t>
      </w:r>
      <w:r>
        <w:rPr>
          <w:color w:val="231F20"/>
          <w:spacing w:val="-5"/>
        </w:rPr>
        <w:t> </w:t>
      </w:r>
      <w:r>
        <w:rPr>
          <w:color w:val="231F20"/>
        </w:rPr>
        <w:t>tiers</w:t>
      </w:r>
      <w:r>
        <w:rPr>
          <w:color w:val="231F20"/>
          <w:spacing w:val="-5"/>
        </w:rPr>
        <w:t> </w:t>
      </w:r>
      <w:r>
        <w:rPr>
          <w:color w:val="231F20"/>
        </w:rPr>
        <w:t>intéressé,</w:t>
      </w:r>
      <w:r>
        <w:rPr>
          <w:color w:val="231F20"/>
          <w:spacing w:val="-5"/>
        </w:rPr>
        <w:t> </w:t>
      </w:r>
      <w:r>
        <w:rPr>
          <w:color w:val="231F20"/>
        </w:rPr>
        <w:t>soit</w:t>
      </w:r>
      <w:r>
        <w:rPr>
          <w:color w:val="231F20"/>
          <w:spacing w:val="-5"/>
        </w:rPr>
        <w:t> </w:t>
      </w:r>
      <w:r>
        <w:rPr>
          <w:color w:val="231F20"/>
        </w:rPr>
        <w:t>du</w:t>
      </w:r>
      <w:r>
        <w:rPr>
          <w:color w:val="231F20"/>
          <w:spacing w:val="-5"/>
        </w:rPr>
        <w:t> </w:t>
      </w:r>
      <w:r>
        <w:rPr>
          <w:color w:val="231F20"/>
        </w:rPr>
        <w:t>ministère</w:t>
      </w:r>
      <w:r>
        <w:rPr>
          <w:color w:val="231F20"/>
          <w:spacing w:val="-5"/>
        </w:rPr>
        <w:t> </w:t>
      </w:r>
      <w:r>
        <w:rPr>
          <w:color w:val="231F20"/>
        </w:rPr>
        <w:t>public,</w:t>
      </w:r>
      <w:r>
        <w:rPr>
          <w:color w:val="231F20"/>
          <w:spacing w:val="-5"/>
        </w:rPr>
        <w:t> </w:t>
      </w:r>
      <w:r>
        <w:rPr>
          <w:color w:val="231F20"/>
        </w:rPr>
        <w:t>la</w:t>
      </w:r>
      <w:r>
        <w:rPr>
          <w:color w:val="231F20"/>
          <w:spacing w:val="-5"/>
        </w:rPr>
        <w:t> </w:t>
      </w:r>
      <w:r>
        <w:rPr>
          <w:color w:val="231F20"/>
        </w:rPr>
        <w:t>dissolution d’une ASBL ou d’une AISBL</w:t>
      </w:r>
      <w:r>
        <w:rPr>
          <w:color w:val="231F20"/>
          <w:spacing w:val="13"/>
        </w:rPr>
        <w:t> </w:t>
      </w:r>
      <w:r>
        <w:rPr>
          <w:color w:val="231F20"/>
        </w:rPr>
        <w:t>qui:</w:t>
      </w:r>
    </w:p>
    <w:p>
      <w:pPr>
        <w:pStyle w:val="BodyText"/>
        <w:spacing w:line="260" w:lineRule="atLeast" w:before="4"/>
        <w:ind w:left="283" w:right="38" w:hanging="1"/>
        <w:jc w:val="left"/>
      </w:pPr>
      <w:r>
        <w:rPr>
          <w:color w:val="231F20"/>
        </w:rPr>
        <w:t>1° est hors d’état de remplir les engagements qu’elle a contractés;     2° affecte son patrimoine ou les revenus de celui-ci à un but autre</w:t>
      </w:r>
      <w:r>
        <w:rPr>
          <w:color w:val="231F20"/>
          <w:spacing w:val="-23"/>
        </w:rPr>
        <w:t> </w:t>
      </w:r>
      <w:r>
        <w:rPr>
          <w:color w:val="231F20"/>
        </w:rPr>
        <w:t>que</w:t>
      </w:r>
    </w:p>
    <w:p>
      <w:pPr>
        <w:pStyle w:val="BodyText"/>
        <w:spacing w:line="177" w:lineRule="exact"/>
        <w:ind w:right="0" w:firstLine="0"/>
        <w:jc w:val="left"/>
      </w:pPr>
      <w:r>
        <w:rPr>
          <w:color w:val="231F20"/>
        </w:rPr>
        <w:t>ceux en vue desquels elle a été constituée;</w:t>
      </w:r>
    </w:p>
    <w:p>
      <w:pPr>
        <w:pStyle w:val="BodyText"/>
        <w:spacing w:line="218" w:lineRule="auto" w:before="82"/>
        <w:ind w:right="38"/>
      </w:pPr>
      <w:r>
        <w:rPr>
          <w:color w:val="231F20"/>
        </w:rPr>
        <w:t>3° viole l’interdiction de distribuer ou de procurer un quelconque avantage patrimonial direct ou indirect tel que visé à l’article 1:2, ou contrevient au présent code ou à l’ordre public, ou contrevient gravement aux statuts;</w:t>
      </w:r>
    </w:p>
    <w:p>
      <w:pPr>
        <w:pStyle w:val="BodyText"/>
        <w:spacing w:line="201" w:lineRule="auto" w:before="97"/>
        <w:ind w:right="38"/>
      </w:pPr>
      <w:r>
        <w:rPr>
          <w:color w:val="231F20"/>
        </w:rPr>
        <w:t>4° n’a pas satisfait à l’obligation de déposer les comptes annuels conformément</w:t>
      </w:r>
      <w:r>
        <w:rPr>
          <w:color w:val="231F20"/>
          <w:spacing w:val="-4"/>
        </w:rPr>
        <w:t> </w:t>
      </w:r>
      <w:r>
        <w:rPr>
          <w:color w:val="231F20"/>
        </w:rPr>
        <w:t>respectivement</w:t>
      </w:r>
      <w:r>
        <w:rPr>
          <w:color w:val="231F20"/>
          <w:spacing w:val="-4"/>
        </w:rPr>
        <w:t> </w:t>
      </w:r>
      <w:r>
        <w:rPr>
          <w:color w:val="231F20"/>
        </w:rPr>
        <w:t>à</w:t>
      </w:r>
      <w:r>
        <w:rPr>
          <w:color w:val="231F20"/>
          <w:spacing w:val="-3"/>
        </w:rPr>
        <w:t> </w:t>
      </w:r>
      <w:r>
        <w:rPr>
          <w:color w:val="231F20"/>
        </w:rPr>
        <w:t>l’article</w:t>
      </w:r>
      <w:r>
        <w:rPr>
          <w:color w:val="231F20"/>
          <w:spacing w:val="-4"/>
        </w:rPr>
        <w:t> </w:t>
      </w:r>
      <w:r>
        <w:rPr>
          <w:color w:val="231F20"/>
        </w:rPr>
        <w:t>2:9</w:t>
      </w:r>
      <w:r>
        <w:rPr>
          <w:color w:val="231F20"/>
          <w:spacing w:val="-4"/>
        </w:rPr>
        <w:t> </w:t>
      </w:r>
      <w:r>
        <w:rPr>
          <w:color w:val="231F20"/>
        </w:rPr>
        <w:t>,</w:t>
      </w:r>
      <w:r>
        <w:rPr>
          <w:color w:val="231F20"/>
          <w:spacing w:val="-3"/>
        </w:rPr>
        <w:t> </w:t>
      </w:r>
      <w:r>
        <w:rPr>
          <w:color w:val="231F20"/>
        </w:rPr>
        <w:t>§</w:t>
      </w:r>
      <w:r>
        <w:rPr>
          <w:color w:val="231F20"/>
          <w:spacing w:val="-4"/>
        </w:rPr>
        <w:t> </w:t>
      </w:r>
      <w:r>
        <w:rPr>
          <w:color w:val="231F20"/>
        </w:rPr>
        <w:t>1</w:t>
      </w:r>
      <w:r>
        <w:rPr>
          <w:color w:val="231F20"/>
          <w:position w:val="7"/>
          <w:sz w:val="11"/>
        </w:rPr>
        <w:t>er</w:t>
      </w:r>
      <w:r>
        <w:rPr>
          <w:color w:val="231F20"/>
        </w:rPr>
        <w:t>,</w:t>
      </w:r>
      <w:r>
        <w:rPr>
          <w:color w:val="231F20"/>
          <w:spacing w:val="-4"/>
        </w:rPr>
        <w:t> </w:t>
      </w:r>
      <w:r>
        <w:rPr>
          <w:color w:val="231F20"/>
        </w:rPr>
        <w:t>8°,</w:t>
      </w:r>
      <w:r>
        <w:rPr>
          <w:color w:val="231F20"/>
          <w:spacing w:val="-3"/>
        </w:rPr>
        <w:t> </w:t>
      </w:r>
      <w:r>
        <w:rPr>
          <w:color w:val="231F20"/>
        </w:rPr>
        <w:t>ou</w:t>
      </w:r>
      <w:r>
        <w:rPr>
          <w:color w:val="231F20"/>
          <w:spacing w:val="-4"/>
        </w:rPr>
        <w:t> </w:t>
      </w:r>
      <w:r>
        <w:rPr>
          <w:color w:val="231F20"/>
        </w:rPr>
        <w:t>à</w:t>
      </w:r>
      <w:r>
        <w:rPr>
          <w:color w:val="231F20"/>
          <w:spacing w:val="-4"/>
        </w:rPr>
        <w:t> </w:t>
      </w:r>
      <w:r>
        <w:rPr>
          <w:color w:val="231F20"/>
        </w:rPr>
        <w:t>l’article</w:t>
      </w:r>
      <w:r>
        <w:rPr>
          <w:color w:val="231F20"/>
          <w:spacing w:val="-3"/>
        </w:rPr>
        <w:t> </w:t>
      </w:r>
      <w:r>
        <w:rPr>
          <w:color w:val="231F20"/>
        </w:rPr>
        <w:t>2:10,</w:t>
      </w:r>
    </w:p>
    <w:p>
      <w:pPr>
        <w:pStyle w:val="BodyText"/>
        <w:spacing w:line="176" w:lineRule="exact" w:before="2"/>
        <w:ind w:right="0" w:firstLine="0"/>
        <w:jc w:val="left"/>
      </w:pPr>
      <w:r>
        <w:rPr>
          <w:color w:val="231F20"/>
        </w:rPr>
        <w:t>§ 1</w:t>
      </w:r>
      <w:r>
        <w:rPr>
          <w:color w:val="231F20"/>
          <w:position w:val="7"/>
          <w:sz w:val="11"/>
        </w:rPr>
        <w:t>er</w:t>
      </w:r>
      <w:r>
        <w:rPr>
          <w:color w:val="231F20"/>
        </w:rPr>
        <w:t>, 8°, à moins que les comptes annuels manquants ne soient déposés avant la clôture des débats;</w:t>
      </w:r>
    </w:p>
    <w:p>
      <w:pPr>
        <w:pStyle w:val="BodyText"/>
        <w:spacing w:before="70"/>
        <w:ind w:left="283" w:right="0" w:firstLine="0"/>
        <w:jc w:val="left"/>
      </w:pPr>
      <w:r>
        <w:rPr>
          <w:color w:val="231F20"/>
        </w:rPr>
        <w:t>5° compte moins de deux membres.</w:t>
      </w:r>
    </w:p>
    <w:p>
      <w:pPr>
        <w:pStyle w:val="BodyText"/>
        <w:spacing w:line="218" w:lineRule="auto" w:before="67"/>
        <w:ind w:right="38"/>
      </w:pPr>
      <w:r>
        <w:rPr>
          <w:color w:val="231F20"/>
        </w:rPr>
        <w:t>§ 2. Dans le cas prévu au paragraphe 1</w:t>
      </w:r>
      <w:r>
        <w:rPr>
          <w:color w:val="231F20"/>
          <w:position w:val="7"/>
          <w:sz w:val="11"/>
        </w:rPr>
        <w:t>er</w:t>
      </w:r>
      <w:r>
        <w:rPr>
          <w:color w:val="231F20"/>
        </w:rPr>
        <w:t>, 4°, le tribunal peut également être saisi après renvoi par la chambre des entreprises en </w:t>
      </w:r>
      <w:r>
        <w:rPr>
          <w:color w:val="231F20"/>
          <w:spacing w:val="-3"/>
        </w:rPr>
        <w:t>difficulté </w:t>
      </w:r>
      <w:r>
        <w:rPr>
          <w:color w:val="231F20"/>
        </w:rPr>
        <w:t>conformément à l’article XX.29 du Code de droit économique. En pareil cas, le </w:t>
      </w:r>
      <w:r>
        <w:rPr>
          <w:color w:val="231F20"/>
          <w:spacing w:val="-3"/>
        </w:rPr>
        <w:t>greffe </w:t>
      </w:r>
      <w:r>
        <w:rPr>
          <w:color w:val="231F20"/>
        </w:rPr>
        <w:t>convoque l’association par pli judiciaire qui reproduit</w:t>
      </w:r>
      <w:r>
        <w:rPr>
          <w:color w:val="231F20"/>
          <w:spacing w:val="14"/>
        </w:rPr>
        <w:t> </w:t>
      </w:r>
      <w:r>
        <w:rPr>
          <w:color w:val="231F20"/>
        </w:rPr>
        <w:t>le</w:t>
      </w:r>
      <w:r>
        <w:rPr>
          <w:color w:val="231F20"/>
          <w:spacing w:val="15"/>
        </w:rPr>
        <w:t> </w:t>
      </w:r>
      <w:r>
        <w:rPr>
          <w:color w:val="231F20"/>
        </w:rPr>
        <w:t>texte</w:t>
      </w:r>
      <w:r>
        <w:rPr>
          <w:color w:val="231F20"/>
          <w:spacing w:val="15"/>
        </w:rPr>
        <w:t> </w:t>
      </w:r>
      <w:r>
        <w:rPr>
          <w:color w:val="231F20"/>
        </w:rPr>
        <w:t>de</w:t>
      </w:r>
      <w:r>
        <w:rPr>
          <w:color w:val="231F20"/>
          <w:spacing w:val="15"/>
        </w:rPr>
        <w:t> </w:t>
      </w:r>
      <w:r>
        <w:rPr>
          <w:color w:val="231F20"/>
        </w:rPr>
        <w:t>cet</w:t>
      </w:r>
      <w:r>
        <w:rPr>
          <w:color w:val="231F20"/>
          <w:spacing w:val="15"/>
        </w:rPr>
        <w:t> </w:t>
      </w:r>
      <w:r>
        <w:rPr>
          <w:color w:val="231F20"/>
        </w:rPr>
        <w:t>article.</w:t>
      </w:r>
    </w:p>
    <w:p>
      <w:pPr>
        <w:pStyle w:val="BodyText"/>
        <w:spacing w:line="218" w:lineRule="auto" w:before="71"/>
        <w:ind w:right="38"/>
      </w:pPr>
      <w:r>
        <w:rPr>
          <w:color w:val="231F20"/>
        </w:rPr>
        <w:t>L’action en dissolution visée au paragraphe 1</w:t>
      </w:r>
      <w:r>
        <w:rPr>
          <w:color w:val="231F20"/>
          <w:position w:val="7"/>
          <w:sz w:val="11"/>
        </w:rPr>
        <w:t>er</w:t>
      </w:r>
      <w:r>
        <w:rPr>
          <w:color w:val="231F20"/>
        </w:rPr>
        <w:t>, 4°, ne peut être introduite qu’à l’expiration d’un délai de sept mois suivant la date de clôture de l’exercice</w:t>
      </w:r>
      <w:r>
        <w:rPr>
          <w:color w:val="231F20"/>
          <w:spacing w:val="4"/>
        </w:rPr>
        <w:t> </w:t>
      </w:r>
      <w:r>
        <w:rPr>
          <w:color w:val="231F20"/>
        </w:rPr>
        <w:t>comptable.</w:t>
      </w:r>
    </w:p>
    <w:p>
      <w:pPr>
        <w:pStyle w:val="BodyText"/>
        <w:spacing w:line="218" w:lineRule="auto" w:before="85"/>
        <w:ind w:right="38"/>
      </w:pPr>
      <w:r>
        <w:rPr>
          <w:color w:val="231F20"/>
        </w:rPr>
        <w:t>§ 3. Le tribunal prononçant la dissolution peut soit ordonner la clôture immédiate de la liquidation, soit désigner un ou plusieurs liquidateurs. Dans ce dernier cas, le tribunal détermine les pouvoirs des liquidateurs et le mode de liquidation.</w:t>
      </w:r>
    </w:p>
    <w:p>
      <w:pPr>
        <w:pStyle w:val="BodyText"/>
        <w:spacing w:line="201" w:lineRule="auto" w:before="97"/>
        <w:ind w:right="38"/>
      </w:pPr>
      <w:r>
        <w:rPr>
          <w:color w:val="231F20"/>
        </w:rPr>
        <w:t>§ 4. Le tribunal pourra prononcer l’annulation de l’opération visée au paragraphe 1</w:t>
      </w:r>
      <w:r>
        <w:rPr>
          <w:color w:val="231F20"/>
          <w:position w:val="7"/>
          <w:sz w:val="11"/>
        </w:rPr>
        <w:t>er</w:t>
      </w:r>
      <w:r>
        <w:rPr>
          <w:color w:val="231F20"/>
        </w:rPr>
        <w:t>, 3°, même s’il rejette la demande de dissolution.</w:t>
      </w:r>
    </w:p>
    <w:p>
      <w:pPr>
        <w:pStyle w:val="BodyText"/>
        <w:spacing w:before="72"/>
        <w:ind w:left="283" w:right="0" w:firstLine="0"/>
        <w:jc w:val="left"/>
      </w:pPr>
      <w:r>
        <w:rPr>
          <w:color w:val="231F20"/>
        </w:rPr>
        <w:t>Section 2. Dissolution des fondations.</w:t>
      </w:r>
    </w:p>
    <w:p>
      <w:pPr>
        <w:pStyle w:val="BodyText"/>
        <w:spacing w:line="218" w:lineRule="auto" w:before="67"/>
        <w:ind w:right="38"/>
      </w:pPr>
      <w:r>
        <w:rPr>
          <w:color w:val="231F20"/>
        </w:rPr>
        <w:t>Art. 2:114. § 1</w:t>
      </w:r>
      <w:r>
        <w:rPr>
          <w:color w:val="231F20"/>
          <w:position w:val="7"/>
          <w:sz w:val="11"/>
        </w:rPr>
        <w:t>er</w:t>
      </w:r>
      <w:r>
        <w:rPr>
          <w:color w:val="231F20"/>
        </w:rPr>
        <w:t>. Seul le tribunal du ressort dans lequel la fondation a son siège, pourra prononcer, à la requête d’un fondateur ou d’un de ses ayants droit, d’un ou de plusieurs administrateurs, d’un tiers intéressé ou du ministère public, la dissolution d’une fondation:</w:t>
      </w:r>
    </w:p>
    <w:p>
      <w:pPr>
        <w:pStyle w:val="BodyText"/>
        <w:spacing w:before="9"/>
        <w:ind w:left="0" w:right="0" w:firstLine="0"/>
        <w:jc w:val="left"/>
        <w:rPr>
          <w:sz w:val="21"/>
        </w:rPr>
      </w:pPr>
    </w:p>
    <w:p>
      <w:pPr>
        <w:pStyle w:val="BodyText"/>
        <w:ind w:left="283" w:right="0" w:firstLine="0"/>
        <w:jc w:val="left"/>
      </w:pPr>
      <w:r>
        <w:rPr>
          <w:color w:val="231F20"/>
        </w:rPr>
        <w:t>1° dont le but ou l’objet a été réalisé;</w:t>
      </w:r>
    </w:p>
    <w:p>
      <w:pPr>
        <w:pStyle w:val="BodyText"/>
        <w:spacing w:line="218" w:lineRule="auto" w:before="82"/>
        <w:ind w:right="38"/>
      </w:pPr>
      <w:r>
        <w:rPr>
          <w:color w:val="231F20"/>
        </w:rPr>
        <w:t>2° qui n’est plus en mesure de poursuivre le but ou l’objet en vue duquel elle a été constituée;</w:t>
      </w:r>
    </w:p>
    <w:p>
      <w:pPr>
        <w:pStyle w:val="BodyText"/>
        <w:spacing w:line="218" w:lineRule="auto" w:before="96"/>
        <w:ind w:right="38"/>
      </w:pPr>
      <w:r>
        <w:rPr>
          <w:color w:val="231F20"/>
        </w:rPr>
        <w:t>3° qui affecte son patrimoine ou les revenus de celui-ci à des buts autres que celui en vue duquel elle a été constituée;</w:t>
      </w:r>
    </w:p>
    <w:p>
      <w:pPr>
        <w:pStyle w:val="BodyText"/>
        <w:spacing w:line="218" w:lineRule="auto" w:before="96"/>
        <w:ind w:right="38"/>
      </w:pPr>
      <w:r>
        <w:rPr>
          <w:color w:val="231F20"/>
        </w:rPr>
        <w:t>4° qui viole l’interdiction de distribuer ou de procurer un quelconque avantage patrimonial direct ou indirect tel que visé à l’article 1:3, ou contrevient au présent code ou à l’ordre public, ou contrevient gravement à ses statuts;</w:t>
      </w:r>
    </w:p>
    <w:p>
      <w:pPr>
        <w:pStyle w:val="BodyText"/>
        <w:spacing w:line="213" w:lineRule="auto" w:before="100"/>
        <w:ind w:right="38"/>
      </w:pPr>
      <w:r>
        <w:rPr>
          <w:color w:val="231F20"/>
        </w:rPr>
        <w:t>5° qui est restée en défaut de satisfaire à l’obligation de déposer les comptes annuels conformément à l’article 2:11, § 1</w:t>
      </w:r>
      <w:r>
        <w:rPr>
          <w:color w:val="231F20"/>
          <w:position w:val="7"/>
          <w:sz w:val="11"/>
        </w:rPr>
        <w:t>er</w:t>
      </w:r>
      <w:r>
        <w:rPr>
          <w:color w:val="231F20"/>
        </w:rPr>
        <w:t>, 8°, pendant trois exercices consécutifs, à moins que les comptes annuels manquants ne soient déposés avant la clôture des débats;</w:t>
      </w:r>
    </w:p>
    <w:p>
      <w:pPr>
        <w:pStyle w:val="BodyText"/>
        <w:spacing w:before="79"/>
        <w:ind w:left="283" w:right="0" w:firstLine="0"/>
        <w:jc w:val="left"/>
      </w:pPr>
      <w:r>
        <w:rPr>
          <w:color w:val="231F20"/>
        </w:rPr>
        <w:t>6° dont la durée est venue à échéance;</w:t>
      </w:r>
    </w:p>
    <w:p>
      <w:pPr>
        <w:pStyle w:val="BodyText"/>
        <w:spacing w:line="218" w:lineRule="auto" w:before="93"/>
        <w:ind w:right="38"/>
      </w:pPr>
      <w:r>
        <w:rPr>
          <w:color w:val="231F20"/>
        </w:rPr>
        <w:t>7° dont la condition résolutoire expresse prévue dans les statuts est accomplie.</w:t>
      </w:r>
    </w:p>
    <w:p>
      <w:pPr>
        <w:pStyle w:val="BodyText"/>
        <w:spacing w:line="218" w:lineRule="auto" w:before="81"/>
        <w:ind w:right="38"/>
      </w:pPr>
      <w:r>
        <w:rPr>
          <w:color w:val="231F20"/>
        </w:rPr>
        <w:t>§ 2. Dans le cas prévu au paragraphe 1</w:t>
      </w:r>
      <w:r>
        <w:rPr>
          <w:color w:val="231F20"/>
          <w:position w:val="7"/>
          <w:sz w:val="11"/>
        </w:rPr>
        <w:t>er</w:t>
      </w:r>
      <w:r>
        <w:rPr>
          <w:color w:val="231F20"/>
        </w:rPr>
        <w:t>, 5°, le tribunal peut également être saisi après renvoi par la chambre des entreprises en difficulté conformément à l’article XX.29 du Code de droit économique. En pareil cas, le greffe convoque la fondation par pli judiciaire qui reproduit le texte de cet article.</w:t>
      </w:r>
    </w:p>
    <w:p>
      <w:pPr>
        <w:pStyle w:val="BodyText"/>
        <w:spacing w:line="218" w:lineRule="auto" w:before="81"/>
        <w:ind w:right="38"/>
      </w:pPr>
      <w:r>
        <w:rPr>
          <w:color w:val="231F20"/>
        </w:rPr>
        <w:t>L’action en dissolution visée au paragraphe 1</w:t>
      </w:r>
      <w:r>
        <w:rPr>
          <w:color w:val="231F20"/>
          <w:position w:val="7"/>
          <w:sz w:val="11"/>
        </w:rPr>
        <w:t>er</w:t>
      </w:r>
      <w:r>
        <w:rPr>
          <w:color w:val="231F20"/>
        </w:rPr>
        <w:t>, 5°, ne peut être introduite qu’à l’expiration d’un délai de sept mois suivant la date de clôture du troisième exercice comptable.</w:t>
      </w:r>
    </w:p>
    <w:p>
      <w:pPr>
        <w:pStyle w:val="BodyText"/>
        <w:ind w:left="0" w:right="0" w:firstLine="0"/>
        <w:jc w:val="left"/>
        <w:rPr>
          <w:sz w:val="24"/>
        </w:rPr>
      </w:pPr>
    </w:p>
    <w:p>
      <w:pPr>
        <w:pStyle w:val="BodyText"/>
        <w:spacing w:line="218" w:lineRule="auto"/>
        <w:ind w:right="38"/>
      </w:pPr>
      <w:r>
        <w:rPr>
          <w:color w:val="231F20"/>
        </w:rPr>
        <w:t>§ 3. Le tribunal prononçant la dissolution peut soit ordonner la clôture immédiate de la liquidation, soit désigner un ou plusieurs liquidateurs. Dans ce dernier cas, le tribunal définit les pouvoirs des liquidateurs et le mode de liquidation.</w:t>
      </w:r>
    </w:p>
    <w:p>
      <w:pPr>
        <w:pStyle w:val="BodyText"/>
        <w:spacing w:line="201" w:lineRule="auto" w:before="107"/>
        <w:ind w:right="38"/>
      </w:pPr>
      <w:r>
        <w:rPr>
          <w:color w:val="231F20"/>
        </w:rPr>
        <w:t>§ 4. Le tribunal pourra prononcer l’annulation de l’opération visée au paragraphe 1</w:t>
      </w:r>
      <w:r>
        <w:rPr>
          <w:color w:val="231F20"/>
          <w:position w:val="7"/>
          <w:sz w:val="11"/>
        </w:rPr>
        <w:t>er</w:t>
      </w:r>
      <w:r>
        <w:rPr>
          <w:color w:val="231F20"/>
        </w:rPr>
        <w:t>, 3°, même s’il rejette la demande de dissolution.</w:t>
      </w:r>
    </w:p>
    <w:p>
      <w:pPr>
        <w:pStyle w:val="BodyText"/>
        <w:spacing w:before="9"/>
        <w:ind w:left="0" w:right="0" w:firstLine="0"/>
        <w:jc w:val="left"/>
        <w:rPr>
          <w:sz w:val="22"/>
        </w:rPr>
      </w:pPr>
    </w:p>
    <w:p>
      <w:pPr>
        <w:pStyle w:val="BodyText"/>
        <w:spacing w:line="319" w:lineRule="auto"/>
        <w:ind w:left="283" w:right="473" w:firstLine="0"/>
        <w:jc w:val="left"/>
      </w:pPr>
      <w:r>
        <w:rPr>
          <w:color w:val="231F20"/>
        </w:rPr>
        <w:t>Chapitre 3. Liquidation des associations et des fondations. Section 1</w:t>
      </w:r>
      <w:r>
        <w:rPr>
          <w:color w:val="231F20"/>
          <w:position w:val="7"/>
          <w:sz w:val="11"/>
        </w:rPr>
        <w:t>re</w:t>
      </w:r>
      <w:r>
        <w:rPr>
          <w:color w:val="231F20"/>
        </w:rPr>
        <w:t>. Dispositions générales.</w:t>
      </w:r>
    </w:p>
    <w:p>
      <w:pPr>
        <w:pStyle w:val="BodyText"/>
        <w:spacing w:line="218" w:lineRule="auto" w:before="14"/>
        <w:ind w:right="38"/>
      </w:pPr>
      <w:r>
        <w:rPr>
          <w:color w:val="231F20"/>
        </w:rPr>
        <w:t>Art. 2:115. § 1</w:t>
      </w:r>
      <w:r>
        <w:rPr>
          <w:color w:val="231F20"/>
          <w:position w:val="7"/>
          <w:sz w:val="11"/>
        </w:rPr>
        <w:t>er</w:t>
      </w:r>
      <w:r>
        <w:rPr>
          <w:color w:val="231F20"/>
        </w:rPr>
        <w:t>. Une ASBL, une AISBL ou une fondation est, après sa dissolution, réputée exister pour sa liquidation.</w:t>
      </w:r>
    </w:p>
    <w:p>
      <w:pPr>
        <w:pStyle w:val="BodyText"/>
        <w:spacing w:before="105"/>
        <w:ind w:left="283" w:right="0" w:firstLine="0"/>
        <w:jc w:val="left"/>
      </w:pPr>
      <w:r>
        <w:rPr/>
        <w:br w:type="column"/>
      </w:r>
      <w:r>
        <w:rPr>
          <w:color w:val="231F20"/>
        </w:rPr>
        <w:t>Onderafdeling 4. Gerechtelijke ontbinding.</w:t>
      </w:r>
    </w:p>
    <w:p>
      <w:pPr>
        <w:pStyle w:val="BodyText"/>
        <w:spacing w:line="218" w:lineRule="auto" w:before="82"/>
      </w:pPr>
      <w:r>
        <w:rPr>
          <w:color w:val="231F20"/>
        </w:rPr>
        <w:t>Art. 2:113. § 1. De rechtbank kan op verzoek van een lid, van een belanghebbende derde of van het openbaar ministerie de ontbinding uitspreken van een VZW of van een IVZW die:</w:t>
      </w:r>
    </w:p>
    <w:p>
      <w:pPr>
        <w:pStyle w:val="BodyText"/>
        <w:spacing w:before="72"/>
        <w:ind w:left="283" w:right="0" w:firstLine="0"/>
        <w:jc w:val="left"/>
      </w:pPr>
      <w:r>
        <w:rPr>
          <w:color w:val="231F20"/>
        </w:rPr>
        <w:t>1° niet in staat is haar verbintenissen na te komen;</w:t>
      </w:r>
    </w:p>
    <w:p>
      <w:pPr>
        <w:pStyle w:val="BodyText"/>
        <w:spacing w:line="218" w:lineRule="auto" w:before="82"/>
      </w:pPr>
      <w:r>
        <w:rPr>
          <w:color w:val="231F20"/>
        </w:rPr>
        <w:t>2° haar vermogen of de inkomsten uit dat vermogen voor een ander doel aanwendt dan dat waarvoor zij is opgericht;</w:t>
      </w:r>
    </w:p>
    <w:p>
      <w:pPr>
        <w:pStyle w:val="BodyText"/>
        <w:spacing w:line="218" w:lineRule="auto" w:before="85"/>
      </w:pPr>
      <w:r>
        <w:rPr>
          <w:color w:val="231F20"/>
        </w:rPr>
        <w:t>3° het verbod op uitkering of bezorging van enig rechtstreeks of onrechtstreeks vermogensvoordeel als bedoeld in artikel 1:2 schendt, of in strijd handelt met dit wetboek of de openbare orde, of in ernstige mate in strijd handelt met de statuten;</w:t>
      </w:r>
    </w:p>
    <w:p>
      <w:pPr>
        <w:pStyle w:val="BodyText"/>
        <w:spacing w:line="218" w:lineRule="auto" w:before="86"/>
      </w:pPr>
      <w:r>
        <w:rPr>
          <w:color w:val="231F20"/>
        </w:rPr>
        <w:t>4° niet heeft voldaan aan de verplichting om een jaarrekening neer te leggen overeenkomstig artikel 2:9, § 1, 8°, respectievelijk artikel 2:10,</w:t>
      </w:r>
    </w:p>
    <w:p>
      <w:pPr>
        <w:pStyle w:val="BodyText"/>
        <w:spacing w:line="218" w:lineRule="auto"/>
        <w:ind w:right="0" w:firstLine="0"/>
        <w:jc w:val="left"/>
      </w:pPr>
      <w:r>
        <w:rPr>
          <w:color w:val="231F20"/>
        </w:rPr>
        <w:t>§ 1, 8°, tenzij de ontbrekende jaarrekeningen worden neergelegd vooraleer de debatten worden gesloten;</w:t>
      </w:r>
    </w:p>
    <w:p>
      <w:pPr>
        <w:pStyle w:val="BodyText"/>
        <w:spacing w:before="72"/>
        <w:ind w:left="283" w:right="0" w:firstLine="0"/>
        <w:jc w:val="left"/>
      </w:pPr>
      <w:r>
        <w:rPr>
          <w:color w:val="231F20"/>
        </w:rPr>
        <w:t>5° minder dan twee leden telt.</w:t>
      </w:r>
    </w:p>
    <w:p>
      <w:pPr>
        <w:pStyle w:val="BodyText"/>
        <w:spacing w:line="218" w:lineRule="auto" w:before="82"/>
      </w:pPr>
      <w:r>
        <w:rPr>
          <w:color w:val="231F20"/>
        </w:rPr>
        <w:t>§ 2. In geval van paragraaf 1, 4°, kan de rechtbank ook worden gevat na verwijzing door de kamer voor ondernemingen in moeilijkheden krachtens artikel XX.29 van het Wetboek van economisch recht. In dat geval roept de griffie de vereniging op per gerechtsbrief die de tekst van dit artikel weergeeft.</w:t>
      </w:r>
    </w:p>
    <w:p>
      <w:pPr>
        <w:pStyle w:val="BodyText"/>
        <w:spacing w:line="218" w:lineRule="auto" w:before="85"/>
      </w:pPr>
      <w:r>
        <w:rPr>
          <w:color w:val="231F20"/>
        </w:rPr>
        <w:t>De vordering tot ontbinding bedoeld in paragraaf 1, 4°, kan slechts worden ingesteld na het verstrijken van een termijn van</w:t>
      </w:r>
      <w:r>
        <w:rPr>
          <w:color w:val="231F20"/>
          <w:spacing w:val="24"/>
        </w:rPr>
        <w:t> </w:t>
      </w:r>
      <w:r>
        <w:rPr>
          <w:color w:val="231F20"/>
        </w:rPr>
        <w:t>zeven maanden</w:t>
      </w:r>
      <w:r>
        <w:rPr>
          <w:color w:val="231F20"/>
          <w:spacing w:val="16"/>
        </w:rPr>
        <w:t> </w:t>
      </w:r>
      <w:r>
        <w:rPr>
          <w:color w:val="231F20"/>
        </w:rPr>
        <w:t>te</w:t>
      </w:r>
      <w:r>
        <w:rPr>
          <w:color w:val="231F20"/>
          <w:spacing w:val="17"/>
        </w:rPr>
        <w:t> </w:t>
      </w:r>
      <w:r>
        <w:rPr>
          <w:color w:val="231F20"/>
        </w:rPr>
        <w:t>rekenen</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datum</w:t>
      </w:r>
      <w:r>
        <w:rPr>
          <w:color w:val="231F20"/>
          <w:spacing w:val="17"/>
        </w:rPr>
        <w:t> </w:t>
      </w:r>
      <w:r>
        <w:rPr>
          <w:color w:val="231F20"/>
        </w:rPr>
        <w:t>van</w:t>
      </w:r>
      <w:r>
        <w:rPr>
          <w:color w:val="231F20"/>
          <w:spacing w:val="16"/>
        </w:rPr>
        <w:t> </w:t>
      </w:r>
      <w:r>
        <w:rPr>
          <w:color w:val="231F20"/>
        </w:rPr>
        <w:t>afsluiting</w:t>
      </w:r>
      <w:r>
        <w:rPr>
          <w:color w:val="231F20"/>
          <w:spacing w:val="17"/>
        </w:rPr>
        <w:t> </w:t>
      </w:r>
      <w:r>
        <w:rPr>
          <w:color w:val="231F20"/>
        </w:rPr>
        <w:t>van</w:t>
      </w:r>
      <w:r>
        <w:rPr>
          <w:color w:val="231F20"/>
          <w:spacing w:val="16"/>
        </w:rPr>
        <w:t> </w:t>
      </w:r>
      <w:r>
        <w:rPr>
          <w:color w:val="231F20"/>
        </w:rPr>
        <w:t>het</w:t>
      </w:r>
      <w:r>
        <w:rPr>
          <w:color w:val="231F20"/>
          <w:spacing w:val="17"/>
        </w:rPr>
        <w:t> </w:t>
      </w:r>
      <w:r>
        <w:rPr>
          <w:color w:val="231F20"/>
        </w:rPr>
        <w:t>boekjaar.</w:t>
      </w:r>
    </w:p>
    <w:p>
      <w:pPr>
        <w:pStyle w:val="BodyText"/>
        <w:spacing w:line="218" w:lineRule="auto" w:before="86"/>
      </w:pPr>
      <w:r>
        <w:rPr>
          <w:color w:val="231F20"/>
        </w:rPr>
        <w:t>§ 3. De rechtbank die de ontbinding uitspreekt, kan hetzij tot de onmiddellijke sluiting van de vereffening beslissen, hetzij één of meer vereffenaars aanwijzen. In dit laatste geval bepaalt de rechtbank de bevoegdheden van de vereffenaars en de vereffeningswijze.</w:t>
      </w:r>
    </w:p>
    <w:p>
      <w:pPr>
        <w:pStyle w:val="BodyText"/>
        <w:spacing w:line="218" w:lineRule="auto" w:before="86"/>
      </w:pPr>
      <w:r>
        <w:rPr>
          <w:color w:val="231F20"/>
        </w:rPr>
        <w:t>§ 4. De rechtbank kan de vernietiging van de verrichting bedoeld in paragraaf 1, 3°, uitspreken ook indien zij de eis tot ontbinding afwijst.</w:t>
      </w:r>
    </w:p>
    <w:p>
      <w:pPr>
        <w:pStyle w:val="BodyText"/>
        <w:spacing w:before="71"/>
        <w:ind w:left="283" w:right="0" w:firstLine="0"/>
        <w:jc w:val="left"/>
      </w:pPr>
      <w:r>
        <w:rPr>
          <w:color w:val="231F20"/>
        </w:rPr>
        <w:t>Afdeling 2. Ontbinding van stichtingen.</w:t>
      </w:r>
    </w:p>
    <w:p>
      <w:pPr>
        <w:pStyle w:val="BodyText"/>
        <w:spacing w:line="218" w:lineRule="auto" w:before="82"/>
      </w:pPr>
      <w:r>
        <w:rPr>
          <w:color w:val="231F20"/>
        </w:rPr>
        <w:t>Art. 2:114. § 1. Alleen de rechtbank van het rechtsgebied waar de stichting haar zetel heeft, kan op verzoek van een stichter of van een van zijn rechthebbenden, van één of meer bestuurders, van een belanghebbende derde of van het openbaar ministerie de ontbinding uitspreken van een</w:t>
      </w:r>
      <w:r>
        <w:rPr>
          <w:color w:val="231F20"/>
          <w:spacing w:val="3"/>
        </w:rPr>
        <w:t> </w:t>
      </w:r>
      <w:r>
        <w:rPr>
          <w:color w:val="231F20"/>
        </w:rPr>
        <w:t>stichting:</w:t>
      </w:r>
    </w:p>
    <w:p>
      <w:pPr>
        <w:pStyle w:val="BodyText"/>
        <w:spacing w:before="72"/>
        <w:ind w:left="283" w:right="0" w:firstLine="0"/>
        <w:jc w:val="left"/>
      </w:pPr>
      <w:r>
        <w:rPr>
          <w:color w:val="231F20"/>
        </w:rPr>
        <w:t>1° waarvan het doel of het voorwerp is verwezenlijkt;</w:t>
      </w:r>
    </w:p>
    <w:p>
      <w:pPr>
        <w:pStyle w:val="BodyText"/>
        <w:spacing w:line="218" w:lineRule="auto" w:before="82"/>
      </w:pPr>
      <w:r>
        <w:rPr>
          <w:color w:val="231F20"/>
        </w:rPr>
        <w:t>2° die niet meer in staat is het doel of het voorwerp na te streven waarvoor zij is opgericht;</w:t>
      </w:r>
    </w:p>
    <w:p>
      <w:pPr>
        <w:pStyle w:val="BodyText"/>
        <w:spacing w:line="218" w:lineRule="auto" w:before="96"/>
      </w:pPr>
      <w:r>
        <w:rPr>
          <w:color w:val="231F20"/>
        </w:rPr>
        <w:t>3° die haar vermogen of de inkomsten uit dat vermogen voor een ander doel aanwendt dan het doel waarvoor zij is opgericht;</w:t>
      </w:r>
    </w:p>
    <w:p>
      <w:pPr>
        <w:pStyle w:val="BodyText"/>
        <w:spacing w:line="218" w:lineRule="auto" w:before="96"/>
      </w:pPr>
      <w:r>
        <w:rPr>
          <w:color w:val="231F20"/>
        </w:rPr>
        <w:t>4° die het verbod op uitkering of bezorging van enig rechtstreeks of onrechtstreeks vermogensvoordeel als bedoeld in artikel 1:3 schendt, of in strijd handelt met dit wetboek of de openbare orde, of in ernstige mate in strijd handelt met haar statuten;</w:t>
      </w:r>
    </w:p>
    <w:p>
      <w:pPr>
        <w:pStyle w:val="BodyText"/>
        <w:spacing w:line="218" w:lineRule="auto" w:before="96"/>
      </w:pPr>
      <w:r>
        <w:rPr>
          <w:color w:val="231F20"/>
        </w:rPr>
        <w:t>5° die gedurende drie opeenvolgende boekjaren niet heeft voldaan aan de verplichting om een jaarrekening neer te leggen overeenkomstig artikel 2:11, § 1, 8°, tenzij de ontbrekende jaarrekeningen worden neergelegd</w:t>
      </w:r>
      <w:r>
        <w:rPr>
          <w:color w:val="231F20"/>
          <w:spacing w:val="16"/>
        </w:rPr>
        <w:t> </w:t>
      </w:r>
      <w:r>
        <w:rPr>
          <w:color w:val="231F20"/>
        </w:rPr>
        <w:t>voor</w:t>
      </w:r>
      <w:r>
        <w:rPr>
          <w:color w:val="231F20"/>
          <w:spacing w:val="16"/>
        </w:rPr>
        <w:t> </w:t>
      </w:r>
      <w:r>
        <w:rPr>
          <w:color w:val="231F20"/>
        </w:rPr>
        <w:t>de</w:t>
      </w:r>
      <w:r>
        <w:rPr>
          <w:color w:val="231F20"/>
          <w:spacing w:val="16"/>
        </w:rPr>
        <w:t> </w:t>
      </w:r>
      <w:r>
        <w:rPr>
          <w:color w:val="231F20"/>
        </w:rPr>
        <w:t>sluiting</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debatten;</w:t>
      </w:r>
    </w:p>
    <w:p>
      <w:pPr>
        <w:pStyle w:val="BodyText"/>
        <w:spacing w:before="82"/>
        <w:ind w:left="283" w:right="0" w:firstLine="0"/>
        <w:jc w:val="left"/>
      </w:pPr>
      <w:r>
        <w:rPr>
          <w:color w:val="231F20"/>
        </w:rPr>
        <w:t>6°</w:t>
      </w:r>
      <w:r>
        <w:rPr>
          <w:color w:val="231F20"/>
          <w:spacing w:val="19"/>
        </w:rPr>
        <w:t> </w:t>
      </w:r>
      <w:r>
        <w:rPr>
          <w:color w:val="231F20"/>
        </w:rPr>
        <w:t>waarvan</w:t>
      </w:r>
      <w:r>
        <w:rPr>
          <w:color w:val="231F20"/>
          <w:spacing w:val="19"/>
        </w:rPr>
        <w:t> </w:t>
      </w:r>
      <w:r>
        <w:rPr>
          <w:color w:val="231F20"/>
        </w:rPr>
        <w:t>de</w:t>
      </w:r>
      <w:r>
        <w:rPr>
          <w:color w:val="231F20"/>
          <w:spacing w:val="20"/>
        </w:rPr>
        <w:t> </w:t>
      </w:r>
      <w:r>
        <w:rPr>
          <w:color w:val="231F20"/>
        </w:rPr>
        <w:t>duur</w:t>
      </w:r>
      <w:r>
        <w:rPr>
          <w:color w:val="231F20"/>
          <w:spacing w:val="19"/>
        </w:rPr>
        <w:t> </w:t>
      </w:r>
      <w:r>
        <w:rPr>
          <w:color w:val="231F20"/>
        </w:rPr>
        <w:t>ten</w:t>
      </w:r>
      <w:r>
        <w:rPr>
          <w:color w:val="231F20"/>
          <w:spacing w:val="19"/>
        </w:rPr>
        <w:t> </w:t>
      </w:r>
      <w:r>
        <w:rPr>
          <w:color w:val="231F20"/>
        </w:rPr>
        <w:t>einde</w:t>
      </w:r>
      <w:r>
        <w:rPr>
          <w:color w:val="231F20"/>
          <w:spacing w:val="20"/>
        </w:rPr>
        <w:t> </w:t>
      </w:r>
      <w:r>
        <w:rPr>
          <w:color w:val="231F20"/>
        </w:rPr>
        <w:t>is</w:t>
      </w:r>
      <w:r>
        <w:rPr>
          <w:color w:val="231F20"/>
          <w:spacing w:val="19"/>
        </w:rPr>
        <w:t> </w:t>
      </w:r>
      <w:r>
        <w:rPr>
          <w:color w:val="231F20"/>
        </w:rPr>
        <w:t>gekomen;</w:t>
      </w:r>
    </w:p>
    <w:p>
      <w:pPr>
        <w:pStyle w:val="BodyText"/>
        <w:spacing w:line="218" w:lineRule="auto" w:before="93"/>
      </w:pPr>
      <w:r>
        <w:rPr>
          <w:color w:val="231F20"/>
        </w:rPr>
        <w:t>7° waarvan de uitdrukkelijk ontbindende voorwaarde vervat in de statuten zich heeft vervuld.</w:t>
      </w:r>
    </w:p>
    <w:p>
      <w:pPr>
        <w:pStyle w:val="BodyText"/>
        <w:spacing w:line="218" w:lineRule="auto" w:before="96"/>
      </w:pPr>
      <w:r>
        <w:rPr>
          <w:color w:val="231F20"/>
        </w:rPr>
        <w:t>§ 2. In geval van paragraaf 1, 5°, kan de rechtbank ook worden gevat na verwijzing door de kamer voor ondernemingen in moeilijkheden krachtens artikel XX.29 van het Wetboek van economisch recht. In dat geval roept de griffie de stichting op per gerechtsbrief die de tekst van dit artikel weergeeft.</w:t>
      </w:r>
    </w:p>
    <w:p>
      <w:pPr>
        <w:pStyle w:val="BodyText"/>
        <w:spacing w:line="218" w:lineRule="auto" w:before="96"/>
      </w:pPr>
      <w:r>
        <w:rPr>
          <w:color w:val="231F20"/>
        </w:rPr>
        <w:t>De vordering tot ontbinding bedoeld in paragraaf 1, 5°, kan slechts worden ingesteld na het verstrijken van een termijn van</w:t>
      </w:r>
      <w:r>
        <w:rPr>
          <w:color w:val="231F20"/>
          <w:spacing w:val="24"/>
        </w:rPr>
        <w:t> </w:t>
      </w:r>
      <w:r>
        <w:rPr>
          <w:color w:val="231F20"/>
        </w:rPr>
        <w:t>zeven maanden te rekenen van de datum van afsluiting van het derde boekjaar.</w:t>
      </w:r>
    </w:p>
    <w:p>
      <w:pPr>
        <w:pStyle w:val="BodyText"/>
        <w:spacing w:line="218" w:lineRule="auto" w:before="97"/>
      </w:pPr>
      <w:r>
        <w:rPr>
          <w:color w:val="231F20"/>
        </w:rPr>
        <w:t>§ 3. De rechtbank die de ontbinding uitspreekt, kan hetzij tot de onmiddellijke sluiting van de vereffening beslissen, hetzij één of meer vereffenaars aanwijzen. In dit laatste geval bepaalt de rechtbank de bevoegdheden van de vereffenaars en de vereffeningswijze.</w:t>
      </w:r>
    </w:p>
    <w:p>
      <w:pPr>
        <w:pStyle w:val="BodyText"/>
        <w:spacing w:line="218" w:lineRule="auto" w:before="96"/>
      </w:pPr>
      <w:r>
        <w:rPr>
          <w:color w:val="231F20"/>
        </w:rPr>
        <w:t>§ 4. De rechtbank kan de vernietiging van de verrichting bedoeld in paragraaf 1, 3°, uitspreken, ook indien zij de vordering tot ontbinding afwijst.</w:t>
      </w:r>
    </w:p>
    <w:p>
      <w:pPr>
        <w:pStyle w:val="BodyText"/>
        <w:spacing w:line="338" w:lineRule="auto" w:before="82"/>
        <w:ind w:left="283" w:right="345" w:firstLine="0"/>
        <w:jc w:val="left"/>
      </w:pPr>
      <w:r>
        <w:rPr>
          <w:color w:val="231F20"/>
        </w:rPr>
        <w:t>Hoofdstuk 3. Vereffening van verenigingen en stichtingen. Afdeling 1. Algemene bepalingen.</w:t>
      </w:r>
    </w:p>
    <w:p>
      <w:pPr>
        <w:pStyle w:val="BodyText"/>
        <w:spacing w:line="218" w:lineRule="auto" w:before="13"/>
      </w:pPr>
      <w:r>
        <w:rPr>
          <w:color w:val="231F20"/>
        </w:rPr>
        <w:t>Art. 2:115. § 1. Een VZW, een IVZW of een stichting wordt na ontbinding geacht voort te bestaan voor haar vereffening.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2008" from="298.170502pt,64.473pt" to="298.170502pt,812.819pt" stroked="true" strokeweight=".533pt" strokecolor="#231f20">
            <v:stroke dashstyle="solid"/>
            <w10:wrap type="none"/>
          </v:line>
        </w:pict>
      </w:r>
      <w:bookmarkStart w:name="_bookmark41" w:id="44"/>
      <w:bookmarkEnd w:id="44"/>
      <w:r>
        <w:rPr/>
      </w:r>
      <w:r>
        <w:rPr>
          <w:color w:val="231F20"/>
        </w:rPr>
        <w:t>Toutes les pièces émanant d’une association ou d’une fondation dissoute mentionnent qu’elle est en liquidation.</w:t>
      </w:r>
    </w:p>
    <w:p>
      <w:pPr>
        <w:pStyle w:val="BodyText"/>
        <w:spacing w:line="218" w:lineRule="auto" w:before="86"/>
        <w:ind w:right="38"/>
      </w:pPr>
      <w:r>
        <w:rPr>
          <w:color w:val="231F20"/>
        </w:rPr>
        <w:t>Art. 2:116. Une ASBL en liquidation, une AISBL en liquidation ou</w:t>
      </w:r>
      <w:r>
        <w:rPr>
          <w:color w:val="231F20"/>
          <w:spacing w:val="-12"/>
        </w:rPr>
        <w:t> </w:t>
      </w:r>
      <w:r>
        <w:rPr>
          <w:color w:val="231F20"/>
        </w:rPr>
        <w:t>une fondation</w:t>
      </w:r>
      <w:r>
        <w:rPr>
          <w:color w:val="231F20"/>
          <w:spacing w:val="15"/>
        </w:rPr>
        <w:t> </w:t>
      </w:r>
      <w:r>
        <w:rPr>
          <w:color w:val="231F20"/>
        </w:rPr>
        <w:t>en</w:t>
      </w:r>
      <w:r>
        <w:rPr>
          <w:color w:val="231F20"/>
          <w:spacing w:val="16"/>
        </w:rPr>
        <w:t> </w:t>
      </w:r>
      <w:r>
        <w:rPr>
          <w:color w:val="231F20"/>
        </w:rPr>
        <w:t>liquidation</w:t>
      </w:r>
      <w:r>
        <w:rPr>
          <w:color w:val="231F20"/>
          <w:spacing w:val="16"/>
        </w:rPr>
        <w:t> </w:t>
      </w:r>
      <w:r>
        <w:rPr>
          <w:color w:val="231F20"/>
        </w:rPr>
        <w:t>ne</w:t>
      </w:r>
      <w:r>
        <w:rPr>
          <w:color w:val="231F20"/>
          <w:spacing w:val="16"/>
        </w:rPr>
        <w:t> </w:t>
      </w:r>
      <w:r>
        <w:rPr>
          <w:color w:val="231F20"/>
        </w:rPr>
        <w:t>peut</w:t>
      </w:r>
      <w:r>
        <w:rPr>
          <w:color w:val="231F20"/>
          <w:spacing w:val="16"/>
        </w:rPr>
        <w:t> </w:t>
      </w:r>
      <w:r>
        <w:rPr>
          <w:color w:val="231F20"/>
        </w:rPr>
        <w:t>modifier</w:t>
      </w:r>
      <w:r>
        <w:rPr>
          <w:color w:val="231F20"/>
          <w:spacing w:val="15"/>
        </w:rPr>
        <w:t> </w:t>
      </w:r>
      <w:r>
        <w:rPr>
          <w:color w:val="231F20"/>
        </w:rPr>
        <w:t>sa</w:t>
      </w:r>
      <w:r>
        <w:rPr>
          <w:color w:val="231F20"/>
          <w:spacing w:val="16"/>
        </w:rPr>
        <w:t> </w:t>
      </w:r>
      <w:r>
        <w:rPr>
          <w:color w:val="231F20"/>
        </w:rPr>
        <w:t>dénomination.</w:t>
      </w:r>
    </w:p>
    <w:p>
      <w:pPr>
        <w:pStyle w:val="BodyText"/>
        <w:spacing w:line="218" w:lineRule="auto" w:before="85"/>
        <w:ind w:right="38"/>
      </w:pPr>
      <w:r>
        <w:rPr>
          <w:color w:val="231F20"/>
        </w:rPr>
        <w:t>Art. 2:117. Une procédure de transfert du siège d’une ASBL en liquidation, d’une AISBL en liquidation ou d’une fondation en liquida- tion ne peut être mise à exécution qu’après homologation par le tribunal</w:t>
      </w:r>
      <w:r>
        <w:rPr>
          <w:color w:val="231F20"/>
          <w:spacing w:val="16"/>
        </w:rPr>
        <w:t> </w:t>
      </w:r>
      <w:r>
        <w:rPr>
          <w:color w:val="231F20"/>
        </w:rPr>
        <w:t>du</w:t>
      </w:r>
      <w:r>
        <w:rPr>
          <w:color w:val="231F20"/>
          <w:spacing w:val="16"/>
        </w:rPr>
        <w:t> </w:t>
      </w:r>
      <w:r>
        <w:rPr>
          <w:color w:val="231F20"/>
        </w:rPr>
        <w:t>siège</w:t>
      </w:r>
      <w:r>
        <w:rPr>
          <w:color w:val="231F20"/>
          <w:spacing w:val="16"/>
        </w:rPr>
        <w:t> </w:t>
      </w:r>
      <w:r>
        <w:rPr>
          <w:color w:val="231F20"/>
        </w:rPr>
        <w:t>de</w:t>
      </w:r>
      <w:r>
        <w:rPr>
          <w:color w:val="231F20"/>
          <w:spacing w:val="16"/>
        </w:rPr>
        <w:t> </w:t>
      </w:r>
      <w:r>
        <w:rPr>
          <w:color w:val="231F20"/>
        </w:rPr>
        <w:t>l’association</w:t>
      </w:r>
      <w:r>
        <w:rPr>
          <w:color w:val="231F20"/>
          <w:spacing w:val="17"/>
        </w:rPr>
        <w:t> </w:t>
      </w:r>
      <w:r>
        <w:rPr>
          <w:color w:val="231F20"/>
        </w:rPr>
        <w:t>ou</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fondation.</w:t>
      </w:r>
    </w:p>
    <w:p>
      <w:pPr>
        <w:pStyle w:val="BodyText"/>
        <w:spacing w:before="72"/>
        <w:ind w:left="283" w:right="0" w:firstLine="0"/>
        <w:jc w:val="left"/>
      </w:pPr>
      <w:r>
        <w:rPr>
          <w:color w:val="231F20"/>
        </w:rPr>
        <w:t>L’homologation est sollicitée sur requête des liquidateurs.</w:t>
      </w:r>
    </w:p>
    <w:p>
      <w:pPr>
        <w:pStyle w:val="BodyText"/>
        <w:spacing w:before="8"/>
        <w:ind w:left="0" w:right="0" w:firstLine="0"/>
        <w:jc w:val="left"/>
        <w:rPr>
          <w:sz w:val="22"/>
        </w:rPr>
      </w:pPr>
    </w:p>
    <w:p>
      <w:pPr>
        <w:pStyle w:val="BodyText"/>
        <w:spacing w:line="218" w:lineRule="auto"/>
        <w:ind w:right="38"/>
      </w:pPr>
      <w:r>
        <w:rPr>
          <w:color w:val="231F20"/>
        </w:rPr>
        <w:t>Le tribunal statue toutes affaires cessantes. Le ministère public est entendu. Le tribunal accorde l’homologation lorsqu’il estime que le déplacement du siège est utile à la liquidation.</w:t>
      </w:r>
    </w:p>
    <w:p>
      <w:pPr>
        <w:pStyle w:val="BodyText"/>
        <w:ind w:left="0" w:right="0" w:firstLine="0"/>
        <w:jc w:val="left"/>
        <w:rPr>
          <w:sz w:val="23"/>
        </w:rPr>
      </w:pPr>
    </w:p>
    <w:p>
      <w:pPr>
        <w:pStyle w:val="BodyText"/>
        <w:spacing w:line="218" w:lineRule="auto"/>
        <w:ind w:right="38"/>
      </w:pPr>
      <w:r>
        <w:rPr>
          <w:color w:val="231F20"/>
        </w:rPr>
        <w:t>Un acte portant transfert du siège d’une ASBL, AISBL ou fondation en liquidation ne peut être valablement déposé et publié conformément aux articles 2:9, 2:10 ou 2:11 et 2:15, 2:16 ou 2:17 que si une copie de la décision d’homologation du tribunal y est jointe.</w:t>
      </w:r>
    </w:p>
    <w:p>
      <w:pPr>
        <w:pStyle w:val="BodyText"/>
        <w:spacing w:before="8"/>
        <w:ind w:left="0" w:right="0" w:firstLine="0"/>
        <w:jc w:val="left"/>
        <w:rPr>
          <w:sz w:val="21"/>
        </w:rPr>
      </w:pPr>
    </w:p>
    <w:p>
      <w:pPr>
        <w:pStyle w:val="BodyText"/>
        <w:spacing w:line="304" w:lineRule="auto" w:before="1"/>
        <w:ind w:left="283" w:right="1686" w:firstLine="0"/>
        <w:jc w:val="left"/>
      </w:pPr>
      <w:r>
        <w:rPr>
          <w:color w:val="231F20"/>
        </w:rPr>
        <w:t>Section 2. Liquidation des ASBL et des AISBL. Sous-section 1</w:t>
      </w:r>
      <w:r>
        <w:rPr>
          <w:color w:val="231F20"/>
          <w:position w:val="7"/>
          <w:sz w:val="11"/>
        </w:rPr>
        <w:t>re</w:t>
      </w:r>
      <w:r>
        <w:rPr>
          <w:color w:val="231F20"/>
        </w:rPr>
        <w:t>. Désignation des liquidateurs.</w:t>
      </w:r>
    </w:p>
    <w:p>
      <w:pPr>
        <w:pStyle w:val="BodyText"/>
        <w:spacing w:line="218" w:lineRule="auto" w:before="15"/>
        <w:ind w:right="39"/>
      </w:pPr>
      <w:r>
        <w:rPr>
          <w:color w:val="231F20"/>
        </w:rPr>
        <w:t>Art. 2:118. § 1</w:t>
      </w:r>
      <w:r>
        <w:rPr>
          <w:color w:val="231F20"/>
          <w:position w:val="7"/>
          <w:sz w:val="11"/>
        </w:rPr>
        <w:t>er</w:t>
      </w:r>
      <w:r>
        <w:rPr>
          <w:color w:val="231F20"/>
        </w:rPr>
        <w:t>. L’ASBL et l’AISBL sont liquidées par un ou plusieurs liquidateurs.</w:t>
      </w:r>
    </w:p>
    <w:p>
      <w:pPr>
        <w:pStyle w:val="BodyText"/>
        <w:spacing w:line="218" w:lineRule="auto" w:before="86"/>
        <w:ind w:right="38"/>
      </w:pPr>
      <w:r>
        <w:rPr>
          <w:color w:val="231F20"/>
        </w:rPr>
        <w:t>§ 2. Sauf en cas de dissolution judiciaire ou sauf disposition</w:t>
      </w:r>
      <w:r>
        <w:rPr>
          <w:color w:val="231F20"/>
          <w:spacing w:val="-15"/>
        </w:rPr>
        <w:t> </w:t>
      </w:r>
      <w:r>
        <w:rPr>
          <w:color w:val="231F20"/>
        </w:rPr>
        <w:t>statutaire contraire, les liquidateurs d’une ASBL sont nommés par l’assemblée générale à la majorité</w:t>
      </w:r>
      <w:r>
        <w:rPr>
          <w:color w:val="231F20"/>
          <w:spacing w:val="18"/>
        </w:rPr>
        <w:t> </w:t>
      </w:r>
      <w:r>
        <w:rPr>
          <w:color w:val="231F20"/>
        </w:rPr>
        <w:t>simple.</w:t>
      </w:r>
    </w:p>
    <w:p>
      <w:pPr>
        <w:pStyle w:val="BodyText"/>
        <w:spacing w:line="218" w:lineRule="auto" w:before="85"/>
        <w:ind w:right="38"/>
      </w:pPr>
      <w:r>
        <w:rPr>
          <w:color w:val="231F20"/>
        </w:rPr>
        <w:t>Sauf en cas de dissolution judiciaire, les liquidateurs d’une AISBL sont nommés conformément aux statuts.</w:t>
      </w:r>
    </w:p>
    <w:p>
      <w:pPr>
        <w:pStyle w:val="BodyText"/>
        <w:spacing w:line="218" w:lineRule="auto" w:before="86"/>
        <w:ind w:right="38"/>
      </w:pPr>
      <w:r>
        <w:rPr>
          <w:color w:val="231F20"/>
        </w:rPr>
        <w:t>§ 3. Si le liquidateur est une personne morale, l’article 2:55 est d’application par analogie. Toutefois, la désignation de la personne physique qui représente la personne morale doit être soumise à l’approbation de l’assemblée générale de l’association dissoute.</w:t>
      </w:r>
    </w:p>
    <w:p>
      <w:pPr>
        <w:pStyle w:val="BodyText"/>
        <w:ind w:left="0" w:right="0" w:firstLine="0"/>
        <w:jc w:val="left"/>
        <w:rPr>
          <w:sz w:val="23"/>
        </w:rPr>
      </w:pPr>
    </w:p>
    <w:p>
      <w:pPr>
        <w:pStyle w:val="BodyText"/>
        <w:spacing w:line="218" w:lineRule="auto"/>
        <w:ind w:right="38"/>
      </w:pPr>
      <w:r>
        <w:rPr>
          <w:color w:val="231F20"/>
        </w:rPr>
        <w:t>§ 4. Si aucun liquidateur n’a été désigné conformément au paragra- phe 2 ou au paragraphe 3, le tribunal nomme les liquidateurs sur requête motivée d’un membre, d’un tiers intéressé ou du ministère public.</w:t>
      </w:r>
    </w:p>
    <w:p>
      <w:pPr>
        <w:pStyle w:val="BodyText"/>
        <w:spacing w:line="218" w:lineRule="auto" w:before="86"/>
        <w:ind w:right="38"/>
      </w:pPr>
      <w:r>
        <w:rPr>
          <w:color w:val="231F20"/>
        </w:rPr>
        <w:t>Art. 2:119. S’il résulte de l’état résumant la situation active et passive établi conformément à l’article 2:110, § 2, alinéa 2, que toutes les créances ne pourront être payées intégralement, la nomination des liquidateurs dans les statuts ou par l’assemblée générale ou par  l’organe désigné par les statuts doit être soumise au président du tribunal pour confirmation. Le tribunal compétent est celui du ressort dans lequel l’ASBL ou l’AISBL a son siège le jour de la décision de dissolution. Si le siège de l’association a été déplacé dans les six mois précédant la décision de dissolution, le tribunal compétent est celui du ressort dans lequel l’association avait son siège six mois avant la décision de</w:t>
      </w:r>
      <w:r>
        <w:rPr>
          <w:color w:val="231F20"/>
          <w:spacing w:val="-11"/>
        </w:rPr>
        <w:t> </w:t>
      </w:r>
      <w:r>
        <w:rPr>
          <w:color w:val="231F20"/>
        </w:rPr>
        <w:t>dissolution.</w:t>
      </w:r>
    </w:p>
    <w:p>
      <w:pPr>
        <w:pStyle w:val="BodyText"/>
        <w:ind w:left="0" w:right="0" w:firstLine="0"/>
        <w:jc w:val="left"/>
        <w:rPr>
          <w:sz w:val="23"/>
        </w:rPr>
      </w:pPr>
    </w:p>
    <w:p>
      <w:pPr>
        <w:pStyle w:val="BodyText"/>
        <w:spacing w:line="218" w:lineRule="auto"/>
        <w:ind w:right="38"/>
      </w:pPr>
      <w:r>
        <w:rPr>
          <w:color w:val="231F20"/>
        </w:rPr>
        <w:t>Le président du tribunal ne confirme la nomination qu’après s’être assuré que les liquidateurs offrent toutes les garanties de compétence et d’intégrité pour l’exercice de leur mandat.</w:t>
      </w:r>
    </w:p>
    <w:p>
      <w:pPr>
        <w:pStyle w:val="BodyText"/>
        <w:spacing w:line="218" w:lineRule="auto" w:before="86"/>
        <w:ind w:right="38"/>
      </w:pPr>
      <w:r>
        <w:rPr>
          <w:color w:val="231F20"/>
        </w:rPr>
        <w:t>Le président du tribunal statue également sur les actes que les liquidateurs ont éventuellement accomplis entre leur nomination par l’assemblée générale et la confirmation de cette nomination. Il peut les annuler s’ils constituent une violation manifeste des droits de tiers.</w:t>
      </w:r>
    </w:p>
    <w:p>
      <w:pPr>
        <w:pStyle w:val="BodyText"/>
        <w:spacing w:before="10"/>
        <w:ind w:left="0" w:right="0" w:firstLine="0"/>
        <w:jc w:val="left"/>
        <w:rPr>
          <w:sz w:val="23"/>
        </w:rPr>
      </w:pPr>
    </w:p>
    <w:p>
      <w:pPr>
        <w:pStyle w:val="BodyText"/>
        <w:spacing w:line="218" w:lineRule="auto" w:before="1"/>
        <w:ind w:right="38"/>
      </w:pPr>
      <w:r>
        <w:rPr>
          <w:color w:val="231F20"/>
        </w:rPr>
        <w:t>Ne peuvent en aucun cas être désignés comme liquidateurs, ni les personnes qui ont été condamnées pour infraction aux articles 489 à 490</w:t>
      </w:r>
      <w:r>
        <w:rPr>
          <w:rFonts w:ascii="Times New Roman" w:hAnsi="Times New Roman"/>
          <w:i/>
          <w:color w:val="231F20"/>
        </w:rPr>
        <w:t>bis </w:t>
      </w:r>
      <w:r>
        <w:rPr>
          <w:color w:val="231F20"/>
        </w:rPr>
        <w:t>du Code pénal ou pour vol, faux, concussion, escroquerie ou abus de confiance, ainsi que tout dépositaire, tuteur, administrateur ou comptable, qui n’a pas rendu et soldé son compte en temps utile. Cette interdiction ne vaut que pour un délai de dix ans, prenant cours à dater d’une décision définitive de condamnation ou de l’absence de reddition et</w:t>
      </w:r>
      <w:r>
        <w:rPr>
          <w:color w:val="231F20"/>
          <w:spacing w:val="15"/>
        </w:rPr>
        <w:t> </w:t>
      </w:r>
      <w:r>
        <w:rPr>
          <w:color w:val="231F20"/>
        </w:rPr>
        <w:t>solde</w:t>
      </w:r>
      <w:r>
        <w:rPr>
          <w:color w:val="231F20"/>
          <w:spacing w:val="15"/>
        </w:rPr>
        <w:t> </w:t>
      </w:r>
      <w:r>
        <w:rPr>
          <w:color w:val="231F20"/>
        </w:rPr>
        <w:t>de</w:t>
      </w:r>
      <w:r>
        <w:rPr>
          <w:color w:val="231F20"/>
          <w:spacing w:val="15"/>
        </w:rPr>
        <w:t> </w:t>
      </w:r>
      <w:r>
        <w:rPr>
          <w:color w:val="231F20"/>
        </w:rPr>
        <w:t>compte</w:t>
      </w:r>
      <w:r>
        <w:rPr>
          <w:color w:val="231F20"/>
          <w:spacing w:val="15"/>
        </w:rPr>
        <w:t> </w:t>
      </w:r>
      <w:r>
        <w:rPr>
          <w:color w:val="231F20"/>
        </w:rPr>
        <w:t>en</w:t>
      </w:r>
      <w:r>
        <w:rPr>
          <w:color w:val="231F20"/>
          <w:spacing w:val="16"/>
        </w:rPr>
        <w:t> </w:t>
      </w:r>
      <w:r>
        <w:rPr>
          <w:color w:val="231F20"/>
        </w:rPr>
        <w:t>temps</w:t>
      </w:r>
      <w:r>
        <w:rPr>
          <w:color w:val="231F20"/>
          <w:spacing w:val="15"/>
        </w:rPr>
        <w:t> </w:t>
      </w:r>
      <w:r>
        <w:rPr>
          <w:color w:val="231F20"/>
        </w:rPr>
        <w:t>utile.</w:t>
      </w:r>
    </w:p>
    <w:p>
      <w:pPr>
        <w:pStyle w:val="BodyText"/>
        <w:ind w:left="0" w:right="0" w:firstLine="0"/>
        <w:jc w:val="left"/>
        <w:rPr>
          <w:sz w:val="24"/>
        </w:rPr>
      </w:pPr>
    </w:p>
    <w:p>
      <w:pPr>
        <w:pStyle w:val="BodyText"/>
        <w:spacing w:line="213" w:lineRule="auto"/>
        <w:ind w:right="38"/>
      </w:pPr>
      <w:r>
        <w:rPr>
          <w:color w:val="231F20"/>
        </w:rPr>
        <w:t>Ne peuvent davantage être nommées comme liquidateur, sauf homologation par le président du tribunal compétent, les personnes qui ont été déclarées en faillite sans avoir obtenu la réhabilitation et celles qui ont encouru une peine d’emprisonnement, même avec sursis, pour l’une des infractions mentionnées à l’article 1</w:t>
      </w:r>
      <w:r>
        <w:rPr>
          <w:color w:val="231F20"/>
          <w:position w:val="7"/>
          <w:sz w:val="11"/>
        </w:rPr>
        <w:t>er </w:t>
      </w:r>
      <w:r>
        <w:rPr>
          <w:color w:val="231F20"/>
        </w:rPr>
        <w:t>de l’arrêté royal n° 22 du</w:t>
      </w:r>
    </w:p>
    <w:p>
      <w:pPr>
        <w:pStyle w:val="BodyText"/>
        <w:spacing w:line="218" w:lineRule="auto" w:before="2"/>
        <w:ind w:right="38" w:firstLine="0"/>
      </w:pPr>
      <w:r>
        <w:rPr>
          <w:color w:val="231F20"/>
        </w:rPr>
        <w:t>24 octobre 1934 relatif à l’interdiction judiciaire faite à certains condamnés et faillis d’exercer certaines fonctions, professions ou activités, pour une infraction au Livre III, </w:t>
      </w:r>
      <w:r>
        <w:rPr>
          <w:color w:val="231F20"/>
          <w:spacing w:val="-3"/>
        </w:rPr>
        <w:t>Titre </w:t>
      </w:r>
      <w:r>
        <w:rPr>
          <w:color w:val="231F20"/>
        </w:rPr>
        <w:t>3, Chapitre 2 du Code</w:t>
      </w:r>
      <w:r>
        <w:rPr>
          <w:color w:val="231F20"/>
          <w:spacing w:val="-21"/>
        </w:rPr>
        <w:t> </w:t>
      </w:r>
      <w:r>
        <w:rPr>
          <w:color w:val="231F20"/>
        </w:rPr>
        <w:t>de droit économique ou à ses arrêtés d’exécution, ou pour une infraction   à la législation</w:t>
      </w:r>
      <w:r>
        <w:rPr>
          <w:color w:val="231F20"/>
          <w:spacing w:val="3"/>
        </w:rPr>
        <w:t> </w:t>
      </w:r>
      <w:r>
        <w:rPr>
          <w:color w:val="231F20"/>
        </w:rPr>
        <w:t>fiscale.</w:t>
      </w:r>
    </w:p>
    <w:p>
      <w:pPr>
        <w:pStyle w:val="BodyText"/>
        <w:spacing w:line="218" w:lineRule="auto" w:before="119"/>
      </w:pPr>
      <w:r>
        <w:rPr/>
        <w:br w:type="column"/>
      </w:r>
      <w:r>
        <w:rPr>
          <w:color w:val="231F20"/>
        </w:rPr>
        <w:t>Alle stukken uitgaande van een ontbonden vereniging of stichting vermelden dat zij in vereffening is.</w:t>
      </w:r>
    </w:p>
    <w:p>
      <w:pPr>
        <w:pStyle w:val="BodyText"/>
        <w:spacing w:line="218" w:lineRule="auto" w:before="86"/>
      </w:pPr>
      <w:r>
        <w:rPr>
          <w:color w:val="231F20"/>
        </w:rPr>
        <w:t>Art. 2:116. Een VZW in vereffening, een IVZW in vereffening of een stichting in vereffening mag haar naam niet wijzigen.</w:t>
      </w:r>
    </w:p>
    <w:p>
      <w:pPr>
        <w:pStyle w:val="BodyText"/>
        <w:spacing w:line="218" w:lineRule="auto" w:before="85"/>
      </w:pPr>
      <w:r>
        <w:rPr>
          <w:color w:val="231F20"/>
        </w:rPr>
        <w:t>Art. 2:117. Een besluit tot verplaatsing van de zetel van een VZW in vereffening, een IVZW in vereffening of een stichting in vereffening kan niet worden uitgevoerd dan na homologatie door de rechtbank van de zetel van de vereniging of stichting.</w:t>
      </w:r>
    </w:p>
    <w:p>
      <w:pPr>
        <w:pStyle w:val="BodyText"/>
        <w:spacing w:line="218" w:lineRule="auto" w:before="86"/>
      </w:pPr>
      <w:r>
        <w:rPr>
          <w:color w:val="231F20"/>
        </w:rPr>
        <w:t>De homologatie wordt bij verzoekschrift aangevraagd door de vereffenaars.</w:t>
      </w:r>
    </w:p>
    <w:p>
      <w:pPr>
        <w:pStyle w:val="BodyText"/>
        <w:spacing w:line="218" w:lineRule="auto" w:before="85"/>
      </w:pPr>
      <w:r>
        <w:rPr>
          <w:color w:val="231F20"/>
        </w:rPr>
        <w:t>De rechtbank doet uitspraak met voorrang boven alle andere zaken en na het openbaar ministerie te hebben gehoord. Zij verleent de homologatie wanneer zij oordeelt dat de zetelverplaatsing dienstig is voor de</w:t>
      </w:r>
      <w:r>
        <w:rPr>
          <w:color w:val="231F20"/>
          <w:spacing w:val="-11"/>
        </w:rPr>
        <w:t> </w:t>
      </w:r>
      <w:r>
        <w:rPr>
          <w:color w:val="231F20"/>
        </w:rPr>
        <w:t>vereffening.</w:t>
      </w:r>
    </w:p>
    <w:p>
      <w:pPr>
        <w:pStyle w:val="BodyText"/>
        <w:spacing w:line="218" w:lineRule="auto" w:before="86"/>
      </w:pPr>
      <w:r>
        <w:rPr>
          <w:color w:val="231F20"/>
        </w:rPr>
        <w:t>Een akte houdende verplaatsing van de zetel van een </w:t>
      </w:r>
      <w:r>
        <w:rPr>
          <w:color w:val="231F20"/>
          <w:spacing w:val="-4"/>
        </w:rPr>
        <w:t>VZW, </w:t>
      </w:r>
      <w:r>
        <w:rPr>
          <w:color w:val="231F20"/>
        </w:rPr>
        <w:t>IVZW of stichting in vereffening kan slechts geldig worden neergelegd en bekendgemaakt overeenkomstig de artikelen 2:9, 2:10 of </w:t>
      </w:r>
      <w:r>
        <w:rPr>
          <w:color w:val="231F20"/>
          <w:spacing w:val="-3"/>
        </w:rPr>
        <w:t>2:11 </w:t>
      </w:r>
      <w:r>
        <w:rPr>
          <w:color w:val="231F20"/>
        </w:rPr>
        <w:t>en 2:15, 2:16 of 2:17 wanneer er een kopie wordt bijgevoegd van de beslissing  tot homologatie door de</w:t>
      </w:r>
      <w:r>
        <w:rPr>
          <w:color w:val="231F20"/>
          <w:spacing w:val="19"/>
        </w:rPr>
        <w:t> </w:t>
      </w:r>
      <w:r>
        <w:rPr>
          <w:color w:val="231F20"/>
        </w:rPr>
        <w:t>rechtbank.</w:t>
      </w:r>
    </w:p>
    <w:p>
      <w:pPr>
        <w:pStyle w:val="BodyText"/>
        <w:spacing w:line="324" w:lineRule="auto" w:before="72"/>
        <w:ind w:left="283" w:right="1017" w:firstLine="0"/>
        <w:jc w:val="left"/>
      </w:pPr>
      <w:r>
        <w:rPr>
          <w:color w:val="231F20"/>
        </w:rPr>
        <w:t>Afdeling 2. Vereffening van VZW’s en van IVZW’s. Onderafdeling 1. Aanstelling van de vereffenaar.</w:t>
      </w:r>
    </w:p>
    <w:p>
      <w:pPr>
        <w:pStyle w:val="BodyText"/>
        <w:spacing w:line="218" w:lineRule="auto" w:before="15"/>
        <w:ind w:right="125"/>
      </w:pPr>
      <w:r>
        <w:rPr>
          <w:color w:val="231F20"/>
        </w:rPr>
        <w:t>Art. 2:118. § 1. De VZW en de IVZW worden vereffend door één of meer vereffenaars.</w:t>
      </w:r>
    </w:p>
    <w:p>
      <w:pPr>
        <w:pStyle w:val="BodyText"/>
        <w:spacing w:line="218" w:lineRule="auto" w:before="85"/>
      </w:pPr>
      <w:r>
        <w:rPr>
          <w:color w:val="231F20"/>
        </w:rPr>
        <w:t>§ 2. Behoudens in geval van gerechtelijke ontbinding en tenzij de statuten anders bepalen, worden in de VZW de vereffenaars benoemd door de algemene vergadering, die beslist bij gewone meerderheid.</w:t>
      </w:r>
    </w:p>
    <w:p>
      <w:pPr>
        <w:pStyle w:val="BodyText"/>
        <w:spacing w:line="218" w:lineRule="auto" w:before="86"/>
      </w:pPr>
      <w:r>
        <w:rPr>
          <w:color w:val="231F20"/>
        </w:rPr>
        <w:t>Behoudens in geval van gerechtelijke ontbinding worden in de IVZW de vereffenaars benoemd overeenkomstig de statuten.</w:t>
      </w:r>
    </w:p>
    <w:p>
      <w:pPr>
        <w:pStyle w:val="BodyText"/>
        <w:spacing w:line="218" w:lineRule="auto" w:before="85"/>
      </w:pPr>
      <w:r>
        <w:rPr>
          <w:color w:val="231F20"/>
        </w:rPr>
        <w:t>§ 3. Ingeval de vereffenaar een rechtspersoon is, is artikel 2:55 van overeenkomstige toepassing. Evenwel moet de aanstelling van de natuurlijke persoon die de rechtspersoon vertegenwoordigt door de algemene vergadering van de ontbonden vereniging worden goedge- keurd.</w:t>
      </w:r>
    </w:p>
    <w:p>
      <w:pPr>
        <w:pStyle w:val="BodyText"/>
        <w:spacing w:line="218" w:lineRule="auto" w:before="86"/>
      </w:pPr>
      <w:r>
        <w:rPr>
          <w:color w:val="231F20"/>
        </w:rPr>
        <w:t>§ 4. Indien geen vereffenaars werden aangeduid overeenkomstig paragraaf 2 of paragraaf 3, benoemt de rechtbank op gemotiveerd verzoek van een lid, van een belanghebbende derde of van het  openbaar ministerie de</w:t>
      </w:r>
      <w:r>
        <w:rPr>
          <w:color w:val="231F20"/>
          <w:spacing w:val="3"/>
        </w:rPr>
        <w:t> </w:t>
      </w:r>
      <w:r>
        <w:rPr>
          <w:color w:val="231F20"/>
        </w:rPr>
        <w:t>vereffenaars.</w:t>
      </w:r>
    </w:p>
    <w:p>
      <w:pPr>
        <w:pStyle w:val="BodyText"/>
        <w:spacing w:line="218" w:lineRule="auto" w:before="85"/>
      </w:pPr>
      <w:r>
        <w:rPr>
          <w:color w:val="231F20"/>
        </w:rPr>
        <w:t>Art. 2:119. Indien uit de staat van actief en passief opgemaakt overeenkomstig artikel 2:110, § 2, tweede lid, blijkt dat niet alle schulden integraal kunnen worden betaald, dan moet de benoeming van de vereffenaars in de statuten dan wel door de algemene vergadering of door het door de statuten aangewezen orgaan ter bevestiging worden voorgelegd aan de voorzitter van de rechtbank. De bevoegde rechtbank is die van het rechtsgebied waar de VZW of de IVZW op de dag van het besluit tot ontbinding haar zetel heeft. Indien de zetel van de vereniging binnen zes maanden voor het besluit tot ontbinding werd verplaatst, is de bevoegde rechtbank die van het rechtsgebied waar de vereniging haar zetel had zes maanden vooraf- gaandelijk</w:t>
      </w:r>
      <w:r>
        <w:rPr>
          <w:color w:val="231F20"/>
          <w:spacing w:val="15"/>
        </w:rPr>
        <w:t> </w:t>
      </w:r>
      <w:r>
        <w:rPr>
          <w:color w:val="231F20"/>
        </w:rPr>
        <w:t>aan</w:t>
      </w:r>
      <w:r>
        <w:rPr>
          <w:color w:val="231F20"/>
          <w:spacing w:val="15"/>
        </w:rPr>
        <w:t> </w:t>
      </w:r>
      <w:r>
        <w:rPr>
          <w:color w:val="231F20"/>
        </w:rPr>
        <w:t>het</w:t>
      </w:r>
      <w:r>
        <w:rPr>
          <w:color w:val="231F20"/>
          <w:spacing w:val="15"/>
        </w:rPr>
        <w:t> </w:t>
      </w:r>
      <w:r>
        <w:rPr>
          <w:color w:val="231F20"/>
        </w:rPr>
        <w:t>besluit</w:t>
      </w:r>
      <w:r>
        <w:rPr>
          <w:color w:val="231F20"/>
          <w:spacing w:val="15"/>
        </w:rPr>
        <w:t> </w:t>
      </w:r>
      <w:r>
        <w:rPr>
          <w:color w:val="231F20"/>
        </w:rPr>
        <w:t>tot</w:t>
      </w:r>
      <w:r>
        <w:rPr>
          <w:color w:val="231F20"/>
          <w:spacing w:val="15"/>
        </w:rPr>
        <w:t> </w:t>
      </w:r>
      <w:r>
        <w:rPr>
          <w:color w:val="231F20"/>
        </w:rPr>
        <w:t>ontbinding.</w:t>
      </w:r>
    </w:p>
    <w:p>
      <w:pPr>
        <w:pStyle w:val="BodyText"/>
        <w:spacing w:line="218" w:lineRule="auto" w:before="86"/>
      </w:pPr>
      <w:r>
        <w:rPr>
          <w:color w:val="231F20"/>
        </w:rPr>
        <w:t>De voorzitter van de rechtbank bevestigt de benoeming pas nadat hij heeft vastgesteld dat de vereffenaars voor de uitoefening van hun mandaat alle waarborgen van competentie en integriteit bieden.</w:t>
      </w:r>
    </w:p>
    <w:p>
      <w:pPr>
        <w:pStyle w:val="BodyText"/>
        <w:spacing w:line="218" w:lineRule="auto" w:before="86"/>
      </w:pPr>
      <w:r>
        <w:rPr>
          <w:color w:val="231F20"/>
        </w:rPr>
        <w:t>De voorzitter van de rechtbank oordeelt tevens over de handelingen die de vereffenaars eventueel gesteld hebben tussen hun benoeming door de algemene vergadering en de bevestiging ervan. Hij kan die handelingen nietig verklaren indien ze kennelijk in strijd zijn met de rechten van derden.</w:t>
      </w:r>
    </w:p>
    <w:p>
      <w:pPr>
        <w:pStyle w:val="BodyText"/>
        <w:spacing w:line="218" w:lineRule="auto" w:before="96"/>
        <w:ind w:right="123"/>
      </w:pPr>
      <w:r>
        <w:rPr>
          <w:color w:val="231F20"/>
        </w:rPr>
        <w:t>Eenieder die werd veroordeeld wegens een inbreuk  op  de  artike- len 489 tot 490</w:t>
      </w:r>
      <w:r>
        <w:rPr>
          <w:rFonts w:ascii="Times New Roman"/>
          <w:i/>
          <w:color w:val="231F20"/>
        </w:rPr>
        <w:t>bis </w:t>
      </w:r>
      <w:r>
        <w:rPr>
          <w:color w:val="231F20"/>
        </w:rPr>
        <w:t>van het Strafwetboek dan wel wegens diefstal, valsheid, knevelarij, oplichting of misbruik van vertrouwen mag in  geen geval tot vereffenaar worden aangewezen, net zomin als</w:t>
      </w:r>
      <w:r>
        <w:rPr>
          <w:color w:val="231F20"/>
          <w:spacing w:val="26"/>
        </w:rPr>
        <w:t> </w:t>
      </w:r>
      <w:r>
        <w:rPr>
          <w:color w:val="231F20"/>
        </w:rPr>
        <w:t>enige bewaarder, voogd, bestuurder of rekenplichtige die niet tijdig rekening en verantwoording heeft gedaan en niet tijdig heeft afgerekend.</w:t>
      </w:r>
      <w:r>
        <w:rPr>
          <w:color w:val="231F20"/>
          <w:spacing w:val="18"/>
        </w:rPr>
        <w:t> </w:t>
      </w:r>
      <w:r>
        <w:rPr>
          <w:color w:val="231F20"/>
        </w:rPr>
        <w:t>Dit verbod</w:t>
      </w:r>
      <w:r>
        <w:rPr>
          <w:color w:val="231F20"/>
          <w:spacing w:val="-4"/>
        </w:rPr>
        <w:t> </w:t>
      </w:r>
      <w:r>
        <w:rPr>
          <w:color w:val="231F20"/>
        </w:rPr>
        <w:t>geldt</w:t>
      </w:r>
      <w:r>
        <w:rPr>
          <w:color w:val="231F20"/>
          <w:spacing w:val="-3"/>
        </w:rPr>
        <w:t> </w:t>
      </w:r>
      <w:r>
        <w:rPr>
          <w:color w:val="231F20"/>
        </w:rPr>
        <w:t>voor</w:t>
      </w:r>
      <w:r>
        <w:rPr>
          <w:color w:val="231F20"/>
          <w:spacing w:val="-3"/>
        </w:rPr>
        <w:t> </w:t>
      </w:r>
      <w:r>
        <w:rPr>
          <w:color w:val="231F20"/>
        </w:rPr>
        <w:t>een</w:t>
      </w:r>
      <w:r>
        <w:rPr>
          <w:color w:val="231F20"/>
          <w:spacing w:val="-3"/>
        </w:rPr>
        <w:t> </w:t>
      </w:r>
      <w:r>
        <w:rPr>
          <w:color w:val="231F20"/>
        </w:rPr>
        <w:t>termijn</w:t>
      </w:r>
      <w:r>
        <w:rPr>
          <w:color w:val="231F20"/>
          <w:spacing w:val="-3"/>
        </w:rPr>
        <w:t> </w:t>
      </w:r>
      <w:r>
        <w:rPr>
          <w:color w:val="231F20"/>
        </w:rPr>
        <w:t>van</w:t>
      </w:r>
      <w:r>
        <w:rPr>
          <w:color w:val="231F20"/>
          <w:spacing w:val="-3"/>
        </w:rPr>
        <w:t> </w:t>
      </w:r>
      <w:r>
        <w:rPr>
          <w:color w:val="231F20"/>
        </w:rPr>
        <w:t>tien</w:t>
      </w:r>
      <w:r>
        <w:rPr>
          <w:color w:val="231F20"/>
          <w:spacing w:val="-3"/>
        </w:rPr>
        <w:t> jaar, </w:t>
      </w:r>
      <w:r>
        <w:rPr>
          <w:color w:val="231F20"/>
        </w:rPr>
        <w:t>te</w:t>
      </w:r>
      <w:r>
        <w:rPr>
          <w:color w:val="231F20"/>
          <w:spacing w:val="-3"/>
        </w:rPr>
        <w:t> </w:t>
      </w:r>
      <w:r>
        <w:rPr>
          <w:color w:val="231F20"/>
        </w:rPr>
        <w:t>rekenen</w:t>
      </w:r>
      <w:r>
        <w:rPr>
          <w:color w:val="231F20"/>
          <w:spacing w:val="-3"/>
        </w:rPr>
        <w:t> </w:t>
      </w:r>
      <w:r>
        <w:rPr>
          <w:color w:val="231F20"/>
        </w:rPr>
        <w:t>van</w:t>
      </w:r>
      <w:r>
        <w:rPr>
          <w:color w:val="231F20"/>
          <w:spacing w:val="-3"/>
        </w:rPr>
        <w:t> </w:t>
      </w:r>
      <w:r>
        <w:rPr>
          <w:color w:val="231F20"/>
        </w:rPr>
        <w:t>een</w:t>
      </w:r>
      <w:r>
        <w:rPr>
          <w:color w:val="231F20"/>
          <w:spacing w:val="-3"/>
        </w:rPr>
        <w:t> </w:t>
      </w:r>
      <w:r>
        <w:rPr>
          <w:color w:val="231F20"/>
        </w:rPr>
        <w:t>definitief vonnis van veroordeling dan wel van het uitblijven van het tijdig rekening</w:t>
      </w:r>
      <w:r>
        <w:rPr>
          <w:color w:val="231F20"/>
          <w:spacing w:val="16"/>
        </w:rPr>
        <w:t> </w:t>
      </w:r>
      <w:r>
        <w:rPr>
          <w:color w:val="231F20"/>
        </w:rPr>
        <w:t>en</w:t>
      </w:r>
      <w:r>
        <w:rPr>
          <w:color w:val="231F20"/>
          <w:spacing w:val="16"/>
        </w:rPr>
        <w:t> </w:t>
      </w:r>
      <w:r>
        <w:rPr>
          <w:color w:val="231F20"/>
        </w:rPr>
        <w:t>verantwoording</w:t>
      </w:r>
      <w:r>
        <w:rPr>
          <w:color w:val="231F20"/>
          <w:spacing w:val="16"/>
        </w:rPr>
        <w:t> </w:t>
      </w:r>
      <w:r>
        <w:rPr>
          <w:color w:val="231F20"/>
        </w:rPr>
        <w:t>doen</w:t>
      </w:r>
      <w:r>
        <w:rPr>
          <w:color w:val="231F20"/>
          <w:spacing w:val="16"/>
        </w:rPr>
        <w:t> </w:t>
      </w:r>
      <w:r>
        <w:rPr>
          <w:color w:val="231F20"/>
        </w:rPr>
        <w:t>en</w:t>
      </w:r>
      <w:r>
        <w:rPr>
          <w:color w:val="231F20"/>
          <w:spacing w:val="16"/>
        </w:rPr>
        <w:t> </w:t>
      </w:r>
      <w:r>
        <w:rPr>
          <w:color w:val="231F20"/>
        </w:rPr>
        <w:t>tijdig</w:t>
      </w:r>
      <w:r>
        <w:rPr>
          <w:color w:val="231F20"/>
          <w:spacing w:val="16"/>
        </w:rPr>
        <w:t> </w:t>
      </w:r>
      <w:r>
        <w:rPr>
          <w:color w:val="231F20"/>
        </w:rPr>
        <w:t>afrekenen.</w:t>
      </w:r>
    </w:p>
    <w:p>
      <w:pPr>
        <w:pStyle w:val="BodyText"/>
        <w:spacing w:line="218" w:lineRule="auto" w:before="94"/>
        <w:ind w:right="123"/>
      </w:pPr>
      <w:r>
        <w:rPr>
          <w:color w:val="231F20"/>
        </w:rPr>
        <w:t>Tenzij de voorzitter van de bevoegde rechtbank daartoe homologatie verleent, mag evenmin tot vereffenaar worden benoemd eenieder die failliet werd verklaard zonder rehabilitatie te hebben verkregen, alsook wie een gevangenisstraf, zelfs met uitstel, heeft opgelopen wegens een van de strafbare feiten die bedoeld worden in artikel 1 van het koninklijk besluit nr. 22 van 24 oktober 1934 betreffende het rechterlijk verbod aan bepaalde veroordeelden en gefailleerden om bepaalde ambten, beroepen of werkzaamheden uit te oefenen, wegens een inbreuk op Boek III, Titel 3, Hoofdstuk 2 van het Wetboek van economisch recht of op de uitvoeringsbesluiten ervan, of wegens een inbreuk op de fiscale wetgeving.</w:t>
      </w:r>
    </w:p>
    <w:p>
      <w:pPr>
        <w:spacing w:after="0" w:line="218" w:lineRule="auto"/>
        <w:sectPr>
          <w:headerReference w:type="even" r:id="rId23"/>
          <w:headerReference w:type="default" r:id="rId24"/>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032" from="298.170502pt,64.473pt" to="298.170502pt,812.819pt" stroked="true" strokeweight=".533pt" strokecolor="#231f20">
            <v:stroke dashstyle="solid"/>
            <w10:wrap type="none"/>
          </v:line>
        </w:pict>
      </w:r>
      <w:bookmarkStart w:name="_bookmark42" w:id="45"/>
      <w:bookmarkEnd w:id="45"/>
      <w:r>
        <w:rPr/>
      </w:r>
      <w:r>
        <w:rPr>
          <w:color w:val="231F20"/>
        </w:rPr>
        <w:t>La décision de nomination des liquidateurs peut mentionner un ou plusieurs candidats liquidateurs alternatifs, éventuellement classés par ordre de préférence, pour le cas où la nomination d’un liquidateur n’est pas confirmée ou homologuée par le président du tribunal. Si le président du tribunal compétent refuse de procéder à l’homologation ou à la confirmation, il désigne un de ces candidats alternatifs comme liquidateur. Si aucun des candidats ne satisfait aux conditions décrites dans le présent article, le président du tribunal désigne lui-même un liquidateur.</w:t>
      </w:r>
    </w:p>
    <w:p>
      <w:pPr>
        <w:pStyle w:val="BodyText"/>
        <w:spacing w:line="218" w:lineRule="auto" w:before="96"/>
        <w:ind w:right="38"/>
      </w:pPr>
      <w:r>
        <w:rPr>
          <w:color w:val="231F20"/>
        </w:rPr>
        <w:t>Le président du tribunal est saisi par requête unilatérale de l’association, déposée conformément aux articles 1025 et suivants du Code judiciaire. La requête unilatérale est signée par les liquidateurs, par un avocat, par un notaire ou par un administrateur de l’association. Le président du tribunal statue au plus tard dans les cinq jours ouvrables du dépôt de la requête.</w:t>
      </w:r>
    </w:p>
    <w:p>
      <w:pPr>
        <w:pStyle w:val="BodyText"/>
        <w:ind w:left="0" w:right="0" w:firstLine="0"/>
        <w:jc w:val="left"/>
        <w:rPr>
          <w:sz w:val="24"/>
        </w:rPr>
      </w:pPr>
    </w:p>
    <w:p>
      <w:pPr>
        <w:pStyle w:val="BodyText"/>
        <w:spacing w:line="218" w:lineRule="auto"/>
        <w:ind w:right="38"/>
      </w:pPr>
      <w:r>
        <w:rPr>
          <w:color w:val="231F20"/>
        </w:rPr>
        <w:t>Ce délai est suspendu pour la durée de la remise accordée au requérant ou requise après une réouverture des débats. À défaut de décision dans ce délai, la nomination du premier liquidateur désigné est</w:t>
      </w:r>
      <w:r>
        <w:rPr>
          <w:color w:val="231F20"/>
          <w:spacing w:val="15"/>
        </w:rPr>
        <w:t> </w:t>
      </w:r>
      <w:r>
        <w:rPr>
          <w:color w:val="231F20"/>
        </w:rPr>
        <w:t>considérée</w:t>
      </w:r>
      <w:r>
        <w:rPr>
          <w:color w:val="231F20"/>
          <w:spacing w:val="15"/>
        </w:rPr>
        <w:t> </w:t>
      </w:r>
      <w:r>
        <w:rPr>
          <w:color w:val="231F20"/>
        </w:rPr>
        <w:t>comme</w:t>
      </w:r>
      <w:r>
        <w:rPr>
          <w:color w:val="231F20"/>
          <w:spacing w:val="15"/>
        </w:rPr>
        <w:t> </w:t>
      </w:r>
      <w:r>
        <w:rPr>
          <w:color w:val="231F20"/>
        </w:rPr>
        <w:t>confirmée</w:t>
      </w:r>
      <w:r>
        <w:rPr>
          <w:color w:val="231F20"/>
          <w:spacing w:val="16"/>
        </w:rPr>
        <w:t> </w:t>
      </w:r>
      <w:r>
        <w:rPr>
          <w:color w:val="231F20"/>
        </w:rPr>
        <w:t>ou</w:t>
      </w:r>
      <w:r>
        <w:rPr>
          <w:color w:val="231F20"/>
          <w:spacing w:val="15"/>
        </w:rPr>
        <w:t> </w:t>
      </w:r>
      <w:r>
        <w:rPr>
          <w:color w:val="231F20"/>
        </w:rPr>
        <w:t>homologuée.</w:t>
      </w:r>
    </w:p>
    <w:p>
      <w:pPr>
        <w:pStyle w:val="BodyText"/>
        <w:spacing w:before="1"/>
        <w:ind w:left="0" w:right="0" w:firstLine="0"/>
        <w:jc w:val="left"/>
        <w:rPr>
          <w:sz w:val="24"/>
        </w:rPr>
      </w:pPr>
    </w:p>
    <w:p>
      <w:pPr>
        <w:pStyle w:val="BodyText"/>
        <w:spacing w:line="216" w:lineRule="auto"/>
        <w:ind w:right="38"/>
      </w:pPr>
      <w:r>
        <w:rPr>
          <w:color w:val="231F20"/>
        </w:rPr>
        <w:t>Le président du tribunal peut également être saisi sur requête du ministère public ou de tout tiers intéressé, conformément  aux  arti- cles</w:t>
      </w:r>
      <w:r>
        <w:rPr>
          <w:color w:val="231F20"/>
          <w:spacing w:val="14"/>
        </w:rPr>
        <w:t> </w:t>
      </w:r>
      <w:r>
        <w:rPr>
          <w:color w:val="231F20"/>
        </w:rPr>
        <w:t>1034</w:t>
      </w:r>
      <w:r>
        <w:rPr>
          <w:rFonts w:ascii="Times New Roman" w:hAnsi="Times New Roman"/>
          <w:i/>
          <w:color w:val="231F20"/>
        </w:rPr>
        <w:t>bis</w:t>
      </w:r>
      <w:r>
        <w:rPr>
          <w:rFonts w:ascii="Times New Roman" w:hAnsi="Times New Roman"/>
          <w:i/>
          <w:color w:val="231F20"/>
          <w:spacing w:val="14"/>
        </w:rPr>
        <w:t> </w:t>
      </w:r>
      <w:r>
        <w:rPr>
          <w:color w:val="231F20"/>
        </w:rPr>
        <w:t>et</w:t>
      </w:r>
      <w:r>
        <w:rPr>
          <w:color w:val="231F20"/>
          <w:spacing w:val="15"/>
        </w:rPr>
        <w:t> </w:t>
      </w:r>
      <w:r>
        <w:rPr>
          <w:color w:val="231F20"/>
        </w:rPr>
        <w:t>suivants</w:t>
      </w:r>
      <w:r>
        <w:rPr>
          <w:color w:val="231F20"/>
          <w:spacing w:val="15"/>
        </w:rPr>
        <w:t> </w:t>
      </w:r>
      <w:r>
        <w:rPr>
          <w:color w:val="231F20"/>
        </w:rPr>
        <w:t>du</w:t>
      </w:r>
      <w:r>
        <w:rPr>
          <w:color w:val="231F20"/>
          <w:spacing w:val="15"/>
        </w:rPr>
        <w:t> </w:t>
      </w:r>
      <w:r>
        <w:rPr>
          <w:color w:val="231F20"/>
        </w:rPr>
        <w:t>Code</w:t>
      </w:r>
      <w:r>
        <w:rPr>
          <w:color w:val="231F20"/>
          <w:spacing w:val="14"/>
        </w:rPr>
        <w:t> </w:t>
      </w:r>
      <w:r>
        <w:rPr>
          <w:color w:val="231F20"/>
        </w:rPr>
        <w:t>judiciaire.</w:t>
      </w:r>
    </w:p>
    <w:p>
      <w:pPr>
        <w:pStyle w:val="BodyText"/>
        <w:spacing w:before="1"/>
        <w:ind w:left="0" w:right="0" w:firstLine="0"/>
        <w:jc w:val="left"/>
        <w:rPr>
          <w:sz w:val="24"/>
        </w:rPr>
      </w:pPr>
    </w:p>
    <w:p>
      <w:pPr>
        <w:pStyle w:val="BodyText"/>
        <w:spacing w:line="218" w:lineRule="auto"/>
        <w:ind w:right="38"/>
      </w:pPr>
      <w:r>
        <w:rPr>
          <w:color w:val="231F20"/>
        </w:rPr>
        <w:t>Art. 2:120. Le président du tribunal compétent peut, sur requête du ministère public ou de tout tiers intéressé, remplacer un ou plusieurs liquidateurs pour de justes motifs, après les avoir entendus.</w:t>
      </w:r>
    </w:p>
    <w:p>
      <w:pPr>
        <w:pStyle w:val="BodyText"/>
        <w:spacing w:before="8"/>
        <w:ind w:left="0" w:right="0" w:firstLine="0"/>
        <w:jc w:val="left"/>
        <w:rPr>
          <w:sz w:val="22"/>
        </w:rPr>
      </w:pPr>
    </w:p>
    <w:p>
      <w:pPr>
        <w:pStyle w:val="BodyText"/>
        <w:ind w:left="283" w:right="0" w:firstLine="0"/>
        <w:jc w:val="left"/>
      </w:pPr>
      <w:r>
        <w:rPr>
          <w:color w:val="231F20"/>
        </w:rPr>
        <w:t>Sous-section 2. Pouvoirs du liquidateur.</w:t>
      </w:r>
    </w:p>
    <w:p>
      <w:pPr>
        <w:pStyle w:val="BodyText"/>
        <w:spacing w:line="218" w:lineRule="auto" w:before="78"/>
        <w:ind w:right="38"/>
      </w:pPr>
      <w:r>
        <w:rPr>
          <w:color w:val="231F20"/>
        </w:rPr>
        <w:t>Art. 2:121. § 1</w:t>
      </w:r>
      <w:r>
        <w:rPr>
          <w:color w:val="231F20"/>
          <w:position w:val="7"/>
          <w:sz w:val="11"/>
        </w:rPr>
        <w:t>er</w:t>
      </w:r>
      <w:r>
        <w:rPr>
          <w:color w:val="231F20"/>
        </w:rPr>
        <w:t>. Sauf disposition contraire dans les statuts ou dans l’acte de nomination, les liquidateurs ont le pouvoir d’accomplir tous les</w:t>
      </w:r>
      <w:r>
        <w:rPr>
          <w:color w:val="231F20"/>
          <w:spacing w:val="9"/>
        </w:rPr>
        <w:t> </w:t>
      </w:r>
      <w:r>
        <w:rPr>
          <w:color w:val="231F20"/>
        </w:rPr>
        <w:t>actes</w:t>
      </w:r>
      <w:r>
        <w:rPr>
          <w:color w:val="231F20"/>
          <w:spacing w:val="10"/>
        </w:rPr>
        <w:t> </w:t>
      </w:r>
      <w:r>
        <w:rPr>
          <w:color w:val="231F20"/>
        </w:rPr>
        <w:t>nécessaires</w:t>
      </w:r>
      <w:r>
        <w:rPr>
          <w:color w:val="231F20"/>
          <w:spacing w:val="10"/>
        </w:rPr>
        <w:t> </w:t>
      </w:r>
      <w:r>
        <w:rPr>
          <w:color w:val="231F20"/>
        </w:rPr>
        <w:t>ou</w:t>
      </w:r>
      <w:r>
        <w:rPr>
          <w:color w:val="231F20"/>
          <w:spacing w:val="10"/>
        </w:rPr>
        <w:t> </w:t>
      </w:r>
      <w:r>
        <w:rPr>
          <w:color w:val="231F20"/>
        </w:rPr>
        <w:t>utiles</w:t>
      </w:r>
      <w:r>
        <w:rPr>
          <w:color w:val="231F20"/>
          <w:spacing w:val="9"/>
        </w:rPr>
        <w:t> </w:t>
      </w:r>
      <w:r>
        <w:rPr>
          <w:color w:val="231F20"/>
        </w:rPr>
        <w:t>à</w:t>
      </w:r>
      <w:r>
        <w:rPr>
          <w:color w:val="231F20"/>
          <w:spacing w:val="10"/>
        </w:rPr>
        <w:t> </w:t>
      </w:r>
      <w:r>
        <w:rPr>
          <w:color w:val="231F20"/>
        </w:rPr>
        <w:t>la</w:t>
      </w:r>
      <w:r>
        <w:rPr>
          <w:color w:val="231F20"/>
          <w:spacing w:val="10"/>
        </w:rPr>
        <w:t> </w:t>
      </w:r>
      <w:r>
        <w:rPr>
          <w:color w:val="231F20"/>
        </w:rPr>
        <w:t>liquidation</w:t>
      </w:r>
      <w:r>
        <w:rPr>
          <w:color w:val="231F20"/>
          <w:spacing w:val="10"/>
        </w:rPr>
        <w:t> </w:t>
      </w:r>
      <w:r>
        <w:rPr>
          <w:color w:val="231F20"/>
        </w:rPr>
        <w:t>de</w:t>
      </w:r>
      <w:r>
        <w:rPr>
          <w:color w:val="231F20"/>
          <w:spacing w:val="9"/>
        </w:rPr>
        <w:t> </w:t>
      </w:r>
      <w:r>
        <w:rPr>
          <w:color w:val="231F20"/>
        </w:rPr>
        <w:t>l’ASBL</w:t>
      </w:r>
      <w:r>
        <w:rPr>
          <w:color w:val="231F20"/>
          <w:spacing w:val="4"/>
        </w:rPr>
        <w:t> </w:t>
      </w:r>
      <w:r>
        <w:rPr>
          <w:color w:val="231F20"/>
        </w:rPr>
        <w:t>ou</w:t>
      </w:r>
      <w:r>
        <w:rPr>
          <w:color w:val="231F20"/>
          <w:spacing w:val="10"/>
        </w:rPr>
        <w:t> </w:t>
      </w:r>
      <w:r>
        <w:rPr>
          <w:color w:val="231F20"/>
        </w:rPr>
        <w:t>de</w:t>
      </w:r>
      <w:r>
        <w:rPr>
          <w:color w:val="231F20"/>
          <w:spacing w:val="9"/>
        </w:rPr>
        <w:t> </w:t>
      </w:r>
      <w:r>
        <w:rPr>
          <w:color w:val="231F20"/>
        </w:rPr>
        <w:t>l’AISBL.</w:t>
      </w:r>
    </w:p>
    <w:p>
      <w:pPr>
        <w:pStyle w:val="BodyText"/>
        <w:spacing w:line="218" w:lineRule="auto" w:before="96"/>
        <w:ind w:right="38"/>
      </w:pPr>
      <w:r>
        <w:rPr>
          <w:color w:val="231F20"/>
        </w:rPr>
        <w:t>Les statuts ou la décision de nomination peuvent limiter les pouvoirs des liquidateurs. Pareille limitation ne peut être opposée aux tiers, même si elle est publiée.</w:t>
      </w:r>
    </w:p>
    <w:p>
      <w:pPr>
        <w:pStyle w:val="BodyText"/>
        <w:spacing w:line="218" w:lineRule="auto" w:before="96"/>
        <w:ind w:right="38"/>
      </w:pPr>
      <w:r>
        <w:rPr>
          <w:color w:val="231F20"/>
        </w:rPr>
        <w:t>§ 2. Les liquidateurs représentent l’ASBL ou l’AISBL à l’égard des tiers, y compris en justice.</w:t>
      </w:r>
    </w:p>
    <w:p>
      <w:pPr>
        <w:pStyle w:val="BodyText"/>
        <w:spacing w:line="218" w:lineRule="auto" w:before="96"/>
        <w:ind w:right="38"/>
      </w:pPr>
      <w:r>
        <w:rPr>
          <w:color w:val="231F20"/>
        </w:rPr>
        <w:t>Les statuts ou la décision de nomination peuvent apporter des restrictions à ce pouvoir de représentation. Pareilles restrictions ne</w:t>
      </w:r>
      <w:r>
        <w:rPr>
          <w:color w:val="231F20"/>
          <w:spacing w:val="-15"/>
        </w:rPr>
        <w:t> </w:t>
      </w:r>
      <w:r>
        <w:rPr>
          <w:color w:val="231F20"/>
        </w:rPr>
        <w:t>sont pas opposables aux tiers, même si ces restrictions ont été déposées et publiées</w:t>
      </w:r>
      <w:r>
        <w:rPr>
          <w:color w:val="231F20"/>
          <w:spacing w:val="-9"/>
        </w:rPr>
        <w:t> </w:t>
      </w:r>
      <w:r>
        <w:rPr>
          <w:color w:val="231F20"/>
        </w:rPr>
        <w:t>respectivement</w:t>
      </w:r>
      <w:r>
        <w:rPr>
          <w:color w:val="231F20"/>
          <w:spacing w:val="-9"/>
        </w:rPr>
        <w:t> </w:t>
      </w:r>
      <w:r>
        <w:rPr>
          <w:color w:val="231F20"/>
        </w:rPr>
        <w:t>conformément</w:t>
      </w:r>
      <w:r>
        <w:rPr>
          <w:color w:val="231F20"/>
          <w:spacing w:val="-9"/>
        </w:rPr>
        <w:t> </w:t>
      </w:r>
      <w:r>
        <w:rPr>
          <w:color w:val="231F20"/>
        </w:rPr>
        <w:t>aux</w:t>
      </w:r>
      <w:r>
        <w:rPr>
          <w:color w:val="231F20"/>
          <w:spacing w:val="-9"/>
        </w:rPr>
        <w:t> </w:t>
      </w:r>
      <w:r>
        <w:rPr>
          <w:color w:val="231F20"/>
        </w:rPr>
        <w:t>articles</w:t>
      </w:r>
      <w:r>
        <w:rPr>
          <w:color w:val="231F20"/>
          <w:spacing w:val="-9"/>
        </w:rPr>
        <w:t> </w:t>
      </w:r>
      <w:r>
        <w:rPr>
          <w:color w:val="231F20"/>
        </w:rPr>
        <w:t>2:9</w:t>
      </w:r>
      <w:r>
        <w:rPr>
          <w:color w:val="231F20"/>
          <w:spacing w:val="-9"/>
        </w:rPr>
        <w:t> </w:t>
      </w:r>
      <w:r>
        <w:rPr>
          <w:color w:val="231F20"/>
        </w:rPr>
        <w:t>et</w:t>
      </w:r>
      <w:r>
        <w:rPr>
          <w:color w:val="231F20"/>
          <w:spacing w:val="-9"/>
        </w:rPr>
        <w:t> </w:t>
      </w:r>
      <w:r>
        <w:rPr>
          <w:color w:val="231F20"/>
        </w:rPr>
        <w:t>2:15</w:t>
      </w:r>
      <w:r>
        <w:rPr>
          <w:color w:val="231F20"/>
          <w:spacing w:val="-9"/>
        </w:rPr>
        <w:t> </w:t>
      </w:r>
      <w:r>
        <w:rPr>
          <w:color w:val="231F20"/>
        </w:rPr>
        <w:t>ou</w:t>
      </w:r>
      <w:r>
        <w:rPr>
          <w:color w:val="231F20"/>
          <w:spacing w:val="-9"/>
        </w:rPr>
        <w:t> </w:t>
      </w:r>
      <w:r>
        <w:rPr>
          <w:color w:val="231F20"/>
        </w:rPr>
        <w:t>2:10</w:t>
      </w:r>
      <w:r>
        <w:rPr>
          <w:color w:val="231F20"/>
          <w:spacing w:val="-9"/>
        </w:rPr>
        <w:t> </w:t>
      </w:r>
      <w:r>
        <w:rPr>
          <w:color w:val="231F20"/>
        </w:rPr>
        <w:t>et 2:16.</w:t>
      </w:r>
    </w:p>
    <w:p>
      <w:pPr>
        <w:pStyle w:val="BodyText"/>
        <w:spacing w:line="213" w:lineRule="auto" w:before="99"/>
        <w:ind w:right="38"/>
      </w:pPr>
      <w:r>
        <w:rPr>
          <w:color w:val="231F20"/>
        </w:rPr>
        <w:t>§ 3. Les liquidateurs ne peuvent aliéner les immeubles de l’ASBL ou de l’AISBL que s’ils jugent la vente nécessaire au paiement des dettes</w:t>
      </w:r>
      <w:r>
        <w:rPr>
          <w:color w:val="231F20"/>
          <w:spacing w:val="-11"/>
        </w:rPr>
        <w:t> </w:t>
      </w:r>
      <w:r>
        <w:rPr>
          <w:color w:val="231F20"/>
        </w:rPr>
        <w:t>de l’association. Sans préjudice des dispositions de l’article 2:122, § 1</w:t>
      </w:r>
      <w:r>
        <w:rPr>
          <w:color w:val="231F20"/>
          <w:position w:val="7"/>
          <w:sz w:val="11"/>
        </w:rPr>
        <w:t>er</w:t>
      </w:r>
      <w:r>
        <w:rPr>
          <w:color w:val="231F20"/>
        </w:rPr>
        <w:t>, 5°, les</w:t>
      </w:r>
      <w:r>
        <w:rPr>
          <w:color w:val="231F20"/>
          <w:spacing w:val="15"/>
        </w:rPr>
        <w:t> </w:t>
      </w:r>
      <w:r>
        <w:rPr>
          <w:color w:val="231F20"/>
        </w:rPr>
        <w:t>immeubles</w:t>
      </w:r>
      <w:r>
        <w:rPr>
          <w:color w:val="231F20"/>
          <w:spacing w:val="16"/>
        </w:rPr>
        <w:t> </w:t>
      </w:r>
      <w:r>
        <w:rPr>
          <w:color w:val="231F20"/>
        </w:rPr>
        <w:t>sont</w:t>
      </w:r>
      <w:r>
        <w:rPr>
          <w:color w:val="231F20"/>
          <w:spacing w:val="15"/>
        </w:rPr>
        <w:t> </w:t>
      </w:r>
      <w:r>
        <w:rPr>
          <w:color w:val="231F20"/>
        </w:rPr>
        <w:t>toujours</w:t>
      </w:r>
      <w:r>
        <w:rPr>
          <w:color w:val="231F20"/>
          <w:spacing w:val="16"/>
        </w:rPr>
        <w:t> </w:t>
      </w:r>
      <w:r>
        <w:rPr>
          <w:color w:val="231F20"/>
        </w:rPr>
        <w:t>aliénés</w:t>
      </w:r>
      <w:r>
        <w:rPr>
          <w:color w:val="231F20"/>
          <w:spacing w:val="16"/>
        </w:rPr>
        <w:t> </w:t>
      </w:r>
      <w:r>
        <w:rPr>
          <w:color w:val="231F20"/>
        </w:rPr>
        <w:t>par</w:t>
      </w:r>
      <w:r>
        <w:rPr>
          <w:color w:val="231F20"/>
          <w:spacing w:val="15"/>
        </w:rPr>
        <w:t> </w:t>
      </w:r>
      <w:r>
        <w:rPr>
          <w:color w:val="231F20"/>
        </w:rPr>
        <w:t>adjudication</w:t>
      </w:r>
      <w:r>
        <w:rPr>
          <w:color w:val="231F20"/>
          <w:spacing w:val="16"/>
        </w:rPr>
        <w:t> </w:t>
      </w:r>
      <w:r>
        <w:rPr>
          <w:color w:val="231F20"/>
        </w:rPr>
        <w:t>publique.</w:t>
      </w:r>
    </w:p>
    <w:p>
      <w:pPr>
        <w:pStyle w:val="BodyText"/>
        <w:spacing w:before="5"/>
        <w:ind w:left="0" w:right="0" w:firstLine="0"/>
        <w:jc w:val="left"/>
        <w:rPr>
          <w:sz w:val="22"/>
        </w:rPr>
      </w:pPr>
    </w:p>
    <w:p>
      <w:pPr>
        <w:pStyle w:val="BodyText"/>
        <w:spacing w:line="218" w:lineRule="auto"/>
        <w:ind w:right="38"/>
      </w:pPr>
      <w:r>
        <w:rPr>
          <w:color w:val="231F20"/>
        </w:rPr>
        <w:t>Art. 2:122. § 1</w:t>
      </w:r>
      <w:r>
        <w:rPr>
          <w:color w:val="231F20"/>
          <w:position w:val="7"/>
          <w:sz w:val="11"/>
        </w:rPr>
        <w:t>er</w:t>
      </w:r>
      <w:r>
        <w:rPr>
          <w:color w:val="231F20"/>
        </w:rPr>
        <w:t>. Par dérogation à l’article 2:119 et nonobstant toute disposition statutaire contraire, les liquidateurs d’une ASBL ou d’une AISBL ne peuvent accomplir les actes suivants qu’avec l’autorisation de l’assemblée générale ou de l’organe désigné par les statuts conformé- ment à l’article 2:118, § 2:</w:t>
      </w:r>
    </w:p>
    <w:p>
      <w:pPr>
        <w:pStyle w:val="BodyText"/>
        <w:spacing w:before="8"/>
        <w:ind w:left="0" w:right="0" w:firstLine="0"/>
        <w:jc w:val="left"/>
        <w:rPr>
          <w:sz w:val="22"/>
        </w:rPr>
      </w:pPr>
    </w:p>
    <w:p>
      <w:pPr>
        <w:pStyle w:val="BodyText"/>
        <w:ind w:left="283" w:right="0" w:firstLine="0"/>
        <w:jc w:val="left"/>
      </w:pPr>
      <w:r>
        <w:rPr>
          <w:color w:val="231F20"/>
        </w:rPr>
        <w:t>1°</w:t>
      </w:r>
      <w:r>
        <w:rPr>
          <w:color w:val="231F20"/>
          <w:spacing w:val="19"/>
        </w:rPr>
        <w:t> </w:t>
      </w:r>
      <w:r>
        <w:rPr>
          <w:color w:val="231F20"/>
        </w:rPr>
        <w:t>poursuivre</w:t>
      </w:r>
      <w:r>
        <w:rPr>
          <w:color w:val="231F20"/>
          <w:spacing w:val="20"/>
        </w:rPr>
        <w:t> </w:t>
      </w:r>
      <w:r>
        <w:rPr>
          <w:color w:val="231F20"/>
        </w:rPr>
        <w:t>les</w:t>
      </w:r>
      <w:r>
        <w:rPr>
          <w:color w:val="231F20"/>
          <w:spacing w:val="19"/>
        </w:rPr>
        <w:t> </w:t>
      </w:r>
      <w:r>
        <w:rPr>
          <w:color w:val="231F20"/>
        </w:rPr>
        <w:t>activités</w:t>
      </w:r>
      <w:r>
        <w:rPr>
          <w:color w:val="231F20"/>
          <w:spacing w:val="20"/>
        </w:rPr>
        <w:t> </w:t>
      </w:r>
      <w:r>
        <w:rPr>
          <w:color w:val="231F20"/>
        </w:rPr>
        <w:t>jusqu’à</w:t>
      </w:r>
      <w:r>
        <w:rPr>
          <w:color w:val="231F20"/>
          <w:spacing w:val="20"/>
        </w:rPr>
        <w:t> </w:t>
      </w:r>
      <w:r>
        <w:rPr>
          <w:color w:val="231F20"/>
        </w:rPr>
        <w:t>leur</w:t>
      </w:r>
      <w:r>
        <w:rPr>
          <w:color w:val="231F20"/>
          <w:spacing w:val="19"/>
        </w:rPr>
        <w:t> </w:t>
      </w:r>
      <w:r>
        <w:rPr>
          <w:color w:val="231F20"/>
        </w:rPr>
        <w:t>réalisation</w:t>
      </w:r>
      <w:r>
        <w:rPr>
          <w:color w:val="231F20"/>
          <w:spacing w:val="20"/>
        </w:rPr>
        <w:t> </w:t>
      </w:r>
      <w:r>
        <w:rPr>
          <w:color w:val="231F20"/>
        </w:rPr>
        <w:t>éventuelle;</w:t>
      </w:r>
    </w:p>
    <w:p>
      <w:pPr>
        <w:pStyle w:val="BodyText"/>
        <w:spacing w:line="458" w:lineRule="exact" w:before="44"/>
        <w:ind w:left="283" w:right="281" w:hanging="1"/>
        <w:jc w:val="left"/>
      </w:pPr>
      <w:r>
        <w:rPr>
          <w:color w:val="231F20"/>
        </w:rPr>
        <w:t>2° contracter des crédits afin de payer les dettes de l’association; 3°</w:t>
      </w:r>
      <w:r>
        <w:rPr>
          <w:color w:val="231F20"/>
          <w:spacing w:val="16"/>
        </w:rPr>
        <w:t> </w:t>
      </w:r>
      <w:r>
        <w:rPr>
          <w:color w:val="231F20"/>
        </w:rPr>
        <w:t>hypothéquer</w:t>
      </w:r>
      <w:r>
        <w:rPr>
          <w:color w:val="231F20"/>
          <w:spacing w:val="17"/>
        </w:rPr>
        <w:t> </w:t>
      </w:r>
      <w:r>
        <w:rPr>
          <w:color w:val="231F20"/>
        </w:rPr>
        <w:t>ou</w:t>
      </w:r>
      <w:r>
        <w:rPr>
          <w:color w:val="231F20"/>
          <w:spacing w:val="16"/>
        </w:rPr>
        <w:t> </w:t>
      </w:r>
      <w:r>
        <w:rPr>
          <w:color w:val="231F20"/>
        </w:rPr>
        <w:t>donner</w:t>
      </w:r>
      <w:r>
        <w:rPr>
          <w:color w:val="231F20"/>
          <w:spacing w:val="17"/>
        </w:rPr>
        <w:t> </w:t>
      </w:r>
      <w:r>
        <w:rPr>
          <w:color w:val="231F20"/>
        </w:rPr>
        <w:t>en</w:t>
      </w:r>
      <w:r>
        <w:rPr>
          <w:color w:val="231F20"/>
          <w:spacing w:val="16"/>
        </w:rPr>
        <w:t> </w:t>
      </w:r>
      <w:r>
        <w:rPr>
          <w:color w:val="231F20"/>
        </w:rPr>
        <w:t>gage</w:t>
      </w:r>
      <w:r>
        <w:rPr>
          <w:color w:val="231F20"/>
          <w:spacing w:val="17"/>
        </w:rPr>
        <w:t> </w:t>
      </w:r>
      <w:r>
        <w:rPr>
          <w:color w:val="231F20"/>
        </w:rPr>
        <w:t>les</w:t>
      </w:r>
      <w:r>
        <w:rPr>
          <w:color w:val="231F20"/>
          <w:spacing w:val="16"/>
        </w:rPr>
        <w:t> </w:t>
      </w:r>
      <w:r>
        <w:rPr>
          <w:color w:val="231F20"/>
        </w:rPr>
        <w:t>biens</w:t>
      </w:r>
      <w:r>
        <w:rPr>
          <w:color w:val="231F20"/>
          <w:spacing w:val="17"/>
        </w:rPr>
        <w:t> </w:t>
      </w:r>
      <w:r>
        <w:rPr>
          <w:color w:val="231F20"/>
        </w:rPr>
        <w:t>de</w:t>
      </w:r>
      <w:r>
        <w:rPr>
          <w:color w:val="231F20"/>
          <w:spacing w:val="16"/>
        </w:rPr>
        <w:t> </w:t>
      </w:r>
      <w:r>
        <w:rPr>
          <w:color w:val="231F20"/>
        </w:rPr>
        <w:t>l’association;</w:t>
      </w:r>
    </w:p>
    <w:p>
      <w:pPr>
        <w:pStyle w:val="BodyText"/>
        <w:spacing w:line="218" w:lineRule="auto" w:before="49"/>
        <w:ind w:right="38"/>
      </w:pPr>
      <w:r>
        <w:rPr>
          <w:color w:val="231F20"/>
        </w:rPr>
        <w:t>4° aliéner par adjudication publique les immeubles de l’association si les liquidateurs ne les jugent pas nécessaires au paiement des dettes de l’association;</w:t>
      </w:r>
    </w:p>
    <w:p>
      <w:pPr>
        <w:pStyle w:val="BodyText"/>
        <w:spacing w:line="218" w:lineRule="auto" w:before="107"/>
        <w:ind w:right="38"/>
      </w:pPr>
      <w:r>
        <w:rPr>
          <w:color w:val="231F20"/>
        </w:rPr>
        <w:t>5° vendre de gré à gré les immeubles de l’association indépendam- ment du fait qu’ils les jugent ou non nécessaires au paiement des dettes de l’association;</w:t>
      </w:r>
    </w:p>
    <w:p>
      <w:pPr>
        <w:pStyle w:val="BodyText"/>
        <w:spacing w:line="218" w:lineRule="auto" w:before="92"/>
        <w:ind w:right="38"/>
      </w:pPr>
      <w:r>
        <w:rPr>
          <w:color w:val="231F20"/>
        </w:rPr>
        <w:t>L’autorisation visée à l’alinéa 1</w:t>
      </w:r>
      <w:r>
        <w:rPr>
          <w:color w:val="231F20"/>
          <w:position w:val="7"/>
          <w:sz w:val="11"/>
        </w:rPr>
        <w:t>er </w:t>
      </w:r>
      <w:r>
        <w:rPr>
          <w:color w:val="231F20"/>
        </w:rPr>
        <w:t>peut être accordée tant dans la décision de nomination des liquidateurs que dans une décision distincte</w:t>
      </w:r>
      <w:r>
        <w:rPr>
          <w:color w:val="231F20"/>
          <w:spacing w:val="14"/>
        </w:rPr>
        <w:t> </w:t>
      </w:r>
      <w:r>
        <w:rPr>
          <w:color w:val="231F20"/>
        </w:rPr>
        <w:t>ultérieure.</w:t>
      </w:r>
    </w:p>
    <w:p>
      <w:pPr>
        <w:pStyle w:val="BodyText"/>
        <w:spacing w:line="201" w:lineRule="auto" w:before="118"/>
        <w:ind w:right="39"/>
      </w:pPr>
      <w:r>
        <w:rPr>
          <w:color w:val="231F20"/>
        </w:rPr>
        <w:t>§ 2. En cas d’application de l’article 2:118, § 4, l’autorisation visée au paragraphe 1</w:t>
      </w:r>
      <w:r>
        <w:rPr>
          <w:color w:val="231F20"/>
          <w:position w:val="7"/>
          <w:sz w:val="11"/>
        </w:rPr>
        <w:t>er </w:t>
      </w:r>
      <w:r>
        <w:rPr>
          <w:color w:val="231F20"/>
        </w:rPr>
        <w:t>peut être accordée par le tribunal.</w:t>
      </w:r>
    </w:p>
    <w:p>
      <w:pPr>
        <w:pStyle w:val="BodyText"/>
        <w:spacing w:before="94"/>
        <w:ind w:left="283" w:right="0" w:firstLine="0"/>
        <w:jc w:val="left"/>
      </w:pPr>
      <w:r>
        <w:rPr>
          <w:color w:val="231F20"/>
        </w:rPr>
        <w:t>Sous-section 3. Collège des liquidateurs.</w:t>
      </w:r>
    </w:p>
    <w:p>
      <w:pPr>
        <w:pStyle w:val="BodyText"/>
        <w:spacing w:line="218" w:lineRule="auto" w:before="103"/>
        <w:ind w:right="38"/>
      </w:pPr>
      <w:r>
        <w:rPr>
          <w:color w:val="231F20"/>
        </w:rPr>
        <w:t>Art. 2:123. Si plusieurs liquidateurs sont nommés, ils forment</w:t>
      </w:r>
      <w:r>
        <w:rPr>
          <w:color w:val="231F20"/>
          <w:spacing w:val="20"/>
        </w:rPr>
        <w:t> </w:t>
      </w:r>
      <w:r>
        <w:rPr>
          <w:color w:val="231F20"/>
        </w:rPr>
        <w:t>un collège qui délibère et  prend  des  décisions  conformément  à  l’arti-  cle</w:t>
      </w:r>
      <w:r>
        <w:rPr>
          <w:color w:val="231F20"/>
          <w:spacing w:val="14"/>
        </w:rPr>
        <w:t> </w:t>
      </w:r>
      <w:r>
        <w:rPr>
          <w:color w:val="231F20"/>
        </w:rPr>
        <w:t>2:41.</w:t>
      </w:r>
    </w:p>
    <w:p>
      <w:pPr>
        <w:pStyle w:val="BodyText"/>
        <w:spacing w:line="218" w:lineRule="auto" w:before="119"/>
      </w:pPr>
      <w:r>
        <w:rPr/>
        <w:br w:type="column"/>
      </w:r>
      <w:r>
        <w:rPr>
          <w:color w:val="231F20"/>
        </w:rPr>
        <w:t>Het benoemingsbesluit van de vereffenaars kan één of meer alterna- tieve kandidaat-vereffenaars bevatten, eventueel in volgorde van voorkeur, voor het geval de benoeming van een vereffenaar niet wordt bevestigd of gehomologeerd door de voorzitter van de rechtbank. Zo   de voorzitter van de bevoegde rechtbank weigert over te gaan tot homologatie of bevestiging, wijst hij één van deze alternatieve kandi- daten aan als </w:t>
      </w:r>
      <w:r>
        <w:rPr>
          <w:color w:val="231F20"/>
          <w:spacing w:val="-3"/>
        </w:rPr>
        <w:t>vereffenaar. Voldoet </w:t>
      </w:r>
      <w:r>
        <w:rPr>
          <w:color w:val="231F20"/>
        </w:rPr>
        <w:t>geen enkele van de kandidaten aan  de in dit artikel omschreven voorwaarden, dan wijst de voorzitter van de</w:t>
      </w:r>
      <w:r>
        <w:rPr>
          <w:color w:val="231F20"/>
          <w:spacing w:val="14"/>
        </w:rPr>
        <w:t> </w:t>
      </w:r>
      <w:r>
        <w:rPr>
          <w:color w:val="231F20"/>
        </w:rPr>
        <w:t>rechtbank</w:t>
      </w:r>
      <w:r>
        <w:rPr>
          <w:color w:val="231F20"/>
          <w:spacing w:val="15"/>
        </w:rPr>
        <w:t> </w:t>
      </w:r>
      <w:r>
        <w:rPr>
          <w:color w:val="231F20"/>
        </w:rPr>
        <w:t>zelf</w:t>
      </w:r>
      <w:r>
        <w:rPr>
          <w:color w:val="231F20"/>
          <w:spacing w:val="15"/>
        </w:rPr>
        <w:t> </w:t>
      </w:r>
      <w:r>
        <w:rPr>
          <w:color w:val="231F20"/>
        </w:rPr>
        <w:t>een</w:t>
      </w:r>
      <w:r>
        <w:rPr>
          <w:color w:val="231F20"/>
          <w:spacing w:val="15"/>
        </w:rPr>
        <w:t> </w:t>
      </w:r>
      <w:r>
        <w:rPr>
          <w:color w:val="231F20"/>
        </w:rPr>
        <w:t>vereffenaar</w:t>
      </w:r>
      <w:r>
        <w:rPr>
          <w:color w:val="231F20"/>
          <w:spacing w:val="15"/>
        </w:rPr>
        <w:t> </w:t>
      </w:r>
      <w:r>
        <w:rPr>
          <w:color w:val="231F20"/>
        </w:rPr>
        <w:t>aan.</w:t>
      </w:r>
    </w:p>
    <w:p>
      <w:pPr>
        <w:pStyle w:val="BodyText"/>
        <w:spacing w:line="218" w:lineRule="auto" w:before="97"/>
      </w:pPr>
      <w:r>
        <w:rPr>
          <w:color w:val="231F20"/>
        </w:rPr>
        <w:t>De voorzitter van de rechtbank wordt aangezocht bij eenzijdig verzoekschrift van de vereniging, dat wordt ingediend overeenkomstig de artikelen 1025 en volgende van het Gerechtelijk Wetboek. Het eenzijdig verzoekschrift wordt ondertekend door de vereffenaars, door een advocaat, door een notaris dan wel door een bestuurder van de vereniging. De voorzitter van de rechtbank doet uitspraak uiterlijk binnen vijf werkdagen nadat het verzoekschrift is ingediend.</w:t>
      </w:r>
    </w:p>
    <w:p>
      <w:pPr>
        <w:pStyle w:val="BodyText"/>
        <w:spacing w:line="218" w:lineRule="auto" w:before="97"/>
      </w:pPr>
      <w:r>
        <w:rPr>
          <w:color w:val="231F20"/>
        </w:rPr>
        <w:t>Deze termijn wordt opgeschort voor de duur van het uitstel aan de verzoeker toegekend of vereist na een heropening van de debatten. Bij gebrek aan een uitspraak binnen deze termijn wordt de benoeming van de eerst aangewezen vereffenaar beschouwd als zijnde bevestigd dan wel gehomologeerd.</w:t>
      </w:r>
    </w:p>
    <w:p>
      <w:pPr>
        <w:pStyle w:val="BodyText"/>
        <w:spacing w:line="218" w:lineRule="auto" w:before="96"/>
      </w:pPr>
      <w:r>
        <w:rPr>
          <w:color w:val="231F20"/>
        </w:rPr>
        <w:t>De voorzitter van de rechtbank kan eveneens worden aangezocht bij verzoekschrift van het openbaar ministerie dan wel van iedere belanghebbende derde, overeenkomstig de artikelen 1034</w:t>
      </w:r>
      <w:r>
        <w:rPr>
          <w:rFonts w:ascii="Times New Roman"/>
          <w:i/>
          <w:color w:val="231F20"/>
        </w:rPr>
        <w:t>bis </w:t>
      </w:r>
      <w:r>
        <w:rPr>
          <w:color w:val="231F20"/>
        </w:rPr>
        <w:t>en vol- gende van het Gerechtelijk Wetboek.</w:t>
      </w:r>
    </w:p>
    <w:p>
      <w:pPr>
        <w:pStyle w:val="BodyText"/>
        <w:spacing w:line="218" w:lineRule="auto" w:before="94"/>
      </w:pPr>
      <w:r>
        <w:rPr>
          <w:color w:val="231F20"/>
        </w:rPr>
        <w:t>Art. 2:120. De voorzitter van de bevoegde rechtbank kan op verzoek van het openbaar ministerie of van iedere belanghebbende derde één of meer vereffenaars vervangen wegens wettige reden, na hen te hebben gehoord.</w:t>
      </w:r>
    </w:p>
    <w:p>
      <w:pPr>
        <w:pStyle w:val="BodyText"/>
        <w:spacing w:before="82"/>
        <w:ind w:left="283" w:right="0" w:firstLine="0"/>
        <w:jc w:val="left"/>
      </w:pPr>
      <w:r>
        <w:rPr>
          <w:color w:val="231F20"/>
        </w:rPr>
        <w:t>Onderafdeling 2. Bevoegdheden van de vereffenaar.</w:t>
      </w:r>
    </w:p>
    <w:p>
      <w:pPr>
        <w:pStyle w:val="BodyText"/>
        <w:spacing w:line="218" w:lineRule="auto" w:before="93"/>
      </w:pPr>
      <w:r>
        <w:rPr>
          <w:color w:val="231F20"/>
        </w:rPr>
        <w:t>Art. 2:121. § 1. </w:t>
      </w:r>
      <w:r>
        <w:rPr>
          <w:color w:val="231F20"/>
          <w:spacing w:val="-3"/>
        </w:rPr>
        <w:t>Tenzij </w:t>
      </w:r>
      <w:r>
        <w:rPr>
          <w:color w:val="231F20"/>
        </w:rPr>
        <w:t>de statuten of de akte van benoeming anders bepalen, zijn de vereffenaars bevoegd voor alle handelingen die nodig of</w:t>
      </w:r>
      <w:r>
        <w:rPr>
          <w:color w:val="231F20"/>
          <w:spacing w:val="19"/>
        </w:rPr>
        <w:t> </w:t>
      </w:r>
      <w:r>
        <w:rPr>
          <w:color w:val="231F20"/>
        </w:rPr>
        <w:t>dienstig</w:t>
      </w:r>
      <w:r>
        <w:rPr>
          <w:color w:val="231F20"/>
          <w:spacing w:val="19"/>
        </w:rPr>
        <w:t> </w:t>
      </w:r>
      <w:r>
        <w:rPr>
          <w:color w:val="231F20"/>
        </w:rPr>
        <w:t>zijn</w:t>
      </w:r>
      <w:r>
        <w:rPr>
          <w:color w:val="231F20"/>
          <w:spacing w:val="20"/>
        </w:rPr>
        <w:t> </w:t>
      </w:r>
      <w:r>
        <w:rPr>
          <w:color w:val="231F20"/>
        </w:rPr>
        <w:t>voor</w:t>
      </w:r>
      <w:r>
        <w:rPr>
          <w:color w:val="231F20"/>
          <w:spacing w:val="19"/>
        </w:rPr>
        <w:t> </w:t>
      </w:r>
      <w:r>
        <w:rPr>
          <w:color w:val="231F20"/>
        </w:rPr>
        <w:t>de</w:t>
      </w:r>
      <w:r>
        <w:rPr>
          <w:color w:val="231F20"/>
          <w:spacing w:val="20"/>
        </w:rPr>
        <w:t> </w:t>
      </w:r>
      <w:r>
        <w:rPr>
          <w:color w:val="231F20"/>
        </w:rPr>
        <w:t>vereffening</w:t>
      </w:r>
      <w:r>
        <w:rPr>
          <w:color w:val="231F20"/>
          <w:spacing w:val="19"/>
        </w:rPr>
        <w:t> </w:t>
      </w:r>
      <w:r>
        <w:rPr>
          <w:color w:val="231F20"/>
        </w:rPr>
        <w:t>van</w:t>
      </w:r>
      <w:r>
        <w:rPr>
          <w:color w:val="231F20"/>
          <w:spacing w:val="19"/>
        </w:rPr>
        <w:t> </w:t>
      </w:r>
      <w:r>
        <w:rPr>
          <w:color w:val="231F20"/>
        </w:rPr>
        <w:t>de</w:t>
      </w:r>
      <w:r>
        <w:rPr>
          <w:color w:val="231F20"/>
          <w:spacing w:val="20"/>
        </w:rPr>
        <w:t> </w:t>
      </w:r>
      <w:r>
        <w:rPr>
          <w:color w:val="231F20"/>
        </w:rPr>
        <w:t>VZW</w:t>
      </w:r>
      <w:r>
        <w:rPr>
          <w:color w:val="231F20"/>
          <w:spacing w:val="19"/>
        </w:rPr>
        <w:t> </w:t>
      </w:r>
      <w:r>
        <w:rPr>
          <w:color w:val="231F20"/>
        </w:rPr>
        <w:t>of</w:t>
      </w:r>
      <w:r>
        <w:rPr>
          <w:color w:val="231F20"/>
          <w:spacing w:val="20"/>
        </w:rPr>
        <w:t> </w:t>
      </w:r>
      <w:r>
        <w:rPr>
          <w:color w:val="231F20"/>
        </w:rPr>
        <w:t>de</w:t>
      </w:r>
      <w:r>
        <w:rPr>
          <w:color w:val="231F20"/>
          <w:spacing w:val="19"/>
        </w:rPr>
        <w:t> </w:t>
      </w:r>
      <w:r>
        <w:rPr>
          <w:color w:val="231F20"/>
          <w:spacing w:val="-4"/>
        </w:rPr>
        <w:t>IVZW.</w:t>
      </w:r>
    </w:p>
    <w:p>
      <w:pPr>
        <w:pStyle w:val="BodyText"/>
        <w:spacing w:line="218" w:lineRule="auto" w:before="96"/>
      </w:pPr>
      <w:r>
        <w:rPr>
          <w:color w:val="231F20"/>
        </w:rPr>
        <w:t>De statuten of het benoemingsbesluit kunnen de bevoegdheden van de vereffenaars beperken. Zodanig beperking kan aan derden niet worden tegengeworpen, ook al is ze openbaar gemaakt.</w:t>
      </w:r>
    </w:p>
    <w:p>
      <w:pPr>
        <w:pStyle w:val="BodyText"/>
        <w:spacing w:line="218" w:lineRule="auto" w:before="96"/>
      </w:pPr>
      <w:r>
        <w:rPr>
          <w:color w:val="231F20"/>
          <w:w w:val="105"/>
        </w:rPr>
        <w:t>§</w:t>
      </w:r>
      <w:r>
        <w:rPr>
          <w:color w:val="231F20"/>
          <w:spacing w:val="-8"/>
          <w:w w:val="105"/>
        </w:rPr>
        <w:t> </w:t>
      </w:r>
      <w:r>
        <w:rPr>
          <w:color w:val="231F20"/>
          <w:w w:val="105"/>
        </w:rPr>
        <w:t>2.</w:t>
      </w:r>
      <w:r>
        <w:rPr>
          <w:color w:val="231F20"/>
          <w:spacing w:val="-7"/>
          <w:w w:val="105"/>
        </w:rPr>
        <w:t> </w:t>
      </w:r>
      <w:r>
        <w:rPr>
          <w:color w:val="231F20"/>
          <w:w w:val="105"/>
        </w:rPr>
        <w:t>De</w:t>
      </w:r>
      <w:r>
        <w:rPr>
          <w:color w:val="231F20"/>
          <w:spacing w:val="-8"/>
          <w:w w:val="105"/>
        </w:rPr>
        <w:t> </w:t>
      </w:r>
      <w:r>
        <w:rPr>
          <w:color w:val="231F20"/>
          <w:w w:val="105"/>
        </w:rPr>
        <w:t>vereffenaars</w:t>
      </w:r>
      <w:r>
        <w:rPr>
          <w:color w:val="231F20"/>
          <w:spacing w:val="-7"/>
          <w:w w:val="105"/>
        </w:rPr>
        <w:t> </w:t>
      </w:r>
      <w:r>
        <w:rPr>
          <w:color w:val="231F20"/>
          <w:w w:val="105"/>
        </w:rPr>
        <w:t>vertegenwoordigen</w:t>
      </w:r>
      <w:r>
        <w:rPr>
          <w:color w:val="231F20"/>
          <w:spacing w:val="-8"/>
          <w:w w:val="105"/>
        </w:rPr>
        <w:t> </w:t>
      </w:r>
      <w:r>
        <w:rPr>
          <w:color w:val="231F20"/>
          <w:w w:val="105"/>
        </w:rPr>
        <w:t>de</w:t>
      </w:r>
      <w:r>
        <w:rPr>
          <w:color w:val="231F20"/>
          <w:spacing w:val="-7"/>
          <w:w w:val="105"/>
        </w:rPr>
        <w:t> </w:t>
      </w:r>
      <w:r>
        <w:rPr>
          <w:color w:val="231F20"/>
          <w:w w:val="105"/>
        </w:rPr>
        <w:t>VZW</w:t>
      </w:r>
      <w:r>
        <w:rPr>
          <w:color w:val="231F20"/>
          <w:spacing w:val="-8"/>
          <w:w w:val="105"/>
        </w:rPr>
        <w:t> </w:t>
      </w:r>
      <w:r>
        <w:rPr>
          <w:color w:val="231F20"/>
          <w:w w:val="105"/>
        </w:rPr>
        <w:t>of</w:t>
      </w:r>
      <w:r>
        <w:rPr>
          <w:color w:val="231F20"/>
          <w:spacing w:val="-7"/>
          <w:w w:val="105"/>
        </w:rPr>
        <w:t> </w:t>
      </w:r>
      <w:r>
        <w:rPr>
          <w:color w:val="231F20"/>
          <w:w w:val="105"/>
        </w:rPr>
        <w:t>de</w:t>
      </w:r>
      <w:r>
        <w:rPr>
          <w:color w:val="231F20"/>
          <w:spacing w:val="-8"/>
          <w:w w:val="105"/>
        </w:rPr>
        <w:t> </w:t>
      </w:r>
      <w:r>
        <w:rPr>
          <w:color w:val="231F20"/>
          <w:w w:val="105"/>
        </w:rPr>
        <w:t>IVZW</w:t>
      </w:r>
      <w:r>
        <w:rPr>
          <w:color w:val="231F20"/>
          <w:spacing w:val="-7"/>
          <w:w w:val="105"/>
        </w:rPr>
        <w:t> </w:t>
      </w:r>
      <w:r>
        <w:rPr>
          <w:color w:val="231F20"/>
          <w:w w:val="105"/>
        </w:rPr>
        <w:t>jegens derden, met inbegrip van de vertegenwoordiging in</w:t>
      </w:r>
      <w:r>
        <w:rPr>
          <w:color w:val="231F20"/>
          <w:spacing w:val="41"/>
          <w:w w:val="105"/>
        </w:rPr>
        <w:t> </w:t>
      </w:r>
      <w:r>
        <w:rPr>
          <w:color w:val="231F20"/>
          <w:w w:val="105"/>
        </w:rPr>
        <w:t>rechte.</w:t>
      </w:r>
    </w:p>
    <w:p>
      <w:pPr>
        <w:pStyle w:val="BodyText"/>
        <w:spacing w:line="218" w:lineRule="auto" w:before="96"/>
        <w:ind w:right="122"/>
      </w:pPr>
      <w:r>
        <w:rPr>
          <w:color w:val="231F20"/>
        </w:rPr>
        <w:t>De</w:t>
      </w:r>
      <w:r>
        <w:rPr>
          <w:color w:val="231F20"/>
          <w:spacing w:val="-7"/>
        </w:rPr>
        <w:t> </w:t>
      </w:r>
      <w:r>
        <w:rPr>
          <w:color w:val="231F20"/>
        </w:rPr>
        <w:t>statuten</w:t>
      </w:r>
      <w:r>
        <w:rPr>
          <w:color w:val="231F20"/>
          <w:spacing w:val="-6"/>
        </w:rPr>
        <w:t> </w:t>
      </w:r>
      <w:r>
        <w:rPr>
          <w:color w:val="231F20"/>
        </w:rPr>
        <w:t>of</w:t>
      </w:r>
      <w:r>
        <w:rPr>
          <w:color w:val="231F20"/>
          <w:spacing w:val="-6"/>
        </w:rPr>
        <w:t> </w:t>
      </w:r>
      <w:r>
        <w:rPr>
          <w:color w:val="231F20"/>
        </w:rPr>
        <w:t>het</w:t>
      </w:r>
      <w:r>
        <w:rPr>
          <w:color w:val="231F20"/>
          <w:spacing w:val="-6"/>
        </w:rPr>
        <w:t> </w:t>
      </w:r>
      <w:r>
        <w:rPr>
          <w:color w:val="231F20"/>
        </w:rPr>
        <w:t>benoemingsbesluit</w:t>
      </w:r>
      <w:r>
        <w:rPr>
          <w:color w:val="231F20"/>
          <w:spacing w:val="-6"/>
        </w:rPr>
        <w:t> </w:t>
      </w:r>
      <w:r>
        <w:rPr>
          <w:color w:val="231F20"/>
        </w:rPr>
        <w:t>kunnen</w:t>
      </w:r>
      <w:r>
        <w:rPr>
          <w:color w:val="231F20"/>
          <w:spacing w:val="-6"/>
        </w:rPr>
        <w:t> </w:t>
      </w:r>
      <w:r>
        <w:rPr>
          <w:color w:val="231F20"/>
        </w:rPr>
        <w:t>aan</w:t>
      </w:r>
      <w:r>
        <w:rPr>
          <w:color w:val="231F20"/>
          <w:spacing w:val="-6"/>
        </w:rPr>
        <w:t> </w:t>
      </w:r>
      <w:r>
        <w:rPr>
          <w:color w:val="231F20"/>
        </w:rPr>
        <w:t>deze</w:t>
      </w:r>
      <w:r>
        <w:rPr>
          <w:color w:val="231F20"/>
          <w:spacing w:val="-6"/>
        </w:rPr>
        <w:t> </w:t>
      </w:r>
      <w:r>
        <w:rPr>
          <w:color w:val="231F20"/>
        </w:rPr>
        <w:t>vertegenwoor- digingsbevoegdheid beperkingen aanbrengen. Zodanige  beperking  kan aan derden niet worden tegengeworpen, ook al is die beperking neergelegd en bekendgemaakt overeenkomstig respectievelijk de arti- kelen</w:t>
      </w:r>
      <w:r>
        <w:rPr>
          <w:color w:val="231F20"/>
          <w:spacing w:val="13"/>
        </w:rPr>
        <w:t> </w:t>
      </w:r>
      <w:r>
        <w:rPr>
          <w:color w:val="231F20"/>
        </w:rPr>
        <w:t>2:9</w:t>
      </w:r>
      <w:r>
        <w:rPr>
          <w:color w:val="231F20"/>
          <w:spacing w:val="13"/>
        </w:rPr>
        <w:t> </w:t>
      </w:r>
      <w:r>
        <w:rPr>
          <w:color w:val="231F20"/>
        </w:rPr>
        <w:t>en</w:t>
      </w:r>
      <w:r>
        <w:rPr>
          <w:color w:val="231F20"/>
          <w:spacing w:val="14"/>
        </w:rPr>
        <w:t> </w:t>
      </w:r>
      <w:r>
        <w:rPr>
          <w:color w:val="231F20"/>
        </w:rPr>
        <w:t>2:15</w:t>
      </w:r>
      <w:r>
        <w:rPr>
          <w:color w:val="231F20"/>
          <w:spacing w:val="13"/>
        </w:rPr>
        <w:t> </w:t>
      </w:r>
      <w:r>
        <w:rPr>
          <w:color w:val="231F20"/>
        </w:rPr>
        <w:t>of</w:t>
      </w:r>
      <w:r>
        <w:rPr>
          <w:color w:val="231F20"/>
          <w:spacing w:val="14"/>
        </w:rPr>
        <w:t> </w:t>
      </w:r>
      <w:r>
        <w:rPr>
          <w:color w:val="231F20"/>
        </w:rPr>
        <w:t>2:10</w:t>
      </w:r>
      <w:r>
        <w:rPr>
          <w:color w:val="231F20"/>
          <w:spacing w:val="13"/>
        </w:rPr>
        <w:t> </w:t>
      </w:r>
      <w:r>
        <w:rPr>
          <w:color w:val="231F20"/>
        </w:rPr>
        <w:t>en</w:t>
      </w:r>
      <w:r>
        <w:rPr>
          <w:color w:val="231F20"/>
          <w:spacing w:val="14"/>
        </w:rPr>
        <w:t> </w:t>
      </w:r>
      <w:r>
        <w:rPr>
          <w:color w:val="231F20"/>
        </w:rPr>
        <w:t>2:16.</w:t>
      </w:r>
    </w:p>
    <w:p>
      <w:pPr>
        <w:pStyle w:val="BodyText"/>
        <w:spacing w:line="218" w:lineRule="auto" w:before="97"/>
      </w:pPr>
      <w:r>
        <w:rPr>
          <w:color w:val="231F20"/>
        </w:rPr>
        <w:t>§ 3. De vereffenaars kunnen de onroerende goederen van de VZW of van de IVZW enkel verkopen indien zij de verkoop nodig achten voor de betaling van de schulden van de vereniging. Onverminderd wat is bepaald in artikel 2:122, § 1, 5°, worden de onroerende goederen steeds openbaar</w:t>
      </w:r>
      <w:r>
        <w:rPr>
          <w:color w:val="231F20"/>
          <w:spacing w:val="15"/>
        </w:rPr>
        <w:t> </w:t>
      </w:r>
      <w:r>
        <w:rPr>
          <w:color w:val="231F20"/>
        </w:rPr>
        <w:t>verkocht.</w:t>
      </w:r>
    </w:p>
    <w:p>
      <w:pPr>
        <w:pStyle w:val="BodyText"/>
        <w:spacing w:line="218" w:lineRule="auto" w:before="96"/>
      </w:pPr>
      <w:r>
        <w:rPr>
          <w:color w:val="231F20"/>
        </w:rPr>
        <w:t>Art. 2:122. § 1. In afwijking van artikel 2:119 en niettegenstaande andersluidende statutaire bepaling kunnen de vereffenaars van een VZW of van een IVZW de volgende handelingen enkel stellen met machtiging van de algemene vergadering respectievelijk het door de statuten aangewezen orgaan, verleend overeenkomstig artikel 2:118,</w:t>
      </w:r>
    </w:p>
    <w:p>
      <w:pPr>
        <w:pStyle w:val="BodyText"/>
        <w:spacing w:line="180" w:lineRule="exact"/>
        <w:ind w:right="0" w:firstLine="0"/>
        <w:jc w:val="left"/>
      </w:pPr>
      <w:r>
        <w:rPr>
          <w:color w:val="231F20"/>
        </w:rPr>
        <w:t>§ 2:</w:t>
      </w:r>
    </w:p>
    <w:p>
      <w:pPr>
        <w:pStyle w:val="BodyText"/>
        <w:spacing w:line="218" w:lineRule="auto" w:before="93"/>
      </w:pPr>
      <w:r>
        <w:rPr>
          <w:color w:val="231F20"/>
        </w:rPr>
        <w:t>1° de voortzetting van de activiteiten tot de gebeurlijke tegeldema- king</w:t>
      </w:r>
      <w:r>
        <w:rPr>
          <w:color w:val="231F20"/>
          <w:spacing w:val="15"/>
        </w:rPr>
        <w:t> </w:t>
      </w:r>
      <w:r>
        <w:rPr>
          <w:color w:val="231F20"/>
        </w:rPr>
        <w:t>ervan;</w:t>
      </w:r>
    </w:p>
    <w:p>
      <w:pPr>
        <w:pStyle w:val="BodyText"/>
        <w:spacing w:line="218" w:lineRule="auto" w:before="96"/>
      </w:pPr>
      <w:r>
        <w:rPr>
          <w:color w:val="231F20"/>
        </w:rPr>
        <w:t>2° kredieten aangaan voor de betaling van de schulden van de vereniging;</w:t>
      </w:r>
    </w:p>
    <w:p>
      <w:pPr>
        <w:pStyle w:val="BodyText"/>
        <w:spacing w:line="280" w:lineRule="atLeast" w:before="6"/>
        <w:ind w:left="283" w:right="345" w:hanging="1"/>
        <w:jc w:val="left"/>
      </w:pPr>
      <w:r>
        <w:rPr>
          <w:color w:val="231F20"/>
        </w:rPr>
        <w:t>3° de goederen van de vereniging hypothekeren of in pand geven;    4° de openbare verkoop van de onroerende goederen van</w:t>
      </w:r>
      <w:r>
        <w:rPr>
          <w:color w:val="231F20"/>
          <w:spacing w:val="3"/>
        </w:rPr>
        <w:t> </w:t>
      </w:r>
      <w:r>
        <w:rPr>
          <w:color w:val="231F20"/>
        </w:rPr>
        <w:t>de</w:t>
      </w:r>
    </w:p>
    <w:p>
      <w:pPr>
        <w:pStyle w:val="BodyText"/>
        <w:spacing w:line="218" w:lineRule="auto"/>
        <w:ind w:right="183" w:firstLine="0"/>
        <w:jc w:val="left"/>
      </w:pPr>
      <w:r>
        <w:rPr>
          <w:color w:val="231F20"/>
        </w:rPr>
        <w:t>vereniging, indien de vereffenaars deze niet nodig achten voor de betaling</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schulden</w:t>
      </w:r>
      <w:r>
        <w:rPr>
          <w:color w:val="231F20"/>
          <w:spacing w:val="17"/>
        </w:rPr>
        <w:t> </w:t>
      </w:r>
      <w:r>
        <w:rPr>
          <w:color w:val="231F20"/>
        </w:rPr>
        <w:t>van</w:t>
      </w:r>
      <w:r>
        <w:rPr>
          <w:color w:val="231F20"/>
          <w:spacing w:val="16"/>
        </w:rPr>
        <w:t> </w:t>
      </w:r>
      <w:r>
        <w:rPr>
          <w:color w:val="231F20"/>
        </w:rPr>
        <w:t>de</w:t>
      </w:r>
      <w:r>
        <w:rPr>
          <w:color w:val="231F20"/>
          <w:spacing w:val="16"/>
        </w:rPr>
        <w:t> </w:t>
      </w:r>
      <w:r>
        <w:rPr>
          <w:color w:val="231F20"/>
        </w:rPr>
        <w:t>vereniging;</w:t>
      </w:r>
    </w:p>
    <w:p>
      <w:pPr>
        <w:pStyle w:val="BodyText"/>
        <w:spacing w:line="218" w:lineRule="auto" w:before="106"/>
      </w:pPr>
      <w:r>
        <w:rPr>
          <w:color w:val="231F20"/>
        </w:rPr>
        <w:t>5° de verkoop uit de hand van de onroerende goederen van de vereniging, ongeacht of de vereffenaars deze nodig achten voor de betaling</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schulden</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vereniging.</w:t>
      </w:r>
    </w:p>
    <w:p>
      <w:pPr>
        <w:pStyle w:val="BodyText"/>
        <w:spacing w:line="218" w:lineRule="auto" w:before="106"/>
        <w:ind w:right="123"/>
      </w:pPr>
      <w:r>
        <w:rPr>
          <w:color w:val="231F20"/>
        </w:rPr>
        <w:t>De machtiging bedoeld in het eerste lid kan zowel in het benoemings- besluit van de vereffenaars als bij later afzonderlijk besluit worden verleend.</w:t>
      </w:r>
    </w:p>
    <w:p>
      <w:pPr>
        <w:pStyle w:val="BodyText"/>
        <w:spacing w:line="218" w:lineRule="auto" w:before="107"/>
      </w:pPr>
      <w:r>
        <w:rPr>
          <w:color w:val="231F20"/>
        </w:rPr>
        <w:t>§ 2. In geval van toepassing van artikel 2:118, § 4, kan de in  paragraaf</w:t>
      </w:r>
      <w:r>
        <w:rPr>
          <w:color w:val="231F20"/>
          <w:spacing w:val="21"/>
        </w:rPr>
        <w:t> </w:t>
      </w:r>
      <w:r>
        <w:rPr>
          <w:color w:val="231F20"/>
        </w:rPr>
        <w:t>1</w:t>
      </w:r>
      <w:r>
        <w:rPr>
          <w:color w:val="231F20"/>
          <w:spacing w:val="21"/>
        </w:rPr>
        <w:t> </w:t>
      </w:r>
      <w:r>
        <w:rPr>
          <w:color w:val="231F20"/>
        </w:rPr>
        <w:t>bedoelde</w:t>
      </w:r>
      <w:r>
        <w:rPr>
          <w:color w:val="231F20"/>
          <w:spacing w:val="22"/>
        </w:rPr>
        <w:t> </w:t>
      </w:r>
      <w:r>
        <w:rPr>
          <w:color w:val="231F20"/>
        </w:rPr>
        <w:t>machtiging</w:t>
      </w:r>
      <w:r>
        <w:rPr>
          <w:color w:val="231F20"/>
          <w:spacing w:val="21"/>
        </w:rPr>
        <w:t> </w:t>
      </w:r>
      <w:r>
        <w:rPr>
          <w:color w:val="231F20"/>
        </w:rPr>
        <w:t>worden</w:t>
      </w:r>
      <w:r>
        <w:rPr>
          <w:color w:val="231F20"/>
          <w:spacing w:val="22"/>
        </w:rPr>
        <w:t> </w:t>
      </w:r>
      <w:r>
        <w:rPr>
          <w:color w:val="231F20"/>
        </w:rPr>
        <w:t>verleend</w:t>
      </w:r>
      <w:r>
        <w:rPr>
          <w:color w:val="231F20"/>
          <w:spacing w:val="21"/>
        </w:rPr>
        <w:t> </w:t>
      </w:r>
      <w:r>
        <w:rPr>
          <w:color w:val="231F20"/>
        </w:rPr>
        <w:t>door</w:t>
      </w:r>
      <w:r>
        <w:rPr>
          <w:color w:val="231F20"/>
          <w:spacing w:val="22"/>
        </w:rPr>
        <w:t> </w:t>
      </w:r>
      <w:r>
        <w:rPr>
          <w:color w:val="231F20"/>
        </w:rPr>
        <w:t>de</w:t>
      </w:r>
      <w:r>
        <w:rPr>
          <w:color w:val="231F20"/>
          <w:spacing w:val="21"/>
        </w:rPr>
        <w:t> </w:t>
      </w:r>
      <w:r>
        <w:rPr>
          <w:color w:val="231F20"/>
        </w:rPr>
        <w:t>rechtbank.</w:t>
      </w:r>
    </w:p>
    <w:p>
      <w:pPr>
        <w:pStyle w:val="BodyText"/>
        <w:spacing w:before="93"/>
        <w:ind w:left="283" w:right="0" w:firstLine="0"/>
        <w:jc w:val="left"/>
      </w:pPr>
      <w:r>
        <w:rPr>
          <w:color w:val="231F20"/>
        </w:rPr>
        <w:t>Onderafdeling 3. College van vereffenaars.</w:t>
      </w:r>
    </w:p>
    <w:p>
      <w:pPr>
        <w:pStyle w:val="BodyText"/>
        <w:spacing w:line="218" w:lineRule="auto" w:before="103"/>
      </w:pPr>
      <w:r>
        <w:rPr>
          <w:color w:val="231F20"/>
        </w:rPr>
        <w:t>Art. 2:123. Indien meerdere vereffenaars worden benoemd, vormen zij een college dat beraadslaagt en besluit overeenkomstig artikel 2:41.</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056" from="298.170502pt,64.473pt" to="298.170502pt,812.819pt" stroked="true" strokeweight=".533pt" strokecolor="#231f20">
            <v:stroke dashstyle="solid"/>
            <w10:wrap type="none"/>
          </v:line>
        </w:pict>
      </w:r>
      <w:bookmarkStart w:name="_bookmark43" w:id="46"/>
      <w:bookmarkEnd w:id="46"/>
      <w:r>
        <w:rPr/>
      </w:r>
      <w:r>
        <w:rPr>
          <w:color w:val="231F20"/>
        </w:rPr>
        <w:t>Les statuts peuvent toutefois prévoir que chaque liquidateur agissant séparément aura le pouvoir d’accomplir tous les actes nécessaires ou utiles à la liquidation de l’ASBL ou de l’AISBL. Dans ce cas, les statuts précisent également si les liquidateurs représentent l’association sépa- rément,</w:t>
      </w:r>
      <w:r>
        <w:rPr>
          <w:color w:val="231F20"/>
          <w:spacing w:val="-5"/>
        </w:rPr>
        <w:t> </w:t>
      </w:r>
      <w:r>
        <w:rPr>
          <w:color w:val="231F20"/>
        </w:rPr>
        <w:t>conjointement</w:t>
      </w:r>
      <w:r>
        <w:rPr>
          <w:color w:val="231F20"/>
          <w:spacing w:val="-4"/>
        </w:rPr>
        <w:t> </w:t>
      </w:r>
      <w:r>
        <w:rPr>
          <w:color w:val="231F20"/>
        </w:rPr>
        <w:t>ou</w:t>
      </w:r>
      <w:r>
        <w:rPr>
          <w:color w:val="231F20"/>
          <w:spacing w:val="-4"/>
        </w:rPr>
        <w:t> </w:t>
      </w:r>
      <w:r>
        <w:rPr>
          <w:color w:val="231F20"/>
        </w:rPr>
        <w:t>collégialement</w:t>
      </w:r>
      <w:r>
        <w:rPr>
          <w:color w:val="231F20"/>
          <w:spacing w:val="-4"/>
        </w:rPr>
        <w:t> </w:t>
      </w:r>
      <w:r>
        <w:rPr>
          <w:color w:val="231F20"/>
        </w:rPr>
        <w:t>à</w:t>
      </w:r>
      <w:r>
        <w:rPr>
          <w:color w:val="231F20"/>
          <w:spacing w:val="-4"/>
        </w:rPr>
        <w:t> </w:t>
      </w:r>
      <w:r>
        <w:rPr>
          <w:color w:val="231F20"/>
        </w:rPr>
        <w:t>l’égard</w:t>
      </w:r>
      <w:r>
        <w:rPr>
          <w:color w:val="231F20"/>
          <w:spacing w:val="-4"/>
        </w:rPr>
        <w:t> </w:t>
      </w:r>
      <w:r>
        <w:rPr>
          <w:color w:val="231F20"/>
        </w:rPr>
        <w:t>des</w:t>
      </w:r>
      <w:r>
        <w:rPr>
          <w:color w:val="231F20"/>
          <w:spacing w:val="-5"/>
        </w:rPr>
        <w:t> </w:t>
      </w:r>
      <w:r>
        <w:rPr>
          <w:color w:val="231F20"/>
        </w:rPr>
        <w:t>tiers</w:t>
      </w:r>
      <w:r>
        <w:rPr>
          <w:color w:val="231F20"/>
          <w:spacing w:val="-4"/>
        </w:rPr>
        <w:t> </w:t>
      </w:r>
      <w:r>
        <w:rPr>
          <w:color w:val="231F20"/>
        </w:rPr>
        <w:t>et</w:t>
      </w:r>
      <w:r>
        <w:rPr>
          <w:color w:val="231F20"/>
          <w:spacing w:val="-4"/>
        </w:rPr>
        <w:t> </w:t>
      </w:r>
      <w:r>
        <w:rPr>
          <w:color w:val="231F20"/>
        </w:rPr>
        <w:t>en</w:t>
      </w:r>
      <w:r>
        <w:rPr>
          <w:color w:val="231F20"/>
          <w:spacing w:val="-4"/>
        </w:rPr>
        <w:t> </w:t>
      </w:r>
      <w:r>
        <w:rPr>
          <w:color w:val="231F20"/>
        </w:rPr>
        <w:t>justice, soit en demandant, soit en défendant. À défaut, le pouvoir</w:t>
      </w:r>
      <w:r>
        <w:rPr>
          <w:color w:val="231F20"/>
          <w:spacing w:val="22"/>
        </w:rPr>
        <w:t> </w:t>
      </w:r>
      <w:r>
        <w:rPr>
          <w:color w:val="231F20"/>
        </w:rPr>
        <w:t>de représentation est exercé collégialement. Cette disposition peut être opposée aux tiers moyennant dépôt et publication conformément selon le</w:t>
      </w:r>
      <w:r>
        <w:rPr>
          <w:color w:val="231F20"/>
          <w:spacing w:val="12"/>
        </w:rPr>
        <w:t> </w:t>
      </w:r>
      <w:r>
        <w:rPr>
          <w:color w:val="231F20"/>
        </w:rPr>
        <w:t>cas</w:t>
      </w:r>
      <w:r>
        <w:rPr>
          <w:color w:val="231F20"/>
          <w:spacing w:val="13"/>
        </w:rPr>
        <w:t> </w:t>
      </w:r>
      <w:r>
        <w:rPr>
          <w:color w:val="231F20"/>
        </w:rPr>
        <w:t>aux</w:t>
      </w:r>
      <w:r>
        <w:rPr>
          <w:color w:val="231F20"/>
          <w:spacing w:val="13"/>
        </w:rPr>
        <w:t> </w:t>
      </w:r>
      <w:r>
        <w:rPr>
          <w:color w:val="231F20"/>
        </w:rPr>
        <w:t>articles</w:t>
      </w:r>
      <w:r>
        <w:rPr>
          <w:color w:val="231F20"/>
          <w:spacing w:val="13"/>
        </w:rPr>
        <w:t> </w:t>
      </w:r>
      <w:r>
        <w:rPr>
          <w:color w:val="231F20"/>
        </w:rPr>
        <w:t>2:9</w:t>
      </w:r>
      <w:r>
        <w:rPr>
          <w:color w:val="231F20"/>
          <w:spacing w:val="13"/>
        </w:rPr>
        <w:t> </w:t>
      </w:r>
      <w:r>
        <w:rPr>
          <w:color w:val="231F20"/>
        </w:rPr>
        <w:t>et</w:t>
      </w:r>
      <w:r>
        <w:rPr>
          <w:color w:val="231F20"/>
          <w:spacing w:val="13"/>
        </w:rPr>
        <w:t> </w:t>
      </w:r>
      <w:r>
        <w:rPr>
          <w:color w:val="231F20"/>
        </w:rPr>
        <w:t>2:15</w:t>
      </w:r>
      <w:r>
        <w:rPr>
          <w:color w:val="231F20"/>
          <w:spacing w:val="13"/>
        </w:rPr>
        <w:t> </w:t>
      </w:r>
      <w:r>
        <w:rPr>
          <w:color w:val="231F20"/>
        </w:rPr>
        <w:t>ou</w:t>
      </w:r>
      <w:r>
        <w:rPr>
          <w:color w:val="231F20"/>
          <w:spacing w:val="13"/>
        </w:rPr>
        <w:t> </w:t>
      </w:r>
      <w:r>
        <w:rPr>
          <w:color w:val="231F20"/>
        </w:rPr>
        <w:t>2:10</w:t>
      </w:r>
      <w:r>
        <w:rPr>
          <w:color w:val="231F20"/>
          <w:spacing w:val="12"/>
        </w:rPr>
        <w:t> </w:t>
      </w:r>
      <w:r>
        <w:rPr>
          <w:color w:val="231F20"/>
        </w:rPr>
        <w:t>et</w:t>
      </w:r>
      <w:r>
        <w:rPr>
          <w:color w:val="231F20"/>
          <w:spacing w:val="13"/>
        </w:rPr>
        <w:t> </w:t>
      </w:r>
      <w:r>
        <w:rPr>
          <w:color w:val="231F20"/>
        </w:rPr>
        <w:t>2:16.</w:t>
      </w:r>
    </w:p>
    <w:p>
      <w:pPr>
        <w:pStyle w:val="BodyText"/>
        <w:spacing w:before="8"/>
        <w:ind w:left="0" w:right="0" w:firstLine="0"/>
        <w:jc w:val="left"/>
        <w:rPr>
          <w:sz w:val="27"/>
        </w:rPr>
      </w:pPr>
    </w:p>
    <w:p>
      <w:pPr>
        <w:pStyle w:val="BodyText"/>
        <w:spacing w:line="218" w:lineRule="auto"/>
        <w:ind w:right="38"/>
      </w:pPr>
      <w:r>
        <w:rPr>
          <w:color w:val="231F20"/>
        </w:rPr>
        <w:t>Les statuts ou la décision de nomination peuvent limiter quantitati- vement et qualitativement ce pouvoir de représentation individuel ou conjoint. Pareilles limitations quantitatives et qualitatives ne sont pas opposables aux tiers, même si elles ont été déposées et publiées conformément selon le cas aux articles 2:9 et 2:15 ou 2:10 et 2:16.</w:t>
      </w:r>
    </w:p>
    <w:p>
      <w:pPr>
        <w:pStyle w:val="BodyText"/>
        <w:spacing w:before="5"/>
        <w:ind w:left="0" w:right="0" w:firstLine="0"/>
        <w:jc w:val="left"/>
        <w:rPr>
          <w:sz w:val="26"/>
        </w:rPr>
      </w:pPr>
    </w:p>
    <w:p>
      <w:pPr>
        <w:pStyle w:val="BodyText"/>
        <w:ind w:left="283" w:right="0" w:firstLine="0"/>
        <w:jc w:val="left"/>
      </w:pPr>
      <w:r>
        <w:rPr>
          <w:color w:val="231F20"/>
        </w:rPr>
        <w:t>Sous-section 4. Opérations de la liquidation.</w:t>
      </w:r>
    </w:p>
    <w:p>
      <w:pPr>
        <w:pStyle w:val="BodyText"/>
        <w:spacing w:line="218" w:lineRule="auto" w:before="136"/>
        <w:ind w:right="38"/>
      </w:pPr>
      <w:r>
        <w:rPr>
          <w:color w:val="231F20"/>
        </w:rPr>
        <w:t>Art. 2:124. Les liquidateurs exercent leurs fonctions, soit par l’appli- cation des statuts, soit en vertu d’une résolution de l’assemblée générale, soit en vertu d’une décision de justice, qui pourra être obtenue à la demande d’un membre, d’un tiers intéressé ou du ministère</w:t>
      </w:r>
      <w:r>
        <w:rPr>
          <w:color w:val="231F20"/>
          <w:spacing w:val="14"/>
        </w:rPr>
        <w:t> </w:t>
      </w:r>
      <w:r>
        <w:rPr>
          <w:color w:val="231F20"/>
        </w:rPr>
        <w:t>public.</w:t>
      </w:r>
    </w:p>
    <w:p>
      <w:pPr>
        <w:pStyle w:val="BodyText"/>
        <w:spacing w:line="218" w:lineRule="auto" w:before="139"/>
        <w:ind w:right="38"/>
      </w:pPr>
      <w:r>
        <w:rPr>
          <w:color w:val="231F20"/>
        </w:rPr>
        <w:t>Art. 2:125. Dans les ASBL et les AISBL  qui,  conformément  à  l’article 3:47, § 6, doivent désigner un ou plusieurs commissaires, au cours des septième et treizième mois de la mise en liquidation, les liquidateurs transmettent un état détaillé de la situation de la liquida- tion, établi à la fin des sixième et douzième mois de la première année de la liquidation, au </w:t>
      </w:r>
      <w:r>
        <w:rPr>
          <w:color w:val="231F20"/>
          <w:spacing w:val="-3"/>
        </w:rPr>
        <w:t>greffe </w:t>
      </w:r>
      <w:r>
        <w:rPr>
          <w:color w:val="231F20"/>
        </w:rPr>
        <w:t>du tribunal de l’entreprise du ressort dans lequel</w:t>
      </w:r>
      <w:r>
        <w:rPr>
          <w:color w:val="231F20"/>
          <w:spacing w:val="15"/>
        </w:rPr>
        <w:t> </w:t>
      </w:r>
      <w:r>
        <w:rPr>
          <w:color w:val="231F20"/>
        </w:rPr>
        <w:t>se</w:t>
      </w:r>
      <w:r>
        <w:rPr>
          <w:color w:val="231F20"/>
          <w:spacing w:val="16"/>
        </w:rPr>
        <w:t> </w:t>
      </w:r>
      <w:r>
        <w:rPr>
          <w:color w:val="231F20"/>
        </w:rPr>
        <w:t>trouve</w:t>
      </w:r>
      <w:r>
        <w:rPr>
          <w:color w:val="231F20"/>
          <w:spacing w:val="15"/>
        </w:rPr>
        <w:t> </w:t>
      </w:r>
      <w:r>
        <w:rPr>
          <w:color w:val="231F20"/>
        </w:rPr>
        <w:t>le</w:t>
      </w:r>
      <w:r>
        <w:rPr>
          <w:color w:val="231F20"/>
          <w:spacing w:val="16"/>
        </w:rPr>
        <w:t> </w:t>
      </w:r>
      <w:r>
        <w:rPr>
          <w:color w:val="231F20"/>
        </w:rPr>
        <w:t>siège</w:t>
      </w:r>
      <w:r>
        <w:rPr>
          <w:color w:val="231F20"/>
          <w:spacing w:val="15"/>
        </w:rPr>
        <w:t> </w:t>
      </w:r>
      <w:r>
        <w:rPr>
          <w:color w:val="231F20"/>
        </w:rPr>
        <w:t>de</w:t>
      </w:r>
      <w:r>
        <w:rPr>
          <w:color w:val="231F20"/>
          <w:spacing w:val="16"/>
        </w:rPr>
        <w:t> </w:t>
      </w:r>
      <w:r>
        <w:rPr>
          <w:color w:val="231F20"/>
        </w:rPr>
        <w:t>l’association.</w:t>
      </w:r>
    </w:p>
    <w:p>
      <w:pPr>
        <w:pStyle w:val="BodyText"/>
        <w:spacing w:line="218" w:lineRule="auto" w:before="139"/>
        <w:ind w:right="38"/>
      </w:pPr>
      <w:r>
        <w:rPr>
          <w:color w:val="231F20"/>
        </w:rPr>
        <w:t>Cet état détaillé, qui comporte notamment l’indication des recettes et des dépenses ainsi que de ce qu’il reste à liquider, est versé au dossier de l’association </w:t>
      </w:r>
      <w:r>
        <w:rPr>
          <w:color w:val="231F20"/>
          <w:spacing w:val="3"/>
        </w:rPr>
        <w:t>visé </w:t>
      </w:r>
      <w:r>
        <w:rPr>
          <w:color w:val="231F20"/>
        </w:rPr>
        <w:t>à l’article</w:t>
      </w:r>
      <w:r>
        <w:rPr>
          <w:color w:val="231F20"/>
          <w:spacing w:val="15"/>
        </w:rPr>
        <w:t> </w:t>
      </w:r>
      <w:r>
        <w:rPr>
          <w:color w:val="231F20"/>
        </w:rPr>
        <w:t>2:7.</w:t>
      </w:r>
    </w:p>
    <w:p>
      <w:pPr>
        <w:pStyle w:val="BodyText"/>
        <w:spacing w:line="218" w:lineRule="auto" w:before="139"/>
        <w:ind w:right="38"/>
      </w:pPr>
      <w:r>
        <w:rPr>
          <w:color w:val="231F20"/>
        </w:rPr>
        <w:t>À partir de la deuxième année de la liquidation, cet état détaillé n’est transmis au greffe et versé au dossier de l’association que tous les ans.</w:t>
      </w:r>
    </w:p>
    <w:p>
      <w:pPr>
        <w:pStyle w:val="BodyText"/>
        <w:spacing w:before="7"/>
        <w:ind w:left="0" w:right="0" w:firstLine="0"/>
        <w:jc w:val="left"/>
        <w:rPr>
          <w:sz w:val="27"/>
        </w:rPr>
      </w:pPr>
    </w:p>
    <w:p>
      <w:pPr>
        <w:pStyle w:val="BodyText"/>
        <w:spacing w:line="218" w:lineRule="auto" w:before="1"/>
        <w:ind w:right="38"/>
      </w:pPr>
      <w:r>
        <w:rPr>
          <w:color w:val="231F20"/>
        </w:rPr>
        <w:t>Art. 2:126. Chaque année, les liquidateurs de l’ASBL ou de l’AISBL soumettent les comptes annuels à l’assemblée générale ou à l’organe désigné par les statuts avec l’indication des causes qui ont empêché la liquidation d’être terminée.</w:t>
      </w:r>
    </w:p>
    <w:p>
      <w:pPr>
        <w:pStyle w:val="BodyText"/>
        <w:spacing w:line="218" w:lineRule="auto" w:before="138"/>
        <w:ind w:right="38"/>
      </w:pPr>
      <w:r>
        <w:rPr>
          <w:color w:val="231F20"/>
        </w:rPr>
        <w:t>Art. 2:127. Les liquidateurs de l’ASBL ou de l’AISBL doivent convoquer dans les trois semaines l’assemblée générale ou l’organe désigné</w:t>
      </w:r>
      <w:r>
        <w:rPr>
          <w:color w:val="231F20"/>
          <w:spacing w:val="-4"/>
        </w:rPr>
        <w:t> </w:t>
      </w:r>
      <w:r>
        <w:rPr>
          <w:color w:val="231F20"/>
        </w:rPr>
        <w:t>par</w:t>
      </w:r>
      <w:r>
        <w:rPr>
          <w:color w:val="231F20"/>
          <w:spacing w:val="-3"/>
        </w:rPr>
        <w:t> </w:t>
      </w:r>
      <w:r>
        <w:rPr>
          <w:color w:val="231F20"/>
        </w:rPr>
        <w:t>les</w:t>
      </w:r>
      <w:r>
        <w:rPr>
          <w:color w:val="231F20"/>
          <w:spacing w:val="-3"/>
        </w:rPr>
        <w:t> </w:t>
      </w:r>
      <w:r>
        <w:rPr>
          <w:color w:val="231F20"/>
        </w:rPr>
        <w:t>statuts</w:t>
      </w:r>
      <w:r>
        <w:rPr>
          <w:color w:val="231F20"/>
          <w:spacing w:val="-3"/>
        </w:rPr>
        <w:t> </w:t>
      </w:r>
      <w:r>
        <w:rPr>
          <w:color w:val="231F20"/>
        </w:rPr>
        <w:t>si</w:t>
      </w:r>
      <w:r>
        <w:rPr>
          <w:color w:val="231F20"/>
          <w:spacing w:val="-3"/>
        </w:rPr>
        <w:t> </w:t>
      </w:r>
      <w:r>
        <w:rPr>
          <w:color w:val="231F20"/>
        </w:rPr>
        <w:t>un</w:t>
      </w:r>
      <w:r>
        <w:rPr>
          <w:color w:val="231F20"/>
          <w:spacing w:val="-3"/>
        </w:rPr>
        <w:t> </w:t>
      </w:r>
      <w:r>
        <w:rPr>
          <w:color w:val="231F20"/>
        </w:rPr>
        <w:t>cinquième</w:t>
      </w:r>
      <w:r>
        <w:rPr>
          <w:color w:val="231F20"/>
          <w:spacing w:val="-3"/>
        </w:rPr>
        <w:t> </w:t>
      </w:r>
      <w:r>
        <w:rPr>
          <w:color w:val="231F20"/>
        </w:rPr>
        <w:t>des</w:t>
      </w:r>
      <w:r>
        <w:rPr>
          <w:color w:val="231F20"/>
          <w:spacing w:val="-3"/>
        </w:rPr>
        <w:t> </w:t>
      </w:r>
      <w:r>
        <w:rPr>
          <w:color w:val="231F20"/>
        </w:rPr>
        <w:t>membres</w:t>
      </w:r>
      <w:r>
        <w:rPr>
          <w:color w:val="231F20"/>
          <w:spacing w:val="-3"/>
        </w:rPr>
        <w:t> </w:t>
      </w:r>
      <w:r>
        <w:rPr>
          <w:color w:val="231F20"/>
        </w:rPr>
        <w:t>en</w:t>
      </w:r>
      <w:r>
        <w:rPr>
          <w:color w:val="231F20"/>
          <w:spacing w:val="-3"/>
        </w:rPr>
        <w:t> </w:t>
      </w:r>
      <w:r>
        <w:rPr>
          <w:color w:val="231F20"/>
        </w:rPr>
        <w:t>fait</w:t>
      </w:r>
      <w:r>
        <w:rPr>
          <w:color w:val="231F20"/>
          <w:spacing w:val="-3"/>
        </w:rPr>
        <w:t> </w:t>
      </w:r>
      <w:r>
        <w:rPr>
          <w:color w:val="231F20"/>
        </w:rPr>
        <w:t>la</w:t>
      </w:r>
      <w:r>
        <w:rPr>
          <w:color w:val="231F20"/>
          <w:spacing w:val="-4"/>
        </w:rPr>
        <w:t> </w:t>
      </w:r>
      <w:r>
        <w:rPr>
          <w:color w:val="231F20"/>
        </w:rPr>
        <w:t>demande. L’assemblée se tient au plus tard le quarantième jour suivant cette demande.</w:t>
      </w:r>
    </w:p>
    <w:p>
      <w:pPr>
        <w:pStyle w:val="BodyText"/>
        <w:spacing w:line="218" w:lineRule="auto" w:before="139"/>
        <w:ind w:right="38"/>
      </w:pPr>
      <w:r>
        <w:rPr>
          <w:color w:val="231F20"/>
        </w:rPr>
        <w:t>Art. 2:128. Sans préjudice des droits des créanciers privilégiés, les liquidateurs de l’ASBL ou de l’AISBL, paient toutes les dettes, proportionnellement et sans distinction entre les dettes exigibles et les dettes non exigibles, sous déduction de l’escompte pour celles-ci.</w:t>
      </w:r>
    </w:p>
    <w:p>
      <w:pPr>
        <w:pStyle w:val="BodyText"/>
        <w:spacing w:before="8"/>
        <w:ind w:left="0" w:right="0" w:firstLine="0"/>
        <w:jc w:val="left"/>
        <w:rPr>
          <w:sz w:val="27"/>
        </w:rPr>
      </w:pPr>
    </w:p>
    <w:p>
      <w:pPr>
        <w:pStyle w:val="BodyText"/>
        <w:spacing w:line="218" w:lineRule="auto"/>
        <w:ind w:right="38"/>
      </w:pPr>
      <w:r>
        <w:rPr>
          <w:color w:val="231F20"/>
        </w:rPr>
        <w:t>Ils peuvent cependant, sous leur garantie personnelle, payer d’abord les créances exigibles, si l’actif dépasse notablement le passif ou si les créances à terme ont une garantie suffisante et sauf le droit des créanciers de recourir aux tribunaux.</w:t>
      </w:r>
    </w:p>
    <w:p>
      <w:pPr>
        <w:pStyle w:val="BodyText"/>
        <w:spacing w:line="218" w:lineRule="auto" w:before="124"/>
        <w:ind w:right="38"/>
      </w:pPr>
      <w:r>
        <w:rPr>
          <w:color w:val="231F20"/>
        </w:rPr>
        <w:t>Art. 2:129. § 1</w:t>
      </w:r>
      <w:r>
        <w:rPr>
          <w:color w:val="231F20"/>
          <w:position w:val="7"/>
          <w:sz w:val="11"/>
        </w:rPr>
        <w:t>er</w:t>
      </w:r>
      <w:r>
        <w:rPr>
          <w:color w:val="231F20"/>
        </w:rPr>
        <w:t>. Lorsqu’il y a plusieurs liquidateurs qui peuvent agir séparément, et qu’ils sont appelés à prendre une décision ou se prononcer sur une opération relevant de leurs pouvoirs à propos de laquelle un liquidateur a un intérêt direct ou indirect de nature patrimoniale qui est </w:t>
      </w:r>
      <w:r>
        <w:rPr>
          <w:color w:val="231F20"/>
          <w:spacing w:val="5"/>
        </w:rPr>
        <w:t>opposé </w:t>
      </w:r>
      <w:r>
        <w:rPr>
          <w:color w:val="231F20"/>
        </w:rPr>
        <w:t>à l’intérêt de l’ASBL ou de l’AISBL, ce liquidateur doit en informer les autres liquidateurs. Sa déclaration et ses explications sur la nature de cet intérêt opposé doivent figurer dans le procès-verbal d’une réunion des autres liquidateurs. Ces autres liquidateurs peuvent eux-mêmes prendre la décision ou réaliser l’opération. Dans ce cas, le liquidateur qui a le conflit d’intérêts ne peut pas participer à la réunion des autres liquidateurs concernant cette décision ou</w:t>
      </w:r>
      <w:r>
        <w:rPr>
          <w:color w:val="231F20"/>
          <w:spacing w:val="-11"/>
        </w:rPr>
        <w:t> </w:t>
      </w:r>
      <w:r>
        <w:rPr>
          <w:color w:val="231F20"/>
        </w:rPr>
        <w:t>opération.</w:t>
      </w:r>
    </w:p>
    <w:p>
      <w:pPr>
        <w:pStyle w:val="BodyText"/>
        <w:spacing w:before="8"/>
        <w:ind w:left="0" w:right="0" w:firstLine="0"/>
        <w:jc w:val="left"/>
        <w:rPr>
          <w:sz w:val="28"/>
        </w:rPr>
      </w:pPr>
    </w:p>
    <w:p>
      <w:pPr>
        <w:pStyle w:val="BodyText"/>
        <w:spacing w:line="218" w:lineRule="auto"/>
        <w:ind w:right="38"/>
      </w:pPr>
      <w:r>
        <w:rPr>
          <w:color w:val="231F20"/>
        </w:rPr>
        <w:t>Si tous les liquidateurs ont un conflit d’intérêts, la décision ou l’opération est soumise à l’assemblée générale; en cas d’approbation par</w:t>
      </w:r>
      <w:r>
        <w:rPr>
          <w:color w:val="231F20"/>
          <w:spacing w:val="15"/>
        </w:rPr>
        <w:t> </w:t>
      </w:r>
      <w:r>
        <w:rPr>
          <w:color w:val="231F20"/>
        </w:rPr>
        <w:t>celle-ci,</w:t>
      </w:r>
      <w:r>
        <w:rPr>
          <w:color w:val="231F20"/>
          <w:spacing w:val="15"/>
        </w:rPr>
        <w:t> </w:t>
      </w:r>
      <w:r>
        <w:rPr>
          <w:color w:val="231F20"/>
        </w:rPr>
        <w:t>les</w:t>
      </w:r>
      <w:r>
        <w:rPr>
          <w:color w:val="231F20"/>
          <w:spacing w:val="15"/>
        </w:rPr>
        <w:t> </w:t>
      </w:r>
      <w:r>
        <w:rPr>
          <w:color w:val="231F20"/>
        </w:rPr>
        <w:t>liquidateurs</w:t>
      </w:r>
      <w:r>
        <w:rPr>
          <w:color w:val="231F20"/>
          <w:spacing w:val="15"/>
        </w:rPr>
        <w:t> </w:t>
      </w:r>
      <w:r>
        <w:rPr>
          <w:color w:val="231F20"/>
        </w:rPr>
        <w:t>peuvent</w:t>
      </w:r>
      <w:r>
        <w:rPr>
          <w:color w:val="231F20"/>
          <w:spacing w:val="16"/>
        </w:rPr>
        <w:t> </w:t>
      </w:r>
      <w:r>
        <w:rPr>
          <w:color w:val="231F20"/>
        </w:rPr>
        <w:t>l’exécuter.</w:t>
      </w:r>
    </w:p>
    <w:p>
      <w:pPr>
        <w:pStyle w:val="BodyText"/>
        <w:spacing w:before="7"/>
        <w:ind w:left="0" w:right="0" w:firstLine="0"/>
        <w:jc w:val="left"/>
        <w:rPr>
          <w:sz w:val="28"/>
        </w:rPr>
      </w:pPr>
    </w:p>
    <w:p>
      <w:pPr>
        <w:pStyle w:val="BodyText"/>
        <w:spacing w:line="218" w:lineRule="auto"/>
        <w:ind w:right="38"/>
      </w:pPr>
      <w:r>
        <w:rPr>
          <w:color w:val="231F20"/>
        </w:rPr>
        <w:t>§ 2. S’il y a un collège de liquidateurs et qu’un membre du collège a un intérêt direct ou indirect de nature patrimoniale opposé à une décision ou à une opération qui relève de la compétence du collège, le collège est tenu de se conformer à l’article 9:8, applicable par analogie.</w:t>
      </w:r>
    </w:p>
    <w:p>
      <w:pPr>
        <w:pStyle w:val="BodyText"/>
        <w:spacing w:line="218" w:lineRule="auto" w:before="119"/>
        <w:ind w:right="125"/>
      </w:pPr>
      <w:r>
        <w:rPr/>
        <w:br w:type="column"/>
      </w:r>
      <w:r>
        <w:rPr>
          <w:color w:val="231F20"/>
        </w:rPr>
        <w:t>De statuten kunnen evenwel bepalen dat elke vereffenaar individueel handelend bevoegd is om alle handelingen te stellen die nodig of dienstig zijn voor de vereffening van de VZW of van de </w:t>
      </w:r>
      <w:r>
        <w:rPr>
          <w:color w:val="231F20"/>
          <w:spacing w:val="-4"/>
        </w:rPr>
        <w:t>IVZW. </w:t>
      </w:r>
      <w:r>
        <w:rPr>
          <w:color w:val="231F20"/>
        </w:rPr>
        <w:t>In dat geval bepalen de statuten tevens of de vereffenaars de vereniging individueel, gezamenlijk dan wel collegiaal handelend vertegenwoor- digen ten aanzien van derden en in rechte als eiser of als verweerder,</w:t>
      </w:r>
      <w:r>
        <w:rPr>
          <w:color w:val="231F20"/>
          <w:spacing w:val="-19"/>
        </w:rPr>
        <w:t> </w:t>
      </w:r>
      <w:r>
        <w:rPr>
          <w:color w:val="231F20"/>
        </w:rPr>
        <w:t>bij gebrek waaraan de vertegenwoordigingsmacht op collegiale</w:t>
      </w:r>
      <w:r>
        <w:rPr>
          <w:color w:val="231F20"/>
          <w:spacing w:val="34"/>
        </w:rPr>
        <w:t> </w:t>
      </w:r>
      <w:r>
        <w:rPr>
          <w:color w:val="231F20"/>
        </w:rPr>
        <w:t>wijze wordt uitgeoefend. Deze regeling kan aan derden worden tegengewor- pen mits neerlegging en bekendmaking overeenkomstig naargelang  van</w:t>
      </w:r>
      <w:r>
        <w:rPr>
          <w:color w:val="231F20"/>
          <w:spacing w:val="13"/>
        </w:rPr>
        <w:t> </w:t>
      </w:r>
      <w:r>
        <w:rPr>
          <w:color w:val="231F20"/>
        </w:rPr>
        <w:t>het</w:t>
      </w:r>
      <w:r>
        <w:rPr>
          <w:color w:val="231F20"/>
          <w:spacing w:val="13"/>
        </w:rPr>
        <w:t> </w:t>
      </w:r>
      <w:r>
        <w:rPr>
          <w:color w:val="231F20"/>
        </w:rPr>
        <w:t>geval</w:t>
      </w:r>
      <w:r>
        <w:rPr>
          <w:color w:val="231F20"/>
          <w:spacing w:val="13"/>
        </w:rPr>
        <w:t> </w:t>
      </w:r>
      <w:r>
        <w:rPr>
          <w:color w:val="231F20"/>
        </w:rPr>
        <w:t>de</w:t>
      </w:r>
      <w:r>
        <w:rPr>
          <w:color w:val="231F20"/>
          <w:spacing w:val="13"/>
        </w:rPr>
        <w:t> </w:t>
      </w:r>
      <w:r>
        <w:rPr>
          <w:color w:val="231F20"/>
        </w:rPr>
        <w:t>artikelen</w:t>
      </w:r>
      <w:r>
        <w:rPr>
          <w:color w:val="231F20"/>
          <w:spacing w:val="13"/>
        </w:rPr>
        <w:t> </w:t>
      </w:r>
      <w:r>
        <w:rPr>
          <w:color w:val="231F20"/>
        </w:rPr>
        <w:t>2:9</w:t>
      </w:r>
      <w:r>
        <w:rPr>
          <w:color w:val="231F20"/>
          <w:spacing w:val="14"/>
        </w:rPr>
        <w:t> </w:t>
      </w:r>
      <w:r>
        <w:rPr>
          <w:color w:val="231F20"/>
        </w:rPr>
        <w:t>en</w:t>
      </w:r>
      <w:r>
        <w:rPr>
          <w:color w:val="231F20"/>
          <w:spacing w:val="13"/>
        </w:rPr>
        <w:t> </w:t>
      </w:r>
      <w:r>
        <w:rPr>
          <w:color w:val="231F20"/>
        </w:rPr>
        <w:t>2:15</w:t>
      </w:r>
      <w:r>
        <w:rPr>
          <w:color w:val="231F20"/>
          <w:spacing w:val="13"/>
        </w:rPr>
        <w:t> </w:t>
      </w:r>
      <w:r>
        <w:rPr>
          <w:color w:val="231F20"/>
        </w:rPr>
        <w:t>of</w:t>
      </w:r>
      <w:r>
        <w:rPr>
          <w:color w:val="231F20"/>
          <w:spacing w:val="13"/>
        </w:rPr>
        <w:t> </w:t>
      </w:r>
      <w:r>
        <w:rPr>
          <w:color w:val="231F20"/>
        </w:rPr>
        <w:t>2:10</w:t>
      </w:r>
      <w:r>
        <w:rPr>
          <w:color w:val="231F20"/>
          <w:spacing w:val="13"/>
        </w:rPr>
        <w:t> </w:t>
      </w:r>
      <w:r>
        <w:rPr>
          <w:color w:val="231F20"/>
        </w:rPr>
        <w:t>en</w:t>
      </w:r>
      <w:r>
        <w:rPr>
          <w:color w:val="231F20"/>
          <w:spacing w:val="13"/>
        </w:rPr>
        <w:t> </w:t>
      </w:r>
      <w:r>
        <w:rPr>
          <w:color w:val="231F20"/>
        </w:rPr>
        <w:t>2:16.</w:t>
      </w:r>
    </w:p>
    <w:p>
      <w:pPr>
        <w:pStyle w:val="BodyText"/>
        <w:spacing w:line="218" w:lineRule="auto" w:before="140"/>
        <w:ind w:right="123"/>
      </w:pPr>
      <w:r>
        <w:rPr>
          <w:color w:val="231F20"/>
          <w:w w:val="105"/>
        </w:rPr>
        <w:t>De statuten of het benoemingsbesluit kunnen deze individuele of gezamenlijke</w:t>
      </w:r>
      <w:r>
        <w:rPr>
          <w:color w:val="231F20"/>
          <w:spacing w:val="-25"/>
          <w:w w:val="105"/>
        </w:rPr>
        <w:t> </w:t>
      </w:r>
      <w:r>
        <w:rPr>
          <w:color w:val="231F20"/>
          <w:w w:val="105"/>
        </w:rPr>
        <w:t>vertegenwoordigingsbevoegdheid</w:t>
      </w:r>
      <w:r>
        <w:rPr>
          <w:color w:val="231F20"/>
          <w:spacing w:val="-25"/>
          <w:w w:val="105"/>
        </w:rPr>
        <w:t> </w:t>
      </w:r>
      <w:r>
        <w:rPr>
          <w:color w:val="231F20"/>
          <w:w w:val="105"/>
        </w:rPr>
        <w:t>kwantitatief</w:t>
      </w:r>
      <w:r>
        <w:rPr>
          <w:color w:val="231F20"/>
          <w:spacing w:val="-25"/>
          <w:w w:val="105"/>
        </w:rPr>
        <w:t> </w:t>
      </w:r>
      <w:r>
        <w:rPr>
          <w:color w:val="231F20"/>
          <w:w w:val="105"/>
        </w:rPr>
        <w:t>en</w:t>
      </w:r>
      <w:r>
        <w:rPr>
          <w:color w:val="231F20"/>
          <w:spacing w:val="-25"/>
          <w:w w:val="105"/>
        </w:rPr>
        <w:t> </w:t>
      </w:r>
      <w:r>
        <w:rPr>
          <w:color w:val="231F20"/>
          <w:w w:val="105"/>
        </w:rPr>
        <w:t>kwali- tatief beperken. Zodanige kwantitatieve en kwalitatieve beperkingen kunnen niet aan derden worden tegengeworpen, ook al zijn ze neergelegd en bekendgemaakt overeenkomstig naargelang van het geval</w:t>
      </w:r>
      <w:r>
        <w:rPr>
          <w:color w:val="231F20"/>
          <w:spacing w:val="7"/>
          <w:w w:val="105"/>
        </w:rPr>
        <w:t> </w:t>
      </w:r>
      <w:r>
        <w:rPr>
          <w:color w:val="231F20"/>
          <w:w w:val="105"/>
        </w:rPr>
        <w:t>de</w:t>
      </w:r>
      <w:r>
        <w:rPr>
          <w:color w:val="231F20"/>
          <w:spacing w:val="8"/>
          <w:w w:val="105"/>
        </w:rPr>
        <w:t> </w:t>
      </w:r>
      <w:r>
        <w:rPr>
          <w:color w:val="231F20"/>
          <w:w w:val="105"/>
        </w:rPr>
        <w:t>artikelen</w:t>
      </w:r>
      <w:r>
        <w:rPr>
          <w:color w:val="231F20"/>
          <w:spacing w:val="8"/>
          <w:w w:val="105"/>
        </w:rPr>
        <w:t> </w:t>
      </w:r>
      <w:r>
        <w:rPr>
          <w:color w:val="231F20"/>
          <w:w w:val="105"/>
        </w:rPr>
        <w:t>2:9</w:t>
      </w:r>
      <w:r>
        <w:rPr>
          <w:color w:val="231F20"/>
          <w:spacing w:val="8"/>
          <w:w w:val="105"/>
        </w:rPr>
        <w:t> </w:t>
      </w:r>
      <w:r>
        <w:rPr>
          <w:color w:val="231F20"/>
          <w:w w:val="105"/>
        </w:rPr>
        <w:t>en</w:t>
      </w:r>
      <w:r>
        <w:rPr>
          <w:color w:val="231F20"/>
          <w:spacing w:val="8"/>
          <w:w w:val="105"/>
        </w:rPr>
        <w:t> </w:t>
      </w:r>
      <w:r>
        <w:rPr>
          <w:color w:val="231F20"/>
          <w:w w:val="105"/>
        </w:rPr>
        <w:t>2:15</w:t>
      </w:r>
      <w:r>
        <w:rPr>
          <w:color w:val="231F20"/>
          <w:spacing w:val="8"/>
          <w:w w:val="105"/>
        </w:rPr>
        <w:t> </w:t>
      </w:r>
      <w:r>
        <w:rPr>
          <w:color w:val="231F20"/>
          <w:w w:val="105"/>
        </w:rPr>
        <w:t>of</w:t>
      </w:r>
      <w:r>
        <w:rPr>
          <w:color w:val="231F20"/>
          <w:spacing w:val="8"/>
          <w:w w:val="105"/>
        </w:rPr>
        <w:t> </w:t>
      </w:r>
      <w:r>
        <w:rPr>
          <w:color w:val="231F20"/>
          <w:w w:val="105"/>
        </w:rPr>
        <w:t>2:10</w:t>
      </w:r>
      <w:r>
        <w:rPr>
          <w:color w:val="231F20"/>
          <w:spacing w:val="8"/>
          <w:w w:val="105"/>
        </w:rPr>
        <w:t> </w:t>
      </w:r>
      <w:r>
        <w:rPr>
          <w:color w:val="231F20"/>
          <w:w w:val="105"/>
        </w:rPr>
        <w:t>en</w:t>
      </w:r>
      <w:r>
        <w:rPr>
          <w:color w:val="231F20"/>
          <w:spacing w:val="8"/>
          <w:w w:val="105"/>
        </w:rPr>
        <w:t> </w:t>
      </w:r>
      <w:r>
        <w:rPr>
          <w:color w:val="231F20"/>
          <w:w w:val="105"/>
        </w:rPr>
        <w:t>2:16.</w:t>
      </w:r>
    </w:p>
    <w:p>
      <w:pPr>
        <w:pStyle w:val="BodyText"/>
        <w:spacing w:before="125"/>
        <w:ind w:left="283" w:right="0" w:firstLine="0"/>
        <w:jc w:val="left"/>
      </w:pPr>
      <w:r>
        <w:rPr>
          <w:color w:val="231F20"/>
        </w:rPr>
        <w:t>Onderafdeling 4. Verrichtingen van de vereffening.</w:t>
      </w:r>
    </w:p>
    <w:p>
      <w:pPr>
        <w:pStyle w:val="BodyText"/>
        <w:spacing w:line="218" w:lineRule="auto" w:before="135"/>
        <w:ind w:right="123"/>
      </w:pPr>
      <w:r>
        <w:rPr>
          <w:color w:val="231F20"/>
        </w:rPr>
        <w:t>Art. 2:124. De vereffenaars vervullen hun opdracht hetzij overeen- komstig de statuten, hetzij krachtens een besluit van de algemene vergadering, hetzij krachtens een rechterlijke beslissing die door een lid, een belanghebbende derde of door het openbaar ministerie kan worden</w:t>
      </w:r>
      <w:r>
        <w:rPr>
          <w:color w:val="231F20"/>
          <w:spacing w:val="15"/>
        </w:rPr>
        <w:t> </w:t>
      </w:r>
      <w:r>
        <w:rPr>
          <w:color w:val="231F20"/>
        </w:rPr>
        <w:t>gevorderd.</w:t>
      </w:r>
    </w:p>
    <w:p>
      <w:pPr>
        <w:pStyle w:val="BodyText"/>
        <w:spacing w:line="218" w:lineRule="auto" w:before="139"/>
      </w:pPr>
      <w:r>
        <w:rPr>
          <w:color w:val="231F20"/>
        </w:rPr>
        <w:t>Art. 2:125. In de VZW’s  en  de  IVZW’s  die  overeenkomstig  arti-  kel 3:47, § 6, één of meer commissarissen moeten aanstellen, zenden de vereffenaars in de zevende en de dertiende maand na de invereffening- stelling een omstandige staat van de toestand van de vereffening, opgesteld aan het einde van de zesde en twaalfde maand van het eerste vereffeningsjaar, over aan de </w:t>
      </w:r>
      <w:r>
        <w:rPr>
          <w:color w:val="231F20"/>
          <w:spacing w:val="-4"/>
        </w:rPr>
        <w:t>griffie </w:t>
      </w:r>
      <w:r>
        <w:rPr>
          <w:color w:val="231F20"/>
        </w:rPr>
        <w:t>van de ondernemingsrechtbank van het</w:t>
      </w:r>
      <w:r>
        <w:rPr>
          <w:color w:val="231F20"/>
          <w:spacing w:val="16"/>
        </w:rPr>
        <w:t> </w:t>
      </w:r>
      <w:r>
        <w:rPr>
          <w:color w:val="231F20"/>
        </w:rPr>
        <w:t>rechtsgebied</w:t>
      </w:r>
      <w:r>
        <w:rPr>
          <w:color w:val="231F20"/>
          <w:spacing w:val="16"/>
        </w:rPr>
        <w:t> </w:t>
      </w:r>
      <w:r>
        <w:rPr>
          <w:color w:val="231F20"/>
        </w:rPr>
        <w:t>waar</w:t>
      </w:r>
      <w:r>
        <w:rPr>
          <w:color w:val="231F20"/>
          <w:spacing w:val="16"/>
        </w:rPr>
        <w:t> </w:t>
      </w:r>
      <w:r>
        <w:rPr>
          <w:color w:val="231F20"/>
        </w:rPr>
        <w:t>de</w:t>
      </w:r>
      <w:r>
        <w:rPr>
          <w:color w:val="231F20"/>
          <w:spacing w:val="16"/>
        </w:rPr>
        <w:t> </w:t>
      </w:r>
      <w:r>
        <w:rPr>
          <w:color w:val="231F20"/>
        </w:rPr>
        <w:t>vereniging</w:t>
      </w:r>
      <w:r>
        <w:rPr>
          <w:color w:val="231F20"/>
          <w:spacing w:val="16"/>
        </w:rPr>
        <w:t> </w:t>
      </w:r>
      <w:r>
        <w:rPr>
          <w:color w:val="231F20"/>
        </w:rPr>
        <w:t>haar</w:t>
      </w:r>
      <w:r>
        <w:rPr>
          <w:color w:val="231F20"/>
          <w:spacing w:val="16"/>
        </w:rPr>
        <w:t> </w:t>
      </w:r>
      <w:r>
        <w:rPr>
          <w:color w:val="231F20"/>
        </w:rPr>
        <w:t>zetel</w:t>
      </w:r>
      <w:r>
        <w:rPr>
          <w:color w:val="231F20"/>
          <w:spacing w:val="16"/>
        </w:rPr>
        <w:t> </w:t>
      </w:r>
      <w:r>
        <w:rPr>
          <w:color w:val="231F20"/>
        </w:rPr>
        <w:t>heeft.</w:t>
      </w:r>
    </w:p>
    <w:p>
      <w:pPr>
        <w:pStyle w:val="BodyText"/>
        <w:spacing w:line="218" w:lineRule="auto" w:before="140"/>
      </w:pPr>
      <w:r>
        <w:rPr>
          <w:color w:val="231F20"/>
        </w:rPr>
        <w:t>Die omstandige staat, die onder meer de ontvangsten en de uitgaven vermeldt en wat nog moet worden vereffend, aangeeft, wordt bij het in artikel 2:7 bedoelde verenigingsdossier gevoegd.</w:t>
      </w:r>
    </w:p>
    <w:p>
      <w:pPr>
        <w:pStyle w:val="BodyText"/>
        <w:spacing w:line="218" w:lineRule="auto" w:before="138"/>
      </w:pPr>
      <w:r>
        <w:rPr>
          <w:color w:val="231F20"/>
        </w:rPr>
        <w:t>Vanaf het tweede jaar van de vereffening wordt die omstandige staat slechts om het jaar aan de griffie overgezonden en bij het verenigings- dossier gevoegd.</w:t>
      </w:r>
    </w:p>
    <w:p>
      <w:pPr>
        <w:pStyle w:val="BodyText"/>
        <w:spacing w:line="218" w:lineRule="auto" w:before="139"/>
      </w:pPr>
      <w:r>
        <w:rPr>
          <w:color w:val="231F20"/>
        </w:rPr>
        <w:t>Art. 2:126. Elk jaar leggen de vereffenaars van de VZW of van de IVZW aan de algemene vergadering respectievelijk aan het in de statuten aangewezen orgaan de jaarrekening voor met vermelding van de redenen waarom de vereffening niet kon worden voltooid.</w:t>
      </w:r>
    </w:p>
    <w:p>
      <w:pPr>
        <w:pStyle w:val="BodyText"/>
        <w:spacing w:line="218" w:lineRule="auto" w:before="139"/>
      </w:pPr>
      <w:r>
        <w:rPr>
          <w:color w:val="231F20"/>
        </w:rPr>
        <w:t>Art. 2:127. De vereffenaars van de VZW of van de IVZW moeten binnen drie weken de algemene vergadering respectievelijk het in de statuten aangewezen orgaan bijeenroepen wanneer één vijfde van de leden het vragen. De vergadering wordt uiterlijk gehouden op de veertigste dag na dit verzoek.</w:t>
      </w:r>
    </w:p>
    <w:p>
      <w:pPr>
        <w:pStyle w:val="BodyText"/>
        <w:spacing w:line="218" w:lineRule="auto" w:before="139"/>
      </w:pPr>
      <w:r>
        <w:rPr>
          <w:color w:val="231F20"/>
        </w:rPr>
        <w:t>Art. 2:128. Onverminderd de rechten van de bevoorrechte schuld- eisers, betalen de vereffenaars van de VZW of van de IVZW alle schulden naar evenredigheid en zonder onderscheid tussen opeisbare en niet opeisbare schulden, onder aftrek, wat deze betreft, van het disconto.</w:t>
      </w:r>
    </w:p>
    <w:p>
      <w:pPr>
        <w:pStyle w:val="BodyText"/>
        <w:spacing w:line="218" w:lineRule="auto" w:before="139"/>
      </w:pPr>
      <w:r>
        <w:rPr>
          <w:color w:val="231F20"/>
        </w:rPr>
        <w:t>Zij mogen echter op eigen risico eerst de opeisbare schulden betalen, ingeval de baten de lasten aanmerkelijk te boven gaan of de schuld- vorderingen op termijn voldoende gewaarborgd zijn, onverminderd  het</w:t>
      </w:r>
      <w:r>
        <w:rPr>
          <w:color w:val="231F20"/>
          <w:spacing w:val="16"/>
        </w:rPr>
        <w:t> </w:t>
      </w:r>
      <w:r>
        <w:rPr>
          <w:color w:val="231F20"/>
        </w:rPr>
        <w:t>recht</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schuldeisers</w:t>
      </w:r>
      <w:r>
        <w:rPr>
          <w:color w:val="231F20"/>
          <w:spacing w:val="17"/>
        </w:rPr>
        <w:t> </w:t>
      </w:r>
      <w:r>
        <w:rPr>
          <w:color w:val="231F20"/>
        </w:rPr>
        <w:t>om</w:t>
      </w:r>
      <w:r>
        <w:rPr>
          <w:color w:val="231F20"/>
          <w:spacing w:val="16"/>
        </w:rPr>
        <w:t> </w:t>
      </w:r>
      <w:r>
        <w:rPr>
          <w:color w:val="231F20"/>
        </w:rPr>
        <w:t>zich</w:t>
      </w:r>
      <w:r>
        <w:rPr>
          <w:color w:val="231F20"/>
          <w:spacing w:val="16"/>
        </w:rPr>
        <w:t> </w:t>
      </w:r>
      <w:r>
        <w:rPr>
          <w:color w:val="231F20"/>
        </w:rPr>
        <w:t>tot</w:t>
      </w:r>
      <w:r>
        <w:rPr>
          <w:color w:val="231F20"/>
          <w:spacing w:val="17"/>
        </w:rPr>
        <w:t> </w:t>
      </w:r>
      <w:r>
        <w:rPr>
          <w:color w:val="231F20"/>
        </w:rPr>
        <w:t>de</w:t>
      </w:r>
      <w:r>
        <w:rPr>
          <w:color w:val="231F20"/>
          <w:spacing w:val="16"/>
        </w:rPr>
        <w:t> </w:t>
      </w:r>
      <w:r>
        <w:rPr>
          <w:color w:val="231F20"/>
        </w:rPr>
        <w:t>rechtbank</w:t>
      </w:r>
      <w:r>
        <w:rPr>
          <w:color w:val="231F20"/>
          <w:spacing w:val="17"/>
        </w:rPr>
        <w:t> </w:t>
      </w:r>
      <w:r>
        <w:rPr>
          <w:color w:val="231F20"/>
        </w:rPr>
        <w:t>te</w:t>
      </w:r>
      <w:r>
        <w:rPr>
          <w:color w:val="231F20"/>
          <w:spacing w:val="16"/>
        </w:rPr>
        <w:t> </w:t>
      </w:r>
      <w:r>
        <w:rPr>
          <w:color w:val="231F20"/>
        </w:rPr>
        <w:t>wenden.</w:t>
      </w:r>
    </w:p>
    <w:p>
      <w:pPr>
        <w:pStyle w:val="BodyText"/>
        <w:spacing w:line="218" w:lineRule="auto" w:before="139"/>
        <w:ind w:right="123"/>
      </w:pPr>
      <w:r>
        <w:rPr>
          <w:color w:val="231F20"/>
        </w:rPr>
        <w:t>Art. 2:129. § 1. Wanneer er meerdere vereffenaars zijn die elk individueel bevoegd zijn, en zij een beslissing moeten nemen of zich over een verrichting moeten uitspreken die onder hun bevoegdheid vallen, waarbij een vereffenaar een rechtstreeks of onrechtstreeks belang van vermogensrechtelijke aard heeft dat strijdig is met het belang van de VZW of IVZW, moet de betrokken vereffenaar dit mededelen aan de andere vereffenaars. Zijn verklaring en toelichting over de aard van dit strijdig belang worden opgenomen in de notulen van een vergadering van die andere vereffenaars. Die andere vereffe- naars nemen de beslissing of voeren de verrichting uit. In dat geval mag de vereffenaar met het belangenconflict niet deelnemen aan de vergadering van de andere vereffenaars over deze beslissingen of verrichtingen.</w:t>
      </w:r>
    </w:p>
    <w:p>
      <w:pPr>
        <w:pStyle w:val="BodyText"/>
        <w:spacing w:line="218" w:lineRule="auto" w:before="150"/>
      </w:pPr>
      <w:r>
        <w:rPr>
          <w:color w:val="231F20"/>
          <w:spacing w:val="-3"/>
        </w:rPr>
        <w:t>Wanneer </w:t>
      </w:r>
      <w:r>
        <w:rPr>
          <w:color w:val="231F20"/>
        </w:rPr>
        <w:t>alle vereffenaars een belangenconflict hebben, dan wordt de beslissing of de verrichting aan de algemene vergadering voorgelegd; ingeval de algemene vergadering de beslissing of de verrichting goedkeurt, kunnen de vereffenaars ze uitvoeren.</w:t>
      </w:r>
    </w:p>
    <w:p>
      <w:pPr>
        <w:pStyle w:val="BodyText"/>
        <w:spacing w:line="218" w:lineRule="auto" w:before="150"/>
      </w:pPr>
      <w:r>
        <w:rPr>
          <w:color w:val="231F20"/>
        </w:rPr>
        <w:t>§ 2. Is er een college van vereffenaars en heeft een lid van het college rechtstreeks of onrechtstreeks een belang van vermogensrechtelijke aard dat strijdig is met een beslissing of een verrichting die tot de bevoegdheid van het college behoort, dan is het college gehouden artikel</w:t>
      </w:r>
      <w:r>
        <w:rPr>
          <w:color w:val="231F20"/>
          <w:spacing w:val="14"/>
        </w:rPr>
        <w:t> </w:t>
      </w:r>
      <w:r>
        <w:rPr>
          <w:color w:val="231F20"/>
        </w:rPr>
        <w:t>9:8</w:t>
      </w:r>
      <w:r>
        <w:rPr>
          <w:color w:val="231F20"/>
          <w:spacing w:val="14"/>
        </w:rPr>
        <w:t> </w:t>
      </w:r>
      <w:r>
        <w:rPr>
          <w:color w:val="231F20"/>
        </w:rPr>
        <w:t>na</w:t>
      </w:r>
      <w:r>
        <w:rPr>
          <w:color w:val="231F20"/>
          <w:spacing w:val="15"/>
        </w:rPr>
        <w:t> </w:t>
      </w:r>
      <w:r>
        <w:rPr>
          <w:color w:val="231F20"/>
        </w:rPr>
        <w:t>te</w:t>
      </w:r>
      <w:r>
        <w:rPr>
          <w:color w:val="231F20"/>
          <w:spacing w:val="14"/>
        </w:rPr>
        <w:t> </w:t>
      </w:r>
      <w:r>
        <w:rPr>
          <w:color w:val="231F20"/>
        </w:rPr>
        <w:t>komen,</w:t>
      </w:r>
      <w:r>
        <w:rPr>
          <w:color w:val="231F20"/>
          <w:spacing w:val="15"/>
        </w:rPr>
        <w:t> </w:t>
      </w:r>
      <w:r>
        <w:rPr>
          <w:color w:val="231F20"/>
        </w:rPr>
        <w:t>die</w:t>
      </w:r>
      <w:r>
        <w:rPr>
          <w:color w:val="231F20"/>
          <w:spacing w:val="14"/>
        </w:rPr>
        <w:t> </w:t>
      </w:r>
      <w:r>
        <w:rPr>
          <w:color w:val="231F20"/>
        </w:rPr>
        <w:t>van</w:t>
      </w:r>
      <w:r>
        <w:rPr>
          <w:color w:val="231F20"/>
          <w:spacing w:val="15"/>
        </w:rPr>
        <w:t> </w:t>
      </w:r>
      <w:r>
        <w:rPr>
          <w:color w:val="231F20"/>
        </w:rPr>
        <w:t>overeenkomstige</w:t>
      </w:r>
      <w:r>
        <w:rPr>
          <w:color w:val="231F20"/>
          <w:spacing w:val="14"/>
        </w:rPr>
        <w:t> </w:t>
      </w:r>
      <w:r>
        <w:rPr>
          <w:color w:val="231F20"/>
        </w:rPr>
        <w:t>toepassing</w:t>
      </w:r>
      <w:r>
        <w:rPr>
          <w:color w:val="231F20"/>
          <w:spacing w:val="14"/>
        </w:rPr>
        <w:t> </w:t>
      </w:r>
      <w:r>
        <w:rPr>
          <w:color w:val="231F20"/>
        </w:rPr>
        <w:t>is.</w:t>
      </w:r>
    </w:p>
    <w:p>
      <w:pPr>
        <w:spacing w:after="0" w:line="218" w:lineRule="auto"/>
        <w:sectPr>
          <w:headerReference w:type="even" r:id="rId25"/>
          <w:headerReference w:type="default" r:id="rId26"/>
          <w:pgSz w:w="11940" w:h="16880"/>
          <w:pgMar w:header="666" w:footer="0" w:top="1140" w:bottom="280" w:left="340" w:right="360"/>
          <w:pgNumType w:start="33282"/>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2080" from="298.170502pt,64.473pt" to="298.170502pt,812.819pt" stroked="true" strokeweight=".533pt" strokecolor="#231f20">
            <v:stroke dashstyle="solid"/>
            <w10:wrap type="none"/>
          </v:line>
        </w:pict>
      </w:r>
      <w:bookmarkStart w:name="_bookmark44" w:id="47"/>
      <w:bookmarkEnd w:id="47"/>
      <w:r>
        <w:rPr/>
      </w:r>
      <w:r>
        <w:rPr>
          <w:color w:val="231F20"/>
        </w:rPr>
        <w:t>§ 3. S’il n’y a qu’un seul liquidateur et qu’il a un conflit d’intérêts, la décision ou l’opération est soumise à l’assemblée générale; en cas d’approbation par celle-ci, le liquidateur peut l’exécuter.</w:t>
      </w:r>
    </w:p>
    <w:p>
      <w:pPr>
        <w:pStyle w:val="BodyText"/>
        <w:spacing w:before="9"/>
        <w:ind w:left="0" w:right="0" w:firstLine="0"/>
        <w:jc w:val="left"/>
        <w:rPr>
          <w:sz w:val="21"/>
        </w:rPr>
      </w:pPr>
    </w:p>
    <w:p>
      <w:pPr>
        <w:pStyle w:val="BodyText"/>
        <w:ind w:left="283" w:right="0" w:firstLine="0"/>
        <w:jc w:val="left"/>
      </w:pPr>
      <w:r>
        <w:rPr>
          <w:color w:val="231F20"/>
        </w:rPr>
        <w:t>Sous-section 5. Clôture et réouverture de la liquidation.</w:t>
      </w:r>
    </w:p>
    <w:p>
      <w:pPr>
        <w:pStyle w:val="BodyText"/>
        <w:spacing w:line="218" w:lineRule="auto" w:before="82"/>
        <w:ind w:right="38"/>
      </w:pPr>
      <w:r>
        <w:rPr>
          <w:color w:val="231F20"/>
        </w:rPr>
        <w:t>Art. 2:130. Il ne pourra être procédé à l’affectation de l’actif qu’après l’apurement du passif.</w:t>
      </w:r>
    </w:p>
    <w:p>
      <w:pPr>
        <w:pStyle w:val="BodyText"/>
        <w:spacing w:line="218" w:lineRule="auto" w:before="86"/>
        <w:ind w:right="38"/>
      </w:pPr>
      <w:r>
        <w:rPr>
          <w:color w:val="231F20"/>
        </w:rPr>
        <w:t>Art. 2:131. L’affectation de l’actif ne peut préjudicier aux droits des tiers.</w:t>
      </w:r>
    </w:p>
    <w:p>
      <w:pPr>
        <w:pStyle w:val="BodyText"/>
        <w:spacing w:line="218" w:lineRule="auto" w:before="85"/>
        <w:ind w:right="38"/>
      </w:pPr>
      <w:r>
        <w:rPr>
          <w:color w:val="231F20"/>
        </w:rPr>
        <w:t>Art. 2:132. Le solde de la liquidation ne peut être distribué ni directement ni indirectement aux membres ou aux administrateurs.</w:t>
      </w:r>
    </w:p>
    <w:p>
      <w:pPr>
        <w:pStyle w:val="BodyText"/>
        <w:spacing w:line="218" w:lineRule="auto" w:before="86"/>
        <w:ind w:right="38"/>
      </w:pPr>
      <w:r>
        <w:rPr>
          <w:color w:val="231F20"/>
        </w:rPr>
        <w:t>À défaut de dispositions statutaires, l’affectation du solde de la liquidation est déterminée par l’assemblée générale de l’ASBL ou l’organe désigné par les statuts de l’AISBL.</w:t>
      </w:r>
    </w:p>
    <w:p>
      <w:pPr>
        <w:pStyle w:val="BodyText"/>
        <w:spacing w:before="11"/>
        <w:ind w:left="0" w:right="0" w:firstLine="0"/>
        <w:jc w:val="left"/>
        <w:rPr>
          <w:sz w:val="22"/>
        </w:rPr>
      </w:pPr>
    </w:p>
    <w:p>
      <w:pPr>
        <w:pStyle w:val="BodyText"/>
        <w:spacing w:line="218" w:lineRule="auto"/>
        <w:ind w:right="38"/>
      </w:pPr>
      <w:r>
        <w:rPr>
          <w:color w:val="231F20"/>
        </w:rPr>
        <w:t>À défaut de décision de l’assemblée générale ou de l’organe désigné dans les statuts, les liquidateurs donnent au solde de la liquidation une affectation qui se rapproche autant que possible du but en vue duquel l’association a été constituée. Les membres, les tiers intéressés et le ministère public peuvent se pourvoir devant le tribunal contre la décision des liquidateurs.</w:t>
      </w:r>
    </w:p>
    <w:p>
      <w:pPr>
        <w:pStyle w:val="BodyText"/>
        <w:spacing w:before="7"/>
        <w:ind w:left="0" w:right="0" w:firstLine="0"/>
        <w:jc w:val="left"/>
        <w:rPr>
          <w:sz w:val="22"/>
        </w:rPr>
      </w:pPr>
    </w:p>
    <w:p>
      <w:pPr>
        <w:pStyle w:val="BodyText"/>
        <w:spacing w:line="218" w:lineRule="auto"/>
        <w:ind w:right="38"/>
      </w:pPr>
      <w:r>
        <w:rPr>
          <w:color w:val="231F20"/>
        </w:rPr>
        <w:t>Art. 2:133. S’il résulte des comptes visés à l’article 2:134, § 1</w:t>
      </w:r>
      <w:r>
        <w:rPr>
          <w:color w:val="231F20"/>
          <w:position w:val="7"/>
          <w:sz w:val="11"/>
        </w:rPr>
        <w:t>er</w:t>
      </w:r>
      <w:r>
        <w:rPr>
          <w:color w:val="231F20"/>
        </w:rPr>
        <w:t>, de l’ASBL et de l’AISBL qui, conformément à l’article 3:47, § 6, doivent désigner un ou plusieurs commissaires, que toutes les créances ne pourront être payées intégralement, les liquidateurs soumettent, avant la clôture de la liquidation, par requête unilatérale conformément aux articles 1025 et suivants du Code judiciaire, le plan de répartition de l’actif entre les différentes catégories de créanciers pour approbation au tribunal du ressort dans lequel le siège de l’association est établi lors du dépôt de cette requête unilatérale. La requête précitée peut être signée par les liquidateurs, par un avocat ou par un notaire.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before="1"/>
        <w:ind w:right="38"/>
      </w:pPr>
      <w:r>
        <w:rPr>
          <w:color w:val="231F20"/>
        </w:rPr>
        <w:t>Le tribunal peut requérir des liquidateurs tous renseignements utiles pour vérifier la validité du plan de répartition.</w:t>
      </w:r>
    </w:p>
    <w:p>
      <w:pPr>
        <w:pStyle w:val="BodyText"/>
        <w:spacing w:line="218" w:lineRule="auto" w:before="81"/>
        <w:ind w:right="38"/>
      </w:pPr>
      <w:r>
        <w:rPr>
          <w:color w:val="231F20"/>
        </w:rPr>
        <w:t>Art. 2:134. § 1</w:t>
      </w:r>
      <w:r>
        <w:rPr>
          <w:color w:val="231F20"/>
          <w:position w:val="7"/>
          <w:sz w:val="11"/>
        </w:rPr>
        <w:t>er</w:t>
      </w:r>
      <w:r>
        <w:rPr>
          <w:color w:val="231F20"/>
        </w:rPr>
        <w:t>. Après la liquidation et au moins un mois avant l’assemblée générale de l’ASBL ou la réunion de l’organe désigné dans les statuts de l’AISBL, les liquidateurs déposent au siège de l’associa- tion un rapport chiffré sur la liquidation comportant les comptes de liquidation et pièces à l’appui. Le cas échéant, ces documents sont contrôlés par le commissaire. Lorsqu’il n’y a pas de commissaire, les membres disposent d’un droit individuel d’investigation, pour lequel  ils peuvent se faire assister d’un réviseur d’entreprises ou d’un expert-comptable externe. Il ne peut être renoncé au délai d’un mois qu’avec l’accord de tous les membres, donné soit individuellement avant l’assemblée lors de laquelle la clôture sera décidée, soit ensemble à l’occasion de cette assemblée, préalablement à l’examen de tout autre point à l’ordre du</w:t>
      </w:r>
      <w:r>
        <w:rPr>
          <w:color w:val="231F20"/>
          <w:spacing w:val="19"/>
        </w:rPr>
        <w:t> </w:t>
      </w:r>
      <w:r>
        <w:rPr>
          <w:color w:val="231F20"/>
          <w:spacing w:val="-3"/>
        </w:rPr>
        <w:t>jour.</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Après avoir entendu, le cas échéant, le rapport du commissaire, l’assemblée se prononce sur l’approbation des comptes. Elle statue ensuite par un vote spécial sur la décharge des liquidateurs et, le cas échéant, du commissaire ainsi que sur la clôture de la liquidation.</w:t>
      </w:r>
    </w:p>
    <w:p>
      <w:pPr>
        <w:pStyle w:val="BodyText"/>
        <w:spacing w:before="7"/>
        <w:ind w:left="0" w:right="0" w:firstLine="0"/>
        <w:jc w:val="left"/>
        <w:rPr>
          <w:sz w:val="22"/>
        </w:rPr>
      </w:pPr>
    </w:p>
    <w:p>
      <w:pPr>
        <w:pStyle w:val="BodyText"/>
        <w:spacing w:line="218" w:lineRule="auto" w:before="1"/>
        <w:ind w:right="38"/>
      </w:pPr>
      <w:r>
        <w:rPr>
          <w:color w:val="231F20"/>
        </w:rPr>
        <w:t>§ 2. Par dérogation au paragraphe 1</w:t>
      </w:r>
      <w:r>
        <w:rPr>
          <w:color w:val="231F20"/>
          <w:position w:val="7"/>
          <w:sz w:val="11"/>
        </w:rPr>
        <w:t>er</w:t>
      </w:r>
      <w:r>
        <w:rPr>
          <w:color w:val="231F20"/>
        </w:rPr>
        <w:t>, en cas de dissolution judiciaire, les liquidateurs font rapport au tribunal, après la liquidation, en lui présentant, le cas échéant, une situation des valeurs de l’association et de leur emploi.</w:t>
      </w:r>
    </w:p>
    <w:p>
      <w:pPr>
        <w:pStyle w:val="BodyText"/>
        <w:spacing w:before="8"/>
        <w:ind w:left="0" w:right="0" w:firstLine="0"/>
        <w:jc w:val="left"/>
        <w:rPr>
          <w:sz w:val="22"/>
        </w:rPr>
      </w:pPr>
    </w:p>
    <w:p>
      <w:pPr>
        <w:pStyle w:val="BodyText"/>
        <w:ind w:left="283" w:right="0" w:firstLine="0"/>
        <w:jc w:val="left"/>
      </w:pPr>
      <w:r>
        <w:rPr>
          <w:color w:val="231F20"/>
        </w:rPr>
        <w:t>Le tribunal prononce la clôture de la liquidation.</w:t>
      </w:r>
    </w:p>
    <w:p>
      <w:pPr>
        <w:pStyle w:val="BodyText"/>
        <w:spacing w:line="218" w:lineRule="auto" w:before="77"/>
        <w:ind w:right="38"/>
      </w:pPr>
      <w:r>
        <w:rPr>
          <w:color w:val="231F20"/>
        </w:rPr>
        <w:t>§ 3. En cas de dissolution sur la base de l’article 2:113, § 1</w:t>
      </w:r>
      <w:r>
        <w:rPr>
          <w:color w:val="231F20"/>
          <w:position w:val="7"/>
          <w:sz w:val="11"/>
        </w:rPr>
        <w:t>er</w:t>
      </w:r>
      <w:r>
        <w:rPr>
          <w:color w:val="231F20"/>
        </w:rPr>
        <w:t>, 4°, le Roi détermine la procédure de consignation des actifs qui appartiendraient à l’association et le sort de ces actifs en cas d’apparition de nouveaux passifs.</w:t>
      </w:r>
    </w:p>
    <w:p>
      <w:pPr>
        <w:pStyle w:val="BodyText"/>
        <w:ind w:left="0" w:right="0" w:firstLine="0"/>
        <w:jc w:val="left"/>
        <w:rPr>
          <w:sz w:val="24"/>
        </w:rPr>
      </w:pPr>
    </w:p>
    <w:p>
      <w:pPr>
        <w:pStyle w:val="BodyText"/>
        <w:spacing w:line="218" w:lineRule="auto"/>
        <w:ind w:right="38"/>
      </w:pPr>
      <w:r>
        <w:rPr>
          <w:color w:val="231F20"/>
        </w:rPr>
        <w:t>Art. 2:135. Sans préjudice de l’article 2:110, une dissolution et une liquidation dans un seul acte ne sont possibles que moyennant le respect des conditions suivantes:</w:t>
      </w:r>
    </w:p>
    <w:p>
      <w:pPr>
        <w:pStyle w:val="BodyText"/>
        <w:spacing w:before="82"/>
        <w:ind w:left="283" w:right="0" w:firstLine="0"/>
        <w:jc w:val="left"/>
      </w:pPr>
      <w:r>
        <w:rPr>
          <w:color w:val="231F20"/>
        </w:rPr>
        <w:t>1° aucun liquidateur n’est désigné;</w:t>
      </w:r>
    </w:p>
    <w:p>
      <w:pPr>
        <w:pStyle w:val="BodyText"/>
        <w:spacing w:line="218" w:lineRule="auto" w:before="93"/>
        <w:ind w:right="38"/>
      </w:pPr>
      <w:r>
        <w:rPr>
          <w:color w:val="231F20"/>
        </w:rPr>
        <w:t>2° toutes les dettes à l’égard de membres ou de tiers mentionnées dans</w:t>
      </w:r>
      <w:r>
        <w:rPr>
          <w:color w:val="231F20"/>
          <w:spacing w:val="15"/>
        </w:rPr>
        <w:t> </w:t>
      </w:r>
      <w:r>
        <w:rPr>
          <w:color w:val="231F20"/>
        </w:rPr>
        <w:t>l’état</w:t>
      </w:r>
      <w:r>
        <w:rPr>
          <w:color w:val="231F20"/>
          <w:spacing w:val="15"/>
        </w:rPr>
        <w:t> </w:t>
      </w:r>
      <w:r>
        <w:rPr>
          <w:color w:val="231F20"/>
        </w:rPr>
        <w:t>résumant</w:t>
      </w:r>
      <w:r>
        <w:rPr>
          <w:color w:val="231F20"/>
          <w:spacing w:val="16"/>
        </w:rPr>
        <w:t> </w:t>
      </w:r>
      <w:r>
        <w:rPr>
          <w:color w:val="231F20"/>
        </w:rPr>
        <w:t>la</w:t>
      </w:r>
      <w:r>
        <w:rPr>
          <w:color w:val="231F20"/>
          <w:spacing w:val="15"/>
        </w:rPr>
        <w:t> </w:t>
      </w:r>
      <w:r>
        <w:rPr>
          <w:color w:val="231F20"/>
        </w:rPr>
        <w:t>situation</w:t>
      </w:r>
      <w:r>
        <w:rPr>
          <w:color w:val="231F20"/>
          <w:spacing w:val="16"/>
        </w:rPr>
        <w:t> </w:t>
      </w:r>
      <w:r>
        <w:rPr>
          <w:color w:val="231F20"/>
        </w:rPr>
        <w:t>active</w:t>
      </w:r>
      <w:r>
        <w:rPr>
          <w:color w:val="231F20"/>
          <w:spacing w:val="15"/>
        </w:rPr>
        <w:t> </w:t>
      </w:r>
      <w:r>
        <w:rPr>
          <w:color w:val="231F20"/>
        </w:rPr>
        <w:t>et</w:t>
      </w:r>
      <w:r>
        <w:rPr>
          <w:color w:val="231F20"/>
          <w:spacing w:val="16"/>
        </w:rPr>
        <w:t> </w:t>
      </w:r>
      <w:r>
        <w:rPr>
          <w:color w:val="231F20"/>
        </w:rPr>
        <w:t>passive</w:t>
      </w:r>
      <w:r>
        <w:rPr>
          <w:color w:val="231F20"/>
          <w:spacing w:val="15"/>
        </w:rPr>
        <w:t> </w:t>
      </w:r>
      <w:r>
        <w:rPr>
          <w:color w:val="231F20"/>
          <w:spacing w:val="3"/>
        </w:rPr>
        <w:t>visé</w:t>
      </w:r>
      <w:r>
        <w:rPr>
          <w:color w:val="231F20"/>
          <w:spacing w:val="1"/>
        </w:rPr>
        <w:t> </w:t>
      </w:r>
      <w:r>
        <w:rPr>
          <w:color w:val="231F20"/>
        </w:rPr>
        <w:t>à</w:t>
      </w:r>
      <w:r>
        <w:rPr>
          <w:color w:val="231F20"/>
          <w:spacing w:val="15"/>
        </w:rPr>
        <w:t> </w:t>
      </w:r>
      <w:r>
        <w:rPr>
          <w:color w:val="231F20"/>
        </w:rPr>
        <w:t>l’article</w:t>
      </w:r>
      <w:r>
        <w:rPr>
          <w:color w:val="231F20"/>
          <w:spacing w:val="15"/>
        </w:rPr>
        <w:t> </w:t>
      </w:r>
      <w:r>
        <w:rPr>
          <w:color w:val="231F20"/>
        </w:rPr>
        <w:t>2:110,</w:t>
      </w:r>
    </w:p>
    <w:p>
      <w:pPr>
        <w:pStyle w:val="BodyText"/>
        <w:spacing w:line="218" w:lineRule="auto"/>
        <w:ind w:right="38" w:hanging="1"/>
      </w:pPr>
      <w:r>
        <w:rPr>
          <w:color w:val="231F20"/>
        </w:rPr>
        <w:t>§ 2, alinéa 2, ont été remboursées ou les sommes nécessaires à leur acquittement ont été consignées; le commissaire, qui fait rapport conformément à l’article 2:110, § 2, alinéa 3, ou, lorsqu’il n’y a pas de commissaire, un réviseur d’entreprises, ou un expert-comptable</w:t>
      </w:r>
      <w:r>
        <w:rPr>
          <w:color w:val="231F20"/>
          <w:spacing w:val="-19"/>
        </w:rPr>
        <w:t> </w:t>
      </w:r>
      <w:r>
        <w:rPr>
          <w:color w:val="231F20"/>
        </w:rPr>
        <w:t>externe</w:t>
      </w:r>
    </w:p>
    <w:p>
      <w:pPr>
        <w:pStyle w:val="BodyText"/>
        <w:spacing w:line="218" w:lineRule="auto" w:before="119"/>
      </w:pPr>
      <w:r>
        <w:rPr/>
        <w:br w:type="column"/>
      </w:r>
      <w:r>
        <w:rPr>
          <w:color w:val="231F20"/>
        </w:rPr>
        <w:t>§</w:t>
      </w:r>
      <w:r>
        <w:rPr>
          <w:color w:val="231F20"/>
          <w:spacing w:val="-3"/>
        </w:rPr>
        <w:t> </w:t>
      </w:r>
      <w:r>
        <w:rPr>
          <w:color w:val="231F20"/>
        </w:rPr>
        <w:t>3.</w:t>
      </w:r>
      <w:r>
        <w:rPr>
          <w:color w:val="231F20"/>
          <w:spacing w:val="-3"/>
        </w:rPr>
        <w:t> </w:t>
      </w:r>
      <w:r>
        <w:rPr>
          <w:color w:val="231F20"/>
        </w:rPr>
        <w:t>Is</w:t>
      </w:r>
      <w:r>
        <w:rPr>
          <w:color w:val="231F20"/>
          <w:spacing w:val="-3"/>
        </w:rPr>
        <w:t> </w:t>
      </w:r>
      <w:r>
        <w:rPr>
          <w:color w:val="231F20"/>
        </w:rPr>
        <w:t>er</w:t>
      </w:r>
      <w:r>
        <w:rPr>
          <w:color w:val="231F20"/>
          <w:spacing w:val="-3"/>
        </w:rPr>
        <w:t> </w:t>
      </w:r>
      <w:r>
        <w:rPr>
          <w:color w:val="231F20"/>
        </w:rPr>
        <w:t>slechts</w:t>
      </w:r>
      <w:r>
        <w:rPr>
          <w:color w:val="231F20"/>
          <w:spacing w:val="-2"/>
        </w:rPr>
        <w:t> </w:t>
      </w:r>
      <w:r>
        <w:rPr>
          <w:color w:val="231F20"/>
        </w:rPr>
        <w:t>één</w:t>
      </w:r>
      <w:r>
        <w:rPr>
          <w:color w:val="231F20"/>
          <w:spacing w:val="-3"/>
        </w:rPr>
        <w:t> </w:t>
      </w:r>
      <w:r>
        <w:rPr>
          <w:color w:val="231F20"/>
        </w:rPr>
        <w:t>vereffenaar</w:t>
      </w:r>
      <w:r>
        <w:rPr>
          <w:color w:val="231F20"/>
          <w:spacing w:val="-3"/>
        </w:rPr>
        <w:t> </w:t>
      </w:r>
      <w:r>
        <w:rPr>
          <w:color w:val="231F20"/>
        </w:rPr>
        <w:t>en</w:t>
      </w:r>
      <w:r>
        <w:rPr>
          <w:color w:val="231F20"/>
          <w:spacing w:val="-3"/>
        </w:rPr>
        <w:t> </w:t>
      </w:r>
      <w:r>
        <w:rPr>
          <w:color w:val="231F20"/>
        </w:rPr>
        <w:t>heeft</w:t>
      </w:r>
      <w:r>
        <w:rPr>
          <w:color w:val="231F20"/>
          <w:spacing w:val="-2"/>
        </w:rPr>
        <w:t> </w:t>
      </w:r>
      <w:r>
        <w:rPr>
          <w:color w:val="231F20"/>
        </w:rPr>
        <w:t>hij</w:t>
      </w:r>
      <w:r>
        <w:rPr>
          <w:color w:val="231F20"/>
          <w:spacing w:val="-3"/>
        </w:rPr>
        <w:t> </w:t>
      </w:r>
      <w:r>
        <w:rPr>
          <w:color w:val="231F20"/>
        </w:rPr>
        <w:t>een</w:t>
      </w:r>
      <w:r>
        <w:rPr>
          <w:color w:val="231F20"/>
          <w:spacing w:val="-3"/>
        </w:rPr>
        <w:t> </w:t>
      </w:r>
      <w:r>
        <w:rPr>
          <w:color w:val="231F20"/>
        </w:rPr>
        <w:t>belangenconflict,</w:t>
      </w:r>
      <w:r>
        <w:rPr>
          <w:color w:val="231F20"/>
          <w:spacing w:val="-3"/>
        </w:rPr>
        <w:t> </w:t>
      </w:r>
      <w:r>
        <w:rPr>
          <w:color w:val="231F20"/>
        </w:rPr>
        <w:t>dan wordt de beslissing of de verrichting aan de algemene vergadering voorgelegd; ingeval de algemene vergadering de beslissing of de verrichting</w:t>
      </w:r>
      <w:r>
        <w:rPr>
          <w:color w:val="231F20"/>
          <w:spacing w:val="16"/>
        </w:rPr>
        <w:t> </w:t>
      </w:r>
      <w:r>
        <w:rPr>
          <w:color w:val="231F20"/>
        </w:rPr>
        <w:t>goedkeurt,</w:t>
      </w:r>
      <w:r>
        <w:rPr>
          <w:color w:val="231F20"/>
          <w:spacing w:val="16"/>
        </w:rPr>
        <w:t> </w:t>
      </w:r>
      <w:r>
        <w:rPr>
          <w:color w:val="231F20"/>
        </w:rPr>
        <w:t>kan</w:t>
      </w:r>
      <w:r>
        <w:rPr>
          <w:color w:val="231F20"/>
          <w:spacing w:val="17"/>
        </w:rPr>
        <w:t> </w:t>
      </w:r>
      <w:r>
        <w:rPr>
          <w:color w:val="231F20"/>
        </w:rPr>
        <w:t>de</w:t>
      </w:r>
      <w:r>
        <w:rPr>
          <w:color w:val="231F20"/>
          <w:spacing w:val="16"/>
        </w:rPr>
        <w:t> </w:t>
      </w:r>
      <w:r>
        <w:rPr>
          <w:color w:val="231F20"/>
        </w:rPr>
        <w:t>vereffenaar</w:t>
      </w:r>
      <w:r>
        <w:rPr>
          <w:color w:val="231F20"/>
          <w:spacing w:val="16"/>
        </w:rPr>
        <w:t> </w:t>
      </w:r>
      <w:r>
        <w:rPr>
          <w:color w:val="231F20"/>
        </w:rPr>
        <w:t>ze</w:t>
      </w:r>
      <w:r>
        <w:rPr>
          <w:color w:val="231F20"/>
          <w:spacing w:val="17"/>
        </w:rPr>
        <w:t> </w:t>
      </w:r>
      <w:r>
        <w:rPr>
          <w:color w:val="231F20"/>
        </w:rPr>
        <w:t>uitvoeren.</w:t>
      </w:r>
    </w:p>
    <w:p>
      <w:pPr>
        <w:pStyle w:val="BodyText"/>
        <w:spacing w:before="72"/>
        <w:ind w:left="283" w:right="0" w:firstLine="0"/>
        <w:jc w:val="left"/>
      </w:pPr>
      <w:r>
        <w:rPr>
          <w:color w:val="231F20"/>
        </w:rPr>
        <w:t>Onderafdeling 5. Sluiting en heropening van de vereffening.</w:t>
      </w:r>
    </w:p>
    <w:p>
      <w:pPr>
        <w:pStyle w:val="BodyText"/>
        <w:spacing w:line="218" w:lineRule="auto" w:before="82"/>
      </w:pPr>
      <w:r>
        <w:rPr>
          <w:color w:val="231F20"/>
        </w:rPr>
        <w:t>Art. 2:130. Het actief kan slechts worden aangewend na aanzuivering van het passief.</w:t>
      </w:r>
    </w:p>
    <w:p>
      <w:pPr>
        <w:pStyle w:val="BodyText"/>
        <w:spacing w:line="218" w:lineRule="auto" w:before="85"/>
      </w:pPr>
      <w:r>
        <w:rPr>
          <w:color w:val="231F20"/>
        </w:rPr>
        <w:t>Art. 2:131. De bestemming van het actief mag de rechten van derden niet schaden.</w:t>
      </w:r>
    </w:p>
    <w:p>
      <w:pPr>
        <w:pStyle w:val="BodyText"/>
        <w:spacing w:line="218" w:lineRule="auto" w:before="86"/>
        <w:ind w:right="120"/>
      </w:pPr>
      <w:r>
        <w:rPr>
          <w:color w:val="231F20"/>
        </w:rPr>
        <w:t>Art.</w:t>
      </w:r>
      <w:r>
        <w:rPr>
          <w:color w:val="231F20"/>
          <w:spacing w:val="-15"/>
        </w:rPr>
        <w:t> </w:t>
      </w:r>
      <w:r>
        <w:rPr>
          <w:color w:val="231F20"/>
        </w:rPr>
        <w:t>2:132.</w:t>
      </w:r>
      <w:r>
        <w:rPr>
          <w:color w:val="231F20"/>
          <w:spacing w:val="-15"/>
        </w:rPr>
        <w:t> </w:t>
      </w:r>
      <w:r>
        <w:rPr>
          <w:color w:val="231F20"/>
        </w:rPr>
        <w:t>Het</w:t>
      </w:r>
      <w:r>
        <w:rPr>
          <w:color w:val="231F20"/>
          <w:spacing w:val="-14"/>
        </w:rPr>
        <w:t> </w:t>
      </w:r>
      <w:r>
        <w:rPr>
          <w:color w:val="231F20"/>
        </w:rPr>
        <w:t>vereffeningssaldo</w:t>
      </w:r>
      <w:r>
        <w:rPr>
          <w:color w:val="231F20"/>
          <w:spacing w:val="-15"/>
        </w:rPr>
        <w:t> </w:t>
      </w:r>
      <w:r>
        <w:rPr>
          <w:color w:val="231F20"/>
        </w:rPr>
        <w:t>mag</w:t>
      </w:r>
      <w:r>
        <w:rPr>
          <w:color w:val="231F20"/>
          <w:spacing w:val="-15"/>
        </w:rPr>
        <w:t> </w:t>
      </w:r>
      <w:r>
        <w:rPr>
          <w:color w:val="231F20"/>
        </w:rPr>
        <w:t>noch</w:t>
      </w:r>
      <w:r>
        <w:rPr>
          <w:color w:val="231F20"/>
          <w:spacing w:val="-14"/>
        </w:rPr>
        <w:t> </w:t>
      </w:r>
      <w:r>
        <w:rPr>
          <w:color w:val="231F20"/>
        </w:rPr>
        <w:t>rechtstreeks</w:t>
      </w:r>
      <w:r>
        <w:rPr>
          <w:color w:val="231F20"/>
          <w:spacing w:val="-15"/>
        </w:rPr>
        <w:t> </w:t>
      </w:r>
      <w:r>
        <w:rPr>
          <w:color w:val="231F20"/>
        </w:rPr>
        <w:t>noch</w:t>
      </w:r>
      <w:r>
        <w:rPr>
          <w:color w:val="231F20"/>
          <w:spacing w:val="-15"/>
        </w:rPr>
        <w:t> </w:t>
      </w:r>
      <w:r>
        <w:rPr>
          <w:color w:val="231F20"/>
        </w:rPr>
        <w:t>onrecht- streeks</w:t>
      </w:r>
      <w:r>
        <w:rPr>
          <w:color w:val="231F20"/>
          <w:spacing w:val="16"/>
        </w:rPr>
        <w:t> </w:t>
      </w:r>
      <w:r>
        <w:rPr>
          <w:color w:val="231F20"/>
        </w:rPr>
        <w:t>worden</w:t>
      </w:r>
      <w:r>
        <w:rPr>
          <w:color w:val="231F20"/>
          <w:spacing w:val="17"/>
        </w:rPr>
        <w:t> </w:t>
      </w:r>
      <w:r>
        <w:rPr>
          <w:color w:val="231F20"/>
        </w:rPr>
        <w:t>uitgekeerd</w:t>
      </w:r>
      <w:r>
        <w:rPr>
          <w:color w:val="231F20"/>
          <w:spacing w:val="17"/>
        </w:rPr>
        <w:t> </w:t>
      </w:r>
      <w:r>
        <w:rPr>
          <w:color w:val="231F20"/>
        </w:rPr>
        <w:t>aan</w:t>
      </w:r>
      <w:r>
        <w:rPr>
          <w:color w:val="231F20"/>
          <w:spacing w:val="17"/>
        </w:rPr>
        <w:t> </w:t>
      </w:r>
      <w:r>
        <w:rPr>
          <w:color w:val="231F20"/>
        </w:rPr>
        <w:t>de</w:t>
      </w:r>
      <w:r>
        <w:rPr>
          <w:color w:val="231F20"/>
          <w:spacing w:val="17"/>
        </w:rPr>
        <w:t> </w:t>
      </w:r>
      <w:r>
        <w:rPr>
          <w:color w:val="231F20"/>
        </w:rPr>
        <w:t>leden</w:t>
      </w:r>
      <w:r>
        <w:rPr>
          <w:color w:val="231F20"/>
          <w:spacing w:val="17"/>
        </w:rPr>
        <w:t> </w:t>
      </w:r>
      <w:r>
        <w:rPr>
          <w:color w:val="231F20"/>
        </w:rPr>
        <w:t>of</w:t>
      </w:r>
      <w:r>
        <w:rPr>
          <w:color w:val="231F20"/>
          <w:spacing w:val="17"/>
        </w:rPr>
        <w:t> </w:t>
      </w:r>
      <w:r>
        <w:rPr>
          <w:color w:val="231F20"/>
        </w:rPr>
        <w:t>aan</w:t>
      </w:r>
      <w:r>
        <w:rPr>
          <w:color w:val="231F20"/>
          <w:spacing w:val="16"/>
        </w:rPr>
        <w:t> </w:t>
      </w:r>
      <w:r>
        <w:rPr>
          <w:color w:val="231F20"/>
        </w:rPr>
        <w:t>de</w:t>
      </w:r>
      <w:r>
        <w:rPr>
          <w:color w:val="231F20"/>
          <w:spacing w:val="17"/>
        </w:rPr>
        <w:t> </w:t>
      </w:r>
      <w:r>
        <w:rPr>
          <w:color w:val="231F20"/>
        </w:rPr>
        <w:t>bestuurders.</w:t>
      </w:r>
    </w:p>
    <w:p>
      <w:pPr>
        <w:pStyle w:val="BodyText"/>
        <w:spacing w:line="218" w:lineRule="auto" w:before="85"/>
      </w:pPr>
      <w:r>
        <w:rPr>
          <w:color w:val="231F20"/>
        </w:rPr>
        <w:t>Bij ontstentenis van statutaire bepalingen, wordt de bestemming van het vereffeningssaldo vastgesteld door de algemene vergadering van de VZW respectievelijk het in de statuten aangewezen orgaan van de </w:t>
      </w:r>
      <w:r>
        <w:rPr>
          <w:color w:val="231F20"/>
          <w:spacing w:val="-4"/>
        </w:rPr>
        <w:t>IVZW.</w:t>
      </w:r>
    </w:p>
    <w:p>
      <w:pPr>
        <w:pStyle w:val="BodyText"/>
        <w:spacing w:line="218" w:lineRule="auto" w:before="86"/>
      </w:pPr>
      <w:r>
        <w:rPr>
          <w:color w:val="231F20"/>
        </w:rPr>
        <w:t>Bij ontstentenis van een besluit van de algemene vergadering respectievelijk van het in de statuten aangewezen orgaan, geven de vereffenaars aan het vereffeningssaldo een bestemming die zoveel mogelijk overeenkomt met het doel waarvoor de vereniging is opge- richt. De leden, de belanghebbende derden en het openbaar ministerie kunnen bij de rechtbank beroep instellen tegen het besluit van de vereffenaars.</w:t>
      </w:r>
    </w:p>
    <w:p>
      <w:pPr>
        <w:pStyle w:val="BodyText"/>
        <w:spacing w:line="218" w:lineRule="auto" w:before="97"/>
      </w:pPr>
      <w:r>
        <w:rPr>
          <w:color w:val="231F20"/>
        </w:rPr>
        <w:t>Art. 2:133. Indien uit de in artikel 2:134, § 1, bedoelde rekeningen</w:t>
      </w:r>
      <w:r>
        <w:rPr>
          <w:color w:val="231F20"/>
          <w:spacing w:val="-16"/>
        </w:rPr>
        <w:t> </w:t>
      </w:r>
      <w:r>
        <w:rPr>
          <w:color w:val="231F20"/>
        </w:rPr>
        <w:t>van de VZW’s en de IVZW’s die overeenkomstig artikel 3:47, § 6, één of meer commissarissen moeten aanstellen, blijkt dat niet alle schulden integraal kunnen worden betaald, leggen de vereffenaars vooraleer de vereffening wordt gesloten, bij eenzijdig verzoekschrift overeenkomstig de artikelen 1025 en volgende van het Gerechtelijk </w:t>
      </w:r>
      <w:r>
        <w:rPr>
          <w:color w:val="231F20"/>
          <w:spacing w:val="-3"/>
        </w:rPr>
        <w:t>Wetboek </w:t>
      </w:r>
      <w:r>
        <w:rPr>
          <w:color w:val="231F20"/>
        </w:rPr>
        <w:t>het plan voor de verdeling van de activa onder de verschillende categorieën schuldeisers ter goedkeuring voor aan de rechtbank van het rechtsge- bied waar de vereniging op het ogenblik van de indiening van dit eenzijdig verzoekschrift haar zetel heeft. </w:t>
      </w:r>
      <w:r>
        <w:rPr>
          <w:color w:val="231F20"/>
          <w:spacing w:val="-3"/>
        </w:rPr>
        <w:t>Voormeld </w:t>
      </w:r>
      <w:r>
        <w:rPr>
          <w:color w:val="231F20"/>
        </w:rPr>
        <w:t>verzoekschrift mag worden ondertekend door de vereffenaar(s), door een advocaat of door een</w:t>
      </w:r>
      <w:r>
        <w:rPr>
          <w:color w:val="231F20"/>
          <w:spacing w:val="14"/>
        </w:rPr>
        <w:t> </w:t>
      </w:r>
      <w:r>
        <w:rPr>
          <w:color w:val="231F20"/>
        </w:rPr>
        <w:t>notaris.</w:t>
      </w:r>
    </w:p>
    <w:p>
      <w:pPr>
        <w:pStyle w:val="BodyText"/>
        <w:spacing w:line="218" w:lineRule="auto" w:before="97"/>
      </w:pPr>
      <w:r>
        <w:rPr>
          <w:color w:val="231F20"/>
        </w:rPr>
        <w:t>De rechtbank kan van de vereffenaars alle dienstige inlichtingen vorderen om de geldigheid van het verdelingsplan na te gaan.</w:t>
      </w:r>
    </w:p>
    <w:p>
      <w:pPr>
        <w:pStyle w:val="BodyText"/>
        <w:spacing w:line="218" w:lineRule="auto" w:before="96"/>
      </w:pPr>
      <w:r>
        <w:rPr>
          <w:color w:val="231F20"/>
        </w:rPr>
        <w:t>Art. 2:134. § 1. Bij de beëindiging van de vereffening en ten minste één maand voor de algemene vergadering van de VZW respectievelijk voor de vergadering van het in de statuten van de IVZW aangewezen orgaan, leggen de vereffenaars op de zetel van de vereniging een cijfermatig verslag over de vereffening </w:t>
      </w:r>
      <w:r>
        <w:rPr>
          <w:color w:val="231F20"/>
          <w:spacing w:val="-3"/>
        </w:rPr>
        <w:t>neer, </w:t>
      </w:r>
      <w:r>
        <w:rPr>
          <w:color w:val="231F20"/>
        </w:rPr>
        <w:t>houdende de vereffenings- rekeningen, samen met de stukken tot staving. In voorkomend geval worden deze documenten gecontroleerd door de commissaris. Als er geen commissaris is, beschikken de leden over een individueel onderzoeksrecht, waarbij zij zich kunnen laten bijstaan door een bedrijfsrevisor of externe accountant. Aan de termijn van één maand kan slechts worden verzaakt met instemming van alle leden, hetzij individueel voorafgaandelijk aan de vergadering waarop  tot  sluiting zal worden beslist, hetzij gezamenlijk ter gelegenheid van deze vergadering voorafgaandelijk aan de behandeling van enig ander agendapunt.</w:t>
      </w:r>
    </w:p>
    <w:p>
      <w:pPr>
        <w:pStyle w:val="BodyText"/>
        <w:spacing w:line="218" w:lineRule="auto" w:before="97"/>
      </w:pPr>
      <w:r>
        <w:rPr>
          <w:color w:val="231F20"/>
        </w:rPr>
        <w:t>Nadat zij in voorkomend geval het verslag van de commissaris heeft aanhoord, beslist de vergadering over de goedkeuring van de rekenin- gen. Bij afzonderlijke stemming beslist zij aansluitend over de kwijting aan de vereffenaars en, in voorkomend geval, aan de commissaris en over de sluiting van de vereffening.</w:t>
      </w:r>
    </w:p>
    <w:p>
      <w:pPr>
        <w:pStyle w:val="BodyText"/>
        <w:spacing w:line="218" w:lineRule="auto" w:before="96"/>
      </w:pPr>
      <w:r>
        <w:rPr>
          <w:color w:val="231F20"/>
        </w:rPr>
        <w:t>§ 2. In afwijking van paragraaf 1, brengen de vereffenaars, in geval van gerechtelijke ontbinding, bij de beëindiging van de vereffening, verslag uit aan de rechtbank, waarbij zij, in voorkomend geval, aan de rechtbank een overzicht voorleggen van de waarden van de vereniging en van het gebruik ervan.</w:t>
      </w:r>
    </w:p>
    <w:p>
      <w:pPr>
        <w:pStyle w:val="BodyText"/>
        <w:spacing w:before="82"/>
        <w:ind w:left="283" w:right="0" w:firstLine="0"/>
        <w:jc w:val="left"/>
      </w:pPr>
      <w:r>
        <w:rPr>
          <w:color w:val="231F20"/>
        </w:rPr>
        <w:t>De rechtbank spreekt de sluiting van de vereffening uit.</w:t>
      </w:r>
    </w:p>
    <w:p>
      <w:pPr>
        <w:pStyle w:val="BodyText"/>
        <w:spacing w:line="218" w:lineRule="auto" w:before="93"/>
      </w:pPr>
      <w:r>
        <w:rPr>
          <w:color w:val="231F20"/>
        </w:rPr>
        <w:t>§ 3. In geval van ontbinding op grond van artikel 2:113, § 1, 4°, bepaalt de Koning welke procedure moet worden gevolgd voor de consignatie van de activa die de vereniging zouden toebehoren en wat er met die activa moet gebeuren ingeval nieuwe passiva aan het licht komen.</w:t>
      </w:r>
    </w:p>
    <w:p>
      <w:pPr>
        <w:pStyle w:val="BodyText"/>
        <w:spacing w:line="218" w:lineRule="auto" w:before="96"/>
      </w:pPr>
      <w:r>
        <w:rPr>
          <w:color w:val="231F20"/>
        </w:rPr>
        <w:t>Art. 2:135. Onverminderd artikel 2:110, zijn een ontbinding en vereffening in één akte slechts mogelijk mits naleving van de volgende voorwaarden:</w:t>
      </w:r>
    </w:p>
    <w:p>
      <w:pPr>
        <w:pStyle w:val="BodyText"/>
        <w:spacing w:before="83"/>
        <w:ind w:left="283" w:right="0" w:firstLine="0"/>
        <w:jc w:val="left"/>
      </w:pPr>
      <w:r>
        <w:rPr>
          <w:color w:val="231F20"/>
        </w:rPr>
        <w:t>1° er is geen vereffenaar aangeduid;</w:t>
      </w:r>
    </w:p>
    <w:p>
      <w:pPr>
        <w:pStyle w:val="BodyText"/>
        <w:spacing w:line="218" w:lineRule="auto" w:before="92"/>
      </w:pPr>
      <w:r>
        <w:rPr>
          <w:color w:val="231F20"/>
        </w:rPr>
        <w:t>2° alle schulden ten aanzien van leden of derden zoals vermeld in de staat van activa en passiva bedoeld in artikel 2:110, § 2, tweede lid, zijn terugbetaald of de nodige gelden om die te voldoen werden geconsig- neerd; de commissaris die overeenkomstig artikel 2:110, § 2, derde lid, een verslag opmaakt, of, als er geen commissaris is, een bedrijfsrevisor of een externe accountant, bevestigt deze betaling of consignatie in de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94" w:firstLine="0"/>
      </w:pPr>
      <w:r>
        <w:rPr/>
        <w:pict>
          <v:line style="position:absolute;mso-position-horizontal-relative:page;mso-position-vertical-relative:page;z-index:2104" from="298.170502pt,64.473pt" to="298.170502pt,812.819pt" stroked="true" strokeweight=".533pt" strokecolor="#231f20">
            <v:stroke dashstyle="solid"/>
            <w10:wrap type="none"/>
          </v:line>
        </w:pict>
      </w:r>
      <w:bookmarkStart w:name="_bookmark45" w:id="48"/>
      <w:bookmarkEnd w:id="48"/>
      <w:r>
        <w:rPr/>
      </w:r>
      <w:r>
        <w:rPr>
          <w:color w:val="231F20"/>
        </w:rPr>
        <w:t>confirme ce paiement ou cette consignation dans les conclusions de son rapport; le remboursement ou la consignation n’est toutefois pas requis pour ce qui concerne les dettes à l’égard de membres ou de tiers dont   la créance figure dans l’état résumant la situation active et passive visé à</w:t>
      </w:r>
      <w:r>
        <w:rPr>
          <w:color w:val="231F20"/>
          <w:spacing w:val="-7"/>
        </w:rPr>
        <w:t> </w:t>
      </w:r>
      <w:r>
        <w:rPr>
          <w:color w:val="231F20"/>
        </w:rPr>
        <w:t>l’article</w:t>
      </w:r>
      <w:r>
        <w:rPr>
          <w:color w:val="231F20"/>
          <w:spacing w:val="-6"/>
        </w:rPr>
        <w:t> </w:t>
      </w:r>
      <w:r>
        <w:rPr>
          <w:color w:val="231F20"/>
        </w:rPr>
        <w:t>2:110,</w:t>
      </w:r>
      <w:r>
        <w:rPr>
          <w:color w:val="231F20"/>
          <w:spacing w:val="-7"/>
        </w:rPr>
        <w:t> </w:t>
      </w:r>
      <w:r>
        <w:rPr>
          <w:color w:val="231F20"/>
        </w:rPr>
        <w:t>§</w:t>
      </w:r>
      <w:r>
        <w:rPr>
          <w:color w:val="231F20"/>
          <w:spacing w:val="-6"/>
        </w:rPr>
        <w:t> </w:t>
      </w:r>
      <w:r>
        <w:rPr>
          <w:color w:val="231F20"/>
        </w:rPr>
        <w:t>2,</w:t>
      </w:r>
      <w:r>
        <w:rPr>
          <w:color w:val="231F20"/>
          <w:spacing w:val="-6"/>
        </w:rPr>
        <w:t> </w:t>
      </w:r>
      <w:r>
        <w:rPr>
          <w:color w:val="231F20"/>
        </w:rPr>
        <w:t>alinéa</w:t>
      </w:r>
      <w:r>
        <w:rPr>
          <w:color w:val="231F20"/>
          <w:spacing w:val="-6"/>
        </w:rPr>
        <w:t> </w:t>
      </w:r>
      <w:r>
        <w:rPr>
          <w:color w:val="231F20"/>
        </w:rPr>
        <w:t>2,</w:t>
      </w:r>
      <w:r>
        <w:rPr>
          <w:color w:val="231F20"/>
          <w:spacing w:val="-6"/>
        </w:rPr>
        <w:t> </w:t>
      </w:r>
      <w:r>
        <w:rPr>
          <w:color w:val="231F20"/>
        </w:rPr>
        <w:t>et</w:t>
      </w:r>
      <w:r>
        <w:rPr>
          <w:color w:val="231F20"/>
          <w:spacing w:val="-6"/>
        </w:rPr>
        <w:t> </w:t>
      </w:r>
      <w:r>
        <w:rPr>
          <w:color w:val="231F20"/>
        </w:rPr>
        <w:t>qui</w:t>
      </w:r>
      <w:r>
        <w:rPr>
          <w:color w:val="231F20"/>
          <w:spacing w:val="-6"/>
        </w:rPr>
        <w:t> </w:t>
      </w:r>
      <w:r>
        <w:rPr>
          <w:color w:val="231F20"/>
        </w:rPr>
        <w:t>ont</w:t>
      </w:r>
      <w:r>
        <w:rPr>
          <w:color w:val="231F20"/>
          <w:spacing w:val="-7"/>
        </w:rPr>
        <w:t> </w:t>
      </w:r>
      <w:r>
        <w:rPr>
          <w:color w:val="231F20"/>
        </w:rPr>
        <w:t>confirmé</w:t>
      </w:r>
      <w:r>
        <w:rPr>
          <w:color w:val="231F20"/>
          <w:spacing w:val="-6"/>
        </w:rPr>
        <w:t> </w:t>
      </w:r>
      <w:r>
        <w:rPr>
          <w:color w:val="231F20"/>
        </w:rPr>
        <w:t>par</w:t>
      </w:r>
      <w:r>
        <w:rPr>
          <w:color w:val="231F20"/>
          <w:spacing w:val="-6"/>
        </w:rPr>
        <w:t> </w:t>
      </w:r>
      <w:r>
        <w:rPr>
          <w:color w:val="231F20"/>
        </w:rPr>
        <w:t>écrit</w:t>
      </w:r>
      <w:r>
        <w:rPr>
          <w:color w:val="231F20"/>
          <w:spacing w:val="-6"/>
        </w:rPr>
        <w:t> </w:t>
      </w:r>
      <w:r>
        <w:rPr>
          <w:color w:val="231F20"/>
        </w:rPr>
        <w:t>leur</w:t>
      </w:r>
      <w:r>
        <w:rPr>
          <w:color w:val="231F20"/>
          <w:spacing w:val="-6"/>
        </w:rPr>
        <w:t> </w:t>
      </w:r>
      <w:r>
        <w:rPr>
          <w:color w:val="231F20"/>
        </w:rPr>
        <w:t>accord</w:t>
      </w:r>
      <w:r>
        <w:rPr>
          <w:color w:val="231F20"/>
          <w:spacing w:val="-6"/>
        </w:rPr>
        <w:t> </w:t>
      </w:r>
      <w:r>
        <w:rPr>
          <w:color w:val="231F20"/>
        </w:rPr>
        <w:t>sur l’application de l’article 2:135; le commissaire, qui fait rapport confor- mément à l’article 2:110, § 2, alinéa 3, ou, lorsqu’il n’y a pas de commissaire, le réviseur d’entreprises ou l’expert-comptable externe, confirme l’existence de cet accord écrit dans les conclusions de son rapport;</w:t>
      </w:r>
    </w:p>
    <w:p>
      <w:pPr>
        <w:pStyle w:val="BodyText"/>
        <w:spacing w:line="218" w:lineRule="auto" w:before="86"/>
        <w:ind w:right="94"/>
      </w:pPr>
      <w:r>
        <w:rPr>
          <w:color w:val="231F20"/>
        </w:rPr>
        <w:t>3° tous les membres sont présents ou représentés à l’assemblée générale et se prononcent à l’unanimité des voix.</w:t>
      </w:r>
    </w:p>
    <w:p>
      <w:pPr>
        <w:pStyle w:val="BodyText"/>
        <w:spacing w:line="218" w:lineRule="auto" w:before="85"/>
        <w:ind w:right="94"/>
      </w:pPr>
      <w:r>
        <w:rPr>
          <w:color w:val="231F20"/>
        </w:rPr>
        <w:t>L’actif restant est affecté au but désintéressé à cette fin indiqué dans les statuts, ou, à défaut, au but désintéressé que l’assemblée générale indique dans le respect des conditions de quorum et de majorité requises pour la modification des statuts.</w:t>
      </w:r>
    </w:p>
    <w:p>
      <w:pPr>
        <w:pStyle w:val="BodyText"/>
        <w:ind w:left="0" w:right="0" w:firstLine="0"/>
        <w:jc w:val="left"/>
        <w:rPr>
          <w:sz w:val="23"/>
        </w:rPr>
      </w:pPr>
    </w:p>
    <w:p>
      <w:pPr>
        <w:pStyle w:val="BodyText"/>
        <w:spacing w:line="218" w:lineRule="auto"/>
        <w:ind w:right="94"/>
      </w:pPr>
      <w:r>
        <w:rPr>
          <w:color w:val="231F20"/>
        </w:rPr>
        <w:t>Art. 2:136. La clôture de la liquidation est publiée conformément aux articles 2:7 et 2:13.</w:t>
      </w:r>
    </w:p>
    <w:p>
      <w:pPr>
        <w:pStyle w:val="BodyText"/>
        <w:spacing w:before="72"/>
        <w:ind w:left="283" w:right="0" w:firstLine="0"/>
        <w:jc w:val="left"/>
      </w:pPr>
      <w:r>
        <w:rPr>
          <w:color w:val="231F20"/>
        </w:rPr>
        <w:t>Cette publication contient en outre:</w:t>
      </w:r>
    </w:p>
    <w:p>
      <w:pPr>
        <w:pStyle w:val="BodyText"/>
        <w:spacing w:line="218" w:lineRule="auto" w:before="82"/>
        <w:ind w:right="94"/>
      </w:pPr>
      <w:r>
        <w:rPr>
          <w:color w:val="231F20"/>
        </w:rPr>
        <w:t>1° l’indication de l’endroit désigné par l’assemblée générale de  l’ASBL ou de l’assemblée de l’organe désigné dans les statuts de l’AISBL, où les livres et documents sociaux sont déposés et seront conservés</w:t>
      </w:r>
      <w:r>
        <w:rPr>
          <w:color w:val="231F20"/>
          <w:spacing w:val="14"/>
        </w:rPr>
        <w:t> </w:t>
      </w:r>
      <w:r>
        <w:rPr>
          <w:color w:val="231F20"/>
        </w:rPr>
        <w:t>pendant</w:t>
      </w:r>
      <w:r>
        <w:rPr>
          <w:color w:val="231F20"/>
          <w:spacing w:val="15"/>
        </w:rPr>
        <w:t> </w:t>
      </w:r>
      <w:r>
        <w:rPr>
          <w:color w:val="231F20"/>
        </w:rPr>
        <w:t>cinq</w:t>
      </w:r>
      <w:r>
        <w:rPr>
          <w:color w:val="231F20"/>
          <w:spacing w:val="15"/>
        </w:rPr>
        <w:t> </w:t>
      </w:r>
      <w:r>
        <w:rPr>
          <w:color w:val="231F20"/>
        </w:rPr>
        <w:t>ans</w:t>
      </w:r>
      <w:r>
        <w:rPr>
          <w:color w:val="231F20"/>
          <w:spacing w:val="15"/>
        </w:rPr>
        <w:t> </w:t>
      </w:r>
      <w:r>
        <w:rPr>
          <w:color w:val="231F20"/>
        </w:rPr>
        <w:t>au</w:t>
      </w:r>
      <w:r>
        <w:rPr>
          <w:color w:val="231F20"/>
          <w:spacing w:val="15"/>
        </w:rPr>
        <w:t> </w:t>
      </w:r>
      <w:r>
        <w:rPr>
          <w:color w:val="231F20"/>
        </w:rPr>
        <w:t>moins;</w:t>
      </w:r>
    </w:p>
    <w:p>
      <w:pPr>
        <w:pStyle w:val="BodyText"/>
        <w:ind w:left="0" w:right="0" w:firstLine="0"/>
        <w:jc w:val="left"/>
        <w:rPr>
          <w:sz w:val="23"/>
        </w:rPr>
      </w:pPr>
    </w:p>
    <w:p>
      <w:pPr>
        <w:pStyle w:val="BodyText"/>
        <w:spacing w:line="218" w:lineRule="auto"/>
        <w:ind w:right="94"/>
      </w:pPr>
      <w:r>
        <w:rPr>
          <w:color w:val="231F20"/>
        </w:rPr>
        <w:t>2° l’indication des mesures prises en vue de la consignation des sommes et valeurs revenant aux créanciers et dont la remise n’aurait pu leur être faite.</w:t>
      </w:r>
    </w:p>
    <w:p>
      <w:pPr>
        <w:pStyle w:val="BodyText"/>
        <w:spacing w:line="218" w:lineRule="auto" w:before="85"/>
        <w:ind w:right="94"/>
      </w:pPr>
      <w:r>
        <w:rPr>
          <w:color w:val="231F20"/>
        </w:rPr>
        <w:t>Art. 2:137. Pour chaque liquidation, les pièces suivantes sont déposées au greffe dans le dossier visé à l’article 2:7:</w:t>
      </w:r>
    </w:p>
    <w:p>
      <w:pPr>
        <w:pStyle w:val="BodyText"/>
        <w:spacing w:before="72"/>
        <w:ind w:left="283" w:right="0" w:firstLine="0"/>
        <w:jc w:val="left"/>
      </w:pPr>
      <w:r>
        <w:rPr>
          <w:color w:val="231F20"/>
        </w:rPr>
        <w:t>1° le cas échéant, la copie des rapports visés à l’article 2:110, § 2;</w:t>
      </w:r>
    </w:p>
    <w:p>
      <w:pPr>
        <w:pStyle w:val="BodyText"/>
        <w:spacing w:before="8"/>
        <w:ind w:left="0" w:right="0" w:firstLine="0"/>
        <w:jc w:val="left"/>
        <w:rPr>
          <w:sz w:val="22"/>
        </w:rPr>
      </w:pPr>
    </w:p>
    <w:p>
      <w:pPr>
        <w:pStyle w:val="BodyText"/>
        <w:spacing w:line="218" w:lineRule="auto"/>
        <w:ind w:right="94"/>
      </w:pPr>
      <w:r>
        <w:rPr>
          <w:color w:val="231F20"/>
        </w:rPr>
        <w:t>2° le cas échéant, une copie  des  états  de  liquidation  visés  à  l’article</w:t>
      </w:r>
      <w:r>
        <w:rPr>
          <w:color w:val="231F20"/>
          <w:spacing w:val="14"/>
        </w:rPr>
        <w:t> </w:t>
      </w:r>
      <w:r>
        <w:rPr>
          <w:color w:val="231F20"/>
        </w:rPr>
        <w:t>2:125;</w:t>
      </w:r>
    </w:p>
    <w:p>
      <w:pPr>
        <w:pStyle w:val="BodyText"/>
        <w:spacing w:line="192" w:lineRule="exact" w:before="56"/>
        <w:ind w:left="284" w:right="0" w:firstLine="0"/>
        <w:jc w:val="left"/>
      </w:pPr>
      <w:r>
        <w:rPr>
          <w:color w:val="231F20"/>
        </w:rPr>
        <w:t>3° les extraits des publications prévues aux articles 2:9, § 1</w:t>
      </w:r>
      <w:r>
        <w:rPr>
          <w:color w:val="231F20"/>
          <w:position w:val="7"/>
          <w:sz w:val="11"/>
        </w:rPr>
        <w:t>er</w:t>
      </w:r>
      <w:r>
        <w:rPr>
          <w:color w:val="231F20"/>
        </w:rPr>
        <w:t>, 7°, 2:10,</w:t>
      </w:r>
    </w:p>
    <w:p>
      <w:pPr>
        <w:pStyle w:val="BodyText"/>
        <w:spacing w:line="192" w:lineRule="exact"/>
        <w:ind w:right="0" w:firstLine="0"/>
        <w:jc w:val="left"/>
      </w:pPr>
      <w:r>
        <w:rPr>
          <w:color w:val="231F20"/>
        </w:rPr>
        <w:t>§ 1</w:t>
      </w:r>
      <w:r>
        <w:rPr>
          <w:color w:val="231F20"/>
          <w:position w:val="7"/>
          <w:sz w:val="11"/>
        </w:rPr>
        <w:t>er</w:t>
      </w:r>
      <w:r>
        <w:rPr>
          <w:color w:val="231F20"/>
        </w:rPr>
        <w:t>, 7°, et 2:136;</w:t>
      </w:r>
    </w:p>
    <w:p>
      <w:pPr>
        <w:pStyle w:val="BodyText"/>
        <w:spacing w:line="218" w:lineRule="auto" w:before="82"/>
        <w:ind w:right="38"/>
      </w:pPr>
      <w:r>
        <w:rPr>
          <w:color w:val="231F20"/>
        </w:rPr>
        <w:t>4° le cas échéant, le plan de répartition de l’actif approuvé et visé à l’article 2:133;</w:t>
      </w:r>
    </w:p>
    <w:p>
      <w:pPr>
        <w:pStyle w:val="BodyText"/>
        <w:spacing w:line="218" w:lineRule="auto" w:before="86"/>
        <w:ind w:right="95"/>
      </w:pPr>
      <w:r>
        <w:rPr>
          <w:color w:val="231F20"/>
        </w:rPr>
        <w:t>5° le cas échéant, la liste des homologations et des confirmations visée à l’article 2:119.</w:t>
      </w:r>
    </w:p>
    <w:p>
      <w:pPr>
        <w:pStyle w:val="BodyText"/>
        <w:spacing w:line="218" w:lineRule="auto" w:before="85"/>
        <w:ind w:right="94"/>
      </w:pPr>
      <w:r>
        <w:rPr>
          <w:color w:val="231F20"/>
        </w:rPr>
        <w:t>Tout intéressé peut prendre gratuitement connaissance du dossier et en obtenir copie moyennant paiement des frais de greffe.</w:t>
      </w:r>
    </w:p>
    <w:p>
      <w:pPr>
        <w:pStyle w:val="BodyText"/>
        <w:spacing w:line="218" w:lineRule="auto" w:before="71"/>
        <w:ind w:right="94"/>
      </w:pPr>
      <w:r>
        <w:rPr>
          <w:color w:val="231F20"/>
        </w:rPr>
        <w:t>Art. 2:138. § 1</w:t>
      </w:r>
      <w:r>
        <w:rPr>
          <w:color w:val="231F20"/>
          <w:position w:val="7"/>
          <w:sz w:val="11"/>
        </w:rPr>
        <w:t>er</w:t>
      </w:r>
      <w:r>
        <w:rPr>
          <w:color w:val="231F20"/>
        </w:rPr>
        <w:t>. Tout créancier qui n’a pas recouvré l’intégralité de sa créance peut demander la réouverture de la liquidation si la liquidation était déficitaire lors de la clôture et s’il s’avère après celle-ci qu’un ou plusieurs actifs de l’ASBL ou de l’AISBL ont été oubliés.</w:t>
      </w:r>
    </w:p>
    <w:p>
      <w:pPr>
        <w:pStyle w:val="BodyText"/>
        <w:spacing w:before="11"/>
        <w:ind w:left="0" w:right="0" w:firstLine="0"/>
        <w:jc w:val="left"/>
        <w:rPr>
          <w:sz w:val="22"/>
        </w:rPr>
      </w:pPr>
    </w:p>
    <w:p>
      <w:pPr>
        <w:pStyle w:val="BodyText"/>
        <w:spacing w:line="218" w:lineRule="auto"/>
        <w:ind w:right="94"/>
      </w:pPr>
      <w:r>
        <w:rPr>
          <w:color w:val="231F20"/>
        </w:rPr>
        <w:t>L’action en réouverture de la liquidation est introduite contre le dernier liquidateur en fonction.</w:t>
      </w:r>
    </w:p>
    <w:p>
      <w:pPr>
        <w:pStyle w:val="BodyText"/>
        <w:spacing w:line="218" w:lineRule="auto" w:before="85"/>
        <w:ind w:right="94"/>
      </w:pPr>
      <w:r>
        <w:rPr>
          <w:color w:val="231F20"/>
        </w:rPr>
        <w:t>Le tribunal n’ordonne la réouverture de la liquidation que si la valeur de l’actif oublié dépasse les frais de réouverture. Le tribunal peut remplacer le liquidateur.</w:t>
      </w:r>
    </w:p>
    <w:p>
      <w:pPr>
        <w:pStyle w:val="BodyText"/>
        <w:ind w:left="0" w:right="0" w:firstLine="0"/>
        <w:jc w:val="left"/>
        <w:rPr>
          <w:sz w:val="23"/>
        </w:rPr>
      </w:pPr>
    </w:p>
    <w:p>
      <w:pPr>
        <w:pStyle w:val="BodyText"/>
        <w:spacing w:line="218" w:lineRule="auto" w:before="1"/>
        <w:ind w:right="94"/>
      </w:pPr>
      <w:r>
        <w:rPr>
          <w:color w:val="231F20"/>
        </w:rPr>
        <w:t>§ 2. Sans préjudice des droits des tiers de bonne foi, l’ASBL ou l’AISBL recouvre par la réouverture la personnalité juridique et devient de plein droit propriétaire de l’actif oublié. Le dernier liquidateur en fonction recouvre cette qualité.</w:t>
      </w:r>
    </w:p>
    <w:p>
      <w:pPr>
        <w:pStyle w:val="BodyText"/>
        <w:spacing w:before="11"/>
        <w:ind w:left="0" w:right="0" w:firstLine="0"/>
        <w:jc w:val="left"/>
        <w:rPr>
          <w:sz w:val="22"/>
        </w:rPr>
      </w:pPr>
    </w:p>
    <w:p>
      <w:pPr>
        <w:pStyle w:val="BodyText"/>
        <w:spacing w:line="218" w:lineRule="auto"/>
        <w:ind w:right="94"/>
      </w:pPr>
      <w:r>
        <w:rPr>
          <w:color w:val="231F20"/>
        </w:rPr>
        <w:t>§ 3. La réouverture produit ses effets entre les parties à compter de la date à laquelle elle a été prononcée. Elle n’est opposable aux tiers qu’à partir de la publication visée au paragraphe 4 et aux articles 2:7 et 2:13.</w:t>
      </w:r>
    </w:p>
    <w:p>
      <w:pPr>
        <w:pStyle w:val="BodyText"/>
        <w:ind w:left="0" w:right="0" w:firstLine="0"/>
        <w:jc w:val="left"/>
        <w:rPr>
          <w:sz w:val="23"/>
        </w:rPr>
      </w:pPr>
    </w:p>
    <w:p>
      <w:pPr>
        <w:pStyle w:val="BodyText"/>
        <w:spacing w:line="218" w:lineRule="auto"/>
        <w:ind w:right="94"/>
      </w:pPr>
      <w:r>
        <w:rPr>
          <w:color w:val="231F20"/>
        </w:rPr>
        <w:t>§ 4. L’extrait de la décision judiciaire passée en force de chose jugée ou exécutoire par provision prononçant la réouverture de la liquida- tion, de même que l’extrait de la décision judiciaire réformant le jugement précité, sont déposés et publiés  conformément  aux  arti-  cles</w:t>
      </w:r>
      <w:r>
        <w:rPr>
          <w:color w:val="231F20"/>
          <w:spacing w:val="13"/>
        </w:rPr>
        <w:t> </w:t>
      </w:r>
      <w:r>
        <w:rPr>
          <w:color w:val="231F20"/>
        </w:rPr>
        <w:t>2:9</w:t>
      </w:r>
      <w:r>
        <w:rPr>
          <w:color w:val="231F20"/>
          <w:spacing w:val="13"/>
        </w:rPr>
        <w:t> </w:t>
      </w:r>
      <w:r>
        <w:rPr>
          <w:color w:val="231F20"/>
        </w:rPr>
        <w:t>et</w:t>
      </w:r>
      <w:r>
        <w:rPr>
          <w:color w:val="231F20"/>
          <w:spacing w:val="14"/>
        </w:rPr>
        <w:t> </w:t>
      </w:r>
      <w:r>
        <w:rPr>
          <w:color w:val="231F20"/>
        </w:rPr>
        <w:t>2:15</w:t>
      </w:r>
      <w:r>
        <w:rPr>
          <w:color w:val="231F20"/>
          <w:spacing w:val="13"/>
        </w:rPr>
        <w:t> </w:t>
      </w:r>
      <w:r>
        <w:rPr>
          <w:color w:val="231F20"/>
        </w:rPr>
        <w:t>ou</w:t>
      </w:r>
      <w:r>
        <w:rPr>
          <w:color w:val="231F20"/>
          <w:spacing w:val="14"/>
        </w:rPr>
        <w:t> </w:t>
      </w:r>
      <w:r>
        <w:rPr>
          <w:color w:val="231F20"/>
        </w:rPr>
        <w:t>2:10</w:t>
      </w:r>
      <w:r>
        <w:rPr>
          <w:color w:val="231F20"/>
          <w:spacing w:val="13"/>
        </w:rPr>
        <w:t> </w:t>
      </w:r>
      <w:r>
        <w:rPr>
          <w:color w:val="231F20"/>
        </w:rPr>
        <w:t>et</w:t>
      </w:r>
      <w:r>
        <w:rPr>
          <w:color w:val="231F20"/>
          <w:spacing w:val="14"/>
        </w:rPr>
        <w:t> </w:t>
      </w:r>
      <w:r>
        <w:rPr>
          <w:color w:val="231F20"/>
        </w:rPr>
        <w:t>2:16.</w:t>
      </w:r>
    </w:p>
    <w:p>
      <w:pPr>
        <w:pStyle w:val="BodyText"/>
        <w:spacing w:before="9"/>
        <w:ind w:left="0" w:right="0" w:firstLine="0"/>
        <w:jc w:val="left"/>
        <w:rPr>
          <w:sz w:val="21"/>
        </w:rPr>
      </w:pPr>
    </w:p>
    <w:p>
      <w:pPr>
        <w:pStyle w:val="BodyText"/>
        <w:ind w:left="283" w:right="0" w:firstLine="0"/>
        <w:jc w:val="left"/>
      </w:pPr>
      <w:r>
        <w:rPr>
          <w:color w:val="231F20"/>
        </w:rPr>
        <w:t>Cet extrait contient:</w:t>
      </w:r>
    </w:p>
    <w:p>
      <w:pPr>
        <w:pStyle w:val="BodyText"/>
        <w:spacing w:line="338" w:lineRule="auto" w:before="79"/>
        <w:ind w:left="283" w:right="1053" w:hanging="1"/>
        <w:jc w:val="left"/>
      </w:pPr>
      <w:r>
        <w:rPr>
          <w:color w:val="231F20"/>
        </w:rPr>
        <w:t>1° la dénomination et le siège de l’ASBL ou de l’AISBL;  2°</w:t>
      </w:r>
      <w:r>
        <w:rPr>
          <w:color w:val="231F20"/>
          <w:spacing w:val="14"/>
        </w:rPr>
        <w:t> </w:t>
      </w:r>
      <w:r>
        <w:rPr>
          <w:color w:val="231F20"/>
        </w:rPr>
        <w:t>la</w:t>
      </w:r>
      <w:r>
        <w:rPr>
          <w:color w:val="231F20"/>
          <w:spacing w:val="15"/>
        </w:rPr>
        <w:t> </w:t>
      </w:r>
      <w:r>
        <w:rPr>
          <w:color w:val="231F20"/>
        </w:rPr>
        <w:t>date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et</w:t>
      </w:r>
      <w:r>
        <w:rPr>
          <w:color w:val="231F20"/>
          <w:spacing w:val="15"/>
        </w:rPr>
        <w:t> </w:t>
      </w:r>
      <w:r>
        <w:rPr>
          <w:color w:val="231F20"/>
        </w:rPr>
        <w:t>le</w:t>
      </w:r>
      <w:r>
        <w:rPr>
          <w:color w:val="231F20"/>
          <w:spacing w:val="15"/>
        </w:rPr>
        <w:t> </w:t>
      </w:r>
      <w:r>
        <w:rPr>
          <w:color w:val="231F20"/>
        </w:rPr>
        <w:t>juge</w:t>
      </w:r>
      <w:r>
        <w:rPr>
          <w:color w:val="231F20"/>
          <w:spacing w:val="15"/>
        </w:rPr>
        <w:t> </w:t>
      </w:r>
      <w:r>
        <w:rPr>
          <w:color w:val="231F20"/>
        </w:rPr>
        <w:t>qui</w:t>
      </w:r>
      <w:r>
        <w:rPr>
          <w:color w:val="231F20"/>
          <w:spacing w:val="15"/>
        </w:rPr>
        <w:t> </w:t>
      </w:r>
      <w:r>
        <w:rPr>
          <w:color w:val="231F20"/>
        </w:rPr>
        <w:t>l’a</w:t>
      </w:r>
      <w:r>
        <w:rPr>
          <w:color w:val="231F20"/>
          <w:spacing w:val="15"/>
        </w:rPr>
        <w:t> </w:t>
      </w:r>
      <w:r>
        <w:rPr>
          <w:color w:val="231F20"/>
        </w:rPr>
        <w:t>prononcée;</w:t>
      </w:r>
    </w:p>
    <w:p>
      <w:pPr>
        <w:pStyle w:val="BodyText"/>
        <w:spacing w:line="218" w:lineRule="auto" w:before="13"/>
        <w:ind w:right="94"/>
      </w:pPr>
      <w:r>
        <w:rPr>
          <w:color w:val="231F20"/>
        </w:rPr>
        <w:t>3° les nom, prénom et domicile des liquidateurs et, lorsque le liquidateur est une personne morale, du représentant permanent.</w:t>
      </w:r>
    </w:p>
    <w:p>
      <w:pPr>
        <w:pStyle w:val="BodyText"/>
        <w:spacing w:line="218" w:lineRule="auto" w:before="119"/>
        <w:ind w:firstLine="0"/>
      </w:pPr>
      <w:r>
        <w:rPr/>
        <w:br w:type="column"/>
      </w:r>
      <w:r>
        <w:rPr>
          <w:color w:val="231F20"/>
        </w:rPr>
        <w:t>conclusies van zijn verslag; de terugbetaling of consignatie is evenwel niet vereist voor wat betreft de schulden aan leden of derden wiens schuldvordering is opgenomen in de staat van activa en passiva  bedoeld in artikel 2:110, § 2, tweede lid, en die schriftelijk hebben bevestigd in te stemmen met de toepassing van artikel 2:135; de commissaris</w:t>
      </w:r>
      <w:r>
        <w:rPr>
          <w:color w:val="231F20"/>
          <w:spacing w:val="-4"/>
        </w:rPr>
        <w:t> </w:t>
      </w:r>
      <w:r>
        <w:rPr>
          <w:color w:val="231F20"/>
        </w:rPr>
        <w:t>die</w:t>
      </w:r>
      <w:r>
        <w:rPr>
          <w:color w:val="231F20"/>
          <w:spacing w:val="-3"/>
        </w:rPr>
        <w:t> </w:t>
      </w:r>
      <w:r>
        <w:rPr>
          <w:color w:val="231F20"/>
        </w:rPr>
        <w:t>overeenkomstig</w:t>
      </w:r>
      <w:r>
        <w:rPr>
          <w:color w:val="231F20"/>
          <w:spacing w:val="-3"/>
        </w:rPr>
        <w:t> </w:t>
      </w:r>
      <w:r>
        <w:rPr>
          <w:color w:val="231F20"/>
        </w:rPr>
        <w:t>artikel</w:t>
      </w:r>
      <w:r>
        <w:rPr>
          <w:color w:val="231F20"/>
          <w:spacing w:val="-3"/>
        </w:rPr>
        <w:t> </w:t>
      </w:r>
      <w:r>
        <w:rPr>
          <w:color w:val="231F20"/>
        </w:rPr>
        <w:t>2:110,</w:t>
      </w:r>
      <w:r>
        <w:rPr>
          <w:color w:val="231F20"/>
          <w:spacing w:val="-4"/>
        </w:rPr>
        <w:t> </w:t>
      </w:r>
      <w:r>
        <w:rPr>
          <w:color w:val="231F20"/>
        </w:rPr>
        <w:t>§</w:t>
      </w:r>
      <w:r>
        <w:rPr>
          <w:color w:val="231F20"/>
          <w:spacing w:val="-3"/>
        </w:rPr>
        <w:t> </w:t>
      </w:r>
      <w:r>
        <w:rPr>
          <w:color w:val="231F20"/>
        </w:rPr>
        <w:t>2,</w:t>
      </w:r>
      <w:r>
        <w:rPr>
          <w:color w:val="231F20"/>
          <w:spacing w:val="-3"/>
        </w:rPr>
        <w:t> </w:t>
      </w:r>
      <w:r>
        <w:rPr>
          <w:color w:val="231F20"/>
        </w:rPr>
        <w:t>derde</w:t>
      </w:r>
      <w:r>
        <w:rPr>
          <w:color w:val="231F20"/>
          <w:spacing w:val="-3"/>
        </w:rPr>
        <w:t> </w:t>
      </w:r>
      <w:r>
        <w:rPr>
          <w:color w:val="231F20"/>
        </w:rPr>
        <w:t>lid,</w:t>
      </w:r>
      <w:r>
        <w:rPr>
          <w:color w:val="231F20"/>
          <w:spacing w:val="-3"/>
        </w:rPr>
        <w:t> </w:t>
      </w:r>
      <w:r>
        <w:rPr>
          <w:color w:val="231F20"/>
        </w:rPr>
        <w:t>een</w:t>
      </w:r>
      <w:r>
        <w:rPr>
          <w:color w:val="231F20"/>
          <w:spacing w:val="-4"/>
        </w:rPr>
        <w:t> </w:t>
      </w:r>
      <w:r>
        <w:rPr>
          <w:color w:val="231F20"/>
        </w:rPr>
        <w:t>verslag opmaakt, of, als er geen commissaris is, een bedrijfsrevisor of externe accountant, bevestigt dit schriftelijk akkoord in de conclusies van zijn verslag;</w:t>
      </w:r>
    </w:p>
    <w:p>
      <w:pPr>
        <w:pStyle w:val="BodyText"/>
        <w:spacing w:before="1"/>
        <w:ind w:left="0" w:right="0" w:firstLine="0"/>
        <w:jc w:val="left"/>
        <w:rPr>
          <w:sz w:val="23"/>
        </w:rPr>
      </w:pPr>
    </w:p>
    <w:p>
      <w:pPr>
        <w:pStyle w:val="BodyText"/>
        <w:spacing w:line="218" w:lineRule="auto"/>
      </w:pPr>
      <w:r>
        <w:rPr>
          <w:color w:val="231F20"/>
        </w:rPr>
        <w:t>3° alle leden zijn op de algemene vergadering aanwezig of vertegen- woordigd en besluiten met eenparigheid van stemmen.</w:t>
      </w:r>
    </w:p>
    <w:p>
      <w:pPr>
        <w:pStyle w:val="BodyText"/>
        <w:spacing w:line="218" w:lineRule="auto" w:before="85"/>
      </w:pPr>
      <w:r>
        <w:rPr>
          <w:color w:val="231F20"/>
        </w:rPr>
        <w:t>Het resterend actief wordt bestemd voor het daartoe in de statuten aangewezen belangeloos doel, of bij gebrek daaraan, aan het belange- loos doel dat de algemene vergadering aanwijst, met naleving van de aanwezigheids- en de meerderheidsvereisten voorgeschreven voor een statutenwijziging.</w:t>
      </w:r>
    </w:p>
    <w:p>
      <w:pPr>
        <w:pStyle w:val="BodyText"/>
        <w:spacing w:line="218" w:lineRule="auto" w:before="86"/>
      </w:pPr>
      <w:r>
        <w:rPr>
          <w:color w:val="231F20"/>
        </w:rPr>
        <w:t>Art. 2:136. De sluiting van de vereffening wordt bekendgemaakt overeenkomstig de artikelen 2:7 en 2:13.</w:t>
      </w:r>
    </w:p>
    <w:p>
      <w:pPr>
        <w:pStyle w:val="BodyText"/>
        <w:spacing w:before="72"/>
        <w:ind w:left="283" w:right="0" w:firstLine="0"/>
        <w:jc w:val="left"/>
      </w:pPr>
      <w:r>
        <w:rPr>
          <w:color w:val="231F20"/>
        </w:rPr>
        <w:t>Deze bekendmaking behelst bovendien opgave:</w:t>
      </w:r>
    </w:p>
    <w:p>
      <w:pPr>
        <w:pStyle w:val="BodyText"/>
        <w:spacing w:line="218" w:lineRule="auto" w:before="82"/>
      </w:pPr>
      <w:r>
        <w:rPr>
          <w:color w:val="231F20"/>
        </w:rPr>
        <w:t>1° van de plaats, aangewezen door de algemene vergadering van de VZW respectievelijk door de vergadering van het in de statuten van de IVZW aangewezen orgaan, waar de boeken en bescheiden van de vereniging moeten worden neergelegd en bewaard gedurende ten minste vijf jaar;</w:t>
      </w:r>
    </w:p>
    <w:p>
      <w:pPr>
        <w:pStyle w:val="BodyText"/>
        <w:spacing w:line="218" w:lineRule="auto" w:before="85"/>
      </w:pPr>
      <w:r>
        <w:rPr>
          <w:color w:val="231F20"/>
        </w:rPr>
        <w:t>2° van de maatregelen, genomen voor de consignatie van de gelden en waarden die aan schuldeisers toekomen en die hun niet</w:t>
      </w:r>
      <w:r>
        <w:rPr>
          <w:color w:val="231F20"/>
          <w:spacing w:val="16"/>
        </w:rPr>
        <w:t> </w:t>
      </w:r>
      <w:r>
        <w:rPr>
          <w:color w:val="231F20"/>
        </w:rPr>
        <w:t>konden worden</w:t>
      </w:r>
      <w:r>
        <w:rPr>
          <w:color w:val="231F20"/>
          <w:spacing w:val="15"/>
        </w:rPr>
        <w:t> </w:t>
      </w:r>
      <w:r>
        <w:rPr>
          <w:color w:val="231F20"/>
        </w:rPr>
        <w:t>afgegeven.</w:t>
      </w:r>
    </w:p>
    <w:p>
      <w:pPr>
        <w:pStyle w:val="BodyText"/>
        <w:spacing w:line="218" w:lineRule="auto" w:before="86"/>
      </w:pPr>
      <w:r>
        <w:rPr>
          <w:color w:val="231F20"/>
        </w:rPr>
        <w:t>Art. 2:137. </w:t>
      </w:r>
      <w:r>
        <w:rPr>
          <w:color w:val="231F20"/>
          <w:spacing w:val="-5"/>
        </w:rPr>
        <w:t>Voor  </w:t>
      </w:r>
      <w:r>
        <w:rPr>
          <w:color w:val="231F20"/>
        </w:rPr>
        <w:t>elke  vereffening  worden  ter  </w:t>
      </w:r>
      <w:r>
        <w:rPr>
          <w:color w:val="231F20"/>
          <w:spacing w:val="-4"/>
        </w:rPr>
        <w:t>griffie  </w:t>
      </w:r>
      <w:r>
        <w:rPr>
          <w:color w:val="231F20"/>
        </w:rPr>
        <w:t>in  het  in artikel</w:t>
      </w:r>
      <w:r>
        <w:rPr>
          <w:color w:val="231F20"/>
          <w:spacing w:val="16"/>
        </w:rPr>
        <w:t> </w:t>
      </w:r>
      <w:r>
        <w:rPr>
          <w:color w:val="231F20"/>
        </w:rPr>
        <w:t>2:7</w:t>
      </w:r>
      <w:r>
        <w:rPr>
          <w:color w:val="231F20"/>
          <w:spacing w:val="16"/>
        </w:rPr>
        <w:t> </w:t>
      </w:r>
      <w:r>
        <w:rPr>
          <w:color w:val="231F20"/>
        </w:rPr>
        <w:t>bedoelde</w:t>
      </w:r>
      <w:r>
        <w:rPr>
          <w:color w:val="231F20"/>
          <w:spacing w:val="16"/>
        </w:rPr>
        <w:t> </w:t>
      </w:r>
      <w:r>
        <w:rPr>
          <w:color w:val="231F20"/>
        </w:rPr>
        <w:t>dossier,</w:t>
      </w:r>
      <w:r>
        <w:rPr>
          <w:color w:val="231F20"/>
          <w:spacing w:val="16"/>
        </w:rPr>
        <w:t> </w:t>
      </w:r>
      <w:r>
        <w:rPr>
          <w:color w:val="231F20"/>
        </w:rPr>
        <w:t>de</w:t>
      </w:r>
      <w:r>
        <w:rPr>
          <w:color w:val="231F20"/>
          <w:spacing w:val="16"/>
        </w:rPr>
        <w:t> </w:t>
      </w:r>
      <w:r>
        <w:rPr>
          <w:color w:val="231F20"/>
        </w:rPr>
        <w:t>volgende</w:t>
      </w:r>
      <w:r>
        <w:rPr>
          <w:color w:val="231F20"/>
          <w:spacing w:val="16"/>
        </w:rPr>
        <w:t> </w:t>
      </w:r>
      <w:r>
        <w:rPr>
          <w:color w:val="231F20"/>
        </w:rPr>
        <w:t>stukken</w:t>
      </w:r>
      <w:r>
        <w:rPr>
          <w:color w:val="231F20"/>
          <w:spacing w:val="17"/>
        </w:rPr>
        <w:t> </w:t>
      </w:r>
      <w:r>
        <w:rPr>
          <w:color w:val="231F20"/>
        </w:rPr>
        <w:t>neergelegd:</w:t>
      </w:r>
    </w:p>
    <w:p>
      <w:pPr>
        <w:pStyle w:val="BodyText"/>
        <w:spacing w:line="218" w:lineRule="auto" w:before="85"/>
        <w:ind w:right="125"/>
      </w:pPr>
      <w:r>
        <w:rPr>
          <w:color w:val="231F20"/>
        </w:rPr>
        <w:t>1° in voorkomend geval, de kopie van de in artikel 2:110, § 2, bedoelde</w:t>
      </w:r>
      <w:r>
        <w:rPr>
          <w:color w:val="231F20"/>
          <w:spacing w:val="15"/>
        </w:rPr>
        <w:t> </w:t>
      </w:r>
      <w:r>
        <w:rPr>
          <w:color w:val="231F20"/>
        </w:rPr>
        <w:t>verslagen;</w:t>
      </w:r>
    </w:p>
    <w:p>
      <w:pPr>
        <w:pStyle w:val="BodyText"/>
        <w:spacing w:line="218" w:lineRule="auto" w:before="86"/>
      </w:pPr>
      <w:r>
        <w:rPr>
          <w:color w:val="231F20"/>
        </w:rPr>
        <w:t>2° in voorkomend geval, een kopie van de in artikel 2:125 bedoelde vereffeningsstaten;</w:t>
      </w:r>
    </w:p>
    <w:p>
      <w:pPr>
        <w:pStyle w:val="BodyText"/>
        <w:spacing w:line="185" w:lineRule="exact" w:before="71"/>
        <w:ind w:left="283" w:right="0" w:firstLine="0"/>
        <w:jc w:val="left"/>
      </w:pPr>
      <w:r>
        <w:rPr>
          <w:color w:val="231F20"/>
        </w:rPr>
        <w:t>3° de uittreksels van de in de artikelen 2:9, § 1, 7°, 2:10, § 1, 7°, en</w:t>
      </w:r>
    </w:p>
    <w:p>
      <w:pPr>
        <w:pStyle w:val="BodyText"/>
        <w:spacing w:line="185" w:lineRule="exact"/>
        <w:ind w:right="0" w:firstLine="0"/>
        <w:jc w:val="left"/>
      </w:pPr>
      <w:r>
        <w:rPr>
          <w:color w:val="231F20"/>
        </w:rPr>
        <w:t>2:136 bedoelde bekendmakingen;</w:t>
      </w:r>
    </w:p>
    <w:p>
      <w:pPr>
        <w:pStyle w:val="BodyText"/>
        <w:spacing w:line="218" w:lineRule="auto" w:before="82"/>
      </w:pPr>
      <w:r>
        <w:rPr>
          <w:color w:val="231F20"/>
        </w:rPr>
        <w:t>4° in voorkomend geval, het in artikel 2:133 bedoelde en goedge- keurde plan voor de verdeling van de activa;</w:t>
      </w:r>
    </w:p>
    <w:p>
      <w:pPr>
        <w:pStyle w:val="BodyText"/>
        <w:spacing w:line="218" w:lineRule="auto" w:before="86"/>
      </w:pPr>
      <w:r>
        <w:rPr>
          <w:color w:val="231F20"/>
        </w:rPr>
        <w:t>5° in voorkomend geval, de lijst van de in artikel 2:119 bedoelde homologaties en bevestigingen.</w:t>
      </w:r>
    </w:p>
    <w:p>
      <w:pPr>
        <w:pStyle w:val="BodyText"/>
        <w:spacing w:line="218" w:lineRule="auto" w:before="85"/>
      </w:pPr>
      <w:r>
        <w:rPr>
          <w:color w:val="231F20"/>
        </w:rPr>
        <w:t>Elke belanghebbende kan kosteloos inzage nemen van het dossier en er tegen betaling van de griffiekosten een kopie van verkrijgen.</w:t>
      </w:r>
    </w:p>
    <w:p>
      <w:pPr>
        <w:pStyle w:val="BodyText"/>
        <w:spacing w:line="218" w:lineRule="auto" w:before="86"/>
      </w:pPr>
      <w:r>
        <w:rPr>
          <w:color w:val="231F20"/>
        </w:rPr>
        <w:t>Art. 2:138. § 1. Als de vereffening met een tekort werd afgesloten en na de sluiting van de vereffening blijkt dat één of meerdere actieve vermogensbestanddelen van de VZW of van de IVZW  werden  vergeten, kan elke schuldeiser wiens schuldvordering niet integraal werd</w:t>
      </w:r>
      <w:r>
        <w:rPr>
          <w:color w:val="231F20"/>
          <w:spacing w:val="17"/>
        </w:rPr>
        <w:t> </w:t>
      </w:r>
      <w:r>
        <w:rPr>
          <w:color w:val="231F20"/>
        </w:rPr>
        <w:t>voldaan</w:t>
      </w:r>
      <w:r>
        <w:rPr>
          <w:color w:val="231F20"/>
          <w:spacing w:val="18"/>
        </w:rPr>
        <w:t> </w:t>
      </w:r>
      <w:r>
        <w:rPr>
          <w:color w:val="231F20"/>
        </w:rPr>
        <w:t>de</w:t>
      </w:r>
      <w:r>
        <w:rPr>
          <w:color w:val="231F20"/>
          <w:spacing w:val="18"/>
        </w:rPr>
        <w:t> </w:t>
      </w:r>
      <w:r>
        <w:rPr>
          <w:color w:val="231F20"/>
        </w:rPr>
        <w:t>heropening</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vereffening</w:t>
      </w:r>
      <w:r>
        <w:rPr>
          <w:color w:val="231F20"/>
          <w:spacing w:val="18"/>
        </w:rPr>
        <w:t> </w:t>
      </w:r>
      <w:r>
        <w:rPr>
          <w:color w:val="231F20"/>
        </w:rPr>
        <w:t>vorderen.</w:t>
      </w:r>
    </w:p>
    <w:p>
      <w:pPr>
        <w:pStyle w:val="BodyText"/>
        <w:spacing w:line="218" w:lineRule="auto" w:before="85"/>
      </w:pPr>
      <w:r>
        <w:rPr>
          <w:color w:val="231F20"/>
        </w:rPr>
        <w:t>De vordering tot heropening van de vereffening wordt ingesteld tegen</w:t>
      </w:r>
      <w:r>
        <w:rPr>
          <w:color w:val="231F20"/>
          <w:spacing w:val="15"/>
        </w:rPr>
        <w:t> </w:t>
      </w:r>
      <w:r>
        <w:rPr>
          <w:color w:val="231F20"/>
        </w:rPr>
        <w:t>de</w:t>
      </w:r>
      <w:r>
        <w:rPr>
          <w:color w:val="231F20"/>
          <w:spacing w:val="15"/>
        </w:rPr>
        <w:t> </w:t>
      </w:r>
      <w:r>
        <w:rPr>
          <w:color w:val="231F20"/>
        </w:rPr>
        <w:t>vereffenaar</w:t>
      </w:r>
      <w:r>
        <w:rPr>
          <w:color w:val="231F20"/>
          <w:spacing w:val="15"/>
        </w:rPr>
        <w:t> </w:t>
      </w:r>
      <w:r>
        <w:rPr>
          <w:color w:val="231F20"/>
        </w:rPr>
        <w:t>die</w:t>
      </w:r>
      <w:r>
        <w:rPr>
          <w:color w:val="231F20"/>
          <w:spacing w:val="15"/>
        </w:rPr>
        <w:t> </w:t>
      </w:r>
      <w:r>
        <w:rPr>
          <w:color w:val="231F20"/>
        </w:rPr>
        <w:t>laatst</w:t>
      </w:r>
      <w:r>
        <w:rPr>
          <w:color w:val="231F20"/>
          <w:spacing w:val="16"/>
        </w:rPr>
        <w:t> </w:t>
      </w:r>
      <w:r>
        <w:rPr>
          <w:color w:val="231F20"/>
        </w:rPr>
        <w:t>in</w:t>
      </w:r>
      <w:r>
        <w:rPr>
          <w:color w:val="231F20"/>
          <w:spacing w:val="15"/>
        </w:rPr>
        <w:t> </w:t>
      </w:r>
      <w:r>
        <w:rPr>
          <w:color w:val="231F20"/>
        </w:rPr>
        <w:t>functie</w:t>
      </w:r>
      <w:r>
        <w:rPr>
          <w:color w:val="231F20"/>
          <w:spacing w:val="15"/>
        </w:rPr>
        <w:t> </w:t>
      </w:r>
      <w:r>
        <w:rPr>
          <w:color w:val="231F20"/>
        </w:rPr>
        <w:t>was.</w:t>
      </w:r>
    </w:p>
    <w:p>
      <w:pPr>
        <w:pStyle w:val="BodyText"/>
        <w:spacing w:line="218" w:lineRule="auto" w:before="86"/>
        <w:ind w:right="123"/>
      </w:pPr>
      <w:r>
        <w:rPr>
          <w:color w:val="231F20"/>
        </w:rPr>
        <w:t>De rechtbank beveelt slechts de heropening van de vereffening indien de waarde van het vergeten actieve vermogensbestanddeel de kosten van de heropening overschrijdt. De rechtbank kan de vereffenaar vervangen.</w:t>
      </w:r>
    </w:p>
    <w:p>
      <w:pPr>
        <w:pStyle w:val="BodyText"/>
        <w:spacing w:line="218" w:lineRule="auto" w:before="85"/>
      </w:pPr>
      <w:r>
        <w:rPr>
          <w:color w:val="231F20"/>
        </w:rPr>
        <w:t>§ 2. Onverminderd de rechten van derden te goeder trouw, verkrijgt de VZW of de IVZW door de heropening opnieuw rechtspersoonlijk- heid en wordt zij van rechtswege eigenaar van het vergeten actieve vermogensbestanddeel. De vereffenaar die laatst in functie was ver- krijgt opnieuw deze hoedanigheid.</w:t>
      </w:r>
    </w:p>
    <w:p>
      <w:pPr>
        <w:pStyle w:val="BodyText"/>
        <w:spacing w:line="218" w:lineRule="auto" w:before="86"/>
      </w:pPr>
      <w:r>
        <w:rPr>
          <w:color w:val="231F20"/>
        </w:rPr>
        <w:t>§ 3. Tussen partijen heeft de heropening gevolgen vanaf de dag dat zij is uitgesproken. Aan derden kan zij slechts worden tegengeworpen vanaf de bekendmaking bedoeld in paragraaf 4 en de artikelen 2:7 en 2:13.</w:t>
      </w:r>
    </w:p>
    <w:p>
      <w:pPr>
        <w:pStyle w:val="BodyText"/>
        <w:spacing w:line="218" w:lineRule="auto" w:before="86"/>
      </w:pPr>
      <w:r>
        <w:rPr>
          <w:color w:val="231F20"/>
        </w:rPr>
        <w:t>§ 4. Het uittreksel uit de in kracht van gewijsde gegane of bij voorraad uitvoerbare rechterlijke beslissing waarbij de heropening van de vereffening wordt uitgesproken, alsook het uittreksel uit de rechterlijke beslissing waarbij voornoemd vonnis wordt tenietgedaan, worden  neergelegd  en  bekendgemaakt  overeenkomstig  de  artike- len</w:t>
      </w:r>
      <w:r>
        <w:rPr>
          <w:color w:val="231F20"/>
          <w:spacing w:val="13"/>
        </w:rPr>
        <w:t> </w:t>
      </w:r>
      <w:r>
        <w:rPr>
          <w:color w:val="231F20"/>
        </w:rPr>
        <w:t>2:9</w:t>
      </w:r>
      <w:r>
        <w:rPr>
          <w:color w:val="231F20"/>
          <w:spacing w:val="13"/>
        </w:rPr>
        <w:t> </w:t>
      </w:r>
      <w:r>
        <w:rPr>
          <w:color w:val="231F20"/>
        </w:rPr>
        <w:t>en</w:t>
      </w:r>
      <w:r>
        <w:rPr>
          <w:color w:val="231F20"/>
          <w:spacing w:val="14"/>
        </w:rPr>
        <w:t> </w:t>
      </w:r>
      <w:r>
        <w:rPr>
          <w:color w:val="231F20"/>
        </w:rPr>
        <w:t>2:15</w:t>
      </w:r>
      <w:r>
        <w:rPr>
          <w:color w:val="231F20"/>
          <w:spacing w:val="13"/>
        </w:rPr>
        <w:t> </w:t>
      </w:r>
      <w:r>
        <w:rPr>
          <w:color w:val="231F20"/>
        </w:rPr>
        <w:t>of</w:t>
      </w:r>
      <w:r>
        <w:rPr>
          <w:color w:val="231F20"/>
          <w:spacing w:val="14"/>
        </w:rPr>
        <w:t> </w:t>
      </w:r>
      <w:r>
        <w:rPr>
          <w:color w:val="231F20"/>
        </w:rPr>
        <w:t>2:10</w:t>
      </w:r>
      <w:r>
        <w:rPr>
          <w:color w:val="231F20"/>
          <w:spacing w:val="13"/>
        </w:rPr>
        <w:t> </w:t>
      </w:r>
      <w:r>
        <w:rPr>
          <w:color w:val="231F20"/>
        </w:rPr>
        <w:t>en</w:t>
      </w:r>
      <w:r>
        <w:rPr>
          <w:color w:val="231F20"/>
          <w:spacing w:val="14"/>
        </w:rPr>
        <w:t> </w:t>
      </w:r>
      <w:r>
        <w:rPr>
          <w:color w:val="231F20"/>
        </w:rPr>
        <w:t>2:16.</w:t>
      </w:r>
    </w:p>
    <w:p>
      <w:pPr>
        <w:pStyle w:val="BodyText"/>
        <w:spacing w:before="71"/>
        <w:ind w:left="283" w:right="0" w:firstLine="0"/>
        <w:jc w:val="left"/>
      </w:pPr>
      <w:r>
        <w:rPr>
          <w:color w:val="231F20"/>
        </w:rPr>
        <w:t>Dat uittreksel vermeldt:</w:t>
      </w:r>
    </w:p>
    <w:p>
      <w:pPr>
        <w:pStyle w:val="BodyText"/>
        <w:spacing w:before="79"/>
        <w:ind w:left="283" w:right="0" w:firstLine="0"/>
        <w:jc w:val="left"/>
      </w:pPr>
      <w:r>
        <w:rPr>
          <w:color w:val="231F20"/>
        </w:rPr>
        <w:t>1° de naam en de zetel van de VZW of van de IVZW;</w:t>
      </w:r>
    </w:p>
    <w:p>
      <w:pPr>
        <w:pStyle w:val="BodyText"/>
        <w:spacing w:line="270" w:lineRule="atLeast" w:before="2"/>
        <w:ind w:left="283" w:hanging="1"/>
        <w:jc w:val="left"/>
      </w:pPr>
      <w:r>
        <w:rPr>
          <w:color w:val="231F20"/>
        </w:rPr>
        <w:t>2° de datum van de beslissing en de rechter die ze heeft gewezen;     3°</w:t>
      </w:r>
      <w:r>
        <w:rPr>
          <w:color w:val="231F20"/>
          <w:spacing w:val="19"/>
        </w:rPr>
        <w:t> </w:t>
      </w:r>
      <w:r>
        <w:rPr>
          <w:color w:val="231F20"/>
        </w:rPr>
        <w:t>de</w:t>
      </w:r>
      <w:r>
        <w:rPr>
          <w:color w:val="231F20"/>
          <w:spacing w:val="19"/>
        </w:rPr>
        <w:t> </w:t>
      </w:r>
      <w:r>
        <w:rPr>
          <w:color w:val="231F20"/>
        </w:rPr>
        <w:t>naam,</w:t>
      </w:r>
      <w:r>
        <w:rPr>
          <w:color w:val="231F20"/>
          <w:spacing w:val="19"/>
        </w:rPr>
        <w:t> </w:t>
      </w:r>
      <w:r>
        <w:rPr>
          <w:color w:val="231F20"/>
        </w:rPr>
        <w:t>de</w:t>
      </w:r>
      <w:r>
        <w:rPr>
          <w:color w:val="231F20"/>
          <w:spacing w:val="20"/>
        </w:rPr>
        <w:t> </w:t>
      </w:r>
      <w:r>
        <w:rPr>
          <w:color w:val="231F20"/>
        </w:rPr>
        <w:t>voornaam</w:t>
      </w:r>
      <w:r>
        <w:rPr>
          <w:color w:val="231F20"/>
          <w:spacing w:val="19"/>
        </w:rPr>
        <w:t> </w:t>
      </w:r>
      <w:r>
        <w:rPr>
          <w:color w:val="231F20"/>
        </w:rPr>
        <w:t>en</w:t>
      </w:r>
      <w:r>
        <w:rPr>
          <w:color w:val="231F20"/>
          <w:spacing w:val="19"/>
        </w:rPr>
        <w:t> </w:t>
      </w:r>
      <w:r>
        <w:rPr>
          <w:color w:val="231F20"/>
        </w:rPr>
        <w:t>de</w:t>
      </w:r>
      <w:r>
        <w:rPr>
          <w:color w:val="231F20"/>
          <w:spacing w:val="19"/>
        </w:rPr>
        <w:t> </w:t>
      </w:r>
      <w:r>
        <w:rPr>
          <w:color w:val="231F20"/>
        </w:rPr>
        <w:t>woonplaats</w:t>
      </w:r>
      <w:r>
        <w:rPr>
          <w:color w:val="231F20"/>
          <w:spacing w:val="20"/>
        </w:rPr>
        <w:t> </w:t>
      </w:r>
      <w:r>
        <w:rPr>
          <w:color w:val="231F20"/>
        </w:rPr>
        <w:t>van</w:t>
      </w:r>
      <w:r>
        <w:rPr>
          <w:color w:val="231F20"/>
          <w:spacing w:val="19"/>
        </w:rPr>
        <w:t> </w:t>
      </w:r>
      <w:r>
        <w:rPr>
          <w:color w:val="231F20"/>
        </w:rPr>
        <w:t>de</w:t>
      </w:r>
      <w:r>
        <w:rPr>
          <w:color w:val="231F20"/>
          <w:spacing w:val="19"/>
        </w:rPr>
        <w:t> </w:t>
      </w:r>
      <w:r>
        <w:rPr>
          <w:color w:val="231F20"/>
        </w:rPr>
        <w:t>vereffenaars</w:t>
      </w:r>
      <w:r>
        <w:rPr>
          <w:color w:val="231F20"/>
          <w:spacing w:val="19"/>
        </w:rPr>
        <w:t> </w:t>
      </w:r>
      <w:r>
        <w:rPr>
          <w:color w:val="231F20"/>
        </w:rPr>
        <w:t>en</w:t>
      </w:r>
    </w:p>
    <w:p>
      <w:pPr>
        <w:pStyle w:val="BodyText"/>
        <w:spacing w:line="218" w:lineRule="auto"/>
        <w:ind w:right="123" w:firstLine="0"/>
      </w:pPr>
      <w:r>
        <w:rPr>
          <w:color w:val="231F20"/>
        </w:rPr>
        <w:t>ingeval de vereffenaar een rechtspersoon is, de vaste vertegenwoordi- ger.</w:t>
      </w:r>
    </w:p>
    <w:p>
      <w:pPr>
        <w:spacing w:after="0" w:line="218" w:lineRule="auto"/>
        <w:sectPr>
          <w:pgSz w:w="11940" w:h="16880"/>
          <w:pgMar w:header="666" w:footer="0" w:top="1140" w:bottom="280" w:left="340" w:right="360"/>
          <w:cols w:num="2" w:equalWidth="0">
            <w:col w:w="5583" w:space="44"/>
            <w:col w:w="5613"/>
          </w:cols>
        </w:sectPr>
      </w:pPr>
    </w:p>
    <w:p>
      <w:pPr>
        <w:pStyle w:val="BodyText"/>
        <w:spacing w:line="218" w:lineRule="auto" w:before="120"/>
        <w:ind w:right="41"/>
      </w:pPr>
      <w:r>
        <w:rPr/>
        <w:pict>
          <v:line style="position:absolute;mso-position-horizontal-relative:page;mso-position-vertical-relative:page;z-index:2128" from="298.170502pt,64.473pt" to="298.170502pt,812.819pt" stroked="true" strokeweight=".533pt" strokecolor="#231f20">
            <v:stroke dashstyle="solid"/>
            <w10:wrap type="none"/>
          </v:line>
        </w:pict>
      </w:r>
      <w:bookmarkStart w:name="_bookmark46" w:id="49"/>
      <w:bookmarkEnd w:id="49"/>
      <w:r>
        <w:rPr/>
      </w:r>
      <w:r>
        <w:rPr>
          <w:color w:val="231F20"/>
        </w:rPr>
        <w:t>§ 5. Toutes les dispositions du présent chapitre s’appliquent à la liquidation ainsi rouverte.</w:t>
      </w:r>
    </w:p>
    <w:p>
      <w:pPr>
        <w:pStyle w:val="BodyText"/>
        <w:spacing w:before="103"/>
        <w:ind w:left="283" w:right="0" w:firstLine="0"/>
        <w:jc w:val="left"/>
      </w:pPr>
      <w:r>
        <w:rPr>
          <w:color w:val="231F20"/>
        </w:rPr>
        <w:t>Sous-section 6. Responsabilité des liquidateurs.</w:t>
      </w:r>
    </w:p>
    <w:p>
      <w:pPr>
        <w:pStyle w:val="BodyText"/>
        <w:spacing w:line="218" w:lineRule="auto" w:before="114"/>
        <w:ind w:right="41"/>
      </w:pPr>
      <w:r>
        <w:rPr>
          <w:color w:val="231F20"/>
        </w:rPr>
        <w:t>Art. 2:139. Les liquidateurs sont responsables tant envers les tiers qu’envers l’ASBL ou l’AISBL, de l’exécution de leur mandat et des fautes commises dans leur</w:t>
      </w:r>
      <w:r>
        <w:rPr>
          <w:color w:val="231F20"/>
          <w:spacing w:val="19"/>
        </w:rPr>
        <w:t> </w:t>
      </w:r>
      <w:r>
        <w:rPr>
          <w:color w:val="231F20"/>
        </w:rPr>
        <w:t>gestion.</w:t>
      </w:r>
    </w:p>
    <w:p>
      <w:pPr>
        <w:pStyle w:val="BodyText"/>
        <w:spacing w:before="103"/>
        <w:ind w:left="283" w:right="0" w:firstLine="0"/>
        <w:jc w:val="left"/>
      </w:pPr>
      <w:r>
        <w:rPr>
          <w:color w:val="231F20"/>
        </w:rPr>
        <w:t>Section 3. Liquidation des fondations.</w:t>
      </w:r>
    </w:p>
    <w:p>
      <w:pPr>
        <w:pStyle w:val="BodyText"/>
        <w:spacing w:line="218" w:lineRule="auto" w:before="114"/>
        <w:ind w:right="41"/>
      </w:pPr>
      <w:r>
        <w:rPr>
          <w:color w:val="231F20"/>
        </w:rPr>
        <w:t>Art. 2:140. Lorsque la liquidation est terminée, les liquidateurs font rapport au tribunal et lui soumettent une situation des valeurs sociales et de leur emploi ainsi que la proposition d’affectation de l’actif. Le tribunal autorise l’affectation des biens dans le respect des statuts.</w:t>
      </w:r>
    </w:p>
    <w:p>
      <w:pPr>
        <w:pStyle w:val="BodyText"/>
        <w:ind w:left="0" w:right="0" w:firstLine="0"/>
        <w:jc w:val="left"/>
        <w:rPr>
          <w:sz w:val="20"/>
        </w:rPr>
      </w:pPr>
    </w:p>
    <w:p>
      <w:pPr>
        <w:pStyle w:val="BodyText"/>
        <w:spacing w:before="1"/>
        <w:ind w:left="0" w:right="0" w:firstLine="0"/>
        <w:jc w:val="left"/>
        <w:rPr>
          <w:sz w:val="20"/>
        </w:rPr>
      </w:pPr>
    </w:p>
    <w:p>
      <w:pPr>
        <w:pStyle w:val="BodyText"/>
        <w:ind w:left="283" w:right="0" w:firstLine="0"/>
        <w:jc w:val="left"/>
      </w:pPr>
      <w:r>
        <w:rPr>
          <w:color w:val="231F20"/>
        </w:rPr>
        <w:t>Le tribunal prononce la clôture de la liquidation.</w:t>
      </w:r>
    </w:p>
    <w:p>
      <w:pPr>
        <w:pStyle w:val="BodyText"/>
        <w:spacing w:line="218" w:lineRule="auto" w:before="114"/>
        <w:ind w:right="41"/>
      </w:pPr>
      <w:r>
        <w:rPr>
          <w:color w:val="231F20"/>
        </w:rPr>
        <w:t>Art. 2:141. L’affectation de l’actif ne peut préjudicier aux droits des créanciers.</w:t>
      </w:r>
    </w:p>
    <w:p>
      <w:pPr>
        <w:pStyle w:val="BodyText"/>
        <w:spacing w:before="104"/>
        <w:ind w:left="283" w:right="0" w:firstLine="0"/>
        <w:jc w:val="left"/>
      </w:pPr>
      <w:r>
        <w:rPr>
          <w:color w:val="231F20"/>
        </w:rPr>
        <w:t>TITRE 9. Actions et prescriptions.</w:t>
      </w:r>
    </w:p>
    <w:p>
      <w:pPr>
        <w:pStyle w:val="BodyText"/>
        <w:spacing w:line="218" w:lineRule="auto" w:before="114"/>
        <w:ind w:right="40"/>
      </w:pPr>
      <w:r>
        <w:rPr>
          <w:color w:val="231F20"/>
        </w:rPr>
        <w:t>Art. 2:142. Les actions contre les sociétés, les associations et les fondations se prescrivent par les mêmes délais que les actions contre</w:t>
      </w:r>
      <w:r>
        <w:rPr>
          <w:color w:val="231F20"/>
          <w:spacing w:val="-28"/>
        </w:rPr>
        <w:t> </w:t>
      </w:r>
      <w:r>
        <w:rPr>
          <w:color w:val="231F20"/>
        </w:rPr>
        <w:t>les personnes</w:t>
      </w:r>
      <w:r>
        <w:rPr>
          <w:color w:val="231F20"/>
          <w:spacing w:val="15"/>
        </w:rPr>
        <w:t> </w:t>
      </w:r>
      <w:r>
        <w:rPr>
          <w:color w:val="231F20"/>
        </w:rPr>
        <w:t>physiques.</w:t>
      </w:r>
    </w:p>
    <w:p>
      <w:pPr>
        <w:pStyle w:val="BodyText"/>
        <w:spacing w:line="218" w:lineRule="auto" w:before="102"/>
        <w:ind w:right="41"/>
      </w:pPr>
      <w:r>
        <w:rPr>
          <w:color w:val="231F20"/>
        </w:rPr>
        <w:t>Art. 2:143. § 1</w:t>
      </w:r>
      <w:r>
        <w:rPr>
          <w:color w:val="231F20"/>
          <w:position w:val="7"/>
          <w:sz w:val="11"/>
        </w:rPr>
        <w:t>er</w:t>
      </w:r>
      <w:r>
        <w:rPr>
          <w:color w:val="231F20"/>
        </w:rPr>
        <w:t>. En ce qui concerne les sociétés, sont prescrites par cinq ans:</w:t>
      </w:r>
    </w:p>
    <w:p>
      <w:pPr>
        <w:pStyle w:val="ListParagraph"/>
        <w:numPr>
          <w:ilvl w:val="0"/>
          <w:numId w:val="48"/>
        </w:numPr>
        <w:tabs>
          <w:tab w:pos="511" w:val="left" w:leader="none"/>
        </w:tabs>
        <w:spacing w:line="240" w:lineRule="auto" w:before="103" w:after="0"/>
        <w:ind w:left="510" w:right="0" w:hanging="227"/>
        <w:jc w:val="left"/>
        <w:rPr>
          <w:sz w:val="17"/>
        </w:rPr>
      </w:pPr>
      <w:r>
        <w:rPr>
          <w:color w:val="231F20"/>
          <w:sz w:val="17"/>
        </w:rPr>
        <w:t>toutes</w:t>
      </w:r>
      <w:r>
        <w:rPr>
          <w:color w:val="231F20"/>
          <w:spacing w:val="12"/>
          <w:sz w:val="17"/>
        </w:rPr>
        <w:t> </w:t>
      </w:r>
      <w:r>
        <w:rPr>
          <w:color w:val="231F20"/>
          <w:sz w:val="17"/>
        </w:rPr>
        <w:t>actions</w:t>
      </w:r>
      <w:r>
        <w:rPr>
          <w:color w:val="231F20"/>
          <w:spacing w:val="13"/>
          <w:sz w:val="17"/>
        </w:rPr>
        <w:t> </w:t>
      </w:r>
      <w:r>
        <w:rPr>
          <w:color w:val="231F20"/>
          <w:sz w:val="17"/>
        </w:rPr>
        <w:t>contre</w:t>
      </w:r>
      <w:r>
        <w:rPr>
          <w:color w:val="231F20"/>
          <w:spacing w:val="12"/>
          <w:sz w:val="17"/>
        </w:rPr>
        <w:t> </w:t>
      </w:r>
      <w:r>
        <w:rPr>
          <w:color w:val="231F20"/>
          <w:sz w:val="17"/>
        </w:rPr>
        <w:t>les</w:t>
      </w:r>
      <w:r>
        <w:rPr>
          <w:color w:val="231F20"/>
          <w:spacing w:val="13"/>
          <w:sz w:val="17"/>
        </w:rPr>
        <w:t> </w:t>
      </w:r>
      <w:r>
        <w:rPr>
          <w:color w:val="231F20"/>
          <w:sz w:val="17"/>
        </w:rPr>
        <w:t>fondateurs,</w:t>
      </w:r>
      <w:r>
        <w:rPr>
          <w:color w:val="231F20"/>
          <w:spacing w:val="13"/>
          <w:sz w:val="17"/>
        </w:rPr>
        <w:t> </w:t>
      </w:r>
      <w:r>
        <w:rPr>
          <w:color w:val="231F20"/>
          <w:sz w:val="17"/>
        </w:rPr>
        <w:t>à</w:t>
      </w:r>
      <w:r>
        <w:rPr>
          <w:color w:val="231F20"/>
          <w:spacing w:val="12"/>
          <w:sz w:val="17"/>
        </w:rPr>
        <w:t> </w:t>
      </w:r>
      <w:r>
        <w:rPr>
          <w:color w:val="231F20"/>
          <w:sz w:val="17"/>
        </w:rPr>
        <w:t>partir</w:t>
      </w:r>
      <w:r>
        <w:rPr>
          <w:color w:val="231F20"/>
          <w:spacing w:val="13"/>
          <w:sz w:val="17"/>
        </w:rPr>
        <w:t> </w:t>
      </w:r>
      <w:r>
        <w:rPr>
          <w:color w:val="231F20"/>
          <w:sz w:val="17"/>
        </w:rPr>
        <w:t>de</w:t>
      </w:r>
      <w:r>
        <w:rPr>
          <w:color w:val="231F20"/>
          <w:spacing w:val="13"/>
          <w:sz w:val="17"/>
        </w:rPr>
        <w:t> </w:t>
      </w:r>
      <w:r>
        <w:rPr>
          <w:color w:val="231F20"/>
          <w:sz w:val="17"/>
        </w:rPr>
        <w:t>la</w:t>
      </w:r>
      <w:r>
        <w:rPr>
          <w:color w:val="231F20"/>
          <w:spacing w:val="12"/>
          <w:sz w:val="17"/>
        </w:rPr>
        <w:t> </w:t>
      </w:r>
      <w:r>
        <w:rPr>
          <w:color w:val="231F20"/>
          <w:sz w:val="17"/>
        </w:rPr>
        <w:t>constitution;</w:t>
      </w:r>
    </w:p>
    <w:p>
      <w:pPr>
        <w:pStyle w:val="BodyText"/>
        <w:spacing w:before="6"/>
        <w:ind w:left="0" w:right="0" w:firstLine="0"/>
        <w:jc w:val="left"/>
        <w:rPr>
          <w:sz w:val="25"/>
        </w:rPr>
      </w:pPr>
    </w:p>
    <w:p>
      <w:pPr>
        <w:pStyle w:val="ListParagraph"/>
        <w:numPr>
          <w:ilvl w:val="0"/>
          <w:numId w:val="48"/>
        </w:numPr>
        <w:tabs>
          <w:tab w:pos="526" w:val="left" w:leader="none"/>
        </w:tabs>
        <w:spacing w:line="218" w:lineRule="auto" w:before="0" w:after="0"/>
        <w:ind w:left="113" w:right="41" w:firstLine="170"/>
        <w:jc w:val="both"/>
        <w:rPr>
          <w:sz w:val="17"/>
        </w:rPr>
      </w:pPr>
      <w:r>
        <w:rPr>
          <w:color w:val="231F20"/>
          <w:sz w:val="17"/>
        </w:rPr>
        <w:t>toutes actions contre les associés ou actionnaires, à partir de la publication de leur retrait de la société, sinon à partir de la publication d’un</w:t>
      </w:r>
      <w:r>
        <w:rPr>
          <w:color w:val="231F20"/>
          <w:spacing w:val="30"/>
          <w:sz w:val="17"/>
        </w:rPr>
        <w:t> </w:t>
      </w:r>
      <w:r>
        <w:rPr>
          <w:color w:val="231F20"/>
          <w:sz w:val="17"/>
        </w:rPr>
        <w:t>acte</w:t>
      </w:r>
      <w:r>
        <w:rPr>
          <w:color w:val="231F20"/>
          <w:spacing w:val="30"/>
          <w:sz w:val="17"/>
        </w:rPr>
        <w:t> </w:t>
      </w:r>
      <w:r>
        <w:rPr>
          <w:color w:val="231F20"/>
          <w:sz w:val="17"/>
        </w:rPr>
        <w:t>de</w:t>
      </w:r>
      <w:r>
        <w:rPr>
          <w:color w:val="231F20"/>
          <w:spacing w:val="30"/>
          <w:sz w:val="17"/>
        </w:rPr>
        <w:t> </w:t>
      </w:r>
      <w:r>
        <w:rPr>
          <w:color w:val="231F20"/>
          <w:sz w:val="17"/>
        </w:rPr>
        <w:t>dissolution,</w:t>
      </w:r>
      <w:r>
        <w:rPr>
          <w:color w:val="231F20"/>
          <w:spacing w:val="30"/>
          <w:sz w:val="17"/>
        </w:rPr>
        <w:t> </w:t>
      </w:r>
      <w:r>
        <w:rPr>
          <w:color w:val="231F20"/>
          <w:sz w:val="17"/>
        </w:rPr>
        <w:t>ou,</w:t>
      </w:r>
      <w:r>
        <w:rPr>
          <w:color w:val="231F20"/>
          <w:spacing w:val="30"/>
          <w:sz w:val="17"/>
        </w:rPr>
        <w:t> </w:t>
      </w:r>
      <w:r>
        <w:rPr>
          <w:color w:val="231F20"/>
          <w:sz w:val="17"/>
        </w:rPr>
        <w:t>pour</w:t>
      </w:r>
      <w:r>
        <w:rPr>
          <w:color w:val="231F20"/>
          <w:spacing w:val="30"/>
          <w:sz w:val="17"/>
        </w:rPr>
        <w:t> </w:t>
      </w:r>
      <w:r>
        <w:rPr>
          <w:color w:val="231F20"/>
          <w:sz w:val="17"/>
        </w:rPr>
        <w:t>les</w:t>
      </w:r>
      <w:r>
        <w:rPr>
          <w:color w:val="231F20"/>
          <w:spacing w:val="30"/>
          <w:sz w:val="17"/>
        </w:rPr>
        <w:t> </w:t>
      </w:r>
      <w:r>
        <w:rPr>
          <w:color w:val="231F20"/>
          <w:sz w:val="17"/>
        </w:rPr>
        <w:t>actions</w:t>
      </w:r>
      <w:r>
        <w:rPr>
          <w:color w:val="231F20"/>
          <w:spacing w:val="30"/>
          <w:sz w:val="17"/>
        </w:rPr>
        <w:t> </w:t>
      </w:r>
      <w:r>
        <w:rPr>
          <w:color w:val="231F20"/>
          <w:sz w:val="17"/>
        </w:rPr>
        <w:t>visées</w:t>
      </w:r>
      <w:r>
        <w:rPr>
          <w:color w:val="231F20"/>
          <w:spacing w:val="30"/>
          <w:sz w:val="17"/>
        </w:rPr>
        <w:t> </w:t>
      </w:r>
      <w:r>
        <w:rPr>
          <w:color w:val="231F20"/>
          <w:sz w:val="17"/>
        </w:rPr>
        <w:t>à</w:t>
      </w:r>
      <w:r>
        <w:rPr>
          <w:color w:val="231F20"/>
          <w:spacing w:val="30"/>
          <w:sz w:val="17"/>
        </w:rPr>
        <w:t> </w:t>
      </w:r>
      <w:r>
        <w:rPr>
          <w:color w:val="231F20"/>
          <w:sz w:val="17"/>
        </w:rPr>
        <w:t>l’article</w:t>
      </w:r>
      <w:r>
        <w:rPr>
          <w:color w:val="231F20"/>
          <w:spacing w:val="30"/>
          <w:sz w:val="17"/>
        </w:rPr>
        <w:t> </w:t>
      </w:r>
      <w:r>
        <w:rPr>
          <w:color w:val="231F20"/>
          <w:sz w:val="17"/>
        </w:rPr>
        <w:t>2:104,</w:t>
      </w:r>
    </w:p>
    <w:p>
      <w:pPr>
        <w:pStyle w:val="BodyText"/>
        <w:spacing w:line="218" w:lineRule="auto"/>
        <w:ind w:right="0" w:firstLine="0"/>
        <w:jc w:val="left"/>
      </w:pPr>
      <w:r>
        <w:rPr>
          <w:color w:val="231F20"/>
        </w:rPr>
        <w:t>§§ 2 et 3, à partir de la publication de la clôture de la liquidation, ou de l’expiration du terme contractuel;</w:t>
      </w:r>
    </w:p>
    <w:p>
      <w:pPr>
        <w:pStyle w:val="BodyText"/>
        <w:spacing w:before="9"/>
        <w:ind w:left="0" w:right="0" w:firstLine="0"/>
        <w:jc w:val="left"/>
        <w:rPr>
          <w:sz w:val="25"/>
        </w:rPr>
      </w:pPr>
    </w:p>
    <w:p>
      <w:pPr>
        <w:pStyle w:val="ListParagraph"/>
        <w:numPr>
          <w:ilvl w:val="0"/>
          <w:numId w:val="48"/>
        </w:numPr>
        <w:tabs>
          <w:tab w:pos="543" w:val="left" w:leader="none"/>
        </w:tabs>
        <w:spacing w:line="218" w:lineRule="auto" w:before="1" w:after="0"/>
        <w:ind w:left="113" w:right="41" w:firstLine="170"/>
        <w:jc w:val="both"/>
        <w:rPr>
          <w:sz w:val="17"/>
        </w:rPr>
      </w:pPr>
      <w:r>
        <w:rPr>
          <w:color w:val="231F20"/>
          <w:sz w:val="17"/>
        </w:rPr>
        <w:t>toutes actions de tiers en restitution de dividendes indûment distribués,</w:t>
      </w:r>
      <w:r>
        <w:rPr>
          <w:color w:val="231F20"/>
          <w:spacing w:val="14"/>
          <w:sz w:val="17"/>
        </w:rPr>
        <w:t> </w:t>
      </w:r>
      <w:r>
        <w:rPr>
          <w:color w:val="231F20"/>
          <w:sz w:val="17"/>
        </w:rPr>
        <w:t>à</w:t>
      </w:r>
      <w:r>
        <w:rPr>
          <w:color w:val="231F20"/>
          <w:spacing w:val="15"/>
          <w:sz w:val="17"/>
        </w:rPr>
        <w:t> </w:t>
      </w:r>
      <w:r>
        <w:rPr>
          <w:color w:val="231F20"/>
          <w:sz w:val="17"/>
        </w:rPr>
        <w:t>partir</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distribution;</w:t>
      </w:r>
    </w:p>
    <w:p>
      <w:pPr>
        <w:pStyle w:val="ListParagraph"/>
        <w:numPr>
          <w:ilvl w:val="0"/>
          <w:numId w:val="48"/>
        </w:numPr>
        <w:tabs>
          <w:tab w:pos="525" w:val="left" w:leader="none"/>
        </w:tabs>
        <w:spacing w:line="218" w:lineRule="auto" w:before="117" w:after="0"/>
        <w:ind w:left="113" w:right="40" w:firstLine="170"/>
        <w:jc w:val="both"/>
        <w:rPr>
          <w:sz w:val="17"/>
        </w:rPr>
      </w:pPr>
      <w:r>
        <w:rPr>
          <w:color w:val="231F20"/>
          <w:sz w:val="17"/>
        </w:rPr>
        <w:t>toutes actions contre les membres de l’organe d’administration, délégués à la gestion journalière, commissaires, liquidateurs, contre les représentants permanents de personnes morales occupant une des fonctions précitées, ou contre toutes les autres personnes qui ont effectivement détenu le pouvoir de gérer la société, pour faits de leurs fonctions, à partir de ces faits ou, s’ils ont été celés par dol, à partir de  la découverte de ces</w:t>
      </w:r>
      <w:r>
        <w:rPr>
          <w:color w:val="231F20"/>
          <w:spacing w:val="19"/>
          <w:sz w:val="17"/>
        </w:rPr>
        <w:t> </w:t>
      </w:r>
      <w:r>
        <w:rPr>
          <w:color w:val="231F20"/>
          <w:sz w:val="17"/>
        </w:rPr>
        <w:t>faits;</w:t>
      </w:r>
    </w:p>
    <w:p>
      <w:pPr>
        <w:pStyle w:val="BodyText"/>
        <w:spacing w:before="9"/>
        <w:ind w:left="0" w:right="0" w:firstLine="0"/>
        <w:jc w:val="left"/>
        <w:rPr>
          <w:sz w:val="25"/>
        </w:rPr>
      </w:pPr>
    </w:p>
    <w:p>
      <w:pPr>
        <w:pStyle w:val="ListParagraph"/>
        <w:numPr>
          <w:ilvl w:val="0"/>
          <w:numId w:val="48"/>
        </w:numPr>
        <w:tabs>
          <w:tab w:pos="501" w:val="left" w:leader="none"/>
        </w:tabs>
        <w:spacing w:line="218" w:lineRule="auto" w:before="1" w:after="0"/>
        <w:ind w:left="113" w:right="41" w:firstLine="170"/>
        <w:jc w:val="both"/>
        <w:rPr>
          <w:sz w:val="17"/>
        </w:rPr>
      </w:pPr>
      <w:r>
        <w:rPr>
          <w:color w:val="231F20"/>
          <w:sz w:val="17"/>
        </w:rPr>
        <w:t>toutes actions contre les liquidateurs, en cette qualité ou, à défaut, contre les personnes considérées comme liquidateurs en vertu de l’article</w:t>
      </w:r>
      <w:r>
        <w:rPr>
          <w:color w:val="231F20"/>
          <w:spacing w:val="9"/>
          <w:sz w:val="17"/>
        </w:rPr>
        <w:t> </w:t>
      </w:r>
      <w:r>
        <w:rPr>
          <w:color w:val="231F20"/>
          <w:sz w:val="17"/>
        </w:rPr>
        <w:t>2:85,</w:t>
      </w:r>
      <w:r>
        <w:rPr>
          <w:color w:val="231F20"/>
          <w:spacing w:val="10"/>
          <w:sz w:val="17"/>
        </w:rPr>
        <w:t> </w:t>
      </w:r>
      <w:r>
        <w:rPr>
          <w:color w:val="231F20"/>
          <w:sz w:val="17"/>
        </w:rPr>
        <w:t>à</w:t>
      </w:r>
      <w:r>
        <w:rPr>
          <w:color w:val="231F20"/>
          <w:spacing w:val="9"/>
          <w:sz w:val="17"/>
        </w:rPr>
        <w:t> </w:t>
      </w:r>
      <w:r>
        <w:rPr>
          <w:color w:val="231F20"/>
          <w:sz w:val="17"/>
        </w:rPr>
        <w:t>partir</w:t>
      </w:r>
      <w:r>
        <w:rPr>
          <w:color w:val="231F20"/>
          <w:spacing w:val="10"/>
          <w:sz w:val="17"/>
        </w:rPr>
        <w:t> </w:t>
      </w:r>
      <w:r>
        <w:rPr>
          <w:color w:val="231F20"/>
          <w:sz w:val="17"/>
        </w:rPr>
        <w:t>de</w:t>
      </w:r>
      <w:r>
        <w:rPr>
          <w:color w:val="231F20"/>
          <w:spacing w:val="10"/>
          <w:sz w:val="17"/>
        </w:rPr>
        <w:t> </w:t>
      </w:r>
      <w:r>
        <w:rPr>
          <w:color w:val="231F20"/>
          <w:sz w:val="17"/>
        </w:rPr>
        <w:t>la</w:t>
      </w:r>
      <w:r>
        <w:rPr>
          <w:color w:val="231F20"/>
          <w:spacing w:val="9"/>
          <w:sz w:val="17"/>
        </w:rPr>
        <w:t> </w:t>
      </w:r>
      <w:r>
        <w:rPr>
          <w:color w:val="231F20"/>
          <w:sz w:val="17"/>
        </w:rPr>
        <w:t>publication</w:t>
      </w:r>
      <w:r>
        <w:rPr>
          <w:color w:val="231F20"/>
          <w:spacing w:val="10"/>
          <w:sz w:val="17"/>
        </w:rPr>
        <w:t> </w:t>
      </w:r>
      <w:r>
        <w:rPr>
          <w:color w:val="231F20"/>
          <w:sz w:val="17"/>
        </w:rPr>
        <w:t>prescrite</w:t>
      </w:r>
      <w:r>
        <w:rPr>
          <w:color w:val="231F20"/>
          <w:spacing w:val="10"/>
          <w:sz w:val="17"/>
        </w:rPr>
        <w:t> </w:t>
      </w:r>
      <w:r>
        <w:rPr>
          <w:color w:val="231F20"/>
          <w:sz w:val="17"/>
        </w:rPr>
        <w:t>par</w:t>
      </w:r>
      <w:r>
        <w:rPr>
          <w:color w:val="231F20"/>
          <w:spacing w:val="9"/>
          <w:sz w:val="17"/>
        </w:rPr>
        <w:t> </w:t>
      </w:r>
      <w:r>
        <w:rPr>
          <w:color w:val="231F20"/>
          <w:sz w:val="17"/>
        </w:rPr>
        <w:t>l’article</w:t>
      </w:r>
      <w:r>
        <w:rPr>
          <w:color w:val="231F20"/>
          <w:spacing w:val="10"/>
          <w:sz w:val="17"/>
        </w:rPr>
        <w:t> </w:t>
      </w:r>
      <w:r>
        <w:rPr>
          <w:color w:val="231F20"/>
          <w:sz w:val="17"/>
        </w:rPr>
        <w:t>2:102;</w:t>
      </w:r>
    </w:p>
    <w:p>
      <w:pPr>
        <w:pStyle w:val="BodyText"/>
        <w:spacing w:before="9"/>
        <w:ind w:left="0" w:right="0" w:firstLine="0"/>
        <w:jc w:val="left"/>
        <w:rPr>
          <w:sz w:val="25"/>
        </w:rPr>
      </w:pPr>
    </w:p>
    <w:p>
      <w:pPr>
        <w:pStyle w:val="ListParagraph"/>
        <w:numPr>
          <w:ilvl w:val="0"/>
          <w:numId w:val="48"/>
        </w:numPr>
        <w:tabs>
          <w:tab w:pos="491" w:val="left" w:leader="none"/>
        </w:tabs>
        <w:spacing w:line="218" w:lineRule="auto" w:before="0" w:after="0"/>
        <w:ind w:left="113" w:right="38" w:firstLine="170"/>
        <w:jc w:val="both"/>
        <w:rPr>
          <w:sz w:val="17"/>
        </w:rPr>
      </w:pPr>
      <w:r>
        <w:rPr>
          <w:color w:val="231F20"/>
          <w:sz w:val="17"/>
        </w:rPr>
        <w:t>toutes</w:t>
      </w:r>
      <w:r>
        <w:rPr>
          <w:color w:val="231F20"/>
          <w:spacing w:val="-8"/>
          <w:sz w:val="17"/>
        </w:rPr>
        <w:t> </w:t>
      </w:r>
      <w:r>
        <w:rPr>
          <w:color w:val="231F20"/>
          <w:sz w:val="17"/>
        </w:rPr>
        <w:t>actions</w:t>
      </w:r>
      <w:r>
        <w:rPr>
          <w:color w:val="231F20"/>
          <w:spacing w:val="-8"/>
          <w:sz w:val="17"/>
        </w:rPr>
        <w:t> </w:t>
      </w:r>
      <w:r>
        <w:rPr>
          <w:color w:val="231F20"/>
          <w:sz w:val="17"/>
        </w:rPr>
        <w:t>en</w:t>
      </w:r>
      <w:r>
        <w:rPr>
          <w:color w:val="231F20"/>
          <w:spacing w:val="-8"/>
          <w:sz w:val="17"/>
        </w:rPr>
        <w:t> </w:t>
      </w:r>
      <w:r>
        <w:rPr>
          <w:color w:val="231F20"/>
          <w:sz w:val="17"/>
        </w:rPr>
        <w:t>nullité</w:t>
      </w:r>
      <w:r>
        <w:rPr>
          <w:color w:val="231F20"/>
          <w:spacing w:val="-8"/>
          <w:sz w:val="17"/>
        </w:rPr>
        <w:t> </w:t>
      </w:r>
      <w:r>
        <w:rPr>
          <w:color w:val="231F20"/>
          <w:sz w:val="17"/>
        </w:rPr>
        <w:t>d’une</w:t>
      </w:r>
      <w:r>
        <w:rPr>
          <w:color w:val="231F20"/>
          <w:spacing w:val="-8"/>
          <w:sz w:val="17"/>
        </w:rPr>
        <w:t> </w:t>
      </w:r>
      <w:r>
        <w:rPr>
          <w:color w:val="231F20"/>
          <w:sz w:val="17"/>
        </w:rPr>
        <w:t>société</w:t>
      </w:r>
      <w:r>
        <w:rPr>
          <w:color w:val="231F20"/>
          <w:spacing w:val="-8"/>
          <w:sz w:val="17"/>
        </w:rPr>
        <w:t> </w:t>
      </w:r>
      <w:r>
        <w:rPr>
          <w:color w:val="231F20"/>
          <w:sz w:val="17"/>
        </w:rPr>
        <w:t>anonyme,</w:t>
      </w:r>
      <w:r>
        <w:rPr>
          <w:color w:val="231F20"/>
          <w:spacing w:val="-8"/>
          <w:sz w:val="17"/>
        </w:rPr>
        <w:t> </w:t>
      </w:r>
      <w:r>
        <w:rPr>
          <w:color w:val="231F20"/>
          <w:sz w:val="17"/>
        </w:rPr>
        <w:t>d’une</w:t>
      </w:r>
      <w:r>
        <w:rPr>
          <w:color w:val="231F20"/>
          <w:spacing w:val="-8"/>
          <w:sz w:val="17"/>
        </w:rPr>
        <w:t> </w:t>
      </w:r>
      <w:r>
        <w:rPr>
          <w:color w:val="231F20"/>
          <w:sz w:val="17"/>
        </w:rPr>
        <w:t>société</w:t>
      </w:r>
      <w:r>
        <w:rPr>
          <w:color w:val="231F20"/>
          <w:spacing w:val="-8"/>
          <w:sz w:val="17"/>
        </w:rPr>
        <w:t> </w:t>
      </w:r>
      <w:r>
        <w:rPr>
          <w:color w:val="231F20"/>
          <w:sz w:val="17"/>
        </w:rPr>
        <w:t>euro- péenne, d’une société coopérative européenne, d’une société à respon- sabilité limitée ou d’une société coopérative fondées sur un vice de forme, à partir de la publication, lorsque le contrat de société a reçu son exécution pendant cinq ans au moins, sans préjudice de dommages- intérêts s’il y avait</w:t>
      </w:r>
      <w:r>
        <w:rPr>
          <w:color w:val="231F20"/>
          <w:spacing w:val="19"/>
          <w:sz w:val="17"/>
        </w:rPr>
        <w:t> </w:t>
      </w:r>
      <w:r>
        <w:rPr>
          <w:color w:val="231F20"/>
          <w:sz w:val="17"/>
        </w:rPr>
        <w:t>lieu.</w:t>
      </w:r>
    </w:p>
    <w:p>
      <w:pPr>
        <w:pStyle w:val="BodyText"/>
        <w:spacing w:before="9"/>
        <w:ind w:left="0" w:right="0" w:firstLine="0"/>
        <w:jc w:val="left"/>
        <w:rPr>
          <w:sz w:val="25"/>
        </w:rPr>
      </w:pPr>
    </w:p>
    <w:p>
      <w:pPr>
        <w:pStyle w:val="BodyText"/>
        <w:spacing w:line="218" w:lineRule="auto" w:before="1"/>
        <w:ind w:right="41"/>
      </w:pPr>
      <w:r>
        <w:rPr>
          <w:color w:val="231F20"/>
        </w:rPr>
        <w:t>§ 2. En ce qui concerne les associations et les fondations, sont prescrites par cinq</w:t>
      </w:r>
      <w:r>
        <w:rPr>
          <w:color w:val="231F20"/>
          <w:spacing w:val="2"/>
        </w:rPr>
        <w:t> </w:t>
      </w:r>
      <w:r>
        <w:rPr>
          <w:color w:val="231F20"/>
        </w:rPr>
        <w:t>ans:</w:t>
      </w:r>
    </w:p>
    <w:p>
      <w:pPr>
        <w:pStyle w:val="ListParagraph"/>
        <w:numPr>
          <w:ilvl w:val="0"/>
          <w:numId w:val="48"/>
        </w:numPr>
        <w:tabs>
          <w:tab w:pos="532" w:val="left" w:leader="none"/>
        </w:tabs>
        <w:spacing w:line="218" w:lineRule="auto" w:before="117" w:after="0"/>
        <w:ind w:left="113" w:right="40" w:firstLine="170"/>
        <w:jc w:val="both"/>
        <w:rPr>
          <w:sz w:val="17"/>
        </w:rPr>
      </w:pPr>
      <w:r>
        <w:rPr>
          <w:color w:val="231F20"/>
          <w:sz w:val="17"/>
        </w:rPr>
        <w:t>toutes actions contre les administrateurs, délégués à la gestion journalière,</w:t>
      </w:r>
      <w:r>
        <w:rPr>
          <w:color w:val="231F20"/>
          <w:spacing w:val="-7"/>
          <w:sz w:val="17"/>
        </w:rPr>
        <w:t> </w:t>
      </w:r>
      <w:r>
        <w:rPr>
          <w:color w:val="231F20"/>
          <w:sz w:val="17"/>
        </w:rPr>
        <w:t>commissaires,</w:t>
      </w:r>
      <w:r>
        <w:rPr>
          <w:color w:val="231F20"/>
          <w:spacing w:val="-7"/>
          <w:sz w:val="17"/>
        </w:rPr>
        <w:t> </w:t>
      </w:r>
      <w:r>
        <w:rPr>
          <w:color w:val="231F20"/>
          <w:sz w:val="17"/>
        </w:rPr>
        <w:t>liquidateurs,</w:t>
      </w:r>
      <w:r>
        <w:rPr>
          <w:color w:val="231F20"/>
          <w:spacing w:val="-7"/>
          <w:sz w:val="17"/>
        </w:rPr>
        <w:t> </w:t>
      </w:r>
      <w:r>
        <w:rPr>
          <w:color w:val="231F20"/>
          <w:sz w:val="17"/>
        </w:rPr>
        <w:t>contre</w:t>
      </w:r>
      <w:r>
        <w:rPr>
          <w:color w:val="231F20"/>
          <w:spacing w:val="-7"/>
          <w:sz w:val="17"/>
        </w:rPr>
        <w:t> </w:t>
      </w:r>
      <w:r>
        <w:rPr>
          <w:color w:val="231F20"/>
          <w:sz w:val="17"/>
        </w:rPr>
        <w:t>les</w:t>
      </w:r>
      <w:r>
        <w:rPr>
          <w:color w:val="231F20"/>
          <w:spacing w:val="-7"/>
          <w:sz w:val="17"/>
        </w:rPr>
        <w:t> </w:t>
      </w:r>
      <w:r>
        <w:rPr>
          <w:color w:val="231F20"/>
          <w:sz w:val="17"/>
        </w:rPr>
        <w:t>représentants</w:t>
      </w:r>
      <w:r>
        <w:rPr>
          <w:color w:val="231F20"/>
          <w:spacing w:val="-7"/>
          <w:sz w:val="17"/>
        </w:rPr>
        <w:t> </w:t>
      </w:r>
      <w:r>
        <w:rPr>
          <w:color w:val="231F20"/>
          <w:sz w:val="17"/>
        </w:rPr>
        <w:t>perma- nents de personnes morales occupant une des fonctions précitées, ou contre toutes les autres personnes qui ont effectivement détenu le pouvoir de gérer l’association ou la fondation, pour des faits de leurs fonctions, à partir de ces faits ou, s’ils ont été celés par dol, à partir de  la découverte de ces</w:t>
      </w:r>
      <w:r>
        <w:rPr>
          <w:color w:val="231F20"/>
          <w:spacing w:val="19"/>
          <w:sz w:val="17"/>
        </w:rPr>
        <w:t> </w:t>
      </w:r>
      <w:r>
        <w:rPr>
          <w:color w:val="231F20"/>
          <w:sz w:val="17"/>
        </w:rPr>
        <w:t>faits;</w:t>
      </w:r>
    </w:p>
    <w:p>
      <w:pPr>
        <w:pStyle w:val="ListParagraph"/>
        <w:numPr>
          <w:ilvl w:val="0"/>
          <w:numId w:val="48"/>
        </w:numPr>
        <w:tabs>
          <w:tab w:pos="497" w:val="left" w:leader="none"/>
        </w:tabs>
        <w:spacing w:line="218" w:lineRule="auto" w:before="118" w:after="0"/>
        <w:ind w:left="113" w:right="41" w:firstLine="171"/>
        <w:jc w:val="both"/>
        <w:rPr>
          <w:sz w:val="17"/>
        </w:rPr>
      </w:pPr>
      <w:r>
        <w:rPr>
          <w:color w:val="231F20"/>
          <w:sz w:val="17"/>
        </w:rPr>
        <w:t>toutes actions contre les liquidateurs en cette qualité, à compter</w:t>
      </w:r>
      <w:r>
        <w:rPr>
          <w:color w:val="231F20"/>
          <w:spacing w:val="-15"/>
          <w:sz w:val="17"/>
        </w:rPr>
        <w:t> </w:t>
      </w:r>
      <w:r>
        <w:rPr>
          <w:color w:val="231F20"/>
          <w:sz w:val="17"/>
        </w:rPr>
        <w:t>de la publication de la clôture de la liquidation prescrite à l’article 2:136  ou</w:t>
      </w:r>
      <w:r>
        <w:rPr>
          <w:color w:val="231F20"/>
          <w:spacing w:val="14"/>
          <w:sz w:val="17"/>
        </w:rPr>
        <w:t> </w:t>
      </w:r>
      <w:r>
        <w:rPr>
          <w:color w:val="231F20"/>
          <w:sz w:val="17"/>
        </w:rPr>
        <w:t>2:17;</w:t>
      </w:r>
    </w:p>
    <w:p>
      <w:pPr>
        <w:pStyle w:val="ListParagraph"/>
        <w:numPr>
          <w:ilvl w:val="0"/>
          <w:numId w:val="48"/>
        </w:numPr>
        <w:tabs>
          <w:tab w:pos="515" w:val="left" w:leader="none"/>
        </w:tabs>
        <w:spacing w:line="218" w:lineRule="auto" w:before="117" w:after="0"/>
        <w:ind w:left="113" w:right="41" w:firstLine="171"/>
        <w:jc w:val="both"/>
        <w:rPr>
          <w:sz w:val="17"/>
        </w:rPr>
      </w:pPr>
      <w:r>
        <w:rPr>
          <w:color w:val="231F20"/>
          <w:sz w:val="17"/>
        </w:rPr>
        <w:t>les actions des créanciers visées à l’article 2:133, à compter de la publication</w:t>
      </w:r>
      <w:r>
        <w:rPr>
          <w:color w:val="231F20"/>
          <w:spacing w:val="15"/>
          <w:sz w:val="17"/>
        </w:rPr>
        <w:t> </w:t>
      </w:r>
      <w:r>
        <w:rPr>
          <w:color w:val="231F20"/>
          <w:sz w:val="17"/>
        </w:rPr>
        <w:t>de</w:t>
      </w:r>
      <w:r>
        <w:rPr>
          <w:color w:val="231F20"/>
          <w:spacing w:val="16"/>
          <w:sz w:val="17"/>
        </w:rPr>
        <w:t> </w:t>
      </w:r>
      <w:r>
        <w:rPr>
          <w:color w:val="231F20"/>
          <w:sz w:val="17"/>
        </w:rPr>
        <w:t>la</w:t>
      </w:r>
      <w:r>
        <w:rPr>
          <w:color w:val="231F20"/>
          <w:spacing w:val="15"/>
          <w:sz w:val="17"/>
        </w:rPr>
        <w:t> </w:t>
      </w:r>
      <w:r>
        <w:rPr>
          <w:color w:val="231F20"/>
          <w:sz w:val="17"/>
        </w:rPr>
        <w:t>décision</w:t>
      </w:r>
      <w:r>
        <w:rPr>
          <w:color w:val="231F20"/>
          <w:spacing w:val="16"/>
          <w:sz w:val="17"/>
        </w:rPr>
        <w:t> </w:t>
      </w:r>
      <w:r>
        <w:rPr>
          <w:color w:val="231F20"/>
          <w:sz w:val="17"/>
        </w:rPr>
        <w:t>relative</w:t>
      </w:r>
      <w:r>
        <w:rPr>
          <w:color w:val="231F20"/>
          <w:spacing w:val="16"/>
          <w:sz w:val="17"/>
        </w:rPr>
        <w:t> </w:t>
      </w:r>
      <w:r>
        <w:rPr>
          <w:color w:val="231F20"/>
          <w:sz w:val="17"/>
        </w:rPr>
        <w:t>à</w:t>
      </w:r>
      <w:r>
        <w:rPr>
          <w:color w:val="231F20"/>
          <w:spacing w:val="15"/>
          <w:sz w:val="17"/>
        </w:rPr>
        <w:t> </w:t>
      </w:r>
      <w:r>
        <w:rPr>
          <w:color w:val="231F20"/>
          <w:sz w:val="17"/>
        </w:rPr>
        <w:t>l’affectation</w:t>
      </w:r>
      <w:r>
        <w:rPr>
          <w:color w:val="231F20"/>
          <w:spacing w:val="16"/>
          <w:sz w:val="17"/>
        </w:rPr>
        <w:t> </w:t>
      </w:r>
      <w:r>
        <w:rPr>
          <w:color w:val="231F20"/>
          <w:sz w:val="17"/>
        </w:rPr>
        <w:t>de</w:t>
      </w:r>
      <w:r>
        <w:rPr>
          <w:color w:val="231F20"/>
          <w:spacing w:val="16"/>
          <w:sz w:val="17"/>
        </w:rPr>
        <w:t> </w:t>
      </w:r>
      <w:r>
        <w:rPr>
          <w:color w:val="231F20"/>
          <w:sz w:val="17"/>
        </w:rPr>
        <w:t>l’actif.</w:t>
      </w:r>
    </w:p>
    <w:p>
      <w:pPr>
        <w:pStyle w:val="BodyText"/>
        <w:spacing w:before="9"/>
        <w:ind w:left="0" w:right="0" w:firstLine="0"/>
        <w:jc w:val="left"/>
        <w:rPr>
          <w:sz w:val="25"/>
        </w:rPr>
      </w:pPr>
    </w:p>
    <w:p>
      <w:pPr>
        <w:pStyle w:val="BodyText"/>
        <w:spacing w:line="218" w:lineRule="auto"/>
        <w:ind w:right="41"/>
      </w:pPr>
      <w:r>
        <w:rPr>
          <w:color w:val="231F20"/>
        </w:rPr>
        <w:t>§ 3. L’action en réouverture de la liquidation se prescrit après l’expiration d’un délai de cinq ans à compter de la publication de la clôture de la liquidation. Elle ne peut plus être introduite après l’expiration d’un délai d’un an à compter du jour de la découverte de l’actif oublié.</w:t>
      </w:r>
    </w:p>
    <w:p>
      <w:pPr>
        <w:pStyle w:val="BodyText"/>
        <w:spacing w:line="218" w:lineRule="auto" w:before="119"/>
      </w:pPr>
      <w:r>
        <w:rPr/>
        <w:br w:type="column"/>
      </w:r>
      <w:r>
        <w:rPr>
          <w:color w:val="231F20"/>
        </w:rPr>
        <w:t>§ 5. Alle bepalingen van deze afdeling zijn van toepassing op  de aldus heropende</w:t>
      </w:r>
      <w:r>
        <w:rPr>
          <w:color w:val="231F20"/>
          <w:spacing w:val="-11"/>
        </w:rPr>
        <w:t> </w:t>
      </w:r>
      <w:r>
        <w:rPr>
          <w:color w:val="231F20"/>
        </w:rPr>
        <w:t>vereffening.</w:t>
      </w:r>
    </w:p>
    <w:p>
      <w:pPr>
        <w:pStyle w:val="BodyText"/>
        <w:spacing w:before="104"/>
        <w:ind w:left="283" w:right="0" w:firstLine="0"/>
        <w:jc w:val="left"/>
      </w:pPr>
      <w:r>
        <w:rPr>
          <w:color w:val="231F20"/>
        </w:rPr>
        <w:t>Onderafdeling 6. Aansprakelijkheid van de vereffenaar.</w:t>
      </w:r>
    </w:p>
    <w:p>
      <w:pPr>
        <w:pStyle w:val="BodyText"/>
        <w:spacing w:line="218" w:lineRule="auto" w:before="114"/>
      </w:pPr>
      <w:r>
        <w:rPr>
          <w:color w:val="231F20"/>
        </w:rPr>
        <w:t>Art. 2:139. De vereffenaars zijn zowel jegens derden als jegens de VZW of IVZW verantwoordelijk voor de vervulling van hun taak en aansprakelijk voor de tekortkomingen in hun bestuur.</w:t>
      </w:r>
    </w:p>
    <w:p>
      <w:pPr>
        <w:pStyle w:val="BodyText"/>
        <w:spacing w:before="103"/>
        <w:ind w:left="283" w:right="0" w:firstLine="0"/>
        <w:jc w:val="left"/>
      </w:pPr>
      <w:r>
        <w:rPr>
          <w:color w:val="231F20"/>
        </w:rPr>
        <w:t>Afdeling 3. Vereffening van stichtingen.</w:t>
      </w:r>
    </w:p>
    <w:p>
      <w:pPr>
        <w:pStyle w:val="BodyText"/>
        <w:spacing w:line="218" w:lineRule="auto" w:before="114"/>
      </w:pPr>
      <w:r>
        <w:rPr>
          <w:color w:val="231F20"/>
        </w:rPr>
        <w:t>Art. 2:140. Bij de beëindiging van de vereffening brengen de vereffenaars verslag uit bij de rechtbank, waarbij een overzicht van de waarden van de stichting en van het gebruik ervan, alsmede het voorstel van bestemming van het actief wordt voorgelegd. De recht- bank verleent toestemming om de goederen te bestemmen met inachtneming van de</w:t>
      </w:r>
      <w:r>
        <w:rPr>
          <w:color w:val="231F20"/>
          <w:spacing w:val="4"/>
        </w:rPr>
        <w:t> </w:t>
      </w:r>
      <w:r>
        <w:rPr>
          <w:color w:val="231F20"/>
        </w:rPr>
        <w:t>statuten.</w:t>
      </w:r>
    </w:p>
    <w:p>
      <w:pPr>
        <w:pStyle w:val="BodyText"/>
        <w:spacing w:before="104"/>
        <w:ind w:left="283" w:right="0" w:firstLine="0"/>
        <w:jc w:val="left"/>
      </w:pPr>
      <w:r>
        <w:rPr>
          <w:color w:val="231F20"/>
        </w:rPr>
        <w:t>De rechtbank spreekt de sluiting van de vereffening uit.</w:t>
      </w:r>
    </w:p>
    <w:p>
      <w:pPr>
        <w:pStyle w:val="BodyText"/>
        <w:spacing w:line="218" w:lineRule="auto" w:before="114"/>
      </w:pPr>
      <w:r>
        <w:rPr>
          <w:color w:val="231F20"/>
        </w:rPr>
        <w:t>Art. 2:141. De bestemming van het actief mag de rechten van de schuldeisers niet schaden.</w:t>
      </w:r>
    </w:p>
    <w:p>
      <w:pPr>
        <w:pStyle w:val="BodyText"/>
        <w:spacing w:before="103"/>
        <w:ind w:left="283" w:right="0" w:firstLine="0"/>
        <w:jc w:val="left"/>
      </w:pPr>
      <w:r>
        <w:rPr>
          <w:color w:val="231F20"/>
        </w:rPr>
        <w:t>TITEL 9. Rechtsvorderingen en verjaring.</w:t>
      </w:r>
    </w:p>
    <w:p>
      <w:pPr>
        <w:pStyle w:val="BodyText"/>
        <w:spacing w:line="218" w:lineRule="auto" w:before="114"/>
      </w:pPr>
      <w:r>
        <w:rPr>
          <w:color w:val="231F20"/>
        </w:rPr>
        <w:t>Art. 2:142. De rechtsvorderingen tegen vennootschappen, verenigin- gen en stichtingen verjaren door verloop van dezelfde tijd als de rechtsvorderingen tegen natuurlijke personen.</w:t>
      </w:r>
    </w:p>
    <w:p>
      <w:pPr>
        <w:pStyle w:val="BodyText"/>
        <w:spacing w:line="218" w:lineRule="auto" w:before="118"/>
      </w:pPr>
      <w:r>
        <w:rPr>
          <w:color w:val="231F20"/>
        </w:rPr>
        <w:t>Art. 2:143. § 1. Met betrekking tot vennootschappen verjaren door verloop van vijf jaren:</w:t>
      </w:r>
    </w:p>
    <w:p>
      <w:pPr>
        <w:pStyle w:val="ListParagraph"/>
        <w:numPr>
          <w:ilvl w:val="0"/>
          <w:numId w:val="48"/>
        </w:numPr>
        <w:tabs>
          <w:tab w:pos="557" w:val="left" w:leader="none"/>
        </w:tabs>
        <w:spacing w:line="218" w:lineRule="auto" w:before="117" w:after="0"/>
        <w:ind w:left="113" w:right="124" w:firstLine="170"/>
        <w:jc w:val="both"/>
        <w:rPr>
          <w:sz w:val="17"/>
        </w:rPr>
      </w:pPr>
      <w:r>
        <w:rPr>
          <w:color w:val="231F20"/>
          <w:sz w:val="17"/>
        </w:rPr>
        <w:t>alle rechtsvorderingen tegen oprichters, te rekenen vanaf de oprichting;</w:t>
      </w:r>
    </w:p>
    <w:p>
      <w:pPr>
        <w:pStyle w:val="ListParagraph"/>
        <w:numPr>
          <w:ilvl w:val="0"/>
          <w:numId w:val="48"/>
        </w:numPr>
        <w:tabs>
          <w:tab w:pos="559" w:val="left" w:leader="none"/>
        </w:tabs>
        <w:spacing w:line="218" w:lineRule="auto" w:before="118" w:after="0"/>
        <w:ind w:left="113" w:right="124" w:firstLine="170"/>
        <w:jc w:val="both"/>
        <w:rPr>
          <w:sz w:val="17"/>
        </w:rPr>
      </w:pPr>
      <w:r>
        <w:rPr>
          <w:color w:val="231F20"/>
          <w:sz w:val="17"/>
        </w:rPr>
        <w:t>alle rechtsvorderingen tegen vennoten of aandeelhouders, te rekenen van de bekendmaking hetzij van hun uittreding hetzij van de akte van ontbinding van de vennootschap, hetzij, voor de vorderingen als bedoeld in artikel 2:104, §§ 2 en 3, van de bekendmaking van de sluiting van de vereffening, of te rekenen van het verstrijken van de overeengekomen</w:t>
      </w:r>
      <w:r>
        <w:rPr>
          <w:color w:val="231F20"/>
          <w:spacing w:val="15"/>
          <w:sz w:val="17"/>
        </w:rPr>
        <w:t> </w:t>
      </w:r>
      <w:r>
        <w:rPr>
          <w:color w:val="231F20"/>
          <w:sz w:val="17"/>
        </w:rPr>
        <w:t>duur;</w:t>
      </w:r>
    </w:p>
    <w:p>
      <w:pPr>
        <w:pStyle w:val="ListParagraph"/>
        <w:numPr>
          <w:ilvl w:val="0"/>
          <w:numId w:val="48"/>
        </w:numPr>
        <w:tabs>
          <w:tab w:pos="503" w:val="left" w:leader="none"/>
        </w:tabs>
        <w:spacing w:line="218" w:lineRule="auto" w:before="118" w:after="0"/>
        <w:ind w:left="113" w:right="124" w:firstLine="170"/>
        <w:jc w:val="both"/>
        <w:rPr>
          <w:sz w:val="17"/>
        </w:rPr>
      </w:pPr>
      <w:r>
        <w:rPr>
          <w:color w:val="231F20"/>
          <w:sz w:val="17"/>
        </w:rPr>
        <w:t>alle rechtsvorderingen van derden tot teruggave van ten onrechte uitgekeerde</w:t>
      </w:r>
      <w:r>
        <w:rPr>
          <w:color w:val="231F20"/>
          <w:spacing w:val="16"/>
          <w:sz w:val="17"/>
        </w:rPr>
        <w:t> </w:t>
      </w:r>
      <w:r>
        <w:rPr>
          <w:color w:val="231F20"/>
          <w:sz w:val="17"/>
        </w:rPr>
        <w:t>dividenden,</w:t>
      </w:r>
      <w:r>
        <w:rPr>
          <w:color w:val="231F20"/>
          <w:spacing w:val="16"/>
          <w:sz w:val="17"/>
        </w:rPr>
        <w:t> </w:t>
      </w:r>
      <w:r>
        <w:rPr>
          <w:color w:val="231F20"/>
          <w:sz w:val="17"/>
        </w:rPr>
        <w:t>te</w:t>
      </w:r>
      <w:r>
        <w:rPr>
          <w:color w:val="231F20"/>
          <w:spacing w:val="17"/>
          <w:sz w:val="17"/>
        </w:rPr>
        <w:t> </w:t>
      </w:r>
      <w:r>
        <w:rPr>
          <w:color w:val="231F20"/>
          <w:sz w:val="17"/>
        </w:rPr>
        <w:t>rekenen</w:t>
      </w:r>
      <w:r>
        <w:rPr>
          <w:color w:val="231F20"/>
          <w:spacing w:val="16"/>
          <w:sz w:val="17"/>
        </w:rPr>
        <w:t> </w:t>
      </w:r>
      <w:r>
        <w:rPr>
          <w:color w:val="231F20"/>
          <w:sz w:val="17"/>
        </w:rPr>
        <w:t>van</w:t>
      </w:r>
      <w:r>
        <w:rPr>
          <w:color w:val="231F20"/>
          <w:spacing w:val="17"/>
          <w:sz w:val="17"/>
        </w:rPr>
        <w:t> </w:t>
      </w:r>
      <w:r>
        <w:rPr>
          <w:color w:val="231F20"/>
          <w:sz w:val="17"/>
        </w:rPr>
        <w:t>de</w:t>
      </w:r>
      <w:r>
        <w:rPr>
          <w:color w:val="231F20"/>
          <w:spacing w:val="16"/>
          <w:sz w:val="17"/>
        </w:rPr>
        <w:t> </w:t>
      </w:r>
      <w:r>
        <w:rPr>
          <w:color w:val="231F20"/>
          <w:sz w:val="17"/>
        </w:rPr>
        <w:t>uitkering;</w:t>
      </w:r>
    </w:p>
    <w:p>
      <w:pPr>
        <w:pStyle w:val="ListParagraph"/>
        <w:numPr>
          <w:ilvl w:val="0"/>
          <w:numId w:val="48"/>
        </w:numPr>
        <w:tabs>
          <w:tab w:pos="572" w:val="left" w:leader="none"/>
        </w:tabs>
        <w:spacing w:line="218" w:lineRule="auto" w:before="117" w:after="0"/>
        <w:ind w:left="113" w:right="123" w:firstLine="170"/>
        <w:jc w:val="both"/>
        <w:rPr>
          <w:sz w:val="17"/>
        </w:rPr>
      </w:pPr>
      <w:r>
        <w:rPr>
          <w:color w:val="231F20"/>
          <w:sz w:val="17"/>
        </w:rPr>
        <w:t>alle rechtsvorderingen tegen leden van het</w:t>
      </w:r>
      <w:r>
        <w:rPr>
          <w:color w:val="231F20"/>
          <w:spacing w:val="24"/>
          <w:sz w:val="17"/>
        </w:rPr>
        <w:t> </w:t>
      </w:r>
      <w:r>
        <w:rPr>
          <w:color w:val="231F20"/>
          <w:sz w:val="17"/>
        </w:rPr>
        <w:t>bestuursorgaan, dagelijks bestuurders, commissarissen, vereffenaars, tegen de vaste vertegenwoordigers van rechtspersonen die één van de voornoemde functies bekleden, of tegen alle andere personen die ten aanzien van de vennootschap werkelijke bestuursbevoegdheid hebben gehad</w:t>
      </w:r>
      <w:r>
        <w:rPr>
          <w:color w:val="231F20"/>
          <w:spacing w:val="33"/>
          <w:sz w:val="17"/>
        </w:rPr>
        <w:t> </w:t>
      </w:r>
      <w:r>
        <w:rPr>
          <w:color w:val="231F20"/>
          <w:sz w:val="17"/>
        </w:rPr>
        <w:t>wegens verrichtingen in verband met hun taak, te rekenen vanaf die verrich- tingen of, indien ze met opzet verborgen zijn gehouden, te rekenen vanaf de ontdekking</w:t>
      </w:r>
      <w:r>
        <w:rPr>
          <w:color w:val="231F20"/>
          <w:spacing w:val="5"/>
          <w:sz w:val="17"/>
        </w:rPr>
        <w:t> </w:t>
      </w:r>
      <w:r>
        <w:rPr>
          <w:color w:val="231F20"/>
          <w:sz w:val="17"/>
        </w:rPr>
        <w:t>ervan;</w:t>
      </w:r>
    </w:p>
    <w:p>
      <w:pPr>
        <w:pStyle w:val="ListParagraph"/>
        <w:numPr>
          <w:ilvl w:val="0"/>
          <w:numId w:val="48"/>
        </w:numPr>
        <w:tabs>
          <w:tab w:pos="529" w:val="left" w:leader="none"/>
        </w:tabs>
        <w:spacing w:line="218" w:lineRule="auto" w:before="118" w:after="0"/>
        <w:ind w:left="113" w:right="124" w:firstLine="170"/>
        <w:jc w:val="both"/>
        <w:rPr>
          <w:sz w:val="17"/>
        </w:rPr>
      </w:pPr>
      <w:r>
        <w:rPr>
          <w:color w:val="231F20"/>
          <w:sz w:val="17"/>
        </w:rPr>
        <w:t>alle rechtsvorderingen tegen de vereffenaars als zodanig, of bij ontstentenis van vereffenaars, tegen de personen die krachtens arti-  kel 2:85 als vereffenaars worden beschouwd, te rekenen van de bekendmaking voorgeschreven bij artikel</w:t>
      </w:r>
      <w:r>
        <w:rPr>
          <w:color w:val="231F20"/>
          <w:spacing w:val="16"/>
          <w:sz w:val="17"/>
        </w:rPr>
        <w:t> </w:t>
      </w:r>
      <w:r>
        <w:rPr>
          <w:color w:val="231F20"/>
          <w:sz w:val="17"/>
        </w:rPr>
        <w:t>2:102;</w:t>
      </w:r>
    </w:p>
    <w:p>
      <w:pPr>
        <w:pStyle w:val="ListParagraph"/>
        <w:numPr>
          <w:ilvl w:val="0"/>
          <w:numId w:val="48"/>
        </w:numPr>
        <w:tabs>
          <w:tab w:pos="553" w:val="left" w:leader="none"/>
        </w:tabs>
        <w:spacing w:line="218" w:lineRule="auto" w:before="117" w:after="0"/>
        <w:ind w:left="113" w:right="124" w:firstLine="170"/>
        <w:jc w:val="both"/>
        <w:rPr>
          <w:sz w:val="17"/>
        </w:rPr>
      </w:pPr>
      <w:r>
        <w:rPr>
          <w:color w:val="231F20"/>
          <w:sz w:val="17"/>
        </w:rPr>
        <w:t>alle rechtsvorderingen tot nietigverklaring van een naamloze vennootschap, een Europese vennootschap, een Europese coöperatieve vennootschap, een besloten vennootschap of een coöperatieve vennoot- schap, gegrond op een vormgebrek, te rekenen van de bekendmaking, indien het vennootschapscontract gedurende ten minste vijf jaar is uitgevoerd, onverminderd de schadevergoeding, zo daartoe grond zou bestaan.</w:t>
      </w:r>
    </w:p>
    <w:p>
      <w:pPr>
        <w:pStyle w:val="BodyText"/>
        <w:spacing w:line="218" w:lineRule="auto" w:before="118"/>
      </w:pPr>
      <w:r>
        <w:rPr>
          <w:color w:val="231F20"/>
        </w:rPr>
        <w:t>§ 2. Met betrekking tot verenigingen en stichtingen verjaren door verloop van vijf jaren:</w:t>
      </w:r>
    </w:p>
    <w:p>
      <w:pPr>
        <w:pStyle w:val="ListParagraph"/>
        <w:numPr>
          <w:ilvl w:val="0"/>
          <w:numId w:val="48"/>
        </w:numPr>
        <w:tabs>
          <w:tab w:pos="524" w:val="left" w:leader="none"/>
        </w:tabs>
        <w:spacing w:line="218" w:lineRule="auto" w:before="118" w:after="0"/>
        <w:ind w:left="113" w:right="123" w:firstLine="170"/>
        <w:jc w:val="both"/>
        <w:rPr>
          <w:sz w:val="17"/>
        </w:rPr>
      </w:pPr>
      <w:r>
        <w:rPr>
          <w:color w:val="231F20"/>
          <w:sz w:val="17"/>
        </w:rPr>
        <w:t>alle rechtsvorderingen tegen bestuurders, dagelijks bestuurders, commissarissen, vereffenaars, tegen vaste vertegenwoordigers</w:t>
      </w:r>
      <w:r>
        <w:rPr>
          <w:color w:val="231F20"/>
          <w:spacing w:val="27"/>
          <w:sz w:val="17"/>
        </w:rPr>
        <w:t> </w:t>
      </w:r>
      <w:r>
        <w:rPr>
          <w:color w:val="231F20"/>
          <w:sz w:val="17"/>
        </w:rPr>
        <w:t>van rechtspersonen die één van de voornoemde functies bekleden, of tegen alle andere personen die ten aanzien van de vereniging of stichting werkelijke bestuursbevoegdheid hebben gehad  wegens  verrichtingen in verband met hun taak, te rekenen vanaf die verrichtingen of, indien ze met opzet verborgen zijn gehouden, te rekenen vanaf de</w:t>
      </w:r>
      <w:r>
        <w:rPr>
          <w:color w:val="231F20"/>
          <w:spacing w:val="37"/>
          <w:sz w:val="17"/>
        </w:rPr>
        <w:t> </w:t>
      </w:r>
      <w:r>
        <w:rPr>
          <w:color w:val="231F20"/>
          <w:sz w:val="17"/>
        </w:rPr>
        <w:t>ontdekking;</w:t>
      </w:r>
    </w:p>
    <w:p>
      <w:pPr>
        <w:pStyle w:val="ListParagraph"/>
        <w:numPr>
          <w:ilvl w:val="0"/>
          <w:numId w:val="48"/>
        </w:numPr>
        <w:tabs>
          <w:tab w:pos="563" w:val="left" w:leader="none"/>
        </w:tabs>
        <w:spacing w:line="218" w:lineRule="auto" w:before="118" w:after="0"/>
        <w:ind w:left="113" w:right="124" w:firstLine="170"/>
        <w:jc w:val="both"/>
        <w:rPr>
          <w:sz w:val="17"/>
        </w:rPr>
      </w:pPr>
      <w:r>
        <w:rPr>
          <w:color w:val="231F20"/>
          <w:sz w:val="17"/>
        </w:rPr>
        <w:t>alle rechtsvorderingen tegen de vereffenaars als zodanig, te rekenen van de bekendmaking van de sluiting van de vereffening voorgeschreven</w:t>
      </w:r>
      <w:r>
        <w:rPr>
          <w:color w:val="231F20"/>
          <w:spacing w:val="14"/>
          <w:sz w:val="17"/>
        </w:rPr>
        <w:t> </w:t>
      </w:r>
      <w:r>
        <w:rPr>
          <w:color w:val="231F20"/>
          <w:sz w:val="17"/>
        </w:rPr>
        <w:t>bij</w:t>
      </w:r>
      <w:r>
        <w:rPr>
          <w:color w:val="231F20"/>
          <w:spacing w:val="14"/>
          <w:sz w:val="17"/>
        </w:rPr>
        <w:t> </w:t>
      </w:r>
      <w:r>
        <w:rPr>
          <w:color w:val="231F20"/>
          <w:sz w:val="17"/>
        </w:rPr>
        <w:t>artikel</w:t>
      </w:r>
      <w:r>
        <w:rPr>
          <w:color w:val="231F20"/>
          <w:spacing w:val="14"/>
          <w:sz w:val="17"/>
        </w:rPr>
        <w:t> </w:t>
      </w:r>
      <w:r>
        <w:rPr>
          <w:color w:val="231F20"/>
          <w:sz w:val="17"/>
        </w:rPr>
        <w:t>2:136</w:t>
      </w:r>
      <w:r>
        <w:rPr>
          <w:color w:val="231F20"/>
          <w:spacing w:val="14"/>
          <w:sz w:val="17"/>
        </w:rPr>
        <w:t> </w:t>
      </w:r>
      <w:r>
        <w:rPr>
          <w:color w:val="231F20"/>
          <w:sz w:val="17"/>
        </w:rPr>
        <w:t>of</w:t>
      </w:r>
      <w:r>
        <w:rPr>
          <w:color w:val="231F20"/>
          <w:spacing w:val="14"/>
          <w:sz w:val="17"/>
        </w:rPr>
        <w:t> </w:t>
      </w:r>
      <w:r>
        <w:rPr>
          <w:color w:val="231F20"/>
          <w:sz w:val="17"/>
        </w:rPr>
        <w:t>2:17;</w:t>
      </w:r>
    </w:p>
    <w:p>
      <w:pPr>
        <w:pStyle w:val="ListParagraph"/>
        <w:numPr>
          <w:ilvl w:val="0"/>
          <w:numId w:val="48"/>
        </w:numPr>
        <w:tabs>
          <w:tab w:pos="555" w:val="left" w:leader="none"/>
        </w:tabs>
        <w:spacing w:line="218" w:lineRule="auto" w:before="117" w:after="0"/>
        <w:ind w:left="113" w:right="124" w:firstLine="170"/>
        <w:jc w:val="both"/>
        <w:rPr>
          <w:sz w:val="17"/>
        </w:rPr>
      </w:pPr>
      <w:r>
        <w:rPr>
          <w:color w:val="231F20"/>
          <w:sz w:val="17"/>
        </w:rPr>
        <w:t>de vorderingen van schuldeisers bedoeld in artikel 2:133, te rekenen van de bekendmaking van het besluit betreffende de bestem- ming van het</w:t>
      </w:r>
      <w:r>
        <w:rPr>
          <w:color w:val="231F20"/>
          <w:spacing w:val="4"/>
          <w:sz w:val="17"/>
        </w:rPr>
        <w:t> </w:t>
      </w:r>
      <w:r>
        <w:rPr>
          <w:color w:val="231F20"/>
          <w:sz w:val="17"/>
        </w:rPr>
        <w:t>actief.</w:t>
      </w:r>
    </w:p>
    <w:p>
      <w:pPr>
        <w:pStyle w:val="BodyText"/>
        <w:spacing w:line="218" w:lineRule="auto" w:before="118"/>
        <w:ind w:right="125"/>
      </w:pPr>
      <w:r>
        <w:rPr>
          <w:color w:val="231F20"/>
        </w:rPr>
        <w:t>§ 3. De vordering tot heropening van de vereffening verjaart na het verstrijken van een termijn van vijf jaar te rekenen vanaf de bekend- making van de sluiting van de vereffening. Zij kan niet meer worden ingesteld na het verstrijken van een termijn van één jaar te rekenen vanaf de dag waarop het vergeten actieve vermogensbestanddeel werd ontdekt.</w:t>
      </w:r>
    </w:p>
    <w:p>
      <w:pPr>
        <w:spacing w:after="0" w:line="218" w:lineRule="auto"/>
        <w:sectPr>
          <w:pgSz w:w="11940" w:h="16880"/>
          <w:pgMar w:header="666" w:footer="0" w:top="1140" w:bottom="280" w:left="340" w:right="360"/>
          <w:cols w:num="2" w:equalWidth="0">
            <w:col w:w="5530" w:space="98"/>
            <w:col w:w="5612"/>
          </w:cols>
        </w:sectPr>
      </w:pPr>
    </w:p>
    <w:p>
      <w:pPr>
        <w:pStyle w:val="BodyText"/>
        <w:spacing w:line="218" w:lineRule="auto" w:before="120"/>
        <w:ind w:right="39"/>
      </w:pPr>
      <w:r>
        <w:rPr/>
        <w:pict>
          <v:line style="position:absolute;mso-position-horizontal-relative:page;mso-position-vertical-relative:page;z-index:2152" from="298.170502pt,64.473pt" to="298.170502pt,812.819pt" stroked="true" strokeweight=".533pt" strokecolor="#231f20">
            <v:stroke dashstyle="solid"/>
            <w10:wrap type="none"/>
          </v:line>
        </w:pict>
      </w:r>
      <w:bookmarkStart w:name="_bookmark47" w:id="50"/>
      <w:bookmarkEnd w:id="50"/>
      <w:r>
        <w:rPr/>
      </w:r>
      <w:r>
        <w:rPr>
          <w:color w:val="231F20"/>
        </w:rPr>
        <w:t>§ 4. Les actions en nullité d’une fusion ou d’une scission prévues aux articles 12:19, 12:20 et 13:7, ne peuvent plus être intentées après l’expiration d’un délai de six mois à compter de la date à laquelle la fusion ou la scission est opposable à celui qui invoque la nullité, ou si   la situation a été</w:t>
      </w:r>
      <w:r>
        <w:rPr>
          <w:color w:val="231F20"/>
          <w:spacing w:val="18"/>
        </w:rPr>
        <w:t> </w:t>
      </w:r>
      <w:r>
        <w:rPr>
          <w:color w:val="231F20"/>
        </w:rPr>
        <w:t>régularisée.</w:t>
      </w:r>
    </w:p>
    <w:p>
      <w:pPr>
        <w:pStyle w:val="BodyText"/>
        <w:ind w:left="0" w:right="0" w:firstLine="0"/>
        <w:jc w:val="left"/>
        <w:rPr>
          <w:sz w:val="23"/>
        </w:rPr>
      </w:pPr>
    </w:p>
    <w:p>
      <w:pPr>
        <w:pStyle w:val="BodyText"/>
        <w:spacing w:line="218" w:lineRule="auto"/>
        <w:ind w:right="38"/>
      </w:pPr>
      <w:r>
        <w:rPr>
          <w:color w:val="231F20"/>
        </w:rPr>
        <w:t>Les actions en nullité d’une décision d’un organe d’une personne morale prévues par l’article 2:44 ne peuvent plus être intentées après l’expiration d’un délai de six mois à compter de la date à laquelle les décisions prises sont opposables à celui qui invoque la nullité ou sont connues de lui.</w:t>
      </w:r>
    </w:p>
    <w:p>
      <w:pPr>
        <w:pStyle w:val="BodyText"/>
        <w:ind w:left="0" w:right="0" w:firstLine="0"/>
        <w:jc w:val="left"/>
        <w:rPr>
          <w:sz w:val="23"/>
        </w:rPr>
      </w:pPr>
    </w:p>
    <w:p>
      <w:pPr>
        <w:pStyle w:val="BodyText"/>
        <w:spacing w:line="218" w:lineRule="auto"/>
        <w:ind w:right="38"/>
      </w:pPr>
      <w:r>
        <w:rPr>
          <w:color w:val="231F20"/>
        </w:rPr>
        <w:t>Art. 2:144. Les créanciers peuvent, dans toutes les sociétés, faire décréter par justice les versements stipulés aux statuts et qui sont nécessaires à la conservation de leurs droits; la société peut écarter l’action en remboursant leur créance à sa valeur, après déduction de l’escompte.</w:t>
      </w:r>
    </w:p>
    <w:p>
      <w:pPr>
        <w:pStyle w:val="BodyText"/>
        <w:spacing w:line="218" w:lineRule="auto" w:before="86"/>
        <w:ind w:right="39"/>
      </w:pPr>
      <w:r>
        <w:rPr>
          <w:color w:val="231F20"/>
        </w:rPr>
        <w:t>Les membres de l’organe d’administration sont personnellement obligés d’exécuter les jugements rendus à cette fin.</w:t>
      </w:r>
    </w:p>
    <w:p>
      <w:pPr>
        <w:pStyle w:val="BodyText"/>
        <w:spacing w:line="218" w:lineRule="auto" w:before="85"/>
        <w:ind w:right="38"/>
      </w:pPr>
      <w:r>
        <w:rPr>
          <w:color w:val="231F20"/>
        </w:rPr>
        <w:t>Les créanciers peuvent </w:t>
      </w:r>
      <w:r>
        <w:rPr>
          <w:color w:val="231F20"/>
          <w:spacing w:val="-3"/>
        </w:rPr>
        <w:t>exercer, </w:t>
      </w:r>
      <w:r>
        <w:rPr>
          <w:color w:val="231F20"/>
        </w:rPr>
        <w:t>conformément à l’article </w:t>
      </w:r>
      <w:r>
        <w:rPr>
          <w:color w:val="231F20"/>
          <w:spacing w:val="-3"/>
        </w:rPr>
        <w:t>1166 </w:t>
      </w:r>
      <w:r>
        <w:rPr>
          <w:color w:val="231F20"/>
        </w:rPr>
        <w:t>du Code civil, contre les associés ou actionnaires, les droits de la société quant aux versements à faire et qui sont exigibles en vertu des statuts, d’une</w:t>
      </w:r>
      <w:r>
        <w:rPr>
          <w:color w:val="231F20"/>
          <w:spacing w:val="16"/>
        </w:rPr>
        <w:t> </w:t>
      </w:r>
      <w:r>
        <w:rPr>
          <w:color w:val="231F20"/>
        </w:rPr>
        <w:t>décision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société</w:t>
      </w:r>
      <w:r>
        <w:rPr>
          <w:color w:val="231F20"/>
          <w:spacing w:val="16"/>
        </w:rPr>
        <w:t> </w:t>
      </w:r>
      <w:r>
        <w:rPr>
          <w:color w:val="231F20"/>
        </w:rPr>
        <w:t>ou</w:t>
      </w:r>
      <w:r>
        <w:rPr>
          <w:color w:val="231F20"/>
          <w:spacing w:val="16"/>
        </w:rPr>
        <w:t> </w:t>
      </w:r>
      <w:r>
        <w:rPr>
          <w:color w:val="231F20"/>
        </w:rPr>
        <w:t>d’un</w:t>
      </w:r>
      <w:r>
        <w:rPr>
          <w:color w:val="231F20"/>
          <w:spacing w:val="16"/>
        </w:rPr>
        <w:t> </w:t>
      </w:r>
      <w:r>
        <w:rPr>
          <w:color w:val="231F20"/>
        </w:rPr>
        <w:t>jugement.</w:t>
      </w:r>
    </w:p>
    <w:p>
      <w:pPr>
        <w:pStyle w:val="BodyText"/>
        <w:ind w:left="0" w:right="0" w:firstLine="0"/>
        <w:jc w:val="left"/>
        <w:rPr>
          <w:sz w:val="23"/>
        </w:rPr>
      </w:pPr>
    </w:p>
    <w:p>
      <w:pPr>
        <w:pStyle w:val="BodyText"/>
        <w:spacing w:line="218" w:lineRule="auto" w:before="1"/>
        <w:ind w:right="38"/>
      </w:pPr>
      <w:r>
        <w:rPr>
          <w:color w:val="231F20"/>
        </w:rPr>
        <w:t>Art. 2:145. Les articles 5, 6, 7 et 8 du décret du 20 juillet 1831 sur la presse sont applicables aux imputations dirigées contre les membres d’un organe d’administration et commissaires des sociétés à responsa- bilité limitée, des sociétés coopératives, des sociétés anonymes, des sociétés européennes et des sociétés coopératives européennes.</w:t>
      </w:r>
    </w:p>
    <w:p>
      <w:pPr>
        <w:pStyle w:val="BodyText"/>
        <w:spacing w:before="8"/>
        <w:ind w:left="0" w:right="0" w:firstLine="0"/>
        <w:jc w:val="left"/>
        <w:rPr>
          <w:sz w:val="21"/>
        </w:rPr>
      </w:pPr>
    </w:p>
    <w:p>
      <w:pPr>
        <w:pStyle w:val="BodyText"/>
        <w:ind w:left="283" w:right="0" w:firstLine="0"/>
        <w:jc w:val="left"/>
      </w:pPr>
      <w:r>
        <w:rPr>
          <w:color w:val="231F20"/>
        </w:rPr>
        <w:t>TITRE 10. Dispositions de droit international privé.</w:t>
      </w:r>
    </w:p>
    <w:p>
      <w:pPr>
        <w:pStyle w:val="BodyText"/>
        <w:spacing w:line="218" w:lineRule="auto" w:before="82"/>
        <w:ind w:right="39"/>
      </w:pPr>
      <w:r>
        <w:rPr>
          <w:color w:val="231F20"/>
        </w:rPr>
        <w:t>Art. 2:146. Le présent code est applicable aux personnes morales qui ont leur siège statutaire en Belgique.</w:t>
      </w:r>
    </w:p>
    <w:p>
      <w:pPr>
        <w:pStyle w:val="BodyText"/>
        <w:spacing w:line="218" w:lineRule="auto" w:before="86"/>
        <w:ind w:right="38"/>
      </w:pPr>
      <w:r>
        <w:rPr>
          <w:color w:val="231F20"/>
        </w:rPr>
        <w:t>Art. 2:147. Les membres de l’organe d’administration, délégués à la gestion journalière, commissaires et liquidateurs, domiciliés à l’étran- ger, sont censés, pendant toute la durée de leurs fonctions, élire domicile au siège statutaire, où toutes significations et notifications peuvent leur être données relativement aux affaires de la personne morale et à la responsabilité de leur gestion et de leur contrôle.</w:t>
      </w:r>
    </w:p>
    <w:p>
      <w:pPr>
        <w:pStyle w:val="BodyText"/>
        <w:ind w:left="0" w:right="0" w:firstLine="0"/>
        <w:jc w:val="left"/>
        <w:rPr>
          <w:sz w:val="23"/>
        </w:rPr>
      </w:pPr>
    </w:p>
    <w:p>
      <w:pPr>
        <w:pStyle w:val="BodyText"/>
        <w:spacing w:line="218" w:lineRule="auto"/>
        <w:ind w:right="38"/>
      </w:pPr>
      <w:r>
        <w:rPr>
          <w:color w:val="231F20"/>
        </w:rPr>
        <w:t>Art. 2:148. Les personnes morales qui ont leur siège statutaire à l’étranger,</w:t>
      </w:r>
      <w:r>
        <w:rPr>
          <w:color w:val="231F20"/>
          <w:spacing w:val="-7"/>
        </w:rPr>
        <w:t> </w:t>
      </w:r>
      <w:r>
        <w:rPr>
          <w:color w:val="231F20"/>
        </w:rPr>
        <w:t>peuvent</w:t>
      </w:r>
      <w:r>
        <w:rPr>
          <w:color w:val="231F20"/>
          <w:spacing w:val="-6"/>
        </w:rPr>
        <w:t> </w:t>
      </w:r>
      <w:r>
        <w:rPr>
          <w:color w:val="231F20"/>
        </w:rPr>
        <w:t>exercer</w:t>
      </w:r>
      <w:r>
        <w:rPr>
          <w:color w:val="231F20"/>
          <w:spacing w:val="-6"/>
        </w:rPr>
        <w:t> </w:t>
      </w:r>
      <w:r>
        <w:rPr>
          <w:color w:val="231F20"/>
        </w:rPr>
        <w:t>leurs</w:t>
      </w:r>
      <w:r>
        <w:rPr>
          <w:color w:val="231F20"/>
          <w:spacing w:val="-6"/>
        </w:rPr>
        <w:t> </w:t>
      </w:r>
      <w:r>
        <w:rPr>
          <w:color w:val="231F20"/>
        </w:rPr>
        <w:t>activités,</w:t>
      </w:r>
      <w:r>
        <w:rPr>
          <w:color w:val="231F20"/>
          <w:spacing w:val="-7"/>
        </w:rPr>
        <w:t> </w:t>
      </w:r>
      <w:r>
        <w:rPr>
          <w:color w:val="231F20"/>
        </w:rPr>
        <w:t>ester</w:t>
      </w:r>
      <w:r>
        <w:rPr>
          <w:color w:val="231F20"/>
          <w:spacing w:val="-6"/>
        </w:rPr>
        <w:t> </w:t>
      </w:r>
      <w:r>
        <w:rPr>
          <w:color w:val="231F20"/>
        </w:rPr>
        <w:t>en</w:t>
      </w:r>
      <w:r>
        <w:rPr>
          <w:color w:val="231F20"/>
          <w:spacing w:val="-6"/>
        </w:rPr>
        <w:t> </w:t>
      </w:r>
      <w:r>
        <w:rPr>
          <w:color w:val="231F20"/>
        </w:rPr>
        <w:t>justice</w:t>
      </w:r>
      <w:r>
        <w:rPr>
          <w:color w:val="231F20"/>
          <w:spacing w:val="-6"/>
        </w:rPr>
        <w:t> </w:t>
      </w:r>
      <w:r>
        <w:rPr>
          <w:color w:val="231F20"/>
        </w:rPr>
        <w:t>en</w:t>
      </w:r>
      <w:r>
        <w:rPr>
          <w:color w:val="231F20"/>
          <w:spacing w:val="-7"/>
        </w:rPr>
        <w:t> </w:t>
      </w:r>
      <w:r>
        <w:rPr>
          <w:color w:val="231F20"/>
        </w:rPr>
        <w:t>Belgique,</w:t>
      </w:r>
      <w:r>
        <w:rPr>
          <w:color w:val="231F20"/>
          <w:spacing w:val="-6"/>
        </w:rPr>
        <w:t> </w:t>
      </w:r>
      <w:r>
        <w:rPr>
          <w:color w:val="231F20"/>
        </w:rPr>
        <w:t>et y établir une</w:t>
      </w:r>
      <w:r>
        <w:rPr>
          <w:color w:val="231F20"/>
          <w:spacing w:val="4"/>
        </w:rPr>
        <w:t> </w:t>
      </w:r>
      <w:r>
        <w:rPr>
          <w:color w:val="231F20"/>
        </w:rPr>
        <w:t>succursale.</w:t>
      </w:r>
    </w:p>
    <w:p>
      <w:pPr>
        <w:pStyle w:val="BodyText"/>
        <w:spacing w:line="218" w:lineRule="auto" w:before="86"/>
        <w:ind w:right="38"/>
      </w:pPr>
      <w:r>
        <w:rPr>
          <w:color w:val="231F20"/>
        </w:rPr>
        <w:t>Toutefois les actions intentées par les personnes morales étrangères qui ont une succursale en Belgique, sont irrecevables si elles n’ont pas déposé leur acte constitutif conformément à l’article 2:24.</w:t>
      </w:r>
    </w:p>
    <w:p>
      <w:pPr>
        <w:pStyle w:val="BodyText"/>
        <w:ind w:left="0" w:right="0" w:firstLine="0"/>
        <w:jc w:val="left"/>
        <w:rPr>
          <w:sz w:val="23"/>
        </w:rPr>
      </w:pPr>
    </w:p>
    <w:p>
      <w:pPr>
        <w:pStyle w:val="BodyText"/>
        <w:spacing w:line="218" w:lineRule="auto"/>
        <w:ind w:right="38"/>
      </w:pPr>
      <w:r>
        <w:rPr>
          <w:color w:val="231F20"/>
        </w:rPr>
        <w:t>Art. 2:149. Ceux qui sont préposés à la gestion de la succursale belge d’une personne morale étrangère sont soumis à la même responsabilité envers les tiers que ceux qui gèrent une personne morale belge.</w:t>
      </w:r>
    </w:p>
    <w:p>
      <w:pPr>
        <w:pStyle w:val="BodyText"/>
        <w:spacing w:before="8"/>
        <w:ind w:left="0" w:right="0" w:firstLine="0"/>
        <w:jc w:val="left"/>
        <w:rPr>
          <w:sz w:val="21"/>
        </w:rPr>
      </w:pPr>
    </w:p>
    <w:p>
      <w:pPr>
        <w:pStyle w:val="BodyText"/>
        <w:spacing w:before="1"/>
        <w:ind w:left="284" w:right="0" w:firstLine="0"/>
        <w:jc w:val="left"/>
      </w:pPr>
      <w:r>
        <w:rPr>
          <w:color w:val="231F20"/>
        </w:rPr>
        <w:t>LIVRE 3. Les comptes annuels.</w:t>
      </w:r>
    </w:p>
    <w:p>
      <w:pPr>
        <w:pStyle w:val="BodyText"/>
        <w:spacing w:line="218" w:lineRule="auto" w:before="67"/>
        <w:ind w:right="39"/>
      </w:pPr>
      <w:r>
        <w:rPr>
          <w:color w:val="231F20"/>
        </w:rPr>
        <w:t>TITRE 1</w:t>
      </w:r>
      <w:r>
        <w:rPr>
          <w:color w:val="231F20"/>
          <w:position w:val="7"/>
          <w:sz w:val="11"/>
        </w:rPr>
        <w:t>er</w:t>
      </w:r>
      <w:r>
        <w:rPr>
          <w:color w:val="231F20"/>
        </w:rPr>
        <w:t>. Comptes annuels des sociétés dotées de la personnalité juridique.</w:t>
      </w:r>
    </w:p>
    <w:p>
      <w:pPr>
        <w:pStyle w:val="BodyText"/>
        <w:spacing w:line="218" w:lineRule="auto" w:before="70"/>
        <w:ind w:right="39"/>
      </w:pPr>
      <w:r>
        <w:rPr>
          <w:color w:val="231F20"/>
        </w:rPr>
        <w:t>CHAPITRE 1</w:t>
      </w:r>
      <w:r>
        <w:rPr>
          <w:color w:val="231F20"/>
          <w:position w:val="7"/>
          <w:sz w:val="11"/>
        </w:rPr>
        <w:t>er</w:t>
      </w:r>
      <w:r>
        <w:rPr>
          <w:color w:val="231F20"/>
        </w:rPr>
        <w:t>. Comptes annuels, rapport de gestion et formalités de publicité.</w:t>
      </w:r>
    </w:p>
    <w:p>
      <w:pPr>
        <w:pStyle w:val="BodyText"/>
        <w:spacing w:before="56"/>
        <w:ind w:left="283" w:right="0" w:firstLine="0"/>
        <w:jc w:val="left"/>
      </w:pPr>
      <w:r>
        <w:rPr>
          <w:color w:val="231F20"/>
        </w:rPr>
        <w:t>Section 1</w:t>
      </w:r>
      <w:r>
        <w:rPr>
          <w:color w:val="231F20"/>
          <w:position w:val="7"/>
          <w:sz w:val="11"/>
        </w:rPr>
        <w:t>er</w:t>
      </w:r>
      <w:r>
        <w:rPr>
          <w:color w:val="231F20"/>
        </w:rPr>
        <w:t>. Les comptes annuels.</w:t>
      </w:r>
    </w:p>
    <w:p>
      <w:pPr>
        <w:pStyle w:val="BodyText"/>
        <w:spacing w:line="218" w:lineRule="auto" w:before="67"/>
        <w:ind w:right="38"/>
      </w:pPr>
      <w:r>
        <w:rPr>
          <w:color w:val="231F20"/>
        </w:rPr>
        <w:t>Art. 3:1. § 1</w:t>
      </w:r>
      <w:r>
        <w:rPr>
          <w:color w:val="231F20"/>
          <w:position w:val="7"/>
          <w:sz w:val="11"/>
        </w:rPr>
        <w:t>er</w:t>
      </w:r>
      <w:r>
        <w:rPr>
          <w:color w:val="231F20"/>
        </w:rPr>
        <w:t>. Chaque année, l’organe d’administration dresse un inventaire suivant les règles d’évaluation fixés par le Roi et établit les comptes annuels dont la forme et le contenu sont déterminés par le</w:t>
      </w:r>
      <w:r>
        <w:rPr>
          <w:color w:val="231F20"/>
          <w:spacing w:val="-20"/>
        </w:rPr>
        <w:t> </w:t>
      </w:r>
      <w:r>
        <w:rPr>
          <w:color w:val="231F20"/>
        </w:rPr>
        <w:t>Roi. Ces</w:t>
      </w:r>
      <w:r>
        <w:rPr>
          <w:color w:val="231F20"/>
          <w:spacing w:val="-5"/>
        </w:rPr>
        <w:t> </w:t>
      </w:r>
      <w:r>
        <w:rPr>
          <w:color w:val="231F20"/>
        </w:rPr>
        <w:t>comptes</w:t>
      </w:r>
      <w:r>
        <w:rPr>
          <w:color w:val="231F20"/>
          <w:spacing w:val="-4"/>
        </w:rPr>
        <w:t> </w:t>
      </w:r>
      <w:r>
        <w:rPr>
          <w:color w:val="231F20"/>
        </w:rPr>
        <w:t>annuels</w:t>
      </w:r>
      <w:r>
        <w:rPr>
          <w:color w:val="231F20"/>
          <w:spacing w:val="-4"/>
        </w:rPr>
        <w:t> </w:t>
      </w:r>
      <w:r>
        <w:rPr>
          <w:color w:val="231F20"/>
        </w:rPr>
        <w:t>comprennent</w:t>
      </w:r>
      <w:r>
        <w:rPr>
          <w:color w:val="231F20"/>
          <w:spacing w:val="-4"/>
        </w:rPr>
        <w:t> </w:t>
      </w:r>
      <w:r>
        <w:rPr>
          <w:color w:val="231F20"/>
        </w:rPr>
        <w:t>le</w:t>
      </w:r>
      <w:r>
        <w:rPr>
          <w:color w:val="231F20"/>
          <w:spacing w:val="-4"/>
        </w:rPr>
        <w:t> </w:t>
      </w:r>
      <w:r>
        <w:rPr>
          <w:color w:val="231F20"/>
        </w:rPr>
        <w:t>bilan,</w:t>
      </w:r>
      <w:r>
        <w:rPr>
          <w:color w:val="231F20"/>
          <w:spacing w:val="-4"/>
        </w:rPr>
        <w:t> </w:t>
      </w:r>
      <w:r>
        <w:rPr>
          <w:color w:val="231F20"/>
        </w:rPr>
        <w:t>le</w:t>
      </w:r>
      <w:r>
        <w:rPr>
          <w:color w:val="231F20"/>
          <w:spacing w:val="-4"/>
        </w:rPr>
        <w:t> </w:t>
      </w:r>
      <w:r>
        <w:rPr>
          <w:color w:val="231F20"/>
        </w:rPr>
        <w:t>compte</w:t>
      </w:r>
      <w:r>
        <w:rPr>
          <w:color w:val="231F20"/>
          <w:spacing w:val="-4"/>
        </w:rPr>
        <w:t> </w:t>
      </w:r>
      <w:r>
        <w:rPr>
          <w:color w:val="231F20"/>
        </w:rPr>
        <w:t>des</w:t>
      </w:r>
      <w:r>
        <w:rPr>
          <w:color w:val="231F20"/>
          <w:spacing w:val="-4"/>
        </w:rPr>
        <w:t> </w:t>
      </w:r>
      <w:r>
        <w:rPr>
          <w:color w:val="231F20"/>
        </w:rPr>
        <w:t>résultats</w:t>
      </w:r>
      <w:r>
        <w:rPr>
          <w:color w:val="231F20"/>
          <w:spacing w:val="-4"/>
        </w:rPr>
        <w:t> </w:t>
      </w:r>
      <w:r>
        <w:rPr>
          <w:color w:val="231F20"/>
        </w:rPr>
        <w:t>ainsi que</w:t>
      </w:r>
      <w:r>
        <w:rPr>
          <w:color w:val="231F20"/>
          <w:spacing w:val="15"/>
        </w:rPr>
        <w:t> </w:t>
      </w:r>
      <w:r>
        <w:rPr>
          <w:color w:val="231F20"/>
        </w:rPr>
        <w:t>l’annexe</w:t>
      </w:r>
      <w:r>
        <w:rPr>
          <w:color w:val="231F20"/>
          <w:spacing w:val="15"/>
        </w:rPr>
        <w:t> </w:t>
      </w:r>
      <w:r>
        <w:rPr>
          <w:color w:val="231F20"/>
        </w:rPr>
        <w:t>et</w:t>
      </w:r>
      <w:r>
        <w:rPr>
          <w:color w:val="231F20"/>
          <w:spacing w:val="15"/>
        </w:rPr>
        <w:t> </w:t>
      </w:r>
      <w:r>
        <w:rPr>
          <w:color w:val="231F20"/>
        </w:rPr>
        <w:t>forment</w:t>
      </w:r>
      <w:r>
        <w:rPr>
          <w:color w:val="231F20"/>
          <w:spacing w:val="15"/>
        </w:rPr>
        <w:t> </w:t>
      </w:r>
      <w:r>
        <w:rPr>
          <w:color w:val="231F20"/>
        </w:rPr>
        <w:t>un</w:t>
      </w:r>
      <w:r>
        <w:rPr>
          <w:color w:val="231F20"/>
          <w:spacing w:val="15"/>
        </w:rPr>
        <w:t> </w:t>
      </w:r>
      <w:r>
        <w:rPr>
          <w:color w:val="231F20"/>
        </w:rPr>
        <w:t>tout.</w:t>
      </w:r>
    </w:p>
    <w:p>
      <w:pPr>
        <w:pStyle w:val="BodyText"/>
        <w:spacing w:line="218" w:lineRule="auto" w:before="86"/>
        <w:ind w:right="39"/>
      </w:pPr>
      <w:r>
        <w:rPr>
          <w:color w:val="231F20"/>
        </w:rPr>
        <w:t>Les comptes annuels doivent être soumis à l’approbation des associés réunis en assemblée ou de l’assemblée générale dans les six mois de la clôture de l’exercice.</w:t>
      </w:r>
    </w:p>
    <w:p>
      <w:pPr>
        <w:pStyle w:val="BodyText"/>
        <w:spacing w:line="218" w:lineRule="auto" w:before="96"/>
        <w:ind w:right="40"/>
      </w:pPr>
      <w:r>
        <w:rPr>
          <w:color w:val="231F20"/>
        </w:rPr>
        <w:t>Si les comptes annuels n’ont pas été soumis aux associés réunis en assemblée ou à l’assemblée générale dans ce délai, le dommage subi par les tiers est, sauf preuve contraire, présumé résulter de cette omission.</w:t>
      </w:r>
    </w:p>
    <w:p>
      <w:pPr>
        <w:pStyle w:val="BodyText"/>
        <w:spacing w:before="7"/>
        <w:ind w:left="0" w:right="0" w:firstLine="0"/>
        <w:jc w:val="left"/>
        <w:rPr>
          <w:sz w:val="22"/>
        </w:rPr>
      </w:pPr>
    </w:p>
    <w:p>
      <w:pPr>
        <w:pStyle w:val="BodyText"/>
        <w:spacing w:line="218" w:lineRule="auto"/>
        <w:ind w:right="38"/>
      </w:pPr>
      <w:r>
        <w:rPr>
          <w:color w:val="231F20"/>
        </w:rPr>
        <w:t>§ 2. L’obligation visée au paragraphe 1</w:t>
      </w:r>
      <w:r>
        <w:rPr>
          <w:color w:val="231F20"/>
          <w:position w:val="7"/>
          <w:sz w:val="11"/>
        </w:rPr>
        <w:t>er </w:t>
      </w:r>
      <w:r>
        <w:rPr>
          <w:color w:val="231F20"/>
        </w:rPr>
        <w:t>est aussi applicable aux sociétés étrangères en ce qui concerne leurs succursales établies en Belgique, sauf lorsque ces succursales n’ont pas de produits propres liés à la vente de biens ou à la prestation de services à des tiers ou à des biens livrés ou à des services prestés à la société étrangère dont elles relèvent, et dont les charges de fonctionnement sont supportées entièrement par cette dernière.</w:t>
      </w:r>
    </w:p>
    <w:p>
      <w:pPr>
        <w:pStyle w:val="BodyText"/>
        <w:spacing w:line="218" w:lineRule="auto" w:before="119"/>
      </w:pPr>
      <w:r>
        <w:rPr/>
        <w:br w:type="column"/>
      </w:r>
      <w:r>
        <w:rPr>
          <w:color w:val="231F20"/>
        </w:rPr>
        <w:t>§ 4. De vorderingen tot nietigverklaring van een fusie of splitsing, bedoeld in de artikelen 12:19, 12:20 en 13:7, kunnen niet meer worden ingesteld na het verstrijken van een termijn van zes maanden te rekenen van de dag waarop de fusie of de splitsing kan worden tegengeworpen aan degene die de nietigheid inroept, dan wel wanneer de toestand is</w:t>
      </w:r>
      <w:r>
        <w:rPr>
          <w:color w:val="231F20"/>
          <w:spacing w:val="4"/>
        </w:rPr>
        <w:t> </w:t>
      </w:r>
      <w:r>
        <w:rPr>
          <w:color w:val="231F20"/>
        </w:rPr>
        <w:t>geregulariseerd.</w:t>
      </w:r>
    </w:p>
    <w:p>
      <w:pPr>
        <w:pStyle w:val="BodyText"/>
        <w:spacing w:line="218" w:lineRule="auto" w:before="86"/>
      </w:pPr>
      <w:r>
        <w:rPr>
          <w:color w:val="231F20"/>
        </w:rPr>
        <w:t>De vorderingen tot nietigverklaring van een besluit van een orgaan van een rechtspersoon bedoeld in artikel 2:44 kunnen niet meer</w:t>
      </w:r>
      <w:r>
        <w:rPr>
          <w:color w:val="231F20"/>
          <w:spacing w:val="-28"/>
        </w:rPr>
        <w:t> </w:t>
      </w:r>
      <w:r>
        <w:rPr>
          <w:color w:val="231F20"/>
        </w:rPr>
        <w:t>worden ingesteld na het verstrijken van een termijn van zes maanden te rekenen van de dag waarop de besluiten kunnen worden tegengewor- pen aan degene die de nietigheid inroept of van de dag waarop hij er kennis van heeft</w:t>
      </w:r>
      <w:r>
        <w:rPr>
          <w:color w:val="231F20"/>
          <w:spacing w:val="4"/>
        </w:rPr>
        <w:t> </w:t>
      </w:r>
      <w:r>
        <w:rPr>
          <w:color w:val="231F20"/>
        </w:rPr>
        <w:t>gekregen.</w:t>
      </w:r>
    </w:p>
    <w:p>
      <w:pPr>
        <w:pStyle w:val="BodyText"/>
        <w:spacing w:line="218" w:lineRule="auto" w:before="86"/>
      </w:pPr>
      <w:r>
        <w:rPr>
          <w:color w:val="231F20"/>
        </w:rPr>
        <w:t>Art. 2:144. In alle vennootschappen kunnen de schuldeisers door de rechter de geldstortingen doen bevelen die door de statuten zijn bedongen en noodzakelijk zijn tot bewaring van hun rechten; de vennootschap kan de rechtsvordering afweren door hun schuldvorde- ring te voldoen naar haar waarde, verminderd met het disconto.</w:t>
      </w:r>
    </w:p>
    <w:p>
      <w:pPr>
        <w:pStyle w:val="BodyText"/>
        <w:spacing w:line="218" w:lineRule="auto" w:before="86"/>
      </w:pPr>
      <w:r>
        <w:rPr>
          <w:color w:val="231F20"/>
        </w:rPr>
        <w:t>De leden van het bestuursorgaan zijn persoonlijk verplicht de daarop gewezen vonnissen uit te voeren.</w:t>
      </w:r>
    </w:p>
    <w:p>
      <w:pPr>
        <w:pStyle w:val="BodyText"/>
        <w:spacing w:line="218" w:lineRule="auto" w:before="85"/>
        <w:ind w:right="123"/>
      </w:pPr>
      <w:r>
        <w:rPr>
          <w:color w:val="231F20"/>
        </w:rPr>
        <w:t>De schuldeisers kunnen overeenkomstig artikel 1166 van het Burger- lijk Wetboek tegen de vennoten of aandeelhouders de rechten van de vennootschap uitoefenen ten aanzien van de te verrichten geldstortin- gen die opeisbaar zijn krachtens de statuten, een besluit van de vennootschap of een vonnis.</w:t>
      </w:r>
    </w:p>
    <w:p>
      <w:pPr>
        <w:pStyle w:val="BodyText"/>
        <w:spacing w:line="218" w:lineRule="auto" w:before="86"/>
        <w:ind w:right="121"/>
      </w:pPr>
      <w:r>
        <w:rPr>
          <w:color w:val="231F20"/>
        </w:rPr>
        <w:t>Art.</w:t>
      </w:r>
      <w:r>
        <w:rPr>
          <w:color w:val="231F20"/>
          <w:spacing w:val="-3"/>
        </w:rPr>
        <w:t> </w:t>
      </w:r>
      <w:r>
        <w:rPr>
          <w:color w:val="231F20"/>
        </w:rPr>
        <w:t>2:145.</w:t>
      </w:r>
      <w:r>
        <w:rPr>
          <w:color w:val="231F20"/>
          <w:spacing w:val="-2"/>
        </w:rPr>
        <w:t> </w:t>
      </w:r>
      <w:r>
        <w:rPr>
          <w:color w:val="231F20"/>
        </w:rPr>
        <w:t>De</w:t>
      </w:r>
      <w:r>
        <w:rPr>
          <w:color w:val="231F20"/>
          <w:spacing w:val="-2"/>
        </w:rPr>
        <w:t> </w:t>
      </w:r>
      <w:r>
        <w:rPr>
          <w:color w:val="231F20"/>
        </w:rPr>
        <w:t>artikelen</w:t>
      </w:r>
      <w:r>
        <w:rPr>
          <w:color w:val="231F20"/>
          <w:spacing w:val="-2"/>
        </w:rPr>
        <w:t> </w:t>
      </w:r>
      <w:r>
        <w:rPr>
          <w:color w:val="231F20"/>
        </w:rPr>
        <w:t>5,</w:t>
      </w:r>
      <w:r>
        <w:rPr>
          <w:color w:val="231F20"/>
          <w:spacing w:val="-3"/>
        </w:rPr>
        <w:t> </w:t>
      </w:r>
      <w:r>
        <w:rPr>
          <w:color w:val="231F20"/>
        </w:rPr>
        <w:t>6,</w:t>
      </w:r>
      <w:r>
        <w:rPr>
          <w:color w:val="231F20"/>
          <w:spacing w:val="-2"/>
        </w:rPr>
        <w:t> </w:t>
      </w:r>
      <w:r>
        <w:rPr>
          <w:color w:val="231F20"/>
        </w:rPr>
        <w:t>7</w:t>
      </w:r>
      <w:r>
        <w:rPr>
          <w:color w:val="231F20"/>
          <w:spacing w:val="-2"/>
        </w:rPr>
        <w:t> </w:t>
      </w:r>
      <w:r>
        <w:rPr>
          <w:color w:val="231F20"/>
        </w:rPr>
        <w:t>en</w:t>
      </w:r>
      <w:r>
        <w:rPr>
          <w:color w:val="231F20"/>
          <w:spacing w:val="-2"/>
        </w:rPr>
        <w:t> </w:t>
      </w:r>
      <w:r>
        <w:rPr>
          <w:color w:val="231F20"/>
        </w:rPr>
        <w:t>8</w:t>
      </w:r>
      <w:r>
        <w:rPr>
          <w:color w:val="231F20"/>
          <w:spacing w:val="-3"/>
        </w:rPr>
        <w:t> </w:t>
      </w:r>
      <w:r>
        <w:rPr>
          <w:color w:val="231F20"/>
        </w:rPr>
        <w:t>van</w:t>
      </w:r>
      <w:r>
        <w:rPr>
          <w:color w:val="231F20"/>
          <w:spacing w:val="-2"/>
        </w:rPr>
        <w:t> </w:t>
      </w:r>
      <w:r>
        <w:rPr>
          <w:color w:val="231F20"/>
        </w:rPr>
        <w:t>het</w:t>
      </w:r>
      <w:r>
        <w:rPr>
          <w:color w:val="231F20"/>
          <w:spacing w:val="-2"/>
        </w:rPr>
        <w:t> </w:t>
      </w:r>
      <w:r>
        <w:rPr>
          <w:color w:val="231F20"/>
        </w:rPr>
        <w:t>decreet</w:t>
      </w:r>
      <w:r>
        <w:rPr>
          <w:color w:val="231F20"/>
          <w:spacing w:val="-2"/>
        </w:rPr>
        <w:t> </w:t>
      </w:r>
      <w:r>
        <w:rPr>
          <w:color w:val="231F20"/>
        </w:rPr>
        <w:t>van</w:t>
      </w:r>
      <w:r>
        <w:rPr>
          <w:color w:val="231F20"/>
          <w:spacing w:val="-3"/>
        </w:rPr>
        <w:t> </w:t>
      </w:r>
      <w:r>
        <w:rPr>
          <w:color w:val="231F20"/>
        </w:rPr>
        <w:t>20</w:t>
      </w:r>
      <w:r>
        <w:rPr>
          <w:color w:val="231F20"/>
          <w:spacing w:val="-2"/>
        </w:rPr>
        <w:t> </w:t>
      </w:r>
      <w:r>
        <w:rPr>
          <w:color w:val="231F20"/>
        </w:rPr>
        <w:t>juli</w:t>
      </w:r>
      <w:r>
        <w:rPr>
          <w:color w:val="231F20"/>
          <w:spacing w:val="-2"/>
        </w:rPr>
        <w:t> </w:t>
      </w:r>
      <w:r>
        <w:rPr>
          <w:color w:val="231F20"/>
        </w:rPr>
        <w:t>1831</w:t>
      </w:r>
      <w:r>
        <w:rPr>
          <w:color w:val="231F20"/>
          <w:spacing w:val="-2"/>
        </w:rPr>
        <w:t> </w:t>
      </w:r>
      <w:r>
        <w:rPr>
          <w:color w:val="231F20"/>
        </w:rPr>
        <w:t>op de drukpers zjn van toepassing op de tenlasteleggingen geuit tegen leden van een bestuursorgaan en commissarissen van besloten</w:t>
      </w:r>
      <w:r>
        <w:rPr>
          <w:color w:val="231F20"/>
          <w:spacing w:val="24"/>
        </w:rPr>
        <w:t> </w:t>
      </w:r>
      <w:r>
        <w:rPr>
          <w:color w:val="231F20"/>
        </w:rPr>
        <w:t>ven- nootschappen,</w:t>
      </w:r>
      <w:r>
        <w:rPr>
          <w:color w:val="231F20"/>
          <w:spacing w:val="-11"/>
        </w:rPr>
        <w:t> </w:t>
      </w:r>
      <w:r>
        <w:rPr>
          <w:color w:val="231F20"/>
        </w:rPr>
        <w:t>coöperatieve</w:t>
      </w:r>
      <w:r>
        <w:rPr>
          <w:color w:val="231F20"/>
          <w:spacing w:val="-10"/>
        </w:rPr>
        <w:t> </w:t>
      </w:r>
      <w:r>
        <w:rPr>
          <w:color w:val="231F20"/>
        </w:rPr>
        <w:t>vennootschappen,</w:t>
      </w:r>
      <w:r>
        <w:rPr>
          <w:color w:val="231F20"/>
          <w:spacing w:val="-10"/>
        </w:rPr>
        <w:t> </w:t>
      </w:r>
      <w:r>
        <w:rPr>
          <w:color w:val="231F20"/>
        </w:rPr>
        <w:t>naamloze</w:t>
      </w:r>
      <w:r>
        <w:rPr>
          <w:color w:val="231F20"/>
          <w:spacing w:val="-10"/>
        </w:rPr>
        <w:t> </w:t>
      </w:r>
      <w:r>
        <w:rPr>
          <w:color w:val="231F20"/>
        </w:rPr>
        <w:t>vennootschap- pen, Europese vennootschappen en Europese coöperatieve vennoot- schappen.</w:t>
      </w:r>
    </w:p>
    <w:p>
      <w:pPr>
        <w:pStyle w:val="BodyText"/>
        <w:spacing w:before="72"/>
        <w:ind w:left="283" w:right="0" w:firstLine="0"/>
        <w:jc w:val="left"/>
      </w:pPr>
      <w:r>
        <w:rPr>
          <w:color w:val="231F20"/>
        </w:rPr>
        <w:t>TITEL 10. Internationaal privaatrechtelijke bepalingen.</w:t>
      </w:r>
    </w:p>
    <w:p>
      <w:pPr>
        <w:pStyle w:val="BodyText"/>
        <w:spacing w:line="218" w:lineRule="auto" w:before="82"/>
      </w:pPr>
      <w:r>
        <w:rPr>
          <w:color w:val="231F20"/>
        </w:rPr>
        <w:t>Art. 2:146. Dit wetboek is van toepassing op rechtspersonen die hun statutaire zetel in België hebben.</w:t>
      </w:r>
    </w:p>
    <w:p>
      <w:pPr>
        <w:pStyle w:val="BodyText"/>
        <w:spacing w:line="218" w:lineRule="auto" w:before="85"/>
      </w:pPr>
      <w:r>
        <w:rPr>
          <w:color w:val="231F20"/>
        </w:rPr>
        <w:t>Art. 2:147. De leden van het bestuursorgaan, dagelijks bestuurders, commissarissen en vereffenaars, die hun woonplaats in het buitenland hebben, worden geacht voor de gehele duur van hun taak woonplaats  te kiezen op de statutaire zetel van de rechtspersoon, waar hen alle dagvaardingen en kennisgevingen kunnen worden gedaan betreffende de zaken van de rechtspersoon en de verantwoordelijkheid voor hun bestuur en hun</w:t>
      </w:r>
      <w:r>
        <w:rPr>
          <w:color w:val="231F20"/>
          <w:spacing w:val="4"/>
        </w:rPr>
        <w:t> </w:t>
      </w:r>
      <w:r>
        <w:rPr>
          <w:color w:val="231F20"/>
        </w:rPr>
        <w:t>toezicht.</w:t>
      </w:r>
    </w:p>
    <w:p>
      <w:pPr>
        <w:pStyle w:val="BodyText"/>
        <w:spacing w:line="218" w:lineRule="auto" w:before="86"/>
      </w:pPr>
      <w:r>
        <w:rPr>
          <w:color w:val="231F20"/>
        </w:rPr>
        <w:t>Art. 2:148. De rechtspersonen die hun statutaire zetel in</w:t>
      </w:r>
      <w:r>
        <w:rPr>
          <w:color w:val="231F20"/>
          <w:spacing w:val="22"/>
        </w:rPr>
        <w:t> </w:t>
      </w:r>
      <w:r>
        <w:rPr>
          <w:color w:val="231F20"/>
        </w:rPr>
        <w:t>het buitenland hebben, kunnen in België hun werkzaamheden verrichten en</w:t>
      </w:r>
      <w:r>
        <w:rPr>
          <w:color w:val="231F20"/>
          <w:spacing w:val="13"/>
        </w:rPr>
        <w:t> </w:t>
      </w:r>
      <w:r>
        <w:rPr>
          <w:color w:val="231F20"/>
        </w:rPr>
        <w:t>in</w:t>
      </w:r>
      <w:r>
        <w:rPr>
          <w:color w:val="231F20"/>
          <w:spacing w:val="14"/>
        </w:rPr>
        <w:t> </w:t>
      </w:r>
      <w:r>
        <w:rPr>
          <w:color w:val="231F20"/>
        </w:rPr>
        <w:t>rechte</w:t>
      </w:r>
      <w:r>
        <w:rPr>
          <w:color w:val="231F20"/>
          <w:spacing w:val="14"/>
        </w:rPr>
        <w:t> </w:t>
      </w:r>
      <w:r>
        <w:rPr>
          <w:color w:val="231F20"/>
        </w:rPr>
        <w:t>optreden,</w:t>
      </w:r>
      <w:r>
        <w:rPr>
          <w:color w:val="231F20"/>
          <w:spacing w:val="14"/>
        </w:rPr>
        <w:t> </w:t>
      </w:r>
      <w:r>
        <w:rPr>
          <w:color w:val="231F20"/>
        </w:rPr>
        <w:t>en</w:t>
      </w:r>
      <w:r>
        <w:rPr>
          <w:color w:val="231F20"/>
          <w:spacing w:val="13"/>
        </w:rPr>
        <w:t> </w:t>
      </w:r>
      <w:r>
        <w:rPr>
          <w:color w:val="231F20"/>
        </w:rPr>
        <w:t>er</w:t>
      </w:r>
      <w:r>
        <w:rPr>
          <w:color w:val="231F20"/>
          <w:spacing w:val="14"/>
        </w:rPr>
        <w:t> </w:t>
      </w:r>
      <w:r>
        <w:rPr>
          <w:color w:val="231F20"/>
        </w:rPr>
        <w:t>een</w:t>
      </w:r>
      <w:r>
        <w:rPr>
          <w:color w:val="231F20"/>
          <w:spacing w:val="14"/>
        </w:rPr>
        <w:t> </w:t>
      </w:r>
      <w:r>
        <w:rPr>
          <w:color w:val="231F20"/>
        </w:rPr>
        <w:t>bijkantoor</w:t>
      </w:r>
      <w:r>
        <w:rPr>
          <w:color w:val="231F20"/>
          <w:spacing w:val="14"/>
        </w:rPr>
        <w:t> </w:t>
      </w:r>
      <w:r>
        <w:rPr>
          <w:color w:val="231F20"/>
        </w:rPr>
        <w:t>oprichten.</w:t>
      </w:r>
    </w:p>
    <w:p>
      <w:pPr>
        <w:pStyle w:val="BodyText"/>
        <w:spacing w:line="218" w:lineRule="auto" w:before="86"/>
        <w:ind w:right="123"/>
      </w:pPr>
      <w:r>
        <w:rPr>
          <w:color w:val="231F20"/>
        </w:rPr>
        <w:t>De rechtsvorderingen ingesteld door buitenlandse rechtspersonen die in België een bijkantoor hebben, zijn evenwel niet ontvankelijk indien zij hun oprichtingsakte niet hebben neergelegd overeenkomstig artikel</w:t>
      </w:r>
      <w:r>
        <w:rPr>
          <w:color w:val="231F20"/>
          <w:spacing w:val="14"/>
        </w:rPr>
        <w:t> </w:t>
      </w:r>
      <w:r>
        <w:rPr>
          <w:color w:val="231F20"/>
        </w:rPr>
        <w:t>2:24.</w:t>
      </w:r>
    </w:p>
    <w:p>
      <w:pPr>
        <w:pStyle w:val="BodyText"/>
        <w:spacing w:line="218" w:lineRule="auto" w:before="85"/>
      </w:pPr>
      <w:r>
        <w:rPr>
          <w:color w:val="231F20"/>
        </w:rPr>
        <w:t>Art. 2:149. Zij die in België met het bestuur van een bijkantoor van een buitenlandse rechtspersoon zijn belast, dragen jegens derden dezelfde aansprakelijkheid als degenen die een Belgische rechtspersoon besturen.</w:t>
      </w:r>
    </w:p>
    <w:p>
      <w:pPr>
        <w:pStyle w:val="BodyText"/>
        <w:spacing w:before="72"/>
        <w:ind w:left="283" w:right="0" w:firstLine="0"/>
        <w:jc w:val="left"/>
      </w:pPr>
      <w:r>
        <w:rPr>
          <w:color w:val="231F20"/>
        </w:rPr>
        <w:t>BOEK 3. De jaarrekening.</w:t>
      </w:r>
    </w:p>
    <w:p>
      <w:pPr>
        <w:pStyle w:val="BodyText"/>
        <w:spacing w:line="218" w:lineRule="auto" w:before="82"/>
      </w:pPr>
      <w:r>
        <w:rPr>
          <w:color w:val="231F20"/>
        </w:rPr>
        <w:t>TITEL 1. Jaarrekeningen van vennootschappen met rechtspersoon- lijkheid.</w:t>
      </w:r>
    </w:p>
    <w:p>
      <w:pPr>
        <w:pStyle w:val="BodyText"/>
        <w:spacing w:line="218" w:lineRule="auto" w:before="85"/>
      </w:pPr>
      <w:r>
        <w:rPr>
          <w:color w:val="231F20"/>
        </w:rPr>
        <w:t>HOOFDSTUK 1. Jaarrekening, jaarverslag en openbaarmakingsver- plichtingen.</w:t>
      </w:r>
    </w:p>
    <w:p>
      <w:pPr>
        <w:pStyle w:val="BodyText"/>
        <w:spacing w:before="72"/>
        <w:ind w:left="283" w:right="0" w:firstLine="0"/>
        <w:jc w:val="left"/>
      </w:pPr>
      <w:r>
        <w:rPr>
          <w:color w:val="231F20"/>
        </w:rPr>
        <w:t>Afdeling 1. De jaarrekening.</w:t>
      </w:r>
    </w:p>
    <w:p>
      <w:pPr>
        <w:pStyle w:val="BodyText"/>
        <w:spacing w:line="218" w:lineRule="auto" w:before="82"/>
      </w:pPr>
      <w:r>
        <w:rPr>
          <w:color w:val="231F20"/>
        </w:rPr>
        <w:t>Art. 3:1. § 1. Het bestuursorgaan is verplicht elk jaar een inventaris</w:t>
      </w:r>
      <w:r>
        <w:rPr>
          <w:color w:val="231F20"/>
          <w:spacing w:val="-18"/>
        </w:rPr>
        <w:t> </w:t>
      </w:r>
      <w:r>
        <w:rPr>
          <w:color w:val="231F20"/>
        </w:rPr>
        <w:t>op te maken volgens de waarderingsregels bepaald door de Koning, evenals een jaarrekening in de vorm en met de inhoud bepaald door de Koning. Die jaarrekening bestaat uit de balans, de resultatenrekening en</w:t>
      </w:r>
      <w:r>
        <w:rPr>
          <w:color w:val="231F20"/>
          <w:spacing w:val="15"/>
        </w:rPr>
        <w:t> </w:t>
      </w:r>
      <w:r>
        <w:rPr>
          <w:color w:val="231F20"/>
        </w:rPr>
        <w:t>de</w:t>
      </w:r>
      <w:r>
        <w:rPr>
          <w:color w:val="231F20"/>
          <w:spacing w:val="15"/>
        </w:rPr>
        <w:t> </w:t>
      </w:r>
      <w:r>
        <w:rPr>
          <w:color w:val="231F20"/>
        </w:rPr>
        <w:t>toelichting,</w:t>
      </w:r>
      <w:r>
        <w:rPr>
          <w:color w:val="231F20"/>
          <w:spacing w:val="15"/>
        </w:rPr>
        <w:t> </w:t>
      </w:r>
      <w:r>
        <w:rPr>
          <w:color w:val="231F20"/>
        </w:rPr>
        <w:t>en</w:t>
      </w:r>
      <w:r>
        <w:rPr>
          <w:color w:val="231F20"/>
          <w:spacing w:val="16"/>
        </w:rPr>
        <w:t> </w:t>
      </w:r>
      <w:r>
        <w:rPr>
          <w:color w:val="231F20"/>
        </w:rPr>
        <w:t>vormt</w:t>
      </w:r>
      <w:r>
        <w:rPr>
          <w:color w:val="231F20"/>
          <w:spacing w:val="15"/>
        </w:rPr>
        <w:t> </w:t>
      </w:r>
      <w:r>
        <w:rPr>
          <w:color w:val="231F20"/>
        </w:rPr>
        <w:t>een</w:t>
      </w:r>
      <w:r>
        <w:rPr>
          <w:color w:val="231F20"/>
          <w:spacing w:val="15"/>
        </w:rPr>
        <w:t> </w:t>
      </w:r>
      <w:r>
        <w:rPr>
          <w:color w:val="231F20"/>
        </w:rPr>
        <w:t>geheel.</w:t>
      </w:r>
    </w:p>
    <w:p>
      <w:pPr>
        <w:pStyle w:val="BodyText"/>
        <w:spacing w:line="218" w:lineRule="auto" w:before="85"/>
      </w:pPr>
      <w:r>
        <w:rPr>
          <w:color w:val="231F20"/>
        </w:rPr>
        <w:t>De jaarrekening moet binnen zes maanden na de afsluitingsdatum van het boekjaar ter goedkeuring worden voorgelegd aan de vennoten verenigd in vergadering of de algemene vergadering.</w:t>
      </w:r>
    </w:p>
    <w:p>
      <w:pPr>
        <w:pStyle w:val="BodyText"/>
        <w:spacing w:line="218" w:lineRule="auto" w:before="97"/>
      </w:pPr>
      <w:r>
        <w:rPr>
          <w:color w:val="231F20"/>
        </w:rPr>
        <w:t>Indien de jaarrekening niet binnen deze termijn aan de vennoten verenigd in vergadering of de algemene vergadering is voorgelegd, wordt de door derden geleden schade, behoudens tegenbewijs, geacht voort te vloeien uit dit verzuim.</w:t>
      </w:r>
    </w:p>
    <w:p>
      <w:pPr>
        <w:pStyle w:val="BodyText"/>
        <w:spacing w:line="218" w:lineRule="auto" w:before="96"/>
      </w:pPr>
      <w:r>
        <w:rPr>
          <w:color w:val="231F20"/>
        </w:rPr>
        <w:t>§ 2. De in paragraaf 1 bedoelde verplichting geldt ook voor buitenlandse vennootschappen voor wat hun in België gevestigde bijkantoren betreft, behalve wanneer die bijkantoren geen eigen opbrengsten hebben door verkoop van goederen of dienstverlening aan derden of door geleverde goederen of verleende diensten aan de buitenlandse vennootschap waarvan zij afhangen, en waarvan de werkingskosten volledig door de laatstgenoemde worden gedragen.</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05"/>
        <w:ind w:right="38"/>
      </w:pPr>
      <w:r>
        <w:rPr/>
        <w:pict>
          <v:line style="position:absolute;mso-position-horizontal-relative:page;mso-position-vertical-relative:page;z-index:2176" from="298.170502pt,64.473pt" to="298.170502pt,812.819pt" stroked="true" strokeweight=".533pt" strokecolor="#231f20">
            <v:stroke dashstyle="solid"/>
            <w10:wrap type="none"/>
          </v:line>
        </w:pict>
      </w:r>
      <w:bookmarkStart w:name="_bookmark48" w:id="51"/>
      <w:bookmarkEnd w:id="51"/>
      <w:r>
        <w:rPr/>
      </w:r>
      <w:r>
        <w:rPr>
          <w:color w:val="231F20"/>
        </w:rPr>
        <w:t>§ 3. Les règles déterminées par le Roi en vertu du paragraphe 1</w:t>
      </w:r>
      <w:r>
        <w:rPr>
          <w:color w:val="231F20"/>
          <w:position w:val="7"/>
          <w:sz w:val="11"/>
        </w:rPr>
        <w:t>er </w:t>
      </w:r>
      <w:r>
        <w:rPr>
          <w:color w:val="231F20"/>
        </w:rPr>
        <w:t>ne sont pas applicables:</w:t>
      </w:r>
    </w:p>
    <w:p>
      <w:pPr>
        <w:pStyle w:val="BodyText"/>
        <w:spacing w:line="218" w:lineRule="auto" w:before="117"/>
        <w:ind w:right="38"/>
      </w:pPr>
      <w:r>
        <w:rPr>
          <w:color w:val="231F20"/>
        </w:rPr>
        <w:t>1° aux sociétés dont l’objet est l’assurance ou la réassurance, sous réserve, pour ce qui concerne ces dernières, du pouvoir du Roi d’en disposer autrement;</w:t>
      </w:r>
    </w:p>
    <w:p>
      <w:pPr>
        <w:pStyle w:val="BodyText"/>
        <w:spacing w:line="218" w:lineRule="auto" w:before="117"/>
        <w:ind w:right="38"/>
      </w:pPr>
      <w:r>
        <w:rPr>
          <w:color w:val="231F20"/>
        </w:rPr>
        <w:t>2° aux sociétés régies par la loi du 25 avril 2014 relative au statut et au contrôle des établissements de crédit et des sociétés de bourse, à la Banque nationale de Belgique, à l’Institut de réescompte et de garantie et à la Caisse des dépôts et consignations;</w:t>
      </w:r>
    </w:p>
    <w:p>
      <w:pPr>
        <w:pStyle w:val="BodyText"/>
        <w:spacing w:line="218" w:lineRule="auto" w:before="118"/>
        <w:ind w:right="38"/>
      </w:pPr>
      <w:r>
        <w:rPr>
          <w:color w:val="231F20"/>
        </w:rPr>
        <w:t>3° aux entreprises d’investissement visées à l’article 3 de la loi du     25 octobre 2016 relative à l’accès à l’activité de prestation de services d’investissement et au statut et au contrôle des sociétés de gestion de portefeuille et de conseil en investissement, à l’exclusion des établisse- ments</w:t>
      </w:r>
      <w:r>
        <w:rPr>
          <w:color w:val="231F20"/>
          <w:spacing w:val="14"/>
        </w:rPr>
        <w:t> </w:t>
      </w:r>
      <w:r>
        <w:rPr>
          <w:color w:val="231F20"/>
        </w:rPr>
        <w:t>visés</w:t>
      </w:r>
      <w:r>
        <w:rPr>
          <w:color w:val="231F20"/>
          <w:spacing w:val="15"/>
        </w:rPr>
        <w:t> </w:t>
      </w:r>
      <w:r>
        <w:rPr>
          <w:color w:val="231F20"/>
        </w:rPr>
        <w:t>à</w:t>
      </w:r>
      <w:r>
        <w:rPr>
          <w:color w:val="231F20"/>
          <w:spacing w:val="15"/>
        </w:rPr>
        <w:t> </w:t>
      </w:r>
      <w:r>
        <w:rPr>
          <w:color w:val="231F20"/>
        </w:rPr>
        <w:t>l’article</w:t>
      </w:r>
      <w:r>
        <w:rPr>
          <w:color w:val="231F20"/>
          <w:spacing w:val="14"/>
        </w:rPr>
        <w:t> </w:t>
      </w:r>
      <w:r>
        <w:rPr>
          <w:color w:val="231F20"/>
        </w:rPr>
        <w:t>4</w:t>
      </w:r>
      <w:r>
        <w:rPr>
          <w:color w:val="231F20"/>
          <w:spacing w:val="15"/>
        </w:rPr>
        <w:t> </w:t>
      </w:r>
      <w:r>
        <w:rPr>
          <w:color w:val="231F20"/>
        </w:rPr>
        <w:t>de</w:t>
      </w:r>
      <w:r>
        <w:rPr>
          <w:color w:val="231F20"/>
          <w:spacing w:val="15"/>
        </w:rPr>
        <w:t> </w:t>
      </w:r>
      <w:r>
        <w:rPr>
          <w:color w:val="231F20"/>
        </w:rPr>
        <w:t>cette</w:t>
      </w:r>
      <w:r>
        <w:rPr>
          <w:color w:val="231F20"/>
          <w:spacing w:val="14"/>
        </w:rPr>
        <w:t> </w:t>
      </w:r>
      <w:r>
        <w:rPr>
          <w:color w:val="231F20"/>
        </w:rPr>
        <w:t>loi;</w:t>
      </w:r>
    </w:p>
    <w:p>
      <w:pPr>
        <w:pStyle w:val="BodyText"/>
        <w:spacing w:line="218" w:lineRule="auto" w:before="103"/>
        <w:ind w:right="38"/>
      </w:pPr>
      <w:r>
        <w:rPr>
          <w:color w:val="231F20"/>
        </w:rPr>
        <w:t>4° aux organismes de liquidation tels que visés à l’article 23, § 1</w:t>
      </w:r>
      <w:r>
        <w:rPr>
          <w:color w:val="231F20"/>
          <w:position w:val="7"/>
          <w:sz w:val="11"/>
        </w:rPr>
        <w:t>er</w:t>
      </w:r>
      <w:r>
        <w:rPr>
          <w:color w:val="231F20"/>
        </w:rPr>
        <w:t>, de la</w:t>
      </w:r>
      <w:r>
        <w:rPr>
          <w:color w:val="231F20"/>
          <w:spacing w:val="-4"/>
        </w:rPr>
        <w:t> </w:t>
      </w:r>
      <w:r>
        <w:rPr>
          <w:color w:val="231F20"/>
        </w:rPr>
        <w:t>loi</w:t>
      </w:r>
      <w:r>
        <w:rPr>
          <w:color w:val="231F20"/>
          <w:spacing w:val="-3"/>
        </w:rPr>
        <w:t> </w:t>
      </w:r>
      <w:r>
        <w:rPr>
          <w:color w:val="231F20"/>
        </w:rPr>
        <w:t>du</w:t>
      </w:r>
      <w:r>
        <w:rPr>
          <w:color w:val="231F20"/>
          <w:spacing w:val="-4"/>
        </w:rPr>
        <w:t> </w:t>
      </w:r>
      <w:r>
        <w:rPr>
          <w:color w:val="231F20"/>
        </w:rPr>
        <w:t>2</w:t>
      </w:r>
      <w:r>
        <w:rPr>
          <w:color w:val="231F20"/>
          <w:spacing w:val="-3"/>
        </w:rPr>
        <w:t> </w:t>
      </w:r>
      <w:r>
        <w:rPr>
          <w:color w:val="231F20"/>
        </w:rPr>
        <w:t>août</w:t>
      </w:r>
      <w:r>
        <w:rPr>
          <w:color w:val="231F20"/>
          <w:spacing w:val="-4"/>
        </w:rPr>
        <w:t> </w:t>
      </w:r>
      <w:r>
        <w:rPr>
          <w:color w:val="231F20"/>
        </w:rPr>
        <w:t>2002</w:t>
      </w:r>
      <w:r>
        <w:rPr>
          <w:color w:val="231F20"/>
          <w:spacing w:val="-3"/>
        </w:rPr>
        <w:t> </w:t>
      </w:r>
      <w:r>
        <w:rPr>
          <w:color w:val="231F20"/>
        </w:rPr>
        <w:t>relative</w:t>
      </w:r>
      <w:r>
        <w:rPr>
          <w:color w:val="231F20"/>
          <w:spacing w:val="-4"/>
        </w:rPr>
        <w:t> </w:t>
      </w:r>
      <w:r>
        <w:rPr>
          <w:color w:val="231F20"/>
        </w:rPr>
        <w:t>à</w:t>
      </w:r>
      <w:r>
        <w:rPr>
          <w:color w:val="231F20"/>
          <w:spacing w:val="-3"/>
        </w:rPr>
        <w:t> </w:t>
      </w:r>
      <w:r>
        <w:rPr>
          <w:color w:val="231F20"/>
        </w:rPr>
        <w:t>la</w:t>
      </w:r>
      <w:r>
        <w:rPr>
          <w:color w:val="231F20"/>
          <w:spacing w:val="-3"/>
        </w:rPr>
        <w:t> </w:t>
      </w:r>
      <w:r>
        <w:rPr>
          <w:color w:val="231F20"/>
        </w:rPr>
        <w:t>surveillance</w:t>
      </w:r>
      <w:r>
        <w:rPr>
          <w:color w:val="231F20"/>
          <w:spacing w:val="-4"/>
        </w:rPr>
        <w:t> </w:t>
      </w:r>
      <w:r>
        <w:rPr>
          <w:color w:val="231F20"/>
        </w:rPr>
        <w:t>du</w:t>
      </w:r>
      <w:r>
        <w:rPr>
          <w:color w:val="231F20"/>
          <w:spacing w:val="-3"/>
        </w:rPr>
        <w:t> </w:t>
      </w:r>
      <w:r>
        <w:rPr>
          <w:color w:val="231F20"/>
        </w:rPr>
        <w:t>secteur</w:t>
      </w:r>
      <w:r>
        <w:rPr>
          <w:color w:val="231F20"/>
          <w:spacing w:val="-4"/>
        </w:rPr>
        <w:t> </w:t>
      </w:r>
      <w:r>
        <w:rPr>
          <w:color w:val="231F20"/>
        </w:rPr>
        <w:t>financier</w:t>
      </w:r>
      <w:r>
        <w:rPr>
          <w:color w:val="231F20"/>
          <w:spacing w:val="-3"/>
        </w:rPr>
        <w:t> </w:t>
      </w:r>
      <w:r>
        <w:rPr>
          <w:color w:val="231F20"/>
        </w:rPr>
        <w:t>et</w:t>
      </w:r>
      <w:r>
        <w:rPr>
          <w:color w:val="231F20"/>
          <w:spacing w:val="-4"/>
        </w:rPr>
        <w:t> </w:t>
      </w:r>
      <w:r>
        <w:rPr>
          <w:color w:val="231F20"/>
        </w:rPr>
        <w:t>aux services financiers, qui ne sont pas des établissements de crédit établis en Belgique, et aux organismes assimilés à des organismes de liquidation déterminés par le Roi en application de l’article 23, § 7, de  la même</w:t>
      </w:r>
      <w:r>
        <w:rPr>
          <w:color w:val="231F20"/>
          <w:spacing w:val="-12"/>
        </w:rPr>
        <w:t> </w:t>
      </w:r>
      <w:r>
        <w:rPr>
          <w:color w:val="231F20"/>
        </w:rPr>
        <w:t>loi;</w:t>
      </w:r>
    </w:p>
    <w:p>
      <w:pPr>
        <w:pStyle w:val="BodyText"/>
        <w:spacing w:line="218" w:lineRule="auto" w:before="117"/>
        <w:ind w:right="38"/>
      </w:pPr>
      <w:r>
        <w:rPr>
          <w:color w:val="231F20"/>
        </w:rPr>
        <w:t>5° aux entreprises agricoles agréées conformément à l’article 8:2 qui ont pris la forme d’une société en nom collectif ou d’une société en commandite et qui sont assujetties à l’impôt des personnes physiques.</w:t>
      </w:r>
    </w:p>
    <w:p>
      <w:pPr>
        <w:pStyle w:val="BodyText"/>
        <w:spacing w:before="10"/>
        <w:ind w:left="0" w:right="0" w:firstLine="0"/>
        <w:jc w:val="left"/>
        <w:rPr>
          <w:sz w:val="25"/>
        </w:rPr>
      </w:pPr>
    </w:p>
    <w:p>
      <w:pPr>
        <w:pStyle w:val="BodyText"/>
        <w:spacing w:line="218" w:lineRule="auto"/>
        <w:ind w:right="38"/>
      </w:pPr>
      <w:r>
        <w:rPr>
          <w:color w:val="231F20"/>
        </w:rPr>
        <w:t>Art. 3:2. Les petites sociétés ont la faculté d’établir leurs comptes annuels selon un schéma abrégé fixé par le Roi.</w:t>
      </w:r>
    </w:p>
    <w:p>
      <w:pPr>
        <w:pStyle w:val="BodyText"/>
        <w:spacing w:line="216" w:lineRule="auto" w:before="119"/>
        <w:ind w:right="38"/>
      </w:pPr>
      <w:r>
        <w:rPr>
          <w:color w:val="231F20"/>
        </w:rPr>
        <w:t>Les sociétés en nom collectif, les sociétés en commandite et les groupements européens d’intérêt economique dont le chiffre d’affaires du dernier exercice, à l’exclusion de la taxe sur la valeur ajoutée, n’excède pas un montant fixé par le Roi, ont la faculté de ne pas établir des comptes annuels selon les règles établies par le Roi en vertu de l’article 3:1, § 1</w:t>
      </w:r>
      <w:r>
        <w:rPr>
          <w:color w:val="231F20"/>
          <w:position w:val="7"/>
          <w:sz w:val="11"/>
        </w:rPr>
        <w:t>er</w:t>
      </w:r>
      <w:r>
        <w:rPr>
          <w:color w:val="231F20"/>
        </w:rPr>
        <w:t>.</w:t>
      </w:r>
    </w:p>
    <w:p>
      <w:pPr>
        <w:pStyle w:val="BodyText"/>
        <w:spacing w:before="83"/>
        <w:ind w:left="283" w:right="0" w:firstLine="0"/>
        <w:jc w:val="left"/>
      </w:pPr>
      <w:r>
        <w:rPr>
          <w:color w:val="231F20"/>
        </w:rPr>
        <w:t>Les alinéas 1</w:t>
      </w:r>
      <w:r>
        <w:rPr>
          <w:color w:val="231F20"/>
          <w:position w:val="7"/>
          <w:sz w:val="11"/>
        </w:rPr>
        <w:t>er </w:t>
      </w:r>
      <w:r>
        <w:rPr>
          <w:color w:val="231F20"/>
        </w:rPr>
        <w:t>et 2 ne sont pas applicables:</w:t>
      </w:r>
    </w:p>
    <w:p>
      <w:pPr>
        <w:pStyle w:val="BodyText"/>
        <w:spacing w:line="364" w:lineRule="auto" w:before="100"/>
        <w:ind w:left="283" w:right="1150" w:hanging="1"/>
        <w:jc w:val="left"/>
      </w:pPr>
      <w:r>
        <w:rPr>
          <w:color w:val="231F20"/>
        </w:rPr>
        <w:t>1° aux sociétés visées à l’article 3:1, § 3, 1°, 2°, 3° et 4°; 2° aux sociétés dont l’objet est le crédit hypothécaire.</w:t>
      </w:r>
    </w:p>
    <w:p>
      <w:pPr>
        <w:pStyle w:val="BodyText"/>
        <w:spacing w:line="218" w:lineRule="auto" w:before="174"/>
        <w:ind w:right="38"/>
      </w:pPr>
      <w:r>
        <w:rPr>
          <w:color w:val="231F20"/>
        </w:rPr>
        <w:t>L’alinéa 1</w:t>
      </w:r>
      <w:r>
        <w:rPr>
          <w:color w:val="231F20"/>
          <w:position w:val="7"/>
          <w:sz w:val="11"/>
        </w:rPr>
        <w:t>er </w:t>
      </w:r>
      <w:r>
        <w:rPr>
          <w:color w:val="231F20"/>
        </w:rPr>
        <w:t>n’est pas applicable aux sociétés cotées et aux entités d’intérêt public visées à l’article 1:12, 2°.</w:t>
      </w:r>
    </w:p>
    <w:p>
      <w:pPr>
        <w:pStyle w:val="BodyText"/>
        <w:spacing w:before="9"/>
        <w:ind w:left="0" w:right="0" w:firstLine="0"/>
        <w:jc w:val="left"/>
        <w:rPr>
          <w:sz w:val="25"/>
        </w:rPr>
      </w:pPr>
    </w:p>
    <w:p>
      <w:pPr>
        <w:pStyle w:val="BodyText"/>
        <w:spacing w:line="218" w:lineRule="auto" w:before="1"/>
        <w:ind w:right="38"/>
      </w:pPr>
      <w:r>
        <w:rPr>
          <w:color w:val="231F20"/>
        </w:rPr>
        <w:t>Art. 3:3. Les microsociétés ont la faculté d’établir leurs comptes annuels selon un microschéma fixé par le Roi.</w:t>
      </w:r>
    </w:p>
    <w:p>
      <w:pPr>
        <w:pStyle w:val="BodyText"/>
        <w:spacing w:line="216" w:lineRule="auto" w:before="119"/>
        <w:ind w:right="38"/>
      </w:pPr>
      <w:r>
        <w:rPr>
          <w:color w:val="231F20"/>
        </w:rPr>
        <w:t>Les sociétés en nom collectif, les sociétés en commandite et les groupements européens d’intérêt economique dont le chiffre d’affaires du dernier exercice, à l’exclusion de la taxe sur la valeur ajoutée, n’excède pas un montant fixé par le Roi, ont la faculté de ne pas établir des comptes annuels selon les règles établies par le Roi en vertu de l’article 3:1, § 1</w:t>
      </w:r>
      <w:r>
        <w:rPr>
          <w:color w:val="231F20"/>
          <w:position w:val="7"/>
          <w:sz w:val="11"/>
        </w:rPr>
        <w:t>er</w:t>
      </w:r>
      <w:r>
        <w:rPr>
          <w:color w:val="231F20"/>
        </w:rPr>
        <w:t>.</w:t>
      </w:r>
    </w:p>
    <w:p>
      <w:pPr>
        <w:pStyle w:val="BodyText"/>
        <w:spacing w:before="83"/>
        <w:ind w:left="283" w:right="0" w:firstLine="0"/>
        <w:jc w:val="left"/>
      </w:pPr>
      <w:r>
        <w:rPr>
          <w:color w:val="231F20"/>
        </w:rPr>
        <w:t>Les alinéas 1</w:t>
      </w:r>
      <w:r>
        <w:rPr>
          <w:color w:val="231F20"/>
          <w:position w:val="7"/>
          <w:sz w:val="11"/>
        </w:rPr>
        <w:t>er </w:t>
      </w:r>
      <w:r>
        <w:rPr>
          <w:color w:val="231F20"/>
        </w:rPr>
        <w:t>et 2 ne s’appliquent pas:</w:t>
      </w:r>
    </w:p>
    <w:p>
      <w:pPr>
        <w:pStyle w:val="BodyText"/>
        <w:spacing w:line="364" w:lineRule="auto" w:before="100"/>
        <w:ind w:left="283" w:right="1150" w:hanging="1"/>
        <w:jc w:val="left"/>
      </w:pPr>
      <w:r>
        <w:rPr>
          <w:color w:val="231F20"/>
        </w:rPr>
        <w:t>1° aux sociétés visées à l’article 3:1, § 3, 1°, 2°, 3° et 4°; 2° aux sociétés dont l’objet est le crédit hypothécaire.</w:t>
      </w:r>
    </w:p>
    <w:p>
      <w:pPr>
        <w:pStyle w:val="BodyText"/>
        <w:spacing w:before="175"/>
        <w:ind w:left="283" w:right="0" w:firstLine="0"/>
        <w:jc w:val="left"/>
      </w:pPr>
      <w:r>
        <w:rPr>
          <w:color w:val="231F20"/>
        </w:rPr>
        <w:t>Section 2. Le rapport de gestion.</w:t>
      </w:r>
    </w:p>
    <w:p>
      <w:pPr>
        <w:pStyle w:val="BodyText"/>
        <w:spacing w:line="218" w:lineRule="auto" w:before="114"/>
        <w:ind w:right="38"/>
      </w:pPr>
      <w:r>
        <w:rPr>
          <w:color w:val="231F20"/>
        </w:rPr>
        <w:t>Art. 3:4. Sauf s’il s’agit des sociétés visées à l’article 3:1, § 3, 1°, 2°, 3° et 4°, la présente section n’est pas applicable:</w:t>
      </w:r>
    </w:p>
    <w:p>
      <w:pPr>
        <w:pStyle w:val="BodyText"/>
        <w:spacing w:before="114"/>
        <w:ind w:left="283" w:right="0" w:firstLine="0"/>
        <w:jc w:val="left"/>
      </w:pPr>
      <w:r>
        <w:rPr>
          <w:color w:val="231F20"/>
        </w:rPr>
        <w:t>1° aux petites sociétés non cotées;</w:t>
      </w:r>
    </w:p>
    <w:p>
      <w:pPr>
        <w:pStyle w:val="BodyText"/>
        <w:spacing w:line="218" w:lineRule="auto" w:before="125"/>
        <w:ind w:right="38"/>
      </w:pPr>
      <w:r>
        <w:rPr>
          <w:color w:val="231F20"/>
        </w:rPr>
        <w:t>2° aux petites sociétés qui ne sont pas des entités d’intérêt public visées à l’article 1:12, 2°;</w:t>
      </w:r>
    </w:p>
    <w:p>
      <w:pPr>
        <w:pStyle w:val="BodyText"/>
        <w:spacing w:line="218" w:lineRule="auto" w:before="128"/>
        <w:ind w:right="38"/>
      </w:pPr>
      <w:r>
        <w:rPr>
          <w:color w:val="231F20"/>
        </w:rPr>
        <w:t>3° aux sociétés en nom collectif, aux sociétés en commandite et aux groupements européens d’intérêt economique dont tous les associés à responsabilité illimitée sont des personnes physiques;</w:t>
      </w:r>
    </w:p>
    <w:p>
      <w:pPr>
        <w:pStyle w:val="BodyText"/>
        <w:spacing w:line="218" w:lineRule="auto" w:before="128"/>
        <w:ind w:right="38"/>
      </w:pPr>
      <w:r>
        <w:rPr>
          <w:color w:val="231F20"/>
        </w:rPr>
        <w:t>4° aux entreprises agricoles agréées conformément à l’article 8:2 qui ont pris la forme d’une société en nom collectif ou d’une société en commandite et qui sont assujetties à l’impôt des personnes physiques.</w:t>
      </w:r>
    </w:p>
    <w:p>
      <w:pPr>
        <w:pStyle w:val="BodyText"/>
        <w:spacing w:before="2"/>
        <w:ind w:left="0" w:right="0" w:firstLine="0"/>
        <w:jc w:val="left"/>
        <w:rPr>
          <w:sz w:val="27"/>
        </w:rPr>
      </w:pPr>
    </w:p>
    <w:p>
      <w:pPr>
        <w:pStyle w:val="BodyText"/>
        <w:spacing w:line="211" w:lineRule="auto"/>
        <w:ind w:right="38"/>
      </w:pPr>
      <w:r>
        <w:rPr>
          <w:color w:val="231F20"/>
        </w:rPr>
        <w:t>Les petites sociétés non cotées doivent cependant reprendre la justification visée à l’article 3:6, § 1</w:t>
      </w:r>
      <w:r>
        <w:rPr>
          <w:color w:val="231F20"/>
          <w:position w:val="7"/>
          <w:sz w:val="11"/>
        </w:rPr>
        <w:t>er</w:t>
      </w:r>
      <w:r>
        <w:rPr>
          <w:color w:val="231F20"/>
        </w:rPr>
        <w:t>, 6°, dans l’annexe aux comptes annuels.</w:t>
      </w:r>
    </w:p>
    <w:p>
      <w:pPr>
        <w:pStyle w:val="BodyText"/>
        <w:spacing w:line="218" w:lineRule="auto" w:before="126"/>
        <w:ind w:right="38"/>
      </w:pPr>
      <w:r>
        <w:rPr>
          <w:color w:val="231F20"/>
        </w:rPr>
        <w:t>Art. 3:5. L’organe d’administration établit un rapport dans lequel il rend compte de sa gestion.</w:t>
      </w:r>
    </w:p>
    <w:p>
      <w:pPr>
        <w:pStyle w:val="BodyText"/>
        <w:spacing w:line="218" w:lineRule="auto" w:before="119"/>
        <w:ind w:right="125"/>
      </w:pPr>
      <w:r>
        <w:rPr/>
        <w:br w:type="column"/>
      </w:r>
      <w:r>
        <w:rPr>
          <w:color w:val="231F20"/>
        </w:rPr>
        <w:t>§ 3. De door de Koning op grond van paragraaf 1 bepaalde regels gelden niet voor:</w:t>
      </w:r>
    </w:p>
    <w:p>
      <w:pPr>
        <w:pStyle w:val="BodyText"/>
        <w:spacing w:line="218" w:lineRule="auto" w:before="118"/>
      </w:pPr>
      <w:r>
        <w:rPr>
          <w:color w:val="231F20"/>
        </w:rPr>
        <w:t>1° vennootschappen die de verzekering of herverzekering tot voorwerp hebben, onder voorbehoud evenwel, voor wat deze laatste betreft, van de bevoegdheid van de Koning om hiervan af te wijken;</w:t>
      </w:r>
    </w:p>
    <w:p>
      <w:pPr>
        <w:pStyle w:val="BodyText"/>
        <w:spacing w:line="218" w:lineRule="auto" w:before="117"/>
        <w:ind w:right="123"/>
      </w:pPr>
      <w:r>
        <w:rPr>
          <w:color w:val="231F20"/>
        </w:rPr>
        <w:t>2° vennootschappen die vallen onder de wet van 25 april 2014 op het statuut van en het toezicht op kredietinstellingen en beursvennoot- schappen, de Nationale Bank van België, het Herdisconterings- en Waarborginstituut en de Deposito- en Consignatiekas;</w:t>
      </w:r>
    </w:p>
    <w:p>
      <w:pPr>
        <w:pStyle w:val="BodyText"/>
        <w:spacing w:line="218" w:lineRule="auto" w:before="118"/>
      </w:pPr>
      <w:r>
        <w:rPr>
          <w:color w:val="231F20"/>
        </w:rPr>
        <w:t>3° beleggingsondernemingen bedoeld bij artikel 3 van de wet van    25 oktober 2016 betreffende de toegang tot het beleggingsdienstenbe- drijf en betreffende het statuut van en het toezicht op de vennootschap- pen voor vermogensbeheer en beleggingsadvies, met uitsluiting van de instellingen</w:t>
      </w:r>
      <w:r>
        <w:rPr>
          <w:color w:val="231F20"/>
          <w:spacing w:val="15"/>
        </w:rPr>
        <w:t> </w:t>
      </w:r>
      <w:r>
        <w:rPr>
          <w:color w:val="231F20"/>
        </w:rPr>
        <w:t>bedoeld</w:t>
      </w:r>
      <w:r>
        <w:rPr>
          <w:color w:val="231F20"/>
          <w:spacing w:val="16"/>
        </w:rPr>
        <w:t> </w:t>
      </w:r>
      <w:r>
        <w:rPr>
          <w:color w:val="231F20"/>
        </w:rPr>
        <w:t>bij</w:t>
      </w:r>
      <w:r>
        <w:rPr>
          <w:color w:val="231F20"/>
          <w:spacing w:val="15"/>
        </w:rPr>
        <w:t> </w:t>
      </w:r>
      <w:r>
        <w:rPr>
          <w:color w:val="231F20"/>
        </w:rPr>
        <w:t>artikel</w:t>
      </w:r>
      <w:r>
        <w:rPr>
          <w:color w:val="231F20"/>
          <w:spacing w:val="16"/>
        </w:rPr>
        <w:t> </w:t>
      </w:r>
      <w:r>
        <w:rPr>
          <w:color w:val="231F20"/>
        </w:rPr>
        <w:t>4</w:t>
      </w:r>
      <w:r>
        <w:rPr>
          <w:color w:val="231F20"/>
          <w:spacing w:val="15"/>
        </w:rPr>
        <w:t> </w:t>
      </w:r>
      <w:r>
        <w:rPr>
          <w:color w:val="231F20"/>
        </w:rPr>
        <w:t>van</w:t>
      </w:r>
      <w:r>
        <w:rPr>
          <w:color w:val="231F20"/>
          <w:spacing w:val="16"/>
        </w:rPr>
        <w:t> </w:t>
      </w:r>
      <w:r>
        <w:rPr>
          <w:color w:val="231F20"/>
        </w:rPr>
        <w:t>deze</w:t>
      </w:r>
      <w:r>
        <w:rPr>
          <w:color w:val="231F20"/>
          <w:spacing w:val="15"/>
        </w:rPr>
        <w:t> </w:t>
      </w:r>
      <w:r>
        <w:rPr>
          <w:color w:val="231F20"/>
        </w:rPr>
        <w:t>wet;</w:t>
      </w:r>
    </w:p>
    <w:p>
      <w:pPr>
        <w:pStyle w:val="BodyText"/>
        <w:spacing w:line="218" w:lineRule="auto" w:before="118"/>
        <w:ind w:right="123"/>
      </w:pPr>
      <w:r>
        <w:rPr>
          <w:color w:val="231F20"/>
        </w:rPr>
        <w:t>4° vereffeningsinstellingen bedoeld in artikel 23, § 1, van de wet van  2 augustus 2002 betreffende het toezicht op de financiële sector en de financiële diensten, die geen in België gevestigde kredietinstellingen zijn, en de met vereffeningsinstellingen gelijkgestelde instellingen die door de Koning zijn aangeduid met toepassing van artikel 23, § 7, van dezelfde</w:t>
      </w:r>
      <w:r>
        <w:rPr>
          <w:color w:val="231F20"/>
          <w:spacing w:val="15"/>
        </w:rPr>
        <w:t> </w:t>
      </w:r>
      <w:r>
        <w:rPr>
          <w:color w:val="231F20"/>
        </w:rPr>
        <w:t>wet;</w:t>
      </w:r>
    </w:p>
    <w:p>
      <w:pPr>
        <w:pStyle w:val="BodyText"/>
        <w:spacing w:line="218" w:lineRule="auto" w:before="117"/>
      </w:pPr>
      <w:r>
        <w:rPr>
          <w:color w:val="231F20"/>
        </w:rPr>
        <w:t>5° de overeenkomstig artikel 8:2 erkende landbouwondernemingen die de vorm hebben aangenomen van een vennootschap onder firma of commanditaire vennootschap en die onderworpen zijn aan de perso- nenbelasting.</w:t>
      </w:r>
    </w:p>
    <w:p>
      <w:pPr>
        <w:pStyle w:val="BodyText"/>
        <w:spacing w:line="218" w:lineRule="auto" w:before="118"/>
      </w:pPr>
      <w:r>
        <w:rPr>
          <w:color w:val="231F20"/>
        </w:rPr>
        <w:t>Art. 3:2. De kleine vennootschappen kunnen hun jaarrekening opmaken volgens een verkort schema dat de Koning vaststelt.</w:t>
      </w:r>
    </w:p>
    <w:p>
      <w:pPr>
        <w:pStyle w:val="BodyText"/>
        <w:spacing w:line="218" w:lineRule="auto" w:before="117"/>
      </w:pPr>
      <w:r>
        <w:rPr>
          <w:color w:val="231F20"/>
        </w:rPr>
        <w:t>De vennootschappen onder firma, de commanditaire vennootschap- pen en de Europese economische samenwerkingsverbanden  wier omzet over het laatste boekjaar, exclusief de belasting over de toegevoegde waarde, een door de Koning bepaald bedrag niet</w:t>
      </w:r>
      <w:r>
        <w:rPr>
          <w:color w:val="231F20"/>
          <w:spacing w:val="17"/>
        </w:rPr>
        <w:t> </w:t>
      </w:r>
      <w:r>
        <w:rPr>
          <w:color w:val="231F20"/>
        </w:rPr>
        <w:t>over- schrijdt, moeten geen jaarrekening opstellen volgens de regels die de Koning</w:t>
      </w:r>
      <w:r>
        <w:rPr>
          <w:color w:val="231F20"/>
          <w:spacing w:val="16"/>
        </w:rPr>
        <w:t> </w:t>
      </w:r>
      <w:r>
        <w:rPr>
          <w:color w:val="231F20"/>
        </w:rPr>
        <w:t>heeft</w:t>
      </w:r>
      <w:r>
        <w:rPr>
          <w:color w:val="231F20"/>
          <w:spacing w:val="17"/>
        </w:rPr>
        <w:t> </w:t>
      </w:r>
      <w:r>
        <w:rPr>
          <w:color w:val="231F20"/>
        </w:rPr>
        <w:t>vastgesteld</w:t>
      </w:r>
      <w:r>
        <w:rPr>
          <w:color w:val="231F20"/>
          <w:spacing w:val="16"/>
        </w:rPr>
        <w:t> </w:t>
      </w:r>
      <w:r>
        <w:rPr>
          <w:color w:val="231F20"/>
        </w:rPr>
        <w:t>overeenkomstig</w:t>
      </w:r>
      <w:r>
        <w:rPr>
          <w:color w:val="231F20"/>
          <w:spacing w:val="17"/>
        </w:rPr>
        <w:t> </w:t>
      </w:r>
      <w:r>
        <w:rPr>
          <w:color w:val="231F20"/>
        </w:rPr>
        <w:t>artikel</w:t>
      </w:r>
      <w:r>
        <w:rPr>
          <w:color w:val="231F20"/>
          <w:spacing w:val="16"/>
        </w:rPr>
        <w:t> </w:t>
      </w:r>
      <w:r>
        <w:rPr>
          <w:color w:val="231F20"/>
        </w:rPr>
        <w:t>3:1,</w:t>
      </w:r>
      <w:r>
        <w:rPr>
          <w:color w:val="231F20"/>
          <w:spacing w:val="17"/>
        </w:rPr>
        <w:t> </w:t>
      </w:r>
      <w:r>
        <w:rPr>
          <w:color w:val="231F20"/>
        </w:rPr>
        <w:t>§</w:t>
      </w:r>
      <w:r>
        <w:rPr>
          <w:color w:val="231F20"/>
          <w:spacing w:val="17"/>
        </w:rPr>
        <w:t> </w:t>
      </w:r>
      <w:r>
        <w:rPr>
          <w:color w:val="231F20"/>
        </w:rPr>
        <w:t>1.</w:t>
      </w:r>
    </w:p>
    <w:p>
      <w:pPr>
        <w:pStyle w:val="BodyText"/>
        <w:spacing w:before="104"/>
        <w:ind w:left="283" w:right="0" w:firstLine="0"/>
        <w:jc w:val="left"/>
      </w:pPr>
      <w:r>
        <w:rPr>
          <w:color w:val="231F20"/>
        </w:rPr>
        <w:t>Het eerste en het tweede lid zijn niet van toepassing op:</w:t>
      </w:r>
    </w:p>
    <w:p>
      <w:pPr>
        <w:pStyle w:val="BodyText"/>
        <w:spacing w:line="290" w:lineRule="atLeast" w:before="3"/>
        <w:ind w:left="283" w:hanging="1"/>
        <w:jc w:val="left"/>
      </w:pPr>
      <w:r>
        <w:rPr>
          <w:color w:val="231F20"/>
        </w:rPr>
        <w:t>1° de in artikel 3:1, § 3, 1°, 2°, 3° en 4°, bedoelde vennootschappen;  2°</w:t>
      </w:r>
      <w:r>
        <w:rPr>
          <w:color w:val="231F20"/>
          <w:spacing w:val="32"/>
        </w:rPr>
        <w:t> </w:t>
      </w:r>
      <w:r>
        <w:rPr>
          <w:color w:val="231F20"/>
        </w:rPr>
        <w:t>vennootschappen</w:t>
      </w:r>
      <w:r>
        <w:rPr>
          <w:color w:val="231F20"/>
          <w:spacing w:val="32"/>
        </w:rPr>
        <w:t> </w:t>
      </w:r>
      <w:r>
        <w:rPr>
          <w:color w:val="231F20"/>
        </w:rPr>
        <w:t>die</w:t>
      </w:r>
      <w:r>
        <w:rPr>
          <w:color w:val="231F20"/>
          <w:spacing w:val="32"/>
        </w:rPr>
        <w:t> </w:t>
      </w:r>
      <w:r>
        <w:rPr>
          <w:color w:val="231F20"/>
        </w:rPr>
        <w:t>een</w:t>
      </w:r>
      <w:r>
        <w:rPr>
          <w:color w:val="231F20"/>
          <w:spacing w:val="33"/>
        </w:rPr>
        <w:t> </w:t>
      </w:r>
      <w:r>
        <w:rPr>
          <w:color w:val="231F20"/>
        </w:rPr>
        <w:t>onderneming</w:t>
      </w:r>
      <w:r>
        <w:rPr>
          <w:color w:val="231F20"/>
          <w:spacing w:val="32"/>
        </w:rPr>
        <w:t> </w:t>
      </w:r>
      <w:r>
        <w:rPr>
          <w:color w:val="231F20"/>
        </w:rPr>
        <w:t>van</w:t>
      </w:r>
      <w:r>
        <w:rPr>
          <w:color w:val="231F20"/>
          <w:spacing w:val="32"/>
        </w:rPr>
        <w:t> </w:t>
      </w:r>
      <w:r>
        <w:rPr>
          <w:color w:val="231F20"/>
        </w:rPr>
        <w:t>hypothecair</w:t>
      </w:r>
      <w:r>
        <w:rPr>
          <w:color w:val="231F20"/>
          <w:spacing w:val="32"/>
        </w:rPr>
        <w:t> </w:t>
      </w:r>
      <w:r>
        <w:rPr>
          <w:color w:val="231F20"/>
        </w:rPr>
        <w:t>krediet</w:t>
      </w:r>
    </w:p>
    <w:p>
      <w:pPr>
        <w:pStyle w:val="BodyText"/>
        <w:spacing w:line="179" w:lineRule="exact"/>
        <w:ind w:right="0" w:firstLine="0"/>
        <w:jc w:val="left"/>
      </w:pPr>
      <w:r>
        <w:rPr>
          <w:color w:val="231F20"/>
        </w:rPr>
        <w:t>tot voorwerp hebben.</w:t>
      </w:r>
    </w:p>
    <w:p>
      <w:pPr>
        <w:pStyle w:val="BodyText"/>
        <w:spacing w:line="218" w:lineRule="auto" w:before="114"/>
      </w:pPr>
      <w:r>
        <w:rPr>
          <w:color w:val="231F20"/>
        </w:rPr>
        <w:t>Het eerste lid is niet van toepassing op de genoteerde vennootschap- pen en  de  organisaties  van  openbaar  belang  als  bedoeld  in  arti-  kel 1:12,</w:t>
      </w:r>
      <w:r>
        <w:rPr>
          <w:color w:val="231F20"/>
          <w:spacing w:val="-12"/>
        </w:rPr>
        <w:t> </w:t>
      </w:r>
      <w:r>
        <w:rPr>
          <w:color w:val="231F20"/>
        </w:rPr>
        <w:t>2°.</w:t>
      </w:r>
    </w:p>
    <w:p>
      <w:pPr>
        <w:pStyle w:val="BodyText"/>
        <w:spacing w:line="218" w:lineRule="auto" w:before="118"/>
      </w:pPr>
      <w:r>
        <w:rPr>
          <w:color w:val="231F20"/>
        </w:rPr>
        <w:t>Art. 3:3. Microvennootschappen kunnen hun jaarrekening opstellen volgens een door de Koning vastgesteld microschema.</w:t>
      </w:r>
    </w:p>
    <w:p>
      <w:pPr>
        <w:pStyle w:val="BodyText"/>
        <w:spacing w:line="218" w:lineRule="auto" w:before="117"/>
      </w:pPr>
      <w:r>
        <w:rPr>
          <w:color w:val="231F20"/>
        </w:rPr>
        <w:t>De vennootschappen onder firma, de commanditaire vennootschap- pen en de Europese economische samenwerkingsverbanden  wier omzet over het laatste boekjaar, exclusief de belasting over de toegevoegde waarde, een door de Koning bepaald bedrag niet</w:t>
      </w:r>
      <w:r>
        <w:rPr>
          <w:color w:val="231F20"/>
          <w:spacing w:val="17"/>
        </w:rPr>
        <w:t> </w:t>
      </w:r>
      <w:r>
        <w:rPr>
          <w:color w:val="231F20"/>
        </w:rPr>
        <w:t>over- schrijdt, moeten geen jaarrekening opstellen volgens de regels die de Koning</w:t>
      </w:r>
      <w:r>
        <w:rPr>
          <w:color w:val="231F20"/>
          <w:spacing w:val="16"/>
        </w:rPr>
        <w:t> </w:t>
      </w:r>
      <w:r>
        <w:rPr>
          <w:color w:val="231F20"/>
        </w:rPr>
        <w:t>heeft</w:t>
      </w:r>
      <w:r>
        <w:rPr>
          <w:color w:val="231F20"/>
          <w:spacing w:val="17"/>
        </w:rPr>
        <w:t> </w:t>
      </w:r>
      <w:r>
        <w:rPr>
          <w:color w:val="231F20"/>
        </w:rPr>
        <w:t>vastgesteld</w:t>
      </w:r>
      <w:r>
        <w:rPr>
          <w:color w:val="231F20"/>
          <w:spacing w:val="16"/>
        </w:rPr>
        <w:t> </w:t>
      </w:r>
      <w:r>
        <w:rPr>
          <w:color w:val="231F20"/>
        </w:rPr>
        <w:t>overeenkomstig</w:t>
      </w:r>
      <w:r>
        <w:rPr>
          <w:color w:val="231F20"/>
          <w:spacing w:val="17"/>
        </w:rPr>
        <w:t> </w:t>
      </w:r>
      <w:r>
        <w:rPr>
          <w:color w:val="231F20"/>
        </w:rPr>
        <w:t>artikel</w:t>
      </w:r>
      <w:r>
        <w:rPr>
          <w:color w:val="231F20"/>
          <w:spacing w:val="16"/>
        </w:rPr>
        <w:t> </w:t>
      </w:r>
      <w:r>
        <w:rPr>
          <w:color w:val="231F20"/>
        </w:rPr>
        <w:t>3:1,</w:t>
      </w:r>
      <w:r>
        <w:rPr>
          <w:color w:val="231F20"/>
          <w:spacing w:val="17"/>
        </w:rPr>
        <w:t> </w:t>
      </w:r>
      <w:r>
        <w:rPr>
          <w:color w:val="231F20"/>
        </w:rPr>
        <w:t>§</w:t>
      </w:r>
      <w:r>
        <w:rPr>
          <w:color w:val="231F20"/>
          <w:spacing w:val="17"/>
        </w:rPr>
        <w:t> </w:t>
      </w:r>
      <w:r>
        <w:rPr>
          <w:color w:val="231F20"/>
        </w:rPr>
        <w:t>1.</w:t>
      </w:r>
    </w:p>
    <w:p>
      <w:pPr>
        <w:pStyle w:val="BodyText"/>
        <w:spacing w:before="104"/>
        <w:ind w:left="283" w:right="0" w:firstLine="0"/>
        <w:jc w:val="left"/>
      </w:pPr>
      <w:r>
        <w:rPr>
          <w:color w:val="231F20"/>
        </w:rPr>
        <w:t>Het eerste en het tweede lid zijn niet van toepassing op:</w:t>
      </w:r>
    </w:p>
    <w:p>
      <w:pPr>
        <w:pStyle w:val="BodyText"/>
        <w:spacing w:line="290" w:lineRule="atLeast" w:before="3"/>
        <w:ind w:left="283" w:hanging="1"/>
        <w:jc w:val="left"/>
      </w:pPr>
      <w:r>
        <w:rPr>
          <w:color w:val="231F20"/>
        </w:rPr>
        <w:t>1° de in artikel 3:1, § 3, 1°, 2°, 3° en 4°, bedoelde vennootschappen;  2°</w:t>
      </w:r>
      <w:r>
        <w:rPr>
          <w:color w:val="231F20"/>
          <w:spacing w:val="32"/>
        </w:rPr>
        <w:t> </w:t>
      </w:r>
      <w:r>
        <w:rPr>
          <w:color w:val="231F20"/>
        </w:rPr>
        <w:t>vennootschappen</w:t>
      </w:r>
      <w:r>
        <w:rPr>
          <w:color w:val="231F20"/>
          <w:spacing w:val="32"/>
        </w:rPr>
        <w:t> </w:t>
      </w:r>
      <w:r>
        <w:rPr>
          <w:color w:val="231F20"/>
        </w:rPr>
        <w:t>die</w:t>
      </w:r>
      <w:r>
        <w:rPr>
          <w:color w:val="231F20"/>
          <w:spacing w:val="32"/>
        </w:rPr>
        <w:t> </w:t>
      </w:r>
      <w:r>
        <w:rPr>
          <w:color w:val="231F20"/>
        </w:rPr>
        <w:t>een</w:t>
      </w:r>
      <w:r>
        <w:rPr>
          <w:color w:val="231F20"/>
          <w:spacing w:val="33"/>
        </w:rPr>
        <w:t> </w:t>
      </w:r>
      <w:r>
        <w:rPr>
          <w:color w:val="231F20"/>
        </w:rPr>
        <w:t>onderneming</w:t>
      </w:r>
      <w:r>
        <w:rPr>
          <w:color w:val="231F20"/>
          <w:spacing w:val="32"/>
        </w:rPr>
        <w:t> </w:t>
      </w:r>
      <w:r>
        <w:rPr>
          <w:color w:val="231F20"/>
        </w:rPr>
        <w:t>van</w:t>
      </w:r>
      <w:r>
        <w:rPr>
          <w:color w:val="231F20"/>
          <w:spacing w:val="32"/>
        </w:rPr>
        <w:t> </w:t>
      </w:r>
      <w:r>
        <w:rPr>
          <w:color w:val="231F20"/>
        </w:rPr>
        <w:t>hypothecair</w:t>
      </w:r>
      <w:r>
        <w:rPr>
          <w:color w:val="231F20"/>
          <w:spacing w:val="32"/>
        </w:rPr>
        <w:t> </w:t>
      </w:r>
      <w:r>
        <w:rPr>
          <w:color w:val="231F20"/>
        </w:rPr>
        <w:t>krediet</w:t>
      </w:r>
    </w:p>
    <w:p>
      <w:pPr>
        <w:pStyle w:val="BodyText"/>
        <w:spacing w:line="179" w:lineRule="exact"/>
        <w:ind w:right="0" w:firstLine="0"/>
        <w:jc w:val="left"/>
      </w:pPr>
      <w:r>
        <w:rPr>
          <w:color w:val="231F20"/>
        </w:rPr>
        <w:t>tot voorwerp hebben.</w:t>
      </w:r>
    </w:p>
    <w:p>
      <w:pPr>
        <w:pStyle w:val="BodyText"/>
        <w:spacing w:before="100"/>
        <w:ind w:left="283" w:right="0" w:firstLine="0"/>
        <w:jc w:val="left"/>
      </w:pPr>
      <w:r>
        <w:rPr>
          <w:color w:val="231F20"/>
        </w:rPr>
        <w:t>Afdeling 2. Het jaarverslag.</w:t>
      </w:r>
    </w:p>
    <w:p>
      <w:pPr>
        <w:pStyle w:val="BodyText"/>
        <w:spacing w:line="218" w:lineRule="auto" w:before="114"/>
      </w:pPr>
      <w:r>
        <w:rPr>
          <w:color w:val="231F20"/>
        </w:rPr>
        <w:t>Art. 3:4. Tenzij het gaat om één van de in artikel 3:1, § 3, 1°, 2°, 3° en 4°, bedoelde vennootschappen is deze afdeling niet van toepassing op:</w:t>
      </w:r>
    </w:p>
    <w:p>
      <w:pPr>
        <w:pStyle w:val="BodyText"/>
        <w:spacing w:before="114"/>
        <w:ind w:left="283" w:right="0" w:firstLine="0"/>
        <w:jc w:val="left"/>
      </w:pPr>
      <w:r>
        <w:rPr>
          <w:color w:val="231F20"/>
        </w:rPr>
        <w:t>1° de niet-genoteerde kleine vennootschappen;</w:t>
      </w:r>
    </w:p>
    <w:p>
      <w:pPr>
        <w:pStyle w:val="BodyText"/>
        <w:spacing w:line="218" w:lineRule="auto" w:before="125"/>
      </w:pPr>
      <w:r>
        <w:rPr>
          <w:color w:val="231F20"/>
        </w:rPr>
        <w:t>2° de kleine vennootschappen die geen organisaties van openbaar belang als bedoeld in artikel 1:12, 2°, zijn;</w:t>
      </w:r>
    </w:p>
    <w:p>
      <w:pPr>
        <w:pStyle w:val="BodyText"/>
        <w:spacing w:line="218" w:lineRule="auto" w:before="128"/>
        <w:ind w:right="122"/>
      </w:pPr>
      <w:r>
        <w:rPr>
          <w:color w:val="231F20"/>
        </w:rPr>
        <w:t>3°</w:t>
      </w:r>
      <w:r>
        <w:rPr>
          <w:color w:val="231F20"/>
          <w:spacing w:val="-12"/>
        </w:rPr>
        <w:t> </w:t>
      </w:r>
      <w:r>
        <w:rPr>
          <w:color w:val="231F20"/>
        </w:rPr>
        <w:t>de</w:t>
      </w:r>
      <w:r>
        <w:rPr>
          <w:color w:val="231F20"/>
          <w:spacing w:val="-11"/>
        </w:rPr>
        <w:t> </w:t>
      </w:r>
      <w:r>
        <w:rPr>
          <w:color w:val="231F20"/>
        </w:rPr>
        <w:t>vennootschappen</w:t>
      </w:r>
      <w:r>
        <w:rPr>
          <w:color w:val="231F20"/>
          <w:spacing w:val="-12"/>
        </w:rPr>
        <w:t> </w:t>
      </w:r>
      <w:r>
        <w:rPr>
          <w:color w:val="231F20"/>
        </w:rPr>
        <w:t>onder</w:t>
      </w:r>
      <w:r>
        <w:rPr>
          <w:color w:val="231F20"/>
          <w:spacing w:val="-11"/>
        </w:rPr>
        <w:t> </w:t>
      </w:r>
      <w:r>
        <w:rPr>
          <w:color w:val="231F20"/>
        </w:rPr>
        <w:t>firma,</w:t>
      </w:r>
      <w:r>
        <w:rPr>
          <w:color w:val="231F20"/>
          <w:spacing w:val="-12"/>
        </w:rPr>
        <w:t> </w:t>
      </w:r>
      <w:r>
        <w:rPr>
          <w:color w:val="231F20"/>
        </w:rPr>
        <w:t>de</w:t>
      </w:r>
      <w:r>
        <w:rPr>
          <w:color w:val="231F20"/>
          <w:spacing w:val="-11"/>
        </w:rPr>
        <w:t> </w:t>
      </w:r>
      <w:r>
        <w:rPr>
          <w:color w:val="231F20"/>
          <w:spacing w:val="-3"/>
        </w:rPr>
        <w:t>commanditaire</w:t>
      </w:r>
      <w:r>
        <w:rPr>
          <w:color w:val="231F20"/>
          <w:spacing w:val="-12"/>
        </w:rPr>
        <w:t> </w:t>
      </w:r>
      <w:r>
        <w:rPr>
          <w:color w:val="231F20"/>
        </w:rPr>
        <w:t>vennootschap- pen en de Europese economische samenwerkingsverbanden waarvan alle</w:t>
      </w:r>
      <w:r>
        <w:rPr>
          <w:color w:val="231F20"/>
          <w:spacing w:val="14"/>
        </w:rPr>
        <w:t> </w:t>
      </w:r>
      <w:r>
        <w:rPr>
          <w:color w:val="231F20"/>
        </w:rPr>
        <w:t>onbeperkt</w:t>
      </w:r>
      <w:r>
        <w:rPr>
          <w:color w:val="231F20"/>
          <w:spacing w:val="14"/>
        </w:rPr>
        <w:t> </w:t>
      </w:r>
      <w:r>
        <w:rPr>
          <w:color w:val="231F20"/>
        </w:rPr>
        <w:t>aansprakelijke</w:t>
      </w:r>
      <w:r>
        <w:rPr>
          <w:color w:val="231F20"/>
          <w:spacing w:val="15"/>
        </w:rPr>
        <w:t> </w:t>
      </w:r>
      <w:r>
        <w:rPr>
          <w:color w:val="231F20"/>
        </w:rPr>
        <w:t>vennoten</w:t>
      </w:r>
      <w:r>
        <w:rPr>
          <w:color w:val="231F20"/>
          <w:spacing w:val="14"/>
        </w:rPr>
        <w:t> </w:t>
      </w:r>
      <w:r>
        <w:rPr>
          <w:color w:val="231F20"/>
        </w:rPr>
        <w:t>natuurlijke</w:t>
      </w:r>
      <w:r>
        <w:rPr>
          <w:color w:val="231F20"/>
          <w:spacing w:val="14"/>
        </w:rPr>
        <w:t> </w:t>
      </w:r>
      <w:r>
        <w:rPr>
          <w:color w:val="231F20"/>
        </w:rPr>
        <w:t>personen</w:t>
      </w:r>
      <w:r>
        <w:rPr>
          <w:color w:val="231F20"/>
          <w:spacing w:val="15"/>
        </w:rPr>
        <w:t> </w:t>
      </w:r>
      <w:r>
        <w:rPr>
          <w:color w:val="231F20"/>
        </w:rPr>
        <w:t>zijn;</w:t>
      </w:r>
    </w:p>
    <w:p>
      <w:pPr>
        <w:pStyle w:val="BodyText"/>
        <w:spacing w:line="218" w:lineRule="auto" w:before="128"/>
      </w:pPr>
      <w:r>
        <w:rPr>
          <w:color w:val="231F20"/>
        </w:rPr>
        <w:t>4° de overeenkomstig artikel 8:2 erkende landbouwondernemingen die de vorm hebben aangenomen van een vennootschap onder firma of commanditaire vennootschap en die onderworpen zijn aan de perso- nenbelasting.</w:t>
      </w:r>
    </w:p>
    <w:p>
      <w:pPr>
        <w:pStyle w:val="BodyText"/>
        <w:spacing w:line="218" w:lineRule="auto" w:before="128"/>
        <w:ind w:right="123"/>
      </w:pPr>
      <w:r>
        <w:rPr>
          <w:color w:val="231F20"/>
        </w:rPr>
        <w:t>De niet-genoteerde kleine vennootschappen moeten de verantwoor- ding bedoeld in artikel 3:6, § 1, 6°, evenwel vermelden in de toelichting bij de jaarrekening.</w:t>
      </w:r>
    </w:p>
    <w:p>
      <w:pPr>
        <w:pStyle w:val="BodyText"/>
        <w:spacing w:line="218" w:lineRule="auto" w:before="128"/>
      </w:pPr>
      <w:r>
        <w:rPr>
          <w:color w:val="231F20"/>
        </w:rPr>
        <w:t>Art. 3:5. Het bestuursorgaan stelt een verslag op waarin het rekenschap geeft van zijn beleid.</w:t>
      </w:r>
    </w:p>
    <w:p>
      <w:pPr>
        <w:spacing w:after="0" w:line="218" w:lineRule="auto"/>
        <w:sectPr>
          <w:pgSz w:w="11940" w:h="16880"/>
          <w:pgMar w:header="666" w:footer="0" w:top="1140" w:bottom="280" w:left="340" w:right="360"/>
          <w:cols w:num="2" w:equalWidth="0">
            <w:col w:w="5527" w:space="101"/>
            <w:col w:w="5612"/>
          </w:cols>
        </w:sectPr>
      </w:pPr>
    </w:p>
    <w:p>
      <w:pPr>
        <w:pStyle w:val="BodyText"/>
        <w:spacing w:before="90"/>
        <w:ind w:left="283" w:right="0" w:firstLine="0"/>
        <w:jc w:val="left"/>
      </w:pPr>
      <w:r>
        <w:rPr/>
        <w:pict>
          <v:line style="position:absolute;mso-position-horizontal-relative:page;mso-position-vertical-relative:page;z-index:2200" from="298.170502pt,64.473pt" to="298.170502pt,812.819pt" stroked="true" strokeweight=".533pt" strokecolor="#231f20">
            <v:stroke dashstyle="solid"/>
            <w10:wrap type="none"/>
          </v:line>
        </w:pict>
      </w:r>
      <w:bookmarkStart w:name="_bookmark49" w:id="52"/>
      <w:bookmarkEnd w:id="52"/>
      <w:r>
        <w:rPr/>
      </w:r>
      <w:r>
        <w:rPr>
          <w:color w:val="231F20"/>
        </w:rPr>
        <w:t>Art. 3:6. § 1</w:t>
      </w:r>
      <w:r>
        <w:rPr>
          <w:color w:val="231F20"/>
          <w:position w:val="7"/>
          <w:sz w:val="11"/>
        </w:rPr>
        <w:t>er</w:t>
      </w:r>
      <w:r>
        <w:rPr>
          <w:color w:val="231F20"/>
        </w:rPr>
        <w:t>. Le rapport de gestion visé à l’article 3:5 comporte:</w:t>
      </w:r>
    </w:p>
    <w:p>
      <w:pPr>
        <w:pStyle w:val="BodyText"/>
        <w:spacing w:line="218" w:lineRule="auto" w:before="136"/>
        <w:ind w:right="38"/>
      </w:pPr>
      <w:r>
        <w:rPr>
          <w:color w:val="231F20"/>
        </w:rPr>
        <w:t>1° au moins un exposé fidèle sur l’évolution et les résultats des affaires et la situation de la société, ainsi qu’une description des principaux risques et incertitudes auxquels elle est confrontée;</w:t>
      </w:r>
    </w:p>
    <w:p>
      <w:pPr>
        <w:pStyle w:val="BodyText"/>
        <w:spacing w:before="7"/>
        <w:ind w:left="0" w:right="0" w:firstLine="0"/>
        <w:jc w:val="left"/>
        <w:rPr>
          <w:sz w:val="27"/>
        </w:rPr>
      </w:pPr>
    </w:p>
    <w:p>
      <w:pPr>
        <w:pStyle w:val="BodyText"/>
        <w:spacing w:line="218" w:lineRule="auto" w:before="1"/>
        <w:ind w:right="38"/>
      </w:pPr>
      <w:r>
        <w:rPr>
          <w:color w:val="231F20"/>
        </w:rPr>
        <w:t>2° des données sur les événements importants survenus après la clôture de l’exercice;</w:t>
      </w:r>
    </w:p>
    <w:p>
      <w:pPr>
        <w:pStyle w:val="BodyText"/>
        <w:spacing w:line="218" w:lineRule="auto" w:before="138"/>
        <w:ind w:right="38"/>
      </w:pPr>
      <w:r>
        <w:rPr>
          <w:color w:val="231F20"/>
        </w:rPr>
        <w:t>3° des indications sur les circonstances susceptibles d’avoir une influence notable sur le développement de la société, pour autant que ces indications ne soient pas de nature à porter gravement préjudice à la</w:t>
      </w:r>
      <w:r>
        <w:rPr>
          <w:color w:val="231F20"/>
          <w:spacing w:val="14"/>
        </w:rPr>
        <w:t> </w:t>
      </w:r>
      <w:r>
        <w:rPr>
          <w:color w:val="231F20"/>
        </w:rPr>
        <w:t>société;</w:t>
      </w:r>
    </w:p>
    <w:p>
      <w:pPr>
        <w:pStyle w:val="BodyText"/>
        <w:spacing w:line="218" w:lineRule="auto" w:before="139"/>
        <w:ind w:right="38"/>
      </w:pPr>
      <w:r>
        <w:rPr>
          <w:color w:val="231F20"/>
        </w:rPr>
        <w:t>4°</w:t>
      </w:r>
      <w:r>
        <w:rPr>
          <w:color w:val="231F20"/>
          <w:spacing w:val="-3"/>
        </w:rPr>
        <w:t> </w:t>
      </w:r>
      <w:r>
        <w:rPr>
          <w:color w:val="231F20"/>
        </w:rPr>
        <w:t>des</w:t>
      </w:r>
      <w:r>
        <w:rPr>
          <w:color w:val="231F20"/>
          <w:spacing w:val="-3"/>
        </w:rPr>
        <w:t> </w:t>
      </w:r>
      <w:r>
        <w:rPr>
          <w:color w:val="231F20"/>
        </w:rPr>
        <w:t>indications</w:t>
      </w:r>
      <w:r>
        <w:rPr>
          <w:color w:val="231F20"/>
          <w:spacing w:val="-3"/>
        </w:rPr>
        <w:t> </w:t>
      </w:r>
      <w:r>
        <w:rPr>
          <w:color w:val="231F20"/>
        </w:rPr>
        <w:t>relatives</w:t>
      </w:r>
      <w:r>
        <w:rPr>
          <w:color w:val="231F20"/>
          <w:spacing w:val="-3"/>
        </w:rPr>
        <w:t> </w:t>
      </w:r>
      <w:r>
        <w:rPr>
          <w:color w:val="231F20"/>
        </w:rPr>
        <w:t>aux</w:t>
      </w:r>
      <w:r>
        <w:rPr>
          <w:color w:val="231F20"/>
          <w:spacing w:val="-3"/>
        </w:rPr>
        <w:t> </w:t>
      </w:r>
      <w:r>
        <w:rPr>
          <w:color w:val="231F20"/>
        </w:rPr>
        <w:t>activités</w:t>
      </w:r>
      <w:r>
        <w:rPr>
          <w:color w:val="231F20"/>
          <w:spacing w:val="-3"/>
        </w:rPr>
        <w:t> </w:t>
      </w:r>
      <w:r>
        <w:rPr>
          <w:color w:val="231F20"/>
        </w:rPr>
        <w:t>en</w:t>
      </w:r>
      <w:r>
        <w:rPr>
          <w:color w:val="231F20"/>
          <w:spacing w:val="-3"/>
        </w:rPr>
        <w:t> </w:t>
      </w:r>
      <w:r>
        <w:rPr>
          <w:color w:val="231F20"/>
        </w:rPr>
        <w:t>matière</w:t>
      </w:r>
      <w:r>
        <w:rPr>
          <w:color w:val="231F20"/>
          <w:spacing w:val="-3"/>
        </w:rPr>
        <w:t> </w:t>
      </w:r>
      <w:r>
        <w:rPr>
          <w:color w:val="231F20"/>
        </w:rPr>
        <w:t>de</w:t>
      </w:r>
      <w:r>
        <w:rPr>
          <w:color w:val="231F20"/>
          <w:spacing w:val="-2"/>
        </w:rPr>
        <w:t> </w:t>
      </w:r>
      <w:r>
        <w:rPr>
          <w:color w:val="231F20"/>
        </w:rPr>
        <w:t>recherche</w:t>
      </w:r>
      <w:r>
        <w:rPr>
          <w:color w:val="231F20"/>
          <w:spacing w:val="-3"/>
        </w:rPr>
        <w:t> </w:t>
      </w:r>
      <w:r>
        <w:rPr>
          <w:color w:val="231F20"/>
        </w:rPr>
        <w:t>et</w:t>
      </w:r>
      <w:r>
        <w:rPr>
          <w:color w:val="231F20"/>
          <w:spacing w:val="-3"/>
        </w:rPr>
        <w:t> </w:t>
      </w:r>
      <w:r>
        <w:rPr>
          <w:color w:val="231F20"/>
        </w:rPr>
        <w:t>de développement;</w:t>
      </w:r>
    </w:p>
    <w:p>
      <w:pPr>
        <w:pStyle w:val="BodyText"/>
        <w:spacing w:before="125"/>
        <w:ind w:left="283" w:right="0" w:hanging="1"/>
        <w:jc w:val="left"/>
      </w:pPr>
      <w:r>
        <w:rPr>
          <w:color w:val="231F20"/>
        </w:rPr>
        <w:t>5° des indications relatives à l’existence de succursales de la société;</w:t>
      </w:r>
    </w:p>
    <w:p>
      <w:pPr>
        <w:pStyle w:val="BodyText"/>
        <w:spacing w:line="218" w:lineRule="auto" w:before="135"/>
        <w:ind w:right="38"/>
      </w:pPr>
      <w:r>
        <w:rPr>
          <w:color w:val="231F20"/>
        </w:rPr>
        <w:t>6° au cas ou le bilan fait apparaître une perte reportée ou le compte de résultats fait apparaître pendant deux exercices successifs une perte de l’exercice, une justification de l’application des règles comptables de continuité;</w:t>
      </w:r>
    </w:p>
    <w:p>
      <w:pPr>
        <w:pStyle w:val="BodyText"/>
        <w:spacing w:line="201" w:lineRule="auto" w:before="150"/>
        <w:ind w:right="38"/>
      </w:pPr>
      <w:r>
        <w:rPr>
          <w:color w:val="231F20"/>
        </w:rPr>
        <w:t>7° toutes les informations qui doivent y être insérées en vertu du présent</w:t>
      </w:r>
      <w:r>
        <w:rPr>
          <w:color w:val="231F20"/>
          <w:spacing w:val="16"/>
        </w:rPr>
        <w:t> </w:t>
      </w:r>
      <w:r>
        <w:rPr>
          <w:color w:val="231F20"/>
        </w:rPr>
        <w:t>code,</w:t>
      </w:r>
      <w:r>
        <w:rPr>
          <w:color w:val="231F20"/>
          <w:spacing w:val="16"/>
        </w:rPr>
        <w:t> </w:t>
      </w:r>
      <w:r>
        <w:rPr>
          <w:color w:val="231F20"/>
        </w:rPr>
        <w:t>spécialement</w:t>
      </w:r>
      <w:r>
        <w:rPr>
          <w:color w:val="231F20"/>
          <w:spacing w:val="16"/>
        </w:rPr>
        <w:t> </w:t>
      </w:r>
      <w:r>
        <w:rPr>
          <w:color w:val="231F20"/>
        </w:rPr>
        <w:t>les</w:t>
      </w:r>
      <w:r>
        <w:rPr>
          <w:color w:val="231F20"/>
          <w:spacing w:val="16"/>
        </w:rPr>
        <w:t> </w:t>
      </w:r>
      <w:r>
        <w:rPr>
          <w:color w:val="231F20"/>
        </w:rPr>
        <w:t>articles</w:t>
      </w:r>
      <w:r>
        <w:rPr>
          <w:color w:val="231F20"/>
          <w:spacing w:val="16"/>
        </w:rPr>
        <w:t> </w:t>
      </w:r>
      <w:r>
        <w:rPr>
          <w:color w:val="231F20"/>
        </w:rPr>
        <w:t>5:77,</w:t>
      </w:r>
      <w:r>
        <w:rPr>
          <w:color w:val="231F20"/>
          <w:spacing w:val="16"/>
        </w:rPr>
        <w:t> </w:t>
      </w:r>
      <w:r>
        <w:rPr>
          <w:color w:val="231F20"/>
        </w:rPr>
        <w:t>§</w:t>
      </w:r>
      <w:r>
        <w:rPr>
          <w:color w:val="231F20"/>
          <w:spacing w:val="16"/>
        </w:rPr>
        <w:t> </w:t>
      </w:r>
      <w:r>
        <w:rPr>
          <w:color w:val="231F20"/>
        </w:rPr>
        <w:t>1</w:t>
      </w:r>
      <w:r>
        <w:rPr>
          <w:color w:val="231F20"/>
          <w:position w:val="7"/>
          <w:sz w:val="11"/>
        </w:rPr>
        <w:t>er</w:t>
      </w:r>
      <w:r>
        <w:rPr>
          <w:color w:val="231F20"/>
        </w:rPr>
        <w:t>,</w:t>
      </w:r>
      <w:r>
        <w:rPr>
          <w:color w:val="231F20"/>
          <w:spacing w:val="16"/>
        </w:rPr>
        <w:t> </w:t>
      </w:r>
      <w:r>
        <w:rPr>
          <w:color w:val="231F20"/>
        </w:rPr>
        <w:t>alinéa</w:t>
      </w:r>
      <w:r>
        <w:rPr>
          <w:color w:val="231F20"/>
          <w:spacing w:val="16"/>
        </w:rPr>
        <w:t> </w:t>
      </w:r>
      <w:r>
        <w:rPr>
          <w:color w:val="231F20"/>
        </w:rPr>
        <w:t>2,</w:t>
      </w:r>
      <w:r>
        <w:rPr>
          <w:color w:val="231F20"/>
          <w:spacing w:val="16"/>
        </w:rPr>
        <w:t> </w:t>
      </w:r>
      <w:r>
        <w:rPr>
          <w:color w:val="231F20"/>
        </w:rPr>
        <w:t>5:151,</w:t>
      </w:r>
      <w:r>
        <w:rPr>
          <w:color w:val="231F20"/>
          <w:spacing w:val="16"/>
        </w:rPr>
        <w:t> </w:t>
      </w:r>
      <w:r>
        <w:rPr>
          <w:color w:val="231F20"/>
        </w:rPr>
        <w:t>6:12,</w:t>
      </w:r>
    </w:p>
    <w:p>
      <w:pPr>
        <w:pStyle w:val="BodyText"/>
        <w:spacing w:line="164" w:lineRule="exact"/>
        <w:ind w:right="0" w:firstLine="0"/>
        <w:jc w:val="left"/>
      </w:pPr>
      <w:r>
        <w:rPr>
          <w:color w:val="231F20"/>
        </w:rPr>
        <w:t>7:96,</w:t>
      </w:r>
      <w:r>
        <w:rPr>
          <w:color w:val="231F20"/>
          <w:spacing w:val="-6"/>
        </w:rPr>
        <w:t> </w:t>
      </w:r>
      <w:r>
        <w:rPr>
          <w:color w:val="231F20"/>
        </w:rPr>
        <w:t>§</w:t>
      </w:r>
      <w:r>
        <w:rPr>
          <w:color w:val="231F20"/>
          <w:spacing w:val="-6"/>
        </w:rPr>
        <w:t> </w:t>
      </w:r>
      <w:r>
        <w:rPr>
          <w:color w:val="231F20"/>
        </w:rPr>
        <w:t>1</w:t>
      </w:r>
      <w:r>
        <w:rPr>
          <w:color w:val="231F20"/>
          <w:position w:val="7"/>
          <w:sz w:val="11"/>
        </w:rPr>
        <w:t>er</w:t>
      </w:r>
      <w:r>
        <w:rPr>
          <w:color w:val="231F20"/>
        </w:rPr>
        <w:t>,</w:t>
      </w:r>
      <w:r>
        <w:rPr>
          <w:color w:val="231F20"/>
          <w:spacing w:val="-6"/>
        </w:rPr>
        <w:t> </w:t>
      </w:r>
      <w:r>
        <w:rPr>
          <w:color w:val="231F20"/>
        </w:rPr>
        <w:t>alinéa</w:t>
      </w:r>
      <w:r>
        <w:rPr>
          <w:color w:val="231F20"/>
          <w:spacing w:val="-6"/>
        </w:rPr>
        <w:t> </w:t>
      </w:r>
      <w:r>
        <w:rPr>
          <w:color w:val="231F20"/>
        </w:rPr>
        <w:t>2,</w:t>
      </w:r>
      <w:r>
        <w:rPr>
          <w:color w:val="231F20"/>
          <w:spacing w:val="-5"/>
        </w:rPr>
        <w:t> </w:t>
      </w:r>
      <w:r>
        <w:rPr>
          <w:color w:val="231F20"/>
        </w:rPr>
        <w:t>7:97,</w:t>
      </w:r>
      <w:r>
        <w:rPr>
          <w:color w:val="231F20"/>
          <w:spacing w:val="-6"/>
        </w:rPr>
        <w:t> </w:t>
      </w:r>
      <w:r>
        <w:rPr>
          <w:color w:val="231F20"/>
        </w:rPr>
        <w:t>§</w:t>
      </w:r>
      <w:r>
        <w:rPr>
          <w:color w:val="231F20"/>
          <w:spacing w:val="-6"/>
        </w:rPr>
        <w:t> </w:t>
      </w:r>
      <w:r>
        <w:rPr>
          <w:color w:val="231F20"/>
        </w:rPr>
        <w:t>4,</w:t>
      </w:r>
      <w:r>
        <w:rPr>
          <w:color w:val="231F20"/>
          <w:spacing w:val="-6"/>
        </w:rPr>
        <w:t> </w:t>
      </w:r>
      <w:r>
        <w:rPr>
          <w:color w:val="231F20"/>
        </w:rPr>
        <w:t>dernier</w:t>
      </w:r>
      <w:r>
        <w:rPr>
          <w:color w:val="231F20"/>
          <w:spacing w:val="-6"/>
        </w:rPr>
        <w:t> </w:t>
      </w:r>
      <w:r>
        <w:rPr>
          <w:color w:val="231F20"/>
        </w:rPr>
        <w:t>alinéa,</w:t>
      </w:r>
      <w:r>
        <w:rPr>
          <w:color w:val="231F20"/>
          <w:spacing w:val="-5"/>
        </w:rPr>
        <w:t> </w:t>
      </w:r>
      <w:r>
        <w:rPr>
          <w:color w:val="231F20"/>
        </w:rPr>
        <w:t>et</w:t>
      </w:r>
      <w:r>
        <w:rPr>
          <w:color w:val="231F20"/>
          <w:spacing w:val="-6"/>
        </w:rPr>
        <w:t> </w:t>
      </w:r>
      <w:r>
        <w:rPr>
          <w:color w:val="231F20"/>
        </w:rPr>
        <w:t>§</w:t>
      </w:r>
      <w:r>
        <w:rPr>
          <w:color w:val="231F20"/>
          <w:spacing w:val="-6"/>
        </w:rPr>
        <w:t> </w:t>
      </w:r>
      <w:r>
        <w:rPr>
          <w:color w:val="231F20"/>
        </w:rPr>
        <w:t>6,</w:t>
      </w:r>
      <w:r>
        <w:rPr>
          <w:color w:val="231F20"/>
          <w:spacing w:val="-6"/>
        </w:rPr>
        <w:t> </w:t>
      </w:r>
      <w:r>
        <w:rPr>
          <w:color w:val="231F20"/>
        </w:rPr>
        <w:t>7:102,</w:t>
      </w:r>
      <w:r>
        <w:rPr>
          <w:color w:val="231F20"/>
          <w:spacing w:val="-6"/>
        </w:rPr>
        <w:t> </w:t>
      </w:r>
      <w:r>
        <w:rPr>
          <w:color w:val="231F20"/>
        </w:rPr>
        <w:t>alinéa</w:t>
      </w:r>
      <w:r>
        <w:rPr>
          <w:color w:val="231F20"/>
          <w:spacing w:val="-5"/>
        </w:rPr>
        <w:t> </w:t>
      </w:r>
      <w:r>
        <w:rPr>
          <w:color w:val="231F20"/>
        </w:rPr>
        <w:t>2,</w:t>
      </w:r>
      <w:r>
        <w:rPr>
          <w:color w:val="231F20"/>
          <w:spacing w:val="-6"/>
        </w:rPr>
        <w:t> </w:t>
      </w:r>
      <w:r>
        <w:rPr>
          <w:color w:val="231F20"/>
        </w:rPr>
        <w:t>7:108,</w:t>
      </w:r>
    </w:p>
    <w:p>
      <w:pPr>
        <w:pStyle w:val="BodyText"/>
        <w:spacing w:line="176" w:lineRule="exact"/>
        <w:ind w:right="0" w:firstLine="0"/>
        <w:jc w:val="left"/>
      </w:pPr>
      <w:r>
        <w:rPr>
          <w:color w:val="231F20"/>
        </w:rPr>
        <w:t>alinéa</w:t>
      </w:r>
      <w:r>
        <w:rPr>
          <w:color w:val="231F20"/>
          <w:spacing w:val="-6"/>
        </w:rPr>
        <w:t> </w:t>
      </w:r>
      <w:r>
        <w:rPr>
          <w:color w:val="231F20"/>
        </w:rPr>
        <w:t>2,</w:t>
      </w:r>
      <w:r>
        <w:rPr>
          <w:color w:val="231F20"/>
          <w:spacing w:val="-6"/>
        </w:rPr>
        <w:t> </w:t>
      </w:r>
      <w:r>
        <w:rPr>
          <w:color w:val="231F20"/>
        </w:rPr>
        <w:t>7:115,</w:t>
      </w:r>
      <w:r>
        <w:rPr>
          <w:color w:val="231F20"/>
          <w:spacing w:val="-6"/>
        </w:rPr>
        <w:t> </w:t>
      </w:r>
      <w:r>
        <w:rPr>
          <w:color w:val="231F20"/>
        </w:rPr>
        <w:t>§</w:t>
      </w:r>
      <w:r>
        <w:rPr>
          <w:color w:val="231F20"/>
          <w:spacing w:val="-6"/>
        </w:rPr>
        <w:t> </w:t>
      </w:r>
      <w:r>
        <w:rPr>
          <w:color w:val="231F20"/>
        </w:rPr>
        <w:t>1</w:t>
      </w:r>
      <w:r>
        <w:rPr>
          <w:color w:val="231F20"/>
          <w:position w:val="7"/>
          <w:sz w:val="11"/>
        </w:rPr>
        <w:t>er</w:t>
      </w:r>
      <w:r>
        <w:rPr>
          <w:color w:val="231F20"/>
        </w:rPr>
        <w:t>,</w:t>
      </w:r>
      <w:r>
        <w:rPr>
          <w:color w:val="231F20"/>
          <w:spacing w:val="-6"/>
        </w:rPr>
        <w:t> </w:t>
      </w:r>
      <w:r>
        <w:rPr>
          <w:color w:val="231F20"/>
        </w:rPr>
        <w:t>alinéa</w:t>
      </w:r>
      <w:r>
        <w:rPr>
          <w:color w:val="231F20"/>
          <w:spacing w:val="-6"/>
        </w:rPr>
        <w:t> </w:t>
      </w:r>
      <w:r>
        <w:rPr>
          <w:color w:val="231F20"/>
        </w:rPr>
        <w:t>2,</w:t>
      </w:r>
      <w:r>
        <w:rPr>
          <w:color w:val="231F20"/>
          <w:spacing w:val="-6"/>
        </w:rPr>
        <w:t> </w:t>
      </w:r>
      <w:r>
        <w:rPr>
          <w:color w:val="231F20"/>
        </w:rPr>
        <w:t>7:116,</w:t>
      </w:r>
      <w:r>
        <w:rPr>
          <w:color w:val="231F20"/>
          <w:spacing w:val="-6"/>
        </w:rPr>
        <w:t> </w:t>
      </w:r>
      <w:r>
        <w:rPr>
          <w:color w:val="231F20"/>
        </w:rPr>
        <w:t>§</w:t>
      </w:r>
      <w:r>
        <w:rPr>
          <w:color w:val="231F20"/>
          <w:spacing w:val="-6"/>
        </w:rPr>
        <w:t> </w:t>
      </w:r>
      <w:r>
        <w:rPr>
          <w:color w:val="231F20"/>
        </w:rPr>
        <w:t>1</w:t>
      </w:r>
      <w:r>
        <w:rPr>
          <w:color w:val="231F20"/>
          <w:position w:val="7"/>
          <w:sz w:val="11"/>
        </w:rPr>
        <w:t>er</w:t>
      </w:r>
      <w:r>
        <w:rPr>
          <w:color w:val="231F20"/>
        </w:rPr>
        <w:t>,</w:t>
      </w:r>
      <w:r>
        <w:rPr>
          <w:color w:val="231F20"/>
          <w:spacing w:val="-6"/>
        </w:rPr>
        <w:t> </w:t>
      </w:r>
      <w:r>
        <w:rPr>
          <w:color w:val="231F20"/>
        </w:rPr>
        <w:t>§</w:t>
      </w:r>
      <w:r>
        <w:rPr>
          <w:color w:val="231F20"/>
          <w:spacing w:val="-6"/>
        </w:rPr>
        <w:t> </w:t>
      </w:r>
      <w:r>
        <w:rPr>
          <w:color w:val="231F20"/>
        </w:rPr>
        <w:t>4,</w:t>
      </w:r>
      <w:r>
        <w:rPr>
          <w:color w:val="231F20"/>
          <w:spacing w:val="-6"/>
        </w:rPr>
        <w:t> </w:t>
      </w:r>
      <w:r>
        <w:rPr>
          <w:color w:val="231F20"/>
        </w:rPr>
        <w:t>dernier</w:t>
      </w:r>
      <w:r>
        <w:rPr>
          <w:color w:val="231F20"/>
          <w:spacing w:val="-6"/>
        </w:rPr>
        <w:t> </w:t>
      </w:r>
      <w:r>
        <w:rPr>
          <w:color w:val="231F20"/>
        </w:rPr>
        <w:t>alinéa,</w:t>
      </w:r>
      <w:r>
        <w:rPr>
          <w:color w:val="231F20"/>
          <w:spacing w:val="-6"/>
        </w:rPr>
        <w:t> </w:t>
      </w:r>
      <w:r>
        <w:rPr>
          <w:color w:val="231F20"/>
        </w:rPr>
        <w:t>et</w:t>
      </w:r>
      <w:r>
        <w:rPr>
          <w:color w:val="231F20"/>
          <w:spacing w:val="-6"/>
        </w:rPr>
        <w:t> </w:t>
      </w:r>
      <w:r>
        <w:rPr>
          <w:color w:val="231F20"/>
        </w:rPr>
        <w:t>§</w:t>
      </w:r>
      <w:r>
        <w:rPr>
          <w:color w:val="231F20"/>
          <w:spacing w:val="-6"/>
        </w:rPr>
        <w:t> </w:t>
      </w:r>
      <w:r>
        <w:rPr>
          <w:color w:val="231F20"/>
        </w:rPr>
        <w:t>6,</w:t>
      </w:r>
      <w:r>
        <w:rPr>
          <w:color w:val="231F20"/>
          <w:spacing w:val="-6"/>
        </w:rPr>
        <w:t> </w:t>
      </w:r>
      <w:r>
        <w:rPr>
          <w:color w:val="231F20"/>
        </w:rPr>
        <w:t>7:203,</w:t>
      </w:r>
    </w:p>
    <w:p>
      <w:pPr>
        <w:pStyle w:val="BodyText"/>
        <w:spacing w:line="192" w:lineRule="exact"/>
        <w:ind w:right="0" w:firstLine="0"/>
        <w:jc w:val="left"/>
      </w:pPr>
      <w:r>
        <w:rPr>
          <w:color w:val="231F20"/>
        </w:rPr>
        <w:t>7:220, §§ 1</w:t>
      </w:r>
      <w:r>
        <w:rPr>
          <w:color w:val="231F20"/>
          <w:position w:val="7"/>
          <w:sz w:val="11"/>
        </w:rPr>
        <w:t>er </w:t>
      </w:r>
      <w:r>
        <w:rPr>
          <w:color w:val="231F20"/>
        </w:rPr>
        <w:t>et 2, 15:29 et 16:29;</w:t>
      </w:r>
    </w:p>
    <w:p>
      <w:pPr>
        <w:pStyle w:val="BodyText"/>
        <w:spacing w:line="218" w:lineRule="auto" w:before="135"/>
        <w:ind w:right="38"/>
      </w:pPr>
      <w:r>
        <w:rPr>
          <w:color w:val="231F20"/>
        </w:rPr>
        <w:t>8° en ce qui concerne l’utilisation des instruments financiers par la société et lorsque cela est pertinent pour l’évaluation de son actif, de son</w:t>
      </w:r>
      <w:r>
        <w:rPr>
          <w:color w:val="231F20"/>
          <w:spacing w:val="13"/>
        </w:rPr>
        <w:t> </w:t>
      </w:r>
      <w:r>
        <w:rPr>
          <w:color w:val="231F20"/>
        </w:rPr>
        <w:t>passif,</w:t>
      </w:r>
      <w:r>
        <w:rPr>
          <w:color w:val="231F20"/>
          <w:spacing w:val="14"/>
        </w:rPr>
        <w:t> </w:t>
      </w:r>
      <w:r>
        <w:rPr>
          <w:color w:val="231F20"/>
        </w:rPr>
        <w:t>de</w:t>
      </w:r>
      <w:r>
        <w:rPr>
          <w:color w:val="231F20"/>
          <w:spacing w:val="14"/>
        </w:rPr>
        <w:t> </w:t>
      </w:r>
      <w:r>
        <w:rPr>
          <w:color w:val="231F20"/>
        </w:rPr>
        <w:t>sa</w:t>
      </w:r>
      <w:r>
        <w:rPr>
          <w:color w:val="231F20"/>
          <w:spacing w:val="13"/>
        </w:rPr>
        <w:t> </w:t>
      </w:r>
      <w:r>
        <w:rPr>
          <w:color w:val="231F20"/>
        </w:rPr>
        <w:t>situation</w:t>
      </w:r>
      <w:r>
        <w:rPr>
          <w:color w:val="231F20"/>
          <w:spacing w:val="14"/>
        </w:rPr>
        <w:t> </w:t>
      </w:r>
      <w:r>
        <w:rPr>
          <w:color w:val="231F20"/>
        </w:rPr>
        <w:t>financière</w:t>
      </w:r>
      <w:r>
        <w:rPr>
          <w:color w:val="231F20"/>
          <w:spacing w:val="14"/>
        </w:rPr>
        <w:t> </w:t>
      </w:r>
      <w:r>
        <w:rPr>
          <w:color w:val="231F20"/>
        </w:rPr>
        <w:t>et</w:t>
      </w:r>
      <w:r>
        <w:rPr>
          <w:color w:val="231F20"/>
          <w:spacing w:val="14"/>
        </w:rPr>
        <w:t> </w:t>
      </w:r>
      <w:r>
        <w:rPr>
          <w:color w:val="231F20"/>
        </w:rPr>
        <w:t>de</w:t>
      </w:r>
      <w:r>
        <w:rPr>
          <w:color w:val="231F20"/>
          <w:spacing w:val="13"/>
        </w:rPr>
        <w:t> </w:t>
      </w:r>
      <w:r>
        <w:rPr>
          <w:color w:val="231F20"/>
        </w:rPr>
        <w:t>ses</w:t>
      </w:r>
      <w:r>
        <w:rPr>
          <w:color w:val="231F20"/>
          <w:spacing w:val="14"/>
        </w:rPr>
        <w:t> </w:t>
      </w:r>
      <w:r>
        <w:rPr>
          <w:color w:val="231F20"/>
        </w:rPr>
        <w:t>pertes</w:t>
      </w:r>
      <w:r>
        <w:rPr>
          <w:color w:val="231F20"/>
          <w:spacing w:val="14"/>
        </w:rPr>
        <w:t> </w:t>
      </w:r>
      <w:r>
        <w:rPr>
          <w:color w:val="231F20"/>
        </w:rPr>
        <w:t>ou</w:t>
      </w:r>
      <w:r>
        <w:rPr>
          <w:color w:val="231F20"/>
          <w:spacing w:val="14"/>
        </w:rPr>
        <w:t> </w:t>
      </w:r>
      <w:r>
        <w:rPr>
          <w:color w:val="231F20"/>
        </w:rPr>
        <w:t>profits:</w:t>
      </w:r>
    </w:p>
    <w:p>
      <w:pPr>
        <w:pStyle w:val="ListParagraph"/>
        <w:numPr>
          <w:ilvl w:val="0"/>
          <w:numId w:val="48"/>
        </w:numPr>
        <w:tabs>
          <w:tab w:pos="507" w:val="left" w:leader="none"/>
        </w:tabs>
        <w:spacing w:line="218" w:lineRule="auto" w:before="139" w:after="0"/>
        <w:ind w:left="113" w:right="38" w:firstLine="170"/>
        <w:jc w:val="both"/>
        <w:rPr>
          <w:sz w:val="17"/>
        </w:rPr>
      </w:pPr>
      <w:r>
        <w:rPr>
          <w:color w:val="231F20"/>
          <w:sz w:val="17"/>
        </w:rPr>
        <w:t>les objectifs et la politique de la société en matière de gestion des risques financiers, y compris sa politique concernant la couverture de chaque catégorie principale des transactions prévues pour lesquelles il est</w:t>
      </w:r>
      <w:r>
        <w:rPr>
          <w:color w:val="231F20"/>
          <w:spacing w:val="15"/>
          <w:sz w:val="17"/>
        </w:rPr>
        <w:t> </w:t>
      </w:r>
      <w:r>
        <w:rPr>
          <w:color w:val="231F20"/>
          <w:sz w:val="17"/>
        </w:rPr>
        <w:t>fait</w:t>
      </w:r>
      <w:r>
        <w:rPr>
          <w:color w:val="231F20"/>
          <w:spacing w:val="15"/>
          <w:sz w:val="17"/>
        </w:rPr>
        <w:t> </w:t>
      </w:r>
      <w:r>
        <w:rPr>
          <w:color w:val="231F20"/>
          <w:sz w:val="17"/>
        </w:rPr>
        <w:t>usage</w:t>
      </w:r>
      <w:r>
        <w:rPr>
          <w:color w:val="231F20"/>
          <w:spacing w:val="16"/>
          <w:sz w:val="17"/>
        </w:rPr>
        <w:t> </w:t>
      </w:r>
      <w:r>
        <w:rPr>
          <w:color w:val="231F20"/>
          <w:sz w:val="17"/>
        </w:rPr>
        <w:t>de</w:t>
      </w:r>
      <w:r>
        <w:rPr>
          <w:color w:val="231F20"/>
          <w:spacing w:val="15"/>
          <w:sz w:val="17"/>
        </w:rPr>
        <w:t> </w:t>
      </w:r>
      <w:r>
        <w:rPr>
          <w:color w:val="231F20"/>
          <w:sz w:val="17"/>
        </w:rPr>
        <w:t>la</w:t>
      </w:r>
      <w:r>
        <w:rPr>
          <w:color w:val="231F20"/>
          <w:spacing w:val="16"/>
          <w:sz w:val="17"/>
        </w:rPr>
        <w:t> </w:t>
      </w:r>
      <w:r>
        <w:rPr>
          <w:color w:val="231F20"/>
          <w:sz w:val="17"/>
        </w:rPr>
        <w:t>comptabilité</w:t>
      </w:r>
      <w:r>
        <w:rPr>
          <w:color w:val="231F20"/>
          <w:spacing w:val="15"/>
          <w:sz w:val="17"/>
        </w:rPr>
        <w:t> </w:t>
      </w:r>
      <w:r>
        <w:rPr>
          <w:color w:val="231F20"/>
          <w:sz w:val="17"/>
        </w:rPr>
        <w:t>de</w:t>
      </w:r>
      <w:r>
        <w:rPr>
          <w:color w:val="231F20"/>
          <w:spacing w:val="16"/>
          <w:sz w:val="17"/>
        </w:rPr>
        <w:t> </w:t>
      </w:r>
      <w:r>
        <w:rPr>
          <w:color w:val="231F20"/>
          <w:sz w:val="17"/>
        </w:rPr>
        <w:t>couverture,</w:t>
      </w:r>
      <w:r>
        <w:rPr>
          <w:color w:val="231F20"/>
          <w:spacing w:val="15"/>
          <w:sz w:val="17"/>
        </w:rPr>
        <w:t> </w:t>
      </w:r>
      <w:r>
        <w:rPr>
          <w:color w:val="231F20"/>
          <w:sz w:val="17"/>
        </w:rPr>
        <w:t>et</w:t>
      </w:r>
    </w:p>
    <w:p>
      <w:pPr>
        <w:pStyle w:val="ListParagraph"/>
        <w:numPr>
          <w:ilvl w:val="0"/>
          <w:numId w:val="48"/>
        </w:numPr>
        <w:tabs>
          <w:tab w:pos="502" w:val="left" w:leader="none"/>
        </w:tabs>
        <w:spacing w:line="218" w:lineRule="auto" w:before="139" w:after="0"/>
        <w:ind w:left="113" w:right="38" w:firstLine="170"/>
        <w:jc w:val="both"/>
        <w:rPr>
          <w:sz w:val="17"/>
        </w:rPr>
      </w:pPr>
      <w:r>
        <w:rPr>
          <w:color w:val="231F20"/>
          <w:sz w:val="17"/>
        </w:rPr>
        <w:t>l’exposition de la société au risque de prix, au risque de crédit, au risque</w:t>
      </w:r>
      <w:r>
        <w:rPr>
          <w:color w:val="231F20"/>
          <w:spacing w:val="14"/>
          <w:sz w:val="17"/>
        </w:rPr>
        <w:t> </w:t>
      </w:r>
      <w:r>
        <w:rPr>
          <w:color w:val="231F20"/>
          <w:sz w:val="17"/>
        </w:rPr>
        <w:t>de</w:t>
      </w:r>
      <w:r>
        <w:rPr>
          <w:color w:val="231F20"/>
          <w:spacing w:val="15"/>
          <w:sz w:val="17"/>
        </w:rPr>
        <w:t> </w:t>
      </w:r>
      <w:r>
        <w:rPr>
          <w:color w:val="231F20"/>
          <w:sz w:val="17"/>
        </w:rPr>
        <w:t>liquidité</w:t>
      </w:r>
      <w:r>
        <w:rPr>
          <w:color w:val="231F20"/>
          <w:spacing w:val="15"/>
          <w:sz w:val="17"/>
        </w:rPr>
        <w:t> </w:t>
      </w:r>
      <w:r>
        <w:rPr>
          <w:color w:val="231F20"/>
          <w:sz w:val="17"/>
        </w:rPr>
        <w:t>et</w:t>
      </w:r>
      <w:r>
        <w:rPr>
          <w:color w:val="231F20"/>
          <w:spacing w:val="15"/>
          <w:sz w:val="17"/>
        </w:rPr>
        <w:t> </w:t>
      </w:r>
      <w:r>
        <w:rPr>
          <w:color w:val="231F20"/>
          <w:sz w:val="17"/>
        </w:rPr>
        <w:t>au</w:t>
      </w:r>
      <w:r>
        <w:rPr>
          <w:color w:val="231F20"/>
          <w:spacing w:val="15"/>
          <w:sz w:val="17"/>
        </w:rPr>
        <w:t> </w:t>
      </w:r>
      <w:r>
        <w:rPr>
          <w:color w:val="231F20"/>
          <w:sz w:val="17"/>
        </w:rPr>
        <w:t>risque</w:t>
      </w:r>
      <w:r>
        <w:rPr>
          <w:color w:val="231F20"/>
          <w:spacing w:val="15"/>
          <w:sz w:val="17"/>
        </w:rPr>
        <w:t> </w:t>
      </w:r>
      <w:r>
        <w:rPr>
          <w:color w:val="231F20"/>
          <w:sz w:val="17"/>
        </w:rPr>
        <w:t>de</w:t>
      </w:r>
      <w:r>
        <w:rPr>
          <w:color w:val="231F20"/>
          <w:spacing w:val="15"/>
          <w:sz w:val="17"/>
        </w:rPr>
        <w:t> </w:t>
      </w:r>
      <w:r>
        <w:rPr>
          <w:color w:val="231F20"/>
          <w:sz w:val="17"/>
        </w:rPr>
        <w:t>trésorerie;</w:t>
      </w:r>
    </w:p>
    <w:p>
      <w:pPr>
        <w:pStyle w:val="BodyText"/>
        <w:spacing w:line="218" w:lineRule="auto" w:before="139"/>
        <w:ind w:right="38"/>
      </w:pPr>
      <w:r>
        <w:rPr>
          <w:color w:val="231F20"/>
        </w:rPr>
        <w:t>9° le cas échéant, la justification de l’indépendance et de la compétence en matière de comptabilité et d’audit d’au moins un membre du comité d’audit.</w:t>
      </w:r>
    </w:p>
    <w:p>
      <w:pPr>
        <w:pStyle w:val="BodyText"/>
        <w:spacing w:line="218" w:lineRule="auto" w:before="124"/>
        <w:ind w:right="38"/>
      </w:pPr>
      <w:r>
        <w:rPr>
          <w:color w:val="231F20"/>
        </w:rPr>
        <w:t>L’exposé </w:t>
      </w:r>
      <w:r>
        <w:rPr>
          <w:color w:val="231F20"/>
          <w:spacing w:val="4"/>
        </w:rPr>
        <w:t>visé </w:t>
      </w:r>
      <w:r>
        <w:rPr>
          <w:color w:val="231F20"/>
        </w:rPr>
        <w:t>à l’alinéa 1</w:t>
      </w:r>
      <w:r>
        <w:rPr>
          <w:color w:val="231F20"/>
          <w:position w:val="7"/>
          <w:sz w:val="11"/>
        </w:rPr>
        <w:t>er</w:t>
      </w:r>
      <w:r>
        <w:rPr>
          <w:color w:val="231F20"/>
        </w:rPr>
        <w:t>, 1°, consiste en une analyse équilibrée et complète de l’évolution et des résultats des affaires et de la situation de la société, en rapport avec le volume et la complexité de ces affaires. Dans la mesure nécessaire à la compréhension de l’évolution des affaires, des résultats ou de la situation de la société, l’analyse comporte des indicateurs clés de performance de nature tant financière que, le</w:t>
      </w:r>
      <w:r>
        <w:rPr>
          <w:color w:val="231F20"/>
          <w:spacing w:val="-25"/>
        </w:rPr>
        <w:t> </w:t>
      </w:r>
      <w:r>
        <w:rPr>
          <w:color w:val="231F20"/>
        </w:rPr>
        <w:t>cas échéant, non financière ayant trait à l’activité spécifique de la société, notamment des informations relatives aux questions d’environnement et de personnel. En donnant son analyse, le rapport de gestion contient, le cas échéant, des renvois aux montants indiqués dans les comptes annuels</w:t>
      </w:r>
      <w:r>
        <w:rPr>
          <w:color w:val="231F20"/>
          <w:spacing w:val="14"/>
        </w:rPr>
        <w:t> </w:t>
      </w:r>
      <w:r>
        <w:rPr>
          <w:color w:val="231F20"/>
        </w:rPr>
        <w:t>et</w:t>
      </w:r>
      <w:r>
        <w:rPr>
          <w:color w:val="231F20"/>
          <w:spacing w:val="15"/>
        </w:rPr>
        <w:t> </w:t>
      </w:r>
      <w:r>
        <w:rPr>
          <w:color w:val="231F20"/>
        </w:rPr>
        <w:t>des</w:t>
      </w:r>
      <w:r>
        <w:rPr>
          <w:color w:val="231F20"/>
          <w:spacing w:val="14"/>
        </w:rPr>
        <w:t> </w:t>
      </w:r>
      <w:r>
        <w:rPr>
          <w:color w:val="231F20"/>
        </w:rPr>
        <w:t>explications</w:t>
      </w:r>
      <w:r>
        <w:rPr>
          <w:color w:val="231F20"/>
          <w:spacing w:val="15"/>
        </w:rPr>
        <w:t> </w:t>
      </w:r>
      <w:r>
        <w:rPr>
          <w:color w:val="231F20"/>
        </w:rPr>
        <w:t>supplémentaires</w:t>
      </w:r>
      <w:r>
        <w:rPr>
          <w:color w:val="231F20"/>
          <w:spacing w:val="15"/>
        </w:rPr>
        <w:t> </w:t>
      </w:r>
      <w:r>
        <w:rPr>
          <w:color w:val="231F20"/>
        </w:rPr>
        <w:t>y</w:t>
      </w:r>
      <w:r>
        <w:rPr>
          <w:color w:val="231F20"/>
          <w:spacing w:val="14"/>
        </w:rPr>
        <w:t> </w:t>
      </w:r>
      <w:r>
        <w:rPr>
          <w:color w:val="231F20"/>
        </w:rPr>
        <w:t>afférentes.</w:t>
      </w:r>
    </w:p>
    <w:p>
      <w:pPr>
        <w:pStyle w:val="BodyText"/>
        <w:spacing w:before="8"/>
        <w:ind w:left="0" w:right="0" w:firstLine="0"/>
        <w:jc w:val="left"/>
        <w:rPr>
          <w:sz w:val="27"/>
        </w:rPr>
      </w:pPr>
    </w:p>
    <w:p>
      <w:pPr>
        <w:pStyle w:val="BodyText"/>
        <w:spacing w:line="218" w:lineRule="auto"/>
        <w:ind w:right="38"/>
      </w:pPr>
      <w:r>
        <w:rPr>
          <w:color w:val="231F20"/>
        </w:rPr>
        <w:t>§ 2. Pour les sociétés cotées, le rapport de gestion comprend également une déclaration de gouvernement d’entreprise, qui en constitue une section spécifique et contient au moins les informations suivantes:</w:t>
      </w:r>
    </w:p>
    <w:p>
      <w:pPr>
        <w:pStyle w:val="BodyText"/>
        <w:spacing w:line="218" w:lineRule="auto" w:before="139"/>
        <w:ind w:right="38"/>
      </w:pPr>
      <w:r>
        <w:rPr>
          <w:color w:val="231F20"/>
        </w:rPr>
        <w:t>1° la désignation du code de gouvernement d’entreprise que la  société applique, ainsi qu’une indication de l’endroit où ledit code peut être consulté publiquement ainsi que, le cas échéant, les informations pertinentes relatives aux pratiques de gouvernement d’entreprise appliquées à côté du code retenu et des exigences légales, avec indication</w:t>
      </w:r>
      <w:r>
        <w:rPr>
          <w:color w:val="231F20"/>
          <w:spacing w:val="15"/>
        </w:rPr>
        <w:t> </w:t>
      </w:r>
      <w:r>
        <w:rPr>
          <w:color w:val="231F20"/>
        </w:rPr>
        <w:t>de</w:t>
      </w:r>
      <w:r>
        <w:rPr>
          <w:color w:val="231F20"/>
          <w:spacing w:val="15"/>
        </w:rPr>
        <w:t> </w:t>
      </w:r>
      <w:r>
        <w:rPr>
          <w:color w:val="231F20"/>
        </w:rPr>
        <w:t>l’endroit</w:t>
      </w:r>
      <w:r>
        <w:rPr>
          <w:color w:val="231F20"/>
          <w:spacing w:val="15"/>
        </w:rPr>
        <w:t> </w:t>
      </w:r>
      <w:r>
        <w:rPr>
          <w:color w:val="231F20"/>
        </w:rPr>
        <w:t>où</w:t>
      </w:r>
      <w:r>
        <w:rPr>
          <w:color w:val="231F20"/>
          <w:spacing w:val="15"/>
        </w:rPr>
        <w:t> </w:t>
      </w:r>
      <w:r>
        <w:rPr>
          <w:color w:val="231F20"/>
        </w:rPr>
        <w:t>cette</w:t>
      </w:r>
      <w:r>
        <w:rPr>
          <w:color w:val="231F20"/>
          <w:spacing w:val="15"/>
        </w:rPr>
        <w:t> </w:t>
      </w:r>
      <w:r>
        <w:rPr>
          <w:color w:val="231F20"/>
        </w:rPr>
        <w:t>information</w:t>
      </w:r>
      <w:r>
        <w:rPr>
          <w:color w:val="231F20"/>
          <w:spacing w:val="15"/>
        </w:rPr>
        <w:t> </w:t>
      </w:r>
      <w:r>
        <w:rPr>
          <w:color w:val="231F20"/>
        </w:rPr>
        <w:t>est</w:t>
      </w:r>
      <w:r>
        <w:rPr>
          <w:color w:val="231F20"/>
          <w:spacing w:val="15"/>
        </w:rPr>
        <w:t> </w:t>
      </w:r>
      <w:r>
        <w:rPr>
          <w:color w:val="231F20"/>
        </w:rPr>
        <w:t>disponible;</w:t>
      </w:r>
    </w:p>
    <w:p>
      <w:pPr>
        <w:pStyle w:val="BodyText"/>
        <w:spacing w:before="8"/>
        <w:ind w:left="0" w:right="0" w:firstLine="0"/>
        <w:jc w:val="left"/>
        <w:rPr>
          <w:sz w:val="27"/>
        </w:rPr>
      </w:pPr>
    </w:p>
    <w:p>
      <w:pPr>
        <w:pStyle w:val="BodyText"/>
        <w:spacing w:line="218" w:lineRule="auto"/>
        <w:ind w:right="38"/>
      </w:pPr>
      <w:r>
        <w:rPr>
          <w:color w:val="231F20"/>
        </w:rPr>
        <w:t>2° pour autant qu’une société n’applique pas intégralement le code de gouvernement d’entreprise visé au 1°, une indication des parties du code de gouvernement d’entreprise auxquelles elle déroge et les raisons fondées de cette</w:t>
      </w:r>
      <w:r>
        <w:rPr>
          <w:color w:val="231F20"/>
          <w:spacing w:val="3"/>
        </w:rPr>
        <w:t> </w:t>
      </w:r>
      <w:r>
        <w:rPr>
          <w:color w:val="231F20"/>
        </w:rPr>
        <w:t>dérogation;</w:t>
      </w:r>
    </w:p>
    <w:p>
      <w:pPr>
        <w:pStyle w:val="BodyText"/>
        <w:spacing w:line="218" w:lineRule="auto" w:before="150"/>
        <w:ind w:right="38"/>
      </w:pPr>
      <w:r>
        <w:rPr>
          <w:color w:val="231F20"/>
        </w:rPr>
        <w:t>3° une description des principales caractéristiques des systèmes de contrôle interne et de gestion des risques de la société dans le cadre du processus d’établissement de l’information financière;</w:t>
      </w:r>
    </w:p>
    <w:p>
      <w:pPr>
        <w:pStyle w:val="BodyText"/>
        <w:spacing w:line="218" w:lineRule="auto" w:before="149"/>
        <w:ind w:right="38"/>
      </w:pPr>
      <w:r>
        <w:rPr>
          <w:color w:val="231F20"/>
        </w:rPr>
        <w:t>4°  les  informations  visées  à  l’article  14,  alinéa  4,  de  la  loi  du     2 mai 2007 relative à la publicité des participations importantes dans des émetteurs dont les actions sont admises à la négociation sur un marché</w:t>
      </w:r>
      <w:r>
        <w:rPr>
          <w:color w:val="231F20"/>
          <w:spacing w:val="14"/>
        </w:rPr>
        <w:t> </w:t>
      </w:r>
      <w:r>
        <w:rPr>
          <w:color w:val="231F20"/>
        </w:rPr>
        <w:t>réglementé</w:t>
      </w:r>
      <w:r>
        <w:rPr>
          <w:color w:val="231F20"/>
          <w:spacing w:val="15"/>
        </w:rPr>
        <w:t> </w:t>
      </w:r>
      <w:r>
        <w:rPr>
          <w:color w:val="231F20"/>
        </w:rPr>
        <w:t>et</w:t>
      </w:r>
      <w:r>
        <w:rPr>
          <w:color w:val="231F20"/>
          <w:spacing w:val="15"/>
        </w:rPr>
        <w:t> </w:t>
      </w:r>
      <w:r>
        <w:rPr>
          <w:color w:val="231F20"/>
        </w:rPr>
        <w:t>portant</w:t>
      </w:r>
      <w:r>
        <w:rPr>
          <w:color w:val="231F20"/>
          <w:spacing w:val="15"/>
        </w:rPr>
        <w:t> </w:t>
      </w:r>
      <w:r>
        <w:rPr>
          <w:color w:val="231F20"/>
        </w:rPr>
        <w:t>des</w:t>
      </w:r>
      <w:r>
        <w:rPr>
          <w:color w:val="231F20"/>
          <w:spacing w:val="15"/>
        </w:rPr>
        <w:t> </w:t>
      </w:r>
      <w:r>
        <w:rPr>
          <w:color w:val="231F20"/>
        </w:rPr>
        <w:t>dispositions</w:t>
      </w:r>
      <w:r>
        <w:rPr>
          <w:color w:val="231F20"/>
          <w:spacing w:val="15"/>
        </w:rPr>
        <w:t> </w:t>
      </w:r>
      <w:r>
        <w:rPr>
          <w:color w:val="231F20"/>
        </w:rPr>
        <w:t>diverses;</w:t>
      </w:r>
    </w:p>
    <w:p>
      <w:pPr>
        <w:pStyle w:val="BodyText"/>
        <w:spacing w:line="218" w:lineRule="auto" w:before="150"/>
        <w:ind w:right="38"/>
      </w:pPr>
      <w:r>
        <w:rPr>
          <w:color w:val="231F20"/>
        </w:rPr>
        <w:t>5° la composition et le mode de fonctionnement des organes d’administration et de leurs comités;</w:t>
      </w:r>
    </w:p>
    <w:p>
      <w:pPr>
        <w:pStyle w:val="BodyText"/>
        <w:spacing w:before="105"/>
        <w:ind w:left="283" w:right="0" w:firstLine="0"/>
        <w:jc w:val="left"/>
      </w:pPr>
      <w:r>
        <w:rPr/>
        <w:br w:type="column"/>
      </w:r>
      <w:r>
        <w:rPr>
          <w:color w:val="231F20"/>
        </w:rPr>
        <w:t>Art. 3:6. § 1. Het jaarverslag bedoeld in artikel 3:5 bevat:</w:t>
      </w:r>
    </w:p>
    <w:p>
      <w:pPr>
        <w:pStyle w:val="BodyText"/>
        <w:spacing w:line="218" w:lineRule="auto" w:before="136"/>
      </w:pPr>
      <w:r>
        <w:rPr>
          <w:color w:val="231F20"/>
        </w:rPr>
        <w:t>1° ten minste een getrouw overzicht van de ontwikkeling en de resultaten van het bedrijf en van de positie van de vennootschap, evenals een beschrijving van de voornaamste risico’s en onzekerheden waarmee zij wordt geconfronteerd;</w:t>
      </w:r>
    </w:p>
    <w:p>
      <w:pPr>
        <w:pStyle w:val="BodyText"/>
        <w:spacing w:line="218" w:lineRule="auto" w:before="139"/>
      </w:pPr>
      <w:r>
        <w:rPr>
          <w:color w:val="231F20"/>
        </w:rPr>
        <w:t>2° informatie over de belangrijke gebeurtenissen die na het einde van het boekjaar hebben plaatsgevonden;</w:t>
      </w:r>
    </w:p>
    <w:p>
      <w:pPr>
        <w:pStyle w:val="BodyText"/>
        <w:spacing w:line="218" w:lineRule="auto" w:before="138"/>
      </w:pPr>
      <w:r>
        <w:rPr>
          <w:color w:val="231F20"/>
        </w:rPr>
        <w:t>3° inlichtingen over de omstandigheden die de ontwikkeling van de vennootschap aanmerkelijk kunnen beïnvloeden, voor zover deze inlichtingen niet van die aard zijn dat zij ernstig nadeel zouden berokkenen aan de vennootschap;</w:t>
      </w:r>
    </w:p>
    <w:p>
      <w:pPr>
        <w:pStyle w:val="BodyText"/>
        <w:spacing w:line="218" w:lineRule="auto" w:before="139"/>
      </w:pPr>
      <w:r>
        <w:rPr>
          <w:color w:val="231F20"/>
        </w:rPr>
        <w:t>4° informatie over de werkzaamheden op het gebied van onderzoek en ontwikkeling;</w:t>
      </w:r>
    </w:p>
    <w:p>
      <w:pPr>
        <w:pStyle w:val="BodyText"/>
        <w:spacing w:before="125"/>
        <w:ind w:left="283" w:right="0" w:firstLine="0"/>
        <w:jc w:val="left"/>
      </w:pPr>
      <w:r>
        <w:rPr>
          <w:color w:val="231F20"/>
        </w:rPr>
        <w:t>5° gegevens over het bestaan van bijkantoren van de vennootschap;</w:t>
      </w:r>
    </w:p>
    <w:p>
      <w:pPr>
        <w:pStyle w:val="BodyText"/>
        <w:spacing w:line="218" w:lineRule="auto" w:before="135"/>
        <w:ind w:right="123"/>
      </w:pPr>
      <w:r>
        <w:rPr>
          <w:color w:val="231F20"/>
        </w:rPr>
        <w:t>6° ingeval uit de balans een overgedragen verlies blijkt of uit de resultatenrekening gedurende twee opeenvolgende boekjaren een verlies van het boekjaar blijkt, een verantwoording van de toepassing van de waarderingsregels in de veronderstelling van continuïteit;</w:t>
      </w:r>
    </w:p>
    <w:p>
      <w:pPr>
        <w:pStyle w:val="BodyText"/>
        <w:spacing w:line="218" w:lineRule="auto" w:before="139"/>
      </w:pPr>
      <w:r>
        <w:rPr>
          <w:color w:val="231F20"/>
        </w:rPr>
        <w:t>7° alle informatie die erin moet worden opgenomen krachtens andere bepalingen van dit wetboek, inzonderheid de artikelen 5:77, § 1, tweede lid,</w:t>
      </w:r>
      <w:r>
        <w:rPr>
          <w:color w:val="231F20"/>
          <w:spacing w:val="8"/>
        </w:rPr>
        <w:t> </w:t>
      </w:r>
      <w:r>
        <w:rPr>
          <w:color w:val="231F20"/>
        </w:rPr>
        <w:t>5:151,</w:t>
      </w:r>
      <w:r>
        <w:rPr>
          <w:color w:val="231F20"/>
          <w:spacing w:val="8"/>
        </w:rPr>
        <w:t> </w:t>
      </w:r>
      <w:r>
        <w:rPr>
          <w:color w:val="231F20"/>
        </w:rPr>
        <w:t>6:12,</w:t>
      </w:r>
      <w:r>
        <w:rPr>
          <w:color w:val="231F20"/>
          <w:spacing w:val="8"/>
        </w:rPr>
        <w:t> </w:t>
      </w:r>
      <w:r>
        <w:rPr>
          <w:color w:val="231F20"/>
        </w:rPr>
        <w:t>7:96,</w:t>
      </w:r>
      <w:r>
        <w:rPr>
          <w:color w:val="231F20"/>
          <w:spacing w:val="9"/>
        </w:rPr>
        <w:t> </w:t>
      </w:r>
      <w:r>
        <w:rPr>
          <w:color w:val="231F20"/>
        </w:rPr>
        <w:t>§</w:t>
      </w:r>
      <w:r>
        <w:rPr>
          <w:color w:val="231F20"/>
          <w:spacing w:val="8"/>
        </w:rPr>
        <w:t> </w:t>
      </w:r>
      <w:r>
        <w:rPr>
          <w:color w:val="231F20"/>
        </w:rPr>
        <w:t>1,</w:t>
      </w:r>
      <w:r>
        <w:rPr>
          <w:color w:val="231F20"/>
          <w:spacing w:val="8"/>
        </w:rPr>
        <w:t> </w:t>
      </w:r>
      <w:r>
        <w:rPr>
          <w:color w:val="231F20"/>
        </w:rPr>
        <w:t>tweede</w:t>
      </w:r>
      <w:r>
        <w:rPr>
          <w:color w:val="231F20"/>
          <w:spacing w:val="8"/>
        </w:rPr>
        <w:t> </w:t>
      </w:r>
      <w:r>
        <w:rPr>
          <w:color w:val="231F20"/>
        </w:rPr>
        <w:t>lid,</w:t>
      </w:r>
      <w:r>
        <w:rPr>
          <w:color w:val="231F20"/>
          <w:spacing w:val="9"/>
        </w:rPr>
        <w:t> </w:t>
      </w:r>
      <w:r>
        <w:rPr>
          <w:color w:val="231F20"/>
        </w:rPr>
        <w:t>7:97,</w:t>
      </w:r>
      <w:r>
        <w:rPr>
          <w:color w:val="231F20"/>
          <w:spacing w:val="8"/>
        </w:rPr>
        <w:t> </w:t>
      </w:r>
      <w:r>
        <w:rPr>
          <w:color w:val="231F20"/>
        </w:rPr>
        <w:t>§</w:t>
      </w:r>
      <w:r>
        <w:rPr>
          <w:color w:val="231F20"/>
          <w:spacing w:val="8"/>
        </w:rPr>
        <w:t> </w:t>
      </w:r>
      <w:r>
        <w:rPr>
          <w:color w:val="231F20"/>
        </w:rPr>
        <w:t>4,</w:t>
      </w:r>
      <w:r>
        <w:rPr>
          <w:color w:val="231F20"/>
          <w:spacing w:val="9"/>
        </w:rPr>
        <w:t> </w:t>
      </w:r>
      <w:r>
        <w:rPr>
          <w:color w:val="231F20"/>
        </w:rPr>
        <w:t>laatste</w:t>
      </w:r>
      <w:r>
        <w:rPr>
          <w:color w:val="231F20"/>
          <w:spacing w:val="8"/>
        </w:rPr>
        <w:t> </w:t>
      </w:r>
      <w:r>
        <w:rPr>
          <w:color w:val="231F20"/>
        </w:rPr>
        <w:t>lid,</w:t>
      </w:r>
      <w:r>
        <w:rPr>
          <w:color w:val="231F20"/>
          <w:spacing w:val="8"/>
        </w:rPr>
        <w:t> </w:t>
      </w:r>
      <w:r>
        <w:rPr>
          <w:color w:val="231F20"/>
        </w:rPr>
        <w:t>en</w:t>
      </w:r>
      <w:r>
        <w:rPr>
          <w:color w:val="231F20"/>
          <w:spacing w:val="8"/>
        </w:rPr>
        <w:t> </w:t>
      </w:r>
      <w:r>
        <w:rPr>
          <w:color w:val="231F20"/>
        </w:rPr>
        <w:t>§</w:t>
      </w:r>
      <w:r>
        <w:rPr>
          <w:color w:val="231F20"/>
          <w:spacing w:val="9"/>
        </w:rPr>
        <w:t> </w:t>
      </w:r>
      <w:r>
        <w:rPr>
          <w:color w:val="231F20"/>
        </w:rPr>
        <w:t>6,</w:t>
      </w:r>
      <w:r>
        <w:rPr>
          <w:color w:val="231F20"/>
          <w:spacing w:val="8"/>
        </w:rPr>
        <w:t> </w:t>
      </w:r>
      <w:r>
        <w:rPr>
          <w:color w:val="231F20"/>
        </w:rPr>
        <w:t>7:102,</w:t>
      </w:r>
    </w:p>
    <w:p>
      <w:pPr>
        <w:pStyle w:val="BodyText"/>
        <w:spacing w:line="171" w:lineRule="exact"/>
        <w:ind w:right="0" w:firstLine="0"/>
        <w:jc w:val="left"/>
      </w:pPr>
      <w:r>
        <w:rPr>
          <w:color w:val="231F20"/>
        </w:rPr>
        <w:t>tweede lid, 7:108, tweede lid, 7:115, § 1, tweede lid, 7:116, § 1, § 4, laatste</w:t>
      </w:r>
    </w:p>
    <w:p>
      <w:pPr>
        <w:pStyle w:val="BodyText"/>
        <w:spacing w:line="185" w:lineRule="exact"/>
        <w:ind w:right="0" w:firstLine="0"/>
        <w:jc w:val="left"/>
      </w:pPr>
      <w:r>
        <w:rPr>
          <w:color w:val="231F20"/>
        </w:rPr>
        <w:t>lid, en § 6, 7:203, 7:220, §§ 1 en 2, 15:29 en 16:29;</w:t>
      </w:r>
    </w:p>
    <w:p>
      <w:pPr>
        <w:pStyle w:val="BodyText"/>
        <w:spacing w:line="218" w:lineRule="auto" w:before="136"/>
      </w:pPr>
      <w:r>
        <w:rPr>
          <w:color w:val="231F20"/>
        </w:rPr>
        <w:t>8° wat betreft het gebruik door de vennootschap van financiële instrumenten en voor zover zulks van betekenis is voor de beoordeling van haar activa, passiva, financiële positie en resultaat:</w:t>
      </w:r>
    </w:p>
    <w:p>
      <w:pPr>
        <w:pStyle w:val="ListParagraph"/>
        <w:numPr>
          <w:ilvl w:val="0"/>
          <w:numId w:val="48"/>
        </w:numPr>
        <w:tabs>
          <w:tab w:pos="525" w:val="left" w:leader="none"/>
        </w:tabs>
        <w:spacing w:line="218" w:lineRule="auto" w:before="138" w:after="0"/>
        <w:ind w:left="113" w:right="124" w:firstLine="170"/>
        <w:jc w:val="both"/>
        <w:rPr>
          <w:sz w:val="17"/>
        </w:rPr>
      </w:pPr>
      <w:r>
        <w:rPr>
          <w:color w:val="231F20"/>
          <w:sz w:val="17"/>
        </w:rPr>
        <w:t>de doelstellingen en het beleid van de vennootschap inzake de beheersing van het financieel risico, met inbegrip van haar beleid inzake hedging van alle belangrijke soorten van voorgenomen transac- ties</w:t>
      </w:r>
      <w:r>
        <w:rPr>
          <w:color w:val="231F20"/>
          <w:spacing w:val="17"/>
          <w:sz w:val="17"/>
        </w:rPr>
        <w:t> </w:t>
      </w:r>
      <w:r>
        <w:rPr>
          <w:color w:val="231F20"/>
          <w:sz w:val="17"/>
        </w:rPr>
        <w:t>waarvoor</w:t>
      </w:r>
      <w:r>
        <w:rPr>
          <w:color w:val="231F20"/>
          <w:spacing w:val="18"/>
          <w:sz w:val="17"/>
        </w:rPr>
        <w:t> </w:t>
      </w:r>
      <w:r>
        <w:rPr>
          <w:color w:val="231F20"/>
          <w:sz w:val="17"/>
        </w:rPr>
        <w:t>hedge</w:t>
      </w:r>
      <w:r>
        <w:rPr>
          <w:color w:val="231F20"/>
          <w:spacing w:val="18"/>
          <w:sz w:val="17"/>
        </w:rPr>
        <w:t> </w:t>
      </w:r>
      <w:r>
        <w:rPr>
          <w:color w:val="231F20"/>
          <w:sz w:val="17"/>
        </w:rPr>
        <w:t>accounting</w:t>
      </w:r>
      <w:r>
        <w:rPr>
          <w:color w:val="231F20"/>
          <w:spacing w:val="17"/>
          <w:sz w:val="17"/>
        </w:rPr>
        <w:t> </w:t>
      </w:r>
      <w:r>
        <w:rPr>
          <w:color w:val="231F20"/>
          <w:sz w:val="17"/>
        </w:rPr>
        <w:t>wordt</w:t>
      </w:r>
      <w:r>
        <w:rPr>
          <w:color w:val="231F20"/>
          <w:spacing w:val="18"/>
          <w:sz w:val="17"/>
        </w:rPr>
        <w:t> </w:t>
      </w:r>
      <w:r>
        <w:rPr>
          <w:color w:val="231F20"/>
          <w:sz w:val="17"/>
        </w:rPr>
        <w:t>toegepast,</w:t>
      </w:r>
      <w:r>
        <w:rPr>
          <w:color w:val="231F20"/>
          <w:spacing w:val="18"/>
          <w:sz w:val="17"/>
        </w:rPr>
        <w:t> </w:t>
      </w:r>
      <w:r>
        <w:rPr>
          <w:color w:val="231F20"/>
          <w:sz w:val="17"/>
        </w:rPr>
        <w:t>alsook</w:t>
      </w:r>
    </w:p>
    <w:p>
      <w:pPr>
        <w:pStyle w:val="ListParagraph"/>
        <w:numPr>
          <w:ilvl w:val="0"/>
          <w:numId w:val="48"/>
        </w:numPr>
        <w:tabs>
          <w:tab w:pos="573" w:val="left" w:leader="none"/>
        </w:tabs>
        <w:spacing w:line="218" w:lineRule="auto" w:before="139" w:after="0"/>
        <w:ind w:left="113" w:right="124" w:firstLine="170"/>
        <w:jc w:val="both"/>
        <w:rPr>
          <w:sz w:val="17"/>
        </w:rPr>
      </w:pPr>
      <w:r>
        <w:rPr>
          <w:color w:val="231F20"/>
          <w:sz w:val="17"/>
        </w:rPr>
        <w:t>het door de vennootschap gelopen prijsrisico,</w:t>
      </w:r>
      <w:r>
        <w:rPr>
          <w:color w:val="231F20"/>
          <w:spacing w:val="24"/>
          <w:sz w:val="17"/>
        </w:rPr>
        <w:t> </w:t>
      </w:r>
      <w:r>
        <w:rPr>
          <w:color w:val="231F20"/>
          <w:sz w:val="17"/>
        </w:rPr>
        <w:t>kredietrisico, liquiditeitsrisico, en</w:t>
      </w:r>
      <w:r>
        <w:rPr>
          <w:color w:val="231F20"/>
          <w:spacing w:val="-12"/>
          <w:sz w:val="17"/>
        </w:rPr>
        <w:t> </w:t>
      </w:r>
      <w:r>
        <w:rPr>
          <w:color w:val="231F20"/>
          <w:sz w:val="17"/>
        </w:rPr>
        <w:t>kasstroomrisico;</w:t>
      </w:r>
    </w:p>
    <w:p>
      <w:pPr>
        <w:pStyle w:val="BodyText"/>
        <w:spacing w:line="218" w:lineRule="auto" w:before="139"/>
      </w:pPr>
      <w:r>
        <w:rPr>
          <w:color w:val="231F20"/>
        </w:rPr>
        <w:t>9° in voorkomend geval, de verantwoording van de onafhankelijk- heid en deskundigheid op het gebied van boekhouding en audit van   ten</w:t>
      </w:r>
      <w:r>
        <w:rPr>
          <w:color w:val="231F20"/>
          <w:spacing w:val="15"/>
        </w:rPr>
        <w:t> </w:t>
      </w:r>
      <w:r>
        <w:rPr>
          <w:color w:val="231F20"/>
        </w:rPr>
        <w:t>minste</w:t>
      </w:r>
      <w:r>
        <w:rPr>
          <w:color w:val="231F20"/>
          <w:spacing w:val="15"/>
        </w:rPr>
        <w:t> </w:t>
      </w:r>
      <w:r>
        <w:rPr>
          <w:color w:val="231F20"/>
        </w:rPr>
        <w:t>één</w:t>
      </w:r>
      <w:r>
        <w:rPr>
          <w:color w:val="231F20"/>
          <w:spacing w:val="15"/>
        </w:rPr>
        <w:t> </w:t>
      </w:r>
      <w:r>
        <w:rPr>
          <w:color w:val="231F20"/>
        </w:rPr>
        <w:t>lid</w:t>
      </w:r>
      <w:r>
        <w:rPr>
          <w:color w:val="231F20"/>
          <w:spacing w:val="15"/>
        </w:rPr>
        <w:t> </w:t>
      </w:r>
      <w:r>
        <w:rPr>
          <w:color w:val="231F20"/>
        </w:rPr>
        <w:t>van</w:t>
      </w:r>
      <w:r>
        <w:rPr>
          <w:color w:val="231F20"/>
          <w:spacing w:val="15"/>
        </w:rPr>
        <w:t> </w:t>
      </w:r>
      <w:r>
        <w:rPr>
          <w:color w:val="231F20"/>
        </w:rPr>
        <w:t>het</w:t>
      </w:r>
      <w:r>
        <w:rPr>
          <w:color w:val="231F20"/>
          <w:spacing w:val="15"/>
        </w:rPr>
        <w:t> </w:t>
      </w:r>
      <w:r>
        <w:rPr>
          <w:color w:val="231F20"/>
        </w:rPr>
        <w:t>auditcomité.</w:t>
      </w:r>
    </w:p>
    <w:p>
      <w:pPr>
        <w:pStyle w:val="BodyText"/>
        <w:spacing w:line="218" w:lineRule="auto" w:before="139"/>
        <w:ind w:right="121"/>
      </w:pPr>
      <w:r>
        <w:rPr>
          <w:color w:val="231F20"/>
        </w:rPr>
        <w:t>Het in het eerste lid, 1°, bedoelde overzicht bevat een evenwichtige  en volledige analyse van de ontwikkeling en de resultaten van het bedrijf en van de positie van de vennootschap die in overeenstemming is met de omvang en de complexiteit van dit bedrijf. In zoverre noodzakelijk voor een goed begrip van de ontwikkeling, de resultaten  of de positie van de vennootschap, omvat de analyse zowel financiële </w:t>
      </w:r>
      <w:r>
        <w:rPr>
          <w:color w:val="231F20"/>
          <w:spacing w:val="3"/>
        </w:rPr>
        <w:t>als, </w:t>
      </w:r>
      <w:r>
        <w:rPr>
          <w:color w:val="231F20"/>
        </w:rPr>
        <w:t>in </w:t>
      </w:r>
      <w:r>
        <w:rPr>
          <w:color w:val="231F20"/>
          <w:spacing w:val="3"/>
        </w:rPr>
        <w:t>voorkomend geval, niet-financiële essentiële prestatie- </w:t>
      </w:r>
      <w:r>
        <w:rPr>
          <w:color w:val="231F20"/>
        </w:rPr>
        <w:t>indicatoren die betrekking hebben op het specifieke bedrijf van de vennootschap, met inbegrip van informatie over milieu- en personeels- aangelegenheden. In deze analyse verwijst het jaarverslag in voorko- mend geval naar de bedragen vermeld in de jaarrekening en verstrekt het aanvullende uitleg</w:t>
      </w:r>
      <w:r>
        <w:rPr>
          <w:color w:val="231F20"/>
          <w:spacing w:val="4"/>
        </w:rPr>
        <w:t> </w:t>
      </w:r>
      <w:r>
        <w:rPr>
          <w:color w:val="231F20"/>
        </w:rPr>
        <w:t>hierover.</w:t>
      </w:r>
    </w:p>
    <w:p>
      <w:pPr>
        <w:pStyle w:val="BodyText"/>
        <w:spacing w:line="218" w:lineRule="auto" w:before="139"/>
      </w:pPr>
      <w:r>
        <w:rPr>
          <w:color w:val="231F20"/>
        </w:rPr>
        <w:t>§ 2. Voor genoteerde vennootschappen bevat het jaarverslag tevens een verklaring inzake deugdelijk bestuur, die er een specifiek onderdeel van uitmaakt en die ten minste de volgende informatie bevat:</w:t>
      </w:r>
    </w:p>
    <w:p>
      <w:pPr>
        <w:pStyle w:val="BodyText"/>
        <w:spacing w:before="8"/>
        <w:ind w:left="0" w:right="0" w:firstLine="0"/>
        <w:jc w:val="left"/>
        <w:rPr>
          <w:sz w:val="27"/>
        </w:rPr>
      </w:pPr>
    </w:p>
    <w:p>
      <w:pPr>
        <w:pStyle w:val="BodyText"/>
        <w:spacing w:line="218" w:lineRule="auto"/>
        <w:ind w:right="123"/>
      </w:pPr>
      <w:r>
        <w:rPr>
          <w:color w:val="231F20"/>
        </w:rPr>
        <w:t>1° de aanduiding van de code inzake deugdelijk bestuur die de vennootschap toepast, evenals een aanduiding waar de betrokken code publiek kan worden geraadpleegd, alsook, indien toepasselijk, de relevante informatie over de praktijken inzake deugdelijk bestuur die worden toegepast naast de desbetreffende code en de wettelijke vereisten, evenals een aanduiding waar deze informatie ter beschikking wordt gesteld;</w:t>
      </w:r>
    </w:p>
    <w:p>
      <w:pPr>
        <w:pStyle w:val="BodyText"/>
        <w:spacing w:line="218" w:lineRule="auto" w:before="139"/>
      </w:pPr>
      <w:r>
        <w:rPr>
          <w:color w:val="231F20"/>
        </w:rPr>
        <w:t>2° voor zover een vennootschap de in 1° bedoelde code inzake deugdelijk bestuur niet integraal toepast, een aanduiding van de delen van de code inzake deugdelijk bestuur waarvan zij afwijkt en de gegronde redenen voor deze afwijking;</w:t>
      </w:r>
    </w:p>
    <w:p>
      <w:pPr>
        <w:pStyle w:val="BodyText"/>
        <w:spacing w:line="218" w:lineRule="auto" w:before="150"/>
      </w:pPr>
      <w:r>
        <w:rPr>
          <w:color w:val="231F20"/>
        </w:rPr>
        <w:t>3° een beschrijving van de belangrijkste kenmerken van de interne controle- en risicobeheerssystemen van de vennootschap in het kader van het proces van financiële verslaggeving;</w:t>
      </w:r>
    </w:p>
    <w:p>
      <w:pPr>
        <w:pStyle w:val="BodyText"/>
        <w:spacing w:line="218" w:lineRule="auto" w:before="149"/>
      </w:pPr>
      <w:r>
        <w:rPr>
          <w:color w:val="231F20"/>
        </w:rPr>
        <w:t>4° de informatie als bedoeld in artikel 14, vierde lid, van de wet van   2 mei 2007 op de openbaarmaking van belangrijke deelnemingen in emittenten waarvan aandelen zijn toegelaten tot de verhandeling op een</w:t>
      </w:r>
      <w:r>
        <w:rPr>
          <w:color w:val="231F20"/>
          <w:spacing w:val="16"/>
        </w:rPr>
        <w:t> </w:t>
      </w:r>
      <w:r>
        <w:rPr>
          <w:color w:val="231F20"/>
        </w:rPr>
        <w:t>gereglementeerde</w:t>
      </w:r>
      <w:r>
        <w:rPr>
          <w:color w:val="231F20"/>
          <w:spacing w:val="17"/>
        </w:rPr>
        <w:t> </w:t>
      </w:r>
      <w:r>
        <w:rPr>
          <w:color w:val="231F20"/>
        </w:rPr>
        <w:t>markt</w:t>
      </w:r>
      <w:r>
        <w:rPr>
          <w:color w:val="231F20"/>
          <w:spacing w:val="17"/>
        </w:rPr>
        <w:t> </w:t>
      </w:r>
      <w:r>
        <w:rPr>
          <w:color w:val="231F20"/>
        </w:rPr>
        <w:t>en</w:t>
      </w:r>
      <w:r>
        <w:rPr>
          <w:color w:val="231F20"/>
          <w:spacing w:val="17"/>
        </w:rPr>
        <w:t> </w:t>
      </w:r>
      <w:r>
        <w:rPr>
          <w:color w:val="231F20"/>
        </w:rPr>
        <w:t>houdende</w:t>
      </w:r>
      <w:r>
        <w:rPr>
          <w:color w:val="231F20"/>
          <w:spacing w:val="17"/>
        </w:rPr>
        <w:t> </w:t>
      </w:r>
      <w:r>
        <w:rPr>
          <w:color w:val="231F20"/>
        </w:rPr>
        <w:t>diverse</w:t>
      </w:r>
      <w:r>
        <w:rPr>
          <w:color w:val="231F20"/>
          <w:spacing w:val="17"/>
        </w:rPr>
        <w:t> </w:t>
      </w:r>
      <w:r>
        <w:rPr>
          <w:color w:val="231F20"/>
        </w:rPr>
        <w:t>bepalingen;</w:t>
      </w:r>
    </w:p>
    <w:p>
      <w:pPr>
        <w:pStyle w:val="BodyText"/>
        <w:spacing w:line="218" w:lineRule="auto" w:before="150"/>
      </w:pPr>
      <w:r>
        <w:rPr>
          <w:color w:val="231F20"/>
        </w:rPr>
        <w:t>5° de samenstelling en de werking van de bestuursorganen en hun comités;</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2224" from="298.170502pt,64.473pt" to="298.170502pt,812.819pt" stroked="true" strokeweight=".533pt" strokecolor="#231f20">
            <v:stroke dashstyle="solid"/>
            <w10:wrap type="none"/>
          </v:line>
        </w:pict>
      </w:r>
      <w:bookmarkStart w:name="_bookmark50" w:id="53"/>
      <w:bookmarkEnd w:id="53"/>
      <w:r>
        <w:rPr/>
      </w:r>
      <w:r>
        <w:rPr>
          <w:color w:val="231F20"/>
        </w:rPr>
        <w:t>6° une description:</w:t>
      </w:r>
    </w:p>
    <w:p>
      <w:pPr>
        <w:pStyle w:val="ListParagraph"/>
        <w:numPr>
          <w:ilvl w:val="0"/>
          <w:numId w:val="51"/>
        </w:numPr>
        <w:tabs>
          <w:tab w:pos="471" w:val="left" w:leader="none"/>
        </w:tabs>
        <w:spacing w:line="218" w:lineRule="auto" w:before="79" w:after="0"/>
        <w:ind w:left="113" w:right="38" w:firstLine="170"/>
        <w:jc w:val="both"/>
        <w:rPr>
          <w:sz w:val="17"/>
        </w:rPr>
      </w:pPr>
      <w:r>
        <w:rPr>
          <w:color w:val="231F20"/>
          <w:sz w:val="17"/>
        </w:rPr>
        <w:t>de la politique de diversité appliquée par la société aux membres du conseil d’administration, ou, le cas échéant, le conseil de sur- veillance et le conseil de direction, à des autres dirigeants et à</w:t>
      </w:r>
      <w:r>
        <w:rPr>
          <w:color w:val="231F20"/>
          <w:spacing w:val="24"/>
          <w:sz w:val="17"/>
        </w:rPr>
        <w:t> </w:t>
      </w:r>
      <w:r>
        <w:rPr>
          <w:color w:val="231F20"/>
          <w:sz w:val="17"/>
        </w:rPr>
        <w:t>des délégués</w:t>
      </w:r>
      <w:r>
        <w:rPr>
          <w:color w:val="231F20"/>
          <w:spacing w:val="14"/>
          <w:sz w:val="17"/>
        </w:rPr>
        <w:t> </w:t>
      </w:r>
      <w:r>
        <w:rPr>
          <w:color w:val="231F20"/>
          <w:sz w:val="17"/>
        </w:rPr>
        <w:t>à</w:t>
      </w:r>
      <w:r>
        <w:rPr>
          <w:color w:val="231F20"/>
          <w:spacing w:val="15"/>
          <w:sz w:val="17"/>
        </w:rPr>
        <w:t> </w:t>
      </w:r>
      <w:r>
        <w:rPr>
          <w:color w:val="231F20"/>
          <w:sz w:val="17"/>
        </w:rPr>
        <w:t>la</w:t>
      </w:r>
      <w:r>
        <w:rPr>
          <w:color w:val="231F20"/>
          <w:spacing w:val="15"/>
          <w:sz w:val="17"/>
        </w:rPr>
        <w:t> </w:t>
      </w:r>
      <w:r>
        <w:rPr>
          <w:color w:val="231F20"/>
          <w:sz w:val="17"/>
        </w:rPr>
        <w:t>gestion</w:t>
      </w:r>
      <w:r>
        <w:rPr>
          <w:color w:val="231F20"/>
          <w:spacing w:val="15"/>
          <w:sz w:val="17"/>
        </w:rPr>
        <w:t> </w:t>
      </w:r>
      <w:r>
        <w:rPr>
          <w:color w:val="231F20"/>
          <w:sz w:val="17"/>
        </w:rPr>
        <w:t>journalière</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société;</w:t>
      </w:r>
    </w:p>
    <w:p>
      <w:pPr>
        <w:pStyle w:val="ListParagraph"/>
        <w:numPr>
          <w:ilvl w:val="0"/>
          <w:numId w:val="51"/>
        </w:numPr>
        <w:tabs>
          <w:tab w:pos="477" w:val="left" w:leader="none"/>
        </w:tabs>
        <w:spacing w:line="240" w:lineRule="auto" w:before="69" w:after="0"/>
        <w:ind w:left="476" w:right="0" w:hanging="193"/>
        <w:jc w:val="left"/>
        <w:rPr>
          <w:sz w:val="17"/>
        </w:rPr>
      </w:pPr>
      <w:r>
        <w:rPr>
          <w:color w:val="231F20"/>
          <w:sz w:val="17"/>
        </w:rPr>
        <w:t>des</w:t>
      </w:r>
      <w:r>
        <w:rPr>
          <w:color w:val="231F20"/>
          <w:spacing w:val="15"/>
          <w:sz w:val="17"/>
        </w:rPr>
        <w:t> </w:t>
      </w:r>
      <w:r>
        <w:rPr>
          <w:color w:val="231F20"/>
          <w:sz w:val="17"/>
        </w:rPr>
        <w:t>objectifs</w:t>
      </w:r>
      <w:r>
        <w:rPr>
          <w:color w:val="231F20"/>
          <w:spacing w:val="15"/>
          <w:sz w:val="17"/>
        </w:rPr>
        <w:t> </w:t>
      </w:r>
      <w:r>
        <w:rPr>
          <w:color w:val="231F20"/>
          <w:sz w:val="17"/>
        </w:rPr>
        <w:t>de</w:t>
      </w:r>
      <w:r>
        <w:rPr>
          <w:color w:val="231F20"/>
          <w:spacing w:val="15"/>
          <w:sz w:val="17"/>
        </w:rPr>
        <w:t> </w:t>
      </w:r>
      <w:r>
        <w:rPr>
          <w:color w:val="231F20"/>
          <w:sz w:val="17"/>
        </w:rPr>
        <w:t>cette</w:t>
      </w:r>
      <w:r>
        <w:rPr>
          <w:color w:val="231F20"/>
          <w:spacing w:val="15"/>
          <w:sz w:val="17"/>
        </w:rPr>
        <w:t> </w:t>
      </w:r>
      <w:r>
        <w:rPr>
          <w:color w:val="231F20"/>
          <w:sz w:val="17"/>
        </w:rPr>
        <w:t>politique</w:t>
      </w:r>
      <w:r>
        <w:rPr>
          <w:color w:val="231F20"/>
          <w:spacing w:val="15"/>
          <w:sz w:val="17"/>
        </w:rPr>
        <w:t> </w:t>
      </w:r>
      <w:r>
        <w:rPr>
          <w:color w:val="231F20"/>
          <w:sz w:val="17"/>
        </w:rPr>
        <w:t>de</w:t>
      </w:r>
      <w:r>
        <w:rPr>
          <w:color w:val="231F20"/>
          <w:spacing w:val="15"/>
          <w:sz w:val="17"/>
        </w:rPr>
        <w:t> </w:t>
      </w:r>
      <w:r>
        <w:rPr>
          <w:color w:val="231F20"/>
          <w:sz w:val="17"/>
        </w:rPr>
        <w:t>diversité;</w:t>
      </w:r>
    </w:p>
    <w:p>
      <w:pPr>
        <w:pStyle w:val="ListParagraph"/>
        <w:numPr>
          <w:ilvl w:val="0"/>
          <w:numId w:val="51"/>
        </w:numPr>
        <w:tabs>
          <w:tab w:pos="467" w:val="left" w:leader="none"/>
        </w:tabs>
        <w:spacing w:line="240" w:lineRule="auto" w:before="65" w:after="0"/>
        <w:ind w:left="466" w:right="0" w:hanging="183"/>
        <w:jc w:val="left"/>
        <w:rPr>
          <w:sz w:val="17"/>
        </w:rPr>
      </w:pPr>
      <w:r>
        <w:rPr>
          <w:color w:val="231F20"/>
          <w:sz w:val="17"/>
        </w:rPr>
        <w:t>des</w:t>
      </w:r>
      <w:r>
        <w:rPr>
          <w:color w:val="231F20"/>
          <w:spacing w:val="15"/>
          <w:sz w:val="17"/>
        </w:rPr>
        <w:t> </w:t>
      </w:r>
      <w:r>
        <w:rPr>
          <w:color w:val="231F20"/>
          <w:sz w:val="17"/>
        </w:rPr>
        <w:t>modalités</w:t>
      </w:r>
      <w:r>
        <w:rPr>
          <w:color w:val="231F20"/>
          <w:spacing w:val="16"/>
          <w:sz w:val="17"/>
        </w:rPr>
        <w:t> </w:t>
      </w:r>
      <w:r>
        <w:rPr>
          <w:color w:val="231F20"/>
          <w:sz w:val="17"/>
        </w:rPr>
        <w:t>de</w:t>
      </w:r>
      <w:r>
        <w:rPr>
          <w:color w:val="231F20"/>
          <w:spacing w:val="16"/>
          <w:sz w:val="17"/>
        </w:rPr>
        <w:t> </w:t>
      </w:r>
      <w:r>
        <w:rPr>
          <w:color w:val="231F20"/>
          <w:sz w:val="17"/>
        </w:rPr>
        <w:t>mise</w:t>
      </w:r>
      <w:r>
        <w:rPr>
          <w:color w:val="231F20"/>
          <w:spacing w:val="15"/>
          <w:sz w:val="17"/>
        </w:rPr>
        <w:t> </w:t>
      </w:r>
      <w:r>
        <w:rPr>
          <w:color w:val="231F20"/>
          <w:sz w:val="17"/>
        </w:rPr>
        <w:t>en</w:t>
      </w:r>
      <w:r>
        <w:rPr>
          <w:color w:val="231F20"/>
          <w:spacing w:val="16"/>
          <w:sz w:val="17"/>
        </w:rPr>
        <w:t> </w:t>
      </w:r>
      <w:r>
        <w:rPr>
          <w:color w:val="231F20"/>
          <w:sz w:val="17"/>
        </w:rPr>
        <w:t>œuvre</w:t>
      </w:r>
      <w:r>
        <w:rPr>
          <w:color w:val="231F20"/>
          <w:spacing w:val="16"/>
          <w:sz w:val="17"/>
        </w:rPr>
        <w:t> </w:t>
      </w:r>
      <w:r>
        <w:rPr>
          <w:color w:val="231F20"/>
          <w:sz w:val="17"/>
        </w:rPr>
        <w:t>de</w:t>
      </w:r>
      <w:r>
        <w:rPr>
          <w:color w:val="231F20"/>
          <w:spacing w:val="16"/>
          <w:sz w:val="17"/>
        </w:rPr>
        <w:t> </w:t>
      </w:r>
      <w:r>
        <w:rPr>
          <w:color w:val="231F20"/>
          <w:sz w:val="17"/>
        </w:rPr>
        <w:t>cette</w:t>
      </w:r>
      <w:r>
        <w:rPr>
          <w:color w:val="231F20"/>
          <w:spacing w:val="15"/>
          <w:sz w:val="17"/>
        </w:rPr>
        <w:t> </w:t>
      </w:r>
      <w:r>
        <w:rPr>
          <w:color w:val="231F20"/>
          <w:sz w:val="17"/>
        </w:rPr>
        <w:t>politique;</w:t>
      </w:r>
    </w:p>
    <w:p>
      <w:pPr>
        <w:pStyle w:val="ListParagraph"/>
        <w:numPr>
          <w:ilvl w:val="0"/>
          <w:numId w:val="51"/>
        </w:numPr>
        <w:tabs>
          <w:tab w:pos="483" w:val="left" w:leader="none"/>
        </w:tabs>
        <w:spacing w:line="240" w:lineRule="auto" w:before="65" w:after="0"/>
        <w:ind w:left="482" w:right="0" w:hanging="199"/>
        <w:jc w:val="left"/>
        <w:rPr>
          <w:sz w:val="17"/>
        </w:rPr>
      </w:pPr>
      <w:r>
        <w:rPr>
          <w:color w:val="231F20"/>
          <w:sz w:val="17"/>
        </w:rPr>
        <w:t>des</w:t>
      </w:r>
      <w:r>
        <w:rPr>
          <w:color w:val="231F20"/>
          <w:spacing w:val="15"/>
          <w:sz w:val="17"/>
        </w:rPr>
        <w:t> </w:t>
      </w:r>
      <w:r>
        <w:rPr>
          <w:color w:val="231F20"/>
          <w:sz w:val="17"/>
        </w:rPr>
        <w:t>résultats</w:t>
      </w:r>
      <w:r>
        <w:rPr>
          <w:color w:val="231F20"/>
          <w:spacing w:val="16"/>
          <w:sz w:val="17"/>
        </w:rPr>
        <w:t> </w:t>
      </w:r>
      <w:r>
        <w:rPr>
          <w:color w:val="231F20"/>
          <w:sz w:val="17"/>
        </w:rPr>
        <w:t>de</w:t>
      </w:r>
      <w:r>
        <w:rPr>
          <w:color w:val="231F20"/>
          <w:spacing w:val="15"/>
          <w:sz w:val="17"/>
        </w:rPr>
        <w:t> </w:t>
      </w:r>
      <w:r>
        <w:rPr>
          <w:color w:val="231F20"/>
          <w:sz w:val="17"/>
        </w:rPr>
        <w:t>cette</w:t>
      </w:r>
      <w:r>
        <w:rPr>
          <w:color w:val="231F20"/>
          <w:spacing w:val="16"/>
          <w:sz w:val="17"/>
        </w:rPr>
        <w:t> </w:t>
      </w:r>
      <w:r>
        <w:rPr>
          <w:color w:val="231F20"/>
          <w:sz w:val="17"/>
        </w:rPr>
        <w:t>politique</w:t>
      </w:r>
      <w:r>
        <w:rPr>
          <w:color w:val="231F20"/>
          <w:spacing w:val="15"/>
          <w:sz w:val="17"/>
        </w:rPr>
        <w:t> </w:t>
      </w:r>
      <w:r>
        <w:rPr>
          <w:color w:val="231F20"/>
          <w:sz w:val="17"/>
        </w:rPr>
        <w:t>au</w:t>
      </w:r>
      <w:r>
        <w:rPr>
          <w:color w:val="231F20"/>
          <w:spacing w:val="16"/>
          <w:sz w:val="17"/>
        </w:rPr>
        <w:t> </w:t>
      </w:r>
      <w:r>
        <w:rPr>
          <w:color w:val="231F20"/>
          <w:sz w:val="17"/>
        </w:rPr>
        <w:t>cours</w:t>
      </w:r>
      <w:r>
        <w:rPr>
          <w:color w:val="231F20"/>
          <w:spacing w:val="15"/>
          <w:sz w:val="17"/>
        </w:rPr>
        <w:t> </w:t>
      </w:r>
      <w:r>
        <w:rPr>
          <w:color w:val="231F20"/>
          <w:sz w:val="17"/>
        </w:rPr>
        <w:t>de</w:t>
      </w:r>
      <w:r>
        <w:rPr>
          <w:color w:val="231F20"/>
          <w:spacing w:val="16"/>
          <w:sz w:val="17"/>
        </w:rPr>
        <w:t> </w:t>
      </w:r>
      <w:r>
        <w:rPr>
          <w:color w:val="231F20"/>
          <w:sz w:val="17"/>
        </w:rPr>
        <w:t>l’exercice.</w:t>
      </w:r>
    </w:p>
    <w:p>
      <w:pPr>
        <w:pStyle w:val="BodyText"/>
        <w:spacing w:line="218" w:lineRule="auto" w:before="82"/>
        <w:ind w:right="38"/>
      </w:pPr>
      <w:r>
        <w:rPr>
          <w:color w:val="231F20"/>
        </w:rPr>
        <w:t>A défaut d’une politique de diversité, la société explique les raisons  le justifiant dans la</w:t>
      </w:r>
      <w:r>
        <w:rPr>
          <w:color w:val="231F20"/>
          <w:spacing w:val="17"/>
        </w:rPr>
        <w:t> </w:t>
      </w:r>
      <w:r>
        <w:rPr>
          <w:color w:val="231F20"/>
        </w:rPr>
        <w:t>déclaration.</w:t>
      </w:r>
    </w:p>
    <w:p>
      <w:pPr>
        <w:pStyle w:val="BodyText"/>
        <w:spacing w:line="218" w:lineRule="auto" w:before="86"/>
        <w:ind w:right="38"/>
      </w:pPr>
      <w:r>
        <w:rPr>
          <w:color w:val="231F20"/>
        </w:rPr>
        <w:t>La description comprend en tout état de cause un aperçu des efforts consentis afin qu’au moins un tiers des membres du conseil d’admi- nistration, ou, le cas échéant, du conseil de surveillance, soient de sexe différent de celui des autres membres;</w:t>
      </w:r>
    </w:p>
    <w:p>
      <w:pPr>
        <w:pStyle w:val="BodyText"/>
        <w:spacing w:line="218" w:lineRule="auto" w:before="85"/>
        <w:ind w:right="38"/>
      </w:pPr>
      <w:r>
        <w:rPr>
          <w:color w:val="231F20"/>
        </w:rPr>
        <w:t>7° les informations qui doivent y  être  insérées  en  vertu  de</w:t>
      </w:r>
      <w:r>
        <w:rPr>
          <w:color w:val="231F20"/>
          <w:spacing w:val="25"/>
        </w:rPr>
        <w:t> </w:t>
      </w:r>
      <w:r>
        <w:rPr>
          <w:color w:val="231F20"/>
        </w:rPr>
        <w:t>l’arti- cle 34 de l’arrêté royal du 14 novembre 2007 relatif aux obligations des émetteurs d’instruments financiers admis à la négociation sur un marché</w:t>
      </w:r>
      <w:r>
        <w:rPr>
          <w:color w:val="231F20"/>
          <w:spacing w:val="14"/>
        </w:rPr>
        <w:t> </w:t>
      </w:r>
      <w:r>
        <w:rPr>
          <w:color w:val="231F20"/>
        </w:rPr>
        <w:t>réglementé;</w:t>
      </w:r>
    </w:p>
    <w:p>
      <w:pPr>
        <w:pStyle w:val="BodyText"/>
        <w:spacing w:line="177" w:lineRule="exact" w:before="72"/>
        <w:ind w:left="283" w:right="0" w:firstLine="0"/>
        <w:jc w:val="left"/>
      </w:pPr>
      <w:r>
        <w:rPr>
          <w:color w:val="231F20"/>
        </w:rPr>
        <w:t>8° les informations qui doivent y être insérées en vertu de l’article</w:t>
      </w:r>
      <w:r>
        <w:rPr>
          <w:color w:val="231F20"/>
          <w:spacing w:val="15"/>
        </w:rPr>
        <w:t> </w:t>
      </w:r>
      <w:r>
        <w:rPr>
          <w:color w:val="231F20"/>
        </w:rPr>
        <w:t>74,</w:t>
      </w:r>
    </w:p>
    <w:p>
      <w:pPr>
        <w:pStyle w:val="BodyText"/>
        <w:spacing w:line="192" w:lineRule="exact"/>
        <w:ind w:right="0" w:firstLine="0"/>
        <w:jc w:val="left"/>
      </w:pPr>
      <w:r>
        <w:rPr>
          <w:color w:val="231F20"/>
        </w:rPr>
        <w:t>§ 7, de la loi du 1</w:t>
      </w:r>
      <w:r>
        <w:rPr>
          <w:color w:val="231F20"/>
          <w:position w:val="7"/>
          <w:sz w:val="11"/>
        </w:rPr>
        <w:t>er </w:t>
      </w:r>
      <w:r>
        <w:rPr>
          <w:color w:val="231F20"/>
        </w:rPr>
        <w:t>avril 2007 relative aux </w:t>
      </w:r>
      <w:r>
        <w:rPr>
          <w:color w:val="231F20"/>
          <w:spacing w:val="-3"/>
        </w:rPr>
        <w:t>offres </w:t>
      </w:r>
      <w:r>
        <w:rPr>
          <w:color w:val="231F20"/>
        </w:rPr>
        <w:t>publiques</w:t>
      </w:r>
      <w:r>
        <w:rPr>
          <w:color w:val="231F20"/>
          <w:spacing w:val="36"/>
        </w:rPr>
        <w:t> </w:t>
      </w:r>
      <w:r>
        <w:rPr>
          <w:color w:val="231F20"/>
        </w:rPr>
        <w:t>d’acquisition.</w:t>
      </w:r>
    </w:p>
    <w:p>
      <w:pPr>
        <w:pStyle w:val="BodyText"/>
        <w:spacing w:before="7"/>
        <w:ind w:left="0" w:right="0" w:firstLine="0"/>
        <w:jc w:val="left"/>
        <w:rPr>
          <w:sz w:val="22"/>
        </w:rPr>
      </w:pPr>
    </w:p>
    <w:p>
      <w:pPr>
        <w:pStyle w:val="BodyText"/>
        <w:spacing w:line="218" w:lineRule="auto"/>
        <w:ind w:right="38"/>
      </w:pPr>
      <w:r>
        <w:rPr>
          <w:color w:val="231F20"/>
        </w:rPr>
        <w:t>Les dispositions reprises aux points 3°, 4° et 6°, s’appliquent également aux entités d’intérêt public visées à l’article 1:12, 2°.</w:t>
      </w:r>
    </w:p>
    <w:p>
      <w:pPr>
        <w:pStyle w:val="BodyText"/>
        <w:spacing w:line="213" w:lineRule="auto" w:before="89"/>
        <w:ind w:right="38"/>
      </w:pPr>
      <w:r>
        <w:rPr>
          <w:color w:val="231F20"/>
        </w:rPr>
        <w:t>La disposition reprise au point 6°, </w:t>
      </w:r>
      <w:r>
        <w:rPr>
          <w:color w:val="231F20"/>
          <w:spacing w:val="3"/>
        </w:rPr>
        <w:t>alinéas </w:t>
      </w:r>
      <w:r>
        <w:rPr>
          <w:color w:val="231F20"/>
        </w:rPr>
        <w:t>2 et 3, ne s’applique pas pour les sociétés qui  dépassent  plus  d’un  des  critères  visés  à  l’article 1:26, § 1</w:t>
      </w:r>
      <w:r>
        <w:rPr>
          <w:color w:val="231F20"/>
          <w:position w:val="7"/>
          <w:sz w:val="11"/>
        </w:rPr>
        <w:t>er</w:t>
      </w:r>
      <w:r>
        <w:rPr>
          <w:color w:val="231F20"/>
        </w:rPr>
        <w:t>, à condition que ces critères soient calculés sur base simple,</w:t>
      </w:r>
      <w:r>
        <w:rPr>
          <w:color w:val="231F20"/>
          <w:spacing w:val="14"/>
        </w:rPr>
        <w:t> </w:t>
      </w:r>
      <w:r>
        <w:rPr>
          <w:color w:val="231F20"/>
        </w:rPr>
        <w:t>à</w:t>
      </w:r>
      <w:r>
        <w:rPr>
          <w:color w:val="231F20"/>
          <w:spacing w:val="14"/>
        </w:rPr>
        <w:t> </w:t>
      </w:r>
      <w:r>
        <w:rPr>
          <w:color w:val="231F20"/>
        </w:rPr>
        <w:t>moins</w:t>
      </w:r>
      <w:r>
        <w:rPr>
          <w:color w:val="231F20"/>
          <w:spacing w:val="14"/>
        </w:rPr>
        <w:t> </w:t>
      </w:r>
      <w:r>
        <w:rPr>
          <w:color w:val="231F20"/>
        </w:rPr>
        <w:t>que</w:t>
      </w:r>
      <w:r>
        <w:rPr>
          <w:color w:val="231F20"/>
          <w:spacing w:val="14"/>
        </w:rPr>
        <w:t> </w:t>
      </w:r>
      <w:r>
        <w:rPr>
          <w:color w:val="231F20"/>
        </w:rPr>
        <w:t>cette</w:t>
      </w:r>
      <w:r>
        <w:rPr>
          <w:color w:val="231F20"/>
          <w:spacing w:val="14"/>
        </w:rPr>
        <w:t> </w:t>
      </w:r>
      <w:r>
        <w:rPr>
          <w:color w:val="231F20"/>
        </w:rPr>
        <w:t>société</w:t>
      </w:r>
      <w:r>
        <w:rPr>
          <w:color w:val="231F20"/>
          <w:spacing w:val="14"/>
        </w:rPr>
        <w:t> </w:t>
      </w:r>
      <w:r>
        <w:rPr>
          <w:color w:val="231F20"/>
        </w:rPr>
        <w:t>ne</w:t>
      </w:r>
      <w:r>
        <w:rPr>
          <w:color w:val="231F20"/>
          <w:spacing w:val="14"/>
        </w:rPr>
        <w:t> </w:t>
      </w:r>
      <w:r>
        <w:rPr>
          <w:color w:val="231F20"/>
        </w:rPr>
        <w:t>soit</w:t>
      </w:r>
      <w:r>
        <w:rPr>
          <w:color w:val="231F20"/>
          <w:spacing w:val="14"/>
        </w:rPr>
        <w:t> </w:t>
      </w:r>
      <w:r>
        <w:rPr>
          <w:color w:val="231F20"/>
        </w:rPr>
        <w:t>une</w:t>
      </w:r>
      <w:r>
        <w:rPr>
          <w:color w:val="231F20"/>
          <w:spacing w:val="14"/>
        </w:rPr>
        <w:t> </w:t>
      </w:r>
      <w:r>
        <w:rPr>
          <w:color w:val="231F20"/>
        </w:rPr>
        <w:t>société</w:t>
      </w:r>
      <w:r>
        <w:rPr>
          <w:color w:val="231F20"/>
          <w:spacing w:val="14"/>
        </w:rPr>
        <w:t> </w:t>
      </w:r>
      <w:r>
        <w:rPr>
          <w:color w:val="231F20"/>
        </w:rPr>
        <w:t>mère.</w:t>
      </w:r>
    </w:p>
    <w:p>
      <w:pPr>
        <w:pStyle w:val="BodyText"/>
        <w:spacing w:before="2"/>
        <w:ind w:left="0" w:right="0" w:firstLine="0"/>
        <w:jc w:val="left"/>
        <w:rPr>
          <w:sz w:val="23"/>
        </w:rPr>
      </w:pPr>
    </w:p>
    <w:p>
      <w:pPr>
        <w:pStyle w:val="BodyText"/>
        <w:spacing w:line="211" w:lineRule="auto"/>
        <w:ind w:right="38"/>
      </w:pPr>
      <w:r>
        <w:rPr>
          <w:color w:val="231F20"/>
        </w:rPr>
        <w:t>Le Roi peut, par un arrêté délibéré en Conseil des ministres, désigner un code de gouvernement d’entreprise qui s’appliquera obligatoire- ment, de la manière prévue à l’alinéa 1</w:t>
      </w:r>
      <w:r>
        <w:rPr>
          <w:color w:val="231F20"/>
          <w:position w:val="7"/>
          <w:sz w:val="11"/>
        </w:rPr>
        <w:t>er</w:t>
      </w:r>
      <w:r>
        <w:rPr>
          <w:color w:val="231F20"/>
        </w:rPr>
        <w:t>, 1°.</w:t>
      </w:r>
    </w:p>
    <w:p>
      <w:pPr>
        <w:pStyle w:val="BodyText"/>
        <w:spacing w:line="218" w:lineRule="auto" w:before="83"/>
        <w:ind w:right="38"/>
      </w:pPr>
      <w:r>
        <w:rPr>
          <w:color w:val="231F20"/>
        </w:rPr>
        <w:t>§ 3. Pour les sociétés cotées, la déclaration de gouvernement d’entreprise visée au paragraphe 2 comprend également le rapport de rémunération, qui en constitue une section spécifique.</w:t>
      </w:r>
    </w:p>
    <w:p>
      <w:pPr>
        <w:pStyle w:val="BodyText"/>
        <w:spacing w:line="218" w:lineRule="auto" w:before="86"/>
        <w:ind w:right="38"/>
      </w:pPr>
      <w:r>
        <w:rPr>
          <w:color w:val="231F20"/>
        </w:rPr>
        <w:t>Ce rapport de rémunération contient au moins les informations suivantes:</w:t>
      </w:r>
    </w:p>
    <w:p>
      <w:pPr>
        <w:pStyle w:val="BodyText"/>
        <w:spacing w:line="218" w:lineRule="auto" w:before="85"/>
        <w:ind w:right="38"/>
      </w:pPr>
      <w:r>
        <w:rPr>
          <w:color w:val="231F20"/>
        </w:rPr>
        <w:t>1° une description de la procédure adoptée pendant l’exercice social faisant l’objet du rapport, pour (i) élaborer une politique relative à la rémunération des administrateurs, des membres du conseil de direc- tion et du conseil de surveillance, des autres dirigeants et des délégués à la gestion journalière de la société, ainsi que pour (ii) fixer la rémunération individuelle des administrateurs, des membres du conseil de direction et du conseil de surveillance, des autres dirigeants et</w:t>
      </w:r>
      <w:r>
        <w:rPr>
          <w:color w:val="231F20"/>
          <w:spacing w:val="14"/>
        </w:rPr>
        <w:t> </w:t>
      </w:r>
      <w:r>
        <w:rPr>
          <w:color w:val="231F20"/>
        </w:rPr>
        <w:t>des</w:t>
      </w:r>
      <w:r>
        <w:rPr>
          <w:color w:val="231F20"/>
          <w:spacing w:val="15"/>
        </w:rPr>
        <w:t> </w:t>
      </w:r>
      <w:r>
        <w:rPr>
          <w:color w:val="231F20"/>
        </w:rPr>
        <w:t>délégués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gestion</w:t>
      </w:r>
      <w:r>
        <w:rPr>
          <w:color w:val="231F20"/>
          <w:spacing w:val="15"/>
        </w:rPr>
        <w:t> </w:t>
      </w:r>
      <w:r>
        <w:rPr>
          <w:color w:val="231F20"/>
        </w:rPr>
        <w:t>journalière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86"/>
        <w:ind w:right="38"/>
      </w:pPr>
      <w:r>
        <w:rPr>
          <w:color w:val="231F20"/>
        </w:rPr>
        <w:t>2° une déclaration sur la politique de rémunération des membres du conseil d’administration ou, le cas échéant, des membres du conseil de surveillance et du conseil de direction, des autres dirigeants et des délégués à la gestion journalière de la société adoptée pendant l’exercice social faisant l’objet du rapport de gestion, qui contient au moins les informations</w:t>
      </w:r>
      <w:r>
        <w:rPr>
          <w:color w:val="231F20"/>
          <w:spacing w:val="3"/>
        </w:rPr>
        <w:t> </w:t>
      </w:r>
      <w:r>
        <w:rPr>
          <w:color w:val="231F20"/>
        </w:rPr>
        <w:t>suivantes:</w:t>
      </w:r>
    </w:p>
    <w:p>
      <w:pPr>
        <w:pStyle w:val="ListParagraph"/>
        <w:numPr>
          <w:ilvl w:val="0"/>
          <w:numId w:val="52"/>
        </w:numPr>
        <w:tabs>
          <w:tab w:pos="492" w:val="left" w:leader="none"/>
        </w:tabs>
        <w:spacing w:line="218" w:lineRule="auto" w:before="84" w:after="0"/>
        <w:ind w:left="113" w:right="38" w:firstLine="170"/>
        <w:jc w:val="both"/>
        <w:rPr>
          <w:sz w:val="17"/>
        </w:rPr>
      </w:pPr>
      <w:r>
        <w:rPr>
          <w:color w:val="231F20"/>
          <w:sz w:val="17"/>
        </w:rPr>
        <w:t>les principes de base de la rémunération, avec indication de la relation entre rémunération et</w:t>
      </w:r>
      <w:r>
        <w:rPr>
          <w:color w:val="231F20"/>
          <w:spacing w:val="14"/>
          <w:sz w:val="17"/>
        </w:rPr>
        <w:t> </w:t>
      </w:r>
      <w:r>
        <w:rPr>
          <w:color w:val="231F20"/>
          <w:sz w:val="17"/>
        </w:rPr>
        <w:t>prestations;</w:t>
      </w:r>
    </w:p>
    <w:p>
      <w:pPr>
        <w:pStyle w:val="ListParagraph"/>
        <w:numPr>
          <w:ilvl w:val="0"/>
          <w:numId w:val="52"/>
        </w:numPr>
        <w:tabs>
          <w:tab w:pos="470" w:val="left" w:leader="none"/>
        </w:tabs>
        <w:spacing w:line="218" w:lineRule="auto" w:before="82" w:after="0"/>
        <w:ind w:left="113" w:right="38" w:firstLine="170"/>
        <w:jc w:val="both"/>
        <w:rPr>
          <w:sz w:val="17"/>
        </w:rPr>
      </w:pPr>
      <w:r>
        <w:rPr>
          <w:color w:val="231F20"/>
          <w:sz w:val="17"/>
        </w:rPr>
        <w:t>l’importance relative des différentes composantes de la rémunéra- tion;</w:t>
      </w:r>
    </w:p>
    <w:p>
      <w:pPr>
        <w:pStyle w:val="ListParagraph"/>
        <w:numPr>
          <w:ilvl w:val="0"/>
          <w:numId w:val="52"/>
        </w:numPr>
        <w:tabs>
          <w:tab w:pos="449" w:val="left" w:leader="none"/>
        </w:tabs>
        <w:spacing w:line="218" w:lineRule="auto" w:before="83" w:after="0"/>
        <w:ind w:left="113" w:right="38" w:firstLine="170"/>
        <w:jc w:val="both"/>
        <w:rPr>
          <w:sz w:val="17"/>
        </w:rPr>
      </w:pPr>
      <w:r>
        <w:rPr>
          <w:color w:val="231F20"/>
          <w:sz w:val="17"/>
        </w:rPr>
        <w:t>les</w:t>
      </w:r>
      <w:r>
        <w:rPr>
          <w:color w:val="231F20"/>
          <w:spacing w:val="-5"/>
          <w:sz w:val="17"/>
        </w:rPr>
        <w:t> </w:t>
      </w:r>
      <w:r>
        <w:rPr>
          <w:color w:val="231F20"/>
          <w:sz w:val="17"/>
        </w:rPr>
        <w:t>caractéristiques</w:t>
      </w:r>
      <w:r>
        <w:rPr>
          <w:color w:val="231F20"/>
          <w:spacing w:val="-4"/>
          <w:sz w:val="17"/>
        </w:rPr>
        <w:t> </w:t>
      </w:r>
      <w:r>
        <w:rPr>
          <w:color w:val="231F20"/>
          <w:sz w:val="17"/>
        </w:rPr>
        <w:t>des</w:t>
      </w:r>
      <w:r>
        <w:rPr>
          <w:color w:val="231F20"/>
          <w:spacing w:val="-5"/>
          <w:sz w:val="17"/>
        </w:rPr>
        <w:t> </w:t>
      </w:r>
      <w:r>
        <w:rPr>
          <w:color w:val="231F20"/>
          <w:sz w:val="17"/>
        </w:rPr>
        <w:t>primes</w:t>
      </w:r>
      <w:r>
        <w:rPr>
          <w:color w:val="231F20"/>
          <w:spacing w:val="-4"/>
          <w:sz w:val="17"/>
        </w:rPr>
        <w:t> </w:t>
      </w:r>
      <w:r>
        <w:rPr>
          <w:color w:val="231F20"/>
          <w:sz w:val="17"/>
        </w:rPr>
        <w:t>de</w:t>
      </w:r>
      <w:r>
        <w:rPr>
          <w:color w:val="231F20"/>
          <w:spacing w:val="-5"/>
          <w:sz w:val="17"/>
        </w:rPr>
        <w:t> </w:t>
      </w:r>
      <w:r>
        <w:rPr>
          <w:color w:val="231F20"/>
          <w:sz w:val="17"/>
        </w:rPr>
        <w:t>prestations</w:t>
      </w:r>
      <w:r>
        <w:rPr>
          <w:color w:val="231F20"/>
          <w:spacing w:val="-4"/>
          <w:sz w:val="17"/>
        </w:rPr>
        <w:t> </w:t>
      </w:r>
      <w:r>
        <w:rPr>
          <w:color w:val="231F20"/>
          <w:sz w:val="17"/>
        </w:rPr>
        <w:t>en</w:t>
      </w:r>
      <w:r>
        <w:rPr>
          <w:color w:val="231F20"/>
          <w:spacing w:val="-5"/>
          <w:sz w:val="17"/>
        </w:rPr>
        <w:t> </w:t>
      </w:r>
      <w:r>
        <w:rPr>
          <w:color w:val="231F20"/>
          <w:sz w:val="17"/>
        </w:rPr>
        <w:t>actions,</w:t>
      </w:r>
      <w:r>
        <w:rPr>
          <w:color w:val="231F20"/>
          <w:spacing w:val="-4"/>
          <w:sz w:val="17"/>
        </w:rPr>
        <w:t> </w:t>
      </w:r>
      <w:r>
        <w:rPr>
          <w:color w:val="231F20"/>
          <w:sz w:val="17"/>
        </w:rPr>
        <w:t>options</w:t>
      </w:r>
      <w:r>
        <w:rPr>
          <w:color w:val="231F20"/>
          <w:spacing w:val="-4"/>
          <w:sz w:val="17"/>
        </w:rPr>
        <w:t> </w:t>
      </w:r>
      <w:r>
        <w:rPr>
          <w:color w:val="231F20"/>
          <w:sz w:val="17"/>
        </w:rPr>
        <w:t>ou autres droits d’acquérir des</w:t>
      </w:r>
      <w:r>
        <w:rPr>
          <w:color w:val="231F20"/>
          <w:spacing w:val="18"/>
          <w:sz w:val="17"/>
        </w:rPr>
        <w:t> </w:t>
      </w:r>
      <w:r>
        <w:rPr>
          <w:color w:val="231F20"/>
          <w:sz w:val="17"/>
        </w:rPr>
        <w:t>actions;</w:t>
      </w:r>
    </w:p>
    <w:p>
      <w:pPr>
        <w:pStyle w:val="ListParagraph"/>
        <w:numPr>
          <w:ilvl w:val="0"/>
          <w:numId w:val="52"/>
        </w:numPr>
        <w:tabs>
          <w:tab w:pos="487" w:val="left" w:leader="none"/>
        </w:tabs>
        <w:spacing w:line="218" w:lineRule="auto" w:before="83" w:after="0"/>
        <w:ind w:left="113" w:right="38" w:firstLine="170"/>
        <w:jc w:val="both"/>
        <w:rPr>
          <w:sz w:val="17"/>
        </w:rPr>
      </w:pPr>
      <w:r>
        <w:rPr>
          <w:color w:val="231F20"/>
          <w:sz w:val="17"/>
        </w:rPr>
        <w:t>des informations sur la politique de rémunération pour les deux exercices sociaux</w:t>
      </w:r>
      <w:r>
        <w:rPr>
          <w:color w:val="231F20"/>
          <w:spacing w:val="-11"/>
          <w:sz w:val="17"/>
        </w:rPr>
        <w:t> </w:t>
      </w:r>
      <w:r>
        <w:rPr>
          <w:color w:val="231F20"/>
          <w:sz w:val="17"/>
        </w:rPr>
        <w:t>suivants.</w:t>
      </w:r>
    </w:p>
    <w:p>
      <w:pPr>
        <w:pStyle w:val="BodyText"/>
        <w:spacing w:line="218" w:lineRule="auto" w:before="85"/>
        <w:ind w:right="38"/>
      </w:pPr>
      <w:r>
        <w:rPr>
          <w:color w:val="231F20"/>
        </w:rPr>
        <w:t>En cas de modification importante de la politique de rémunération par rapport à l’exercice social faisant l’objet du rapport, elle doit être particulièrement mise en évidence;</w:t>
      </w:r>
    </w:p>
    <w:p>
      <w:pPr>
        <w:pStyle w:val="BodyText"/>
        <w:spacing w:line="218" w:lineRule="auto" w:before="97"/>
        <w:ind w:right="38"/>
      </w:pPr>
      <w:r>
        <w:rPr>
          <w:color w:val="231F20"/>
        </w:rPr>
        <w:t>3° sur une base individuelle, le montant des rémunérations et autres avantages accordés directement ou indirectement aux administrateurs non exécutifs par la société ou une société qui fait partie du périmètre de consolidation de cette société;</w:t>
      </w:r>
    </w:p>
    <w:p>
      <w:pPr>
        <w:pStyle w:val="BodyText"/>
        <w:spacing w:line="218" w:lineRule="auto" w:before="96"/>
        <w:ind w:right="38"/>
      </w:pPr>
      <w:r>
        <w:rPr>
          <w:color w:val="231F20"/>
        </w:rPr>
        <w:t>4° si certains autres dirigeants ou certains délégués à la gestion journalière font également partie du conseil d’administration, des informations sur le montant des rémunérations qu’ils ont reçues en cette qualité;</w:t>
      </w:r>
    </w:p>
    <w:p>
      <w:pPr>
        <w:pStyle w:val="BodyText"/>
        <w:spacing w:line="218" w:lineRule="auto" w:before="96"/>
        <w:ind w:right="38"/>
      </w:pPr>
      <w:r>
        <w:rPr>
          <w:color w:val="231F20"/>
        </w:rPr>
        <w:t>5° dans le cas où les administrateurs exécutifs, les membres du conseil de direction, les autres dirigeants ou les délégués à la gestion journalière entrent en ligne de compte pour toucher des rémunérations liées aux prestations de la société ou d’une société qui fait partie de son périmètre de consolidation, aux prestations de l’unité d’exploitation ou</w:t>
      </w:r>
    </w:p>
    <w:p>
      <w:pPr>
        <w:pStyle w:val="BodyText"/>
        <w:spacing w:before="105"/>
        <w:ind w:left="283" w:right="0" w:firstLine="0"/>
        <w:jc w:val="left"/>
      </w:pPr>
      <w:r>
        <w:rPr/>
        <w:br w:type="column"/>
      </w:r>
      <w:r>
        <w:rPr>
          <w:color w:val="231F20"/>
        </w:rPr>
        <w:t>6° een beschrijving van:</w:t>
      </w:r>
    </w:p>
    <w:p>
      <w:pPr>
        <w:pStyle w:val="ListParagraph"/>
        <w:numPr>
          <w:ilvl w:val="0"/>
          <w:numId w:val="53"/>
        </w:numPr>
        <w:tabs>
          <w:tab w:pos="456" w:val="left" w:leader="none"/>
        </w:tabs>
        <w:spacing w:line="218" w:lineRule="auto" w:before="80" w:after="0"/>
        <w:ind w:left="113" w:right="124" w:firstLine="170"/>
        <w:jc w:val="both"/>
        <w:rPr>
          <w:sz w:val="17"/>
        </w:rPr>
      </w:pPr>
      <w:r>
        <w:rPr>
          <w:color w:val="231F20"/>
          <w:sz w:val="17"/>
        </w:rPr>
        <w:t>het diversiteitsbeleid dat de vennootschap voert met betrekking tot de leden van de raad van bestuur, of, in voorkomend geval, de raad van toezicht en de directieraad, de personen belast met de leiding en de personen</w:t>
      </w:r>
      <w:r>
        <w:rPr>
          <w:color w:val="231F20"/>
          <w:spacing w:val="16"/>
          <w:sz w:val="17"/>
        </w:rPr>
        <w:t> </w:t>
      </w:r>
      <w:r>
        <w:rPr>
          <w:color w:val="231F20"/>
          <w:sz w:val="17"/>
        </w:rPr>
        <w:t>belast</w:t>
      </w:r>
      <w:r>
        <w:rPr>
          <w:color w:val="231F20"/>
          <w:spacing w:val="16"/>
          <w:sz w:val="17"/>
        </w:rPr>
        <w:t> </w:t>
      </w:r>
      <w:r>
        <w:rPr>
          <w:color w:val="231F20"/>
          <w:sz w:val="17"/>
        </w:rPr>
        <w:t>met</w:t>
      </w:r>
      <w:r>
        <w:rPr>
          <w:color w:val="231F20"/>
          <w:spacing w:val="16"/>
          <w:sz w:val="17"/>
        </w:rPr>
        <w:t> </w:t>
      </w:r>
      <w:r>
        <w:rPr>
          <w:color w:val="231F20"/>
          <w:sz w:val="17"/>
        </w:rPr>
        <w:t>het</w:t>
      </w:r>
      <w:r>
        <w:rPr>
          <w:color w:val="231F20"/>
          <w:spacing w:val="16"/>
          <w:sz w:val="17"/>
        </w:rPr>
        <w:t> </w:t>
      </w:r>
      <w:r>
        <w:rPr>
          <w:color w:val="231F20"/>
          <w:sz w:val="17"/>
        </w:rPr>
        <w:t>dagelijks</w:t>
      </w:r>
      <w:r>
        <w:rPr>
          <w:color w:val="231F20"/>
          <w:spacing w:val="16"/>
          <w:sz w:val="17"/>
        </w:rPr>
        <w:t> </w:t>
      </w:r>
      <w:r>
        <w:rPr>
          <w:color w:val="231F20"/>
          <w:sz w:val="17"/>
        </w:rPr>
        <w:t>bestuur</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vennootschap;</w:t>
      </w:r>
    </w:p>
    <w:p>
      <w:pPr>
        <w:pStyle w:val="ListParagraph"/>
        <w:numPr>
          <w:ilvl w:val="0"/>
          <w:numId w:val="53"/>
        </w:numPr>
        <w:tabs>
          <w:tab w:pos="477" w:val="left" w:leader="none"/>
        </w:tabs>
        <w:spacing w:line="240" w:lineRule="auto" w:before="69" w:after="0"/>
        <w:ind w:left="476" w:right="0" w:hanging="193"/>
        <w:jc w:val="left"/>
        <w:rPr>
          <w:sz w:val="17"/>
        </w:rPr>
      </w:pPr>
      <w:r>
        <w:rPr>
          <w:color w:val="231F20"/>
          <w:sz w:val="17"/>
        </w:rPr>
        <w:t>de doelstellingen van dit</w:t>
      </w:r>
      <w:r>
        <w:rPr>
          <w:color w:val="231F20"/>
          <w:spacing w:val="22"/>
          <w:sz w:val="17"/>
        </w:rPr>
        <w:t> </w:t>
      </w:r>
      <w:r>
        <w:rPr>
          <w:color w:val="231F20"/>
          <w:sz w:val="17"/>
        </w:rPr>
        <w:t>diversiteitsbeleid;</w:t>
      </w:r>
    </w:p>
    <w:p>
      <w:pPr>
        <w:pStyle w:val="ListParagraph"/>
        <w:numPr>
          <w:ilvl w:val="0"/>
          <w:numId w:val="53"/>
        </w:numPr>
        <w:tabs>
          <w:tab w:pos="467" w:val="left" w:leader="none"/>
        </w:tabs>
        <w:spacing w:line="240" w:lineRule="auto" w:before="65" w:after="0"/>
        <w:ind w:left="466" w:right="0" w:hanging="183"/>
        <w:jc w:val="left"/>
        <w:rPr>
          <w:sz w:val="17"/>
        </w:rPr>
      </w:pPr>
      <w:r>
        <w:rPr>
          <w:color w:val="231F20"/>
          <w:w w:val="105"/>
          <w:sz w:val="17"/>
        </w:rPr>
        <w:t>de wijze van tenuitvoerlegging van dit</w:t>
      </w:r>
      <w:r>
        <w:rPr>
          <w:color w:val="231F20"/>
          <w:spacing w:val="-7"/>
          <w:w w:val="105"/>
          <w:sz w:val="17"/>
        </w:rPr>
        <w:t> </w:t>
      </w:r>
      <w:r>
        <w:rPr>
          <w:color w:val="231F20"/>
          <w:w w:val="105"/>
          <w:sz w:val="17"/>
        </w:rPr>
        <w:t>beleid;</w:t>
      </w:r>
    </w:p>
    <w:p>
      <w:pPr>
        <w:pStyle w:val="ListParagraph"/>
        <w:numPr>
          <w:ilvl w:val="0"/>
          <w:numId w:val="53"/>
        </w:numPr>
        <w:tabs>
          <w:tab w:pos="483" w:val="left" w:leader="none"/>
        </w:tabs>
        <w:spacing w:line="240" w:lineRule="auto" w:before="65" w:after="0"/>
        <w:ind w:left="482" w:right="0" w:hanging="199"/>
        <w:jc w:val="left"/>
        <w:rPr>
          <w:sz w:val="17"/>
        </w:rPr>
      </w:pPr>
      <w:r>
        <w:rPr>
          <w:color w:val="231F20"/>
          <w:sz w:val="17"/>
        </w:rPr>
        <w:t>de</w:t>
      </w:r>
      <w:r>
        <w:rPr>
          <w:color w:val="231F20"/>
          <w:spacing w:val="14"/>
          <w:sz w:val="17"/>
        </w:rPr>
        <w:t> </w:t>
      </w:r>
      <w:r>
        <w:rPr>
          <w:color w:val="231F20"/>
          <w:sz w:val="17"/>
        </w:rPr>
        <w:t>resultaten</w:t>
      </w:r>
      <w:r>
        <w:rPr>
          <w:color w:val="231F20"/>
          <w:spacing w:val="15"/>
          <w:sz w:val="17"/>
        </w:rPr>
        <w:t> </w:t>
      </w:r>
      <w:r>
        <w:rPr>
          <w:color w:val="231F20"/>
          <w:sz w:val="17"/>
        </w:rPr>
        <w:t>van</w:t>
      </w:r>
      <w:r>
        <w:rPr>
          <w:color w:val="231F20"/>
          <w:spacing w:val="14"/>
          <w:sz w:val="17"/>
        </w:rPr>
        <w:t> </w:t>
      </w:r>
      <w:r>
        <w:rPr>
          <w:color w:val="231F20"/>
          <w:sz w:val="17"/>
        </w:rPr>
        <w:t>dit</w:t>
      </w:r>
      <w:r>
        <w:rPr>
          <w:color w:val="231F20"/>
          <w:spacing w:val="15"/>
          <w:sz w:val="17"/>
        </w:rPr>
        <w:t> </w:t>
      </w:r>
      <w:r>
        <w:rPr>
          <w:color w:val="231F20"/>
          <w:sz w:val="17"/>
        </w:rPr>
        <w:t>beleid</w:t>
      </w:r>
      <w:r>
        <w:rPr>
          <w:color w:val="231F20"/>
          <w:spacing w:val="15"/>
          <w:sz w:val="17"/>
        </w:rPr>
        <w:t> </w:t>
      </w:r>
      <w:r>
        <w:rPr>
          <w:color w:val="231F20"/>
          <w:sz w:val="17"/>
        </w:rPr>
        <w:t>over</w:t>
      </w:r>
      <w:r>
        <w:rPr>
          <w:color w:val="231F20"/>
          <w:spacing w:val="14"/>
          <w:sz w:val="17"/>
        </w:rPr>
        <w:t> </w:t>
      </w:r>
      <w:r>
        <w:rPr>
          <w:color w:val="231F20"/>
          <w:sz w:val="17"/>
        </w:rPr>
        <w:t>het</w:t>
      </w:r>
      <w:r>
        <w:rPr>
          <w:color w:val="231F20"/>
          <w:spacing w:val="15"/>
          <w:sz w:val="17"/>
        </w:rPr>
        <w:t> </w:t>
      </w:r>
      <w:r>
        <w:rPr>
          <w:color w:val="231F20"/>
          <w:sz w:val="17"/>
        </w:rPr>
        <w:t>boekjaar.</w:t>
      </w:r>
    </w:p>
    <w:p>
      <w:pPr>
        <w:pStyle w:val="BodyText"/>
        <w:spacing w:line="218" w:lineRule="auto" w:before="82"/>
      </w:pPr>
      <w:r>
        <w:rPr>
          <w:color w:val="231F20"/>
        </w:rPr>
        <w:t>Indien de vennootschap geen diversiteitsbeleid voert, zet zij in de verklaring uiteen waarom dit het geval is.</w:t>
      </w:r>
    </w:p>
    <w:p>
      <w:pPr>
        <w:pStyle w:val="BodyText"/>
        <w:spacing w:line="218" w:lineRule="auto" w:before="85"/>
      </w:pPr>
      <w:r>
        <w:rPr>
          <w:color w:val="231F20"/>
        </w:rPr>
        <w:t>De beschrijving bevat tevens een overzicht van de ondernomen inspanningen om er voor te zorgen dat ten minste één derde van de leden van de raad van bestuur of, in voorkomend geval, van de raad  van</w:t>
      </w:r>
      <w:r>
        <w:rPr>
          <w:color w:val="231F20"/>
          <w:spacing w:val="19"/>
        </w:rPr>
        <w:t> </w:t>
      </w:r>
      <w:r>
        <w:rPr>
          <w:color w:val="231F20"/>
        </w:rPr>
        <w:t>toezicht,</w:t>
      </w:r>
      <w:r>
        <w:rPr>
          <w:color w:val="231F20"/>
          <w:spacing w:val="20"/>
        </w:rPr>
        <w:t> </w:t>
      </w:r>
      <w:r>
        <w:rPr>
          <w:color w:val="231F20"/>
        </w:rPr>
        <w:t>van</w:t>
      </w:r>
      <w:r>
        <w:rPr>
          <w:color w:val="231F20"/>
          <w:spacing w:val="20"/>
        </w:rPr>
        <w:t> </w:t>
      </w:r>
      <w:r>
        <w:rPr>
          <w:color w:val="231F20"/>
        </w:rPr>
        <w:t>een</w:t>
      </w:r>
      <w:r>
        <w:rPr>
          <w:color w:val="231F20"/>
          <w:spacing w:val="19"/>
        </w:rPr>
        <w:t> </w:t>
      </w:r>
      <w:r>
        <w:rPr>
          <w:color w:val="231F20"/>
        </w:rPr>
        <w:t>ander</w:t>
      </w:r>
      <w:r>
        <w:rPr>
          <w:color w:val="231F20"/>
          <w:spacing w:val="20"/>
        </w:rPr>
        <w:t> </w:t>
      </w:r>
      <w:r>
        <w:rPr>
          <w:color w:val="231F20"/>
        </w:rPr>
        <w:t>geslacht</w:t>
      </w:r>
      <w:r>
        <w:rPr>
          <w:color w:val="231F20"/>
          <w:spacing w:val="20"/>
        </w:rPr>
        <w:t> </w:t>
      </w:r>
      <w:r>
        <w:rPr>
          <w:color w:val="231F20"/>
        </w:rPr>
        <w:t>is</w:t>
      </w:r>
      <w:r>
        <w:rPr>
          <w:color w:val="231F20"/>
          <w:spacing w:val="19"/>
        </w:rPr>
        <w:t> </w:t>
      </w:r>
      <w:r>
        <w:rPr>
          <w:color w:val="231F20"/>
        </w:rPr>
        <w:t>dan</w:t>
      </w:r>
      <w:r>
        <w:rPr>
          <w:color w:val="231F20"/>
          <w:spacing w:val="20"/>
        </w:rPr>
        <w:t> </w:t>
      </w:r>
      <w:r>
        <w:rPr>
          <w:color w:val="231F20"/>
        </w:rPr>
        <w:t>dat</w:t>
      </w:r>
      <w:r>
        <w:rPr>
          <w:color w:val="231F20"/>
          <w:spacing w:val="20"/>
        </w:rPr>
        <w:t> </w:t>
      </w:r>
      <w:r>
        <w:rPr>
          <w:color w:val="231F20"/>
        </w:rPr>
        <w:t>van</w:t>
      </w:r>
      <w:r>
        <w:rPr>
          <w:color w:val="231F20"/>
          <w:spacing w:val="19"/>
        </w:rPr>
        <w:t> </w:t>
      </w:r>
      <w:r>
        <w:rPr>
          <w:color w:val="231F20"/>
        </w:rPr>
        <w:t>de</w:t>
      </w:r>
      <w:r>
        <w:rPr>
          <w:color w:val="231F20"/>
          <w:spacing w:val="20"/>
        </w:rPr>
        <w:t> </w:t>
      </w:r>
      <w:r>
        <w:rPr>
          <w:color w:val="231F20"/>
        </w:rPr>
        <w:t>overige</w:t>
      </w:r>
      <w:r>
        <w:rPr>
          <w:color w:val="231F20"/>
          <w:spacing w:val="20"/>
        </w:rPr>
        <w:t> </w:t>
      </w:r>
      <w:r>
        <w:rPr>
          <w:color w:val="231F20"/>
        </w:rPr>
        <w:t>leden;</w:t>
      </w:r>
    </w:p>
    <w:p>
      <w:pPr>
        <w:pStyle w:val="BodyText"/>
        <w:spacing w:line="218" w:lineRule="auto" w:before="86"/>
      </w:pPr>
      <w:r>
        <w:rPr>
          <w:color w:val="231F20"/>
        </w:rPr>
        <w:t>7° de informatie die erin moet  worden  opgenomen </w:t>
      </w:r>
      <w:r>
        <w:rPr>
          <w:color w:val="231F20"/>
          <w:spacing w:val="25"/>
        </w:rPr>
        <w:t> </w:t>
      </w:r>
      <w:r>
        <w:rPr>
          <w:color w:val="231F20"/>
        </w:rPr>
        <w:t>krachtens artikel 34 van het koninklijk besluit van 14 november 2007 betreffende de verplichtingen van emittenten van financiële instrumenten die zijn toegelaten</w:t>
      </w:r>
      <w:r>
        <w:rPr>
          <w:color w:val="231F20"/>
          <w:spacing w:val="16"/>
        </w:rPr>
        <w:t> </w:t>
      </w:r>
      <w:r>
        <w:rPr>
          <w:color w:val="231F20"/>
        </w:rPr>
        <w:t>tot</w:t>
      </w:r>
      <w:r>
        <w:rPr>
          <w:color w:val="231F20"/>
          <w:spacing w:val="16"/>
        </w:rPr>
        <w:t> </w:t>
      </w:r>
      <w:r>
        <w:rPr>
          <w:color w:val="231F20"/>
        </w:rPr>
        <w:t>de</w:t>
      </w:r>
      <w:r>
        <w:rPr>
          <w:color w:val="231F20"/>
          <w:spacing w:val="16"/>
        </w:rPr>
        <w:t> </w:t>
      </w:r>
      <w:r>
        <w:rPr>
          <w:color w:val="231F20"/>
        </w:rPr>
        <w:t>verhandeling</w:t>
      </w:r>
      <w:r>
        <w:rPr>
          <w:color w:val="231F20"/>
          <w:spacing w:val="16"/>
        </w:rPr>
        <w:t> </w:t>
      </w:r>
      <w:r>
        <w:rPr>
          <w:color w:val="231F20"/>
        </w:rPr>
        <w:t>op</w:t>
      </w:r>
      <w:r>
        <w:rPr>
          <w:color w:val="231F20"/>
          <w:spacing w:val="16"/>
        </w:rPr>
        <w:t> </w:t>
      </w:r>
      <w:r>
        <w:rPr>
          <w:color w:val="231F20"/>
        </w:rPr>
        <w:t>een</w:t>
      </w:r>
      <w:r>
        <w:rPr>
          <w:color w:val="231F20"/>
          <w:spacing w:val="16"/>
        </w:rPr>
        <w:t> </w:t>
      </w:r>
      <w:r>
        <w:rPr>
          <w:color w:val="231F20"/>
        </w:rPr>
        <w:t>gereglementeerde</w:t>
      </w:r>
      <w:r>
        <w:rPr>
          <w:color w:val="231F20"/>
          <w:spacing w:val="16"/>
        </w:rPr>
        <w:t> </w:t>
      </w:r>
      <w:r>
        <w:rPr>
          <w:color w:val="231F20"/>
        </w:rPr>
        <w:t>markt;</w:t>
      </w:r>
    </w:p>
    <w:p>
      <w:pPr>
        <w:pStyle w:val="BodyText"/>
        <w:spacing w:line="218" w:lineRule="auto" w:before="86"/>
      </w:pPr>
      <w:r>
        <w:rPr>
          <w:color w:val="231F20"/>
        </w:rPr>
        <w:t>8° de informatie die erin moet worden  opgenomen  krachtens  artikel 74, § 7, van de wet van 1 april 2007 op de openbare overnamebiedingen.</w:t>
      </w:r>
    </w:p>
    <w:p>
      <w:pPr>
        <w:pStyle w:val="BodyText"/>
        <w:spacing w:line="218" w:lineRule="auto" w:before="85"/>
        <w:ind w:right="126"/>
      </w:pPr>
      <w:r>
        <w:rPr>
          <w:color w:val="231F20"/>
        </w:rPr>
        <w:t>De bepalingen onder 3°, 4° en 6°, zijn ook van toepassing op organisaties van openbaar belang als bedoeld in artikel 1:12, 2°.</w:t>
      </w:r>
    </w:p>
    <w:p>
      <w:pPr>
        <w:pStyle w:val="BodyText"/>
        <w:spacing w:line="218" w:lineRule="auto" w:before="86"/>
      </w:pPr>
      <w:r>
        <w:rPr>
          <w:color w:val="231F20"/>
        </w:rPr>
        <w:t>De bepaling onder 6°, het tweede en derde lid is niet van toepassing voor de vennootschappen die meer dan één van de in artikel 1:26, § 1, vermelde criteria overschrijden, met dien verstande dat deze criteria worden berekend op enkelvoudige basis, tenzij deze vennootschap een moedervennootschap is.</w:t>
      </w:r>
    </w:p>
    <w:p>
      <w:pPr>
        <w:pStyle w:val="BodyText"/>
        <w:spacing w:line="218" w:lineRule="auto" w:before="85"/>
      </w:pPr>
      <w:r>
        <w:rPr>
          <w:color w:val="231F20"/>
        </w:rPr>
        <w:t>De Koning kan, bij een besluit vastgesteld na overleg in de Ministerraad, een code voor deugdelijk bestuur aanduiden die ver- plicht van toepassing is op de in het eerste lid, 1°, bedoelde wijze.</w:t>
      </w:r>
    </w:p>
    <w:p>
      <w:pPr>
        <w:pStyle w:val="BodyText"/>
        <w:spacing w:line="218" w:lineRule="auto" w:before="86"/>
      </w:pPr>
      <w:r>
        <w:rPr>
          <w:color w:val="231F20"/>
        </w:rPr>
        <w:t>§ 3. Voor genoteerde vennootschappen bevat de verklaring inzake deugdelijk bestuur als bedoeld in paragraaf 2 eveneens het remunera- tieverslag, dat er een specifiek onderdeel van vormt.</w:t>
      </w:r>
    </w:p>
    <w:p>
      <w:pPr>
        <w:pStyle w:val="BodyText"/>
        <w:spacing w:before="71"/>
        <w:ind w:left="283" w:right="0" w:firstLine="0"/>
        <w:jc w:val="left"/>
      </w:pPr>
      <w:r>
        <w:rPr>
          <w:color w:val="231F20"/>
        </w:rPr>
        <w:t>Dit</w:t>
      </w:r>
      <w:r>
        <w:rPr>
          <w:color w:val="231F20"/>
          <w:spacing w:val="18"/>
        </w:rPr>
        <w:t> </w:t>
      </w:r>
      <w:r>
        <w:rPr>
          <w:color w:val="231F20"/>
        </w:rPr>
        <w:t>remuneratieverslag</w:t>
      </w:r>
      <w:r>
        <w:rPr>
          <w:color w:val="231F20"/>
          <w:spacing w:val="19"/>
        </w:rPr>
        <w:t> </w:t>
      </w:r>
      <w:r>
        <w:rPr>
          <w:color w:val="231F20"/>
        </w:rPr>
        <w:t>bevat</w:t>
      </w:r>
      <w:r>
        <w:rPr>
          <w:color w:val="231F20"/>
          <w:spacing w:val="18"/>
        </w:rPr>
        <w:t> </w:t>
      </w:r>
      <w:r>
        <w:rPr>
          <w:color w:val="231F20"/>
        </w:rPr>
        <w:t>ten</w:t>
      </w:r>
      <w:r>
        <w:rPr>
          <w:color w:val="231F20"/>
          <w:spacing w:val="19"/>
        </w:rPr>
        <w:t> </w:t>
      </w:r>
      <w:r>
        <w:rPr>
          <w:color w:val="231F20"/>
        </w:rPr>
        <w:t>minste</w:t>
      </w:r>
      <w:r>
        <w:rPr>
          <w:color w:val="231F20"/>
          <w:spacing w:val="18"/>
        </w:rPr>
        <w:t> </w:t>
      </w:r>
      <w:r>
        <w:rPr>
          <w:color w:val="231F20"/>
        </w:rPr>
        <w:t>de</w:t>
      </w:r>
      <w:r>
        <w:rPr>
          <w:color w:val="231F20"/>
          <w:spacing w:val="19"/>
        </w:rPr>
        <w:t> </w:t>
      </w:r>
      <w:r>
        <w:rPr>
          <w:color w:val="231F20"/>
        </w:rPr>
        <w:t>volgende</w:t>
      </w:r>
      <w:r>
        <w:rPr>
          <w:color w:val="231F20"/>
          <w:spacing w:val="18"/>
        </w:rPr>
        <w:t> </w:t>
      </w:r>
      <w:r>
        <w:rPr>
          <w:color w:val="231F20"/>
        </w:rPr>
        <w:t>informatie:</w:t>
      </w:r>
    </w:p>
    <w:p>
      <w:pPr>
        <w:pStyle w:val="BodyText"/>
        <w:spacing w:before="8"/>
        <w:ind w:left="0" w:right="0" w:firstLine="0"/>
        <w:jc w:val="left"/>
        <w:rPr>
          <w:sz w:val="22"/>
        </w:rPr>
      </w:pPr>
    </w:p>
    <w:p>
      <w:pPr>
        <w:pStyle w:val="BodyText"/>
        <w:spacing w:line="218" w:lineRule="auto"/>
      </w:pPr>
      <w:r>
        <w:rPr>
          <w:color w:val="231F20"/>
        </w:rPr>
        <w:t>1° een beschrijving van de tijdens het door het jaarverslag behan- delde boekjaar gehanteerde procedure om (i) een remuneratiebeleid te ontwikkelen voor de bestuurders, de leden van de directieraad en van de raad van toezicht, de personen belast met de leiding en de personen belast met het dagelijks bestuur van de vennootschap, en (ii) de remuneratie te bepalen van individuele bestuurders, leden van de directieraad en van de raad van toezicht, personen belast met de leiding en</w:t>
      </w:r>
      <w:r>
        <w:rPr>
          <w:color w:val="231F20"/>
          <w:spacing w:val="16"/>
        </w:rPr>
        <w:t> </w:t>
      </w:r>
      <w:r>
        <w:rPr>
          <w:color w:val="231F20"/>
        </w:rPr>
        <w:t>personen</w:t>
      </w:r>
      <w:r>
        <w:rPr>
          <w:color w:val="231F20"/>
          <w:spacing w:val="16"/>
        </w:rPr>
        <w:t> </w:t>
      </w:r>
      <w:r>
        <w:rPr>
          <w:color w:val="231F20"/>
        </w:rPr>
        <w:t>belast</w:t>
      </w:r>
      <w:r>
        <w:rPr>
          <w:color w:val="231F20"/>
          <w:spacing w:val="16"/>
        </w:rPr>
        <w:t> </w:t>
      </w:r>
      <w:r>
        <w:rPr>
          <w:color w:val="231F20"/>
        </w:rPr>
        <w:t>met</w:t>
      </w:r>
      <w:r>
        <w:rPr>
          <w:color w:val="231F20"/>
          <w:spacing w:val="16"/>
        </w:rPr>
        <w:t> </w:t>
      </w:r>
      <w:r>
        <w:rPr>
          <w:color w:val="231F20"/>
        </w:rPr>
        <w:t>het</w:t>
      </w:r>
      <w:r>
        <w:rPr>
          <w:color w:val="231F20"/>
          <w:spacing w:val="16"/>
        </w:rPr>
        <w:t> </w:t>
      </w:r>
      <w:r>
        <w:rPr>
          <w:color w:val="231F20"/>
        </w:rPr>
        <w:t>dagelijks</w:t>
      </w:r>
      <w:r>
        <w:rPr>
          <w:color w:val="231F20"/>
          <w:spacing w:val="16"/>
        </w:rPr>
        <w:t> </w:t>
      </w:r>
      <w:r>
        <w:rPr>
          <w:color w:val="231F20"/>
        </w:rPr>
        <w:t>bestuur</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vennootschap;</w:t>
      </w:r>
    </w:p>
    <w:p>
      <w:pPr>
        <w:pStyle w:val="BodyText"/>
        <w:spacing w:line="218" w:lineRule="auto" w:before="86"/>
      </w:pPr>
      <w:r>
        <w:rPr>
          <w:color w:val="231F20"/>
        </w:rPr>
        <w:t>2° een verklaring over het tijdens het door het jaarverslag</w:t>
      </w:r>
      <w:r>
        <w:rPr>
          <w:color w:val="231F20"/>
          <w:spacing w:val="-15"/>
        </w:rPr>
        <w:t> </w:t>
      </w:r>
      <w:r>
        <w:rPr>
          <w:color w:val="231F20"/>
        </w:rPr>
        <w:t>behandelde boekjaar gehanteerde remuneratiebeleid van de leden van de raad van bestuur of, in voorkomend geval, de leden van de raad van toezicht en van de directieraad, de personen belast met de leiding en de personen belast met het dagelijks bestuur van de vennootschap die ten minste de volgende gegevens</w:t>
      </w:r>
      <w:r>
        <w:rPr>
          <w:color w:val="231F20"/>
          <w:spacing w:val="-10"/>
        </w:rPr>
        <w:t> </w:t>
      </w:r>
      <w:r>
        <w:rPr>
          <w:color w:val="231F20"/>
        </w:rPr>
        <w:t>bevat:</w:t>
      </w:r>
    </w:p>
    <w:p>
      <w:pPr>
        <w:pStyle w:val="ListParagraph"/>
        <w:numPr>
          <w:ilvl w:val="0"/>
          <w:numId w:val="54"/>
        </w:numPr>
        <w:tabs>
          <w:tab w:pos="476" w:val="left" w:leader="none"/>
        </w:tabs>
        <w:spacing w:line="218" w:lineRule="auto" w:before="83" w:after="0"/>
        <w:ind w:left="113" w:right="124" w:firstLine="170"/>
        <w:jc w:val="both"/>
        <w:rPr>
          <w:sz w:val="17"/>
        </w:rPr>
      </w:pPr>
      <w:r>
        <w:rPr>
          <w:color w:val="231F20"/>
          <w:sz w:val="17"/>
        </w:rPr>
        <w:t>de principes waarop de remuneratie was gebaseerd, met aandui- ding</w:t>
      </w:r>
      <w:r>
        <w:rPr>
          <w:color w:val="231F20"/>
          <w:spacing w:val="14"/>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verband</w:t>
      </w:r>
      <w:r>
        <w:rPr>
          <w:color w:val="231F20"/>
          <w:spacing w:val="15"/>
          <w:sz w:val="17"/>
        </w:rPr>
        <w:t> </w:t>
      </w:r>
      <w:r>
        <w:rPr>
          <w:color w:val="231F20"/>
          <w:sz w:val="17"/>
        </w:rPr>
        <w:t>tussen</w:t>
      </w:r>
      <w:r>
        <w:rPr>
          <w:color w:val="231F20"/>
          <w:spacing w:val="15"/>
          <w:sz w:val="17"/>
        </w:rPr>
        <w:t> </w:t>
      </w:r>
      <w:r>
        <w:rPr>
          <w:color w:val="231F20"/>
          <w:sz w:val="17"/>
        </w:rPr>
        <w:t>remuneratie</w:t>
      </w:r>
      <w:r>
        <w:rPr>
          <w:color w:val="231F20"/>
          <w:spacing w:val="15"/>
          <w:sz w:val="17"/>
        </w:rPr>
        <w:t> </w:t>
      </w:r>
      <w:r>
        <w:rPr>
          <w:color w:val="231F20"/>
          <w:sz w:val="17"/>
        </w:rPr>
        <w:t>en</w:t>
      </w:r>
      <w:r>
        <w:rPr>
          <w:color w:val="231F20"/>
          <w:spacing w:val="15"/>
          <w:sz w:val="17"/>
        </w:rPr>
        <w:t> </w:t>
      </w:r>
      <w:r>
        <w:rPr>
          <w:color w:val="231F20"/>
          <w:sz w:val="17"/>
        </w:rPr>
        <w:t>prestaties;</w:t>
      </w:r>
    </w:p>
    <w:p>
      <w:pPr>
        <w:pStyle w:val="ListParagraph"/>
        <w:numPr>
          <w:ilvl w:val="0"/>
          <w:numId w:val="54"/>
        </w:numPr>
        <w:tabs>
          <w:tab w:pos="498" w:val="left" w:leader="none"/>
        </w:tabs>
        <w:spacing w:line="218" w:lineRule="auto" w:before="83" w:after="0"/>
        <w:ind w:left="113" w:right="124" w:firstLine="170"/>
        <w:jc w:val="both"/>
        <w:rPr>
          <w:sz w:val="17"/>
        </w:rPr>
      </w:pPr>
      <w:r>
        <w:rPr>
          <w:color w:val="231F20"/>
          <w:sz w:val="17"/>
        </w:rPr>
        <w:t>het relatieve belang van de verschillende componenten van de vergoeding;</w:t>
      </w:r>
    </w:p>
    <w:p>
      <w:pPr>
        <w:pStyle w:val="ListParagraph"/>
        <w:numPr>
          <w:ilvl w:val="0"/>
          <w:numId w:val="54"/>
        </w:numPr>
        <w:tabs>
          <w:tab w:pos="467" w:val="left" w:leader="none"/>
        </w:tabs>
        <w:spacing w:line="218" w:lineRule="auto" w:before="83" w:after="0"/>
        <w:ind w:left="113" w:right="124" w:firstLine="170"/>
        <w:jc w:val="both"/>
        <w:rPr>
          <w:sz w:val="17"/>
        </w:rPr>
      </w:pPr>
      <w:r>
        <w:rPr>
          <w:color w:val="231F20"/>
          <w:sz w:val="17"/>
        </w:rPr>
        <w:t>de kenmerken van prestatiepremies in aandelen, opties of andere rechten om aandelen te</w:t>
      </w:r>
      <w:r>
        <w:rPr>
          <w:color w:val="231F20"/>
          <w:spacing w:val="19"/>
          <w:sz w:val="17"/>
        </w:rPr>
        <w:t> </w:t>
      </w:r>
      <w:r>
        <w:rPr>
          <w:color w:val="231F20"/>
          <w:sz w:val="17"/>
        </w:rPr>
        <w:t>verwerven;</w:t>
      </w:r>
    </w:p>
    <w:p>
      <w:pPr>
        <w:pStyle w:val="ListParagraph"/>
        <w:numPr>
          <w:ilvl w:val="0"/>
          <w:numId w:val="54"/>
        </w:numPr>
        <w:tabs>
          <w:tab w:pos="515" w:val="left" w:leader="none"/>
        </w:tabs>
        <w:spacing w:line="218" w:lineRule="auto" w:before="83" w:after="0"/>
        <w:ind w:left="113" w:right="124" w:firstLine="170"/>
        <w:jc w:val="both"/>
        <w:rPr>
          <w:sz w:val="17"/>
        </w:rPr>
      </w:pPr>
      <w:r>
        <w:rPr>
          <w:color w:val="231F20"/>
          <w:sz w:val="17"/>
        </w:rPr>
        <w:t>informatie over het remuneratiebeleid voor de komende twee boekjaren.</w:t>
      </w:r>
    </w:p>
    <w:p>
      <w:pPr>
        <w:pStyle w:val="BodyText"/>
        <w:spacing w:line="218" w:lineRule="auto" w:before="85"/>
      </w:pPr>
      <w:r>
        <w:rPr>
          <w:color w:val="231F20"/>
        </w:rPr>
        <w:t>Wanneer het remuneratiebeleid in vergelijking met het behandelde boekjaar ingrijpend wordt aangepast, dient dit in het bijzonder tot uitdrukking te komen;</w:t>
      </w:r>
    </w:p>
    <w:p>
      <w:pPr>
        <w:pStyle w:val="BodyText"/>
        <w:spacing w:line="218" w:lineRule="auto" w:before="97"/>
      </w:pPr>
      <w:r>
        <w:rPr>
          <w:color w:val="231F20"/>
        </w:rPr>
        <w:t>3° op individuele basis, het bedrag van de remuneratie en andere voordelen die de vennootschap of een vennootschap die tot</w:t>
      </w:r>
      <w:r>
        <w:rPr>
          <w:color w:val="231F20"/>
          <w:spacing w:val="25"/>
        </w:rPr>
        <w:t> </w:t>
      </w:r>
      <w:r>
        <w:rPr>
          <w:color w:val="231F20"/>
        </w:rPr>
        <w:t>de consolidatiekring van de vennootschap behoort rechtstreeks of</w:t>
      </w:r>
      <w:r>
        <w:rPr>
          <w:color w:val="231F20"/>
          <w:spacing w:val="-14"/>
        </w:rPr>
        <w:t> </w:t>
      </w:r>
      <w:r>
        <w:rPr>
          <w:color w:val="231F20"/>
        </w:rPr>
        <w:t>onrecht- streeks</w:t>
      </w:r>
      <w:r>
        <w:rPr>
          <w:color w:val="231F20"/>
          <w:spacing w:val="14"/>
        </w:rPr>
        <w:t> </w:t>
      </w:r>
      <w:r>
        <w:rPr>
          <w:color w:val="231F20"/>
        </w:rPr>
        <w:t>aan</w:t>
      </w:r>
      <w:r>
        <w:rPr>
          <w:color w:val="231F20"/>
          <w:spacing w:val="15"/>
        </w:rPr>
        <w:t> </w:t>
      </w:r>
      <w:r>
        <w:rPr>
          <w:color w:val="231F20"/>
        </w:rPr>
        <w:t>de</w:t>
      </w:r>
      <w:r>
        <w:rPr>
          <w:color w:val="231F20"/>
          <w:spacing w:val="15"/>
        </w:rPr>
        <w:t> </w:t>
      </w:r>
      <w:r>
        <w:rPr>
          <w:color w:val="231F20"/>
        </w:rPr>
        <w:t>niet-uitvoerende</w:t>
      </w:r>
      <w:r>
        <w:rPr>
          <w:color w:val="231F20"/>
          <w:spacing w:val="15"/>
        </w:rPr>
        <w:t> </w:t>
      </w:r>
      <w:r>
        <w:rPr>
          <w:color w:val="231F20"/>
        </w:rPr>
        <w:t>bestuurders</w:t>
      </w:r>
      <w:r>
        <w:rPr>
          <w:color w:val="231F20"/>
          <w:spacing w:val="15"/>
        </w:rPr>
        <w:t> </w:t>
      </w:r>
      <w:r>
        <w:rPr>
          <w:color w:val="231F20"/>
        </w:rPr>
        <w:t>heeft</w:t>
      </w:r>
      <w:r>
        <w:rPr>
          <w:color w:val="231F20"/>
          <w:spacing w:val="15"/>
        </w:rPr>
        <w:t> </w:t>
      </w:r>
      <w:r>
        <w:rPr>
          <w:color w:val="231F20"/>
        </w:rPr>
        <w:t>toegekend;</w:t>
      </w:r>
    </w:p>
    <w:p>
      <w:pPr>
        <w:pStyle w:val="BodyText"/>
        <w:spacing w:line="218" w:lineRule="auto" w:before="96"/>
      </w:pPr>
      <w:r>
        <w:rPr>
          <w:color w:val="231F20"/>
        </w:rPr>
        <w:t>4° als bepaalde personen belast met de leiding of bepaalde personen belast met het dagelijks bestuur ook lid zijn van de raad van bestuur, informatie over het bedrag van de remuneratie dat zij in die hoedanig- heid hebben ontvangen;</w:t>
      </w:r>
    </w:p>
    <w:p>
      <w:pPr>
        <w:pStyle w:val="BodyText"/>
        <w:spacing w:line="218" w:lineRule="auto" w:before="96"/>
      </w:pPr>
      <w:r>
        <w:rPr>
          <w:color w:val="231F20"/>
        </w:rPr>
        <w:t>5° in het geval de uitvoerende bestuurders, de leden van de directieraad, de andere personen belast met de leiding of de personen belast met het dagelijks bestuur in aanmerking komen voor vergoedin- gen gebaseerd op de prestaties van de vennootschap of een vennoot- schap die tot haar consolidatiekring behoort, op de prestaties van de</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hanging="1"/>
      </w:pPr>
      <w:r>
        <w:rPr/>
        <w:pict>
          <v:line style="position:absolute;mso-position-horizontal-relative:page;mso-position-vertical-relative:page;z-index:2248" from="298.170502pt,64.473pt" to="298.170502pt,812.819pt" stroked="true" strokeweight=".533pt" strokecolor="#231f20">
            <v:stroke dashstyle="solid"/>
            <w10:wrap type="none"/>
          </v:line>
        </w:pict>
      </w:r>
      <w:bookmarkStart w:name="_bookmark51" w:id="54"/>
      <w:bookmarkEnd w:id="54"/>
      <w:r>
        <w:rPr/>
      </w:r>
      <w:r>
        <w:rPr>
          <w:color w:val="231F20"/>
        </w:rPr>
        <w:t>aux prestations de l’intéressé, les critères pour l’évaluation des prestations au regard des objectifs, l’indication de la période d’évalua- tion et la description des méthodes appliquées pour vérifier s’il a été satisfait à ces critères de prestation. Ces informations doivent être indiquées de manière à ce qu’elles ne fournissent aucune donnée confidentielle sur la stratégie de la société;</w:t>
      </w:r>
    </w:p>
    <w:p>
      <w:pPr>
        <w:pStyle w:val="BodyText"/>
        <w:spacing w:before="8"/>
        <w:ind w:left="0" w:right="0" w:firstLine="0"/>
        <w:jc w:val="left"/>
        <w:rPr>
          <w:sz w:val="26"/>
        </w:rPr>
      </w:pPr>
    </w:p>
    <w:p>
      <w:pPr>
        <w:pStyle w:val="BodyText"/>
        <w:spacing w:line="218" w:lineRule="auto"/>
        <w:ind w:right="38"/>
      </w:pPr>
      <w:r>
        <w:rPr>
          <w:color w:val="231F20"/>
        </w:rPr>
        <w:t>6° le montant de la rémunération et des autres avantages accordés directement ou indirectement au représentant principal des adminis- trateurs exécutifs, au président du conseil de direction, au représentant principal des autres dirigeants ou au représentant principal des délégués à la gestion journalière par la société ou une société qui fait partie du périmètre de consolidation de cette société. Cette information sera ventilée comme suit:</w:t>
      </w:r>
    </w:p>
    <w:p>
      <w:pPr>
        <w:pStyle w:val="BodyText"/>
        <w:ind w:left="0" w:right="0" w:firstLine="0"/>
        <w:jc w:val="left"/>
        <w:rPr>
          <w:sz w:val="20"/>
        </w:rPr>
      </w:pPr>
    </w:p>
    <w:p>
      <w:pPr>
        <w:pStyle w:val="BodyText"/>
        <w:spacing w:before="9"/>
        <w:ind w:left="0" w:right="0" w:firstLine="0"/>
        <w:jc w:val="left"/>
        <w:rPr>
          <w:sz w:val="20"/>
        </w:rPr>
      </w:pPr>
    </w:p>
    <w:p>
      <w:pPr>
        <w:pStyle w:val="ListParagraph"/>
        <w:numPr>
          <w:ilvl w:val="0"/>
          <w:numId w:val="55"/>
        </w:numPr>
        <w:tabs>
          <w:tab w:pos="474" w:val="left" w:leader="none"/>
        </w:tabs>
        <w:spacing w:line="240" w:lineRule="auto" w:before="0" w:after="0"/>
        <w:ind w:left="113" w:right="0" w:firstLine="170"/>
        <w:jc w:val="left"/>
        <w:rPr>
          <w:sz w:val="17"/>
        </w:rPr>
      </w:pPr>
      <w:r>
        <w:rPr>
          <w:color w:val="231F20"/>
          <w:sz w:val="17"/>
        </w:rPr>
        <w:t>la rémunération de</w:t>
      </w:r>
      <w:r>
        <w:rPr>
          <w:color w:val="231F20"/>
          <w:spacing w:val="3"/>
          <w:sz w:val="17"/>
        </w:rPr>
        <w:t> </w:t>
      </w:r>
      <w:r>
        <w:rPr>
          <w:color w:val="231F20"/>
          <w:sz w:val="17"/>
        </w:rPr>
        <w:t>base;</w:t>
      </w:r>
    </w:p>
    <w:p>
      <w:pPr>
        <w:pStyle w:val="ListParagraph"/>
        <w:numPr>
          <w:ilvl w:val="0"/>
          <w:numId w:val="55"/>
        </w:numPr>
        <w:tabs>
          <w:tab w:pos="500" w:val="left" w:leader="none"/>
        </w:tabs>
        <w:spacing w:line="218" w:lineRule="auto" w:before="122" w:after="0"/>
        <w:ind w:left="113" w:right="38" w:firstLine="170"/>
        <w:jc w:val="both"/>
        <w:rPr>
          <w:sz w:val="17"/>
        </w:rPr>
      </w:pPr>
      <w:r>
        <w:rPr>
          <w:color w:val="231F20"/>
          <w:sz w:val="17"/>
        </w:rPr>
        <w:t>la rémunération variable: toute rémunération additionnelle liée aux critères de prestation avec indication des modalités de paiement de cette rémunération</w:t>
      </w:r>
      <w:r>
        <w:rPr>
          <w:color w:val="231F20"/>
          <w:spacing w:val="-12"/>
          <w:sz w:val="17"/>
        </w:rPr>
        <w:t> </w:t>
      </w:r>
      <w:r>
        <w:rPr>
          <w:color w:val="231F20"/>
          <w:sz w:val="17"/>
        </w:rPr>
        <w:t>variable;</w:t>
      </w:r>
    </w:p>
    <w:p>
      <w:pPr>
        <w:pStyle w:val="ListParagraph"/>
        <w:numPr>
          <w:ilvl w:val="0"/>
          <w:numId w:val="55"/>
        </w:numPr>
        <w:tabs>
          <w:tab w:pos="510" w:val="left" w:leader="none"/>
        </w:tabs>
        <w:spacing w:line="218" w:lineRule="auto" w:before="126" w:after="0"/>
        <w:ind w:left="113" w:right="38" w:firstLine="170"/>
        <w:jc w:val="both"/>
        <w:rPr>
          <w:sz w:val="17"/>
        </w:rPr>
      </w:pPr>
      <w:r>
        <w:rPr>
          <w:color w:val="231F20"/>
          <w:sz w:val="17"/>
        </w:rPr>
        <w:t>pension: les montants versés pendant l’exercice social faisant l’objet du rapport de gestion ou les coûts relatifs aux services fournis au cours de l’exercice social faisant l’objet du rapport de gestion, en fonction du type de plan de pension, avec une explication des plans de pension</w:t>
      </w:r>
      <w:r>
        <w:rPr>
          <w:color w:val="231F20"/>
          <w:spacing w:val="15"/>
          <w:sz w:val="17"/>
        </w:rPr>
        <w:t> </w:t>
      </w:r>
      <w:r>
        <w:rPr>
          <w:color w:val="231F20"/>
          <w:sz w:val="17"/>
        </w:rPr>
        <w:t>applicables;</w:t>
      </w:r>
    </w:p>
    <w:p>
      <w:pPr>
        <w:pStyle w:val="ListParagraph"/>
        <w:numPr>
          <w:ilvl w:val="0"/>
          <w:numId w:val="55"/>
        </w:numPr>
        <w:tabs>
          <w:tab w:pos="476" w:val="left" w:leader="none"/>
        </w:tabs>
        <w:spacing w:line="218" w:lineRule="auto" w:before="136" w:after="0"/>
        <w:ind w:left="113" w:right="38" w:firstLine="170"/>
        <w:jc w:val="both"/>
        <w:rPr>
          <w:sz w:val="17"/>
        </w:rPr>
      </w:pPr>
      <w:r>
        <w:rPr>
          <w:color w:val="231F20"/>
          <w:sz w:val="17"/>
        </w:rPr>
        <w:t>les autres composantes de la rémunération, telles que les coûts ou la valeur d’assurances et d’autres avantages en nature, avec une explication</w:t>
      </w:r>
      <w:r>
        <w:rPr>
          <w:color w:val="231F20"/>
          <w:spacing w:val="15"/>
          <w:sz w:val="17"/>
        </w:rPr>
        <w:t> </w:t>
      </w:r>
      <w:r>
        <w:rPr>
          <w:color w:val="231F20"/>
          <w:sz w:val="17"/>
        </w:rPr>
        <w:t>des</w:t>
      </w:r>
      <w:r>
        <w:rPr>
          <w:color w:val="231F20"/>
          <w:spacing w:val="15"/>
          <w:sz w:val="17"/>
        </w:rPr>
        <w:t> </w:t>
      </w:r>
      <w:r>
        <w:rPr>
          <w:color w:val="231F20"/>
          <w:sz w:val="17"/>
        </w:rPr>
        <w:t>caractéristiques</w:t>
      </w:r>
      <w:r>
        <w:rPr>
          <w:color w:val="231F20"/>
          <w:spacing w:val="15"/>
          <w:sz w:val="17"/>
        </w:rPr>
        <w:t> </w:t>
      </w:r>
      <w:r>
        <w:rPr>
          <w:color w:val="231F20"/>
          <w:sz w:val="17"/>
        </w:rPr>
        <w:t>des</w:t>
      </w:r>
      <w:r>
        <w:rPr>
          <w:color w:val="231F20"/>
          <w:spacing w:val="15"/>
          <w:sz w:val="17"/>
        </w:rPr>
        <w:t> </w:t>
      </w:r>
      <w:r>
        <w:rPr>
          <w:color w:val="231F20"/>
          <w:sz w:val="17"/>
        </w:rPr>
        <w:t>principales</w:t>
      </w:r>
      <w:r>
        <w:rPr>
          <w:color w:val="231F20"/>
          <w:spacing w:val="15"/>
          <w:sz w:val="17"/>
        </w:rPr>
        <w:t> </w:t>
      </w:r>
      <w:r>
        <w:rPr>
          <w:color w:val="231F20"/>
          <w:sz w:val="17"/>
        </w:rPr>
        <w:t>composantes.</w:t>
      </w:r>
    </w:p>
    <w:p>
      <w:pPr>
        <w:pStyle w:val="BodyText"/>
        <w:spacing w:line="218" w:lineRule="auto" w:before="139"/>
        <w:ind w:right="38"/>
      </w:pPr>
      <w:r>
        <w:rPr>
          <w:color w:val="231F20"/>
        </w:rPr>
        <w:t>En cas de modification importante de cette rémunération par rapport à l’exercice social faisant l’objet du rapport de gestion, elle doit être particulièrement mise en évidence;</w:t>
      </w:r>
    </w:p>
    <w:p>
      <w:pPr>
        <w:pStyle w:val="BodyText"/>
        <w:spacing w:line="218" w:lineRule="auto" w:before="139"/>
        <w:ind w:right="38"/>
      </w:pPr>
      <w:r>
        <w:rPr>
          <w:color w:val="231F20"/>
        </w:rPr>
        <w:t>7° globalement, le montant des rémunérations et autres avantages accordés directement ou indirectement aux autres administrateurs exécutifs, membres du conseil de direction, autres dirigeants et délégués à la gestion journalière par la société ou une société qui fait partie du périmètre de consolidation de cette société. Cette information sera ventilée comme suit:</w:t>
      </w:r>
    </w:p>
    <w:p>
      <w:pPr>
        <w:pStyle w:val="BodyText"/>
        <w:spacing w:before="2"/>
        <w:ind w:left="0" w:right="0" w:firstLine="0"/>
        <w:jc w:val="left"/>
        <w:rPr>
          <w:sz w:val="26"/>
        </w:rPr>
      </w:pPr>
    </w:p>
    <w:p>
      <w:pPr>
        <w:pStyle w:val="ListParagraph"/>
        <w:numPr>
          <w:ilvl w:val="0"/>
          <w:numId w:val="56"/>
        </w:numPr>
        <w:tabs>
          <w:tab w:pos="474" w:val="left" w:leader="none"/>
        </w:tabs>
        <w:spacing w:line="240" w:lineRule="auto" w:before="1" w:after="0"/>
        <w:ind w:left="113" w:right="0" w:firstLine="170"/>
        <w:jc w:val="left"/>
        <w:rPr>
          <w:sz w:val="17"/>
        </w:rPr>
      </w:pPr>
      <w:r>
        <w:rPr>
          <w:color w:val="231F20"/>
          <w:sz w:val="17"/>
        </w:rPr>
        <w:t>la rémunération de</w:t>
      </w:r>
      <w:r>
        <w:rPr>
          <w:color w:val="231F20"/>
          <w:spacing w:val="3"/>
          <w:sz w:val="17"/>
        </w:rPr>
        <w:t> </w:t>
      </w:r>
      <w:r>
        <w:rPr>
          <w:color w:val="231F20"/>
          <w:sz w:val="17"/>
        </w:rPr>
        <w:t>base;</w:t>
      </w:r>
    </w:p>
    <w:p>
      <w:pPr>
        <w:pStyle w:val="ListParagraph"/>
        <w:numPr>
          <w:ilvl w:val="0"/>
          <w:numId w:val="56"/>
        </w:numPr>
        <w:tabs>
          <w:tab w:pos="500" w:val="left" w:leader="none"/>
        </w:tabs>
        <w:spacing w:line="218" w:lineRule="auto" w:before="132" w:after="0"/>
        <w:ind w:left="113" w:right="38" w:firstLine="170"/>
        <w:jc w:val="both"/>
        <w:rPr>
          <w:sz w:val="17"/>
        </w:rPr>
      </w:pPr>
      <w:r>
        <w:rPr>
          <w:color w:val="231F20"/>
          <w:sz w:val="17"/>
        </w:rPr>
        <w:t>la rémunération variable: toute rémunération additionnelle liée aux critères de prestation avec indication des modalités de paiement de cette rémunération</w:t>
      </w:r>
      <w:r>
        <w:rPr>
          <w:color w:val="231F20"/>
          <w:spacing w:val="-12"/>
          <w:sz w:val="17"/>
        </w:rPr>
        <w:t> </w:t>
      </w:r>
      <w:r>
        <w:rPr>
          <w:color w:val="231F20"/>
          <w:sz w:val="17"/>
        </w:rPr>
        <w:t>variable;</w:t>
      </w:r>
    </w:p>
    <w:p>
      <w:pPr>
        <w:pStyle w:val="ListParagraph"/>
        <w:numPr>
          <w:ilvl w:val="0"/>
          <w:numId w:val="56"/>
        </w:numPr>
        <w:tabs>
          <w:tab w:pos="510" w:val="left" w:leader="none"/>
        </w:tabs>
        <w:spacing w:line="218" w:lineRule="auto" w:before="137" w:after="0"/>
        <w:ind w:left="113" w:right="38" w:firstLine="170"/>
        <w:jc w:val="both"/>
        <w:rPr>
          <w:sz w:val="17"/>
        </w:rPr>
      </w:pPr>
      <w:r>
        <w:rPr>
          <w:color w:val="231F20"/>
          <w:sz w:val="17"/>
        </w:rPr>
        <w:t>pension: les montants versés pendant l’exercice social faisant l’objet du rapport de gestion ou les coûts relatifs aux services fournis au cours de l’exercice social faisant l’objet du rapport de gestion, en fonction du type de plan de pension, avec une explication des plans de pension</w:t>
      </w:r>
      <w:r>
        <w:rPr>
          <w:color w:val="231F20"/>
          <w:spacing w:val="15"/>
          <w:sz w:val="17"/>
        </w:rPr>
        <w:t> </w:t>
      </w:r>
      <w:r>
        <w:rPr>
          <w:color w:val="231F20"/>
          <w:sz w:val="17"/>
        </w:rPr>
        <w:t>applicables;</w:t>
      </w:r>
    </w:p>
    <w:p>
      <w:pPr>
        <w:pStyle w:val="ListParagraph"/>
        <w:numPr>
          <w:ilvl w:val="0"/>
          <w:numId w:val="56"/>
        </w:numPr>
        <w:tabs>
          <w:tab w:pos="476" w:val="left" w:leader="none"/>
        </w:tabs>
        <w:spacing w:line="218" w:lineRule="auto" w:before="136" w:after="0"/>
        <w:ind w:left="113" w:right="38" w:firstLine="170"/>
        <w:jc w:val="both"/>
        <w:rPr>
          <w:sz w:val="17"/>
        </w:rPr>
      </w:pPr>
      <w:r>
        <w:rPr>
          <w:color w:val="231F20"/>
          <w:sz w:val="17"/>
        </w:rPr>
        <w:t>les autres composantes de la rémunération, telles que les coûts ou la valeur d’assurances et d’autres avantages en nature avec explication des caractéristiques des principales</w:t>
      </w:r>
      <w:r>
        <w:rPr>
          <w:color w:val="231F20"/>
          <w:spacing w:val="18"/>
          <w:sz w:val="17"/>
        </w:rPr>
        <w:t> </w:t>
      </w:r>
      <w:r>
        <w:rPr>
          <w:color w:val="231F20"/>
          <w:sz w:val="17"/>
        </w:rPr>
        <w:t>composantes.</w:t>
      </w:r>
    </w:p>
    <w:p>
      <w:pPr>
        <w:pStyle w:val="BodyText"/>
        <w:spacing w:line="218" w:lineRule="auto" w:before="139"/>
        <w:ind w:right="38"/>
      </w:pPr>
      <w:r>
        <w:rPr>
          <w:color w:val="231F20"/>
        </w:rPr>
        <w:t>En cas de modification importante de cette rémunération par rapport à l’exercice social faisant l’objet du rapport de gestion, elle doit être particulièrement mise en évidence;</w:t>
      </w:r>
    </w:p>
    <w:p>
      <w:pPr>
        <w:pStyle w:val="BodyText"/>
        <w:spacing w:line="218" w:lineRule="auto" w:before="139"/>
        <w:ind w:right="38"/>
      </w:pPr>
      <w:r>
        <w:rPr>
          <w:color w:val="231F20"/>
        </w:rPr>
        <w:t>8° individuellement, pour les administrateurs exécutifs, les membres du conseil de direction, les autres dirigeants et les délégués à la gestion journalière, le nombre et les caractéristiques clés des actions, des options sur actions ou de tous autres droits d’acquérir des actions accordés, exercés ou venus à échéance au cours de l’exercice social faisant l’objet du rapport de gestion;</w:t>
      </w:r>
    </w:p>
    <w:p>
      <w:pPr>
        <w:pStyle w:val="BodyText"/>
        <w:spacing w:line="218" w:lineRule="auto" w:before="139"/>
        <w:ind w:right="38"/>
      </w:pPr>
      <w:r>
        <w:rPr>
          <w:color w:val="231F20"/>
        </w:rPr>
        <w:t>9° individuellement, pour les administrateurs exécutifs, les membres du conseil de direction, les autres dirigeants et les délégués à la gestion journalière, les dispositions relatives à l’indemnité de départ;</w:t>
      </w:r>
    </w:p>
    <w:p>
      <w:pPr>
        <w:pStyle w:val="BodyText"/>
        <w:spacing w:before="7"/>
        <w:ind w:left="0" w:right="0" w:firstLine="0"/>
        <w:jc w:val="left"/>
        <w:rPr>
          <w:sz w:val="27"/>
        </w:rPr>
      </w:pPr>
    </w:p>
    <w:p>
      <w:pPr>
        <w:pStyle w:val="BodyText"/>
        <w:spacing w:line="218" w:lineRule="auto" w:before="1"/>
        <w:ind w:right="38"/>
      </w:pPr>
      <w:r>
        <w:rPr>
          <w:color w:val="231F20"/>
        </w:rPr>
        <w:t>10° en cas de départ des administrateurs exécutifs, des membres du conseil de direction, des autres dirigeants ou des délégués à la gestion journalière, la justification et la décision du conseil d’administration, sur proposition du comité de rémunération, relatives à la question de savoir si la personne concernée entre en ligne de compte pour l’indemnité de départ, et la base de calcul de cette indemnité;</w:t>
      </w:r>
    </w:p>
    <w:p>
      <w:pPr>
        <w:pStyle w:val="BodyText"/>
        <w:spacing w:line="218" w:lineRule="auto" w:before="139"/>
        <w:ind w:right="38"/>
      </w:pPr>
      <w:r>
        <w:rPr>
          <w:color w:val="231F20"/>
        </w:rPr>
        <w:t>11° pour les administrateurs exécutifs, les membres du conseil de direction, les autres dirigeants et les délégués à la gestion journalière, la mesure dans laquelle un droit de recouvrement de la rémunération variable attribuée est prévu.</w:t>
      </w:r>
    </w:p>
    <w:p>
      <w:pPr>
        <w:pStyle w:val="BodyText"/>
        <w:spacing w:line="218" w:lineRule="auto" w:before="119"/>
        <w:ind w:firstLine="0"/>
      </w:pPr>
      <w:r>
        <w:rPr/>
        <w:br w:type="column"/>
      </w:r>
      <w:r>
        <w:rPr>
          <w:color w:val="231F20"/>
        </w:rPr>
        <w:t>bedrijfseenheid of op de prestaties van de betrokkene, de criteria voor de evaluatie van de prestaties ten opzichte van de doelstellingen, de aanduiding van de evaluatieperiode en de beschrijving van de methoden die worden toegepast om na te gaan of aan deze prestatie- criteria is voldaan. Deze gegevens dienen zo te worden vermeld dat zij geen vertrouwelijke informatie leveren over de strategie van de vennootschap;</w:t>
      </w:r>
    </w:p>
    <w:p>
      <w:pPr>
        <w:pStyle w:val="BodyText"/>
        <w:spacing w:line="218" w:lineRule="auto" w:before="129"/>
        <w:ind w:right="123"/>
      </w:pPr>
      <w:r>
        <w:rPr>
          <w:color w:val="231F20"/>
        </w:rPr>
        <w:t>6° het bedrag van de remuneratie en andere voordelen die de vennootschap of een vennootschap die tot de consolidatiekring van deze vennootschap behoort rechtstreeks of onrechtstreeks heeft toege- kend aan de belangrijkste vertegenwoordiger van de uitvoerende bestuurders, aan de voorzitter van de directieraad, aan de belangrijkste vertegenwoordiger van de andere personen belast met de leiding of aan de belangrijkste vertegenwoordiger van de personen belast met het dagelijks bestuur. Deze informatie moet worden verstrekt met een uitsplitsing</w:t>
      </w:r>
      <w:r>
        <w:rPr>
          <w:color w:val="231F20"/>
          <w:spacing w:val="14"/>
        </w:rPr>
        <w:t> </w:t>
      </w:r>
      <w:r>
        <w:rPr>
          <w:color w:val="231F20"/>
        </w:rPr>
        <w:t>tussen:</w:t>
      </w:r>
    </w:p>
    <w:p>
      <w:pPr>
        <w:pStyle w:val="ListParagraph"/>
        <w:numPr>
          <w:ilvl w:val="0"/>
          <w:numId w:val="57"/>
        </w:numPr>
        <w:tabs>
          <w:tab w:pos="473" w:val="left" w:leader="none"/>
        </w:tabs>
        <w:spacing w:line="240" w:lineRule="auto" w:before="112" w:after="0"/>
        <w:ind w:left="113" w:right="0" w:firstLine="170"/>
        <w:jc w:val="left"/>
        <w:rPr>
          <w:sz w:val="17"/>
        </w:rPr>
      </w:pPr>
      <w:r>
        <w:rPr>
          <w:color w:val="231F20"/>
          <w:sz w:val="17"/>
        </w:rPr>
        <w:t>de</w:t>
      </w:r>
      <w:r>
        <w:rPr>
          <w:color w:val="231F20"/>
          <w:spacing w:val="15"/>
          <w:sz w:val="17"/>
        </w:rPr>
        <w:t> </w:t>
      </w:r>
      <w:r>
        <w:rPr>
          <w:color w:val="231F20"/>
          <w:sz w:val="17"/>
        </w:rPr>
        <w:t>basisvergoeding;</w:t>
      </w:r>
    </w:p>
    <w:p>
      <w:pPr>
        <w:pStyle w:val="ListParagraph"/>
        <w:numPr>
          <w:ilvl w:val="0"/>
          <w:numId w:val="57"/>
        </w:numPr>
        <w:tabs>
          <w:tab w:pos="473" w:val="left" w:leader="none"/>
        </w:tabs>
        <w:spacing w:line="218" w:lineRule="auto" w:before="122" w:after="0"/>
        <w:ind w:left="113" w:right="124" w:firstLine="170"/>
        <w:jc w:val="both"/>
        <w:rPr>
          <w:sz w:val="17"/>
        </w:rPr>
      </w:pPr>
      <w:r>
        <w:rPr>
          <w:color w:val="231F20"/>
          <w:sz w:val="17"/>
        </w:rPr>
        <w:t>de variabele remuneratie: alle bijkomende bezoldiging gekoppeld aan prestatiecriteria met aanduiding van de vorm waarin deze  variabele remuneratie werd</w:t>
      </w:r>
      <w:r>
        <w:rPr>
          <w:color w:val="231F20"/>
          <w:spacing w:val="4"/>
          <w:sz w:val="17"/>
        </w:rPr>
        <w:t> </w:t>
      </w:r>
      <w:r>
        <w:rPr>
          <w:color w:val="231F20"/>
          <w:sz w:val="17"/>
        </w:rPr>
        <w:t>betaald;</w:t>
      </w:r>
    </w:p>
    <w:p>
      <w:pPr>
        <w:pStyle w:val="ListParagraph"/>
        <w:numPr>
          <w:ilvl w:val="0"/>
          <w:numId w:val="57"/>
        </w:numPr>
        <w:tabs>
          <w:tab w:pos="512" w:val="left" w:leader="none"/>
        </w:tabs>
        <w:spacing w:line="218" w:lineRule="auto" w:before="125" w:after="0"/>
        <w:ind w:left="113" w:right="124" w:firstLine="170"/>
        <w:jc w:val="both"/>
        <w:rPr>
          <w:sz w:val="17"/>
        </w:rPr>
      </w:pPr>
      <w:r>
        <w:rPr>
          <w:color w:val="231F20"/>
          <w:sz w:val="17"/>
        </w:rPr>
        <w:t>pensioen: de gedurende het door het jaarverslag behandelde boekjaar betaalde bedragen of kosten van de verleende diensten, naar gelang van het type pensioenplan, met een verklaring van de toepas- selijke</w:t>
      </w:r>
      <w:r>
        <w:rPr>
          <w:color w:val="231F20"/>
          <w:spacing w:val="14"/>
          <w:sz w:val="17"/>
        </w:rPr>
        <w:t> </w:t>
      </w:r>
      <w:r>
        <w:rPr>
          <w:color w:val="231F20"/>
          <w:sz w:val="17"/>
        </w:rPr>
        <w:t>pensioenregeling;</w:t>
      </w:r>
    </w:p>
    <w:p>
      <w:pPr>
        <w:pStyle w:val="BodyText"/>
        <w:spacing w:before="6"/>
        <w:ind w:left="0" w:right="0" w:firstLine="0"/>
        <w:jc w:val="left"/>
        <w:rPr>
          <w:sz w:val="27"/>
        </w:rPr>
      </w:pPr>
    </w:p>
    <w:p>
      <w:pPr>
        <w:pStyle w:val="ListParagraph"/>
        <w:numPr>
          <w:ilvl w:val="0"/>
          <w:numId w:val="57"/>
        </w:numPr>
        <w:tabs>
          <w:tab w:pos="489" w:val="left" w:leader="none"/>
        </w:tabs>
        <w:spacing w:line="218" w:lineRule="auto" w:before="0" w:after="0"/>
        <w:ind w:left="113" w:right="124" w:firstLine="170"/>
        <w:jc w:val="both"/>
        <w:rPr>
          <w:sz w:val="17"/>
        </w:rPr>
      </w:pPr>
      <w:r>
        <w:rPr>
          <w:color w:val="231F20"/>
          <w:sz w:val="17"/>
        </w:rPr>
        <w:t>de overige componenten van de remuneratie, zoals de kosten of waarde van verzekeringen en andere voordelen in natura, met een toelichting</w:t>
      </w:r>
      <w:r>
        <w:rPr>
          <w:color w:val="231F20"/>
          <w:spacing w:val="18"/>
          <w:sz w:val="17"/>
        </w:rPr>
        <w:t> </w:t>
      </w:r>
      <w:r>
        <w:rPr>
          <w:color w:val="231F20"/>
          <w:sz w:val="17"/>
        </w:rPr>
        <w:t>van</w:t>
      </w:r>
      <w:r>
        <w:rPr>
          <w:color w:val="231F20"/>
          <w:spacing w:val="18"/>
          <w:sz w:val="17"/>
        </w:rPr>
        <w:t> </w:t>
      </w:r>
      <w:r>
        <w:rPr>
          <w:color w:val="231F20"/>
          <w:sz w:val="17"/>
        </w:rPr>
        <w:t>de</w:t>
      </w:r>
      <w:r>
        <w:rPr>
          <w:color w:val="231F20"/>
          <w:spacing w:val="18"/>
          <w:sz w:val="17"/>
        </w:rPr>
        <w:t> </w:t>
      </w:r>
      <w:r>
        <w:rPr>
          <w:color w:val="231F20"/>
          <w:sz w:val="17"/>
        </w:rPr>
        <w:t>bijzonderheden</w:t>
      </w:r>
      <w:r>
        <w:rPr>
          <w:color w:val="231F20"/>
          <w:spacing w:val="18"/>
          <w:sz w:val="17"/>
        </w:rPr>
        <w:t> </w:t>
      </w:r>
      <w:r>
        <w:rPr>
          <w:color w:val="231F20"/>
          <w:sz w:val="17"/>
        </w:rPr>
        <w:t>van</w:t>
      </w:r>
      <w:r>
        <w:rPr>
          <w:color w:val="231F20"/>
          <w:spacing w:val="18"/>
          <w:sz w:val="17"/>
        </w:rPr>
        <w:t> </w:t>
      </w:r>
      <w:r>
        <w:rPr>
          <w:color w:val="231F20"/>
          <w:sz w:val="17"/>
        </w:rPr>
        <w:t>de</w:t>
      </w:r>
      <w:r>
        <w:rPr>
          <w:color w:val="231F20"/>
          <w:spacing w:val="18"/>
          <w:sz w:val="17"/>
        </w:rPr>
        <w:t> </w:t>
      </w:r>
      <w:r>
        <w:rPr>
          <w:color w:val="231F20"/>
          <w:sz w:val="17"/>
        </w:rPr>
        <w:t>belangrijkste</w:t>
      </w:r>
      <w:r>
        <w:rPr>
          <w:color w:val="231F20"/>
          <w:spacing w:val="18"/>
          <w:sz w:val="17"/>
        </w:rPr>
        <w:t> </w:t>
      </w:r>
      <w:r>
        <w:rPr>
          <w:color w:val="231F20"/>
          <w:sz w:val="17"/>
        </w:rPr>
        <w:t>onderdelen.</w:t>
      </w:r>
    </w:p>
    <w:p>
      <w:pPr>
        <w:pStyle w:val="BodyText"/>
        <w:spacing w:line="218" w:lineRule="auto" w:before="139"/>
      </w:pPr>
      <w:r>
        <w:rPr>
          <w:color w:val="231F20"/>
        </w:rPr>
        <w:t>Wanneer deze remuneratie in vergelijking met het door het jaarver- slag behandelde boekjaar ingrijpend wordt aangepast, dient dit in het bijzonder tot uitdrukking te komen;</w:t>
      </w:r>
    </w:p>
    <w:p>
      <w:pPr>
        <w:pStyle w:val="BodyText"/>
        <w:spacing w:line="218" w:lineRule="auto" w:before="138"/>
      </w:pPr>
      <w:r>
        <w:rPr>
          <w:color w:val="231F20"/>
        </w:rPr>
        <w:t>7° op globale basis, het bedrag van de remuneratie en andere voordelen die de vennootschap of een vennootschap die tot de consolidatiekring van deze vennootschap behoort rechtstreeks of onrechtstreeks heeft verstrekt aan de andere uitvoerende bestuurders, leden van de directieraad, andere personen belast met de leiding en personen belast met het dagelijks bestuur. Deze informatie moet worden verstrekt met een uitsplitsing tussen:</w:t>
      </w:r>
    </w:p>
    <w:p>
      <w:pPr>
        <w:pStyle w:val="ListParagraph"/>
        <w:numPr>
          <w:ilvl w:val="0"/>
          <w:numId w:val="58"/>
        </w:numPr>
        <w:tabs>
          <w:tab w:pos="473" w:val="left" w:leader="none"/>
        </w:tabs>
        <w:spacing w:line="240" w:lineRule="auto" w:before="123" w:after="0"/>
        <w:ind w:left="113" w:right="0" w:firstLine="170"/>
        <w:jc w:val="left"/>
        <w:rPr>
          <w:sz w:val="17"/>
        </w:rPr>
      </w:pPr>
      <w:r>
        <w:rPr>
          <w:color w:val="231F20"/>
          <w:sz w:val="17"/>
        </w:rPr>
        <w:t>het</w:t>
      </w:r>
      <w:r>
        <w:rPr>
          <w:color w:val="231F20"/>
          <w:spacing w:val="14"/>
          <w:sz w:val="17"/>
        </w:rPr>
        <w:t> </w:t>
      </w:r>
      <w:r>
        <w:rPr>
          <w:color w:val="231F20"/>
          <w:sz w:val="17"/>
        </w:rPr>
        <w:t>basissalaris;</w:t>
      </w:r>
    </w:p>
    <w:p>
      <w:pPr>
        <w:pStyle w:val="ListParagraph"/>
        <w:numPr>
          <w:ilvl w:val="0"/>
          <w:numId w:val="58"/>
        </w:numPr>
        <w:tabs>
          <w:tab w:pos="473" w:val="left" w:leader="none"/>
        </w:tabs>
        <w:spacing w:line="218" w:lineRule="auto" w:before="132" w:after="0"/>
        <w:ind w:left="113" w:right="124" w:firstLine="170"/>
        <w:jc w:val="both"/>
        <w:rPr>
          <w:sz w:val="17"/>
        </w:rPr>
      </w:pPr>
      <w:r>
        <w:rPr>
          <w:color w:val="231F20"/>
          <w:sz w:val="17"/>
        </w:rPr>
        <w:t>de variabele remuneratie: alle bijkomende bezoldiging gekoppeld aan prestatiecriteria met aanduiding van de vorm waarin deze  variabele remuneratie werd</w:t>
      </w:r>
      <w:r>
        <w:rPr>
          <w:color w:val="231F20"/>
          <w:spacing w:val="4"/>
          <w:sz w:val="17"/>
        </w:rPr>
        <w:t> </w:t>
      </w:r>
      <w:r>
        <w:rPr>
          <w:color w:val="231F20"/>
          <w:sz w:val="17"/>
        </w:rPr>
        <w:t>betaald;</w:t>
      </w:r>
    </w:p>
    <w:p>
      <w:pPr>
        <w:pStyle w:val="ListParagraph"/>
        <w:numPr>
          <w:ilvl w:val="0"/>
          <w:numId w:val="58"/>
        </w:numPr>
        <w:tabs>
          <w:tab w:pos="512" w:val="left" w:leader="none"/>
        </w:tabs>
        <w:spacing w:line="218" w:lineRule="auto" w:before="137" w:after="0"/>
        <w:ind w:left="113" w:right="124" w:firstLine="170"/>
        <w:jc w:val="both"/>
        <w:rPr>
          <w:sz w:val="17"/>
        </w:rPr>
      </w:pPr>
      <w:r>
        <w:rPr>
          <w:color w:val="231F20"/>
          <w:sz w:val="17"/>
        </w:rPr>
        <w:t>pensioen: de gedurende het door het jaarverslag behandelde boekjaar betaalde bedragen of kosten van de verleende diensten, naar gelang van het type pensioenplan, met een verklaring van de toepas- selijke</w:t>
      </w:r>
      <w:r>
        <w:rPr>
          <w:color w:val="231F20"/>
          <w:spacing w:val="14"/>
          <w:sz w:val="17"/>
        </w:rPr>
        <w:t> </w:t>
      </w:r>
      <w:r>
        <w:rPr>
          <w:color w:val="231F20"/>
          <w:sz w:val="17"/>
        </w:rPr>
        <w:t>pensioenregeling;</w:t>
      </w:r>
    </w:p>
    <w:p>
      <w:pPr>
        <w:pStyle w:val="BodyText"/>
        <w:spacing w:before="5"/>
        <w:ind w:left="0" w:right="0" w:firstLine="0"/>
        <w:jc w:val="left"/>
        <w:rPr>
          <w:sz w:val="27"/>
        </w:rPr>
      </w:pPr>
    </w:p>
    <w:p>
      <w:pPr>
        <w:pStyle w:val="ListParagraph"/>
        <w:numPr>
          <w:ilvl w:val="0"/>
          <w:numId w:val="58"/>
        </w:numPr>
        <w:tabs>
          <w:tab w:pos="489" w:val="left" w:leader="none"/>
        </w:tabs>
        <w:spacing w:line="218" w:lineRule="auto" w:before="0" w:after="0"/>
        <w:ind w:left="113" w:right="124" w:firstLine="170"/>
        <w:jc w:val="both"/>
        <w:rPr>
          <w:sz w:val="17"/>
        </w:rPr>
      </w:pPr>
      <w:r>
        <w:rPr>
          <w:color w:val="231F20"/>
          <w:sz w:val="17"/>
        </w:rPr>
        <w:t>de overige componenten van de remuneratie, zoals de kosten of waarde van verzekeringen en andere voordelen in natura, met een toelichting</w:t>
      </w:r>
      <w:r>
        <w:rPr>
          <w:color w:val="231F20"/>
          <w:spacing w:val="18"/>
          <w:sz w:val="17"/>
        </w:rPr>
        <w:t> </w:t>
      </w:r>
      <w:r>
        <w:rPr>
          <w:color w:val="231F20"/>
          <w:sz w:val="17"/>
        </w:rPr>
        <w:t>van</w:t>
      </w:r>
      <w:r>
        <w:rPr>
          <w:color w:val="231F20"/>
          <w:spacing w:val="18"/>
          <w:sz w:val="17"/>
        </w:rPr>
        <w:t> </w:t>
      </w:r>
      <w:r>
        <w:rPr>
          <w:color w:val="231F20"/>
          <w:sz w:val="17"/>
        </w:rPr>
        <w:t>de</w:t>
      </w:r>
      <w:r>
        <w:rPr>
          <w:color w:val="231F20"/>
          <w:spacing w:val="18"/>
          <w:sz w:val="17"/>
        </w:rPr>
        <w:t> </w:t>
      </w:r>
      <w:r>
        <w:rPr>
          <w:color w:val="231F20"/>
          <w:sz w:val="17"/>
        </w:rPr>
        <w:t>bijzonderheden</w:t>
      </w:r>
      <w:r>
        <w:rPr>
          <w:color w:val="231F20"/>
          <w:spacing w:val="18"/>
          <w:sz w:val="17"/>
        </w:rPr>
        <w:t> </w:t>
      </w:r>
      <w:r>
        <w:rPr>
          <w:color w:val="231F20"/>
          <w:sz w:val="17"/>
        </w:rPr>
        <w:t>van</w:t>
      </w:r>
      <w:r>
        <w:rPr>
          <w:color w:val="231F20"/>
          <w:spacing w:val="18"/>
          <w:sz w:val="17"/>
        </w:rPr>
        <w:t> </w:t>
      </w:r>
      <w:r>
        <w:rPr>
          <w:color w:val="231F20"/>
          <w:sz w:val="17"/>
        </w:rPr>
        <w:t>de</w:t>
      </w:r>
      <w:r>
        <w:rPr>
          <w:color w:val="231F20"/>
          <w:spacing w:val="18"/>
          <w:sz w:val="17"/>
        </w:rPr>
        <w:t> </w:t>
      </w:r>
      <w:r>
        <w:rPr>
          <w:color w:val="231F20"/>
          <w:sz w:val="17"/>
        </w:rPr>
        <w:t>belangrijkste</w:t>
      </w:r>
      <w:r>
        <w:rPr>
          <w:color w:val="231F20"/>
          <w:spacing w:val="18"/>
          <w:sz w:val="17"/>
        </w:rPr>
        <w:t> </w:t>
      </w:r>
      <w:r>
        <w:rPr>
          <w:color w:val="231F20"/>
          <w:sz w:val="17"/>
        </w:rPr>
        <w:t>onderdelen.</w:t>
      </w:r>
    </w:p>
    <w:p>
      <w:pPr>
        <w:pStyle w:val="BodyText"/>
        <w:spacing w:line="218" w:lineRule="auto" w:before="139"/>
      </w:pPr>
      <w:r>
        <w:rPr>
          <w:color w:val="231F20"/>
        </w:rPr>
        <w:t>Wanneer deze remuneratie in vergelijking met het door het jaarver- slag behandelde boekjaar ingrijpend wordt aangepast, dient dit in het bijzonder tot uitdrukking te komen;</w:t>
      </w:r>
    </w:p>
    <w:p>
      <w:pPr>
        <w:pStyle w:val="BodyText"/>
        <w:spacing w:line="218" w:lineRule="auto" w:before="139"/>
      </w:pPr>
      <w:r>
        <w:rPr>
          <w:color w:val="231F20"/>
        </w:rPr>
        <w:t>8° voor de uitvoerende bestuurders, de leden van de directieraad, de andere personen belast met de leiding en de personen belast met het dagelijks bestuur, op individuele basis, het aantal en de voornaamste kenmerken van de aandelen, de aandelenopties of alle andere rechten om aandelen te verwerven, toegekend, uitgeoefend of vervallen in de loop van het door het jaarverslag behandelde boekjaar;</w:t>
      </w:r>
    </w:p>
    <w:p>
      <w:pPr>
        <w:pStyle w:val="BodyText"/>
        <w:spacing w:line="218" w:lineRule="auto" w:before="139"/>
      </w:pPr>
      <w:r>
        <w:rPr>
          <w:color w:val="231F20"/>
        </w:rPr>
        <w:t>9° voor de uitvoerende bestuurders, de leden van de directieraad, de andere personen belast met de leiding en de personen belast met het dagelijks bestuur, op individuele basis, de bepalingen omtrent vertrek- vergoedingen;</w:t>
      </w:r>
    </w:p>
    <w:p>
      <w:pPr>
        <w:pStyle w:val="BodyText"/>
        <w:spacing w:line="218" w:lineRule="auto" w:before="139"/>
      </w:pPr>
      <w:r>
        <w:rPr>
          <w:color w:val="231F20"/>
        </w:rPr>
        <w:t>10° in geval van vertrek van de uitvoerende bestuurders, de leden  van de directieraad, de andere personen belast met de leiding of de personen belast met het dagelijks bestuur, de verantwoording en het besluit door de raad van bestuur, op voorstel van het remuneratieco- mité, of de betrokkenen in aanmerking komen voor de vertrekvergoe- ding, en de berekeningsbasis</w:t>
      </w:r>
      <w:r>
        <w:rPr>
          <w:color w:val="231F20"/>
          <w:spacing w:val="19"/>
        </w:rPr>
        <w:t> </w:t>
      </w:r>
      <w:r>
        <w:rPr>
          <w:color w:val="231F20"/>
        </w:rPr>
        <w:t>hiervoor;</w:t>
      </w:r>
    </w:p>
    <w:p>
      <w:pPr>
        <w:pStyle w:val="BodyText"/>
        <w:spacing w:line="218" w:lineRule="auto" w:before="139"/>
      </w:pPr>
      <w:r>
        <w:rPr>
          <w:color w:val="231F20"/>
        </w:rPr>
        <w:t>11° voor de uitvoerende bestuurders, de leden van de directieraad en de andere personen belast met de leiding of de personen belast met het dagelijks bestuur, de mate waarin ten gunste van de vennootschap is voorzien in een terugvorderingsrecht van de variabele remuneratie.</w:t>
      </w:r>
    </w:p>
    <w:p>
      <w:pPr>
        <w:spacing w:after="0" w:line="218" w:lineRule="auto"/>
        <w:sectPr>
          <w:headerReference w:type="even" r:id="rId27"/>
          <w:headerReference w:type="default" r:id="rId28"/>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2272" from="298.170502pt,64.473pt" to="298.170502pt,812.819pt" stroked="true" strokeweight=".533pt" strokecolor="#231f20">
            <v:stroke dashstyle="solid"/>
            <w10:wrap type="none"/>
          </v:line>
        </w:pict>
      </w:r>
      <w:bookmarkStart w:name="_bookmark52" w:id="55"/>
      <w:bookmarkEnd w:id="55"/>
      <w:r>
        <w:rPr/>
      </w:r>
      <w:r>
        <w:rPr>
          <w:color w:val="231F20"/>
        </w:rPr>
        <w:t>Pour l’application du présent paragraphe ainsi que des articles 7:92, 7:100 et 7:121, l’on entend par “autres dirigeants” les membres de tout comité où se discute la direction générale de la société, organisé en dehors du régime de l’article 7:104.</w:t>
      </w:r>
    </w:p>
    <w:p>
      <w:pPr>
        <w:pStyle w:val="BodyText"/>
        <w:ind w:left="0" w:right="0" w:firstLine="0"/>
        <w:jc w:val="left"/>
        <w:rPr>
          <w:sz w:val="23"/>
        </w:rPr>
      </w:pPr>
    </w:p>
    <w:p>
      <w:pPr>
        <w:pStyle w:val="BodyText"/>
        <w:spacing w:line="218" w:lineRule="auto" w:before="1"/>
        <w:ind w:right="39"/>
      </w:pPr>
      <w:r>
        <w:rPr>
          <w:color w:val="231F20"/>
        </w:rPr>
        <w:t>§ 4. Le présent paragraphe s’applique aux sociétés qui répondent à toutes les conditions suivantes:</w:t>
      </w:r>
    </w:p>
    <w:p>
      <w:pPr>
        <w:pStyle w:val="BodyText"/>
        <w:spacing w:before="71"/>
        <w:ind w:left="283" w:right="0" w:firstLine="0"/>
        <w:jc w:val="left"/>
      </w:pPr>
      <w:r>
        <w:rPr>
          <w:color w:val="231F20"/>
        </w:rPr>
        <w:t>1° la société est une entité d’intérêt public, visée à l’article 1:12;</w:t>
      </w:r>
    </w:p>
    <w:p>
      <w:pPr>
        <w:pStyle w:val="BodyText"/>
        <w:spacing w:before="7"/>
        <w:ind w:left="0" w:right="0" w:firstLine="0"/>
        <w:jc w:val="left"/>
        <w:rPr>
          <w:sz w:val="23"/>
        </w:rPr>
      </w:pPr>
    </w:p>
    <w:p>
      <w:pPr>
        <w:pStyle w:val="BodyText"/>
        <w:spacing w:line="218" w:lineRule="auto"/>
        <w:ind w:right="39"/>
      </w:pPr>
      <w:r>
        <w:rPr>
          <w:color w:val="231F20"/>
        </w:rPr>
        <w:t>2° la société dépasse, à la date de bilan du dernier exercice clôturé, le critère du nombre moyen de 500 salariés sur l’exercice;</w:t>
      </w:r>
    </w:p>
    <w:p>
      <w:pPr>
        <w:pStyle w:val="BodyText"/>
        <w:spacing w:before="11"/>
        <w:ind w:left="0" w:right="0" w:firstLine="0"/>
        <w:jc w:val="left"/>
        <w:rPr>
          <w:sz w:val="23"/>
        </w:rPr>
      </w:pPr>
    </w:p>
    <w:p>
      <w:pPr>
        <w:pStyle w:val="BodyText"/>
        <w:spacing w:line="218" w:lineRule="auto"/>
        <w:ind w:right="38"/>
      </w:pPr>
      <w:r>
        <w:rPr>
          <w:color w:val="231F20"/>
        </w:rPr>
        <w:t>3° la société dépasse, à la date de bilan du dernier exercice clôturé, au moins l’un des deux critères suivants, à condition que ces critères</w:t>
      </w:r>
      <w:r>
        <w:rPr>
          <w:color w:val="231F20"/>
          <w:spacing w:val="-19"/>
        </w:rPr>
        <w:t> </w:t>
      </w:r>
      <w:r>
        <w:rPr>
          <w:color w:val="231F20"/>
        </w:rPr>
        <w:t>soient calculés</w:t>
      </w:r>
      <w:r>
        <w:rPr>
          <w:color w:val="231F20"/>
          <w:spacing w:val="17"/>
        </w:rPr>
        <w:t> </w:t>
      </w:r>
      <w:r>
        <w:rPr>
          <w:color w:val="231F20"/>
        </w:rPr>
        <w:t>sur</w:t>
      </w:r>
      <w:r>
        <w:rPr>
          <w:color w:val="231F20"/>
          <w:spacing w:val="18"/>
        </w:rPr>
        <w:t> </w:t>
      </w:r>
      <w:r>
        <w:rPr>
          <w:color w:val="231F20"/>
        </w:rPr>
        <w:t>base</w:t>
      </w:r>
      <w:r>
        <w:rPr>
          <w:color w:val="231F20"/>
          <w:spacing w:val="17"/>
        </w:rPr>
        <w:t> </w:t>
      </w:r>
      <w:r>
        <w:rPr>
          <w:color w:val="231F20"/>
        </w:rPr>
        <w:t>individuelle,</w:t>
      </w:r>
      <w:r>
        <w:rPr>
          <w:color w:val="231F20"/>
          <w:spacing w:val="18"/>
        </w:rPr>
        <w:t> </w:t>
      </w:r>
      <w:r>
        <w:rPr>
          <w:color w:val="231F20"/>
        </w:rPr>
        <w:t>sauf</w:t>
      </w:r>
      <w:r>
        <w:rPr>
          <w:color w:val="231F20"/>
          <w:spacing w:val="18"/>
        </w:rPr>
        <w:t> </w:t>
      </w:r>
      <w:r>
        <w:rPr>
          <w:color w:val="231F20"/>
        </w:rPr>
        <w:t>s’il</w:t>
      </w:r>
      <w:r>
        <w:rPr>
          <w:color w:val="231F20"/>
          <w:spacing w:val="17"/>
        </w:rPr>
        <w:t> </w:t>
      </w:r>
      <w:r>
        <w:rPr>
          <w:color w:val="231F20"/>
        </w:rPr>
        <w:t>s’agit</w:t>
      </w:r>
      <w:r>
        <w:rPr>
          <w:color w:val="231F20"/>
          <w:spacing w:val="18"/>
        </w:rPr>
        <w:t> </w:t>
      </w:r>
      <w:r>
        <w:rPr>
          <w:color w:val="231F20"/>
        </w:rPr>
        <w:t>d’une</w:t>
      </w:r>
      <w:r>
        <w:rPr>
          <w:color w:val="231F20"/>
          <w:spacing w:val="17"/>
        </w:rPr>
        <w:t> </w:t>
      </w:r>
      <w:r>
        <w:rPr>
          <w:color w:val="231F20"/>
        </w:rPr>
        <w:t>société</w:t>
      </w:r>
      <w:r>
        <w:rPr>
          <w:color w:val="231F20"/>
          <w:spacing w:val="18"/>
        </w:rPr>
        <w:t> </w:t>
      </w:r>
      <w:r>
        <w:rPr>
          <w:color w:val="231F20"/>
        </w:rPr>
        <w:t>mère:</w:t>
      </w:r>
    </w:p>
    <w:p>
      <w:pPr>
        <w:pStyle w:val="BodyText"/>
        <w:spacing w:before="4"/>
        <w:ind w:left="0" w:right="0" w:firstLine="0"/>
        <w:jc w:val="left"/>
        <w:rPr>
          <w:sz w:val="21"/>
        </w:rPr>
      </w:pPr>
    </w:p>
    <w:p>
      <w:pPr>
        <w:pStyle w:val="ListParagraph"/>
        <w:numPr>
          <w:ilvl w:val="0"/>
          <w:numId w:val="48"/>
        </w:numPr>
        <w:tabs>
          <w:tab w:pos="512" w:val="left" w:leader="none"/>
        </w:tabs>
        <w:spacing w:line="240" w:lineRule="auto" w:before="0" w:after="0"/>
        <w:ind w:left="511" w:right="0" w:hanging="228"/>
        <w:jc w:val="left"/>
        <w:rPr>
          <w:sz w:val="17"/>
        </w:rPr>
      </w:pPr>
      <w:r>
        <w:rPr>
          <w:color w:val="231F20"/>
          <w:sz w:val="17"/>
        </w:rPr>
        <w:t>total</w:t>
      </w:r>
      <w:r>
        <w:rPr>
          <w:color w:val="231F20"/>
          <w:spacing w:val="15"/>
          <w:sz w:val="17"/>
        </w:rPr>
        <w:t> </w:t>
      </w:r>
      <w:r>
        <w:rPr>
          <w:color w:val="231F20"/>
          <w:sz w:val="17"/>
        </w:rPr>
        <w:t>du</w:t>
      </w:r>
      <w:r>
        <w:rPr>
          <w:color w:val="231F20"/>
          <w:spacing w:val="15"/>
          <w:sz w:val="17"/>
        </w:rPr>
        <w:t> </w:t>
      </w:r>
      <w:r>
        <w:rPr>
          <w:color w:val="231F20"/>
          <w:sz w:val="17"/>
        </w:rPr>
        <w:t>bilan,</w:t>
      </w:r>
      <w:r>
        <w:rPr>
          <w:color w:val="231F20"/>
          <w:spacing w:val="15"/>
          <w:sz w:val="17"/>
        </w:rPr>
        <w:t> </w:t>
      </w:r>
      <w:r>
        <w:rPr>
          <w:color w:val="231F20"/>
          <w:spacing w:val="3"/>
          <w:sz w:val="17"/>
        </w:rPr>
        <w:t>visé</w:t>
      </w:r>
      <w:r>
        <w:rPr>
          <w:color w:val="231F20"/>
          <w:sz w:val="17"/>
        </w:rPr>
        <w:t> à</w:t>
      </w:r>
      <w:r>
        <w:rPr>
          <w:color w:val="231F20"/>
          <w:spacing w:val="16"/>
          <w:sz w:val="17"/>
        </w:rPr>
        <w:t> </w:t>
      </w:r>
      <w:r>
        <w:rPr>
          <w:color w:val="231F20"/>
          <w:sz w:val="17"/>
        </w:rPr>
        <w:t>l’article</w:t>
      </w:r>
      <w:r>
        <w:rPr>
          <w:color w:val="231F20"/>
          <w:spacing w:val="15"/>
          <w:sz w:val="17"/>
        </w:rPr>
        <w:t> </w:t>
      </w:r>
      <w:r>
        <w:rPr>
          <w:color w:val="231F20"/>
          <w:sz w:val="17"/>
        </w:rPr>
        <w:t>1:26,</w:t>
      </w:r>
      <w:r>
        <w:rPr>
          <w:color w:val="231F20"/>
          <w:spacing w:val="15"/>
          <w:sz w:val="17"/>
        </w:rPr>
        <w:t> </w:t>
      </w:r>
      <w:r>
        <w:rPr>
          <w:color w:val="231F20"/>
          <w:sz w:val="17"/>
        </w:rPr>
        <w:t>§</w:t>
      </w:r>
      <w:r>
        <w:rPr>
          <w:color w:val="231F20"/>
          <w:spacing w:val="16"/>
          <w:sz w:val="17"/>
        </w:rPr>
        <w:t> </w:t>
      </w:r>
      <w:r>
        <w:rPr>
          <w:color w:val="231F20"/>
          <w:sz w:val="17"/>
        </w:rPr>
        <w:t>1</w:t>
      </w:r>
      <w:r>
        <w:rPr>
          <w:color w:val="231F20"/>
          <w:position w:val="7"/>
          <w:sz w:val="11"/>
        </w:rPr>
        <w:t>er</w:t>
      </w:r>
      <w:r>
        <w:rPr>
          <w:color w:val="231F20"/>
          <w:sz w:val="17"/>
        </w:rPr>
        <w:t>;</w:t>
      </w:r>
    </w:p>
    <w:p>
      <w:pPr>
        <w:pStyle w:val="ListParagraph"/>
        <w:numPr>
          <w:ilvl w:val="0"/>
          <w:numId w:val="48"/>
        </w:numPr>
        <w:tabs>
          <w:tab w:pos="511" w:val="left" w:leader="none"/>
        </w:tabs>
        <w:spacing w:line="240" w:lineRule="auto" w:before="64" w:after="0"/>
        <w:ind w:left="510" w:right="0" w:hanging="227"/>
        <w:jc w:val="left"/>
        <w:rPr>
          <w:sz w:val="17"/>
        </w:rPr>
      </w:pPr>
      <w:r>
        <w:rPr>
          <w:color w:val="231F20"/>
          <w:spacing w:val="-3"/>
          <w:sz w:val="17"/>
        </w:rPr>
        <w:t>chiffre </w:t>
      </w:r>
      <w:r>
        <w:rPr>
          <w:color w:val="231F20"/>
          <w:sz w:val="17"/>
        </w:rPr>
        <w:t>d’affaires annuel, </w:t>
      </w:r>
      <w:r>
        <w:rPr>
          <w:color w:val="231F20"/>
          <w:spacing w:val="3"/>
          <w:sz w:val="17"/>
        </w:rPr>
        <w:t>visé </w:t>
      </w:r>
      <w:r>
        <w:rPr>
          <w:color w:val="231F20"/>
          <w:sz w:val="17"/>
        </w:rPr>
        <w:t>à l’article 1:26, §</w:t>
      </w:r>
      <w:r>
        <w:rPr>
          <w:color w:val="231F20"/>
          <w:spacing w:val="30"/>
          <w:sz w:val="17"/>
        </w:rPr>
        <w:t> </w:t>
      </w:r>
      <w:r>
        <w:rPr>
          <w:color w:val="231F20"/>
          <w:sz w:val="17"/>
        </w:rPr>
        <w:t>1</w:t>
      </w:r>
      <w:r>
        <w:rPr>
          <w:color w:val="231F20"/>
          <w:position w:val="7"/>
          <w:sz w:val="11"/>
        </w:rPr>
        <w:t>er</w:t>
      </w:r>
      <w:r>
        <w:rPr>
          <w:color w:val="231F20"/>
          <w:sz w:val="17"/>
        </w:rPr>
        <w:t>.</w:t>
      </w:r>
    </w:p>
    <w:p>
      <w:pPr>
        <w:pStyle w:val="BodyText"/>
        <w:spacing w:line="218" w:lineRule="auto" w:before="93"/>
        <w:ind w:right="39"/>
      </w:pPr>
      <w:r>
        <w:rPr>
          <w:color w:val="231F20"/>
        </w:rPr>
        <w:t>Pour le calcul du nombre annuel des salariés, l’article 1:24, § 5, est d’application.</w:t>
      </w:r>
    </w:p>
    <w:p>
      <w:pPr>
        <w:pStyle w:val="BodyText"/>
        <w:spacing w:line="218" w:lineRule="auto" w:before="96"/>
        <w:ind w:right="38"/>
      </w:pPr>
      <w:r>
        <w:rPr>
          <w:color w:val="231F20"/>
        </w:rPr>
        <w:t>Dans la mesure nécessaire à la compréhension de l’évolution des affaires, des performances, de la situation de la société et des</w:t>
      </w:r>
      <w:r>
        <w:rPr>
          <w:color w:val="231F20"/>
          <w:spacing w:val="-16"/>
        </w:rPr>
        <w:t> </w:t>
      </w:r>
      <w:r>
        <w:rPr>
          <w:color w:val="231F20"/>
        </w:rPr>
        <w:t>incidences de son activité, relatives au moins aux questions sociales et environne- mentales et de personnel, de respect des droits de l’homme et de lutte contre la corruption, le rapport de gestion comprend une déclaration qui comporte les informations</w:t>
      </w:r>
      <w:r>
        <w:rPr>
          <w:color w:val="231F20"/>
          <w:spacing w:val="19"/>
        </w:rPr>
        <w:t> </w:t>
      </w:r>
      <w:r>
        <w:rPr>
          <w:color w:val="231F20"/>
        </w:rPr>
        <w:t>suivantes:</w:t>
      </w:r>
    </w:p>
    <w:p>
      <w:pPr>
        <w:pStyle w:val="ListParagraph"/>
        <w:numPr>
          <w:ilvl w:val="0"/>
          <w:numId w:val="59"/>
        </w:numPr>
        <w:tabs>
          <w:tab w:pos="473" w:val="left" w:leader="none"/>
        </w:tabs>
        <w:spacing w:line="240" w:lineRule="auto" w:before="79" w:after="0"/>
        <w:ind w:left="113" w:right="0" w:firstLine="170"/>
        <w:jc w:val="left"/>
        <w:rPr>
          <w:sz w:val="17"/>
        </w:rPr>
      </w:pPr>
      <w:r>
        <w:rPr>
          <w:color w:val="231F20"/>
          <w:sz w:val="17"/>
        </w:rPr>
        <w:t>une</w:t>
      </w:r>
      <w:r>
        <w:rPr>
          <w:color w:val="231F20"/>
          <w:spacing w:val="15"/>
          <w:sz w:val="17"/>
        </w:rPr>
        <w:t> </w:t>
      </w:r>
      <w:r>
        <w:rPr>
          <w:color w:val="231F20"/>
          <w:sz w:val="17"/>
        </w:rPr>
        <w:t>brève</w:t>
      </w:r>
      <w:r>
        <w:rPr>
          <w:color w:val="231F20"/>
          <w:spacing w:val="15"/>
          <w:sz w:val="17"/>
        </w:rPr>
        <w:t> </w:t>
      </w:r>
      <w:r>
        <w:rPr>
          <w:color w:val="231F20"/>
          <w:sz w:val="17"/>
        </w:rPr>
        <w:t>description</w:t>
      </w:r>
      <w:r>
        <w:rPr>
          <w:color w:val="231F20"/>
          <w:spacing w:val="15"/>
          <w:sz w:val="17"/>
        </w:rPr>
        <w:t> </w:t>
      </w:r>
      <w:r>
        <w:rPr>
          <w:color w:val="231F20"/>
          <w:sz w:val="17"/>
        </w:rPr>
        <w:t>des</w:t>
      </w:r>
      <w:r>
        <w:rPr>
          <w:color w:val="231F20"/>
          <w:spacing w:val="16"/>
          <w:sz w:val="17"/>
        </w:rPr>
        <w:t> </w:t>
      </w:r>
      <w:r>
        <w:rPr>
          <w:color w:val="231F20"/>
          <w:sz w:val="17"/>
        </w:rPr>
        <w:t>activités</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6"/>
          <w:sz w:val="17"/>
        </w:rPr>
        <w:t> </w:t>
      </w:r>
      <w:r>
        <w:rPr>
          <w:color w:val="231F20"/>
          <w:sz w:val="17"/>
        </w:rPr>
        <w:t>société;</w:t>
      </w:r>
    </w:p>
    <w:p>
      <w:pPr>
        <w:pStyle w:val="ListParagraph"/>
        <w:numPr>
          <w:ilvl w:val="0"/>
          <w:numId w:val="59"/>
        </w:numPr>
        <w:tabs>
          <w:tab w:pos="476" w:val="left" w:leader="none"/>
        </w:tabs>
        <w:spacing w:line="218" w:lineRule="auto" w:before="90" w:after="0"/>
        <w:ind w:left="113" w:right="38" w:firstLine="170"/>
        <w:jc w:val="both"/>
        <w:rPr>
          <w:sz w:val="17"/>
        </w:rPr>
      </w:pPr>
      <w:r>
        <w:rPr>
          <w:color w:val="231F20"/>
          <w:sz w:val="17"/>
        </w:rPr>
        <w:t>une description des politiques appliquées par la société en ce qui concerne ces questions, y compris les procédures de diligence raison- nable mises en</w:t>
      </w:r>
      <w:r>
        <w:rPr>
          <w:color w:val="231F20"/>
          <w:spacing w:val="3"/>
          <w:sz w:val="17"/>
        </w:rPr>
        <w:t> </w:t>
      </w:r>
      <w:r>
        <w:rPr>
          <w:color w:val="231F20"/>
          <w:sz w:val="17"/>
        </w:rPr>
        <w:t>œuvre;</w:t>
      </w:r>
    </w:p>
    <w:p>
      <w:pPr>
        <w:pStyle w:val="ListParagraph"/>
        <w:numPr>
          <w:ilvl w:val="0"/>
          <w:numId w:val="59"/>
        </w:numPr>
        <w:tabs>
          <w:tab w:pos="467" w:val="left" w:leader="none"/>
        </w:tabs>
        <w:spacing w:line="240" w:lineRule="auto" w:before="80" w:after="0"/>
        <w:ind w:left="466" w:right="0" w:hanging="183"/>
        <w:jc w:val="left"/>
        <w:rPr>
          <w:sz w:val="17"/>
        </w:rPr>
      </w:pPr>
      <w:r>
        <w:rPr>
          <w:color w:val="231F20"/>
          <w:sz w:val="17"/>
        </w:rPr>
        <w:t>les résultats de ces</w:t>
      </w:r>
      <w:r>
        <w:rPr>
          <w:color w:val="231F20"/>
          <w:spacing w:val="18"/>
          <w:sz w:val="17"/>
        </w:rPr>
        <w:t> </w:t>
      </w:r>
      <w:r>
        <w:rPr>
          <w:color w:val="231F20"/>
          <w:sz w:val="17"/>
        </w:rPr>
        <w:t>politiques;</w:t>
      </w:r>
    </w:p>
    <w:p>
      <w:pPr>
        <w:pStyle w:val="ListParagraph"/>
        <w:numPr>
          <w:ilvl w:val="0"/>
          <w:numId w:val="59"/>
        </w:numPr>
        <w:tabs>
          <w:tab w:pos="509" w:val="left" w:leader="none"/>
        </w:tabs>
        <w:spacing w:line="218" w:lineRule="auto" w:before="90" w:after="0"/>
        <w:ind w:left="113" w:right="38" w:firstLine="170"/>
        <w:jc w:val="both"/>
        <w:rPr>
          <w:sz w:val="17"/>
        </w:rPr>
      </w:pPr>
      <w:r>
        <w:rPr>
          <w:color w:val="231F20"/>
          <w:sz w:val="17"/>
        </w:rPr>
        <w:t>les principaux risques liés à ces questions en rapport avec les activités de la société, y compris, lorsque cela s’avère pertinent et proportionné, les relations d’affaires, les produits ou les services de la société, qui sont susceptibles d’entraîner des incidences négatives dans ces</w:t>
      </w:r>
      <w:r>
        <w:rPr>
          <w:color w:val="231F20"/>
          <w:spacing w:val="13"/>
          <w:sz w:val="17"/>
        </w:rPr>
        <w:t> </w:t>
      </w:r>
      <w:r>
        <w:rPr>
          <w:color w:val="231F20"/>
          <w:sz w:val="17"/>
        </w:rPr>
        <w:t>domaines,</w:t>
      </w:r>
      <w:r>
        <w:rPr>
          <w:color w:val="231F20"/>
          <w:spacing w:val="14"/>
          <w:sz w:val="17"/>
        </w:rPr>
        <w:t> </w:t>
      </w:r>
      <w:r>
        <w:rPr>
          <w:color w:val="231F20"/>
          <w:sz w:val="17"/>
        </w:rPr>
        <w:t>et</w:t>
      </w:r>
      <w:r>
        <w:rPr>
          <w:color w:val="231F20"/>
          <w:spacing w:val="14"/>
          <w:sz w:val="17"/>
        </w:rPr>
        <w:t> </w:t>
      </w:r>
      <w:r>
        <w:rPr>
          <w:color w:val="231F20"/>
          <w:sz w:val="17"/>
        </w:rPr>
        <w:t>la</w:t>
      </w:r>
      <w:r>
        <w:rPr>
          <w:color w:val="231F20"/>
          <w:spacing w:val="14"/>
          <w:sz w:val="17"/>
        </w:rPr>
        <w:t> </w:t>
      </w:r>
      <w:r>
        <w:rPr>
          <w:color w:val="231F20"/>
          <w:sz w:val="17"/>
        </w:rPr>
        <w:t>manière</w:t>
      </w:r>
      <w:r>
        <w:rPr>
          <w:color w:val="231F20"/>
          <w:spacing w:val="14"/>
          <w:sz w:val="17"/>
        </w:rPr>
        <w:t> </w:t>
      </w:r>
      <w:r>
        <w:rPr>
          <w:color w:val="231F20"/>
          <w:sz w:val="17"/>
        </w:rPr>
        <w:t>dont</w:t>
      </w:r>
      <w:r>
        <w:rPr>
          <w:color w:val="231F20"/>
          <w:spacing w:val="14"/>
          <w:sz w:val="17"/>
        </w:rPr>
        <w:t> </w:t>
      </w:r>
      <w:r>
        <w:rPr>
          <w:color w:val="231F20"/>
          <w:sz w:val="17"/>
        </w:rPr>
        <w:t>la</w:t>
      </w:r>
      <w:r>
        <w:rPr>
          <w:color w:val="231F20"/>
          <w:spacing w:val="14"/>
          <w:sz w:val="17"/>
        </w:rPr>
        <w:t> </w:t>
      </w:r>
      <w:r>
        <w:rPr>
          <w:color w:val="231F20"/>
          <w:sz w:val="17"/>
        </w:rPr>
        <w:t>société</w:t>
      </w:r>
      <w:r>
        <w:rPr>
          <w:color w:val="231F20"/>
          <w:spacing w:val="13"/>
          <w:sz w:val="17"/>
        </w:rPr>
        <w:t> </w:t>
      </w:r>
      <w:r>
        <w:rPr>
          <w:color w:val="231F20"/>
          <w:sz w:val="17"/>
        </w:rPr>
        <w:t>gère</w:t>
      </w:r>
      <w:r>
        <w:rPr>
          <w:color w:val="231F20"/>
          <w:spacing w:val="14"/>
          <w:sz w:val="17"/>
        </w:rPr>
        <w:t> </w:t>
      </w:r>
      <w:r>
        <w:rPr>
          <w:color w:val="231F20"/>
          <w:sz w:val="17"/>
        </w:rPr>
        <w:t>ces</w:t>
      </w:r>
      <w:r>
        <w:rPr>
          <w:color w:val="231F20"/>
          <w:spacing w:val="14"/>
          <w:sz w:val="17"/>
        </w:rPr>
        <w:t> </w:t>
      </w:r>
      <w:r>
        <w:rPr>
          <w:color w:val="231F20"/>
          <w:sz w:val="17"/>
        </w:rPr>
        <w:t>risques;</w:t>
      </w:r>
    </w:p>
    <w:p>
      <w:pPr>
        <w:pStyle w:val="ListParagraph"/>
        <w:numPr>
          <w:ilvl w:val="0"/>
          <w:numId w:val="59"/>
        </w:numPr>
        <w:tabs>
          <w:tab w:pos="507" w:val="left" w:leader="none"/>
        </w:tabs>
        <w:spacing w:line="218" w:lineRule="auto" w:before="93" w:after="0"/>
        <w:ind w:left="113" w:right="41" w:firstLine="170"/>
        <w:jc w:val="both"/>
        <w:rPr>
          <w:sz w:val="17"/>
        </w:rPr>
      </w:pPr>
      <w:r>
        <w:rPr>
          <w:color w:val="231F20"/>
          <w:sz w:val="17"/>
        </w:rPr>
        <w:t>les indicateurs clés de performance de nature non financière concernant les activités en</w:t>
      </w:r>
      <w:r>
        <w:rPr>
          <w:color w:val="231F20"/>
          <w:spacing w:val="17"/>
          <w:sz w:val="17"/>
        </w:rPr>
        <w:t> </w:t>
      </w:r>
      <w:r>
        <w:rPr>
          <w:color w:val="231F20"/>
          <w:sz w:val="17"/>
        </w:rPr>
        <w:t>question.</w:t>
      </w:r>
    </w:p>
    <w:p>
      <w:pPr>
        <w:pStyle w:val="BodyText"/>
        <w:spacing w:line="218" w:lineRule="auto" w:before="97"/>
        <w:ind w:right="38"/>
      </w:pPr>
      <w:r>
        <w:rPr>
          <w:color w:val="231F20"/>
        </w:rPr>
        <w:t>Pour l’établissement de la déclaration non financière, la société s’appuie sur des référentiels européens et internationaux reconnus. Elle indique dans la déclaration sur quel(s) référentiel(s) elle s’est appuyée.</w:t>
      </w:r>
    </w:p>
    <w:p>
      <w:pPr>
        <w:pStyle w:val="BodyText"/>
        <w:spacing w:before="10"/>
        <w:ind w:left="0" w:right="0" w:firstLine="0"/>
        <w:jc w:val="left"/>
        <w:rPr>
          <w:sz w:val="23"/>
        </w:rPr>
      </w:pPr>
    </w:p>
    <w:p>
      <w:pPr>
        <w:pStyle w:val="BodyText"/>
        <w:spacing w:line="218" w:lineRule="auto"/>
        <w:ind w:right="38"/>
      </w:pPr>
      <w:r>
        <w:rPr>
          <w:color w:val="231F20"/>
        </w:rPr>
        <w:t>Le Roi peut établir une liste des référentiels européens et internatio- naux et des procédures de diligence raisonnable sur lesquelles les sociétés peuvent s’appuyer.</w:t>
      </w:r>
    </w:p>
    <w:p>
      <w:pPr>
        <w:pStyle w:val="BodyText"/>
        <w:spacing w:line="218" w:lineRule="auto" w:before="96"/>
        <w:ind w:right="38"/>
      </w:pPr>
      <w:r>
        <w:rPr>
          <w:color w:val="231F20"/>
        </w:rPr>
        <w:t>La déclaration non financière contient, le cas échéant, également les renvois pertinents aux montants financiers indiqués dans les comptes annuels et des explications supplémentaires y afférentes.</w:t>
      </w:r>
    </w:p>
    <w:p>
      <w:pPr>
        <w:pStyle w:val="BodyText"/>
        <w:spacing w:line="218" w:lineRule="auto" w:before="97"/>
        <w:ind w:right="38"/>
      </w:pPr>
      <w:r>
        <w:rPr>
          <w:color w:val="231F20"/>
        </w:rPr>
        <w:t>Lorsque la société n’applique pas de politique en ce qui concerne l’une ou plusieurs de ces questions, la déclaration non financière comprend une explication claire et motivée des raisons justifiant cette non-application.</w:t>
      </w:r>
    </w:p>
    <w:p>
      <w:pPr>
        <w:pStyle w:val="BodyText"/>
        <w:spacing w:line="218" w:lineRule="auto" w:before="96"/>
        <w:ind w:right="38"/>
      </w:pPr>
      <w:r>
        <w:rPr>
          <w:color w:val="231F20"/>
        </w:rPr>
        <w:t>Dans des cas exceptionnels, l’organe d’administration de la société mère peut décider d’omettre dans la déclaration des informations portant sur des évolutions imminentes ou des affaires en cours de négociation, lorsque, de l’avis dûment motivé de l’organe d’adminis- tration et au titre de la responsabilité collective de ses membres quant  à cet avis, la publication de ces informations pourraient nuire gravement à la position commerciale de la société, à condition que l’omission de ces informations ne fasse pas obstacle à une compréhen- sion juste et équilibrée de l’évolution des affaires, des performances, de la</w:t>
      </w:r>
      <w:r>
        <w:rPr>
          <w:color w:val="231F20"/>
          <w:spacing w:val="15"/>
        </w:rPr>
        <w:t> </w:t>
      </w:r>
      <w:r>
        <w:rPr>
          <w:color w:val="231F20"/>
        </w:rPr>
        <w:t>situation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et</w:t>
      </w:r>
      <w:r>
        <w:rPr>
          <w:color w:val="231F20"/>
          <w:spacing w:val="15"/>
        </w:rPr>
        <w:t> </w:t>
      </w:r>
      <w:r>
        <w:rPr>
          <w:color w:val="231F20"/>
        </w:rPr>
        <w:t>des</w:t>
      </w:r>
      <w:r>
        <w:rPr>
          <w:color w:val="231F20"/>
          <w:spacing w:val="15"/>
        </w:rPr>
        <w:t> </w:t>
      </w:r>
      <w:r>
        <w:rPr>
          <w:color w:val="231F20"/>
        </w:rPr>
        <w:t>incidences</w:t>
      </w:r>
      <w:r>
        <w:rPr>
          <w:color w:val="231F20"/>
          <w:spacing w:val="15"/>
        </w:rPr>
        <w:t> </w:t>
      </w:r>
      <w:r>
        <w:rPr>
          <w:color w:val="231F20"/>
        </w:rPr>
        <w:t>de</w:t>
      </w:r>
      <w:r>
        <w:rPr>
          <w:color w:val="231F20"/>
          <w:spacing w:val="15"/>
        </w:rPr>
        <w:t> </w:t>
      </w:r>
      <w:r>
        <w:rPr>
          <w:color w:val="231F20"/>
        </w:rPr>
        <w:t>son</w:t>
      </w:r>
      <w:r>
        <w:rPr>
          <w:color w:val="231F20"/>
          <w:spacing w:val="15"/>
        </w:rPr>
        <w:t> </w:t>
      </w:r>
      <w:r>
        <w:rPr>
          <w:color w:val="231F20"/>
        </w:rPr>
        <w:t>activité.</w:t>
      </w:r>
    </w:p>
    <w:p>
      <w:pPr>
        <w:pStyle w:val="BodyText"/>
        <w:spacing w:before="4"/>
        <w:ind w:left="0" w:right="0" w:firstLine="0"/>
        <w:jc w:val="left"/>
        <w:rPr>
          <w:sz w:val="24"/>
        </w:rPr>
      </w:pPr>
    </w:p>
    <w:p>
      <w:pPr>
        <w:pStyle w:val="BodyText"/>
        <w:spacing w:line="211" w:lineRule="auto" w:before="1"/>
        <w:ind w:right="38"/>
      </w:pPr>
      <w:r>
        <w:rPr>
          <w:color w:val="231F20"/>
        </w:rPr>
        <w:t>La société qui a établi et publié une déclaration non financière, est réputée avoir satisfait à l’obligation prévue dans le paragraphe 1</w:t>
      </w:r>
      <w:r>
        <w:rPr>
          <w:color w:val="231F20"/>
          <w:position w:val="7"/>
          <w:sz w:val="11"/>
        </w:rPr>
        <w:t>er</w:t>
      </w:r>
      <w:r>
        <w:rPr>
          <w:color w:val="231F20"/>
        </w:rPr>
        <w:t>, 1°, alinéa 2.</w:t>
      </w:r>
    </w:p>
    <w:p>
      <w:pPr>
        <w:pStyle w:val="BodyText"/>
        <w:spacing w:line="218" w:lineRule="auto" w:before="93"/>
        <w:ind w:right="38"/>
      </w:pPr>
      <w:r>
        <w:rPr>
          <w:color w:val="231F20"/>
        </w:rPr>
        <w:t>Une filiale est exemptée des obligations prévues au présent paragra- phe, lorsque l’information concernée est comprise dans le rapport de gestion sur les comptes consolidés, établi par la société mère en Belgique conformément à l’article 3:30, § 2.</w:t>
      </w:r>
    </w:p>
    <w:p>
      <w:pPr>
        <w:pStyle w:val="BodyText"/>
        <w:spacing w:line="218" w:lineRule="auto" w:before="97"/>
        <w:ind w:right="38"/>
      </w:pPr>
      <w:r>
        <w:rPr>
          <w:color w:val="231F20"/>
        </w:rPr>
        <w:t>La société qui a établi la déclaration non financière sur le même exercice dans un rapport distinct est exemptée de l’obligation d’établir une déclaration non financière dans le rapport de gestion. Dans ce cas, le rapport de gestion contient une mention selon laquelle la déclaration</w:t>
      </w:r>
    </w:p>
    <w:p>
      <w:pPr>
        <w:pStyle w:val="BodyText"/>
        <w:spacing w:line="218" w:lineRule="auto" w:before="119"/>
      </w:pPr>
      <w:r>
        <w:rPr/>
        <w:br w:type="column"/>
      </w:r>
      <w:r>
        <w:rPr>
          <w:color w:val="231F20"/>
          <w:spacing w:val="-5"/>
        </w:rPr>
        <w:t>Voor </w:t>
      </w:r>
      <w:r>
        <w:rPr>
          <w:color w:val="231F20"/>
        </w:rPr>
        <w:t>de toepassing van deze paragraaf en van de  artikelen  7:92, 7:100 en 7:121 wordt met “andere personen belast met de leiding” verwezen naar de leden van elk comité waar de algemene leiding van  de vennootschap wordt besproken, en dat wordt georganiseerd buiten de regeling van artikel</w:t>
      </w:r>
      <w:r>
        <w:rPr>
          <w:color w:val="231F20"/>
          <w:spacing w:val="18"/>
        </w:rPr>
        <w:t> </w:t>
      </w:r>
      <w:r>
        <w:rPr>
          <w:color w:val="231F20"/>
        </w:rPr>
        <w:t>7:104.</w:t>
      </w:r>
    </w:p>
    <w:p>
      <w:pPr>
        <w:pStyle w:val="BodyText"/>
        <w:spacing w:line="218" w:lineRule="auto" w:before="86"/>
      </w:pPr>
      <w:r>
        <w:rPr>
          <w:color w:val="231F20"/>
        </w:rPr>
        <w:t>§ 4. Deze paragraaf is van toepassing voor vennootschappen die voldoen aan alle volgende voorwaarden:</w:t>
      </w:r>
    </w:p>
    <w:p>
      <w:pPr>
        <w:pStyle w:val="BodyText"/>
        <w:spacing w:line="218" w:lineRule="auto" w:before="86"/>
      </w:pPr>
      <w:r>
        <w:rPr>
          <w:color w:val="231F20"/>
        </w:rPr>
        <w:t>1° de vennootschap is een organisatie van openbaar belang, als bedoeld in artikel 1:12;</w:t>
      </w:r>
    </w:p>
    <w:p>
      <w:pPr>
        <w:pStyle w:val="BodyText"/>
        <w:spacing w:line="218" w:lineRule="auto" w:before="96"/>
      </w:pPr>
      <w:r>
        <w:rPr>
          <w:color w:val="231F20"/>
        </w:rPr>
        <w:t>2° de vennootschap overschrijdt op de balansdatum van het laatst afgesloten boekjaar de drempel van een gemiddeld personeelsbestand van 500 werknemers gedurende het boekjaar;</w:t>
      </w:r>
    </w:p>
    <w:p>
      <w:pPr>
        <w:pStyle w:val="BodyText"/>
        <w:spacing w:line="218" w:lineRule="auto" w:before="96"/>
      </w:pPr>
      <w:r>
        <w:rPr>
          <w:color w:val="231F20"/>
        </w:rPr>
        <w:t>3° de vennootschap overschrijdt, op de balansdatum van het laatst afgesloten boekjaar, minstens één van de twee volgende criteria met dien verstande dat deze criteria worden berekend op enkelvoudige basis, tenzij deze vennootschap een moedervennootschap is:</w:t>
      </w:r>
    </w:p>
    <w:p>
      <w:pPr>
        <w:pStyle w:val="ListParagraph"/>
        <w:numPr>
          <w:ilvl w:val="0"/>
          <w:numId w:val="48"/>
        </w:numPr>
        <w:tabs>
          <w:tab w:pos="511" w:val="left" w:leader="none"/>
        </w:tabs>
        <w:spacing w:line="240" w:lineRule="auto" w:before="82" w:after="0"/>
        <w:ind w:left="510" w:right="0" w:hanging="227"/>
        <w:jc w:val="left"/>
        <w:rPr>
          <w:sz w:val="17"/>
        </w:rPr>
      </w:pPr>
      <w:r>
        <w:rPr>
          <w:color w:val="231F20"/>
          <w:sz w:val="17"/>
        </w:rPr>
        <w:t>balanstotaal,</w:t>
      </w:r>
      <w:r>
        <w:rPr>
          <w:color w:val="231F20"/>
          <w:spacing w:val="14"/>
          <w:sz w:val="17"/>
        </w:rPr>
        <w:t> </w:t>
      </w:r>
      <w:r>
        <w:rPr>
          <w:color w:val="231F20"/>
          <w:sz w:val="17"/>
        </w:rPr>
        <w:t>als</w:t>
      </w:r>
      <w:r>
        <w:rPr>
          <w:color w:val="231F20"/>
          <w:spacing w:val="14"/>
          <w:sz w:val="17"/>
        </w:rPr>
        <w:t> </w:t>
      </w:r>
      <w:r>
        <w:rPr>
          <w:color w:val="231F20"/>
          <w:sz w:val="17"/>
        </w:rPr>
        <w:t>bedoeld</w:t>
      </w:r>
      <w:r>
        <w:rPr>
          <w:color w:val="231F20"/>
          <w:spacing w:val="15"/>
          <w:sz w:val="17"/>
        </w:rPr>
        <w:t> </w:t>
      </w:r>
      <w:r>
        <w:rPr>
          <w:color w:val="231F20"/>
          <w:sz w:val="17"/>
        </w:rPr>
        <w:t>in</w:t>
      </w:r>
      <w:r>
        <w:rPr>
          <w:color w:val="231F20"/>
          <w:spacing w:val="14"/>
          <w:sz w:val="17"/>
        </w:rPr>
        <w:t> </w:t>
      </w:r>
      <w:r>
        <w:rPr>
          <w:color w:val="231F20"/>
          <w:sz w:val="17"/>
        </w:rPr>
        <w:t>artikel</w:t>
      </w:r>
      <w:r>
        <w:rPr>
          <w:color w:val="231F20"/>
          <w:spacing w:val="15"/>
          <w:sz w:val="17"/>
        </w:rPr>
        <w:t> </w:t>
      </w:r>
      <w:r>
        <w:rPr>
          <w:color w:val="231F20"/>
          <w:sz w:val="17"/>
        </w:rPr>
        <w:t>1:26,</w:t>
      </w:r>
      <w:r>
        <w:rPr>
          <w:color w:val="231F20"/>
          <w:spacing w:val="14"/>
          <w:sz w:val="17"/>
        </w:rPr>
        <w:t> </w:t>
      </w:r>
      <w:r>
        <w:rPr>
          <w:color w:val="231F20"/>
          <w:sz w:val="17"/>
        </w:rPr>
        <w:t>§</w:t>
      </w:r>
      <w:r>
        <w:rPr>
          <w:color w:val="231F20"/>
          <w:spacing w:val="15"/>
          <w:sz w:val="17"/>
        </w:rPr>
        <w:t> </w:t>
      </w:r>
      <w:r>
        <w:rPr>
          <w:color w:val="231F20"/>
          <w:sz w:val="17"/>
        </w:rPr>
        <w:t>1;</w:t>
      </w:r>
    </w:p>
    <w:p>
      <w:pPr>
        <w:pStyle w:val="ListParagraph"/>
        <w:numPr>
          <w:ilvl w:val="0"/>
          <w:numId w:val="48"/>
        </w:numPr>
        <w:tabs>
          <w:tab w:pos="511" w:val="left" w:leader="none"/>
        </w:tabs>
        <w:spacing w:line="240" w:lineRule="auto" w:before="79" w:after="0"/>
        <w:ind w:left="510" w:right="0" w:hanging="227"/>
        <w:jc w:val="left"/>
        <w:rPr>
          <w:sz w:val="17"/>
        </w:rPr>
      </w:pPr>
      <w:r>
        <w:rPr>
          <w:color w:val="231F20"/>
          <w:sz w:val="17"/>
        </w:rPr>
        <w:t>jaaromzet,</w:t>
      </w:r>
      <w:r>
        <w:rPr>
          <w:color w:val="231F20"/>
          <w:spacing w:val="14"/>
          <w:sz w:val="17"/>
        </w:rPr>
        <w:t> </w:t>
      </w:r>
      <w:r>
        <w:rPr>
          <w:color w:val="231F20"/>
          <w:sz w:val="17"/>
        </w:rPr>
        <w:t>als</w:t>
      </w:r>
      <w:r>
        <w:rPr>
          <w:color w:val="231F20"/>
          <w:spacing w:val="15"/>
          <w:sz w:val="17"/>
        </w:rPr>
        <w:t> </w:t>
      </w:r>
      <w:r>
        <w:rPr>
          <w:color w:val="231F20"/>
          <w:sz w:val="17"/>
        </w:rPr>
        <w:t>bedoeld</w:t>
      </w:r>
      <w:r>
        <w:rPr>
          <w:color w:val="231F20"/>
          <w:spacing w:val="14"/>
          <w:sz w:val="17"/>
        </w:rPr>
        <w:t> </w:t>
      </w:r>
      <w:r>
        <w:rPr>
          <w:color w:val="231F20"/>
          <w:sz w:val="17"/>
        </w:rPr>
        <w:t>in</w:t>
      </w:r>
      <w:r>
        <w:rPr>
          <w:color w:val="231F20"/>
          <w:spacing w:val="15"/>
          <w:sz w:val="17"/>
        </w:rPr>
        <w:t> </w:t>
      </w:r>
      <w:r>
        <w:rPr>
          <w:color w:val="231F20"/>
          <w:sz w:val="17"/>
        </w:rPr>
        <w:t>artikel</w:t>
      </w:r>
      <w:r>
        <w:rPr>
          <w:color w:val="231F20"/>
          <w:spacing w:val="15"/>
          <w:sz w:val="17"/>
        </w:rPr>
        <w:t> </w:t>
      </w:r>
      <w:r>
        <w:rPr>
          <w:color w:val="231F20"/>
          <w:sz w:val="17"/>
        </w:rPr>
        <w:t>1:26,</w:t>
      </w:r>
      <w:r>
        <w:rPr>
          <w:color w:val="231F20"/>
          <w:spacing w:val="14"/>
          <w:sz w:val="17"/>
        </w:rPr>
        <w:t> </w:t>
      </w:r>
      <w:r>
        <w:rPr>
          <w:color w:val="231F20"/>
          <w:sz w:val="17"/>
        </w:rPr>
        <w:t>§</w:t>
      </w:r>
      <w:r>
        <w:rPr>
          <w:color w:val="231F20"/>
          <w:spacing w:val="15"/>
          <w:sz w:val="17"/>
        </w:rPr>
        <w:t> </w:t>
      </w:r>
      <w:r>
        <w:rPr>
          <w:color w:val="231F20"/>
          <w:sz w:val="17"/>
        </w:rPr>
        <w:t>1.</w:t>
      </w:r>
    </w:p>
    <w:p>
      <w:pPr>
        <w:pStyle w:val="BodyText"/>
        <w:spacing w:line="218" w:lineRule="auto" w:before="92"/>
      </w:pPr>
      <w:r>
        <w:rPr>
          <w:color w:val="231F20"/>
        </w:rPr>
        <w:t>Voor de berekening van het jaargemiddelde van het personeelsbe- stand is artikel 1:24, § 5, van toepassing.</w:t>
      </w:r>
    </w:p>
    <w:p>
      <w:pPr>
        <w:pStyle w:val="BodyText"/>
        <w:spacing w:line="218" w:lineRule="auto" w:before="97"/>
      </w:pPr>
      <w:r>
        <w:rPr>
          <w:color w:val="231F20"/>
        </w:rPr>
        <w:t>In de mate waarin zulks noodzakelijk is voor een goed begrip van de ontwikkeling, de resultaten en de positie van de vennootschap evenals van de effecten van haar activiteiten die minstens betrekking heeft op de sociale, de personeels- en milieu-aangelegenheden, de eerbiediging van de mensenrechten en de bestrijding van corruptie en omkoping, bevat</w:t>
      </w:r>
      <w:r>
        <w:rPr>
          <w:color w:val="231F20"/>
          <w:spacing w:val="17"/>
        </w:rPr>
        <w:t> </w:t>
      </w:r>
      <w:r>
        <w:rPr>
          <w:color w:val="231F20"/>
        </w:rPr>
        <w:t>het</w:t>
      </w:r>
      <w:r>
        <w:rPr>
          <w:color w:val="231F20"/>
          <w:spacing w:val="18"/>
        </w:rPr>
        <w:t> </w:t>
      </w:r>
      <w:r>
        <w:rPr>
          <w:color w:val="231F20"/>
        </w:rPr>
        <w:t>jaarverslag</w:t>
      </w:r>
      <w:r>
        <w:rPr>
          <w:color w:val="231F20"/>
          <w:spacing w:val="17"/>
        </w:rPr>
        <w:t> </w:t>
      </w:r>
      <w:r>
        <w:rPr>
          <w:color w:val="231F20"/>
        </w:rPr>
        <w:t>een</w:t>
      </w:r>
      <w:r>
        <w:rPr>
          <w:color w:val="231F20"/>
          <w:spacing w:val="18"/>
        </w:rPr>
        <w:t> </w:t>
      </w:r>
      <w:r>
        <w:rPr>
          <w:color w:val="231F20"/>
        </w:rPr>
        <w:t>verklaring</w:t>
      </w:r>
      <w:r>
        <w:rPr>
          <w:color w:val="231F20"/>
          <w:spacing w:val="18"/>
        </w:rPr>
        <w:t> </w:t>
      </w:r>
      <w:r>
        <w:rPr>
          <w:color w:val="231F20"/>
        </w:rPr>
        <w:t>met</w:t>
      </w:r>
      <w:r>
        <w:rPr>
          <w:color w:val="231F20"/>
          <w:spacing w:val="17"/>
        </w:rPr>
        <w:t> </w:t>
      </w:r>
      <w:r>
        <w:rPr>
          <w:color w:val="231F20"/>
        </w:rPr>
        <w:t>de</w:t>
      </w:r>
      <w:r>
        <w:rPr>
          <w:color w:val="231F20"/>
          <w:spacing w:val="18"/>
        </w:rPr>
        <w:t> </w:t>
      </w:r>
      <w:r>
        <w:rPr>
          <w:color w:val="231F20"/>
        </w:rPr>
        <w:t>volgende</w:t>
      </w:r>
      <w:r>
        <w:rPr>
          <w:color w:val="231F20"/>
          <w:spacing w:val="17"/>
        </w:rPr>
        <w:t> </w:t>
      </w:r>
      <w:r>
        <w:rPr>
          <w:color w:val="231F20"/>
        </w:rPr>
        <w:t>informatie:</w:t>
      </w:r>
    </w:p>
    <w:p>
      <w:pPr>
        <w:pStyle w:val="ListParagraph"/>
        <w:numPr>
          <w:ilvl w:val="0"/>
          <w:numId w:val="60"/>
        </w:numPr>
        <w:tabs>
          <w:tab w:pos="473" w:val="left" w:leader="none"/>
        </w:tabs>
        <w:spacing w:line="240" w:lineRule="auto" w:before="79" w:after="0"/>
        <w:ind w:left="113" w:right="0" w:firstLine="170"/>
        <w:jc w:val="left"/>
        <w:rPr>
          <w:sz w:val="17"/>
        </w:rPr>
      </w:pPr>
      <w:r>
        <w:rPr>
          <w:color w:val="231F20"/>
          <w:sz w:val="17"/>
        </w:rPr>
        <w:t>een</w:t>
      </w:r>
      <w:r>
        <w:rPr>
          <w:color w:val="231F20"/>
          <w:spacing w:val="17"/>
          <w:sz w:val="17"/>
        </w:rPr>
        <w:t> </w:t>
      </w:r>
      <w:r>
        <w:rPr>
          <w:color w:val="231F20"/>
          <w:sz w:val="17"/>
        </w:rPr>
        <w:t>korte</w:t>
      </w:r>
      <w:r>
        <w:rPr>
          <w:color w:val="231F20"/>
          <w:spacing w:val="18"/>
          <w:sz w:val="17"/>
        </w:rPr>
        <w:t> </w:t>
      </w:r>
      <w:r>
        <w:rPr>
          <w:color w:val="231F20"/>
          <w:sz w:val="17"/>
        </w:rPr>
        <w:t>beschrijving</w:t>
      </w:r>
      <w:r>
        <w:rPr>
          <w:color w:val="231F20"/>
          <w:spacing w:val="17"/>
          <w:sz w:val="17"/>
        </w:rPr>
        <w:t> </w:t>
      </w:r>
      <w:r>
        <w:rPr>
          <w:color w:val="231F20"/>
          <w:sz w:val="17"/>
        </w:rPr>
        <w:t>van</w:t>
      </w:r>
      <w:r>
        <w:rPr>
          <w:color w:val="231F20"/>
          <w:spacing w:val="18"/>
          <w:sz w:val="17"/>
        </w:rPr>
        <w:t> </w:t>
      </w:r>
      <w:r>
        <w:rPr>
          <w:color w:val="231F20"/>
          <w:sz w:val="17"/>
        </w:rPr>
        <w:t>de</w:t>
      </w:r>
      <w:r>
        <w:rPr>
          <w:color w:val="231F20"/>
          <w:spacing w:val="17"/>
          <w:sz w:val="17"/>
        </w:rPr>
        <w:t> </w:t>
      </w:r>
      <w:r>
        <w:rPr>
          <w:color w:val="231F20"/>
          <w:sz w:val="17"/>
        </w:rPr>
        <w:t>activiteiten</w:t>
      </w:r>
      <w:r>
        <w:rPr>
          <w:color w:val="231F20"/>
          <w:spacing w:val="18"/>
          <w:sz w:val="17"/>
        </w:rPr>
        <w:t> </w:t>
      </w:r>
      <w:r>
        <w:rPr>
          <w:color w:val="231F20"/>
          <w:sz w:val="17"/>
        </w:rPr>
        <w:t>van</w:t>
      </w:r>
      <w:r>
        <w:rPr>
          <w:color w:val="231F20"/>
          <w:spacing w:val="17"/>
          <w:sz w:val="17"/>
        </w:rPr>
        <w:t> </w:t>
      </w:r>
      <w:r>
        <w:rPr>
          <w:color w:val="231F20"/>
          <w:sz w:val="17"/>
        </w:rPr>
        <w:t>de</w:t>
      </w:r>
      <w:r>
        <w:rPr>
          <w:color w:val="231F20"/>
          <w:spacing w:val="18"/>
          <w:sz w:val="17"/>
        </w:rPr>
        <w:t> </w:t>
      </w:r>
      <w:r>
        <w:rPr>
          <w:color w:val="231F20"/>
          <w:sz w:val="17"/>
        </w:rPr>
        <w:t>vennootschap;</w:t>
      </w:r>
    </w:p>
    <w:p>
      <w:pPr>
        <w:pStyle w:val="ListParagraph"/>
        <w:numPr>
          <w:ilvl w:val="0"/>
          <w:numId w:val="60"/>
        </w:numPr>
        <w:tabs>
          <w:tab w:pos="488" w:val="left" w:leader="none"/>
        </w:tabs>
        <w:spacing w:line="218" w:lineRule="auto" w:before="90" w:after="0"/>
        <w:ind w:left="113" w:right="124" w:firstLine="170"/>
        <w:jc w:val="both"/>
        <w:rPr>
          <w:sz w:val="17"/>
        </w:rPr>
      </w:pPr>
      <w:r>
        <w:rPr>
          <w:color w:val="231F20"/>
          <w:sz w:val="17"/>
        </w:rPr>
        <w:t>een beschrijving van het door de vennootschap gevoerde beleid met betrekking tot deze aangelegenheden, waaronder de toegepaste zorgvuldigheidsprocedures;</w:t>
      </w:r>
    </w:p>
    <w:p>
      <w:pPr>
        <w:pStyle w:val="ListParagraph"/>
        <w:numPr>
          <w:ilvl w:val="0"/>
          <w:numId w:val="60"/>
        </w:numPr>
        <w:tabs>
          <w:tab w:pos="467" w:val="left" w:leader="none"/>
        </w:tabs>
        <w:spacing w:line="240" w:lineRule="auto" w:before="80" w:after="0"/>
        <w:ind w:left="466" w:right="0" w:hanging="183"/>
        <w:jc w:val="left"/>
        <w:rPr>
          <w:sz w:val="17"/>
        </w:rPr>
      </w:pPr>
      <w:r>
        <w:rPr>
          <w:color w:val="231F20"/>
          <w:sz w:val="17"/>
        </w:rPr>
        <w:t>de resultaten van dit</w:t>
      </w:r>
      <w:r>
        <w:rPr>
          <w:color w:val="231F20"/>
          <w:spacing w:val="19"/>
          <w:sz w:val="17"/>
        </w:rPr>
        <w:t> </w:t>
      </w:r>
      <w:r>
        <w:rPr>
          <w:color w:val="231F20"/>
          <w:sz w:val="17"/>
        </w:rPr>
        <w:t>beleid;</w:t>
      </w:r>
    </w:p>
    <w:p>
      <w:pPr>
        <w:pStyle w:val="ListParagraph"/>
        <w:numPr>
          <w:ilvl w:val="0"/>
          <w:numId w:val="60"/>
        </w:numPr>
        <w:tabs>
          <w:tab w:pos="484" w:val="left" w:leader="none"/>
        </w:tabs>
        <w:spacing w:line="218" w:lineRule="auto" w:before="90" w:after="0"/>
        <w:ind w:left="113" w:right="124" w:firstLine="170"/>
        <w:jc w:val="both"/>
        <w:rPr>
          <w:sz w:val="17"/>
        </w:rPr>
      </w:pPr>
      <w:r>
        <w:rPr>
          <w:color w:val="231F20"/>
          <w:sz w:val="17"/>
        </w:rPr>
        <w:t>de voornaamste risico’s verbonden aan deze aangelegenheden in verband met de bedrijfsactiviteiten van de vennootschap, waaronder, waar relevant en evenredig, haar zakelijke betrekkingen, producten of diensten die deze gebieden mogelijk negatief kunnen beïnvloeden, en de</w:t>
      </w:r>
      <w:r>
        <w:rPr>
          <w:color w:val="231F20"/>
          <w:spacing w:val="17"/>
          <w:sz w:val="17"/>
        </w:rPr>
        <w:t> </w:t>
      </w:r>
      <w:r>
        <w:rPr>
          <w:color w:val="231F20"/>
          <w:sz w:val="17"/>
        </w:rPr>
        <w:t>wijze</w:t>
      </w:r>
      <w:r>
        <w:rPr>
          <w:color w:val="231F20"/>
          <w:spacing w:val="17"/>
          <w:sz w:val="17"/>
        </w:rPr>
        <w:t> </w:t>
      </w:r>
      <w:r>
        <w:rPr>
          <w:color w:val="231F20"/>
          <w:sz w:val="17"/>
        </w:rPr>
        <w:t>waarop</w:t>
      </w:r>
      <w:r>
        <w:rPr>
          <w:color w:val="231F20"/>
          <w:spacing w:val="17"/>
          <w:sz w:val="17"/>
        </w:rPr>
        <w:t> </w:t>
      </w:r>
      <w:r>
        <w:rPr>
          <w:color w:val="231F20"/>
          <w:sz w:val="17"/>
        </w:rPr>
        <w:t>de</w:t>
      </w:r>
      <w:r>
        <w:rPr>
          <w:color w:val="231F20"/>
          <w:spacing w:val="17"/>
          <w:sz w:val="17"/>
        </w:rPr>
        <w:t> </w:t>
      </w:r>
      <w:r>
        <w:rPr>
          <w:color w:val="231F20"/>
          <w:sz w:val="17"/>
        </w:rPr>
        <w:t>vennootschap</w:t>
      </w:r>
      <w:r>
        <w:rPr>
          <w:color w:val="231F20"/>
          <w:spacing w:val="17"/>
          <w:sz w:val="17"/>
        </w:rPr>
        <w:t> </w:t>
      </w:r>
      <w:r>
        <w:rPr>
          <w:color w:val="231F20"/>
          <w:sz w:val="17"/>
        </w:rPr>
        <w:t>deze</w:t>
      </w:r>
      <w:r>
        <w:rPr>
          <w:color w:val="231F20"/>
          <w:spacing w:val="17"/>
          <w:sz w:val="17"/>
        </w:rPr>
        <w:t> </w:t>
      </w:r>
      <w:r>
        <w:rPr>
          <w:color w:val="231F20"/>
          <w:sz w:val="17"/>
        </w:rPr>
        <w:t>risico’s</w:t>
      </w:r>
      <w:r>
        <w:rPr>
          <w:color w:val="231F20"/>
          <w:spacing w:val="17"/>
          <w:sz w:val="17"/>
        </w:rPr>
        <w:t> </w:t>
      </w:r>
      <w:r>
        <w:rPr>
          <w:color w:val="231F20"/>
          <w:sz w:val="17"/>
        </w:rPr>
        <w:t>beheert;</w:t>
      </w:r>
    </w:p>
    <w:p>
      <w:pPr>
        <w:pStyle w:val="ListParagraph"/>
        <w:numPr>
          <w:ilvl w:val="0"/>
          <w:numId w:val="60"/>
        </w:numPr>
        <w:tabs>
          <w:tab w:pos="503" w:val="left" w:leader="none"/>
        </w:tabs>
        <w:spacing w:line="218" w:lineRule="auto" w:before="93" w:after="0"/>
        <w:ind w:left="113" w:right="124" w:firstLine="170"/>
        <w:jc w:val="both"/>
        <w:rPr>
          <w:sz w:val="17"/>
        </w:rPr>
      </w:pPr>
      <w:r>
        <w:rPr>
          <w:color w:val="231F20"/>
          <w:sz w:val="17"/>
        </w:rPr>
        <w:t>niet-financiële essentiële prestatie-indicatoren relevant voor de specifieke</w:t>
      </w:r>
      <w:r>
        <w:rPr>
          <w:color w:val="231F20"/>
          <w:spacing w:val="14"/>
          <w:sz w:val="17"/>
        </w:rPr>
        <w:t> </w:t>
      </w:r>
      <w:r>
        <w:rPr>
          <w:color w:val="231F20"/>
          <w:sz w:val="17"/>
        </w:rPr>
        <w:t>bedrijfsactiviteiten.</w:t>
      </w:r>
    </w:p>
    <w:p>
      <w:pPr>
        <w:pStyle w:val="BodyText"/>
        <w:spacing w:line="218" w:lineRule="auto" w:before="96"/>
      </w:pPr>
      <w:r>
        <w:rPr>
          <w:color w:val="231F20"/>
        </w:rPr>
        <w:t>Om de verklaring van niet-financiële informatie op te maken steunt de vennootschap op Europese en internationale erkende referentiemo- dellen. Zij vermeldt in de verklaring op welk(e) model(len) zij heeft gesteund.</w:t>
      </w:r>
    </w:p>
    <w:p>
      <w:pPr>
        <w:pStyle w:val="BodyText"/>
        <w:spacing w:line="218" w:lineRule="auto" w:before="97"/>
      </w:pPr>
      <w:r>
        <w:rPr>
          <w:color w:val="231F20"/>
        </w:rPr>
        <w:t>De Koning kan een lijst opmaken met de Europese en internationale referentiemodellen en de zorgvuldigheidsprocedures waarop vennoot- schappen mogen steunen.</w:t>
      </w:r>
    </w:p>
    <w:p>
      <w:pPr>
        <w:pStyle w:val="BodyText"/>
        <w:spacing w:line="218" w:lineRule="auto" w:before="96"/>
        <w:ind w:right="123"/>
      </w:pPr>
      <w:r>
        <w:rPr>
          <w:color w:val="231F20"/>
        </w:rPr>
        <w:t>Waar dit passend wordt geacht, bevat de niet-financiële verklaring ook de relevante verwijzingen naar een aanvullende uitleg betreffende de financiële bedragen in de jaarrekening.</w:t>
      </w:r>
    </w:p>
    <w:p>
      <w:pPr>
        <w:pStyle w:val="BodyText"/>
        <w:spacing w:line="218" w:lineRule="auto" w:before="96"/>
      </w:pPr>
      <w:r>
        <w:rPr>
          <w:color w:val="231F20"/>
          <w:spacing w:val="-3"/>
        </w:rPr>
        <w:t>Wanneer </w:t>
      </w:r>
      <w:r>
        <w:rPr>
          <w:color w:val="231F20"/>
        </w:rPr>
        <w:t>de vennootschap geen beleid voert met betrekking tot één  of meerdere van deze aangelegenheden, bevat de niet-financiële verklaring een duidelijke en gemotiveerde toelichting waarom zij dit niet</w:t>
      </w:r>
      <w:r>
        <w:rPr>
          <w:color w:val="231F20"/>
          <w:spacing w:val="14"/>
        </w:rPr>
        <w:t> </w:t>
      </w:r>
      <w:r>
        <w:rPr>
          <w:color w:val="231F20"/>
        </w:rPr>
        <w:t>doet.</w:t>
      </w:r>
    </w:p>
    <w:p>
      <w:pPr>
        <w:pStyle w:val="BodyText"/>
        <w:spacing w:line="218" w:lineRule="auto" w:before="96"/>
      </w:pPr>
      <w:r>
        <w:rPr>
          <w:color w:val="231F20"/>
        </w:rPr>
        <w:t>In uitzonderlijke gevallen kan het bestuursorgaan van de vennoot- schap beslissen om informatie betreffende ophanden zijnde ontwikke- lingen of zaken waarover wordt onderhandeld niet op te nemen in de verklaring, indien de rapportering van die informatie, naar de behoor- lijk gerechtvaardigde opvatting van het bestuursorgaan en met de collectieve verantwoordelijkheid van de leden ervan voor dit stand- punt, ernstige schade zou kunnen berokkenen aan de commerciële positie van de vennootschap, mits het weglaten van deze informatie  een getrouw beeld en evenwichtig begrip van de ontwikkeling, de resultaten en de positie van de vennootschap evenals van de effecten van</w:t>
      </w:r>
      <w:r>
        <w:rPr>
          <w:color w:val="231F20"/>
          <w:spacing w:val="15"/>
        </w:rPr>
        <w:t> </w:t>
      </w:r>
      <w:r>
        <w:rPr>
          <w:color w:val="231F20"/>
        </w:rPr>
        <w:t>haar</w:t>
      </w:r>
      <w:r>
        <w:rPr>
          <w:color w:val="231F20"/>
          <w:spacing w:val="15"/>
        </w:rPr>
        <w:t> </w:t>
      </w:r>
      <w:r>
        <w:rPr>
          <w:color w:val="231F20"/>
        </w:rPr>
        <w:t>activiteiten</w:t>
      </w:r>
      <w:r>
        <w:rPr>
          <w:color w:val="231F20"/>
          <w:spacing w:val="16"/>
        </w:rPr>
        <w:t> </w:t>
      </w:r>
      <w:r>
        <w:rPr>
          <w:color w:val="231F20"/>
        </w:rPr>
        <w:t>niet</w:t>
      </w:r>
      <w:r>
        <w:rPr>
          <w:color w:val="231F20"/>
          <w:spacing w:val="15"/>
        </w:rPr>
        <w:t> </w:t>
      </w:r>
      <w:r>
        <w:rPr>
          <w:color w:val="231F20"/>
        </w:rPr>
        <w:t>in</w:t>
      </w:r>
      <w:r>
        <w:rPr>
          <w:color w:val="231F20"/>
          <w:spacing w:val="16"/>
        </w:rPr>
        <w:t> </w:t>
      </w:r>
      <w:r>
        <w:rPr>
          <w:color w:val="231F20"/>
        </w:rPr>
        <w:t>de</w:t>
      </w:r>
      <w:r>
        <w:rPr>
          <w:color w:val="231F20"/>
          <w:spacing w:val="15"/>
        </w:rPr>
        <w:t> </w:t>
      </w:r>
      <w:r>
        <w:rPr>
          <w:color w:val="231F20"/>
        </w:rPr>
        <w:t>weg</w:t>
      </w:r>
      <w:r>
        <w:rPr>
          <w:color w:val="231F20"/>
          <w:spacing w:val="15"/>
        </w:rPr>
        <w:t> </w:t>
      </w:r>
      <w:r>
        <w:rPr>
          <w:color w:val="231F20"/>
        </w:rPr>
        <w:t>staat.</w:t>
      </w:r>
    </w:p>
    <w:p>
      <w:pPr>
        <w:pStyle w:val="BodyText"/>
        <w:spacing w:line="218" w:lineRule="auto" w:before="97"/>
      </w:pPr>
      <w:r>
        <w:rPr>
          <w:color w:val="231F20"/>
        </w:rPr>
        <w:t>De vennootschap die een verklaring van niet-financiële informatie heeft opgesteld en openbaar gemaakt, wordt geacht te hebben voldaan aan de in paragraaf 1, 1°, tweede lid, opgenomen verplichting.</w:t>
      </w:r>
    </w:p>
    <w:p>
      <w:pPr>
        <w:pStyle w:val="BodyText"/>
        <w:spacing w:line="218" w:lineRule="auto" w:before="96"/>
        <w:ind w:right="123"/>
      </w:pPr>
      <w:r>
        <w:rPr>
          <w:color w:val="231F20"/>
        </w:rPr>
        <w:t>Een dochtervennootschap wordt vrijgesteld van de verplichtingen onder deze paragraaf wanneer de moedervennootschap de betreffende informatie in het jaarverslag over de geconsolideerde jaarrekening</w:t>
      </w:r>
      <w:r>
        <w:rPr>
          <w:color w:val="231F20"/>
          <w:spacing w:val="-13"/>
        </w:rPr>
        <w:t> </w:t>
      </w:r>
      <w:r>
        <w:rPr>
          <w:color w:val="231F20"/>
        </w:rPr>
        <w:t>heeft opgenomen,</w:t>
      </w:r>
      <w:r>
        <w:rPr>
          <w:color w:val="231F20"/>
          <w:spacing w:val="14"/>
        </w:rPr>
        <w:t> </w:t>
      </w:r>
      <w:r>
        <w:rPr>
          <w:color w:val="231F20"/>
        </w:rPr>
        <w:t>overeenkomstig</w:t>
      </w:r>
      <w:r>
        <w:rPr>
          <w:color w:val="231F20"/>
          <w:spacing w:val="14"/>
        </w:rPr>
        <w:t> </w:t>
      </w:r>
      <w:r>
        <w:rPr>
          <w:color w:val="231F20"/>
        </w:rPr>
        <w:t>artikel</w:t>
      </w:r>
      <w:r>
        <w:rPr>
          <w:color w:val="231F20"/>
          <w:spacing w:val="14"/>
        </w:rPr>
        <w:t> </w:t>
      </w:r>
      <w:r>
        <w:rPr>
          <w:color w:val="231F20"/>
        </w:rPr>
        <w:t>3:30,</w:t>
      </w:r>
      <w:r>
        <w:rPr>
          <w:color w:val="231F20"/>
          <w:spacing w:val="14"/>
        </w:rPr>
        <w:t> </w:t>
      </w:r>
      <w:r>
        <w:rPr>
          <w:color w:val="231F20"/>
        </w:rPr>
        <w:t>§</w:t>
      </w:r>
      <w:r>
        <w:rPr>
          <w:color w:val="231F20"/>
          <w:spacing w:val="14"/>
        </w:rPr>
        <w:t> </w:t>
      </w:r>
      <w:r>
        <w:rPr>
          <w:color w:val="231F20"/>
        </w:rPr>
        <w:t>2.</w:t>
      </w:r>
    </w:p>
    <w:p>
      <w:pPr>
        <w:pStyle w:val="BodyText"/>
        <w:spacing w:line="218" w:lineRule="auto" w:before="97"/>
        <w:ind w:right="125"/>
      </w:pPr>
      <w:r>
        <w:rPr>
          <w:color w:val="231F20"/>
        </w:rPr>
        <w:t>De vennootschap die de niet-financiële verklaring over hetzelfde boekjaar in een afzonderlijk verslag heeft opgemaakt, wordt vrijgesteld van de verplichting om de niet-financiële informatie in het jaarverslag op te nemen. Het jaarverslag maakt in dit geval melding dat de</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0" w:firstLine="0"/>
        <w:jc w:val="left"/>
      </w:pPr>
      <w:r>
        <w:rPr/>
        <w:pict>
          <v:line style="position:absolute;mso-position-horizontal-relative:page;mso-position-vertical-relative:page;z-index:2296" from="298.170502pt,64.473pt" to="298.170502pt,812.819pt" stroked="true" strokeweight=".533pt" strokecolor="#231f20">
            <v:stroke dashstyle="solid"/>
            <w10:wrap type="none"/>
          </v:line>
        </w:pict>
      </w:r>
      <w:bookmarkStart w:name="_bookmark53" w:id="56"/>
      <w:bookmarkEnd w:id="56"/>
      <w:r>
        <w:rPr/>
      </w:r>
      <w:r>
        <w:rPr>
          <w:color w:val="231F20"/>
        </w:rPr>
        <w:t>non financière est établie dans un rapport distinct. Ce rapport distinct est joint au rapport de gestion.</w:t>
      </w:r>
    </w:p>
    <w:p>
      <w:pPr>
        <w:pStyle w:val="BodyText"/>
        <w:spacing w:before="8"/>
        <w:ind w:left="0" w:right="0" w:firstLine="0"/>
        <w:jc w:val="left"/>
        <w:rPr>
          <w:sz w:val="21"/>
        </w:rPr>
      </w:pPr>
    </w:p>
    <w:p>
      <w:pPr>
        <w:pStyle w:val="BodyText"/>
        <w:ind w:left="283" w:right="0" w:firstLine="0"/>
        <w:jc w:val="left"/>
      </w:pPr>
      <w:r>
        <w:rPr>
          <w:color w:val="231F20"/>
        </w:rPr>
        <w:t>Section 3. Le rapport sur les paiements aux gouvernements.</w:t>
      </w:r>
    </w:p>
    <w:p>
      <w:pPr>
        <w:pStyle w:val="BodyText"/>
        <w:spacing w:line="218" w:lineRule="auto" w:before="82"/>
        <w:ind w:right="38"/>
      </w:pPr>
      <w:r>
        <w:rPr>
          <w:color w:val="231F20"/>
        </w:rPr>
        <w:t>Art. 3:7. Pour l’application de la présente section, il y a lieu d’entendre</w:t>
      </w:r>
      <w:r>
        <w:rPr>
          <w:color w:val="231F20"/>
          <w:spacing w:val="15"/>
        </w:rPr>
        <w:t> </w:t>
      </w:r>
      <w:r>
        <w:rPr>
          <w:color w:val="231F20"/>
        </w:rPr>
        <w:t>par:</w:t>
      </w:r>
    </w:p>
    <w:p>
      <w:pPr>
        <w:pStyle w:val="BodyText"/>
        <w:spacing w:line="218" w:lineRule="auto" w:before="86"/>
        <w:ind w:right="38"/>
      </w:pPr>
      <w:r>
        <w:rPr>
          <w:color w:val="231F20"/>
        </w:rPr>
        <w:t>1° société active dans les industries extractives: une société dont tout ou partie des activités consiste en l’exploration, la prospection, la découverte, l’exploitation et l’extraction de gisements de minerais, de pétrole, de gaz naturel ou d’autres matières, relevant des activités économiques énumérées à la section B, divisions 05 à 08 de l’annexe I du règlement (CE) n° 1893/2006 du Parlement européen et du Conseil du</w:t>
      </w:r>
      <w:r>
        <w:rPr>
          <w:color w:val="231F20"/>
          <w:spacing w:val="-13"/>
        </w:rPr>
        <w:t> </w:t>
      </w:r>
      <w:r>
        <w:rPr>
          <w:color w:val="231F20"/>
        </w:rPr>
        <w:t>20</w:t>
      </w:r>
      <w:r>
        <w:rPr>
          <w:color w:val="231F20"/>
          <w:spacing w:val="-12"/>
        </w:rPr>
        <w:t> </w:t>
      </w:r>
      <w:r>
        <w:rPr>
          <w:color w:val="231F20"/>
        </w:rPr>
        <w:t>décembre</w:t>
      </w:r>
      <w:r>
        <w:rPr>
          <w:color w:val="231F20"/>
          <w:spacing w:val="-12"/>
        </w:rPr>
        <w:t> </w:t>
      </w:r>
      <w:r>
        <w:rPr>
          <w:color w:val="231F20"/>
        </w:rPr>
        <w:t>2006</w:t>
      </w:r>
      <w:r>
        <w:rPr>
          <w:color w:val="231F20"/>
          <w:spacing w:val="-12"/>
        </w:rPr>
        <w:t> </w:t>
      </w:r>
      <w:r>
        <w:rPr>
          <w:color w:val="231F20"/>
        </w:rPr>
        <w:t>établissant</w:t>
      </w:r>
      <w:r>
        <w:rPr>
          <w:color w:val="231F20"/>
          <w:spacing w:val="-12"/>
        </w:rPr>
        <w:t> </w:t>
      </w:r>
      <w:r>
        <w:rPr>
          <w:color w:val="231F20"/>
        </w:rPr>
        <w:t>la</w:t>
      </w:r>
      <w:r>
        <w:rPr>
          <w:color w:val="231F20"/>
          <w:spacing w:val="-12"/>
        </w:rPr>
        <w:t> </w:t>
      </w:r>
      <w:r>
        <w:rPr>
          <w:color w:val="231F20"/>
        </w:rPr>
        <w:t>classification</w:t>
      </w:r>
      <w:r>
        <w:rPr>
          <w:color w:val="231F20"/>
          <w:spacing w:val="-12"/>
        </w:rPr>
        <w:t> </w:t>
      </w:r>
      <w:r>
        <w:rPr>
          <w:color w:val="231F20"/>
        </w:rPr>
        <w:t>statistique</w:t>
      </w:r>
      <w:r>
        <w:rPr>
          <w:color w:val="231F20"/>
          <w:spacing w:val="-12"/>
        </w:rPr>
        <w:t> </w:t>
      </w:r>
      <w:r>
        <w:rPr>
          <w:color w:val="231F20"/>
        </w:rPr>
        <w:t>des</w:t>
      </w:r>
      <w:r>
        <w:rPr>
          <w:color w:val="231F20"/>
          <w:spacing w:val="-12"/>
        </w:rPr>
        <w:t> </w:t>
      </w:r>
      <w:r>
        <w:rPr>
          <w:color w:val="231F20"/>
        </w:rPr>
        <w:t>activités économiques NACE </w:t>
      </w:r>
      <w:r>
        <w:rPr>
          <w:color w:val="231F20"/>
          <w:spacing w:val="-5"/>
        </w:rPr>
        <w:t>Rév.</w:t>
      </w:r>
      <w:r>
        <w:rPr>
          <w:color w:val="231F20"/>
          <w:spacing w:val="10"/>
        </w:rPr>
        <w:t> </w:t>
      </w:r>
      <w:r>
        <w:rPr>
          <w:color w:val="231F20"/>
        </w:rPr>
        <w:t>2;</w:t>
      </w:r>
    </w:p>
    <w:p>
      <w:pPr>
        <w:pStyle w:val="BodyText"/>
        <w:spacing w:line="218" w:lineRule="auto" w:before="86"/>
        <w:ind w:right="38"/>
      </w:pPr>
      <w:r>
        <w:rPr>
          <w:color w:val="231F20"/>
        </w:rPr>
        <w:t>2° société active dans l’exploitation des forêts primaires: une société exerçant, dans les forêts primaires, des activités visées à la section A, division 02, groupe 02.2, de la même annexe.</w:t>
      </w:r>
    </w:p>
    <w:p>
      <w:pPr>
        <w:pStyle w:val="BodyText"/>
        <w:spacing w:line="216" w:lineRule="auto" w:before="72"/>
        <w:ind w:right="38"/>
      </w:pPr>
      <w:r>
        <w:rPr>
          <w:color w:val="231F20"/>
        </w:rPr>
        <w:t>Art. 3:8. § 1</w:t>
      </w:r>
      <w:r>
        <w:rPr>
          <w:color w:val="231F20"/>
          <w:position w:val="7"/>
          <w:sz w:val="11"/>
        </w:rPr>
        <w:t>er</w:t>
      </w:r>
      <w:r>
        <w:rPr>
          <w:color w:val="231F20"/>
        </w:rPr>
        <w:t>. Les sociétés cotées, les entités d’intérêt public visées à l’article</w:t>
      </w:r>
      <w:r>
        <w:rPr>
          <w:color w:val="231F20"/>
          <w:spacing w:val="-7"/>
        </w:rPr>
        <w:t> </w:t>
      </w:r>
      <w:r>
        <w:rPr>
          <w:color w:val="231F20"/>
        </w:rPr>
        <w:t>1:12,</w:t>
      </w:r>
      <w:r>
        <w:rPr>
          <w:color w:val="231F20"/>
          <w:spacing w:val="-6"/>
        </w:rPr>
        <w:t> </w:t>
      </w:r>
      <w:r>
        <w:rPr>
          <w:color w:val="231F20"/>
        </w:rPr>
        <w:t>2°,</w:t>
      </w:r>
      <w:r>
        <w:rPr>
          <w:color w:val="231F20"/>
          <w:spacing w:val="-6"/>
        </w:rPr>
        <w:t> </w:t>
      </w:r>
      <w:r>
        <w:rPr>
          <w:color w:val="231F20"/>
        </w:rPr>
        <w:t>les</w:t>
      </w:r>
      <w:r>
        <w:rPr>
          <w:color w:val="231F20"/>
          <w:spacing w:val="-6"/>
        </w:rPr>
        <w:t> </w:t>
      </w:r>
      <w:r>
        <w:rPr>
          <w:color w:val="231F20"/>
        </w:rPr>
        <w:t>sociétés</w:t>
      </w:r>
      <w:r>
        <w:rPr>
          <w:color w:val="231F20"/>
          <w:spacing w:val="-6"/>
        </w:rPr>
        <w:t> </w:t>
      </w:r>
      <w:r>
        <w:rPr>
          <w:color w:val="231F20"/>
        </w:rPr>
        <w:t>visées</w:t>
      </w:r>
      <w:r>
        <w:rPr>
          <w:color w:val="231F20"/>
          <w:spacing w:val="-6"/>
        </w:rPr>
        <w:t> </w:t>
      </w:r>
      <w:r>
        <w:rPr>
          <w:color w:val="231F20"/>
        </w:rPr>
        <w:t>à</w:t>
      </w:r>
      <w:r>
        <w:rPr>
          <w:color w:val="231F20"/>
          <w:spacing w:val="-7"/>
        </w:rPr>
        <w:t> </w:t>
      </w:r>
      <w:r>
        <w:rPr>
          <w:color w:val="231F20"/>
        </w:rPr>
        <w:t>l’article</w:t>
      </w:r>
      <w:r>
        <w:rPr>
          <w:color w:val="231F20"/>
          <w:spacing w:val="-6"/>
        </w:rPr>
        <w:t> </w:t>
      </w:r>
      <w:r>
        <w:rPr>
          <w:color w:val="231F20"/>
        </w:rPr>
        <w:t>3:1,</w:t>
      </w:r>
      <w:r>
        <w:rPr>
          <w:color w:val="231F20"/>
          <w:spacing w:val="-7"/>
        </w:rPr>
        <w:t> </w:t>
      </w:r>
      <w:r>
        <w:rPr>
          <w:color w:val="231F20"/>
        </w:rPr>
        <w:t>§</w:t>
      </w:r>
      <w:r>
        <w:rPr>
          <w:color w:val="231F20"/>
          <w:spacing w:val="-6"/>
        </w:rPr>
        <w:t> </w:t>
      </w:r>
      <w:r>
        <w:rPr>
          <w:color w:val="231F20"/>
        </w:rPr>
        <w:t>3,</w:t>
      </w:r>
      <w:r>
        <w:rPr>
          <w:color w:val="231F20"/>
          <w:spacing w:val="-6"/>
        </w:rPr>
        <w:t> </w:t>
      </w:r>
      <w:r>
        <w:rPr>
          <w:color w:val="231F20"/>
        </w:rPr>
        <w:t>1°,</w:t>
      </w:r>
      <w:r>
        <w:rPr>
          <w:color w:val="231F20"/>
          <w:spacing w:val="-6"/>
        </w:rPr>
        <w:t> </w:t>
      </w:r>
      <w:r>
        <w:rPr>
          <w:color w:val="231F20"/>
        </w:rPr>
        <w:t>2°,</w:t>
      </w:r>
      <w:r>
        <w:rPr>
          <w:color w:val="231F20"/>
          <w:spacing w:val="-6"/>
        </w:rPr>
        <w:t> </w:t>
      </w:r>
      <w:r>
        <w:rPr>
          <w:color w:val="231F20"/>
        </w:rPr>
        <w:t>3°</w:t>
      </w:r>
      <w:r>
        <w:rPr>
          <w:color w:val="231F20"/>
          <w:spacing w:val="-7"/>
        </w:rPr>
        <w:t> </w:t>
      </w:r>
      <w:r>
        <w:rPr>
          <w:color w:val="231F20"/>
        </w:rPr>
        <w:t>ou</w:t>
      </w:r>
      <w:r>
        <w:rPr>
          <w:color w:val="231F20"/>
          <w:spacing w:val="-6"/>
        </w:rPr>
        <w:t> </w:t>
      </w:r>
      <w:r>
        <w:rPr>
          <w:color w:val="231F20"/>
        </w:rPr>
        <w:t>4°,</w:t>
      </w:r>
      <w:r>
        <w:rPr>
          <w:color w:val="231F20"/>
          <w:spacing w:val="-6"/>
        </w:rPr>
        <w:t> </w:t>
      </w:r>
      <w:r>
        <w:rPr>
          <w:color w:val="231F20"/>
        </w:rPr>
        <w:t>ainsi que les sociétés qui dépassent plus d’un des critères mentionnés à l’article 1:26, § 1</w:t>
      </w:r>
      <w:r>
        <w:rPr>
          <w:color w:val="231F20"/>
          <w:position w:val="7"/>
          <w:sz w:val="11"/>
        </w:rPr>
        <w:t>er</w:t>
      </w:r>
      <w:r>
        <w:rPr>
          <w:color w:val="231F20"/>
        </w:rPr>
        <w:t>, à condition que les critères soient calculés sur base individuelle, sauf s’il s’agit d’une société-mère et qui sont actives dans les industries extractives ou l’exploitation des forêts primaires au sens de l’article 3:7, sont tenus d’établir chaque année un rapport sur les paiements aux gouvernements dont la forme et le contenu sont définis par le</w:t>
      </w:r>
      <w:r>
        <w:rPr>
          <w:color w:val="231F20"/>
          <w:spacing w:val="-12"/>
        </w:rPr>
        <w:t> </w:t>
      </w:r>
      <w:r>
        <w:rPr>
          <w:color w:val="231F20"/>
        </w:rPr>
        <w:t>Roi.</w:t>
      </w:r>
    </w:p>
    <w:p>
      <w:pPr>
        <w:pStyle w:val="BodyText"/>
        <w:spacing w:line="218" w:lineRule="auto" w:before="87"/>
        <w:ind w:right="39"/>
      </w:pPr>
      <w:r>
        <w:rPr>
          <w:color w:val="231F20"/>
        </w:rPr>
        <w:t>Sauf s’il s’agit de sociétés visées à l’article 3:1, § 3, 1°, 2°, 3° ou 4°, la présente section n’est pas applicable:</w:t>
      </w:r>
    </w:p>
    <w:p>
      <w:pPr>
        <w:pStyle w:val="BodyText"/>
        <w:spacing w:line="218" w:lineRule="auto" w:before="85"/>
        <w:ind w:right="38"/>
      </w:pPr>
      <w:r>
        <w:rPr>
          <w:color w:val="231F20"/>
        </w:rPr>
        <w:t>1° aux sociétés en nom collectif, aux sociétés en commandite et aux groupements européens d’intérêt economique dont tous les associés à responsabilité illimitée sont des personnes physiques;</w:t>
      </w:r>
    </w:p>
    <w:p>
      <w:pPr>
        <w:pStyle w:val="BodyText"/>
        <w:spacing w:line="218" w:lineRule="auto" w:before="86"/>
        <w:ind w:right="38"/>
      </w:pPr>
      <w:r>
        <w:rPr>
          <w:color w:val="231F20"/>
        </w:rPr>
        <w:t>2° aux entreprises agricoles agréées conformément à l’article 8:2 qui ont pris la forme d’une société en nom collectif ou d’une société en commandite et qui sont assujetties à l’impôt des personnes physiques;</w:t>
      </w:r>
    </w:p>
    <w:p>
      <w:pPr>
        <w:pStyle w:val="BodyText"/>
        <w:spacing w:before="11"/>
        <w:ind w:left="0" w:right="0" w:firstLine="0"/>
        <w:jc w:val="left"/>
        <w:rPr>
          <w:sz w:val="22"/>
        </w:rPr>
      </w:pPr>
    </w:p>
    <w:p>
      <w:pPr>
        <w:pStyle w:val="BodyText"/>
        <w:spacing w:line="218" w:lineRule="auto"/>
        <w:ind w:right="38"/>
      </w:pPr>
      <w:r>
        <w:rPr>
          <w:color w:val="231F20"/>
        </w:rPr>
        <w:t>3° aux sociétés relevant du droit d’un État membre de l’Union euro- péenne qui sont des filiales ou des sociétés mères lorsque les conditions suivantes sont remplies:</w:t>
      </w:r>
    </w:p>
    <w:p>
      <w:pPr>
        <w:pStyle w:val="ListParagraph"/>
        <w:numPr>
          <w:ilvl w:val="0"/>
          <w:numId w:val="61"/>
        </w:numPr>
        <w:tabs>
          <w:tab w:pos="466" w:val="left" w:leader="none"/>
        </w:tabs>
        <w:spacing w:line="218" w:lineRule="auto" w:before="83" w:after="0"/>
        <w:ind w:left="113" w:right="38" w:firstLine="170"/>
        <w:jc w:val="both"/>
        <w:rPr>
          <w:sz w:val="17"/>
        </w:rPr>
      </w:pPr>
      <w:r>
        <w:rPr>
          <w:color w:val="231F20"/>
          <w:sz w:val="17"/>
        </w:rPr>
        <w:t>la société mère relève du droit d’un État membre de l’Union euro- péenne;</w:t>
      </w:r>
    </w:p>
    <w:p>
      <w:pPr>
        <w:pStyle w:val="ListParagraph"/>
        <w:numPr>
          <w:ilvl w:val="0"/>
          <w:numId w:val="61"/>
        </w:numPr>
        <w:tabs>
          <w:tab w:pos="460" w:val="left" w:leader="none"/>
        </w:tabs>
        <w:spacing w:line="218" w:lineRule="auto" w:before="83" w:after="0"/>
        <w:ind w:left="113" w:right="38" w:firstLine="170"/>
        <w:jc w:val="both"/>
        <w:rPr>
          <w:sz w:val="17"/>
        </w:rPr>
      </w:pPr>
      <w:r>
        <w:rPr>
          <w:color w:val="231F20"/>
          <w:sz w:val="17"/>
        </w:rPr>
        <w:t>les paiements effectués au profit de gouvernements par ces</w:t>
      </w:r>
      <w:r>
        <w:rPr>
          <w:color w:val="231F20"/>
          <w:spacing w:val="-18"/>
          <w:sz w:val="17"/>
        </w:rPr>
        <w:t> </w:t>
      </w:r>
      <w:r>
        <w:rPr>
          <w:color w:val="231F20"/>
          <w:sz w:val="17"/>
        </w:rPr>
        <w:t>sociétés figurent dans le rapport consolidé établi par la société mère conformé- ment à l’article</w:t>
      </w:r>
      <w:r>
        <w:rPr>
          <w:color w:val="231F20"/>
          <w:spacing w:val="2"/>
          <w:sz w:val="17"/>
        </w:rPr>
        <w:t> </w:t>
      </w:r>
      <w:r>
        <w:rPr>
          <w:color w:val="231F20"/>
          <w:sz w:val="17"/>
        </w:rPr>
        <w:t>3:31;</w:t>
      </w:r>
    </w:p>
    <w:p>
      <w:pPr>
        <w:pStyle w:val="BodyText"/>
        <w:spacing w:line="218" w:lineRule="auto" w:before="96"/>
        <w:ind w:right="38"/>
      </w:pPr>
      <w:r>
        <w:rPr>
          <w:color w:val="231F20"/>
        </w:rPr>
        <w:t>4° aux sociétés qui établissent un rapport sur les paiements aux gouvernements et le rendent public conformément aux exigences applicables aux pays tiers qui sont, en vertu de l’article 47 de la directive 2013/34/UE, jugées équivalentes à celles prévues dans la présente</w:t>
      </w:r>
      <w:r>
        <w:rPr>
          <w:color w:val="231F20"/>
          <w:spacing w:val="14"/>
        </w:rPr>
        <w:t> </w:t>
      </w:r>
      <w:r>
        <w:rPr>
          <w:color w:val="231F20"/>
        </w:rPr>
        <w:t>section.</w:t>
      </w:r>
      <w:r>
        <w:rPr>
          <w:color w:val="231F20"/>
          <w:spacing w:val="14"/>
        </w:rPr>
        <w:t> </w:t>
      </w:r>
      <w:r>
        <w:rPr>
          <w:color w:val="231F20"/>
        </w:rPr>
        <w:t>Ces</w:t>
      </w:r>
      <w:r>
        <w:rPr>
          <w:color w:val="231F20"/>
          <w:spacing w:val="15"/>
        </w:rPr>
        <w:t> </w:t>
      </w:r>
      <w:r>
        <w:rPr>
          <w:color w:val="231F20"/>
        </w:rPr>
        <w:t>sociétés</w:t>
      </w:r>
      <w:r>
        <w:rPr>
          <w:color w:val="231F20"/>
          <w:spacing w:val="14"/>
        </w:rPr>
        <w:t> </w:t>
      </w:r>
      <w:r>
        <w:rPr>
          <w:color w:val="231F20"/>
        </w:rPr>
        <w:t>sont</w:t>
      </w:r>
      <w:r>
        <w:rPr>
          <w:color w:val="231F20"/>
          <w:spacing w:val="15"/>
        </w:rPr>
        <w:t> </w:t>
      </w:r>
      <w:r>
        <w:rPr>
          <w:color w:val="231F20"/>
        </w:rPr>
        <w:t>tenues</w:t>
      </w:r>
      <w:r>
        <w:rPr>
          <w:color w:val="231F20"/>
          <w:spacing w:val="14"/>
        </w:rPr>
        <w:t> </w:t>
      </w:r>
      <w:r>
        <w:rPr>
          <w:color w:val="231F20"/>
        </w:rPr>
        <w:t>de</w:t>
      </w:r>
      <w:r>
        <w:rPr>
          <w:color w:val="231F20"/>
          <w:spacing w:val="15"/>
        </w:rPr>
        <w:t> </w:t>
      </w:r>
      <w:r>
        <w:rPr>
          <w:color w:val="231F20"/>
        </w:rPr>
        <w:t>le</w:t>
      </w:r>
      <w:r>
        <w:rPr>
          <w:color w:val="231F20"/>
          <w:spacing w:val="14"/>
        </w:rPr>
        <w:t> </w:t>
      </w:r>
      <w:r>
        <w:rPr>
          <w:color w:val="231F20"/>
        </w:rPr>
        <w:t>rendre</w:t>
      </w:r>
      <w:r>
        <w:rPr>
          <w:color w:val="231F20"/>
          <w:spacing w:val="14"/>
        </w:rPr>
        <w:t> </w:t>
      </w:r>
      <w:r>
        <w:rPr>
          <w:color w:val="231F20"/>
        </w:rPr>
        <w:t>public.</w:t>
      </w:r>
    </w:p>
    <w:p>
      <w:pPr>
        <w:pStyle w:val="BodyText"/>
        <w:spacing w:before="11"/>
        <w:ind w:left="0" w:right="0" w:firstLine="0"/>
        <w:jc w:val="left"/>
        <w:rPr>
          <w:sz w:val="23"/>
        </w:rPr>
      </w:pPr>
    </w:p>
    <w:p>
      <w:pPr>
        <w:pStyle w:val="BodyText"/>
        <w:spacing w:line="218" w:lineRule="auto"/>
        <w:ind w:right="40"/>
      </w:pPr>
      <w:r>
        <w:rPr>
          <w:color w:val="231F20"/>
        </w:rPr>
        <w:t>§ 2. Le rapport est déposé par l’organe d’administration à la Banque nationale de Belgique en même temps que les comptes annuels.</w:t>
      </w:r>
    </w:p>
    <w:p>
      <w:pPr>
        <w:pStyle w:val="BodyText"/>
        <w:spacing w:before="8"/>
        <w:ind w:left="0" w:right="0" w:firstLine="0"/>
        <w:jc w:val="left"/>
        <w:rPr>
          <w:sz w:val="22"/>
        </w:rPr>
      </w:pPr>
    </w:p>
    <w:p>
      <w:pPr>
        <w:pStyle w:val="BodyText"/>
        <w:spacing w:line="319" w:lineRule="auto"/>
        <w:ind w:left="283" w:right="2573" w:firstLine="0"/>
        <w:jc w:val="left"/>
      </w:pPr>
      <w:r>
        <w:rPr>
          <w:color w:val="231F20"/>
        </w:rPr>
        <w:t>Section 4. Obligations de publicité. Sous-section 1</w:t>
      </w:r>
      <w:r>
        <w:rPr>
          <w:color w:val="231F20"/>
          <w:position w:val="7"/>
          <w:sz w:val="11"/>
        </w:rPr>
        <w:t>re</w:t>
      </w:r>
      <w:r>
        <w:rPr>
          <w:color w:val="231F20"/>
        </w:rPr>
        <w:t>. Sociétés belges.</w:t>
      </w:r>
    </w:p>
    <w:p>
      <w:pPr>
        <w:pStyle w:val="BodyText"/>
        <w:spacing w:line="218" w:lineRule="auto" w:before="28"/>
        <w:ind w:right="38"/>
      </w:pPr>
      <w:r>
        <w:rPr>
          <w:color w:val="231F20"/>
        </w:rPr>
        <w:t>Art. 3:9. Sauf s’il s’agit de sociétés visées à l’article 3:1, § 3, 1°, 2°, 3° ou 4°, la présente sous-section n’est pas applicable:</w:t>
      </w:r>
    </w:p>
    <w:p>
      <w:pPr>
        <w:pStyle w:val="BodyText"/>
        <w:ind w:left="0" w:right="0" w:firstLine="0"/>
        <w:jc w:val="left"/>
        <w:rPr>
          <w:sz w:val="24"/>
        </w:rPr>
      </w:pPr>
    </w:p>
    <w:p>
      <w:pPr>
        <w:pStyle w:val="BodyText"/>
        <w:spacing w:line="218" w:lineRule="auto"/>
        <w:ind w:right="38"/>
      </w:pPr>
      <w:r>
        <w:rPr>
          <w:color w:val="231F20"/>
        </w:rPr>
        <w:t>1° aux petites sociétés qui ont adopté la forme d’une société en nom collectif ou d’une société en commandite;</w:t>
      </w:r>
    </w:p>
    <w:p>
      <w:pPr>
        <w:pStyle w:val="BodyText"/>
        <w:spacing w:line="218" w:lineRule="auto" w:before="96"/>
        <w:ind w:right="38"/>
      </w:pPr>
      <w:r>
        <w:rPr>
          <w:color w:val="231F20"/>
        </w:rPr>
        <w:t>2° aux sociétés en nom collectif, aux sociétés en commandite et aux groupements européens d’intérêt economique dont tous les associés à responsabilité illimitée sont des personnes physiques.</w:t>
      </w:r>
    </w:p>
    <w:p>
      <w:pPr>
        <w:pStyle w:val="BodyText"/>
        <w:spacing w:line="218" w:lineRule="auto" w:before="96"/>
        <w:ind w:right="39"/>
      </w:pPr>
      <w:r>
        <w:rPr>
          <w:color w:val="231F20"/>
        </w:rPr>
        <w:t>Art. 3:10. Les comptes annuels sont déposés par l’organe d’adminis- tration à la Banque nationale de Belgique.</w:t>
      </w:r>
    </w:p>
    <w:p>
      <w:pPr>
        <w:pStyle w:val="BodyText"/>
        <w:spacing w:line="218" w:lineRule="auto" w:before="96"/>
        <w:ind w:right="38"/>
      </w:pPr>
      <w:r>
        <w:rPr>
          <w:color w:val="231F20"/>
        </w:rPr>
        <w:t>Ce dépôt a lieu dans les trente jours de leur approbation et au plus tard sept mois après la date de clôture de l’exercice.</w:t>
      </w:r>
    </w:p>
    <w:p>
      <w:pPr>
        <w:pStyle w:val="BodyText"/>
        <w:spacing w:before="11"/>
        <w:ind w:left="0" w:right="0" w:firstLine="0"/>
        <w:jc w:val="left"/>
        <w:rPr>
          <w:sz w:val="23"/>
        </w:rPr>
      </w:pPr>
    </w:p>
    <w:p>
      <w:pPr>
        <w:pStyle w:val="BodyText"/>
        <w:spacing w:line="218" w:lineRule="auto"/>
        <w:ind w:right="38"/>
      </w:pPr>
      <w:r>
        <w:rPr>
          <w:color w:val="231F20"/>
        </w:rPr>
        <w:t>Si les comptes annuels n’ont pas été déposés conformément à  l’alinéa 2, le dommage subi par les tiers est, sauf preuve</w:t>
      </w:r>
      <w:r>
        <w:rPr>
          <w:color w:val="231F20"/>
          <w:spacing w:val="23"/>
        </w:rPr>
        <w:t> </w:t>
      </w:r>
      <w:r>
        <w:rPr>
          <w:color w:val="231F20"/>
        </w:rPr>
        <w:t>contraire, présumé résulter de cette</w:t>
      </w:r>
      <w:r>
        <w:rPr>
          <w:color w:val="231F20"/>
          <w:spacing w:val="18"/>
        </w:rPr>
        <w:t> </w:t>
      </w:r>
      <w:r>
        <w:rPr>
          <w:color w:val="231F20"/>
        </w:rPr>
        <w:t>omission.</w:t>
      </w:r>
    </w:p>
    <w:p>
      <w:pPr>
        <w:pStyle w:val="BodyText"/>
        <w:spacing w:line="213" w:lineRule="auto" w:before="99"/>
        <w:ind w:right="38"/>
      </w:pPr>
      <w:r>
        <w:rPr>
          <w:color w:val="231F20"/>
        </w:rPr>
        <w:t>Art. 3:11. Les petites sociétés non cotées, les petites sociétés qui ne sont pas des entités d’intérêt public visées à l’article 1:12, 2°, et les microsociétés ont la faculté de publier leurs comptes annuels établis, en vertu de l’article 3:2, alinéa 1</w:t>
      </w:r>
      <w:r>
        <w:rPr>
          <w:color w:val="231F20"/>
          <w:position w:val="7"/>
          <w:sz w:val="11"/>
        </w:rPr>
        <w:t>er</w:t>
      </w:r>
      <w:r>
        <w:rPr>
          <w:color w:val="231F20"/>
        </w:rPr>
        <w:t>, ou en vertu de l’article 3:3, alinéa 1</w:t>
      </w:r>
      <w:r>
        <w:rPr>
          <w:color w:val="231F20"/>
          <w:position w:val="7"/>
          <w:sz w:val="11"/>
        </w:rPr>
        <w:t>er</w:t>
      </w:r>
      <w:r>
        <w:rPr>
          <w:color w:val="231F20"/>
        </w:rPr>
        <w:t>,</w:t>
      </w:r>
    </w:p>
    <w:p>
      <w:pPr>
        <w:pStyle w:val="BodyText"/>
        <w:spacing w:line="218" w:lineRule="auto" w:before="119"/>
        <w:ind w:firstLine="0"/>
      </w:pPr>
      <w:r>
        <w:rPr/>
        <w:br w:type="column"/>
      </w:r>
      <w:r>
        <w:rPr>
          <w:color w:val="231F20"/>
        </w:rPr>
        <w:t>verklaring van niet-financiële informatie in een afzonderlijk verslag is opgemaakt. Dit afzonderlijk verslag wordt als bijlage bij het jaarverslag gevoegd.</w:t>
      </w:r>
    </w:p>
    <w:p>
      <w:pPr>
        <w:pStyle w:val="BodyText"/>
        <w:spacing w:before="72"/>
        <w:ind w:left="283" w:right="0" w:firstLine="0"/>
        <w:jc w:val="left"/>
      </w:pPr>
      <w:r>
        <w:rPr>
          <w:color w:val="231F20"/>
        </w:rPr>
        <w:t>Afdeling 3. Het verslag van betalingen aan overheden.</w:t>
      </w:r>
    </w:p>
    <w:p>
      <w:pPr>
        <w:pStyle w:val="BodyText"/>
        <w:spacing w:before="68"/>
        <w:ind w:left="283" w:right="0" w:firstLine="0"/>
        <w:jc w:val="left"/>
      </w:pPr>
      <w:r>
        <w:rPr>
          <w:color w:val="231F20"/>
        </w:rPr>
        <w:t>Art. 3:7. Voor de toepassing van deze afdeling wordt verstaan onder:</w:t>
      </w:r>
    </w:p>
    <w:p>
      <w:pPr>
        <w:pStyle w:val="BodyText"/>
        <w:spacing w:before="8"/>
        <w:ind w:left="0" w:right="0" w:firstLine="0"/>
        <w:jc w:val="left"/>
        <w:rPr>
          <w:sz w:val="22"/>
        </w:rPr>
      </w:pPr>
    </w:p>
    <w:p>
      <w:pPr>
        <w:pStyle w:val="BodyText"/>
        <w:spacing w:line="218" w:lineRule="auto"/>
      </w:pPr>
      <w:r>
        <w:rPr>
          <w:color w:val="231F20"/>
        </w:rPr>
        <w:t>1° vennootschap actief in de winningsindustrie: een vennootschap met, volledig of gedeeltelijk, activiteiten op het gebied van exploratie, prospectie, opsporing, ontwikkeling en winning van mineralen, aard- olie, aardgas en andere stoffen, binnen de economische activiteiten die vallen onder sectie B, afdelingen 05 tot 08, van bijlage I bij verordening (EG) </w:t>
      </w:r>
      <w:r>
        <w:rPr>
          <w:color w:val="231F20"/>
          <w:spacing w:val="-5"/>
        </w:rPr>
        <w:t>nr. </w:t>
      </w:r>
      <w:r>
        <w:rPr>
          <w:color w:val="231F20"/>
        </w:rPr>
        <w:t>1983/2006  van  het  Europees  Parlement  en  de  Raad  van  20 december 2006 tot vaststelling van de statistische classificatie van economische activiteiten NACE </w:t>
      </w:r>
      <w:r>
        <w:rPr>
          <w:color w:val="231F20"/>
          <w:spacing w:val="-5"/>
        </w:rPr>
        <w:t>Rev.</w:t>
      </w:r>
      <w:r>
        <w:rPr>
          <w:color w:val="231F20"/>
          <w:spacing w:val="25"/>
        </w:rPr>
        <w:t> </w:t>
      </w:r>
      <w:r>
        <w:rPr>
          <w:color w:val="231F20"/>
        </w:rPr>
        <w:t>2;</w:t>
      </w:r>
    </w:p>
    <w:p>
      <w:pPr>
        <w:pStyle w:val="BodyText"/>
        <w:spacing w:line="218" w:lineRule="auto" w:before="86"/>
      </w:pPr>
      <w:r>
        <w:rPr>
          <w:color w:val="231F20"/>
        </w:rPr>
        <w:t>2° vennootschap actief in de houtkap van oerbossen: een vennoot- schap met activiteiten in oerbossen die vallen onder  sectie A,  afde- ling</w:t>
      </w:r>
      <w:r>
        <w:rPr>
          <w:color w:val="231F20"/>
          <w:spacing w:val="14"/>
        </w:rPr>
        <w:t> </w:t>
      </w:r>
      <w:r>
        <w:rPr>
          <w:color w:val="231F20"/>
        </w:rPr>
        <w:t>02,</w:t>
      </w:r>
      <w:r>
        <w:rPr>
          <w:color w:val="231F20"/>
          <w:spacing w:val="14"/>
        </w:rPr>
        <w:t> </w:t>
      </w:r>
      <w:r>
        <w:rPr>
          <w:color w:val="231F20"/>
        </w:rPr>
        <w:t>groep</w:t>
      </w:r>
      <w:r>
        <w:rPr>
          <w:color w:val="231F20"/>
          <w:spacing w:val="14"/>
        </w:rPr>
        <w:t> </w:t>
      </w:r>
      <w:r>
        <w:rPr>
          <w:color w:val="231F20"/>
        </w:rPr>
        <w:t>02.2,</w:t>
      </w:r>
      <w:r>
        <w:rPr>
          <w:color w:val="231F20"/>
          <w:spacing w:val="15"/>
        </w:rPr>
        <w:t> </w:t>
      </w:r>
      <w:r>
        <w:rPr>
          <w:color w:val="231F20"/>
        </w:rPr>
        <w:t>van</w:t>
      </w:r>
      <w:r>
        <w:rPr>
          <w:color w:val="231F20"/>
          <w:spacing w:val="14"/>
        </w:rPr>
        <w:t> </w:t>
      </w:r>
      <w:r>
        <w:rPr>
          <w:color w:val="231F20"/>
        </w:rPr>
        <w:t>dezelfde</w:t>
      </w:r>
      <w:r>
        <w:rPr>
          <w:color w:val="231F20"/>
          <w:spacing w:val="14"/>
        </w:rPr>
        <w:t> </w:t>
      </w:r>
      <w:r>
        <w:rPr>
          <w:color w:val="231F20"/>
        </w:rPr>
        <w:t>bijlage.</w:t>
      </w:r>
    </w:p>
    <w:p>
      <w:pPr>
        <w:pStyle w:val="BodyText"/>
        <w:spacing w:line="218" w:lineRule="auto" w:before="85"/>
      </w:pPr>
      <w:r>
        <w:rPr>
          <w:color w:val="231F20"/>
        </w:rPr>
        <w:t>Art. 3:8. § 1. Genoteerde vennootschappen, organisaties van open- baar belang als bedoeld in artikel 1:12, 2°, vennootschappen bedoeld in artikel</w:t>
      </w:r>
      <w:r>
        <w:rPr>
          <w:color w:val="231F20"/>
          <w:spacing w:val="-6"/>
        </w:rPr>
        <w:t> </w:t>
      </w:r>
      <w:r>
        <w:rPr>
          <w:color w:val="231F20"/>
        </w:rPr>
        <w:t>3:1,</w:t>
      </w:r>
      <w:r>
        <w:rPr>
          <w:color w:val="231F20"/>
          <w:spacing w:val="-5"/>
        </w:rPr>
        <w:t> </w:t>
      </w:r>
      <w:r>
        <w:rPr>
          <w:color w:val="231F20"/>
        </w:rPr>
        <w:t>§</w:t>
      </w:r>
      <w:r>
        <w:rPr>
          <w:color w:val="231F20"/>
          <w:spacing w:val="-6"/>
        </w:rPr>
        <w:t> </w:t>
      </w:r>
      <w:r>
        <w:rPr>
          <w:color w:val="231F20"/>
        </w:rPr>
        <w:t>3,</w:t>
      </w:r>
      <w:r>
        <w:rPr>
          <w:color w:val="231F20"/>
          <w:spacing w:val="-5"/>
        </w:rPr>
        <w:t> </w:t>
      </w:r>
      <w:r>
        <w:rPr>
          <w:color w:val="231F20"/>
        </w:rPr>
        <w:t>1°,</w:t>
      </w:r>
      <w:r>
        <w:rPr>
          <w:color w:val="231F20"/>
          <w:spacing w:val="-6"/>
        </w:rPr>
        <w:t> </w:t>
      </w:r>
      <w:r>
        <w:rPr>
          <w:color w:val="231F20"/>
        </w:rPr>
        <w:t>2°,</w:t>
      </w:r>
      <w:r>
        <w:rPr>
          <w:color w:val="231F20"/>
          <w:spacing w:val="-5"/>
        </w:rPr>
        <w:t> </w:t>
      </w:r>
      <w:r>
        <w:rPr>
          <w:color w:val="231F20"/>
        </w:rPr>
        <w:t>3°</w:t>
      </w:r>
      <w:r>
        <w:rPr>
          <w:color w:val="231F20"/>
          <w:spacing w:val="-6"/>
        </w:rPr>
        <w:t> </w:t>
      </w:r>
      <w:r>
        <w:rPr>
          <w:color w:val="231F20"/>
        </w:rPr>
        <w:t>of</w:t>
      </w:r>
      <w:r>
        <w:rPr>
          <w:color w:val="231F20"/>
          <w:spacing w:val="-5"/>
        </w:rPr>
        <w:t> </w:t>
      </w:r>
      <w:r>
        <w:rPr>
          <w:color w:val="231F20"/>
        </w:rPr>
        <w:t>4°,</w:t>
      </w:r>
      <w:r>
        <w:rPr>
          <w:color w:val="231F20"/>
          <w:spacing w:val="-6"/>
        </w:rPr>
        <w:t> </w:t>
      </w:r>
      <w:r>
        <w:rPr>
          <w:color w:val="231F20"/>
        </w:rPr>
        <w:t>alsook</w:t>
      </w:r>
      <w:r>
        <w:rPr>
          <w:color w:val="231F20"/>
          <w:spacing w:val="-5"/>
        </w:rPr>
        <w:t> </w:t>
      </w:r>
      <w:r>
        <w:rPr>
          <w:color w:val="231F20"/>
        </w:rPr>
        <w:t>vennootschappen</w:t>
      </w:r>
      <w:r>
        <w:rPr>
          <w:color w:val="231F20"/>
          <w:spacing w:val="-6"/>
        </w:rPr>
        <w:t> </w:t>
      </w:r>
      <w:r>
        <w:rPr>
          <w:color w:val="231F20"/>
        </w:rPr>
        <w:t>die</w:t>
      </w:r>
      <w:r>
        <w:rPr>
          <w:color w:val="231F20"/>
          <w:spacing w:val="-5"/>
        </w:rPr>
        <w:t> </w:t>
      </w:r>
      <w:r>
        <w:rPr>
          <w:color w:val="231F20"/>
        </w:rPr>
        <w:t>meer</w:t>
      </w:r>
      <w:r>
        <w:rPr>
          <w:color w:val="231F20"/>
          <w:spacing w:val="-6"/>
        </w:rPr>
        <w:t> </w:t>
      </w:r>
      <w:r>
        <w:rPr>
          <w:color w:val="231F20"/>
        </w:rPr>
        <w:t>dan</w:t>
      </w:r>
      <w:r>
        <w:rPr>
          <w:color w:val="231F20"/>
          <w:spacing w:val="-5"/>
        </w:rPr>
        <w:t> </w:t>
      </w:r>
      <w:r>
        <w:rPr>
          <w:color w:val="231F20"/>
        </w:rPr>
        <w:t>één van de in artikel 1:26, § 1, vermelde criteria overschrijden, met dien verstande dat de criteria worden berekend op enkelvoudige basis tenzij deze vennootschap een moedervennootschap is, en die actief zijn in de winningsindustrie of de houtkap  van  oerbossen  als  bedoeld  in  artikel 3:7, stellen elk jaar een verslag van betalingen aan overheden op waarvan</w:t>
      </w:r>
      <w:r>
        <w:rPr>
          <w:color w:val="231F20"/>
          <w:spacing w:val="17"/>
        </w:rPr>
        <w:t> </w:t>
      </w:r>
      <w:r>
        <w:rPr>
          <w:color w:val="231F20"/>
        </w:rPr>
        <w:t>de</w:t>
      </w:r>
      <w:r>
        <w:rPr>
          <w:color w:val="231F20"/>
          <w:spacing w:val="17"/>
        </w:rPr>
        <w:t> </w:t>
      </w:r>
      <w:r>
        <w:rPr>
          <w:color w:val="231F20"/>
        </w:rPr>
        <w:t>Koning</w:t>
      </w:r>
      <w:r>
        <w:rPr>
          <w:color w:val="231F20"/>
          <w:spacing w:val="17"/>
        </w:rPr>
        <w:t> </w:t>
      </w:r>
      <w:r>
        <w:rPr>
          <w:color w:val="231F20"/>
        </w:rPr>
        <w:t>de</w:t>
      </w:r>
      <w:r>
        <w:rPr>
          <w:color w:val="231F20"/>
          <w:spacing w:val="18"/>
        </w:rPr>
        <w:t> </w:t>
      </w:r>
      <w:r>
        <w:rPr>
          <w:color w:val="231F20"/>
        </w:rPr>
        <w:t>vorm</w:t>
      </w:r>
      <w:r>
        <w:rPr>
          <w:color w:val="231F20"/>
          <w:spacing w:val="17"/>
        </w:rPr>
        <w:t> </w:t>
      </w:r>
      <w:r>
        <w:rPr>
          <w:color w:val="231F20"/>
        </w:rPr>
        <w:t>en</w:t>
      </w:r>
      <w:r>
        <w:rPr>
          <w:color w:val="231F20"/>
          <w:spacing w:val="17"/>
        </w:rPr>
        <w:t> </w:t>
      </w:r>
      <w:r>
        <w:rPr>
          <w:color w:val="231F20"/>
        </w:rPr>
        <w:t>de</w:t>
      </w:r>
      <w:r>
        <w:rPr>
          <w:color w:val="231F20"/>
          <w:spacing w:val="17"/>
        </w:rPr>
        <w:t> </w:t>
      </w:r>
      <w:r>
        <w:rPr>
          <w:color w:val="231F20"/>
        </w:rPr>
        <w:t>inhoud</w:t>
      </w:r>
      <w:r>
        <w:rPr>
          <w:color w:val="231F20"/>
          <w:spacing w:val="18"/>
        </w:rPr>
        <w:t> </w:t>
      </w:r>
      <w:r>
        <w:rPr>
          <w:color w:val="231F20"/>
        </w:rPr>
        <w:t>bepaalt.</w:t>
      </w:r>
    </w:p>
    <w:p>
      <w:pPr>
        <w:pStyle w:val="BodyText"/>
        <w:spacing w:line="218" w:lineRule="auto" w:before="87"/>
      </w:pPr>
      <w:r>
        <w:rPr>
          <w:color w:val="231F20"/>
        </w:rPr>
        <w:t>Tenzij het gaat om één van de in artikel 3:1, § 3, 1°, 2°, 3° of 4°, bedoelde vennootschappen is deze afdeling niet van toepassing op:</w:t>
      </w:r>
    </w:p>
    <w:p>
      <w:pPr>
        <w:pStyle w:val="BodyText"/>
        <w:spacing w:line="218" w:lineRule="auto" w:before="85"/>
        <w:ind w:right="122"/>
      </w:pPr>
      <w:r>
        <w:rPr>
          <w:color w:val="231F20"/>
        </w:rPr>
        <w:t>1°</w:t>
      </w:r>
      <w:r>
        <w:rPr>
          <w:color w:val="231F20"/>
          <w:spacing w:val="-10"/>
        </w:rPr>
        <w:t> </w:t>
      </w:r>
      <w:r>
        <w:rPr>
          <w:color w:val="231F20"/>
        </w:rPr>
        <w:t>de</w:t>
      </w:r>
      <w:r>
        <w:rPr>
          <w:color w:val="231F20"/>
          <w:spacing w:val="-9"/>
        </w:rPr>
        <w:t> </w:t>
      </w:r>
      <w:r>
        <w:rPr>
          <w:color w:val="231F20"/>
        </w:rPr>
        <w:t>vennootschappen</w:t>
      </w:r>
      <w:r>
        <w:rPr>
          <w:color w:val="231F20"/>
          <w:spacing w:val="-9"/>
        </w:rPr>
        <w:t> </w:t>
      </w:r>
      <w:r>
        <w:rPr>
          <w:color w:val="231F20"/>
        </w:rPr>
        <w:t>onder</w:t>
      </w:r>
      <w:r>
        <w:rPr>
          <w:color w:val="231F20"/>
          <w:spacing w:val="-9"/>
        </w:rPr>
        <w:t> </w:t>
      </w:r>
      <w:r>
        <w:rPr>
          <w:color w:val="231F20"/>
        </w:rPr>
        <w:t>firma,</w:t>
      </w:r>
      <w:r>
        <w:rPr>
          <w:color w:val="231F20"/>
          <w:spacing w:val="-9"/>
        </w:rPr>
        <w:t> </w:t>
      </w:r>
      <w:r>
        <w:rPr>
          <w:color w:val="231F20"/>
        </w:rPr>
        <w:t>de</w:t>
      </w:r>
      <w:r>
        <w:rPr>
          <w:color w:val="231F20"/>
          <w:spacing w:val="-9"/>
        </w:rPr>
        <w:t> </w:t>
      </w:r>
      <w:r>
        <w:rPr>
          <w:color w:val="231F20"/>
          <w:spacing w:val="-3"/>
        </w:rPr>
        <w:t>commanditaire</w:t>
      </w:r>
      <w:r>
        <w:rPr>
          <w:color w:val="231F20"/>
          <w:spacing w:val="-9"/>
        </w:rPr>
        <w:t> </w:t>
      </w:r>
      <w:r>
        <w:rPr>
          <w:color w:val="231F20"/>
        </w:rPr>
        <w:t>vennootschap- pen en de Europese economische samenwerkingsverbanden waarvan alle</w:t>
      </w:r>
      <w:r>
        <w:rPr>
          <w:color w:val="231F20"/>
          <w:spacing w:val="14"/>
        </w:rPr>
        <w:t> </w:t>
      </w:r>
      <w:r>
        <w:rPr>
          <w:color w:val="231F20"/>
        </w:rPr>
        <w:t>onbeperkt</w:t>
      </w:r>
      <w:r>
        <w:rPr>
          <w:color w:val="231F20"/>
          <w:spacing w:val="14"/>
        </w:rPr>
        <w:t> </w:t>
      </w:r>
      <w:r>
        <w:rPr>
          <w:color w:val="231F20"/>
        </w:rPr>
        <w:t>aansprakelijke</w:t>
      </w:r>
      <w:r>
        <w:rPr>
          <w:color w:val="231F20"/>
          <w:spacing w:val="15"/>
        </w:rPr>
        <w:t> </w:t>
      </w:r>
      <w:r>
        <w:rPr>
          <w:color w:val="231F20"/>
        </w:rPr>
        <w:t>vennoten</w:t>
      </w:r>
      <w:r>
        <w:rPr>
          <w:color w:val="231F20"/>
          <w:spacing w:val="14"/>
        </w:rPr>
        <w:t> </w:t>
      </w:r>
      <w:r>
        <w:rPr>
          <w:color w:val="231F20"/>
        </w:rPr>
        <w:t>natuurlijke</w:t>
      </w:r>
      <w:r>
        <w:rPr>
          <w:color w:val="231F20"/>
          <w:spacing w:val="14"/>
        </w:rPr>
        <w:t> </w:t>
      </w:r>
      <w:r>
        <w:rPr>
          <w:color w:val="231F20"/>
        </w:rPr>
        <w:t>personen</w:t>
      </w:r>
      <w:r>
        <w:rPr>
          <w:color w:val="231F20"/>
          <w:spacing w:val="15"/>
        </w:rPr>
        <w:t> </w:t>
      </w:r>
      <w:r>
        <w:rPr>
          <w:color w:val="231F20"/>
        </w:rPr>
        <w:t>zijn;</w:t>
      </w:r>
    </w:p>
    <w:p>
      <w:pPr>
        <w:pStyle w:val="BodyText"/>
        <w:spacing w:line="218" w:lineRule="auto" w:before="86"/>
      </w:pPr>
      <w:r>
        <w:rPr>
          <w:color w:val="231F20"/>
        </w:rPr>
        <w:t>2° de overeenkomstig artikel 8:2 erkende landbouwondernemingen die de vorm hebben aangenomen van een vennootschap onder firma of commanditaire vennootschap en die onderworpen zijn aan de perso- nenbelasting;</w:t>
      </w:r>
    </w:p>
    <w:p>
      <w:pPr>
        <w:pStyle w:val="BodyText"/>
        <w:spacing w:line="218" w:lineRule="auto" w:before="85"/>
      </w:pPr>
      <w:r>
        <w:rPr>
          <w:color w:val="231F20"/>
        </w:rPr>
        <w:t>3° de onder het recht van een lidstaat van de Europese Unie vallende vennootschappen die een dochtervennootschap of moedervennoot- schap zijn, indien de onderstaande voorwaarden zijn vervuld:</w:t>
      </w:r>
    </w:p>
    <w:p>
      <w:pPr>
        <w:pStyle w:val="ListParagraph"/>
        <w:numPr>
          <w:ilvl w:val="0"/>
          <w:numId w:val="62"/>
        </w:numPr>
        <w:tabs>
          <w:tab w:pos="469" w:val="left" w:leader="none"/>
        </w:tabs>
        <w:spacing w:line="218" w:lineRule="auto" w:before="83" w:after="0"/>
        <w:ind w:left="113" w:right="124" w:firstLine="170"/>
        <w:jc w:val="both"/>
        <w:rPr>
          <w:sz w:val="17"/>
        </w:rPr>
      </w:pPr>
      <w:r>
        <w:rPr>
          <w:color w:val="231F20"/>
          <w:sz w:val="17"/>
        </w:rPr>
        <w:t>de moedervennootschap valt onder het recht van een lidstaat van de Europese</w:t>
      </w:r>
      <w:r>
        <w:rPr>
          <w:color w:val="231F20"/>
          <w:spacing w:val="-12"/>
          <w:sz w:val="17"/>
        </w:rPr>
        <w:t> </w:t>
      </w:r>
      <w:r>
        <w:rPr>
          <w:color w:val="231F20"/>
          <w:sz w:val="17"/>
        </w:rPr>
        <w:t>Unie;</w:t>
      </w:r>
    </w:p>
    <w:p>
      <w:pPr>
        <w:pStyle w:val="ListParagraph"/>
        <w:numPr>
          <w:ilvl w:val="0"/>
          <w:numId w:val="62"/>
        </w:numPr>
        <w:tabs>
          <w:tab w:pos="510" w:val="left" w:leader="none"/>
        </w:tabs>
        <w:spacing w:line="218" w:lineRule="auto" w:before="83" w:after="0"/>
        <w:ind w:left="113" w:right="124" w:firstLine="170"/>
        <w:jc w:val="both"/>
        <w:rPr>
          <w:sz w:val="17"/>
        </w:rPr>
      </w:pPr>
      <w:r>
        <w:rPr>
          <w:color w:val="231F20"/>
          <w:sz w:val="17"/>
        </w:rPr>
        <w:t>de door een dergelijke vennootschap aan overheden verrichte betalingen zijn opgenomen in het geconsolideerde verslag dat de moedervennootschap opstelt overeenkomstig artikel</w:t>
      </w:r>
      <w:r>
        <w:rPr>
          <w:color w:val="231F20"/>
          <w:spacing w:val="19"/>
          <w:sz w:val="17"/>
        </w:rPr>
        <w:t> </w:t>
      </w:r>
      <w:r>
        <w:rPr>
          <w:color w:val="231F20"/>
          <w:sz w:val="17"/>
        </w:rPr>
        <w:t>3:31;</w:t>
      </w:r>
    </w:p>
    <w:p>
      <w:pPr>
        <w:pStyle w:val="BodyText"/>
        <w:spacing w:line="218" w:lineRule="auto" w:before="96"/>
      </w:pPr>
      <w:r>
        <w:rPr>
          <w:color w:val="231F20"/>
        </w:rPr>
        <w:t>4° de vennootschappen die een verslag over de betalingen aan overheden opstellen en dit verslag openbaar maken overeenkomstig de verslaggevingsvereisten van een derde land die overeenkomstig arti-  kel 47 van de richtlijn 2013/34/EU als gelijkwaardig aan de vereisten van deze afdeling zijn beoordeeld. Deze vennootschappen zijn ver- plicht</w:t>
      </w:r>
      <w:r>
        <w:rPr>
          <w:color w:val="231F20"/>
          <w:spacing w:val="15"/>
        </w:rPr>
        <w:t> </w:t>
      </w:r>
      <w:r>
        <w:rPr>
          <w:color w:val="231F20"/>
        </w:rPr>
        <w:t>dit</w:t>
      </w:r>
      <w:r>
        <w:rPr>
          <w:color w:val="231F20"/>
          <w:spacing w:val="15"/>
        </w:rPr>
        <w:t> </w:t>
      </w:r>
      <w:r>
        <w:rPr>
          <w:color w:val="231F20"/>
        </w:rPr>
        <w:t>verslag</w:t>
      </w:r>
      <w:r>
        <w:rPr>
          <w:color w:val="231F20"/>
          <w:spacing w:val="16"/>
        </w:rPr>
        <w:t> </w:t>
      </w:r>
      <w:r>
        <w:rPr>
          <w:color w:val="231F20"/>
        </w:rPr>
        <w:t>openbaar</w:t>
      </w:r>
      <w:r>
        <w:rPr>
          <w:color w:val="231F20"/>
          <w:spacing w:val="15"/>
        </w:rPr>
        <w:t> </w:t>
      </w:r>
      <w:r>
        <w:rPr>
          <w:color w:val="231F20"/>
        </w:rPr>
        <w:t>te</w:t>
      </w:r>
      <w:r>
        <w:rPr>
          <w:color w:val="231F20"/>
          <w:spacing w:val="15"/>
        </w:rPr>
        <w:t> </w:t>
      </w:r>
      <w:r>
        <w:rPr>
          <w:color w:val="231F20"/>
        </w:rPr>
        <w:t>maken.</w:t>
      </w:r>
    </w:p>
    <w:p>
      <w:pPr>
        <w:pStyle w:val="BodyText"/>
        <w:spacing w:line="218" w:lineRule="auto" w:before="96"/>
      </w:pPr>
      <w:r>
        <w:rPr>
          <w:color w:val="231F20"/>
        </w:rPr>
        <w:t>§ 2. Het verslag wordt door toedoen van het bestuursorgaan tegelijkertijd met de jaarrekening neergelegd bij de Nationale Bank van België.</w:t>
      </w:r>
    </w:p>
    <w:p>
      <w:pPr>
        <w:pStyle w:val="BodyText"/>
        <w:spacing w:line="338" w:lineRule="auto" w:before="83"/>
        <w:ind w:left="283" w:right="1017" w:firstLine="0"/>
        <w:jc w:val="left"/>
      </w:pPr>
      <w:r>
        <w:rPr>
          <w:color w:val="231F20"/>
        </w:rPr>
        <w:t>Afdeling 4. Openbaarmakingsverplichtingen. Onderafdeling 1. Belgische vennootschappen.</w:t>
      </w:r>
    </w:p>
    <w:p>
      <w:pPr>
        <w:pStyle w:val="BodyText"/>
        <w:spacing w:line="218" w:lineRule="auto" w:before="13"/>
      </w:pPr>
      <w:r>
        <w:rPr>
          <w:color w:val="231F20"/>
        </w:rPr>
        <w:t>Art. 3:9. Tenzij het gaat om één van de in artikel 3:1, § 3, 1°, 2°, 3° of 4°, bedoelde vennootschappen is deze onderafdeling niet van toepas- sing op:</w:t>
      </w:r>
    </w:p>
    <w:p>
      <w:pPr>
        <w:pStyle w:val="BodyText"/>
        <w:spacing w:line="218" w:lineRule="auto" w:before="96"/>
      </w:pPr>
      <w:r>
        <w:rPr>
          <w:color w:val="231F20"/>
        </w:rPr>
        <w:t>1° de kleine vennootschappen die de vorm hebben aangenomen van een vennootschap onder firma of een commanditaire vennootschap;</w:t>
      </w:r>
    </w:p>
    <w:p>
      <w:pPr>
        <w:pStyle w:val="BodyText"/>
        <w:spacing w:line="218" w:lineRule="auto" w:before="96"/>
        <w:ind w:right="122"/>
      </w:pPr>
      <w:r>
        <w:rPr>
          <w:color w:val="231F20"/>
        </w:rPr>
        <w:t>2°</w:t>
      </w:r>
      <w:r>
        <w:rPr>
          <w:color w:val="231F20"/>
          <w:spacing w:val="-12"/>
        </w:rPr>
        <w:t> </w:t>
      </w:r>
      <w:r>
        <w:rPr>
          <w:color w:val="231F20"/>
        </w:rPr>
        <w:t>de</w:t>
      </w:r>
      <w:r>
        <w:rPr>
          <w:color w:val="231F20"/>
          <w:spacing w:val="-12"/>
        </w:rPr>
        <w:t> </w:t>
      </w:r>
      <w:r>
        <w:rPr>
          <w:color w:val="231F20"/>
        </w:rPr>
        <w:t>vennootschappen</w:t>
      </w:r>
      <w:r>
        <w:rPr>
          <w:color w:val="231F20"/>
          <w:spacing w:val="-11"/>
        </w:rPr>
        <w:t> </w:t>
      </w:r>
      <w:r>
        <w:rPr>
          <w:color w:val="231F20"/>
        </w:rPr>
        <w:t>onder</w:t>
      </w:r>
      <w:r>
        <w:rPr>
          <w:color w:val="231F20"/>
          <w:spacing w:val="-12"/>
        </w:rPr>
        <w:t> </w:t>
      </w:r>
      <w:r>
        <w:rPr>
          <w:color w:val="231F20"/>
        </w:rPr>
        <w:t>firma,</w:t>
      </w:r>
      <w:r>
        <w:rPr>
          <w:color w:val="231F20"/>
          <w:spacing w:val="-12"/>
        </w:rPr>
        <w:t> </w:t>
      </w:r>
      <w:r>
        <w:rPr>
          <w:color w:val="231F20"/>
        </w:rPr>
        <w:t>de</w:t>
      </w:r>
      <w:r>
        <w:rPr>
          <w:color w:val="231F20"/>
          <w:spacing w:val="-11"/>
        </w:rPr>
        <w:t> </w:t>
      </w:r>
      <w:r>
        <w:rPr>
          <w:color w:val="231F20"/>
          <w:spacing w:val="-3"/>
        </w:rPr>
        <w:t>commanditaire</w:t>
      </w:r>
      <w:r>
        <w:rPr>
          <w:color w:val="231F20"/>
          <w:spacing w:val="-12"/>
        </w:rPr>
        <w:t> </w:t>
      </w:r>
      <w:r>
        <w:rPr>
          <w:color w:val="231F20"/>
        </w:rPr>
        <w:t>vennootschap- pen en de Europese economische samenwerkingsverbanden waarvan alle</w:t>
      </w:r>
      <w:r>
        <w:rPr>
          <w:color w:val="231F20"/>
          <w:spacing w:val="14"/>
        </w:rPr>
        <w:t> </w:t>
      </w:r>
      <w:r>
        <w:rPr>
          <w:color w:val="231F20"/>
        </w:rPr>
        <w:t>onbeperkt</w:t>
      </w:r>
      <w:r>
        <w:rPr>
          <w:color w:val="231F20"/>
          <w:spacing w:val="15"/>
        </w:rPr>
        <w:t> </w:t>
      </w:r>
      <w:r>
        <w:rPr>
          <w:color w:val="231F20"/>
        </w:rPr>
        <w:t>aansprakelijke</w:t>
      </w:r>
      <w:r>
        <w:rPr>
          <w:color w:val="231F20"/>
          <w:spacing w:val="15"/>
        </w:rPr>
        <w:t> </w:t>
      </w:r>
      <w:r>
        <w:rPr>
          <w:color w:val="231F20"/>
        </w:rPr>
        <w:t>vennoten</w:t>
      </w:r>
      <w:r>
        <w:rPr>
          <w:color w:val="231F20"/>
          <w:spacing w:val="15"/>
        </w:rPr>
        <w:t> </w:t>
      </w:r>
      <w:r>
        <w:rPr>
          <w:color w:val="231F20"/>
        </w:rPr>
        <w:t>natuurlijke</w:t>
      </w:r>
      <w:r>
        <w:rPr>
          <w:color w:val="231F20"/>
          <w:spacing w:val="15"/>
        </w:rPr>
        <w:t> </w:t>
      </w:r>
      <w:r>
        <w:rPr>
          <w:color w:val="231F20"/>
        </w:rPr>
        <w:t>personen</w:t>
      </w:r>
      <w:r>
        <w:rPr>
          <w:color w:val="231F20"/>
          <w:spacing w:val="15"/>
        </w:rPr>
        <w:t> </w:t>
      </w:r>
      <w:r>
        <w:rPr>
          <w:color w:val="231F20"/>
        </w:rPr>
        <w:t>zijn.</w:t>
      </w:r>
    </w:p>
    <w:p>
      <w:pPr>
        <w:pStyle w:val="BodyText"/>
        <w:spacing w:line="218" w:lineRule="auto" w:before="96"/>
      </w:pPr>
      <w:r>
        <w:rPr>
          <w:color w:val="231F20"/>
        </w:rPr>
        <w:t>Art. 3:10. De jaarrekening moet door toedoen van het</w:t>
      </w:r>
      <w:r>
        <w:rPr>
          <w:color w:val="231F20"/>
          <w:spacing w:val="-6"/>
        </w:rPr>
        <w:t> </w:t>
      </w:r>
      <w:r>
        <w:rPr>
          <w:color w:val="231F20"/>
        </w:rPr>
        <w:t>bestuursorgaan worden</w:t>
      </w:r>
      <w:r>
        <w:rPr>
          <w:color w:val="231F20"/>
          <w:spacing w:val="16"/>
        </w:rPr>
        <w:t> </w:t>
      </w:r>
      <w:r>
        <w:rPr>
          <w:color w:val="231F20"/>
        </w:rPr>
        <w:t>neergelegd</w:t>
      </w:r>
      <w:r>
        <w:rPr>
          <w:color w:val="231F20"/>
          <w:spacing w:val="16"/>
        </w:rPr>
        <w:t> </w:t>
      </w:r>
      <w:r>
        <w:rPr>
          <w:color w:val="231F20"/>
        </w:rPr>
        <w:t>bij</w:t>
      </w:r>
      <w:r>
        <w:rPr>
          <w:color w:val="231F20"/>
          <w:spacing w:val="16"/>
        </w:rPr>
        <w:t> </w:t>
      </w:r>
      <w:r>
        <w:rPr>
          <w:color w:val="231F20"/>
        </w:rPr>
        <w:t>de</w:t>
      </w:r>
      <w:r>
        <w:rPr>
          <w:color w:val="231F20"/>
          <w:spacing w:val="16"/>
        </w:rPr>
        <w:t> </w:t>
      </w:r>
      <w:r>
        <w:rPr>
          <w:color w:val="231F20"/>
        </w:rPr>
        <w:t>Nationale</w:t>
      </w:r>
      <w:r>
        <w:rPr>
          <w:color w:val="231F20"/>
          <w:spacing w:val="17"/>
        </w:rPr>
        <w:t> </w:t>
      </w:r>
      <w:r>
        <w:rPr>
          <w:color w:val="231F20"/>
        </w:rPr>
        <w:t>Bank</w:t>
      </w:r>
      <w:r>
        <w:rPr>
          <w:color w:val="231F20"/>
          <w:spacing w:val="16"/>
        </w:rPr>
        <w:t> </w:t>
      </w:r>
      <w:r>
        <w:rPr>
          <w:color w:val="231F20"/>
        </w:rPr>
        <w:t>van</w:t>
      </w:r>
      <w:r>
        <w:rPr>
          <w:color w:val="231F20"/>
          <w:spacing w:val="16"/>
        </w:rPr>
        <w:t> </w:t>
      </w:r>
      <w:r>
        <w:rPr>
          <w:color w:val="231F20"/>
        </w:rPr>
        <w:t>België.</w:t>
      </w:r>
    </w:p>
    <w:p>
      <w:pPr>
        <w:pStyle w:val="BodyText"/>
        <w:spacing w:line="218" w:lineRule="auto" w:before="96"/>
      </w:pPr>
      <w:r>
        <w:rPr>
          <w:color w:val="231F20"/>
        </w:rPr>
        <w:t>Deze neerlegging gebeurt binnen dertig dagen nadat de jaarrekening is goedgekeurd, en ten laatste zeven maanden na de datum van afsluiting van het boekjaar.</w:t>
      </w:r>
    </w:p>
    <w:p>
      <w:pPr>
        <w:pStyle w:val="BodyText"/>
        <w:spacing w:line="218" w:lineRule="auto" w:before="96"/>
      </w:pPr>
      <w:r>
        <w:rPr>
          <w:color w:val="231F20"/>
        </w:rPr>
        <w:t>Indien de jaarrekening niet werd neergelegd zoals bepaald in het tweede lid, wordt de door derden geleden schade, behoudens tegen- bewijs, geacht voort te vloeien uit dit verzuim.</w:t>
      </w:r>
    </w:p>
    <w:p>
      <w:pPr>
        <w:pStyle w:val="BodyText"/>
        <w:spacing w:line="218" w:lineRule="auto" w:before="96"/>
      </w:pPr>
      <w:r>
        <w:rPr>
          <w:color w:val="231F20"/>
        </w:rPr>
        <w:t>Art. 3:11. De niet-genoteerde kleine vennootschappen, de kleine vennootschappen die geen organisaties van openbaar belang als bedoeld in artikel 1:12, 2°, zijn, en de microvennootschappen mogen hun jaarrekening, die respectievelijk krachtens artikel 3:2, eerste lid, of</w:t>
      </w:r>
    </w:p>
    <w:p>
      <w:pPr>
        <w:spacing w:after="0" w:line="218" w:lineRule="auto"/>
        <w:sectPr>
          <w:headerReference w:type="even" r:id="rId29"/>
          <w:headerReference w:type="default" r:id="rId30"/>
          <w:pgSz w:w="11940" w:h="16880"/>
          <w:pgMar w:header="666" w:footer="0" w:top="1140" w:bottom="280" w:left="340" w:right="360"/>
          <w:pgNumType w:start="33292"/>
          <w:cols w:num="2" w:equalWidth="0">
            <w:col w:w="5527" w:space="101"/>
            <w:col w:w="5612"/>
          </w:cols>
        </w:sectPr>
      </w:pPr>
    </w:p>
    <w:p>
      <w:pPr>
        <w:pStyle w:val="BodyText"/>
        <w:spacing w:line="218" w:lineRule="auto" w:before="119"/>
        <w:ind w:right="0" w:hanging="1"/>
        <w:jc w:val="left"/>
      </w:pPr>
      <w:r>
        <w:rPr/>
        <w:pict>
          <v:line style="position:absolute;mso-position-horizontal-relative:page;mso-position-vertical-relative:page;z-index:2320" from="298.170502pt,64.473pt" to="298.170502pt,812.819pt" stroked="true" strokeweight=".533pt" strokecolor="#231f20">
            <v:stroke dashstyle="solid"/>
            <w10:wrap type="none"/>
          </v:line>
        </w:pict>
      </w:r>
      <w:bookmarkStart w:name="_bookmark54" w:id="57"/>
      <w:bookmarkEnd w:id="57"/>
      <w:r>
        <w:rPr/>
      </w:r>
      <w:r>
        <w:rPr>
          <w:color w:val="231F20"/>
        </w:rPr>
        <w:t>respectivement, selon un schéma abrégé ou un microschéma, dans ce schéma abrégé ou ce microschéma.</w:t>
      </w:r>
    </w:p>
    <w:p>
      <w:pPr>
        <w:pStyle w:val="BodyText"/>
        <w:spacing w:line="218" w:lineRule="auto" w:before="71"/>
        <w:ind w:right="39"/>
      </w:pPr>
      <w:r>
        <w:rPr>
          <w:color w:val="231F20"/>
        </w:rPr>
        <w:t>Art. 3:12. § 1</w:t>
      </w:r>
      <w:r>
        <w:rPr>
          <w:color w:val="231F20"/>
          <w:position w:val="7"/>
          <w:sz w:val="11"/>
        </w:rPr>
        <w:t>er</w:t>
      </w:r>
      <w:r>
        <w:rPr>
          <w:color w:val="231F20"/>
        </w:rPr>
        <w:t>. Dans les trente jours après l’approbation des comptes annuels et au plus tard sept mois après la date de clôture de l’exercice, sont déposés par l’organe d’administration auprès de la Banque nationale de Belgique:</w:t>
      </w:r>
    </w:p>
    <w:p>
      <w:pPr>
        <w:pStyle w:val="BodyText"/>
        <w:spacing w:line="218" w:lineRule="auto" w:before="86"/>
        <w:ind w:right="38"/>
      </w:pPr>
      <w:r>
        <w:rPr>
          <w:color w:val="231F20"/>
        </w:rPr>
        <w:t>1° un document contenant les renseignements suivants: les nom, prénom, profession et domicile des membres de l’organe d’administra- tion, selon le cas, et du commissaire en fonction. Si les comptes annuels ont été vérifiés et/ou corrigés par un expert-comptable externe ou un réviseur d’entreprises, doivent également être mentionnés les nom, prénom, profession, l’adresse professionnelle de l’expert-comptable externe ou du réviseur d’entreprises et leur numéro de membre auprès de leur institut. L’organe d’administration mentionne, le cas échéant, qu’aucune mission de vérification ou de redressement n’a été confiée à un expert-comptable externe ou à un réviseur d’entreprises;</w:t>
      </w:r>
    </w:p>
    <w:p>
      <w:pPr>
        <w:pStyle w:val="BodyText"/>
        <w:spacing w:line="218" w:lineRule="auto" w:before="86"/>
        <w:ind w:right="38"/>
      </w:pPr>
      <w:r>
        <w:rPr>
          <w:color w:val="231F20"/>
        </w:rPr>
        <w:t>2°</w:t>
      </w:r>
      <w:r>
        <w:rPr>
          <w:color w:val="231F20"/>
          <w:spacing w:val="-4"/>
        </w:rPr>
        <w:t> </w:t>
      </w:r>
      <w:r>
        <w:rPr>
          <w:color w:val="231F20"/>
        </w:rPr>
        <w:t>un</w:t>
      </w:r>
      <w:r>
        <w:rPr>
          <w:color w:val="231F20"/>
          <w:spacing w:val="-4"/>
        </w:rPr>
        <w:t> </w:t>
      </w:r>
      <w:r>
        <w:rPr>
          <w:color w:val="231F20"/>
        </w:rPr>
        <w:t>tableau</w:t>
      </w:r>
      <w:r>
        <w:rPr>
          <w:color w:val="231F20"/>
          <w:spacing w:val="-4"/>
        </w:rPr>
        <w:t> </w:t>
      </w:r>
      <w:r>
        <w:rPr>
          <w:color w:val="231F20"/>
        </w:rPr>
        <w:t>indiquant</w:t>
      </w:r>
      <w:r>
        <w:rPr>
          <w:color w:val="231F20"/>
          <w:spacing w:val="-3"/>
        </w:rPr>
        <w:t> </w:t>
      </w:r>
      <w:r>
        <w:rPr>
          <w:color w:val="231F20"/>
        </w:rPr>
        <w:t>l’affectation</w:t>
      </w:r>
      <w:r>
        <w:rPr>
          <w:color w:val="231F20"/>
          <w:spacing w:val="-4"/>
        </w:rPr>
        <w:t> </w:t>
      </w:r>
      <w:r>
        <w:rPr>
          <w:color w:val="231F20"/>
        </w:rPr>
        <w:t>du</w:t>
      </w:r>
      <w:r>
        <w:rPr>
          <w:color w:val="231F20"/>
          <w:spacing w:val="-4"/>
        </w:rPr>
        <w:t> </w:t>
      </w:r>
      <w:r>
        <w:rPr>
          <w:color w:val="231F20"/>
        </w:rPr>
        <w:t>résultat,</w:t>
      </w:r>
      <w:r>
        <w:rPr>
          <w:color w:val="231F20"/>
          <w:spacing w:val="-3"/>
        </w:rPr>
        <w:t> </w:t>
      </w:r>
      <w:r>
        <w:rPr>
          <w:color w:val="231F20"/>
        </w:rPr>
        <w:t>si</w:t>
      </w:r>
      <w:r>
        <w:rPr>
          <w:color w:val="231F20"/>
          <w:spacing w:val="-4"/>
        </w:rPr>
        <w:t> </w:t>
      </w:r>
      <w:r>
        <w:rPr>
          <w:color w:val="231F20"/>
        </w:rPr>
        <w:t>cette</w:t>
      </w:r>
      <w:r>
        <w:rPr>
          <w:color w:val="231F20"/>
          <w:spacing w:val="-4"/>
        </w:rPr>
        <w:t> </w:t>
      </w:r>
      <w:r>
        <w:rPr>
          <w:color w:val="231F20"/>
        </w:rPr>
        <w:t>affectation</w:t>
      </w:r>
      <w:r>
        <w:rPr>
          <w:color w:val="231F20"/>
          <w:spacing w:val="-3"/>
        </w:rPr>
        <w:t> </w:t>
      </w:r>
      <w:r>
        <w:rPr>
          <w:color w:val="231F20"/>
        </w:rPr>
        <w:t>ne résulte pas des comptes</w:t>
      </w:r>
      <w:r>
        <w:rPr>
          <w:color w:val="231F20"/>
          <w:spacing w:val="18"/>
        </w:rPr>
        <w:t> </w:t>
      </w:r>
      <w:r>
        <w:rPr>
          <w:color w:val="231F20"/>
        </w:rPr>
        <w:t>annuels;</w:t>
      </w:r>
    </w:p>
    <w:p>
      <w:pPr>
        <w:pStyle w:val="BodyText"/>
        <w:spacing w:line="218" w:lineRule="auto" w:before="85"/>
        <w:ind w:right="38"/>
      </w:pPr>
      <w:r>
        <w:rPr>
          <w:color w:val="231F20"/>
        </w:rPr>
        <w:t>3° un document mentionnant, selon le cas, la date du dépôt de l’expédition de l’acte constitutif authentique ou du double de l’acte constitutif sous seing privé, ou la date du dépôt du texte intégral des statuts dans une rédaction mise à jour;</w:t>
      </w:r>
    </w:p>
    <w:p>
      <w:pPr>
        <w:pStyle w:val="BodyText"/>
        <w:spacing w:before="72"/>
        <w:ind w:left="283" w:right="0" w:firstLine="0"/>
        <w:jc w:val="left"/>
      </w:pPr>
      <w:r>
        <w:rPr>
          <w:color w:val="231F20"/>
        </w:rPr>
        <w:t>4° le rapport du commissaire établi conformément à l’article 3:74;</w:t>
      </w:r>
    </w:p>
    <w:p>
      <w:pPr>
        <w:pStyle w:val="BodyText"/>
        <w:spacing w:before="7"/>
        <w:ind w:left="0" w:right="0" w:firstLine="0"/>
        <w:jc w:val="left"/>
        <w:rPr>
          <w:sz w:val="22"/>
        </w:rPr>
      </w:pPr>
    </w:p>
    <w:p>
      <w:pPr>
        <w:pStyle w:val="BodyText"/>
        <w:spacing w:line="218" w:lineRule="auto" w:before="1"/>
        <w:ind w:right="38"/>
      </w:pPr>
      <w:r>
        <w:rPr>
          <w:color w:val="231F20"/>
        </w:rPr>
        <w:t>5° un document indiquant, sauf si ces renseignements font déjà l’objet d’une mention distincte dans les comptes annuels:</w:t>
      </w:r>
    </w:p>
    <w:p>
      <w:pPr>
        <w:pStyle w:val="ListParagraph"/>
        <w:numPr>
          <w:ilvl w:val="0"/>
          <w:numId w:val="63"/>
        </w:numPr>
        <w:tabs>
          <w:tab w:pos="455" w:val="left" w:leader="none"/>
        </w:tabs>
        <w:spacing w:line="218" w:lineRule="auto" w:before="83" w:after="0"/>
        <w:ind w:left="113" w:right="38" w:firstLine="170"/>
        <w:jc w:val="both"/>
        <w:rPr>
          <w:sz w:val="17"/>
        </w:rPr>
      </w:pPr>
      <w:r>
        <w:rPr>
          <w:color w:val="231F20"/>
          <w:sz w:val="17"/>
        </w:rPr>
        <w:t>le</w:t>
      </w:r>
      <w:r>
        <w:rPr>
          <w:color w:val="231F20"/>
          <w:spacing w:val="-3"/>
          <w:sz w:val="17"/>
        </w:rPr>
        <w:t> </w:t>
      </w:r>
      <w:r>
        <w:rPr>
          <w:color w:val="231F20"/>
          <w:sz w:val="17"/>
        </w:rPr>
        <w:t>montant,</w:t>
      </w:r>
      <w:r>
        <w:rPr>
          <w:color w:val="231F20"/>
          <w:spacing w:val="-2"/>
          <w:sz w:val="17"/>
        </w:rPr>
        <w:t> </w:t>
      </w:r>
      <w:r>
        <w:rPr>
          <w:color w:val="231F20"/>
          <w:sz w:val="17"/>
        </w:rPr>
        <w:t>à</w:t>
      </w:r>
      <w:r>
        <w:rPr>
          <w:color w:val="231F20"/>
          <w:spacing w:val="-2"/>
          <w:sz w:val="17"/>
        </w:rPr>
        <w:t> </w:t>
      </w:r>
      <w:r>
        <w:rPr>
          <w:color w:val="231F20"/>
          <w:sz w:val="17"/>
        </w:rPr>
        <w:t>la</w:t>
      </w:r>
      <w:r>
        <w:rPr>
          <w:color w:val="231F20"/>
          <w:spacing w:val="-3"/>
          <w:sz w:val="17"/>
        </w:rPr>
        <w:t> </w:t>
      </w:r>
      <w:r>
        <w:rPr>
          <w:color w:val="231F20"/>
          <w:sz w:val="17"/>
        </w:rPr>
        <w:t>date</w:t>
      </w:r>
      <w:r>
        <w:rPr>
          <w:color w:val="231F20"/>
          <w:spacing w:val="-2"/>
          <w:sz w:val="17"/>
        </w:rPr>
        <w:t> </w:t>
      </w:r>
      <w:r>
        <w:rPr>
          <w:color w:val="231F20"/>
          <w:sz w:val="17"/>
        </w:rPr>
        <w:t>de</w:t>
      </w:r>
      <w:r>
        <w:rPr>
          <w:color w:val="231F20"/>
          <w:spacing w:val="-2"/>
          <w:sz w:val="17"/>
        </w:rPr>
        <w:t> </w:t>
      </w:r>
      <w:r>
        <w:rPr>
          <w:color w:val="231F20"/>
          <w:sz w:val="17"/>
        </w:rPr>
        <w:t>clôture</w:t>
      </w:r>
      <w:r>
        <w:rPr>
          <w:color w:val="231F20"/>
          <w:spacing w:val="-3"/>
          <w:sz w:val="17"/>
        </w:rPr>
        <w:t> </w:t>
      </w:r>
      <w:r>
        <w:rPr>
          <w:color w:val="231F20"/>
          <w:sz w:val="17"/>
        </w:rPr>
        <w:t>de</w:t>
      </w:r>
      <w:r>
        <w:rPr>
          <w:color w:val="231F20"/>
          <w:spacing w:val="-2"/>
          <w:sz w:val="17"/>
        </w:rPr>
        <w:t> </w:t>
      </w:r>
      <w:r>
        <w:rPr>
          <w:color w:val="231F20"/>
          <w:sz w:val="17"/>
        </w:rPr>
        <w:t>ceux-ci,</w:t>
      </w:r>
      <w:r>
        <w:rPr>
          <w:color w:val="231F20"/>
          <w:spacing w:val="-2"/>
          <w:sz w:val="17"/>
        </w:rPr>
        <w:t> </w:t>
      </w:r>
      <w:r>
        <w:rPr>
          <w:color w:val="231F20"/>
          <w:sz w:val="17"/>
        </w:rPr>
        <w:t>des</w:t>
      </w:r>
      <w:r>
        <w:rPr>
          <w:color w:val="231F20"/>
          <w:spacing w:val="-3"/>
          <w:sz w:val="17"/>
        </w:rPr>
        <w:t> </w:t>
      </w:r>
      <w:r>
        <w:rPr>
          <w:color w:val="231F20"/>
          <w:sz w:val="17"/>
        </w:rPr>
        <w:t>dettes</w:t>
      </w:r>
      <w:r>
        <w:rPr>
          <w:color w:val="231F20"/>
          <w:spacing w:val="-2"/>
          <w:sz w:val="17"/>
        </w:rPr>
        <w:t> </w:t>
      </w:r>
      <w:r>
        <w:rPr>
          <w:color w:val="231F20"/>
          <w:sz w:val="17"/>
        </w:rPr>
        <w:t>ou</w:t>
      </w:r>
      <w:r>
        <w:rPr>
          <w:color w:val="231F20"/>
          <w:spacing w:val="-2"/>
          <w:sz w:val="17"/>
        </w:rPr>
        <w:t> </w:t>
      </w:r>
      <w:r>
        <w:rPr>
          <w:color w:val="231F20"/>
          <w:sz w:val="17"/>
        </w:rPr>
        <w:t>de</w:t>
      </w:r>
      <w:r>
        <w:rPr>
          <w:color w:val="231F20"/>
          <w:spacing w:val="-3"/>
          <w:sz w:val="17"/>
        </w:rPr>
        <w:t> </w:t>
      </w:r>
      <w:r>
        <w:rPr>
          <w:color w:val="231F20"/>
          <w:sz w:val="17"/>
        </w:rPr>
        <w:t>la</w:t>
      </w:r>
      <w:r>
        <w:rPr>
          <w:color w:val="231F20"/>
          <w:spacing w:val="-2"/>
          <w:sz w:val="17"/>
        </w:rPr>
        <w:t> </w:t>
      </w:r>
      <w:r>
        <w:rPr>
          <w:color w:val="231F20"/>
          <w:sz w:val="17"/>
        </w:rPr>
        <w:t>partie des</w:t>
      </w:r>
      <w:r>
        <w:rPr>
          <w:color w:val="231F20"/>
          <w:spacing w:val="15"/>
          <w:sz w:val="17"/>
        </w:rPr>
        <w:t> </w:t>
      </w:r>
      <w:r>
        <w:rPr>
          <w:color w:val="231F20"/>
          <w:sz w:val="17"/>
        </w:rPr>
        <w:t>dettes</w:t>
      </w:r>
      <w:r>
        <w:rPr>
          <w:color w:val="231F20"/>
          <w:spacing w:val="16"/>
          <w:sz w:val="17"/>
        </w:rPr>
        <w:t> </w:t>
      </w:r>
      <w:r>
        <w:rPr>
          <w:color w:val="231F20"/>
          <w:sz w:val="17"/>
        </w:rPr>
        <w:t>garanties</w:t>
      </w:r>
      <w:r>
        <w:rPr>
          <w:color w:val="231F20"/>
          <w:spacing w:val="16"/>
          <w:sz w:val="17"/>
        </w:rPr>
        <w:t> </w:t>
      </w:r>
      <w:r>
        <w:rPr>
          <w:color w:val="231F20"/>
          <w:sz w:val="17"/>
        </w:rPr>
        <w:t>par</w:t>
      </w:r>
      <w:r>
        <w:rPr>
          <w:color w:val="231F20"/>
          <w:spacing w:val="16"/>
          <w:sz w:val="17"/>
        </w:rPr>
        <w:t> </w:t>
      </w:r>
      <w:r>
        <w:rPr>
          <w:color w:val="231F20"/>
          <w:sz w:val="17"/>
        </w:rPr>
        <w:t>les</w:t>
      </w:r>
      <w:r>
        <w:rPr>
          <w:color w:val="231F20"/>
          <w:spacing w:val="16"/>
          <w:sz w:val="17"/>
        </w:rPr>
        <w:t> </w:t>
      </w:r>
      <w:r>
        <w:rPr>
          <w:color w:val="231F20"/>
          <w:sz w:val="17"/>
        </w:rPr>
        <w:t>pouvoirs</w:t>
      </w:r>
      <w:r>
        <w:rPr>
          <w:color w:val="231F20"/>
          <w:spacing w:val="16"/>
          <w:sz w:val="17"/>
        </w:rPr>
        <w:t> </w:t>
      </w:r>
      <w:r>
        <w:rPr>
          <w:color w:val="231F20"/>
          <w:sz w:val="17"/>
        </w:rPr>
        <w:t>publics</w:t>
      </w:r>
      <w:r>
        <w:rPr>
          <w:color w:val="231F20"/>
          <w:spacing w:val="16"/>
          <w:sz w:val="17"/>
        </w:rPr>
        <w:t> </w:t>
      </w:r>
      <w:r>
        <w:rPr>
          <w:color w:val="231F20"/>
          <w:sz w:val="17"/>
        </w:rPr>
        <w:t>belges;</w:t>
      </w:r>
    </w:p>
    <w:p>
      <w:pPr>
        <w:pStyle w:val="ListParagraph"/>
        <w:numPr>
          <w:ilvl w:val="0"/>
          <w:numId w:val="63"/>
        </w:numPr>
        <w:tabs>
          <w:tab w:pos="469" w:val="left" w:leader="none"/>
        </w:tabs>
        <w:spacing w:line="218" w:lineRule="auto" w:before="82" w:after="0"/>
        <w:ind w:left="113" w:right="38" w:firstLine="170"/>
        <w:jc w:val="both"/>
        <w:rPr>
          <w:sz w:val="17"/>
        </w:rPr>
      </w:pPr>
      <w:r>
        <w:rPr>
          <w:color w:val="231F20"/>
          <w:sz w:val="17"/>
        </w:rPr>
        <w:t>le montant, à cette même date, des dettes exigibles, que des délais de paiement aient ou non été obtenus, envers des administrations fiscales</w:t>
      </w:r>
      <w:r>
        <w:rPr>
          <w:color w:val="231F20"/>
          <w:spacing w:val="15"/>
          <w:sz w:val="17"/>
        </w:rPr>
        <w:t> </w:t>
      </w:r>
      <w:r>
        <w:rPr>
          <w:color w:val="231F20"/>
          <w:sz w:val="17"/>
        </w:rPr>
        <w:t>et</w:t>
      </w:r>
      <w:r>
        <w:rPr>
          <w:color w:val="231F20"/>
          <w:spacing w:val="15"/>
          <w:sz w:val="17"/>
        </w:rPr>
        <w:t> </w:t>
      </w:r>
      <w:r>
        <w:rPr>
          <w:color w:val="231F20"/>
          <w:sz w:val="17"/>
        </w:rPr>
        <w:t>envers</w:t>
      </w:r>
      <w:r>
        <w:rPr>
          <w:color w:val="231F20"/>
          <w:spacing w:val="15"/>
          <w:sz w:val="17"/>
        </w:rPr>
        <w:t> </w:t>
      </w:r>
      <w:r>
        <w:rPr>
          <w:color w:val="231F20"/>
          <w:spacing w:val="-4"/>
          <w:sz w:val="17"/>
        </w:rPr>
        <w:t>l’Office</w:t>
      </w:r>
      <w:r>
        <w:rPr>
          <w:color w:val="231F20"/>
          <w:spacing w:val="15"/>
          <w:sz w:val="17"/>
        </w:rPr>
        <w:t> </w:t>
      </w:r>
      <w:r>
        <w:rPr>
          <w:color w:val="231F20"/>
          <w:sz w:val="17"/>
        </w:rPr>
        <w:t>national</w:t>
      </w:r>
      <w:r>
        <w:rPr>
          <w:color w:val="231F20"/>
          <w:spacing w:val="16"/>
          <w:sz w:val="17"/>
        </w:rPr>
        <w:t> </w:t>
      </w:r>
      <w:r>
        <w:rPr>
          <w:color w:val="231F20"/>
          <w:sz w:val="17"/>
        </w:rPr>
        <w:t>de</w:t>
      </w:r>
      <w:r>
        <w:rPr>
          <w:color w:val="231F20"/>
          <w:spacing w:val="15"/>
          <w:sz w:val="17"/>
        </w:rPr>
        <w:t> </w:t>
      </w:r>
      <w:r>
        <w:rPr>
          <w:color w:val="231F20"/>
          <w:sz w:val="17"/>
        </w:rPr>
        <w:t>sécurité</w:t>
      </w:r>
      <w:r>
        <w:rPr>
          <w:color w:val="231F20"/>
          <w:spacing w:val="15"/>
          <w:sz w:val="17"/>
        </w:rPr>
        <w:t> </w:t>
      </w:r>
      <w:r>
        <w:rPr>
          <w:color w:val="231F20"/>
          <w:sz w:val="17"/>
        </w:rPr>
        <w:t>sociale;</w:t>
      </w:r>
    </w:p>
    <w:p>
      <w:pPr>
        <w:pStyle w:val="ListParagraph"/>
        <w:numPr>
          <w:ilvl w:val="0"/>
          <w:numId w:val="63"/>
        </w:numPr>
        <w:tabs>
          <w:tab w:pos="452" w:val="left" w:leader="none"/>
        </w:tabs>
        <w:spacing w:line="218" w:lineRule="auto" w:before="83" w:after="0"/>
        <w:ind w:left="113" w:right="38" w:firstLine="170"/>
        <w:jc w:val="both"/>
        <w:rPr>
          <w:sz w:val="17"/>
        </w:rPr>
      </w:pPr>
      <w:r>
        <w:rPr>
          <w:color w:val="231F20"/>
          <w:sz w:val="17"/>
        </w:rPr>
        <w:t>le montant </w:t>
      </w:r>
      <w:r>
        <w:rPr>
          <w:color w:val="231F20"/>
          <w:spacing w:val="-3"/>
          <w:sz w:val="17"/>
        </w:rPr>
        <w:t>afférent </w:t>
      </w:r>
      <w:r>
        <w:rPr>
          <w:color w:val="231F20"/>
          <w:sz w:val="17"/>
        </w:rPr>
        <w:t>à l’exercice clôturé, des subsides en capitaux ou en</w:t>
      </w:r>
      <w:r>
        <w:rPr>
          <w:color w:val="231F20"/>
          <w:spacing w:val="18"/>
          <w:sz w:val="17"/>
        </w:rPr>
        <w:t> </w:t>
      </w:r>
      <w:r>
        <w:rPr>
          <w:color w:val="231F20"/>
          <w:sz w:val="17"/>
        </w:rPr>
        <w:t>intérêts</w:t>
      </w:r>
      <w:r>
        <w:rPr>
          <w:color w:val="231F20"/>
          <w:spacing w:val="18"/>
          <w:sz w:val="17"/>
        </w:rPr>
        <w:t> </w:t>
      </w:r>
      <w:r>
        <w:rPr>
          <w:color w:val="231F20"/>
          <w:sz w:val="17"/>
        </w:rPr>
        <w:t>payés</w:t>
      </w:r>
      <w:r>
        <w:rPr>
          <w:color w:val="231F20"/>
          <w:spacing w:val="18"/>
          <w:sz w:val="17"/>
        </w:rPr>
        <w:t> </w:t>
      </w:r>
      <w:r>
        <w:rPr>
          <w:color w:val="231F20"/>
          <w:sz w:val="17"/>
        </w:rPr>
        <w:t>ou</w:t>
      </w:r>
      <w:r>
        <w:rPr>
          <w:color w:val="231F20"/>
          <w:spacing w:val="18"/>
          <w:sz w:val="17"/>
        </w:rPr>
        <w:t> </w:t>
      </w:r>
      <w:r>
        <w:rPr>
          <w:color w:val="231F20"/>
          <w:sz w:val="17"/>
        </w:rPr>
        <w:t>alloués</w:t>
      </w:r>
      <w:r>
        <w:rPr>
          <w:color w:val="231F20"/>
          <w:spacing w:val="18"/>
          <w:sz w:val="17"/>
        </w:rPr>
        <w:t> </w:t>
      </w:r>
      <w:r>
        <w:rPr>
          <w:color w:val="231F20"/>
          <w:sz w:val="17"/>
        </w:rPr>
        <w:t>par</w:t>
      </w:r>
      <w:r>
        <w:rPr>
          <w:color w:val="231F20"/>
          <w:spacing w:val="18"/>
          <w:sz w:val="17"/>
        </w:rPr>
        <w:t> </w:t>
      </w:r>
      <w:r>
        <w:rPr>
          <w:color w:val="231F20"/>
          <w:sz w:val="17"/>
        </w:rPr>
        <w:t>des</w:t>
      </w:r>
      <w:r>
        <w:rPr>
          <w:color w:val="231F20"/>
          <w:spacing w:val="18"/>
          <w:sz w:val="17"/>
        </w:rPr>
        <w:t> </w:t>
      </w:r>
      <w:r>
        <w:rPr>
          <w:color w:val="231F20"/>
          <w:sz w:val="17"/>
        </w:rPr>
        <w:t>pouvoirs</w:t>
      </w:r>
      <w:r>
        <w:rPr>
          <w:color w:val="231F20"/>
          <w:spacing w:val="19"/>
          <w:sz w:val="17"/>
        </w:rPr>
        <w:t> </w:t>
      </w:r>
      <w:r>
        <w:rPr>
          <w:color w:val="231F20"/>
          <w:sz w:val="17"/>
        </w:rPr>
        <w:t>ou</w:t>
      </w:r>
      <w:r>
        <w:rPr>
          <w:color w:val="231F20"/>
          <w:spacing w:val="18"/>
          <w:sz w:val="17"/>
        </w:rPr>
        <w:t> </w:t>
      </w:r>
      <w:r>
        <w:rPr>
          <w:color w:val="231F20"/>
          <w:sz w:val="17"/>
        </w:rPr>
        <w:t>institutions</w:t>
      </w:r>
      <w:r>
        <w:rPr>
          <w:color w:val="231F20"/>
          <w:spacing w:val="18"/>
          <w:sz w:val="17"/>
        </w:rPr>
        <w:t> </w:t>
      </w:r>
      <w:r>
        <w:rPr>
          <w:color w:val="231F20"/>
          <w:sz w:val="17"/>
        </w:rPr>
        <w:t>publics;</w:t>
      </w:r>
    </w:p>
    <w:p>
      <w:pPr>
        <w:pStyle w:val="BodyText"/>
        <w:ind w:left="0" w:right="0" w:firstLine="0"/>
        <w:jc w:val="left"/>
        <w:rPr>
          <w:sz w:val="23"/>
        </w:rPr>
      </w:pPr>
    </w:p>
    <w:p>
      <w:pPr>
        <w:pStyle w:val="BodyText"/>
        <w:spacing w:line="218" w:lineRule="auto"/>
        <w:ind w:right="38"/>
      </w:pPr>
      <w:r>
        <w:rPr>
          <w:color w:val="231F20"/>
        </w:rPr>
        <w:t>6° le cas échéant, un document comprenant les indications du rapport de gestion prévues par l’article 3:6. </w:t>
      </w:r>
      <w:r>
        <w:rPr>
          <w:color w:val="231F20"/>
          <w:spacing w:val="-4"/>
        </w:rPr>
        <w:t>Toute </w:t>
      </w:r>
      <w:r>
        <w:rPr>
          <w:color w:val="231F20"/>
        </w:rPr>
        <w:t>personne s’adressant au siège de la société peut prendre connaissance du rapport de gestion et en obtenir gratuitement, même par correspondance, copie intégrale. Cette obligation n’est pas applicable aux petites sociétés non cotées ou les petites sociétés qui ne sont pas des entités d’intérêt public visées à l’article</w:t>
      </w:r>
      <w:r>
        <w:rPr>
          <w:color w:val="231F20"/>
          <w:spacing w:val="10"/>
        </w:rPr>
        <w:t> </w:t>
      </w:r>
      <w:r>
        <w:rPr>
          <w:color w:val="231F20"/>
        </w:rPr>
        <w:t>1:12,</w:t>
      </w:r>
      <w:r>
        <w:rPr>
          <w:color w:val="231F20"/>
          <w:spacing w:val="10"/>
        </w:rPr>
        <w:t> </w:t>
      </w:r>
      <w:r>
        <w:rPr>
          <w:color w:val="231F20"/>
        </w:rPr>
        <w:t>2°,</w:t>
      </w:r>
      <w:r>
        <w:rPr>
          <w:color w:val="231F20"/>
          <w:spacing w:val="10"/>
        </w:rPr>
        <w:t> </w:t>
      </w:r>
      <w:r>
        <w:rPr>
          <w:color w:val="231F20"/>
        </w:rPr>
        <w:t>sauf</w:t>
      </w:r>
      <w:r>
        <w:rPr>
          <w:color w:val="231F20"/>
          <w:spacing w:val="10"/>
        </w:rPr>
        <w:t> </w:t>
      </w:r>
      <w:r>
        <w:rPr>
          <w:color w:val="231F20"/>
        </w:rPr>
        <w:t>s’il</w:t>
      </w:r>
      <w:r>
        <w:rPr>
          <w:color w:val="231F20"/>
          <w:spacing w:val="10"/>
        </w:rPr>
        <w:t> </w:t>
      </w:r>
      <w:r>
        <w:rPr>
          <w:color w:val="231F20"/>
        </w:rPr>
        <w:t>s’agit</w:t>
      </w:r>
      <w:r>
        <w:rPr>
          <w:color w:val="231F20"/>
          <w:spacing w:val="11"/>
        </w:rPr>
        <w:t> </w:t>
      </w:r>
      <w:r>
        <w:rPr>
          <w:color w:val="231F20"/>
        </w:rPr>
        <w:t>des</w:t>
      </w:r>
      <w:r>
        <w:rPr>
          <w:color w:val="231F20"/>
          <w:spacing w:val="10"/>
        </w:rPr>
        <w:t> </w:t>
      </w:r>
      <w:r>
        <w:rPr>
          <w:color w:val="231F20"/>
        </w:rPr>
        <w:t>sociétés</w:t>
      </w:r>
      <w:r>
        <w:rPr>
          <w:color w:val="231F20"/>
          <w:spacing w:val="10"/>
        </w:rPr>
        <w:t> </w:t>
      </w:r>
      <w:r>
        <w:rPr>
          <w:color w:val="231F20"/>
        </w:rPr>
        <w:t>visées</w:t>
      </w:r>
      <w:r>
        <w:rPr>
          <w:color w:val="231F20"/>
          <w:spacing w:val="10"/>
        </w:rPr>
        <w:t> </w:t>
      </w:r>
      <w:r>
        <w:rPr>
          <w:color w:val="231F20"/>
        </w:rPr>
        <w:t>à</w:t>
      </w:r>
      <w:r>
        <w:rPr>
          <w:color w:val="231F20"/>
          <w:spacing w:val="10"/>
        </w:rPr>
        <w:t> </w:t>
      </w:r>
      <w:r>
        <w:rPr>
          <w:color w:val="231F20"/>
        </w:rPr>
        <w:t>l’article</w:t>
      </w:r>
      <w:r>
        <w:rPr>
          <w:color w:val="231F20"/>
          <w:spacing w:val="11"/>
        </w:rPr>
        <w:t> </w:t>
      </w:r>
      <w:r>
        <w:rPr>
          <w:color w:val="231F20"/>
        </w:rPr>
        <w:t>3:1,</w:t>
      </w:r>
      <w:r>
        <w:rPr>
          <w:color w:val="231F20"/>
          <w:spacing w:val="10"/>
        </w:rPr>
        <w:t> </w:t>
      </w:r>
      <w:r>
        <w:rPr>
          <w:color w:val="231F20"/>
        </w:rPr>
        <w:t>§</w:t>
      </w:r>
      <w:r>
        <w:rPr>
          <w:color w:val="231F20"/>
          <w:spacing w:val="10"/>
        </w:rPr>
        <w:t> </w:t>
      </w:r>
      <w:r>
        <w:rPr>
          <w:color w:val="231F20"/>
        </w:rPr>
        <w:t>3,</w:t>
      </w:r>
      <w:r>
        <w:rPr>
          <w:color w:val="231F20"/>
          <w:spacing w:val="10"/>
        </w:rPr>
        <w:t> </w:t>
      </w:r>
      <w:r>
        <w:rPr>
          <w:color w:val="231F20"/>
        </w:rPr>
        <w:t>1°,</w:t>
      </w:r>
    </w:p>
    <w:p>
      <w:pPr>
        <w:pStyle w:val="BodyText"/>
        <w:spacing w:line="180" w:lineRule="exact"/>
        <w:ind w:right="0" w:firstLine="0"/>
        <w:jc w:val="left"/>
      </w:pPr>
      <w:r>
        <w:rPr>
          <w:color w:val="231F20"/>
        </w:rPr>
        <w:t>2°, 3° ou 4°;</w:t>
      </w:r>
    </w:p>
    <w:p>
      <w:pPr>
        <w:pStyle w:val="BodyText"/>
        <w:spacing w:line="218" w:lineRule="auto" w:before="82"/>
        <w:ind w:right="38"/>
      </w:pPr>
      <w:r>
        <w:rPr>
          <w:color w:val="231F20"/>
        </w:rPr>
        <w:t>7° une liste des entreprises dans lesquelles la société détient une participation telle que définie à l’article 1:22. Pour chacune de ces entreprises les données suivantes sont mentionnées:</w:t>
      </w:r>
    </w:p>
    <w:p>
      <w:pPr>
        <w:pStyle w:val="ListParagraph"/>
        <w:numPr>
          <w:ilvl w:val="0"/>
          <w:numId w:val="64"/>
        </w:numPr>
        <w:tabs>
          <w:tab w:pos="491" w:val="left" w:leader="none"/>
        </w:tabs>
        <w:spacing w:line="218" w:lineRule="auto" w:before="83" w:after="0"/>
        <w:ind w:left="113" w:right="38" w:firstLine="171"/>
        <w:jc w:val="both"/>
        <w:rPr>
          <w:sz w:val="17"/>
        </w:rPr>
      </w:pPr>
      <w:r>
        <w:rPr>
          <w:color w:val="231F20"/>
          <w:sz w:val="17"/>
        </w:rPr>
        <w:t>la dénomination, le siège et s’il s’agit d’une entreprise de droit belge, le numéro d’entreprise qui lui a été attribué par la Banque- Carrefour des</w:t>
      </w:r>
      <w:r>
        <w:rPr>
          <w:color w:val="231F20"/>
          <w:spacing w:val="-12"/>
          <w:sz w:val="17"/>
        </w:rPr>
        <w:t> </w:t>
      </w:r>
      <w:r>
        <w:rPr>
          <w:color w:val="231F20"/>
          <w:sz w:val="17"/>
        </w:rPr>
        <w:t>Entreprises;</w:t>
      </w:r>
    </w:p>
    <w:p>
      <w:pPr>
        <w:pStyle w:val="ListParagraph"/>
        <w:numPr>
          <w:ilvl w:val="0"/>
          <w:numId w:val="64"/>
        </w:numPr>
        <w:tabs>
          <w:tab w:pos="471" w:val="left" w:leader="none"/>
        </w:tabs>
        <w:spacing w:line="218" w:lineRule="auto" w:before="83" w:after="0"/>
        <w:ind w:left="113" w:right="38" w:firstLine="171"/>
        <w:jc w:val="both"/>
        <w:rPr>
          <w:sz w:val="17"/>
        </w:rPr>
      </w:pPr>
      <w:r>
        <w:rPr>
          <w:color w:val="231F20"/>
          <w:sz w:val="17"/>
        </w:rPr>
        <w:t>le nombre des droits sociaux détenus directement par la société et le pourcentage que cette détention représente, ainsi que le pourcentage de</w:t>
      </w:r>
      <w:r>
        <w:rPr>
          <w:color w:val="231F20"/>
          <w:spacing w:val="15"/>
          <w:sz w:val="17"/>
        </w:rPr>
        <w:t> </w:t>
      </w:r>
      <w:r>
        <w:rPr>
          <w:color w:val="231F20"/>
          <w:sz w:val="17"/>
        </w:rPr>
        <w:t>droits</w:t>
      </w:r>
      <w:r>
        <w:rPr>
          <w:color w:val="231F20"/>
          <w:spacing w:val="15"/>
          <w:sz w:val="17"/>
        </w:rPr>
        <w:t> </w:t>
      </w:r>
      <w:r>
        <w:rPr>
          <w:color w:val="231F20"/>
          <w:sz w:val="17"/>
        </w:rPr>
        <w:t>sociaux</w:t>
      </w:r>
      <w:r>
        <w:rPr>
          <w:color w:val="231F20"/>
          <w:spacing w:val="15"/>
          <w:sz w:val="17"/>
        </w:rPr>
        <w:t> </w:t>
      </w:r>
      <w:r>
        <w:rPr>
          <w:color w:val="231F20"/>
          <w:sz w:val="17"/>
        </w:rPr>
        <w:t>détenus</w:t>
      </w:r>
      <w:r>
        <w:rPr>
          <w:color w:val="231F20"/>
          <w:spacing w:val="15"/>
          <w:sz w:val="17"/>
        </w:rPr>
        <w:t> </w:t>
      </w:r>
      <w:r>
        <w:rPr>
          <w:color w:val="231F20"/>
          <w:sz w:val="17"/>
        </w:rPr>
        <w:t>par</w:t>
      </w:r>
      <w:r>
        <w:rPr>
          <w:color w:val="231F20"/>
          <w:spacing w:val="15"/>
          <w:sz w:val="17"/>
        </w:rPr>
        <w:t> </w:t>
      </w:r>
      <w:r>
        <w:rPr>
          <w:color w:val="231F20"/>
          <w:sz w:val="17"/>
        </w:rPr>
        <w:t>les</w:t>
      </w:r>
      <w:r>
        <w:rPr>
          <w:color w:val="231F20"/>
          <w:spacing w:val="15"/>
          <w:sz w:val="17"/>
        </w:rPr>
        <w:t> </w:t>
      </w:r>
      <w:r>
        <w:rPr>
          <w:color w:val="231F20"/>
          <w:sz w:val="17"/>
        </w:rPr>
        <w:t>filiales</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société;</w:t>
      </w:r>
    </w:p>
    <w:p>
      <w:pPr>
        <w:pStyle w:val="BodyText"/>
        <w:spacing w:before="9"/>
        <w:ind w:left="0" w:right="0" w:firstLine="0"/>
        <w:jc w:val="left"/>
        <w:rPr>
          <w:sz w:val="22"/>
        </w:rPr>
      </w:pPr>
    </w:p>
    <w:p>
      <w:pPr>
        <w:pStyle w:val="ListParagraph"/>
        <w:numPr>
          <w:ilvl w:val="0"/>
          <w:numId w:val="64"/>
        </w:numPr>
        <w:tabs>
          <w:tab w:pos="501" w:val="left" w:leader="none"/>
        </w:tabs>
        <w:spacing w:line="218" w:lineRule="auto" w:before="0" w:after="0"/>
        <w:ind w:left="113" w:right="38" w:firstLine="171"/>
        <w:jc w:val="both"/>
        <w:rPr>
          <w:sz w:val="17"/>
        </w:rPr>
      </w:pPr>
      <w:r>
        <w:rPr>
          <w:color w:val="231F20"/>
          <w:sz w:val="17"/>
        </w:rPr>
        <w:t>le montant des capitaux propres et le résultat net du dernier exercice</w:t>
      </w:r>
      <w:r>
        <w:rPr>
          <w:color w:val="231F20"/>
          <w:spacing w:val="14"/>
          <w:sz w:val="17"/>
        </w:rPr>
        <w:t> </w:t>
      </w:r>
      <w:r>
        <w:rPr>
          <w:color w:val="231F20"/>
          <w:sz w:val="17"/>
        </w:rPr>
        <w:t>dont</w:t>
      </w:r>
      <w:r>
        <w:rPr>
          <w:color w:val="231F20"/>
          <w:spacing w:val="15"/>
          <w:sz w:val="17"/>
        </w:rPr>
        <w:t> </w:t>
      </w:r>
      <w:r>
        <w:rPr>
          <w:color w:val="231F20"/>
          <w:sz w:val="17"/>
        </w:rPr>
        <w:t>les</w:t>
      </w:r>
      <w:r>
        <w:rPr>
          <w:color w:val="231F20"/>
          <w:spacing w:val="15"/>
          <w:sz w:val="17"/>
        </w:rPr>
        <w:t> </w:t>
      </w:r>
      <w:r>
        <w:rPr>
          <w:color w:val="231F20"/>
          <w:sz w:val="17"/>
        </w:rPr>
        <w:t>comptes</w:t>
      </w:r>
      <w:r>
        <w:rPr>
          <w:color w:val="231F20"/>
          <w:spacing w:val="15"/>
          <w:sz w:val="17"/>
        </w:rPr>
        <w:t> </w:t>
      </w:r>
      <w:r>
        <w:rPr>
          <w:color w:val="231F20"/>
          <w:sz w:val="17"/>
        </w:rPr>
        <w:t>annuels</w:t>
      </w:r>
      <w:r>
        <w:rPr>
          <w:color w:val="231F20"/>
          <w:spacing w:val="15"/>
          <w:sz w:val="17"/>
        </w:rPr>
        <w:t> </w:t>
      </w:r>
      <w:r>
        <w:rPr>
          <w:color w:val="231F20"/>
          <w:sz w:val="17"/>
        </w:rPr>
        <w:t>sont</w:t>
      </w:r>
      <w:r>
        <w:rPr>
          <w:color w:val="231F20"/>
          <w:spacing w:val="15"/>
          <w:sz w:val="17"/>
        </w:rPr>
        <w:t> </w:t>
      </w:r>
      <w:r>
        <w:rPr>
          <w:color w:val="231F20"/>
          <w:sz w:val="17"/>
        </w:rPr>
        <w:t>disponibles.</w:t>
      </w:r>
    </w:p>
    <w:p>
      <w:pPr>
        <w:pStyle w:val="BodyText"/>
        <w:spacing w:line="218" w:lineRule="auto" w:before="85"/>
        <w:ind w:right="38"/>
      </w:pPr>
      <w:r>
        <w:rPr>
          <w:color w:val="231F20"/>
        </w:rPr>
        <w:t>Le nombre et le pourcentage des droits sociaux détenus sont, le cas échéant, mentionnés par catégorie de droits sociaux émis. Les mêmes informations sont données en ce qui concerne les droits de conversion et de souscription détenus directement ou indirectement.</w:t>
      </w:r>
    </w:p>
    <w:p>
      <w:pPr>
        <w:pStyle w:val="BodyText"/>
        <w:ind w:left="0" w:right="0" w:firstLine="0"/>
        <w:jc w:val="left"/>
        <w:rPr>
          <w:sz w:val="23"/>
        </w:rPr>
      </w:pPr>
    </w:p>
    <w:p>
      <w:pPr>
        <w:pStyle w:val="BodyText"/>
        <w:spacing w:line="218" w:lineRule="auto"/>
        <w:ind w:right="38"/>
      </w:pPr>
      <w:r>
        <w:rPr>
          <w:color w:val="231F20"/>
        </w:rPr>
        <w:t>Les montants des capitaux propres et du résultat net au cours du dernier exercice pour lequel les comptes annuels sont disponibles peuvent être omis, si l’entreprise concernée n’est pas tenue de publier ces données; cette exception n’est toutefois pas applicable aux filiales.</w:t>
      </w:r>
    </w:p>
    <w:p>
      <w:pPr>
        <w:pStyle w:val="BodyText"/>
        <w:ind w:left="0" w:right="0" w:firstLine="0"/>
        <w:jc w:val="left"/>
        <w:rPr>
          <w:sz w:val="23"/>
        </w:rPr>
      </w:pPr>
    </w:p>
    <w:p>
      <w:pPr>
        <w:pStyle w:val="BodyText"/>
        <w:spacing w:line="218" w:lineRule="auto" w:before="1"/>
        <w:ind w:right="38"/>
      </w:pPr>
      <w:r>
        <w:rPr>
          <w:color w:val="231F20"/>
        </w:rPr>
        <w:t>Les montants des capitaux propres et du résultat net des entreprises étrangères sont libellés en monnaie étrangère. Cette monnaie est mentionnée.</w:t>
      </w:r>
    </w:p>
    <w:p>
      <w:pPr>
        <w:pStyle w:val="BodyText"/>
        <w:spacing w:line="218" w:lineRule="auto" w:before="96"/>
        <w:ind w:right="38"/>
      </w:pPr>
      <w:r>
        <w:rPr>
          <w:color w:val="231F20"/>
        </w:rPr>
        <w:t>La liste susvisée est complétée, le cas échéant, par un aperçu des entreprises dans lesquelles la société assume une responsabilité illimi- tée en qualité d’associé ou membre à responsabilité illimitée.</w:t>
      </w:r>
    </w:p>
    <w:p>
      <w:pPr>
        <w:pStyle w:val="BodyText"/>
        <w:spacing w:before="10"/>
        <w:ind w:left="0" w:right="0" w:firstLine="0"/>
        <w:jc w:val="left"/>
        <w:rPr>
          <w:sz w:val="23"/>
        </w:rPr>
      </w:pPr>
    </w:p>
    <w:p>
      <w:pPr>
        <w:pStyle w:val="BodyText"/>
        <w:spacing w:line="218" w:lineRule="auto" w:before="1"/>
        <w:ind w:right="38"/>
      </w:pPr>
      <w:r>
        <w:rPr>
          <w:color w:val="231F20"/>
        </w:rPr>
        <w:t>Pour chacune des entreprises dans lesquelles la société assume une responsabilité illimitée, les données suivantes sont fournies: la dénomi- nation, le siège, la forme légale et, s’il s’agit d’une entreprise de droit belge, le numéro d’entreprise qui leur a été attribué par la Banque- Carrefour des Entreprises.</w:t>
      </w:r>
    </w:p>
    <w:p>
      <w:pPr>
        <w:pStyle w:val="BodyText"/>
        <w:spacing w:line="218" w:lineRule="auto" w:before="119"/>
        <w:ind w:right="0" w:firstLine="0"/>
        <w:jc w:val="left"/>
      </w:pPr>
      <w:r>
        <w:rPr/>
        <w:br w:type="column"/>
      </w:r>
      <w:r>
        <w:rPr>
          <w:color w:val="231F20"/>
        </w:rPr>
        <w:t>krachtens artikel 3:3, eerste lid, in een verkorte vorm of microvorm is opgesteld, in deze verkorte vorm of microvorm openbaar maken.</w:t>
      </w:r>
    </w:p>
    <w:p>
      <w:pPr>
        <w:pStyle w:val="BodyText"/>
        <w:spacing w:line="218" w:lineRule="auto" w:before="86"/>
      </w:pPr>
      <w:r>
        <w:rPr>
          <w:color w:val="231F20"/>
        </w:rPr>
        <w:t>Art. 3:12. § 1. Binnen dertig dagen nadat de jaarrekening is goedgekeurd en ten laatste zeven maanden na de datum van afsluiting van het boekjaar, worden door toedoen van het bestuursorgaan neergelegd bij de Nationale Bank van België:</w:t>
      </w:r>
    </w:p>
    <w:p>
      <w:pPr>
        <w:pStyle w:val="BodyText"/>
        <w:spacing w:line="218" w:lineRule="auto" w:before="86"/>
      </w:pPr>
      <w:r>
        <w:rPr>
          <w:color w:val="231F20"/>
        </w:rPr>
        <w:t>1° een stuk met de volgende gegevens: de naam, de voornaam, het beroep en de woonplaats van de leden van het bestuursorgaan, naar gelang van het geval, en van de commissaris in functie. Indien de jaarrekening is geverifieerd en/of gecorrigeerd door een externe accountant of een bedrijfsrevisor, moeten ook de naam, de voornaam, het beroep, het professioneel adres van de externe accountant of van de bedrijfsrevisor evenals hun lidmaatschapsnummer bij hun instituut worden vermeld. Het bestuursorgaan vermeldt, in voorkomend geval, dat geen enkele verificatie- of correctietaak werd opgedragen aan een extern accountant of bedrijfsrevisor;</w:t>
      </w:r>
    </w:p>
    <w:p>
      <w:pPr>
        <w:pStyle w:val="BodyText"/>
        <w:spacing w:line="218" w:lineRule="auto" w:before="86"/>
      </w:pPr>
      <w:r>
        <w:rPr>
          <w:color w:val="231F20"/>
        </w:rPr>
        <w:t>2° een overzicht van de bestemming van het resultaat indien deze bestemming niet blijkt uit de jaarrekening;</w:t>
      </w:r>
    </w:p>
    <w:p>
      <w:pPr>
        <w:pStyle w:val="BodyText"/>
        <w:spacing w:line="218" w:lineRule="auto" w:before="85"/>
      </w:pPr>
      <w:r>
        <w:rPr>
          <w:color w:val="231F20"/>
        </w:rPr>
        <w:t>3° een stuk met vermelding, al naar het geval, van de datum van neerlegging van de uitgifte van de authentieke of het dubbel van de onderhandse oprichtingsakte of van de datum van neerlegging van de bijgewerkte volledige tekst van de statuten;</w:t>
      </w:r>
    </w:p>
    <w:p>
      <w:pPr>
        <w:pStyle w:val="BodyText"/>
        <w:spacing w:line="218" w:lineRule="auto" w:before="86"/>
      </w:pPr>
      <w:r>
        <w:rPr>
          <w:color w:val="231F20"/>
        </w:rPr>
        <w:t>4° het verslag van de commissaris opgesteld overeenkomstig arti-   kel</w:t>
      </w:r>
      <w:r>
        <w:rPr>
          <w:color w:val="231F20"/>
          <w:spacing w:val="14"/>
        </w:rPr>
        <w:t> </w:t>
      </w:r>
      <w:r>
        <w:rPr>
          <w:color w:val="231F20"/>
        </w:rPr>
        <w:t>3:74;</w:t>
      </w:r>
    </w:p>
    <w:p>
      <w:pPr>
        <w:pStyle w:val="BodyText"/>
        <w:spacing w:line="218" w:lineRule="auto" w:before="85"/>
      </w:pPr>
      <w:r>
        <w:rPr>
          <w:color w:val="231F20"/>
        </w:rPr>
        <w:t>5° een stuk met de volgende gegevens, tenzij die reeds afzonderlijk in de jaarrekening worden vermeld:</w:t>
      </w:r>
    </w:p>
    <w:p>
      <w:pPr>
        <w:pStyle w:val="ListParagraph"/>
        <w:numPr>
          <w:ilvl w:val="0"/>
          <w:numId w:val="65"/>
        </w:numPr>
        <w:tabs>
          <w:tab w:pos="516" w:val="left" w:leader="none"/>
        </w:tabs>
        <w:spacing w:line="218" w:lineRule="auto" w:before="83" w:after="0"/>
        <w:ind w:left="113" w:right="124" w:firstLine="170"/>
        <w:jc w:val="both"/>
        <w:rPr>
          <w:sz w:val="17"/>
        </w:rPr>
      </w:pPr>
      <w:r>
        <w:rPr>
          <w:color w:val="231F20"/>
          <w:sz w:val="17"/>
        </w:rPr>
        <w:t>het bedrag, bij de jaarafsluiting, van de schulden of van de gedeelten</w:t>
      </w:r>
      <w:r>
        <w:rPr>
          <w:color w:val="231F20"/>
          <w:spacing w:val="18"/>
          <w:sz w:val="17"/>
        </w:rPr>
        <w:t> </w:t>
      </w:r>
      <w:r>
        <w:rPr>
          <w:color w:val="231F20"/>
          <w:sz w:val="17"/>
        </w:rPr>
        <w:t>daarvan,</w:t>
      </w:r>
      <w:r>
        <w:rPr>
          <w:color w:val="231F20"/>
          <w:spacing w:val="19"/>
          <w:sz w:val="17"/>
        </w:rPr>
        <w:t> </w:t>
      </w:r>
      <w:r>
        <w:rPr>
          <w:color w:val="231F20"/>
          <w:sz w:val="17"/>
        </w:rPr>
        <w:t>gewaarborgd</w:t>
      </w:r>
      <w:r>
        <w:rPr>
          <w:color w:val="231F20"/>
          <w:spacing w:val="18"/>
          <w:sz w:val="17"/>
        </w:rPr>
        <w:t> </w:t>
      </w:r>
      <w:r>
        <w:rPr>
          <w:color w:val="231F20"/>
          <w:sz w:val="17"/>
        </w:rPr>
        <w:t>door</w:t>
      </w:r>
      <w:r>
        <w:rPr>
          <w:color w:val="231F20"/>
          <w:spacing w:val="19"/>
          <w:sz w:val="17"/>
        </w:rPr>
        <w:t> </w:t>
      </w:r>
      <w:r>
        <w:rPr>
          <w:color w:val="231F20"/>
          <w:sz w:val="17"/>
        </w:rPr>
        <w:t>de</w:t>
      </w:r>
      <w:r>
        <w:rPr>
          <w:color w:val="231F20"/>
          <w:spacing w:val="19"/>
          <w:sz w:val="17"/>
        </w:rPr>
        <w:t> </w:t>
      </w:r>
      <w:r>
        <w:rPr>
          <w:color w:val="231F20"/>
          <w:sz w:val="17"/>
        </w:rPr>
        <w:t>Belgische</w:t>
      </w:r>
      <w:r>
        <w:rPr>
          <w:color w:val="231F20"/>
          <w:spacing w:val="18"/>
          <w:sz w:val="17"/>
        </w:rPr>
        <w:t> </w:t>
      </w:r>
      <w:r>
        <w:rPr>
          <w:color w:val="231F20"/>
          <w:sz w:val="17"/>
        </w:rPr>
        <w:t>overheid;</w:t>
      </w:r>
    </w:p>
    <w:p>
      <w:pPr>
        <w:pStyle w:val="ListParagraph"/>
        <w:numPr>
          <w:ilvl w:val="0"/>
          <w:numId w:val="65"/>
        </w:numPr>
        <w:tabs>
          <w:tab w:pos="477" w:val="left" w:leader="none"/>
        </w:tabs>
        <w:spacing w:line="218" w:lineRule="auto" w:before="83" w:after="0"/>
        <w:ind w:left="113" w:right="124" w:firstLine="170"/>
        <w:jc w:val="both"/>
        <w:rPr>
          <w:sz w:val="17"/>
        </w:rPr>
      </w:pPr>
      <w:r>
        <w:rPr>
          <w:color w:val="231F20"/>
          <w:sz w:val="17"/>
        </w:rPr>
        <w:t>het bedrag, op dezelfde datum, van de opeisbare schulden bij de belastingbesturen en bij de Rijksdienst voor Sociale Zekerheid, onge- acht</w:t>
      </w:r>
      <w:r>
        <w:rPr>
          <w:color w:val="231F20"/>
          <w:spacing w:val="15"/>
          <w:sz w:val="17"/>
        </w:rPr>
        <w:t> </w:t>
      </w:r>
      <w:r>
        <w:rPr>
          <w:color w:val="231F20"/>
          <w:sz w:val="17"/>
        </w:rPr>
        <w:t>of</w:t>
      </w:r>
      <w:r>
        <w:rPr>
          <w:color w:val="231F20"/>
          <w:spacing w:val="15"/>
          <w:sz w:val="17"/>
        </w:rPr>
        <w:t> </w:t>
      </w:r>
      <w:r>
        <w:rPr>
          <w:color w:val="231F20"/>
          <w:sz w:val="17"/>
        </w:rPr>
        <w:t>uitstel</w:t>
      </w:r>
      <w:r>
        <w:rPr>
          <w:color w:val="231F20"/>
          <w:spacing w:val="15"/>
          <w:sz w:val="17"/>
        </w:rPr>
        <w:t> </w:t>
      </w:r>
      <w:r>
        <w:rPr>
          <w:color w:val="231F20"/>
          <w:sz w:val="17"/>
        </w:rPr>
        <w:t>van</w:t>
      </w:r>
      <w:r>
        <w:rPr>
          <w:color w:val="231F20"/>
          <w:spacing w:val="15"/>
          <w:sz w:val="17"/>
        </w:rPr>
        <w:t> </w:t>
      </w:r>
      <w:r>
        <w:rPr>
          <w:color w:val="231F20"/>
          <w:sz w:val="17"/>
        </w:rPr>
        <w:t>betaling</w:t>
      </w:r>
      <w:r>
        <w:rPr>
          <w:color w:val="231F20"/>
          <w:spacing w:val="16"/>
          <w:sz w:val="17"/>
        </w:rPr>
        <w:t> </w:t>
      </w:r>
      <w:r>
        <w:rPr>
          <w:color w:val="231F20"/>
          <w:sz w:val="17"/>
        </w:rPr>
        <w:t>is</w:t>
      </w:r>
      <w:r>
        <w:rPr>
          <w:color w:val="231F20"/>
          <w:spacing w:val="15"/>
          <w:sz w:val="17"/>
        </w:rPr>
        <w:t> </w:t>
      </w:r>
      <w:r>
        <w:rPr>
          <w:color w:val="231F20"/>
          <w:sz w:val="17"/>
        </w:rPr>
        <w:t>verkregen;</w:t>
      </w:r>
    </w:p>
    <w:p>
      <w:pPr>
        <w:pStyle w:val="ListParagraph"/>
        <w:numPr>
          <w:ilvl w:val="0"/>
          <w:numId w:val="65"/>
        </w:numPr>
        <w:tabs>
          <w:tab w:pos="512" w:val="left" w:leader="none"/>
        </w:tabs>
        <w:spacing w:line="218" w:lineRule="auto" w:before="83" w:after="0"/>
        <w:ind w:left="113" w:right="124" w:firstLine="170"/>
        <w:jc w:val="both"/>
        <w:rPr>
          <w:sz w:val="17"/>
        </w:rPr>
      </w:pPr>
      <w:r>
        <w:rPr>
          <w:color w:val="231F20"/>
          <w:sz w:val="17"/>
        </w:rPr>
        <w:t>het bedrag over het afgesloten boekjaar van de kapitaal- en rentesubsidies uitbetaald of toegekend door openbare besturen of instellingen;</w:t>
      </w:r>
    </w:p>
    <w:p>
      <w:pPr>
        <w:pStyle w:val="BodyText"/>
        <w:spacing w:line="218" w:lineRule="auto" w:before="85"/>
      </w:pPr>
      <w:r>
        <w:rPr>
          <w:color w:val="231F20"/>
        </w:rPr>
        <w:t>6° in voorkomend geval, een stuk dat de vermeldingen bevat van het jaarverslag voorgeschreven door artikel 3:6. Eenieder kan op de zetel van de vennootschap inzage nemen van het jaarverslag en daarvan, zelfs op schriftelijke aanvraag, kosteloos een volledige kopie krijgen. Deze verplichting geldt niet voor de niet-genoteerde kleine vennoot- schappen of de kleine vennootschappen die geen organisaties van openbaar belang als bedoeld in artikel 1:12, 2°, zijn, tenzij het gaat om één van de in artikel 3:1, § 3, 1°, 2°, 3° of 4°, bedoelde</w:t>
      </w:r>
      <w:r>
        <w:rPr>
          <w:color w:val="231F20"/>
          <w:spacing w:val="-28"/>
        </w:rPr>
        <w:t> </w:t>
      </w:r>
      <w:r>
        <w:rPr>
          <w:color w:val="231F20"/>
        </w:rPr>
        <w:t>vennootschappen;</w:t>
      </w:r>
    </w:p>
    <w:p>
      <w:pPr>
        <w:pStyle w:val="BodyText"/>
        <w:spacing w:line="218" w:lineRule="auto" w:before="86"/>
      </w:pPr>
      <w:r>
        <w:rPr>
          <w:color w:val="231F20"/>
        </w:rPr>
        <w:t>7° een lijst van vennootschappen waarin de vennootschap een deelneming bezit zoals bepaald in artikel 1:22. Voor elk van deze ondernemingen worden de volgende gegevens vermeld:</w:t>
      </w:r>
    </w:p>
    <w:p>
      <w:pPr>
        <w:pStyle w:val="ListParagraph"/>
        <w:numPr>
          <w:ilvl w:val="0"/>
          <w:numId w:val="66"/>
        </w:numPr>
        <w:tabs>
          <w:tab w:pos="472" w:val="left" w:leader="none"/>
        </w:tabs>
        <w:spacing w:line="218" w:lineRule="auto" w:before="83" w:after="0"/>
        <w:ind w:left="113" w:right="124" w:firstLine="170"/>
        <w:jc w:val="both"/>
        <w:rPr>
          <w:sz w:val="17"/>
        </w:rPr>
      </w:pPr>
      <w:r>
        <w:rPr>
          <w:color w:val="231F20"/>
          <w:sz w:val="17"/>
        </w:rPr>
        <w:t>de naam, de zetel en zo het een onderneming naar Belgisch recht betreft, het ondernemingsnummer dat haar werd toegekend door de Kruispuntbank van</w:t>
      </w:r>
      <w:r>
        <w:rPr>
          <w:color w:val="231F20"/>
          <w:spacing w:val="-10"/>
          <w:sz w:val="17"/>
        </w:rPr>
        <w:t> </w:t>
      </w:r>
      <w:r>
        <w:rPr>
          <w:color w:val="231F20"/>
          <w:sz w:val="17"/>
        </w:rPr>
        <w:t>Ondernemingen;</w:t>
      </w:r>
    </w:p>
    <w:p>
      <w:pPr>
        <w:pStyle w:val="ListParagraph"/>
        <w:numPr>
          <w:ilvl w:val="0"/>
          <w:numId w:val="66"/>
        </w:numPr>
        <w:tabs>
          <w:tab w:pos="493" w:val="left" w:leader="none"/>
        </w:tabs>
        <w:spacing w:line="218" w:lineRule="auto" w:before="83" w:after="0"/>
        <w:ind w:left="113" w:right="124" w:firstLine="170"/>
        <w:jc w:val="both"/>
        <w:rPr>
          <w:sz w:val="17"/>
        </w:rPr>
      </w:pPr>
      <w:r>
        <w:rPr>
          <w:color w:val="231F20"/>
          <w:sz w:val="17"/>
        </w:rPr>
        <w:t>het aantal maatschappelijke rechten dat de vennootschap recht- streeks houdt en het percentage vertegenwoordigd door dit bezit, evenals het percentage maatschappelijke rechten dat dochtervennoot- schappen</w:t>
      </w:r>
      <w:r>
        <w:rPr>
          <w:color w:val="231F20"/>
          <w:spacing w:val="15"/>
          <w:sz w:val="17"/>
        </w:rPr>
        <w:t> </w:t>
      </w:r>
      <w:r>
        <w:rPr>
          <w:color w:val="231F20"/>
          <w:sz w:val="17"/>
        </w:rPr>
        <w:t>houden;</w:t>
      </w:r>
    </w:p>
    <w:p>
      <w:pPr>
        <w:pStyle w:val="ListParagraph"/>
        <w:numPr>
          <w:ilvl w:val="0"/>
          <w:numId w:val="66"/>
        </w:numPr>
        <w:tabs>
          <w:tab w:pos="464" w:val="left" w:leader="none"/>
        </w:tabs>
        <w:spacing w:line="218" w:lineRule="auto" w:before="83" w:after="0"/>
        <w:ind w:left="113" w:right="123" w:firstLine="170"/>
        <w:jc w:val="both"/>
        <w:rPr>
          <w:sz w:val="17"/>
        </w:rPr>
      </w:pPr>
      <w:r>
        <w:rPr>
          <w:color w:val="231F20"/>
          <w:sz w:val="17"/>
        </w:rPr>
        <w:t>het bedrag van het eigen vermogen en het nettoresultaat over het laatste</w:t>
      </w:r>
      <w:r>
        <w:rPr>
          <w:color w:val="231F20"/>
          <w:spacing w:val="14"/>
          <w:sz w:val="17"/>
        </w:rPr>
        <w:t> </w:t>
      </w:r>
      <w:r>
        <w:rPr>
          <w:color w:val="231F20"/>
          <w:sz w:val="17"/>
        </w:rPr>
        <w:t>boekjaar</w:t>
      </w:r>
      <w:r>
        <w:rPr>
          <w:color w:val="231F20"/>
          <w:spacing w:val="15"/>
          <w:sz w:val="17"/>
        </w:rPr>
        <w:t> </w:t>
      </w:r>
      <w:r>
        <w:rPr>
          <w:color w:val="231F20"/>
          <w:sz w:val="17"/>
        </w:rPr>
        <w:t>waarvoor</w:t>
      </w:r>
      <w:r>
        <w:rPr>
          <w:color w:val="231F20"/>
          <w:spacing w:val="15"/>
          <w:sz w:val="17"/>
        </w:rPr>
        <w:t> </w:t>
      </w:r>
      <w:r>
        <w:rPr>
          <w:color w:val="231F20"/>
          <w:sz w:val="17"/>
        </w:rPr>
        <w:t>de</w:t>
      </w:r>
      <w:r>
        <w:rPr>
          <w:color w:val="231F20"/>
          <w:spacing w:val="15"/>
          <w:sz w:val="17"/>
        </w:rPr>
        <w:t> </w:t>
      </w:r>
      <w:r>
        <w:rPr>
          <w:color w:val="231F20"/>
          <w:sz w:val="17"/>
        </w:rPr>
        <w:t>jaarrekening</w:t>
      </w:r>
      <w:r>
        <w:rPr>
          <w:color w:val="231F20"/>
          <w:spacing w:val="15"/>
          <w:sz w:val="17"/>
        </w:rPr>
        <w:t> </w:t>
      </w:r>
      <w:r>
        <w:rPr>
          <w:color w:val="231F20"/>
          <w:sz w:val="17"/>
        </w:rPr>
        <w:t>beschikbaar</w:t>
      </w:r>
      <w:r>
        <w:rPr>
          <w:color w:val="231F20"/>
          <w:spacing w:val="15"/>
          <w:sz w:val="17"/>
        </w:rPr>
        <w:t> </w:t>
      </w:r>
      <w:r>
        <w:rPr>
          <w:color w:val="231F20"/>
          <w:sz w:val="17"/>
        </w:rPr>
        <w:t>is.</w:t>
      </w:r>
    </w:p>
    <w:p>
      <w:pPr>
        <w:pStyle w:val="BodyText"/>
        <w:spacing w:line="218" w:lineRule="auto" w:before="86"/>
        <w:ind w:right="123"/>
      </w:pPr>
      <w:r>
        <w:rPr>
          <w:color w:val="231F20"/>
        </w:rPr>
        <w:t>Het aantal gehouden maatschappelijke rechten en het percentage dat ze vertegenwoordigen worden in voorkomend geval vermeld per soort van uitgegeven maatschappelijke rechten. Dezelfde gegevens worden verstrekt over de rechtstreeks of onrechtstreeks gehouden conversie- en inschrijvingsrechten.</w:t>
      </w:r>
    </w:p>
    <w:p>
      <w:pPr>
        <w:pStyle w:val="BodyText"/>
        <w:spacing w:line="218" w:lineRule="auto" w:before="85"/>
      </w:pPr>
      <w:r>
        <w:rPr>
          <w:color w:val="231F20"/>
        </w:rPr>
        <w:t>Het bedrag van het eigen vermogen en het nettoresultaat over het laatste boekjaar waarvoor de jaarrekening beschikbaar is, mogen worden weggelaten indien de betrokken onderneming deze gegevens niet moet openbaar maken; deze uitzondering geldt evenwel niet voor dochterondernemingen.</w:t>
      </w:r>
    </w:p>
    <w:p>
      <w:pPr>
        <w:pStyle w:val="BodyText"/>
        <w:spacing w:line="218" w:lineRule="auto" w:before="86"/>
        <w:ind w:right="125"/>
      </w:pPr>
      <w:r>
        <w:rPr>
          <w:color w:val="231F20"/>
        </w:rPr>
        <w:t>Het bedrag van het eigen vermogen en van het nettoresultaat van de buitenlandse ondernemingen wordt uitgedrukt in vreemde munt. Deze munt wordt vermeld.</w:t>
      </w:r>
    </w:p>
    <w:p>
      <w:pPr>
        <w:pStyle w:val="BodyText"/>
        <w:spacing w:line="218" w:lineRule="auto" w:before="96"/>
      </w:pPr>
      <w:r>
        <w:rPr>
          <w:color w:val="231F20"/>
        </w:rPr>
        <w:t>In deze lijst wordt in voorkomend geval een overzicht toegevoegd  van ondernemingen waarvoor de vennootschap onbeperkt aansprake- lijk is in haar hoedanigheid van onbeperkt aansprakelijke vennoot of lid.</w:t>
      </w:r>
    </w:p>
    <w:p>
      <w:pPr>
        <w:pStyle w:val="BodyText"/>
        <w:spacing w:line="218" w:lineRule="auto" w:before="96"/>
      </w:pPr>
      <w:r>
        <w:rPr>
          <w:color w:val="231F20"/>
          <w:spacing w:val="-5"/>
        </w:rPr>
        <w:t>Voor </w:t>
      </w:r>
      <w:r>
        <w:rPr>
          <w:color w:val="231F20"/>
        </w:rPr>
        <w:t>elk van de ondernemingen waarvoor de vennootschap onbe- perkt aansprakelijk is, worden volgende gegevens verstrekt: de naam, de zetel, de rechtsvorm en zo het een onderneming naar Belgisch recht betreft, het ondernemingsnummer dat haar werd toegekend door de Kruispuntbank van</w:t>
      </w:r>
      <w:r>
        <w:rPr>
          <w:color w:val="231F20"/>
          <w:spacing w:val="-10"/>
        </w:rPr>
        <w:t> </w:t>
      </w:r>
      <w:r>
        <w:rPr>
          <w:color w:val="231F20"/>
        </w:rPr>
        <w:t>Ondernemingen.</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19"/>
        <w:ind w:right="89"/>
      </w:pPr>
      <w:r>
        <w:rPr/>
        <w:pict>
          <v:line style="position:absolute;mso-position-horizontal-relative:page;mso-position-vertical-relative:page;z-index:2344" from="298.170502pt,64.473pt" to="298.170502pt,812.819pt" stroked="true" strokeweight=".533pt" strokecolor="#231f20">
            <v:stroke dashstyle="solid"/>
            <w10:wrap type="none"/>
          </v:line>
        </w:pict>
      </w:r>
      <w:bookmarkStart w:name="_bookmark55" w:id="58"/>
      <w:bookmarkEnd w:id="58"/>
      <w:r>
        <w:rPr/>
      </w:r>
      <w:r>
        <w:rPr>
          <w:color w:val="231F20"/>
        </w:rPr>
        <w:t>Les comptes annuels de chacune des entreprises dans lesquelles la société assume une responsabilité illimitée sont ajoutés à cet aperçu et publiés en même temps. A condition que ceci soit mentionné dans cet aperçu, cette disposition n’est pas applicable lorsque les comptes annuels de cette entreprise elle-même sont publiés d’une façon qui correspond à l’article 3:10 ou lorsqu’ils sont effectivement publiés dans un autre État membre de l’Espace économique européen, conformé- ment à l’article 16 de la directive 2017/1132/UE du Parlement européen et du Conseil du 14 juin 2017. Cette disposition n’est pas non plus applicable à la société simple;</w:t>
      </w:r>
    </w:p>
    <w:p>
      <w:pPr>
        <w:pStyle w:val="BodyText"/>
        <w:spacing w:line="218" w:lineRule="auto" w:before="119"/>
        <w:ind w:right="90"/>
      </w:pPr>
      <w:r>
        <w:rPr>
          <w:color w:val="231F20"/>
        </w:rPr>
        <w:t>8° le bilan social prescrit par la loi du 22 décembre 1995 portant des mesures visant à exécuter le plan pluriannuel pour l’emploi;</w:t>
      </w:r>
    </w:p>
    <w:p>
      <w:pPr>
        <w:pStyle w:val="BodyText"/>
        <w:spacing w:before="9"/>
        <w:ind w:left="0" w:right="0" w:firstLine="0"/>
        <w:jc w:val="left"/>
        <w:rPr>
          <w:sz w:val="25"/>
        </w:rPr>
      </w:pPr>
    </w:p>
    <w:p>
      <w:pPr>
        <w:pStyle w:val="BodyText"/>
        <w:spacing w:line="218" w:lineRule="auto"/>
        <w:ind w:right="89"/>
      </w:pPr>
      <w:r>
        <w:rPr>
          <w:color w:val="231F20"/>
        </w:rPr>
        <w:t>9° pour les sociétés dans lesquelles les pouvoirs publics ou une ou plusieurs personnes morales de droit public exercent un contrôle tel que défini à l’article 1:14: un rapport de rémunération donnant un aperçu, sur une base individuelle, du montant des rémunérations et autres avantages, tant en numéraire qu’en nature, accordés</w:t>
      </w:r>
      <w:r>
        <w:rPr>
          <w:color w:val="231F20"/>
          <w:spacing w:val="-14"/>
        </w:rPr>
        <w:t> </w:t>
      </w:r>
      <w:r>
        <w:rPr>
          <w:color w:val="231F20"/>
        </w:rPr>
        <w:t>directement ou indirectement, pendant l’exercice social faisant l’objet du rapport de gestion, aux administrateurs non exécutifs ainsi qu’aux administrateurs exécutifs pour ce qui concerne leur mandat en tant que membre de l’organe d’administration, par la société ou une société qui fait partie</w:t>
      </w:r>
      <w:r>
        <w:rPr>
          <w:color w:val="231F20"/>
          <w:spacing w:val="-14"/>
        </w:rPr>
        <w:t> </w:t>
      </w:r>
      <w:r>
        <w:rPr>
          <w:color w:val="231F20"/>
        </w:rPr>
        <w:t>du périmètre</w:t>
      </w:r>
      <w:r>
        <w:rPr>
          <w:color w:val="231F20"/>
          <w:spacing w:val="14"/>
        </w:rPr>
        <w:t> </w:t>
      </w:r>
      <w:r>
        <w:rPr>
          <w:color w:val="231F20"/>
        </w:rPr>
        <w:t>de</w:t>
      </w:r>
      <w:r>
        <w:rPr>
          <w:color w:val="231F20"/>
          <w:spacing w:val="15"/>
        </w:rPr>
        <w:t> </w:t>
      </w:r>
      <w:r>
        <w:rPr>
          <w:color w:val="231F20"/>
        </w:rPr>
        <w:t>consolidation</w:t>
      </w:r>
      <w:r>
        <w:rPr>
          <w:color w:val="231F20"/>
          <w:spacing w:val="14"/>
        </w:rPr>
        <w:t> </w:t>
      </w:r>
      <w:r>
        <w:rPr>
          <w:color w:val="231F20"/>
        </w:rPr>
        <w:t>de</w:t>
      </w:r>
      <w:r>
        <w:rPr>
          <w:color w:val="231F20"/>
          <w:spacing w:val="15"/>
        </w:rPr>
        <w:t> </w:t>
      </w:r>
      <w:r>
        <w:rPr>
          <w:color w:val="231F20"/>
        </w:rPr>
        <w:t>cette</w:t>
      </w:r>
      <w:r>
        <w:rPr>
          <w:color w:val="231F20"/>
          <w:spacing w:val="14"/>
        </w:rPr>
        <w:t> </w:t>
      </w:r>
      <w:r>
        <w:rPr>
          <w:color w:val="231F20"/>
        </w:rPr>
        <w:t>société;</w:t>
      </w:r>
    </w:p>
    <w:p>
      <w:pPr>
        <w:pStyle w:val="BodyText"/>
        <w:spacing w:line="218" w:lineRule="auto" w:before="118"/>
        <w:ind w:right="89"/>
      </w:pPr>
      <w:r>
        <w:rPr>
          <w:color w:val="231F20"/>
        </w:rPr>
        <w:t>10° tout autre document qui doit être déposé en même temps que les comptes</w:t>
      </w:r>
      <w:r>
        <w:rPr>
          <w:color w:val="231F20"/>
          <w:spacing w:val="15"/>
        </w:rPr>
        <w:t> </w:t>
      </w:r>
      <w:r>
        <w:rPr>
          <w:color w:val="231F20"/>
        </w:rPr>
        <w:t>annuels</w:t>
      </w:r>
      <w:r>
        <w:rPr>
          <w:color w:val="231F20"/>
          <w:spacing w:val="16"/>
        </w:rPr>
        <w:t> </w:t>
      </w:r>
      <w:r>
        <w:rPr>
          <w:color w:val="231F20"/>
        </w:rPr>
        <w:t>en</w:t>
      </w:r>
      <w:r>
        <w:rPr>
          <w:color w:val="231F20"/>
          <w:spacing w:val="15"/>
        </w:rPr>
        <w:t> </w:t>
      </w:r>
      <w:r>
        <w:rPr>
          <w:color w:val="231F20"/>
        </w:rPr>
        <w:t>vertu</w:t>
      </w:r>
      <w:r>
        <w:rPr>
          <w:color w:val="231F20"/>
          <w:spacing w:val="16"/>
        </w:rPr>
        <w:t> </w:t>
      </w:r>
      <w:r>
        <w:rPr>
          <w:color w:val="231F20"/>
        </w:rPr>
        <w:t>du</w:t>
      </w:r>
      <w:r>
        <w:rPr>
          <w:color w:val="231F20"/>
          <w:spacing w:val="15"/>
        </w:rPr>
        <w:t> </w:t>
      </w:r>
      <w:r>
        <w:rPr>
          <w:color w:val="231F20"/>
        </w:rPr>
        <w:t>présent</w:t>
      </w:r>
      <w:r>
        <w:rPr>
          <w:color w:val="231F20"/>
          <w:spacing w:val="16"/>
        </w:rPr>
        <w:t> </w:t>
      </w:r>
      <w:r>
        <w:rPr>
          <w:color w:val="231F20"/>
        </w:rPr>
        <w:t>code.</w:t>
      </w:r>
    </w:p>
    <w:p>
      <w:pPr>
        <w:pStyle w:val="BodyText"/>
        <w:spacing w:line="218" w:lineRule="auto" w:before="117"/>
        <w:ind w:right="89"/>
      </w:pPr>
      <w:r>
        <w:rPr>
          <w:color w:val="231F20"/>
        </w:rPr>
        <w:t>§</w:t>
      </w:r>
      <w:r>
        <w:rPr>
          <w:color w:val="231F20"/>
          <w:spacing w:val="-6"/>
        </w:rPr>
        <w:t> </w:t>
      </w:r>
      <w:r>
        <w:rPr>
          <w:color w:val="231F20"/>
        </w:rPr>
        <w:t>2.</w:t>
      </w:r>
      <w:r>
        <w:rPr>
          <w:color w:val="231F20"/>
          <w:spacing w:val="-5"/>
        </w:rPr>
        <w:t> </w:t>
      </w:r>
      <w:r>
        <w:rPr>
          <w:color w:val="231F20"/>
        </w:rPr>
        <w:t>Les</w:t>
      </w:r>
      <w:r>
        <w:rPr>
          <w:color w:val="231F20"/>
          <w:spacing w:val="-5"/>
        </w:rPr>
        <w:t> </w:t>
      </w:r>
      <w:r>
        <w:rPr>
          <w:color w:val="231F20"/>
        </w:rPr>
        <w:t>informations</w:t>
      </w:r>
      <w:r>
        <w:rPr>
          <w:color w:val="231F20"/>
          <w:spacing w:val="-5"/>
        </w:rPr>
        <w:t> </w:t>
      </w:r>
      <w:r>
        <w:rPr>
          <w:color w:val="231F20"/>
        </w:rPr>
        <w:t>qui</w:t>
      </w:r>
      <w:r>
        <w:rPr>
          <w:color w:val="231F20"/>
          <w:spacing w:val="-5"/>
        </w:rPr>
        <w:t> </w:t>
      </w:r>
      <w:r>
        <w:rPr>
          <w:color w:val="231F20"/>
        </w:rPr>
        <w:t>sont</w:t>
      </w:r>
      <w:r>
        <w:rPr>
          <w:color w:val="231F20"/>
          <w:spacing w:val="-5"/>
        </w:rPr>
        <w:t> </w:t>
      </w:r>
      <w:r>
        <w:rPr>
          <w:color w:val="231F20"/>
        </w:rPr>
        <w:t>déjà</w:t>
      </w:r>
      <w:r>
        <w:rPr>
          <w:color w:val="231F20"/>
          <w:spacing w:val="-6"/>
        </w:rPr>
        <w:t> </w:t>
      </w:r>
      <w:r>
        <w:rPr>
          <w:color w:val="231F20"/>
        </w:rPr>
        <w:t>fournies</w:t>
      </w:r>
      <w:r>
        <w:rPr>
          <w:color w:val="231F20"/>
          <w:spacing w:val="-5"/>
        </w:rPr>
        <w:t> </w:t>
      </w:r>
      <w:r>
        <w:rPr>
          <w:color w:val="231F20"/>
        </w:rPr>
        <w:t>de</w:t>
      </w:r>
      <w:r>
        <w:rPr>
          <w:color w:val="231F20"/>
          <w:spacing w:val="-5"/>
        </w:rPr>
        <w:t> </w:t>
      </w:r>
      <w:r>
        <w:rPr>
          <w:color w:val="231F20"/>
        </w:rPr>
        <w:t>façon</w:t>
      </w:r>
      <w:r>
        <w:rPr>
          <w:color w:val="231F20"/>
          <w:spacing w:val="-5"/>
        </w:rPr>
        <w:t> </w:t>
      </w:r>
      <w:r>
        <w:rPr>
          <w:color w:val="231F20"/>
        </w:rPr>
        <w:t>distincte</w:t>
      </w:r>
      <w:r>
        <w:rPr>
          <w:color w:val="231F20"/>
          <w:spacing w:val="-5"/>
        </w:rPr>
        <w:t> </w:t>
      </w:r>
      <w:r>
        <w:rPr>
          <w:color w:val="231F20"/>
        </w:rPr>
        <w:t>dans</w:t>
      </w:r>
      <w:r>
        <w:rPr>
          <w:color w:val="231F20"/>
          <w:spacing w:val="-5"/>
        </w:rPr>
        <w:t> </w:t>
      </w:r>
      <w:r>
        <w:rPr>
          <w:color w:val="231F20"/>
        </w:rPr>
        <w:t>les comptes annuels ne doivent pas être mentionnées dans un document à déposer conformément au présent</w:t>
      </w:r>
      <w:r>
        <w:rPr>
          <w:color w:val="231F20"/>
          <w:spacing w:val="18"/>
        </w:rPr>
        <w:t> </w:t>
      </w:r>
      <w:r>
        <w:rPr>
          <w:color w:val="231F20"/>
        </w:rPr>
        <w:t>article.</w:t>
      </w:r>
    </w:p>
    <w:p>
      <w:pPr>
        <w:pStyle w:val="BodyText"/>
        <w:spacing w:line="211" w:lineRule="auto" w:before="123"/>
        <w:ind w:right="89"/>
      </w:pPr>
      <w:r>
        <w:rPr>
          <w:color w:val="231F20"/>
        </w:rPr>
        <w:t>§ 3. Si les documents visés dans cet article n’ont pas été déposés conformément au paragraphe 1</w:t>
      </w:r>
      <w:r>
        <w:rPr>
          <w:color w:val="231F20"/>
          <w:position w:val="7"/>
          <w:sz w:val="11"/>
        </w:rPr>
        <w:t>er</w:t>
      </w:r>
      <w:r>
        <w:rPr>
          <w:color w:val="231F20"/>
        </w:rPr>
        <w:t>, le dommage subi par les tiers est,  sauf</w:t>
      </w:r>
      <w:r>
        <w:rPr>
          <w:color w:val="231F20"/>
          <w:spacing w:val="14"/>
        </w:rPr>
        <w:t> </w:t>
      </w:r>
      <w:r>
        <w:rPr>
          <w:color w:val="231F20"/>
        </w:rPr>
        <w:t>preuve</w:t>
      </w:r>
      <w:r>
        <w:rPr>
          <w:color w:val="231F20"/>
          <w:spacing w:val="15"/>
        </w:rPr>
        <w:t> </w:t>
      </w:r>
      <w:r>
        <w:rPr>
          <w:color w:val="231F20"/>
        </w:rPr>
        <w:t>contraire,</w:t>
      </w:r>
      <w:r>
        <w:rPr>
          <w:color w:val="231F20"/>
          <w:spacing w:val="15"/>
        </w:rPr>
        <w:t> </w:t>
      </w:r>
      <w:r>
        <w:rPr>
          <w:color w:val="231F20"/>
        </w:rPr>
        <w:t>présumé</w:t>
      </w:r>
      <w:r>
        <w:rPr>
          <w:color w:val="231F20"/>
          <w:spacing w:val="15"/>
        </w:rPr>
        <w:t> </w:t>
      </w:r>
      <w:r>
        <w:rPr>
          <w:color w:val="231F20"/>
        </w:rPr>
        <w:t>résulter</w:t>
      </w:r>
      <w:r>
        <w:rPr>
          <w:color w:val="231F20"/>
          <w:spacing w:val="15"/>
        </w:rPr>
        <w:t> </w:t>
      </w:r>
      <w:r>
        <w:rPr>
          <w:color w:val="231F20"/>
        </w:rPr>
        <w:t>de</w:t>
      </w:r>
      <w:r>
        <w:rPr>
          <w:color w:val="231F20"/>
          <w:spacing w:val="15"/>
        </w:rPr>
        <w:t> </w:t>
      </w:r>
      <w:r>
        <w:rPr>
          <w:color w:val="231F20"/>
        </w:rPr>
        <w:t>cette</w:t>
      </w:r>
      <w:r>
        <w:rPr>
          <w:color w:val="231F20"/>
          <w:spacing w:val="15"/>
        </w:rPr>
        <w:t> </w:t>
      </w:r>
      <w:r>
        <w:rPr>
          <w:color w:val="231F20"/>
        </w:rPr>
        <w:t>omission.</w:t>
      </w:r>
    </w:p>
    <w:p>
      <w:pPr>
        <w:pStyle w:val="BodyText"/>
        <w:spacing w:line="218" w:lineRule="auto" w:before="125"/>
        <w:ind w:right="89"/>
      </w:pPr>
      <w:r>
        <w:rPr>
          <w:color w:val="231F20"/>
        </w:rPr>
        <w:t>Art. 3:13. Le Roi détermine les conditions et les modalités du dépôt des documents visés aux articles 3:10 et 3:12 ainsi que le montant et les modes de paiement des frais de publicité.</w:t>
      </w:r>
    </w:p>
    <w:p>
      <w:pPr>
        <w:pStyle w:val="BodyText"/>
        <w:spacing w:before="9"/>
        <w:ind w:left="0" w:right="0" w:firstLine="0"/>
        <w:jc w:val="left"/>
        <w:rPr>
          <w:sz w:val="26"/>
        </w:rPr>
      </w:pPr>
    </w:p>
    <w:p>
      <w:pPr>
        <w:pStyle w:val="BodyText"/>
        <w:spacing w:line="218" w:lineRule="auto"/>
        <w:ind w:right="89"/>
      </w:pPr>
      <w:r>
        <w:rPr>
          <w:color w:val="231F20"/>
        </w:rPr>
        <w:t>Il détermine les catégories de sociétés pouvant effectuer ce dépôt autrement que par la voie électronique.</w:t>
      </w:r>
    </w:p>
    <w:p>
      <w:pPr>
        <w:pStyle w:val="BodyText"/>
        <w:spacing w:line="216" w:lineRule="auto" w:before="130"/>
        <w:ind w:right="89"/>
      </w:pPr>
      <w:r>
        <w:rPr>
          <w:color w:val="231F20"/>
        </w:rPr>
        <w:t>Sauf</w:t>
      </w:r>
      <w:r>
        <w:rPr>
          <w:color w:val="231F20"/>
          <w:spacing w:val="-5"/>
        </w:rPr>
        <w:t> </w:t>
      </w:r>
      <w:r>
        <w:rPr>
          <w:color w:val="231F20"/>
        </w:rPr>
        <w:t>en</w:t>
      </w:r>
      <w:r>
        <w:rPr>
          <w:color w:val="231F20"/>
          <w:spacing w:val="-5"/>
        </w:rPr>
        <w:t> </w:t>
      </w:r>
      <w:r>
        <w:rPr>
          <w:color w:val="231F20"/>
        </w:rPr>
        <w:t>cas</w:t>
      </w:r>
      <w:r>
        <w:rPr>
          <w:color w:val="231F20"/>
          <w:spacing w:val="-5"/>
        </w:rPr>
        <w:t> </w:t>
      </w:r>
      <w:r>
        <w:rPr>
          <w:color w:val="231F20"/>
        </w:rPr>
        <w:t>de</w:t>
      </w:r>
      <w:r>
        <w:rPr>
          <w:color w:val="231F20"/>
          <w:spacing w:val="-4"/>
        </w:rPr>
        <w:t> </w:t>
      </w:r>
      <w:r>
        <w:rPr>
          <w:color w:val="231F20"/>
        </w:rPr>
        <w:t>force</w:t>
      </w:r>
      <w:r>
        <w:rPr>
          <w:color w:val="231F20"/>
          <w:spacing w:val="-5"/>
        </w:rPr>
        <w:t> </w:t>
      </w:r>
      <w:r>
        <w:rPr>
          <w:color w:val="231F20"/>
        </w:rPr>
        <w:t>majeure,</w:t>
      </w:r>
      <w:r>
        <w:rPr>
          <w:color w:val="231F20"/>
          <w:spacing w:val="-5"/>
        </w:rPr>
        <w:t> </w:t>
      </w:r>
      <w:r>
        <w:rPr>
          <w:color w:val="231F20"/>
        </w:rPr>
        <w:t>les</w:t>
      </w:r>
      <w:r>
        <w:rPr>
          <w:color w:val="231F20"/>
          <w:spacing w:val="-5"/>
        </w:rPr>
        <w:t> </w:t>
      </w:r>
      <w:r>
        <w:rPr>
          <w:color w:val="231F20"/>
        </w:rPr>
        <w:t>personnes</w:t>
      </w:r>
      <w:r>
        <w:rPr>
          <w:color w:val="231F20"/>
          <w:spacing w:val="-4"/>
        </w:rPr>
        <w:t> </w:t>
      </w:r>
      <w:r>
        <w:rPr>
          <w:color w:val="231F20"/>
        </w:rPr>
        <w:t>morales</w:t>
      </w:r>
      <w:r>
        <w:rPr>
          <w:color w:val="231F20"/>
          <w:spacing w:val="-5"/>
        </w:rPr>
        <w:t> </w:t>
      </w:r>
      <w:r>
        <w:rPr>
          <w:color w:val="231F20"/>
        </w:rPr>
        <w:t>qui</w:t>
      </w:r>
      <w:r>
        <w:rPr>
          <w:color w:val="231F20"/>
          <w:spacing w:val="-5"/>
        </w:rPr>
        <w:t> </w:t>
      </w:r>
      <w:r>
        <w:rPr>
          <w:color w:val="231F20"/>
        </w:rPr>
        <w:t>publient</w:t>
      </w:r>
      <w:r>
        <w:rPr>
          <w:color w:val="231F20"/>
          <w:spacing w:val="-4"/>
        </w:rPr>
        <w:t> </w:t>
      </w:r>
      <w:r>
        <w:rPr>
          <w:color w:val="231F20"/>
        </w:rPr>
        <w:t>leurs comptes annuels et, le cas échéant, leurs comptes consolidés par dépôt auprès de la Banque nationale de Belgique plus d’un mois après l’échéance du délai de sept mois suivant la clôture de l’exercice social, visé</w:t>
      </w:r>
      <w:r>
        <w:rPr>
          <w:color w:val="231F20"/>
          <w:spacing w:val="-7"/>
        </w:rPr>
        <w:t> </w:t>
      </w:r>
      <w:r>
        <w:rPr>
          <w:color w:val="231F20"/>
        </w:rPr>
        <w:t>à</w:t>
      </w:r>
      <w:r>
        <w:rPr>
          <w:color w:val="231F20"/>
          <w:spacing w:val="-7"/>
        </w:rPr>
        <w:t> </w:t>
      </w:r>
      <w:r>
        <w:rPr>
          <w:color w:val="231F20"/>
        </w:rPr>
        <w:t>l’article</w:t>
      </w:r>
      <w:r>
        <w:rPr>
          <w:color w:val="231F20"/>
          <w:spacing w:val="-7"/>
        </w:rPr>
        <w:t> </w:t>
      </w:r>
      <w:r>
        <w:rPr>
          <w:color w:val="231F20"/>
        </w:rPr>
        <w:t>3:10,</w:t>
      </w:r>
      <w:r>
        <w:rPr>
          <w:color w:val="231F20"/>
          <w:spacing w:val="-7"/>
        </w:rPr>
        <w:t> </w:t>
      </w:r>
      <w:r>
        <w:rPr>
          <w:color w:val="231F20"/>
        </w:rPr>
        <w:t>alinéa</w:t>
      </w:r>
      <w:r>
        <w:rPr>
          <w:color w:val="231F20"/>
          <w:spacing w:val="-7"/>
        </w:rPr>
        <w:t> </w:t>
      </w:r>
      <w:r>
        <w:rPr>
          <w:color w:val="231F20"/>
        </w:rPr>
        <w:t>2,</w:t>
      </w:r>
      <w:r>
        <w:rPr>
          <w:color w:val="231F20"/>
          <w:spacing w:val="-7"/>
        </w:rPr>
        <w:t> </w:t>
      </w:r>
      <w:r>
        <w:rPr>
          <w:color w:val="231F20"/>
        </w:rPr>
        <w:t>à</w:t>
      </w:r>
      <w:r>
        <w:rPr>
          <w:color w:val="231F20"/>
          <w:spacing w:val="-6"/>
        </w:rPr>
        <w:t> </w:t>
      </w:r>
      <w:r>
        <w:rPr>
          <w:color w:val="231F20"/>
        </w:rPr>
        <w:t>l’article</w:t>
      </w:r>
      <w:r>
        <w:rPr>
          <w:color w:val="231F20"/>
          <w:spacing w:val="-7"/>
        </w:rPr>
        <w:t> </w:t>
      </w:r>
      <w:r>
        <w:rPr>
          <w:color w:val="231F20"/>
        </w:rPr>
        <w:t>3:20,</w:t>
      </w:r>
      <w:r>
        <w:rPr>
          <w:color w:val="231F20"/>
          <w:spacing w:val="-7"/>
        </w:rPr>
        <w:t> </w:t>
      </w:r>
      <w:r>
        <w:rPr>
          <w:color w:val="231F20"/>
        </w:rPr>
        <w:t>§</w:t>
      </w:r>
      <w:r>
        <w:rPr>
          <w:color w:val="231F20"/>
          <w:spacing w:val="-7"/>
        </w:rPr>
        <w:t> </w:t>
      </w:r>
      <w:r>
        <w:rPr>
          <w:color w:val="231F20"/>
        </w:rPr>
        <w:t>1</w:t>
      </w:r>
      <w:r>
        <w:rPr>
          <w:color w:val="231F20"/>
          <w:position w:val="7"/>
          <w:sz w:val="11"/>
        </w:rPr>
        <w:t>er</w:t>
      </w:r>
      <w:r>
        <w:rPr>
          <w:color w:val="231F20"/>
        </w:rPr>
        <w:t>,</w:t>
      </w:r>
      <w:r>
        <w:rPr>
          <w:color w:val="231F20"/>
          <w:spacing w:val="-7"/>
        </w:rPr>
        <w:t> </w:t>
      </w:r>
      <w:r>
        <w:rPr>
          <w:color w:val="231F20"/>
        </w:rPr>
        <w:t>alinéa</w:t>
      </w:r>
      <w:r>
        <w:rPr>
          <w:color w:val="231F20"/>
          <w:spacing w:val="-7"/>
        </w:rPr>
        <w:t> </w:t>
      </w:r>
      <w:r>
        <w:rPr>
          <w:color w:val="231F20"/>
        </w:rPr>
        <w:t>2,</w:t>
      </w:r>
      <w:r>
        <w:rPr>
          <w:color w:val="231F20"/>
          <w:spacing w:val="-7"/>
        </w:rPr>
        <w:t> </w:t>
      </w:r>
      <w:r>
        <w:rPr>
          <w:color w:val="231F20"/>
        </w:rPr>
        <w:t>à</w:t>
      </w:r>
      <w:r>
        <w:rPr>
          <w:color w:val="231F20"/>
          <w:spacing w:val="-6"/>
        </w:rPr>
        <w:t> </w:t>
      </w:r>
      <w:r>
        <w:rPr>
          <w:color w:val="231F20"/>
        </w:rPr>
        <w:t>l’article</w:t>
      </w:r>
      <w:r>
        <w:rPr>
          <w:color w:val="231F20"/>
          <w:spacing w:val="-7"/>
        </w:rPr>
        <w:t> </w:t>
      </w:r>
      <w:r>
        <w:rPr>
          <w:color w:val="231F20"/>
        </w:rPr>
        <w:t>3:35, alinéa</w:t>
      </w:r>
      <w:r>
        <w:rPr>
          <w:color w:val="231F20"/>
          <w:spacing w:val="-8"/>
        </w:rPr>
        <w:t> </w:t>
      </w:r>
      <w:r>
        <w:rPr>
          <w:color w:val="231F20"/>
        </w:rPr>
        <w:t>2,</w:t>
      </w:r>
      <w:r>
        <w:rPr>
          <w:color w:val="231F20"/>
          <w:spacing w:val="-8"/>
        </w:rPr>
        <w:t> </w:t>
      </w:r>
      <w:r>
        <w:rPr>
          <w:color w:val="231F20"/>
        </w:rPr>
        <w:t>ou</w:t>
      </w:r>
      <w:r>
        <w:rPr>
          <w:color w:val="231F20"/>
          <w:spacing w:val="-8"/>
        </w:rPr>
        <w:t> </w:t>
      </w:r>
      <w:r>
        <w:rPr>
          <w:color w:val="231F20"/>
        </w:rPr>
        <w:t>à</w:t>
      </w:r>
      <w:r>
        <w:rPr>
          <w:color w:val="231F20"/>
          <w:spacing w:val="-8"/>
        </w:rPr>
        <w:t> </w:t>
      </w:r>
      <w:r>
        <w:rPr>
          <w:color w:val="231F20"/>
        </w:rPr>
        <w:t>l’article</w:t>
      </w:r>
      <w:r>
        <w:rPr>
          <w:color w:val="231F20"/>
          <w:spacing w:val="-7"/>
        </w:rPr>
        <w:t> </w:t>
      </w:r>
      <w:r>
        <w:rPr>
          <w:color w:val="231F20"/>
        </w:rPr>
        <w:t>2:99,</w:t>
      </w:r>
      <w:r>
        <w:rPr>
          <w:color w:val="231F20"/>
          <w:spacing w:val="-8"/>
        </w:rPr>
        <w:t> </w:t>
      </w:r>
      <w:r>
        <w:rPr>
          <w:color w:val="231F20"/>
        </w:rPr>
        <w:t>alinéa</w:t>
      </w:r>
      <w:r>
        <w:rPr>
          <w:color w:val="231F20"/>
          <w:spacing w:val="-8"/>
        </w:rPr>
        <w:t> </w:t>
      </w:r>
      <w:r>
        <w:rPr>
          <w:color w:val="231F20"/>
        </w:rPr>
        <w:t>2,</w:t>
      </w:r>
      <w:r>
        <w:rPr>
          <w:color w:val="231F20"/>
          <w:spacing w:val="-8"/>
        </w:rPr>
        <w:t> </w:t>
      </w:r>
      <w:r>
        <w:rPr>
          <w:color w:val="231F20"/>
        </w:rPr>
        <w:t>contribuent</w:t>
      </w:r>
      <w:r>
        <w:rPr>
          <w:color w:val="231F20"/>
          <w:spacing w:val="-8"/>
        </w:rPr>
        <w:t> </w:t>
      </w:r>
      <w:r>
        <w:rPr>
          <w:color w:val="231F20"/>
        </w:rPr>
        <w:t>aux</w:t>
      </w:r>
      <w:r>
        <w:rPr>
          <w:color w:val="231F20"/>
          <w:spacing w:val="-7"/>
        </w:rPr>
        <w:t> </w:t>
      </w:r>
      <w:r>
        <w:rPr>
          <w:color w:val="231F20"/>
        </w:rPr>
        <w:t>frais</w:t>
      </w:r>
      <w:r>
        <w:rPr>
          <w:color w:val="231F20"/>
          <w:spacing w:val="-8"/>
        </w:rPr>
        <w:t> </w:t>
      </w:r>
      <w:r>
        <w:rPr>
          <w:color w:val="231F20"/>
        </w:rPr>
        <w:t>exposés</w:t>
      </w:r>
      <w:r>
        <w:rPr>
          <w:color w:val="231F20"/>
          <w:spacing w:val="-8"/>
        </w:rPr>
        <w:t> </w:t>
      </w:r>
      <w:r>
        <w:rPr>
          <w:color w:val="231F20"/>
        </w:rPr>
        <w:t>par</w:t>
      </w:r>
      <w:r>
        <w:rPr>
          <w:color w:val="231F20"/>
          <w:spacing w:val="-8"/>
        </w:rPr>
        <w:t> </w:t>
      </w:r>
      <w:r>
        <w:rPr>
          <w:color w:val="231F20"/>
        </w:rPr>
        <w:t>les autorités fédérales de surveillance en vue de dépister et de contrôler les entreprises en</w:t>
      </w:r>
      <w:r>
        <w:rPr>
          <w:color w:val="231F20"/>
          <w:spacing w:val="-11"/>
        </w:rPr>
        <w:t> </w:t>
      </w:r>
      <w:r>
        <w:rPr>
          <w:color w:val="231F20"/>
          <w:spacing w:val="-3"/>
        </w:rPr>
        <w:t>difficultés.</w:t>
      </w:r>
    </w:p>
    <w:p>
      <w:pPr>
        <w:pStyle w:val="BodyText"/>
        <w:spacing w:before="5"/>
        <w:ind w:left="0" w:right="0" w:firstLine="0"/>
        <w:jc w:val="left"/>
        <w:rPr>
          <w:sz w:val="25"/>
        </w:rPr>
      </w:pPr>
    </w:p>
    <w:p>
      <w:pPr>
        <w:pStyle w:val="BodyText"/>
        <w:ind w:left="283" w:right="0" w:firstLine="0"/>
        <w:jc w:val="left"/>
      </w:pPr>
      <w:r>
        <w:rPr>
          <w:color w:val="231F20"/>
        </w:rPr>
        <w:t>Cette contribution s’élève à:</w:t>
      </w:r>
    </w:p>
    <w:p>
      <w:pPr>
        <w:pStyle w:val="ListParagraph"/>
        <w:numPr>
          <w:ilvl w:val="0"/>
          <w:numId w:val="48"/>
        </w:numPr>
        <w:tabs>
          <w:tab w:pos="565" w:val="left" w:leader="none"/>
        </w:tabs>
        <w:spacing w:line="218" w:lineRule="auto" w:before="125" w:after="0"/>
        <w:ind w:left="113" w:right="89" w:firstLine="170"/>
        <w:jc w:val="both"/>
        <w:rPr>
          <w:sz w:val="17"/>
        </w:rPr>
      </w:pPr>
      <w:r>
        <w:rPr>
          <w:color w:val="231F20"/>
          <w:sz w:val="17"/>
        </w:rPr>
        <w:t>400 euros, lorsque les comptes annuels ou, le cas échéant, consolidés sont déposés durant le neuvième mois suivant la clôture de l’exercice</w:t>
      </w:r>
      <w:r>
        <w:rPr>
          <w:color w:val="231F20"/>
          <w:spacing w:val="14"/>
          <w:sz w:val="17"/>
        </w:rPr>
        <w:t> </w:t>
      </w:r>
      <w:r>
        <w:rPr>
          <w:color w:val="231F20"/>
          <w:sz w:val="17"/>
        </w:rPr>
        <w:t>social;</w:t>
      </w:r>
    </w:p>
    <w:p>
      <w:pPr>
        <w:pStyle w:val="ListParagraph"/>
        <w:numPr>
          <w:ilvl w:val="0"/>
          <w:numId w:val="48"/>
        </w:numPr>
        <w:tabs>
          <w:tab w:pos="521" w:val="left" w:leader="none"/>
        </w:tabs>
        <w:spacing w:line="218" w:lineRule="auto" w:before="128" w:after="0"/>
        <w:ind w:left="113" w:right="89" w:firstLine="170"/>
        <w:jc w:val="both"/>
        <w:rPr>
          <w:sz w:val="17"/>
        </w:rPr>
      </w:pPr>
      <w:r>
        <w:rPr>
          <w:color w:val="231F20"/>
          <w:sz w:val="17"/>
        </w:rPr>
        <w:t>600 euros, lorsque ces pièces sont déposées à partir du dixième mois</w:t>
      </w:r>
      <w:r>
        <w:rPr>
          <w:color w:val="231F20"/>
          <w:spacing w:val="15"/>
          <w:sz w:val="17"/>
        </w:rPr>
        <w:t> </w:t>
      </w:r>
      <w:r>
        <w:rPr>
          <w:color w:val="231F20"/>
          <w:sz w:val="17"/>
        </w:rPr>
        <w:t>et</w:t>
      </w:r>
      <w:r>
        <w:rPr>
          <w:color w:val="231F20"/>
          <w:spacing w:val="15"/>
          <w:sz w:val="17"/>
        </w:rPr>
        <w:t> </w:t>
      </w:r>
      <w:r>
        <w:rPr>
          <w:color w:val="231F20"/>
          <w:sz w:val="17"/>
        </w:rPr>
        <w:t>jusqu’au</w:t>
      </w:r>
      <w:r>
        <w:rPr>
          <w:color w:val="231F20"/>
          <w:spacing w:val="15"/>
          <w:sz w:val="17"/>
        </w:rPr>
        <w:t> </w:t>
      </w:r>
      <w:r>
        <w:rPr>
          <w:color w:val="231F20"/>
          <w:sz w:val="17"/>
        </w:rPr>
        <w:t>douzième</w:t>
      </w:r>
      <w:r>
        <w:rPr>
          <w:color w:val="231F20"/>
          <w:spacing w:val="16"/>
          <w:sz w:val="17"/>
        </w:rPr>
        <w:t> </w:t>
      </w:r>
      <w:r>
        <w:rPr>
          <w:color w:val="231F20"/>
          <w:sz w:val="17"/>
        </w:rPr>
        <w:t>mois</w:t>
      </w:r>
      <w:r>
        <w:rPr>
          <w:color w:val="231F20"/>
          <w:spacing w:val="15"/>
          <w:sz w:val="17"/>
        </w:rPr>
        <w:t> </w:t>
      </w:r>
      <w:r>
        <w:rPr>
          <w:color w:val="231F20"/>
          <w:sz w:val="17"/>
        </w:rPr>
        <w:t>suivant</w:t>
      </w:r>
      <w:r>
        <w:rPr>
          <w:color w:val="231F20"/>
          <w:spacing w:val="15"/>
          <w:sz w:val="17"/>
        </w:rPr>
        <w:t> </w:t>
      </w:r>
      <w:r>
        <w:rPr>
          <w:color w:val="231F20"/>
          <w:sz w:val="17"/>
        </w:rPr>
        <w:t>la</w:t>
      </w:r>
      <w:r>
        <w:rPr>
          <w:color w:val="231F20"/>
          <w:spacing w:val="15"/>
          <w:sz w:val="17"/>
        </w:rPr>
        <w:t> </w:t>
      </w:r>
      <w:r>
        <w:rPr>
          <w:color w:val="231F20"/>
          <w:sz w:val="17"/>
        </w:rPr>
        <w:t>clôture</w:t>
      </w:r>
      <w:r>
        <w:rPr>
          <w:color w:val="231F20"/>
          <w:spacing w:val="16"/>
          <w:sz w:val="17"/>
        </w:rPr>
        <w:t> </w:t>
      </w:r>
      <w:r>
        <w:rPr>
          <w:color w:val="231F20"/>
          <w:sz w:val="17"/>
        </w:rPr>
        <w:t>de</w:t>
      </w:r>
      <w:r>
        <w:rPr>
          <w:color w:val="231F20"/>
          <w:spacing w:val="15"/>
          <w:sz w:val="17"/>
        </w:rPr>
        <w:t> </w:t>
      </w:r>
      <w:r>
        <w:rPr>
          <w:color w:val="231F20"/>
          <w:sz w:val="17"/>
        </w:rPr>
        <w:t>l’exercice</w:t>
      </w:r>
      <w:r>
        <w:rPr>
          <w:color w:val="231F20"/>
          <w:spacing w:val="15"/>
          <w:sz w:val="17"/>
        </w:rPr>
        <w:t> </w:t>
      </w:r>
      <w:r>
        <w:rPr>
          <w:color w:val="231F20"/>
          <w:sz w:val="17"/>
        </w:rPr>
        <w:t>social;</w:t>
      </w:r>
    </w:p>
    <w:p>
      <w:pPr>
        <w:pStyle w:val="BodyText"/>
        <w:spacing w:before="8"/>
        <w:ind w:left="0" w:right="0" w:firstLine="0"/>
        <w:jc w:val="left"/>
        <w:rPr>
          <w:sz w:val="26"/>
        </w:rPr>
      </w:pPr>
    </w:p>
    <w:p>
      <w:pPr>
        <w:pStyle w:val="ListParagraph"/>
        <w:numPr>
          <w:ilvl w:val="0"/>
          <w:numId w:val="48"/>
        </w:numPr>
        <w:tabs>
          <w:tab w:pos="501" w:val="left" w:leader="none"/>
        </w:tabs>
        <w:spacing w:line="218" w:lineRule="auto" w:before="0" w:after="0"/>
        <w:ind w:left="113" w:right="89" w:firstLine="170"/>
        <w:jc w:val="both"/>
        <w:rPr>
          <w:sz w:val="17"/>
        </w:rPr>
      </w:pPr>
      <w:r>
        <w:rPr>
          <w:color w:val="231F20"/>
          <w:sz w:val="17"/>
        </w:rPr>
        <w:t>1 200 euros, lorsque ces pièces sont déposées à partir du treizième mois</w:t>
      </w:r>
      <w:r>
        <w:rPr>
          <w:color w:val="231F20"/>
          <w:spacing w:val="15"/>
          <w:sz w:val="17"/>
        </w:rPr>
        <w:t> </w:t>
      </w:r>
      <w:r>
        <w:rPr>
          <w:color w:val="231F20"/>
          <w:sz w:val="17"/>
        </w:rPr>
        <w:t>suivant</w:t>
      </w:r>
      <w:r>
        <w:rPr>
          <w:color w:val="231F20"/>
          <w:spacing w:val="15"/>
          <w:sz w:val="17"/>
        </w:rPr>
        <w:t> </w:t>
      </w:r>
      <w:r>
        <w:rPr>
          <w:color w:val="231F20"/>
          <w:sz w:val="17"/>
        </w:rPr>
        <w:t>la</w:t>
      </w:r>
      <w:r>
        <w:rPr>
          <w:color w:val="231F20"/>
          <w:spacing w:val="15"/>
          <w:sz w:val="17"/>
        </w:rPr>
        <w:t> </w:t>
      </w:r>
      <w:r>
        <w:rPr>
          <w:color w:val="231F20"/>
          <w:sz w:val="17"/>
        </w:rPr>
        <w:t>clôture</w:t>
      </w:r>
      <w:r>
        <w:rPr>
          <w:color w:val="231F20"/>
          <w:spacing w:val="15"/>
          <w:sz w:val="17"/>
        </w:rPr>
        <w:t> </w:t>
      </w:r>
      <w:r>
        <w:rPr>
          <w:color w:val="231F20"/>
          <w:sz w:val="17"/>
        </w:rPr>
        <w:t>de</w:t>
      </w:r>
      <w:r>
        <w:rPr>
          <w:color w:val="231F20"/>
          <w:spacing w:val="16"/>
          <w:sz w:val="17"/>
        </w:rPr>
        <w:t> </w:t>
      </w:r>
      <w:r>
        <w:rPr>
          <w:color w:val="231F20"/>
          <w:sz w:val="17"/>
        </w:rPr>
        <w:t>l’exercice</w:t>
      </w:r>
      <w:r>
        <w:rPr>
          <w:color w:val="231F20"/>
          <w:spacing w:val="15"/>
          <w:sz w:val="17"/>
        </w:rPr>
        <w:t> </w:t>
      </w:r>
      <w:r>
        <w:rPr>
          <w:color w:val="231F20"/>
          <w:sz w:val="17"/>
        </w:rPr>
        <w:t>social.</w:t>
      </w:r>
    </w:p>
    <w:p>
      <w:pPr>
        <w:pStyle w:val="BodyText"/>
        <w:spacing w:line="218" w:lineRule="auto" w:before="128"/>
        <w:ind w:right="89"/>
      </w:pPr>
      <w:r>
        <w:rPr>
          <w:color w:val="231F20"/>
        </w:rPr>
        <w:t>Les montants visés à l’alinéa précédent sont ramenés à respective- ment</w:t>
      </w:r>
      <w:r>
        <w:rPr>
          <w:color w:val="231F20"/>
          <w:spacing w:val="-4"/>
        </w:rPr>
        <w:t> </w:t>
      </w:r>
      <w:r>
        <w:rPr>
          <w:color w:val="231F20"/>
        </w:rPr>
        <w:t>120,</w:t>
      </w:r>
      <w:r>
        <w:rPr>
          <w:color w:val="231F20"/>
          <w:spacing w:val="-3"/>
        </w:rPr>
        <w:t> </w:t>
      </w:r>
      <w:r>
        <w:rPr>
          <w:color w:val="231F20"/>
        </w:rPr>
        <w:t>180</w:t>
      </w:r>
      <w:r>
        <w:rPr>
          <w:color w:val="231F20"/>
          <w:spacing w:val="-3"/>
        </w:rPr>
        <w:t> </w:t>
      </w:r>
      <w:r>
        <w:rPr>
          <w:color w:val="231F20"/>
        </w:rPr>
        <w:t>et</w:t>
      </w:r>
      <w:r>
        <w:rPr>
          <w:color w:val="231F20"/>
          <w:spacing w:val="-3"/>
        </w:rPr>
        <w:t> </w:t>
      </w:r>
      <w:r>
        <w:rPr>
          <w:color w:val="231F20"/>
        </w:rPr>
        <w:t>360</w:t>
      </w:r>
      <w:r>
        <w:rPr>
          <w:color w:val="231F20"/>
          <w:spacing w:val="-3"/>
        </w:rPr>
        <w:t> </w:t>
      </w:r>
      <w:r>
        <w:rPr>
          <w:color w:val="231F20"/>
        </w:rPr>
        <w:t>euros</w:t>
      </w:r>
      <w:r>
        <w:rPr>
          <w:color w:val="231F20"/>
          <w:spacing w:val="-3"/>
        </w:rPr>
        <w:t> </w:t>
      </w:r>
      <w:r>
        <w:rPr>
          <w:color w:val="231F20"/>
        </w:rPr>
        <w:t>pour</w:t>
      </w:r>
      <w:r>
        <w:rPr>
          <w:color w:val="231F20"/>
          <w:spacing w:val="-3"/>
        </w:rPr>
        <w:t> </w:t>
      </w:r>
      <w:r>
        <w:rPr>
          <w:color w:val="231F20"/>
        </w:rPr>
        <w:t>les</w:t>
      </w:r>
      <w:r>
        <w:rPr>
          <w:color w:val="231F20"/>
          <w:spacing w:val="-3"/>
        </w:rPr>
        <w:t> </w:t>
      </w:r>
      <w:r>
        <w:rPr>
          <w:color w:val="231F20"/>
        </w:rPr>
        <w:t>petites</w:t>
      </w:r>
      <w:r>
        <w:rPr>
          <w:color w:val="231F20"/>
          <w:spacing w:val="-3"/>
        </w:rPr>
        <w:t> </w:t>
      </w:r>
      <w:r>
        <w:rPr>
          <w:color w:val="231F20"/>
        </w:rPr>
        <w:t>sociétés</w:t>
      </w:r>
      <w:r>
        <w:rPr>
          <w:color w:val="231F20"/>
          <w:spacing w:val="-3"/>
        </w:rPr>
        <w:t> </w:t>
      </w:r>
      <w:r>
        <w:rPr>
          <w:color w:val="231F20"/>
        </w:rPr>
        <w:t>ou</w:t>
      </w:r>
      <w:r>
        <w:rPr>
          <w:color w:val="231F20"/>
          <w:spacing w:val="-3"/>
        </w:rPr>
        <w:t> </w:t>
      </w:r>
      <w:r>
        <w:rPr>
          <w:color w:val="231F20"/>
        </w:rPr>
        <w:t>les</w:t>
      </w:r>
      <w:r>
        <w:rPr>
          <w:color w:val="231F20"/>
          <w:spacing w:val="-3"/>
        </w:rPr>
        <w:t> </w:t>
      </w:r>
      <w:r>
        <w:rPr>
          <w:color w:val="231F20"/>
        </w:rPr>
        <w:t>microsociétés qui font usage de la faculté visée à l’article </w:t>
      </w:r>
      <w:r>
        <w:rPr>
          <w:color w:val="231F20"/>
          <w:spacing w:val="-3"/>
        </w:rPr>
        <w:t>3:11 </w:t>
      </w:r>
      <w:r>
        <w:rPr>
          <w:color w:val="231F20"/>
        </w:rPr>
        <w:t>de publier leurs comptes annuels</w:t>
      </w:r>
      <w:r>
        <w:rPr>
          <w:color w:val="231F20"/>
          <w:spacing w:val="15"/>
        </w:rPr>
        <w:t> </w:t>
      </w:r>
      <w:r>
        <w:rPr>
          <w:color w:val="231F20"/>
        </w:rPr>
        <w:t>selon</w:t>
      </w:r>
      <w:r>
        <w:rPr>
          <w:color w:val="231F20"/>
          <w:spacing w:val="15"/>
        </w:rPr>
        <w:t> </w:t>
      </w:r>
      <w:r>
        <w:rPr>
          <w:color w:val="231F20"/>
        </w:rPr>
        <w:t>un</w:t>
      </w:r>
      <w:r>
        <w:rPr>
          <w:color w:val="231F20"/>
          <w:spacing w:val="15"/>
        </w:rPr>
        <w:t> </w:t>
      </w:r>
      <w:r>
        <w:rPr>
          <w:color w:val="231F20"/>
        </w:rPr>
        <w:t>schéma</w:t>
      </w:r>
      <w:r>
        <w:rPr>
          <w:color w:val="231F20"/>
          <w:spacing w:val="15"/>
        </w:rPr>
        <w:t> </w:t>
      </w:r>
      <w:r>
        <w:rPr>
          <w:color w:val="231F20"/>
        </w:rPr>
        <w:t>abrégé</w:t>
      </w:r>
      <w:r>
        <w:rPr>
          <w:color w:val="231F20"/>
          <w:spacing w:val="15"/>
        </w:rPr>
        <w:t> </w:t>
      </w:r>
      <w:r>
        <w:rPr>
          <w:color w:val="231F20"/>
        </w:rPr>
        <w:t>ou</w:t>
      </w:r>
      <w:r>
        <w:rPr>
          <w:color w:val="231F20"/>
          <w:spacing w:val="15"/>
        </w:rPr>
        <w:t> </w:t>
      </w:r>
      <w:r>
        <w:rPr>
          <w:color w:val="231F20"/>
        </w:rPr>
        <w:t>un</w:t>
      </w:r>
      <w:r>
        <w:rPr>
          <w:color w:val="231F20"/>
          <w:spacing w:val="15"/>
        </w:rPr>
        <w:t> </w:t>
      </w:r>
      <w:r>
        <w:rPr>
          <w:color w:val="231F20"/>
        </w:rPr>
        <w:t>microschéma.</w:t>
      </w:r>
    </w:p>
    <w:p>
      <w:pPr>
        <w:pStyle w:val="BodyText"/>
        <w:spacing w:before="9"/>
        <w:ind w:left="0" w:right="0" w:firstLine="0"/>
        <w:jc w:val="left"/>
        <w:rPr>
          <w:sz w:val="26"/>
        </w:rPr>
      </w:pPr>
    </w:p>
    <w:p>
      <w:pPr>
        <w:pStyle w:val="BodyText"/>
        <w:spacing w:line="218" w:lineRule="auto"/>
        <w:ind w:right="89"/>
      </w:pPr>
      <w:r>
        <w:rPr>
          <w:color w:val="231F20"/>
        </w:rPr>
        <w:t>Cette contribution est prélevée par la Banque nationale de Belgique en même temps que les frais de publicité des comptes annuels ou consolidés concernés, pour le compte de l’autorité fédérale, suivant des modalités à déterminer par le Roi.</w:t>
      </w:r>
    </w:p>
    <w:p>
      <w:pPr>
        <w:pStyle w:val="BodyText"/>
        <w:spacing w:line="218" w:lineRule="auto" w:before="128"/>
        <w:ind w:right="111"/>
        <w:jc w:val="left"/>
      </w:pPr>
      <w:r>
        <w:rPr>
          <w:color w:val="231F20"/>
        </w:rPr>
        <w:t>Art. 3:14. Le dépôt n’est accepté que si les dispositions arrêtées en exécution de l’article 3:13 sont respectées. Sauf avis contraire adressé à la société par la Banque nationale de Belgique dans les huit jours ouvrables qui suivent la date de réception des documents, le dépôt est considéré comme accepté à la date du dépôt.</w:t>
      </w:r>
    </w:p>
    <w:p>
      <w:pPr>
        <w:pStyle w:val="BodyText"/>
        <w:spacing w:before="9"/>
        <w:ind w:left="0" w:right="0" w:firstLine="0"/>
        <w:jc w:val="left"/>
        <w:rPr>
          <w:sz w:val="26"/>
        </w:rPr>
      </w:pPr>
    </w:p>
    <w:p>
      <w:pPr>
        <w:pStyle w:val="BodyText"/>
        <w:spacing w:line="218" w:lineRule="auto"/>
        <w:ind w:right="88"/>
      </w:pPr>
      <w:r>
        <w:rPr>
          <w:color w:val="231F20"/>
        </w:rPr>
        <w:t>Si les contrôles arithmétiques et logiques effectués par la Banque nationale de Belgique révèlent des erreurs dans les comptes annuels déposés, elle en informe la société et, le cas échéant, son commissaire.</w:t>
      </w:r>
    </w:p>
    <w:p>
      <w:pPr>
        <w:pStyle w:val="BodyText"/>
        <w:spacing w:line="218" w:lineRule="auto" w:before="119"/>
      </w:pPr>
      <w:r>
        <w:rPr/>
        <w:br w:type="column"/>
      </w:r>
      <w:r>
        <w:rPr>
          <w:color w:val="231F20"/>
        </w:rPr>
        <w:t>De jaarrekening van elk van de ondernemingen waarvoor de vennootschap onbeperkt aansprakelijk is wordt bij dit overzicht gevoegd en samen hiermee openbaar gemaakt. Op voorwaarde dat dit in het overzicht wordt vermeld, is dit voorschrift echter niet van toepassing wanneer de jaarrekening van deze onderneming zelf wordt openbaar gemaakt op een wijze die strookt met artikel 3:10 of daadwerkelijk wordt openbaar gemaakt in een andere lidstaat van de Europese Economische Ruimte, overeenkomstig artikel 16 van richtlijn 2017/1132/EU</w:t>
      </w:r>
      <w:r>
        <w:rPr>
          <w:color w:val="231F20"/>
          <w:spacing w:val="-8"/>
        </w:rPr>
        <w:t> </w:t>
      </w:r>
      <w:r>
        <w:rPr>
          <w:color w:val="231F20"/>
        </w:rPr>
        <w:t>van</w:t>
      </w:r>
      <w:r>
        <w:rPr>
          <w:color w:val="231F20"/>
          <w:spacing w:val="-8"/>
        </w:rPr>
        <w:t> </w:t>
      </w:r>
      <w:r>
        <w:rPr>
          <w:color w:val="231F20"/>
        </w:rPr>
        <w:t>het</w:t>
      </w:r>
      <w:r>
        <w:rPr>
          <w:color w:val="231F20"/>
          <w:spacing w:val="-8"/>
        </w:rPr>
        <w:t> </w:t>
      </w:r>
      <w:r>
        <w:rPr>
          <w:color w:val="231F20"/>
        </w:rPr>
        <w:t>Europees</w:t>
      </w:r>
      <w:r>
        <w:rPr>
          <w:color w:val="231F20"/>
          <w:spacing w:val="-7"/>
        </w:rPr>
        <w:t> </w:t>
      </w:r>
      <w:r>
        <w:rPr>
          <w:color w:val="231F20"/>
        </w:rPr>
        <w:t>Parlement</w:t>
      </w:r>
      <w:r>
        <w:rPr>
          <w:color w:val="231F20"/>
          <w:spacing w:val="-8"/>
        </w:rPr>
        <w:t> </w:t>
      </w:r>
      <w:r>
        <w:rPr>
          <w:color w:val="231F20"/>
        </w:rPr>
        <w:t>en</w:t>
      </w:r>
      <w:r>
        <w:rPr>
          <w:color w:val="231F20"/>
          <w:spacing w:val="-8"/>
        </w:rPr>
        <w:t> </w:t>
      </w:r>
      <w:r>
        <w:rPr>
          <w:color w:val="231F20"/>
        </w:rPr>
        <w:t>de</w:t>
      </w:r>
      <w:r>
        <w:rPr>
          <w:color w:val="231F20"/>
          <w:spacing w:val="-8"/>
        </w:rPr>
        <w:t> </w:t>
      </w:r>
      <w:r>
        <w:rPr>
          <w:color w:val="231F20"/>
        </w:rPr>
        <w:t>Raad</w:t>
      </w:r>
      <w:r>
        <w:rPr>
          <w:color w:val="231F20"/>
          <w:spacing w:val="-7"/>
        </w:rPr>
        <w:t> </w:t>
      </w:r>
      <w:r>
        <w:rPr>
          <w:color w:val="231F20"/>
        </w:rPr>
        <w:t>van</w:t>
      </w:r>
      <w:r>
        <w:rPr>
          <w:color w:val="231F20"/>
          <w:spacing w:val="-8"/>
        </w:rPr>
        <w:t> </w:t>
      </w:r>
      <w:r>
        <w:rPr>
          <w:color w:val="231F20"/>
        </w:rPr>
        <w:t>14</w:t>
      </w:r>
      <w:r>
        <w:rPr>
          <w:color w:val="231F20"/>
          <w:spacing w:val="-8"/>
        </w:rPr>
        <w:t> </w:t>
      </w:r>
      <w:r>
        <w:rPr>
          <w:color w:val="231F20"/>
        </w:rPr>
        <w:t>juni</w:t>
      </w:r>
      <w:r>
        <w:rPr>
          <w:color w:val="231F20"/>
          <w:spacing w:val="-8"/>
        </w:rPr>
        <w:t> </w:t>
      </w:r>
      <w:r>
        <w:rPr>
          <w:color w:val="231F20"/>
        </w:rPr>
        <w:t>2017. Dit</w:t>
      </w:r>
      <w:r>
        <w:rPr>
          <w:color w:val="231F20"/>
          <w:spacing w:val="16"/>
        </w:rPr>
        <w:t> </w:t>
      </w:r>
      <w:r>
        <w:rPr>
          <w:color w:val="231F20"/>
        </w:rPr>
        <w:t>voorschrift</w:t>
      </w:r>
      <w:r>
        <w:rPr>
          <w:color w:val="231F20"/>
          <w:spacing w:val="16"/>
        </w:rPr>
        <w:t> </w:t>
      </w:r>
      <w:r>
        <w:rPr>
          <w:color w:val="231F20"/>
        </w:rPr>
        <w:t>is</w:t>
      </w:r>
      <w:r>
        <w:rPr>
          <w:color w:val="231F20"/>
          <w:spacing w:val="17"/>
        </w:rPr>
        <w:t> </w:t>
      </w:r>
      <w:r>
        <w:rPr>
          <w:color w:val="231F20"/>
        </w:rPr>
        <w:t>evenmin</w:t>
      </w:r>
      <w:r>
        <w:rPr>
          <w:color w:val="231F20"/>
          <w:spacing w:val="16"/>
        </w:rPr>
        <w:t> </w:t>
      </w:r>
      <w:r>
        <w:rPr>
          <w:color w:val="231F20"/>
        </w:rPr>
        <w:t>van</w:t>
      </w:r>
      <w:r>
        <w:rPr>
          <w:color w:val="231F20"/>
          <w:spacing w:val="16"/>
        </w:rPr>
        <w:t> </w:t>
      </w:r>
      <w:r>
        <w:rPr>
          <w:color w:val="231F20"/>
        </w:rPr>
        <w:t>toepassing</w:t>
      </w:r>
      <w:r>
        <w:rPr>
          <w:color w:val="231F20"/>
          <w:spacing w:val="17"/>
        </w:rPr>
        <w:t> </w:t>
      </w:r>
      <w:r>
        <w:rPr>
          <w:color w:val="231F20"/>
        </w:rPr>
        <w:t>op</w:t>
      </w:r>
      <w:r>
        <w:rPr>
          <w:color w:val="231F20"/>
          <w:spacing w:val="16"/>
        </w:rPr>
        <w:t> </w:t>
      </w:r>
      <w:r>
        <w:rPr>
          <w:color w:val="231F20"/>
        </w:rPr>
        <w:t>een</w:t>
      </w:r>
      <w:r>
        <w:rPr>
          <w:color w:val="231F20"/>
          <w:spacing w:val="16"/>
        </w:rPr>
        <w:t> </w:t>
      </w:r>
      <w:r>
        <w:rPr>
          <w:color w:val="231F20"/>
        </w:rPr>
        <w:t>maatschap;</w:t>
      </w:r>
    </w:p>
    <w:p>
      <w:pPr>
        <w:pStyle w:val="BodyText"/>
        <w:spacing w:line="218" w:lineRule="auto" w:before="119"/>
      </w:pPr>
      <w:r>
        <w:rPr>
          <w:color w:val="231F20"/>
        </w:rPr>
        <w:t>8° de sociale balans voorgeschreven door de  wet  van  22  decem-  ber 1995 houdende maatregelen tot uitvoering van het meerjarenplan voor</w:t>
      </w:r>
      <w:r>
        <w:rPr>
          <w:color w:val="231F20"/>
          <w:spacing w:val="15"/>
        </w:rPr>
        <w:t> </w:t>
      </w:r>
      <w:r>
        <w:rPr>
          <w:color w:val="231F20"/>
        </w:rPr>
        <w:t>werkgelegenheid;</w:t>
      </w:r>
    </w:p>
    <w:p>
      <w:pPr>
        <w:pStyle w:val="BodyText"/>
        <w:spacing w:line="218" w:lineRule="auto" w:before="117"/>
      </w:pPr>
      <w:r>
        <w:rPr>
          <w:color w:val="231F20"/>
        </w:rPr>
        <w:t>9° voor de vennootschappen waarin de overheid of één of meer publiekrechtelijke rechtspersonen een controle uitoefent zoals gedefi- nieerd in artikel 1:14: een remuneratieverslag met een overzicht, op individuele basis, van het bedrag van de remuneratie en andere betaalde voordelen, zowel in geld als in natura, die, rechtstreeks</w:t>
      </w:r>
      <w:r>
        <w:rPr>
          <w:color w:val="231F20"/>
          <w:spacing w:val="23"/>
        </w:rPr>
        <w:t> </w:t>
      </w:r>
      <w:r>
        <w:rPr>
          <w:color w:val="231F20"/>
        </w:rPr>
        <w:t>of onrechtstreeks, door de vennootschap of een vennootschap die tot de consolidatiekring van de vennootschap behoort, aan niet-uitvoerende bestuurders en de uitvoerende bestuurders wat betreft hun mandaat als lid van het bestuursorgaan tijdens het door het jaarverslag behandelde boekjaar werden</w:t>
      </w:r>
      <w:r>
        <w:rPr>
          <w:color w:val="231F20"/>
          <w:spacing w:val="-11"/>
        </w:rPr>
        <w:t> </w:t>
      </w:r>
      <w:r>
        <w:rPr>
          <w:color w:val="231F20"/>
        </w:rPr>
        <w:t>toegekend;</w:t>
      </w:r>
    </w:p>
    <w:p>
      <w:pPr>
        <w:pStyle w:val="BodyText"/>
        <w:spacing w:line="218" w:lineRule="auto" w:before="118"/>
      </w:pPr>
      <w:r>
        <w:rPr>
          <w:color w:val="231F20"/>
        </w:rPr>
        <w:t>10° alle andere documenten die tegelijk met de jaarrekening moeten worden neergelegd krachtens dit wetboek.</w:t>
      </w:r>
    </w:p>
    <w:p>
      <w:pPr>
        <w:pStyle w:val="BodyText"/>
        <w:spacing w:line="218" w:lineRule="auto" w:before="118"/>
      </w:pPr>
      <w:r>
        <w:rPr>
          <w:color w:val="231F20"/>
        </w:rPr>
        <w:t>§ 2. Informatie die reeds afzonderlijk in de jaarrekening wordt vermeld hoeft niet te worden herhaald in een document dat overeen- komstig dit artikel moet worden neergelegd.</w:t>
      </w:r>
    </w:p>
    <w:p>
      <w:pPr>
        <w:pStyle w:val="BodyText"/>
        <w:spacing w:line="218" w:lineRule="auto" w:before="117"/>
      </w:pPr>
      <w:r>
        <w:rPr>
          <w:color w:val="231F20"/>
        </w:rPr>
        <w:t>§ 3. Indien de stukken bedoeld in dit artikel niet werden neergelegd overeenkomstig paragraaf 1, wordt de door derden geleden schade, behoudens tegenbewijs, geacht voort te vloeien uit dit verzuim.</w:t>
      </w:r>
    </w:p>
    <w:p>
      <w:pPr>
        <w:pStyle w:val="BodyText"/>
        <w:spacing w:line="218" w:lineRule="auto" w:before="128"/>
      </w:pPr>
      <w:r>
        <w:rPr>
          <w:color w:val="231F20"/>
        </w:rPr>
        <w:t>Art. 3:13. De Koning bepaalt onder welke voorwaarden en op welke wijze de stukken bedoeld in de artikelen 3:10 en 3:12 worden neergelegd en stelt het bedrag vast van de</w:t>
      </w:r>
      <w:r>
        <w:rPr>
          <w:color w:val="231F20"/>
          <w:spacing w:val="37"/>
        </w:rPr>
        <w:t> </w:t>
      </w:r>
      <w:r>
        <w:rPr>
          <w:color w:val="231F20"/>
        </w:rPr>
        <w:t>openbaarmakingskosten, alsook de wijze van</w:t>
      </w:r>
      <w:r>
        <w:rPr>
          <w:color w:val="231F20"/>
          <w:spacing w:val="21"/>
        </w:rPr>
        <w:t> </w:t>
      </w:r>
      <w:r>
        <w:rPr>
          <w:color w:val="231F20"/>
        </w:rPr>
        <w:t>betaling.</w:t>
      </w:r>
    </w:p>
    <w:p>
      <w:pPr>
        <w:pStyle w:val="BodyText"/>
        <w:spacing w:line="218" w:lineRule="auto" w:before="129"/>
      </w:pPr>
      <w:r>
        <w:rPr>
          <w:color w:val="231F20"/>
        </w:rPr>
        <w:t>Hij bepaalt welke categorieën van vennootschappen die neerlegging anders mogen uitvoeren dan langs elektronische weg.</w:t>
      </w:r>
    </w:p>
    <w:p>
      <w:pPr>
        <w:pStyle w:val="BodyText"/>
        <w:spacing w:line="218" w:lineRule="auto" w:before="128"/>
      </w:pPr>
      <w:r>
        <w:rPr>
          <w:color w:val="231F20"/>
        </w:rPr>
        <w:t>Behoudens overmacht dragen de rechtspersonen die hun jaarreke- ning, en in voorkomend geval hun geconsolideerde jaarrekening, openbaar maken door neerlegging bij de Nationale Bank van België meer dan één maand na het verstrijken van de in artikel 3:10, tweede lid, in artikel 3:20, § 1, tweede lid, in artikel 3:35, tweede lid, of in artikel 2:99, tweede lid, bedoelde termijn van zeven maanden na afsluiting van het boekjaar, bij in de door de federale toezichthoudende overheden gemaakte kosten voor de opsporing en controle van ondernemingen in moeilijkheden.</w:t>
      </w:r>
    </w:p>
    <w:p>
      <w:pPr>
        <w:pStyle w:val="BodyText"/>
        <w:spacing w:before="114"/>
        <w:ind w:left="283" w:right="0" w:firstLine="0"/>
        <w:jc w:val="left"/>
      </w:pPr>
      <w:r>
        <w:rPr>
          <w:color w:val="231F20"/>
        </w:rPr>
        <w:t>Deze bijdrage bedraagt:</w:t>
      </w:r>
    </w:p>
    <w:p>
      <w:pPr>
        <w:pStyle w:val="ListParagraph"/>
        <w:numPr>
          <w:ilvl w:val="0"/>
          <w:numId w:val="48"/>
        </w:numPr>
        <w:tabs>
          <w:tab w:pos="520" w:val="left" w:leader="none"/>
        </w:tabs>
        <w:spacing w:line="218" w:lineRule="auto" w:before="125" w:after="0"/>
        <w:ind w:left="113" w:right="124" w:firstLine="170"/>
        <w:jc w:val="both"/>
        <w:rPr>
          <w:sz w:val="17"/>
        </w:rPr>
      </w:pPr>
      <w:r>
        <w:rPr>
          <w:color w:val="231F20"/>
          <w:sz w:val="17"/>
        </w:rPr>
        <w:t>400 euro, wanneer de jaarrekening of, in voorkomend geval, de geconsolideerde jaarrekening neergelegd wordt tijdens de negende maand</w:t>
      </w:r>
      <w:r>
        <w:rPr>
          <w:color w:val="231F20"/>
          <w:spacing w:val="15"/>
          <w:sz w:val="17"/>
        </w:rPr>
        <w:t> </w:t>
      </w:r>
      <w:r>
        <w:rPr>
          <w:color w:val="231F20"/>
          <w:sz w:val="17"/>
        </w:rPr>
        <w:t>na</w:t>
      </w:r>
      <w:r>
        <w:rPr>
          <w:color w:val="231F20"/>
          <w:spacing w:val="15"/>
          <w:sz w:val="17"/>
        </w:rPr>
        <w:t> </w:t>
      </w:r>
      <w:r>
        <w:rPr>
          <w:color w:val="231F20"/>
          <w:sz w:val="17"/>
        </w:rPr>
        <w:t>de</w:t>
      </w:r>
      <w:r>
        <w:rPr>
          <w:color w:val="231F20"/>
          <w:spacing w:val="15"/>
          <w:sz w:val="17"/>
        </w:rPr>
        <w:t> </w:t>
      </w:r>
      <w:r>
        <w:rPr>
          <w:color w:val="231F20"/>
          <w:sz w:val="17"/>
        </w:rPr>
        <w:t>afsluiting</w:t>
      </w:r>
      <w:r>
        <w:rPr>
          <w:color w:val="231F20"/>
          <w:spacing w:val="15"/>
          <w:sz w:val="17"/>
        </w:rPr>
        <w:t> </w:t>
      </w:r>
      <w:r>
        <w:rPr>
          <w:color w:val="231F20"/>
          <w:sz w:val="17"/>
        </w:rPr>
        <w:t>van</w:t>
      </w:r>
      <w:r>
        <w:rPr>
          <w:color w:val="231F20"/>
          <w:spacing w:val="15"/>
          <w:sz w:val="17"/>
        </w:rPr>
        <w:t> </w:t>
      </w:r>
      <w:r>
        <w:rPr>
          <w:color w:val="231F20"/>
          <w:sz w:val="17"/>
        </w:rPr>
        <w:t>het</w:t>
      </w:r>
      <w:r>
        <w:rPr>
          <w:color w:val="231F20"/>
          <w:spacing w:val="15"/>
          <w:sz w:val="17"/>
        </w:rPr>
        <w:t> </w:t>
      </w:r>
      <w:r>
        <w:rPr>
          <w:color w:val="231F20"/>
          <w:sz w:val="17"/>
        </w:rPr>
        <w:t>boekjaar;</w:t>
      </w:r>
    </w:p>
    <w:p>
      <w:pPr>
        <w:pStyle w:val="ListParagraph"/>
        <w:numPr>
          <w:ilvl w:val="0"/>
          <w:numId w:val="48"/>
        </w:numPr>
        <w:tabs>
          <w:tab w:pos="538" w:val="left" w:leader="none"/>
        </w:tabs>
        <w:spacing w:line="218" w:lineRule="auto" w:before="128" w:after="0"/>
        <w:ind w:left="113" w:right="124" w:firstLine="170"/>
        <w:jc w:val="both"/>
        <w:rPr>
          <w:sz w:val="17"/>
        </w:rPr>
      </w:pPr>
      <w:r>
        <w:rPr>
          <w:color w:val="231F20"/>
          <w:sz w:val="17"/>
        </w:rPr>
        <w:t>600 euro, wanneer deze stukken neergelegd worden vanaf de tiende maand en tot de twaalfde maand na de afsluiting van het boekjaar;</w:t>
      </w:r>
    </w:p>
    <w:p>
      <w:pPr>
        <w:pStyle w:val="ListParagraph"/>
        <w:numPr>
          <w:ilvl w:val="0"/>
          <w:numId w:val="48"/>
        </w:numPr>
        <w:tabs>
          <w:tab w:pos="524" w:val="left" w:leader="none"/>
        </w:tabs>
        <w:spacing w:line="218" w:lineRule="auto" w:before="128" w:after="0"/>
        <w:ind w:left="113" w:right="124" w:firstLine="170"/>
        <w:jc w:val="both"/>
        <w:rPr>
          <w:sz w:val="17"/>
        </w:rPr>
      </w:pPr>
      <w:r>
        <w:rPr>
          <w:color w:val="231F20"/>
          <w:sz w:val="17"/>
        </w:rPr>
        <w:t>1 200 euro, wanneer deze stukken neergelegd worden vanaf de dertiende</w:t>
      </w:r>
      <w:r>
        <w:rPr>
          <w:color w:val="231F20"/>
          <w:spacing w:val="15"/>
          <w:sz w:val="17"/>
        </w:rPr>
        <w:t> </w:t>
      </w:r>
      <w:r>
        <w:rPr>
          <w:color w:val="231F20"/>
          <w:sz w:val="17"/>
        </w:rPr>
        <w:t>maand</w:t>
      </w:r>
      <w:r>
        <w:rPr>
          <w:color w:val="231F20"/>
          <w:spacing w:val="15"/>
          <w:sz w:val="17"/>
        </w:rPr>
        <w:t> </w:t>
      </w:r>
      <w:r>
        <w:rPr>
          <w:color w:val="231F20"/>
          <w:sz w:val="17"/>
        </w:rPr>
        <w:t>na</w:t>
      </w:r>
      <w:r>
        <w:rPr>
          <w:color w:val="231F20"/>
          <w:spacing w:val="15"/>
          <w:sz w:val="17"/>
        </w:rPr>
        <w:t> </w:t>
      </w:r>
      <w:r>
        <w:rPr>
          <w:color w:val="231F20"/>
          <w:sz w:val="17"/>
        </w:rPr>
        <w:t>de</w:t>
      </w:r>
      <w:r>
        <w:rPr>
          <w:color w:val="231F20"/>
          <w:spacing w:val="15"/>
          <w:sz w:val="17"/>
        </w:rPr>
        <w:t> </w:t>
      </w:r>
      <w:r>
        <w:rPr>
          <w:color w:val="231F20"/>
          <w:sz w:val="17"/>
        </w:rPr>
        <w:t>afsluiting</w:t>
      </w:r>
      <w:r>
        <w:rPr>
          <w:color w:val="231F20"/>
          <w:spacing w:val="15"/>
          <w:sz w:val="17"/>
        </w:rPr>
        <w:t> </w:t>
      </w:r>
      <w:r>
        <w:rPr>
          <w:color w:val="231F20"/>
          <w:sz w:val="17"/>
        </w:rPr>
        <w:t>van</w:t>
      </w:r>
      <w:r>
        <w:rPr>
          <w:color w:val="231F20"/>
          <w:spacing w:val="16"/>
          <w:sz w:val="17"/>
        </w:rPr>
        <w:t> </w:t>
      </w:r>
      <w:r>
        <w:rPr>
          <w:color w:val="231F20"/>
          <w:sz w:val="17"/>
        </w:rPr>
        <w:t>het</w:t>
      </w:r>
      <w:r>
        <w:rPr>
          <w:color w:val="231F20"/>
          <w:spacing w:val="15"/>
          <w:sz w:val="17"/>
        </w:rPr>
        <w:t> </w:t>
      </w:r>
      <w:r>
        <w:rPr>
          <w:color w:val="231F20"/>
          <w:sz w:val="17"/>
        </w:rPr>
        <w:t>boekjaar.</w:t>
      </w:r>
    </w:p>
    <w:p>
      <w:pPr>
        <w:pStyle w:val="BodyText"/>
        <w:spacing w:line="218" w:lineRule="auto" w:before="128"/>
        <w:ind w:right="122"/>
      </w:pPr>
      <w:r>
        <w:rPr>
          <w:color w:val="231F20"/>
        </w:rPr>
        <w:t>De in het vorig lid bedoelde bedragen worden teruggebracht tot respectievelijk 120, 180 en 360 euro voor de kleine vennootschappen of microvennootschappen die gebruik maken van de mogelijkheid</w:t>
      </w:r>
      <w:r>
        <w:rPr>
          <w:color w:val="231F20"/>
          <w:spacing w:val="-24"/>
        </w:rPr>
        <w:t> </w:t>
      </w:r>
      <w:r>
        <w:rPr>
          <w:color w:val="231F20"/>
        </w:rPr>
        <w:t>bedoeld in artikel </w:t>
      </w:r>
      <w:r>
        <w:rPr>
          <w:color w:val="231F20"/>
          <w:spacing w:val="-3"/>
        </w:rPr>
        <w:t>3:11 </w:t>
      </w:r>
      <w:r>
        <w:rPr>
          <w:color w:val="231F20"/>
        </w:rPr>
        <w:t>om hun jaarrekening volgens het verkort schema of microschema openbaar te</w:t>
      </w:r>
      <w:r>
        <w:rPr>
          <w:color w:val="231F20"/>
          <w:spacing w:val="3"/>
        </w:rPr>
        <w:t> </w:t>
      </w:r>
      <w:r>
        <w:rPr>
          <w:color w:val="231F20"/>
        </w:rPr>
        <w:t>maken.</w:t>
      </w:r>
    </w:p>
    <w:p>
      <w:pPr>
        <w:pStyle w:val="BodyText"/>
        <w:spacing w:line="218" w:lineRule="auto" w:before="129"/>
      </w:pPr>
      <w:r>
        <w:rPr>
          <w:color w:val="231F20"/>
        </w:rPr>
        <w:t>Deze bijdrage wordt door de Nationale Bank van België samen met de kosten voor de openbaarmaking van de betrokken jaarrekening of geconsolideerde jaarrekening geïnd voor rekening van de federale overheid,</w:t>
      </w:r>
      <w:r>
        <w:rPr>
          <w:color w:val="231F20"/>
          <w:spacing w:val="17"/>
        </w:rPr>
        <w:t> </w:t>
      </w:r>
      <w:r>
        <w:rPr>
          <w:color w:val="231F20"/>
        </w:rPr>
        <w:t>volgens</w:t>
      </w:r>
      <w:r>
        <w:rPr>
          <w:color w:val="231F20"/>
          <w:spacing w:val="17"/>
        </w:rPr>
        <w:t> </w:t>
      </w:r>
      <w:r>
        <w:rPr>
          <w:color w:val="231F20"/>
        </w:rPr>
        <w:t>de</w:t>
      </w:r>
      <w:r>
        <w:rPr>
          <w:color w:val="231F20"/>
          <w:spacing w:val="18"/>
        </w:rPr>
        <w:t> </w:t>
      </w:r>
      <w:r>
        <w:rPr>
          <w:color w:val="231F20"/>
        </w:rPr>
        <w:t>modaliteiten</w:t>
      </w:r>
      <w:r>
        <w:rPr>
          <w:color w:val="231F20"/>
          <w:spacing w:val="17"/>
        </w:rPr>
        <w:t> </w:t>
      </w:r>
      <w:r>
        <w:rPr>
          <w:color w:val="231F20"/>
        </w:rPr>
        <w:t>die</w:t>
      </w:r>
      <w:r>
        <w:rPr>
          <w:color w:val="231F20"/>
          <w:spacing w:val="18"/>
        </w:rPr>
        <w:t> </w:t>
      </w:r>
      <w:r>
        <w:rPr>
          <w:color w:val="231F20"/>
        </w:rPr>
        <w:t>de</w:t>
      </w:r>
      <w:r>
        <w:rPr>
          <w:color w:val="231F20"/>
          <w:spacing w:val="17"/>
        </w:rPr>
        <w:t> </w:t>
      </w:r>
      <w:r>
        <w:rPr>
          <w:color w:val="231F20"/>
        </w:rPr>
        <w:t>Koning</w:t>
      </w:r>
      <w:r>
        <w:rPr>
          <w:color w:val="231F20"/>
          <w:spacing w:val="18"/>
        </w:rPr>
        <w:t> </w:t>
      </w:r>
      <w:r>
        <w:rPr>
          <w:color w:val="231F20"/>
        </w:rPr>
        <w:t>bepaalt.</w:t>
      </w:r>
    </w:p>
    <w:p>
      <w:pPr>
        <w:pStyle w:val="BodyText"/>
        <w:spacing w:line="218" w:lineRule="auto" w:before="128"/>
      </w:pPr>
      <w:r>
        <w:rPr>
          <w:color w:val="231F20"/>
        </w:rPr>
        <w:t>Art. 3:14. De neerlegging wordt slechts aanvaard indien de bepalin- gen die zijn uitgevaardigd ter uitvoering van artikel 3:13 zijn nageleefd. </w:t>
      </w:r>
      <w:r>
        <w:rPr>
          <w:color w:val="231F20"/>
          <w:spacing w:val="-3"/>
        </w:rPr>
        <w:t>Tenzij </w:t>
      </w:r>
      <w:r>
        <w:rPr>
          <w:color w:val="231F20"/>
        </w:rPr>
        <w:t>andersluidend bericht vanwege de Nationale Bank van België  aan de vennootschap binnen acht werkdagen na de datum van ontvangst van de stukken, wordt de neerlegging geacht te  zijn aanvaard</w:t>
      </w:r>
      <w:r>
        <w:rPr>
          <w:color w:val="231F20"/>
          <w:spacing w:val="16"/>
        </w:rPr>
        <w:t> </w:t>
      </w:r>
      <w:r>
        <w:rPr>
          <w:color w:val="231F20"/>
        </w:rPr>
        <w:t>op</w:t>
      </w:r>
      <w:r>
        <w:rPr>
          <w:color w:val="231F20"/>
          <w:spacing w:val="17"/>
        </w:rPr>
        <w:t> </w:t>
      </w:r>
      <w:r>
        <w:rPr>
          <w:color w:val="231F20"/>
        </w:rPr>
        <w:t>de</w:t>
      </w:r>
      <w:r>
        <w:rPr>
          <w:color w:val="231F20"/>
          <w:spacing w:val="16"/>
        </w:rPr>
        <w:t> </w:t>
      </w:r>
      <w:r>
        <w:rPr>
          <w:color w:val="231F20"/>
        </w:rPr>
        <w:t>datum</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neerlegging.</w:t>
      </w:r>
    </w:p>
    <w:p>
      <w:pPr>
        <w:pStyle w:val="BodyText"/>
        <w:spacing w:line="218" w:lineRule="auto" w:before="128"/>
      </w:pPr>
      <w:r>
        <w:rPr>
          <w:color w:val="231F20"/>
        </w:rPr>
        <w:t>Wanneer op grond van de rekenkundige en logische controles van de Nationale Bank van België, in de neergelegde jaarrekening fouten blijken, brengt zij die ter kennis van de vennootschap en, in voorko- mend geval, van haar commissaris.</w:t>
      </w:r>
    </w:p>
    <w:p>
      <w:pPr>
        <w:spacing w:after="0" w:line="218" w:lineRule="auto"/>
        <w:sectPr>
          <w:pgSz w:w="11940" w:h="16880"/>
          <w:pgMar w:header="666" w:footer="0" w:top="1140" w:bottom="280" w:left="340" w:right="360"/>
          <w:cols w:num="2" w:equalWidth="0">
            <w:col w:w="5578" w:space="50"/>
            <w:col w:w="5612"/>
          </w:cols>
        </w:sectPr>
      </w:pPr>
    </w:p>
    <w:p>
      <w:pPr>
        <w:pStyle w:val="BodyText"/>
        <w:spacing w:line="218" w:lineRule="auto" w:before="120"/>
        <w:ind w:right="38"/>
      </w:pPr>
      <w:r>
        <w:rPr/>
        <w:pict>
          <v:line style="position:absolute;mso-position-horizontal-relative:page;mso-position-vertical-relative:page;z-index:2368" from="298.170502pt,64.473pt" to="298.170502pt,812.819pt" stroked="true" strokeweight=".533pt" strokecolor="#231f20">
            <v:stroke dashstyle="solid"/>
            <w10:wrap type="none"/>
          </v:line>
        </w:pict>
      </w:r>
      <w:bookmarkStart w:name="_bookmark56" w:id="59"/>
      <w:bookmarkEnd w:id="59"/>
      <w:r>
        <w:rPr/>
      </w:r>
      <w:r>
        <w:rPr>
          <w:color w:val="231F20"/>
        </w:rPr>
        <w:t>S’il ressort de cette information que, de l’avis de la Banque nationale de Belgique, les comptes annuels déposés contiennent des erreurs substantielles, la société procède à un dépôt rectificatif dans un délai de deux mois à dater de l’envoi de la liste d’erreurs.</w:t>
      </w:r>
    </w:p>
    <w:p>
      <w:pPr>
        <w:pStyle w:val="BodyText"/>
        <w:ind w:left="0" w:right="0" w:firstLine="0"/>
        <w:jc w:val="left"/>
        <w:rPr>
          <w:sz w:val="23"/>
        </w:rPr>
      </w:pPr>
    </w:p>
    <w:p>
      <w:pPr>
        <w:pStyle w:val="BodyText"/>
        <w:spacing w:line="218" w:lineRule="auto"/>
        <w:ind w:right="38"/>
      </w:pPr>
      <w:r>
        <w:rPr>
          <w:color w:val="231F20"/>
        </w:rPr>
        <w:t>Art. 3:15. La Banque nationale de Belgique est chargée de délivrer copie, sous la forme déterminée par le Roi, à ceux qui leur en font la demande, des documents visés aux articles 3:10 et 3:12, soit de tous ces documents, soit des documents relatifs à des sociétés nommément désignées et à des années déterminées.</w:t>
      </w:r>
    </w:p>
    <w:p>
      <w:pPr>
        <w:pStyle w:val="BodyText"/>
        <w:spacing w:line="201" w:lineRule="auto" w:before="97"/>
        <w:ind w:right="38"/>
      </w:pPr>
      <w:r>
        <w:rPr>
          <w:color w:val="231F20"/>
        </w:rPr>
        <w:t>Le Roi détermine le montant des frais à acquitter à la Banque nationale de Belgique pour l’obtention des copies visées à l’alinéa 1</w:t>
      </w:r>
      <w:r>
        <w:rPr>
          <w:color w:val="231F20"/>
          <w:position w:val="7"/>
          <w:sz w:val="11"/>
        </w:rPr>
        <w:t>er</w:t>
      </w:r>
      <w:r>
        <w:rPr>
          <w:color w:val="231F20"/>
        </w:rPr>
        <w:t>.</w:t>
      </w:r>
    </w:p>
    <w:p>
      <w:pPr>
        <w:pStyle w:val="BodyText"/>
        <w:ind w:left="0" w:right="0" w:firstLine="0"/>
        <w:jc w:val="left"/>
        <w:rPr>
          <w:sz w:val="23"/>
        </w:rPr>
      </w:pPr>
    </w:p>
    <w:p>
      <w:pPr>
        <w:pStyle w:val="BodyText"/>
        <w:spacing w:line="218" w:lineRule="auto"/>
        <w:ind w:right="38"/>
      </w:pPr>
      <w:r>
        <w:rPr>
          <w:color w:val="231F20"/>
        </w:rPr>
        <w:t>Seules les copies délivrées par la Banque nationale de Belgique valent comme preuve des documents déposés. Les </w:t>
      </w:r>
      <w:r>
        <w:rPr>
          <w:color w:val="231F20"/>
          <w:spacing w:val="-3"/>
        </w:rPr>
        <w:t>greffes </w:t>
      </w:r>
      <w:r>
        <w:rPr>
          <w:color w:val="231F20"/>
        </w:rPr>
        <w:t>des tribunaux de l’entreprise obtiennent sans frais et sans retard, de la Banque nationale de  Belgique,  copie  de  l’ensemble  des  documents  visés  aux  arti-  cles</w:t>
      </w:r>
      <w:r>
        <w:rPr>
          <w:color w:val="231F20"/>
          <w:spacing w:val="13"/>
        </w:rPr>
        <w:t> </w:t>
      </w:r>
      <w:r>
        <w:rPr>
          <w:color w:val="231F20"/>
        </w:rPr>
        <w:t>3:10</w:t>
      </w:r>
      <w:r>
        <w:rPr>
          <w:color w:val="231F20"/>
          <w:spacing w:val="13"/>
        </w:rPr>
        <w:t> </w:t>
      </w:r>
      <w:r>
        <w:rPr>
          <w:color w:val="231F20"/>
        </w:rPr>
        <w:t>et</w:t>
      </w:r>
      <w:r>
        <w:rPr>
          <w:color w:val="231F20"/>
          <w:spacing w:val="14"/>
        </w:rPr>
        <w:t> </w:t>
      </w:r>
      <w:r>
        <w:rPr>
          <w:color w:val="231F20"/>
        </w:rPr>
        <w:t>3:12,</w:t>
      </w:r>
      <w:r>
        <w:rPr>
          <w:color w:val="231F20"/>
          <w:spacing w:val="13"/>
        </w:rPr>
        <w:t> </w:t>
      </w:r>
      <w:r>
        <w:rPr>
          <w:color w:val="231F20"/>
        </w:rPr>
        <w:t>sous</w:t>
      </w:r>
      <w:r>
        <w:rPr>
          <w:color w:val="231F20"/>
          <w:spacing w:val="14"/>
        </w:rPr>
        <w:t> </w:t>
      </w:r>
      <w:r>
        <w:rPr>
          <w:color w:val="231F20"/>
        </w:rPr>
        <w:t>la</w:t>
      </w:r>
      <w:r>
        <w:rPr>
          <w:color w:val="231F20"/>
          <w:spacing w:val="13"/>
        </w:rPr>
        <w:t> </w:t>
      </w:r>
      <w:r>
        <w:rPr>
          <w:color w:val="231F20"/>
        </w:rPr>
        <w:t>forme</w:t>
      </w:r>
      <w:r>
        <w:rPr>
          <w:color w:val="231F20"/>
          <w:spacing w:val="13"/>
        </w:rPr>
        <w:t> </w:t>
      </w:r>
      <w:r>
        <w:rPr>
          <w:color w:val="231F20"/>
        </w:rPr>
        <w:t>déterminée</w:t>
      </w:r>
      <w:r>
        <w:rPr>
          <w:color w:val="231F20"/>
          <w:spacing w:val="14"/>
        </w:rPr>
        <w:t> </w:t>
      </w:r>
      <w:r>
        <w:rPr>
          <w:color w:val="231F20"/>
        </w:rPr>
        <w:t>par</w:t>
      </w:r>
      <w:r>
        <w:rPr>
          <w:color w:val="231F20"/>
          <w:spacing w:val="13"/>
        </w:rPr>
        <w:t> </w:t>
      </w:r>
      <w:r>
        <w:rPr>
          <w:color w:val="231F20"/>
        </w:rPr>
        <w:t>le</w:t>
      </w:r>
      <w:r>
        <w:rPr>
          <w:color w:val="231F20"/>
          <w:spacing w:val="14"/>
        </w:rPr>
        <w:t> </w:t>
      </w:r>
      <w:r>
        <w:rPr>
          <w:color w:val="231F20"/>
        </w:rPr>
        <w:t>Roi.</w:t>
      </w:r>
    </w:p>
    <w:p>
      <w:pPr>
        <w:pStyle w:val="BodyText"/>
        <w:spacing w:line="218" w:lineRule="auto" w:before="86"/>
        <w:ind w:right="38"/>
      </w:pPr>
      <w:r>
        <w:rPr>
          <w:color w:val="231F20"/>
        </w:rPr>
        <w:t>Art. 3:16. Lorsque, en plus de la  publicité  prescrite  par  les  arti-  cles 3:10 et 3:12, une société procède par d’autres voies à la diffusion intégrale de ses comptes annuels et du rapport de gestion, leur forme et leur contenu doivent être identiques à ceux des documents qui ont fait l’objet du rapport du commissaire. Ils doivent être accompagnés du texte de ce rapport. Si le commissaire a attesté les comptes annuels</w:t>
      </w:r>
      <w:r>
        <w:rPr>
          <w:color w:val="231F20"/>
          <w:spacing w:val="-16"/>
        </w:rPr>
        <w:t> </w:t>
      </w:r>
      <w:r>
        <w:rPr>
          <w:color w:val="231F20"/>
        </w:rPr>
        <w:t>sans formuler de réserves, le texte de son rapport peut être remplacé par son attestation.</w:t>
      </w:r>
    </w:p>
    <w:p>
      <w:pPr>
        <w:pStyle w:val="BodyText"/>
        <w:ind w:left="0" w:right="0" w:firstLine="0"/>
        <w:jc w:val="left"/>
        <w:rPr>
          <w:sz w:val="23"/>
        </w:rPr>
      </w:pPr>
    </w:p>
    <w:p>
      <w:pPr>
        <w:pStyle w:val="BodyText"/>
        <w:spacing w:line="218" w:lineRule="auto" w:before="1"/>
        <w:ind w:right="38"/>
      </w:pPr>
      <w:r>
        <w:rPr>
          <w:color w:val="231F20"/>
        </w:rPr>
        <w:t>Art. 3:17. Sans préjudice  de  la  publication  prévue  par  les  arti-  cles 3:10 et 3:12, les sociétés peuvent diffuser leurs comptes annuels dans une version abrégée, pour autant que celle-ci n’altère pas l’image du patrimoine, de la situation financière et des résultats de la société. Dans ce cas, il est fait mention qu’il s’agit d’une version abrégée et il est fait référence à la publication effectuée en vertu de la loi. Si les comptes annuels n’ont pas encore été déposés, il en est fait mention. Ni le rapport, ni l’attestation du commissaire ne peuvent accompagner ces comptes annuels abrégés. Il doit toutefois être précisé si une attestation sans réserve, une attestation avec réserve ou une opinion négative a été émise, ou si le commissaire s’est trouvé dans l’incapacité d’émettre une attestation. Il est, en outre, le cas échéant, précisé s’il y est fait</w:t>
      </w:r>
      <w:r>
        <w:rPr>
          <w:color w:val="231F20"/>
          <w:spacing w:val="-16"/>
        </w:rPr>
        <w:t> </w:t>
      </w:r>
      <w:r>
        <w:rPr>
          <w:color w:val="231F20"/>
        </w:rPr>
        <w:t>référence à quelque question que ce soit sur laquelle le commissaire a attiré spécialement l’attention, qu’une réserve ait ou non été incluse</w:t>
      </w:r>
      <w:r>
        <w:rPr>
          <w:color w:val="231F20"/>
          <w:spacing w:val="21"/>
        </w:rPr>
        <w:t> </w:t>
      </w:r>
      <w:r>
        <w:rPr>
          <w:color w:val="231F20"/>
        </w:rPr>
        <w:t>dans l’attestation.</w:t>
      </w:r>
    </w:p>
    <w:p>
      <w:pPr>
        <w:pStyle w:val="BodyText"/>
        <w:spacing w:before="1"/>
        <w:ind w:left="0" w:right="0" w:firstLine="0"/>
        <w:jc w:val="left"/>
        <w:rPr>
          <w:sz w:val="23"/>
        </w:rPr>
      </w:pPr>
    </w:p>
    <w:p>
      <w:pPr>
        <w:pStyle w:val="BodyText"/>
        <w:spacing w:line="218" w:lineRule="auto"/>
        <w:ind w:right="38"/>
      </w:pPr>
      <w:r>
        <w:rPr>
          <w:color w:val="231F20"/>
        </w:rPr>
        <w:t>Art. 3:18. La Direction générale Statistique – Statistics Belgium du Service Public Fédéral Economie, P.M.E., Classes moyennes et Energie transmet sans frais à la Banque nationale de Belgique, sur demande de celle-ci, les comptes annuels et autres documents comptables dont la communication à l’Institut national de statistique serait imposée en exécution de la loi du 4 juillet 1962 autorisant le gouvernement à procéder à des investigations statistiques et autres sur la situation démographique, économique et sociale du pays.</w:t>
      </w:r>
    </w:p>
    <w:p>
      <w:pPr>
        <w:pStyle w:val="BodyText"/>
        <w:spacing w:before="3"/>
        <w:ind w:left="0" w:right="0" w:firstLine="0"/>
        <w:jc w:val="left"/>
        <w:rPr>
          <w:sz w:val="23"/>
        </w:rPr>
      </w:pPr>
    </w:p>
    <w:p>
      <w:pPr>
        <w:pStyle w:val="BodyText"/>
        <w:spacing w:line="213" w:lineRule="auto"/>
        <w:ind w:right="38"/>
      </w:pPr>
      <w:r>
        <w:rPr>
          <w:color w:val="231F20"/>
        </w:rPr>
        <w:t>La Banque nationale de Belgique est habilitée à établir et à publier, selon les modalités déterminées par le Roi, des statistiques globales et anonymes relatives à tout ou partie des éléments contenus dans les documents qui lui sont transmis en application de l’alinéa 1</w:t>
      </w:r>
      <w:r>
        <w:rPr>
          <w:color w:val="231F20"/>
          <w:position w:val="7"/>
          <w:sz w:val="11"/>
        </w:rPr>
        <w:t>er </w:t>
      </w:r>
      <w:r>
        <w:rPr>
          <w:color w:val="231F20"/>
        </w:rPr>
        <w:t>et des articles 3:10 et 3:12.</w:t>
      </w:r>
    </w:p>
    <w:p>
      <w:pPr>
        <w:pStyle w:val="BodyText"/>
        <w:spacing w:before="73"/>
        <w:ind w:left="283" w:right="0" w:firstLine="0"/>
        <w:jc w:val="left"/>
      </w:pPr>
      <w:r>
        <w:rPr>
          <w:color w:val="231F20"/>
        </w:rPr>
        <w:t>Sous-section 3. Rectification des comptes annuels.</w:t>
      </w:r>
    </w:p>
    <w:p>
      <w:pPr>
        <w:pStyle w:val="BodyText"/>
        <w:spacing w:line="218" w:lineRule="auto" w:before="67"/>
        <w:ind w:right="38"/>
      </w:pPr>
      <w:r>
        <w:rPr>
          <w:color w:val="231F20"/>
        </w:rPr>
        <w:t>Art. 3:19. § 1</w:t>
      </w:r>
      <w:r>
        <w:rPr>
          <w:color w:val="231F20"/>
          <w:position w:val="7"/>
          <w:sz w:val="11"/>
        </w:rPr>
        <w:t>er</w:t>
      </w:r>
      <w:r>
        <w:rPr>
          <w:color w:val="231F20"/>
        </w:rPr>
        <w:t>. Les comptes annuels, même approuvés par les associés réunis en assemblée ou l’assemblée générale et déposés conformément aux articles 3:1 et 3:10, peuvent être rectifiés non seulement en cas d’erreurs matérielles, faux ou double emploi au sens de l’article 1368 du Code judiciaire, mais encore en cas d’erreur de fait ou de droit, y compris d’erreur commise dans l’évaluation d’un poste  ou d’infraction au droit</w:t>
      </w:r>
      <w:r>
        <w:rPr>
          <w:color w:val="231F20"/>
          <w:spacing w:val="20"/>
        </w:rPr>
        <w:t> </w:t>
      </w:r>
      <w:r>
        <w:rPr>
          <w:color w:val="231F20"/>
        </w:rPr>
        <w:t>comptable.</w:t>
      </w:r>
    </w:p>
    <w:p>
      <w:pPr>
        <w:pStyle w:val="BodyText"/>
        <w:ind w:left="0" w:right="0" w:firstLine="0"/>
        <w:jc w:val="left"/>
        <w:rPr>
          <w:sz w:val="23"/>
        </w:rPr>
      </w:pPr>
    </w:p>
    <w:p>
      <w:pPr>
        <w:pStyle w:val="BodyText"/>
        <w:spacing w:line="218" w:lineRule="auto"/>
        <w:ind w:right="38"/>
      </w:pPr>
      <w:r>
        <w:rPr>
          <w:color w:val="231F20"/>
        </w:rPr>
        <w:t>Ils doivent être rectifiés si la comptabilisation opérée implique une infraction au droit comptable d’une nature telle que les comptes annuels ne donnent pas une image fidèle du patrimoine, de la situation financière</w:t>
      </w:r>
      <w:r>
        <w:rPr>
          <w:color w:val="231F20"/>
          <w:spacing w:val="14"/>
        </w:rPr>
        <w:t> </w:t>
      </w:r>
      <w:r>
        <w:rPr>
          <w:color w:val="231F20"/>
        </w:rPr>
        <w:t>ainsi</w:t>
      </w:r>
      <w:r>
        <w:rPr>
          <w:color w:val="231F20"/>
          <w:spacing w:val="15"/>
        </w:rPr>
        <w:t> </w:t>
      </w:r>
      <w:r>
        <w:rPr>
          <w:color w:val="231F20"/>
        </w:rPr>
        <w:t>que</w:t>
      </w:r>
      <w:r>
        <w:rPr>
          <w:color w:val="231F20"/>
          <w:spacing w:val="15"/>
        </w:rPr>
        <w:t> </w:t>
      </w:r>
      <w:r>
        <w:rPr>
          <w:color w:val="231F20"/>
        </w:rPr>
        <w:t>du</w:t>
      </w:r>
      <w:r>
        <w:rPr>
          <w:color w:val="231F20"/>
          <w:spacing w:val="15"/>
        </w:rPr>
        <w:t> </w:t>
      </w:r>
      <w:r>
        <w:rPr>
          <w:color w:val="231F20"/>
        </w:rPr>
        <w:t>résultat</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86"/>
        <w:ind w:right="38"/>
      </w:pPr>
      <w:r>
        <w:rPr>
          <w:color w:val="231F20"/>
        </w:rPr>
        <w:t>§ 2. À moins qu’elle ne résulte du redressement par l’organe d’administration de simples erreurs matérielles, la rectification doit</w:t>
      </w:r>
      <w:r>
        <w:rPr>
          <w:color w:val="231F20"/>
          <w:spacing w:val="-29"/>
        </w:rPr>
        <w:t> </w:t>
      </w:r>
      <w:r>
        <w:rPr>
          <w:color w:val="231F20"/>
        </w:rPr>
        <w:t>être soumise à l’approbation des associés réunis en assemblée ou de l’assemblée</w:t>
      </w:r>
      <w:r>
        <w:rPr>
          <w:color w:val="231F20"/>
          <w:spacing w:val="14"/>
        </w:rPr>
        <w:t> </w:t>
      </w:r>
      <w:r>
        <w:rPr>
          <w:color w:val="231F20"/>
        </w:rPr>
        <w:t>générale</w:t>
      </w:r>
      <w:r>
        <w:rPr>
          <w:color w:val="231F20"/>
          <w:spacing w:val="15"/>
        </w:rPr>
        <w:t> </w:t>
      </w:r>
      <w:r>
        <w:rPr>
          <w:color w:val="231F20"/>
        </w:rPr>
        <w:t>lorsque</w:t>
      </w:r>
      <w:r>
        <w:rPr>
          <w:color w:val="231F20"/>
          <w:spacing w:val="15"/>
        </w:rPr>
        <w:t> </w:t>
      </w:r>
      <w:r>
        <w:rPr>
          <w:color w:val="231F20"/>
        </w:rPr>
        <w:t>celle-ci</w:t>
      </w:r>
      <w:r>
        <w:rPr>
          <w:color w:val="231F20"/>
          <w:spacing w:val="15"/>
        </w:rPr>
        <w:t> </w:t>
      </w:r>
      <w:r>
        <w:rPr>
          <w:color w:val="231F20"/>
        </w:rPr>
        <w:t>est</w:t>
      </w:r>
      <w:r>
        <w:rPr>
          <w:color w:val="231F20"/>
          <w:spacing w:val="15"/>
        </w:rPr>
        <w:t> </w:t>
      </w:r>
      <w:r>
        <w:rPr>
          <w:color w:val="231F20"/>
        </w:rPr>
        <w:t>requise</w:t>
      </w:r>
      <w:r>
        <w:rPr>
          <w:color w:val="231F20"/>
          <w:spacing w:val="15"/>
        </w:rPr>
        <w:t> </w:t>
      </w:r>
      <w:r>
        <w:rPr>
          <w:color w:val="231F20"/>
        </w:rPr>
        <w:t>par</w:t>
      </w:r>
      <w:r>
        <w:rPr>
          <w:color w:val="231F20"/>
          <w:spacing w:val="15"/>
        </w:rPr>
        <w:t> </w:t>
      </w:r>
      <w:r>
        <w:rPr>
          <w:color w:val="231F20"/>
        </w:rPr>
        <w:t>la</w:t>
      </w:r>
      <w:r>
        <w:rPr>
          <w:color w:val="231F20"/>
          <w:spacing w:val="15"/>
        </w:rPr>
        <w:t> </w:t>
      </w:r>
      <w:r>
        <w:rPr>
          <w:color w:val="231F20"/>
        </w:rPr>
        <w:t>loi.</w:t>
      </w:r>
    </w:p>
    <w:p>
      <w:pPr>
        <w:pStyle w:val="BodyText"/>
        <w:spacing w:before="72"/>
        <w:ind w:left="283" w:right="0" w:firstLine="0"/>
        <w:jc w:val="left"/>
      </w:pPr>
      <w:r>
        <w:rPr>
          <w:color w:val="231F20"/>
        </w:rPr>
        <w:t>Sous-section 3. Sociétés étrangères.</w:t>
      </w:r>
    </w:p>
    <w:p>
      <w:pPr>
        <w:pStyle w:val="BodyText"/>
        <w:spacing w:line="218" w:lineRule="auto" w:before="77"/>
        <w:ind w:right="38"/>
      </w:pPr>
      <w:r>
        <w:rPr>
          <w:color w:val="231F20"/>
        </w:rPr>
        <w:t>Art. 3:20. § 1</w:t>
      </w:r>
      <w:r>
        <w:rPr>
          <w:color w:val="231F20"/>
          <w:position w:val="7"/>
          <w:sz w:val="11"/>
        </w:rPr>
        <w:t>er</w:t>
      </w:r>
      <w:r>
        <w:rPr>
          <w:color w:val="231F20"/>
        </w:rPr>
        <w:t>. Toute société étrangère disposant en Belgique d’une succursale, est tenue de déposer ses comptes annuels ainsi que, le cas échéant, ses comptes consolidés afférents au dernier exercice clôturé auprès de la Banque nationale de Belgique, dans la forme dans laquelle</w:t>
      </w:r>
    </w:p>
    <w:p>
      <w:pPr>
        <w:pStyle w:val="BodyText"/>
        <w:spacing w:line="218" w:lineRule="auto" w:before="119"/>
        <w:ind w:right="123"/>
      </w:pPr>
      <w:r>
        <w:rPr/>
        <w:br w:type="column"/>
      </w:r>
      <w:r>
        <w:rPr>
          <w:color w:val="231F20"/>
          <w:spacing w:val="-3"/>
        </w:rPr>
        <w:t>Wanneer </w:t>
      </w:r>
      <w:r>
        <w:rPr>
          <w:color w:val="231F20"/>
        </w:rPr>
        <w:t>uit die kennisgeving blijkt dat de neergelegde jaarrekening volgens het oordeel van de Nationale Bank van België wezenlijke  fouten bevat, legt de vennootschap binnen twee maanden te rekenen van de verzending van de lijst met fouten een verbeterde versie van de jaarrekening</w:t>
      </w:r>
      <w:r>
        <w:rPr>
          <w:color w:val="231F20"/>
          <w:spacing w:val="14"/>
        </w:rPr>
        <w:t> </w:t>
      </w:r>
      <w:r>
        <w:rPr>
          <w:color w:val="231F20"/>
          <w:spacing w:val="-3"/>
        </w:rPr>
        <w:t>neer.</w:t>
      </w:r>
    </w:p>
    <w:p>
      <w:pPr>
        <w:pStyle w:val="BodyText"/>
        <w:spacing w:line="218" w:lineRule="auto" w:before="86"/>
      </w:pPr>
      <w:r>
        <w:rPr>
          <w:color w:val="231F20"/>
        </w:rPr>
        <w:t>Art. 3:15. De Nationale Bank van België verstrekt op ieders verzoek een kopie, in de vorm vastgesteld door de Koning, van de stukken bedoeld in de artikelen 3:10 en 3:12, hetzij van al die stukken, hetzij van de stukken betreffende een met name te noemen vennootschap en nader op te geven jaren.</w:t>
      </w:r>
    </w:p>
    <w:p>
      <w:pPr>
        <w:pStyle w:val="BodyText"/>
        <w:spacing w:line="218" w:lineRule="auto" w:before="86"/>
      </w:pPr>
      <w:r>
        <w:rPr>
          <w:color w:val="231F20"/>
        </w:rPr>
        <w:t>De Koning stelt het bedrag vast van de kosten die aan de Nationale Bank van België moeten worden betaald om de kopieën bedoeld in het eerste lid te verkrijgen.</w:t>
      </w:r>
    </w:p>
    <w:p>
      <w:pPr>
        <w:pStyle w:val="BodyText"/>
        <w:spacing w:line="218" w:lineRule="auto" w:before="85"/>
      </w:pPr>
      <w:r>
        <w:rPr>
          <w:color w:val="231F20"/>
        </w:rPr>
        <w:t>Enkel de kopieën die de Nationale Bank van België verstrekt, gelden als bewijs van de neergelegde stukken. De griffies van de onderne- mingsrechtbanken verkrijgen van de Nationale Bank van België, onverwijld en kosteloos, een kopie van alle stukken bedoeld in de artikelen 3:10 en 3:12, op de wijze bepaald door de Koning.</w:t>
      </w:r>
    </w:p>
    <w:p>
      <w:pPr>
        <w:pStyle w:val="BodyText"/>
        <w:spacing w:line="218" w:lineRule="auto" w:before="86"/>
      </w:pPr>
      <w:r>
        <w:rPr>
          <w:color w:val="231F20"/>
        </w:rPr>
        <w:t>Art. 3:16. </w:t>
      </w:r>
      <w:r>
        <w:rPr>
          <w:color w:val="231F20"/>
          <w:spacing w:val="-3"/>
        </w:rPr>
        <w:t>Wanneer </w:t>
      </w:r>
      <w:r>
        <w:rPr>
          <w:color w:val="231F20"/>
        </w:rPr>
        <w:t>een vennootschap naast de bij de artikelen 3:10 en 3:12 voorgeschreven openbaarmaking, haar jaarrekening en jaarverslag in hun geheel op een andere wijze verspreidt, moeten zij worden weergegeven in de vorm en met de inhoud van de documenten die het voorwerp hebben uitgemaakt van het verslag van de commissaris. Zij moeten vergezeld gaan van de tekst van dit verslag. Heeft de commissaris over de jaarrekening een goedkeurende verklaring zonder voorbehoud afgegeven, dan mag de tekst van zijn verslag worden vervangen door zijn verklaring.</w:t>
      </w:r>
    </w:p>
    <w:p>
      <w:pPr>
        <w:pStyle w:val="BodyText"/>
        <w:spacing w:line="218" w:lineRule="auto" w:before="86"/>
        <w:ind w:right="123"/>
      </w:pPr>
      <w:r>
        <w:rPr>
          <w:color w:val="231F20"/>
        </w:rPr>
        <w:t>Art. 3:17. Onverminderd de openbaarmaking vereist door de artike- len 3:10 en 3:12, kunnen vennootschappen ook een verkorte versie van hun jaarrekening verspreiden, voor zover deze geen vertekend beeld geeft van het vermogen, van de financiële positie en van de resultaten van de vennootschap. In dat geval wordt vermeld dat het om een verkorte versie gaat en wordt verwezen naar de openbaarmaking verricht volgens wettelijk voorschrift. </w:t>
      </w:r>
      <w:r>
        <w:rPr>
          <w:color w:val="231F20"/>
          <w:spacing w:val="-3"/>
        </w:rPr>
        <w:t>Wanneer </w:t>
      </w:r>
      <w:r>
        <w:rPr>
          <w:color w:val="231F20"/>
        </w:rPr>
        <w:t>de jaarrekening nog niet is neergelegd, wordt hiervan melding gemaakt. Deze verkorte versie mag niet vergezeld gaan van het verslag noch van de goedkeurende verklaring van de commissaris. Er moet evenwel worden vermeld of een verklaring zonder voorbehoud, een verklaring met voorbehoud of een afkeurende verklaring werd gegeven, dan wel of de commissaris geen oordeel heeft kunnen uitspreken. Ook moet in voorkomend geval worden vermeld of de commissaris in zijn verslag in het bijzonder de aandacht heeft gevestigd op bepaalde aangelegenheden, ongeacht of al dan</w:t>
      </w:r>
      <w:r>
        <w:rPr>
          <w:color w:val="231F20"/>
          <w:spacing w:val="18"/>
        </w:rPr>
        <w:t> </w:t>
      </w:r>
      <w:r>
        <w:rPr>
          <w:color w:val="231F20"/>
        </w:rPr>
        <w:t>niet</w:t>
      </w:r>
      <w:r>
        <w:rPr>
          <w:color w:val="231F20"/>
          <w:spacing w:val="19"/>
        </w:rPr>
        <w:t> </w:t>
      </w:r>
      <w:r>
        <w:rPr>
          <w:color w:val="231F20"/>
        </w:rPr>
        <w:t>een</w:t>
      </w:r>
      <w:r>
        <w:rPr>
          <w:color w:val="231F20"/>
          <w:spacing w:val="19"/>
        </w:rPr>
        <w:t> </w:t>
      </w:r>
      <w:r>
        <w:rPr>
          <w:color w:val="231F20"/>
        </w:rPr>
        <w:t>voorbehoud</w:t>
      </w:r>
      <w:r>
        <w:rPr>
          <w:color w:val="231F20"/>
          <w:spacing w:val="19"/>
        </w:rPr>
        <w:t> </w:t>
      </w:r>
      <w:r>
        <w:rPr>
          <w:color w:val="231F20"/>
        </w:rPr>
        <w:t>werd</w:t>
      </w:r>
      <w:r>
        <w:rPr>
          <w:color w:val="231F20"/>
          <w:spacing w:val="19"/>
        </w:rPr>
        <w:t> </w:t>
      </w:r>
      <w:r>
        <w:rPr>
          <w:color w:val="231F20"/>
        </w:rPr>
        <w:t>geformuleerd</w:t>
      </w:r>
      <w:r>
        <w:rPr>
          <w:color w:val="231F20"/>
          <w:spacing w:val="19"/>
        </w:rPr>
        <w:t> </w:t>
      </w:r>
      <w:r>
        <w:rPr>
          <w:color w:val="231F20"/>
        </w:rPr>
        <w:t>in</w:t>
      </w:r>
      <w:r>
        <w:rPr>
          <w:color w:val="231F20"/>
          <w:spacing w:val="19"/>
        </w:rPr>
        <w:t> </w:t>
      </w:r>
      <w:r>
        <w:rPr>
          <w:color w:val="231F20"/>
        </w:rPr>
        <w:t>de</w:t>
      </w:r>
      <w:r>
        <w:rPr>
          <w:color w:val="231F20"/>
          <w:spacing w:val="19"/>
        </w:rPr>
        <w:t> </w:t>
      </w:r>
      <w:r>
        <w:rPr>
          <w:color w:val="231F20"/>
        </w:rPr>
        <w:t>verklaring.</w:t>
      </w:r>
    </w:p>
    <w:p>
      <w:pPr>
        <w:pStyle w:val="BodyText"/>
        <w:spacing w:line="218" w:lineRule="auto" w:before="87"/>
      </w:pPr>
      <w:r>
        <w:rPr>
          <w:color w:val="231F20"/>
          <w:w w:val="105"/>
        </w:rPr>
        <w:t>Art.</w:t>
      </w:r>
      <w:r>
        <w:rPr>
          <w:color w:val="231F20"/>
          <w:spacing w:val="-25"/>
          <w:w w:val="105"/>
        </w:rPr>
        <w:t> </w:t>
      </w:r>
      <w:r>
        <w:rPr>
          <w:color w:val="231F20"/>
          <w:w w:val="105"/>
        </w:rPr>
        <w:t>3:18.</w:t>
      </w:r>
      <w:r>
        <w:rPr>
          <w:color w:val="231F20"/>
          <w:spacing w:val="-24"/>
          <w:w w:val="105"/>
        </w:rPr>
        <w:t> </w:t>
      </w:r>
      <w:r>
        <w:rPr>
          <w:color w:val="231F20"/>
          <w:w w:val="105"/>
        </w:rPr>
        <w:t>De</w:t>
      </w:r>
      <w:r>
        <w:rPr>
          <w:color w:val="231F20"/>
          <w:spacing w:val="-27"/>
          <w:w w:val="105"/>
        </w:rPr>
        <w:t> </w:t>
      </w:r>
      <w:r>
        <w:rPr>
          <w:color w:val="231F20"/>
          <w:w w:val="105"/>
        </w:rPr>
        <w:t>Algemene</w:t>
      </w:r>
      <w:r>
        <w:rPr>
          <w:color w:val="231F20"/>
          <w:spacing w:val="-24"/>
          <w:w w:val="105"/>
        </w:rPr>
        <w:t> </w:t>
      </w:r>
      <w:r>
        <w:rPr>
          <w:color w:val="231F20"/>
          <w:w w:val="105"/>
        </w:rPr>
        <w:t>Directie</w:t>
      </w:r>
      <w:r>
        <w:rPr>
          <w:color w:val="231F20"/>
          <w:spacing w:val="-25"/>
          <w:w w:val="105"/>
        </w:rPr>
        <w:t> </w:t>
      </w:r>
      <w:r>
        <w:rPr>
          <w:color w:val="231F20"/>
          <w:w w:val="105"/>
        </w:rPr>
        <w:t>Statistiek</w:t>
      </w:r>
      <w:r>
        <w:rPr>
          <w:color w:val="231F20"/>
          <w:spacing w:val="-24"/>
          <w:w w:val="105"/>
        </w:rPr>
        <w:t> </w:t>
      </w:r>
      <w:r>
        <w:rPr>
          <w:color w:val="231F20"/>
          <w:w w:val="105"/>
        </w:rPr>
        <w:t>–</w:t>
      </w:r>
      <w:r>
        <w:rPr>
          <w:color w:val="231F20"/>
          <w:spacing w:val="-25"/>
          <w:w w:val="105"/>
        </w:rPr>
        <w:t> </w:t>
      </w:r>
      <w:r>
        <w:rPr>
          <w:color w:val="231F20"/>
          <w:w w:val="105"/>
        </w:rPr>
        <w:t>Statistics</w:t>
      </w:r>
      <w:r>
        <w:rPr>
          <w:color w:val="231F20"/>
          <w:spacing w:val="-24"/>
          <w:w w:val="105"/>
        </w:rPr>
        <w:t> </w:t>
      </w:r>
      <w:r>
        <w:rPr>
          <w:color w:val="231F20"/>
          <w:w w:val="105"/>
        </w:rPr>
        <w:t>Belgium</w:t>
      </w:r>
      <w:r>
        <w:rPr>
          <w:color w:val="231F20"/>
          <w:spacing w:val="-24"/>
          <w:w w:val="105"/>
        </w:rPr>
        <w:t> </w:t>
      </w:r>
      <w:r>
        <w:rPr>
          <w:color w:val="231F20"/>
          <w:w w:val="105"/>
        </w:rPr>
        <w:t>van</w:t>
      </w:r>
      <w:r>
        <w:rPr>
          <w:color w:val="231F20"/>
          <w:spacing w:val="-25"/>
          <w:w w:val="105"/>
        </w:rPr>
        <w:t> </w:t>
      </w:r>
      <w:r>
        <w:rPr>
          <w:color w:val="231F20"/>
          <w:w w:val="105"/>
        </w:rPr>
        <w:t>de </w:t>
      </w:r>
      <w:r>
        <w:rPr>
          <w:color w:val="231F20"/>
        </w:rPr>
        <w:t>Federale Overheidsdienst Economie, K.M.O., Middenstand en Energie </w:t>
      </w:r>
      <w:r>
        <w:rPr>
          <w:color w:val="231F20"/>
          <w:w w:val="105"/>
        </w:rPr>
        <w:t>zendt</w:t>
      </w:r>
      <w:r>
        <w:rPr>
          <w:color w:val="231F20"/>
          <w:spacing w:val="-14"/>
          <w:w w:val="105"/>
        </w:rPr>
        <w:t> </w:t>
      </w:r>
      <w:r>
        <w:rPr>
          <w:color w:val="231F20"/>
          <w:w w:val="105"/>
        </w:rPr>
        <w:t>aan</w:t>
      </w:r>
      <w:r>
        <w:rPr>
          <w:color w:val="231F20"/>
          <w:spacing w:val="-13"/>
          <w:w w:val="105"/>
        </w:rPr>
        <w:t> </w:t>
      </w:r>
      <w:r>
        <w:rPr>
          <w:color w:val="231F20"/>
          <w:w w:val="105"/>
        </w:rPr>
        <w:t>de</w:t>
      </w:r>
      <w:r>
        <w:rPr>
          <w:color w:val="231F20"/>
          <w:spacing w:val="-13"/>
          <w:w w:val="105"/>
        </w:rPr>
        <w:t> </w:t>
      </w:r>
      <w:r>
        <w:rPr>
          <w:color w:val="231F20"/>
          <w:w w:val="105"/>
        </w:rPr>
        <w:t>Nationale</w:t>
      </w:r>
      <w:r>
        <w:rPr>
          <w:color w:val="231F20"/>
          <w:spacing w:val="-13"/>
          <w:w w:val="105"/>
        </w:rPr>
        <w:t> </w:t>
      </w:r>
      <w:r>
        <w:rPr>
          <w:color w:val="231F20"/>
          <w:w w:val="105"/>
        </w:rPr>
        <w:t>Bank</w:t>
      </w:r>
      <w:r>
        <w:rPr>
          <w:color w:val="231F20"/>
          <w:spacing w:val="-13"/>
          <w:w w:val="105"/>
        </w:rPr>
        <w:t> </w:t>
      </w:r>
      <w:r>
        <w:rPr>
          <w:color w:val="231F20"/>
          <w:w w:val="105"/>
        </w:rPr>
        <w:t>van</w:t>
      </w:r>
      <w:r>
        <w:rPr>
          <w:color w:val="231F20"/>
          <w:spacing w:val="-13"/>
          <w:w w:val="105"/>
        </w:rPr>
        <w:t> </w:t>
      </w:r>
      <w:r>
        <w:rPr>
          <w:color w:val="231F20"/>
          <w:w w:val="105"/>
        </w:rPr>
        <w:t>België,</w:t>
      </w:r>
      <w:r>
        <w:rPr>
          <w:color w:val="231F20"/>
          <w:spacing w:val="-13"/>
          <w:w w:val="105"/>
        </w:rPr>
        <w:t> </w:t>
      </w:r>
      <w:r>
        <w:rPr>
          <w:color w:val="231F20"/>
          <w:w w:val="105"/>
        </w:rPr>
        <w:t>op</w:t>
      </w:r>
      <w:r>
        <w:rPr>
          <w:color w:val="231F20"/>
          <w:spacing w:val="-13"/>
          <w:w w:val="105"/>
        </w:rPr>
        <w:t> </w:t>
      </w:r>
      <w:r>
        <w:rPr>
          <w:color w:val="231F20"/>
          <w:w w:val="105"/>
        </w:rPr>
        <w:t>haar</w:t>
      </w:r>
      <w:r>
        <w:rPr>
          <w:color w:val="231F20"/>
          <w:spacing w:val="-13"/>
          <w:w w:val="105"/>
        </w:rPr>
        <w:t> </w:t>
      </w:r>
      <w:r>
        <w:rPr>
          <w:color w:val="231F20"/>
          <w:w w:val="105"/>
        </w:rPr>
        <w:t>verzoek,</w:t>
      </w:r>
      <w:r>
        <w:rPr>
          <w:color w:val="231F20"/>
          <w:spacing w:val="-13"/>
          <w:w w:val="105"/>
        </w:rPr>
        <w:t> </w:t>
      </w:r>
      <w:r>
        <w:rPr>
          <w:color w:val="231F20"/>
          <w:w w:val="105"/>
        </w:rPr>
        <w:t>kosteloos</w:t>
      </w:r>
      <w:r>
        <w:rPr>
          <w:color w:val="231F20"/>
          <w:spacing w:val="-13"/>
          <w:w w:val="105"/>
        </w:rPr>
        <w:t> </w:t>
      </w:r>
      <w:r>
        <w:rPr>
          <w:color w:val="231F20"/>
          <w:w w:val="105"/>
        </w:rPr>
        <w:t>de jaarrekeningen en andere boekhoudkundige stukken waarvan de mededeling aan het Nationaal Instituut voor de Statistiek wordt opgelegd overeenkomstig de wet van 4 juli 1962 waarbij de regering wordt gemachtigd statistische en andere onderzoekingen te houden </w:t>
      </w:r>
      <w:r>
        <w:rPr>
          <w:color w:val="231F20"/>
        </w:rPr>
        <w:t>betreffende de demografische, economische en sociale toestand van het </w:t>
      </w:r>
      <w:r>
        <w:rPr>
          <w:color w:val="231F20"/>
          <w:w w:val="105"/>
        </w:rPr>
        <w:t>land.</w:t>
      </w:r>
    </w:p>
    <w:p>
      <w:pPr>
        <w:pStyle w:val="BodyText"/>
        <w:spacing w:line="218" w:lineRule="auto" w:before="86"/>
        <w:ind w:right="125"/>
      </w:pPr>
      <w:r>
        <w:rPr>
          <w:color w:val="231F20"/>
        </w:rPr>
        <w:t>De Nationale Bank van België is bevoegd om op de wijze die de Koning bepaalt, naamloze globale statistieken op te maken en te publiceren betreffende de gegevens of een gedeelte van de gegevens uit de stukken die haar overeenkomstig het eerste lid en overeenkomstig de</w:t>
      </w:r>
      <w:r>
        <w:rPr>
          <w:color w:val="231F20"/>
          <w:spacing w:val="14"/>
        </w:rPr>
        <w:t> </w:t>
      </w:r>
      <w:r>
        <w:rPr>
          <w:color w:val="231F20"/>
        </w:rPr>
        <w:t>artikelen</w:t>
      </w:r>
      <w:r>
        <w:rPr>
          <w:color w:val="231F20"/>
          <w:spacing w:val="14"/>
        </w:rPr>
        <w:t> </w:t>
      </w:r>
      <w:r>
        <w:rPr>
          <w:color w:val="231F20"/>
        </w:rPr>
        <w:t>3:10</w:t>
      </w:r>
      <w:r>
        <w:rPr>
          <w:color w:val="231F20"/>
          <w:spacing w:val="15"/>
        </w:rPr>
        <w:t> </w:t>
      </w:r>
      <w:r>
        <w:rPr>
          <w:color w:val="231F20"/>
        </w:rPr>
        <w:t>en</w:t>
      </w:r>
      <w:r>
        <w:rPr>
          <w:color w:val="231F20"/>
          <w:spacing w:val="14"/>
        </w:rPr>
        <w:t> </w:t>
      </w:r>
      <w:r>
        <w:rPr>
          <w:color w:val="231F20"/>
        </w:rPr>
        <w:t>3:12</w:t>
      </w:r>
      <w:r>
        <w:rPr>
          <w:color w:val="231F20"/>
          <w:spacing w:val="15"/>
        </w:rPr>
        <w:t> </w:t>
      </w:r>
      <w:r>
        <w:rPr>
          <w:color w:val="231F20"/>
        </w:rPr>
        <w:t>zijn</w:t>
      </w:r>
      <w:r>
        <w:rPr>
          <w:color w:val="231F20"/>
          <w:spacing w:val="14"/>
        </w:rPr>
        <w:t> </w:t>
      </w:r>
      <w:r>
        <w:rPr>
          <w:color w:val="231F20"/>
        </w:rPr>
        <w:t>toegezonden.</w:t>
      </w:r>
    </w:p>
    <w:p>
      <w:pPr>
        <w:pStyle w:val="BodyText"/>
        <w:spacing w:before="72"/>
        <w:ind w:left="283" w:right="0" w:firstLine="0"/>
        <w:jc w:val="left"/>
      </w:pPr>
      <w:r>
        <w:rPr>
          <w:color w:val="231F20"/>
        </w:rPr>
        <w:t>Onderafdeling 2. Correctie van de jaarrekening.</w:t>
      </w:r>
    </w:p>
    <w:p>
      <w:pPr>
        <w:pStyle w:val="BodyText"/>
        <w:spacing w:line="218" w:lineRule="auto" w:before="82"/>
      </w:pPr>
      <w:r>
        <w:rPr>
          <w:color w:val="231F20"/>
        </w:rPr>
        <w:t>Art. 3:19. § 1. De jaarrekening, zelfs goedgekeurd door de vennoten verenigd in vergadering of de algemene vergadering en ingediend overeenkomstig de artikelen 3:1 en 3:10, kan niet alleen worden gecorrigeerd in geval van materiële fouten, valse of dubbel geboekte posten als bedoeld in artikel 1368 van het Gerechtelijk Wetboek, maar ook in geval van dwaling in rechte of in feite, met inbegrip van een dwaling in de waardering van een post of een inbreuk op het boekhoudrecht.</w:t>
      </w:r>
    </w:p>
    <w:p>
      <w:pPr>
        <w:pStyle w:val="BodyText"/>
        <w:spacing w:line="218" w:lineRule="auto" w:before="86"/>
      </w:pPr>
      <w:r>
        <w:rPr>
          <w:color w:val="231F20"/>
        </w:rPr>
        <w:t>Zij moet worden gecorrigeerd indien de verrichte boeking een inbreuk op het boekhoudrecht impliceert, waardoor de</w:t>
      </w:r>
      <w:r>
        <w:rPr>
          <w:color w:val="231F20"/>
          <w:spacing w:val="23"/>
        </w:rPr>
        <w:t> </w:t>
      </w:r>
      <w:r>
        <w:rPr>
          <w:color w:val="231F20"/>
        </w:rPr>
        <w:t>jaarrekening geen getrouw beeld geeft van het vermogen, de financiële toestand en het resultaat van de</w:t>
      </w:r>
      <w:r>
        <w:rPr>
          <w:color w:val="231F20"/>
          <w:spacing w:val="19"/>
        </w:rPr>
        <w:t> </w:t>
      </w:r>
      <w:r>
        <w:rPr>
          <w:color w:val="231F20"/>
        </w:rPr>
        <w:t>vennootschap.</w:t>
      </w:r>
    </w:p>
    <w:p>
      <w:pPr>
        <w:pStyle w:val="BodyText"/>
        <w:spacing w:line="218" w:lineRule="auto" w:before="85"/>
      </w:pPr>
      <w:r>
        <w:rPr>
          <w:color w:val="231F20"/>
        </w:rPr>
        <w:t>§ 2. Tenzij de correctie resulteert uit de rechtzetting door het bestuursorgaan van loutere materiële fouten, moet zij ter goedkeuring worden voorgelegd aan de vennoten verenigd in vergadering of de algemene vergadering wanneer dat wettelijk is vereist.</w:t>
      </w:r>
    </w:p>
    <w:p>
      <w:pPr>
        <w:pStyle w:val="BodyText"/>
        <w:spacing w:before="72"/>
        <w:ind w:left="283" w:right="0" w:firstLine="0"/>
        <w:jc w:val="left"/>
      </w:pPr>
      <w:r>
        <w:rPr>
          <w:color w:val="231F20"/>
        </w:rPr>
        <w:t>Onderafdeling 3. Buitenlandse vennootschappen.</w:t>
      </w:r>
    </w:p>
    <w:p>
      <w:pPr>
        <w:pStyle w:val="BodyText"/>
        <w:spacing w:line="218" w:lineRule="auto" w:before="93"/>
      </w:pPr>
      <w:r>
        <w:rPr>
          <w:color w:val="231F20"/>
        </w:rPr>
        <w:t>Art. 3:20. § 1. Elke buitenlandse vennootschap, die een bijkantoor heeft in België, is gehouden haar jaarrekening, en in voorkomend geval haar geconsolideerde jaarrekening, over het laatst afgesloten boekjaar neer te leggen bij de Nationale Bank van België, in de vorm waarin deze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6" w:hanging="1"/>
        <w:jc w:val="left"/>
      </w:pPr>
      <w:r>
        <w:rPr/>
        <w:pict>
          <v:line style="position:absolute;mso-position-horizontal-relative:page;mso-position-vertical-relative:page;z-index:2392" from="298.170502pt,64.473pt" to="298.170502pt,812.819pt" stroked="true" strokeweight=".533pt" strokecolor="#231f20">
            <v:stroke dashstyle="solid"/>
            <w10:wrap type="none"/>
          </v:line>
        </w:pict>
      </w:r>
      <w:bookmarkStart w:name="_bookmark57" w:id="60"/>
      <w:bookmarkEnd w:id="60"/>
      <w:r>
        <w:rPr/>
      </w:r>
      <w:r>
        <w:rPr>
          <w:color w:val="231F20"/>
        </w:rPr>
        <w:t>ces</w:t>
      </w:r>
      <w:r>
        <w:rPr>
          <w:color w:val="231F20"/>
          <w:spacing w:val="-6"/>
        </w:rPr>
        <w:t> </w:t>
      </w:r>
      <w:r>
        <w:rPr>
          <w:color w:val="231F20"/>
        </w:rPr>
        <w:t>documents</w:t>
      </w:r>
      <w:r>
        <w:rPr>
          <w:color w:val="231F20"/>
          <w:spacing w:val="-5"/>
        </w:rPr>
        <w:t> </w:t>
      </w:r>
      <w:r>
        <w:rPr>
          <w:color w:val="231F20"/>
        </w:rPr>
        <w:t>ont</w:t>
      </w:r>
      <w:r>
        <w:rPr>
          <w:color w:val="231F20"/>
          <w:spacing w:val="-5"/>
        </w:rPr>
        <w:t> </w:t>
      </w:r>
      <w:r>
        <w:rPr>
          <w:color w:val="231F20"/>
        </w:rPr>
        <w:t>été</w:t>
      </w:r>
      <w:r>
        <w:rPr>
          <w:color w:val="231F20"/>
          <w:spacing w:val="-5"/>
        </w:rPr>
        <w:t> </w:t>
      </w:r>
      <w:r>
        <w:rPr>
          <w:color w:val="231F20"/>
        </w:rPr>
        <w:t>établis,</w:t>
      </w:r>
      <w:r>
        <w:rPr>
          <w:color w:val="231F20"/>
          <w:spacing w:val="-6"/>
        </w:rPr>
        <w:t> </w:t>
      </w:r>
      <w:r>
        <w:rPr>
          <w:color w:val="231F20"/>
        </w:rPr>
        <w:t>contrôlés</w:t>
      </w:r>
      <w:r>
        <w:rPr>
          <w:color w:val="231F20"/>
          <w:spacing w:val="-5"/>
        </w:rPr>
        <w:t> </w:t>
      </w:r>
      <w:r>
        <w:rPr>
          <w:color w:val="231F20"/>
        </w:rPr>
        <w:t>et</w:t>
      </w:r>
      <w:r>
        <w:rPr>
          <w:color w:val="231F20"/>
          <w:spacing w:val="-5"/>
        </w:rPr>
        <w:t> </w:t>
      </w:r>
      <w:r>
        <w:rPr>
          <w:color w:val="231F20"/>
        </w:rPr>
        <w:t>publiés</w:t>
      </w:r>
      <w:r>
        <w:rPr>
          <w:color w:val="231F20"/>
          <w:spacing w:val="-5"/>
        </w:rPr>
        <w:t> </w:t>
      </w:r>
      <w:r>
        <w:rPr>
          <w:color w:val="231F20"/>
        </w:rPr>
        <w:t>selon</w:t>
      </w:r>
      <w:r>
        <w:rPr>
          <w:color w:val="231F20"/>
          <w:spacing w:val="-6"/>
        </w:rPr>
        <w:t> </w:t>
      </w:r>
      <w:r>
        <w:rPr>
          <w:color w:val="231F20"/>
        </w:rPr>
        <w:t>le</w:t>
      </w:r>
      <w:r>
        <w:rPr>
          <w:color w:val="231F20"/>
          <w:spacing w:val="-5"/>
        </w:rPr>
        <w:t> </w:t>
      </w:r>
      <w:r>
        <w:rPr>
          <w:color w:val="231F20"/>
        </w:rPr>
        <w:t>droit</w:t>
      </w:r>
      <w:r>
        <w:rPr>
          <w:color w:val="231F20"/>
          <w:spacing w:val="-5"/>
        </w:rPr>
        <w:t> </w:t>
      </w:r>
      <w:r>
        <w:rPr>
          <w:color w:val="231F20"/>
        </w:rPr>
        <w:t>de</w:t>
      </w:r>
      <w:r>
        <w:rPr>
          <w:color w:val="231F20"/>
          <w:spacing w:val="-5"/>
        </w:rPr>
        <w:t> </w:t>
      </w:r>
      <w:r>
        <w:rPr>
          <w:color w:val="231F20"/>
        </w:rPr>
        <w:t>l’État dont relève la</w:t>
      </w:r>
      <w:r>
        <w:rPr>
          <w:color w:val="231F20"/>
          <w:spacing w:val="3"/>
        </w:rPr>
        <w:t> </w:t>
      </w:r>
      <w:r>
        <w:rPr>
          <w:color w:val="231F20"/>
        </w:rPr>
        <w:t>société.</w:t>
      </w:r>
    </w:p>
    <w:p>
      <w:pPr>
        <w:pStyle w:val="BodyText"/>
        <w:spacing w:line="218" w:lineRule="auto" w:before="85"/>
        <w:ind w:right="38"/>
      </w:pPr>
      <w:r>
        <w:rPr>
          <w:color w:val="231F20"/>
        </w:rPr>
        <w:t>Ce dépôt a lieu annuellement, dans le mois qui suit leur approbation et au plus tard sept mois après la date de clôture de l’exercice.</w:t>
      </w:r>
    </w:p>
    <w:p>
      <w:pPr>
        <w:pStyle w:val="BodyText"/>
        <w:ind w:left="0" w:right="0" w:firstLine="0"/>
        <w:jc w:val="left"/>
        <w:rPr>
          <w:sz w:val="23"/>
        </w:rPr>
      </w:pPr>
    </w:p>
    <w:p>
      <w:pPr>
        <w:pStyle w:val="BodyText"/>
        <w:spacing w:line="218" w:lineRule="auto"/>
        <w:ind w:right="38"/>
      </w:pPr>
      <w:r>
        <w:rPr>
          <w:color w:val="231F20"/>
        </w:rPr>
        <w:t>Le Roi peut déroger aux alinéas précédents pour ce qui concerne les sociétés étrangères dont les instruments financiers sont admis à un marché réglementé belge, visé à l’article 3, 8°, de la loi du 21 novem- bre 2017 relative aux infrastructures des marchés d’instruments finan- ciers et portant transposition de la directive 2014/65/UE.</w:t>
      </w:r>
    </w:p>
    <w:p>
      <w:pPr>
        <w:pStyle w:val="BodyText"/>
        <w:ind w:left="0" w:right="0" w:firstLine="0"/>
        <w:jc w:val="left"/>
        <w:rPr>
          <w:sz w:val="24"/>
        </w:rPr>
      </w:pPr>
    </w:p>
    <w:p>
      <w:pPr>
        <w:pStyle w:val="BodyText"/>
        <w:spacing w:line="201" w:lineRule="auto"/>
        <w:ind w:right="38"/>
      </w:pPr>
      <w:r>
        <w:rPr>
          <w:color w:val="231F20"/>
        </w:rPr>
        <w:t>§ 2. Les articles 3:12 à 3:16 sont d’application aux documents visées au paragraphe 1</w:t>
      </w:r>
      <w:r>
        <w:rPr>
          <w:color w:val="231F20"/>
          <w:position w:val="7"/>
          <w:sz w:val="11"/>
        </w:rPr>
        <w:t>er</w:t>
      </w:r>
      <w:r>
        <w:rPr>
          <w:color w:val="231F20"/>
        </w:rPr>
        <w:t>.</w:t>
      </w:r>
    </w:p>
    <w:p>
      <w:pPr>
        <w:pStyle w:val="BodyText"/>
        <w:spacing w:line="218" w:lineRule="auto" w:before="71"/>
        <w:ind w:right="38"/>
      </w:pPr>
      <w:r>
        <w:rPr>
          <w:color w:val="231F20"/>
        </w:rPr>
        <w:t>§ 3. L’obligation visée au paragraphe 1</w:t>
      </w:r>
      <w:r>
        <w:rPr>
          <w:color w:val="231F20"/>
          <w:position w:val="7"/>
          <w:sz w:val="11"/>
        </w:rPr>
        <w:t>er </w:t>
      </w:r>
      <w:r>
        <w:rPr>
          <w:color w:val="231F20"/>
        </w:rPr>
        <w:t>est aussi applicable aux comptes annuels de la succursale, qui n’est pas soumise au droit comptable d’un autre État membre de l’Espace économique européen, et dont le droit comptable n’est pas équivalent au système comptable établi par la Directive 2013/34/UE du Parlement européen et du Conseil du 26 juin 2013, établis conformément à l’article 3:1, § 2.</w:t>
      </w:r>
    </w:p>
    <w:p>
      <w:pPr>
        <w:pStyle w:val="BodyText"/>
        <w:ind w:left="0" w:right="0" w:firstLine="0"/>
        <w:jc w:val="left"/>
        <w:rPr>
          <w:sz w:val="23"/>
        </w:rPr>
      </w:pPr>
    </w:p>
    <w:p>
      <w:pPr>
        <w:pStyle w:val="BodyText"/>
        <w:spacing w:line="218" w:lineRule="auto" w:before="1"/>
        <w:ind w:right="38"/>
      </w:pPr>
      <w:r>
        <w:rPr>
          <w:color w:val="231F20"/>
        </w:rPr>
        <w:t>CHAPITRE 2. Les comptes consolidés, le rapport de gestion et les prescriptions en matière de publicité.</w:t>
      </w:r>
    </w:p>
    <w:p>
      <w:pPr>
        <w:pStyle w:val="BodyText"/>
        <w:spacing w:before="56"/>
        <w:ind w:left="283" w:right="0" w:firstLine="0"/>
        <w:jc w:val="left"/>
      </w:pPr>
      <w:r>
        <w:rPr>
          <w:color w:val="231F20"/>
          <w:w w:val="105"/>
        </w:rPr>
        <w:t>Section 1</w:t>
      </w:r>
      <w:r>
        <w:rPr>
          <w:color w:val="231F20"/>
          <w:w w:val="105"/>
          <w:position w:val="7"/>
          <w:sz w:val="11"/>
        </w:rPr>
        <w:t>re</w:t>
      </w:r>
      <w:r>
        <w:rPr>
          <w:color w:val="231F20"/>
          <w:w w:val="105"/>
        </w:rPr>
        <w:t>. Champ d’application.</w:t>
      </w:r>
    </w:p>
    <w:p>
      <w:pPr>
        <w:pStyle w:val="BodyText"/>
        <w:spacing w:line="218" w:lineRule="auto" w:before="82"/>
        <w:ind w:right="38"/>
      </w:pPr>
      <w:r>
        <w:rPr>
          <w:color w:val="231F20"/>
        </w:rPr>
        <w:t>Art. 3:21. Sans préjudice de dispositions contraires dans d’autres lois, le présent chapitre n’est pas applicable:</w:t>
      </w:r>
    </w:p>
    <w:p>
      <w:pPr>
        <w:pStyle w:val="BodyText"/>
        <w:spacing w:line="218" w:lineRule="auto" w:before="85"/>
        <w:ind w:right="38"/>
      </w:pPr>
      <w:r>
        <w:rPr>
          <w:color w:val="231F20"/>
        </w:rPr>
        <w:t>1° aux sociétés régies par la loi du 25 avril 2014 relative au statut et au contrôle des établissements de crédit et des sociétés de bourse, à la Banque nationale de Belgique, à l’Institut de réescompte et de garantie et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Caisse</w:t>
      </w:r>
      <w:r>
        <w:rPr>
          <w:color w:val="231F20"/>
          <w:spacing w:val="15"/>
        </w:rPr>
        <w:t> </w:t>
      </w:r>
      <w:r>
        <w:rPr>
          <w:color w:val="231F20"/>
        </w:rPr>
        <w:t>des</w:t>
      </w:r>
      <w:r>
        <w:rPr>
          <w:color w:val="231F20"/>
          <w:spacing w:val="15"/>
        </w:rPr>
        <w:t> </w:t>
      </w:r>
      <w:r>
        <w:rPr>
          <w:color w:val="231F20"/>
        </w:rPr>
        <w:t>dépôts</w:t>
      </w:r>
      <w:r>
        <w:rPr>
          <w:color w:val="231F20"/>
          <w:spacing w:val="15"/>
        </w:rPr>
        <w:t> </w:t>
      </w:r>
      <w:r>
        <w:rPr>
          <w:color w:val="231F20"/>
        </w:rPr>
        <w:t>et</w:t>
      </w:r>
      <w:r>
        <w:rPr>
          <w:color w:val="231F20"/>
          <w:spacing w:val="15"/>
        </w:rPr>
        <w:t> </w:t>
      </w:r>
      <w:r>
        <w:rPr>
          <w:color w:val="231F20"/>
        </w:rPr>
        <w:t>consignations;</w:t>
      </w:r>
    </w:p>
    <w:p>
      <w:pPr>
        <w:pStyle w:val="BodyText"/>
        <w:spacing w:line="218" w:lineRule="auto" w:before="86"/>
        <w:ind w:right="38"/>
      </w:pPr>
      <w:r>
        <w:rPr>
          <w:color w:val="231F20"/>
        </w:rPr>
        <w:t>2° aux entreprises d’investissement visées à l’article 3 de la loi du     25 octobre 2016 relative à l’accès à l’activité de prestation de services d’investissement et au statut et au contrôle des sociétés de gestion de portefeuille et de conseil en investissement, à l’exclusion des institu- tions</w:t>
      </w:r>
      <w:r>
        <w:rPr>
          <w:color w:val="231F20"/>
          <w:spacing w:val="14"/>
        </w:rPr>
        <w:t> </w:t>
      </w:r>
      <w:r>
        <w:rPr>
          <w:color w:val="231F20"/>
        </w:rPr>
        <w:t>visées</w:t>
      </w:r>
      <w:r>
        <w:rPr>
          <w:color w:val="231F20"/>
          <w:spacing w:val="15"/>
        </w:rPr>
        <w:t> </w:t>
      </w:r>
      <w:r>
        <w:rPr>
          <w:color w:val="231F20"/>
        </w:rPr>
        <w:t>à</w:t>
      </w:r>
      <w:r>
        <w:rPr>
          <w:color w:val="231F20"/>
          <w:spacing w:val="15"/>
        </w:rPr>
        <w:t> </w:t>
      </w:r>
      <w:r>
        <w:rPr>
          <w:color w:val="231F20"/>
        </w:rPr>
        <w:t>l’article</w:t>
      </w:r>
      <w:r>
        <w:rPr>
          <w:color w:val="231F20"/>
          <w:spacing w:val="14"/>
        </w:rPr>
        <w:t> </w:t>
      </w:r>
      <w:r>
        <w:rPr>
          <w:color w:val="231F20"/>
        </w:rPr>
        <w:t>4</w:t>
      </w:r>
      <w:r>
        <w:rPr>
          <w:color w:val="231F20"/>
          <w:spacing w:val="15"/>
        </w:rPr>
        <w:t> </w:t>
      </w:r>
      <w:r>
        <w:rPr>
          <w:color w:val="231F20"/>
        </w:rPr>
        <w:t>de</w:t>
      </w:r>
      <w:r>
        <w:rPr>
          <w:color w:val="231F20"/>
          <w:spacing w:val="15"/>
        </w:rPr>
        <w:t> </w:t>
      </w:r>
      <w:r>
        <w:rPr>
          <w:color w:val="231F20"/>
        </w:rPr>
        <w:t>cette</w:t>
      </w:r>
      <w:r>
        <w:rPr>
          <w:color w:val="231F20"/>
          <w:spacing w:val="14"/>
        </w:rPr>
        <w:t> </w:t>
      </w:r>
      <w:r>
        <w:rPr>
          <w:color w:val="231F20"/>
        </w:rPr>
        <w:t>loi;</w:t>
      </w:r>
    </w:p>
    <w:p>
      <w:pPr>
        <w:pStyle w:val="BodyText"/>
        <w:spacing w:line="218" w:lineRule="auto" w:before="71"/>
        <w:ind w:right="38"/>
      </w:pPr>
      <w:r>
        <w:rPr>
          <w:color w:val="231F20"/>
        </w:rPr>
        <w:t>3° aux organismes de liquidation visés à l’article 23, § 1</w:t>
      </w:r>
      <w:r>
        <w:rPr>
          <w:color w:val="231F20"/>
          <w:position w:val="7"/>
          <w:sz w:val="11"/>
        </w:rPr>
        <w:t>er</w:t>
      </w:r>
      <w:r>
        <w:rPr>
          <w:color w:val="231F20"/>
        </w:rPr>
        <w:t>, de la loi du 2</w:t>
      </w:r>
      <w:r>
        <w:rPr>
          <w:color w:val="231F20"/>
          <w:spacing w:val="-4"/>
        </w:rPr>
        <w:t> </w:t>
      </w:r>
      <w:r>
        <w:rPr>
          <w:color w:val="231F20"/>
        </w:rPr>
        <w:t>août</w:t>
      </w:r>
      <w:r>
        <w:rPr>
          <w:color w:val="231F20"/>
          <w:spacing w:val="-4"/>
        </w:rPr>
        <w:t> </w:t>
      </w:r>
      <w:r>
        <w:rPr>
          <w:color w:val="231F20"/>
        </w:rPr>
        <w:t>2002</w:t>
      </w:r>
      <w:r>
        <w:rPr>
          <w:color w:val="231F20"/>
          <w:spacing w:val="-3"/>
        </w:rPr>
        <w:t> </w:t>
      </w:r>
      <w:r>
        <w:rPr>
          <w:color w:val="231F20"/>
        </w:rPr>
        <w:t>relative</w:t>
      </w:r>
      <w:r>
        <w:rPr>
          <w:color w:val="231F20"/>
          <w:spacing w:val="-4"/>
        </w:rPr>
        <w:t> </w:t>
      </w:r>
      <w:r>
        <w:rPr>
          <w:color w:val="231F20"/>
        </w:rPr>
        <w:t>à</w:t>
      </w:r>
      <w:r>
        <w:rPr>
          <w:color w:val="231F20"/>
          <w:spacing w:val="-4"/>
        </w:rPr>
        <w:t> </w:t>
      </w:r>
      <w:r>
        <w:rPr>
          <w:color w:val="231F20"/>
        </w:rPr>
        <w:t>la</w:t>
      </w:r>
      <w:r>
        <w:rPr>
          <w:color w:val="231F20"/>
          <w:spacing w:val="-3"/>
        </w:rPr>
        <w:t> </w:t>
      </w:r>
      <w:r>
        <w:rPr>
          <w:color w:val="231F20"/>
        </w:rPr>
        <w:t>surveillance</w:t>
      </w:r>
      <w:r>
        <w:rPr>
          <w:color w:val="231F20"/>
          <w:spacing w:val="-4"/>
        </w:rPr>
        <w:t> </w:t>
      </w:r>
      <w:r>
        <w:rPr>
          <w:color w:val="231F20"/>
        </w:rPr>
        <w:t>du</w:t>
      </w:r>
      <w:r>
        <w:rPr>
          <w:color w:val="231F20"/>
          <w:spacing w:val="-3"/>
        </w:rPr>
        <w:t> </w:t>
      </w:r>
      <w:r>
        <w:rPr>
          <w:color w:val="231F20"/>
        </w:rPr>
        <w:t>secteur</w:t>
      </w:r>
      <w:r>
        <w:rPr>
          <w:color w:val="231F20"/>
          <w:spacing w:val="-4"/>
        </w:rPr>
        <w:t> </w:t>
      </w:r>
      <w:r>
        <w:rPr>
          <w:color w:val="231F20"/>
        </w:rPr>
        <w:t>financier</w:t>
      </w:r>
      <w:r>
        <w:rPr>
          <w:color w:val="231F20"/>
          <w:spacing w:val="-4"/>
        </w:rPr>
        <w:t> </w:t>
      </w:r>
      <w:r>
        <w:rPr>
          <w:color w:val="231F20"/>
        </w:rPr>
        <w:t>et</w:t>
      </w:r>
      <w:r>
        <w:rPr>
          <w:color w:val="231F20"/>
          <w:spacing w:val="-3"/>
        </w:rPr>
        <w:t> </w:t>
      </w:r>
      <w:r>
        <w:rPr>
          <w:color w:val="231F20"/>
        </w:rPr>
        <w:t>aux</w:t>
      </w:r>
      <w:r>
        <w:rPr>
          <w:color w:val="231F20"/>
          <w:spacing w:val="-4"/>
        </w:rPr>
        <w:t> </w:t>
      </w:r>
      <w:r>
        <w:rPr>
          <w:color w:val="231F20"/>
        </w:rPr>
        <w:t>services financiers, qui ne sont pas des établissements de crédit établis en Belgique, et aux organismes assimilés à des organismes de liquidation déterminés</w:t>
      </w:r>
      <w:r>
        <w:rPr>
          <w:color w:val="231F20"/>
          <w:spacing w:val="13"/>
        </w:rPr>
        <w:t> </w:t>
      </w:r>
      <w:r>
        <w:rPr>
          <w:color w:val="231F20"/>
        </w:rPr>
        <w:t>par</w:t>
      </w:r>
      <w:r>
        <w:rPr>
          <w:color w:val="231F20"/>
          <w:spacing w:val="13"/>
        </w:rPr>
        <w:t> </w:t>
      </w:r>
      <w:r>
        <w:rPr>
          <w:color w:val="231F20"/>
        </w:rPr>
        <w:t>le</w:t>
      </w:r>
      <w:r>
        <w:rPr>
          <w:color w:val="231F20"/>
          <w:spacing w:val="14"/>
        </w:rPr>
        <w:t> </w:t>
      </w:r>
      <w:r>
        <w:rPr>
          <w:color w:val="231F20"/>
        </w:rPr>
        <w:t>Roi</w:t>
      </w:r>
      <w:r>
        <w:rPr>
          <w:color w:val="231F20"/>
          <w:spacing w:val="13"/>
        </w:rPr>
        <w:t> </w:t>
      </w:r>
      <w:r>
        <w:rPr>
          <w:color w:val="231F20"/>
        </w:rPr>
        <w:t>en</w:t>
      </w:r>
      <w:r>
        <w:rPr>
          <w:color w:val="231F20"/>
          <w:spacing w:val="13"/>
        </w:rPr>
        <w:t> </w:t>
      </w:r>
      <w:r>
        <w:rPr>
          <w:color w:val="231F20"/>
        </w:rPr>
        <w:t>application</w:t>
      </w:r>
      <w:r>
        <w:rPr>
          <w:color w:val="231F20"/>
          <w:spacing w:val="14"/>
        </w:rPr>
        <w:t> </w:t>
      </w:r>
      <w:r>
        <w:rPr>
          <w:color w:val="231F20"/>
        </w:rPr>
        <w:t>de</w:t>
      </w:r>
      <w:r>
        <w:rPr>
          <w:color w:val="231F20"/>
          <w:spacing w:val="13"/>
        </w:rPr>
        <w:t> </w:t>
      </w:r>
      <w:r>
        <w:rPr>
          <w:color w:val="231F20"/>
        </w:rPr>
        <w:t>l’article</w:t>
      </w:r>
      <w:r>
        <w:rPr>
          <w:color w:val="231F20"/>
          <w:spacing w:val="14"/>
        </w:rPr>
        <w:t> </w:t>
      </w:r>
      <w:r>
        <w:rPr>
          <w:color w:val="231F20"/>
        </w:rPr>
        <w:t>23,</w:t>
      </w:r>
      <w:r>
        <w:rPr>
          <w:color w:val="231F20"/>
          <w:spacing w:val="13"/>
        </w:rPr>
        <w:t> </w:t>
      </w:r>
      <w:r>
        <w:rPr>
          <w:color w:val="231F20"/>
        </w:rPr>
        <w:t>§</w:t>
      </w:r>
      <w:r>
        <w:rPr>
          <w:color w:val="231F20"/>
          <w:spacing w:val="13"/>
        </w:rPr>
        <w:t> </w:t>
      </w:r>
      <w:r>
        <w:rPr>
          <w:color w:val="231F20"/>
        </w:rPr>
        <w:t>7,</w:t>
      </w:r>
      <w:r>
        <w:rPr>
          <w:color w:val="231F20"/>
          <w:spacing w:val="14"/>
        </w:rPr>
        <w:t> </w:t>
      </w:r>
      <w:r>
        <w:rPr>
          <w:color w:val="231F20"/>
        </w:rPr>
        <w:t>de</w:t>
      </w:r>
      <w:r>
        <w:rPr>
          <w:color w:val="231F20"/>
          <w:spacing w:val="13"/>
        </w:rPr>
        <w:t> </w:t>
      </w:r>
      <w:r>
        <w:rPr>
          <w:color w:val="231F20"/>
        </w:rPr>
        <w:t>cette</w:t>
      </w:r>
      <w:r>
        <w:rPr>
          <w:color w:val="231F20"/>
          <w:spacing w:val="13"/>
        </w:rPr>
        <w:t> </w:t>
      </w:r>
      <w:r>
        <w:rPr>
          <w:color w:val="231F20"/>
        </w:rPr>
        <w:t>loi;</w:t>
      </w:r>
    </w:p>
    <w:p>
      <w:pPr>
        <w:pStyle w:val="BodyText"/>
        <w:ind w:left="0" w:right="0" w:firstLine="0"/>
        <w:jc w:val="left"/>
        <w:rPr>
          <w:sz w:val="23"/>
        </w:rPr>
      </w:pPr>
    </w:p>
    <w:p>
      <w:pPr>
        <w:pStyle w:val="BodyText"/>
        <w:spacing w:line="218" w:lineRule="auto"/>
        <w:ind w:right="38"/>
      </w:pPr>
      <w:r>
        <w:rPr>
          <w:color w:val="231F20"/>
        </w:rPr>
        <w:t>4° aux entreprises agricoles agréées conformément à l’article 8:2 qui ont pris la forme d’une société en nom collectif ou d’une société en commandite et qui sont assujetties à l’impôt des personnes physiques.</w:t>
      </w:r>
    </w:p>
    <w:p>
      <w:pPr>
        <w:pStyle w:val="BodyText"/>
        <w:spacing w:before="8"/>
        <w:ind w:left="0" w:right="0" w:firstLine="0"/>
        <w:jc w:val="left"/>
        <w:rPr>
          <w:sz w:val="22"/>
        </w:rPr>
      </w:pPr>
    </w:p>
    <w:p>
      <w:pPr>
        <w:pStyle w:val="BodyText"/>
        <w:ind w:left="283" w:right="0" w:firstLine="0"/>
        <w:jc w:val="left"/>
      </w:pPr>
      <w:r>
        <w:rPr>
          <w:color w:val="231F20"/>
        </w:rPr>
        <w:t>Section 2. Généralités: l’obligation de consolidation.</w:t>
      </w:r>
    </w:p>
    <w:p>
      <w:pPr>
        <w:pStyle w:val="BodyText"/>
        <w:spacing w:before="79"/>
        <w:ind w:left="283" w:right="0" w:firstLine="0"/>
        <w:jc w:val="left"/>
      </w:pPr>
      <w:r>
        <w:rPr>
          <w:color w:val="231F20"/>
        </w:rPr>
        <w:t>Art. 3:22. Pour l’application du présent chapitre, on entend par:</w:t>
      </w:r>
    </w:p>
    <w:p>
      <w:pPr>
        <w:pStyle w:val="ListParagraph"/>
        <w:numPr>
          <w:ilvl w:val="0"/>
          <w:numId w:val="48"/>
        </w:numPr>
        <w:tabs>
          <w:tab w:pos="517" w:val="left" w:leader="none"/>
        </w:tabs>
        <w:spacing w:line="218" w:lineRule="auto" w:before="92" w:after="0"/>
        <w:ind w:left="113" w:right="38" w:firstLine="170"/>
        <w:jc w:val="both"/>
        <w:rPr>
          <w:sz w:val="17"/>
        </w:rPr>
      </w:pPr>
      <w:r>
        <w:rPr>
          <w:color w:val="231F20"/>
          <w:sz w:val="17"/>
        </w:rPr>
        <w:t>“société consolidante”, la société qui établit les comptes consoli- dés;</w:t>
      </w:r>
    </w:p>
    <w:p>
      <w:pPr>
        <w:pStyle w:val="ListParagraph"/>
        <w:numPr>
          <w:ilvl w:val="0"/>
          <w:numId w:val="48"/>
        </w:numPr>
        <w:tabs>
          <w:tab w:pos="499" w:val="left" w:leader="none"/>
        </w:tabs>
        <w:spacing w:line="218" w:lineRule="auto" w:before="96" w:after="0"/>
        <w:ind w:left="113" w:right="38" w:firstLine="170"/>
        <w:jc w:val="both"/>
        <w:rPr>
          <w:sz w:val="17"/>
        </w:rPr>
      </w:pPr>
      <w:r>
        <w:rPr>
          <w:color w:val="231F20"/>
          <w:sz w:val="17"/>
        </w:rPr>
        <w:t>“sociétés comprises dans la consolidation”, la société consolidante ainsi que ses sociétés filiales et ses entreprises filiales consolidées par intégration globale ou par intégration proportionnelle; ne sont pas considérées comme sociétés comprises dans la consolidation, les sociétés et entreprises filiales dont la quote-part des capitaux propres et du résultat est incluse dans les comptes consolidés par la méthode de mise en</w:t>
      </w:r>
      <w:r>
        <w:rPr>
          <w:color w:val="231F20"/>
          <w:spacing w:val="-11"/>
          <w:sz w:val="17"/>
        </w:rPr>
        <w:t> </w:t>
      </w:r>
      <w:r>
        <w:rPr>
          <w:color w:val="231F20"/>
          <w:sz w:val="17"/>
        </w:rPr>
        <w:t>équivalence;</w:t>
      </w:r>
    </w:p>
    <w:p>
      <w:pPr>
        <w:pStyle w:val="ListParagraph"/>
        <w:numPr>
          <w:ilvl w:val="0"/>
          <w:numId w:val="48"/>
        </w:numPr>
        <w:tabs>
          <w:tab w:pos="507" w:val="left" w:leader="none"/>
        </w:tabs>
        <w:spacing w:line="440" w:lineRule="atLeast" w:before="12" w:after="0"/>
        <w:ind w:left="283" w:right="38" w:firstLine="0"/>
        <w:jc w:val="left"/>
        <w:rPr>
          <w:sz w:val="17"/>
        </w:rPr>
      </w:pPr>
      <w:r>
        <w:rPr>
          <w:color w:val="231F20"/>
          <w:sz w:val="17"/>
        </w:rPr>
        <w:t>“entreprise filiale”, si elle est sous le contrôle d’une société belge, 1°</w:t>
      </w:r>
      <w:r>
        <w:rPr>
          <w:color w:val="231F20"/>
          <w:spacing w:val="15"/>
          <w:sz w:val="17"/>
        </w:rPr>
        <w:t> </w:t>
      </w:r>
      <w:r>
        <w:rPr>
          <w:color w:val="231F20"/>
          <w:sz w:val="17"/>
        </w:rPr>
        <w:t>la</w:t>
      </w:r>
      <w:r>
        <w:rPr>
          <w:color w:val="231F20"/>
          <w:spacing w:val="15"/>
          <w:sz w:val="17"/>
        </w:rPr>
        <w:t> </w:t>
      </w:r>
      <w:r>
        <w:rPr>
          <w:color w:val="231F20"/>
          <w:sz w:val="17"/>
        </w:rPr>
        <w:t>société</w:t>
      </w:r>
      <w:r>
        <w:rPr>
          <w:color w:val="231F20"/>
          <w:spacing w:val="15"/>
          <w:sz w:val="17"/>
        </w:rPr>
        <w:t> </w:t>
      </w:r>
      <w:r>
        <w:rPr>
          <w:color w:val="231F20"/>
          <w:sz w:val="17"/>
        </w:rPr>
        <w:t>filiale</w:t>
      </w:r>
      <w:r>
        <w:rPr>
          <w:color w:val="231F20"/>
          <w:spacing w:val="15"/>
          <w:sz w:val="17"/>
        </w:rPr>
        <w:t> </w:t>
      </w:r>
      <w:r>
        <w:rPr>
          <w:color w:val="231F20"/>
          <w:sz w:val="17"/>
        </w:rPr>
        <w:t>de</w:t>
      </w:r>
      <w:r>
        <w:rPr>
          <w:color w:val="231F20"/>
          <w:spacing w:val="15"/>
          <w:sz w:val="17"/>
        </w:rPr>
        <w:t> </w:t>
      </w:r>
      <w:r>
        <w:rPr>
          <w:color w:val="231F20"/>
          <w:sz w:val="17"/>
        </w:rPr>
        <w:t>droit</w:t>
      </w:r>
      <w:r>
        <w:rPr>
          <w:color w:val="231F20"/>
          <w:spacing w:val="15"/>
          <w:sz w:val="17"/>
        </w:rPr>
        <w:t> </w:t>
      </w:r>
      <w:r>
        <w:rPr>
          <w:color w:val="231F20"/>
          <w:sz w:val="17"/>
        </w:rPr>
        <w:t>belge</w:t>
      </w:r>
      <w:r>
        <w:rPr>
          <w:color w:val="231F20"/>
          <w:spacing w:val="15"/>
          <w:sz w:val="17"/>
        </w:rPr>
        <w:t> </w:t>
      </w:r>
      <w:r>
        <w:rPr>
          <w:color w:val="231F20"/>
          <w:sz w:val="17"/>
        </w:rPr>
        <w:t>ou</w:t>
      </w:r>
      <w:r>
        <w:rPr>
          <w:color w:val="231F20"/>
          <w:spacing w:val="15"/>
          <w:sz w:val="17"/>
        </w:rPr>
        <w:t> </w:t>
      </w:r>
      <w:r>
        <w:rPr>
          <w:color w:val="231F20"/>
          <w:sz w:val="17"/>
        </w:rPr>
        <w:t>étranger,</w:t>
      </w:r>
    </w:p>
    <w:p>
      <w:pPr>
        <w:pStyle w:val="BodyText"/>
        <w:spacing w:line="218" w:lineRule="auto" w:before="100"/>
        <w:ind w:right="38"/>
      </w:pPr>
      <w:r>
        <w:rPr>
          <w:color w:val="231F20"/>
        </w:rPr>
        <w:t>2° le groupement européen d’intérêt économique ayant son siège en Belgique ou à l’étranger, et</w:t>
      </w:r>
    </w:p>
    <w:p>
      <w:pPr>
        <w:pStyle w:val="BodyText"/>
        <w:spacing w:line="218" w:lineRule="auto" w:before="96"/>
        <w:ind w:right="38"/>
      </w:pPr>
      <w:r>
        <w:rPr>
          <w:color w:val="231F20"/>
        </w:rPr>
        <w:t>3° l’organisme de droit belge ou étranger, public ou non, avec ou sans distribution des bénéfices, qui, en raison de sa mission statutaire ou non, exerce une activité à caractère commercial, financier ou industriel;</w:t>
      </w:r>
    </w:p>
    <w:p>
      <w:pPr>
        <w:pStyle w:val="BodyText"/>
        <w:spacing w:before="11"/>
        <w:ind w:left="0" w:right="0" w:firstLine="0"/>
        <w:jc w:val="left"/>
        <w:rPr>
          <w:sz w:val="23"/>
        </w:rPr>
      </w:pPr>
    </w:p>
    <w:p>
      <w:pPr>
        <w:pStyle w:val="ListParagraph"/>
        <w:numPr>
          <w:ilvl w:val="0"/>
          <w:numId w:val="48"/>
        </w:numPr>
        <w:tabs>
          <w:tab w:pos="577" w:val="left" w:leader="none"/>
        </w:tabs>
        <w:spacing w:line="218" w:lineRule="auto" w:before="0" w:after="0"/>
        <w:ind w:left="113" w:right="38" w:firstLine="170"/>
        <w:jc w:val="both"/>
        <w:rPr>
          <w:sz w:val="17"/>
        </w:rPr>
      </w:pPr>
      <w:r>
        <w:rPr>
          <w:color w:val="231F20"/>
          <w:sz w:val="17"/>
        </w:rPr>
        <w:t>“ensemble consolidé”, l’ensemble constitué par les sociétés comprises dans la</w:t>
      </w:r>
      <w:r>
        <w:rPr>
          <w:color w:val="231F20"/>
          <w:spacing w:val="4"/>
          <w:sz w:val="17"/>
        </w:rPr>
        <w:t> </w:t>
      </w:r>
      <w:r>
        <w:rPr>
          <w:color w:val="231F20"/>
          <w:sz w:val="17"/>
        </w:rPr>
        <w:t>consolidation.</w:t>
      </w:r>
    </w:p>
    <w:p>
      <w:pPr>
        <w:pStyle w:val="BodyText"/>
        <w:spacing w:line="218" w:lineRule="auto" w:before="96"/>
        <w:ind w:right="38"/>
      </w:pPr>
      <w:r>
        <w:rPr>
          <w:color w:val="231F20"/>
        </w:rPr>
        <w:t>Art. 3:23. Toute société mère est tenue d’établir des comptes consolidés et un rapport de gestion sur les comptes consolidés si, seule ou conjointement, elle contrôle une ou plusieurs entreprises filiales.</w:t>
      </w:r>
    </w:p>
    <w:p>
      <w:pPr>
        <w:pStyle w:val="BodyText"/>
        <w:spacing w:before="11"/>
        <w:ind w:left="0" w:right="0" w:firstLine="0"/>
        <w:jc w:val="left"/>
        <w:rPr>
          <w:sz w:val="23"/>
        </w:rPr>
      </w:pPr>
    </w:p>
    <w:p>
      <w:pPr>
        <w:pStyle w:val="BodyText"/>
        <w:spacing w:line="218" w:lineRule="auto"/>
        <w:ind w:right="38"/>
      </w:pPr>
      <w:r>
        <w:rPr>
          <w:color w:val="231F20"/>
        </w:rPr>
        <w:t>Une société mère qui ne possède que des entreprises filiales qui, eu égard à l’évaluation du patrimoine consolidé, de la position financière</w:t>
      </w:r>
    </w:p>
    <w:p>
      <w:pPr>
        <w:pStyle w:val="BodyText"/>
        <w:spacing w:line="218" w:lineRule="auto" w:before="119"/>
        <w:ind w:right="0" w:firstLine="0"/>
        <w:jc w:val="left"/>
      </w:pPr>
      <w:r>
        <w:rPr/>
        <w:br w:type="column"/>
      </w:r>
      <w:r>
        <w:rPr>
          <w:color w:val="231F20"/>
        </w:rPr>
        <w:t>rekeningen werden opgesteld, gecontroleerd en openbaar gemaakt volgens het recht van de Staat waaronder de vennootschap valt.</w:t>
      </w:r>
    </w:p>
    <w:p>
      <w:pPr>
        <w:pStyle w:val="BodyText"/>
        <w:spacing w:line="218" w:lineRule="auto" w:before="86"/>
      </w:pPr>
      <w:r>
        <w:rPr>
          <w:color w:val="231F20"/>
        </w:rPr>
        <w:t>Deze neerlegging gebeurt jaarlijks, binnen de maand volgend op de goedkeuring ervan, en ten laatste zeven maanden na de datum van afsluiting van het boekjaar.</w:t>
      </w:r>
    </w:p>
    <w:p>
      <w:pPr>
        <w:pStyle w:val="BodyText"/>
        <w:spacing w:line="218" w:lineRule="auto" w:before="85"/>
      </w:pPr>
      <w:r>
        <w:rPr>
          <w:color w:val="231F20"/>
        </w:rPr>
        <w:t>De Koning kan van de vorige leden afwijken voor de buitenlandse vennootschappen waarvan de financiële instrumenten opgenomen zijn in een Belgische gereglementeerde markt, als bedoeld in artikel 3, 8°, van de wet van 21 november 2017 over de infrastructuren voor de markten voor financiële instrumenten en houdende omzetting van richtlijn 2014/65/EU.</w:t>
      </w:r>
    </w:p>
    <w:p>
      <w:pPr>
        <w:pStyle w:val="BodyText"/>
        <w:spacing w:line="218" w:lineRule="auto" w:before="86"/>
        <w:ind w:right="125"/>
      </w:pPr>
      <w:r>
        <w:rPr>
          <w:color w:val="231F20"/>
        </w:rPr>
        <w:t>§ 2. De artikelen 3:12 tot 3:16 zijn van toepassing op de stukken bedoeld in paragraaf 1.</w:t>
      </w:r>
    </w:p>
    <w:p>
      <w:pPr>
        <w:pStyle w:val="BodyText"/>
        <w:spacing w:line="218" w:lineRule="auto" w:before="86"/>
      </w:pPr>
      <w:r>
        <w:rPr>
          <w:color w:val="231F20"/>
        </w:rPr>
        <w:t>§ 3. De in paragraaf 1 bedoelde verplichting geldt ook voor de jaarrekening van het bijkantoor van een vennootschap die niet is onderworpen aan het boekhoudrecht van een andere lidstaat van de Europese Economische Ruimte, en waarvan het boekhoudrecht ook niet gelijkwaardig is aan het Europese boekhoudstelsel neergelegd in richtlijn 2013/34/EU van het Europees Parlement en van de Raad van 26</w:t>
      </w:r>
      <w:r>
        <w:rPr>
          <w:color w:val="231F20"/>
          <w:spacing w:val="13"/>
        </w:rPr>
        <w:t> </w:t>
      </w:r>
      <w:r>
        <w:rPr>
          <w:color w:val="231F20"/>
        </w:rPr>
        <w:t>juni</w:t>
      </w:r>
      <w:r>
        <w:rPr>
          <w:color w:val="231F20"/>
          <w:spacing w:val="13"/>
        </w:rPr>
        <w:t> </w:t>
      </w:r>
      <w:r>
        <w:rPr>
          <w:color w:val="231F20"/>
        </w:rPr>
        <w:t>2013,</w:t>
      </w:r>
      <w:r>
        <w:rPr>
          <w:color w:val="231F20"/>
          <w:spacing w:val="13"/>
        </w:rPr>
        <w:t> </w:t>
      </w:r>
      <w:r>
        <w:rPr>
          <w:color w:val="231F20"/>
        </w:rPr>
        <w:t>opgemaakt</w:t>
      </w:r>
      <w:r>
        <w:rPr>
          <w:color w:val="231F20"/>
          <w:spacing w:val="13"/>
        </w:rPr>
        <w:t> </w:t>
      </w:r>
      <w:r>
        <w:rPr>
          <w:color w:val="231F20"/>
        </w:rPr>
        <w:t>overeenkomstig</w:t>
      </w:r>
      <w:r>
        <w:rPr>
          <w:color w:val="231F20"/>
          <w:spacing w:val="13"/>
        </w:rPr>
        <w:t> </w:t>
      </w:r>
      <w:r>
        <w:rPr>
          <w:color w:val="231F20"/>
        </w:rPr>
        <w:t>artikel</w:t>
      </w:r>
      <w:r>
        <w:rPr>
          <w:color w:val="231F20"/>
          <w:spacing w:val="14"/>
        </w:rPr>
        <w:t> </w:t>
      </w:r>
      <w:r>
        <w:rPr>
          <w:color w:val="231F20"/>
        </w:rPr>
        <w:t>3:1,</w:t>
      </w:r>
      <w:r>
        <w:rPr>
          <w:color w:val="231F20"/>
          <w:spacing w:val="13"/>
        </w:rPr>
        <w:t> </w:t>
      </w:r>
      <w:r>
        <w:rPr>
          <w:color w:val="231F20"/>
        </w:rPr>
        <w:t>§</w:t>
      </w:r>
      <w:r>
        <w:rPr>
          <w:color w:val="231F20"/>
          <w:spacing w:val="13"/>
        </w:rPr>
        <w:t> </w:t>
      </w:r>
      <w:r>
        <w:rPr>
          <w:color w:val="231F20"/>
        </w:rPr>
        <w:t>2.</w:t>
      </w:r>
    </w:p>
    <w:p>
      <w:pPr>
        <w:pStyle w:val="BodyText"/>
        <w:spacing w:line="218" w:lineRule="auto" w:before="86"/>
      </w:pPr>
      <w:r>
        <w:rPr>
          <w:color w:val="231F20"/>
        </w:rPr>
        <w:t>HOOFDSTUK 2. De geconsolideerde jaarrekening, het jaarverslag en de openbaarmakingsvoorschriften.</w:t>
      </w:r>
    </w:p>
    <w:p>
      <w:pPr>
        <w:pStyle w:val="BodyText"/>
        <w:spacing w:before="71"/>
        <w:ind w:left="283" w:right="0" w:firstLine="0"/>
        <w:jc w:val="left"/>
      </w:pPr>
      <w:r>
        <w:rPr>
          <w:color w:val="231F20"/>
          <w:w w:val="105"/>
        </w:rPr>
        <w:t>Afdeling 1. Toepassingsgebied.</w:t>
      </w:r>
    </w:p>
    <w:p>
      <w:pPr>
        <w:pStyle w:val="BodyText"/>
        <w:spacing w:line="218" w:lineRule="auto" w:before="82"/>
      </w:pPr>
      <w:r>
        <w:rPr>
          <w:color w:val="231F20"/>
        </w:rPr>
        <w:t>Art. 3:21. Onverminderd andersluidende bepalingen in andere wetten, is dit hoofdstuk niet van toepassing op:</w:t>
      </w:r>
    </w:p>
    <w:p>
      <w:pPr>
        <w:pStyle w:val="BodyText"/>
        <w:spacing w:line="218" w:lineRule="auto" w:before="86"/>
        <w:ind w:right="123"/>
      </w:pPr>
      <w:r>
        <w:rPr>
          <w:color w:val="231F20"/>
        </w:rPr>
        <w:t>1° vennootschappen die vallen onder de wet van 25 april 2014 op het statuut van en het toezicht op kredietinstellingen en beursvennoot- schappen, de Nationale Bank van België, het Herdisconterings- en Waarborginstituut en de Deposito- en Consignatiekas;</w:t>
      </w:r>
    </w:p>
    <w:p>
      <w:pPr>
        <w:pStyle w:val="BodyText"/>
        <w:spacing w:line="218" w:lineRule="auto" w:before="85"/>
        <w:ind w:right="123"/>
      </w:pPr>
      <w:r>
        <w:rPr>
          <w:color w:val="231F20"/>
        </w:rPr>
        <w:t>2° beleggingsondernemingen bedoeld bij artikel 3 van de wet van    25 oktober 2016 betreffende de toegang tot het beleggingsdienstenbe- drijf en betreffende het statuut van en het toezicht op de vennootschap- pen voor vermogensbeheer en beleggingsadvies, met uitsluiting van de instellingen</w:t>
      </w:r>
      <w:r>
        <w:rPr>
          <w:color w:val="231F20"/>
          <w:spacing w:val="15"/>
        </w:rPr>
        <w:t> </w:t>
      </w:r>
      <w:r>
        <w:rPr>
          <w:color w:val="231F20"/>
        </w:rPr>
        <w:t>bedoeld</w:t>
      </w:r>
      <w:r>
        <w:rPr>
          <w:color w:val="231F20"/>
          <w:spacing w:val="16"/>
        </w:rPr>
        <w:t> </w:t>
      </w:r>
      <w:r>
        <w:rPr>
          <w:color w:val="231F20"/>
        </w:rPr>
        <w:t>bij</w:t>
      </w:r>
      <w:r>
        <w:rPr>
          <w:color w:val="231F20"/>
          <w:spacing w:val="15"/>
        </w:rPr>
        <w:t> </w:t>
      </w:r>
      <w:r>
        <w:rPr>
          <w:color w:val="231F20"/>
        </w:rPr>
        <w:t>artikel</w:t>
      </w:r>
      <w:r>
        <w:rPr>
          <w:color w:val="231F20"/>
          <w:spacing w:val="16"/>
        </w:rPr>
        <w:t> </w:t>
      </w:r>
      <w:r>
        <w:rPr>
          <w:color w:val="231F20"/>
        </w:rPr>
        <w:t>4</w:t>
      </w:r>
      <w:r>
        <w:rPr>
          <w:color w:val="231F20"/>
          <w:spacing w:val="15"/>
        </w:rPr>
        <w:t> </w:t>
      </w:r>
      <w:r>
        <w:rPr>
          <w:color w:val="231F20"/>
        </w:rPr>
        <w:t>van</w:t>
      </w:r>
      <w:r>
        <w:rPr>
          <w:color w:val="231F20"/>
          <w:spacing w:val="16"/>
        </w:rPr>
        <w:t> </w:t>
      </w:r>
      <w:r>
        <w:rPr>
          <w:color w:val="231F20"/>
        </w:rPr>
        <w:t>deze</w:t>
      </w:r>
      <w:r>
        <w:rPr>
          <w:color w:val="231F20"/>
          <w:spacing w:val="15"/>
        </w:rPr>
        <w:t> </w:t>
      </w:r>
      <w:r>
        <w:rPr>
          <w:color w:val="231F20"/>
        </w:rPr>
        <w:t>wet;</w:t>
      </w:r>
    </w:p>
    <w:p>
      <w:pPr>
        <w:pStyle w:val="BodyText"/>
        <w:spacing w:line="218" w:lineRule="auto" w:before="86"/>
        <w:ind w:right="123"/>
      </w:pPr>
      <w:r>
        <w:rPr>
          <w:color w:val="231F20"/>
        </w:rPr>
        <w:t>3° de vereffeningsinstellingen bedoeld in artikel 23, § 1, van de wet van 2 augustus 2002 betreffende het toezicht op de financiële sector en de financiële diensten, die geen in België gevestigde kredietinstellingen zijn, en de met vereffeningsinstellingen gelijkgestelde instellingen die door de Koning zijn aangeduid met toepassing van artikel 23, § 7, van deze wet;</w:t>
      </w:r>
    </w:p>
    <w:p>
      <w:pPr>
        <w:pStyle w:val="BodyText"/>
        <w:spacing w:line="218" w:lineRule="auto" w:before="86"/>
      </w:pPr>
      <w:r>
        <w:rPr>
          <w:color w:val="231F20"/>
        </w:rPr>
        <w:t>4° de overeenkomstig artikel 8:2 erkende landbouwondernemingen die de vorm hebben aangenomen van een vennootschap onder firma of commanditaire vennootschap en die onderworpen zijn aan de perso- nenbelasting.</w:t>
      </w:r>
    </w:p>
    <w:p>
      <w:pPr>
        <w:pStyle w:val="BodyText"/>
        <w:spacing w:before="82"/>
        <w:ind w:left="283" w:right="0" w:firstLine="0"/>
        <w:jc w:val="left"/>
      </w:pPr>
      <w:r>
        <w:rPr>
          <w:color w:val="231F20"/>
        </w:rPr>
        <w:t>Afdeling 2. Algemeen: de consolidatieverplichting.</w:t>
      </w:r>
    </w:p>
    <w:p>
      <w:pPr>
        <w:pStyle w:val="BodyText"/>
        <w:spacing w:before="79"/>
        <w:ind w:left="283" w:right="0" w:firstLine="0"/>
        <w:jc w:val="left"/>
      </w:pPr>
      <w:r>
        <w:rPr>
          <w:color w:val="231F20"/>
        </w:rPr>
        <w:t>Art. 3:22. Voor de toepassing van dit hoofdstuk wordt verstaan:</w:t>
      </w:r>
    </w:p>
    <w:p>
      <w:pPr>
        <w:pStyle w:val="ListParagraph"/>
        <w:numPr>
          <w:ilvl w:val="0"/>
          <w:numId w:val="48"/>
        </w:numPr>
        <w:tabs>
          <w:tab w:pos="527" w:val="left" w:leader="none"/>
        </w:tabs>
        <w:spacing w:line="218" w:lineRule="auto" w:before="92" w:after="0"/>
        <w:ind w:left="113" w:right="124" w:firstLine="170"/>
        <w:jc w:val="both"/>
        <w:rPr>
          <w:sz w:val="17"/>
        </w:rPr>
      </w:pPr>
      <w:r>
        <w:rPr>
          <w:color w:val="231F20"/>
          <w:sz w:val="17"/>
        </w:rPr>
        <w:t>onder “consoliderende vennootschap”, de vennootschap die de geconsolideerde jaarrekening</w:t>
      </w:r>
      <w:r>
        <w:rPr>
          <w:color w:val="231F20"/>
          <w:spacing w:val="-12"/>
          <w:sz w:val="17"/>
        </w:rPr>
        <w:t> </w:t>
      </w:r>
      <w:r>
        <w:rPr>
          <w:color w:val="231F20"/>
          <w:sz w:val="17"/>
        </w:rPr>
        <w:t>opstelt;</w:t>
      </w:r>
    </w:p>
    <w:p>
      <w:pPr>
        <w:pStyle w:val="ListParagraph"/>
        <w:numPr>
          <w:ilvl w:val="0"/>
          <w:numId w:val="48"/>
        </w:numPr>
        <w:tabs>
          <w:tab w:pos="556" w:val="left" w:leader="none"/>
        </w:tabs>
        <w:spacing w:line="218" w:lineRule="auto" w:before="96" w:after="0"/>
        <w:ind w:left="113" w:right="124" w:firstLine="170"/>
        <w:jc w:val="both"/>
        <w:rPr>
          <w:sz w:val="17"/>
        </w:rPr>
      </w:pPr>
      <w:r>
        <w:rPr>
          <w:color w:val="231F20"/>
          <w:sz w:val="17"/>
        </w:rPr>
        <w:t>onder “vennootschappen opgenomen in de consolidatie”, de consoliderende vennootschap evenals haar integraal of evenredig geconsolideerde dochtervennootschappen en dochterondernemingen; worden niet beschouwd als vennootschappen die in de consolidatie zijn opgenomen, de vennootschappen en dochterondernemingen waarvan het aandeel in het eigen vermogen en in het resultaat met toepassing van de vermogensmutatiemethode in de geconsolideerde jaarrekening is</w:t>
      </w:r>
      <w:r>
        <w:rPr>
          <w:color w:val="231F20"/>
          <w:spacing w:val="15"/>
          <w:sz w:val="17"/>
        </w:rPr>
        <w:t> </w:t>
      </w:r>
      <w:r>
        <w:rPr>
          <w:color w:val="231F20"/>
          <w:sz w:val="17"/>
        </w:rPr>
        <w:t>opgenomen;</w:t>
      </w:r>
    </w:p>
    <w:p>
      <w:pPr>
        <w:pStyle w:val="ListParagraph"/>
        <w:numPr>
          <w:ilvl w:val="0"/>
          <w:numId w:val="48"/>
        </w:numPr>
        <w:tabs>
          <w:tab w:pos="508" w:val="left" w:leader="none"/>
        </w:tabs>
        <w:spacing w:line="218" w:lineRule="auto" w:before="97" w:after="0"/>
        <w:ind w:left="113" w:right="124" w:firstLine="170"/>
        <w:jc w:val="both"/>
        <w:rPr>
          <w:sz w:val="17"/>
        </w:rPr>
      </w:pPr>
      <w:r>
        <w:rPr>
          <w:color w:val="231F20"/>
          <w:sz w:val="17"/>
        </w:rPr>
        <w:t>onder “dochteronderneming”, indien zij onder controle staat van een Belgische</w:t>
      </w:r>
      <w:r>
        <w:rPr>
          <w:color w:val="231F20"/>
          <w:spacing w:val="-11"/>
          <w:sz w:val="17"/>
        </w:rPr>
        <w:t> </w:t>
      </w:r>
      <w:r>
        <w:rPr>
          <w:color w:val="231F20"/>
          <w:sz w:val="17"/>
        </w:rPr>
        <w:t>vennootschap,</w:t>
      </w:r>
    </w:p>
    <w:p>
      <w:pPr>
        <w:pStyle w:val="BodyText"/>
        <w:spacing w:before="82"/>
        <w:ind w:left="283" w:right="0" w:firstLine="0"/>
        <w:jc w:val="left"/>
      </w:pPr>
      <w:r>
        <w:rPr>
          <w:color w:val="231F20"/>
        </w:rPr>
        <w:t>1° de dochtervennootschap naar Belgisch of buitenlands recht,</w:t>
      </w:r>
    </w:p>
    <w:p>
      <w:pPr>
        <w:pStyle w:val="BodyText"/>
        <w:spacing w:line="218" w:lineRule="auto" w:before="93"/>
      </w:pPr>
      <w:r>
        <w:rPr>
          <w:color w:val="231F20"/>
        </w:rPr>
        <w:t>2° het Europees economisch samenwerkingsverband met zetel in België of in het buitenland, en</w:t>
      </w:r>
    </w:p>
    <w:p>
      <w:pPr>
        <w:pStyle w:val="BodyText"/>
        <w:spacing w:line="218" w:lineRule="auto" w:before="96"/>
        <w:ind w:right="125"/>
      </w:pPr>
      <w:r>
        <w:rPr>
          <w:color w:val="231F20"/>
        </w:rPr>
        <w:t>3° de instelling naar Belgisch of buitenlands recht, al dan niet openbaar, met of zonder winstuitkering, die, al dan niet ingevolge haar statutaire opdracht, een activiteit uitoefent van commerciële, financiële of industriële aard;</w:t>
      </w:r>
    </w:p>
    <w:p>
      <w:pPr>
        <w:pStyle w:val="ListParagraph"/>
        <w:numPr>
          <w:ilvl w:val="0"/>
          <w:numId w:val="48"/>
        </w:numPr>
        <w:tabs>
          <w:tab w:pos="511" w:val="left" w:leader="none"/>
        </w:tabs>
        <w:spacing w:line="218" w:lineRule="auto" w:before="96" w:after="0"/>
        <w:ind w:left="113" w:right="124" w:firstLine="170"/>
        <w:jc w:val="both"/>
        <w:rPr>
          <w:sz w:val="17"/>
        </w:rPr>
      </w:pPr>
      <w:r>
        <w:rPr>
          <w:color w:val="231F20"/>
          <w:sz w:val="17"/>
        </w:rPr>
        <w:t>onder “geconsolideerd geheel”, het geheel van vennootschappen die</w:t>
      </w:r>
      <w:r>
        <w:rPr>
          <w:color w:val="231F20"/>
          <w:spacing w:val="15"/>
          <w:sz w:val="17"/>
        </w:rPr>
        <w:t> </w:t>
      </w:r>
      <w:r>
        <w:rPr>
          <w:color w:val="231F20"/>
          <w:sz w:val="17"/>
        </w:rPr>
        <w:t>in</w:t>
      </w:r>
      <w:r>
        <w:rPr>
          <w:color w:val="231F20"/>
          <w:spacing w:val="15"/>
          <w:sz w:val="17"/>
        </w:rPr>
        <w:t> </w:t>
      </w:r>
      <w:r>
        <w:rPr>
          <w:color w:val="231F20"/>
          <w:sz w:val="17"/>
        </w:rPr>
        <w:t>de</w:t>
      </w:r>
      <w:r>
        <w:rPr>
          <w:color w:val="231F20"/>
          <w:spacing w:val="16"/>
          <w:sz w:val="17"/>
        </w:rPr>
        <w:t> </w:t>
      </w:r>
      <w:r>
        <w:rPr>
          <w:color w:val="231F20"/>
          <w:sz w:val="17"/>
        </w:rPr>
        <w:t>consolidatie</w:t>
      </w:r>
      <w:r>
        <w:rPr>
          <w:color w:val="231F20"/>
          <w:spacing w:val="15"/>
          <w:sz w:val="17"/>
        </w:rPr>
        <w:t> </w:t>
      </w:r>
      <w:r>
        <w:rPr>
          <w:color w:val="231F20"/>
          <w:sz w:val="17"/>
        </w:rPr>
        <w:t>zijn</w:t>
      </w:r>
      <w:r>
        <w:rPr>
          <w:color w:val="231F20"/>
          <w:spacing w:val="16"/>
          <w:sz w:val="17"/>
        </w:rPr>
        <w:t> </w:t>
      </w:r>
      <w:r>
        <w:rPr>
          <w:color w:val="231F20"/>
          <w:sz w:val="17"/>
        </w:rPr>
        <w:t>opgenomen.</w:t>
      </w:r>
    </w:p>
    <w:p>
      <w:pPr>
        <w:pStyle w:val="BodyText"/>
        <w:spacing w:line="218" w:lineRule="auto" w:before="96"/>
      </w:pPr>
      <w:r>
        <w:rPr>
          <w:color w:val="231F20"/>
        </w:rPr>
        <w:t>Art. 3:23. Elke moedervennootschap moet een geconsolideerde jaarrekening en een jaarverslag over de geconsolideerde jaarrekening opstellen indien zij, alleen of gezamenlijk, één of meer dochteronder- nemingen controleert.</w:t>
      </w:r>
    </w:p>
    <w:p>
      <w:pPr>
        <w:pStyle w:val="BodyText"/>
        <w:spacing w:line="218" w:lineRule="auto" w:before="96"/>
      </w:pPr>
      <w:r>
        <w:rPr>
          <w:color w:val="231F20"/>
        </w:rPr>
        <w:t>Een moedervennootschap die alleen maar dochterondernemingen heeft die, gelet op de beoordeling van het geconsolideerd vermogen, de geconsolideerde financiële positie of het geconsolideerd resultaat,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1" w:lineRule="auto" w:before="124"/>
        <w:ind w:right="38" w:hanging="1"/>
        <w:rPr>
          <w:rFonts w:ascii="Times New Roman" w:hAnsi="Times New Roman"/>
          <w:b/>
          <w:i/>
        </w:rPr>
      </w:pPr>
      <w:r>
        <w:rPr/>
        <w:pict>
          <v:line style="position:absolute;mso-position-horizontal-relative:page;mso-position-vertical-relative:page;z-index:2416" from="298.170502pt,64.473pt" to="298.170502pt,812.819pt" stroked="true" strokeweight=".533pt" strokecolor="#231f20">
            <v:stroke dashstyle="solid"/>
            <w10:wrap type="none"/>
          </v:line>
        </w:pict>
      </w:r>
      <w:bookmarkStart w:name="_bookmark58" w:id="61"/>
      <w:bookmarkEnd w:id="61"/>
      <w:r>
        <w:rPr/>
      </w:r>
      <w:r>
        <w:rPr>
          <w:color w:val="231F20"/>
        </w:rPr>
        <w:t>consolidée ou du résultat consolidé, ne présentent tant individuelle- ment que collectivement qu’un intérêt négligeable, est exemptée de l’obligation prévue à l’alinéa 1</w:t>
      </w:r>
      <w:r>
        <w:rPr>
          <w:color w:val="231F20"/>
          <w:position w:val="7"/>
          <w:sz w:val="11"/>
        </w:rPr>
        <w:t>er</w:t>
      </w:r>
      <w:r>
        <w:rPr>
          <w:rFonts w:ascii="Times New Roman" w:hAnsi="Times New Roman"/>
          <w:b/>
          <w:i/>
          <w:color w:val="231F20"/>
        </w:rPr>
        <w:t>.</w:t>
      </w:r>
    </w:p>
    <w:p>
      <w:pPr>
        <w:pStyle w:val="BodyText"/>
        <w:spacing w:line="218" w:lineRule="auto" w:before="116"/>
        <w:ind w:right="38"/>
      </w:pPr>
      <w:r>
        <w:rPr>
          <w:color w:val="231F20"/>
        </w:rPr>
        <w:t>Art. 3:24. En cas de consortium, des comptes consolidés doivent être établis, englobant toutes les sociétés formant le consortium ainsi que leurs entreprises filiales.</w:t>
      </w:r>
    </w:p>
    <w:p>
      <w:pPr>
        <w:pStyle w:val="BodyText"/>
        <w:spacing w:before="9"/>
        <w:ind w:left="0" w:right="0" w:firstLine="0"/>
        <w:jc w:val="left"/>
        <w:rPr>
          <w:sz w:val="25"/>
        </w:rPr>
      </w:pPr>
    </w:p>
    <w:p>
      <w:pPr>
        <w:pStyle w:val="BodyText"/>
        <w:spacing w:line="218" w:lineRule="auto"/>
        <w:ind w:right="38"/>
      </w:pPr>
      <w:r>
        <w:rPr>
          <w:color w:val="231F20"/>
        </w:rPr>
        <w:t>Chacune des sociétés formant le consortium est considérée comme une société consolidante.</w:t>
      </w:r>
    </w:p>
    <w:p>
      <w:pPr>
        <w:pStyle w:val="BodyText"/>
        <w:spacing w:line="218" w:lineRule="auto" w:before="128"/>
        <w:ind w:right="38"/>
      </w:pPr>
      <w:r>
        <w:rPr>
          <w:color w:val="231F20"/>
        </w:rPr>
        <w:t>L’établissement des comptes consolidés et du rapport de gestion sur les comptes consolidés ainsi que leur publication incombent conjointe- ment aux sociétés formant le consortium.</w:t>
      </w:r>
    </w:p>
    <w:p>
      <w:pPr>
        <w:pStyle w:val="BodyText"/>
        <w:spacing w:line="218" w:lineRule="auto" w:before="128"/>
        <w:ind w:right="38"/>
      </w:pPr>
      <w:r>
        <w:rPr>
          <w:color w:val="231F20"/>
        </w:rPr>
        <w:t>Art. 3:25. Une société est dispensée de l’obligation d’établir des comptes consolidés et un rapport de gestion sur les comptes consolidés lorsqu’elle fait partie d’un groupe de taille réduite.</w:t>
      </w:r>
    </w:p>
    <w:p>
      <w:pPr>
        <w:pStyle w:val="BodyText"/>
        <w:spacing w:before="5"/>
        <w:ind w:left="0" w:right="0" w:firstLine="0"/>
        <w:jc w:val="left"/>
        <w:rPr>
          <w:sz w:val="25"/>
        </w:rPr>
      </w:pPr>
    </w:p>
    <w:p>
      <w:pPr>
        <w:pStyle w:val="BodyText"/>
        <w:spacing w:line="218" w:lineRule="auto"/>
        <w:ind w:right="38"/>
      </w:pPr>
      <w:r>
        <w:rPr>
          <w:color w:val="231F20"/>
        </w:rPr>
        <w:t>Art. 3:26. § 1</w:t>
      </w:r>
      <w:r>
        <w:rPr>
          <w:color w:val="231F20"/>
          <w:position w:val="7"/>
          <w:sz w:val="11"/>
        </w:rPr>
        <w:t>er</w:t>
      </w:r>
      <w:r>
        <w:rPr>
          <w:color w:val="231F20"/>
        </w:rPr>
        <w:t>. Une société est, aux conditions prévues au paragra- phe 2, exemptée d’établir des comptes consolidés et un rapport de gestion sur les comptes consolidés si elle est elle-même filiale d’une société mère qui établit, fait contrôler et publie des comptes consolidés et un rapport de gestion sur les comptes consolidés.</w:t>
      </w:r>
    </w:p>
    <w:p>
      <w:pPr>
        <w:pStyle w:val="BodyText"/>
        <w:ind w:left="0" w:right="0" w:firstLine="0"/>
        <w:jc w:val="left"/>
        <w:rPr>
          <w:sz w:val="20"/>
        </w:rPr>
      </w:pPr>
    </w:p>
    <w:p>
      <w:pPr>
        <w:pStyle w:val="BodyText"/>
        <w:spacing w:before="11"/>
        <w:ind w:left="0" w:right="0" w:firstLine="0"/>
        <w:jc w:val="left"/>
        <w:rPr>
          <w:sz w:val="20"/>
        </w:rPr>
      </w:pPr>
    </w:p>
    <w:p>
      <w:pPr>
        <w:pStyle w:val="BodyText"/>
        <w:spacing w:line="218" w:lineRule="auto"/>
        <w:ind w:right="38"/>
      </w:pPr>
      <w:r>
        <w:rPr>
          <w:color w:val="231F20"/>
        </w:rPr>
        <w:t>§ 2. L’usage de l’exemption prévue au paragraphe 1</w:t>
      </w:r>
      <w:r>
        <w:rPr>
          <w:color w:val="231F20"/>
          <w:position w:val="7"/>
          <w:sz w:val="11"/>
        </w:rPr>
        <w:t>er </w:t>
      </w:r>
      <w:r>
        <w:rPr>
          <w:color w:val="231F20"/>
        </w:rPr>
        <w:t>est décidé par l’assemblée générale de la société en cause, pour deux exercices au plus; cette décision peut être renouvelée.</w:t>
      </w:r>
    </w:p>
    <w:p>
      <w:pPr>
        <w:pStyle w:val="BodyText"/>
        <w:spacing w:before="8"/>
        <w:ind w:left="0" w:right="0" w:firstLine="0"/>
        <w:jc w:val="left"/>
        <w:rPr>
          <w:sz w:val="26"/>
        </w:rPr>
      </w:pPr>
    </w:p>
    <w:p>
      <w:pPr>
        <w:pStyle w:val="BodyText"/>
        <w:spacing w:line="218" w:lineRule="auto"/>
        <w:ind w:right="38"/>
      </w:pPr>
      <w:r>
        <w:rPr>
          <w:color w:val="231F20"/>
        </w:rPr>
        <w:t>L’exemption ne peut être décidée que si les conditions suivantes sont remplies:</w:t>
      </w:r>
    </w:p>
    <w:p>
      <w:pPr>
        <w:pStyle w:val="BodyText"/>
        <w:spacing w:line="218" w:lineRule="auto" w:before="128"/>
        <w:ind w:right="38"/>
      </w:pPr>
      <w:r>
        <w:rPr>
          <w:color w:val="231F20"/>
        </w:rPr>
        <w:t>1° l’exemption a été approuvée en assemblée générale par un nombre de voix atteignant les neuf dixièmes du nombre de voix attachées à l’ensemble des titres ou, si la société en cause n’est pas constituée sous la forme légale de société anonyme ou de société européenne, par les associés réunis en assemblée ou une assemblée générale avec un nombre de voix atteignant les huit dixièmes du nombre de voix attachées à l’ensemble des droits d’associés ou actionnaires;</w:t>
      </w:r>
    </w:p>
    <w:p>
      <w:pPr>
        <w:pStyle w:val="BodyText"/>
        <w:ind w:left="0" w:right="0" w:firstLine="0"/>
        <w:jc w:val="left"/>
        <w:rPr>
          <w:sz w:val="20"/>
        </w:rPr>
      </w:pPr>
    </w:p>
    <w:p>
      <w:pPr>
        <w:pStyle w:val="BodyText"/>
        <w:spacing w:before="8"/>
        <w:ind w:left="0" w:right="0" w:firstLine="0"/>
        <w:jc w:val="left"/>
        <w:rPr>
          <w:sz w:val="22"/>
        </w:rPr>
      </w:pPr>
    </w:p>
    <w:p>
      <w:pPr>
        <w:pStyle w:val="BodyText"/>
        <w:spacing w:line="211" w:lineRule="auto"/>
        <w:ind w:right="38"/>
      </w:pPr>
      <w:r>
        <w:rPr>
          <w:color w:val="231F20"/>
        </w:rPr>
        <w:t>2° la société en cause et, sans préjudice de l’article 3:29, toutes ses filiales sont comprises dans les comptes consolidés établis par la société mère visée au paragraphe 1</w:t>
      </w:r>
      <w:r>
        <w:rPr>
          <w:color w:val="231F20"/>
          <w:position w:val="7"/>
          <w:sz w:val="11"/>
        </w:rPr>
        <w:t>er</w:t>
      </w:r>
      <w:r>
        <w:rPr>
          <w:color w:val="231F20"/>
        </w:rPr>
        <w:t>;</w:t>
      </w:r>
    </w:p>
    <w:p>
      <w:pPr>
        <w:pStyle w:val="BodyText"/>
        <w:spacing w:before="3"/>
        <w:ind w:left="0" w:right="0" w:firstLine="0"/>
        <w:jc w:val="left"/>
        <w:rPr>
          <w:sz w:val="25"/>
        </w:rPr>
      </w:pPr>
    </w:p>
    <w:p>
      <w:pPr>
        <w:pStyle w:val="BodyText"/>
        <w:spacing w:line="218" w:lineRule="auto"/>
        <w:ind w:right="38"/>
      </w:pPr>
      <w:r>
        <w:rPr>
          <w:color w:val="231F20"/>
        </w:rPr>
        <w:t>3° </w:t>
      </w:r>
      <w:r>
        <w:rPr>
          <w:rFonts w:ascii="Times New Roman" w:hAnsi="Times New Roman"/>
          <w:i/>
          <w:color w:val="231F20"/>
        </w:rPr>
        <w:t>a) </w:t>
      </w:r>
      <w:r>
        <w:rPr>
          <w:color w:val="231F20"/>
        </w:rPr>
        <w:t>si la société mère visée au paragraphe 1</w:t>
      </w:r>
      <w:r>
        <w:rPr>
          <w:color w:val="231F20"/>
          <w:position w:val="7"/>
          <w:sz w:val="11"/>
        </w:rPr>
        <w:t>er </w:t>
      </w:r>
      <w:r>
        <w:rPr>
          <w:color w:val="231F20"/>
        </w:rPr>
        <w:t>relève du droit d’un État membre de l’Union européenne, ses comptes consolidés et son rapport de gestion sur les comptes consolidés sont établis, contrôlés et publiés</w:t>
      </w:r>
      <w:r>
        <w:rPr>
          <w:color w:val="231F20"/>
          <w:spacing w:val="-6"/>
        </w:rPr>
        <w:t> </w:t>
      </w:r>
      <w:r>
        <w:rPr>
          <w:color w:val="231F20"/>
        </w:rPr>
        <w:t>en</w:t>
      </w:r>
      <w:r>
        <w:rPr>
          <w:color w:val="231F20"/>
          <w:spacing w:val="-6"/>
        </w:rPr>
        <w:t> </w:t>
      </w:r>
      <w:r>
        <w:rPr>
          <w:color w:val="231F20"/>
        </w:rPr>
        <w:t>conformité</w:t>
      </w:r>
      <w:r>
        <w:rPr>
          <w:color w:val="231F20"/>
          <w:spacing w:val="-5"/>
        </w:rPr>
        <w:t> </w:t>
      </w:r>
      <w:r>
        <w:rPr>
          <w:color w:val="231F20"/>
        </w:rPr>
        <w:t>avec</w:t>
      </w:r>
      <w:r>
        <w:rPr>
          <w:color w:val="231F20"/>
          <w:spacing w:val="-6"/>
        </w:rPr>
        <w:t> </w:t>
      </w:r>
      <w:r>
        <w:rPr>
          <w:color w:val="231F20"/>
        </w:rPr>
        <w:t>les</w:t>
      </w:r>
      <w:r>
        <w:rPr>
          <w:color w:val="231F20"/>
          <w:spacing w:val="-6"/>
        </w:rPr>
        <w:t> </w:t>
      </w:r>
      <w:r>
        <w:rPr>
          <w:color w:val="231F20"/>
        </w:rPr>
        <w:t>dispositions</w:t>
      </w:r>
      <w:r>
        <w:rPr>
          <w:color w:val="231F20"/>
          <w:spacing w:val="-5"/>
        </w:rPr>
        <w:t> </w:t>
      </w:r>
      <w:r>
        <w:rPr>
          <w:color w:val="231F20"/>
        </w:rPr>
        <w:t>arrêtées</w:t>
      </w:r>
      <w:r>
        <w:rPr>
          <w:color w:val="231F20"/>
          <w:spacing w:val="-6"/>
        </w:rPr>
        <w:t> </w:t>
      </w:r>
      <w:r>
        <w:rPr>
          <w:color w:val="231F20"/>
        </w:rPr>
        <w:t>par</w:t>
      </w:r>
      <w:r>
        <w:rPr>
          <w:color w:val="231F20"/>
          <w:spacing w:val="-6"/>
        </w:rPr>
        <w:t> </w:t>
      </w:r>
      <w:r>
        <w:rPr>
          <w:color w:val="231F20"/>
        </w:rPr>
        <w:t>cet</w:t>
      </w:r>
      <w:r>
        <w:rPr>
          <w:color w:val="231F20"/>
          <w:spacing w:val="-5"/>
        </w:rPr>
        <w:t> </w:t>
      </w:r>
      <w:r>
        <w:rPr>
          <w:color w:val="231F20"/>
        </w:rPr>
        <w:t>État</w:t>
      </w:r>
      <w:r>
        <w:rPr>
          <w:color w:val="231F20"/>
          <w:spacing w:val="-6"/>
        </w:rPr>
        <w:t> </w:t>
      </w:r>
      <w:r>
        <w:rPr>
          <w:color w:val="231F20"/>
        </w:rPr>
        <w:t>membre en</w:t>
      </w:r>
      <w:r>
        <w:rPr>
          <w:color w:val="231F20"/>
          <w:spacing w:val="15"/>
        </w:rPr>
        <w:t> </w:t>
      </w:r>
      <w:r>
        <w:rPr>
          <w:color w:val="231F20"/>
        </w:rPr>
        <w:t>exécution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directive</w:t>
      </w:r>
      <w:r>
        <w:rPr>
          <w:color w:val="231F20"/>
          <w:spacing w:val="15"/>
        </w:rPr>
        <w:t> </w:t>
      </w:r>
      <w:r>
        <w:rPr>
          <w:color w:val="231F20"/>
        </w:rPr>
        <w:t>2013/34/UE;</w:t>
      </w:r>
    </w:p>
    <w:p>
      <w:pPr>
        <w:pStyle w:val="BodyText"/>
        <w:spacing w:before="5"/>
        <w:ind w:left="0" w:right="0" w:firstLine="0"/>
        <w:jc w:val="left"/>
        <w:rPr>
          <w:sz w:val="25"/>
        </w:rPr>
      </w:pPr>
    </w:p>
    <w:p>
      <w:pPr>
        <w:pStyle w:val="BodyText"/>
        <w:spacing w:line="218" w:lineRule="auto"/>
        <w:ind w:right="38"/>
      </w:pPr>
      <w:r>
        <w:rPr>
          <w:rFonts w:ascii="Times New Roman" w:hAnsi="Times New Roman"/>
          <w:i/>
          <w:color w:val="231F20"/>
        </w:rPr>
        <w:t>b) </w:t>
      </w:r>
      <w:r>
        <w:rPr>
          <w:color w:val="231F20"/>
        </w:rPr>
        <w:t>si la société mère visée au paragraphe 1</w:t>
      </w:r>
      <w:r>
        <w:rPr>
          <w:color w:val="231F20"/>
          <w:position w:val="7"/>
          <w:sz w:val="11"/>
        </w:rPr>
        <w:t>er </w:t>
      </w:r>
      <w:r>
        <w:rPr>
          <w:color w:val="231F20"/>
        </w:rPr>
        <w:t>ne relève pas du droit d’un État membre de l’Union européenne, ses comptes consolidés et son rapport de gestion sur les comptes consolidés sont établis en conformité avec la directive 2013/34/UE précitée ou de façon équiva- lente à des comptes et rapports établis en conformité avec cette directive ou en conformité avec les normes comptables internationales arrêtées en vertu du règlement (CE) 1606/2002 ou de façon</w:t>
      </w:r>
      <w:r>
        <w:rPr>
          <w:color w:val="231F20"/>
          <w:spacing w:val="-16"/>
        </w:rPr>
        <w:t> </w:t>
      </w:r>
      <w:r>
        <w:rPr>
          <w:color w:val="231F20"/>
        </w:rPr>
        <w:t>équivalente conformément au règlement (CE) 1569/2007; ces comptes consolidés sont contrôlés par une personne habilitée en vertu du droit dont cette société</w:t>
      </w:r>
      <w:r>
        <w:rPr>
          <w:color w:val="231F20"/>
          <w:spacing w:val="14"/>
        </w:rPr>
        <w:t> </w:t>
      </w:r>
      <w:r>
        <w:rPr>
          <w:color w:val="231F20"/>
        </w:rPr>
        <w:t>mère</w:t>
      </w:r>
      <w:r>
        <w:rPr>
          <w:color w:val="231F20"/>
          <w:spacing w:val="14"/>
        </w:rPr>
        <w:t> </w:t>
      </w:r>
      <w:r>
        <w:rPr>
          <w:color w:val="231F20"/>
        </w:rPr>
        <w:t>relève</w:t>
      </w:r>
      <w:r>
        <w:rPr>
          <w:color w:val="231F20"/>
          <w:spacing w:val="15"/>
        </w:rPr>
        <w:t> </w:t>
      </w:r>
      <w:r>
        <w:rPr>
          <w:color w:val="231F20"/>
        </w:rPr>
        <w:t>pour</w:t>
      </w:r>
      <w:r>
        <w:rPr>
          <w:color w:val="231F20"/>
          <w:spacing w:val="14"/>
        </w:rPr>
        <w:t> </w:t>
      </w:r>
      <w:r>
        <w:rPr>
          <w:color w:val="231F20"/>
        </w:rPr>
        <w:t>la</w:t>
      </w:r>
      <w:r>
        <w:rPr>
          <w:color w:val="231F20"/>
          <w:spacing w:val="15"/>
        </w:rPr>
        <w:t> </w:t>
      </w:r>
      <w:r>
        <w:rPr>
          <w:color w:val="231F20"/>
        </w:rPr>
        <w:t>certification</w:t>
      </w:r>
      <w:r>
        <w:rPr>
          <w:color w:val="231F20"/>
          <w:spacing w:val="14"/>
        </w:rPr>
        <w:t> </w:t>
      </w:r>
      <w:r>
        <w:rPr>
          <w:color w:val="231F20"/>
        </w:rPr>
        <w:t>des</w:t>
      </w:r>
      <w:r>
        <w:rPr>
          <w:color w:val="231F20"/>
          <w:spacing w:val="15"/>
        </w:rPr>
        <w:t> </w:t>
      </w:r>
      <w:r>
        <w:rPr>
          <w:color w:val="231F20"/>
        </w:rPr>
        <w:t>comptes;</w:t>
      </w:r>
    </w:p>
    <w:p>
      <w:pPr>
        <w:pStyle w:val="BodyText"/>
        <w:ind w:left="0" w:right="0" w:firstLine="0"/>
        <w:jc w:val="left"/>
        <w:rPr>
          <w:sz w:val="20"/>
        </w:rPr>
      </w:pPr>
    </w:p>
    <w:p>
      <w:pPr>
        <w:pStyle w:val="BodyText"/>
        <w:ind w:left="0" w:right="0" w:firstLine="0"/>
        <w:jc w:val="left"/>
        <w:rPr>
          <w:sz w:val="20"/>
        </w:rPr>
      </w:pPr>
    </w:p>
    <w:p>
      <w:pPr>
        <w:pStyle w:val="BodyText"/>
        <w:spacing w:before="8"/>
        <w:ind w:left="0" w:right="0" w:firstLine="0"/>
        <w:jc w:val="left"/>
      </w:pPr>
    </w:p>
    <w:p>
      <w:pPr>
        <w:pStyle w:val="BodyText"/>
        <w:spacing w:line="216" w:lineRule="auto"/>
        <w:ind w:right="38"/>
      </w:pPr>
      <w:r>
        <w:rPr>
          <w:color w:val="231F20"/>
        </w:rPr>
        <w:t>4° </w:t>
      </w:r>
      <w:r>
        <w:rPr>
          <w:rFonts w:ascii="Times New Roman" w:hAnsi="Times New Roman"/>
          <w:i/>
          <w:color w:val="231F20"/>
        </w:rPr>
        <w:t>a) </w:t>
      </w:r>
      <w:r>
        <w:rPr>
          <w:color w:val="231F20"/>
        </w:rPr>
        <w:t>une copie des comptes consolidés de la société mère visée au paragraphe 1</w:t>
      </w:r>
      <w:r>
        <w:rPr>
          <w:color w:val="231F20"/>
          <w:position w:val="7"/>
          <w:sz w:val="11"/>
        </w:rPr>
        <w:t>er</w:t>
      </w:r>
      <w:r>
        <w:rPr>
          <w:color w:val="231F20"/>
        </w:rPr>
        <w:t>, du rapport de contrôle relatif à ces comptes et d’un document comprenant les indications prévues par l’article 3:32 est, dans les deux mois de leur mise à disposition des associés ou actionnaires et, au plus tard sept mois après la clôture de l’exercice auquel ils sont afférents, déposé par les soins de l’organe d’administra- tion de la société exemptée, à la Banque nationale de Belgique. Les articles 2:33, 3:13, 3:14, alinéas 1</w:t>
      </w:r>
      <w:r>
        <w:rPr>
          <w:color w:val="231F20"/>
          <w:position w:val="7"/>
          <w:sz w:val="11"/>
        </w:rPr>
        <w:t>er </w:t>
      </w:r>
      <w:r>
        <w:rPr>
          <w:color w:val="231F20"/>
        </w:rPr>
        <w:t>à 2, et 3:15 sont applicables. Pour l’application de l’article 3:14, alinéa 2, le dossier visé est le dossier de la société exemptée;</w:t>
      </w:r>
    </w:p>
    <w:p>
      <w:pPr>
        <w:pStyle w:val="BodyText"/>
        <w:spacing w:before="9"/>
        <w:ind w:left="0" w:right="0" w:firstLine="0"/>
        <w:jc w:val="left"/>
        <w:rPr>
          <w:sz w:val="25"/>
        </w:rPr>
      </w:pPr>
    </w:p>
    <w:p>
      <w:pPr>
        <w:pStyle w:val="BodyText"/>
        <w:spacing w:line="213" w:lineRule="auto"/>
        <w:ind w:right="38"/>
      </w:pPr>
      <w:r>
        <w:rPr>
          <w:rFonts w:ascii="Times New Roman" w:hAnsi="Times New Roman"/>
          <w:i/>
          <w:color w:val="231F20"/>
        </w:rPr>
        <w:t>b) </w:t>
      </w:r>
      <w:r>
        <w:rPr>
          <w:color w:val="231F20"/>
        </w:rPr>
        <w:t>toute personne s’adressant au siège de la société exemptée peut prendre connaissance du rapport de gestion sur les comptes consolidés de la société mère visée au paragraphe 1</w:t>
      </w:r>
      <w:r>
        <w:rPr>
          <w:color w:val="231F20"/>
          <w:position w:val="7"/>
          <w:sz w:val="11"/>
        </w:rPr>
        <w:t>er </w:t>
      </w:r>
      <w:r>
        <w:rPr>
          <w:color w:val="231F20"/>
        </w:rPr>
        <w:t>et en obtenir gratuitement, copie intégrale sur demande;</w:t>
      </w:r>
    </w:p>
    <w:p>
      <w:pPr>
        <w:pStyle w:val="BodyText"/>
        <w:spacing w:line="218" w:lineRule="auto" w:before="119"/>
        <w:ind w:right="183" w:firstLine="0"/>
        <w:jc w:val="left"/>
      </w:pPr>
      <w:r>
        <w:rPr/>
        <w:br w:type="column"/>
      </w:r>
      <w:r>
        <w:rPr>
          <w:color w:val="231F20"/>
        </w:rPr>
        <w:t>individueel en tezamen, slechts van te verwaarlozen betekenis zijn, wordt vrijgesteld van de verplichting voorgeschreven in het eerste lid.</w:t>
      </w:r>
    </w:p>
    <w:p>
      <w:pPr>
        <w:pStyle w:val="BodyText"/>
        <w:spacing w:before="9"/>
        <w:ind w:left="0" w:right="0" w:firstLine="0"/>
        <w:jc w:val="left"/>
        <w:rPr>
          <w:sz w:val="25"/>
        </w:rPr>
      </w:pPr>
    </w:p>
    <w:p>
      <w:pPr>
        <w:pStyle w:val="BodyText"/>
        <w:spacing w:line="218" w:lineRule="auto" w:before="1"/>
      </w:pPr>
      <w:r>
        <w:rPr>
          <w:color w:val="231F20"/>
        </w:rPr>
        <w:t>Art. 3:24. In geval van een consortium moet een geconsolideerde jaarrekening worden opgesteld waarin alle vennootschappen worden opgenomen die het consortium vormen, alsook hun dochteronderne- mingen.</w:t>
      </w:r>
    </w:p>
    <w:p>
      <w:pPr>
        <w:pStyle w:val="BodyText"/>
        <w:spacing w:line="218" w:lineRule="auto" w:before="117"/>
      </w:pPr>
      <w:r>
        <w:rPr>
          <w:color w:val="231F20"/>
        </w:rPr>
        <w:t>Elk van de vennootschappen die het consortium vormen, wordt als een consoliderende vennootschap beschouwd.</w:t>
      </w:r>
    </w:p>
    <w:p>
      <w:pPr>
        <w:pStyle w:val="BodyText"/>
        <w:spacing w:line="218" w:lineRule="auto" w:before="128"/>
      </w:pPr>
      <w:r>
        <w:rPr>
          <w:color w:val="231F20"/>
        </w:rPr>
        <w:t>De vennootschappen die het consortium vormen, staan gezamenlijk in voor de opstelling en de openbaarmaking van de geconsolideerde jaarrekening en het jaarverslag over de geconsolideerde jaarrekening.</w:t>
      </w:r>
    </w:p>
    <w:p>
      <w:pPr>
        <w:pStyle w:val="BodyText"/>
        <w:spacing w:line="218" w:lineRule="auto" w:before="128"/>
      </w:pPr>
      <w:r>
        <w:rPr>
          <w:color w:val="231F20"/>
        </w:rPr>
        <w:t>Art. 3:25. Een vennootschap wordt vrijgesteld van de verplichting om een geconsolideerde jaarrekening en een jaarverslag over de geconso- lideerde jaarrekening op te stellen wanneer ze deel uitmaakt van een groep van beperkte omvang.</w:t>
      </w:r>
    </w:p>
    <w:p>
      <w:pPr>
        <w:pStyle w:val="BodyText"/>
        <w:spacing w:line="218" w:lineRule="auto" w:before="129"/>
      </w:pPr>
      <w:r>
        <w:rPr>
          <w:color w:val="231F20"/>
        </w:rPr>
        <w:t>Art. 3:26. § 1. Een vennootschap wordt, voor zover is voldaan aan de voorwaarden bepaald in paragraaf 2, vrijgesteld van  de</w:t>
      </w:r>
      <w:r>
        <w:rPr>
          <w:color w:val="231F20"/>
          <w:spacing w:val="29"/>
        </w:rPr>
        <w:t> </w:t>
      </w:r>
      <w:r>
        <w:rPr>
          <w:color w:val="231F20"/>
        </w:rPr>
        <w:t>verplichting om een geconsolideerde jaarrekening en een jaarverslag over de geconsolideerde jaarrekening op te stellen indien zij zelf de dochter- vennootschap is van een moedervennootschap die een geconsolideerde jaarrekening en een jaarverslag over de geconsolideerde jaarrekening opstelt,</w:t>
      </w:r>
      <w:r>
        <w:rPr>
          <w:color w:val="231F20"/>
          <w:spacing w:val="14"/>
        </w:rPr>
        <w:t> </w:t>
      </w:r>
      <w:r>
        <w:rPr>
          <w:color w:val="231F20"/>
        </w:rPr>
        <w:t>laat</w:t>
      </w:r>
      <w:r>
        <w:rPr>
          <w:color w:val="231F20"/>
          <w:spacing w:val="14"/>
        </w:rPr>
        <w:t> </w:t>
      </w:r>
      <w:r>
        <w:rPr>
          <w:color w:val="231F20"/>
        </w:rPr>
        <w:t>controleren</w:t>
      </w:r>
      <w:r>
        <w:rPr>
          <w:color w:val="231F20"/>
          <w:spacing w:val="15"/>
        </w:rPr>
        <w:t> </w:t>
      </w:r>
      <w:r>
        <w:rPr>
          <w:color w:val="231F20"/>
        </w:rPr>
        <w:t>en</w:t>
      </w:r>
      <w:r>
        <w:rPr>
          <w:color w:val="231F20"/>
          <w:spacing w:val="14"/>
        </w:rPr>
        <w:t> </w:t>
      </w:r>
      <w:r>
        <w:rPr>
          <w:color w:val="231F20"/>
        </w:rPr>
        <w:t>openbaar</w:t>
      </w:r>
      <w:r>
        <w:rPr>
          <w:color w:val="231F20"/>
          <w:spacing w:val="14"/>
        </w:rPr>
        <w:t> </w:t>
      </w:r>
      <w:r>
        <w:rPr>
          <w:color w:val="231F20"/>
        </w:rPr>
        <w:t>maakt.</w:t>
      </w:r>
    </w:p>
    <w:p>
      <w:pPr>
        <w:pStyle w:val="BodyText"/>
        <w:spacing w:line="218" w:lineRule="auto" w:before="128"/>
      </w:pPr>
      <w:r>
        <w:rPr>
          <w:color w:val="231F20"/>
        </w:rPr>
        <w:t>§  2.  De  beslissing  om  gebruik  te  maken   van   de   in   para-   graaf 1 bedoelde vrijstelling wordt genomen door de algemene vergadering van de betrokken vennootschap voor ten hoogste twee boekjaren;</w:t>
      </w:r>
      <w:r>
        <w:rPr>
          <w:color w:val="231F20"/>
          <w:spacing w:val="16"/>
        </w:rPr>
        <w:t> </w:t>
      </w:r>
      <w:r>
        <w:rPr>
          <w:color w:val="231F20"/>
        </w:rPr>
        <w:t>deze</w:t>
      </w:r>
      <w:r>
        <w:rPr>
          <w:color w:val="231F20"/>
          <w:spacing w:val="16"/>
        </w:rPr>
        <w:t> </w:t>
      </w:r>
      <w:r>
        <w:rPr>
          <w:color w:val="231F20"/>
        </w:rPr>
        <w:t>beslissing</w:t>
      </w:r>
      <w:r>
        <w:rPr>
          <w:color w:val="231F20"/>
          <w:spacing w:val="17"/>
        </w:rPr>
        <w:t> </w:t>
      </w:r>
      <w:r>
        <w:rPr>
          <w:color w:val="231F20"/>
        </w:rPr>
        <w:t>kan</w:t>
      </w:r>
      <w:r>
        <w:rPr>
          <w:color w:val="231F20"/>
          <w:spacing w:val="16"/>
        </w:rPr>
        <w:t> </w:t>
      </w:r>
      <w:r>
        <w:rPr>
          <w:color w:val="231F20"/>
        </w:rPr>
        <w:t>worden</w:t>
      </w:r>
      <w:r>
        <w:rPr>
          <w:color w:val="231F20"/>
          <w:spacing w:val="17"/>
        </w:rPr>
        <w:t> </w:t>
      </w:r>
      <w:r>
        <w:rPr>
          <w:color w:val="231F20"/>
        </w:rPr>
        <w:t>vernieuwd.</w:t>
      </w:r>
    </w:p>
    <w:p>
      <w:pPr>
        <w:pStyle w:val="BodyText"/>
        <w:spacing w:line="218" w:lineRule="auto" w:before="129"/>
      </w:pPr>
      <w:r>
        <w:rPr>
          <w:color w:val="231F20"/>
          <w:spacing w:val="-6"/>
        </w:rPr>
        <w:t>Tot </w:t>
      </w:r>
      <w:r>
        <w:rPr>
          <w:color w:val="231F20"/>
        </w:rPr>
        <w:t>de vrijstelling kan slechts worden besloten indien aan de volgende voorwaarden is</w:t>
      </w:r>
      <w:r>
        <w:rPr>
          <w:color w:val="231F20"/>
          <w:spacing w:val="7"/>
        </w:rPr>
        <w:t> </w:t>
      </w:r>
      <w:r>
        <w:rPr>
          <w:color w:val="231F20"/>
        </w:rPr>
        <w:t>voldaan:</w:t>
      </w:r>
    </w:p>
    <w:p>
      <w:pPr>
        <w:pStyle w:val="BodyText"/>
        <w:spacing w:line="218" w:lineRule="auto" w:before="128"/>
      </w:pPr>
      <w:r>
        <w:rPr>
          <w:color w:val="231F20"/>
        </w:rPr>
        <w:t>1° de vrijstelling werd goedgekeurd in een algemene vergadering door een aantal stemmen dat negen tiende vertegenwoordigt van de stemmen verbonden aan het geheel van de effecten of, indien de betrokken vennootschap niet de rechtsvorm heeft van een naamloze vennootschap of van een Europese vennootschap, door de vennoten verenigd in vergadering of een algemene vergadering met een aantal stemmen dat acht tienden vertegenwoordigt van het aantal stemmen verbonden aan het geheel van de stemrechten van de vennoten of aandeelhouders;</w:t>
      </w:r>
    </w:p>
    <w:p>
      <w:pPr>
        <w:pStyle w:val="BodyText"/>
        <w:spacing w:line="218" w:lineRule="auto" w:before="128"/>
      </w:pPr>
      <w:r>
        <w:rPr>
          <w:color w:val="231F20"/>
        </w:rPr>
        <w:t>2° de betrokken vennootschap en, onverminderd artikel 3:29, al haar dochtervennootschappen worden opgenomen in de geconsolideerde jaarrekening opgesteld door de in paragraaf 1 bedoelde moederven- nootschap;</w:t>
      </w:r>
    </w:p>
    <w:p>
      <w:pPr>
        <w:pStyle w:val="BodyText"/>
        <w:spacing w:line="218" w:lineRule="auto" w:before="126"/>
      </w:pPr>
      <w:r>
        <w:rPr>
          <w:color w:val="231F20"/>
        </w:rPr>
        <w:t>3° </w:t>
      </w:r>
      <w:r>
        <w:rPr>
          <w:rFonts w:ascii="Times New Roman" w:hAnsi="Times New Roman"/>
          <w:i/>
          <w:color w:val="231F20"/>
        </w:rPr>
        <w:t>a) </w:t>
      </w:r>
      <w:r>
        <w:rPr>
          <w:color w:val="231F20"/>
        </w:rPr>
        <w:t>indien de in paragraaf 1 bedoelde moedervennootschap valt onder het recht van een lidstaat van de Europese Unie, worden haar geconsolideerde jaarrekening en haar jaarverslag over de geconsoli- deerde jaarrekening opgesteld, gecontroleerd en openbaar gemaakt overeenkomstig de voorschriften die deze lidstaat heeft uitgevaardigd met toepassing van richtlijn 2013/34/EU;</w:t>
      </w:r>
    </w:p>
    <w:p>
      <w:pPr>
        <w:pStyle w:val="BodyText"/>
        <w:spacing w:line="218" w:lineRule="auto" w:before="126"/>
      </w:pPr>
      <w:r>
        <w:rPr>
          <w:rFonts w:ascii="Times New Roman"/>
          <w:i/>
          <w:color w:val="231F20"/>
        </w:rPr>
        <w:t>b) </w:t>
      </w:r>
      <w:r>
        <w:rPr>
          <w:color w:val="231F20"/>
        </w:rPr>
        <w:t>indien de in paragraaf 1 bedoelde moedervennootschap niet valt onder het recht van een lidstaat van de Europese Unie, worden haar geconsolideerde jaarrekening en haar jaarverslag over de geconsoli- deerde jaarrekening opgesteld overeenkomstig voornoemde richtlijn 2013/34/EU dan wel op een gelijkwaardige wijze als de jaarrekeningen en jaarverslagen die zijn opgesteld in overeenstemming met deze richtlijn of overeenkomstig de internationale standaarden voor jaarre- keningen die op grond van verordening (EG) 1606/2002 zijn opgesteld of op een wijze die hiermee gelijkwaardig is overeenkomstig de verordening 1569/2007; deze geconsolideerde jaarrekening wordt gecontroleerd door een persoon die krachtens het recht waaronder deze moedervennootschap valt, is gemachtigd om de jaarrekening te certificeren;</w:t>
      </w:r>
    </w:p>
    <w:p>
      <w:pPr>
        <w:pStyle w:val="BodyText"/>
        <w:spacing w:line="218" w:lineRule="auto" w:before="126"/>
      </w:pPr>
      <w:r>
        <w:rPr>
          <w:color w:val="231F20"/>
        </w:rPr>
        <w:t>4° </w:t>
      </w:r>
      <w:r>
        <w:rPr>
          <w:rFonts w:ascii="Times New Roman" w:hAnsi="Times New Roman"/>
          <w:i/>
          <w:color w:val="231F20"/>
        </w:rPr>
        <w:t>a) </w:t>
      </w:r>
      <w:r>
        <w:rPr>
          <w:color w:val="231F20"/>
        </w:rPr>
        <w:t>een kopie van de geconsolideerde jaarrekening van de in paragraaf 1 bedoelde moedervennootschap, van het controleverslag over deze jaarrekening en van een stuk dat de inlichtingen voorgeschre- ven door artikel 3:32 bevat, worden binnen twee maanden nadat zij verkrijgbaar zijn gesteld voor de vennoten of aandeelhouders en uiterlijk zeven maanden na afsluiting van het boekjaar waarop zij betrekking hebben, door het bestuursorgaan van de vrijgestelde vennootschap neergelegd bij de Nationale Bank van België. De artikelen 2:33, 3:13, 3:14, eerste tot tweede lid, en 3:15 zijn van toepassing. </w:t>
      </w:r>
      <w:r>
        <w:rPr>
          <w:color w:val="231F20"/>
          <w:spacing w:val="-5"/>
        </w:rPr>
        <w:t>Voor </w:t>
      </w:r>
      <w:r>
        <w:rPr>
          <w:color w:val="231F20"/>
        </w:rPr>
        <w:t>de toepassing van artikel 3:14, tweede lid, is het bedoelde</w:t>
      </w:r>
      <w:r>
        <w:rPr>
          <w:color w:val="231F20"/>
          <w:spacing w:val="17"/>
        </w:rPr>
        <w:t> </w:t>
      </w:r>
      <w:r>
        <w:rPr>
          <w:color w:val="231F20"/>
        </w:rPr>
        <w:t>dossier</w:t>
      </w:r>
      <w:r>
        <w:rPr>
          <w:color w:val="231F20"/>
          <w:spacing w:val="18"/>
        </w:rPr>
        <w:t> </w:t>
      </w:r>
      <w:r>
        <w:rPr>
          <w:color w:val="231F20"/>
        </w:rPr>
        <w:t>het</w:t>
      </w:r>
      <w:r>
        <w:rPr>
          <w:color w:val="231F20"/>
          <w:spacing w:val="17"/>
        </w:rPr>
        <w:t> </w:t>
      </w:r>
      <w:r>
        <w:rPr>
          <w:color w:val="231F20"/>
        </w:rPr>
        <w:t>dossier</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vrijgestelde</w:t>
      </w:r>
      <w:r>
        <w:rPr>
          <w:color w:val="231F20"/>
          <w:spacing w:val="18"/>
        </w:rPr>
        <w:t> </w:t>
      </w:r>
      <w:r>
        <w:rPr>
          <w:color w:val="231F20"/>
        </w:rPr>
        <w:t>vennootschap;</w:t>
      </w:r>
    </w:p>
    <w:p>
      <w:pPr>
        <w:pStyle w:val="ListParagraph"/>
        <w:numPr>
          <w:ilvl w:val="0"/>
          <w:numId w:val="67"/>
        </w:numPr>
        <w:tabs>
          <w:tab w:pos="471" w:val="left" w:leader="none"/>
        </w:tabs>
        <w:spacing w:line="218" w:lineRule="auto" w:before="127" w:after="0"/>
        <w:ind w:left="113" w:right="124" w:firstLine="170"/>
        <w:jc w:val="both"/>
        <w:rPr>
          <w:sz w:val="17"/>
        </w:rPr>
      </w:pPr>
      <w:r>
        <w:rPr>
          <w:color w:val="231F20"/>
          <w:sz w:val="17"/>
        </w:rPr>
        <w:t>eenieder kan op de zetel van de vrijgestelde vennootschap inzage nemen van het jaarverslag over de geconsolideerde jaarrekening van de in paragraaf 1 bedoelde moedervennootschap en daarvan op aanvraag, kosteloos een volledige kopie</w:t>
      </w:r>
      <w:r>
        <w:rPr>
          <w:color w:val="231F20"/>
          <w:spacing w:val="21"/>
          <w:sz w:val="17"/>
        </w:rPr>
        <w:t> </w:t>
      </w:r>
      <w:r>
        <w:rPr>
          <w:color w:val="231F20"/>
          <w:sz w:val="17"/>
        </w:rPr>
        <w:t>krijgen;</w:t>
      </w:r>
    </w:p>
    <w:p>
      <w:pPr>
        <w:spacing w:after="0" w:line="218" w:lineRule="auto"/>
        <w:jc w:val="both"/>
        <w:rPr>
          <w:sz w:val="17"/>
        </w:rPr>
        <w:sectPr>
          <w:pgSz w:w="11940" w:h="16880"/>
          <w:pgMar w:header="666" w:footer="0" w:top="1140" w:bottom="280" w:left="340" w:right="360"/>
          <w:cols w:num="2" w:equalWidth="0">
            <w:col w:w="5527" w:space="101"/>
            <w:col w:w="5612"/>
          </w:cols>
        </w:sectPr>
      </w:pPr>
    </w:p>
    <w:p>
      <w:pPr>
        <w:pStyle w:val="ListParagraph"/>
        <w:numPr>
          <w:ilvl w:val="0"/>
          <w:numId w:val="67"/>
        </w:numPr>
        <w:tabs>
          <w:tab w:pos="500" w:val="left" w:leader="none"/>
        </w:tabs>
        <w:spacing w:line="216" w:lineRule="auto" w:before="119" w:after="0"/>
        <w:ind w:left="113" w:right="38" w:firstLine="170"/>
        <w:jc w:val="both"/>
        <w:rPr>
          <w:sz w:val="17"/>
        </w:rPr>
      </w:pPr>
      <w:r>
        <w:rPr/>
        <w:pict>
          <v:line style="position:absolute;mso-position-horizontal-relative:page;mso-position-vertical-relative:page;z-index:2440" from="298.170502pt,64.473pt" to="298.170502pt,812.819pt" stroked="true" strokeweight=".533pt" strokecolor="#231f20">
            <v:stroke dashstyle="solid"/>
            <w10:wrap type="none"/>
          </v:line>
        </w:pict>
      </w:r>
      <w:bookmarkStart w:name="_bookmark59" w:id="62"/>
      <w:bookmarkEnd w:id="62"/>
      <w:r>
        <w:rPr/>
      </w:r>
      <w:bookmarkStart w:name="_bookmark59" w:id="63"/>
      <w:bookmarkEnd w:id="63"/>
      <w:r>
        <w:rPr>
          <w:color w:val="231F20"/>
          <w:sz w:val="17"/>
        </w:rPr>
        <w:t>les</w:t>
      </w:r>
      <w:r>
        <w:rPr>
          <w:color w:val="231F20"/>
          <w:sz w:val="17"/>
        </w:rPr>
        <w:t> comptes consolidés, le rapport de gestion sur les comptes consolidés et le rapport de contrôle sur les comptes consolidés de la société mère visée au paragraphe 1</w:t>
      </w:r>
      <w:r>
        <w:rPr>
          <w:color w:val="231F20"/>
          <w:position w:val="7"/>
          <w:sz w:val="11"/>
        </w:rPr>
        <w:t>er </w:t>
      </w:r>
      <w:r>
        <w:rPr>
          <w:color w:val="231F20"/>
          <w:sz w:val="17"/>
        </w:rPr>
        <w:t>doivent, en vue de leur mise à disposition du public en Belgique conformément aux alinéas qui précèdent, être rédigés ou traduits dans la ou les langues dans lesquelles la société exemptée est tenue de publier ses comptes</w:t>
      </w:r>
      <w:r>
        <w:rPr>
          <w:color w:val="231F20"/>
          <w:spacing w:val="-1"/>
          <w:sz w:val="17"/>
        </w:rPr>
        <w:t> </w:t>
      </w:r>
      <w:r>
        <w:rPr>
          <w:color w:val="231F20"/>
          <w:sz w:val="17"/>
        </w:rPr>
        <w:t>annuels;</w:t>
      </w:r>
    </w:p>
    <w:p>
      <w:pPr>
        <w:pStyle w:val="BodyText"/>
        <w:spacing w:before="3"/>
        <w:ind w:left="0" w:right="0" w:firstLine="0"/>
        <w:jc w:val="left"/>
        <w:rPr>
          <w:sz w:val="22"/>
        </w:rPr>
      </w:pPr>
    </w:p>
    <w:p>
      <w:pPr>
        <w:pStyle w:val="ListParagraph"/>
        <w:numPr>
          <w:ilvl w:val="0"/>
          <w:numId w:val="67"/>
        </w:numPr>
        <w:tabs>
          <w:tab w:pos="479" w:val="left" w:leader="none"/>
        </w:tabs>
        <w:spacing w:line="216" w:lineRule="auto" w:before="1" w:after="0"/>
        <w:ind w:left="113" w:right="38" w:firstLine="170"/>
        <w:jc w:val="both"/>
        <w:rPr>
          <w:sz w:val="17"/>
        </w:rPr>
      </w:pPr>
      <w:r>
        <w:rPr>
          <w:color w:val="231F20"/>
          <w:sz w:val="17"/>
        </w:rPr>
        <w:t>les comptes consolidés de la société mère visée au paragraphe 1</w:t>
      </w:r>
      <w:r>
        <w:rPr>
          <w:color w:val="231F20"/>
          <w:position w:val="7"/>
          <w:sz w:val="11"/>
        </w:rPr>
        <w:t>er </w:t>
      </w:r>
      <w:r>
        <w:rPr>
          <w:color w:val="231F20"/>
          <w:sz w:val="11"/>
        </w:rPr>
        <w:t> </w:t>
      </w:r>
      <w:r>
        <w:rPr>
          <w:color w:val="231F20"/>
          <w:sz w:val="17"/>
        </w:rPr>
        <w:t>et</w:t>
      </w:r>
      <w:r>
        <w:rPr>
          <w:color w:val="231F20"/>
          <w:spacing w:val="-4"/>
          <w:sz w:val="17"/>
        </w:rPr>
        <w:t> </w:t>
      </w:r>
      <w:r>
        <w:rPr>
          <w:color w:val="231F20"/>
          <w:sz w:val="17"/>
        </w:rPr>
        <w:t>les</w:t>
      </w:r>
      <w:r>
        <w:rPr>
          <w:color w:val="231F20"/>
          <w:spacing w:val="-3"/>
          <w:sz w:val="17"/>
        </w:rPr>
        <w:t> </w:t>
      </w:r>
      <w:r>
        <w:rPr>
          <w:color w:val="231F20"/>
          <w:sz w:val="17"/>
        </w:rPr>
        <w:t>rapports</w:t>
      </w:r>
      <w:r>
        <w:rPr>
          <w:color w:val="231F20"/>
          <w:spacing w:val="-4"/>
          <w:sz w:val="17"/>
        </w:rPr>
        <w:t> </w:t>
      </w:r>
      <w:r>
        <w:rPr>
          <w:color w:val="231F20"/>
          <w:sz w:val="17"/>
        </w:rPr>
        <w:t>de</w:t>
      </w:r>
      <w:r>
        <w:rPr>
          <w:color w:val="231F20"/>
          <w:spacing w:val="-3"/>
          <w:sz w:val="17"/>
        </w:rPr>
        <w:t> </w:t>
      </w:r>
      <w:r>
        <w:rPr>
          <w:color w:val="231F20"/>
          <w:sz w:val="17"/>
        </w:rPr>
        <w:t>gestion</w:t>
      </w:r>
      <w:r>
        <w:rPr>
          <w:color w:val="231F20"/>
          <w:spacing w:val="-4"/>
          <w:sz w:val="17"/>
        </w:rPr>
        <w:t> </w:t>
      </w:r>
      <w:r>
        <w:rPr>
          <w:color w:val="231F20"/>
          <w:sz w:val="17"/>
        </w:rPr>
        <w:t>et</w:t>
      </w:r>
      <w:r>
        <w:rPr>
          <w:color w:val="231F20"/>
          <w:spacing w:val="-3"/>
          <w:sz w:val="17"/>
        </w:rPr>
        <w:t> </w:t>
      </w:r>
      <w:r>
        <w:rPr>
          <w:color w:val="231F20"/>
          <w:sz w:val="17"/>
        </w:rPr>
        <w:t>de</w:t>
      </w:r>
      <w:r>
        <w:rPr>
          <w:color w:val="231F20"/>
          <w:spacing w:val="-4"/>
          <w:sz w:val="17"/>
        </w:rPr>
        <w:t> </w:t>
      </w:r>
      <w:r>
        <w:rPr>
          <w:color w:val="231F20"/>
          <w:sz w:val="17"/>
        </w:rPr>
        <w:t>contrôle</w:t>
      </w:r>
      <w:r>
        <w:rPr>
          <w:color w:val="231F20"/>
          <w:spacing w:val="-3"/>
          <w:sz w:val="17"/>
        </w:rPr>
        <w:t> </w:t>
      </w:r>
      <w:r>
        <w:rPr>
          <w:color w:val="231F20"/>
          <w:sz w:val="17"/>
        </w:rPr>
        <w:t>relatifs</w:t>
      </w:r>
      <w:r>
        <w:rPr>
          <w:color w:val="231F20"/>
          <w:spacing w:val="-4"/>
          <w:sz w:val="17"/>
        </w:rPr>
        <w:t> </w:t>
      </w:r>
      <w:r>
        <w:rPr>
          <w:color w:val="231F20"/>
          <w:sz w:val="17"/>
        </w:rPr>
        <w:t>à</w:t>
      </w:r>
      <w:r>
        <w:rPr>
          <w:color w:val="231F20"/>
          <w:spacing w:val="-3"/>
          <w:sz w:val="17"/>
        </w:rPr>
        <w:t> </w:t>
      </w:r>
      <w:r>
        <w:rPr>
          <w:color w:val="231F20"/>
          <w:sz w:val="17"/>
        </w:rPr>
        <w:t>ces</w:t>
      </w:r>
      <w:r>
        <w:rPr>
          <w:color w:val="231F20"/>
          <w:spacing w:val="-3"/>
          <w:sz w:val="17"/>
        </w:rPr>
        <w:t> </w:t>
      </w:r>
      <w:r>
        <w:rPr>
          <w:color w:val="231F20"/>
          <w:sz w:val="17"/>
        </w:rPr>
        <w:t>comptes</w:t>
      </w:r>
      <w:r>
        <w:rPr>
          <w:color w:val="231F20"/>
          <w:spacing w:val="-4"/>
          <w:sz w:val="17"/>
        </w:rPr>
        <w:t> </w:t>
      </w:r>
      <w:r>
        <w:rPr>
          <w:color w:val="231F20"/>
          <w:sz w:val="17"/>
        </w:rPr>
        <w:t>ne</w:t>
      </w:r>
      <w:r>
        <w:rPr>
          <w:color w:val="231F20"/>
          <w:spacing w:val="-3"/>
          <w:sz w:val="17"/>
        </w:rPr>
        <w:t> </w:t>
      </w:r>
      <w:r>
        <w:rPr>
          <w:color w:val="231F20"/>
          <w:sz w:val="17"/>
        </w:rPr>
        <w:t>doivent toutefois pas faire l’objet de la publication prévue par les points </w:t>
      </w:r>
      <w:r>
        <w:rPr>
          <w:rFonts w:ascii="Times New Roman" w:hAnsi="Times New Roman"/>
          <w:i/>
          <w:color w:val="231F20"/>
          <w:sz w:val="17"/>
        </w:rPr>
        <w:t>a) </w:t>
      </w:r>
      <w:r>
        <w:rPr>
          <w:color w:val="231F20"/>
          <w:sz w:val="17"/>
        </w:rPr>
        <w:t>et </w:t>
      </w:r>
      <w:r>
        <w:rPr>
          <w:rFonts w:ascii="Times New Roman" w:hAnsi="Times New Roman"/>
          <w:i/>
          <w:color w:val="231F20"/>
          <w:sz w:val="17"/>
        </w:rPr>
        <w:t>b)</w:t>
      </w:r>
      <w:r>
        <w:rPr>
          <w:color w:val="231F20"/>
          <w:sz w:val="17"/>
        </w:rPr>
        <w:t>, s’ils ont déjà fait l’objet, dans la ou les langues visées au point </w:t>
      </w:r>
      <w:r>
        <w:rPr>
          <w:rFonts w:ascii="Times New Roman" w:hAnsi="Times New Roman"/>
          <w:i/>
          <w:color w:val="231F20"/>
          <w:sz w:val="17"/>
        </w:rPr>
        <w:t>c)</w:t>
      </w:r>
      <w:r>
        <w:rPr>
          <w:color w:val="231F20"/>
          <w:sz w:val="17"/>
        </w:rPr>
        <w:t>, d’une publicité effectuée par application des articles 3:35 et 3:36 ou du point </w:t>
      </w:r>
      <w:r>
        <w:rPr>
          <w:rFonts w:ascii="Times New Roman" w:hAnsi="Times New Roman"/>
          <w:i/>
          <w:color w:val="231F20"/>
          <w:sz w:val="17"/>
        </w:rPr>
        <w:t>a)</w:t>
      </w:r>
      <w:r>
        <w:rPr>
          <w:color w:val="231F20"/>
          <w:sz w:val="17"/>
        </w:rPr>
        <w:t>.</w:t>
      </w:r>
    </w:p>
    <w:p>
      <w:pPr>
        <w:pStyle w:val="BodyText"/>
        <w:spacing w:before="84"/>
        <w:ind w:left="283" w:right="0" w:firstLine="0"/>
        <w:jc w:val="left"/>
      </w:pPr>
      <w:r>
        <w:rPr>
          <w:color w:val="231F20"/>
        </w:rPr>
        <w:t>§</w:t>
      </w:r>
      <w:r>
        <w:rPr>
          <w:color w:val="231F20"/>
          <w:spacing w:val="13"/>
        </w:rPr>
        <w:t> </w:t>
      </w:r>
      <w:r>
        <w:rPr>
          <w:color w:val="231F20"/>
        </w:rPr>
        <w:t>3.</w:t>
      </w:r>
      <w:r>
        <w:rPr>
          <w:color w:val="231F20"/>
          <w:spacing w:val="13"/>
        </w:rPr>
        <w:t> </w:t>
      </w:r>
      <w:r>
        <w:rPr>
          <w:color w:val="231F20"/>
        </w:rPr>
        <w:t>L’annexe</w:t>
      </w:r>
      <w:r>
        <w:rPr>
          <w:color w:val="231F20"/>
          <w:spacing w:val="13"/>
        </w:rPr>
        <w:t> </w:t>
      </w:r>
      <w:r>
        <w:rPr>
          <w:color w:val="231F20"/>
        </w:rPr>
        <w:t>des</w:t>
      </w:r>
      <w:r>
        <w:rPr>
          <w:color w:val="231F20"/>
          <w:spacing w:val="14"/>
        </w:rPr>
        <w:t> </w:t>
      </w:r>
      <w:r>
        <w:rPr>
          <w:color w:val="231F20"/>
        </w:rPr>
        <w:t>comptes</w:t>
      </w:r>
      <w:r>
        <w:rPr>
          <w:color w:val="231F20"/>
          <w:spacing w:val="13"/>
        </w:rPr>
        <w:t> </w:t>
      </w:r>
      <w:r>
        <w:rPr>
          <w:color w:val="231F20"/>
        </w:rPr>
        <w:t>annuels</w:t>
      </w:r>
      <w:r>
        <w:rPr>
          <w:color w:val="231F20"/>
          <w:spacing w:val="13"/>
        </w:rPr>
        <w:t> </w:t>
      </w:r>
      <w:r>
        <w:rPr>
          <w:color w:val="231F20"/>
        </w:rPr>
        <w:t>de</w:t>
      </w:r>
      <w:r>
        <w:rPr>
          <w:color w:val="231F20"/>
          <w:spacing w:val="13"/>
        </w:rPr>
        <w:t> </w:t>
      </w:r>
      <w:r>
        <w:rPr>
          <w:color w:val="231F20"/>
        </w:rPr>
        <w:t>la</w:t>
      </w:r>
      <w:r>
        <w:rPr>
          <w:color w:val="231F20"/>
          <w:spacing w:val="14"/>
        </w:rPr>
        <w:t> </w:t>
      </w:r>
      <w:r>
        <w:rPr>
          <w:color w:val="231F20"/>
        </w:rPr>
        <w:t>société</w:t>
      </w:r>
      <w:r>
        <w:rPr>
          <w:color w:val="231F20"/>
          <w:spacing w:val="13"/>
        </w:rPr>
        <w:t> </w:t>
      </w:r>
      <w:r>
        <w:rPr>
          <w:color w:val="231F20"/>
        </w:rPr>
        <w:t>exemptée:</w:t>
      </w:r>
    </w:p>
    <w:p>
      <w:pPr>
        <w:pStyle w:val="BodyText"/>
        <w:spacing w:before="1"/>
        <w:ind w:left="0" w:right="0" w:firstLine="0"/>
        <w:jc w:val="left"/>
        <w:rPr>
          <w:sz w:val="24"/>
        </w:rPr>
      </w:pPr>
    </w:p>
    <w:p>
      <w:pPr>
        <w:pStyle w:val="BodyText"/>
        <w:spacing w:line="211" w:lineRule="auto"/>
        <w:ind w:right="38"/>
      </w:pPr>
      <w:r>
        <w:rPr>
          <w:color w:val="231F20"/>
        </w:rPr>
        <w:t>1° mentionne qu’elle a fait usage de la faculté ouverte par le paragraphe 1</w:t>
      </w:r>
      <w:r>
        <w:rPr>
          <w:color w:val="231F20"/>
          <w:position w:val="7"/>
          <w:sz w:val="11"/>
        </w:rPr>
        <w:t>er </w:t>
      </w:r>
      <w:r>
        <w:rPr>
          <w:color w:val="231F20"/>
        </w:rPr>
        <w:t>de ne pas établir et publier des comptes consolidés propres</w:t>
      </w:r>
      <w:r>
        <w:rPr>
          <w:color w:val="231F20"/>
          <w:spacing w:val="15"/>
        </w:rPr>
        <w:t> </w:t>
      </w:r>
      <w:r>
        <w:rPr>
          <w:color w:val="231F20"/>
        </w:rPr>
        <w:t>et</w:t>
      </w:r>
      <w:r>
        <w:rPr>
          <w:color w:val="231F20"/>
          <w:spacing w:val="15"/>
        </w:rPr>
        <w:t> </w:t>
      </w:r>
      <w:r>
        <w:rPr>
          <w:color w:val="231F20"/>
        </w:rPr>
        <w:t>un</w:t>
      </w:r>
      <w:r>
        <w:rPr>
          <w:color w:val="231F20"/>
          <w:spacing w:val="16"/>
        </w:rPr>
        <w:t> </w:t>
      </w:r>
      <w:r>
        <w:rPr>
          <w:color w:val="231F20"/>
        </w:rPr>
        <w:t>rapport</w:t>
      </w:r>
      <w:r>
        <w:rPr>
          <w:color w:val="231F20"/>
          <w:spacing w:val="15"/>
        </w:rPr>
        <w:t> </w:t>
      </w:r>
      <w:r>
        <w:rPr>
          <w:color w:val="231F20"/>
        </w:rPr>
        <w:t>de</w:t>
      </w:r>
      <w:r>
        <w:rPr>
          <w:color w:val="231F20"/>
          <w:spacing w:val="15"/>
        </w:rPr>
        <w:t> </w:t>
      </w:r>
      <w:r>
        <w:rPr>
          <w:color w:val="231F20"/>
        </w:rPr>
        <w:t>gestion</w:t>
      </w:r>
      <w:r>
        <w:rPr>
          <w:color w:val="231F20"/>
          <w:spacing w:val="16"/>
        </w:rPr>
        <w:t> </w:t>
      </w:r>
      <w:r>
        <w:rPr>
          <w:color w:val="231F20"/>
        </w:rPr>
        <w:t>sur</w:t>
      </w:r>
      <w:r>
        <w:rPr>
          <w:color w:val="231F20"/>
          <w:spacing w:val="15"/>
        </w:rPr>
        <w:t> </w:t>
      </w:r>
      <w:r>
        <w:rPr>
          <w:color w:val="231F20"/>
        </w:rPr>
        <w:t>les</w:t>
      </w:r>
      <w:r>
        <w:rPr>
          <w:color w:val="231F20"/>
          <w:spacing w:val="15"/>
        </w:rPr>
        <w:t> </w:t>
      </w:r>
      <w:r>
        <w:rPr>
          <w:color w:val="231F20"/>
        </w:rPr>
        <w:t>comptes</w:t>
      </w:r>
      <w:r>
        <w:rPr>
          <w:color w:val="231F20"/>
          <w:spacing w:val="16"/>
        </w:rPr>
        <w:t> </w:t>
      </w:r>
      <w:r>
        <w:rPr>
          <w:color w:val="231F20"/>
        </w:rPr>
        <w:t>consolidés;</w:t>
      </w:r>
    </w:p>
    <w:p>
      <w:pPr>
        <w:pStyle w:val="BodyText"/>
        <w:spacing w:before="8"/>
        <w:ind w:left="0" w:right="0" w:firstLine="0"/>
        <w:jc w:val="left"/>
        <w:rPr>
          <w:sz w:val="23"/>
        </w:rPr>
      </w:pPr>
    </w:p>
    <w:p>
      <w:pPr>
        <w:pStyle w:val="BodyText"/>
        <w:spacing w:line="218" w:lineRule="auto"/>
        <w:ind w:right="38"/>
      </w:pPr>
      <w:r>
        <w:rPr>
          <w:color w:val="231F20"/>
        </w:rPr>
        <w:t>2° indique le nom et le siège et, s’il s’agit d’une société de droit belge, le numéro d’entreprise qui établit et publie les comptes consolidés visés au paragraphe 2, 2°, du présent article;</w:t>
      </w:r>
    </w:p>
    <w:p>
      <w:pPr>
        <w:pStyle w:val="BodyText"/>
        <w:spacing w:before="8"/>
        <w:ind w:left="0" w:right="0" w:firstLine="0"/>
        <w:jc w:val="left"/>
        <w:rPr>
          <w:sz w:val="23"/>
        </w:rPr>
      </w:pPr>
    </w:p>
    <w:p>
      <w:pPr>
        <w:pStyle w:val="BodyText"/>
        <w:spacing w:line="218" w:lineRule="auto"/>
        <w:ind w:right="38"/>
      </w:pPr>
      <w:r>
        <w:rPr>
          <w:color w:val="231F20"/>
        </w:rPr>
        <w:t>3° indique, au cas où il est fait application du paragraphe 2, </w:t>
      </w:r>
      <w:r>
        <w:rPr>
          <w:rFonts w:ascii="Times New Roman" w:hAnsi="Times New Roman"/>
          <w:i/>
          <w:color w:val="231F20"/>
        </w:rPr>
        <w:t>d)</w:t>
      </w:r>
      <w:r>
        <w:rPr>
          <w:color w:val="231F20"/>
        </w:rPr>
        <w:t>, la</w:t>
      </w:r>
      <w:r>
        <w:rPr>
          <w:color w:val="231F20"/>
          <w:spacing w:val="-14"/>
        </w:rPr>
        <w:t> </w:t>
      </w:r>
      <w:r>
        <w:rPr>
          <w:color w:val="231F20"/>
        </w:rPr>
        <w:t>date de dépôt des documents</w:t>
      </w:r>
      <w:r>
        <w:rPr>
          <w:color w:val="231F20"/>
          <w:spacing w:val="20"/>
        </w:rPr>
        <w:t> </w:t>
      </w:r>
      <w:r>
        <w:rPr>
          <w:color w:val="231F20"/>
        </w:rPr>
        <w:t>visés;</w:t>
      </w:r>
    </w:p>
    <w:p>
      <w:pPr>
        <w:pStyle w:val="BodyText"/>
        <w:spacing w:line="218" w:lineRule="auto" w:before="96"/>
        <w:ind w:right="38"/>
      </w:pPr>
      <w:r>
        <w:rPr>
          <w:color w:val="231F20"/>
        </w:rPr>
        <w:t>4° justifie spécialement du respect des conditions prévues par le présent article.</w:t>
      </w:r>
    </w:p>
    <w:p>
      <w:pPr>
        <w:pStyle w:val="BodyText"/>
        <w:spacing w:line="213" w:lineRule="auto" w:before="110"/>
        <w:ind w:right="38"/>
      </w:pPr>
      <w:r>
        <w:rPr>
          <w:color w:val="231F20"/>
        </w:rPr>
        <w:t>§ 4. En cas de consolidation d’un consortium, l’exception visée au paragraphe 1</w:t>
      </w:r>
      <w:r>
        <w:rPr>
          <w:color w:val="231F20"/>
          <w:position w:val="7"/>
          <w:sz w:val="11"/>
        </w:rPr>
        <w:t>er </w:t>
      </w:r>
      <w:r>
        <w:rPr>
          <w:color w:val="231F20"/>
        </w:rPr>
        <w:t>est aussi applicable, étant entendu que, pour l’applica- tion des paragraphes 2 et 3, les comptes consolidés du consortium remplacent les comptes consolidés de la société mère.</w:t>
      </w:r>
    </w:p>
    <w:p>
      <w:pPr>
        <w:pStyle w:val="BodyText"/>
        <w:spacing w:before="8"/>
        <w:ind w:left="0" w:right="0" w:firstLine="0"/>
        <w:jc w:val="left"/>
        <w:rPr>
          <w:sz w:val="24"/>
        </w:rPr>
      </w:pPr>
    </w:p>
    <w:p>
      <w:pPr>
        <w:pStyle w:val="BodyText"/>
        <w:spacing w:line="218" w:lineRule="auto"/>
        <w:ind w:right="39"/>
      </w:pPr>
      <w:r>
        <w:rPr>
          <w:color w:val="231F20"/>
        </w:rPr>
        <w:t>Art. 3:27. Les exemptions prévues aux articles 3:25 et 3:26 ne s’appliquent pas si une des sociétés à consolider est cotée.</w:t>
      </w:r>
    </w:p>
    <w:p>
      <w:pPr>
        <w:pStyle w:val="BodyText"/>
        <w:spacing w:before="9"/>
        <w:ind w:left="0" w:right="0" w:firstLine="0"/>
        <w:jc w:val="left"/>
        <w:rPr>
          <w:sz w:val="24"/>
        </w:rPr>
      </w:pPr>
    </w:p>
    <w:p>
      <w:pPr>
        <w:pStyle w:val="BodyText"/>
        <w:spacing w:line="218" w:lineRule="auto" w:before="1"/>
        <w:ind w:right="38"/>
      </w:pPr>
      <w:r>
        <w:rPr>
          <w:color w:val="231F20"/>
        </w:rPr>
        <w:t>Art. 3:28. Les articles 3:25 et 3:26 ne portent pas préjudice aux dispositions légales et règlementaires concernant l’établissement des comptes consolidés ou d’un rapport de gestion sur les comptes consolidés lorsque ces documents sont requis:</w:t>
      </w:r>
    </w:p>
    <w:p>
      <w:pPr>
        <w:pStyle w:val="BodyText"/>
        <w:spacing w:before="93"/>
        <w:ind w:left="283" w:right="0" w:firstLine="0"/>
        <w:jc w:val="left"/>
      </w:pPr>
      <w:r>
        <w:rPr>
          <w:color w:val="231F20"/>
        </w:rPr>
        <w:t>1° pour l’information des travailleurs ou de leurs représentants;</w:t>
      </w:r>
    </w:p>
    <w:p>
      <w:pPr>
        <w:pStyle w:val="BodyText"/>
        <w:spacing w:before="6"/>
        <w:ind w:left="0" w:right="0" w:firstLine="0"/>
        <w:jc w:val="left"/>
        <w:rPr>
          <w:sz w:val="24"/>
        </w:rPr>
      </w:pPr>
    </w:p>
    <w:p>
      <w:pPr>
        <w:pStyle w:val="BodyText"/>
        <w:spacing w:line="218" w:lineRule="auto"/>
        <w:ind w:right="38"/>
      </w:pPr>
      <w:r>
        <w:rPr>
          <w:color w:val="231F20"/>
        </w:rPr>
        <w:t>2° à la demande d’une autorité administrative ou judiciaire pour sa propre information.</w:t>
      </w:r>
    </w:p>
    <w:p>
      <w:pPr>
        <w:pStyle w:val="BodyText"/>
        <w:spacing w:before="93"/>
        <w:ind w:left="283" w:right="0" w:firstLine="0"/>
        <w:jc w:val="left"/>
      </w:pPr>
      <w:r>
        <w:rPr>
          <w:color w:val="231F20"/>
        </w:rPr>
        <w:t>Section 3. Périmètre de consolidation et comptes consolidés.</w:t>
      </w:r>
    </w:p>
    <w:p>
      <w:pPr>
        <w:pStyle w:val="BodyText"/>
        <w:spacing w:line="218" w:lineRule="auto" w:before="103"/>
        <w:ind w:right="38"/>
      </w:pPr>
      <w:r>
        <w:rPr>
          <w:color w:val="231F20"/>
        </w:rPr>
        <w:t>Art. 3:29. Le Roi fixe les règles selon lesquelles le périmètre de consolidation est déterminé.</w:t>
      </w:r>
    </w:p>
    <w:p>
      <w:pPr>
        <w:pStyle w:val="BodyText"/>
        <w:spacing w:line="218" w:lineRule="auto" w:before="92"/>
        <w:ind w:right="38"/>
      </w:pPr>
      <w:r>
        <w:rPr>
          <w:color w:val="231F20"/>
        </w:rPr>
        <w:t>Art. 3:30. § 1</w:t>
      </w:r>
      <w:r>
        <w:rPr>
          <w:color w:val="231F20"/>
          <w:position w:val="7"/>
          <w:sz w:val="11"/>
        </w:rPr>
        <w:t>er</w:t>
      </w:r>
      <w:r>
        <w:rPr>
          <w:color w:val="231F20"/>
        </w:rPr>
        <w:t>. Le Roi détermine la forme et le contenu des comptes annuels consolidés.</w:t>
      </w:r>
    </w:p>
    <w:p>
      <w:pPr>
        <w:pStyle w:val="BodyText"/>
        <w:spacing w:line="218" w:lineRule="auto" w:before="107"/>
        <w:ind w:right="38"/>
      </w:pPr>
      <w:r>
        <w:rPr>
          <w:color w:val="231F20"/>
        </w:rPr>
        <w:t>§ 2. En cas de consolidation d’un consortium, les comptes consolidés peuvent être établis selon la législation et dans la monnaie du pays d’une</w:t>
      </w:r>
      <w:r>
        <w:rPr>
          <w:color w:val="231F20"/>
          <w:spacing w:val="-5"/>
        </w:rPr>
        <w:t> </w:t>
      </w:r>
      <w:r>
        <w:rPr>
          <w:color w:val="231F20"/>
        </w:rPr>
        <w:t>société</w:t>
      </w:r>
      <w:r>
        <w:rPr>
          <w:color w:val="231F20"/>
          <w:spacing w:val="-5"/>
        </w:rPr>
        <w:t> </w:t>
      </w:r>
      <w:r>
        <w:rPr>
          <w:color w:val="231F20"/>
        </w:rPr>
        <w:t>étrangère,</w:t>
      </w:r>
      <w:r>
        <w:rPr>
          <w:color w:val="231F20"/>
          <w:spacing w:val="-4"/>
        </w:rPr>
        <w:t> </w:t>
      </w:r>
      <w:r>
        <w:rPr>
          <w:color w:val="231F20"/>
        </w:rPr>
        <w:t>membre</w:t>
      </w:r>
      <w:r>
        <w:rPr>
          <w:color w:val="231F20"/>
          <w:spacing w:val="-5"/>
        </w:rPr>
        <w:t> </w:t>
      </w:r>
      <w:r>
        <w:rPr>
          <w:color w:val="231F20"/>
        </w:rPr>
        <w:t>du</w:t>
      </w:r>
      <w:r>
        <w:rPr>
          <w:color w:val="231F20"/>
          <w:spacing w:val="-4"/>
        </w:rPr>
        <w:t> </w:t>
      </w:r>
      <w:r>
        <w:rPr>
          <w:color w:val="231F20"/>
        </w:rPr>
        <w:t>consortium,</w:t>
      </w:r>
      <w:r>
        <w:rPr>
          <w:color w:val="231F20"/>
          <w:spacing w:val="-5"/>
        </w:rPr>
        <w:t> </w:t>
      </w:r>
      <w:r>
        <w:rPr>
          <w:color w:val="231F20"/>
        </w:rPr>
        <w:t>si</w:t>
      </w:r>
      <w:r>
        <w:rPr>
          <w:color w:val="231F20"/>
          <w:spacing w:val="-4"/>
        </w:rPr>
        <w:t> </w:t>
      </w:r>
      <w:r>
        <w:rPr>
          <w:color w:val="231F20"/>
        </w:rPr>
        <w:t>la</w:t>
      </w:r>
      <w:r>
        <w:rPr>
          <w:color w:val="231F20"/>
          <w:spacing w:val="-5"/>
        </w:rPr>
        <w:t> </w:t>
      </w:r>
      <w:r>
        <w:rPr>
          <w:color w:val="231F20"/>
        </w:rPr>
        <w:t>majeure</w:t>
      </w:r>
      <w:r>
        <w:rPr>
          <w:color w:val="231F20"/>
          <w:spacing w:val="-4"/>
        </w:rPr>
        <w:t> </w:t>
      </w:r>
      <w:r>
        <w:rPr>
          <w:color w:val="231F20"/>
        </w:rPr>
        <w:t>partie</w:t>
      </w:r>
      <w:r>
        <w:rPr>
          <w:color w:val="231F20"/>
          <w:spacing w:val="-5"/>
        </w:rPr>
        <w:t> </w:t>
      </w:r>
      <w:r>
        <w:rPr>
          <w:color w:val="231F20"/>
        </w:rPr>
        <w:t>des activités du consortium sont effectuées par cette société ou dans la monnaie</w:t>
      </w:r>
      <w:r>
        <w:rPr>
          <w:color w:val="231F20"/>
          <w:spacing w:val="15"/>
        </w:rPr>
        <w:t> </w:t>
      </w:r>
      <w:r>
        <w:rPr>
          <w:color w:val="231F20"/>
        </w:rPr>
        <w:t>du</w:t>
      </w:r>
      <w:r>
        <w:rPr>
          <w:color w:val="231F20"/>
          <w:spacing w:val="16"/>
        </w:rPr>
        <w:t> </w:t>
      </w:r>
      <w:r>
        <w:rPr>
          <w:color w:val="231F20"/>
        </w:rPr>
        <w:t>pays</w:t>
      </w:r>
      <w:r>
        <w:rPr>
          <w:color w:val="231F20"/>
          <w:spacing w:val="15"/>
        </w:rPr>
        <w:t> </w:t>
      </w:r>
      <w:r>
        <w:rPr>
          <w:color w:val="231F20"/>
        </w:rPr>
        <w:t>où</w:t>
      </w:r>
      <w:r>
        <w:rPr>
          <w:color w:val="231F20"/>
          <w:spacing w:val="16"/>
        </w:rPr>
        <w:t> </w:t>
      </w:r>
      <w:r>
        <w:rPr>
          <w:color w:val="231F20"/>
        </w:rPr>
        <w:t>il</w:t>
      </w:r>
      <w:r>
        <w:rPr>
          <w:color w:val="231F20"/>
          <w:spacing w:val="15"/>
        </w:rPr>
        <w:t> </w:t>
      </w:r>
      <w:r>
        <w:rPr>
          <w:color w:val="231F20"/>
        </w:rPr>
        <w:t>a</w:t>
      </w:r>
      <w:r>
        <w:rPr>
          <w:color w:val="231F20"/>
          <w:spacing w:val="16"/>
        </w:rPr>
        <w:t> </w:t>
      </w:r>
      <w:r>
        <w:rPr>
          <w:color w:val="231F20"/>
        </w:rPr>
        <w:t>son</w:t>
      </w:r>
      <w:r>
        <w:rPr>
          <w:color w:val="231F20"/>
          <w:spacing w:val="16"/>
        </w:rPr>
        <w:t> </w:t>
      </w:r>
      <w:r>
        <w:rPr>
          <w:color w:val="231F20"/>
        </w:rPr>
        <w:t>siège.</w:t>
      </w:r>
    </w:p>
    <w:p>
      <w:pPr>
        <w:pStyle w:val="BodyText"/>
        <w:spacing w:before="10"/>
        <w:ind w:left="0" w:right="0" w:firstLine="0"/>
        <w:jc w:val="left"/>
        <w:rPr>
          <w:sz w:val="24"/>
        </w:rPr>
      </w:pPr>
    </w:p>
    <w:p>
      <w:pPr>
        <w:pStyle w:val="BodyText"/>
        <w:spacing w:line="218" w:lineRule="auto"/>
        <w:ind w:right="38"/>
      </w:pPr>
      <w:r>
        <w:rPr>
          <w:color w:val="231F20"/>
        </w:rPr>
        <w:t>Les postes des capitaux propres à inclure dans les comptes consolidés sont les montants additionnés attribuables à chacune des sociétés formant le consortium.</w:t>
      </w:r>
    </w:p>
    <w:p>
      <w:pPr>
        <w:pStyle w:val="BodyText"/>
        <w:spacing w:before="10"/>
        <w:ind w:left="0" w:right="0" w:firstLine="0"/>
        <w:jc w:val="left"/>
        <w:rPr>
          <w:sz w:val="24"/>
        </w:rPr>
      </w:pPr>
    </w:p>
    <w:p>
      <w:pPr>
        <w:pStyle w:val="BodyText"/>
        <w:spacing w:line="218" w:lineRule="auto"/>
        <w:ind w:right="38"/>
      </w:pPr>
      <w:r>
        <w:rPr>
          <w:color w:val="231F20"/>
        </w:rPr>
        <w:t>Art. 3:31. Les comptes annuels consolidés sont établis par l’organe d’administration de la société.</w:t>
      </w:r>
    </w:p>
    <w:p>
      <w:pPr>
        <w:pStyle w:val="BodyText"/>
        <w:spacing w:before="93"/>
        <w:ind w:left="283" w:right="0" w:firstLine="0"/>
        <w:jc w:val="left"/>
      </w:pPr>
      <w:r>
        <w:rPr>
          <w:color w:val="231F20"/>
        </w:rPr>
        <w:t>Section</w:t>
      </w:r>
      <w:r>
        <w:rPr>
          <w:color w:val="231F20"/>
          <w:spacing w:val="13"/>
        </w:rPr>
        <w:t> </w:t>
      </w:r>
      <w:r>
        <w:rPr>
          <w:color w:val="231F20"/>
        </w:rPr>
        <w:t>4.</w:t>
      </w:r>
      <w:r>
        <w:rPr>
          <w:color w:val="231F20"/>
          <w:spacing w:val="14"/>
        </w:rPr>
        <w:t> </w:t>
      </w:r>
      <w:r>
        <w:rPr>
          <w:color w:val="231F20"/>
        </w:rPr>
        <w:t>Rapport</w:t>
      </w:r>
      <w:r>
        <w:rPr>
          <w:color w:val="231F20"/>
          <w:spacing w:val="13"/>
        </w:rPr>
        <w:t> </w:t>
      </w:r>
      <w:r>
        <w:rPr>
          <w:color w:val="231F20"/>
        </w:rPr>
        <w:t>de</w:t>
      </w:r>
      <w:r>
        <w:rPr>
          <w:color w:val="231F20"/>
          <w:spacing w:val="14"/>
        </w:rPr>
        <w:t> </w:t>
      </w:r>
      <w:r>
        <w:rPr>
          <w:color w:val="231F20"/>
        </w:rPr>
        <w:t>gestion</w:t>
      </w:r>
      <w:r>
        <w:rPr>
          <w:color w:val="231F20"/>
          <w:spacing w:val="14"/>
        </w:rPr>
        <w:t> </w:t>
      </w:r>
      <w:r>
        <w:rPr>
          <w:color w:val="231F20"/>
        </w:rPr>
        <w:t>sur</w:t>
      </w:r>
      <w:r>
        <w:rPr>
          <w:color w:val="231F20"/>
          <w:spacing w:val="13"/>
        </w:rPr>
        <w:t> </w:t>
      </w:r>
      <w:r>
        <w:rPr>
          <w:color w:val="231F20"/>
        </w:rPr>
        <w:t>les</w:t>
      </w:r>
      <w:r>
        <w:rPr>
          <w:color w:val="231F20"/>
          <w:spacing w:val="14"/>
        </w:rPr>
        <w:t> </w:t>
      </w:r>
      <w:r>
        <w:rPr>
          <w:color w:val="231F20"/>
        </w:rPr>
        <w:t>comptes</w:t>
      </w:r>
      <w:r>
        <w:rPr>
          <w:color w:val="231F20"/>
          <w:spacing w:val="14"/>
        </w:rPr>
        <w:t> </w:t>
      </w:r>
      <w:r>
        <w:rPr>
          <w:color w:val="231F20"/>
        </w:rPr>
        <w:t>consolidés.</w:t>
      </w:r>
    </w:p>
    <w:p>
      <w:pPr>
        <w:pStyle w:val="BodyText"/>
        <w:spacing w:line="218" w:lineRule="auto" w:before="88"/>
        <w:ind w:right="38"/>
      </w:pPr>
      <w:r>
        <w:rPr>
          <w:color w:val="231F20"/>
        </w:rPr>
        <w:t>Art. 3:32. § 1</w:t>
      </w:r>
      <w:r>
        <w:rPr>
          <w:color w:val="231F20"/>
          <w:position w:val="7"/>
          <w:sz w:val="11"/>
        </w:rPr>
        <w:t>er</w:t>
      </w:r>
      <w:r>
        <w:rPr>
          <w:color w:val="231F20"/>
        </w:rPr>
        <w:t>. Un rapport de gestion sur les comptes consolidés est joint</w:t>
      </w:r>
      <w:r>
        <w:rPr>
          <w:color w:val="231F20"/>
          <w:spacing w:val="15"/>
        </w:rPr>
        <w:t> </w:t>
      </w:r>
      <w:r>
        <w:rPr>
          <w:color w:val="231F20"/>
        </w:rPr>
        <w:t>aux</w:t>
      </w:r>
      <w:r>
        <w:rPr>
          <w:color w:val="231F20"/>
          <w:spacing w:val="16"/>
        </w:rPr>
        <w:t> </w:t>
      </w:r>
      <w:r>
        <w:rPr>
          <w:color w:val="231F20"/>
        </w:rPr>
        <w:t>comptes</w:t>
      </w:r>
      <w:r>
        <w:rPr>
          <w:color w:val="231F20"/>
          <w:spacing w:val="16"/>
        </w:rPr>
        <w:t> </w:t>
      </w:r>
      <w:r>
        <w:rPr>
          <w:color w:val="231F20"/>
        </w:rPr>
        <w:t>consolidés</w:t>
      </w:r>
      <w:r>
        <w:rPr>
          <w:color w:val="231F20"/>
          <w:spacing w:val="16"/>
        </w:rPr>
        <w:t> </w:t>
      </w:r>
      <w:r>
        <w:rPr>
          <w:color w:val="231F20"/>
        </w:rPr>
        <w:t>par</w:t>
      </w:r>
      <w:r>
        <w:rPr>
          <w:color w:val="231F20"/>
          <w:spacing w:val="16"/>
        </w:rPr>
        <w:t> </w:t>
      </w:r>
      <w:r>
        <w:rPr>
          <w:color w:val="231F20"/>
        </w:rPr>
        <w:t>l’organe</w:t>
      </w:r>
      <w:r>
        <w:rPr>
          <w:color w:val="231F20"/>
          <w:spacing w:val="16"/>
        </w:rPr>
        <w:t> </w:t>
      </w:r>
      <w:r>
        <w:rPr>
          <w:color w:val="231F20"/>
        </w:rPr>
        <w:t>d’administration.</w:t>
      </w:r>
    </w:p>
    <w:p>
      <w:pPr>
        <w:pStyle w:val="BodyText"/>
        <w:spacing w:before="93"/>
        <w:ind w:left="283" w:right="0" w:firstLine="0"/>
        <w:jc w:val="left"/>
      </w:pPr>
      <w:r>
        <w:rPr>
          <w:color w:val="231F20"/>
        </w:rPr>
        <w:t>Ce rapport comporte:</w:t>
      </w:r>
    </w:p>
    <w:p>
      <w:pPr>
        <w:pStyle w:val="BodyText"/>
        <w:spacing w:line="218" w:lineRule="auto" w:before="103"/>
        <w:ind w:right="38"/>
      </w:pPr>
      <w:r>
        <w:rPr>
          <w:color w:val="231F20"/>
        </w:rPr>
        <w:t>1° au moins un exposé fidèle sur l’évolution des affaires, les résultats et la situation de l’ensemble des entreprises comprises dans</w:t>
      </w:r>
      <w:r>
        <w:rPr>
          <w:color w:val="231F20"/>
          <w:spacing w:val="28"/>
        </w:rPr>
        <w:t> </w:t>
      </w:r>
      <w:r>
        <w:rPr>
          <w:color w:val="231F20"/>
        </w:rPr>
        <w:t>la consolidation, ainsi qu’une description des principaux risques</w:t>
      </w:r>
      <w:r>
        <w:rPr>
          <w:color w:val="231F20"/>
          <w:spacing w:val="22"/>
        </w:rPr>
        <w:t> </w:t>
      </w:r>
      <w:r>
        <w:rPr>
          <w:color w:val="231F20"/>
        </w:rPr>
        <w:t>et incertitudes auxquels elles sont confrontées. Cet exposé consiste en une analyse équilibrée et complète de l’évolution des affaires, des résultats et de la situation de l’ensemble des entreprises comprises dans la consolidation, en rapport avec le volume et la complexité de ces</w:t>
      </w:r>
      <w:r>
        <w:rPr>
          <w:color w:val="231F20"/>
          <w:spacing w:val="-30"/>
        </w:rPr>
        <w:t> </w:t>
      </w:r>
      <w:r>
        <w:rPr>
          <w:color w:val="231F20"/>
        </w:rPr>
        <w:t>affaires.</w:t>
      </w:r>
    </w:p>
    <w:p>
      <w:pPr>
        <w:pStyle w:val="ListParagraph"/>
        <w:numPr>
          <w:ilvl w:val="0"/>
          <w:numId w:val="68"/>
        </w:numPr>
        <w:tabs>
          <w:tab w:pos="463" w:val="left" w:leader="none"/>
        </w:tabs>
        <w:spacing w:line="218" w:lineRule="auto" w:before="117" w:after="0"/>
        <w:ind w:left="113" w:right="124" w:firstLine="170"/>
        <w:jc w:val="both"/>
        <w:rPr>
          <w:sz w:val="17"/>
        </w:rPr>
      </w:pPr>
      <w:r>
        <w:rPr>
          <w:color w:val="231F20"/>
          <w:w w:val="103"/>
          <w:sz w:val="17"/>
        </w:rPr>
        <w:br w:type="column"/>
      </w:r>
      <w:r>
        <w:rPr>
          <w:color w:val="231F20"/>
          <w:sz w:val="17"/>
        </w:rPr>
        <w:t>de geconsolideerde jaarrekening, het jaarverslag over de geconso- lideerde jaarrekening en het controleverslag van de geconsolideerde jaarrekening van de in paragraaf 1 bedoelde moedervennootschap moeten, met het oog op hun terbeschikkingstelling voor het publiek in België overeenkomstig voorgaande leden, in de taal of de talen worden opgesteld of vertaald waarin de vrijgestelde vennootschap haar jaarrekening dient openbaar te</w:t>
      </w:r>
      <w:r>
        <w:rPr>
          <w:color w:val="231F20"/>
          <w:spacing w:val="17"/>
          <w:sz w:val="17"/>
        </w:rPr>
        <w:t> </w:t>
      </w:r>
      <w:r>
        <w:rPr>
          <w:color w:val="231F20"/>
          <w:sz w:val="17"/>
        </w:rPr>
        <w:t>maken;</w:t>
      </w:r>
    </w:p>
    <w:p>
      <w:pPr>
        <w:pStyle w:val="ListParagraph"/>
        <w:numPr>
          <w:ilvl w:val="0"/>
          <w:numId w:val="68"/>
        </w:numPr>
        <w:tabs>
          <w:tab w:pos="491" w:val="left" w:leader="none"/>
        </w:tabs>
        <w:spacing w:line="216" w:lineRule="auto" w:before="95" w:after="0"/>
        <w:ind w:left="113" w:right="124" w:firstLine="170"/>
        <w:jc w:val="both"/>
        <w:rPr>
          <w:sz w:val="17"/>
        </w:rPr>
      </w:pPr>
      <w:r>
        <w:rPr>
          <w:color w:val="231F20"/>
          <w:sz w:val="17"/>
        </w:rPr>
        <w:t>de geconsolideerde jaarrekening van de in paragraaf 1 bedoelde moedervennootschap en het geconsolideerde jaar- en controleverslag over deze jaarrekening hoeven evenwel niet te worden openbaar gemaakt zoals voorgeschreven in de punten </w:t>
      </w:r>
      <w:r>
        <w:rPr>
          <w:rFonts w:ascii="Times New Roman"/>
          <w:i/>
          <w:color w:val="231F20"/>
          <w:sz w:val="17"/>
        </w:rPr>
        <w:t>a) </w:t>
      </w:r>
      <w:r>
        <w:rPr>
          <w:color w:val="231F20"/>
          <w:sz w:val="17"/>
        </w:rPr>
        <w:t>en </w:t>
      </w:r>
      <w:r>
        <w:rPr>
          <w:rFonts w:ascii="Times New Roman"/>
          <w:i/>
          <w:color w:val="231F20"/>
          <w:sz w:val="17"/>
        </w:rPr>
        <w:t>b)</w:t>
      </w:r>
      <w:r>
        <w:rPr>
          <w:color w:val="231F20"/>
          <w:sz w:val="17"/>
        </w:rPr>
        <w:t>, wanneer zij reeds met toepassing van de artikelen 3:35 en 3:36 of van punt </w:t>
      </w:r>
      <w:r>
        <w:rPr>
          <w:rFonts w:ascii="Times New Roman"/>
          <w:i/>
          <w:color w:val="231F20"/>
          <w:sz w:val="17"/>
        </w:rPr>
        <w:t>a) </w:t>
      </w:r>
      <w:r>
        <w:rPr>
          <w:color w:val="231F20"/>
          <w:sz w:val="17"/>
        </w:rPr>
        <w:t>werden openbaar</w:t>
      </w:r>
      <w:r>
        <w:rPr>
          <w:color w:val="231F20"/>
          <w:spacing w:val="16"/>
          <w:sz w:val="17"/>
        </w:rPr>
        <w:t> </w:t>
      </w:r>
      <w:r>
        <w:rPr>
          <w:color w:val="231F20"/>
          <w:sz w:val="17"/>
        </w:rPr>
        <w:t>gemaakt</w:t>
      </w:r>
      <w:r>
        <w:rPr>
          <w:color w:val="231F20"/>
          <w:spacing w:val="16"/>
          <w:sz w:val="17"/>
        </w:rPr>
        <w:t> </w:t>
      </w:r>
      <w:r>
        <w:rPr>
          <w:color w:val="231F20"/>
          <w:sz w:val="17"/>
        </w:rPr>
        <w:t>in</w:t>
      </w:r>
      <w:r>
        <w:rPr>
          <w:color w:val="231F20"/>
          <w:spacing w:val="16"/>
          <w:sz w:val="17"/>
        </w:rPr>
        <w:t> </w:t>
      </w:r>
      <w:r>
        <w:rPr>
          <w:color w:val="231F20"/>
          <w:sz w:val="17"/>
        </w:rPr>
        <w:t>de</w:t>
      </w:r>
      <w:r>
        <w:rPr>
          <w:color w:val="231F20"/>
          <w:spacing w:val="16"/>
          <w:sz w:val="17"/>
        </w:rPr>
        <w:t> </w:t>
      </w:r>
      <w:r>
        <w:rPr>
          <w:color w:val="231F20"/>
          <w:sz w:val="17"/>
        </w:rPr>
        <w:t>taal</w:t>
      </w:r>
      <w:r>
        <w:rPr>
          <w:color w:val="231F20"/>
          <w:spacing w:val="16"/>
          <w:sz w:val="17"/>
        </w:rPr>
        <w:t> </w:t>
      </w:r>
      <w:r>
        <w:rPr>
          <w:color w:val="231F20"/>
          <w:sz w:val="17"/>
        </w:rPr>
        <w:t>of</w:t>
      </w:r>
      <w:r>
        <w:rPr>
          <w:color w:val="231F20"/>
          <w:spacing w:val="17"/>
          <w:sz w:val="17"/>
        </w:rPr>
        <w:t> </w:t>
      </w:r>
      <w:r>
        <w:rPr>
          <w:color w:val="231F20"/>
          <w:sz w:val="17"/>
        </w:rPr>
        <w:t>de</w:t>
      </w:r>
      <w:r>
        <w:rPr>
          <w:color w:val="231F20"/>
          <w:spacing w:val="16"/>
          <w:sz w:val="17"/>
        </w:rPr>
        <w:t> </w:t>
      </w:r>
      <w:r>
        <w:rPr>
          <w:color w:val="231F20"/>
          <w:sz w:val="17"/>
        </w:rPr>
        <w:t>talen</w:t>
      </w:r>
      <w:r>
        <w:rPr>
          <w:color w:val="231F20"/>
          <w:spacing w:val="16"/>
          <w:sz w:val="17"/>
        </w:rPr>
        <w:t> </w:t>
      </w:r>
      <w:r>
        <w:rPr>
          <w:color w:val="231F20"/>
          <w:sz w:val="17"/>
        </w:rPr>
        <w:t>als</w:t>
      </w:r>
      <w:r>
        <w:rPr>
          <w:color w:val="231F20"/>
          <w:spacing w:val="16"/>
          <w:sz w:val="17"/>
        </w:rPr>
        <w:t> </w:t>
      </w:r>
      <w:r>
        <w:rPr>
          <w:color w:val="231F20"/>
          <w:sz w:val="17"/>
        </w:rPr>
        <w:t>bedoeld</w:t>
      </w:r>
      <w:r>
        <w:rPr>
          <w:color w:val="231F20"/>
          <w:spacing w:val="16"/>
          <w:sz w:val="17"/>
        </w:rPr>
        <w:t> </w:t>
      </w:r>
      <w:r>
        <w:rPr>
          <w:color w:val="231F20"/>
          <w:sz w:val="17"/>
        </w:rPr>
        <w:t>in</w:t>
      </w:r>
      <w:r>
        <w:rPr>
          <w:color w:val="231F20"/>
          <w:spacing w:val="16"/>
          <w:sz w:val="17"/>
        </w:rPr>
        <w:t> </w:t>
      </w:r>
      <w:r>
        <w:rPr>
          <w:color w:val="231F20"/>
          <w:sz w:val="17"/>
        </w:rPr>
        <w:t>punt</w:t>
      </w:r>
      <w:r>
        <w:rPr>
          <w:color w:val="231F20"/>
          <w:spacing w:val="17"/>
          <w:sz w:val="17"/>
        </w:rPr>
        <w:t> </w:t>
      </w:r>
      <w:r>
        <w:rPr>
          <w:rFonts w:ascii="Times New Roman"/>
          <w:i/>
          <w:color w:val="231F20"/>
          <w:sz w:val="17"/>
        </w:rPr>
        <w:t>c)</w:t>
      </w:r>
      <w:r>
        <w:rPr>
          <w:color w:val="231F20"/>
          <w:sz w:val="17"/>
        </w:rPr>
        <w:t>.</w:t>
      </w:r>
    </w:p>
    <w:p>
      <w:pPr>
        <w:pStyle w:val="BodyText"/>
        <w:spacing w:line="218" w:lineRule="auto" w:before="99"/>
      </w:pPr>
      <w:r>
        <w:rPr>
          <w:color w:val="231F20"/>
        </w:rPr>
        <w:t>§ 3. De toelichting bij de jaarrekening van de vrijgestelde vennoot- schap:</w:t>
      </w:r>
    </w:p>
    <w:p>
      <w:pPr>
        <w:pStyle w:val="BodyText"/>
        <w:spacing w:line="218" w:lineRule="auto" w:before="96"/>
      </w:pPr>
      <w:r>
        <w:rPr>
          <w:color w:val="231F20"/>
        </w:rPr>
        <w:t>1°  vermeldt  dat  zij  gebruik  heeft  gemaakt  van  de   in   para-   graaf 1 geboden mogelijkheid om geen eigen geconsolideerde jaarreke- ning noch een jaarverslag over de geconsolideerde jaarrekening op te maken en openbaar te</w:t>
      </w:r>
      <w:r>
        <w:rPr>
          <w:color w:val="231F20"/>
          <w:spacing w:val="18"/>
        </w:rPr>
        <w:t> </w:t>
      </w:r>
      <w:r>
        <w:rPr>
          <w:color w:val="231F20"/>
        </w:rPr>
        <w:t>maken;</w:t>
      </w:r>
    </w:p>
    <w:p>
      <w:pPr>
        <w:pStyle w:val="BodyText"/>
        <w:spacing w:line="218" w:lineRule="auto" w:before="97"/>
        <w:ind w:right="125"/>
      </w:pPr>
      <w:r>
        <w:rPr>
          <w:color w:val="231F20"/>
        </w:rPr>
        <w:t>2° vermeldt de naam en de zetel en als het een vennootschap naar Belgisch recht betreft, het ondernemingsnummer van de vennootschap die de in paragraaf 2, 2°, bedoelde geconsolideerde jaarrekening opstelt en openbaar maakt;</w:t>
      </w:r>
    </w:p>
    <w:p>
      <w:pPr>
        <w:pStyle w:val="BodyText"/>
        <w:spacing w:line="218" w:lineRule="auto" w:before="93"/>
      </w:pPr>
      <w:r>
        <w:rPr>
          <w:color w:val="231F20"/>
        </w:rPr>
        <w:t>3° vermeldt, ingeval toepassing wordt gemaakt van paragraaf 2, </w:t>
      </w:r>
      <w:r>
        <w:rPr>
          <w:rFonts w:ascii="Times New Roman" w:hAnsi="Times New Roman"/>
          <w:i/>
          <w:color w:val="231F20"/>
        </w:rPr>
        <w:t>d)</w:t>
      </w:r>
      <w:r>
        <w:rPr>
          <w:color w:val="231F20"/>
        </w:rPr>
        <w:t>, de</w:t>
      </w:r>
      <w:r>
        <w:rPr>
          <w:color w:val="231F20"/>
          <w:spacing w:val="17"/>
        </w:rPr>
        <w:t> </w:t>
      </w:r>
      <w:r>
        <w:rPr>
          <w:color w:val="231F20"/>
        </w:rPr>
        <w:t>datum</w:t>
      </w:r>
      <w:r>
        <w:rPr>
          <w:color w:val="231F20"/>
          <w:spacing w:val="17"/>
        </w:rPr>
        <w:t> </w:t>
      </w:r>
      <w:r>
        <w:rPr>
          <w:color w:val="231F20"/>
        </w:rPr>
        <w:t>van</w:t>
      </w:r>
      <w:r>
        <w:rPr>
          <w:color w:val="231F20"/>
          <w:spacing w:val="17"/>
        </w:rPr>
        <w:t> </w:t>
      </w:r>
      <w:r>
        <w:rPr>
          <w:color w:val="231F20"/>
        </w:rPr>
        <w:t>neerlegging</w:t>
      </w:r>
      <w:r>
        <w:rPr>
          <w:color w:val="231F20"/>
          <w:spacing w:val="18"/>
        </w:rPr>
        <w:t> </w:t>
      </w:r>
      <w:r>
        <w:rPr>
          <w:color w:val="231F20"/>
        </w:rPr>
        <w:t>van</w:t>
      </w:r>
      <w:r>
        <w:rPr>
          <w:color w:val="231F20"/>
          <w:spacing w:val="17"/>
        </w:rPr>
        <w:t> </w:t>
      </w:r>
      <w:r>
        <w:rPr>
          <w:color w:val="231F20"/>
        </w:rPr>
        <w:t>de</w:t>
      </w:r>
      <w:r>
        <w:rPr>
          <w:color w:val="231F20"/>
          <w:spacing w:val="17"/>
        </w:rPr>
        <w:t> </w:t>
      </w:r>
      <w:r>
        <w:rPr>
          <w:color w:val="231F20"/>
        </w:rPr>
        <w:t>bedoelde</w:t>
      </w:r>
      <w:r>
        <w:rPr>
          <w:color w:val="231F20"/>
          <w:spacing w:val="18"/>
        </w:rPr>
        <w:t> </w:t>
      </w:r>
      <w:r>
        <w:rPr>
          <w:color w:val="231F20"/>
        </w:rPr>
        <w:t>stukken;</w:t>
      </w:r>
    </w:p>
    <w:p>
      <w:pPr>
        <w:pStyle w:val="BodyText"/>
        <w:spacing w:line="218" w:lineRule="auto" w:before="96"/>
      </w:pPr>
      <w:r>
        <w:rPr>
          <w:color w:val="231F20"/>
        </w:rPr>
        <w:t>4° bevat een bijzondere motivering inzake de naleving van de in dit artikel voorgeschreven voorwaarden.</w:t>
      </w:r>
    </w:p>
    <w:p>
      <w:pPr>
        <w:pStyle w:val="BodyText"/>
        <w:spacing w:line="218" w:lineRule="auto" w:before="107"/>
      </w:pPr>
      <w:r>
        <w:rPr>
          <w:color w:val="231F20"/>
        </w:rPr>
        <w:t>§ 4. In geval van consolidatie bij een consortium is  de  in  para-  graaf 1 bedoelde vrijstelling eveneens van toepassing, met dien verstande dat voor de toepassing van de paragrafen 2 en 3 de geconsolideerde jaarrekening van het consortium, de geconsolideerde jaarrekening van de moedervennootschap</w:t>
      </w:r>
      <w:r>
        <w:rPr>
          <w:color w:val="231F20"/>
          <w:spacing w:val="25"/>
        </w:rPr>
        <w:t> </w:t>
      </w:r>
      <w:r>
        <w:rPr>
          <w:color w:val="231F20"/>
        </w:rPr>
        <w:t>vervangt.</w:t>
      </w:r>
    </w:p>
    <w:p>
      <w:pPr>
        <w:pStyle w:val="BodyText"/>
        <w:spacing w:line="218" w:lineRule="auto" w:before="107"/>
      </w:pPr>
      <w:r>
        <w:rPr>
          <w:color w:val="231F20"/>
        </w:rPr>
        <w:t>Art. 3:27. De in de artikelen 3:25 en 3:26 bedoelde vrijstellingen zijn niet van toepassing wanneer één van de vennootschappen die moeten worden geconsolideerd, is genoteerd.</w:t>
      </w:r>
    </w:p>
    <w:p>
      <w:pPr>
        <w:pStyle w:val="BodyText"/>
        <w:spacing w:line="218" w:lineRule="auto" w:before="107"/>
      </w:pPr>
      <w:r>
        <w:rPr>
          <w:color w:val="231F20"/>
        </w:rPr>
        <w:t>Art. 3:28. De artikelen 3:25 en 3:26 laten onverlet de wettelijke en bestuuursrechtelijke bepalingen over de opstelling van een geconsoli- deerde jaarrekening of van een jaarverslag over de geconsolideerde jaarrekening indien deze stukken worden verlangd:</w:t>
      </w:r>
    </w:p>
    <w:p>
      <w:pPr>
        <w:pStyle w:val="BodyText"/>
        <w:spacing w:line="218" w:lineRule="auto" w:before="107"/>
      </w:pPr>
      <w:r>
        <w:rPr>
          <w:color w:val="231F20"/>
        </w:rPr>
        <w:t>1° ter voorlichting van de werknemers of van hun vertegenwoordi- gers;</w:t>
      </w:r>
    </w:p>
    <w:p>
      <w:pPr>
        <w:pStyle w:val="BodyText"/>
        <w:spacing w:before="93"/>
        <w:ind w:left="283" w:right="0" w:firstLine="0"/>
        <w:jc w:val="left"/>
      </w:pPr>
      <w:r>
        <w:rPr>
          <w:color w:val="231F20"/>
        </w:rPr>
        <w:t>2° op verzoek van een overheid of rechter voor eigen kennisneming.</w:t>
      </w:r>
    </w:p>
    <w:p>
      <w:pPr>
        <w:pStyle w:val="BodyText"/>
        <w:spacing w:before="3"/>
        <w:ind w:left="0" w:right="0" w:firstLine="0"/>
        <w:jc w:val="left"/>
        <w:rPr>
          <w:sz w:val="23"/>
        </w:rPr>
      </w:pPr>
    </w:p>
    <w:p>
      <w:pPr>
        <w:pStyle w:val="BodyText"/>
        <w:ind w:left="283" w:right="0" w:firstLine="0"/>
        <w:jc w:val="left"/>
      </w:pPr>
      <w:r>
        <w:rPr>
          <w:color w:val="231F20"/>
        </w:rPr>
        <w:t>Afdeling 3. Consolidatiekring en geconsolideerde jaarrekening.</w:t>
      </w:r>
    </w:p>
    <w:p>
      <w:pPr>
        <w:pStyle w:val="BodyText"/>
        <w:spacing w:line="218" w:lineRule="auto" w:before="104"/>
      </w:pPr>
      <w:r>
        <w:rPr>
          <w:color w:val="231F20"/>
        </w:rPr>
        <w:t>Art. 3:29. De Koning bepaalt de regels om de consolidatiekring vast te</w:t>
      </w:r>
      <w:r>
        <w:rPr>
          <w:color w:val="231F20"/>
          <w:spacing w:val="14"/>
        </w:rPr>
        <w:t> </w:t>
      </w:r>
      <w:r>
        <w:rPr>
          <w:color w:val="231F20"/>
        </w:rPr>
        <w:t>stellen.</w:t>
      </w:r>
    </w:p>
    <w:p>
      <w:pPr>
        <w:pStyle w:val="BodyText"/>
        <w:spacing w:line="218" w:lineRule="auto" w:before="106"/>
      </w:pPr>
      <w:r>
        <w:rPr>
          <w:color w:val="231F20"/>
        </w:rPr>
        <w:t>Art. 3:30. § 1. De Koning bepaalt de vorm en de inhoud van de geconsolideerde</w:t>
      </w:r>
      <w:r>
        <w:rPr>
          <w:color w:val="231F20"/>
          <w:spacing w:val="14"/>
        </w:rPr>
        <w:t> </w:t>
      </w:r>
      <w:r>
        <w:rPr>
          <w:color w:val="231F20"/>
        </w:rPr>
        <w:t>jaarrekening.</w:t>
      </w:r>
    </w:p>
    <w:p>
      <w:pPr>
        <w:pStyle w:val="BodyText"/>
        <w:spacing w:line="218" w:lineRule="auto" w:before="107"/>
      </w:pPr>
      <w:r>
        <w:rPr>
          <w:color w:val="231F20"/>
        </w:rPr>
        <w:t>§ 2. In geval van consolidatie bij een consortium mag de geconsoli- deerde jaarrekening worden opgesteld volgens de wetgeving en in de nationale munt van een buitenlandse vennootschap die tot het consortium behoort, wanneer het hoofdbedrijf van het consortium in die vennootschap is gelokaliseerd dan wel gebeurt in de munt van het land</w:t>
      </w:r>
      <w:r>
        <w:rPr>
          <w:color w:val="231F20"/>
          <w:spacing w:val="15"/>
        </w:rPr>
        <w:t> </w:t>
      </w:r>
      <w:r>
        <w:rPr>
          <w:color w:val="231F20"/>
        </w:rPr>
        <w:t>waar</w:t>
      </w:r>
      <w:r>
        <w:rPr>
          <w:color w:val="231F20"/>
          <w:spacing w:val="15"/>
        </w:rPr>
        <w:t> </w:t>
      </w:r>
      <w:r>
        <w:rPr>
          <w:color w:val="231F20"/>
        </w:rPr>
        <w:t>zij</w:t>
      </w:r>
      <w:r>
        <w:rPr>
          <w:color w:val="231F20"/>
          <w:spacing w:val="15"/>
        </w:rPr>
        <w:t> </w:t>
      </w:r>
      <w:r>
        <w:rPr>
          <w:color w:val="231F20"/>
        </w:rPr>
        <w:t>haar</w:t>
      </w:r>
      <w:r>
        <w:rPr>
          <w:color w:val="231F20"/>
          <w:spacing w:val="16"/>
        </w:rPr>
        <w:t> </w:t>
      </w:r>
      <w:r>
        <w:rPr>
          <w:color w:val="231F20"/>
        </w:rPr>
        <w:t>zetel</w:t>
      </w:r>
      <w:r>
        <w:rPr>
          <w:color w:val="231F20"/>
          <w:spacing w:val="15"/>
        </w:rPr>
        <w:t> </w:t>
      </w:r>
      <w:r>
        <w:rPr>
          <w:color w:val="231F20"/>
        </w:rPr>
        <w:t>heeft.</w:t>
      </w:r>
    </w:p>
    <w:p>
      <w:pPr>
        <w:pStyle w:val="BodyText"/>
        <w:spacing w:line="218" w:lineRule="auto" w:before="107"/>
      </w:pPr>
      <w:r>
        <w:rPr>
          <w:color w:val="231F20"/>
        </w:rPr>
        <w:t>Onder de eigen-vermogensposten in de geconsolideerde jaarreke- ning moeten de samengevoegde bedragen worden opgenomen die zijn toe te rekenen aan elk van de vennootschappen die het consortium vormen.</w:t>
      </w:r>
    </w:p>
    <w:p>
      <w:pPr>
        <w:pStyle w:val="BodyText"/>
        <w:spacing w:line="218" w:lineRule="auto" w:before="107"/>
      </w:pPr>
      <w:r>
        <w:rPr>
          <w:color w:val="231F20"/>
        </w:rPr>
        <w:t>Art. 3:31. De geconsolideerde jaarrekening moet worden opgesteld door het bestuursorgaan van de vennootschap.</w:t>
      </w:r>
    </w:p>
    <w:p>
      <w:pPr>
        <w:pStyle w:val="BodyText"/>
        <w:spacing w:before="93"/>
        <w:ind w:left="283" w:right="0" w:firstLine="0"/>
        <w:jc w:val="left"/>
      </w:pPr>
      <w:r>
        <w:rPr>
          <w:color w:val="231F20"/>
        </w:rPr>
        <w:t>Afdeling 4. Jaarverslag over de geconsolideerde jaarrekening.</w:t>
      </w:r>
    </w:p>
    <w:p>
      <w:pPr>
        <w:pStyle w:val="BodyText"/>
        <w:spacing w:line="218" w:lineRule="auto" w:before="103"/>
      </w:pPr>
      <w:r>
        <w:rPr>
          <w:color w:val="231F20"/>
        </w:rPr>
        <w:t>Art. 3:32. § 1. Het bestuursorgaan voegt bij de geconsolideerde jaarrekening een jaarverslag over de geconsolideerde jaarrekening.</w:t>
      </w:r>
    </w:p>
    <w:p>
      <w:pPr>
        <w:pStyle w:val="BodyText"/>
        <w:spacing w:before="93"/>
        <w:ind w:left="283" w:right="0" w:firstLine="0"/>
        <w:jc w:val="left"/>
      </w:pPr>
      <w:r>
        <w:rPr>
          <w:color w:val="231F20"/>
        </w:rPr>
        <w:t>Dit verslag bevat:</w:t>
      </w:r>
    </w:p>
    <w:p>
      <w:pPr>
        <w:pStyle w:val="BodyText"/>
        <w:spacing w:line="218" w:lineRule="auto" w:before="103"/>
      </w:pPr>
      <w:r>
        <w:rPr>
          <w:color w:val="231F20"/>
        </w:rPr>
        <w:t>1° ten minste een getrouw overzicht van de ontwikkeling van</w:t>
      </w:r>
      <w:r>
        <w:rPr>
          <w:color w:val="231F20"/>
          <w:spacing w:val="16"/>
        </w:rPr>
        <w:t> </w:t>
      </w:r>
      <w:r>
        <w:rPr>
          <w:color w:val="231F20"/>
        </w:rPr>
        <w:t>het bedrijf en van de resultaten en de positie van de gezamenlijke in de consolidatie opgenomen ondernemingen, evenals een beschrijving van de voornaamste risico’s en onzekerheden waarmee zij worden gecon- fronteerd. Het overzicht bevat een evenwichtige en volledige analyse van de ontwikkeling en de resultaten van het bedrijf en van de positie van de gezamenlijke in de consolidatie opgenomen  ondernemingen, die in overeenstemming is met de omvang en de complexiteit van dit bedrijf.</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2464" from="298.170502pt,64.473pt" to="298.170502pt,812.819pt" stroked="true" strokeweight=".533pt" strokecolor="#231f20">
            <v:stroke dashstyle="solid"/>
            <w10:wrap type="none"/>
          </v:line>
        </w:pict>
      </w:r>
      <w:bookmarkStart w:name="_bookmark60" w:id="64"/>
      <w:bookmarkEnd w:id="64"/>
      <w:r>
        <w:rPr/>
      </w:r>
      <w:r>
        <w:rPr>
          <w:color w:val="231F20"/>
        </w:rPr>
        <w:t>Dans la mesure nécessaire à la compréhension de l’évolution des affaires, des résultats ou de la situation des entreprises, l’analyse comporte des indicateurs clés de performance de nature tant financière que, le cas échéant, non financière ayant trait à l’activité spécifique des entreprises,</w:t>
      </w:r>
      <w:r>
        <w:rPr>
          <w:color w:val="231F20"/>
          <w:spacing w:val="-12"/>
        </w:rPr>
        <w:t> </w:t>
      </w:r>
      <w:r>
        <w:rPr>
          <w:color w:val="231F20"/>
        </w:rPr>
        <w:t>notamment</w:t>
      </w:r>
      <w:r>
        <w:rPr>
          <w:color w:val="231F20"/>
          <w:spacing w:val="-11"/>
        </w:rPr>
        <w:t> </w:t>
      </w:r>
      <w:r>
        <w:rPr>
          <w:color w:val="231F20"/>
        </w:rPr>
        <w:t>des</w:t>
      </w:r>
      <w:r>
        <w:rPr>
          <w:color w:val="231F20"/>
          <w:spacing w:val="-11"/>
        </w:rPr>
        <w:t> </w:t>
      </w:r>
      <w:r>
        <w:rPr>
          <w:color w:val="231F20"/>
        </w:rPr>
        <w:t>informations</w:t>
      </w:r>
      <w:r>
        <w:rPr>
          <w:color w:val="231F20"/>
          <w:spacing w:val="-11"/>
        </w:rPr>
        <w:t> </w:t>
      </w:r>
      <w:r>
        <w:rPr>
          <w:color w:val="231F20"/>
        </w:rPr>
        <w:t>relatives</w:t>
      </w:r>
      <w:r>
        <w:rPr>
          <w:color w:val="231F20"/>
          <w:spacing w:val="-11"/>
        </w:rPr>
        <w:t> </w:t>
      </w:r>
      <w:r>
        <w:rPr>
          <w:color w:val="231F20"/>
        </w:rPr>
        <w:t>aux</w:t>
      </w:r>
      <w:r>
        <w:rPr>
          <w:color w:val="231F20"/>
          <w:spacing w:val="-11"/>
        </w:rPr>
        <w:t> </w:t>
      </w:r>
      <w:r>
        <w:rPr>
          <w:color w:val="231F20"/>
        </w:rPr>
        <w:t>questions</w:t>
      </w:r>
      <w:r>
        <w:rPr>
          <w:color w:val="231F20"/>
          <w:spacing w:val="-11"/>
        </w:rPr>
        <w:t> </w:t>
      </w:r>
      <w:r>
        <w:rPr>
          <w:color w:val="231F20"/>
        </w:rPr>
        <w:t>d’envi- ronnement et de</w:t>
      </w:r>
      <w:r>
        <w:rPr>
          <w:color w:val="231F20"/>
          <w:spacing w:val="3"/>
        </w:rPr>
        <w:t> </w:t>
      </w:r>
      <w:r>
        <w:rPr>
          <w:color w:val="231F20"/>
        </w:rPr>
        <w:t>personnel.</w:t>
      </w:r>
    </w:p>
    <w:p>
      <w:pPr>
        <w:pStyle w:val="BodyText"/>
        <w:spacing w:line="218" w:lineRule="auto" w:before="160"/>
        <w:ind w:right="40"/>
      </w:pPr>
      <w:r>
        <w:rPr>
          <w:color w:val="231F20"/>
        </w:rPr>
        <w:t>En</w:t>
      </w:r>
      <w:r>
        <w:rPr>
          <w:color w:val="231F20"/>
          <w:spacing w:val="-6"/>
        </w:rPr>
        <w:t> </w:t>
      </w:r>
      <w:r>
        <w:rPr>
          <w:color w:val="231F20"/>
        </w:rPr>
        <w:t>donnant</w:t>
      </w:r>
      <w:r>
        <w:rPr>
          <w:color w:val="231F20"/>
          <w:spacing w:val="-5"/>
        </w:rPr>
        <w:t> </w:t>
      </w:r>
      <w:r>
        <w:rPr>
          <w:color w:val="231F20"/>
        </w:rPr>
        <w:t>son</w:t>
      </w:r>
      <w:r>
        <w:rPr>
          <w:color w:val="231F20"/>
          <w:spacing w:val="-5"/>
        </w:rPr>
        <w:t> </w:t>
      </w:r>
      <w:r>
        <w:rPr>
          <w:color w:val="231F20"/>
        </w:rPr>
        <w:t>analyse,</w:t>
      </w:r>
      <w:r>
        <w:rPr>
          <w:color w:val="231F20"/>
          <w:spacing w:val="-5"/>
        </w:rPr>
        <w:t> </w:t>
      </w:r>
      <w:r>
        <w:rPr>
          <w:color w:val="231F20"/>
        </w:rPr>
        <w:t>le</w:t>
      </w:r>
      <w:r>
        <w:rPr>
          <w:color w:val="231F20"/>
          <w:spacing w:val="-5"/>
        </w:rPr>
        <w:t> </w:t>
      </w:r>
      <w:r>
        <w:rPr>
          <w:color w:val="231F20"/>
        </w:rPr>
        <w:t>rapport</w:t>
      </w:r>
      <w:r>
        <w:rPr>
          <w:color w:val="231F20"/>
          <w:spacing w:val="-6"/>
        </w:rPr>
        <w:t> </w:t>
      </w:r>
      <w:r>
        <w:rPr>
          <w:color w:val="231F20"/>
        </w:rPr>
        <w:t>de</w:t>
      </w:r>
      <w:r>
        <w:rPr>
          <w:color w:val="231F20"/>
          <w:spacing w:val="-5"/>
        </w:rPr>
        <w:t> </w:t>
      </w:r>
      <w:r>
        <w:rPr>
          <w:color w:val="231F20"/>
        </w:rPr>
        <w:t>gestion</w:t>
      </w:r>
      <w:r>
        <w:rPr>
          <w:color w:val="231F20"/>
          <w:spacing w:val="-5"/>
        </w:rPr>
        <w:t> </w:t>
      </w:r>
      <w:r>
        <w:rPr>
          <w:color w:val="231F20"/>
        </w:rPr>
        <w:t>contient,</w:t>
      </w:r>
      <w:r>
        <w:rPr>
          <w:color w:val="231F20"/>
          <w:spacing w:val="-5"/>
        </w:rPr>
        <w:t> </w:t>
      </w:r>
      <w:r>
        <w:rPr>
          <w:color w:val="231F20"/>
        </w:rPr>
        <w:t>le</w:t>
      </w:r>
      <w:r>
        <w:rPr>
          <w:color w:val="231F20"/>
          <w:spacing w:val="-5"/>
        </w:rPr>
        <w:t> </w:t>
      </w:r>
      <w:r>
        <w:rPr>
          <w:color w:val="231F20"/>
        </w:rPr>
        <w:t>cas</w:t>
      </w:r>
      <w:r>
        <w:rPr>
          <w:color w:val="231F20"/>
          <w:spacing w:val="-6"/>
        </w:rPr>
        <w:t> </w:t>
      </w:r>
      <w:r>
        <w:rPr>
          <w:color w:val="231F20"/>
        </w:rPr>
        <w:t>échéant, des renvois aux montants indiqués dans les comptes consolidés et des explications supplémentaires y</w:t>
      </w:r>
      <w:r>
        <w:rPr>
          <w:color w:val="231F20"/>
          <w:spacing w:val="2"/>
        </w:rPr>
        <w:t> </w:t>
      </w:r>
      <w:r>
        <w:rPr>
          <w:color w:val="231F20"/>
        </w:rPr>
        <w:t>afférentes;</w:t>
      </w:r>
    </w:p>
    <w:p>
      <w:pPr>
        <w:pStyle w:val="BodyText"/>
        <w:spacing w:line="218" w:lineRule="auto" w:before="160"/>
        <w:ind w:right="40"/>
      </w:pPr>
      <w:r>
        <w:rPr>
          <w:color w:val="231F20"/>
        </w:rPr>
        <w:t>2° des données sur les événements importants survenus après la clôture de l’exercice;</w:t>
      </w:r>
    </w:p>
    <w:p>
      <w:pPr>
        <w:pStyle w:val="BodyText"/>
        <w:spacing w:line="218" w:lineRule="auto" w:before="171"/>
        <w:ind w:right="40"/>
      </w:pPr>
      <w:r>
        <w:rPr>
          <w:color w:val="231F20"/>
        </w:rPr>
        <w:t>3° pour autant qu’elles ne soient pas de nature à porter gravement préjudice à une société comprise dans la consolidation, des indications sur les circonstances susceptibles d’avoir une influence notable sur le développement de l’ensemble consolidé;</w:t>
      </w:r>
    </w:p>
    <w:p>
      <w:pPr>
        <w:pStyle w:val="BodyText"/>
        <w:spacing w:line="218" w:lineRule="auto" w:before="171"/>
        <w:ind w:right="40"/>
      </w:pPr>
      <w:r>
        <w:rPr>
          <w:color w:val="231F20"/>
        </w:rPr>
        <w:t>4°</w:t>
      </w:r>
      <w:r>
        <w:rPr>
          <w:color w:val="231F20"/>
          <w:spacing w:val="-3"/>
        </w:rPr>
        <w:t> </w:t>
      </w:r>
      <w:r>
        <w:rPr>
          <w:color w:val="231F20"/>
        </w:rPr>
        <w:t>des</w:t>
      </w:r>
      <w:r>
        <w:rPr>
          <w:color w:val="231F20"/>
          <w:spacing w:val="-3"/>
        </w:rPr>
        <w:t> </w:t>
      </w:r>
      <w:r>
        <w:rPr>
          <w:color w:val="231F20"/>
        </w:rPr>
        <w:t>indications</w:t>
      </w:r>
      <w:r>
        <w:rPr>
          <w:color w:val="231F20"/>
          <w:spacing w:val="-3"/>
        </w:rPr>
        <w:t> </w:t>
      </w:r>
      <w:r>
        <w:rPr>
          <w:color w:val="231F20"/>
        </w:rPr>
        <w:t>relatives</w:t>
      </w:r>
      <w:r>
        <w:rPr>
          <w:color w:val="231F20"/>
          <w:spacing w:val="-3"/>
        </w:rPr>
        <w:t> </w:t>
      </w:r>
      <w:r>
        <w:rPr>
          <w:color w:val="231F20"/>
        </w:rPr>
        <w:t>aux</w:t>
      </w:r>
      <w:r>
        <w:rPr>
          <w:color w:val="231F20"/>
          <w:spacing w:val="-3"/>
        </w:rPr>
        <w:t> </w:t>
      </w:r>
      <w:r>
        <w:rPr>
          <w:color w:val="231F20"/>
        </w:rPr>
        <w:t>activités</w:t>
      </w:r>
      <w:r>
        <w:rPr>
          <w:color w:val="231F20"/>
          <w:spacing w:val="-3"/>
        </w:rPr>
        <w:t> </w:t>
      </w:r>
      <w:r>
        <w:rPr>
          <w:color w:val="231F20"/>
        </w:rPr>
        <w:t>en</w:t>
      </w:r>
      <w:r>
        <w:rPr>
          <w:color w:val="231F20"/>
          <w:spacing w:val="-3"/>
        </w:rPr>
        <w:t> </w:t>
      </w:r>
      <w:r>
        <w:rPr>
          <w:color w:val="231F20"/>
        </w:rPr>
        <w:t>matière</w:t>
      </w:r>
      <w:r>
        <w:rPr>
          <w:color w:val="231F20"/>
          <w:spacing w:val="-3"/>
        </w:rPr>
        <w:t> </w:t>
      </w:r>
      <w:r>
        <w:rPr>
          <w:color w:val="231F20"/>
        </w:rPr>
        <w:t>de</w:t>
      </w:r>
      <w:r>
        <w:rPr>
          <w:color w:val="231F20"/>
          <w:spacing w:val="-2"/>
        </w:rPr>
        <w:t> </w:t>
      </w:r>
      <w:r>
        <w:rPr>
          <w:color w:val="231F20"/>
        </w:rPr>
        <w:t>recherche</w:t>
      </w:r>
      <w:r>
        <w:rPr>
          <w:color w:val="231F20"/>
          <w:spacing w:val="-3"/>
        </w:rPr>
        <w:t> </w:t>
      </w:r>
      <w:r>
        <w:rPr>
          <w:color w:val="231F20"/>
        </w:rPr>
        <w:t>et</w:t>
      </w:r>
      <w:r>
        <w:rPr>
          <w:color w:val="231F20"/>
          <w:spacing w:val="-3"/>
        </w:rPr>
        <w:t> </w:t>
      </w:r>
      <w:r>
        <w:rPr>
          <w:color w:val="231F20"/>
        </w:rPr>
        <w:t>de développement;</w:t>
      </w:r>
    </w:p>
    <w:p>
      <w:pPr>
        <w:pStyle w:val="BodyText"/>
        <w:spacing w:line="218" w:lineRule="auto" w:before="171"/>
        <w:ind w:right="40"/>
      </w:pPr>
      <w:r>
        <w:rPr>
          <w:color w:val="231F20"/>
        </w:rPr>
        <w:t>5° en ce qui concerne l’utilisation des instruments financiers par la société et lorsque cela est pertinent pour l’évaluation de son actif, de son</w:t>
      </w:r>
      <w:r>
        <w:rPr>
          <w:color w:val="231F20"/>
          <w:spacing w:val="14"/>
        </w:rPr>
        <w:t> </w:t>
      </w:r>
      <w:r>
        <w:rPr>
          <w:color w:val="231F20"/>
        </w:rPr>
        <w:t>passif,</w:t>
      </w:r>
      <w:r>
        <w:rPr>
          <w:color w:val="231F20"/>
          <w:spacing w:val="14"/>
        </w:rPr>
        <w:t> </w:t>
      </w:r>
      <w:r>
        <w:rPr>
          <w:color w:val="231F20"/>
        </w:rPr>
        <w:t>de</w:t>
      </w:r>
      <w:r>
        <w:rPr>
          <w:color w:val="231F20"/>
          <w:spacing w:val="14"/>
        </w:rPr>
        <w:t> </w:t>
      </w:r>
      <w:r>
        <w:rPr>
          <w:color w:val="231F20"/>
        </w:rPr>
        <w:t>sa</w:t>
      </w:r>
      <w:r>
        <w:rPr>
          <w:color w:val="231F20"/>
          <w:spacing w:val="14"/>
        </w:rPr>
        <w:t> </w:t>
      </w:r>
      <w:r>
        <w:rPr>
          <w:color w:val="231F20"/>
        </w:rPr>
        <w:t>situation</w:t>
      </w:r>
      <w:r>
        <w:rPr>
          <w:color w:val="231F20"/>
          <w:spacing w:val="14"/>
        </w:rPr>
        <w:t> </w:t>
      </w:r>
      <w:r>
        <w:rPr>
          <w:color w:val="231F20"/>
        </w:rPr>
        <w:t>financière</w:t>
      </w:r>
      <w:r>
        <w:rPr>
          <w:color w:val="231F20"/>
          <w:spacing w:val="14"/>
        </w:rPr>
        <w:t> </w:t>
      </w:r>
      <w:r>
        <w:rPr>
          <w:color w:val="231F20"/>
        </w:rPr>
        <w:t>et</w:t>
      </w:r>
      <w:r>
        <w:rPr>
          <w:color w:val="231F20"/>
          <w:spacing w:val="14"/>
        </w:rPr>
        <w:t> </w:t>
      </w:r>
      <w:r>
        <w:rPr>
          <w:color w:val="231F20"/>
        </w:rPr>
        <w:t>de</w:t>
      </w:r>
      <w:r>
        <w:rPr>
          <w:color w:val="231F20"/>
          <w:spacing w:val="14"/>
        </w:rPr>
        <w:t> </w:t>
      </w:r>
      <w:r>
        <w:rPr>
          <w:color w:val="231F20"/>
        </w:rPr>
        <w:t>son</w:t>
      </w:r>
      <w:r>
        <w:rPr>
          <w:color w:val="231F20"/>
          <w:spacing w:val="14"/>
        </w:rPr>
        <w:t> </w:t>
      </w:r>
      <w:r>
        <w:rPr>
          <w:color w:val="231F20"/>
        </w:rPr>
        <w:t>résultat:</w:t>
      </w:r>
    </w:p>
    <w:p>
      <w:pPr>
        <w:pStyle w:val="ListParagraph"/>
        <w:numPr>
          <w:ilvl w:val="0"/>
          <w:numId w:val="48"/>
        </w:numPr>
        <w:tabs>
          <w:tab w:pos="496" w:val="left" w:leader="none"/>
        </w:tabs>
        <w:spacing w:line="218" w:lineRule="auto" w:before="170" w:after="0"/>
        <w:ind w:left="113" w:right="40" w:firstLine="170"/>
        <w:jc w:val="both"/>
        <w:rPr>
          <w:sz w:val="17"/>
        </w:rPr>
      </w:pPr>
      <w:r>
        <w:rPr>
          <w:color w:val="231F20"/>
          <w:sz w:val="17"/>
        </w:rPr>
        <w:t>les objectifs et la politique de l’ensemble des entreprises comprises dans la consolidation en matière de gestion des risques financiers, y compris leur politique concernant la couverture de chaque catégorie principale des transactions prévues pour lesquelles il est fait usage de  la comptabilité de couverture,</w:t>
      </w:r>
      <w:r>
        <w:rPr>
          <w:color w:val="231F20"/>
          <w:spacing w:val="19"/>
          <w:sz w:val="17"/>
        </w:rPr>
        <w:t> </w:t>
      </w:r>
      <w:r>
        <w:rPr>
          <w:color w:val="231F20"/>
          <w:sz w:val="17"/>
        </w:rPr>
        <w:t>et</w:t>
      </w:r>
    </w:p>
    <w:p>
      <w:pPr>
        <w:pStyle w:val="ListParagraph"/>
        <w:numPr>
          <w:ilvl w:val="0"/>
          <w:numId w:val="48"/>
        </w:numPr>
        <w:tabs>
          <w:tab w:pos="556" w:val="left" w:leader="none"/>
        </w:tabs>
        <w:spacing w:line="218" w:lineRule="auto" w:before="171" w:after="0"/>
        <w:ind w:left="113" w:right="40" w:firstLine="170"/>
        <w:jc w:val="both"/>
        <w:rPr>
          <w:sz w:val="17"/>
        </w:rPr>
      </w:pPr>
      <w:r>
        <w:rPr>
          <w:color w:val="231F20"/>
          <w:sz w:val="17"/>
        </w:rPr>
        <w:t>l’exposition de l’ensemble des entreprises comprises dans la consolidation au risque de prix, au risque de crédit, au risque de liquidité</w:t>
      </w:r>
      <w:r>
        <w:rPr>
          <w:color w:val="231F20"/>
          <w:spacing w:val="14"/>
          <w:sz w:val="17"/>
        </w:rPr>
        <w:t> </w:t>
      </w:r>
      <w:r>
        <w:rPr>
          <w:color w:val="231F20"/>
          <w:sz w:val="17"/>
        </w:rPr>
        <w:t>et</w:t>
      </w:r>
      <w:r>
        <w:rPr>
          <w:color w:val="231F20"/>
          <w:spacing w:val="15"/>
          <w:sz w:val="17"/>
        </w:rPr>
        <w:t> </w:t>
      </w:r>
      <w:r>
        <w:rPr>
          <w:color w:val="231F20"/>
          <w:sz w:val="17"/>
        </w:rPr>
        <w:t>au</w:t>
      </w:r>
      <w:r>
        <w:rPr>
          <w:color w:val="231F20"/>
          <w:spacing w:val="15"/>
          <w:sz w:val="17"/>
        </w:rPr>
        <w:t> </w:t>
      </w:r>
      <w:r>
        <w:rPr>
          <w:color w:val="231F20"/>
          <w:sz w:val="17"/>
        </w:rPr>
        <w:t>risque</w:t>
      </w:r>
      <w:r>
        <w:rPr>
          <w:color w:val="231F20"/>
          <w:spacing w:val="15"/>
          <w:sz w:val="17"/>
        </w:rPr>
        <w:t> </w:t>
      </w:r>
      <w:r>
        <w:rPr>
          <w:color w:val="231F20"/>
          <w:sz w:val="17"/>
        </w:rPr>
        <w:t>de</w:t>
      </w:r>
      <w:r>
        <w:rPr>
          <w:color w:val="231F20"/>
          <w:spacing w:val="15"/>
          <w:sz w:val="17"/>
        </w:rPr>
        <w:t> </w:t>
      </w:r>
      <w:r>
        <w:rPr>
          <w:color w:val="231F20"/>
          <w:sz w:val="17"/>
        </w:rPr>
        <w:t>trésorerie;</w:t>
      </w:r>
    </w:p>
    <w:p>
      <w:pPr>
        <w:pStyle w:val="BodyText"/>
        <w:spacing w:line="218" w:lineRule="auto" w:before="171"/>
        <w:ind w:right="40"/>
      </w:pPr>
      <w:r>
        <w:rPr>
          <w:color w:val="231F20"/>
        </w:rPr>
        <w:t>6° le cas échéant, la justification de l’indépendance et de la compétence en matière de comptabilité et d’audit d’au moins un membre du comité d’audit de la société consolidante ou de la société dans laquelle est établie l’activité principale du consortium;</w:t>
      </w:r>
    </w:p>
    <w:p>
      <w:pPr>
        <w:pStyle w:val="BodyText"/>
        <w:ind w:left="0" w:right="0" w:firstLine="0"/>
        <w:jc w:val="left"/>
        <w:rPr>
          <w:sz w:val="20"/>
        </w:rPr>
      </w:pPr>
    </w:p>
    <w:p>
      <w:pPr>
        <w:pStyle w:val="BodyText"/>
        <w:spacing w:line="218" w:lineRule="auto" w:before="120"/>
        <w:ind w:right="39"/>
      </w:pPr>
      <w:r>
        <w:rPr>
          <w:color w:val="231F20"/>
        </w:rPr>
        <w:t>7° une description des principales caractéristiques des systèmes de contrôle interne et de gestion des risques des sociétés liées en relation avec le processus d’établissement des comptes consolidés dès qu’une société cotée ou une entité d’intérêt public au sens de l’article 1:12, 2°, figure dans le périmètre de consolidation;</w:t>
      </w:r>
    </w:p>
    <w:p>
      <w:pPr>
        <w:pStyle w:val="BodyText"/>
        <w:ind w:left="0" w:right="0" w:firstLine="0"/>
        <w:jc w:val="left"/>
        <w:rPr>
          <w:sz w:val="20"/>
        </w:rPr>
      </w:pPr>
    </w:p>
    <w:p>
      <w:pPr>
        <w:pStyle w:val="BodyText"/>
        <w:spacing w:line="218" w:lineRule="auto" w:before="119"/>
        <w:ind w:right="40"/>
      </w:pPr>
      <w:r>
        <w:rPr>
          <w:color w:val="231F20"/>
        </w:rPr>
        <w:t>8° les informations qui doivent y  être  insérées  en  vertu  de</w:t>
      </w:r>
      <w:r>
        <w:rPr>
          <w:color w:val="231F20"/>
          <w:spacing w:val="9"/>
        </w:rPr>
        <w:t> </w:t>
      </w:r>
      <w:r>
        <w:rPr>
          <w:color w:val="231F20"/>
        </w:rPr>
        <w:t>l’arti- cle 34 de l’arrêté royal du 14 novembre 2007 relatif aux obligations des émetteurs d’instruments financiers admis à la négociation sur un marché</w:t>
      </w:r>
      <w:r>
        <w:rPr>
          <w:color w:val="231F20"/>
          <w:spacing w:val="14"/>
        </w:rPr>
        <w:t> </w:t>
      </w:r>
      <w:r>
        <w:rPr>
          <w:color w:val="231F20"/>
        </w:rPr>
        <w:t>réglementé;</w:t>
      </w:r>
    </w:p>
    <w:p>
      <w:pPr>
        <w:pStyle w:val="BodyText"/>
        <w:spacing w:line="177" w:lineRule="exact" w:before="157"/>
        <w:ind w:left="284" w:right="0" w:firstLine="0"/>
        <w:jc w:val="left"/>
      </w:pPr>
      <w:r>
        <w:rPr>
          <w:color w:val="231F20"/>
        </w:rPr>
        <w:t>9° les informations qui doivent y être insérées en vertu de l’article</w:t>
      </w:r>
      <w:r>
        <w:rPr>
          <w:color w:val="231F20"/>
          <w:spacing w:val="20"/>
        </w:rPr>
        <w:t> </w:t>
      </w:r>
      <w:r>
        <w:rPr>
          <w:color w:val="231F20"/>
        </w:rPr>
        <w:t>74,</w:t>
      </w:r>
    </w:p>
    <w:p>
      <w:pPr>
        <w:pStyle w:val="BodyText"/>
        <w:spacing w:line="192" w:lineRule="exact"/>
        <w:ind w:right="0" w:firstLine="0"/>
        <w:jc w:val="left"/>
      </w:pPr>
      <w:r>
        <w:rPr>
          <w:color w:val="231F20"/>
        </w:rPr>
        <w:t>§ 7, de la loi du 1</w:t>
      </w:r>
      <w:r>
        <w:rPr>
          <w:color w:val="231F20"/>
          <w:position w:val="7"/>
          <w:sz w:val="11"/>
        </w:rPr>
        <w:t>er </w:t>
      </w:r>
      <w:r>
        <w:rPr>
          <w:color w:val="231F20"/>
        </w:rPr>
        <w:t>avril 2007 relative aux </w:t>
      </w:r>
      <w:r>
        <w:rPr>
          <w:color w:val="231F20"/>
          <w:spacing w:val="-3"/>
        </w:rPr>
        <w:t>offres </w:t>
      </w:r>
      <w:r>
        <w:rPr>
          <w:color w:val="231F20"/>
        </w:rPr>
        <w:t>publiques</w:t>
      </w:r>
      <w:r>
        <w:rPr>
          <w:color w:val="231F20"/>
          <w:spacing w:val="36"/>
        </w:rPr>
        <w:t> </w:t>
      </w:r>
      <w:r>
        <w:rPr>
          <w:color w:val="231F20"/>
        </w:rPr>
        <w:t>d’acquisition.</w:t>
      </w:r>
    </w:p>
    <w:p>
      <w:pPr>
        <w:pStyle w:val="BodyText"/>
        <w:spacing w:before="2"/>
        <w:ind w:left="0" w:right="0" w:firstLine="0"/>
        <w:jc w:val="left"/>
        <w:rPr>
          <w:sz w:val="30"/>
        </w:rPr>
      </w:pPr>
    </w:p>
    <w:p>
      <w:pPr>
        <w:pStyle w:val="BodyText"/>
        <w:spacing w:line="218" w:lineRule="auto"/>
        <w:ind w:right="40"/>
      </w:pPr>
      <w:r>
        <w:rPr>
          <w:color w:val="231F20"/>
        </w:rPr>
        <w:t>Le rapport de gestion sur les comptes consolidés peut être combiné avec le rapport de gestion établi en application de l’article 3:6 pour constituer un rapport unique, pour autant que les indications prescrites soient</w:t>
      </w:r>
      <w:r>
        <w:rPr>
          <w:color w:val="231F20"/>
          <w:spacing w:val="-4"/>
        </w:rPr>
        <w:t> </w:t>
      </w:r>
      <w:r>
        <w:rPr>
          <w:color w:val="231F20"/>
        </w:rPr>
        <w:t>données</w:t>
      </w:r>
      <w:r>
        <w:rPr>
          <w:color w:val="231F20"/>
          <w:spacing w:val="-4"/>
        </w:rPr>
        <w:t> </w:t>
      </w:r>
      <w:r>
        <w:rPr>
          <w:color w:val="231F20"/>
        </w:rPr>
        <w:t>de</w:t>
      </w:r>
      <w:r>
        <w:rPr>
          <w:color w:val="231F20"/>
          <w:spacing w:val="-4"/>
        </w:rPr>
        <w:t> </w:t>
      </w:r>
      <w:r>
        <w:rPr>
          <w:color w:val="231F20"/>
        </w:rPr>
        <w:t>manière</w:t>
      </w:r>
      <w:r>
        <w:rPr>
          <w:color w:val="231F20"/>
          <w:spacing w:val="-4"/>
        </w:rPr>
        <w:t> </w:t>
      </w:r>
      <w:r>
        <w:rPr>
          <w:color w:val="231F20"/>
        </w:rPr>
        <w:t>distincte</w:t>
      </w:r>
      <w:r>
        <w:rPr>
          <w:color w:val="231F20"/>
          <w:spacing w:val="-4"/>
        </w:rPr>
        <w:t> </w:t>
      </w:r>
      <w:r>
        <w:rPr>
          <w:color w:val="231F20"/>
        </w:rPr>
        <w:t>pour</w:t>
      </w:r>
      <w:r>
        <w:rPr>
          <w:color w:val="231F20"/>
          <w:spacing w:val="-4"/>
        </w:rPr>
        <w:t> </w:t>
      </w:r>
      <w:r>
        <w:rPr>
          <w:color w:val="231F20"/>
        </w:rPr>
        <w:t>la</w:t>
      </w:r>
      <w:r>
        <w:rPr>
          <w:color w:val="231F20"/>
          <w:spacing w:val="-3"/>
        </w:rPr>
        <w:t> </w:t>
      </w:r>
      <w:r>
        <w:rPr>
          <w:color w:val="231F20"/>
        </w:rPr>
        <w:t>société</w:t>
      </w:r>
      <w:r>
        <w:rPr>
          <w:color w:val="231F20"/>
          <w:spacing w:val="-4"/>
        </w:rPr>
        <w:t> </w:t>
      </w:r>
      <w:r>
        <w:rPr>
          <w:color w:val="231F20"/>
        </w:rPr>
        <w:t>consolidante</w:t>
      </w:r>
      <w:r>
        <w:rPr>
          <w:color w:val="231F20"/>
          <w:spacing w:val="-4"/>
        </w:rPr>
        <w:t> </w:t>
      </w:r>
      <w:r>
        <w:rPr>
          <w:color w:val="231F20"/>
        </w:rPr>
        <w:t>et</w:t>
      </w:r>
      <w:r>
        <w:rPr>
          <w:color w:val="231F20"/>
          <w:spacing w:val="-4"/>
        </w:rPr>
        <w:t> </w:t>
      </w:r>
      <w:r>
        <w:rPr>
          <w:color w:val="231F20"/>
        </w:rPr>
        <w:t>pour l’ensemble consolidé. Il peut être pertinent, dans l’élaboration de ce rapport unique, de mettre l’accent sur les aspects revêtant de l’impor- tance pour l’ensemble des entreprises comprises dans la consolidation. Les</w:t>
      </w:r>
      <w:r>
        <w:rPr>
          <w:color w:val="231F20"/>
          <w:spacing w:val="-3"/>
        </w:rPr>
        <w:t> </w:t>
      </w:r>
      <w:r>
        <w:rPr>
          <w:color w:val="231F20"/>
        </w:rPr>
        <w:t>informations</w:t>
      </w:r>
      <w:r>
        <w:rPr>
          <w:color w:val="231F20"/>
          <w:spacing w:val="-3"/>
        </w:rPr>
        <w:t> </w:t>
      </w:r>
      <w:r>
        <w:rPr>
          <w:color w:val="231F20"/>
        </w:rPr>
        <w:t>à</w:t>
      </w:r>
      <w:r>
        <w:rPr>
          <w:color w:val="231F20"/>
          <w:spacing w:val="-3"/>
        </w:rPr>
        <w:t> </w:t>
      </w:r>
      <w:r>
        <w:rPr>
          <w:color w:val="231F20"/>
        </w:rPr>
        <w:t>fournir</w:t>
      </w:r>
      <w:r>
        <w:rPr>
          <w:color w:val="231F20"/>
          <w:spacing w:val="-2"/>
        </w:rPr>
        <w:t> </w:t>
      </w:r>
      <w:r>
        <w:rPr>
          <w:color w:val="231F20"/>
        </w:rPr>
        <w:t>en</w:t>
      </w:r>
      <w:r>
        <w:rPr>
          <w:color w:val="231F20"/>
          <w:spacing w:val="-3"/>
        </w:rPr>
        <w:t> </w:t>
      </w:r>
      <w:r>
        <w:rPr>
          <w:color w:val="231F20"/>
        </w:rPr>
        <w:t>vertu</w:t>
      </w:r>
      <w:r>
        <w:rPr>
          <w:color w:val="231F20"/>
          <w:spacing w:val="-3"/>
        </w:rPr>
        <w:t> </w:t>
      </w:r>
      <w:r>
        <w:rPr>
          <w:color w:val="231F20"/>
        </w:rPr>
        <w:t>du</w:t>
      </w:r>
      <w:r>
        <w:rPr>
          <w:color w:val="231F20"/>
          <w:spacing w:val="-3"/>
        </w:rPr>
        <w:t> </w:t>
      </w:r>
      <w:r>
        <w:rPr>
          <w:color w:val="231F20"/>
        </w:rPr>
        <w:t>7°</w:t>
      </w:r>
      <w:r>
        <w:rPr>
          <w:color w:val="231F20"/>
          <w:spacing w:val="-2"/>
        </w:rPr>
        <w:t> </w:t>
      </w:r>
      <w:r>
        <w:rPr>
          <w:color w:val="231F20"/>
        </w:rPr>
        <w:t>doivent,</w:t>
      </w:r>
      <w:r>
        <w:rPr>
          <w:color w:val="231F20"/>
          <w:spacing w:val="-3"/>
        </w:rPr>
        <w:t> </w:t>
      </w:r>
      <w:r>
        <w:rPr>
          <w:color w:val="231F20"/>
        </w:rPr>
        <w:t>le</w:t>
      </w:r>
      <w:r>
        <w:rPr>
          <w:color w:val="231F20"/>
          <w:spacing w:val="-3"/>
        </w:rPr>
        <w:t> </w:t>
      </w:r>
      <w:r>
        <w:rPr>
          <w:color w:val="231F20"/>
        </w:rPr>
        <w:t>cas</w:t>
      </w:r>
      <w:r>
        <w:rPr>
          <w:color w:val="231F20"/>
          <w:spacing w:val="-3"/>
        </w:rPr>
        <w:t> </w:t>
      </w:r>
      <w:r>
        <w:rPr>
          <w:color w:val="231F20"/>
        </w:rPr>
        <w:t>échéant,</w:t>
      </w:r>
      <w:r>
        <w:rPr>
          <w:color w:val="231F20"/>
          <w:spacing w:val="-2"/>
        </w:rPr>
        <w:t> </w:t>
      </w:r>
      <w:r>
        <w:rPr>
          <w:color w:val="231F20"/>
        </w:rPr>
        <w:t>figurer dans la section du rapport contenant la déclaration sur le gouverne- ment</w:t>
      </w:r>
      <w:r>
        <w:rPr>
          <w:color w:val="231F20"/>
          <w:spacing w:val="14"/>
        </w:rPr>
        <w:t> </w:t>
      </w:r>
      <w:r>
        <w:rPr>
          <w:color w:val="231F20"/>
        </w:rPr>
        <w:t>d’entreprise</w:t>
      </w:r>
      <w:r>
        <w:rPr>
          <w:color w:val="231F20"/>
          <w:spacing w:val="14"/>
        </w:rPr>
        <w:t> </w:t>
      </w:r>
      <w:r>
        <w:rPr>
          <w:color w:val="231F20"/>
        </w:rPr>
        <w:t>prévue</w:t>
      </w:r>
      <w:r>
        <w:rPr>
          <w:color w:val="231F20"/>
          <w:spacing w:val="15"/>
        </w:rPr>
        <w:t> </w:t>
      </w:r>
      <w:r>
        <w:rPr>
          <w:color w:val="231F20"/>
        </w:rPr>
        <w:t>à</w:t>
      </w:r>
      <w:r>
        <w:rPr>
          <w:color w:val="231F20"/>
          <w:spacing w:val="14"/>
        </w:rPr>
        <w:t> </w:t>
      </w:r>
      <w:r>
        <w:rPr>
          <w:color w:val="231F20"/>
        </w:rPr>
        <w:t>l’article</w:t>
      </w:r>
      <w:r>
        <w:rPr>
          <w:color w:val="231F20"/>
          <w:spacing w:val="15"/>
        </w:rPr>
        <w:t> </w:t>
      </w:r>
      <w:r>
        <w:rPr>
          <w:color w:val="231F20"/>
        </w:rPr>
        <w:t>3:6,</w:t>
      </w:r>
      <w:r>
        <w:rPr>
          <w:color w:val="231F20"/>
          <w:spacing w:val="14"/>
        </w:rPr>
        <w:t> </w:t>
      </w:r>
      <w:r>
        <w:rPr>
          <w:color w:val="231F20"/>
        </w:rPr>
        <w:t>§</w:t>
      </w:r>
      <w:r>
        <w:rPr>
          <w:color w:val="231F20"/>
          <w:spacing w:val="14"/>
        </w:rPr>
        <w:t> </w:t>
      </w:r>
      <w:r>
        <w:rPr>
          <w:color w:val="231F20"/>
        </w:rPr>
        <w:t>2.</w:t>
      </w:r>
    </w:p>
    <w:p>
      <w:pPr>
        <w:pStyle w:val="BodyText"/>
        <w:ind w:left="0" w:right="0" w:firstLine="0"/>
        <w:jc w:val="left"/>
        <w:rPr>
          <w:sz w:val="20"/>
        </w:rPr>
      </w:pPr>
    </w:p>
    <w:p>
      <w:pPr>
        <w:pStyle w:val="BodyText"/>
        <w:spacing w:line="218" w:lineRule="auto" w:before="120"/>
        <w:ind w:right="41"/>
      </w:pPr>
      <w:r>
        <w:rPr>
          <w:color w:val="231F20"/>
        </w:rPr>
        <w:t>§ 2. Le présent paragraphe s’applique aux sociétés qui répondent à toutes les conditions suivantes:</w:t>
      </w:r>
    </w:p>
    <w:p>
      <w:pPr>
        <w:pStyle w:val="BodyText"/>
        <w:spacing w:before="157"/>
        <w:ind w:left="283" w:right="0" w:firstLine="0"/>
        <w:jc w:val="left"/>
      </w:pPr>
      <w:r>
        <w:rPr>
          <w:color w:val="231F20"/>
        </w:rPr>
        <w:t>1° la société est une société mère visée à l’article 1:15, 1°;</w:t>
      </w:r>
    </w:p>
    <w:p>
      <w:pPr>
        <w:pStyle w:val="BodyText"/>
        <w:spacing w:before="10"/>
        <w:ind w:left="0" w:right="0" w:firstLine="0"/>
        <w:jc w:val="left"/>
        <w:rPr>
          <w:sz w:val="28"/>
        </w:rPr>
      </w:pPr>
    </w:p>
    <w:p>
      <w:pPr>
        <w:pStyle w:val="BodyText"/>
        <w:spacing w:before="1"/>
        <w:ind w:left="283" w:right="0" w:firstLine="0"/>
        <w:jc w:val="left"/>
      </w:pPr>
      <w:r>
        <w:rPr>
          <w:color w:val="231F20"/>
        </w:rPr>
        <w:t>2° la société est une entité d’intérêt public visée à l’article 1:12;</w:t>
      </w:r>
    </w:p>
    <w:p>
      <w:pPr>
        <w:pStyle w:val="BodyText"/>
        <w:ind w:left="0" w:right="0" w:firstLine="0"/>
        <w:jc w:val="left"/>
        <w:rPr>
          <w:sz w:val="20"/>
        </w:rPr>
      </w:pPr>
    </w:p>
    <w:p>
      <w:pPr>
        <w:pStyle w:val="BodyText"/>
        <w:spacing w:line="218" w:lineRule="auto" w:before="116"/>
        <w:ind w:right="40"/>
      </w:pPr>
      <w:r>
        <w:rPr>
          <w:color w:val="231F20"/>
        </w:rPr>
        <w:t>3° la société dépasse, à la date de bilan du dernier exercice clôturé, et sur une base consolidée, le critère du nombre moyen de 500 salariés</w:t>
      </w:r>
      <w:r>
        <w:rPr>
          <w:color w:val="231F20"/>
          <w:spacing w:val="-24"/>
        </w:rPr>
        <w:t> </w:t>
      </w:r>
      <w:r>
        <w:rPr>
          <w:color w:val="231F20"/>
        </w:rPr>
        <w:t>sur l’exercice.</w:t>
      </w:r>
    </w:p>
    <w:p>
      <w:pPr>
        <w:pStyle w:val="BodyText"/>
        <w:ind w:left="0" w:right="0" w:firstLine="0"/>
        <w:jc w:val="left"/>
        <w:rPr>
          <w:sz w:val="20"/>
        </w:rPr>
      </w:pPr>
    </w:p>
    <w:p>
      <w:pPr>
        <w:pStyle w:val="BodyText"/>
        <w:spacing w:line="218" w:lineRule="auto" w:before="119"/>
        <w:ind w:right="40"/>
      </w:pPr>
      <w:r>
        <w:rPr>
          <w:color w:val="231F20"/>
        </w:rPr>
        <w:t>Pour</w:t>
      </w:r>
      <w:r>
        <w:rPr>
          <w:color w:val="231F20"/>
          <w:spacing w:val="-4"/>
        </w:rPr>
        <w:t> </w:t>
      </w:r>
      <w:r>
        <w:rPr>
          <w:color w:val="231F20"/>
        </w:rPr>
        <w:t>le</w:t>
      </w:r>
      <w:r>
        <w:rPr>
          <w:color w:val="231F20"/>
          <w:spacing w:val="-4"/>
        </w:rPr>
        <w:t> </w:t>
      </w:r>
      <w:r>
        <w:rPr>
          <w:color w:val="231F20"/>
        </w:rPr>
        <w:t>calcul</w:t>
      </w:r>
      <w:r>
        <w:rPr>
          <w:color w:val="231F20"/>
          <w:spacing w:val="-3"/>
        </w:rPr>
        <w:t> </w:t>
      </w:r>
      <w:r>
        <w:rPr>
          <w:color w:val="231F20"/>
        </w:rPr>
        <w:t>du</w:t>
      </w:r>
      <w:r>
        <w:rPr>
          <w:color w:val="231F20"/>
          <w:spacing w:val="-4"/>
        </w:rPr>
        <w:t> </w:t>
      </w:r>
      <w:r>
        <w:rPr>
          <w:color w:val="231F20"/>
        </w:rPr>
        <w:t>nombre</w:t>
      </w:r>
      <w:r>
        <w:rPr>
          <w:color w:val="231F20"/>
          <w:spacing w:val="-4"/>
        </w:rPr>
        <w:t> </w:t>
      </w:r>
      <w:r>
        <w:rPr>
          <w:color w:val="231F20"/>
        </w:rPr>
        <w:t>moyen</w:t>
      </w:r>
      <w:r>
        <w:rPr>
          <w:color w:val="231F20"/>
          <w:spacing w:val="-3"/>
        </w:rPr>
        <w:t> </w:t>
      </w:r>
      <w:r>
        <w:rPr>
          <w:color w:val="231F20"/>
        </w:rPr>
        <w:t>annuel</w:t>
      </w:r>
      <w:r>
        <w:rPr>
          <w:color w:val="231F20"/>
          <w:spacing w:val="-4"/>
        </w:rPr>
        <w:t> </w:t>
      </w:r>
      <w:r>
        <w:rPr>
          <w:color w:val="231F20"/>
        </w:rPr>
        <w:t>des</w:t>
      </w:r>
      <w:r>
        <w:rPr>
          <w:color w:val="231F20"/>
          <w:spacing w:val="-4"/>
        </w:rPr>
        <w:t> </w:t>
      </w:r>
      <w:r>
        <w:rPr>
          <w:color w:val="231F20"/>
        </w:rPr>
        <w:t>salariés,</w:t>
      </w:r>
      <w:r>
        <w:rPr>
          <w:color w:val="231F20"/>
          <w:spacing w:val="-3"/>
        </w:rPr>
        <w:t> </w:t>
      </w:r>
      <w:r>
        <w:rPr>
          <w:color w:val="231F20"/>
        </w:rPr>
        <w:t>l’article</w:t>
      </w:r>
      <w:r>
        <w:rPr>
          <w:color w:val="231F20"/>
          <w:spacing w:val="-4"/>
        </w:rPr>
        <w:t> </w:t>
      </w:r>
      <w:r>
        <w:rPr>
          <w:color w:val="231F20"/>
        </w:rPr>
        <w:t>1:26,</w:t>
      </w:r>
      <w:r>
        <w:rPr>
          <w:color w:val="231F20"/>
          <w:spacing w:val="-3"/>
        </w:rPr>
        <w:t> </w:t>
      </w:r>
      <w:r>
        <w:rPr>
          <w:color w:val="231F20"/>
        </w:rPr>
        <w:t>§</w:t>
      </w:r>
      <w:r>
        <w:rPr>
          <w:color w:val="231F20"/>
          <w:spacing w:val="-4"/>
        </w:rPr>
        <w:t> </w:t>
      </w:r>
      <w:r>
        <w:rPr>
          <w:color w:val="231F20"/>
        </w:rPr>
        <w:t>3, est</w:t>
      </w:r>
      <w:r>
        <w:rPr>
          <w:color w:val="231F20"/>
          <w:spacing w:val="15"/>
        </w:rPr>
        <w:t> </w:t>
      </w:r>
      <w:r>
        <w:rPr>
          <w:color w:val="231F20"/>
        </w:rPr>
        <w:t>d’application.</w:t>
      </w:r>
    </w:p>
    <w:p>
      <w:pPr>
        <w:pStyle w:val="BodyText"/>
        <w:spacing w:line="218" w:lineRule="auto" w:before="119"/>
      </w:pPr>
      <w:r>
        <w:rPr/>
        <w:br w:type="column"/>
      </w:r>
      <w:r>
        <w:rPr>
          <w:color w:val="231F20"/>
        </w:rPr>
        <w:t>In de mate waarin zulks noodzakelijk is voor een goed begrip van de betrokken ontwikkeling, resultaten of positie omvat de analyse zowel financiële als, waar zulks passend wordt geacht, niet-financiële essen- tiële prestatie-indicatoren die betrekking hebben op het specifieke bedrijf, met inbegrip van informatie betreffende milieu- en personeels- aangelegenheden.</w:t>
      </w:r>
    </w:p>
    <w:p>
      <w:pPr>
        <w:pStyle w:val="BodyText"/>
        <w:spacing w:line="218" w:lineRule="auto" w:before="161"/>
      </w:pPr>
      <w:r>
        <w:rPr>
          <w:color w:val="231F20"/>
        </w:rPr>
        <w:t>In deze analyse omvat het geconsolideerde jaarverslag, waar zulks passend wordt geacht, verwijzingen naar en aanvullende uitleg over de bedragen in de geconsolideerde jaarrekening;</w:t>
      </w:r>
    </w:p>
    <w:p>
      <w:pPr>
        <w:pStyle w:val="BodyText"/>
        <w:spacing w:line="218" w:lineRule="auto" w:before="160"/>
      </w:pPr>
      <w:r>
        <w:rPr>
          <w:color w:val="231F20"/>
        </w:rPr>
        <w:t>2° informatie over de belangrijke gebeurtenissen die na het einde van het boekjaar hebben plaatsgevonden;</w:t>
      </w:r>
    </w:p>
    <w:p>
      <w:pPr>
        <w:pStyle w:val="BodyText"/>
        <w:spacing w:line="218" w:lineRule="auto" w:before="171"/>
      </w:pPr>
      <w:r>
        <w:rPr>
          <w:color w:val="231F20"/>
        </w:rPr>
        <w:t>3° voor zover zij niet van die aard zijn dat zij ernstig nadeel zouden berokkenen aan een vennootschap opgenomen in de consolidatie, inlichtingen over de omstandigheden die de ontwikkeling van het geconsolideerde geheel aanmerkelijk kunnen beïnvloeden;</w:t>
      </w:r>
    </w:p>
    <w:p>
      <w:pPr>
        <w:pStyle w:val="BodyText"/>
        <w:spacing w:line="218" w:lineRule="auto" w:before="171"/>
      </w:pPr>
      <w:r>
        <w:rPr>
          <w:color w:val="231F20"/>
        </w:rPr>
        <w:t>4° informatie over de werkzaamheden op het gebied van onderzoek en ontwikkeling;</w:t>
      </w:r>
    </w:p>
    <w:p>
      <w:pPr>
        <w:pStyle w:val="BodyText"/>
        <w:spacing w:line="218" w:lineRule="auto" w:before="170"/>
      </w:pPr>
      <w:r>
        <w:rPr>
          <w:color w:val="231F20"/>
        </w:rPr>
        <w:t>5° wat betreft het gebruik door de vennootschap van financiële instrumenten en voorzover zulks van betekenis is voor de beoordeling van haar activa, passiva, financiële positie en resultaat:</w:t>
      </w:r>
    </w:p>
    <w:p>
      <w:pPr>
        <w:pStyle w:val="ListParagraph"/>
        <w:numPr>
          <w:ilvl w:val="0"/>
          <w:numId w:val="48"/>
        </w:numPr>
        <w:tabs>
          <w:tab w:pos="566" w:val="left" w:leader="none"/>
        </w:tabs>
        <w:spacing w:line="218" w:lineRule="auto" w:before="171" w:after="0"/>
        <w:ind w:left="113" w:right="124" w:firstLine="170"/>
        <w:jc w:val="both"/>
        <w:rPr>
          <w:sz w:val="17"/>
        </w:rPr>
      </w:pPr>
      <w:r>
        <w:rPr>
          <w:color w:val="231F20"/>
          <w:sz w:val="17"/>
        </w:rPr>
        <w:t>de doelstellingen en het beleid van de gezamenlijke in de consolidatie opgenomen ondernemingen inzake de beheersing van het risico, met inbegrip van hun beleid inzake hedging van alle belangrijke soorten voorgenomen transacties, waarvoor hedge accounting wordt toegepast,</w:t>
      </w:r>
      <w:r>
        <w:rPr>
          <w:color w:val="231F20"/>
          <w:spacing w:val="15"/>
          <w:sz w:val="17"/>
        </w:rPr>
        <w:t> </w:t>
      </w:r>
      <w:r>
        <w:rPr>
          <w:color w:val="231F20"/>
          <w:sz w:val="17"/>
        </w:rPr>
        <w:t>alsook</w:t>
      </w:r>
    </w:p>
    <w:p>
      <w:pPr>
        <w:pStyle w:val="ListParagraph"/>
        <w:numPr>
          <w:ilvl w:val="0"/>
          <w:numId w:val="48"/>
        </w:numPr>
        <w:tabs>
          <w:tab w:pos="503" w:val="left" w:leader="none"/>
        </w:tabs>
        <w:spacing w:line="218" w:lineRule="auto" w:before="171" w:after="0"/>
        <w:ind w:left="113" w:right="123" w:firstLine="170"/>
        <w:jc w:val="both"/>
        <w:rPr>
          <w:sz w:val="17"/>
        </w:rPr>
      </w:pPr>
      <w:r>
        <w:rPr>
          <w:color w:val="231F20"/>
          <w:sz w:val="17"/>
        </w:rPr>
        <w:t>het door de gezamenlijke in de consolidatie opgenomen onderne- mingen</w:t>
      </w:r>
      <w:r>
        <w:rPr>
          <w:color w:val="231F20"/>
          <w:spacing w:val="-16"/>
          <w:sz w:val="17"/>
        </w:rPr>
        <w:t> </w:t>
      </w:r>
      <w:r>
        <w:rPr>
          <w:color w:val="231F20"/>
          <w:sz w:val="17"/>
        </w:rPr>
        <w:t>gelopen</w:t>
      </w:r>
      <w:r>
        <w:rPr>
          <w:color w:val="231F20"/>
          <w:spacing w:val="-15"/>
          <w:sz w:val="17"/>
        </w:rPr>
        <w:t> </w:t>
      </w:r>
      <w:r>
        <w:rPr>
          <w:color w:val="231F20"/>
          <w:sz w:val="17"/>
        </w:rPr>
        <w:t>prijsrisico,</w:t>
      </w:r>
      <w:r>
        <w:rPr>
          <w:color w:val="231F20"/>
          <w:spacing w:val="-15"/>
          <w:sz w:val="17"/>
        </w:rPr>
        <w:t> </w:t>
      </w:r>
      <w:r>
        <w:rPr>
          <w:color w:val="231F20"/>
          <w:spacing w:val="-3"/>
          <w:sz w:val="17"/>
        </w:rPr>
        <w:t>kredietrisico,</w:t>
      </w:r>
      <w:r>
        <w:rPr>
          <w:color w:val="231F20"/>
          <w:spacing w:val="-15"/>
          <w:sz w:val="17"/>
        </w:rPr>
        <w:t> </w:t>
      </w:r>
      <w:r>
        <w:rPr>
          <w:color w:val="231F20"/>
          <w:sz w:val="17"/>
        </w:rPr>
        <w:t>liquiditeitsrisico,</w:t>
      </w:r>
      <w:r>
        <w:rPr>
          <w:color w:val="231F20"/>
          <w:spacing w:val="-15"/>
          <w:sz w:val="17"/>
        </w:rPr>
        <w:t> </w:t>
      </w:r>
      <w:r>
        <w:rPr>
          <w:color w:val="231F20"/>
          <w:sz w:val="17"/>
        </w:rPr>
        <w:t>en</w:t>
      </w:r>
      <w:r>
        <w:rPr>
          <w:color w:val="231F20"/>
          <w:spacing w:val="-15"/>
          <w:sz w:val="17"/>
        </w:rPr>
        <w:t> </w:t>
      </w:r>
      <w:r>
        <w:rPr>
          <w:color w:val="231F20"/>
          <w:spacing w:val="-3"/>
          <w:sz w:val="17"/>
        </w:rPr>
        <w:t>kasstroom- </w:t>
      </w:r>
      <w:r>
        <w:rPr>
          <w:color w:val="231F20"/>
          <w:sz w:val="17"/>
        </w:rPr>
        <w:t>risico;</w:t>
      </w:r>
    </w:p>
    <w:p>
      <w:pPr>
        <w:pStyle w:val="BodyText"/>
        <w:spacing w:line="218" w:lineRule="auto" w:before="171"/>
      </w:pPr>
      <w:r>
        <w:rPr>
          <w:color w:val="231F20"/>
        </w:rPr>
        <w:t>6° in voorkomend geval, de verantwoording van de onafhankelijk- heid en deskundigheid op het gebied van boekhouding en audit van   ten minste één lid van het auditcomité van de consoliderende vennootschap of van de vennootschap waarin het hoofdbedrijf van het consortium is</w:t>
      </w:r>
      <w:r>
        <w:rPr>
          <w:color w:val="231F20"/>
          <w:spacing w:val="-11"/>
        </w:rPr>
        <w:t> </w:t>
      </w:r>
      <w:r>
        <w:rPr>
          <w:color w:val="231F20"/>
        </w:rPr>
        <w:t>gevestigd;</w:t>
      </w:r>
    </w:p>
    <w:p>
      <w:pPr>
        <w:pStyle w:val="BodyText"/>
        <w:spacing w:line="218" w:lineRule="auto" w:before="171"/>
      </w:pPr>
      <w:r>
        <w:rPr>
          <w:color w:val="231F20"/>
        </w:rPr>
        <w:t>7° een beschrijving van de belangrijkste kenmerken van de interne controle- en risicobeheerssystemen van de verbonden vennootschap- pen met betrekking tot het proces van de opstelling van de geconsoli- deerde jaarrekening zodra een genoteerde vennootschap of een orga- nisatie van openbaar belang als bedoeld in artikel 1:12, 2°, in het geconsolideerde geheel voorkomt;</w:t>
      </w:r>
    </w:p>
    <w:p>
      <w:pPr>
        <w:pStyle w:val="BodyText"/>
        <w:spacing w:line="218" w:lineRule="auto" w:before="171"/>
      </w:pPr>
      <w:r>
        <w:rPr>
          <w:color w:val="231F20"/>
        </w:rPr>
        <w:t>8° de informatie die erin moet worden  opgenomen  krachtens  artikel 34 van het koninklijk besluit van 14 november 2007 betreffende de verplichtingen van emittenten van financiële instrumenten die zijn toegelaten</w:t>
      </w:r>
      <w:r>
        <w:rPr>
          <w:color w:val="231F20"/>
          <w:spacing w:val="16"/>
        </w:rPr>
        <w:t> </w:t>
      </w:r>
      <w:r>
        <w:rPr>
          <w:color w:val="231F20"/>
        </w:rPr>
        <w:t>tot</w:t>
      </w:r>
      <w:r>
        <w:rPr>
          <w:color w:val="231F20"/>
          <w:spacing w:val="16"/>
        </w:rPr>
        <w:t> </w:t>
      </w:r>
      <w:r>
        <w:rPr>
          <w:color w:val="231F20"/>
        </w:rPr>
        <w:t>de</w:t>
      </w:r>
      <w:r>
        <w:rPr>
          <w:color w:val="231F20"/>
          <w:spacing w:val="16"/>
        </w:rPr>
        <w:t> </w:t>
      </w:r>
      <w:r>
        <w:rPr>
          <w:color w:val="231F20"/>
        </w:rPr>
        <w:t>verhandeling</w:t>
      </w:r>
      <w:r>
        <w:rPr>
          <w:color w:val="231F20"/>
          <w:spacing w:val="16"/>
        </w:rPr>
        <w:t> </w:t>
      </w:r>
      <w:r>
        <w:rPr>
          <w:color w:val="231F20"/>
        </w:rPr>
        <w:t>op</w:t>
      </w:r>
      <w:r>
        <w:rPr>
          <w:color w:val="231F20"/>
          <w:spacing w:val="16"/>
        </w:rPr>
        <w:t> </w:t>
      </w:r>
      <w:r>
        <w:rPr>
          <w:color w:val="231F20"/>
        </w:rPr>
        <w:t>een</w:t>
      </w:r>
      <w:r>
        <w:rPr>
          <w:color w:val="231F20"/>
          <w:spacing w:val="16"/>
        </w:rPr>
        <w:t> </w:t>
      </w:r>
      <w:r>
        <w:rPr>
          <w:color w:val="231F20"/>
        </w:rPr>
        <w:t>gereglementeerde</w:t>
      </w:r>
      <w:r>
        <w:rPr>
          <w:color w:val="231F20"/>
          <w:spacing w:val="16"/>
        </w:rPr>
        <w:t> </w:t>
      </w:r>
      <w:r>
        <w:rPr>
          <w:color w:val="231F20"/>
        </w:rPr>
        <w:t>markt;</w:t>
      </w:r>
    </w:p>
    <w:p>
      <w:pPr>
        <w:pStyle w:val="BodyText"/>
        <w:spacing w:line="218" w:lineRule="auto" w:before="171"/>
      </w:pPr>
      <w:r>
        <w:rPr>
          <w:color w:val="231F20"/>
        </w:rPr>
        <w:t>9° de informatie die erin moet worden  opgenomen  krachtens  artikel 74, § 7, van de wet van 1 april 2007 op de openbare overnamebiedingen.</w:t>
      </w:r>
    </w:p>
    <w:p>
      <w:pPr>
        <w:pStyle w:val="BodyText"/>
        <w:spacing w:line="218" w:lineRule="auto" w:before="171"/>
      </w:pPr>
      <w:r>
        <w:rPr>
          <w:color w:val="231F20"/>
        </w:rPr>
        <w:t>Het jaarverslag over de geconsolideerde jaarrekening mag worden gecombineerd met het jaarverslag dat is opgesteld op grond  van  artikel 3:6 tot één enkel verslag, in zoverre de vereiste gegevens afzonderlijk worden verstrekt voor de consoliderende vennootschap en het geconsolideerde geheel. Bij de opstelling van dit ene verslag kan het aangewezen zijn de nadruk te leggen op aangelegenheden die relevant zijn voor het geheel van de ondernemingen die in de consolidatie zijn opgenomen. De informatie die moet worden verstrekt onder 7° moet, in voorkomend geval, worden opgenomen in het deel van het verslag dat de verklaring inzake deugdelijk bestuur  bevat,  zoals  bepaald  in artikel 3:6, §</w:t>
      </w:r>
      <w:r>
        <w:rPr>
          <w:color w:val="231F20"/>
          <w:spacing w:val="2"/>
        </w:rPr>
        <w:t> </w:t>
      </w:r>
      <w:r>
        <w:rPr>
          <w:color w:val="231F20"/>
        </w:rPr>
        <w:t>2.</w:t>
      </w:r>
    </w:p>
    <w:p>
      <w:pPr>
        <w:pStyle w:val="BodyText"/>
        <w:spacing w:line="218" w:lineRule="auto" w:before="171"/>
      </w:pPr>
      <w:r>
        <w:rPr>
          <w:color w:val="231F20"/>
        </w:rPr>
        <w:t>§ 2. Deze paragraaf is van toepassing op vennootschappen die voldoen aan al de volgende voorwaarden:</w:t>
      </w:r>
    </w:p>
    <w:p>
      <w:pPr>
        <w:pStyle w:val="BodyText"/>
        <w:spacing w:line="218" w:lineRule="auto" w:before="171"/>
      </w:pPr>
      <w:r>
        <w:rPr>
          <w:color w:val="231F20"/>
        </w:rPr>
        <w:t>1° de vennootschap is een moedervennootschap, als bedoeld in artikel 1:15,</w:t>
      </w:r>
      <w:r>
        <w:rPr>
          <w:color w:val="231F20"/>
          <w:spacing w:val="-11"/>
        </w:rPr>
        <w:t> </w:t>
      </w:r>
      <w:r>
        <w:rPr>
          <w:color w:val="231F20"/>
        </w:rPr>
        <w:t>1°;</w:t>
      </w:r>
    </w:p>
    <w:p>
      <w:pPr>
        <w:pStyle w:val="BodyText"/>
        <w:spacing w:line="218" w:lineRule="auto" w:before="171"/>
      </w:pPr>
      <w:r>
        <w:rPr>
          <w:color w:val="231F20"/>
        </w:rPr>
        <w:t>2° de vennootschap is een organisatie van openbaar belang, als bedoeld in artikel 1:12;</w:t>
      </w:r>
    </w:p>
    <w:p>
      <w:pPr>
        <w:pStyle w:val="BodyText"/>
        <w:spacing w:line="218" w:lineRule="auto" w:before="170"/>
      </w:pPr>
      <w:r>
        <w:rPr>
          <w:color w:val="231F20"/>
        </w:rPr>
        <w:t>3° de vennootschap overschrijdt op balansdatum van het laatst afgesloten boekjaar en op geconsolideerde basis de drempel van een gemiddeld personeelsbestand van 500 werknemers gedurende het boekjaar.</w:t>
      </w:r>
    </w:p>
    <w:p>
      <w:pPr>
        <w:pStyle w:val="BodyText"/>
        <w:spacing w:line="218" w:lineRule="auto" w:before="171"/>
      </w:pPr>
      <w:r>
        <w:rPr>
          <w:color w:val="231F20"/>
        </w:rPr>
        <w:t>Voor de berekening van het jaargemiddelde van het personeelsbe- stand op geconsolideerde basis is artikel 1:26, § 3, van toepassing.</w:t>
      </w:r>
    </w:p>
    <w:p>
      <w:pPr>
        <w:spacing w:after="0" w:line="218" w:lineRule="auto"/>
        <w:sectPr>
          <w:pgSz w:w="11940" w:h="16880"/>
          <w:pgMar w:header="666" w:footer="0" w:top="1140" w:bottom="280" w:left="340" w:right="360"/>
          <w:cols w:num="2" w:equalWidth="0">
            <w:col w:w="5529" w:space="98"/>
            <w:col w:w="5613"/>
          </w:cols>
        </w:sectPr>
      </w:pPr>
    </w:p>
    <w:p>
      <w:pPr>
        <w:pStyle w:val="BodyText"/>
        <w:spacing w:line="216" w:lineRule="auto" w:before="121"/>
        <w:ind w:right="41"/>
      </w:pPr>
      <w:r>
        <w:rPr/>
        <w:pict>
          <v:line style="position:absolute;mso-position-horizontal-relative:page;mso-position-vertical-relative:page;z-index:2488" from="298.170502pt,64.473pt" to="298.170502pt,812.819pt" stroked="true" strokeweight=".533pt" strokecolor="#231f20">
            <v:stroke dashstyle="solid"/>
            <w10:wrap type="none"/>
          </v:line>
        </w:pict>
      </w:r>
      <w:bookmarkStart w:name="_bookmark61" w:id="65"/>
      <w:bookmarkEnd w:id="65"/>
      <w:r>
        <w:rPr/>
      </w:r>
      <w:r>
        <w:rPr>
          <w:color w:val="231F20"/>
        </w:rPr>
        <w:t>Dans la mesure nécessaire à la compréhension de l’évolution des affaires, des performances, de la situation du groupe et des incidences de son activité, relatives au moins aux questions sociales, environne- mentales et de personnel, de respect des droits de l’homme et de lutte contre la corruption, le rapport de gestion sur les comptes consolidés visé au paragraphe 1</w:t>
      </w:r>
      <w:r>
        <w:rPr>
          <w:color w:val="231F20"/>
          <w:position w:val="7"/>
          <w:sz w:val="11"/>
        </w:rPr>
        <w:t>er </w:t>
      </w:r>
      <w:r>
        <w:rPr>
          <w:color w:val="231F20"/>
        </w:rPr>
        <w:t>comprend une déclaration qui comporte les informations suivantes:</w:t>
      </w:r>
    </w:p>
    <w:p>
      <w:pPr>
        <w:pStyle w:val="ListParagraph"/>
        <w:numPr>
          <w:ilvl w:val="0"/>
          <w:numId w:val="69"/>
        </w:numPr>
        <w:tabs>
          <w:tab w:pos="473" w:val="left" w:leader="none"/>
        </w:tabs>
        <w:spacing w:line="240" w:lineRule="auto" w:before="66" w:after="0"/>
        <w:ind w:left="113" w:right="0" w:firstLine="170"/>
        <w:jc w:val="left"/>
        <w:rPr>
          <w:sz w:val="17"/>
        </w:rPr>
      </w:pPr>
      <w:r>
        <w:rPr>
          <w:color w:val="231F20"/>
          <w:sz w:val="17"/>
        </w:rPr>
        <w:t>une</w:t>
      </w:r>
      <w:r>
        <w:rPr>
          <w:color w:val="231F20"/>
          <w:spacing w:val="16"/>
          <w:sz w:val="17"/>
        </w:rPr>
        <w:t> </w:t>
      </w:r>
      <w:r>
        <w:rPr>
          <w:color w:val="231F20"/>
          <w:sz w:val="17"/>
        </w:rPr>
        <w:t>brève</w:t>
      </w:r>
      <w:r>
        <w:rPr>
          <w:color w:val="231F20"/>
          <w:spacing w:val="16"/>
          <w:sz w:val="17"/>
        </w:rPr>
        <w:t> </w:t>
      </w:r>
      <w:r>
        <w:rPr>
          <w:color w:val="231F20"/>
          <w:sz w:val="17"/>
        </w:rPr>
        <w:t>description</w:t>
      </w:r>
      <w:r>
        <w:rPr>
          <w:color w:val="231F20"/>
          <w:spacing w:val="16"/>
          <w:sz w:val="17"/>
        </w:rPr>
        <w:t> </w:t>
      </w:r>
      <w:r>
        <w:rPr>
          <w:color w:val="231F20"/>
          <w:sz w:val="17"/>
        </w:rPr>
        <w:t>des</w:t>
      </w:r>
      <w:r>
        <w:rPr>
          <w:color w:val="231F20"/>
          <w:spacing w:val="16"/>
          <w:sz w:val="17"/>
        </w:rPr>
        <w:t> </w:t>
      </w:r>
      <w:r>
        <w:rPr>
          <w:color w:val="231F20"/>
          <w:sz w:val="17"/>
        </w:rPr>
        <w:t>activités</w:t>
      </w:r>
      <w:r>
        <w:rPr>
          <w:color w:val="231F20"/>
          <w:spacing w:val="16"/>
          <w:sz w:val="17"/>
        </w:rPr>
        <w:t> </w:t>
      </w:r>
      <w:r>
        <w:rPr>
          <w:color w:val="231F20"/>
          <w:sz w:val="17"/>
        </w:rPr>
        <w:t>du</w:t>
      </w:r>
      <w:r>
        <w:rPr>
          <w:color w:val="231F20"/>
          <w:spacing w:val="16"/>
          <w:sz w:val="17"/>
        </w:rPr>
        <w:t> </w:t>
      </w:r>
      <w:r>
        <w:rPr>
          <w:color w:val="231F20"/>
          <w:sz w:val="17"/>
        </w:rPr>
        <w:t>groupe;</w:t>
      </w:r>
    </w:p>
    <w:p>
      <w:pPr>
        <w:pStyle w:val="ListParagraph"/>
        <w:numPr>
          <w:ilvl w:val="0"/>
          <w:numId w:val="69"/>
        </w:numPr>
        <w:tabs>
          <w:tab w:pos="473" w:val="left" w:leader="none"/>
        </w:tabs>
        <w:spacing w:line="218" w:lineRule="auto" w:before="79" w:after="0"/>
        <w:ind w:left="113" w:right="41" w:firstLine="170"/>
        <w:jc w:val="both"/>
        <w:rPr>
          <w:sz w:val="17"/>
        </w:rPr>
      </w:pPr>
      <w:r>
        <w:rPr>
          <w:color w:val="231F20"/>
          <w:sz w:val="17"/>
        </w:rPr>
        <w:t>une description des politiques appliquées par le groupe en ce qui concerne ces questions, y compris les procédures de diligence raison- nable mises en</w:t>
      </w:r>
      <w:r>
        <w:rPr>
          <w:color w:val="231F20"/>
          <w:spacing w:val="3"/>
          <w:sz w:val="17"/>
        </w:rPr>
        <w:t> </w:t>
      </w:r>
      <w:r>
        <w:rPr>
          <w:color w:val="231F20"/>
          <w:sz w:val="17"/>
        </w:rPr>
        <w:t>œuvre;</w:t>
      </w:r>
    </w:p>
    <w:p>
      <w:pPr>
        <w:pStyle w:val="ListParagraph"/>
        <w:numPr>
          <w:ilvl w:val="0"/>
          <w:numId w:val="69"/>
        </w:numPr>
        <w:tabs>
          <w:tab w:pos="467" w:val="left" w:leader="none"/>
        </w:tabs>
        <w:spacing w:line="240" w:lineRule="auto" w:before="69" w:after="0"/>
        <w:ind w:left="466" w:right="0" w:hanging="183"/>
        <w:jc w:val="left"/>
        <w:rPr>
          <w:sz w:val="17"/>
        </w:rPr>
      </w:pPr>
      <w:r>
        <w:rPr>
          <w:color w:val="231F20"/>
          <w:sz w:val="17"/>
        </w:rPr>
        <w:t>les résultats de ces</w:t>
      </w:r>
      <w:r>
        <w:rPr>
          <w:color w:val="231F20"/>
          <w:spacing w:val="18"/>
          <w:sz w:val="17"/>
        </w:rPr>
        <w:t> </w:t>
      </w:r>
      <w:r>
        <w:rPr>
          <w:color w:val="231F20"/>
          <w:sz w:val="17"/>
        </w:rPr>
        <w:t>politiques;</w:t>
      </w:r>
    </w:p>
    <w:p>
      <w:pPr>
        <w:pStyle w:val="ListParagraph"/>
        <w:numPr>
          <w:ilvl w:val="0"/>
          <w:numId w:val="69"/>
        </w:numPr>
        <w:tabs>
          <w:tab w:pos="508" w:val="left" w:leader="none"/>
        </w:tabs>
        <w:spacing w:line="218" w:lineRule="auto" w:before="79" w:after="0"/>
        <w:ind w:left="113" w:right="41" w:firstLine="170"/>
        <w:jc w:val="both"/>
        <w:rPr>
          <w:sz w:val="17"/>
        </w:rPr>
      </w:pPr>
      <w:r>
        <w:rPr>
          <w:color w:val="231F20"/>
          <w:sz w:val="17"/>
        </w:rPr>
        <w:t>les principaux risques liés à ces questions en rapport avec les activités du groupe, y compris, lorsque cela s’avère pertinent et proportionné, les relations d’affaires, les produits ou les services du groupe, qui sont susceptibles d’entraîner des incidences négatives dans ces</w:t>
      </w:r>
      <w:r>
        <w:rPr>
          <w:color w:val="231F20"/>
          <w:spacing w:val="14"/>
          <w:sz w:val="17"/>
        </w:rPr>
        <w:t> </w:t>
      </w:r>
      <w:r>
        <w:rPr>
          <w:color w:val="231F20"/>
          <w:sz w:val="17"/>
        </w:rPr>
        <w:t>domaines,</w:t>
      </w:r>
      <w:r>
        <w:rPr>
          <w:color w:val="231F20"/>
          <w:spacing w:val="15"/>
          <w:sz w:val="17"/>
        </w:rPr>
        <w:t> </w:t>
      </w:r>
      <w:r>
        <w:rPr>
          <w:color w:val="231F20"/>
          <w:sz w:val="17"/>
        </w:rPr>
        <w:t>et</w:t>
      </w:r>
      <w:r>
        <w:rPr>
          <w:color w:val="231F20"/>
          <w:spacing w:val="14"/>
          <w:sz w:val="17"/>
        </w:rPr>
        <w:t> </w:t>
      </w:r>
      <w:r>
        <w:rPr>
          <w:color w:val="231F20"/>
          <w:sz w:val="17"/>
        </w:rPr>
        <w:t>la</w:t>
      </w:r>
      <w:r>
        <w:rPr>
          <w:color w:val="231F20"/>
          <w:spacing w:val="15"/>
          <w:sz w:val="17"/>
        </w:rPr>
        <w:t> </w:t>
      </w:r>
      <w:r>
        <w:rPr>
          <w:color w:val="231F20"/>
          <w:sz w:val="17"/>
        </w:rPr>
        <w:t>manière</w:t>
      </w:r>
      <w:r>
        <w:rPr>
          <w:color w:val="231F20"/>
          <w:spacing w:val="14"/>
          <w:sz w:val="17"/>
        </w:rPr>
        <w:t> </w:t>
      </w:r>
      <w:r>
        <w:rPr>
          <w:color w:val="231F20"/>
          <w:sz w:val="17"/>
        </w:rPr>
        <w:t>le</w:t>
      </w:r>
      <w:r>
        <w:rPr>
          <w:color w:val="231F20"/>
          <w:spacing w:val="15"/>
          <w:sz w:val="17"/>
        </w:rPr>
        <w:t> </w:t>
      </w:r>
      <w:r>
        <w:rPr>
          <w:color w:val="231F20"/>
          <w:sz w:val="17"/>
        </w:rPr>
        <w:t>groupe</w:t>
      </w:r>
      <w:r>
        <w:rPr>
          <w:color w:val="231F20"/>
          <w:spacing w:val="15"/>
          <w:sz w:val="17"/>
        </w:rPr>
        <w:t> </w:t>
      </w:r>
      <w:r>
        <w:rPr>
          <w:color w:val="231F20"/>
          <w:sz w:val="17"/>
        </w:rPr>
        <w:t>gère</w:t>
      </w:r>
      <w:r>
        <w:rPr>
          <w:color w:val="231F20"/>
          <w:spacing w:val="14"/>
          <w:sz w:val="17"/>
        </w:rPr>
        <w:t> </w:t>
      </w:r>
      <w:r>
        <w:rPr>
          <w:color w:val="231F20"/>
          <w:sz w:val="17"/>
        </w:rPr>
        <w:t>ces</w:t>
      </w:r>
      <w:r>
        <w:rPr>
          <w:color w:val="231F20"/>
          <w:spacing w:val="15"/>
          <w:sz w:val="17"/>
        </w:rPr>
        <w:t> </w:t>
      </w:r>
      <w:r>
        <w:rPr>
          <w:color w:val="231F20"/>
          <w:sz w:val="17"/>
        </w:rPr>
        <w:t>risques;</w:t>
      </w:r>
    </w:p>
    <w:p>
      <w:pPr>
        <w:pStyle w:val="ListParagraph"/>
        <w:numPr>
          <w:ilvl w:val="0"/>
          <w:numId w:val="69"/>
        </w:numPr>
        <w:tabs>
          <w:tab w:pos="507" w:val="left" w:leader="none"/>
        </w:tabs>
        <w:spacing w:line="218" w:lineRule="auto" w:before="84" w:after="0"/>
        <w:ind w:left="113" w:right="44" w:firstLine="170"/>
        <w:jc w:val="both"/>
        <w:rPr>
          <w:sz w:val="17"/>
        </w:rPr>
      </w:pPr>
      <w:r>
        <w:rPr>
          <w:color w:val="231F20"/>
          <w:sz w:val="17"/>
        </w:rPr>
        <w:t>les indicateurs clés de performance de nature non financière concernant les activités en</w:t>
      </w:r>
      <w:r>
        <w:rPr>
          <w:color w:val="231F20"/>
          <w:spacing w:val="17"/>
          <w:sz w:val="17"/>
        </w:rPr>
        <w:t> </w:t>
      </w:r>
      <w:r>
        <w:rPr>
          <w:color w:val="231F20"/>
          <w:sz w:val="17"/>
        </w:rPr>
        <w:t>question.</w:t>
      </w:r>
    </w:p>
    <w:p>
      <w:pPr>
        <w:pStyle w:val="BodyText"/>
        <w:spacing w:line="218" w:lineRule="auto" w:before="85"/>
        <w:ind w:right="41"/>
      </w:pPr>
      <w:r>
        <w:rPr>
          <w:color w:val="231F20"/>
        </w:rPr>
        <w:t>Pour l’établissement de la déclaration non financière consolidée, la société s’appuie sur les référentiels européens et internationaux recon- nus. Elle indique dans la déclaration sur quel(s) référentiel(s) elle s’est appuyée.</w:t>
      </w:r>
    </w:p>
    <w:p>
      <w:pPr>
        <w:pStyle w:val="BodyText"/>
        <w:spacing w:line="218" w:lineRule="auto" w:before="86"/>
        <w:ind w:right="41"/>
      </w:pPr>
      <w:r>
        <w:rPr>
          <w:color w:val="231F20"/>
        </w:rPr>
        <w:t>Le Roi peut établir une liste de référentiels européens et internatio- naux et des procédures de diligence raisonnable sur lesquels la société peut s’appuyer.</w:t>
      </w:r>
    </w:p>
    <w:p>
      <w:pPr>
        <w:pStyle w:val="BodyText"/>
        <w:spacing w:line="218" w:lineRule="auto" w:before="85"/>
        <w:ind w:right="41"/>
      </w:pPr>
      <w:r>
        <w:rPr>
          <w:color w:val="231F20"/>
        </w:rPr>
        <w:t>La déclaration non financière consolidée contient, le cas échéant, également des renvois aux montants indiqués dans les comptes annuels et des explications supplémentaires y afférentes.</w:t>
      </w:r>
    </w:p>
    <w:p>
      <w:pPr>
        <w:pStyle w:val="BodyText"/>
        <w:ind w:left="0" w:right="0" w:firstLine="0"/>
        <w:jc w:val="left"/>
        <w:rPr>
          <w:sz w:val="23"/>
        </w:rPr>
      </w:pPr>
    </w:p>
    <w:p>
      <w:pPr>
        <w:pStyle w:val="BodyText"/>
        <w:spacing w:line="218" w:lineRule="auto"/>
        <w:ind w:right="41"/>
      </w:pPr>
      <w:r>
        <w:rPr>
          <w:color w:val="231F20"/>
        </w:rPr>
        <w:t>Lorsque le groupe n’applique pas de politique en ce qui concerne l’une ou plusieurs de ces questions, la déclaration non financière comprend une explication claire et motivée des raisons le justifiant.</w:t>
      </w:r>
    </w:p>
    <w:p>
      <w:pPr>
        <w:pStyle w:val="BodyText"/>
        <w:ind w:left="0" w:right="0" w:firstLine="0"/>
        <w:jc w:val="left"/>
        <w:rPr>
          <w:sz w:val="23"/>
        </w:rPr>
      </w:pPr>
    </w:p>
    <w:p>
      <w:pPr>
        <w:pStyle w:val="BodyText"/>
        <w:spacing w:line="218" w:lineRule="auto"/>
        <w:ind w:right="41"/>
      </w:pPr>
      <w:r>
        <w:rPr>
          <w:color w:val="231F20"/>
        </w:rPr>
        <w:t>Dans des cas exceptionnels, l’organe d’administration de la société mère peut décider d’omettre dans la déclaration des informations portant sur des évolutions imminentes ou des affaires en cours de négociation, lorsque, de l’avis dûment motivé de l’organe d’adminis- tration et au titre de la responsabilité collective de ses membres quant  à cet avis la publication de ces informations pourrait nuire gravement   à la position commerciale du groupe à condition que l’omission de ces informations ne fasse pas obstacle à une compréhension juste et équilibrée de l’évolution des affaires, des performances, de la situation 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et</w:t>
      </w:r>
      <w:r>
        <w:rPr>
          <w:color w:val="231F20"/>
          <w:spacing w:val="15"/>
        </w:rPr>
        <w:t> </w:t>
      </w:r>
      <w:r>
        <w:rPr>
          <w:color w:val="231F20"/>
        </w:rPr>
        <w:t>des</w:t>
      </w:r>
      <w:r>
        <w:rPr>
          <w:color w:val="231F20"/>
          <w:spacing w:val="15"/>
        </w:rPr>
        <w:t> </w:t>
      </w:r>
      <w:r>
        <w:rPr>
          <w:color w:val="231F20"/>
        </w:rPr>
        <w:t>incidences</w:t>
      </w:r>
      <w:r>
        <w:rPr>
          <w:color w:val="231F20"/>
          <w:spacing w:val="15"/>
        </w:rPr>
        <w:t> </w:t>
      </w:r>
      <w:r>
        <w:rPr>
          <w:color w:val="231F20"/>
        </w:rPr>
        <w:t>de</w:t>
      </w:r>
      <w:r>
        <w:rPr>
          <w:color w:val="231F20"/>
          <w:spacing w:val="15"/>
        </w:rPr>
        <w:t> </w:t>
      </w:r>
      <w:r>
        <w:rPr>
          <w:color w:val="231F20"/>
        </w:rPr>
        <w:t>son</w:t>
      </w:r>
      <w:r>
        <w:rPr>
          <w:color w:val="231F20"/>
          <w:spacing w:val="15"/>
        </w:rPr>
        <w:t> </w:t>
      </w:r>
      <w:r>
        <w:rPr>
          <w:color w:val="231F20"/>
        </w:rPr>
        <w:t>activité.</w:t>
      </w:r>
    </w:p>
    <w:p>
      <w:pPr>
        <w:pStyle w:val="BodyText"/>
        <w:spacing w:before="6"/>
        <w:ind w:left="0" w:right="0" w:firstLine="0"/>
        <w:jc w:val="left"/>
        <w:rPr>
          <w:sz w:val="23"/>
        </w:rPr>
      </w:pPr>
    </w:p>
    <w:p>
      <w:pPr>
        <w:pStyle w:val="BodyText"/>
        <w:spacing w:line="211" w:lineRule="auto"/>
        <w:ind w:right="41"/>
      </w:pPr>
      <w:r>
        <w:rPr>
          <w:color w:val="231F20"/>
        </w:rPr>
        <w:t>La société mère qui a établi et publié une déclaration non financière consolidée, est réputée avoir satisfait à l’obligation prévue dans paragraphe 1</w:t>
      </w:r>
      <w:r>
        <w:rPr>
          <w:color w:val="231F20"/>
          <w:position w:val="7"/>
          <w:sz w:val="11"/>
        </w:rPr>
        <w:t>er</w:t>
      </w:r>
      <w:r>
        <w:rPr>
          <w:color w:val="231F20"/>
        </w:rPr>
        <w:t>, 1°, alinéa 2.</w:t>
      </w:r>
    </w:p>
    <w:p>
      <w:pPr>
        <w:pStyle w:val="BodyText"/>
        <w:spacing w:before="8"/>
        <w:ind w:left="0" w:right="0" w:firstLine="0"/>
        <w:jc w:val="left"/>
        <w:rPr>
          <w:sz w:val="22"/>
        </w:rPr>
      </w:pPr>
    </w:p>
    <w:p>
      <w:pPr>
        <w:pStyle w:val="BodyText"/>
        <w:spacing w:line="218" w:lineRule="auto" w:before="1"/>
        <w:ind w:right="38"/>
      </w:pPr>
      <w:r>
        <w:rPr>
          <w:color w:val="231F20"/>
        </w:rPr>
        <w:t>La société mère qui est également une filiale visée à l’article 1:15, 2°, est exemptée des obligations prévues au présent paragraphe, lorsqu’elle et ses filiales sont comprises dans le rapport de gestion sur les comptes consolidés établi par la société mère conformément au présent paragra- phe.</w:t>
      </w:r>
    </w:p>
    <w:p>
      <w:pPr>
        <w:pStyle w:val="BodyText"/>
        <w:ind w:left="0" w:right="0" w:firstLine="0"/>
        <w:jc w:val="left"/>
        <w:rPr>
          <w:sz w:val="23"/>
        </w:rPr>
      </w:pPr>
    </w:p>
    <w:p>
      <w:pPr>
        <w:pStyle w:val="BodyText"/>
        <w:spacing w:line="218" w:lineRule="auto"/>
        <w:ind w:right="41"/>
      </w:pPr>
      <w:r>
        <w:rPr>
          <w:color w:val="231F20"/>
        </w:rPr>
        <w:t>La société mère qui a établi la déclaration non financière consolidée sur le même exercice dans un rapport distinct, est exemptée de l’obligation d’établir une déclaration non financière dans le rapport de gestion sur les comptes annuels consolidés. Dans ce cas, le rapport de gestion mentionne que la déclaration non financière est établie dans un rapport distinct. Ce rapport distinct est joint au rapport de gestion sur les comptes annuels consolidés.</w:t>
      </w:r>
    </w:p>
    <w:p>
      <w:pPr>
        <w:pStyle w:val="BodyText"/>
        <w:spacing w:before="9"/>
        <w:ind w:left="0" w:right="0" w:firstLine="0"/>
        <w:jc w:val="left"/>
        <w:rPr>
          <w:sz w:val="21"/>
        </w:rPr>
      </w:pPr>
    </w:p>
    <w:p>
      <w:pPr>
        <w:pStyle w:val="BodyText"/>
        <w:ind w:left="283" w:right="0" w:firstLine="0"/>
        <w:jc w:val="left"/>
      </w:pPr>
      <w:r>
        <w:rPr>
          <w:color w:val="231F20"/>
        </w:rPr>
        <w:t>Section 5. Rapport consolidé sur les paiements aux gouvernements.</w:t>
      </w:r>
    </w:p>
    <w:p>
      <w:pPr>
        <w:pStyle w:val="BodyText"/>
        <w:spacing w:line="218" w:lineRule="auto" w:before="93"/>
        <w:ind w:right="41"/>
      </w:pPr>
      <w:r>
        <w:rPr>
          <w:color w:val="231F20"/>
        </w:rPr>
        <w:t>Art. 3:33. </w:t>
      </w:r>
      <w:r>
        <w:rPr>
          <w:color w:val="231F20"/>
          <w:spacing w:val="-3"/>
        </w:rPr>
        <w:t>L’organe </w:t>
      </w:r>
      <w:r>
        <w:rPr>
          <w:color w:val="231F20"/>
        </w:rPr>
        <w:t>d’administration d’une société qui est tenue d’établir des comptes consolidés conformément aux articles 3:22  à  3:28 et qui est active dans les industries extractives ou l’exploitation</w:t>
      </w:r>
      <w:r>
        <w:rPr>
          <w:color w:val="231F20"/>
          <w:spacing w:val="-12"/>
        </w:rPr>
        <w:t> </w:t>
      </w:r>
      <w:r>
        <w:rPr>
          <w:color w:val="231F20"/>
        </w:rPr>
        <w:t>des forêts primaires au sens de l’article 3:7, est tenu d’établir chaque année un rapport consolidé sur les paiements effectués au profit de gouver- nements, dont la forme et le contenu sont définis par le Roi. Cette obligation s’applique également aux sociétés qui sont tenues d’établir des comptes consolidés  en  vertu  de  l’arrêté  royal  du  23  septem-  bre 1992 relatif aux comptes consolidés des établissements de crédit, des entreprises d’investissement et des sociétés de gestion d’organis- mes de placement collectif, ou en vertu de l’article 18 de l’arrêté royal du 26 septembre 2005 relatif au statut des organismes de liquidation et des</w:t>
      </w:r>
      <w:r>
        <w:rPr>
          <w:color w:val="231F20"/>
          <w:spacing w:val="15"/>
        </w:rPr>
        <w:t> </w:t>
      </w:r>
      <w:r>
        <w:rPr>
          <w:color w:val="231F20"/>
        </w:rPr>
        <w:t>organismes</w:t>
      </w:r>
      <w:r>
        <w:rPr>
          <w:color w:val="231F20"/>
          <w:spacing w:val="16"/>
        </w:rPr>
        <w:t> </w:t>
      </w:r>
      <w:r>
        <w:rPr>
          <w:color w:val="231F20"/>
        </w:rPr>
        <w:t>assimilés</w:t>
      </w:r>
      <w:r>
        <w:rPr>
          <w:color w:val="231F20"/>
          <w:spacing w:val="16"/>
        </w:rPr>
        <w:t> </w:t>
      </w:r>
      <w:r>
        <w:rPr>
          <w:color w:val="231F20"/>
        </w:rPr>
        <w:t>à</w:t>
      </w:r>
      <w:r>
        <w:rPr>
          <w:color w:val="231F20"/>
          <w:spacing w:val="15"/>
        </w:rPr>
        <w:t> </w:t>
      </w:r>
      <w:r>
        <w:rPr>
          <w:color w:val="231F20"/>
        </w:rPr>
        <w:t>des</w:t>
      </w:r>
      <w:r>
        <w:rPr>
          <w:color w:val="231F20"/>
          <w:spacing w:val="16"/>
        </w:rPr>
        <w:t> </w:t>
      </w:r>
      <w:r>
        <w:rPr>
          <w:color w:val="231F20"/>
        </w:rPr>
        <w:t>organismes</w:t>
      </w:r>
      <w:r>
        <w:rPr>
          <w:color w:val="231F20"/>
          <w:spacing w:val="16"/>
        </w:rPr>
        <w:t> </w:t>
      </w:r>
      <w:r>
        <w:rPr>
          <w:color w:val="231F20"/>
        </w:rPr>
        <w:t>de</w:t>
      </w:r>
      <w:r>
        <w:rPr>
          <w:color w:val="231F20"/>
          <w:spacing w:val="16"/>
        </w:rPr>
        <w:t> </w:t>
      </w:r>
      <w:r>
        <w:rPr>
          <w:color w:val="231F20"/>
        </w:rPr>
        <w:t>liquidation.</w:t>
      </w:r>
    </w:p>
    <w:p>
      <w:pPr>
        <w:pStyle w:val="BodyText"/>
        <w:spacing w:line="218" w:lineRule="auto" w:before="119"/>
      </w:pPr>
      <w:r>
        <w:rPr/>
        <w:br w:type="column"/>
      </w:r>
      <w:r>
        <w:rPr>
          <w:color w:val="231F20"/>
        </w:rPr>
        <w:t>In de mate waarin zulks noodzakelijk is voor een goed begrip van de ontwikkeling, de resultaten en de positie van de groep evenals van de effecten van zijn activiteiten die minstens betrekking heeft op de sociale, de personeels- en milieu-aangelegenheden, de eerbiediging van mensenrechten en de bestrijding van corruptie en omkoping, bevat het in paragraaf 1 bedoelde jaarverslag over de geconsolideerde rekening, een</w:t>
      </w:r>
      <w:r>
        <w:rPr>
          <w:color w:val="231F20"/>
          <w:spacing w:val="15"/>
        </w:rPr>
        <w:t> </w:t>
      </w:r>
      <w:r>
        <w:rPr>
          <w:color w:val="231F20"/>
        </w:rPr>
        <w:t>verklaring</w:t>
      </w:r>
      <w:r>
        <w:rPr>
          <w:color w:val="231F20"/>
          <w:spacing w:val="16"/>
        </w:rPr>
        <w:t> </w:t>
      </w:r>
      <w:r>
        <w:rPr>
          <w:color w:val="231F20"/>
        </w:rPr>
        <w:t>met</w:t>
      </w:r>
      <w:r>
        <w:rPr>
          <w:color w:val="231F20"/>
          <w:spacing w:val="16"/>
        </w:rPr>
        <w:t> </w:t>
      </w:r>
      <w:r>
        <w:rPr>
          <w:color w:val="231F20"/>
        </w:rPr>
        <w:t>de</w:t>
      </w:r>
      <w:r>
        <w:rPr>
          <w:color w:val="231F20"/>
          <w:spacing w:val="16"/>
        </w:rPr>
        <w:t> </w:t>
      </w:r>
      <w:r>
        <w:rPr>
          <w:color w:val="231F20"/>
        </w:rPr>
        <w:t>volgende</w:t>
      </w:r>
      <w:r>
        <w:rPr>
          <w:color w:val="231F20"/>
          <w:spacing w:val="15"/>
        </w:rPr>
        <w:t> </w:t>
      </w:r>
      <w:r>
        <w:rPr>
          <w:color w:val="231F20"/>
        </w:rPr>
        <w:t>informatie:</w:t>
      </w:r>
    </w:p>
    <w:p>
      <w:pPr>
        <w:pStyle w:val="ListParagraph"/>
        <w:numPr>
          <w:ilvl w:val="0"/>
          <w:numId w:val="70"/>
        </w:numPr>
        <w:tabs>
          <w:tab w:pos="473" w:val="left" w:leader="none"/>
        </w:tabs>
        <w:spacing w:line="240" w:lineRule="auto" w:before="70" w:after="0"/>
        <w:ind w:left="113" w:right="0" w:firstLine="170"/>
        <w:jc w:val="left"/>
        <w:rPr>
          <w:sz w:val="17"/>
        </w:rPr>
      </w:pPr>
      <w:r>
        <w:rPr>
          <w:color w:val="231F20"/>
          <w:sz w:val="17"/>
        </w:rPr>
        <w:t>een</w:t>
      </w:r>
      <w:r>
        <w:rPr>
          <w:color w:val="231F20"/>
          <w:spacing w:val="16"/>
          <w:sz w:val="17"/>
        </w:rPr>
        <w:t> </w:t>
      </w:r>
      <w:r>
        <w:rPr>
          <w:color w:val="231F20"/>
          <w:sz w:val="17"/>
        </w:rPr>
        <w:t>korte</w:t>
      </w:r>
      <w:r>
        <w:rPr>
          <w:color w:val="231F20"/>
          <w:spacing w:val="16"/>
          <w:sz w:val="17"/>
        </w:rPr>
        <w:t> </w:t>
      </w:r>
      <w:r>
        <w:rPr>
          <w:color w:val="231F20"/>
          <w:sz w:val="17"/>
        </w:rPr>
        <w:t>beschrijving</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7"/>
          <w:sz w:val="17"/>
        </w:rPr>
        <w:t> </w:t>
      </w:r>
      <w:r>
        <w:rPr>
          <w:color w:val="231F20"/>
          <w:sz w:val="17"/>
        </w:rPr>
        <w:t>activiteiten</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groep;</w:t>
      </w:r>
    </w:p>
    <w:p>
      <w:pPr>
        <w:pStyle w:val="ListParagraph"/>
        <w:numPr>
          <w:ilvl w:val="0"/>
          <w:numId w:val="70"/>
        </w:numPr>
        <w:tabs>
          <w:tab w:pos="514" w:val="left" w:leader="none"/>
        </w:tabs>
        <w:spacing w:line="218" w:lineRule="auto" w:before="79" w:after="0"/>
        <w:ind w:left="113" w:right="124" w:firstLine="170"/>
        <w:jc w:val="both"/>
        <w:rPr>
          <w:sz w:val="17"/>
        </w:rPr>
      </w:pPr>
      <w:r>
        <w:rPr>
          <w:color w:val="231F20"/>
          <w:sz w:val="17"/>
        </w:rPr>
        <w:t>een beschrijving van het door de groep gevoerde beleid met betrekking tot deze aangelegenheden, waaronder de toegepaste zorg- vuldigheidsprocedures;</w:t>
      </w:r>
    </w:p>
    <w:p>
      <w:pPr>
        <w:pStyle w:val="ListParagraph"/>
        <w:numPr>
          <w:ilvl w:val="0"/>
          <w:numId w:val="70"/>
        </w:numPr>
        <w:tabs>
          <w:tab w:pos="467" w:val="left" w:leader="none"/>
        </w:tabs>
        <w:spacing w:line="240" w:lineRule="auto" w:before="69" w:after="0"/>
        <w:ind w:left="466" w:right="0" w:hanging="183"/>
        <w:jc w:val="left"/>
        <w:rPr>
          <w:sz w:val="17"/>
        </w:rPr>
      </w:pPr>
      <w:r>
        <w:rPr>
          <w:color w:val="231F20"/>
          <w:sz w:val="17"/>
        </w:rPr>
        <w:t>de resultaten van dit</w:t>
      </w:r>
      <w:r>
        <w:rPr>
          <w:color w:val="231F20"/>
          <w:spacing w:val="19"/>
          <w:sz w:val="17"/>
        </w:rPr>
        <w:t> </w:t>
      </w:r>
      <w:r>
        <w:rPr>
          <w:color w:val="231F20"/>
          <w:sz w:val="17"/>
        </w:rPr>
        <w:t>beleid;</w:t>
      </w:r>
    </w:p>
    <w:p>
      <w:pPr>
        <w:pStyle w:val="ListParagraph"/>
        <w:numPr>
          <w:ilvl w:val="0"/>
          <w:numId w:val="70"/>
        </w:numPr>
        <w:tabs>
          <w:tab w:pos="484" w:val="left" w:leader="none"/>
        </w:tabs>
        <w:spacing w:line="218" w:lineRule="auto" w:before="79" w:after="0"/>
        <w:ind w:left="113" w:right="124" w:firstLine="170"/>
        <w:jc w:val="both"/>
        <w:rPr>
          <w:sz w:val="17"/>
        </w:rPr>
      </w:pPr>
      <w:r>
        <w:rPr>
          <w:color w:val="231F20"/>
          <w:sz w:val="17"/>
        </w:rPr>
        <w:t>de voornaamste risico’s verbonden aan deze aangelegenheden in verband met de bedrijfsactiviteiten van de groep, waaronder, waar relevant en evenredig, zijn zakelijke betrekkingen, producten of diensten die deze gebieden mogelijk negatief kunnen beïnvloeden, en hoe</w:t>
      </w:r>
      <w:r>
        <w:rPr>
          <w:color w:val="231F20"/>
          <w:spacing w:val="15"/>
          <w:sz w:val="17"/>
        </w:rPr>
        <w:t> </w:t>
      </w:r>
      <w:r>
        <w:rPr>
          <w:color w:val="231F20"/>
          <w:sz w:val="17"/>
        </w:rPr>
        <w:t>de</w:t>
      </w:r>
      <w:r>
        <w:rPr>
          <w:color w:val="231F20"/>
          <w:spacing w:val="15"/>
          <w:sz w:val="17"/>
        </w:rPr>
        <w:t> </w:t>
      </w:r>
      <w:r>
        <w:rPr>
          <w:color w:val="231F20"/>
          <w:sz w:val="17"/>
        </w:rPr>
        <w:t>groep</w:t>
      </w:r>
      <w:r>
        <w:rPr>
          <w:color w:val="231F20"/>
          <w:spacing w:val="15"/>
          <w:sz w:val="17"/>
        </w:rPr>
        <w:t> </w:t>
      </w:r>
      <w:r>
        <w:rPr>
          <w:color w:val="231F20"/>
          <w:sz w:val="17"/>
        </w:rPr>
        <w:t>deze</w:t>
      </w:r>
      <w:r>
        <w:rPr>
          <w:color w:val="231F20"/>
          <w:spacing w:val="16"/>
          <w:sz w:val="17"/>
        </w:rPr>
        <w:t> </w:t>
      </w:r>
      <w:r>
        <w:rPr>
          <w:color w:val="231F20"/>
          <w:sz w:val="17"/>
        </w:rPr>
        <w:t>risico’s</w:t>
      </w:r>
      <w:r>
        <w:rPr>
          <w:color w:val="231F20"/>
          <w:spacing w:val="15"/>
          <w:sz w:val="17"/>
        </w:rPr>
        <w:t> </w:t>
      </w:r>
      <w:r>
        <w:rPr>
          <w:color w:val="231F20"/>
          <w:sz w:val="17"/>
        </w:rPr>
        <w:t>beheert;</w:t>
      </w:r>
    </w:p>
    <w:p>
      <w:pPr>
        <w:pStyle w:val="ListParagraph"/>
        <w:numPr>
          <w:ilvl w:val="0"/>
          <w:numId w:val="70"/>
        </w:numPr>
        <w:tabs>
          <w:tab w:pos="481" w:val="left" w:leader="none"/>
        </w:tabs>
        <w:spacing w:line="218" w:lineRule="auto" w:before="83" w:after="0"/>
        <w:ind w:left="113" w:right="124" w:firstLine="170"/>
        <w:jc w:val="both"/>
        <w:rPr>
          <w:sz w:val="17"/>
        </w:rPr>
      </w:pPr>
      <w:r>
        <w:rPr>
          <w:color w:val="231F20"/>
          <w:sz w:val="17"/>
        </w:rPr>
        <w:t>niet-financiële essentiële prestatie-indicatoren voor de specifieke bedrijfsactiviteiten.</w:t>
      </w:r>
    </w:p>
    <w:p>
      <w:pPr>
        <w:pStyle w:val="BodyText"/>
        <w:spacing w:line="218" w:lineRule="auto" w:before="86"/>
      </w:pPr>
      <w:r>
        <w:rPr>
          <w:color w:val="231F20"/>
        </w:rPr>
        <w:t>Voor de opmaak van de geconsolideerde verklaring van niet- financiële informatie steunt de vennootschap op Europese en interna- tionaal erkende referentiemodellen. Zij vermeldt in de verklaring op welk model zij heeft gesteund.</w:t>
      </w:r>
    </w:p>
    <w:p>
      <w:pPr>
        <w:pStyle w:val="BodyText"/>
        <w:spacing w:line="218" w:lineRule="auto" w:before="85"/>
      </w:pPr>
      <w:r>
        <w:rPr>
          <w:color w:val="231F20"/>
        </w:rPr>
        <w:t>De Koning kan een lijst opmaken met de Europese en internationale referentiemodellen en de zorgvuldigheidsprocedures waarop de ven- nootschap mag steunen.</w:t>
      </w:r>
    </w:p>
    <w:p>
      <w:pPr>
        <w:pStyle w:val="BodyText"/>
        <w:spacing w:line="218" w:lineRule="auto" w:before="86"/>
      </w:pPr>
      <w:r>
        <w:rPr>
          <w:color w:val="231F20"/>
        </w:rPr>
        <w:t>Waar dit passend wordt geacht, bevat de geconsolideerde verklaring van niet-financiële informatie tevens de relevante verwijzingen naar en aanvullende uitleg over de financiële bedragen in de geconsolideerde jaarrekeningen.</w:t>
      </w:r>
    </w:p>
    <w:p>
      <w:pPr>
        <w:pStyle w:val="BodyText"/>
        <w:spacing w:line="218" w:lineRule="auto" w:before="85"/>
        <w:ind w:right="125"/>
      </w:pPr>
      <w:r>
        <w:rPr>
          <w:color w:val="231F20"/>
        </w:rPr>
        <w:t>Wanneer de groep geen beleid voert met betrekking tot één of meerdere van deze aangelegenheden, bevat de geconsolideerde verkla- ring van niet-financiële informatie een duidelijke en gemotiveerde toelichting waarom zij dit niet doet.</w:t>
      </w:r>
    </w:p>
    <w:p>
      <w:pPr>
        <w:pStyle w:val="BodyText"/>
        <w:spacing w:line="218" w:lineRule="auto" w:before="86"/>
      </w:pPr>
      <w:r>
        <w:rPr>
          <w:color w:val="231F20"/>
        </w:rPr>
        <w:t>In uitzonderlijke gevallen kan het bestuursorgaan van de moeder- vennootschap beslissen om informatie betreffende ophanden zijnde ontwikkelingen of zaken waarover wordt onderhandeld niet op te nemen in de verklaring, indien de bekendmaking van deze informatie naar de behoorlijk gerechtvaardigde opvatting van het bestuursorgaan en met de collectieve verantwoordelijkheid van de leden ervan voor dit standpunt ernstige schade zou berokkenen aan de commerciële positie van de groep, mits het weglaten van deze informatie een getrouw beeld en evenwichtig begrip van de ontwikkeling, de resultaten en de positie van de vennootschap evenals van de effecten van haar activiteiten niet in de weg staat.</w:t>
      </w:r>
    </w:p>
    <w:p>
      <w:pPr>
        <w:pStyle w:val="BodyText"/>
        <w:spacing w:line="218" w:lineRule="auto" w:before="86"/>
      </w:pPr>
      <w:r>
        <w:rPr>
          <w:color w:val="231F20"/>
        </w:rPr>
        <w:t>De moedervennootschap die een geconsolideerde verklaring van niet-financiële informatie heeft opgesteld en openbaar gemaakt, wordt geacht te hebben voldaan aan de in paragraaf 1, 1°, tweede lid, opgenomen verplichting.</w:t>
      </w:r>
    </w:p>
    <w:p>
      <w:pPr>
        <w:pStyle w:val="BodyText"/>
        <w:spacing w:line="218" w:lineRule="auto" w:before="86"/>
      </w:pPr>
      <w:r>
        <w:rPr>
          <w:color w:val="231F20"/>
        </w:rPr>
        <w:t>De moedervennootschap die tevens een dochtervennootschap is als bedoeld in artikel 1:15, 2°, wordt vrijgesteld van de verplichtingen onder deze paragraaf wanneer zij en haar dochtervennootschappen al in het jaarverslag over de geconsolideerde jaarrekening zijn opgeno- men, dat de moedervennootschap overeenkomstig deze paragraaf heeft opgesteld.</w:t>
      </w:r>
    </w:p>
    <w:p>
      <w:pPr>
        <w:pStyle w:val="BodyText"/>
        <w:spacing w:line="218" w:lineRule="auto" w:before="86"/>
      </w:pPr>
      <w:r>
        <w:rPr>
          <w:color w:val="231F20"/>
        </w:rPr>
        <w:t>De moedervennootschap die de geconsolideerde niet-financiële ver- klaring over hetzelfde boekjaar in een afzonderlijk verslag heeft opgemaakt, wordt vrijgesteld van de verplichting om een</w:t>
      </w:r>
      <w:r>
        <w:rPr>
          <w:color w:val="231F20"/>
          <w:spacing w:val="26"/>
        </w:rPr>
        <w:t> </w:t>
      </w:r>
      <w:r>
        <w:rPr>
          <w:color w:val="231F20"/>
        </w:rPr>
        <w:t>verklaring van niet-financiële informatie in het jaarverslag over de geconsoli- deerde jaarrekening op te stellen. Het jaarverslag vermeldt in dit geval dat de verklaring van niet-financiële informatie in een afzonderlijk verslag is opgemaakt. Dit afzonderlijk verslag wordt als bijlage bij het jaarverslag</w:t>
      </w:r>
      <w:r>
        <w:rPr>
          <w:color w:val="231F20"/>
          <w:spacing w:val="17"/>
        </w:rPr>
        <w:t> </w:t>
      </w:r>
      <w:r>
        <w:rPr>
          <w:color w:val="231F20"/>
        </w:rPr>
        <w:t>over</w:t>
      </w:r>
      <w:r>
        <w:rPr>
          <w:color w:val="231F20"/>
          <w:spacing w:val="18"/>
        </w:rPr>
        <w:t> </w:t>
      </w:r>
      <w:r>
        <w:rPr>
          <w:color w:val="231F20"/>
        </w:rPr>
        <w:t>de</w:t>
      </w:r>
      <w:r>
        <w:rPr>
          <w:color w:val="231F20"/>
          <w:spacing w:val="17"/>
        </w:rPr>
        <w:t> </w:t>
      </w:r>
      <w:r>
        <w:rPr>
          <w:color w:val="231F20"/>
        </w:rPr>
        <w:t>geconsolideerde</w:t>
      </w:r>
      <w:r>
        <w:rPr>
          <w:color w:val="231F20"/>
          <w:spacing w:val="18"/>
        </w:rPr>
        <w:t> </w:t>
      </w:r>
      <w:r>
        <w:rPr>
          <w:color w:val="231F20"/>
        </w:rPr>
        <w:t>jaarrekening</w:t>
      </w:r>
      <w:r>
        <w:rPr>
          <w:color w:val="231F20"/>
          <w:spacing w:val="18"/>
        </w:rPr>
        <w:t> </w:t>
      </w:r>
      <w:r>
        <w:rPr>
          <w:color w:val="231F20"/>
        </w:rPr>
        <w:t>gevoegd.</w:t>
      </w:r>
    </w:p>
    <w:p>
      <w:pPr>
        <w:pStyle w:val="BodyText"/>
        <w:spacing w:before="72"/>
        <w:ind w:left="283" w:right="0" w:firstLine="0"/>
        <w:jc w:val="left"/>
      </w:pPr>
      <w:r>
        <w:rPr>
          <w:color w:val="231F20"/>
        </w:rPr>
        <w:t>Afdeling 5. Geconsolideerd verslag van betalingen aan overheden.</w:t>
      </w:r>
    </w:p>
    <w:p>
      <w:pPr>
        <w:pStyle w:val="BodyText"/>
        <w:spacing w:line="218" w:lineRule="auto" w:before="92"/>
        <w:ind w:right="118"/>
      </w:pPr>
      <w:r>
        <w:rPr>
          <w:color w:val="231F20"/>
        </w:rPr>
        <w:t>Art. 3:33. Het bestuursorgaan van een vennootschap die verplicht is om een geconsolideerde jaarrekening op te stellen overeenkomstig artikel 3:22 tot 3:28 en die actief is in de winningsindustrie of de houtkap van oerbossen als bedoeld in artikel 3:7, stelt elk jaar een geconsolideerd verslag van betalingen aan overheden op waarvan de Koning de vorm en de inhoud bepaalt. Deze verplichting  geldt eveneens voor vennootschappen die op grond van het koninklijk  besluit van 23 september 1992 op de geconsolideerde jaarrekening van de kredietinstellingen, de beleggingsondernemingen en de beheerven- nootschappen van instellingen voor collectieve belegging, of op grond </w:t>
      </w:r>
      <w:r>
        <w:rPr>
          <w:color w:val="231F20"/>
          <w:spacing w:val="5"/>
        </w:rPr>
        <w:t>van  </w:t>
      </w:r>
      <w:r>
        <w:rPr>
          <w:color w:val="231F20"/>
          <w:spacing w:val="6"/>
        </w:rPr>
        <w:t>artikel  </w:t>
      </w:r>
      <w:r>
        <w:rPr>
          <w:color w:val="231F20"/>
          <w:spacing w:val="4"/>
        </w:rPr>
        <w:t>18  </w:t>
      </w:r>
      <w:r>
        <w:rPr>
          <w:color w:val="231F20"/>
          <w:spacing w:val="5"/>
        </w:rPr>
        <w:t>van  het  </w:t>
      </w:r>
      <w:r>
        <w:rPr>
          <w:color w:val="231F20"/>
          <w:spacing w:val="7"/>
        </w:rPr>
        <w:t>koninklijk   </w:t>
      </w:r>
      <w:r>
        <w:rPr>
          <w:color w:val="231F20"/>
          <w:spacing w:val="6"/>
        </w:rPr>
        <w:t>besluit   </w:t>
      </w:r>
      <w:r>
        <w:rPr>
          <w:color w:val="231F20"/>
          <w:spacing w:val="5"/>
        </w:rPr>
        <w:t>van   </w:t>
      </w:r>
      <w:r>
        <w:rPr>
          <w:color w:val="231F20"/>
          <w:spacing w:val="4"/>
        </w:rPr>
        <w:t>26   </w:t>
      </w:r>
      <w:r>
        <w:rPr>
          <w:color w:val="231F20"/>
          <w:spacing w:val="8"/>
        </w:rPr>
        <w:t>septem-  </w:t>
      </w:r>
      <w:r>
        <w:rPr>
          <w:color w:val="231F20"/>
        </w:rPr>
        <w:t>ber 2005 houdende het statuut van de vereffeningsinstellingen en de met deze instellingen gelijkgestelde instellingen, verplicht zijn een geconsolideerde jaarrekening op te</w:t>
      </w:r>
      <w:r>
        <w:rPr>
          <w:color w:val="231F20"/>
          <w:spacing w:val="18"/>
        </w:rPr>
        <w:t> </w:t>
      </w:r>
      <w:r>
        <w:rPr>
          <w:color w:val="231F20"/>
        </w:rPr>
        <w:t>stellen.</w:t>
      </w:r>
    </w:p>
    <w:p>
      <w:pPr>
        <w:spacing w:after="0" w:line="218" w:lineRule="auto"/>
        <w:sectPr>
          <w:headerReference w:type="even" r:id="rId31"/>
          <w:headerReference w:type="default" r:id="rId32"/>
          <w:pgSz w:w="11940" w:h="16880"/>
          <w:pgMar w:header="666" w:footer="0" w:top="1140" w:bottom="280" w:left="340" w:right="360"/>
          <w:cols w:num="2" w:equalWidth="0">
            <w:col w:w="5530" w:space="97"/>
            <w:col w:w="5613"/>
          </w:cols>
        </w:sectPr>
      </w:pPr>
    </w:p>
    <w:p>
      <w:pPr>
        <w:pStyle w:val="BodyText"/>
        <w:spacing w:line="218" w:lineRule="auto" w:before="120"/>
        <w:ind w:right="38"/>
      </w:pPr>
      <w:r>
        <w:rPr/>
        <w:pict>
          <v:line style="position:absolute;mso-position-horizontal-relative:page;mso-position-vertical-relative:page;z-index:2512" from="298.170502pt,64.473pt" to="298.170502pt,812.819pt" stroked="true" strokeweight=".533pt" strokecolor="#231f20">
            <v:stroke dashstyle="solid"/>
            <w10:wrap type="none"/>
          </v:line>
        </w:pict>
      </w:r>
      <w:bookmarkStart w:name="_bookmark62" w:id="66"/>
      <w:bookmarkEnd w:id="66"/>
      <w:r>
        <w:rPr/>
      </w:r>
      <w:r>
        <w:rPr>
          <w:color w:val="231F20"/>
        </w:rPr>
        <w:t>Art. 3:34. Le rapport visé à l’article 3:33 est déposé par l’organe d’administration à la Banque nationale de Belgique en même temps</w:t>
      </w:r>
      <w:r>
        <w:rPr>
          <w:color w:val="231F20"/>
          <w:spacing w:val="-11"/>
        </w:rPr>
        <w:t> </w:t>
      </w:r>
      <w:r>
        <w:rPr>
          <w:color w:val="231F20"/>
        </w:rPr>
        <w:t>que les comptes</w:t>
      </w:r>
      <w:r>
        <w:rPr>
          <w:color w:val="231F20"/>
          <w:spacing w:val="-11"/>
        </w:rPr>
        <w:t> </w:t>
      </w:r>
      <w:r>
        <w:rPr>
          <w:color w:val="231F20"/>
        </w:rPr>
        <w:t>consolidés.</w:t>
      </w:r>
    </w:p>
    <w:p>
      <w:pPr>
        <w:pStyle w:val="BodyText"/>
        <w:spacing w:before="71"/>
        <w:ind w:left="283" w:right="0" w:firstLine="0"/>
        <w:jc w:val="left"/>
      </w:pPr>
      <w:r>
        <w:rPr>
          <w:color w:val="231F20"/>
        </w:rPr>
        <w:t>Section 6. Prescriptions en matière de publicité.</w:t>
      </w:r>
    </w:p>
    <w:p>
      <w:pPr>
        <w:pStyle w:val="BodyText"/>
        <w:spacing w:line="218" w:lineRule="auto" w:before="82"/>
        <w:ind w:right="38"/>
      </w:pPr>
      <w:r>
        <w:rPr>
          <w:color w:val="231F20"/>
        </w:rPr>
        <w:t>Art. 3:35. Les comptes consolidés ainsi que le rapport sur les comptes consolidés sont mis à la disposition des associés ou actionnaires de la société consolidante dans les mêmes conditions et dans les mêmes délais que les comptes annuels. Ces documents sont communiqués à l’assemblée générale et sont publiés dans les mêmes délais que les comptes annuels.</w:t>
      </w:r>
    </w:p>
    <w:p>
      <w:pPr>
        <w:pStyle w:val="BodyText"/>
        <w:spacing w:before="8"/>
        <w:ind w:left="0" w:right="0" w:firstLine="0"/>
        <w:jc w:val="left"/>
        <w:rPr>
          <w:sz w:val="21"/>
        </w:rPr>
      </w:pPr>
    </w:p>
    <w:p>
      <w:pPr>
        <w:pStyle w:val="BodyText"/>
        <w:spacing w:line="218" w:lineRule="auto"/>
        <w:ind w:right="38"/>
      </w:pPr>
      <w:r>
        <w:rPr>
          <w:color w:val="231F20"/>
        </w:rPr>
        <w:t>Il peut être dérogé à l’alinéa 1</w:t>
      </w:r>
      <w:r>
        <w:rPr>
          <w:color w:val="231F20"/>
          <w:position w:val="7"/>
          <w:sz w:val="11"/>
        </w:rPr>
        <w:t>er </w:t>
      </w:r>
      <w:r>
        <w:rPr>
          <w:color w:val="231F20"/>
        </w:rPr>
        <w:t>au cas où les comptes consolidés ne sont pas arrêtés à la même date que les comptes annuels afin de tenir compte de la date de clôture des comptes des sociétés les plus nombreuses ou les plus importantes comprises dans la consolidation. Dans ce cas, les comptes consolidés ainsi que les rapports consolidés doivent être tenus à la disposition des associés ou actionnaires et publiés au plus tard sept mois après la date de clôture.</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rPr>
        <w:t>Art. 3:36. Les articles 2:33, 3:12, § 1</w:t>
      </w:r>
      <w:r>
        <w:rPr>
          <w:color w:val="231F20"/>
          <w:position w:val="7"/>
          <w:sz w:val="11"/>
        </w:rPr>
        <w:t>er</w:t>
      </w:r>
      <w:r>
        <w:rPr>
          <w:color w:val="231F20"/>
        </w:rPr>
        <w:t>, 1°, et 3:13 à 3:18, ainsi que les arrêtés pris pour leur exécution, sont applicables aux comptes consoli- dés et aux rapports sur les comptes consolidés.</w:t>
      </w:r>
    </w:p>
    <w:p>
      <w:pPr>
        <w:pStyle w:val="BodyText"/>
        <w:ind w:left="0" w:right="0" w:firstLine="0"/>
        <w:jc w:val="left"/>
        <w:rPr>
          <w:sz w:val="23"/>
        </w:rPr>
      </w:pPr>
    </w:p>
    <w:p>
      <w:pPr>
        <w:pStyle w:val="BodyText"/>
        <w:spacing w:line="218" w:lineRule="auto"/>
        <w:ind w:right="38"/>
      </w:pPr>
      <w:r>
        <w:rPr>
          <w:color w:val="231F20"/>
        </w:rPr>
        <w:t>Pour l’application de l’article 3:14, alinéa 3, le dossier visé est celui de la société consolidante.</w:t>
      </w:r>
    </w:p>
    <w:p>
      <w:pPr>
        <w:pStyle w:val="BodyText"/>
        <w:spacing w:line="216" w:lineRule="auto" w:before="98"/>
        <w:ind w:right="38"/>
      </w:pPr>
      <w:r>
        <w:rPr>
          <w:color w:val="231F20"/>
        </w:rPr>
        <w:t>Les comptes consolidés peuvent, en plus de la publication imposée par l’alinéa 1</w:t>
      </w:r>
      <w:r>
        <w:rPr>
          <w:color w:val="231F20"/>
          <w:position w:val="7"/>
          <w:sz w:val="11"/>
        </w:rPr>
        <w:t>er</w:t>
      </w:r>
      <w:r>
        <w:rPr>
          <w:color w:val="231F20"/>
        </w:rPr>
        <w:t>, dans la monnaie dans laquelle ils sont établis, être publiés dans la monnaie d’un État membre de l’Organisation pour la coopération et le développement économiques, en utilisant le cours de conversion à la date de clôture du bilan consolidé. Ce cours est indiqué dans l’annexe.</w:t>
      </w:r>
    </w:p>
    <w:p>
      <w:pPr>
        <w:pStyle w:val="BodyText"/>
        <w:spacing w:before="6"/>
        <w:ind w:left="0" w:right="0" w:firstLine="0"/>
        <w:jc w:val="left"/>
        <w:rPr>
          <w:sz w:val="23"/>
        </w:rPr>
      </w:pPr>
    </w:p>
    <w:p>
      <w:pPr>
        <w:pStyle w:val="BodyText"/>
        <w:spacing w:line="218" w:lineRule="auto"/>
        <w:ind w:right="38"/>
      </w:pPr>
      <w:r>
        <w:rPr>
          <w:color w:val="231F20"/>
        </w:rPr>
        <w:t>CHAPITRE 3. Arrêtés royaux d’exécution du présent titre et excep- tions.</w:t>
      </w:r>
    </w:p>
    <w:p>
      <w:pPr>
        <w:pStyle w:val="BodyText"/>
        <w:spacing w:line="218" w:lineRule="auto" w:before="96"/>
        <w:ind w:right="38"/>
      </w:pPr>
      <w:r>
        <w:rPr>
          <w:color w:val="231F20"/>
        </w:rPr>
        <w:t>Art. 3:37. Le Roi peut adapter et compléter les règles relatives à la forme et au contenu des comptes annuels arrêtées en application de l’article 3:1 selon les branches d’activités ou secteurs économiques.</w:t>
      </w:r>
    </w:p>
    <w:p>
      <w:pPr>
        <w:pStyle w:val="BodyText"/>
        <w:spacing w:before="11"/>
        <w:ind w:left="0" w:right="0" w:firstLine="0"/>
        <w:jc w:val="left"/>
        <w:rPr>
          <w:sz w:val="23"/>
        </w:rPr>
      </w:pPr>
    </w:p>
    <w:p>
      <w:pPr>
        <w:pStyle w:val="BodyText"/>
        <w:spacing w:line="218" w:lineRule="auto"/>
        <w:ind w:right="38"/>
      </w:pPr>
      <w:r>
        <w:rPr>
          <w:color w:val="231F20"/>
        </w:rPr>
        <w:t>Le Roi peut, en ce qui concerne les sociétés qui ne dépassent pas une certaine taille qu’Il définit, adapter et compléter les règles relatives à la forme et aux contenu des comptes annuels arrêtées en vertu  de  l’article 3:1, ou prévoir l’exemption de ces sociétés de tout ou partie de ces règles. Ces adaptations, ajouts et exemptions peuvent varier selon l’objet</w:t>
      </w:r>
      <w:r>
        <w:rPr>
          <w:color w:val="231F20"/>
          <w:spacing w:val="15"/>
        </w:rPr>
        <w:t> </w:t>
      </w:r>
      <w:r>
        <w:rPr>
          <w:color w:val="231F20"/>
        </w:rPr>
        <w:t>des</w:t>
      </w:r>
      <w:r>
        <w:rPr>
          <w:color w:val="231F20"/>
          <w:spacing w:val="15"/>
        </w:rPr>
        <w:t> </w:t>
      </w:r>
      <w:r>
        <w:rPr>
          <w:color w:val="231F20"/>
        </w:rPr>
        <w:t>arrêtés</w:t>
      </w:r>
      <w:r>
        <w:rPr>
          <w:color w:val="231F20"/>
          <w:spacing w:val="15"/>
        </w:rPr>
        <w:t> </w:t>
      </w:r>
      <w:r>
        <w:rPr>
          <w:color w:val="231F20"/>
        </w:rPr>
        <w:t>susvisés</w:t>
      </w:r>
      <w:r>
        <w:rPr>
          <w:color w:val="231F20"/>
          <w:spacing w:val="15"/>
        </w:rPr>
        <w:t> </w:t>
      </w:r>
      <w:r>
        <w:rPr>
          <w:color w:val="231F20"/>
        </w:rPr>
        <w:t>et</w:t>
      </w:r>
      <w:r>
        <w:rPr>
          <w:color w:val="231F20"/>
          <w:spacing w:val="16"/>
        </w:rPr>
        <w:t> </w:t>
      </w:r>
      <w:r>
        <w:rPr>
          <w:color w:val="231F20"/>
        </w:rPr>
        <w:t>selon</w:t>
      </w:r>
      <w:r>
        <w:rPr>
          <w:color w:val="231F20"/>
          <w:spacing w:val="15"/>
        </w:rPr>
        <w:t> </w:t>
      </w:r>
      <w:r>
        <w:rPr>
          <w:color w:val="231F20"/>
        </w:rPr>
        <w:t>la</w:t>
      </w:r>
      <w:r>
        <w:rPr>
          <w:color w:val="231F20"/>
          <w:spacing w:val="15"/>
        </w:rPr>
        <w:t> </w:t>
      </w:r>
      <w:r>
        <w:rPr>
          <w:color w:val="231F20"/>
        </w:rPr>
        <w:t>forme</w:t>
      </w:r>
      <w:r>
        <w:rPr>
          <w:color w:val="231F20"/>
          <w:spacing w:val="15"/>
        </w:rPr>
        <w:t> </w:t>
      </w:r>
      <w:r>
        <w:rPr>
          <w:color w:val="231F20"/>
        </w:rPr>
        <w:t>légale</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société.</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Art. 3:38. Le Roi peut adapter et compléter les règles qu’Il définit relatives à la forme et au contenu du rapport sur les paiements aux gouvernements arrêtées en application de l’article 3:8 et les règles relatives à la forme et au contenu du rapport consolidé sur les paiements  aux  gouvernements  arrêtées  en   application   de   l’arti-  cle</w:t>
      </w:r>
      <w:r>
        <w:rPr>
          <w:color w:val="231F20"/>
          <w:spacing w:val="13"/>
        </w:rPr>
        <w:t> </w:t>
      </w:r>
      <w:r>
        <w:rPr>
          <w:color w:val="231F20"/>
        </w:rPr>
        <w:t>3:33</w:t>
      </w:r>
      <w:r>
        <w:rPr>
          <w:color w:val="231F20"/>
          <w:spacing w:val="13"/>
        </w:rPr>
        <w:t> </w:t>
      </w:r>
      <w:r>
        <w:rPr>
          <w:color w:val="231F20"/>
        </w:rPr>
        <w:t>selon</w:t>
      </w:r>
      <w:r>
        <w:rPr>
          <w:color w:val="231F20"/>
          <w:spacing w:val="14"/>
        </w:rPr>
        <w:t> </w:t>
      </w:r>
      <w:r>
        <w:rPr>
          <w:color w:val="231F20"/>
        </w:rPr>
        <w:t>les</w:t>
      </w:r>
      <w:r>
        <w:rPr>
          <w:color w:val="231F20"/>
          <w:spacing w:val="13"/>
        </w:rPr>
        <w:t> </w:t>
      </w:r>
      <w:r>
        <w:rPr>
          <w:color w:val="231F20"/>
        </w:rPr>
        <w:t>branches</w:t>
      </w:r>
      <w:r>
        <w:rPr>
          <w:color w:val="231F20"/>
          <w:spacing w:val="14"/>
        </w:rPr>
        <w:t> </w:t>
      </w:r>
      <w:r>
        <w:rPr>
          <w:color w:val="231F20"/>
        </w:rPr>
        <w:t>d’activités</w:t>
      </w:r>
      <w:r>
        <w:rPr>
          <w:color w:val="231F20"/>
          <w:spacing w:val="13"/>
        </w:rPr>
        <w:t> </w:t>
      </w:r>
      <w:r>
        <w:rPr>
          <w:color w:val="231F20"/>
        </w:rPr>
        <w:t>ou</w:t>
      </w:r>
      <w:r>
        <w:rPr>
          <w:color w:val="231F20"/>
          <w:spacing w:val="13"/>
        </w:rPr>
        <w:t> </w:t>
      </w:r>
      <w:r>
        <w:rPr>
          <w:color w:val="231F20"/>
        </w:rPr>
        <w:t>secteurs</w:t>
      </w:r>
      <w:r>
        <w:rPr>
          <w:color w:val="231F20"/>
          <w:spacing w:val="14"/>
        </w:rPr>
        <w:t> </w:t>
      </w:r>
      <w:r>
        <w:rPr>
          <w:color w:val="231F20"/>
        </w:rPr>
        <w:t>économiques.</w:t>
      </w:r>
    </w:p>
    <w:p>
      <w:pPr>
        <w:pStyle w:val="BodyText"/>
        <w:spacing w:line="218" w:lineRule="auto" w:before="96"/>
        <w:ind w:right="38"/>
      </w:pPr>
      <w:r>
        <w:rPr>
          <w:color w:val="231F20"/>
        </w:rPr>
        <w:t>Le Roi peut, en ce qui concerne les sociétés qui ne dépassent pas une taille qu’Il définit, adapter et compléter les règles relatives à la forme et au contenu du rapport sur les paiements aux gouvernements arrêtées en application de l’article 3:8 et les règles relatives à la forme et au contenu du rapport consolidé sur les paiements aux gouvernements arrêtées</w:t>
      </w:r>
      <w:r>
        <w:rPr>
          <w:color w:val="231F20"/>
          <w:spacing w:val="-4"/>
        </w:rPr>
        <w:t> </w:t>
      </w:r>
      <w:r>
        <w:rPr>
          <w:color w:val="231F20"/>
        </w:rPr>
        <w:t>en</w:t>
      </w:r>
      <w:r>
        <w:rPr>
          <w:color w:val="231F20"/>
          <w:spacing w:val="-3"/>
        </w:rPr>
        <w:t> </w:t>
      </w:r>
      <w:r>
        <w:rPr>
          <w:color w:val="231F20"/>
        </w:rPr>
        <w:t>application</w:t>
      </w:r>
      <w:r>
        <w:rPr>
          <w:color w:val="231F20"/>
          <w:spacing w:val="-3"/>
        </w:rPr>
        <w:t> </w:t>
      </w:r>
      <w:r>
        <w:rPr>
          <w:color w:val="231F20"/>
        </w:rPr>
        <w:t>de</w:t>
      </w:r>
      <w:r>
        <w:rPr>
          <w:color w:val="231F20"/>
          <w:spacing w:val="-3"/>
        </w:rPr>
        <w:t> </w:t>
      </w:r>
      <w:r>
        <w:rPr>
          <w:color w:val="231F20"/>
        </w:rPr>
        <w:t>l’article</w:t>
      </w:r>
      <w:r>
        <w:rPr>
          <w:color w:val="231F20"/>
          <w:spacing w:val="-3"/>
        </w:rPr>
        <w:t> </w:t>
      </w:r>
      <w:r>
        <w:rPr>
          <w:color w:val="231F20"/>
        </w:rPr>
        <w:t>3:33,</w:t>
      </w:r>
      <w:r>
        <w:rPr>
          <w:color w:val="231F20"/>
          <w:spacing w:val="-3"/>
        </w:rPr>
        <w:t> </w:t>
      </w:r>
      <w:r>
        <w:rPr>
          <w:color w:val="231F20"/>
        </w:rPr>
        <w:t>ou</w:t>
      </w:r>
      <w:r>
        <w:rPr>
          <w:color w:val="231F20"/>
          <w:spacing w:val="-3"/>
        </w:rPr>
        <w:t> </w:t>
      </w:r>
      <w:r>
        <w:rPr>
          <w:color w:val="231F20"/>
        </w:rPr>
        <w:t>exempter</w:t>
      </w:r>
      <w:r>
        <w:rPr>
          <w:color w:val="231F20"/>
          <w:spacing w:val="-3"/>
        </w:rPr>
        <w:t> </w:t>
      </w:r>
      <w:r>
        <w:rPr>
          <w:color w:val="231F20"/>
        </w:rPr>
        <w:t>ces</w:t>
      </w:r>
      <w:r>
        <w:rPr>
          <w:color w:val="231F20"/>
          <w:spacing w:val="-3"/>
        </w:rPr>
        <w:t> </w:t>
      </w:r>
      <w:r>
        <w:rPr>
          <w:color w:val="231F20"/>
        </w:rPr>
        <w:t>sociétés</w:t>
      </w:r>
      <w:r>
        <w:rPr>
          <w:color w:val="231F20"/>
          <w:spacing w:val="-3"/>
        </w:rPr>
        <w:t> </w:t>
      </w:r>
      <w:r>
        <w:rPr>
          <w:color w:val="231F20"/>
        </w:rPr>
        <w:t>de</w:t>
      </w:r>
      <w:r>
        <w:rPr>
          <w:color w:val="231F20"/>
          <w:spacing w:val="-3"/>
        </w:rPr>
        <w:t> </w:t>
      </w:r>
      <w:r>
        <w:rPr>
          <w:color w:val="231F20"/>
        </w:rPr>
        <w:t>tout ou partie de ces règles. Ces adaptations, ajouts et exemptions peuvent varier selon l’objet des arrêtés susvisés et selon la forme légale</w:t>
      </w:r>
      <w:r>
        <w:rPr>
          <w:color w:val="231F20"/>
          <w:spacing w:val="14"/>
        </w:rPr>
        <w:t> </w:t>
      </w:r>
      <w:r>
        <w:rPr>
          <w:color w:val="231F20"/>
        </w:rPr>
        <w:t>des sociétés.</w:t>
      </w:r>
    </w:p>
    <w:p>
      <w:pPr>
        <w:pStyle w:val="BodyText"/>
        <w:spacing w:line="218" w:lineRule="auto" w:before="82"/>
        <w:ind w:right="38"/>
      </w:pPr>
      <w:r>
        <w:rPr>
          <w:color w:val="231F20"/>
        </w:rPr>
        <w:t>Art. 3:39. § 1</w:t>
      </w:r>
      <w:r>
        <w:rPr>
          <w:color w:val="231F20"/>
          <w:position w:val="7"/>
          <w:sz w:val="11"/>
        </w:rPr>
        <w:t>er</w:t>
      </w:r>
      <w:r>
        <w:rPr>
          <w:color w:val="231F20"/>
        </w:rPr>
        <w:t>. Le Roi peut adapter et compléter les règles relatives à l’établissement et à la publicité des comptes consolidés ainsi qu’à l’établissement et la publicité d’un rapport de gestion, et les règles relatives à la forme et au contenu des comptes consolidés qu’il a arrêtées</w:t>
      </w:r>
      <w:r>
        <w:rPr>
          <w:color w:val="231F20"/>
          <w:spacing w:val="-4"/>
        </w:rPr>
        <w:t> </w:t>
      </w:r>
      <w:r>
        <w:rPr>
          <w:color w:val="231F20"/>
        </w:rPr>
        <w:t>en</w:t>
      </w:r>
      <w:r>
        <w:rPr>
          <w:color w:val="231F20"/>
          <w:spacing w:val="-3"/>
        </w:rPr>
        <w:t> </w:t>
      </w:r>
      <w:r>
        <w:rPr>
          <w:color w:val="231F20"/>
        </w:rPr>
        <w:t>application</w:t>
      </w:r>
      <w:r>
        <w:rPr>
          <w:color w:val="231F20"/>
          <w:spacing w:val="-4"/>
        </w:rPr>
        <w:t> </w:t>
      </w:r>
      <w:r>
        <w:rPr>
          <w:color w:val="231F20"/>
        </w:rPr>
        <w:t>de</w:t>
      </w:r>
      <w:r>
        <w:rPr>
          <w:color w:val="231F20"/>
          <w:spacing w:val="-3"/>
        </w:rPr>
        <w:t> </w:t>
      </w:r>
      <w:r>
        <w:rPr>
          <w:color w:val="231F20"/>
        </w:rPr>
        <w:t>l’article</w:t>
      </w:r>
      <w:r>
        <w:rPr>
          <w:color w:val="231F20"/>
          <w:spacing w:val="-3"/>
        </w:rPr>
        <w:t> </w:t>
      </w:r>
      <w:r>
        <w:rPr>
          <w:color w:val="231F20"/>
        </w:rPr>
        <w:t>3:30,</w:t>
      </w:r>
      <w:r>
        <w:rPr>
          <w:color w:val="231F20"/>
          <w:spacing w:val="-4"/>
        </w:rPr>
        <w:t> </w:t>
      </w:r>
      <w:r>
        <w:rPr>
          <w:color w:val="231F20"/>
        </w:rPr>
        <w:t>selon</w:t>
      </w:r>
      <w:r>
        <w:rPr>
          <w:color w:val="231F20"/>
          <w:spacing w:val="-3"/>
        </w:rPr>
        <w:t> </w:t>
      </w:r>
      <w:r>
        <w:rPr>
          <w:color w:val="231F20"/>
        </w:rPr>
        <w:t>les</w:t>
      </w:r>
      <w:r>
        <w:rPr>
          <w:color w:val="231F20"/>
          <w:spacing w:val="-3"/>
        </w:rPr>
        <w:t> </w:t>
      </w:r>
      <w:r>
        <w:rPr>
          <w:color w:val="231F20"/>
        </w:rPr>
        <w:t>branches</w:t>
      </w:r>
      <w:r>
        <w:rPr>
          <w:color w:val="231F20"/>
          <w:spacing w:val="-4"/>
        </w:rPr>
        <w:t> </w:t>
      </w:r>
      <w:r>
        <w:rPr>
          <w:color w:val="231F20"/>
        </w:rPr>
        <w:t>d’activités</w:t>
      </w:r>
      <w:r>
        <w:rPr>
          <w:color w:val="231F20"/>
          <w:spacing w:val="-3"/>
        </w:rPr>
        <w:t> </w:t>
      </w:r>
      <w:r>
        <w:rPr>
          <w:color w:val="231F20"/>
        </w:rPr>
        <w:t>ou secteurs</w:t>
      </w:r>
      <w:r>
        <w:rPr>
          <w:color w:val="231F20"/>
          <w:spacing w:val="14"/>
        </w:rPr>
        <w:t> </w:t>
      </w:r>
      <w:r>
        <w:rPr>
          <w:color w:val="231F20"/>
        </w:rPr>
        <w:t>économiques.</w:t>
      </w:r>
    </w:p>
    <w:p>
      <w:pPr>
        <w:pStyle w:val="BodyText"/>
        <w:spacing w:before="11"/>
        <w:ind w:left="0" w:right="0" w:firstLine="0"/>
        <w:jc w:val="left"/>
        <w:rPr>
          <w:sz w:val="23"/>
        </w:rPr>
      </w:pPr>
    </w:p>
    <w:p>
      <w:pPr>
        <w:pStyle w:val="BodyText"/>
        <w:spacing w:line="218" w:lineRule="auto"/>
        <w:ind w:right="38"/>
      </w:pPr>
      <w:r>
        <w:rPr>
          <w:color w:val="231F20"/>
        </w:rPr>
        <w:t>Les articles 3:22 à 3:36, ainsi que les arrêtés pris pour leur exécution, ne sont applicables aux entreprises d’assurances de droit belge et aux entreprises de réassurances de droit belge, que dans la mesure où le Roi n’y déroge pas.</w:t>
      </w:r>
    </w:p>
    <w:p>
      <w:pPr>
        <w:pStyle w:val="BodyText"/>
        <w:spacing w:line="218" w:lineRule="auto" w:before="96"/>
        <w:ind w:right="38"/>
      </w:pPr>
      <w:r>
        <w:rPr>
          <w:color w:val="231F20"/>
        </w:rPr>
        <w:t>§ 2. Le Roi peut, en ce qui concerne les sociétés qui ne dépassent pas une certaine taille qu’Il définit, adapter et compléter les règles relatives à l’établissement et à la publicité des comptes consolidés ainsi qu’à l’établissement et la publicité d’un rapport de gestion, et les règles relatives à la forme et au contenu des comptes consolidés arrêtées en</w:t>
      </w:r>
    </w:p>
    <w:p>
      <w:pPr>
        <w:pStyle w:val="BodyText"/>
        <w:spacing w:line="218" w:lineRule="auto" w:before="119"/>
      </w:pPr>
      <w:r>
        <w:rPr/>
        <w:br w:type="column"/>
      </w:r>
      <w:r>
        <w:rPr>
          <w:color w:val="231F20"/>
        </w:rPr>
        <w:t>Art. 3:34. Het verslag bedoeld in artikel 3:33 wordt door toedoen van het bestuursorgaan tegelijkertijd met de geconsolideerde jaarrekening neergelegd bij de Nationale Bank van België.</w:t>
      </w:r>
    </w:p>
    <w:p>
      <w:pPr>
        <w:pStyle w:val="BodyText"/>
        <w:spacing w:before="72"/>
        <w:ind w:left="283" w:right="0" w:firstLine="0"/>
        <w:jc w:val="left"/>
      </w:pPr>
      <w:r>
        <w:rPr>
          <w:color w:val="231F20"/>
        </w:rPr>
        <w:t>Afdeling 6. Openbaarmakingsvoorschriften.</w:t>
      </w:r>
    </w:p>
    <w:p>
      <w:pPr>
        <w:pStyle w:val="BodyText"/>
        <w:spacing w:line="218" w:lineRule="auto" w:before="82"/>
      </w:pPr>
      <w:r>
        <w:rPr>
          <w:color w:val="231F20"/>
        </w:rPr>
        <w:t>Art. 3:35. De geconsolideerde jaarrekening en het verslag over de geconsolideerde jaarrekening worden ter beschikking gesteld van de vennoten of aandeelhouders van de consoliderende vennootschap onder dezelfde voorwaarden en binnen dezelfde termijnen als de jaarrekening. Deze stukken worden aan de algemene vergadering meegedeeld en binnen dezelfde termijn als de jaarrekening openbaar gemaakt.</w:t>
      </w:r>
    </w:p>
    <w:p>
      <w:pPr>
        <w:pStyle w:val="BodyText"/>
        <w:spacing w:line="218" w:lineRule="auto" w:before="86"/>
      </w:pPr>
      <w:r>
        <w:rPr>
          <w:color w:val="231F20"/>
          <w:spacing w:val="-6"/>
        </w:rPr>
        <w:t>Van </w:t>
      </w:r>
      <w:r>
        <w:rPr>
          <w:color w:val="231F20"/>
        </w:rPr>
        <w:t>het eerste lid kan worden afgeweken wanneer de geconsoli- deerde jaarrekening wordt afgesloten op een ander tijdstip dan de jaarrekening van de consoliderende vennootschap om rekening te houden met de balansdatum van de meeste of van de belangrijkste van de in de consolidatie opgenomen vennootschappen. In dat geval moeten de geconsolideerde jaarrekening en de geconsolideerde versla- gen uiterlijk zeven maanden na afsluitingsdatum ter beschikking worden gesteld van de vennoten of aandeelhouders en openbaar gemaakt.</w:t>
      </w:r>
    </w:p>
    <w:p>
      <w:pPr>
        <w:pStyle w:val="BodyText"/>
        <w:spacing w:line="218" w:lineRule="auto" w:before="86"/>
      </w:pPr>
      <w:r>
        <w:rPr>
          <w:color w:val="231F20"/>
        </w:rPr>
        <w:t>Art.</w:t>
      </w:r>
      <w:r>
        <w:rPr>
          <w:color w:val="231F20"/>
          <w:spacing w:val="-4"/>
        </w:rPr>
        <w:t> </w:t>
      </w:r>
      <w:r>
        <w:rPr>
          <w:color w:val="231F20"/>
        </w:rPr>
        <w:t>3:36.</w:t>
      </w:r>
      <w:r>
        <w:rPr>
          <w:color w:val="231F20"/>
          <w:spacing w:val="-4"/>
        </w:rPr>
        <w:t> </w:t>
      </w:r>
      <w:r>
        <w:rPr>
          <w:color w:val="231F20"/>
        </w:rPr>
        <w:t>De</w:t>
      </w:r>
      <w:r>
        <w:rPr>
          <w:color w:val="231F20"/>
          <w:spacing w:val="-4"/>
        </w:rPr>
        <w:t> </w:t>
      </w:r>
      <w:r>
        <w:rPr>
          <w:color w:val="231F20"/>
        </w:rPr>
        <w:t>artikelen</w:t>
      </w:r>
      <w:r>
        <w:rPr>
          <w:color w:val="231F20"/>
          <w:spacing w:val="-3"/>
        </w:rPr>
        <w:t> </w:t>
      </w:r>
      <w:r>
        <w:rPr>
          <w:color w:val="231F20"/>
        </w:rPr>
        <w:t>2:33,</w:t>
      </w:r>
      <w:r>
        <w:rPr>
          <w:color w:val="231F20"/>
          <w:spacing w:val="-4"/>
        </w:rPr>
        <w:t> </w:t>
      </w:r>
      <w:r>
        <w:rPr>
          <w:color w:val="231F20"/>
        </w:rPr>
        <w:t>3:12,</w:t>
      </w:r>
      <w:r>
        <w:rPr>
          <w:color w:val="231F20"/>
          <w:spacing w:val="-4"/>
        </w:rPr>
        <w:t> </w:t>
      </w:r>
      <w:r>
        <w:rPr>
          <w:color w:val="231F20"/>
        </w:rPr>
        <w:t>§</w:t>
      </w:r>
      <w:r>
        <w:rPr>
          <w:color w:val="231F20"/>
          <w:spacing w:val="-3"/>
        </w:rPr>
        <w:t> </w:t>
      </w:r>
      <w:r>
        <w:rPr>
          <w:color w:val="231F20"/>
        </w:rPr>
        <w:t>1,</w:t>
      </w:r>
      <w:r>
        <w:rPr>
          <w:color w:val="231F20"/>
          <w:spacing w:val="-4"/>
        </w:rPr>
        <w:t> </w:t>
      </w:r>
      <w:r>
        <w:rPr>
          <w:color w:val="231F20"/>
        </w:rPr>
        <w:t>1°,</w:t>
      </w:r>
      <w:r>
        <w:rPr>
          <w:color w:val="231F20"/>
          <w:spacing w:val="-4"/>
        </w:rPr>
        <w:t> </w:t>
      </w:r>
      <w:r>
        <w:rPr>
          <w:color w:val="231F20"/>
        </w:rPr>
        <w:t>en</w:t>
      </w:r>
      <w:r>
        <w:rPr>
          <w:color w:val="231F20"/>
          <w:spacing w:val="-3"/>
        </w:rPr>
        <w:t> </w:t>
      </w:r>
      <w:r>
        <w:rPr>
          <w:color w:val="231F20"/>
        </w:rPr>
        <w:t>3:13</w:t>
      </w:r>
      <w:r>
        <w:rPr>
          <w:color w:val="231F20"/>
          <w:spacing w:val="-4"/>
        </w:rPr>
        <w:t> </w:t>
      </w:r>
      <w:r>
        <w:rPr>
          <w:color w:val="231F20"/>
        </w:rPr>
        <w:t>tot</w:t>
      </w:r>
      <w:r>
        <w:rPr>
          <w:color w:val="231F20"/>
          <w:spacing w:val="-4"/>
        </w:rPr>
        <w:t> </w:t>
      </w:r>
      <w:r>
        <w:rPr>
          <w:color w:val="231F20"/>
        </w:rPr>
        <w:t>3:18,</w:t>
      </w:r>
      <w:r>
        <w:rPr>
          <w:color w:val="231F20"/>
          <w:spacing w:val="-3"/>
        </w:rPr>
        <w:t> </w:t>
      </w:r>
      <w:r>
        <w:rPr>
          <w:color w:val="231F20"/>
        </w:rPr>
        <w:t>alsook</w:t>
      </w:r>
      <w:r>
        <w:rPr>
          <w:color w:val="231F20"/>
          <w:spacing w:val="-4"/>
        </w:rPr>
        <w:t> </w:t>
      </w:r>
      <w:r>
        <w:rPr>
          <w:color w:val="231F20"/>
        </w:rPr>
        <w:t>de</w:t>
      </w:r>
      <w:r>
        <w:rPr>
          <w:color w:val="231F20"/>
          <w:spacing w:val="-4"/>
        </w:rPr>
        <w:t> </w:t>
      </w:r>
      <w:r>
        <w:rPr>
          <w:color w:val="231F20"/>
        </w:rPr>
        <w:t>ter uitvoering van deze artikelen genomen besluiten, zijn van toepassing op de geconsolideerde jaarrekeningen en op de verslagen over de geconsolideerde</w:t>
      </w:r>
      <w:r>
        <w:rPr>
          <w:color w:val="231F20"/>
          <w:spacing w:val="14"/>
        </w:rPr>
        <w:t> </w:t>
      </w:r>
      <w:r>
        <w:rPr>
          <w:color w:val="231F20"/>
        </w:rPr>
        <w:t>jaarrekening.</w:t>
      </w:r>
    </w:p>
    <w:p>
      <w:pPr>
        <w:pStyle w:val="BodyText"/>
        <w:spacing w:line="218" w:lineRule="auto" w:before="86"/>
      </w:pPr>
      <w:r>
        <w:rPr>
          <w:color w:val="231F20"/>
          <w:spacing w:val="-5"/>
        </w:rPr>
        <w:t>Voor </w:t>
      </w:r>
      <w:r>
        <w:rPr>
          <w:color w:val="231F20"/>
        </w:rPr>
        <w:t>de toepassing van artikel 3:14, derde lid, is het bedoelde dossier, het dossier van de consoliderende vennootschap.</w:t>
      </w:r>
    </w:p>
    <w:p>
      <w:pPr>
        <w:pStyle w:val="BodyText"/>
        <w:spacing w:line="218" w:lineRule="auto" w:before="96"/>
      </w:pPr>
      <w:r>
        <w:rPr>
          <w:color w:val="231F20"/>
        </w:rPr>
        <w:t>De geconsolideerde jaarrekening kan, naast de openbaarmaking voorgeschreven door het eerste lid, in de munt waarin zij overeenkom- stig de toepasselijke wetgeving is opgesteld, ook openbaar worden gemaakt in de munt van een lidstaat van de Organisatie voor Economische Samenwerking en Ontwikkeling, zulks met gebruikma- king van de omrekeningskoers op de datum van de geconsolideerde balans. Deze koers wordt in de toelichting aangegeven.</w:t>
      </w:r>
    </w:p>
    <w:p>
      <w:pPr>
        <w:pStyle w:val="BodyText"/>
        <w:spacing w:line="218" w:lineRule="auto" w:before="96"/>
      </w:pPr>
      <w:r>
        <w:rPr>
          <w:color w:val="231F20"/>
        </w:rPr>
        <w:t>HOOFDSTUK 3. Koninklijke besluiten genomen ter uitvoering van deze titel en uitzonderingsbepalingen.</w:t>
      </w:r>
    </w:p>
    <w:p>
      <w:pPr>
        <w:pStyle w:val="BodyText"/>
        <w:spacing w:line="218" w:lineRule="auto" w:before="96"/>
      </w:pPr>
      <w:r>
        <w:rPr>
          <w:color w:val="231F20"/>
        </w:rPr>
        <w:t>Art. 3:37. De Koning kan de regels met betrekking tot de vorm en de inhoud van de jaarrekening die Hij op grond van artikel 3:1 heeft gesteld, aanpassen en aanvullen naar gelang van de bedrijfstakken of economische sectoren.</w:t>
      </w:r>
    </w:p>
    <w:p>
      <w:pPr>
        <w:pStyle w:val="BodyText"/>
        <w:spacing w:line="218" w:lineRule="auto" w:before="97"/>
      </w:pPr>
      <w:r>
        <w:rPr>
          <w:color w:val="231F20"/>
        </w:rPr>
        <w:t>De Koning kan voor bepaalde vennootschappen, die een zekere omvang, door Hem bepaald, niet te boven gaan, de regels met betrekking tot de vorm en de inhoud van de jaarrekening die Hij op grond van artikel 3:1 heeft gesteld, aanpassen en aanvullen, evenals voor die vennootschappen vrijstelling geven van de toepassing van alle of bepaalde van die regels. Deze aanpassingen, aanvullingen en vrijstellingen kunnen verschillen naar gelang van het voorwerp van de bedoelde besluiten en de rechtsvorm van de vennootschap.</w:t>
      </w:r>
    </w:p>
    <w:p>
      <w:pPr>
        <w:pStyle w:val="BodyText"/>
        <w:spacing w:line="218" w:lineRule="auto" w:before="96"/>
      </w:pPr>
      <w:r>
        <w:rPr>
          <w:color w:val="231F20"/>
        </w:rPr>
        <w:t>Art. 3:38. De Koning kan de regels door hem vastgelegd met betrekking tot de vorm en de inhoud van het verslag van betalingen  aan overheden op grond van artikel 3:8 en van het geconsolideerd verslag van betalingen aan overheden op grond van artikel 3:33, aanpassen en aanvullen naar gelang van de bedrijfstakken of economi- sche</w:t>
      </w:r>
      <w:r>
        <w:rPr>
          <w:color w:val="231F20"/>
          <w:spacing w:val="14"/>
        </w:rPr>
        <w:t> </w:t>
      </w:r>
      <w:r>
        <w:rPr>
          <w:color w:val="231F20"/>
        </w:rPr>
        <w:t>sectoren.</w:t>
      </w:r>
    </w:p>
    <w:p>
      <w:pPr>
        <w:pStyle w:val="BodyText"/>
        <w:spacing w:line="218" w:lineRule="auto" w:before="97"/>
      </w:pPr>
      <w:r>
        <w:rPr>
          <w:color w:val="231F20"/>
        </w:rPr>
        <w:t>De Koning kan voor vennootschappen die een door hem bepaalde omvang niet te boven gaan, de regels met betrekking tot de vorm en de inhoud van het verslag van betalingen aan overheden op grond van artikel 3:8 en van het geconsolideerd verslag van betalingen aan overheden op grond van artikel 3:33, aanpassen en aanvullen, evenals die vennootschappen vrijstellen van de toepassing van alle of bepaalde van die regels. Deze aanpassingen, aanvullingen en vrijstellingen kunnen verschillen naar gelang van het voorwerp van de bedoelde besluiten en de rechtsvorm van de vennootschap.</w:t>
      </w:r>
    </w:p>
    <w:p>
      <w:pPr>
        <w:pStyle w:val="BodyText"/>
        <w:spacing w:line="218" w:lineRule="auto" w:before="97"/>
      </w:pPr>
      <w:r>
        <w:rPr>
          <w:color w:val="231F20"/>
        </w:rPr>
        <w:t>Art. 3:39. § 1. De Koning kan de regels met betrekking tot de opmaak en de openbaarmaking van de geconsolideerde jaarrekening, alsook die met betrekking tot de opmaak en de openbaarmaking van een jaarverslag, en de regels met betrekking tot de vorm en de inhoud van de geconsolideerde jaarrekening die Hij op grond van artikel 3:30 heeft gesteld, aanpassen en aanvullen naar gelang van de bedrijfstakken of economische sectoren.</w:t>
      </w:r>
    </w:p>
    <w:p>
      <w:pPr>
        <w:pStyle w:val="BodyText"/>
        <w:spacing w:line="218" w:lineRule="auto" w:before="96"/>
      </w:pPr>
      <w:r>
        <w:rPr>
          <w:color w:val="231F20"/>
        </w:rPr>
        <w:t>De artikelen 3:22 tot 3:36, alsook de in uitvoering daarvan genomen besluiten, zijn slechts van toepassing op de verzekeringsondernemin- gen naar Belgisch recht en op de herverzekeringsondernemingen naar Belgisch recht voor zover de Koning er niet van afwijkt.</w:t>
      </w:r>
    </w:p>
    <w:p>
      <w:pPr>
        <w:pStyle w:val="BodyText"/>
        <w:spacing w:line="218" w:lineRule="auto" w:before="96"/>
      </w:pPr>
      <w:r>
        <w:rPr>
          <w:color w:val="231F20"/>
        </w:rPr>
        <w:t>§ 2. De Koning kan voor bepaalde vennootschappen, die een zekere omvang, door Hem bepaald, niet te boven gaan, de regels met betrekking tot de opmaak en de openbaarmaking van de geconsoli- deerde jaarrekening, alsook die met betrekking tot de opmaak en de openbaarmaking van een jaarverslag, en de regels met betrekking tot de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hanging="1"/>
      </w:pPr>
      <w:r>
        <w:rPr/>
        <w:pict>
          <v:line style="position:absolute;mso-position-horizontal-relative:page;mso-position-vertical-relative:page;z-index:2536" from="298.170502pt,64.473pt" to="298.170502pt,812.819pt" stroked="true" strokeweight=".533pt" strokecolor="#231f20">
            <v:stroke dashstyle="solid"/>
            <w10:wrap type="none"/>
          </v:line>
        </w:pict>
      </w:r>
      <w:bookmarkStart w:name="_bookmark63" w:id="67"/>
      <w:bookmarkEnd w:id="67"/>
      <w:r>
        <w:rPr/>
      </w:r>
      <w:r>
        <w:rPr>
          <w:color w:val="231F20"/>
        </w:rPr>
        <w:t>application de l’article 3:30, ou prévoir l’exemption de tout ou partie de ces règles. Ces adaptations, ajouts et exemptions peuvent varier selon l’objet des arrêtés susvisés et selon la forme légale de la société.</w:t>
      </w:r>
    </w:p>
    <w:p>
      <w:pPr>
        <w:pStyle w:val="BodyText"/>
        <w:ind w:left="0" w:right="0" w:firstLine="0"/>
        <w:jc w:val="left"/>
        <w:rPr>
          <w:sz w:val="20"/>
        </w:rPr>
      </w:pPr>
    </w:p>
    <w:p>
      <w:pPr>
        <w:pStyle w:val="BodyText"/>
        <w:ind w:left="0" w:right="0" w:firstLine="0"/>
        <w:jc w:val="left"/>
        <w:rPr>
          <w:sz w:val="20"/>
        </w:rPr>
      </w:pPr>
    </w:p>
    <w:p>
      <w:pPr>
        <w:pStyle w:val="BodyText"/>
        <w:spacing w:line="218" w:lineRule="auto" w:before="143"/>
        <w:ind w:right="38"/>
      </w:pPr>
      <w:r>
        <w:rPr>
          <w:color w:val="231F20"/>
        </w:rPr>
        <w:t>Art. 3:40. § 1</w:t>
      </w:r>
      <w:r>
        <w:rPr>
          <w:color w:val="231F20"/>
          <w:position w:val="7"/>
          <w:sz w:val="11"/>
        </w:rPr>
        <w:t>er</w:t>
      </w:r>
      <w:r>
        <w:rPr>
          <w:color w:val="231F20"/>
        </w:rPr>
        <w:t>. Le Roi peut adapter et compléter les règles</w:t>
      </w:r>
      <w:r>
        <w:rPr>
          <w:color w:val="231F20"/>
          <w:spacing w:val="12"/>
        </w:rPr>
        <w:t> </w:t>
      </w:r>
      <w:r>
        <w:rPr>
          <w:color w:val="231F20"/>
        </w:rPr>
        <w:t>qu’Il définit relatives à l’établissement et à la publicité du rapport sur les paiements aux gouvernements arrêtées en application de l’article 3:8 et les règles relatives à la forme et au contenu du rapport consolidé sur les paiements  aux  gouvernements  arrêtées  en   application   de   l’arti-  cle</w:t>
      </w:r>
      <w:r>
        <w:rPr>
          <w:color w:val="231F20"/>
          <w:spacing w:val="13"/>
        </w:rPr>
        <w:t> </w:t>
      </w:r>
      <w:r>
        <w:rPr>
          <w:color w:val="231F20"/>
        </w:rPr>
        <w:t>3:33</w:t>
      </w:r>
      <w:r>
        <w:rPr>
          <w:color w:val="231F20"/>
          <w:spacing w:val="13"/>
        </w:rPr>
        <w:t> </w:t>
      </w:r>
      <w:r>
        <w:rPr>
          <w:color w:val="231F20"/>
        </w:rPr>
        <w:t>selon</w:t>
      </w:r>
      <w:r>
        <w:rPr>
          <w:color w:val="231F20"/>
          <w:spacing w:val="14"/>
        </w:rPr>
        <w:t> </w:t>
      </w:r>
      <w:r>
        <w:rPr>
          <w:color w:val="231F20"/>
        </w:rPr>
        <w:t>les</w:t>
      </w:r>
      <w:r>
        <w:rPr>
          <w:color w:val="231F20"/>
          <w:spacing w:val="13"/>
        </w:rPr>
        <w:t> </w:t>
      </w:r>
      <w:r>
        <w:rPr>
          <w:color w:val="231F20"/>
        </w:rPr>
        <w:t>branches</w:t>
      </w:r>
      <w:r>
        <w:rPr>
          <w:color w:val="231F20"/>
          <w:spacing w:val="14"/>
        </w:rPr>
        <w:t> </w:t>
      </w:r>
      <w:r>
        <w:rPr>
          <w:color w:val="231F20"/>
        </w:rPr>
        <w:t>d’activités</w:t>
      </w:r>
      <w:r>
        <w:rPr>
          <w:color w:val="231F20"/>
          <w:spacing w:val="13"/>
        </w:rPr>
        <w:t> </w:t>
      </w:r>
      <w:r>
        <w:rPr>
          <w:color w:val="231F20"/>
        </w:rPr>
        <w:t>ou</w:t>
      </w:r>
      <w:r>
        <w:rPr>
          <w:color w:val="231F20"/>
          <w:spacing w:val="13"/>
        </w:rPr>
        <w:t> </w:t>
      </w:r>
      <w:r>
        <w:rPr>
          <w:color w:val="231F20"/>
        </w:rPr>
        <w:t>secteurs</w:t>
      </w:r>
      <w:r>
        <w:rPr>
          <w:color w:val="231F20"/>
          <w:spacing w:val="14"/>
        </w:rPr>
        <w:t> </w:t>
      </w:r>
      <w:r>
        <w:rPr>
          <w:color w:val="231F20"/>
        </w:rPr>
        <w:t>économiques.</w:t>
      </w:r>
    </w:p>
    <w:p>
      <w:pPr>
        <w:pStyle w:val="BodyText"/>
        <w:spacing w:line="218" w:lineRule="auto" w:before="86"/>
        <w:ind w:right="38"/>
      </w:pPr>
      <w:r>
        <w:rPr>
          <w:color w:val="231F20"/>
        </w:rPr>
        <w:t>§ 2. Le Roi peut, en ce qui concerne les sociétés qui ne dépassent pas une taille qu’Il définit, adapter et compléter les règles relatives à l’établissement et à la publicité du rapport sur les paiements aux gouvernements arrêtées en vertu de l’article 3:8 et les règles relatives à l’établissement et à la publicité du rapport consolidé sur les paiements aux gouvernements arrêtées en vertu de l’article 3:33, ou exempter ces sociétés de tout ou partie de ces règles. Ces adaptations, ajouts et exemptions peuvent varier selon l’objet des arrêtés susvisés et selon la forme légale des sociétés.</w:t>
      </w:r>
    </w:p>
    <w:p>
      <w:pPr>
        <w:pStyle w:val="BodyText"/>
        <w:spacing w:line="218" w:lineRule="auto" w:before="86"/>
        <w:ind w:right="38"/>
      </w:pPr>
      <w:r>
        <w:rPr>
          <w:color w:val="231F20"/>
        </w:rPr>
        <w:t>Art. 3:41. Les arrêtés royaux pris en exécution du présent titre sont soumis, pour avis, au Conseil central de l’économie et délibérés en Conseil des ministres.</w:t>
      </w:r>
    </w:p>
    <w:p>
      <w:pPr>
        <w:pStyle w:val="BodyText"/>
        <w:spacing w:line="218" w:lineRule="auto" w:before="71"/>
        <w:ind w:right="38"/>
      </w:pPr>
      <w:r>
        <w:rPr>
          <w:color w:val="231F20"/>
        </w:rPr>
        <w:t>Art. 3:42. § 1</w:t>
      </w:r>
      <w:r>
        <w:rPr>
          <w:color w:val="231F20"/>
          <w:position w:val="7"/>
          <w:sz w:val="11"/>
        </w:rPr>
        <w:t>er</w:t>
      </w:r>
      <w:r>
        <w:rPr>
          <w:color w:val="231F20"/>
        </w:rPr>
        <w:t>. Le ministre qui a les Affaires économiques dans ses attributions ou son délégué peut autoriser, dans des cas spéciaux et moyennant l’avis motivé de la Commission des  normes</w:t>
      </w:r>
      <w:r>
        <w:rPr>
          <w:color w:val="231F20"/>
          <w:spacing w:val="21"/>
        </w:rPr>
        <w:t> </w:t>
      </w:r>
      <w:r>
        <w:rPr>
          <w:color w:val="231F20"/>
        </w:rPr>
        <w:t>comptables, des</w:t>
      </w:r>
      <w:r>
        <w:rPr>
          <w:color w:val="231F20"/>
          <w:spacing w:val="15"/>
        </w:rPr>
        <w:t> </w:t>
      </w:r>
      <w:r>
        <w:rPr>
          <w:color w:val="231F20"/>
        </w:rPr>
        <w:t>dérogations</w:t>
      </w:r>
      <w:r>
        <w:rPr>
          <w:color w:val="231F20"/>
          <w:spacing w:val="16"/>
        </w:rPr>
        <w:t> </w:t>
      </w:r>
      <w:r>
        <w:rPr>
          <w:color w:val="231F20"/>
        </w:rPr>
        <w:t>aux</w:t>
      </w:r>
      <w:r>
        <w:rPr>
          <w:color w:val="231F20"/>
          <w:spacing w:val="16"/>
        </w:rPr>
        <w:t> </w:t>
      </w:r>
      <w:r>
        <w:rPr>
          <w:color w:val="231F20"/>
        </w:rPr>
        <w:t>arrêtés</w:t>
      </w:r>
      <w:r>
        <w:rPr>
          <w:color w:val="231F20"/>
          <w:spacing w:val="16"/>
        </w:rPr>
        <w:t> </w:t>
      </w:r>
      <w:r>
        <w:rPr>
          <w:color w:val="231F20"/>
        </w:rPr>
        <w:t>royaux</w:t>
      </w:r>
      <w:r>
        <w:rPr>
          <w:color w:val="231F20"/>
          <w:spacing w:val="16"/>
        </w:rPr>
        <w:t> </w:t>
      </w:r>
      <w:r>
        <w:rPr>
          <w:color w:val="231F20"/>
        </w:rPr>
        <w:t>pris</w:t>
      </w:r>
      <w:r>
        <w:rPr>
          <w:color w:val="231F20"/>
          <w:spacing w:val="16"/>
        </w:rPr>
        <w:t> </w:t>
      </w:r>
      <w:r>
        <w:rPr>
          <w:color w:val="231F20"/>
        </w:rPr>
        <w:t>en</w:t>
      </w:r>
      <w:r>
        <w:rPr>
          <w:color w:val="231F20"/>
          <w:spacing w:val="16"/>
        </w:rPr>
        <w:t> </w:t>
      </w:r>
      <w:r>
        <w:rPr>
          <w:color w:val="231F20"/>
        </w:rPr>
        <w:t>exécution</w:t>
      </w:r>
      <w:r>
        <w:rPr>
          <w:color w:val="231F20"/>
          <w:spacing w:val="16"/>
        </w:rPr>
        <w:t> </w:t>
      </w:r>
      <w:r>
        <w:rPr>
          <w:color w:val="231F20"/>
        </w:rPr>
        <w:t>du</w:t>
      </w:r>
      <w:r>
        <w:rPr>
          <w:color w:val="231F20"/>
          <w:spacing w:val="16"/>
        </w:rPr>
        <w:t> </w:t>
      </w:r>
      <w:r>
        <w:rPr>
          <w:color w:val="231F20"/>
        </w:rPr>
        <w:t>présent</w:t>
      </w:r>
      <w:r>
        <w:rPr>
          <w:color w:val="231F20"/>
          <w:spacing w:val="16"/>
        </w:rPr>
        <w:t> </w:t>
      </w:r>
      <w:r>
        <w:rPr>
          <w:color w:val="231F20"/>
        </w:rPr>
        <w:t>titre.</w:t>
      </w:r>
    </w:p>
    <w:p>
      <w:pPr>
        <w:pStyle w:val="BodyText"/>
        <w:spacing w:before="11"/>
        <w:ind w:left="0" w:right="0" w:firstLine="0"/>
        <w:jc w:val="left"/>
        <w:rPr>
          <w:sz w:val="22"/>
        </w:rPr>
      </w:pPr>
    </w:p>
    <w:p>
      <w:pPr>
        <w:pStyle w:val="BodyText"/>
        <w:spacing w:line="218" w:lineRule="auto"/>
        <w:ind w:right="38"/>
      </w:pPr>
      <w:r>
        <w:rPr>
          <w:color w:val="231F20"/>
        </w:rPr>
        <w:t>Ce pouvoir est exercé par le ministre qui a les Classes moyennes dans ses</w:t>
      </w:r>
      <w:r>
        <w:rPr>
          <w:color w:val="231F20"/>
          <w:spacing w:val="9"/>
        </w:rPr>
        <w:t> </w:t>
      </w:r>
      <w:r>
        <w:rPr>
          <w:color w:val="231F20"/>
        </w:rPr>
        <w:t>attributions</w:t>
      </w:r>
      <w:r>
        <w:rPr>
          <w:color w:val="231F20"/>
          <w:spacing w:val="10"/>
        </w:rPr>
        <w:t> </w:t>
      </w:r>
      <w:r>
        <w:rPr>
          <w:color w:val="231F20"/>
        </w:rPr>
        <w:t>ou</w:t>
      </w:r>
      <w:r>
        <w:rPr>
          <w:color w:val="231F20"/>
          <w:spacing w:val="10"/>
        </w:rPr>
        <w:t> </w:t>
      </w:r>
      <w:r>
        <w:rPr>
          <w:color w:val="231F20"/>
        </w:rPr>
        <w:t>son</w:t>
      </w:r>
      <w:r>
        <w:rPr>
          <w:color w:val="231F20"/>
          <w:spacing w:val="10"/>
        </w:rPr>
        <w:t> </w:t>
      </w:r>
      <w:r>
        <w:rPr>
          <w:color w:val="231F20"/>
        </w:rPr>
        <w:t>délégué,</w:t>
      </w:r>
      <w:r>
        <w:rPr>
          <w:color w:val="231F20"/>
          <w:spacing w:val="10"/>
        </w:rPr>
        <w:t> </w:t>
      </w:r>
      <w:r>
        <w:rPr>
          <w:color w:val="231F20"/>
        </w:rPr>
        <w:t>en</w:t>
      </w:r>
      <w:r>
        <w:rPr>
          <w:color w:val="231F20"/>
          <w:spacing w:val="10"/>
        </w:rPr>
        <w:t> </w:t>
      </w:r>
      <w:r>
        <w:rPr>
          <w:color w:val="231F20"/>
        </w:rPr>
        <w:t>ce</w:t>
      </w:r>
      <w:r>
        <w:rPr>
          <w:color w:val="231F20"/>
          <w:spacing w:val="10"/>
        </w:rPr>
        <w:t> </w:t>
      </w:r>
      <w:r>
        <w:rPr>
          <w:color w:val="231F20"/>
        </w:rPr>
        <w:t>qui</w:t>
      </w:r>
      <w:r>
        <w:rPr>
          <w:color w:val="231F20"/>
          <w:spacing w:val="10"/>
        </w:rPr>
        <w:t> </w:t>
      </w:r>
      <w:r>
        <w:rPr>
          <w:color w:val="231F20"/>
        </w:rPr>
        <w:t>concerne</w:t>
      </w:r>
      <w:r>
        <w:rPr>
          <w:color w:val="231F20"/>
          <w:spacing w:val="10"/>
        </w:rPr>
        <w:t> </w:t>
      </w:r>
      <w:r>
        <w:rPr>
          <w:color w:val="231F20"/>
        </w:rPr>
        <w:t>les</w:t>
      </w:r>
      <w:r>
        <w:rPr>
          <w:color w:val="231F20"/>
          <w:spacing w:val="10"/>
        </w:rPr>
        <w:t> </w:t>
      </w:r>
      <w:r>
        <w:rPr>
          <w:color w:val="231F20"/>
        </w:rPr>
        <w:t>petites</w:t>
      </w:r>
      <w:r>
        <w:rPr>
          <w:color w:val="231F20"/>
          <w:spacing w:val="10"/>
        </w:rPr>
        <w:t> </w:t>
      </w:r>
      <w:r>
        <w:rPr>
          <w:color w:val="231F20"/>
        </w:rPr>
        <w:t>sociétés.</w:t>
      </w:r>
    </w:p>
    <w:p>
      <w:pPr>
        <w:pStyle w:val="BodyText"/>
        <w:ind w:left="0" w:right="0" w:firstLine="0"/>
        <w:jc w:val="left"/>
        <w:rPr>
          <w:sz w:val="23"/>
        </w:rPr>
      </w:pPr>
    </w:p>
    <w:p>
      <w:pPr>
        <w:pStyle w:val="BodyText"/>
        <w:spacing w:line="218" w:lineRule="auto"/>
        <w:ind w:right="38"/>
      </w:pPr>
      <w:r>
        <w:rPr>
          <w:color w:val="231F20"/>
        </w:rPr>
        <w:t>La Commission des normes comptables est informée de la décision du</w:t>
      </w:r>
      <w:r>
        <w:rPr>
          <w:color w:val="231F20"/>
          <w:spacing w:val="15"/>
        </w:rPr>
        <w:t> </w:t>
      </w:r>
      <w:r>
        <w:rPr>
          <w:color w:val="231F20"/>
        </w:rPr>
        <w:t>ministre</w:t>
      </w:r>
      <w:r>
        <w:rPr>
          <w:color w:val="231F20"/>
          <w:spacing w:val="15"/>
        </w:rPr>
        <w:t> </w:t>
      </w:r>
      <w:r>
        <w:rPr>
          <w:color w:val="231F20"/>
        </w:rPr>
        <w:t>ou</w:t>
      </w:r>
      <w:r>
        <w:rPr>
          <w:color w:val="231F20"/>
          <w:spacing w:val="16"/>
        </w:rPr>
        <w:t> </w:t>
      </w:r>
      <w:r>
        <w:rPr>
          <w:color w:val="231F20"/>
        </w:rPr>
        <w:t>de</w:t>
      </w:r>
      <w:r>
        <w:rPr>
          <w:color w:val="231F20"/>
          <w:spacing w:val="15"/>
        </w:rPr>
        <w:t> </w:t>
      </w:r>
      <w:r>
        <w:rPr>
          <w:color w:val="231F20"/>
        </w:rPr>
        <w:t>son</w:t>
      </w:r>
      <w:r>
        <w:rPr>
          <w:color w:val="231F20"/>
          <w:spacing w:val="16"/>
        </w:rPr>
        <w:t> </w:t>
      </w:r>
      <w:r>
        <w:rPr>
          <w:color w:val="231F20"/>
        </w:rPr>
        <w:t>délégué.</w:t>
      </w:r>
    </w:p>
    <w:p>
      <w:pPr>
        <w:pStyle w:val="BodyText"/>
        <w:spacing w:line="218" w:lineRule="auto" w:before="85"/>
        <w:ind w:right="38"/>
      </w:pPr>
      <w:r>
        <w:rPr>
          <w:color w:val="231F20"/>
        </w:rPr>
        <w:t>La société à laquelle la dérogation a été accordée, mentionne cette dérogation parmi les règles d’évaluation dans l’annexe aux comptes annuels.</w:t>
      </w:r>
    </w:p>
    <w:p>
      <w:pPr>
        <w:pStyle w:val="BodyText"/>
        <w:spacing w:line="218" w:lineRule="auto" w:before="71"/>
        <w:ind w:right="38"/>
      </w:pPr>
      <w:r>
        <w:rPr>
          <w:color w:val="231F20"/>
        </w:rPr>
        <w:t>§ 2. Le paragraphe 1</w:t>
      </w:r>
      <w:r>
        <w:rPr>
          <w:color w:val="231F20"/>
          <w:position w:val="7"/>
          <w:sz w:val="11"/>
        </w:rPr>
        <w:t>er </w:t>
      </w:r>
      <w:r>
        <w:rPr>
          <w:color w:val="231F20"/>
        </w:rPr>
        <w:t>n’est pas applicable aux sociétés dont l’objet est l’assurance et qui sont agréées par le Roi en application de la législation relative au contrôle des entreprises d’assurances.</w:t>
      </w:r>
    </w:p>
    <w:p>
      <w:pPr>
        <w:pStyle w:val="BodyText"/>
        <w:spacing w:before="8"/>
        <w:ind w:left="0" w:right="0" w:firstLine="0"/>
        <w:jc w:val="left"/>
        <w:rPr>
          <w:sz w:val="21"/>
        </w:rPr>
      </w:pPr>
    </w:p>
    <w:p>
      <w:pPr>
        <w:pStyle w:val="BodyText"/>
        <w:spacing w:before="1"/>
        <w:ind w:left="283" w:right="0" w:firstLine="0"/>
        <w:jc w:val="left"/>
      </w:pPr>
      <w:r>
        <w:rPr>
          <w:color w:val="231F20"/>
        </w:rPr>
        <w:t>CHAPITRE 4. Dispositions pénales.</w:t>
      </w:r>
    </w:p>
    <w:p>
      <w:pPr>
        <w:pStyle w:val="BodyText"/>
        <w:spacing w:line="218" w:lineRule="auto" w:before="67"/>
        <w:ind w:right="39"/>
      </w:pPr>
      <w:r>
        <w:rPr>
          <w:color w:val="231F20"/>
        </w:rPr>
        <w:t>Art. 3:43. § 1</w:t>
      </w:r>
      <w:r>
        <w:rPr>
          <w:color w:val="231F20"/>
          <w:position w:val="7"/>
          <w:sz w:val="11"/>
        </w:rPr>
        <w:t>er</w:t>
      </w:r>
      <w:r>
        <w:rPr>
          <w:color w:val="231F20"/>
        </w:rPr>
        <w:t>. Seront punis d’une amende  de  cinquante  à  dix  mille</w:t>
      </w:r>
      <w:r>
        <w:rPr>
          <w:color w:val="231F20"/>
          <w:spacing w:val="14"/>
        </w:rPr>
        <w:t> </w:t>
      </w:r>
      <w:r>
        <w:rPr>
          <w:color w:val="231F20"/>
        </w:rPr>
        <w:t>euros:</w:t>
      </w:r>
    </w:p>
    <w:p>
      <w:pPr>
        <w:pStyle w:val="BodyText"/>
        <w:spacing w:line="201" w:lineRule="auto" w:before="96"/>
        <w:ind w:right="38"/>
      </w:pPr>
      <w:r>
        <w:rPr>
          <w:color w:val="231F20"/>
        </w:rPr>
        <w:t>1° les membres de l’organe d’administration qui contreviennent aux articles 3:1, § 1</w:t>
      </w:r>
      <w:r>
        <w:rPr>
          <w:color w:val="231F20"/>
          <w:position w:val="7"/>
          <w:sz w:val="11"/>
        </w:rPr>
        <w:t>er</w:t>
      </w:r>
      <w:r>
        <w:rPr>
          <w:color w:val="231F20"/>
        </w:rPr>
        <w:t>, alinéa 2, 3:10 et 3:12;</w:t>
      </w:r>
    </w:p>
    <w:p>
      <w:pPr>
        <w:pStyle w:val="BodyText"/>
        <w:spacing w:line="211" w:lineRule="auto" w:before="91"/>
        <w:ind w:right="38"/>
      </w:pPr>
      <w:r>
        <w:rPr>
          <w:color w:val="231F20"/>
        </w:rPr>
        <w:t>2° les membres de l’organe d’administration, directeurs ou manda- taires de sociétés qui sciemment contreviennent aux dispositions des arrêtés pris en application des articles 3:1, § 1</w:t>
      </w:r>
      <w:r>
        <w:rPr>
          <w:color w:val="231F20"/>
          <w:position w:val="7"/>
          <w:sz w:val="11"/>
        </w:rPr>
        <w:t>er</w:t>
      </w:r>
      <w:r>
        <w:rPr>
          <w:color w:val="231F20"/>
        </w:rPr>
        <w:t>, alinéa 1</w:t>
      </w:r>
      <w:r>
        <w:rPr>
          <w:color w:val="231F20"/>
          <w:position w:val="7"/>
          <w:sz w:val="11"/>
        </w:rPr>
        <w:t>er</w:t>
      </w:r>
      <w:r>
        <w:rPr>
          <w:color w:val="231F20"/>
        </w:rPr>
        <w:t>, 3:37 et 3:38;</w:t>
      </w:r>
    </w:p>
    <w:p>
      <w:pPr>
        <w:pStyle w:val="BodyText"/>
        <w:spacing w:before="9"/>
        <w:ind w:left="0" w:right="0" w:firstLine="0"/>
        <w:jc w:val="left"/>
        <w:rPr>
          <w:sz w:val="22"/>
        </w:rPr>
      </w:pPr>
    </w:p>
    <w:p>
      <w:pPr>
        <w:pStyle w:val="BodyText"/>
        <w:spacing w:line="218" w:lineRule="auto"/>
        <w:ind w:right="38"/>
      </w:pPr>
      <w:r>
        <w:rPr>
          <w:color w:val="231F20"/>
        </w:rPr>
        <w:t>3° les membres de l’organe d’administration, directeurs ou manda- taires de sociétés qui sciemment contreviennent aux articles  3:21  à 3:32 et 3:36 et à leurs arrêtés d’exécution.</w:t>
      </w:r>
    </w:p>
    <w:p>
      <w:pPr>
        <w:pStyle w:val="BodyText"/>
        <w:spacing w:line="218" w:lineRule="auto" w:before="71"/>
        <w:ind w:right="38"/>
      </w:pPr>
      <w:r>
        <w:rPr>
          <w:color w:val="231F20"/>
        </w:rPr>
        <w:t>Dans les cas visés à l’alinéa 1</w:t>
      </w:r>
      <w:r>
        <w:rPr>
          <w:color w:val="231F20"/>
          <w:position w:val="7"/>
          <w:sz w:val="11"/>
        </w:rPr>
        <w:t>er</w:t>
      </w:r>
      <w:r>
        <w:rPr>
          <w:color w:val="231F20"/>
        </w:rPr>
        <w:t>, 2° et 3°, ils seront punis d’un emprisonnement d’un mois à un an et d’une amende de cinquante à dix mille euros ou d’une de ces peines seulement, s’ils ont agi avec une intention frauduleuse.</w:t>
      </w:r>
    </w:p>
    <w:p>
      <w:pPr>
        <w:pStyle w:val="BodyText"/>
        <w:spacing w:line="213" w:lineRule="auto" w:before="89"/>
        <w:ind w:right="38"/>
      </w:pPr>
      <w:r>
        <w:rPr>
          <w:color w:val="231F20"/>
        </w:rPr>
        <w:t>Les membres de l’organe d’administration, directeurs ou mandatai- res de sociétés ne seront toutefois punis des sanctions prévues à  l’alinéa 1</w:t>
      </w:r>
      <w:r>
        <w:rPr>
          <w:color w:val="231F20"/>
          <w:position w:val="7"/>
          <w:sz w:val="11"/>
        </w:rPr>
        <w:t>er </w:t>
      </w:r>
      <w:r>
        <w:rPr>
          <w:color w:val="231F20"/>
        </w:rPr>
        <w:t>pour avoir méconnu l’article 3:1, § 1</w:t>
      </w:r>
      <w:r>
        <w:rPr>
          <w:color w:val="231F20"/>
          <w:position w:val="7"/>
          <w:sz w:val="11"/>
        </w:rPr>
        <w:t>er</w:t>
      </w:r>
      <w:r>
        <w:rPr>
          <w:color w:val="231F20"/>
        </w:rPr>
        <w:t>, alinéa 1</w:t>
      </w:r>
      <w:r>
        <w:rPr>
          <w:color w:val="231F20"/>
          <w:position w:val="7"/>
          <w:sz w:val="11"/>
        </w:rPr>
        <w:t>er</w:t>
      </w:r>
      <w:r>
        <w:rPr>
          <w:color w:val="231F20"/>
        </w:rPr>
        <w:t>, que si la société</w:t>
      </w:r>
      <w:r>
        <w:rPr>
          <w:color w:val="231F20"/>
          <w:spacing w:val="14"/>
        </w:rPr>
        <w:t> </w:t>
      </w:r>
      <w:r>
        <w:rPr>
          <w:color w:val="231F20"/>
        </w:rPr>
        <w:t>a</w:t>
      </w:r>
      <w:r>
        <w:rPr>
          <w:color w:val="231F20"/>
          <w:spacing w:val="15"/>
        </w:rPr>
        <w:t> </w:t>
      </w:r>
      <w:r>
        <w:rPr>
          <w:color w:val="231F20"/>
        </w:rPr>
        <w:t>été</w:t>
      </w:r>
      <w:r>
        <w:rPr>
          <w:color w:val="231F20"/>
          <w:spacing w:val="15"/>
        </w:rPr>
        <w:t> </w:t>
      </w:r>
      <w:r>
        <w:rPr>
          <w:color w:val="231F20"/>
        </w:rPr>
        <w:t>déclarée</w:t>
      </w:r>
      <w:r>
        <w:rPr>
          <w:color w:val="231F20"/>
          <w:spacing w:val="14"/>
        </w:rPr>
        <w:t> </w:t>
      </w:r>
      <w:r>
        <w:rPr>
          <w:color w:val="231F20"/>
        </w:rPr>
        <w:t>en</w:t>
      </w:r>
      <w:r>
        <w:rPr>
          <w:color w:val="231F20"/>
          <w:spacing w:val="15"/>
        </w:rPr>
        <w:t> </w:t>
      </w:r>
      <w:r>
        <w:rPr>
          <w:color w:val="231F20"/>
        </w:rPr>
        <w:t>faillite.</w:t>
      </w:r>
    </w:p>
    <w:p>
      <w:pPr>
        <w:pStyle w:val="BodyText"/>
        <w:spacing w:line="211" w:lineRule="auto" w:before="87"/>
        <w:ind w:right="38"/>
      </w:pPr>
      <w:r>
        <w:rPr>
          <w:color w:val="231F20"/>
        </w:rPr>
        <w:t>§ 2. Les sociétés seront civilement responsables des condamnations à l’amende prononcées en vertu du paragraphe 1</w:t>
      </w:r>
      <w:r>
        <w:rPr>
          <w:color w:val="231F20"/>
          <w:position w:val="7"/>
          <w:sz w:val="11"/>
        </w:rPr>
        <w:t>er </w:t>
      </w:r>
      <w:r>
        <w:rPr>
          <w:color w:val="231F20"/>
        </w:rPr>
        <w:t>contre leurs membres de l’organe d’administration, directeurs ou mandataires.</w:t>
      </w:r>
    </w:p>
    <w:p>
      <w:pPr>
        <w:pStyle w:val="BodyText"/>
        <w:spacing w:line="218" w:lineRule="auto" w:before="84"/>
        <w:ind w:right="38"/>
      </w:pPr>
      <w:r>
        <w:rPr>
          <w:color w:val="231F20"/>
        </w:rPr>
        <w:t>Art. 3:44. Seront punis de la réclusion de cinq ans à dix ans et d’une amende de vingt six euros à deux mille euros:</w:t>
      </w:r>
    </w:p>
    <w:p>
      <w:pPr>
        <w:pStyle w:val="BodyText"/>
        <w:spacing w:line="218" w:lineRule="auto" w:before="85"/>
        <w:ind w:right="38"/>
      </w:pPr>
      <w:r>
        <w:rPr>
          <w:color w:val="231F20"/>
        </w:rPr>
        <w:t>1° ceux qui auront commis un faux, avec une intention frauduleuse ou à dessein de nuire, dans les comptes annuels des sociétés, prescrits par</w:t>
      </w:r>
      <w:r>
        <w:rPr>
          <w:color w:val="231F20"/>
          <w:spacing w:val="14"/>
        </w:rPr>
        <w:t> </w:t>
      </w:r>
      <w:r>
        <w:rPr>
          <w:color w:val="231F20"/>
        </w:rPr>
        <w:t>la</w:t>
      </w:r>
      <w:r>
        <w:rPr>
          <w:color w:val="231F20"/>
          <w:spacing w:val="15"/>
        </w:rPr>
        <w:t> </w:t>
      </w:r>
      <w:r>
        <w:rPr>
          <w:color w:val="231F20"/>
        </w:rPr>
        <w:t>loi</w:t>
      </w:r>
      <w:r>
        <w:rPr>
          <w:color w:val="231F20"/>
          <w:spacing w:val="15"/>
        </w:rPr>
        <w:t> </w:t>
      </w:r>
      <w:r>
        <w:rPr>
          <w:color w:val="231F20"/>
        </w:rPr>
        <w:t>ou</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statuts:</w:t>
      </w:r>
    </w:p>
    <w:p>
      <w:pPr>
        <w:pStyle w:val="ListParagraph"/>
        <w:numPr>
          <w:ilvl w:val="0"/>
          <w:numId w:val="48"/>
        </w:numPr>
        <w:tabs>
          <w:tab w:pos="511" w:val="left" w:leader="none"/>
        </w:tabs>
        <w:spacing w:line="240" w:lineRule="auto" w:before="82" w:after="0"/>
        <w:ind w:left="510" w:right="0" w:hanging="227"/>
        <w:jc w:val="left"/>
        <w:rPr>
          <w:sz w:val="17"/>
        </w:rPr>
      </w:pPr>
      <w:r>
        <w:rPr>
          <w:color w:val="231F20"/>
          <w:sz w:val="17"/>
        </w:rPr>
        <w:t>soit par fausses</w:t>
      </w:r>
      <w:r>
        <w:rPr>
          <w:color w:val="231F20"/>
          <w:spacing w:val="3"/>
          <w:sz w:val="17"/>
        </w:rPr>
        <w:t> </w:t>
      </w:r>
      <w:r>
        <w:rPr>
          <w:color w:val="231F20"/>
          <w:sz w:val="17"/>
        </w:rPr>
        <w:t>signatures;</w:t>
      </w:r>
    </w:p>
    <w:p>
      <w:pPr>
        <w:pStyle w:val="ListParagraph"/>
        <w:numPr>
          <w:ilvl w:val="0"/>
          <w:numId w:val="48"/>
        </w:numPr>
        <w:tabs>
          <w:tab w:pos="511" w:val="left" w:leader="none"/>
        </w:tabs>
        <w:spacing w:line="240" w:lineRule="auto" w:before="79" w:after="0"/>
        <w:ind w:left="510" w:right="0" w:hanging="227"/>
        <w:jc w:val="left"/>
        <w:rPr>
          <w:sz w:val="17"/>
        </w:rPr>
      </w:pPr>
      <w:r>
        <w:rPr>
          <w:color w:val="231F20"/>
          <w:sz w:val="17"/>
        </w:rPr>
        <w:t>soit</w:t>
      </w:r>
      <w:r>
        <w:rPr>
          <w:color w:val="231F20"/>
          <w:spacing w:val="14"/>
          <w:sz w:val="17"/>
        </w:rPr>
        <w:t> </w:t>
      </w:r>
      <w:r>
        <w:rPr>
          <w:color w:val="231F20"/>
          <w:sz w:val="17"/>
        </w:rPr>
        <w:t>par</w:t>
      </w:r>
      <w:r>
        <w:rPr>
          <w:color w:val="231F20"/>
          <w:spacing w:val="14"/>
          <w:sz w:val="17"/>
        </w:rPr>
        <w:t> </w:t>
      </w:r>
      <w:r>
        <w:rPr>
          <w:color w:val="231F20"/>
          <w:sz w:val="17"/>
        </w:rPr>
        <w:t>contrefaçon</w:t>
      </w:r>
      <w:r>
        <w:rPr>
          <w:color w:val="231F20"/>
          <w:spacing w:val="14"/>
          <w:sz w:val="17"/>
        </w:rPr>
        <w:t> </w:t>
      </w:r>
      <w:r>
        <w:rPr>
          <w:color w:val="231F20"/>
          <w:sz w:val="17"/>
        </w:rPr>
        <w:t>ou</w:t>
      </w:r>
      <w:r>
        <w:rPr>
          <w:color w:val="231F20"/>
          <w:spacing w:val="14"/>
          <w:sz w:val="17"/>
        </w:rPr>
        <w:t> </w:t>
      </w:r>
      <w:r>
        <w:rPr>
          <w:color w:val="231F20"/>
          <w:sz w:val="17"/>
        </w:rPr>
        <w:t>altération</w:t>
      </w:r>
      <w:r>
        <w:rPr>
          <w:color w:val="231F20"/>
          <w:spacing w:val="14"/>
          <w:sz w:val="17"/>
        </w:rPr>
        <w:t> </w:t>
      </w:r>
      <w:r>
        <w:rPr>
          <w:color w:val="231F20"/>
          <w:sz w:val="17"/>
        </w:rPr>
        <w:t>d’écritures</w:t>
      </w:r>
      <w:r>
        <w:rPr>
          <w:color w:val="231F20"/>
          <w:spacing w:val="15"/>
          <w:sz w:val="17"/>
        </w:rPr>
        <w:t> </w:t>
      </w:r>
      <w:r>
        <w:rPr>
          <w:color w:val="231F20"/>
          <w:sz w:val="17"/>
        </w:rPr>
        <w:t>ou</w:t>
      </w:r>
      <w:r>
        <w:rPr>
          <w:color w:val="231F20"/>
          <w:spacing w:val="14"/>
          <w:sz w:val="17"/>
        </w:rPr>
        <w:t> </w:t>
      </w:r>
      <w:r>
        <w:rPr>
          <w:color w:val="231F20"/>
          <w:sz w:val="17"/>
        </w:rPr>
        <w:t>de</w:t>
      </w:r>
      <w:r>
        <w:rPr>
          <w:color w:val="231F20"/>
          <w:spacing w:val="14"/>
          <w:sz w:val="17"/>
        </w:rPr>
        <w:t> </w:t>
      </w:r>
      <w:r>
        <w:rPr>
          <w:color w:val="231F20"/>
          <w:sz w:val="17"/>
        </w:rPr>
        <w:t>signatures;</w:t>
      </w:r>
    </w:p>
    <w:p>
      <w:pPr>
        <w:pStyle w:val="BodyText"/>
        <w:spacing w:before="7"/>
        <w:ind w:left="0" w:right="0" w:firstLine="0"/>
        <w:jc w:val="left"/>
        <w:rPr>
          <w:sz w:val="23"/>
        </w:rPr>
      </w:pPr>
    </w:p>
    <w:p>
      <w:pPr>
        <w:pStyle w:val="ListParagraph"/>
        <w:numPr>
          <w:ilvl w:val="0"/>
          <w:numId w:val="48"/>
        </w:numPr>
        <w:tabs>
          <w:tab w:pos="525" w:val="left" w:leader="none"/>
        </w:tabs>
        <w:spacing w:line="218" w:lineRule="auto" w:before="0" w:after="0"/>
        <w:ind w:left="113" w:right="38" w:firstLine="170"/>
        <w:jc w:val="both"/>
        <w:rPr>
          <w:sz w:val="17"/>
        </w:rPr>
      </w:pPr>
      <w:r>
        <w:rPr>
          <w:color w:val="231F20"/>
          <w:sz w:val="17"/>
        </w:rPr>
        <w:t>soit par fabrication de conventions, dispositions, obligations ou décharges</w:t>
      </w:r>
      <w:r>
        <w:rPr>
          <w:color w:val="231F20"/>
          <w:spacing w:val="16"/>
          <w:sz w:val="17"/>
        </w:rPr>
        <w:t> </w:t>
      </w:r>
      <w:r>
        <w:rPr>
          <w:color w:val="231F20"/>
          <w:sz w:val="17"/>
        </w:rPr>
        <w:t>ou</w:t>
      </w:r>
      <w:r>
        <w:rPr>
          <w:color w:val="231F20"/>
          <w:spacing w:val="16"/>
          <w:sz w:val="17"/>
        </w:rPr>
        <w:t> </w:t>
      </w:r>
      <w:r>
        <w:rPr>
          <w:color w:val="231F20"/>
          <w:sz w:val="17"/>
        </w:rPr>
        <w:t>par</w:t>
      </w:r>
      <w:r>
        <w:rPr>
          <w:color w:val="231F20"/>
          <w:spacing w:val="17"/>
          <w:sz w:val="17"/>
        </w:rPr>
        <w:t> </w:t>
      </w:r>
      <w:r>
        <w:rPr>
          <w:color w:val="231F20"/>
          <w:sz w:val="17"/>
        </w:rPr>
        <w:t>leur</w:t>
      </w:r>
      <w:r>
        <w:rPr>
          <w:color w:val="231F20"/>
          <w:spacing w:val="16"/>
          <w:sz w:val="17"/>
        </w:rPr>
        <w:t> </w:t>
      </w:r>
      <w:r>
        <w:rPr>
          <w:color w:val="231F20"/>
          <w:sz w:val="17"/>
        </w:rPr>
        <w:t>insertion</w:t>
      </w:r>
      <w:r>
        <w:rPr>
          <w:color w:val="231F20"/>
          <w:spacing w:val="17"/>
          <w:sz w:val="17"/>
        </w:rPr>
        <w:t> </w:t>
      </w:r>
      <w:r>
        <w:rPr>
          <w:color w:val="231F20"/>
          <w:sz w:val="17"/>
        </w:rPr>
        <w:t>après</w:t>
      </w:r>
      <w:r>
        <w:rPr>
          <w:color w:val="231F20"/>
          <w:spacing w:val="16"/>
          <w:sz w:val="17"/>
        </w:rPr>
        <w:t> </w:t>
      </w:r>
      <w:r>
        <w:rPr>
          <w:color w:val="231F20"/>
          <w:sz w:val="17"/>
        </w:rPr>
        <w:t>coup</w:t>
      </w:r>
      <w:r>
        <w:rPr>
          <w:color w:val="231F20"/>
          <w:spacing w:val="17"/>
          <w:sz w:val="17"/>
        </w:rPr>
        <w:t> </w:t>
      </w:r>
      <w:r>
        <w:rPr>
          <w:color w:val="231F20"/>
          <w:sz w:val="17"/>
        </w:rPr>
        <w:t>dans</w:t>
      </w:r>
      <w:r>
        <w:rPr>
          <w:color w:val="231F20"/>
          <w:spacing w:val="16"/>
          <w:sz w:val="17"/>
        </w:rPr>
        <w:t> </w:t>
      </w:r>
      <w:r>
        <w:rPr>
          <w:color w:val="231F20"/>
          <w:sz w:val="17"/>
        </w:rPr>
        <w:t>les</w:t>
      </w:r>
      <w:r>
        <w:rPr>
          <w:color w:val="231F20"/>
          <w:spacing w:val="17"/>
          <w:sz w:val="17"/>
        </w:rPr>
        <w:t> </w:t>
      </w:r>
      <w:r>
        <w:rPr>
          <w:color w:val="231F20"/>
          <w:sz w:val="17"/>
        </w:rPr>
        <w:t>comptes</w:t>
      </w:r>
      <w:r>
        <w:rPr>
          <w:color w:val="231F20"/>
          <w:spacing w:val="16"/>
          <w:sz w:val="17"/>
        </w:rPr>
        <w:t> </w:t>
      </w:r>
      <w:r>
        <w:rPr>
          <w:color w:val="231F20"/>
          <w:sz w:val="17"/>
        </w:rPr>
        <w:t>annuels;</w:t>
      </w:r>
    </w:p>
    <w:p>
      <w:pPr>
        <w:pStyle w:val="BodyText"/>
        <w:spacing w:line="218" w:lineRule="auto" w:before="119"/>
        <w:ind w:firstLine="0"/>
      </w:pPr>
      <w:r>
        <w:rPr/>
        <w:br w:type="column"/>
      </w:r>
      <w:r>
        <w:rPr>
          <w:color w:val="231F20"/>
        </w:rPr>
        <w:t>vorm en de inhoud van de geconsolideerde jaarrekening die Hij op grond van artikel 3:30 heeft gesteld, aanpassen en aanvullen, evenals voor die vennootschappen vrijstelling geven van de toepassing van alle of bepaalde van die regels. Deze aanpassingen, aanvullingen en vrijstellingen kunnen verschillen naar gelang van het voorwerp van de bedoelde besluiten en de rechtsvorm van de vennootschap.</w:t>
      </w:r>
    </w:p>
    <w:p>
      <w:pPr>
        <w:pStyle w:val="BodyText"/>
        <w:spacing w:line="218" w:lineRule="auto" w:before="86"/>
      </w:pPr>
      <w:r>
        <w:rPr>
          <w:color w:val="231F20"/>
        </w:rPr>
        <w:t>Art. 3:40. § 1. De Koning kan de regels door hem vastgelegd met betrekking tot de opmaak en de openbaarmaking van het verslag van betalingen aan overheden op grond van artikel 3:8 en van het geconsolideerd verslag van betalingen aan overheden op grond van artikel 3:33, aanpassen en aanvullen naar gelang van de bedrijfstakken of economische sectoren.</w:t>
      </w:r>
    </w:p>
    <w:p>
      <w:pPr>
        <w:pStyle w:val="BodyText"/>
        <w:spacing w:line="218" w:lineRule="auto" w:before="86"/>
      </w:pPr>
      <w:r>
        <w:rPr>
          <w:color w:val="231F20"/>
        </w:rPr>
        <w:t>§ 2. De Koning kan voor vennootschappen die een door Hem bepaalde omvang niet te boven gaan, de regels met betrekking tot de opmaak en de openbaarmaking van het verslag van betalingen aan overheden op grond van artikel 3:8 en het geconsolideerd verslag van betalingen aan overheden op grond van artikel 3:33, aanpassen en aanvullen, evenals die vennootschappen vrijstellen van de toepassing van alle of bepaalde van die regels. Deze aanpassingen, aanvullingen  en vrijstellingen kunnen verschillen naar gelang van het voorwerp van de</w:t>
      </w:r>
      <w:r>
        <w:rPr>
          <w:color w:val="231F20"/>
          <w:spacing w:val="17"/>
        </w:rPr>
        <w:t> </w:t>
      </w:r>
      <w:r>
        <w:rPr>
          <w:color w:val="231F20"/>
        </w:rPr>
        <w:t>bedoelde</w:t>
      </w:r>
      <w:r>
        <w:rPr>
          <w:color w:val="231F20"/>
          <w:spacing w:val="18"/>
        </w:rPr>
        <w:t> </w:t>
      </w:r>
      <w:r>
        <w:rPr>
          <w:color w:val="231F20"/>
        </w:rPr>
        <w:t>besluiten</w:t>
      </w:r>
      <w:r>
        <w:rPr>
          <w:color w:val="231F20"/>
          <w:spacing w:val="17"/>
        </w:rPr>
        <w:t> </w:t>
      </w:r>
      <w:r>
        <w:rPr>
          <w:color w:val="231F20"/>
        </w:rPr>
        <w:t>en</w:t>
      </w:r>
      <w:r>
        <w:rPr>
          <w:color w:val="231F20"/>
          <w:spacing w:val="18"/>
        </w:rPr>
        <w:t> </w:t>
      </w:r>
      <w:r>
        <w:rPr>
          <w:color w:val="231F20"/>
        </w:rPr>
        <w:t>de</w:t>
      </w:r>
      <w:r>
        <w:rPr>
          <w:color w:val="231F20"/>
          <w:spacing w:val="17"/>
        </w:rPr>
        <w:t> </w:t>
      </w:r>
      <w:r>
        <w:rPr>
          <w:color w:val="231F20"/>
        </w:rPr>
        <w:t>rechtsvorm</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vennootschap.</w:t>
      </w:r>
    </w:p>
    <w:p>
      <w:pPr>
        <w:pStyle w:val="BodyText"/>
        <w:spacing w:line="218" w:lineRule="auto" w:before="86"/>
      </w:pPr>
      <w:r>
        <w:rPr>
          <w:color w:val="231F20"/>
        </w:rPr>
        <w:t>Art. 3:41. De koninklijke besluiten ter uitvoering van deze titel worden ter advies voorgelegd aan de Centrale Raad voor het bedrijfs- leven en worden genomen na overleg in de Ministerraad.</w:t>
      </w:r>
    </w:p>
    <w:p>
      <w:pPr>
        <w:pStyle w:val="BodyText"/>
        <w:spacing w:line="218" w:lineRule="auto" w:before="86"/>
      </w:pPr>
      <w:r>
        <w:rPr>
          <w:color w:val="231F20"/>
        </w:rPr>
        <w:t>Art. 3:42. § 1. De minister bevoegd voor Economie of zijn afgevaar- digde kan in bijzondere gevallen, na een gemotiveerd advies van de Commissie voor Boekhoudkundige Normen, toestaan dat wordt afge- weken van de koninklijke besluiten genomen ter uitvoering van deze titel.</w:t>
      </w:r>
    </w:p>
    <w:p>
      <w:pPr>
        <w:pStyle w:val="BodyText"/>
        <w:spacing w:line="218" w:lineRule="auto" w:before="85"/>
      </w:pPr>
      <w:r>
        <w:rPr>
          <w:color w:val="231F20"/>
        </w:rPr>
        <w:t>Met betrekking tot de kleine vennootschappen wordt deze bevoegd- heid uitgeoefend door de minister die de Middenstand onder zijn bevoegdheden heeft of zijn afgevaardigde.</w:t>
      </w:r>
    </w:p>
    <w:p>
      <w:pPr>
        <w:pStyle w:val="BodyText"/>
        <w:spacing w:line="218" w:lineRule="auto" w:before="86"/>
      </w:pPr>
      <w:r>
        <w:rPr>
          <w:color w:val="231F20"/>
        </w:rPr>
        <w:t>De Commissie voor Boekhoudkundige Normen wordt in kennis gesteld van het besluit van de minister of zijn afgevaardigde.</w:t>
      </w:r>
    </w:p>
    <w:p>
      <w:pPr>
        <w:pStyle w:val="BodyText"/>
        <w:spacing w:line="218" w:lineRule="auto" w:before="85"/>
      </w:pPr>
      <w:r>
        <w:rPr>
          <w:color w:val="231F20"/>
        </w:rPr>
        <w:t>De vennootschap waarvoor de afwijking werd toegestaan vermeldt deze afwijking onder de waarderingsregels in de toelichting bij de jaarrekening.</w:t>
      </w:r>
    </w:p>
    <w:p>
      <w:pPr>
        <w:pStyle w:val="BodyText"/>
        <w:spacing w:line="218" w:lineRule="auto" w:before="86"/>
      </w:pPr>
      <w:r>
        <w:rPr>
          <w:color w:val="231F20"/>
        </w:rPr>
        <w:t>§ 2. Paragraaf 1 geldt niet voor vennootschappen die de verzekering tot voorwerp hebben en die door de Koning zijn toegelaten op grond van de wetgeving betreffende de controle op de verzekeringsonderne- mingen.</w:t>
      </w:r>
    </w:p>
    <w:p>
      <w:pPr>
        <w:pStyle w:val="BodyText"/>
        <w:spacing w:before="72"/>
        <w:ind w:left="283" w:right="0" w:firstLine="0"/>
        <w:jc w:val="left"/>
      </w:pPr>
      <w:r>
        <w:rPr>
          <w:color w:val="231F20"/>
        </w:rPr>
        <w:t>HOOFDSTUK 4. Strafbepalingen.</w:t>
      </w:r>
    </w:p>
    <w:p>
      <w:pPr>
        <w:pStyle w:val="BodyText"/>
        <w:spacing w:line="218" w:lineRule="auto" w:before="81"/>
      </w:pPr>
      <w:r>
        <w:rPr>
          <w:color w:val="231F20"/>
        </w:rPr>
        <w:t>Art. 3:43. § 1. Worden gestraft met geldboete van vijftig euro tot tienduizend euro:</w:t>
      </w:r>
    </w:p>
    <w:p>
      <w:pPr>
        <w:pStyle w:val="BodyText"/>
        <w:spacing w:line="218" w:lineRule="auto" w:before="86"/>
      </w:pPr>
      <w:r>
        <w:rPr>
          <w:color w:val="231F20"/>
        </w:rPr>
        <w:t>1° de leden van het bestuursorgaan die de artikelen 3:1, § 1, tweede lid, 3:10 en 3:12 overtreden;</w:t>
      </w:r>
    </w:p>
    <w:p>
      <w:pPr>
        <w:pStyle w:val="BodyText"/>
        <w:spacing w:line="218" w:lineRule="auto" w:before="85"/>
      </w:pPr>
      <w:r>
        <w:rPr>
          <w:color w:val="231F20"/>
        </w:rPr>
        <w:t>2° de leden van het bestuursorgaan, directeurs of lasthebbers van vennootschappen die wetens één van de bepalingen van de besluiten genomen ter uitvoering van de artikelen 3:1, § 1, eerste lid, 3:37 en   3:38</w:t>
      </w:r>
      <w:r>
        <w:rPr>
          <w:color w:val="231F20"/>
          <w:spacing w:val="14"/>
        </w:rPr>
        <w:t> </w:t>
      </w:r>
      <w:r>
        <w:rPr>
          <w:color w:val="231F20"/>
        </w:rPr>
        <w:t>overtreden;</w:t>
      </w:r>
    </w:p>
    <w:p>
      <w:pPr>
        <w:pStyle w:val="BodyText"/>
        <w:spacing w:line="218" w:lineRule="auto" w:before="86"/>
      </w:pPr>
      <w:r>
        <w:rPr>
          <w:color w:val="231F20"/>
        </w:rPr>
        <w:t>3° de leden van het bestuursorgaan, directeurs en lasthebbers van vennootschappen die wetens de artikelen 3:21 tot 3:32 en 3:36 en de in uitvoering daarvan genomen besluiten overtreden.</w:t>
      </w:r>
    </w:p>
    <w:p>
      <w:pPr>
        <w:pStyle w:val="BodyText"/>
        <w:spacing w:line="218" w:lineRule="auto" w:before="86"/>
      </w:pPr>
      <w:r>
        <w:rPr>
          <w:color w:val="231F20"/>
        </w:rPr>
        <w:t>In de gevallen bedoeld in het eerste lid, 2° en 3°, worden zij gestraft met gevangenisstraf van één maand tot een jaar en met geldboete van vijftig tot tienduizend euro of met een van die straffen alleen, als zij met bedrieglijk opzet hebben gehandeld.</w:t>
      </w:r>
    </w:p>
    <w:p>
      <w:pPr>
        <w:pStyle w:val="BodyText"/>
        <w:spacing w:line="218" w:lineRule="auto" w:before="85"/>
      </w:pPr>
      <w:r>
        <w:rPr>
          <w:color w:val="231F20"/>
        </w:rPr>
        <w:t>De leden van het bestuursorgaan, directeurs of lasthebbers van vennootschappen worden wegens de overtreding van artikel 3:1, § 1, eerste lid, alleen dan met de in het eerste lid gestelde straffen gestraft, wanneer de vennootschap is failliet verklaard.</w:t>
      </w:r>
    </w:p>
    <w:p>
      <w:pPr>
        <w:pStyle w:val="BodyText"/>
        <w:spacing w:line="218" w:lineRule="auto" w:before="86"/>
      </w:pPr>
      <w:r>
        <w:rPr>
          <w:color w:val="231F20"/>
        </w:rPr>
        <w:t>§ 2. De vennootschappen zijn burgerrechtelijk aansprakelijk voor de betaling van de geldboetes waartoe hun leden van het bestuursorgaan, directeurs of lasthebbers krachtens paragraaf 1 zijn veroordeeld.</w:t>
      </w:r>
    </w:p>
    <w:p>
      <w:pPr>
        <w:pStyle w:val="BodyText"/>
        <w:spacing w:line="218" w:lineRule="auto" w:before="85"/>
      </w:pPr>
      <w:r>
        <w:rPr>
          <w:color w:val="231F20"/>
          <w:w w:val="105"/>
        </w:rPr>
        <w:t>Art.</w:t>
      </w:r>
      <w:r>
        <w:rPr>
          <w:color w:val="231F20"/>
          <w:spacing w:val="-5"/>
          <w:w w:val="105"/>
        </w:rPr>
        <w:t> </w:t>
      </w:r>
      <w:r>
        <w:rPr>
          <w:color w:val="231F20"/>
          <w:w w:val="105"/>
        </w:rPr>
        <w:t>3:43.</w:t>
      </w:r>
      <w:r>
        <w:rPr>
          <w:color w:val="231F20"/>
          <w:spacing w:val="-5"/>
          <w:w w:val="105"/>
        </w:rPr>
        <w:t> </w:t>
      </w:r>
      <w:r>
        <w:rPr>
          <w:color w:val="231F20"/>
          <w:w w:val="105"/>
        </w:rPr>
        <w:t>Met</w:t>
      </w:r>
      <w:r>
        <w:rPr>
          <w:color w:val="231F20"/>
          <w:spacing w:val="-5"/>
          <w:w w:val="105"/>
        </w:rPr>
        <w:t> </w:t>
      </w:r>
      <w:r>
        <w:rPr>
          <w:color w:val="231F20"/>
          <w:w w:val="105"/>
        </w:rPr>
        <w:t>opsluiting</w:t>
      </w:r>
      <w:r>
        <w:rPr>
          <w:color w:val="231F20"/>
          <w:spacing w:val="-5"/>
          <w:w w:val="105"/>
        </w:rPr>
        <w:t> </w:t>
      </w:r>
      <w:r>
        <w:rPr>
          <w:color w:val="231F20"/>
          <w:w w:val="105"/>
        </w:rPr>
        <w:t>van</w:t>
      </w:r>
      <w:r>
        <w:rPr>
          <w:color w:val="231F20"/>
          <w:spacing w:val="-5"/>
          <w:w w:val="105"/>
        </w:rPr>
        <w:t> </w:t>
      </w:r>
      <w:r>
        <w:rPr>
          <w:color w:val="231F20"/>
          <w:w w:val="105"/>
        </w:rPr>
        <w:t>vijf</w:t>
      </w:r>
      <w:r>
        <w:rPr>
          <w:color w:val="231F20"/>
          <w:spacing w:val="-5"/>
          <w:w w:val="105"/>
        </w:rPr>
        <w:t> </w:t>
      </w:r>
      <w:r>
        <w:rPr>
          <w:color w:val="231F20"/>
          <w:w w:val="105"/>
        </w:rPr>
        <w:t>jaar</w:t>
      </w:r>
      <w:r>
        <w:rPr>
          <w:color w:val="231F20"/>
          <w:spacing w:val="-5"/>
          <w:w w:val="105"/>
        </w:rPr>
        <w:t> </w:t>
      </w:r>
      <w:r>
        <w:rPr>
          <w:color w:val="231F20"/>
          <w:w w:val="105"/>
        </w:rPr>
        <w:t>tot</w:t>
      </w:r>
      <w:r>
        <w:rPr>
          <w:color w:val="231F20"/>
          <w:spacing w:val="-5"/>
          <w:w w:val="105"/>
        </w:rPr>
        <w:t> </w:t>
      </w:r>
      <w:r>
        <w:rPr>
          <w:color w:val="231F20"/>
          <w:w w:val="105"/>
        </w:rPr>
        <w:t>tien</w:t>
      </w:r>
      <w:r>
        <w:rPr>
          <w:color w:val="231F20"/>
          <w:spacing w:val="-5"/>
          <w:w w:val="105"/>
        </w:rPr>
        <w:t> </w:t>
      </w:r>
      <w:r>
        <w:rPr>
          <w:color w:val="231F20"/>
          <w:w w:val="105"/>
        </w:rPr>
        <w:t>jaar</w:t>
      </w:r>
      <w:r>
        <w:rPr>
          <w:color w:val="231F20"/>
          <w:spacing w:val="-5"/>
          <w:w w:val="105"/>
        </w:rPr>
        <w:t> </w:t>
      </w:r>
      <w:r>
        <w:rPr>
          <w:color w:val="231F20"/>
          <w:w w:val="105"/>
        </w:rPr>
        <w:t>en</w:t>
      </w:r>
      <w:r>
        <w:rPr>
          <w:color w:val="231F20"/>
          <w:spacing w:val="-5"/>
          <w:w w:val="105"/>
        </w:rPr>
        <w:t> </w:t>
      </w:r>
      <w:r>
        <w:rPr>
          <w:color w:val="231F20"/>
          <w:w w:val="105"/>
        </w:rPr>
        <w:t>met</w:t>
      </w:r>
      <w:r>
        <w:rPr>
          <w:color w:val="231F20"/>
          <w:spacing w:val="-5"/>
          <w:w w:val="105"/>
        </w:rPr>
        <w:t> </w:t>
      </w:r>
      <w:r>
        <w:rPr>
          <w:color w:val="231F20"/>
          <w:w w:val="105"/>
        </w:rPr>
        <w:t>geldboete van zesentwintig euro tot tweeduizend euro worden</w:t>
      </w:r>
      <w:r>
        <w:rPr>
          <w:color w:val="231F20"/>
          <w:spacing w:val="39"/>
          <w:w w:val="105"/>
        </w:rPr>
        <w:t> </w:t>
      </w:r>
      <w:r>
        <w:rPr>
          <w:color w:val="231F20"/>
          <w:w w:val="105"/>
        </w:rPr>
        <w:t>gestraft:</w:t>
      </w:r>
    </w:p>
    <w:p>
      <w:pPr>
        <w:pStyle w:val="BodyText"/>
        <w:spacing w:line="218" w:lineRule="auto" w:before="86"/>
      </w:pPr>
      <w:r>
        <w:rPr>
          <w:color w:val="231F20"/>
        </w:rPr>
        <w:t>1° zij die met bedrieglijk opzet of met het oogmerk om te schaden, valsheid plegen in de door de wet of door de statuten voorgeschreven jaarrekening van een vennootschap:</w:t>
      </w:r>
    </w:p>
    <w:p>
      <w:pPr>
        <w:pStyle w:val="ListParagraph"/>
        <w:numPr>
          <w:ilvl w:val="0"/>
          <w:numId w:val="48"/>
        </w:numPr>
        <w:tabs>
          <w:tab w:pos="511" w:val="left" w:leader="none"/>
        </w:tabs>
        <w:spacing w:line="240" w:lineRule="auto" w:before="82" w:after="0"/>
        <w:ind w:left="510" w:right="0" w:hanging="227"/>
        <w:jc w:val="left"/>
        <w:rPr>
          <w:sz w:val="17"/>
        </w:rPr>
      </w:pPr>
      <w:r>
        <w:rPr>
          <w:color w:val="231F20"/>
          <w:sz w:val="17"/>
        </w:rPr>
        <w:t>hetzij</w:t>
      </w:r>
      <w:r>
        <w:rPr>
          <w:color w:val="231F20"/>
          <w:spacing w:val="15"/>
          <w:sz w:val="17"/>
        </w:rPr>
        <w:t> </w:t>
      </w:r>
      <w:r>
        <w:rPr>
          <w:color w:val="231F20"/>
          <w:sz w:val="17"/>
        </w:rPr>
        <w:t>door</w:t>
      </w:r>
      <w:r>
        <w:rPr>
          <w:color w:val="231F20"/>
          <w:spacing w:val="15"/>
          <w:sz w:val="17"/>
        </w:rPr>
        <w:t> </w:t>
      </w:r>
      <w:r>
        <w:rPr>
          <w:color w:val="231F20"/>
          <w:sz w:val="17"/>
        </w:rPr>
        <w:t>valse</w:t>
      </w:r>
      <w:r>
        <w:rPr>
          <w:color w:val="231F20"/>
          <w:spacing w:val="15"/>
          <w:sz w:val="17"/>
        </w:rPr>
        <w:t> </w:t>
      </w:r>
      <w:r>
        <w:rPr>
          <w:color w:val="231F20"/>
          <w:sz w:val="17"/>
        </w:rPr>
        <w:t>handtekeningen</w:t>
      </w:r>
      <w:r>
        <w:rPr>
          <w:color w:val="231F20"/>
          <w:spacing w:val="16"/>
          <w:sz w:val="17"/>
        </w:rPr>
        <w:t> </w:t>
      </w:r>
      <w:r>
        <w:rPr>
          <w:color w:val="231F20"/>
          <w:sz w:val="17"/>
        </w:rPr>
        <w:t>te</w:t>
      </w:r>
      <w:r>
        <w:rPr>
          <w:color w:val="231F20"/>
          <w:spacing w:val="15"/>
          <w:sz w:val="17"/>
        </w:rPr>
        <w:t> </w:t>
      </w:r>
      <w:r>
        <w:rPr>
          <w:color w:val="231F20"/>
          <w:sz w:val="17"/>
        </w:rPr>
        <w:t>plaatsen;</w:t>
      </w:r>
    </w:p>
    <w:p>
      <w:pPr>
        <w:pStyle w:val="ListParagraph"/>
        <w:numPr>
          <w:ilvl w:val="0"/>
          <w:numId w:val="48"/>
        </w:numPr>
        <w:tabs>
          <w:tab w:pos="548" w:val="left" w:leader="none"/>
        </w:tabs>
        <w:spacing w:line="218" w:lineRule="auto" w:before="93" w:after="0"/>
        <w:ind w:left="113" w:right="124" w:firstLine="170"/>
        <w:jc w:val="both"/>
        <w:rPr>
          <w:sz w:val="17"/>
        </w:rPr>
      </w:pPr>
      <w:r>
        <w:rPr>
          <w:color w:val="231F20"/>
          <w:sz w:val="17"/>
        </w:rPr>
        <w:t>hetzij door geschriften of handtekeningen na te maken of te vervalsen;</w:t>
      </w:r>
    </w:p>
    <w:p>
      <w:pPr>
        <w:pStyle w:val="ListParagraph"/>
        <w:numPr>
          <w:ilvl w:val="0"/>
          <w:numId w:val="48"/>
        </w:numPr>
        <w:tabs>
          <w:tab w:pos="554" w:val="left" w:leader="none"/>
        </w:tabs>
        <w:spacing w:line="218" w:lineRule="auto" w:before="96" w:after="0"/>
        <w:ind w:left="113" w:right="124" w:firstLine="170"/>
        <w:jc w:val="both"/>
        <w:rPr>
          <w:sz w:val="17"/>
        </w:rPr>
      </w:pPr>
      <w:r>
        <w:rPr>
          <w:color w:val="231F20"/>
          <w:sz w:val="17"/>
        </w:rPr>
        <w:t>hetzij door overeenkomsten, beschikkingen, verbintenissen of schuldbevrijdingen valselijk op te maken of achteraf in de jaarrekening op te</w:t>
      </w:r>
      <w:r>
        <w:rPr>
          <w:color w:val="231F20"/>
          <w:spacing w:val="-12"/>
          <w:sz w:val="17"/>
        </w:rPr>
        <w:t> </w:t>
      </w:r>
      <w:r>
        <w:rPr>
          <w:color w:val="231F20"/>
          <w:sz w:val="17"/>
        </w:rPr>
        <w:t>nemen;</w:t>
      </w:r>
    </w:p>
    <w:p>
      <w:pPr>
        <w:spacing w:after="0" w:line="218" w:lineRule="auto"/>
        <w:jc w:val="both"/>
        <w:rPr>
          <w:sz w:val="17"/>
        </w:rPr>
        <w:sectPr>
          <w:headerReference w:type="even" r:id="rId33"/>
          <w:headerReference w:type="default" r:id="rId34"/>
          <w:pgSz w:w="11940" w:h="16880"/>
          <w:pgMar w:header="666" w:footer="0" w:top="1140" w:bottom="280" w:left="340" w:right="360"/>
          <w:pgNumType w:start="33302"/>
          <w:cols w:num="2" w:equalWidth="0">
            <w:col w:w="5527" w:space="101"/>
            <w:col w:w="5612"/>
          </w:cols>
        </w:sectPr>
      </w:pPr>
    </w:p>
    <w:p>
      <w:pPr>
        <w:pStyle w:val="ListParagraph"/>
        <w:numPr>
          <w:ilvl w:val="0"/>
          <w:numId w:val="48"/>
        </w:numPr>
        <w:tabs>
          <w:tab w:pos="518" w:val="left" w:leader="none"/>
        </w:tabs>
        <w:spacing w:line="218" w:lineRule="auto" w:before="120" w:after="0"/>
        <w:ind w:left="113" w:right="38" w:firstLine="170"/>
        <w:jc w:val="both"/>
        <w:rPr>
          <w:sz w:val="17"/>
        </w:rPr>
      </w:pPr>
      <w:r>
        <w:rPr/>
        <w:pict>
          <v:line style="position:absolute;mso-position-horizontal-relative:page;mso-position-vertical-relative:page;z-index:2560" from="298.170502pt,64.473pt" to="298.170502pt,812.819pt" stroked="true" strokeweight=".533pt" strokecolor="#231f20">
            <v:stroke dashstyle="solid"/>
            <w10:wrap type="none"/>
          </v:line>
        </w:pict>
      </w:r>
      <w:bookmarkStart w:name="_bookmark64" w:id="68"/>
      <w:bookmarkEnd w:id="68"/>
      <w:r>
        <w:rPr/>
      </w:r>
      <w:bookmarkStart w:name="_bookmark64" w:id="69"/>
      <w:bookmarkEnd w:id="69"/>
      <w:r>
        <w:rPr>
          <w:color w:val="231F20"/>
          <w:sz w:val="17"/>
        </w:rPr>
        <w:t>soit</w:t>
      </w:r>
      <w:r>
        <w:rPr>
          <w:color w:val="231F20"/>
          <w:sz w:val="17"/>
        </w:rPr>
        <w:t> par addition ou altération de clauses, de déclarations ou de faits</w:t>
      </w:r>
      <w:r>
        <w:rPr>
          <w:color w:val="231F20"/>
          <w:spacing w:val="13"/>
          <w:sz w:val="17"/>
        </w:rPr>
        <w:t> </w:t>
      </w:r>
      <w:r>
        <w:rPr>
          <w:color w:val="231F20"/>
          <w:sz w:val="17"/>
        </w:rPr>
        <w:t>que</w:t>
      </w:r>
      <w:r>
        <w:rPr>
          <w:color w:val="231F20"/>
          <w:spacing w:val="14"/>
          <w:sz w:val="17"/>
        </w:rPr>
        <w:t> </w:t>
      </w:r>
      <w:r>
        <w:rPr>
          <w:color w:val="231F20"/>
          <w:sz w:val="17"/>
        </w:rPr>
        <w:t>ces</w:t>
      </w:r>
      <w:r>
        <w:rPr>
          <w:color w:val="231F20"/>
          <w:spacing w:val="14"/>
          <w:sz w:val="17"/>
        </w:rPr>
        <w:t> </w:t>
      </w:r>
      <w:r>
        <w:rPr>
          <w:color w:val="231F20"/>
          <w:sz w:val="17"/>
        </w:rPr>
        <w:t>actes</w:t>
      </w:r>
      <w:r>
        <w:rPr>
          <w:color w:val="231F20"/>
          <w:spacing w:val="14"/>
          <w:sz w:val="17"/>
        </w:rPr>
        <w:t> </w:t>
      </w:r>
      <w:r>
        <w:rPr>
          <w:color w:val="231F20"/>
          <w:sz w:val="17"/>
        </w:rPr>
        <w:t>ont</w:t>
      </w:r>
      <w:r>
        <w:rPr>
          <w:color w:val="231F20"/>
          <w:spacing w:val="14"/>
          <w:sz w:val="17"/>
        </w:rPr>
        <w:t> </w:t>
      </w:r>
      <w:r>
        <w:rPr>
          <w:color w:val="231F20"/>
          <w:sz w:val="17"/>
        </w:rPr>
        <w:t>pour</w:t>
      </w:r>
      <w:r>
        <w:rPr>
          <w:color w:val="231F20"/>
          <w:spacing w:val="14"/>
          <w:sz w:val="17"/>
        </w:rPr>
        <w:t> </w:t>
      </w:r>
      <w:r>
        <w:rPr>
          <w:color w:val="231F20"/>
          <w:sz w:val="17"/>
        </w:rPr>
        <w:t>objet</w:t>
      </w:r>
      <w:r>
        <w:rPr>
          <w:color w:val="231F20"/>
          <w:spacing w:val="14"/>
          <w:sz w:val="17"/>
        </w:rPr>
        <w:t> </w:t>
      </w:r>
      <w:r>
        <w:rPr>
          <w:color w:val="231F20"/>
          <w:sz w:val="17"/>
        </w:rPr>
        <w:t>de</w:t>
      </w:r>
      <w:r>
        <w:rPr>
          <w:color w:val="231F20"/>
          <w:spacing w:val="14"/>
          <w:sz w:val="17"/>
        </w:rPr>
        <w:t> </w:t>
      </w:r>
      <w:r>
        <w:rPr>
          <w:color w:val="231F20"/>
          <w:sz w:val="17"/>
        </w:rPr>
        <w:t>recevoir</w:t>
      </w:r>
      <w:r>
        <w:rPr>
          <w:color w:val="231F20"/>
          <w:spacing w:val="14"/>
          <w:sz w:val="17"/>
        </w:rPr>
        <w:t> </w:t>
      </w:r>
      <w:r>
        <w:rPr>
          <w:color w:val="231F20"/>
          <w:sz w:val="17"/>
        </w:rPr>
        <w:t>et</w:t>
      </w:r>
      <w:r>
        <w:rPr>
          <w:color w:val="231F20"/>
          <w:spacing w:val="14"/>
          <w:sz w:val="17"/>
        </w:rPr>
        <w:t> </w:t>
      </w:r>
      <w:r>
        <w:rPr>
          <w:color w:val="231F20"/>
          <w:sz w:val="17"/>
        </w:rPr>
        <w:t>de</w:t>
      </w:r>
      <w:r>
        <w:rPr>
          <w:color w:val="231F20"/>
          <w:spacing w:val="14"/>
          <w:sz w:val="17"/>
        </w:rPr>
        <w:t> </w:t>
      </w:r>
      <w:r>
        <w:rPr>
          <w:color w:val="231F20"/>
          <w:sz w:val="17"/>
        </w:rPr>
        <w:t>constater;</w:t>
      </w:r>
    </w:p>
    <w:p>
      <w:pPr>
        <w:pStyle w:val="BodyText"/>
        <w:spacing w:before="8"/>
        <w:ind w:left="0" w:right="0" w:firstLine="0"/>
        <w:jc w:val="left"/>
        <w:rPr>
          <w:sz w:val="22"/>
        </w:rPr>
      </w:pPr>
    </w:p>
    <w:p>
      <w:pPr>
        <w:pStyle w:val="BodyText"/>
        <w:ind w:left="283" w:right="0" w:firstLine="0"/>
        <w:jc w:val="left"/>
      </w:pPr>
      <w:r>
        <w:rPr>
          <w:color w:val="231F20"/>
        </w:rPr>
        <w:t>2° ceux qui auront fait usage de ces faux.</w:t>
      </w:r>
    </w:p>
    <w:p>
      <w:pPr>
        <w:pStyle w:val="BodyText"/>
        <w:spacing w:line="218" w:lineRule="auto" w:before="78"/>
        <w:ind w:right="38"/>
      </w:pPr>
      <w:r>
        <w:rPr>
          <w:color w:val="231F20"/>
        </w:rPr>
        <w:t>Pour l’application de l’alinéa 1</w:t>
      </w:r>
      <w:r>
        <w:rPr>
          <w:color w:val="231F20"/>
          <w:position w:val="7"/>
          <w:sz w:val="11"/>
        </w:rPr>
        <w:t>er</w:t>
      </w:r>
      <w:r>
        <w:rPr>
          <w:color w:val="231F20"/>
        </w:rPr>
        <w:t>, les comptes annuels existent dès qu’ils sont soumis à l’inspection des associés ou actionnaires.</w:t>
      </w:r>
    </w:p>
    <w:p>
      <w:pPr>
        <w:pStyle w:val="BodyText"/>
        <w:spacing w:line="211" w:lineRule="auto" w:before="100"/>
        <w:ind w:right="38"/>
      </w:pPr>
      <w:r>
        <w:rPr>
          <w:color w:val="231F20"/>
        </w:rPr>
        <w:t>Art. 3:45. Les membres d’un organe d’administration ainsi que les personnes chargées de la gestion d’un établissement en Belgique qui contreviennent à l’une des obligations visées aux articles 2:24, § 1</w:t>
      </w:r>
      <w:r>
        <w:rPr>
          <w:color w:val="231F20"/>
          <w:position w:val="7"/>
          <w:sz w:val="11"/>
        </w:rPr>
        <w:t>er</w:t>
      </w:r>
      <w:r>
        <w:rPr>
          <w:color w:val="231F20"/>
        </w:rPr>
        <w:t>, 7°,</w:t>
      </w:r>
    </w:p>
    <w:p>
      <w:pPr>
        <w:pStyle w:val="BodyText"/>
        <w:spacing w:line="218" w:lineRule="auto"/>
        <w:ind w:right="39" w:firstLine="0"/>
      </w:pPr>
      <w:r>
        <w:rPr>
          <w:color w:val="231F20"/>
        </w:rPr>
        <w:t>§ 2, 8°, et § 3, 2°, 3:5 et  3:6  seront  punis  d’une  amende  de  cinquante</w:t>
      </w:r>
      <w:r>
        <w:rPr>
          <w:color w:val="231F20"/>
          <w:spacing w:val="15"/>
        </w:rPr>
        <w:t> </w:t>
      </w:r>
      <w:r>
        <w:rPr>
          <w:color w:val="231F20"/>
        </w:rPr>
        <w:t>euros</w:t>
      </w:r>
      <w:r>
        <w:rPr>
          <w:color w:val="231F20"/>
          <w:spacing w:val="15"/>
        </w:rPr>
        <w:t> </w:t>
      </w:r>
      <w:r>
        <w:rPr>
          <w:color w:val="231F20"/>
        </w:rPr>
        <w:t>à</w:t>
      </w:r>
      <w:r>
        <w:rPr>
          <w:color w:val="231F20"/>
          <w:spacing w:val="15"/>
        </w:rPr>
        <w:t> </w:t>
      </w:r>
      <w:r>
        <w:rPr>
          <w:color w:val="231F20"/>
        </w:rPr>
        <w:t>dix</w:t>
      </w:r>
      <w:r>
        <w:rPr>
          <w:color w:val="231F20"/>
          <w:spacing w:val="15"/>
        </w:rPr>
        <w:t> </w:t>
      </w:r>
      <w:r>
        <w:rPr>
          <w:color w:val="231F20"/>
        </w:rPr>
        <w:t>mille</w:t>
      </w:r>
      <w:r>
        <w:rPr>
          <w:color w:val="231F20"/>
          <w:spacing w:val="15"/>
        </w:rPr>
        <w:t> </w:t>
      </w:r>
      <w:r>
        <w:rPr>
          <w:color w:val="231F20"/>
        </w:rPr>
        <w:t>euros.</w:t>
      </w:r>
    </w:p>
    <w:p>
      <w:pPr>
        <w:pStyle w:val="BodyText"/>
        <w:spacing w:line="218" w:lineRule="auto" w:before="94"/>
        <w:ind w:right="38"/>
      </w:pPr>
      <w:r>
        <w:rPr>
          <w:color w:val="231F20"/>
        </w:rPr>
        <w:t>Si la violation de ces dispositions a lieu dans un but frauduleux, ils peuvent en outre être punis d’un emprisonnement d’un mois à un an  ou</w:t>
      </w:r>
      <w:r>
        <w:rPr>
          <w:color w:val="231F20"/>
          <w:spacing w:val="15"/>
        </w:rPr>
        <w:t> </w:t>
      </w:r>
      <w:r>
        <w:rPr>
          <w:color w:val="231F20"/>
        </w:rPr>
        <w:t>de</w:t>
      </w:r>
      <w:r>
        <w:rPr>
          <w:color w:val="231F20"/>
          <w:spacing w:val="16"/>
        </w:rPr>
        <w:t> </w:t>
      </w:r>
      <w:r>
        <w:rPr>
          <w:color w:val="231F20"/>
        </w:rPr>
        <w:t>ces</w:t>
      </w:r>
      <w:r>
        <w:rPr>
          <w:color w:val="231F20"/>
          <w:spacing w:val="15"/>
        </w:rPr>
        <w:t> </w:t>
      </w:r>
      <w:r>
        <w:rPr>
          <w:color w:val="231F20"/>
        </w:rPr>
        <w:t>deux</w:t>
      </w:r>
      <w:r>
        <w:rPr>
          <w:color w:val="231F20"/>
          <w:spacing w:val="16"/>
        </w:rPr>
        <w:t> </w:t>
      </w:r>
      <w:r>
        <w:rPr>
          <w:color w:val="231F20"/>
        </w:rPr>
        <w:t>peines</w:t>
      </w:r>
      <w:r>
        <w:rPr>
          <w:color w:val="231F20"/>
          <w:spacing w:val="15"/>
        </w:rPr>
        <w:t> </w:t>
      </w:r>
      <w:r>
        <w:rPr>
          <w:color w:val="231F20"/>
        </w:rPr>
        <w:t>cumulées.</w:t>
      </w:r>
    </w:p>
    <w:p>
      <w:pPr>
        <w:pStyle w:val="BodyText"/>
        <w:spacing w:line="216" w:lineRule="auto" w:before="98"/>
        <w:ind w:right="38"/>
      </w:pPr>
      <w:r>
        <w:rPr>
          <w:color w:val="231F20"/>
        </w:rPr>
        <w:t>Art. 3:46. Sera punie des peines prévues à l’article 458 du Code pénal toute personne exerçant des fonctions à la Banque nationale de Belgique qui aura communiqué à une personne étrangère à celle-ci ou publié soit des renseignements individuels, transmis à la Banque nationale de Belgique en vertu de l’article 3:18, alinéa 1</w:t>
      </w:r>
      <w:r>
        <w:rPr>
          <w:color w:val="231F20"/>
          <w:position w:val="7"/>
          <w:sz w:val="11"/>
        </w:rPr>
        <w:t>er</w:t>
      </w:r>
      <w:r>
        <w:rPr>
          <w:color w:val="231F20"/>
        </w:rPr>
        <w:t>, sans l’autorisation préalable du déclarant ou du recensé, soit des statistiques globales et anonymes qui ont été établies par la Banque nationale de Belgique en vertu de l’article 3:18 et dans lesquelles sont englobées des éléments qui ont été transmis à la Banque nationale de Belgique en application de l’article 3:18, alinéa 1</w:t>
      </w:r>
      <w:r>
        <w:rPr>
          <w:color w:val="231F20"/>
          <w:position w:val="7"/>
          <w:sz w:val="11"/>
        </w:rPr>
        <w:t>er</w:t>
      </w:r>
      <w:r>
        <w:rPr>
          <w:color w:val="231F20"/>
        </w:rPr>
        <w:t>, mais qui n’ont pas encore fait l’objet d’une publication ni par la Direction générale Statistique – Statistics Belgium du Service Public Fédéral Economie, P.M.E., Classes moyennes et Energie ni par la Banque nationale de Belgique.</w:t>
      </w:r>
    </w:p>
    <w:p>
      <w:pPr>
        <w:pStyle w:val="BodyText"/>
        <w:spacing w:before="76"/>
        <w:ind w:left="283" w:right="0" w:firstLine="0"/>
        <w:jc w:val="left"/>
      </w:pPr>
      <w:r>
        <w:rPr>
          <w:color w:val="231F20"/>
        </w:rPr>
        <w:t>TITRE 2. Comptes annuels et budgets des associations.</w:t>
      </w:r>
    </w:p>
    <w:p>
      <w:pPr>
        <w:pStyle w:val="BodyText"/>
        <w:spacing w:line="218" w:lineRule="auto" w:before="78"/>
        <w:ind w:right="38"/>
      </w:pPr>
      <w:r>
        <w:rPr>
          <w:color w:val="231F20"/>
        </w:rPr>
        <w:t>Art. 3:47. § 1</w:t>
      </w:r>
      <w:r>
        <w:rPr>
          <w:color w:val="231F20"/>
          <w:position w:val="7"/>
          <w:sz w:val="11"/>
        </w:rPr>
        <w:t>er</w:t>
      </w:r>
      <w:r>
        <w:rPr>
          <w:color w:val="231F20"/>
        </w:rPr>
        <w:t>. L’organe d’administration établit chaque année des comptes annuels, dont la forme et le contenu sont déterminés par le Roi.</w:t>
      </w:r>
    </w:p>
    <w:p>
      <w:pPr>
        <w:pStyle w:val="BodyText"/>
        <w:spacing w:line="218" w:lineRule="auto" w:before="96"/>
        <w:ind w:right="38"/>
      </w:pPr>
      <w:r>
        <w:rPr>
          <w:color w:val="231F20"/>
        </w:rPr>
        <w:t>Les comptes annuels de l’ASBL ou l’AISBL, ainsi que le budget de l’exercice social qui suit l’exercice social sur lequel portent ces comptes annuels, doivent être soumis pour approbation à l’assemblée générale dans les six mois de la date de clôture de l’exercice social.</w:t>
      </w:r>
    </w:p>
    <w:p>
      <w:pPr>
        <w:pStyle w:val="BodyText"/>
        <w:spacing w:before="11"/>
        <w:ind w:left="0" w:right="0" w:firstLine="0"/>
        <w:jc w:val="left"/>
        <w:rPr>
          <w:sz w:val="23"/>
        </w:rPr>
      </w:pPr>
    </w:p>
    <w:p>
      <w:pPr>
        <w:pStyle w:val="BodyText"/>
        <w:spacing w:line="218" w:lineRule="auto"/>
        <w:ind w:right="38"/>
      </w:pPr>
      <w:r>
        <w:rPr>
          <w:color w:val="231F20"/>
        </w:rPr>
        <w:t>L’organe d’administration dresse chaque année un inventaire suivant les critères d’évaluation fixés par le Roi.</w:t>
      </w:r>
    </w:p>
    <w:p>
      <w:pPr>
        <w:pStyle w:val="BodyText"/>
        <w:spacing w:line="218" w:lineRule="auto" w:before="96"/>
        <w:ind w:right="38"/>
      </w:pPr>
      <w:r>
        <w:rPr>
          <w:color w:val="231F20"/>
        </w:rPr>
        <w:t>§ 2. Les petites ASBL ou AISBL peuvent établir leurs comptes</w:t>
      </w:r>
      <w:r>
        <w:rPr>
          <w:color w:val="231F20"/>
          <w:spacing w:val="-23"/>
        </w:rPr>
        <w:t> </w:t>
      </w:r>
      <w:r>
        <w:rPr>
          <w:color w:val="231F20"/>
        </w:rPr>
        <w:t>annuels conformément à un modèle simplifié déterminé par le Roi si, à la date du bilan du dernier exercice clôturé, elles ne dépassent pas plus d’un des critères</w:t>
      </w:r>
      <w:r>
        <w:rPr>
          <w:color w:val="231F20"/>
          <w:spacing w:val="-12"/>
        </w:rPr>
        <w:t> </w:t>
      </w:r>
      <w:r>
        <w:rPr>
          <w:color w:val="231F20"/>
        </w:rPr>
        <w:t>suivants:</w:t>
      </w:r>
    </w:p>
    <w:p>
      <w:pPr>
        <w:pStyle w:val="BodyText"/>
        <w:spacing w:line="218" w:lineRule="auto" w:before="96"/>
        <w:ind w:right="38"/>
      </w:pPr>
      <w:r>
        <w:rPr>
          <w:color w:val="231F20"/>
        </w:rPr>
        <w:t>1° un nombre de travailleurs en moyenne annuelle de 5, déterminé conformément l’article 1:28, § 5;</w:t>
      </w:r>
    </w:p>
    <w:p>
      <w:pPr>
        <w:pStyle w:val="BodyText"/>
        <w:spacing w:line="218" w:lineRule="auto" w:before="96"/>
        <w:ind w:right="38"/>
      </w:pPr>
      <w:r>
        <w:rPr>
          <w:color w:val="231F20"/>
        </w:rPr>
        <w:t>2°</w:t>
      </w:r>
      <w:r>
        <w:rPr>
          <w:color w:val="231F20"/>
          <w:spacing w:val="-11"/>
        </w:rPr>
        <w:t> </w:t>
      </w:r>
      <w:r>
        <w:rPr>
          <w:color w:val="231F20"/>
        </w:rPr>
        <w:t>334</w:t>
      </w:r>
      <w:r>
        <w:rPr>
          <w:color w:val="231F20"/>
          <w:spacing w:val="-10"/>
        </w:rPr>
        <w:t> </w:t>
      </w:r>
      <w:r>
        <w:rPr>
          <w:color w:val="231F20"/>
        </w:rPr>
        <w:t>500</w:t>
      </w:r>
      <w:r>
        <w:rPr>
          <w:color w:val="231F20"/>
          <w:spacing w:val="-10"/>
        </w:rPr>
        <w:t> </w:t>
      </w:r>
      <w:r>
        <w:rPr>
          <w:color w:val="231F20"/>
        </w:rPr>
        <w:t>euros</w:t>
      </w:r>
      <w:r>
        <w:rPr>
          <w:color w:val="231F20"/>
          <w:spacing w:val="-10"/>
        </w:rPr>
        <w:t> </w:t>
      </w:r>
      <w:r>
        <w:rPr>
          <w:color w:val="231F20"/>
        </w:rPr>
        <w:t>pour</w:t>
      </w:r>
      <w:r>
        <w:rPr>
          <w:color w:val="231F20"/>
          <w:spacing w:val="-10"/>
        </w:rPr>
        <w:t> </w:t>
      </w:r>
      <w:r>
        <w:rPr>
          <w:color w:val="231F20"/>
        </w:rPr>
        <w:t>le</w:t>
      </w:r>
      <w:r>
        <w:rPr>
          <w:color w:val="231F20"/>
          <w:spacing w:val="-10"/>
        </w:rPr>
        <w:t> </w:t>
      </w:r>
      <w:r>
        <w:rPr>
          <w:color w:val="231F20"/>
        </w:rPr>
        <w:t>total</w:t>
      </w:r>
      <w:r>
        <w:rPr>
          <w:color w:val="231F20"/>
          <w:spacing w:val="-11"/>
        </w:rPr>
        <w:t> </w:t>
      </w:r>
      <w:r>
        <w:rPr>
          <w:color w:val="231F20"/>
        </w:rPr>
        <w:t>des</w:t>
      </w:r>
      <w:r>
        <w:rPr>
          <w:color w:val="231F20"/>
          <w:spacing w:val="-10"/>
        </w:rPr>
        <w:t> </w:t>
      </w:r>
      <w:r>
        <w:rPr>
          <w:color w:val="231F20"/>
        </w:rPr>
        <w:t>recettes,</w:t>
      </w:r>
      <w:r>
        <w:rPr>
          <w:color w:val="231F20"/>
          <w:spacing w:val="-10"/>
        </w:rPr>
        <w:t> </w:t>
      </w:r>
      <w:r>
        <w:rPr>
          <w:color w:val="231F20"/>
        </w:rPr>
        <w:t>autres</w:t>
      </w:r>
      <w:r>
        <w:rPr>
          <w:color w:val="231F20"/>
          <w:spacing w:val="-10"/>
        </w:rPr>
        <w:t> </w:t>
      </w:r>
      <w:r>
        <w:rPr>
          <w:color w:val="231F20"/>
        </w:rPr>
        <w:t>que</w:t>
      </w:r>
      <w:r>
        <w:rPr>
          <w:color w:val="231F20"/>
          <w:spacing w:val="-10"/>
        </w:rPr>
        <w:t> </w:t>
      </w:r>
      <w:r>
        <w:rPr>
          <w:color w:val="231F20"/>
        </w:rPr>
        <w:t>non</w:t>
      </w:r>
      <w:r>
        <w:rPr>
          <w:color w:val="231F20"/>
          <w:spacing w:val="-10"/>
        </w:rPr>
        <w:t> </w:t>
      </w:r>
      <w:r>
        <w:rPr>
          <w:color w:val="231F20"/>
        </w:rPr>
        <w:t>récurrentes, hors</w:t>
      </w:r>
      <w:r>
        <w:rPr>
          <w:color w:val="231F20"/>
          <w:spacing w:val="14"/>
        </w:rPr>
        <w:t> </w:t>
      </w:r>
      <w:r>
        <w:rPr>
          <w:color w:val="231F20"/>
        </w:rPr>
        <w:t>taxe</w:t>
      </w:r>
      <w:r>
        <w:rPr>
          <w:color w:val="231F20"/>
          <w:spacing w:val="15"/>
        </w:rPr>
        <w:t> </w:t>
      </w:r>
      <w:r>
        <w:rPr>
          <w:color w:val="231F20"/>
        </w:rPr>
        <w:t>sur</w:t>
      </w:r>
      <w:r>
        <w:rPr>
          <w:color w:val="231F20"/>
          <w:spacing w:val="15"/>
        </w:rPr>
        <w:t> </w:t>
      </w:r>
      <w:r>
        <w:rPr>
          <w:color w:val="231F20"/>
        </w:rPr>
        <w:t>la</w:t>
      </w:r>
      <w:r>
        <w:rPr>
          <w:color w:val="231F20"/>
          <w:spacing w:val="15"/>
        </w:rPr>
        <w:t> </w:t>
      </w:r>
      <w:r>
        <w:rPr>
          <w:color w:val="231F20"/>
        </w:rPr>
        <w:t>valeur</w:t>
      </w:r>
      <w:r>
        <w:rPr>
          <w:color w:val="231F20"/>
          <w:spacing w:val="15"/>
        </w:rPr>
        <w:t> </w:t>
      </w:r>
      <w:r>
        <w:rPr>
          <w:color w:val="231F20"/>
        </w:rPr>
        <w:t>ajoutée;</w:t>
      </w:r>
    </w:p>
    <w:p>
      <w:pPr>
        <w:pStyle w:val="BodyText"/>
        <w:spacing w:before="83"/>
        <w:ind w:left="283" w:right="0" w:firstLine="0"/>
        <w:jc w:val="left"/>
      </w:pPr>
      <w:r>
        <w:rPr>
          <w:color w:val="231F20"/>
        </w:rPr>
        <w:t>3°</w:t>
      </w:r>
      <w:r>
        <w:rPr>
          <w:color w:val="231F20"/>
          <w:spacing w:val="7"/>
        </w:rPr>
        <w:t> </w:t>
      </w:r>
      <w:r>
        <w:rPr>
          <w:color w:val="231F20"/>
        </w:rPr>
        <w:t>1</w:t>
      </w:r>
      <w:r>
        <w:rPr>
          <w:color w:val="231F20"/>
          <w:spacing w:val="8"/>
        </w:rPr>
        <w:t> </w:t>
      </w:r>
      <w:r>
        <w:rPr>
          <w:color w:val="231F20"/>
        </w:rPr>
        <w:t>337</w:t>
      </w:r>
      <w:r>
        <w:rPr>
          <w:color w:val="231F20"/>
          <w:spacing w:val="8"/>
        </w:rPr>
        <w:t> </w:t>
      </w:r>
      <w:r>
        <w:rPr>
          <w:color w:val="231F20"/>
        </w:rPr>
        <w:t>000</w:t>
      </w:r>
      <w:r>
        <w:rPr>
          <w:color w:val="231F20"/>
          <w:spacing w:val="7"/>
        </w:rPr>
        <w:t> </w:t>
      </w:r>
      <w:r>
        <w:rPr>
          <w:color w:val="231F20"/>
        </w:rPr>
        <w:t>euros</w:t>
      </w:r>
      <w:r>
        <w:rPr>
          <w:color w:val="231F20"/>
          <w:spacing w:val="8"/>
        </w:rPr>
        <w:t> </w:t>
      </w:r>
      <w:r>
        <w:rPr>
          <w:color w:val="231F20"/>
        </w:rPr>
        <w:t>pour</w:t>
      </w:r>
      <w:r>
        <w:rPr>
          <w:color w:val="231F20"/>
          <w:spacing w:val="8"/>
        </w:rPr>
        <w:t> </w:t>
      </w:r>
      <w:r>
        <w:rPr>
          <w:color w:val="231F20"/>
        </w:rPr>
        <w:t>le</w:t>
      </w:r>
      <w:r>
        <w:rPr>
          <w:color w:val="231F20"/>
          <w:spacing w:val="8"/>
        </w:rPr>
        <w:t> </w:t>
      </w:r>
      <w:r>
        <w:rPr>
          <w:color w:val="231F20"/>
        </w:rPr>
        <w:t>total</w:t>
      </w:r>
      <w:r>
        <w:rPr>
          <w:color w:val="231F20"/>
          <w:spacing w:val="7"/>
        </w:rPr>
        <w:t> </w:t>
      </w:r>
      <w:r>
        <w:rPr>
          <w:color w:val="231F20"/>
        </w:rPr>
        <w:t>des</w:t>
      </w:r>
      <w:r>
        <w:rPr>
          <w:color w:val="231F20"/>
          <w:spacing w:val="8"/>
        </w:rPr>
        <w:t> </w:t>
      </w:r>
      <w:r>
        <w:rPr>
          <w:color w:val="231F20"/>
        </w:rPr>
        <w:t>avoirs;</w:t>
      </w:r>
    </w:p>
    <w:p>
      <w:pPr>
        <w:pStyle w:val="BodyText"/>
        <w:spacing w:before="78"/>
        <w:ind w:left="283" w:right="0" w:firstLine="0"/>
        <w:jc w:val="left"/>
      </w:pPr>
      <w:r>
        <w:rPr>
          <w:color w:val="231F20"/>
        </w:rPr>
        <w:t>4°</w:t>
      </w:r>
      <w:r>
        <w:rPr>
          <w:color w:val="231F20"/>
          <w:spacing w:val="7"/>
        </w:rPr>
        <w:t> </w:t>
      </w:r>
      <w:r>
        <w:rPr>
          <w:color w:val="231F20"/>
        </w:rPr>
        <w:t>1</w:t>
      </w:r>
      <w:r>
        <w:rPr>
          <w:color w:val="231F20"/>
          <w:spacing w:val="7"/>
        </w:rPr>
        <w:t> </w:t>
      </w:r>
      <w:r>
        <w:rPr>
          <w:color w:val="231F20"/>
        </w:rPr>
        <w:t>337</w:t>
      </w:r>
      <w:r>
        <w:rPr>
          <w:color w:val="231F20"/>
          <w:spacing w:val="7"/>
        </w:rPr>
        <w:t> </w:t>
      </w:r>
      <w:r>
        <w:rPr>
          <w:color w:val="231F20"/>
        </w:rPr>
        <w:t>000</w:t>
      </w:r>
      <w:r>
        <w:rPr>
          <w:color w:val="231F20"/>
          <w:spacing w:val="7"/>
        </w:rPr>
        <w:t> </w:t>
      </w:r>
      <w:r>
        <w:rPr>
          <w:color w:val="231F20"/>
        </w:rPr>
        <w:t>euros</w:t>
      </w:r>
      <w:r>
        <w:rPr>
          <w:color w:val="231F20"/>
          <w:spacing w:val="7"/>
        </w:rPr>
        <w:t> </w:t>
      </w:r>
      <w:r>
        <w:rPr>
          <w:color w:val="231F20"/>
        </w:rPr>
        <w:t>pour</w:t>
      </w:r>
      <w:r>
        <w:rPr>
          <w:color w:val="231F20"/>
          <w:spacing w:val="7"/>
        </w:rPr>
        <w:t> </w:t>
      </w:r>
      <w:r>
        <w:rPr>
          <w:color w:val="231F20"/>
        </w:rPr>
        <w:t>le</w:t>
      </w:r>
      <w:r>
        <w:rPr>
          <w:color w:val="231F20"/>
          <w:spacing w:val="7"/>
        </w:rPr>
        <w:t> </w:t>
      </w:r>
      <w:r>
        <w:rPr>
          <w:color w:val="231F20"/>
        </w:rPr>
        <w:t>total</w:t>
      </w:r>
      <w:r>
        <w:rPr>
          <w:color w:val="231F20"/>
          <w:spacing w:val="7"/>
        </w:rPr>
        <w:t> </w:t>
      </w:r>
      <w:r>
        <w:rPr>
          <w:color w:val="231F20"/>
        </w:rPr>
        <w:t>des</w:t>
      </w:r>
      <w:r>
        <w:rPr>
          <w:color w:val="231F20"/>
          <w:spacing w:val="7"/>
        </w:rPr>
        <w:t> </w:t>
      </w:r>
      <w:r>
        <w:rPr>
          <w:color w:val="231F20"/>
        </w:rPr>
        <w:t>dettes.</w:t>
      </w:r>
    </w:p>
    <w:p>
      <w:pPr>
        <w:pStyle w:val="BodyText"/>
        <w:spacing w:line="218" w:lineRule="auto" w:before="78"/>
        <w:ind w:right="38"/>
      </w:pPr>
      <w:r>
        <w:rPr>
          <w:color w:val="231F20"/>
        </w:rPr>
        <w:t>Le Roi peut adapter les montants visés à l’alinéa 1</w:t>
      </w:r>
      <w:r>
        <w:rPr>
          <w:color w:val="231F20"/>
          <w:position w:val="7"/>
          <w:sz w:val="11"/>
        </w:rPr>
        <w:t>er </w:t>
      </w:r>
      <w:r>
        <w:rPr>
          <w:color w:val="231F20"/>
        </w:rPr>
        <w:t>à l’évolution de l’indice des prix à la consommation.</w:t>
      </w:r>
    </w:p>
    <w:p>
      <w:pPr>
        <w:pStyle w:val="BodyText"/>
        <w:spacing w:line="218" w:lineRule="auto" w:before="96"/>
        <w:ind w:right="38"/>
      </w:pPr>
      <w:r>
        <w:rPr>
          <w:color w:val="231F20"/>
        </w:rPr>
        <w:t>§ 3. Les ASBL ou AISBL peuvent établir leurs comptes annuels suivant un schéma abrégé déterminé par le Roi.</w:t>
      </w:r>
    </w:p>
    <w:p>
      <w:pPr>
        <w:pStyle w:val="BodyText"/>
        <w:spacing w:line="218" w:lineRule="auto" w:before="107"/>
        <w:ind w:right="38"/>
      </w:pPr>
      <w:r>
        <w:rPr>
          <w:color w:val="231F20"/>
        </w:rPr>
        <w:t>§ 4. Les micro-ASBL ou micro-AISBL peuvent établir leurs comptes annuels suivant un microschéma déterminé par le Roi.</w:t>
      </w:r>
    </w:p>
    <w:p>
      <w:pPr>
        <w:pStyle w:val="BodyText"/>
        <w:spacing w:line="218" w:lineRule="auto" w:before="91"/>
        <w:ind w:right="38"/>
      </w:pPr>
      <w:r>
        <w:rPr>
          <w:color w:val="231F20"/>
        </w:rPr>
        <w:t>§ 5. Le paragraphe 1</w:t>
      </w:r>
      <w:r>
        <w:rPr>
          <w:color w:val="231F20"/>
          <w:position w:val="7"/>
          <w:sz w:val="11"/>
        </w:rPr>
        <w:t>er</w:t>
      </w:r>
      <w:r>
        <w:rPr>
          <w:color w:val="231F20"/>
        </w:rPr>
        <w:t>, alinéa 3, et les paragraphes 2 à 3 ne sont pas applicables aux:</w:t>
      </w:r>
    </w:p>
    <w:p>
      <w:pPr>
        <w:pStyle w:val="BodyText"/>
        <w:spacing w:line="218" w:lineRule="auto" w:before="107"/>
        <w:ind w:right="38"/>
      </w:pPr>
      <w:r>
        <w:rPr>
          <w:color w:val="231F20"/>
        </w:rPr>
        <w:t>1° aux ASBL ou AISBL soumises, en raison de la nature des activités qu’elles exercent à titre principal, à des règles particulières, résultant d’une législation ou d’une réglementation publique, relatives à la tenue de leur comptabilité et à leurs comptes annuels, pour autant qu’elles soient</w:t>
      </w:r>
      <w:r>
        <w:rPr>
          <w:color w:val="231F20"/>
          <w:spacing w:val="6"/>
        </w:rPr>
        <w:t> </w:t>
      </w:r>
      <w:r>
        <w:rPr>
          <w:color w:val="231F20"/>
        </w:rPr>
        <w:t>au</w:t>
      </w:r>
      <w:r>
        <w:rPr>
          <w:color w:val="231F20"/>
          <w:spacing w:val="7"/>
        </w:rPr>
        <w:t> </w:t>
      </w:r>
      <w:r>
        <w:rPr>
          <w:color w:val="231F20"/>
        </w:rPr>
        <w:t>moins</w:t>
      </w:r>
      <w:r>
        <w:rPr>
          <w:color w:val="231F20"/>
          <w:spacing w:val="7"/>
        </w:rPr>
        <w:t> </w:t>
      </w:r>
      <w:r>
        <w:rPr>
          <w:color w:val="231F20"/>
        </w:rPr>
        <w:t>équivalentes</w:t>
      </w:r>
      <w:r>
        <w:rPr>
          <w:color w:val="231F20"/>
          <w:spacing w:val="6"/>
        </w:rPr>
        <w:t> </w:t>
      </w:r>
      <w:r>
        <w:rPr>
          <w:color w:val="231F20"/>
        </w:rPr>
        <w:t>à</w:t>
      </w:r>
      <w:r>
        <w:rPr>
          <w:color w:val="231F20"/>
          <w:spacing w:val="7"/>
        </w:rPr>
        <w:t> </w:t>
      </w:r>
      <w:r>
        <w:rPr>
          <w:color w:val="231F20"/>
        </w:rPr>
        <w:t>celles</w:t>
      </w:r>
      <w:r>
        <w:rPr>
          <w:color w:val="231F20"/>
          <w:spacing w:val="7"/>
        </w:rPr>
        <w:t> </w:t>
      </w:r>
      <w:r>
        <w:rPr>
          <w:color w:val="231F20"/>
        </w:rPr>
        <w:t>prévues</w:t>
      </w:r>
      <w:r>
        <w:rPr>
          <w:color w:val="231F20"/>
          <w:spacing w:val="6"/>
        </w:rPr>
        <w:t> </w:t>
      </w:r>
      <w:r>
        <w:rPr>
          <w:color w:val="231F20"/>
        </w:rPr>
        <w:t>en</w:t>
      </w:r>
      <w:r>
        <w:rPr>
          <w:color w:val="231F20"/>
          <w:spacing w:val="7"/>
        </w:rPr>
        <w:t> </w:t>
      </w:r>
      <w:r>
        <w:rPr>
          <w:color w:val="231F20"/>
        </w:rPr>
        <w:t>vertu</w:t>
      </w:r>
      <w:r>
        <w:rPr>
          <w:color w:val="231F20"/>
          <w:spacing w:val="7"/>
        </w:rPr>
        <w:t> </w:t>
      </w:r>
      <w:r>
        <w:rPr>
          <w:color w:val="231F20"/>
        </w:rPr>
        <w:t>du</w:t>
      </w:r>
      <w:r>
        <w:rPr>
          <w:color w:val="231F20"/>
          <w:spacing w:val="6"/>
        </w:rPr>
        <w:t> </w:t>
      </w:r>
      <w:r>
        <w:rPr>
          <w:color w:val="231F20"/>
        </w:rPr>
        <w:t>présent</w:t>
      </w:r>
      <w:r>
        <w:rPr>
          <w:color w:val="231F20"/>
          <w:spacing w:val="7"/>
        </w:rPr>
        <w:t> </w:t>
      </w:r>
      <w:r>
        <w:rPr>
          <w:color w:val="231F20"/>
        </w:rPr>
        <w:t>titre;</w:t>
      </w:r>
    </w:p>
    <w:p>
      <w:pPr>
        <w:pStyle w:val="BodyText"/>
        <w:spacing w:line="199" w:lineRule="exact" w:before="78"/>
        <w:ind w:left="283" w:right="0" w:firstLine="0"/>
        <w:jc w:val="left"/>
      </w:pPr>
      <w:r>
        <w:rPr>
          <w:color w:val="231F20"/>
        </w:rPr>
        <w:t>2°    aux    </w:t>
      </w:r>
      <w:r>
        <w:rPr>
          <w:color w:val="231F20"/>
          <w:spacing w:val="2"/>
        </w:rPr>
        <w:t>associations   visées   </w:t>
      </w:r>
      <w:r>
        <w:rPr>
          <w:color w:val="231F20"/>
        </w:rPr>
        <w:t>à    </w:t>
      </w:r>
      <w:r>
        <w:rPr>
          <w:color w:val="231F20"/>
          <w:spacing w:val="2"/>
        </w:rPr>
        <w:t>l’article   1</w:t>
      </w:r>
      <w:r>
        <w:rPr>
          <w:color w:val="231F20"/>
          <w:spacing w:val="2"/>
          <w:position w:val="7"/>
          <w:sz w:val="11"/>
        </w:rPr>
        <w:t>er</w:t>
      </w:r>
      <w:r>
        <w:rPr>
          <w:color w:val="231F20"/>
          <w:spacing w:val="2"/>
        </w:rPr>
        <w:t>,   </w:t>
      </w:r>
      <w:r>
        <w:rPr>
          <w:color w:val="231F20"/>
        </w:rPr>
        <w:t>1°,    de    la    loi</w:t>
      </w:r>
      <w:r>
        <w:rPr>
          <w:color w:val="231F20"/>
          <w:spacing w:val="27"/>
        </w:rPr>
        <w:t> </w:t>
      </w:r>
      <w:r>
        <w:rPr>
          <w:color w:val="231F20"/>
          <w:spacing w:val="3"/>
        </w:rPr>
        <w:t>du</w:t>
      </w:r>
    </w:p>
    <w:p>
      <w:pPr>
        <w:pStyle w:val="BodyText"/>
        <w:spacing w:line="218" w:lineRule="auto" w:before="6"/>
        <w:ind w:right="38" w:firstLine="0"/>
      </w:pPr>
      <w:r>
        <w:rPr>
          <w:color w:val="231F20"/>
        </w:rPr>
        <w:t>14 juillet 1989 relative à la limitation et au contrôle des dépenses électorales engagées pour les élections des Chambres fédérales, ainsi qu’au financement et à la comptabilité ouverte des partis politiques.</w:t>
      </w:r>
    </w:p>
    <w:p>
      <w:pPr>
        <w:pStyle w:val="BodyText"/>
        <w:spacing w:line="218" w:lineRule="auto" w:before="106"/>
        <w:ind w:right="38"/>
      </w:pPr>
      <w:r>
        <w:rPr>
          <w:color w:val="231F20"/>
        </w:rPr>
        <w:t>§</w:t>
      </w:r>
      <w:r>
        <w:rPr>
          <w:color w:val="231F20"/>
          <w:spacing w:val="-4"/>
        </w:rPr>
        <w:t> </w:t>
      </w:r>
      <w:r>
        <w:rPr>
          <w:color w:val="231F20"/>
        </w:rPr>
        <w:t>6.</w:t>
      </w:r>
      <w:r>
        <w:rPr>
          <w:color w:val="231F20"/>
          <w:spacing w:val="-4"/>
        </w:rPr>
        <w:t> </w:t>
      </w:r>
      <w:r>
        <w:rPr>
          <w:color w:val="231F20"/>
        </w:rPr>
        <w:t>Les</w:t>
      </w:r>
      <w:r>
        <w:rPr>
          <w:color w:val="231F20"/>
          <w:spacing w:val="-3"/>
        </w:rPr>
        <w:t> </w:t>
      </w:r>
      <w:r>
        <w:rPr>
          <w:color w:val="231F20"/>
        </w:rPr>
        <w:t>associations</w:t>
      </w:r>
      <w:r>
        <w:rPr>
          <w:color w:val="231F20"/>
          <w:spacing w:val="-4"/>
        </w:rPr>
        <w:t> </w:t>
      </w:r>
      <w:r>
        <w:rPr>
          <w:color w:val="231F20"/>
        </w:rPr>
        <w:t>autres</w:t>
      </w:r>
      <w:r>
        <w:rPr>
          <w:color w:val="231F20"/>
          <w:spacing w:val="-4"/>
        </w:rPr>
        <w:t> </w:t>
      </w:r>
      <w:r>
        <w:rPr>
          <w:color w:val="231F20"/>
        </w:rPr>
        <w:t>que</w:t>
      </w:r>
      <w:r>
        <w:rPr>
          <w:color w:val="231F20"/>
          <w:spacing w:val="-3"/>
        </w:rPr>
        <w:t> </w:t>
      </w:r>
      <w:r>
        <w:rPr>
          <w:color w:val="231F20"/>
        </w:rPr>
        <w:t>les</w:t>
      </w:r>
      <w:r>
        <w:rPr>
          <w:color w:val="231F20"/>
          <w:spacing w:val="-4"/>
        </w:rPr>
        <w:t> </w:t>
      </w:r>
      <w:r>
        <w:rPr>
          <w:color w:val="231F20"/>
        </w:rPr>
        <w:t>petites</w:t>
      </w:r>
      <w:r>
        <w:rPr>
          <w:color w:val="231F20"/>
          <w:spacing w:val="-9"/>
        </w:rPr>
        <w:t> </w:t>
      </w:r>
      <w:r>
        <w:rPr>
          <w:color w:val="231F20"/>
        </w:rPr>
        <w:t>ASBL</w:t>
      </w:r>
      <w:r>
        <w:rPr>
          <w:color w:val="231F20"/>
          <w:spacing w:val="-10"/>
        </w:rPr>
        <w:t> </w:t>
      </w:r>
      <w:r>
        <w:rPr>
          <w:color w:val="231F20"/>
        </w:rPr>
        <w:t>ou</w:t>
      </w:r>
      <w:r>
        <w:rPr>
          <w:color w:val="231F20"/>
          <w:spacing w:val="-9"/>
        </w:rPr>
        <w:t> </w:t>
      </w:r>
      <w:r>
        <w:rPr>
          <w:color w:val="231F20"/>
        </w:rPr>
        <w:t>AISBL</w:t>
      </w:r>
      <w:r>
        <w:rPr>
          <w:color w:val="231F20"/>
          <w:spacing w:val="-10"/>
        </w:rPr>
        <w:t> </w:t>
      </w:r>
      <w:r>
        <w:rPr>
          <w:color w:val="231F20"/>
        </w:rPr>
        <w:t>sont</w:t>
      </w:r>
      <w:r>
        <w:rPr>
          <w:color w:val="231F20"/>
          <w:spacing w:val="-3"/>
        </w:rPr>
        <w:t> </w:t>
      </w:r>
      <w:r>
        <w:rPr>
          <w:color w:val="231F20"/>
        </w:rPr>
        <w:t>tenues de confier à un ou plusieurs commissaires le contrôle de la situation financière, des comptes annuels et de la régularité au regard de la loi et des statuts, des opérations devant être constatées dans les comptes annuels.</w:t>
      </w:r>
    </w:p>
    <w:p>
      <w:pPr>
        <w:pStyle w:val="BodyText"/>
        <w:spacing w:line="218" w:lineRule="auto" w:before="107"/>
        <w:ind w:right="38"/>
      </w:pPr>
      <w:r>
        <w:rPr>
          <w:color w:val="231F20"/>
        </w:rPr>
        <w:t>Les commissaires sont nommés par l’assemblée générale parmi les membres, personnes physiques ou morales, de l’Institut des réviseurs d’entreprises.</w:t>
      </w:r>
    </w:p>
    <w:p>
      <w:pPr>
        <w:pStyle w:val="ListParagraph"/>
        <w:numPr>
          <w:ilvl w:val="0"/>
          <w:numId w:val="48"/>
        </w:numPr>
        <w:tabs>
          <w:tab w:pos="515" w:val="left" w:leader="none"/>
        </w:tabs>
        <w:spacing w:line="218" w:lineRule="auto" w:before="119" w:after="0"/>
        <w:ind w:left="113" w:right="124" w:firstLine="170"/>
        <w:jc w:val="both"/>
        <w:rPr>
          <w:sz w:val="17"/>
        </w:rPr>
      </w:pPr>
      <w:r>
        <w:rPr>
          <w:color w:val="231F20"/>
          <w:w w:val="99"/>
          <w:sz w:val="17"/>
        </w:rPr>
        <w:br w:type="column"/>
      </w:r>
      <w:r>
        <w:rPr>
          <w:color w:val="231F20"/>
          <w:sz w:val="17"/>
        </w:rPr>
        <w:t>hetzij door toevoeging of vervalsing van bedingen, verklaringen   of feiten die deze akten tot voorwerp hebben op te nemen of vast te stellen;</w:t>
      </w:r>
    </w:p>
    <w:p>
      <w:pPr>
        <w:pStyle w:val="BodyText"/>
        <w:spacing w:before="83"/>
        <w:ind w:left="283" w:right="0" w:firstLine="0"/>
        <w:jc w:val="left"/>
      </w:pPr>
      <w:r>
        <w:rPr>
          <w:color w:val="231F20"/>
        </w:rPr>
        <w:t>2° zij die gebruik maken van die valse akten.</w:t>
      </w:r>
    </w:p>
    <w:p>
      <w:pPr>
        <w:pStyle w:val="BodyText"/>
        <w:spacing w:line="218" w:lineRule="auto" w:before="92"/>
      </w:pPr>
      <w:r>
        <w:rPr>
          <w:color w:val="231F20"/>
          <w:spacing w:val="-5"/>
        </w:rPr>
        <w:t>Voor </w:t>
      </w:r>
      <w:r>
        <w:rPr>
          <w:color w:val="231F20"/>
        </w:rPr>
        <w:t>de toepassing van het eerste lid bestaat de jaarrekening, zodra zij</w:t>
      </w:r>
      <w:r>
        <w:rPr>
          <w:color w:val="231F20"/>
          <w:spacing w:val="18"/>
        </w:rPr>
        <w:t> </w:t>
      </w:r>
      <w:r>
        <w:rPr>
          <w:color w:val="231F20"/>
        </w:rPr>
        <w:t>voor</w:t>
      </w:r>
      <w:r>
        <w:rPr>
          <w:color w:val="231F20"/>
          <w:spacing w:val="18"/>
        </w:rPr>
        <w:t> </w:t>
      </w:r>
      <w:r>
        <w:rPr>
          <w:color w:val="231F20"/>
        </w:rPr>
        <w:t>de</w:t>
      </w:r>
      <w:r>
        <w:rPr>
          <w:color w:val="231F20"/>
          <w:spacing w:val="18"/>
        </w:rPr>
        <w:t> </w:t>
      </w:r>
      <w:r>
        <w:rPr>
          <w:color w:val="231F20"/>
        </w:rPr>
        <w:t>vennoten</w:t>
      </w:r>
      <w:r>
        <w:rPr>
          <w:color w:val="231F20"/>
          <w:spacing w:val="18"/>
        </w:rPr>
        <w:t> </w:t>
      </w:r>
      <w:r>
        <w:rPr>
          <w:color w:val="231F20"/>
        </w:rPr>
        <w:t>of</w:t>
      </w:r>
      <w:r>
        <w:rPr>
          <w:color w:val="231F20"/>
          <w:spacing w:val="18"/>
        </w:rPr>
        <w:t> </w:t>
      </w:r>
      <w:r>
        <w:rPr>
          <w:color w:val="231F20"/>
        </w:rPr>
        <w:t>aandeelhouders</w:t>
      </w:r>
      <w:r>
        <w:rPr>
          <w:color w:val="231F20"/>
          <w:spacing w:val="19"/>
        </w:rPr>
        <w:t> </w:t>
      </w:r>
      <w:r>
        <w:rPr>
          <w:color w:val="231F20"/>
        </w:rPr>
        <w:t>ter</w:t>
      </w:r>
      <w:r>
        <w:rPr>
          <w:color w:val="231F20"/>
          <w:spacing w:val="18"/>
        </w:rPr>
        <w:t> </w:t>
      </w:r>
      <w:r>
        <w:rPr>
          <w:color w:val="231F20"/>
        </w:rPr>
        <w:t>inzage</w:t>
      </w:r>
      <w:r>
        <w:rPr>
          <w:color w:val="231F20"/>
          <w:spacing w:val="18"/>
        </w:rPr>
        <w:t> </w:t>
      </w:r>
      <w:r>
        <w:rPr>
          <w:color w:val="231F20"/>
        </w:rPr>
        <w:t>is</w:t>
      </w:r>
      <w:r>
        <w:rPr>
          <w:color w:val="231F20"/>
          <w:spacing w:val="18"/>
        </w:rPr>
        <w:t> </w:t>
      </w:r>
      <w:r>
        <w:rPr>
          <w:color w:val="231F20"/>
        </w:rPr>
        <w:t>gelegd.</w:t>
      </w:r>
    </w:p>
    <w:p>
      <w:pPr>
        <w:pStyle w:val="BodyText"/>
        <w:spacing w:line="218" w:lineRule="auto" w:before="96"/>
      </w:pPr>
      <w:r>
        <w:rPr>
          <w:color w:val="231F20"/>
        </w:rPr>
        <w:t>Art. 3:45. De leden van een bestuursorgaan, evenals de personen die met het bestuur van een vestiging in België zijn belast, die een van de  in de artikelen 2:24, § 1, 7°, § 2, 8°, en § 3, 2°, 3:5 en 3:6 bedoelde verplichtingen niet nakomen worden gestraft met een geldboete van vijftig euro tot tienduizend</w:t>
      </w:r>
      <w:r>
        <w:rPr>
          <w:color w:val="231F20"/>
          <w:spacing w:val="20"/>
        </w:rPr>
        <w:t> </w:t>
      </w:r>
      <w:r>
        <w:rPr>
          <w:color w:val="231F20"/>
        </w:rPr>
        <w:t>euro.</w:t>
      </w:r>
    </w:p>
    <w:p>
      <w:pPr>
        <w:pStyle w:val="BodyText"/>
        <w:spacing w:line="218" w:lineRule="auto" w:before="97"/>
      </w:pPr>
      <w:r>
        <w:rPr>
          <w:color w:val="231F20"/>
        </w:rPr>
        <w:t>Indien de schending van deze artikelen gebeurt met bedrieglijk oogmerk kunnen zij bovendien worden gestraft met een gevangenis- straf van een maand tot een jaar of met beide straffen samen.</w:t>
      </w:r>
    </w:p>
    <w:p>
      <w:pPr>
        <w:pStyle w:val="BodyText"/>
        <w:spacing w:line="218" w:lineRule="auto" w:before="96"/>
      </w:pPr>
      <w:r>
        <w:rPr>
          <w:color w:val="231F20"/>
        </w:rPr>
        <w:t>Art. 3:46. Met de straffen gesteld in artikel 458 van het Strafwetboek wordt gestraft hij die in de Nationale Bank van België een bediening uitoefent en die zich schuldig maakt aan ruchtbaarmaking of aan mededeling aan een persoon buiten de Bank, hetzij, zonder</w:t>
      </w:r>
      <w:r>
        <w:rPr>
          <w:color w:val="231F20"/>
          <w:spacing w:val="35"/>
        </w:rPr>
        <w:t> </w:t>
      </w:r>
      <w:r>
        <w:rPr>
          <w:color w:val="231F20"/>
        </w:rPr>
        <w:t>vooraf- gaande toestemming van de aangever of de getelde, van individuele gegevens</w:t>
      </w:r>
      <w:r>
        <w:rPr>
          <w:color w:val="231F20"/>
          <w:spacing w:val="27"/>
        </w:rPr>
        <w:t> </w:t>
      </w:r>
      <w:r>
        <w:rPr>
          <w:color w:val="231F20"/>
        </w:rPr>
        <w:t>die</w:t>
      </w:r>
      <w:r>
        <w:rPr>
          <w:color w:val="231F20"/>
          <w:spacing w:val="27"/>
        </w:rPr>
        <w:t> </w:t>
      </w:r>
      <w:r>
        <w:rPr>
          <w:color w:val="231F20"/>
        </w:rPr>
        <w:t>naar</w:t>
      </w:r>
      <w:r>
        <w:rPr>
          <w:color w:val="231F20"/>
          <w:spacing w:val="27"/>
        </w:rPr>
        <w:t> </w:t>
      </w:r>
      <w:r>
        <w:rPr>
          <w:color w:val="231F20"/>
        </w:rPr>
        <w:t>het</w:t>
      </w:r>
      <w:r>
        <w:rPr>
          <w:color w:val="231F20"/>
          <w:spacing w:val="27"/>
        </w:rPr>
        <w:t> </w:t>
      </w:r>
      <w:r>
        <w:rPr>
          <w:color w:val="231F20"/>
        </w:rPr>
        <w:t>voorschrift</w:t>
      </w:r>
      <w:r>
        <w:rPr>
          <w:color w:val="231F20"/>
          <w:spacing w:val="27"/>
        </w:rPr>
        <w:t> </w:t>
      </w:r>
      <w:r>
        <w:rPr>
          <w:color w:val="231F20"/>
        </w:rPr>
        <w:t>van</w:t>
      </w:r>
      <w:r>
        <w:rPr>
          <w:color w:val="231F20"/>
          <w:spacing w:val="27"/>
        </w:rPr>
        <w:t> </w:t>
      </w:r>
      <w:r>
        <w:rPr>
          <w:color w:val="231F20"/>
        </w:rPr>
        <w:t>artikel</w:t>
      </w:r>
      <w:r>
        <w:rPr>
          <w:color w:val="231F20"/>
          <w:spacing w:val="27"/>
        </w:rPr>
        <w:t> </w:t>
      </w:r>
      <w:r>
        <w:rPr>
          <w:color w:val="231F20"/>
        </w:rPr>
        <w:t>3:18,</w:t>
      </w:r>
      <w:r>
        <w:rPr>
          <w:color w:val="231F20"/>
          <w:spacing w:val="27"/>
        </w:rPr>
        <w:t> </w:t>
      </w:r>
      <w:r>
        <w:rPr>
          <w:color w:val="231F20"/>
        </w:rPr>
        <w:t>eerste</w:t>
      </w:r>
      <w:r>
        <w:rPr>
          <w:color w:val="231F20"/>
          <w:spacing w:val="27"/>
        </w:rPr>
        <w:t> </w:t>
      </w:r>
      <w:r>
        <w:rPr>
          <w:color w:val="231F20"/>
        </w:rPr>
        <w:t>lid,</w:t>
      </w:r>
      <w:r>
        <w:rPr>
          <w:color w:val="231F20"/>
          <w:spacing w:val="27"/>
        </w:rPr>
        <w:t> </w:t>
      </w:r>
      <w:r>
        <w:rPr>
          <w:color w:val="231F20"/>
        </w:rPr>
        <w:t>aan</w:t>
      </w:r>
      <w:r>
        <w:rPr>
          <w:color w:val="231F20"/>
          <w:spacing w:val="27"/>
        </w:rPr>
        <w:t> </w:t>
      </w:r>
      <w:r>
        <w:rPr>
          <w:color w:val="231F20"/>
        </w:rPr>
        <w:t>die</w:t>
      </w:r>
      <w:r>
        <w:rPr>
          <w:color w:val="231F20"/>
          <w:w w:val="102"/>
        </w:rPr>
        <w:t> </w:t>
      </w:r>
      <w:r>
        <w:rPr>
          <w:color w:val="231F20"/>
        </w:rPr>
        <w:t>Bank zijn toegezonden, hetzij van naamloze, globale statistieken die de Nationale  Bank  van  België  heeft  opgemaakt  op  grond  van  arti-    kel 3:18 en waarin gegevens zijn verwerkt die haar ter uitvoering van artikel 3:18, eerste lid, zijn toegezonden en nog niet zijn gepubliceerd door de Algemene Directie Statistiek – Statistics Belgium van de Federale Overheidsdienst Economie, K.M.O., Middenstand en Energie noch</w:t>
      </w:r>
      <w:r>
        <w:rPr>
          <w:color w:val="231F20"/>
          <w:spacing w:val="15"/>
        </w:rPr>
        <w:t> </w:t>
      </w:r>
      <w:r>
        <w:rPr>
          <w:color w:val="231F20"/>
        </w:rPr>
        <w:t>door</w:t>
      </w:r>
      <w:r>
        <w:rPr>
          <w:color w:val="231F20"/>
          <w:spacing w:val="16"/>
        </w:rPr>
        <w:t> </w:t>
      </w:r>
      <w:r>
        <w:rPr>
          <w:color w:val="231F20"/>
        </w:rPr>
        <w:t>de</w:t>
      </w:r>
      <w:r>
        <w:rPr>
          <w:color w:val="231F20"/>
          <w:spacing w:val="15"/>
        </w:rPr>
        <w:t> </w:t>
      </w:r>
      <w:r>
        <w:rPr>
          <w:color w:val="231F20"/>
        </w:rPr>
        <w:t>Nationale</w:t>
      </w:r>
      <w:r>
        <w:rPr>
          <w:color w:val="231F20"/>
          <w:spacing w:val="16"/>
        </w:rPr>
        <w:t> </w:t>
      </w:r>
      <w:r>
        <w:rPr>
          <w:color w:val="231F20"/>
        </w:rPr>
        <w:t>Bank</w:t>
      </w:r>
      <w:r>
        <w:rPr>
          <w:color w:val="231F20"/>
          <w:spacing w:val="15"/>
        </w:rPr>
        <w:t> </w:t>
      </w:r>
      <w:r>
        <w:rPr>
          <w:color w:val="231F20"/>
        </w:rPr>
        <w:t>van</w:t>
      </w:r>
      <w:r>
        <w:rPr>
          <w:color w:val="231F20"/>
          <w:spacing w:val="16"/>
        </w:rPr>
        <w:t> </w:t>
      </w:r>
      <w:r>
        <w:rPr>
          <w:color w:val="231F20"/>
        </w:rPr>
        <w:t>België.</w:t>
      </w:r>
    </w:p>
    <w:p>
      <w:pPr>
        <w:pStyle w:val="BodyText"/>
        <w:spacing w:before="83"/>
        <w:ind w:left="283" w:right="0" w:firstLine="0"/>
        <w:jc w:val="left"/>
      </w:pPr>
      <w:r>
        <w:rPr>
          <w:color w:val="231F20"/>
        </w:rPr>
        <w:t>TITEL 2. Jaarrekeningen en begrotingen van verenigingen.</w:t>
      </w:r>
    </w:p>
    <w:p>
      <w:pPr>
        <w:pStyle w:val="BodyText"/>
        <w:spacing w:line="218" w:lineRule="auto" w:before="93"/>
      </w:pPr>
      <w:r>
        <w:rPr>
          <w:color w:val="231F20"/>
        </w:rPr>
        <w:t>Art. 3:47. § 1. Het bestuursorgaan maakt ieder jaar een jaarrekening op, in de vorm en met de inhoud bepaald door de Koning.</w:t>
      </w:r>
    </w:p>
    <w:p>
      <w:pPr>
        <w:pStyle w:val="BodyText"/>
        <w:spacing w:before="10"/>
        <w:ind w:left="0" w:right="0" w:firstLine="0"/>
        <w:jc w:val="left"/>
        <w:rPr>
          <w:sz w:val="23"/>
        </w:rPr>
      </w:pPr>
    </w:p>
    <w:p>
      <w:pPr>
        <w:pStyle w:val="BodyText"/>
        <w:spacing w:line="218" w:lineRule="auto"/>
      </w:pPr>
      <w:r>
        <w:rPr>
          <w:color w:val="231F20"/>
        </w:rPr>
        <w:t>De jaarrekening van de VZW of de </w:t>
      </w:r>
      <w:r>
        <w:rPr>
          <w:color w:val="231F20"/>
          <w:spacing w:val="-4"/>
        </w:rPr>
        <w:t>IVZW, </w:t>
      </w:r>
      <w:r>
        <w:rPr>
          <w:color w:val="231F20"/>
        </w:rPr>
        <w:t>alsook de begroting van  het boekjaar dat volgt op het boekjaar waarop deze jaarrekening betrekking heeft, moeten binnen zes maanden na de afsluitingsdatum van het boekjaar ter goedkeuring worden voorgelegd aan de algemene vergadering.</w:t>
      </w:r>
    </w:p>
    <w:p>
      <w:pPr>
        <w:pStyle w:val="BodyText"/>
        <w:spacing w:line="218" w:lineRule="auto" w:before="97"/>
      </w:pPr>
      <w:r>
        <w:rPr>
          <w:color w:val="231F20"/>
        </w:rPr>
        <w:t>Het bestuursorgaan maakt elk jaar een inventaris op volgens de waarderingsmaatstaven bepaald door de Koning.</w:t>
      </w:r>
    </w:p>
    <w:p>
      <w:pPr>
        <w:pStyle w:val="BodyText"/>
        <w:spacing w:line="218" w:lineRule="auto" w:before="96"/>
      </w:pPr>
      <w:r>
        <w:rPr>
          <w:color w:val="231F20"/>
        </w:rPr>
        <w:t>§ 2. Kleine VZW’s of IVZW’s kunnen hun jaarrekening opmaken overeenkomstig een door de Koning bepaald vereenvoudigd model indien op balansdatum van het laatst afgesloten boekjaar, niet meer</w:t>
      </w:r>
      <w:r>
        <w:rPr>
          <w:color w:val="231F20"/>
          <w:spacing w:val="-27"/>
        </w:rPr>
        <w:t> </w:t>
      </w:r>
      <w:r>
        <w:rPr>
          <w:color w:val="231F20"/>
        </w:rPr>
        <w:t>dan één</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volgende</w:t>
      </w:r>
      <w:r>
        <w:rPr>
          <w:color w:val="231F20"/>
          <w:spacing w:val="16"/>
        </w:rPr>
        <w:t> </w:t>
      </w:r>
      <w:r>
        <w:rPr>
          <w:color w:val="231F20"/>
        </w:rPr>
        <w:t>criteria</w:t>
      </w:r>
      <w:r>
        <w:rPr>
          <w:color w:val="231F20"/>
          <w:spacing w:val="16"/>
        </w:rPr>
        <w:t> </w:t>
      </w:r>
      <w:r>
        <w:rPr>
          <w:color w:val="231F20"/>
        </w:rPr>
        <w:t>worden</w:t>
      </w:r>
      <w:r>
        <w:rPr>
          <w:color w:val="231F20"/>
          <w:spacing w:val="17"/>
        </w:rPr>
        <w:t> </w:t>
      </w:r>
      <w:r>
        <w:rPr>
          <w:color w:val="231F20"/>
        </w:rPr>
        <w:t>overschreden:</w:t>
      </w:r>
    </w:p>
    <w:p>
      <w:pPr>
        <w:pStyle w:val="BodyText"/>
        <w:spacing w:line="218" w:lineRule="auto" w:before="96"/>
      </w:pPr>
      <w:r>
        <w:rPr>
          <w:color w:val="231F20"/>
        </w:rPr>
        <w:t>1° een jaargemiddelde van 5 werknemers, bepaald overeenkomstig artikel 1:28, § 5;</w:t>
      </w:r>
    </w:p>
    <w:p>
      <w:pPr>
        <w:pStyle w:val="BodyText"/>
        <w:spacing w:line="218" w:lineRule="auto" w:before="96"/>
      </w:pPr>
      <w:r>
        <w:rPr>
          <w:color w:val="231F20"/>
        </w:rPr>
        <w:t>2°</w:t>
      </w:r>
      <w:r>
        <w:rPr>
          <w:color w:val="231F20"/>
          <w:spacing w:val="-7"/>
        </w:rPr>
        <w:t> </w:t>
      </w:r>
      <w:r>
        <w:rPr>
          <w:color w:val="231F20"/>
        </w:rPr>
        <w:t>in</w:t>
      </w:r>
      <w:r>
        <w:rPr>
          <w:color w:val="231F20"/>
          <w:spacing w:val="-7"/>
        </w:rPr>
        <w:t> </w:t>
      </w:r>
      <w:r>
        <w:rPr>
          <w:color w:val="231F20"/>
        </w:rPr>
        <w:t>totaal</w:t>
      </w:r>
      <w:r>
        <w:rPr>
          <w:color w:val="231F20"/>
          <w:spacing w:val="-7"/>
        </w:rPr>
        <w:t> </w:t>
      </w:r>
      <w:r>
        <w:rPr>
          <w:color w:val="231F20"/>
        </w:rPr>
        <w:t>334</w:t>
      </w:r>
      <w:r>
        <w:rPr>
          <w:color w:val="231F20"/>
          <w:spacing w:val="-7"/>
        </w:rPr>
        <w:t> </w:t>
      </w:r>
      <w:r>
        <w:rPr>
          <w:color w:val="231F20"/>
        </w:rPr>
        <w:t>500</w:t>
      </w:r>
      <w:r>
        <w:rPr>
          <w:color w:val="231F20"/>
          <w:spacing w:val="-7"/>
        </w:rPr>
        <w:t> </w:t>
      </w:r>
      <w:r>
        <w:rPr>
          <w:color w:val="231F20"/>
        </w:rPr>
        <w:t>euro</w:t>
      </w:r>
      <w:r>
        <w:rPr>
          <w:color w:val="231F20"/>
          <w:spacing w:val="-6"/>
        </w:rPr>
        <w:t> </w:t>
      </w:r>
      <w:r>
        <w:rPr>
          <w:color w:val="231F20"/>
        </w:rPr>
        <w:t>aan</w:t>
      </w:r>
      <w:r>
        <w:rPr>
          <w:color w:val="231F20"/>
          <w:spacing w:val="-7"/>
        </w:rPr>
        <w:t> </w:t>
      </w:r>
      <w:r>
        <w:rPr>
          <w:color w:val="231F20"/>
        </w:rPr>
        <w:t>andere</w:t>
      </w:r>
      <w:r>
        <w:rPr>
          <w:color w:val="231F20"/>
          <w:spacing w:val="-7"/>
        </w:rPr>
        <w:t> </w:t>
      </w:r>
      <w:r>
        <w:rPr>
          <w:color w:val="231F20"/>
        </w:rPr>
        <w:t>dan</w:t>
      </w:r>
      <w:r>
        <w:rPr>
          <w:color w:val="231F20"/>
          <w:spacing w:val="-7"/>
        </w:rPr>
        <w:t> </w:t>
      </w:r>
      <w:r>
        <w:rPr>
          <w:color w:val="231F20"/>
        </w:rPr>
        <w:t>niet-recurrente</w:t>
      </w:r>
      <w:r>
        <w:rPr>
          <w:color w:val="231F20"/>
          <w:spacing w:val="-7"/>
        </w:rPr>
        <w:t> </w:t>
      </w:r>
      <w:r>
        <w:rPr>
          <w:color w:val="231F20"/>
        </w:rPr>
        <w:t>ontvangsten, exclusief</w:t>
      </w:r>
      <w:r>
        <w:rPr>
          <w:color w:val="231F20"/>
          <w:spacing w:val="17"/>
        </w:rPr>
        <w:t> </w:t>
      </w:r>
      <w:r>
        <w:rPr>
          <w:color w:val="231F20"/>
        </w:rPr>
        <w:t>de</w:t>
      </w:r>
      <w:r>
        <w:rPr>
          <w:color w:val="231F20"/>
          <w:spacing w:val="17"/>
        </w:rPr>
        <w:t> </w:t>
      </w:r>
      <w:r>
        <w:rPr>
          <w:color w:val="231F20"/>
        </w:rPr>
        <w:t>belasting</w:t>
      </w:r>
      <w:r>
        <w:rPr>
          <w:color w:val="231F20"/>
          <w:spacing w:val="17"/>
        </w:rPr>
        <w:t> </w:t>
      </w:r>
      <w:r>
        <w:rPr>
          <w:color w:val="231F20"/>
        </w:rPr>
        <w:t>over</w:t>
      </w:r>
      <w:r>
        <w:rPr>
          <w:color w:val="231F20"/>
          <w:spacing w:val="17"/>
        </w:rPr>
        <w:t> </w:t>
      </w:r>
      <w:r>
        <w:rPr>
          <w:color w:val="231F20"/>
        </w:rPr>
        <w:t>de</w:t>
      </w:r>
      <w:r>
        <w:rPr>
          <w:color w:val="231F20"/>
          <w:spacing w:val="17"/>
        </w:rPr>
        <w:t> </w:t>
      </w:r>
      <w:r>
        <w:rPr>
          <w:color w:val="231F20"/>
        </w:rPr>
        <w:t>toegevoegde</w:t>
      </w:r>
      <w:r>
        <w:rPr>
          <w:color w:val="231F20"/>
          <w:spacing w:val="18"/>
        </w:rPr>
        <w:t> </w:t>
      </w:r>
      <w:r>
        <w:rPr>
          <w:color w:val="231F20"/>
        </w:rPr>
        <w:t>waarde;</w:t>
      </w:r>
    </w:p>
    <w:p>
      <w:pPr>
        <w:pStyle w:val="BodyText"/>
        <w:spacing w:before="82"/>
        <w:ind w:left="283" w:right="0" w:firstLine="0"/>
        <w:jc w:val="left"/>
      </w:pPr>
      <w:r>
        <w:rPr>
          <w:color w:val="231F20"/>
        </w:rPr>
        <w:t>3° in totaal 1 337 000 euro aan bezittingen;</w:t>
      </w:r>
    </w:p>
    <w:p>
      <w:pPr>
        <w:pStyle w:val="BodyText"/>
        <w:spacing w:before="79"/>
        <w:ind w:left="283" w:right="0" w:firstLine="0"/>
        <w:jc w:val="left"/>
      </w:pPr>
      <w:r>
        <w:rPr>
          <w:color w:val="231F20"/>
        </w:rPr>
        <w:t>4° in totaal 1 337 000 euro aan schulden.</w:t>
      </w:r>
    </w:p>
    <w:p>
      <w:pPr>
        <w:pStyle w:val="BodyText"/>
        <w:spacing w:line="218" w:lineRule="auto" w:before="93"/>
      </w:pPr>
      <w:r>
        <w:rPr>
          <w:color w:val="231F20"/>
        </w:rPr>
        <w:t>De Koning kan de in het eerste lid bedoelde bedragen aanpassen aan de evolutie van het indexcijfer van de consumptieprijzen.</w:t>
      </w:r>
    </w:p>
    <w:p>
      <w:pPr>
        <w:pStyle w:val="BodyText"/>
        <w:spacing w:line="218" w:lineRule="auto" w:before="96"/>
      </w:pPr>
      <w:r>
        <w:rPr>
          <w:color w:val="231F20"/>
        </w:rPr>
        <w:t>§ 3. Kleine VZW’s of IVZW’S kunnen hun jaarrekening opmaken volgens een verkort schema dat de Koning vaststelt.</w:t>
      </w:r>
    </w:p>
    <w:p>
      <w:pPr>
        <w:pStyle w:val="BodyText"/>
        <w:spacing w:line="218" w:lineRule="auto" w:before="107"/>
      </w:pPr>
      <w:r>
        <w:rPr>
          <w:color w:val="231F20"/>
        </w:rPr>
        <w:t>§ 4. MicroVZW’s of microIVZW’s kunnen hun jaarrekening opmaken volgens een microschema dat de Koning vaststelt.</w:t>
      </w:r>
    </w:p>
    <w:p>
      <w:pPr>
        <w:pStyle w:val="BodyText"/>
        <w:spacing w:line="218" w:lineRule="auto" w:before="106"/>
        <w:ind w:right="125"/>
      </w:pPr>
      <w:r>
        <w:rPr>
          <w:color w:val="231F20"/>
        </w:rPr>
        <w:t>§ 5. Paragraaf 1, derde lid, en paragrafen 2 tot 3 zijn niet van toepassing op:</w:t>
      </w:r>
    </w:p>
    <w:p>
      <w:pPr>
        <w:pStyle w:val="BodyText"/>
        <w:spacing w:line="218" w:lineRule="auto" w:before="107"/>
        <w:ind w:right="123"/>
      </w:pPr>
      <w:r>
        <w:rPr>
          <w:color w:val="231F20"/>
        </w:rPr>
        <w:t>1° VZW’s of IVZW’s die wegens de aard van hun hoofdactiviteit zijn onderworpen aan bijzondere, uit een wetgeving of een overheidsregle- mentering voorvloeiende, regels betreffende het houden van hun boekhouding en betreffende hun jaarrekening, voor zover zij minstens gelijkwaardig zijn aan die bepaald op grond van deze titel;</w:t>
      </w:r>
    </w:p>
    <w:p>
      <w:pPr>
        <w:pStyle w:val="BodyText"/>
        <w:spacing w:line="218" w:lineRule="auto" w:before="107"/>
      </w:pPr>
      <w:r>
        <w:rPr>
          <w:color w:val="231F20"/>
        </w:rPr>
        <w:t>2°  verenigingen  als   bedoeld   in   artikel   1,   1°,   van   de   wet  van 4 juli 1989 betreffende de beperking en de controle van de verkiezings- uitgaven voor de verkiezingen van de federale Kamers, de financiering en de open boekhouding van de politieke partijen.</w:t>
      </w:r>
    </w:p>
    <w:p>
      <w:pPr>
        <w:pStyle w:val="BodyText"/>
        <w:spacing w:line="218" w:lineRule="auto" w:before="107"/>
      </w:pPr>
      <w:r>
        <w:rPr>
          <w:color w:val="231F20"/>
        </w:rPr>
        <w:t>§ 6. Andere dan kleine VZW’s of IVZW’s moeten één of meer commissarissen belasten met de controle van de financiële toestand, van de jaarrekening en van de regelmatigheid in het licht van de wet en van de statuten, van de verrichtingen die in de jaarrekening moeten worden vastgesteld.</w:t>
      </w:r>
    </w:p>
    <w:p>
      <w:pPr>
        <w:pStyle w:val="BodyText"/>
        <w:spacing w:line="218" w:lineRule="auto" w:before="107"/>
      </w:pPr>
      <w:r>
        <w:rPr>
          <w:color w:val="231F20"/>
        </w:rPr>
        <w:t>De commissaris wordt door de algemene vergadering benoemd onder de leden, natuurlijke personen of rechtspersonen, van het Instituut van</w:t>
      </w:r>
      <w:r>
        <w:rPr>
          <w:color w:val="231F20"/>
          <w:spacing w:val="-12"/>
        </w:rPr>
        <w:t> </w:t>
      </w:r>
      <w:r>
        <w:rPr>
          <w:color w:val="231F20"/>
        </w:rPr>
        <w:t>bedrijfsrevisoren.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584" from="298.170502pt,64.473pt" to="298.170502pt,812.819pt" stroked="true" strokeweight=".533pt" strokecolor="#231f20">
            <v:stroke dashstyle="solid"/>
            <w10:wrap type="none"/>
          </v:line>
        </w:pict>
      </w:r>
      <w:bookmarkStart w:name="_bookmark65" w:id="70"/>
      <w:bookmarkEnd w:id="70"/>
      <w:r>
        <w:rPr/>
      </w:r>
      <w:r>
        <w:rPr>
          <w:color w:val="231F20"/>
        </w:rPr>
        <w:t>§ 7. Dans les trente jours de leur approbation par l’assemblée générale, les comptes annuels des ASBL ou AISBL autres que celles qui à la date du bilan du dernier exercice clôturé ne dépassent pas plus  d’un des critères visés au paragraphe 2 sont déposés par les adminis- trateurs</w:t>
      </w:r>
      <w:r>
        <w:rPr>
          <w:color w:val="231F20"/>
          <w:spacing w:val="14"/>
        </w:rPr>
        <w:t> </w:t>
      </w:r>
      <w:r>
        <w:rPr>
          <w:color w:val="231F20"/>
        </w:rPr>
        <w:t>à</w:t>
      </w:r>
      <w:r>
        <w:rPr>
          <w:color w:val="231F20"/>
          <w:spacing w:val="15"/>
        </w:rPr>
        <w:t> </w:t>
      </w:r>
      <w:r>
        <w:rPr>
          <w:color w:val="231F20"/>
        </w:rPr>
        <w:t>la</w:t>
      </w:r>
      <w:r>
        <w:rPr>
          <w:color w:val="231F20"/>
          <w:spacing w:val="15"/>
        </w:rPr>
        <w:t> </w:t>
      </w:r>
      <w:r>
        <w:rPr>
          <w:color w:val="231F20"/>
        </w:rPr>
        <w:t>Banque</w:t>
      </w:r>
      <w:r>
        <w:rPr>
          <w:color w:val="231F20"/>
          <w:spacing w:val="15"/>
        </w:rPr>
        <w:t> </w:t>
      </w:r>
      <w:r>
        <w:rPr>
          <w:color w:val="231F20"/>
        </w:rPr>
        <w:t>nationale</w:t>
      </w:r>
      <w:r>
        <w:rPr>
          <w:color w:val="231F20"/>
          <w:spacing w:val="15"/>
        </w:rPr>
        <w:t> </w:t>
      </w:r>
      <w:r>
        <w:rPr>
          <w:color w:val="231F20"/>
        </w:rPr>
        <w:t>de</w:t>
      </w:r>
      <w:r>
        <w:rPr>
          <w:color w:val="231F20"/>
          <w:spacing w:val="15"/>
        </w:rPr>
        <w:t> </w:t>
      </w:r>
      <w:r>
        <w:rPr>
          <w:color w:val="231F20"/>
        </w:rPr>
        <w:t>Belgique.</w:t>
      </w:r>
    </w:p>
    <w:p>
      <w:pPr>
        <w:pStyle w:val="BodyText"/>
        <w:spacing w:before="4"/>
        <w:ind w:left="0" w:right="0" w:firstLine="0"/>
        <w:jc w:val="left"/>
        <w:rPr>
          <w:sz w:val="21"/>
        </w:rPr>
      </w:pPr>
    </w:p>
    <w:p>
      <w:pPr>
        <w:pStyle w:val="BodyText"/>
        <w:ind w:left="283" w:right="0" w:firstLine="0"/>
        <w:jc w:val="left"/>
      </w:pPr>
      <w:r>
        <w:rPr>
          <w:color w:val="231F20"/>
        </w:rPr>
        <w:t>Sont déposés en même temps et conformément à l’alinéa 1</w:t>
      </w:r>
      <w:r>
        <w:rPr>
          <w:color w:val="231F20"/>
          <w:position w:val="7"/>
          <w:sz w:val="11"/>
        </w:rPr>
        <w:t>er</w:t>
      </w:r>
      <w:r>
        <w:rPr>
          <w:color w:val="231F20"/>
        </w:rPr>
        <w:t>:</w:t>
      </w:r>
    </w:p>
    <w:p>
      <w:pPr>
        <w:pStyle w:val="BodyText"/>
        <w:spacing w:line="218" w:lineRule="auto" w:before="93"/>
        <w:ind w:right="38"/>
      </w:pPr>
      <w:r>
        <w:rPr>
          <w:color w:val="231F20"/>
        </w:rPr>
        <w:t>1° un document contenant les nom et prénom des administrateurs et, le cas échéant, des commissaires en fonction;</w:t>
      </w:r>
    </w:p>
    <w:p>
      <w:pPr>
        <w:pStyle w:val="BodyText"/>
        <w:spacing w:line="350" w:lineRule="auto" w:before="82"/>
        <w:ind w:left="283" w:right="1760" w:hanging="1"/>
        <w:jc w:val="left"/>
      </w:pPr>
      <w:r>
        <w:rPr>
          <w:color w:val="231F20"/>
        </w:rPr>
        <w:t>2° le cas échéant, le rapport du commissaire; 3° le cas échéant, le rapport de gestion.</w:t>
      </w:r>
    </w:p>
    <w:p>
      <w:pPr>
        <w:pStyle w:val="BodyText"/>
        <w:spacing w:line="213" w:lineRule="auto" w:before="18"/>
        <w:ind w:right="38"/>
      </w:pPr>
      <w:r>
        <w:rPr>
          <w:color w:val="231F20"/>
        </w:rPr>
        <w:t>Le Roi détermine les modalités et conditions du dépôt des documents visés aux alinéas 1</w:t>
      </w:r>
      <w:r>
        <w:rPr>
          <w:color w:val="231F20"/>
          <w:position w:val="7"/>
          <w:sz w:val="11"/>
        </w:rPr>
        <w:t>er </w:t>
      </w:r>
      <w:r>
        <w:rPr>
          <w:color w:val="231F20"/>
        </w:rPr>
        <w:t>et 2, ainsi que le montant et le mode de paiement des frais de publicité. Le dépôt n’est accepté que si les dispositions arrêtées en exécution du présent alinéa sont respectées.</w:t>
      </w:r>
    </w:p>
    <w:p>
      <w:pPr>
        <w:pStyle w:val="BodyText"/>
        <w:spacing w:before="7"/>
        <w:ind w:left="0" w:right="0" w:firstLine="0"/>
        <w:jc w:val="left"/>
        <w:rPr>
          <w:sz w:val="24"/>
        </w:rPr>
      </w:pPr>
    </w:p>
    <w:p>
      <w:pPr>
        <w:pStyle w:val="BodyText"/>
        <w:spacing w:line="218" w:lineRule="auto"/>
        <w:ind w:right="38"/>
      </w:pPr>
      <w:r>
        <w:rPr>
          <w:color w:val="231F20"/>
        </w:rPr>
        <w:t>Dans les quinze jours ouvrables qui suivent l’acceptation du dépôt, celui-ci fait l’objet d’une mention dans un recueil établi par la Banque nationale de Belgique sur un support et selon les modalités que le Roi détermine.</w:t>
      </w:r>
      <w:r>
        <w:rPr>
          <w:color w:val="231F20"/>
          <w:spacing w:val="-7"/>
        </w:rPr>
        <w:t> </w:t>
      </w:r>
      <w:r>
        <w:rPr>
          <w:color w:val="231F20"/>
        </w:rPr>
        <w:t>Le</w:t>
      </w:r>
      <w:r>
        <w:rPr>
          <w:color w:val="231F20"/>
          <w:spacing w:val="-6"/>
        </w:rPr>
        <w:t> </w:t>
      </w:r>
      <w:r>
        <w:rPr>
          <w:color w:val="231F20"/>
        </w:rPr>
        <w:t>texte</w:t>
      </w:r>
      <w:r>
        <w:rPr>
          <w:color w:val="231F20"/>
          <w:spacing w:val="-7"/>
        </w:rPr>
        <w:t> </w:t>
      </w:r>
      <w:r>
        <w:rPr>
          <w:color w:val="231F20"/>
        </w:rPr>
        <w:t>de</w:t>
      </w:r>
      <w:r>
        <w:rPr>
          <w:color w:val="231F20"/>
          <w:spacing w:val="-6"/>
        </w:rPr>
        <w:t> </w:t>
      </w:r>
      <w:r>
        <w:rPr>
          <w:color w:val="231F20"/>
        </w:rPr>
        <w:t>cette</w:t>
      </w:r>
      <w:r>
        <w:rPr>
          <w:color w:val="231F20"/>
          <w:spacing w:val="-7"/>
        </w:rPr>
        <w:t> </w:t>
      </w:r>
      <w:r>
        <w:rPr>
          <w:color w:val="231F20"/>
        </w:rPr>
        <w:t>mention</w:t>
      </w:r>
      <w:r>
        <w:rPr>
          <w:color w:val="231F20"/>
          <w:spacing w:val="-6"/>
        </w:rPr>
        <w:t> </w:t>
      </w:r>
      <w:r>
        <w:rPr>
          <w:color w:val="231F20"/>
        </w:rPr>
        <w:t>est</w:t>
      </w:r>
      <w:r>
        <w:rPr>
          <w:color w:val="231F20"/>
          <w:spacing w:val="-7"/>
        </w:rPr>
        <w:t> </w:t>
      </w:r>
      <w:r>
        <w:rPr>
          <w:color w:val="231F20"/>
        </w:rPr>
        <w:t>adressé</w:t>
      </w:r>
      <w:r>
        <w:rPr>
          <w:color w:val="231F20"/>
          <w:spacing w:val="-6"/>
        </w:rPr>
        <w:t> </w:t>
      </w:r>
      <w:r>
        <w:rPr>
          <w:color w:val="231F20"/>
        </w:rPr>
        <w:t>par</w:t>
      </w:r>
      <w:r>
        <w:rPr>
          <w:color w:val="231F20"/>
          <w:spacing w:val="-7"/>
        </w:rPr>
        <w:t> </w:t>
      </w:r>
      <w:r>
        <w:rPr>
          <w:color w:val="231F20"/>
        </w:rPr>
        <w:t>la</w:t>
      </w:r>
      <w:r>
        <w:rPr>
          <w:color w:val="231F20"/>
          <w:spacing w:val="-6"/>
        </w:rPr>
        <w:t> </w:t>
      </w:r>
      <w:r>
        <w:rPr>
          <w:color w:val="231F20"/>
        </w:rPr>
        <w:t>Banque</w:t>
      </w:r>
      <w:r>
        <w:rPr>
          <w:color w:val="231F20"/>
          <w:spacing w:val="-7"/>
        </w:rPr>
        <w:t> </w:t>
      </w:r>
      <w:r>
        <w:rPr>
          <w:color w:val="231F20"/>
        </w:rPr>
        <w:t>nationale de Belgique au </w:t>
      </w:r>
      <w:r>
        <w:rPr>
          <w:color w:val="231F20"/>
          <w:spacing w:val="-3"/>
        </w:rPr>
        <w:t>greffe </w:t>
      </w:r>
      <w:r>
        <w:rPr>
          <w:color w:val="231F20"/>
        </w:rPr>
        <w:t>du tribunal de l’entreprise où est tenu le dossier de</w:t>
      </w:r>
      <w:r>
        <w:rPr>
          <w:color w:val="231F20"/>
          <w:spacing w:val="16"/>
        </w:rPr>
        <w:t> </w:t>
      </w:r>
      <w:r>
        <w:rPr>
          <w:color w:val="231F20"/>
        </w:rPr>
        <w:t>l’ASBL</w:t>
      </w:r>
      <w:r>
        <w:rPr>
          <w:color w:val="231F20"/>
          <w:spacing w:val="11"/>
        </w:rPr>
        <w:t> </w:t>
      </w:r>
      <w:r>
        <w:rPr>
          <w:color w:val="231F20"/>
        </w:rPr>
        <w:t>ou</w:t>
      </w:r>
      <w:r>
        <w:rPr>
          <w:color w:val="231F20"/>
          <w:spacing w:val="17"/>
        </w:rPr>
        <w:t> </w:t>
      </w:r>
      <w:r>
        <w:rPr>
          <w:color w:val="231F20"/>
        </w:rPr>
        <w:t>l’AISBL,</w:t>
      </w:r>
      <w:r>
        <w:rPr>
          <w:color w:val="231F20"/>
          <w:spacing w:val="17"/>
        </w:rPr>
        <w:t> </w:t>
      </w:r>
      <w:r>
        <w:rPr>
          <w:color w:val="231F20"/>
        </w:rPr>
        <w:t>prévu</w:t>
      </w:r>
      <w:r>
        <w:rPr>
          <w:color w:val="231F20"/>
          <w:spacing w:val="17"/>
        </w:rPr>
        <w:t> </w:t>
      </w:r>
      <w:r>
        <w:rPr>
          <w:color w:val="231F20"/>
        </w:rPr>
        <w:t>à</w:t>
      </w:r>
      <w:r>
        <w:rPr>
          <w:color w:val="231F20"/>
          <w:spacing w:val="17"/>
        </w:rPr>
        <w:t> </w:t>
      </w:r>
      <w:r>
        <w:rPr>
          <w:color w:val="231F20"/>
        </w:rPr>
        <w:t>l’article</w:t>
      </w:r>
      <w:r>
        <w:rPr>
          <w:color w:val="231F20"/>
          <w:spacing w:val="17"/>
        </w:rPr>
        <w:t> </w:t>
      </w:r>
      <w:r>
        <w:rPr>
          <w:color w:val="231F20"/>
        </w:rPr>
        <w:t>2:7,</w:t>
      </w:r>
      <w:r>
        <w:rPr>
          <w:color w:val="231F20"/>
          <w:spacing w:val="17"/>
        </w:rPr>
        <w:t> </w:t>
      </w:r>
      <w:r>
        <w:rPr>
          <w:color w:val="231F20"/>
        </w:rPr>
        <w:t>pour</w:t>
      </w:r>
      <w:r>
        <w:rPr>
          <w:color w:val="231F20"/>
          <w:spacing w:val="17"/>
        </w:rPr>
        <w:t> </w:t>
      </w:r>
      <w:r>
        <w:rPr>
          <w:color w:val="231F20"/>
        </w:rPr>
        <w:t>y</w:t>
      </w:r>
      <w:r>
        <w:rPr>
          <w:color w:val="231F20"/>
          <w:spacing w:val="16"/>
        </w:rPr>
        <w:t> </w:t>
      </w:r>
      <w:r>
        <w:rPr>
          <w:color w:val="231F20"/>
        </w:rPr>
        <w:t>être</w:t>
      </w:r>
      <w:r>
        <w:rPr>
          <w:color w:val="231F20"/>
          <w:spacing w:val="17"/>
        </w:rPr>
        <w:t> </w:t>
      </w:r>
      <w:r>
        <w:rPr>
          <w:color w:val="231F20"/>
        </w:rPr>
        <w:t>versé.</w:t>
      </w:r>
    </w:p>
    <w:p>
      <w:pPr>
        <w:pStyle w:val="BodyText"/>
        <w:spacing w:before="2"/>
        <w:ind w:left="0" w:right="0" w:firstLine="0"/>
        <w:jc w:val="left"/>
        <w:rPr>
          <w:sz w:val="25"/>
        </w:rPr>
      </w:pPr>
    </w:p>
    <w:p>
      <w:pPr>
        <w:pStyle w:val="BodyText"/>
        <w:spacing w:line="213" w:lineRule="auto"/>
        <w:ind w:right="38"/>
      </w:pPr>
      <w:r>
        <w:rPr>
          <w:color w:val="231F20"/>
        </w:rPr>
        <w:t>La Banque nationale de Belgique est chargée de délivrer copie, sous la forme déterminée par le Roi, à ceux qui en font la demande, même par correspondance, soit de l’ensemble des documents qui lui ont été transmis en application des alinéas 1</w:t>
      </w:r>
      <w:r>
        <w:rPr>
          <w:color w:val="231F20"/>
          <w:position w:val="7"/>
          <w:sz w:val="11"/>
        </w:rPr>
        <w:t>er </w:t>
      </w:r>
      <w:r>
        <w:rPr>
          <w:color w:val="231F20"/>
        </w:rPr>
        <w:t>et 2, soit des documents visés aux alinéas 1</w:t>
      </w:r>
      <w:r>
        <w:rPr>
          <w:color w:val="231F20"/>
          <w:position w:val="7"/>
          <w:sz w:val="11"/>
        </w:rPr>
        <w:t>er </w:t>
      </w:r>
      <w:r>
        <w:rPr>
          <w:color w:val="231F20"/>
        </w:rPr>
        <w:t>et 2 relatifs à des associations nommément désignées et  à des années déterminées qui lui ont été transmis. Le Roi détermine le montant des frais à acquitter à la Banque nationale de Belgique pour l’obtention</w:t>
      </w:r>
      <w:r>
        <w:rPr>
          <w:color w:val="231F20"/>
          <w:spacing w:val="15"/>
        </w:rPr>
        <w:t> </w:t>
      </w:r>
      <w:r>
        <w:rPr>
          <w:color w:val="231F20"/>
        </w:rPr>
        <w:t>des</w:t>
      </w:r>
      <w:r>
        <w:rPr>
          <w:color w:val="231F20"/>
          <w:spacing w:val="15"/>
        </w:rPr>
        <w:t> </w:t>
      </w:r>
      <w:r>
        <w:rPr>
          <w:color w:val="231F20"/>
        </w:rPr>
        <w:t>copies</w:t>
      </w:r>
      <w:r>
        <w:rPr>
          <w:color w:val="231F20"/>
          <w:spacing w:val="16"/>
        </w:rPr>
        <w:t> </w:t>
      </w:r>
      <w:r>
        <w:rPr>
          <w:color w:val="231F20"/>
        </w:rPr>
        <w:t>visées</w:t>
      </w:r>
      <w:r>
        <w:rPr>
          <w:color w:val="231F20"/>
          <w:spacing w:val="15"/>
        </w:rPr>
        <w:t> </w:t>
      </w:r>
      <w:r>
        <w:rPr>
          <w:color w:val="231F20"/>
        </w:rPr>
        <w:t>au</w:t>
      </w:r>
      <w:r>
        <w:rPr>
          <w:color w:val="231F20"/>
          <w:spacing w:val="15"/>
        </w:rPr>
        <w:t> </w:t>
      </w:r>
      <w:r>
        <w:rPr>
          <w:color w:val="231F20"/>
        </w:rPr>
        <w:t>présent</w:t>
      </w:r>
      <w:r>
        <w:rPr>
          <w:color w:val="231F20"/>
          <w:spacing w:val="16"/>
        </w:rPr>
        <w:t> </w:t>
      </w:r>
      <w:r>
        <w:rPr>
          <w:color w:val="231F20"/>
        </w:rPr>
        <w:t>alinéa.</w:t>
      </w:r>
    </w:p>
    <w:p>
      <w:pPr>
        <w:pStyle w:val="BodyText"/>
        <w:spacing w:before="2"/>
        <w:ind w:left="0" w:right="0" w:firstLine="0"/>
        <w:jc w:val="left"/>
        <w:rPr>
          <w:sz w:val="25"/>
        </w:rPr>
      </w:pPr>
    </w:p>
    <w:p>
      <w:pPr>
        <w:pStyle w:val="BodyText"/>
        <w:spacing w:line="211" w:lineRule="auto"/>
        <w:ind w:right="38"/>
      </w:pPr>
      <w:r>
        <w:rPr>
          <w:color w:val="231F20"/>
        </w:rPr>
        <w:t>Les greffes des tribunaux obtiennent sans frais et sans retard de la Banque nationale de Belgique, copie de l’ensemble des documents visés aux alinéas 1</w:t>
      </w:r>
      <w:r>
        <w:rPr>
          <w:color w:val="231F20"/>
          <w:position w:val="7"/>
          <w:sz w:val="11"/>
        </w:rPr>
        <w:t>er </w:t>
      </w:r>
      <w:r>
        <w:rPr>
          <w:color w:val="231F20"/>
        </w:rPr>
        <w:t>et 2, sous la forme déterminée par le Roi.</w:t>
      </w:r>
    </w:p>
    <w:p>
      <w:pPr>
        <w:pStyle w:val="BodyText"/>
        <w:spacing w:before="10"/>
        <w:ind w:left="0" w:right="0" w:firstLine="0"/>
        <w:jc w:val="left"/>
        <w:rPr>
          <w:sz w:val="24"/>
        </w:rPr>
      </w:pPr>
    </w:p>
    <w:p>
      <w:pPr>
        <w:pStyle w:val="BodyText"/>
        <w:spacing w:line="213" w:lineRule="auto" w:before="1"/>
        <w:ind w:right="38"/>
      </w:pPr>
      <w:r>
        <w:rPr>
          <w:color w:val="231F20"/>
        </w:rPr>
        <w:t>La Banque nationale de Belgique est habilitée à établir et à publier, selon les modalités déterminées par le Roi, des statistiques globales et anonymes relatives à tout ou partie des éléments contenus dans les documents qui lui sont transmis en application des alinéas 1</w:t>
      </w:r>
      <w:r>
        <w:rPr>
          <w:color w:val="231F20"/>
          <w:position w:val="7"/>
          <w:sz w:val="11"/>
        </w:rPr>
        <w:t>er </w:t>
      </w:r>
      <w:r>
        <w:rPr>
          <w:color w:val="231F20"/>
        </w:rPr>
        <w:t>et 2.</w:t>
      </w:r>
    </w:p>
    <w:p>
      <w:pPr>
        <w:pStyle w:val="BodyText"/>
        <w:spacing w:before="3"/>
        <w:ind w:left="0" w:right="0" w:firstLine="0"/>
        <w:jc w:val="left"/>
        <w:rPr>
          <w:sz w:val="23"/>
        </w:rPr>
      </w:pPr>
    </w:p>
    <w:p>
      <w:pPr>
        <w:pStyle w:val="BodyText"/>
        <w:spacing w:line="218" w:lineRule="auto" w:before="1"/>
        <w:ind w:right="38"/>
      </w:pPr>
      <w:r>
        <w:rPr>
          <w:color w:val="231F20"/>
        </w:rPr>
        <w:t>§ 8. Le paragraphe 7, alinéa 1</w:t>
      </w:r>
      <w:r>
        <w:rPr>
          <w:color w:val="231F20"/>
          <w:position w:val="7"/>
          <w:sz w:val="11"/>
        </w:rPr>
        <w:t>er</w:t>
      </w:r>
      <w:r>
        <w:rPr>
          <w:color w:val="231F20"/>
        </w:rPr>
        <w:t>, n’est pas applicable aux associations visées au paragraphe 5, 2°.</w:t>
      </w:r>
    </w:p>
    <w:p>
      <w:pPr>
        <w:pStyle w:val="BodyText"/>
        <w:spacing w:line="218" w:lineRule="auto" w:before="106"/>
        <w:ind w:right="38"/>
      </w:pPr>
      <w:r>
        <w:rPr>
          <w:color w:val="231F20"/>
        </w:rPr>
        <w:t>§ 9. Le ministre qui a la Justice dans ses attributions ou son délégué peut autoriser, dans des cas spéciaux et moyennant l’avis motivé de la Commission des normes comptables, des dérogations aux arrêtés royaux pris en exécution du présent titre.</w:t>
      </w:r>
    </w:p>
    <w:p>
      <w:pPr>
        <w:pStyle w:val="BodyText"/>
        <w:spacing w:line="218" w:lineRule="auto" w:before="107"/>
        <w:ind w:right="38"/>
      </w:pPr>
      <w:r>
        <w:rPr>
          <w:color w:val="231F20"/>
        </w:rPr>
        <w:t>La Commission des normes comptables est informée de la décision du</w:t>
      </w:r>
      <w:r>
        <w:rPr>
          <w:color w:val="231F20"/>
          <w:spacing w:val="15"/>
        </w:rPr>
        <w:t> </w:t>
      </w:r>
      <w:r>
        <w:rPr>
          <w:color w:val="231F20"/>
        </w:rPr>
        <w:t>ministre</w:t>
      </w:r>
      <w:r>
        <w:rPr>
          <w:color w:val="231F20"/>
          <w:spacing w:val="15"/>
        </w:rPr>
        <w:t> </w:t>
      </w:r>
      <w:r>
        <w:rPr>
          <w:color w:val="231F20"/>
        </w:rPr>
        <w:t>ou</w:t>
      </w:r>
      <w:r>
        <w:rPr>
          <w:color w:val="231F20"/>
          <w:spacing w:val="16"/>
        </w:rPr>
        <w:t> </w:t>
      </w:r>
      <w:r>
        <w:rPr>
          <w:color w:val="231F20"/>
        </w:rPr>
        <w:t>de</w:t>
      </w:r>
      <w:r>
        <w:rPr>
          <w:color w:val="231F20"/>
          <w:spacing w:val="15"/>
        </w:rPr>
        <w:t> </w:t>
      </w:r>
      <w:r>
        <w:rPr>
          <w:color w:val="231F20"/>
        </w:rPr>
        <w:t>son</w:t>
      </w:r>
      <w:r>
        <w:rPr>
          <w:color w:val="231F20"/>
          <w:spacing w:val="16"/>
        </w:rPr>
        <w:t> </w:t>
      </w:r>
      <w:r>
        <w:rPr>
          <w:color w:val="231F20"/>
        </w:rPr>
        <w:t>délégué.</w:t>
      </w:r>
    </w:p>
    <w:p>
      <w:pPr>
        <w:pStyle w:val="BodyText"/>
        <w:spacing w:line="218" w:lineRule="auto" w:before="107"/>
        <w:ind w:right="38"/>
      </w:pPr>
      <w:r>
        <w:rPr>
          <w:color w:val="231F20"/>
        </w:rPr>
        <w:t>L’ASBL ou l’AISBL à laquelle la dérogation a été accordée, mentionne cette dérogation parmi les règles d’évaluation dans l’annexe aux comptes annuels.</w:t>
      </w:r>
    </w:p>
    <w:p>
      <w:pPr>
        <w:pStyle w:val="BodyText"/>
        <w:spacing w:line="218" w:lineRule="auto" w:before="92"/>
        <w:ind w:right="38"/>
      </w:pPr>
      <w:r>
        <w:rPr>
          <w:color w:val="231F20"/>
        </w:rPr>
        <w:t>Art. 3:48. § 1</w:t>
      </w:r>
      <w:r>
        <w:rPr>
          <w:color w:val="231F20"/>
          <w:position w:val="7"/>
          <w:sz w:val="11"/>
        </w:rPr>
        <w:t>er</w:t>
      </w:r>
      <w:r>
        <w:rPr>
          <w:color w:val="231F20"/>
        </w:rPr>
        <w:t>. Les organes d’administration des ASBL ou AISBL autres que les petites ASBL ou AISBL rédigent un rapport dans lequel ils rendent compte de leur gestion.</w:t>
      </w:r>
    </w:p>
    <w:p>
      <w:pPr>
        <w:pStyle w:val="BodyText"/>
        <w:spacing w:before="78"/>
        <w:ind w:left="283" w:right="0" w:firstLine="0"/>
        <w:jc w:val="left"/>
      </w:pPr>
      <w:r>
        <w:rPr>
          <w:color w:val="231F20"/>
        </w:rPr>
        <w:t>§ 2. Le rapport de gestion visé au paragraphe 1</w:t>
      </w:r>
      <w:r>
        <w:rPr>
          <w:color w:val="231F20"/>
          <w:position w:val="7"/>
          <w:sz w:val="11"/>
        </w:rPr>
        <w:t>er </w:t>
      </w:r>
      <w:r>
        <w:rPr>
          <w:color w:val="231F20"/>
        </w:rPr>
        <w:t>comporte:</w:t>
      </w:r>
    </w:p>
    <w:p>
      <w:pPr>
        <w:pStyle w:val="BodyText"/>
        <w:spacing w:line="218" w:lineRule="auto" w:before="103"/>
        <w:ind w:right="38"/>
      </w:pPr>
      <w:r>
        <w:rPr>
          <w:color w:val="231F20"/>
        </w:rPr>
        <w:t>1° au moins un exposé fidèle sur l’évolution et les résultats des activités et sur la situation de l’association, ainsi qu’une description des principaux risques et incertitudes auxquels elle est confrontée. Cet exposé consiste en une analyse équilibrée et complète de l’évolution et des résultats des activités et de la situation de l’association, en rapport avec le volume et la complexité de ces activités.</w:t>
      </w:r>
    </w:p>
    <w:p>
      <w:pPr>
        <w:pStyle w:val="BodyText"/>
        <w:spacing w:before="10"/>
        <w:ind w:left="0" w:right="0" w:firstLine="0"/>
        <w:jc w:val="left"/>
        <w:rPr>
          <w:sz w:val="24"/>
        </w:rPr>
      </w:pPr>
    </w:p>
    <w:p>
      <w:pPr>
        <w:pStyle w:val="BodyText"/>
        <w:spacing w:line="218" w:lineRule="auto"/>
        <w:ind w:right="38"/>
      </w:pPr>
      <w:r>
        <w:rPr>
          <w:color w:val="231F20"/>
        </w:rPr>
        <w:t>Dans la mesure nécessaire à la compréhension de l’évolution, des résultats ou de la situation de l’association, l’analyse comporte des indicateurs clés de performance de nature tant financière que, le cas échéant, non financière ayant trait aux activités spécifiques de l’asso- ciation, notamment des informations relatives aux questions d’environ- nement et de personnel.</w:t>
      </w:r>
    </w:p>
    <w:p>
      <w:pPr>
        <w:pStyle w:val="BodyText"/>
        <w:spacing w:line="218" w:lineRule="auto" w:before="107"/>
        <w:ind w:right="38"/>
      </w:pPr>
      <w:r>
        <w:rPr>
          <w:color w:val="231F20"/>
        </w:rPr>
        <w:t>En</w:t>
      </w:r>
      <w:r>
        <w:rPr>
          <w:color w:val="231F20"/>
          <w:spacing w:val="-6"/>
        </w:rPr>
        <w:t> </w:t>
      </w:r>
      <w:r>
        <w:rPr>
          <w:color w:val="231F20"/>
        </w:rPr>
        <w:t>donnant</w:t>
      </w:r>
      <w:r>
        <w:rPr>
          <w:color w:val="231F20"/>
          <w:spacing w:val="-5"/>
        </w:rPr>
        <w:t> </w:t>
      </w:r>
      <w:r>
        <w:rPr>
          <w:color w:val="231F20"/>
        </w:rPr>
        <w:t>son</w:t>
      </w:r>
      <w:r>
        <w:rPr>
          <w:color w:val="231F20"/>
          <w:spacing w:val="-5"/>
        </w:rPr>
        <w:t> </w:t>
      </w:r>
      <w:r>
        <w:rPr>
          <w:color w:val="231F20"/>
        </w:rPr>
        <w:t>analyse,</w:t>
      </w:r>
      <w:r>
        <w:rPr>
          <w:color w:val="231F20"/>
          <w:spacing w:val="-5"/>
        </w:rPr>
        <w:t> </w:t>
      </w:r>
      <w:r>
        <w:rPr>
          <w:color w:val="231F20"/>
        </w:rPr>
        <w:t>le</w:t>
      </w:r>
      <w:r>
        <w:rPr>
          <w:color w:val="231F20"/>
          <w:spacing w:val="-5"/>
        </w:rPr>
        <w:t> </w:t>
      </w:r>
      <w:r>
        <w:rPr>
          <w:color w:val="231F20"/>
        </w:rPr>
        <w:t>rapport</w:t>
      </w:r>
      <w:r>
        <w:rPr>
          <w:color w:val="231F20"/>
          <w:spacing w:val="-6"/>
        </w:rPr>
        <w:t> </w:t>
      </w:r>
      <w:r>
        <w:rPr>
          <w:color w:val="231F20"/>
        </w:rPr>
        <w:t>de</w:t>
      </w:r>
      <w:r>
        <w:rPr>
          <w:color w:val="231F20"/>
          <w:spacing w:val="-5"/>
        </w:rPr>
        <w:t> </w:t>
      </w:r>
      <w:r>
        <w:rPr>
          <w:color w:val="231F20"/>
        </w:rPr>
        <w:t>gestion</w:t>
      </w:r>
      <w:r>
        <w:rPr>
          <w:color w:val="231F20"/>
          <w:spacing w:val="-5"/>
        </w:rPr>
        <w:t> </w:t>
      </w:r>
      <w:r>
        <w:rPr>
          <w:color w:val="231F20"/>
        </w:rPr>
        <w:t>contient,</w:t>
      </w:r>
      <w:r>
        <w:rPr>
          <w:color w:val="231F20"/>
          <w:spacing w:val="-5"/>
        </w:rPr>
        <w:t> </w:t>
      </w:r>
      <w:r>
        <w:rPr>
          <w:color w:val="231F20"/>
        </w:rPr>
        <w:t>le</w:t>
      </w:r>
      <w:r>
        <w:rPr>
          <w:color w:val="231F20"/>
          <w:spacing w:val="-5"/>
        </w:rPr>
        <w:t> </w:t>
      </w:r>
      <w:r>
        <w:rPr>
          <w:color w:val="231F20"/>
        </w:rPr>
        <w:t>cas</w:t>
      </w:r>
      <w:r>
        <w:rPr>
          <w:color w:val="231F20"/>
          <w:spacing w:val="-6"/>
        </w:rPr>
        <w:t> </w:t>
      </w:r>
      <w:r>
        <w:rPr>
          <w:color w:val="231F20"/>
        </w:rPr>
        <w:t>échéant, des renvois aux montants indiqués dans les comptes annuels et des explications supplémentaires y</w:t>
      </w:r>
      <w:r>
        <w:rPr>
          <w:color w:val="231F20"/>
          <w:spacing w:val="2"/>
        </w:rPr>
        <w:t> </w:t>
      </w:r>
      <w:r>
        <w:rPr>
          <w:color w:val="231F20"/>
        </w:rPr>
        <w:t>afférentes;</w:t>
      </w:r>
    </w:p>
    <w:p>
      <w:pPr>
        <w:pStyle w:val="BodyText"/>
        <w:spacing w:line="218" w:lineRule="auto" w:before="107"/>
        <w:ind w:right="38"/>
      </w:pPr>
      <w:r>
        <w:rPr>
          <w:color w:val="231F20"/>
        </w:rPr>
        <w:t>2° des données sur les événements importants survenus après la clôture de l’exercice;</w:t>
      </w:r>
    </w:p>
    <w:p>
      <w:pPr>
        <w:pStyle w:val="BodyText"/>
        <w:spacing w:line="218" w:lineRule="auto" w:before="119"/>
      </w:pPr>
      <w:r>
        <w:rPr/>
        <w:br w:type="column"/>
      </w:r>
      <w:r>
        <w:rPr>
          <w:color w:val="231F20"/>
        </w:rPr>
        <w:t>§ 7. Binnen dertig dagen na de goedkeuring ervan door de algemene vergadering wordt de jaarrekening van de andere VZW’s  of</w:t>
      </w:r>
      <w:r>
        <w:rPr>
          <w:color w:val="231F20"/>
          <w:spacing w:val="20"/>
        </w:rPr>
        <w:t> </w:t>
      </w:r>
      <w:r>
        <w:rPr>
          <w:color w:val="231F20"/>
        </w:rPr>
        <w:t>IVZW’s dan de VZW’s of IVZW’s die op de balansdatum van het laatst afgesloten boekjaar niet meer dan één van de in paragraaf 2 bedoelde criteria overschrijden door de bestuurders neergelegd bij de Nationale Bank van</w:t>
      </w:r>
      <w:r>
        <w:rPr>
          <w:color w:val="231F20"/>
          <w:spacing w:val="-11"/>
        </w:rPr>
        <w:t> </w:t>
      </w:r>
      <w:r>
        <w:rPr>
          <w:color w:val="231F20"/>
        </w:rPr>
        <w:t>België.</w:t>
      </w:r>
    </w:p>
    <w:p>
      <w:pPr>
        <w:pStyle w:val="BodyText"/>
        <w:spacing w:before="83"/>
        <w:ind w:left="283" w:right="0" w:firstLine="0"/>
        <w:jc w:val="left"/>
      </w:pPr>
      <w:r>
        <w:rPr>
          <w:color w:val="231F20"/>
        </w:rPr>
        <w:t>Overeenkomstig het eerste lid worden gelijktijdig neergelegd:</w:t>
      </w:r>
    </w:p>
    <w:p>
      <w:pPr>
        <w:pStyle w:val="BodyText"/>
        <w:spacing w:line="218" w:lineRule="auto" w:before="93"/>
      </w:pPr>
      <w:r>
        <w:rPr>
          <w:color w:val="231F20"/>
        </w:rPr>
        <w:t>1° een stuk met de naam en voornaam van de bestuurders en in voorkomend geval van de commissarissen die in functie zijn;</w:t>
      </w:r>
    </w:p>
    <w:p>
      <w:pPr>
        <w:pStyle w:val="BodyText"/>
        <w:spacing w:line="350" w:lineRule="auto" w:before="82"/>
        <w:ind w:left="283" w:right="1017" w:hanging="1"/>
        <w:jc w:val="left"/>
      </w:pPr>
      <w:r>
        <w:rPr>
          <w:color w:val="231F20"/>
        </w:rPr>
        <w:t>2° in voorkomend geval, het verslag van de commissaris; 3°</w:t>
      </w:r>
      <w:r>
        <w:rPr>
          <w:color w:val="231F20"/>
          <w:spacing w:val="15"/>
        </w:rPr>
        <w:t> </w:t>
      </w:r>
      <w:r>
        <w:rPr>
          <w:color w:val="231F20"/>
        </w:rPr>
        <w:t>in</w:t>
      </w:r>
      <w:r>
        <w:rPr>
          <w:color w:val="231F20"/>
          <w:spacing w:val="16"/>
        </w:rPr>
        <w:t> </w:t>
      </w:r>
      <w:r>
        <w:rPr>
          <w:color w:val="231F20"/>
        </w:rPr>
        <w:t>voorkomend</w:t>
      </w:r>
      <w:r>
        <w:rPr>
          <w:color w:val="231F20"/>
          <w:spacing w:val="16"/>
        </w:rPr>
        <w:t> </w:t>
      </w:r>
      <w:r>
        <w:rPr>
          <w:color w:val="231F20"/>
        </w:rPr>
        <w:t>geval,</w:t>
      </w:r>
      <w:r>
        <w:rPr>
          <w:color w:val="231F20"/>
          <w:spacing w:val="16"/>
        </w:rPr>
        <w:t> </w:t>
      </w:r>
      <w:r>
        <w:rPr>
          <w:color w:val="231F20"/>
        </w:rPr>
        <w:t>het</w:t>
      </w:r>
      <w:r>
        <w:rPr>
          <w:color w:val="231F20"/>
          <w:spacing w:val="16"/>
        </w:rPr>
        <w:t> </w:t>
      </w:r>
      <w:r>
        <w:rPr>
          <w:color w:val="231F20"/>
        </w:rPr>
        <w:t>jaarverslag.</w:t>
      </w:r>
    </w:p>
    <w:p>
      <w:pPr>
        <w:pStyle w:val="BodyText"/>
        <w:spacing w:line="218" w:lineRule="auto" w:before="15"/>
      </w:pPr>
      <w:r>
        <w:rPr>
          <w:color w:val="231F20"/>
        </w:rPr>
        <w:t>De Koning bepaalt de modaliteiten en de voorwaarden voor de neerlegging van de in het eerste en het tweede lid bedoelde stukken, evenals het bedrag en de wijze van betaling van de kosten van de openbaarmaking. De neerlegging wordt alleen aanvaard indien de op grond van dit lid vastgestelde bepalingen worden nageleefd.</w:t>
      </w:r>
    </w:p>
    <w:p>
      <w:pPr>
        <w:pStyle w:val="BodyText"/>
        <w:spacing w:line="218" w:lineRule="auto" w:before="107"/>
      </w:pPr>
      <w:r>
        <w:rPr>
          <w:color w:val="231F20"/>
        </w:rPr>
        <w:t>Binnen vijftien werkdagen na de aanvaarding van de neerlegging wordt daarvan melding gemaakt in een door de Nationale Bank van België aangelegd bestand op een drager en volgens de nadere regels die de Koning vaststelt. De tekst van de vermelding wordt door de Nationale Bank van België neergelegd ter </w:t>
      </w:r>
      <w:r>
        <w:rPr>
          <w:color w:val="231F20"/>
          <w:spacing w:val="-4"/>
        </w:rPr>
        <w:t>griffie </w:t>
      </w:r>
      <w:r>
        <w:rPr>
          <w:color w:val="231F20"/>
        </w:rPr>
        <w:t>van de ondernemings- rechtbank die het dossier van de  VZW  of  IVZW  als  bedoeld  in  artikel</w:t>
      </w:r>
      <w:r>
        <w:rPr>
          <w:color w:val="231F20"/>
          <w:spacing w:val="15"/>
        </w:rPr>
        <w:t> </w:t>
      </w:r>
      <w:r>
        <w:rPr>
          <w:color w:val="231F20"/>
        </w:rPr>
        <w:t>2:7</w:t>
      </w:r>
      <w:r>
        <w:rPr>
          <w:color w:val="231F20"/>
          <w:spacing w:val="16"/>
        </w:rPr>
        <w:t> </w:t>
      </w:r>
      <w:r>
        <w:rPr>
          <w:color w:val="231F20"/>
        </w:rPr>
        <w:t>aanlegt</w:t>
      </w:r>
      <w:r>
        <w:rPr>
          <w:color w:val="231F20"/>
          <w:spacing w:val="16"/>
        </w:rPr>
        <w:t> </w:t>
      </w:r>
      <w:r>
        <w:rPr>
          <w:color w:val="231F20"/>
        </w:rPr>
        <w:t>en</w:t>
      </w:r>
      <w:r>
        <w:rPr>
          <w:color w:val="231F20"/>
          <w:spacing w:val="15"/>
        </w:rPr>
        <w:t> </w:t>
      </w:r>
      <w:r>
        <w:rPr>
          <w:color w:val="231F20"/>
        </w:rPr>
        <w:t>wordt</w:t>
      </w:r>
      <w:r>
        <w:rPr>
          <w:color w:val="231F20"/>
          <w:spacing w:val="16"/>
        </w:rPr>
        <w:t> </w:t>
      </w:r>
      <w:r>
        <w:rPr>
          <w:color w:val="231F20"/>
        </w:rPr>
        <w:t>bij</w:t>
      </w:r>
      <w:r>
        <w:rPr>
          <w:color w:val="231F20"/>
          <w:spacing w:val="16"/>
        </w:rPr>
        <w:t> </w:t>
      </w:r>
      <w:r>
        <w:rPr>
          <w:color w:val="231F20"/>
        </w:rPr>
        <w:t>dat</w:t>
      </w:r>
      <w:r>
        <w:rPr>
          <w:color w:val="231F20"/>
          <w:spacing w:val="15"/>
        </w:rPr>
        <w:t> </w:t>
      </w:r>
      <w:r>
        <w:rPr>
          <w:color w:val="231F20"/>
        </w:rPr>
        <w:t>dossier</w:t>
      </w:r>
      <w:r>
        <w:rPr>
          <w:color w:val="231F20"/>
          <w:spacing w:val="16"/>
        </w:rPr>
        <w:t> </w:t>
      </w:r>
      <w:r>
        <w:rPr>
          <w:color w:val="231F20"/>
        </w:rPr>
        <w:t>gevoegd.</w:t>
      </w:r>
    </w:p>
    <w:p>
      <w:pPr>
        <w:pStyle w:val="BodyText"/>
        <w:spacing w:line="218" w:lineRule="auto" w:before="107"/>
      </w:pPr>
      <w:r>
        <w:rPr>
          <w:color w:val="231F20"/>
        </w:rPr>
        <w:t>De Nationale Bank van België reikt aan degenen die er, zelfs schriftelijk, om vragen, een kopie in de door de Koning vastgestelde vorm uit, hetzij van alle stukken die haar op grond van het eerste en het tweede lid worden overgezonden, hetzij van de stukken als bedoeld in het eerste en het tweede lid die haar worden overgezonden en betrekking hebben op de met name genoemde verenigingen en op bepaalde jaren. De Koning stelt het bedrag vast dat aan de Nationale Bank van België moet worden betaald voor de verkrijging van de in dit lid bedoelde kopieën.</w:t>
      </w:r>
    </w:p>
    <w:p>
      <w:pPr>
        <w:pStyle w:val="BodyText"/>
        <w:spacing w:line="218" w:lineRule="auto" w:before="107"/>
      </w:pPr>
      <w:r>
        <w:rPr>
          <w:color w:val="231F20"/>
        </w:rPr>
        <w:t>De </w:t>
      </w:r>
      <w:r>
        <w:rPr>
          <w:color w:val="231F20"/>
          <w:spacing w:val="-3"/>
        </w:rPr>
        <w:t>griffies </w:t>
      </w:r>
      <w:r>
        <w:rPr>
          <w:color w:val="231F20"/>
        </w:rPr>
        <w:t>van de rechtbanken ontvangen van de Nationale Bank van België kosteloos en onverwijld een kopie van alle stukken bedoeld in het eerste en het tweede lid in de vorm die door de Koning is vastgesteld.</w:t>
      </w:r>
    </w:p>
    <w:p>
      <w:pPr>
        <w:pStyle w:val="BodyText"/>
        <w:spacing w:line="218" w:lineRule="auto" w:before="107"/>
      </w:pPr>
      <w:r>
        <w:rPr>
          <w:color w:val="231F20"/>
        </w:rPr>
        <w:t>De Nationale Bank van België is bevoegd om, volgens de nadere regels die de Koning vaststelt, algemene en anonieme statistieken op te maken en bekend te maken over het geheel of een gedeelte van</w:t>
      </w:r>
      <w:r>
        <w:rPr>
          <w:color w:val="231F20"/>
          <w:spacing w:val="7"/>
        </w:rPr>
        <w:t> </w:t>
      </w:r>
      <w:r>
        <w:rPr>
          <w:color w:val="231F20"/>
        </w:rPr>
        <w:t>de gegevens vervat in de stukken die haar met toepassing van het eerste  en</w:t>
      </w:r>
      <w:r>
        <w:rPr>
          <w:color w:val="231F20"/>
          <w:spacing w:val="16"/>
        </w:rPr>
        <w:t> </w:t>
      </w:r>
      <w:r>
        <w:rPr>
          <w:color w:val="231F20"/>
        </w:rPr>
        <w:t>het</w:t>
      </w:r>
      <w:r>
        <w:rPr>
          <w:color w:val="231F20"/>
          <w:spacing w:val="16"/>
        </w:rPr>
        <w:t> </w:t>
      </w:r>
      <w:r>
        <w:rPr>
          <w:color w:val="231F20"/>
        </w:rPr>
        <w:t>tweede</w:t>
      </w:r>
      <w:r>
        <w:rPr>
          <w:color w:val="231F20"/>
          <w:spacing w:val="17"/>
        </w:rPr>
        <w:t> </w:t>
      </w:r>
      <w:r>
        <w:rPr>
          <w:color w:val="231F20"/>
        </w:rPr>
        <w:t>lid</w:t>
      </w:r>
      <w:r>
        <w:rPr>
          <w:color w:val="231F20"/>
          <w:spacing w:val="16"/>
        </w:rPr>
        <w:t> </w:t>
      </w:r>
      <w:r>
        <w:rPr>
          <w:color w:val="231F20"/>
        </w:rPr>
        <w:t>worden</w:t>
      </w:r>
      <w:r>
        <w:rPr>
          <w:color w:val="231F20"/>
          <w:spacing w:val="17"/>
        </w:rPr>
        <w:t> </w:t>
      </w:r>
      <w:r>
        <w:rPr>
          <w:color w:val="231F20"/>
        </w:rPr>
        <w:t>overgezonden.</w:t>
      </w:r>
    </w:p>
    <w:p>
      <w:pPr>
        <w:pStyle w:val="BodyText"/>
        <w:spacing w:line="218" w:lineRule="auto" w:before="107"/>
        <w:ind w:right="125"/>
      </w:pPr>
      <w:r>
        <w:rPr>
          <w:color w:val="231F20"/>
        </w:rPr>
        <w:t>§ 8. Paragraaf 7, eerste lid, is niet van toepassing op de in paragraaf</w:t>
      </w:r>
      <w:r>
        <w:rPr>
          <w:color w:val="231F20"/>
          <w:spacing w:val="-14"/>
        </w:rPr>
        <w:t> </w:t>
      </w:r>
      <w:r>
        <w:rPr>
          <w:color w:val="231F20"/>
        </w:rPr>
        <w:t>5, 2°, bedoelde</w:t>
      </w:r>
      <w:r>
        <w:rPr>
          <w:color w:val="231F20"/>
          <w:spacing w:val="-11"/>
        </w:rPr>
        <w:t> </w:t>
      </w:r>
      <w:r>
        <w:rPr>
          <w:color w:val="231F20"/>
        </w:rPr>
        <w:t>verenigingen.</w:t>
      </w:r>
    </w:p>
    <w:p>
      <w:pPr>
        <w:pStyle w:val="BodyText"/>
        <w:spacing w:line="218" w:lineRule="auto" w:before="107"/>
      </w:pPr>
      <w:r>
        <w:rPr>
          <w:color w:val="231F20"/>
        </w:rPr>
        <w:t>§ 9. De minister bevoegd voor Justitie of zijn afgevaardigde kan in bijzondere gevallen, na een gemotiveerd advies van de Commissie voor Boekhoudkundige Normen, toestaan dat wordt afgeweken van de koninklijke besluiten genomen ter uitvoering van deze titel.</w:t>
      </w:r>
    </w:p>
    <w:p>
      <w:pPr>
        <w:pStyle w:val="BodyText"/>
        <w:spacing w:line="218" w:lineRule="auto" w:before="107"/>
      </w:pPr>
      <w:r>
        <w:rPr>
          <w:color w:val="231F20"/>
        </w:rPr>
        <w:t>De Commissie voor Boekhoudkundige Normen wordt in kennis gesteld van het besluit van de minister of zijn afgevaardigde.</w:t>
      </w:r>
    </w:p>
    <w:p>
      <w:pPr>
        <w:pStyle w:val="BodyText"/>
        <w:spacing w:line="218" w:lineRule="auto" w:before="107"/>
      </w:pPr>
      <w:r>
        <w:rPr>
          <w:color w:val="231F20"/>
        </w:rPr>
        <w:t>De VZW of IVZW waarvoor de afwijking werd toegestaan vermeldt deze afwijking onder de waarderingsregels in de toelichting bij de jaarrekening.</w:t>
      </w:r>
    </w:p>
    <w:p>
      <w:pPr>
        <w:pStyle w:val="BodyText"/>
        <w:spacing w:line="218" w:lineRule="auto" w:before="106"/>
      </w:pPr>
      <w:r>
        <w:rPr>
          <w:color w:val="231F20"/>
        </w:rPr>
        <w:t>Art. 3:48. § 1. De bestuursorganen van de andere dan de kleine VZW’s of IVZW’s, stellen een verslag op waarin zij rekenschap geven van hun</w:t>
      </w:r>
      <w:r>
        <w:rPr>
          <w:color w:val="231F20"/>
          <w:spacing w:val="-11"/>
        </w:rPr>
        <w:t> </w:t>
      </w:r>
      <w:r>
        <w:rPr>
          <w:color w:val="231F20"/>
        </w:rPr>
        <w:t>beleid.</w:t>
      </w:r>
    </w:p>
    <w:p>
      <w:pPr>
        <w:pStyle w:val="BodyText"/>
        <w:spacing w:before="93"/>
        <w:ind w:left="283" w:right="0" w:firstLine="0"/>
        <w:jc w:val="left"/>
      </w:pPr>
      <w:r>
        <w:rPr>
          <w:color w:val="231F20"/>
        </w:rPr>
        <w:t>§ 2. Het jaarverslag bedoeld in paragraaf 1 bevat:</w:t>
      </w:r>
    </w:p>
    <w:p>
      <w:pPr>
        <w:pStyle w:val="BodyText"/>
        <w:spacing w:line="218" w:lineRule="auto" w:before="104"/>
      </w:pPr>
      <w:r>
        <w:rPr>
          <w:color w:val="231F20"/>
        </w:rPr>
        <w:t>1° ten minste een getrouw overzicht van de ontwikkeling en de resultaten van de activiteiten en van de positie van de vereniging, evenals een beschrijving van de voornaamste risico’s en onzekerheden waarmee zij wordt geconfronteerd. Dit overzicht bevat een evenwich- tige en volledige analyse van de ontwikkeling en de resultaten van de activiteiten en van de positie van de vereniging die in overeenstem- ming is met de omvang en de complexiteit van deze activiteiten.</w:t>
      </w:r>
    </w:p>
    <w:p>
      <w:pPr>
        <w:pStyle w:val="BodyText"/>
        <w:spacing w:line="218" w:lineRule="auto" w:before="107"/>
        <w:ind w:right="123"/>
      </w:pPr>
      <w:r>
        <w:rPr>
          <w:color w:val="231F20"/>
        </w:rPr>
        <w:t>In zoverre noodzakelijk voor een goed begrip van de ontwikkeling,  de resultaten of de positie van de vereniging, omvat de analyse zowel financiële als, in voorkomend geval, niet-financiële essentiële prestatie- indicatoren die betrekking hebben op de specifieke activiteiten van de vereniging, met inbegrip van informatie over milieu- en personeelsaan- gelegenheden.</w:t>
      </w:r>
    </w:p>
    <w:p>
      <w:pPr>
        <w:pStyle w:val="BodyText"/>
        <w:spacing w:line="218" w:lineRule="auto" w:before="107"/>
      </w:pPr>
      <w:r>
        <w:rPr>
          <w:color w:val="231F20"/>
        </w:rPr>
        <w:t>In deze analyse verwijst het jaarverslag in voorkomend geval naar en aanvullende uitleg over de bedragen vermeld in de jaarrekening;</w:t>
      </w:r>
    </w:p>
    <w:p>
      <w:pPr>
        <w:pStyle w:val="BodyText"/>
        <w:spacing w:before="10"/>
        <w:ind w:left="0" w:right="0" w:firstLine="0"/>
        <w:jc w:val="left"/>
        <w:rPr>
          <w:sz w:val="24"/>
        </w:rPr>
      </w:pPr>
    </w:p>
    <w:p>
      <w:pPr>
        <w:pStyle w:val="BodyText"/>
        <w:spacing w:line="218" w:lineRule="auto"/>
      </w:pPr>
      <w:r>
        <w:rPr>
          <w:color w:val="231F20"/>
        </w:rPr>
        <w:t>2° informatie over de belangrijke gebeurtenissen die na het einde van het boekjaar hebben plaatsgevonden;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608" from="298.170502pt,64.473pt" to="298.170502pt,812.819pt" stroked="true" strokeweight=".533pt" strokecolor="#231f20">
            <v:stroke dashstyle="solid"/>
            <w10:wrap type="none"/>
          </v:line>
        </w:pict>
      </w:r>
      <w:bookmarkStart w:name="_bookmark66" w:id="71"/>
      <w:bookmarkEnd w:id="71"/>
      <w:r>
        <w:rPr/>
      </w:r>
      <w:r>
        <w:rPr>
          <w:color w:val="231F20"/>
        </w:rPr>
        <w:t>3° des indications sur les circonstances susceptibles d’avoir une influence notable sur le développement de l’association, pour autant que ces indications ne soient pas de nature à porter gravement préjudice à l’association;</w:t>
      </w:r>
    </w:p>
    <w:p>
      <w:pPr>
        <w:pStyle w:val="BodyText"/>
        <w:spacing w:line="218" w:lineRule="auto" w:before="85"/>
        <w:ind w:right="38"/>
      </w:pPr>
      <w:r>
        <w:rPr>
          <w:color w:val="231F20"/>
        </w:rPr>
        <w:t>4°</w:t>
      </w:r>
      <w:r>
        <w:rPr>
          <w:color w:val="231F20"/>
          <w:spacing w:val="-3"/>
        </w:rPr>
        <w:t> </w:t>
      </w:r>
      <w:r>
        <w:rPr>
          <w:color w:val="231F20"/>
        </w:rPr>
        <w:t>des</w:t>
      </w:r>
      <w:r>
        <w:rPr>
          <w:color w:val="231F20"/>
          <w:spacing w:val="-3"/>
        </w:rPr>
        <w:t> </w:t>
      </w:r>
      <w:r>
        <w:rPr>
          <w:color w:val="231F20"/>
        </w:rPr>
        <w:t>indications</w:t>
      </w:r>
      <w:r>
        <w:rPr>
          <w:color w:val="231F20"/>
          <w:spacing w:val="-3"/>
        </w:rPr>
        <w:t> </w:t>
      </w:r>
      <w:r>
        <w:rPr>
          <w:color w:val="231F20"/>
        </w:rPr>
        <w:t>relatives</w:t>
      </w:r>
      <w:r>
        <w:rPr>
          <w:color w:val="231F20"/>
          <w:spacing w:val="-3"/>
        </w:rPr>
        <w:t> </w:t>
      </w:r>
      <w:r>
        <w:rPr>
          <w:color w:val="231F20"/>
        </w:rPr>
        <w:t>aux</w:t>
      </w:r>
      <w:r>
        <w:rPr>
          <w:color w:val="231F20"/>
          <w:spacing w:val="-3"/>
        </w:rPr>
        <w:t> </w:t>
      </w:r>
      <w:r>
        <w:rPr>
          <w:color w:val="231F20"/>
        </w:rPr>
        <w:t>activités</w:t>
      </w:r>
      <w:r>
        <w:rPr>
          <w:color w:val="231F20"/>
          <w:spacing w:val="-3"/>
        </w:rPr>
        <w:t> </w:t>
      </w:r>
      <w:r>
        <w:rPr>
          <w:color w:val="231F20"/>
        </w:rPr>
        <w:t>en</w:t>
      </w:r>
      <w:r>
        <w:rPr>
          <w:color w:val="231F20"/>
          <w:spacing w:val="-3"/>
        </w:rPr>
        <w:t> </w:t>
      </w:r>
      <w:r>
        <w:rPr>
          <w:color w:val="231F20"/>
        </w:rPr>
        <w:t>matière</w:t>
      </w:r>
      <w:r>
        <w:rPr>
          <w:color w:val="231F20"/>
          <w:spacing w:val="-3"/>
        </w:rPr>
        <w:t> </w:t>
      </w:r>
      <w:r>
        <w:rPr>
          <w:color w:val="231F20"/>
        </w:rPr>
        <w:t>de</w:t>
      </w:r>
      <w:r>
        <w:rPr>
          <w:color w:val="231F20"/>
          <w:spacing w:val="-2"/>
        </w:rPr>
        <w:t> </w:t>
      </w:r>
      <w:r>
        <w:rPr>
          <w:color w:val="231F20"/>
        </w:rPr>
        <w:t>recherche</w:t>
      </w:r>
      <w:r>
        <w:rPr>
          <w:color w:val="231F20"/>
          <w:spacing w:val="-3"/>
        </w:rPr>
        <w:t> </w:t>
      </w:r>
      <w:r>
        <w:rPr>
          <w:color w:val="231F20"/>
        </w:rPr>
        <w:t>et</w:t>
      </w:r>
      <w:r>
        <w:rPr>
          <w:color w:val="231F20"/>
          <w:spacing w:val="-3"/>
        </w:rPr>
        <w:t> </w:t>
      </w:r>
      <w:r>
        <w:rPr>
          <w:color w:val="231F20"/>
        </w:rPr>
        <w:t>de développement;</w:t>
      </w:r>
    </w:p>
    <w:p>
      <w:pPr>
        <w:pStyle w:val="BodyText"/>
        <w:spacing w:line="218" w:lineRule="auto" w:before="86"/>
        <w:ind w:right="38"/>
      </w:pPr>
      <w:r>
        <w:rPr>
          <w:color w:val="231F20"/>
        </w:rPr>
        <w:t>5° des indications relatives à l’existence de succursales de l’associa- tion;</w:t>
      </w:r>
    </w:p>
    <w:p>
      <w:pPr>
        <w:pStyle w:val="BodyText"/>
        <w:spacing w:line="218" w:lineRule="auto" w:before="85"/>
        <w:ind w:right="38"/>
      </w:pPr>
      <w:r>
        <w:rPr>
          <w:color w:val="231F20"/>
        </w:rPr>
        <w:t>6° au cas ou le bilan fait apparaître une perte reportée ou le compte de résultats fait apparaître pendant deux exercices successifs une perte de l’exercice, une justification de l’application des règles comptables de continuité;</w:t>
      </w:r>
    </w:p>
    <w:p>
      <w:pPr>
        <w:pStyle w:val="BodyText"/>
        <w:spacing w:line="218" w:lineRule="auto" w:before="97"/>
        <w:ind w:right="38"/>
      </w:pPr>
      <w:r>
        <w:rPr>
          <w:color w:val="231F20"/>
        </w:rPr>
        <w:t>7° en ce qui concerne l’utilisation des instruments financiers par l’association et lorsque cela est pertinent pour l’évaluation de son actif, de son passif, de sa situation financière et de son résultat:</w:t>
      </w:r>
    </w:p>
    <w:p>
      <w:pPr>
        <w:pStyle w:val="ListParagraph"/>
        <w:numPr>
          <w:ilvl w:val="0"/>
          <w:numId w:val="71"/>
        </w:numPr>
        <w:tabs>
          <w:tab w:pos="480" w:val="left" w:leader="none"/>
        </w:tabs>
        <w:spacing w:line="218" w:lineRule="auto" w:before="93" w:after="0"/>
        <w:ind w:left="113" w:right="38" w:firstLine="170"/>
        <w:jc w:val="both"/>
        <w:rPr>
          <w:sz w:val="17"/>
        </w:rPr>
      </w:pPr>
      <w:r>
        <w:rPr>
          <w:color w:val="231F20"/>
          <w:sz w:val="17"/>
        </w:rPr>
        <w:t>les objectifs et la politique de l’association en matière de gestion des risques financiers, y compris sa politique concernant la couverture de chaque catégorie principale des transactions prévues pour lesquelles il</w:t>
      </w:r>
      <w:r>
        <w:rPr>
          <w:color w:val="231F20"/>
          <w:spacing w:val="15"/>
          <w:sz w:val="17"/>
        </w:rPr>
        <w:t> </w:t>
      </w:r>
      <w:r>
        <w:rPr>
          <w:color w:val="231F20"/>
          <w:sz w:val="17"/>
        </w:rPr>
        <w:t>est</w:t>
      </w:r>
      <w:r>
        <w:rPr>
          <w:color w:val="231F20"/>
          <w:spacing w:val="16"/>
          <w:sz w:val="17"/>
        </w:rPr>
        <w:t> </w:t>
      </w:r>
      <w:r>
        <w:rPr>
          <w:color w:val="231F20"/>
          <w:sz w:val="17"/>
        </w:rPr>
        <w:t>fait</w:t>
      </w:r>
      <w:r>
        <w:rPr>
          <w:color w:val="231F20"/>
          <w:spacing w:val="15"/>
          <w:sz w:val="17"/>
        </w:rPr>
        <w:t> </w:t>
      </w:r>
      <w:r>
        <w:rPr>
          <w:color w:val="231F20"/>
          <w:sz w:val="17"/>
        </w:rPr>
        <w:t>usage</w:t>
      </w:r>
      <w:r>
        <w:rPr>
          <w:color w:val="231F20"/>
          <w:spacing w:val="16"/>
          <w:sz w:val="17"/>
        </w:rPr>
        <w:t> </w:t>
      </w:r>
      <w:r>
        <w:rPr>
          <w:color w:val="231F20"/>
          <w:sz w:val="17"/>
        </w:rPr>
        <w:t>de</w:t>
      </w:r>
      <w:r>
        <w:rPr>
          <w:color w:val="231F20"/>
          <w:spacing w:val="15"/>
          <w:sz w:val="17"/>
        </w:rPr>
        <w:t> </w:t>
      </w:r>
      <w:r>
        <w:rPr>
          <w:color w:val="231F20"/>
          <w:sz w:val="17"/>
        </w:rPr>
        <w:t>la</w:t>
      </w:r>
      <w:r>
        <w:rPr>
          <w:color w:val="231F20"/>
          <w:spacing w:val="16"/>
          <w:sz w:val="17"/>
        </w:rPr>
        <w:t> </w:t>
      </w:r>
      <w:r>
        <w:rPr>
          <w:color w:val="231F20"/>
          <w:sz w:val="17"/>
        </w:rPr>
        <w:t>comptabilité</w:t>
      </w:r>
      <w:r>
        <w:rPr>
          <w:color w:val="231F20"/>
          <w:spacing w:val="15"/>
          <w:sz w:val="17"/>
        </w:rPr>
        <w:t> </w:t>
      </w:r>
      <w:r>
        <w:rPr>
          <w:color w:val="231F20"/>
          <w:sz w:val="17"/>
        </w:rPr>
        <w:t>de</w:t>
      </w:r>
      <w:r>
        <w:rPr>
          <w:color w:val="231F20"/>
          <w:spacing w:val="16"/>
          <w:sz w:val="17"/>
        </w:rPr>
        <w:t> </w:t>
      </w:r>
      <w:r>
        <w:rPr>
          <w:color w:val="231F20"/>
          <w:sz w:val="17"/>
        </w:rPr>
        <w:t>couverture,</w:t>
      </w:r>
      <w:r>
        <w:rPr>
          <w:color w:val="231F20"/>
          <w:spacing w:val="15"/>
          <w:sz w:val="17"/>
        </w:rPr>
        <w:t> </w:t>
      </w:r>
      <w:r>
        <w:rPr>
          <w:color w:val="231F20"/>
          <w:sz w:val="17"/>
        </w:rPr>
        <w:t>et</w:t>
      </w:r>
    </w:p>
    <w:p>
      <w:pPr>
        <w:pStyle w:val="ListParagraph"/>
        <w:numPr>
          <w:ilvl w:val="0"/>
          <w:numId w:val="71"/>
        </w:numPr>
        <w:tabs>
          <w:tab w:pos="471" w:val="left" w:leader="none"/>
        </w:tabs>
        <w:spacing w:line="218" w:lineRule="auto" w:before="94" w:after="0"/>
        <w:ind w:left="113" w:right="38" w:firstLine="170"/>
        <w:jc w:val="both"/>
        <w:rPr>
          <w:sz w:val="17"/>
        </w:rPr>
      </w:pPr>
      <w:r>
        <w:rPr>
          <w:color w:val="231F20"/>
          <w:sz w:val="17"/>
        </w:rPr>
        <w:t>l’exposition de l’association au risque de prix, au risque de crédit, au</w:t>
      </w:r>
      <w:r>
        <w:rPr>
          <w:color w:val="231F20"/>
          <w:spacing w:val="15"/>
          <w:sz w:val="17"/>
        </w:rPr>
        <w:t> </w:t>
      </w:r>
      <w:r>
        <w:rPr>
          <w:color w:val="231F20"/>
          <w:sz w:val="17"/>
        </w:rPr>
        <w:t>risque</w:t>
      </w:r>
      <w:r>
        <w:rPr>
          <w:color w:val="231F20"/>
          <w:spacing w:val="15"/>
          <w:sz w:val="17"/>
        </w:rPr>
        <w:t> </w:t>
      </w:r>
      <w:r>
        <w:rPr>
          <w:color w:val="231F20"/>
          <w:sz w:val="17"/>
        </w:rPr>
        <w:t>de</w:t>
      </w:r>
      <w:r>
        <w:rPr>
          <w:color w:val="231F20"/>
          <w:spacing w:val="15"/>
          <w:sz w:val="17"/>
        </w:rPr>
        <w:t> </w:t>
      </w:r>
      <w:r>
        <w:rPr>
          <w:color w:val="231F20"/>
          <w:sz w:val="17"/>
        </w:rPr>
        <w:t>liquidité</w:t>
      </w:r>
      <w:r>
        <w:rPr>
          <w:color w:val="231F20"/>
          <w:spacing w:val="15"/>
          <w:sz w:val="17"/>
        </w:rPr>
        <w:t> </w:t>
      </w:r>
      <w:r>
        <w:rPr>
          <w:color w:val="231F20"/>
          <w:sz w:val="17"/>
        </w:rPr>
        <w:t>et</w:t>
      </w:r>
      <w:r>
        <w:rPr>
          <w:color w:val="231F20"/>
          <w:spacing w:val="16"/>
          <w:sz w:val="17"/>
        </w:rPr>
        <w:t> </w:t>
      </w:r>
      <w:r>
        <w:rPr>
          <w:color w:val="231F20"/>
          <w:sz w:val="17"/>
        </w:rPr>
        <w:t>au</w:t>
      </w:r>
      <w:r>
        <w:rPr>
          <w:color w:val="231F20"/>
          <w:spacing w:val="15"/>
          <w:sz w:val="17"/>
        </w:rPr>
        <w:t> </w:t>
      </w:r>
      <w:r>
        <w:rPr>
          <w:color w:val="231F20"/>
          <w:sz w:val="17"/>
        </w:rPr>
        <w:t>risque</w:t>
      </w:r>
      <w:r>
        <w:rPr>
          <w:color w:val="231F20"/>
          <w:spacing w:val="15"/>
          <w:sz w:val="17"/>
        </w:rPr>
        <w:t> </w:t>
      </w:r>
      <w:r>
        <w:rPr>
          <w:color w:val="231F20"/>
          <w:sz w:val="17"/>
        </w:rPr>
        <w:t>de</w:t>
      </w:r>
      <w:r>
        <w:rPr>
          <w:color w:val="231F20"/>
          <w:spacing w:val="15"/>
          <w:sz w:val="17"/>
        </w:rPr>
        <w:t> </w:t>
      </w:r>
      <w:r>
        <w:rPr>
          <w:color w:val="231F20"/>
          <w:sz w:val="17"/>
        </w:rPr>
        <w:t>trésorerie.</w:t>
      </w:r>
    </w:p>
    <w:p>
      <w:pPr>
        <w:pStyle w:val="BodyText"/>
        <w:spacing w:line="218" w:lineRule="auto" w:before="81"/>
        <w:ind w:right="38"/>
      </w:pPr>
      <w:r>
        <w:rPr>
          <w:color w:val="231F20"/>
        </w:rPr>
        <w:t>Art. 3:49. § 1</w:t>
      </w:r>
      <w:r>
        <w:rPr>
          <w:color w:val="231F20"/>
          <w:position w:val="7"/>
          <w:sz w:val="11"/>
        </w:rPr>
        <w:t>er</w:t>
      </w:r>
      <w:r>
        <w:rPr>
          <w:color w:val="231F20"/>
        </w:rPr>
        <w:t>. Les comptes annuels, même approuvés par l’assem- blée générale et déposés conformément à l’article 3:47, peuvent être rectifiés non seulement en cas d’erreurs matérielles, faux ou double emploi au sens de l’article 1368 du Code judiciaire, mais encore en cas d’erreur de fait ou de droit, y compris d’erreur commise dans l’évaluation d’un poste ou d’infraction au droit comptable.</w:t>
      </w:r>
    </w:p>
    <w:p>
      <w:pPr>
        <w:pStyle w:val="BodyText"/>
        <w:spacing w:before="10"/>
        <w:ind w:left="0" w:right="0" w:firstLine="0"/>
        <w:jc w:val="left"/>
        <w:rPr>
          <w:sz w:val="23"/>
        </w:rPr>
      </w:pPr>
    </w:p>
    <w:p>
      <w:pPr>
        <w:pStyle w:val="BodyText"/>
        <w:spacing w:line="218" w:lineRule="auto" w:before="1"/>
        <w:ind w:right="38"/>
      </w:pPr>
      <w:r>
        <w:rPr>
          <w:color w:val="231F20"/>
        </w:rPr>
        <w:t>Ils doivent être rectifiés si la comptabilisation opérée implique une infraction au droit comptable d’une nature telle que les comptes annuels ne donnent pas une image fidèle du patrimoine, de la situation financière</w:t>
      </w:r>
      <w:r>
        <w:rPr>
          <w:color w:val="231F20"/>
          <w:spacing w:val="16"/>
        </w:rPr>
        <w:t> </w:t>
      </w:r>
      <w:r>
        <w:rPr>
          <w:color w:val="231F20"/>
        </w:rPr>
        <w:t>ainsi</w:t>
      </w:r>
      <w:r>
        <w:rPr>
          <w:color w:val="231F20"/>
          <w:spacing w:val="16"/>
        </w:rPr>
        <w:t> </w:t>
      </w:r>
      <w:r>
        <w:rPr>
          <w:color w:val="231F20"/>
        </w:rPr>
        <w:t>que</w:t>
      </w:r>
      <w:r>
        <w:rPr>
          <w:color w:val="231F20"/>
          <w:spacing w:val="16"/>
        </w:rPr>
        <w:t> </w:t>
      </w:r>
      <w:r>
        <w:rPr>
          <w:color w:val="231F20"/>
        </w:rPr>
        <w:t>du</w:t>
      </w:r>
      <w:r>
        <w:rPr>
          <w:color w:val="231F20"/>
          <w:spacing w:val="16"/>
        </w:rPr>
        <w:t> </w:t>
      </w:r>
      <w:r>
        <w:rPr>
          <w:color w:val="231F20"/>
        </w:rPr>
        <w:t>résultat</w:t>
      </w:r>
      <w:r>
        <w:rPr>
          <w:color w:val="231F20"/>
          <w:spacing w:val="17"/>
        </w:rPr>
        <w:t> </w:t>
      </w:r>
      <w:r>
        <w:rPr>
          <w:color w:val="231F20"/>
        </w:rPr>
        <w:t>de</w:t>
      </w:r>
      <w:r>
        <w:rPr>
          <w:color w:val="231F20"/>
          <w:spacing w:val="16"/>
        </w:rPr>
        <w:t> </w:t>
      </w:r>
      <w:r>
        <w:rPr>
          <w:color w:val="231F20"/>
        </w:rPr>
        <w:t>l’ASBL</w:t>
      </w:r>
      <w:r>
        <w:rPr>
          <w:color w:val="231F20"/>
          <w:spacing w:val="10"/>
        </w:rPr>
        <w:t> </w:t>
      </w:r>
      <w:r>
        <w:rPr>
          <w:color w:val="231F20"/>
        </w:rPr>
        <w:t>ou</w:t>
      </w:r>
      <w:r>
        <w:rPr>
          <w:color w:val="231F20"/>
          <w:spacing w:val="16"/>
        </w:rPr>
        <w:t> </w:t>
      </w:r>
      <w:r>
        <w:rPr>
          <w:color w:val="231F20"/>
        </w:rPr>
        <w:t>de</w:t>
      </w:r>
      <w:r>
        <w:rPr>
          <w:color w:val="231F20"/>
          <w:spacing w:val="16"/>
        </w:rPr>
        <w:t> </w:t>
      </w:r>
      <w:r>
        <w:rPr>
          <w:color w:val="231F20"/>
        </w:rPr>
        <w:t>l’AISBL.</w:t>
      </w:r>
    </w:p>
    <w:p>
      <w:pPr>
        <w:pStyle w:val="BodyText"/>
        <w:spacing w:line="218" w:lineRule="auto" w:before="96"/>
        <w:ind w:right="38"/>
      </w:pPr>
      <w:r>
        <w:rPr>
          <w:color w:val="231F20"/>
        </w:rPr>
        <w:t>§ 2. À moins qu’elle ne résulte du redressement par l’organe d’administration de simples erreurs matérielles, la rectification doit</w:t>
      </w:r>
      <w:r>
        <w:rPr>
          <w:color w:val="231F20"/>
          <w:spacing w:val="-29"/>
        </w:rPr>
        <w:t> </w:t>
      </w:r>
      <w:r>
        <w:rPr>
          <w:color w:val="231F20"/>
        </w:rPr>
        <w:t>être soumise à l’approbation de l’assemblée générale lorsque celle-ci est requise par la</w:t>
      </w:r>
      <w:r>
        <w:rPr>
          <w:color w:val="231F20"/>
          <w:spacing w:val="3"/>
        </w:rPr>
        <w:t> </w:t>
      </w:r>
      <w:r>
        <w:rPr>
          <w:color w:val="231F20"/>
        </w:rPr>
        <w:t>loi.</w:t>
      </w:r>
    </w:p>
    <w:p>
      <w:pPr>
        <w:pStyle w:val="BodyText"/>
        <w:spacing w:line="218" w:lineRule="auto" w:before="96"/>
        <w:ind w:right="38"/>
      </w:pPr>
      <w:r>
        <w:rPr>
          <w:color w:val="231F20"/>
        </w:rPr>
        <w:t>Art. 3:50. Toute association étrangère ayant une succursale en Belgique est tenue de déposer ses comptes annuels relatifs au dernier exercice clôturé à la Banque nationale de Belgique, sous la forme dans laquelle ces comptes ont été établis, contrôlés et rendus publics conformément au droit de l’État auquel l’association est soumise.</w:t>
      </w:r>
    </w:p>
    <w:p>
      <w:pPr>
        <w:pStyle w:val="BodyText"/>
        <w:spacing w:line="218" w:lineRule="auto" w:before="96"/>
        <w:ind w:right="38"/>
      </w:pPr>
      <w:r>
        <w:rPr>
          <w:color w:val="231F20"/>
        </w:rPr>
        <w:t>Ce dépôt a lieu annuellement, dans le mois qui suit son approbation et au plus tard sept mois après la date de clôture de l’exercice.</w:t>
      </w:r>
    </w:p>
    <w:p>
      <w:pPr>
        <w:pStyle w:val="BodyText"/>
        <w:spacing w:before="8"/>
        <w:ind w:left="0" w:right="0" w:firstLine="0"/>
        <w:jc w:val="left"/>
        <w:rPr>
          <w:sz w:val="22"/>
        </w:rPr>
      </w:pPr>
    </w:p>
    <w:p>
      <w:pPr>
        <w:pStyle w:val="BodyText"/>
        <w:ind w:left="283" w:right="0" w:firstLine="0"/>
        <w:jc w:val="left"/>
      </w:pPr>
      <w:r>
        <w:rPr>
          <w:color w:val="231F20"/>
        </w:rPr>
        <w:t>TITRE</w:t>
      </w:r>
      <w:r>
        <w:rPr>
          <w:color w:val="231F20"/>
          <w:spacing w:val="14"/>
        </w:rPr>
        <w:t> </w:t>
      </w:r>
      <w:r>
        <w:rPr>
          <w:color w:val="231F20"/>
        </w:rPr>
        <w:t>3.</w:t>
      </w:r>
      <w:r>
        <w:rPr>
          <w:color w:val="231F20"/>
          <w:spacing w:val="15"/>
        </w:rPr>
        <w:t> </w:t>
      </w:r>
      <w:r>
        <w:rPr>
          <w:color w:val="231F20"/>
        </w:rPr>
        <w:t>Comptes</w:t>
      </w:r>
      <w:r>
        <w:rPr>
          <w:color w:val="231F20"/>
          <w:spacing w:val="15"/>
        </w:rPr>
        <w:t> </w:t>
      </w:r>
      <w:r>
        <w:rPr>
          <w:color w:val="231F20"/>
        </w:rPr>
        <w:t>annuels</w:t>
      </w:r>
      <w:r>
        <w:rPr>
          <w:color w:val="231F20"/>
          <w:spacing w:val="15"/>
        </w:rPr>
        <w:t> </w:t>
      </w:r>
      <w:r>
        <w:rPr>
          <w:color w:val="231F20"/>
        </w:rPr>
        <w:t>et</w:t>
      </w:r>
      <w:r>
        <w:rPr>
          <w:color w:val="231F20"/>
          <w:spacing w:val="14"/>
        </w:rPr>
        <w:t> </w:t>
      </w:r>
      <w:r>
        <w:rPr>
          <w:color w:val="231F20"/>
        </w:rPr>
        <w:t>budgets</w:t>
      </w:r>
      <w:r>
        <w:rPr>
          <w:color w:val="231F20"/>
          <w:spacing w:val="15"/>
        </w:rPr>
        <w:t> </w:t>
      </w:r>
      <w:r>
        <w:rPr>
          <w:color w:val="231F20"/>
        </w:rPr>
        <w:t>des</w:t>
      </w:r>
      <w:r>
        <w:rPr>
          <w:color w:val="231F20"/>
          <w:spacing w:val="15"/>
        </w:rPr>
        <w:t> </w:t>
      </w:r>
      <w:r>
        <w:rPr>
          <w:color w:val="231F20"/>
        </w:rPr>
        <w:t>fondations.</w:t>
      </w:r>
    </w:p>
    <w:p>
      <w:pPr>
        <w:pStyle w:val="BodyText"/>
        <w:spacing w:line="218" w:lineRule="auto" w:before="78"/>
        <w:ind w:right="38"/>
      </w:pPr>
      <w:r>
        <w:rPr>
          <w:color w:val="231F20"/>
        </w:rPr>
        <w:t>Art. 3:51. § 1</w:t>
      </w:r>
      <w:r>
        <w:rPr>
          <w:color w:val="231F20"/>
          <w:position w:val="7"/>
          <w:sz w:val="11"/>
        </w:rPr>
        <w:t>er</w:t>
      </w:r>
      <w:r>
        <w:rPr>
          <w:color w:val="231F20"/>
        </w:rPr>
        <w:t>. Chaque année et au plus tard six mois après la date de clôture de l’exercice social, l’organe d’administration de la fondation établit les comptes annuels de l’exercice social écoulé, dont la forme et le contenu sont déterminés par le Roi, ainsi que le budget de l’exercice qui</w:t>
      </w:r>
      <w:r>
        <w:rPr>
          <w:color w:val="231F20"/>
          <w:spacing w:val="15"/>
        </w:rPr>
        <w:t> </w:t>
      </w:r>
      <w:r>
        <w:rPr>
          <w:color w:val="231F20"/>
        </w:rPr>
        <w:t>suit</w:t>
      </w:r>
      <w:r>
        <w:rPr>
          <w:color w:val="231F20"/>
          <w:spacing w:val="16"/>
        </w:rPr>
        <w:t> </w:t>
      </w:r>
      <w:r>
        <w:rPr>
          <w:color w:val="231F20"/>
        </w:rPr>
        <w:t>celui</w:t>
      </w:r>
      <w:r>
        <w:rPr>
          <w:color w:val="231F20"/>
          <w:spacing w:val="15"/>
        </w:rPr>
        <w:t> </w:t>
      </w:r>
      <w:r>
        <w:rPr>
          <w:color w:val="231F20"/>
        </w:rPr>
        <w:t>auquel</w:t>
      </w:r>
      <w:r>
        <w:rPr>
          <w:color w:val="231F20"/>
          <w:spacing w:val="16"/>
        </w:rPr>
        <w:t> </w:t>
      </w:r>
      <w:r>
        <w:rPr>
          <w:color w:val="231F20"/>
        </w:rPr>
        <w:t>ces</w:t>
      </w:r>
      <w:r>
        <w:rPr>
          <w:color w:val="231F20"/>
          <w:spacing w:val="15"/>
        </w:rPr>
        <w:t> </w:t>
      </w:r>
      <w:r>
        <w:rPr>
          <w:color w:val="231F20"/>
        </w:rPr>
        <w:t>comptes</w:t>
      </w:r>
      <w:r>
        <w:rPr>
          <w:color w:val="231F20"/>
          <w:spacing w:val="16"/>
        </w:rPr>
        <w:t> </w:t>
      </w:r>
      <w:r>
        <w:rPr>
          <w:color w:val="231F20"/>
        </w:rPr>
        <w:t>annuels</w:t>
      </w:r>
      <w:r>
        <w:rPr>
          <w:color w:val="231F20"/>
          <w:spacing w:val="15"/>
        </w:rPr>
        <w:t> </w:t>
      </w:r>
      <w:r>
        <w:rPr>
          <w:color w:val="231F20"/>
        </w:rPr>
        <w:t>se</w:t>
      </w:r>
      <w:r>
        <w:rPr>
          <w:color w:val="231F20"/>
          <w:spacing w:val="16"/>
        </w:rPr>
        <w:t> </w:t>
      </w:r>
      <w:r>
        <w:rPr>
          <w:color w:val="231F20"/>
        </w:rPr>
        <w:t>rapportent.</w:t>
      </w:r>
    </w:p>
    <w:p>
      <w:pPr>
        <w:pStyle w:val="BodyText"/>
        <w:spacing w:before="11"/>
        <w:ind w:left="0" w:right="0" w:firstLine="0"/>
        <w:jc w:val="left"/>
        <w:rPr>
          <w:sz w:val="23"/>
        </w:rPr>
      </w:pPr>
    </w:p>
    <w:p>
      <w:pPr>
        <w:pStyle w:val="BodyText"/>
        <w:spacing w:line="218" w:lineRule="auto"/>
        <w:ind w:right="38"/>
      </w:pPr>
      <w:r>
        <w:rPr>
          <w:color w:val="231F20"/>
        </w:rPr>
        <w:t>L’organe d’administration dresse chaque année un inventaire suivant les critères d’évaluation fixés par le Roi.</w:t>
      </w:r>
    </w:p>
    <w:p>
      <w:pPr>
        <w:pStyle w:val="BodyText"/>
        <w:spacing w:line="218" w:lineRule="auto" w:before="96"/>
        <w:ind w:right="38"/>
      </w:pPr>
      <w:r>
        <w:rPr>
          <w:color w:val="231F20"/>
        </w:rPr>
        <w:t>§ 2. Les petites fondations peuvent établir leurs comptes</w:t>
      </w:r>
      <w:r>
        <w:rPr>
          <w:color w:val="231F20"/>
          <w:spacing w:val="26"/>
        </w:rPr>
        <w:t> </w:t>
      </w:r>
      <w:r>
        <w:rPr>
          <w:color w:val="231F20"/>
        </w:rPr>
        <w:t>annuels conformément à un modèle simplifié déterminé par le Roi si à la date du bilan du dernier exercice clôturé, elles ne dépassent pas plus d’un des critères</w:t>
      </w:r>
      <w:r>
        <w:rPr>
          <w:color w:val="231F20"/>
          <w:spacing w:val="-12"/>
        </w:rPr>
        <w:t> </w:t>
      </w:r>
      <w:r>
        <w:rPr>
          <w:color w:val="231F20"/>
        </w:rPr>
        <w:t>suivants:</w:t>
      </w:r>
    </w:p>
    <w:p>
      <w:pPr>
        <w:pStyle w:val="BodyText"/>
        <w:spacing w:line="218" w:lineRule="auto" w:before="96"/>
        <w:ind w:right="38"/>
      </w:pPr>
      <w:r>
        <w:rPr>
          <w:color w:val="231F20"/>
        </w:rPr>
        <w:t>1° un nombre de travailleurs en moyenne annuelle de 5, déterminé conformément l’article 1:28, § 5;</w:t>
      </w:r>
    </w:p>
    <w:p>
      <w:pPr>
        <w:pStyle w:val="BodyText"/>
        <w:spacing w:line="218" w:lineRule="auto" w:before="96"/>
        <w:ind w:right="38"/>
      </w:pPr>
      <w:r>
        <w:rPr>
          <w:color w:val="231F20"/>
        </w:rPr>
        <w:t>2°</w:t>
      </w:r>
      <w:r>
        <w:rPr>
          <w:color w:val="231F20"/>
          <w:spacing w:val="-11"/>
        </w:rPr>
        <w:t> </w:t>
      </w:r>
      <w:r>
        <w:rPr>
          <w:color w:val="231F20"/>
        </w:rPr>
        <w:t>334</w:t>
      </w:r>
      <w:r>
        <w:rPr>
          <w:color w:val="231F20"/>
          <w:spacing w:val="-10"/>
        </w:rPr>
        <w:t> </w:t>
      </w:r>
      <w:r>
        <w:rPr>
          <w:color w:val="231F20"/>
        </w:rPr>
        <w:t>500</w:t>
      </w:r>
      <w:r>
        <w:rPr>
          <w:color w:val="231F20"/>
          <w:spacing w:val="-10"/>
        </w:rPr>
        <w:t> </w:t>
      </w:r>
      <w:r>
        <w:rPr>
          <w:color w:val="231F20"/>
        </w:rPr>
        <w:t>euros</w:t>
      </w:r>
      <w:r>
        <w:rPr>
          <w:color w:val="231F20"/>
          <w:spacing w:val="-10"/>
        </w:rPr>
        <w:t> </w:t>
      </w:r>
      <w:r>
        <w:rPr>
          <w:color w:val="231F20"/>
        </w:rPr>
        <w:t>pour</w:t>
      </w:r>
      <w:r>
        <w:rPr>
          <w:color w:val="231F20"/>
          <w:spacing w:val="-10"/>
        </w:rPr>
        <w:t> </w:t>
      </w:r>
      <w:r>
        <w:rPr>
          <w:color w:val="231F20"/>
        </w:rPr>
        <w:t>le</w:t>
      </w:r>
      <w:r>
        <w:rPr>
          <w:color w:val="231F20"/>
          <w:spacing w:val="-10"/>
        </w:rPr>
        <w:t> </w:t>
      </w:r>
      <w:r>
        <w:rPr>
          <w:color w:val="231F20"/>
        </w:rPr>
        <w:t>total</w:t>
      </w:r>
      <w:r>
        <w:rPr>
          <w:color w:val="231F20"/>
          <w:spacing w:val="-11"/>
        </w:rPr>
        <w:t> </w:t>
      </w:r>
      <w:r>
        <w:rPr>
          <w:color w:val="231F20"/>
        </w:rPr>
        <w:t>des</w:t>
      </w:r>
      <w:r>
        <w:rPr>
          <w:color w:val="231F20"/>
          <w:spacing w:val="-10"/>
        </w:rPr>
        <w:t> </w:t>
      </w:r>
      <w:r>
        <w:rPr>
          <w:color w:val="231F20"/>
        </w:rPr>
        <w:t>recettes,</w:t>
      </w:r>
      <w:r>
        <w:rPr>
          <w:color w:val="231F20"/>
          <w:spacing w:val="-10"/>
        </w:rPr>
        <w:t> </w:t>
      </w:r>
      <w:r>
        <w:rPr>
          <w:color w:val="231F20"/>
        </w:rPr>
        <w:t>autres</w:t>
      </w:r>
      <w:r>
        <w:rPr>
          <w:color w:val="231F20"/>
          <w:spacing w:val="-10"/>
        </w:rPr>
        <w:t> </w:t>
      </w:r>
      <w:r>
        <w:rPr>
          <w:color w:val="231F20"/>
        </w:rPr>
        <w:t>que</w:t>
      </w:r>
      <w:r>
        <w:rPr>
          <w:color w:val="231F20"/>
          <w:spacing w:val="-10"/>
        </w:rPr>
        <w:t> </w:t>
      </w:r>
      <w:r>
        <w:rPr>
          <w:color w:val="231F20"/>
        </w:rPr>
        <w:t>non</w:t>
      </w:r>
      <w:r>
        <w:rPr>
          <w:color w:val="231F20"/>
          <w:spacing w:val="-10"/>
        </w:rPr>
        <w:t> </w:t>
      </w:r>
      <w:r>
        <w:rPr>
          <w:color w:val="231F20"/>
        </w:rPr>
        <w:t>récurrentes, hors</w:t>
      </w:r>
      <w:r>
        <w:rPr>
          <w:color w:val="231F20"/>
          <w:spacing w:val="14"/>
        </w:rPr>
        <w:t> </w:t>
      </w:r>
      <w:r>
        <w:rPr>
          <w:color w:val="231F20"/>
        </w:rPr>
        <w:t>taxe</w:t>
      </w:r>
      <w:r>
        <w:rPr>
          <w:color w:val="231F20"/>
          <w:spacing w:val="15"/>
        </w:rPr>
        <w:t> </w:t>
      </w:r>
      <w:r>
        <w:rPr>
          <w:color w:val="231F20"/>
        </w:rPr>
        <w:t>sur</w:t>
      </w:r>
      <w:r>
        <w:rPr>
          <w:color w:val="231F20"/>
          <w:spacing w:val="15"/>
        </w:rPr>
        <w:t> </w:t>
      </w:r>
      <w:r>
        <w:rPr>
          <w:color w:val="231F20"/>
        </w:rPr>
        <w:t>la</w:t>
      </w:r>
      <w:r>
        <w:rPr>
          <w:color w:val="231F20"/>
          <w:spacing w:val="15"/>
        </w:rPr>
        <w:t> </w:t>
      </w:r>
      <w:r>
        <w:rPr>
          <w:color w:val="231F20"/>
        </w:rPr>
        <w:t>valeur</w:t>
      </w:r>
      <w:r>
        <w:rPr>
          <w:color w:val="231F20"/>
          <w:spacing w:val="15"/>
        </w:rPr>
        <w:t> </w:t>
      </w:r>
      <w:r>
        <w:rPr>
          <w:color w:val="231F20"/>
        </w:rPr>
        <w:t>ajoutée;</w:t>
      </w:r>
    </w:p>
    <w:p>
      <w:pPr>
        <w:pStyle w:val="BodyText"/>
        <w:spacing w:before="82"/>
        <w:ind w:left="283" w:right="0" w:firstLine="0"/>
        <w:jc w:val="left"/>
      </w:pPr>
      <w:r>
        <w:rPr>
          <w:color w:val="231F20"/>
        </w:rPr>
        <w:t>3°</w:t>
      </w:r>
      <w:r>
        <w:rPr>
          <w:color w:val="231F20"/>
          <w:spacing w:val="7"/>
        </w:rPr>
        <w:t> </w:t>
      </w:r>
      <w:r>
        <w:rPr>
          <w:color w:val="231F20"/>
        </w:rPr>
        <w:t>1</w:t>
      </w:r>
      <w:r>
        <w:rPr>
          <w:color w:val="231F20"/>
          <w:spacing w:val="8"/>
        </w:rPr>
        <w:t> </w:t>
      </w:r>
      <w:r>
        <w:rPr>
          <w:color w:val="231F20"/>
        </w:rPr>
        <w:t>337</w:t>
      </w:r>
      <w:r>
        <w:rPr>
          <w:color w:val="231F20"/>
          <w:spacing w:val="8"/>
        </w:rPr>
        <w:t> </w:t>
      </w:r>
      <w:r>
        <w:rPr>
          <w:color w:val="231F20"/>
        </w:rPr>
        <w:t>000</w:t>
      </w:r>
      <w:r>
        <w:rPr>
          <w:color w:val="231F20"/>
          <w:spacing w:val="7"/>
        </w:rPr>
        <w:t> </w:t>
      </w:r>
      <w:r>
        <w:rPr>
          <w:color w:val="231F20"/>
        </w:rPr>
        <w:t>euros</w:t>
      </w:r>
      <w:r>
        <w:rPr>
          <w:color w:val="231F20"/>
          <w:spacing w:val="8"/>
        </w:rPr>
        <w:t> </w:t>
      </w:r>
      <w:r>
        <w:rPr>
          <w:color w:val="231F20"/>
        </w:rPr>
        <w:t>pour</w:t>
      </w:r>
      <w:r>
        <w:rPr>
          <w:color w:val="231F20"/>
          <w:spacing w:val="8"/>
        </w:rPr>
        <w:t> </w:t>
      </w:r>
      <w:r>
        <w:rPr>
          <w:color w:val="231F20"/>
        </w:rPr>
        <w:t>le</w:t>
      </w:r>
      <w:r>
        <w:rPr>
          <w:color w:val="231F20"/>
          <w:spacing w:val="8"/>
        </w:rPr>
        <w:t> </w:t>
      </w:r>
      <w:r>
        <w:rPr>
          <w:color w:val="231F20"/>
        </w:rPr>
        <w:t>total</w:t>
      </w:r>
      <w:r>
        <w:rPr>
          <w:color w:val="231F20"/>
          <w:spacing w:val="7"/>
        </w:rPr>
        <w:t> </w:t>
      </w:r>
      <w:r>
        <w:rPr>
          <w:color w:val="231F20"/>
        </w:rPr>
        <w:t>des</w:t>
      </w:r>
      <w:r>
        <w:rPr>
          <w:color w:val="231F20"/>
          <w:spacing w:val="8"/>
        </w:rPr>
        <w:t> </w:t>
      </w:r>
      <w:r>
        <w:rPr>
          <w:color w:val="231F20"/>
        </w:rPr>
        <w:t>avoirs;</w:t>
      </w:r>
    </w:p>
    <w:p>
      <w:pPr>
        <w:pStyle w:val="BodyText"/>
        <w:spacing w:before="79"/>
        <w:ind w:left="283" w:right="0" w:firstLine="0"/>
        <w:jc w:val="left"/>
      </w:pPr>
      <w:r>
        <w:rPr>
          <w:color w:val="231F20"/>
        </w:rPr>
        <w:t>4°</w:t>
      </w:r>
      <w:r>
        <w:rPr>
          <w:color w:val="231F20"/>
          <w:spacing w:val="7"/>
        </w:rPr>
        <w:t> </w:t>
      </w:r>
      <w:r>
        <w:rPr>
          <w:color w:val="231F20"/>
        </w:rPr>
        <w:t>1</w:t>
      </w:r>
      <w:r>
        <w:rPr>
          <w:color w:val="231F20"/>
          <w:spacing w:val="7"/>
        </w:rPr>
        <w:t> </w:t>
      </w:r>
      <w:r>
        <w:rPr>
          <w:color w:val="231F20"/>
        </w:rPr>
        <w:t>337</w:t>
      </w:r>
      <w:r>
        <w:rPr>
          <w:color w:val="231F20"/>
          <w:spacing w:val="7"/>
        </w:rPr>
        <w:t> </w:t>
      </w:r>
      <w:r>
        <w:rPr>
          <w:color w:val="231F20"/>
        </w:rPr>
        <w:t>000</w:t>
      </w:r>
      <w:r>
        <w:rPr>
          <w:color w:val="231F20"/>
          <w:spacing w:val="7"/>
        </w:rPr>
        <w:t> </w:t>
      </w:r>
      <w:r>
        <w:rPr>
          <w:color w:val="231F20"/>
        </w:rPr>
        <w:t>euros</w:t>
      </w:r>
      <w:r>
        <w:rPr>
          <w:color w:val="231F20"/>
          <w:spacing w:val="7"/>
        </w:rPr>
        <w:t> </w:t>
      </w:r>
      <w:r>
        <w:rPr>
          <w:color w:val="231F20"/>
        </w:rPr>
        <w:t>pour</w:t>
      </w:r>
      <w:r>
        <w:rPr>
          <w:color w:val="231F20"/>
          <w:spacing w:val="7"/>
        </w:rPr>
        <w:t> </w:t>
      </w:r>
      <w:r>
        <w:rPr>
          <w:color w:val="231F20"/>
        </w:rPr>
        <w:t>le</w:t>
      </w:r>
      <w:r>
        <w:rPr>
          <w:color w:val="231F20"/>
          <w:spacing w:val="7"/>
        </w:rPr>
        <w:t> </w:t>
      </w:r>
      <w:r>
        <w:rPr>
          <w:color w:val="231F20"/>
        </w:rPr>
        <w:t>total</w:t>
      </w:r>
      <w:r>
        <w:rPr>
          <w:color w:val="231F20"/>
          <w:spacing w:val="7"/>
        </w:rPr>
        <w:t> </w:t>
      </w:r>
      <w:r>
        <w:rPr>
          <w:color w:val="231F20"/>
        </w:rPr>
        <w:t>des</w:t>
      </w:r>
      <w:r>
        <w:rPr>
          <w:color w:val="231F20"/>
          <w:spacing w:val="7"/>
        </w:rPr>
        <w:t> </w:t>
      </w:r>
      <w:r>
        <w:rPr>
          <w:color w:val="231F20"/>
        </w:rPr>
        <w:t>dettes.</w:t>
      </w:r>
    </w:p>
    <w:p>
      <w:pPr>
        <w:pStyle w:val="BodyText"/>
        <w:spacing w:line="218" w:lineRule="auto" w:before="78"/>
        <w:ind w:right="40"/>
      </w:pPr>
      <w:r>
        <w:rPr>
          <w:color w:val="231F20"/>
        </w:rPr>
        <w:t>Le Roi peut adapter les montants visés à l’alinéa 1</w:t>
      </w:r>
      <w:r>
        <w:rPr>
          <w:color w:val="231F20"/>
          <w:position w:val="7"/>
          <w:sz w:val="11"/>
        </w:rPr>
        <w:t>er </w:t>
      </w:r>
      <w:r>
        <w:rPr>
          <w:color w:val="231F20"/>
        </w:rPr>
        <w:t>à l’évolution de l’indice des prix à la consommation.</w:t>
      </w:r>
    </w:p>
    <w:p>
      <w:pPr>
        <w:pStyle w:val="BodyText"/>
        <w:spacing w:line="218" w:lineRule="auto" w:before="96"/>
        <w:ind w:right="38"/>
      </w:pPr>
      <w:r>
        <w:rPr>
          <w:color w:val="231F20"/>
        </w:rPr>
        <w:t>§ 3. Les petites fondations peuvent établir leurs comptes annuels suivant un schéma abrégé déterminé par le Roi.</w:t>
      </w:r>
    </w:p>
    <w:p>
      <w:pPr>
        <w:pStyle w:val="BodyText"/>
        <w:spacing w:line="218" w:lineRule="auto" w:before="96"/>
        <w:ind w:right="38"/>
      </w:pPr>
      <w:r>
        <w:rPr>
          <w:color w:val="231F20"/>
        </w:rPr>
        <w:t>§ 4. Les microfondations peuvent établir leurs comptes annuels suivant un microschéma déterminé par le Roi.</w:t>
      </w:r>
    </w:p>
    <w:p>
      <w:pPr>
        <w:pStyle w:val="BodyText"/>
        <w:spacing w:line="218" w:lineRule="auto" w:before="81"/>
        <w:ind w:right="38"/>
      </w:pPr>
      <w:r>
        <w:rPr>
          <w:color w:val="231F20"/>
        </w:rPr>
        <w:t>§ 5. Le paragraphe 1</w:t>
      </w:r>
      <w:r>
        <w:rPr>
          <w:color w:val="231F20"/>
          <w:position w:val="7"/>
          <w:sz w:val="11"/>
        </w:rPr>
        <w:t>er</w:t>
      </w:r>
      <w:r>
        <w:rPr>
          <w:color w:val="231F20"/>
        </w:rPr>
        <w:t>, dernier alinéa, et les paragraphes 2 à 3, ne</w:t>
      </w:r>
      <w:r>
        <w:rPr>
          <w:color w:val="231F20"/>
          <w:spacing w:val="-11"/>
        </w:rPr>
        <w:t> </w:t>
      </w:r>
      <w:r>
        <w:rPr>
          <w:color w:val="231F20"/>
        </w:rPr>
        <w:t>sont pas applicables aux fondations soumises, en raison de la nature des activités qu’elles exercent à titre principal, à des règles particulières, résultant</w:t>
      </w:r>
      <w:r>
        <w:rPr>
          <w:color w:val="231F20"/>
          <w:spacing w:val="16"/>
        </w:rPr>
        <w:t> </w:t>
      </w:r>
      <w:r>
        <w:rPr>
          <w:color w:val="231F20"/>
        </w:rPr>
        <w:t>d’une</w:t>
      </w:r>
      <w:r>
        <w:rPr>
          <w:color w:val="231F20"/>
          <w:spacing w:val="16"/>
        </w:rPr>
        <w:t> </w:t>
      </w:r>
      <w:r>
        <w:rPr>
          <w:color w:val="231F20"/>
        </w:rPr>
        <w:t>législation</w:t>
      </w:r>
      <w:r>
        <w:rPr>
          <w:color w:val="231F20"/>
          <w:spacing w:val="16"/>
        </w:rPr>
        <w:t> </w:t>
      </w:r>
      <w:r>
        <w:rPr>
          <w:color w:val="231F20"/>
        </w:rPr>
        <w:t>ou</w:t>
      </w:r>
      <w:r>
        <w:rPr>
          <w:color w:val="231F20"/>
          <w:spacing w:val="16"/>
        </w:rPr>
        <w:t> </w:t>
      </w:r>
      <w:r>
        <w:rPr>
          <w:color w:val="231F20"/>
        </w:rPr>
        <w:t>d’une</w:t>
      </w:r>
      <w:r>
        <w:rPr>
          <w:color w:val="231F20"/>
          <w:spacing w:val="16"/>
        </w:rPr>
        <w:t> </w:t>
      </w:r>
      <w:r>
        <w:rPr>
          <w:color w:val="231F20"/>
        </w:rPr>
        <w:t>réglementation</w:t>
      </w:r>
      <w:r>
        <w:rPr>
          <w:color w:val="231F20"/>
          <w:spacing w:val="16"/>
        </w:rPr>
        <w:t> </w:t>
      </w:r>
      <w:r>
        <w:rPr>
          <w:color w:val="231F20"/>
        </w:rPr>
        <w:t>publique,</w:t>
      </w:r>
      <w:r>
        <w:rPr>
          <w:color w:val="231F20"/>
          <w:spacing w:val="16"/>
        </w:rPr>
        <w:t> </w:t>
      </w:r>
      <w:r>
        <w:rPr>
          <w:color w:val="231F20"/>
        </w:rPr>
        <w:t>relatives</w:t>
      </w:r>
    </w:p>
    <w:p>
      <w:pPr>
        <w:pStyle w:val="BodyText"/>
        <w:spacing w:line="218" w:lineRule="auto" w:before="119"/>
      </w:pPr>
      <w:r>
        <w:rPr/>
        <w:br w:type="column"/>
      </w:r>
      <w:r>
        <w:rPr>
          <w:color w:val="231F20"/>
        </w:rPr>
        <w:t>3° inlichtingen over de omstandigheden die de ontwikkeling van de vereniging aanmerkelijk kunnen beïnvloeden, voor zover deze inlich- tingen niet van die aard zijn dat zij ernstig nadeel zouden berokkenen aan de vereniging;</w:t>
      </w:r>
    </w:p>
    <w:p>
      <w:pPr>
        <w:pStyle w:val="BodyText"/>
        <w:spacing w:line="218" w:lineRule="auto" w:before="86"/>
      </w:pPr>
      <w:r>
        <w:rPr>
          <w:color w:val="231F20"/>
        </w:rPr>
        <w:t>4° informatie over de werkzaamheden op het gebied van onderzoek en ontwikkeling;</w:t>
      </w:r>
    </w:p>
    <w:p>
      <w:pPr>
        <w:pStyle w:val="BodyText"/>
        <w:spacing w:before="71"/>
        <w:ind w:left="283" w:right="0" w:firstLine="0"/>
        <w:jc w:val="left"/>
      </w:pPr>
      <w:r>
        <w:rPr>
          <w:color w:val="231F20"/>
        </w:rPr>
        <w:t>5° gegevens over het bestaan van bijkantoren van de vereniging;</w:t>
      </w:r>
    </w:p>
    <w:p>
      <w:pPr>
        <w:pStyle w:val="BodyText"/>
        <w:spacing w:before="8"/>
        <w:ind w:left="0" w:right="0" w:firstLine="0"/>
        <w:jc w:val="left"/>
        <w:rPr>
          <w:sz w:val="22"/>
        </w:rPr>
      </w:pPr>
    </w:p>
    <w:p>
      <w:pPr>
        <w:pStyle w:val="BodyText"/>
        <w:spacing w:line="218" w:lineRule="auto"/>
        <w:ind w:right="123"/>
      </w:pPr>
      <w:r>
        <w:rPr>
          <w:color w:val="231F20"/>
        </w:rPr>
        <w:t>6° ingeval uit de balans een overgedragen verlies blijkt of uit de resultatenrekening gedurende twee opeenvolgende boekjaren een verlies van het boekjaar blijkt, een verantwoording van de toepassing van de waarderingsregels in de veronderstelling van continuïteit;</w:t>
      </w:r>
    </w:p>
    <w:p>
      <w:pPr>
        <w:pStyle w:val="BodyText"/>
        <w:spacing w:line="218" w:lineRule="auto" w:before="97"/>
      </w:pPr>
      <w:r>
        <w:rPr>
          <w:color w:val="231F20"/>
        </w:rPr>
        <w:t>7° wat betreft het gebruik door de vereniging van financiële instrumenten en voor zover zulks van betekenis is voor de beoordeling van haar activa, passiva, financiële positie en resultaat:</w:t>
      </w:r>
    </w:p>
    <w:p>
      <w:pPr>
        <w:pStyle w:val="ListParagraph"/>
        <w:numPr>
          <w:ilvl w:val="0"/>
          <w:numId w:val="72"/>
        </w:numPr>
        <w:tabs>
          <w:tab w:pos="515" w:val="left" w:leader="none"/>
        </w:tabs>
        <w:spacing w:line="218" w:lineRule="auto" w:before="93" w:after="0"/>
        <w:ind w:left="113" w:right="124" w:firstLine="170"/>
        <w:jc w:val="both"/>
        <w:rPr>
          <w:sz w:val="17"/>
        </w:rPr>
      </w:pPr>
      <w:r>
        <w:rPr>
          <w:color w:val="231F20"/>
          <w:sz w:val="17"/>
        </w:rPr>
        <w:t>de doelstellingen en het beleid van de vereniging inzake de beheersing van het financieel risico, met inbegrip van haar beleid inzake hedging van alle belangrijke soorten voorgenomen transacties waarvoor</w:t>
      </w:r>
      <w:r>
        <w:rPr>
          <w:color w:val="231F20"/>
          <w:spacing w:val="17"/>
          <w:sz w:val="17"/>
        </w:rPr>
        <w:t> </w:t>
      </w:r>
      <w:r>
        <w:rPr>
          <w:color w:val="231F20"/>
          <w:sz w:val="17"/>
        </w:rPr>
        <w:t>hedge</w:t>
      </w:r>
      <w:r>
        <w:rPr>
          <w:color w:val="231F20"/>
          <w:spacing w:val="17"/>
          <w:sz w:val="17"/>
        </w:rPr>
        <w:t> </w:t>
      </w:r>
      <w:r>
        <w:rPr>
          <w:color w:val="231F20"/>
          <w:sz w:val="17"/>
        </w:rPr>
        <w:t>accounting</w:t>
      </w:r>
      <w:r>
        <w:rPr>
          <w:color w:val="231F20"/>
          <w:spacing w:val="18"/>
          <w:sz w:val="17"/>
        </w:rPr>
        <w:t> </w:t>
      </w:r>
      <w:r>
        <w:rPr>
          <w:color w:val="231F20"/>
          <w:sz w:val="17"/>
        </w:rPr>
        <w:t>wordt</w:t>
      </w:r>
      <w:r>
        <w:rPr>
          <w:color w:val="231F20"/>
          <w:spacing w:val="17"/>
          <w:sz w:val="17"/>
        </w:rPr>
        <w:t> </w:t>
      </w:r>
      <w:r>
        <w:rPr>
          <w:color w:val="231F20"/>
          <w:sz w:val="17"/>
        </w:rPr>
        <w:t>toegepast,</w:t>
      </w:r>
      <w:r>
        <w:rPr>
          <w:color w:val="231F20"/>
          <w:spacing w:val="18"/>
          <w:sz w:val="17"/>
        </w:rPr>
        <w:t> </w:t>
      </w:r>
      <w:r>
        <w:rPr>
          <w:color w:val="231F20"/>
          <w:sz w:val="17"/>
        </w:rPr>
        <w:t>alsook</w:t>
      </w:r>
    </w:p>
    <w:p>
      <w:pPr>
        <w:pStyle w:val="ListParagraph"/>
        <w:numPr>
          <w:ilvl w:val="0"/>
          <w:numId w:val="72"/>
        </w:numPr>
        <w:tabs>
          <w:tab w:pos="489" w:val="left" w:leader="none"/>
        </w:tabs>
        <w:spacing w:line="218" w:lineRule="auto" w:before="94" w:after="0"/>
        <w:ind w:left="113" w:right="124" w:firstLine="170"/>
        <w:jc w:val="both"/>
        <w:rPr>
          <w:sz w:val="17"/>
        </w:rPr>
      </w:pPr>
      <w:r>
        <w:rPr>
          <w:color w:val="231F20"/>
          <w:sz w:val="17"/>
        </w:rPr>
        <w:t>het door de vereniging gelopen prijsrisico, kredietrisico, liquidi- teitsrisico, en</w:t>
      </w:r>
      <w:r>
        <w:rPr>
          <w:color w:val="231F20"/>
          <w:spacing w:val="-12"/>
          <w:sz w:val="17"/>
        </w:rPr>
        <w:t> </w:t>
      </w:r>
      <w:r>
        <w:rPr>
          <w:color w:val="231F20"/>
          <w:sz w:val="17"/>
        </w:rPr>
        <w:t>kasstroomrisico.</w:t>
      </w:r>
    </w:p>
    <w:p>
      <w:pPr>
        <w:pStyle w:val="BodyText"/>
        <w:spacing w:line="218" w:lineRule="auto" w:before="96"/>
      </w:pPr>
      <w:r>
        <w:rPr>
          <w:color w:val="231F20"/>
        </w:rPr>
        <w:t>Art. 3:49. § 1. De jaarrekening, zelfs goedgekeurd door de algemene vergadering en ingediend overeenkomstig artikel 3:47, kan niet alleen worden gecorrigeerd in geval van materiële fouten, valse of dubbel geboekte posten als bedoeld in artikel 1368 van het Gerechtelijk Wetboek, maar ook in geval van dwaling in rechte of in feite, met inbegrip van een dwaling in de waardering van een post of een inbreuk op het boekhoudrecht.</w:t>
      </w:r>
    </w:p>
    <w:p>
      <w:pPr>
        <w:pStyle w:val="BodyText"/>
        <w:spacing w:line="218" w:lineRule="auto" w:before="97"/>
      </w:pPr>
      <w:r>
        <w:rPr>
          <w:color w:val="231F20"/>
        </w:rPr>
        <w:t>Zij moet worden gecorrigeerd indien de verrichte boeking een inbreuk op het boekhoudrecht impliceert, waardoor de</w:t>
      </w:r>
      <w:r>
        <w:rPr>
          <w:color w:val="231F20"/>
          <w:spacing w:val="23"/>
        </w:rPr>
        <w:t> </w:t>
      </w:r>
      <w:r>
        <w:rPr>
          <w:color w:val="231F20"/>
        </w:rPr>
        <w:t>jaarrekening geen getrouw beeld geeft van het vermogen, de financiële toestand en het</w:t>
      </w:r>
      <w:r>
        <w:rPr>
          <w:color w:val="231F20"/>
          <w:spacing w:val="15"/>
        </w:rPr>
        <w:t> </w:t>
      </w:r>
      <w:r>
        <w:rPr>
          <w:color w:val="231F20"/>
        </w:rPr>
        <w:t>resultaat</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VZW</w:t>
      </w:r>
      <w:r>
        <w:rPr>
          <w:color w:val="231F20"/>
          <w:spacing w:val="16"/>
        </w:rPr>
        <w:t> </w:t>
      </w:r>
      <w:r>
        <w:rPr>
          <w:color w:val="231F20"/>
        </w:rPr>
        <w:t>of</w:t>
      </w:r>
      <w:r>
        <w:rPr>
          <w:color w:val="231F20"/>
          <w:spacing w:val="16"/>
        </w:rPr>
        <w:t> </w:t>
      </w:r>
      <w:r>
        <w:rPr>
          <w:color w:val="231F20"/>
          <w:spacing w:val="-4"/>
        </w:rPr>
        <w:t>IVZW.</w:t>
      </w:r>
    </w:p>
    <w:p>
      <w:pPr>
        <w:pStyle w:val="BodyText"/>
        <w:spacing w:line="218" w:lineRule="auto" w:before="96"/>
      </w:pPr>
      <w:r>
        <w:rPr>
          <w:color w:val="231F20"/>
        </w:rPr>
        <w:t>§ 2. Tenzij de correctie resulteert uit de rechtzetting door het bestuursorgaan van loutere materiële fouten, moet zij ter goedkeuring worden voorgelegd aan de algemene vergadering wanneer dat wette- lijk is vereist.</w:t>
      </w:r>
    </w:p>
    <w:p>
      <w:pPr>
        <w:pStyle w:val="BodyText"/>
        <w:spacing w:line="218" w:lineRule="auto" w:before="96"/>
      </w:pPr>
      <w:r>
        <w:rPr>
          <w:color w:val="231F20"/>
        </w:rPr>
        <w:t>Art. 3:50. Elke buitenlandse vereniging, die een bijkantoor heeft in België, is gehouden haar jaarrekening over het laatst afgesloten boekjaar neer te leggen bij de Nationale Bank van België, in de vorm waarin deze rekeningen werden opgesteld, gecontroleerd en openbaar gemaakt volgens het recht van de Staat waaronder de vereniging valt.</w:t>
      </w:r>
    </w:p>
    <w:p>
      <w:pPr>
        <w:pStyle w:val="BodyText"/>
        <w:spacing w:line="218" w:lineRule="auto" w:before="97"/>
      </w:pPr>
      <w:r>
        <w:rPr>
          <w:color w:val="231F20"/>
        </w:rPr>
        <w:t>Deze neerlegging gebeurt jaarlijks, binnen de maand volgend op de goedkeuring ervan, en ten laatste zeven maanden na de datum van afsluiting van het boekjaar.</w:t>
      </w:r>
    </w:p>
    <w:p>
      <w:pPr>
        <w:pStyle w:val="BodyText"/>
        <w:spacing w:before="82"/>
        <w:ind w:left="283" w:right="0" w:firstLine="0"/>
        <w:jc w:val="left"/>
      </w:pPr>
      <w:r>
        <w:rPr>
          <w:color w:val="231F20"/>
        </w:rPr>
        <w:t>TITEL 3. Jaarrekeningen en begrotingen van stichtingen.</w:t>
      </w:r>
    </w:p>
    <w:p>
      <w:pPr>
        <w:pStyle w:val="BodyText"/>
        <w:spacing w:line="218" w:lineRule="auto" w:before="92"/>
      </w:pPr>
      <w:r>
        <w:rPr>
          <w:color w:val="231F20"/>
        </w:rPr>
        <w:t>Art. 3:51. § 1. Ieder jaar en ten laatste binnen zes maanden na de afsluitingsdatum van het boekjaar maakt het bestuursorgaan van de stichting de jaarrekening van het voorbije boekjaar op in de vorm en met de inhoud bepaald door de Koning, alsook de begroting van het volgende boekjaar dat volgt op het boekjaar waarop deze jaarrekening betrekking heeft.</w:t>
      </w:r>
    </w:p>
    <w:p>
      <w:pPr>
        <w:pStyle w:val="BodyText"/>
        <w:spacing w:line="218" w:lineRule="auto" w:before="97"/>
      </w:pPr>
      <w:r>
        <w:rPr>
          <w:color w:val="231F20"/>
        </w:rPr>
        <w:t>Het bestuursorgaan maakt elk jaar een inventaris op volgens de waarderingsmaatstaven bepaald door de Koning.</w:t>
      </w:r>
    </w:p>
    <w:p>
      <w:pPr>
        <w:pStyle w:val="BodyText"/>
        <w:spacing w:line="218" w:lineRule="auto" w:before="96"/>
        <w:ind w:right="123"/>
      </w:pPr>
      <w:r>
        <w:rPr>
          <w:color w:val="231F20"/>
        </w:rPr>
        <w:t>§ 2. Kleine stichtingen kunnen hun jaarrekening opmaken overeen- komstig een door de Koning bepaald vereenvoudigd model indien op balansdatum van het laatst afgesloten boekjaar, niet meer dan één van de volgende criteria worden overschreden:</w:t>
      </w:r>
    </w:p>
    <w:p>
      <w:pPr>
        <w:pStyle w:val="BodyText"/>
        <w:spacing w:line="218" w:lineRule="auto" w:before="96"/>
      </w:pPr>
      <w:r>
        <w:rPr>
          <w:color w:val="231F20"/>
        </w:rPr>
        <w:t>1° een jaargemiddelde van 5 werknemers, bepaald overeenkomstig artikel 1:28, § 5;</w:t>
      </w:r>
    </w:p>
    <w:p>
      <w:pPr>
        <w:pStyle w:val="BodyText"/>
        <w:spacing w:line="218" w:lineRule="auto" w:before="96"/>
      </w:pPr>
      <w:r>
        <w:rPr>
          <w:color w:val="231F20"/>
        </w:rPr>
        <w:t>2°</w:t>
      </w:r>
      <w:r>
        <w:rPr>
          <w:color w:val="231F20"/>
          <w:spacing w:val="-7"/>
        </w:rPr>
        <w:t> </w:t>
      </w:r>
      <w:r>
        <w:rPr>
          <w:color w:val="231F20"/>
        </w:rPr>
        <w:t>in</w:t>
      </w:r>
      <w:r>
        <w:rPr>
          <w:color w:val="231F20"/>
          <w:spacing w:val="-7"/>
        </w:rPr>
        <w:t> </w:t>
      </w:r>
      <w:r>
        <w:rPr>
          <w:color w:val="231F20"/>
        </w:rPr>
        <w:t>totaal</w:t>
      </w:r>
      <w:r>
        <w:rPr>
          <w:color w:val="231F20"/>
          <w:spacing w:val="-7"/>
        </w:rPr>
        <w:t> </w:t>
      </w:r>
      <w:r>
        <w:rPr>
          <w:color w:val="231F20"/>
        </w:rPr>
        <w:t>334</w:t>
      </w:r>
      <w:r>
        <w:rPr>
          <w:color w:val="231F20"/>
          <w:spacing w:val="-7"/>
        </w:rPr>
        <w:t> </w:t>
      </w:r>
      <w:r>
        <w:rPr>
          <w:color w:val="231F20"/>
        </w:rPr>
        <w:t>500</w:t>
      </w:r>
      <w:r>
        <w:rPr>
          <w:color w:val="231F20"/>
          <w:spacing w:val="-6"/>
        </w:rPr>
        <w:t> </w:t>
      </w:r>
      <w:r>
        <w:rPr>
          <w:color w:val="231F20"/>
        </w:rPr>
        <w:t>euro</w:t>
      </w:r>
      <w:r>
        <w:rPr>
          <w:color w:val="231F20"/>
          <w:spacing w:val="-7"/>
        </w:rPr>
        <w:t> </w:t>
      </w:r>
      <w:r>
        <w:rPr>
          <w:color w:val="231F20"/>
        </w:rPr>
        <w:t>aan</w:t>
      </w:r>
      <w:r>
        <w:rPr>
          <w:color w:val="231F20"/>
          <w:spacing w:val="-7"/>
        </w:rPr>
        <w:t> </w:t>
      </w:r>
      <w:r>
        <w:rPr>
          <w:color w:val="231F20"/>
        </w:rPr>
        <w:t>andere</w:t>
      </w:r>
      <w:r>
        <w:rPr>
          <w:color w:val="231F20"/>
          <w:spacing w:val="-7"/>
        </w:rPr>
        <w:t> </w:t>
      </w:r>
      <w:r>
        <w:rPr>
          <w:color w:val="231F20"/>
        </w:rPr>
        <w:t>dan</w:t>
      </w:r>
      <w:r>
        <w:rPr>
          <w:color w:val="231F20"/>
          <w:spacing w:val="-7"/>
        </w:rPr>
        <w:t> </w:t>
      </w:r>
      <w:r>
        <w:rPr>
          <w:color w:val="231F20"/>
        </w:rPr>
        <w:t>niet-recurrente</w:t>
      </w:r>
      <w:r>
        <w:rPr>
          <w:color w:val="231F20"/>
          <w:spacing w:val="-7"/>
        </w:rPr>
        <w:t> </w:t>
      </w:r>
      <w:r>
        <w:rPr>
          <w:color w:val="231F20"/>
        </w:rPr>
        <w:t>ontvangsten, exclusief</w:t>
      </w:r>
      <w:r>
        <w:rPr>
          <w:color w:val="231F20"/>
          <w:spacing w:val="17"/>
        </w:rPr>
        <w:t> </w:t>
      </w:r>
      <w:r>
        <w:rPr>
          <w:color w:val="231F20"/>
        </w:rPr>
        <w:t>de</w:t>
      </w:r>
      <w:r>
        <w:rPr>
          <w:color w:val="231F20"/>
          <w:spacing w:val="17"/>
        </w:rPr>
        <w:t> </w:t>
      </w:r>
      <w:r>
        <w:rPr>
          <w:color w:val="231F20"/>
        </w:rPr>
        <w:t>belasting</w:t>
      </w:r>
      <w:r>
        <w:rPr>
          <w:color w:val="231F20"/>
          <w:spacing w:val="17"/>
        </w:rPr>
        <w:t> </w:t>
      </w:r>
      <w:r>
        <w:rPr>
          <w:color w:val="231F20"/>
        </w:rPr>
        <w:t>over</w:t>
      </w:r>
      <w:r>
        <w:rPr>
          <w:color w:val="231F20"/>
          <w:spacing w:val="17"/>
        </w:rPr>
        <w:t> </w:t>
      </w:r>
      <w:r>
        <w:rPr>
          <w:color w:val="231F20"/>
        </w:rPr>
        <w:t>de</w:t>
      </w:r>
      <w:r>
        <w:rPr>
          <w:color w:val="231F20"/>
          <w:spacing w:val="17"/>
        </w:rPr>
        <w:t> </w:t>
      </w:r>
      <w:r>
        <w:rPr>
          <w:color w:val="231F20"/>
        </w:rPr>
        <w:t>toegevoegde</w:t>
      </w:r>
      <w:r>
        <w:rPr>
          <w:color w:val="231F20"/>
          <w:spacing w:val="18"/>
        </w:rPr>
        <w:t> </w:t>
      </w:r>
      <w:r>
        <w:rPr>
          <w:color w:val="231F20"/>
        </w:rPr>
        <w:t>waarde;</w:t>
      </w:r>
    </w:p>
    <w:p>
      <w:pPr>
        <w:pStyle w:val="BodyText"/>
        <w:spacing w:before="82"/>
        <w:ind w:left="283" w:right="0" w:firstLine="0"/>
        <w:jc w:val="left"/>
      </w:pPr>
      <w:r>
        <w:rPr>
          <w:color w:val="231F20"/>
        </w:rPr>
        <w:t>3° in totaal 1 337 000 euro aan bezittingen;</w:t>
      </w:r>
    </w:p>
    <w:p>
      <w:pPr>
        <w:pStyle w:val="BodyText"/>
        <w:spacing w:before="79"/>
        <w:ind w:left="283" w:right="0" w:firstLine="0"/>
        <w:jc w:val="left"/>
      </w:pPr>
      <w:r>
        <w:rPr>
          <w:color w:val="231F20"/>
        </w:rPr>
        <w:t>4° in totaal 1 337 000 euro aan schulden.</w:t>
      </w:r>
    </w:p>
    <w:p>
      <w:pPr>
        <w:pStyle w:val="BodyText"/>
        <w:spacing w:line="218" w:lineRule="auto" w:before="93"/>
      </w:pPr>
      <w:r>
        <w:rPr>
          <w:color w:val="231F20"/>
        </w:rPr>
        <w:t>De Koning kan de in het eerste lid bedoelde bedragen aanpassen aan de evolutie van het indexcijfer van de consumptieprijzen.</w:t>
      </w:r>
    </w:p>
    <w:p>
      <w:pPr>
        <w:pStyle w:val="BodyText"/>
        <w:spacing w:line="218" w:lineRule="auto" w:before="96"/>
      </w:pPr>
      <w:r>
        <w:rPr>
          <w:color w:val="231F20"/>
        </w:rPr>
        <w:t>§ 3. Kleine stichtingen kunnen hun jaarrekening opmaken volgens een verkort schema dat de Koning vaststelt.</w:t>
      </w:r>
    </w:p>
    <w:p>
      <w:pPr>
        <w:pStyle w:val="BodyText"/>
        <w:spacing w:line="218" w:lineRule="auto" w:before="96"/>
        <w:ind w:right="123"/>
      </w:pPr>
      <w:r>
        <w:rPr>
          <w:color w:val="231F20"/>
        </w:rPr>
        <w:t>§ 4. Microstichtingen kunnen hun jaarrekening opmaken volgens een microschema dat de Koning vaststelt.</w:t>
      </w:r>
    </w:p>
    <w:p>
      <w:pPr>
        <w:pStyle w:val="BodyText"/>
        <w:spacing w:line="218" w:lineRule="auto" w:before="96"/>
        <w:ind w:right="123"/>
      </w:pPr>
      <w:r>
        <w:rPr>
          <w:color w:val="231F20"/>
        </w:rPr>
        <w:t>§ 5. Paragraaf 1, laatste lid, en de paragrafen 2 tot en met 3 zijn niet van toepassing op stichtingen die wegens de aard van hun hoofdacti- viteit zijn onderworpen aan bijzondere, uit een wetgeving of een overheidsreglementering voortvloeiende regels betreffende het houden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firstLine="0"/>
      </w:pPr>
      <w:r>
        <w:rPr/>
        <w:pict>
          <v:line style="position:absolute;mso-position-horizontal-relative:page;mso-position-vertical-relative:page;z-index:2632" from="298.170502pt,64.473pt" to="298.170502pt,812.819pt" stroked="true" strokeweight=".533pt" strokecolor="#231f20">
            <v:stroke dashstyle="solid"/>
            <w10:wrap type="none"/>
          </v:line>
        </w:pict>
      </w:r>
      <w:bookmarkStart w:name="_bookmark67" w:id="72"/>
      <w:bookmarkEnd w:id="72"/>
      <w:r>
        <w:rPr/>
      </w:r>
      <w:r>
        <w:rPr>
          <w:color w:val="231F20"/>
        </w:rPr>
        <w:t>à la tenue de leur comptabilité et à leurs comptes annuels, pour autant qu’elles soient au moins équivalentes à celles prévues en vertu du présent titre.</w:t>
      </w:r>
    </w:p>
    <w:p>
      <w:pPr>
        <w:pStyle w:val="BodyText"/>
        <w:spacing w:line="218" w:lineRule="auto" w:before="86"/>
        <w:ind w:right="38"/>
      </w:pPr>
      <w:r>
        <w:rPr>
          <w:color w:val="231F20"/>
        </w:rPr>
        <w:t>§ 6. Les fondations autres que les petites fondations sont tenues de confier à un ou plusieurs commissaires le contrôle de la situation financière, des comptes annuels et de la régularité au regard de la loi et des statuts, des opérations devant être constatées dans les comptes annuels.</w:t>
      </w:r>
    </w:p>
    <w:p>
      <w:pPr>
        <w:pStyle w:val="BodyText"/>
        <w:spacing w:line="218" w:lineRule="auto" w:before="86"/>
        <w:ind w:right="38"/>
      </w:pPr>
      <w:r>
        <w:rPr>
          <w:color w:val="231F20"/>
        </w:rPr>
        <w:t>Le commissaire est nommé par le conseil d’administration parmi les membres, personnes physiques ou morales, de l’Institut des réviseurs d’entreprises.</w:t>
      </w:r>
    </w:p>
    <w:p>
      <w:pPr>
        <w:pStyle w:val="BodyText"/>
        <w:spacing w:line="218" w:lineRule="auto" w:before="85"/>
        <w:ind w:right="38"/>
      </w:pPr>
      <w:r>
        <w:rPr>
          <w:color w:val="231F20"/>
        </w:rPr>
        <w:t>§ 7. Dans les trente jours de leur approbation par l’organe d’admi- nistration, les comptes annuels des fondations autres que celles qui à la date du bilan du dernier exercice clôturé ne dépassent pas plus d’un  des critères visés au paragraphe 2 sont déposés par les administrateurs à</w:t>
      </w:r>
      <w:r>
        <w:rPr>
          <w:color w:val="231F20"/>
          <w:spacing w:val="15"/>
        </w:rPr>
        <w:t> </w:t>
      </w:r>
      <w:r>
        <w:rPr>
          <w:color w:val="231F20"/>
        </w:rPr>
        <w:t>la</w:t>
      </w:r>
      <w:r>
        <w:rPr>
          <w:color w:val="231F20"/>
          <w:spacing w:val="15"/>
        </w:rPr>
        <w:t> </w:t>
      </w:r>
      <w:r>
        <w:rPr>
          <w:color w:val="231F20"/>
        </w:rPr>
        <w:t>Banque</w:t>
      </w:r>
      <w:r>
        <w:rPr>
          <w:color w:val="231F20"/>
          <w:spacing w:val="15"/>
        </w:rPr>
        <w:t> </w:t>
      </w:r>
      <w:r>
        <w:rPr>
          <w:color w:val="231F20"/>
        </w:rPr>
        <w:t>nationale</w:t>
      </w:r>
      <w:r>
        <w:rPr>
          <w:color w:val="231F20"/>
          <w:spacing w:val="15"/>
        </w:rPr>
        <w:t> </w:t>
      </w:r>
      <w:r>
        <w:rPr>
          <w:color w:val="231F20"/>
        </w:rPr>
        <w:t>de</w:t>
      </w:r>
      <w:r>
        <w:rPr>
          <w:color w:val="231F20"/>
          <w:spacing w:val="15"/>
        </w:rPr>
        <w:t> </w:t>
      </w:r>
      <w:r>
        <w:rPr>
          <w:color w:val="231F20"/>
        </w:rPr>
        <w:t>Belgique.</w:t>
      </w:r>
    </w:p>
    <w:p>
      <w:pPr>
        <w:pStyle w:val="BodyText"/>
        <w:spacing w:before="57"/>
        <w:ind w:left="283" w:right="0" w:firstLine="0"/>
        <w:jc w:val="left"/>
      </w:pPr>
      <w:r>
        <w:rPr>
          <w:color w:val="231F20"/>
        </w:rPr>
        <w:t>Sont déposés en même temps et conformément à l’alinéa 1</w:t>
      </w:r>
      <w:r>
        <w:rPr>
          <w:color w:val="231F20"/>
          <w:position w:val="7"/>
          <w:sz w:val="11"/>
        </w:rPr>
        <w:t>er</w:t>
      </w:r>
      <w:r>
        <w:rPr>
          <w:color w:val="231F20"/>
        </w:rPr>
        <w:t>:</w:t>
      </w:r>
    </w:p>
    <w:p>
      <w:pPr>
        <w:pStyle w:val="BodyText"/>
        <w:spacing w:line="218" w:lineRule="auto" w:before="82"/>
        <w:ind w:right="38"/>
      </w:pPr>
      <w:r>
        <w:rPr>
          <w:color w:val="231F20"/>
        </w:rPr>
        <w:t>1° un document contenant les nom et prénom des administrateurs et, le cas échéant, des commissaires en fonction;</w:t>
      </w:r>
    </w:p>
    <w:p>
      <w:pPr>
        <w:pStyle w:val="BodyText"/>
        <w:spacing w:line="324" w:lineRule="auto" w:before="71"/>
        <w:ind w:left="283" w:right="1760" w:hanging="1"/>
        <w:jc w:val="left"/>
      </w:pPr>
      <w:r>
        <w:rPr>
          <w:color w:val="231F20"/>
        </w:rPr>
        <w:t>2° le cas échéant, le rapport du commissaire; 3° le cas échéant, le rapport de gestion.</w:t>
      </w:r>
    </w:p>
    <w:p>
      <w:pPr>
        <w:pStyle w:val="BodyText"/>
        <w:spacing w:line="213" w:lineRule="auto" w:before="18"/>
        <w:ind w:right="38"/>
      </w:pPr>
      <w:r>
        <w:rPr>
          <w:color w:val="231F20"/>
        </w:rPr>
        <w:t>Le Roi détermine les modalités et conditions du dépôt des documents visés aux alinéas 1</w:t>
      </w:r>
      <w:r>
        <w:rPr>
          <w:color w:val="231F20"/>
          <w:position w:val="7"/>
          <w:sz w:val="11"/>
        </w:rPr>
        <w:t>er </w:t>
      </w:r>
      <w:r>
        <w:rPr>
          <w:color w:val="231F20"/>
        </w:rPr>
        <w:t>et 2, ainsi que le montant et le mode de paiement des frais de publicité. Le dépôt n’est accepté que si les dispositions arrêtées en exécution du présent alinéa sont respectées.</w:t>
      </w:r>
    </w:p>
    <w:p>
      <w:pPr>
        <w:pStyle w:val="BodyText"/>
        <w:spacing w:before="9"/>
        <w:ind w:left="0" w:right="0" w:firstLine="0"/>
        <w:jc w:val="left"/>
        <w:rPr>
          <w:sz w:val="22"/>
        </w:rPr>
      </w:pPr>
    </w:p>
    <w:p>
      <w:pPr>
        <w:pStyle w:val="BodyText"/>
        <w:spacing w:line="218" w:lineRule="auto"/>
        <w:ind w:right="38"/>
      </w:pPr>
      <w:r>
        <w:rPr>
          <w:color w:val="231F20"/>
        </w:rPr>
        <w:t>Dans les quinze jours ouvrables qui suivent l’acceptation du dépôt, celui-ci fait l’objet d’une mention dans un recueil établi par la Banque nationale de Belgique sur un support et selon les modalités que le Roi détermine.</w:t>
      </w:r>
      <w:r>
        <w:rPr>
          <w:color w:val="231F20"/>
          <w:spacing w:val="-7"/>
        </w:rPr>
        <w:t> </w:t>
      </w:r>
      <w:r>
        <w:rPr>
          <w:color w:val="231F20"/>
        </w:rPr>
        <w:t>Le</w:t>
      </w:r>
      <w:r>
        <w:rPr>
          <w:color w:val="231F20"/>
          <w:spacing w:val="-6"/>
        </w:rPr>
        <w:t> </w:t>
      </w:r>
      <w:r>
        <w:rPr>
          <w:color w:val="231F20"/>
        </w:rPr>
        <w:t>texte</w:t>
      </w:r>
      <w:r>
        <w:rPr>
          <w:color w:val="231F20"/>
          <w:spacing w:val="-7"/>
        </w:rPr>
        <w:t> </w:t>
      </w:r>
      <w:r>
        <w:rPr>
          <w:color w:val="231F20"/>
        </w:rPr>
        <w:t>de</w:t>
      </w:r>
      <w:r>
        <w:rPr>
          <w:color w:val="231F20"/>
          <w:spacing w:val="-6"/>
        </w:rPr>
        <w:t> </w:t>
      </w:r>
      <w:r>
        <w:rPr>
          <w:color w:val="231F20"/>
        </w:rPr>
        <w:t>cette</w:t>
      </w:r>
      <w:r>
        <w:rPr>
          <w:color w:val="231F20"/>
          <w:spacing w:val="-7"/>
        </w:rPr>
        <w:t> </w:t>
      </w:r>
      <w:r>
        <w:rPr>
          <w:color w:val="231F20"/>
        </w:rPr>
        <w:t>mention</w:t>
      </w:r>
      <w:r>
        <w:rPr>
          <w:color w:val="231F20"/>
          <w:spacing w:val="-6"/>
        </w:rPr>
        <w:t> </w:t>
      </w:r>
      <w:r>
        <w:rPr>
          <w:color w:val="231F20"/>
        </w:rPr>
        <w:t>est</w:t>
      </w:r>
      <w:r>
        <w:rPr>
          <w:color w:val="231F20"/>
          <w:spacing w:val="-7"/>
        </w:rPr>
        <w:t> </w:t>
      </w:r>
      <w:r>
        <w:rPr>
          <w:color w:val="231F20"/>
        </w:rPr>
        <w:t>adressé</w:t>
      </w:r>
      <w:r>
        <w:rPr>
          <w:color w:val="231F20"/>
          <w:spacing w:val="-6"/>
        </w:rPr>
        <w:t> </w:t>
      </w:r>
      <w:r>
        <w:rPr>
          <w:color w:val="231F20"/>
        </w:rPr>
        <w:t>par</w:t>
      </w:r>
      <w:r>
        <w:rPr>
          <w:color w:val="231F20"/>
          <w:spacing w:val="-7"/>
        </w:rPr>
        <w:t> </w:t>
      </w:r>
      <w:r>
        <w:rPr>
          <w:color w:val="231F20"/>
        </w:rPr>
        <w:t>la</w:t>
      </w:r>
      <w:r>
        <w:rPr>
          <w:color w:val="231F20"/>
          <w:spacing w:val="-6"/>
        </w:rPr>
        <w:t> </w:t>
      </w:r>
      <w:r>
        <w:rPr>
          <w:color w:val="231F20"/>
        </w:rPr>
        <w:t>Banque</w:t>
      </w:r>
      <w:r>
        <w:rPr>
          <w:color w:val="231F20"/>
          <w:spacing w:val="-7"/>
        </w:rPr>
        <w:t> </w:t>
      </w:r>
      <w:r>
        <w:rPr>
          <w:color w:val="231F20"/>
        </w:rPr>
        <w:t>nationale de Belgique au </w:t>
      </w:r>
      <w:r>
        <w:rPr>
          <w:color w:val="231F20"/>
          <w:spacing w:val="-3"/>
        </w:rPr>
        <w:t>greffe </w:t>
      </w:r>
      <w:r>
        <w:rPr>
          <w:color w:val="231F20"/>
        </w:rPr>
        <w:t>du tribunal de l’entreprise où est tenu le dossier de</w:t>
      </w:r>
      <w:r>
        <w:rPr>
          <w:color w:val="231F20"/>
          <w:spacing w:val="15"/>
        </w:rPr>
        <w:t> </w:t>
      </w:r>
      <w:r>
        <w:rPr>
          <w:color w:val="231F20"/>
        </w:rPr>
        <w:t>la</w:t>
      </w:r>
      <w:r>
        <w:rPr>
          <w:color w:val="231F20"/>
          <w:spacing w:val="16"/>
        </w:rPr>
        <w:t> </w:t>
      </w:r>
      <w:r>
        <w:rPr>
          <w:color w:val="231F20"/>
        </w:rPr>
        <w:t>fondation,</w:t>
      </w:r>
      <w:r>
        <w:rPr>
          <w:color w:val="231F20"/>
          <w:spacing w:val="15"/>
        </w:rPr>
        <w:t> </w:t>
      </w:r>
      <w:r>
        <w:rPr>
          <w:color w:val="231F20"/>
        </w:rPr>
        <w:t>prévu</w:t>
      </w:r>
      <w:r>
        <w:rPr>
          <w:color w:val="231F20"/>
          <w:spacing w:val="16"/>
        </w:rPr>
        <w:t> </w:t>
      </w:r>
      <w:r>
        <w:rPr>
          <w:color w:val="231F20"/>
        </w:rPr>
        <w:t>à</w:t>
      </w:r>
      <w:r>
        <w:rPr>
          <w:color w:val="231F20"/>
          <w:spacing w:val="16"/>
        </w:rPr>
        <w:t> </w:t>
      </w:r>
      <w:r>
        <w:rPr>
          <w:color w:val="231F20"/>
        </w:rPr>
        <w:t>l’article</w:t>
      </w:r>
      <w:r>
        <w:rPr>
          <w:color w:val="231F20"/>
          <w:spacing w:val="15"/>
        </w:rPr>
        <w:t> </w:t>
      </w:r>
      <w:r>
        <w:rPr>
          <w:color w:val="231F20"/>
        </w:rPr>
        <w:t>2:7,</w:t>
      </w:r>
      <w:r>
        <w:rPr>
          <w:color w:val="231F20"/>
          <w:spacing w:val="16"/>
        </w:rPr>
        <w:t> </w:t>
      </w:r>
      <w:r>
        <w:rPr>
          <w:color w:val="231F20"/>
        </w:rPr>
        <w:t>pour</w:t>
      </w:r>
      <w:r>
        <w:rPr>
          <w:color w:val="231F20"/>
          <w:spacing w:val="16"/>
        </w:rPr>
        <w:t> </w:t>
      </w:r>
      <w:r>
        <w:rPr>
          <w:color w:val="231F20"/>
        </w:rPr>
        <w:t>y</w:t>
      </w:r>
      <w:r>
        <w:rPr>
          <w:color w:val="231F20"/>
          <w:spacing w:val="15"/>
        </w:rPr>
        <w:t> </w:t>
      </w:r>
      <w:r>
        <w:rPr>
          <w:color w:val="231F20"/>
        </w:rPr>
        <w:t>être</w:t>
      </w:r>
      <w:r>
        <w:rPr>
          <w:color w:val="231F20"/>
          <w:spacing w:val="16"/>
        </w:rPr>
        <w:t> </w:t>
      </w:r>
      <w:r>
        <w:rPr>
          <w:color w:val="231F20"/>
        </w:rPr>
        <w:t>versé.</w:t>
      </w:r>
    </w:p>
    <w:p>
      <w:pPr>
        <w:pStyle w:val="BodyText"/>
        <w:spacing w:before="3"/>
        <w:ind w:left="0" w:right="0" w:firstLine="0"/>
        <w:jc w:val="left"/>
        <w:rPr>
          <w:sz w:val="23"/>
        </w:rPr>
      </w:pPr>
    </w:p>
    <w:p>
      <w:pPr>
        <w:pStyle w:val="BodyText"/>
        <w:spacing w:line="213" w:lineRule="auto"/>
        <w:ind w:right="38"/>
      </w:pPr>
      <w:r>
        <w:rPr>
          <w:color w:val="231F20"/>
        </w:rPr>
        <w:t>La Banque nationale de Belgique est chargée de délivrer copie, sous la forme déterminée par le Roi, à ceux qui en font la demande, même par correspondance, soit de l’ensemble des documents qui lui ont été transmis en application des alinéas 1</w:t>
      </w:r>
      <w:r>
        <w:rPr>
          <w:color w:val="231F20"/>
          <w:position w:val="7"/>
          <w:sz w:val="11"/>
        </w:rPr>
        <w:t>er </w:t>
      </w:r>
      <w:r>
        <w:rPr>
          <w:color w:val="231F20"/>
        </w:rPr>
        <w:t>et 2, soit des documents visés aux alinéas 1</w:t>
      </w:r>
      <w:r>
        <w:rPr>
          <w:color w:val="231F20"/>
          <w:position w:val="7"/>
          <w:sz w:val="11"/>
        </w:rPr>
        <w:t>er </w:t>
      </w:r>
      <w:r>
        <w:rPr>
          <w:color w:val="231F20"/>
        </w:rPr>
        <w:t>et 2 relatifs à des fondations nommément désignées et à des années déterminées qui lui ont été transmis. Le Roi détermine le montant des frais à acquitter à la Banque nationale de Belgique pour l’obtention</w:t>
      </w:r>
      <w:r>
        <w:rPr>
          <w:color w:val="231F20"/>
          <w:spacing w:val="15"/>
        </w:rPr>
        <w:t> </w:t>
      </w:r>
      <w:r>
        <w:rPr>
          <w:color w:val="231F20"/>
        </w:rPr>
        <w:t>des</w:t>
      </w:r>
      <w:r>
        <w:rPr>
          <w:color w:val="231F20"/>
          <w:spacing w:val="15"/>
        </w:rPr>
        <w:t> </w:t>
      </w:r>
      <w:r>
        <w:rPr>
          <w:color w:val="231F20"/>
        </w:rPr>
        <w:t>copies</w:t>
      </w:r>
      <w:r>
        <w:rPr>
          <w:color w:val="231F20"/>
          <w:spacing w:val="16"/>
        </w:rPr>
        <w:t> </w:t>
      </w:r>
      <w:r>
        <w:rPr>
          <w:color w:val="231F20"/>
        </w:rPr>
        <w:t>visées</w:t>
      </w:r>
      <w:r>
        <w:rPr>
          <w:color w:val="231F20"/>
          <w:spacing w:val="15"/>
        </w:rPr>
        <w:t> </w:t>
      </w:r>
      <w:r>
        <w:rPr>
          <w:color w:val="231F20"/>
        </w:rPr>
        <w:t>au</w:t>
      </w:r>
      <w:r>
        <w:rPr>
          <w:color w:val="231F20"/>
          <w:spacing w:val="15"/>
        </w:rPr>
        <w:t> </w:t>
      </w:r>
      <w:r>
        <w:rPr>
          <w:color w:val="231F20"/>
        </w:rPr>
        <w:t>présent</w:t>
      </w:r>
      <w:r>
        <w:rPr>
          <w:color w:val="231F20"/>
          <w:spacing w:val="16"/>
        </w:rPr>
        <w:t> </w:t>
      </w:r>
      <w:r>
        <w:rPr>
          <w:color w:val="231F20"/>
        </w:rPr>
        <w:t>alinéa.</w:t>
      </w:r>
    </w:p>
    <w:p>
      <w:pPr>
        <w:pStyle w:val="BodyText"/>
        <w:spacing w:before="3"/>
        <w:ind w:left="0" w:right="0" w:firstLine="0"/>
        <w:jc w:val="left"/>
        <w:rPr>
          <w:sz w:val="23"/>
        </w:rPr>
      </w:pPr>
    </w:p>
    <w:p>
      <w:pPr>
        <w:pStyle w:val="BodyText"/>
        <w:spacing w:line="211" w:lineRule="auto"/>
        <w:ind w:right="38"/>
      </w:pPr>
      <w:r>
        <w:rPr>
          <w:color w:val="231F20"/>
        </w:rPr>
        <w:t>Les greffes des tribunaux obtiennent sans frais et sans retard de la Banque nationale de Belgique, copie de l’ensemble des documents visés aux alinéas 1</w:t>
      </w:r>
      <w:r>
        <w:rPr>
          <w:color w:val="231F20"/>
          <w:position w:val="7"/>
          <w:sz w:val="11"/>
        </w:rPr>
        <w:t>er </w:t>
      </w:r>
      <w:r>
        <w:rPr>
          <w:color w:val="231F20"/>
        </w:rPr>
        <w:t>et 2, sous la forme déterminée par le Roi.</w:t>
      </w:r>
    </w:p>
    <w:p>
      <w:pPr>
        <w:pStyle w:val="BodyText"/>
        <w:spacing w:before="1"/>
        <w:ind w:left="0" w:right="0" w:firstLine="0"/>
        <w:jc w:val="left"/>
        <w:rPr>
          <w:sz w:val="23"/>
        </w:rPr>
      </w:pPr>
    </w:p>
    <w:p>
      <w:pPr>
        <w:pStyle w:val="BodyText"/>
        <w:spacing w:line="213" w:lineRule="auto"/>
        <w:ind w:right="38"/>
      </w:pPr>
      <w:r>
        <w:rPr>
          <w:color w:val="231F20"/>
        </w:rPr>
        <w:t>La Banque nationale de Belgique est habilitée à établir et à publier, selon les modalités déterminées par le Roi, des statistiques globales et anonymes relatives à tout ou partie des éléments contenus dans les documents qui lui sont transmis en application des alinéas 1</w:t>
      </w:r>
      <w:r>
        <w:rPr>
          <w:color w:val="231F20"/>
          <w:position w:val="7"/>
          <w:sz w:val="11"/>
        </w:rPr>
        <w:t>er </w:t>
      </w:r>
      <w:r>
        <w:rPr>
          <w:color w:val="231F20"/>
        </w:rPr>
        <w:t>et 2.</w:t>
      </w:r>
    </w:p>
    <w:p>
      <w:pPr>
        <w:pStyle w:val="BodyText"/>
        <w:spacing w:before="9"/>
        <w:ind w:left="0" w:right="0" w:firstLine="0"/>
        <w:jc w:val="left"/>
        <w:rPr>
          <w:sz w:val="22"/>
        </w:rPr>
      </w:pPr>
    </w:p>
    <w:p>
      <w:pPr>
        <w:pStyle w:val="BodyText"/>
        <w:spacing w:line="218" w:lineRule="auto"/>
        <w:ind w:right="38"/>
      </w:pPr>
      <w:r>
        <w:rPr>
          <w:color w:val="231F20"/>
        </w:rPr>
        <w:t>§ 8. Le ministre qui a la Justice dans ses attributions ou son délégué peut autoriser, dans des cas spéciaux et moyennant l’avis motivé de la Commission des normes comptables, des dérogations aux arrêtés royaux pris en exécution du présent titre.</w:t>
      </w:r>
    </w:p>
    <w:p>
      <w:pPr>
        <w:pStyle w:val="BodyText"/>
        <w:spacing w:line="218" w:lineRule="auto" w:before="86"/>
        <w:ind w:right="38"/>
      </w:pPr>
      <w:r>
        <w:rPr>
          <w:color w:val="231F20"/>
        </w:rPr>
        <w:t>La Commission des normes comptables est informée de la décision du</w:t>
      </w:r>
      <w:r>
        <w:rPr>
          <w:color w:val="231F20"/>
          <w:spacing w:val="15"/>
        </w:rPr>
        <w:t> </w:t>
      </w:r>
      <w:r>
        <w:rPr>
          <w:color w:val="231F20"/>
        </w:rPr>
        <w:t>ministre</w:t>
      </w:r>
      <w:r>
        <w:rPr>
          <w:color w:val="231F20"/>
          <w:spacing w:val="15"/>
        </w:rPr>
        <w:t> </w:t>
      </w:r>
      <w:r>
        <w:rPr>
          <w:color w:val="231F20"/>
        </w:rPr>
        <w:t>ou</w:t>
      </w:r>
      <w:r>
        <w:rPr>
          <w:color w:val="231F20"/>
          <w:spacing w:val="16"/>
        </w:rPr>
        <w:t> </w:t>
      </w:r>
      <w:r>
        <w:rPr>
          <w:color w:val="231F20"/>
        </w:rPr>
        <w:t>de</w:t>
      </w:r>
      <w:r>
        <w:rPr>
          <w:color w:val="231F20"/>
          <w:spacing w:val="15"/>
        </w:rPr>
        <w:t> </w:t>
      </w:r>
      <w:r>
        <w:rPr>
          <w:color w:val="231F20"/>
        </w:rPr>
        <w:t>son</w:t>
      </w:r>
      <w:r>
        <w:rPr>
          <w:color w:val="231F20"/>
          <w:spacing w:val="16"/>
        </w:rPr>
        <w:t> </w:t>
      </w:r>
      <w:r>
        <w:rPr>
          <w:color w:val="231F20"/>
        </w:rPr>
        <w:t>délégué.</w:t>
      </w:r>
    </w:p>
    <w:p>
      <w:pPr>
        <w:pStyle w:val="BodyText"/>
        <w:spacing w:line="218" w:lineRule="auto" w:before="85"/>
        <w:ind w:right="38"/>
      </w:pPr>
      <w:r>
        <w:rPr>
          <w:color w:val="231F20"/>
        </w:rPr>
        <w:t>La fondation à laquelle la dérogation a été accordée, mentionne cette dérogation parmi les règles d’évaluation dans l’annexe aux comptes annuels.</w:t>
      </w:r>
    </w:p>
    <w:p>
      <w:pPr>
        <w:pStyle w:val="BodyText"/>
        <w:spacing w:line="218" w:lineRule="auto" w:before="86"/>
        <w:ind w:right="38"/>
      </w:pPr>
      <w:r>
        <w:rPr>
          <w:color w:val="231F20"/>
        </w:rPr>
        <w:t>Art. 3:52. L’organe d’administration des fondations autres que les petites fondations rédige un rapport dans lequel il rend compte de sa gestion.</w:t>
      </w:r>
    </w:p>
    <w:p>
      <w:pPr>
        <w:pStyle w:val="BodyText"/>
        <w:spacing w:line="185" w:lineRule="exact" w:before="71"/>
        <w:ind w:left="283" w:right="0" w:firstLine="0"/>
        <w:jc w:val="left"/>
      </w:pPr>
      <w:r>
        <w:rPr>
          <w:color w:val="231F20"/>
        </w:rPr>
        <w:t>Ce rapport comporte au moins les indications visées à l’article 3:48,</w:t>
      </w:r>
    </w:p>
    <w:p>
      <w:pPr>
        <w:pStyle w:val="BodyText"/>
        <w:spacing w:line="185" w:lineRule="exact"/>
        <w:ind w:right="0" w:firstLine="0"/>
        <w:jc w:val="left"/>
      </w:pPr>
      <w:r>
        <w:rPr>
          <w:color w:val="231F20"/>
        </w:rPr>
        <w:t>§ 2.</w:t>
      </w:r>
    </w:p>
    <w:p>
      <w:pPr>
        <w:pStyle w:val="BodyText"/>
        <w:spacing w:line="218" w:lineRule="auto" w:before="93"/>
        <w:ind w:right="38"/>
      </w:pPr>
      <w:r>
        <w:rPr>
          <w:color w:val="231F20"/>
        </w:rPr>
        <w:t>Art. 3:53. Les comptes annuels, même approuvés par l’organe d’administration et déposés conformément à l’article 3:51, peuvent être rectifiés non seulement en cas d’erreurs matérielles, faux ou double emploi au sens de l’article 1368 du Code judiciaire, mais encore en cas d’erreur de fait ou de droit, y compris d’erreur commise dans l’évaluation d’un poste ou d’infraction au droit comptable.</w:t>
      </w:r>
    </w:p>
    <w:p>
      <w:pPr>
        <w:pStyle w:val="BodyText"/>
        <w:spacing w:before="11"/>
        <w:ind w:left="0" w:right="0" w:firstLine="0"/>
        <w:jc w:val="left"/>
        <w:rPr>
          <w:sz w:val="23"/>
        </w:rPr>
      </w:pPr>
    </w:p>
    <w:p>
      <w:pPr>
        <w:pStyle w:val="BodyText"/>
        <w:spacing w:line="218" w:lineRule="auto"/>
        <w:ind w:right="38"/>
      </w:pPr>
      <w:r>
        <w:rPr>
          <w:color w:val="231F20"/>
        </w:rPr>
        <w:t>Ils doivent être rectifiés si la comptabilisation opérée implique une infraction au droit comptable d’une nature telle que les comptes annuels ne donnent pas une image fidèle du patrimoine, de la situation financière</w:t>
      </w:r>
      <w:r>
        <w:rPr>
          <w:color w:val="231F20"/>
          <w:spacing w:val="15"/>
        </w:rPr>
        <w:t> </w:t>
      </w:r>
      <w:r>
        <w:rPr>
          <w:color w:val="231F20"/>
        </w:rPr>
        <w:t>ainsi</w:t>
      </w:r>
      <w:r>
        <w:rPr>
          <w:color w:val="231F20"/>
          <w:spacing w:val="15"/>
        </w:rPr>
        <w:t> </w:t>
      </w:r>
      <w:r>
        <w:rPr>
          <w:color w:val="231F20"/>
        </w:rPr>
        <w:t>que</w:t>
      </w:r>
      <w:r>
        <w:rPr>
          <w:color w:val="231F20"/>
          <w:spacing w:val="15"/>
        </w:rPr>
        <w:t> </w:t>
      </w:r>
      <w:r>
        <w:rPr>
          <w:color w:val="231F20"/>
        </w:rPr>
        <w:t>du</w:t>
      </w:r>
      <w:r>
        <w:rPr>
          <w:color w:val="231F20"/>
          <w:spacing w:val="15"/>
        </w:rPr>
        <w:t> </w:t>
      </w:r>
      <w:r>
        <w:rPr>
          <w:color w:val="231F20"/>
        </w:rPr>
        <w:t>résultat</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fondation.</w:t>
      </w:r>
    </w:p>
    <w:p>
      <w:pPr>
        <w:pStyle w:val="BodyText"/>
        <w:spacing w:line="218" w:lineRule="auto" w:before="119"/>
        <w:ind w:firstLine="0"/>
      </w:pPr>
      <w:r>
        <w:rPr/>
        <w:br w:type="column"/>
      </w:r>
      <w:r>
        <w:rPr>
          <w:color w:val="231F20"/>
        </w:rPr>
        <w:t>van hun boekhouding en betreffende hun jaarrekeningen voor zover deze regels minstens gelijkwaardig zijn aan die voorgeschreven op grond van deze titel.</w:t>
      </w:r>
    </w:p>
    <w:p>
      <w:pPr>
        <w:pStyle w:val="BodyText"/>
        <w:spacing w:line="218" w:lineRule="auto" w:before="86"/>
      </w:pPr>
      <w:r>
        <w:rPr>
          <w:color w:val="231F20"/>
        </w:rPr>
        <w:t>§ 6. Andere dan kleine stichtingen moeten één of meer commissaris- sen belasten met de controle van de financiële toestand, van de jaarrekening en van de regelmatigheid in het licht van de wet en van de statuten, van de verrichtingen die in de jaarrekening moeten worden vastgesteld.</w:t>
      </w:r>
    </w:p>
    <w:p>
      <w:pPr>
        <w:pStyle w:val="BodyText"/>
        <w:spacing w:line="218" w:lineRule="auto" w:before="86"/>
      </w:pPr>
      <w:r>
        <w:rPr>
          <w:color w:val="231F20"/>
        </w:rPr>
        <w:t>De commissaris wordt door het bestuursorgaan benoemd onder de leden, natuurlijke personen of rechtspersonen, van het Instituut van bedrijfsrevisoren.</w:t>
      </w:r>
    </w:p>
    <w:p>
      <w:pPr>
        <w:pStyle w:val="BodyText"/>
        <w:spacing w:line="218" w:lineRule="auto" w:before="85"/>
      </w:pPr>
      <w:r>
        <w:rPr>
          <w:color w:val="231F20"/>
        </w:rPr>
        <w:t>§ 7. Binnen dertig dagen na de goedkeuring ervan door het bestuursorgaan wordt de jaarrekening van de andere stichtingen dan de stichtingen die op de balansdatum van het laatst afgesloten boekjaar niet meer dan één van de in paragraaf 2 bedoelde criteria overschrijden door</w:t>
      </w:r>
      <w:r>
        <w:rPr>
          <w:color w:val="231F20"/>
          <w:spacing w:val="17"/>
        </w:rPr>
        <w:t> </w:t>
      </w:r>
      <w:r>
        <w:rPr>
          <w:color w:val="231F20"/>
        </w:rPr>
        <w:t>de</w:t>
      </w:r>
      <w:r>
        <w:rPr>
          <w:color w:val="231F20"/>
          <w:spacing w:val="17"/>
        </w:rPr>
        <w:t> </w:t>
      </w:r>
      <w:r>
        <w:rPr>
          <w:color w:val="231F20"/>
        </w:rPr>
        <w:t>bestuurders</w:t>
      </w:r>
      <w:r>
        <w:rPr>
          <w:color w:val="231F20"/>
          <w:spacing w:val="18"/>
        </w:rPr>
        <w:t> </w:t>
      </w:r>
      <w:r>
        <w:rPr>
          <w:color w:val="231F20"/>
        </w:rPr>
        <w:t>neergelegd</w:t>
      </w:r>
      <w:r>
        <w:rPr>
          <w:color w:val="231F20"/>
          <w:spacing w:val="17"/>
        </w:rPr>
        <w:t> </w:t>
      </w:r>
      <w:r>
        <w:rPr>
          <w:color w:val="231F20"/>
        </w:rPr>
        <w:t>bij</w:t>
      </w:r>
      <w:r>
        <w:rPr>
          <w:color w:val="231F20"/>
          <w:spacing w:val="17"/>
        </w:rPr>
        <w:t> </w:t>
      </w:r>
      <w:r>
        <w:rPr>
          <w:color w:val="231F20"/>
        </w:rPr>
        <w:t>de</w:t>
      </w:r>
      <w:r>
        <w:rPr>
          <w:color w:val="231F20"/>
          <w:spacing w:val="18"/>
        </w:rPr>
        <w:t> </w:t>
      </w:r>
      <w:r>
        <w:rPr>
          <w:color w:val="231F20"/>
        </w:rPr>
        <w:t>Nationale</w:t>
      </w:r>
      <w:r>
        <w:rPr>
          <w:color w:val="231F20"/>
          <w:spacing w:val="17"/>
        </w:rPr>
        <w:t> </w:t>
      </w:r>
      <w:r>
        <w:rPr>
          <w:color w:val="231F20"/>
        </w:rPr>
        <w:t>Bank</w:t>
      </w:r>
      <w:r>
        <w:rPr>
          <w:color w:val="231F20"/>
          <w:spacing w:val="17"/>
        </w:rPr>
        <w:t> </w:t>
      </w:r>
      <w:r>
        <w:rPr>
          <w:color w:val="231F20"/>
        </w:rPr>
        <w:t>van</w:t>
      </w:r>
      <w:r>
        <w:rPr>
          <w:color w:val="231F20"/>
          <w:spacing w:val="18"/>
        </w:rPr>
        <w:t> </w:t>
      </w:r>
      <w:r>
        <w:rPr>
          <w:color w:val="231F20"/>
        </w:rPr>
        <w:t>België.</w:t>
      </w:r>
    </w:p>
    <w:p>
      <w:pPr>
        <w:pStyle w:val="BodyText"/>
        <w:spacing w:before="72"/>
        <w:ind w:left="283" w:right="0" w:firstLine="0"/>
        <w:jc w:val="left"/>
      </w:pPr>
      <w:r>
        <w:rPr>
          <w:color w:val="231F20"/>
        </w:rPr>
        <w:t>Overeenkomstig het eerste lid worden gelijktijdig neergelegd:</w:t>
      </w:r>
    </w:p>
    <w:p>
      <w:pPr>
        <w:pStyle w:val="BodyText"/>
        <w:spacing w:line="218" w:lineRule="auto" w:before="82"/>
      </w:pPr>
      <w:r>
        <w:rPr>
          <w:color w:val="231F20"/>
        </w:rPr>
        <w:t>1° een stuk met de naam en voornaam van de bestuurders en in voorkomend geval van de commissarissen die in functie zijn;</w:t>
      </w:r>
    </w:p>
    <w:p>
      <w:pPr>
        <w:pStyle w:val="BodyText"/>
        <w:spacing w:line="324" w:lineRule="auto" w:before="71"/>
        <w:ind w:left="283" w:right="1017" w:hanging="1"/>
        <w:jc w:val="left"/>
      </w:pPr>
      <w:r>
        <w:rPr>
          <w:color w:val="231F20"/>
        </w:rPr>
        <w:t>2° in voorkomend geval, het verslag van de commissaris; 3°</w:t>
      </w:r>
      <w:r>
        <w:rPr>
          <w:color w:val="231F20"/>
          <w:spacing w:val="15"/>
        </w:rPr>
        <w:t> </w:t>
      </w:r>
      <w:r>
        <w:rPr>
          <w:color w:val="231F20"/>
        </w:rPr>
        <w:t>in</w:t>
      </w:r>
      <w:r>
        <w:rPr>
          <w:color w:val="231F20"/>
          <w:spacing w:val="16"/>
        </w:rPr>
        <w:t> </w:t>
      </w:r>
      <w:r>
        <w:rPr>
          <w:color w:val="231F20"/>
        </w:rPr>
        <w:t>voorkomend</w:t>
      </w:r>
      <w:r>
        <w:rPr>
          <w:color w:val="231F20"/>
          <w:spacing w:val="16"/>
        </w:rPr>
        <w:t> </w:t>
      </w:r>
      <w:r>
        <w:rPr>
          <w:color w:val="231F20"/>
        </w:rPr>
        <w:t>geval,</w:t>
      </w:r>
      <w:r>
        <w:rPr>
          <w:color w:val="231F20"/>
          <w:spacing w:val="16"/>
        </w:rPr>
        <w:t> </w:t>
      </w:r>
      <w:r>
        <w:rPr>
          <w:color w:val="231F20"/>
        </w:rPr>
        <w:t>het</w:t>
      </w:r>
      <w:r>
        <w:rPr>
          <w:color w:val="231F20"/>
          <w:spacing w:val="16"/>
        </w:rPr>
        <w:t> </w:t>
      </w:r>
      <w:r>
        <w:rPr>
          <w:color w:val="231F20"/>
        </w:rPr>
        <w:t>jaarverslag.</w:t>
      </w:r>
    </w:p>
    <w:p>
      <w:pPr>
        <w:pStyle w:val="BodyText"/>
        <w:spacing w:line="218" w:lineRule="auto" w:before="15"/>
      </w:pPr>
      <w:r>
        <w:rPr>
          <w:color w:val="231F20"/>
        </w:rPr>
        <w:t>De Koning bepaalt de modaliteiten en de voorwaarden voor de neerlegging van de in het eerste en het tweede lid bedoelde stukken, evenals het bedrag en de wijze van betaling van de kosten van de openbaarmaking. De neerlegging wordt alleen aanvaard indien de op grond van dit lid vastgestelde bepalingen worden nageleefd.</w:t>
      </w:r>
    </w:p>
    <w:p>
      <w:pPr>
        <w:pStyle w:val="BodyText"/>
        <w:spacing w:line="218" w:lineRule="auto" w:before="86"/>
      </w:pPr>
      <w:r>
        <w:rPr>
          <w:color w:val="231F20"/>
        </w:rPr>
        <w:t>Binnen vijftien werkdagen na de aanvaarding van de neerlegging wordt daarvan melding gemaakt in een door de Nationale Bank van België aangelegd bestand op een drager en volgens de nadere regels die de Koning vaststelt. De tekst van de vermelding wordt door de Nationale Bank van België neergelegd ter griffie van de ondernemings- rechtbank die het dossier van de stichting als bedoeld in artikel 2:7 aanlegt en wordt bij dat dossier gevoegd.</w:t>
      </w:r>
    </w:p>
    <w:p>
      <w:pPr>
        <w:pStyle w:val="BodyText"/>
        <w:spacing w:line="218" w:lineRule="auto" w:before="86"/>
      </w:pPr>
      <w:r>
        <w:rPr>
          <w:color w:val="231F20"/>
        </w:rPr>
        <w:t>De Nationale Bank van België reikt aan degenen die er, zelfs schriftelijk, om vragen, een kopie in de door de Koning vastgestelde vorm uit, hetzij van alle stukken die haar op grond van het eerste en het tweede lid worden overgezonden, hetzij van de stukken als bedoeld in het eerste en het tweede lid die haar worden overgezonden en betrekking hebben op de met name genoemde stichtingen en op bepaalde jaren. De Koning stelt het bedrag vast dat aan de Nationale Bank van België moet worden betaald voor de verkrijging van de in dit lid bedoelde kopieën.</w:t>
      </w:r>
    </w:p>
    <w:p>
      <w:pPr>
        <w:pStyle w:val="BodyText"/>
        <w:spacing w:line="218" w:lineRule="auto" w:before="86"/>
      </w:pPr>
      <w:r>
        <w:rPr>
          <w:color w:val="231F20"/>
        </w:rPr>
        <w:t>De </w:t>
      </w:r>
      <w:r>
        <w:rPr>
          <w:color w:val="231F20"/>
          <w:spacing w:val="-3"/>
        </w:rPr>
        <w:t>griffies </w:t>
      </w:r>
      <w:r>
        <w:rPr>
          <w:color w:val="231F20"/>
        </w:rPr>
        <w:t>van de rechtbanken ontvangen van de Nationale Bank van België kosteloos en onverwijld een kopie van alle stukken bedoeld in het eerste en het tweede lid in de vorm die door de Koning is vastgesteld.</w:t>
      </w:r>
    </w:p>
    <w:p>
      <w:pPr>
        <w:pStyle w:val="BodyText"/>
        <w:spacing w:line="218" w:lineRule="auto" w:before="85"/>
      </w:pPr>
      <w:r>
        <w:rPr>
          <w:color w:val="231F20"/>
        </w:rPr>
        <w:t>De Nationale Bank van België is bevoegd om, volgens de nadere regels die de Koning vaststelt, algemene en anonieme statistieken op te maken en bekend te maken over het geheel of een gedeelte van</w:t>
      </w:r>
      <w:r>
        <w:rPr>
          <w:color w:val="231F20"/>
          <w:spacing w:val="7"/>
        </w:rPr>
        <w:t> </w:t>
      </w:r>
      <w:r>
        <w:rPr>
          <w:color w:val="231F20"/>
        </w:rPr>
        <w:t>de gegevens vervat in de stukken die haar met toepassing van het eerste  en</w:t>
      </w:r>
      <w:r>
        <w:rPr>
          <w:color w:val="231F20"/>
          <w:spacing w:val="16"/>
        </w:rPr>
        <w:t> </w:t>
      </w:r>
      <w:r>
        <w:rPr>
          <w:color w:val="231F20"/>
        </w:rPr>
        <w:t>het</w:t>
      </w:r>
      <w:r>
        <w:rPr>
          <w:color w:val="231F20"/>
          <w:spacing w:val="16"/>
        </w:rPr>
        <w:t> </w:t>
      </w:r>
      <w:r>
        <w:rPr>
          <w:color w:val="231F20"/>
        </w:rPr>
        <w:t>tweede</w:t>
      </w:r>
      <w:r>
        <w:rPr>
          <w:color w:val="231F20"/>
          <w:spacing w:val="17"/>
        </w:rPr>
        <w:t> </w:t>
      </w:r>
      <w:r>
        <w:rPr>
          <w:color w:val="231F20"/>
        </w:rPr>
        <w:t>lid</w:t>
      </w:r>
      <w:r>
        <w:rPr>
          <w:color w:val="231F20"/>
          <w:spacing w:val="16"/>
        </w:rPr>
        <w:t> </w:t>
      </w:r>
      <w:r>
        <w:rPr>
          <w:color w:val="231F20"/>
        </w:rPr>
        <w:t>worden</w:t>
      </w:r>
      <w:r>
        <w:rPr>
          <w:color w:val="231F20"/>
          <w:spacing w:val="17"/>
        </w:rPr>
        <w:t> </w:t>
      </w:r>
      <w:r>
        <w:rPr>
          <w:color w:val="231F20"/>
        </w:rPr>
        <w:t>overgezonden.</w:t>
      </w:r>
    </w:p>
    <w:p>
      <w:pPr>
        <w:pStyle w:val="BodyText"/>
        <w:spacing w:line="218" w:lineRule="auto" w:before="86"/>
      </w:pPr>
      <w:r>
        <w:rPr>
          <w:color w:val="231F20"/>
        </w:rPr>
        <w:t>§ 8. De minister bevoegd voor Justitie of zijn afgevaardigde kan in bijzondere gevallen, na een gemotiveerd advies van de Commissie voor Boekhoudkundige Normen, toestaan dat wordt afgeweken van de koninklijke besluiten genomen ter uitvoering van deze titel.</w:t>
      </w:r>
    </w:p>
    <w:p>
      <w:pPr>
        <w:pStyle w:val="BodyText"/>
        <w:spacing w:line="218" w:lineRule="auto" w:before="86"/>
      </w:pPr>
      <w:r>
        <w:rPr>
          <w:color w:val="231F20"/>
        </w:rPr>
        <w:t>De Commissie voor Boekhoudkundige Normen wordt in kennis gesteld van het besluit van de minister of zijn afgevaardigde.</w:t>
      </w:r>
    </w:p>
    <w:p>
      <w:pPr>
        <w:pStyle w:val="BodyText"/>
        <w:spacing w:line="218" w:lineRule="auto" w:before="85"/>
      </w:pPr>
      <w:r>
        <w:rPr>
          <w:color w:val="231F20"/>
        </w:rPr>
        <w:t>De stichting waarvoor de afwijking werd toegestaan vermeldt deze afwijking onder de waarderingsregels in de toelichting bij de jaarreke- ning.</w:t>
      </w:r>
    </w:p>
    <w:p>
      <w:pPr>
        <w:pStyle w:val="BodyText"/>
        <w:spacing w:line="218" w:lineRule="auto" w:before="86"/>
      </w:pPr>
      <w:r>
        <w:rPr>
          <w:color w:val="231F20"/>
        </w:rPr>
        <w:t>Art. 3:52. Het bestuursorgaan van de andere dan de kleine stichtin- gen, stelt een verslag op waarin het rekenschap geeft van zijn beleid.</w:t>
      </w:r>
    </w:p>
    <w:p>
      <w:pPr>
        <w:pStyle w:val="BodyText"/>
        <w:spacing w:before="11"/>
        <w:ind w:left="0" w:right="0" w:firstLine="0"/>
        <w:jc w:val="left"/>
        <w:rPr>
          <w:sz w:val="22"/>
        </w:rPr>
      </w:pPr>
    </w:p>
    <w:p>
      <w:pPr>
        <w:pStyle w:val="BodyText"/>
        <w:spacing w:line="218" w:lineRule="auto"/>
      </w:pPr>
      <w:r>
        <w:rPr>
          <w:color w:val="231F20"/>
        </w:rPr>
        <w:t>Het jaarverslag bevat tenminste de in artikel 3:48, § 2, bedoelde gegevens.</w:t>
      </w:r>
    </w:p>
    <w:p>
      <w:pPr>
        <w:pStyle w:val="BodyText"/>
        <w:spacing w:line="218" w:lineRule="auto" w:before="96"/>
      </w:pPr>
      <w:r>
        <w:rPr>
          <w:color w:val="231F20"/>
        </w:rPr>
        <w:t>Art. 3:53. De jaarrekening, zelfs goedgekeurd door het bestuursor- gaan en ingediend overeenkomstig artikel 3:51, kan niet alleen worden gecorrigeerd in geval van materiële fouten, valse of dubbel geboekte posten als bedoeld in artikel 1368 van het Gerechtelijk Wetboek, maar ook in geval van dwaling in rechte of in feite, met inbegrip van een dwaling in de waardering van een post of een inbreuk op het boekhoudrecht.</w:t>
      </w:r>
    </w:p>
    <w:p>
      <w:pPr>
        <w:pStyle w:val="BodyText"/>
        <w:spacing w:line="218" w:lineRule="auto" w:before="97"/>
      </w:pPr>
      <w:r>
        <w:rPr>
          <w:color w:val="231F20"/>
        </w:rPr>
        <w:t>Zij moet worden gecorrigeerd indien de verrichte boeking een inbreuk op het boekhoudrecht impliceert, waardoor de</w:t>
      </w:r>
      <w:r>
        <w:rPr>
          <w:color w:val="231F20"/>
          <w:spacing w:val="23"/>
        </w:rPr>
        <w:t> </w:t>
      </w:r>
      <w:r>
        <w:rPr>
          <w:color w:val="231F20"/>
        </w:rPr>
        <w:t>jaarrekening geen getrouw beeld geeft van het vermogen, de financiële toestand en het resultaat van de</w:t>
      </w:r>
      <w:r>
        <w:rPr>
          <w:color w:val="231F20"/>
          <w:spacing w:val="18"/>
        </w:rPr>
        <w:t> </w:t>
      </w:r>
      <w:r>
        <w:rPr>
          <w:color w:val="231F20"/>
        </w:rPr>
        <w:t>stichting.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656" from="298.170502pt,64.473pt" to="298.170502pt,812.819pt" stroked="true" strokeweight=".533pt" strokecolor="#231f20">
            <v:stroke dashstyle="solid"/>
            <w10:wrap type="none"/>
          </v:line>
        </w:pict>
      </w:r>
      <w:bookmarkStart w:name="_bookmark68" w:id="73"/>
      <w:bookmarkEnd w:id="73"/>
      <w:r>
        <w:rPr/>
      </w:r>
      <w:r>
        <w:rPr>
          <w:color w:val="231F20"/>
        </w:rPr>
        <w:t>Art. 3:54. </w:t>
      </w:r>
      <w:r>
        <w:rPr>
          <w:color w:val="231F20"/>
          <w:spacing w:val="-4"/>
        </w:rPr>
        <w:t>Toute </w:t>
      </w:r>
      <w:r>
        <w:rPr>
          <w:color w:val="231F20"/>
        </w:rPr>
        <w:t>fondation étrangère ayant une succursale en</w:t>
      </w:r>
      <w:r>
        <w:rPr>
          <w:color w:val="231F20"/>
          <w:spacing w:val="-12"/>
        </w:rPr>
        <w:t> </w:t>
      </w:r>
      <w:r>
        <w:rPr>
          <w:color w:val="231F20"/>
        </w:rPr>
        <w:t>Belgique est tenue de déposer ses comptes annuels relatifs au dernier exercice clôturé à la Banque nationale de Belgique, sous la forme dans laquelle ces comptes ont été établis, contrôlés et rendus publics conformément au</w:t>
      </w:r>
      <w:r>
        <w:rPr>
          <w:color w:val="231F20"/>
          <w:spacing w:val="15"/>
        </w:rPr>
        <w:t> </w:t>
      </w:r>
      <w:r>
        <w:rPr>
          <w:color w:val="231F20"/>
        </w:rPr>
        <w:t>droit</w:t>
      </w:r>
      <w:r>
        <w:rPr>
          <w:color w:val="231F20"/>
          <w:spacing w:val="15"/>
        </w:rPr>
        <w:t> </w:t>
      </w:r>
      <w:r>
        <w:rPr>
          <w:color w:val="231F20"/>
        </w:rPr>
        <w:t>de</w:t>
      </w:r>
      <w:r>
        <w:rPr>
          <w:color w:val="231F20"/>
          <w:spacing w:val="16"/>
        </w:rPr>
        <w:t> </w:t>
      </w:r>
      <w:r>
        <w:rPr>
          <w:color w:val="231F20"/>
        </w:rPr>
        <w:t>l’État</w:t>
      </w:r>
      <w:r>
        <w:rPr>
          <w:color w:val="231F20"/>
          <w:spacing w:val="15"/>
        </w:rPr>
        <w:t> </w:t>
      </w:r>
      <w:r>
        <w:rPr>
          <w:color w:val="231F20"/>
        </w:rPr>
        <w:t>auquel</w:t>
      </w:r>
      <w:r>
        <w:rPr>
          <w:color w:val="231F20"/>
          <w:spacing w:val="16"/>
        </w:rPr>
        <w:t> </w:t>
      </w:r>
      <w:r>
        <w:rPr>
          <w:color w:val="231F20"/>
        </w:rPr>
        <w:t>la</w:t>
      </w:r>
      <w:r>
        <w:rPr>
          <w:color w:val="231F20"/>
          <w:spacing w:val="15"/>
        </w:rPr>
        <w:t> </w:t>
      </w:r>
      <w:r>
        <w:rPr>
          <w:color w:val="231F20"/>
        </w:rPr>
        <w:t>fondation</w:t>
      </w:r>
      <w:r>
        <w:rPr>
          <w:color w:val="231F20"/>
          <w:spacing w:val="16"/>
        </w:rPr>
        <w:t> </w:t>
      </w:r>
      <w:r>
        <w:rPr>
          <w:color w:val="231F20"/>
        </w:rPr>
        <w:t>est</w:t>
      </w:r>
      <w:r>
        <w:rPr>
          <w:color w:val="231F20"/>
          <w:spacing w:val="15"/>
        </w:rPr>
        <w:t> </w:t>
      </w:r>
      <w:r>
        <w:rPr>
          <w:color w:val="231F20"/>
        </w:rPr>
        <w:t>soumise.</w:t>
      </w:r>
    </w:p>
    <w:p>
      <w:pPr>
        <w:pStyle w:val="BodyText"/>
        <w:spacing w:line="218" w:lineRule="auto" w:before="85"/>
        <w:ind w:right="38"/>
      </w:pPr>
      <w:r>
        <w:rPr>
          <w:color w:val="231F20"/>
        </w:rPr>
        <w:t>Ce dépôt a lieu annuellement, dans le mois qui suit son approbation et au plus tard sept mois après la date de clôture de l’exercice.</w:t>
      </w:r>
    </w:p>
    <w:p>
      <w:pPr>
        <w:pStyle w:val="BodyText"/>
        <w:ind w:left="0" w:right="0" w:firstLine="0"/>
        <w:jc w:val="left"/>
        <w:rPr>
          <w:sz w:val="23"/>
        </w:rPr>
      </w:pPr>
    </w:p>
    <w:p>
      <w:pPr>
        <w:pStyle w:val="BodyText"/>
        <w:spacing w:line="218" w:lineRule="auto"/>
        <w:ind w:right="39"/>
      </w:pPr>
      <w:r>
        <w:rPr>
          <w:color w:val="231F20"/>
        </w:rPr>
        <w:t>TITRE 4. Le contrôle légal des comptes annuels et des comptes consolidés des sociétés dotées de la personnalité juridique.</w:t>
      </w:r>
    </w:p>
    <w:p>
      <w:pPr>
        <w:pStyle w:val="BodyText"/>
        <w:spacing w:before="5"/>
        <w:ind w:left="0" w:right="0" w:firstLine="0"/>
        <w:jc w:val="left"/>
        <w:rPr>
          <w:sz w:val="20"/>
        </w:rPr>
      </w:pPr>
    </w:p>
    <w:p>
      <w:pPr>
        <w:pStyle w:val="BodyText"/>
        <w:spacing w:line="304" w:lineRule="auto"/>
        <w:ind w:left="283" w:right="0" w:firstLine="0"/>
        <w:jc w:val="left"/>
      </w:pPr>
      <w:r>
        <w:rPr>
          <w:color w:val="231F20"/>
        </w:rPr>
        <w:t>CHAPITRE 1</w:t>
      </w:r>
      <w:r>
        <w:rPr>
          <w:color w:val="231F20"/>
          <w:position w:val="7"/>
          <w:sz w:val="11"/>
        </w:rPr>
        <w:t>er</w:t>
      </w:r>
      <w:r>
        <w:rPr>
          <w:color w:val="231F20"/>
        </w:rPr>
        <w:t>. Dispositions générales en matière de contrôle légal. Section 1</w:t>
      </w:r>
      <w:r>
        <w:rPr>
          <w:color w:val="231F20"/>
          <w:position w:val="7"/>
          <w:sz w:val="11"/>
        </w:rPr>
        <w:t>re</w:t>
      </w:r>
      <w:r>
        <w:rPr>
          <w:color w:val="231F20"/>
        </w:rPr>
        <w:t>. Définitions.</w:t>
      </w:r>
    </w:p>
    <w:p>
      <w:pPr>
        <w:pStyle w:val="BodyText"/>
        <w:spacing w:line="218" w:lineRule="auto" w:before="31"/>
        <w:ind w:right="38"/>
      </w:pPr>
      <w:r>
        <w:rPr>
          <w:color w:val="231F20"/>
        </w:rPr>
        <w:t>Art. 3:55. Par “contrôle légal des comptes”, il faut entendre un contrôle des comptes annuels statutaires ou des comptes consolidés, dans la mesure où ce contrôle est:</w:t>
      </w:r>
    </w:p>
    <w:p>
      <w:pPr>
        <w:pStyle w:val="BodyText"/>
        <w:spacing w:before="71"/>
        <w:ind w:left="283" w:right="0" w:firstLine="0"/>
        <w:jc w:val="left"/>
      </w:pPr>
      <w:r>
        <w:rPr>
          <w:color w:val="231F20"/>
        </w:rPr>
        <w:t>1° requis par le droit de l’Union européenne;</w:t>
      </w:r>
    </w:p>
    <w:p>
      <w:pPr>
        <w:pStyle w:val="BodyText"/>
        <w:spacing w:before="68"/>
        <w:ind w:left="283" w:right="0" w:firstLine="0"/>
        <w:jc w:val="left"/>
      </w:pPr>
      <w:r>
        <w:rPr>
          <w:color w:val="231F20"/>
        </w:rPr>
        <w:t>2° requis par le droit belge en ce qui concerne les petites sociétés;</w:t>
      </w:r>
    </w:p>
    <w:p>
      <w:pPr>
        <w:pStyle w:val="BodyText"/>
        <w:spacing w:before="8"/>
        <w:ind w:left="0" w:right="0" w:firstLine="0"/>
        <w:jc w:val="left"/>
        <w:rPr>
          <w:sz w:val="22"/>
        </w:rPr>
      </w:pPr>
    </w:p>
    <w:p>
      <w:pPr>
        <w:pStyle w:val="BodyText"/>
        <w:spacing w:line="218" w:lineRule="auto"/>
        <w:ind w:right="38"/>
      </w:pPr>
      <w:r>
        <w:rPr>
          <w:color w:val="231F20"/>
        </w:rPr>
        <w:t>3° volontairement effectué à la demande de petites sociétés, lorsque cette mission est assortie de la  publication  du  rapport  visé à  l’arti- cle 3:74 ou 3:80.</w:t>
      </w:r>
    </w:p>
    <w:p>
      <w:pPr>
        <w:pStyle w:val="BodyText"/>
        <w:spacing w:before="72"/>
        <w:ind w:left="283" w:right="0" w:firstLine="0"/>
        <w:jc w:val="left"/>
      </w:pPr>
      <w:r>
        <w:rPr>
          <w:color w:val="231F20"/>
        </w:rPr>
        <w:t>Art. 3:56. Par “réseau”, il faut entendre la structure plus vaste:</w:t>
      </w:r>
    </w:p>
    <w:p>
      <w:pPr>
        <w:pStyle w:val="BodyText"/>
        <w:spacing w:line="218" w:lineRule="auto" w:before="82"/>
        <w:ind w:right="38"/>
      </w:pPr>
      <w:r>
        <w:rPr>
          <w:color w:val="231F20"/>
        </w:rPr>
        <w:t>1° destinée à un but de coopération, à laquelle appartient un réviseur d’entreprises ou un cabinet d’audit enregistré, et</w:t>
      </w:r>
    </w:p>
    <w:p>
      <w:pPr>
        <w:pStyle w:val="BodyText"/>
        <w:spacing w:line="218" w:lineRule="auto" w:before="85"/>
        <w:ind w:right="38"/>
      </w:pPr>
      <w:r>
        <w:rPr>
          <w:color w:val="231F20"/>
        </w:rPr>
        <w:t>2° dont le but manifeste est le partage de résultats ou de coûts ou qui partage un actionnariat, un contrôle ou une direction communs, des politiques et des procédures communes en matière de contrôle de qualité, une stratégie commerciale commune, l’utilisation d’une même marque</w:t>
      </w:r>
      <w:r>
        <w:rPr>
          <w:color w:val="231F20"/>
          <w:spacing w:val="15"/>
        </w:rPr>
        <w:t> </w:t>
      </w:r>
      <w:r>
        <w:rPr>
          <w:color w:val="231F20"/>
        </w:rPr>
        <w:t>ou</w:t>
      </w:r>
      <w:r>
        <w:rPr>
          <w:color w:val="231F20"/>
          <w:spacing w:val="16"/>
        </w:rPr>
        <w:t> </w:t>
      </w:r>
      <w:r>
        <w:rPr>
          <w:color w:val="231F20"/>
        </w:rPr>
        <w:t>d’une</w:t>
      </w:r>
      <w:r>
        <w:rPr>
          <w:color w:val="231F20"/>
          <w:spacing w:val="16"/>
        </w:rPr>
        <w:t> </w:t>
      </w:r>
      <w:r>
        <w:rPr>
          <w:color w:val="231F20"/>
        </w:rPr>
        <w:t>partie</w:t>
      </w:r>
      <w:r>
        <w:rPr>
          <w:color w:val="231F20"/>
          <w:spacing w:val="15"/>
        </w:rPr>
        <w:t> </w:t>
      </w:r>
      <w:r>
        <w:rPr>
          <w:color w:val="231F20"/>
        </w:rPr>
        <w:t>importante</w:t>
      </w:r>
      <w:r>
        <w:rPr>
          <w:color w:val="231F20"/>
          <w:spacing w:val="16"/>
        </w:rPr>
        <w:t> </w:t>
      </w:r>
      <w:r>
        <w:rPr>
          <w:color w:val="231F20"/>
        </w:rPr>
        <w:t>des</w:t>
      </w:r>
      <w:r>
        <w:rPr>
          <w:color w:val="231F20"/>
          <w:spacing w:val="16"/>
        </w:rPr>
        <w:t> </w:t>
      </w:r>
      <w:r>
        <w:rPr>
          <w:color w:val="231F20"/>
        </w:rPr>
        <w:t>ressources</w:t>
      </w:r>
      <w:r>
        <w:rPr>
          <w:color w:val="231F20"/>
          <w:spacing w:val="15"/>
        </w:rPr>
        <w:t> </w:t>
      </w:r>
      <w:r>
        <w:rPr>
          <w:color w:val="231F20"/>
        </w:rPr>
        <w:t>professionnelles.</w:t>
      </w:r>
    </w:p>
    <w:p>
      <w:pPr>
        <w:pStyle w:val="BodyText"/>
        <w:spacing w:line="218" w:lineRule="auto" w:before="86"/>
        <w:ind w:right="38"/>
      </w:pPr>
      <w:r>
        <w:rPr>
          <w:color w:val="231F20"/>
        </w:rPr>
        <w:t>Art. 3:57. Par “cabinet d’audit enregistré”, il faut entendre un cabinet d’audit agréé dans un autre État membre de l’Union européenne ou dans  un  État  qui  est  partie  à   l’Accord   sur   l’Espace   économi-   que européen, répondant aux conditions visées à l’article 10, § 2, de la loi du 7 décembre 2016 portant organisation de la profession et de la supervision publique des réviseurs d’entreprises, et mentionné de manière</w:t>
      </w:r>
      <w:r>
        <w:rPr>
          <w:color w:val="231F20"/>
          <w:spacing w:val="15"/>
        </w:rPr>
        <w:t> </w:t>
      </w:r>
      <w:r>
        <w:rPr>
          <w:color w:val="231F20"/>
        </w:rPr>
        <w:t>distincte</w:t>
      </w:r>
      <w:r>
        <w:rPr>
          <w:color w:val="231F20"/>
          <w:spacing w:val="15"/>
        </w:rPr>
        <w:t> </w:t>
      </w:r>
      <w:r>
        <w:rPr>
          <w:color w:val="231F20"/>
        </w:rPr>
        <w:t>dans</w:t>
      </w:r>
      <w:r>
        <w:rPr>
          <w:color w:val="231F20"/>
          <w:spacing w:val="15"/>
        </w:rPr>
        <w:t> </w:t>
      </w:r>
      <w:r>
        <w:rPr>
          <w:color w:val="231F20"/>
        </w:rPr>
        <w:t>le</w:t>
      </w:r>
      <w:r>
        <w:rPr>
          <w:color w:val="231F20"/>
          <w:spacing w:val="15"/>
        </w:rPr>
        <w:t> </w:t>
      </w:r>
      <w:r>
        <w:rPr>
          <w:color w:val="231F20"/>
        </w:rPr>
        <w:t>registre</w:t>
      </w:r>
      <w:r>
        <w:rPr>
          <w:color w:val="231F20"/>
          <w:spacing w:val="16"/>
        </w:rPr>
        <w:t> </w:t>
      </w:r>
      <w:r>
        <w:rPr>
          <w:color w:val="231F20"/>
        </w:rPr>
        <w:t>public</w:t>
      </w:r>
      <w:r>
        <w:rPr>
          <w:color w:val="231F20"/>
          <w:spacing w:val="15"/>
        </w:rPr>
        <w:t> </w:t>
      </w:r>
      <w:r>
        <w:rPr>
          <w:color w:val="231F20"/>
        </w:rPr>
        <w:t>des</w:t>
      </w:r>
      <w:r>
        <w:rPr>
          <w:color w:val="231F20"/>
          <w:spacing w:val="15"/>
        </w:rPr>
        <w:t> </w:t>
      </w:r>
      <w:r>
        <w:rPr>
          <w:color w:val="231F20"/>
        </w:rPr>
        <w:t>réviseurs</w:t>
      </w:r>
      <w:r>
        <w:rPr>
          <w:color w:val="231F20"/>
          <w:spacing w:val="15"/>
        </w:rPr>
        <w:t> </w:t>
      </w:r>
      <w:r>
        <w:rPr>
          <w:color w:val="231F20"/>
        </w:rPr>
        <w:t>d’entreprises.</w:t>
      </w:r>
    </w:p>
    <w:p>
      <w:pPr>
        <w:pStyle w:val="BodyText"/>
        <w:spacing w:before="9"/>
        <w:ind w:left="0" w:right="0" w:firstLine="0"/>
        <w:jc w:val="left"/>
        <w:rPr>
          <w:sz w:val="21"/>
        </w:rPr>
      </w:pPr>
    </w:p>
    <w:p>
      <w:pPr>
        <w:pStyle w:val="BodyText"/>
        <w:ind w:left="283" w:right="0" w:firstLine="0"/>
        <w:jc w:val="left"/>
      </w:pPr>
      <w:r>
        <w:rPr>
          <w:color w:val="231F20"/>
        </w:rPr>
        <w:t>Section 2. Nomination.</w:t>
      </w:r>
    </w:p>
    <w:p>
      <w:pPr>
        <w:pStyle w:val="BodyText"/>
        <w:spacing w:line="218" w:lineRule="auto" w:before="67"/>
        <w:ind w:right="38"/>
      </w:pPr>
      <w:r>
        <w:rPr>
          <w:color w:val="231F20"/>
        </w:rPr>
        <w:t>Art. 3:58. § 1</w:t>
      </w:r>
      <w:r>
        <w:rPr>
          <w:color w:val="231F20"/>
          <w:position w:val="7"/>
          <w:sz w:val="11"/>
        </w:rPr>
        <w:t>er</w:t>
      </w:r>
      <w:r>
        <w:rPr>
          <w:color w:val="231F20"/>
        </w:rPr>
        <w:t>. Le commissaire est nommé, par l’assemblée générale, parmi les réviseurs d’entreprises, inscrits au registre public des réviseurs d’entreprises ou les cabinets d’audit enregistrés, pour la mission de contrôle légal des comptes annuels et, le cas échéant, des comptes consolidés.</w:t>
      </w:r>
    </w:p>
    <w:p>
      <w:pPr>
        <w:pStyle w:val="BodyText"/>
        <w:spacing w:line="218" w:lineRule="auto" w:before="86"/>
        <w:ind w:right="38"/>
      </w:pPr>
      <w:r>
        <w:rPr>
          <w:color w:val="231F20"/>
        </w:rPr>
        <w:t>§ 2. Sans préjudice du rôle dévolu au conseil d’entreprise tel que défini aux articles 3:88 et 3:89, l’assemblée générale décide sur la base d’une proposition formulée par l’organe d’administration.</w:t>
      </w:r>
    </w:p>
    <w:p>
      <w:pPr>
        <w:pStyle w:val="BodyText"/>
        <w:spacing w:line="218" w:lineRule="auto" w:before="85"/>
        <w:ind w:right="38"/>
      </w:pPr>
      <w:r>
        <w:rPr>
          <w:color w:val="231F20"/>
        </w:rPr>
        <w:t>§ 3. Lorsque la société est tenue de constituer un comité d’audit en vertu de la loi, la proposition de l’organe d’administration relative à la nomination du commissaire destinée à être soumise à l’assemblée générale est émise sur recommandation du comité d’audit.</w:t>
      </w:r>
    </w:p>
    <w:p>
      <w:pPr>
        <w:pStyle w:val="BodyText"/>
        <w:spacing w:before="9"/>
        <w:ind w:left="0" w:right="0" w:firstLine="0"/>
        <w:jc w:val="left"/>
        <w:rPr>
          <w:sz w:val="21"/>
        </w:rPr>
      </w:pPr>
    </w:p>
    <w:p>
      <w:pPr>
        <w:pStyle w:val="BodyText"/>
        <w:ind w:left="283" w:right="0" w:firstLine="0"/>
        <w:jc w:val="left"/>
      </w:pPr>
      <w:r>
        <w:rPr>
          <w:color w:val="231F20"/>
        </w:rPr>
        <w:t>La recommandation du comité d’audit est motivée.</w:t>
      </w:r>
    </w:p>
    <w:p>
      <w:pPr>
        <w:pStyle w:val="BodyText"/>
        <w:spacing w:line="218" w:lineRule="auto" w:before="82"/>
        <w:ind w:right="38"/>
      </w:pPr>
      <w:r>
        <w:rPr>
          <w:color w:val="231F20"/>
        </w:rPr>
        <w:t>Si la proposition de l’organe d’administration </w:t>
      </w:r>
      <w:r>
        <w:rPr>
          <w:color w:val="231F20"/>
          <w:spacing w:val="-3"/>
        </w:rPr>
        <w:t>diffère </w:t>
      </w:r>
      <w:r>
        <w:rPr>
          <w:color w:val="231F20"/>
        </w:rPr>
        <w:t>de la préférence mentionnée dans la recommandation du comité d’audit, l’organe d’administration expose les raisons pour lesquelles il n’y a pas lieu de suivre</w:t>
      </w:r>
      <w:r>
        <w:rPr>
          <w:color w:val="231F20"/>
          <w:spacing w:val="15"/>
        </w:rPr>
        <w:t> </w:t>
      </w:r>
      <w:r>
        <w:rPr>
          <w:color w:val="231F20"/>
        </w:rPr>
        <w:t>la</w:t>
      </w:r>
      <w:r>
        <w:rPr>
          <w:color w:val="231F20"/>
          <w:spacing w:val="16"/>
        </w:rPr>
        <w:t> </w:t>
      </w:r>
      <w:r>
        <w:rPr>
          <w:color w:val="231F20"/>
        </w:rPr>
        <w:t>recommandation</w:t>
      </w:r>
      <w:r>
        <w:rPr>
          <w:color w:val="231F20"/>
          <w:spacing w:val="16"/>
        </w:rPr>
        <w:t> </w:t>
      </w:r>
      <w:r>
        <w:rPr>
          <w:color w:val="231F20"/>
        </w:rPr>
        <w:t>du</w:t>
      </w:r>
      <w:r>
        <w:rPr>
          <w:color w:val="231F20"/>
          <w:spacing w:val="16"/>
        </w:rPr>
        <w:t> </w:t>
      </w:r>
      <w:r>
        <w:rPr>
          <w:color w:val="231F20"/>
        </w:rPr>
        <w:t>comité</w:t>
      </w:r>
      <w:r>
        <w:rPr>
          <w:color w:val="231F20"/>
          <w:spacing w:val="16"/>
        </w:rPr>
        <w:t> </w:t>
      </w:r>
      <w:r>
        <w:rPr>
          <w:color w:val="231F20"/>
        </w:rPr>
        <w:t>d’audit.</w:t>
      </w:r>
    </w:p>
    <w:p>
      <w:pPr>
        <w:pStyle w:val="BodyText"/>
        <w:spacing w:line="218" w:lineRule="auto" w:before="96"/>
        <w:ind w:right="38"/>
      </w:pPr>
      <w:r>
        <w:rPr>
          <w:color w:val="231F20"/>
        </w:rPr>
        <w:t>§ 4. </w:t>
      </w:r>
      <w:r>
        <w:rPr>
          <w:color w:val="231F20"/>
          <w:spacing w:val="-4"/>
        </w:rPr>
        <w:t>Toute </w:t>
      </w:r>
      <w:r>
        <w:rPr>
          <w:color w:val="231F20"/>
        </w:rPr>
        <w:t>décision de nomination ou de renouvellement du mandat d’un commissaire prise sans respecter les paragraphes 1 à 3 est nulle.</w:t>
      </w:r>
      <w:r>
        <w:rPr>
          <w:color w:val="231F20"/>
          <w:spacing w:val="-26"/>
        </w:rPr>
        <w:t> </w:t>
      </w:r>
      <w:r>
        <w:rPr>
          <w:color w:val="231F20"/>
        </w:rPr>
        <w:t>La nullité est prononcée par le président du tribunal de l’entreprise du siège</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siégeant</w:t>
      </w:r>
      <w:r>
        <w:rPr>
          <w:color w:val="231F20"/>
          <w:spacing w:val="15"/>
        </w:rPr>
        <w:t> </w:t>
      </w:r>
      <w:r>
        <w:rPr>
          <w:color w:val="231F20"/>
        </w:rPr>
        <w:t>comme</w:t>
      </w:r>
      <w:r>
        <w:rPr>
          <w:color w:val="231F20"/>
          <w:spacing w:val="15"/>
        </w:rPr>
        <w:t> </w:t>
      </w:r>
      <w:r>
        <w:rPr>
          <w:color w:val="231F20"/>
        </w:rPr>
        <w:t>en</w:t>
      </w:r>
      <w:r>
        <w:rPr>
          <w:color w:val="231F20"/>
          <w:spacing w:val="15"/>
        </w:rPr>
        <w:t> </w:t>
      </w:r>
      <w:r>
        <w:rPr>
          <w:color w:val="231F20"/>
        </w:rPr>
        <w:t>référé.</w:t>
      </w:r>
    </w:p>
    <w:p>
      <w:pPr>
        <w:pStyle w:val="BodyText"/>
        <w:ind w:left="0" w:right="0" w:firstLine="0"/>
        <w:jc w:val="left"/>
        <w:rPr>
          <w:sz w:val="24"/>
        </w:rPr>
      </w:pPr>
    </w:p>
    <w:p>
      <w:pPr>
        <w:pStyle w:val="BodyText"/>
        <w:spacing w:line="218" w:lineRule="auto"/>
        <w:ind w:right="38"/>
      </w:pPr>
      <w:r>
        <w:rPr>
          <w:color w:val="231F20"/>
        </w:rPr>
        <w:t>§ 5. Les dispositions contractuelles qui limitent le choix de l’assem- blée générale à certaines catégories ou listes de réviseurs d’entreprises ou cabinets de révision ou de cabinet d’audit enregistré en ce qui concerne la désignation d’un commissaire en particulier ou d’un réviseur d’entreprises en particulier chargé du contrôle des comptes consolidés</w:t>
      </w:r>
      <w:r>
        <w:rPr>
          <w:color w:val="231F20"/>
          <w:spacing w:val="-6"/>
        </w:rPr>
        <w:t> </w:t>
      </w:r>
      <w:r>
        <w:rPr>
          <w:color w:val="231F20"/>
        </w:rPr>
        <w:t>de</w:t>
      </w:r>
      <w:r>
        <w:rPr>
          <w:color w:val="231F20"/>
          <w:spacing w:val="-5"/>
        </w:rPr>
        <w:t> </w:t>
      </w:r>
      <w:r>
        <w:rPr>
          <w:color w:val="231F20"/>
        </w:rPr>
        <w:t>cette</w:t>
      </w:r>
      <w:r>
        <w:rPr>
          <w:color w:val="231F20"/>
          <w:spacing w:val="-5"/>
        </w:rPr>
        <w:t> </w:t>
      </w:r>
      <w:r>
        <w:rPr>
          <w:color w:val="231F20"/>
        </w:rPr>
        <w:t>société</w:t>
      </w:r>
      <w:r>
        <w:rPr>
          <w:color w:val="231F20"/>
          <w:spacing w:val="-5"/>
        </w:rPr>
        <w:t> </w:t>
      </w:r>
      <w:r>
        <w:rPr>
          <w:color w:val="231F20"/>
        </w:rPr>
        <w:t>sont</w:t>
      </w:r>
      <w:r>
        <w:rPr>
          <w:color w:val="231F20"/>
          <w:spacing w:val="-5"/>
        </w:rPr>
        <w:t> </w:t>
      </w:r>
      <w:r>
        <w:rPr>
          <w:color w:val="231F20"/>
        </w:rPr>
        <w:t>interdites.</w:t>
      </w:r>
      <w:r>
        <w:rPr>
          <w:color w:val="231F20"/>
          <w:spacing w:val="-5"/>
        </w:rPr>
        <w:t> </w:t>
      </w:r>
      <w:r>
        <w:rPr>
          <w:color w:val="231F20"/>
          <w:spacing w:val="-4"/>
        </w:rPr>
        <w:t>Toute</w:t>
      </w:r>
      <w:r>
        <w:rPr>
          <w:color w:val="231F20"/>
          <w:spacing w:val="-5"/>
        </w:rPr>
        <w:t> </w:t>
      </w:r>
      <w:r>
        <w:rPr>
          <w:color w:val="231F20"/>
        </w:rPr>
        <w:t>disposition</w:t>
      </w:r>
      <w:r>
        <w:rPr>
          <w:color w:val="231F20"/>
          <w:spacing w:val="-5"/>
        </w:rPr>
        <w:t> </w:t>
      </w:r>
      <w:r>
        <w:rPr>
          <w:color w:val="231F20"/>
        </w:rPr>
        <w:t>existante</w:t>
      </w:r>
      <w:r>
        <w:rPr>
          <w:color w:val="231F20"/>
          <w:spacing w:val="-5"/>
        </w:rPr>
        <w:t> </w:t>
      </w:r>
      <w:r>
        <w:rPr>
          <w:color w:val="231F20"/>
        </w:rPr>
        <w:t>de ce</w:t>
      </w:r>
      <w:r>
        <w:rPr>
          <w:color w:val="231F20"/>
          <w:spacing w:val="15"/>
        </w:rPr>
        <w:t> </w:t>
      </w:r>
      <w:r>
        <w:rPr>
          <w:color w:val="231F20"/>
        </w:rPr>
        <w:t>type</w:t>
      </w:r>
      <w:r>
        <w:rPr>
          <w:color w:val="231F20"/>
          <w:spacing w:val="15"/>
        </w:rPr>
        <w:t> </w:t>
      </w:r>
      <w:r>
        <w:rPr>
          <w:color w:val="231F20"/>
        </w:rPr>
        <w:t>est</w:t>
      </w:r>
      <w:r>
        <w:rPr>
          <w:color w:val="231F20"/>
          <w:spacing w:val="15"/>
        </w:rPr>
        <w:t> </w:t>
      </w:r>
      <w:r>
        <w:rPr>
          <w:color w:val="231F20"/>
        </w:rPr>
        <w:t>nulle</w:t>
      </w:r>
      <w:r>
        <w:rPr>
          <w:color w:val="231F20"/>
          <w:spacing w:val="16"/>
        </w:rPr>
        <w:t> </w:t>
      </w:r>
      <w:r>
        <w:rPr>
          <w:color w:val="231F20"/>
        </w:rPr>
        <w:t>et</w:t>
      </w:r>
      <w:r>
        <w:rPr>
          <w:color w:val="231F20"/>
          <w:spacing w:val="15"/>
        </w:rPr>
        <w:t> </w:t>
      </w:r>
      <w:r>
        <w:rPr>
          <w:color w:val="231F20"/>
        </w:rPr>
        <w:t>non</w:t>
      </w:r>
      <w:r>
        <w:rPr>
          <w:color w:val="231F20"/>
          <w:spacing w:val="15"/>
        </w:rPr>
        <w:t> </w:t>
      </w:r>
      <w:r>
        <w:rPr>
          <w:color w:val="231F20"/>
        </w:rPr>
        <w:t>avenue.</w:t>
      </w:r>
    </w:p>
    <w:p>
      <w:pPr>
        <w:pStyle w:val="BodyText"/>
        <w:spacing w:line="218" w:lineRule="auto" w:before="96"/>
        <w:ind w:right="38"/>
      </w:pPr>
      <w:r>
        <w:rPr>
          <w:color w:val="231F20"/>
        </w:rPr>
        <w:t>Art. 3:59. Lorsqu’il n’y a pas de commissaires, ou lorsque tous les commissaires se trouvent dans l’impossibilité d’exercer leurs fonctions, il est immédiatement pourvu à leur nomination ou à leur remplace- ment. A défaut, le président du tribunal de l’entreprise, siégeant comme en référé, sur requête de tout intéressé, nomme un réviseur d’entrepri- ses dont il fixe les honoraires et qui est chargé d’exercer les fonctions de</w:t>
      </w:r>
    </w:p>
    <w:p>
      <w:pPr>
        <w:pStyle w:val="BodyText"/>
        <w:spacing w:line="218" w:lineRule="auto" w:before="119"/>
      </w:pPr>
      <w:r>
        <w:rPr/>
        <w:br w:type="column"/>
      </w:r>
      <w:r>
        <w:rPr>
          <w:color w:val="231F20"/>
        </w:rPr>
        <w:t>Art. 3:54. Elke buitenlandse stichting, die een bijkantoor heeft in België, is gehouden haar jaarrekening over het laatst afgesloten boekjaar neer te leggen bij de Nationale Bank van België, in de vorm waarin deze rekeningen werden opgesteld, gecontroleerd en openbaar gemaakt volgens het recht van de Staat waaronder de stichting valt.</w:t>
      </w:r>
    </w:p>
    <w:p>
      <w:pPr>
        <w:pStyle w:val="BodyText"/>
        <w:spacing w:line="218" w:lineRule="auto" w:before="86"/>
      </w:pPr>
      <w:r>
        <w:rPr>
          <w:color w:val="231F20"/>
        </w:rPr>
        <w:t>Deze neerlegging gebeurt jaarlijks, binnen de maand volgend op de goedkeuring ervan, en ten laatste zeven maanden na de datum van afsluiting van het boekjaar.</w:t>
      </w:r>
    </w:p>
    <w:p>
      <w:pPr>
        <w:pStyle w:val="BodyText"/>
        <w:spacing w:line="218" w:lineRule="auto" w:before="86"/>
      </w:pPr>
      <w:r>
        <w:rPr>
          <w:color w:val="231F20"/>
        </w:rPr>
        <w:t>TITEL 4. De wettelijke controle van de jaarrekening en van de geconsolideerde</w:t>
      </w:r>
      <w:r>
        <w:rPr>
          <w:color w:val="231F20"/>
          <w:spacing w:val="-11"/>
        </w:rPr>
        <w:t> </w:t>
      </w:r>
      <w:r>
        <w:rPr>
          <w:color w:val="231F20"/>
        </w:rPr>
        <w:t>jaarrekening</w:t>
      </w:r>
      <w:r>
        <w:rPr>
          <w:color w:val="231F20"/>
          <w:spacing w:val="-11"/>
        </w:rPr>
        <w:t> </w:t>
      </w:r>
      <w:r>
        <w:rPr>
          <w:color w:val="231F20"/>
        </w:rPr>
        <w:t>van</w:t>
      </w:r>
      <w:r>
        <w:rPr>
          <w:color w:val="231F20"/>
          <w:spacing w:val="-11"/>
        </w:rPr>
        <w:t> </w:t>
      </w:r>
      <w:r>
        <w:rPr>
          <w:color w:val="231F20"/>
        </w:rPr>
        <w:t>vennootschappen</w:t>
      </w:r>
      <w:r>
        <w:rPr>
          <w:color w:val="231F20"/>
          <w:spacing w:val="-11"/>
        </w:rPr>
        <w:t> </w:t>
      </w:r>
      <w:r>
        <w:rPr>
          <w:color w:val="231F20"/>
        </w:rPr>
        <w:t>met</w:t>
      </w:r>
      <w:r>
        <w:rPr>
          <w:color w:val="231F20"/>
          <w:spacing w:val="-11"/>
        </w:rPr>
        <w:t> </w:t>
      </w:r>
      <w:r>
        <w:rPr>
          <w:color w:val="231F20"/>
        </w:rPr>
        <w:t>rechtspersoon- lijkheid.</w:t>
      </w:r>
    </w:p>
    <w:p>
      <w:pPr>
        <w:pStyle w:val="BodyText"/>
        <w:spacing w:line="324" w:lineRule="auto" w:before="71"/>
        <w:ind w:left="283" w:right="0" w:firstLine="0"/>
        <w:jc w:val="left"/>
      </w:pPr>
      <w:r>
        <w:rPr>
          <w:color w:val="231F20"/>
        </w:rPr>
        <w:t>HOOFDSTUK 1. Algemene bepalingen inzake wettelijke controle. Afdeling 1. Definities.</w:t>
      </w:r>
    </w:p>
    <w:p>
      <w:pPr>
        <w:pStyle w:val="BodyText"/>
        <w:spacing w:line="218" w:lineRule="auto" w:before="15"/>
      </w:pPr>
      <w:r>
        <w:rPr>
          <w:color w:val="231F20"/>
        </w:rPr>
        <w:t>Art. 3:55. Onder “wettelijke controle van de jaarrekening” wordt verstaan, een controle van de statutaire jaarrekening of van de geconsolideerde jaarrekening, voor zover deze controle:</w:t>
      </w:r>
    </w:p>
    <w:p>
      <w:pPr>
        <w:pStyle w:val="BodyText"/>
        <w:spacing w:before="71"/>
        <w:ind w:left="283" w:right="0" w:firstLine="0"/>
        <w:jc w:val="left"/>
      </w:pPr>
      <w:r>
        <w:rPr>
          <w:color w:val="231F20"/>
        </w:rPr>
        <w:t>1° door het recht van de Europese Unie wordt voorgeschreven;</w:t>
      </w:r>
    </w:p>
    <w:p>
      <w:pPr>
        <w:pStyle w:val="BodyText"/>
        <w:spacing w:line="218" w:lineRule="auto" w:before="82"/>
      </w:pPr>
      <w:r>
        <w:rPr>
          <w:color w:val="231F20"/>
        </w:rPr>
        <w:t>2° door het Belgisch recht wordt voorgeschreven met betrekking tot kleine vennootschappen;</w:t>
      </w:r>
    </w:p>
    <w:p>
      <w:pPr>
        <w:pStyle w:val="BodyText"/>
        <w:spacing w:line="218" w:lineRule="auto" w:before="86"/>
      </w:pPr>
      <w:r>
        <w:rPr>
          <w:color w:val="231F20"/>
        </w:rPr>
        <w:t>3° op vrijwillige basis op verzoek van kleine vennootschappen wordt uitgevoerd, wanneer deze opdracht gepaard gaat met de bekendma- king van het verslag bedoeld in artikel 3:74 of 3:80.</w:t>
      </w:r>
    </w:p>
    <w:p>
      <w:pPr>
        <w:pStyle w:val="BodyText"/>
        <w:spacing w:before="71"/>
        <w:ind w:left="283" w:right="0" w:firstLine="0"/>
        <w:jc w:val="left"/>
      </w:pPr>
      <w:r>
        <w:rPr>
          <w:color w:val="231F20"/>
        </w:rPr>
        <w:t>Art. 3:56. Onder “netwerk” wordt verstaan de grotere structuur:</w:t>
      </w:r>
    </w:p>
    <w:p>
      <w:pPr>
        <w:pStyle w:val="BodyText"/>
        <w:spacing w:line="218" w:lineRule="auto" w:before="82"/>
      </w:pPr>
      <w:r>
        <w:rPr>
          <w:color w:val="231F20"/>
        </w:rPr>
        <w:t>1° die op samenwerking is gericht en waartoe een bedrijfsrevisor of een geregistreerd auditkantoor behoort, en</w:t>
      </w:r>
    </w:p>
    <w:p>
      <w:pPr>
        <w:pStyle w:val="BodyText"/>
        <w:spacing w:line="218" w:lineRule="auto" w:before="86"/>
        <w:ind w:right="121"/>
      </w:pPr>
      <w:r>
        <w:rPr>
          <w:color w:val="231F20"/>
        </w:rPr>
        <w:t>2° die duidelijk is gericht op winst- of kostendeling, of het delen van gemeenschappelijke eigendom, zeggenschap of bestuur, een gemeen- schappelijk beleid en procedures inzake kwaliteitsbeheersing, een gemeenschappelijke</w:t>
      </w:r>
      <w:r>
        <w:rPr>
          <w:color w:val="231F20"/>
          <w:spacing w:val="-16"/>
        </w:rPr>
        <w:t> </w:t>
      </w:r>
      <w:r>
        <w:rPr>
          <w:color w:val="231F20"/>
        </w:rPr>
        <w:t>bedrijfsstrategie,</w:t>
      </w:r>
      <w:r>
        <w:rPr>
          <w:color w:val="231F20"/>
          <w:spacing w:val="-16"/>
        </w:rPr>
        <w:t> </w:t>
      </w:r>
      <w:r>
        <w:rPr>
          <w:color w:val="231F20"/>
        </w:rPr>
        <w:t>het</w:t>
      </w:r>
      <w:r>
        <w:rPr>
          <w:color w:val="231F20"/>
          <w:spacing w:val="-16"/>
        </w:rPr>
        <w:t> </w:t>
      </w:r>
      <w:r>
        <w:rPr>
          <w:color w:val="231F20"/>
        </w:rPr>
        <w:t>gebruik</w:t>
      </w:r>
      <w:r>
        <w:rPr>
          <w:color w:val="231F20"/>
          <w:spacing w:val="-16"/>
        </w:rPr>
        <w:t> </w:t>
      </w:r>
      <w:r>
        <w:rPr>
          <w:color w:val="231F20"/>
        </w:rPr>
        <w:t>van</w:t>
      </w:r>
      <w:r>
        <w:rPr>
          <w:color w:val="231F20"/>
          <w:spacing w:val="-16"/>
        </w:rPr>
        <w:t> </w:t>
      </w:r>
      <w:r>
        <w:rPr>
          <w:color w:val="231F20"/>
        </w:rPr>
        <w:t>een</w:t>
      </w:r>
      <w:r>
        <w:rPr>
          <w:color w:val="231F20"/>
          <w:spacing w:val="-16"/>
        </w:rPr>
        <w:t> </w:t>
      </w:r>
      <w:r>
        <w:rPr>
          <w:color w:val="231F20"/>
          <w:spacing w:val="-2"/>
        </w:rPr>
        <w:t>gemeenschap- </w:t>
      </w:r>
      <w:r>
        <w:rPr>
          <w:color w:val="231F20"/>
        </w:rPr>
        <w:t>pelijke</w:t>
      </w:r>
      <w:r>
        <w:rPr>
          <w:color w:val="231F20"/>
          <w:spacing w:val="17"/>
        </w:rPr>
        <w:t> </w:t>
      </w:r>
      <w:r>
        <w:rPr>
          <w:color w:val="231F20"/>
        </w:rPr>
        <w:t>merknaam</w:t>
      </w:r>
      <w:r>
        <w:rPr>
          <w:color w:val="231F20"/>
          <w:spacing w:val="17"/>
        </w:rPr>
        <w:t> </w:t>
      </w:r>
      <w:r>
        <w:rPr>
          <w:color w:val="231F20"/>
        </w:rPr>
        <w:t>of</w:t>
      </w:r>
      <w:r>
        <w:rPr>
          <w:color w:val="231F20"/>
          <w:spacing w:val="17"/>
        </w:rPr>
        <w:t> </w:t>
      </w:r>
      <w:r>
        <w:rPr>
          <w:color w:val="231F20"/>
        </w:rPr>
        <w:t>een</w:t>
      </w:r>
      <w:r>
        <w:rPr>
          <w:color w:val="231F20"/>
          <w:spacing w:val="17"/>
        </w:rPr>
        <w:t> </w:t>
      </w:r>
      <w:r>
        <w:rPr>
          <w:color w:val="231F20"/>
        </w:rPr>
        <w:t>aanzienlijk</w:t>
      </w:r>
      <w:r>
        <w:rPr>
          <w:color w:val="231F20"/>
          <w:spacing w:val="17"/>
        </w:rPr>
        <w:t> </w:t>
      </w:r>
      <w:r>
        <w:rPr>
          <w:color w:val="231F20"/>
        </w:rPr>
        <w:t>deel</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bedrijfsmiddelen.</w:t>
      </w:r>
    </w:p>
    <w:p>
      <w:pPr>
        <w:pStyle w:val="BodyText"/>
        <w:spacing w:line="218" w:lineRule="auto" w:before="86"/>
      </w:pPr>
      <w:r>
        <w:rPr>
          <w:color w:val="231F20"/>
        </w:rPr>
        <w:t>Art. 3:57. Onder “geregistreerd auditkantoor” wordt verstaan, een auditkantoor dat is erkend in een andere lidstaat van de Europese Unie of in een andere Staat die partij is bij de Overeenkomst betreffende de Europese Economische Ruimte en dat voldoet aan de voorwaarden bedoeld in artikel 10, § 2, van de wet van 7 december 2016 houdende de organisatie van het beroep van en het publiek toezicht op de bedrijfsrevisoren, en dat apart wordt vermeld in het openbaar register van de bedrijfsrevisoren.</w:t>
      </w:r>
    </w:p>
    <w:p>
      <w:pPr>
        <w:pStyle w:val="BodyText"/>
        <w:spacing w:before="71"/>
        <w:ind w:left="283" w:right="0" w:firstLine="0"/>
        <w:jc w:val="left"/>
      </w:pPr>
      <w:r>
        <w:rPr>
          <w:color w:val="231F20"/>
        </w:rPr>
        <w:t>Afdeling 2. Benoeming.</w:t>
      </w:r>
    </w:p>
    <w:p>
      <w:pPr>
        <w:pStyle w:val="BodyText"/>
        <w:spacing w:line="218" w:lineRule="auto" w:before="82"/>
      </w:pPr>
      <w:r>
        <w:rPr>
          <w:color w:val="231F20"/>
        </w:rPr>
        <w:t>Art. 3:58. § 1. De commissaris wordt benoemd, door de algemene vergadering, onder de bedrijfsrevisoren, ingeschreven in het openbaar register van de bedrijfsrevisoren of onder de geregistreerde auditkan- toren, voor de opdracht van de wettelijke controle van de jaarrekening en, in voorkomend geval, van de geconsolideerde jaarrekening.</w:t>
      </w:r>
    </w:p>
    <w:p>
      <w:pPr>
        <w:pStyle w:val="BodyText"/>
        <w:spacing w:line="218" w:lineRule="auto" w:before="86"/>
      </w:pPr>
      <w:r>
        <w:rPr>
          <w:color w:val="231F20"/>
        </w:rPr>
        <w:t>§ 2. Onverminderd de rol toegekend aan de ondernemingsraad zoals omschreven in de artikelen 3:88 en 3:89, beslist de algemene vergade- ring op basis van een voorstel geformuleerd door het bestuursorgaan.</w:t>
      </w:r>
    </w:p>
    <w:p>
      <w:pPr>
        <w:pStyle w:val="BodyText"/>
        <w:spacing w:line="218" w:lineRule="auto" w:before="86"/>
      </w:pPr>
      <w:r>
        <w:rPr>
          <w:color w:val="231F20"/>
        </w:rPr>
        <w:t>§ 3. Indien de vennootschap krachtens de wet verplicht is om een auditcomité op te richten, wordt het voorstel voor benoeming tot commissaris, dat erop gericht is om door het bestuursorgaan aan de algemene vergadering te worden voorgelegd, geformuleerd op aanbe- veling van het auditcomité.</w:t>
      </w:r>
    </w:p>
    <w:p>
      <w:pPr>
        <w:pStyle w:val="BodyText"/>
        <w:spacing w:before="71"/>
        <w:ind w:left="283" w:right="0" w:firstLine="0"/>
        <w:jc w:val="left"/>
      </w:pPr>
      <w:r>
        <w:rPr>
          <w:color w:val="231F20"/>
        </w:rPr>
        <w:t>De aanbeveling van het auditcomité wordt gemotiveerd.</w:t>
      </w:r>
    </w:p>
    <w:p>
      <w:pPr>
        <w:pStyle w:val="BodyText"/>
        <w:spacing w:line="218" w:lineRule="auto" w:before="82"/>
      </w:pPr>
      <w:r>
        <w:rPr>
          <w:color w:val="231F20"/>
        </w:rPr>
        <w:t>Indien het voorstel van het bestuursorgaan verschilt van de voorkeur zoals vermeld in de aanbeveling van het auditcomité, licht het bestuursorgaan de redenen toe waarom de aanbeveling van het auditcomité niet wordt gevolgd.</w:t>
      </w:r>
    </w:p>
    <w:p>
      <w:pPr>
        <w:pStyle w:val="BodyText"/>
        <w:spacing w:line="218" w:lineRule="auto" w:before="97"/>
      </w:pPr>
      <w:r>
        <w:rPr>
          <w:color w:val="231F20"/>
        </w:rPr>
        <w:t>§ 4. Elk besluit inzake benoeming of vernieuwing van het mandaat van een commissaris zonder naleving van de paragrafen 1 tot 3 is  nietig. De nietigheid wordt uitgesproken door de voorzitter van de ondernemingsrechtbank van de zetel van de vennootschap, zitting houdend zoals in kort</w:t>
      </w:r>
      <w:r>
        <w:rPr>
          <w:color w:val="231F20"/>
          <w:spacing w:val="22"/>
        </w:rPr>
        <w:t> </w:t>
      </w:r>
      <w:r>
        <w:rPr>
          <w:color w:val="231F20"/>
        </w:rPr>
        <w:t>geding.</w:t>
      </w:r>
    </w:p>
    <w:p>
      <w:pPr>
        <w:pStyle w:val="BodyText"/>
        <w:spacing w:line="218" w:lineRule="auto" w:before="96"/>
        <w:ind w:right="123"/>
      </w:pPr>
      <w:r>
        <w:rPr>
          <w:color w:val="231F20"/>
        </w:rPr>
        <w:t>§ 5. Contractuele bepalingen die de keuze van de algemene vergadering beperken tot bepaalde categorieën of lijsten van bedrijfs- revisoren, bedrijfsrevisorenkantoren of geregistreerde auditkantoren met betrekking tot de benoeming van een bepaalde commissaris of van een bepaalde bedrijfsrevisor belast met de controle van de geconsoli- deerde jaarrekening van die vennootschap, zijn verboden. Ingeval  zulke</w:t>
      </w:r>
      <w:r>
        <w:rPr>
          <w:color w:val="231F20"/>
          <w:spacing w:val="15"/>
        </w:rPr>
        <w:t> </w:t>
      </w:r>
      <w:r>
        <w:rPr>
          <w:color w:val="231F20"/>
        </w:rPr>
        <w:t>bepalingen</w:t>
      </w:r>
      <w:r>
        <w:rPr>
          <w:color w:val="231F20"/>
          <w:spacing w:val="15"/>
        </w:rPr>
        <w:t> </w:t>
      </w:r>
      <w:r>
        <w:rPr>
          <w:color w:val="231F20"/>
        </w:rPr>
        <w:t>bestaan,</w:t>
      </w:r>
      <w:r>
        <w:rPr>
          <w:color w:val="231F20"/>
          <w:spacing w:val="16"/>
        </w:rPr>
        <w:t> </w:t>
      </w:r>
      <w:r>
        <w:rPr>
          <w:color w:val="231F20"/>
        </w:rPr>
        <w:t>zijn</w:t>
      </w:r>
      <w:r>
        <w:rPr>
          <w:color w:val="231F20"/>
          <w:spacing w:val="15"/>
        </w:rPr>
        <w:t> </w:t>
      </w:r>
      <w:r>
        <w:rPr>
          <w:color w:val="231F20"/>
        </w:rPr>
        <w:t>zij</w:t>
      </w:r>
      <w:r>
        <w:rPr>
          <w:color w:val="231F20"/>
          <w:spacing w:val="15"/>
        </w:rPr>
        <w:t> </w:t>
      </w:r>
      <w:r>
        <w:rPr>
          <w:color w:val="231F20"/>
        </w:rPr>
        <w:t>nietig.</w:t>
      </w:r>
    </w:p>
    <w:p>
      <w:pPr>
        <w:pStyle w:val="BodyText"/>
        <w:spacing w:line="218" w:lineRule="auto" w:before="97"/>
      </w:pPr>
      <w:r>
        <w:rPr>
          <w:color w:val="231F20"/>
        </w:rPr>
        <w:t>Art. 3:59. Als er geen commissarissen zijn of wanneer alle commis- sarissen zich in de onmogelijkheid bevinden om hun taak uit te voeren wordt onmiddellijk in de benoeming of vervanging van de commissa- rissen voorzien. Bij gebreke hiervan, benoemt de voorzitter van de ondernemingsrechtbank, zitting houdend zoals in kort geding, bij verzoekschrift van iedere belanghebbende, een bedrijfsrevisor wiens</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firstLine="0"/>
      </w:pPr>
      <w:r>
        <w:rPr/>
        <w:pict>
          <v:line style="position:absolute;mso-position-horizontal-relative:page;mso-position-vertical-relative:page;z-index:2680" from="298.170502pt,64.473pt" to="298.170502pt,812.819pt" stroked="true" strokeweight=".533pt" strokecolor="#231f20">
            <v:stroke dashstyle="solid"/>
            <w10:wrap type="none"/>
          </v:line>
        </w:pict>
      </w:r>
      <w:bookmarkStart w:name="_bookmark69" w:id="74"/>
      <w:bookmarkEnd w:id="74"/>
      <w:r>
        <w:rPr/>
      </w:r>
      <w:r>
        <w:rPr>
          <w:color w:val="231F20"/>
        </w:rPr>
        <w:t>commissaire jusqu’à ce qu’il ait été pourvu régulièrement à sa nomination ou à son remplacement. Une telle nomination ou un tel remplacement ne produira toutefois ses effets qu’après la première assemblée générale annuelle qui suit la nomination du réviseur d’entreprises par le président.</w:t>
      </w:r>
    </w:p>
    <w:p>
      <w:pPr>
        <w:pStyle w:val="BodyText"/>
        <w:spacing w:line="218" w:lineRule="auto" w:before="96"/>
        <w:ind w:right="38"/>
      </w:pPr>
      <w:r>
        <w:rPr>
          <w:color w:val="231F20"/>
        </w:rPr>
        <w:t>Art. 3:60. Lorsqu’un cabinet de révision visé à l’article 3, 2°, de la loi du 7 décembre 2016 portant organisation de la profession et de la supervision publique des réviseurs d’entreprises, ou un cabinet d’audit enregistré est nommé en tant que commissaire, au moins un réviseur d’entreprises personne physique est désigné en tant que représentant permanent du cabinet de révision ou du cabinet d’audit enregistré disposant d’un pouvoir de signature.</w:t>
      </w:r>
    </w:p>
    <w:p>
      <w:pPr>
        <w:pStyle w:val="BodyText"/>
        <w:spacing w:line="218" w:lineRule="auto" w:before="97"/>
        <w:ind w:right="38"/>
      </w:pPr>
      <w:r>
        <w:rPr>
          <w:color w:val="231F20"/>
        </w:rPr>
        <w:t>La désignation et la cessation des fonctions du représentant perma- nent du cabinet de révision ou du cabinet d’audit enregistré qui a été nommé commissaire sont soumises aux mêmes règles de publicité que si ce représentant permanent exerçait cette mission en son nom et pour compte propre.</w:t>
      </w:r>
    </w:p>
    <w:p>
      <w:pPr>
        <w:pStyle w:val="BodyText"/>
        <w:spacing w:before="82"/>
        <w:ind w:left="283" w:right="0" w:firstLine="0"/>
        <w:jc w:val="left"/>
      </w:pPr>
      <w:r>
        <w:rPr>
          <w:color w:val="231F20"/>
        </w:rPr>
        <w:t>Section 3. Durée du mandat et nombre de mandats successifs.</w:t>
      </w:r>
    </w:p>
    <w:p>
      <w:pPr>
        <w:pStyle w:val="BodyText"/>
        <w:spacing w:before="3"/>
        <w:ind w:left="0" w:right="0" w:firstLine="0"/>
        <w:jc w:val="left"/>
        <w:rPr>
          <w:sz w:val="22"/>
        </w:rPr>
      </w:pPr>
    </w:p>
    <w:p>
      <w:pPr>
        <w:pStyle w:val="BodyText"/>
        <w:spacing w:line="218" w:lineRule="auto" w:before="1"/>
        <w:ind w:right="39"/>
      </w:pPr>
      <w:r>
        <w:rPr>
          <w:color w:val="231F20"/>
        </w:rPr>
        <w:t>Art. 3:61. § 1</w:t>
      </w:r>
      <w:r>
        <w:rPr>
          <w:color w:val="231F20"/>
          <w:position w:val="7"/>
          <w:sz w:val="11"/>
        </w:rPr>
        <w:t>er</w:t>
      </w:r>
      <w:r>
        <w:rPr>
          <w:color w:val="231F20"/>
        </w:rPr>
        <w:t>. Le commissaire est nommé pour un terme de trois ans renouvelable.</w:t>
      </w:r>
    </w:p>
    <w:p>
      <w:pPr>
        <w:pStyle w:val="BodyText"/>
        <w:spacing w:line="218" w:lineRule="auto" w:before="95"/>
        <w:ind w:right="38"/>
      </w:pPr>
      <w:r>
        <w:rPr>
          <w:color w:val="231F20"/>
        </w:rPr>
        <w:t>§ 2. Le commissaire chargé d’une mission de contrôle légal d’une entité d’intérêt public visée à l’article 1:12 ne peut exercer plus de trois mandats consécutifs auprès de cette même entité, soit couvrir une durée maximale de neuf</w:t>
      </w:r>
      <w:r>
        <w:rPr>
          <w:color w:val="231F20"/>
          <w:spacing w:val="20"/>
        </w:rPr>
        <w:t> </w:t>
      </w:r>
      <w:r>
        <w:rPr>
          <w:color w:val="231F20"/>
        </w:rPr>
        <w:t>ans.</w:t>
      </w:r>
    </w:p>
    <w:p>
      <w:pPr>
        <w:pStyle w:val="BodyText"/>
        <w:spacing w:line="218" w:lineRule="auto" w:before="97"/>
        <w:ind w:right="39"/>
      </w:pPr>
      <w:r>
        <w:rPr>
          <w:color w:val="231F20"/>
        </w:rPr>
        <w:t>§ 3. Par dérogation au paragraphe 2, l’entité d’intérêt public visée à l’article 1:12 peut décider de renouveler le mandat du commissaire:</w:t>
      </w:r>
    </w:p>
    <w:p>
      <w:pPr>
        <w:pStyle w:val="BodyText"/>
        <w:spacing w:before="9"/>
        <w:ind w:left="0" w:right="0" w:firstLine="0"/>
        <w:jc w:val="left"/>
        <w:rPr>
          <w:sz w:val="23"/>
        </w:rPr>
      </w:pPr>
    </w:p>
    <w:p>
      <w:pPr>
        <w:pStyle w:val="ListParagraph"/>
        <w:numPr>
          <w:ilvl w:val="0"/>
          <w:numId w:val="73"/>
        </w:numPr>
        <w:tabs>
          <w:tab w:pos="469" w:val="left" w:leader="none"/>
        </w:tabs>
        <w:spacing w:line="216" w:lineRule="auto" w:before="0" w:after="0"/>
        <w:ind w:left="113" w:right="38" w:firstLine="170"/>
        <w:jc w:val="both"/>
        <w:rPr>
          <w:sz w:val="17"/>
        </w:rPr>
      </w:pPr>
      <w:r>
        <w:rPr>
          <w:color w:val="231F20"/>
          <w:sz w:val="17"/>
        </w:rPr>
        <w:t>pour effectuer seul le contrôle légal des comptes, pour autant que l’entité d’intérêt public puisse se baser sur une procédure d’appel d’offres</w:t>
      </w:r>
      <w:r>
        <w:rPr>
          <w:color w:val="231F20"/>
          <w:spacing w:val="13"/>
          <w:sz w:val="17"/>
        </w:rPr>
        <w:t> </w:t>
      </w:r>
      <w:r>
        <w:rPr>
          <w:color w:val="231F20"/>
          <w:sz w:val="17"/>
        </w:rPr>
        <w:t>public</w:t>
      </w:r>
      <w:r>
        <w:rPr>
          <w:color w:val="231F20"/>
          <w:spacing w:val="14"/>
          <w:sz w:val="17"/>
        </w:rPr>
        <w:t> </w:t>
      </w:r>
      <w:r>
        <w:rPr>
          <w:color w:val="231F20"/>
          <w:sz w:val="17"/>
        </w:rPr>
        <w:t>visée</w:t>
      </w:r>
      <w:r>
        <w:rPr>
          <w:color w:val="231F20"/>
          <w:spacing w:val="14"/>
          <w:sz w:val="17"/>
        </w:rPr>
        <w:t> </w:t>
      </w:r>
      <w:r>
        <w:rPr>
          <w:color w:val="231F20"/>
          <w:sz w:val="17"/>
        </w:rPr>
        <w:t>à</w:t>
      </w:r>
      <w:r>
        <w:rPr>
          <w:color w:val="231F20"/>
          <w:spacing w:val="14"/>
          <w:sz w:val="17"/>
        </w:rPr>
        <w:t> </w:t>
      </w:r>
      <w:r>
        <w:rPr>
          <w:color w:val="231F20"/>
          <w:sz w:val="17"/>
        </w:rPr>
        <w:t>l’article</w:t>
      </w:r>
      <w:r>
        <w:rPr>
          <w:color w:val="231F20"/>
          <w:spacing w:val="14"/>
          <w:sz w:val="17"/>
        </w:rPr>
        <w:t> </w:t>
      </w:r>
      <w:r>
        <w:rPr>
          <w:color w:val="231F20"/>
          <w:sz w:val="17"/>
        </w:rPr>
        <w:t>17,</w:t>
      </w:r>
      <w:r>
        <w:rPr>
          <w:color w:val="231F20"/>
          <w:spacing w:val="14"/>
          <w:sz w:val="17"/>
        </w:rPr>
        <w:t> </w:t>
      </w:r>
      <w:r>
        <w:rPr>
          <w:color w:val="231F20"/>
          <w:sz w:val="17"/>
        </w:rPr>
        <w:t>§</w:t>
      </w:r>
      <w:r>
        <w:rPr>
          <w:color w:val="231F20"/>
          <w:spacing w:val="13"/>
          <w:sz w:val="17"/>
        </w:rPr>
        <w:t> </w:t>
      </w:r>
      <w:r>
        <w:rPr>
          <w:color w:val="231F20"/>
          <w:sz w:val="17"/>
        </w:rPr>
        <w:t>4,</w:t>
      </w:r>
      <w:r>
        <w:rPr>
          <w:color w:val="231F20"/>
          <w:spacing w:val="14"/>
          <w:sz w:val="17"/>
        </w:rPr>
        <w:t> </w:t>
      </w:r>
      <w:r>
        <w:rPr>
          <w:rFonts w:ascii="Times New Roman" w:hAnsi="Times New Roman"/>
          <w:i/>
          <w:color w:val="231F20"/>
          <w:sz w:val="17"/>
        </w:rPr>
        <w:t>a)</w:t>
      </w:r>
      <w:r>
        <w:rPr>
          <w:color w:val="231F20"/>
          <w:sz w:val="17"/>
        </w:rPr>
        <w:t>,</w:t>
      </w:r>
      <w:r>
        <w:rPr>
          <w:color w:val="231F20"/>
          <w:spacing w:val="14"/>
          <w:sz w:val="17"/>
        </w:rPr>
        <w:t> </w:t>
      </w:r>
      <w:r>
        <w:rPr>
          <w:color w:val="231F20"/>
          <w:sz w:val="17"/>
        </w:rPr>
        <w:t>du</w:t>
      </w:r>
      <w:r>
        <w:rPr>
          <w:color w:val="231F20"/>
          <w:spacing w:val="14"/>
          <w:sz w:val="17"/>
        </w:rPr>
        <w:t> </w:t>
      </w:r>
      <w:r>
        <w:rPr>
          <w:color w:val="231F20"/>
          <w:sz w:val="17"/>
        </w:rPr>
        <w:t>règlement</w:t>
      </w:r>
      <w:r>
        <w:rPr>
          <w:color w:val="231F20"/>
          <w:spacing w:val="14"/>
          <w:sz w:val="17"/>
        </w:rPr>
        <w:t> </w:t>
      </w:r>
      <w:r>
        <w:rPr>
          <w:color w:val="231F20"/>
          <w:sz w:val="17"/>
        </w:rPr>
        <w:t>n°</w:t>
      </w:r>
      <w:r>
        <w:rPr>
          <w:color w:val="231F20"/>
          <w:spacing w:val="14"/>
          <w:sz w:val="17"/>
        </w:rPr>
        <w:t> </w:t>
      </w:r>
      <w:r>
        <w:rPr>
          <w:color w:val="231F20"/>
          <w:sz w:val="17"/>
        </w:rPr>
        <w:t>537/2014;</w:t>
      </w:r>
    </w:p>
    <w:p>
      <w:pPr>
        <w:pStyle w:val="BodyText"/>
        <w:spacing w:before="10"/>
        <w:ind w:left="0" w:right="0" w:firstLine="0"/>
        <w:jc w:val="left"/>
        <w:rPr>
          <w:sz w:val="23"/>
        </w:rPr>
      </w:pPr>
    </w:p>
    <w:p>
      <w:pPr>
        <w:pStyle w:val="ListParagraph"/>
        <w:numPr>
          <w:ilvl w:val="0"/>
          <w:numId w:val="73"/>
        </w:numPr>
        <w:tabs>
          <w:tab w:pos="464" w:val="left" w:leader="none"/>
        </w:tabs>
        <w:spacing w:line="218" w:lineRule="auto" w:before="0" w:after="0"/>
        <w:ind w:left="113" w:right="38" w:firstLine="170"/>
        <w:jc w:val="both"/>
        <w:rPr>
          <w:sz w:val="17"/>
        </w:rPr>
      </w:pPr>
      <w:r>
        <w:rPr>
          <w:color w:val="231F20"/>
          <w:sz w:val="17"/>
        </w:rPr>
        <w:t>pour effectuer le contrôle légal des comptes conjointement avec un ou plusieurs autres commissaires, qui forment un collège de commis- saires</w:t>
      </w:r>
      <w:r>
        <w:rPr>
          <w:color w:val="231F20"/>
          <w:spacing w:val="13"/>
          <w:sz w:val="17"/>
        </w:rPr>
        <w:t> </w:t>
      </w:r>
      <w:r>
        <w:rPr>
          <w:color w:val="231F20"/>
          <w:sz w:val="17"/>
        </w:rPr>
        <w:t>indépendants</w:t>
      </w:r>
      <w:r>
        <w:rPr>
          <w:color w:val="231F20"/>
          <w:spacing w:val="14"/>
          <w:sz w:val="17"/>
        </w:rPr>
        <w:t> </w:t>
      </w:r>
      <w:r>
        <w:rPr>
          <w:color w:val="231F20"/>
          <w:sz w:val="17"/>
        </w:rPr>
        <w:t>les</w:t>
      </w:r>
      <w:r>
        <w:rPr>
          <w:color w:val="231F20"/>
          <w:spacing w:val="14"/>
          <w:sz w:val="17"/>
        </w:rPr>
        <w:t> </w:t>
      </w:r>
      <w:r>
        <w:rPr>
          <w:color w:val="231F20"/>
          <w:sz w:val="17"/>
        </w:rPr>
        <w:t>uns</w:t>
      </w:r>
      <w:r>
        <w:rPr>
          <w:color w:val="231F20"/>
          <w:spacing w:val="13"/>
          <w:sz w:val="17"/>
        </w:rPr>
        <w:t> </w:t>
      </w:r>
      <w:r>
        <w:rPr>
          <w:color w:val="231F20"/>
          <w:sz w:val="17"/>
        </w:rPr>
        <w:t>des</w:t>
      </w:r>
      <w:r>
        <w:rPr>
          <w:color w:val="231F20"/>
          <w:spacing w:val="14"/>
          <w:sz w:val="17"/>
        </w:rPr>
        <w:t> </w:t>
      </w:r>
      <w:r>
        <w:rPr>
          <w:color w:val="231F20"/>
          <w:sz w:val="17"/>
        </w:rPr>
        <w:t>autres</w:t>
      </w:r>
      <w:r>
        <w:rPr>
          <w:color w:val="231F20"/>
          <w:spacing w:val="14"/>
          <w:sz w:val="17"/>
        </w:rPr>
        <w:t> </w:t>
      </w:r>
      <w:r>
        <w:rPr>
          <w:color w:val="231F20"/>
          <w:sz w:val="17"/>
        </w:rPr>
        <w:t>en</w:t>
      </w:r>
      <w:r>
        <w:rPr>
          <w:color w:val="231F20"/>
          <w:spacing w:val="14"/>
          <w:sz w:val="17"/>
        </w:rPr>
        <w:t> </w:t>
      </w:r>
      <w:r>
        <w:rPr>
          <w:color w:val="231F20"/>
          <w:sz w:val="17"/>
        </w:rPr>
        <w:t>charge</w:t>
      </w:r>
      <w:r>
        <w:rPr>
          <w:color w:val="231F20"/>
          <w:spacing w:val="13"/>
          <w:sz w:val="17"/>
        </w:rPr>
        <w:t> </w:t>
      </w:r>
      <w:r>
        <w:rPr>
          <w:color w:val="231F20"/>
          <w:sz w:val="17"/>
        </w:rPr>
        <w:t>du</w:t>
      </w:r>
      <w:r>
        <w:rPr>
          <w:color w:val="231F20"/>
          <w:spacing w:val="14"/>
          <w:sz w:val="17"/>
        </w:rPr>
        <w:t> </w:t>
      </w:r>
      <w:r>
        <w:rPr>
          <w:color w:val="231F20"/>
          <w:sz w:val="17"/>
        </w:rPr>
        <w:t>contrôle</w:t>
      </w:r>
      <w:r>
        <w:rPr>
          <w:color w:val="231F20"/>
          <w:spacing w:val="14"/>
          <w:sz w:val="17"/>
        </w:rPr>
        <w:t> </w:t>
      </w:r>
      <w:r>
        <w:rPr>
          <w:color w:val="231F20"/>
          <w:sz w:val="17"/>
        </w:rPr>
        <w:t>conjoint.</w:t>
      </w:r>
    </w:p>
    <w:p>
      <w:pPr>
        <w:pStyle w:val="BodyText"/>
        <w:spacing w:line="218" w:lineRule="auto" w:before="81"/>
        <w:ind w:right="38"/>
      </w:pPr>
      <w:r>
        <w:rPr>
          <w:color w:val="231F20"/>
        </w:rPr>
        <w:t>Les renouvellements visés à l’alinéa 1</w:t>
      </w:r>
      <w:r>
        <w:rPr>
          <w:color w:val="231F20"/>
          <w:position w:val="7"/>
          <w:sz w:val="11"/>
        </w:rPr>
        <w:t>er </w:t>
      </w:r>
      <w:r>
        <w:rPr>
          <w:color w:val="231F20"/>
        </w:rPr>
        <w:t>permettent de couvrir une durée maximale totale de:</w:t>
      </w:r>
    </w:p>
    <w:p>
      <w:pPr>
        <w:pStyle w:val="ListParagraph"/>
        <w:numPr>
          <w:ilvl w:val="0"/>
          <w:numId w:val="74"/>
        </w:numPr>
        <w:tabs>
          <w:tab w:pos="497" w:val="left" w:leader="none"/>
        </w:tabs>
        <w:spacing w:line="218" w:lineRule="auto" w:before="94" w:after="0"/>
        <w:ind w:left="113" w:right="38" w:firstLine="170"/>
        <w:jc w:val="both"/>
        <w:rPr>
          <w:sz w:val="17"/>
        </w:rPr>
      </w:pPr>
      <w:r>
        <w:rPr>
          <w:color w:val="231F20"/>
          <w:sz w:val="17"/>
        </w:rPr>
        <w:t>dix-huit ans, soit au maximum trois mandats</w:t>
      </w:r>
      <w:r>
        <w:rPr>
          <w:color w:val="231F20"/>
          <w:spacing w:val="26"/>
          <w:sz w:val="17"/>
        </w:rPr>
        <w:t> </w:t>
      </w:r>
      <w:r>
        <w:rPr>
          <w:color w:val="231F20"/>
          <w:sz w:val="17"/>
        </w:rPr>
        <w:t>supplémentaires, lorsqu’il</w:t>
      </w:r>
      <w:r>
        <w:rPr>
          <w:color w:val="231F20"/>
          <w:spacing w:val="16"/>
          <w:sz w:val="17"/>
        </w:rPr>
        <w:t> </w:t>
      </w:r>
      <w:r>
        <w:rPr>
          <w:color w:val="231F20"/>
          <w:sz w:val="17"/>
        </w:rPr>
        <w:t>est</w:t>
      </w:r>
      <w:r>
        <w:rPr>
          <w:color w:val="231F20"/>
          <w:spacing w:val="17"/>
          <w:sz w:val="17"/>
        </w:rPr>
        <w:t> </w:t>
      </w:r>
      <w:r>
        <w:rPr>
          <w:color w:val="231F20"/>
          <w:sz w:val="17"/>
        </w:rPr>
        <w:t>décidé</w:t>
      </w:r>
      <w:r>
        <w:rPr>
          <w:color w:val="231F20"/>
          <w:spacing w:val="17"/>
          <w:sz w:val="17"/>
        </w:rPr>
        <w:t> </w:t>
      </w:r>
      <w:r>
        <w:rPr>
          <w:color w:val="231F20"/>
          <w:sz w:val="17"/>
        </w:rPr>
        <w:t>de</w:t>
      </w:r>
      <w:r>
        <w:rPr>
          <w:color w:val="231F20"/>
          <w:spacing w:val="17"/>
          <w:sz w:val="17"/>
        </w:rPr>
        <w:t> </w:t>
      </w:r>
      <w:r>
        <w:rPr>
          <w:color w:val="231F20"/>
          <w:sz w:val="17"/>
        </w:rPr>
        <w:t>renouveler</w:t>
      </w:r>
      <w:r>
        <w:rPr>
          <w:color w:val="231F20"/>
          <w:spacing w:val="17"/>
          <w:sz w:val="17"/>
        </w:rPr>
        <w:t> </w:t>
      </w:r>
      <w:r>
        <w:rPr>
          <w:color w:val="231F20"/>
          <w:sz w:val="17"/>
        </w:rPr>
        <w:t>le</w:t>
      </w:r>
      <w:r>
        <w:rPr>
          <w:color w:val="231F20"/>
          <w:spacing w:val="17"/>
          <w:sz w:val="17"/>
        </w:rPr>
        <w:t> </w:t>
      </w:r>
      <w:r>
        <w:rPr>
          <w:color w:val="231F20"/>
          <w:sz w:val="17"/>
        </w:rPr>
        <w:t>mandat</w:t>
      </w:r>
      <w:r>
        <w:rPr>
          <w:color w:val="231F20"/>
          <w:spacing w:val="17"/>
          <w:sz w:val="17"/>
        </w:rPr>
        <w:t> </w:t>
      </w:r>
      <w:r>
        <w:rPr>
          <w:color w:val="231F20"/>
          <w:sz w:val="17"/>
        </w:rPr>
        <w:t>du</w:t>
      </w:r>
      <w:r>
        <w:rPr>
          <w:color w:val="231F20"/>
          <w:spacing w:val="16"/>
          <w:sz w:val="17"/>
        </w:rPr>
        <w:t> </w:t>
      </w:r>
      <w:r>
        <w:rPr>
          <w:color w:val="231F20"/>
          <w:sz w:val="17"/>
        </w:rPr>
        <w:t>commissaire</w:t>
      </w:r>
      <w:r>
        <w:rPr>
          <w:color w:val="231F20"/>
          <w:spacing w:val="17"/>
          <w:sz w:val="17"/>
        </w:rPr>
        <w:t> </w:t>
      </w:r>
      <w:r>
        <w:rPr>
          <w:color w:val="231F20"/>
          <w:sz w:val="17"/>
        </w:rPr>
        <w:t>en</w:t>
      </w:r>
      <w:r>
        <w:rPr>
          <w:color w:val="231F20"/>
          <w:spacing w:val="17"/>
          <w:sz w:val="17"/>
        </w:rPr>
        <w:t> </w:t>
      </w:r>
      <w:r>
        <w:rPr>
          <w:color w:val="231F20"/>
          <w:sz w:val="17"/>
        </w:rPr>
        <w:t>place;</w:t>
      </w:r>
    </w:p>
    <w:p>
      <w:pPr>
        <w:pStyle w:val="BodyText"/>
        <w:spacing w:before="7"/>
        <w:ind w:left="0" w:right="0" w:firstLine="0"/>
        <w:jc w:val="left"/>
        <w:rPr>
          <w:sz w:val="23"/>
        </w:rPr>
      </w:pPr>
    </w:p>
    <w:p>
      <w:pPr>
        <w:pStyle w:val="ListParagraph"/>
        <w:numPr>
          <w:ilvl w:val="0"/>
          <w:numId w:val="74"/>
        </w:numPr>
        <w:tabs>
          <w:tab w:pos="461" w:val="left" w:leader="none"/>
        </w:tabs>
        <w:spacing w:line="218" w:lineRule="auto" w:before="1" w:after="0"/>
        <w:ind w:left="113" w:right="38" w:firstLine="170"/>
        <w:jc w:val="both"/>
        <w:rPr>
          <w:sz w:val="17"/>
        </w:rPr>
      </w:pPr>
      <w:r>
        <w:rPr>
          <w:color w:val="231F20"/>
          <w:sz w:val="17"/>
        </w:rPr>
        <w:t>vingt-quatre ans, soit au maximum cinq mandats supplémentaires, lorsqu’il est décidé de nommer plusieurs commissaires chargés du contrôle</w:t>
      </w:r>
      <w:r>
        <w:rPr>
          <w:color w:val="231F20"/>
          <w:spacing w:val="14"/>
          <w:sz w:val="17"/>
        </w:rPr>
        <w:t> </w:t>
      </w:r>
      <w:r>
        <w:rPr>
          <w:color w:val="231F20"/>
          <w:sz w:val="17"/>
        </w:rPr>
        <w:t>conjoint.</w:t>
      </w:r>
    </w:p>
    <w:p>
      <w:pPr>
        <w:pStyle w:val="BodyText"/>
        <w:spacing w:line="218" w:lineRule="auto" w:before="96"/>
        <w:ind w:right="38"/>
      </w:pPr>
      <w:r>
        <w:rPr>
          <w:color w:val="231F20"/>
        </w:rPr>
        <w:t>§ 4. Après l’expiration des durées maximales visées aux paragra- phes 2 et 3 et sans préjudice du paragraphe 5, ni le commissaire ni, le cas échéant, aucun membre du réseau dans l’Union européenne dont il relève ne peut entreprendre le contrôle légal des comptes de la même entité d’intérêt public visée à l’article 1:12 au cours des quatre années qui</w:t>
      </w:r>
      <w:r>
        <w:rPr>
          <w:color w:val="231F20"/>
          <w:spacing w:val="15"/>
        </w:rPr>
        <w:t> </w:t>
      </w:r>
      <w:r>
        <w:rPr>
          <w:color w:val="231F20"/>
        </w:rPr>
        <w:t>suivent.</w:t>
      </w:r>
    </w:p>
    <w:p>
      <w:pPr>
        <w:pStyle w:val="BodyText"/>
        <w:spacing w:line="218" w:lineRule="auto" w:before="96"/>
        <w:ind w:right="38"/>
      </w:pPr>
      <w:r>
        <w:rPr>
          <w:color w:val="231F20"/>
        </w:rPr>
        <w:t>§ 5. Après l’expiration des durées maximales visées aux paragra- </w:t>
      </w:r>
      <w:r>
        <w:rPr>
          <w:color w:val="231F20"/>
          <w:spacing w:val="7"/>
        </w:rPr>
        <w:t>phes </w:t>
      </w:r>
      <w:r>
        <w:rPr>
          <w:color w:val="231F20"/>
        </w:rPr>
        <w:t>2 et 3, l’entité d’intérêt public visée à l’article 1:12 peut, à titre exceptionnel, demander au Collège de supervision des réviseurs d’entreprises </w:t>
      </w:r>
      <w:r>
        <w:rPr>
          <w:color w:val="231F20"/>
          <w:spacing w:val="6"/>
        </w:rPr>
        <w:t>visé </w:t>
      </w:r>
      <w:r>
        <w:rPr>
          <w:color w:val="231F20"/>
        </w:rPr>
        <w:t>à l’article 32 de la loi du 7 décembre 2016 portant organisation de la profession et de la supervision publique des réviseurs d’entreprises d’autoriser une prolongation au titre de laquelle l’entité d’intérêt public peut à nouveau désigner le même commissaire pour la mission de contrôle légal conformément aux conditions définies au paragraphe 3. La durée de ce nouveau mandat ne dépasse pas deux ans.</w:t>
      </w:r>
    </w:p>
    <w:p>
      <w:pPr>
        <w:pStyle w:val="BodyText"/>
        <w:spacing w:before="83"/>
        <w:ind w:left="283" w:right="0" w:firstLine="0"/>
        <w:jc w:val="left"/>
      </w:pPr>
      <w:r>
        <w:rPr>
          <w:color w:val="231F20"/>
        </w:rPr>
        <w:t>Section 4. Obligations.</w:t>
      </w:r>
    </w:p>
    <w:p>
      <w:pPr>
        <w:pStyle w:val="BodyText"/>
        <w:spacing w:before="64"/>
        <w:ind w:left="283" w:right="0" w:firstLine="0"/>
        <w:jc w:val="left"/>
      </w:pPr>
      <w:r>
        <w:rPr>
          <w:color w:val="231F20"/>
          <w:w w:val="105"/>
        </w:rPr>
        <w:t>Sous-section 1</w:t>
      </w:r>
      <w:r>
        <w:rPr>
          <w:color w:val="231F20"/>
          <w:w w:val="105"/>
          <w:position w:val="7"/>
          <w:sz w:val="11"/>
        </w:rPr>
        <w:t>re</w:t>
      </w:r>
      <w:r>
        <w:rPr>
          <w:color w:val="231F20"/>
          <w:w w:val="105"/>
        </w:rPr>
        <w:t>. Principes d’indépendance.</w:t>
      </w:r>
    </w:p>
    <w:p>
      <w:pPr>
        <w:pStyle w:val="BodyText"/>
        <w:spacing w:line="218" w:lineRule="auto" w:before="77"/>
        <w:ind w:right="38"/>
      </w:pPr>
      <w:r>
        <w:rPr>
          <w:color w:val="231F20"/>
        </w:rPr>
        <w:t>Art. 3:62. § 1</w:t>
      </w:r>
      <w:r>
        <w:rPr>
          <w:color w:val="231F20"/>
          <w:position w:val="7"/>
          <w:sz w:val="11"/>
        </w:rPr>
        <w:t>er</w:t>
      </w:r>
      <w:r>
        <w:rPr>
          <w:color w:val="231F20"/>
        </w:rPr>
        <w:t>. Ne peuvent être désignés comme commissaire ceux qui se trouvent dans des conditions susceptibles de mettre en cause l’indépendance de l’exercice de leur fonction de commissaire, confor- mément aux règles de la profession de réviseur d’entreprises. Les commissaires doivent veiller à ne pas se trouver placés, postérieure- ment à leur désignation, dans de telles conditions. Leur indépendance est exigée, au minimum, à la fois pendant la période couverte par les comptes annuels à contrôler et pendant la période au cours de laquelle le contrôle légal est effectué.</w:t>
      </w:r>
    </w:p>
    <w:p>
      <w:pPr>
        <w:pStyle w:val="BodyText"/>
        <w:spacing w:line="218" w:lineRule="auto" w:before="108"/>
        <w:ind w:right="38"/>
      </w:pPr>
      <w:r>
        <w:rPr>
          <w:color w:val="231F20"/>
        </w:rPr>
        <w:t>§ 2. En particulier, les commissaires ne peuvent accepter, ni dans la société soumise à leur contrôle légal ni dans une société ou personne liée à celle-ci au sens de l’article 1:20, aucune autre fonction, mandat ou mission à exercer au cours de leur mandat ou après celui-ci et qui serait de nature à mettre en cause l’indépendance de l’exercice de leur fonction de commissaire.</w:t>
      </w:r>
    </w:p>
    <w:p>
      <w:pPr>
        <w:pStyle w:val="BodyText"/>
        <w:spacing w:line="218" w:lineRule="auto" w:before="119"/>
        <w:ind w:firstLine="0"/>
      </w:pPr>
      <w:r>
        <w:rPr/>
        <w:br w:type="column"/>
      </w:r>
      <w:r>
        <w:rPr>
          <w:color w:val="231F20"/>
        </w:rPr>
        <w:t>honoraria hij vaststelt en die met de taak van commissaris wordt belast totdat op wettige wijze in zijn benoeming of vervanging is voorzien. Zodanige benoeming of vervanging zal evenwel slechts gevolg hebben na de eerste jaarvergadering die volgt op de benoeming van de bedrijfsrevisor door de voorzitter.</w:t>
      </w:r>
    </w:p>
    <w:p>
      <w:pPr>
        <w:pStyle w:val="BodyText"/>
        <w:spacing w:line="218" w:lineRule="auto" w:before="97"/>
        <w:ind w:right="123"/>
      </w:pPr>
      <w:r>
        <w:rPr>
          <w:color w:val="231F20"/>
        </w:rPr>
        <w:t>Art. 3:60. Ingeval een bedrijfsrevisorenkantoor als bedoeld in arti- kel 3, 2°, van de wet van 7 december 2016 tot organisatie van het</w:t>
      </w:r>
      <w:r>
        <w:rPr>
          <w:color w:val="231F20"/>
          <w:spacing w:val="-28"/>
        </w:rPr>
        <w:t> </w:t>
      </w:r>
      <w:r>
        <w:rPr>
          <w:color w:val="231F20"/>
        </w:rPr>
        <w:t>beroep van en het publiek toezicht op de bedrijfsrevisoren, of een geregistreerd auditkantoor wordt aangesteld als commissaris, wordt ten minste één bedrijfsrevisor-natuurlijk persoon aangesteld als vaste vertegenwoor- diger van het bedrijfsrevisorenkantoor of van het geregistreerd audit- kantoor met</w:t>
      </w:r>
      <w:r>
        <w:rPr>
          <w:color w:val="231F20"/>
          <w:spacing w:val="-10"/>
        </w:rPr>
        <w:t> </w:t>
      </w:r>
      <w:r>
        <w:rPr>
          <w:color w:val="231F20"/>
        </w:rPr>
        <w:t>handtekeningsbevoegdheid.</w:t>
      </w:r>
    </w:p>
    <w:p>
      <w:pPr>
        <w:pStyle w:val="BodyText"/>
        <w:spacing w:line="218" w:lineRule="auto" w:before="96"/>
      </w:pPr>
      <w:r>
        <w:rPr>
          <w:color w:val="231F20"/>
        </w:rPr>
        <w:t>Voor de aanstelling en de opdrachtbeëindiging van de vaste verte- genwoordiger van het bedrijfsrevisorenkantoor of van het geregistreerd auditkantoor die als commissaris wordt benoemd, gelden dezelfde bekendmakingregels als wanneer deze vaste vertegenwoordiger die opdracht in eigen naam en voor eigen rekening zou vervullen.</w:t>
      </w:r>
    </w:p>
    <w:p>
      <w:pPr>
        <w:pStyle w:val="BodyText"/>
        <w:spacing w:line="218" w:lineRule="auto" w:before="97"/>
      </w:pPr>
      <w:r>
        <w:rPr>
          <w:color w:val="231F20"/>
        </w:rPr>
        <w:t>Afdeling 3. Duur van het mandaat en aantal opeenvolgende mandaten.</w:t>
      </w:r>
    </w:p>
    <w:p>
      <w:pPr>
        <w:pStyle w:val="BodyText"/>
        <w:spacing w:line="218" w:lineRule="auto" w:before="96"/>
      </w:pPr>
      <w:r>
        <w:rPr>
          <w:color w:val="231F20"/>
        </w:rPr>
        <w:t>Art. 3:61. § 1. De commissaris wordt benoemd voor een hernieuw- bare termijn van drie jaar.</w:t>
      </w:r>
    </w:p>
    <w:p>
      <w:pPr>
        <w:pStyle w:val="BodyText"/>
        <w:spacing w:line="218" w:lineRule="auto" w:before="96"/>
      </w:pPr>
      <w:r>
        <w:rPr>
          <w:color w:val="231F20"/>
        </w:rPr>
        <w:t>§ 2. De commissaris belast met een opdracht van wettelijke controle van een organisatie van openbaar belang als bedoeld in artikel 1:12, kan niet meer dan drie opeenvolgende mandaten bij dezelfde organisatie uitoefenen, wat aldus een maximale duur van negen jaar omvat.</w:t>
      </w:r>
    </w:p>
    <w:p>
      <w:pPr>
        <w:pStyle w:val="BodyText"/>
        <w:spacing w:line="218" w:lineRule="auto" w:before="96"/>
      </w:pPr>
      <w:r>
        <w:rPr>
          <w:color w:val="231F20"/>
        </w:rPr>
        <w:t>§ 3. In afwijking van paragraaf 2, kan de organisatie van openbaar belang als bedoeld in artikel 1:12 beslissen om het mandaat van de commissaris te hernieuwen:</w:t>
      </w:r>
    </w:p>
    <w:p>
      <w:pPr>
        <w:pStyle w:val="ListParagraph"/>
        <w:numPr>
          <w:ilvl w:val="0"/>
          <w:numId w:val="75"/>
        </w:numPr>
        <w:tabs>
          <w:tab w:pos="510" w:val="left" w:leader="none"/>
        </w:tabs>
        <w:spacing w:line="218" w:lineRule="auto" w:before="94" w:after="0"/>
        <w:ind w:left="113" w:right="124" w:firstLine="170"/>
        <w:jc w:val="both"/>
        <w:rPr>
          <w:sz w:val="17"/>
        </w:rPr>
      </w:pPr>
      <w:r>
        <w:rPr>
          <w:color w:val="231F20"/>
          <w:sz w:val="17"/>
        </w:rPr>
        <w:t>om de wettelijke controle alleen te verrichten, voor zover de organisatie van openbaar belang zich kan baseren op een openbare aanbestedingsprocedure bedoeld in artikel 17, lid 4, </w:t>
      </w:r>
      <w:r>
        <w:rPr>
          <w:rFonts w:ascii="Times New Roman"/>
          <w:i/>
          <w:color w:val="231F20"/>
          <w:sz w:val="17"/>
        </w:rPr>
        <w:t>a)</w:t>
      </w:r>
      <w:r>
        <w:rPr>
          <w:color w:val="231F20"/>
          <w:sz w:val="17"/>
        </w:rPr>
        <w:t>, van de verordening </w:t>
      </w:r>
      <w:r>
        <w:rPr>
          <w:color w:val="231F20"/>
          <w:spacing w:val="-5"/>
          <w:sz w:val="17"/>
        </w:rPr>
        <w:t>nr.</w:t>
      </w:r>
      <w:r>
        <w:rPr>
          <w:color w:val="231F20"/>
          <w:spacing w:val="-12"/>
          <w:sz w:val="17"/>
        </w:rPr>
        <w:t> </w:t>
      </w:r>
      <w:r>
        <w:rPr>
          <w:color w:val="231F20"/>
          <w:sz w:val="17"/>
        </w:rPr>
        <w:t>537/2014;</w:t>
      </w:r>
    </w:p>
    <w:p>
      <w:pPr>
        <w:pStyle w:val="ListParagraph"/>
        <w:numPr>
          <w:ilvl w:val="0"/>
          <w:numId w:val="75"/>
        </w:numPr>
        <w:tabs>
          <w:tab w:pos="508" w:val="left" w:leader="none"/>
        </w:tabs>
        <w:spacing w:line="218" w:lineRule="auto" w:before="91" w:after="0"/>
        <w:ind w:left="113" w:right="124" w:firstLine="170"/>
        <w:jc w:val="both"/>
        <w:rPr>
          <w:sz w:val="17"/>
        </w:rPr>
      </w:pPr>
      <w:r>
        <w:rPr>
          <w:color w:val="231F20"/>
          <w:sz w:val="17"/>
        </w:rPr>
        <w:t>om de wettelijke controle samen met één of meerdere andere commissarissen te verrichten, die een college van elkaar onafhankelijke commissarissen</w:t>
      </w:r>
      <w:r>
        <w:rPr>
          <w:color w:val="231F20"/>
          <w:spacing w:val="14"/>
          <w:sz w:val="17"/>
        </w:rPr>
        <w:t> </w:t>
      </w:r>
      <w:r>
        <w:rPr>
          <w:color w:val="231F20"/>
          <w:sz w:val="17"/>
        </w:rPr>
        <w:t>vormen</w:t>
      </w:r>
      <w:r>
        <w:rPr>
          <w:color w:val="231F20"/>
          <w:spacing w:val="15"/>
          <w:sz w:val="17"/>
        </w:rPr>
        <w:t> </w:t>
      </w:r>
      <w:r>
        <w:rPr>
          <w:color w:val="231F20"/>
          <w:sz w:val="17"/>
        </w:rPr>
        <w:t>belast</w:t>
      </w:r>
      <w:r>
        <w:rPr>
          <w:color w:val="231F20"/>
          <w:spacing w:val="15"/>
          <w:sz w:val="17"/>
        </w:rPr>
        <w:t> </w:t>
      </w:r>
      <w:r>
        <w:rPr>
          <w:color w:val="231F20"/>
          <w:sz w:val="17"/>
        </w:rPr>
        <w:t>met</w:t>
      </w:r>
      <w:r>
        <w:rPr>
          <w:color w:val="231F20"/>
          <w:spacing w:val="15"/>
          <w:sz w:val="17"/>
        </w:rPr>
        <w:t> </w:t>
      </w:r>
      <w:r>
        <w:rPr>
          <w:color w:val="231F20"/>
          <w:sz w:val="17"/>
        </w:rPr>
        <w:t>de</w:t>
      </w:r>
      <w:r>
        <w:rPr>
          <w:color w:val="231F20"/>
          <w:spacing w:val="15"/>
          <w:sz w:val="17"/>
        </w:rPr>
        <w:t> </w:t>
      </w:r>
      <w:r>
        <w:rPr>
          <w:color w:val="231F20"/>
          <w:sz w:val="17"/>
        </w:rPr>
        <w:t>gezamenlijke</w:t>
      </w:r>
      <w:r>
        <w:rPr>
          <w:color w:val="231F20"/>
          <w:spacing w:val="15"/>
          <w:sz w:val="17"/>
        </w:rPr>
        <w:t> </w:t>
      </w:r>
      <w:r>
        <w:rPr>
          <w:color w:val="231F20"/>
          <w:sz w:val="17"/>
        </w:rPr>
        <w:t>controle.</w:t>
      </w:r>
    </w:p>
    <w:p>
      <w:pPr>
        <w:pStyle w:val="BodyText"/>
        <w:spacing w:line="218" w:lineRule="auto" w:before="96"/>
      </w:pPr>
      <w:r>
        <w:rPr>
          <w:color w:val="231F20"/>
        </w:rPr>
        <w:t>De hernieuwingen bedoeld in het eerste lid laten een totale maximale duur toe van:</w:t>
      </w:r>
    </w:p>
    <w:p>
      <w:pPr>
        <w:pStyle w:val="ListParagraph"/>
        <w:numPr>
          <w:ilvl w:val="0"/>
          <w:numId w:val="76"/>
        </w:numPr>
        <w:tabs>
          <w:tab w:pos="502" w:val="left" w:leader="none"/>
        </w:tabs>
        <w:spacing w:line="218" w:lineRule="auto" w:before="94" w:after="0"/>
        <w:ind w:left="113" w:right="124" w:firstLine="170"/>
        <w:jc w:val="both"/>
        <w:rPr>
          <w:sz w:val="17"/>
        </w:rPr>
      </w:pPr>
      <w:r>
        <w:rPr>
          <w:color w:val="231F20"/>
          <w:sz w:val="17"/>
        </w:rPr>
        <w:t>achttien </w:t>
      </w:r>
      <w:r>
        <w:rPr>
          <w:color w:val="231F20"/>
          <w:spacing w:val="-3"/>
          <w:sz w:val="17"/>
        </w:rPr>
        <w:t>jaar, </w:t>
      </w:r>
      <w:r>
        <w:rPr>
          <w:color w:val="231F20"/>
          <w:sz w:val="17"/>
        </w:rPr>
        <w:t>met name maximum drie bijkomende mandaten, wanneer beslist wordt om het mandaat van de commissaris in functie  te</w:t>
      </w:r>
      <w:r>
        <w:rPr>
          <w:color w:val="231F20"/>
          <w:spacing w:val="15"/>
          <w:sz w:val="17"/>
        </w:rPr>
        <w:t> </w:t>
      </w:r>
      <w:r>
        <w:rPr>
          <w:color w:val="231F20"/>
          <w:sz w:val="17"/>
        </w:rPr>
        <w:t>hernieuwen;</w:t>
      </w:r>
    </w:p>
    <w:p>
      <w:pPr>
        <w:pStyle w:val="ListParagraph"/>
        <w:numPr>
          <w:ilvl w:val="0"/>
          <w:numId w:val="76"/>
        </w:numPr>
        <w:tabs>
          <w:tab w:pos="460" w:val="left" w:leader="none"/>
        </w:tabs>
        <w:spacing w:line="218" w:lineRule="auto" w:before="93" w:after="0"/>
        <w:ind w:left="113" w:right="124" w:firstLine="170"/>
        <w:jc w:val="both"/>
        <w:rPr>
          <w:sz w:val="17"/>
        </w:rPr>
      </w:pPr>
      <w:r>
        <w:rPr>
          <w:color w:val="231F20"/>
          <w:sz w:val="17"/>
        </w:rPr>
        <w:t>vierentwintig </w:t>
      </w:r>
      <w:r>
        <w:rPr>
          <w:color w:val="231F20"/>
          <w:spacing w:val="-3"/>
          <w:sz w:val="17"/>
        </w:rPr>
        <w:t>jaar, </w:t>
      </w:r>
      <w:r>
        <w:rPr>
          <w:color w:val="231F20"/>
          <w:sz w:val="17"/>
        </w:rPr>
        <w:t>met name maximum vijf bijkomende mandaten, wanneer beslist wordt om meerdere commissarissen aan te stellen belast met de gezamenlijke</w:t>
      </w:r>
      <w:r>
        <w:rPr>
          <w:color w:val="231F20"/>
          <w:spacing w:val="18"/>
          <w:sz w:val="17"/>
        </w:rPr>
        <w:t> </w:t>
      </w:r>
      <w:r>
        <w:rPr>
          <w:color w:val="231F20"/>
          <w:sz w:val="17"/>
        </w:rPr>
        <w:t>controle.</w:t>
      </w:r>
    </w:p>
    <w:p>
      <w:pPr>
        <w:pStyle w:val="BodyText"/>
        <w:spacing w:line="218" w:lineRule="auto" w:before="96"/>
        <w:ind w:right="123"/>
      </w:pPr>
      <w:r>
        <w:rPr>
          <w:color w:val="231F20"/>
        </w:rPr>
        <w:t>§ 4. Na het verstrijken van de maximale termijnen bedoeld in de paragrafen 2 en 3 en onverminderd paragraaf 5, mogen noch de commissaris, noch, indien van toepassing, een lid van het netwerk in de Europese Unie waartoe hij behoort, de wettelijke controle van dezelfde organisatie van openbaar belang als bedoeld in artikel 1:12 uitvoeren in de daaropvolgende periode van vier jaar.</w:t>
      </w:r>
    </w:p>
    <w:p>
      <w:pPr>
        <w:pStyle w:val="BodyText"/>
        <w:spacing w:line="218" w:lineRule="auto" w:before="97"/>
      </w:pPr>
      <w:r>
        <w:rPr>
          <w:color w:val="231F20"/>
        </w:rPr>
        <w:t>§ 5. Na het verstrijken van de maximale termijnen bedoeld in de paragrafen 2 en 3, kan de organisatie van openbaar belang bedoeld in artikel 1:12, op uitzonderlijke basis, het College van toezicht op de bedrijfsrevisoren bedoeld in  artikel  32  van  de  wet  van  7  decem-  ber 2016 houdende de organisatie van het beroep van en het publiek toezicht op de bedrijfsrevisoren verzoeken een verlenging toe te staan op basis waarvan de organisatie van openbaar belang  opnieuw  dezelfde commissaris kan benoemen voor de wettelijke controleop- dracht overeenkomstig de voorwaarden van paragraaf 3. De duur van dit</w:t>
      </w:r>
      <w:r>
        <w:rPr>
          <w:color w:val="231F20"/>
          <w:spacing w:val="16"/>
        </w:rPr>
        <w:t> </w:t>
      </w:r>
      <w:r>
        <w:rPr>
          <w:color w:val="231F20"/>
        </w:rPr>
        <w:t>nieuw</w:t>
      </w:r>
      <w:r>
        <w:rPr>
          <w:color w:val="231F20"/>
          <w:spacing w:val="16"/>
        </w:rPr>
        <w:t> </w:t>
      </w:r>
      <w:r>
        <w:rPr>
          <w:color w:val="231F20"/>
        </w:rPr>
        <w:t>mandaat</w:t>
      </w:r>
      <w:r>
        <w:rPr>
          <w:color w:val="231F20"/>
          <w:spacing w:val="16"/>
        </w:rPr>
        <w:t> </w:t>
      </w:r>
      <w:r>
        <w:rPr>
          <w:color w:val="231F20"/>
        </w:rPr>
        <w:t>bedraagt</w:t>
      </w:r>
      <w:r>
        <w:rPr>
          <w:color w:val="231F20"/>
          <w:spacing w:val="16"/>
        </w:rPr>
        <w:t> </w:t>
      </w:r>
      <w:r>
        <w:rPr>
          <w:color w:val="231F20"/>
        </w:rPr>
        <w:t>ten</w:t>
      </w:r>
      <w:r>
        <w:rPr>
          <w:color w:val="231F20"/>
          <w:spacing w:val="16"/>
        </w:rPr>
        <w:t> </w:t>
      </w:r>
      <w:r>
        <w:rPr>
          <w:color w:val="231F20"/>
        </w:rPr>
        <w:t>hoogste</w:t>
      </w:r>
      <w:r>
        <w:rPr>
          <w:color w:val="231F20"/>
          <w:spacing w:val="16"/>
        </w:rPr>
        <w:t> </w:t>
      </w:r>
      <w:r>
        <w:rPr>
          <w:color w:val="231F20"/>
        </w:rPr>
        <w:t>twee</w:t>
      </w:r>
      <w:r>
        <w:rPr>
          <w:color w:val="231F20"/>
          <w:spacing w:val="16"/>
        </w:rPr>
        <w:t> </w:t>
      </w:r>
      <w:r>
        <w:rPr>
          <w:color w:val="231F20"/>
          <w:spacing w:val="-3"/>
        </w:rPr>
        <w:t>jaar.</w:t>
      </w:r>
    </w:p>
    <w:p>
      <w:pPr>
        <w:pStyle w:val="BodyText"/>
        <w:spacing w:before="82"/>
        <w:ind w:left="283" w:right="0" w:firstLine="0"/>
        <w:jc w:val="left"/>
      </w:pPr>
      <w:r>
        <w:rPr>
          <w:color w:val="231F20"/>
        </w:rPr>
        <w:t>Afdeling 4. Verplichtingen.</w:t>
      </w:r>
    </w:p>
    <w:p>
      <w:pPr>
        <w:pStyle w:val="BodyText"/>
        <w:spacing w:before="79"/>
        <w:ind w:left="283" w:right="0" w:firstLine="0"/>
        <w:jc w:val="left"/>
      </w:pPr>
      <w:r>
        <w:rPr>
          <w:color w:val="231F20"/>
        </w:rPr>
        <w:t>Onderafdeling 1. Principes van onafhankelijkheid.</w:t>
      </w:r>
    </w:p>
    <w:p>
      <w:pPr>
        <w:pStyle w:val="BodyText"/>
        <w:spacing w:line="218" w:lineRule="auto" w:before="93"/>
        <w:ind w:right="123"/>
      </w:pPr>
      <w:r>
        <w:rPr>
          <w:color w:val="231F20"/>
        </w:rPr>
        <w:t>Art. 3:62. § 1. Diegenen die zich in een positie bevinden die</w:t>
      </w:r>
      <w:r>
        <w:rPr>
          <w:color w:val="231F20"/>
          <w:spacing w:val="32"/>
        </w:rPr>
        <w:t> </w:t>
      </w:r>
      <w:r>
        <w:rPr>
          <w:color w:val="231F20"/>
        </w:rPr>
        <w:t>een onafhankelijke taakuitoefening, overeenkomstig de regels geldend voor het beroep van bedrijfsrevisoren, in het gedrang kan brengen, kunnen niet tot commissaris benoemd worden. De commissarissen moeten er op toezien dat zij na hun benoeming niet in een dergelijke positie worden geplaatst. Hun onafhankelijkheid is in elk geval vereist zowel gedurende de periode waarop de te controleren jaarrekening betrek- king heeft, als gedurende de periode waarin de wettelijke controle wordt</w:t>
      </w:r>
      <w:r>
        <w:rPr>
          <w:color w:val="231F20"/>
          <w:spacing w:val="15"/>
        </w:rPr>
        <w:t> </w:t>
      </w:r>
      <w:r>
        <w:rPr>
          <w:color w:val="231F20"/>
        </w:rPr>
        <w:t>uitgevoerd.</w:t>
      </w:r>
    </w:p>
    <w:p>
      <w:pPr>
        <w:pStyle w:val="BodyText"/>
        <w:spacing w:line="218" w:lineRule="auto" w:before="107"/>
      </w:pPr>
      <w:r>
        <w:rPr>
          <w:color w:val="231F20"/>
        </w:rPr>
        <w:t>§ 2. Aldus mogen de commissarissen in de vennootschap die aan hun wettelijke controle is onderworpen, noch in een daarmee verbonden vennootschap of persoon zoals bedoeld in artikel 1:20, een andere taak, mandaat of opdracht aanvaarden, die zal worden vervuld tijdens de duur van hun mandaat of erna, en die de onafhankelijke uitoefening van</w:t>
      </w:r>
      <w:r>
        <w:rPr>
          <w:color w:val="231F20"/>
          <w:spacing w:val="17"/>
        </w:rPr>
        <w:t> </w:t>
      </w:r>
      <w:r>
        <w:rPr>
          <w:color w:val="231F20"/>
        </w:rPr>
        <w:t>hun</w:t>
      </w:r>
      <w:r>
        <w:rPr>
          <w:color w:val="231F20"/>
          <w:spacing w:val="18"/>
        </w:rPr>
        <w:t> </w:t>
      </w:r>
      <w:r>
        <w:rPr>
          <w:color w:val="231F20"/>
        </w:rPr>
        <w:t>taak</w:t>
      </w:r>
      <w:r>
        <w:rPr>
          <w:color w:val="231F20"/>
          <w:spacing w:val="18"/>
        </w:rPr>
        <w:t> </w:t>
      </w:r>
      <w:r>
        <w:rPr>
          <w:color w:val="231F20"/>
        </w:rPr>
        <w:t>als</w:t>
      </w:r>
      <w:r>
        <w:rPr>
          <w:color w:val="231F20"/>
          <w:spacing w:val="17"/>
        </w:rPr>
        <w:t> </w:t>
      </w:r>
      <w:r>
        <w:rPr>
          <w:color w:val="231F20"/>
        </w:rPr>
        <w:t>commissaris</w:t>
      </w:r>
      <w:r>
        <w:rPr>
          <w:color w:val="231F20"/>
          <w:spacing w:val="18"/>
        </w:rPr>
        <w:t> </w:t>
      </w:r>
      <w:r>
        <w:rPr>
          <w:color w:val="231F20"/>
        </w:rPr>
        <w:t>in</w:t>
      </w:r>
      <w:r>
        <w:rPr>
          <w:color w:val="231F20"/>
          <w:spacing w:val="18"/>
        </w:rPr>
        <w:t> </w:t>
      </w:r>
      <w:r>
        <w:rPr>
          <w:color w:val="231F20"/>
        </w:rPr>
        <w:t>het</w:t>
      </w:r>
      <w:r>
        <w:rPr>
          <w:color w:val="231F20"/>
          <w:spacing w:val="17"/>
        </w:rPr>
        <w:t> </w:t>
      </w:r>
      <w:r>
        <w:rPr>
          <w:color w:val="231F20"/>
        </w:rPr>
        <w:t>gedrang</w:t>
      </w:r>
      <w:r>
        <w:rPr>
          <w:color w:val="231F20"/>
          <w:spacing w:val="18"/>
        </w:rPr>
        <w:t> </w:t>
      </w:r>
      <w:r>
        <w:rPr>
          <w:color w:val="231F20"/>
        </w:rPr>
        <w:t>zou</w:t>
      </w:r>
      <w:r>
        <w:rPr>
          <w:color w:val="231F20"/>
          <w:spacing w:val="18"/>
        </w:rPr>
        <w:t> </w:t>
      </w:r>
      <w:r>
        <w:rPr>
          <w:color w:val="231F20"/>
        </w:rPr>
        <w:t>kunnen</w:t>
      </w:r>
      <w:r>
        <w:rPr>
          <w:color w:val="231F20"/>
          <w:spacing w:val="18"/>
        </w:rPr>
        <w:t> </w:t>
      </w:r>
      <w:r>
        <w:rPr>
          <w:color w:val="231F20"/>
        </w:rPr>
        <w:t>brengen.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2704" from="298.170502pt,64.473pt" to="298.170502pt,812.819pt" stroked="true" strokeweight=".533pt" strokecolor="#231f20">
            <v:stroke dashstyle="solid"/>
            <w10:wrap type="none"/>
          </v:line>
        </w:pict>
      </w:r>
      <w:bookmarkStart w:name="_bookmark70" w:id="75"/>
      <w:bookmarkEnd w:id="75"/>
      <w:r>
        <w:rPr/>
      </w:r>
      <w:r>
        <w:rPr>
          <w:color w:val="231F20"/>
        </w:rPr>
        <w:t>§ 3. Jusqu’au terme d’une période de deux années prenant cours à la date de cessation de leur fonction de commissaire, ils ne peuvent accepter un mandat de membre de l’organe d’administration ou toute autre fonction auprès de la société qui est soumise à leur contrôle légal, ni auprès d’une société ou personne liée au sens de l’article 1:20.</w:t>
      </w:r>
    </w:p>
    <w:p>
      <w:pPr>
        <w:pStyle w:val="BodyText"/>
        <w:spacing w:line="213" w:lineRule="auto" w:before="131"/>
        <w:ind w:right="38"/>
      </w:pPr>
      <w:r>
        <w:rPr>
          <w:color w:val="231F20"/>
        </w:rPr>
        <w:t>Le réviseur d’entreprises qui a directement participé à la mission de contrôle légal, en tant qu’associé, collaborateur ou employé du commissaire, ne peut accepter les mandats ou fonctions visées à  l’alinéa 1</w:t>
      </w:r>
      <w:r>
        <w:rPr>
          <w:color w:val="231F20"/>
          <w:position w:val="7"/>
          <w:sz w:val="11"/>
        </w:rPr>
        <w:t>er </w:t>
      </w:r>
      <w:r>
        <w:rPr>
          <w:color w:val="231F20"/>
        </w:rPr>
        <w:t>qu’après qu’une période d’un an au moins ne se soit écoulée depuis</w:t>
      </w:r>
      <w:r>
        <w:rPr>
          <w:color w:val="231F20"/>
          <w:spacing w:val="17"/>
        </w:rPr>
        <w:t> </w:t>
      </w:r>
      <w:r>
        <w:rPr>
          <w:color w:val="231F20"/>
        </w:rPr>
        <w:t>qu’il</w:t>
      </w:r>
      <w:r>
        <w:rPr>
          <w:color w:val="231F20"/>
          <w:spacing w:val="18"/>
        </w:rPr>
        <w:t> </w:t>
      </w:r>
      <w:r>
        <w:rPr>
          <w:color w:val="231F20"/>
        </w:rPr>
        <w:t>a</w:t>
      </w:r>
      <w:r>
        <w:rPr>
          <w:color w:val="231F20"/>
          <w:spacing w:val="18"/>
        </w:rPr>
        <w:t> </w:t>
      </w:r>
      <w:r>
        <w:rPr>
          <w:color w:val="231F20"/>
        </w:rPr>
        <w:t>directement</w:t>
      </w:r>
      <w:r>
        <w:rPr>
          <w:color w:val="231F20"/>
          <w:spacing w:val="17"/>
        </w:rPr>
        <w:t> </w:t>
      </w:r>
      <w:r>
        <w:rPr>
          <w:color w:val="231F20"/>
        </w:rPr>
        <w:t>participé</w:t>
      </w:r>
      <w:r>
        <w:rPr>
          <w:color w:val="231F20"/>
          <w:spacing w:val="2"/>
        </w:rPr>
        <w:t> </w:t>
      </w:r>
      <w:r>
        <w:rPr>
          <w:color w:val="231F20"/>
        </w:rPr>
        <w:t>à</w:t>
      </w:r>
      <w:r>
        <w:rPr>
          <w:color w:val="231F20"/>
          <w:spacing w:val="18"/>
        </w:rPr>
        <w:t> </w:t>
      </w:r>
      <w:r>
        <w:rPr>
          <w:color w:val="231F20"/>
        </w:rPr>
        <w:t>la</w:t>
      </w:r>
      <w:r>
        <w:rPr>
          <w:color w:val="231F20"/>
          <w:spacing w:val="18"/>
        </w:rPr>
        <w:t> </w:t>
      </w:r>
      <w:r>
        <w:rPr>
          <w:color w:val="231F20"/>
        </w:rPr>
        <w:t>mission</w:t>
      </w:r>
      <w:r>
        <w:rPr>
          <w:color w:val="231F20"/>
          <w:spacing w:val="17"/>
        </w:rPr>
        <w:t> </w:t>
      </w:r>
      <w:r>
        <w:rPr>
          <w:color w:val="231F20"/>
        </w:rPr>
        <w:t>de</w:t>
      </w:r>
      <w:r>
        <w:rPr>
          <w:color w:val="231F20"/>
          <w:spacing w:val="18"/>
        </w:rPr>
        <w:t> </w:t>
      </w:r>
      <w:r>
        <w:rPr>
          <w:color w:val="231F20"/>
        </w:rPr>
        <w:t>contrôle</w:t>
      </w:r>
      <w:r>
        <w:rPr>
          <w:color w:val="231F20"/>
          <w:spacing w:val="18"/>
        </w:rPr>
        <w:t> </w:t>
      </w:r>
      <w:r>
        <w:rPr>
          <w:color w:val="231F20"/>
        </w:rPr>
        <w:t>légal.</w:t>
      </w:r>
    </w:p>
    <w:p>
      <w:pPr>
        <w:pStyle w:val="BodyText"/>
        <w:spacing w:line="218" w:lineRule="auto" w:before="129"/>
        <w:ind w:right="38"/>
      </w:pPr>
      <w:r>
        <w:rPr>
          <w:color w:val="231F20"/>
        </w:rPr>
        <w:t>§ 4. Le paragraphe 2 est également applicable aux personnes avec lesquelles le commissaire a conclu un contrat de travail ou avec lesquelles il se trouve, sous l’angle professionnel, dans des liens de collaboration ainsi qu’aux membres du réseau visé à l’article 3:56 dont relève le commissaire et aux sociétés ou personnes liées au commissaire visées à l’article 1:20.</w:t>
      </w:r>
    </w:p>
    <w:p>
      <w:pPr>
        <w:pStyle w:val="BodyText"/>
        <w:spacing w:line="218" w:lineRule="auto" w:before="129"/>
        <w:ind w:right="38"/>
      </w:pPr>
      <w:r>
        <w:rPr>
          <w:color w:val="231F20"/>
        </w:rPr>
        <w:t>§ 5. Durant les deux ans précédant la nomination de commissaire, ni le  réviseur  d’entreprises,  ni  les  membres  du  réseau  visé  à  l’arti-  cle 3:56 dont relève le réviseur d’entreprises ne peuvent effectuer de prestations susceptibles de mettre en cause son indépendance en tant que</w:t>
      </w:r>
      <w:r>
        <w:rPr>
          <w:color w:val="231F20"/>
          <w:spacing w:val="14"/>
        </w:rPr>
        <w:t> </w:t>
      </w:r>
      <w:r>
        <w:rPr>
          <w:color w:val="231F20"/>
        </w:rPr>
        <w:t>commissaire.</w:t>
      </w:r>
    </w:p>
    <w:p>
      <w:pPr>
        <w:pStyle w:val="BodyText"/>
        <w:spacing w:line="218" w:lineRule="auto" w:before="128"/>
        <w:ind w:right="38"/>
      </w:pPr>
      <w:r>
        <w:rPr>
          <w:color w:val="231F20"/>
        </w:rPr>
        <w:t>Sauf cas exceptionnels dûment motivés, le réviseur d’entreprises ne pourra être nommé commissaire lorsque lui-même ou un membre du réseau visé à l’article 3:56 dont il relève, dans les deux ans précédant la nomination du commissaire:</w:t>
      </w:r>
    </w:p>
    <w:p>
      <w:pPr>
        <w:pStyle w:val="BodyText"/>
        <w:spacing w:before="9"/>
        <w:ind w:left="0" w:right="0" w:firstLine="0"/>
        <w:jc w:val="left"/>
        <w:rPr>
          <w:sz w:val="26"/>
        </w:rPr>
      </w:pPr>
    </w:p>
    <w:p>
      <w:pPr>
        <w:pStyle w:val="BodyText"/>
        <w:spacing w:line="218" w:lineRule="auto"/>
        <w:ind w:right="38"/>
      </w:pPr>
      <w:r>
        <w:rPr>
          <w:color w:val="231F20"/>
        </w:rPr>
        <w:t>1° a assisté ou participé de manière régulière à la tenue de la comptabilité ou à l’établissement des comptes annuels ou des comptes consolidés de la société visée, d’une société belge qui la contrôle ou de l’une de ses filiales belges ou étrangères significatives;</w:t>
      </w:r>
    </w:p>
    <w:p>
      <w:pPr>
        <w:pStyle w:val="BodyText"/>
        <w:spacing w:before="8"/>
        <w:ind w:left="0" w:right="0" w:firstLine="0"/>
        <w:jc w:val="left"/>
        <w:rPr>
          <w:sz w:val="26"/>
        </w:rPr>
      </w:pPr>
    </w:p>
    <w:p>
      <w:pPr>
        <w:pStyle w:val="BodyText"/>
        <w:spacing w:line="218" w:lineRule="auto" w:before="1"/>
        <w:ind w:right="38"/>
      </w:pPr>
      <w:r>
        <w:rPr>
          <w:color w:val="231F20"/>
        </w:rPr>
        <w:t>2° est intervenu dans le recrutement de personnes appartenant à un organe ou faisant partie du personnel dirigeant de la société visée, d’une société belge qui la contrôle ou de l’une de ses filiales belges ou étrangères</w:t>
      </w:r>
      <w:r>
        <w:rPr>
          <w:color w:val="231F20"/>
          <w:spacing w:val="14"/>
        </w:rPr>
        <w:t> </w:t>
      </w:r>
      <w:r>
        <w:rPr>
          <w:color w:val="231F20"/>
        </w:rPr>
        <w:t>significatives.</w:t>
      </w:r>
    </w:p>
    <w:p>
      <w:pPr>
        <w:pStyle w:val="BodyText"/>
        <w:spacing w:before="5"/>
        <w:ind w:left="0" w:right="0" w:firstLine="0"/>
        <w:jc w:val="left"/>
        <w:rPr>
          <w:sz w:val="25"/>
        </w:rPr>
      </w:pPr>
    </w:p>
    <w:p>
      <w:pPr>
        <w:pStyle w:val="BodyText"/>
        <w:spacing w:before="1"/>
        <w:ind w:left="283" w:right="0" w:firstLine="0"/>
        <w:jc w:val="left"/>
      </w:pPr>
      <w:r>
        <w:rPr>
          <w:color w:val="231F20"/>
        </w:rPr>
        <w:t>Sous-section 2. Services non-audit.</w:t>
      </w:r>
    </w:p>
    <w:p>
      <w:pPr>
        <w:pStyle w:val="BodyText"/>
        <w:spacing w:line="218" w:lineRule="auto" w:before="120"/>
        <w:ind w:right="38"/>
      </w:pPr>
      <w:r>
        <w:rPr>
          <w:color w:val="231F20"/>
        </w:rPr>
        <w:t>Art. 3:63. § 1</w:t>
      </w:r>
      <w:r>
        <w:rPr>
          <w:color w:val="231F20"/>
          <w:position w:val="7"/>
          <w:sz w:val="11"/>
        </w:rPr>
        <w:t>er</w:t>
      </w:r>
      <w:r>
        <w:rPr>
          <w:color w:val="231F20"/>
        </w:rPr>
        <w:t>. Un commissaire ainsi que tout membre du réseau visé à l’article 3:56 dont relève un commissaire ne peuvent fournir, que ce soit directement ou indirectement, à la société soumise au contrôle légal, à sa société mère ou aux entreprises qu’elle contrôle au sein de l’Union européenne des services non-audit interdits:</w:t>
      </w:r>
    </w:p>
    <w:p>
      <w:pPr>
        <w:pStyle w:val="BodyText"/>
        <w:spacing w:before="8"/>
        <w:ind w:left="0" w:right="0" w:firstLine="0"/>
        <w:jc w:val="left"/>
        <w:rPr>
          <w:sz w:val="27"/>
        </w:rPr>
      </w:pPr>
    </w:p>
    <w:p>
      <w:pPr>
        <w:pStyle w:val="BodyText"/>
        <w:spacing w:line="218" w:lineRule="auto"/>
        <w:ind w:right="38"/>
      </w:pPr>
      <w:r>
        <w:rPr>
          <w:color w:val="231F20"/>
        </w:rPr>
        <w:t>1° au cours de la période s’écoulant entre le commencement de la période contrôlée et la publication du rapport de contrôle; et</w:t>
      </w:r>
    </w:p>
    <w:p>
      <w:pPr>
        <w:pStyle w:val="BodyText"/>
        <w:spacing w:line="218" w:lineRule="auto" w:before="139"/>
        <w:ind w:right="38"/>
      </w:pPr>
      <w:r>
        <w:rPr>
          <w:color w:val="231F20"/>
        </w:rPr>
        <w:t>2° au cours de l’exercice précédant immédiatement la période visée au 1° en ce qui concerne les services énumérés au paragraphe 2, 3°.</w:t>
      </w:r>
    </w:p>
    <w:p>
      <w:pPr>
        <w:pStyle w:val="BodyText"/>
        <w:spacing w:line="218" w:lineRule="auto" w:before="123"/>
        <w:ind w:right="38"/>
      </w:pPr>
      <w:r>
        <w:rPr>
          <w:color w:val="231F20"/>
        </w:rPr>
        <w:t>§ 2. Pour l’application du paragraphe 1</w:t>
      </w:r>
      <w:r>
        <w:rPr>
          <w:color w:val="231F20"/>
          <w:position w:val="7"/>
          <w:sz w:val="11"/>
        </w:rPr>
        <w:t>er</w:t>
      </w:r>
      <w:r>
        <w:rPr>
          <w:color w:val="231F20"/>
        </w:rPr>
        <w:t>, il convient d’entendre par “services non-audit interdits”:</w:t>
      </w:r>
    </w:p>
    <w:p>
      <w:pPr>
        <w:pStyle w:val="BodyText"/>
        <w:spacing w:line="218" w:lineRule="auto" w:before="139"/>
        <w:ind w:right="38"/>
      </w:pPr>
      <w:r>
        <w:rPr>
          <w:color w:val="231F20"/>
        </w:rPr>
        <w:t>1° des services qui supposent d’être associé à l’administration ou à la prise de décision de la société soumise au contrôle légal;</w:t>
      </w:r>
    </w:p>
    <w:p>
      <w:pPr>
        <w:pStyle w:val="BodyText"/>
        <w:spacing w:before="8"/>
        <w:ind w:left="0" w:right="0" w:firstLine="0"/>
        <w:jc w:val="left"/>
        <w:rPr>
          <w:sz w:val="27"/>
        </w:rPr>
      </w:pPr>
    </w:p>
    <w:p>
      <w:pPr>
        <w:pStyle w:val="BodyText"/>
        <w:spacing w:line="218" w:lineRule="auto"/>
        <w:ind w:right="38"/>
      </w:pPr>
      <w:r>
        <w:rPr>
          <w:color w:val="231F20"/>
        </w:rPr>
        <w:t>2° la comptabilité et la préparation de registres comptables et d’états financiers;</w:t>
      </w:r>
    </w:p>
    <w:p>
      <w:pPr>
        <w:pStyle w:val="BodyText"/>
        <w:spacing w:line="218" w:lineRule="auto" w:before="139"/>
        <w:ind w:right="38"/>
      </w:pPr>
      <w:r>
        <w:rPr>
          <w:color w:val="231F20"/>
        </w:rPr>
        <w:t>3° la conception et la mise en œuvre de procédures de contrôle interne ou de gestion des risques en rapport avec la préparation et/ou le contrôle de l’information financière ou la conception et la mise en œuvre</w:t>
      </w:r>
      <w:r>
        <w:rPr>
          <w:color w:val="231F20"/>
          <w:spacing w:val="14"/>
        </w:rPr>
        <w:t> </w:t>
      </w:r>
      <w:r>
        <w:rPr>
          <w:color w:val="231F20"/>
        </w:rPr>
        <w:t>de</w:t>
      </w:r>
      <w:r>
        <w:rPr>
          <w:color w:val="231F20"/>
          <w:spacing w:val="14"/>
        </w:rPr>
        <w:t> </w:t>
      </w:r>
      <w:r>
        <w:rPr>
          <w:color w:val="231F20"/>
        </w:rPr>
        <w:t>systèmes</w:t>
      </w:r>
      <w:r>
        <w:rPr>
          <w:color w:val="231F20"/>
          <w:spacing w:val="15"/>
        </w:rPr>
        <w:t> </w:t>
      </w:r>
      <w:r>
        <w:rPr>
          <w:color w:val="231F20"/>
        </w:rPr>
        <w:t>techniques</w:t>
      </w:r>
      <w:r>
        <w:rPr>
          <w:color w:val="231F20"/>
          <w:spacing w:val="14"/>
        </w:rPr>
        <w:t> </w:t>
      </w:r>
      <w:r>
        <w:rPr>
          <w:color w:val="231F20"/>
        </w:rPr>
        <w:t>relatifs</w:t>
      </w:r>
      <w:r>
        <w:rPr>
          <w:color w:val="231F20"/>
          <w:spacing w:val="15"/>
        </w:rPr>
        <w:t> </w:t>
      </w:r>
      <w:r>
        <w:rPr>
          <w:color w:val="231F20"/>
        </w:rPr>
        <w:t>à</w:t>
      </w:r>
      <w:r>
        <w:rPr>
          <w:color w:val="231F20"/>
          <w:spacing w:val="14"/>
        </w:rPr>
        <w:t> </w:t>
      </w:r>
      <w:r>
        <w:rPr>
          <w:color w:val="231F20"/>
        </w:rPr>
        <w:t>l’information</w:t>
      </w:r>
      <w:r>
        <w:rPr>
          <w:color w:val="231F20"/>
          <w:spacing w:val="15"/>
        </w:rPr>
        <w:t> </w:t>
      </w:r>
      <w:r>
        <w:rPr>
          <w:color w:val="231F20"/>
        </w:rPr>
        <w:t>financière;</w:t>
      </w:r>
    </w:p>
    <w:p>
      <w:pPr>
        <w:pStyle w:val="BodyText"/>
        <w:spacing w:line="218" w:lineRule="auto" w:before="139"/>
        <w:ind w:right="38"/>
      </w:pPr>
      <w:r>
        <w:rPr>
          <w:color w:val="231F20"/>
        </w:rPr>
        <w:t>4° les services d’évaluation, notamment les évaluations réalisées en rapport avec les services actuariels ou les services d’aide en cas  de litige;</w:t>
      </w:r>
    </w:p>
    <w:p>
      <w:pPr>
        <w:pStyle w:val="BodyText"/>
        <w:spacing w:line="218" w:lineRule="auto" w:before="138"/>
        <w:ind w:right="38"/>
      </w:pPr>
      <w:r>
        <w:rPr>
          <w:color w:val="231F20"/>
        </w:rPr>
        <w:t>5° les services liés à la fonction d’audit interne de la société soumise au contrôle légal;</w:t>
      </w:r>
    </w:p>
    <w:p>
      <w:pPr>
        <w:pStyle w:val="BodyText"/>
        <w:spacing w:before="125"/>
        <w:ind w:left="283" w:right="0" w:firstLine="0"/>
        <w:jc w:val="left"/>
      </w:pPr>
      <w:r>
        <w:rPr>
          <w:color w:val="231F20"/>
        </w:rPr>
        <w:t>6° les services ayant trait à:</w:t>
      </w:r>
    </w:p>
    <w:p>
      <w:pPr>
        <w:pStyle w:val="ListParagraph"/>
        <w:numPr>
          <w:ilvl w:val="0"/>
          <w:numId w:val="77"/>
        </w:numPr>
        <w:tabs>
          <w:tab w:pos="473" w:val="left" w:leader="none"/>
        </w:tabs>
        <w:spacing w:line="240" w:lineRule="auto" w:before="119" w:after="0"/>
        <w:ind w:left="113" w:right="0" w:firstLine="170"/>
        <w:jc w:val="left"/>
        <w:rPr>
          <w:sz w:val="17"/>
        </w:rPr>
      </w:pPr>
      <w:r>
        <w:rPr>
          <w:color w:val="231F20"/>
          <w:sz w:val="17"/>
        </w:rPr>
        <w:t>la</w:t>
      </w:r>
      <w:r>
        <w:rPr>
          <w:color w:val="231F20"/>
          <w:spacing w:val="15"/>
          <w:sz w:val="17"/>
        </w:rPr>
        <w:t> </w:t>
      </w:r>
      <w:r>
        <w:rPr>
          <w:color w:val="231F20"/>
          <w:sz w:val="17"/>
        </w:rPr>
        <w:t>négociation</w:t>
      </w:r>
      <w:r>
        <w:rPr>
          <w:color w:val="231F20"/>
          <w:spacing w:val="16"/>
          <w:sz w:val="17"/>
        </w:rPr>
        <w:t> </w:t>
      </w:r>
      <w:r>
        <w:rPr>
          <w:color w:val="231F20"/>
          <w:sz w:val="17"/>
        </w:rPr>
        <w:t>au</w:t>
      </w:r>
      <w:r>
        <w:rPr>
          <w:color w:val="231F20"/>
          <w:spacing w:val="15"/>
          <w:sz w:val="17"/>
        </w:rPr>
        <w:t> </w:t>
      </w:r>
      <w:r>
        <w:rPr>
          <w:color w:val="231F20"/>
          <w:sz w:val="17"/>
        </w:rPr>
        <w:t>nom</w:t>
      </w:r>
      <w:r>
        <w:rPr>
          <w:color w:val="231F20"/>
          <w:spacing w:val="16"/>
          <w:sz w:val="17"/>
        </w:rPr>
        <w:t> </w:t>
      </w:r>
      <w:r>
        <w:rPr>
          <w:color w:val="231F20"/>
          <w:sz w:val="17"/>
        </w:rPr>
        <w:t>de</w:t>
      </w:r>
      <w:r>
        <w:rPr>
          <w:color w:val="231F20"/>
          <w:spacing w:val="16"/>
          <w:sz w:val="17"/>
        </w:rPr>
        <w:t> </w:t>
      </w:r>
      <w:r>
        <w:rPr>
          <w:color w:val="231F20"/>
          <w:sz w:val="17"/>
        </w:rPr>
        <w:t>la</w:t>
      </w:r>
      <w:r>
        <w:rPr>
          <w:color w:val="231F20"/>
          <w:spacing w:val="15"/>
          <w:sz w:val="17"/>
        </w:rPr>
        <w:t> </w:t>
      </w:r>
      <w:r>
        <w:rPr>
          <w:color w:val="231F20"/>
          <w:sz w:val="17"/>
        </w:rPr>
        <w:t>société</w:t>
      </w:r>
      <w:r>
        <w:rPr>
          <w:color w:val="231F20"/>
          <w:spacing w:val="16"/>
          <w:sz w:val="17"/>
        </w:rPr>
        <w:t> </w:t>
      </w:r>
      <w:r>
        <w:rPr>
          <w:color w:val="231F20"/>
          <w:sz w:val="17"/>
        </w:rPr>
        <w:t>soumise</w:t>
      </w:r>
      <w:r>
        <w:rPr>
          <w:color w:val="231F20"/>
          <w:spacing w:val="16"/>
          <w:sz w:val="17"/>
        </w:rPr>
        <w:t> </w:t>
      </w:r>
      <w:r>
        <w:rPr>
          <w:color w:val="231F20"/>
          <w:sz w:val="17"/>
        </w:rPr>
        <w:t>au</w:t>
      </w:r>
      <w:r>
        <w:rPr>
          <w:color w:val="231F20"/>
          <w:spacing w:val="15"/>
          <w:sz w:val="17"/>
        </w:rPr>
        <w:t> </w:t>
      </w:r>
      <w:r>
        <w:rPr>
          <w:color w:val="231F20"/>
          <w:sz w:val="17"/>
        </w:rPr>
        <w:t>contrôle</w:t>
      </w:r>
      <w:r>
        <w:rPr>
          <w:color w:val="231F20"/>
          <w:spacing w:val="16"/>
          <w:sz w:val="17"/>
        </w:rPr>
        <w:t> </w:t>
      </w:r>
      <w:r>
        <w:rPr>
          <w:color w:val="231F20"/>
          <w:sz w:val="17"/>
        </w:rPr>
        <w:t>légal;</w:t>
      </w:r>
    </w:p>
    <w:p>
      <w:pPr>
        <w:pStyle w:val="BodyText"/>
        <w:spacing w:before="1"/>
        <w:ind w:left="0" w:right="0" w:firstLine="0"/>
        <w:jc w:val="left"/>
        <w:rPr>
          <w:sz w:val="27"/>
        </w:rPr>
      </w:pPr>
    </w:p>
    <w:p>
      <w:pPr>
        <w:pStyle w:val="ListParagraph"/>
        <w:numPr>
          <w:ilvl w:val="0"/>
          <w:numId w:val="77"/>
        </w:numPr>
        <w:tabs>
          <w:tab w:pos="457" w:val="left" w:leader="none"/>
        </w:tabs>
        <w:spacing w:line="218" w:lineRule="auto" w:before="0" w:after="0"/>
        <w:ind w:left="113" w:right="38" w:firstLine="170"/>
        <w:jc w:val="both"/>
        <w:rPr>
          <w:sz w:val="17"/>
        </w:rPr>
      </w:pPr>
      <w:r>
        <w:rPr>
          <w:color w:val="231F20"/>
          <w:sz w:val="17"/>
        </w:rPr>
        <w:t>l’exercice d’un rôle de défenseur dans le cadre de la résolution d’un litige;</w:t>
      </w:r>
    </w:p>
    <w:p>
      <w:pPr>
        <w:pStyle w:val="ListParagraph"/>
        <w:numPr>
          <w:ilvl w:val="0"/>
          <w:numId w:val="77"/>
        </w:numPr>
        <w:tabs>
          <w:tab w:pos="478" w:val="left" w:leader="none"/>
        </w:tabs>
        <w:spacing w:line="218" w:lineRule="auto" w:before="136" w:after="0"/>
        <w:ind w:left="113" w:right="38" w:firstLine="170"/>
        <w:jc w:val="both"/>
        <w:rPr>
          <w:sz w:val="17"/>
        </w:rPr>
      </w:pPr>
      <w:r>
        <w:rPr>
          <w:color w:val="231F20"/>
          <w:sz w:val="17"/>
        </w:rPr>
        <w:t>la représentation de la société soumise au contrôle légal dans le règlement</w:t>
      </w:r>
      <w:r>
        <w:rPr>
          <w:color w:val="231F20"/>
          <w:spacing w:val="15"/>
          <w:sz w:val="17"/>
        </w:rPr>
        <w:t> </w:t>
      </w:r>
      <w:r>
        <w:rPr>
          <w:color w:val="231F20"/>
          <w:sz w:val="17"/>
        </w:rPr>
        <w:t>de</w:t>
      </w:r>
      <w:r>
        <w:rPr>
          <w:color w:val="231F20"/>
          <w:spacing w:val="15"/>
          <w:sz w:val="17"/>
        </w:rPr>
        <w:t> </w:t>
      </w:r>
      <w:r>
        <w:rPr>
          <w:color w:val="231F20"/>
          <w:sz w:val="17"/>
        </w:rPr>
        <w:t>litiges,</w:t>
      </w:r>
      <w:r>
        <w:rPr>
          <w:color w:val="231F20"/>
          <w:spacing w:val="15"/>
          <w:sz w:val="17"/>
        </w:rPr>
        <w:t> </w:t>
      </w:r>
      <w:r>
        <w:rPr>
          <w:color w:val="231F20"/>
          <w:sz w:val="17"/>
        </w:rPr>
        <w:t>fiscaux</w:t>
      </w:r>
      <w:r>
        <w:rPr>
          <w:color w:val="231F20"/>
          <w:spacing w:val="15"/>
          <w:sz w:val="17"/>
        </w:rPr>
        <w:t> </w:t>
      </w:r>
      <w:r>
        <w:rPr>
          <w:color w:val="231F20"/>
          <w:sz w:val="17"/>
        </w:rPr>
        <w:t>ou</w:t>
      </w:r>
      <w:r>
        <w:rPr>
          <w:color w:val="231F20"/>
          <w:spacing w:val="15"/>
          <w:sz w:val="17"/>
        </w:rPr>
        <w:t> </w:t>
      </w:r>
      <w:r>
        <w:rPr>
          <w:color w:val="231F20"/>
          <w:sz w:val="17"/>
        </w:rPr>
        <w:t>autres;</w:t>
      </w:r>
    </w:p>
    <w:p>
      <w:pPr>
        <w:pStyle w:val="BodyText"/>
        <w:spacing w:line="218" w:lineRule="auto" w:before="119"/>
      </w:pPr>
      <w:r>
        <w:rPr/>
        <w:br w:type="column"/>
      </w:r>
      <w:r>
        <w:rPr>
          <w:color w:val="231F20"/>
        </w:rPr>
        <w:t>§ 3. Zij kunnen gedurende een tijdvak van twee jaar na het einde van hun mandaat van commissaris, noch in de vennootschap die aan hun wettelijke controle is onderworpen, noch in een daarmee verbonden vennootschap of persoon zoals bedoeld in artikel 1:20, een mandaat</w:t>
      </w:r>
      <w:r>
        <w:rPr>
          <w:color w:val="231F20"/>
          <w:spacing w:val="-12"/>
        </w:rPr>
        <w:t> </w:t>
      </w:r>
      <w:r>
        <w:rPr>
          <w:color w:val="231F20"/>
        </w:rPr>
        <w:t>van lid</w:t>
      </w:r>
      <w:r>
        <w:rPr>
          <w:color w:val="231F20"/>
          <w:spacing w:val="16"/>
        </w:rPr>
        <w:t> </w:t>
      </w:r>
      <w:r>
        <w:rPr>
          <w:color w:val="231F20"/>
        </w:rPr>
        <w:t>van</w:t>
      </w:r>
      <w:r>
        <w:rPr>
          <w:color w:val="231F20"/>
          <w:spacing w:val="17"/>
        </w:rPr>
        <w:t> </w:t>
      </w:r>
      <w:r>
        <w:rPr>
          <w:color w:val="231F20"/>
        </w:rPr>
        <w:t>het</w:t>
      </w:r>
      <w:r>
        <w:rPr>
          <w:color w:val="231F20"/>
          <w:spacing w:val="16"/>
        </w:rPr>
        <w:t> </w:t>
      </w:r>
      <w:r>
        <w:rPr>
          <w:color w:val="231F20"/>
        </w:rPr>
        <w:t>bestuursorgaan</w:t>
      </w:r>
      <w:r>
        <w:rPr>
          <w:color w:val="231F20"/>
          <w:spacing w:val="17"/>
        </w:rPr>
        <w:t> </w:t>
      </w:r>
      <w:r>
        <w:rPr>
          <w:color w:val="231F20"/>
        </w:rPr>
        <w:t>of</w:t>
      </w:r>
      <w:r>
        <w:rPr>
          <w:color w:val="231F20"/>
          <w:spacing w:val="17"/>
        </w:rPr>
        <w:t> </w:t>
      </w:r>
      <w:r>
        <w:rPr>
          <w:color w:val="231F20"/>
        </w:rPr>
        <w:t>enige</w:t>
      </w:r>
      <w:r>
        <w:rPr>
          <w:color w:val="231F20"/>
          <w:spacing w:val="16"/>
        </w:rPr>
        <w:t> </w:t>
      </w:r>
      <w:r>
        <w:rPr>
          <w:color w:val="231F20"/>
        </w:rPr>
        <w:t>andere</w:t>
      </w:r>
      <w:r>
        <w:rPr>
          <w:color w:val="231F20"/>
          <w:spacing w:val="17"/>
        </w:rPr>
        <w:t> </w:t>
      </w:r>
      <w:r>
        <w:rPr>
          <w:color w:val="231F20"/>
        </w:rPr>
        <w:t>functie</w:t>
      </w:r>
      <w:r>
        <w:rPr>
          <w:color w:val="231F20"/>
          <w:spacing w:val="17"/>
        </w:rPr>
        <w:t> </w:t>
      </w:r>
      <w:r>
        <w:rPr>
          <w:color w:val="231F20"/>
        </w:rPr>
        <w:t>aanvaarden.</w:t>
      </w:r>
    </w:p>
    <w:p>
      <w:pPr>
        <w:pStyle w:val="BodyText"/>
        <w:spacing w:line="218" w:lineRule="auto" w:before="129"/>
      </w:pPr>
      <w:r>
        <w:rPr>
          <w:color w:val="231F20"/>
        </w:rPr>
        <w:t>De bedrijfsrevisor die als vennoot, medewerker of werknemer van de commissaris direct betrokken was bij de wettelijke controle, kan</w:t>
      </w:r>
      <w:r>
        <w:rPr>
          <w:color w:val="231F20"/>
          <w:spacing w:val="20"/>
        </w:rPr>
        <w:t> </w:t>
      </w:r>
      <w:r>
        <w:rPr>
          <w:color w:val="231F20"/>
        </w:rPr>
        <w:t>de mandaten of functies bedoeld in het eerste lid pas aanvaarden nadat een periode van ten minste één jaar is verstreken sinds zijn directe betrokkenheid bij de wettelijke</w:t>
      </w:r>
      <w:r>
        <w:rPr>
          <w:color w:val="231F20"/>
          <w:spacing w:val="18"/>
        </w:rPr>
        <w:t> </w:t>
      </w:r>
      <w:r>
        <w:rPr>
          <w:color w:val="231F20"/>
        </w:rPr>
        <w:t>controle.</w:t>
      </w:r>
    </w:p>
    <w:p>
      <w:pPr>
        <w:pStyle w:val="BodyText"/>
        <w:spacing w:line="218" w:lineRule="auto" w:before="128"/>
      </w:pPr>
      <w:r>
        <w:rPr>
          <w:color w:val="231F20"/>
        </w:rPr>
        <w:t>§ 4. Paragraaf 2 is eveneens van toepassing op de personen met wie de commissaris een arbeidsovereenkomst heeft afgesloten, of met wie hij beroepshalve in samenwerkingsverband staat, alsook de leden van het netwerk bedoeld in artikel 3:56 waartoe de commissaris behoort en op de met de commissaris verbonden vennootschappen of personen zoals bepaald in artikel 1:20.</w:t>
      </w:r>
    </w:p>
    <w:p>
      <w:pPr>
        <w:pStyle w:val="BodyText"/>
        <w:spacing w:line="218" w:lineRule="auto" w:before="129"/>
      </w:pPr>
      <w:r>
        <w:rPr>
          <w:color w:val="231F20"/>
        </w:rPr>
        <w:t>§ 5. Gedurende twee jaar voorafgaand aan zijn benoeming tot commissaris, mag de bedrijfsrevisor of mogen de leden van het  netwerk</w:t>
      </w:r>
      <w:r>
        <w:rPr>
          <w:color w:val="231F20"/>
          <w:spacing w:val="-4"/>
        </w:rPr>
        <w:t> </w:t>
      </w:r>
      <w:r>
        <w:rPr>
          <w:color w:val="231F20"/>
        </w:rPr>
        <w:t>bedoeld</w:t>
      </w:r>
      <w:r>
        <w:rPr>
          <w:color w:val="231F20"/>
          <w:spacing w:val="-4"/>
        </w:rPr>
        <w:t> </w:t>
      </w:r>
      <w:r>
        <w:rPr>
          <w:color w:val="231F20"/>
        </w:rPr>
        <w:t>in</w:t>
      </w:r>
      <w:r>
        <w:rPr>
          <w:color w:val="231F20"/>
          <w:spacing w:val="-4"/>
        </w:rPr>
        <w:t> </w:t>
      </w:r>
      <w:r>
        <w:rPr>
          <w:color w:val="231F20"/>
        </w:rPr>
        <w:t>artikel</w:t>
      </w:r>
      <w:r>
        <w:rPr>
          <w:color w:val="231F20"/>
          <w:spacing w:val="-3"/>
        </w:rPr>
        <w:t> </w:t>
      </w:r>
      <w:r>
        <w:rPr>
          <w:color w:val="231F20"/>
        </w:rPr>
        <w:t>3:56</w:t>
      </w:r>
      <w:r>
        <w:rPr>
          <w:color w:val="231F20"/>
          <w:spacing w:val="-4"/>
        </w:rPr>
        <w:t> </w:t>
      </w:r>
      <w:r>
        <w:rPr>
          <w:color w:val="231F20"/>
        </w:rPr>
        <w:t>waartoe</w:t>
      </w:r>
      <w:r>
        <w:rPr>
          <w:color w:val="231F20"/>
          <w:spacing w:val="-4"/>
        </w:rPr>
        <w:t> </w:t>
      </w:r>
      <w:r>
        <w:rPr>
          <w:color w:val="231F20"/>
        </w:rPr>
        <w:t>de</w:t>
      </w:r>
      <w:r>
        <w:rPr>
          <w:color w:val="231F20"/>
          <w:spacing w:val="-3"/>
        </w:rPr>
        <w:t> </w:t>
      </w:r>
      <w:r>
        <w:rPr>
          <w:color w:val="231F20"/>
        </w:rPr>
        <w:t>bedrijfsrevisor</w:t>
      </w:r>
      <w:r>
        <w:rPr>
          <w:color w:val="231F20"/>
          <w:spacing w:val="-4"/>
        </w:rPr>
        <w:t> </w:t>
      </w:r>
      <w:r>
        <w:rPr>
          <w:color w:val="231F20"/>
        </w:rPr>
        <w:t>behoort,</w:t>
      </w:r>
      <w:r>
        <w:rPr>
          <w:color w:val="231F20"/>
          <w:spacing w:val="-4"/>
        </w:rPr>
        <w:t> </w:t>
      </w:r>
      <w:r>
        <w:rPr>
          <w:color w:val="231F20"/>
        </w:rPr>
        <w:t>geen prestaties verrichten die zijn onafhankelijkheid als commissaris in het gedrang zouden kunnen</w:t>
      </w:r>
      <w:r>
        <w:rPr>
          <w:color w:val="231F20"/>
          <w:spacing w:val="6"/>
        </w:rPr>
        <w:t> </w:t>
      </w:r>
      <w:r>
        <w:rPr>
          <w:color w:val="231F20"/>
        </w:rPr>
        <w:t>brengen.</w:t>
      </w:r>
    </w:p>
    <w:p>
      <w:pPr>
        <w:pStyle w:val="BodyText"/>
        <w:spacing w:line="218" w:lineRule="auto" w:before="128"/>
      </w:pPr>
      <w:r>
        <w:rPr>
          <w:color w:val="231F20"/>
        </w:rPr>
        <w:t>Behalve in uitzonderlijke naar behoren gemotiveerde gevallen, zal de bedrijfsrevisor niet als commissaris kunnen benoemd worden wanneer hij of een lid van het netwerk bedoeld in artikel 3:56 waartoe hij behoort, binnen de twee jaar voorafgaand aan de benoeming als commissaris:</w:t>
      </w:r>
    </w:p>
    <w:p>
      <w:pPr>
        <w:pStyle w:val="BodyText"/>
        <w:spacing w:line="218" w:lineRule="auto" w:before="128"/>
      </w:pPr>
      <w:r>
        <w:rPr>
          <w:color w:val="231F20"/>
        </w:rPr>
        <w:t>1° regelmatig bijstand heeft verleend of heeft deelgenomen aan het voeren van de boekhouding of aan de opstelling van de jaarrekening of de geconsolideerde jaarrekening van de betrokken vennootschap, van een Belgische vennootschap die haar controleert of één van haar belangrijke Belgische of buitenlandse dochtervennootschappen;</w:t>
      </w:r>
    </w:p>
    <w:p>
      <w:pPr>
        <w:pStyle w:val="BodyText"/>
        <w:spacing w:line="218" w:lineRule="auto" w:before="129"/>
        <w:ind w:right="123"/>
      </w:pPr>
      <w:r>
        <w:rPr>
          <w:color w:val="231F20"/>
        </w:rPr>
        <w:t>2° tussengekomen is in de werving van personen die deel uitmaken van een orgaan of van het leidinggevend personeel van de betrokken vennootschap, van een Belgische vennootschap die haar controleert of van</w:t>
      </w:r>
      <w:r>
        <w:rPr>
          <w:color w:val="231F20"/>
          <w:spacing w:val="-8"/>
        </w:rPr>
        <w:t> </w:t>
      </w:r>
      <w:r>
        <w:rPr>
          <w:color w:val="231F20"/>
        </w:rPr>
        <w:t>één</w:t>
      </w:r>
      <w:r>
        <w:rPr>
          <w:color w:val="231F20"/>
          <w:spacing w:val="-8"/>
        </w:rPr>
        <w:t> </w:t>
      </w:r>
      <w:r>
        <w:rPr>
          <w:color w:val="231F20"/>
        </w:rPr>
        <w:t>van</w:t>
      </w:r>
      <w:r>
        <w:rPr>
          <w:color w:val="231F20"/>
          <w:spacing w:val="-7"/>
        </w:rPr>
        <w:t> </w:t>
      </w:r>
      <w:r>
        <w:rPr>
          <w:color w:val="231F20"/>
        </w:rPr>
        <w:t>haar</w:t>
      </w:r>
      <w:r>
        <w:rPr>
          <w:color w:val="231F20"/>
          <w:spacing w:val="-8"/>
        </w:rPr>
        <w:t> </w:t>
      </w:r>
      <w:r>
        <w:rPr>
          <w:color w:val="231F20"/>
        </w:rPr>
        <w:t>belangrijke</w:t>
      </w:r>
      <w:r>
        <w:rPr>
          <w:color w:val="231F20"/>
          <w:spacing w:val="-7"/>
        </w:rPr>
        <w:t> </w:t>
      </w:r>
      <w:r>
        <w:rPr>
          <w:color w:val="231F20"/>
        </w:rPr>
        <w:t>Belgische</w:t>
      </w:r>
      <w:r>
        <w:rPr>
          <w:color w:val="231F20"/>
          <w:spacing w:val="-8"/>
        </w:rPr>
        <w:t> </w:t>
      </w:r>
      <w:r>
        <w:rPr>
          <w:color w:val="231F20"/>
        </w:rPr>
        <w:t>of</w:t>
      </w:r>
      <w:r>
        <w:rPr>
          <w:color w:val="231F20"/>
          <w:spacing w:val="-7"/>
        </w:rPr>
        <w:t> </w:t>
      </w:r>
      <w:r>
        <w:rPr>
          <w:color w:val="231F20"/>
        </w:rPr>
        <w:t>buitenlandse</w:t>
      </w:r>
      <w:r>
        <w:rPr>
          <w:color w:val="231F20"/>
          <w:spacing w:val="-8"/>
        </w:rPr>
        <w:t> </w:t>
      </w:r>
      <w:r>
        <w:rPr>
          <w:color w:val="231F20"/>
        </w:rPr>
        <w:t>dochtervennoot- schappen.</w:t>
      </w:r>
    </w:p>
    <w:p>
      <w:pPr>
        <w:pStyle w:val="BodyText"/>
        <w:spacing w:before="114"/>
        <w:ind w:left="283" w:right="0" w:firstLine="0"/>
        <w:jc w:val="left"/>
      </w:pPr>
      <w:r>
        <w:rPr>
          <w:color w:val="231F20"/>
        </w:rPr>
        <w:t>Onderafdeling 2. Niet-controlediensten.</w:t>
      </w:r>
    </w:p>
    <w:p>
      <w:pPr>
        <w:pStyle w:val="BodyText"/>
        <w:spacing w:line="218" w:lineRule="auto" w:before="135"/>
      </w:pPr>
      <w:r>
        <w:rPr>
          <w:color w:val="231F20"/>
        </w:rPr>
        <w:t>Art. 3:63. § 1. Een commissaris alsook ieder lid van het netwerk bedoeld in artikel 3:56 waartoe een commissaris behoort, mogen noch direct, noch indirect verboden niet-controlediensten verstrekken aan</w:t>
      </w:r>
      <w:r>
        <w:rPr>
          <w:color w:val="231F20"/>
          <w:spacing w:val="-14"/>
        </w:rPr>
        <w:t> </w:t>
      </w:r>
      <w:r>
        <w:rPr>
          <w:color w:val="231F20"/>
        </w:rPr>
        <w:t>de vennootschap onderworpen aan de wettelijke controle, haar moeder- vennootschap en de ondernemingen waarover zij de controle heeft binnen de Europese Unie</w:t>
      </w:r>
      <w:r>
        <w:rPr>
          <w:color w:val="231F20"/>
          <w:spacing w:val="17"/>
        </w:rPr>
        <w:t> </w:t>
      </w:r>
      <w:r>
        <w:rPr>
          <w:color w:val="231F20"/>
        </w:rPr>
        <w:t>tijdens:</w:t>
      </w:r>
    </w:p>
    <w:p>
      <w:pPr>
        <w:pStyle w:val="BodyText"/>
        <w:spacing w:line="218" w:lineRule="auto" w:before="139"/>
      </w:pPr>
      <w:r>
        <w:rPr>
          <w:color w:val="231F20"/>
        </w:rPr>
        <w:t>1° de periode tussen het begin van de gecontroleerde periode en het uitbrengen van het controleverslag; en</w:t>
      </w:r>
    </w:p>
    <w:p>
      <w:pPr>
        <w:pStyle w:val="BodyText"/>
        <w:spacing w:line="218" w:lineRule="auto" w:before="139"/>
      </w:pPr>
      <w:r>
        <w:rPr>
          <w:color w:val="231F20"/>
        </w:rPr>
        <w:t>2° het boekjaar onmiddellijk voorafgaand aan de onder 1° bedoelde periode, voor de diensten bedoeld in paragraaf 2, 3°.</w:t>
      </w:r>
    </w:p>
    <w:p>
      <w:pPr>
        <w:pStyle w:val="BodyText"/>
        <w:spacing w:line="218" w:lineRule="auto" w:before="139"/>
      </w:pPr>
      <w:r>
        <w:rPr>
          <w:color w:val="231F20"/>
        </w:rPr>
        <w:t>§ 2. Voor de toepassing van paragraaf 1 wordt onder “verboden niet-controlediensten” verstaan:</w:t>
      </w:r>
    </w:p>
    <w:p>
      <w:pPr>
        <w:pStyle w:val="BodyText"/>
        <w:spacing w:line="218" w:lineRule="auto" w:before="139"/>
      </w:pPr>
      <w:r>
        <w:rPr>
          <w:color w:val="231F20"/>
        </w:rPr>
        <w:t>1° diensten die de vervulling van een rol bij het bestuur of de besluitvorming van de vennootschap, onderworpen aan de wettelijke controle, inhouden;</w:t>
      </w:r>
    </w:p>
    <w:p>
      <w:pPr>
        <w:pStyle w:val="BodyText"/>
        <w:spacing w:line="218" w:lineRule="auto" w:before="138"/>
      </w:pPr>
      <w:r>
        <w:rPr>
          <w:color w:val="231F20"/>
        </w:rPr>
        <w:t>2° boekhouding en de opstelling van boekhoudkundige documenten en financiële overzichten;</w:t>
      </w:r>
    </w:p>
    <w:p>
      <w:pPr>
        <w:pStyle w:val="BodyText"/>
        <w:spacing w:line="218" w:lineRule="auto" w:before="139"/>
      </w:pPr>
      <w:r>
        <w:rPr>
          <w:color w:val="231F20"/>
        </w:rPr>
        <w:t>3° de ontwikkeling en de tenuitvoerlegging van procedures voor interne controle en risicobeheer die verband houden met de opstelling en/of controle van financiële informatie of de ontwikkeling en tenuitvoerlegging van financiële informatietechnologie-systemen;</w:t>
      </w:r>
    </w:p>
    <w:p>
      <w:pPr>
        <w:pStyle w:val="BodyText"/>
        <w:spacing w:line="218" w:lineRule="auto" w:before="139"/>
      </w:pPr>
      <w:r>
        <w:rPr>
          <w:color w:val="231F20"/>
        </w:rPr>
        <w:t>4° waarderingsdiensten, met inbegrip van waarderingen in verband met actuariële diensten of ondersteuningsdiensten bij rechtsgeschillen;</w:t>
      </w:r>
    </w:p>
    <w:p>
      <w:pPr>
        <w:pStyle w:val="BodyText"/>
        <w:spacing w:before="8"/>
        <w:ind w:left="0" w:right="0" w:firstLine="0"/>
        <w:jc w:val="left"/>
        <w:rPr>
          <w:sz w:val="27"/>
        </w:rPr>
      </w:pPr>
    </w:p>
    <w:p>
      <w:pPr>
        <w:pStyle w:val="BodyText"/>
        <w:spacing w:line="218" w:lineRule="auto"/>
      </w:pPr>
      <w:r>
        <w:rPr>
          <w:color w:val="231F20"/>
        </w:rPr>
        <w:t>5° diensten in verband met de interne auditfunctie van de vennoot- schap, onderworpen aan de wettelijke controle;</w:t>
      </w:r>
    </w:p>
    <w:p>
      <w:pPr>
        <w:pStyle w:val="BodyText"/>
        <w:spacing w:before="125"/>
        <w:ind w:left="283" w:right="0" w:firstLine="0"/>
        <w:jc w:val="left"/>
      </w:pPr>
      <w:r>
        <w:rPr>
          <w:color w:val="231F20"/>
        </w:rPr>
        <w:t>6° diensten met betrekking tot:</w:t>
      </w:r>
    </w:p>
    <w:p>
      <w:pPr>
        <w:pStyle w:val="ListParagraph"/>
        <w:numPr>
          <w:ilvl w:val="0"/>
          <w:numId w:val="78"/>
        </w:numPr>
        <w:tabs>
          <w:tab w:pos="463" w:val="left" w:leader="none"/>
        </w:tabs>
        <w:spacing w:line="218" w:lineRule="auto" w:before="132" w:after="0"/>
        <w:ind w:left="113" w:right="124" w:firstLine="170"/>
        <w:jc w:val="both"/>
        <w:rPr>
          <w:sz w:val="17"/>
        </w:rPr>
      </w:pPr>
      <w:r>
        <w:rPr>
          <w:color w:val="231F20"/>
          <w:sz w:val="17"/>
        </w:rPr>
        <w:t>onderhandelingen namens de vennootschap, onderworpen aan de wettelijke</w:t>
      </w:r>
      <w:r>
        <w:rPr>
          <w:color w:val="231F20"/>
          <w:spacing w:val="14"/>
          <w:sz w:val="17"/>
        </w:rPr>
        <w:t> </w:t>
      </w:r>
      <w:r>
        <w:rPr>
          <w:color w:val="231F20"/>
          <w:sz w:val="17"/>
        </w:rPr>
        <w:t>controle;</w:t>
      </w:r>
    </w:p>
    <w:p>
      <w:pPr>
        <w:pStyle w:val="ListParagraph"/>
        <w:numPr>
          <w:ilvl w:val="0"/>
          <w:numId w:val="78"/>
        </w:numPr>
        <w:tabs>
          <w:tab w:pos="478" w:val="left" w:leader="none"/>
        </w:tabs>
        <w:spacing w:line="218" w:lineRule="auto" w:before="136" w:after="0"/>
        <w:ind w:left="113" w:right="124" w:firstLine="170"/>
        <w:jc w:val="both"/>
        <w:rPr>
          <w:sz w:val="17"/>
        </w:rPr>
      </w:pPr>
      <w:r>
        <w:rPr>
          <w:color w:val="231F20"/>
          <w:sz w:val="17"/>
        </w:rPr>
        <w:t>het optreden als belangenbehartiger bij de oplossing van geschil- len;</w:t>
      </w:r>
    </w:p>
    <w:p>
      <w:pPr>
        <w:pStyle w:val="ListParagraph"/>
        <w:numPr>
          <w:ilvl w:val="0"/>
          <w:numId w:val="78"/>
        </w:numPr>
        <w:tabs>
          <w:tab w:pos="479" w:val="left" w:leader="none"/>
        </w:tabs>
        <w:spacing w:line="218" w:lineRule="auto" w:before="137" w:after="0"/>
        <w:ind w:left="113" w:right="123" w:firstLine="170"/>
        <w:jc w:val="both"/>
        <w:rPr>
          <w:sz w:val="17"/>
        </w:rPr>
      </w:pPr>
      <w:r>
        <w:rPr>
          <w:color w:val="231F20"/>
          <w:sz w:val="17"/>
        </w:rPr>
        <w:t>vertegenwoordiging van de vennootschap, onderworpen aan de wettelijke</w:t>
      </w:r>
      <w:r>
        <w:rPr>
          <w:color w:val="231F20"/>
          <w:spacing w:val="17"/>
          <w:sz w:val="17"/>
        </w:rPr>
        <w:t> </w:t>
      </w:r>
      <w:r>
        <w:rPr>
          <w:color w:val="231F20"/>
          <w:sz w:val="17"/>
        </w:rPr>
        <w:t>controle,</w:t>
      </w:r>
      <w:r>
        <w:rPr>
          <w:color w:val="231F20"/>
          <w:spacing w:val="17"/>
          <w:sz w:val="17"/>
        </w:rPr>
        <w:t> </w:t>
      </w:r>
      <w:r>
        <w:rPr>
          <w:color w:val="231F20"/>
          <w:sz w:val="17"/>
        </w:rPr>
        <w:t>bij</w:t>
      </w:r>
      <w:r>
        <w:rPr>
          <w:color w:val="231F20"/>
          <w:spacing w:val="18"/>
          <w:sz w:val="17"/>
        </w:rPr>
        <w:t> </w:t>
      </w:r>
      <w:r>
        <w:rPr>
          <w:color w:val="231F20"/>
          <w:sz w:val="17"/>
        </w:rPr>
        <w:t>de</w:t>
      </w:r>
      <w:r>
        <w:rPr>
          <w:color w:val="231F20"/>
          <w:spacing w:val="17"/>
          <w:sz w:val="17"/>
        </w:rPr>
        <w:t> </w:t>
      </w:r>
      <w:r>
        <w:rPr>
          <w:color w:val="231F20"/>
          <w:sz w:val="17"/>
        </w:rPr>
        <w:t>afwikkeling</w:t>
      </w:r>
      <w:r>
        <w:rPr>
          <w:color w:val="231F20"/>
          <w:spacing w:val="17"/>
          <w:sz w:val="17"/>
        </w:rPr>
        <w:t> </w:t>
      </w:r>
      <w:r>
        <w:rPr>
          <w:color w:val="231F20"/>
          <w:sz w:val="17"/>
        </w:rPr>
        <w:t>van</w:t>
      </w:r>
      <w:r>
        <w:rPr>
          <w:color w:val="231F20"/>
          <w:spacing w:val="18"/>
          <w:sz w:val="17"/>
        </w:rPr>
        <w:t> </w:t>
      </w:r>
      <w:r>
        <w:rPr>
          <w:color w:val="231F20"/>
          <w:sz w:val="17"/>
        </w:rPr>
        <w:t>fiscale</w:t>
      </w:r>
      <w:r>
        <w:rPr>
          <w:color w:val="231F20"/>
          <w:spacing w:val="17"/>
          <w:sz w:val="17"/>
        </w:rPr>
        <w:t> </w:t>
      </w:r>
      <w:r>
        <w:rPr>
          <w:color w:val="231F20"/>
          <w:sz w:val="17"/>
        </w:rPr>
        <w:t>of</w:t>
      </w:r>
      <w:r>
        <w:rPr>
          <w:color w:val="231F20"/>
          <w:spacing w:val="18"/>
          <w:sz w:val="17"/>
        </w:rPr>
        <w:t> </w:t>
      </w:r>
      <w:r>
        <w:rPr>
          <w:color w:val="231F20"/>
          <w:sz w:val="17"/>
        </w:rPr>
        <w:t>andere</w:t>
      </w:r>
      <w:r>
        <w:rPr>
          <w:color w:val="231F20"/>
          <w:spacing w:val="17"/>
          <w:sz w:val="17"/>
        </w:rPr>
        <w:t> </w:t>
      </w:r>
      <w:r>
        <w:rPr>
          <w:color w:val="231F20"/>
          <w:sz w:val="17"/>
        </w:rPr>
        <w:t>geschillen;</w:t>
      </w:r>
    </w:p>
    <w:p>
      <w:pPr>
        <w:spacing w:after="0" w:line="218" w:lineRule="auto"/>
        <w:jc w:val="both"/>
        <w:rPr>
          <w:sz w:val="17"/>
        </w:rPr>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2728" from="298.170502pt,64.473pt" to="298.170502pt,812.819pt" stroked="true" strokeweight=".533pt" strokecolor="#231f20">
            <v:stroke dashstyle="solid"/>
            <w10:wrap type="none"/>
          </v:line>
        </w:pict>
      </w:r>
      <w:bookmarkStart w:name="_bookmark71" w:id="76"/>
      <w:bookmarkEnd w:id="76"/>
      <w:r>
        <w:rPr/>
      </w:r>
      <w:r>
        <w:rPr>
          <w:color w:val="231F20"/>
        </w:rPr>
        <w:t>7° les services de ressources humaines ayant trait:</w:t>
      </w:r>
    </w:p>
    <w:p>
      <w:pPr>
        <w:pStyle w:val="ListParagraph"/>
        <w:numPr>
          <w:ilvl w:val="0"/>
          <w:numId w:val="79"/>
        </w:numPr>
        <w:tabs>
          <w:tab w:pos="487" w:val="left" w:leader="none"/>
        </w:tabs>
        <w:spacing w:line="218" w:lineRule="auto" w:before="79" w:after="0"/>
        <w:ind w:left="113" w:right="38" w:firstLine="170"/>
        <w:jc w:val="both"/>
        <w:rPr>
          <w:sz w:val="17"/>
        </w:rPr>
      </w:pPr>
      <w:r>
        <w:rPr>
          <w:color w:val="231F20"/>
          <w:sz w:val="17"/>
        </w:rPr>
        <w:t>aux membres de la direction en mesure d’exercer une influence significative sur l’élaboration des documents comptables ou des états financiers faisant l’objet du contrôle légal, dès lors que ces</w:t>
      </w:r>
      <w:r>
        <w:rPr>
          <w:color w:val="231F20"/>
          <w:spacing w:val="23"/>
          <w:sz w:val="17"/>
        </w:rPr>
        <w:t> </w:t>
      </w:r>
      <w:r>
        <w:rPr>
          <w:color w:val="231F20"/>
          <w:sz w:val="17"/>
        </w:rPr>
        <w:t>services englobent:</w:t>
      </w:r>
    </w:p>
    <w:p>
      <w:pPr>
        <w:pStyle w:val="BodyText"/>
        <w:spacing w:before="9"/>
        <w:ind w:left="0" w:right="0" w:firstLine="0"/>
        <w:jc w:val="left"/>
        <w:rPr>
          <w:sz w:val="21"/>
        </w:rPr>
      </w:pPr>
    </w:p>
    <w:p>
      <w:pPr>
        <w:pStyle w:val="ListParagraph"/>
        <w:numPr>
          <w:ilvl w:val="0"/>
          <w:numId w:val="80"/>
        </w:numPr>
        <w:tabs>
          <w:tab w:pos="447" w:val="left" w:leader="none"/>
        </w:tabs>
        <w:spacing w:line="240" w:lineRule="auto" w:before="0" w:after="0"/>
        <w:ind w:left="446" w:right="0" w:hanging="163"/>
        <w:jc w:val="left"/>
        <w:rPr>
          <w:sz w:val="17"/>
        </w:rPr>
      </w:pPr>
      <w:r>
        <w:rPr>
          <w:color w:val="231F20"/>
          <w:sz w:val="17"/>
        </w:rPr>
        <w:t>la</w:t>
      </w:r>
      <w:r>
        <w:rPr>
          <w:color w:val="231F20"/>
          <w:spacing w:val="13"/>
          <w:sz w:val="17"/>
        </w:rPr>
        <w:t> </w:t>
      </w:r>
      <w:r>
        <w:rPr>
          <w:color w:val="231F20"/>
          <w:sz w:val="17"/>
        </w:rPr>
        <w:t>recherche</w:t>
      </w:r>
      <w:r>
        <w:rPr>
          <w:color w:val="231F20"/>
          <w:spacing w:val="13"/>
          <w:sz w:val="17"/>
        </w:rPr>
        <w:t> </w:t>
      </w:r>
      <w:r>
        <w:rPr>
          <w:color w:val="231F20"/>
          <w:sz w:val="17"/>
        </w:rPr>
        <w:t>ou</w:t>
      </w:r>
      <w:r>
        <w:rPr>
          <w:color w:val="231F20"/>
          <w:spacing w:val="14"/>
          <w:sz w:val="17"/>
        </w:rPr>
        <w:t> </w:t>
      </w:r>
      <w:r>
        <w:rPr>
          <w:color w:val="231F20"/>
          <w:sz w:val="17"/>
        </w:rPr>
        <w:t>la</w:t>
      </w:r>
      <w:r>
        <w:rPr>
          <w:color w:val="231F20"/>
          <w:spacing w:val="13"/>
          <w:sz w:val="17"/>
        </w:rPr>
        <w:t> </w:t>
      </w:r>
      <w:r>
        <w:rPr>
          <w:color w:val="231F20"/>
          <w:sz w:val="17"/>
        </w:rPr>
        <w:t>sélection</w:t>
      </w:r>
      <w:r>
        <w:rPr>
          <w:color w:val="231F20"/>
          <w:spacing w:val="14"/>
          <w:sz w:val="17"/>
        </w:rPr>
        <w:t> </w:t>
      </w:r>
      <w:r>
        <w:rPr>
          <w:color w:val="231F20"/>
          <w:sz w:val="17"/>
        </w:rPr>
        <w:t>de</w:t>
      </w:r>
      <w:r>
        <w:rPr>
          <w:color w:val="231F20"/>
          <w:spacing w:val="13"/>
          <w:sz w:val="17"/>
        </w:rPr>
        <w:t> </w:t>
      </w:r>
      <w:r>
        <w:rPr>
          <w:color w:val="231F20"/>
          <w:sz w:val="17"/>
        </w:rPr>
        <w:t>candidats</w:t>
      </w:r>
      <w:r>
        <w:rPr>
          <w:color w:val="231F20"/>
          <w:spacing w:val="14"/>
          <w:sz w:val="17"/>
        </w:rPr>
        <w:t> </w:t>
      </w:r>
      <w:r>
        <w:rPr>
          <w:color w:val="231F20"/>
          <w:sz w:val="17"/>
        </w:rPr>
        <w:t>à</w:t>
      </w:r>
      <w:r>
        <w:rPr>
          <w:color w:val="231F20"/>
          <w:spacing w:val="13"/>
          <w:sz w:val="17"/>
        </w:rPr>
        <w:t> </w:t>
      </w:r>
      <w:r>
        <w:rPr>
          <w:color w:val="231F20"/>
          <w:sz w:val="17"/>
        </w:rPr>
        <w:t>ces</w:t>
      </w:r>
      <w:r>
        <w:rPr>
          <w:color w:val="231F20"/>
          <w:spacing w:val="14"/>
          <w:sz w:val="17"/>
        </w:rPr>
        <w:t> </w:t>
      </w:r>
      <w:r>
        <w:rPr>
          <w:color w:val="231F20"/>
          <w:sz w:val="17"/>
        </w:rPr>
        <w:t>fonctions;</w:t>
      </w:r>
      <w:r>
        <w:rPr>
          <w:color w:val="231F20"/>
          <w:spacing w:val="13"/>
          <w:sz w:val="17"/>
        </w:rPr>
        <w:t> </w:t>
      </w:r>
      <w:r>
        <w:rPr>
          <w:color w:val="231F20"/>
          <w:sz w:val="17"/>
        </w:rPr>
        <w:t>ou</w:t>
      </w:r>
    </w:p>
    <w:p>
      <w:pPr>
        <w:pStyle w:val="BodyText"/>
        <w:spacing w:before="5"/>
        <w:ind w:left="0" w:right="0" w:firstLine="0"/>
        <w:jc w:val="left"/>
        <w:rPr>
          <w:sz w:val="21"/>
        </w:rPr>
      </w:pPr>
    </w:p>
    <w:p>
      <w:pPr>
        <w:pStyle w:val="ListParagraph"/>
        <w:numPr>
          <w:ilvl w:val="0"/>
          <w:numId w:val="80"/>
        </w:numPr>
        <w:tabs>
          <w:tab w:pos="497" w:val="left" w:leader="none"/>
        </w:tabs>
        <w:spacing w:line="240" w:lineRule="auto" w:before="0" w:after="0"/>
        <w:ind w:left="496" w:right="0" w:hanging="213"/>
        <w:jc w:val="left"/>
        <w:rPr>
          <w:sz w:val="17"/>
        </w:rPr>
      </w:pPr>
      <w:r>
        <w:rPr>
          <w:color w:val="231F20"/>
          <w:sz w:val="17"/>
        </w:rPr>
        <w:t>la</w:t>
      </w:r>
      <w:r>
        <w:rPr>
          <w:color w:val="231F20"/>
          <w:spacing w:val="13"/>
          <w:sz w:val="17"/>
        </w:rPr>
        <w:t> </w:t>
      </w:r>
      <w:r>
        <w:rPr>
          <w:color w:val="231F20"/>
          <w:sz w:val="17"/>
        </w:rPr>
        <w:t>vérification</w:t>
      </w:r>
      <w:r>
        <w:rPr>
          <w:color w:val="231F20"/>
          <w:spacing w:val="13"/>
          <w:sz w:val="17"/>
        </w:rPr>
        <w:t> </w:t>
      </w:r>
      <w:r>
        <w:rPr>
          <w:color w:val="231F20"/>
          <w:sz w:val="17"/>
        </w:rPr>
        <w:t>des</w:t>
      </w:r>
      <w:r>
        <w:rPr>
          <w:color w:val="231F20"/>
          <w:spacing w:val="13"/>
          <w:sz w:val="17"/>
        </w:rPr>
        <w:t> </w:t>
      </w:r>
      <w:r>
        <w:rPr>
          <w:color w:val="231F20"/>
          <w:sz w:val="17"/>
        </w:rPr>
        <w:t>références</w:t>
      </w:r>
      <w:r>
        <w:rPr>
          <w:color w:val="231F20"/>
          <w:spacing w:val="13"/>
          <w:sz w:val="17"/>
        </w:rPr>
        <w:t> </w:t>
      </w:r>
      <w:r>
        <w:rPr>
          <w:color w:val="231F20"/>
          <w:sz w:val="17"/>
        </w:rPr>
        <w:t>des</w:t>
      </w:r>
      <w:r>
        <w:rPr>
          <w:color w:val="231F20"/>
          <w:spacing w:val="13"/>
          <w:sz w:val="17"/>
        </w:rPr>
        <w:t> </w:t>
      </w:r>
      <w:r>
        <w:rPr>
          <w:color w:val="231F20"/>
          <w:sz w:val="17"/>
        </w:rPr>
        <w:t>candidats</w:t>
      </w:r>
      <w:r>
        <w:rPr>
          <w:color w:val="231F20"/>
          <w:spacing w:val="13"/>
          <w:sz w:val="17"/>
        </w:rPr>
        <w:t> </w:t>
      </w:r>
      <w:r>
        <w:rPr>
          <w:color w:val="231F20"/>
          <w:sz w:val="17"/>
        </w:rPr>
        <w:t>à</w:t>
      </w:r>
      <w:r>
        <w:rPr>
          <w:color w:val="231F20"/>
          <w:spacing w:val="14"/>
          <w:sz w:val="17"/>
        </w:rPr>
        <w:t> </w:t>
      </w:r>
      <w:r>
        <w:rPr>
          <w:color w:val="231F20"/>
          <w:sz w:val="17"/>
        </w:rPr>
        <w:t>ces</w:t>
      </w:r>
      <w:r>
        <w:rPr>
          <w:color w:val="231F20"/>
          <w:spacing w:val="13"/>
          <w:sz w:val="17"/>
        </w:rPr>
        <w:t> </w:t>
      </w:r>
      <w:r>
        <w:rPr>
          <w:color w:val="231F20"/>
          <w:sz w:val="17"/>
        </w:rPr>
        <w:t>fonctions;</w:t>
      </w:r>
    </w:p>
    <w:p>
      <w:pPr>
        <w:pStyle w:val="BodyText"/>
        <w:spacing w:before="2"/>
        <w:ind w:left="0" w:right="0" w:firstLine="0"/>
        <w:jc w:val="left"/>
        <w:rPr>
          <w:sz w:val="21"/>
        </w:rPr>
      </w:pPr>
    </w:p>
    <w:p>
      <w:pPr>
        <w:pStyle w:val="ListParagraph"/>
        <w:numPr>
          <w:ilvl w:val="0"/>
          <w:numId w:val="79"/>
        </w:numPr>
        <w:tabs>
          <w:tab w:pos="477" w:val="left" w:leader="none"/>
        </w:tabs>
        <w:spacing w:line="240" w:lineRule="auto" w:before="1" w:after="0"/>
        <w:ind w:left="476" w:right="0" w:hanging="193"/>
        <w:jc w:val="left"/>
        <w:rPr>
          <w:sz w:val="17"/>
        </w:rPr>
      </w:pPr>
      <w:r>
        <w:rPr>
          <w:color w:val="231F20"/>
          <w:sz w:val="17"/>
        </w:rPr>
        <w:t>à</w:t>
      </w:r>
      <w:r>
        <w:rPr>
          <w:color w:val="231F20"/>
          <w:spacing w:val="14"/>
          <w:sz w:val="17"/>
        </w:rPr>
        <w:t> </w:t>
      </w:r>
      <w:r>
        <w:rPr>
          <w:color w:val="231F20"/>
          <w:sz w:val="17"/>
        </w:rPr>
        <w:t>la</w:t>
      </w:r>
      <w:r>
        <w:rPr>
          <w:color w:val="231F20"/>
          <w:spacing w:val="15"/>
          <w:sz w:val="17"/>
        </w:rPr>
        <w:t> </w:t>
      </w:r>
      <w:r>
        <w:rPr>
          <w:color w:val="231F20"/>
          <w:sz w:val="17"/>
        </w:rPr>
        <w:t>structuration</w:t>
      </w:r>
      <w:r>
        <w:rPr>
          <w:color w:val="231F20"/>
          <w:spacing w:val="15"/>
          <w:sz w:val="17"/>
        </w:rPr>
        <w:t> </w:t>
      </w:r>
      <w:r>
        <w:rPr>
          <w:color w:val="231F20"/>
          <w:sz w:val="17"/>
        </w:rPr>
        <w:t>du</w:t>
      </w:r>
      <w:r>
        <w:rPr>
          <w:color w:val="231F20"/>
          <w:spacing w:val="15"/>
          <w:sz w:val="17"/>
        </w:rPr>
        <w:t> </w:t>
      </w:r>
      <w:r>
        <w:rPr>
          <w:color w:val="231F20"/>
          <w:sz w:val="17"/>
        </w:rPr>
        <w:t>modèle</w:t>
      </w:r>
      <w:r>
        <w:rPr>
          <w:color w:val="231F20"/>
          <w:spacing w:val="14"/>
          <w:sz w:val="17"/>
        </w:rPr>
        <w:t> </w:t>
      </w:r>
      <w:r>
        <w:rPr>
          <w:color w:val="231F20"/>
          <w:sz w:val="17"/>
        </w:rPr>
        <w:t>organisationnel;</w:t>
      </w:r>
      <w:r>
        <w:rPr>
          <w:color w:val="231F20"/>
          <w:spacing w:val="15"/>
          <w:sz w:val="17"/>
        </w:rPr>
        <w:t> </w:t>
      </w:r>
      <w:r>
        <w:rPr>
          <w:color w:val="231F20"/>
          <w:sz w:val="17"/>
        </w:rPr>
        <w:t>et</w:t>
      </w:r>
    </w:p>
    <w:p>
      <w:pPr>
        <w:pStyle w:val="ListParagraph"/>
        <w:numPr>
          <w:ilvl w:val="0"/>
          <w:numId w:val="79"/>
        </w:numPr>
        <w:tabs>
          <w:tab w:pos="467" w:val="left" w:leader="none"/>
        </w:tabs>
        <w:spacing w:line="240" w:lineRule="auto" w:before="65" w:after="0"/>
        <w:ind w:left="466" w:right="0" w:hanging="183"/>
        <w:jc w:val="left"/>
        <w:rPr>
          <w:sz w:val="17"/>
        </w:rPr>
      </w:pPr>
      <w:r>
        <w:rPr>
          <w:color w:val="231F20"/>
          <w:sz w:val="17"/>
        </w:rPr>
        <w:t>au contrôle des</w:t>
      </w:r>
      <w:r>
        <w:rPr>
          <w:color w:val="231F20"/>
          <w:spacing w:val="4"/>
          <w:sz w:val="17"/>
        </w:rPr>
        <w:t> </w:t>
      </w:r>
      <w:r>
        <w:rPr>
          <w:color w:val="231F20"/>
          <w:sz w:val="17"/>
        </w:rPr>
        <w:t>coûts.</w:t>
      </w:r>
    </w:p>
    <w:p>
      <w:pPr>
        <w:pStyle w:val="BodyText"/>
        <w:spacing w:line="213" w:lineRule="auto" w:before="70"/>
        <w:ind w:right="38"/>
      </w:pPr>
      <w:r>
        <w:rPr>
          <w:color w:val="231F20"/>
        </w:rPr>
        <w:t>§ 3. En application de l’article 5, § 1</w:t>
      </w:r>
      <w:r>
        <w:rPr>
          <w:color w:val="231F20"/>
          <w:position w:val="7"/>
          <w:sz w:val="11"/>
        </w:rPr>
        <w:t>er</w:t>
      </w:r>
      <w:r>
        <w:rPr>
          <w:color w:val="231F20"/>
        </w:rPr>
        <w:t>, deuxième alinéa, du règlement (UE) n° 537/2014, il convient, en cas de contrôle légal d’une entité d’intérêt public visée à l’article 1:12, pour l’application  du  paragra-  phe 1</w:t>
      </w:r>
      <w:r>
        <w:rPr>
          <w:color w:val="231F20"/>
          <w:position w:val="7"/>
          <w:sz w:val="11"/>
        </w:rPr>
        <w:t>er</w:t>
      </w:r>
      <w:r>
        <w:rPr>
          <w:color w:val="231F20"/>
        </w:rPr>
        <w:t>, d’entendre par services non-audit interdits en sus des services visés au paragraphe</w:t>
      </w:r>
      <w:r>
        <w:rPr>
          <w:color w:val="231F20"/>
          <w:spacing w:val="4"/>
        </w:rPr>
        <w:t> </w:t>
      </w:r>
      <w:r>
        <w:rPr>
          <w:color w:val="231F20"/>
        </w:rPr>
        <w:t>2:</w:t>
      </w:r>
    </w:p>
    <w:p>
      <w:pPr>
        <w:pStyle w:val="BodyText"/>
        <w:spacing w:before="72"/>
        <w:ind w:left="283" w:right="0" w:firstLine="0"/>
        <w:jc w:val="left"/>
      </w:pPr>
      <w:r>
        <w:rPr>
          <w:color w:val="231F20"/>
        </w:rPr>
        <w:t>1°</w:t>
      </w:r>
      <w:r>
        <w:rPr>
          <w:color w:val="231F20"/>
          <w:spacing w:val="15"/>
        </w:rPr>
        <w:t> </w:t>
      </w:r>
      <w:r>
        <w:rPr>
          <w:color w:val="231F20"/>
        </w:rPr>
        <w:t>les</w:t>
      </w:r>
      <w:r>
        <w:rPr>
          <w:color w:val="231F20"/>
          <w:spacing w:val="16"/>
        </w:rPr>
        <w:t> </w:t>
      </w:r>
      <w:r>
        <w:rPr>
          <w:color w:val="231F20"/>
        </w:rPr>
        <w:t>services</w:t>
      </w:r>
      <w:r>
        <w:rPr>
          <w:color w:val="231F20"/>
          <w:spacing w:val="15"/>
        </w:rPr>
        <w:t> </w:t>
      </w:r>
      <w:r>
        <w:rPr>
          <w:color w:val="231F20"/>
        </w:rPr>
        <w:t>fiscaux</w:t>
      </w:r>
      <w:r>
        <w:rPr>
          <w:color w:val="231F20"/>
          <w:spacing w:val="16"/>
        </w:rPr>
        <w:t> </w:t>
      </w:r>
      <w:r>
        <w:rPr>
          <w:color w:val="231F20"/>
        </w:rPr>
        <w:t>portant</w:t>
      </w:r>
      <w:r>
        <w:rPr>
          <w:color w:val="231F20"/>
          <w:spacing w:val="16"/>
        </w:rPr>
        <w:t> </w:t>
      </w:r>
      <w:r>
        <w:rPr>
          <w:color w:val="231F20"/>
        </w:rPr>
        <w:t>sur:</w:t>
      </w:r>
    </w:p>
    <w:p>
      <w:pPr>
        <w:pStyle w:val="ListParagraph"/>
        <w:numPr>
          <w:ilvl w:val="0"/>
          <w:numId w:val="81"/>
        </w:numPr>
        <w:tabs>
          <w:tab w:pos="473" w:val="left" w:leader="none"/>
        </w:tabs>
        <w:spacing w:line="240" w:lineRule="auto" w:before="66" w:after="0"/>
        <w:ind w:left="113" w:right="0" w:firstLine="170"/>
        <w:jc w:val="left"/>
        <w:rPr>
          <w:sz w:val="17"/>
        </w:rPr>
      </w:pPr>
      <w:r>
        <w:rPr>
          <w:color w:val="231F20"/>
          <w:sz w:val="17"/>
        </w:rPr>
        <w:t>l’établissement des déclarations</w:t>
      </w:r>
      <w:r>
        <w:rPr>
          <w:color w:val="231F20"/>
          <w:spacing w:val="30"/>
          <w:sz w:val="17"/>
        </w:rPr>
        <w:t> </w:t>
      </w:r>
      <w:r>
        <w:rPr>
          <w:color w:val="231F20"/>
          <w:sz w:val="17"/>
        </w:rPr>
        <w:t>fiscales;</w:t>
      </w:r>
    </w:p>
    <w:p>
      <w:pPr>
        <w:pStyle w:val="ListParagraph"/>
        <w:numPr>
          <w:ilvl w:val="0"/>
          <w:numId w:val="81"/>
        </w:numPr>
        <w:tabs>
          <w:tab w:pos="477" w:val="left" w:leader="none"/>
        </w:tabs>
        <w:spacing w:line="240" w:lineRule="auto" w:before="65" w:after="0"/>
        <w:ind w:left="476" w:right="0" w:hanging="193"/>
        <w:jc w:val="left"/>
        <w:rPr>
          <w:sz w:val="17"/>
        </w:rPr>
      </w:pPr>
      <w:r>
        <w:rPr>
          <w:color w:val="231F20"/>
          <w:sz w:val="17"/>
        </w:rPr>
        <w:t>l’impôt sur les</w:t>
      </w:r>
      <w:r>
        <w:rPr>
          <w:color w:val="231F20"/>
          <w:spacing w:val="3"/>
          <w:sz w:val="17"/>
        </w:rPr>
        <w:t> </w:t>
      </w:r>
      <w:r>
        <w:rPr>
          <w:color w:val="231F20"/>
          <w:sz w:val="17"/>
        </w:rPr>
        <w:t>salaires;</w:t>
      </w:r>
    </w:p>
    <w:p>
      <w:pPr>
        <w:pStyle w:val="ListParagraph"/>
        <w:numPr>
          <w:ilvl w:val="0"/>
          <w:numId w:val="81"/>
        </w:numPr>
        <w:tabs>
          <w:tab w:pos="467" w:val="left" w:leader="none"/>
        </w:tabs>
        <w:spacing w:line="240" w:lineRule="auto" w:before="65" w:after="0"/>
        <w:ind w:left="466" w:right="0" w:hanging="183"/>
        <w:jc w:val="left"/>
        <w:rPr>
          <w:sz w:val="17"/>
        </w:rPr>
      </w:pPr>
      <w:r>
        <w:rPr>
          <w:color w:val="231F20"/>
          <w:sz w:val="17"/>
        </w:rPr>
        <w:t>les droits de</w:t>
      </w:r>
      <w:r>
        <w:rPr>
          <w:color w:val="231F20"/>
          <w:spacing w:val="4"/>
          <w:sz w:val="17"/>
        </w:rPr>
        <w:t> </w:t>
      </w:r>
      <w:r>
        <w:rPr>
          <w:color w:val="231F20"/>
          <w:sz w:val="17"/>
        </w:rPr>
        <w:t>douane;</w:t>
      </w:r>
    </w:p>
    <w:p>
      <w:pPr>
        <w:pStyle w:val="ListParagraph"/>
        <w:numPr>
          <w:ilvl w:val="0"/>
          <w:numId w:val="81"/>
        </w:numPr>
        <w:tabs>
          <w:tab w:pos="548" w:val="left" w:leader="none"/>
        </w:tabs>
        <w:spacing w:line="218" w:lineRule="auto" w:before="79" w:after="0"/>
        <w:ind w:left="113" w:right="38" w:firstLine="170"/>
        <w:jc w:val="both"/>
        <w:rPr>
          <w:sz w:val="17"/>
        </w:rPr>
      </w:pPr>
      <w:r>
        <w:rPr>
          <w:color w:val="231F20"/>
          <w:sz w:val="17"/>
        </w:rPr>
        <w:t>l’identification des subventions publiques et des incitations fiscales, à moins qu’une assistance de la part du contrôleur légal des comptes ou du cabinet d’audit pour la fourniture de ces services ne soit requise par la</w:t>
      </w:r>
      <w:r>
        <w:rPr>
          <w:color w:val="231F20"/>
          <w:spacing w:val="3"/>
          <w:sz w:val="17"/>
        </w:rPr>
        <w:t> </w:t>
      </w:r>
      <w:r>
        <w:rPr>
          <w:color w:val="231F20"/>
          <w:sz w:val="17"/>
        </w:rPr>
        <w:t>loi;</w:t>
      </w:r>
    </w:p>
    <w:p>
      <w:pPr>
        <w:pStyle w:val="ListParagraph"/>
        <w:numPr>
          <w:ilvl w:val="0"/>
          <w:numId w:val="81"/>
        </w:numPr>
        <w:tabs>
          <w:tab w:pos="449" w:val="left" w:leader="none"/>
        </w:tabs>
        <w:spacing w:line="218" w:lineRule="auto" w:before="83" w:after="0"/>
        <w:ind w:left="113" w:right="38" w:firstLine="170"/>
        <w:jc w:val="both"/>
        <w:rPr>
          <w:sz w:val="17"/>
        </w:rPr>
      </w:pPr>
      <w:r>
        <w:rPr>
          <w:color w:val="231F20"/>
          <w:sz w:val="17"/>
        </w:rPr>
        <w:t>l’assistance de la société soumise au contrôle légal lors de contrôles fiscaux</w:t>
      </w:r>
      <w:r>
        <w:rPr>
          <w:color w:val="231F20"/>
          <w:spacing w:val="14"/>
          <w:sz w:val="17"/>
        </w:rPr>
        <w:t> </w:t>
      </w:r>
      <w:r>
        <w:rPr>
          <w:color w:val="231F20"/>
          <w:sz w:val="17"/>
        </w:rPr>
        <w:t>menés</w:t>
      </w:r>
      <w:r>
        <w:rPr>
          <w:color w:val="231F20"/>
          <w:spacing w:val="15"/>
          <w:sz w:val="17"/>
        </w:rPr>
        <w:t> </w:t>
      </w:r>
      <w:r>
        <w:rPr>
          <w:color w:val="231F20"/>
          <w:sz w:val="17"/>
        </w:rPr>
        <w:t>par</w:t>
      </w:r>
      <w:r>
        <w:rPr>
          <w:color w:val="231F20"/>
          <w:spacing w:val="14"/>
          <w:sz w:val="17"/>
        </w:rPr>
        <w:t> </w:t>
      </w:r>
      <w:r>
        <w:rPr>
          <w:color w:val="231F20"/>
          <w:sz w:val="17"/>
        </w:rPr>
        <w:t>les</w:t>
      </w:r>
      <w:r>
        <w:rPr>
          <w:color w:val="231F20"/>
          <w:spacing w:val="15"/>
          <w:sz w:val="17"/>
        </w:rPr>
        <w:t> </w:t>
      </w:r>
      <w:r>
        <w:rPr>
          <w:color w:val="231F20"/>
          <w:sz w:val="17"/>
        </w:rPr>
        <w:t>autorités</w:t>
      </w:r>
      <w:r>
        <w:rPr>
          <w:color w:val="231F20"/>
          <w:spacing w:val="14"/>
          <w:sz w:val="17"/>
        </w:rPr>
        <w:t> </w:t>
      </w:r>
      <w:r>
        <w:rPr>
          <w:color w:val="231F20"/>
          <w:sz w:val="17"/>
        </w:rPr>
        <w:t>fiscales;</w:t>
      </w:r>
    </w:p>
    <w:p>
      <w:pPr>
        <w:pStyle w:val="ListParagraph"/>
        <w:numPr>
          <w:ilvl w:val="0"/>
          <w:numId w:val="81"/>
        </w:numPr>
        <w:tabs>
          <w:tab w:pos="445" w:val="left" w:leader="none"/>
        </w:tabs>
        <w:spacing w:line="240" w:lineRule="auto" w:before="69" w:after="0"/>
        <w:ind w:left="444" w:right="0" w:hanging="161"/>
        <w:jc w:val="left"/>
        <w:rPr>
          <w:sz w:val="17"/>
        </w:rPr>
      </w:pPr>
      <w:r>
        <w:rPr>
          <w:color w:val="231F20"/>
          <w:sz w:val="17"/>
        </w:rPr>
        <w:t>le</w:t>
      </w:r>
      <w:r>
        <w:rPr>
          <w:color w:val="231F20"/>
          <w:spacing w:val="15"/>
          <w:sz w:val="17"/>
        </w:rPr>
        <w:t> </w:t>
      </w:r>
      <w:r>
        <w:rPr>
          <w:color w:val="231F20"/>
          <w:sz w:val="17"/>
        </w:rPr>
        <w:t>calcul</w:t>
      </w:r>
      <w:r>
        <w:rPr>
          <w:color w:val="231F20"/>
          <w:spacing w:val="16"/>
          <w:sz w:val="17"/>
        </w:rPr>
        <w:t> </w:t>
      </w:r>
      <w:r>
        <w:rPr>
          <w:color w:val="231F20"/>
          <w:sz w:val="17"/>
        </w:rPr>
        <w:t>de</w:t>
      </w:r>
      <w:r>
        <w:rPr>
          <w:color w:val="231F20"/>
          <w:spacing w:val="16"/>
          <w:sz w:val="17"/>
        </w:rPr>
        <w:t> </w:t>
      </w:r>
      <w:r>
        <w:rPr>
          <w:color w:val="231F20"/>
          <w:sz w:val="17"/>
        </w:rPr>
        <w:t>l’impôt</w:t>
      </w:r>
      <w:r>
        <w:rPr>
          <w:color w:val="231F20"/>
          <w:spacing w:val="16"/>
          <w:sz w:val="17"/>
        </w:rPr>
        <w:t> </w:t>
      </w:r>
      <w:r>
        <w:rPr>
          <w:color w:val="231F20"/>
          <w:sz w:val="17"/>
        </w:rPr>
        <w:t>direct</w:t>
      </w:r>
      <w:r>
        <w:rPr>
          <w:color w:val="231F20"/>
          <w:spacing w:val="15"/>
          <w:sz w:val="17"/>
        </w:rPr>
        <w:t> </w:t>
      </w:r>
      <w:r>
        <w:rPr>
          <w:color w:val="231F20"/>
          <w:sz w:val="17"/>
        </w:rPr>
        <w:t>et</w:t>
      </w:r>
      <w:r>
        <w:rPr>
          <w:color w:val="231F20"/>
          <w:spacing w:val="16"/>
          <w:sz w:val="17"/>
        </w:rPr>
        <w:t> </w:t>
      </w:r>
      <w:r>
        <w:rPr>
          <w:color w:val="231F20"/>
          <w:sz w:val="17"/>
        </w:rPr>
        <w:t>indirect</w:t>
      </w:r>
      <w:r>
        <w:rPr>
          <w:color w:val="231F20"/>
          <w:spacing w:val="16"/>
          <w:sz w:val="17"/>
        </w:rPr>
        <w:t> </w:t>
      </w:r>
      <w:r>
        <w:rPr>
          <w:color w:val="231F20"/>
          <w:sz w:val="17"/>
        </w:rPr>
        <w:t>ainsi</w:t>
      </w:r>
      <w:r>
        <w:rPr>
          <w:color w:val="231F20"/>
          <w:spacing w:val="16"/>
          <w:sz w:val="17"/>
        </w:rPr>
        <w:t> </w:t>
      </w:r>
      <w:r>
        <w:rPr>
          <w:color w:val="231F20"/>
          <w:sz w:val="17"/>
        </w:rPr>
        <w:t>que</w:t>
      </w:r>
      <w:r>
        <w:rPr>
          <w:color w:val="231F20"/>
          <w:spacing w:val="16"/>
          <w:sz w:val="17"/>
        </w:rPr>
        <w:t> </w:t>
      </w:r>
      <w:r>
        <w:rPr>
          <w:color w:val="231F20"/>
          <w:sz w:val="17"/>
        </w:rPr>
        <w:t>de</w:t>
      </w:r>
      <w:r>
        <w:rPr>
          <w:color w:val="231F20"/>
          <w:spacing w:val="15"/>
          <w:sz w:val="17"/>
        </w:rPr>
        <w:t> </w:t>
      </w:r>
      <w:r>
        <w:rPr>
          <w:color w:val="231F20"/>
          <w:sz w:val="17"/>
        </w:rPr>
        <w:t>l’impôt</w:t>
      </w:r>
      <w:r>
        <w:rPr>
          <w:color w:val="231F20"/>
          <w:spacing w:val="16"/>
          <w:sz w:val="17"/>
        </w:rPr>
        <w:t> </w:t>
      </w:r>
      <w:r>
        <w:rPr>
          <w:color w:val="231F20"/>
          <w:sz w:val="17"/>
        </w:rPr>
        <w:t>différé;</w:t>
      </w:r>
    </w:p>
    <w:p>
      <w:pPr>
        <w:pStyle w:val="BodyText"/>
        <w:spacing w:before="2"/>
        <w:ind w:left="0" w:right="0" w:firstLine="0"/>
        <w:jc w:val="left"/>
        <w:rPr>
          <w:sz w:val="21"/>
        </w:rPr>
      </w:pPr>
    </w:p>
    <w:p>
      <w:pPr>
        <w:pStyle w:val="ListParagraph"/>
        <w:numPr>
          <w:ilvl w:val="0"/>
          <w:numId w:val="81"/>
        </w:numPr>
        <w:tabs>
          <w:tab w:pos="483" w:val="left" w:leader="none"/>
        </w:tabs>
        <w:spacing w:line="240" w:lineRule="auto" w:before="0" w:after="0"/>
        <w:ind w:left="482" w:right="0" w:hanging="199"/>
        <w:jc w:val="left"/>
        <w:rPr>
          <w:sz w:val="17"/>
        </w:rPr>
      </w:pPr>
      <w:r>
        <w:rPr>
          <w:color w:val="231F20"/>
          <w:sz w:val="17"/>
        </w:rPr>
        <w:t>la fourniture de conseils</w:t>
      </w:r>
      <w:r>
        <w:rPr>
          <w:color w:val="231F20"/>
          <w:spacing w:val="18"/>
          <w:sz w:val="17"/>
        </w:rPr>
        <w:t> </w:t>
      </w:r>
      <w:r>
        <w:rPr>
          <w:color w:val="231F20"/>
          <w:sz w:val="17"/>
        </w:rPr>
        <w:t>fiscaux;</w:t>
      </w:r>
    </w:p>
    <w:p>
      <w:pPr>
        <w:pStyle w:val="BodyText"/>
        <w:spacing w:line="218" w:lineRule="auto" w:before="82"/>
        <w:ind w:right="38"/>
      </w:pPr>
      <w:r>
        <w:rPr>
          <w:color w:val="231F20"/>
        </w:rPr>
        <w:t>2° les services juridiques ayant trait à la fourniture de conseils généraux;</w:t>
      </w:r>
    </w:p>
    <w:p>
      <w:pPr>
        <w:pStyle w:val="BodyText"/>
        <w:spacing w:before="72"/>
        <w:ind w:left="283" w:right="0" w:firstLine="0"/>
        <w:jc w:val="left"/>
      </w:pPr>
      <w:r>
        <w:rPr>
          <w:color w:val="231F20"/>
        </w:rPr>
        <w:t>3° les services de paie;</w:t>
      </w:r>
    </w:p>
    <w:p>
      <w:pPr>
        <w:pStyle w:val="BodyText"/>
        <w:spacing w:line="218" w:lineRule="auto" w:before="82"/>
        <w:ind w:right="38"/>
      </w:pPr>
      <w:r>
        <w:rPr>
          <w:color w:val="231F20"/>
        </w:rPr>
        <w:t>4° la promotion, le commerce ou la souscription d’actions ou de parts de la société soumise au contrôle légal;</w:t>
      </w:r>
    </w:p>
    <w:p>
      <w:pPr>
        <w:pStyle w:val="BodyText"/>
        <w:spacing w:line="218" w:lineRule="auto" w:before="85"/>
        <w:ind w:right="38"/>
      </w:pPr>
      <w:r>
        <w:rPr>
          <w:color w:val="231F20"/>
        </w:rPr>
        <w:t>5° les services liés au financement, à la structure, ainsi qu’à l’allocation des capitaux et à la stratégie d’investissement de la société soumise au contrôle légal, sauf en ce qui concerne la fourniture</w:t>
      </w:r>
      <w:r>
        <w:rPr>
          <w:color w:val="231F20"/>
          <w:spacing w:val="23"/>
        </w:rPr>
        <w:t> </w:t>
      </w:r>
      <w:r>
        <w:rPr>
          <w:color w:val="231F20"/>
        </w:rPr>
        <w:t>de services d’assurance en rapport avec les états financiers, telle que l’émission de lettres de confort en lien avec des prospectus émis par</w:t>
      </w:r>
      <w:r>
        <w:rPr>
          <w:color w:val="231F20"/>
          <w:spacing w:val="-14"/>
        </w:rPr>
        <w:t> </w:t>
      </w:r>
      <w:r>
        <w:rPr>
          <w:color w:val="231F20"/>
        </w:rPr>
        <w:t>une société soumise au contrôle</w:t>
      </w:r>
      <w:r>
        <w:rPr>
          <w:color w:val="231F20"/>
          <w:spacing w:val="19"/>
        </w:rPr>
        <w:t> </w:t>
      </w:r>
      <w:r>
        <w:rPr>
          <w:color w:val="231F20"/>
        </w:rPr>
        <w:t>légal.</w:t>
      </w:r>
    </w:p>
    <w:p>
      <w:pPr>
        <w:pStyle w:val="BodyText"/>
        <w:ind w:left="0" w:right="0" w:firstLine="0"/>
        <w:jc w:val="left"/>
        <w:rPr>
          <w:sz w:val="23"/>
        </w:rPr>
      </w:pPr>
    </w:p>
    <w:p>
      <w:pPr>
        <w:pStyle w:val="BodyText"/>
        <w:spacing w:line="218" w:lineRule="auto"/>
        <w:ind w:right="39"/>
      </w:pPr>
      <w:r>
        <w:rPr>
          <w:color w:val="231F20"/>
        </w:rPr>
        <w:t>§ 4. En application de l’article 5, § 3, du règlement (UE) n° 537/2014, les services non-audit visés au paragraphe 2, 4°, et au paragraphe 3, 1°,</w:t>
      </w:r>
    </w:p>
    <w:p>
      <w:pPr>
        <w:pStyle w:val="ListParagraph"/>
        <w:numPr>
          <w:ilvl w:val="0"/>
          <w:numId w:val="82"/>
        </w:numPr>
        <w:tabs>
          <w:tab w:pos="321" w:val="left" w:leader="none"/>
        </w:tabs>
        <w:spacing w:line="218" w:lineRule="auto" w:before="0" w:after="0"/>
        <w:ind w:left="113" w:right="38" w:firstLine="0"/>
        <w:jc w:val="left"/>
        <w:rPr>
          <w:sz w:val="17"/>
        </w:rPr>
      </w:pPr>
      <w:r>
        <w:rPr>
          <w:color w:val="231F20"/>
          <w:sz w:val="17"/>
        </w:rPr>
        <w:t>et </w:t>
      </w:r>
      <w:r>
        <w:rPr>
          <w:rFonts w:ascii="Times New Roman" w:hAnsi="Times New Roman"/>
          <w:i/>
          <w:color w:val="231F20"/>
          <w:sz w:val="17"/>
        </w:rPr>
        <w:t>d) </w:t>
      </w:r>
      <w:r>
        <w:rPr>
          <w:color w:val="231F20"/>
          <w:sz w:val="17"/>
        </w:rPr>
        <w:t>à </w:t>
      </w:r>
      <w:r>
        <w:rPr>
          <w:rFonts w:ascii="Times New Roman" w:hAnsi="Times New Roman"/>
          <w:i/>
          <w:color w:val="231F20"/>
          <w:sz w:val="17"/>
        </w:rPr>
        <w:t>g)</w:t>
      </w:r>
      <w:r>
        <w:rPr>
          <w:color w:val="231F20"/>
          <w:sz w:val="17"/>
        </w:rPr>
        <w:t>, sont cependant autorisés à condition que les exigences cumulatives suivantes soient</w:t>
      </w:r>
      <w:r>
        <w:rPr>
          <w:color w:val="231F20"/>
          <w:spacing w:val="4"/>
          <w:sz w:val="17"/>
        </w:rPr>
        <w:t> </w:t>
      </w:r>
      <w:r>
        <w:rPr>
          <w:color w:val="231F20"/>
          <w:sz w:val="17"/>
        </w:rPr>
        <w:t>respectées:</w:t>
      </w:r>
    </w:p>
    <w:p>
      <w:pPr>
        <w:pStyle w:val="ListParagraph"/>
        <w:numPr>
          <w:ilvl w:val="1"/>
          <w:numId w:val="82"/>
        </w:numPr>
        <w:tabs>
          <w:tab w:pos="469" w:val="left" w:leader="none"/>
        </w:tabs>
        <w:spacing w:line="218" w:lineRule="auto" w:before="81" w:after="0"/>
        <w:ind w:left="113" w:right="38" w:firstLine="170"/>
        <w:jc w:val="both"/>
        <w:rPr>
          <w:sz w:val="17"/>
        </w:rPr>
      </w:pPr>
      <w:r>
        <w:rPr>
          <w:color w:val="231F20"/>
          <w:sz w:val="17"/>
        </w:rPr>
        <w:t>les services n’ont pas d’effet direct ou ont un </w:t>
      </w:r>
      <w:r>
        <w:rPr>
          <w:color w:val="231F20"/>
          <w:spacing w:val="-3"/>
          <w:sz w:val="17"/>
        </w:rPr>
        <w:t>effet </w:t>
      </w:r>
      <w:r>
        <w:rPr>
          <w:color w:val="231F20"/>
          <w:sz w:val="17"/>
        </w:rPr>
        <w:t>peu significatif, séparément</w:t>
      </w:r>
      <w:r>
        <w:rPr>
          <w:color w:val="231F20"/>
          <w:spacing w:val="10"/>
          <w:sz w:val="17"/>
        </w:rPr>
        <w:t> </w:t>
      </w:r>
      <w:r>
        <w:rPr>
          <w:color w:val="231F20"/>
          <w:sz w:val="17"/>
        </w:rPr>
        <w:t>ou</w:t>
      </w:r>
      <w:r>
        <w:rPr>
          <w:color w:val="231F20"/>
          <w:spacing w:val="11"/>
          <w:sz w:val="17"/>
        </w:rPr>
        <w:t> </w:t>
      </w:r>
      <w:r>
        <w:rPr>
          <w:color w:val="231F20"/>
          <w:sz w:val="17"/>
        </w:rPr>
        <w:t>dans</w:t>
      </w:r>
      <w:r>
        <w:rPr>
          <w:color w:val="231F20"/>
          <w:spacing w:val="11"/>
          <w:sz w:val="17"/>
        </w:rPr>
        <w:t> </w:t>
      </w:r>
      <w:r>
        <w:rPr>
          <w:color w:val="231F20"/>
          <w:sz w:val="17"/>
        </w:rPr>
        <w:t>leur</w:t>
      </w:r>
      <w:r>
        <w:rPr>
          <w:color w:val="231F20"/>
          <w:spacing w:val="11"/>
          <w:sz w:val="17"/>
        </w:rPr>
        <w:t> </w:t>
      </w:r>
      <w:r>
        <w:rPr>
          <w:color w:val="231F20"/>
          <w:sz w:val="17"/>
        </w:rPr>
        <w:t>ensemble,</w:t>
      </w:r>
      <w:r>
        <w:rPr>
          <w:color w:val="231F20"/>
          <w:spacing w:val="11"/>
          <w:sz w:val="17"/>
        </w:rPr>
        <w:t> </w:t>
      </w:r>
      <w:r>
        <w:rPr>
          <w:color w:val="231F20"/>
          <w:sz w:val="17"/>
        </w:rPr>
        <w:t>sur</w:t>
      </w:r>
      <w:r>
        <w:rPr>
          <w:color w:val="231F20"/>
          <w:spacing w:val="11"/>
          <w:sz w:val="17"/>
        </w:rPr>
        <w:t> </w:t>
      </w:r>
      <w:r>
        <w:rPr>
          <w:color w:val="231F20"/>
          <w:sz w:val="17"/>
        </w:rPr>
        <w:t>les</w:t>
      </w:r>
      <w:r>
        <w:rPr>
          <w:color w:val="231F20"/>
          <w:spacing w:val="11"/>
          <w:sz w:val="17"/>
        </w:rPr>
        <w:t> </w:t>
      </w:r>
      <w:r>
        <w:rPr>
          <w:color w:val="231F20"/>
          <w:sz w:val="17"/>
        </w:rPr>
        <w:t>comptes</w:t>
      </w:r>
      <w:r>
        <w:rPr>
          <w:color w:val="231F20"/>
          <w:spacing w:val="11"/>
          <w:sz w:val="17"/>
        </w:rPr>
        <w:t> </w:t>
      </w:r>
      <w:r>
        <w:rPr>
          <w:color w:val="231F20"/>
          <w:sz w:val="17"/>
        </w:rPr>
        <w:t>annuels</w:t>
      </w:r>
      <w:r>
        <w:rPr>
          <w:color w:val="231F20"/>
          <w:spacing w:val="11"/>
          <w:sz w:val="17"/>
        </w:rPr>
        <w:t> </w:t>
      </w:r>
      <w:r>
        <w:rPr>
          <w:color w:val="231F20"/>
          <w:sz w:val="17"/>
        </w:rPr>
        <w:t>contrôlés;</w:t>
      </w:r>
    </w:p>
    <w:p>
      <w:pPr>
        <w:pStyle w:val="BodyText"/>
        <w:spacing w:before="8"/>
        <w:ind w:left="0" w:right="0" w:firstLine="0"/>
        <w:jc w:val="left"/>
        <w:rPr>
          <w:sz w:val="22"/>
        </w:rPr>
      </w:pPr>
    </w:p>
    <w:p>
      <w:pPr>
        <w:pStyle w:val="ListParagraph"/>
        <w:numPr>
          <w:ilvl w:val="1"/>
          <w:numId w:val="82"/>
        </w:numPr>
        <w:tabs>
          <w:tab w:pos="515" w:val="left" w:leader="none"/>
        </w:tabs>
        <w:spacing w:line="218" w:lineRule="auto" w:before="1" w:after="0"/>
        <w:ind w:left="113" w:right="38" w:firstLine="170"/>
        <w:jc w:val="both"/>
        <w:rPr>
          <w:sz w:val="17"/>
        </w:rPr>
      </w:pPr>
      <w:r>
        <w:rPr>
          <w:color w:val="231F20"/>
          <w:sz w:val="17"/>
        </w:rPr>
        <w:t>l’appréciation de l’effet sur les comptes annuels contrôlés est documenté et expliqué de manière complète dans le rapport complé- mentaire destiné au comité d’audit visé à l’article </w:t>
      </w:r>
      <w:r>
        <w:rPr>
          <w:color w:val="231F20"/>
          <w:spacing w:val="-5"/>
          <w:sz w:val="17"/>
        </w:rPr>
        <w:t>11 </w:t>
      </w:r>
      <w:r>
        <w:rPr>
          <w:color w:val="231F20"/>
          <w:sz w:val="17"/>
        </w:rPr>
        <w:t>du règlement (UE) n°</w:t>
      </w:r>
      <w:r>
        <w:rPr>
          <w:color w:val="231F20"/>
          <w:spacing w:val="14"/>
          <w:sz w:val="17"/>
        </w:rPr>
        <w:t> </w:t>
      </w:r>
      <w:r>
        <w:rPr>
          <w:color w:val="231F20"/>
          <w:sz w:val="17"/>
        </w:rPr>
        <w:t>537/2014;</w:t>
      </w:r>
    </w:p>
    <w:p>
      <w:pPr>
        <w:pStyle w:val="ListParagraph"/>
        <w:numPr>
          <w:ilvl w:val="1"/>
          <w:numId w:val="82"/>
        </w:numPr>
        <w:tabs>
          <w:tab w:pos="465" w:val="left" w:leader="none"/>
        </w:tabs>
        <w:spacing w:line="218" w:lineRule="auto" w:before="93" w:after="0"/>
        <w:ind w:left="113" w:right="38" w:firstLine="170"/>
        <w:jc w:val="both"/>
        <w:rPr>
          <w:sz w:val="17"/>
        </w:rPr>
      </w:pPr>
      <w:r>
        <w:rPr>
          <w:color w:val="231F20"/>
          <w:sz w:val="17"/>
        </w:rPr>
        <w:t>le commissaire respecte les principes généraux en matière d’indé- pendance.</w:t>
      </w:r>
    </w:p>
    <w:p>
      <w:pPr>
        <w:pStyle w:val="BodyText"/>
        <w:spacing w:line="218" w:lineRule="auto" w:before="96"/>
        <w:ind w:right="38"/>
      </w:pPr>
      <w:r>
        <w:rPr>
          <w:color w:val="231F20"/>
        </w:rPr>
        <w:t>§ 5. Conformément à l’article 5, § 4, du règlement (UE) n° 537/2014, le commissaire dans une entité d’intérêt public visée à l’article 1:12 et, lorsque le commissaire fait partie d’un réseau visé à l’article 3:56, tout membre de ce réseau peut fournir des services non-audit qui ne sont pas interdits à cette entité d’intérêt public, à sa société mère ou aux entreprises qu’elle contrôle à condition que le comité d’audit donne son approbation.</w:t>
      </w:r>
    </w:p>
    <w:p>
      <w:pPr>
        <w:pStyle w:val="BodyText"/>
        <w:ind w:left="0" w:right="0" w:firstLine="0"/>
        <w:jc w:val="left"/>
        <w:rPr>
          <w:sz w:val="24"/>
        </w:rPr>
      </w:pPr>
    </w:p>
    <w:p>
      <w:pPr>
        <w:pStyle w:val="BodyText"/>
        <w:spacing w:line="218" w:lineRule="auto"/>
        <w:ind w:right="38"/>
      </w:pPr>
      <w:r>
        <w:rPr>
          <w:color w:val="231F20"/>
        </w:rPr>
        <w:t>Le comité d’audit émet des lignes directrices, le cas échéant, en ce qui concerne les services visés au paragraphe 4.</w:t>
      </w:r>
    </w:p>
    <w:p>
      <w:pPr>
        <w:pStyle w:val="BodyText"/>
        <w:spacing w:line="218" w:lineRule="auto" w:before="96"/>
        <w:ind w:right="38"/>
      </w:pPr>
      <w:r>
        <w:rPr>
          <w:color w:val="231F20"/>
        </w:rPr>
        <w:t>§ 6. Lorsqu’un membre du réseau </w:t>
      </w:r>
      <w:r>
        <w:rPr>
          <w:color w:val="231F20"/>
          <w:spacing w:val="4"/>
        </w:rPr>
        <w:t>visé </w:t>
      </w:r>
      <w:r>
        <w:rPr>
          <w:color w:val="231F20"/>
        </w:rPr>
        <w:t>à l’article 3:56 dont relève le commissaire fournit l’un des services autres que d’audit, visés aux paragraphes 2 ou 3, à une entreprise ayant une personnalité juridique dans un pays qui ne fait pas partie de l’Union européenne ou de l’Espace économique européen qui est contrôlée par la société soumise au contrôle légal, le commissaire apprécie si son indépendance serait compromise</w:t>
      </w:r>
      <w:r>
        <w:rPr>
          <w:color w:val="231F20"/>
          <w:spacing w:val="15"/>
        </w:rPr>
        <w:t> </w:t>
      </w:r>
      <w:r>
        <w:rPr>
          <w:color w:val="231F20"/>
        </w:rPr>
        <w:t>par</w:t>
      </w:r>
      <w:r>
        <w:rPr>
          <w:color w:val="231F20"/>
          <w:spacing w:val="16"/>
        </w:rPr>
        <w:t> </w:t>
      </w:r>
      <w:r>
        <w:rPr>
          <w:color w:val="231F20"/>
        </w:rPr>
        <w:t>cette</w:t>
      </w:r>
      <w:r>
        <w:rPr>
          <w:color w:val="231F20"/>
          <w:spacing w:val="16"/>
        </w:rPr>
        <w:t> </w:t>
      </w:r>
      <w:r>
        <w:rPr>
          <w:color w:val="231F20"/>
        </w:rPr>
        <w:t>prestation</w:t>
      </w:r>
      <w:r>
        <w:rPr>
          <w:color w:val="231F20"/>
          <w:spacing w:val="15"/>
        </w:rPr>
        <w:t> </w:t>
      </w:r>
      <w:r>
        <w:rPr>
          <w:color w:val="231F20"/>
        </w:rPr>
        <w:t>de</w:t>
      </w:r>
      <w:r>
        <w:rPr>
          <w:color w:val="231F20"/>
          <w:spacing w:val="16"/>
        </w:rPr>
        <w:t> </w:t>
      </w:r>
      <w:r>
        <w:rPr>
          <w:color w:val="231F20"/>
        </w:rPr>
        <w:t>services</w:t>
      </w:r>
      <w:r>
        <w:rPr>
          <w:color w:val="231F20"/>
          <w:spacing w:val="16"/>
        </w:rPr>
        <w:t> </w:t>
      </w:r>
      <w:r>
        <w:rPr>
          <w:color w:val="231F20"/>
        </w:rPr>
        <w:t>du</w:t>
      </w:r>
      <w:r>
        <w:rPr>
          <w:color w:val="231F20"/>
          <w:spacing w:val="15"/>
        </w:rPr>
        <w:t> </w:t>
      </w:r>
      <w:r>
        <w:rPr>
          <w:color w:val="231F20"/>
        </w:rPr>
        <w:t>membre</w:t>
      </w:r>
      <w:r>
        <w:rPr>
          <w:color w:val="231F20"/>
          <w:spacing w:val="16"/>
        </w:rPr>
        <w:t> </w:t>
      </w:r>
      <w:r>
        <w:rPr>
          <w:color w:val="231F20"/>
        </w:rPr>
        <w:t>du</w:t>
      </w:r>
      <w:r>
        <w:rPr>
          <w:color w:val="231F20"/>
          <w:spacing w:val="16"/>
        </w:rPr>
        <w:t> </w:t>
      </w:r>
      <w:r>
        <w:rPr>
          <w:color w:val="231F20"/>
        </w:rPr>
        <w:t>réseau.</w:t>
      </w:r>
    </w:p>
    <w:p>
      <w:pPr>
        <w:pStyle w:val="BodyText"/>
        <w:spacing w:before="105"/>
        <w:ind w:left="283" w:right="0" w:firstLine="0"/>
        <w:jc w:val="left"/>
      </w:pPr>
      <w:r>
        <w:rPr/>
        <w:br w:type="column"/>
      </w:r>
      <w:r>
        <w:rPr>
          <w:color w:val="231F20"/>
        </w:rPr>
        <w:t>7° personeelsdiensten met betrekking tot:</w:t>
      </w:r>
    </w:p>
    <w:p>
      <w:pPr>
        <w:pStyle w:val="ListParagraph"/>
        <w:numPr>
          <w:ilvl w:val="0"/>
          <w:numId w:val="83"/>
        </w:numPr>
        <w:tabs>
          <w:tab w:pos="520" w:val="left" w:leader="none"/>
        </w:tabs>
        <w:spacing w:line="218" w:lineRule="auto" w:before="80" w:after="0"/>
        <w:ind w:left="113" w:right="124" w:firstLine="170"/>
        <w:jc w:val="both"/>
        <w:rPr>
          <w:sz w:val="17"/>
        </w:rPr>
      </w:pPr>
      <w:r>
        <w:rPr>
          <w:color w:val="231F20"/>
          <w:sz w:val="17"/>
        </w:rPr>
        <w:t>leidinggevenden die zich in een positie bevinden waarin zij wezenlijke invloed kunnen uitoefenen op de opstelling van boekhoud- kundige documenten of financiële overzichten waarop de wettelijke controle betrekking heeft, indien dergelijke diensten het volgende behelzen:</w:t>
      </w:r>
    </w:p>
    <w:p>
      <w:pPr>
        <w:pStyle w:val="ListParagraph"/>
        <w:numPr>
          <w:ilvl w:val="0"/>
          <w:numId w:val="84"/>
        </w:numPr>
        <w:tabs>
          <w:tab w:pos="480" w:val="left" w:leader="none"/>
        </w:tabs>
        <w:spacing w:line="218" w:lineRule="auto" w:before="86" w:after="0"/>
        <w:ind w:left="113" w:right="124" w:firstLine="170"/>
        <w:jc w:val="both"/>
        <w:rPr>
          <w:sz w:val="17"/>
        </w:rPr>
      </w:pPr>
      <w:r>
        <w:rPr>
          <w:color w:val="231F20"/>
          <w:sz w:val="17"/>
        </w:rPr>
        <w:t>de zoektocht naar of de benadering van kandidaten voor een dergelijke functie;</w:t>
      </w:r>
      <w:r>
        <w:rPr>
          <w:color w:val="231F20"/>
          <w:spacing w:val="-12"/>
          <w:sz w:val="17"/>
        </w:rPr>
        <w:t> </w:t>
      </w:r>
      <w:r>
        <w:rPr>
          <w:color w:val="231F20"/>
          <w:sz w:val="17"/>
        </w:rPr>
        <w:t>of</w:t>
      </w:r>
    </w:p>
    <w:p>
      <w:pPr>
        <w:pStyle w:val="ListParagraph"/>
        <w:numPr>
          <w:ilvl w:val="0"/>
          <w:numId w:val="84"/>
        </w:numPr>
        <w:tabs>
          <w:tab w:pos="525" w:val="left" w:leader="none"/>
        </w:tabs>
        <w:spacing w:line="218" w:lineRule="auto" w:before="85" w:after="0"/>
        <w:ind w:left="113" w:right="124" w:firstLine="170"/>
        <w:jc w:val="both"/>
        <w:rPr>
          <w:sz w:val="17"/>
        </w:rPr>
      </w:pPr>
      <w:r>
        <w:rPr>
          <w:color w:val="231F20"/>
          <w:sz w:val="17"/>
        </w:rPr>
        <w:t>de controle van de referenties van kandidaten voor dergelijke functies;</w:t>
      </w:r>
    </w:p>
    <w:p>
      <w:pPr>
        <w:pStyle w:val="ListParagraph"/>
        <w:numPr>
          <w:ilvl w:val="0"/>
          <w:numId w:val="83"/>
        </w:numPr>
        <w:tabs>
          <w:tab w:pos="477" w:val="left" w:leader="none"/>
        </w:tabs>
        <w:spacing w:line="240" w:lineRule="auto" w:before="69" w:after="0"/>
        <w:ind w:left="476" w:right="0" w:hanging="193"/>
        <w:jc w:val="left"/>
        <w:rPr>
          <w:sz w:val="17"/>
        </w:rPr>
      </w:pPr>
      <w:r>
        <w:rPr>
          <w:color w:val="231F20"/>
          <w:sz w:val="17"/>
        </w:rPr>
        <w:t>de</w:t>
      </w:r>
      <w:r>
        <w:rPr>
          <w:color w:val="231F20"/>
          <w:spacing w:val="16"/>
          <w:sz w:val="17"/>
        </w:rPr>
        <w:t> </w:t>
      </w:r>
      <w:r>
        <w:rPr>
          <w:color w:val="231F20"/>
          <w:sz w:val="17"/>
        </w:rPr>
        <w:t>structurering</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opzet</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6"/>
          <w:sz w:val="17"/>
        </w:rPr>
        <w:t> </w:t>
      </w:r>
      <w:r>
        <w:rPr>
          <w:color w:val="231F20"/>
          <w:sz w:val="17"/>
        </w:rPr>
        <w:t>organisatie;</w:t>
      </w:r>
      <w:r>
        <w:rPr>
          <w:color w:val="231F20"/>
          <w:spacing w:val="16"/>
          <w:sz w:val="17"/>
        </w:rPr>
        <w:t> </w:t>
      </w:r>
      <w:r>
        <w:rPr>
          <w:color w:val="231F20"/>
          <w:sz w:val="17"/>
        </w:rPr>
        <w:t>en</w:t>
      </w:r>
    </w:p>
    <w:p>
      <w:pPr>
        <w:pStyle w:val="ListParagraph"/>
        <w:numPr>
          <w:ilvl w:val="0"/>
          <w:numId w:val="83"/>
        </w:numPr>
        <w:tabs>
          <w:tab w:pos="467" w:val="left" w:leader="none"/>
        </w:tabs>
        <w:spacing w:line="240" w:lineRule="auto" w:before="65" w:after="0"/>
        <w:ind w:left="466" w:right="0" w:hanging="183"/>
        <w:jc w:val="left"/>
        <w:rPr>
          <w:sz w:val="17"/>
        </w:rPr>
      </w:pPr>
      <w:r>
        <w:rPr>
          <w:color w:val="231F20"/>
          <w:sz w:val="17"/>
        </w:rPr>
        <w:t>kostenbeheersing.</w:t>
      </w:r>
    </w:p>
    <w:p>
      <w:pPr>
        <w:pStyle w:val="BodyText"/>
        <w:spacing w:line="218" w:lineRule="auto" w:before="82"/>
        <w:ind w:right="119"/>
      </w:pPr>
      <w:r>
        <w:rPr>
          <w:color w:val="231F20"/>
        </w:rPr>
        <w:t>§ 3. Met toepassing van artikel 5, § 1, tweede lid, van de verordening (EU) nr. 537/2014, wordt in het geval van een wettelijke controle van een organisatie van openbaar belang bedoeld in artikel 1:12, voor de toepassing van paragraaf 1 eveneens onder verboden niet- controlediensten verstaan, naast de diensten bedoeld in paragraaf 2:</w:t>
      </w:r>
    </w:p>
    <w:p>
      <w:pPr>
        <w:pStyle w:val="BodyText"/>
        <w:spacing w:before="71"/>
        <w:ind w:left="283" w:right="0" w:firstLine="0"/>
        <w:jc w:val="left"/>
      </w:pPr>
      <w:r>
        <w:rPr>
          <w:color w:val="231F20"/>
        </w:rPr>
        <w:t>1° verlening van belastingdiensten met betrekking tot:</w:t>
      </w:r>
    </w:p>
    <w:p>
      <w:pPr>
        <w:pStyle w:val="ListParagraph"/>
        <w:numPr>
          <w:ilvl w:val="0"/>
          <w:numId w:val="85"/>
        </w:numPr>
        <w:tabs>
          <w:tab w:pos="473" w:val="left" w:leader="none"/>
        </w:tabs>
        <w:spacing w:line="240" w:lineRule="auto" w:before="66" w:after="0"/>
        <w:ind w:left="113" w:right="0" w:firstLine="170"/>
        <w:jc w:val="left"/>
        <w:rPr>
          <w:sz w:val="17"/>
        </w:rPr>
      </w:pPr>
      <w:r>
        <w:rPr>
          <w:color w:val="231F20"/>
          <w:sz w:val="17"/>
        </w:rPr>
        <w:t>opstelling van</w:t>
      </w:r>
      <w:r>
        <w:rPr>
          <w:color w:val="231F20"/>
          <w:spacing w:val="-11"/>
          <w:sz w:val="17"/>
        </w:rPr>
        <w:t> </w:t>
      </w:r>
      <w:r>
        <w:rPr>
          <w:color w:val="231F20"/>
          <w:sz w:val="17"/>
        </w:rPr>
        <w:t>belastingformulieren;</w:t>
      </w:r>
    </w:p>
    <w:p>
      <w:pPr>
        <w:pStyle w:val="ListParagraph"/>
        <w:numPr>
          <w:ilvl w:val="0"/>
          <w:numId w:val="85"/>
        </w:numPr>
        <w:tabs>
          <w:tab w:pos="477" w:val="left" w:leader="none"/>
        </w:tabs>
        <w:spacing w:line="240" w:lineRule="auto" w:before="65" w:after="0"/>
        <w:ind w:left="476" w:right="0" w:hanging="193"/>
        <w:jc w:val="left"/>
        <w:rPr>
          <w:sz w:val="17"/>
        </w:rPr>
      </w:pPr>
      <w:r>
        <w:rPr>
          <w:color w:val="231F20"/>
          <w:sz w:val="17"/>
        </w:rPr>
        <w:t>loonbelasting;</w:t>
      </w:r>
    </w:p>
    <w:p>
      <w:pPr>
        <w:pStyle w:val="ListParagraph"/>
        <w:numPr>
          <w:ilvl w:val="0"/>
          <w:numId w:val="85"/>
        </w:numPr>
        <w:tabs>
          <w:tab w:pos="467" w:val="left" w:leader="none"/>
        </w:tabs>
        <w:spacing w:line="240" w:lineRule="auto" w:before="65" w:after="0"/>
        <w:ind w:left="466" w:right="0" w:hanging="183"/>
        <w:jc w:val="left"/>
        <w:rPr>
          <w:sz w:val="17"/>
        </w:rPr>
      </w:pPr>
      <w:r>
        <w:rPr>
          <w:color w:val="231F20"/>
          <w:sz w:val="17"/>
        </w:rPr>
        <w:t>douanerechten;</w:t>
      </w:r>
    </w:p>
    <w:p>
      <w:pPr>
        <w:pStyle w:val="ListParagraph"/>
        <w:numPr>
          <w:ilvl w:val="0"/>
          <w:numId w:val="85"/>
        </w:numPr>
        <w:tabs>
          <w:tab w:pos="469" w:val="left" w:leader="none"/>
        </w:tabs>
        <w:spacing w:line="218" w:lineRule="auto" w:before="79" w:after="0"/>
        <w:ind w:left="113" w:right="124" w:firstLine="170"/>
        <w:jc w:val="both"/>
        <w:rPr>
          <w:sz w:val="17"/>
        </w:rPr>
      </w:pPr>
      <w:r>
        <w:rPr>
          <w:color w:val="231F20"/>
          <w:sz w:val="17"/>
        </w:rPr>
        <w:t>identificatie van overheidssubsidies en belastingstimulansen tenzij steun van de wettelijke auditor of het auditkantoor voor dit soort diensten bij wet is</w:t>
      </w:r>
      <w:r>
        <w:rPr>
          <w:color w:val="231F20"/>
          <w:spacing w:val="19"/>
          <w:sz w:val="17"/>
        </w:rPr>
        <w:t> </w:t>
      </w:r>
      <w:r>
        <w:rPr>
          <w:color w:val="231F20"/>
          <w:sz w:val="17"/>
        </w:rPr>
        <w:t>verplicht;</w:t>
      </w:r>
    </w:p>
    <w:p>
      <w:pPr>
        <w:pStyle w:val="BodyText"/>
        <w:spacing w:before="9"/>
        <w:ind w:left="0" w:right="0" w:firstLine="0"/>
        <w:jc w:val="left"/>
        <w:rPr>
          <w:sz w:val="22"/>
        </w:rPr>
      </w:pPr>
    </w:p>
    <w:p>
      <w:pPr>
        <w:pStyle w:val="ListParagraph"/>
        <w:numPr>
          <w:ilvl w:val="0"/>
          <w:numId w:val="85"/>
        </w:numPr>
        <w:tabs>
          <w:tab w:pos="494" w:val="left" w:leader="none"/>
        </w:tabs>
        <w:spacing w:line="218" w:lineRule="auto" w:before="0" w:after="0"/>
        <w:ind w:left="113" w:right="124" w:firstLine="170"/>
        <w:jc w:val="both"/>
        <w:rPr>
          <w:sz w:val="17"/>
        </w:rPr>
      </w:pPr>
      <w:r>
        <w:rPr>
          <w:color w:val="231F20"/>
          <w:sz w:val="17"/>
        </w:rPr>
        <w:t>bijstand van de vennootschap, onderworpen aan de wettelijke controle, bij belastinginspecties door de</w:t>
      </w:r>
      <w:r>
        <w:rPr>
          <w:color w:val="231F20"/>
          <w:spacing w:val="25"/>
          <w:sz w:val="17"/>
        </w:rPr>
        <w:t> </w:t>
      </w:r>
      <w:r>
        <w:rPr>
          <w:color w:val="231F20"/>
          <w:sz w:val="17"/>
        </w:rPr>
        <w:t>belastingautoriteiten;</w:t>
      </w:r>
    </w:p>
    <w:p>
      <w:pPr>
        <w:pStyle w:val="ListParagraph"/>
        <w:numPr>
          <w:ilvl w:val="0"/>
          <w:numId w:val="85"/>
        </w:numPr>
        <w:tabs>
          <w:tab w:pos="482" w:val="left" w:leader="none"/>
        </w:tabs>
        <w:spacing w:line="218" w:lineRule="auto" w:before="83" w:after="0"/>
        <w:ind w:left="113" w:right="124" w:firstLine="170"/>
        <w:jc w:val="both"/>
        <w:rPr>
          <w:sz w:val="17"/>
        </w:rPr>
      </w:pPr>
      <w:r>
        <w:rPr>
          <w:color w:val="231F20"/>
          <w:sz w:val="17"/>
        </w:rPr>
        <w:t>berekening van directe en indirecte belastingen en uitgestelde belastingen;</w:t>
      </w:r>
    </w:p>
    <w:p>
      <w:pPr>
        <w:pStyle w:val="ListParagraph"/>
        <w:numPr>
          <w:ilvl w:val="0"/>
          <w:numId w:val="85"/>
        </w:numPr>
        <w:tabs>
          <w:tab w:pos="483" w:val="left" w:leader="none"/>
        </w:tabs>
        <w:spacing w:line="240" w:lineRule="auto" w:before="68" w:after="0"/>
        <w:ind w:left="482" w:right="0" w:hanging="199"/>
        <w:jc w:val="left"/>
        <w:rPr>
          <w:sz w:val="17"/>
        </w:rPr>
      </w:pPr>
      <w:r>
        <w:rPr>
          <w:color w:val="231F20"/>
          <w:sz w:val="17"/>
        </w:rPr>
        <w:t>verstrekking van</w:t>
      </w:r>
      <w:r>
        <w:rPr>
          <w:color w:val="231F20"/>
          <w:spacing w:val="-10"/>
          <w:sz w:val="17"/>
        </w:rPr>
        <w:t> </w:t>
      </w:r>
      <w:r>
        <w:rPr>
          <w:color w:val="231F20"/>
          <w:sz w:val="17"/>
        </w:rPr>
        <w:t>belastingadvies;</w:t>
      </w:r>
    </w:p>
    <w:p>
      <w:pPr>
        <w:pStyle w:val="BodyText"/>
        <w:spacing w:line="218" w:lineRule="auto" w:before="82"/>
      </w:pPr>
      <w:r>
        <w:rPr>
          <w:color w:val="231F20"/>
        </w:rPr>
        <w:t>2° juridische diensten met betrekking tot het geven van algemeen advies;</w:t>
      </w:r>
    </w:p>
    <w:p>
      <w:pPr>
        <w:pStyle w:val="BodyText"/>
        <w:spacing w:before="72"/>
        <w:ind w:left="283" w:right="0" w:firstLine="0"/>
        <w:jc w:val="left"/>
      </w:pPr>
      <w:r>
        <w:rPr>
          <w:color w:val="231F20"/>
        </w:rPr>
        <w:t>3° loonadministratie;</w:t>
      </w:r>
    </w:p>
    <w:p>
      <w:pPr>
        <w:pStyle w:val="BodyText"/>
        <w:spacing w:line="218" w:lineRule="auto" w:before="82"/>
      </w:pPr>
      <w:r>
        <w:rPr>
          <w:color w:val="231F20"/>
        </w:rPr>
        <w:t>4° de promotie van, handel in of inschrijving op aandelen in de vennootschap, onderworpen aan wettelijke controle;</w:t>
      </w:r>
    </w:p>
    <w:p>
      <w:pPr>
        <w:pStyle w:val="BodyText"/>
        <w:spacing w:line="218" w:lineRule="auto" w:before="85"/>
        <w:ind w:right="123"/>
      </w:pPr>
      <w:r>
        <w:rPr>
          <w:color w:val="231F20"/>
        </w:rPr>
        <w:t>5° diensten die verband houden met de financiering, de kapitaal- structuur en -toewijzing, en de investeringsstrategie van de vennoot- schap, onderworpen aan de wettelijke controle met uitzondering van  de verstrekking van assurancediensten in verband met financiële overzichten, waaronder de verschaffing van comfort letters met betrek- king tot door een aan wettelijke controle onderworpen vennootschap uitgegeven</w:t>
      </w:r>
      <w:r>
        <w:rPr>
          <w:color w:val="231F20"/>
          <w:spacing w:val="15"/>
        </w:rPr>
        <w:t> </w:t>
      </w:r>
      <w:r>
        <w:rPr>
          <w:color w:val="231F20"/>
        </w:rPr>
        <w:t>prospectussen.</w:t>
      </w:r>
    </w:p>
    <w:p>
      <w:pPr>
        <w:pStyle w:val="BodyText"/>
        <w:spacing w:line="218" w:lineRule="auto" w:before="86"/>
      </w:pPr>
      <w:r>
        <w:rPr>
          <w:color w:val="231F20"/>
        </w:rPr>
        <w:t>§ 4. Met toepassing van artikel 5, lid 3, van de verordening (EU)      </w:t>
      </w:r>
      <w:r>
        <w:rPr>
          <w:color w:val="231F20"/>
          <w:spacing w:val="-5"/>
        </w:rPr>
        <w:t>nr.</w:t>
      </w:r>
      <w:r>
        <w:rPr>
          <w:color w:val="231F20"/>
          <w:spacing w:val="-9"/>
        </w:rPr>
        <w:t> </w:t>
      </w:r>
      <w:r>
        <w:rPr>
          <w:color w:val="231F20"/>
        </w:rPr>
        <w:t>537/2014,</w:t>
      </w:r>
      <w:r>
        <w:rPr>
          <w:color w:val="231F20"/>
          <w:spacing w:val="-8"/>
        </w:rPr>
        <w:t> </w:t>
      </w:r>
      <w:r>
        <w:rPr>
          <w:color w:val="231F20"/>
        </w:rPr>
        <w:t>zijn</w:t>
      </w:r>
      <w:r>
        <w:rPr>
          <w:color w:val="231F20"/>
          <w:spacing w:val="-8"/>
        </w:rPr>
        <w:t> </w:t>
      </w:r>
      <w:r>
        <w:rPr>
          <w:color w:val="231F20"/>
        </w:rPr>
        <w:t>de</w:t>
      </w:r>
      <w:r>
        <w:rPr>
          <w:color w:val="231F20"/>
          <w:spacing w:val="-8"/>
        </w:rPr>
        <w:t> </w:t>
      </w:r>
      <w:r>
        <w:rPr>
          <w:color w:val="231F20"/>
        </w:rPr>
        <w:t>niet-controlediensten</w:t>
      </w:r>
      <w:r>
        <w:rPr>
          <w:color w:val="231F20"/>
          <w:spacing w:val="-8"/>
        </w:rPr>
        <w:t> </w:t>
      </w:r>
      <w:r>
        <w:rPr>
          <w:color w:val="231F20"/>
        </w:rPr>
        <w:t>bedoeld</w:t>
      </w:r>
      <w:r>
        <w:rPr>
          <w:color w:val="231F20"/>
          <w:spacing w:val="-9"/>
        </w:rPr>
        <w:t> </w:t>
      </w:r>
      <w:r>
        <w:rPr>
          <w:color w:val="231F20"/>
        </w:rPr>
        <w:t>in</w:t>
      </w:r>
      <w:r>
        <w:rPr>
          <w:color w:val="231F20"/>
          <w:spacing w:val="-8"/>
        </w:rPr>
        <w:t> </w:t>
      </w:r>
      <w:r>
        <w:rPr>
          <w:color w:val="231F20"/>
        </w:rPr>
        <w:t>paragraaf</w:t>
      </w:r>
      <w:r>
        <w:rPr>
          <w:color w:val="231F20"/>
          <w:spacing w:val="-8"/>
        </w:rPr>
        <w:t> </w:t>
      </w:r>
      <w:r>
        <w:rPr>
          <w:color w:val="231F20"/>
        </w:rPr>
        <w:t>2,</w:t>
      </w:r>
      <w:r>
        <w:rPr>
          <w:color w:val="231F20"/>
          <w:spacing w:val="-8"/>
        </w:rPr>
        <w:t> </w:t>
      </w:r>
      <w:r>
        <w:rPr>
          <w:color w:val="231F20"/>
        </w:rPr>
        <w:t>4°,</w:t>
      </w:r>
      <w:r>
        <w:rPr>
          <w:color w:val="231F20"/>
          <w:spacing w:val="-8"/>
        </w:rPr>
        <w:t> </w:t>
      </w:r>
      <w:r>
        <w:rPr>
          <w:color w:val="231F20"/>
        </w:rPr>
        <w:t>en paragraaf 3, 1°, </w:t>
      </w:r>
      <w:r>
        <w:rPr>
          <w:rFonts w:ascii="Times New Roman" w:hAnsi="Times New Roman"/>
          <w:i/>
          <w:color w:val="231F20"/>
        </w:rPr>
        <w:t>a) </w:t>
      </w:r>
      <w:r>
        <w:rPr>
          <w:color w:val="231F20"/>
        </w:rPr>
        <w:t>en </w:t>
      </w:r>
      <w:r>
        <w:rPr>
          <w:rFonts w:ascii="Times New Roman" w:hAnsi="Times New Roman"/>
          <w:i/>
          <w:color w:val="231F20"/>
        </w:rPr>
        <w:t>d) </w:t>
      </w:r>
      <w:r>
        <w:rPr>
          <w:color w:val="231F20"/>
        </w:rPr>
        <w:t>tot en met </w:t>
      </w:r>
      <w:r>
        <w:rPr>
          <w:rFonts w:ascii="Times New Roman" w:hAnsi="Times New Roman"/>
          <w:i/>
          <w:color w:val="231F20"/>
        </w:rPr>
        <w:t>g)</w:t>
      </w:r>
      <w:r>
        <w:rPr>
          <w:color w:val="231F20"/>
        </w:rPr>
        <w:t>, tóch toegelaten op voorwaarde</w:t>
      </w:r>
      <w:r>
        <w:rPr>
          <w:color w:val="231F20"/>
          <w:spacing w:val="-16"/>
        </w:rPr>
        <w:t> </w:t>
      </w:r>
      <w:r>
        <w:rPr>
          <w:color w:val="231F20"/>
        </w:rPr>
        <w:t>dat cumulatief</w:t>
      </w:r>
      <w:r>
        <w:rPr>
          <w:color w:val="231F20"/>
          <w:spacing w:val="16"/>
        </w:rPr>
        <w:t> </w:t>
      </w:r>
      <w:r>
        <w:rPr>
          <w:color w:val="231F20"/>
        </w:rPr>
        <w:t>aan</w:t>
      </w:r>
      <w:r>
        <w:rPr>
          <w:color w:val="231F20"/>
          <w:spacing w:val="16"/>
        </w:rPr>
        <w:t> </w:t>
      </w:r>
      <w:r>
        <w:rPr>
          <w:color w:val="231F20"/>
        </w:rPr>
        <w:t>de</w:t>
      </w:r>
      <w:r>
        <w:rPr>
          <w:color w:val="231F20"/>
          <w:spacing w:val="16"/>
        </w:rPr>
        <w:t> </w:t>
      </w:r>
      <w:r>
        <w:rPr>
          <w:color w:val="231F20"/>
        </w:rPr>
        <w:t>volgende</w:t>
      </w:r>
      <w:r>
        <w:rPr>
          <w:color w:val="231F20"/>
          <w:spacing w:val="17"/>
        </w:rPr>
        <w:t> </w:t>
      </w:r>
      <w:r>
        <w:rPr>
          <w:color w:val="231F20"/>
        </w:rPr>
        <w:t>vereisten</w:t>
      </w:r>
      <w:r>
        <w:rPr>
          <w:color w:val="231F20"/>
          <w:spacing w:val="16"/>
        </w:rPr>
        <w:t> </w:t>
      </w:r>
      <w:r>
        <w:rPr>
          <w:color w:val="231F20"/>
        </w:rPr>
        <w:t>is</w:t>
      </w:r>
      <w:r>
        <w:rPr>
          <w:color w:val="231F20"/>
          <w:spacing w:val="16"/>
        </w:rPr>
        <w:t> </w:t>
      </w:r>
      <w:r>
        <w:rPr>
          <w:color w:val="231F20"/>
        </w:rPr>
        <w:t>voldaan:</w:t>
      </w:r>
    </w:p>
    <w:p>
      <w:pPr>
        <w:pStyle w:val="ListParagraph"/>
        <w:numPr>
          <w:ilvl w:val="0"/>
          <w:numId w:val="86"/>
        </w:numPr>
        <w:tabs>
          <w:tab w:pos="487" w:val="left" w:leader="none"/>
        </w:tabs>
        <w:spacing w:line="218" w:lineRule="auto" w:before="81" w:after="0"/>
        <w:ind w:left="113" w:right="124" w:firstLine="170"/>
        <w:jc w:val="both"/>
        <w:rPr>
          <w:sz w:val="17"/>
        </w:rPr>
      </w:pPr>
      <w:r>
        <w:rPr>
          <w:color w:val="231F20"/>
          <w:sz w:val="17"/>
        </w:rPr>
        <w:t>de diensten hebben, hetzij afzonderlijk, hetzij gezamenlijk, geen direct effect op, of ze zijn, hetzij afzonderlijk, hetzij gezamenlijk, niet van</w:t>
      </w:r>
      <w:r>
        <w:rPr>
          <w:color w:val="231F20"/>
          <w:spacing w:val="15"/>
          <w:sz w:val="17"/>
        </w:rPr>
        <w:t> </w:t>
      </w:r>
      <w:r>
        <w:rPr>
          <w:color w:val="231F20"/>
          <w:sz w:val="17"/>
        </w:rPr>
        <w:t>materieel</w:t>
      </w:r>
      <w:r>
        <w:rPr>
          <w:color w:val="231F20"/>
          <w:spacing w:val="15"/>
          <w:sz w:val="17"/>
        </w:rPr>
        <w:t> </w:t>
      </w:r>
      <w:r>
        <w:rPr>
          <w:color w:val="231F20"/>
          <w:sz w:val="17"/>
        </w:rPr>
        <w:t>belang</w:t>
      </w:r>
      <w:r>
        <w:rPr>
          <w:color w:val="231F20"/>
          <w:spacing w:val="15"/>
          <w:sz w:val="17"/>
        </w:rPr>
        <w:t> </w:t>
      </w:r>
      <w:r>
        <w:rPr>
          <w:color w:val="231F20"/>
          <w:sz w:val="17"/>
        </w:rPr>
        <w:t>voor</w:t>
      </w:r>
      <w:r>
        <w:rPr>
          <w:color w:val="231F20"/>
          <w:spacing w:val="16"/>
          <w:sz w:val="17"/>
        </w:rPr>
        <w:t> </w:t>
      </w:r>
      <w:r>
        <w:rPr>
          <w:color w:val="231F20"/>
          <w:sz w:val="17"/>
        </w:rPr>
        <w:t>de</w:t>
      </w:r>
      <w:r>
        <w:rPr>
          <w:color w:val="231F20"/>
          <w:spacing w:val="15"/>
          <w:sz w:val="17"/>
        </w:rPr>
        <w:t> </w:t>
      </w:r>
      <w:r>
        <w:rPr>
          <w:color w:val="231F20"/>
          <w:sz w:val="17"/>
        </w:rPr>
        <w:t>gecontroleerde</w:t>
      </w:r>
      <w:r>
        <w:rPr>
          <w:color w:val="231F20"/>
          <w:spacing w:val="15"/>
          <w:sz w:val="17"/>
        </w:rPr>
        <w:t> </w:t>
      </w:r>
      <w:r>
        <w:rPr>
          <w:color w:val="231F20"/>
          <w:sz w:val="17"/>
        </w:rPr>
        <w:t>jaarrekening;</w:t>
      </w:r>
    </w:p>
    <w:p>
      <w:pPr>
        <w:pStyle w:val="ListParagraph"/>
        <w:numPr>
          <w:ilvl w:val="0"/>
          <w:numId w:val="86"/>
        </w:numPr>
        <w:tabs>
          <w:tab w:pos="457" w:val="left" w:leader="none"/>
        </w:tabs>
        <w:spacing w:line="218" w:lineRule="auto" w:before="83" w:after="0"/>
        <w:ind w:left="113" w:right="124" w:firstLine="170"/>
        <w:jc w:val="both"/>
        <w:rPr>
          <w:sz w:val="17"/>
        </w:rPr>
      </w:pPr>
      <w:r>
        <w:rPr>
          <w:color w:val="231F20"/>
          <w:sz w:val="17"/>
        </w:rPr>
        <w:t>de schatting van het effect op de gecontroleerde jaarrekening</w:t>
      </w:r>
      <w:r>
        <w:rPr>
          <w:color w:val="231F20"/>
          <w:spacing w:val="-24"/>
          <w:sz w:val="17"/>
        </w:rPr>
        <w:t> </w:t>
      </w:r>
      <w:r>
        <w:rPr>
          <w:color w:val="231F20"/>
          <w:sz w:val="17"/>
        </w:rPr>
        <w:t>wordt uitvoerig gedocumenteerd en toegelicht in de aanvullende verklaring aan het auditcomité zoals bedoeld in artikel </w:t>
      </w:r>
      <w:r>
        <w:rPr>
          <w:color w:val="231F20"/>
          <w:spacing w:val="-5"/>
          <w:sz w:val="17"/>
        </w:rPr>
        <w:t>11 </w:t>
      </w:r>
      <w:r>
        <w:rPr>
          <w:color w:val="231F20"/>
          <w:sz w:val="17"/>
        </w:rPr>
        <w:t>van de verordening (EU) </w:t>
      </w:r>
      <w:r>
        <w:rPr>
          <w:color w:val="231F20"/>
          <w:spacing w:val="-5"/>
          <w:sz w:val="17"/>
        </w:rPr>
        <w:t>nr.</w:t>
      </w:r>
      <w:r>
        <w:rPr>
          <w:color w:val="231F20"/>
          <w:spacing w:val="14"/>
          <w:sz w:val="17"/>
        </w:rPr>
        <w:t> </w:t>
      </w:r>
      <w:r>
        <w:rPr>
          <w:color w:val="231F20"/>
          <w:sz w:val="17"/>
        </w:rPr>
        <w:t>537/2014;</w:t>
      </w:r>
    </w:p>
    <w:p>
      <w:pPr>
        <w:pStyle w:val="ListParagraph"/>
        <w:numPr>
          <w:ilvl w:val="0"/>
          <w:numId w:val="86"/>
        </w:numPr>
        <w:tabs>
          <w:tab w:pos="451" w:val="left" w:leader="none"/>
        </w:tabs>
        <w:spacing w:line="218" w:lineRule="auto" w:before="93" w:after="0"/>
        <w:ind w:left="113" w:right="124" w:firstLine="170"/>
        <w:jc w:val="both"/>
        <w:rPr>
          <w:sz w:val="17"/>
        </w:rPr>
      </w:pPr>
      <w:r>
        <w:rPr>
          <w:color w:val="231F20"/>
          <w:sz w:val="17"/>
        </w:rPr>
        <w:t>de commissaris voldoet aan de algemene onafhankelijkheidsbegin- selen.</w:t>
      </w:r>
    </w:p>
    <w:p>
      <w:pPr>
        <w:pStyle w:val="BodyText"/>
        <w:spacing w:line="218" w:lineRule="auto" w:before="96"/>
        <w:ind w:right="123"/>
      </w:pPr>
      <w:r>
        <w:rPr>
          <w:color w:val="231F20"/>
        </w:rPr>
        <w:t>§ 5. Krachtens artikel 5, lid 4, van de verordening (EU) nr. 537/2014, mag de commissaris van een organisatie van openbaar belang bedoeld in artikel 1:12 en, indien de commissaris tot een netwerk behoort bedoeld in artikel 3:56, een lid van dat netwerk, niet-controlediensten die niet verboden zijn slechts leveren aan de betrokken organisatie van openbaar belang, aan haar moedervennootschap of aan ondernemin- gen waarover zij de controle heeft, op voorwaarde dat het auditcomité zijn goedkeuring verleent.</w:t>
      </w:r>
    </w:p>
    <w:p>
      <w:pPr>
        <w:pStyle w:val="BodyText"/>
        <w:spacing w:line="218" w:lineRule="auto" w:before="97"/>
      </w:pPr>
      <w:r>
        <w:rPr>
          <w:color w:val="231F20"/>
        </w:rPr>
        <w:t>Het auditcomité vaardigt in voorkomend geval richtsnoeren uit met betrekking tot de in paragraaf 4 bedoelde diensten.</w:t>
      </w:r>
    </w:p>
    <w:p>
      <w:pPr>
        <w:pStyle w:val="BodyText"/>
        <w:spacing w:line="218" w:lineRule="auto" w:before="96"/>
        <w:ind w:right="125"/>
      </w:pPr>
      <w:r>
        <w:rPr>
          <w:color w:val="231F20"/>
        </w:rPr>
        <w:t>§ 6. Indien een lid van het netwerk bedoeld in artikel 3:56 waartoe de commissaris behoort, één van de in paragrafen 2 of 3 bedoelde niet-controlediensten levert aan een onderneming met rechtspersoon- lijkheid in een land dat geen deel uitmaakt van de Europese Unie of de Europese Economische Ruimte die wordt beheerst door de vennoot- schap, onderworpen aan de wettelijke controle, beoordeelt de commis- saris of zijn onafhankelijkheid in het gedrang zou worden gebracht door</w:t>
      </w:r>
      <w:r>
        <w:rPr>
          <w:color w:val="231F20"/>
          <w:spacing w:val="20"/>
        </w:rPr>
        <w:t> </w:t>
      </w:r>
      <w:r>
        <w:rPr>
          <w:color w:val="231F20"/>
        </w:rPr>
        <w:t>de</w:t>
      </w:r>
      <w:r>
        <w:rPr>
          <w:color w:val="231F20"/>
          <w:spacing w:val="20"/>
        </w:rPr>
        <w:t> </w:t>
      </w:r>
      <w:r>
        <w:rPr>
          <w:color w:val="231F20"/>
        </w:rPr>
        <w:t>levering</w:t>
      </w:r>
      <w:r>
        <w:rPr>
          <w:color w:val="231F20"/>
          <w:spacing w:val="21"/>
        </w:rPr>
        <w:t> </w:t>
      </w:r>
      <w:r>
        <w:rPr>
          <w:color w:val="231F20"/>
        </w:rPr>
        <w:t>van</w:t>
      </w:r>
      <w:r>
        <w:rPr>
          <w:color w:val="231F20"/>
          <w:spacing w:val="20"/>
        </w:rPr>
        <w:t> </w:t>
      </w:r>
      <w:r>
        <w:rPr>
          <w:color w:val="231F20"/>
        </w:rPr>
        <w:t>zulke</w:t>
      </w:r>
      <w:r>
        <w:rPr>
          <w:color w:val="231F20"/>
          <w:spacing w:val="21"/>
        </w:rPr>
        <w:t> </w:t>
      </w:r>
      <w:r>
        <w:rPr>
          <w:color w:val="231F20"/>
        </w:rPr>
        <w:t>diensten</w:t>
      </w:r>
      <w:r>
        <w:rPr>
          <w:color w:val="231F20"/>
          <w:spacing w:val="20"/>
        </w:rPr>
        <w:t> </w:t>
      </w:r>
      <w:r>
        <w:rPr>
          <w:color w:val="231F20"/>
        </w:rPr>
        <w:t>door</w:t>
      </w:r>
      <w:r>
        <w:rPr>
          <w:color w:val="231F20"/>
          <w:spacing w:val="20"/>
        </w:rPr>
        <w:t> </w:t>
      </w:r>
      <w:r>
        <w:rPr>
          <w:color w:val="231F20"/>
        </w:rPr>
        <w:t>het</w:t>
      </w:r>
      <w:r>
        <w:rPr>
          <w:color w:val="231F20"/>
          <w:spacing w:val="21"/>
        </w:rPr>
        <w:t> </w:t>
      </w:r>
      <w:r>
        <w:rPr>
          <w:color w:val="231F20"/>
        </w:rPr>
        <w:t>lid</w:t>
      </w:r>
      <w:r>
        <w:rPr>
          <w:color w:val="231F20"/>
          <w:spacing w:val="20"/>
        </w:rPr>
        <w:t> </w:t>
      </w:r>
      <w:r>
        <w:rPr>
          <w:color w:val="231F20"/>
        </w:rPr>
        <w:t>van</w:t>
      </w:r>
      <w:r>
        <w:rPr>
          <w:color w:val="231F20"/>
          <w:spacing w:val="21"/>
        </w:rPr>
        <w:t> </w:t>
      </w:r>
      <w:r>
        <w:rPr>
          <w:color w:val="231F20"/>
        </w:rPr>
        <w:t>het</w:t>
      </w:r>
      <w:r>
        <w:rPr>
          <w:color w:val="231F20"/>
          <w:spacing w:val="20"/>
        </w:rPr>
        <w:t> </w:t>
      </w:r>
      <w:r>
        <w:rPr>
          <w:color w:val="231F20"/>
        </w:rPr>
        <w:t>netwerk.</w:t>
      </w:r>
    </w:p>
    <w:p>
      <w:pPr>
        <w:spacing w:after="0" w:line="218" w:lineRule="auto"/>
        <w:sectPr>
          <w:headerReference w:type="even" r:id="rId35"/>
          <w:headerReference w:type="default" r:id="rId36"/>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2752" from="298.170502pt,64.473pt" to="298.170502pt,812.819pt" stroked="true" strokeweight=".533pt" strokecolor="#231f20">
            <v:stroke dashstyle="solid"/>
            <w10:wrap type="none"/>
          </v:line>
        </w:pict>
      </w:r>
      <w:bookmarkStart w:name="_bookmark72" w:id="77"/>
      <w:bookmarkEnd w:id="77"/>
      <w:r>
        <w:rPr/>
      </w:r>
      <w:r>
        <w:rPr>
          <w:color w:val="231F20"/>
        </w:rPr>
        <w:t>Si son indépendance est compromise, le commissaire prend, le cas échéant, des mesures de sauvegarde afin d’atténuer les risques causés par cette prestation de services dans un pays qui n’est pas membre de l’Union européenne. Le commissaire ne peut continuer d’effectuer le contrôle légal de l’entité d’intérêt public que s’il peut justifier que cette prestation de services n’influe pas sur son jugement professionnel ni sur le rapport de</w:t>
      </w:r>
      <w:r>
        <w:rPr>
          <w:color w:val="231F20"/>
          <w:spacing w:val="19"/>
        </w:rPr>
        <w:t> </w:t>
      </w:r>
      <w:r>
        <w:rPr>
          <w:color w:val="231F20"/>
        </w:rPr>
        <w:t>contrôle.</w:t>
      </w:r>
    </w:p>
    <w:p>
      <w:pPr>
        <w:pStyle w:val="BodyText"/>
        <w:spacing w:before="136"/>
        <w:ind w:left="283" w:right="0" w:firstLine="0"/>
        <w:jc w:val="left"/>
      </w:pPr>
      <w:r>
        <w:rPr>
          <w:color w:val="231F20"/>
        </w:rPr>
        <w:t>Aux fins du présent paragraphe:</w:t>
      </w:r>
    </w:p>
    <w:p>
      <w:pPr>
        <w:pStyle w:val="ListParagraph"/>
        <w:numPr>
          <w:ilvl w:val="0"/>
          <w:numId w:val="87"/>
        </w:numPr>
        <w:tabs>
          <w:tab w:pos="462" w:val="left" w:leader="none"/>
        </w:tabs>
        <w:spacing w:line="218" w:lineRule="auto" w:before="144" w:after="0"/>
        <w:ind w:left="113" w:right="38" w:firstLine="170"/>
        <w:jc w:val="both"/>
        <w:rPr>
          <w:sz w:val="17"/>
        </w:rPr>
      </w:pPr>
      <w:r>
        <w:rPr>
          <w:color w:val="231F20"/>
          <w:sz w:val="17"/>
        </w:rPr>
        <w:t>le fait d’être associé au processus décisionnel de la société soumise au contrôle légal et de fournir les services visés au paragraphe 2, </w:t>
      </w:r>
      <w:r>
        <w:rPr>
          <w:color w:val="231F20"/>
          <w:spacing w:val="12"/>
          <w:sz w:val="17"/>
        </w:rPr>
        <w:t>1°à</w:t>
      </w:r>
      <w:r>
        <w:rPr>
          <w:color w:val="231F20"/>
          <w:spacing w:val="-2"/>
          <w:sz w:val="17"/>
        </w:rPr>
        <w:t> </w:t>
      </w:r>
      <w:r>
        <w:rPr>
          <w:color w:val="231F20"/>
          <w:sz w:val="17"/>
        </w:rPr>
        <w:t>3°, est toujours considéré comme une atteinte à cette indépendance qui ne peut</w:t>
      </w:r>
      <w:r>
        <w:rPr>
          <w:color w:val="231F20"/>
          <w:spacing w:val="15"/>
          <w:sz w:val="17"/>
        </w:rPr>
        <w:t> </w:t>
      </w:r>
      <w:r>
        <w:rPr>
          <w:color w:val="231F20"/>
          <w:sz w:val="17"/>
        </w:rPr>
        <w:t>être</w:t>
      </w:r>
      <w:r>
        <w:rPr>
          <w:color w:val="231F20"/>
          <w:spacing w:val="15"/>
          <w:sz w:val="17"/>
        </w:rPr>
        <w:t> </w:t>
      </w:r>
      <w:r>
        <w:rPr>
          <w:color w:val="231F20"/>
          <w:sz w:val="17"/>
        </w:rPr>
        <w:t>atténuée</w:t>
      </w:r>
      <w:r>
        <w:rPr>
          <w:color w:val="231F20"/>
          <w:spacing w:val="16"/>
          <w:sz w:val="17"/>
        </w:rPr>
        <w:t> </w:t>
      </w:r>
      <w:r>
        <w:rPr>
          <w:color w:val="231F20"/>
          <w:sz w:val="17"/>
        </w:rPr>
        <w:t>par</w:t>
      </w:r>
      <w:r>
        <w:rPr>
          <w:color w:val="231F20"/>
          <w:spacing w:val="15"/>
          <w:sz w:val="17"/>
        </w:rPr>
        <w:t> </w:t>
      </w:r>
      <w:r>
        <w:rPr>
          <w:color w:val="231F20"/>
          <w:sz w:val="17"/>
        </w:rPr>
        <w:t>des</w:t>
      </w:r>
      <w:r>
        <w:rPr>
          <w:color w:val="231F20"/>
          <w:spacing w:val="16"/>
          <w:sz w:val="17"/>
        </w:rPr>
        <w:t> </w:t>
      </w:r>
      <w:r>
        <w:rPr>
          <w:color w:val="231F20"/>
          <w:sz w:val="17"/>
        </w:rPr>
        <w:t>mesures</w:t>
      </w:r>
      <w:r>
        <w:rPr>
          <w:color w:val="231F20"/>
          <w:spacing w:val="15"/>
          <w:sz w:val="17"/>
        </w:rPr>
        <w:t> </w:t>
      </w:r>
      <w:r>
        <w:rPr>
          <w:color w:val="231F20"/>
          <w:sz w:val="17"/>
        </w:rPr>
        <w:t>de</w:t>
      </w:r>
      <w:r>
        <w:rPr>
          <w:color w:val="231F20"/>
          <w:spacing w:val="15"/>
          <w:sz w:val="17"/>
        </w:rPr>
        <w:t> </w:t>
      </w:r>
      <w:r>
        <w:rPr>
          <w:color w:val="231F20"/>
          <w:sz w:val="17"/>
        </w:rPr>
        <w:t>sauvegarde;</w:t>
      </w:r>
    </w:p>
    <w:p>
      <w:pPr>
        <w:pStyle w:val="BodyText"/>
        <w:spacing w:before="4"/>
        <w:ind w:left="0" w:right="0" w:firstLine="0"/>
        <w:jc w:val="left"/>
        <w:rPr>
          <w:sz w:val="28"/>
        </w:rPr>
      </w:pPr>
    </w:p>
    <w:p>
      <w:pPr>
        <w:pStyle w:val="ListParagraph"/>
        <w:numPr>
          <w:ilvl w:val="0"/>
          <w:numId w:val="87"/>
        </w:numPr>
        <w:tabs>
          <w:tab w:pos="465" w:val="left" w:leader="none"/>
        </w:tabs>
        <w:spacing w:line="218" w:lineRule="auto" w:before="0" w:after="0"/>
        <w:ind w:left="113" w:right="38" w:firstLine="170"/>
        <w:jc w:val="both"/>
        <w:rPr>
          <w:sz w:val="17"/>
        </w:rPr>
      </w:pPr>
      <w:r>
        <w:rPr>
          <w:color w:val="231F20"/>
          <w:sz w:val="17"/>
        </w:rPr>
        <w:t>il est considéré que la prestation des services autres que ceux visés au paragraphe 2, 1° à 3°, porte atteinte à cette indépendance et requiert dès lors des mesures visant à atténuer les risques causés par cette prestation de</w:t>
      </w:r>
      <w:r>
        <w:rPr>
          <w:color w:val="231F20"/>
          <w:spacing w:val="-12"/>
          <w:sz w:val="17"/>
        </w:rPr>
        <w:t> </w:t>
      </w:r>
      <w:r>
        <w:rPr>
          <w:color w:val="231F20"/>
          <w:sz w:val="17"/>
        </w:rPr>
        <w:t>services.</w:t>
      </w:r>
    </w:p>
    <w:p>
      <w:pPr>
        <w:pStyle w:val="BodyText"/>
        <w:spacing w:line="218" w:lineRule="auto" w:before="150"/>
        <w:ind w:right="38"/>
      </w:pPr>
      <w:r>
        <w:rPr>
          <w:color w:val="231F20"/>
        </w:rPr>
        <w:t>Sous-section 3. Rapport entre les honoraires relatifs au contrôle des comptes et les autres honoraires.</w:t>
      </w:r>
    </w:p>
    <w:p>
      <w:pPr>
        <w:pStyle w:val="BodyText"/>
        <w:spacing w:line="218" w:lineRule="auto" w:before="134"/>
        <w:ind w:right="38"/>
      </w:pPr>
      <w:r>
        <w:rPr>
          <w:color w:val="231F20"/>
        </w:rPr>
        <w:t>Art. 3:64. § 1</w:t>
      </w:r>
      <w:r>
        <w:rPr>
          <w:color w:val="231F20"/>
          <w:position w:val="7"/>
          <w:sz w:val="11"/>
        </w:rPr>
        <w:t>er</w:t>
      </w:r>
      <w:r>
        <w:rPr>
          <w:color w:val="231F20"/>
        </w:rPr>
        <w:t>. Dans les entités d’intérêt public, le commissaire ne peut,</w:t>
      </w:r>
      <w:r>
        <w:rPr>
          <w:color w:val="231F20"/>
          <w:spacing w:val="-4"/>
        </w:rPr>
        <w:t> </w:t>
      </w:r>
      <w:r>
        <w:rPr>
          <w:color w:val="231F20"/>
        </w:rPr>
        <w:t>sans</w:t>
      </w:r>
      <w:r>
        <w:rPr>
          <w:color w:val="231F20"/>
          <w:spacing w:val="-3"/>
        </w:rPr>
        <w:t> </w:t>
      </w:r>
      <w:r>
        <w:rPr>
          <w:color w:val="231F20"/>
        </w:rPr>
        <w:t>préjudice</w:t>
      </w:r>
      <w:r>
        <w:rPr>
          <w:color w:val="231F20"/>
          <w:spacing w:val="-3"/>
        </w:rPr>
        <w:t> </w:t>
      </w:r>
      <w:r>
        <w:rPr>
          <w:color w:val="231F20"/>
        </w:rPr>
        <w:t>des</w:t>
      </w:r>
      <w:r>
        <w:rPr>
          <w:color w:val="231F20"/>
          <w:spacing w:val="-4"/>
        </w:rPr>
        <w:t> </w:t>
      </w:r>
      <w:r>
        <w:rPr>
          <w:color w:val="231F20"/>
        </w:rPr>
        <w:t>interdictions</w:t>
      </w:r>
      <w:r>
        <w:rPr>
          <w:color w:val="231F20"/>
          <w:spacing w:val="-3"/>
        </w:rPr>
        <w:t> </w:t>
      </w:r>
      <w:r>
        <w:rPr>
          <w:color w:val="231F20"/>
        </w:rPr>
        <w:t>découlant</w:t>
      </w:r>
      <w:r>
        <w:rPr>
          <w:color w:val="231F20"/>
          <w:spacing w:val="-3"/>
        </w:rPr>
        <w:t> </w:t>
      </w:r>
      <w:r>
        <w:rPr>
          <w:color w:val="231F20"/>
        </w:rPr>
        <w:t>de</w:t>
      </w:r>
      <w:r>
        <w:rPr>
          <w:color w:val="231F20"/>
          <w:spacing w:val="-4"/>
        </w:rPr>
        <w:t> </w:t>
      </w:r>
      <w:r>
        <w:rPr>
          <w:color w:val="231F20"/>
        </w:rPr>
        <w:t>l’article</w:t>
      </w:r>
      <w:r>
        <w:rPr>
          <w:color w:val="231F20"/>
          <w:spacing w:val="-3"/>
        </w:rPr>
        <w:t> </w:t>
      </w:r>
      <w:r>
        <w:rPr>
          <w:color w:val="231F20"/>
        </w:rPr>
        <w:t>3:63,</w:t>
      </w:r>
      <w:r>
        <w:rPr>
          <w:color w:val="231F20"/>
          <w:spacing w:val="-3"/>
        </w:rPr>
        <w:t> </w:t>
      </w:r>
      <w:r>
        <w:rPr>
          <w:color w:val="231F20"/>
        </w:rPr>
        <w:t>prester des services autres que les missions confiées par la loi ou par la réglementation de l’Union européenne au commissaire, dans la mesure où le montant total des honoraires afférents à ces services dépasserait septante</w:t>
      </w:r>
      <w:r>
        <w:rPr>
          <w:color w:val="231F20"/>
          <w:spacing w:val="-3"/>
        </w:rPr>
        <w:t> </w:t>
      </w:r>
      <w:r>
        <w:rPr>
          <w:color w:val="231F20"/>
        </w:rPr>
        <w:t>pour</w:t>
      </w:r>
      <w:r>
        <w:rPr>
          <w:color w:val="231F20"/>
          <w:spacing w:val="-3"/>
        </w:rPr>
        <w:t> </w:t>
      </w:r>
      <w:r>
        <w:rPr>
          <w:color w:val="231F20"/>
        </w:rPr>
        <w:t>cent</w:t>
      </w:r>
      <w:r>
        <w:rPr>
          <w:color w:val="231F20"/>
          <w:spacing w:val="-3"/>
        </w:rPr>
        <w:t> </w:t>
      </w:r>
      <w:r>
        <w:rPr>
          <w:color w:val="231F20"/>
        </w:rPr>
        <w:t>du</w:t>
      </w:r>
      <w:r>
        <w:rPr>
          <w:color w:val="231F20"/>
          <w:spacing w:val="-3"/>
        </w:rPr>
        <w:t> </w:t>
      </w:r>
      <w:r>
        <w:rPr>
          <w:color w:val="231F20"/>
        </w:rPr>
        <w:t>montant</w:t>
      </w:r>
      <w:r>
        <w:rPr>
          <w:color w:val="231F20"/>
          <w:spacing w:val="-3"/>
        </w:rPr>
        <w:t> </w:t>
      </w:r>
      <w:r>
        <w:rPr>
          <w:color w:val="231F20"/>
        </w:rPr>
        <w:t>total</w:t>
      </w:r>
      <w:r>
        <w:rPr>
          <w:color w:val="231F20"/>
          <w:spacing w:val="-2"/>
        </w:rPr>
        <w:t> </w:t>
      </w:r>
      <w:r>
        <w:rPr>
          <w:color w:val="231F20"/>
        </w:rPr>
        <w:t>des</w:t>
      </w:r>
      <w:r>
        <w:rPr>
          <w:color w:val="231F20"/>
          <w:spacing w:val="-3"/>
        </w:rPr>
        <w:t> </w:t>
      </w:r>
      <w:r>
        <w:rPr>
          <w:color w:val="231F20"/>
        </w:rPr>
        <w:t>honoraires</w:t>
      </w:r>
      <w:r>
        <w:rPr>
          <w:color w:val="231F20"/>
          <w:spacing w:val="-3"/>
        </w:rPr>
        <w:t> </w:t>
      </w:r>
      <w:r>
        <w:rPr>
          <w:color w:val="231F20"/>
        </w:rPr>
        <w:t>visés</w:t>
      </w:r>
      <w:r>
        <w:rPr>
          <w:color w:val="231F20"/>
          <w:spacing w:val="-3"/>
        </w:rPr>
        <w:t> </w:t>
      </w:r>
      <w:r>
        <w:rPr>
          <w:color w:val="231F20"/>
        </w:rPr>
        <w:t>à</w:t>
      </w:r>
      <w:r>
        <w:rPr>
          <w:color w:val="231F20"/>
          <w:spacing w:val="-3"/>
        </w:rPr>
        <w:t> </w:t>
      </w:r>
      <w:r>
        <w:rPr>
          <w:color w:val="231F20"/>
        </w:rPr>
        <w:t>l’article</w:t>
      </w:r>
      <w:r>
        <w:rPr>
          <w:color w:val="231F20"/>
          <w:spacing w:val="-2"/>
        </w:rPr>
        <w:t> </w:t>
      </w:r>
      <w:r>
        <w:rPr>
          <w:color w:val="231F20"/>
        </w:rPr>
        <w:t>3:65,</w:t>
      </w:r>
    </w:p>
    <w:p>
      <w:pPr>
        <w:pStyle w:val="BodyText"/>
        <w:spacing w:line="180" w:lineRule="exact"/>
        <w:ind w:right="0" w:firstLine="0"/>
        <w:jc w:val="left"/>
      </w:pPr>
      <w:r>
        <w:rPr>
          <w:color w:val="231F20"/>
        </w:rPr>
        <w:t>§ 2.</w:t>
      </w:r>
    </w:p>
    <w:p>
      <w:pPr>
        <w:pStyle w:val="BodyText"/>
        <w:spacing w:line="216" w:lineRule="auto" w:before="148"/>
        <w:ind w:right="38"/>
      </w:pPr>
      <w:r>
        <w:rPr>
          <w:color w:val="231F20"/>
        </w:rPr>
        <w:t>§ 2. À la demande du commissaire, le Collège de supervision des réviseurs  d’entreprises  visé  à  l’article  32  de  la  loi  du  7  décem-   bre 2016 portant organisation de la profession et de la supervision publique des réviseurs d’entreprises, peut, à titre exceptionnel, permet- tre que le commissaire soit dispensé de respecter l’interdiction visée au paragraphe 1</w:t>
      </w:r>
      <w:r>
        <w:rPr>
          <w:color w:val="231F20"/>
          <w:position w:val="7"/>
          <w:sz w:val="11"/>
        </w:rPr>
        <w:t>er </w:t>
      </w:r>
      <w:r>
        <w:rPr>
          <w:color w:val="231F20"/>
        </w:rPr>
        <w:t>et ce pour une période maximale de deux exercices sociaux.</w:t>
      </w:r>
    </w:p>
    <w:p>
      <w:pPr>
        <w:pStyle w:val="BodyText"/>
        <w:spacing w:line="218" w:lineRule="auto" w:before="147"/>
        <w:ind w:right="39"/>
      </w:pPr>
      <w:r>
        <w:rPr>
          <w:color w:val="231F20"/>
        </w:rPr>
        <w:t>Dans ce cas, il est fait mention de la dérogation et de la motivation de celle-ci:</w:t>
      </w:r>
    </w:p>
    <w:p>
      <w:pPr>
        <w:pStyle w:val="ListParagraph"/>
        <w:numPr>
          <w:ilvl w:val="0"/>
          <w:numId w:val="88"/>
        </w:numPr>
        <w:tabs>
          <w:tab w:pos="519" w:val="left" w:leader="none"/>
        </w:tabs>
        <w:spacing w:line="218" w:lineRule="auto" w:before="146" w:after="0"/>
        <w:ind w:left="113" w:right="38" w:firstLine="170"/>
        <w:jc w:val="both"/>
        <w:rPr>
          <w:sz w:val="17"/>
        </w:rPr>
      </w:pPr>
      <w:r>
        <w:rPr>
          <w:color w:val="231F20"/>
          <w:sz w:val="17"/>
        </w:rPr>
        <w:t>en annexe aux comptes consolidés ou, à défaut de comptes consolidés, en annexe aux comptes annuels de la société qui fait usage de l’exemption prévue à l’article 3:26, sauf si cette société est filiale d’une</w:t>
      </w:r>
      <w:r>
        <w:rPr>
          <w:color w:val="231F20"/>
          <w:spacing w:val="16"/>
          <w:sz w:val="17"/>
        </w:rPr>
        <w:t> </w:t>
      </w:r>
      <w:r>
        <w:rPr>
          <w:color w:val="231F20"/>
          <w:sz w:val="17"/>
        </w:rPr>
        <w:t>société</w:t>
      </w:r>
      <w:r>
        <w:rPr>
          <w:color w:val="231F20"/>
          <w:spacing w:val="17"/>
          <w:sz w:val="17"/>
        </w:rPr>
        <w:t> </w:t>
      </w:r>
      <w:r>
        <w:rPr>
          <w:color w:val="231F20"/>
          <w:sz w:val="17"/>
        </w:rPr>
        <w:t>belge</w:t>
      </w:r>
      <w:r>
        <w:rPr>
          <w:color w:val="231F20"/>
          <w:spacing w:val="17"/>
          <w:sz w:val="17"/>
        </w:rPr>
        <w:t> </w:t>
      </w:r>
      <w:r>
        <w:rPr>
          <w:color w:val="231F20"/>
          <w:sz w:val="17"/>
        </w:rPr>
        <w:t>qui</w:t>
      </w:r>
      <w:r>
        <w:rPr>
          <w:color w:val="231F20"/>
          <w:spacing w:val="17"/>
          <w:sz w:val="17"/>
        </w:rPr>
        <w:t> </w:t>
      </w:r>
      <w:r>
        <w:rPr>
          <w:color w:val="231F20"/>
          <w:sz w:val="17"/>
        </w:rPr>
        <w:t>fait</w:t>
      </w:r>
      <w:r>
        <w:rPr>
          <w:color w:val="231F20"/>
          <w:spacing w:val="17"/>
          <w:sz w:val="17"/>
        </w:rPr>
        <w:t> </w:t>
      </w:r>
      <w:r>
        <w:rPr>
          <w:color w:val="231F20"/>
          <w:sz w:val="17"/>
        </w:rPr>
        <w:t>usage</w:t>
      </w:r>
      <w:r>
        <w:rPr>
          <w:color w:val="231F20"/>
          <w:spacing w:val="17"/>
          <w:sz w:val="17"/>
        </w:rPr>
        <w:t> </w:t>
      </w:r>
      <w:r>
        <w:rPr>
          <w:color w:val="231F20"/>
          <w:sz w:val="17"/>
        </w:rPr>
        <w:t>de</w:t>
      </w:r>
      <w:r>
        <w:rPr>
          <w:color w:val="231F20"/>
          <w:spacing w:val="17"/>
          <w:sz w:val="17"/>
        </w:rPr>
        <w:t> </w:t>
      </w:r>
      <w:r>
        <w:rPr>
          <w:color w:val="231F20"/>
          <w:sz w:val="17"/>
        </w:rPr>
        <w:t>l’exemption</w:t>
      </w:r>
      <w:r>
        <w:rPr>
          <w:color w:val="231F20"/>
          <w:spacing w:val="17"/>
          <w:sz w:val="17"/>
        </w:rPr>
        <w:t> </w:t>
      </w:r>
      <w:r>
        <w:rPr>
          <w:color w:val="231F20"/>
          <w:sz w:val="17"/>
        </w:rPr>
        <w:t>précitée,</w:t>
      </w:r>
    </w:p>
    <w:p>
      <w:pPr>
        <w:pStyle w:val="BodyText"/>
        <w:ind w:left="0" w:right="0" w:firstLine="0"/>
        <w:jc w:val="left"/>
        <w:rPr>
          <w:sz w:val="20"/>
        </w:rPr>
      </w:pPr>
    </w:p>
    <w:p>
      <w:pPr>
        <w:pStyle w:val="BodyText"/>
        <w:spacing w:before="10"/>
        <w:ind w:left="0" w:right="0" w:firstLine="0"/>
        <w:jc w:val="left"/>
        <w:rPr>
          <w:sz w:val="24"/>
        </w:rPr>
      </w:pPr>
    </w:p>
    <w:p>
      <w:pPr>
        <w:pStyle w:val="ListParagraph"/>
        <w:numPr>
          <w:ilvl w:val="0"/>
          <w:numId w:val="88"/>
        </w:numPr>
        <w:tabs>
          <w:tab w:pos="493" w:val="left" w:leader="none"/>
        </w:tabs>
        <w:spacing w:line="218" w:lineRule="auto" w:before="0" w:after="0"/>
        <w:ind w:left="113" w:right="38" w:firstLine="170"/>
        <w:jc w:val="both"/>
        <w:rPr>
          <w:sz w:val="17"/>
        </w:rPr>
      </w:pPr>
      <w:r>
        <w:rPr>
          <w:color w:val="231F20"/>
          <w:sz w:val="17"/>
        </w:rPr>
        <w:t>en annexe aux comptes annuels de la société qui n’est pas une société mère ou est dispensée d’établir des comptes consolidés en vertu de l’article 3:25 et dont le commissaire a obtenu la dérogation à l’interdiction visée au présent paragraphe sauf si cette société est filiale d’une société</w:t>
      </w:r>
      <w:r>
        <w:rPr>
          <w:color w:val="231F20"/>
          <w:spacing w:val="-11"/>
          <w:sz w:val="17"/>
        </w:rPr>
        <w:t> </w:t>
      </w:r>
      <w:r>
        <w:rPr>
          <w:color w:val="231F20"/>
          <w:sz w:val="17"/>
        </w:rPr>
        <w:t>belge.</w:t>
      </w:r>
    </w:p>
    <w:p>
      <w:pPr>
        <w:pStyle w:val="BodyText"/>
        <w:spacing w:before="6"/>
        <w:ind w:left="0" w:right="0" w:firstLine="0"/>
        <w:jc w:val="left"/>
        <w:rPr>
          <w:sz w:val="29"/>
        </w:rPr>
      </w:pPr>
    </w:p>
    <w:p>
      <w:pPr>
        <w:pStyle w:val="BodyText"/>
        <w:spacing w:line="218" w:lineRule="auto"/>
        <w:ind w:right="38"/>
      </w:pPr>
      <w:r>
        <w:rPr>
          <w:color w:val="231F20"/>
        </w:rPr>
        <w:t>À défaut de mention de cette information par la société dans l’annexe des comptes annuels, le commissaire mentionne lui-même cette information dans son rapport de contrôle.</w:t>
      </w:r>
    </w:p>
    <w:p>
      <w:pPr>
        <w:pStyle w:val="BodyText"/>
        <w:spacing w:line="218" w:lineRule="auto" w:before="161"/>
        <w:ind w:right="38"/>
      </w:pPr>
      <w:r>
        <w:rPr>
          <w:color w:val="231F20"/>
        </w:rPr>
        <w:t>§ 3. Pour les sociétés qui ne sont pas considérées comme des entités d’intérêt public mais qui font partie d’un groupe qui est tenu d’établir  et de publier des comptes consolidés et sans préjudice des mesures d’interdiction découlant de l’article 3:63, le commissaire ne peut</w:t>
      </w:r>
      <w:r>
        <w:rPr>
          <w:color w:val="231F20"/>
          <w:spacing w:val="-23"/>
        </w:rPr>
        <w:t> </w:t>
      </w:r>
      <w:r>
        <w:rPr>
          <w:color w:val="231F20"/>
        </w:rPr>
        <w:t>prester des services autres que les missions confiées par la loi ou par la réglementation de l’Union européenne au commissaire, dans la mesure où le montant total des honoraires afférents à ces services dépasserait</w:t>
      </w:r>
      <w:r>
        <w:rPr>
          <w:color w:val="231F20"/>
          <w:spacing w:val="-27"/>
        </w:rPr>
        <w:t> </w:t>
      </w:r>
      <w:r>
        <w:rPr>
          <w:color w:val="231F20"/>
        </w:rPr>
        <w:t>le montant</w:t>
      </w:r>
      <w:r>
        <w:rPr>
          <w:color w:val="231F20"/>
          <w:spacing w:val="13"/>
        </w:rPr>
        <w:t> </w:t>
      </w:r>
      <w:r>
        <w:rPr>
          <w:color w:val="231F20"/>
        </w:rPr>
        <w:t>total</w:t>
      </w:r>
      <w:r>
        <w:rPr>
          <w:color w:val="231F20"/>
          <w:spacing w:val="13"/>
        </w:rPr>
        <w:t> </w:t>
      </w:r>
      <w:r>
        <w:rPr>
          <w:color w:val="231F20"/>
        </w:rPr>
        <w:t>des</w:t>
      </w:r>
      <w:r>
        <w:rPr>
          <w:color w:val="231F20"/>
          <w:spacing w:val="13"/>
        </w:rPr>
        <w:t> </w:t>
      </w:r>
      <w:r>
        <w:rPr>
          <w:color w:val="231F20"/>
        </w:rPr>
        <w:t>honoraires</w:t>
      </w:r>
      <w:r>
        <w:rPr>
          <w:color w:val="231F20"/>
          <w:spacing w:val="14"/>
        </w:rPr>
        <w:t> </w:t>
      </w:r>
      <w:r>
        <w:rPr>
          <w:color w:val="231F20"/>
        </w:rPr>
        <w:t>visés</w:t>
      </w:r>
      <w:r>
        <w:rPr>
          <w:color w:val="231F20"/>
          <w:spacing w:val="13"/>
        </w:rPr>
        <w:t> </w:t>
      </w:r>
      <w:r>
        <w:rPr>
          <w:color w:val="231F20"/>
        </w:rPr>
        <w:t>à</w:t>
      </w:r>
      <w:r>
        <w:rPr>
          <w:color w:val="231F20"/>
          <w:spacing w:val="13"/>
        </w:rPr>
        <w:t> </w:t>
      </w:r>
      <w:r>
        <w:rPr>
          <w:color w:val="231F20"/>
        </w:rPr>
        <w:t>l’article</w:t>
      </w:r>
      <w:r>
        <w:rPr>
          <w:color w:val="231F20"/>
          <w:spacing w:val="13"/>
        </w:rPr>
        <w:t> </w:t>
      </w:r>
      <w:r>
        <w:rPr>
          <w:color w:val="231F20"/>
        </w:rPr>
        <w:t>3:65,</w:t>
      </w:r>
      <w:r>
        <w:rPr>
          <w:color w:val="231F20"/>
          <w:spacing w:val="14"/>
        </w:rPr>
        <w:t> </w:t>
      </w:r>
      <w:r>
        <w:rPr>
          <w:color w:val="231F20"/>
        </w:rPr>
        <w:t>§</w:t>
      </w:r>
      <w:r>
        <w:rPr>
          <w:color w:val="231F20"/>
          <w:spacing w:val="13"/>
        </w:rPr>
        <w:t> </w:t>
      </w:r>
      <w:r>
        <w:rPr>
          <w:color w:val="231F20"/>
        </w:rPr>
        <w:t>2.</w:t>
      </w:r>
    </w:p>
    <w:p>
      <w:pPr>
        <w:pStyle w:val="BodyText"/>
        <w:spacing w:before="6"/>
        <w:ind w:left="0" w:right="0" w:firstLine="0"/>
        <w:jc w:val="left"/>
        <w:rPr>
          <w:sz w:val="29"/>
        </w:rPr>
      </w:pPr>
    </w:p>
    <w:p>
      <w:pPr>
        <w:pStyle w:val="BodyText"/>
        <w:spacing w:line="218" w:lineRule="auto"/>
        <w:ind w:right="38"/>
      </w:pPr>
      <w:r>
        <w:rPr>
          <w:color w:val="231F20"/>
        </w:rPr>
        <w:t>§ 4. Il peut être dérogé à l’interdiction supplémentaire prévue au paragraphe 3, dans chacun des cas suivants:</w:t>
      </w:r>
    </w:p>
    <w:p>
      <w:pPr>
        <w:pStyle w:val="BodyText"/>
        <w:spacing w:line="218" w:lineRule="auto" w:before="161"/>
        <w:ind w:right="38"/>
      </w:pPr>
      <w:r>
        <w:rPr>
          <w:color w:val="231F20"/>
        </w:rPr>
        <w:t>1° sur délibération favorable du comité d’audit, de la</w:t>
      </w:r>
      <w:r>
        <w:rPr>
          <w:color w:val="231F20"/>
          <w:spacing w:val="27"/>
        </w:rPr>
        <w:t> </w:t>
      </w:r>
      <w:r>
        <w:rPr>
          <w:color w:val="231F20"/>
        </w:rPr>
        <w:t>société concernée ou du comité d’audit d’une autre société qui la contrôle, si cette société est une société de droit belge ou est une société constituée selon le droit d’un autre État membre de l’Union européenne ou de l’Organisation de coopération et de développement économiques. Si la société est tenue de constituer un comité d’audit en vertu de la loi, la délibération précitée est prise par le comité d’audit visé à l’article 7:99. Au cas où les tâches confiées au comité d’audit sont exercées par le conseil d’administration dans son ensemble, l’approbation de l’admi- nistrateur</w:t>
      </w:r>
      <w:r>
        <w:rPr>
          <w:color w:val="231F20"/>
          <w:spacing w:val="-3"/>
        </w:rPr>
        <w:t> </w:t>
      </w:r>
      <w:r>
        <w:rPr>
          <w:color w:val="231F20"/>
        </w:rPr>
        <w:t>indépendant,</w:t>
      </w:r>
      <w:r>
        <w:rPr>
          <w:color w:val="231F20"/>
          <w:spacing w:val="-3"/>
        </w:rPr>
        <w:t> </w:t>
      </w:r>
      <w:r>
        <w:rPr>
          <w:color w:val="231F20"/>
        </w:rPr>
        <w:t>ou,</w:t>
      </w:r>
      <w:r>
        <w:rPr>
          <w:color w:val="231F20"/>
          <w:spacing w:val="-3"/>
        </w:rPr>
        <w:t> </w:t>
      </w:r>
      <w:r>
        <w:rPr>
          <w:color w:val="231F20"/>
        </w:rPr>
        <w:t>s’il</w:t>
      </w:r>
      <w:r>
        <w:rPr>
          <w:color w:val="231F20"/>
          <w:spacing w:val="-3"/>
        </w:rPr>
        <w:t> </w:t>
      </w:r>
      <w:r>
        <w:rPr>
          <w:color w:val="231F20"/>
        </w:rPr>
        <w:t>en</w:t>
      </w:r>
      <w:r>
        <w:rPr>
          <w:color w:val="231F20"/>
          <w:spacing w:val="-3"/>
        </w:rPr>
        <w:t> </w:t>
      </w:r>
      <w:r>
        <w:rPr>
          <w:color w:val="231F20"/>
        </w:rPr>
        <w:t>a</w:t>
      </w:r>
      <w:r>
        <w:rPr>
          <w:color w:val="231F20"/>
          <w:spacing w:val="-2"/>
        </w:rPr>
        <w:t> </w:t>
      </w:r>
      <w:r>
        <w:rPr>
          <w:color w:val="231F20"/>
        </w:rPr>
        <w:t>été</w:t>
      </w:r>
      <w:r>
        <w:rPr>
          <w:color w:val="231F20"/>
          <w:spacing w:val="-3"/>
        </w:rPr>
        <w:t> </w:t>
      </w:r>
      <w:r>
        <w:rPr>
          <w:color w:val="231F20"/>
        </w:rPr>
        <w:t>nommé</w:t>
      </w:r>
      <w:r>
        <w:rPr>
          <w:color w:val="231F20"/>
          <w:spacing w:val="-3"/>
        </w:rPr>
        <w:t> </w:t>
      </w:r>
      <w:r>
        <w:rPr>
          <w:color w:val="231F20"/>
        </w:rPr>
        <w:t>plusieurs,</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majorité de ceux-ci, est cependant</w:t>
      </w:r>
      <w:r>
        <w:rPr>
          <w:color w:val="231F20"/>
          <w:spacing w:val="17"/>
        </w:rPr>
        <w:t> </w:t>
      </w:r>
      <w:r>
        <w:rPr>
          <w:color w:val="231F20"/>
        </w:rPr>
        <w:t>requise;</w:t>
      </w:r>
    </w:p>
    <w:p>
      <w:pPr>
        <w:pStyle w:val="BodyText"/>
        <w:spacing w:line="218" w:lineRule="auto" w:before="119"/>
      </w:pPr>
      <w:r>
        <w:rPr/>
        <w:br w:type="column"/>
      </w:r>
      <w:r>
        <w:rPr>
          <w:color w:val="231F20"/>
        </w:rPr>
        <w:t>Als zijn onafhankelijkheid in het gedrang komt, past de commissaris in voorkomend geval veiligheidsmaatregelen toe om de bedreigingen als gevolg van het leveren van zulke diensten in een land dat geen lid    is van de Europese Unie in te perken. De commissaris mag de</w:t>
      </w:r>
      <w:r>
        <w:rPr>
          <w:color w:val="231F20"/>
          <w:spacing w:val="-8"/>
        </w:rPr>
        <w:t> </w:t>
      </w:r>
      <w:r>
        <w:rPr>
          <w:color w:val="231F20"/>
        </w:rPr>
        <w:t>wettelijke controle uitsluitend blijven uitvoeren als kan gewaarborgd worden dat het verlenen van deze diensten zijn professionele oordeelsvorming en controleverslag niet</w:t>
      </w:r>
      <w:r>
        <w:rPr>
          <w:color w:val="231F20"/>
          <w:spacing w:val="-11"/>
        </w:rPr>
        <w:t> </w:t>
      </w:r>
      <w:r>
        <w:rPr>
          <w:color w:val="231F20"/>
        </w:rPr>
        <w:t>beïnvloedt.</w:t>
      </w:r>
    </w:p>
    <w:p>
      <w:pPr>
        <w:pStyle w:val="BodyText"/>
        <w:spacing w:before="136"/>
        <w:ind w:left="283" w:right="0" w:firstLine="0"/>
        <w:jc w:val="left"/>
      </w:pPr>
      <w:r>
        <w:rPr>
          <w:color w:val="231F20"/>
        </w:rPr>
        <w:t>Voor de toepassing van deze paragraaf:</w:t>
      </w:r>
    </w:p>
    <w:p>
      <w:pPr>
        <w:pStyle w:val="ListParagraph"/>
        <w:numPr>
          <w:ilvl w:val="0"/>
          <w:numId w:val="89"/>
        </w:numPr>
        <w:tabs>
          <w:tab w:pos="454" w:val="left" w:leader="none"/>
        </w:tabs>
        <w:spacing w:line="218" w:lineRule="auto" w:before="144" w:after="0"/>
        <w:ind w:left="113" w:right="123" w:firstLine="170"/>
        <w:jc w:val="both"/>
        <w:rPr>
          <w:sz w:val="17"/>
        </w:rPr>
      </w:pPr>
      <w:r>
        <w:rPr>
          <w:color w:val="231F20"/>
          <w:sz w:val="17"/>
        </w:rPr>
        <w:t>worden betrokkenheid bij de besluitvorming van de vennootschap, onderworpen aan de wettelijke controle, en het leveren van de diensten bedoeld in paragraaf 2, 1° tot 3°, in alle gevallen geacht</w:t>
      </w:r>
      <w:r>
        <w:rPr>
          <w:color w:val="231F20"/>
          <w:spacing w:val="19"/>
          <w:sz w:val="17"/>
        </w:rPr>
        <w:t> </w:t>
      </w:r>
      <w:r>
        <w:rPr>
          <w:color w:val="231F20"/>
          <w:sz w:val="17"/>
        </w:rPr>
        <w:t>deze onafhankelijkheid in het gedrang te brengen en niet te kunnen worden ingeperkt door welke veiligheidsmaatregel</w:t>
      </w:r>
      <w:r>
        <w:rPr>
          <w:color w:val="231F20"/>
          <w:spacing w:val="25"/>
          <w:sz w:val="17"/>
        </w:rPr>
        <w:t> </w:t>
      </w:r>
      <w:r>
        <w:rPr>
          <w:color w:val="231F20"/>
          <w:sz w:val="17"/>
        </w:rPr>
        <w:t>ook;</w:t>
      </w:r>
    </w:p>
    <w:p>
      <w:pPr>
        <w:pStyle w:val="ListParagraph"/>
        <w:numPr>
          <w:ilvl w:val="0"/>
          <w:numId w:val="89"/>
        </w:numPr>
        <w:tabs>
          <w:tab w:pos="461" w:val="left" w:leader="none"/>
        </w:tabs>
        <w:spacing w:line="218" w:lineRule="auto" w:before="147" w:after="0"/>
        <w:ind w:left="113" w:right="124" w:firstLine="170"/>
        <w:jc w:val="both"/>
        <w:rPr>
          <w:sz w:val="17"/>
        </w:rPr>
      </w:pPr>
      <w:r>
        <w:rPr>
          <w:color w:val="231F20"/>
          <w:sz w:val="17"/>
        </w:rPr>
        <w:t>wordt het verstrekken van de diensten andere dan deze bedoeld in paragraaf 2, 1° tot 3°, geacht deze onafhankelijkheid in het gedrang te brengen en worden derhalve veiligheidsmaatregelen nodig geacht om de</w:t>
      </w:r>
      <w:r>
        <w:rPr>
          <w:color w:val="231F20"/>
          <w:spacing w:val="16"/>
          <w:sz w:val="17"/>
        </w:rPr>
        <w:t> </w:t>
      </w:r>
      <w:r>
        <w:rPr>
          <w:color w:val="231F20"/>
          <w:sz w:val="17"/>
        </w:rPr>
        <w:t>daardoor</w:t>
      </w:r>
      <w:r>
        <w:rPr>
          <w:color w:val="231F20"/>
          <w:spacing w:val="16"/>
          <w:sz w:val="17"/>
        </w:rPr>
        <w:t> </w:t>
      </w:r>
      <w:r>
        <w:rPr>
          <w:color w:val="231F20"/>
          <w:sz w:val="17"/>
        </w:rPr>
        <w:t>veroorzaakte</w:t>
      </w:r>
      <w:r>
        <w:rPr>
          <w:color w:val="231F20"/>
          <w:spacing w:val="16"/>
          <w:sz w:val="17"/>
        </w:rPr>
        <w:t> </w:t>
      </w:r>
      <w:r>
        <w:rPr>
          <w:color w:val="231F20"/>
          <w:sz w:val="17"/>
        </w:rPr>
        <w:t>dreigingen</w:t>
      </w:r>
      <w:r>
        <w:rPr>
          <w:color w:val="231F20"/>
          <w:spacing w:val="16"/>
          <w:sz w:val="17"/>
        </w:rPr>
        <w:t> </w:t>
      </w:r>
      <w:r>
        <w:rPr>
          <w:color w:val="231F20"/>
          <w:sz w:val="17"/>
        </w:rPr>
        <w:t>in</w:t>
      </w:r>
      <w:r>
        <w:rPr>
          <w:color w:val="231F20"/>
          <w:spacing w:val="16"/>
          <w:sz w:val="17"/>
        </w:rPr>
        <w:t> </w:t>
      </w:r>
      <w:r>
        <w:rPr>
          <w:color w:val="231F20"/>
          <w:sz w:val="17"/>
        </w:rPr>
        <w:t>te</w:t>
      </w:r>
      <w:r>
        <w:rPr>
          <w:color w:val="231F20"/>
          <w:spacing w:val="16"/>
          <w:sz w:val="17"/>
        </w:rPr>
        <w:t> </w:t>
      </w:r>
      <w:r>
        <w:rPr>
          <w:color w:val="231F20"/>
          <w:sz w:val="17"/>
        </w:rPr>
        <w:t>perken.</w:t>
      </w:r>
    </w:p>
    <w:p>
      <w:pPr>
        <w:pStyle w:val="BodyText"/>
        <w:spacing w:line="218" w:lineRule="auto" w:before="149"/>
      </w:pPr>
      <w:r>
        <w:rPr>
          <w:color w:val="231F20"/>
        </w:rPr>
        <w:t>Onderafdeling 3. Verhouding tussen de honoraria voor wettelijke controles en overige honoraria.</w:t>
      </w:r>
    </w:p>
    <w:p>
      <w:pPr>
        <w:pStyle w:val="BodyText"/>
        <w:spacing w:line="218" w:lineRule="auto" w:before="150"/>
      </w:pPr>
      <w:r>
        <w:rPr>
          <w:color w:val="231F20"/>
        </w:rPr>
        <w:t>Art. 3:64. § 1. Onverminderd de verbodsbepalingen die voortvloeien uit artikel 3:63, mag de commissaris in organisaties van openbaar belang geen andere diensten verrichten dan de opdrachten die door de wet of door de wetgeving van de Europese Unie werden toevertrouwd aan de commissaris, voor zover het totale bedrag van de honoraria voor deze diensten meer dan zeventig procent bedraagt van het totaalbedrag van de in artikel 3:65, § 2, bedoelde honoraria.</w:t>
      </w:r>
    </w:p>
    <w:p>
      <w:pPr>
        <w:pStyle w:val="BodyText"/>
        <w:spacing w:line="218" w:lineRule="auto" w:before="150"/>
      </w:pPr>
      <w:r>
        <w:rPr>
          <w:color w:val="231F20"/>
        </w:rPr>
        <w:t>§ 2. Op verzoek van de commissaris kan het College van toezicht op de  bedrijfsrevisoren,  zoals  bedoeld  in  artikel  32  van  de  wet  van     7 december 2016 houdende de organisatie van het beroep van en het publiek toezicht op de bedrijfsrevisoren bij wijze van uitzondering toestaan dat de commissaris voor een periode van maximaal twee boekjaren</w:t>
      </w:r>
      <w:r>
        <w:rPr>
          <w:color w:val="231F20"/>
          <w:spacing w:val="20"/>
        </w:rPr>
        <w:t> </w:t>
      </w:r>
      <w:r>
        <w:rPr>
          <w:color w:val="231F20"/>
        </w:rPr>
        <w:t>wordt</w:t>
      </w:r>
      <w:r>
        <w:rPr>
          <w:color w:val="231F20"/>
          <w:spacing w:val="20"/>
        </w:rPr>
        <w:t> </w:t>
      </w:r>
      <w:r>
        <w:rPr>
          <w:color w:val="231F20"/>
        </w:rPr>
        <w:t>vrijgesteld</w:t>
      </w:r>
      <w:r>
        <w:rPr>
          <w:color w:val="231F20"/>
          <w:spacing w:val="20"/>
        </w:rPr>
        <w:t> </w:t>
      </w:r>
      <w:r>
        <w:rPr>
          <w:color w:val="231F20"/>
        </w:rPr>
        <w:t>van</w:t>
      </w:r>
      <w:r>
        <w:rPr>
          <w:color w:val="231F20"/>
          <w:spacing w:val="20"/>
        </w:rPr>
        <w:t> </w:t>
      </w:r>
      <w:r>
        <w:rPr>
          <w:color w:val="231F20"/>
        </w:rPr>
        <w:t>het</w:t>
      </w:r>
      <w:r>
        <w:rPr>
          <w:color w:val="231F20"/>
          <w:spacing w:val="20"/>
        </w:rPr>
        <w:t> </w:t>
      </w:r>
      <w:r>
        <w:rPr>
          <w:color w:val="231F20"/>
        </w:rPr>
        <w:t>verbod</w:t>
      </w:r>
      <w:r>
        <w:rPr>
          <w:color w:val="231F20"/>
          <w:spacing w:val="20"/>
        </w:rPr>
        <w:t> </w:t>
      </w:r>
      <w:r>
        <w:rPr>
          <w:color w:val="231F20"/>
        </w:rPr>
        <w:t>bedoeld</w:t>
      </w:r>
      <w:r>
        <w:rPr>
          <w:color w:val="231F20"/>
          <w:spacing w:val="20"/>
        </w:rPr>
        <w:t> </w:t>
      </w:r>
      <w:r>
        <w:rPr>
          <w:color w:val="231F20"/>
        </w:rPr>
        <w:t>in</w:t>
      </w:r>
      <w:r>
        <w:rPr>
          <w:color w:val="231F20"/>
          <w:spacing w:val="20"/>
        </w:rPr>
        <w:t> </w:t>
      </w:r>
      <w:r>
        <w:rPr>
          <w:color w:val="231F20"/>
        </w:rPr>
        <w:t>paragraaf</w:t>
      </w:r>
      <w:r>
        <w:rPr>
          <w:color w:val="231F20"/>
          <w:spacing w:val="20"/>
        </w:rPr>
        <w:t> </w:t>
      </w:r>
      <w:r>
        <w:rPr>
          <w:color w:val="231F20"/>
        </w:rPr>
        <w:t>1.</w:t>
      </w:r>
    </w:p>
    <w:p>
      <w:pPr>
        <w:pStyle w:val="BodyText"/>
        <w:spacing w:before="7"/>
        <w:ind w:left="0" w:right="0" w:firstLine="0"/>
        <w:jc w:val="left"/>
        <w:rPr>
          <w:sz w:val="28"/>
        </w:rPr>
      </w:pPr>
    </w:p>
    <w:p>
      <w:pPr>
        <w:pStyle w:val="BodyText"/>
        <w:spacing w:line="218" w:lineRule="auto"/>
      </w:pPr>
      <w:r>
        <w:rPr>
          <w:color w:val="231F20"/>
        </w:rPr>
        <w:t>In dit geval wordt de afwijking en de  verantwoording  ervan vermeld:</w:t>
      </w:r>
    </w:p>
    <w:p>
      <w:pPr>
        <w:pStyle w:val="ListParagraph"/>
        <w:numPr>
          <w:ilvl w:val="0"/>
          <w:numId w:val="90"/>
        </w:numPr>
        <w:tabs>
          <w:tab w:pos="467" w:val="left" w:leader="none"/>
        </w:tabs>
        <w:spacing w:line="218" w:lineRule="auto" w:before="147" w:after="0"/>
        <w:ind w:left="113" w:right="124" w:firstLine="170"/>
        <w:jc w:val="both"/>
        <w:rPr>
          <w:sz w:val="17"/>
        </w:rPr>
      </w:pPr>
      <w:r>
        <w:rPr>
          <w:color w:val="231F20"/>
          <w:sz w:val="17"/>
        </w:rPr>
        <w:t>in de toelichting bij de geconsolideerde jaarrekening of, bij gebrek aan geconsolideerde jaarrekening, in de toelichting bij de jaarrekening van de vennootschap die gebruik maakt van de vrijstelling voorzien in artikel 3:26, tenzij deze vennootschap een dochtervennootschap is van een Belgische vennootschap die gebruik maakt van de voornoemde vrijstelling,</w:t>
      </w:r>
    </w:p>
    <w:p>
      <w:pPr>
        <w:pStyle w:val="ListParagraph"/>
        <w:numPr>
          <w:ilvl w:val="0"/>
          <w:numId w:val="90"/>
        </w:numPr>
        <w:tabs>
          <w:tab w:pos="466" w:val="left" w:leader="none"/>
        </w:tabs>
        <w:spacing w:line="218" w:lineRule="auto" w:before="158" w:after="0"/>
        <w:ind w:left="113" w:right="124" w:firstLine="170"/>
        <w:jc w:val="both"/>
        <w:rPr>
          <w:sz w:val="17"/>
        </w:rPr>
      </w:pPr>
      <w:r>
        <w:rPr>
          <w:color w:val="231F20"/>
          <w:sz w:val="17"/>
        </w:rPr>
        <w:t>in de toelichting bij de jaarrekening van de vennootschap die geen moedervennootschap is of vrijgesteld is van de verplichting om</w:t>
      </w:r>
      <w:r>
        <w:rPr>
          <w:color w:val="231F20"/>
          <w:spacing w:val="21"/>
          <w:sz w:val="17"/>
        </w:rPr>
        <w:t> </w:t>
      </w:r>
      <w:r>
        <w:rPr>
          <w:color w:val="231F20"/>
          <w:sz w:val="17"/>
        </w:rPr>
        <w:t>een geconsolideerde jaarrekening op te stellen krachtens artikel 3:25</w:t>
      </w:r>
      <w:r>
        <w:rPr>
          <w:color w:val="231F20"/>
          <w:spacing w:val="24"/>
          <w:sz w:val="17"/>
        </w:rPr>
        <w:t> </w:t>
      </w:r>
      <w:r>
        <w:rPr>
          <w:color w:val="231F20"/>
          <w:sz w:val="17"/>
        </w:rPr>
        <w:t>en waarvan de commissaris de afwijking van het verbod bedoeld in deze paragraaf gekregen heeft, tenzij deze vennootschap een dochterven- nootschap</w:t>
      </w:r>
      <w:r>
        <w:rPr>
          <w:color w:val="231F20"/>
          <w:spacing w:val="15"/>
          <w:sz w:val="17"/>
        </w:rPr>
        <w:t> </w:t>
      </w:r>
      <w:r>
        <w:rPr>
          <w:color w:val="231F20"/>
          <w:sz w:val="17"/>
        </w:rPr>
        <w:t>is</w:t>
      </w:r>
      <w:r>
        <w:rPr>
          <w:color w:val="231F20"/>
          <w:spacing w:val="15"/>
          <w:sz w:val="17"/>
        </w:rPr>
        <w:t> </w:t>
      </w:r>
      <w:r>
        <w:rPr>
          <w:color w:val="231F20"/>
          <w:sz w:val="17"/>
        </w:rPr>
        <w:t>van</w:t>
      </w:r>
      <w:r>
        <w:rPr>
          <w:color w:val="231F20"/>
          <w:spacing w:val="16"/>
          <w:sz w:val="17"/>
        </w:rPr>
        <w:t> </w:t>
      </w:r>
      <w:r>
        <w:rPr>
          <w:color w:val="231F20"/>
          <w:sz w:val="17"/>
        </w:rPr>
        <w:t>een</w:t>
      </w:r>
      <w:r>
        <w:rPr>
          <w:color w:val="231F20"/>
          <w:spacing w:val="15"/>
          <w:sz w:val="17"/>
        </w:rPr>
        <w:t> </w:t>
      </w:r>
      <w:r>
        <w:rPr>
          <w:color w:val="231F20"/>
          <w:sz w:val="17"/>
        </w:rPr>
        <w:t>Belgische</w:t>
      </w:r>
      <w:r>
        <w:rPr>
          <w:color w:val="231F20"/>
          <w:spacing w:val="16"/>
          <w:sz w:val="17"/>
        </w:rPr>
        <w:t> </w:t>
      </w:r>
      <w:r>
        <w:rPr>
          <w:color w:val="231F20"/>
          <w:sz w:val="17"/>
        </w:rPr>
        <w:t>vennootschap.</w:t>
      </w:r>
    </w:p>
    <w:p>
      <w:pPr>
        <w:pStyle w:val="BodyText"/>
        <w:spacing w:line="218" w:lineRule="auto" w:before="160"/>
      </w:pPr>
      <w:r>
        <w:rPr>
          <w:color w:val="231F20"/>
        </w:rPr>
        <w:t>Ingeval de vennootschap deze informatie niet vermeldt in de toelichting bij de jaarrekening, neemt de commissaris deze informatie zelf op in zijn controleverslag.</w:t>
      </w:r>
    </w:p>
    <w:p>
      <w:pPr>
        <w:pStyle w:val="BodyText"/>
        <w:spacing w:line="218" w:lineRule="auto" w:before="160"/>
      </w:pPr>
      <w:r>
        <w:rPr>
          <w:color w:val="231F20"/>
        </w:rPr>
        <w:t>§ 3. Voor de vennootschappen die niet als organisaties van openbaar belang worden beschouwd, maar die deel uitmaken van een groep die verplicht is geconsolideerde jaarrekeningen op te stellen en te publice- ren geldt dat, onverminderd de verbodsbepalingen die voortvloeien uit artikel 3:63, de commissaris geen andere diensten mag verrichten dan de opdrachten die door de wet of door de wetgeving van de Europese Unie werden toevertrouwd aan de commissaris, voor zover het totale bedrag van de honoraria voor deze diensten hoger ligt dan het totaalbedrag van de in artikel 3:65, § 2, bedoelde honoraria.</w:t>
      </w:r>
    </w:p>
    <w:p>
      <w:pPr>
        <w:pStyle w:val="BodyText"/>
        <w:spacing w:line="218" w:lineRule="auto" w:before="161"/>
        <w:ind w:right="126"/>
      </w:pPr>
      <w:r>
        <w:rPr>
          <w:color w:val="231F20"/>
        </w:rPr>
        <w:t>§ 4. Van het bijkomend verbod bedoeld in paragraaf 3, kan worden afgeweken in elk van de volgende gevallen:</w:t>
      </w:r>
    </w:p>
    <w:p>
      <w:pPr>
        <w:pStyle w:val="BodyText"/>
        <w:spacing w:line="218" w:lineRule="auto" w:before="160"/>
        <w:ind w:right="122"/>
      </w:pPr>
      <w:r>
        <w:rPr>
          <w:color w:val="231F20"/>
        </w:rPr>
        <w:t>1° na een gunstige beslissing van het auditcomité van de betrokken vennootschap of van een andere vennootschap die haar controleert, indien deze vennootschap Belgisch is of een vennootschap is volgens het recht van een andere lidstaat van de Europese Unie of van de Organisatie voor de Economische Samenwerking en Ontwikkeling. Indien de vennootschap krachtens de wet verplicht is om een auditcomité op te richten, wordt de bovenvermelde beslissing genomen door het auditcomité als bedoeld in artikel 7:99. Ingeval de taken die aan het auditcomité zijn opgedragen, worden uitgevoerd door de raad van bestuur als geheel, is evenwel de goedkeuring vereist van de onafhankelijke</w:t>
      </w:r>
      <w:r>
        <w:rPr>
          <w:color w:val="231F20"/>
          <w:spacing w:val="-14"/>
        </w:rPr>
        <w:t> </w:t>
      </w:r>
      <w:r>
        <w:rPr>
          <w:color w:val="231F20"/>
          <w:spacing w:val="-3"/>
        </w:rPr>
        <w:t>bestuurder</w:t>
      </w:r>
      <w:r>
        <w:rPr>
          <w:color w:val="231F20"/>
          <w:spacing w:val="-13"/>
        </w:rPr>
        <w:t> </w:t>
      </w:r>
      <w:r>
        <w:rPr>
          <w:color w:val="231F20"/>
        </w:rPr>
        <w:t>of,</w:t>
      </w:r>
      <w:r>
        <w:rPr>
          <w:color w:val="231F20"/>
          <w:spacing w:val="-13"/>
        </w:rPr>
        <w:t> </w:t>
      </w:r>
      <w:r>
        <w:rPr>
          <w:color w:val="231F20"/>
        </w:rPr>
        <w:t>indien</w:t>
      </w:r>
      <w:r>
        <w:rPr>
          <w:color w:val="231F20"/>
          <w:spacing w:val="-13"/>
        </w:rPr>
        <w:t> </w:t>
      </w:r>
      <w:r>
        <w:rPr>
          <w:color w:val="231F20"/>
        </w:rPr>
        <w:t>er</w:t>
      </w:r>
      <w:r>
        <w:rPr>
          <w:color w:val="231F20"/>
          <w:spacing w:val="-13"/>
        </w:rPr>
        <w:t> </w:t>
      </w:r>
      <w:r>
        <w:rPr>
          <w:color w:val="231F20"/>
          <w:spacing w:val="-3"/>
        </w:rPr>
        <w:t>meerdere</w:t>
      </w:r>
      <w:r>
        <w:rPr>
          <w:color w:val="231F20"/>
          <w:spacing w:val="-13"/>
        </w:rPr>
        <w:t> </w:t>
      </w:r>
      <w:r>
        <w:rPr>
          <w:color w:val="231F20"/>
        </w:rPr>
        <w:t>onafhankelijke</w:t>
      </w:r>
      <w:r>
        <w:rPr>
          <w:color w:val="231F20"/>
          <w:spacing w:val="-13"/>
        </w:rPr>
        <w:t> </w:t>
      </w:r>
      <w:r>
        <w:rPr>
          <w:color w:val="231F20"/>
          <w:spacing w:val="-3"/>
        </w:rPr>
        <w:t>bestuur- </w:t>
      </w:r>
      <w:r>
        <w:rPr>
          <w:color w:val="231F20"/>
        </w:rPr>
        <w:t>ders zijn benoemd, van de meerderheid van de onafhankelijke bestuurders;</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2776" from="298.170502pt,64.473pt" to="298.170502pt,812.819pt" stroked="true" strokeweight=".533pt" strokecolor="#231f20">
            <v:stroke dashstyle="solid"/>
            <w10:wrap type="none"/>
          </v:line>
        </w:pict>
      </w:r>
      <w:bookmarkStart w:name="_bookmark73" w:id="78"/>
      <w:bookmarkEnd w:id="78"/>
      <w:r>
        <w:rPr/>
      </w:r>
      <w:r>
        <w:rPr>
          <w:color w:val="231F20"/>
        </w:rPr>
        <w:t>2° si, à la demande du commissaire, le Collège de supervision des réviseurs  d’entreprises  visé  à  l’article  32  de  la  loi  du  7  décem-   bre 2016 portant organisation de la profession et de la supervision publique des réviseurs d’entreprises autorise, à titre exceptionnel, que le commissaire puisse déroger à l’interdiction visée au paragraphe 3 et ce</w:t>
      </w:r>
      <w:r>
        <w:rPr>
          <w:color w:val="231F20"/>
          <w:spacing w:val="16"/>
        </w:rPr>
        <w:t> </w:t>
      </w:r>
      <w:r>
        <w:rPr>
          <w:color w:val="231F20"/>
        </w:rPr>
        <w:t>pour</w:t>
      </w:r>
      <w:r>
        <w:rPr>
          <w:color w:val="231F20"/>
          <w:spacing w:val="16"/>
        </w:rPr>
        <w:t> </w:t>
      </w:r>
      <w:r>
        <w:rPr>
          <w:color w:val="231F20"/>
        </w:rPr>
        <w:t>une</w:t>
      </w:r>
      <w:r>
        <w:rPr>
          <w:color w:val="231F20"/>
          <w:spacing w:val="16"/>
        </w:rPr>
        <w:t> </w:t>
      </w:r>
      <w:r>
        <w:rPr>
          <w:color w:val="231F20"/>
        </w:rPr>
        <w:t>période</w:t>
      </w:r>
      <w:r>
        <w:rPr>
          <w:color w:val="231F20"/>
          <w:spacing w:val="16"/>
        </w:rPr>
        <w:t> </w:t>
      </w:r>
      <w:r>
        <w:rPr>
          <w:color w:val="231F20"/>
        </w:rPr>
        <w:t>maximale</w:t>
      </w:r>
      <w:r>
        <w:rPr>
          <w:color w:val="231F20"/>
          <w:spacing w:val="16"/>
        </w:rPr>
        <w:t> </w:t>
      </w:r>
      <w:r>
        <w:rPr>
          <w:color w:val="231F20"/>
        </w:rPr>
        <w:t>de</w:t>
      </w:r>
      <w:r>
        <w:rPr>
          <w:color w:val="231F20"/>
          <w:spacing w:val="16"/>
        </w:rPr>
        <w:t> </w:t>
      </w:r>
      <w:r>
        <w:rPr>
          <w:color w:val="231F20"/>
        </w:rPr>
        <w:t>deux</w:t>
      </w:r>
      <w:r>
        <w:rPr>
          <w:color w:val="231F20"/>
          <w:spacing w:val="16"/>
        </w:rPr>
        <w:t> </w:t>
      </w:r>
      <w:r>
        <w:rPr>
          <w:color w:val="231F20"/>
        </w:rPr>
        <w:t>exercices</w:t>
      </w:r>
      <w:r>
        <w:rPr>
          <w:color w:val="231F20"/>
          <w:spacing w:val="16"/>
        </w:rPr>
        <w:t> </w:t>
      </w:r>
      <w:r>
        <w:rPr>
          <w:color w:val="231F20"/>
        </w:rPr>
        <w:t>sociaux;</w:t>
      </w:r>
    </w:p>
    <w:p>
      <w:pPr>
        <w:pStyle w:val="BodyText"/>
        <w:spacing w:line="218" w:lineRule="auto" w:before="149"/>
        <w:ind w:right="38"/>
      </w:pPr>
      <w:r>
        <w:rPr>
          <w:color w:val="231F20"/>
        </w:rPr>
        <w:t>3° au cas où la société n’est pas tenue d’instituer un comité d’audit en vertu de la loi, si, au sein de la société, il a été institué un collège de commissaires indépendants les uns des autres.</w:t>
      </w:r>
    </w:p>
    <w:p>
      <w:pPr>
        <w:pStyle w:val="BodyText"/>
        <w:spacing w:line="218" w:lineRule="auto" w:before="135"/>
        <w:ind w:right="38"/>
      </w:pPr>
      <w:r>
        <w:rPr>
          <w:color w:val="231F20"/>
        </w:rPr>
        <w:t>Dans les cas visés à l’alinéa 1</w:t>
      </w:r>
      <w:r>
        <w:rPr>
          <w:color w:val="231F20"/>
          <w:position w:val="7"/>
          <w:sz w:val="11"/>
        </w:rPr>
        <w:t>er</w:t>
      </w:r>
      <w:r>
        <w:rPr>
          <w:color w:val="231F20"/>
        </w:rPr>
        <w:t>, il est fait mention de la dérogation et de la motivation de celle-ci:</w:t>
      </w:r>
    </w:p>
    <w:p>
      <w:pPr>
        <w:pStyle w:val="ListParagraph"/>
        <w:numPr>
          <w:ilvl w:val="0"/>
          <w:numId w:val="91"/>
        </w:numPr>
        <w:tabs>
          <w:tab w:pos="519" w:val="left" w:leader="none"/>
        </w:tabs>
        <w:spacing w:line="218" w:lineRule="auto" w:before="146" w:after="0"/>
        <w:ind w:left="113" w:right="38" w:firstLine="170"/>
        <w:jc w:val="both"/>
        <w:rPr>
          <w:sz w:val="17"/>
        </w:rPr>
      </w:pPr>
      <w:r>
        <w:rPr>
          <w:color w:val="231F20"/>
          <w:sz w:val="17"/>
        </w:rPr>
        <w:t>en annexe aux comptes consolidés ou, à défaut de comptes consolidés, en annexe aux comptes annuels de la société qui fait usage de l’exemption prévue à l’article 3:26, sauf si cette société est filiale d’une</w:t>
      </w:r>
      <w:r>
        <w:rPr>
          <w:color w:val="231F20"/>
          <w:spacing w:val="16"/>
          <w:sz w:val="17"/>
        </w:rPr>
        <w:t> </w:t>
      </w:r>
      <w:r>
        <w:rPr>
          <w:color w:val="231F20"/>
          <w:sz w:val="17"/>
        </w:rPr>
        <w:t>société</w:t>
      </w:r>
      <w:r>
        <w:rPr>
          <w:color w:val="231F20"/>
          <w:spacing w:val="17"/>
          <w:sz w:val="17"/>
        </w:rPr>
        <w:t> </w:t>
      </w:r>
      <w:r>
        <w:rPr>
          <w:color w:val="231F20"/>
          <w:sz w:val="17"/>
        </w:rPr>
        <w:t>belge</w:t>
      </w:r>
      <w:r>
        <w:rPr>
          <w:color w:val="231F20"/>
          <w:spacing w:val="16"/>
          <w:sz w:val="17"/>
        </w:rPr>
        <w:t> </w:t>
      </w:r>
      <w:r>
        <w:rPr>
          <w:color w:val="231F20"/>
          <w:sz w:val="17"/>
        </w:rPr>
        <w:t>qui</w:t>
      </w:r>
      <w:r>
        <w:rPr>
          <w:color w:val="231F20"/>
          <w:spacing w:val="17"/>
          <w:sz w:val="17"/>
        </w:rPr>
        <w:t> </w:t>
      </w:r>
      <w:r>
        <w:rPr>
          <w:color w:val="231F20"/>
          <w:sz w:val="17"/>
        </w:rPr>
        <w:t>fait</w:t>
      </w:r>
      <w:r>
        <w:rPr>
          <w:color w:val="231F20"/>
          <w:spacing w:val="16"/>
          <w:sz w:val="17"/>
        </w:rPr>
        <w:t> </w:t>
      </w:r>
      <w:r>
        <w:rPr>
          <w:color w:val="231F20"/>
          <w:sz w:val="17"/>
        </w:rPr>
        <w:t>usage</w:t>
      </w:r>
      <w:r>
        <w:rPr>
          <w:color w:val="231F20"/>
          <w:spacing w:val="17"/>
          <w:sz w:val="17"/>
        </w:rPr>
        <w:t> </w:t>
      </w:r>
      <w:r>
        <w:rPr>
          <w:color w:val="231F20"/>
          <w:sz w:val="17"/>
        </w:rPr>
        <w:t>de</w:t>
      </w:r>
      <w:r>
        <w:rPr>
          <w:color w:val="231F20"/>
          <w:spacing w:val="17"/>
          <w:sz w:val="17"/>
        </w:rPr>
        <w:t> </w:t>
      </w:r>
      <w:r>
        <w:rPr>
          <w:color w:val="231F20"/>
          <w:sz w:val="17"/>
        </w:rPr>
        <w:t>l’exemption</w:t>
      </w:r>
      <w:r>
        <w:rPr>
          <w:color w:val="231F20"/>
          <w:spacing w:val="16"/>
          <w:sz w:val="17"/>
        </w:rPr>
        <w:t> </w:t>
      </w:r>
      <w:r>
        <w:rPr>
          <w:color w:val="231F20"/>
          <w:sz w:val="17"/>
        </w:rPr>
        <w:t>précitée;</w:t>
      </w:r>
    </w:p>
    <w:p>
      <w:pPr>
        <w:pStyle w:val="BodyText"/>
        <w:ind w:left="0" w:right="0" w:firstLine="0"/>
        <w:jc w:val="left"/>
        <w:rPr>
          <w:sz w:val="20"/>
        </w:rPr>
      </w:pPr>
    </w:p>
    <w:p>
      <w:pPr>
        <w:pStyle w:val="BodyText"/>
        <w:spacing w:before="10"/>
        <w:ind w:left="0" w:right="0" w:firstLine="0"/>
        <w:jc w:val="left"/>
        <w:rPr>
          <w:sz w:val="23"/>
        </w:rPr>
      </w:pPr>
    </w:p>
    <w:p>
      <w:pPr>
        <w:pStyle w:val="ListParagraph"/>
        <w:numPr>
          <w:ilvl w:val="0"/>
          <w:numId w:val="91"/>
        </w:numPr>
        <w:tabs>
          <w:tab w:pos="493" w:val="left" w:leader="none"/>
        </w:tabs>
        <w:spacing w:line="218" w:lineRule="auto" w:before="1" w:after="0"/>
        <w:ind w:left="113" w:right="38" w:firstLine="170"/>
        <w:jc w:val="both"/>
        <w:rPr>
          <w:sz w:val="17"/>
        </w:rPr>
      </w:pPr>
      <w:r>
        <w:rPr>
          <w:color w:val="231F20"/>
          <w:sz w:val="17"/>
        </w:rPr>
        <w:t>en annexe aux comptes annuels de la société qui n’est pas une société mère ou est dispensée d’établir des comptes consolidés en vertu de l’article 3:25 et dont le commissaire a obtenu la dérogation à l’interdiction visée au présent paragraphe, sauf si cette société est filiale d’une société</w:t>
      </w:r>
      <w:r>
        <w:rPr>
          <w:color w:val="231F20"/>
          <w:spacing w:val="-11"/>
          <w:sz w:val="17"/>
        </w:rPr>
        <w:t> </w:t>
      </w:r>
      <w:r>
        <w:rPr>
          <w:color w:val="231F20"/>
          <w:sz w:val="17"/>
        </w:rPr>
        <w:t>belge.</w:t>
      </w:r>
    </w:p>
    <w:p>
      <w:pPr>
        <w:pStyle w:val="BodyText"/>
        <w:spacing w:before="7"/>
        <w:ind w:left="0" w:right="0" w:firstLine="0"/>
        <w:jc w:val="left"/>
        <w:rPr>
          <w:sz w:val="28"/>
        </w:rPr>
      </w:pPr>
    </w:p>
    <w:p>
      <w:pPr>
        <w:pStyle w:val="BodyText"/>
        <w:spacing w:line="218" w:lineRule="auto"/>
        <w:ind w:right="38"/>
      </w:pPr>
      <w:r>
        <w:rPr>
          <w:color w:val="231F20"/>
        </w:rPr>
        <w:t>À défaut de mention de cette information par la société dans l’annexe des comptes, le commissaire mentionne lui-même cette information dans son rapport de contrôle.</w:t>
      </w:r>
    </w:p>
    <w:p>
      <w:pPr>
        <w:pStyle w:val="BodyText"/>
        <w:spacing w:line="218" w:lineRule="auto" w:before="160"/>
        <w:ind w:right="38"/>
      </w:pPr>
      <w:r>
        <w:rPr>
          <w:color w:val="231F20"/>
        </w:rPr>
        <w:t>§ 5. Pour l’application des paragraphes 3 et 4, ne sont pas prises en considération les prestations consistant à vérifier les données économi- ques et financières relatives à une entreprise tierce que la société ou l’une de ses filiales se proposent d’acquérir ou a acquis.</w:t>
      </w:r>
    </w:p>
    <w:p>
      <w:pPr>
        <w:pStyle w:val="BodyText"/>
        <w:spacing w:before="7"/>
        <w:ind w:left="0" w:right="0" w:firstLine="0"/>
        <w:jc w:val="left"/>
        <w:rPr>
          <w:sz w:val="29"/>
        </w:rPr>
      </w:pPr>
    </w:p>
    <w:p>
      <w:pPr>
        <w:pStyle w:val="BodyText"/>
        <w:spacing w:line="218" w:lineRule="auto"/>
        <w:ind w:right="38"/>
      </w:pPr>
      <w:r>
        <w:rPr>
          <w:color w:val="231F20"/>
        </w:rPr>
        <w:t>L’appréciation du rapport des honoraires pour le contrôle légal et des autres honoraires, tels que visés aux paragraphes 1 à 4, est à effectuer pour l’ensemble constitué par la société soumise au contrôle légal, sa société mère et ses filiales, étant entendu que les honoraires pour le contrôle légal des sociétés mères ou filiales étrangères sont ceux qui découlent des dispositions légales et/ou contractuelles applicables  à ces sociétés mères ou</w:t>
      </w:r>
      <w:r>
        <w:rPr>
          <w:color w:val="231F20"/>
          <w:spacing w:val="17"/>
        </w:rPr>
        <w:t> </w:t>
      </w:r>
      <w:r>
        <w:rPr>
          <w:color w:val="231F20"/>
        </w:rPr>
        <w:t>filiales.</w:t>
      </w:r>
    </w:p>
    <w:p>
      <w:pPr>
        <w:pStyle w:val="BodyText"/>
        <w:ind w:left="0" w:right="0" w:firstLine="0"/>
        <w:jc w:val="left"/>
        <w:rPr>
          <w:sz w:val="20"/>
        </w:rPr>
      </w:pPr>
    </w:p>
    <w:p>
      <w:pPr>
        <w:pStyle w:val="BodyText"/>
        <w:ind w:left="0" w:right="0" w:firstLine="0"/>
        <w:jc w:val="left"/>
        <w:rPr>
          <w:sz w:val="25"/>
        </w:rPr>
      </w:pPr>
    </w:p>
    <w:p>
      <w:pPr>
        <w:pStyle w:val="BodyText"/>
        <w:spacing w:line="218" w:lineRule="auto" w:before="1"/>
        <w:ind w:right="38"/>
      </w:pPr>
      <w:r>
        <w:rPr>
          <w:color w:val="231F20"/>
        </w:rPr>
        <w:t>L’appréciation du rapport des honoraires visés à l’alinéa 2 doit s’entendre comme étant à effectuer en comparant globalement pour la durée de trois exercices sociaux du mandat du commissaire:</w:t>
      </w:r>
    </w:p>
    <w:p>
      <w:pPr>
        <w:pStyle w:val="BodyText"/>
        <w:spacing w:before="6"/>
        <w:ind w:left="0" w:right="0" w:firstLine="0"/>
        <w:jc w:val="left"/>
        <w:rPr>
          <w:sz w:val="29"/>
        </w:rPr>
      </w:pPr>
    </w:p>
    <w:p>
      <w:pPr>
        <w:pStyle w:val="ListParagraph"/>
        <w:numPr>
          <w:ilvl w:val="0"/>
          <w:numId w:val="92"/>
        </w:numPr>
        <w:tabs>
          <w:tab w:pos="504" w:val="left" w:leader="none"/>
        </w:tabs>
        <w:spacing w:line="218" w:lineRule="auto" w:before="0" w:after="0"/>
        <w:ind w:left="113" w:right="38" w:firstLine="171"/>
        <w:jc w:val="both"/>
        <w:rPr>
          <w:sz w:val="17"/>
        </w:rPr>
      </w:pPr>
      <w:r>
        <w:rPr>
          <w:color w:val="231F20"/>
          <w:sz w:val="17"/>
        </w:rPr>
        <w:t>d’une part, le total des honoraires relatifs à trois exercices sociaux </w:t>
      </w:r>
      <w:r>
        <w:rPr>
          <w:color w:val="231F20"/>
          <w:spacing w:val="-3"/>
          <w:sz w:val="17"/>
        </w:rPr>
        <w:t>afférent </w:t>
      </w:r>
      <w:r>
        <w:rPr>
          <w:color w:val="231F20"/>
          <w:sz w:val="17"/>
        </w:rPr>
        <w:t>aux services autres que les missions confiées par la loi ou par la législation de l’Union européenne au commissaire, attribués globale- ment durant les trois exercices sociaux, par la société soumise au contrôle</w:t>
      </w:r>
      <w:r>
        <w:rPr>
          <w:color w:val="231F20"/>
          <w:spacing w:val="13"/>
          <w:sz w:val="17"/>
        </w:rPr>
        <w:t> </w:t>
      </w:r>
      <w:r>
        <w:rPr>
          <w:color w:val="231F20"/>
          <w:sz w:val="17"/>
        </w:rPr>
        <w:t>légal,</w:t>
      </w:r>
      <w:r>
        <w:rPr>
          <w:color w:val="231F20"/>
          <w:spacing w:val="13"/>
          <w:sz w:val="17"/>
        </w:rPr>
        <w:t> </w:t>
      </w:r>
      <w:r>
        <w:rPr>
          <w:color w:val="231F20"/>
          <w:sz w:val="17"/>
        </w:rPr>
        <w:t>sa</w:t>
      </w:r>
      <w:r>
        <w:rPr>
          <w:color w:val="231F20"/>
          <w:spacing w:val="13"/>
          <w:sz w:val="17"/>
        </w:rPr>
        <w:t> </w:t>
      </w:r>
      <w:r>
        <w:rPr>
          <w:color w:val="231F20"/>
          <w:sz w:val="17"/>
        </w:rPr>
        <w:t>société</w:t>
      </w:r>
      <w:r>
        <w:rPr>
          <w:color w:val="231F20"/>
          <w:spacing w:val="13"/>
          <w:sz w:val="17"/>
        </w:rPr>
        <w:t> </w:t>
      </w:r>
      <w:r>
        <w:rPr>
          <w:color w:val="231F20"/>
          <w:sz w:val="17"/>
        </w:rPr>
        <w:t>mère</w:t>
      </w:r>
      <w:r>
        <w:rPr>
          <w:color w:val="231F20"/>
          <w:spacing w:val="13"/>
          <w:sz w:val="17"/>
        </w:rPr>
        <w:t> </w:t>
      </w:r>
      <w:r>
        <w:rPr>
          <w:color w:val="231F20"/>
          <w:sz w:val="17"/>
        </w:rPr>
        <w:t>et</w:t>
      </w:r>
      <w:r>
        <w:rPr>
          <w:color w:val="231F20"/>
          <w:spacing w:val="13"/>
          <w:sz w:val="17"/>
        </w:rPr>
        <w:t> </w:t>
      </w:r>
      <w:r>
        <w:rPr>
          <w:color w:val="231F20"/>
          <w:sz w:val="17"/>
        </w:rPr>
        <w:t>par</w:t>
      </w:r>
      <w:r>
        <w:rPr>
          <w:color w:val="231F20"/>
          <w:spacing w:val="13"/>
          <w:sz w:val="17"/>
        </w:rPr>
        <w:t> </w:t>
      </w:r>
      <w:r>
        <w:rPr>
          <w:color w:val="231F20"/>
          <w:sz w:val="17"/>
        </w:rPr>
        <w:t>ses</w:t>
      </w:r>
      <w:r>
        <w:rPr>
          <w:color w:val="231F20"/>
          <w:spacing w:val="13"/>
          <w:sz w:val="17"/>
        </w:rPr>
        <w:t> </w:t>
      </w:r>
      <w:r>
        <w:rPr>
          <w:color w:val="231F20"/>
          <w:sz w:val="17"/>
        </w:rPr>
        <w:t>filiales,</w:t>
      </w:r>
      <w:r>
        <w:rPr>
          <w:color w:val="231F20"/>
          <w:spacing w:val="13"/>
          <w:sz w:val="17"/>
        </w:rPr>
        <w:t> </w:t>
      </w:r>
      <w:r>
        <w:rPr>
          <w:color w:val="231F20"/>
          <w:sz w:val="17"/>
        </w:rPr>
        <w:t>au</w:t>
      </w:r>
      <w:r>
        <w:rPr>
          <w:color w:val="231F20"/>
          <w:spacing w:val="13"/>
          <w:sz w:val="17"/>
        </w:rPr>
        <w:t> </w:t>
      </w:r>
      <w:r>
        <w:rPr>
          <w:color w:val="231F20"/>
          <w:sz w:val="17"/>
        </w:rPr>
        <w:t>commissaire</w:t>
      </w:r>
      <w:r>
        <w:rPr>
          <w:color w:val="231F20"/>
          <w:spacing w:val="13"/>
          <w:sz w:val="17"/>
        </w:rPr>
        <w:t> </w:t>
      </w:r>
      <w:r>
        <w:rPr>
          <w:color w:val="231F20"/>
          <w:sz w:val="17"/>
        </w:rPr>
        <w:t>et</w:t>
      </w:r>
    </w:p>
    <w:p>
      <w:pPr>
        <w:pStyle w:val="BodyText"/>
        <w:ind w:left="0" w:right="0" w:firstLine="0"/>
        <w:jc w:val="left"/>
        <w:rPr>
          <w:sz w:val="20"/>
        </w:rPr>
      </w:pPr>
    </w:p>
    <w:p>
      <w:pPr>
        <w:pStyle w:val="BodyText"/>
        <w:spacing w:before="1"/>
        <w:ind w:left="0" w:right="0" w:firstLine="0"/>
        <w:jc w:val="left"/>
        <w:rPr>
          <w:sz w:val="25"/>
        </w:rPr>
      </w:pPr>
    </w:p>
    <w:p>
      <w:pPr>
        <w:pStyle w:val="ListParagraph"/>
        <w:numPr>
          <w:ilvl w:val="0"/>
          <w:numId w:val="92"/>
        </w:numPr>
        <w:tabs>
          <w:tab w:pos="536" w:val="left" w:leader="none"/>
        </w:tabs>
        <w:spacing w:line="218" w:lineRule="auto" w:before="0" w:after="0"/>
        <w:ind w:left="113" w:right="38" w:firstLine="171"/>
        <w:jc w:val="both"/>
        <w:rPr>
          <w:sz w:val="17"/>
        </w:rPr>
      </w:pPr>
      <w:r>
        <w:rPr>
          <w:color w:val="231F20"/>
          <w:sz w:val="17"/>
        </w:rPr>
        <w:t>d’autre part, le total des honoraires relatifs aux trois exercices sociaux visés à l’article 3:65, § 2, attribuées globalement durant les trois exercices sociaux, par la société soumise au contrôle légal, sa société mère</w:t>
      </w:r>
      <w:r>
        <w:rPr>
          <w:color w:val="231F20"/>
          <w:spacing w:val="14"/>
          <w:sz w:val="17"/>
        </w:rPr>
        <w:t> </w:t>
      </w:r>
      <w:r>
        <w:rPr>
          <w:color w:val="231F20"/>
          <w:sz w:val="17"/>
        </w:rPr>
        <w:t>et</w:t>
      </w:r>
      <w:r>
        <w:rPr>
          <w:color w:val="231F20"/>
          <w:spacing w:val="15"/>
          <w:sz w:val="17"/>
        </w:rPr>
        <w:t> </w:t>
      </w:r>
      <w:r>
        <w:rPr>
          <w:color w:val="231F20"/>
          <w:sz w:val="17"/>
        </w:rPr>
        <w:t>par</w:t>
      </w:r>
      <w:r>
        <w:rPr>
          <w:color w:val="231F20"/>
          <w:spacing w:val="14"/>
          <w:sz w:val="17"/>
        </w:rPr>
        <w:t> </w:t>
      </w:r>
      <w:r>
        <w:rPr>
          <w:color w:val="231F20"/>
          <w:sz w:val="17"/>
        </w:rPr>
        <w:t>ses</w:t>
      </w:r>
      <w:r>
        <w:rPr>
          <w:color w:val="231F20"/>
          <w:spacing w:val="15"/>
          <w:sz w:val="17"/>
        </w:rPr>
        <w:t> </w:t>
      </w:r>
      <w:r>
        <w:rPr>
          <w:color w:val="231F20"/>
          <w:sz w:val="17"/>
        </w:rPr>
        <w:t>filiales,</w:t>
      </w:r>
      <w:r>
        <w:rPr>
          <w:color w:val="231F20"/>
          <w:spacing w:val="14"/>
          <w:sz w:val="17"/>
        </w:rPr>
        <w:t> </w:t>
      </w:r>
      <w:r>
        <w:rPr>
          <w:color w:val="231F20"/>
          <w:sz w:val="17"/>
        </w:rPr>
        <w:t>au</w:t>
      </w:r>
      <w:r>
        <w:rPr>
          <w:color w:val="231F20"/>
          <w:spacing w:val="15"/>
          <w:sz w:val="17"/>
        </w:rPr>
        <w:t> </w:t>
      </w:r>
      <w:r>
        <w:rPr>
          <w:color w:val="231F20"/>
          <w:sz w:val="17"/>
        </w:rPr>
        <w:t>commissaire.</w:t>
      </w:r>
    </w:p>
    <w:p>
      <w:pPr>
        <w:pStyle w:val="BodyText"/>
        <w:spacing w:before="4"/>
        <w:ind w:left="0" w:right="0" w:firstLine="0"/>
        <w:jc w:val="left"/>
        <w:rPr>
          <w:sz w:val="28"/>
        </w:rPr>
      </w:pPr>
    </w:p>
    <w:p>
      <w:pPr>
        <w:pStyle w:val="BodyText"/>
        <w:ind w:left="284" w:right="0" w:firstLine="0"/>
        <w:jc w:val="left"/>
      </w:pPr>
      <w:r>
        <w:rPr>
          <w:color w:val="231F20"/>
        </w:rPr>
        <w:t>Section 5. Honoraires.</w:t>
      </w:r>
    </w:p>
    <w:p>
      <w:pPr>
        <w:pStyle w:val="BodyText"/>
        <w:spacing w:before="127"/>
        <w:ind w:left="284" w:right="0" w:firstLine="0"/>
        <w:jc w:val="left"/>
      </w:pPr>
      <w:r>
        <w:rPr>
          <w:color w:val="231F20"/>
        </w:rPr>
        <w:t>Art. 3:65. § 1</w:t>
      </w:r>
      <w:r>
        <w:rPr>
          <w:color w:val="231F20"/>
          <w:position w:val="7"/>
          <w:sz w:val="11"/>
        </w:rPr>
        <w:t>er</w:t>
      </w:r>
      <w:r>
        <w:rPr>
          <w:color w:val="231F20"/>
        </w:rPr>
        <w:t>. Pour l’application du présent article, on entend par:</w:t>
      </w:r>
    </w:p>
    <w:p>
      <w:pPr>
        <w:pStyle w:val="BodyText"/>
        <w:spacing w:before="3"/>
        <w:ind w:left="0" w:right="0" w:firstLine="0"/>
        <w:jc w:val="left"/>
        <w:rPr>
          <w:sz w:val="29"/>
        </w:rPr>
      </w:pPr>
    </w:p>
    <w:p>
      <w:pPr>
        <w:pStyle w:val="BodyText"/>
        <w:spacing w:line="218" w:lineRule="auto"/>
        <w:ind w:right="38"/>
      </w:pPr>
      <w:r>
        <w:rPr>
          <w:color w:val="231F20"/>
        </w:rPr>
        <w:t>1° “personne liée au commissaire”: toute personne qui relève du réseau visé à l’article 3:56 dont le commissaire fait partie ainsi que</w:t>
      </w:r>
      <w:r>
        <w:rPr>
          <w:color w:val="231F20"/>
          <w:spacing w:val="-28"/>
        </w:rPr>
        <w:t> </w:t>
      </w:r>
      <w:r>
        <w:rPr>
          <w:color w:val="231F20"/>
        </w:rPr>
        <w:t>toute société</w:t>
      </w:r>
      <w:r>
        <w:rPr>
          <w:color w:val="231F20"/>
          <w:spacing w:val="13"/>
        </w:rPr>
        <w:t> </w:t>
      </w:r>
      <w:r>
        <w:rPr>
          <w:color w:val="231F20"/>
        </w:rPr>
        <w:t>ou</w:t>
      </w:r>
      <w:r>
        <w:rPr>
          <w:color w:val="231F20"/>
          <w:spacing w:val="14"/>
        </w:rPr>
        <w:t> </w:t>
      </w:r>
      <w:r>
        <w:rPr>
          <w:color w:val="231F20"/>
        </w:rPr>
        <w:t>personne</w:t>
      </w:r>
      <w:r>
        <w:rPr>
          <w:color w:val="231F20"/>
          <w:spacing w:val="13"/>
        </w:rPr>
        <w:t> </w:t>
      </w:r>
      <w:r>
        <w:rPr>
          <w:color w:val="231F20"/>
        </w:rPr>
        <w:t>liée</w:t>
      </w:r>
      <w:r>
        <w:rPr>
          <w:color w:val="231F20"/>
          <w:spacing w:val="14"/>
        </w:rPr>
        <w:t> </w:t>
      </w:r>
      <w:r>
        <w:rPr>
          <w:color w:val="231F20"/>
        </w:rPr>
        <w:t>au</w:t>
      </w:r>
      <w:r>
        <w:rPr>
          <w:color w:val="231F20"/>
          <w:spacing w:val="13"/>
        </w:rPr>
        <w:t> </w:t>
      </w:r>
      <w:r>
        <w:rPr>
          <w:color w:val="231F20"/>
        </w:rPr>
        <w:t>commissaire</w:t>
      </w:r>
      <w:r>
        <w:rPr>
          <w:color w:val="231F20"/>
          <w:spacing w:val="14"/>
        </w:rPr>
        <w:t> </w:t>
      </w:r>
      <w:r>
        <w:rPr>
          <w:color w:val="231F20"/>
        </w:rPr>
        <w:t>visée</w:t>
      </w:r>
      <w:r>
        <w:rPr>
          <w:color w:val="231F20"/>
          <w:spacing w:val="13"/>
        </w:rPr>
        <w:t> </w:t>
      </w:r>
      <w:r>
        <w:rPr>
          <w:color w:val="231F20"/>
        </w:rPr>
        <w:t>à</w:t>
      </w:r>
      <w:r>
        <w:rPr>
          <w:color w:val="231F20"/>
          <w:spacing w:val="14"/>
        </w:rPr>
        <w:t> </w:t>
      </w:r>
      <w:r>
        <w:rPr>
          <w:color w:val="231F20"/>
        </w:rPr>
        <w:t>l’article</w:t>
      </w:r>
      <w:r>
        <w:rPr>
          <w:color w:val="231F20"/>
          <w:spacing w:val="14"/>
        </w:rPr>
        <w:t> </w:t>
      </w:r>
      <w:r>
        <w:rPr>
          <w:color w:val="231F20"/>
        </w:rPr>
        <w:t>1:20;</w:t>
      </w:r>
    </w:p>
    <w:p>
      <w:pPr>
        <w:pStyle w:val="BodyText"/>
        <w:spacing w:before="6"/>
        <w:ind w:left="0" w:right="0" w:firstLine="0"/>
        <w:jc w:val="left"/>
        <w:rPr>
          <w:sz w:val="29"/>
        </w:rPr>
      </w:pPr>
    </w:p>
    <w:p>
      <w:pPr>
        <w:pStyle w:val="BodyText"/>
        <w:spacing w:line="218" w:lineRule="auto" w:before="1"/>
        <w:ind w:right="38"/>
      </w:pPr>
      <w:r>
        <w:rPr>
          <w:color w:val="231F20"/>
        </w:rPr>
        <w:t>2° “mandat assimilé”: un mandat exercé dans une société de droit étranger similaire à celui de commissaire dans une société belge.</w:t>
      </w:r>
    </w:p>
    <w:p>
      <w:pPr>
        <w:pStyle w:val="BodyText"/>
        <w:spacing w:before="6"/>
        <w:ind w:left="0" w:right="0" w:firstLine="0"/>
        <w:jc w:val="left"/>
        <w:rPr>
          <w:sz w:val="29"/>
        </w:rPr>
      </w:pPr>
    </w:p>
    <w:p>
      <w:pPr>
        <w:pStyle w:val="BodyText"/>
        <w:spacing w:line="218" w:lineRule="auto"/>
        <w:ind w:right="38"/>
      </w:pPr>
      <w:r>
        <w:rPr>
          <w:color w:val="231F20"/>
        </w:rPr>
        <w:t>§ 2. Les honoraires des commissaires sont établis au début de leur mandat par l’assemblée générale. Ces honoraires consistent en une somme fixe garantissant le respect des normes de révision. Ils ne peuvent être modifiés que du consentement des parties. Ils sont mentionnés en annexe aux comptes annuels.</w:t>
      </w:r>
    </w:p>
    <w:p>
      <w:pPr>
        <w:pStyle w:val="BodyText"/>
        <w:spacing w:line="218" w:lineRule="auto" w:before="119"/>
      </w:pPr>
      <w:r>
        <w:rPr/>
        <w:br w:type="column"/>
      </w:r>
      <w:r>
        <w:rPr>
          <w:color w:val="231F20"/>
        </w:rPr>
        <w:t>2° als op verzoek van de commissaris het College van toezicht op de bedrijfsrevisoren, zoals bedoeld in artikel 32 van de wet van 7 decem- ber 2016 houdende de organisatie van het beroep van en het publiek toezicht op de bedrijfsrevisoren bij wijze van uitzondering toestaat dat de commissaris voor een periode van maximaal twee boekjaren wordt vrijgesteld</w:t>
      </w:r>
      <w:r>
        <w:rPr>
          <w:color w:val="231F20"/>
          <w:spacing w:val="16"/>
        </w:rPr>
        <w:t> </w:t>
      </w:r>
      <w:r>
        <w:rPr>
          <w:color w:val="231F20"/>
        </w:rPr>
        <w:t>van</w:t>
      </w:r>
      <w:r>
        <w:rPr>
          <w:color w:val="231F20"/>
          <w:spacing w:val="16"/>
        </w:rPr>
        <w:t> </w:t>
      </w:r>
      <w:r>
        <w:rPr>
          <w:color w:val="231F20"/>
        </w:rPr>
        <w:t>het</w:t>
      </w:r>
      <w:r>
        <w:rPr>
          <w:color w:val="231F20"/>
          <w:spacing w:val="16"/>
        </w:rPr>
        <w:t> </w:t>
      </w:r>
      <w:r>
        <w:rPr>
          <w:color w:val="231F20"/>
        </w:rPr>
        <w:t>verbod</w:t>
      </w:r>
      <w:r>
        <w:rPr>
          <w:color w:val="231F20"/>
          <w:spacing w:val="16"/>
        </w:rPr>
        <w:t> </w:t>
      </w:r>
      <w:r>
        <w:rPr>
          <w:color w:val="231F20"/>
        </w:rPr>
        <w:t>bedoeld</w:t>
      </w:r>
      <w:r>
        <w:rPr>
          <w:color w:val="231F20"/>
          <w:spacing w:val="16"/>
        </w:rPr>
        <w:t> </w:t>
      </w:r>
      <w:r>
        <w:rPr>
          <w:color w:val="231F20"/>
        </w:rPr>
        <w:t>in</w:t>
      </w:r>
      <w:r>
        <w:rPr>
          <w:color w:val="231F20"/>
          <w:spacing w:val="16"/>
        </w:rPr>
        <w:t> </w:t>
      </w:r>
      <w:r>
        <w:rPr>
          <w:color w:val="231F20"/>
        </w:rPr>
        <w:t>paragraaf</w:t>
      </w:r>
      <w:r>
        <w:rPr>
          <w:color w:val="231F20"/>
          <w:spacing w:val="16"/>
        </w:rPr>
        <w:t> </w:t>
      </w:r>
      <w:r>
        <w:rPr>
          <w:color w:val="231F20"/>
        </w:rPr>
        <w:t>3;</w:t>
      </w:r>
    </w:p>
    <w:p>
      <w:pPr>
        <w:pStyle w:val="BodyText"/>
        <w:spacing w:line="218" w:lineRule="auto" w:before="150"/>
      </w:pPr>
      <w:r>
        <w:rPr>
          <w:color w:val="231F20"/>
        </w:rPr>
        <w:t>3° indien de vennootschap niet krachtens de wet verplicht is om een auditcomité op te richten, als binnen de vennootschap een college van elkaar onafhankelijke commissarissen is</w:t>
      </w:r>
      <w:r>
        <w:rPr>
          <w:color w:val="231F20"/>
          <w:spacing w:val="18"/>
        </w:rPr>
        <w:t> </w:t>
      </w:r>
      <w:r>
        <w:rPr>
          <w:color w:val="231F20"/>
        </w:rPr>
        <w:t>opgericht.</w:t>
      </w:r>
    </w:p>
    <w:p>
      <w:pPr>
        <w:pStyle w:val="BodyText"/>
        <w:spacing w:line="218" w:lineRule="auto" w:before="150"/>
      </w:pPr>
      <w:r>
        <w:rPr>
          <w:color w:val="231F20"/>
        </w:rPr>
        <w:t>In de in het eerste lid bedoelde gevallen wordt de afwijking en de verantwoording ervan vermeld:</w:t>
      </w:r>
    </w:p>
    <w:p>
      <w:pPr>
        <w:pStyle w:val="ListParagraph"/>
        <w:numPr>
          <w:ilvl w:val="0"/>
          <w:numId w:val="93"/>
        </w:numPr>
        <w:tabs>
          <w:tab w:pos="467" w:val="left" w:leader="none"/>
        </w:tabs>
        <w:spacing w:line="218" w:lineRule="auto" w:before="146" w:after="0"/>
        <w:ind w:left="113" w:right="124" w:firstLine="170"/>
        <w:jc w:val="both"/>
        <w:rPr>
          <w:sz w:val="17"/>
        </w:rPr>
      </w:pPr>
      <w:r>
        <w:rPr>
          <w:color w:val="231F20"/>
          <w:sz w:val="17"/>
        </w:rPr>
        <w:t>in de toelichting bij de geconsolideerde jaarrekening of, bij gebrek aan geconsolideerde jaarrekening, in de toelichting bij de jaarrekening van de vennootschap die gebruik maakt van de vrijstelling voorzien in artikel 3:26, tenzij deze vennootschap een dochtervennootschap is van een Belgische vennootschap die gebruik maakt van de voornoemde vrijstelling;</w:t>
      </w:r>
    </w:p>
    <w:p>
      <w:pPr>
        <w:pStyle w:val="ListParagraph"/>
        <w:numPr>
          <w:ilvl w:val="0"/>
          <w:numId w:val="93"/>
        </w:numPr>
        <w:tabs>
          <w:tab w:pos="466" w:val="left" w:leader="none"/>
        </w:tabs>
        <w:spacing w:line="218" w:lineRule="auto" w:before="148" w:after="0"/>
        <w:ind w:left="113" w:right="124" w:firstLine="170"/>
        <w:jc w:val="both"/>
        <w:rPr>
          <w:sz w:val="17"/>
        </w:rPr>
      </w:pPr>
      <w:r>
        <w:rPr>
          <w:color w:val="231F20"/>
          <w:sz w:val="17"/>
        </w:rPr>
        <w:t>in de toelichting bij de jaarrekening van de vennootschap die geen moedervennootschap is of vrijgesteld is van de verplichting om</w:t>
      </w:r>
      <w:r>
        <w:rPr>
          <w:color w:val="231F20"/>
          <w:spacing w:val="21"/>
          <w:sz w:val="17"/>
        </w:rPr>
        <w:t> </w:t>
      </w:r>
      <w:r>
        <w:rPr>
          <w:color w:val="231F20"/>
          <w:sz w:val="17"/>
        </w:rPr>
        <w:t>een geconsolideerde jaarrekening op te stellen krachtens artikel 3:25</w:t>
      </w:r>
      <w:r>
        <w:rPr>
          <w:color w:val="231F20"/>
          <w:spacing w:val="24"/>
          <w:sz w:val="17"/>
        </w:rPr>
        <w:t> </w:t>
      </w:r>
      <w:r>
        <w:rPr>
          <w:color w:val="231F20"/>
          <w:sz w:val="17"/>
        </w:rPr>
        <w:t>en waarvan de commissaris de afwijking van het verbod bedoeld in deze paragraaf gekregen heeft, tenzij deze vennootschap een dochterven- nootschap</w:t>
      </w:r>
      <w:r>
        <w:rPr>
          <w:color w:val="231F20"/>
          <w:spacing w:val="15"/>
          <w:sz w:val="17"/>
        </w:rPr>
        <w:t> </w:t>
      </w:r>
      <w:r>
        <w:rPr>
          <w:color w:val="231F20"/>
          <w:sz w:val="17"/>
        </w:rPr>
        <w:t>is</w:t>
      </w:r>
      <w:r>
        <w:rPr>
          <w:color w:val="231F20"/>
          <w:spacing w:val="15"/>
          <w:sz w:val="17"/>
        </w:rPr>
        <w:t> </w:t>
      </w:r>
      <w:r>
        <w:rPr>
          <w:color w:val="231F20"/>
          <w:sz w:val="17"/>
        </w:rPr>
        <w:t>van</w:t>
      </w:r>
      <w:r>
        <w:rPr>
          <w:color w:val="231F20"/>
          <w:spacing w:val="16"/>
          <w:sz w:val="17"/>
        </w:rPr>
        <w:t> </w:t>
      </w:r>
      <w:r>
        <w:rPr>
          <w:color w:val="231F20"/>
          <w:sz w:val="17"/>
        </w:rPr>
        <w:t>een</w:t>
      </w:r>
      <w:r>
        <w:rPr>
          <w:color w:val="231F20"/>
          <w:spacing w:val="15"/>
          <w:sz w:val="17"/>
        </w:rPr>
        <w:t> </w:t>
      </w:r>
      <w:r>
        <w:rPr>
          <w:color w:val="231F20"/>
          <w:sz w:val="17"/>
        </w:rPr>
        <w:t>Belgische</w:t>
      </w:r>
      <w:r>
        <w:rPr>
          <w:color w:val="231F20"/>
          <w:spacing w:val="16"/>
          <w:sz w:val="17"/>
        </w:rPr>
        <w:t> </w:t>
      </w:r>
      <w:r>
        <w:rPr>
          <w:color w:val="231F20"/>
          <w:sz w:val="17"/>
        </w:rPr>
        <w:t>vennootschap.</w:t>
      </w:r>
    </w:p>
    <w:p>
      <w:pPr>
        <w:pStyle w:val="BodyText"/>
        <w:spacing w:line="218" w:lineRule="auto" w:before="149"/>
      </w:pPr>
      <w:r>
        <w:rPr>
          <w:color w:val="231F20"/>
        </w:rPr>
        <w:t>Ingeval de vennootschap deze informatie niet vermeldt in de toelichting bij de jaarrekening, neemt de commissaris deze informatie zelf op in zijn controleverslag.</w:t>
      </w:r>
    </w:p>
    <w:p>
      <w:pPr>
        <w:pStyle w:val="BodyText"/>
        <w:spacing w:line="218" w:lineRule="auto" w:before="161"/>
        <w:ind w:right="123"/>
      </w:pPr>
      <w:r>
        <w:rPr>
          <w:color w:val="231F20"/>
        </w:rPr>
        <w:t>§ 5. Met de prestaties geleverd om de economische en financiële gegevens van een derde onderneming die de vennootschap of een van haar dochtervennootschappen wenst te verwerven of verworven heeft, te controleren, wordt voor de toepassing van paragrafen 3 en 4 geen rekening gehouden.</w:t>
      </w:r>
    </w:p>
    <w:p>
      <w:pPr>
        <w:pStyle w:val="BodyText"/>
        <w:spacing w:line="218" w:lineRule="auto" w:before="160"/>
        <w:ind w:right="123"/>
      </w:pPr>
      <w:r>
        <w:rPr>
          <w:color w:val="231F20"/>
        </w:rPr>
        <w:t>De beoordeling van de verhouding tussen de honoraria voor wettelijke controle en de overige honoraria, zoals bedoeld in paragrafen 1 tot 4, moet worden uitgevoerd voor het geheel bestaande uit de vennootschap, onderworpen aan de wettelijke controle, haar moeder- vennootschap en de dochtervennootschappen, met dien verstande dat de honoraria voor de wettelijke controle van de rekeningen van buitenlandse moeder- of dochtervennootschappen deze zijn die voort- vloeien uit de wettelijke en/of contractuele bepalingen die van toepassing zijn op deze moeder- of dochtervennootschappen.</w:t>
      </w:r>
    </w:p>
    <w:p>
      <w:pPr>
        <w:pStyle w:val="BodyText"/>
        <w:spacing w:line="218" w:lineRule="auto" w:before="160"/>
      </w:pPr>
      <w:r>
        <w:rPr>
          <w:color w:val="231F20"/>
        </w:rPr>
        <w:t>De beoordeling van de verhouding tussen de in het tweede lid bedoelde honoraria, moet worden begrepen als uit te voeren door globaal, voor de duur van de drie boekjaren van het mandaat van de commissaris, de vergelijking te maken tussen:</w:t>
      </w:r>
    </w:p>
    <w:p>
      <w:pPr>
        <w:pStyle w:val="ListParagraph"/>
        <w:numPr>
          <w:ilvl w:val="0"/>
          <w:numId w:val="92"/>
        </w:numPr>
        <w:tabs>
          <w:tab w:pos="497" w:val="left" w:leader="none"/>
        </w:tabs>
        <w:spacing w:line="218" w:lineRule="auto" w:before="161" w:after="0"/>
        <w:ind w:left="113" w:right="124" w:firstLine="170"/>
        <w:jc w:val="both"/>
        <w:rPr>
          <w:sz w:val="17"/>
        </w:rPr>
      </w:pPr>
      <w:r>
        <w:rPr>
          <w:color w:val="231F20"/>
          <w:sz w:val="17"/>
        </w:rPr>
        <w:t>enerzijds, het totaal van de honoraria die betrekking hebben op de drie boekjaren en betreffende andere diensten dan de opdrachten die door de wet of door de wetgeving van de Europese Unie zijn toegekend aan de commissaris en die in hun globaliteit gedurende de drie boekjaren door de vennootschap, onderworpen aan de wettelijke controle, haar moedervennootschap en haar dochtervennootschappen zijn</w:t>
      </w:r>
      <w:r>
        <w:rPr>
          <w:color w:val="231F20"/>
          <w:spacing w:val="15"/>
          <w:sz w:val="17"/>
        </w:rPr>
        <w:t> </w:t>
      </w:r>
      <w:r>
        <w:rPr>
          <w:color w:val="231F20"/>
          <w:sz w:val="17"/>
        </w:rPr>
        <w:t>toegekend</w:t>
      </w:r>
      <w:r>
        <w:rPr>
          <w:color w:val="231F20"/>
          <w:spacing w:val="15"/>
          <w:sz w:val="17"/>
        </w:rPr>
        <w:t> </w:t>
      </w:r>
      <w:r>
        <w:rPr>
          <w:color w:val="231F20"/>
          <w:sz w:val="17"/>
        </w:rPr>
        <w:t>aan</w:t>
      </w:r>
      <w:r>
        <w:rPr>
          <w:color w:val="231F20"/>
          <w:spacing w:val="15"/>
          <w:sz w:val="17"/>
        </w:rPr>
        <w:t> </w:t>
      </w:r>
      <w:r>
        <w:rPr>
          <w:color w:val="231F20"/>
          <w:sz w:val="17"/>
        </w:rPr>
        <w:t>de</w:t>
      </w:r>
      <w:r>
        <w:rPr>
          <w:color w:val="231F20"/>
          <w:spacing w:val="15"/>
          <w:sz w:val="17"/>
        </w:rPr>
        <w:t> </w:t>
      </w:r>
      <w:r>
        <w:rPr>
          <w:color w:val="231F20"/>
          <w:sz w:val="17"/>
        </w:rPr>
        <w:t>commissaris</w:t>
      </w:r>
      <w:r>
        <w:rPr>
          <w:color w:val="231F20"/>
          <w:spacing w:val="16"/>
          <w:sz w:val="17"/>
        </w:rPr>
        <w:t> </w:t>
      </w:r>
      <w:r>
        <w:rPr>
          <w:color w:val="231F20"/>
          <w:sz w:val="17"/>
        </w:rPr>
        <w:t>en</w:t>
      </w:r>
    </w:p>
    <w:p>
      <w:pPr>
        <w:pStyle w:val="ListParagraph"/>
        <w:numPr>
          <w:ilvl w:val="0"/>
          <w:numId w:val="92"/>
        </w:numPr>
        <w:tabs>
          <w:tab w:pos="499" w:val="left" w:leader="none"/>
        </w:tabs>
        <w:spacing w:line="218" w:lineRule="auto" w:before="160" w:after="0"/>
        <w:ind w:left="113" w:right="124" w:firstLine="170"/>
        <w:jc w:val="both"/>
        <w:rPr>
          <w:sz w:val="17"/>
        </w:rPr>
      </w:pPr>
      <w:r>
        <w:rPr>
          <w:color w:val="231F20"/>
          <w:sz w:val="17"/>
        </w:rPr>
        <w:t>anderzijds, het totaal van de honoraria bedoeld in artikel 3:65, § 2, die betrekking hebben op de drie boekjaren, en die in hun globaliteit gedurende de drie boekjaren, zijn toegekend door de vennootschap, onderworpen aan de wettelijke controle, haar moedervennootschap en haar dochtervennootschappen, aan de</w:t>
      </w:r>
      <w:r>
        <w:rPr>
          <w:color w:val="231F20"/>
          <w:spacing w:val="19"/>
          <w:sz w:val="17"/>
        </w:rPr>
        <w:t> </w:t>
      </w:r>
      <w:r>
        <w:rPr>
          <w:color w:val="231F20"/>
          <w:sz w:val="17"/>
        </w:rPr>
        <w:t>commissaris.</w:t>
      </w:r>
    </w:p>
    <w:p>
      <w:pPr>
        <w:pStyle w:val="BodyText"/>
        <w:spacing w:before="146"/>
        <w:ind w:left="283" w:right="0" w:firstLine="0"/>
        <w:jc w:val="left"/>
      </w:pPr>
      <w:r>
        <w:rPr>
          <w:color w:val="231F20"/>
        </w:rPr>
        <w:t>Afdeling 5. Honoraria.</w:t>
      </w:r>
    </w:p>
    <w:p>
      <w:pPr>
        <w:pStyle w:val="BodyText"/>
        <w:spacing w:line="218" w:lineRule="auto" w:before="157"/>
        <w:ind w:right="125"/>
      </w:pPr>
      <w:r>
        <w:rPr>
          <w:color w:val="231F20"/>
        </w:rPr>
        <w:t>Art. 3:65. § 1. </w:t>
      </w:r>
      <w:r>
        <w:rPr>
          <w:color w:val="231F20"/>
          <w:spacing w:val="-5"/>
        </w:rPr>
        <w:t>Voor </w:t>
      </w:r>
      <w:r>
        <w:rPr>
          <w:color w:val="231F20"/>
        </w:rPr>
        <w:t>de toepassing van dit artikel wordt verstaan onder:</w:t>
      </w:r>
    </w:p>
    <w:p>
      <w:pPr>
        <w:pStyle w:val="BodyText"/>
        <w:spacing w:line="218" w:lineRule="auto" w:before="160"/>
      </w:pPr>
      <w:r>
        <w:rPr>
          <w:color w:val="231F20"/>
        </w:rPr>
        <w:t>1° “met de commissaris verbonden persoon”: iedere persoon die deel uitmaakt van het netwerk bedoeld in artikel 3:56 waartoe de commis- saris behoort alsook iedere vennootschap of persoon verbonden met de commissaris bedoeld in artikel 1:20;</w:t>
      </w:r>
    </w:p>
    <w:p>
      <w:pPr>
        <w:pStyle w:val="BodyText"/>
        <w:spacing w:line="218" w:lineRule="auto" w:before="160"/>
      </w:pPr>
      <w:r>
        <w:rPr>
          <w:color w:val="231F20"/>
        </w:rPr>
        <w:t>2° “gelijkgesteld mandaat”: een mandaat uitgevoerd in een vennoot- schap naar buitenlands recht dat vergelijkbaar is met dat van commis- saris in een Belgische vennootschap.</w:t>
      </w:r>
    </w:p>
    <w:p>
      <w:pPr>
        <w:pStyle w:val="BodyText"/>
        <w:spacing w:line="218" w:lineRule="auto" w:before="160"/>
      </w:pPr>
      <w:r>
        <w:rPr>
          <w:color w:val="231F20"/>
        </w:rPr>
        <w:t>§ 2. Bij de aanvang van de opdracht van de commissarissen worden hun honoraria vastgesteld door de algemene vergadering. Deze honoraria bestaan in een vast bedrag dat de naleving van de controlenormen waarborgt. De honoraria kunnen niet worden gewij- zigd dan met instemming van partijen. Ze worden vermeld in de toelichting bij de jaarrekening.</w:t>
      </w:r>
    </w:p>
    <w:p>
      <w:pPr>
        <w:spacing w:after="0" w:line="218" w:lineRule="auto"/>
        <w:sectPr>
          <w:headerReference w:type="even" r:id="rId37"/>
          <w:headerReference w:type="default" r:id="rId38"/>
          <w:pgSz w:w="11940" w:h="16880"/>
          <w:pgMar w:header="666" w:footer="0" w:top="1140" w:bottom="280" w:left="340" w:right="360"/>
          <w:pgNumType w:start="33312"/>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2800" from="298.170502pt,64.473pt" to="298.170502pt,812.819pt" stroked="true" strokeweight=".533pt" strokecolor="#231f20">
            <v:stroke dashstyle="solid"/>
            <w10:wrap type="none"/>
          </v:line>
        </w:pict>
      </w:r>
      <w:bookmarkStart w:name="_bookmark74" w:id="79"/>
      <w:bookmarkEnd w:id="79"/>
      <w:r>
        <w:rPr/>
      </w:r>
      <w:r>
        <w:rPr>
          <w:color w:val="231F20"/>
        </w:rPr>
        <w:t>Les honoraires doivent être </w:t>
      </w:r>
      <w:r>
        <w:rPr>
          <w:color w:val="231F20"/>
          <w:spacing w:val="-3"/>
        </w:rPr>
        <w:t>suffisants </w:t>
      </w:r>
      <w:r>
        <w:rPr>
          <w:color w:val="231F20"/>
        </w:rPr>
        <w:t>pour permettre au commissaire d’effectuer sa mission en toute indépendance et dans le respect des normes et recommandations professionnelles approuvées conformé- ment à l’article 31 de la loi du 7 décembre 2016 portant organisation de la profession et de la supervision publique des réviseurs d’entreprises.</w:t>
      </w:r>
    </w:p>
    <w:p>
      <w:pPr>
        <w:pStyle w:val="BodyText"/>
        <w:spacing w:before="11"/>
        <w:ind w:left="0" w:right="0" w:firstLine="0"/>
        <w:jc w:val="left"/>
        <w:rPr>
          <w:sz w:val="23"/>
        </w:rPr>
      </w:pPr>
    </w:p>
    <w:p>
      <w:pPr>
        <w:pStyle w:val="BodyText"/>
        <w:spacing w:line="218" w:lineRule="auto"/>
        <w:ind w:right="39"/>
      </w:pPr>
      <w:r>
        <w:rPr>
          <w:color w:val="231F20"/>
        </w:rPr>
        <w:t>§ 3. Les montants des honoraires liés aux prestations exceptionnelles ou aux missions particulières accomplies au sein de la société dont le commissaire contrôle les comptes annuels, visé à l’article 3:77, par le commissaire d’une part, et par une personne liée au commissaire d’autre part, sont mentionnés en annexe aux comptes annuels, selon les catégories suivantes:</w:t>
      </w:r>
    </w:p>
    <w:p>
      <w:pPr>
        <w:pStyle w:val="BodyText"/>
        <w:spacing w:line="338" w:lineRule="auto" w:before="82"/>
        <w:ind w:left="283" w:right="2658" w:firstLine="0"/>
        <w:jc w:val="left"/>
      </w:pPr>
      <w:r>
        <w:rPr>
          <w:color w:val="231F20"/>
        </w:rPr>
        <w:t>1° autres missions  d’attestation; 2° missions de conseils fiscaux; et</w:t>
      </w:r>
    </w:p>
    <w:p>
      <w:pPr>
        <w:pStyle w:val="BodyText"/>
        <w:spacing w:line="192" w:lineRule="exact"/>
        <w:ind w:left="283" w:right="0" w:firstLine="0"/>
        <w:jc w:val="left"/>
      </w:pPr>
      <w:r>
        <w:rPr>
          <w:color w:val="231F20"/>
        </w:rPr>
        <w:t>3° autres missions extérieures à la mission révisorale.</w:t>
      </w:r>
    </w:p>
    <w:p>
      <w:pPr>
        <w:pStyle w:val="BodyText"/>
        <w:spacing w:line="218" w:lineRule="auto" w:before="93"/>
        <w:ind w:right="38"/>
      </w:pPr>
      <w:r>
        <w:rPr>
          <w:color w:val="231F20"/>
        </w:rPr>
        <w:t>§ 4. Le montant des honoraires du commissaire visés au paragra- </w:t>
      </w:r>
      <w:r>
        <w:rPr>
          <w:color w:val="231F20"/>
          <w:spacing w:val="10"/>
        </w:rPr>
        <w:t>phe2</w:t>
      </w:r>
      <w:r>
        <w:rPr>
          <w:color w:val="231F20"/>
          <w:spacing w:val="-23"/>
        </w:rPr>
        <w:t> </w:t>
      </w:r>
      <w:r>
        <w:rPr>
          <w:color w:val="231F20"/>
        </w:rPr>
        <w:t>d’une part, et le montant des honoraires afférents aux mandats de commissaire ou aux mandats assimilés exercés par une personne liée</w:t>
      </w:r>
      <w:r>
        <w:rPr>
          <w:color w:val="231F20"/>
          <w:spacing w:val="-28"/>
        </w:rPr>
        <w:t> </w:t>
      </w:r>
      <w:r>
        <w:rPr>
          <w:color w:val="231F20"/>
        </w:rPr>
        <w:t>au commissaire d’autre part, au sein d’une société belge soumise au contrôle légal de ses comptes consolidés, </w:t>
      </w:r>
      <w:r>
        <w:rPr>
          <w:color w:val="231F20"/>
          <w:spacing w:val="2"/>
        </w:rPr>
        <w:t>visé </w:t>
      </w:r>
      <w:r>
        <w:rPr>
          <w:color w:val="231F20"/>
        </w:rPr>
        <w:t>à l’article 3:77, et au sein des</w:t>
      </w:r>
      <w:r>
        <w:rPr>
          <w:color w:val="231F20"/>
          <w:spacing w:val="14"/>
        </w:rPr>
        <w:t> </w:t>
      </w:r>
      <w:r>
        <w:rPr>
          <w:color w:val="231F20"/>
        </w:rPr>
        <w:t>filiales</w:t>
      </w:r>
      <w:r>
        <w:rPr>
          <w:color w:val="231F20"/>
          <w:spacing w:val="14"/>
        </w:rPr>
        <w:t> </w:t>
      </w:r>
      <w:r>
        <w:rPr>
          <w:color w:val="231F20"/>
        </w:rPr>
        <w:t>de</w:t>
      </w:r>
      <w:r>
        <w:rPr>
          <w:color w:val="231F20"/>
          <w:spacing w:val="14"/>
        </w:rPr>
        <w:t> </w:t>
      </w:r>
      <w:r>
        <w:rPr>
          <w:color w:val="231F20"/>
        </w:rPr>
        <w:t>cette</w:t>
      </w:r>
      <w:r>
        <w:rPr>
          <w:color w:val="231F20"/>
          <w:spacing w:val="14"/>
        </w:rPr>
        <w:t> </w:t>
      </w:r>
      <w:r>
        <w:rPr>
          <w:color w:val="231F20"/>
        </w:rPr>
        <w:t>dernière,</w:t>
      </w:r>
      <w:r>
        <w:rPr>
          <w:color w:val="231F20"/>
          <w:spacing w:val="15"/>
        </w:rPr>
        <w:t> </w:t>
      </w:r>
      <w:r>
        <w:rPr>
          <w:color w:val="231F20"/>
        </w:rPr>
        <w:t>sont</w:t>
      </w:r>
      <w:r>
        <w:rPr>
          <w:color w:val="231F20"/>
          <w:spacing w:val="14"/>
        </w:rPr>
        <w:t> </w:t>
      </w:r>
      <w:r>
        <w:rPr>
          <w:color w:val="231F20"/>
        </w:rPr>
        <w:t>mentionnés:</w:t>
      </w:r>
    </w:p>
    <w:p>
      <w:pPr>
        <w:pStyle w:val="BodyText"/>
        <w:spacing w:before="11"/>
        <w:ind w:left="0" w:right="0" w:firstLine="0"/>
        <w:jc w:val="left"/>
        <w:rPr>
          <w:sz w:val="23"/>
        </w:rPr>
      </w:pPr>
    </w:p>
    <w:p>
      <w:pPr>
        <w:pStyle w:val="BodyText"/>
        <w:spacing w:line="218" w:lineRule="auto"/>
        <w:ind w:right="38"/>
      </w:pPr>
      <w:r>
        <w:rPr>
          <w:color w:val="231F20"/>
        </w:rPr>
        <w:t>1° en annexe aux comptes consolidés, ou à défaut de comptes consolidés, en annexe aux comptes annuels de la société qui fait usage de l’exemption prévue à l’article 3:26, sauf si cette société est filiale d’une société belge qui fait usage de l’exemption précitée;</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ind w:right="38"/>
      </w:pPr>
      <w:r>
        <w:rPr>
          <w:color w:val="231F20"/>
        </w:rPr>
        <w:t>2° ainsi qu’en annexe aux comptes annuels de la société qui est dispensée d’établir des comptes consolidés en vertu de l’article 3:25, sauf si cette société est filiale d’une société belge.</w:t>
      </w:r>
    </w:p>
    <w:p>
      <w:pPr>
        <w:pStyle w:val="BodyText"/>
        <w:spacing w:before="10"/>
        <w:ind w:left="0" w:right="0" w:firstLine="0"/>
        <w:jc w:val="left"/>
        <w:rPr>
          <w:sz w:val="24"/>
        </w:rPr>
      </w:pPr>
    </w:p>
    <w:p>
      <w:pPr>
        <w:pStyle w:val="BodyText"/>
        <w:spacing w:line="218" w:lineRule="auto"/>
        <w:ind w:right="38"/>
      </w:pPr>
      <w:r>
        <w:rPr>
          <w:color w:val="231F20"/>
        </w:rPr>
        <w:t>§ 5. Les montants des honoraires liés aux prestations exceptionnelles ou aux missions particulières accomplies au sein d’une société belge soumise au contrôle légal de ses comptes consolidés, viséà l’article 3:77, et des filiales de cette dernière, par le commissaire d’une part, et par une personne liée au commissaire d’autre part, sont mentionnés selon les catégories suivantes:</w:t>
      </w:r>
    </w:p>
    <w:p>
      <w:pPr>
        <w:pStyle w:val="BodyText"/>
        <w:spacing w:before="7"/>
        <w:ind w:left="0" w:right="0" w:firstLine="0"/>
        <w:jc w:val="left"/>
        <w:rPr>
          <w:sz w:val="23"/>
        </w:rPr>
      </w:pPr>
    </w:p>
    <w:p>
      <w:pPr>
        <w:pStyle w:val="BodyText"/>
        <w:spacing w:line="350" w:lineRule="auto" w:before="1"/>
        <w:ind w:left="284" w:right="2708" w:firstLine="0"/>
        <w:jc w:val="left"/>
      </w:pPr>
      <w:r>
        <w:rPr>
          <w:color w:val="231F20"/>
        </w:rPr>
        <w:t>1° autres missions d’attestation; 2° missions de conseil fiscaux; et</w:t>
      </w:r>
    </w:p>
    <w:p>
      <w:pPr>
        <w:pStyle w:val="BodyText"/>
        <w:spacing w:before="1"/>
        <w:ind w:left="284" w:right="0" w:firstLine="0"/>
        <w:jc w:val="left"/>
      </w:pPr>
      <w:r>
        <w:rPr>
          <w:color w:val="231F20"/>
        </w:rPr>
        <w:t>3° autres missions extérieures à la mission révisorale</w:t>
      </w:r>
    </w:p>
    <w:p>
      <w:pPr>
        <w:pStyle w:val="ListParagraph"/>
        <w:numPr>
          <w:ilvl w:val="1"/>
          <w:numId w:val="93"/>
        </w:numPr>
        <w:tabs>
          <w:tab w:pos="524" w:val="left" w:leader="none"/>
        </w:tabs>
        <w:spacing w:line="218" w:lineRule="auto" w:before="103" w:after="0"/>
        <w:ind w:left="113" w:right="38" w:firstLine="171"/>
        <w:jc w:val="both"/>
        <w:rPr>
          <w:sz w:val="17"/>
        </w:rPr>
      </w:pPr>
      <w:r>
        <w:rPr>
          <w:color w:val="231F20"/>
          <w:sz w:val="17"/>
        </w:rPr>
        <w:t>en annexe aux comptes consolidés, ou, à défaut de comptes consolidés, en annexe aux comptes annuels de la société qui fait usage de l’exemption prévue à l’article 3:26, sauf si cette société est filiale d’une</w:t>
      </w:r>
      <w:r>
        <w:rPr>
          <w:color w:val="231F20"/>
          <w:spacing w:val="16"/>
          <w:sz w:val="17"/>
        </w:rPr>
        <w:t> </w:t>
      </w:r>
      <w:r>
        <w:rPr>
          <w:color w:val="231F20"/>
          <w:sz w:val="17"/>
        </w:rPr>
        <w:t>société</w:t>
      </w:r>
      <w:r>
        <w:rPr>
          <w:color w:val="231F20"/>
          <w:spacing w:val="17"/>
          <w:sz w:val="17"/>
        </w:rPr>
        <w:t> </w:t>
      </w:r>
      <w:r>
        <w:rPr>
          <w:color w:val="231F20"/>
          <w:sz w:val="17"/>
        </w:rPr>
        <w:t>belge</w:t>
      </w:r>
      <w:r>
        <w:rPr>
          <w:color w:val="231F20"/>
          <w:spacing w:val="16"/>
          <w:sz w:val="17"/>
        </w:rPr>
        <w:t> </w:t>
      </w:r>
      <w:r>
        <w:rPr>
          <w:color w:val="231F20"/>
          <w:sz w:val="17"/>
        </w:rPr>
        <w:t>qui</w:t>
      </w:r>
      <w:r>
        <w:rPr>
          <w:color w:val="231F20"/>
          <w:spacing w:val="17"/>
          <w:sz w:val="17"/>
        </w:rPr>
        <w:t> </w:t>
      </w:r>
      <w:r>
        <w:rPr>
          <w:color w:val="231F20"/>
          <w:sz w:val="17"/>
        </w:rPr>
        <w:t>fait</w:t>
      </w:r>
      <w:r>
        <w:rPr>
          <w:color w:val="231F20"/>
          <w:spacing w:val="16"/>
          <w:sz w:val="17"/>
        </w:rPr>
        <w:t> </w:t>
      </w:r>
      <w:r>
        <w:rPr>
          <w:color w:val="231F20"/>
          <w:sz w:val="17"/>
        </w:rPr>
        <w:t>usage</w:t>
      </w:r>
      <w:r>
        <w:rPr>
          <w:color w:val="231F20"/>
          <w:spacing w:val="17"/>
          <w:sz w:val="17"/>
        </w:rPr>
        <w:t> </w:t>
      </w:r>
      <w:r>
        <w:rPr>
          <w:color w:val="231F20"/>
          <w:sz w:val="17"/>
        </w:rPr>
        <w:t>de</w:t>
      </w:r>
      <w:r>
        <w:rPr>
          <w:color w:val="231F20"/>
          <w:spacing w:val="17"/>
          <w:sz w:val="17"/>
        </w:rPr>
        <w:t> </w:t>
      </w:r>
      <w:r>
        <w:rPr>
          <w:color w:val="231F20"/>
          <w:sz w:val="17"/>
        </w:rPr>
        <w:t>l’exemption</w:t>
      </w:r>
      <w:r>
        <w:rPr>
          <w:color w:val="231F20"/>
          <w:spacing w:val="16"/>
          <w:sz w:val="17"/>
        </w:rPr>
        <w:t> </w:t>
      </w:r>
      <w:r>
        <w:rPr>
          <w:color w:val="231F20"/>
          <w:sz w:val="17"/>
        </w:rPr>
        <w:t>précitée;</w:t>
      </w:r>
    </w:p>
    <w:p>
      <w:pPr>
        <w:pStyle w:val="BodyText"/>
        <w:ind w:left="0" w:right="0" w:firstLine="0"/>
        <w:jc w:val="left"/>
        <w:rPr>
          <w:sz w:val="20"/>
        </w:rPr>
      </w:pPr>
    </w:p>
    <w:p>
      <w:pPr>
        <w:pStyle w:val="BodyText"/>
        <w:spacing w:before="4"/>
        <w:ind w:left="0" w:right="0" w:firstLine="0"/>
        <w:jc w:val="left"/>
        <w:rPr>
          <w:sz w:val="20"/>
        </w:rPr>
      </w:pPr>
    </w:p>
    <w:p>
      <w:pPr>
        <w:pStyle w:val="ListParagraph"/>
        <w:numPr>
          <w:ilvl w:val="1"/>
          <w:numId w:val="93"/>
        </w:numPr>
        <w:tabs>
          <w:tab w:pos="514" w:val="left" w:leader="none"/>
        </w:tabs>
        <w:spacing w:line="218" w:lineRule="auto" w:before="0" w:after="0"/>
        <w:ind w:left="113" w:right="38" w:firstLine="171"/>
        <w:jc w:val="both"/>
        <w:rPr>
          <w:sz w:val="17"/>
        </w:rPr>
      </w:pPr>
      <w:r>
        <w:rPr>
          <w:color w:val="231F20"/>
          <w:sz w:val="17"/>
        </w:rPr>
        <w:t>ainsi qu’en annexe aux comptes annuels de la société qui est dispensée d’établir des comptes consolidés en vertu de l’article 3:25, sauf</w:t>
      </w:r>
      <w:r>
        <w:rPr>
          <w:color w:val="231F20"/>
          <w:spacing w:val="14"/>
          <w:sz w:val="17"/>
        </w:rPr>
        <w:t> </w:t>
      </w:r>
      <w:r>
        <w:rPr>
          <w:color w:val="231F20"/>
          <w:sz w:val="17"/>
        </w:rPr>
        <w:t>si</w:t>
      </w:r>
      <w:r>
        <w:rPr>
          <w:color w:val="231F20"/>
          <w:spacing w:val="15"/>
          <w:sz w:val="17"/>
        </w:rPr>
        <w:t> </w:t>
      </w:r>
      <w:r>
        <w:rPr>
          <w:color w:val="231F20"/>
          <w:sz w:val="17"/>
        </w:rPr>
        <w:t>cette</w:t>
      </w:r>
      <w:r>
        <w:rPr>
          <w:color w:val="231F20"/>
          <w:spacing w:val="15"/>
          <w:sz w:val="17"/>
        </w:rPr>
        <w:t> </w:t>
      </w:r>
      <w:r>
        <w:rPr>
          <w:color w:val="231F20"/>
          <w:sz w:val="17"/>
        </w:rPr>
        <w:t>société</w:t>
      </w:r>
      <w:r>
        <w:rPr>
          <w:color w:val="231F20"/>
          <w:spacing w:val="15"/>
          <w:sz w:val="17"/>
        </w:rPr>
        <w:t> </w:t>
      </w:r>
      <w:r>
        <w:rPr>
          <w:color w:val="231F20"/>
          <w:sz w:val="17"/>
        </w:rPr>
        <w:t>est</w:t>
      </w:r>
      <w:r>
        <w:rPr>
          <w:color w:val="231F20"/>
          <w:spacing w:val="15"/>
          <w:sz w:val="17"/>
        </w:rPr>
        <w:t> </w:t>
      </w:r>
      <w:r>
        <w:rPr>
          <w:color w:val="231F20"/>
          <w:sz w:val="17"/>
        </w:rPr>
        <w:t>filiale</w:t>
      </w:r>
      <w:r>
        <w:rPr>
          <w:color w:val="231F20"/>
          <w:spacing w:val="15"/>
          <w:sz w:val="17"/>
        </w:rPr>
        <w:t> </w:t>
      </w:r>
      <w:r>
        <w:rPr>
          <w:color w:val="231F20"/>
          <w:sz w:val="17"/>
        </w:rPr>
        <w:t>d’une</w:t>
      </w:r>
      <w:r>
        <w:rPr>
          <w:color w:val="231F20"/>
          <w:spacing w:val="15"/>
          <w:sz w:val="17"/>
        </w:rPr>
        <w:t> </w:t>
      </w:r>
      <w:r>
        <w:rPr>
          <w:color w:val="231F20"/>
          <w:sz w:val="17"/>
        </w:rPr>
        <w:t>société</w:t>
      </w:r>
      <w:r>
        <w:rPr>
          <w:color w:val="231F20"/>
          <w:spacing w:val="15"/>
          <w:sz w:val="17"/>
        </w:rPr>
        <w:t> </w:t>
      </w:r>
      <w:r>
        <w:rPr>
          <w:color w:val="231F20"/>
          <w:sz w:val="17"/>
        </w:rPr>
        <w:t>belge.</w:t>
      </w:r>
    </w:p>
    <w:p>
      <w:pPr>
        <w:pStyle w:val="BodyText"/>
        <w:spacing w:before="10"/>
        <w:ind w:left="0" w:right="0" w:firstLine="0"/>
        <w:jc w:val="left"/>
        <w:rPr>
          <w:sz w:val="24"/>
        </w:rPr>
      </w:pPr>
    </w:p>
    <w:p>
      <w:pPr>
        <w:pStyle w:val="BodyText"/>
        <w:spacing w:line="218" w:lineRule="auto"/>
        <w:ind w:right="38"/>
      </w:pPr>
      <w:r>
        <w:rPr>
          <w:color w:val="231F20"/>
        </w:rPr>
        <w:t>§ 6. Les honoraires du commissaire visés au paragraphe 2 ne peuvent être ni déterminés, ni influencés par la fourniture de services complé- mentaires à la société dont il contrôle les comptes annuels, visée</w:t>
      </w:r>
      <w:r>
        <w:rPr>
          <w:color w:val="231F20"/>
          <w:spacing w:val="17"/>
        </w:rPr>
        <w:t> </w:t>
      </w:r>
      <w:r>
        <w:rPr>
          <w:color w:val="231F20"/>
        </w:rPr>
        <w:t>à l’article 3:73, ou d’une société belge soumise au contrôle légal de ses comptes</w:t>
      </w:r>
      <w:r>
        <w:rPr>
          <w:color w:val="231F20"/>
          <w:spacing w:val="-4"/>
        </w:rPr>
        <w:t> </w:t>
      </w:r>
      <w:r>
        <w:rPr>
          <w:color w:val="231F20"/>
        </w:rPr>
        <w:t>consolidés,</w:t>
      </w:r>
      <w:r>
        <w:rPr>
          <w:color w:val="231F20"/>
          <w:spacing w:val="-4"/>
        </w:rPr>
        <w:t> </w:t>
      </w:r>
      <w:r>
        <w:rPr>
          <w:color w:val="231F20"/>
          <w:spacing w:val="7"/>
        </w:rPr>
        <w:t>viséà</w:t>
      </w:r>
      <w:r>
        <w:rPr>
          <w:color w:val="231F20"/>
          <w:spacing w:val="-3"/>
        </w:rPr>
        <w:t> </w:t>
      </w:r>
      <w:r>
        <w:rPr>
          <w:color w:val="231F20"/>
        </w:rPr>
        <w:t>l’article</w:t>
      </w:r>
      <w:r>
        <w:rPr>
          <w:color w:val="231F20"/>
          <w:spacing w:val="-4"/>
        </w:rPr>
        <w:t> </w:t>
      </w:r>
      <w:r>
        <w:rPr>
          <w:color w:val="231F20"/>
        </w:rPr>
        <w:t>3:77.</w:t>
      </w:r>
      <w:r>
        <w:rPr>
          <w:color w:val="231F20"/>
          <w:spacing w:val="-4"/>
        </w:rPr>
        <w:t> </w:t>
      </w:r>
      <w:r>
        <w:rPr>
          <w:color w:val="231F20"/>
        </w:rPr>
        <w:t>En</w:t>
      </w:r>
      <w:r>
        <w:rPr>
          <w:color w:val="231F20"/>
          <w:spacing w:val="-4"/>
        </w:rPr>
        <w:t> </w:t>
      </w:r>
      <w:r>
        <w:rPr>
          <w:color w:val="231F20"/>
        </w:rPr>
        <w:t>dehors</w:t>
      </w:r>
      <w:r>
        <w:rPr>
          <w:color w:val="231F20"/>
          <w:spacing w:val="-3"/>
        </w:rPr>
        <w:t> </w:t>
      </w:r>
      <w:r>
        <w:rPr>
          <w:color w:val="231F20"/>
        </w:rPr>
        <w:t>de</w:t>
      </w:r>
      <w:r>
        <w:rPr>
          <w:color w:val="231F20"/>
          <w:spacing w:val="-4"/>
        </w:rPr>
        <w:t> </w:t>
      </w:r>
      <w:r>
        <w:rPr>
          <w:color w:val="231F20"/>
        </w:rPr>
        <w:t>ces</w:t>
      </w:r>
      <w:r>
        <w:rPr>
          <w:color w:val="231F20"/>
          <w:spacing w:val="-4"/>
        </w:rPr>
        <w:t> </w:t>
      </w:r>
      <w:r>
        <w:rPr>
          <w:color w:val="231F20"/>
        </w:rPr>
        <w:t>honoraires,</w:t>
      </w:r>
      <w:r>
        <w:rPr>
          <w:color w:val="231F20"/>
          <w:spacing w:val="-3"/>
        </w:rPr>
        <w:t> </w:t>
      </w:r>
      <w:r>
        <w:rPr>
          <w:color w:val="231F20"/>
        </w:rPr>
        <w:t>les commissaires ne peuvent recevoir aucun avantage de la société, sous quelque forme que ce soit. La société ne peut leur consentir des prêts</w:t>
      </w:r>
      <w:r>
        <w:rPr>
          <w:color w:val="231F20"/>
          <w:spacing w:val="-16"/>
        </w:rPr>
        <w:t> </w:t>
      </w:r>
      <w:r>
        <w:rPr>
          <w:color w:val="231F20"/>
        </w:rPr>
        <w:t>ou avances,</w:t>
      </w:r>
      <w:r>
        <w:rPr>
          <w:color w:val="231F20"/>
          <w:spacing w:val="15"/>
        </w:rPr>
        <w:t> </w:t>
      </w:r>
      <w:r>
        <w:rPr>
          <w:color w:val="231F20"/>
        </w:rPr>
        <w:t>ni</w:t>
      </w:r>
      <w:r>
        <w:rPr>
          <w:color w:val="231F20"/>
          <w:spacing w:val="15"/>
        </w:rPr>
        <w:t> </w:t>
      </w:r>
      <w:r>
        <w:rPr>
          <w:color w:val="231F20"/>
        </w:rPr>
        <w:t>donner</w:t>
      </w:r>
      <w:r>
        <w:rPr>
          <w:color w:val="231F20"/>
          <w:spacing w:val="15"/>
        </w:rPr>
        <w:t> </w:t>
      </w:r>
      <w:r>
        <w:rPr>
          <w:color w:val="231F20"/>
        </w:rPr>
        <w:t>ou</w:t>
      </w:r>
      <w:r>
        <w:rPr>
          <w:color w:val="231F20"/>
          <w:spacing w:val="15"/>
        </w:rPr>
        <w:t> </w:t>
      </w:r>
      <w:r>
        <w:rPr>
          <w:color w:val="231F20"/>
        </w:rPr>
        <w:t>constituer</w:t>
      </w:r>
      <w:r>
        <w:rPr>
          <w:color w:val="231F20"/>
          <w:spacing w:val="15"/>
        </w:rPr>
        <w:t> </w:t>
      </w:r>
      <w:r>
        <w:rPr>
          <w:color w:val="231F20"/>
        </w:rPr>
        <w:t>des</w:t>
      </w:r>
      <w:r>
        <w:rPr>
          <w:color w:val="231F20"/>
          <w:spacing w:val="15"/>
        </w:rPr>
        <w:t> </w:t>
      </w:r>
      <w:r>
        <w:rPr>
          <w:color w:val="231F20"/>
        </w:rPr>
        <w:t>garanties</w:t>
      </w:r>
      <w:r>
        <w:rPr>
          <w:color w:val="231F20"/>
          <w:spacing w:val="16"/>
        </w:rPr>
        <w:t> </w:t>
      </w:r>
      <w:r>
        <w:rPr>
          <w:color w:val="231F20"/>
        </w:rPr>
        <w:t>à</w:t>
      </w:r>
      <w:r>
        <w:rPr>
          <w:color w:val="231F20"/>
          <w:spacing w:val="15"/>
        </w:rPr>
        <w:t> </w:t>
      </w:r>
      <w:r>
        <w:rPr>
          <w:color w:val="231F20"/>
        </w:rPr>
        <w:t>leur</w:t>
      </w:r>
      <w:r>
        <w:rPr>
          <w:color w:val="231F20"/>
          <w:spacing w:val="15"/>
        </w:rPr>
        <w:t> </w:t>
      </w:r>
      <w:r>
        <w:rPr>
          <w:color w:val="231F20"/>
        </w:rPr>
        <w:t>profit.</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before="1"/>
        <w:ind w:right="38"/>
      </w:pPr>
      <w:r>
        <w:rPr>
          <w:color w:val="231F20"/>
        </w:rPr>
        <w:t>Lorsque des missions sont effectuées par le commissaire ou par un membre du réseau </w:t>
      </w:r>
      <w:r>
        <w:rPr>
          <w:color w:val="231F20"/>
          <w:spacing w:val="2"/>
        </w:rPr>
        <w:t>visé </w:t>
      </w:r>
      <w:r>
        <w:rPr>
          <w:color w:val="231F20"/>
        </w:rPr>
        <w:t>à l’article 3:56 dont relève le commissaire dans une société dans laquelle le commissaire est chargé du contrôle légal ou dans une société qui la contrôle ou  qu’elle  contrôle  au  sein  de  l’Union européenne, le commissaire ou un membre du réseau dont il relève ne peut prester aucune mission contre des honoraires subordon- nés,</w:t>
      </w:r>
      <w:r>
        <w:rPr>
          <w:color w:val="231F20"/>
          <w:spacing w:val="16"/>
        </w:rPr>
        <w:t> </w:t>
      </w:r>
      <w:r>
        <w:rPr>
          <w:color w:val="231F20"/>
        </w:rPr>
        <w:t>quelles</w:t>
      </w:r>
      <w:r>
        <w:rPr>
          <w:color w:val="231F20"/>
          <w:spacing w:val="16"/>
        </w:rPr>
        <w:t> </w:t>
      </w:r>
      <w:r>
        <w:rPr>
          <w:color w:val="231F20"/>
        </w:rPr>
        <w:t>que</w:t>
      </w:r>
      <w:r>
        <w:rPr>
          <w:color w:val="231F20"/>
          <w:spacing w:val="16"/>
        </w:rPr>
        <w:t> </w:t>
      </w:r>
      <w:r>
        <w:rPr>
          <w:color w:val="231F20"/>
        </w:rPr>
        <w:t>soient</w:t>
      </w:r>
      <w:r>
        <w:rPr>
          <w:color w:val="231F20"/>
          <w:spacing w:val="17"/>
        </w:rPr>
        <w:t> </w:t>
      </w:r>
      <w:r>
        <w:rPr>
          <w:color w:val="231F20"/>
        </w:rPr>
        <w:t>les</w:t>
      </w:r>
      <w:r>
        <w:rPr>
          <w:color w:val="231F20"/>
          <w:spacing w:val="16"/>
        </w:rPr>
        <w:t> </w:t>
      </w:r>
      <w:r>
        <w:rPr>
          <w:color w:val="231F20"/>
        </w:rPr>
        <w:t>mesures</w:t>
      </w:r>
      <w:r>
        <w:rPr>
          <w:color w:val="231F20"/>
          <w:spacing w:val="16"/>
        </w:rPr>
        <w:t> </w:t>
      </w:r>
      <w:r>
        <w:rPr>
          <w:color w:val="231F20"/>
        </w:rPr>
        <w:t>de</w:t>
      </w:r>
      <w:r>
        <w:rPr>
          <w:color w:val="231F20"/>
          <w:spacing w:val="17"/>
        </w:rPr>
        <w:t> </w:t>
      </w:r>
      <w:r>
        <w:rPr>
          <w:color w:val="231F20"/>
        </w:rPr>
        <w:t>sauvegarde</w:t>
      </w:r>
      <w:r>
        <w:rPr>
          <w:color w:val="231F20"/>
          <w:spacing w:val="16"/>
        </w:rPr>
        <w:t> </w:t>
      </w:r>
      <w:r>
        <w:rPr>
          <w:color w:val="231F20"/>
        </w:rPr>
        <w:t>mises</w:t>
      </w:r>
      <w:r>
        <w:rPr>
          <w:color w:val="231F20"/>
          <w:spacing w:val="16"/>
        </w:rPr>
        <w:t> </w:t>
      </w:r>
      <w:r>
        <w:rPr>
          <w:color w:val="231F20"/>
        </w:rPr>
        <w:t>en</w:t>
      </w:r>
      <w:r>
        <w:rPr>
          <w:color w:val="231F20"/>
          <w:spacing w:val="17"/>
        </w:rPr>
        <w:t> </w:t>
      </w:r>
      <w:r>
        <w:rPr>
          <w:color w:val="231F20"/>
        </w:rPr>
        <w:t>place.</w:t>
      </w:r>
    </w:p>
    <w:p>
      <w:pPr>
        <w:pStyle w:val="BodyText"/>
        <w:spacing w:before="10"/>
        <w:ind w:left="0" w:right="0" w:firstLine="0"/>
        <w:jc w:val="left"/>
        <w:rPr>
          <w:sz w:val="24"/>
        </w:rPr>
      </w:pPr>
    </w:p>
    <w:p>
      <w:pPr>
        <w:pStyle w:val="BodyText"/>
        <w:spacing w:line="218" w:lineRule="auto"/>
        <w:ind w:right="38"/>
      </w:pPr>
      <w:r>
        <w:rPr>
          <w:color w:val="231F20"/>
        </w:rPr>
        <w:t>§ 7. Lorsque les honoraires totaux reçus d’une entité d’intérêt public visée à l’article 1:12 au cours de chacun des trois derniers exercices consécutifs représentent plus de quinze pour cent du total des honoraires reçus par le commissaire effectuant le contrôle légal des comptes au cours de chacun de ces exercices, le commissaire, en application de l’article 4, § 3, du règlement (UE) n° 537/2014, en</w:t>
      </w:r>
    </w:p>
    <w:p>
      <w:pPr>
        <w:pStyle w:val="BodyText"/>
        <w:spacing w:line="218" w:lineRule="auto" w:before="119"/>
      </w:pPr>
      <w:r>
        <w:rPr/>
        <w:br w:type="column"/>
      </w:r>
      <w:r>
        <w:rPr>
          <w:color w:val="231F20"/>
        </w:rPr>
        <w:t>De honoraria moeten voldoende zijn om de commissaris toe te laten zijn opdracht uit te voeren in alle onafhankelijkheid en met naleving van de beroepsnormen en -aanbevelingen, zoals goedgekeurd overeen- komstig artikel 31 van de wet van 7 december 2016 houdende de organisatie van het beroep van en het publiek toezicht op de bedrijfsrevisoren.</w:t>
      </w:r>
    </w:p>
    <w:p>
      <w:pPr>
        <w:pStyle w:val="BodyText"/>
        <w:spacing w:line="218" w:lineRule="auto" w:before="97"/>
        <w:ind w:right="123"/>
      </w:pPr>
      <w:r>
        <w:rPr>
          <w:color w:val="231F20"/>
        </w:rPr>
        <w:t>§ 3. De bedragen van de honoraria verbonden aan uitzonderlijke werkzaamheden of bijzondere opdrachten uitgevoerd binnen de ven- nootschap</w:t>
      </w:r>
      <w:r>
        <w:rPr>
          <w:color w:val="231F20"/>
          <w:spacing w:val="-10"/>
        </w:rPr>
        <w:t> </w:t>
      </w:r>
      <w:r>
        <w:rPr>
          <w:color w:val="231F20"/>
        </w:rPr>
        <w:t>waarvan</w:t>
      </w:r>
      <w:r>
        <w:rPr>
          <w:color w:val="231F20"/>
          <w:spacing w:val="-10"/>
        </w:rPr>
        <w:t> </w:t>
      </w:r>
      <w:r>
        <w:rPr>
          <w:color w:val="231F20"/>
        </w:rPr>
        <w:t>de</w:t>
      </w:r>
      <w:r>
        <w:rPr>
          <w:color w:val="231F20"/>
          <w:spacing w:val="-9"/>
        </w:rPr>
        <w:t> </w:t>
      </w:r>
      <w:r>
        <w:rPr>
          <w:color w:val="231F20"/>
        </w:rPr>
        <w:t>commissaris</w:t>
      </w:r>
      <w:r>
        <w:rPr>
          <w:color w:val="231F20"/>
          <w:spacing w:val="-10"/>
        </w:rPr>
        <w:t> </w:t>
      </w:r>
      <w:r>
        <w:rPr>
          <w:color w:val="231F20"/>
        </w:rPr>
        <w:t>de</w:t>
      </w:r>
      <w:r>
        <w:rPr>
          <w:color w:val="231F20"/>
          <w:spacing w:val="-10"/>
        </w:rPr>
        <w:t> </w:t>
      </w:r>
      <w:r>
        <w:rPr>
          <w:color w:val="231F20"/>
        </w:rPr>
        <w:t>jaarrekening</w:t>
      </w:r>
      <w:r>
        <w:rPr>
          <w:color w:val="231F20"/>
          <w:spacing w:val="-9"/>
        </w:rPr>
        <w:t> </w:t>
      </w:r>
      <w:r>
        <w:rPr>
          <w:color w:val="231F20"/>
        </w:rPr>
        <w:t>controleert,</w:t>
      </w:r>
      <w:r>
        <w:rPr>
          <w:color w:val="231F20"/>
          <w:spacing w:val="-10"/>
        </w:rPr>
        <w:t> </w:t>
      </w:r>
      <w:r>
        <w:rPr>
          <w:color w:val="231F20"/>
        </w:rPr>
        <w:t>bedoeld in artikel 3:77, door de commissaris enerzijds, en door een met de commissaris verbonden persoon anderzijds, worden vermeld in de toelichting</w:t>
      </w:r>
      <w:r>
        <w:rPr>
          <w:color w:val="231F20"/>
          <w:spacing w:val="16"/>
        </w:rPr>
        <w:t> </w:t>
      </w:r>
      <w:r>
        <w:rPr>
          <w:color w:val="231F20"/>
        </w:rPr>
        <w:t>bij</w:t>
      </w:r>
      <w:r>
        <w:rPr>
          <w:color w:val="231F20"/>
          <w:spacing w:val="17"/>
        </w:rPr>
        <w:t> </w:t>
      </w:r>
      <w:r>
        <w:rPr>
          <w:color w:val="231F20"/>
        </w:rPr>
        <w:t>de</w:t>
      </w:r>
      <w:r>
        <w:rPr>
          <w:color w:val="231F20"/>
          <w:spacing w:val="17"/>
        </w:rPr>
        <w:t> </w:t>
      </w:r>
      <w:r>
        <w:rPr>
          <w:color w:val="231F20"/>
        </w:rPr>
        <w:t>jaarrekening</w:t>
      </w:r>
      <w:r>
        <w:rPr>
          <w:color w:val="231F20"/>
          <w:spacing w:val="16"/>
        </w:rPr>
        <w:t> </w:t>
      </w:r>
      <w:r>
        <w:rPr>
          <w:color w:val="231F20"/>
        </w:rPr>
        <w:t>volgens</w:t>
      </w:r>
      <w:r>
        <w:rPr>
          <w:color w:val="231F20"/>
          <w:spacing w:val="17"/>
        </w:rPr>
        <w:t> </w:t>
      </w:r>
      <w:r>
        <w:rPr>
          <w:color w:val="231F20"/>
        </w:rPr>
        <w:t>de</w:t>
      </w:r>
      <w:r>
        <w:rPr>
          <w:color w:val="231F20"/>
          <w:spacing w:val="17"/>
        </w:rPr>
        <w:t> </w:t>
      </w:r>
      <w:r>
        <w:rPr>
          <w:color w:val="231F20"/>
        </w:rPr>
        <w:t>volgende</w:t>
      </w:r>
      <w:r>
        <w:rPr>
          <w:color w:val="231F20"/>
          <w:spacing w:val="17"/>
        </w:rPr>
        <w:t> </w:t>
      </w:r>
      <w:r>
        <w:rPr>
          <w:color w:val="231F20"/>
        </w:rPr>
        <w:t>categorieën:</w:t>
      </w:r>
    </w:p>
    <w:p>
      <w:pPr>
        <w:pStyle w:val="BodyText"/>
        <w:spacing w:before="82"/>
        <w:ind w:left="283" w:right="0" w:firstLine="0"/>
        <w:jc w:val="left"/>
      </w:pPr>
      <w:r>
        <w:rPr>
          <w:color w:val="231F20"/>
        </w:rPr>
        <w:t>1° andere controle-opdrachten;</w:t>
      </w:r>
    </w:p>
    <w:p>
      <w:pPr>
        <w:pStyle w:val="BodyText"/>
        <w:spacing w:before="79"/>
        <w:ind w:left="283" w:right="0" w:firstLine="0"/>
        <w:jc w:val="left"/>
      </w:pPr>
      <w:r>
        <w:rPr>
          <w:color w:val="231F20"/>
        </w:rPr>
        <w:t>2° belastingadviesopdrachten; en</w:t>
      </w:r>
    </w:p>
    <w:p>
      <w:pPr>
        <w:pStyle w:val="BodyText"/>
        <w:spacing w:before="79"/>
        <w:ind w:left="283" w:right="0" w:firstLine="0"/>
        <w:jc w:val="left"/>
      </w:pPr>
      <w:r>
        <w:rPr>
          <w:color w:val="231F20"/>
        </w:rPr>
        <w:t>3° andere opdrachten buiten de revisorale opdrachten.</w:t>
      </w:r>
    </w:p>
    <w:p>
      <w:pPr>
        <w:pStyle w:val="BodyText"/>
        <w:spacing w:line="218" w:lineRule="auto" w:before="92"/>
      </w:pPr>
      <w:r>
        <w:rPr>
          <w:color w:val="231F20"/>
        </w:rPr>
        <w:t>§ 4. Het bedrag van de honoraria van de commissaris bedoeld in paragraaf 2 enerzijds, en het bedrag van de honoraria verbonden aan de mandaten van commissaris of aan gelijkgestelde mandaten uitge- voerd door een met de commissaris verbonden persoon anderzijds, in een Belgische vennootschap onderworpen aan de wettelijke controle van haar geconsolideerde jaarrekening, bedoeld in artikel 3:77, en binnen</w:t>
      </w:r>
      <w:r>
        <w:rPr>
          <w:color w:val="231F20"/>
          <w:spacing w:val="13"/>
        </w:rPr>
        <w:t> </w:t>
      </w:r>
      <w:r>
        <w:rPr>
          <w:color w:val="231F20"/>
        </w:rPr>
        <w:t>de</w:t>
      </w:r>
      <w:r>
        <w:rPr>
          <w:color w:val="231F20"/>
          <w:spacing w:val="14"/>
        </w:rPr>
        <w:t> </w:t>
      </w:r>
      <w:r>
        <w:rPr>
          <w:color w:val="231F20"/>
        </w:rPr>
        <w:t>dochtervennootschappen</w:t>
      </w:r>
      <w:r>
        <w:rPr>
          <w:color w:val="231F20"/>
          <w:spacing w:val="14"/>
        </w:rPr>
        <w:t> </w:t>
      </w:r>
      <w:r>
        <w:rPr>
          <w:color w:val="231F20"/>
        </w:rPr>
        <w:t>van</w:t>
      </w:r>
      <w:r>
        <w:rPr>
          <w:color w:val="231F20"/>
          <w:spacing w:val="14"/>
        </w:rPr>
        <w:t> </w:t>
      </w:r>
      <w:r>
        <w:rPr>
          <w:color w:val="231F20"/>
        </w:rPr>
        <w:t>deze</w:t>
      </w:r>
      <w:r>
        <w:rPr>
          <w:color w:val="231F20"/>
          <w:spacing w:val="14"/>
        </w:rPr>
        <w:t> </w:t>
      </w:r>
      <w:r>
        <w:rPr>
          <w:color w:val="231F20"/>
        </w:rPr>
        <w:t>laatste,</w:t>
      </w:r>
      <w:r>
        <w:rPr>
          <w:color w:val="231F20"/>
          <w:spacing w:val="14"/>
        </w:rPr>
        <w:t> </w:t>
      </w:r>
      <w:r>
        <w:rPr>
          <w:color w:val="231F20"/>
        </w:rPr>
        <w:t>worden</w:t>
      </w:r>
      <w:r>
        <w:rPr>
          <w:color w:val="231F20"/>
          <w:spacing w:val="14"/>
        </w:rPr>
        <w:t> </w:t>
      </w:r>
      <w:r>
        <w:rPr>
          <w:color w:val="231F20"/>
        </w:rPr>
        <w:t>vermeld:</w:t>
      </w:r>
    </w:p>
    <w:p>
      <w:pPr>
        <w:pStyle w:val="BodyText"/>
        <w:spacing w:line="218" w:lineRule="auto" w:before="97"/>
      </w:pPr>
      <w:r>
        <w:rPr>
          <w:color w:val="231F20"/>
        </w:rPr>
        <w:t>1° in de toelichting bij de geconsolideerde jaarrekening, of, bij gebrek aan geconsolideerde jaarrekening, in de toelichting bij de jaarrekening van de vennootschap die gebruik maakt van de vrijstelling voorzien in artikel 3:26, tenzij deze vennootschap een dochtervennootschap is van een Belgische vennootschap die gebruik maakt van de voornoemde vrijstelling;</w:t>
      </w:r>
    </w:p>
    <w:p>
      <w:pPr>
        <w:pStyle w:val="BodyText"/>
        <w:spacing w:line="218" w:lineRule="auto" w:before="107"/>
      </w:pPr>
      <w:r>
        <w:rPr>
          <w:color w:val="231F20"/>
        </w:rPr>
        <w:t>2° alsook in de toelichting bij de jaarrekening van de vennootschap die vrijgesteld is van de verplichting om een geconsolideerde jaarreke- ning krachtens artikel 3:25 op te stellen, tenzij deze vennootschap een dochtervennootschap is van een Belgische vennootschap.</w:t>
      </w:r>
    </w:p>
    <w:p>
      <w:pPr>
        <w:pStyle w:val="BodyText"/>
        <w:spacing w:line="218" w:lineRule="auto" w:before="107"/>
      </w:pPr>
      <w:r>
        <w:rPr>
          <w:color w:val="231F20"/>
        </w:rPr>
        <w:t>§ 5. De bedragen van de honoraria verbonden aan uitzonderlijke werkzaamheden of bijzondere opdrachten uitgevoerd binnen een Belgische vennootschap die onderworpen is aan de wettelijke controle van haar geconsolideerde jaarrekening, bedoeld in artikel 3:77, en binnen de dochtervennootschappen van deze laatste, door de commis- saris enerzijds, en door een met de commissaris verbonden persoon anderzijds, worden vermeld volgens de volgende categorieën:</w:t>
      </w:r>
    </w:p>
    <w:p>
      <w:pPr>
        <w:pStyle w:val="BodyText"/>
        <w:spacing w:before="93"/>
        <w:ind w:left="283" w:right="0" w:firstLine="0"/>
        <w:jc w:val="left"/>
      </w:pPr>
      <w:r>
        <w:rPr>
          <w:color w:val="231F20"/>
        </w:rPr>
        <w:t>1° andere controle-opdrachten;</w:t>
      </w:r>
    </w:p>
    <w:p>
      <w:pPr>
        <w:pStyle w:val="BodyText"/>
        <w:spacing w:before="89"/>
        <w:ind w:left="283" w:right="0" w:firstLine="0"/>
        <w:jc w:val="left"/>
      </w:pPr>
      <w:r>
        <w:rPr>
          <w:color w:val="231F20"/>
        </w:rPr>
        <w:t>2° belastingadviesopdrachten; en</w:t>
      </w:r>
    </w:p>
    <w:p>
      <w:pPr>
        <w:pStyle w:val="BodyText"/>
        <w:spacing w:before="90"/>
        <w:ind w:left="283" w:right="0" w:firstLine="0"/>
        <w:jc w:val="left"/>
      </w:pPr>
      <w:r>
        <w:rPr>
          <w:color w:val="231F20"/>
        </w:rPr>
        <w:t>3° andere opdrachten buiten de revisorale opdrachten</w:t>
      </w:r>
    </w:p>
    <w:p>
      <w:pPr>
        <w:pStyle w:val="ListParagraph"/>
        <w:numPr>
          <w:ilvl w:val="0"/>
          <w:numId w:val="94"/>
        </w:numPr>
        <w:tabs>
          <w:tab w:pos="471" w:val="left" w:leader="none"/>
        </w:tabs>
        <w:spacing w:line="218" w:lineRule="auto" w:before="103" w:after="0"/>
        <w:ind w:left="113" w:right="124" w:firstLine="170"/>
        <w:jc w:val="both"/>
        <w:rPr>
          <w:sz w:val="17"/>
        </w:rPr>
      </w:pPr>
      <w:r>
        <w:rPr>
          <w:color w:val="231F20"/>
          <w:sz w:val="17"/>
        </w:rPr>
        <w:t>in de toelichting bij de geconsolideerde jaarrekening, of, bij gebrek aan geconsolideerde jaarrekening, in de toelichting bij de jaarrekening van de vennootschap die gebruik maakt van de vrijstelling voorzien in artikel 3:26, tenzij deze vennootschap een dochtervennootschap is van een Belgische vennootschap die gebruik maakt van de voornoemde vrijstelling;</w:t>
      </w:r>
    </w:p>
    <w:p>
      <w:pPr>
        <w:pStyle w:val="ListParagraph"/>
        <w:numPr>
          <w:ilvl w:val="0"/>
          <w:numId w:val="94"/>
        </w:numPr>
        <w:tabs>
          <w:tab w:pos="486" w:val="left" w:leader="none"/>
        </w:tabs>
        <w:spacing w:line="218" w:lineRule="auto" w:before="107" w:after="0"/>
        <w:ind w:left="113" w:right="124" w:firstLine="170"/>
        <w:jc w:val="both"/>
        <w:rPr>
          <w:sz w:val="17"/>
        </w:rPr>
      </w:pPr>
      <w:r>
        <w:rPr>
          <w:color w:val="231F20"/>
          <w:sz w:val="17"/>
        </w:rPr>
        <w:t>alsook in de toelichting bij de jaarrekening van de vennootschap die vrijgesteld is van de verplichting om een geconsolideerde jaarreke- ning op te stellen krachtens artikel 3:25, tenzij deze vennootschap een dochtervennootschap</w:t>
      </w:r>
      <w:r>
        <w:rPr>
          <w:color w:val="231F20"/>
          <w:spacing w:val="16"/>
          <w:sz w:val="17"/>
        </w:rPr>
        <w:t> </w:t>
      </w:r>
      <w:r>
        <w:rPr>
          <w:color w:val="231F20"/>
          <w:sz w:val="17"/>
        </w:rPr>
        <w:t>is</w:t>
      </w:r>
      <w:r>
        <w:rPr>
          <w:color w:val="231F20"/>
          <w:spacing w:val="16"/>
          <w:sz w:val="17"/>
        </w:rPr>
        <w:t> </w:t>
      </w:r>
      <w:r>
        <w:rPr>
          <w:color w:val="231F20"/>
          <w:sz w:val="17"/>
        </w:rPr>
        <w:t>van</w:t>
      </w:r>
      <w:r>
        <w:rPr>
          <w:color w:val="231F20"/>
          <w:spacing w:val="16"/>
          <w:sz w:val="17"/>
        </w:rPr>
        <w:t> </w:t>
      </w:r>
      <w:r>
        <w:rPr>
          <w:color w:val="231F20"/>
          <w:sz w:val="17"/>
        </w:rPr>
        <w:t>een</w:t>
      </w:r>
      <w:r>
        <w:rPr>
          <w:color w:val="231F20"/>
          <w:spacing w:val="16"/>
          <w:sz w:val="17"/>
        </w:rPr>
        <w:t> </w:t>
      </w:r>
      <w:r>
        <w:rPr>
          <w:color w:val="231F20"/>
          <w:sz w:val="17"/>
        </w:rPr>
        <w:t>Belgische</w:t>
      </w:r>
      <w:r>
        <w:rPr>
          <w:color w:val="231F20"/>
          <w:spacing w:val="16"/>
          <w:sz w:val="17"/>
        </w:rPr>
        <w:t> </w:t>
      </w:r>
      <w:r>
        <w:rPr>
          <w:color w:val="231F20"/>
          <w:sz w:val="17"/>
        </w:rPr>
        <w:t>vennootschap.</w:t>
      </w:r>
    </w:p>
    <w:p>
      <w:pPr>
        <w:pStyle w:val="BodyText"/>
        <w:spacing w:line="218" w:lineRule="auto" w:before="107"/>
      </w:pPr>
      <w:r>
        <w:rPr>
          <w:color w:val="231F20"/>
        </w:rPr>
        <w:t>§ 6. De honoraria van de commissaris bedoeld in paragraaf 2 mogen niet worden bepaald of beïnvloed door het verlenen van bijkomende diensten aan de vennootschap waarvan hij de jaarrekening, bedoeld in artikel 3:73, controleert of van een Belgische vennootschap die onder- worpen is aan de wettelijke controle van haar geconsolideerde jaarrekening, bedoeld in artikel 3:77. Buiten deze honoraria mogen de commissarissen geen enkel voordeel, in welke vorm ook, van de vennootschap ontvangen. De vennootschap mag hun geen leningen of voorschotten toestaan, noch te hunnen behoeve waarborgen stellen of geven.</w:t>
      </w:r>
    </w:p>
    <w:p>
      <w:pPr>
        <w:pStyle w:val="BodyText"/>
        <w:spacing w:line="218" w:lineRule="auto" w:before="108"/>
      </w:pPr>
      <w:r>
        <w:rPr>
          <w:color w:val="231F20"/>
        </w:rPr>
        <w:t>Wanneer er opdrachten worden uitgevoerd door de commissaris of door een lid van het netwerk bedoeld in artikel 3:56 waartoe de commissaris behoort, in een vennootschap waarin de commissaris belast is met de wettelijke controle, of in een vennootschap die haar controleert of die zij controleert binnen de Europese Unie, mag de commissaris of een lid van het netwerk waartoe hij behoort geen opdrachten uitvoeren tegen vergoeding van resultaatgebonden hono- raria, ongeacht de genomen veiligheidsmaatregelen.</w:t>
      </w:r>
    </w:p>
    <w:p>
      <w:pPr>
        <w:pStyle w:val="BodyText"/>
        <w:spacing w:line="218" w:lineRule="auto" w:before="107"/>
      </w:pPr>
      <w:r>
        <w:rPr>
          <w:color w:val="231F20"/>
        </w:rPr>
        <w:t>§ 7. Indien de totale honoraria die van een organisatie van openbaar belang, bedoeld in artikel 1:12, in elk van de laatste drie opeenvolgende boekjaren worden ontvangen, meer dan vijftien procent bedragen van de totale honoraria van de commissaris die de wettelijke controle in elk van die boekjaren uitvoert, stelt de commissaris, met toepassing van artikel 4, lid 3, van de verordening (EU) nr. 537/2014, het auditcomité</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20"/>
        <w:ind w:right="38" w:firstLine="0"/>
      </w:pPr>
      <w:r>
        <w:rPr/>
        <w:pict>
          <v:line style="position:absolute;mso-position-horizontal-relative:page;mso-position-vertical-relative:page;z-index:2824" from="298.170502pt,64.473pt" to="298.170502pt,812.819pt" stroked="true" strokeweight=".533pt" strokecolor="#231f20">
            <v:stroke dashstyle="solid"/>
            <w10:wrap type="none"/>
          </v:line>
        </w:pict>
      </w:r>
      <w:bookmarkStart w:name="_bookmark75" w:id="80"/>
      <w:bookmarkEnd w:id="80"/>
      <w:r>
        <w:rPr/>
      </w:r>
      <w:r>
        <w:rPr>
          <w:color w:val="231F20"/>
        </w:rPr>
        <w:t>informe le comité d’audit et analyse avec lui les risques pesant sur son indépendance et les mesures de sauvegarde appliquées pour atténuer ces risques.</w:t>
      </w:r>
    </w:p>
    <w:p>
      <w:pPr>
        <w:pStyle w:val="BodyText"/>
        <w:spacing w:before="103"/>
        <w:ind w:left="283" w:right="0" w:firstLine="0"/>
        <w:jc w:val="left"/>
      </w:pPr>
      <w:r>
        <w:rPr>
          <w:color w:val="231F20"/>
        </w:rPr>
        <w:t>Section 6. Démission et révocation.</w:t>
      </w:r>
    </w:p>
    <w:p>
      <w:pPr>
        <w:pStyle w:val="BodyText"/>
        <w:spacing w:line="218" w:lineRule="auto" w:before="99"/>
        <w:ind w:right="38"/>
      </w:pPr>
      <w:r>
        <w:rPr>
          <w:color w:val="231F20"/>
        </w:rPr>
        <w:t>Art. 3:66. § 1</w:t>
      </w:r>
      <w:r>
        <w:rPr>
          <w:color w:val="231F20"/>
          <w:position w:val="7"/>
          <w:sz w:val="11"/>
        </w:rPr>
        <w:t>er</w:t>
      </w:r>
      <w:r>
        <w:rPr>
          <w:color w:val="231F20"/>
        </w:rPr>
        <w:t>. Sous peine de dommages-intérêts, le commissaire ne peut être révoqué en cours de mandat que pour juste motif, par l’assemblée générale. En particulier, une divergence d’opinion sur un traitement comptable ou une procédure de contrôle ne constitue pas en soi un juste motif de révocation.</w:t>
      </w:r>
    </w:p>
    <w:p>
      <w:pPr>
        <w:pStyle w:val="BodyText"/>
        <w:spacing w:line="218" w:lineRule="auto" w:before="118"/>
        <w:ind w:right="38"/>
      </w:pPr>
      <w:r>
        <w:rPr>
          <w:color w:val="231F20"/>
        </w:rPr>
        <w:t>En cas de contrôle légal d’une entité  d’intérêt  public  visée  à  l’article 1:12, un recours visant à révoquer le commissaire peut, s’il existe des motifs valables pour ce faire, être introduit devant le tribunal de l’entreprise</w:t>
      </w:r>
      <w:r>
        <w:rPr>
          <w:color w:val="231F20"/>
          <w:spacing w:val="-12"/>
        </w:rPr>
        <w:t> </w:t>
      </w:r>
      <w:r>
        <w:rPr>
          <w:color w:val="231F20"/>
        </w:rPr>
        <w:t>par:</w:t>
      </w:r>
    </w:p>
    <w:p>
      <w:pPr>
        <w:pStyle w:val="BodyText"/>
        <w:spacing w:line="218" w:lineRule="auto" w:before="117"/>
        <w:ind w:right="38"/>
      </w:pPr>
      <w:r>
        <w:rPr>
          <w:color w:val="231F20"/>
        </w:rPr>
        <w:t>1°</w:t>
      </w:r>
      <w:r>
        <w:rPr>
          <w:color w:val="231F20"/>
          <w:spacing w:val="-4"/>
        </w:rPr>
        <w:t> </w:t>
      </w:r>
      <w:r>
        <w:rPr>
          <w:color w:val="231F20"/>
        </w:rPr>
        <w:t>tout</w:t>
      </w:r>
      <w:r>
        <w:rPr>
          <w:color w:val="231F20"/>
          <w:spacing w:val="-4"/>
        </w:rPr>
        <w:t> </w:t>
      </w:r>
      <w:r>
        <w:rPr>
          <w:color w:val="231F20"/>
        </w:rPr>
        <w:t>actionnaire</w:t>
      </w:r>
      <w:r>
        <w:rPr>
          <w:color w:val="231F20"/>
          <w:spacing w:val="-3"/>
        </w:rPr>
        <w:t> </w:t>
      </w:r>
      <w:r>
        <w:rPr>
          <w:color w:val="231F20"/>
        </w:rPr>
        <w:t>représentant</w:t>
      </w:r>
      <w:r>
        <w:rPr>
          <w:color w:val="231F20"/>
          <w:spacing w:val="-4"/>
        </w:rPr>
        <w:t> </w:t>
      </w:r>
      <w:r>
        <w:rPr>
          <w:color w:val="231F20"/>
        </w:rPr>
        <w:t>au</w:t>
      </w:r>
      <w:r>
        <w:rPr>
          <w:color w:val="231F20"/>
          <w:spacing w:val="-3"/>
        </w:rPr>
        <w:t> </w:t>
      </w:r>
      <w:r>
        <w:rPr>
          <w:color w:val="231F20"/>
        </w:rPr>
        <w:t>moins</w:t>
      </w:r>
      <w:r>
        <w:rPr>
          <w:color w:val="231F20"/>
          <w:spacing w:val="-4"/>
        </w:rPr>
        <w:t> </w:t>
      </w:r>
      <w:r>
        <w:rPr>
          <w:color w:val="231F20"/>
        </w:rPr>
        <w:t>cinq</w:t>
      </w:r>
      <w:r>
        <w:rPr>
          <w:color w:val="231F20"/>
          <w:spacing w:val="-3"/>
        </w:rPr>
        <w:t> </w:t>
      </w:r>
      <w:r>
        <w:rPr>
          <w:color w:val="231F20"/>
        </w:rPr>
        <w:t>pour</w:t>
      </w:r>
      <w:r>
        <w:rPr>
          <w:color w:val="231F20"/>
          <w:spacing w:val="-4"/>
        </w:rPr>
        <w:t> </w:t>
      </w:r>
      <w:r>
        <w:rPr>
          <w:color w:val="231F20"/>
        </w:rPr>
        <w:t>cent</w:t>
      </w:r>
      <w:r>
        <w:rPr>
          <w:color w:val="231F20"/>
          <w:spacing w:val="-3"/>
        </w:rPr>
        <w:t> </w:t>
      </w:r>
      <w:r>
        <w:rPr>
          <w:color w:val="231F20"/>
        </w:rPr>
        <w:t>des</w:t>
      </w:r>
      <w:r>
        <w:rPr>
          <w:color w:val="231F20"/>
          <w:spacing w:val="-4"/>
        </w:rPr>
        <w:t> </w:t>
      </w:r>
      <w:r>
        <w:rPr>
          <w:color w:val="231F20"/>
        </w:rPr>
        <w:t>droits</w:t>
      </w:r>
      <w:r>
        <w:rPr>
          <w:color w:val="231F20"/>
          <w:spacing w:val="-3"/>
        </w:rPr>
        <w:t> </w:t>
      </w:r>
      <w:r>
        <w:rPr>
          <w:color w:val="231F20"/>
        </w:rPr>
        <w:t>de vote ou du</w:t>
      </w:r>
      <w:r>
        <w:rPr>
          <w:color w:val="231F20"/>
          <w:spacing w:val="4"/>
        </w:rPr>
        <w:t> </w:t>
      </w:r>
      <w:r>
        <w:rPr>
          <w:color w:val="231F20"/>
        </w:rPr>
        <w:t>capital;</w:t>
      </w:r>
    </w:p>
    <w:p>
      <w:pPr>
        <w:pStyle w:val="BodyText"/>
        <w:spacing w:line="218" w:lineRule="auto" w:before="118"/>
        <w:ind w:right="38"/>
      </w:pPr>
      <w:r>
        <w:rPr>
          <w:color w:val="231F20"/>
        </w:rPr>
        <w:t>2° le Collège de supervision des réviseurs d’entreprises visé  à  l’article 32 de la loi du 7 décembre 2016 portant organisation de la profession</w:t>
      </w:r>
      <w:r>
        <w:rPr>
          <w:color w:val="231F20"/>
          <w:spacing w:val="19"/>
        </w:rPr>
        <w:t> </w:t>
      </w:r>
      <w:r>
        <w:rPr>
          <w:color w:val="231F20"/>
        </w:rPr>
        <w:t>et</w:t>
      </w:r>
      <w:r>
        <w:rPr>
          <w:color w:val="231F20"/>
          <w:spacing w:val="19"/>
        </w:rPr>
        <w:t> </w:t>
      </w:r>
      <w:r>
        <w:rPr>
          <w:color w:val="231F20"/>
        </w:rPr>
        <w:t>de</w:t>
      </w:r>
      <w:r>
        <w:rPr>
          <w:color w:val="231F20"/>
          <w:spacing w:val="20"/>
        </w:rPr>
        <w:t> </w:t>
      </w:r>
      <w:r>
        <w:rPr>
          <w:color w:val="231F20"/>
        </w:rPr>
        <w:t>la</w:t>
      </w:r>
      <w:r>
        <w:rPr>
          <w:color w:val="231F20"/>
          <w:spacing w:val="19"/>
        </w:rPr>
        <w:t> </w:t>
      </w:r>
      <w:r>
        <w:rPr>
          <w:color w:val="231F20"/>
        </w:rPr>
        <w:t>supervision</w:t>
      </w:r>
      <w:r>
        <w:rPr>
          <w:color w:val="231F20"/>
          <w:spacing w:val="20"/>
        </w:rPr>
        <w:t> </w:t>
      </w:r>
      <w:r>
        <w:rPr>
          <w:color w:val="231F20"/>
        </w:rPr>
        <w:t>publique</w:t>
      </w:r>
      <w:r>
        <w:rPr>
          <w:color w:val="231F20"/>
          <w:spacing w:val="19"/>
        </w:rPr>
        <w:t> </w:t>
      </w:r>
      <w:r>
        <w:rPr>
          <w:color w:val="231F20"/>
        </w:rPr>
        <w:t>des</w:t>
      </w:r>
      <w:r>
        <w:rPr>
          <w:color w:val="231F20"/>
          <w:spacing w:val="20"/>
        </w:rPr>
        <w:t> </w:t>
      </w:r>
      <w:r>
        <w:rPr>
          <w:color w:val="231F20"/>
        </w:rPr>
        <w:t>réviseurs</w:t>
      </w:r>
      <w:r>
        <w:rPr>
          <w:color w:val="231F20"/>
          <w:spacing w:val="19"/>
        </w:rPr>
        <w:t> </w:t>
      </w:r>
      <w:r>
        <w:rPr>
          <w:color w:val="231F20"/>
        </w:rPr>
        <w:t>d’entreprises.</w:t>
      </w:r>
    </w:p>
    <w:p>
      <w:pPr>
        <w:pStyle w:val="BodyText"/>
        <w:spacing w:line="218" w:lineRule="auto" w:before="128"/>
        <w:ind w:right="38"/>
      </w:pPr>
      <w:r>
        <w:rPr>
          <w:color w:val="231F20"/>
        </w:rPr>
        <w:t>Le commissaire ne peut, sauf motifs personnels graves, démissionner en cours de mandat que lors d’une assemblée générale et après lui avoir fait rapport par écrit sur les raisons de sa démission.</w:t>
      </w:r>
    </w:p>
    <w:p>
      <w:pPr>
        <w:pStyle w:val="BodyText"/>
        <w:spacing w:before="8"/>
        <w:ind w:left="0" w:right="0" w:firstLine="0"/>
        <w:jc w:val="left"/>
        <w:rPr>
          <w:sz w:val="26"/>
        </w:rPr>
      </w:pPr>
    </w:p>
    <w:p>
      <w:pPr>
        <w:pStyle w:val="BodyText"/>
        <w:spacing w:line="218" w:lineRule="auto"/>
        <w:ind w:right="38"/>
      </w:pPr>
      <w:r>
        <w:rPr>
          <w:color w:val="231F20"/>
        </w:rPr>
        <w:t>§ 2. La société contrôlée et le commissaire informent le Collège de supervision des réviseurs d’entreprises visé à l’article 32 de la loi du</w:t>
      </w:r>
    </w:p>
    <w:p>
      <w:pPr>
        <w:pStyle w:val="BodyText"/>
        <w:spacing w:line="218" w:lineRule="auto" w:before="1"/>
        <w:ind w:right="38" w:hanging="1"/>
      </w:pPr>
      <w:r>
        <w:rPr>
          <w:color w:val="231F20"/>
        </w:rPr>
        <w:t>7 décembre 2016 portant organisation de la profession et de la supervision publique des réviseurs d’entreprises, soit de la révocation, soit de la démission du commissaire en cours de mandat et en exposent les motifs de manière appropriée, que l’interruption de mandat ait ou non été convenue de commun accord.</w:t>
      </w:r>
    </w:p>
    <w:p>
      <w:pPr>
        <w:pStyle w:val="BodyText"/>
        <w:spacing w:before="8"/>
        <w:ind w:left="0" w:right="0" w:firstLine="0"/>
        <w:jc w:val="left"/>
        <w:rPr>
          <w:sz w:val="26"/>
        </w:rPr>
      </w:pPr>
    </w:p>
    <w:p>
      <w:pPr>
        <w:pStyle w:val="BodyText"/>
        <w:spacing w:line="218" w:lineRule="auto"/>
        <w:ind w:right="38"/>
      </w:pPr>
      <w:r>
        <w:rPr>
          <w:color w:val="231F20"/>
        </w:rPr>
        <w:t>Art. 3:67. Si l’assemblée générale est appelée à délibérer sur la révocation d’un commissaire, l’inscription de cette question à l’ordre du jour</w:t>
      </w:r>
      <w:r>
        <w:rPr>
          <w:color w:val="231F20"/>
          <w:spacing w:val="-4"/>
        </w:rPr>
        <w:t> </w:t>
      </w:r>
      <w:r>
        <w:rPr>
          <w:color w:val="231F20"/>
        </w:rPr>
        <w:t>doit</w:t>
      </w:r>
      <w:r>
        <w:rPr>
          <w:color w:val="231F20"/>
          <w:spacing w:val="-4"/>
        </w:rPr>
        <w:t> </w:t>
      </w:r>
      <w:r>
        <w:rPr>
          <w:color w:val="231F20"/>
        </w:rPr>
        <w:t>immédiatement</w:t>
      </w:r>
      <w:r>
        <w:rPr>
          <w:color w:val="231F20"/>
          <w:spacing w:val="-4"/>
        </w:rPr>
        <w:t> </w:t>
      </w:r>
      <w:r>
        <w:rPr>
          <w:color w:val="231F20"/>
        </w:rPr>
        <w:t>être</w:t>
      </w:r>
      <w:r>
        <w:rPr>
          <w:color w:val="231F20"/>
          <w:spacing w:val="-4"/>
        </w:rPr>
        <w:t> </w:t>
      </w:r>
      <w:r>
        <w:rPr>
          <w:color w:val="231F20"/>
        </w:rPr>
        <w:t>notifiée</w:t>
      </w:r>
      <w:r>
        <w:rPr>
          <w:color w:val="231F20"/>
          <w:spacing w:val="-4"/>
        </w:rPr>
        <w:t> </w:t>
      </w:r>
      <w:r>
        <w:rPr>
          <w:color w:val="231F20"/>
        </w:rPr>
        <w:t>à</w:t>
      </w:r>
      <w:r>
        <w:rPr>
          <w:color w:val="231F20"/>
          <w:spacing w:val="-4"/>
        </w:rPr>
        <w:t> </w:t>
      </w:r>
      <w:r>
        <w:rPr>
          <w:color w:val="231F20"/>
        </w:rPr>
        <w:t>l’intéressé.</w:t>
      </w:r>
      <w:r>
        <w:rPr>
          <w:color w:val="231F20"/>
          <w:spacing w:val="-4"/>
        </w:rPr>
        <w:t> </w:t>
      </w:r>
      <w:r>
        <w:rPr>
          <w:color w:val="231F20"/>
        </w:rPr>
        <w:t>Le</w:t>
      </w:r>
      <w:r>
        <w:rPr>
          <w:color w:val="231F20"/>
          <w:spacing w:val="-4"/>
        </w:rPr>
        <w:t> </w:t>
      </w:r>
      <w:r>
        <w:rPr>
          <w:color w:val="231F20"/>
        </w:rPr>
        <w:t>commissaire</w:t>
      </w:r>
      <w:r>
        <w:rPr>
          <w:color w:val="231F20"/>
          <w:spacing w:val="-4"/>
        </w:rPr>
        <w:t> </w:t>
      </w:r>
      <w:r>
        <w:rPr>
          <w:color w:val="231F20"/>
        </w:rPr>
        <w:t>peut faire connaître par écrit à la société ses observations éventuelles. Ces observations sont annoncées dans l’ordre du jour et elles sont mises à</w:t>
      </w:r>
      <w:r>
        <w:rPr>
          <w:color w:val="231F20"/>
          <w:spacing w:val="-14"/>
        </w:rPr>
        <w:t> </w:t>
      </w:r>
      <w:r>
        <w:rPr>
          <w:color w:val="231F20"/>
        </w:rPr>
        <w:t>la disposition des actionnaires, conformément aux articles 5:84, 6:70, § 2, et</w:t>
      </w:r>
      <w:r>
        <w:rPr>
          <w:color w:val="231F20"/>
          <w:spacing w:val="-5"/>
        </w:rPr>
        <w:t> </w:t>
      </w:r>
      <w:r>
        <w:rPr>
          <w:color w:val="231F20"/>
        </w:rPr>
        <w:t>7:132.</w:t>
      </w:r>
      <w:r>
        <w:rPr>
          <w:color w:val="231F20"/>
          <w:spacing w:val="-5"/>
        </w:rPr>
        <w:t> </w:t>
      </w:r>
      <w:r>
        <w:rPr>
          <w:color w:val="231F20"/>
        </w:rPr>
        <w:t>Un</w:t>
      </w:r>
      <w:r>
        <w:rPr>
          <w:color w:val="231F20"/>
          <w:spacing w:val="-4"/>
        </w:rPr>
        <w:t> </w:t>
      </w:r>
      <w:r>
        <w:rPr>
          <w:color w:val="231F20"/>
        </w:rPr>
        <w:t>exemplaire</w:t>
      </w:r>
      <w:r>
        <w:rPr>
          <w:color w:val="231F20"/>
          <w:spacing w:val="-5"/>
        </w:rPr>
        <w:t> </w:t>
      </w:r>
      <w:r>
        <w:rPr>
          <w:color w:val="231F20"/>
        </w:rPr>
        <w:t>de</w:t>
      </w:r>
      <w:r>
        <w:rPr>
          <w:color w:val="231F20"/>
          <w:spacing w:val="-4"/>
        </w:rPr>
        <w:t> </w:t>
      </w:r>
      <w:r>
        <w:rPr>
          <w:color w:val="231F20"/>
        </w:rPr>
        <w:t>ces</w:t>
      </w:r>
      <w:r>
        <w:rPr>
          <w:color w:val="231F20"/>
          <w:spacing w:val="-5"/>
        </w:rPr>
        <w:t> </w:t>
      </w:r>
      <w:r>
        <w:rPr>
          <w:color w:val="231F20"/>
        </w:rPr>
        <w:t>observations</w:t>
      </w:r>
      <w:r>
        <w:rPr>
          <w:color w:val="231F20"/>
          <w:spacing w:val="-4"/>
        </w:rPr>
        <w:t> </w:t>
      </w:r>
      <w:r>
        <w:rPr>
          <w:color w:val="231F20"/>
        </w:rPr>
        <w:t>est</w:t>
      </w:r>
      <w:r>
        <w:rPr>
          <w:color w:val="231F20"/>
          <w:spacing w:val="-5"/>
        </w:rPr>
        <w:t> </w:t>
      </w:r>
      <w:r>
        <w:rPr>
          <w:color w:val="231F20"/>
        </w:rPr>
        <w:t>également</w:t>
      </w:r>
      <w:r>
        <w:rPr>
          <w:color w:val="231F20"/>
          <w:spacing w:val="-4"/>
        </w:rPr>
        <w:t> </w:t>
      </w:r>
      <w:r>
        <w:rPr>
          <w:color w:val="231F20"/>
        </w:rPr>
        <w:t>transmis</w:t>
      </w:r>
      <w:r>
        <w:rPr>
          <w:color w:val="231F20"/>
          <w:spacing w:val="-5"/>
        </w:rPr>
        <w:t> </w:t>
      </w:r>
      <w:r>
        <w:rPr>
          <w:color w:val="231F20"/>
        </w:rPr>
        <w:t>sans délai aux personnes qui ont accompli les formalités requises pour être admises à l’assemblée</w:t>
      </w:r>
      <w:r>
        <w:rPr>
          <w:color w:val="231F20"/>
          <w:spacing w:val="4"/>
        </w:rPr>
        <w:t> </w:t>
      </w:r>
      <w:r>
        <w:rPr>
          <w:color w:val="231F20"/>
        </w:rPr>
        <w:t>générale.</w:t>
      </w:r>
    </w:p>
    <w:p>
      <w:pPr>
        <w:pStyle w:val="BodyText"/>
        <w:spacing w:before="9"/>
        <w:ind w:left="0" w:right="0" w:firstLine="0"/>
        <w:jc w:val="left"/>
        <w:rPr>
          <w:sz w:val="26"/>
        </w:rPr>
      </w:pPr>
    </w:p>
    <w:p>
      <w:pPr>
        <w:pStyle w:val="BodyText"/>
        <w:spacing w:line="218" w:lineRule="auto"/>
        <w:ind w:right="38"/>
      </w:pPr>
      <w:r>
        <w:rPr>
          <w:color w:val="231F20"/>
        </w:rPr>
        <w:t>La société peut, par requête adressée au président du tribunal de l’entreprise et notifiée préalablement au commissaire, demander l’auto- risation de ne point communiquer aux actionnaires les observations qui sont irrelevantes ou de nature à nuire injustement au crédit de la société. Le président du tribunal de l’entreprise entend la société et le commissaire en chambre du conseil et statue en audience publique. Sa décision n’est susceptible ni d’opposition ni d’appel.</w:t>
      </w:r>
    </w:p>
    <w:p>
      <w:pPr>
        <w:pStyle w:val="BodyText"/>
        <w:spacing w:before="7"/>
        <w:ind w:left="0" w:right="0" w:firstLine="0"/>
        <w:jc w:val="left"/>
        <w:rPr>
          <w:sz w:val="25"/>
        </w:rPr>
      </w:pPr>
    </w:p>
    <w:p>
      <w:pPr>
        <w:pStyle w:val="BodyText"/>
        <w:ind w:left="284" w:right="0" w:firstLine="0"/>
        <w:jc w:val="left"/>
      </w:pPr>
      <w:r>
        <w:rPr>
          <w:color w:val="231F20"/>
        </w:rPr>
        <w:t>Section 7. Compétences.</w:t>
      </w:r>
    </w:p>
    <w:p>
      <w:pPr>
        <w:pStyle w:val="BodyText"/>
        <w:spacing w:line="218" w:lineRule="auto" w:before="109"/>
        <w:ind w:right="38"/>
      </w:pPr>
      <w:r>
        <w:rPr>
          <w:color w:val="231F20"/>
        </w:rPr>
        <w:t>Art. 3:68. § 1</w:t>
      </w:r>
      <w:r>
        <w:rPr>
          <w:color w:val="231F20"/>
          <w:position w:val="7"/>
          <w:sz w:val="11"/>
        </w:rPr>
        <w:t>er</w:t>
      </w:r>
      <w:r>
        <w:rPr>
          <w:color w:val="231F20"/>
        </w:rPr>
        <w:t>. Les commissaires peuvent, à tout moment, prendre connaissance, sans déplacement, des livres, de la correspondance, des procès-verbaux et généralement de tous les documents et de toutes les écritures de la société. Ils peuvent requérir de l’organe d’administra- tion, des agents et des préposés de la société toutes les explications ou informations et procéder à toutes les vérifications qui leur paraissent nécessaires.</w:t>
      </w:r>
    </w:p>
    <w:p>
      <w:pPr>
        <w:pStyle w:val="BodyText"/>
        <w:spacing w:line="218" w:lineRule="auto" w:before="129"/>
        <w:ind w:right="38"/>
      </w:pPr>
      <w:r>
        <w:rPr>
          <w:color w:val="231F20"/>
        </w:rPr>
        <w:t>Ils peuvent requérir de l’organe d’administration d’être mis en possession, au siège de la société, d’informations relatives aux sociétés liées ou aux autres sociétés avec lesquelles il existe un lien de participation, dans la mesure où ces informations leur paraissent nécessaires pour contrôler la situation financière de la société.</w:t>
      </w:r>
    </w:p>
    <w:p>
      <w:pPr>
        <w:pStyle w:val="BodyText"/>
        <w:spacing w:before="8"/>
        <w:ind w:left="0" w:right="0" w:firstLine="0"/>
        <w:jc w:val="left"/>
        <w:rPr>
          <w:sz w:val="26"/>
        </w:rPr>
      </w:pPr>
    </w:p>
    <w:p>
      <w:pPr>
        <w:pStyle w:val="BodyText"/>
        <w:spacing w:line="218" w:lineRule="auto" w:before="1"/>
        <w:ind w:right="38"/>
      </w:pPr>
      <w:r>
        <w:rPr>
          <w:color w:val="231F20"/>
        </w:rPr>
        <w:t>Ils peuvent requérir de l’organe d’administration qu’il  demande</w:t>
      </w:r>
      <w:r>
        <w:rPr>
          <w:color w:val="231F20"/>
          <w:spacing w:val="21"/>
        </w:rPr>
        <w:t> </w:t>
      </w:r>
      <w:r>
        <w:rPr>
          <w:color w:val="231F20"/>
        </w:rPr>
        <w:t>à des tiers la confirmation du montant de leurs créances, dettes et autres relations avec la société</w:t>
      </w:r>
      <w:r>
        <w:rPr>
          <w:color w:val="231F20"/>
          <w:spacing w:val="17"/>
        </w:rPr>
        <w:t> </w:t>
      </w:r>
      <w:r>
        <w:rPr>
          <w:color w:val="231F20"/>
        </w:rPr>
        <w:t>contrôlée.</w:t>
      </w:r>
    </w:p>
    <w:p>
      <w:pPr>
        <w:pStyle w:val="BodyText"/>
        <w:spacing w:before="4"/>
        <w:ind w:left="0" w:right="0" w:firstLine="0"/>
        <w:jc w:val="left"/>
        <w:rPr>
          <w:sz w:val="25"/>
        </w:rPr>
      </w:pPr>
    </w:p>
    <w:p>
      <w:pPr>
        <w:pStyle w:val="BodyText"/>
        <w:spacing w:line="218" w:lineRule="auto" w:before="1"/>
        <w:ind w:right="38"/>
      </w:pPr>
      <w:r>
        <w:rPr>
          <w:color w:val="231F20"/>
        </w:rPr>
        <w:t>§ 2. Les pouvoirs visés au paragraphe 1</w:t>
      </w:r>
      <w:r>
        <w:rPr>
          <w:color w:val="231F20"/>
          <w:position w:val="7"/>
          <w:sz w:val="11"/>
        </w:rPr>
        <w:t>er </w:t>
      </w:r>
      <w:r>
        <w:rPr>
          <w:color w:val="231F20"/>
        </w:rPr>
        <w:t>peuvent être exercés par les commissaires conjointement ou individuellement.</w:t>
      </w:r>
    </w:p>
    <w:p>
      <w:pPr>
        <w:pStyle w:val="BodyText"/>
        <w:spacing w:line="218" w:lineRule="auto" w:before="128"/>
        <w:ind w:right="38"/>
      </w:pPr>
      <w:r>
        <w:rPr>
          <w:color w:val="231F20"/>
        </w:rPr>
        <w:t>Si plusieurs commissaires ont été nommés, ils forment un collège. Ils peuvent se répartir entre eux les charges du contrôle de la société.</w:t>
      </w:r>
    </w:p>
    <w:p>
      <w:pPr>
        <w:pStyle w:val="BodyText"/>
        <w:spacing w:before="8"/>
        <w:ind w:left="0" w:right="0" w:firstLine="0"/>
        <w:jc w:val="left"/>
        <w:rPr>
          <w:sz w:val="26"/>
        </w:rPr>
      </w:pPr>
    </w:p>
    <w:p>
      <w:pPr>
        <w:pStyle w:val="BodyText"/>
        <w:spacing w:line="218" w:lineRule="auto"/>
        <w:ind w:right="38"/>
      </w:pPr>
      <w:r>
        <w:rPr>
          <w:color w:val="231F20"/>
        </w:rPr>
        <w:t>Il leur est remis chaque semestre au moins par l’organe d’adminis- tration un état comptable établi selon le schéma du bilan et du compte de résultats.</w:t>
      </w:r>
    </w:p>
    <w:p>
      <w:pPr>
        <w:pStyle w:val="BodyText"/>
        <w:spacing w:line="218" w:lineRule="auto" w:before="119"/>
        <w:ind w:firstLine="0"/>
      </w:pPr>
      <w:r>
        <w:rPr/>
        <w:br w:type="column"/>
      </w:r>
      <w:r>
        <w:rPr>
          <w:color w:val="231F20"/>
        </w:rPr>
        <w:t>daarvan in kennis en bespreekt hij met het auditcomité de bedreigingen voor zijn onafhankelijkheid en de genomen veiligheidsmaatregelen om die bedreigingen in te perken.</w:t>
      </w:r>
    </w:p>
    <w:p>
      <w:pPr>
        <w:pStyle w:val="BodyText"/>
        <w:spacing w:before="104"/>
        <w:ind w:left="283" w:right="0" w:firstLine="0"/>
        <w:jc w:val="left"/>
      </w:pPr>
      <w:r>
        <w:rPr>
          <w:color w:val="231F20"/>
          <w:w w:val="105"/>
        </w:rPr>
        <w:t>Afdeling 6. Ontslag en opzegging.</w:t>
      </w:r>
    </w:p>
    <w:p>
      <w:pPr>
        <w:pStyle w:val="BodyText"/>
        <w:spacing w:line="218" w:lineRule="auto" w:before="114"/>
      </w:pPr>
      <w:r>
        <w:rPr>
          <w:color w:val="231F20"/>
        </w:rPr>
        <w:t>Art. 3:66. § 1. Op straffe van schadevergoeding kan de commissaris tijdens zijn opdracht alleen om wettige redenen worden opgezegd door de algemene vergadering. Meer in het bijzonder is een verschil van mening over een boekhoudkundige verwerking of een controleproce- dure op zich geen wettige reden voor opzegging.</w:t>
      </w:r>
    </w:p>
    <w:p>
      <w:pPr>
        <w:pStyle w:val="BodyText"/>
        <w:spacing w:line="218" w:lineRule="auto" w:before="118"/>
      </w:pPr>
      <w:r>
        <w:rPr>
          <w:color w:val="231F20"/>
        </w:rPr>
        <w:t>In geval van een wettelijke controle van een organisatie van openbaar belang bedoeld in artikel 1:12, kan een verzoek worden ingediend voor de opzegging van de commissaris, indien daartoe gegronde redenen bestaan, bij de ondernemingsrechtbank door:</w:t>
      </w:r>
    </w:p>
    <w:p>
      <w:pPr>
        <w:pStyle w:val="BodyText"/>
        <w:spacing w:line="218" w:lineRule="auto" w:before="117"/>
      </w:pPr>
      <w:r>
        <w:rPr>
          <w:color w:val="231F20"/>
        </w:rPr>
        <w:t>1° elke aandeelhouder die minstens vijf procent van de stemrechten of van het kapitaal</w:t>
      </w:r>
      <w:r>
        <w:rPr>
          <w:color w:val="231F20"/>
          <w:spacing w:val="22"/>
        </w:rPr>
        <w:t> </w:t>
      </w:r>
      <w:r>
        <w:rPr>
          <w:color w:val="231F20"/>
        </w:rPr>
        <w:t>vertegenwoordigt;</w:t>
      </w:r>
    </w:p>
    <w:p>
      <w:pPr>
        <w:pStyle w:val="BodyText"/>
        <w:spacing w:line="218" w:lineRule="auto" w:before="118"/>
      </w:pPr>
      <w:r>
        <w:rPr>
          <w:color w:val="231F20"/>
        </w:rPr>
        <w:t>2° het College van toezicht op de bedrijfsrevisoren, bedoeld  in  artikel 32 van de wet 7 december 2016 houdende de organisatie van het beroep</w:t>
      </w:r>
      <w:r>
        <w:rPr>
          <w:color w:val="231F20"/>
          <w:spacing w:val="15"/>
        </w:rPr>
        <w:t> </w:t>
      </w:r>
      <w:r>
        <w:rPr>
          <w:color w:val="231F20"/>
        </w:rPr>
        <w:t>van</w:t>
      </w:r>
      <w:r>
        <w:rPr>
          <w:color w:val="231F20"/>
          <w:spacing w:val="16"/>
        </w:rPr>
        <w:t> </w:t>
      </w:r>
      <w:r>
        <w:rPr>
          <w:color w:val="231F20"/>
        </w:rPr>
        <w:t>en</w:t>
      </w:r>
      <w:r>
        <w:rPr>
          <w:color w:val="231F20"/>
          <w:spacing w:val="16"/>
        </w:rPr>
        <w:t> </w:t>
      </w:r>
      <w:r>
        <w:rPr>
          <w:color w:val="231F20"/>
        </w:rPr>
        <w:t>het</w:t>
      </w:r>
      <w:r>
        <w:rPr>
          <w:color w:val="231F20"/>
          <w:spacing w:val="16"/>
        </w:rPr>
        <w:t> </w:t>
      </w:r>
      <w:r>
        <w:rPr>
          <w:color w:val="231F20"/>
        </w:rPr>
        <w:t>publiek</w:t>
      </w:r>
      <w:r>
        <w:rPr>
          <w:color w:val="231F20"/>
          <w:spacing w:val="16"/>
        </w:rPr>
        <w:t> </w:t>
      </w:r>
      <w:r>
        <w:rPr>
          <w:color w:val="231F20"/>
        </w:rPr>
        <w:t>toezicht</w:t>
      </w:r>
      <w:r>
        <w:rPr>
          <w:color w:val="231F20"/>
          <w:spacing w:val="16"/>
        </w:rPr>
        <w:t> </w:t>
      </w:r>
      <w:r>
        <w:rPr>
          <w:color w:val="231F20"/>
        </w:rPr>
        <w:t>op</w:t>
      </w:r>
      <w:r>
        <w:rPr>
          <w:color w:val="231F20"/>
          <w:spacing w:val="16"/>
        </w:rPr>
        <w:t> </w:t>
      </w:r>
      <w:r>
        <w:rPr>
          <w:color w:val="231F20"/>
        </w:rPr>
        <w:t>de</w:t>
      </w:r>
      <w:r>
        <w:rPr>
          <w:color w:val="231F20"/>
          <w:spacing w:val="16"/>
        </w:rPr>
        <w:t> </w:t>
      </w:r>
      <w:r>
        <w:rPr>
          <w:color w:val="231F20"/>
        </w:rPr>
        <w:t>bedrijfsrevisoren.</w:t>
      </w:r>
    </w:p>
    <w:p>
      <w:pPr>
        <w:pStyle w:val="BodyText"/>
        <w:spacing w:line="218" w:lineRule="auto" w:before="128"/>
        <w:ind w:right="123"/>
      </w:pPr>
      <w:r>
        <w:rPr>
          <w:color w:val="231F20"/>
        </w:rPr>
        <w:t>Behoudens gewichtige persoonlijke redenen mag de commissaris tijdens zijn opdracht geen ontslag nemen tenzij ter algemene vergade- ring en na deze schriftelijk te hebben ingelicht over de beweegredenen van zijn ontslag.</w:t>
      </w:r>
    </w:p>
    <w:p>
      <w:pPr>
        <w:pStyle w:val="BodyText"/>
        <w:spacing w:line="218" w:lineRule="auto" w:before="128"/>
      </w:pPr>
      <w:r>
        <w:rPr>
          <w:color w:val="231F20"/>
        </w:rPr>
        <w:t>§ 2. De gecontroleerde vennootschap en de commissaris stellen het College van toezicht op de bedrijfsrevisoren, bedoeld in artikel 32 van de wet 7 december 2016 houdende de organisatie van het beroep van en het publiek toezicht op de bedrijfsrevisoren, in kennis hetzij van het ontslag, hetzij van de opzegging van de commissaris tijdens zijn opdracht en zetten op afdoende wijze de redenen hiervoor uiteen, ongeacht of de voortijdige onderbreking van het mandaat al dan niet in onderling overleg is overeengekomen.</w:t>
      </w:r>
    </w:p>
    <w:p>
      <w:pPr>
        <w:pStyle w:val="BodyText"/>
        <w:spacing w:line="218" w:lineRule="auto" w:before="129"/>
      </w:pPr>
      <w:r>
        <w:rPr>
          <w:color w:val="231F20"/>
        </w:rPr>
        <w:t>Art. 3:67. </w:t>
      </w:r>
      <w:r>
        <w:rPr>
          <w:color w:val="231F20"/>
          <w:spacing w:val="-3"/>
        </w:rPr>
        <w:t>Wanneer </w:t>
      </w:r>
      <w:r>
        <w:rPr>
          <w:color w:val="231F20"/>
        </w:rPr>
        <w:t>de algemene vergadering zich moet uitspreken over de opzegging van een commissaris, wordt aan de betrokkene onmiddellijk kennis gegeven van de inschrijving van deze aangelegen- heid op de agenda. De commissaris kan aan de vennootschap schriftelijk kennis geven van zijn opmerkingen. Deze opmerkingen worden aangekondigd op de agenda, ter beschikking gesteld van de aandeelhouders,</w:t>
      </w:r>
      <w:r>
        <w:rPr>
          <w:color w:val="231F20"/>
          <w:spacing w:val="-12"/>
        </w:rPr>
        <w:t> </w:t>
      </w:r>
      <w:r>
        <w:rPr>
          <w:color w:val="231F20"/>
        </w:rPr>
        <w:t>overeenkomstig</w:t>
      </w:r>
      <w:r>
        <w:rPr>
          <w:color w:val="231F20"/>
          <w:spacing w:val="-11"/>
        </w:rPr>
        <w:t> </w:t>
      </w:r>
      <w:r>
        <w:rPr>
          <w:color w:val="231F20"/>
        </w:rPr>
        <w:t>de</w:t>
      </w:r>
      <w:r>
        <w:rPr>
          <w:color w:val="231F20"/>
          <w:spacing w:val="-12"/>
        </w:rPr>
        <w:t> </w:t>
      </w:r>
      <w:r>
        <w:rPr>
          <w:color w:val="231F20"/>
        </w:rPr>
        <w:t>artikelen</w:t>
      </w:r>
      <w:r>
        <w:rPr>
          <w:color w:val="231F20"/>
          <w:spacing w:val="-11"/>
        </w:rPr>
        <w:t> </w:t>
      </w:r>
      <w:r>
        <w:rPr>
          <w:color w:val="231F20"/>
        </w:rPr>
        <w:t>5:84,</w:t>
      </w:r>
      <w:r>
        <w:rPr>
          <w:color w:val="231F20"/>
          <w:spacing w:val="-11"/>
        </w:rPr>
        <w:t> </w:t>
      </w:r>
      <w:r>
        <w:rPr>
          <w:color w:val="231F20"/>
        </w:rPr>
        <w:t>6:70,</w:t>
      </w:r>
      <w:r>
        <w:rPr>
          <w:color w:val="231F20"/>
          <w:spacing w:val="-12"/>
        </w:rPr>
        <w:t> </w:t>
      </w:r>
      <w:r>
        <w:rPr>
          <w:color w:val="231F20"/>
        </w:rPr>
        <w:t>§</w:t>
      </w:r>
      <w:r>
        <w:rPr>
          <w:color w:val="231F20"/>
          <w:spacing w:val="-11"/>
        </w:rPr>
        <w:t> </w:t>
      </w:r>
      <w:r>
        <w:rPr>
          <w:color w:val="231F20"/>
        </w:rPr>
        <w:t>2,</w:t>
      </w:r>
      <w:r>
        <w:rPr>
          <w:color w:val="231F20"/>
          <w:spacing w:val="-11"/>
        </w:rPr>
        <w:t> </w:t>
      </w:r>
      <w:r>
        <w:rPr>
          <w:color w:val="231F20"/>
        </w:rPr>
        <w:t>en</w:t>
      </w:r>
      <w:r>
        <w:rPr>
          <w:color w:val="231F20"/>
          <w:spacing w:val="-12"/>
        </w:rPr>
        <w:t> </w:t>
      </w:r>
      <w:r>
        <w:rPr>
          <w:color w:val="231F20"/>
        </w:rPr>
        <w:t>7:132.</w:t>
      </w:r>
      <w:r>
        <w:rPr>
          <w:color w:val="231F20"/>
          <w:spacing w:val="-11"/>
        </w:rPr>
        <w:t> </w:t>
      </w:r>
      <w:r>
        <w:rPr>
          <w:color w:val="231F20"/>
        </w:rPr>
        <w:t>In voorkomend geval wordt zonder verwijl ook een kopie gezonden aan diegenen die voldaan hebben aan de formaliteiten die voor de toelating tot</w:t>
      </w:r>
      <w:r>
        <w:rPr>
          <w:color w:val="231F20"/>
          <w:spacing w:val="16"/>
        </w:rPr>
        <w:t> </w:t>
      </w:r>
      <w:r>
        <w:rPr>
          <w:color w:val="231F20"/>
        </w:rPr>
        <w:t>de</w:t>
      </w:r>
      <w:r>
        <w:rPr>
          <w:color w:val="231F20"/>
          <w:spacing w:val="16"/>
        </w:rPr>
        <w:t> </w:t>
      </w:r>
      <w:r>
        <w:rPr>
          <w:color w:val="231F20"/>
        </w:rPr>
        <w:t>algemene</w:t>
      </w:r>
      <w:r>
        <w:rPr>
          <w:color w:val="231F20"/>
          <w:spacing w:val="17"/>
        </w:rPr>
        <w:t> </w:t>
      </w:r>
      <w:r>
        <w:rPr>
          <w:color w:val="231F20"/>
        </w:rPr>
        <w:t>vergadering</w:t>
      </w:r>
      <w:r>
        <w:rPr>
          <w:color w:val="231F20"/>
          <w:spacing w:val="16"/>
        </w:rPr>
        <w:t> </w:t>
      </w:r>
      <w:r>
        <w:rPr>
          <w:color w:val="231F20"/>
        </w:rPr>
        <w:t>zijn</w:t>
      </w:r>
      <w:r>
        <w:rPr>
          <w:color w:val="231F20"/>
          <w:spacing w:val="16"/>
        </w:rPr>
        <w:t> </w:t>
      </w:r>
      <w:r>
        <w:rPr>
          <w:color w:val="231F20"/>
        </w:rPr>
        <w:t>voorgeschreven.</w:t>
      </w:r>
    </w:p>
    <w:p>
      <w:pPr>
        <w:pStyle w:val="BodyText"/>
        <w:spacing w:line="218" w:lineRule="auto" w:before="128"/>
      </w:pPr>
      <w:r>
        <w:rPr>
          <w:color w:val="231F20"/>
        </w:rPr>
        <w:t>De vennootschap kan, bij een verzoekschrift waarvan vooraf aan de commissaris kennis wordt gegeven, aan de voorzitter van de onderne- mingsrechtbank toestemming vragen om de aandeelhouders geen kennis te geven van de opmerkingen die niet ter zake dienen of het aanzien van de vennootschap op onverantwoorde wijze kunnen schaden. De voorzitter van de rechtbank hoort de vennootschap en de commissaris in raadkamer en doet uitspraak in openbare terechtzitting. Tegen die beslissing staat geen verzet of hoger beroep open.</w:t>
      </w:r>
    </w:p>
    <w:p>
      <w:pPr>
        <w:pStyle w:val="BodyText"/>
        <w:spacing w:before="115"/>
        <w:ind w:left="283" w:right="0" w:firstLine="0"/>
        <w:jc w:val="left"/>
      </w:pPr>
      <w:r>
        <w:rPr>
          <w:color w:val="231F20"/>
        </w:rPr>
        <w:t>Afdeling 7. Bevoegdheden.</w:t>
      </w:r>
    </w:p>
    <w:p>
      <w:pPr>
        <w:pStyle w:val="BodyText"/>
        <w:spacing w:line="218" w:lineRule="auto" w:before="125"/>
      </w:pPr>
      <w:r>
        <w:rPr>
          <w:color w:val="231F20"/>
        </w:rPr>
        <w:t>Art. 3:68. § 1. De commissarissen kunnen op elk ogenblik ter plaatse inzage nemen van de boeken, brieven, notulen en in het algemeen van alle documenten en geschriften van de vennootschap. Zij kunnen van het bestuursorgaan, van de gemachtigden en van de aangestelden van de vennootschap alle ophelderingen en inlichtingen vorderen en alle verificaties verrichten die zij nodig achten.</w:t>
      </w:r>
    </w:p>
    <w:p>
      <w:pPr>
        <w:pStyle w:val="BodyText"/>
        <w:spacing w:before="8"/>
        <w:ind w:left="0" w:right="0" w:firstLine="0"/>
        <w:jc w:val="left"/>
        <w:rPr>
          <w:sz w:val="26"/>
        </w:rPr>
      </w:pPr>
    </w:p>
    <w:p>
      <w:pPr>
        <w:pStyle w:val="BodyText"/>
        <w:spacing w:line="218" w:lineRule="auto"/>
      </w:pPr>
      <w:r>
        <w:rPr>
          <w:color w:val="231F20"/>
        </w:rPr>
        <w:t>Zij kunnen van het bestuursorgaan vorderen ter zetel van de vennootschap in het bezit te worden gesteld van inlichtingen betref- fende verbonden vennootschappen of </w:t>
      </w:r>
      <w:r>
        <w:rPr>
          <w:color w:val="231F20"/>
          <w:spacing w:val="-3"/>
        </w:rPr>
        <w:t>betreffende </w:t>
      </w:r>
      <w:r>
        <w:rPr>
          <w:color w:val="231F20"/>
        </w:rPr>
        <w:t>andere</w:t>
      </w:r>
      <w:r>
        <w:rPr>
          <w:color w:val="231F20"/>
          <w:spacing w:val="-29"/>
        </w:rPr>
        <w:t> </w:t>
      </w:r>
      <w:r>
        <w:rPr>
          <w:color w:val="231F20"/>
        </w:rPr>
        <w:t>vennootschap- pen waarmee een deelnemingsverhouding bestaat, voorzover zij deze inlichtingen nodig achten om de financiële toestand van de vennoot- schap te</w:t>
      </w:r>
      <w:r>
        <w:rPr>
          <w:color w:val="231F20"/>
          <w:spacing w:val="-12"/>
        </w:rPr>
        <w:t> </w:t>
      </w:r>
      <w:r>
        <w:rPr>
          <w:color w:val="231F20"/>
        </w:rPr>
        <w:t>controleren.</w:t>
      </w:r>
    </w:p>
    <w:p>
      <w:pPr>
        <w:pStyle w:val="BodyText"/>
        <w:spacing w:line="218" w:lineRule="auto" w:before="129"/>
      </w:pPr>
      <w:r>
        <w:rPr>
          <w:color w:val="231F20"/>
        </w:rPr>
        <w:t>Zij kunnen van het bestuursorgaan vorderen dat het aan derden de bevestiging vraagt van het bedrag van de vorderingen op, de schulden tegenover of van andere betrekkingen met de gecontroleerde vennoot- schap.</w:t>
      </w:r>
    </w:p>
    <w:p>
      <w:pPr>
        <w:pStyle w:val="BodyText"/>
        <w:spacing w:line="218" w:lineRule="auto" w:before="128"/>
      </w:pPr>
      <w:r>
        <w:rPr>
          <w:color w:val="231F20"/>
        </w:rPr>
        <w:t>§ 2. De bevoegdheden bedoeld in paragraaf 1 kunnen door de commissarissen, alleen of gezamenlijk handelend, worden uitgeoefend.</w:t>
      </w:r>
    </w:p>
    <w:p>
      <w:pPr>
        <w:pStyle w:val="BodyText"/>
        <w:spacing w:line="218" w:lineRule="auto" w:before="128"/>
      </w:pPr>
      <w:r>
        <w:rPr>
          <w:color w:val="231F20"/>
        </w:rPr>
        <w:t>Wanneer er verscheidene commissarissen zijn benoemd vormen zij een college. Zij kunnen de controle op de vennootschap onder elkaar verdelen.</w:t>
      </w:r>
    </w:p>
    <w:p>
      <w:pPr>
        <w:pStyle w:val="BodyText"/>
        <w:spacing w:line="218" w:lineRule="auto" w:before="128"/>
      </w:pPr>
      <w:r>
        <w:rPr>
          <w:color w:val="231F20"/>
        </w:rPr>
        <w:t>Ten minste halfjaarlijks bezorgt het bestuursorgaan hun een boek- houdkundige staat, opgesteld volgens het schema van balans en resultatenrekening.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91"/>
      </w:pPr>
      <w:r>
        <w:rPr/>
        <w:pict>
          <v:line style="position:absolute;mso-position-horizontal-relative:page;mso-position-vertical-relative:page;z-index:2848" from="298.170502pt,64.473pt" to="298.170502pt,812.819pt" stroked="true" strokeweight=".533pt" strokecolor="#231f20">
            <v:stroke dashstyle="solid"/>
            <w10:wrap type="none"/>
          </v:line>
        </w:pict>
      </w:r>
      <w:bookmarkStart w:name="_bookmark76" w:id="81"/>
      <w:bookmarkEnd w:id="81"/>
      <w:r>
        <w:rPr/>
      </w:r>
      <w:r>
        <w:rPr>
          <w:color w:val="231F20"/>
        </w:rPr>
        <w:t>Art. 3:69. Les commissaires qui constatent dans l’exercice de leur mission, des faits graves et concordants susceptibles de compromettre la continuité de l’activité économique de la société, en informent l’organe d’administration par écrit et de manière circonstanciée.</w:t>
      </w:r>
    </w:p>
    <w:p>
      <w:pPr>
        <w:pStyle w:val="BodyText"/>
        <w:spacing w:before="10"/>
        <w:ind w:left="0" w:right="0" w:firstLine="0"/>
        <w:jc w:val="left"/>
        <w:rPr>
          <w:sz w:val="23"/>
        </w:rPr>
      </w:pPr>
    </w:p>
    <w:p>
      <w:pPr>
        <w:pStyle w:val="BodyText"/>
        <w:spacing w:line="218" w:lineRule="auto"/>
        <w:ind w:right="90"/>
      </w:pPr>
      <w:r>
        <w:rPr>
          <w:color w:val="231F20"/>
        </w:rPr>
        <w:t>Dans ce cas, l’organe d’administration doit délibérer sur les mesures qui devraient être prises pour assurer la continuité de l’activité économique de la société pendant une période minimale de douze mois.</w:t>
      </w:r>
    </w:p>
    <w:p>
      <w:pPr>
        <w:pStyle w:val="BodyText"/>
        <w:spacing w:line="218" w:lineRule="auto" w:before="97"/>
        <w:ind w:right="89"/>
      </w:pPr>
      <w:r>
        <w:rPr>
          <w:color w:val="231F20"/>
        </w:rPr>
        <w:t>Si dans un délai d’un mois à dater de la communication de l’information visée au premier alinéa, les commissaires n’ont pas été informés de la délibération de l’organe d’administration sur les mesures prises ou envisagées pour assurer la continuité de l’activité économique pendant une période minimale de douze mois, ou s’ils estiment que ces mesures ne sont pas susceptibles d’assurer la continuité de l’activité économique pendant une période minimale de douze mois ils peuvent communiquer par écrit leurs constatations au président du tribunal de l’entreprise. Dans ce cas, l’article 458 du Code pénal n’est pas</w:t>
      </w:r>
      <w:r>
        <w:rPr>
          <w:color w:val="231F20"/>
          <w:spacing w:val="4"/>
        </w:rPr>
        <w:t> </w:t>
      </w:r>
      <w:r>
        <w:rPr>
          <w:color w:val="231F20"/>
        </w:rPr>
        <w:t>applicable.</w:t>
      </w:r>
    </w:p>
    <w:p>
      <w:pPr>
        <w:pStyle w:val="BodyText"/>
        <w:spacing w:line="218" w:lineRule="auto" w:before="107"/>
        <w:ind w:right="90"/>
      </w:pPr>
      <w:r>
        <w:rPr>
          <w:color w:val="231F20"/>
        </w:rPr>
        <w:t>Art. 3:70. Les commissaires peuvent, dans l’exercice de leur fonction, et à leurs frais, se faire assister par des préposés ou d’autres personnes dont ils répondent.</w:t>
      </w:r>
    </w:p>
    <w:p>
      <w:pPr>
        <w:pStyle w:val="BodyText"/>
        <w:spacing w:before="93"/>
        <w:ind w:left="283" w:right="0" w:firstLine="0"/>
        <w:jc w:val="left"/>
      </w:pPr>
      <w:r>
        <w:rPr>
          <w:color w:val="231F20"/>
        </w:rPr>
        <w:t>Section 8. Responsabilité.</w:t>
      </w:r>
    </w:p>
    <w:p>
      <w:pPr>
        <w:pStyle w:val="BodyText"/>
        <w:spacing w:line="216" w:lineRule="auto" w:before="105"/>
        <w:ind w:right="89"/>
      </w:pPr>
      <w:r>
        <w:rPr>
          <w:color w:val="231F20"/>
        </w:rPr>
        <w:t>Art. 3:71. Sans préjudice de la limitation de la responsabilité conformément à l’article 24, § 1</w:t>
      </w:r>
      <w:r>
        <w:rPr>
          <w:color w:val="231F20"/>
          <w:position w:val="7"/>
          <w:sz w:val="11"/>
        </w:rPr>
        <w:t>er</w:t>
      </w:r>
      <w:r>
        <w:rPr>
          <w:color w:val="231F20"/>
        </w:rPr>
        <w:t>, de la loi </w:t>
      </w:r>
      <w:r>
        <w:rPr>
          <w:color w:val="231F20"/>
          <w:spacing w:val="4"/>
        </w:rPr>
        <w:t>du </w:t>
      </w:r>
      <w:r>
        <w:rPr>
          <w:color w:val="231F20"/>
        </w:rPr>
        <w:t>7 décembre 2016 portant organisation de la profession et de la supervision publique des  réviseurs d’entreprises, les commissaires sont responsables envers la personne morale des fautes commises par eux dans l’accomplissement de leurs fonctions. Ils répondent solidairement tant envers la personne morale qu’envers les tiers de tout dommage résultant d’infractions aux dispositions</w:t>
      </w:r>
      <w:r>
        <w:rPr>
          <w:color w:val="231F20"/>
          <w:spacing w:val="15"/>
        </w:rPr>
        <w:t> </w:t>
      </w:r>
      <w:r>
        <w:rPr>
          <w:color w:val="231F20"/>
        </w:rPr>
        <w:t>du</w:t>
      </w:r>
      <w:r>
        <w:rPr>
          <w:color w:val="231F20"/>
          <w:spacing w:val="16"/>
        </w:rPr>
        <w:t> </w:t>
      </w:r>
      <w:r>
        <w:rPr>
          <w:color w:val="231F20"/>
        </w:rPr>
        <w:t>présent</w:t>
      </w:r>
      <w:r>
        <w:rPr>
          <w:color w:val="231F20"/>
          <w:spacing w:val="15"/>
        </w:rPr>
        <w:t> </w:t>
      </w:r>
      <w:r>
        <w:rPr>
          <w:color w:val="231F20"/>
        </w:rPr>
        <w:t>code</w:t>
      </w:r>
      <w:r>
        <w:rPr>
          <w:color w:val="231F20"/>
          <w:spacing w:val="16"/>
        </w:rPr>
        <w:t> </w:t>
      </w:r>
      <w:r>
        <w:rPr>
          <w:color w:val="231F20"/>
        </w:rPr>
        <w:t>ou</w:t>
      </w:r>
      <w:r>
        <w:rPr>
          <w:color w:val="231F20"/>
          <w:spacing w:val="15"/>
        </w:rPr>
        <w:t> </w:t>
      </w:r>
      <w:r>
        <w:rPr>
          <w:color w:val="231F20"/>
        </w:rPr>
        <w:t>des</w:t>
      </w:r>
      <w:r>
        <w:rPr>
          <w:color w:val="231F20"/>
          <w:spacing w:val="16"/>
        </w:rPr>
        <w:t> </w:t>
      </w:r>
      <w:r>
        <w:rPr>
          <w:color w:val="231F20"/>
        </w:rPr>
        <w:t>statuts.</w:t>
      </w:r>
    </w:p>
    <w:p>
      <w:pPr>
        <w:pStyle w:val="BodyText"/>
        <w:spacing w:line="218" w:lineRule="auto" w:before="106"/>
        <w:ind w:right="90"/>
      </w:pPr>
      <w:r>
        <w:rPr>
          <w:color w:val="231F20"/>
        </w:rPr>
        <w:t>Ils ne sont déchargés de leur responsabilité, quant aux infractions auxquelles ils n’ont pas pris part, que s’ils prouvent qu’ils ont accompli les diligences normales de leur fonction et qu’ils ont dénoncé ces infractions à l’organe d’administration et, le cas échéant, s’il n’y a pas été remédié de façon adéquate, à l’assemblée générale la plus prochaine après qu’ils en auront eu connaissance.</w:t>
      </w:r>
    </w:p>
    <w:p>
      <w:pPr>
        <w:pStyle w:val="BodyText"/>
        <w:spacing w:before="7"/>
        <w:ind w:left="0" w:right="0" w:firstLine="0"/>
        <w:jc w:val="left"/>
        <w:rPr>
          <w:sz w:val="23"/>
        </w:rPr>
      </w:pPr>
    </w:p>
    <w:p>
      <w:pPr>
        <w:pStyle w:val="BodyText"/>
        <w:ind w:left="283" w:right="0" w:firstLine="0"/>
        <w:jc w:val="left"/>
      </w:pPr>
      <w:r>
        <w:rPr>
          <w:color w:val="231F20"/>
        </w:rPr>
        <w:t>CHAPITRE 2. Contrôle légal des comptes annuels.</w:t>
      </w:r>
    </w:p>
    <w:p>
      <w:pPr>
        <w:pStyle w:val="BodyText"/>
        <w:spacing w:line="216" w:lineRule="auto" w:before="105"/>
        <w:ind w:right="90"/>
      </w:pPr>
      <w:r>
        <w:rPr>
          <w:color w:val="231F20"/>
        </w:rPr>
        <w:t>Art. 3:72. Sauf s’il s’agit d’une des sociétés visées à l’article 3:1, § 3, 1°, 2° ou 4°, ou d’une entreprise d’investissement ayant le statut de société de bourse en  vertu  de  l’article  6,  §  1</w:t>
      </w:r>
      <w:r>
        <w:rPr>
          <w:color w:val="231F20"/>
          <w:position w:val="7"/>
          <w:sz w:val="11"/>
        </w:rPr>
        <w:t>er</w:t>
      </w:r>
      <w:r>
        <w:rPr>
          <w:color w:val="231F20"/>
        </w:rPr>
        <w:t>,  1°,  de  la  loi  du  25  octo-  bre 2016 relative à l’accès à l’activité de prestation de services d’investissement et au statut et au contrôle des sociétés de gestion de portefeuille et de conseil en investissement, le présent chapitre n’est</w:t>
      </w:r>
      <w:r>
        <w:rPr>
          <w:color w:val="231F20"/>
          <w:spacing w:val="-22"/>
        </w:rPr>
        <w:t> </w:t>
      </w:r>
      <w:r>
        <w:rPr>
          <w:color w:val="231F20"/>
        </w:rPr>
        <w:t>pas applicable:</w:t>
      </w:r>
    </w:p>
    <w:p>
      <w:pPr>
        <w:pStyle w:val="BodyText"/>
        <w:spacing w:line="218" w:lineRule="auto" w:before="105"/>
        <w:ind w:right="90"/>
      </w:pPr>
      <w:r>
        <w:rPr>
          <w:color w:val="231F20"/>
        </w:rPr>
        <w:t>1° aux sociétés en nom collectif, aux sociétés en commandite et aux groupements européen d’intérêt économique dont tous les associés à responsabilité illimitée sont des personnes physiques;</w:t>
      </w:r>
    </w:p>
    <w:p>
      <w:pPr>
        <w:pStyle w:val="BodyText"/>
        <w:spacing w:line="218" w:lineRule="auto" w:before="106"/>
        <w:ind w:right="90"/>
      </w:pPr>
      <w:r>
        <w:rPr>
          <w:color w:val="231F20"/>
        </w:rPr>
        <w:t>2°</w:t>
      </w:r>
      <w:r>
        <w:rPr>
          <w:color w:val="231F20"/>
          <w:spacing w:val="-4"/>
        </w:rPr>
        <w:t> </w:t>
      </w:r>
      <w:r>
        <w:rPr>
          <w:color w:val="231F20"/>
        </w:rPr>
        <w:t>aux</w:t>
      </w:r>
      <w:r>
        <w:rPr>
          <w:color w:val="231F20"/>
          <w:spacing w:val="-3"/>
        </w:rPr>
        <w:t> </w:t>
      </w:r>
      <w:r>
        <w:rPr>
          <w:color w:val="231F20"/>
        </w:rPr>
        <w:t>petites</w:t>
      </w:r>
      <w:r>
        <w:rPr>
          <w:color w:val="231F20"/>
          <w:spacing w:val="-4"/>
        </w:rPr>
        <w:t> </w:t>
      </w:r>
      <w:r>
        <w:rPr>
          <w:color w:val="231F20"/>
        </w:rPr>
        <w:t>sociétés</w:t>
      </w:r>
      <w:r>
        <w:rPr>
          <w:color w:val="231F20"/>
          <w:spacing w:val="-3"/>
        </w:rPr>
        <w:t> </w:t>
      </w:r>
      <w:r>
        <w:rPr>
          <w:color w:val="231F20"/>
        </w:rPr>
        <w:t>visées</w:t>
      </w:r>
      <w:r>
        <w:rPr>
          <w:color w:val="231F20"/>
          <w:spacing w:val="-3"/>
        </w:rPr>
        <w:t> </w:t>
      </w:r>
      <w:r>
        <w:rPr>
          <w:color w:val="231F20"/>
        </w:rPr>
        <w:t>à</w:t>
      </w:r>
      <w:r>
        <w:rPr>
          <w:color w:val="231F20"/>
          <w:spacing w:val="-4"/>
        </w:rPr>
        <w:t> </w:t>
      </w:r>
      <w:r>
        <w:rPr>
          <w:color w:val="231F20"/>
        </w:rPr>
        <w:t>l’article</w:t>
      </w:r>
      <w:r>
        <w:rPr>
          <w:color w:val="231F20"/>
          <w:spacing w:val="-3"/>
        </w:rPr>
        <w:t> </w:t>
      </w:r>
      <w:r>
        <w:rPr>
          <w:color w:val="231F20"/>
        </w:rPr>
        <w:t>1:24,</w:t>
      </w:r>
      <w:r>
        <w:rPr>
          <w:color w:val="231F20"/>
          <w:spacing w:val="-3"/>
        </w:rPr>
        <w:t> </w:t>
      </w:r>
      <w:r>
        <w:rPr>
          <w:color w:val="231F20"/>
        </w:rPr>
        <w:t>non</w:t>
      </w:r>
      <w:r>
        <w:rPr>
          <w:color w:val="231F20"/>
          <w:spacing w:val="-4"/>
        </w:rPr>
        <w:t> </w:t>
      </w:r>
      <w:r>
        <w:rPr>
          <w:color w:val="231F20"/>
        </w:rPr>
        <w:t>cotées,</w:t>
      </w:r>
      <w:r>
        <w:rPr>
          <w:color w:val="231F20"/>
          <w:spacing w:val="-3"/>
        </w:rPr>
        <w:t> </w:t>
      </w:r>
      <w:r>
        <w:rPr>
          <w:color w:val="231F20"/>
        </w:rPr>
        <w:t>ou</w:t>
      </w:r>
      <w:r>
        <w:rPr>
          <w:color w:val="231F20"/>
          <w:spacing w:val="-3"/>
        </w:rPr>
        <w:t> </w:t>
      </w:r>
      <w:r>
        <w:rPr>
          <w:color w:val="231F20"/>
        </w:rPr>
        <w:t>aux</w:t>
      </w:r>
      <w:r>
        <w:rPr>
          <w:color w:val="231F20"/>
          <w:spacing w:val="-4"/>
        </w:rPr>
        <w:t> </w:t>
      </w:r>
      <w:r>
        <w:rPr>
          <w:color w:val="231F20"/>
        </w:rPr>
        <w:t>petites sociétés qui ne sont pas des entités d’intérêt public visées à l’article</w:t>
      </w:r>
      <w:r>
        <w:rPr>
          <w:color w:val="231F20"/>
          <w:spacing w:val="-8"/>
        </w:rPr>
        <w:t> </w:t>
      </w:r>
      <w:r>
        <w:rPr>
          <w:color w:val="231F20"/>
        </w:rPr>
        <w:t>1:12, 2°, étant entendu que, pour l’application du présent chapitre, chaque société sera considérée individuellement, sauf les sociétés qui font partie d’un groupe qui est tenu d’établir et de publier des comptes annuels</w:t>
      </w:r>
      <w:r>
        <w:rPr>
          <w:color w:val="231F20"/>
          <w:spacing w:val="14"/>
        </w:rPr>
        <w:t> </w:t>
      </w:r>
      <w:r>
        <w:rPr>
          <w:color w:val="231F20"/>
        </w:rPr>
        <w:t>consolidés;</w:t>
      </w:r>
    </w:p>
    <w:p>
      <w:pPr>
        <w:pStyle w:val="BodyText"/>
        <w:spacing w:before="10"/>
        <w:ind w:left="0" w:right="0" w:firstLine="0"/>
        <w:jc w:val="left"/>
        <w:rPr>
          <w:sz w:val="24"/>
        </w:rPr>
      </w:pPr>
    </w:p>
    <w:p>
      <w:pPr>
        <w:pStyle w:val="BodyText"/>
        <w:spacing w:line="218" w:lineRule="auto" w:before="1"/>
        <w:ind w:right="90"/>
      </w:pPr>
      <w:r>
        <w:rPr>
          <w:color w:val="231F20"/>
        </w:rPr>
        <w:t>3° aux entreprises agricoles agréées conformément l’article 8:2 qui ont pris la forme d’une société en nom collectif ou d’une société en commandite et qui sont assujetties à l’impôt des personnes physiques.</w:t>
      </w:r>
    </w:p>
    <w:p>
      <w:pPr>
        <w:pStyle w:val="BodyText"/>
        <w:spacing w:before="9"/>
        <w:ind w:left="0" w:right="0" w:firstLine="0"/>
        <w:jc w:val="left"/>
        <w:rPr>
          <w:sz w:val="24"/>
        </w:rPr>
      </w:pPr>
    </w:p>
    <w:p>
      <w:pPr>
        <w:pStyle w:val="BodyText"/>
        <w:spacing w:line="218" w:lineRule="auto" w:before="1"/>
        <w:ind w:right="90"/>
      </w:pPr>
      <w:r>
        <w:rPr>
          <w:color w:val="231F20"/>
        </w:rPr>
        <w:t>Art. 3:73. Le contrôle dans les sociétés de la situation financière, des comptes annuels et de la régularité au regard du présent code et des statuts, des opérations à constater dans les comptes annuels doit être confié à un ou plusieurs commissaires.</w:t>
      </w:r>
    </w:p>
    <w:p>
      <w:pPr>
        <w:pStyle w:val="BodyText"/>
        <w:spacing w:line="218" w:lineRule="auto" w:before="107"/>
        <w:ind w:right="90"/>
      </w:pPr>
      <w:r>
        <w:rPr>
          <w:color w:val="231F20"/>
        </w:rPr>
        <w:t>Art. 3:74. Les commissaires rédigent à propos des comptes annuels un rapport écrit et circonstancié. A cet effet, l’organe d’administration de la société leur remet les pièces, un mois ou, dans les sociétés cotées, quarante-cinq jours avant la date prévue pour l’assemblée générale.</w:t>
      </w:r>
    </w:p>
    <w:p>
      <w:pPr>
        <w:pStyle w:val="BodyText"/>
        <w:ind w:left="0" w:right="0" w:firstLine="0"/>
        <w:jc w:val="left"/>
        <w:rPr>
          <w:sz w:val="20"/>
        </w:rPr>
      </w:pPr>
    </w:p>
    <w:p>
      <w:pPr>
        <w:pStyle w:val="BodyText"/>
        <w:spacing w:before="5"/>
        <w:ind w:left="0" w:right="0" w:firstLine="0"/>
        <w:jc w:val="left"/>
        <w:rPr>
          <w:sz w:val="20"/>
        </w:rPr>
      </w:pPr>
    </w:p>
    <w:p>
      <w:pPr>
        <w:pStyle w:val="BodyText"/>
        <w:spacing w:line="216" w:lineRule="auto"/>
        <w:ind w:right="96"/>
        <w:jc w:val="left"/>
      </w:pPr>
      <w:r>
        <w:rPr>
          <w:color w:val="231F20"/>
        </w:rPr>
        <w:t>Si l’organe d’administration reste en défaut de leur remettre ces  pièces dans le délai légal </w:t>
      </w:r>
      <w:r>
        <w:rPr>
          <w:color w:val="231F20"/>
          <w:spacing w:val="3"/>
        </w:rPr>
        <w:t>visé </w:t>
      </w:r>
      <w:r>
        <w:rPr>
          <w:color w:val="231F20"/>
        </w:rPr>
        <w:t>à l’alinéa 1</w:t>
      </w:r>
      <w:r>
        <w:rPr>
          <w:color w:val="231F20"/>
          <w:position w:val="7"/>
          <w:sz w:val="11"/>
        </w:rPr>
        <w:t>er</w:t>
      </w:r>
      <w:r>
        <w:rPr>
          <w:color w:val="231F20"/>
        </w:rPr>
        <w:t>, les commissaires émettent   un rapport de carence destiné à l’assemblée générale et adressé à l’organe d’administration pour autant qu’ils ne soient pas en mesure de respecter les délais prévus par le présent code en matière de mise à disposition</w:t>
      </w:r>
      <w:r>
        <w:rPr>
          <w:color w:val="231F20"/>
          <w:spacing w:val="15"/>
        </w:rPr>
        <w:t> </w:t>
      </w:r>
      <w:r>
        <w:rPr>
          <w:color w:val="231F20"/>
        </w:rPr>
        <w:t>de</w:t>
      </w:r>
      <w:r>
        <w:rPr>
          <w:color w:val="231F20"/>
          <w:spacing w:val="15"/>
        </w:rPr>
        <w:t> </w:t>
      </w:r>
      <w:r>
        <w:rPr>
          <w:color w:val="231F20"/>
        </w:rPr>
        <w:t>leur</w:t>
      </w:r>
      <w:r>
        <w:rPr>
          <w:color w:val="231F20"/>
          <w:spacing w:val="16"/>
        </w:rPr>
        <w:t> </w:t>
      </w:r>
      <w:r>
        <w:rPr>
          <w:color w:val="231F20"/>
        </w:rPr>
        <w:t>rapport</w:t>
      </w:r>
      <w:r>
        <w:rPr>
          <w:color w:val="231F20"/>
          <w:spacing w:val="15"/>
        </w:rPr>
        <w:t> </w:t>
      </w:r>
      <w:r>
        <w:rPr>
          <w:color w:val="231F20"/>
        </w:rPr>
        <w:t>de</w:t>
      </w:r>
      <w:r>
        <w:rPr>
          <w:color w:val="231F20"/>
          <w:spacing w:val="15"/>
        </w:rPr>
        <w:t> </w:t>
      </w:r>
      <w:r>
        <w:rPr>
          <w:color w:val="231F20"/>
        </w:rPr>
        <w:t>commissaire.</w:t>
      </w:r>
    </w:p>
    <w:p>
      <w:pPr>
        <w:pStyle w:val="BodyText"/>
        <w:spacing w:line="218" w:lineRule="auto" w:before="119"/>
      </w:pPr>
      <w:r>
        <w:rPr/>
        <w:br w:type="column"/>
      </w:r>
      <w:r>
        <w:rPr>
          <w:color w:val="231F20"/>
        </w:rPr>
        <w:t>Art. 3:69. De commissarissen die in de uitoefening van hun opdracht gewichtige en overeenstemmende feiten vaststellen die de continuïteit van de economische activiteit van de vennootschap in het gedrang kunnen brengen, moeten het bestuursorgaan hiervan schriftelijk en op een omstandige wijze op de hoogte brengen.</w:t>
      </w:r>
    </w:p>
    <w:p>
      <w:pPr>
        <w:pStyle w:val="BodyText"/>
        <w:spacing w:line="218" w:lineRule="auto" w:before="97"/>
      </w:pPr>
      <w:r>
        <w:rPr>
          <w:color w:val="231F20"/>
        </w:rPr>
        <w:t>In dat geval moet het bestuursorgaan beraadslagen over de maatre- gelen die moeten worden genomen om de continuïteit van de economische activiteit van de vennootschap voor een minimumduur van twaalf maanden te vrijwaren.</w:t>
      </w:r>
    </w:p>
    <w:p>
      <w:pPr>
        <w:pStyle w:val="BodyText"/>
        <w:spacing w:line="218" w:lineRule="auto" w:before="96"/>
      </w:pPr>
      <w:r>
        <w:rPr>
          <w:color w:val="231F20"/>
        </w:rPr>
        <w:t>Indien binnen een maand na de kennisgeving van de melding bedoeld in het eerste lid, de commissarissen niet werden ingelicht over de beraadslaging door het bestuursorgaan over de genomen maatrege- len of de in het vooruitzicht gestelde maatregelen om de continuïteit van de economische activiteit voor een minimumduur van twaalf maanden te vrijwaren, of indien ze oordelen dat de maatregelen de continuïteit van de economische activiteit niet kunnen vrijwaren voor een minimumduur van twaalf maanden, kunnen ze hun vaststellingen schriftelijk meedelen aan de voorzitter van de ondernemingsrechtbank. In</w:t>
      </w:r>
      <w:r>
        <w:rPr>
          <w:color w:val="231F20"/>
          <w:spacing w:val="15"/>
        </w:rPr>
        <w:t> </w:t>
      </w:r>
      <w:r>
        <w:rPr>
          <w:color w:val="231F20"/>
        </w:rPr>
        <w:t>dat</w:t>
      </w:r>
      <w:r>
        <w:rPr>
          <w:color w:val="231F20"/>
          <w:spacing w:val="15"/>
        </w:rPr>
        <w:t> </w:t>
      </w:r>
      <w:r>
        <w:rPr>
          <w:color w:val="231F20"/>
        </w:rPr>
        <w:t>geval</w:t>
      </w:r>
      <w:r>
        <w:rPr>
          <w:color w:val="231F20"/>
          <w:spacing w:val="15"/>
        </w:rPr>
        <w:t> </w:t>
      </w:r>
      <w:r>
        <w:rPr>
          <w:color w:val="231F20"/>
        </w:rPr>
        <w:t>is</w:t>
      </w:r>
      <w:r>
        <w:rPr>
          <w:color w:val="231F20"/>
          <w:spacing w:val="15"/>
        </w:rPr>
        <w:t> </w:t>
      </w:r>
      <w:r>
        <w:rPr>
          <w:color w:val="231F20"/>
        </w:rPr>
        <w:t>artikel</w:t>
      </w:r>
      <w:r>
        <w:rPr>
          <w:color w:val="231F20"/>
          <w:spacing w:val="15"/>
        </w:rPr>
        <w:t> </w:t>
      </w:r>
      <w:r>
        <w:rPr>
          <w:color w:val="231F20"/>
        </w:rPr>
        <w:t>458</w:t>
      </w:r>
      <w:r>
        <w:rPr>
          <w:color w:val="231F20"/>
          <w:spacing w:val="16"/>
        </w:rPr>
        <w:t> </w:t>
      </w:r>
      <w:r>
        <w:rPr>
          <w:color w:val="231F20"/>
        </w:rPr>
        <w:t>van</w:t>
      </w:r>
      <w:r>
        <w:rPr>
          <w:color w:val="231F20"/>
          <w:spacing w:val="15"/>
        </w:rPr>
        <w:t> </w:t>
      </w:r>
      <w:r>
        <w:rPr>
          <w:color w:val="231F20"/>
        </w:rPr>
        <w:t>het</w:t>
      </w:r>
      <w:r>
        <w:rPr>
          <w:color w:val="231F20"/>
          <w:spacing w:val="15"/>
        </w:rPr>
        <w:t> </w:t>
      </w:r>
      <w:r>
        <w:rPr>
          <w:color w:val="231F20"/>
        </w:rPr>
        <w:t>Strafwetboek</w:t>
      </w:r>
      <w:r>
        <w:rPr>
          <w:color w:val="231F20"/>
          <w:spacing w:val="15"/>
        </w:rPr>
        <w:t> </w:t>
      </w:r>
      <w:r>
        <w:rPr>
          <w:color w:val="231F20"/>
        </w:rPr>
        <w:t>niet</w:t>
      </w:r>
      <w:r>
        <w:rPr>
          <w:color w:val="231F20"/>
          <w:spacing w:val="15"/>
        </w:rPr>
        <w:t> </w:t>
      </w:r>
      <w:r>
        <w:rPr>
          <w:color w:val="231F20"/>
        </w:rPr>
        <w:t>van</w:t>
      </w:r>
      <w:r>
        <w:rPr>
          <w:color w:val="231F20"/>
          <w:spacing w:val="16"/>
        </w:rPr>
        <w:t> </w:t>
      </w:r>
      <w:r>
        <w:rPr>
          <w:color w:val="231F20"/>
        </w:rPr>
        <w:t>toepassing.</w:t>
      </w:r>
    </w:p>
    <w:p>
      <w:pPr>
        <w:pStyle w:val="BodyText"/>
        <w:spacing w:line="218" w:lineRule="auto" w:before="108"/>
      </w:pPr>
      <w:r>
        <w:rPr>
          <w:color w:val="231F20"/>
        </w:rPr>
        <w:t>Art. 3:70. De commissarissen kunnen zich bij de uitoefening van hun taak, op hun kosten, doen bijstaan door aangestelden of andere personen voor wie zij instaan.</w:t>
      </w:r>
    </w:p>
    <w:p>
      <w:pPr>
        <w:pStyle w:val="BodyText"/>
        <w:spacing w:before="92"/>
        <w:ind w:left="283" w:right="0" w:firstLine="0"/>
        <w:jc w:val="left"/>
      </w:pPr>
      <w:r>
        <w:rPr>
          <w:color w:val="231F20"/>
        </w:rPr>
        <w:t>Afdeling 8. Aansprakelijkheid.</w:t>
      </w:r>
    </w:p>
    <w:p>
      <w:pPr>
        <w:pStyle w:val="BodyText"/>
        <w:spacing w:line="218" w:lineRule="auto" w:before="104"/>
      </w:pPr>
      <w:r>
        <w:rPr>
          <w:color w:val="231F20"/>
        </w:rPr>
        <w:t>Art. 3:71. Onverminderd de aansprakelijkheidsbeperking overeen- komstig artikel 24, § 1, van de wet van 7 december 2016 tot organisatie van het beroep van en het publiek toezicht op de bedrijfsrevisoren zijn de commissarissen jegens de rechtspersoon aansprakelijk voor de fouten die zij in de uitoefening van hun taak begaan. Zij zijn zowel jegens de rechtspersoon als jegens derden hoofdelijk aansprakelijk voor alle schade die het gevolg is van overtreding van de bepalingen van dit wetboek of van de statuten.</w:t>
      </w:r>
    </w:p>
    <w:p>
      <w:pPr>
        <w:pStyle w:val="BodyText"/>
        <w:spacing w:line="218" w:lineRule="auto" w:before="107"/>
      </w:pPr>
      <w:r>
        <w:rPr>
          <w:color w:val="231F20"/>
        </w:rPr>
        <w:t>Ten aanzien van de overtredingen waaraan zij geen deel hebben gehad, worden zij van die aansprakelijkheid slechts ontheven wanneer zij aantonen dat zij hun taak naar behoren hebben vervuld en zij die overtredingen hebben aangeklaagd bij het bestuursorgaan en, in voorkomend geval, indien daar geen passend gevolg werd gegeven, op de eerste daaropvolgende algemene vergadering of leden nadat zij er kennis van hebben gekregen.</w:t>
      </w:r>
    </w:p>
    <w:p>
      <w:pPr>
        <w:pStyle w:val="BodyText"/>
        <w:spacing w:before="93"/>
        <w:ind w:left="283" w:right="0" w:firstLine="0"/>
        <w:jc w:val="left"/>
      </w:pPr>
      <w:r>
        <w:rPr>
          <w:color w:val="231F20"/>
        </w:rPr>
        <w:t>HOOFDSTUK 2. Wettelijke controle van de jaarrekening.</w:t>
      </w:r>
    </w:p>
    <w:p>
      <w:pPr>
        <w:pStyle w:val="BodyText"/>
        <w:spacing w:line="218" w:lineRule="auto" w:before="104"/>
      </w:pPr>
      <w:r>
        <w:rPr>
          <w:color w:val="231F20"/>
        </w:rPr>
        <w:t>Art. 3:72. Tenzij het gaat om één van de in artikel 3:1, § 3, 1°, 2° of 4°, bedoelde vennootschappen of om een beleggingsonderneming met het statuut van beursvennootschap krachtens artikel 6, § 1, 1°, van de wet van 25 oktober 2016 betreffende de toegang tot het beleggingsdiensten- bedrijf en betreffende het statuut van en het toezicht op de vennoot- schappen voor vermogensbeheer en beleggingsadvies, is dit hoofdstuk niet van toepassing op:</w:t>
      </w:r>
    </w:p>
    <w:p>
      <w:pPr>
        <w:pStyle w:val="BodyText"/>
        <w:spacing w:line="218" w:lineRule="auto" w:before="107"/>
      </w:pPr>
      <w:r>
        <w:rPr>
          <w:color w:val="231F20"/>
        </w:rPr>
        <w:t>1° vennootschappen onder firma, commanditaire vennootschappen en Europese economische samenwerkingsverbanden waarvan alle onbeperkt aansprakelijke vennoten natuurlijke personen zijn;</w:t>
      </w:r>
    </w:p>
    <w:p>
      <w:pPr>
        <w:pStyle w:val="BodyText"/>
        <w:spacing w:line="218" w:lineRule="auto" w:before="107"/>
      </w:pPr>
      <w:r>
        <w:rPr>
          <w:color w:val="231F20"/>
        </w:rPr>
        <w:t>2° de niet-genoteerde kleine vennootschappen als bedoeld in arti-  kel 1:24 of de kleine vennootschappen die geen organisaties van openbaar belang als bedoeld in artikel 1:12, 2°, zijn, met dien verstande dat voor de toepassing van dit hoofdstuk iedere vennootschap afzonderlijk wordt beschouwd, behoudens de vennootschappen die  deel uitmaken van een groep die gehouden is een geconsolideerde jaarrekening</w:t>
      </w:r>
      <w:r>
        <w:rPr>
          <w:color w:val="231F20"/>
          <w:spacing w:val="14"/>
        </w:rPr>
        <w:t> </w:t>
      </w:r>
      <w:r>
        <w:rPr>
          <w:color w:val="231F20"/>
        </w:rPr>
        <w:t>op</w:t>
      </w:r>
      <w:r>
        <w:rPr>
          <w:color w:val="231F20"/>
          <w:spacing w:val="14"/>
        </w:rPr>
        <w:t> </w:t>
      </w:r>
      <w:r>
        <w:rPr>
          <w:color w:val="231F20"/>
        </w:rPr>
        <w:t>te</w:t>
      </w:r>
      <w:r>
        <w:rPr>
          <w:color w:val="231F20"/>
          <w:spacing w:val="15"/>
        </w:rPr>
        <w:t> </w:t>
      </w:r>
      <w:r>
        <w:rPr>
          <w:color w:val="231F20"/>
        </w:rPr>
        <w:t>stellen</w:t>
      </w:r>
      <w:r>
        <w:rPr>
          <w:color w:val="231F20"/>
          <w:spacing w:val="14"/>
        </w:rPr>
        <w:t> </w:t>
      </w:r>
      <w:r>
        <w:rPr>
          <w:color w:val="231F20"/>
        </w:rPr>
        <w:t>en</w:t>
      </w:r>
      <w:r>
        <w:rPr>
          <w:color w:val="231F20"/>
          <w:spacing w:val="14"/>
        </w:rPr>
        <w:t> </w:t>
      </w:r>
      <w:r>
        <w:rPr>
          <w:color w:val="231F20"/>
        </w:rPr>
        <w:t>te</w:t>
      </w:r>
      <w:r>
        <w:rPr>
          <w:color w:val="231F20"/>
          <w:spacing w:val="15"/>
        </w:rPr>
        <w:t> </w:t>
      </w:r>
      <w:r>
        <w:rPr>
          <w:color w:val="231F20"/>
        </w:rPr>
        <w:t>publiceren;</w:t>
      </w:r>
    </w:p>
    <w:p>
      <w:pPr>
        <w:pStyle w:val="BodyText"/>
        <w:spacing w:line="218" w:lineRule="auto" w:before="107"/>
      </w:pPr>
      <w:r>
        <w:rPr>
          <w:color w:val="231F20"/>
        </w:rPr>
        <w:t>3° de overeenkomstig artikel 8:2 erkende landbouwondernemingen die de vorm hebben aangenomen van een vennootschap onder firma of commanditaire vennootschap en die onderworpen zijn aan de perso- nenbelasting.</w:t>
      </w:r>
    </w:p>
    <w:p>
      <w:pPr>
        <w:pStyle w:val="BodyText"/>
        <w:spacing w:line="218" w:lineRule="auto" w:before="107"/>
      </w:pPr>
      <w:r>
        <w:rPr>
          <w:color w:val="231F20"/>
        </w:rPr>
        <w:t>Art. 3:73. De controle in vennootschappen, op de financiële toestand, op de jaarrekening en op de regelmatigheid, ten aanzien van dit wetboek en de statuten, van de in de jaarrekening weergegeven verrichtingen, wordt opgedragen aan een of meer commissarissen.</w:t>
      </w:r>
    </w:p>
    <w:p>
      <w:pPr>
        <w:pStyle w:val="BodyText"/>
        <w:spacing w:line="218" w:lineRule="auto" w:before="107"/>
      </w:pPr>
      <w:r>
        <w:rPr>
          <w:color w:val="231F20"/>
        </w:rPr>
        <w:t>Art. 3:74. De commissarissen stellen naar aanleiding van de jaarre- kening een omstandig schriftelijk verslag op. Met het oog daarop overhandigt het bestuursorgaan van de vennootschap hen de nodige stukken, en dit ten minste één maand of, bij genoteerde vennootschap- pen, vijfenveertig dagen vóór de geplande datum van de algemene vergadering.</w:t>
      </w:r>
    </w:p>
    <w:p>
      <w:pPr>
        <w:pStyle w:val="BodyText"/>
        <w:spacing w:line="218" w:lineRule="auto" w:before="107"/>
        <w:ind w:right="123"/>
      </w:pPr>
      <w:r>
        <w:rPr>
          <w:color w:val="231F20"/>
        </w:rPr>
        <w:t>Indien het bestuursorgaan in gebreke blijft om hen deze stukken binnen de wettelijke termijn, bedoeld in het eerste lid, te overhandigen, stellen de commissarissen een verslag van niet-bevinding op, bestemd voor de algemene vergadering en gericht aan het bestuursorgaan, voor zover zij niet in staat zijn om de termijnen na te leven die in onderhavig wetboek zijn voorgeschreven in verband met de terbeschikkingstelling van hun verslag van commissaris.</w:t>
      </w:r>
    </w:p>
    <w:p>
      <w:pPr>
        <w:spacing w:after="0" w:line="218" w:lineRule="auto"/>
        <w:sectPr>
          <w:pgSz w:w="11940" w:h="16880"/>
          <w:pgMar w:header="666" w:footer="0" w:top="1140" w:bottom="280" w:left="340" w:right="360"/>
          <w:cols w:num="2" w:equalWidth="0">
            <w:col w:w="5579" w:space="49"/>
            <w:col w:w="5612"/>
          </w:cols>
        </w:sectPr>
      </w:pPr>
    </w:p>
    <w:p>
      <w:pPr>
        <w:pStyle w:val="BodyText"/>
        <w:spacing w:line="201" w:lineRule="auto" w:before="115"/>
        <w:ind w:right="40"/>
      </w:pPr>
      <w:r>
        <w:rPr/>
        <w:pict>
          <v:line style="position:absolute;mso-position-horizontal-relative:page;mso-position-vertical-relative:page;z-index:2872" from="298.170502pt,64.473pt" to="298.170502pt,812.819pt" stroked="true" strokeweight=".533pt" strokecolor="#231f20">
            <v:stroke dashstyle="solid"/>
            <w10:wrap type="none"/>
          </v:line>
        </w:pict>
      </w:r>
      <w:bookmarkStart w:name="_bookmark77" w:id="82"/>
      <w:bookmarkEnd w:id="82"/>
      <w:r>
        <w:rPr/>
      </w:r>
      <w:r>
        <w:rPr>
          <w:color w:val="231F20"/>
        </w:rPr>
        <w:t>Art. 3:75. § 1</w:t>
      </w:r>
      <w:r>
        <w:rPr>
          <w:color w:val="231F20"/>
          <w:position w:val="7"/>
          <w:sz w:val="11"/>
        </w:rPr>
        <w:t>er</w:t>
      </w:r>
      <w:r>
        <w:rPr>
          <w:color w:val="231F20"/>
        </w:rPr>
        <w:t>. Le rapport des commissaires visé à l’article 3:74, alinéa</w:t>
      </w:r>
      <w:r>
        <w:rPr>
          <w:color w:val="231F20"/>
          <w:spacing w:val="15"/>
        </w:rPr>
        <w:t> </w:t>
      </w:r>
      <w:r>
        <w:rPr>
          <w:color w:val="231F20"/>
        </w:rPr>
        <w:t>1</w:t>
      </w:r>
      <w:r>
        <w:rPr>
          <w:color w:val="231F20"/>
          <w:position w:val="7"/>
          <w:sz w:val="11"/>
        </w:rPr>
        <w:t>er</w:t>
      </w:r>
      <w:r>
        <w:rPr>
          <w:color w:val="231F20"/>
        </w:rPr>
        <w:t>,</w:t>
      </w:r>
      <w:r>
        <w:rPr>
          <w:color w:val="231F20"/>
          <w:spacing w:val="16"/>
        </w:rPr>
        <w:t> </w:t>
      </w:r>
      <w:r>
        <w:rPr>
          <w:color w:val="231F20"/>
        </w:rPr>
        <w:t>comprend</w:t>
      </w:r>
      <w:r>
        <w:rPr>
          <w:color w:val="231F20"/>
          <w:spacing w:val="16"/>
        </w:rPr>
        <w:t> </w:t>
      </w:r>
      <w:r>
        <w:rPr>
          <w:color w:val="231F20"/>
        </w:rPr>
        <w:t>au</w:t>
      </w:r>
      <w:r>
        <w:rPr>
          <w:color w:val="231F20"/>
          <w:spacing w:val="16"/>
        </w:rPr>
        <w:t> </w:t>
      </w:r>
      <w:r>
        <w:rPr>
          <w:color w:val="231F20"/>
        </w:rPr>
        <w:t>moins</w:t>
      </w:r>
      <w:r>
        <w:rPr>
          <w:color w:val="231F20"/>
          <w:spacing w:val="15"/>
        </w:rPr>
        <w:t> </w:t>
      </w:r>
      <w:r>
        <w:rPr>
          <w:color w:val="231F20"/>
        </w:rPr>
        <w:t>les</w:t>
      </w:r>
      <w:r>
        <w:rPr>
          <w:color w:val="231F20"/>
          <w:spacing w:val="16"/>
        </w:rPr>
        <w:t> </w:t>
      </w:r>
      <w:r>
        <w:rPr>
          <w:color w:val="231F20"/>
        </w:rPr>
        <w:t>éléments</w:t>
      </w:r>
      <w:r>
        <w:rPr>
          <w:color w:val="231F20"/>
          <w:spacing w:val="16"/>
        </w:rPr>
        <w:t> </w:t>
      </w:r>
      <w:r>
        <w:rPr>
          <w:color w:val="231F20"/>
        </w:rPr>
        <w:t>suivants:</w:t>
      </w:r>
    </w:p>
    <w:p>
      <w:pPr>
        <w:pStyle w:val="BodyText"/>
        <w:spacing w:line="218" w:lineRule="auto" w:before="87"/>
        <w:ind w:right="39"/>
      </w:pPr>
      <w:r>
        <w:rPr>
          <w:color w:val="231F20"/>
        </w:rPr>
        <w:t>1° une introduction, qui contient au moins l’identification des comptes annuels qui font l’objet du contrôle légal et de la société soumise au contrôle légal, les intervenants dans la procédure de nomination des commissaires visés à l’article 3:58, la date de nomina- tion des commissaires, le terme de leur mandat, le nombre d’exercices consécutifs durant lesquels le cabinet de révision ou le cabinet d’audit enregistré ou, à défaut, le réviseur d’entreprises est chargé du contrôle légal des comptes annuels de la société depuis sa première nomination, le référentiel comptable qui a été appliqué lors de l’établissement des comptes annuels ainsi que la période couverte par les comptes annuels;</w:t>
      </w:r>
    </w:p>
    <w:p>
      <w:pPr>
        <w:pStyle w:val="BodyText"/>
        <w:spacing w:before="1"/>
        <w:ind w:left="0" w:right="0" w:firstLine="0"/>
        <w:jc w:val="left"/>
        <w:rPr>
          <w:sz w:val="23"/>
        </w:rPr>
      </w:pPr>
    </w:p>
    <w:p>
      <w:pPr>
        <w:pStyle w:val="BodyText"/>
        <w:spacing w:line="218" w:lineRule="auto"/>
        <w:ind w:right="39"/>
      </w:pPr>
      <w:r>
        <w:rPr>
          <w:color w:val="231F20"/>
        </w:rPr>
        <w:t>2° une description de l’étendue du contrôle, qui contient au moins l’indication des normes selon lesquelles le contrôle a été effectué et s’ils ont obtenu de l’organe d’administration et préposés de la société les explications et informations requises pour leur contrôle;</w:t>
      </w:r>
    </w:p>
    <w:p>
      <w:pPr>
        <w:pStyle w:val="BodyText"/>
        <w:ind w:left="0" w:right="0" w:firstLine="0"/>
        <w:jc w:val="left"/>
        <w:rPr>
          <w:sz w:val="23"/>
        </w:rPr>
      </w:pPr>
    </w:p>
    <w:p>
      <w:pPr>
        <w:pStyle w:val="BodyText"/>
        <w:spacing w:line="218" w:lineRule="auto"/>
        <w:ind w:right="39"/>
      </w:pPr>
      <w:r>
        <w:rPr>
          <w:color w:val="231F20"/>
        </w:rPr>
        <w:t>3° une mention indiquant si la comptabilité est tenue conformément aux dispositions légales et réglementaires applicables;</w:t>
      </w:r>
    </w:p>
    <w:p>
      <w:pPr>
        <w:pStyle w:val="BodyText"/>
        <w:ind w:left="0" w:right="0" w:firstLine="0"/>
        <w:jc w:val="left"/>
        <w:rPr>
          <w:sz w:val="23"/>
        </w:rPr>
      </w:pPr>
    </w:p>
    <w:p>
      <w:pPr>
        <w:pStyle w:val="BodyText"/>
        <w:spacing w:line="218" w:lineRule="auto"/>
        <w:ind w:right="39"/>
      </w:pPr>
      <w:r>
        <w:rPr>
          <w:color w:val="231F20"/>
        </w:rPr>
        <w:t>4° une opinion dans laquelle les commissaires indiquent si, à leur avis, les comptes annuels donnent une image fidèle du patrimoine, de la situation financière et des résultats de la société compte tenu du référentiel comptable applicable et, le cas échéant, quant au respect des exigences légales applicables. Elle peut prendre la forme d’une opinion sans réserve, d’une opinion avec réserve, d’une opinion négative, ou, si les commissaires sont dans l’incapacité de se forger une opinion, d’une déclaration</w:t>
      </w:r>
      <w:r>
        <w:rPr>
          <w:color w:val="231F20"/>
          <w:spacing w:val="14"/>
        </w:rPr>
        <w:t> </w:t>
      </w:r>
      <w:r>
        <w:rPr>
          <w:color w:val="231F20"/>
        </w:rPr>
        <w:t>d’abstention;</w:t>
      </w:r>
    </w:p>
    <w:p>
      <w:pPr>
        <w:pStyle w:val="BodyText"/>
        <w:ind w:left="0" w:right="0" w:firstLine="0"/>
        <w:jc w:val="left"/>
        <w:rPr>
          <w:sz w:val="23"/>
        </w:rPr>
      </w:pPr>
    </w:p>
    <w:p>
      <w:pPr>
        <w:pStyle w:val="BodyText"/>
        <w:spacing w:line="218" w:lineRule="auto"/>
        <w:ind w:right="39"/>
      </w:pPr>
      <w:r>
        <w:rPr>
          <w:color w:val="231F20"/>
        </w:rPr>
        <w:t>5° une référence à quelque question que ce soit sur laquelle les commissaires attirent spécialement l’attention, qu’une réserve ait ou non été incluse dans l’opinion;</w:t>
      </w:r>
    </w:p>
    <w:p>
      <w:pPr>
        <w:pStyle w:val="BodyText"/>
        <w:spacing w:line="218" w:lineRule="auto" w:before="97"/>
        <w:ind w:right="39"/>
      </w:pPr>
      <w:r>
        <w:rPr>
          <w:color w:val="231F20"/>
        </w:rPr>
        <w:t>6° une opinion indiquant si le rapport de gestion concorde avec les comptes annuels pour le même exercice et s’il a été établi conformé- ment aux articles 3:5 et 3:6. Si la déclaration non financière, requise</w:t>
      </w:r>
      <w:r>
        <w:rPr>
          <w:color w:val="231F20"/>
          <w:spacing w:val="-18"/>
        </w:rPr>
        <w:t> </w:t>
      </w:r>
      <w:r>
        <w:rPr>
          <w:color w:val="231F20"/>
        </w:rPr>
        <w:t>par l’article 3:6, § 4, est établie dans un rapport distinct, le rapport des commissaires contient une opinion indiquant si ce rapport distinct comprend les informations requises et concorde ou non avec les comptes</w:t>
      </w:r>
      <w:r>
        <w:rPr>
          <w:color w:val="231F20"/>
          <w:spacing w:val="14"/>
        </w:rPr>
        <w:t> </w:t>
      </w:r>
      <w:r>
        <w:rPr>
          <w:color w:val="231F20"/>
        </w:rPr>
        <w:t>annuels</w:t>
      </w:r>
      <w:r>
        <w:rPr>
          <w:color w:val="231F20"/>
          <w:spacing w:val="15"/>
        </w:rPr>
        <w:t> </w:t>
      </w:r>
      <w:r>
        <w:rPr>
          <w:color w:val="231F20"/>
        </w:rPr>
        <w:t>pour</w:t>
      </w:r>
      <w:r>
        <w:rPr>
          <w:color w:val="231F20"/>
          <w:spacing w:val="15"/>
        </w:rPr>
        <w:t> </w:t>
      </w:r>
      <w:r>
        <w:rPr>
          <w:color w:val="231F20"/>
        </w:rPr>
        <w:t>le</w:t>
      </w:r>
      <w:r>
        <w:rPr>
          <w:color w:val="231F20"/>
          <w:spacing w:val="15"/>
        </w:rPr>
        <w:t> </w:t>
      </w:r>
      <w:r>
        <w:rPr>
          <w:color w:val="231F20"/>
        </w:rPr>
        <w:t>même</w:t>
      </w:r>
      <w:r>
        <w:rPr>
          <w:color w:val="231F20"/>
          <w:spacing w:val="15"/>
        </w:rPr>
        <w:t> </w:t>
      </w:r>
      <w:r>
        <w:rPr>
          <w:color w:val="231F20"/>
        </w:rPr>
        <w:t>exercice;</w:t>
      </w:r>
    </w:p>
    <w:p>
      <w:pPr>
        <w:pStyle w:val="BodyText"/>
        <w:spacing w:before="10"/>
        <w:ind w:left="0" w:right="0" w:firstLine="0"/>
        <w:jc w:val="left"/>
        <w:rPr>
          <w:sz w:val="23"/>
        </w:rPr>
      </w:pPr>
    </w:p>
    <w:p>
      <w:pPr>
        <w:pStyle w:val="BodyText"/>
        <w:spacing w:line="218" w:lineRule="auto" w:before="1"/>
        <w:ind w:right="40"/>
      </w:pPr>
      <w:r>
        <w:rPr>
          <w:color w:val="231F20"/>
        </w:rPr>
        <w:t>7° une déclaration sur d’éventuelles incertitudes significatives liées à des événements ou à des circonstances qui peuvent jeter un doute important sur la capacité de la société à poursuivre son exploitation;</w:t>
      </w:r>
    </w:p>
    <w:p>
      <w:pPr>
        <w:pStyle w:val="BodyText"/>
        <w:spacing w:before="10"/>
        <w:ind w:left="0" w:right="0" w:firstLine="0"/>
        <w:jc w:val="left"/>
        <w:rPr>
          <w:sz w:val="23"/>
        </w:rPr>
      </w:pPr>
    </w:p>
    <w:p>
      <w:pPr>
        <w:pStyle w:val="BodyText"/>
        <w:spacing w:line="218" w:lineRule="auto"/>
        <w:ind w:right="39"/>
      </w:pPr>
      <w:r>
        <w:rPr>
          <w:color w:val="231F20"/>
        </w:rPr>
        <w:t>8° une mention indiquant si la répartition des résultats proposée à l’assemblée générale est conforme aux statuts et au présent code;</w:t>
      </w:r>
    </w:p>
    <w:p>
      <w:pPr>
        <w:pStyle w:val="BodyText"/>
        <w:spacing w:before="11"/>
        <w:ind w:left="0" w:right="0" w:firstLine="0"/>
        <w:jc w:val="left"/>
        <w:rPr>
          <w:sz w:val="23"/>
        </w:rPr>
      </w:pPr>
    </w:p>
    <w:p>
      <w:pPr>
        <w:pStyle w:val="BodyText"/>
        <w:spacing w:line="218" w:lineRule="auto"/>
        <w:ind w:right="38"/>
      </w:pPr>
      <w:r>
        <w:rPr>
          <w:color w:val="231F20"/>
        </w:rPr>
        <w:t>9° l’indication qu’ils n’ont point eu connaissance d’opérations conclues ou de décisions prises en violation des statuts ou du présent code. S’ils ont eu connaissance de telles infractions, ils doivent en faire mention. Toutefois, cette mention peut être omise lorsque la révélation de l’infraction est susceptible de causer à la société un préjudice injustifié, notamment parce que l’organe d’administration a pris des mesures appropriées pour corriger la situation d’illégalité ainsi créée;</w:t>
      </w:r>
    </w:p>
    <w:p>
      <w:pPr>
        <w:pStyle w:val="BodyText"/>
        <w:ind w:left="0" w:right="0" w:firstLine="0"/>
        <w:jc w:val="left"/>
        <w:rPr>
          <w:sz w:val="20"/>
        </w:rPr>
      </w:pPr>
    </w:p>
    <w:p>
      <w:pPr>
        <w:pStyle w:val="BodyText"/>
        <w:spacing w:before="8"/>
        <w:ind w:left="0" w:right="0" w:firstLine="0"/>
        <w:jc w:val="left"/>
        <w:rPr>
          <w:sz w:val="19"/>
        </w:rPr>
      </w:pPr>
    </w:p>
    <w:p>
      <w:pPr>
        <w:pStyle w:val="BodyText"/>
        <w:spacing w:line="213" w:lineRule="auto"/>
        <w:ind w:right="39"/>
      </w:pPr>
      <w:r>
        <w:rPr>
          <w:color w:val="231F20"/>
        </w:rPr>
        <w:t>10° une mention indiquant si les documents à déposer</w:t>
      </w:r>
      <w:r>
        <w:rPr>
          <w:color w:val="231F20"/>
          <w:spacing w:val="-15"/>
        </w:rPr>
        <w:t> </w:t>
      </w:r>
      <w:r>
        <w:rPr>
          <w:color w:val="231F20"/>
        </w:rPr>
        <w:t>conformément à l’article 3:12, § 1</w:t>
      </w:r>
      <w:r>
        <w:rPr>
          <w:color w:val="231F20"/>
          <w:position w:val="7"/>
          <w:sz w:val="11"/>
        </w:rPr>
        <w:t>er</w:t>
      </w:r>
      <w:r>
        <w:rPr>
          <w:color w:val="231F20"/>
        </w:rPr>
        <w:t>, 5°, 7°, 8°, et § 2 reprennent, tant au niveau de la forme qu’au niveau du contenu, les informations requises par le</w:t>
      </w:r>
      <w:r>
        <w:rPr>
          <w:color w:val="231F20"/>
          <w:spacing w:val="-11"/>
        </w:rPr>
        <w:t> </w:t>
      </w:r>
      <w:r>
        <w:rPr>
          <w:color w:val="231F20"/>
        </w:rPr>
        <w:t>présent code;</w:t>
      </w:r>
    </w:p>
    <w:p>
      <w:pPr>
        <w:pStyle w:val="BodyText"/>
        <w:spacing w:line="218" w:lineRule="auto" w:before="94"/>
        <w:ind w:right="38"/>
      </w:pPr>
      <w:r>
        <w:rPr>
          <w:color w:val="231F20"/>
          <w:spacing w:val="-4"/>
        </w:rPr>
        <w:t>11° </w:t>
      </w:r>
      <w:r>
        <w:rPr>
          <w:color w:val="231F20"/>
        </w:rPr>
        <w:t>une mention confirmant, d’une part, qu’ils n’ont pas effectué de missions incompatibles avec le contrôle légal des comptes et qu’ils sont restés indépendants vis-à-vis de la société au cours de leur mandat et, d’autre part, que les missions complémentaires compatibles avec le contrôle légal des comptes visées à l’article 3:65 ont, le cas échéant, correctement été ventilées et valorisées dans l’annexe des comptes. A défaut,</w:t>
      </w:r>
      <w:r>
        <w:rPr>
          <w:color w:val="231F20"/>
          <w:spacing w:val="-16"/>
        </w:rPr>
        <w:t> </w:t>
      </w:r>
      <w:r>
        <w:rPr>
          <w:color w:val="231F20"/>
        </w:rPr>
        <w:t>les</w:t>
      </w:r>
      <w:r>
        <w:rPr>
          <w:color w:val="231F20"/>
          <w:spacing w:val="-16"/>
        </w:rPr>
        <w:t> </w:t>
      </w:r>
      <w:r>
        <w:rPr>
          <w:color w:val="231F20"/>
        </w:rPr>
        <w:t>commissaires</w:t>
      </w:r>
      <w:r>
        <w:rPr>
          <w:color w:val="231F20"/>
          <w:spacing w:val="-16"/>
        </w:rPr>
        <w:t> </w:t>
      </w:r>
      <w:r>
        <w:rPr>
          <w:color w:val="231F20"/>
        </w:rPr>
        <w:t>mentionnent</w:t>
      </w:r>
      <w:r>
        <w:rPr>
          <w:color w:val="231F20"/>
          <w:spacing w:val="-16"/>
        </w:rPr>
        <w:t> </w:t>
      </w:r>
      <w:r>
        <w:rPr>
          <w:color w:val="231F20"/>
        </w:rPr>
        <w:t>eux-mêmes</w:t>
      </w:r>
      <w:r>
        <w:rPr>
          <w:color w:val="231F20"/>
          <w:spacing w:val="-16"/>
        </w:rPr>
        <w:t> </w:t>
      </w:r>
      <w:r>
        <w:rPr>
          <w:color w:val="231F20"/>
        </w:rPr>
        <w:t>l’information</w:t>
      </w:r>
      <w:r>
        <w:rPr>
          <w:color w:val="231F20"/>
          <w:spacing w:val="-16"/>
        </w:rPr>
        <w:t> </w:t>
      </w:r>
      <w:r>
        <w:rPr>
          <w:color w:val="231F20"/>
        </w:rPr>
        <w:t>détaillée dans leur rapport de</w:t>
      </w:r>
      <w:r>
        <w:rPr>
          <w:color w:val="231F20"/>
          <w:spacing w:val="17"/>
        </w:rPr>
        <w:t> </w:t>
      </w:r>
      <w:r>
        <w:rPr>
          <w:color w:val="231F20"/>
        </w:rPr>
        <w:t>commissaire(s);</w:t>
      </w:r>
    </w:p>
    <w:p>
      <w:pPr>
        <w:pStyle w:val="BodyText"/>
        <w:ind w:left="0" w:right="0" w:firstLine="0"/>
        <w:jc w:val="left"/>
        <w:rPr>
          <w:sz w:val="20"/>
        </w:rPr>
      </w:pPr>
    </w:p>
    <w:p>
      <w:pPr>
        <w:pStyle w:val="BodyText"/>
        <w:spacing w:before="2"/>
        <w:ind w:left="0" w:right="0" w:firstLine="0"/>
        <w:jc w:val="left"/>
        <w:rPr>
          <w:sz w:val="18"/>
        </w:rPr>
      </w:pPr>
    </w:p>
    <w:p>
      <w:pPr>
        <w:pStyle w:val="BodyText"/>
        <w:spacing w:line="338" w:lineRule="auto"/>
        <w:ind w:left="283" w:right="174" w:hanging="1"/>
        <w:jc w:val="left"/>
      </w:pPr>
      <w:r>
        <w:rPr>
          <w:color w:val="231F20"/>
        </w:rPr>
        <w:t>12° une mention du lieu d’établissement du (des) commissaire(s). Le rapport est signé et daté par les commissaires.</w:t>
      </w:r>
    </w:p>
    <w:p>
      <w:pPr>
        <w:pStyle w:val="BodyText"/>
        <w:spacing w:before="7"/>
        <w:ind w:left="0" w:right="0" w:firstLine="0"/>
        <w:jc w:val="left"/>
        <w:rPr>
          <w:sz w:val="16"/>
        </w:rPr>
      </w:pPr>
    </w:p>
    <w:p>
      <w:pPr>
        <w:pStyle w:val="BodyText"/>
        <w:spacing w:line="218" w:lineRule="auto"/>
        <w:ind w:right="39"/>
      </w:pPr>
      <w:r>
        <w:rPr>
          <w:color w:val="231F20"/>
        </w:rPr>
        <w:t>§ 2. Lorsque le contrôle légal des comptes est confié à plusieurs commissaires, ils conviennent ensemble des résultats du contrôle légal et présentent un rapport conjoint sur le contrôle légal des comptes et une opinion conjointe. En cas de désaccord, chaque commissaire</w:t>
      </w:r>
    </w:p>
    <w:p>
      <w:pPr>
        <w:pStyle w:val="BodyText"/>
        <w:spacing w:line="218" w:lineRule="auto" w:before="119"/>
      </w:pPr>
      <w:r>
        <w:rPr/>
        <w:br w:type="column"/>
      </w:r>
      <w:r>
        <w:rPr>
          <w:color w:val="231F20"/>
        </w:rPr>
        <w:t>Art. 3:75. § 1. Het verslag  van  de  commissarissen  bedoeld  in  artikel</w:t>
      </w:r>
      <w:r>
        <w:rPr>
          <w:color w:val="231F20"/>
          <w:spacing w:val="11"/>
        </w:rPr>
        <w:t> </w:t>
      </w:r>
      <w:r>
        <w:rPr>
          <w:color w:val="231F20"/>
        </w:rPr>
        <w:t>3:74,</w:t>
      </w:r>
      <w:r>
        <w:rPr>
          <w:color w:val="231F20"/>
          <w:spacing w:val="12"/>
        </w:rPr>
        <w:t> </w:t>
      </w:r>
      <w:r>
        <w:rPr>
          <w:color w:val="231F20"/>
        </w:rPr>
        <w:t>eerste</w:t>
      </w:r>
      <w:r>
        <w:rPr>
          <w:color w:val="231F20"/>
          <w:spacing w:val="12"/>
        </w:rPr>
        <w:t> </w:t>
      </w:r>
      <w:r>
        <w:rPr>
          <w:color w:val="231F20"/>
        </w:rPr>
        <w:t>lid,</w:t>
      </w:r>
      <w:r>
        <w:rPr>
          <w:color w:val="231F20"/>
          <w:spacing w:val="12"/>
        </w:rPr>
        <w:t> </w:t>
      </w:r>
      <w:r>
        <w:rPr>
          <w:color w:val="231F20"/>
        </w:rPr>
        <w:t>moet</w:t>
      </w:r>
      <w:r>
        <w:rPr>
          <w:color w:val="231F20"/>
          <w:spacing w:val="12"/>
        </w:rPr>
        <w:t> </w:t>
      </w:r>
      <w:r>
        <w:rPr>
          <w:color w:val="231F20"/>
        </w:rPr>
        <w:t>minstens</w:t>
      </w:r>
      <w:r>
        <w:rPr>
          <w:color w:val="231F20"/>
          <w:spacing w:val="12"/>
        </w:rPr>
        <w:t> </w:t>
      </w:r>
      <w:r>
        <w:rPr>
          <w:color w:val="231F20"/>
        </w:rPr>
        <w:t>volgende</w:t>
      </w:r>
      <w:r>
        <w:rPr>
          <w:color w:val="231F20"/>
          <w:spacing w:val="12"/>
        </w:rPr>
        <w:t> </w:t>
      </w:r>
      <w:r>
        <w:rPr>
          <w:color w:val="231F20"/>
        </w:rPr>
        <w:t>elementen</w:t>
      </w:r>
      <w:r>
        <w:rPr>
          <w:color w:val="231F20"/>
          <w:spacing w:val="12"/>
        </w:rPr>
        <w:t> </w:t>
      </w:r>
      <w:r>
        <w:rPr>
          <w:color w:val="231F20"/>
        </w:rPr>
        <w:t>bevatten:</w:t>
      </w:r>
    </w:p>
    <w:p>
      <w:pPr>
        <w:pStyle w:val="BodyText"/>
        <w:spacing w:line="218" w:lineRule="auto" w:before="86"/>
      </w:pPr>
      <w:r>
        <w:rPr>
          <w:color w:val="231F20"/>
        </w:rPr>
        <w:t>1° een inleiding, waarin ten minste wordt vermeld op welke jaarrekening de wettelijke controle betrekking heeft, welke vennoot- schap is onderworpen aan de wettelijke controle, wie tussenkomt in de benoemingsprocedure van de commissarissen bedoeld in artikel 3:58, de datum van de benoeming van de commissarissen, de termijn van hun mandaat, het aantal opeenvolgende boekjaren dat het bedrijfsre- visorenkantoor of het geregistreerd auditkantoor, of, bij gebrek eraan, de bedrijfsrevisor belast is met de wettelijke controle van de jaarreke- ning van de vennootschap sinds de eerste benoeming, en volgens welk boekhoudkundig referentiestelsel de jaarrekening werd opgesteld, alsook</w:t>
      </w:r>
      <w:r>
        <w:rPr>
          <w:color w:val="231F20"/>
          <w:spacing w:val="16"/>
        </w:rPr>
        <w:t> </w:t>
      </w:r>
      <w:r>
        <w:rPr>
          <w:color w:val="231F20"/>
        </w:rPr>
        <w:t>de</w:t>
      </w:r>
      <w:r>
        <w:rPr>
          <w:color w:val="231F20"/>
          <w:spacing w:val="16"/>
        </w:rPr>
        <w:t> </w:t>
      </w:r>
      <w:r>
        <w:rPr>
          <w:color w:val="231F20"/>
        </w:rPr>
        <w:t>periode</w:t>
      </w:r>
      <w:r>
        <w:rPr>
          <w:color w:val="231F20"/>
          <w:spacing w:val="16"/>
        </w:rPr>
        <w:t> </w:t>
      </w:r>
      <w:r>
        <w:rPr>
          <w:color w:val="231F20"/>
        </w:rPr>
        <w:t>waarop</w:t>
      </w:r>
      <w:r>
        <w:rPr>
          <w:color w:val="231F20"/>
          <w:spacing w:val="16"/>
        </w:rPr>
        <w:t> </w:t>
      </w:r>
      <w:r>
        <w:rPr>
          <w:color w:val="231F20"/>
        </w:rPr>
        <w:t>de</w:t>
      </w:r>
      <w:r>
        <w:rPr>
          <w:color w:val="231F20"/>
          <w:spacing w:val="16"/>
        </w:rPr>
        <w:t> </w:t>
      </w:r>
      <w:r>
        <w:rPr>
          <w:color w:val="231F20"/>
        </w:rPr>
        <w:t>jaarrekening</w:t>
      </w:r>
      <w:r>
        <w:rPr>
          <w:color w:val="231F20"/>
          <w:spacing w:val="16"/>
        </w:rPr>
        <w:t> </w:t>
      </w:r>
      <w:r>
        <w:rPr>
          <w:color w:val="231F20"/>
        </w:rPr>
        <w:t>betrekking</w:t>
      </w:r>
      <w:r>
        <w:rPr>
          <w:color w:val="231F20"/>
          <w:spacing w:val="17"/>
        </w:rPr>
        <w:t> </w:t>
      </w:r>
      <w:r>
        <w:rPr>
          <w:color w:val="231F20"/>
        </w:rPr>
        <w:t>heeft;</w:t>
      </w:r>
    </w:p>
    <w:p>
      <w:pPr>
        <w:pStyle w:val="BodyText"/>
        <w:spacing w:line="218" w:lineRule="auto" w:before="86"/>
      </w:pPr>
      <w:r>
        <w:rPr>
          <w:color w:val="231F20"/>
        </w:rPr>
        <w:t>2° een beschrijving van de reikwijdte van de controle, waarin ten minste wordt aangegeven welke normen voor de controle bij de uitvoering ervan zijn in acht genomen en of zij van het bestuursorgaan en aangestelden van de vennootschap de toelichtingen en de informatie hebben bekomen die nodig is voor hun controle;</w:t>
      </w:r>
    </w:p>
    <w:p>
      <w:pPr>
        <w:pStyle w:val="BodyText"/>
        <w:spacing w:line="218" w:lineRule="auto" w:before="86"/>
        <w:ind w:right="123"/>
      </w:pPr>
      <w:r>
        <w:rPr>
          <w:color w:val="231F20"/>
        </w:rPr>
        <w:t>3° een vermelding die aangeeft dat de boekhouding is gevoerd in overeenstemming met de wettelijke en reglementaire voorschriften die daarop van toepassing zijn;</w:t>
      </w:r>
    </w:p>
    <w:p>
      <w:pPr>
        <w:pStyle w:val="BodyText"/>
        <w:spacing w:line="218" w:lineRule="auto" w:before="85"/>
        <w:ind w:right="123"/>
      </w:pPr>
      <w:r>
        <w:rPr>
          <w:color w:val="231F20"/>
        </w:rPr>
        <w:t>4° een oordeel waarin de commissarissen aangeven of volgens hen de jaarrekening een getrouw beeld geeft van het vermogen, van de financiële toestand en van de resultaten van de vennootschap overeen- komstig het toepasselijk boekhoudkundig referentiestelsel en, in voor- komend geval, of de jaarrekening aan de wettelijke vereisten voldoet. Het oordeel kan de vorm aannemen van een oordeel zonder voorbe- houd, een oordeel met voorbehoud, een afkeurend oordeel, of indien de commissarissen zich geen oordeel kunnen vormen, een onthoudende verklaring;</w:t>
      </w:r>
    </w:p>
    <w:p>
      <w:pPr>
        <w:pStyle w:val="BodyText"/>
        <w:spacing w:line="218" w:lineRule="auto" w:before="87"/>
      </w:pPr>
      <w:r>
        <w:rPr>
          <w:color w:val="231F20"/>
        </w:rPr>
        <w:t>5° een verwijzing naar bepaalde aangelegenheden waarop de commissarissen in het bijzonder de aandacht vestigen ongeacht of al dan niet een voorbehoud werd opgenomen in het oordeel;</w:t>
      </w:r>
    </w:p>
    <w:p>
      <w:pPr>
        <w:pStyle w:val="BodyText"/>
        <w:spacing w:line="218" w:lineRule="auto" w:before="96"/>
      </w:pPr>
      <w:r>
        <w:rPr>
          <w:color w:val="231F20"/>
        </w:rPr>
        <w:t>6° een oordeel dat aangeeft of het jaarverslag in overeenstemming is met de jaarrekening voor hetzelfde boekjaar en of het is opgesteld overeenkomstig de artikelen 3:5 en 3:6. Indien de in artikel 3:6, § 4, vereiste verklaring van niet-financiële informatie wordt opgenomen in een afzonderlijk verslag, bevat het verslag van de commissarissen een oordeel die aangeeft of dit afzonderlijk verslag de vereiste inlichtingen bevat en in overeenstemming is met de jaarrekening voor hetzelfde boekjaar;</w:t>
      </w:r>
    </w:p>
    <w:p>
      <w:pPr>
        <w:pStyle w:val="BodyText"/>
        <w:spacing w:line="218" w:lineRule="auto" w:before="96"/>
      </w:pPr>
      <w:r>
        <w:rPr>
          <w:color w:val="231F20"/>
        </w:rPr>
        <w:t>7° een verklaring betreffende materiële onzekerheden die verband houden met gebeurtenissen of omstandigheden die mogelijk aanzien- lijke twijfel doen rijzen over het vermogen van de vennootschap om haar bedrijfsactiviteiten voort te zetten;</w:t>
      </w:r>
    </w:p>
    <w:p>
      <w:pPr>
        <w:pStyle w:val="BodyText"/>
        <w:spacing w:line="218" w:lineRule="auto" w:before="97"/>
      </w:pPr>
      <w:r>
        <w:rPr>
          <w:color w:val="231F20"/>
        </w:rPr>
        <w:t>8° een vermelding die aangeeft of de resultaatverwerking die aan de algemene vergadering wordt voorgelegd, in overeenstemming is met  de</w:t>
      </w:r>
      <w:r>
        <w:rPr>
          <w:color w:val="231F20"/>
          <w:spacing w:val="15"/>
        </w:rPr>
        <w:t> </w:t>
      </w:r>
      <w:r>
        <w:rPr>
          <w:color w:val="231F20"/>
        </w:rPr>
        <w:t>statuten</w:t>
      </w:r>
      <w:r>
        <w:rPr>
          <w:color w:val="231F20"/>
          <w:spacing w:val="15"/>
        </w:rPr>
        <w:t> </w:t>
      </w:r>
      <w:r>
        <w:rPr>
          <w:color w:val="231F20"/>
        </w:rPr>
        <w:t>en</w:t>
      </w:r>
      <w:r>
        <w:rPr>
          <w:color w:val="231F20"/>
          <w:spacing w:val="15"/>
        </w:rPr>
        <w:t> </w:t>
      </w:r>
      <w:r>
        <w:rPr>
          <w:color w:val="231F20"/>
        </w:rPr>
        <w:t>met</w:t>
      </w:r>
      <w:r>
        <w:rPr>
          <w:color w:val="231F20"/>
          <w:spacing w:val="15"/>
        </w:rPr>
        <w:t> </w:t>
      </w:r>
      <w:r>
        <w:rPr>
          <w:color w:val="231F20"/>
        </w:rPr>
        <w:t>dit</w:t>
      </w:r>
      <w:r>
        <w:rPr>
          <w:color w:val="231F20"/>
          <w:spacing w:val="15"/>
        </w:rPr>
        <w:t> </w:t>
      </w:r>
      <w:r>
        <w:rPr>
          <w:color w:val="231F20"/>
        </w:rPr>
        <w:t>wetboek;</w:t>
      </w:r>
    </w:p>
    <w:p>
      <w:pPr>
        <w:pStyle w:val="BodyText"/>
        <w:spacing w:line="218" w:lineRule="auto" w:before="96"/>
      </w:pPr>
      <w:r>
        <w:rPr>
          <w:color w:val="231F20"/>
        </w:rPr>
        <w:t>9° de vermelding dat zij geen kennis hebben gekregen van verrich- tingen gedaan of beslissingen genomen met overtreding van  de statuten of van de bepalingen van dit wetboek. Kregen zij wel kennis van dergelijke overtredingen, dienen zij daarvan melding te</w:t>
      </w:r>
      <w:r>
        <w:rPr>
          <w:color w:val="231F20"/>
          <w:spacing w:val="33"/>
        </w:rPr>
        <w:t> </w:t>
      </w:r>
      <w:r>
        <w:rPr>
          <w:color w:val="231F20"/>
        </w:rPr>
        <w:t>maken. Deze laatste vermelding kan echter worden weggelaten wanneer de openbaarmaking van de overtreding aan de vennootschap onverant- woorde schade kan berokkenen, onder meer omdat het bestuursorgaan gepaste maatregelen heeft genomen om de aldus ontstane onwettige toestand te</w:t>
      </w:r>
      <w:r>
        <w:rPr>
          <w:color w:val="231F20"/>
          <w:spacing w:val="-12"/>
        </w:rPr>
        <w:t> </w:t>
      </w:r>
      <w:r>
        <w:rPr>
          <w:color w:val="231F20"/>
        </w:rPr>
        <w:t>verhelpen;</w:t>
      </w:r>
    </w:p>
    <w:p>
      <w:pPr>
        <w:pStyle w:val="BodyText"/>
        <w:spacing w:line="218" w:lineRule="auto" w:before="96"/>
      </w:pPr>
      <w:r>
        <w:rPr>
          <w:color w:val="231F20"/>
        </w:rPr>
        <w:t>10° een vermelding die aangeeft of de documenten die overeenkom- stig artikel 3:12, § 1, 5°, 7°, 8°, en § 2 moeten worden neergelegd zowel qua vorm als inhoud de door dit wetboek verplichte informatie bevatten;</w:t>
      </w:r>
    </w:p>
    <w:p>
      <w:pPr>
        <w:pStyle w:val="BodyText"/>
        <w:spacing w:line="218" w:lineRule="auto" w:before="97"/>
        <w:ind w:right="112"/>
      </w:pPr>
      <w:r>
        <w:rPr>
          <w:color w:val="231F20"/>
          <w:spacing w:val="-4"/>
        </w:rPr>
        <w:t>11° </w:t>
      </w:r>
      <w:r>
        <w:rPr>
          <w:color w:val="231F20"/>
        </w:rPr>
        <w:t>een vermelding ter bevestiging, enerzijds, dat zij geen opdrachten hebben verricht die onverenigbaar zijn met de wettelijke controle van de jaarrekening en dat zij in de loop van hun mandaat onafhankelijk zijn gebleven tegenover de vennootschap en, anderzijds, dat de bedragen voor de bijkomende opdrachten die verenigbaar zijn met de </w:t>
      </w:r>
      <w:r>
        <w:rPr>
          <w:color w:val="231F20"/>
          <w:spacing w:val="9"/>
        </w:rPr>
        <w:t>wettelijke  controle  </w:t>
      </w:r>
      <w:r>
        <w:rPr>
          <w:color w:val="231F20"/>
          <w:spacing w:val="7"/>
        </w:rPr>
        <w:t>van  </w:t>
      </w:r>
      <w:r>
        <w:rPr>
          <w:color w:val="231F20"/>
          <w:spacing w:val="5"/>
        </w:rPr>
        <w:t>de   </w:t>
      </w:r>
      <w:r>
        <w:rPr>
          <w:color w:val="231F20"/>
          <w:spacing w:val="9"/>
        </w:rPr>
        <w:t>jaarrekening   bedoeld   </w:t>
      </w:r>
      <w:r>
        <w:rPr>
          <w:color w:val="231F20"/>
          <w:spacing w:val="5"/>
        </w:rPr>
        <w:t>in   </w:t>
      </w:r>
      <w:r>
        <w:rPr>
          <w:color w:val="231F20"/>
          <w:spacing w:val="11"/>
        </w:rPr>
        <w:t>arti- </w:t>
      </w:r>
      <w:r>
        <w:rPr>
          <w:color w:val="231F20"/>
        </w:rPr>
        <w:t>kel 3:65 desgevallend correct zijn vermeld en uitgesplitst in de toelichting bij de jaarrekening. Indien dit niet het geval is, vermelden</w:t>
      </w:r>
      <w:r>
        <w:rPr>
          <w:color w:val="231F20"/>
          <w:spacing w:val="-24"/>
        </w:rPr>
        <w:t> </w:t>
      </w:r>
      <w:r>
        <w:rPr>
          <w:color w:val="231F20"/>
        </w:rPr>
        <w:t>de commissarissen de gedetailleerde informatie zelf in hun verslag van commissaris(sen);</w:t>
      </w:r>
    </w:p>
    <w:p>
      <w:pPr>
        <w:pStyle w:val="BodyText"/>
        <w:spacing w:line="270" w:lineRule="atLeast" w:before="6"/>
        <w:ind w:left="283" w:right="0" w:hanging="1"/>
        <w:jc w:val="left"/>
      </w:pPr>
      <w:r>
        <w:rPr>
          <w:color w:val="231F20"/>
        </w:rPr>
        <w:t>12° een vermelding van de vestigingsplaats van de commissaris(sen). Het verslag wordt ondertekend en gedagtekend door de commissa-</w:t>
      </w:r>
    </w:p>
    <w:p>
      <w:pPr>
        <w:pStyle w:val="BodyText"/>
        <w:spacing w:line="178" w:lineRule="exact"/>
        <w:ind w:right="0" w:firstLine="0"/>
        <w:jc w:val="left"/>
      </w:pPr>
      <w:r>
        <w:rPr>
          <w:color w:val="231F20"/>
        </w:rPr>
        <w:t>rissen.</w:t>
      </w:r>
    </w:p>
    <w:p>
      <w:pPr>
        <w:pStyle w:val="BodyText"/>
        <w:spacing w:line="218" w:lineRule="auto" w:before="92"/>
      </w:pPr>
      <w:r>
        <w:rPr>
          <w:color w:val="231F20"/>
        </w:rPr>
        <w:t>§ 2. Indien de wettelijke controle is toevertrouwd aan meer dan één commissaris, dienen zij overeenstemming te bereiken over de resulta- ten van de wettelijke controle en geven zij een gezamenlijk verslag over de wettelijke controle van de jaarrekening en een gezamenlijk oordeel</w:t>
      </w:r>
    </w:p>
    <w:p>
      <w:pPr>
        <w:spacing w:after="0" w:line="218" w:lineRule="auto"/>
        <w:sectPr>
          <w:pgSz w:w="11940" w:h="16880"/>
          <w:pgMar w:header="666" w:footer="0" w:top="1140" w:bottom="280" w:left="340" w:right="360"/>
          <w:cols w:num="2" w:equalWidth="0">
            <w:col w:w="5528" w:space="99"/>
            <w:col w:w="5613"/>
          </w:cols>
        </w:sectPr>
      </w:pPr>
    </w:p>
    <w:p>
      <w:pPr>
        <w:pStyle w:val="BodyText"/>
        <w:spacing w:line="218" w:lineRule="auto" w:before="119"/>
        <w:ind w:right="0" w:hanging="1"/>
        <w:jc w:val="left"/>
      </w:pPr>
      <w:r>
        <w:rPr/>
        <w:pict>
          <v:line style="position:absolute;mso-position-horizontal-relative:page;mso-position-vertical-relative:page;z-index:2896" from="298.170502pt,64.473pt" to="298.170502pt,812.819pt" stroked="true" strokeweight=".533pt" strokecolor="#231f20">
            <v:stroke dashstyle="solid"/>
            <w10:wrap type="none"/>
          </v:line>
        </w:pict>
      </w:r>
      <w:bookmarkStart w:name="_bookmark78" w:id="83"/>
      <w:bookmarkEnd w:id="83"/>
      <w:r>
        <w:rPr/>
      </w:r>
      <w:r>
        <w:rPr>
          <w:color w:val="231F20"/>
        </w:rPr>
        <w:t>présente son avis dans un paragraphe distinct du rapport et expose les raisons de ce désaccord.</w:t>
      </w:r>
    </w:p>
    <w:p>
      <w:pPr>
        <w:pStyle w:val="BodyText"/>
        <w:spacing w:before="11"/>
        <w:ind w:left="0" w:right="0" w:firstLine="0"/>
        <w:jc w:val="left"/>
        <w:rPr>
          <w:sz w:val="23"/>
        </w:rPr>
      </w:pPr>
    </w:p>
    <w:p>
      <w:pPr>
        <w:pStyle w:val="BodyText"/>
        <w:spacing w:line="218" w:lineRule="auto"/>
        <w:ind w:right="38"/>
      </w:pPr>
      <w:r>
        <w:rPr>
          <w:color w:val="231F20"/>
        </w:rPr>
        <w:t>En outre, lorsque le contrôle légal des comptes est confié à plusieurs commissaires, le rapport sur le contrôle légal des comptes est signé par tous les commissaires.</w:t>
      </w:r>
    </w:p>
    <w:p>
      <w:pPr>
        <w:pStyle w:val="BodyText"/>
        <w:spacing w:line="218" w:lineRule="auto" w:before="96"/>
        <w:ind w:right="38"/>
      </w:pPr>
      <w:r>
        <w:rPr>
          <w:color w:val="231F20"/>
        </w:rPr>
        <w:t>§ 3. Lorsque le contrôle légal des comptes est confié à un cabinet de révision ou à un cabinet d’audit enregistré, le rapport sur le contrôle légal des comptes porte au moins la signature du représentant permanent qui effectue le contrôle légal des comptes pour le compte du cabinet de révision ou du cabinet d’audit enregistré.</w:t>
      </w:r>
    </w:p>
    <w:p>
      <w:pPr>
        <w:pStyle w:val="BodyText"/>
        <w:ind w:left="0" w:right="0" w:firstLine="0"/>
        <w:jc w:val="left"/>
        <w:rPr>
          <w:sz w:val="24"/>
        </w:rPr>
      </w:pPr>
    </w:p>
    <w:p>
      <w:pPr>
        <w:pStyle w:val="BodyText"/>
        <w:spacing w:line="218" w:lineRule="auto"/>
        <w:ind w:right="38"/>
      </w:pPr>
      <w:r>
        <w:rPr>
          <w:color w:val="231F20"/>
        </w:rPr>
        <w:t>§ 4. L’étendue du contrôle légal des comptes ne comprend pas d’assurance</w:t>
      </w:r>
      <w:r>
        <w:rPr>
          <w:color w:val="231F20"/>
          <w:spacing w:val="-3"/>
        </w:rPr>
        <w:t> </w:t>
      </w:r>
      <w:r>
        <w:rPr>
          <w:color w:val="231F20"/>
        </w:rPr>
        <w:t>quant</w:t>
      </w:r>
      <w:r>
        <w:rPr>
          <w:color w:val="231F20"/>
          <w:spacing w:val="-3"/>
        </w:rPr>
        <w:t> </w:t>
      </w:r>
      <w:r>
        <w:rPr>
          <w:color w:val="231F20"/>
        </w:rPr>
        <w:t>à</w:t>
      </w:r>
      <w:r>
        <w:rPr>
          <w:color w:val="231F20"/>
          <w:spacing w:val="-3"/>
        </w:rPr>
        <w:t> </w:t>
      </w:r>
      <w:r>
        <w:rPr>
          <w:color w:val="231F20"/>
        </w:rPr>
        <w:t>la</w:t>
      </w:r>
      <w:r>
        <w:rPr>
          <w:color w:val="231F20"/>
          <w:spacing w:val="-2"/>
        </w:rPr>
        <w:t> </w:t>
      </w:r>
      <w:r>
        <w:rPr>
          <w:color w:val="231F20"/>
        </w:rPr>
        <w:t>viabilité</w:t>
      </w:r>
      <w:r>
        <w:rPr>
          <w:color w:val="231F20"/>
          <w:spacing w:val="-3"/>
        </w:rPr>
        <w:t> </w:t>
      </w:r>
      <w:r>
        <w:rPr>
          <w:color w:val="231F20"/>
        </w:rPr>
        <w:t>future</w:t>
      </w:r>
      <w:r>
        <w:rPr>
          <w:color w:val="231F20"/>
          <w:spacing w:val="-3"/>
        </w:rPr>
        <w:t> </w:t>
      </w:r>
      <w:r>
        <w:rPr>
          <w:color w:val="231F20"/>
        </w:rPr>
        <w:t>de</w:t>
      </w:r>
      <w:r>
        <w:rPr>
          <w:color w:val="231F20"/>
          <w:spacing w:val="-3"/>
        </w:rPr>
        <w:t> </w:t>
      </w:r>
      <w:r>
        <w:rPr>
          <w:color w:val="231F20"/>
        </w:rPr>
        <w:t>la</w:t>
      </w:r>
      <w:r>
        <w:rPr>
          <w:color w:val="231F20"/>
          <w:spacing w:val="-2"/>
        </w:rPr>
        <w:t> </w:t>
      </w:r>
      <w:r>
        <w:rPr>
          <w:color w:val="231F20"/>
        </w:rPr>
        <w:t>société</w:t>
      </w:r>
      <w:r>
        <w:rPr>
          <w:color w:val="231F20"/>
          <w:spacing w:val="-3"/>
        </w:rPr>
        <w:t> </w:t>
      </w:r>
      <w:r>
        <w:rPr>
          <w:color w:val="231F20"/>
        </w:rPr>
        <w:t>ni</w:t>
      </w:r>
      <w:r>
        <w:rPr>
          <w:color w:val="231F20"/>
          <w:spacing w:val="-3"/>
        </w:rPr>
        <w:t> </w:t>
      </w:r>
      <w:r>
        <w:rPr>
          <w:color w:val="231F20"/>
        </w:rPr>
        <w:t>quant</w:t>
      </w:r>
      <w:r>
        <w:rPr>
          <w:color w:val="231F20"/>
          <w:spacing w:val="-3"/>
        </w:rPr>
        <w:t> </w:t>
      </w:r>
      <w:r>
        <w:rPr>
          <w:color w:val="231F20"/>
        </w:rPr>
        <w:t>à</w:t>
      </w:r>
      <w:r>
        <w:rPr>
          <w:color w:val="231F20"/>
          <w:spacing w:val="-2"/>
        </w:rPr>
        <w:t> </w:t>
      </w:r>
      <w:r>
        <w:rPr>
          <w:color w:val="231F20"/>
        </w:rPr>
        <w:t>l’efficience ou </w:t>
      </w:r>
      <w:r>
        <w:rPr>
          <w:color w:val="231F20"/>
          <w:spacing w:val="-3"/>
        </w:rPr>
        <w:t>l’efficacité </w:t>
      </w:r>
      <w:r>
        <w:rPr>
          <w:color w:val="231F20"/>
        </w:rPr>
        <w:t>avec laquelle l’organe d’administration a mené ou mènera les affaires de la</w:t>
      </w:r>
      <w:r>
        <w:rPr>
          <w:color w:val="231F20"/>
          <w:spacing w:val="17"/>
        </w:rPr>
        <w:t> </w:t>
      </w:r>
      <w:r>
        <w:rPr>
          <w:color w:val="231F20"/>
        </w:rPr>
        <w:t>société.</w:t>
      </w:r>
    </w:p>
    <w:p>
      <w:pPr>
        <w:pStyle w:val="BodyText"/>
        <w:spacing w:before="82"/>
        <w:ind w:left="283" w:right="0" w:firstLine="0"/>
        <w:jc w:val="left"/>
      </w:pPr>
      <w:r>
        <w:rPr>
          <w:color w:val="231F20"/>
        </w:rPr>
        <w:t>CHAPITRE 3. Contrôle légal des comptes consolidés.</w:t>
      </w:r>
    </w:p>
    <w:p>
      <w:pPr>
        <w:pStyle w:val="BodyText"/>
        <w:spacing w:before="1"/>
        <w:ind w:left="0" w:right="0" w:firstLine="0"/>
        <w:jc w:val="left"/>
        <w:rPr>
          <w:sz w:val="21"/>
        </w:rPr>
      </w:pPr>
    </w:p>
    <w:p>
      <w:pPr>
        <w:pStyle w:val="BodyText"/>
        <w:ind w:left="283" w:right="0" w:firstLine="0"/>
        <w:jc w:val="left"/>
      </w:pPr>
      <w:r>
        <w:rPr>
          <w:color w:val="231F20"/>
        </w:rPr>
        <w:t>Section 1</w:t>
      </w:r>
      <w:r>
        <w:rPr>
          <w:color w:val="231F20"/>
          <w:position w:val="7"/>
          <w:sz w:val="11"/>
        </w:rPr>
        <w:t>re</w:t>
      </w:r>
      <w:r>
        <w:rPr>
          <w:color w:val="231F20"/>
        </w:rPr>
        <w:t>. Régime général.</w:t>
      </w:r>
    </w:p>
    <w:p>
      <w:pPr>
        <w:pStyle w:val="BodyText"/>
        <w:spacing w:line="218" w:lineRule="auto" w:before="93"/>
        <w:ind w:right="39"/>
      </w:pPr>
      <w:r>
        <w:rPr>
          <w:color w:val="231F20"/>
        </w:rPr>
        <w:t>Art. 3:76. Sauf dispositions contraires dans d’autres législations, le présent chapitre n’est pas applicable à l’égard:</w:t>
      </w:r>
    </w:p>
    <w:p>
      <w:pPr>
        <w:pStyle w:val="BodyText"/>
        <w:spacing w:line="218" w:lineRule="auto" w:before="106"/>
        <w:ind w:right="38"/>
      </w:pPr>
      <w:r>
        <w:rPr>
          <w:color w:val="231F20"/>
        </w:rPr>
        <w:t>1°</w:t>
      </w:r>
      <w:r>
        <w:rPr>
          <w:color w:val="231F20"/>
          <w:spacing w:val="-5"/>
        </w:rPr>
        <w:t> </w:t>
      </w:r>
      <w:r>
        <w:rPr>
          <w:color w:val="231F20"/>
        </w:rPr>
        <w:t>des</w:t>
      </w:r>
      <w:r>
        <w:rPr>
          <w:color w:val="231F20"/>
          <w:spacing w:val="-4"/>
        </w:rPr>
        <w:t> </w:t>
      </w:r>
      <w:r>
        <w:rPr>
          <w:color w:val="231F20"/>
        </w:rPr>
        <w:t>établissements</w:t>
      </w:r>
      <w:r>
        <w:rPr>
          <w:color w:val="231F20"/>
          <w:spacing w:val="-4"/>
        </w:rPr>
        <w:t> </w:t>
      </w:r>
      <w:r>
        <w:rPr>
          <w:color w:val="231F20"/>
        </w:rPr>
        <w:t>de</w:t>
      </w:r>
      <w:r>
        <w:rPr>
          <w:color w:val="231F20"/>
          <w:spacing w:val="-4"/>
        </w:rPr>
        <w:t> </w:t>
      </w:r>
      <w:r>
        <w:rPr>
          <w:color w:val="231F20"/>
        </w:rPr>
        <w:t>crédit</w:t>
      </w:r>
      <w:r>
        <w:rPr>
          <w:color w:val="231F20"/>
          <w:spacing w:val="-4"/>
        </w:rPr>
        <w:t> </w:t>
      </w:r>
      <w:r>
        <w:rPr>
          <w:color w:val="231F20"/>
        </w:rPr>
        <w:t>régis</w:t>
      </w:r>
      <w:r>
        <w:rPr>
          <w:color w:val="231F20"/>
          <w:spacing w:val="-4"/>
        </w:rPr>
        <w:t> </w:t>
      </w:r>
      <w:r>
        <w:rPr>
          <w:color w:val="231F20"/>
        </w:rPr>
        <w:t>par</w:t>
      </w:r>
      <w:r>
        <w:rPr>
          <w:color w:val="231F20"/>
          <w:spacing w:val="-5"/>
        </w:rPr>
        <w:t> </w:t>
      </w:r>
      <w:r>
        <w:rPr>
          <w:color w:val="231F20"/>
        </w:rPr>
        <w:t>la</w:t>
      </w:r>
      <w:r>
        <w:rPr>
          <w:color w:val="231F20"/>
          <w:spacing w:val="-4"/>
        </w:rPr>
        <w:t> </w:t>
      </w:r>
      <w:r>
        <w:rPr>
          <w:color w:val="231F20"/>
        </w:rPr>
        <w:t>loi</w:t>
      </w:r>
      <w:r>
        <w:rPr>
          <w:color w:val="231F20"/>
          <w:spacing w:val="-4"/>
        </w:rPr>
        <w:t> </w:t>
      </w:r>
      <w:r>
        <w:rPr>
          <w:color w:val="231F20"/>
        </w:rPr>
        <w:t>du</w:t>
      </w:r>
      <w:r>
        <w:rPr>
          <w:color w:val="231F20"/>
          <w:spacing w:val="-4"/>
        </w:rPr>
        <w:t> </w:t>
      </w:r>
      <w:r>
        <w:rPr>
          <w:color w:val="231F20"/>
        </w:rPr>
        <w:t>25</w:t>
      </w:r>
      <w:r>
        <w:rPr>
          <w:color w:val="231F20"/>
          <w:spacing w:val="-4"/>
        </w:rPr>
        <w:t> </w:t>
      </w:r>
      <w:r>
        <w:rPr>
          <w:color w:val="231F20"/>
        </w:rPr>
        <w:t>avril</w:t>
      </w:r>
      <w:r>
        <w:rPr>
          <w:color w:val="231F20"/>
          <w:spacing w:val="-4"/>
        </w:rPr>
        <w:t> </w:t>
      </w:r>
      <w:r>
        <w:rPr>
          <w:color w:val="231F20"/>
        </w:rPr>
        <w:t>2014</w:t>
      </w:r>
      <w:r>
        <w:rPr>
          <w:color w:val="231F20"/>
          <w:spacing w:val="-4"/>
        </w:rPr>
        <w:t> </w:t>
      </w:r>
      <w:r>
        <w:rPr>
          <w:color w:val="231F20"/>
        </w:rPr>
        <w:t>relative au statut et au contrôle des établissements de crédit et des sociétés de bourse, de la Banque nationale de Belgique, de l’Institut de réescompte et</w:t>
      </w:r>
      <w:r>
        <w:rPr>
          <w:color w:val="231F20"/>
          <w:spacing w:val="15"/>
        </w:rPr>
        <w:t> </w:t>
      </w:r>
      <w:r>
        <w:rPr>
          <w:color w:val="231F20"/>
        </w:rPr>
        <w:t>de</w:t>
      </w:r>
      <w:r>
        <w:rPr>
          <w:color w:val="231F20"/>
          <w:spacing w:val="15"/>
        </w:rPr>
        <w:t> </w:t>
      </w:r>
      <w:r>
        <w:rPr>
          <w:color w:val="231F20"/>
        </w:rPr>
        <w:t>garantie</w:t>
      </w:r>
      <w:r>
        <w:rPr>
          <w:color w:val="231F20"/>
          <w:spacing w:val="16"/>
        </w:rPr>
        <w:t> </w:t>
      </w:r>
      <w:r>
        <w:rPr>
          <w:color w:val="231F20"/>
        </w:rPr>
        <w:t>et</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Caisse</w:t>
      </w:r>
      <w:r>
        <w:rPr>
          <w:color w:val="231F20"/>
          <w:spacing w:val="16"/>
        </w:rPr>
        <w:t> </w:t>
      </w:r>
      <w:r>
        <w:rPr>
          <w:color w:val="231F20"/>
        </w:rPr>
        <w:t>des</w:t>
      </w:r>
      <w:r>
        <w:rPr>
          <w:color w:val="231F20"/>
          <w:spacing w:val="15"/>
        </w:rPr>
        <w:t> </w:t>
      </w:r>
      <w:r>
        <w:rPr>
          <w:color w:val="231F20"/>
        </w:rPr>
        <w:t>dépôts</w:t>
      </w:r>
      <w:r>
        <w:rPr>
          <w:color w:val="231F20"/>
          <w:spacing w:val="16"/>
        </w:rPr>
        <w:t> </w:t>
      </w:r>
      <w:r>
        <w:rPr>
          <w:color w:val="231F20"/>
        </w:rPr>
        <w:t>et</w:t>
      </w:r>
      <w:r>
        <w:rPr>
          <w:color w:val="231F20"/>
          <w:spacing w:val="15"/>
        </w:rPr>
        <w:t> </w:t>
      </w:r>
      <w:r>
        <w:rPr>
          <w:color w:val="231F20"/>
        </w:rPr>
        <w:t>consignations;</w:t>
      </w:r>
    </w:p>
    <w:p>
      <w:pPr>
        <w:pStyle w:val="BodyText"/>
        <w:spacing w:line="218" w:lineRule="auto" w:before="107"/>
        <w:ind w:right="38"/>
      </w:pPr>
      <w:r>
        <w:rPr>
          <w:color w:val="231F20"/>
        </w:rPr>
        <w:t>2° des entreprises d’investissement visées dans la loi du 25 octo-    bre 2016 relative à l’accès à l’activité de prestation de services d’investissement et au statut et au contrôle des sociétés de gestion de portefeuille</w:t>
      </w:r>
      <w:r>
        <w:rPr>
          <w:color w:val="231F20"/>
          <w:spacing w:val="14"/>
        </w:rPr>
        <w:t> </w:t>
      </w:r>
      <w:r>
        <w:rPr>
          <w:color w:val="231F20"/>
        </w:rPr>
        <w:t>et</w:t>
      </w:r>
      <w:r>
        <w:rPr>
          <w:color w:val="231F20"/>
          <w:spacing w:val="15"/>
        </w:rPr>
        <w:t> </w:t>
      </w:r>
      <w:r>
        <w:rPr>
          <w:color w:val="231F20"/>
        </w:rPr>
        <w:t>de</w:t>
      </w:r>
      <w:r>
        <w:rPr>
          <w:color w:val="231F20"/>
          <w:spacing w:val="15"/>
        </w:rPr>
        <w:t> </w:t>
      </w:r>
      <w:r>
        <w:rPr>
          <w:color w:val="231F20"/>
        </w:rPr>
        <w:t>conseil</w:t>
      </w:r>
      <w:r>
        <w:rPr>
          <w:color w:val="231F20"/>
          <w:spacing w:val="15"/>
        </w:rPr>
        <w:t> </w:t>
      </w:r>
      <w:r>
        <w:rPr>
          <w:color w:val="231F20"/>
        </w:rPr>
        <w:t>en</w:t>
      </w:r>
      <w:r>
        <w:rPr>
          <w:color w:val="231F20"/>
          <w:spacing w:val="15"/>
        </w:rPr>
        <w:t> </w:t>
      </w:r>
      <w:r>
        <w:rPr>
          <w:color w:val="231F20"/>
        </w:rPr>
        <w:t>investissement;</w:t>
      </w:r>
    </w:p>
    <w:p>
      <w:pPr>
        <w:pStyle w:val="BodyText"/>
        <w:spacing w:line="218" w:lineRule="auto" w:before="107"/>
        <w:ind w:right="38"/>
      </w:pPr>
      <w:r>
        <w:rPr>
          <w:color w:val="231F20"/>
        </w:rPr>
        <w:t>3° aux entreprises agricoles agréées conformément l’article 8:2 qui ont pris la forme d’une société en nom collectif ou d’une société en commandite et qui sont assujetties à l’impôt des personnes physiques.</w:t>
      </w:r>
    </w:p>
    <w:p>
      <w:pPr>
        <w:pStyle w:val="BodyText"/>
        <w:spacing w:before="10"/>
        <w:ind w:left="0" w:right="0" w:firstLine="0"/>
        <w:jc w:val="left"/>
        <w:rPr>
          <w:sz w:val="24"/>
        </w:rPr>
      </w:pPr>
    </w:p>
    <w:p>
      <w:pPr>
        <w:pStyle w:val="BodyText"/>
        <w:spacing w:line="218" w:lineRule="auto"/>
        <w:ind w:right="38"/>
      </w:pPr>
      <w:r>
        <w:rPr>
          <w:color w:val="231F20"/>
        </w:rPr>
        <w:t>Art. 3:77. Les comptes consolidés doivent être contrôlés par le ou les commissaire(s) de la société consolidante ou par un ou plusieurs réviseur(s) d’entreprises ou par un cabinet d’audit enregistré désignés  à cet effet. Si les comptes consolidés ne sont pas contrôlés par le ou les commissaire(s), la nomination est de la compétence de l’assemblée générale.</w:t>
      </w:r>
    </w:p>
    <w:p>
      <w:pPr>
        <w:pStyle w:val="BodyText"/>
        <w:spacing w:line="218" w:lineRule="auto" w:before="107"/>
        <w:ind w:right="38"/>
      </w:pPr>
      <w:r>
        <w:rPr>
          <w:color w:val="231F20"/>
        </w:rPr>
        <w:t>En cas de consortium, les comptes consolidés sont contrôlés par le ou les commissaire(s) d’une au moins des sociétés, formant le consortium, ou par un ou plusieurs réviseur(s) d’entreprises ou par un cabinet d’audit enregistré désignés de commun accord à cet effet; dans le cas où les comptes consolidés sont établis selon la législation et dans la monnaie du pays d’une société étrangère, membre du consortium, ils peuvent être contrôlés par les contrôleurs des comptes de cette société étrangère.</w:t>
      </w:r>
    </w:p>
    <w:p>
      <w:pPr>
        <w:pStyle w:val="BodyText"/>
        <w:spacing w:before="11"/>
        <w:ind w:left="0" w:right="0" w:firstLine="0"/>
        <w:jc w:val="left"/>
        <w:rPr>
          <w:sz w:val="24"/>
        </w:rPr>
      </w:pPr>
    </w:p>
    <w:p>
      <w:pPr>
        <w:pStyle w:val="BodyText"/>
        <w:spacing w:line="218" w:lineRule="auto"/>
        <w:ind w:right="38"/>
      </w:pPr>
      <w:r>
        <w:rPr>
          <w:color w:val="231F20"/>
        </w:rPr>
        <w:t>Les articles 3:62 à 3:67 sont applicables au réviseur ou au cabinet d’audit enregistré chargé du contrôle des comptes consolidés sans être investi des fonctions de commissaire de la société consolidante.</w:t>
      </w:r>
    </w:p>
    <w:p>
      <w:pPr>
        <w:pStyle w:val="BodyText"/>
        <w:spacing w:before="10"/>
        <w:ind w:left="0" w:right="0" w:firstLine="0"/>
        <w:jc w:val="left"/>
        <w:rPr>
          <w:sz w:val="24"/>
        </w:rPr>
      </w:pPr>
    </w:p>
    <w:p>
      <w:pPr>
        <w:pStyle w:val="BodyText"/>
        <w:spacing w:line="218" w:lineRule="auto"/>
        <w:ind w:right="38"/>
      </w:pPr>
      <w:r>
        <w:rPr>
          <w:color w:val="231F20"/>
        </w:rPr>
        <w:t>Art. 3:78. La société consolidante doit faire usage du pouvoir de contrôle dont elle dispose pour obtenir des filiales comprises ou à comprendre dans la consolidation qu’elles permettent au réviseur chargé du contrôle des comptes consolidés d’exercer sur place les vérifications nécessaires et qu’elles lui fournissent à sa demande les renseignements et confirmations qui lui sont nécessaires pour se conformer aux obligations qui lui incombent en vertu des dispositions arrêtées par le Roi en matière d’établissement, de contrôle et de publicité des comptes consolidés.</w:t>
      </w:r>
    </w:p>
    <w:p>
      <w:pPr>
        <w:pStyle w:val="BodyText"/>
        <w:spacing w:line="218" w:lineRule="auto" w:before="92"/>
        <w:ind w:right="38"/>
      </w:pPr>
      <w:r>
        <w:rPr>
          <w:color w:val="231F20"/>
        </w:rPr>
        <w:t>Art. 3:79. § 1</w:t>
      </w:r>
      <w:r>
        <w:rPr>
          <w:color w:val="231F20"/>
          <w:position w:val="7"/>
          <w:sz w:val="11"/>
        </w:rPr>
        <w:t>er</w:t>
      </w:r>
      <w:r>
        <w:rPr>
          <w:color w:val="231F20"/>
        </w:rPr>
        <w:t>. Le commissaire, le réviseur d’entreprises ou le cabinet d’audit enregistré chargé du contrôle des comptes consolidés:</w:t>
      </w:r>
    </w:p>
    <w:p>
      <w:pPr>
        <w:pStyle w:val="BodyText"/>
        <w:spacing w:before="10"/>
        <w:ind w:left="0" w:right="0" w:firstLine="0"/>
        <w:jc w:val="left"/>
        <w:rPr>
          <w:sz w:val="24"/>
        </w:rPr>
      </w:pPr>
    </w:p>
    <w:p>
      <w:pPr>
        <w:pStyle w:val="BodyText"/>
        <w:spacing w:line="218" w:lineRule="auto"/>
        <w:ind w:right="38"/>
      </w:pPr>
      <w:r>
        <w:rPr>
          <w:color w:val="231F20"/>
        </w:rPr>
        <w:t>1° assume la responsabilité pleine et entière du rapport de contrôle </w:t>
      </w:r>
      <w:r>
        <w:rPr>
          <w:color w:val="231F20"/>
          <w:spacing w:val="5"/>
        </w:rPr>
        <w:t>visé </w:t>
      </w:r>
      <w:r>
        <w:rPr>
          <w:color w:val="231F20"/>
        </w:rPr>
        <w:t>à l’article 3:80 et, le cas échéant, à l’article 10 du règlement (UE) n° 537/2014 et, le cas échéant, du rapport complémentaire au comité d’audit </w:t>
      </w:r>
      <w:r>
        <w:rPr>
          <w:color w:val="231F20"/>
          <w:spacing w:val="3"/>
        </w:rPr>
        <w:t>visé </w:t>
      </w:r>
      <w:r>
        <w:rPr>
          <w:color w:val="231F20"/>
        </w:rPr>
        <w:t>à l’article </w:t>
      </w:r>
      <w:r>
        <w:rPr>
          <w:color w:val="231F20"/>
          <w:spacing w:val="-5"/>
        </w:rPr>
        <w:t>11 </w:t>
      </w:r>
      <w:r>
        <w:rPr>
          <w:color w:val="231F20"/>
        </w:rPr>
        <w:t>dudit</w:t>
      </w:r>
      <w:r>
        <w:rPr>
          <w:color w:val="231F20"/>
          <w:spacing w:val="8"/>
        </w:rPr>
        <w:t> </w:t>
      </w:r>
      <w:r>
        <w:rPr>
          <w:color w:val="231F20"/>
        </w:rPr>
        <w:t>règlement;</w:t>
      </w:r>
    </w:p>
    <w:p>
      <w:pPr>
        <w:pStyle w:val="BodyText"/>
        <w:spacing w:before="10"/>
        <w:ind w:left="0" w:right="0" w:firstLine="0"/>
        <w:jc w:val="left"/>
        <w:rPr>
          <w:sz w:val="24"/>
        </w:rPr>
      </w:pPr>
    </w:p>
    <w:p>
      <w:pPr>
        <w:pStyle w:val="BodyText"/>
        <w:spacing w:line="218" w:lineRule="auto"/>
        <w:ind w:right="38"/>
      </w:pPr>
      <w:r>
        <w:rPr>
          <w:color w:val="231F20"/>
        </w:rPr>
        <w:t>2° évalue les travaux de contrôle réalisés par tous contrôleurs de pays tiers ou tous contrôleurs légaux des comptes d’un État membre de l’Union européenne ou d’un État qui est partie à l’Accord sur l’Espace économique européen, qu’ils soient des personnes physiques ou morales, aux fins du contrôle du groupe et consigne la nature, le moment et l’ampleur des travaux de ces contrôleurs, y compris, le cas échéant, l’examen, effectué par lui au titre de réviseur d’entreprises</w:t>
      </w:r>
    </w:p>
    <w:p>
      <w:pPr>
        <w:pStyle w:val="BodyText"/>
        <w:spacing w:line="218" w:lineRule="auto" w:before="119"/>
        <w:ind w:firstLine="0"/>
      </w:pPr>
      <w:r>
        <w:rPr/>
        <w:br w:type="column"/>
      </w:r>
      <w:r>
        <w:rPr>
          <w:color w:val="231F20"/>
        </w:rPr>
        <w:t>af. In geval van verschil van mening geeft elke commissaris zijn mening in een afzonderlijke paragraaf van het verslag met vermelding van de redenen voor het verschil van mening.</w:t>
      </w:r>
    </w:p>
    <w:p>
      <w:pPr>
        <w:pStyle w:val="BodyText"/>
        <w:spacing w:line="218" w:lineRule="auto" w:before="97"/>
      </w:pPr>
      <w:r>
        <w:rPr>
          <w:color w:val="231F20"/>
        </w:rPr>
        <w:t>Indien de wettelijke controle is toevertrouwd aan meer dan één commissaris, wordt het verslag over de wettelijke controle van de jaarrekening ondertekend door alle commissarissen.</w:t>
      </w:r>
    </w:p>
    <w:p>
      <w:pPr>
        <w:pStyle w:val="BodyText"/>
        <w:spacing w:line="218" w:lineRule="auto" w:before="96"/>
        <w:ind w:right="123"/>
      </w:pPr>
      <w:r>
        <w:rPr>
          <w:color w:val="231F20"/>
        </w:rPr>
        <w:t>§ 3. Indien de wettelijke controle is toevertrouwd aan een bedrijfsre- visorenkantoor of aan een geregistreerd auditkantoor, wordt</w:t>
      </w:r>
      <w:r>
        <w:rPr>
          <w:color w:val="231F20"/>
          <w:spacing w:val="24"/>
        </w:rPr>
        <w:t> </w:t>
      </w:r>
      <w:r>
        <w:rPr>
          <w:color w:val="231F20"/>
        </w:rPr>
        <w:t>het verslag over de wettelijke controle van de jaarrekening ondertekend door ten minste de vaste vertegenwoordiger die de wettelijke controle van de rekeningen uitvoert namens het bedrijfsrevisorenkantoor of het geregistreerd</w:t>
      </w:r>
      <w:r>
        <w:rPr>
          <w:color w:val="231F20"/>
          <w:spacing w:val="14"/>
        </w:rPr>
        <w:t> </w:t>
      </w:r>
      <w:r>
        <w:rPr>
          <w:color w:val="231F20"/>
        </w:rPr>
        <w:t>auditkantoor.</w:t>
      </w:r>
    </w:p>
    <w:p>
      <w:pPr>
        <w:pStyle w:val="BodyText"/>
        <w:spacing w:line="218" w:lineRule="auto" w:before="96"/>
      </w:pPr>
      <w:r>
        <w:rPr>
          <w:color w:val="231F20"/>
        </w:rPr>
        <w:t>§ 4. De wettelijke controle biedt geen zekerheid omtrent de toekom- stige levensvatbaarheid van de vennootschap, noch van de </w:t>
      </w:r>
      <w:r>
        <w:rPr>
          <w:color w:val="231F20"/>
          <w:spacing w:val="-3"/>
        </w:rPr>
        <w:t>efficiëntie </w:t>
      </w:r>
      <w:r>
        <w:rPr>
          <w:color w:val="231F20"/>
        </w:rPr>
        <w:t>of de doeltreffendheid waarmee het bestuursorgaan de bedrijfsvoering van</w:t>
      </w:r>
      <w:r>
        <w:rPr>
          <w:color w:val="231F20"/>
          <w:spacing w:val="16"/>
        </w:rPr>
        <w:t> </w:t>
      </w:r>
      <w:r>
        <w:rPr>
          <w:color w:val="231F20"/>
        </w:rPr>
        <w:t>de</w:t>
      </w:r>
      <w:r>
        <w:rPr>
          <w:color w:val="231F20"/>
          <w:spacing w:val="17"/>
        </w:rPr>
        <w:t> </w:t>
      </w:r>
      <w:r>
        <w:rPr>
          <w:color w:val="231F20"/>
        </w:rPr>
        <w:t>vennootschap</w:t>
      </w:r>
      <w:r>
        <w:rPr>
          <w:color w:val="231F20"/>
          <w:spacing w:val="17"/>
        </w:rPr>
        <w:t> </w:t>
      </w:r>
      <w:r>
        <w:rPr>
          <w:color w:val="231F20"/>
        </w:rPr>
        <w:t>ter</w:t>
      </w:r>
      <w:r>
        <w:rPr>
          <w:color w:val="231F20"/>
          <w:spacing w:val="17"/>
        </w:rPr>
        <w:t> </w:t>
      </w:r>
      <w:r>
        <w:rPr>
          <w:color w:val="231F20"/>
        </w:rPr>
        <w:t>hand</w:t>
      </w:r>
      <w:r>
        <w:rPr>
          <w:color w:val="231F20"/>
          <w:spacing w:val="16"/>
        </w:rPr>
        <w:t> </w:t>
      </w:r>
      <w:r>
        <w:rPr>
          <w:color w:val="231F20"/>
        </w:rPr>
        <w:t>heeft</w:t>
      </w:r>
      <w:r>
        <w:rPr>
          <w:color w:val="231F20"/>
          <w:spacing w:val="17"/>
        </w:rPr>
        <w:t> </w:t>
      </w:r>
      <w:r>
        <w:rPr>
          <w:color w:val="231F20"/>
        </w:rPr>
        <w:t>genomen</w:t>
      </w:r>
      <w:r>
        <w:rPr>
          <w:color w:val="231F20"/>
          <w:spacing w:val="17"/>
        </w:rPr>
        <w:t> </w:t>
      </w:r>
      <w:r>
        <w:rPr>
          <w:color w:val="231F20"/>
        </w:rPr>
        <w:t>of</w:t>
      </w:r>
      <w:r>
        <w:rPr>
          <w:color w:val="231F20"/>
          <w:spacing w:val="17"/>
        </w:rPr>
        <w:t> </w:t>
      </w:r>
      <w:r>
        <w:rPr>
          <w:color w:val="231F20"/>
        </w:rPr>
        <w:t>zal</w:t>
      </w:r>
      <w:r>
        <w:rPr>
          <w:color w:val="231F20"/>
          <w:spacing w:val="16"/>
        </w:rPr>
        <w:t> </w:t>
      </w:r>
      <w:r>
        <w:rPr>
          <w:color w:val="231F20"/>
        </w:rPr>
        <w:t>nemen.</w:t>
      </w:r>
    </w:p>
    <w:p>
      <w:pPr>
        <w:pStyle w:val="BodyText"/>
        <w:spacing w:line="218" w:lineRule="auto" w:before="97"/>
      </w:pPr>
      <w:r>
        <w:rPr>
          <w:color w:val="231F20"/>
        </w:rPr>
        <w:t>HOOFDSTUK 3. Wettelijke controle van de geconsolideerde jaarre- kening.</w:t>
      </w:r>
    </w:p>
    <w:p>
      <w:pPr>
        <w:pStyle w:val="BodyText"/>
        <w:spacing w:before="82"/>
        <w:ind w:left="283" w:right="0" w:firstLine="0"/>
        <w:jc w:val="left"/>
      </w:pPr>
      <w:r>
        <w:rPr>
          <w:color w:val="231F20"/>
          <w:w w:val="105"/>
        </w:rPr>
        <w:t>Afdeling 1. Algemene regeling.</w:t>
      </w:r>
    </w:p>
    <w:p>
      <w:pPr>
        <w:pStyle w:val="BodyText"/>
        <w:spacing w:line="218" w:lineRule="auto" w:before="92"/>
      </w:pPr>
      <w:r>
        <w:rPr>
          <w:color w:val="231F20"/>
        </w:rPr>
        <w:t>Art. 3:76. Onverminderd andersluidende bepalingen in andere wetgevingen,</w:t>
      </w:r>
      <w:r>
        <w:rPr>
          <w:color w:val="231F20"/>
          <w:spacing w:val="17"/>
        </w:rPr>
        <w:t> </w:t>
      </w:r>
      <w:r>
        <w:rPr>
          <w:color w:val="231F20"/>
        </w:rPr>
        <w:t>is</w:t>
      </w:r>
      <w:r>
        <w:rPr>
          <w:color w:val="231F20"/>
          <w:spacing w:val="17"/>
        </w:rPr>
        <w:t> </w:t>
      </w:r>
      <w:r>
        <w:rPr>
          <w:color w:val="231F20"/>
        </w:rPr>
        <w:t>dit</w:t>
      </w:r>
      <w:r>
        <w:rPr>
          <w:color w:val="231F20"/>
          <w:spacing w:val="17"/>
        </w:rPr>
        <w:t> </w:t>
      </w:r>
      <w:r>
        <w:rPr>
          <w:color w:val="231F20"/>
        </w:rPr>
        <w:t>hoofdstuk</w:t>
      </w:r>
      <w:r>
        <w:rPr>
          <w:color w:val="231F20"/>
          <w:spacing w:val="17"/>
        </w:rPr>
        <w:t> </w:t>
      </w:r>
      <w:r>
        <w:rPr>
          <w:color w:val="231F20"/>
        </w:rPr>
        <w:t>niet</w:t>
      </w:r>
      <w:r>
        <w:rPr>
          <w:color w:val="231F20"/>
          <w:spacing w:val="17"/>
        </w:rPr>
        <w:t> </w:t>
      </w:r>
      <w:r>
        <w:rPr>
          <w:color w:val="231F20"/>
        </w:rPr>
        <w:t>van</w:t>
      </w:r>
      <w:r>
        <w:rPr>
          <w:color w:val="231F20"/>
          <w:spacing w:val="17"/>
        </w:rPr>
        <w:t> </w:t>
      </w:r>
      <w:r>
        <w:rPr>
          <w:color w:val="231F20"/>
        </w:rPr>
        <w:t>toepassing</w:t>
      </w:r>
      <w:r>
        <w:rPr>
          <w:color w:val="231F20"/>
          <w:spacing w:val="17"/>
        </w:rPr>
        <w:t> </w:t>
      </w:r>
      <w:r>
        <w:rPr>
          <w:color w:val="231F20"/>
        </w:rPr>
        <w:t>op:</w:t>
      </w:r>
    </w:p>
    <w:p>
      <w:pPr>
        <w:pStyle w:val="BodyText"/>
        <w:spacing w:line="218" w:lineRule="auto" w:before="107"/>
      </w:pPr>
      <w:r>
        <w:rPr>
          <w:color w:val="231F20"/>
        </w:rPr>
        <w:t>1° kredietinstellingen die vallen onder de wet van 25 april 2014 op het statuut van en het toezicht op kredietinstellingen en beursvennoot- schappen, de Nationale Bank van België, het Herdisconterings- en Waarborginstituut</w:t>
      </w:r>
      <w:r>
        <w:rPr>
          <w:color w:val="231F20"/>
          <w:spacing w:val="14"/>
        </w:rPr>
        <w:t> </w:t>
      </w:r>
      <w:r>
        <w:rPr>
          <w:color w:val="231F20"/>
        </w:rPr>
        <w:t>en</w:t>
      </w:r>
      <w:r>
        <w:rPr>
          <w:color w:val="231F20"/>
          <w:spacing w:val="15"/>
        </w:rPr>
        <w:t> </w:t>
      </w:r>
      <w:r>
        <w:rPr>
          <w:color w:val="231F20"/>
        </w:rPr>
        <w:t>de</w:t>
      </w:r>
      <w:r>
        <w:rPr>
          <w:color w:val="231F20"/>
          <w:spacing w:val="15"/>
        </w:rPr>
        <w:t> </w:t>
      </w:r>
      <w:r>
        <w:rPr>
          <w:color w:val="231F20"/>
        </w:rPr>
        <w:t>Deposito-</w:t>
      </w:r>
      <w:r>
        <w:rPr>
          <w:color w:val="231F20"/>
          <w:spacing w:val="15"/>
        </w:rPr>
        <w:t> </w:t>
      </w:r>
      <w:r>
        <w:rPr>
          <w:color w:val="231F20"/>
        </w:rPr>
        <w:t>en</w:t>
      </w:r>
      <w:r>
        <w:rPr>
          <w:color w:val="231F20"/>
          <w:spacing w:val="15"/>
        </w:rPr>
        <w:t> </w:t>
      </w:r>
      <w:r>
        <w:rPr>
          <w:color w:val="231F20"/>
        </w:rPr>
        <w:t>Consignatiekas;</w:t>
      </w:r>
    </w:p>
    <w:p>
      <w:pPr>
        <w:pStyle w:val="BodyText"/>
        <w:spacing w:line="218" w:lineRule="auto" w:before="107"/>
      </w:pPr>
      <w:r>
        <w:rPr>
          <w:color w:val="231F20"/>
        </w:rPr>
        <w:t>2° beleggingsondernemingen die vallen onder de wet van 25 okto- ber 2016 betreffende de toegang tot het beleggingsdienstenbedrijf en betreffende het statuut van en het toezicht op de vennootschappen voor vermogensbeheer en</w:t>
      </w:r>
      <w:r>
        <w:rPr>
          <w:color w:val="231F20"/>
          <w:spacing w:val="-10"/>
        </w:rPr>
        <w:t> </w:t>
      </w:r>
      <w:r>
        <w:rPr>
          <w:color w:val="231F20"/>
        </w:rPr>
        <w:t>beleggingsadvies;</w:t>
      </w:r>
    </w:p>
    <w:p>
      <w:pPr>
        <w:pStyle w:val="BodyText"/>
        <w:spacing w:line="218" w:lineRule="auto" w:before="107"/>
      </w:pPr>
      <w:r>
        <w:rPr>
          <w:color w:val="231F20"/>
        </w:rPr>
        <w:t>3° de overeenkomstig artikel 8:2 erkende landbouwondernemingen die de vorm hebben aangenomen van een vennootschap onder firma of commanditaire vennootschap en die onderworpen zijn aan de perso- nenbelasting.</w:t>
      </w:r>
    </w:p>
    <w:p>
      <w:pPr>
        <w:pStyle w:val="BodyText"/>
        <w:spacing w:line="218" w:lineRule="auto" w:before="107"/>
      </w:pPr>
      <w:r>
        <w:rPr>
          <w:color w:val="231F20"/>
        </w:rPr>
        <w:t>Art. 3:77. De geconsolideerde jaarrekening moet worden gecontro- leerd door de commissaris van de consoliderende vennootschap of  door een of meer daartoe aangewezen bedrijfsrevisoren of een geregis- treerd auditkantoor. Indien de geconsolideerde jaarrekening niet wordt gecontroleerd door de commissaris(sen), gebeurt de benoeming door de algemene</w:t>
      </w:r>
      <w:r>
        <w:rPr>
          <w:color w:val="231F20"/>
          <w:spacing w:val="-10"/>
        </w:rPr>
        <w:t> </w:t>
      </w:r>
      <w:r>
        <w:rPr>
          <w:color w:val="231F20"/>
        </w:rPr>
        <w:t>vergadering.</w:t>
      </w:r>
    </w:p>
    <w:p>
      <w:pPr>
        <w:pStyle w:val="BodyText"/>
        <w:spacing w:line="218" w:lineRule="auto" w:before="107"/>
      </w:pPr>
      <w:r>
        <w:rPr>
          <w:color w:val="231F20"/>
        </w:rPr>
        <w:t>In geval van een consortium, wordt de geconsolideerde jaarrekening gecontroleerd door de commissaris van ten minste een van de vennootschappen van het consortium of door een of meer bedrijfsrevi- soren die of door een geregistreerd auditkantoor dat daartoe met onderlinge instemming zijn aangesteld; indien de geconsolideerde jaarrekening wordt opgesteld volgens de wetgeving en in de nationale munt van een buitenlandse vennootschap die tot het consortium behoort, mag zij worden gecontroleerd door de persoon belast met de controle van deze buitenlandse vennootschap.</w:t>
      </w:r>
    </w:p>
    <w:p>
      <w:pPr>
        <w:pStyle w:val="BodyText"/>
        <w:spacing w:line="218" w:lineRule="auto" w:before="107"/>
      </w:pPr>
      <w:r>
        <w:rPr>
          <w:color w:val="231F20"/>
        </w:rPr>
        <w:t>De</w:t>
      </w:r>
      <w:r>
        <w:rPr>
          <w:color w:val="231F20"/>
          <w:spacing w:val="-4"/>
        </w:rPr>
        <w:t> </w:t>
      </w:r>
      <w:r>
        <w:rPr>
          <w:color w:val="231F20"/>
        </w:rPr>
        <w:t>artikelen</w:t>
      </w:r>
      <w:r>
        <w:rPr>
          <w:color w:val="231F20"/>
          <w:spacing w:val="-4"/>
        </w:rPr>
        <w:t> </w:t>
      </w:r>
      <w:r>
        <w:rPr>
          <w:color w:val="231F20"/>
        </w:rPr>
        <w:t>3:62</w:t>
      </w:r>
      <w:r>
        <w:rPr>
          <w:color w:val="231F20"/>
          <w:spacing w:val="-4"/>
        </w:rPr>
        <w:t> </w:t>
      </w:r>
      <w:r>
        <w:rPr>
          <w:color w:val="231F20"/>
        </w:rPr>
        <w:t>tot</w:t>
      </w:r>
      <w:r>
        <w:rPr>
          <w:color w:val="231F20"/>
          <w:spacing w:val="-4"/>
        </w:rPr>
        <w:t> </w:t>
      </w:r>
      <w:r>
        <w:rPr>
          <w:color w:val="231F20"/>
        </w:rPr>
        <w:t>3:67</w:t>
      </w:r>
      <w:r>
        <w:rPr>
          <w:color w:val="231F20"/>
          <w:spacing w:val="-3"/>
        </w:rPr>
        <w:t> </w:t>
      </w:r>
      <w:r>
        <w:rPr>
          <w:color w:val="231F20"/>
        </w:rPr>
        <w:t>zijn</w:t>
      </w:r>
      <w:r>
        <w:rPr>
          <w:color w:val="231F20"/>
          <w:spacing w:val="-4"/>
        </w:rPr>
        <w:t> </w:t>
      </w:r>
      <w:r>
        <w:rPr>
          <w:color w:val="231F20"/>
        </w:rPr>
        <w:t>van</w:t>
      </w:r>
      <w:r>
        <w:rPr>
          <w:color w:val="231F20"/>
          <w:spacing w:val="-4"/>
        </w:rPr>
        <w:t> </w:t>
      </w:r>
      <w:r>
        <w:rPr>
          <w:color w:val="231F20"/>
        </w:rPr>
        <w:t>toepassing</w:t>
      </w:r>
      <w:r>
        <w:rPr>
          <w:color w:val="231F20"/>
          <w:spacing w:val="-4"/>
        </w:rPr>
        <w:t> </w:t>
      </w:r>
      <w:r>
        <w:rPr>
          <w:color w:val="231F20"/>
        </w:rPr>
        <w:t>op</w:t>
      </w:r>
      <w:r>
        <w:rPr>
          <w:color w:val="231F20"/>
          <w:spacing w:val="-3"/>
        </w:rPr>
        <w:t> </w:t>
      </w:r>
      <w:r>
        <w:rPr>
          <w:color w:val="231F20"/>
        </w:rPr>
        <w:t>de</w:t>
      </w:r>
      <w:r>
        <w:rPr>
          <w:color w:val="231F20"/>
          <w:spacing w:val="-4"/>
        </w:rPr>
        <w:t> </w:t>
      </w:r>
      <w:r>
        <w:rPr>
          <w:color w:val="231F20"/>
        </w:rPr>
        <w:t>bedrijfsrevisor</w:t>
      </w:r>
      <w:r>
        <w:rPr>
          <w:color w:val="231F20"/>
          <w:spacing w:val="-4"/>
        </w:rPr>
        <w:t> </w:t>
      </w:r>
      <w:r>
        <w:rPr>
          <w:color w:val="231F20"/>
        </w:rPr>
        <w:t>die of het geregistreerd auditkantoor dat instaat voor de controle van de geconsolideerde jaarrekening, maar niet de functie van commissaris in de consoliderende vennootschap</w:t>
      </w:r>
      <w:r>
        <w:rPr>
          <w:color w:val="231F20"/>
          <w:spacing w:val="5"/>
        </w:rPr>
        <w:t> </w:t>
      </w:r>
      <w:r>
        <w:rPr>
          <w:color w:val="231F20"/>
        </w:rPr>
        <w:t>bekleedt.</w:t>
      </w:r>
    </w:p>
    <w:p>
      <w:pPr>
        <w:pStyle w:val="BodyText"/>
        <w:spacing w:line="218" w:lineRule="auto" w:before="107"/>
        <w:ind w:right="123"/>
      </w:pPr>
      <w:r>
        <w:rPr>
          <w:color w:val="231F20"/>
        </w:rPr>
        <w:t>Art. 3:78. De consoliderende vennootschap moet haar controlebe- voegdheid aanwenden om van de in de consolidatie opgenomen of op  te nemen vennootschappen te verkrijgen dat zij de met de controle van de geconsolideerde jaarrekening belaste bedrijfsrevisor toelaten ter plaatse de noodzakelijke controles te verrichten en dat zij hem op zijn verzoek alle noodzakelijke inlichtingen en bevestigingen verstrekken voor de naleving van de hem door de Koning opgelegde verplichtingen inzake het opstellen, de controle en de openbaarmaking van de geconsolideerde</w:t>
      </w:r>
      <w:r>
        <w:rPr>
          <w:color w:val="231F20"/>
          <w:spacing w:val="14"/>
        </w:rPr>
        <w:t> </w:t>
      </w:r>
      <w:r>
        <w:rPr>
          <w:color w:val="231F20"/>
        </w:rPr>
        <w:t>jaarrekening.</w:t>
      </w:r>
    </w:p>
    <w:p>
      <w:pPr>
        <w:pStyle w:val="BodyText"/>
        <w:spacing w:line="218" w:lineRule="auto" w:before="108"/>
      </w:pPr>
      <w:r>
        <w:rPr>
          <w:color w:val="231F20"/>
        </w:rPr>
        <w:t>Art. 3:79. § 1. De commissaris, de bedrijfsrevisor of het geregistreerd auditkantoor, belast met de wettelijke controle van de geconsolideerde jaarrekening:</w:t>
      </w:r>
    </w:p>
    <w:p>
      <w:pPr>
        <w:pStyle w:val="BodyText"/>
        <w:spacing w:line="218" w:lineRule="auto" w:before="106"/>
      </w:pPr>
      <w:r>
        <w:rPr>
          <w:color w:val="231F20"/>
        </w:rPr>
        <w:t>1° draagt de volledige verantwoordelijkheid voor het controleverslag bedoeld in artikel 3:80 en, waar van toepassing, artikel 10 van de verordening (EU) </w:t>
      </w:r>
      <w:r>
        <w:rPr>
          <w:color w:val="231F20"/>
          <w:spacing w:val="-5"/>
        </w:rPr>
        <w:t>nr. </w:t>
      </w:r>
      <w:r>
        <w:rPr>
          <w:color w:val="231F20"/>
        </w:rPr>
        <w:t>537/2014 en </w:t>
      </w:r>
      <w:r>
        <w:rPr>
          <w:color w:val="231F20"/>
          <w:spacing w:val="-3"/>
        </w:rPr>
        <w:t>voor, </w:t>
      </w:r>
      <w:r>
        <w:rPr>
          <w:color w:val="231F20"/>
        </w:rPr>
        <w:t>waar van toepassing, de aanvullende  verklaring  aan  het  auditcomité  als   bedoeld   in   arti- kel </w:t>
      </w:r>
      <w:r>
        <w:rPr>
          <w:color w:val="231F20"/>
          <w:spacing w:val="-5"/>
        </w:rPr>
        <w:t>11 </w:t>
      </w:r>
      <w:r>
        <w:rPr>
          <w:color w:val="231F20"/>
        </w:rPr>
        <w:t>van die</w:t>
      </w:r>
      <w:r>
        <w:rPr>
          <w:color w:val="231F20"/>
          <w:spacing w:val="31"/>
        </w:rPr>
        <w:t> </w:t>
      </w:r>
      <w:r>
        <w:rPr>
          <w:color w:val="231F20"/>
        </w:rPr>
        <w:t>verordening;</w:t>
      </w:r>
    </w:p>
    <w:p>
      <w:pPr>
        <w:pStyle w:val="BodyText"/>
        <w:spacing w:line="218" w:lineRule="auto" w:before="107"/>
      </w:pPr>
      <w:r>
        <w:rPr>
          <w:color w:val="231F20"/>
        </w:rPr>
        <w:t>2° evalueert de controlewerkzaamheden die voor het doel van de groepscontrole zijn uitgevoerd door auditors van een derde land  of door wettelijke auditors van een lidstaat van de Europese Unie of van een andere Staat die partij is bij de Overeenkomst betreffende de Europese Economische Ruimte, hetzij natuurlijke personen, hetzij rechtspersonen, en houdt documenten bij over de aard, tijdstippen en reikwijdte</w:t>
      </w:r>
      <w:r>
        <w:rPr>
          <w:color w:val="231F20"/>
          <w:spacing w:val="26"/>
        </w:rPr>
        <w:t> </w:t>
      </w:r>
      <w:r>
        <w:rPr>
          <w:color w:val="231F20"/>
        </w:rPr>
        <w:t>van</w:t>
      </w:r>
      <w:r>
        <w:rPr>
          <w:color w:val="231F20"/>
          <w:spacing w:val="27"/>
        </w:rPr>
        <w:t> </w:t>
      </w:r>
      <w:r>
        <w:rPr>
          <w:color w:val="231F20"/>
        </w:rPr>
        <w:t>de</w:t>
      </w:r>
      <w:r>
        <w:rPr>
          <w:color w:val="231F20"/>
          <w:spacing w:val="27"/>
        </w:rPr>
        <w:t> </w:t>
      </w:r>
      <w:r>
        <w:rPr>
          <w:color w:val="231F20"/>
        </w:rPr>
        <w:t>betrokkenheid</w:t>
      </w:r>
      <w:r>
        <w:rPr>
          <w:color w:val="231F20"/>
          <w:spacing w:val="27"/>
        </w:rPr>
        <w:t> </w:t>
      </w:r>
      <w:r>
        <w:rPr>
          <w:color w:val="231F20"/>
        </w:rPr>
        <w:t>bij</w:t>
      </w:r>
      <w:r>
        <w:rPr>
          <w:color w:val="231F20"/>
          <w:spacing w:val="27"/>
        </w:rPr>
        <w:t> </w:t>
      </w:r>
      <w:r>
        <w:rPr>
          <w:color w:val="231F20"/>
        </w:rPr>
        <w:t>de</w:t>
      </w:r>
      <w:r>
        <w:rPr>
          <w:color w:val="231F20"/>
          <w:spacing w:val="27"/>
        </w:rPr>
        <w:t> </w:t>
      </w:r>
      <w:r>
        <w:rPr>
          <w:color w:val="231F20"/>
        </w:rPr>
        <w:t>door</w:t>
      </w:r>
      <w:r>
        <w:rPr>
          <w:color w:val="231F20"/>
          <w:spacing w:val="27"/>
        </w:rPr>
        <w:t> </w:t>
      </w:r>
      <w:r>
        <w:rPr>
          <w:color w:val="231F20"/>
        </w:rPr>
        <w:t>die</w:t>
      </w:r>
      <w:r>
        <w:rPr>
          <w:color w:val="231F20"/>
          <w:spacing w:val="27"/>
        </w:rPr>
        <w:t> </w:t>
      </w:r>
      <w:r>
        <w:rPr>
          <w:color w:val="231F20"/>
        </w:rPr>
        <w:t>auditors</w:t>
      </w:r>
      <w:r>
        <w:rPr>
          <w:color w:val="231F20"/>
          <w:spacing w:val="26"/>
        </w:rPr>
        <w:t> </w:t>
      </w:r>
      <w:r>
        <w:rPr>
          <w:color w:val="231F20"/>
        </w:rPr>
        <w:t>uitgevoerde</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0" w:hanging="1"/>
        <w:jc w:val="left"/>
      </w:pPr>
      <w:r>
        <w:rPr/>
        <w:pict>
          <v:line style="position:absolute;mso-position-horizontal-relative:page;mso-position-vertical-relative:page;z-index:2920" from="298.170502pt,64.473pt" to="298.170502pt,812.819pt" stroked="true" strokeweight=".533pt" strokecolor="#231f20">
            <v:stroke dashstyle="solid"/>
            <w10:wrap type="none"/>
          </v:line>
        </w:pict>
      </w:r>
      <w:bookmarkStart w:name="_bookmark79" w:id="84"/>
      <w:bookmarkEnd w:id="84"/>
      <w:r>
        <w:rPr/>
      </w:r>
      <w:r>
        <w:rPr>
          <w:color w:val="231F20"/>
        </w:rPr>
        <w:t>chargé du contrôle légal des comptes consolidés, des volets pertinents des documents d’audit de ces contrôleurs;</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3° procède à un examen des travaux d’audit effectués par le ou les contrôleur(s) de pays tiers ou tous contrôleurs légaux des comptes d’un État membre de l’Union européenne ou d’un État qui est partie à l’Accord sur l’Espace économique européen, qu’ils soient des personnes physiques ou morales, aux fins du contrôle du groupe et il documente cet examen.</w:t>
      </w:r>
    </w:p>
    <w:p>
      <w:pPr>
        <w:pStyle w:val="BodyText"/>
        <w:spacing w:line="218" w:lineRule="auto" w:before="86"/>
        <w:ind w:right="38"/>
      </w:pPr>
      <w:r>
        <w:rPr>
          <w:color w:val="231F20"/>
        </w:rPr>
        <w:t>Les documents conservés par le commissaire, le réviseur d’entrepri- ses ou le cabinet d’audit enregistré chargé du contrôle des comptes consolidés doivent permettre au Collège de supervision des réviseurs d’entreprises </w:t>
      </w:r>
      <w:r>
        <w:rPr>
          <w:color w:val="231F20"/>
          <w:spacing w:val="6"/>
        </w:rPr>
        <w:t>visé </w:t>
      </w:r>
      <w:r>
        <w:rPr>
          <w:color w:val="231F20"/>
        </w:rPr>
        <w:t>à l’article 32 de la loi du 7 décembre 2016 portant organisation de la profession et de la supervision publique des réviseurs d’entreprises d’examiner le travail du réviseur d’entreprises chargé</w:t>
      </w:r>
      <w:r>
        <w:rPr>
          <w:color w:val="231F20"/>
          <w:spacing w:val="15"/>
        </w:rPr>
        <w:t> </w:t>
      </w:r>
      <w:r>
        <w:rPr>
          <w:color w:val="231F20"/>
        </w:rPr>
        <w:t>du</w:t>
      </w:r>
      <w:r>
        <w:rPr>
          <w:color w:val="231F20"/>
          <w:spacing w:val="15"/>
        </w:rPr>
        <w:t> </w:t>
      </w:r>
      <w:r>
        <w:rPr>
          <w:color w:val="231F20"/>
        </w:rPr>
        <w:t>contrôle</w:t>
      </w:r>
      <w:r>
        <w:rPr>
          <w:color w:val="231F20"/>
          <w:spacing w:val="15"/>
        </w:rPr>
        <w:t> </w:t>
      </w:r>
      <w:r>
        <w:rPr>
          <w:color w:val="231F20"/>
        </w:rPr>
        <w:t>des</w:t>
      </w:r>
      <w:r>
        <w:rPr>
          <w:color w:val="231F20"/>
          <w:spacing w:val="16"/>
        </w:rPr>
        <w:t> </w:t>
      </w:r>
      <w:r>
        <w:rPr>
          <w:color w:val="231F20"/>
        </w:rPr>
        <w:t>comptes</w:t>
      </w:r>
      <w:r>
        <w:rPr>
          <w:color w:val="231F20"/>
          <w:spacing w:val="15"/>
        </w:rPr>
        <w:t> </w:t>
      </w:r>
      <w:r>
        <w:rPr>
          <w:color w:val="231F20"/>
        </w:rPr>
        <w:t>consolidés.</w:t>
      </w:r>
    </w:p>
    <w:p>
      <w:pPr>
        <w:pStyle w:val="BodyText"/>
        <w:spacing w:before="8"/>
        <w:ind w:left="0" w:right="0" w:firstLine="0"/>
        <w:jc w:val="left"/>
        <w:rPr>
          <w:sz w:val="21"/>
        </w:rPr>
      </w:pPr>
    </w:p>
    <w:p>
      <w:pPr>
        <w:pStyle w:val="BodyText"/>
        <w:spacing w:line="218" w:lineRule="auto"/>
        <w:ind w:right="38"/>
      </w:pPr>
      <w:r>
        <w:rPr>
          <w:color w:val="231F20"/>
        </w:rPr>
        <w:t>Pour l’application de l’alinéa 1</w:t>
      </w:r>
      <w:r>
        <w:rPr>
          <w:color w:val="231F20"/>
          <w:position w:val="7"/>
          <w:sz w:val="11"/>
        </w:rPr>
        <w:t>er</w:t>
      </w:r>
      <w:r>
        <w:rPr>
          <w:color w:val="231F20"/>
        </w:rPr>
        <w:t>, 3°, le commissaire, le réviseur d’entreprises ou le cabinet d’audit enregistré chargé du contrôle des comptes consolidés demande au(x) contrôleur(s) concernés de pays tiers ou au(x) contrôleurs légaux des comptes d’un autre État membre de l’Union européenne ou d’un État qui est partie à l’Accord sur l’Espace économique européen, qu’ils soient des personnes physiques ou morales, de consentir à la transmission des documents pertinents lors du contrôle des comptes consolidés afin qu’il puisse s’appuyer sur les</w:t>
      </w:r>
      <w:r>
        <w:rPr>
          <w:color w:val="231F20"/>
          <w:spacing w:val="15"/>
        </w:rPr>
        <w:t> </w:t>
      </w:r>
      <w:r>
        <w:rPr>
          <w:color w:val="231F20"/>
        </w:rPr>
        <w:t>travaux</w:t>
      </w:r>
      <w:r>
        <w:rPr>
          <w:color w:val="231F20"/>
          <w:spacing w:val="15"/>
        </w:rPr>
        <w:t> </w:t>
      </w:r>
      <w:r>
        <w:rPr>
          <w:color w:val="231F20"/>
        </w:rPr>
        <w:t>que</w:t>
      </w:r>
      <w:r>
        <w:rPr>
          <w:color w:val="231F20"/>
          <w:spacing w:val="15"/>
        </w:rPr>
        <w:t> </w:t>
      </w:r>
      <w:r>
        <w:rPr>
          <w:color w:val="231F20"/>
        </w:rPr>
        <w:t>ceux-ci</w:t>
      </w:r>
      <w:r>
        <w:rPr>
          <w:color w:val="231F20"/>
          <w:spacing w:val="15"/>
        </w:rPr>
        <w:t> </w:t>
      </w:r>
      <w:r>
        <w:rPr>
          <w:color w:val="231F20"/>
        </w:rPr>
        <w:t>ont</w:t>
      </w:r>
      <w:r>
        <w:rPr>
          <w:color w:val="231F20"/>
          <w:spacing w:val="15"/>
        </w:rPr>
        <w:t> </w:t>
      </w:r>
      <w:r>
        <w:rPr>
          <w:color w:val="231F20"/>
        </w:rPr>
        <w:t>réalisés.</w:t>
      </w:r>
    </w:p>
    <w:p>
      <w:pPr>
        <w:pStyle w:val="BodyText"/>
        <w:spacing w:before="2"/>
        <w:ind w:left="0" w:right="0" w:firstLine="0"/>
        <w:jc w:val="left"/>
        <w:rPr>
          <w:sz w:val="23"/>
        </w:rPr>
      </w:pPr>
    </w:p>
    <w:p>
      <w:pPr>
        <w:pStyle w:val="BodyText"/>
        <w:spacing w:line="216" w:lineRule="auto"/>
        <w:ind w:right="38"/>
      </w:pPr>
      <w:r>
        <w:rPr>
          <w:color w:val="231F20"/>
        </w:rPr>
        <w:t>§ 2. Si le commissaire, le réviseur d’entreprises ou le cabinet d’audit enregistré chargé du contrôle des comptes consolidés n’est pas en mesure de respecter le paragraphe 1</w:t>
      </w:r>
      <w:r>
        <w:rPr>
          <w:color w:val="231F20"/>
          <w:position w:val="7"/>
          <w:sz w:val="11"/>
        </w:rPr>
        <w:t>er</w:t>
      </w:r>
      <w:r>
        <w:rPr>
          <w:color w:val="231F20"/>
        </w:rPr>
        <w:t>, alinéa 1</w:t>
      </w:r>
      <w:r>
        <w:rPr>
          <w:color w:val="231F20"/>
          <w:position w:val="7"/>
          <w:sz w:val="11"/>
        </w:rPr>
        <w:t>er</w:t>
      </w:r>
      <w:r>
        <w:rPr>
          <w:color w:val="231F20"/>
        </w:rPr>
        <w:t>, 3°, il prend des mesures appropriées et en informe le Collège de supervision des réviseurs  d’entreprises  visé  à  l’article  32  de  la  loi  du  7  décem-   bre 2016 portant organisation de la profession et de la supervision publique des réviseurs</w:t>
      </w:r>
      <w:r>
        <w:rPr>
          <w:color w:val="231F20"/>
          <w:spacing w:val="5"/>
        </w:rPr>
        <w:t> </w:t>
      </w:r>
      <w:r>
        <w:rPr>
          <w:color w:val="231F20"/>
        </w:rPr>
        <w:t>d’entreprises.</w:t>
      </w:r>
    </w:p>
    <w:p>
      <w:pPr>
        <w:pStyle w:val="BodyText"/>
        <w:spacing w:line="218" w:lineRule="auto" w:before="83"/>
        <w:ind w:right="38"/>
      </w:pPr>
      <w:r>
        <w:rPr>
          <w:color w:val="231F20"/>
        </w:rPr>
        <w:t>Ces mesures peuvent consister notamment, le cas échéant, à</w:t>
      </w:r>
      <w:r>
        <w:rPr>
          <w:color w:val="231F20"/>
          <w:spacing w:val="-12"/>
        </w:rPr>
        <w:t> </w:t>
      </w:r>
      <w:r>
        <w:rPr>
          <w:color w:val="231F20"/>
        </w:rPr>
        <w:t>effectuer des tâches supplémentaires de contrôle des comptes, soit directement, soit</w:t>
      </w:r>
      <w:r>
        <w:rPr>
          <w:color w:val="231F20"/>
          <w:spacing w:val="14"/>
        </w:rPr>
        <w:t> </w:t>
      </w:r>
      <w:r>
        <w:rPr>
          <w:color w:val="231F20"/>
        </w:rPr>
        <w:t>en</w:t>
      </w:r>
      <w:r>
        <w:rPr>
          <w:color w:val="231F20"/>
          <w:spacing w:val="14"/>
        </w:rPr>
        <w:t> </w:t>
      </w:r>
      <w:r>
        <w:rPr>
          <w:color w:val="231F20"/>
        </w:rPr>
        <w:t>sous-traitance,</w:t>
      </w:r>
      <w:r>
        <w:rPr>
          <w:color w:val="231F20"/>
          <w:spacing w:val="14"/>
        </w:rPr>
        <w:t> </w:t>
      </w:r>
      <w:r>
        <w:rPr>
          <w:color w:val="231F20"/>
        </w:rPr>
        <w:t>dans</w:t>
      </w:r>
      <w:r>
        <w:rPr>
          <w:color w:val="231F20"/>
          <w:spacing w:val="14"/>
        </w:rPr>
        <w:t> </w:t>
      </w:r>
      <w:r>
        <w:rPr>
          <w:color w:val="231F20"/>
        </w:rPr>
        <w:t>la</w:t>
      </w:r>
      <w:r>
        <w:rPr>
          <w:color w:val="231F20"/>
          <w:spacing w:val="14"/>
        </w:rPr>
        <w:t> </w:t>
      </w:r>
      <w:r>
        <w:rPr>
          <w:color w:val="231F20"/>
        </w:rPr>
        <w:t>filiale</w:t>
      </w:r>
      <w:r>
        <w:rPr>
          <w:color w:val="231F20"/>
          <w:spacing w:val="15"/>
        </w:rPr>
        <w:t> </w:t>
      </w:r>
      <w:r>
        <w:rPr>
          <w:color w:val="231F20"/>
        </w:rPr>
        <w:t>concernée.</w:t>
      </w:r>
    </w:p>
    <w:p>
      <w:pPr>
        <w:pStyle w:val="BodyText"/>
        <w:spacing w:before="7"/>
        <w:ind w:left="0" w:right="0" w:firstLine="0"/>
        <w:jc w:val="left"/>
        <w:rPr>
          <w:sz w:val="21"/>
        </w:rPr>
      </w:pPr>
    </w:p>
    <w:p>
      <w:pPr>
        <w:pStyle w:val="BodyText"/>
        <w:spacing w:line="218" w:lineRule="auto" w:before="1"/>
        <w:ind w:right="38"/>
      </w:pPr>
      <w:r>
        <w:rPr>
          <w:color w:val="231F20"/>
        </w:rPr>
        <w:t>Art. 3:80. § 1</w:t>
      </w:r>
      <w:r>
        <w:rPr>
          <w:color w:val="231F20"/>
          <w:position w:val="7"/>
          <w:sz w:val="11"/>
        </w:rPr>
        <w:t>er</w:t>
      </w:r>
      <w:r>
        <w:rPr>
          <w:color w:val="231F20"/>
        </w:rPr>
        <w:t>. Les commissaires, les réviseurs d’entreprises ou les cabinets d’audit enregistrés, désignés pour le contrôle des comptes consolidés, rédigent un rapport écrit et circonstancié qui comprend au moins les éléments suivants:</w:t>
      </w:r>
    </w:p>
    <w:p>
      <w:pPr>
        <w:pStyle w:val="BodyText"/>
        <w:spacing w:line="218" w:lineRule="auto" w:before="85"/>
        <w:ind w:right="38"/>
      </w:pPr>
      <w:r>
        <w:rPr>
          <w:color w:val="231F20"/>
        </w:rPr>
        <w:t>1° une introduction, qui contient au moins l’identification des comptes consolidés qui font l’objet du contrôle légal et du groupe soumis au contrôle légal, les intervenants dans la procédure de leur nomination, la date de leur nomination, le terme de leur mandat, le nombre d’exercices consécutifs durant lesquels le cabinet de révision ou le cabinet d’audit enregistré ou, à défaut, le réviseur d’entreprises est chargé du contrôle légal des comptes consolidés de la société depuis leur première nomination, le référentiel comptable qui a été appliqué lors de l’établissement des comptes consolidés ainsi que la période couverte par les comptes</w:t>
      </w:r>
      <w:r>
        <w:rPr>
          <w:color w:val="231F20"/>
          <w:spacing w:val="19"/>
        </w:rPr>
        <w:t> </w:t>
      </w:r>
      <w:r>
        <w:rPr>
          <w:color w:val="231F20"/>
        </w:rPr>
        <w:t>consolidés;</w:t>
      </w:r>
    </w:p>
    <w:p>
      <w:pPr>
        <w:pStyle w:val="BodyText"/>
        <w:spacing w:before="1"/>
        <w:ind w:left="0" w:right="0" w:firstLine="0"/>
        <w:jc w:val="left"/>
        <w:rPr>
          <w:sz w:val="23"/>
        </w:rPr>
      </w:pPr>
    </w:p>
    <w:p>
      <w:pPr>
        <w:pStyle w:val="BodyText"/>
        <w:spacing w:line="218" w:lineRule="auto"/>
        <w:ind w:right="38"/>
      </w:pPr>
      <w:r>
        <w:rPr>
          <w:color w:val="231F20"/>
        </w:rPr>
        <w:t>2° une description de l’étendue du contrôle, qui contient au moins l’indication</w:t>
      </w:r>
      <w:r>
        <w:rPr>
          <w:color w:val="231F20"/>
          <w:spacing w:val="-4"/>
        </w:rPr>
        <w:t> </w:t>
      </w:r>
      <w:r>
        <w:rPr>
          <w:color w:val="231F20"/>
        </w:rPr>
        <w:t>des</w:t>
      </w:r>
      <w:r>
        <w:rPr>
          <w:color w:val="231F20"/>
          <w:spacing w:val="-4"/>
        </w:rPr>
        <w:t> </w:t>
      </w:r>
      <w:r>
        <w:rPr>
          <w:color w:val="231F20"/>
        </w:rPr>
        <w:t>normes</w:t>
      </w:r>
      <w:r>
        <w:rPr>
          <w:color w:val="231F20"/>
          <w:spacing w:val="-4"/>
        </w:rPr>
        <w:t> </w:t>
      </w:r>
      <w:r>
        <w:rPr>
          <w:color w:val="231F20"/>
        </w:rPr>
        <w:t>selon</w:t>
      </w:r>
      <w:r>
        <w:rPr>
          <w:color w:val="231F20"/>
          <w:spacing w:val="-4"/>
        </w:rPr>
        <w:t> </w:t>
      </w:r>
      <w:r>
        <w:rPr>
          <w:color w:val="231F20"/>
        </w:rPr>
        <w:t>lesquelles</w:t>
      </w:r>
      <w:r>
        <w:rPr>
          <w:color w:val="231F20"/>
          <w:spacing w:val="-3"/>
        </w:rPr>
        <w:t> </w:t>
      </w:r>
      <w:r>
        <w:rPr>
          <w:color w:val="231F20"/>
        </w:rPr>
        <w:t>le</w:t>
      </w:r>
      <w:r>
        <w:rPr>
          <w:color w:val="231F20"/>
          <w:spacing w:val="-4"/>
        </w:rPr>
        <w:t> </w:t>
      </w:r>
      <w:r>
        <w:rPr>
          <w:color w:val="231F20"/>
        </w:rPr>
        <w:t>contrôle</w:t>
      </w:r>
      <w:r>
        <w:rPr>
          <w:color w:val="231F20"/>
          <w:spacing w:val="-4"/>
        </w:rPr>
        <w:t> </w:t>
      </w:r>
      <w:r>
        <w:rPr>
          <w:color w:val="231F20"/>
        </w:rPr>
        <w:t>a</w:t>
      </w:r>
      <w:r>
        <w:rPr>
          <w:color w:val="231F20"/>
          <w:spacing w:val="-4"/>
        </w:rPr>
        <w:t> </w:t>
      </w:r>
      <w:r>
        <w:rPr>
          <w:color w:val="231F20"/>
        </w:rPr>
        <w:t>été</w:t>
      </w:r>
      <w:r>
        <w:rPr>
          <w:color w:val="231F20"/>
          <w:spacing w:val="-4"/>
        </w:rPr>
        <w:t> </w:t>
      </w:r>
      <w:r>
        <w:rPr>
          <w:color w:val="231F20"/>
        </w:rPr>
        <w:t>effectué</w:t>
      </w:r>
      <w:r>
        <w:rPr>
          <w:color w:val="231F20"/>
          <w:spacing w:val="-3"/>
        </w:rPr>
        <w:t> </w:t>
      </w:r>
      <w:r>
        <w:rPr>
          <w:color w:val="231F20"/>
        </w:rPr>
        <w:t>et</w:t>
      </w:r>
      <w:r>
        <w:rPr>
          <w:color w:val="231F20"/>
          <w:spacing w:val="-4"/>
        </w:rPr>
        <w:t> </w:t>
      </w:r>
      <w:r>
        <w:rPr>
          <w:color w:val="231F20"/>
        </w:rPr>
        <w:t>si</w:t>
      </w:r>
      <w:r>
        <w:rPr>
          <w:color w:val="231F20"/>
          <w:spacing w:val="-4"/>
        </w:rPr>
        <w:t> </w:t>
      </w:r>
      <w:r>
        <w:rPr>
          <w:color w:val="231F20"/>
        </w:rPr>
        <w:t>les commissaires ou les réviseurs d’entreprises désignés ont obtenu les explications</w:t>
      </w:r>
      <w:r>
        <w:rPr>
          <w:color w:val="231F20"/>
          <w:spacing w:val="14"/>
        </w:rPr>
        <w:t> </w:t>
      </w:r>
      <w:r>
        <w:rPr>
          <w:color w:val="231F20"/>
        </w:rPr>
        <w:t>et</w:t>
      </w:r>
      <w:r>
        <w:rPr>
          <w:color w:val="231F20"/>
          <w:spacing w:val="14"/>
        </w:rPr>
        <w:t> </w:t>
      </w:r>
      <w:r>
        <w:rPr>
          <w:color w:val="231F20"/>
        </w:rPr>
        <w:t>les</w:t>
      </w:r>
      <w:r>
        <w:rPr>
          <w:color w:val="231F20"/>
          <w:spacing w:val="15"/>
        </w:rPr>
        <w:t> </w:t>
      </w:r>
      <w:r>
        <w:rPr>
          <w:color w:val="231F20"/>
        </w:rPr>
        <w:t>informations</w:t>
      </w:r>
      <w:r>
        <w:rPr>
          <w:color w:val="231F20"/>
          <w:spacing w:val="14"/>
        </w:rPr>
        <w:t> </w:t>
      </w:r>
      <w:r>
        <w:rPr>
          <w:color w:val="231F20"/>
        </w:rPr>
        <w:t>requises</w:t>
      </w:r>
      <w:r>
        <w:rPr>
          <w:color w:val="231F20"/>
          <w:spacing w:val="14"/>
        </w:rPr>
        <w:t> </w:t>
      </w:r>
      <w:r>
        <w:rPr>
          <w:color w:val="231F20"/>
        </w:rPr>
        <w:t>pour</w:t>
      </w:r>
      <w:r>
        <w:rPr>
          <w:color w:val="231F20"/>
          <w:spacing w:val="15"/>
        </w:rPr>
        <w:t> </w:t>
      </w:r>
      <w:r>
        <w:rPr>
          <w:color w:val="231F20"/>
        </w:rPr>
        <w:t>leur</w:t>
      </w:r>
      <w:r>
        <w:rPr>
          <w:color w:val="231F20"/>
          <w:spacing w:val="14"/>
        </w:rPr>
        <w:t> </w:t>
      </w:r>
      <w:r>
        <w:rPr>
          <w:color w:val="231F20"/>
        </w:rPr>
        <w:t>contrôle;</w:t>
      </w:r>
    </w:p>
    <w:p>
      <w:pPr>
        <w:pStyle w:val="BodyText"/>
        <w:ind w:left="0" w:right="0" w:firstLine="0"/>
        <w:jc w:val="left"/>
        <w:rPr>
          <w:sz w:val="23"/>
        </w:rPr>
      </w:pPr>
    </w:p>
    <w:p>
      <w:pPr>
        <w:pStyle w:val="BodyText"/>
        <w:spacing w:line="218" w:lineRule="auto"/>
        <w:ind w:right="38"/>
      </w:pPr>
      <w:r>
        <w:rPr>
          <w:color w:val="231F20"/>
        </w:rPr>
        <w:t>3° une opinion, dans laquelle les commissaires ou les réviseurs d’entreprises désignés indiquent si, à leur avis, les comptes consolidés donnent une image fidèle du patrimoine, de la situation financière et des résultats de l’ensemble consolidé, compte tenu du référentiel comptable applicable et, le cas échéant, quant au respect des exigences légales applicables; l’opinion peut prendre la forme d’une opinion sans réserve, d’une opinion avec réserve, d’une opinion négative, ou, si les commissaires ou réviseurs d’entreprises désignés sont dans l’incapacité de se forger une opinion, d’une déclaration d’abstention;</w:t>
      </w:r>
    </w:p>
    <w:p>
      <w:pPr>
        <w:pStyle w:val="BodyText"/>
        <w:ind w:left="0" w:right="0" w:firstLine="0"/>
        <w:jc w:val="left"/>
        <w:rPr>
          <w:sz w:val="23"/>
        </w:rPr>
      </w:pPr>
    </w:p>
    <w:p>
      <w:pPr>
        <w:pStyle w:val="BodyText"/>
        <w:spacing w:line="218" w:lineRule="auto" w:before="1"/>
        <w:ind w:right="38"/>
      </w:pPr>
      <w:r>
        <w:rPr>
          <w:color w:val="231F20"/>
        </w:rPr>
        <w:t>4° une référence à quelque question que ce soit sur laquelle les commissaires ou réviseurs d’entreprises désignés attirent spécialement l’attention, qu’une réserve ait ou non été incluse dans l’opinion;</w:t>
      </w:r>
    </w:p>
    <w:p>
      <w:pPr>
        <w:pStyle w:val="BodyText"/>
        <w:spacing w:before="11"/>
        <w:ind w:left="0" w:right="0" w:firstLine="0"/>
        <w:jc w:val="left"/>
        <w:rPr>
          <w:sz w:val="22"/>
        </w:rPr>
      </w:pPr>
    </w:p>
    <w:p>
      <w:pPr>
        <w:pStyle w:val="BodyText"/>
        <w:spacing w:line="218" w:lineRule="auto"/>
        <w:ind w:right="38"/>
      </w:pPr>
      <w:r>
        <w:rPr>
          <w:color w:val="231F20"/>
        </w:rPr>
        <w:t>5° une opinion indiquant si le rapport de gestion sur les comptes consolidés concorde avec les comptes consolidés pour le même exercice et</w:t>
      </w:r>
      <w:r>
        <w:rPr>
          <w:color w:val="231F20"/>
          <w:spacing w:val="-3"/>
        </w:rPr>
        <w:t> </w:t>
      </w:r>
      <w:r>
        <w:rPr>
          <w:color w:val="231F20"/>
        </w:rPr>
        <w:t>s’il</w:t>
      </w:r>
      <w:r>
        <w:rPr>
          <w:color w:val="231F20"/>
          <w:spacing w:val="-3"/>
        </w:rPr>
        <w:t> </w:t>
      </w:r>
      <w:r>
        <w:rPr>
          <w:color w:val="231F20"/>
        </w:rPr>
        <w:t>a</w:t>
      </w:r>
      <w:r>
        <w:rPr>
          <w:color w:val="231F20"/>
          <w:spacing w:val="-2"/>
        </w:rPr>
        <w:t> </w:t>
      </w:r>
      <w:r>
        <w:rPr>
          <w:color w:val="231F20"/>
        </w:rPr>
        <w:t>été</w:t>
      </w:r>
      <w:r>
        <w:rPr>
          <w:color w:val="231F20"/>
          <w:spacing w:val="-3"/>
        </w:rPr>
        <w:t> </w:t>
      </w:r>
      <w:r>
        <w:rPr>
          <w:color w:val="231F20"/>
        </w:rPr>
        <w:t>établi</w:t>
      </w:r>
      <w:r>
        <w:rPr>
          <w:color w:val="231F20"/>
          <w:spacing w:val="-2"/>
        </w:rPr>
        <w:t> </w:t>
      </w:r>
      <w:r>
        <w:rPr>
          <w:color w:val="231F20"/>
        </w:rPr>
        <w:t>conformément</w:t>
      </w:r>
      <w:r>
        <w:rPr>
          <w:color w:val="231F20"/>
          <w:spacing w:val="-3"/>
        </w:rPr>
        <w:t> </w:t>
      </w:r>
      <w:r>
        <w:rPr>
          <w:color w:val="231F20"/>
        </w:rPr>
        <w:t>à</w:t>
      </w:r>
      <w:r>
        <w:rPr>
          <w:color w:val="231F20"/>
          <w:spacing w:val="-2"/>
        </w:rPr>
        <w:t> </w:t>
      </w:r>
      <w:r>
        <w:rPr>
          <w:color w:val="231F20"/>
        </w:rPr>
        <w:t>la</w:t>
      </w:r>
      <w:r>
        <w:rPr>
          <w:color w:val="231F20"/>
          <w:spacing w:val="-3"/>
        </w:rPr>
        <w:t> </w:t>
      </w:r>
      <w:r>
        <w:rPr>
          <w:color w:val="231F20"/>
        </w:rPr>
        <w:t>loi.</w:t>
      </w:r>
      <w:r>
        <w:rPr>
          <w:color w:val="231F20"/>
          <w:spacing w:val="-2"/>
        </w:rPr>
        <w:t> </w:t>
      </w:r>
      <w:r>
        <w:rPr>
          <w:color w:val="231F20"/>
        </w:rPr>
        <w:t>Si</w:t>
      </w:r>
      <w:r>
        <w:rPr>
          <w:color w:val="231F20"/>
          <w:spacing w:val="-3"/>
        </w:rPr>
        <w:t> </w:t>
      </w:r>
      <w:r>
        <w:rPr>
          <w:color w:val="231F20"/>
        </w:rPr>
        <w:t>la</w:t>
      </w:r>
      <w:r>
        <w:rPr>
          <w:color w:val="231F20"/>
          <w:spacing w:val="-3"/>
        </w:rPr>
        <w:t> </w:t>
      </w:r>
      <w:r>
        <w:rPr>
          <w:color w:val="231F20"/>
        </w:rPr>
        <w:t>déclaration</w:t>
      </w:r>
      <w:r>
        <w:rPr>
          <w:color w:val="231F20"/>
          <w:spacing w:val="-2"/>
        </w:rPr>
        <w:t> </w:t>
      </w:r>
      <w:r>
        <w:rPr>
          <w:color w:val="231F20"/>
        </w:rPr>
        <w:t>non</w:t>
      </w:r>
      <w:r>
        <w:rPr>
          <w:color w:val="231F20"/>
          <w:spacing w:val="-3"/>
        </w:rPr>
        <w:t> </w:t>
      </w:r>
      <w:r>
        <w:rPr>
          <w:color w:val="231F20"/>
        </w:rPr>
        <w:t>financière, requise par l’article 3:32, § 2, est établie dans un rapport distinct, le rapport sur le contrôle légal des comptes consolidés contient une opinion indiquant si ce rapport distinct comprend les informations requises</w:t>
      </w:r>
      <w:r>
        <w:rPr>
          <w:color w:val="231F20"/>
          <w:spacing w:val="6"/>
        </w:rPr>
        <w:t> </w:t>
      </w:r>
      <w:r>
        <w:rPr>
          <w:color w:val="231F20"/>
        </w:rPr>
        <w:t>et</w:t>
      </w:r>
      <w:r>
        <w:rPr>
          <w:color w:val="231F20"/>
          <w:spacing w:val="7"/>
        </w:rPr>
        <w:t> </w:t>
      </w:r>
      <w:r>
        <w:rPr>
          <w:color w:val="231F20"/>
        </w:rPr>
        <w:t>concorde</w:t>
      </w:r>
      <w:r>
        <w:rPr>
          <w:color w:val="231F20"/>
          <w:spacing w:val="7"/>
        </w:rPr>
        <w:t> </w:t>
      </w:r>
      <w:r>
        <w:rPr>
          <w:color w:val="231F20"/>
        </w:rPr>
        <w:t>ou</w:t>
      </w:r>
      <w:r>
        <w:rPr>
          <w:color w:val="231F20"/>
          <w:spacing w:val="7"/>
        </w:rPr>
        <w:t> </w:t>
      </w:r>
      <w:r>
        <w:rPr>
          <w:color w:val="231F20"/>
        </w:rPr>
        <w:t>non</w:t>
      </w:r>
      <w:r>
        <w:rPr>
          <w:color w:val="231F20"/>
          <w:spacing w:val="7"/>
        </w:rPr>
        <w:t> </w:t>
      </w:r>
      <w:r>
        <w:rPr>
          <w:color w:val="231F20"/>
        </w:rPr>
        <w:t>avec</w:t>
      </w:r>
      <w:r>
        <w:rPr>
          <w:color w:val="231F20"/>
          <w:spacing w:val="7"/>
        </w:rPr>
        <w:t> </w:t>
      </w:r>
      <w:r>
        <w:rPr>
          <w:color w:val="231F20"/>
        </w:rPr>
        <w:t>les</w:t>
      </w:r>
      <w:r>
        <w:rPr>
          <w:color w:val="231F20"/>
          <w:spacing w:val="7"/>
        </w:rPr>
        <w:t> </w:t>
      </w:r>
      <w:r>
        <w:rPr>
          <w:color w:val="231F20"/>
        </w:rPr>
        <w:t>comptes</w:t>
      </w:r>
      <w:r>
        <w:rPr>
          <w:color w:val="231F20"/>
          <w:spacing w:val="7"/>
        </w:rPr>
        <w:t> </w:t>
      </w:r>
      <w:r>
        <w:rPr>
          <w:color w:val="231F20"/>
        </w:rPr>
        <w:t>consolidés</w:t>
      </w:r>
      <w:r>
        <w:rPr>
          <w:color w:val="231F20"/>
          <w:spacing w:val="6"/>
        </w:rPr>
        <w:t> </w:t>
      </w:r>
      <w:r>
        <w:rPr>
          <w:color w:val="231F20"/>
        </w:rPr>
        <w:t>pour</w:t>
      </w:r>
      <w:r>
        <w:rPr>
          <w:color w:val="231F20"/>
          <w:spacing w:val="7"/>
        </w:rPr>
        <w:t> </w:t>
      </w:r>
      <w:r>
        <w:rPr>
          <w:color w:val="231F20"/>
        </w:rPr>
        <w:t>le</w:t>
      </w:r>
      <w:r>
        <w:rPr>
          <w:color w:val="231F20"/>
          <w:spacing w:val="7"/>
        </w:rPr>
        <w:t> </w:t>
      </w:r>
      <w:r>
        <w:rPr>
          <w:color w:val="231F20"/>
        </w:rPr>
        <w:t>même</w:t>
      </w:r>
    </w:p>
    <w:p>
      <w:pPr>
        <w:pStyle w:val="BodyText"/>
        <w:spacing w:line="218" w:lineRule="auto" w:before="119"/>
        <w:ind w:firstLine="0"/>
      </w:pPr>
      <w:r>
        <w:rPr/>
        <w:br w:type="column"/>
      </w:r>
      <w:r>
        <w:rPr>
          <w:color w:val="231F20"/>
        </w:rPr>
        <w:t>werkzaamheden, indien van toepassing met inbegrip van de beoorde- ling door hem als bedrijfsrevisor belast met de controle van de geconsolideerde jaarrekening van relevante onderdelen van de contro- ledocumenten van de betreffende auditors;</w:t>
      </w:r>
    </w:p>
    <w:p>
      <w:pPr>
        <w:pStyle w:val="BodyText"/>
        <w:spacing w:line="218" w:lineRule="auto" w:before="86"/>
      </w:pPr>
      <w:r>
        <w:rPr>
          <w:color w:val="231F20"/>
        </w:rPr>
        <w:t>3° kijkt de controlewerkzaamheden na die voor het doel van de groepscontrole zijn uitgevoerd door de auditor(s) van een derde land of door de wettelijke auditor(s) van een lidstaat van de Europese Unie of van een andere Staat die partij is bij de Overeenkomst betreffende de Europese Economische Ruimte, hetzij natuurlijke personen, hetzij rechtspersonen, en houdt hierover documenten bij.</w:t>
      </w:r>
    </w:p>
    <w:p>
      <w:pPr>
        <w:pStyle w:val="BodyText"/>
        <w:spacing w:line="218" w:lineRule="auto" w:before="86"/>
      </w:pPr>
      <w:r>
        <w:rPr>
          <w:color w:val="231F20"/>
        </w:rPr>
        <w:t>De informatie bijgehouden door de commissaris, de bedrijfsrevisor of het geregistreerd auditkantoor belast met de controle van de geconso- lideerde jaarrekening moet adequaat zijn om het College van toezicht op  de  bedrijfsrevisoren,   bedoeld   in   artikel   32   van   de   wet   van  7 december 2016 houdende de organisatie van het beroep van en het publiek toezicht op de bedrijfsrevisoren in staat te stellen het werk van de bedrijfsrevisor belast met de controle van de geconsolideerde jaarrekening te</w:t>
      </w:r>
      <w:r>
        <w:rPr>
          <w:color w:val="231F20"/>
          <w:spacing w:val="-12"/>
        </w:rPr>
        <w:t> </w:t>
      </w:r>
      <w:r>
        <w:rPr>
          <w:color w:val="231F20"/>
        </w:rPr>
        <w:t>beoordelen.</w:t>
      </w:r>
    </w:p>
    <w:p>
      <w:pPr>
        <w:pStyle w:val="BodyText"/>
        <w:spacing w:line="218" w:lineRule="auto" w:before="86"/>
      </w:pPr>
      <w:r>
        <w:rPr>
          <w:color w:val="231F20"/>
          <w:spacing w:val="-5"/>
        </w:rPr>
        <w:t>Voor </w:t>
      </w:r>
      <w:r>
        <w:rPr>
          <w:color w:val="231F20"/>
        </w:rPr>
        <w:t>de toepassing van het eerste lid, 3°, verzoekt de commissaris, de bedrijfsrevisor of het geregistreerd auditkantoor belast met de controle van de geconsolideerde jaarrekening, de betrokken auditor(s) van derde landen of de wettelijke auditor(s) van een lidstaat van de Europese Unie of van een andere Staat die partij is bij de Overeenkomst betreffende de Europese Economische Ruimte, hetzij natuurlijke perso- nen, hetzij rechtspersonen, om instemming met de overdracht van relevante documentatie tijdens de uitvoering van de controle van de geconsolideerde jaarrekening, als voorwaarde om zich te kunnen baseren</w:t>
      </w:r>
      <w:r>
        <w:rPr>
          <w:color w:val="231F20"/>
          <w:spacing w:val="15"/>
        </w:rPr>
        <w:t> </w:t>
      </w:r>
      <w:r>
        <w:rPr>
          <w:color w:val="231F20"/>
        </w:rPr>
        <w:t>op</w:t>
      </w:r>
      <w:r>
        <w:rPr>
          <w:color w:val="231F20"/>
          <w:spacing w:val="15"/>
        </w:rPr>
        <w:t> </w:t>
      </w:r>
      <w:r>
        <w:rPr>
          <w:color w:val="231F20"/>
        </w:rPr>
        <w:t>het</w:t>
      </w:r>
      <w:r>
        <w:rPr>
          <w:color w:val="231F20"/>
          <w:spacing w:val="15"/>
        </w:rPr>
        <w:t> </w:t>
      </w:r>
      <w:r>
        <w:rPr>
          <w:color w:val="231F20"/>
        </w:rPr>
        <w:t>werk</w:t>
      </w:r>
      <w:r>
        <w:rPr>
          <w:color w:val="231F20"/>
          <w:spacing w:val="16"/>
        </w:rPr>
        <w:t> </w:t>
      </w:r>
      <w:r>
        <w:rPr>
          <w:color w:val="231F20"/>
        </w:rPr>
        <w:t>van</w:t>
      </w:r>
      <w:r>
        <w:rPr>
          <w:color w:val="231F20"/>
          <w:spacing w:val="15"/>
        </w:rPr>
        <w:t> </w:t>
      </w:r>
      <w:r>
        <w:rPr>
          <w:color w:val="231F20"/>
        </w:rPr>
        <w:t>hen.</w:t>
      </w:r>
    </w:p>
    <w:p>
      <w:pPr>
        <w:pStyle w:val="BodyText"/>
        <w:spacing w:line="218" w:lineRule="auto" w:before="86"/>
      </w:pPr>
      <w:r>
        <w:rPr>
          <w:color w:val="231F20"/>
        </w:rPr>
        <w:t>§ 2. Indien de commissaris, de bedrijfsrevisor of het geregistreerd auditkantoor belast met de controle van de geconsolideerde jaarreke- ning, niet kan voldoen aan de onder paragraaf 1, eerste lid, 3°, gestelde eisen, neemt hij passende maatregelen en stelt hij het College van toezicht op de bedrijfsrevisoren bedoeld in artikel 32 van de wet van     7 december 2016 houdende de organisatie van het beroep van en het publiek</w:t>
      </w:r>
      <w:r>
        <w:rPr>
          <w:color w:val="231F20"/>
          <w:spacing w:val="16"/>
        </w:rPr>
        <w:t> </w:t>
      </w:r>
      <w:r>
        <w:rPr>
          <w:color w:val="231F20"/>
        </w:rPr>
        <w:t>toezicht</w:t>
      </w:r>
      <w:r>
        <w:rPr>
          <w:color w:val="231F20"/>
          <w:spacing w:val="16"/>
        </w:rPr>
        <w:t> </w:t>
      </w:r>
      <w:r>
        <w:rPr>
          <w:color w:val="231F20"/>
        </w:rPr>
        <w:t>op</w:t>
      </w:r>
      <w:r>
        <w:rPr>
          <w:color w:val="231F20"/>
          <w:spacing w:val="16"/>
        </w:rPr>
        <w:t> </w:t>
      </w:r>
      <w:r>
        <w:rPr>
          <w:color w:val="231F20"/>
        </w:rPr>
        <w:t>de</w:t>
      </w:r>
      <w:r>
        <w:rPr>
          <w:color w:val="231F20"/>
          <w:spacing w:val="17"/>
        </w:rPr>
        <w:t> </w:t>
      </w:r>
      <w:r>
        <w:rPr>
          <w:color w:val="231F20"/>
        </w:rPr>
        <w:t>bedrijfsrevisoren</w:t>
      </w:r>
      <w:r>
        <w:rPr>
          <w:color w:val="231F20"/>
          <w:spacing w:val="16"/>
        </w:rPr>
        <w:t> </w:t>
      </w:r>
      <w:r>
        <w:rPr>
          <w:color w:val="231F20"/>
        </w:rPr>
        <w:t>daarvan</w:t>
      </w:r>
      <w:r>
        <w:rPr>
          <w:color w:val="231F20"/>
          <w:spacing w:val="16"/>
        </w:rPr>
        <w:t> </w:t>
      </w:r>
      <w:r>
        <w:rPr>
          <w:color w:val="231F20"/>
        </w:rPr>
        <w:t>in</w:t>
      </w:r>
      <w:r>
        <w:rPr>
          <w:color w:val="231F20"/>
          <w:spacing w:val="17"/>
        </w:rPr>
        <w:t> </w:t>
      </w:r>
      <w:r>
        <w:rPr>
          <w:color w:val="231F20"/>
        </w:rPr>
        <w:t>kennis.</w:t>
      </w:r>
    </w:p>
    <w:p>
      <w:pPr>
        <w:pStyle w:val="BodyText"/>
        <w:spacing w:line="218" w:lineRule="auto" w:before="86"/>
      </w:pPr>
      <w:r>
        <w:rPr>
          <w:color w:val="231F20"/>
        </w:rPr>
        <w:t>Deze maatregelen kunnen, in voorkomend geval, onder meer inhouden dat, hetzij direct, hetzij door deze taken uit te besteden, aanvullende controlewerkzaamheden bij de betrokken dochteronder- neming worden uitgevoerd.</w:t>
      </w:r>
    </w:p>
    <w:p>
      <w:pPr>
        <w:pStyle w:val="BodyText"/>
        <w:spacing w:line="218" w:lineRule="auto" w:before="86"/>
      </w:pPr>
      <w:r>
        <w:rPr>
          <w:color w:val="231F20"/>
        </w:rPr>
        <w:t>Art. 3:80. § 1. De commissarissen, of de bedrijfsrevisoren of de geregistreerde auditkantoren aangesteld voor de wettelijke controle  van de geconsolideerde jaarrekening stellen een omstandig schriftelijk verslag</w:t>
      </w:r>
      <w:r>
        <w:rPr>
          <w:color w:val="231F20"/>
          <w:spacing w:val="16"/>
        </w:rPr>
        <w:t> </w:t>
      </w:r>
      <w:r>
        <w:rPr>
          <w:color w:val="231F20"/>
        </w:rPr>
        <w:t>op</w:t>
      </w:r>
      <w:r>
        <w:rPr>
          <w:color w:val="231F20"/>
          <w:spacing w:val="17"/>
        </w:rPr>
        <w:t> </w:t>
      </w:r>
      <w:r>
        <w:rPr>
          <w:color w:val="231F20"/>
        </w:rPr>
        <w:t>dat</w:t>
      </w:r>
      <w:r>
        <w:rPr>
          <w:color w:val="231F20"/>
          <w:spacing w:val="16"/>
        </w:rPr>
        <w:t> </w:t>
      </w:r>
      <w:r>
        <w:rPr>
          <w:color w:val="231F20"/>
        </w:rPr>
        <w:t>minstens</w:t>
      </w:r>
      <w:r>
        <w:rPr>
          <w:color w:val="231F20"/>
          <w:spacing w:val="17"/>
        </w:rPr>
        <w:t> </w:t>
      </w:r>
      <w:r>
        <w:rPr>
          <w:color w:val="231F20"/>
        </w:rPr>
        <w:t>de</w:t>
      </w:r>
      <w:r>
        <w:rPr>
          <w:color w:val="231F20"/>
          <w:spacing w:val="16"/>
        </w:rPr>
        <w:t> </w:t>
      </w:r>
      <w:r>
        <w:rPr>
          <w:color w:val="231F20"/>
        </w:rPr>
        <w:t>volgende</w:t>
      </w:r>
      <w:r>
        <w:rPr>
          <w:color w:val="231F20"/>
          <w:spacing w:val="17"/>
        </w:rPr>
        <w:t> </w:t>
      </w:r>
      <w:r>
        <w:rPr>
          <w:color w:val="231F20"/>
        </w:rPr>
        <w:t>elementen</w:t>
      </w:r>
      <w:r>
        <w:rPr>
          <w:color w:val="231F20"/>
          <w:spacing w:val="16"/>
        </w:rPr>
        <w:t> </w:t>
      </w:r>
      <w:r>
        <w:rPr>
          <w:color w:val="231F20"/>
        </w:rPr>
        <w:t>bevat:</w:t>
      </w:r>
    </w:p>
    <w:p>
      <w:pPr>
        <w:pStyle w:val="BodyText"/>
        <w:spacing w:line="218" w:lineRule="auto" w:before="85"/>
        <w:ind w:right="122"/>
      </w:pPr>
      <w:r>
        <w:rPr>
          <w:color w:val="231F20"/>
        </w:rPr>
        <w:t>1° een inleiding, waarin ten minste wordt vermeld op welke geconsolideerde jaarrekening de wettelijke controle betrekking heeft en op welke groep onderworpen aan de wettelijke controle, wie tussen- komt in hun benoemingsprocedure, de datum van hun benoeming, de termijn van hun mandaat, het aantal opeenvolgende boekjaren dat het bedrijfsrevisorenkantoor</w:t>
      </w:r>
      <w:r>
        <w:rPr>
          <w:color w:val="231F20"/>
          <w:spacing w:val="-6"/>
        </w:rPr>
        <w:t> </w:t>
      </w:r>
      <w:r>
        <w:rPr>
          <w:color w:val="231F20"/>
        </w:rPr>
        <w:t>of</w:t>
      </w:r>
      <w:r>
        <w:rPr>
          <w:color w:val="231F20"/>
          <w:spacing w:val="-6"/>
        </w:rPr>
        <w:t> </w:t>
      </w:r>
      <w:r>
        <w:rPr>
          <w:color w:val="231F20"/>
        </w:rPr>
        <w:t>het</w:t>
      </w:r>
      <w:r>
        <w:rPr>
          <w:color w:val="231F20"/>
          <w:spacing w:val="-5"/>
        </w:rPr>
        <w:t> </w:t>
      </w:r>
      <w:r>
        <w:rPr>
          <w:color w:val="231F20"/>
        </w:rPr>
        <w:t>geregistreerd</w:t>
      </w:r>
      <w:r>
        <w:rPr>
          <w:color w:val="231F20"/>
          <w:spacing w:val="-6"/>
        </w:rPr>
        <w:t> </w:t>
      </w:r>
      <w:r>
        <w:rPr>
          <w:color w:val="231F20"/>
        </w:rPr>
        <w:t>auditkantoor</w:t>
      </w:r>
      <w:r>
        <w:rPr>
          <w:color w:val="231F20"/>
          <w:spacing w:val="-5"/>
        </w:rPr>
        <w:t> </w:t>
      </w:r>
      <w:r>
        <w:rPr>
          <w:color w:val="231F20"/>
        </w:rPr>
        <w:t>of,</w:t>
      </w:r>
      <w:r>
        <w:rPr>
          <w:color w:val="231F20"/>
          <w:spacing w:val="-6"/>
        </w:rPr>
        <w:t> </w:t>
      </w:r>
      <w:r>
        <w:rPr>
          <w:color w:val="231F20"/>
        </w:rPr>
        <w:t>bij</w:t>
      </w:r>
      <w:r>
        <w:rPr>
          <w:color w:val="231F20"/>
          <w:spacing w:val="-6"/>
        </w:rPr>
        <w:t> </w:t>
      </w:r>
      <w:r>
        <w:rPr>
          <w:color w:val="231F20"/>
        </w:rPr>
        <w:t>gebrek eraan, de bedrijfsrevisor belast is met de wettelijke controle van de geconsolideerde jaarrekening van de vennootschap sinds hun eerste benoeming, en volgens welk boekhoudkundig referentiestelsel de geconsolideerde jaarrekening werd opgesteld, alsook de periode</w:t>
      </w:r>
      <w:r>
        <w:rPr>
          <w:color w:val="231F20"/>
          <w:spacing w:val="-23"/>
        </w:rPr>
        <w:t> </w:t>
      </w:r>
      <w:r>
        <w:rPr>
          <w:color w:val="231F20"/>
        </w:rPr>
        <w:t>waarop de geconsolideerde jaarrekening betrekking</w:t>
      </w:r>
      <w:r>
        <w:rPr>
          <w:color w:val="231F20"/>
          <w:spacing w:val="18"/>
        </w:rPr>
        <w:t> </w:t>
      </w:r>
      <w:r>
        <w:rPr>
          <w:color w:val="231F20"/>
        </w:rPr>
        <w:t>heeft;</w:t>
      </w:r>
    </w:p>
    <w:p>
      <w:pPr>
        <w:pStyle w:val="BodyText"/>
        <w:spacing w:line="218" w:lineRule="auto" w:before="86"/>
      </w:pPr>
      <w:r>
        <w:rPr>
          <w:color w:val="231F20"/>
        </w:rPr>
        <w:t>2° een beschrijving van de reikwijdte van de controle, waarin ten minste wordt aangegeven welke normen voor de uitvoering van de controle in acht zijn genomen en of de commissarissen of de aange- duide bedrijfsrevisoren de toelichtingen en de informatie hebben bekomen die nodig is voor hun controle;</w:t>
      </w:r>
    </w:p>
    <w:p>
      <w:pPr>
        <w:pStyle w:val="BodyText"/>
        <w:spacing w:line="218" w:lineRule="auto" w:before="86"/>
        <w:ind w:right="121"/>
      </w:pPr>
      <w:r>
        <w:rPr>
          <w:color w:val="231F20"/>
        </w:rPr>
        <w:t>3° een oordeel, waarin de commissarissen of de aangestelde bedrijfs- revisoren aangeven of volgens hen de geconsolideerde jaarrekening een getrouw beeld geeft van het vermogen, van de financiële toestand en van de resultaten van het geconsolideerd geheel overeenkomstig het toepasselijk boekhoudkundig referentiestelsel en, in voorkomend geval, of de geconsolideerde jaarrekening aan de wettelijke vereisten voldoet; het oordeel kan de vorm aannemen van een oordeel zonder voorbe- houd, een oordeel met voorbehoud, een afkeurend oordeel of, indien de commissarissen of de bedrijfsrevisoren zich geen oordeel kunnen vormen, een onthoudende verklaring;</w:t>
      </w:r>
    </w:p>
    <w:p>
      <w:pPr>
        <w:pStyle w:val="BodyText"/>
        <w:spacing w:line="218" w:lineRule="auto" w:before="86"/>
      </w:pPr>
      <w:r>
        <w:rPr>
          <w:color w:val="231F20"/>
        </w:rPr>
        <w:t>4° een verwijzing naar bepaalde aangelegenheden waarop de commissarissen of de aangestelde bedrijfsrevisoren in het bijzonder de aandacht vestigen ongeacht of al dan niet een voorbehoud werd opgenomen in het oordeel;</w:t>
      </w:r>
    </w:p>
    <w:p>
      <w:pPr>
        <w:pStyle w:val="BodyText"/>
        <w:spacing w:line="218" w:lineRule="auto" w:before="86"/>
      </w:pPr>
      <w:r>
        <w:rPr>
          <w:color w:val="231F20"/>
        </w:rPr>
        <w:t>5° een oordeel dat aangeeft of het jaarverslag over de geconsoli- deerde jaarrekening in overeenstemming is met de geconsolideerde jaarrekening voor hetzelfde boekjaar en of het is opgesteld overeen- komstig de wet. Indien de in artikel 3:32, § 2, vereiste verklaring van niet-financiële informatie wordt opgenomen in een afzonderlijk ver- slag, bevat het verslag over de wettelijke controle van de geconsoli- deerde jaarrekening een oordeel dat aangeeft of dit afzonderlijk verslag</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right="0" w:firstLine="0"/>
        <w:jc w:val="left"/>
      </w:pPr>
      <w:r>
        <w:rPr/>
        <w:pict>
          <v:line style="position:absolute;mso-position-horizontal-relative:page;mso-position-vertical-relative:page;z-index:2944" from="298.170502pt,64.473pt" to="298.170502pt,812.819pt" stroked="true" strokeweight=".533pt" strokecolor="#231f20">
            <v:stroke dashstyle="solid"/>
            <w10:wrap type="none"/>
          </v:line>
        </w:pict>
      </w:r>
      <w:bookmarkStart w:name="_bookmark80" w:id="85"/>
      <w:bookmarkEnd w:id="85"/>
      <w:r>
        <w:rPr/>
      </w:r>
      <w:r>
        <w:rPr>
          <w:color w:val="231F20"/>
        </w:rPr>
        <w:t>exercice;</w:t>
      </w:r>
    </w:p>
    <w:p>
      <w:pPr>
        <w:pStyle w:val="BodyText"/>
        <w:spacing w:before="5"/>
        <w:ind w:left="0" w:right="0" w:firstLine="0"/>
        <w:jc w:val="left"/>
        <w:rPr>
          <w:sz w:val="26"/>
        </w:rPr>
      </w:pPr>
    </w:p>
    <w:p>
      <w:pPr>
        <w:pStyle w:val="BodyText"/>
        <w:spacing w:line="218" w:lineRule="auto"/>
        <w:ind w:right="38"/>
      </w:pPr>
      <w:r>
        <w:rPr>
          <w:color w:val="231F20"/>
        </w:rPr>
        <w:t>6° une déclaration sur d’éventuelles incertitudes significatives liées à des événements ou à des circonstances qui peuvent jeter un doute important sur la capacité du groupe à poursuivre son exploitation;</w:t>
      </w:r>
    </w:p>
    <w:p>
      <w:pPr>
        <w:pStyle w:val="BodyText"/>
        <w:spacing w:before="8"/>
        <w:ind w:left="0" w:right="0" w:firstLine="0"/>
        <w:jc w:val="left"/>
        <w:rPr>
          <w:sz w:val="26"/>
        </w:rPr>
      </w:pPr>
    </w:p>
    <w:p>
      <w:pPr>
        <w:pStyle w:val="BodyText"/>
        <w:spacing w:line="218" w:lineRule="auto"/>
        <w:ind w:right="38"/>
      </w:pPr>
      <w:r>
        <w:rPr>
          <w:color w:val="231F20"/>
        </w:rPr>
        <w:t>7° une mention confirmant, d’une part, qu’ils n’ont pas effectué de missions incompatibles avec le contrôle légal des comptes et qu’ils sont restés indépendants vis-à-vis du groupe au cours de leur mandat et, d’autre part, que les missions complémentaires compatibles avec le contrôle légal des comptes visées à l’article 3:65 ont, le cas échéant, correctement été ventilées et valorisées dans l’annexe des comptes. A défaut, ils mentionnent eux-mêmes l’information détaillée dans leur rapport sur le contrôle légal des comptes consolidés;</w:t>
      </w:r>
    </w:p>
    <w:p>
      <w:pPr>
        <w:pStyle w:val="BodyText"/>
        <w:spacing w:before="9"/>
        <w:ind w:left="0" w:right="0" w:firstLine="0"/>
        <w:jc w:val="left"/>
        <w:rPr>
          <w:sz w:val="26"/>
        </w:rPr>
      </w:pPr>
    </w:p>
    <w:p>
      <w:pPr>
        <w:pStyle w:val="BodyText"/>
        <w:spacing w:line="218" w:lineRule="auto"/>
        <w:ind w:right="38"/>
      </w:pPr>
      <w:r>
        <w:rPr>
          <w:color w:val="231F20"/>
        </w:rPr>
        <w:t>8° une mention du lieu d’établissement du commissaire, du réviseur d’entreprises ou du cabinet d’audit enregistré.</w:t>
      </w:r>
    </w:p>
    <w:p>
      <w:pPr>
        <w:pStyle w:val="BodyText"/>
        <w:spacing w:line="218" w:lineRule="auto" w:before="129"/>
        <w:ind w:right="38"/>
      </w:pPr>
      <w:r>
        <w:rPr>
          <w:color w:val="231F20"/>
        </w:rPr>
        <w:t>Le rapport est signé et daté par les commissaires ou réviseurs d’entreprises désignés.</w:t>
      </w:r>
    </w:p>
    <w:p>
      <w:pPr>
        <w:pStyle w:val="BodyText"/>
        <w:spacing w:line="218" w:lineRule="auto" w:before="128"/>
        <w:ind w:right="38"/>
      </w:pPr>
      <w:r>
        <w:rPr>
          <w:color w:val="231F20"/>
        </w:rPr>
        <w:t>§ 2. Lorsque le contrôle des comptes consolidés est confié à plusieurs réviseurs d’entreprises, ils conviennent ensemble des résultats du contrôle légal des comptes consolidés et présentent un rapport et une opinion conjointe. En cas de désaccord, chaque réviseur d’entreprises présente son avis dans un paragraphe distinct du rapport et expose les raisons de ce désaccord.</w:t>
      </w:r>
    </w:p>
    <w:p>
      <w:pPr>
        <w:pStyle w:val="BodyText"/>
        <w:ind w:left="0" w:right="0" w:firstLine="0"/>
        <w:jc w:val="left"/>
        <w:rPr>
          <w:sz w:val="20"/>
        </w:rPr>
      </w:pPr>
    </w:p>
    <w:p>
      <w:pPr>
        <w:pStyle w:val="BodyText"/>
        <w:spacing w:before="2"/>
        <w:ind w:left="0" w:right="0" w:firstLine="0"/>
        <w:jc w:val="left"/>
        <w:rPr>
          <w:sz w:val="22"/>
        </w:rPr>
      </w:pPr>
    </w:p>
    <w:p>
      <w:pPr>
        <w:pStyle w:val="BodyText"/>
        <w:spacing w:line="218" w:lineRule="auto" w:before="1"/>
        <w:ind w:right="38"/>
      </w:pPr>
      <w:r>
        <w:rPr>
          <w:color w:val="231F20"/>
        </w:rPr>
        <w:t>En outre, lorsque le contrôle légal des comptes consolidés est confié  à plusieurs réviseurs d’entreprises, le rapport sur le contrôle légal des comptes</w:t>
      </w:r>
      <w:r>
        <w:rPr>
          <w:color w:val="231F20"/>
          <w:spacing w:val="16"/>
        </w:rPr>
        <w:t> </w:t>
      </w:r>
      <w:r>
        <w:rPr>
          <w:color w:val="231F20"/>
        </w:rPr>
        <w:t>consolidés</w:t>
      </w:r>
      <w:r>
        <w:rPr>
          <w:color w:val="231F20"/>
          <w:spacing w:val="16"/>
        </w:rPr>
        <w:t> </w:t>
      </w:r>
      <w:r>
        <w:rPr>
          <w:color w:val="231F20"/>
        </w:rPr>
        <w:t>est</w:t>
      </w:r>
      <w:r>
        <w:rPr>
          <w:color w:val="231F20"/>
          <w:spacing w:val="16"/>
        </w:rPr>
        <w:t> </w:t>
      </w:r>
      <w:r>
        <w:rPr>
          <w:color w:val="231F20"/>
        </w:rPr>
        <w:t>signé</w:t>
      </w:r>
      <w:r>
        <w:rPr>
          <w:color w:val="231F20"/>
          <w:spacing w:val="16"/>
        </w:rPr>
        <w:t> </w:t>
      </w:r>
      <w:r>
        <w:rPr>
          <w:color w:val="231F20"/>
        </w:rPr>
        <w:t>par</w:t>
      </w:r>
      <w:r>
        <w:rPr>
          <w:color w:val="231F20"/>
          <w:spacing w:val="16"/>
        </w:rPr>
        <w:t> </w:t>
      </w:r>
      <w:r>
        <w:rPr>
          <w:color w:val="231F20"/>
        </w:rPr>
        <w:t>tous</w:t>
      </w:r>
      <w:r>
        <w:rPr>
          <w:color w:val="231F20"/>
          <w:spacing w:val="16"/>
        </w:rPr>
        <w:t> </w:t>
      </w:r>
      <w:r>
        <w:rPr>
          <w:color w:val="231F20"/>
        </w:rPr>
        <w:t>les</w:t>
      </w:r>
      <w:r>
        <w:rPr>
          <w:color w:val="231F20"/>
          <w:spacing w:val="16"/>
        </w:rPr>
        <w:t> </w:t>
      </w:r>
      <w:r>
        <w:rPr>
          <w:color w:val="231F20"/>
        </w:rPr>
        <w:t>réviseurs</w:t>
      </w:r>
      <w:r>
        <w:rPr>
          <w:color w:val="231F20"/>
          <w:spacing w:val="16"/>
        </w:rPr>
        <w:t> </w:t>
      </w:r>
      <w:r>
        <w:rPr>
          <w:color w:val="231F20"/>
        </w:rPr>
        <w:t>d’entreprises.</w:t>
      </w:r>
    </w:p>
    <w:p>
      <w:pPr>
        <w:pStyle w:val="BodyText"/>
        <w:spacing w:before="8"/>
        <w:ind w:left="0" w:right="0" w:firstLine="0"/>
        <w:jc w:val="left"/>
        <w:rPr>
          <w:sz w:val="26"/>
        </w:rPr>
      </w:pPr>
    </w:p>
    <w:p>
      <w:pPr>
        <w:pStyle w:val="BodyText"/>
        <w:spacing w:line="218" w:lineRule="auto"/>
        <w:ind w:right="38"/>
      </w:pPr>
      <w:r>
        <w:rPr>
          <w:color w:val="231F20"/>
        </w:rPr>
        <w:t>§</w:t>
      </w:r>
      <w:r>
        <w:rPr>
          <w:color w:val="231F20"/>
          <w:spacing w:val="-6"/>
        </w:rPr>
        <w:t> </w:t>
      </w:r>
      <w:r>
        <w:rPr>
          <w:color w:val="231F20"/>
        </w:rPr>
        <w:t>3.</w:t>
      </w:r>
      <w:r>
        <w:rPr>
          <w:color w:val="231F20"/>
          <w:spacing w:val="-5"/>
        </w:rPr>
        <w:t> </w:t>
      </w:r>
      <w:r>
        <w:rPr>
          <w:color w:val="231F20"/>
        </w:rPr>
        <w:t>Lorsque</w:t>
      </w:r>
      <w:r>
        <w:rPr>
          <w:color w:val="231F20"/>
          <w:spacing w:val="-5"/>
        </w:rPr>
        <w:t> </w:t>
      </w:r>
      <w:r>
        <w:rPr>
          <w:color w:val="231F20"/>
        </w:rPr>
        <w:t>le</w:t>
      </w:r>
      <w:r>
        <w:rPr>
          <w:color w:val="231F20"/>
          <w:spacing w:val="-5"/>
        </w:rPr>
        <w:t> </w:t>
      </w:r>
      <w:r>
        <w:rPr>
          <w:color w:val="231F20"/>
        </w:rPr>
        <w:t>contrôle</w:t>
      </w:r>
      <w:r>
        <w:rPr>
          <w:color w:val="231F20"/>
          <w:spacing w:val="-5"/>
        </w:rPr>
        <w:t> </w:t>
      </w:r>
      <w:r>
        <w:rPr>
          <w:color w:val="231F20"/>
        </w:rPr>
        <w:t>des</w:t>
      </w:r>
      <w:r>
        <w:rPr>
          <w:color w:val="231F20"/>
          <w:spacing w:val="-5"/>
        </w:rPr>
        <w:t> </w:t>
      </w:r>
      <w:r>
        <w:rPr>
          <w:color w:val="231F20"/>
        </w:rPr>
        <w:t>comptes</w:t>
      </w:r>
      <w:r>
        <w:rPr>
          <w:color w:val="231F20"/>
          <w:spacing w:val="-6"/>
        </w:rPr>
        <w:t> </w:t>
      </w:r>
      <w:r>
        <w:rPr>
          <w:color w:val="231F20"/>
        </w:rPr>
        <w:t>consolidés</w:t>
      </w:r>
      <w:r>
        <w:rPr>
          <w:color w:val="231F20"/>
          <w:spacing w:val="-5"/>
        </w:rPr>
        <w:t> </w:t>
      </w:r>
      <w:r>
        <w:rPr>
          <w:color w:val="231F20"/>
        </w:rPr>
        <w:t>est</w:t>
      </w:r>
      <w:r>
        <w:rPr>
          <w:color w:val="231F20"/>
          <w:spacing w:val="-5"/>
        </w:rPr>
        <w:t> </w:t>
      </w:r>
      <w:r>
        <w:rPr>
          <w:color w:val="231F20"/>
        </w:rPr>
        <w:t>confié</w:t>
      </w:r>
      <w:r>
        <w:rPr>
          <w:color w:val="231F20"/>
          <w:spacing w:val="-5"/>
        </w:rPr>
        <w:t> </w:t>
      </w:r>
      <w:r>
        <w:rPr>
          <w:color w:val="231F20"/>
        </w:rPr>
        <w:t>à</w:t>
      </w:r>
      <w:r>
        <w:rPr>
          <w:color w:val="231F20"/>
          <w:spacing w:val="-5"/>
        </w:rPr>
        <w:t> </w:t>
      </w:r>
      <w:r>
        <w:rPr>
          <w:color w:val="231F20"/>
        </w:rPr>
        <w:t>un</w:t>
      </w:r>
      <w:r>
        <w:rPr>
          <w:color w:val="231F20"/>
          <w:spacing w:val="-5"/>
        </w:rPr>
        <w:t> </w:t>
      </w:r>
      <w:r>
        <w:rPr>
          <w:color w:val="231F20"/>
        </w:rPr>
        <w:t>cabinet de révision ou à un cabinet d’audit enregistré, le rapport sur le contrôle légal des comptes consolidés porte au moins la signature du représen- tant permanent qui effectue le contrôle des comptes consolidés pour le compte</w:t>
      </w:r>
      <w:r>
        <w:rPr>
          <w:color w:val="231F20"/>
          <w:spacing w:val="17"/>
        </w:rPr>
        <w:t> </w:t>
      </w:r>
      <w:r>
        <w:rPr>
          <w:color w:val="231F20"/>
        </w:rPr>
        <w:t>du</w:t>
      </w:r>
      <w:r>
        <w:rPr>
          <w:color w:val="231F20"/>
          <w:spacing w:val="17"/>
        </w:rPr>
        <w:t> </w:t>
      </w:r>
      <w:r>
        <w:rPr>
          <w:color w:val="231F20"/>
        </w:rPr>
        <w:t>cabinet</w:t>
      </w:r>
      <w:r>
        <w:rPr>
          <w:color w:val="231F20"/>
          <w:spacing w:val="17"/>
        </w:rPr>
        <w:t> </w:t>
      </w:r>
      <w:r>
        <w:rPr>
          <w:color w:val="231F20"/>
        </w:rPr>
        <w:t>de</w:t>
      </w:r>
      <w:r>
        <w:rPr>
          <w:color w:val="231F20"/>
          <w:spacing w:val="18"/>
        </w:rPr>
        <w:t> </w:t>
      </w:r>
      <w:r>
        <w:rPr>
          <w:color w:val="231F20"/>
        </w:rPr>
        <w:t>révision</w:t>
      </w:r>
      <w:r>
        <w:rPr>
          <w:color w:val="231F20"/>
          <w:spacing w:val="17"/>
        </w:rPr>
        <w:t> </w:t>
      </w:r>
      <w:r>
        <w:rPr>
          <w:color w:val="231F20"/>
        </w:rPr>
        <w:t>ou</w:t>
      </w:r>
      <w:r>
        <w:rPr>
          <w:color w:val="231F20"/>
          <w:spacing w:val="17"/>
        </w:rPr>
        <w:t> </w:t>
      </w:r>
      <w:r>
        <w:rPr>
          <w:color w:val="231F20"/>
        </w:rPr>
        <w:t>du</w:t>
      </w:r>
      <w:r>
        <w:rPr>
          <w:color w:val="231F20"/>
          <w:spacing w:val="18"/>
        </w:rPr>
        <w:t> </w:t>
      </w:r>
      <w:r>
        <w:rPr>
          <w:color w:val="231F20"/>
        </w:rPr>
        <w:t>cabinet</w:t>
      </w:r>
      <w:r>
        <w:rPr>
          <w:color w:val="231F20"/>
          <w:spacing w:val="17"/>
        </w:rPr>
        <w:t> </w:t>
      </w:r>
      <w:r>
        <w:rPr>
          <w:color w:val="231F20"/>
        </w:rPr>
        <w:t>d’audit</w:t>
      </w:r>
      <w:r>
        <w:rPr>
          <w:color w:val="231F20"/>
          <w:spacing w:val="17"/>
        </w:rPr>
        <w:t> </w:t>
      </w:r>
      <w:r>
        <w:rPr>
          <w:color w:val="231F20"/>
        </w:rPr>
        <w:t>enregistré.</w:t>
      </w:r>
    </w:p>
    <w:p>
      <w:pPr>
        <w:pStyle w:val="BodyText"/>
        <w:ind w:left="0" w:right="0" w:firstLine="0"/>
        <w:jc w:val="left"/>
        <w:rPr>
          <w:sz w:val="20"/>
        </w:rPr>
      </w:pPr>
    </w:p>
    <w:p>
      <w:pPr>
        <w:pStyle w:val="BodyText"/>
        <w:spacing w:before="3"/>
        <w:ind w:left="0" w:right="0" w:firstLine="0"/>
        <w:jc w:val="left"/>
        <w:rPr>
          <w:sz w:val="22"/>
        </w:rPr>
      </w:pPr>
    </w:p>
    <w:p>
      <w:pPr>
        <w:pStyle w:val="BodyText"/>
        <w:spacing w:line="218" w:lineRule="auto"/>
        <w:ind w:right="38"/>
      </w:pPr>
      <w:r>
        <w:rPr>
          <w:color w:val="231F20"/>
        </w:rPr>
        <w:t>§ 4. Dans le cas où les comptes annuels de la société mère sont joints aux comptes consolidés, le rapport des commissaires ou des réviseurs d’entreprises désignés requis par le présent article peut être combiné avec le rapport des commissaires sur les comptes annuels de la société mère requis par l’article 3:74.</w:t>
      </w:r>
    </w:p>
    <w:p>
      <w:pPr>
        <w:pStyle w:val="BodyText"/>
        <w:spacing w:before="5"/>
        <w:ind w:left="0" w:right="0" w:firstLine="0"/>
        <w:jc w:val="left"/>
        <w:rPr>
          <w:sz w:val="26"/>
        </w:rPr>
      </w:pPr>
    </w:p>
    <w:p>
      <w:pPr>
        <w:pStyle w:val="BodyText"/>
        <w:ind w:left="283" w:right="0" w:hanging="1"/>
        <w:jc w:val="left"/>
      </w:pPr>
      <w:r>
        <w:rPr>
          <w:color w:val="231F20"/>
        </w:rPr>
        <w:t>Section 2. Arrêtés royaux relatifs au contrôle des comptes consolidés.</w:t>
      </w:r>
    </w:p>
    <w:p>
      <w:pPr>
        <w:pStyle w:val="BodyText"/>
        <w:spacing w:before="1"/>
        <w:ind w:left="0" w:right="0" w:firstLine="0"/>
        <w:jc w:val="left"/>
        <w:rPr>
          <w:sz w:val="26"/>
        </w:rPr>
      </w:pPr>
    </w:p>
    <w:p>
      <w:pPr>
        <w:pStyle w:val="BodyText"/>
        <w:spacing w:line="218" w:lineRule="auto"/>
        <w:ind w:right="38"/>
      </w:pPr>
      <w:r>
        <w:rPr>
          <w:color w:val="231F20"/>
        </w:rPr>
        <w:t>Art. 3:81. § 1</w:t>
      </w:r>
      <w:r>
        <w:rPr>
          <w:color w:val="231F20"/>
          <w:position w:val="7"/>
          <w:sz w:val="11"/>
        </w:rPr>
        <w:t>er</w:t>
      </w:r>
      <w:r>
        <w:rPr>
          <w:color w:val="231F20"/>
        </w:rPr>
        <w:t>. Le Roi peut adapter et compléter les règles relatives</w:t>
      </w:r>
      <w:r>
        <w:rPr>
          <w:color w:val="231F20"/>
          <w:spacing w:val="-18"/>
        </w:rPr>
        <w:t> </w:t>
      </w:r>
      <w:r>
        <w:rPr>
          <w:color w:val="231F20"/>
        </w:rPr>
        <w:t>au contrôle des comptes consolidés ainsi qu’à l’établissement d’un rapport de</w:t>
      </w:r>
      <w:r>
        <w:rPr>
          <w:color w:val="231F20"/>
          <w:spacing w:val="15"/>
        </w:rPr>
        <w:t> </w:t>
      </w:r>
      <w:r>
        <w:rPr>
          <w:color w:val="231F20"/>
        </w:rPr>
        <w:t>contrôle</w:t>
      </w:r>
      <w:r>
        <w:rPr>
          <w:color w:val="231F20"/>
          <w:spacing w:val="16"/>
        </w:rPr>
        <w:t> </w:t>
      </w:r>
      <w:r>
        <w:rPr>
          <w:color w:val="231F20"/>
        </w:rPr>
        <w:t>selon</w:t>
      </w:r>
      <w:r>
        <w:rPr>
          <w:color w:val="231F20"/>
          <w:spacing w:val="16"/>
        </w:rPr>
        <w:t> </w:t>
      </w:r>
      <w:r>
        <w:rPr>
          <w:color w:val="231F20"/>
        </w:rPr>
        <w:t>les</w:t>
      </w:r>
      <w:r>
        <w:rPr>
          <w:color w:val="231F20"/>
          <w:spacing w:val="16"/>
        </w:rPr>
        <w:t> </w:t>
      </w:r>
      <w:r>
        <w:rPr>
          <w:color w:val="231F20"/>
        </w:rPr>
        <w:t>branches</w:t>
      </w:r>
      <w:r>
        <w:rPr>
          <w:color w:val="231F20"/>
          <w:spacing w:val="15"/>
        </w:rPr>
        <w:t> </w:t>
      </w:r>
      <w:r>
        <w:rPr>
          <w:color w:val="231F20"/>
        </w:rPr>
        <w:t>d’activités</w:t>
      </w:r>
      <w:r>
        <w:rPr>
          <w:color w:val="231F20"/>
          <w:spacing w:val="16"/>
        </w:rPr>
        <w:t> </w:t>
      </w:r>
      <w:r>
        <w:rPr>
          <w:color w:val="231F20"/>
        </w:rPr>
        <w:t>ou</w:t>
      </w:r>
      <w:r>
        <w:rPr>
          <w:color w:val="231F20"/>
          <w:spacing w:val="16"/>
        </w:rPr>
        <w:t> </w:t>
      </w:r>
      <w:r>
        <w:rPr>
          <w:color w:val="231F20"/>
        </w:rPr>
        <w:t>secteurs</w:t>
      </w:r>
      <w:r>
        <w:rPr>
          <w:color w:val="231F20"/>
          <w:spacing w:val="16"/>
        </w:rPr>
        <w:t> </w:t>
      </w:r>
      <w:r>
        <w:rPr>
          <w:color w:val="231F20"/>
        </w:rPr>
        <w:t>économiques.</w:t>
      </w:r>
    </w:p>
    <w:p>
      <w:pPr>
        <w:pStyle w:val="BodyText"/>
        <w:spacing w:before="4"/>
        <w:ind w:left="0" w:right="0" w:firstLine="0"/>
        <w:jc w:val="left"/>
        <w:rPr>
          <w:sz w:val="26"/>
        </w:rPr>
      </w:pPr>
    </w:p>
    <w:p>
      <w:pPr>
        <w:pStyle w:val="BodyText"/>
        <w:spacing w:line="218" w:lineRule="auto"/>
        <w:ind w:right="38"/>
      </w:pPr>
      <w:r>
        <w:rPr>
          <w:color w:val="231F20"/>
        </w:rPr>
        <w:t>L’alinéa 1</w:t>
      </w:r>
      <w:r>
        <w:rPr>
          <w:color w:val="231F20"/>
          <w:position w:val="7"/>
          <w:sz w:val="11"/>
        </w:rPr>
        <w:t>er </w:t>
      </w:r>
      <w:r>
        <w:rPr>
          <w:color w:val="231F20"/>
        </w:rPr>
        <w:t>n’est pas applicable aux sociétés dont l’objet est l’assurance et qui sont agréées par le Roi en application de la législation relative au contrôle des entreprises d’assurances.</w:t>
      </w:r>
    </w:p>
    <w:p>
      <w:pPr>
        <w:pStyle w:val="BodyText"/>
        <w:spacing w:before="8"/>
        <w:ind w:left="0" w:right="0" w:firstLine="0"/>
        <w:jc w:val="left"/>
        <w:rPr>
          <w:sz w:val="27"/>
        </w:rPr>
      </w:pPr>
    </w:p>
    <w:p>
      <w:pPr>
        <w:pStyle w:val="BodyText"/>
        <w:spacing w:line="218" w:lineRule="auto"/>
        <w:ind w:right="38"/>
      </w:pPr>
      <w:r>
        <w:rPr>
          <w:color w:val="231F20"/>
        </w:rPr>
        <w:t>§ 2. Le Roi peut, en ce qui concerne les sociétés qui ne dépassent pas une certaine taille qu’Il définit, adapter et compléter les règles relatives au contrôle des comptes consolidés ainsi qu’à l’établissement d’un rapport de contrôle, ou prévoir l’exemption de ces sociétés de tout ou partie de ces règles. Ces adaptations et exemptions peuvent varier selon l’objet des arrêtés susvisés et selon la forme légale de la société.</w:t>
      </w:r>
    </w:p>
    <w:p>
      <w:pPr>
        <w:pStyle w:val="BodyText"/>
        <w:ind w:left="0" w:right="0" w:firstLine="0"/>
        <w:jc w:val="left"/>
        <w:rPr>
          <w:sz w:val="20"/>
        </w:rPr>
      </w:pPr>
    </w:p>
    <w:p>
      <w:pPr>
        <w:pStyle w:val="BodyText"/>
        <w:ind w:left="0" w:right="0" w:firstLine="0"/>
        <w:jc w:val="left"/>
        <w:rPr>
          <w:sz w:val="20"/>
        </w:rPr>
      </w:pPr>
    </w:p>
    <w:p>
      <w:pPr>
        <w:pStyle w:val="BodyText"/>
        <w:spacing w:before="7"/>
        <w:ind w:left="0" w:right="0" w:firstLine="0"/>
        <w:jc w:val="left"/>
        <w:rPr>
          <w:sz w:val="18"/>
        </w:rPr>
      </w:pPr>
    </w:p>
    <w:p>
      <w:pPr>
        <w:pStyle w:val="BodyText"/>
        <w:spacing w:line="218" w:lineRule="auto" w:before="1"/>
        <w:ind w:right="38"/>
      </w:pPr>
      <w:r>
        <w:rPr>
          <w:color w:val="231F20"/>
        </w:rPr>
        <w:t>Art. 3:82. Le ministre qui a les Affaires économiques dans ses attributions ou son délégué peut autoriser, dans des cas spéciaux et moyennant l’avis motivé de la Commission des  normes</w:t>
      </w:r>
      <w:r>
        <w:rPr>
          <w:color w:val="231F20"/>
          <w:spacing w:val="21"/>
        </w:rPr>
        <w:t> </w:t>
      </w:r>
      <w:r>
        <w:rPr>
          <w:color w:val="231F20"/>
        </w:rPr>
        <w:t>comptables, des dérogations aux articles 3:77 à 3:80 et aux règles arrêtées en exécution de l’article</w:t>
      </w:r>
      <w:r>
        <w:rPr>
          <w:color w:val="231F20"/>
          <w:spacing w:val="3"/>
        </w:rPr>
        <w:t> </w:t>
      </w:r>
      <w:r>
        <w:rPr>
          <w:color w:val="231F20"/>
        </w:rPr>
        <w:t>3:81.</w:t>
      </w:r>
    </w:p>
    <w:p>
      <w:pPr>
        <w:pStyle w:val="BodyText"/>
        <w:spacing w:line="218" w:lineRule="auto" w:before="139"/>
        <w:ind w:right="38"/>
      </w:pPr>
      <w:r>
        <w:rPr>
          <w:color w:val="231F20"/>
        </w:rPr>
        <w:t>La Commission des normes comptables est informée de la décision du</w:t>
      </w:r>
      <w:r>
        <w:rPr>
          <w:color w:val="231F20"/>
          <w:spacing w:val="15"/>
        </w:rPr>
        <w:t> </w:t>
      </w:r>
      <w:r>
        <w:rPr>
          <w:color w:val="231F20"/>
        </w:rPr>
        <w:t>ministre</w:t>
      </w:r>
      <w:r>
        <w:rPr>
          <w:color w:val="231F20"/>
          <w:spacing w:val="15"/>
        </w:rPr>
        <w:t> </w:t>
      </w:r>
      <w:r>
        <w:rPr>
          <w:color w:val="231F20"/>
        </w:rPr>
        <w:t>ou</w:t>
      </w:r>
      <w:r>
        <w:rPr>
          <w:color w:val="231F20"/>
          <w:spacing w:val="16"/>
        </w:rPr>
        <w:t> </w:t>
      </w:r>
      <w:r>
        <w:rPr>
          <w:color w:val="231F20"/>
        </w:rPr>
        <w:t>de</w:t>
      </w:r>
      <w:r>
        <w:rPr>
          <w:color w:val="231F20"/>
          <w:spacing w:val="15"/>
        </w:rPr>
        <w:t> </w:t>
      </w:r>
      <w:r>
        <w:rPr>
          <w:color w:val="231F20"/>
        </w:rPr>
        <w:t>son</w:t>
      </w:r>
      <w:r>
        <w:rPr>
          <w:color w:val="231F20"/>
          <w:spacing w:val="16"/>
        </w:rPr>
        <w:t> </w:t>
      </w:r>
      <w:r>
        <w:rPr>
          <w:color w:val="231F20"/>
        </w:rPr>
        <w:t>délégué.</w:t>
      </w:r>
    </w:p>
    <w:p>
      <w:pPr>
        <w:pStyle w:val="BodyText"/>
        <w:spacing w:line="218" w:lineRule="auto" w:before="123"/>
        <w:ind w:right="38"/>
      </w:pPr>
      <w:r>
        <w:rPr>
          <w:color w:val="231F20"/>
        </w:rPr>
        <w:t>L’alinéa 1</w:t>
      </w:r>
      <w:r>
        <w:rPr>
          <w:color w:val="231F20"/>
          <w:position w:val="7"/>
          <w:sz w:val="11"/>
        </w:rPr>
        <w:t>er </w:t>
      </w:r>
      <w:r>
        <w:rPr>
          <w:color w:val="231F20"/>
        </w:rPr>
        <w:t>n’est pas applicable aux sociétés dont l’objet est l’assurance et qui sont agréées par le Roi en application de la législation relative au contrôle des entreprises d’assurance.</w:t>
      </w:r>
    </w:p>
    <w:p>
      <w:pPr>
        <w:pStyle w:val="BodyText"/>
        <w:spacing w:line="218" w:lineRule="auto" w:before="119"/>
        <w:ind w:right="0" w:firstLine="0"/>
        <w:jc w:val="left"/>
      </w:pPr>
      <w:r>
        <w:rPr/>
        <w:br w:type="column"/>
      </w:r>
      <w:r>
        <w:rPr>
          <w:color w:val="231F20"/>
        </w:rPr>
        <w:t>de vereiste inlichtingen bevat en in overeenstemming is met de geconsolideerde jaarrekening voor hetzelfde boekjaar;</w:t>
      </w:r>
    </w:p>
    <w:p>
      <w:pPr>
        <w:pStyle w:val="BodyText"/>
        <w:spacing w:line="218" w:lineRule="auto" w:before="129"/>
      </w:pPr>
      <w:r>
        <w:rPr>
          <w:color w:val="231F20"/>
        </w:rPr>
        <w:t>6° een verklaring betreffende materiële onzekerheden die verband houden met gebeurtenissen of omstandigheden die mogelijk aanzien- lijke twijfel doen rijzen over het vermogen van de groep om zijn bedrijfsactiviteiten voort te zetten;</w:t>
      </w:r>
    </w:p>
    <w:p>
      <w:pPr>
        <w:pStyle w:val="BodyText"/>
        <w:spacing w:line="218" w:lineRule="auto" w:before="128"/>
      </w:pPr>
      <w:r>
        <w:rPr>
          <w:color w:val="231F20"/>
        </w:rPr>
        <w:t>7° een vermelding ter bevestiging, enerzijds, dat zij geen opdrachten hebben verricht die onverenigbaar zijn met de wettelijke controle en</w:t>
      </w:r>
      <w:r>
        <w:rPr>
          <w:color w:val="231F20"/>
          <w:spacing w:val="-19"/>
        </w:rPr>
        <w:t> </w:t>
      </w:r>
      <w:r>
        <w:rPr>
          <w:color w:val="231F20"/>
        </w:rPr>
        <w:t>dat zij in de loop van hun mandaat onafhankelijk zijn gebleven tegenover de groep en, anderzijds, dat de bedragen voor de bijkomende opdrachten die verenigbaar zijn met de wettelijke controle bedoeld in artikel 3:65 desgevallend correct zijn vermeld en uitgesplitst in de toelichting bij de jaarrekening. Indien dit niet het geval is, vermelden</w:t>
      </w:r>
      <w:r>
        <w:rPr>
          <w:color w:val="231F20"/>
          <w:spacing w:val="-24"/>
        </w:rPr>
        <w:t> </w:t>
      </w:r>
      <w:r>
        <w:rPr>
          <w:color w:val="231F20"/>
        </w:rPr>
        <w:t>de commissarissen de gedetailleerde informatie zelf in hun verslag over de wettelijke</w:t>
      </w:r>
      <w:r>
        <w:rPr>
          <w:color w:val="231F20"/>
          <w:spacing w:val="15"/>
        </w:rPr>
        <w:t> </w:t>
      </w:r>
      <w:r>
        <w:rPr>
          <w:color w:val="231F20"/>
        </w:rPr>
        <w:t>controle</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geconsolideerde</w:t>
      </w:r>
      <w:r>
        <w:rPr>
          <w:color w:val="231F20"/>
          <w:spacing w:val="15"/>
        </w:rPr>
        <w:t> </w:t>
      </w:r>
      <w:r>
        <w:rPr>
          <w:color w:val="231F20"/>
        </w:rPr>
        <w:t>jaarrekening;</w:t>
      </w:r>
    </w:p>
    <w:p>
      <w:pPr>
        <w:pStyle w:val="BodyText"/>
        <w:spacing w:line="218" w:lineRule="auto" w:before="128"/>
      </w:pPr>
      <w:r>
        <w:rPr>
          <w:color w:val="231F20"/>
        </w:rPr>
        <w:t>8° een vermelding van de vestigingsplaats van de commissaris, de bedrijfsrevisor of het geregistreerd auditkantoor.</w:t>
      </w:r>
    </w:p>
    <w:p>
      <w:pPr>
        <w:pStyle w:val="BodyText"/>
        <w:spacing w:line="218" w:lineRule="auto" w:before="129"/>
      </w:pPr>
      <w:r>
        <w:rPr>
          <w:color w:val="231F20"/>
        </w:rPr>
        <w:t>Het verslag wordt door de commissarissen of aangestelde bedrijfs- revisoren ondertekend en gedagtekend.</w:t>
      </w:r>
    </w:p>
    <w:p>
      <w:pPr>
        <w:pStyle w:val="BodyText"/>
        <w:spacing w:line="218" w:lineRule="auto" w:before="128"/>
      </w:pPr>
      <w:r>
        <w:rPr>
          <w:color w:val="231F20"/>
        </w:rPr>
        <w:t>§ 2. Indien de wettelijke controle van de geconsolideerde jaarreke- ning is toevertrouwd aan meer dan één bedrijfsrevisor, dienen zij overeenstemming te bereiken over de resultaten van de wettelijke controle van de geconsolideerde jaarrekening en geven zij een geza- menlijk verslag en een gezamenlijk oordeel af. In geval van verschil van mening geeft elke bedrijfsrevisor zijn mening in een afzonderlijke paragraaf van het verslag met vermelding van de redenen voor het verschil van mening.</w:t>
      </w:r>
    </w:p>
    <w:p>
      <w:pPr>
        <w:pStyle w:val="BodyText"/>
        <w:spacing w:line="218" w:lineRule="auto" w:before="128"/>
        <w:ind w:right="123"/>
      </w:pPr>
      <w:r>
        <w:rPr>
          <w:color w:val="231F20"/>
        </w:rPr>
        <w:t>Indien de wettelijke controle van de geconsolideerde jaarrekening is toevertrouwd aan meer dan één bedrijfsrevisor, wordt het verslag over de wettelijke controle van de geconsolideerde jaarrekening onderte- kend door alle bedrijfsrevisoren.</w:t>
      </w:r>
    </w:p>
    <w:p>
      <w:pPr>
        <w:pStyle w:val="BodyText"/>
        <w:spacing w:line="218" w:lineRule="auto" w:before="128"/>
        <w:ind w:right="123"/>
      </w:pPr>
      <w:r>
        <w:rPr>
          <w:color w:val="231F20"/>
        </w:rPr>
        <w:t>§ 3. Indien de wettelijke controle van de geconsolideerde jaarreke- ning is toevertrouwd aan een bedrijfsrevisorenkantoor of aan een geregistreerd auditkantoor, wordt het verslag over de wettelijke controle van de geconsolideerde jaarrekening ondertekend door ten minste de vaste vertegenwoordiger die de wettelijke controle van de geconsolideerde</w:t>
      </w:r>
      <w:r>
        <w:rPr>
          <w:color w:val="231F20"/>
          <w:spacing w:val="-16"/>
        </w:rPr>
        <w:t> </w:t>
      </w:r>
      <w:r>
        <w:rPr>
          <w:color w:val="231F20"/>
        </w:rPr>
        <w:t>jaarrekening</w:t>
      </w:r>
      <w:r>
        <w:rPr>
          <w:color w:val="231F20"/>
          <w:spacing w:val="-15"/>
        </w:rPr>
        <w:t> </w:t>
      </w:r>
      <w:r>
        <w:rPr>
          <w:color w:val="231F20"/>
        </w:rPr>
        <w:t>uitvoert</w:t>
      </w:r>
      <w:r>
        <w:rPr>
          <w:color w:val="231F20"/>
          <w:spacing w:val="-15"/>
        </w:rPr>
        <w:t> </w:t>
      </w:r>
      <w:r>
        <w:rPr>
          <w:color w:val="231F20"/>
        </w:rPr>
        <w:t>namens</w:t>
      </w:r>
      <w:r>
        <w:rPr>
          <w:color w:val="231F20"/>
          <w:spacing w:val="-15"/>
        </w:rPr>
        <w:t> </w:t>
      </w:r>
      <w:r>
        <w:rPr>
          <w:color w:val="231F20"/>
        </w:rPr>
        <w:t>het</w:t>
      </w:r>
      <w:r>
        <w:rPr>
          <w:color w:val="231F20"/>
          <w:spacing w:val="-15"/>
        </w:rPr>
        <w:t> </w:t>
      </w:r>
      <w:r>
        <w:rPr>
          <w:color w:val="231F20"/>
        </w:rPr>
        <w:t>bedrijfsrevisorenkan- toor of het geregistreerd</w:t>
      </w:r>
      <w:r>
        <w:rPr>
          <w:color w:val="231F20"/>
          <w:spacing w:val="17"/>
        </w:rPr>
        <w:t> </w:t>
      </w:r>
      <w:r>
        <w:rPr>
          <w:color w:val="231F20"/>
        </w:rPr>
        <w:t>auditkantoor.</w:t>
      </w:r>
    </w:p>
    <w:p>
      <w:pPr>
        <w:pStyle w:val="BodyText"/>
        <w:spacing w:line="218" w:lineRule="auto" w:before="129"/>
      </w:pPr>
      <w:r>
        <w:rPr>
          <w:color w:val="231F20"/>
        </w:rPr>
        <w:t>§ 4. Ingeval de jaarrekening van de moedervennootschap aan de geconsolideerde jaarrekening is gehecht, kan het krachtens  dit  arti- kel vereiste verslag van de commissarissen of van de aangestelde bedrijfsrevisoren gecombineerd worden met het in artikel 3:74 vereiste verslag van de commissarissen betreffende de jaarrekening van de moedervennootschap.</w:t>
      </w:r>
    </w:p>
    <w:p>
      <w:pPr>
        <w:pStyle w:val="BodyText"/>
        <w:spacing w:line="218" w:lineRule="auto" w:before="139"/>
      </w:pPr>
      <w:r>
        <w:rPr>
          <w:color w:val="231F20"/>
        </w:rPr>
        <w:t>Afdeling 2. Koninklijke besluiten met betrekking tot de controle van de geconsolideerde jaarrekening.</w:t>
      </w:r>
    </w:p>
    <w:p>
      <w:pPr>
        <w:pStyle w:val="BodyText"/>
        <w:spacing w:line="218" w:lineRule="auto" w:before="139"/>
      </w:pPr>
      <w:r>
        <w:rPr>
          <w:color w:val="231F20"/>
        </w:rPr>
        <w:t>Art. 3:81. § 1. De Koning kan de regels met betrekking tot het laten controleren van de geconsolideerde jaarrekening evenals tot het opmaken van een controleverslag aanpassen en aanvullen naar gelang van de bedrijfstakken of economische sectoren.</w:t>
      </w:r>
    </w:p>
    <w:p>
      <w:pPr>
        <w:pStyle w:val="BodyText"/>
        <w:spacing w:line="218" w:lineRule="auto" w:before="139"/>
      </w:pPr>
      <w:r>
        <w:rPr>
          <w:color w:val="231F20"/>
        </w:rPr>
        <w:t>Het eerste lid is niet van toepassing op de vennootschappen waarvan het voorwerp de verzekering is en die door de Koning zijn toegelaten  op grond van de wetgeving betreffende de controle op de verzekerings- ondernemingen.</w:t>
      </w:r>
    </w:p>
    <w:p>
      <w:pPr>
        <w:pStyle w:val="BodyText"/>
        <w:spacing w:line="218" w:lineRule="auto" w:before="139"/>
      </w:pPr>
      <w:r>
        <w:rPr>
          <w:color w:val="231F20"/>
        </w:rPr>
        <w:t>§ 2. De Koning kan voor de vennootschappen, die een zekere omvang, door Hem bepaald, niet te boven gaan, de regels met betrekking tot het laten controleren van de geconsolideerde jaarreke- ning alsook die met betrekking tot het opmaken van een controlever- slag aanpassen en aanvullen, evenals voor die vennootschappen vrijstelling geven van de toepassing van alle of bepaalde van die regels. Deze aanpassingen, aanvullingen en vrijstellingen kunnen verschillen naar gelang van het voorwerp van de bedoelde besluiten en de rechtsvorm van de</w:t>
      </w:r>
      <w:r>
        <w:rPr>
          <w:color w:val="231F20"/>
          <w:spacing w:val="5"/>
        </w:rPr>
        <w:t> </w:t>
      </w:r>
      <w:r>
        <w:rPr>
          <w:color w:val="231F20"/>
        </w:rPr>
        <w:t>vennootschap.</w:t>
      </w:r>
    </w:p>
    <w:p>
      <w:pPr>
        <w:pStyle w:val="BodyText"/>
        <w:spacing w:line="218" w:lineRule="auto" w:before="139"/>
      </w:pPr>
      <w:r>
        <w:rPr>
          <w:color w:val="231F20"/>
          <w:w w:val="105"/>
        </w:rPr>
        <w:t>Art.</w:t>
      </w:r>
      <w:r>
        <w:rPr>
          <w:color w:val="231F20"/>
          <w:spacing w:val="-20"/>
          <w:w w:val="105"/>
        </w:rPr>
        <w:t> </w:t>
      </w:r>
      <w:r>
        <w:rPr>
          <w:color w:val="231F20"/>
          <w:w w:val="105"/>
        </w:rPr>
        <w:t>3:82.</w:t>
      </w:r>
      <w:r>
        <w:rPr>
          <w:color w:val="231F20"/>
          <w:spacing w:val="-19"/>
          <w:w w:val="105"/>
        </w:rPr>
        <w:t> </w:t>
      </w:r>
      <w:r>
        <w:rPr>
          <w:color w:val="231F20"/>
          <w:w w:val="105"/>
        </w:rPr>
        <w:t>De</w:t>
      </w:r>
      <w:r>
        <w:rPr>
          <w:color w:val="231F20"/>
          <w:spacing w:val="-19"/>
          <w:w w:val="105"/>
        </w:rPr>
        <w:t> </w:t>
      </w:r>
      <w:r>
        <w:rPr>
          <w:color w:val="231F20"/>
          <w:w w:val="105"/>
        </w:rPr>
        <w:t>minister</w:t>
      </w:r>
      <w:r>
        <w:rPr>
          <w:color w:val="231F20"/>
          <w:spacing w:val="-19"/>
          <w:w w:val="105"/>
        </w:rPr>
        <w:t> </w:t>
      </w:r>
      <w:r>
        <w:rPr>
          <w:color w:val="231F20"/>
          <w:w w:val="105"/>
        </w:rPr>
        <w:t>bevoegd</w:t>
      </w:r>
      <w:r>
        <w:rPr>
          <w:color w:val="231F20"/>
          <w:spacing w:val="-20"/>
          <w:w w:val="105"/>
        </w:rPr>
        <w:t> </w:t>
      </w:r>
      <w:r>
        <w:rPr>
          <w:color w:val="231F20"/>
          <w:w w:val="105"/>
        </w:rPr>
        <w:t>voor</w:t>
      </w:r>
      <w:r>
        <w:rPr>
          <w:color w:val="231F20"/>
          <w:spacing w:val="-19"/>
          <w:w w:val="105"/>
        </w:rPr>
        <w:t> </w:t>
      </w:r>
      <w:r>
        <w:rPr>
          <w:color w:val="231F20"/>
          <w:w w:val="105"/>
        </w:rPr>
        <w:t>Economie</w:t>
      </w:r>
      <w:r>
        <w:rPr>
          <w:color w:val="231F20"/>
          <w:spacing w:val="-19"/>
          <w:w w:val="105"/>
        </w:rPr>
        <w:t> </w:t>
      </w:r>
      <w:r>
        <w:rPr>
          <w:color w:val="231F20"/>
          <w:w w:val="105"/>
        </w:rPr>
        <w:t>of</w:t>
      </w:r>
      <w:r>
        <w:rPr>
          <w:color w:val="231F20"/>
          <w:spacing w:val="-19"/>
          <w:w w:val="105"/>
        </w:rPr>
        <w:t> </w:t>
      </w:r>
      <w:r>
        <w:rPr>
          <w:color w:val="231F20"/>
          <w:w w:val="105"/>
        </w:rPr>
        <w:t>zijn</w:t>
      </w:r>
      <w:r>
        <w:rPr>
          <w:color w:val="231F20"/>
          <w:spacing w:val="-20"/>
          <w:w w:val="105"/>
        </w:rPr>
        <w:t> </w:t>
      </w:r>
      <w:r>
        <w:rPr>
          <w:color w:val="231F20"/>
          <w:w w:val="105"/>
        </w:rPr>
        <w:t>afgevaardigde, kan,</w:t>
      </w:r>
      <w:r>
        <w:rPr>
          <w:color w:val="231F20"/>
          <w:spacing w:val="-20"/>
          <w:w w:val="105"/>
        </w:rPr>
        <w:t> </w:t>
      </w:r>
      <w:r>
        <w:rPr>
          <w:color w:val="231F20"/>
          <w:w w:val="105"/>
        </w:rPr>
        <w:t>na</w:t>
      </w:r>
      <w:r>
        <w:rPr>
          <w:color w:val="231F20"/>
          <w:spacing w:val="-20"/>
          <w:w w:val="105"/>
        </w:rPr>
        <w:t> </w:t>
      </w:r>
      <w:r>
        <w:rPr>
          <w:color w:val="231F20"/>
          <w:w w:val="105"/>
        </w:rPr>
        <w:t>een</w:t>
      </w:r>
      <w:r>
        <w:rPr>
          <w:color w:val="231F20"/>
          <w:spacing w:val="-20"/>
          <w:w w:val="105"/>
        </w:rPr>
        <w:t> </w:t>
      </w:r>
      <w:r>
        <w:rPr>
          <w:color w:val="231F20"/>
          <w:w w:val="105"/>
        </w:rPr>
        <w:t>gemotiveerd</w:t>
      </w:r>
      <w:r>
        <w:rPr>
          <w:color w:val="231F20"/>
          <w:spacing w:val="-19"/>
          <w:w w:val="105"/>
        </w:rPr>
        <w:t> </w:t>
      </w:r>
      <w:r>
        <w:rPr>
          <w:color w:val="231F20"/>
          <w:w w:val="105"/>
        </w:rPr>
        <w:t>advies</w:t>
      </w:r>
      <w:r>
        <w:rPr>
          <w:color w:val="231F20"/>
          <w:spacing w:val="-20"/>
          <w:w w:val="105"/>
        </w:rPr>
        <w:t> </w:t>
      </w:r>
      <w:r>
        <w:rPr>
          <w:color w:val="231F20"/>
          <w:w w:val="105"/>
        </w:rPr>
        <w:t>van</w:t>
      </w:r>
      <w:r>
        <w:rPr>
          <w:color w:val="231F20"/>
          <w:spacing w:val="-20"/>
          <w:w w:val="105"/>
        </w:rPr>
        <w:t> </w:t>
      </w:r>
      <w:r>
        <w:rPr>
          <w:color w:val="231F20"/>
          <w:w w:val="105"/>
        </w:rPr>
        <w:t>de</w:t>
      </w:r>
      <w:r>
        <w:rPr>
          <w:color w:val="231F20"/>
          <w:spacing w:val="-19"/>
          <w:w w:val="105"/>
        </w:rPr>
        <w:t> </w:t>
      </w:r>
      <w:r>
        <w:rPr>
          <w:color w:val="231F20"/>
          <w:w w:val="105"/>
        </w:rPr>
        <w:t>Commissie</w:t>
      </w:r>
      <w:r>
        <w:rPr>
          <w:color w:val="231F20"/>
          <w:spacing w:val="-20"/>
          <w:w w:val="105"/>
        </w:rPr>
        <w:t> </w:t>
      </w:r>
      <w:r>
        <w:rPr>
          <w:color w:val="231F20"/>
          <w:w w:val="105"/>
        </w:rPr>
        <w:t>voor</w:t>
      </w:r>
      <w:r>
        <w:rPr>
          <w:color w:val="231F20"/>
          <w:spacing w:val="-20"/>
          <w:w w:val="105"/>
        </w:rPr>
        <w:t> </w:t>
      </w:r>
      <w:r>
        <w:rPr>
          <w:color w:val="231F20"/>
          <w:w w:val="105"/>
        </w:rPr>
        <w:t>Boekhoudkun- dige</w:t>
      </w:r>
      <w:r>
        <w:rPr>
          <w:color w:val="231F20"/>
          <w:spacing w:val="-22"/>
          <w:w w:val="105"/>
        </w:rPr>
        <w:t> </w:t>
      </w:r>
      <w:r>
        <w:rPr>
          <w:color w:val="231F20"/>
          <w:w w:val="105"/>
        </w:rPr>
        <w:t>Normen,</w:t>
      </w:r>
      <w:r>
        <w:rPr>
          <w:color w:val="231F20"/>
          <w:spacing w:val="-22"/>
          <w:w w:val="105"/>
        </w:rPr>
        <w:t> </w:t>
      </w:r>
      <w:r>
        <w:rPr>
          <w:color w:val="231F20"/>
          <w:w w:val="105"/>
        </w:rPr>
        <w:t>in</w:t>
      </w:r>
      <w:r>
        <w:rPr>
          <w:color w:val="231F20"/>
          <w:spacing w:val="-21"/>
          <w:w w:val="105"/>
        </w:rPr>
        <w:t> </w:t>
      </w:r>
      <w:r>
        <w:rPr>
          <w:color w:val="231F20"/>
          <w:w w:val="105"/>
        </w:rPr>
        <w:t>bijzondere</w:t>
      </w:r>
      <w:r>
        <w:rPr>
          <w:color w:val="231F20"/>
          <w:spacing w:val="-22"/>
          <w:w w:val="105"/>
        </w:rPr>
        <w:t> </w:t>
      </w:r>
      <w:r>
        <w:rPr>
          <w:color w:val="231F20"/>
          <w:w w:val="105"/>
        </w:rPr>
        <w:t>gevallen</w:t>
      </w:r>
      <w:r>
        <w:rPr>
          <w:color w:val="231F20"/>
          <w:spacing w:val="-22"/>
          <w:w w:val="105"/>
        </w:rPr>
        <w:t> </w:t>
      </w:r>
      <w:r>
        <w:rPr>
          <w:color w:val="231F20"/>
          <w:w w:val="105"/>
        </w:rPr>
        <w:t>toestaan</w:t>
      </w:r>
      <w:r>
        <w:rPr>
          <w:color w:val="231F20"/>
          <w:spacing w:val="-21"/>
          <w:w w:val="105"/>
        </w:rPr>
        <w:t> </w:t>
      </w:r>
      <w:r>
        <w:rPr>
          <w:color w:val="231F20"/>
          <w:w w:val="105"/>
        </w:rPr>
        <w:t>dat</w:t>
      </w:r>
      <w:r>
        <w:rPr>
          <w:color w:val="231F20"/>
          <w:spacing w:val="-22"/>
          <w:w w:val="105"/>
        </w:rPr>
        <w:t> </w:t>
      </w:r>
      <w:r>
        <w:rPr>
          <w:color w:val="231F20"/>
          <w:w w:val="105"/>
        </w:rPr>
        <w:t>wordt</w:t>
      </w:r>
      <w:r>
        <w:rPr>
          <w:color w:val="231F20"/>
          <w:spacing w:val="-21"/>
          <w:w w:val="105"/>
        </w:rPr>
        <w:t> </w:t>
      </w:r>
      <w:r>
        <w:rPr>
          <w:color w:val="231F20"/>
          <w:w w:val="105"/>
        </w:rPr>
        <w:t>afgeweken</w:t>
      </w:r>
      <w:r>
        <w:rPr>
          <w:color w:val="231F20"/>
          <w:spacing w:val="-22"/>
          <w:w w:val="105"/>
        </w:rPr>
        <w:t> </w:t>
      </w:r>
      <w:r>
        <w:rPr>
          <w:color w:val="231F20"/>
          <w:w w:val="105"/>
        </w:rPr>
        <w:t>van de</w:t>
      </w:r>
      <w:r>
        <w:rPr>
          <w:color w:val="231F20"/>
          <w:spacing w:val="-22"/>
          <w:w w:val="105"/>
        </w:rPr>
        <w:t> </w:t>
      </w:r>
      <w:r>
        <w:rPr>
          <w:color w:val="231F20"/>
          <w:w w:val="105"/>
        </w:rPr>
        <w:t>artikelen</w:t>
      </w:r>
      <w:r>
        <w:rPr>
          <w:color w:val="231F20"/>
          <w:spacing w:val="-22"/>
          <w:w w:val="105"/>
        </w:rPr>
        <w:t> </w:t>
      </w:r>
      <w:r>
        <w:rPr>
          <w:color w:val="231F20"/>
          <w:w w:val="105"/>
        </w:rPr>
        <w:t>3:77</w:t>
      </w:r>
      <w:r>
        <w:rPr>
          <w:color w:val="231F20"/>
          <w:spacing w:val="-22"/>
          <w:w w:val="105"/>
        </w:rPr>
        <w:t> </w:t>
      </w:r>
      <w:r>
        <w:rPr>
          <w:color w:val="231F20"/>
          <w:w w:val="105"/>
        </w:rPr>
        <w:t>tot</w:t>
      </w:r>
      <w:r>
        <w:rPr>
          <w:color w:val="231F20"/>
          <w:spacing w:val="-22"/>
          <w:w w:val="105"/>
        </w:rPr>
        <w:t> </w:t>
      </w:r>
      <w:r>
        <w:rPr>
          <w:color w:val="231F20"/>
          <w:w w:val="105"/>
        </w:rPr>
        <w:t>3:80</w:t>
      </w:r>
      <w:r>
        <w:rPr>
          <w:color w:val="231F20"/>
          <w:spacing w:val="-22"/>
          <w:w w:val="105"/>
        </w:rPr>
        <w:t> </w:t>
      </w:r>
      <w:r>
        <w:rPr>
          <w:color w:val="231F20"/>
          <w:w w:val="105"/>
        </w:rPr>
        <w:t>en</w:t>
      </w:r>
      <w:r>
        <w:rPr>
          <w:color w:val="231F20"/>
          <w:spacing w:val="-22"/>
          <w:w w:val="105"/>
        </w:rPr>
        <w:t> </w:t>
      </w:r>
      <w:r>
        <w:rPr>
          <w:color w:val="231F20"/>
          <w:w w:val="105"/>
        </w:rPr>
        <w:t>van</w:t>
      </w:r>
      <w:r>
        <w:rPr>
          <w:color w:val="231F20"/>
          <w:spacing w:val="-22"/>
          <w:w w:val="105"/>
        </w:rPr>
        <w:t> </w:t>
      </w:r>
      <w:r>
        <w:rPr>
          <w:color w:val="231F20"/>
          <w:w w:val="105"/>
        </w:rPr>
        <w:t>de</w:t>
      </w:r>
      <w:r>
        <w:rPr>
          <w:color w:val="231F20"/>
          <w:spacing w:val="-22"/>
          <w:w w:val="105"/>
        </w:rPr>
        <w:t> </w:t>
      </w:r>
      <w:r>
        <w:rPr>
          <w:color w:val="231F20"/>
          <w:w w:val="105"/>
        </w:rPr>
        <w:t>regels</w:t>
      </w:r>
      <w:r>
        <w:rPr>
          <w:color w:val="231F20"/>
          <w:spacing w:val="-21"/>
          <w:w w:val="105"/>
        </w:rPr>
        <w:t> </w:t>
      </w:r>
      <w:r>
        <w:rPr>
          <w:color w:val="231F20"/>
          <w:w w:val="105"/>
        </w:rPr>
        <w:t>die</w:t>
      </w:r>
      <w:r>
        <w:rPr>
          <w:color w:val="231F20"/>
          <w:spacing w:val="-22"/>
          <w:w w:val="105"/>
        </w:rPr>
        <w:t> </w:t>
      </w:r>
      <w:r>
        <w:rPr>
          <w:color w:val="231F20"/>
          <w:w w:val="105"/>
        </w:rPr>
        <w:t>krachtens</w:t>
      </w:r>
      <w:r>
        <w:rPr>
          <w:color w:val="231F20"/>
          <w:spacing w:val="-22"/>
          <w:w w:val="105"/>
        </w:rPr>
        <w:t> </w:t>
      </w:r>
      <w:r>
        <w:rPr>
          <w:color w:val="231F20"/>
          <w:w w:val="105"/>
        </w:rPr>
        <w:t>artikel</w:t>
      </w:r>
      <w:r>
        <w:rPr>
          <w:color w:val="231F20"/>
          <w:spacing w:val="-22"/>
          <w:w w:val="105"/>
        </w:rPr>
        <w:t> </w:t>
      </w:r>
      <w:r>
        <w:rPr>
          <w:color w:val="231F20"/>
          <w:w w:val="105"/>
        </w:rPr>
        <w:t>3:81</w:t>
      </w:r>
      <w:r>
        <w:rPr>
          <w:color w:val="231F20"/>
          <w:spacing w:val="-22"/>
          <w:w w:val="105"/>
        </w:rPr>
        <w:t> </w:t>
      </w:r>
      <w:r>
        <w:rPr>
          <w:color w:val="231F20"/>
          <w:w w:val="105"/>
        </w:rPr>
        <w:t>zijn gesteld.</w:t>
      </w:r>
    </w:p>
    <w:p>
      <w:pPr>
        <w:pStyle w:val="BodyText"/>
        <w:spacing w:line="218" w:lineRule="auto" w:before="139"/>
      </w:pPr>
      <w:r>
        <w:rPr>
          <w:color w:val="231F20"/>
        </w:rPr>
        <w:t>De Commissie voor Boekhoudkundige Normen wordt in kennis gesteld van het besluit van de minister of zijn afgevaardigde.</w:t>
      </w:r>
    </w:p>
    <w:p>
      <w:pPr>
        <w:pStyle w:val="BodyText"/>
        <w:spacing w:line="218" w:lineRule="auto" w:before="139"/>
      </w:pPr>
      <w:r>
        <w:rPr>
          <w:color w:val="231F20"/>
        </w:rPr>
        <w:t>Het eerste lid is niet van toepassing op de vennootschappen die de verzekering tot voorwerp hebben en die door de Koning zijn toegelaten op grond van de wetgeving betreffende de controle op de verzekerings- ondernemingen.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2968" from="298.170502pt,64.473pt" to="298.170502pt,812.819pt" stroked="true" strokeweight=".533pt" strokecolor="#231f20">
            <v:stroke dashstyle="solid"/>
            <w10:wrap type="none"/>
          </v:line>
        </w:pict>
      </w:r>
      <w:bookmarkStart w:name="_bookmark81" w:id="86"/>
      <w:bookmarkEnd w:id="86"/>
      <w:r>
        <w:rPr/>
      </w:r>
      <w:r>
        <w:rPr>
          <w:color w:val="231F20"/>
        </w:rPr>
        <w:t>CHAPITRE 4. Contrôle dans les sociétés où il existe un conseil d’entreprise.</w:t>
      </w:r>
    </w:p>
    <w:p>
      <w:pPr>
        <w:pStyle w:val="BodyText"/>
        <w:spacing w:before="67"/>
        <w:ind w:left="283" w:right="0" w:firstLine="0"/>
        <w:jc w:val="left"/>
      </w:pPr>
      <w:r>
        <w:rPr>
          <w:color w:val="231F20"/>
        </w:rPr>
        <w:t>Section 1</w:t>
      </w:r>
      <w:r>
        <w:rPr>
          <w:color w:val="231F20"/>
          <w:position w:val="7"/>
          <w:sz w:val="11"/>
        </w:rPr>
        <w:t>re</w:t>
      </w:r>
      <w:r>
        <w:rPr>
          <w:color w:val="231F20"/>
        </w:rPr>
        <w:t>. Nature du contrôle.</w:t>
      </w:r>
    </w:p>
    <w:p>
      <w:pPr>
        <w:pStyle w:val="BodyText"/>
        <w:spacing w:line="218" w:lineRule="auto" w:before="92"/>
        <w:ind w:right="38"/>
      </w:pPr>
      <w:r>
        <w:rPr>
          <w:color w:val="231F20"/>
        </w:rPr>
        <w:t>Art. 3:83. Dans chaque société où un conseil d’entreprise doit être institué en exécution de la loi du 20 septembre 1948 portant organisa- tion de l’économie, à l’exception des institutions d’enseignement subsidiées, un ou plusieurs réviseur(s) d’entreprises sont désignés ayant pour</w:t>
      </w:r>
      <w:r>
        <w:rPr>
          <w:color w:val="231F20"/>
          <w:spacing w:val="-11"/>
        </w:rPr>
        <w:t> </w:t>
      </w:r>
      <w:r>
        <w:rPr>
          <w:color w:val="231F20"/>
        </w:rPr>
        <w:t>mission:</w:t>
      </w:r>
    </w:p>
    <w:p>
      <w:pPr>
        <w:pStyle w:val="BodyText"/>
        <w:spacing w:line="218" w:lineRule="auto" w:before="97"/>
        <w:ind w:right="38"/>
      </w:pPr>
      <w:r>
        <w:rPr>
          <w:color w:val="231F20"/>
        </w:rPr>
        <w:t>1° de faire rapport au conseil d’entreprise sur les comptes annuels et sur le rapport de gestion, conformément aux articles 3:74 et 3:75;</w:t>
      </w:r>
    </w:p>
    <w:p>
      <w:pPr>
        <w:pStyle w:val="BodyText"/>
        <w:spacing w:line="218" w:lineRule="auto" w:before="96"/>
        <w:ind w:right="38"/>
      </w:pPr>
      <w:r>
        <w:rPr>
          <w:color w:val="231F20"/>
        </w:rPr>
        <w:t>2° de certifier le caractère fidèle et complet des informations économiques et financières que l’organe d’administration transmet au conseil d’entreprise, pour autant que ces informations résultent de la comptabilité, des comptes annuels de la société ou d’autres documents vérifiables;</w:t>
      </w:r>
    </w:p>
    <w:p>
      <w:pPr>
        <w:pStyle w:val="BodyText"/>
        <w:spacing w:line="218" w:lineRule="auto" w:before="96"/>
        <w:ind w:right="38"/>
      </w:pPr>
      <w:r>
        <w:rPr>
          <w:color w:val="231F20"/>
        </w:rPr>
        <w:t>3° d’analyser et d’expliquer, en particulier à l’intention des membres du conseil d’entreprise nommés par les travailleurs, les informations économiques et financières qui ont été transmises au conseil d’entre- prise, quant à leur signification relative à la structure financière et à l’évolution de la situation financière de la société;</w:t>
      </w:r>
    </w:p>
    <w:p>
      <w:pPr>
        <w:pStyle w:val="BodyText"/>
        <w:spacing w:line="218" w:lineRule="auto" w:before="96"/>
        <w:ind w:right="38"/>
      </w:pPr>
      <w:r>
        <w:rPr>
          <w:color w:val="231F20"/>
        </w:rPr>
        <w:t>4°</w:t>
      </w:r>
      <w:r>
        <w:rPr>
          <w:color w:val="231F20"/>
          <w:spacing w:val="-3"/>
        </w:rPr>
        <w:t> </w:t>
      </w:r>
      <w:r>
        <w:rPr>
          <w:color w:val="231F20"/>
        </w:rPr>
        <w:t>s’il</w:t>
      </w:r>
      <w:r>
        <w:rPr>
          <w:color w:val="231F20"/>
          <w:spacing w:val="-3"/>
        </w:rPr>
        <w:t> </w:t>
      </w:r>
      <w:r>
        <w:rPr>
          <w:color w:val="231F20"/>
        </w:rPr>
        <w:t>estime</w:t>
      </w:r>
      <w:r>
        <w:rPr>
          <w:color w:val="231F20"/>
          <w:spacing w:val="-2"/>
        </w:rPr>
        <w:t> </w:t>
      </w:r>
      <w:r>
        <w:rPr>
          <w:color w:val="231F20"/>
        </w:rPr>
        <w:t>ne</w:t>
      </w:r>
      <w:r>
        <w:rPr>
          <w:color w:val="231F20"/>
          <w:spacing w:val="-3"/>
        </w:rPr>
        <w:t> </w:t>
      </w:r>
      <w:r>
        <w:rPr>
          <w:color w:val="231F20"/>
        </w:rPr>
        <w:t>pas</w:t>
      </w:r>
      <w:r>
        <w:rPr>
          <w:color w:val="231F20"/>
          <w:spacing w:val="-2"/>
        </w:rPr>
        <w:t> </w:t>
      </w:r>
      <w:r>
        <w:rPr>
          <w:color w:val="231F20"/>
        </w:rPr>
        <w:t>pouvoir</w:t>
      </w:r>
      <w:r>
        <w:rPr>
          <w:color w:val="231F20"/>
          <w:spacing w:val="-3"/>
        </w:rPr>
        <w:t> </w:t>
      </w:r>
      <w:r>
        <w:rPr>
          <w:color w:val="231F20"/>
        </w:rPr>
        <w:t>délivrer</w:t>
      </w:r>
      <w:r>
        <w:rPr>
          <w:color w:val="231F20"/>
          <w:spacing w:val="-2"/>
        </w:rPr>
        <w:t> </w:t>
      </w:r>
      <w:r>
        <w:rPr>
          <w:color w:val="231F20"/>
        </w:rPr>
        <w:t>la</w:t>
      </w:r>
      <w:r>
        <w:rPr>
          <w:color w:val="231F20"/>
          <w:spacing w:val="-3"/>
        </w:rPr>
        <w:t> </w:t>
      </w:r>
      <w:r>
        <w:rPr>
          <w:color w:val="231F20"/>
        </w:rPr>
        <w:t>certification</w:t>
      </w:r>
      <w:r>
        <w:rPr>
          <w:color w:val="231F20"/>
          <w:spacing w:val="-3"/>
        </w:rPr>
        <w:t> </w:t>
      </w:r>
      <w:r>
        <w:rPr>
          <w:color w:val="231F20"/>
        </w:rPr>
        <w:t>visée</w:t>
      </w:r>
      <w:r>
        <w:rPr>
          <w:color w:val="231F20"/>
          <w:spacing w:val="-2"/>
        </w:rPr>
        <w:t> </w:t>
      </w:r>
      <w:r>
        <w:rPr>
          <w:color w:val="231F20"/>
        </w:rPr>
        <w:t>au</w:t>
      </w:r>
      <w:r>
        <w:rPr>
          <w:color w:val="231F20"/>
          <w:spacing w:val="-3"/>
        </w:rPr>
        <w:t> </w:t>
      </w:r>
      <w:r>
        <w:rPr>
          <w:color w:val="231F20"/>
        </w:rPr>
        <w:t>2°,</w:t>
      </w:r>
      <w:r>
        <w:rPr>
          <w:color w:val="231F20"/>
          <w:spacing w:val="-2"/>
        </w:rPr>
        <w:t> </w:t>
      </w:r>
      <w:r>
        <w:rPr>
          <w:color w:val="231F20"/>
        </w:rPr>
        <w:t>ou</w:t>
      </w:r>
      <w:r>
        <w:rPr>
          <w:color w:val="231F20"/>
          <w:spacing w:val="-3"/>
        </w:rPr>
        <w:t> </w:t>
      </w:r>
      <w:r>
        <w:rPr>
          <w:color w:val="231F20"/>
        </w:rPr>
        <w:t>s’il constate des lacunes dans les informations économiques et financières transmises au conseil d’entreprise, d’en saisir l’organe d’administra- tion, et, si celui-ci n’y donne pas suite dans le mois qui suit son intervention,</w:t>
      </w:r>
      <w:r>
        <w:rPr>
          <w:color w:val="231F20"/>
          <w:spacing w:val="16"/>
        </w:rPr>
        <w:t> </w:t>
      </w:r>
      <w:r>
        <w:rPr>
          <w:color w:val="231F20"/>
        </w:rPr>
        <w:t>d’en</w:t>
      </w:r>
      <w:r>
        <w:rPr>
          <w:color w:val="231F20"/>
          <w:spacing w:val="16"/>
        </w:rPr>
        <w:t> </w:t>
      </w:r>
      <w:r>
        <w:rPr>
          <w:color w:val="231F20"/>
        </w:rPr>
        <w:t>informer</w:t>
      </w:r>
      <w:r>
        <w:rPr>
          <w:color w:val="231F20"/>
          <w:spacing w:val="17"/>
        </w:rPr>
        <w:t> </w:t>
      </w:r>
      <w:r>
        <w:rPr>
          <w:color w:val="231F20"/>
        </w:rPr>
        <w:t>d’initiative</w:t>
      </w:r>
      <w:r>
        <w:rPr>
          <w:color w:val="231F20"/>
          <w:spacing w:val="16"/>
        </w:rPr>
        <w:t> </w:t>
      </w:r>
      <w:r>
        <w:rPr>
          <w:color w:val="231F20"/>
        </w:rPr>
        <w:t>le</w:t>
      </w:r>
      <w:r>
        <w:rPr>
          <w:color w:val="231F20"/>
          <w:spacing w:val="16"/>
        </w:rPr>
        <w:t> </w:t>
      </w:r>
      <w:r>
        <w:rPr>
          <w:color w:val="231F20"/>
        </w:rPr>
        <w:t>conseil</w:t>
      </w:r>
      <w:r>
        <w:rPr>
          <w:color w:val="231F20"/>
          <w:spacing w:val="17"/>
        </w:rPr>
        <w:t> </w:t>
      </w:r>
      <w:r>
        <w:rPr>
          <w:color w:val="231F20"/>
        </w:rPr>
        <w:t>d’entreprise.</w:t>
      </w:r>
    </w:p>
    <w:p>
      <w:pPr>
        <w:pStyle w:val="BodyText"/>
        <w:spacing w:before="11"/>
        <w:ind w:left="0" w:right="0" w:firstLine="0"/>
        <w:jc w:val="left"/>
        <w:rPr>
          <w:sz w:val="24"/>
        </w:rPr>
      </w:pPr>
    </w:p>
    <w:p>
      <w:pPr>
        <w:pStyle w:val="BodyText"/>
        <w:spacing w:line="201" w:lineRule="auto"/>
        <w:ind w:right="38"/>
      </w:pPr>
      <w:r>
        <w:rPr>
          <w:color w:val="231F20"/>
        </w:rPr>
        <w:t>Les réviseurs d’entreprises exercent les mêmes missions en ce qui concerne le bilan social visé à l’article 3:12, § 1</w:t>
      </w:r>
      <w:r>
        <w:rPr>
          <w:color w:val="231F20"/>
          <w:position w:val="7"/>
          <w:sz w:val="11"/>
        </w:rPr>
        <w:t>er</w:t>
      </w:r>
      <w:r>
        <w:rPr>
          <w:color w:val="231F20"/>
        </w:rPr>
        <w:t>, 8°.</w:t>
      </w:r>
    </w:p>
    <w:p>
      <w:pPr>
        <w:pStyle w:val="BodyText"/>
        <w:spacing w:line="218" w:lineRule="auto" w:before="97"/>
        <w:ind w:right="38"/>
      </w:pPr>
      <w:r>
        <w:rPr>
          <w:color w:val="231F20"/>
        </w:rPr>
        <w:t>Art. 3:84. L’organe d’administration transmet au réviseur d’entrepri- ses copie des informations économiques et financières qu’il communi- que par écrit au conseil d’entreprise.</w:t>
      </w:r>
    </w:p>
    <w:p>
      <w:pPr>
        <w:pStyle w:val="BodyText"/>
        <w:spacing w:line="218" w:lineRule="auto" w:before="96"/>
        <w:ind w:right="38"/>
      </w:pPr>
      <w:r>
        <w:rPr>
          <w:color w:val="231F20"/>
        </w:rPr>
        <w:t>Art. 3:85. L’ordre du jour et le procès-verbal des réunions du conseil d’entreprise où des informations économiques et financières sont fournies ou discutées, sont communiqués au réviseur d’entreprises en même temps qu’aux membres.</w:t>
      </w:r>
    </w:p>
    <w:p>
      <w:pPr>
        <w:pStyle w:val="BodyText"/>
        <w:spacing w:line="218" w:lineRule="auto" w:before="97"/>
        <w:ind w:right="39"/>
      </w:pPr>
      <w:r>
        <w:rPr>
          <w:color w:val="231F20"/>
        </w:rPr>
        <w:t>Art. 3:86. Le réviseur d’entreprises peut assister aux réunions du conseil d’entreprise.</w:t>
      </w:r>
    </w:p>
    <w:p>
      <w:pPr>
        <w:pStyle w:val="BodyText"/>
        <w:spacing w:line="218" w:lineRule="auto" w:before="96"/>
        <w:ind w:right="38"/>
      </w:pPr>
      <w:r>
        <w:rPr>
          <w:color w:val="231F20"/>
        </w:rPr>
        <w:t>Il est toutefois tenu d’y assister lorsqu’il y est invité par l’organe d’administration ou par les membres nommés par les travailleurs statuant à cet effet à la majorité des voix émises par eux.</w:t>
      </w:r>
    </w:p>
    <w:p>
      <w:pPr>
        <w:pStyle w:val="BodyText"/>
        <w:spacing w:before="7"/>
        <w:ind w:left="0" w:right="0" w:firstLine="0"/>
        <w:jc w:val="left"/>
        <w:rPr>
          <w:sz w:val="22"/>
        </w:rPr>
      </w:pPr>
    </w:p>
    <w:p>
      <w:pPr>
        <w:pStyle w:val="BodyText"/>
        <w:spacing w:before="1"/>
        <w:ind w:left="283" w:right="0" w:firstLine="0"/>
        <w:jc w:val="left"/>
      </w:pPr>
      <w:r>
        <w:rPr>
          <w:color w:val="231F20"/>
        </w:rPr>
        <w:t>Section 2. Sociétés où un commissaire est nommé.</w:t>
      </w:r>
    </w:p>
    <w:p>
      <w:pPr>
        <w:pStyle w:val="BodyText"/>
        <w:spacing w:line="218" w:lineRule="auto" w:before="92"/>
        <w:ind w:right="38"/>
      </w:pPr>
      <w:r>
        <w:rPr>
          <w:color w:val="231F20"/>
        </w:rPr>
        <w:t>Art. 3:87. Lorsqu’un commissaire doit être désigné dans une société en vertu du présent titre, la mission visée aux articles 3:77 à 3:80 est exercée par ce commissaire.</w:t>
      </w:r>
    </w:p>
    <w:p>
      <w:pPr>
        <w:pStyle w:val="BodyText"/>
        <w:spacing w:line="218" w:lineRule="auto" w:before="97"/>
        <w:ind w:right="38"/>
      </w:pPr>
      <w:r>
        <w:rPr>
          <w:color w:val="231F20"/>
        </w:rPr>
        <w:t>Art. 3:88. Les commissaires de la société visée à l’article 3:87 sont nommés sur présentation du conseil d’entreprise délibérant à l’initia- tive et sur proposition de l’organe d’administration et statuant à la majorité des voix émises par ses membres et à la majorité des voix émises par les membres nommés par les travailleurs.</w:t>
      </w:r>
    </w:p>
    <w:p>
      <w:pPr>
        <w:pStyle w:val="BodyText"/>
        <w:spacing w:before="10"/>
        <w:ind w:left="0" w:right="0" w:firstLine="0"/>
        <w:jc w:val="left"/>
        <w:rPr>
          <w:sz w:val="23"/>
        </w:rPr>
      </w:pPr>
    </w:p>
    <w:p>
      <w:pPr>
        <w:pStyle w:val="BodyText"/>
        <w:spacing w:line="218" w:lineRule="auto"/>
        <w:ind w:right="38"/>
      </w:pPr>
      <w:r>
        <w:rPr>
          <w:color w:val="231F20"/>
        </w:rPr>
        <w:t>Lorsque la société est tenue de constituer un comité d’audit en vertu de la loi, la proposition de l’organe d’administration est émise sur recommandation du comité d’audit. Cette dernière est elle-même transmise au conseil d’entreprise pour information.</w:t>
      </w:r>
    </w:p>
    <w:p>
      <w:pPr>
        <w:pStyle w:val="BodyText"/>
        <w:ind w:left="0" w:right="0" w:firstLine="0"/>
        <w:jc w:val="left"/>
        <w:rPr>
          <w:sz w:val="24"/>
        </w:rPr>
      </w:pPr>
    </w:p>
    <w:p>
      <w:pPr>
        <w:pStyle w:val="BodyText"/>
        <w:spacing w:line="218" w:lineRule="auto"/>
        <w:ind w:right="38"/>
      </w:pPr>
      <w:r>
        <w:rPr>
          <w:color w:val="231F20"/>
        </w:rPr>
        <w:t>La même procédure est appliquée pour le renouvellement du mandat des commissaires.</w:t>
      </w:r>
    </w:p>
    <w:p>
      <w:pPr>
        <w:pStyle w:val="BodyText"/>
        <w:spacing w:line="218" w:lineRule="auto" w:before="96"/>
        <w:ind w:right="38"/>
      </w:pPr>
      <w:r>
        <w:rPr>
          <w:color w:val="231F20"/>
        </w:rPr>
        <w:t>Lorsque la société est tenue de constituer un comité d’audit en vertu de la loi et que la proposition de l’organe d’administration est émise sur recommandation du comité d’audit suite à la procédure de sélection visée à l’article 16 du règlement (UE) n° 537/2014, l’organe d’adminis- tration transmet pour information au conseil d’entreprise la</w:t>
      </w:r>
      <w:r>
        <w:rPr>
          <w:color w:val="231F20"/>
          <w:spacing w:val="-27"/>
        </w:rPr>
        <w:t> </w:t>
      </w:r>
      <w:r>
        <w:rPr>
          <w:color w:val="231F20"/>
        </w:rPr>
        <w:t>recomman- dation du comité d’audit ainsi que les éléments essentiels des documents ayant trait à l’organisation de la procédure de sélection, y compris les critères de</w:t>
      </w:r>
      <w:r>
        <w:rPr>
          <w:color w:val="231F20"/>
          <w:spacing w:val="17"/>
        </w:rPr>
        <w:t> </w:t>
      </w:r>
      <w:r>
        <w:rPr>
          <w:color w:val="231F20"/>
        </w:rPr>
        <w:t>sélection.</w:t>
      </w:r>
    </w:p>
    <w:p>
      <w:pPr>
        <w:pStyle w:val="BodyText"/>
        <w:spacing w:line="218" w:lineRule="auto" w:before="97"/>
        <w:ind w:right="38"/>
      </w:pPr>
      <w:r>
        <w:rPr>
          <w:color w:val="231F20"/>
        </w:rPr>
        <w:t>Si la proposition de l’organe d’administration diffère de la préférence mentionnée dans la recommandation du comité d’audit, l’organe d’administration expose les raisons pour lesquelles il n’y a pas lieu de suivre la recommandation du comité d’audit et transmet au conseil d’entreprise l’information qu’il fournira à l’assemblée générale.</w:t>
      </w:r>
    </w:p>
    <w:p>
      <w:pPr>
        <w:pStyle w:val="BodyText"/>
        <w:spacing w:line="213" w:lineRule="auto" w:before="84"/>
        <w:ind w:right="38"/>
      </w:pPr>
      <w:r>
        <w:rPr>
          <w:color w:val="231F20"/>
        </w:rPr>
        <w:t>Art. 3:89. Si les majorités visées à l’article 3:88, alinéa 1</w:t>
      </w:r>
      <w:r>
        <w:rPr>
          <w:color w:val="231F20"/>
          <w:position w:val="7"/>
          <w:sz w:val="11"/>
        </w:rPr>
        <w:t>er</w:t>
      </w:r>
      <w:r>
        <w:rPr>
          <w:color w:val="231F20"/>
        </w:rPr>
        <w:t>, ne peuvent être obtenues au sein du conseil d’entreprise sur cette proposition et de manière générale, à défaut de nomination d’un ou de plusieurs commissaire(s) présenté(s) en application de l’article 3:88, alinéa 1</w:t>
      </w:r>
      <w:r>
        <w:rPr>
          <w:color w:val="231F20"/>
          <w:position w:val="7"/>
          <w:sz w:val="11"/>
        </w:rPr>
        <w:t>er</w:t>
      </w:r>
      <w:r>
        <w:rPr>
          <w:color w:val="231F20"/>
        </w:rPr>
        <w:t>, le</w:t>
      </w:r>
    </w:p>
    <w:p>
      <w:pPr>
        <w:pStyle w:val="BodyText"/>
        <w:spacing w:line="218" w:lineRule="auto" w:before="119"/>
      </w:pPr>
      <w:r>
        <w:rPr/>
        <w:br w:type="column"/>
      </w:r>
      <w:r>
        <w:rPr>
          <w:color w:val="231F20"/>
        </w:rPr>
        <w:t>HOOFDSTUK 4. Controle in vennootschappen waar een onderne- mingsraad werd opgericht.</w:t>
      </w:r>
    </w:p>
    <w:p>
      <w:pPr>
        <w:pStyle w:val="BodyText"/>
        <w:spacing w:before="83"/>
        <w:ind w:left="283" w:right="0" w:firstLine="0"/>
        <w:jc w:val="left"/>
      </w:pPr>
      <w:r>
        <w:rPr>
          <w:color w:val="231F20"/>
          <w:w w:val="105"/>
        </w:rPr>
        <w:t>Afdeling 1. Aard van de controle.</w:t>
      </w:r>
    </w:p>
    <w:p>
      <w:pPr>
        <w:pStyle w:val="BodyText"/>
        <w:spacing w:line="218" w:lineRule="auto" w:before="92"/>
      </w:pPr>
      <w:r>
        <w:rPr>
          <w:color w:val="231F20"/>
        </w:rPr>
        <w:t>Art. 3:83. In elke vennootschap waar een ondernemingsraad moet worden opgericht krachtens de wet van 20 september 1948 houdende organisatie van het bedrijfsleven, met uitzondering van de gesubsidi- eerde onderwijsinstellingen, worden één of meer bedrijfsrevisoren benoemd met als taak:</w:t>
      </w:r>
    </w:p>
    <w:p>
      <w:pPr>
        <w:pStyle w:val="BodyText"/>
        <w:spacing w:line="218" w:lineRule="auto" w:before="97"/>
      </w:pPr>
      <w:r>
        <w:rPr>
          <w:color w:val="231F20"/>
        </w:rPr>
        <w:t>1° verslag uit te brengen bij de ondernemingsraad over de jaarreke- ning en over het jaarverslag overeenkomstig de artikelen 3:74 en 3:75;</w:t>
      </w:r>
    </w:p>
    <w:p>
      <w:pPr>
        <w:pStyle w:val="BodyText"/>
        <w:spacing w:line="218" w:lineRule="auto" w:before="96"/>
      </w:pPr>
      <w:r>
        <w:rPr>
          <w:color w:val="231F20"/>
        </w:rPr>
        <w:t>2° de getrouwheid en volledigheid te certificeren van de economische en financiële inlichtingen die het bestuursorgaan aan de</w:t>
      </w:r>
      <w:r>
        <w:rPr>
          <w:color w:val="231F20"/>
          <w:spacing w:val="-14"/>
        </w:rPr>
        <w:t> </w:t>
      </w:r>
      <w:r>
        <w:rPr>
          <w:color w:val="231F20"/>
        </w:rPr>
        <w:t>ondernemings- raad verstrekt, voor zover deze inlichtingen uit de boekhouding, uit de jaarrekening van de vennootschap blijken of uit andere verifieerbare stukken</w:t>
      </w:r>
      <w:r>
        <w:rPr>
          <w:color w:val="231F20"/>
          <w:spacing w:val="15"/>
        </w:rPr>
        <w:t> </w:t>
      </w:r>
      <w:r>
        <w:rPr>
          <w:color w:val="231F20"/>
        </w:rPr>
        <w:t>voortvloeien;</w:t>
      </w:r>
    </w:p>
    <w:p>
      <w:pPr>
        <w:pStyle w:val="BodyText"/>
        <w:spacing w:line="218" w:lineRule="auto" w:before="96"/>
      </w:pPr>
      <w:r>
        <w:rPr>
          <w:color w:val="231F20"/>
        </w:rPr>
        <w:t>3° in het bijzonder ten behoeve van de door de werknemers benoemde leden van de ondernemingsraad de betekenis van de aan de ondernemingsraad verstrekte economische en financiële inlichtingen ten aanzien van de financiële structuur en de evolutie in de financiële toestand van de vennootschap te verklaren en te ontleden;</w:t>
      </w:r>
    </w:p>
    <w:p>
      <w:pPr>
        <w:pStyle w:val="BodyText"/>
        <w:spacing w:line="218" w:lineRule="auto" w:before="96"/>
      </w:pPr>
      <w:r>
        <w:rPr>
          <w:color w:val="231F20"/>
        </w:rPr>
        <w:t>4° indien hij van oordeel is de in het 2°, bedoelde certificering niet te kunnen afgeven of indien hij leemten vaststelt in de aan de onderne- mingsraad verstrekte economische en financiële inlichtingen, het bestuursorgaan daarvan op de hoogte te brengen en, indien dit daaraan geen gevolg geeft binnen een maand volgend op zijn tussenkomst, op eigen initiatief de ondernemingsraad daarvan in kennis te stellen.</w:t>
      </w:r>
    </w:p>
    <w:p>
      <w:pPr>
        <w:pStyle w:val="BodyText"/>
        <w:spacing w:line="218" w:lineRule="auto" w:before="97"/>
        <w:ind w:right="123"/>
      </w:pPr>
      <w:r>
        <w:rPr>
          <w:color w:val="231F20"/>
        </w:rPr>
        <w:t>De bedrijfsrevisoren oefenen dezelfde taken uit met betrekking tot de in artikel 3:12, § 1, 8°, bedoelde sociale balans.</w:t>
      </w:r>
    </w:p>
    <w:p>
      <w:pPr>
        <w:pStyle w:val="BodyText"/>
        <w:spacing w:line="218" w:lineRule="auto" w:before="96"/>
      </w:pPr>
      <w:r>
        <w:rPr>
          <w:color w:val="231F20"/>
        </w:rPr>
        <w:t>Art. 3:84. Het bestuursorgaan overhandigt aan de bedrijfsrevisor een kopie van de economische en financiële inlichtingen die hij de ondernemingsraad schriftelijk verstrekt.</w:t>
      </w:r>
    </w:p>
    <w:p>
      <w:pPr>
        <w:pStyle w:val="BodyText"/>
        <w:spacing w:line="218" w:lineRule="auto" w:before="96"/>
      </w:pPr>
      <w:r>
        <w:rPr>
          <w:color w:val="231F20"/>
        </w:rPr>
        <w:t>Art. 3:85. De agenda en de notulen van de vergaderingen van de ondernemingsraad waarop economische en financiële inlichtingen worden verstrekt of besproken, worden tegelijkertijd aan de leden en aan de bedrijfsrevisor meegedeeld.</w:t>
      </w:r>
    </w:p>
    <w:p>
      <w:pPr>
        <w:pStyle w:val="BodyText"/>
        <w:spacing w:line="218" w:lineRule="auto" w:before="97"/>
      </w:pPr>
      <w:r>
        <w:rPr>
          <w:color w:val="231F20"/>
        </w:rPr>
        <w:t>Art. 3:86. De bedrijfsrevisor mag de vergaderingen van de onderne- mingsraad bijwonen.</w:t>
      </w:r>
    </w:p>
    <w:p>
      <w:pPr>
        <w:pStyle w:val="BodyText"/>
        <w:spacing w:line="218" w:lineRule="auto" w:before="96"/>
      </w:pPr>
      <w:r>
        <w:rPr>
          <w:color w:val="231F20"/>
        </w:rPr>
        <w:t>Hij moet ze bijwonen wanneer zulks hem wordt verzocht door het bestuursorgaan of door de door de werknemers benoemde leden die daartoe hebben besloten bij meerderheid van de door hen uitgebrachte stemmen.</w:t>
      </w:r>
    </w:p>
    <w:p>
      <w:pPr>
        <w:pStyle w:val="BodyText"/>
        <w:spacing w:before="82"/>
        <w:ind w:left="283" w:right="0" w:firstLine="0"/>
        <w:jc w:val="left"/>
      </w:pPr>
      <w:r>
        <w:rPr>
          <w:color w:val="231F20"/>
        </w:rPr>
        <w:t>Afdeling 2. Vennootschappen waar een commissaris is aangesteld.</w:t>
      </w:r>
    </w:p>
    <w:p>
      <w:pPr>
        <w:pStyle w:val="BodyText"/>
        <w:spacing w:line="218" w:lineRule="auto" w:before="93"/>
      </w:pPr>
      <w:r>
        <w:rPr>
          <w:color w:val="231F20"/>
        </w:rPr>
        <w:t>Art. 3:87. Indien in een vennootschap een commissaris moet worden aangesteld krachtens deze titel, wordt de taak bedoeld in de artike-    len</w:t>
      </w:r>
      <w:r>
        <w:rPr>
          <w:color w:val="231F20"/>
          <w:spacing w:val="13"/>
        </w:rPr>
        <w:t> </w:t>
      </w:r>
      <w:r>
        <w:rPr>
          <w:color w:val="231F20"/>
        </w:rPr>
        <w:t>3:77</w:t>
      </w:r>
      <w:r>
        <w:rPr>
          <w:color w:val="231F20"/>
          <w:spacing w:val="13"/>
        </w:rPr>
        <w:t> </w:t>
      </w:r>
      <w:r>
        <w:rPr>
          <w:color w:val="231F20"/>
        </w:rPr>
        <w:t>tot</w:t>
      </w:r>
      <w:r>
        <w:rPr>
          <w:color w:val="231F20"/>
          <w:spacing w:val="14"/>
        </w:rPr>
        <w:t> </w:t>
      </w:r>
      <w:r>
        <w:rPr>
          <w:color w:val="231F20"/>
        </w:rPr>
        <w:t>3:80</w:t>
      </w:r>
      <w:r>
        <w:rPr>
          <w:color w:val="231F20"/>
          <w:spacing w:val="13"/>
        </w:rPr>
        <w:t> </w:t>
      </w:r>
      <w:r>
        <w:rPr>
          <w:color w:val="231F20"/>
        </w:rPr>
        <w:t>uitgeoefend</w:t>
      </w:r>
      <w:r>
        <w:rPr>
          <w:color w:val="231F20"/>
          <w:spacing w:val="14"/>
        </w:rPr>
        <w:t> </w:t>
      </w:r>
      <w:r>
        <w:rPr>
          <w:color w:val="231F20"/>
        </w:rPr>
        <w:t>door</w:t>
      </w:r>
      <w:r>
        <w:rPr>
          <w:color w:val="231F20"/>
          <w:spacing w:val="13"/>
        </w:rPr>
        <w:t> </w:t>
      </w:r>
      <w:r>
        <w:rPr>
          <w:color w:val="231F20"/>
        </w:rPr>
        <w:t>deze</w:t>
      </w:r>
      <w:r>
        <w:rPr>
          <w:color w:val="231F20"/>
          <w:spacing w:val="14"/>
        </w:rPr>
        <w:t> </w:t>
      </w:r>
      <w:r>
        <w:rPr>
          <w:color w:val="231F20"/>
        </w:rPr>
        <w:t>commissaris.</w:t>
      </w:r>
    </w:p>
    <w:p>
      <w:pPr>
        <w:pStyle w:val="BodyText"/>
        <w:spacing w:line="218" w:lineRule="auto" w:before="96"/>
      </w:pPr>
      <w:r>
        <w:rPr>
          <w:color w:val="231F20"/>
        </w:rPr>
        <w:t>Art. 3:88. De commissarissen van de vennootschap bedoeld in  artikel 3:87 worden benoemd op voordracht van de ondernemingsraad, beraadslagend op initiatief en op voorstel van het bestuursorgaan en beslissend bij meerderheid van de stemmen uitgebracht door zijn leden en bij meerderheid van de stemmen uitgebracht door de leden benoemd door de</w:t>
      </w:r>
      <w:r>
        <w:rPr>
          <w:color w:val="231F20"/>
          <w:spacing w:val="5"/>
        </w:rPr>
        <w:t> </w:t>
      </w:r>
      <w:r>
        <w:rPr>
          <w:color w:val="231F20"/>
        </w:rPr>
        <w:t>werknemers.</w:t>
      </w:r>
    </w:p>
    <w:p>
      <w:pPr>
        <w:pStyle w:val="BodyText"/>
        <w:spacing w:line="218" w:lineRule="auto" w:before="96"/>
      </w:pPr>
      <w:r>
        <w:rPr>
          <w:color w:val="231F20"/>
        </w:rPr>
        <w:t>Indien de vennootschap krachtens de wet verplicht is om een auditcomité op te richten, wordt het voorstel van het bestuursorgaan uitgebracht op aanbeveling van het auditcomité. Deze aanbeveling van het auditcomité wordt ter informatie aan de ondernemingsraad meegedeeld.</w:t>
      </w:r>
    </w:p>
    <w:p>
      <w:pPr>
        <w:pStyle w:val="BodyText"/>
        <w:spacing w:line="218" w:lineRule="auto" w:before="97"/>
      </w:pPr>
      <w:r>
        <w:rPr>
          <w:color w:val="231F20"/>
        </w:rPr>
        <w:t>Voor de vernieuwing van het mandaat van de commissarissen wordt dezelfde procedure gevolgd.</w:t>
      </w:r>
    </w:p>
    <w:p>
      <w:pPr>
        <w:pStyle w:val="BodyText"/>
        <w:spacing w:line="218" w:lineRule="auto" w:before="96"/>
      </w:pPr>
      <w:r>
        <w:rPr>
          <w:color w:val="231F20"/>
        </w:rPr>
        <w:t>Indien de vennootschap krachtens de wet verplicht is om een auditcomité op te richten en het voorstel van het bestuursorgaan wordt uitgebracht op aanbeveling van het auditcomité aansluitend op de selectieprocedure, bedoeld  in  artikel  16  van  de  verordening  (EU)  </w:t>
      </w:r>
      <w:r>
        <w:rPr>
          <w:color w:val="231F20"/>
          <w:spacing w:val="-5"/>
        </w:rPr>
        <w:t>nr. </w:t>
      </w:r>
      <w:r>
        <w:rPr>
          <w:color w:val="231F20"/>
        </w:rPr>
        <w:t>537/2014, maakt het bestuursorgaan aan de ondernemingsraad ter informatie de aanbeveling van het auditcomité, alsook de</w:t>
      </w:r>
      <w:r>
        <w:rPr>
          <w:color w:val="231F20"/>
          <w:spacing w:val="30"/>
        </w:rPr>
        <w:t> </w:t>
      </w:r>
      <w:r>
        <w:rPr>
          <w:color w:val="231F20"/>
        </w:rPr>
        <w:t>essentiële punten van de documenten die betrekking hebben op de organisatie van</w:t>
      </w:r>
      <w:r>
        <w:rPr>
          <w:color w:val="231F20"/>
          <w:spacing w:val="16"/>
        </w:rPr>
        <w:t> </w:t>
      </w:r>
      <w:r>
        <w:rPr>
          <w:color w:val="231F20"/>
        </w:rPr>
        <w:t>de</w:t>
      </w:r>
      <w:r>
        <w:rPr>
          <w:color w:val="231F20"/>
          <w:spacing w:val="17"/>
        </w:rPr>
        <w:t> </w:t>
      </w:r>
      <w:r>
        <w:rPr>
          <w:color w:val="231F20"/>
        </w:rPr>
        <w:t>selectieprocedure,</w:t>
      </w:r>
      <w:r>
        <w:rPr>
          <w:color w:val="231F20"/>
          <w:spacing w:val="17"/>
        </w:rPr>
        <w:t> </w:t>
      </w:r>
      <w:r>
        <w:rPr>
          <w:color w:val="231F20"/>
        </w:rPr>
        <w:t>met</w:t>
      </w:r>
      <w:r>
        <w:rPr>
          <w:color w:val="231F20"/>
          <w:spacing w:val="17"/>
        </w:rPr>
        <w:t> </w:t>
      </w:r>
      <w:r>
        <w:rPr>
          <w:color w:val="231F20"/>
        </w:rPr>
        <w:t>inbegrip</w:t>
      </w:r>
      <w:r>
        <w:rPr>
          <w:color w:val="231F20"/>
          <w:spacing w:val="17"/>
        </w:rPr>
        <w:t> </w:t>
      </w:r>
      <w:r>
        <w:rPr>
          <w:color w:val="231F20"/>
        </w:rPr>
        <w:t>van</w:t>
      </w:r>
      <w:r>
        <w:rPr>
          <w:color w:val="231F20"/>
          <w:spacing w:val="17"/>
        </w:rPr>
        <w:t> </w:t>
      </w:r>
      <w:r>
        <w:rPr>
          <w:color w:val="231F20"/>
        </w:rPr>
        <w:t>de</w:t>
      </w:r>
      <w:r>
        <w:rPr>
          <w:color w:val="231F20"/>
          <w:spacing w:val="16"/>
        </w:rPr>
        <w:t> </w:t>
      </w:r>
      <w:r>
        <w:rPr>
          <w:color w:val="231F20"/>
        </w:rPr>
        <w:t>selectiecriteria,</w:t>
      </w:r>
      <w:r>
        <w:rPr>
          <w:color w:val="231F20"/>
          <w:spacing w:val="17"/>
        </w:rPr>
        <w:t> </w:t>
      </w:r>
      <w:r>
        <w:rPr>
          <w:color w:val="231F20"/>
          <w:spacing w:val="-3"/>
        </w:rPr>
        <w:t>over.</w:t>
      </w:r>
    </w:p>
    <w:p>
      <w:pPr>
        <w:pStyle w:val="BodyText"/>
        <w:spacing w:line="218" w:lineRule="auto" w:before="96"/>
      </w:pPr>
      <w:r>
        <w:rPr>
          <w:color w:val="231F20"/>
        </w:rPr>
        <w:t>Indien het voorstel van het bestuursorgaan verschilt van de voorkeur zoals vermeld in de aanbeveling van het auditcomité, licht het bestuursorgaan de redenen toe waarom de aanbeveling van</w:t>
      </w:r>
      <w:r>
        <w:rPr>
          <w:color w:val="231F20"/>
          <w:spacing w:val="28"/>
        </w:rPr>
        <w:t> </w:t>
      </w:r>
      <w:r>
        <w:rPr>
          <w:color w:val="231F20"/>
        </w:rPr>
        <w:t>het auditcomité niet wordt gevolgd en maakt hij aan de ondernemingsraad de informatie over die hij aan de algemene vergadering zal</w:t>
      </w:r>
      <w:r>
        <w:rPr>
          <w:color w:val="231F20"/>
          <w:spacing w:val="24"/>
        </w:rPr>
        <w:t> </w:t>
      </w:r>
      <w:r>
        <w:rPr>
          <w:color w:val="231F20"/>
        </w:rPr>
        <w:t>verstrekken.</w:t>
      </w:r>
    </w:p>
    <w:p>
      <w:pPr>
        <w:pStyle w:val="BodyText"/>
        <w:spacing w:line="218" w:lineRule="auto" w:before="97"/>
      </w:pPr>
      <w:r>
        <w:rPr>
          <w:color w:val="231F20"/>
        </w:rPr>
        <w:t>Art. 3:89. Indien over dit voorstel in de ondernemingsraad niet de vereiste meerderheden bepaald in artikel 3:88, eerste lid, kunnen worden bereikt, en indien, in het algemeen, men in gebreke blijft één of meer</w:t>
      </w:r>
      <w:r>
        <w:rPr>
          <w:color w:val="231F20"/>
          <w:spacing w:val="26"/>
        </w:rPr>
        <w:t> </w:t>
      </w:r>
      <w:r>
        <w:rPr>
          <w:color w:val="231F20"/>
        </w:rPr>
        <w:t>commissarissen,</w:t>
      </w:r>
      <w:r>
        <w:rPr>
          <w:color w:val="231F20"/>
          <w:spacing w:val="26"/>
        </w:rPr>
        <w:t> </w:t>
      </w:r>
      <w:r>
        <w:rPr>
          <w:color w:val="231F20"/>
        </w:rPr>
        <w:t>voorgedragen</w:t>
      </w:r>
      <w:r>
        <w:rPr>
          <w:color w:val="231F20"/>
          <w:spacing w:val="26"/>
        </w:rPr>
        <w:t> </w:t>
      </w:r>
      <w:r>
        <w:rPr>
          <w:color w:val="231F20"/>
        </w:rPr>
        <w:t>met</w:t>
      </w:r>
      <w:r>
        <w:rPr>
          <w:color w:val="231F20"/>
          <w:spacing w:val="26"/>
        </w:rPr>
        <w:t> </w:t>
      </w:r>
      <w:r>
        <w:rPr>
          <w:color w:val="231F20"/>
        </w:rPr>
        <w:t>toepassing</w:t>
      </w:r>
      <w:r>
        <w:rPr>
          <w:color w:val="231F20"/>
          <w:spacing w:val="26"/>
        </w:rPr>
        <w:t> </w:t>
      </w:r>
      <w:r>
        <w:rPr>
          <w:color w:val="231F20"/>
        </w:rPr>
        <w:t>van</w:t>
      </w:r>
      <w:r>
        <w:rPr>
          <w:color w:val="231F20"/>
          <w:spacing w:val="26"/>
        </w:rPr>
        <w:t> </w:t>
      </w:r>
      <w:r>
        <w:rPr>
          <w:color w:val="231F20"/>
        </w:rPr>
        <w:t>artikel</w:t>
      </w:r>
      <w:r>
        <w:rPr>
          <w:color w:val="231F20"/>
          <w:spacing w:val="26"/>
        </w:rPr>
        <w:t> </w:t>
      </w:r>
      <w:r>
        <w:rPr>
          <w:color w:val="231F20"/>
        </w:rPr>
        <w:t>3:88,</w:t>
      </w:r>
    </w:p>
    <w:p>
      <w:pPr>
        <w:spacing w:after="0" w:line="218" w:lineRule="auto"/>
        <w:sectPr>
          <w:headerReference w:type="even" r:id="rId39"/>
          <w:headerReference w:type="default" r:id="rId40"/>
          <w:pgSz w:w="11940" w:h="16880"/>
          <w:pgMar w:header="666" w:footer="0" w:top="1140" w:bottom="280" w:left="340" w:right="360"/>
          <w:cols w:num="2" w:equalWidth="0">
            <w:col w:w="5527" w:space="100"/>
            <w:col w:w="5613"/>
          </w:cols>
        </w:sectPr>
      </w:pPr>
    </w:p>
    <w:p>
      <w:pPr>
        <w:pStyle w:val="BodyText"/>
        <w:spacing w:line="218" w:lineRule="auto" w:before="120"/>
        <w:ind w:right="38" w:firstLine="0"/>
      </w:pPr>
      <w:r>
        <w:rPr/>
        <w:pict>
          <v:line style="position:absolute;mso-position-horizontal-relative:page;mso-position-vertical-relative:page;z-index:2992" from="298.170502pt,64.473pt" to="298.170502pt,812.819pt" stroked="true" strokeweight=".533pt" strokecolor="#231f20">
            <v:stroke dashstyle="solid"/>
            <w10:wrap type="none"/>
          </v:line>
        </w:pict>
      </w:r>
      <w:bookmarkStart w:name="_bookmark82" w:id="87"/>
      <w:bookmarkEnd w:id="87"/>
      <w:r>
        <w:rPr/>
      </w:r>
      <w:r>
        <w:rPr>
          <w:color w:val="231F20"/>
        </w:rPr>
        <w:t>président du tribunal de l’entreprise du siège de la société, statuant à la requête de tout intéressé et siégeant comme en référé, nomme un réviseur d’entreprises dont il fixe les honoraires et qui est chargé d’exercer les fonctions de commissaire et les missions visées aux articles 3:83 à 3:86 jusqu’à ce qu’il soit pourvu régulièrement à son remplacement.</w:t>
      </w:r>
    </w:p>
    <w:p>
      <w:pPr>
        <w:pStyle w:val="BodyText"/>
        <w:spacing w:before="7"/>
        <w:ind w:left="0" w:right="0" w:firstLine="0"/>
        <w:jc w:val="left"/>
        <w:rPr>
          <w:sz w:val="28"/>
        </w:rPr>
      </w:pPr>
    </w:p>
    <w:p>
      <w:pPr>
        <w:pStyle w:val="BodyText"/>
        <w:spacing w:line="218" w:lineRule="auto"/>
        <w:ind w:right="38"/>
      </w:pPr>
      <w:r>
        <w:rPr>
          <w:color w:val="231F20"/>
        </w:rPr>
        <w:t>Dans les sociétés tenues de constituer un comité d’audit, le président du tribunal de l’entreprise désigne un commissaire dans le respect de l’article 3:61 mais n’est pas tenu par la recommandation formulée par ledit comité visée à l’article 3:58, § 3.</w:t>
      </w:r>
    </w:p>
    <w:p>
      <w:pPr>
        <w:pStyle w:val="BodyText"/>
        <w:spacing w:before="10"/>
        <w:ind w:left="0" w:right="0" w:firstLine="0"/>
        <w:jc w:val="left"/>
        <w:rPr>
          <w:sz w:val="28"/>
        </w:rPr>
      </w:pPr>
    </w:p>
    <w:p>
      <w:pPr>
        <w:pStyle w:val="BodyText"/>
        <w:spacing w:line="213" w:lineRule="auto"/>
        <w:ind w:right="38"/>
      </w:pPr>
      <w:r>
        <w:rPr>
          <w:color w:val="231F20"/>
        </w:rPr>
        <w:t>Cette nomination par le président du tribunal de l’entreprise est effectuée sur avis du conseil d’entreprise au cas où celui-ci n’aurait pas été appeléà délibérer sur la nomination du commissaire, conformément à l’article 3:88, alinéa 1</w:t>
      </w:r>
      <w:r>
        <w:rPr>
          <w:color w:val="231F20"/>
          <w:position w:val="7"/>
          <w:sz w:val="11"/>
        </w:rPr>
        <w:t>er</w:t>
      </w:r>
      <w:r>
        <w:rPr>
          <w:color w:val="231F20"/>
        </w:rPr>
        <w:t>.</w:t>
      </w:r>
    </w:p>
    <w:p>
      <w:pPr>
        <w:pStyle w:val="BodyText"/>
        <w:spacing w:line="213" w:lineRule="auto" w:before="150"/>
        <w:ind w:right="38"/>
      </w:pPr>
      <w:r>
        <w:rPr>
          <w:color w:val="231F20"/>
        </w:rPr>
        <w:t>Lorsque le commissaire est désigné par le président du tribunal de l’entreprise en application de la procédure décrite à l’alinéa 1</w:t>
      </w:r>
      <w:r>
        <w:rPr>
          <w:color w:val="231F20"/>
          <w:position w:val="7"/>
          <w:sz w:val="11"/>
        </w:rPr>
        <w:t>er</w:t>
      </w:r>
      <w:r>
        <w:rPr>
          <w:color w:val="231F20"/>
        </w:rPr>
        <w:t>, la société en informe le Collège de supervision des réviseurs d’entreprises </w:t>
      </w:r>
      <w:r>
        <w:rPr>
          <w:color w:val="231F20"/>
          <w:spacing w:val="2"/>
        </w:rPr>
        <w:t>visé </w:t>
      </w:r>
      <w:r>
        <w:rPr>
          <w:color w:val="231F20"/>
        </w:rPr>
        <w:t>à l’article 32 de la loi du 7 décembre 2016 portant organisation de la</w:t>
      </w:r>
      <w:r>
        <w:rPr>
          <w:color w:val="231F20"/>
          <w:spacing w:val="14"/>
        </w:rPr>
        <w:t> </w:t>
      </w:r>
      <w:r>
        <w:rPr>
          <w:color w:val="231F20"/>
        </w:rPr>
        <w:t>profession</w:t>
      </w:r>
      <w:r>
        <w:rPr>
          <w:color w:val="231F20"/>
          <w:spacing w:val="14"/>
        </w:rPr>
        <w:t> </w:t>
      </w:r>
      <w:r>
        <w:rPr>
          <w:color w:val="231F20"/>
        </w:rPr>
        <w:t>et</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supervision</w:t>
      </w:r>
      <w:r>
        <w:rPr>
          <w:color w:val="231F20"/>
          <w:spacing w:val="15"/>
        </w:rPr>
        <w:t> </w:t>
      </w:r>
      <w:r>
        <w:rPr>
          <w:color w:val="231F20"/>
        </w:rPr>
        <w:t>publique</w:t>
      </w:r>
      <w:r>
        <w:rPr>
          <w:color w:val="231F20"/>
          <w:spacing w:val="14"/>
        </w:rPr>
        <w:t> </w:t>
      </w:r>
      <w:r>
        <w:rPr>
          <w:color w:val="231F20"/>
        </w:rPr>
        <w:t>des</w:t>
      </w:r>
      <w:r>
        <w:rPr>
          <w:color w:val="231F20"/>
          <w:spacing w:val="14"/>
        </w:rPr>
        <w:t> </w:t>
      </w:r>
      <w:r>
        <w:rPr>
          <w:color w:val="231F20"/>
        </w:rPr>
        <w:t>réviseurs</w:t>
      </w:r>
      <w:r>
        <w:rPr>
          <w:color w:val="231F20"/>
          <w:spacing w:val="14"/>
        </w:rPr>
        <w:t> </w:t>
      </w:r>
      <w:r>
        <w:rPr>
          <w:color w:val="231F20"/>
        </w:rPr>
        <w:t>d’entreprises.</w:t>
      </w:r>
    </w:p>
    <w:p>
      <w:pPr>
        <w:pStyle w:val="BodyText"/>
        <w:spacing w:before="8"/>
        <w:ind w:left="0" w:right="0" w:firstLine="0"/>
        <w:jc w:val="left"/>
        <w:rPr>
          <w:sz w:val="29"/>
        </w:rPr>
      </w:pPr>
    </w:p>
    <w:p>
      <w:pPr>
        <w:pStyle w:val="BodyText"/>
        <w:spacing w:line="218" w:lineRule="auto"/>
        <w:ind w:right="38"/>
      </w:pPr>
      <w:r>
        <w:rPr>
          <w:color w:val="231F20"/>
        </w:rPr>
        <w:t>Art. 3:90. Le montant des honoraires des commissaires est commu- </w:t>
      </w:r>
      <w:r>
        <w:rPr>
          <w:color w:val="231F20"/>
          <w:spacing w:val="2"/>
        </w:rPr>
        <w:t>niqué </w:t>
      </w:r>
      <w:r>
        <w:rPr>
          <w:color w:val="231F20"/>
        </w:rPr>
        <w:t>à titre d’information au conseil d’entreprise. Ces honoraires rétribuent les fonctions de commissaire et les missions que celui-ci effectue</w:t>
      </w:r>
      <w:r>
        <w:rPr>
          <w:color w:val="231F20"/>
          <w:spacing w:val="-4"/>
        </w:rPr>
        <w:t> </w:t>
      </w:r>
      <w:r>
        <w:rPr>
          <w:color w:val="231F20"/>
        </w:rPr>
        <w:t>en</w:t>
      </w:r>
      <w:r>
        <w:rPr>
          <w:color w:val="231F20"/>
          <w:spacing w:val="-3"/>
        </w:rPr>
        <w:t> </w:t>
      </w:r>
      <w:r>
        <w:rPr>
          <w:color w:val="231F20"/>
        </w:rPr>
        <w:t>vertu</w:t>
      </w:r>
      <w:r>
        <w:rPr>
          <w:color w:val="231F20"/>
          <w:spacing w:val="-4"/>
        </w:rPr>
        <w:t> </w:t>
      </w:r>
      <w:r>
        <w:rPr>
          <w:color w:val="231F20"/>
        </w:rPr>
        <w:t>des</w:t>
      </w:r>
      <w:r>
        <w:rPr>
          <w:color w:val="231F20"/>
          <w:spacing w:val="-3"/>
        </w:rPr>
        <w:t> </w:t>
      </w:r>
      <w:r>
        <w:rPr>
          <w:color w:val="231F20"/>
        </w:rPr>
        <w:t>articles</w:t>
      </w:r>
      <w:r>
        <w:rPr>
          <w:color w:val="231F20"/>
          <w:spacing w:val="-3"/>
        </w:rPr>
        <w:t> </w:t>
      </w:r>
      <w:r>
        <w:rPr>
          <w:color w:val="231F20"/>
        </w:rPr>
        <w:t>3:83</w:t>
      </w:r>
      <w:r>
        <w:rPr>
          <w:color w:val="231F20"/>
          <w:spacing w:val="-4"/>
        </w:rPr>
        <w:t> </w:t>
      </w:r>
      <w:r>
        <w:rPr>
          <w:color w:val="231F20"/>
        </w:rPr>
        <w:t>à</w:t>
      </w:r>
      <w:r>
        <w:rPr>
          <w:color w:val="231F20"/>
          <w:spacing w:val="-3"/>
        </w:rPr>
        <w:t> </w:t>
      </w:r>
      <w:r>
        <w:rPr>
          <w:color w:val="231F20"/>
        </w:rPr>
        <w:t>3:86.</w:t>
      </w:r>
      <w:r>
        <w:rPr>
          <w:color w:val="231F20"/>
          <w:spacing w:val="-3"/>
        </w:rPr>
        <w:t> </w:t>
      </w:r>
      <w:r>
        <w:rPr>
          <w:color w:val="231F20"/>
        </w:rPr>
        <w:t>À</w:t>
      </w:r>
      <w:r>
        <w:rPr>
          <w:color w:val="231F20"/>
          <w:spacing w:val="-4"/>
        </w:rPr>
        <w:t> </w:t>
      </w:r>
      <w:r>
        <w:rPr>
          <w:color w:val="231F20"/>
        </w:rPr>
        <w:t>la</w:t>
      </w:r>
      <w:r>
        <w:rPr>
          <w:color w:val="231F20"/>
          <w:spacing w:val="-3"/>
        </w:rPr>
        <w:t> </w:t>
      </w:r>
      <w:r>
        <w:rPr>
          <w:color w:val="231F20"/>
        </w:rPr>
        <w:t>demande</w:t>
      </w:r>
      <w:r>
        <w:rPr>
          <w:color w:val="231F20"/>
          <w:spacing w:val="-3"/>
        </w:rPr>
        <w:t> </w:t>
      </w:r>
      <w:r>
        <w:rPr>
          <w:color w:val="231F20"/>
        </w:rPr>
        <w:t>des</w:t>
      </w:r>
      <w:r>
        <w:rPr>
          <w:color w:val="231F20"/>
          <w:spacing w:val="-4"/>
        </w:rPr>
        <w:t> </w:t>
      </w:r>
      <w:r>
        <w:rPr>
          <w:color w:val="231F20"/>
        </w:rPr>
        <w:t>membres</w:t>
      </w:r>
      <w:r>
        <w:rPr>
          <w:color w:val="231F20"/>
          <w:spacing w:val="-3"/>
        </w:rPr>
        <w:t> </w:t>
      </w:r>
      <w:r>
        <w:rPr>
          <w:color w:val="231F20"/>
        </w:rPr>
        <w:t>du conseil d’entreprise nommés par les travailleurs, statuant à cet </w:t>
      </w:r>
      <w:r>
        <w:rPr>
          <w:color w:val="231F20"/>
          <w:spacing w:val="-3"/>
        </w:rPr>
        <w:t>effet </w:t>
      </w:r>
      <w:r>
        <w:rPr>
          <w:color w:val="231F20"/>
        </w:rPr>
        <w:t>à la majorité des voix émises par eux, le réviseur présente au conseil une estimation du volume des prestations requises pour l’exercice de ces fonctions et</w:t>
      </w:r>
      <w:r>
        <w:rPr>
          <w:color w:val="231F20"/>
          <w:spacing w:val="-12"/>
        </w:rPr>
        <w:t> </w:t>
      </w:r>
      <w:r>
        <w:rPr>
          <w:color w:val="231F20"/>
        </w:rPr>
        <w:t>missions.</w:t>
      </w:r>
    </w:p>
    <w:p>
      <w:pPr>
        <w:pStyle w:val="BodyText"/>
        <w:spacing w:before="7"/>
        <w:ind w:left="0" w:right="0" w:firstLine="0"/>
        <w:jc w:val="left"/>
        <w:rPr>
          <w:sz w:val="29"/>
        </w:rPr>
      </w:pPr>
    </w:p>
    <w:p>
      <w:pPr>
        <w:pStyle w:val="BodyText"/>
        <w:spacing w:line="218" w:lineRule="auto"/>
        <w:ind w:right="38"/>
      </w:pPr>
      <w:r>
        <w:rPr>
          <w:color w:val="231F20"/>
        </w:rPr>
        <w:t>Art. 3:91. Le commissaire ne peut, en cours de mandat, être révoqué que sur proposition ou avis conforme du conseil d’entreprise statuant à la majorité des voix émises par ses membres et à la majorité des voix émises par les membres nommés par les travailleurs.</w:t>
      </w:r>
    </w:p>
    <w:p>
      <w:pPr>
        <w:pStyle w:val="BodyText"/>
        <w:spacing w:before="7"/>
        <w:ind w:left="0" w:right="0" w:firstLine="0"/>
        <w:jc w:val="left"/>
        <w:rPr>
          <w:sz w:val="29"/>
        </w:rPr>
      </w:pPr>
    </w:p>
    <w:p>
      <w:pPr>
        <w:pStyle w:val="BodyText"/>
        <w:spacing w:line="218" w:lineRule="auto"/>
        <w:ind w:right="38"/>
      </w:pPr>
      <w:r>
        <w:rPr>
          <w:color w:val="231F20"/>
        </w:rPr>
        <w:t>En cas de démission, le commissaire doit informer par écrit le conseil d’entreprise des raisons de sa démission.</w:t>
      </w:r>
    </w:p>
    <w:p>
      <w:pPr>
        <w:pStyle w:val="BodyText"/>
        <w:spacing w:line="218" w:lineRule="auto" w:before="160"/>
        <w:ind w:right="38"/>
      </w:pPr>
      <w:r>
        <w:rPr>
          <w:color w:val="231F20"/>
        </w:rPr>
        <w:t>Art. 3:92. Toute décision de nomination, de renouvellement de mandat ou de révocation prise sans respecter les articles 3:88 à 3:91 est nulle. La nullité est prononcée par le président du tribunal de l’entreprise du siège de la société siégeant comme en référé.</w:t>
      </w:r>
    </w:p>
    <w:p>
      <w:pPr>
        <w:pStyle w:val="BodyText"/>
        <w:spacing w:before="3"/>
        <w:ind w:left="0" w:right="0" w:firstLine="0"/>
        <w:jc w:val="left"/>
        <w:rPr>
          <w:sz w:val="28"/>
        </w:rPr>
      </w:pPr>
    </w:p>
    <w:p>
      <w:pPr>
        <w:pStyle w:val="BodyText"/>
        <w:spacing w:before="1"/>
        <w:ind w:left="283" w:right="0" w:firstLine="0"/>
        <w:jc w:val="left"/>
      </w:pPr>
      <w:r>
        <w:rPr>
          <w:color w:val="231F20"/>
        </w:rPr>
        <w:t>Section 3. Sociétés où aucun commissaire n’a été nommé.</w:t>
      </w:r>
    </w:p>
    <w:p>
      <w:pPr>
        <w:pStyle w:val="BodyText"/>
        <w:spacing w:line="218" w:lineRule="auto" w:before="156"/>
        <w:ind w:right="38"/>
      </w:pPr>
      <w:r>
        <w:rPr>
          <w:color w:val="231F20"/>
        </w:rPr>
        <w:t>Art. 3:93. Dans les sociétés où aucun commissaire n’a été nommé, l’assemblée générale nomme un réviseur d’entreprises chargé de la mission visée aux articles 3:83 à 3:86.</w:t>
      </w:r>
    </w:p>
    <w:p>
      <w:pPr>
        <w:pStyle w:val="BodyText"/>
        <w:spacing w:line="218" w:lineRule="auto" w:before="160"/>
        <w:ind w:right="38"/>
      </w:pPr>
      <w:r>
        <w:rPr>
          <w:color w:val="231F20"/>
        </w:rPr>
        <w:t>Art. 3:94. Sauf dérogations prévues par le présent  code,  les  arti- cles 3:58 à 3:71 sont applicables aux réviseurs d’entreprises nommés dans</w:t>
      </w:r>
      <w:r>
        <w:rPr>
          <w:color w:val="231F20"/>
          <w:spacing w:val="15"/>
        </w:rPr>
        <w:t> </w:t>
      </w:r>
      <w:r>
        <w:rPr>
          <w:color w:val="231F20"/>
        </w:rPr>
        <w:t>les</w:t>
      </w:r>
      <w:r>
        <w:rPr>
          <w:color w:val="231F20"/>
          <w:spacing w:val="15"/>
        </w:rPr>
        <w:t> </w:t>
      </w:r>
      <w:r>
        <w:rPr>
          <w:color w:val="231F20"/>
        </w:rPr>
        <w:t>sociétés</w:t>
      </w:r>
      <w:r>
        <w:rPr>
          <w:color w:val="231F20"/>
          <w:spacing w:val="15"/>
        </w:rPr>
        <w:t> </w:t>
      </w:r>
      <w:r>
        <w:rPr>
          <w:color w:val="231F20"/>
        </w:rPr>
        <w:t>où</w:t>
      </w:r>
      <w:r>
        <w:rPr>
          <w:color w:val="231F20"/>
          <w:spacing w:val="15"/>
        </w:rPr>
        <w:t> </w:t>
      </w:r>
      <w:r>
        <w:rPr>
          <w:color w:val="231F20"/>
        </w:rPr>
        <w:t>il</w:t>
      </w:r>
      <w:r>
        <w:rPr>
          <w:color w:val="231F20"/>
          <w:spacing w:val="15"/>
        </w:rPr>
        <w:t> </w:t>
      </w:r>
      <w:r>
        <w:rPr>
          <w:color w:val="231F20"/>
        </w:rPr>
        <w:t>n’existe</w:t>
      </w:r>
      <w:r>
        <w:rPr>
          <w:color w:val="231F20"/>
          <w:spacing w:val="15"/>
        </w:rPr>
        <w:t> </w:t>
      </w:r>
      <w:r>
        <w:rPr>
          <w:color w:val="231F20"/>
        </w:rPr>
        <w:t>pas</w:t>
      </w:r>
      <w:r>
        <w:rPr>
          <w:color w:val="231F20"/>
          <w:spacing w:val="15"/>
        </w:rPr>
        <w:t> </w:t>
      </w:r>
      <w:r>
        <w:rPr>
          <w:color w:val="231F20"/>
        </w:rPr>
        <w:t>de</w:t>
      </w:r>
      <w:r>
        <w:rPr>
          <w:color w:val="231F20"/>
          <w:spacing w:val="15"/>
        </w:rPr>
        <w:t> </w:t>
      </w:r>
      <w:r>
        <w:rPr>
          <w:color w:val="231F20"/>
        </w:rPr>
        <w:t>commissaire.</w:t>
      </w:r>
    </w:p>
    <w:p>
      <w:pPr>
        <w:pStyle w:val="BodyText"/>
        <w:spacing w:before="7"/>
        <w:ind w:left="0" w:right="0" w:firstLine="0"/>
        <w:jc w:val="left"/>
        <w:rPr>
          <w:sz w:val="29"/>
        </w:rPr>
      </w:pPr>
    </w:p>
    <w:p>
      <w:pPr>
        <w:pStyle w:val="BodyText"/>
        <w:spacing w:line="218" w:lineRule="auto"/>
        <w:ind w:right="38"/>
      </w:pPr>
      <w:r>
        <w:rPr>
          <w:color w:val="231F20"/>
        </w:rPr>
        <w:t>La présentation, le renouvellement du mandat et le renvoi ont lieu conformément aux articles 3:88 à 3:92.</w:t>
      </w:r>
    </w:p>
    <w:p>
      <w:pPr>
        <w:pStyle w:val="BodyText"/>
        <w:spacing w:line="218" w:lineRule="auto" w:before="160"/>
        <w:ind w:right="38"/>
      </w:pPr>
      <w:r>
        <w:rPr>
          <w:color w:val="231F20"/>
        </w:rPr>
        <w:t>Section 4. Arrêtés royaux relatifs au contrôle dans les sociétés où il existe un conseil d’entreprise.</w:t>
      </w:r>
    </w:p>
    <w:p>
      <w:pPr>
        <w:pStyle w:val="BodyText"/>
        <w:spacing w:line="218" w:lineRule="auto" w:before="145"/>
        <w:ind w:right="38"/>
      </w:pPr>
      <w:r>
        <w:rPr>
          <w:color w:val="231F20"/>
        </w:rPr>
        <w:t>Art. 3:95. § 1</w:t>
      </w:r>
      <w:r>
        <w:rPr>
          <w:color w:val="231F20"/>
          <w:position w:val="7"/>
          <w:sz w:val="11"/>
        </w:rPr>
        <w:t>er</w:t>
      </w:r>
      <w:r>
        <w:rPr>
          <w:color w:val="231F20"/>
        </w:rPr>
        <w:t>. Le Roi peut arrêter des modalités d’application des articles</w:t>
      </w:r>
      <w:r>
        <w:rPr>
          <w:color w:val="231F20"/>
          <w:spacing w:val="-11"/>
        </w:rPr>
        <w:t> </w:t>
      </w:r>
      <w:r>
        <w:rPr>
          <w:color w:val="231F20"/>
        </w:rPr>
        <w:t>3:83</w:t>
      </w:r>
      <w:r>
        <w:rPr>
          <w:color w:val="231F20"/>
          <w:spacing w:val="-10"/>
        </w:rPr>
        <w:t> </w:t>
      </w:r>
      <w:r>
        <w:rPr>
          <w:color w:val="231F20"/>
        </w:rPr>
        <w:t>à</w:t>
      </w:r>
      <w:r>
        <w:rPr>
          <w:color w:val="231F20"/>
          <w:spacing w:val="-11"/>
        </w:rPr>
        <w:t> </w:t>
      </w:r>
      <w:r>
        <w:rPr>
          <w:color w:val="231F20"/>
        </w:rPr>
        <w:t>3:94.</w:t>
      </w:r>
      <w:r>
        <w:rPr>
          <w:color w:val="231F20"/>
          <w:spacing w:val="-10"/>
        </w:rPr>
        <w:t> </w:t>
      </w:r>
      <w:r>
        <w:rPr>
          <w:color w:val="231F20"/>
        </w:rPr>
        <w:t>Il</w:t>
      </w:r>
      <w:r>
        <w:rPr>
          <w:color w:val="231F20"/>
          <w:spacing w:val="-11"/>
        </w:rPr>
        <w:t> </w:t>
      </w:r>
      <w:r>
        <w:rPr>
          <w:color w:val="231F20"/>
        </w:rPr>
        <w:t>peut</w:t>
      </w:r>
      <w:r>
        <w:rPr>
          <w:color w:val="231F20"/>
          <w:spacing w:val="-10"/>
        </w:rPr>
        <w:t> </w:t>
      </w:r>
      <w:r>
        <w:rPr>
          <w:color w:val="231F20"/>
        </w:rPr>
        <w:t>prévoir</w:t>
      </w:r>
      <w:r>
        <w:rPr>
          <w:color w:val="231F20"/>
          <w:spacing w:val="-11"/>
        </w:rPr>
        <w:t> </w:t>
      </w:r>
      <w:r>
        <w:rPr>
          <w:color w:val="231F20"/>
        </w:rPr>
        <w:t>que</w:t>
      </w:r>
      <w:r>
        <w:rPr>
          <w:color w:val="231F20"/>
          <w:spacing w:val="-10"/>
        </w:rPr>
        <w:t> </w:t>
      </w:r>
      <w:r>
        <w:rPr>
          <w:color w:val="231F20"/>
        </w:rPr>
        <w:t>ces</w:t>
      </w:r>
      <w:r>
        <w:rPr>
          <w:color w:val="231F20"/>
          <w:spacing w:val="-11"/>
        </w:rPr>
        <w:t> </w:t>
      </w:r>
      <w:r>
        <w:rPr>
          <w:color w:val="231F20"/>
        </w:rPr>
        <w:t>articles</w:t>
      </w:r>
      <w:r>
        <w:rPr>
          <w:color w:val="231F20"/>
          <w:spacing w:val="-11"/>
        </w:rPr>
        <w:t> </w:t>
      </w:r>
      <w:r>
        <w:rPr>
          <w:color w:val="231F20"/>
        </w:rPr>
        <w:t>ou</w:t>
      </w:r>
      <w:r>
        <w:rPr>
          <w:color w:val="231F20"/>
          <w:spacing w:val="-10"/>
        </w:rPr>
        <w:t> </w:t>
      </w:r>
      <w:r>
        <w:rPr>
          <w:color w:val="231F20"/>
        </w:rPr>
        <w:t>certaines</w:t>
      </w:r>
      <w:r>
        <w:rPr>
          <w:color w:val="231F20"/>
          <w:spacing w:val="-11"/>
        </w:rPr>
        <w:t> </w:t>
      </w:r>
      <w:r>
        <w:rPr>
          <w:color w:val="231F20"/>
        </w:rPr>
        <w:t>des</w:t>
      </w:r>
      <w:r>
        <w:rPr>
          <w:color w:val="231F20"/>
          <w:spacing w:val="-10"/>
        </w:rPr>
        <w:t> </w:t>
      </w:r>
      <w:r>
        <w:rPr>
          <w:color w:val="231F20"/>
        </w:rPr>
        <w:t>règles de ces articles ne sont applicables que dans la mesure où le conseil d’entreprise</w:t>
      </w:r>
      <w:r>
        <w:rPr>
          <w:color w:val="231F20"/>
          <w:spacing w:val="15"/>
        </w:rPr>
        <w:t> </w:t>
      </w:r>
      <w:r>
        <w:rPr>
          <w:color w:val="231F20"/>
        </w:rPr>
        <w:t>n’en</w:t>
      </w:r>
      <w:r>
        <w:rPr>
          <w:color w:val="231F20"/>
          <w:spacing w:val="15"/>
        </w:rPr>
        <w:t> </w:t>
      </w:r>
      <w:r>
        <w:rPr>
          <w:color w:val="231F20"/>
        </w:rPr>
        <w:t>a</w:t>
      </w:r>
      <w:r>
        <w:rPr>
          <w:color w:val="231F20"/>
          <w:spacing w:val="15"/>
        </w:rPr>
        <w:t> </w:t>
      </w:r>
      <w:r>
        <w:rPr>
          <w:color w:val="231F20"/>
        </w:rPr>
        <w:t>pas</w:t>
      </w:r>
      <w:r>
        <w:rPr>
          <w:color w:val="231F20"/>
          <w:spacing w:val="15"/>
        </w:rPr>
        <w:t> </w:t>
      </w:r>
      <w:r>
        <w:rPr>
          <w:color w:val="231F20"/>
        </w:rPr>
        <w:t>décidé</w:t>
      </w:r>
      <w:r>
        <w:rPr>
          <w:color w:val="231F20"/>
          <w:spacing w:val="16"/>
        </w:rPr>
        <w:t> </w:t>
      </w:r>
      <w:r>
        <w:rPr>
          <w:color w:val="231F20"/>
        </w:rPr>
        <w:t>autrement.</w:t>
      </w:r>
    </w:p>
    <w:p>
      <w:pPr>
        <w:pStyle w:val="BodyText"/>
        <w:spacing w:line="213" w:lineRule="auto" w:before="163"/>
        <w:ind w:right="38"/>
      </w:pPr>
      <w:r>
        <w:rPr>
          <w:color w:val="231F20"/>
        </w:rPr>
        <w:t>§ 2. Avant d’arrêter les mesures réglementaires prévues par le paragraphe 1</w:t>
      </w:r>
      <w:r>
        <w:rPr>
          <w:color w:val="231F20"/>
          <w:position w:val="7"/>
          <w:sz w:val="11"/>
        </w:rPr>
        <w:t>er</w:t>
      </w:r>
      <w:r>
        <w:rPr>
          <w:color w:val="231F20"/>
        </w:rPr>
        <w:t>, le Roi prend l’avis, soit du Conseil national du Travail, soit de la commission paritaire compétente ou, à son défaut, des organisations représentatives, des chefs d’entreprise, des travailleurs et des cadres.</w:t>
      </w:r>
    </w:p>
    <w:p>
      <w:pPr>
        <w:pStyle w:val="BodyText"/>
        <w:spacing w:line="218" w:lineRule="auto" w:before="162"/>
        <w:ind w:right="38"/>
      </w:pPr>
      <w:r>
        <w:rPr>
          <w:color w:val="231F20"/>
        </w:rPr>
        <w:t>Lorsque ces mesures soulèvent, indépendamment de l’aspect social, des questions d’intérêt économique, le Roi prend également l’avis, soit du Conseil central de l’économie, soit de la commission consultative spéciale compétente.</w:t>
      </w:r>
    </w:p>
    <w:p>
      <w:pPr>
        <w:pStyle w:val="BodyText"/>
        <w:spacing w:line="218" w:lineRule="auto" w:before="160"/>
        <w:ind w:right="38"/>
      </w:pPr>
      <w:r>
        <w:rPr>
          <w:color w:val="231F20"/>
        </w:rPr>
        <w:t>Les organismes consultés en vertu du présent article font parvenir leur avis dans les deux mois de la demande qui leur en est faite, à défaut</w:t>
      </w:r>
      <w:r>
        <w:rPr>
          <w:color w:val="231F20"/>
          <w:spacing w:val="15"/>
        </w:rPr>
        <w:t> </w:t>
      </w:r>
      <w:r>
        <w:rPr>
          <w:color w:val="231F20"/>
        </w:rPr>
        <w:t>de</w:t>
      </w:r>
      <w:r>
        <w:rPr>
          <w:color w:val="231F20"/>
          <w:spacing w:val="15"/>
        </w:rPr>
        <w:t> </w:t>
      </w:r>
      <w:r>
        <w:rPr>
          <w:color w:val="231F20"/>
        </w:rPr>
        <w:t>quoi,</w:t>
      </w:r>
      <w:r>
        <w:rPr>
          <w:color w:val="231F20"/>
          <w:spacing w:val="15"/>
        </w:rPr>
        <w:t> </w:t>
      </w:r>
      <w:r>
        <w:rPr>
          <w:color w:val="231F20"/>
        </w:rPr>
        <w:t>il</w:t>
      </w:r>
      <w:r>
        <w:rPr>
          <w:color w:val="231F20"/>
          <w:spacing w:val="15"/>
        </w:rPr>
        <w:t> </w:t>
      </w:r>
      <w:r>
        <w:rPr>
          <w:color w:val="231F20"/>
        </w:rPr>
        <w:t>peut</w:t>
      </w:r>
      <w:r>
        <w:rPr>
          <w:color w:val="231F20"/>
          <w:spacing w:val="16"/>
        </w:rPr>
        <w:t> </w:t>
      </w:r>
      <w:r>
        <w:rPr>
          <w:color w:val="231F20"/>
        </w:rPr>
        <w:t>être</w:t>
      </w:r>
      <w:r>
        <w:rPr>
          <w:color w:val="231F20"/>
          <w:spacing w:val="15"/>
        </w:rPr>
        <w:t> </w:t>
      </w:r>
      <w:r>
        <w:rPr>
          <w:color w:val="231F20"/>
        </w:rPr>
        <w:t>passé</w:t>
      </w:r>
      <w:r>
        <w:rPr>
          <w:color w:val="231F20"/>
          <w:spacing w:val="15"/>
        </w:rPr>
        <w:t> </w:t>
      </w:r>
      <w:r>
        <w:rPr>
          <w:color w:val="231F20"/>
        </w:rPr>
        <w:t>outre.</w:t>
      </w:r>
    </w:p>
    <w:p>
      <w:pPr>
        <w:pStyle w:val="BodyText"/>
        <w:spacing w:line="218" w:lineRule="auto" w:before="119"/>
        <w:ind w:firstLine="0"/>
      </w:pPr>
      <w:r>
        <w:rPr/>
        <w:br w:type="column"/>
      </w:r>
      <w:r>
        <w:rPr>
          <w:color w:val="231F20"/>
        </w:rPr>
        <w:t>eerste lid, te benoemen, wordt op verzoekschrift van elke belangheb- bende, door de voorzitter van de ondernemingsrechtbank van de zetel van de vennootschap, zitting houdend zoals in kort geding, een bedrijfsrevisor benoemd wiens honoraria hij vaststelt en die belast wordt met de taak van commissaris en met de opdrachten bedoeld in de artikelen 3:83 tot 3:86, totdat regelmatig in zijn vervanging is voorzien.</w:t>
      </w:r>
    </w:p>
    <w:p>
      <w:pPr>
        <w:pStyle w:val="BodyText"/>
        <w:spacing w:line="218" w:lineRule="auto" w:before="150"/>
      </w:pPr>
      <w:r>
        <w:rPr>
          <w:color w:val="231F20"/>
        </w:rPr>
        <w:t>In de vennootschappen die een auditcomité moeten oprichten, benoemt de voorzitter van de ondernemingsrechtbank een commissaris met naleving van artikel 3:61, maar is hij niet gebonden door de aanbeveling bedoeld in artikel 3:58, § 3, geformuleerd door het vermeld comité.</w:t>
      </w:r>
    </w:p>
    <w:p>
      <w:pPr>
        <w:pStyle w:val="BodyText"/>
        <w:spacing w:line="218" w:lineRule="auto" w:before="150"/>
      </w:pPr>
      <w:r>
        <w:rPr>
          <w:color w:val="231F20"/>
        </w:rPr>
        <w:t>Deze benoeming door de voorzitter van de ondernemingsrechtbank gebeurt na advies van de ondernemingsraad ingeval deze laatste niet werd gevraagd om te beraadslagen over de benoeming van de commissaris overeenkomstig artikel 3:88, eerste lid.</w:t>
      </w:r>
    </w:p>
    <w:p>
      <w:pPr>
        <w:pStyle w:val="BodyText"/>
        <w:spacing w:line="218" w:lineRule="auto" w:before="150"/>
      </w:pPr>
      <w:r>
        <w:rPr>
          <w:color w:val="231F20"/>
        </w:rPr>
        <w:t>Indien de commissaris wordt aangesteld door de voorzitter van de ondernemingsrechtbank</w:t>
      </w:r>
      <w:r>
        <w:rPr>
          <w:color w:val="231F20"/>
          <w:spacing w:val="-8"/>
        </w:rPr>
        <w:t> </w:t>
      </w:r>
      <w:r>
        <w:rPr>
          <w:color w:val="231F20"/>
        </w:rPr>
        <w:t>in</w:t>
      </w:r>
      <w:r>
        <w:rPr>
          <w:color w:val="231F20"/>
          <w:spacing w:val="-7"/>
        </w:rPr>
        <w:t> </w:t>
      </w:r>
      <w:r>
        <w:rPr>
          <w:color w:val="231F20"/>
        </w:rPr>
        <w:t>toepassing</w:t>
      </w:r>
      <w:r>
        <w:rPr>
          <w:color w:val="231F20"/>
          <w:spacing w:val="-7"/>
        </w:rPr>
        <w:t> </w:t>
      </w:r>
      <w:r>
        <w:rPr>
          <w:color w:val="231F20"/>
        </w:rPr>
        <w:t>van</w:t>
      </w:r>
      <w:r>
        <w:rPr>
          <w:color w:val="231F20"/>
          <w:spacing w:val="-7"/>
        </w:rPr>
        <w:t> </w:t>
      </w:r>
      <w:r>
        <w:rPr>
          <w:color w:val="231F20"/>
        </w:rPr>
        <w:t>de</w:t>
      </w:r>
      <w:r>
        <w:rPr>
          <w:color w:val="231F20"/>
          <w:spacing w:val="-7"/>
        </w:rPr>
        <w:t> </w:t>
      </w:r>
      <w:r>
        <w:rPr>
          <w:color w:val="231F20"/>
        </w:rPr>
        <w:t>procedure</w:t>
      </w:r>
      <w:r>
        <w:rPr>
          <w:color w:val="231F20"/>
          <w:spacing w:val="-8"/>
        </w:rPr>
        <w:t> </w:t>
      </w:r>
      <w:r>
        <w:rPr>
          <w:color w:val="231F20"/>
        </w:rPr>
        <w:t>zoals</w:t>
      </w:r>
      <w:r>
        <w:rPr>
          <w:color w:val="231F20"/>
          <w:spacing w:val="-7"/>
        </w:rPr>
        <w:t> </w:t>
      </w:r>
      <w:r>
        <w:rPr>
          <w:color w:val="231F20"/>
        </w:rPr>
        <w:t>omschre- ven in het eerste lid, brengt de vennootschap het College van toezicht op  de  bedrijfsrevisoren,   bedoeld   in   artikel   32   van   de   wet   van  7 december 2016 houdende de organisatie van het beroep van en het publiek</w:t>
      </w:r>
      <w:r>
        <w:rPr>
          <w:color w:val="231F20"/>
          <w:spacing w:val="17"/>
        </w:rPr>
        <w:t> </w:t>
      </w:r>
      <w:r>
        <w:rPr>
          <w:color w:val="231F20"/>
        </w:rPr>
        <w:t>toezicht</w:t>
      </w:r>
      <w:r>
        <w:rPr>
          <w:color w:val="231F20"/>
          <w:spacing w:val="17"/>
        </w:rPr>
        <w:t> </w:t>
      </w:r>
      <w:r>
        <w:rPr>
          <w:color w:val="231F20"/>
        </w:rPr>
        <w:t>op</w:t>
      </w:r>
      <w:r>
        <w:rPr>
          <w:color w:val="231F20"/>
          <w:spacing w:val="18"/>
        </w:rPr>
        <w:t> </w:t>
      </w:r>
      <w:r>
        <w:rPr>
          <w:color w:val="231F20"/>
        </w:rPr>
        <w:t>de</w:t>
      </w:r>
      <w:r>
        <w:rPr>
          <w:color w:val="231F20"/>
          <w:spacing w:val="17"/>
        </w:rPr>
        <w:t> </w:t>
      </w:r>
      <w:r>
        <w:rPr>
          <w:color w:val="231F20"/>
        </w:rPr>
        <w:t>bedrijfsrevisoren,</w:t>
      </w:r>
      <w:r>
        <w:rPr>
          <w:color w:val="231F20"/>
          <w:spacing w:val="18"/>
        </w:rPr>
        <w:t> </w:t>
      </w:r>
      <w:r>
        <w:rPr>
          <w:color w:val="231F20"/>
        </w:rPr>
        <w:t>hiervan</w:t>
      </w:r>
      <w:r>
        <w:rPr>
          <w:color w:val="231F20"/>
          <w:spacing w:val="17"/>
        </w:rPr>
        <w:t> </w:t>
      </w:r>
      <w:r>
        <w:rPr>
          <w:color w:val="231F20"/>
        </w:rPr>
        <w:t>op</w:t>
      </w:r>
      <w:r>
        <w:rPr>
          <w:color w:val="231F20"/>
          <w:spacing w:val="17"/>
        </w:rPr>
        <w:t> </w:t>
      </w:r>
      <w:r>
        <w:rPr>
          <w:color w:val="231F20"/>
        </w:rPr>
        <w:t>de</w:t>
      </w:r>
      <w:r>
        <w:rPr>
          <w:color w:val="231F20"/>
          <w:spacing w:val="18"/>
        </w:rPr>
        <w:t> </w:t>
      </w:r>
      <w:r>
        <w:rPr>
          <w:color w:val="231F20"/>
        </w:rPr>
        <w:t>hoogte.</w:t>
      </w:r>
    </w:p>
    <w:p>
      <w:pPr>
        <w:pStyle w:val="BodyText"/>
        <w:spacing w:line="218" w:lineRule="auto" w:before="160"/>
      </w:pPr>
      <w:r>
        <w:rPr>
          <w:color w:val="231F20"/>
        </w:rPr>
        <w:t>Art. 3:90. Aan de ondernemingsraad wordt het bedrag van de honoraria van de commissarissen ter informatie medegedeeld. Deze honoraria vergoeden hun opdracht als commissaris en hun taak en opdrachten die zij vervullen krachtens de artikelen 3:83 tot 3:86. Op verzoek van de door de werknemers benoemde leden van de onder- nemingsraad, die daartoe hebben besloten bij meerderheid van de door hen uitgebrachte stemmen, legt de commissaris aan de ondernemings- raad een raming voor van de omvang van de prestaties vereist voor de vervulling van deze taak en van deze opdrachten.</w:t>
      </w:r>
    </w:p>
    <w:p>
      <w:pPr>
        <w:pStyle w:val="BodyText"/>
        <w:spacing w:line="218" w:lineRule="auto" w:before="161"/>
      </w:pPr>
      <w:r>
        <w:rPr>
          <w:color w:val="231F20"/>
        </w:rPr>
        <w:t>Art. 3:91. De commissaris kan in de loop van zijn mandaat slechts worden opgezegd op voorstel of op eensluidend advies van de ondernemingsraad die beslist bij meerderheid van de stemmen uitge- bracht door zijn leden en bij meerderheid van de stemmen uitgebracht door de leden benoemd door de werknemers.</w:t>
      </w:r>
    </w:p>
    <w:p>
      <w:pPr>
        <w:pStyle w:val="BodyText"/>
        <w:spacing w:line="218" w:lineRule="auto" w:before="160"/>
      </w:pPr>
      <w:r>
        <w:rPr>
          <w:color w:val="231F20"/>
        </w:rPr>
        <w:t>Dient een commissaris ontslag in, dan moet hij de ondernemingsraad schriftelijk kennis geven van de redenen voor zijn ontslag.</w:t>
      </w:r>
    </w:p>
    <w:p>
      <w:pPr>
        <w:pStyle w:val="BodyText"/>
        <w:spacing w:line="218" w:lineRule="auto" w:before="160"/>
      </w:pPr>
      <w:r>
        <w:rPr>
          <w:color w:val="231F20"/>
        </w:rPr>
        <w:t>Art. 3:92. Elk besluit inzake benoeming, vernieuwing van het mandaat of opzegging, zonder naleving van de artikelen 3:88 tot 3:91 is nietig. De nietigheid wordt uitgesproken door de voorzitter van de ondernemingsrechtbank van de zetel van de vennootschap, zitting houdend zoals in kortgeding.</w:t>
      </w:r>
    </w:p>
    <w:p>
      <w:pPr>
        <w:pStyle w:val="BodyText"/>
        <w:spacing w:before="146"/>
        <w:ind w:left="283" w:right="0" w:firstLine="0"/>
        <w:jc w:val="left"/>
      </w:pPr>
      <w:r>
        <w:rPr>
          <w:color w:val="231F20"/>
        </w:rPr>
        <w:t>Afdeling 3. Vennootschappen waar geen commissaris is aangesteld.</w:t>
      </w:r>
    </w:p>
    <w:p>
      <w:pPr>
        <w:pStyle w:val="BodyText"/>
        <w:spacing w:line="218" w:lineRule="auto" w:before="157"/>
      </w:pPr>
      <w:r>
        <w:rPr>
          <w:color w:val="231F20"/>
        </w:rPr>
        <w:t>Art. 3:93. In een vennootschap waar geen commissaris is aangesteld, wordt een bedrijfsrevisor die wordt belast met de taak bedoeld in de artikelen 3:83 tot 3:86, benoemd door de algemene vergadering.</w:t>
      </w:r>
    </w:p>
    <w:p>
      <w:pPr>
        <w:pStyle w:val="BodyText"/>
        <w:spacing w:line="218" w:lineRule="auto" w:before="160"/>
      </w:pPr>
      <w:r>
        <w:rPr>
          <w:color w:val="231F20"/>
        </w:rPr>
        <w:t>Art. 3:94. Tenzij in de gevallen waarin dit wetboek ervan afwijkt, zijn de artikelen 3:58 tot 3:71 van overeenkomstige toepassing op de bedrijfsrevisoren benoemd in vennootschappen waarin geen commis- saris is aangesteld.</w:t>
      </w:r>
    </w:p>
    <w:p>
      <w:pPr>
        <w:pStyle w:val="BodyText"/>
        <w:spacing w:line="218" w:lineRule="auto" w:before="160"/>
      </w:pPr>
      <w:r>
        <w:rPr>
          <w:color w:val="231F20"/>
        </w:rPr>
        <w:t>De voordracht, de vernieuwing van het mandaat en het ontslag van de bedrijfsrevisor gebeuren overeenkomstig de artikelen 3:88 tot</w:t>
      </w:r>
      <w:r>
        <w:rPr>
          <w:color w:val="231F20"/>
          <w:spacing w:val="10"/>
        </w:rPr>
        <w:t> </w:t>
      </w:r>
      <w:r>
        <w:rPr>
          <w:color w:val="231F20"/>
        </w:rPr>
        <w:t>3:92.</w:t>
      </w:r>
    </w:p>
    <w:p>
      <w:pPr>
        <w:pStyle w:val="BodyText"/>
        <w:spacing w:line="218" w:lineRule="auto" w:before="160"/>
      </w:pPr>
      <w:r>
        <w:rPr>
          <w:color w:val="231F20"/>
        </w:rPr>
        <w:t>Afdeling 4. Koninklijke besluiten met betrekking tot de controle op vennootschappen waar een ondernemingsraad werd opgericht.</w:t>
      </w:r>
    </w:p>
    <w:p>
      <w:pPr>
        <w:pStyle w:val="BodyText"/>
        <w:spacing w:line="218" w:lineRule="auto" w:before="160"/>
      </w:pPr>
      <w:r>
        <w:rPr>
          <w:color w:val="231F20"/>
        </w:rPr>
        <w:t>Art. 3:95 § 1. De Koning kan nadere regels vaststellen voor de toepassing van de artikelen 3:83 tot 3:94. Hij kan bepalen dat deze artikelen of sommige regels ervan slechts toepasselijk zijn in zover de ondernemingsraad terzake niet anders heeft beslist.</w:t>
      </w:r>
    </w:p>
    <w:p>
      <w:pPr>
        <w:pStyle w:val="BodyText"/>
        <w:spacing w:line="218" w:lineRule="auto" w:before="161"/>
      </w:pPr>
      <w:r>
        <w:rPr>
          <w:color w:val="231F20"/>
        </w:rPr>
        <w:t>§ 2. Alvorens de bij paragraaf 1 voorziene verordenende maatregelen te nemen wint de Koning het advies in van de Nationale Arbeidsraad   of van het bevoegde paritair comité of, bij ontstentenis ervan, van de representatieve organisaties van de ondernemingshoofden, van de werknemers en van de</w:t>
      </w:r>
      <w:r>
        <w:rPr>
          <w:color w:val="231F20"/>
          <w:spacing w:val="21"/>
        </w:rPr>
        <w:t> </w:t>
      </w:r>
      <w:r>
        <w:rPr>
          <w:color w:val="231F20"/>
        </w:rPr>
        <w:t>kaderleden.</w:t>
      </w:r>
    </w:p>
    <w:p>
      <w:pPr>
        <w:pStyle w:val="BodyText"/>
        <w:spacing w:line="218" w:lineRule="auto" w:before="160"/>
      </w:pPr>
      <w:r>
        <w:rPr>
          <w:color w:val="231F20"/>
        </w:rPr>
        <w:t>Wanneer die maatregelen, afgezien van het maatschappelijk aspect, kwesties van economisch belang doen rijzen, wint de Koning eveneens het advies in, hetzij van de Centrale Raad voor het bedrijfsleven, hetzij van de bevoegde bijzondere raadgevende commissie.</w:t>
      </w:r>
    </w:p>
    <w:p>
      <w:pPr>
        <w:pStyle w:val="BodyText"/>
        <w:spacing w:line="218" w:lineRule="auto" w:before="160"/>
      </w:pPr>
      <w:r>
        <w:rPr>
          <w:color w:val="231F20"/>
        </w:rPr>
        <w:t>De krachtens dit artikel geraadpleegde instellingen brengen hun advies uit binnen twee maanden volgend op het tot hen gericht  verzoek,</w:t>
      </w:r>
      <w:r>
        <w:rPr>
          <w:color w:val="231F20"/>
          <w:spacing w:val="18"/>
        </w:rPr>
        <w:t> </w:t>
      </w:r>
      <w:r>
        <w:rPr>
          <w:color w:val="231F20"/>
        </w:rPr>
        <w:t>bij</w:t>
      </w:r>
      <w:r>
        <w:rPr>
          <w:color w:val="231F20"/>
          <w:spacing w:val="18"/>
        </w:rPr>
        <w:t> </w:t>
      </w:r>
      <w:r>
        <w:rPr>
          <w:color w:val="231F20"/>
        </w:rPr>
        <w:t>gebreke</w:t>
      </w:r>
      <w:r>
        <w:rPr>
          <w:color w:val="231F20"/>
          <w:spacing w:val="18"/>
        </w:rPr>
        <w:t> </w:t>
      </w:r>
      <w:r>
        <w:rPr>
          <w:color w:val="231F20"/>
        </w:rPr>
        <w:t>waarvan</w:t>
      </w:r>
      <w:r>
        <w:rPr>
          <w:color w:val="231F20"/>
          <w:spacing w:val="19"/>
        </w:rPr>
        <w:t> </w:t>
      </w:r>
      <w:r>
        <w:rPr>
          <w:color w:val="231F20"/>
        </w:rPr>
        <w:t>er</w:t>
      </w:r>
      <w:r>
        <w:rPr>
          <w:color w:val="231F20"/>
          <w:spacing w:val="18"/>
        </w:rPr>
        <w:t> </w:t>
      </w:r>
      <w:r>
        <w:rPr>
          <w:color w:val="231F20"/>
        </w:rPr>
        <w:t>kan</w:t>
      </w:r>
      <w:r>
        <w:rPr>
          <w:color w:val="231F20"/>
          <w:spacing w:val="18"/>
        </w:rPr>
        <w:t> </w:t>
      </w:r>
      <w:r>
        <w:rPr>
          <w:color w:val="231F20"/>
        </w:rPr>
        <w:t>van</w:t>
      </w:r>
      <w:r>
        <w:rPr>
          <w:color w:val="231F20"/>
          <w:spacing w:val="18"/>
        </w:rPr>
        <w:t> </w:t>
      </w:r>
      <w:r>
        <w:rPr>
          <w:color w:val="231F20"/>
        </w:rPr>
        <w:t>afgezien</w:t>
      </w:r>
      <w:r>
        <w:rPr>
          <w:color w:val="231F20"/>
          <w:spacing w:val="19"/>
        </w:rPr>
        <w:t> </w:t>
      </w:r>
      <w:r>
        <w:rPr>
          <w:color w:val="231F20"/>
        </w:rPr>
        <w:t>worden.</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3016" from="298.170502pt,64.473pt" to="298.170502pt,812.819pt" stroked="true" strokeweight=".533pt" strokecolor="#231f20">
            <v:stroke dashstyle="solid"/>
            <w10:wrap type="none"/>
          </v:line>
        </w:pict>
      </w:r>
      <w:bookmarkStart w:name="_bookmark83" w:id="88"/>
      <w:bookmarkEnd w:id="88"/>
      <w:r>
        <w:rPr/>
      </w:r>
      <w:r>
        <w:rPr>
          <w:color w:val="231F20"/>
        </w:rPr>
        <w:t>CHAPITRE 5. Dispositions pénales.</w:t>
      </w:r>
    </w:p>
    <w:p>
      <w:pPr>
        <w:pStyle w:val="BodyText"/>
        <w:spacing w:line="218" w:lineRule="auto" w:before="124"/>
        <w:ind w:right="64"/>
      </w:pPr>
      <w:r>
        <w:rPr>
          <w:color w:val="231F20"/>
        </w:rPr>
        <w:t>Art. 3:96. Seront punis d’un emprisonnement d’un mois à un an et d’une amende de cinquante à dix mille euros, ou d’une de ces peines seulement:</w:t>
      </w:r>
    </w:p>
    <w:p>
      <w:pPr>
        <w:pStyle w:val="BodyText"/>
        <w:spacing w:line="218" w:lineRule="auto" w:before="128"/>
        <w:ind w:right="64"/>
      </w:pPr>
      <w:r>
        <w:rPr>
          <w:color w:val="231F20"/>
        </w:rPr>
        <w:t>1° les personnes qui au cours d’une période de deux années prenant cours à la date de la cessation de leurs fonctions de commissaires acceptent un mandat d’administrateur, de gérant ou toute autre fonction auprès de la société qui était soumise à leur contrôle, ou</w:t>
      </w:r>
      <w:r>
        <w:rPr>
          <w:color w:val="231F20"/>
          <w:spacing w:val="-26"/>
        </w:rPr>
        <w:t> </w:t>
      </w:r>
      <w:r>
        <w:rPr>
          <w:color w:val="231F20"/>
        </w:rPr>
        <w:t>auprès d’une</w:t>
      </w:r>
      <w:r>
        <w:rPr>
          <w:color w:val="231F20"/>
          <w:spacing w:val="14"/>
        </w:rPr>
        <w:t> </w:t>
      </w:r>
      <w:r>
        <w:rPr>
          <w:color w:val="231F20"/>
        </w:rPr>
        <w:t>personne</w:t>
      </w:r>
      <w:r>
        <w:rPr>
          <w:color w:val="231F20"/>
          <w:spacing w:val="14"/>
        </w:rPr>
        <w:t> </w:t>
      </w:r>
      <w:r>
        <w:rPr>
          <w:color w:val="231F20"/>
        </w:rPr>
        <w:t>liée</w:t>
      </w:r>
      <w:r>
        <w:rPr>
          <w:color w:val="231F20"/>
          <w:spacing w:val="15"/>
        </w:rPr>
        <w:t> </w:t>
      </w:r>
      <w:r>
        <w:rPr>
          <w:color w:val="231F20"/>
        </w:rPr>
        <w:t>à</w:t>
      </w:r>
      <w:r>
        <w:rPr>
          <w:color w:val="231F20"/>
          <w:spacing w:val="14"/>
        </w:rPr>
        <w:t> </w:t>
      </w:r>
      <w:r>
        <w:rPr>
          <w:color w:val="231F20"/>
        </w:rPr>
        <w:t>celle-ci</w:t>
      </w:r>
      <w:r>
        <w:rPr>
          <w:color w:val="231F20"/>
          <w:spacing w:val="14"/>
        </w:rPr>
        <w:t> </w:t>
      </w:r>
      <w:r>
        <w:rPr>
          <w:color w:val="231F20"/>
        </w:rPr>
        <w:t>au</w:t>
      </w:r>
      <w:r>
        <w:rPr>
          <w:color w:val="231F20"/>
          <w:spacing w:val="15"/>
        </w:rPr>
        <w:t> </w:t>
      </w:r>
      <w:r>
        <w:rPr>
          <w:color w:val="231F20"/>
        </w:rPr>
        <w:t>sens</w:t>
      </w:r>
      <w:r>
        <w:rPr>
          <w:color w:val="231F20"/>
          <w:spacing w:val="14"/>
        </w:rPr>
        <w:t> </w:t>
      </w:r>
      <w:r>
        <w:rPr>
          <w:color w:val="231F20"/>
        </w:rPr>
        <w:t>de</w:t>
      </w:r>
      <w:r>
        <w:rPr>
          <w:color w:val="231F20"/>
          <w:spacing w:val="14"/>
        </w:rPr>
        <w:t> </w:t>
      </w:r>
      <w:r>
        <w:rPr>
          <w:color w:val="231F20"/>
        </w:rPr>
        <w:t>l’article</w:t>
      </w:r>
      <w:r>
        <w:rPr>
          <w:color w:val="231F20"/>
          <w:spacing w:val="15"/>
        </w:rPr>
        <w:t> </w:t>
      </w:r>
      <w:r>
        <w:rPr>
          <w:color w:val="231F20"/>
        </w:rPr>
        <w:t>1:20;</w:t>
      </w:r>
    </w:p>
    <w:p>
      <w:pPr>
        <w:pStyle w:val="BodyText"/>
        <w:spacing w:before="9"/>
        <w:ind w:left="0" w:right="0" w:firstLine="0"/>
        <w:jc w:val="left"/>
        <w:rPr>
          <w:sz w:val="26"/>
        </w:rPr>
      </w:pPr>
    </w:p>
    <w:p>
      <w:pPr>
        <w:pStyle w:val="BodyText"/>
        <w:spacing w:line="218" w:lineRule="auto"/>
        <w:ind w:right="66"/>
      </w:pPr>
      <w:r>
        <w:rPr>
          <w:color w:val="231F20"/>
        </w:rPr>
        <w:t>2° les administrateurs, gérants et commissaires qui contreviennent à l’article 3:63;</w:t>
      </w:r>
    </w:p>
    <w:p>
      <w:pPr>
        <w:pStyle w:val="BodyText"/>
        <w:spacing w:line="218" w:lineRule="auto" w:before="128"/>
        <w:ind w:right="64"/>
      </w:pPr>
      <w:r>
        <w:rPr>
          <w:color w:val="231F20"/>
        </w:rPr>
        <w:t>3° ceux qui font obstacle aux vérifications auxquelles ils sont tenus de se soumettre en vertu du présent titre ou refusent de donner les renseignements qu’ils sont tenus de fournir en vertu du même titre ou qui donnent sciemment des renseignements inexacts ou incomplets.</w:t>
      </w:r>
    </w:p>
    <w:p>
      <w:pPr>
        <w:pStyle w:val="BodyText"/>
        <w:spacing w:line="218" w:lineRule="auto" w:before="114"/>
        <w:ind w:right="65"/>
      </w:pPr>
      <w:r>
        <w:rPr>
          <w:color w:val="231F20"/>
        </w:rPr>
        <w:t>Art. 3:97. § 1</w:t>
      </w:r>
      <w:r>
        <w:rPr>
          <w:color w:val="231F20"/>
          <w:position w:val="7"/>
          <w:sz w:val="11"/>
        </w:rPr>
        <w:t>er</w:t>
      </w:r>
      <w:r>
        <w:rPr>
          <w:color w:val="231F20"/>
        </w:rPr>
        <w:t>. Les membres de l’organe d’administration, directeurs ou mandataires de sociétés qui sciemment contreviennent aux disposi- tions du chapitre 2 du présent titre relatif au contrôle légal des comptes annuels ou du chapitre 3 du présent titre relatif au contrôle légal des comptes consolidés sont punis d’une amende  de  cinquante  à  dix  mille</w:t>
      </w:r>
      <w:r>
        <w:rPr>
          <w:color w:val="231F20"/>
          <w:spacing w:val="14"/>
        </w:rPr>
        <w:t> </w:t>
      </w:r>
      <w:r>
        <w:rPr>
          <w:color w:val="231F20"/>
        </w:rPr>
        <w:t>euros.</w:t>
      </w:r>
    </w:p>
    <w:p>
      <w:pPr>
        <w:pStyle w:val="BodyText"/>
        <w:spacing w:line="218" w:lineRule="auto" w:before="128"/>
        <w:ind w:right="64"/>
      </w:pPr>
      <w:r>
        <w:rPr>
          <w:color w:val="231F20"/>
        </w:rPr>
        <w:t>Ils seront punis d’un emprisonnement d’un mois à un an et d’une amende de cinquante à dix mille euros ou d’une de ces peines seulement, s’ils ont agi avec une intention frauduleuse.</w:t>
      </w:r>
    </w:p>
    <w:p>
      <w:pPr>
        <w:pStyle w:val="BodyText"/>
        <w:spacing w:line="216" w:lineRule="auto" w:before="129"/>
        <w:ind w:right="64"/>
      </w:pPr>
      <w:r>
        <w:rPr>
          <w:color w:val="231F20"/>
        </w:rPr>
        <w:t>§ 2. Ceux qui, en qualité de commissaire, de réviseur d’entreprises,</w:t>
      </w:r>
      <w:r>
        <w:rPr>
          <w:color w:val="231F20"/>
          <w:spacing w:val="-22"/>
        </w:rPr>
        <w:t> </w:t>
      </w:r>
      <w:r>
        <w:rPr>
          <w:color w:val="231F20"/>
        </w:rPr>
        <w:t>de cabinet d’audit enregistré ou d’expert indépendant, attestent ou approuvent des comptes, des comptes annuels, des bilans et des comptes de résultats de sociétés, lorsque les dispositions visées au paragraphe 1</w:t>
      </w:r>
      <w:r>
        <w:rPr>
          <w:color w:val="231F20"/>
          <w:position w:val="7"/>
          <w:sz w:val="11"/>
        </w:rPr>
        <w:t>er </w:t>
      </w:r>
      <w:r>
        <w:rPr>
          <w:color w:val="231F20"/>
        </w:rPr>
        <w:t>ne sont pas respectées, soit en sachant qu’elles ne l’avaient pas été, soit en n’ayant pas accompli les diligences normales pour s’assurer qu’elles avaient été respectées, seront punis d’une amende</w:t>
      </w:r>
      <w:r>
        <w:rPr>
          <w:color w:val="231F20"/>
          <w:spacing w:val="15"/>
        </w:rPr>
        <w:t> </w:t>
      </w:r>
      <w:r>
        <w:rPr>
          <w:color w:val="231F20"/>
        </w:rPr>
        <w:t>de</w:t>
      </w:r>
      <w:r>
        <w:rPr>
          <w:color w:val="231F20"/>
          <w:spacing w:val="15"/>
        </w:rPr>
        <w:t> </w:t>
      </w:r>
      <w:r>
        <w:rPr>
          <w:color w:val="231F20"/>
        </w:rPr>
        <w:t>cinquante</w:t>
      </w:r>
      <w:r>
        <w:rPr>
          <w:color w:val="231F20"/>
          <w:spacing w:val="15"/>
        </w:rPr>
        <w:t> </w:t>
      </w:r>
      <w:r>
        <w:rPr>
          <w:color w:val="231F20"/>
        </w:rPr>
        <w:t>à</w:t>
      </w:r>
      <w:r>
        <w:rPr>
          <w:color w:val="231F20"/>
          <w:spacing w:val="16"/>
        </w:rPr>
        <w:t> </w:t>
      </w:r>
      <w:r>
        <w:rPr>
          <w:color w:val="231F20"/>
        </w:rPr>
        <w:t>dix</w:t>
      </w:r>
      <w:r>
        <w:rPr>
          <w:color w:val="231F20"/>
          <w:spacing w:val="15"/>
        </w:rPr>
        <w:t> </w:t>
      </w:r>
      <w:r>
        <w:rPr>
          <w:color w:val="231F20"/>
        </w:rPr>
        <w:t>mille</w:t>
      </w:r>
      <w:r>
        <w:rPr>
          <w:color w:val="231F20"/>
          <w:spacing w:val="15"/>
        </w:rPr>
        <w:t> </w:t>
      </w:r>
      <w:r>
        <w:rPr>
          <w:color w:val="231F20"/>
        </w:rPr>
        <w:t>euros.</w:t>
      </w:r>
    </w:p>
    <w:p>
      <w:pPr>
        <w:pStyle w:val="BodyText"/>
        <w:spacing w:line="218" w:lineRule="auto" w:before="128"/>
        <w:ind w:right="64"/>
      </w:pPr>
      <w:r>
        <w:rPr>
          <w:color w:val="231F20"/>
        </w:rPr>
        <w:t>Ils seront punis d’un emprisonnement d’un mois à un an et d’une amende de cinquante à dix mille euros ou d’une de ces peines seulement, s’ils ont agi avec une intention frauduleuse.</w:t>
      </w:r>
    </w:p>
    <w:p>
      <w:pPr>
        <w:pStyle w:val="BodyText"/>
        <w:spacing w:line="211" w:lineRule="auto" w:before="133"/>
        <w:ind w:right="64"/>
      </w:pPr>
      <w:r>
        <w:rPr>
          <w:color w:val="231F20"/>
        </w:rPr>
        <w:t>§ 3. Les sociétés seront civilement responsables du paiement des amendes prononcées en vertu du paragraphe 1</w:t>
      </w:r>
      <w:r>
        <w:rPr>
          <w:color w:val="231F20"/>
          <w:position w:val="7"/>
          <w:sz w:val="11"/>
        </w:rPr>
        <w:t>er </w:t>
      </w:r>
      <w:r>
        <w:rPr>
          <w:color w:val="231F20"/>
        </w:rPr>
        <w:t>contre leurs membres de l’organe d’administration, directeurs ou mandataires.</w:t>
      </w:r>
    </w:p>
    <w:p>
      <w:pPr>
        <w:pStyle w:val="BodyText"/>
        <w:spacing w:before="112"/>
        <w:ind w:left="283" w:right="0" w:firstLine="0"/>
        <w:jc w:val="left"/>
      </w:pPr>
      <w:r>
        <w:rPr>
          <w:color w:val="231F20"/>
        </w:rPr>
        <w:t>TITRE 5. Le contrôle légal des comptes annuels des associations.</w:t>
      </w:r>
    </w:p>
    <w:p>
      <w:pPr>
        <w:pStyle w:val="BodyText"/>
        <w:ind w:left="0" w:right="0" w:firstLine="0"/>
        <w:jc w:val="left"/>
        <w:rPr>
          <w:sz w:val="26"/>
        </w:rPr>
      </w:pPr>
    </w:p>
    <w:p>
      <w:pPr>
        <w:pStyle w:val="BodyText"/>
        <w:spacing w:line="218" w:lineRule="auto"/>
        <w:ind w:right="65"/>
      </w:pPr>
      <w:r>
        <w:rPr>
          <w:color w:val="231F20"/>
        </w:rPr>
        <w:t>Art. 3:98. § 1</w:t>
      </w:r>
      <w:r>
        <w:rPr>
          <w:color w:val="231F20"/>
          <w:position w:val="7"/>
          <w:sz w:val="11"/>
        </w:rPr>
        <w:t>er</w:t>
      </w:r>
      <w:r>
        <w:rPr>
          <w:color w:val="231F20"/>
        </w:rPr>
        <w:t>. Par “contrôle légal des comptes”, il faut entendre un contrôle des comptes annuels, dans la mesure où ce contrôle est:</w:t>
      </w:r>
    </w:p>
    <w:p>
      <w:pPr>
        <w:pStyle w:val="BodyText"/>
        <w:spacing w:line="218" w:lineRule="auto" w:before="139"/>
        <w:ind w:right="65"/>
      </w:pPr>
      <w:r>
        <w:rPr>
          <w:color w:val="231F20"/>
        </w:rPr>
        <w:t>1° requis par le droit belge en ce qui concerne les associations visées  à</w:t>
      </w:r>
      <w:r>
        <w:rPr>
          <w:color w:val="231F20"/>
          <w:spacing w:val="14"/>
        </w:rPr>
        <w:t> </w:t>
      </w:r>
      <w:r>
        <w:rPr>
          <w:color w:val="231F20"/>
        </w:rPr>
        <w:t>l’article</w:t>
      </w:r>
      <w:r>
        <w:rPr>
          <w:color w:val="231F20"/>
          <w:spacing w:val="14"/>
        </w:rPr>
        <w:t> </w:t>
      </w:r>
      <w:r>
        <w:rPr>
          <w:color w:val="231F20"/>
        </w:rPr>
        <w:t>3:47,</w:t>
      </w:r>
      <w:r>
        <w:rPr>
          <w:color w:val="231F20"/>
          <w:spacing w:val="14"/>
        </w:rPr>
        <w:t> </w:t>
      </w:r>
      <w:r>
        <w:rPr>
          <w:color w:val="231F20"/>
        </w:rPr>
        <w:t>§</w:t>
      </w:r>
      <w:r>
        <w:rPr>
          <w:color w:val="231F20"/>
          <w:spacing w:val="14"/>
        </w:rPr>
        <w:t> </w:t>
      </w:r>
      <w:r>
        <w:rPr>
          <w:color w:val="231F20"/>
        </w:rPr>
        <w:t>6,</w:t>
      </w:r>
      <w:r>
        <w:rPr>
          <w:color w:val="231F20"/>
          <w:spacing w:val="14"/>
        </w:rPr>
        <w:t> </w:t>
      </w:r>
      <w:r>
        <w:rPr>
          <w:color w:val="231F20"/>
        </w:rPr>
        <w:t>applicable</w:t>
      </w:r>
      <w:r>
        <w:rPr>
          <w:color w:val="231F20"/>
          <w:spacing w:val="14"/>
        </w:rPr>
        <w:t> </w:t>
      </w:r>
      <w:r>
        <w:rPr>
          <w:color w:val="231F20"/>
        </w:rPr>
        <w:t>par</w:t>
      </w:r>
      <w:r>
        <w:rPr>
          <w:color w:val="231F20"/>
          <w:spacing w:val="14"/>
        </w:rPr>
        <w:t> </w:t>
      </w:r>
      <w:r>
        <w:rPr>
          <w:color w:val="231F20"/>
        </w:rPr>
        <w:t>analogie</w:t>
      </w:r>
      <w:r>
        <w:rPr>
          <w:color w:val="231F20"/>
          <w:spacing w:val="15"/>
        </w:rPr>
        <w:t> </w:t>
      </w:r>
      <w:r>
        <w:rPr>
          <w:color w:val="231F20"/>
        </w:rPr>
        <w:t>en</w:t>
      </w:r>
      <w:r>
        <w:rPr>
          <w:color w:val="231F20"/>
          <w:spacing w:val="14"/>
        </w:rPr>
        <w:t> </w:t>
      </w:r>
      <w:r>
        <w:rPr>
          <w:color w:val="231F20"/>
        </w:rPr>
        <w:t>vertu</w:t>
      </w:r>
      <w:r>
        <w:rPr>
          <w:color w:val="231F20"/>
          <w:spacing w:val="14"/>
        </w:rPr>
        <w:t> </w:t>
      </w:r>
      <w:r>
        <w:rPr>
          <w:color w:val="231F20"/>
        </w:rPr>
        <w:t>du</w:t>
      </w:r>
      <w:r>
        <w:rPr>
          <w:color w:val="231F20"/>
          <w:spacing w:val="14"/>
        </w:rPr>
        <w:t> </w:t>
      </w:r>
      <w:r>
        <w:rPr>
          <w:color w:val="231F20"/>
        </w:rPr>
        <w:t>paragraphe</w:t>
      </w:r>
      <w:r>
        <w:rPr>
          <w:color w:val="231F20"/>
          <w:spacing w:val="14"/>
        </w:rPr>
        <w:t> </w:t>
      </w:r>
      <w:r>
        <w:rPr>
          <w:color w:val="231F20"/>
        </w:rPr>
        <w:t>2;</w:t>
      </w:r>
    </w:p>
    <w:p>
      <w:pPr>
        <w:pStyle w:val="BodyText"/>
        <w:spacing w:before="8"/>
        <w:ind w:left="0" w:right="0" w:firstLine="0"/>
        <w:jc w:val="left"/>
        <w:rPr>
          <w:sz w:val="27"/>
        </w:rPr>
      </w:pPr>
    </w:p>
    <w:p>
      <w:pPr>
        <w:pStyle w:val="BodyText"/>
        <w:spacing w:line="218" w:lineRule="auto"/>
        <w:ind w:right="0"/>
        <w:jc w:val="left"/>
      </w:pPr>
      <w:r>
        <w:rPr>
          <w:color w:val="231F20"/>
        </w:rPr>
        <w:t>2° volontairement effectué à la demande de petites associations, lorsque cette mission est assortie de la publication du rapport visé à l’article 3:74.</w:t>
      </w:r>
    </w:p>
    <w:p>
      <w:pPr>
        <w:pStyle w:val="BodyText"/>
        <w:spacing w:line="192" w:lineRule="exact" w:before="110"/>
        <w:ind w:left="283" w:right="0" w:firstLine="0"/>
        <w:jc w:val="left"/>
      </w:pPr>
      <w:r>
        <w:rPr>
          <w:color w:val="231F20"/>
        </w:rPr>
        <w:t>§ 2. Les articles 3:56 à 3:64, 3:65, §§ 1</w:t>
      </w:r>
      <w:r>
        <w:rPr>
          <w:color w:val="231F20"/>
          <w:position w:val="7"/>
          <w:sz w:val="11"/>
        </w:rPr>
        <w:t>er </w:t>
      </w:r>
      <w:r>
        <w:rPr>
          <w:color w:val="231F20"/>
        </w:rPr>
        <w:t>à 6, 3:66 à 3:71, 3:73 à 3:75, à</w:t>
      </w:r>
    </w:p>
    <w:p>
      <w:pPr>
        <w:pStyle w:val="BodyText"/>
        <w:spacing w:line="213" w:lineRule="auto" w:before="1"/>
        <w:ind w:right="64" w:firstLine="0"/>
      </w:pPr>
      <w:r>
        <w:rPr>
          <w:color w:val="231F20"/>
        </w:rPr>
        <w:t>l’exception des articles 3:61, §§ 2 et 3, 3:63, § 3 et de l’article 3:75, § 1</w:t>
      </w:r>
      <w:r>
        <w:rPr>
          <w:color w:val="231F20"/>
          <w:position w:val="7"/>
          <w:sz w:val="11"/>
        </w:rPr>
        <w:t>er</w:t>
      </w:r>
      <w:r>
        <w:rPr>
          <w:color w:val="231F20"/>
        </w:rPr>
        <w:t>, alinéa 1</w:t>
      </w:r>
      <w:r>
        <w:rPr>
          <w:color w:val="231F20"/>
          <w:position w:val="7"/>
          <w:sz w:val="11"/>
        </w:rPr>
        <w:t>er</w:t>
      </w:r>
      <w:r>
        <w:rPr>
          <w:color w:val="231F20"/>
        </w:rPr>
        <w:t>, 6° et 8°, sont applicables par analogie aux ASBL et AISBL qui ont nommé un commissaire. Pour les besoins du présent article, le terme “société” utilisé dans les articles précités doit s’entendre comme étant “association”.</w:t>
      </w:r>
    </w:p>
    <w:p>
      <w:pPr>
        <w:pStyle w:val="BodyText"/>
        <w:spacing w:before="126"/>
        <w:ind w:left="283" w:right="0" w:firstLine="0"/>
        <w:jc w:val="left"/>
      </w:pPr>
      <w:r>
        <w:rPr>
          <w:color w:val="231F20"/>
        </w:rPr>
        <w:t>TITRE 6. Le contrôle légal des comptes annuels des fondations.</w:t>
      </w:r>
    </w:p>
    <w:p>
      <w:pPr>
        <w:pStyle w:val="BodyText"/>
        <w:spacing w:line="218" w:lineRule="auto" w:before="120"/>
        <w:ind w:right="65"/>
      </w:pPr>
      <w:r>
        <w:rPr>
          <w:color w:val="231F20"/>
        </w:rPr>
        <w:t>Art. 3:99. § 1</w:t>
      </w:r>
      <w:r>
        <w:rPr>
          <w:color w:val="231F20"/>
          <w:position w:val="7"/>
          <w:sz w:val="11"/>
        </w:rPr>
        <w:t>er</w:t>
      </w:r>
      <w:r>
        <w:rPr>
          <w:color w:val="231F20"/>
        </w:rPr>
        <w:t>. Par “contrôle légal des comptes”, il faut entendre un contrôle des comptes annuels, dans la mesure où ce contrôle est:</w:t>
      </w:r>
    </w:p>
    <w:p>
      <w:pPr>
        <w:pStyle w:val="BodyText"/>
        <w:spacing w:line="218" w:lineRule="auto" w:before="139"/>
        <w:ind w:right="64"/>
      </w:pPr>
      <w:r>
        <w:rPr>
          <w:color w:val="231F20"/>
        </w:rPr>
        <w:t>1° requis par le droit belge en ce qui concerne les fondations visés à l’article 3:51, § 6, applicable par analogie en vertu du paragraphe 2 ou;</w:t>
      </w:r>
    </w:p>
    <w:p>
      <w:pPr>
        <w:pStyle w:val="BodyText"/>
        <w:spacing w:before="8"/>
        <w:ind w:left="0" w:right="0" w:firstLine="0"/>
        <w:jc w:val="left"/>
        <w:rPr>
          <w:sz w:val="27"/>
        </w:rPr>
      </w:pPr>
    </w:p>
    <w:p>
      <w:pPr>
        <w:pStyle w:val="BodyText"/>
        <w:spacing w:line="218" w:lineRule="auto"/>
        <w:ind w:right="24"/>
        <w:jc w:val="left"/>
      </w:pPr>
      <w:r>
        <w:rPr>
          <w:color w:val="231F20"/>
        </w:rPr>
        <w:t>2° volontairement effectué à la demande de petites fondations, lorsque cette mission est assortie de la publication du rapport </w:t>
      </w:r>
      <w:r>
        <w:rPr>
          <w:color w:val="231F20"/>
          <w:spacing w:val="6"/>
        </w:rPr>
        <w:t>visé </w:t>
      </w:r>
      <w:r>
        <w:rPr>
          <w:color w:val="231F20"/>
        </w:rPr>
        <w:t>à l’article</w:t>
      </w:r>
      <w:r>
        <w:rPr>
          <w:color w:val="231F20"/>
          <w:spacing w:val="14"/>
        </w:rPr>
        <w:t> </w:t>
      </w:r>
      <w:r>
        <w:rPr>
          <w:color w:val="231F20"/>
        </w:rPr>
        <w:t>3:74.</w:t>
      </w:r>
    </w:p>
    <w:p>
      <w:pPr>
        <w:pStyle w:val="BodyText"/>
        <w:spacing w:line="192" w:lineRule="exact" w:before="110"/>
        <w:ind w:left="283" w:right="0" w:firstLine="0"/>
        <w:jc w:val="left"/>
      </w:pPr>
      <w:r>
        <w:rPr>
          <w:color w:val="231F20"/>
        </w:rPr>
        <w:t>§ 2. Les articles 3:56 à 3:64, 3:65, §§ 1</w:t>
      </w:r>
      <w:r>
        <w:rPr>
          <w:color w:val="231F20"/>
          <w:position w:val="7"/>
          <w:sz w:val="11"/>
        </w:rPr>
        <w:t>er </w:t>
      </w:r>
      <w:r>
        <w:rPr>
          <w:color w:val="231F20"/>
        </w:rPr>
        <w:t>à 6, 3:66 à 3:71, 3:73 à 3:75, à</w:t>
      </w:r>
    </w:p>
    <w:p>
      <w:pPr>
        <w:pStyle w:val="BodyText"/>
        <w:spacing w:line="216" w:lineRule="auto"/>
        <w:ind w:right="64" w:firstLine="0"/>
      </w:pPr>
      <w:r>
        <w:rPr>
          <w:color w:val="231F20"/>
        </w:rPr>
        <w:t>l’exception des articles 3:61, §§ 2 et 3, 3:63, § 3 et de l’article 3:75, § 1</w:t>
      </w:r>
      <w:r>
        <w:rPr>
          <w:color w:val="231F20"/>
          <w:position w:val="7"/>
          <w:sz w:val="11"/>
        </w:rPr>
        <w:t>er</w:t>
      </w:r>
      <w:r>
        <w:rPr>
          <w:color w:val="231F20"/>
        </w:rPr>
        <w:t>, alinéa 1</w:t>
      </w:r>
      <w:r>
        <w:rPr>
          <w:color w:val="231F20"/>
          <w:position w:val="7"/>
          <w:sz w:val="11"/>
        </w:rPr>
        <w:t>er</w:t>
      </w:r>
      <w:r>
        <w:rPr>
          <w:color w:val="231F20"/>
        </w:rPr>
        <w:t>, 6° et 8°, sont applicables par analogie aux fondations qui ont nommé un commissaire. Pour les besoins du présent article, les termes “société” et “assemblée générale” utilisés dans les articles précités doivent s’entendre comme étant respectivement “fondation” et “organe d’administration”.</w:t>
      </w:r>
    </w:p>
    <w:p>
      <w:pPr>
        <w:pStyle w:val="BodyText"/>
        <w:spacing w:before="105"/>
        <w:ind w:left="283" w:right="0" w:firstLine="0"/>
        <w:jc w:val="left"/>
      </w:pPr>
      <w:r>
        <w:rPr/>
        <w:br w:type="column"/>
      </w:r>
      <w:r>
        <w:rPr>
          <w:color w:val="231F20"/>
        </w:rPr>
        <w:t>HOOFDSTUK 5. Strafbepalingen.</w:t>
      </w:r>
    </w:p>
    <w:p>
      <w:pPr>
        <w:pStyle w:val="BodyText"/>
        <w:spacing w:line="218" w:lineRule="auto" w:before="125"/>
      </w:pPr>
      <w:r>
        <w:rPr>
          <w:color w:val="231F20"/>
        </w:rPr>
        <w:t>Art. 3:96. Met gevangenisstraf van een maand tot een jaar en met geldboete van vijftig tot tienduizend euro of met een van die straffen alleen worden gestraft:</w:t>
      </w:r>
    </w:p>
    <w:p>
      <w:pPr>
        <w:pStyle w:val="BodyText"/>
        <w:spacing w:line="218" w:lineRule="auto" w:before="128"/>
      </w:pPr>
      <w:r>
        <w:rPr>
          <w:color w:val="231F20"/>
        </w:rPr>
        <w:t>1° de personen die in de loop van een periode van twee </w:t>
      </w:r>
      <w:r>
        <w:rPr>
          <w:color w:val="231F20"/>
          <w:spacing w:val="-3"/>
        </w:rPr>
        <w:t>jaar, </w:t>
      </w:r>
      <w:r>
        <w:rPr>
          <w:color w:val="231F20"/>
        </w:rPr>
        <w:t>die ingaat vanaf het einde van hun mandaat van commissaris, een mandaat aanvaarden van bestuurder, zaakvoerder of enige andere functie in de vennootschap die was onderworpen aan hun toezicht of in een  daarmee verbonden vennootschap of persoon zoals  bepaald  in  arti- kel</w:t>
      </w:r>
      <w:r>
        <w:rPr>
          <w:color w:val="231F20"/>
          <w:spacing w:val="14"/>
        </w:rPr>
        <w:t> </w:t>
      </w:r>
      <w:r>
        <w:rPr>
          <w:color w:val="231F20"/>
        </w:rPr>
        <w:t>1:20;</w:t>
      </w:r>
    </w:p>
    <w:p>
      <w:pPr>
        <w:pStyle w:val="BodyText"/>
        <w:spacing w:line="218" w:lineRule="auto" w:before="129"/>
        <w:ind w:right="126"/>
      </w:pPr>
      <w:r>
        <w:rPr>
          <w:color w:val="231F20"/>
        </w:rPr>
        <w:t>2°  de  bestuurders,  zaakvoerders  en  commissarissen   die   arti-   kel 3:63</w:t>
      </w:r>
      <w:r>
        <w:rPr>
          <w:color w:val="231F20"/>
          <w:spacing w:val="-13"/>
        </w:rPr>
        <w:t> </w:t>
      </w:r>
      <w:r>
        <w:rPr>
          <w:color w:val="231F20"/>
        </w:rPr>
        <w:t>overtreden;</w:t>
      </w:r>
    </w:p>
    <w:p>
      <w:pPr>
        <w:pStyle w:val="BodyText"/>
        <w:spacing w:line="218" w:lineRule="auto" w:before="128"/>
      </w:pPr>
      <w:r>
        <w:rPr>
          <w:color w:val="231F20"/>
        </w:rPr>
        <w:t>3° zij die de verificaties verhinderen waaraan zij zich moeten onderwerpen krachtens deze titel of weigeren de inlichtingen te verstrekken die zij krachtens deze titel moeten geven of die bewust onjuiste of onvolledige inlichtingen verstrekken.</w:t>
      </w:r>
    </w:p>
    <w:p>
      <w:pPr>
        <w:pStyle w:val="BodyText"/>
        <w:spacing w:line="218" w:lineRule="auto" w:before="128"/>
      </w:pPr>
      <w:r>
        <w:rPr>
          <w:color w:val="231F20"/>
        </w:rPr>
        <w:t>Art. 3:97. § 1. De leden van het bestuursorgaan, directeurs en lasthebbers van vennootschappen die wetens de bepalingen overtreden van hoofdstuk 2 van deze titel met betrekking tot de wettelijke controle op de jaarrekening of van hoofdstuk 3 van deze titel met betrekking tot de wettelijke controle op de geconsolideerde jaarrekening, worden gestraft met geldboete van vijftig euro tot tienduizend euro.</w:t>
      </w:r>
    </w:p>
    <w:p>
      <w:pPr>
        <w:pStyle w:val="BodyText"/>
        <w:spacing w:line="218" w:lineRule="auto" w:before="128"/>
      </w:pPr>
      <w:r>
        <w:rPr>
          <w:color w:val="231F20"/>
        </w:rPr>
        <w:t>Zij worden gestraft met gevangenisstraf van een maand tot een jaar en met geldboete van vijftig tot tienduizend euro of met één van die straffen alleen, als zij met bedrieglijk opzet hebben gehandeld.</w:t>
      </w:r>
    </w:p>
    <w:p>
      <w:pPr>
        <w:pStyle w:val="BodyText"/>
        <w:spacing w:line="218" w:lineRule="auto" w:before="129"/>
        <w:ind w:right="123"/>
      </w:pPr>
      <w:r>
        <w:rPr>
          <w:color w:val="231F20"/>
        </w:rPr>
        <w:t>§ 2. Zij die als commissaris, bedrijfsrevisor, geregistreerd auditkan- toor of onafhankelijk deskundige rekeningen, jaarrekeningen, balansen en resultatenrekeningen of geconsolideerde jaarrekeningen van ven- nootschappen attesteren of goedkeuren, terwijl niet is voldaan aan de bepalingen bedoeld in paragraaf 1, en zij daarvan kennis hebben, of, niet hebben gedaan wat zij hadden moeten doen om zich te vergewis- sen of aan die bepalingen is voldaan, worden gestraft met geldboete  van</w:t>
      </w:r>
      <w:r>
        <w:rPr>
          <w:color w:val="231F20"/>
          <w:spacing w:val="15"/>
        </w:rPr>
        <w:t> </w:t>
      </w:r>
      <w:r>
        <w:rPr>
          <w:color w:val="231F20"/>
        </w:rPr>
        <w:t>vijftig</w:t>
      </w:r>
      <w:r>
        <w:rPr>
          <w:color w:val="231F20"/>
          <w:spacing w:val="16"/>
        </w:rPr>
        <w:t> </w:t>
      </w:r>
      <w:r>
        <w:rPr>
          <w:color w:val="231F20"/>
        </w:rPr>
        <w:t>euro</w:t>
      </w:r>
      <w:r>
        <w:rPr>
          <w:color w:val="231F20"/>
          <w:spacing w:val="15"/>
        </w:rPr>
        <w:t> </w:t>
      </w:r>
      <w:r>
        <w:rPr>
          <w:color w:val="231F20"/>
        </w:rPr>
        <w:t>tot</w:t>
      </w:r>
      <w:r>
        <w:rPr>
          <w:color w:val="231F20"/>
          <w:spacing w:val="16"/>
        </w:rPr>
        <w:t> </w:t>
      </w:r>
      <w:r>
        <w:rPr>
          <w:color w:val="231F20"/>
        </w:rPr>
        <w:t>tienduizend</w:t>
      </w:r>
      <w:r>
        <w:rPr>
          <w:color w:val="231F20"/>
          <w:spacing w:val="16"/>
        </w:rPr>
        <w:t> </w:t>
      </w:r>
      <w:r>
        <w:rPr>
          <w:color w:val="231F20"/>
        </w:rPr>
        <w:t>euro.</w:t>
      </w:r>
    </w:p>
    <w:p>
      <w:pPr>
        <w:pStyle w:val="BodyText"/>
        <w:spacing w:line="218" w:lineRule="auto" w:before="128"/>
      </w:pPr>
      <w:r>
        <w:rPr>
          <w:color w:val="231F20"/>
        </w:rPr>
        <w:t>Zij worden gestraft met gevangenisstraf van een maand tot een jaar en met geldboete van vijftig euro tot tienduizend euro of met een van die straffen alleen, als zij met bedrieglijk opzet hebben gehandeld.</w:t>
      </w:r>
    </w:p>
    <w:p>
      <w:pPr>
        <w:pStyle w:val="BodyText"/>
        <w:spacing w:line="218" w:lineRule="auto" w:before="128"/>
      </w:pPr>
      <w:r>
        <w:rPr>
          <w:color w:val="231F20"/>
        </w:rPr>
        <w:t>§ 3. De vennootschappen zijn burgerrechtelijk aansprakelijk voor het betalen van de geldboetes waartoe hun leden van het bestuursorgaan, directeurs of lasthebbers krachtens paragraaf 1 veroordeeld zijn.</w:t>
      </w:r>
    </w:p>
    <w:p>
      <w:pPr>
        <w:pStyle w:val="BodyText"/>
        <w:spacing w:line="218" w:lineRule="auto" w:before="128"/>
      </w:pPr>
      <w:r>
        <w:rPr>
          <w:color w:val="231F20"/>
        </w:rPr>
        <w:t>TITEL 5. De wettelijke controle van de jaarrekening van verenigin- gen.</w:t>
      </w:r>
    </w:p>
    <w:p>
      <w:pPr>
        <w:pStyle w:val="BodyText"/>
        <w:spacing w:line="218" w:lineRule="auto" w:before="139"/>
      </w:pPr>
      <w:r>
        <w:rPr>
          <w:color w:val="231F20"/>
        </w:rPr>
        <w:t>Art. 3:98. § 1. Onder “wettelijke controle van de jaarrekening” wordt verstaan, een controle van de jaarrekening, voor zover deze controle:</w:t>
      </w:r>
    </w:p>
    <w:p>
      <w:pPr>
        <w:pStyle w:val="BodyText"/>
        <w:spacing w:line="218" w:lineRule="auto" w:before="139"/>
      </w:pPr>
      <w:r>
        <w:rPr>
          <w:color w:val="231F20"/>
        </w:rPr>
        <w:t>1° door het Belgisch recht wordt voorgeschreven met betrekking tot verenigingen als bedoeld in artikel 3:47, § 6, overeenkomstig toegepast krachtens paragraaf 2;</w:t>
      </w:r>
    </w:p>
    <w:p>
      <w:pPr>
        <w:pStyle w:val="BodyText"/>
        <w:spacing w:line="218" w:lineRule="auto" w:before="139"/>
      </w:pPr>
      <w:r>
        <w:rPr>
          <w:color w:val="231F20"/>
        </w:rPr>
        <w:t>2° op vrijwillige basis op verzoek van kleine verenigingen wordt uitgevoerd, wanneer deze opdracht gepaard gaat met de bekendma- king van het verslag bedoeld in artikel 3:74.</w:t>
      </w:r>
    </w:p>
    <w:p>
      <w:pPr>
        <w:pStyle w:val="BodyText"/>
        <w:spacing w:line="218" w:lineRule="auto" w:before="139"/>
      </w:pPr>
      <w:r>
        <w:rPr>
          <w:color w:val="231F20"/>
        </w:rPr>
        <w:t>§</w:t>
      </w:r>
      <w:r>
        <w:rPr>
          <w:color w:val="231F20"/>
          <w:spacing w:val="-18"/>
        </w:rPr>
        <w:t> </w:t>
      </w:r>
      <w:r>
        <w:rPr>
          <w:color w:val="231F20"/>
        </w:rPr>
        <w:t>2.</w:t>
      </w:r>
      <w:r>
        <w:rPr>
          <w:color w:val="231F20"/>
          <w:spacing w:val="-18"/>
        </w:rPr>
        <w:t> </w:t>
      </w:r>
      <w:r>
        <w:rPr>
          <w:color w:val="231F20"/>
        </w:rPr>
        <w:t>De</w:t>
      </w:r>
      <w:r>
        <w:rPr>
          <w:color w:val="231F20"/>
          <w:spacing w:val="-18"/>
        </w:rPr>
        <w:t> </w:t>
      </w:r>
      <w:r>
        <w:rPr>
          <w:color w:val="231F20"/>
        </w:rPr>
        <w:t>artikelen</w:t>
      </w:r>
      <w:r>
        <w:rPr>
          <w:color w:val="231F20"/>
          <w:spacing w:val="-18"/>
        </w:rPr>
        <w:t> </w:t>
      </w:r>
      <w:r>
        <w:rPr>
          <w:color w:val="231F20"/>
        </w:rPr>
        <w:t>3:56</w:t>
      </w:r>
      <w:r>
        <w:rPr>
          <w:color w:val="231F20"/>
          <w:spacing w:val="-17"/>
        </w:rPr>
        <w:t> </w:t>
      </w:r>
      <w:r>
        <w:rPr>
          <w:color w:val="231F20"/>
        </w:rPr>
        <w:t>tot</w:t>
      </w:r>
      <w:r>
        <w:rPr>
          <w:color w:val="231F20"/>
          <w:spacing w:val="-18"/>
        </w:rPr>
        <w:t> </w:t>
      </w:r>
      <w:r>
        <w:rPr>
          <w:color w:val="231F20"/>
        </w:rPr>
        <w:t>3:64,</w:t>
      </w:r>
      <w:r>
        <w:rPr>
          <w:color w:val="231F20"/>
          <w:spacing w:val="-18"/>
        </w:rPr>
        <w:t> </w:t>
      </w:r>
      <w:r>
        <w:rPr>
          <w:color w:val="231F20"/>
        </w:rPr>
        <w:t>3:65,</w:t>
      </w:r>
      <w:r>
        <w:rPr>
          <w:color w:val="231F20"/>
          <w:spacing w:val="-18"/>
        </w:rPr>
        <w:t> </w:t>
      </w:r>
      <w:r>
        <w:rPr>
          <w:color w:val="231F20"/>
        </w:rPr>
        <w:t>§§</w:t>
      </w:r>
      <w:r>
        <w:rPr>
          <w:color w:val="231F20"/>
          <w:spacing w:val="-17"/>
        </w:rPr>
        <w:t> </w:t>
      </w:r>
      <w:r>
        <w:rPr>
          <w:color w:val="231F20"/>
        </w:rPr>
        <w:t>1</w:t>
      </w:r>
      <w:r>
        <w:rPr>
          <w:color w:val="231F20"/>
          <w:spacing w:val="-18"/>
        </w:rPr>
        <w:t> </w:t>
      </w:r>
      <w:r>
        <w:rPr>
          <w:color w:val="231F20"/>
        </w:rPr>
        <w:t>tot</w:t>
      </w:r>
      <w:r>
        <w:rPr>
          <w:color w:val="231F20"/>
          <w:spacing w:val="-18"/>
        </w:rPr>
        <w:t> </w:t>
      </w:r>
      <w:r>
        <w:rPr>
          <w:color w:val="231F20"/>
        </w:rPr>
        <w:t>6,</w:t>
      </w:r>
      <w:r>
        <w:rPr>
          <w:color w:val="231F20"/>
          <w:spacing w:val="-18"/>
        </w:rPr>
        <w:t> </w:t>
      </w:r>
      <w:r>
        <w:rPr>
          <w:color w:val="231F20"/>
        </w:rPr>
        <w:t>3:66</w:t>
      </w:r>
      <w:r>
        <w:rPr>
          <w:color w:val="231F20"/>
          <w:spacing w:val="-17"/>
        </w:rPr>
        <w:t> </w:t>
      </w:r>
      <w:r>
        <w:rPr>
          <w:color w:val="231F20"/>
        </w:rPr>
        <w:t>tot</w:t>
      </w:r>
      <w:r>
        <w:rPr>
          <w:color w:val="231F20"/>
          <w:spacing w:val="-18"/>
        </w:rPr>
        <w:t> </w:t>
      </w:r>
      <w:r>
        <w:rPr>
          <w:color w:val="231F20"/>
        </w:rPr>
        <w:t>3:71,</w:t>
      </w:r>
      <w:r>
        <w:rPr>
          <w:color w:val="231F20"/>
          <w:spacing w:val="-18"/>
        </w:rPr>
        <w:t> </w:t>
      </w:r>
      <w:r>
        <w:rPr>
          <w:color w:val="231F20"/>
        </w:rPr>
        <w:t>3:73</w:t>
      </w:r>
      <w:r>
        <w:rPr>
          <w:color w:val="231F20"/>
          <w:spacing w:val="-18"/>
        </w:rPr>
        <w:t> </w:t>
      </w:r>
      <w:r>
        <w:rPr>
          <w:color w:val="231F20"/>
        </w:rPr>
        <w:t>tot</w:t>
      </w:r>
      <w:r>
        <w:rPr>
          <w:color w:val="231F20"/>
          <w:spacing w:val="-17"/>
        </w:rPr>
        <w:t> </w:t>
      </w:r>
      <w:r>
        <w:rPr>
          <w:color w:val="231F20"/>
        </w:rPr>
        <w:t>3:75, met uitzondering van de artikelen 3:61, §§ 2 en 3, en 3:63, § 3 en van artikel</w:t>
      </w:r>
      <w:r>
        <w:rPr>
          <w:color w:val="231F20"/>
          <w:spacing w:val="-6"/>
        </w:rPr>
        <w:t> </w:t>
      </w:r>
      <w:r>
        <w:rPr>
          <w:color w:val="231F20"/>
        </w:rPr>
        <w:t>3:75,</w:t>
      </w:r>
      <w:r>
        <w:rPr>
          <w:color w:val="231F20"/>
          <w:spacing w:val="-6"/>
        </w:rPr>
        <w:t> </w:t>
      </w:r>
      <w:r>
        <w:rPr>
          <w:color w:val="231F20"/>
        </w:rPr>
        <w:t>§</w:t>
      </w:r>
      <w:r>
        <w:rPr>
          <w:color w:val="231F20"/>
          <w:spacing w:val="-5"/>
        </w:rPr>
        <w:t> </w:t>
      </w:r>
      <w:r>
        <w:rPr>
          <w:color w:val="231F20"/>
        </w:rPr>
        <w:t>1,</w:t>
      </w:r>
      <w:r>
        <w:rPr>
          <w:color w:val="231F20"/>
          <w:spacing w:val="-6"/>
        </w:rPr>
        <w:t> </w:t>
      </w:r>
      <w:r>
        <w:rPr>
          <w:color w:val="231F20"/>
        </w:rPr>
        <w:t>eerste</w:t>
      </w:r>
      <w:r>
        <w:rPr>
          <w:color w:val="231F20"/>
          <w:spacing w:val="-5"/>
        </w:rPr>
        <w:t> </w:t>
      </w:r>
      <w:r>
        <w:rPr>
          <w:color w:val="231F20"/>
        </w:rPr>
        <w:t>lid,</w:t>
      </w:r>
      <w:r>
        <w:rPr>
          <w:color w:val="231F20"/>
          <w:spacing w:val="-6"/>
        </w:rPr>
        <w:t> </w:t>
      </w:r>
      <w:r>
        <w:rPr>
          <w:color w:val="231F20"/>
        </w:rPr>
        <w:t>6°</w:t>
      </w:r>
      <w:r>
        <w:rPr>
          <w:color w:val="231F20"/>
          <w:spacing w:val="-6"/>
        </w:rPr>
        <w:t> </w:t>
      </w:r>
      <w:r>
        <w:rPr>
          <w:color w:val="231F20"/>
        </w:rPr>
        <w:t>en</w:t>
      </w:r>
      <w:r>
        <w:rPr>
          <w:color w:val="231F20"/>
          <w:spacing w:val="-5"/>
        </w:rPr>
        <w:t> </w:t>
      </w:r>
      <w:r>
        <w:rPr>
          <w:color w:val="231F20"/>
        </w:rPr>
        <w:t>8°,</w:t>
      </w:r>
      <w:r>
        <w:rPr>
          <w:color w:val="231F20"/>
          <w:spacing w:val="-6"/>
        </w:rPr>
        <w:t> </w:t>
      </w:r>
      <w:r>
        <w:rPr>
          <w:color w:val="231F20"/>
        </w:rPr>
        <w:t>zijn</w:t>
      </w:r>
      <w:r>
        <w:rPr>
          <w:color w:val="231F20"/>
          <w:spacing w:val="-5"/>
        </w:rPr>
        <w:t> </w:t>
      </w:r>
      <w:r>
        <w:rPr>
          <w:color w:val="231F20"/>
        </w:rPr>
        <w:t>van</w:t>
      </w:r>
      <w:r>
        <w:rPr>
          <w:color w:val="231F20"/>
          <w:spacing w:val="-6"/>
        </w:rPr>
        <w:t> </w:t>
      </w:r>
      <w:r>
        <w:rPr>
          <w:color w:val="231F20"/>
        </w:rPr>
        <w:t>overeenkomstige</w:t>
      </w:r>
      <w:r>
        <w:rPr>
          <w:color w:val="231F20"/>
          <w:spacing w:val="-5"/>
        </w:rPr>
        <w:t> </w:t>
      </w:r>
      <w:r>
        <w:rPr>
          <w:color w:val="231F20"/>
        </w:rPr>
        <w:t>toepassing op de VZW’s en IVZW’s die een commissaris hebben benoemd. </w:t>
      </w:r>
      <w:r>
        <w:rPr>
          <w:color w:val="231F20"/>
          <w:spacing w:val="-6"/>
        </w:rPr>
        <w:t>Ten </w:t>
      </w:r>
      <w:r>
        <w:rPr>
          <w:color w:val="231F20"/>
        </w:rPr>
        <w:t>behoeve van dit artikel moet het woord “vennootschap”, aangewend in voornoemde</w:t>
      </w:r>
      <w:r>
        <w:rPr>
          <w:color w:val="231F20"/>
          <w:spacing w:val="18"/>
        </w:rPr>
        <w:t> </w:t>
      </w:r>
      <w:r>
        <w:rPr>
          <w:color w:val="231F20"/>
        </w:rPr>
        <w:t>artikelen,</w:t>
      </w:r>
      <w:r>
        <w:rPr>
          <w:color w:val="231F20"/>
          <w:spacing w:val="19"/>
        </w:rPr>
        <w:t> </w:t>
      </w:r>
      <w:r>
        <w:rPr>
          <w:color w:val="231F20"/>
        </w:rPr>
        <w:t>worden</w:t>
      </w:r>
      <w:r>
        <w:rPr>
          <w:color w:val="231F20"/>
          <w:spacing w:val="18"/>
        </w:rPr>
        <w:t> </w:t>
      </w:r>
      <w:r>
        <w:rPr>
          <w:color w:val="231F20"/>
        </w:rPr>
        <w:t>begrepen</w:t>
      </w:r>
      <w:r>
        <w:rPr>
          <w:color w:val="231F20"/>
          <w:spacing w:val="19"/>
        </w:rPr>
        <w:t> </w:t>
      </w:r>
      <w:r>
        <w:rPr>
          <w:color w:val="231F20"/>
        </w:rPr>
        <w:t>als</w:t>
      </w:r>
      <w:r>
        <w:rPr>
          <w:color w:val="231F20"/>
          <w:spacing w:val="19"/>
        </w:rPr>
        <w:t> </w:t>
      </w:r>
      <w:r>
        <w:rPr>
          <w:color w:val="231F20"/>
        </w:rPr>
        <w:t>“vereniging”.</w:t>
      </w:r>
    </w:p>
    <w:p>
      <w:pPr>
        <w:pStyle w:val="BodyText"/>
        <w:spacing w:before="125"/>
        <w:ind w:left="283" w:right="0" w:firstLine="0"/>
        <w:jc w:val="left"/>
      </w:pPr>
      <w:r>
        <w:rPr>
          <w:color w:val="231F20"/>
        </w:rPr>
        <w:t>TITEL 6. De wettelijke controle van de jaarrekening van stichtingen.</w:t>
      </w:r>
    </w:p>
    <w:p>
      <w:pPr>
        <w:pStyle w:val="BodyText"/>
        <w:spacing w:line="218" w:lineRule="auto" w:before="135"/>
      </w:pPr>
      <w:r>
        <w:rPr>
          <w:color w:val="231F20"/>
        </w:rPr>
        <w:t>Art. 3:99. § 1. Onder “wettelijke controle van de jaarrekening” wordt verstaan, een controle van de jaarrekening, voor zover deze controle:</w:t>
      </w:r>
    </w:p>
    <w:p>
      <w:pPr>
        <w:pStyle w:val="BodyText"/>
        <w:spacing w:line="218" w:lineRule="auto" w:before="139"/>
      </w:pPr>
      <w:r>
        <w:rPr>
          <w:color w:val="231F20"/>
        </w:rPr>
        <w:t>1° door het Belgisch recht wordt voorgeschreven met betrekking tot stichtingen als bedoeld in artikel 3:51, § 6, overeenkomstig toegepast krachtens paragraaf 2 of;</w:t>
      </w:r>
    </w:p>
    <w:p>
      <w:pPr>
        <w:pStyle w:val="BodyText"/>
        <w:spacing w:line="218" w:lineRule="auto" w:before="138"/>
      </w:pPr>
      <w:r>
        <w:rPr>
          <w:color w:val="231F20"/>
        </w:rPr>
        <w:t>2° op vrijwillige basis op verzoek van kleine stichtingen wordt uitgevoerd, wanneer deze opdracht gepaard gaat met de bekendma- king van het verslag bedoeld in artikel 3:74.</w:t>
      </w:r>
    </w:p>
    <w:p>
      <w:pPr>
        <w:pStyle w:val="BodyText"/>
        <w:spacing w:line="218" w:lineRule="auto" w:before="139"/>
      </w:pPr>
      <w:r>
        <w:rPr>
          <w:color w:val="231F20"/>
        </w:rPr>
        <w:t>§</w:t>
      </w:r>
      <w:r>
        <w:rPr>
          <w:color w:val="231F20"/>
          <w:spacing w:val="-18"/>
        </w:rPr>
        <w:t> </w:t>
      </w:r>
      <w:r>
        <w:rPr>
          <w:color w:val="231F20"/>
        </w:rPr>
        <w:t>2.</w:t>
      </w:r>
      <w:r>
        <w:rPr>
          <w:color w:val="231F20"/>
          <w:spacing w:val="-18"/>
        </w:rPr>
        <w:t> </w:t>
      </w:r>
      <w:r>
        <w:rPr>
          <w:color w:val="231F20"/>
        </w:rPr>
        <w:t>De</w:t>
      </w:r>
      <w:r>
        <w:rPr>
          <w:color w:val="231F20"/>
          <w:spacing w:val="-18"/>
        </w:rPr>
        <w:t> </w:t>
      </w:r>
      <w:r>
        <w:rPr>
          <w:color w:val="231F20"/>
        </w:rPr>
        <w:t>artikelen</w:t>
      </w:r>
      <w:r>
        <w:rPr>
          <w:color w:val="231F20"/>
          <w:spacing w:val="-18"/>
        </w:rPr>
        <w:t> </w:t>
      </w:r>
      <w:r>
        <w:rPr>
          <w:color w:val="231F20"/>
        </w:rPr>
        <w:t>3:56</w:t>
      </w:r>
      <w:r>
        <w:rPr>
          <w:color w:val="231F20"/>
          <w:spacing w:val="-17"/>
        </w:rPr>
        <w:t> </w:t>
      </w:r>
      <w:r>
        <w:rPr>
          <w:color w:val="231F20"/>
        </w:rPr>
        <w:t>tot</w:t>
      </w:r>
      <w:r>
        <w:rPr>
          <w:color w:val="231F20"/>
          <w:spacing w:val="-18"/>
        </w:rPr>
        <w:t> </w:t>
      </w:r>
      <w:r>
        <w:rPr>
          <w:color w:val="231F20"/>
        </w:rPr>
        <w:t>3:64,</w:t>
      </w:r>
      <w:r>
        <w:rPr>
          <w:color w:val="231F20"/>
          <w:spacing w:val="-18"/>
        </w:rPr>
        <w:t> </w:t>
      </w:r>
      <w:r>
        <w:rPr>
          <w:color w:val="231F20"/>
        </w:rPr>
        <w:t>3:65,</w:t>
      </w:r>
      <w:r>
        <w:rPr>
          <w:color w:val="231F20"/>
          <w:spacing w:val="-18"/>
        </w:rPr>
        <w:t> </w:t>
      </w:r>
      <w:r>
        <w:rPr>
          <w:color w:val="231F20"/>
        </w:rPr>
        <w:t>§§</w:t>
      </w:r>
      <w:r>
        <w:rPr>
          <w:color w:val="231F20"/>
          <w:spacing w:val="-17"/>
        </w:rPr>
        <w:t> </w:t>
      </w:r>
      <w:r>
        <w:rPr>
          <w:color w:val="231F20"/>
        </w:rPr>
        <w:t>1</w:t>
      </w:r>
      <w:r>
        <w:rPr>
          <w:color w:val="231F20"/>
          <w:spacing w:val="-18"/>
        </w:rPr>
        <w:t> </w:t>
      </w:r>
      <w:r>
        <w:rPr>
          <w:color w:val="231F20"/>
        </w:rPr>
        <w:t>tot</w:t>
      </w:r>
      <w:r>
        <w:rPr>
          <w:color w:val="231F20"/>
          <w:spacing w:val="-18"/>
        </w:rPr>
        <w:t> </w:t>
      </w:r>
      <w:r>
        <w:rPr>
          <w:color w:val="231F20"/>
        </w:rPr>
        <w:t>6,</w:t>
      </w:r>
      <w:r>
        <w:rPr>
          <w:color w:val="231F20"/>
          <w:spacing w:val="-18"/>
        </w:rPr>
        <w:t> </w:t>
      </w:r>
      <w:r>
        <w:rPr>
          <w:color w:val="231F20"/>
        </w:rPr>
        <w:t>3:66</w:t>
      </w:r>
      <w:r>
        <w:rPr>
          <w:color w:val="231F20"/>
          <w:spacing w:val="-17"/>
        </w:rPr>
        <w:t> </w:t>
      </w:r>
      <w:r>
        <w:rPr>
          <w:color w:val="231F20"/>
        </w:rPr>
        <w:t>tot</w:t>
      </w:r>
      <w:r>
        <w:rPr>
          <w:color w:val="231F20"/>
          <w:spacing w:val="-18"/>
        </w:rPr>
        <w:t> </w:t>
      </w:r>
      <w:r>
        <w:rPr>
          <w:color w:val="231F20"/>
        </w:rPr>
        <w:t>3:71,</w:t>
      </w:r>
      <w:r>
        <w:rPr>
          <w:color w:val="231F20"/>
          <w:spacing w:val="-18"/>
        </w:rPr>
        <w:t> </w:t>
      </w:r>
      <w:r>
        <w:rPr>
          <w:color w:val="231F20"/>
        </w:rPr>
        <w:t>3:73</w:t>
      </w:r>
      <w:r>
        <w:rPr>
          <w:color w:val="231F20"/>
          <w:spacing w:val="-18"/>
        </w:rPr>
        <w:t> </w:t>
      </w:r>
      <w:r>
        <w:rPr>
          <w:color w:val="231F20"/>
        </w:rPr>
        <w:t>tot</w:t>
      </w:r>
      <w:r>
        <w:rPr>
          <w:color w:val="231F20"/>
          <w:spacing w:val="-17"/>
        </w:rPr>
        <w:t> </w:t>
      </w:r>
      <w:r>
        <w:rPr>
          <w:color w:val="231F20"/>
        </w:rPr>
        <w:t>3:75, met uitzondering van de artikelen 3:61, §§ 2 en 3, en 3:63, § 3 en van artikel</w:t>
      </w:r>
      <w:r>
        <w:rPr>
          <w:color w:val="231F20"/>
          <w:spacing w:val="-6"/>
        </w:rPr>
        <w:t> </w:t>
      </w:r>
      <w:r>
        <w:rPr>
          <w:color w:val="231F20"/>
        </w:rPr>
        <w:t>3:75,</w:t>
      </w:r>
      <w:r>
        <w:rPr>
          <w:color w:val="231F20"/>
          <w:spacing w:val="-6"/>
        </w:rPr>
        <w:t> </w:t>
      </w:r>
      <w:r>
        <w:rPr>
          <w:color w:val="231F20"/>
        </w:rPr>
        <w:t>§</w:t>
      </w:r>
      <w:r>
        <w:rPr>
          <w:color w:val="231F20"/>
          <w:spacing w:val="-5"/>
        </w:rPr>
        <w:t> </w:t>
      </w:r>
      <w:r>
        <w:rPr>
          <w:color w:val="231F20"/>
        </w:rPr>
        <w:t>1,</w:t>
      </w:r>
      <w:r>
        <w:rPr>
          <w:color w:val="231F20"/>
          <w:spacing w:val="-6"/>
        </w:rPr>
        <w:t> </w:t>
      </w:r>
      <w:r>
        <w:rPr>
          <w:color w:val="231F20"/>
        </w:rPr>
        <w:t>eerste</w:t>
      </w:r>
      <w:r>
        <w:rPr>
          <w:color w:val="231F20"/>
          <w:spacing w:val="-5"/>
        </w:rPr>
        <w:t> </w:t>
      </w:r>
      <w:r>
        <w:rPr>
          <w:color w:val="231F20"/>
        </w:rPr>
        <w:t>lid,</w:t>
      </w:r>
      <w:r>
        <w:rPr>
          <w:color w:val="231F20"/>
          <w:spacing w:val="-6"/>
        </w:rPr>
        <w:t> </w:t>
      </w:r>
      <w:r>
        <w:rPr>
          <w:color w:val="231F20"/>
        </w:rPr>
        <w:t>6°</w:t>
      </w:r>
      <w:r>
        <w:rPr>
          <w:color w:val="231F20"/>
          <w:spacing w:val="-6"/>
        </w:rPr>
        <w:t> </w:t>
      </w:r>
      <w:r>
        <w:rPr>
          <w:color w:val="231F20"/>
        </w:rPr>
        <w:t>en</w:t>
      </w:r>
      <w:r>
        <w:rPr>
          <w:color w:val="231F20"/>
          <w:spacing w:val="-5"/>
        </w:rPr>
        <w:t> </w:t>
      </w:r>
      <w:r>
        <w:rPr>
          <w:color w:val="231F20"/>
        </w:rPr>
        <w:t>8°,</w:t>
      </w:r>
      <w:r>
        <w:rPr>
          <w:color w:val="231F20"/>
          <w:spacing w:val="-6"/>
        </w:rPr>
        <w:t> </w:t>
      </w:r>
      <w:r>
        <w:rPr>
          <w:color w:val="231F20"/>
        </w:rPr>
        <w:t>zijn</w:t>
      </w:r>
      <w:r>
        <w:rPr>
          <w:color w:val="231F20"/>
          <w:spacing w:val="-5"/>
        </w:rPr>
        <w:t> </w:t>
      </w:r>
      <w:r>
        <w:rPr>
          <w:color w:val="231F20"/>
        </w:rPr>
        <w:t>van</w:t>
      </w:r>
      <w:r>
        <w:rPr>
          <w:color w:val="231F20"/>
          <w:spacing w:val="-6"/>
        </w:rPr>
        <w:t> </w:t>
      </w:r>
      <w:r>
        <w:rPr>
          <w:color w:val="231F20"/>
        </w:rPr>
        <w:t>overeenkomstige</w:t>
      </w:r>
      <w:r>
        <w:rPr>
          <w:color w:val="231F20"/>
          <w:spacing w:val="-5"/>
        </w:rPr>
        <w:t> </w:t>
      </w:r>
      <w:r>
        <w:rPr>
          <w:color w:val="231F20"/>
        </w:rPr>
        <w:t>toepassing op de stichtingen die een commissaris hebben benoemd. </w:t>
      </w:r>
      <w:r>
        <w:rPr>
          <w:color w:val="231F20"/>
          <w:spacing w:val="-6"/>
        </w:rPr>
        <w:t>Ten </w:t>
      </w:r>
      <w:r>
        <w:rPr>
          <w:color w:val="231F20"/>
        </w:rPr>
        <w:t>behoeve van dit artikel moeten de woorden “vennootschap” en “algemene vergadering”, aangewend in voornoemde artikelen, worden begrepen als respectievelijk “stichting” en</w:t>
      </w:r>
      <w:r>
        <w:rPr>
          <w:color w:val="231F20"/>
          <w:spacing w:val="25"/>
        </w:rPr>
        <w:t> </w:t>
      </w:r>
      <w:r>
        <w:rPr>
          <w:color w:val="231F20"/>
        </w:rPr>
        <w:t>“bestuursorgaan”.</w:t>
      </w:r>
    </w:p>
    <w:p>
      <w:pPr>
        <w:spacing w:after="0" w:line="218" w:lineRule="auto"/>
        <w:sectPr>
          <w:headerReference w:type="even" r:id="rId41"/>
          <w:headerReference w:type="default" r:id="rId42"/>
          <w:pgSz w:w="11940" w:h="16880"/>
          <w:pgMar w:header="666" w:footer="0" w:top="1140" w:bottom="280" w:left="340" w:right="360"/>
          <w:pgNumType w:start="33322"/>
          <w:cols w:num="2" w:equalWidth="0">
            <w:col w:w="5553" w:space="74"/>
            <w:col w:w="5613"/>
          </w:cols>
        </w:sectPr>
      </w:pPr>
    </w:p>
    <w:p>
      <w:pPr>
        <w:pStyle w:val="BodyText"/>
        <w:spacing w:line="218" w:lineRule="auto" w:before="120"/>
        <w:ind w:right="86"/>
      </w:pPr>
      <w:r>
        <w:rPr/>
        <w:pict>
          <v:line style="position:absolute;mso-position-horizontal-relative:page;mso-position-vertical-relative:page;z-index:3040" from="298.170502pt,64.473pt" to="298.170502pt,812.819pt" stroked="true" strokeweight=".533pt" strokecolor="#231f20">
            <v:stroke dashstyle="solid"/>
            <w10:wrap type="none"/>
          </v:line>
        </w:pict>
      </w:r>
      <w:bookmarkStart w:name="_bookmark84" w:id="89"/>
      <w:bookmarkEnd w:id="89"/>
      <w:r>
        <w:rPr/>
      </w:r>
      <w:r>
        <w:rPr>
          <w:color w:val="231F20"/>
        </w:rPr>
        <w:t>TITRE 7. Pouvoir individuel d’investigation et de contrôle des associés, des actionnaires et des membres.</w:t>
      </w:r>
    </w:p>
    <w:p>
      <w:pPr>
        <w:pStyle w:val="BodyText"/>
        <w:spacing w:line="218" w:lineRule="auto" w:before="85"/>
        <w:ind w:right="86"/>
      </w:pPr>
      <w:r>
        <w:rPr>
          <w:color w:val="231F20"/>
        </w:rPr>
        <w:t>Art. 3:100. Au cas où, en application de l’article 3:72, aucun commissaire ne doit être nommé, l’organe d’administration est néan- moins tenu de soumettre à l’organe compétent la demande d’un ou de plusieurs associés ou actionnaires visant à la nomination d’un commis- saire, chargé des fonctions visées à l’article 3:73.</w:t>
      </w:r>
    </w:p>
    <w:p>
      <w:pPr>
        <w:pStyle w:val="BodyText"/>
        <w:spacing w:line="218" w:lineRule="auto" w:before="86"/>
        <w:ind w:right="84"/>
      </w:pPr>
      <w:r>
        <w:rPr>
          <w:color w:val="231F20"/>
        </w:rPr>
        <w:t>Art. 3:101. Au cas où aucun commissaire n’est nommé, chaque associé</w:t>
      </w:r>
      <w:r>
        <w:rPr>
          <w:color w:val="231F20"/>
          <w:spacing w:val="-15"/>
        </w:rPr>
        <w:t> </w:t>
      </w:r>
      <w:r>
        <w:rPr>
          <w:color w:val="231F20"/>
        </w:rPr>
        <w:t>ou</w:t>
      </w:r>
      <w:r>
        <w:rPr>
          <w:color w:val="231F20"/>
          <w:spacing w:val="-15"/>
        </w:rPr>
        <w:t> </w:t>
      </w:r>
      <w:r>
        <w:rPr>
          <w:color w:val="231F20"/>
          <w:spacing w:val="-3"/>
        </w:rPr>
        <w:t>actionnaire</w:t>
      </w:r>
      <w:r>
        <w:rPr>
          <w:color w:val="231F20"/>
          <w:spacing w:val="-15"/>
        </w:rPr>
        <w:t> </w:t>
      </w:r>
      <w:r>
        <w:rPr>
          <w:color w:val="231F20"/>
        </w:rPr>
        <w:t>a,</w:t>
      </w:r>
      <w:r>
        <w:rPr>
          <w:color w:val="231F20"/>
          <w:spacing w:val="-15"/>
        </w:rPr>
        <w:t> </w:t>
      </w:r>
      <w:r>
        <w:rPr>
          <w:color w:val="231F20"/>
        </w:rPr>
        <w:t>nonobstant</w:t>
      </w:r>
      <w:r>
        <w:rPr>
          <w:color w:val="231F20"/>
          <w:spacing w:val="-14"/>
        </w:rPr>
        <w:t> </w:t>
      </w:r>
      <w:r>
        <w:rPr>
          <w:color w:val="231F20"/>
        </w:rPr>
        <w:t>toute</w:t>
      </w:r>
      <w:r>
        <w:rPr>
          <w:color w:val="231F20"/>
          <w:spacing w:val="-15"/>
        </w:rPr>
        <w:t> </w:t>
      </w:r>
      <w:r>
        <w:rPr>
          <w:color w:val="231F20"/>
        </w:rPr>
        <w:t>disposition</w:t>
      </w:r>
      <w:r>
        <w:rPr>
          <w:color w:val="231F20"/>
          <w:spacing w:val="-15"/>
        </w:rPr>
        <w:t> </w:t>
      </w:r>
      <w:r>
        <w:rPr>
          <w:color w:val="231F20"/>
          <w:spacing w:val="-3"/>
        </w:rPr>
        <w:t>statutaire</w:t>
      </w:r>
      <w:r>
        <w:rPr>
          <w:color w:val="231F20"/>
          <w:spacing w:val="-15"/>
        </w:rPr>
        <w:t> </w:t>
      </w:r>
      <w:r>
        <w:rPr>
          <w:color w:val="231F20"/>
          <w:spacing w:val="-3"/>
        </w:rPr>
        <w:t>contraire, </w:t>
      </w:r>
      <w:r>
        <w:rPr>
          <w:color w:val="231F20"/>
        </w:rPr>
        <w:t>individuellement les pouvoirs d’investigation et de contrôle</w:t>
      </w:r>
      <w:r>
        <w:rPr>
          <w:color w:val="231F20"/>
          <w:spacing w:val="22"/>
        </w:rPr>
        <w:t> </w:t>
      </w:r>
      <w:r>
        <w:rPr>
          <w:color w:val="231F20"/>
        </w:rPr>
        <w:t>d’un commissaire. Il peut se faire représenter ou se faire assister par un expert-comptable</w:t>
      </w:r>
      <w:r>
        <w:rPr>
          <w:color w:val="231F20"/>
          <w:spacing w:val="14"/>
        </w:rPr>
        <w:t> </w:t>
      </w:r>
      <w:r>
        <w:rPr>
          <w:color w:val="231F20"/>
        </w:rPr>
        <w:t>externe.</w:t>
      </w:r>
    </w:p>
    <w:p>
      <w:pPr>
        <w:pStyle w:val="BodyText"/>
        <w:spacing w:line="218" w:lineRule="auto" w:before="86"/>
        <w:ind w:right="0"/>
        <w:jc w:val="left"/>
      </w:pPr>
      <w:r>
        <w:rPr>
          <w:color w:val="231F20"/>
        </w:rPr>
        <w:t>Art. 3:102. La rémunération de l’expert-comptable externe visé à l’article 3:101 incombe à la société s’il a été désigné avec son accord ou   si cette rémunération a été mise à sa charge par décision judiciaire. Dans ces cas, les observations de l’expert-comptable externe sont communi- quées à la</w:t>
      </w:r>
      <w:r>
        <w:rPr>
          <w:color w:val="231F20"/>
          <w:spacing w:val="3"/>
        </w:rPr>
        <w:t> </w:t>
      </w:r>
      <w:r>
        <w:rPr>
          <w:color w:val="231F20"/>
        </w:rPr>
        <w:t>société.</w:t>
      </w:r>
    </w:p>
    <w:p>
      <w:pPr>
        <w:pStyle w:val="BodyText"/>
        <w:ind w:left="0" w:right="0" w:firstLine="0"/>
        <w:jc w:val="left"/>
        <w:rPr>
          <w:sz w:val="23"/>
        </w:rPr>
      </w:pPr>
    </w:p>
    <w:p>
      <w:pPr>
        <w:pStyle w:val="BodyText"/>
        <w:spacing w:line="218" w:lineRule="auto"/>
        <w:ind w:right="86"/>
      </w:pPr>
      <w:r>
        <w:rPr>
          <w:color w:val="231F20"/>
        </w:rPr>
        <w:t>Art. 3:103. Au cas où aucun commissaire n’est nommé, tous les membres peuvent consulter au siège de l’ASBL ou AISBL tous les procès-verbaux et décisions de l’assemblée générale, de l’organe d’administration ou des personnes, occupant ou non une fonction de direction, qui sont investies d’un mandat au sein ou pour le compte de l’association, de même que tous les documents comptables de l’asso- ciation. A cette fin, ils adressent une demande écrite au conseil d’administration avec lequel ils conviendront d’une date et heure de consultation des documents et pièces. Ceux-ci ne pourront être déplacés. Les copies à délivrer aux tiers sont signées par un ou plusieurs membres de l’organe d’administration ayant le pouvoir de représentation.</w:t>
      </w:r>
    </w:p>
    <w:p>
      <w:pPr>
        <w:pStyle w:val="BodyText"/>
        <w:spacing w:before="72"/>
        <w:ind w:left="283" w:right="0" w:firstLine="0"/>
        <w:jc w:val="left"/>
      </w:pPr>
      <w:r>
        <w:rPr>
          <w:color w:val="231F20"/>
        </w:rPr>
        <w:t>PARTIE 2. Les sociétés.</w:t>
      </w:r>
    </w:p>
    <w:p>
      <w:pPr>
        <w:pStyle w:val="BodyText"/>
        <w:spacing w:line="218" w:lineRule="auto" w:before="82"/>
        <w:ind w:right="86"/>
      </w:pPr>
      <w:r>
        <w:rPr>
          <w:color w:val="231F20"/>
        </w:rPr>
        <w:t>LIVRE 4. La société simple, la société en nom collectif et la société en commandite.</w:t>
      </w:r>
    </w:p>
    <w:p>
      <w:pPr>
        <w:pStyle w:val="BodyText"/>
        <w:spacing w:before="57"/>
        <w:ind w:left="283" w:right="0" w:firstLine="0"/>
        <w:jc w:val="left"/>
      </w:pPr>
      <w:r>
        <w:rPr>
          <w:color w:val="231F20"/>
        </w:rPr>
        <w:t>TITRE 1</w:t>
      </w:r>
      <w:r>
        <w:rPr>
          <w:color w:val="231F20"/>
          <w:position w:val="7"/>
          <w:sz w:val="11"/>
        </w:rPr>
        <w:t>er</w:t>
      </w:r>
      <w:r>
        <w:rPr>
          <w:color w:val="231F20"/>
        </w:rPr>
        <w:t>. Dispositions introductives.</w:t>
      </w:r>
    </w:p>
    <w:p>
      <w:pPr>
        <w:pStyle w:val="BodyText"/>
        <w:spacing w:line="218" w:lineRule="auto" w:before="81"/>
        <w:ind w:right="86"/>
      </w:pPr>
      <w:r>
        <w:rPr>
          <w:color w:val="231F20"/>
        </w:rPr>
        <w:t>Art. 4:1. La société simple est le contrat par lequel deux ou plusieurs personnes conviennent de mettre leurs apports en commun en vue de partager le bénéfice patrimonial direct ou indirect qui pourra en résulter. Elle est conclue pour l’intérêt commun des parties.</w:t>
      </w:r>
    </w:p>
    <w:p>
      <w:pPr>
        <w:pStyle w:val="BodyText"/>
        <w:ind w:left="0" w:right="0" w:firstLine="0"/>
        <w:jc w:val="left"/>
        <w:rPr>
          <w:sz w:val="23"/>
        </w:rPr>
      </w:pPr>
    </w:p>
    <w:p>
      <w:pPr>
        <w:pStyle w:val="BodyText"/>
        <w:spacing w:line="218" w:lineRule="auto"/>
        <w:ind w:right="86"/>
      </w:pPr>
      <w:r>
        <w:rPr>
          <w:color w:val="231F20"/>
        </w:rPr>
        <w:t>La société simple est “interne” lorsqu’il est convenu qu’elle est gérée par un ou plusieurs gérants, associés ou non, agissant en leur nom propre.</w:t>
      </w:r>
    </w:p>
    <w:p>
      <w:pPr>
        <w:pStyle w:val="BodyText"/>
        <w:spacing w:line="218" w:lineRule="auto" w:before="86"/>
        <w:ind w:right="86"/>
      </w:pPr>
      <w:r>
        <w:rPr>
          <w:color w:val="231F20"/>
        </w:rPr>
        <w:t>À moins qu’il n’en soit convenu autrement, elle est conclue en considération de la personne des associés.</w:t>
      </w:r>
    </w:p>
    <w:p>
      <w:pPr>
        <w:pStyle w:val="BodyText"/>
        <w:spacing w:before="71"/>
        <w:ind w:left="283" w:right="0" w:firstLine="0"/>
        <w:jc w:val="left"/>
      </w:pPr>
      <w:r>
        <w:rPr>
          <w:color w:val="231F20"/>
        </w:rPr>
        <w:t>Art. 4:2. Toute société simple doit avoir un objet licite.</w:t>
      </w:r>
    </w:p>
    <w:p>
      <w:pPr>
        <w:pStyle w:val="BodyText"/>
        <w:spacing w:line="218" w:lineRule="auto" w:before="93"/>
        <w:ind w:right="86"/>
      </w:pPr>
      <w:r>
        <w:rPr>
          <w:color w:val="231F20"/>
        </w:rPr>
        <w:t>La convention qui donnerait à l’un des associés la totalité des bénéfices, ou exclurait un ou plusieurs associés de la participation aux bénéfices, est nulle à moins qu’elle puisse recevoir une autre qualifica- tion qui la rendrait valable ou lui permettrait de subsister</w:t>
      </w:r>
      <w:r>
        <w:rPr>
          <w:color w:val="231F20"/>
          <w:spacing w:val="-26"/>
        </w:rPr>
        <w:t> </w:t>
      </w:r>
      <w:r>
        <w:rPr>
          <w:color w:val="231F20"/>
        </w:rPr>
        <w:t>partiellement.</w:t>
      </w:r>
    </w:p>
    <w:p>
      <w:pPr>
        <w:pStyle w:val="BodyText"/>
        <w:spacing w:line="218" w:lineRule="auto" w:before="96"/>
        <w:ind w:right="86"/>
      </w:pPr>
      <w:r>
        <w:rPr>
          <w:color w:val="231F20"/>
        </w:rPr>
        <w:t>Art. 4:3. Si la convention ne précise pas la durée de la société simple, elle est censée être conclue pour une durée indéterminée.</w:t>
      </w:r>
    </w:p>
    <w:p>
      <w:pPr>
        <w:pStyle w:val="BodyText"/>
        <w:spacing w:line="218" w:lineRule="auto" w:before="96"/>
        <w:ind w:right="86"/>
      </w:pPr>
      <w:r>
        <w:rPr>
          <w:color w:val="231F20"/>
        </w:rPr>
        <w:t>La société simple qui a pour objet une opération déterminée est réputée conclue pour le temps que doit durer cette opération.</w:t>
      </w:r>
    </w:p>
    <w:p>
      <w:pPr>
        <w:pStyle w:val="BodyText"/>
        <w:spacing w:before="82"/>
        <w:ind w:left="283" w:right="0" w:firstLine="0"/>
        <w:jc w:val="left"/>
      </w:pPr>
      <w:r>
        <w:rPr>
          <w:color w:val="231F20"/>
        </w:rPr>
        <w:t>TITRE 2. Les parts d’associé.</w:t>
      </w:r>
    </w:p>
    <w:p>
      <w:pPr>
        <w:pStyle w:val="BodyText"/>
        <w:spacing w:line="218" w:lineRule="auto" w:before="93"/>
        <w:ind w:right="86"/>
      </w:pPr>
      <w:r>
        <w:rPr>
          <w:color w:val="231F20"/>
        </w:rPr>
        <w:t>Art. 4:4. La convention détermine la part des associés dans les bénéfices et les pertes ainsi que dans le patrimoine social en cas de dissolution.</w:t>
      </w:r>
    </w:p>
    <w:p>
      <w:pPr>
        <w:pStyle w:val="BodyText"/>
        <w:spacing w:line="218" w:lineRule="auto" w:before="96"/>
        <w:ind w:right="86"/>
      </w:pPr>
      <w:r>
        <w:rPr>
          <w:color w:val="231F20"/>
        </w:rPr>
        <w:t>Lorsqu’elle n’est pas déterminée, la part de chacun est en proportion de son apport dans la société. À l’égard de celui qui n’a apporté que son industrie, sa part est réglée comme si sa mise eût été égale à l’apport le plus faible autre qu’en industrie.</w:t>
      </w:r>
    </w:p>
    <w:p>
      <w:pPr>
        <w:pStyle w:val="BodyText"/>
        <w:spacing w:line="218" w:lineRule="auto" w:before="97"/>
        <w:ind w:right="86"/>
      </w:pPr>
      <w:r>
        <w:rPr>
          <w:color w:val="231F20"/>
        </w:rPr>
        <w:t>Art. 4:5. Les associés peuvent convenir de s’en rapporter à un tiers ou même à l’un d’eux pour le règlement de leurs parts.</w:t>
      </w:r>
    </w:p>
    <w:p>
      <w:pPr>
        <w:pStyle w:val="BodyText"/>
        <w:spacing w:before="7"/>
        <w:ind w:left="0" w:right="0" w:firstLine="0"/>
        <w:jc w:val="left"/>
        <w:rPr>
          <w:sz w:val="22"/>
        </w:rPr>
      </w:pPr>
    </w:p>
    <w:p>
      <w:pPr>
        <w:pStyle w:val="BodyText"/>
        <w:spacing w:before="1"/>
        <w:ind w:left="283" w:right="0" w:firstLine="0"/>
        <w:jc w:val="left"/>
      </w:pPr>
      <w:r>
        <w:rPr>
          <w:color w:val="231F20"/>
        </w:rPr>
        <w:t>La décision de ce tiers ou de cet associé est obligatoire.</w:t>
      </w:r>
    </w:p>
    <w:p>
      <w:pPr>
        <w:pStyle w:val="BodyText"/>
        <w:spacing w:line="218" w:lineRule="auto" w:before="92"/>
        <w:ind w:right="86"/>
      </w:pPr>
      <w:r>
        <w:rPr>
          <w:color w:val="231F20"/>
        </w:rPr>
        <w:t>Elle ne peut être annulée qu’en cas d’erreur grossière ou de fraude ou si elle est manifestement contraire à l’équité.</w:t>
      </w:r>
    </w:p>
    <w:p>
      <w:pPr>
        <w:pStyle w:val="BodyText"/>
        <w:spacing w:line="218" w:lineRule="auto" w:before="96"/>
        <w:ind w:right="86"/>
      </w:pPr>
      <w:r>
        <w:rPr>
          <w:color w:val="231F20"/>
        </w:rPr>
        <w:t>L’action en nullité ne peut être admise si l’associé qui l’intente n’a pas expressément contesté le règlement dans les trois mois de la connais- sance qu’il en a eu ou si ce règlement a reçu de sa part un commencement d’exécution sans réserve.</w:t>
      </w:r>
    </w:p>
    <w:p>
      <w:pPr>
        <w:pStyle w:val="BodyText"/>
        <w:ind w:left="0" w:right="0" w:firstLine="0"/>
        <w:jc w:val="left"/>
        <w:rPr>
          <w:sz w:val="24"/>
        </w:rPr>
      </w:pPr>
    </w:p>
    <w:p>
      <w:pPr>
        <w:pStyle w:val="BodyText"/>
        <w:spacing w:line="218" w:lineRule="auto"/>
        <w:ind w:right="86"/>
      </w:pPr>
      <w:r>
        <w:rPr>
          <w:color w:val="231F20"/>
        </w:rPr>
        <w:t>Art. 4:6. À moins qu’il n’en soit convenu autrement, les parts sont incessibles.</w:t>
      </w:r>
    </w:p>
    <w:p>
      <w:pPr>
        <w:pStyle w:val="BodyText"/>
        <w:spacing w:line="218" w:lineRule="auto" w:before="119"/>
      </w:pPr>
      <w:r>
        <w:rPr/>
        <w:br w:type="column"/>
      </w:r>
      <w:r>
        <w:rPr>
          <w:color w:val="231F20"/>
        </w:rPr>
        <w:t>TITEL 7. Individuele onderzoeks- en controlebevoegdheid van vennoten, aandeelhouders en leden.</w:t>
      </w:r>
    </w:p>
    <w:p>
      <w:pPr>
        <w:pStyle w:val="BodyText"/>
        <w:spacing w:line="218" w:lineRule="auto" w:before="86"/>
      </w:pPr>
      <w:r>
        <w:rPr>
          <w:color w:val="231F20"/>
        </w:rPr>
        <w:t>Art. 3:100. Moet met toepassing van artikel 3:72 geen commissaris worden benoemd, dan is het bestuursorgaan er niettemin toe verplicht het verzoek van één of meer vennoten of aandeelhouders tot benoe- ming van een commissaris, belast met de taak bedoeld in artikel 3:73, voor te leggen aan het bevoegde orgaan.</w:t>
      </w:r>
    </w:p>
    <w:p>
      <w:pPr>
        <w:pStyle w:val="BodyText"/>
        <w:spacing w:line="218" w:lineRule="auto" w:before="86"/>
      </w:pPr>
      <w:r>
        <w:rPr>
          <w:color w:val="231F20"/>
        </w:rPr>
        <w:t>Art. 3:101. Wordt geen commissaris benoemd, dan heeft, niettegen- staande andersluidende statutaire bepaling, iedere vennoot of aandeel- houder individueel de onderzoeks- en controlebevoegdheid van een commissaris. Hij kan zich laten vertegenwoordigen of bijstaan door een externe accountant.</w:t>
      </w:r>
    </w:p>
    <w:p>
      <w:pPr>
        <w:pStyle w:val="BodyText"/>
        <w:spacing w:line="218" w:lineRule="auto" w:before="85"/>
      </w:pPr>
      <w:r>
        <w:rPr>
          <w:color w:val="231F20"/>
        </w:rPr>
        <w:t>Art. 3:102 De vergoeding van de externe accountant bedoeld in artikel 3:101 komt ten laste van de vennootschap indien hij met haar toestemming werd benoemd of indien deze vergoeding door haar ten laste moet worden genomen krachtens een rechterlijke beslissing. In deze gevallen worden de opmerkingen van de externe accountant meegedeeld aan de</w:t>
      </w:r>
      <w:r>
        <w:rPr>
          <w:color w:val="231F20"/>
          <w:spacing w:val="5"/>
        </w:rPr>
        <w:t> </w:t>
      </w:r>
      <w:r>
        <w:rPr>
          <w:color w:val="231F20"/>
        </w:rPr>
        <w:t>vennootschap.</w:t>
      </w:r>
    </w:p>
    <w:p>
      <w:pPr>
        <w:pStyle w:val="BodyText"/>
        <w:spacing w:line="218" w:lineRule="auto" w:before="86"/>
      </w:pPr>
      <w:r>
        <w:rPr>
          <w:color w:val="231F20"/>
          <w:w w:val="105"/>
        </w:rPr>
        <w:t>Art.</w:t>
      </w:r>
      <w:r>
        <w:rPr>
          <w:color w:val="231F20"/>
          <w:spacing w:val="-24"/>
          <w:w w:val="105"/>
        </w:rPr>
        <w:t> </w:t>
      </w:r>
      <w:r>
        <w:rPr>
          <w:color w:val="231F20"/>
          <w:w w:val="105"/>
        </w:rPr>
        <w:t>3:103.</w:t>
      </w:r>
      <w:r>
        <w:rPr>
          <w:color w:val="231F20"/>
          <w:spacing w:val="-24"/>
          <w:w w:val="105"/>
        </w:rPr>
        <w:t> </w:t>
      </w:r>
      <w:r>
        <w:rPr>
          <w:color w:val="231F20"/>
          <w:spacing w:val="-4"/>
          <w:w w:val="105"/>
        </w:rPr>
        <w:t>Wordt</w:t>
      </w:r>
      <w:r>
        <w:rPr>
          <w:color w:val="231F20"/>
          <w:spacing w:val="-24"/>
          <w:w w:val="105"/>
        </w:rPr>
        <w:t> </w:t>
      </w:r>
      <w:r>
        <w:rPr>
          <w:color w:val="231F20"/>
          <w:w w:val="105"/>
        </w:rPr>
        <w:t>geen</w:t>
      </w:r>
      <w:r>
        <w:rPr>
          <w:color w:val="231F20"/>
          <w:spacing w:val="-24"/>
          <w:w w:val="105"/>
        </w:rPr>
        <w:t> </w:t>
      </w:r>
      <w:r>
        <w:rPr>
          <w:color w:val="231F20"/>
          <w:w w:val="105"/>
        </w:rPr>
        <w:t>commissaris</w:t>
      </w:r>
      <w:r>
        <w:rPr>
          <w:color w:val="231F20"/>
          <w:spacing w:val="-24"/>
          <w:w w:val="105"/>
        </w:rPr>
        <w:t> </w:t>
      </w:r>
      <w:r>
        <w:rPr>
          <w:color w:val="231F20"/>
          <w:w w:val="105"/>
        </w:rPr>
        <w:t>benoemd,</w:t>
      </w:r>
      <w:r>
        <w:rPr>
          <w:color w:val="231F20"/>
          <w:spacing w:val="-24"/>
          <w:w w:val="105"/>
        </w:rPr>
        <w:t> </w:t>
      </w:r>
      <w:r>
        <w:rPr>
          <w:color w:val="231F20"/>
          <w:w w:val="105"/>
        </w:rPr>
        <w:t>dan</w:t>
      </w:r>
      <w:r>
        <w:rPr>
          <w:color w:val="231F20"/>
          <w:spacing w:val="-24"/>
          <w:w w:val="105"/>
        </w:rPr>
        <w:t> </w:t>
      </w:r>
      <w:r>
        <w:rPr>
          <w:color w:val="231F20"/>
          <w:w w:val="105"/>
        </w:rPr>
        <w:t>kunnen</w:t>
      </w:r>
      <w:r>
        <w:rPr>
          <w:color w:val="231F20"/>
          <w:spacing w:val="-24"/>
          <w:w w:val="105"/>
        </w:rPr>
        <w:t> </w:t>
      </w:r>
      <w:r>
        <w:rPr>
          <w:color w:val="231F20"/>
          <w:w w:val="105"/>
        </w:rPr>
        <w:t>alle</w:t>
      </w:r>
      <w:r>
        <w:rPr>
          <w:color w:val="231F20"/>
          <w:spacing w:val="-24"/>
          <w:w w:val="105"/>
        </w:rPr>
        <w:t> </w:t>
      </w:r>
      <w:r>
        <w:rPr>
          <w:color w:val="231F20"/>
          <w:w w:val="105"/>
        </w:rPr>
        <w:t>leden op de zetel van de VZW of IVZW alle notulen en besluiten van de algemene</w:t>
      </w:r>
      <w:r>
        <w:rPr>
          <w:color w:val="231F20"/>
          <w:spacing w:val="-12"/>
          <w:w w:val="105"/>
        </w:rPr>
        <w:t> </w:t>
      </w:r>
      <w:r>
        <w:rPr>
          <w:color w:val="231F20"/>
          <w:w w:val="105"/>
        </w:rPr>
        <w:t>vergadering,</w:t>
      </w:r>
      <w:r>
        <w:rPr>
          <w:color w:val="231F20"/>
          <w:spacing w:val="-12"/>
          <w:w w:val="105"/>
        </w:rPr>
        <w:t> </w:t>
      </w:r>
      <w:r>
        <w:rPr>
          <w:color w:val="231F20"/>
          <w:w w:val="105"/>
        </w:rPr>
        <w:t>van</w:t>
      </w:r>
      <w:r>
        <w:rPr>
          <w:color w:val="231F20"/>
          <w:spacing w:val="-12"/>
          <w:w w:val="105"/>
        </w:rPr>
        <w:t> </w:t>
      </w:r>
      <w:r>
        <w:rPr>
          <w:color w:val="231F20"/>
          <w:w w:val="105"/>
        </w:rPr>
        <w:t>het</w:t>
      </w:r>
      <w:r>
        <w:rPr>
          <w:color w:val="231F20"/>
          <w:spacing w:val="-12"/>
          <w:w w:val="105"/>
        </w:rPr>
        <w:t> </w:t>
      </w:r>
      <w:r>
        <w:rPr>
          <w:color w:val="231F20"/>
          <w:w w:val="105"/>
        </w:rPr>
        <w:t>bestuursorgaan</w:t>
      </w:r>
      <w:r>
        <w:rPr>
          <w:color w:val="231F20"/>
          <w:spacing w:val="-12"/>
          <w:w w:val="105"/>
        </w:rPr>
        <w:t> </w:t>
      </w:r>
      <w:r>
        <w:rPr>
          <w:color w:val="231F20"/>
          <w:w w:val="105"/>
        </w:rPr>
        <w:t>en</w:t>
      </w:r>
      <w:r>
        <w:rPr>
          <w:color w:val="231F20"/>
          <w:spacing w:val="-12"/>
          <w:w w:val="105"/>
        </w:rPr>
        <w:t> </w:t>
      </w:r>
      <w:r>
        <w:rPr>
          <w:color w:val="231F20"/>
          <w:w w:val="105"/>
        </w:rPr>
        <w:t>van</w:t>
      </w:r>
      <w:r>
        <w:rPr>
          <w:color w:val="231F20"/>
          <w:spacing w:val="-12"/>
          <w:w w:val="105"/>
        </w:rPr>
        <w:t> </w:t>
      </w:r>
      <w:r>
        <w:rPr>
          <w:color w:val="231F20"/>
          <w:w w:val="105"/>
        </w:rPr>
        <w:t>de</w:t>
      </w:r>
      <w:r>
        <w:rPr>
          <w:color w:val="231F20"/>
          <w:spacing w:val="-12"/>
          <w:w w:val="105"/>
        </w:rPr>
        <w:t> </w:t>
      </w:r>
      <w:r>
        <w:rPr>
          <w:color w:val="231F20"/>
          <w:w w:val="105"/>
        </w:rPr>
        <w:t>personen,</w:t>
      </w:r>
      <w:r>
        <w:rPr>
          <w:color w:val="231F20"/>
          <w:spacing w:val="-12"/>
          <w:w w:val="105"/>
        </w:rPr>
        <w:t> </w:t>
      </w:r>
      <w:r>
        <w:rPr>
          <w:color w:val="231F20"/>
          <w:w w:val="105"/>
        </w:rPr>
        <w:t>al dan</w:t>
      </w:r>
      <w:r>
        <w:rPr>
          <w:color w:val="231F20"/>
          <w:spacing w:val="-22"/>
          <w:w w:val="105"/>
        </w:rPr>
        <w:t> </w:t>
      </w:r>
      <w:r>
        <w:rPr>
          <w:color w:val="231F20"/>
          <w:w w:val="105"/>
        </w:rPr>
        <w:t>niet</w:t>
      </w:r>
      <w:r>
        <w:rPr>
          <w:color w:val="231F20"/>
          <w:spacing w:val="-21"/>
          <w:w w:val="105"/>
        </w:rPr>
        <w:t> </w:t>
      </w:r>
      <w:r>
        <w:rPr>
          <w:color w:val="231F20"/>
          <w:w w:val="105"/>
        </w:rPr>
        <w:t>met</w:t>
      </w:r>
      <w:r>
        <w:rPr>
          <w:color w:val="231F20"/>
          <w:spacing w:val="-21"/>
          <w:w w:val="105"/>
        </w:rPr>
        <w:t> </w:t>
      </w:r>
      <w:r>
        <w:rPr>
          <w:color w:val="231F20"/>
          <w:w w:val="105"/>
        </w:rPr>
        <w:t>een</w:t>
      </w:r>
      <w:r>
        <w:rPr>
          <w:color w:val="231F20"/>
          <w:spacing w:val="-21"/>
          <w:w w:val="105"/>
        </w:rPr>
        <w:t> </w:t>
      </w:r>
      <w:r>
        <w:rPr>
          <w:color w:val="231F20"/>
          <w:w w:val="105"/>
        </w:rPr>
        <w:t>bestuursfunctie,</w:t>
      </w:r>
      <w:r>
        <w:rPr>
          <w:color w:val="231F20"/>
          <w:spacing w:val="-22"/>
          <w:w w:val="105"/>
        </w:rPr>
        <w:t> </w:t>
      </w:r>
      <w:r>
        <w:rPr>
          <w:color w:val="231F20"/>
          <w:w w:val="105"/>
        </w:rPr>
        <w:t>die</w:t>
      </w:r>
      <w:r>
        <w:rPr>
          <w:color w:val="231F20"/>
          <w:spacing w:val="-21"/>
          <w:w w:val="105"/>
        </w:rPr>
        <w:t> </w:t>
      </w:r>
      <w:r>
        <w:rPr>
          <w:color w:val="231F20"/>
          <w:w w:val="105"/>
        </w:rPr>
        <w:t>bij</w:t>
      </w:r>
      <w:r>
        <w:rPr>
          <w:color w:val="231F20"/>
          <w:spacing w:val="-21"/>
          <w:w w:val="105"/>
        </w:rPr>
        <w:t> </w:t>
      </w:r>
      <w:r>
        <w:rPr>
          <w:color w:val="231F20"/>
          <w:w w:val="105"/>
        </w:rPr>
        <w:t>de</w:t>
      </w:r>
      <w:r>
        <w:rPr>
          <w:color w:val="231F20"/>
          <w:spacing w:val="-21"/>
          <w:w w:val="105"/>
        </w:rPr>
        <w:t> </w:t>
      </w:r>
      <w:r>
        <w:rPr>
          <w:color w:val="231F20"/>
          <w:w w:val="105"/>
        </w:rPr>
        <w:t>vereniging</w:t>
      </w:r>
      <w:r>
        <w:rPr>
          <w:color w:val="231F20"/>
          <w:spacing w:val="-22"/>
          <w:w w:val="105"/>
        </w:rPr>
        <w:t> </w:t>
      </w:r>
      <w:r>
        <w:rPr>
          <w:color w:val="231F20"/>
          <w:w w:val="105"/>
        </w:rPr>
        <w:t>of</w:t>
      </w:r>
      <w:r>
        <w:rPr>
          <w:color w:val="231F20"/>
          <w:spacing w:val="-21"/>
          <w:w w:val="105"/>
        </w:rPr>
        <w:t> </w:t>
      </w:r>
      <w:r>
        <w:rPr>
          <w:color w:val="231F20"/>
          <w:w w:val="105"/>
        </w:rPr>
        <w:t>voor</w:t>
      </w:r>
      <w:r>
        <w:rPr>
          <w:color w:val="231F20"/>
          <w:spacing w:val="-21"/>
          <w:w w:val="105"/>
        </w:rPr>
        <w:t> </w:t>
      </w:r>
      <w:r>
        <w:rPr>
          <w:color w:val="231F20"/>
          <w:w w:val="105"/>
        </w:rPr>
        <w:t>rekening ervan een mandaat bekleden, evenals alle boekhoudkundige</w:t>
      </w:r>
      <w:r>
        <w:rPr>
          <w:color w:val="231F20"/>
          <w:spacing w:val="-18"/>
          <w:w w:val="105"/>
        </w:rPr>
        <w:t> </w:t>
      </w:r>
      <w:r>
        <w:rPr>
          <w:color w:val="231F20"/>
          <w:w w:val="105"/>
        </w:rPr>
        <w:t>stukken van de vereniging raadplegen. Daartoe richten zij een schriftelijk verzoek</w:t>
      </w:r>
      <w:r>
        <w:rPr>
          <w:color w:val="231F20"/>
          <w:spacing w:val="-6"/>
          <w:w w:val="105"/>
        </w:rPr>
        <w:t> </w:t>
      </w:r>
      <w:r>
        <w:rPr>
          <w:color w:val="231F20"/>
          <w:w w:val="105"/>
        </w:rPr>
        <w:t>aan</w:t>
      </w:r>
      <w:r>
        <w:rPr>
          <w:color w:val="231F20"/>
          <w:spacing w:val="-6"/>
          <w:w w:val="105"/>
        </w:rPr>
        <w:t> </w:t>
      </w:r>
      <w:r>
        <w:rPr>
          <w:color w:val="231F20"/>
          <w:w w:val="105"/>
        </w:rPr>
        <w:t>het</w:t>
      </w:r>
      <w:r>
        <w:rPr>
          <w:color w:val="231F20"/>
          <w:spacing w:val="-6"/>
          <w:w w:val="105"/>
        </w:rPr>
        <w:t> </w:t>
      </w:r>
      <w:r>
        <w:rPr>
          <w:color w:val="231F20"/>
          <w:w w:val="105"/>
        </w:rPr>
        <w:t>bestuursorgaan</w:t>
      </w:r>
      <w:r>
        <w:rPr>
          <w:color w:val="231F20"/>
          <w:spacing w:val="-6"/>
          <w:w w:val="105"/>
        </w:rPr>
        <w:t> </w:t>
      </w:r>
      <w:r>
        <w:rPr>
          <w:color w:val="231F20"/>
          <w:w w:val="105"/>
        </w:rPr>
        <w:t>met</w:t>
      </w:r>
      <w:r>
        <w:rPr>
          <w:color w:val="231F20"/>
          <w:spacing w:val="-6"/>
          <w:w w:val="105"/>
        </w:rPr>
        <w:t> </w:t>
      </w:r>
      <w:r>
        <w:rPr>
          <w:color w:val="231F20"/>
          <w:w w:val="105"/>
        </w:rPr>
        <w:t>wie</w:t>
      </w:r>
      <w:r>
        <w:rPr>
          <w:color w:val="231F20"/>
          <w:spacing w:val="-6"/>
          <w:w w:val="105"/>
        </w:rPr>
        <w:t> </w:t>
      </w:r>
      <w:r>
        <w:rPr>
          <w:color w:val="231F20"/>
          <w:w w:val="105"/>
        </w:rPr>
        <w:t>zij</w:t>
      </w:r>
      <w:r>
        <w:rPr>
          <w:color w:val="231F20"/>
          <w:spacing w:val="-6"/>
          <w:w w:val="105"/>
        </w:rPr>
        <w:t> </w:t>
      </w:r>
      <w:r>
        <w:rPr>
          <w:color w:val="231F20"/>
          <w:w w:val="105"/>
        </w:rPr>
        <w:t>een</w:t>
      </w:r>
      <w:r>
        <w:rPr>
          <w:color w:val="231F20"/>
          <w:spacing w:val="-6"/>
          <w:w w:val="105"/>
        </w:rPr>
        <w:t> </w:t>
      </w:r>
      <w:r>
        <w:rPr>
          <w:color w:val="231F20"/>
          <w:w w:val="105"/>
        </w:rPr>
        <w:t>datum</w:t>
      </w:r>
      <w:r>
        <w:rPr>
          <w:color w:val="231F20"/>
          <w:spacing w:val="-6"/>
          <w:w w:val="105"/>
        </w:rPr>
        <w:t> </w:t>
      </w:r>
      <w:r>
        <w:rPr>
          <w:color w:val="231F20"/>
          <w:w w:val="105"/>
        </w:rPr>
        <w:t>en</w:t>
      </w:r>
      <w:r>
        <w:rPr>
          <w:color w:val="231F20"/>
          <w:spacing w:val="-6"/>
          <w:w w:val="105"/>
        </w:rPr>
        <w:t> </w:t>
      </w:r>
      <w:r>
        <w:rPr>
          <w:color w:val="231F20"/>
          <w:w w:val="105"/>
        </w:rPr>
        <w:t>het</w:t>
      </w:r>
      <w:r>
        <w:rPr>
          <w:color w:val="231F20"/>
          <w:spacing w:val="-6"/>
          <w:w w:val="105"/>
        </w:rPr>
        <w:t> </w:t>
      </w:r>
      <w:r>
        <w:rPr>
          <w:color w:val="231F20"/>
          <w:w w:val="105"/>
        </w:rPr>
        <w:t>uur</w:t>
      </w:r>
      <w:r>
        <w:rPr>
          <w:color w:val="231F20"/>
          <w:spacing w:val="-6"/>
          <w:w w:val="105"/>
        </w:rPr>
        <w:t> </w:t>
      </w:r>
      <w:r>
        <w:rPr>
          <w:color w:val="231F20"/>
          <w:w w:val="105"/>
        </w:rPr>
        <w:t>van de raadpleging van de documenten en stukken overeenkomen. Deze kunnen</w:t>
      </w:r>
      <w:r>
        <w:rPr>
          <w:color w:val="231F20"/>
          <w:spacing w:val="-18"/>
          <w:w w:val="105"/>
        </w:rPr>
        <w:t> </w:t>
      </w:r>
      <w:r>
        <w:rPr>
          <w:color w:val="231F20"/>
          <w:w w:val="105"/>
        </w:rPr>
        <w:t>niet</w:t>
      </w:r>
      <w:r>
        <w:rPr>
          <w:color w:val="231F20"/>
          <w:spacing w:val="-18"/>
          <w:w w:val="105"/>
        </w:rPr>
        <w:t> </w:t>
      </w:r>
      <w:r>
        <w:rPr>
          <w:color w:val="231F20"/>
          <w:w w:val="105"/>
        </w:rPr>
        <w:t>worden</w:t>
      </w:r>
      <w:r>
        <w:rPr>
          <w:color w:val="231F20"/>
          <w:spacing w:val="-18"/>
          <w:w w:val="105"/>
        </w:rPr>
        <w:t> </w:t>
      </w:r>
      <w:r>
        <w:rPr>
          <w:color w:val="231F20"/>
          <w:w w:val="105"/>
        </w:rPr>
        <w:t>verplaatst.</w:t>
      </w:r>
      <w:r>
        <w:rPr>
          <w:color w:val="231F20"/>
          <w:spacing w:val="-18"/>
          <w:w w:val="105"/>
        </w:rPr>
        <w:t> </w:t>
      </w:r>
      <w:r>
        <w:rPr>
          <w:color w:val="231F20"/>
          <w:w w:val="105"/>
        </w:rPr>
        <w:t>Kopieën</w:t>
      </w:r>
      <w:r>
        <w:rPr>
          <w:color w:val="231F20"/>
          <w:spacing w:val="-18"/>
          <w:w w:val="105"/>
        </w:rPr>
        <w:t> </w:t>
      </w:r>
      <w:r>
        <w:rPr>
          <w:color w:val="231F20"/>
          <w:w w:val="105"/>
        </w:rPr>
        <w:t>voor</w:t>
      </w:r>
      <w:r>
        <w:rPr>
          <w:color w:val="231F20"/>
          <w:spacing w:val="-17"/>
          <w:w w:val="105"/>
        </w:rPr>
        <w:t> </w:t>
      </w:r>
      <w:r>
        <w:rPr>
          <w:color w:val="231F20"/>
          <w:w w:val="105"/>
        </w:rPr>
        <w:t>derden</w:t>
      </w:r>
      <w:r>
        <w:rPr>
          <w:color w:val="231F20"/>
          <w:spacing w:val="-18"/>
          <w:w w:val="105"/>
        </w:rPr>
        <w:t> </w:t>
      </w:r>
      <w:r>
        <w:rPr>
          <w:color w:val="231F20"/>
          <w:w w:val="105"/>
        </w:rPr>
        <w:t>worden</w:t>
      </w:r>
      <w:r>
        <w:rPr>
          <w:color w:val="231F20"/>
          <w:spacing w:val="-18"/>
          <w:w w:val="105"/>
        </w:rPr>
        <w:t> </w:t>
      </w:r>
      <w:r>
        <w:rPr>
          <w:color w:val="231F20"/>
          <w:w w:val="105"/>
        </w:rPr>
        <w:t>onderte- kend door één of meer vertegenwoordigingsbevoegde leden van het bestuursorgaan.</w:t>
      </w:r>
    </w:p>
    <w:p>
      <w:pPr>
        <w:pStyle w:val="BodyText"/>
        <w:spacing w:before="10"/>
        <w:ind w:left="0" w:right="0" w:firstLine="0"/>
        <w:jc w:val="left"/>
        <w:rPr>
          <w:sz w:val="21"/>
        </w:rPr>
      </w:pPr>
    </w:p>
    <w:p>
      <w:pPr>
        <w:pStyle w:val="BodyText"/>
        <w:ind w:left="283" w:right="0" w:firstLine="0"/>
        <w:jc w:val="left"/>
      </w:pPr>
      <w:r>
        <w:rPr>
          <w:color w:val="231F20"/>
        </w:rPr>
        <w:t>DEEL 2. De vennootschappen.</w:t>
      </w:r>
    </w:p>
    <w:p>
      <w:pPr>
        <w:pStyle w:val="BodyText"/>
        <w:spacing w:line="218" w:lineRule="auto" w:before="82"/>
        <w:ind w:right="126"/>
      </w:pPr>
      <w:r>
        <w:rPr>
          <w:color w:val="231F20"/>
        </w:rPr>
        <w:t>BOEK 4. De maatschap, de vennootschap onder firma en de commanditaire vennootschap.</w:t>
      </w:r>
    </w:p>
    <w:p>
      <w:pPr>
        <w:pStyle w:val="BodyText"/>
        <w:spacing w:before="71"/>
        <w:ind w:left="283" w:right="0" w:firstLine="0"/>
        <w:jc w:val="left"/>
      </w:pPr>
      <w:r>
        <w:rPr>
          <w:color w:val="231F20"/>
        </w:rPr>
        <w:t>TITEL 1. Inleidende bepalingen.</w:t>
      </w:r>
    </w:p>
    <w:p>
      <w:pPr>
        <w:pStyle w:val="BodyText"/>
        <w:spacing w:line="218" w:lineRule="auto" w:before="82"/>
      </w:pPr>
      <w:r>
        <w:rPr>
          <w:color w:val="231F20"/>
        </w:rPr>
        <w:t>Art. 4:1. De maatschap is een overeenkomst waarbij twee of meer personen zich verbinden om hun inbrengen in gemeenschap te brengen, met het oogmerk het rechtstreekse of onrechtstreekse vermo- gensvoordeel dat daaruit kan ontstaan, met elkaar te delen. Zij wordt in het</w:t>
      </w:r>
      <w:r>
        <w:rPr>
          <w:color w:val="231F20"/>
          <w:spacing w:val="16"/>
        </w:rPr>
        <w:t> </w:t>
      </w:r>
      <w:r>
        <w:rPr>
          <w:color w:val="231F20"/>
        </w:rPr>
        <w:t>gemeenschappelijk</w:t>
      </w:r>
      <w:r>
        <w:rPr>
          <w:color w:val="231F20"/>
          <w:spacing w:val="16"/>
        </w:rPr>
        <w:t> </w:t>
      </w:r>
      <w:r>
        <w:rPr>
          <w:color w:val="231F20"/>
        </w:rPr>
        <w:t>belang</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partijen</w:t>
      </w:r>
      <w:r>
        <w:rPr>
          <w:color w:val="231F20"/>
          <w:spacing w:val="16"/>
        </w:rPr>
        <w:t> </w:t>
      </w:r>
      <w:r>
        <w:rPr>
          <w:color w:val="231F20"/>
        </w:rPr>
        <w:t>aangegaan.</w:t>
      </w:r>
    </w:p>
    <w:p>
      <w:pPr>
        <w:pStyle w:val="BodyText"/>
        <w:spacing w:line="218" w:lineRule="auto" w:before="86"/>
      </w:pPr>
      <w:r>
        <w:rPr>
          <w:color w:val="231F20"/>
        </w:rPr>
        <w:t>De maatschap is “stil” wanneer overeengekomen wordt dat zij bestuurd wordt door een of meer zaakvoerders, al dan niet vennoten, die handelen in eigen naam.</w:t>
      </w:r>
    </w:p>
    <w:p>
      <w:pPr>
        <w:pStyle w:val="BodyText"/>
        <w:spacing w:line="218" w:lineRule="auto" w:before="85"/>
      </w:pPr>
      <w:r>
        <w:rPr>
          <w:color w:val="231F20"/>
        </w:rPr>
        <w:t>Tenzij anders overeengekomen, wordt zij aangegaan met inachtne- ming van de persoon van de vennoten.</w:t>
      </w:r>
    </w:p>
    <w:p>
      <w:pPr>
        <w:pStyle w:val="BodyText"/>
        <w:spacing w:before="72"/>
        <w:ind w:left="283" w:right="0" w:firstLine="0"/>
        <w:jc w:val="left"/>
      </w:pPr>
      <w:r>
        <w:rPr>
          <w:color w:val="231F20"/>
        </w:rPr>
        <w:t>Art. 4:2. Elke maatschap moet een geoorloofd voorwerp hebben.</w:t>
      </w:r>
    </w:p>
    <w:p>
      <w:pPr>
        <w:pStyle w:val="BodyText"/>
        <w:spacing w:line="218" w:lineRule="auto" w:before="92"/>
      </w:pPr>
      <w:r>
        <w:rPr>
          <w:color w:val="231F20"/>
        </w:rPr>
        <w:t>De overeenkomst die aan één van de vennoten de gehele winst toekent, of aan één of meer vennoten enige deelname in de winst ontzegt, is nietig tenzij zij een andere kwalificatie kan krijgen waardoor zij rechtsgeldig zou worden of gedeeltelijk geldig kan blijven.</w:t>
      </w:r>
    </w:p>
    <w:p>
      <w:pPr>
        <w:pStyle w:val="BodyText"/>
        <w:spacing w:line="218" w:lineRule="auto" w:before="97"/>
      </w:pPr>
      <w:r>
        <w:rPr>
          <w:color w:val="231F20"/>
        </w:rPr>
        <w:t>Art. 4:3. Indien de overeenkomst niets bepaalt over de duur van de maatschap, wordt zij geacht voor onbepaalde duur te zijn aangegaan.</w:t>
      </w:r>
    </w:p>
    <w:p>
      <w:pPr>
        <w:pStyle w:val="BodyText"/>
        <w:spacing w:line="218" w:lineRule="auto" w:before="96"/>
      </w:pPr>
      <w:r>
        <w:rPr>
          <w:color w:val="231F20"/>
        </w:rPr>
        <w:t>De maatschap met een welbepaalde verrichting tot voorwerp wordt geacht te zijn aangegaan voor de tijd die de verrichting zal duren.</w:t>
      </w:r>
    </w:p>
    <w:p>
      <w:pPr>
        <w:pStyle w:val="BodyText"/>
        <w:spacing w:before="82"/>
        <w:ind w:left="283" w:right="0" w:firstLine="0"/>
        <w:jc w:val="left"/>
      </w:pPr>
      <w:r>
        <w:rPr>
          <w:color w:val="231F20"/>
        </w:rPr>
        <w:t>TITEL 2. Het aandeel van de vennoten.</w:t>
      </w:r>
    </w:p>
    <w:p>
      <w:pPr>
        <w:pStyle w:val="BodyText"/>
        <w:spacing w:line="218" w:lineRule="auto" w:before="93"/>
      </w:pPr>
      <w:r>
        <w:rPr>
          <w:color w:val="231F20"/>
        </w:rPr>
        <w:t>Art. 4:4. De overeenkomst bepaalt het aandeel van de vennoten in de winsten en verliezen alsook in het vennootschapsvermogen  ingeval  van</w:t>
      </w:r>
      <w:r>
        <w:rPr>
          <w:color w:val="231F20"/>
          <w:spacing w:val="15"/>
        </w:rPr>
        <w:t> </w:t>
      </w:r>
      <w:r>
        <w:rPr>
          <w:color w:val="231F20"/>
        </w:rPr>
        <w:t>ontbinding.</w:t>
      </w:r>
    </w:p>
    <w:p>
      <w:pPr>
        <w:pStyle w:val="BodyText"/>
        <w:spacing w:line="218" w:lineRule="auto" w:before="96"/>
      </w:pPr>
      <w:r>
        <w:rPr>
          <w:color w:val="231F20"/>
        </w:rPr>
        <w:t>Wanneer dat aandeel niet is bepaald, is ieders aandeel evenredig aan zijn inbreng in de vennootschap. Ingeval een vennoot slechts zijn nijverheid heeft ingebracht, wordt zijn aandeel geregeld alsof zijn inbreng gelijk was aan de kleinste inbreng anders dan in nijverheid.</w:t>
      </w:r>
    </w:p>
    <w:p>
      <w:pPr>
        <w:pStyle w:val="BodyText"/>
        <w:spacing w:line="218" w:lineRule="auto" w:before="96"/>
      </w:pPr>
      <w:r>
        <w:rPr>
          <w:color w:val="231F20"/>
        </w:rPr>
        <w:t>Art. 4:5. De vennoten kunnen overeenkomen om de regeling van de hoegrootheid van hun aandelen over te laten aan een derde of zelfs aan een van hen.</w:t>
      </w:r>
    </w:p>
    <w:p>
      <w:pPr>
        <w:pStyle w:val="BodyText"/>
        <w:spacing w:before="82"/>
        <w:ind w:left="283" w:right="0" w:firstLine="0"/>
        <w:jc w:val="left"/>
      </w:pPr>
      <w:r>
        <w:rPr>
          <w:color w:val="231F20"/>
        </w:rPr>
        <w:t>De beslissing van die derde of van die medevennoot is bindend.</w:t>
      </w:r>
    </w:p>
    <w:p>
      <w:pPr>
        <w:pStyle w:val="BodyText"/>
        <w:spacing w:line="218" w:lineRule="auto" w:before="93"/>
      </w:pPr>
      <w:r>
        <w:rPr>
          <w:color w:val="231F20"/>
        </w:rPr>
        <w:t>Zij kan enkel nietig worden verklaard ingeval van grove fout of van bedrog of indien zij kennelijk strijdig is met de billijkheid.</w:t>
      </w:r>
    </w:p>
    <w:p>
      <w:pPr>
        <w:pStyle w:val="BodyText"/>
        <w:spacing w:line="218" w:lineRule="auto" w:before="96"/>
      </w:pPr>
      <w:r>
        <w:rPr>
          <w:color w:val="231F20"/>
        </w:rPr>
        <w:t>De vordering tot nietigverklaring kan niet worden toegelaten indien de vennoot die haar heeft ingesteld niet uitdrukkelijk bezwaar gemaakt heeft tegen de regeling binnen drie maanden dat hij daarvan kennis had of indien hij aan die regeling zonder voorbehoud een begin van uitvoering heeft</w:t>
      </w:r>
      <w:r>
        <w:rPr>
          <w:color w:val="231F20"/>
          <w:spacing w:val="-10"/>
        </w:rPr>
        <w:t> </w:t>
      </w:r>
      <w:r>
        <w:rPr>
          <w:color w:val="231F20"/>
        </w:rPr>
        <w:t>gegeven.</w:t>
      </w:r>
    </w:p>
    <w:p>
      <w:pPr>
        <w:pStyle w:val="BodyText"/>
        <w:spacing w:line="218" w:lineRule="auto" w:before="96"/>
      </w:pPr>
      <w:r>
        <w:rPr>
          <w:color w:val="231F20"/>
        </w:rPr>
        <w:t>Art. 4:6. De aandelen kunnen niet worden overgedragen, tenzij anders is overeengekomen.</w:t>
      </w:r>
    </w:p>
    <w:p>
      <w:pPr>
        <w:spacing w:after="0" w:line="218" w:lineRule="auto"/>
        <w:sectPr>
          <w:pgSz w:w="11940" w:h="16880"/>
          <w:pgMar w:header="666" w:footer="0" w:top="1140" w:bottom="280" w:left="340" w:right="360"/>
          <w:cols w:num="2" w:equalWidth="0">
            <w:col w:w="5575" w:space="52"/>
            <w:col w:w="5613"/>
          </w:cols>
        </w:sectPr>
      </w:pPr>
    </w:p>
    <w:p>
      <w:pPr>
        <w:pStyle w:val="BodyText"/>
        <w:spacing w:line="218" w:lineRule="auto" w:before="120"/>
        <w:ind w:right="38"/>
      </w:pPr>
      <w:r>
        <w:rPr/>
        <w:pict>
          <v:line style="position:absolute;mso-position-horizontal-relative:page;mso-position-vertical-relative:page;z-index:3064" from="298.170502pt,64.473pt" to="298.170502pt,812.819pt" stroked="true" strokeweight=".533pt" strokecolor="#231f20">
            <v:stroke dashstyle="solid"/>
            <w10:wrap type="none"/>
          </v:line>
        </w:pict>
      </w:r>
      <w:bookmarkStart w:name="_bookmark85" w:id="90"/>
      <w:bookmarkEnd w:id="90"/>
      <w:r>
        <w:rPr/>
      </w:r>
      <w:r>
        <w:rPr>
          <w:color w:val="231F20"/>
        </w:rPr>
        <w:t>Chaque associé peut néanmoins, sans le consentement de ses associés, s’associer une tierce personne relativement à la part qu’il a dans la société.</w:t>
      </w:r>
    </w:p>
    <w:p>
      <w:pPr>
        <w:pStyle w:val="BodyText"/>
        <w:spacing w:line="218" w:lineRule="auto" w:before="107"/>
        <w:ind w:right="39"/>
      </w:pPr>
      <w:r>
        <w:rPr>
          <w:color w:val="231F20"/>
        </w:rPr>
        <w:t>Art. 4:7. La cession des parts, lorsqu’elle est autorisée par la convention, ne peut être faite que d’après les formes du droit civil.</w:t>
      </w:r>
    </w:p>
    <w:p>
      <w:pPr>
        <w:pStyle w:val="BodyText"/>
        <w:spacing w:before="9"/>
        <w:ind w:left="0" w:right="0" w:firstLine="0"/>
        <w:jc w:val="left"/>
        <w:rPr>
          <w:sz w:val="24"/>
        </w:rPr>
      </w:pPr>
    </w:p>
    <w:p>
      <w:pPr>
        <w:pStyle w:val="BodyText"/>
        <w:spacing w:line="218" w:lineRule="auto"/>
        <w:ind w:right="38"/>
      </w:pPr>
      <w:r>
        <w:rPr>
          <w:color w:val="231F20"/>
        </w:rPr>
        <w:t>Elle ne peut avoir d’effet quant aux engagements de la société antérieurs à son opposabilité.</w:t>
      </w:r>
    </w:p>
    <w:p>
      <w:pPr>
        <w:pStyle w:val="BodyText"/>
        <w:spacing w:before="8"/>
        <w:ind w:left="0" w:right="0" w:firstLine="0"/>
        <w:jc w:val="left"/>
        <w:rPr>
          <w:sz w:val="23"/>
        </w:rPr>
      </w:pPr>
    </w:p>
    <w:p>
      <w:pPr>
        <w:pStyle w:val="BodyText"/>
        <w:ind w:left="283" w:right="0" w:firstLine="0"/>
        <w:jc w:val="left"/>
      </w:pPr>
      <w:r>
        <w:rPr>
          <w:color w:val="231F20"/>
        </w:rPr>
        <w:t>TITRE 3. L’administration des affaires sociales.</w:t>
      </w:r>
    </w:p>
    <w:p>
      <w:pPr>
        <w:pStyle w:val="BodyText"/>
        <w:spacing w:line="218" w:lineRule="auto" w:before="103"/>
        <w:ind w:right="38"/>
      </w:pPr>
      <w:r>
        <w:rPr>
          <w:color w:val="231F20"/>
        </w:rPr>
        <w:t>Art. 4:8. La société est administrée par un ou plusieurs gérants, associés ou non, ayant la qualité de mandataires, dont les pouvoirs sont déterminés par l’acte qui les désigne.</w:t>
      </w:r>
    </w:p>
    <w:p>
      <w:pPr>
        <w:pStyle w:val="BodyText"/>
        <w:spacing w:before="10"/>
        <w:ind w:left="0" w:right="0" w:firstLine="0"/>
        <w:jc w:val="left"/>
        <w:rPr>
          <w:sz w:val="24"/>
        </w:rPr>
      </w:pPr>
    </w:p>
    <w:p>
      <w:pPr>
        <w:pStyle w:val="BodyText"/>
        <w:spacing w:line="218" w:lineRule="auto"/>
        <w:ind w:right="38"/>
      </w:pPr>
      <w:r>
        <w:rPr>
          <w:color w:val="231F20"/>
        </w:rPr>
        <w:t>À moins que la convention ou l’acte qui les désigne ne prévoie qu’ils doivent agir conjointement, ces mandataires peuvent accomplir sépa- rément les actes qui relèvent de leur mandat.</w:t>
      </w:r>
    </w:p>
    <w:p>
      <w:pPr>
        <w:pStyle w:val="BodyText"/>
        <w:spacing w:line="218" w:lineRule="auto" w:before="107"/>
        <w:ind w:right="38"/>
      </w:pPr>
      <w:r>
        <w:rPr>
          <w:color w:val="231F20"/>
        </w:rPr>
        <w:t>Art. 4:9. </w:t>
      </w:r>
      <w:r>
        <w:rPr>
          <w:color w:val="231F20"/>
          <w:spacing w:val="-4"/>
        </w:rPr>
        <w:t>Tant </w:t>
      </w:r>
      <w:r>
        <w:rPr>
          <w:color w:val="231F20"/>
        </w:rPr>
        <w:t>que la société dure, le gérant chargé de l’administration par une clause spéciale du contrat de société ne peut être révoqué que pour de justes motifs laissés à l’appréciation du juge ou par décision  des associés prise à l’unanimité ou, si le contrat le prévoit, aux conditions</w:t>
      </w:r>
      <w:r>
        <w:rPr>
          <w:color w:val="231F20"/>
          <w:spacing w:val="15"/>
        </w:rPr>
        <w:t> </w:t>
      </w:r>
      <w:r>
        <w:rPr>
          <w:color w:val="231F20"/>
        </w:rPr>
        <w:t>de</w:t>
      </w:r>
      <w:r>
        <w:rPr>
          <w:color w:val="231F20"/>
          <w:spacing w:val="15"/>
        </w:rPr>
        <w:t> </w:t>
      </w:r>
      <w:r>
        <w:rPr>
          <w:color w:val="231F20"/>
        </w:rPr>
        <w:t>majorité</w:t>
      </w:r>
      <w:r>
        <w:rPr>
          <w:color w:val="231F20"/>
          <w:spacing w:val="15"/>
        </w:rPr>
        <w:t> </w:t>
      </w:r>
      <w:r>
        <w:rPr>
          <w:color w:val="231F20"/>
        </w:rPr>
        <w:t>prévues</w:t>
      </w:r>
      <w:r>
        <w:rPr>
          <w:color w:val="231F20"/>
          <w:spacing w:val="15"/>
        </w:rPr>
        <w:t> </w:t>
      </w:r>
      <w:r>
        <w:rPr>
          <w:color w:val="231F20"/>
        </w:rPr>
        <w:t>par</w:t>
      </w:r>
      <w:r>
        <w:rPr>
          <w:color w:val="231F20"/>
          <w:spacing w:val="15"/>
        </w:rPr>
        <w:t> </w:t>
      </w:r>
      <w:r>
        <w:rPr>
          <w:color w:val="231F20"/>
        </w:rPr>
        <w:t>celui-ci.</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ind w:right="38"/>
      </w:pPr>
      <w:r>
        <w:rPr>
          <w:color w:val="231F20"/>
        </w:rPr>
        <w:t>Dans les autres cas, il peut être révoqué comme un simple mandataire.</w:t>
      </w:r>
    </w:p>
    <w:p>
      <w:pPr>
        <w:pStyle w:val="BodyText"/>
        <w:spacing w:line="218" w:lineRule="auto" w:before="107"/>
        <w:ind w:right="38"/>
      </w:pPr>
      <w:r>
        <w:rPr>
          <w:color w:val="231F20"/>
        </w:rPr>
        <w:t>Art. 4:10. À défaut de stipulations spéciales sur le mode d’adminis- tration, les associés sont censés s’être donné réciproquement le pouvoir d’administrer l’un pour l’autre.</w:t>
      </w:r>
    </w:p>
    <w:p>
      <w:pPr>
        <w:pStyle w:val="BodyText"/>
        <w:spacing w:line="218" w:lineRule="auto" w:before="107"/>
        <w:ind w:right="38"/>
      </w:pPr>
      <w:r>
        <w:rPr>
          <w:color w:val="231F20"/>
        </w:rPr>
        <w:t>Les actes d’administration accomplis par l’un des associés lient les autres à moins que l’un d’eux ne s’y oppose avant que l’opération soit conclue.</w:t>
      </w:r>
    </w:p>
    <w:p>
      <w:pPr>
        <w:pStyle w:val="BodyText"/>
        <w:spacing w:line="218" w:lineRule="auto" w:before="107"/>
        <w:ind w:right="38"/>
      </w:pPr>
      <w:r>
        <w:rPr>
          <w:color w:val="231F20"/>
        </w:rPr>
        <w:t>Art. 4:11. Les associés ne sont liés à l’égard des tiers par l’acte de l’un d’eux ou d’un gérant que pour autant que ceux-ci aient agi dans les limites de leurs pouvoirs.</w:t>
      </w:r>
    </w:p>
    <w:p>
      <w:pPr>
        <w:pStyle w:val="BodyText"/>
        <w:spacing w:before="92"/>
        <w:ind w:left="283" w:right="0" w:firstLine="0"/>
        <w:jc w:val="left"/>
      </w:pPr>
      <w:r>
        <w:rPr>
          <w:color w:val="231F20"/>
        </w:rPr>
        <w:t>TITRE 4. Les décisions des associés réunis en assemblée.</w:t>
      </w:r>
    </w:p>
    <w:p>
      <w:pPr>
        <w:pStyle w:val="BodyText"/>
        <w:spacing w:line="218" w:lineRule="auto" w:before="104"/>
        <w:ind w:right="38"/>
      </w:pPr>
      <w:r>
        <w:rPr>
          <w:color w:val="231F20"/>
        </w:rPr>
        <w:t>Art. 4:12. Les associés réunis en assemblée prennent à l’unanimité toute décision qui intéresse la société ou qui a pour objet de modifier la convention, à moins que la convention prévoie que leurs décisions seront prises à la majorité.</w:t>
      </w:r>
    </w:p>
    <w:p>
      <w:pPr>
        <w:pStyle w:val="BodyText"/>
        <w:spacing w:line="218" w:lineRule="auto" w:before="107"/>
        <w:ind w:right="38"/>
      </w:pPr>
      <w:r>
        <w:rPr>
          <w:color w:val="231F20"/>
        </w:rPr>
        <w:t>La clause permettant aux associés de modifier la convention à la majorité n’étend pas ses effets à la modification de l’objet essentiel de la société.</w:t>
      </w:r>
    </w:p>
    <w:p>
      <w:pPr>
        <w:pStyle w:val="BodyText"/>
        <w:spacing w:line="218" w:lineRule="auto" w:before="107"/>
        <w:ind w:right="38"/>
      </w:pPr>
      <w:r>
        <w:rPr>
          <w:color w:val="231F20"/>
        </w:rPr>
        <w:t>Les décisions prises à la majorité des associés dans les conditions prévues par la convention lient l’ensemble des associés sauf fraude ou abus de droit.</w:t>
      </w:r>
    </w:p>
    <w:p>
      <w:pPr>
        <w:pStyle w:val="BodyText"/>
        <w:spacing w:before="92"/>
        <w:ind w:left="283" w:right="0" w:firstLine="0"/>
        <w:jc w:val="left"/>
      </w:pPr>
      <w:r>
        <w:rPr>
          <w:color w:val="231F20"/>
        </w:rPr>
        <w:t>TITRE 5. Le patrimoine social et les droits des créanciers.</w:t>
      </w:r>
    </w:p>
    <w:p>
      <w:pPr>
        <w:pStyle w:val="BodyText"/>
        <w:spacing w:before="7"/>
        <w:ind w:left="0" w:right="0" w:firstLine="0"/>
        <w:jc w:val="left"/>
        <w:rPr>
          <w:sz w:val="24"/>
        </w:rPr>
      </w:pPr>
    </w:p>
    <w:p>
      <w:pPr>
        <w:pStyle w:val="BodyText"/>
        <w:spacing w:line="218" w:lineRule="auto"/>
        <w:ind w:right="38"/>
      </w:pPr>
      <w:r>
        <w:rPr>
          <w:color w:val="231F20"/>
        </w:rPr>
        <w:t>Art. 4:13. Les biens apportés à la société ainsi que ceux qui résultent de l’activité sociale forment un patrimoine indivis entre les associés.</w:t>
      </w:r>
    </w:p>
    <w:p>
      <w:pPr>
        <w:pStyle w:val="BodyText"/>
        <w:spacing w:before="10"/>
        <w:ind w:left="0" w:right="0" w:firstLine="0"/>
        <w:jc w:val="left"/>
        <w:rPr>
          <w:sz w:val="24"/>
        </w:rPr>
      </w:pPr>
    </w:p>
    <w:p>
      <w:pPr>
        <w:pStyle w:val="BodyText"/>
        <w:spacing w:line="218" w:lineRule="auto"/>
        <w:ind w:right="38"/>
      </w:pPr>
      <w:r>
        <w:rPr>
          <w:color w:val="231F20"/>
        </w:rPr>
        <w:t>Les biens composant le patrimoine social sont affectés à l’activité de la société.</w:t>
      </w:r>
    </w:p>
    <w:p>
      <w:pPr>
        <w:pStyle w:val="BodyText"/>
        <w:spacing w:line="218" w:lineRule="auto" w:before="107"/>
        <w:ind w:right="38"/>
      </w:pPr>
      <w:r>
        <w:rPr>
          <w:color w:val="231F20"/>
        </w:rPr>
        <w:t>Les associés ne peuvent prétendre exercer sur ceux-ci des droits qui soient contraires à leur affectation.</w:t>
      </w:r>
    </w:p>
    <w:p>
      <w:pPr>
        <w:pStyle w:val="BodyText"/>
        <w:spacing w:line="218" w:lineRule="auto" w:before="106"/>
        <w:ind w:right="38"/>
      </w:pPr>
      <w:r>
        <w:rPr>
          <w:color w:val="231F20"/>
        </w:rPr>
        <w:t>Art. 4:14. Les créanciers dont la créance trouve sa source dans l’activité de la société peuvent exercer leur recours sur l’ensemble du patrimoine social. Les associés sont personnellement et solidairement tenus à leur égard sur leur patrimoine propre.</w:t>
      </w:r>
    </w:p>
    <w:p>
      <w:pPr>
        <w:pStyle w:val="BodyText"/>
        <w:spacing w:before="7"/>
        <w:ind w:left="0" w:right="0" w:firstLine="0"/>
        <w:jc w:val="left"/>
        <w:rPr>
          <w:sz w:val="23"/>
        </w:rPr>
      </w:pPr>
    </w:p>
    <w:p>
      <w:pPr>
        <w:pStyle w:val="BodyText"/>
        <w:spacing w:line="218" w:lineRule="auto"/>
        <w:ind w:right="38"/>
      </w:pPr>
      <w:r>
        <w:rPr>
          <w:color w:val="231F20"/>
        </w:rPr>
        <w:t>Par dérogation à l’alinéa 1</w:t>
      </w:r>
      <w:r>
        <w:rPr>
          <w:color w:val="231F20"/>
          <w:position w:val="7"/>
          <w:sz w:val="11"/>
        </w:rPr>
        <w:t>er</w:t>
      </w:r>
      <w:r>
        <w:rPr>
          <w:color w:val="231F20"/>
        </w:rPr>
        <w:t>, si la société est interne les tiers n’ont de recours qu’à l’égard de l’associé ou du gérant qui a traité avec eux en nom personnel. Les tiers n’ont pas d’action directe contre les autres associés.</w:t>
      </w:r>
    </w:p>
    <w:p>
      <w:pPr>
        <w:pStyle w:val="BodyText"/>
        <w:spacing w:line="218" w:lineRule="auto" w:before="106"/>
        <w:ind w:right="38"/>
      </w:pPr>
      <w:r>
        <w:rPr>
          <w:color w:val="231F20"/>
        </w:rPr>
        <w:t>Art. 4:15. Sans préjudice de l’article </w:t>
      </w:r>
      <w:r>
        <w:rPr>
          <w:color w:val="231F20"/>
          <w:spacing w:val="-3"/>
        </w:rPr>
        <w:t>1166 </w:t>
      </w:r>
      <w:r>
        <w:rPr>
          <w:color w:val="231F20"/>
        </w:rPr>
        <w:t>du Code civil, les créanciers personnels</w:t>
      </w:r>
      <w:r>
        <w:rPr>
          <w:color w:val="231F20"/>
          <w:spacing w:val="-4"/>
        </w:rPr>
        <w:t> </w:t>
      </w:r>
      <w:r>
        <w:rPr>
          <w:color w:val="231F20"/>
        </w:rPr>
        <w:t>des</w:t>
      </w:r>
      <w:r>
        <w:rPr>
          <w:color w:val="231F20"/>
          <w:spacing w:val="-3"/>
        </w:rPr>
        <w:t> </w:t>
      </w:r>
      <w:r>
        <w:rPr>
          <w:color w:val="231F20"/>
        </w:rPr>
        <w:t>associés,</w:t>
      </w:r>
      <w:r>
        <w:rPr>
          <w:color w:val="231F20"/>
          <w:spacing w:val="-3"/>
        </w:rPr>
        <w:t> </w:t>
      </w:r>
      <w:r>
        <w:rPr>
          <w:color w:val="231F20"/>
        </w:rPr>
        <w:t>dont</w:t>
      </w:r>
      <w:r>
        <w:rPr>
          <w:color w:val="231F20"/>
          <w:spacing w:val="-3"/>
        </w:rPr>
        <w:t> </w:t>
      </w:r>
      <w:r>
        <w:rPr>
          <w:color w:val="231F20"/>
        </w:rPr>
        <w:t>la</w:t>
      </w:r>
      <w:r>
        <w:rPr>
          <w:color w:val="231F20"/>
          <w:spacing w:val="-4"/>
        </w:rPr>
        <w:t> </w:t>
      </w:r>
      <w:r>
        <w:rPr>
          <w:color w:val="231F20"/>
        </w:rPr>
        <w:t>créance</w:t>
      </w:r>
      <w:r>
        <w:rPr>
          <w:color w:val="231F20"/>
          <w:spacing w:val="-3"/>
        </w:rPr>
        <w:t> </w:t>
      </w:r>
      <w:r>
        <w:rPr>
          <w:color w:val="231F20"/>
        </w:rPr>
        <w:t>est</w:t>
      </w:r>
      <w:r>
        <w:rPr>
          <w:color w:val="231F20"/>
          <w:spacing w:val="-3"/>
        </w:rPr>
        <w:t> </w:t>
      </w:r>
      <w:r>
        <w:rPr>
          <w:color w:val="231F20"/>
        </w:rPr>
        <w:t>étrangère</w:t>
      </w:r>
      <w:r>
        <w:rPr>
          <w:color w:val="231F20"/>
          <w:spacing w:val="-3"/>
        </w:rPr>
        <w:t> </w:t>
      </w:r>
      <w:r>
        <w:rPr>
          <w:color w:val="231F20"/>
        </w:rPr>
        <w:t>à</w:t>
      </w:r>
      <w:r>
        <w:rPr>
          <w:color w:val="231F20"/>
          <w:spacing w:val="-4"/>
        </w:rPr>
        <w:t> </w:t>
      </w:r>
      <w:r>
        <w:rPr>
          <w:color w:val="231F20"/>
        </w:rPr>
        <w:t>l’activité</w:t>
      </w:r>
      <w:r>
        <w:rPr>
          <w:color w:val="231F20"/>
          <w:spacing w:val="-3"/>
        </w:rPr>
        <w:t> </w:t>
      </w:r>
      <w:r>
        <w:rPr>
          <w:color w:val="231F20"/>
        </w:rPr>
        <w:t>sociale, et ceux qui ont traité avec un associé qui n’avait pas le pouvoir</w:t>
      </w:r>
      <w:r>
        <w:rPr>
          <w:color w:val="231F20"/>
          <w:spacing w:val="5"/>
        </w:rPr>
        <w:t> </w:t>
      </w:r>
      <w:r>
        <w:rPr>
          <w:color w:val="231F20"/>
        </w:rPr>
        <w:t>de représenter les autres n’ont de recours que sur la part de cet associé et les</w:t>
      </w:r>
      <w:r>
        <w:rPr>
          <w:color w:val="231F20"/>
          <w:spacing w:val="14"/>
        </w:rPr>
        <w:t> </w:t>
      </w:r>
      <w:r>
        <w:rPr>
          <w:color w:val="231F20"/>
        </w:rPr>
        <w:t>bénéfices</w:t>
      </w:r>
      <w:r>
        <w:rPr>
          <w:color w:val="231F20"/>
          <w:spacing w:val="15"/>
        </w:rPr>
        <w:t> </w:t>
      </w:r>
      <w:r>
        <w:rPr>
          <w:color w:val="231F20"/>
        </w:rPr>
        <w:t>qui</w:t>
      </w:r>
      <w:r>
        <w:rPr>
          <w:color w:val="231F20"/>
          <w:spacing w:val="15"/>
        </w:rPr>
        <w:t> </w:t>
      </w:r>
      <w:r>
        <w:rPr>
          <w:color w:val="231F20"/>
        </w:rPr>
        <w:t>lui</w:t>
      </w:r>
      <w:r>
        <w:rPr>
          <w:color w:val="231F20"/>
          <w:spacing w:val="15"/>
        </w:rPr>
        <w:t> </w:t>
      </w:r>
      <w:r>
        <w:rPr>
          <w:color w:val="231F20"/>
        </w:rPr>
        <w:t>sont</w:t>
      </w:r>
      <w:r>
        <w:rPr>
          <w:color w:val="231F20"/>
          <w:spacing w:val="15"/>
        </w:rPr>
        <w:t> </w:t>
      </w:r>
      <w:r>
        <w:rPr>
          <w:color w:val="231F20"/>
        </w:rPr>
        <w:t>distribués.</w:t>
      </w:r>
    </w:p>
    <w:p>
      <w:pPr>
        <w:pStyle w:val="BodyText"/>
        <w:spacing w:before="10"/>
        <w:ind w:left="0" w:right="0" w:firstLine="0"/>
        <w:jc w:val="left"/>
        <w:rPr>
          <w:sz w:val="24"/>
        </w:rPr>
      </w:pPr>
    </w:p>
    <w:p>
      <w:pPr>
        <w:pStyle w:val="BodyText"/>
        <w:spacing w:line="218" w:lineRule="auto" w:before="1"/>
        <w:ind w:right="38"/>
      </w:pPr>
      <w:r>
        <w:rPr>
          <w:color w:val="231F20"/>
        </w:rPr>
        <w:t>Ils ne peuvent saisir les biens qui composent le patrimoine social ni exercer aucun droit sur ceux-ci.</w:t>
      </w:r>
    </w:p>
    <w:p>
      <w:pPr>
        <w:pStyle w:val="BodyText"/>
        <w:spacing w:line="218" w:lineRule="auto" w:before="119"/>
      </w:pPr>
      <w:r>
        <w:rPr/>
        <w:br w:type="column"/>
      </w:r>
      <w:r>
        <w:rPr>
          <w:color w:val="231F20"/>
        </w:rPr>
        <w:t>Iedere vennoot mag evenwel, zonder toestemming van zijn mede- vennoten, een derde persoon tot deelgenoot nemen, wat zijn aandeel in de vennootschap betreft.</w:t>
      </w:r>
    </w:p>
    <w:p>
      <w:pPr>
        <w:pStyle w:val="BodyText"/>
        <w:spacing w:line="218" w:lineRule="auto" w:before="107"/>
      </w:pPr>
      <w:r>
        <w:rPr>
          <w:color w:val="231F20"/>
        </w:rPr>
        <w:t>Art. 4:7. De overdracht van aandelen kan, wanneer zij door de overeenkomst is toegelaten, slechts gebeuren met inachtneming van de vormen van het burgerlijk recht.</w:t>
      </w:r>
    </w:p>
    <w:p>
      <w:pPr>
        <w:pStyle w:val="BodyText"/>
        <w:spacing w:line="218" w:lineRule="auto" w:before="107"/>
      </w:pPr>
      <w:r>
        <w:rPr>
          <w:color w:val="231F20"/>
        </w:rPr>
        <w:t>Zij kan geen gevolg hebben ten aanzien van de verbintenissen van de vennootschap die dateren van vóór de tegenwerpelijkheid van de overdracht.</w:t>
      </w:r>
    </w:p>
    <w:p>
      <w:pPr>
        <w:pStyle w:val="BodyText"/>
        <w:spacing w:before="93"/>
        <w:ind w:left="283" w:right="0" w:firstLine="0"/>
        <w:jc w:val="left"/>
      </w:pPr>
      <w:r>
        <w:rPr>
          <w:color w:val="231F20"/>
        </w:rPr>
        <w:t>TITEL 3. Bestuur van de zaken van de vennootschap.</w:t>
      </w:r>
    </w:p>
    <w:p>
      <w:pPr>
        <w:pStyle w:val="BodyText"/>
        <w:spacing w:line="218" w:lineRule="auto" w:before="103"/>
      </w:pPr>
      <w:r>
        <w:rPr>
          <w:color w:val="231F20"/>
        </w:rPr>
        <w:t>Art. 4:8. De vennootschap wordt bestuurd door één of meer zaakvoerders, al dan niet vennoten, met de hoedanigheid van lastheb- ber, wier bevoegdheden worden vastgesteld door de akte van benoe- ming.</w:t>
      </w:r>
    </w:p>
    <w:p>
      <w:pPr>
        <w:pStyle w:val="BodyText"/>
        <w:spacing w:line="218" w:lineRule="auto" w:before="107"/>
      </w:pPr>
      <w:r>
        <w:rPr>
          <w:color w:val="231F20"/>
        </w:rPr>
        <w:t>Die lasthebbers kunnen de daden die onder hun opdracht vallen afzonderlijk verrichten, tenzij de overeenkomst of de akte van benoe- ming bepaalt dat zij gezamenlijk moeten handelen.</w:t>
      </w:r>
    </w:p>
    <w:p>
      <w:pPr>
        <w:pStyle w:val="BodyText"/>
        <w:spacing w:line="218" w:lineRule="auto" w:before="107"/>
      </w:pPr>
      <w:r>
        <w:rPr>
          <w:color w:val="231F20"/>
        </w:rPr>
        <w:t>Art. 4:9. Zolang de vennootschap duurt, kan de zaakvoerder die door een bijzonder beding van de vennootschapsovereenkomst met het bestuur belast is enkel worden herroepen indien daartoe wettige redenen bestaan die worden overgelaten aan de beoordeling van de rechter of bij eenparige beslissing van de vennoten of, indien de overeenkomst daarin voorziet, volgens de daarin voorgeschreven meerderheidsvoorwaarden.</w:t>
      </w:r>
    </w:p>
    <w:p>
      <w:pPr>
        <w:pStyle w:val="BodyText"/>
        <w:spacing w:line="218" w:lineRule="auto" w:before="107"/>
      </w:pPr>
      <w:r>
        <w:rPr>
          <w:color w:val="231F20"/>
        </w:rPr>
        <w:t>In de andere gevallen kan hij worden herroepen als een eenvoudige lasthebber.</w:t>
      </w:r>
    </w:p>
    <w:p>
      <w:pPr>
        <w:pStyle w:val="BodyText"/>
        <w:spacing w:line="218" w:lineRule="auto" w:before="107"/>
      </w:pPr>
      <w:r>
        <w:rPr>
          <w:color w:val="231F20"/>
        </w:rPr>
        <w:t>Art. 4:10. Bij gebrek aan bijzondere bepalingen over de wijze van bestuur worden de vennoten geacht elkaar wederkerig de macht te hebben verleend om, de ene voor de andere, te besturen.</w:t>
      </w:r>
    </w:p>
    <w:p>
      <w:pPr>
        <w:pStyle w:val="BodyText"/>
        <w:spacing w:line="218" w:lineRule="auto" w:before="107"/>
      </w:pPr>
      <w:r>
        <w:rPr>
          <w:color w:val="231F20"/>
        </w:rPr>
        <w:t>De daden van bestuur verricht door een van de vennoten verbinden de anderen, tenzij een van hen zich ertegen verzet voordat de handeling is verricht.</w:t>
      </w:r>
    </w:p>
    <w:p>
      <w:pPr>
        <w:pStyle w:val="BodyText"/>
        <w:spacing w:line="218" w:lineRule="auto" w:before="107"/>
      </w:pPr>
      <w:r>
        <w:rPr>
          <w:color w:val="231F20"/>
        </w:rPr>
        <w:t>Art. 4:11. De vennoten zijn ten aanzien van derden enkel verbonden door de daad van een van hen of van een zaakvoerder voor zover die hebben gehandeld binnen de perken van hun bevoegdheden.</w:t>
      </w:r>
    </w:p>
    <w:p>
      <w:pPr>
        <w:pStyle w:val="BodyText"/>
        <w:spacing w:before="93"/>
        <w:ind w:left="283" w:right="0" w:firstLine="0"/>
        <w:jc w:val="left"/>
      </w:pPr>
      <w:r>
        <w:rPr>
          <w:color w:val="231F20"/>
        </w:rPr>
        <w:t>TITEL 4. Beslissingen van de vennoten verenigd in vergadering.</w:t>
      </w:r>
    </w:p>
    <w:p>
      <w:pPr>
        <w:pStyle w:val="BodyText"/>
        <w:spacing w:line="218" w:lineRule="auto" w:before="103"/>
      </w:pPr>
      <w:r>
        <w:rPr>
          <w:color w:val="231F20"/>
        </w:rPr>
        <w:t>Art. 4:12. De vennoten, verenigd in vergadering, nemen eenparig alle beslissingen die de vennootschap aanbelangen of die de overeenkomst wijzigen, tenzij de overeenkomst bepaalt dat hun beslissingen bij meerderheid worden genomen.</w:t>
      </w:r>
    </w:p>
    <w:p>
      <w:pPr>
        <w:pStyle w:val="BodyText"/>
        <w:spacing w:line="218" w:lineRule="auto" w:before="107"/>
      </w:pPr>
      <w:r>
        <w:rPr>
          <w:color w:val="231F20"/>
        </w:rPr>
        <w:t>Het beding dat de vennoten in staat stelt om de overeenkomst bij meerderheid te wijzigen laat niet toe het essentiële voorwerp van de vennootschap te wijzigen.</w:t>
      </w:r>
    </w:p>
    <w:p>
      <w:pPr>
        <w:pStyle w:val="BodyText"/>
        <w:spacing w:line="218" w:lineRule="auto" w:before="107"/>
        <w:ind w:right="125"/>
      </w:pPr>
      <w:r>
        <w:rPr>
          <w:color w:val="231F20"/>
        </w:rPr>
        <w:t>De beslissingen genomen bij een meerderheid van de vennoten onder de voorwaarden bepaald in de overeenkomst, verbinden alle vennoten behoudens bedrog of rechtsmisbruik.</w:t>
      </w:r>
    </w:p>
    <w:p>
      <w:pPr>
        <w:pStyle w:val="BodyText"/>
        <w:spacing w:line="218" w:lineRule="auto" w:before="107"/>
      </w:pPr>
      <w:r>
        <w:rPr>
          <w:color w:val="231F20"/>
        </w:rPr>
        <w:t>TITEL 5. Het vennootschapsvermogen en de rechten van de schuld- eisers.</w:t>
      </w:r>
    </w:p>
    <w:p>
      <w:pPr>
        <w:pStyle w:val="BodyText"/>
        <w:spacing w:line="218" w:lineRule="auto" w:before="106"/>
      </w:pPr>
      <w:r>
        <w:rPr>
          <w:color w:val="231F20"/>
        </w:rPr>
        <w:t>Art. 4:13. De goederen die worden ingebracht in een vennootschap en die voortkomen uit de vennootschapsactiviteit vormen een onverdeeld vermogen tussen de vennoten.</w:t>
      </w:r>
    </w:p>
    <w:p>
      <w:pPr>
        <w:pStyle w:val="BodyText"/>
        <w:spacing w:line="218" w:lineRule="auto" w:before="107"/>
      </w:pPr>
      <w:r>
        <w:rPr>
          <w:color w:val="231F20"/>
        </w:rPr>
        <w:t>De goederen die het vennootschapsvermogen vormen, zijn bestemd voor de activiteit van de vennootschap.</w:t>
      </w:r>
    </w:p>
    <w:p>
      <w:pPr>
        <w:pStyle w:val="BodyText"/>
        <w:spacing w:line="218" w:lineRule="auto" w:before="107"/>
      </w:pPr>
      <w:r>
        <w:rPr>
          <w:color w:val="231F20"/>
        </w:rPr>
        <w:t>De vennoten mogen geen rechten op deze goederen laten gelden die strijdig zijn met de bestemming ervan.</w:t>
      </w:r>
    </w:p>
    <w:p>
      <w:pPr>
        <w:pStyle w:val="BodyText"/>
        <w:spacing w:line="218" w:lineRule="auto" w:before="107"/>
      </w:pPr>
      <w:r>
        <w:rPr>
          <w:color w:val="231F20"/>
        </w:rPr>
        <w:t>Art. 4:14. De schuldeisers wier schuldvordering voortvloeit uit de activiteit van de vennootschap kunnen verhaal uitoefenen op het volledige vennootschapsvermogen. De vennoten zijn ten aanzien van deze schuldeisers persoonlijk en hoofdelijk gehouden met hun eigen vermogen.</w:t>
      </w:r>
    </w:p>
    <w:p>
      <w:pPr>
        <w:pStyle w:val="BodyText"/>
        <w:spacing w:line="218" w:lineRule="auto" w:before="107"/>
        <w:ind w:right="123"/>
      </w:pPr>
      <w:r>
        <w:rPr>
          <w:color w:val="231F20"/>
        </w:rPr>
        <w:t>In afwijking op het eerste lid hebben derden, indien het een stille vennootschap betreft, enkel verhaal op de vennoot of zaakvoerder die met hen in persoonlijke naam heeft gehandeld. Derden hebben geen rechtstreekse</w:t>
      </w:r>
      <w:r>
        <w:rPr>
          <w:color w:val="231F20"/>
          <w:spacing w:val="15"/>
        </w:rPr>
        <w:t> </w:t>
      </w:r>
      <w:r>
        <w:rPr>
          <w:color w:val="231F20"/>
        </w:rPr>
        <w:t>vordering</w:t>
      </w:r>
      <w:r>
        <w:rPr>
          <w:color w:val="231F20"/>
          <w:spacing w:val="16"/>
        </w:rPr>
        <w:t> </w:t>
      </w:r>
      <w:r>
        <w:rPr>
          <w:color w:val="231F20"/>
        </w:rPr>
        <w:t>tegen</w:t>
      </w:r>
      <w:r>
        <w:rPr>
          <w:color w:val="231F20"/>
          <w:spacing w:val="16"/>
        </w:rPr>
        <w:t> </w:t>
      </w:r>
      <w:r>
        <w:rPr>
          <w:color w:val="231F20"/>
        </w:rPr>
        <w:t>de</w:t>
      </w:r>
      <w:r>
        <w:rPr>
          <w:color w:val="231F20"/>
          <w:spacing w:val="16"/>
        </w:rPr>
        <w:t> </w:t>
      </w:r>
      <w:r>
        <w:rPr>
          <w:color w:val="231F20"/>
        </w:rPr>
        <w:t>overige</w:t>
      </w:r>
      <w:r>
        <w:rPr>
          <w:color w:val="231F20"/>
          <w:spacing w:val="16"/>
        </w:rPr>
        <w:t> </w:t>
      </w:r>
      <w:r>
        <w:rPr>
          <w:color w:val="231F20"/>
        </w:rPr>
        <w:t>vennoten.</w:t>
      </w:r>
    </w:p>
    <w:p>
      <w:pPr>
        <w:pStyle w:val="BodyText"/>
        <w:spacing w:line="218" w:lineRule="auto" w:before="107"/>
      </w:pPr>
      <w:r>
        <w:rPr>
          <w:color w:val="231F20"/>
        </w:rPr>
        <w:t>Art. 4:15. Onverminderd artikel </w:t>
      </w:r>
      <w:r>
        <w:rPr>
          <w:color w:val="231F20"/>
          <w:spacing w:val="-3"/>
        </w:rPr>
        <w:t>1166 </w:t>
      </w:r>
      <w:r>
        <w:rPr>
          <w:color w:val="231F20"/>
        </w:rPr>
        <w:t>van het Burgerlijk </w:t>
      </w:r>
      <w:r>
        <w:rPr>
          <w:color w:val="231F20"/>
          <w:spacing w:val="-3"/>
        </w:rPr>
        <w:t>Wetboek </w:t>
      </w:r>
      <w:r>
        <w:rPr>
          <w:color w:val="231F20"/>
        </w:rPr>
        <w:t>hebben de persoonlijke schuldeisers van de vennoten wier schuldvor- dering vreemd is aan de vennootschapsactiviteit, en degenen die hebben gehandeld met een vennoot die niet de bevoegdheid had om de anderen te vertegenwoordigen, enkel verhaal op het aandeel van die vennoot</w:t>
      </w:r>
      <w:r>
        <w:rPr>
          <w:color w:val="231F20"/>
          <w:spacing w:val="16"/>
        </w:rPr>
        <w:t> </w:t>
      </w:r>
      <w:r>
        <w:rPr>
          <w:color w:val="231F20"/>
        </w:rPr>
        <w:t>en</w:t>
      </w:r>
      <w:r>
        <w:rPr>
          <w:color w:val="231F20"/>
          <w:spacing w:val="16"/>
        </w:rPr>
        <w:t> </w:t>
      </w:r>
      <w:r>
        <w:rPr>
          <w:color w:val="231F20"/>
        </w:rPr>
        <w:t>op</w:t>
      </w:r>
      <w:r>
        <w:rPr>
          <w:color w:val="231F20"/>
          <w:spacing w:val="16"/>
        </w:rPr>
        <w:t> </w:t>
      </w:r>
      <w:r>
        <w:rPr>
          <w:color w:val="231F20"/>
        </w:rPr>
        <w:t>de</w:t>
      </w:r>
      <w:r>
        <w:rPr>
          <w:color w:val="231F20"/>
          <w:spacing w:val="17"/>
        </w:rPr>
        <w:t> </w:t>
      </w:r>
      <w:r>
        <w:rPr>
          <w:color w:val="231F20"/>
        </w:rPr>
        <w:t>winsten</w:t>
      </w:r>
      <w:r>
        <w:rPr>
          <w:color w:val="231F20"/>
          <w:spacing w:val="16"/>
        </w:rPr>
        <w:t> </w:t>
      </w:r>
      <w:r>
        <w:rPr>
          <w:color w:val="231F20"/>
        </w:rPr>
        <w:t>die</w:t>
      </w:r>
      <w:r>
        <w:rPr>
          <w:color w:val="231F20"/>
          <w:spacing w:val="16"/>
        </w:rPr>
        <w:t> </w:t>
      </w:r>
      <w:r>
        <w:rPr>
          <w:color w:val="231F20"/>
        </w:rPr>
        <w:t>hem</w:t>
      </w:r>
      <w:r>
        <w:rPr>
          <w:color w:val="231F20"/>
          <w:spacing w:val="17"/>
        </w:rPr>
        <w:t> </w:t>
      </w:r>
      <w:r>
        <w:rPr>
          <w:color w:val="231F20"/>
        </w:rPr>
        <w:t>zijn</w:t>
      </w:r>
      <w:r>
        <w:rPr>
          <w:color w:val="231F20"/>
          <w:spacing w:val="16"/>
        </w:rPr>
        <w:t> </w:t>
      </w:r>
      <w:r>
        <w:rPr>
          <w:color w:val="231F20"/>
        </w:rPr>
        <w:t>uitgekeerd.</w:t>
      </w:r>
    </w:p>
    <w:p>
      <w:pPr>
        <w:pStyle w:val="BodyText"/>
        <w:spacing w:line="218" w:lineRule="auto" w:before="107"/>
      </w:pPr>
      <w:r>
        <w:rPr>
          <w:color w:val="231F20"/>
        </w:rPr>
        <w:t>Zij mogen geen beslag leggen op de goederen die het vennootschaps- vermogen uitmaken noch rechten daarop uitoefenen.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9"/>
      </w:pPr>
      <w:r>
        <w:rPr/>
        <w:pict>
          <v:line style="position:absolute;mso-position-horizontal-relative:page;mso-position-vertical-relative:page;z-index:3088" from="298.170502pt,64.473pt" to="298.170502pt,812.819pt" stroked="true" strokeweight=".533pt" strokecolor="#231f20">
            <v:stroke dashstyle="solid"/>
            <w10:wrap type="none"/>
          </v:line>
        </w:pict>
      </w:r>
      <w:bookmarkStart w:name="_bookmark86" w:id="91"/>
      <w:bookmarkEnd w:id="91"/>
      <w:r>
        <w:rPr/>
      </w:r>
      <w:r>
        <w:rPr>
          <w:color w:val="231F20"/>
        </w:rPr>
        <w:t>TITRE 6. La dissolution de la société, le retrait et l’exclusion d’un associé.</w:t>
      </w:r>
    </w:p>
    <w:p>
      <w:pPr>
        <w:pStyle w:val="BodyText"/>
        <w:spacing w:before="93"/>
        <w:ind w:left="283" w:right="0" w:firstLine="0"/>
        <w:jc w:val="left"/>
      </w:pPr>
      <w:r>
        <w:rPr>
          <w:color w:val="231F20"/>
        </w:rPr>
        <w:t>Art. 4:16. La société est dissoute:</w:t>
      </w:r>
    </w:p>
    <w:p>
      <w:pPr>
        <w:pStyle w:val="ListParagraph"/>
        <w:numPr>
          <w:ilvl w:val="0"/>
          <w:numId w:val="92"/>
        </w:numPr>
        <w:tabs>
          <w:tab w:pos="511" w:val="left" w:leader="none"/>
        </w:tabs>
        <w:spacing w:line="240" w:lineRule="auto" w:before="89" w:after="0"/>
        <w:ind w:left="510" w:right="0" w:hanging="227"/>
        <w:jc w:val="left"/>
        <w:rPr>
          <w:sz w:val="17"/>
        </w:rPr>
      </w:pPr>
      <w:r>
        <w:rPr>
          <w:color w:val="231F20"/>
          <w:sz w:val="17"/>
        </w:rPr>
        <w:t>par l’expiration du</w:t>
      </w:r>
      <w:r>
        <w:rPr>
          <w:color w:val="231F20"/>
          <w:spacing w:val="4"/>
          <w:sz w:val="17"/>
        </w:rPr>
        <w:t> </w:t>
      </w:r>
      <w:r>
        <w:rPr>
          <w:color w:val="231F20"/>
          <w:sz w:val="17"/>
        </w:rPr>
        <w:t>terme;</w:t>
      </w:r>
    </w:p>
    <w:p>
      <w:pPr>
        <w:pStyle w:val="ListParagraph"/>
        <w:numPr>
          <w:ilvl w:val="0"/>
          <w:numId w:val="92"/>
        </w:numPr>
        <w:tabs>
          <w:tab w:pos="493" w:val="left" w:leader="none"/>
        </w:tabs>
        <w:spacing w:line="218" w:lineRule="auto" w:before="104" w:after="0"/>
        <w:ind w:left="113" w:right="38" w:firstLine="170"/>
        <w:jc w:val="both"/>
        <w:rPr>
          <w:sz w:val="17"/>
        </w:rPr>
      </w:pPr>
      <w:r>
        <w:rPr>
          <w:color w:val="231F20"/>
          <w:sz w:val="17"/>
        </w:rPr>
        <w:t>par</w:t>
      </w:r>
      <w:r>
        <w:rPr>
          <w:color w:val="231F20"/>
          <w:spacing w:val="-3"/>
          <w:sz w:val="17"/>
        </w:rPr>
        <w:t> </w:t>
      </w:r>
      <w:r>
        <w:rPr>
          <w:color w:val="231F20"/>
          <w:sz w:val="17"/>
        </w:rPr>
        <w:t>la</w:t>
      </w:r>
      <w:r>
        <w:rPr>
          <w:color w:val="231F20"/>
          <w:spacing w:val="-3"/>
          <w:sz w:val="17"/>
        </w:rPr>
        <w:t> </w:t>
      </w:r>
      <w:r>
        <w:rPr>
          <w:color w:val="231F20"/>
          <w:sz w:val="17"/>
        </w:rPr>
        <w:t>perte</w:t>
      </w:r>
      <w:r>
        <w:rPr>
          <w:color w:val="231F20"/>
          <w:spacing w:val="-3"/>
          <w:sz w:val="17"/>
        </w:rPr>
        <w:t> </w:t>
      </w:r>
      <w:r>
        <w:rPr>
          <w:color w:val="231F20"/>
          <w:sz w:val="17"/>
        </w:rPr>
        <w:t>matérielle</w:t>
      </w:r>
      <w:r>
        <w:rPr>
          <w:color w:val="231F20"/>
          <w:spacing w:val="-3"/>
          <w:sz w:val="17"/>
        </w:rPr>
        <w:t> </w:t>
      </w:r>
      <w:r>
        <w:rPr>
          <w:color w:val="231F20"/>
          <w:sz w:val="17"/>
        </w:rPr>
        <w:t>ou</w:t>
      </w:r>
      <w:r>
        <w:rPr>
          <w:color w:val="231F20"/>
          <w:spacing w:val="-3"/>
          <w:sz w:val="17"/>
        </w:rPr>
        <w:t> </w:t>
      </w:r>
      <w:r>
        <w:rPr>
          <w:color w:val="231F20"/>
          <w:sz w:val="17"/>
        </w:rPr>
        <w:t>juridique</w:t>
      </w:r>
      <w:r>
        <w:rPr>
          <w:color w:val="231F20"/>
          <w:spacing w:val="-2"/>
          <w:sz w:val="17"/>
        </w:rPr>
        <w:t> </w:t>
      </w:r>
      <w:r>
        <w:rPr>
          <w:color w:val="231F20"/>
          <w:sz w:val="17"/>
        </w:rPr>
        <w:t>de</w:t>
      </w:r>
      <w:r>
        <w:rPr>
          <w:color w:val="231F20"/>
          <w:spacing w:val="-3"/>
          <w:sz w:val="17"/>
        </w:rPr>
        <w:t> </w:t>
      </w:r>
      <w:r>
        <w:rPr>
          <w:color w:val="231F20"/>
          <w:sz w:val="17"/>
        </w:rPr>
        <w:t>la</w:t>
      </w:r>
      <w:r>
        <w:rPr>
          <w:color w:val="231F20"/>
          <w:spacing w:val="-3"/>
          <w:sz w:val="17"/>
        </w:rPr>
        <w:t> </w:t>
      </w:r>
      <w:r>
        <w:rPr>
          <w:color w:val="231F20"/>
          <w:sz w:val="17"/>
        </w:rPr>
        <w:t>chose</w:t>
      </w:r>
      <w:r>
        <w:rPr>
          <w:color w:val="231F20"/>
          <w:spacing w:val="-3"/>
          <w:sz w:val="17"/>
        </w:rPr>
        <w:t> </w:t>
      </w:r>
      <w:r>
        <w:rPr>
          <w:color w:val="231F20"/>
          <w:sz w:val="17"/>
        </w:rPr>
        <w:t>ou</w:t>
      </w:r>
      <w:r>
        <w:rPr>
          <w:color w:val="231F20"/>
          <w:spacing w:val="-3"/>
          <w:sz w:val="17"/>
        </w:rPr>
        <w:t> </w:t>
      </w:r>
      <w:r>
        <w:rPr>
          <w:color w:val="231F20"/>
          <w:sz w:val="17"/>
        </w:rPr>
        <w:t>par</w:t>
      </w:r>
      <w:r>
        <w:rPr>
          <w:color w:val="231F20"/>
          <w:spacing w:val="-3"/>
          <w:sz w:val="17"/>
        </w:rPr>
        <w:t> </w:t>
      </w:r>
      <w:r>
        <w:rPr>
          <w:color w:val="231F20"/>
          <w:sz w:val="17"/>
        </w:rPr>
        <w:t>la</w:t>
      </w:r>
      <w:r>
        <w:rPr>
          <w:color w:val="231F20"/>
          <w:spacing w:val="-2"/>
          <w:sz w:val="17"/>
        </w:rPr>
        <w:t> </w:t>
      </w:r>
      <w:r>
        <w:rPr>
          <w:color w:val="231F20"/>
          <w:sz w:val="17"/>
        </w:rPr>
        <w:t>réalisation de l’opération si elle a été créée exclusivement en vue de l’exploitation de</w:t>
      </w:r>
      <w:r>
        <w:rPr>
          <w:color w:val="231F20"/>
          <w:spacing w:val="14"/>
          <w:sz w:val="17"/>
        </w:rPr>
        <w:t> </w:t>
      </w:r>
      <w:r>
        <w:rPr>
          <w:color w:val="231F20"/>
          <w:sz w:val="17"/>
        </w:rPr>
        <w:t>cette</w:t>
      </w:r>
      <w:r>
        <w:rPr>
          <w:color w:val="231F20"/>
          <w:spacing w:val="15"/>
          <w:sz w:val="17"/>
        </w:rPr>
        <w:t> </w:t>
      </w:r>
      <w:r>
        <w:rPr>
          <w:color w:val="231F20"/>
          <w:sz w:val="17"/>
        </w:rPr>
        <w:t>chose</w:t>
      </w:r>
      <w:r>
        <w:rPr>
          <w:color w:val="231F20"/>
          <w:spacing w:val="15"/>
          <w:sz w:val="17"/>
        </w:rPr>
        <w:t> </w:t>
      </w:r>
      <w:r>
        <w:rPr>
          <w:color w:val="231F20"/>
          <w:sz w:val="17"/>
        </w:rPr>
        <w:t>ou</w:t>
      </w:r>
      <w:r>
        <w:rPr>
          <w:color w:val="231F20"/>
          <w:spacing w:val="15"/>
          <w:sz w:val="17"/>
        </w:rPr>
        <w:t> </w:t>
      </w:r>
      <w:r>
        <w:rPr>
          <w:color w:val="231F20"/>
          <w:sz w:val="17"/>
        </w:rPr>
        <w:t>l’accomplissement</w:t>
      </w:r>
      <w:r>
        <w:rPr>
          <w:color w:val="231F20"/>
          <w:spacing w:val="15"/>
          <w:sz w:val="17"/>
        </w:rPr>
        <w:t> </w:t>
      </w:r>
      <w:r>
        <w:rPr>
          <w:color w:val="231F20"/>
          <w:sz w:val="17"/>
        </w:rPr>
        <w:t>de</w:t>
      </w:r>
      <w:r>
        <w:rPr>
          <w:color w:val="231F20"/>
          <w:spacing w:val="15"/>
          <w:sz w:val="17"/>
        </w:rPr>
        <w:t> </w:t>
      </w:r>
      <w:r>
        <w:rPr>
          <w:color w:val="231F20"/>
          <w:sz w:val="17"/>
        </w:rPr>
        <w:t>cette</w:t>
      </w:r>
      <w:r>
        <w:rPr>
          <w:color w:val="231F20"/>
          <w:spacing w:val="15"/>
          <w:sz w:val="17"/>
        </w:rPr>
        <w:t> </w:t>
      </w:r>
      <w:r>
        <w:rPr>
          <w:color w:val="231F20"/>
          <w:sz w:val="17"/>
        </w:rPr>
        <w:t>opération;</w:t>
      </w:r>
    </w:p>
    <w:p>
      <w:pPr>
        <w:pStyle w:val="BodyText"/>
        <w:spacing w:before="10"/>
        <w:ind w:left="0" w:right="0" w:firstLine="0"/>
        <w:jc w:val="left"/>
        <w:rPr>
          <w:sz w:val="24"/>
        </w:rPr>
      </w:pPr>
    </w:p>
    <w:p>
      <w:pPr>
        <w:pStyle w:val="ListParagraph"/>
        <w:numPr>
          <w:ilvl w:val="0"/>
          <w:numId w:val="92"/>
        </w:numPr>
        <w:tabs>
          <w:tab w:pos="502" w:val="left" w:leader="none"/>
        </w:tabs>
        <w:spacing w:line="218" w:lineRule="auto" w:before="0" w:after="0"/>
        <w:ind w:left="113" w:right="38" w:firstLine="170"/>
        <w:jc w:val="both"/>
        <w:rPr>
          <w:sz w:val="17"/>
        </w:rPr>
      </w:pPr>
      <w:r>
        <w:rPr>
          <w:color w:val="231F20"/>
          <w:sz w:val="17"/>
        </w:rPr>
        <w:t>par la mort, l’incapacité, la liquidation, la faillite ou la déconfiture d’un des</w:t>
      </w:r>
      <w:r>
        <w:rPr>
          <w:color w:val="231F20"/>
          <w:spacing w:val="-11"/>
          <w:sz w:val="17"/>
        </w:rPr>
        <w:t> </w:t>
      </w:r>
      <w:r>
        <w:rPr>
          <w:color w:val="231F20"/>
          <w:sz w:val="17"/>
        </w:rPr>
        <w:t>associés;</w:t>
      </w:r>
    </w:p>
    <w:p>
      <w:pPr>
        <w:pStyle w:val="ListParagraph"/>
        <w:numPr>
          <w:ilvl w:val="0"/>
          <w:numId w:val="92"/>
        </w:numPr>
        <w:tabs>
          <w:tab w:pos="505" w:val="left" w:leader="none"/>
        </w:tabs>
        <w:spacing w:line="218" w:lineRule="auto" w:before="106" w:after="0"/>
        <w:ind w:left="113" w:right="38" w:firstLine="170"/>
        <w:jc w:val="both"/>
        <w:rPr>
          <w:sz w:val="17"/>
        </w:rPr>
      </w:pPr>
      <w:r>
        <w:rPr>
          <w:color w:val="231F20"/>
          <w:sz w:val="17"/>
        </w:rPr>
        <w:t>par la décision des associés prise à l’unanimité ou, le cas échéant, à</w:t>
      </w:r>
      <w:r>
        <w:rPr>
          <w:color w:val="231F20"/>
          <w:spacing w:val="15"/>
          <w:sz w:val="17"/>
        </w:rPr>
        <w:t> </w:t>
      </w:r>
      <w:r>
        <w:rPr>
          <w:color w:val="231F20"/>
          <w:sz w:val="17"/>
        </w:rPr>
        <w:t>la</w:t>
      </w:r>
      <w:r>
        <w:rPr>
          <w:color w:val="231F20"/>
          <w:spacing w:val="15"/>
          <w:sz w:val="17"/>
        </w:rPr>
        <w:t> </w:t>
      </w:r>
      <w:r>
        <w:rPr>
          <w:color w:val="231F20"/>
          <w:sz w:val="17"/>
        </w:rPr>
        <w:t>majorité</w:t>
      </w:r>
      <w:r>
        <w:rPr>
          <w:color w:val="231F20"/>
          <w:spacing w:val="15"/>
          <w:sz w:val="17"/>
        </w:rPr>
        <w:t> </w:t>
      </w:r>
      <w:r>
        <w:rPr>
          <w:color w:val="231F20"/>
          <w:sz w:val="17"/>
        </w:rPr>
        <w:t>prévue</w:t>
      </w:r>
      <w:r>
        <w:rPr>
          <w:color w:val="231F20"/>
          <w:spacing w:val="15"/>
          <w:sz w:val="17"/>
        </w:rPr>
        <w:t> </w:t>
      </w:r>
      <w:r>
        <w:rPr>
          <w:color w:val="231F20"/>
          <w:sz w:val="17"/>
        </w:rPr>
        <w:t>par</w:t>
      </w:r>
      <w:r>
        <w:rPr>
          <w:color w:val="231F20"/>
          <w:spacing w:val="15"/>
          <w:sz w:val="17"/>
        </w:rPr>
        <w:t> </w:t>
      </w:r>
      <w:r>
        <w:rPr>
          <w:color w:val="231F20"/>
          <w:sz w:val="17"/>
        </w:rPr>
        <w:t>la</w:t>
      </w:r>
      <w:r>
        <w:rPr>
          <w:color w:val="231F20"/>
          <w:spacing w:val="15"/>
          <w:sz w:val="17"/>
        </w:rPr>
        <w:t> </w:t>
      </w:r>
      <w:r>
        <w:rPr>
          <w:color w:val="231F20"/>
          <w:sz w:val="17"/>
        </w:rPr>
        <w:t>convention;</w:t>
      </w:r>
    </w:p>
    <w:p>
      <w:pPr>
        <w:pStyle w:val="BodyText"/>
        <w:spacing w:before="10"/>
        <w:ind w:left="0" w:right="0" w:firstLine="0"/>
        <w:jc w:val="left"/>
        <w:rPr>
          <w:sz w:val="24"/>
        </w:rPr>
      </w:pPr>
    </w:p>
    <w:p>
      <w:pPr>
        <w:pStyle w:val="ListParagraph"/>
        <w:numPr>
          <w:ilvl w:val="0"/>
          <w:numId w:val="92"/>
        </w:numPr>
        <w:tabs>
          <w:tab w:pos="515" w:val="left" w:leader="none"/>
        </w:tabs>
        <w:spacing w:line="218" w:lineRule="auto" w:before="0" w:after="0"/>
        <w:ind w:left="113" w:right="38" w:firstLine="170"/>
        <w:jc w:val="both"/>
        <w:rPr>
          <w:sz w:val="17"/>
        </w:rPr>
      </w:pPr>
      <w:r>
        <w:rPr>
          <w:color w:val="231F20"/>
          <w:sz w:val="17"/>
        </w:rPr>
        <w:t>ou par la réalisation d’une condition résolutoire de leur conven- tion.</w:t>
      </w:r>
    </w:p>
    <w:p>
      <w:pPr>
        <w:pStyle w:val="BodyText"/>
        <w:spacing w:line="218" w:lineRule="auto" w:before="92"/>
        <w:ind w:right="38"/>
      </w:pPr>
      <w:r>
        <w:rPr>
          <w:color w:val="231F20"/>
        </w:rPr>
        <w:t>Art. 4:17. § 1</w:t>
      </w:r>
      <w:r>
        <w:rPr>
          <w:color w:val="231F20"/>
          <w:position w:val="7"/>
          <w:sz w:val="11"/>
        </w:rPr>
        <w:t>er</w:t>
      </w:r>
      <w:r>
        <w:rPr>
          <w:color w:val="231F20"/>
        </w:rPr>
        <w:t>. Lorsque la société est conclue pour une durée indéterminée, chacun des associés peut la résilier unilatéralement moyennant un préavis raisonnable pour autant que cette résiliation soit de bonne foi et n’intervienne pas à contre-temps.</w:t>
      </w:r>
    </w:p>
    <w:p>
      <w:pPr>
        <w:pStyle w:val="BodyText"/>
        <w:spacing w:line="218" w:lineRule="auto" w:before="107"/>
        <w:ind w:right="38"/>
      </w:pPr>
      <w:r>
        <w:rPr>
          <w:color w:val="231F20"/>
        </w:rPr>
        <w:t>§ 2. La dissolution des sociétés à durée déterminée peut être demandée par l’un des associés pour de justes motifs au président du tribunal de l’entreprise du siège de la société siégeant comme en référé.</w:t>
      </w:r>
    </w:p>
    <w:p>
      <w:pPr>
        <w:pStyle w:val="BodyText"/>
        <w:spacing w:before="10"/>
        <w:ind w:left="0" w:right="0" w:firstLine="0"/>
        <w:jc w:val="left"/>
        <w:rPr>
          <w:sz w:val="24"/>
        </w:rPr>
      </w:pPr>
    </w:p>
    <w:p>
      <w:pPr>
        <w:pStyle w:val="BodyText"/>
        <w:spacing w:line="218" w:lineRule="auto"/>
        <w:ind w:right="38"/>
      </w:pPr>
      <w:r>
        <w:rPr>
          <w:color w:val="231F20"/>
        </w:rPr>
        <w:t>Il y a justes motifs, non seulement lorsqu’un associé manque gravement à ses obligations ou lorsque son infirmité le met dans l’impossibilité d’exécuter celles-ci, mais encore dans tous les autres cas qui rendent impossible la poursuite normale des affaires sociales, telle la mésintelligence grave et durable des associés.</w:t>
      </w:r>
    </w:p>
    <w:p>
      <w:pPr>
        <w:pStyle w:val="BodyText"/>
        <w:spacing w:before="7"/>
        <w:ind w:left="0" w:right="0" w:firstLine="0"/>
        <w:jc w:val="left"/>
        <w:rPr>
          <w:sz w:val="23"/>
        </w:rPr>
      </w:pPr>
    </w:p>
    <w:p>
      <w:pPr>
        <w:pStyle w:val="BodyText"/>
        <w:spacing w:line="218" w:lineRule="auto"/>
        <w:ind w:right="38"/>
      </w:pPr>
      <w:r>
        <w:rPr>
          <w:color w:val="231F20"/>
        </w:rPr>
        <w:t>Art. 4:18. § 1</w:t>
      </w:r>
      <w:r>
        <w:rPr>
          <w:color w:val="231F20"/>
          <w:position w:val="7"/>
          <w:sz w:val="11"/>
        </w:rPr>
        <w:t>er</w:t>
      </w:r>
      <w:r>
        <w:rPr>
          <w:color w:val="231F20"/>
        </w:rPr>
        <w:t>. La convention peut prévoir que le décès d’un des associés n’entraîne pas la dissolution de la société, mais qu’elle se poursuit soit avec ses héritiers ou légataires, soit avec les associés survivants uniquement. Dans le premier cas, on parle de clause de continuation avec les héritiers, dans le second, de clause de continua- tion entre les associés restants.</w:t>
      </w:r>
    </w:p>
    <w:p>
      <w:pPr>
        <w:pStyle w:val="BodyText"/>
        <w:spacing w:line="218" w:lineRule="auto" w:before="107"/>
        <w:ind w:right="38"/>
      </w:pPr>
      <w:r>
        <w:rPr>
          <w:color w:val="231F20"/>
        </w:rPr>
        <w:t>§ 2. Si la convention comporte une clause de continuation avec les héritiers, les héritiers ou légataires exercent tous les droits de l’associé décédé proportionnellement à leurs droits dans la succession de celui-ci et sont tenus de respecter dans la même proportion tous les engage- ments de l’associé décédé.</w:t>
      </w:r>
    </w:p>
    <w:p>
      <w:pPr>
        <w:pStyle w:val="BodyText"/>
        <w:spacing w:line="218" w:lineRule="auto" w:before="107"/>
        <w:ind w:right="38"/>
      </w:pPr>
      <w:r>
        <w:rPr>
          <w:color w:val="231F20"/>
        </w:rPr>
        <w:t>La convention peut limiter la clause de continuation à un seul ou à quelques héritiers ou légataires de l’associé décédé, auquel cas, les héritiers ou légataires exclus ont droit, à charge de la société, à la valeur de la part de l’associé décédé dans la société, comme prévu au paragraphe 3, proportionnellement à leurs droits dans la succession de celui-ci.</w:t>
      </w:r>
    </w:p>
    <w:p>
      <w:pPr>
        <w:pStyle w:val="BodyText"/>
        <w:spacing w:line="218" w:lineRule="auto" w:before="107"/>
        <w:ind w:right="38"/>
      </w:pPr>
      <w:r>
        <w:rPr>
          <w:color w:val="231F20"/>
        </w:rPr>
        <w:t>La convention peut également subordonner l’application de la clause de continuation à l’admission des héritiers et légataires de</w:t>
      </w:r>
      <w:r>
        <w:rPr>
          <w:color w:val="231F20"/>
          <w:spacing w:val="26"/>
        </w:rPr>
        <w:t> </w:t>
      </w:r>
      <w:r>
        <w:rPr>
          <w:color w:val="231F20"/>
        </w:rPr>
        <w:t>l’associé décédé en qualité d’associés, s’ils ne sont pas déjà associés. La convention détermine à quelle majorité et dans quel délai les héritiers et légataires doivent être admis en qualité d’associé. Ce délai ne peut toutefois pas excéder trois mois à compter du décès. À défaut de décision dans ce délai, l’admission est censée être refusée. Sauf si la convention en dispose autrement, les héritiers et légataires doivent être admis</w:t>
      </w:r>
      <w:r>
        <w:rPr>
          <w:color w:val="231F20"/>
          <w:spacing w:val="15"/>
        </w:rPr>
        <w:t> </w:t>
      </w:r>
      <w:r>
        <w:rPr>
          <w:color w:val="231F20"/>
        </w:rPr>
        <w:t>à</w:t>
      </w:r>
      <w:r>
        <w:rPr>
          <w:color w:val="231F20"/>
          <w:spacing w:val="15"/>
        </w:rPr>
        <w:t> </w:t>
      </w:r>
      <w:r>
        <w:rPr>
          <w:color w:val="231F20"/>
        </w:rPr>
        <w:t>l’unanimité</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autres</w:t>
      </w:r>
      <w:r>
        <w:rPr>
          <w:color w:val="231F20"/>
          <w:spacing w:val="15"/>
        </w:rPr>
        <w:t> </w:t>
      </w:r>
      <w:r>
        <w:rPr>
          <w:color w:val="231F20"/>
        </w:rPr>
        <w:t>associés.</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before="1"/>
        <w:ind w:right="38"/>
      </w:pPr>
      <w:r>
        <w:rPr>
          <w:color w:val="231F20"/>
        </w:rPr>
        <w:t>Les héritiers et légataires qui ne sont pas admis en qualité d’associé ont, à charge de la société, droit à la valeur de la part de l’associé décédé dans la société, comme prévu au paragraphe 3, proportionnellement à leurs droits dans la succession de celui-ci.</w:t>
      </w:r>
    </w:p>
    <w:p>
      <w:pPr>
        <w:pStyle w:val="BodyText"/>
        <w:spacing w:before="9"/>
        <w:ind w:left="0" w:right="0" w:firstLine="0"/>
        <w:jc w:val="left"/>
        <w:rPr>
          <w:sz w:val="24"/>
        </w:rPr>
      </w:pPr>
    </w:p>
    <w:p>
      <w:pPr>
        <w:pStyle w:val="BodyText"/>
        <w:spacing w:line="218" w:lineRule="auto" w:before="1"/>
        <w:ind w:right="38"/>
      </w:pPr>
      <w:r>
        <w:rPr>
          <w:color w:val="231F20"/>
        </w:rPr>
        <w:t>Si aucun des héritiers et légataires n’est admis en qualité d’associé, la société est dissoute de plein droit conformément à l’article 4:16, sans préjudice de l’application d’une clause de continuation entre les associés</w:t>
      </w:r>
      <w:r>
        <w:rPr>
          <w:color w:val="231F20"/>
          <w:spacing w:val="14"/>
        </w:rPr>
        <w:t> </w:t>
      </w:r>
      <w:r>
        <w:rPr>
          <w:color w:val="231F20"/>
        </w:rPr>
        <w:t>restants.</w:t>
      </w:r>
    </w:p>
    <w:p>
      <w:pPr>
        <w:pStyle w:val="BodyText"/>
        <w:spacing w:line="218" w:lineRule="auto" w:before="107"/>
        <w:ind w:right="38"/>
      </w:pPr>
      <w:r>
        <w:rPr>
          <w:color w:val="231F20"/>
        </w:rPr>
        <w:t>§ 3. Si la convention comporte une clause de continuation entre les associés restants, les héritiers et légataires de l’associé décédé ont uniquement droit à la valeur de la part de l’associé dans la société au moment de son décès, sans participer à l’augmentation ultérieure du patrimoine de la société, à moins que celle-ci soit une suite nécessaire de ce qui s’est fait avant le décès de leur </w:t>
      </w:r>
      <w:r>
        <w:rPr>
          <w:rFonts w:ascii="Times New Roman" w:hAnsi="Times New Roman"/>
          <w:i/>
          <w:color w:val="231F20"/>
        </w:rPr>
        <w:t>de cujus</w:t>
      </w:r>
      <w:r>
        <w:rPr>
          <w:color w:val="231F20"/>
        </w:rPr>
        <w:t>.</w:t>
      </w:r>
    </w:p>
    <w:p>
      <w:pPr>
        <w:pStyle w:val="BodyText"/>
        <w:spacing w:line="218" w:lineRule="auto" w:before="115"/>
        <w:ind w:right="38"/>
      </w:pPr>
      <w:r>
        <w:rPr>
          <w:color w:val="231F20"/>
        </w:rPr>
        <w:t>Art. 4:19. La convention peut prévoir la faculté pour un associé de se retirer de la société dans les conditions qu’elle détermine sans que celle-ci prenne fin à l’égard des associés restants.</w:t>
      </w:r>
    </w:p>
    <w:p>
      <w:pPr>
        <w:pStyle w:val="BodyText"/>
        <w:spacing w:line="218" w:lineRule="auto" w:before="119"/>
      </w:pPr>
      <w:r>
        <w:rPr/>
        <w:br w:type="column"/>
      </w:r>
      <w:r>
        <w:rPr>
          <w:color w:val="231F20"/>
        </w:rPr>
        <w:t>TITEL 6. Ontbinding van de vennootschap, terugtrekking en uitslui- ting van een vennoot.</w:t>
      </w:r>
    </w:p>
    <w:p>
      <w:pPr>
        <w:pStyle w:val="BodyText"/>
        <w:spacing w:before="93"/>
        <w:ind w:left="283" w:right="0" w:firstLine="0"/>
        <w:jc w:val="left"/>
      </w:pPr>
      <w:r>
        <w:rPr>
          <w:color w:val="231F20"/>
        </w:rPr>
        <w:t>Art. 4:16. De vennootschap wordt ontbonden:</w:t>
      </w:r>
    </w:p>
    <w:p>
      <w:pPr>
        <w:pStyle w:val="ListParagraph"/>
        <w:numPr>
          <w:ilvl w:val="0"/>
          <w:numId w:val="92"/>
        </w:numPr>
        <w:tabs>
          <w:tab w:pos="511" w:val="left" w:leader="none"/>
        </w:tabs>
        <w:spacing w:line="240" w:lineRule="auto" w:before="89" w:after="0"/>
        <w:ind w:left="510" w:right="0" w:hanging="227"/>
        <w:jc w:val="left"/>
        <w:rPr>
          <w:sz w:val="17"/>
        </w:rPr>
      </w:pPr>
      <w:r>
        <w:rPr>
          <w:color w:val="231F20"/>
          <w:sz w:val="17"/>
        </w:rPr>
        <w:t>door</w:t>
      </w:r>
      <w:r>
        <w:rPr>
          <w:color w:val="231F20"/>
          <w:spacing w:val="15"/>
          <w:sz w:val="17"/>
        </w:rPr>
        <w:t> </w:t>
      </w:r>
      <w:r>
        <w:rPr>
          <w:color w:val="231F20"/>
          <w:sz w:val="17"/>
        </w:rPr>
        <w:t>het</w:t>
      </w:r>
      <w:r>
        <w:rPr>
          <w:color w:val="231F20"/>
          <w:spacing w:val="15"/>
          <w:sz w:val="17"/>
        </w:rPr>
        <w:t> </w:t>
      </w:r>
      <w:r>
        <w:rPr>
          <w:color w:val="231F20"/>
          <w:sz w:val="17"/>
        </w:rPr>
        <w:t>verstrijken</w:t>
      </w:r>
      <w:r>
        <w:rPr>
          <w:color w:val="231F20"/>
          <w:spacing w:val="15"/>
          <w:sz w:val="17"/>
        </w:rPr>
        <w:t> </w:t>
      </w:r>
      <w:r>
        <w:rPr>
          <w:color w:val="231F20"/>
          <w:sz w:val="17"/>
        </w:rPr>
        <w:t>van</w:t>
      </w:r>
      <w:r>
        <w:rPr>
          <w:color w:val="231F20"/>
          <w:spacing w:val="15"/>
          <w:sz w:val="17"/>
        </w:rPr>
        <w:t> </w:t>
      </w:r>
      <w:r>
        <w:rPr>
          <w:color w:val="231F20"/>
          <w:sz w:val="17"/>
        </w:rPr>
        <w:t>haar</w:t>
      </w:r>
      <w:r>
        <w:rPr>
          <w:color w:val="231F20"/>
          <w:spacing w:val="15"/>
          <w:sz w:val="17"/>
        </w:rPr>
        <w:t> </w:t>
      </w:r>
      <w:r>
        <w:rPr>
          <w:color w:val="231F20"/>
          <w:sz w:val="17"/>
        </w:rPr>
        <w:t>duurtijd;</w:t>
      </w:r>
    </w:p>
    <w:p>
      <w:pPr>
        <w:pStyle w:val="ListParagraph"/>
        <w:numPr>
          <w:ilvl w:val="0"/>
          <w:numId w:val="92"/>
        </w:numPr>
        <w:tabs>
          <w:tab w:pos="503" w:val="left" w:leader="none"/>
        </w:tabs>
        <w:spacing w:line="218" w:lineRule="auto" w:before="104" w:after="0"/>
        <w:ind w:left="113" w:right="124" w:firstLine="170"/>
        <w:jc w:val="both"/>
        <w:rPr>
          <w:sz w:val="17"/>
        </w:rPr>
      </w:pPr>
      <w:r>
        <w:rPr>
          <w:color w:val="231F20"/>
          <w:sz w:val="17"/>
        </w:rPr>
        <w:t>door het materieel of juridisch tenietgaan van de zaak of door het voltrekken van de verrichting, indien zij uitsluitend werd  opgericht met het oog op de exploitatie van die zaak of het stellen van die verrichting;</w:t>
      </w:r>
    </w:p>
    <w:p>
      <w:pPr>
        <w:pStyle w:val="ListParagraph"/>
        <w:numPr>
          <w:ilvl w:val="0"/>
          <w:numId w:val="92"/>
        </w:numPr>
        <w:tabs>
          <w:tab w:pos="524" w:val="left" w:leader="none"/>
        </w:tabs>
        <w:spacing w:line="218" w:lineRule="auto" w:before="107" w:after="0"/>
        <w:ind w:left="113" w:right="124" w:firstLine="170"/>
        <w:jc w:val="both"/>
        <w:rPr>
          <w:sz w:val="17"/>
        </w:rPr>
      </w:pPr>
      <w:r>
        <w:rPr>
          <w:color w:val="231F20"/>
          <w:sz w:val="17"/>
        </w:rPr>
        <w:t>door de dood, de onbekwaamheid, de vereffening, het faillisse- ment</w:t>
      </w:r>
      <w:r>
        <w:rPr>
          <w:color w:val="231F20"/>
          <w:spacing w:val="16"/>
          <w:sz w:val="17"/>
        </w:rPr>
        <w:t> </w:t>
      </w:r>
      <w:r>
        <w:rPr>
          <w:color w:val="231F20"/>
          <w:sz w:val="17"/>
        </w:rPr>
        <w:t>of</w:t>
      </w:r>
      <w:r>
        <w:rPr>
          <w:color w:val="231F20"/>
          <w:spacing w:val="16"/>
          <w:sz w:val="17"/>
        </w:rPr>
        <w:t> </w:t>
      </w:r>
      <w:r>
        <w:rPr>
          <w:color w:val="231F20"/>
          <w:sz w:val="17"/>
        </w:rPr>
        <w:t>het</w:t>
      </w:r>
      <w:r>
        <w:rPr>
          <w:color w:val="231F20"/>
          <w:spacing w:val="17"/>
          <w:sz w:val="17"/>
        </w:rPr>
        <w:t> </w:t>
      </w:r>
      <w:r>
        <w:rPr>
          <w:color w:val="231F20"/>
          <w:sz w:val="17"/>
        </w:rPr>
        <w:t>kennelijk</w:t>
      </w:r>
      <w:r>
        <w:rPr>
          <w:color w:val="231F20"/>
          <w:spacing w:val="16"/>
          <w:sz w:val="17"/>
        </w:rPr>
        <w:t> </w:t>
      </w:r>
      <w:r>
        <w:rPr>
          <w:color w:val="231F20"/>
          <w:sz w:val="17"/>
        </w:rPr>
        <w:t>onvermogen</w:t>
      </w:r>
      <w:r>
        <w:rPr>
          <w:color w:val="231F20"/>
          <w:spacing w:val="16"/>
          <w:sz w:val="17"/>
        </w:rPr>
        <w:t> </w:t>
      </w:r>
      <w:r>
        <w:rPr>
          <w:color w:val="231F20"/>
          <w:sz w:val="17"/>
        </w:rPr>
        <w:t>van</w:t>
      </w:r>
      <w:r>
        <w:rPr>
          <w:color w:val="231F20"/>
          <w:spacing w:val="17"/>
          <w:sz w:val="17"/>
        </w:rPr>
        <w:t> </w:t>
      </w:r>
      <w:r>
        <w:rPr>
          <w:color w:val="231F20"/>
          <w:sz w:val="17"/>
        </w:rPr>
        <w:t>een</w:t>
      </w:r>
      <w:r>
        <w:rPr>
          <w:color w:val="231F20"/>
          <w:spacing w:val="16"/>
          <w:sz w:val="17"/>
        </w:rPr>
        <w:t> </w:t>
      </w:r>
      <w:r>
        <w:rPr>
          <w:color w:val="231F20"/>
          <w:sz w:val="17"/>
        </w:rPr>
        <w:t>van</w:t>
      </w:r>
      <w:r>
        <w:rPr>
          <w:color w:val="231F20"/>
          <w:spacing w:val="16"/>
          <w:sz w:val="17"/>
        </w:rPr>
        <w:t> </w:t>
      </w:r>
      <w:r>
        <w:rPr>
          <w:color w:val="231F20"/>
          <w:sz w:val="17"/>
        </w:rPr>
        <w:t>de</w:t>
      </w:r>
      <w:r>
        <w:rPr>
          <w:color w:val="231F20"/>
          <w:spacing w:val="17"/>
          <w:sz w:val="17"/>
        </w:rPr>
        <w:t> </w:t>
      </w:r>
      <w:r>
        <w:rPr>
          <w:color w:val="231F20"/>
          <w:sz w:val="17"/>
        </w:rPr>
        <w:t>vennoten;</w:t>
      </w:r>
    </w:p>
    <w:p>
      <w:pPr>
        <w:pStyle w:val="ListParagraph"/>
        <w:numPr>
          <w:ilvl w:val="0"/>
          <w:numId w:val="92"/>
        </w:numPr>
        <w:tabs>
          <w:tab w:pos="495" w:val="left" w:leader="none"/>
        </w:tabs>
        <w:spacing w:line="218" w:lineRule="auto" w:before="107" w:after="0"/>
        <w:ind w:left="113" w:right="124" w:firstLine="170"/>
        <w:jc w:val="both"/>
        <w:rPr>
          <w:sz w:val="17"/>
        </w:rPr>
      </w:pPr>
      <w:r>
        <w:rPr>
          <w:color w:val="231F20"/>
          <w:sz w:val="17"/>
        </w:rPr>
        <w:t>door de beslissing van de vennoten genomen met eenparigheid of, in voorkomend geval, met de in de overeenkomst bepaalde meerder- heid;</w:t>
      </w:r>
    </w:p>
    <w:p>
      <w:pPr>
        <w:pStyle w:val="ListParagraph"/>
        <w:numPr>
          <w:ilvl w:val="0"/>
          <w:numId w:val="92"/>
        </w:numPr>
        <w:tabs>
          <w:tab w:pos="502" w:val="left" w:leader="none"/>
        </w:tabs>
        <w:spacing w:line="218" w:lineRule="auto" w:before="106" w:after="0"/>
        <w:ind w:left="113" w:right="124" w:firstLine="170"/>
        <w:jc w:val="both"/>
        <w:rPr>
          <w:sz w:val="17"/>
        </w:rPr>
      </w:pPr>
      <w:r>
        <w:rPr>
          <w:color w:val="231F20"/>
          <w:sz w:val="17"/>
        </w:rPr>
        <w:t>of door de verwezenlijking van een ontbindende voorwaarde van de</w:t>
      </w:r>
      <w:r>
        <w:rPr>
          <w:color w:val="231F20"/>
          <w:spacing w:val="15"/>
          <w:sz w:val="17"/>
        </w:rPr>
        <w:t> </w:t>
      </w:r>
      <w:r>
        <w:rPr>
          <w:color w:val="231F20"/>
          <w:sz w:val="17"/>
        </w:rPr>
        <w:t>overeenkomst.</w:t>
      </w:r>
    </w:p>
    <w:p>
      <w:pPr>
        <w:pStyle w:val="BodyText"/>
        <w:spacing w:line="218" w:lineRule="auto" w:before="107"/>
      </w:pPr>
      <w:r>
        <w:rPr>
          <w:color w:val="231F20"/>
        </w:rPr>
        <w:t>Art. 4:17. § 1. Wanneer de vennootschap werd aangegaan voor onbepaalde duur kan elk van de vennoten haar eenzijdig opzeggen met inachtneming van een redelijke opzeggingstermijn, voor zover die opzegging te goeder trouw is en niet ontijdig gebeurt.</w:t>
      </w:r>
    </w:p>
    <w:p>
      <w:pPr>
        <w:pStyle w:val="BodyText"/>
        <w:spacing w:line="218" w:lineRule="auto" w:before="107"/>
      </w:pPr>
      <w:r>
        <w:rPr>
          <w:color w:val="231F20"/>
        </w:rPr>
        <w:t>§ 2. De ontbinding van de vennootschappen die voor een bepaalde tijd zijn aangegaan, kan door een van de vennoten om wettige redenen worden gevorderd voor de voorzitter van de ondernemingsrechtbank van de zetel van de vennootschap zitting houdend zoals in kort geding.</w:t>
      </w:r>
    </w:p>
    <w:p>
      <w:pPr>
        <w:pStyle w:val="BodyText"/>
        <w:spacing w:line="218" w:lineRule="auto" w:before="107"/>
      </w:pPr>
      <w:r>
        <w:rPr>
          <w:color w:val="231F20"/>
        </w:rPr>
        <w:t>Er zijn niet alleen wettige redenen wanneer een vennoot zijn verplichtingen in grove mate verzuimt of wanneer een kwaal het hem onmogelijk maakt om ze uit te voeren, maar ook in alle andere gevallen die de normale voortzetting van de zaken van de vennootschap onmogelijk maken, zoals de diepgaande en blijvende onenigheid  tussen de</w:t>
      </w:r>
      <w:r>
        <w:rPr>
          <w:color w:val="231F20"/>
          <w:spacing w:val="-11"/>
        </w:rPr>
        <w:t> </w:t>
      </w:r>
      <w:r>
        <w:rPr>
          <w:color w:val="231F20"/>
        </w:rPr>
        <w:t>vennoten.</w:t>
      </w:r>
    </w:p>
    <w:p>
      <w:pPr>
        <w:pStyle w:val="BodyText"/>
        <w:spacing w:line="218" w:lineRule="auto" w:before="107"/>
      </w:pPr>
      <w:r>
        <w:rPr>
          <w:color w:val="231F20"/>
        </w:rPr>
        <w:t>Art. 4:18. § 1. De overeenkomst kan bepalen dat het overlijden van één van de vennoten niet leidt tot de ontbinding van de vennootschap, maar dat zij hetzij wordt voortgezet met zijn erfgenamen of legataris- sen, hetzij alleen met de overlevende vennoten. In het eerste geval is er sprake van een voortzettingsbeding, in het tweede geval van een verblijvingsbeding.</w:t>
      </w:r>
    </w:p>
    <w:p>
      <w:pPr>
        <w:pStyle w:val="BodyText"/>
        <w:spacing w:line="218" w:lineRule="auto" w:before="107"/>
      </w:pPr>
      <w:r>
        <w:rPr>
          <w:color w:val="231F20"/>
        </w:rPr>
        <w:t>§ 2. Indien de overeenkomst een voortzettingsbeding bevat, oefenen de erfgenamen of legatarissen alle rechten van de overleden vennoot  uit naar evenredigheid van hun rechten in diens nalatenschap en zijn</w:t>
      </w:r>
      <w:r>
        <w:rPr>
          <w:color w:val="231F20"/>
          <w:spacing w:val="-15"/>
        </w:rPr>
        <w:t> </w:t>
      </w:r>
      <w:r>
        <w:rPr>
          <w:color w:val="231F20"/>
        </w:rPr>
        <w:t>zij in dezelfde verhouding gehouden tot nakoming van alle verbintenissen van de overleden</w:t>
      </w:r>
      <w:r>
        <w:rPr>
          <w:color w:val="231F20"/>
          <w:spacing w:val="5"/>
        </w:rPr>
        <w:t> </w:t>
      </w:r>
      <w:r>
        <w:rPr>
          <w:color w:val="231F20"/>
        </w:rPr>
        <w:t>vennoot.</w:t>
      </w:r>
    </w:p>
    <w:p>
      <w:pPr>
        <w:pStyle w:val="BodyText"/>
        <w:spacing w:line="218" w:lineRule="auto" w:before="107"/>
      </w:pPr>
      <w:r>
        <w:rPr>
          <w:color w:val="231F20"/>
        </w:rPr>
        <w:t>De overeenkomst kan het voortzettingsbeding beperken tot één of enkele erfgenamen of legatarissen van de overleden vennoot, in welk geval de uitgesloten erfgenamen of legatarissen gerechtigd zijn, ten laste van de vennootschap, op de vermogenswaarde van het aandeel van de overleden vennoot in de vennootschap zoals bepaald in paragraaf 3, naar evenredigheid van hun rechten in diens</w:t>
      </w:r>
      <w:r>
        <w:rPr>
          <w:color w:val="231F20"/>
          <w:spacing w:val="5"/>
        </w:rPr>
        <w:t> </w:t>
      </w:r>
      <w:r>
        <w:rPr>
          <w:color w:val="231F20"/>
        </w:rPr>
        <w:t>nalatenschap.</w:t>
      </w:r>
    </w:p>
    <w:p>
      <w:pPr>
        <w:pStyle w:val="BodyText"/>
        <w:spacing w:line="218" w:lineRule="auto" w:before="107"/>
      </w:pPr>
      <w:r>
        <w:rPr>
          <w:color w:val="231F20"/>
        </w:rPr>
        <w:t>De overeenkomst kan de toepassing van het voortzettingsbeding tevens onderwerpen aan de aanvaarding van de erfgenamen en legatarissen van de overleden vennoot als vennoten, indien zij nog geen vennoot zijn. De overeenkomst bepaalt met welke meerderheid en binnen welke termijn de erfgenamen en legatarissen als vennoten moeten worden aanvaard. Deze termijn mag evenwel drie maanden te rekenen vanaf het overlijden niet overschrijden. Bij gebrek aan een beslissing binnen deze termijn wordt de aanvaarding geacht te zijn geweigerd. Tenzij de overeenkomst anders bepaalt, moeten de erfge- namen en legatarissen unaniem door de andere vennoten worden aanvaard.</w:t>
      </w:r>
    </w:p>
    <w:p>
      <w:pPr>
        <w:pStyle w:val="BodyText"/>
        <w:spacing w:line="218" w:lineRule="auto" w:before="108"/>
      </w:pPr>
      <w:r>
        <w:rPr>
          <w:color w:val="231F20"/>
        </w:rPr>
        <w:t>De erfgenamen en legatarissen die niet als vennoot worden aan- vaard, zijn gerechtigd, ten laste van de vennootschap, op de vermo- genswaarde van het aandeel van de overleden vennoot in de vennoot- schap zoals bepaald in paragraaf 3, naar evenredigheid van hun rechten in diens nalatenschap.</w:t>
      </w:r>
    </w:p>
    <w:p>
      <w:pPr>
        <w:pStyle w:val="BodyText"/>
        <w:spacing w:line="218" w:lineRule="auto" w:before="107"/>
      </w:pPr>
      <w:r>
        <w:rPr>
          <w:color w:val="231F20"/>
        </w:rPr>
        <w:t>Indien geen enkele van de erfgenamen en legatarissen als vennoot wordt aanvaard, wordt de vennootschap van rechtswege ontbonden overeenkomstig artikel 4:16, onverminderd de toepassing van een eventueel verblijvingsbeding.</w:t>
      </w:r>
    </w:p>
    <w:p>
      <w:pPr>
        <w:pStyle w:val="BodyText"/>
        <w:spacing w:line="218" w:lineRule="auto" w:before="107"/>
      </w:pPr>
      <w:r>
        <w:rPr>
          <w:color w:val="231F20"/>
        </w:rPr>
        <w:t>§ 3. Indien de overeenkomst een verblijvingsbeding bevat, hebben de erfgenamen en legatarissen van de overleden vennoot enkel recht op de vermogenswaarde van diens aandeel in de vennootschap ten tijde van zijn overlijden, zonder te delen in de latere vermogenstoename van de vennootschap tenzij deze een noodzakelijk gevolg is van wat vóór het overlijden van hun erflater werd verricht.</w:t>
      </w:r>
    </w:p>
    <w:p>
      <w:pPr>
        <w:pStyle w:val="BodyText"/>
        <w:spacing w:line="218" w:lineRule="auto" w:before="117"/>
      </w:pPr>
      <w:r>
        <w:rPr>
          <w:color w:val="231F20"/>
        </w:rPr>
        <w:t>Art. 4:19. De overeenkomst kan bepalen dat een vennoot zich onder bepaalde voorwaarden uit de vennootschap mag terugtrekken zonder dat zij ten aanzien van de overblijvende vennoten wordt ontbonden.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112" from="298.170502pt,64.473pt" to="298.170502pt,812.819pt" stroked="true" strokeweight=".533pt" strokecolor="#231f20">
            <v:stroke dashstyle="solid"/>
            <w10:wrap type="none"/>
          </v:line>
        </w:pict>
      </w:r>
      <w:bookmarkStart w:name="_bookmark87" w:id="92"/>
      <w:bookmarkEnd w:id="92"/>
      <w:r>
        <w:rPr/>
      </w:r>
      <w:r>
        <w:rPr>
          <w:color w:val="231F20"/>
        </w:rPr>
        <w:t>La convention peut prévoir la faculté pour les associés statuant à la majorité qu’elle précise de mettre fin à l’association de l’un d’eux pour les motifs qu’elle détermine ou même sans motif moyennant un préavis raisonnable.</w:t>
      </w:r>
    </w:p>
    <w:p>
      <w:pPr>
        <w:pStyle w:val="BodyText"/>
        <w:spacing w:before="10"/>
        <w:ind w:left="0" w:right="0" w:firstLine="0"/>
        <w:jc w:val="left"/>
        <w:rPr>
          <w:sz w:val="24"/>
        </w:rPr>
      </w:pPr>
    </w:p>
    <w:p>
      <w:pPr>
        <w:pStyle w:val="BodyText"/>
        <w:spacing w:line="218" w:lineRule="auto"/>
        <w:ind w:right="38"/>
      </w:pPr>
      <w:r>
        <w:rPr>
          <w:color w:val="231F20"/>
        </w:rPr>
        <w:t>À défaut pour la convention de prévoir les modalités applicables au remboursement ou à la reprise de sa part, l’associé qui se retire ou à l’égard duquel la société prend fin, a droit à la valeur de celle-ci au moment où il perd la qualité d’associé. Il sera rempli de ce droit par le rachat de sa part par les autres associés ou par le partage partiel du patrimoine social tel qu’il se composait lors de sa sortie sans participer aux droits ou engagements ultérieurs à moins que ceux-ci soient la</w:t>
      </w:r>
      <w:r>
        <w:rPr>
          <w:color w:val="231F20"/>
          <w:spacing w:val="-17"/>
        </w:rPr>
        <w:t> </w:t>
      </w:r>
      <w:r>
        <w:rPr>
          <w:color w:val="231F20"/>
        </w:rPr>
        <w:t>suite nécessaire</w:t>
      </w:r>
      <w:r>
        <w:rPr>
          <w:color w:val="231F20"/>
          <w:spacing w:val="14"/>
        </w:rPr>
        <w:t> </w:t>
      </w:r>
      <w:r>
        <w:rPr>
          <w:color w:val="231F20"/>
        </w:rPr>
        <w:t>de</w:t>
      </w:r>
      <w:r>
        <w:rPr>
          <w:color w:val="231F20"/>
          <w:spacing w:val="15"/>
        </w:rPr>
        <w:t> </w:t>
      </w:r>
      <w:r>
        <w:rPr>
          <w:color w:val="231F20"/>
        </w:rPr>
        <w:t>ce</w:t>
      </w:r>
      <w:r>
        <w:rPr>
          <w:color w:val="231F20"/>
          <w:spacing w:val="15"/>
        </w:rPr>
        <w:t> </w:t>
      </w:r>
      <w:r>
        <w:rPr>
          <w:color w:val="231F20"/>
        </w:rPr>
        <w:t>qui</w:t>
      </w:r>
      <w:r>
        <w:rPr>
          <w:color w:val="231F20"/>
          <w:spacing w:val="15"/>
        </w:rPr>
        <w:t> </w:t>
      </w:r>
      <w:r>
        <w:rPr>
          <w:color w:val="231F20"/>
        </w:rPr>
        <w:t>s’est</w:t>
      </w:r>
      <w:r>
        <w:rPr>
          <w:color w:val="231F20"/>
          <w:spacing w:val="15"/>
        </w:rPr>
        <w:t> </w:t>
      </w:r>
      <w:r>
        <w:rPr>
          <w:color w:val="231F20"/>
        </w:rPr>
        <w:t>fait</w:t>
      </w:r>
      <w:r>
        <w:rPr>
          <w:color w:val="231F20"/>
          <w:spacing w:val="14"/>
        </w:rPr>
        <w:t> </w:t>
      </w:r>
      <w:r>
        <w:rPr>
          <w:color w:val="231F20"/>
        </w:rPr>
        <w:t>avant</w:t>
      </w:r>
      <w:r>
        <w:rPr>
          <w:color w:val="231F20"/>
          <w:spacing w:val="15"/>
        </w:rPr>
        <w:t> </w:t>
      </w:r>
      <w:r>
        <w:rPr>
          <w:color w:val="231F20"/>
        </w:rPr>
        <w:t>sa</w:t>
      </w:r>
      <w:r>
        <w:rPr>
          <w:color w:val="231F20"/>
          <w:spacing w:val="15"/>
        </w:rPr>
        <w:t> </w:t>
      </w:r>
      <w:r>
        <w:rPr>
          <w:color w:val="231F20"/>
        </w:rPr>
        <w:t>sortie.</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before="1"/>
        <w:ind w:right="38"/>
      </w:pPr>
      <w:r>
        <w:rPr>
          <w:color w:val="231F20"/>
        </w:rPr>
        <w:t>Art. 4:20. En cas de manquement d’un associé, les autres associés peuvent demander que la convention soit résolue à son égard seulement, pour autant que la société puisse subsister sans cet associé et</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réalisation</w:t>
      </w:r>
      <w:r>
        <w:rPr>
          <w:color w:val="231F20"/>
          <w:spacing w:val="15"/>
        </w:rPr>
        <w:t> </w:t>
      </w:r>
      <w:r>
        <w:rPr>
          <w:color w:val="231F20"/>
        </w:rPr>
        <w:t>de</w:t>
      </w:r>
      <w:r>
        <w:rPr>
          <w:color w:val="231F20"/>
          <w:spacing w:val="16"/>
        </w:rPr>
        <w:t> </w:t>
      </w:r>
      <w:r>
        <w:rPr>
          <w:color w:val="231F20"/>
        </w:rPr>
        <w:t>son</w:t>
      </w:r>
      <w:r>
        <w:rPr>
          <w:color w:val="231F20"/>
          <w:spacing w:val="15"/>
        </w:rPr>
        <w:t> </w:t>
      </w:r>
      <w:r>
        <w:rPr>
          <w:color w:val="231F20"/>
        </w:rPr>
        <w:t>objet</w:t>
      </w:r>
      <w:r>
        <w:rPr>
          <w:color w:val="231F20"/>
          <w:spacing w:val="15"/>
        </w:rPr>
        <w:t> </w:t>
      </w:r>
      <w:r>
        <w:rPr>
          <w:color w:val="231F20"/>
        </w:rPr>
        <w:t>ne</w:t>
      </w:r>
      <w:r>
        <w:rPr>
          <w:color w:val="231F20"/>
          <w:spacing w:val="15"/>
        </w:rPr>
        <w:t> </w:t>
      </w:r>
      <w:r>
        <w:rPr>
          <w:color w:val="231F20"/>
        </w:rPr>
        <w:t>devienne</w:t>
      </w:r>
      <w:r>
        <w:rPr>
          <w:color w:val="231F20"/>
          <w:spacing w:val="15"/>
        </w:rPr>
        <w:t> </w:t>
      </w:r>
      <w:r>
        <w:rPr>
          <w:color w:val="231F20"/>
        </w:rPr>
        <w:t>pas</w:t>
      </w:r>
      <w:r>
        <w:rPr>
          <w:color w:val="231F20"/>
          <w:spacing w:val="16"/>
        </w:rPr>
        <w:t> </w:t>
      </w:r>
      <w:r>
        <w:rPr>
          <w:color w:val="231F20"/>
        </w:rPr>
        <w:t>impossible.</w:t>
      </w:r>
    </w:p>
    <w:p>
      <w:pPr>
        <w:pStyle w:val="BodyText"/>
        <w:spacing w:before="1"/>
        <w:ind w:left="0" w:right="0" w:firstLine="0"/>
        <w:jc w:val="left"/>
        <w:rPr>
          <w:sz w:val="25"/>
        </w:rPr>
      </w:pPr>
    </w:p>
    <w:p>
      <w:pPr>
        <w:pStyle w:val="BodyText"/>
        <w:spacing w:line="213" w:lineRule="auto"/>
        <w:ind w:right="38"/>
      </w:pPr>
      <w:r>
        <w:rPr>
          <w:color w:val="231F20"/>
        </w:rPr>
        <w:t>Art. 4:21. Le patrimoine de la société est censé subsister pour les besoins de sa liquidation jusqu’à la clôture de celle-ci. Tout intéressé peut demander la désignation d’un ou plusieurs liquidateurs au président du tribunal de l’entreprise du siège de la société siégeant comme en référé. L’article 2:97, §§ 1</w:t>
      </w:r>
      <w:r>
        <w:rPr>
          <w:color w:val="231F20"/>
          <w:position w:val="7"/>
          <w:sz w:val="11"/>
        </w:rPr>
        <w:t>er </w:t>
      </w:r>
      <w:r>
        <w:rPr>
          <w:color w:val="231F20"/>
        </w:rPr>
        <w:t>et 3, alinéa 1</w:t>
      </w:r>
      <w:r>
        <w:rPr>
          <w:color w:val="231F20"/>
          <w:position w:val="7"/>
          <w:sz w:val="11"/>
        </w:rPr>
        <w:t>er</w:t>
      </w:r>
      <w:r>
        <w:rPr>
          <w:color w:val="231F20"/>
        </w:rPr>
        <w:t>, est d’application.</w:t>
      </w:r>
    </w:p>
    <w:p>
      <w:pPr>
        <w:pStyle w:val="BodyText"/>
        <w:ind w:left="0" w:right="0" w:firstLine="0"/>
        <w:jc w:val="left"/>
        <w:rPr>
          <w:sz w:val="25"/>
        </w:rPr>
      </w:pPr>
    </w:p>
    <w:p>
      <w:pPr>
        <w:pStyle w:val="BodyText"/>
        <w:spacing w:line="218" w:lineRule="auto"/>
        <w:ind w:right="38"/>
      </w:pPr>
      <w:r>
        <w:rPr>
          <w:color w:val="231F20"/>
        </w:rPr>
        <w:t>TITRE 7. Dispositions spécifiques à la société en nom collectif et la société en commandite.</w:t>
      </w:r>
    </w:p>
    <w:p>
      <w:pPr>
        <w:pStyle w:val="BodyText"/>
        <w:spacing w:line="218" w:lineRule="auto" w:before="107"/>
        <w:ind w:right="38"/>
      </w:pPr>
      <w:r>
        <w:rPr>
          <w:color w:val="231F20"/>
        </w:rPr>
        <w:t>Art. 4:22. La société simple dont les associés conviennent qu’elle sera dotée de la personnalité juridique prend la forme d’une société en nom collectif ou d’une société en commandite.</w:t>
      </w:r>
    </w:p>
    <w:p>
      <w:pPr>
        <w:pStyle w:val="BodyText"/>
        <w:spacing w:line="218" w:lineRule="auto" w:before="117"/>
        <w:ind w:right="38"/>
      </w:pPr>
      <w:r>
        <w:rPr>
          <w:color w:val="231F20"/>
        </w:rPr>
        <w:t>La société est en nom collectif lorsque tous les associés sont responsables de manière illimitée et solidaire des engagements de la société.</w:t>
      </w:r>
    </w:p>
    <w:p>
      <w:pPr>
        <w:pStyle w:val="BodyText"/>
        <w:spacing w:line="218" w:lineRule="auto" w:before="118"/>
        <w:ind w:right="38"/>
      </w:pPr>
      <w:r>
        <w:rPr>
          <w:color w:val="231F20"/>
        </w:rPr>
        <w:t>La société est en commandite lorsqu’elle est contractée par un ou plusieurs associés indéfiniment et solidairement responsables des engagements sociaux, dénommés les commandités, et un ou plusieurs autres associés qui procèdent seulement à des apports en numéraire ou en nature et ne participent pas à la gestion, dénommés les associés commanditaires.</w:t>
      </w:r>
    </w:p>
    <w:p>
      <w:pPr>
        <w:pStyle w:val="BodyText"/>
        <w:spacing w:line="218" w:lineRule="auto" w:before="118"/>
        <w:ind w:right="38"/>
      </w:pPr>
      <w:r>
        <w:rPr>
          <w:color w:val="231F20"/>
        </w:rPr>
        <w:t>Dans les sociétés en nom collectif et en commandite, le ou les gérant(s) constituent l’organe d’administration.</w:t>
      </w:r>
    </w:p>
    <w:p>
      <w:pPr>
        <w:pStyle w:val="BodyText"/>
        <w:spacing w:line="201" w:lineRule="auto" w:before="128"/>
        <w:ind w:right="38"/>
      </w:pPr>
      <w:r>
        <w:rPr>
          <w:color w:val="231F20"/>
        </w:rPr>
        <w:t>Art. 4:23. La société en nom collectif et la société en commandite</w:t>
      </w:r>
      <w:r>
        <w:rPr>
          <w:color w:val="231F20"/>
          <w:spacing w:val="-28"/>
        </w:rPr>
        <w:t> </w:t>
      </w:r>
      <w:r>
        <w:rPr>
          <w:color w:val="231F20"/>
        </w:rPr>
        <w:t>sont soumises au livre 2 ainsi qu’aux titres 1</w:t>
      </w:r>
      <w:r>
        <w:rPr>
          <w:color w:val="231F20"/>
          <w:position w:val="7"/>
          <w:sz w:val="11"/>
        </w:rPr>
        <w:t>er </w:t>
      </w:r>
      <w:r>
        <w:rPr>
          <w:color w:val="231F20"/>
        </w:rPr>
        <w:t>à 6 du présent livre, à l’exception</w:t>
      </w:r>
      <w:r>
        <w:rPr>
          <w:color w:val="231F20"/>
          <w:spacing w:val="12"/>
        </w:rPr>
        <w:t> </w:t>
      </w:r>
      <w:r>
        <w:rPr>
          <w:color w:val="231F20"/>
        </w:rPr>
        <w:t>des</w:t>
      </w:r>
      <w:r>
        <w:rPr>
          <w:color w:val="231F20"/>
          <w:spacing w:val="13"/>
        </w:rPr>
        <w:t> </w:t>
      </w:r>
      <w:r>
        <w:rPr>
          <w:color w:val="231F20"/>
        </w:rPr>
        <w:t>articles</w:t>
      </w:r>
      <w:r>
        <w:rPr>
          <w:color w:val="231F20"/>
          <w:spacing w:val="12"/>
        </w:rPr>
        <w:t> </w:t>
      </w:r>
      <w:r>
        <w:rPr>
          <w:color w:val="231F20"/>
        </w:rPr>
        <w:t>4:13,</w:t>
      </w:r>
      <w:r>
        <w:rPr>
          <w:color w:val="231F20"/>
          <w:spacing w:val="13"/>
        </w:rPr>
        <w:t> </w:t>
      </w:r>
      <w:r>
        <w:rPr>
          <w:color w:val="231F20"/>
        </w:rPr>
        <w:t>alinéa</w:t>
      </w:r>
      <w:r>
        <w:rPr>
          <w:color w:val="231F20"/>
          <w:spacing w:val="13"/>
        </w:rPr>
        <w:t> </w:t>
      </w:r>
      <w:r>
        <w:rPr>
          <w:color w:val="231F20"/>
        </w:rPr>
        <w:t>1</w:t>
      </w:r>
      <w:r>
        <w:rPr>
          <w:color w:val="231F20"/>
          <w:position w:val="7"/>
          <w:sz w:val="11"/>
        </w:rPr>
        <w:t>er</w:t>
      </w:r>
      <w:r>
        <w:rPr>
          <w:color w:val="231F20"/>
        </w:rPr>
        <w:t>,</w:t>
      </w:r>
      <w:r>
        <w:rPr>
          <w:color w:val="231F20"/>
          <w:spacing w:val="12"/>
        </w:rPr>
        <w:t> </w:t>
      </w:r>
      <w:r>
        <w:rPr>
          <w:color w:val="231F20"/>
        </w:rPr>
        <w:t>4:14,</w:t>
      </w:r>
      <w:r>
        <w:rPr>
          <w:color w:val="231F20"/>
          <w:spacing w:val="13"/>
        </w:rPr>
        <w:t> </w:t>
      </w:r>
      <w:r>
        <w:rPr>
          <w:color w:val="231F20"/>
        </w:rPr>
        <w:t>alinéa</w:t>
      </w:r>
      <w:r>
        <w:rPr>
          <w:color w:val="231F20"/>
          <w:spacing w:val="13"/>
        </w:rPr>
        <w:t> </w:t>
      </w:r>
      <w:r>
        <w:rPr>
          <w:color w:val="231F20"/>
        </w:rPr>
        <w:t>2,</w:t>
      </w:r>
      <w:r>
        <w:rPr>
          <w:color w:val="231F20"/>
          <w:spacing w:val="12"/>
        </w:rPr>
        <w:t> </w:t>
      </w:r>
      <w:r>
        <w:rPr>
          <w:color w:val="231F20"/>
        </w:rPr>
        <w:t>et</w:t>
      </w:r>
      <w:r>
        <w:rPr>
          <w:color w:val="231F20"/>
          <w:spacing w:val="13"/>
        </w:rPr>
        <w:t> </w:t>
      </w:r>
      <w:r>
        <w:rPr>
          <w:color w:val="231F20"/>
        </w:rPr>
        <w:t>4:21.</w:t>
      </w:r>
    </w:p>
    <w:p>
      <w:pPr>
        <w:pStyle w:val="BodyText"/>
        <w:spacing w:before="9"/>
        <w:ind w:left="0" w:right="0" w:firstLine="0"/>
        <w:jc w:val="left"/>
        <w:rPr>
          <w:sz w:val="25"/>
        </w:rPr>
      </w:pPr>
    </w:p>
    <w:p>
      <w:pPr>
        <w:pStyle w:val="BodyText"/>
        <w:spacing w:line="218" w:lineRule="auto"/>
        <w:ind w:right="38"/>
      </w:pPr>
      <w:r>
        <w:rPr>
          <w:color w:val="231F20"/>
        </w:rPr>
        <w:t>Art.</w:t>
      </w:r>
      <w:r>
        <w:rPr>
          <w:color w:val="231F20"/>
          <w:spacing w:val="-10"/>
        </w:rPr>
        <w:t> </w:t>
      </w:r>
      <w:r>
        <w:rPr>
          <w:color w:val="231F20"/>
        </w:rPr>
        <w:t>4:24.</w:t>
      </w:r>
      <w:r>
        <w:rPr>
          <w:color w:val="231F20"/>
          <w:spacing w:val="-10"/>
        </w:rPr>
        <w:t> </w:t>
      </w:r>
      <w:r>
        <w:rPr>
          <w:color w:val="231F20"/>
        </w:rPr>
        <w:t>Les</w:t>
      </w:r>
      <w:r>
        <w:rPr>
          <w:color w:val="231F20"/>
          <w:spacing w:val="-9"/>
        </w:rPr>
        <w:t> </w:t>
      </w:r>
      <w:r>
        <w:rPr>
          <w:color w:val="231F20"/>
        </w:rPr>
        <w:t>associés</w:t>
      </w:r>
      <w:r>
        <w:rPr>
          <w:color w:val="231F20"/>
          <w:spacing w:val="-10"/>
        </w:rPr>
        <w:t> </w:t>
      </w:r>
      <w:r>
        <w:rPr>
          <w:color w:val="231F20"/>
        </w:rPr>
        <w:t>commanditaires</w:t>
      </w:r>
      <w:r>
        <w:rPr>
          <w:color w:val="231F20"/>
          <w:spacing w:val="-10"/>
        </w:rPr>
        <w:t> </w:t>
      </w:r>
      <w:r>
        <w:rPr>
          <w:color w:val="231F20"/>
        </w:rPr>
        <w:t>ne</w:t>
      </w:r>
      <w:r>
        <w:rPr>
          <w:color w:val="231F20"/>
          <w:spacing w:val="-9"/>
        </w:rPr>
        <w:t> </w:t>
      </w:r>
      <w:r>
        <w:rPr>
          <w:color w:val="231F20"/>
        </w:rPr>
        <w:t>sont</w:t>
      </w:r>
      <w:r>
        <w:rPr>
          <w:color w:val="231F20"/>
          <w:spacing w:val="-10"/>
        </w:rPr>
        <w:t> </w:t>
      </w:r>
      <w:r>
        <w:rPr>
          <w:color w:val="231F20"/>
        </w:rPr>
        <w:t>personnellement</w:t>
      </w:r>
      <w:r>
        <w:rPr>
          <w:color w:val="231F20"/>
          <w:spacing w:val="-10"/>
        </w:rPr>
        <w:t> </w:t>
      </w:r>
      <w:r>
        <w:rPr>
          <w:color w:val="231F20"/>
        </w:rPr>
        <w:t>tenus qu’à concurrence des sommes et des biens qu’ils ont promis</w:t>
      </w:r>
      <w:r>
        <w:rPr>
          <w:color w:val="231F20"/>
          <w:spacing w:val="18"/>
        </w:rPr>
        <w:t> </w:t>
      </w:r>
      <w:r>
        <w:rPr>
          <w:color w:val="231F20"/>
        </w:rPr>
        <w:t>d’apporter.</w:t>
      </w:r>
    </w:p>
    <w:p>
      <w:pPr>
        <w:pStyle w:val="BodyText"/>
        <w:spacing w:before="9"/>
        <w:ind w:left="0" w:right="0" w:firstLine="0"/>
        <w:jc w:val="left"/>
        <w:rPr>
          <w:sz w:val="25"/>
        </w:rPr>
      </w:pPr>
    </w:p>
    <w:p>
      <w:pPr>
        <w:pStyle w:val="BodyText"/>
        <w:spacing w:line="218" w:lineRule="auto"/>
        <w:ind w:right="38"/>
      </w:pPr>
      <w:r>
        <w:rPr>
          <w:color w:val="231F20"/>
        </w:rPr>
        <w:t>Les créanciers de la société ont une action contre eux en vue de les obliger à libérer leurs apports et pour les contraindre à rapporter à la société les dividendes qu’ils ont perçus s’ils n’ont pas été prélevés sur des bénéfices réels et réalisés de la société, sauf leur recours éventuel contre les gérants s’il y a fraude, mauvaise foi ou négligence grave de leur part.</w:t>
      </w:r>
    </w:p>
    <w:p>
      <w:pPr>
        <w:pStyle w:val="BodyText"/>
        <w:spacing w:before="6"/>
        <w:ind w:left="0" w:right="0" w:firstLine="0"/>
        <w:jc w:val="left"/>
        <w:rPr>
          <w:sz w:val="24"/>
        </w:rPr>
      </w:pPr>
    </w:p>
    <w:p>
      <w:pPr>
        <w:pStyle w:val="BodyText"/>
        <w:spacing w:line="218" w:lineRule="auto"/>
        <w:ind w:right="39"/>
      </w:pPr>
      <w:r>
        <w:rPr>
          <w:color w:val="231F20"/>
        </w:rPr>
        <w:t>Art. 4:25. § 1</w:t>
      </w:r>
      <w:r>
        <w:rPr>
          <w:color w:val="231F20"/>
          <w:position w:val="7"/>
          <w:sz w:val="11"/>
        </w:rPr>
        <w:t>er</w:t>
      </w:r>
      <w:r>
        <w:rPr>
          <w:color w:val="231F20"/>
        </w:rPr>
        <w:t>. L’associé commanditaire ne peut, même en vertu d’une procuration, faire aucun acte de gestion.</w:t>
      </w:r>
    </w:p>
    <w:p>
      <w:pPr>
        <w:pStyle w:val="BodyText"/>
        <w:spacing w:line="211" w:lineRule="auto" w:before="122"/>
        <w:ind w:right="38"/>
      </w:pPr>
      <w:r>
        <w:rPr>
          <w:color w:val="231F20"/>
        </w:rPr>
        <w:t>Les avis et les conseils, les actes de contrôle et les autorisations données aux gérants pour les actes qui sortent de leurs pouvoirs ne constituent toutefois pas des actes de gestion au sens de l’alinéa1</w:t>
      </w:r>
      <w:r>
        <w:rPr>
          <w:color w:val="231F20"/>
          <w:position w:val="7"/>
          <w:sz w:val="11"/>
        </w:rPr>
        <w:t>er</w:t>
      </w:r>
      <w:r>
        <w:rPr>
          <w:color w:val="231F20"/>
        </w:rPr>
        <w:t>.</w:t>
      </w:r>
    </w:p>
    <w:p>
      <w:pPr>
        <w:pStyle w:val="BodyText"/>
        <w:ind w:left="0" w:right="0" w:firstLine="0"/>
        <w:jc w:val="left"/>
        <w:rPr>
          <w:sz w:val="26"/>
        </w:rPr>
      </w:pPr>
    </w:p>
    <w:p>
      <w:pPr>
        <w:pStyle w:val="BodyText"/>
        <w:spacing w:line="211" w:lineRule="auto"/>
        <w:ind w:right="38"/>
      </w:pPr>
      <w:r>
        <w:rPr>
          <w:color w:val="231F20"/>
        </w:rPr>
        <w:t>§</w:t>
      </w:r>
      <w:r>
        <w:rPr>
          <w:color w:val="231F20"/>
          <w:spacing w:val="-7"/>
        </w:rPr>
        <w:t> </w:t>
      </w:r>
      <w:r>
        <w:rPr>
          <w:color w:val="231F20"/>
        </w:rPr>
        <w:t>2.</w:t>
      </w:r>
      <w:r>
        <w:rPr>
          <w:color w:val="231F20"/>
          <w:spacing w:val="-6"/>
        </w:rPr>
        <w:t> </w:t>
      </w:r>
      <w:r>
        <w:rPr>
          <w:color w:val="231F20"/>
        </w:rPr>
        <w:t>L’associé</w:t>
      </w:r>
      <w:r>
        <w:rPr>
          <w:color w:val="231F20"/>
          <w:spacing w:val="-6"/>
        </w:rPr>
        <w:t> </w:t>
      </w:r>
      <w:r>
        <w:rPr>
          <w:color w:val="231F20"/>
        </w:rPr>
        <w:t>commanditaire</w:t>
      </w:r>
      <w:r>
        <w:rPr>
          <w:color w:val="231F20"/>
          <w:spacing w:val="-6"/>
        </w:rPr>
        <w:t> </w:t>
      </w:r>
      <w:r>
        <w:rPr>
          <w:color w:val="231F20"/>
        </w:rPr>
        <w:t>est</w:t>
      </w:r>
      <w:r>
        <w:rPr>
          <w:color w:val="231F20"/>
          <w:spacing w:val="-6"/>
        </w:rPr>
        <w:t> </w:t>
      </w:r>
      <w:r>
        <w:rPr>
          <w:color w:val="231F20"/>
        </w:rPr>
        <w:t>solidairement</w:t>
      </w:r>
      <w:r>
        <w:rPr>
          <w:color w:val="231F20"/>
          <w:spacing w:val="-6"/>
        </w:rPr>
        <w:t> </w:t>
      </w:r>
      <w:r>
        <w:rPr>
          <w:color w:val="231F20"/>
        </w:rPr>
        <w:t>tenu,</w:t>
      </w:r>
      <w:r>
        <w:rPr>
          <w:color w:val="231F20"/>
          <w:spacing w:val="-6"/>
        </w:rPr>
        <w:t> </w:t>
      </w:r>
      <w:r>
        <w:rPr>
          <w:color w:val="231F20"/>
        </w:rPr>
        <w:t>à</w:t>
      </w:r>
      <w:r>
        <w:rPr>
          <w:color w:val="231F20"/>
          <w:spacing w:val="-6"/>
        </w:rPr>
        <w:t> </w:t>
      </w:r>
      <w:r>
        <w:rPr>
          <w:color w:val="231F20"/>
        </w:rPr>
        <w:t>l’égard</w:t>
      </w:r>
      <w:r>
        <w:rPr>
          <w:color w:val="231F20"/>
          <w:spacing w:val="-6"/>
        </w:rPr>
        <w:t> </w:t>
      </w:r>
      <w:r>
        <w:rPr>
          <w:color w:val="231F20"/>
        </w:rPr>
        <w:t>de</w:t>
      </w:r>
      <w:r>
        <w:rPr>
          <w:color w:val="231F20"/>
          <w:spacing w:val="-6"/>
        </w:rPr>
        <w:t> </w:t>
      </w:r>
      <w:r>
        <w:rPr>
          <w:color w:val="231F20"/>
        </w:rPr>
        <w:t>tiers, de tous les engagements de la société auxquels il aurait participé en contravention</w:t>
      </w:r>
      <w:r>
        <w:rPr>
          <w:color w:val="231F20"/>
          <w:spacing w:val="16"/>
        </w:rPr>
        <w:t> </w:t>
      </w:r>
      <w:r>
        <w:rPr>
          <w:color w:val="231F20"/>
        </w:rPr>
        <w:t>à</w:t>
      </w:r>
      <w:r>
        <w:rPr>
          <w:color w:val="231F20"/>
          <w:spacing w:val="16"/>
        </w:rPr>
        <w:t> </w:t>
      </w:r>
      <w:r>
        <w:rPr>
          <w:color w:val="231F20"/>
        </w:rPr>
        <w:t>la</w:t>
      </w:r>
      <w:r>
        <w:rPr>
          <w:color w:val="231F20"/>
          <w:spacing w:val="16"/>
        </w:rPr>
        <w:t> </w:t>
      </w:r>
      <w:r>
        <w:rPr>
          <w:color w:val="231F20"/>
        </w:rPr>
        <w:t>prohibition</w:t>
      </w:r>
      <w:r>
        <w:rPr>
          <w:color w:val="231F20"/>
          <w:spacing w:val="17"/>
        </w:rPr>
        <w:t> </w:t>
      </w:r>
      <w:r>
        <w:rPr>
          <w:color w:val="231F20"/>
        </w:rPr>
        <w:t>du</w:t>
      </w:r>
      <w:r>
        <w:rPr>
          <w:color w:val="231F20"/>
          <w:spacing w:val="16"/>
        </w:rPr>
        <w:t> </w:t>
      </w:r>
      <w:r>
        <w:rPr>
          <w:color w:val="231F20"/>
        </w:rPr>
        <w:t>paragraphe</w:t>
      </w:r>
      <w:r>
        <w:rPr>
          <w:color w:val="231F20"/>
          <w:spacing w:val="16"/>
        </w:rPr>
        <w:t> </w:t>
      </w:r>
      <w:r>
        <w:rPr>
          <w:color w:val="231F20"/>
        </w:rPr>
        <w:t>1</w:t>
      </w:r>
      <w:r>
        <w:rPr>
          <w:color w:val="231F20"/>
          <w:position w:val="7"/>
          <w:sz w:val="11"/>
        </w:rPr>
        <w:t>er</w:t>
      </w:r>
      <w:r>
        <w:rPr>
          <w:color w:val="231F20"/>
        </w:rPr>
        <w:t>.</w:t>
      </w:r>
    </w:p>
    <w:p>
      <w:pPr>
        <w:pStyle w:val="BodyText"/>
        <w:spacing w:before="7"/>
        <w:ind w:left="0" w:right="0" w:firstLine="0"/>
        <w:jc w:val="left"/>
        <w:rPr>
          <w:sz w:val="25"/>
        </w:rPr>
      </w:pPr>
    </w:p>
    <w:p>
      <w:pPr>
        <w:pStyle w:val="BodyText"/>
        <w:spacing w:line="218" w:lineRule="auto"/>
        <w:ind w:right="38"/>
      </w:pPr>
      <w:r>
        <w:rPr>
          <w:color w:val="231F20"/>
        </w:rPr>
        <w:t>Il est tenu solidairement à l’égard des tiers au même titre que les commandités, de l’ensemble des engagements de la société s’il a habituellement géré les affaires de la société ou si son nom fait partie de la dénomination de la société.</w:t>
      </w:r>
    </w:p>
    <w:p>
      <w:pPr>
        <w:pStyle w:val="BodyText"/>
        <w:spacing w:before="10"/>
        <w:ind w:left="0" w:right="0" w:firstLine="0"/>
        <w:jc w:val="left"/>
        <w:rPr>
          <w:sz w:val="25"/>
        </w:rPr>
      </w:pPr>
    </w:p>
    <w:p>
      <w:pPr>
        <w:pStyle w:val="BodyText"/>
        <w:spacing w:line="218" w:lineRule="auto"/>
        <w:ind w:right="38"/>
      </w:pPr>
      <w:r>
        <w:rPr>
          <w:color w:val="231F20"/>
        </w:rPr>
        <w:t>Art 4:26. Aucun jugement à raison d’engagements de la société portant condamnation personnelle des associés en nom collectif ou en commandite ne peut être rendu avant qu’il y ait condamnation de la société.</w:t>
      </w:r>
    </w:p>
    <w:p>
      <w:pPr>
        <w:pStyle w:val="BodyText"/>
        <w:spacing w:line="218" w:lineRule="auto" w:before="119"/>
      </w:pPr>
      <w:r>
        <w:rPr/>
        <w:br w:type="column"/>
      </w:r>
      <w:r>
        <w:rPr>
          <w:color w:val="231F20"/>
        </w:rPr>
        <w:t>De overeenkomst kan ook bepalen dat de vennoten met de in de overeenkomst voorgeschreven meerderheid en de daarin vermelde redenen, of zelfs zonder reden met inachtneming van een redelijke opzeggingstermijn, aan de deelneming van een vennoot een einde kunnen stellen.</w:t>
      </w:r>
    </w:p>
    <w:p>
      <w:pPr>
        <w:pStyle w:val="BodyText"/>
        <w:spacing w:line="218" w:lineRule="auto" w:before="107"/>
      </w:pPr>
      <w:r>
        <w:rPr>
          <w:color w:val="231F20"/>
          <w:spacing w:val="-3"/>
        </w:rPr>
        <w:t>Wanneer </w:t>
      </w:r>
      <w:r>
        <w:rPr>
          <w:color w:val="231F20"/>
        </w:rPr>
        <w:t>de overeenkomst niets bepaalt over de modaliteiten van de uitkering van de waarde of van de overname van zijn aandeel, heeft de vennoot die terugtreedt of ten aanzien van wie de vennootschap is beëindigd recht op de waarde van zijn aandeel op het tijdstip dat hij de hoedanigheid van vennoot verliest. Hij bekomt deze waarde door de aankoop van zijn aandeel door de andere vennoten of door de gedeeltelijke verdeling van het vennootschapsvermogen zoals dit ten tijde van zijn vertrek bestond, zonder te delen in de latere rechten of verplichtingen tenzij deze een noodzakelijk gevolg zijn van wat vóór zijn vertrek werd</w:t>
      </w:r>
      <w:r>
        <w:rPr>
          <w:color w:val="231F20"/>
          <w:spacing w:val="4"/>
        </w:rPr>
        <w:t> </w:t>
      </w:r>
      <w:r>
        <w:rPr>
          <w:color w:val="231F20"/>
        </w:rPr>
        <w:t>verricht.</w:t>
      </w:r>
    </w:p>
    <w:p>
      <w:pPr>
        <w:pStyle w:val="BodyText"/>
        <w:spacing w:line="218" w:lineRule="auto" w:before="108"/>
      </w:pPr>
      <w:r>
        <w:rPr>
          <w:color w:val="231F20"/>
          <w:w w:val="105"/>
        </w:rPr>
        <w:t>Art. 4:20. In geval van wanprestatie van een vennoot kunnen de andere vennoten vorderen dat de overeenkomst enkel jegens hem wordt ontbonden voor zover de vennootschap zonder deze vennoot kan</w:t>
      </w:r>
      <w:r>
        <w:rPr>
          <w:color w:val="231F20"/>
          <w:spacing w:val="-21"/>
          <w:w w:val="105"/>
        </w:rPr>
        <w:t> </w:t>
      </w:r>
      <w:r>
        <w:rPr>
          <w:color w:val="231F20"/>
          <w:w w:val="105"/>
        </w:rPr>
        <w:t>blijven</w:t>
      </w:r>
      <w:r>
        <w:rPr>
          <w:color w:val="231F20"/>
          <w:spacing w:val="-20"/>
          <w:w w:val="105"/>
        </w:rPr>
        <w:t> </w:t>
      </w:r>
      <w:r>
        <w:rPr>
          <w:color w:val="231F20"/>
          <w:w w:val="105"/>
        </w:rPr>
        <w:t>voortbestaan</w:t>
      </w:r>
      <w:r>
        <w:rPr>
          <w:color w:val="231F20"/>
          <w:spacing w:val="-20"/>
          <w:w w:val="105"/>
        </w:rPr>
        <w:t> </w:t>
      </w:r>
      <w:r>
        <w:rPr>
          <w:color w:val="231F20"/>
          <w:w w:val="105"/>
        </w:rPr>
        <w:t>en</w:t>
      </w:r>
      <w:r>
        <w:rPr>
          <w:color w:val="231F20"/>
          <w:spacing w:val="-20"/>
          <w:w w:val="105"/>
        </w:rPr>
        <w:t> </w:t>
      </w:r>
      <w:r>
        <w:rPr>
          <w:color w:val="231F20"/>
          <w:w w:val="105"/>
        </w:rPr>
        <w:t>de</w:t>
      </w:r>
      <w:r>
        <w:rPr>
          <w:color w:val="231F20"/>
          <w:spacing w:val="-20"/>
          <w:w w:val="105"/>
        </w:rPr>
        <w:t> </w:t>
      </w:r>
      <w:r>
        <w:rPr>
          <w:color w:val="231F20"/>
          <w:w w:val="105"/>
        </w:rPr>
        <w:t>verwezenlijking</w:t>
      </w:r>
      <w:r>
        <w:rPr>
          <w:color w:val="231F20"/>
          <w:spacing w:val="-21"/>
          <w:w w:val="105"/>
        </w:rPr>
        <w:t> </w:t>
      </w:r>
      <w:r>
        <w:rPr>
          <w:color w:val="231F20"/>
          <w:w w:val="105"/>
        </w:rPr>
        <w:t>van</w:t>
      </w:r>
      <w:r>
        <w:rPr>
          <w:color w:val="231F20"/>
          <w:spacing w:val="-20"/>
          <w:w w:val="105"/>
        </w:rPr>
        <w:t> </w:t>
      </w:r>
      <w:r>
        <w:rPr>
          <w:color w:val="231F20"/>
          <w:w w:val="105"/>
        </w:rPr>
        <w:t>haar</w:t>
      </w:r>
      <w:r>
        <w:rPr>
          <w:color w:val="231F20"/>
          <w:spacing w:val="-20"/>
          <w:w w:val="105"/>
        </w:rPr>
        <w:t> </w:t>
      </w:r>
      <w:r>
        <w:rPr>
          <w:color w:val="231F20"/>
          <w:w w:val="105"/>
        </w:rPr>
        <w:t>voorwerp</w:t>
      </w:r>
      <w:r>
        <w:rPr>
          <w:color w:val="231F20"/>
          <w:spacing w:val="-20"/>
          <w:w w:val="105"/>
        </w:rPr>
        <w:t> </w:t>
      </w:r>
      <w:r>
        <w:rPr>
          <w:color w:val="231F20"/>
          <w:w w:val="105"/>
        </w:rPr>
        <w:t>niet onmogelijk</w:t>
      </w:r>
      <w:r>
        <w:rPr>
          <w:color w:val="231F20"/>
          <w:spacing w:val="12"/>
          <w:w w:val="105"/>
        </w:rPr>
        <w:t> </w:t>
      </w:r>
      <w:r>
        <w:rPr>
          <w:color w:val="231F20"/>
          <w:w w:val="105"/>
        </w:rPr>
        <w:t>wordt.</w:t>
      </w:r>
    </w:p>
    <w:p>
      <w:pPr>
        <w:pStyle w:val="BodyText"/>
        <w:spacing w:line="218" w:lineRule="auto" w:before="107"/>
      </w:pPr>
      <w:r>
        <w:rPr>
          <w:color w:val="231F20"/>
        </w:rPr>
        <w:t>Art. 4:21. Het vennootschapsvermogen wordt na ontbinding geacht voort te bestaan voor de vereffening tot aan de sluiting daarvan. Elke belanghebbende kan de aanstelling van één of meer vereffenaars vorderen voor de voorzitter van de ondernemingsrechtbank van de zetel van de vennootschap zitting houdend zoals in kort  geding.  Artikel</w:t>
      </w:r>
      <w:r>
        <w:rPr>
          <w:color w:val="231F20"/>
          <w:spacing w:val="14"/>
        </w:rPr>
        <w:t> </w:t>
      </w:r>
      <w:r>
        <w:rPr>
          <w:color w:val="231F20"/>
        </w:rPr>
        <w:t>2:97,</w:t>
      </w:r>
      <w:r>
        <w:rPr>
          <w:color w:val="231F20"/>
          <w:spacing w:val="15"/>
        </w:rPr>
        <w:t> </w:t>
      </w:r>
      <w:r>
        <w:rPr>
          <w:color w:val="231F20"/>
        </w:rPr>
        <w:t>§§</w:t>
      </w:r>
      <w:r>
        <w:rPr>
          <w:color w:val="231F20"/>
          <w:spacing w:val="15"/>
        </w:rPr>
        <w:t> </w:t>
      </w:r>
      <w:r>
        <w:rPr>
          <w:color w:val="231F20"/>
        </w:rPr>
        <w:t>1</w:t>
      </w:r>
      <w:r>
        <w:rPr>
          <w:color w:val="231F20"/>
          <w:spacing w:val="15"/>
        </w:rPr>
        <w:t> </w:t>
      </w:r>
      <w:r>
        <w:rPr>
          <w:color w:val="231F20"/>
        </w:rPr>
        <w:t>en</w:t>
      </w:r>
      <w:r>
        <w:rPr>
          <w:color w:val="231F20"/>
          <w:spacing w:val="14"/>
        </w:rPr>
        <w:t> </w:t>
      </w:r>
      <w:r>
        <w:rPr>
          <w:color w:val="231F20"/>
        </w:rPr>
        <w:t>3,</w:t>
      </w:r>
      <w:r>
        <w:rPr>
          <w:color w:val="231F20"/>
          <w:spacing w:val="15"/>
        </w:rPr>
        <w:t> </w:t>
      </w:r>
      <w:r>
        <w:rPr>
          <w:color w:val="231F20"/>
        </w:rPr>
        <w:t>eerste</w:t>
      </w:r>
      <w:r>
        <w:rPr>
          <w:color w:val="231F20"/>
          <w:spacing w:val="15"/>
        </w:rPr>
        <w:t> </w:t>
      </w:r>
      <w:r>
        <w:rPr>
          <w:color w:val="231F20"/>
        </w:rPr>
        <w:t>lid,</w:t>
      </w:r>
      <w:r>
        <w:rPr>
          <w:color w:val="231F20"/>
          <w:spacing w:val="15"/>
        </w:rPr>
        <w:t> </w:t>
      </w:r>
      <w:r>
        <w:rPr>
          <w:color w:val="231F20"/>
        </w:rPr>
        <w:t>is</w:t>
      </w:r>
      <w:r>
        <w:rPr>
          <w:color w:val="231F20"/>
          <w:spacing w:val="14"/>
        </w:rPr>
        <w:t> </w:t>
      </w:r>
      <w:r>
        <w:rPr>
          <w:color w:val="231F20"/>
        </w:rPr>
        <w:t>van</w:t>
      </w:r>
      <w:r>
        <w:rPr>
          <w:color w:val="231F20"/>
          <w:spacing w:val="15"/>
        </w:rPr>
        <w:t> </w:t>
      </w:r>
      <w:r>
        <w:rPr>
          <w:color w:val="231F20"/>
        </w:rPr>
        <w:t>toepassing.</w:t>
      </w:r>
    </w:p>
    <w:p>
      <w:pPr>
        <w:pStyle w:val="BodyText"/>
        <w:spacing w:line="218" w:lineRule="auto" w:before="107"/>
      </w:pPr>
      <w:r>
        <w:rPr>
          <w:color w:val="231F20"/>
        </w:rPr>
        <w:t>TITEL 7. Bepalingen specifiek aan de vennootschap onder firma en de commanditaire</w:t>
      </w:r>
      <w:r>
        <w:rPr>
          <w:color w:val="231F20"/>
          <w:spacing w:val="-11"/>
        </w:rPr>
        <w:t> </w:t>
      </w:r>
      <w:r>
        <w:rPr>
          <w:color w:val="231F20"/>
        </w:rPr>
        <w:t>vennootschap.</w:t>
      </w:r>
    </w:p>
    <w:p>
      <w:pPr>
        <w:pStyle w:val="BodyText"/>
        <w:spacing w:line="218" w:lineRule="auto" w:before="107"/>
      </w:pPr>
      <w:r>
        <w:rPr>
          <w:color w:val="231F20"/>
        </w:rPr>
        <w:t>Art. 4:22. De maatschap waarvan de vennoten overeenkomen dat zij rechtspersoonlijkheid zal genieten, neemt de vorm aan van een vennootschap onder firma of van een commanditaire vennootschap.</w:t>
      </w:r>
    </w:p>
    <w:p>
      <w:pPr>
        <w:pStyle w:val="BodyText"/>
        <w:spacing w:line="218" w:lineRule="auto" w:before="117"/>
      </w:pPr>
      <w:r>
        <w:rPr>
          <w:color w:val="231F20"/>
        </w:rPr>
        <w:t>Zij is een vennootschap onder firma wanneer alle vennoten onbe- perkt en hoofdelijk aansprakelijk zijn voor de verbintenissen van de vennootschap.</w:t>
      </w:r>
    </w:p>
    <w:p>
      <w:pPr>
        <w:pStyle w:val="BodyText"/>
        <w:spacing w:line="218" w:lineRule="auto" w:before="118"/>
        <w:ind w:right="125"/>
      </w:pPr>
      <w:r>
        <w:rPr>
          <w:color w:val="231F20"/>
        </w:rPr>
        <w:t>Zij is een commanditaire vennootschap wanneer zij wordt aangegaan door één of meer vennoten die onbeperkt en hoofdelijk aansprakelijk</w:t>
      </w:r>
      <w:r>
        <w:rPr>
          <w:color w:val="231F20"/>
          <w:w w:val="99"/>
        </w:rPr>
        <w:t> </w:t>
      </w:r>
      <w:r>
        <w:rPr>
          <w:color w:val="231F20"/>
        </w:rPr>
        <w:t>zijn voor de verbintenissen van de vennootschap, de gecommandi-</w:t>
      </w:r>
      <w:r>
        <w:rPr>
          <w:color w:val="231F20"/>
          <w:w w:val="100"/>
        </w:rPr>
        <w:t> </w:t>
      </w:r>
      <w:r>
        <w:rPr>
          <w:color w:val="231F20"/>
        </w:rPr>
        <w:t>teerde vennoten genoemd, en nog één of meer vennoten die zich beperken tot inbreng in geld of in natura en die niet deelnemen aan het beheer, de commanditaire vennoten genoemd.</w:t>
      </w:r>
    </w:p>
    <w:p>
      <w:pPr>
        <w:pStyle w:val="BodyText"/>
        <w:spacing w:line="218" w:lineRule="auto" w:before="118"/>
      </w:pPr>
      <w:r>
        <w:rPr>
          <w:color w:val="231F20"/>
        </w:rPr>
        <w:t>In de vennootschap onder firma en de commanditaire vennootschap zijn de zaakvoerder(s) het bestuursorgaan.</w:t>
      </w:r>
    </w:p>
    <w:p>
      <w:pPr>
        <w:pStyle w:val="BodyText"/>
        <w:spacing w:line="218" w:lineRule="auto" w:before="117"/>
      </w:pPr>
      <w:r>
        <w:rPr>
          <w:color w:val="231F20"/>
        </w:rPr>
        <w:t>Art. 4:23. De vennootschap onder firma en de commanditaire vennootschappen zijn onderworpen aan boek 2, evenals aan titel 1 tot en</w:t>
      </w:r>
      <w:r>
        <w:rPr>
          <w:color w:val="231F20"/>
          <w:spacing w:val="-4"/>
        </w:rPr>
        <w:t> </w:t>
      </w:r>
      <w:r>
        <w:rPr>
          <w:color w:val="231F20"/>
        </w:rPr>
        <w:t>met</w:t>
      </w:r>
      <w:r>
        <w:rPr>
          <w:color w:val="231F20"/>
          <w:spacing w:val="-3"/>
        </w:rPr>
        <w:t> </w:t>
      </w:r>
      <w:r>
        <w:rPr>
          <w:color w:val="231F20"/>
        </w:rPr>
        <w:t>6</w:t>
      </w:r>
      <w:r>
        <w:rPr>
          <w:color w:val="231F20"/>
          <w:spacing w:val="-4"/>
        </w:rPr>
        <w:t> </w:t>
      </w:r>
      <w:r>
        <w:rPr>
          <w:color w:val="231F20"/>
        </w:rPr>
        <w:t>van</w:t>
      </w:r>
      <w:r>
        <w:rPr>
          <w:color w:val="231F20"/>
          <w:spacing w:val="-3"/>
        </w:rPr>
        <w:t> </w:t>
      </w:r>
      <w:r>
        <w:rPr>
          <w:color w:val="231F20"/>
        </w:rPr>
        <w:t>dit</w:t>
      </w:r>
      <w:r>
        <w:rPr>
          <w:color w:val="231F20"/>
          <w:spacing w:val="-4"/>
        </w:rPr>
        <w:t> </w:t>
      </w:r>
      <w:r>
        <w:rPr>
          <w:color w:val="231F20"/>
        </w:rPr>
        <w:t>boek,</w:t>
      </w:r>
      <w:r>
        <w:rPr>
          <w:color w:val="231F20"/>
          <w:spacing w:val="-3"/>
        </w:rPr>
        <w:t> </w:t>
      </w:r>
      <w:r>
        <w:rPr>
          <w:color w:val="231F20"/>
        </w:rPr>
        <w:t>met</w:t>
      </w:r>
      <w:r>
        <w:rPr>
          <w:color w:val="231F20"/>
          <w:spacing w:val="-4"/>
        </w:rPr>
        <w:t> </w:t>
      </w:r>
      <w:r>
        <w:rPr>
          <w:color w:val="231F20"/>
        </w:rPr>
        <w:t>uitzondering</w:t>
      </w:r>
      <w:r>
        <w:rPr>
          <w:color w:val="231F20"/>
          <w:spacing w:val="-3"/>
        </w:rPr>
        <w:t> </w:t>
      </w:r>
      <w:r>
        <w:rPr>
          <w:color w:val="231F20"/>
        </w:rPr>
        <w:t>van</w:t>
      </w:r>
      <w:r>
        <w:rPr>
          <w:color w:val="231F20"/>
          <w:spacing w:val="-4"/>
        </w:rPr>
        <w:t> </w:t>
      </w:r>
      <w:r>
        <w:rPr>
          <w:color w:val="231F20"/>
        </w:rPr>
        <w:t>de</w:t>
      </w:r>
      <w:r>
        <w:rPr>
          <w:color w:val="231F20"/>
          <w:spacing w:val="-3"/>
        </w:rPr>
        <w:t> </w:t>
      </w:r>
      <w:r>
        <w:rPr>
          <w:color w:val="231F20"/>
        </w:rPr>
        <w:t>artikelen</w:t>
      </w:r>
      <w:r>
        <w:rPr>
          <w:color w:val="231F20"/>
          <w:spacing w:val="-4"/>
        </w:rPr>
        <w:t> </w:t>
      </w:r>
      <w:r>
        <w:rPr>
          <w:color w:val="231F20"/>
        </w:rPr>
        <w:t>4:13,</w:t>
      </w:r>
      <w:r>
        <w:rPr>
          <w:color w:val="231F20"/>
          <w:spacing w:val="-3"/>
        </w:rPr>
        <w:t> </w:t>
      </w:r>
      <w:r>
        <w:rPr>
          <w:color w:val="231F20"/>
        </w:rPr>
        <w:t>eerste</w:t>
      </w:r>
      <w:r>
        <w:rPr>
          <w:color w:val="231F20"/>
          <w:spacing w:val="-4"/>
        </w:rPr>
        <w:t> </w:t>
      </w:r>
      <w:r>
        <w:rPr>
          <w:color w:val="231F20"/>
        </w:rPr>
        <w:t>lid, 4:14, tweede lid, en</w:t>
      </w:r>
      <w:r>
        <w:rPr>
          <w:color w:val="231F20"/>
          <w:spacing w:val="17"/>
        </w:rPr>
        <w:t> </w:t>
      </w:r>
      <w:r>
        <w:rPr>
          <w:color w:val="231F20"/>
        </w:rPr>
        <w:t>4:21.</w:t>
      </w:r>
    </w:p>
    <w:p>
      <w:pPr>
        <w:pStyle w:val="BodyText"/>
        <w:spacing w:line="218" w:lineRule="auto" w:before="118"/>
      </w:pPr>
      <w:r>
        <w:rPr>
          <w:color w:val="231F20"/>
        </w:rPr>
        <w:t>Art. 4:24. De commanditaire vennoten zijn slechts persoonlijk aansprakelijk voor de geldsommen en goederen die zij beloofd hebben te zullen inbrengen.</w:t>
      </w:r>
    </w:p>
    <w:p>
      <w:pPr>
        <w:pStyle w:val="BodyText"/>
        <w:spacing w:line="218" w:lineRule="auto" w:before="117"/>
        <w:ind w:right="123"/>
      </w:pPr>
      <w:r>
        <w:rPr>
          <w:color w:val="231F20"/>
        </w:rPr>
        <w:t>De schuldeisers van de vennootschap hebben een vordering tegen hen om hen te verplichten hun inbrengen te volstorten en hen te dwingen de hen uitgekeerde dividenden terug te betalen aan de vennootschap, indien ze niet genomen zijn uit de werkelijke en gerealiseerde winst van de vennootschap, behoudens hun eventueel verhaal op de zaakvoerders in geval van bedrog, kwade trouw of grove nalatigheid van hun</w:t>
      </w:r>
      <w:r>
        <w:rPr>
          <w:color w:val="231F20"/>
          <w:spacing w:val="4"/>
        </w:rPr>
        <w:t> </w:t>
      </w:r>
      <w:r>
        <w:rPr>
          <w:color w:val="231F20"/>
        </w:rPr>
        <w:t>kant.</w:t>
      </w:r>
    </w:p>
    <w:p>
      <w:pPr>
        <w:pStyle w:val="BodyText"/>
        <w:spacing w:line="218" w:lineRule="auto" w:before="118"/>
      </w:pPr>
      <w:r>
        <w:rPr>
          <w:color w:val="231F20"/>
        </w:rPr>
        <w:t>Art. 4:25. § 1. Een commanditaire vennoot mag geen enkele daad van bestuur verrichten, zelfs niet krachtens een volmacht.</w:t>
      </w:r>
    </w:p>
    <w:p>
      <w:pPr>
        <w:pStyle w:val="BodyText"/>
        <w:spacing w:line="218" w:lineRule="auto" w:before="118"/>
      </w:pPr>
      <w:r>
        <w:rPr>
          <w:color w:val="231F20"/>
        </w:rPr>
        <w:t>Adviezen en raadgevingen, daden van controle evenals machtigin- gen aan zaakvoerders gegeven voor handelingen die buiten hun bevoegdheid liggen, zijn evenwel geen daden van bestuur als bedoeld  in het eerste</w:t>
      </w:r>
      <w:r>
        <w:rPr>
          <w:color w:val="231F20"/>
          <w:spacing w:val="3"/>
        </w:rPr>
        <w:t> </w:t>
      </w:r>
      <w:r>
        <w:rPr>
          <w:color w:val="231F20"/>
        </w:rPr>
        <w:t>lid.</w:t>
      </w:r>
    </w:p>
    <w:p>
      <w:pPr>
        <w:pStyle w:val="BodyText"/>
        <w:spacing w:line="218" w:lineRule="auto" w:before="117"/>
      </w:pPr>
      <w:r>
        <w:rPr>
          <w:color w:val="231F20"/>
        </w:rPr>
        <w:t>§ 2. Een commanditaire vennoot is ten aanzien van derden hoofdelijk aansprakelijk voor alle verbintenissen van de vennootschap, waaraan hij heeft meegewerkt met overtreding van de verbodsbepaling van paragraaf 1.</w:t>
      </w:r>
    </w:p>
    <w:p>
      <w:pPr>
        <w:pStyle w:val="BodyText"/>
        <w:spacing w:line="218" w:lineRule="auto" w:before="118"/>
      </w:pPr>
      <w:r>
        <w:rPr>
          <w:color w:val="231F20"/>
        </w:rPr>
        <w:t>Hij is ten aanzien van derden net als de gecommanditeerde vennoten hoofdelijk aansprakelijk voor alle verbintenissen van de vennootschap indien hij er een gewoonte van gemaakt heeft de zaken van de vennootschap waar te nemen of indien zijn naam in de naam van de vennootschap voorkomt.</w:t>
      </w:r>
    </w:p>
    <w:p>
      <w:pPr>
        <w:pStyle w:val="BodyText"/>
        <w:spacing w:line="218" w:lineRule="auto" w:before="118"/>
      </w:pPr>
      <w:r>
        <w:rPr>
          <w:color w:val="231F20"/>
        </w:rPr>
        <w:t>Art. 4:26. Vennoten in een vennootschap onder firma of in een commanditaire vennootschap kunnen niet persoonlijk worden veroor- deeld op grond van verbintenissen van de vennootschap zolang deze niet zelf is veroordeeld.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3" w:lineRule="auto" w:before="123"/>
        <w:ind w:right="38"/>
      </w:pPr>
      <w:r>
        <w:rPr/>
        <w:pict>
          <v:line style="position:absolute;mso-position-horizontal-relative:page;mso-position-vertical-relative:page;z-index:3136" from="298.170502pt,64.473pt" to="298.170502pt,812.819pt" stroked="true" strokeweight=".533pt" strokecolor="#231f20">
            <v:stroke dashstyle="solid"/>
            <w10:wrap type="none"/>
          </v:line>
        </w:pict>
      </w:r>
      <w:bookmarkStart w:name="_bookmark88" w:id="93"/>
      <w:bookmarkEnd w:id="93"/>
      <w:r>
        <w:rPr/>
      </w:r>
      <w:r>
        <w:rPr>
          <w:color w:val="231F20"/>
        </w:rPr>
        <w:t>Art. 4:27. Les gérants d’une société en nom collectif ou d’une société en</w:t>
      </w:r>
      <w:r>
        <w:rPr>
          <w:color w:val="231F20"/>
          <w:spacing w:val="-5"/>
        </w:rPr>
        <w:t> </w:t>
      </w:r>
      <w:r>
        <w:rPr>
          <w:color w:val="231F20"/>
        </w:rPr>
        <w:t>commandite,</w:t>
      </w:r>
      <w:r>
        <w:rPr>
          <w:color w:val="231F20"/>
          <w:spacing w:val="-4"/>
        </w:rPr>
        <w:t> </w:t>
      </w:r>
      <w:r>
        <w:rPr>
          <w:color w:val="231F20"/>
        </w:rPr>
        <w:t>dont</w:t>
      </w:r>
      <w:r>
        <w:rPr>
          <w:color w:val="231F20"/>
          <w:spacing w:val="-4"/>
        </w:rPr>
        <w:t> </w:t>
      </w:r>
      <w:r>
        <w:rPr>
          <w:color w:val="231F20"/>
        </w:rPr>
        <w:t>tous</w:t>
      </w:r>
      <w:r>
        <w:rPr>
          <w:color w:val="231F20"/>
          <w:spacing w:val="-5"/>
        </w:rPr>
        <w:t> </w:t>
      </w:r>
      <w:r>
        <w:rPr>
          <w:color w:val="231F20"/>
        </w:rPr>
        <w:t>les</w:t>
      </w:r>
      <w:r>
        <w:rPr>
          <w:color w:val="231F20"/>
          <w:spacing w:val="-4"/>
        </w:rPr>
        <w:t> </w:t>
      </w:r>
      <w:r>
        <w:rPr>
          <w:color w:val="231F20"/>
        </w:rPr>
        <w:t>associés</w:t>
      </w:r>
      <w:r>
        <w:rPr>
          <w:color w:val="231F20"/>
          <w:spacing w:val="-4"/>
        </w:rPr>
        <w:t> </w:t>
      </w:r>
      <w:r>
        <w:rPr>
          <w:color w:val="231F20"/>
        </w:rPr>
        <w:t>à</w:t>
      </w:r>
      <w:r>
        <w:rPr>
          <w:color w:val="231F20"/>
          <w:spacing w:val="-4"/>
        </w:rPr>
        <w:t> </w:t>
      </w:r>
      <w:r>
        <w:rPr>
          <w:color w:val="231F20"/>
        </w:rPr>
        <w:t>responsabilité</w:t>
      </w:r>
      <w:r>
        <w:rPr>
          <w:color w:val="231F20"/>
          <w:spacing w:val="-5"/>
        </w:rPr>
        <w:t> </w:t>
      </w:r>
      <w:r>
        <w:rPr>
          <w:color w:val="231F20"/>
        </w:rPr>
        <w:t>illimitée</w:t>
      </w:r>
      <w:r>
        <w:rPr>
          <w:color w:val="231F20"/>
          <w:spacing w:val="-4"/>
        </w:rPr>
        <w:t> </w:t>
      </w:r>
      <w:r>
        <w:rPr>
          <w:color w:val="231F20"/>
        </w:rPr>
        <w:t>sont</w:t>
      </w:r>
      <w:r>
        <w:rPr>
          <w:color w:val="231F20"/>
          <w:spacing w:val="-4"/>
        </w:rPr>
        <w:t> </w:t>
      </w:r>
      <w:r>
        <w:rPr>
          <w:color w:val="231F20"/>
        </w:rPr>
        <w:t>des sociétés belges ou étrangères dont la responsabilité des associés est limitée, sont solidairement responsables envers la société de tous les dommages</w:t>
      </w:r>
      <w:r>
        <w:rPr>
          <w:color w:val="231F20"/>
          <w:spacing w:val="18"/>
        </w:rPr>
        <w:t> </w:t>
      </w:r>
      <w:r>
        <w:rPr>
          <w:color w:val="231F20"/>
        </w:rPr>
        <w:t>résultant</w:t>
      </w:r>
      <w:r>
        <w:rPr>
          <w:color w:val="231F20"/>
          <w:spacing w:val="19"/>
        </w:rPr>
        <w:t> </w:t>
      </w:r>
      <w:r>
        <w:rPr>
          <w:color w:val="231F20"/>
        </w:rPr>
        <w:t>d’infractions</w:t>
      </w:r>
      <w:r>
        <w:rPr>
          <w:color w:val="231F20"/>
          <w:spacing w:val="19"/>
        </w:rPr>
        <w:t> </w:t>
      </w:r>
      <w:r>
        <w:rPr>
          <w:color w:val="231F20"/>
        </w:rPr>
        <w:t>aux</w:t>
      </w:r>
      <w:r>
        <w:rPr>
          <w:color w:val="231F20"/>
          <w:spacing w:val="19"/>
        </w:rPr>
        <w:t> </w:t>
      </w:r>
      <w:r>
        <w:rPr>
          <w:color w:val="231F20"/>
        </w:rPr>
        <w:t>dispositions</w:t>
      </w:r>
      <w:r>
        <w:rPr>
          <w:color w:val="231F20"/>
          <w:spacing w:val="19"/>
        </w:rPr>
        <w:t> </w:t>
      </w:r>
      <w:r>
        <w:rPr>
          <w:color w:val="231F20"/>
        </w:rPr>
        <w:t>du</w:t>
      </w:r>
      <w:r>
        <w:rPr>
          <w:color w:val="231F20"/>
          <w:spacing w:val="19"/>
        </w:rPr>
        <w:t> </w:t>
      </w:r>
      <w:r>
        <w:rPr>
          <w:color w:val="231F20"/>
        </w:rPr>
        <w:t>livre</w:t>
      </w:r>
      <w:r>
        <w:rPr>
          <w:color w:val="231F20"/>
          <w:spacing w:val="18"/>
        </w:rPr>
        <w:t> </w:t>
      </w:r>
      <w:r>
        <w:rPr>
          <w:color w:val="231F20"/>
        </w:rPr>
        <w:t>3,</w:t>
      </w:r>
      <w:r>
        <w:rPr>
          <w:color w:val="231F20"/>
          <w:spacing w:val="19"/>
        </w:rPr>
        <w:t> </w:t>
      </w:r>
      <w:r>
        <w:rPr>
          <w:color w:val="231F20"/>
        </w:rPr>
        <w:t>titre</w:t>
      </w:r>
      <w:r>
        <w:rPr>
          <w:color w:val="231F20"/>
          <w:spacing w:val="19"/>
        </w:rPr>
        <w:t> </w:t>
      </w:r>
      <w:r>
        <w:rPr>
          <w:color w:val="231F20"/>
        </w:rPr>
        <w:t>1</w:t>
      </w:r>
      <w:r>
        <w:rPr>
          <w:color w:val="231F20"/>
          <w:position w:val="7"/>
          <w:sz w:val="11"/>
        </w:rPr>
        <w:t>er</w:t>
      </w:r>
      <w:r>
        <w:rPr>
          <w:color w:val="231F20"/>
        </w:rPr>
        <w:t>.</w:t>
      </w:r>
    </w:p>
    <w:p>
      <w:pPr>
        <w:pStyle w:val="BodyText"/>
        <w:spacing w:before="1"/>
        <w:ind w:left="0" w:right="0" w:firstLine="0"/>
        <w:jc w:val="left"/>
        <w:rPr>
          <w:sz w:val="23"/>
        </w:rPr>
      </w:pPr>
    </w:p>
    <w:p>
      <w:pPr>
        <w:pStyle w:val="BodyText"/>
        <w:spacing w:line="218" w:lineRule="auto"/>
        <w:ind w:right="38"/>
      </w:pPr>
      <w:r>
        <w:rPr>
          <w:color w:val="231F20"/>
        </w:rPr>
        <w:t>Art. 4:28. S’il a été stipulé que la société en nom collectif ou en commandite continuerait en cas de décès, de liquidation, d’incapacité ou de tout autre empêchement du gérant, le président du tribunal de l’entreprise du siège de la société peut, sauf si la convention en dispose autrement, désigner, à la requête de tout intéressé, un administrateur provisoire, associé ou non, dont il fixera les pouvoirs et la durée du mandat.</w:t>
      </w:r>
    </w:p>
    <w:p>
      <w:pPr>
        <w:pStyle w:val="BodyText"/>
        <w:ind w:left="0" w:right="0" w:firstLine="0"/>
        <w:jc w:val="left"/>
        <w:rPr>
          <w:sz w:val="23"/>
        </w:rPr>
      </w:pPr>
    </w:p>
    <w:p>
      <w:pPr>
        <w:pStyle w:val="BodyText"/>
        <w:spacing w:line="218" w:lineRule="auto"/>
        <w:ind w:right="38"/>
      </w:pPr>
      <w:r>
        <w:rPr>
          <w:color w:val="231F20"/>
        </w:rPr>
        <w:t>L’administrateur provisoire – fût-il associé commanditaire – n’est responsable que de l’exécution de son mandat.</w:t>
      </w:r>
    </w:p>
    <w:p>
      <w:pPr>
        <w:pStyle w:val="BodyText"/>
        <w:spacing w:before="9"/>
        <w:ind w:left="0" w:right="0" w:firstLine="0"/>
        <w:jc w:val="left"/>
        <w:rPr>
          <w:sz w:val="21"/>
        </w:rPr>
      </w:pPr>
    </w:p>
    <w:p>
      <w:pPr>
        <w:pStyle w:val="BodyText"/>
        <w:spacing w:line="304" w:lineRule="auto"/>
        <w:ind w:left="283" w:right="1760" w:firstLine="0"/>
        <w:jc w:val="left"/>
      </w:pPr>
      <w:r>
        <w:rPr>
          <w:color w:val="231F20"/>
        </w:rPr>
        <w:t>LIVRE 5. La société à responsabilité limitée. TITRE 1</w:t>
      </w:r>
      <w:r>
        <w:rPr>
          <w:color w:val="231F20"/>
          <w:position w:val="7"/>
          <w:sz w:val="11"/>
        </w:rPr>
        <w:t>er</w:t>
      </w:r>
      <w:r>
        <w:rPr>
          <w:color w:val="231F20"/>
        </w:rPr>
        <w:t>. Nature et qualification.</w:t>
      </w:r>
    </w:p>
    <w:p>
      <w:pPr>
        <w:pStyle w:val="BodyText"/>
        <w:spacing w:line="218" w:lineRule="auto" w:before="31"/>
        <w:ind w:right="38"/>
      </w:pPr>
      <w:r>
        <w:rPr>
          <w:color w:val="231F20"/>
        </w:rPr>
        <w:t>Art. 5:1. La société à responsabilité limitée est une société dépourvue de capital dont les actionnaires n’engagent que leur apport.</w:t>
      </w:r>
    </w:p>
    <w:p>
      <w:pPr>
        <w:pStyle w:val="BodyText"/>
        <w:spacing w:line="201" w:lineRule="auto" w:before="96"/>
        <w:ind w:right="38"/>
      </w:pPr>
      <w:r>
        <w:rPr>
          <w:color w:val="231F20"/>
        </w:rPr>
        <w:t>Art. 5:2. Si une </w:t>
      </w:r>
      <w:r>
        <w:rPr>
          <w:color w:val="231F20"/>
          <w:spacing w:val="3"/>
        </w:rPr>
        <w:t>société </w:t>
      </w:r>
      <w:r>
        <w:rPr>
          <w:color w:val="231F20"/>
        </w:rPr>
        <w:t>à responsabilité limitée est cotée au sens de l’article 1:11, les articles 7:53, 7:61, § 1</w:t>
      </w:r>
      <w:r>
        <w:rPr>
          <w:color w:val="231F20"/>
          <w:position w:val="7"/>
          <w:sz w:val="11"/>
        </w:rPr>
        <w:t>er</w:t>
      </w:r>
      <w:r>
        <w:rPr>
          <w:color w:val="231F20"/>
        </w:rPr>
        <w:t>, alinéas 3 et 5, deuxième</w:t>
      </w:r>
      <w:r>
        <w:rPr>
          <w:color w:val="231F20"/>
          <w:spacing w:val="6"/>
        </w:rPr>
        <w:t> </w:t>
      </w:r>
      <w:r>
        <w:rPr>
          <w:color w:val="231F20"/>
        </w:rPr>
        <w:t>phrase,</w:t>
      </w:r>
    </w:p>
    <w:p>
      <w:pPr>
        <w:pStyle w:val="BodyText"/>
        <w:spacing w:line="172" w:lineRule="exact"/>
        <w:ind w:right="0" w:firstLine="0"/>
        <w:jc w:val="left"/>
      </w:pPr>
      <w:r>
        <w:rPr>
          <w:color w:val="231F20"/>
        </w:rPr>
        <w:t>7:82,</w:t>
      </w:r>
      <w:r>
        <w:rPr>
          <w:color w:val="231F20"/>
          <w:spacing w:val="-26"/>
        </w:rPr>
        <w:t> </w:t>
      </w:r>
      <w:r>
        <w:rPr>
          <w:color w:val="231F20"/>
        </w:rPr>
        <w:t>§</w:t>
      </w:r>
      <w:r>
        <w:rPr>
          <w:color w:val="231F20"/>
          <w:spacing w:val="-24"/>
        </w:rPr>
        <w:t> </w:t>
      </w:r>
      <w:r>
        <w:rPr>
          <w:color w:val="231F20"/>
        </w:rPr>
        <w:t>1</w:t>
      </w:r>
      <w:r>
        <w:rPr>
          <w:color w:val="231F20"/>
          <w:position w:val="7"/>
          <w:sz w:val="11"/>
        </w:rPr>
        <w:t>er</w:t>
      </w:r>
      <w:r>
        <w:rPr>
          <w:color w:val="231F20"/>
        </w:rPr>
        <w:t>,</w:t>
      </w:r>
      <w:r>
        <w:rPr>
          <w:color w:val="231F20"/>
          <w:spacing w:val="-25"/>
        </w:rPr>
        <w:t> </w:t>
      </w:r>
      <w:r>
        <w:rPr>
          <w:color w:val="231F20"/>
        </w:rPr>
        <w:t>7:83,</w:t>
      </w:r>
      <w:r>
        <w:rPr>
          <w:color w:val="231F20"/>
          <w:spacing w:val="-25"/>
        </w:rPr>
        <w:t> </w:t>
      </w:r>
      <w:r>
        <w:rPr>
          <w:color w:val="231F20"/>
        </w:rPr>
        <w:t>7:84,</w:t>
      </w:r>
      <w:r>
        <w:rPr>
          <w:color w:val="231F20"/>
          <w:spacing w:val="-24"/>
        </w:rPr>
        <w:t> </w:t>
      </w:r>
      <w:r>
        <w:rPr>
          <w:color w:val="231F20"/>
        </w:rPr>
        <w:t>7:86,</w:t>
      </w:r>
      <w:r>
        <w:rPr>
          <w:color w:val="231F20"/>
          <w:spacing w:val="-25"/>
        </w:rPr>
        <w:t> </w:t>
      </w:r>
      <w:r>
        <w:rPr>
          <w:color w:val="231F20"/>
        </w:rPr>
        <w:t>7:87,</w:t>
      </w:r>
      <w:r>
        <w:rPr>
          <w:color w:val="231F20"/>
          <w:spacing w:val="-25"/>
        </w:rPr>
        <w:t> </w:t>
      </w:r>
      <w:r>
        <w:rPr>
          <w:color w:val="231F20"/>
        </w:rPr>
        <w:t>7:90,</w:t>
      </w:r>
      <w:r>
        <w:rPr>
          <w:color w:val="231F20"/>
          <w:spacing w:val="-24"/>
        </w:rPr>
        <w:t> </w:t>
      </w:r>
      <w:r>
        <w:rPr>
          <w:color w:val="231F20"/>
        </w:rPr>
        <w:t>7:91,</w:t>
      </w:r>
      <w:r>
        <w:rPr>
          <w:color w:val="231F20"/>
          <w:spacing w:val="-25"/>
        </w:rPr>
        <w:t> </w:t>
      </w:r>
      <w:r>
        <w:rPr>
          <w:color w:val="231F20"/>
        </w:rPr>
        <w:t>7:97,</w:t>
      </w:r>
      <w:r>
        <w:rPr>
          <w:color w:val="231F20"/>
          <w:spacing w:val="-25"/>
        </w:rPr>
        <w:t> </w:t>
      </w:r>
      <w:r>
        <w:rPr>
          <w:color w:val="231F20"/>
        </w:rPr>
        <w:t>7:99,</w:t>
      </w:r>
      <w:r>
        <w:rPr>
          <w:color w:val="231F20"/>
          <w:spacing w:val="-24"/>
        </w:rPr>
        <w:t> </w:t>
      </w:r>
      <w:r>
        <w:rPr>
          <w:color w:val="231F20"/>
        </w:rPr>
        <w:t>7:100,</w:t>
      </w:r>
      <w:r>
        <w:rPr>
          <w:color w:val="231F20"/>
          <w:spacing w:val="-25"/>
        </w:rPr>
        <w:t> </w:t>
      </w:r>
      <w:r>
        <w:rPr>
          <w:color w:val="231F20"/>
        </w:rPr>
        <w:t>7:108,</w:t>
      </w:r>
      <w:r>
        <w:rPr>
          <w:color w:val="231F20"/>
          <w:spacing w:val="-25"/>
        </w:rPr>
        <w:t> </w:t>
      </w:r>
      <w:r>
        <w:rPr>
          <w:color w:val="231F20"/>
        </w:rPr>
        <w:t>dernier</w:t>
      </w:r>
    </w:p>
    <w:p>
      <w:pPr>
        <w:pStyle w:val="BodyText"/>
        <w:spacing w:line="176" w:lineRule="exact"/>
        <w:ind w:right="0" w:firstLine="0"/>
        <w:jc w:val="left"/>
      </w:pPr>
      <w:r>
        <w:rPr>
          <w:color w:val="231F20"/>
        </w:rPr>
        <w:t>alinéa,</w:t>
      </w:r>
      <w:r>
        <w:rPr>
          <w:color w:val="231F20"/>
          <w:spacing w:val="-9"/>
        </w:rPr>
        <w:t> </w:t>
      </w:r>
      <w:r>
        <w:rPr>
          <w:color w:val="231F20"/>
        </w:rPr>
        <w:t>7:128,</w:t>
      </w:r>
      <w:r>
        <w:rPr>
          <w:color w:val="231F20"/>
          <w:spacing w:val="-9"/>
        </w:rPr>
        <w:t> </w:t>
      </w:r>
      <w:r>
        <w:rPr>
          <w:color w:val="231F20"/>
        </w:rPr>
        <w:t>7:129,</w:t>
      </w:r>
      <w:r>
        <w:rPr>
          <w:color w:val="231F20"/>
          <w:spacing w:val="-9"/>
        </w:rPr>
        <w:t> </w:t>
      </w:r>
      <w:r>
        <w:rPr>
          <w:color w:val="231F20"/>
        </w:rPr>
        <w:t>§§</w:t>
      </w:r>
      <w:r>
        <w:rPr>
          <w:color w:val="231F20"/>
          <w:spacing w:val="-9"/>
        </w:rPr>
        <w:t> </w:t>
      </w:r>
      <w:r>
        <w:rPr>
          <w:color w:val="231F20"/>
        </w:rPr>
        <w:t>2</w:t>
      </w:r>
      <w:r>
        <w:rPr>
          <w:color w:val="231F20"/>
          <w:spacing w:val="-9"/>
        </w:rPr>
        <w:t> </w:t>
      </w:r>
      <w:r>
        <w:rPr>
          <w:color w:val="231F20"/>
        </w:rPr>
        <w:t>et</w:t>
      </w:r>
      <w:r>
        <w:rPr>
          <w:color w:val="231F20"/>
          <w:spacing w:val="-8"/>
        </w:rPr>
        <w:t> </w:t>
      </w:r>
      <w:r>
        <w:rPr>
          <w:color w:val="231F20"/>
        </w:rPr>
        <w:t>3,</w:t>
      </w:r>
      <w:r>
        <w:rPr>
          <w:color w:val="231F20"/>
          <w:spacing w:val="-9"/>
        </w:rPr>
        <w:t> </w:t>
      </w:r>
      <w:r>
        <w:rPr>
          <w:color w:val="231F20"/>
        </w:rPr>
        <w:t>7:130,</w:t>
      </w:r>
      <w:r>
        <w:rPr>
          <w:color w:val="231F20"/>
          <w:spacing w:val="-9"/>
        </w:rPr>
        <w:t> </w:t>
      </w:r>
      <w:r>
        <w:rPr>
          <w:color w:val="231F20"/>
        </w:rPr>
        <w:t>7:131,</w:t>
      </w:r>
      <w:r>
        <w:rPr>
          <w:color w:val="231F20"/>
          <w:spacing w:val="-9"/>
        </w:rPr>
        <w:t> </w:t>
      </w:r>
      <w:r>
        <w:rPr>
          <w:color w:val="231F20"/>
        </w:rPr>
        <w:t>7:132,</w:t>
      </w:r>
      <w:r>
        <w:rPr>
          <w:color w:val="231F20"/>
          <w:spacing w:val="-9"/>
        </w:rPr>
        <w:t> </w:t>
      </w:r>
      <w:r>
        <w:rPr>
          <w:color w:val="231F20"/>
        </w:rPr>
        <w:t>alinéas</w:t>
      </w:r>
      <w:r>
        <w:rPr>
          <w:color w:val="231F20"/>
          <w:spacing w:val="-9"/>
        </w:rPr>
        <w:t> </w:t>
      </w:r>
      <w:r>
        <w:rPr>
          <w:color w:val="231F20"/>
        </w:rPr>
        <w:t>2</w:t>
      </w:r>
      <w:r>
        <w:rPr>
          <w:color w:val="231F20"/>
          <w:spacing w:val="-8"/>
        </w:rPr>
        <w:t> </w:t>
      </w:r>
      <w:r>
        <w:rPr>
          <w:color w:val="231F20"/>
        </w:rPr>
        <w:t>et</w:t>
      </w:r>
      <w:r>
        <w:rPr>
          <w:color w:val="231F20"/>
          <w:spacing w:val="-9"/>
        </w:rPr>
        <w:t> </w:t>
      </w:r>
      <w:r>
        <w:rPr>
          <w:color w:val="231F20"/>
        </w:rPr>
        <w:t>3,</w:t>
      </w:r>
      <w:r>
        <w:rPr>
          <w:color w:val="231F20"/>
          <w:spacing w:val="-9"/>
        </w:rPr>
        <w:t> </w:t>
      </w:r>
      <w:r>
        <w:rPr>
          <w:color w:val="231F20"/>
        </w:rPr>
        <w:t>7:134,</w:t>
      </w:r>
      <w:r>
        <w:rPr>
          <w:color w:val="231F20"/>
          <w:spacing w:val="-9"/>
        </w:rPr>
        <w:t> </w:t>
      </w:r>
      <w:r>
        <w:rPr>
          <w:color w:val="231F20"/>
        </w:rPr>
        <w:t>§</w:t>
      </w:r>
      <w:r>
        <w:rPr>
          <w:color w:val="231F20"/>
          <w:spacing w:val="-9"/>
        </w:rPr>
        <w:t> </w:t>
      </w:r>
      <w:r>
        <w:rPr>
          <w:color w:val="231F20"/>
        </w:rPr>
        <w:t>2,</w:t>
      </w:r>
    </w:p>
    <w:p>
      <w:pPr>
        <w:pStyle w:val="BodyText"/>
        <w:spacing w:line="168" w:lineRule="exact"/>
        <w:ind w:right="0" w:firstLine="0"/>
        <w:jc w:val="left"/>
      </w:pPr>
      <w:r>
        <w:rPr>
          <w:color w:val="231F20"/>
        </w:rPr>
        <w:t>7:139,</w:t>
      </w:r>
      <w:r>
        <w:rPr>
          <w:color w:val="231F20"/>
          <w:spacing w:val="-12"/>
        </w:rPr>
        <w:t> </w:t>
      </w:r>
      <w:r>
        <w:rPr>
          <w:color w:val="231F20"/>
        </w:rPr>
        <w:t>alinéa</w:t>
      </w:r>
      <w:r>
        <w:rPr>
          <w:color w:val="231F20"/>
          <w:spacing w:val="-12"/>
        </w:rPr>
        <w:t> </w:t>
      </w:r>
      <w:r>
        <w:rPr>
          <w:color w:val="231F20"/>
        </w:rPr>
        <w:t>4,</w:t>
      </w:r>
      <w:r>
        <w:rPr>
          <w:color w:val="231F20"/>
          <w:spacing w:val="-11"/>
        </w:rPr>
        <w:t> </w:t>
      </w:r>
      <w:r>
        <w:rPr>
          <w:color w:val="231F20"/>
        </w:rPr>
        <w:t>7:143,</w:t>
      </w:r>
      <w:r>
        <w:rPr>
          <w:color w:val="231F20"/>
          <w:spacing w:val="-12"/>
        </w:rPr>
        <w:t> </w:t>
      </w:r>
      <w:r>
        <w:rPr>
          <w:color w:val="231F20"/>
        </w:rPr>
        <w:t>7:144,</w:t>
      </w:r>
      <w:r>
        <w:rPr>
          <w:color w:val="231F20"/>
          <w:spacing w:val="-11"/>
        </w:rPr>
        <w:t> </w:t>
      </w:r>
      <w:r>
        <w:rPr>
          <w:color w:val="231F20"/>
        </w:rPr>
        <w:t>7:145,</w:t>
      </w:r>
      <w:r>
        <w:rPr>
          <w:color w:val="231F20"/>
          <w:spacing w:val="-12"/>
        </w:rPr>
        <w:t> </w:t>
      </w:r>
      <w:r>
        <w:rPr>
          <w:color w:val="231F20"/>
        </w:rPr>
        <w:t>7:146,</w:t>
      </w:r>
      <w:r>
        <w:rPr>
          <w:color w:val="231F20"/>
          <w:spacing w:val="-11"/>
        </w:rPr>
        <w:t> </w:t>
      </w:r>
      <w:r>
        <w:rPr>
          <w:color w:val="231F20"/>
        </w:rPr>
        <w:t>§</w:t>
      </w:r>
      <w:r>
        <w:rPr>
          <w:color w:val="231F20"/>
          <w:spacing w:val="-12"/>
        </w:rPr>
        <w:t> </w:t>
      </w:r>
      <w:r>
        <w:rPr>
          <w:color w:val="231F20"/>
        </w:rPr>
        <w:t>3,</w:t>
      </w:r>
      <w:r>
        <w:rPr>
          <w:color w:val="231F20"/>
          <w:spacing w:val="-11"/>
        </w:rPr>
        <w:t> </w:t>
      </w:r>
      <w:r>
        <w:rPr>
          <w:color w:val="231F20"/>
        </w:rPr>
        <w:t>alinéa</w:t>
      </w:r>
      <w:r>
        <w:rPr>
          <w:color w:val="231F20"/>
          <w:spacing w:val="-12"/>
        </w:rPr>
        <w:t> </w:t>
      </w:r>
      <w:r>
        <w:rPr>
          <w:color w:val="231F20"/>
        </w:rPr>
        <w:t>3,</w:t>
      </w:r>
      <w:r>
        <w:rPr>
          <w:color w:val="231F20"/>
          <w:spacing w:val="-11"/>
        </w:rPr>
        <w:t> </w:t>
      </w:r>
      <w:r>
        <w:rPr>
          <w:color w:val="231F20"/>
        </w:rPr>
        <w:t>et</w:t>
      </w:r>
      <w:r>
        <w:rPr>
          <w:color w:val="231F20"/>
          <w:spacing w:val="-12"/>
        </w:rPr>
        <w:t> </w:t>
      </w:r>
      <w:r>
        <w:rPr>
          <w:color w:val="231F20"/>
        </w:rPr>
        <w:t>§</w:t>
      </w:r>
      <w:r>
        <w:rPr>
          <w:color w:val="231F20"/>
          <w:spacing w:val="-11"/>
        </w:rPr>
        <w:t> </w:t>
      </w:r>
      <w:r>
        <w:rPr>
          <w:color w:val="231F20"/>
        </w:rPr>
        <w:t>4,</w:t>
      </w:r>
      <w:r>
        <w:rPr>
          <w:color w:val="231F20"/>
          <w:spacing w:val="-12"/>
        </w:rPr>
        <w:t> </w:t>
      </w:r>
      <w:r>
        <w:rPr>
          <w:color w:val="231F20"/>
        </w:rPr>
        <w:t>7:148,</w:t>
      </w:r>
      <w:r>
        <w:rPr>
          <w:color w:val="231F20"/>
          <w:spacing w:val="-11"/>
        </w:rPr>
        <w:t> </w:t>
      </w:r>
      <w:r>
        <w:rPr>
          <w:color w:val="231F20"/>
        </w:rPr>
        <w:t>7:150,</w:t>
      </w:r>
    </w:p>
    <w:p>
      <w:pPr>
        <w:pStyle w:val="BodyText"/>
        <w:spacing w:line="218" w:lineRule="auto"/>
        <w:ind w:right="0" w:firstLine="0"/>
        <w:jc w:val="left"/>
      </w:pPr>
      <w:r>
        <w:rPr>
          <w:color w:val="231F20"/>
        </w:rPr>
        <w:t>7:151, 7:175, 7:189, 7:215, § 1</w:t>
      </w:r>
      <w:r>
        <w:rPr>
          <w:color w:val="231F20"/>
          <w:position w:val="7"/>
          <w:sz w:val="11"/>
        </w:rPr>
        <w:t>er</w:t>
      </w:r>
      <w:r>
        <w:rPr>
          <w:color w:val="231F20"/>
        </w:rPr>
        <w:t>, 4°, et § 2, et 7:218, 2°, s’appliquent par analogie.</w:t>
      </w:r>
    </w:p>
    <w:p>
      <w:pPr>
        <w:pStyle w:val="BodyText"/>
        <w:spacing w:line="218" w:lineRule="auto" w:before="83"/>
        <w:ind w:right="38"/>
      </w:pPr>
      <w:r>
        <w:rPr>
          <w:color w:val="231F20"/>
        </w:rPr>
        <w:t>Lorsque dans une des dispositions précitées, il est fait référence à</w:t>
      </w:r>
      <w:r>
        <w:rPr>
          <w:color w:val="231F20"/>
          <w:spacing w:val="-12"/>
        </w:rPr>
        <w:t> </w:t>
      </w:r>
      <w:r>
        <w:rPr>
          <w:color w:val="231F20"/>
        </w:rPr>
        <w:t>une fraction ou un pourcentage du capital, cette disposition doit être lue comme</w:t>
      </w:r>
      <w:r>
        <w:rPr>
          <w:color w:val="231F20"/>
          <w:spacing w:val="17"/>
        </w:rPr>
        <w:t> </w:t>
      </w:r>
      <w:r>
        <w:rPr>
          <w:color w:val="231F20"/>
        </w:rPr>
        <w:t>une</w:t>
      </w:r>
      <w:r>
        <w:rPr>
          <w:color w:val="231F20"/>
          <w:spacing w:val="17"/>
        </w:rPr>
        <w:t> </w:t>
      </w:r>
      <w:r>
        <w:rPr>
          <w:color w:val="231F20"/>
        </w:rPr>
        <w:t>fraction</w:t>
      </w:r>
      <w:r>
        <w:rPr>
          <w:color w:val="231F20"/>
          <w:spacing w:val="17"/>
        </w:rPr>
        <w:t> </w:t>
      </w:r>
      <w:r>
        <w:rPr>
          <w:color w:val="231F20"/>
        </w:rPr>
        <w:t>ou</w:t>
      </w:r>
      <w:r>
        <w:rPr>
          <w:color w:val="231F20"/>
          <w:spacing w:val="17"/>
        </w:rPr>
        <w:t> </w:t>
      </w:r>
      <w:r>
        <w:rPr>
          <w:color w:val="231F20"/>
        </w:rPr>
        <w:t>un</w:t>
      </w:r>
      <w:r>
        <w:rPr>
          <w:color w:val="231F20"/>
          <w:spacing w:val="17"/>
        </w:rPr>
        <w:t> </w:t>
      </w:r>
      <w:r>
        <w:rPr>
          <w:color w:val="231F20"/>
        </w:rPr>
        <w:t>pourcentage</w:t>
      </w:r>
      <w:r>
        <w:rPr>
          <w:color w:val="231F20"/>
          <w:spacing w:val="18"/>
        </w:rPr>
        <w:t> </w:t>
      </w:r>
      <w:r>
        <w:rPr>
          <w:color w:val="231F20"/>
        </w:rPr>
        <w:t>du</w:t>
      </w:r>
      <w:r>
        <w:rPr>
          <w:color w:val="231F20"/>
          <w:spacing w:val="17"/>
        </w:rPr>
        <w:t> </w:t>
      </w:r>
      <w:r>
        <w:rPr>
          <w:color w:val="231F20"/>
        </w:rPr>
        <w:t>nombre</w:t>
      </w:r>
      <w:r>
        <w:rPr>
          <w:color w:val="231F20"/>
          <w:spacing w:val="17"/>
        </w:rPr>
        <w:t> </w:t>
      </w:r>
      <w:r>
        <w:rPr>
          <w:color w:val="231F20"/>
        </w:rPr>
        <w:t>d’actions</w:t>
      </w:r>
      <w:r>
        <w:rPr>
          <w:color w:val="231F20"/>
          <w:spacing w:val="17"/>
        </w:rPr>
        <w:t> </w:t>
      </w:r>
      <w:r>
        <w:rPr>
          <w:color w:val="231F20"/>
        </w:rPr>
        <w:t>émises.</w:t>
      </w:r>
    </w:p>
    <w:p>
      <w:pPr>
        <w:pStyle w:val="BodyText"/>
        <w:spacing w:before="8"/>
        <w:ind w:left="0" w:right="0" w:firstLine="0"/>
        <w:jc w:val="left"/>
        <w:rPr>
          <w:sz w:val="21"/>
        </w:rPr>
      </w:pPr>
    </w:p>
    <w:p>
      <w:pPr>
        <w:pStyle w:val="BodyText"/>
        <w:spacing w:line="218" w:lineRule="auto"/>
        <w:ind w:right="38"/>
      </w:pPr>
      <w:r>
        <w:rPr>
          <w:color w:val="231F20"/>
        </w:rPr>
        <w:t>Par dérogation à l’article 5:42, alinéa 1</w:t>
      </w:r>
      <w:r>
        <w:rPr>
          <w:color w:val="231F20"/>
          <w:position w:val="7"/>
          <w:sz w:val="11"/>
        </w:rPr>
        <w:t>er</w:t>
      </w:r>
      <w:r>
        <w:rPr>
          <w:color w:val="231F20"/>
        </w:rPr>
        <w:t>, chaque action ne peut avoir qu’une voix.</w:t>
      </w:r>
    </w:p>
    <w:p>
      <w:pPr>
        <w:pStyle w:val="BodyText"/>
        <w:spacing w:before="72"/>
        <w:ind w:left="283" w:right="0" w:firstLine="0"/>
        <w:jc w:val="left"/>
      </w:pPr>
      <w:r>
        <w:rPr>
          <w:color w:val="231F20"/>
        </w:rPr>
        <w:t>TITRE 2. Constitution.</w:t>
      </w:r>
    </w:p>
    <w:p>
      <w:pPr>
        <w:pStyle w:val="BodyText"/>
        <w:spacing w:before="53"/>
        <w:ind w:left="283" w:right="0" w:firstLine="0"/>
        <w:jc w:val="left"/>
      </w:pPr>
      <w:r>
        <w:rPr>
          <w:color w:val="231F20"/>
          <w:w w:val="105"/>
        </w:rPr>
        <w:t>CHAPITRE 1</w:t>
      </w:r>
      <w:r>
        <w:rPr>
          <w:color w:val="231F20"/>
          <w:w w:val="105"/>
          <w:position w:val="7"/>
          <w:sz w:val="11"/>
        </w:rPr>
        <w:t>er</w:t>
      </w:r>
      <w:r>
        <w:rPr>
          <w:color w:val="231F20"/>
          <w:w w:val="105"/>
        </w:rPr>
        <w:t>. Capitaux propres de départ.</w:t>
      </w:r>
    </w:p>
    <w:p>
      <w:pPr>
        <w:pStyle w:val="BodyText"/>
        <w:spacing w:line="218" w:lineRule="auto" w:before="82"/>
        <w:ind w:right="38"/>
      </w:pPr>
      <w:r>
        <w:rPr>
          <w:color w:val="231F20"/>
        </w:rPr>
        <w:t>Art. 5:3. Les fondateurs veillent à ce que la société à responsabilité limitée dispose lors de sa constitution de capitaux propres qui, compte tenu des autres sources de financement, sont suffisants à la lumière de l’activité projetée.</w:t>
      </w:r>
    </w:p>
    <w:p>
      <w:pPr>
        <w:pStyle w:val="BodyText"/>
        <w:spacing w:line="218" w:lineRule="auto" w:before="70"/>
        <w:ind w:right="38"/>
      </w:pPr>
      <w:r>
        <w:rPr>
          <w:color w:val="231F20"/>
        </w:rPr>
        <w:t>Art. 5:4. § 1</w:t>
      </w:r>
      <w:r>
        <w:rPr>
          <w:color w:val="231F20"/>
          <w:position w:val="7"/>
          <w:sz w:val="11"/>
        </w:rPr>
        <w:t>er</w:t>
      </w:r>
      <w:r>
        <w:rPr>
          <w:color w:val="231F20"/>
        </w:rPr>
        <w:t>. Préalablement à la constitution de la société, les fondateurs remettent au notaire instrumentant un plan financier dans lequel ils justifient le montant des capitaux propres de départ à la lumière de l’activité projetée de la société pendant une période d’au moins deux ans. Ce document n’est pas déposé avec l’acte, mais est conservé par le notaire.</w:t>
      </w:r>
    </w:p>
    <w:p>
      <w:pPr>
        <w:pStyle w:val="BodyText"/>
        <w:spacing w:before="83"/>
        <w:ind w:left="283" w:right="0" w:firstLine="0"/>
        <w:jc w:val="left"/>
      </w:pPr>
      <w:r>
        <w:rPr>
          <w:color w:val="231F20"/>
        </w:rPr>
        <w:t>§ 2. Le plan financier doit au moins comporter les éléments suivants:</w:t>
      </w:r>
    </w:p>
    <w:p>
      <w:pPr>
        <w:pStyle w:val="BodyText"/>
        <w:spacing w:before="4"/>
        <w:ind w:left="0" w:right="0" w:firstLine="0"/>
        <w:jc w:val="left"/>
        <w:rPr>
          <w:sz w:val="22"/>
        </w:rPr>
      </w:pPr>
    </w:p>
    <w:p>
      <w:pPr>
        <w:pStyle w:val="BodyText"/>
        <w:ind w:left="283" w:right="0" w:firstLine="0"/>
        <w:jc w:val="left"/>
      </w:pPr>
      <w:r>
        <w:rPr>
          <w:color w:val="231F20"/>
        </w:rPr>
        <w:t>1° une description précise de l’activité projetée;</w:t>
      </w:r>
    </w:p>
    <w:p>
      <w:pPr>
        <w:pStyle w:val="BodyText"/>
        <w:spacing w:line="218" w:lineRule="auto" w:before="93"/>
        <w:ind w:right="38"/>
      </w:pPr>
      <w:r>
        <w:rPr>
          <w:color w:val="231F20"/>
        </w:rPr>
        <w:t>2° un aperçu de toutes les sources de financement à la constitution</w:t>
      </w:r>
      <w:r>
        <w:rPr>
          <w:color w:val="231F20"/>
          <w:spacing w:val="-17"/>
        </w:rPr>
        <w:t> </w:t>
      </w:r>
      <w:r>
        <w:rPr>
          <w:color w:val="231F20"/>
        </w:rPr>
        <w:t>en ce</w:t>
      </w:r>
      <w:r>
        <w:rPr>
          <w:color w:val="231F20"/>
          <w:spacing w:val="-4"/>
        </w:rPr>
        <w:t> </w:t>
      </w:r>
      <w:r>
        <w:rPr>
          <w:color w:val="231F20"/>
        </w:rPr>
        <w:t>compris,</w:t>
      </w:r>
      <w:r>
        <w:rPr>
          <w:color w:val="231F20"/>
          <w:spacing w:val="-4"/>
        </w:rPr>
        <w:t> </w:t>
      </w:r>
      <w:r>
        <w:rPr>
          <w:color w:val="231F20"/>
        </w:rPr>
        <w:t>le</w:t>
      </w:r>
      <w:r>
        <w:rPr>
          <w:color w:val="231F20"/>
          <w:spacing w:val="-3"/>
        </w:rPr>
        <w:t> </w:t>
      </w:r>
      <w:r>
        <w:rPr>
          <w:color w:val="231F20"/>
        </w:rPr>
        <w:t>cas</w:t>
      </w:r>
      <w:r>
        <w:rPr>
          <w:color w:val="231F20"/>
          <w:spacing w:val="-4"/>
        </w:rPr>
        <w:t> </w:t>
      </w:r>
      <w:r>
        <w:rPr>
          <w:color w:val="231F20"/>
        </w:rPr>
        <w:t>échéant,</w:t>
      </w:r>
      <w:r>
        <w:rPr>
          <w:color w:val="231F20"/>
          <w:spacing w:val="-4"/>
        </w:rPr>
        <w:t> </w:t>
      </w:r>
      <w:r>
        <w:rPr>
          <w:color w:val="231F20"/>
        </w:rPr>
        <w:t>la</w:t>
      </w:r>
      <w:r>
        <w:rPr>
          <w:color w:val="231F20"/>
          <w:spacing w:val="-3"/>
        </w:rPr>
        <w:t> </w:t>
      </w:r>
      <w:r>
        <w:rPr>
          <w:color w:val="231F20"/>
        </w:rPr>
        <w:t>mention</w:t>
      </w:r>
      <w:r>
        <w:rPr>
          <w:color w:val="231F20"/>
          <w:spacing w:val="-4"/>
        </w:rPr>
        <w:t> </w:t>
      </w:r>
      <w:r>
        <w:rPr>
          <w:color w:val="231F20"/>
        </w:rPr>
        <w:t>des</w:t>
      </w:r>
      <w:r>
        <w:rPr>
          <w:color w:val="231F20"/>
          <w:spacing w:val="-4"/>
        </w:rPr>
        <w:t> </w:t>
      </w:r>
      <w:r>
        <w:rPr>
          <w:color w:val="231F20"/>
        </w:rPr>
        <w:t>garanties</w:t>
      </w:r>
      <w:r>
        <w:rPr>
          <w:color w:val="231F20"/>
          <w:spacing w:val="-3"/>
        </w:rPr>
        <w:t> </w:t>
      </w:r>
      <w:r>
        <w:rPr>
          <w:color w:val="231F20"/>
        </w:rPr>
        <w:t>fournies</w:t>
      </w:r>
      <w:r>
        <w:rPr>
          <w:color w:val="231F20"/>
          <w:spacing w:val="-4"/>
        </w:rPr>
        <w:t> </w:t>
      </w:r>
      <w:r>
        <w:rPr>
          <w:color w:val="231F20"/>
        </w:rPr>
        <w:t>à</w:t>
      </w:r>
      <w:r>
        <w:rPr>
          <w:color w:val="231F20"/>
          <w:spacing w:val="-4"/>
        </w:rPr>
        <w:t> </w:t>
      </w:r>
      <w:r>
        <w:rPr>
          <w:color w:val="231F20"/>
        </w:rPr>
        <w:t>cet</w:t>
      </w:r>
      <w:r>
        <w:rPr>
          <w:color w:val="231F20"/>
          <w:spacing w:val="-3"/>
        </w:rPr>
        <w:t> </w:t>
      </w:r>
      <w:r>
        <w:rPr>
          <w:color w:val="231F20"/>
        </w:rPr>
        <w:t>égard;</w:t>
      </w:r>
    </w:p>
    <w:p>
      <w:pPr>
        <w:pStyle w:val="BodyText"/>
        <w:spacing w:before="10"/>
        <w:ind w:left="0" w:right="0" w:firstLine="0"/>
        <w:jc w:val="left"/>
        <w:rPr>
          <w:sz w:val="23"/>
        </w:rPr>
      </w:pPr>
    </w:p>
    <w:p>
      <w:pPr>
        <w:pStyle w:val="BodyText"/>
        <w:spacing w:line="218" w:lineRule="auto" w:before="1"/>
        <w:ind w:right="38"/>
      </w:pPr>
      <w:r>
        <w:rPr>
          <w:color w:val="231F20"/>
        </w:rPr>
        <w:t>3° un bilan d’ouverture établi conformément au schéma visé à l’article 3:3, ainsi que des bilans projetés après douze et vingt-quatre mois;</w:t>
      </w:r>
    </w:p>
    <w:p>
      <w:pPr>
        <w:pStyle w:val="BodyText"/>
        <w:spacing w:line="218" w:lineRule="auto" w:before="96"/>
        <w:ind w:right="38"/>
      </w:pPr>
      <w:r>
        <w:rPr>
          <w:color w:val="231F20"/>
        </w:rPr>
        <w:t>4° un compte de résultats projeté après douze et vingt-quatre mois, établi conformément au schéma visé à l’article 3:3;</w:t>
      </w:r>
    </w:p>
    <w:p>
      <w:pPr>
        <w:pStyle w:val="BodyText"/>
        <w:spacing w:line="218" w:lineRule="auto" w:before="96"/>
        <w:ind w:right="38"/>
      </w:pPr>
      <w:r>
        <w:rPr>
          <w:color w:val="231F20"/>
        </w:rPr>
        <w:t>5° un budget des revenus et dépenses projetés pour une période d’au moins deux ans à compter de la constitution;</w:t>
      </w:r>
    </w:p>
    <w:p>
      <w:pPr>
        <w:pStyle w:val="BodyText"/>
        <w:spacing w:line="218" w:lineRule="auto" w:before="96"/>
        <w:ind w:right="38"/>
      </w:pPr>
      <w:r>
        <w:rPr>
          <w:color w:val="231F20"/>
        </w:rPr>
        <w:t>6° une description des hypothèses retenues lors de l’estimation du chiffre d’affaires et de la rentabilité prévus;</w:t>
      </w:r>
    </w:p>
    <w:p>
      <w:pPr>
        <w:pStyle w:val="BodyText"/>
        <w:spacing w:line="218" w:lineRule="auto" w:before="96"/>
        <w:ind w:right="38"/>
      </w:pPr>
      <w:r>
        <w:rPr>
          <w:color w:val="231F20"/>
        </w:rPr>
        <w:t>7° le cas échéant, le nom de l’expert externe qui a apporté son assistance lors de l’établissement du plan financier.</w:t>
      </w:r>
    </w:p>
    <w:p>
      <w:pPr>
        <w:pStyle w:val="BodyText"/>
        <w:spacing w:line="218" w:lineRule="auto" w:before="96"/>
        <w:ind w:right="38"/>
      </w:pPr>
      <w:r>
        <w:rPr>
          <w:color w:val="231F20"/>
        </w:rPr>
        <w:t>§ 3. Lors de l’élaboration des bilans et comptes de résultats projetés, une autre périodicité que celle visée au paragraphe 2, 3° et 4°, peut être utilisée, à condition que les projections concernent au total une période d’au moins deux ans à compter de la constitution.</w:t>
      </w:r>
    </w:p>
    <w:p>
      <w:pPr>
        <w:pStyle w:val="BodyText"/>
        <w:spacing w:before="8"/>
        <w:ind w:left="0" w:right="0" w:firstLine="0"/>
        <w:jc w:val="left"/>
        <w:rPr>
          <w:sz w:val="22"/>
        </w:rPr>
      </w:pPr>
    </w:p>
    <w:p>
      <w:pPr>
        <w:pStyle w:val="BodyText"/>
        <w:spacing w:line="319" w:lineRule="auto"/>
        <w:ind w:left="283" w:right="2109" w:firstLine="0"/>
        <w:jc w:val="left"/>
      </w:pPr>
      <w:r>
        <w:rPr>
          <w:color w:val="231F20"/>
        </w:rPr>
        <w:t>CHAPITRE 2. Souscription des actions. Section 1</w:t>
      </w:r>
      <w:r>
        <w:rPr>
          <w:color w:val="231F20"/>
          <w:position w:val="7"/>
          <w:sz w:val="11"/>
        </w:rPr>
        <w:t>re</w:t>
      </w:r>
      <w:r>
        <w:rPr>
          <w:color w:val="231F20"/>
        </w:rPr>
        <w:t>. Souscription intégrale.</w:t>
      </w:r>
    </w:p>
    <w:p>
      <w:pPr>
        <w:pStyle w:val="BodyText"/>
        <w:spacing w:line="218" w:lineRule="auto" w:before="29"/>
        <w:ind w:right="38"/>
      </w:pPr>
      <w:r>
        <w:rPr>
          <w:color w:val="231F20"/>
        </w:rPr>
        <w:t>Art. 5:5. Les actions émises par la société doivent être intégralement et, nonobstant toute disposition contraire, inconditionnellement sous- crites.</w:t>
      </w:r>
    </w:p>
    <w:p>
      <w:pPr>
        <w:pStyle w:val="BodyText"/>
        <w:spacing w:line="218" w:lineRule="auto" w:before="119"/>
      </w:pPr>
      <w:r>
        <w:rPr/>
        <w:br w:type="column"/>
      </w:r>
      <w:r>
        <w:rPr>
          <w:color w:val="231F20"/>
        </w:rPr>
        <w:t>Art. 4:27. De zaakvoerders van een vennootschap onder firma of van een commanditaire vennootschap waarvan alle onbeperkt aansprake- lijke vennoten Belgische of buitenlandse vennootschappen zijn met beperkt aansprakelijke vennoten, zijn jegens de vennootschap hoofde- lijk aansprakelijk voor alle schade die het gevolg is van overtreding van de bepalingen vervat in boek 3, titel 1.</w:t>
      </w:r>
    </w:p>
    <w:p>
      <w:pPr>
        <w:pStyle w:val="BodyText"/>
        <w:spacing w:line="218" w:lineRule="auto" w:before="86"/>
      </w:pPr>
      <w:r>
        <w:rPr>
          <w:color w:val="231F20"/>
        </w:rPr>
        <w:t>Art. 4:28. Indien is bedongen dat de vennootschap onder firma of de commanditaire vennootschap bij overlijden, vereffening, onbekwaam- heid of elke andere verhindering van haar zaakvoerder zal voortduren, kan de voorzitter van de ondernemingsrechtbank van de zetel van de vennootschap, voor zover de overeenkomst niet anders bepaalt, op verzoek van elke belanghebbende, een voorlopige bewindvoerder aanstellen, die al dan niet een vennoot is, en stelt hij diens bevoegdhe- den en de duur van diens opdracht vast.</w:t>
      </w:r>
    </w:p>
    <w:p>
      <w:pPr>
        <w:pStyle w:val="BodyText"/>
        <w:spacing w:line="218" w:lineRule="auto" w:before="86"/>
      </w:pPr>
      <w:r>
        <w:rPr>
          <w:color w:val="231F20"/>
        </w:rPr>
        <w:t>De voorlopige bewindvoerder – ook al is hij commanditaire  ven- noot – is niet verder aansprakelijk dan voor de uitvoering van</w:t>
      </w:r>
      <w:r>
        <w:rPr>
          <w:color w:val="231F20"/>
          <w:spacing w:val="23"/>
        </w:rPr>
        <w:t> </w:t>
      </w:r>
      <w:r>
        <w:rPr>
          <w:color w:val="231F20"/>
        </w:rPr>
        <w:t>zijn opdracht.</w:t>
      </w:r>
    </w:p>
    <w:p>
      <w:pPr>
        <w:pStyle w:val="BodyText"/>
        <w:spacing w:line="324" w:lineRule="auto" w:before="72"/>
        <w:ind w:left="283" w:right="2162" w:firstLine="0"/>
        <w:jc w:val="left"/>
      </w:pPr>
      <w:r>
        <w:rPr>
          <w:color w:val="231F20"/>
        </w:rPr>
        <w:t>BOEK 5. De besloten vennootschap. TITEL 1. Aard en kwalificatie.</w:t>
      </w:r>
    </w:p>
    <w:p>
      <w:pPr>
        <w:pStyle w:val="BodyText"/>
        <w:spacing w:line="218" w:lineRule="auto" w:before="15"/>
      </w:pPr>
      <w:r>
        <w:rPr>
          <w:color w:val="231F20"/>
        </w:rPr>
        <w:t>Art. 5:1. De besloten vennootschap is een vennootschap zonder kapitaal waarin de aandeelhouders slechts hun inbreng verbinden.</w:t>
      </w:r>
    </w:p>
    <w:p>
      <w:pPr>
        <w:pStyle w:val="BodyText"/>
        <w:spacing w:line="218" w:lineRule="auto" w:before="85"/>
      </w:pPr>
      <w:r>
        <w:rPr>
          <w:color w:val="231F20"/>
        </w:rPr>
        <w:t>Art. 5:2. Indien een besloten vennootschap wordt genoteerd als bedoeld in artikel </w:t>
      </w:r>
      <w:r>
        <w:rPr>
          <w:color w:val="231F20"/>
          <w:spacing w:val="-3"/>
        </w:rPr>
        <w:t>1:11 </w:t>
      </w:r>
      <w:r>
        <w:rPr>
          <w:color w:val="231F20"/>
        </w:rPr>
        <w:t>zijn de artikelen 7:53, 7:61, § 1, derde en vijfde</w:t>
      </w:r>
      <w:r>
        <w:rPr>
          <w:color w:val="231F20"/>
          <w:spacing w:val="-26"/>
        </w:rPr>
        <w:t> </w:t>
      </w:r>
      <w:r>
        <w:rPr>
          <w:color w:val="231F20"/>
        </w:rPr>
        <w:t>lid, tweede zin, 7:82, § 1, 7:83, 7:84, 7:86, 7:87, 7:90, 7:91, 7:97, 7:99,</w:t>
      </w:r>
      <w:r>
        <w:rPr>
          <w:color w:val="231F20"/>
          <w:spacing w:val="-14"/>
        </w:rPr>
        <w:t> </w:t>
      </w:r>
      <w:r>
        <w:rPr>
          <w:color w:val="231F20"/>
        </w:rPr>
        <w:t>7:100,</w:t>
      </w:r>
    </w:p>
    <w:p>
      <w:pPr>
        <w:pStyle w:val="BodyText"/>
        <w:spacing w:line="171" w:lineRule="exact"/>
        <w:ind w:right="0" w:firstLine="0"/>
        <w:jc w:val="left"/>
      </w:pPr>
      <w:r>
        <w:rPr>
          <w:color w:val="231F20"/>
        </w:rPr>
        <w:t>7:108,</w:t>
      </w:r>
      <w:r>
        <w:rPr>
          <w:color w:val="231F20"/>
          <w:spacing w:val="8"/>
        </w:rPr>
        <w:t> </w:t>
      </w:r>
      <w:r>
        <w:rPr>
          <w:color w:val="231F20"/>
        </w:rPr>
        <w:t>laatste</w:t>
      </w:r>
      <w:r>
        <w:rPr>
          <w:color w:val="231F20"/>
          <w:spacing w:val="8"/>
        </w:rPr>
        <w:t> </w:t>
      </w:r>
      <w:r>
        <w:rPr>
          <w:color w:val="231F20"/>
        </w:rPr>
        <w:t>lid,</w:t>
      </w:r>
      <w:r>
        <w:rPr>
          <w:color w:val="231F20"/>
          <w:spacing w:val="8"/>
        </w:rPr>
        <w:t> </w:t>
      </w:r>
      <w:r>
        <w:rPr>
          <w:color w:val="231F20"/>
        </w:rPr>
        <w:t>7:128,</w:t>
      </w:r>
      <w:r>
        <w:rPr>
          <w:color w:val="231F20"/>
          <w:spacing w:val="8"/>
        </w:rPr>
        <w:t> </w:t>
      </w:r>
      <w:r>
        <w:rPr>
          <w:color w:val="231F20"/>
        </w:rPr>
        <w:t>7:129,</w:t>
      </w:r>
      <w:r>
        <w:rPr>
          <w:color w:val="231F20"/>
          <w:spacing w:val="8"/>
        </w:rPr>
        <w:t> </w:t>
      </w:r>
      <w:r>
        <w:rPr>
          <w:color w:val="231F20"/>
        </w:rPr>
        <w:t>§§</w:t>
      </w:r>
      <w:r>
        <w:rPr>
          <w:color w:val="231F20"/>
          <w:spacing w:val="8"/>
        </w:rPr>
        <w:t> </w:t>
      </w:r>
      <w:r>
        <w:rPr>
          <w:color w:val="231F20"/>
        </w:rPr>
        <w:t>2</w:t>
      </w:r>
      <w:r>
        <w:rPr>
          <w:color w:val="231F20"/>
          <w:spacing w:val="8"/>
        </w:rPr>
        <w:t> </w:t>
      </w:r>
      <w:r>
        <w:rPr>
          <w:color w:val="231F20"/>
        </w:rPr>
        <w:t>en</w:t>
      </w:r>
      <w:r>
        <w:rPr>
          <w:color w:val="231F20"/>
          <w:spacing w:val="8"/>
        </w:rPr>
        <w:t> </w:t>
      </w:r>
      <w:r>
        <w:rPr>
          <w:color w:val="231F20"/>
        </w:rPr>
        <w:t>3,</w:t>
      </w:r>
      <w:r>
        <w:rPr>
          <w:color w:val="231F20"/>
          <w:spacing w:val="8"/>
        </w:rPr>
        <w:t> </w:t>
      </w:r>
      <w:r>
        <w:rPr>
          <w:color w:val="231F20"/>
        </w:rPr>
        <w:t>7:130,</w:t>
      </w:r>
      <w:r>
        <w:rPr>
          <w:color w:val="231F20"/>
          <w:spacing w:val="8"/>
        </w:rPr>
        <w:t> </w:t>
      </w:r>
      <w:r>
        <w:rPr>
          <w:color w:val="231F20"/>
        </w:rPr>
        <w:t>7:131,</w:t>
      </w:r>
      <w:r>
        <w:rPr>
          <w:color w:val="231F20"/>
          <w:spacing w:val="8"/>
        </w:rPr>
        <w:t> </w:t>
      </w:r>
      <w:r>
        <w:rPr>
          <w:color w:val="231F20"/>
        </w:rPr>
        <w:t>7:132,</w:t>
      </w:r>
      <w:r>
        <w:rPr>
          <w:color w:val="231F20"/>
          <w:spacing w:val="8"/>
        </w:rPr>
        <w:t> </w:t>
      </w:r>
      <w:r>
        <w:rPr>
          <w:color w:val="231F20"/>
        </w:rPr>
        <w:t>tweede</w:t>
      </w:r>
      <w:r>
        <w:rPr>
          <w:color w:val="231F20"/>
          <w:spacing w:val="8"/>
        </w:rPr>
        <w:t> </w:t>
      </w:r>
      <w:r>
        <w:rPr>
          <w:color w:val="231F20"/>
        </w:rPr>
        <w:t>en</w:t>
      </w:r>
    </w:p>
    <w:p>
      <w:pPr>
        <w:pStyle w:val="BodyText"/>
        <w:spacing w:line="176" w:lineRule="exact"/>
        <w:ind w:right="0" w:firstLine="0"/>
        <w:jc w:val="left"/>
      </w:pPr>
      <w:r>
        <w:rPr>
          <w:color w:val="231F20"/>
        </w:rPr>
        <w:t>derde</w:t>
      </w:r>
      <w:r>
        <w:rPr>
          <w:color w:val="231F20"/>
          <w:spacing w:val="-12"/>
        </w:rPr>
        <w:t> </w:t>
      </w:r>
      <w:r>
        <w:rPr>
          <w:color w:val="231F20"/>
        </w:rPr>
        <w:t>lid,</w:t>
      </w:r>
      <w:r>
        <w:rPr>
          <w:color w:val="231F20"/>
          <w:spacing w:val="-12"/>
        </w:rPr>
        <w:t> </w:t>
      </w:r>
      <w:r>
        <w:rPr>
          <w:color w:val="231F20"/>
        </w:rPr>
        <w:t>7:134,</w:t>
      </w:r>
      <w:r>
        <w:rPr>
          <w:color w:val="231F20"/>
          <w:spacing w:val="-11"/>
        </w:rPr>
        <w:t> </w:t>
      </w:r>
      <w:r>
        <w:rPr>
          <w:color w:val="231F20"/>
        </w:rPr>
        <w:t>§</w:t>
      </w:r>
      <w:r>
        <w:rPr>
          <w:color w:val="231F20"/>
          <w:spacing w:val="-12"/>
        </w:rPr>
        <w:t> </w:t>
      </w:r>
      <w:r>
        <w:rPr>
          <w:color w:val="231F20"/>
        </w:rPr>
        <w:t>2,</w:t>
      </w:r>
      <w:r>
        <w:rPr>
          <w:color w:val="231F20"/>
          <w:spacing w:val="-11"/>
        </w:rPr>
        <w:t> </w:t>
      </w:r>
      <w:r>
        <w:rPr>
          <w:color w:val="231F20"/>
        </w:rPr>
        <w:t>7:139,</w:t>
      </w:r>
      <w:r>
        <w:rPr>
          <w:color w:val="231F20"/>
          <w:spacing w:val="-12"/>
        </w:rPr>
        <w:t> </w:t>
      </w:r>
      <w:r>
        <w:rPr>
          <w:color w:val="231F20"/>
        </w:rPr>
        <w:t>vierde</w:t>
      </w:r>
      <w:r>
        <w:rPr>
          <w:color w:val="231F20"/>
          <w:spacing w:val="-11"/>
        </w:rPr>
        <w:t> </w:t>
      </w:r>
      <w:r>
        <w:rPr>
          <w:color w:val="231F20"/>
        </w:rPr>
        <w:t>lid,</w:t>
      </w:r>
      <w:r>
        <w:rPr>
          <w:color w:val="231F20"/>
          <w:spacing w:val="-12"/>
        </w:rPr>
        <w:t> </w:t>
      </w:r>
      <w:r>
        <w:rPr>
          <w:color w:val="231F20"/>
        </w:rPr>
        <w:t>7:143,</w:t>
      </w:r>
      <w:r>
        <w:rPr>
          <w:color w:val="231F20"/>
          <w:spacing w:val="-11"/>
        </w:rPr>
        <w:t> </w:t>
      </w:r>
      <w:r>
        <w:rPr>
          <w:color w:val="231F20"/>
        </w:rPr>
        <w:t>7:144,</w:t>
      </w:r>
      <w:r>
        <w:rPr>
          <w:color w:val="231F20"/>
          <w:spacing w:val="-12"/>
        </w:rPr>
        <w:t> </w:t>
      </w:r>
      <w:r>
        <w:rPr>
          <w:color w:val="231F20"/>
        </w:rPr>
        <w:t>7:145,</w:t>
      </w:r>
      <w:r>
        <w:rPr>
          <w:color w:val="231F20"/>
          <w:spacing w:val="-11"/>
        </w:rPr>
        <w:t> </w:t>
      </w:r>
      <w:r>
        <w:rPr>
          <w:color w:val="231F20"/>
        </w:rPr>
        <w:t>7:146,</w:t>
      </w:r>
      <w:r>
        <w:rPr>
          <w:color w:val="231F20"/>
          <w:spacing w:val="-12"/>
        </w:rPr>
        <w:t> </w:t>
      </w:r>
      <w:r>
        <w:rPr>
          <w:color w:val="231F20"/>
        </w:rPr>
        <w:t>§</w:t>
      </w:r>
      <w:r>
        <w:rPr>
          <w:color w:val="231F20"/>
          <w:spacing w:val="-11"/>
        </w:rPr>
        <w:t> </w:t>
      </w:r>
      <w:r>
        <w:rPr>
          <w:color w:val="231F20"/>
        </w:rPr>
        <w:t>3,</w:t>
      </w:r>
      <w:r>
        <w:rPr>
          <w:color w:val="231F20"/>
          <w:spacing w:val="-12"/>
        </w:rPr>
        <w:t> </w:t>
      </w:r>
      <w:r>
        <w:rPr>
          <w:color w:val="231F20"/>
        </w:rPr>
        <w:t>derde</w:t>
      </w:r>
    </w:p>
    <w:p>
      <w:pPr>
        <w:pStyle w:val="BodyText"/>
        <w:spacing w:line="176" w:lineRule="exact"/>
        <w:ind w:right="0" w:firstLine="0"/>
        <w:jc w:val="left"/>
      </w:pPr>
      <w:r>
        <w:rPr>
          <w:color w:val="231F20"/>
        </w:rPr>
        <w:t>lid,</w:t>
      </w:r>
      <w:r>
        <w:rPr>
          <w:color w:val="231F20"/>
          <w:spacing w:val="-7"/>
        </w:rPr>
        <w:t> </w:t>
      </w:r>
      <w:r>
        <w:rPr>
          <w:color w:val="231F20"/>
        </w:rPr>
        <w:t>en</w:t>
      </w:r>
      <w:r>
        <w:rPr>
          <w:color w:val="231F20"/>
          <w:spacing w:val="-6"/>
        </w:rPr>
        <w:t> </w:t>
      </w:r>
      <w:r>
        <w:rPr>
          <w:color w:val="231F20"/>
        </w:rPr>
        <w:t>§</w:t>
      </w:r>
      <w:r>
        <w:rPr>
          <w:color w:val="231F20"/>
          <w:spacing w:val="-7"/>
        </w:rPr>
        <w:t> </w:t>
      </w:r>
      <w:r>
        <w:rPr>
          <w:color w:val="231F20"/>
        </w:rPr>
        <w:t>4,</w:t>
      </w:r>
      <w:r>
        <w:rPr>
          <w:color w:val="231F20"/>
          <w:spacing w:val="-6"/>
        </w:rPr>
        <w:t> </w:t>
      </w:r>
      <w:r>
        <w:rPr>
          <w:color w:val="231F20"/>
        </w:rPr>
        <w:t>7:148,</w:t>
      </w:r>
      <w:r>
        <w:rPr>
          <w:color w:val="231F20"/>
          <w:spacing w:val="-7"/>
        </w:rPr>
        <w:t> </w:t>
      </w:r>
      <w:r>
        <w:rPr>
          <w:color w:val="231F20"/>
        </w:rPr>
        <w:t>7:150,</w:t>
      </w:r>
      <w:r>
        <w:rPr>
          <w:color w:val="231F20"/>
          <w:spacing w:val="-6"/>
        </w:rPr>
        <w:t> </w:t>
      </w:r>
      <w:r>
        <w:rPr>
          <w:color w:val="231F20"/>
        </w:rPr>
        <w:t>7:151,</w:t>
      </w:r>
      <w:r>
        <w:rPr>
          <w:color w:val="231F20"/>
          <w:spacing w:val="-7"/>
        </w:rPr>
        <w:t> </w:t>
      </w:r>
      <w:r>
        <w:rPr>
          <w:color w:val="231F20"/>
        </w:rPr>
        <w:t>7:175,</w:t>
      </w:r>
      <w:r>
        <w:rPr>
          <w:color w:val="231F20"/>
          <w:spacing w:val="-6"/>
        </w:rPr>
        <w:t> </w:t>
      </w:r>
      <w:r>
        <w:rPr>
          <w:color w:val="231F20"/>
        </w:rPr>
        <w:t>7:189,</w:t>
      </w:r>
      <w:r>
        <w:rPr>
          <w:color w:val="231F20"/>
          <w:spacing w:val="-7"/>
        </w:rPr>
        <w:t> </w:t>
      </w:r>
      <w:r>
        <w:rPr>
          <w:color w:val="231F20"/>
        </w:rPr>
        <w:t>7:215,</w:t>
      </w:r>
      <w:r>
        <w:rPr>
          <w:color w:val="231F20"/>
          <w:spacing w:val="-6"/>
        </w:rPr>
        <w:t> </w:t>
      </w:r>
      <w:r>
        <w:rPr>
          <w:color w:val="231F20"/>
        </w:rPr>
        <w:t>§</w:t>
      </w:r>
      <w:r>
        <w:rPr>
          <w:color w:val="231F20"/>
          <w:spacing w:val="-7"/>
        </w:rPr>
        <w:t> </w:t>
      </w:r>
      <w:r>
        <w:rPr>
          <w:color w:val="231F20"/>
        </w:rPr>
        <w:t>1,</w:t>
      </w:r>
      <w:r>
        <w:rPr>
          <w:color w:val="231F20"/>
          <w:spacing w:val="-6"/>
        </w:rPr>
        <w:t> </w:t>
      </w:r>
      <w:r>
        <w:rPr>
          <w:color w:val="231F20"/>
        </w:rPr>
        <w:t>4°,</w:t>
      </w:r>
      <w:r>
        <w:rPr>
          <w:color w:val="231F20"/>
          <w:spacing w:val="-6"/>
        </w:rPr>
        <w:t> </w:t>
      </w:r>
      <w:r>
        <w:rPr>
          <w:color w:val="231F20"/>
        </w:rPr>
        <w:t>en</w:t>
      </w:r>
      <w:r>
        <w:rPr>
          <w:color w:val="231F20"/>
          <w:spacing w:val="-7"/>
        </w:rPr>
        <w:t> </w:t>
      </w:r>
      <w:r>
        <w:rPr>
          <w:color w:val="231F20"/>
        </w:rPr>
        <w:t>§</w:t>
      </w:r>
      <w:r>
        <w:rPr>
          <w:color w:val="231F20"/>
          <w:spacing w:val="-6"/>
        </w:rPr>
        <w:t> </w:t>
      </w:r>
      <w:r>
        <w:rPr>
          <w:color w:val="231F20"/>
        </w:rPr>
        <w:t>2,</w:t>
      </w:r>
      <w:r>
        <w:rPr>
          <w:color w:val="231F20"/>
          <w:spacing w:val="-7"/>
        </w:rPr>
        <w:t> </w:t>
      </w:r>
      <w:r>
        <w:rPr>
          <w:color w:val="231F20"/>
        </w:rPr>
        <w:t>en</w:t>
      </w:r>
      <w:r>
        <w:rPr>
          <w:color w:val="231F20"/>
          <w:spacing w:val="-6"/>
        </w:rPr>
        <w:t> </w:t>
      </w:r>
      <w:r>
        <w:rPr>
          <w:color w:val="231F20"/>
        </w:rPr>
        <w:t>7:218,</w:t>
      </w:r>
    </w:p>
    <w:p>
      <w:pPr>
        <w:pStyle w:val="BodyText"/>
        <w:spacing w:line="185" w:lineRule="exact"/>
        <w:ind w:right="0" w:firstLine="0"/>
        <w:jc w:val="left"/>
      </w:pPr>
      <w:r>
        <w:rPr>
          <w:color w:val="231F20"/>
        </w:rPr>
        <w:t>2°, van overeenkomstige toepassing.</w:t>
      </w:r>
    </w:p>
    <w:p>
      <w:pPr>
        <w:pStyle w:val="BodyText"/>
        <w:spacing w:line="218" w:lineRule="auto" w:before="82"/>
      </w:pPr>
      <w:r>
        <w:rPr>
          <w:color w:val="231F20"/>
          <w:spacing w:val="-4"/>
        </w:rPr>
        <w:t>Waar </w:t>
      </w:r>
      <w:r>
        <w:rPr>
          <w:color w:val="231F20"/>
        </w:rPr>
        <w:t>in één van de hierboven opgesomde bepalingen sprake is van een breukgetal of een percentage van het kapitaal dient deze bepaling  te worden gelezen als het breukgetal of percentage van het aantal uitgegeven</w:t>
      </w:r>
      <w:r>
        <w:rPr>
          <w:color w:val="231F20"/>
          <w:spacing w:val="15"/>
        </w:rPr>
        <w:t> </w:t>
      </w:r>
      <w:r>
        <w:rPr>
          <w:color w:val="231F20"/>
        </w:rPr>
        <w:t>aandelen.</w:t>
      </w:r>
    </w:p>
    <w:p>
      <w:pPr>
        <w:pStyle w:val="BodyText"/>
        <w:spacing w:line="218" w:lineRule="auto" w:before="86"/>
      </w:pPr>
      <w:r>
        <w:rPr>
          <w:color w:val="231F20"/>
        </w:rPr>
        <w:t>In afwijking van artikel 5:42, eerste lid, is aan elk aandeel slechts één stem verbonden.</w:t>
      </w:r>
    </w:p>
    <w:p>
      <w:pPr>
        <w:pStyle w:val="BodyText"/>
        <w:spacing w:before="71"/>
        <w:ind w:left="283" w:right="0" w:firstLine="0"/>
        <w:jc w:val="left"/>
      </w:pPr>
      <w:r>
        <w:rPr>
          <w:color w:val="231F20"/>
        </w:rPr>
        <w:t>TITEL 2. Oprichting.</w:t>
      </w:r>
    </w:p>
    <w:p>
      <w:pPr>
        <w:pStyle w:val="BodyText"/>
        <w:spacing w:before="68"/>
        <w:ind w:left="283" w:right="0" w:firstLine="0"/>
        <w:jc w:val="left"/>
      </w:pPr>
      <w:r>
        <w:rPr>
          <w:color w:val="231F20"/>
          <w:w w:val="105"/>
        </w:rPr>
        <w:t>HOOFDSTUK 1. Aanvangsvermogen.</w:t>
      </w:r>
    </w:p>
    <w:p>
      <w:pPr>
        <w:pStyle w:val="BodyText"/>
        <w:spacing w:line="218" w:lineRule="auto" w:before="82"/>
      </w:pPr>
      <w:r>
        <w:rPr>
          <w:color w:val="231F20"/>
        </w:rPr>
        <w:t>Art. 5:3. De oprichters zien erop toe dat de besloten vennootschap bij de oprichting over een eigen vermogen beschikt dat, mede gelet op de andere financieringsbronnen, toereikend is in het licht van de voorge- nomen bedrijvigheid.</w:t>
      </w:r>
    </w:p>
    <w:p>
      <w:pPr>
        <w:pStyle w:val="BodyText"/>
        <w:spacing w:line="218" w:lineRule="auto" w:before="86"/>
        <w:ind w:right="123"/>
      </w:pPr>
      <w:r>
        <w:rPr>
          <w:color w:val="231F20"/>
        </w:rPr>
        <w:t>Art. 5:4. § 1. Vóór de oprichting van de vennootschap overhandigen de oprichters aan de optredende notaris een financieel plan waarin zij het bedrag van het aanvangsvermogen verantwoorden in het licht van de voorgenomen bedrijvigheid van de vennootschap over een periode van ten minste twee jaar. Dit stuk wordt niet neergelegd met de akte, maar door de notaris bewaard.</w:t>
      </w:r>
    </w:p>
    <w:p>
      <w:pPr>
        <w:pStyle w:val="BodyText"/>
        <w:spacing w:line="218" w:lineRule="auto" w:before="96"/>
      </w:pPr>
      <w:r>
        <w:rPr>
          <w:color w:val="231F20"/>
        </w:rPr>
        <w:t>§ 2. Het financieel plan dient minstens volgende elementen te bevatten:</w:t>
      </w:r>
    </w:p>
    <w:p>
      <w:pPr>
        <w:pStyle w:val="BodyText"/>
        <w:spacing w:before="82"/>
        <w:ind w:left="283" w:right="0" w:firstLine="0"/>
        <w:jc w:val="left"/>
      </w:pPr>
      <w:r>
        <w:rPr>
          <w:color w:val="231F20"/>
        </w:rPr>
        <w:t>1° een nauwkeurige beschrijving van de voorgenomen bedrijvigheid;</w:t>
      </w:r>
    </w:p>
    <w:p>
      <w:pPr>
        <w:pStyle w:val="BodyText"/>
        <w:spacing w:line="218" w:lineRule="auto" w:before="93"/>
      </w:pPr>
      <w:r>
        <w:rPr>
          <w:color w:val="231F20"/>
        </w:rPr>
        <w:t>2° een overzicht van alle financieringsbronnen bij oprichting, in voorkomend geval, met opgave van de in dat verband verstrekte zekerheden;</w:t>
      </w:r>
    </w:p>
    <w:p>
      <w:pPr>
        <w:pStyle w:val="BodyText"/>
        <w:spacing w:line="218" w:lineRule="auto" w:before="96"/>
      </w:pPr>
      <w:r>
        <w:rPr>
          <w:color w:val="231F20"/>
        </w:rPr>
        <w:t>3° een openingsbalans opgesteld volgens het schema bedoeld in artikel 3:3, evenals geprojecteerde balansen na twaalf en vierentwintig maanden;</w:t>
      </w:r>
    </w:p>
    <w:p>
      <w:pPr>
        <w:pStyle w:val="BodyText"/>
        <w:spacing w:line="218" w:lineRule="auto" w:before="96"/>
      </w:pPr>
      <w:r>
        <w:rPr>
          <w:color w:val="231F20"/>
        </w:rPr>
        <w:t>4° een geprojecteerde resultatenrekening na twaalf en vierentwintig maanden, opgesteld volgens het schema bedoeld in artikel 3:3;</w:t>
      </w:r>
    </w:p>
    <w:p>
      <w:pPr>
        <w:pStyle w:val="BodyText"/>
        <w:spacing w:line="218" w:lineRule="auto" w:before="96"/>
      </w:pPr>
      <w:r>
        <w:rPr>
          <w:color w:val="231F20"/>
        </w:rPr>
        <w:t>5° een begroting van de verwachte inkomsten en uitgaven voor een periode van minstens twee jaar na de oprichting;</w:t>
      </w:r>
    </w:p>
    <w:p>
      <w:pPr>
        <w:pStyle w:val="BodyText"/>
        <w:spacing w:line="218" w:lineRule="auto" w:before="97"/>
      </w:pPr>
      <w:r>
        <w:rPr>
          <w:color w:val="231F20"/>
        </w:rPr>
        <w:t>6° een beschrijving van de gehanteerde hypotheses bij de schatting van de verwachte omzet en de verwachte rentabiliteit;</w:t>
      </w:r>
    </w:p>
    <w:p>
      <w:pPr>
        <w:pStyle w:val="BodyText"/>
        <w:spacing w:line="218" w:lineRule="auto" w:before="96"/>
      </w:pPr>
      <w:r>
        <w:rPr>
          <w:color w:val="231F20"/>
        </w:rPr>
        <w:t>7° in voorkomend geval, de naam van de externe deskundige die bijstand heeft verleend bij de opmaak van het financieel plan.</w:t>
      </w:r>
    </w:p>
    <w:p>
      <w:pPr>
        <w:pStyle w:val="BodyText"/>
        <w:spacing w:line="218" w:lineRule="auto" w:before="96"/>
      </w:pPr>
      <w:r>
        <w:rPr>
          <w:color w:val="231F20"/>
        </w:rPr>
        <w:t>§ 3. Bij de opstelling van de geprojecteerde balansen en resultaten- rekeningen kan een andere periodiciteit dan deze bedoeld in para- graaf 2, 3° en 4°, worden gehanteerd op voorwaarde dat de projecties in totaal betrekking hebben op een periode van minstens twee jaar na de oprichting.</w:t>
      </w:r>
    </w:p>
    <w:p>
      <w:pPr>
        <w:pStyle w:val="BodyText"/>
        <w:spacing w:line="338" w:lineRule="auto" w:before="82"/>
        <w:ind w:left="283" w:right="1535" w:firstLine="0"/>
        <w:jc w:val="left"/>
      </w:pPr>
      <w:r>
        <w:rPr>
          <w:color w:val="231F20"/>
        </w:rPr>
        <w:t>HOOFDSTUK 2. Plaatsing van de aandelen. Afdeling 1. Volledige plaatsing.</w:t>
      </w:r>
    </w:p>
    <w:p>
      <w:pPr>
        <w:pStyle w:val="BodyText"/>
        <w:spacing w:line="218" w:lineRule="auto" w:before="13"/>
      </w:pPr>
      <w:r>
        <w:rPr>
          <w:color w:val="231F20"/>
        </w:rPr>
        <w:t>Art. 5:5. De door de vennootschap uitgegeven aandelen moeten volledig en, niettegenstaande andersluidende bepaling, onvoorwaarde- lijk zijn geplaatst.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3160" from="298.170502pt,64.473pt" to="298.170502pt,812.819pt" stroked="true" strokeweight=".533pt" strokecolor="#231f20">
            <v:stroke dashstyle="solid"/>
            <w10:wrap type="none"/>
          </v:line>
        </w:pict>
      </w:r>
      <w:bookmarkStart w:name="_bookmark89" w:id="94"/>
      <w:bookmarkEnd w:id="94"/>
      <w:r>
        <w:rPr/>
      </w:r>
      <w:r>
        <w:rPr>
          <w:color w:val="231F20"/>
        </w:rPr>
        <w:t>Art. 5:6. § 1</w:t>
      </w:r>
      <w:r>
        <w:rPr>
          <w:color w:val="231F20"/>
          <w:position w:val="7"/>
          <w:sz w:val="11"/>
        </w:rPr>
        <w:t>er</w:t>
      </w:r>
      <w:r>
        <w:rPr>
          <w:color w:val="231F20"/>
        </w:rPr>
        <w:t>. La société ne peut souscrire ses propres actions ou des certificats se rapportant à de telles actions émis à l’occasion de l’émission de telles actions, ni directement, ni par une société filiale, ni par une personne agissant en son nom propre mais pour le compte de la</w:t>
      </w:r>
      <w:r>
        <w:rPr>
          <w:color w:val="231F20"/>
          <w:spacing w:val="14"/>
        </w:rPr>
        <w:t> </w:t>
      </w:r>
      <w:r>
        <w:rPr>
          <w:color w:val="231F20"/>
        </w:rPr>
        <w:t>société</w:t>
      </w:r>
      <w:r>
        <w:rPr>
          <w:color w:val="231F20"/>
          <w:spacing w:val="15"/>
        </w:rPr>
        <w:t> </w:t>
      </w:r>
      <w:r>
        <w:rPr>
          <w:color w:val="231F20"/>
        </w:rPr>
        <w:t>ou</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filiale.</w:t>
      </w:r>
    </w:p>
    <w:p>
      <w:pPr>
        <w:pStyle w:val="BodyText"/>
        <w:spacing w:before="3"/>
        <w:ind w:left="0" w:right="0" w:firstLine="0"/>
        <w:jc w:val="left"/>
        <w:rPr>
          <w:sz w:val="24"/>
        </w:rPr>
      </w:pPr>
    </w:p>
    <w:p>
      <w:pPr>
        <w:pStyle w:val="BodyText"/>
        <w:spacing w:line="211" w:lineRule="auto" w:before="1"/>
        <w:ind w:right="38"/>
      </w:pPr>
      <w:r>
        <w:rPr>
          <w:color w:val="231F20"/>
        </w:rPr>
        <w:t>La personne qui a souscrit des actions ou des certificats visés à l’alinéa 1</w:t>
      </w:r>
      <w:r>
        <w:rPr>
          <w:color w:val="231F20"/>
          <w:position w:val="7"/>
          <w:sz w:val="11"/>
        </w:rPr>
        <w:t>er </w:t>
      </w:r>
      <w:r>
        <w:rPr>
          <w:color w:val="231F20"/>
        </w:rPr>
        <w:t>en son nom propre mais pour le compte de la société ou de  la</w:t>
      </w:r>
      <w:r>
        <w:rPr>
          <w:color w:val="231F20"/>
          <w:spacing w:val="14"/>
        </w:rPr>
        <w:t> </w:t>
      </w:r>
      <w:r>
        <w:rPr>
          <w:color w:val="231F20"/>
        </w:rPr>
        <w:t>société</w:t>
      </w:r>
      <w:r>
        <w:rPr>
          <w:color w:val="231F20"/>
          <w:spacing w:val="15"/>
        </w:rPr>
        <w:t> </w:t>
      </w:r>
      <w:r>
        <w:rPr>
          <w:color w:val="231F20"/>
        </w:rPr>
        <w:t>filiale</w:t>
      </w:r>
      <w:r>
        <w:rPr>
          <w:color w:val="231F20"/>
          <w:spacing w:val="15"/>
        </w:rPr>
        <w:t> </w:t>
      </w:r>
      <w:r>
        <w:rPr>
          <w:color w:val="231F20"/>
        </w:rPr>
        <w:t>est</w:t>
      </w:r>
      <w:r>
        <w:rPr>
          <w:color w:val="231F20"/>
          <w:spacing w:val="14"/>
        </w:rPr>
        <w:t> </w:t>
      </w:r>
      <w:r>
        <w:rPr>
          <w:color w:val="231F20"/>
        </w:rPr>
        <w:t>censée</w:t>
      </w:r>
      <w:r>
        <w:rPr>
          <w:color w:val="231F20"/>
          <w:spacing w:val="15"/>
        </w:rPr>
        <w:t> </w:t>
      </w:r>
      <w:r>
        <w:rPr>
          <w:color w:val="231F20"/>
        </w:rPr>
        <w:t>avoir</w:t>
      </w:r>
      <w:r>
        <w:rPr>
          <w:color w:val="231F20"/>
          <w:spacing w:val="15"/>
        </w:rPr>
        <w:t> </w:t>
      </w:r>
      <w:r>
        <w:rPr>
          <w:color w:val="231F20"/>
        </w:rPr>
        <w:t>souscrit</w:t>
      </w:r>
      <w:r>
        <w:rPr>
          <w:color w:val="231F20"/>
          <w:spacing w:val="14"/>
        </w:rPr>
        <w:t> </w:t>
      </w:r>
      <w:r>
        <w:rPr>
          <w:color w:val="231F20"/>
        </w:rPr>
        <w:t>pour</w:t>
      </w:r>
      <w:r>
        <w:rPr>
          <w:color w:val="231F20"/>
          <w:spacing w:val="15"/>
        </w:rPr>
        <w:t> </w:t>
      </w:r>
      <w:r>
        <w:rPr>
          <w:color w:val="231F20"/>
        </w:rPr>
        <w:t>son</w:t>
      </w:r>
      <w:r>
        <w:rPr>
          <w:color w:val="231F20"/>
          <w:spacing w:val="15"/>
        </w:rPr>
        <w:t> </w:t>
      </w:r>
      <w:r>
        <w:rPr>
          <w:color w:val="231F20"/>
        </w:rPr>
        <w:t>propre</w:t>
      </w:r>
      <w:r>
        <w:rPr>
          <w:color w:val="231F20"/>
          <w:spacing w:val="14"/>
        </w:rPr>
        <w:t> </w:t>
      </w:r>
      <w:r>
        <w:rPr>
          <w:color w:val="231F20"/>
        </w:rPr>
        <w:t>compte.</w:t>
      </w:r>
    </w:p>
    <w:p>
      <w:pPr>
        <w:pStyle w:val="BodyText"/>
        <w:spacing w:before="1"/>
        <w:ind w:left="0" w:right="0" w:firstLine="0"/>
        <w:jc w:val="left"/>
        <w:rPr>
          <w:sz w:val="24"/>
        </w:rPr>
      </w:pPr>
    </w:p>
    <w:p>
      <w:pPr>
        <w:pStyle w:val="BodyText"/>
        <w:spacing w:line="211" w:lineRule="auto"/>
        <w:ind w:right="38"/>
      </w:pPr>
      <w:r>
        <w:rPr>
          <w:color w:val="231F20"/>
          <w:spacing w:val="-4"/>
        </w:rPr>
        <w:t>Tous </w:t>
      </w:r>
      <w:r>
        <w:rPr>
          <w:color w:val="231F20"/>
        </w:rPr>
        <w:t>les droits afférents aux actions et aux  certificats  visés  à  l’alinéa 1</w:t>
      </w:r>
      <w:r>
        <w:rPr>
          <w:color w:val="231F20"/>
          <w:position w:val="7"/>
          <w:sz w:val="11"/>
        </w:rPr>
        <w:t>er </w:t>
      </w:r>
      <w:r>
        <w:rPr>
          <w:color w:val="231F20"/>
        </w:rPr>
        <w:t>souscrits par la société ou sa filiale sont suspendus, tant que ces</w:t>
      </w:r>
      <w:r>
        <w:rPr>
          <w:color w:val="231F20"/>
          <w:spacing w:val="14"/>
        </w:rPr>
        <w:t> </w:t>
      </w:r>
      <w:r>
        <w:rPr>
          <w:color w:val="231F20"/>
        </w:rPr>
        <w:t>actions</w:t>
      </w:r>
      <w:r>
        <w:rPr>
          <w:color w:val="231F20"/>
          <w:spacing w:val="14"/>
        </w:rPr>
        <w:t> </w:t>
      </w:r>
      <w:r>
        <w:rPr>
          <w:color w:val="231F20"/>
        </w:rPr>
        <w:t>ou</w:t>
      </w:r>
      <w:r>
        <w:rPr>
          <w:color w:val="231F20"/>
          <w:spacing w:val="14"/>
        </w:rPr>
        <w:t> </w:t>
      </w:r>
      <w:r>
        <w:rPr>
          <w:color w:val="231F20"/>
        </w:rPr>
        <w:t>ces</w:t>
      </w:r>
      <w:r>
        <w:rPr>
          <w:color w:val="231F20"/>
          <w:spacing w:val="15"/>
        </w:rPr>
        <w:t> </w:t>
      </w:r>
      <w:r>
        <w:rPr>
          <w:color w:val="231F20"/>
        </w:rPr>
        <w:t>certificats</w:t>
      </w:r>
      <w:r>
        <w:rPr>
          <w:color w:val="231F20"/>
          <w:spacing w:val="14"/>
        </w:rPr>
        <w:t> </w:t>
      </w:r>
      <w:r>
        <w:rPr>
          <w:color w:val="231F20"/>
        </w:rPr>
        <w:t>n’ont</w:t>
      </w:r>
      <w:r>
        <w:rPr>
          <w:color w:val="231F20"/>
          <w:spacing w:val="14"/>
        </w:rPr>
        <w:t> </w:t>
      </w:r>
      <w:r>
        <w:rPr>
          <w:color w:val="231F20"/>
        </w:rPr>
        <w:t>pas</w:t>
      </w:r>
      <w:r>
        <w:rPr>
          <w:color w:val="231F20"/>
          <w:spacing w:val="15"/>
        </w:rPr>
        <w:t> </w:t>
      </w:r>
      <w:r>
        <w:rPr>
          <w:color w:val="231F20"/>
        </w:rPr>
        <w:t>été</w:t>
      </w:r>
      <w:r>
        <w:rPr>
          <w:color w:val="231F20"/>
          <w:spacing w:val="14"/>
        </w:rPr>
        <w:t> </w:t>
      </w:r>
      <w:r>
        <w:rPr>
          <w:color w:val="231F20"/>
        </w:rPr>
        <w:t>aliénés.</w:t>
      </w:r>
    </w:p>
    <w:p>
      <w:pPr>
        <w:pStyle w:val="BodyText"/>
        <w:spacing w:before="8"/>
        <w:ind w:left="0" w:right="0" w:firstLine="0"/>
        <w:jc w:val="left"/>
        <w:rPr>
          <w:sz w:val="22"/>
        </w:rPr>
      </w:pPr>
    </w:p>
    <w:p>
      <w:pPr>
        <w:pStyle w:val="BodyText"/>
        <w:spacing w:line="213" w:lineRule="auto"/>
        <w:ind w:right="38"/>
      </w:pPr>
      <w:r>
        <w:rPr>
          <w:color w:val="231F20"/>
        </w:rPr>
        <w:t>§ 2. Le paragraphe 1</w:t>
      </w:r>
      <w:r>
        <w:rPr>
          <w:color w:val="231F20"/>
          <w:position w:val="7"/>
          <w:sz w:val="11"/>
        </w:rPr>
        <w:t>er </w:t>
      </w:r>
      <w:r>
        <w:rPr>
          <w:color w:val="231F20"/>
        </w:rPr>
        <w:t>n’est pas applicable à la souscription d’actions d’une société ou de certificats visés au paragraphe 1</w:t>
      </w:r>
      <w:r>
        <w:rPr>
          <w:color w:val="231F20"/>
          <w:position w:val="7"/>
          <w:sz w:val="11"/>
        </w:rPr>
        <w:t>er </w:t>
      </w:r>
      <w:r>
        <w:rPr>
          <w:color w:val="231F20"/>
        </w:rPr>
        <w:t>par une société filiale qui, en sa qualité d’opérateur professionnel sur titres, est une société de bourse ou un établissement de crédit.</w:t>
      </w:r>
    </w:p>
    <w:p>
      <w:pPr>
        <w:pStyle w:val="BodyText"/>
        <w:spacing w:before="80"/>
        <w:ind w:left="283" w:right="0" w:firstLine="0"/>
        <w:jc w:val="left"/>
      </w:pPr>
      <w:r>
        <w:rPr>
          <w:color w:val="231F20"/>
        </w:rPr>
        <w:t>Section 2. Apport en nature.</w:t>
      </w:r>
    </w:p>
    <w:p>
      <w:pPr>
        <w:pStyle w:val="BodyText"/>
        <w:spacing w:line="218" w:lineRule="auto" w:before="78"/>
        <w:ind w:right="38"/>
      </w:pPr>
      <w:r>
        <w:rPr>
          <w:color w:val="231F20"/>
        </w:rPr>
        <w:t>Art. 5:7. § 1</w:t>
      </w:r>
      <w:r>
        <w:rPr>
          <w:color w:val="231F20"/>
          <w:position w:val="7"/>
          <w:sz w:val="11"/>
        </w:rPr>
        <w:t>er</w:t>
      </w:r>
      <w:r>
        <w:rPr>
          <w:color w:val="231F20"/>
        </w:rPr>
        <w:t>. En cas d’apport en nature, les fondateurs exposent</w:t>
      </w:r>
      <w:r>
        <w:rPr>
          <w:color w:val="231F20"/>
          <w:spacing w:val="-12"/>
        </w:rPr>
        <w:t> </w:t>
      </w:r>
      <w:r>
        <w:rPr>
          <w:color w:val="231F20"/>
        </w:rPr>
        <w:t>dans un rapport spécial l’intérêt que l’apport présente pour la société. Le rapport comporte une description de chaque apport en nature et en donne une évaluation motivée. Il indique quelle est la rémunération attribuée en contrepartie de l’apport. Les fondateurs communiquent ce rapport</w:t>
      </w:r>
      <w:r>
        <w:rPr>
          <w:color w:val="231F20"/>
          <w:spacing w:val="16"/>
        </w:rPr>
        <w:t> </w:t>
      </w:r>
      <w:r>
        <w:rPr>
          <w:color w:val="231F20"/>
        </w:rPr>
        <w:t>en</w:t>
      </w:r>
      <w:r>
        <w:rPr>
          <w:color w:val="231F20"/>
          <w:spacing w:val="16"/>
        </w:rPr>
        <w:t> </w:t>
      </w:r>
      <w:r>
        <w:rPr>
          <w:color w:val="231F20"/>
        </w:rPr>
        <w:t>projet</w:t>
      </w:r>
      <w:r>
        <w:rPr>
          <w:color w:val="231F20"/>
          <w:spacing w:val="16"/>
        </w:rPr>
        <w:t> </w:t>
      </w:r>
      <w:r>
        <w:rPr>
          <w:color w:val="231F20"/>
        </w:rPr>
        <w:t>au</w:t>
      </w:r>
      <w:r>
        <w:rPr>
          <w:color w:val="231F20"/>
          <w:spacing w:val="16"/>
        </w:rPr>
        <w:t> </w:t>
      </w:r>
      <w:r>
        <w:rPr>
          <w:color w:val="231F20"/>
        </w:rPr>
        <w:t>réviseur</w:t>
      </w:r>
      <w:r>
        <w:rPr>
          <w:color w:val="231F20"/>
          <w:spacing w:val="16"/>
        </w:rPr>
        <w:t> </w:t>
      </w:r>
      <w:r>
        <w:rPr>
          <w:color w:val="231F20"/>
        </w:rPr>
        <w:t>d’entreprises</w:t>
      </w:r>
      <w:r>
        <w:rPr>
          <w:color w:val="231F20"/>
          <w:spacing w:val="16"/>
        </w:rPr>
        <w:t> </w:t>
      </w:r>
      <w:r>
        <w:rPr>
          <w:color w:val="231F20"/>
        </w:rPr>
        <w:t>qu’ils</w:t>
      </w:r>
      <w:r>
        <w:rPr>
          <w:color w:val="231F20"/>
          <w:spacing w:val="16"/>
        </w:rPr>
        <w:t> </w:t>
      </w:r>
      <w:r>
        <w:rPr>
          <w:color w:val="231F20"/>
        </w:rPr>
        <w:t>désignent.</w:t>
      </w:r>
    </w:p>
    <w:p>
      <w:pPr>
        <w:pStyle w:val="BodyText"/>
        <w:spacing w:before="10"/>
        <w:ind w:left="0" w:right="0" w:firstLine="0"/>
        <w:jc w:val="left"/>
        <w:rPr>
          <w:sz w:val="23"/>
        </w:rPr>
      </w:pPr>
    </w:p>
    <w:p>
      <w:pPr>
        <w:pStyle w:val="BodyText"/>
        <w:spacing w:line="218" w:lineRule="auto" w:before="1"/>
        <w:ind w:right="38"/>
      </w:pPr>
      <w:r>
        <w:rPr>
          <w:color w:val="231F20"/>
        </w:rPr>
        <w:t>Le réviseur d’entreprises établit un rapport dans lequel il examine la description faite par les fondateurs de chaque apport en nature, l’évaluation adoptée et les modes d’évaluation appliqués. Le rapport doit indiquer si les valeurs auxquelles conduisent ces modes d’évalua- tion correspondent au moins à la valeur de l’apport mentionné dans l’acte. Il indique quelle est la rémunération réelle attribuée en contrepartie de l’apport.</w:t>
      </w:r>
    </w:p>
    <w:p>
      <w:pPr>
        <w:pStyle w:val="BodyText"/>
        <w:spacing w:line="218" w:lineRule="auto" w:before="107"/>
        <w:ind w:right="38"/>
      </w:pPr>
      <w:r>
        <w:rPr>
          <w:color w:val="231F20"/>
        </w:rPr>
        <w:t>Dans leur rapport, les fondateurs indiquent, le cas échéant, les raisons pour lesquelles ils s’écartent des conclusions du rapport du réviseur.</w:t>
      </w:r>
    </w:p>
    <w:p>
      <w:pPr>
        <w:pStyle w:val="BodyText"/>
        <w:spacing w:line="218" w:lineRule="auto" w:before="107"/>
        <w:ind w:right="38"/>
      </w:pPr>
      <w:r>
        <w:rPr>
          <w:color w:val="231F20"/>
        </w:rPr>
        <w:t>Ce rapport est déposé et publié avec celui du réviseur, conformément aux articles 2:8 et 2:14, 4°.</w:t>
      </w:r>
    </w:p>
    <w:p>
      <w:pPr>
        <w:pStyle w:val="BodyText"/>
        <w:spacing w:line="218" w:lineRule="auto" w:before="91"/>
        <w:ind w:right="39"/>
      </w:pPr>
      <w:r>
        <w:rPr>
          <w:color w:val="231F20"/>
        </w:rPr>
        <w:t>§ 2. Le paragraphe 1</w:t>
      </w:r>
      <w:r>
        <w:rPr>
          <w:color w:val="231F20"/>
          <w:position w:val="7"/>
          <w:sz w:val="11"/>
        </w:rPr>
        <w:t>er </w:t>
      </w:r>
      <w:r>
        <w:rPr>
          <w:color w:val="231F20"/>
        </w:rPr>
        <w:t>n’est pas applicable lorsqu’un apport en nature est constitué:</w:t>
      </w:r>
    </w:p>
    <w:p>
      <w:pPr>
        <w:pStyle w:val="BodyText"/>
        <w:spacing w:line="218" w:lineRule="auto" w:before="107"/>
        <w:ind w:right="38"/>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spacing w:before="11"/>
        <w:ind w:left="0" w:right="0" w:firstLine="0"/>
        <w:jc w:val="left"/>
        <w:rPr>
          <w:sz w:val="24"/>
        </w:rPr>
      </w:pPr>
    </w:p>
    <w:p>
      <w:pPr>
        <w:pStyle w:val="BodyText"/>
        <w:spacing w:line="218" w:lineRule="auto"/>
        <w:ind w:right="38"/>
      </w:pP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1"/>
          <w:numId w:val="94"/>
        </w:numPr>
        <w:tabs>
          <w:tab w:pos="456" w:val="left" w:leader="none"/>
        </w:tabs>
        <w:spacing w:line="218" w:lineRule="auto" w:before="104" w:after="0"/>
        <w:ind w:left="113" w:right="38" w:firstLine="170"/>
        <w:jc w:val="both"/>
        <w:rPr>
          <w:sz w:val="17"/>
        </w:rPr>
      </w:pPr>
      <w:r>
        <w:rPr>
          <w:color w:val="231F20"/>
          <w:sz w:val="17"/>
        </w:rPr>
        <w:t>la juste valeur est déterminée à une date qui ne précède pas de plus de</w:t>
      </w:r>
      <w:r>
        <w:rPr>
          <w:color w:val="231F20"/>
          <w:spacing w:val="15"/>
          <w:sz w:val="17"/>
        </w:rPr>
        <w:t> </w:t>
      </w:r>
      <w:r>
        <w:rPr>
          <w:color w:val="231F20"/>
          <w:sz w:val="17"/>
        </w:rPr>
        <w:t>six</w:t>
      </w:r>
      <w:r>
        <w:rPr>
          <w:color w:val="231F20"/>
          <w:spacing w:val="15"/>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6"/>
          <w:sz w:val="17"/>
        </w:rPr>
        <w:t> </w:t>
      </w:r>
      <w:r>
        <w:rPr>
          <w:color w:val="231F20"/>
          <w:sz w:val="17"/>
        </w:rPr>
        <w:t>effective</w:t>
      </w:r>
      <w:r>
        <w:rPr>
          <w:color w:val="231F20"/>
          <w:spacing w:val="15"/>
          <w:sz w:val="17"/>
        </w:rPr>
        <w:t> </w:t>
      </w:r>
      <w:r>
        <w:rPr>
          <w:color w:val="231F20"/>
          <w:sz w:val="17"/>
        </w:rPr>
        <w:t>de</w:t>
      </w:r>
      <w:r>
        <w:rPr>
          <w:color w:val="231F20"/>
          <w:spacing w:val="15"/>
          <w:sz w:val="17"/>
        </w:rPr>
        <w:t> </w:t>
      </w:r>
      <w:r>
        <w:rPr>
          <w:color w:val="231F20"/>
          <w:sz w:val="17"/>
        </w:rPr>
        <w:t>l’apport;</w:t>
      </w:r>
    </w:p>
    <w:p>
      <w:pPr>
        <w:pStyle w:val="BodyText"/>
        <w:spacing w:before="7"/>
        <w:ind w:left="0" w:right="0" w:firstLine="0"/>
        <w:jc w:val="left"/>
        <w:rPr>
          <w:sz w:val="24"/>
        </w:rPr>
      </w:pPr>
    </w:p>
    <w:p>
      <w:pPr>
        <w:pStyle w:val="ListParagraph"/>
        <w:numPr>
          <w:ilvl w:val="1"/>
          <w:numId w:val="94"/>
        </w:numPr>
        <w:tabs>
          <w:tab w:pos="509" w:val="left" w:leader="none"/>
        </w:tabs>
        <w:spacing w:line="218" w:lineRule="auto" w:before="0"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line="218" w:lineRule="auto" w:before="107"/>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92"/>
        <w:ind w:right="38"/>
      </w:pPr>
      <w:r>
        <w:rPr>
          <w:color w:val="231F20"/>
        </w:rPr>
        <w:t>Le paragraphe 1</w:t>
      </w:r>
      <w:r>
        <w:rPr>
          <w:color w:val="231F20"/>
          <w:position w:val="7"/>
          <w:sz w:val="11"/>
        </w:rPr>
        <w:t>er </w:t>
      </w:r>
      <w:r>
        <w:rPr>
          <w:color w:val="231F20"/>
        </w:rPr>
        <w:t>s’applique toutefois à la réévaluation effectuée à l’initiative et sous la responsabilité des fondateurs:</w:t>
      </w:r>
    </w:p>
    <w:p>
      <w:pPr>
        <w:pStyle w:val="BodyText"/>
        <w:spacing w:before="6"/>
        <w:ind w:left="0" w:right="0" w:firstLine="0"/>
        <w:jc w:val="left"/>
        <w:rPr>
          <w:sz w:val="23"/>
        </w:rPr>
      </w:pPr>
    </w:p>
    <w:p>
      <w:pPr>
        <w:pStyle w:val="BodyText"/>
        <w:spacing w:line="218" w:lineRule="auto" w:before="1"/>
        <w:ind w:right="38"/>
      </w:pPr>
      <w:r>
        <w:rPr>
          <w:color w:val="231F20"/>
        </w:rPr>
        <w:t>1° dans le cas prévu au paragraphe 2, alinéa 1</w:t>
      </w:r>
      <w:r>
        <w:rPr>
          <w:color w:val="231F20"/>
          <w:position w:val="7"/>
          <w:sz w:val="11"/>
        </w:rPr>
        <w:t>er</w:t>
      </w:r>
      <w:r>
        <w:rPr>
          <w:color w:val="231F20"/>
        </w:rPr>
        <w:t>, 1°, si le cours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line="218" w:lineRule="auto" w:before="119"/>
      </w:pPr>
      <w:r>
        <w:rPr/>
        <w:br w:type="column"/>
      </w:r>
      <w:r>
        <w:rPr>
          <w:color w:val="231F20"/>
        </w:rPr>
        <w:t>Art. 5:6. § 1. De vennootschap mag niet inschrijven op haar eigen aandelen of op certificaten die betrekking hebben op die aandelen en worden uitgegeven op het tijdstip van uitgifte van die aandelen, noch rechtstreeks, noch door een dochtervennootschap, noch door een persoon die handelt in eigen naam maar voor rekening van de vennootschap of de dochtervennootschap.</w:t>
      </w:r>
    </w:p>
    <w:p>
      <w:pPr>
        <w:pStyle w:val="BodyText"/>
        <w:spacing w:line="218" w:lineRule="auto" w:before="97"/>
      </w:pPr>
      <w:r>
        <w:rPr>
          <w:color w:val="231F20"/>
        </w:rPr>
        <w:t>De persoon die in eigen naam maar voor rekening van de vennoot- schap of van de dochtervennootschap op aandelen of op certificaten bedoeld in het eerste lid heeft ingeschreven, wordt geacht voor eigen rekening te hebben gehandeld.</w:t>
      </w:r>
    </w:p>
    <w:p>
      <w:pPr>
        <w:pStyle w:val="BodyText"/>
        <w:spacing w:line="218" w:lineRule="auto" w:before="96"/>
      </w:pPr>
      <w:r>
        <w:rPr>
          <w:color w:val="231F20"/>
        </w:rPr>
        <w:t>Alle rechten verbonden aan aandelen of aan certificaten bedoeld in het eerste lid waarop de vennootschap of haar dochtervennootschap heeft ingeschreven, blijven geschorst zolang die aandelen of die certificaten niet zijn vervreemd.</w:t>
      </w:r>
    </w:p>
    <w:p>
      <w:pPr>
        <w:pStyle w:val="BodyText"/>
        <w:spacing w:line="218" w:lineRule="auto" w:before="97"/>
      </w:pPr>
      <w:r>
        <w:rPr>
          <w:color w:val="231F20"/>
        </w:rPr>
        <w:t>§ 2. Paragraaf 1 is niet van toepassing op de inschrijving op aandelen van een vennootschap of op certificaten bedoeld in paragraaf 1 door  een dochtervennootschap die in haar hoedanigheid van professionele effectenhandelaar,</w:t>
      </w:r>
      <w:r>
        <w:rPr>
          <w:color w:val="231F20"/>
          <w:spacing w:val="12"/>
        </w:rPr>
        <w:t> </w:t>
      </w:r>
      <w:r>
        <w:rPr>
          <w:color w:val="231F20"/>
        </w:rPr>
        <w:t>een</w:t>
      </w:r>
      <w:r>
        <w:rPr>
          <w:color w:val="231F20"/>
          <w:spacing w:val="12"/>
        </w:rPr>
        <w:t> </w:t>
      </w:r>
      <w:r>
        <w:rPr>
          <w:color w:val="231F20"/>
        </w:rPr>
        <w:t>beursvennootschap</w:t>
      </w:r>
      <w:r>
        <w:rPr>
          <w:color w:val="231F20"/>
          <w:spacing w:val="13"/>
        </w:rPr>
        <w:t> </w:t>
      </w:r>
      <w:r>
        <w:rPr>
          <w:color w:val="231F20"/>
        </w:rPr>
        <w:t>of</w:t>
      </w:r>
      <w:r>
        <w:rPr>
          <w:color w:val="231F20"/>
          <w:spacing w:val="12"/>
        </w:rPr>
        <w:t> </w:t>
      </w:r>
      <w:r>
        <w:rPr>
          <w:color w:val="231F20"/>
        </w:rPr>
        <w:t>een</w:t>
      </w:r>
      <w:r>
        <w:rPr>
          <w:color w:val="231F20"/>
          <w:spacing w:val="13"/>
        </w:rPr>
        <w:t> </w:t>
      </w:r>
      <w:r>
        <w:rPr>
          <w:color w:val="231F20"/>
        </w:rPr>
        <w:t>kredietinstelling</w:t>
      </w:r>
      <w:r>
        <w:rPr>
          <w:color w:val="231F20"/>
          <w:spacing w:val="12"/>
        </w:rPr>
        <w:t> </w:t>
      </w:r>
      <w:r>
        <w:rPr>
          <w:color w:val="231F20"/>
        </w:rPr>
        <w:t>is.</w:t>
      </w:r>
    </w:p>
    <w:p>
      <w:pPr>
        <w:pStyle w:val="BodyText"/>
        <w:spacing w:before="82"/>
        <w:ind w:left="283" w:right="0" w:firstLine="0"/>
        <w:jc w:val="left"/>
      </w:pPr>
      <w:r>
        <w:rPr>
          <w:color w:val="231F20"/>
        </w:rPr>
        <w:t>Afdeling 2. Inbreng in natura.</w:t>
      </w:r>
    </w:p>
    <w:p>
      <w:pPr>
        <w:pStyle w:val="BodyText"/>
        <w:spacing w:line="218" w:lineRule="auto" w:before="92"/>
      </w:pPr>
      <w:r>
        <w:rPr>
          <w:color w:val="231F20"/>
        </w:rPr>
        <w:t>Art. 5:7. § 1. Ingeval van een inbreng in natura zetten de oprichters in een bijzonder verslag uiteen waarom de inbreng van belang is voor de vennootschap. Het verslag bevat een beschrijving van elke inbreng in natura en geeft daarvan een gemotiveerde waardering. Het geeft aan welke vergoeding als tegenprestatie voor de inbreng wordt verstrekt.  De oprichters delen dit verslag in ontwerp mee aan een bedrijfsrevisor die zij</w:t>
      </w:r>
      <w:r>
        <w:rPr>
          <w:color w:val="231F20"/>
          <w:spacing w:val="-11"/>
        </w:rPr>
        <w:t> </w:t>
      </w:r>
      <w:r>
        <w:rPr>
          <w:color w:val="231F20"/>
        </w:rPr>
        <w:t>aanwijzen.</w:t>
      </w:r>
    </w:p>
    <w:p>
      <w:pPr>
        <w:pStyle w:val="BodyText"/>
        <w:spacing w:line="218" w:lineRule="auto" w:before="97"/>
      </w:pPr>
      <w:r>
        <w:rPr>
          <w:color w:val="231F20"/>
        </w:rPr>
        <w:t>De bedrijfsrevisor maakt een verslag op waarin hij de door de oprichters gegeven beschrijving van elke inbreng in natura, de toegepaste waardering en de daartoe aangewende waarderingsmetho- des onderzoekt. Het verslag moet aangeven of de waarden  waartoe deze methodes leiden, ten minste overeenkomen met de waarde van de inbreng die in de akte wordt vermeld. Het vermeldt welke werkelijke vergoeding</w:t>
      </w:r>
      <w:r>
        <w:rPr>
          <w:color w:val="231F20"/>
          <w:spacing w:val="17"/>
        </w:rPr>
        <w:t> </w:t>
      </w:r>
      <w:r>
        <w:rPr>
          <w:color w:val="231F20"/>
        </w:rPr>
        <w:t>als</w:t>
      </w:r>
      <w:r>
        <w:rPr>
          <w:color w:val="231F20"/>
          <w:spacing w:val="18"/>
        </w:rPr>
        <w:t> </w:t>
      </w:r>
      <w:r>
        <w:rPr>
          <w:color w:val="231F20"/>
        </w:rPr>
        <w:t>tegenprestatie</w:t>
      </w:r>
      <w:r>
        <w:rPr>
          <w:color w:val="231F20"/>
          <w:spacing w:val="18"/>
        </w:rPr>
        <w:t> </w:t>
      </w:r>
      <w:r>
        <w:rPr>
          <w:color w:val="231F20"/>
        </w:rPr>
        <w:t>voor</w:t>
      </w:r>
      <w:r>
        <w:rPr>
          <w:color w:val="231F20"/>
          <w:spacing w:val="18"/>
        </w:rPr>
        <w:t> </w:t>
      </w:r>
      <w:r>
        <w:rPr>
          <w:color w:val="231F20"/>
        </w:rPr>
        <w:t>de</w:t>
      </w:r>
      <w:r>
        <w:rPr>
          <w:color w:val="231F20"/>
          <w:spacing w:val="18"/>
        </w:rPr>
        <w:t> </w:t>
      </w:r>
      <w:r>
        <w:rPr>
          <w:color w:val="231F20"/>
        </w:rPr>
        <w:t>inbreng</w:t>
      </w:r>
      <w:r>
        <w:rPr>
          <w:color w:val="231F20"/>
          <w:spacing w:val="17"/>
        </w:rPr>
        <w:t> </w:t>
      </w:r>
      <w:r>
        <w:rPr>
          <w:color w:val="231F20"/>
        </w:rPr>
        <w:t>wordt</w:t>
      </w:r>
      <w:r>
        <w:rPr>
          <w:color w:val="231F20"/>
          <w:spacing w:val="18"/>
        </w:rPr>
        <w:t> </w:t>
      </w:r>
      <w:r>
        <w:rPr>
          <w:color w:val="231F20"/>
        </w:rPr>
        <w:t>verstrekt.</w:t>
      </w:r>
    </w:p>
    <w:p>
      <w:pPr>
        <w:pStyle w:val="BodyText"/>
        <w:spacing w:line="218" w:lineRule="auto" w:before="107"/>
      </w:pPr>
      <w:r>
        <w:rPr>
          <w:color w:val="231F20"/>
        </w:rPr>
        <w:t>In hun verslag zetten de oprichters in voorkomend geval uiteen waarom zij afwijken van de conclusie van het verslag van de revisor.</w:t>
      </w:r>
    </w:p>
    <w:p>
      <w:pPr>
        <w:pStyle w:val="BodyText"/>
        <w:spacing w:before="10"/>
        <w:ind w:left="0" w:right="0" w:firstLine="0"/>
        <w:jc w:val="left"/>
        <w:rPr>
          <w:sz w:val="24"/>
        </w:rPr>
      </w:pPr>
    </w:p>
    <w:p>
      <w:pPr>
        <w:pStyle w:val="BodyText"/>
        <w:spacing w:line="218" w:lineRule="auto"/>
      </w:pPr>
      <w:r>
        <w:rPr>
          <w:color w:val="231F20"/>
        </w:rPr>
        <w:t>Dat verslag wordt, samen met het verslag van de revisor, neergelegd en bekendgemaakt overeenkomstig de artikelen 2:8 en 2:14, 4°.</w:t>
      </w:r>
    </w:p>
    <w:p>
      <w:pPr>
        <w:pStyle w:val="BodyText"/>
        <w:spacing w:line="218" w:lineRule="auto" w:before="107"/>
      </w:pPr>
      <w:r>
        <w:rPr>
          <w:color w:val="231F20"/>
        </w:rPr>
        <w:t>§ 2. Paragraaf 1 is niet van toepassing wanneer een inbreng in natura plaatsvindt:</w:t>
      </w:r>
    </w:p>
    <w:p>
      <w:pPr>
        <w:pStyle w:val="BodyText"/>
        <w:spacing w:line="218" w:lineRule="auto" w:before="107"/>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drie maanden voorafgaand aan de daadwerkelijke</w:t>
      </w:r>
      <w:r>
        <w:rPr>
          <w:color w:val="231F20"/>
          <w:spacing w:val="23"/>
        </w:rPr>
        <w:t> </w:t>
      </w:r>
      <w:r>
        <w:rPr>
          <w:color w:val="231F20"/>
        </w:rPr>
        <w:t>datum van de verwezenlijking van de inbreng in natura op een of meer gereglementeerde markten zoals bepaald in artikel 3, 7°, 8° en 9°, van de wet van 21 november 2017 over de infrastructuren voor de markten voor financiële instrumenten en houdende omzetting van richtlijn 2014/65/EU werden</w:t>
      </w:r>
      <w:r>
        <w:rPr>
          <w:color w:val="231F20"/>
          <w:spacing w:val="-11"/>
        </w:rPr>
        <w:t> </w:t>
      </w:r>
      <w:r>
        <w:rPr>
          <w:color w:val="231F20"/>
        </w:rPr>
        <w:t>verhandeld;</w:t>
      </w:r>
    </w:p>
    <w:p>
      <w:pPr>
        <w:pStyle w:val="BodyText"/>
        <w:spacing w:line="218" w:lineRule="auto" w:before="107"/>
        <w:ind w:right="123"/>
      </w:pPr>
      <w:r>
        <w:rPr>
          <w:color w:val="231F20"/>
        </w:rPr>
        <w:t>2° in de vorm van andere vermogensbestanddelen dan de in het 1° bedoelde effecten en geldmarktinstrumenten, die een bedrijfsrevisor reeds heeft gewaardeerd en wanneer aan de volgende voorwaarden is voldaan:</w:t>
      </w:r>
    </w:p>
    <w:p>
      <w:pPr>
        <w:pStyle w:val="ListParagraph"/>
        <w:numPr>
          <w:ilvl w:val="0"/>
          <w:numId w:val="95"/>
        </w:numPr>
        <w:tabs>
          <w:tab w:pos="464" w:val="left" w:leader="none"/>
        </w:tabs>
        <w:spacing w:line="218" w:lineRule="auto" w:before="104"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ListParagraph"/>
        <w:numPr>
          <w:ilvl w:val="0"/>
          <w:numId w:val="95"/>
        </w:numPr>
        <w:tabs>
          <w:tab w:pos="480" w:val="left" w:leader="none"/>
        </w:tabs>
        <w:spacing w:line="218" w:lineRule="auto" w:before="105"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line="218" w:lineRule="auto" w:before="106"/>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108"/>
      </w:pPr>
      <w:r>
        <w:rPr>
          <w:color w:val="231F20"/>
        </w:rPr>
        <w:t>Paragraaf 1 is evenwel van toepassing op de herwaardering waartoe wordt overgegaan op initiatief en onder de verantwoordelijkheid van  de</w:t>
      </w:r>
      <w:r>
        <w:rPr>
          <w:color w:val="231F20"/>
          <w:spacing w:val="14"/>
        </w:rPr>
        <w:t> </w:t>
      </w:r>
      <w:r>
        <w:rPr>
          <w:color w:val="231F20"/>
        </w:rPr>
        <w:t>oprichters:</w:t>
      </w:r>
    </w:p>
    <w:p>
      <w:pPr>
        <w:pStyle w:val="BodyText"/>
        <w:spacing w:line="218" w:lineRule="auto" w:before="106"/>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 is;</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93"/>
      </w:pPr>
      <w:r>
        <w:rPr/>
        <w:pict>
          <v:line style="position:absolute;mso-position-horizontal-relative:page;mso-position-vertical-relative:page;z-index:3184" from="298.170502pt,64.473pt" to="298.170502pt,812.819pt" stroked="true" strokeweight=".533pt" strokecolor="#231f20">
            <v:stroke dashstyle="solid"/>
            <w10:wrap type="none"/>
          </v:line>
        </w:pict>
      </w:r>
      <w:bookmarkStart w:name="_bookmark90" w:id="95"/>
      <w:bookmarkEnd w:id="95"/>
      <w:r>
        <w:rPr/>
      </w: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ind w:left="0" w:right="0" w:firstLine="0"/>
        <w:jc w:val="left"/>
        <w:rPr>
          <w:sz w:val="26"/>
        </w:rPr>
      </w:pPr>
    </w:p>
    <w:p>
      <w:pPr>
        <w:pStyle w:val="BodyText"/>
        <w:spacing w:line="213" w:lineRule="auto" w:before="1"/>
        <w:ind w:right="93"/>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7"/>
        <w:ind w:left="0" w:right="0" w:firstLine="0"/>
        <w:jc w:val="left"/>
        <w:rPr>
          <w:sz w:val="24"/>
        </w:rPr>
      </w:pPr>
    </w:p>
    <w:p>
      <w:pPr>
        <w:pStyle w:val="BodyText"/>
        <w:spacing w:line="364" w:lineRule="auto" w:before="1"/>
        <w:ind w:left="283" w:right="1415" w:firstLine="0"/>
        <w:jc w:val="left"/>
      </w:pPr>
      <w:r>
        <w:rPr>
          <w:color w:val="231F20"/>
        </w:rPr>
        <w:t>1° une description de l’apport en nature concerné; 2° le nom de l’apporteur;</w:t>
      </w:r>
    </w:p>
    <w:p>
      <w:pPr>
        <w:pStyle w:val="BodyText"/>
        <w:spacing w:line="218" w:lineRule="auto" w:before="23"/>
        <w:ind w:right="93"/>
      </w:pPr>
      <w:r>
        <w:rPr>
          <w:color w:val="231F20"/>
        </w:rPr>
        <w:t>3° la valeur de cet apport, l’origine de cette évaluation et, le cas échéant, le mode d’évaluation;</w:t>
      </w:r>
    </w:p>
    <w:p>
      <w:pPr>
        <w:pStyle w:val="BodyText"/>
        <w:spacing w:line="218" w:lineRule="auto" w:before="128"/>
        <w:ind w:right="93"/>
      </w:pPr>
      <w:r>
        <w:rPr>
          <w:color w:val="231F20"/>
        </w:rPr>
        <w:t>4° le nombre d‘actions émises en contrepartie de chaque apport en nature;</w:t>
      </w:r>
    </w:p>
    <w:p>
      <w:pPr>
        <w:pStyle w:val="BodyText"/>
        <w:spacing w:line="218" w:lineRule="auto" w:before="128"/>
        <w:ind w:right="96"/>
      </w:pPr>
      <w:r>
        <w:rPr>
          <w:color w:val="231F20"/>
        </w:rPr>
        <w:t>5° une attestation selon laquelle aucune circonstance particulière nouvelle susceptible d’influencer l’évaluation initiale n’est survenue.</w:t>
      </w:r>
    </w:p>
    <w:p>
      <w:pPr>
        <w:pStyle w:val="BodyText"/>
        <w:spacing w:before="6"/>
        <w:ind w:left="0" w:right="0" w:firstLine="0"/>
        <w:jc w:val="left"/>
        <w:rPr>
          <w:sz w:val="25"/>
        </w:rPr>
      </w:pPr>
    </w:p>
    <w:p>
      <w:pPr>
        <w:pStyle w:val="BodyText"/>
        <w:ind w:left="283" w:right="0" w:firstLine="0"/>
        <w:jc w:val="left"/>
      </w:pPr>
      <w:r>
        <w:rPr>
          <w:color w:val="231F20"/>
        </w:rPr>
        <w:t>CHAPITRE 3. Libération des apports.</w:t>
      </w:r>
    </w:p>
    <w:p>
      <w:pPr>
        <w:pStyle w:val="BodyText"/>
        <w:spacing w:line="218" w:lineRule="auto" w:before="125"/>
        <w:ind w:right="93"/>
      </w:pPr>
      <w:r>
        <w:rPr>
          <w:color w:val="231F20"/>
        </w:rPr>
        <w:t>Art. 5:8. Sauf disposition contraire dans l’acte constitutif, tous les apports sont intégralement libérés dès la constitution.</w:t>
      </w:r>
    </w:p>
    <w:p>
      <w:pPr>
        <w:pStyle w:val="BodyText"/>
        <w:spacing w:line="216" w:lineRule="auto" w:before="130"/>
        <w:ind w:right="93"/>
      </w:pPr>
      <w:r>
        <w:rPr>
          <w:color w:val="231F20"/>
        </w:rPr>
        <w:t>Art. 5:9. En cas d’apport en numéraire, à libérer lors de la passation de l’acte, les fonds sont, préalablement à la constitution de la société, déposés par versement ou virement sur un compte spécial ouvert au nom de la société en formation auprès d’un établissement de crédit établi dans l’Espace économique européen au sens de l’article 4, paragraphe 1</w:t>
      </w:r>
      <w:r>
        <w:rPr>
          <w:color w:val="231F20"/>
          <w:position w:val="7"/>
          <w:sz w:val="11"/>
        </w:rPr>
        <w:t>er</w:t>
      </w:r>
      <w:r>
        <w:rPr>
          <w:color w:val="231F20"/>
        </w:rPr>
        <w:t>, point 1), du règlement (UE) </w:t>
      </w:r>
      <w:r>
        <w:rPr>
          <w:color w:val="231F20"/>
          <w:spacing w:val="-5"/>
        </w:rPr>
        <w:t>nr. </w:t>
      </w:r>
      <w:r>
        <w:rPr>
          <w:color w:val="231F20"/>
        </w:rPr>
        <w:t>575/2013. Une preuve de</w:t>
      </w:r>
      <w:r>
        <w:rPr>
          <w:color w:val="231F20"/>
          <w:spacing w:val="14"/>
        </w:rPr>
        <w:t> </w:t>
      </w:r>
      <w:r>
        <w:rPr>
          <w:color w:val="231F20"/>
        </w:rPr>
        <w:t>ce</w:t>
      </w:r>
      <w:r>
        <w:rPr>
          <w:color w:val="231F20"/>
          <w:spacing w:val="14"/>
        </w:rPr>
        <w:t> </w:t>
      </w:r>
      <w:r>
        <w:rPr>
          <w:color w:val="231F20"/>
        </w:rPr>
        <w:t>dépôt</w:t>
      </w:r>
      <w:r>
        <w:rPr>
          <w:color w:val="231F20"/>
          <w:spacing w:val="15"/>
        </w:rPr>
        <w:t> </w:t>
      </w:r>
      <w:r>
        <w:rPr>
          <w:color w:val="231F20"/>
        </w:rPr>
        <w:t>est</w:t>
      </w:r>
      <w:r>
        <w:rPr>
          <w:color w:val="231F20"/>
          <w:spacing w:val="14"/>
        </w:rPr>
        <w:t> </w:t>
      </w:r>
      <w:r>
        <w:rPr>
          <w:color w:val="231F20"/>
        </w:rPr>
        <w:t>remise</w:t>
      </w:r>
      <w:r>
        <w:rPr>
          <w:color w:val="231F20"/>
          <w:spacing w:val="15"/>
        </w:rPr>
        <w:t> </w:t>
      </w:r>
      <w:r>
        <w:rPr>
          <w:color w:val="231F20"/>
        </w:rPr>
        <w:t>au</w:t>
      </w:r>
      <w:r>
        <w:rPr>
          <w:color w:val="231F20"/>
          <w:spacing w:val="14"/>
        </w:rPr>
        <w:t> </w:t>
      </w:r>
      <w:r>
        <w:rPr>
          <w:color w:val="231F20"/>
        </w:rPr>
        <w:t>notaire</w:t>
      </w:r>
      <w:r>
        <w:rPr>
          <w:color w:val="231F20"/>
          <w:spacing w:val="14"/>
        </w:rPr>
        <w:t> </w:t>
      </w:r>
      <w:r>
        <w:rPr>
          <w:color w:val="231F20"/>
        </w:rPr>
        <w:t>instrumentant.</w:t>
      </w:r>
    </w:p>
    <w:p>
      <w:pPr>
        <w:pStyle w:val="BodyText"/>
        <w:spacing w:before="5"/>
        <w:ind w:left="0" w:right="0" w:firstLine="0"/>
        <w:jc w:val="left"/>
        <w:rPr>
          <w:sz w:val="26"/>
        </w:rPr>
      </w:pPr>
    </w:p>
    <w:p>
      <w:pPr>
        <w:pStyle w:val="BodyText"/>
        <w:spacing w:line="218" w:lineRule="auto"/>
        <w:ind w:right="0"/>
        <w:jc w:val="left"/>
      </w:pPr>
      <w:r>
        <w:rPr>
          <w:color w:val="231F20"/>
        </w:rPr>
        <w:t>Le compte spécial est à la disposition exclusive de la société à constituer. Il ne peut en être disposé que par les personnes habilitées à engager la société et après que le notaire instrumentant eut informé l’établissement de la passation de l’acte.</w:t>
      </w:r>
    </w:p>
    <w:p>
      <w:pPr>
        <w:pStyle w:val="BodyText"/>
        <w:spacing w:before="9"/>
        <w:ind w:left="0" w:right="0" w:firstLine="0"/>
        <w:jc w:val="left"/>
        <w:rPr>
          <w:sz w:val="26"/>
        </w:rPr>
      </w:pPr>
    </w:p>
    <w:p>
      <w:pPr>
        <w:pStyle w:val="BodyText"/>
        <w:spacing w:line="218" w:lineRule="auto"/>
        <w:ind w:right="93"/>
      </w:pPr>
      <w:r>
        <w:rPr>
          <w:color w:val="231F20"/>
        </w:rPr>
        <w:t>Si la société n’est pas constituée dans le mois de l’ouverture du compte spécial, les fonds sont restitués à leur demande à ceux qui les ont déposés.</w:t>
      </w:r>
    </w:p>
    <w:p>
      <w:pPr>
        <w:pStyle w:val="BodyText"/>
        <w:spacing w:line="218" w:lineRule="auto" w:before="128"/>
        <w:ind w:right="93"/>
      </w:pPr>
      <w:r>
        <w:rPr>
          <w:color w:val="231F20"/>
        </w:rPr>
        <w:t>Art. 5:10. En cas de décès, d’incapacité ou de toute autre cause étrangère rendant définitivement impossible l’exécution de ses obliga- tions par le débiteur d’un apport en industrie, les actions qui lui ont été attribuées en rémunération de son apport sont frappées de caducité. Elles ne donneront droit à un éventuel dividende relatif à l’exercice en cours que prorata temporis.</w:t>
      </w:r>
    </w:p>
    <w:p>
      <w:pPr>
        <w:pStyle w:val="BodyText"/>
        <w:spacing w:line="218" w:lineRule="auto" w:before="129"/>
        <w:ind w:right="93"/>
      </w:pPr>
      <w:r>
        <w:rPr>
          <w:color w:val="231F20"/>
        </w:rPr>
        <w:t>Lorsqu’en raison d’une cause étrangère, le débiteur d’un apport en industrie est dans l’impossibilité temporaire d’exécuter ses obligations pour une période de plus de trois mois, les droits sociaux attachés aux actions qui lui ont été attribuées en rémunération de son apport sont suspendus pour toute la durée de cette impossibilité qui dépasse cette période de trois mois.</w:t>
      </w:r>
    </w:p>
    <w:p>
      <w:pPr>
        <w:pStyle w:val="BodyText"/>
        <w:spacing w:before="6"/>
        <w:ind w:left="0" w:right="0" w:firstLine="0"/>
        <w:jc w:val="left"/>
        <w:rPr>
          <w:sz w:val="25"/>
        </w:rPr>
      </w:pPr>
    </w:p>
    <w:p>
      <w:pPr>
        <w:pStyle w:val="BodyText"/>
        <w:spacing w:line="376" w:lineRule="auto"/>
        <w:ind w:left="283" w:right="1415" w:firstLine="0"/>
        <w:jc w:val="left"/>
      </w:pPr>
      <w:r>
        <w:rPr>
          <w:color w:val="231F20"/>
        </w:rPr>
        <w:t>Les statuts peuvent déroger au présent article. CHAPITRE 4. Formalités de constitution.</w:t>
      </w:r>
    </w:p>
    <w:p>
      <w:pPr>
        <w:pStyle w:val="BodyText"/>
        <w:spacing w:line="218" w:lineRule="auto" w:before="15"/>
        <w:ind w:right="93"/>
      </w:pPr>
      <w:r>
        <w:rPr>
          <w:color w:val="231F20"/>
        </w:rPr>
        <w:t>Art. 5:11. La société est constituée par acte authentique auquel comparaissent tous les actionnaires en personne, ou par porteurs de mandats authentiques ou privés.</w:t>
      </w:r>
    </w:p>
    <w:p>
      <w:pPr>
        <w:pStyle w:val="BodyText"/>
        <w:spacing w:before="8"/>
        <w:ind w:left="0" w:right="0" w:firstLine="0"/>
        <w:jc w:val="left"/>
        <w:rPr>
          <w:sz w:val="26"/>
        </w:rPr>
      </w:pPr>
    </w:p>
    <w:p>
      <w:pPr>
        <w:pStyle w:val="BodyText"/>
        <w:spacing w:line="218" w:lineRule="auto" w:before="1"/>
        <w:ind w:right="93"/>
      </w:pPr>
      <w:r>
        <w:rPr>
          <w:color w:val="231F20"/>
        </w:rPr>
        <w:t>Les comparants à l’acte constitutif sont considérés comme</w:t>
      </w:r>
      <w:r>
        <w:rPr>
          <w:color w:val="231F20"/>
          <w:spacing w:val="-10"/>
        </w:rPr>
        <w:t> </w:t>
      </w:r>
      <w:r>
        <w:rPr>
          <w:color w:val="231F20"/>
        </w:rPr>
        <w:t>fondateurs de la société. Toutefois, si l’acte désigne comme fondateurs un ou plusieurs actionnaires détenant ensemble au moins un tiers des</w:t>
      </w:r>
      <w:r>
        <w:rPr>
          <w:color w:val="231F20"/>
          <w:spacing w:val="-14"/>
        </w:rPr>
        <w:t> </w:t>
      </w:r>
      <w:r>
        <w:rPr>
          <w:color w:val="231F20"/>
        </w:rPr>
        <w:t>actions, les autres comparants, qui se bornent à souscrire des actions contre un apport en numéraire, sans bénéficier, directement ou indirectement, d’un quelconque avantage particulier, sont tenus pour simples sous- cripteurs.</w:t>
      </w:r>
    </w:p>
    <w:p>
      <w:pPr>
        <w:pStyle w:val="BodyText"/>
        <w:spacing w:line="218" w:lineRule="auto" w:before="128"/>
        <w:ind w:right="93"/>
      </w:pPr>
      <w:r>
        <w:rPr>
          <w:color w:val="231F20"/>
        </w:rPr>
        <w:t>Art. 5:12. Outre les données comprises dans l’extrait destiné à la publication en vertu de l’article 2:8, § 2, l’acte constitutif mentionne les données suivantes:</w:t>
      </w:r>
    </w:p>
    <w:p>
      <w:pPr>
        <w:pStyle w:val="BodyText"/>
        <w:spacing w:before="114"/>
        <w:ind w:left="283" w:right="0" w:firstLine="0"/>
        <w:jc w:val="left"/>
      </w:pPr>
      <w:r>
        <w:rPr>
          <w:color w:val="231F20"/>
        </w:rPr>
        <w:t>1° le respect des conditions visées aux articles 5:3, 5:5 et 5:8;</w:t>
      </w:r>
    </w:p>
    <w:p>
      <w:pPr>
        <w:pStyle w:val="BodyText"/>
        <w:spacing w:before="5"/>
        <w:ind w:left="0" w:right="0" w:firstLine="0"/>
        <w:jc w:val="left"/>
        <w:rPr>
          <w:sz w:val="26"/>
        </w:rPr>
      </w:pPr>
    </w:p>
    <w:p>
      <w:pPr>
        <w:pStyle w:val="BodyText"/>
        <w:spacing w:line="218" w:lineRule="auto"/>
        <w:ind w:right="93"/>
      </w:pPr>
      <w:r>
        <w:rPr>
          <w:color w:val="231F20"/>
        </w:rPr>
        <w:t>2° l’organisme dépositaire des apports à libérer en numéraire conformément à l’article 5:9;</w:t>
      </w:r>
    </w:p>
    <w:p>
      <w:pPr>
        <w:pStyle w:val="BodyText"/>
        <w:spacing w:line="218" w:lineRule="auto" w:before="119"/>
      </w:pPr>
      <w:r>
        <w:rPr/>
        <w:br w:type="column"/>
      </w:r>
      <w:r>
        <w:rPr>
          <w:color w:val="231F20"/>
        </w:rPr>
        <w:t>2° op de in paragraaf 2, eerste lid, 2° en 3°, bepaalde gevallen indien nieuwe bijzondere omstandigheden zouden leiden tot een aanzienlijke wijziging van de waarde in het economisch verkeer van het vermo- gensbestanddeel op de effectieve datum van de inbreng ervan.</w:t>
      </w:r>
    </w:p>
    <w:p>
      <w:pPr>
        <w:pStyle w:val="BodyText"/>
        <w:spacing w:line="218" w:lineRule="auto" w:before="118"/>
      </w:pPr>
      <w:r>
        <w:rPr>
          <w:color w:val="231F20"/>
        </w:rPr>
        <w:t>§ 3. In de gevallen van paragraaf 2 waarin de inbreng plaatsvindt zonder toepassing van paragraaf 1, legt het bestuursorgaan binnen één maand na de effectieve datum van de inbreng van het vermogensbe- standdeel een verklaring neer en maakt deze bekend overeenkomstig  de artikelen 2:8 en 2:14, 4°, waarin de volgende inlichtingen worden vermeld:</w:t>
      </w:r>
    </w:p>
    <w:p>
      <w:pPr>
        <w:pStyle w:val="BodyText"/>
        <w:spacing w:line="364" w:lineRule="auto" w:before="104"/>
        <w:ind w:left="283" w:right="707" w:hanging="1"/>
        <w:jc w:val="left"/>
      </w:pPr>
      <w:r>
        <w:rPr>
          <w:color w:val="231F20"/>
        </w:rPr>
        <w:t>1° een beschrijving van de desbetreffende inbreng in natura; 2° de naam van de inbrenger;</w:t>
      </w:r>
    </w:p>
    <w:p>
      <w:pPr>
        <w:pStyle w:val="BodyText"/>
        <w:spacing w:line="218" w:lineRule="auto" w:before="24"/>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28"/>
      </w:pPr>
      <w:r>
        <w:rPr>
          <w:color w:val="231F20"/>
        </w:rPr>
        <w:t>4° het aantal aandelen die tegen elke inbreng in natura zijn uitgegeven;</w:t>
      </w:r>
    </w:p>
    <w:p>
      <w:pPr>
        <w:pStyle w:val="BodyText"/>
        <w:spacing w:line="218" w:lineRule="auto" w:before="128"/>
      </w:pPr>
      <w:r>
        <w:rPr>
          <w:color w:val="231F20"/>
        </w:rPr>
        <w:t>5° een attest dat er zich geen nieuwe bijzondere</w:t>
      </w:r>
      <w:r>
        <w:rPr>
          <w:color w:val="231F20"/>
          <w:spacing w:val="23"/>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before="114"/>
        <w:ind w:left="283" w:right="0" w:firstLine="0"/>
        <w:jc w:val="left"/>
      </w:pPr>
      <w:r>
        <w:rPr>
          <w:color w:val="231F20"/>
        </w:rPr>
        <w:t>HOOFDSTUK 3. Storting van de inbrengen.</w:t>
      </w:r>
    </w:p>
    <w:p>
      <w:pPr>
        <w:pStyle w:val="BodyText"/>
        <w:spacing w:line="218" w:lineRule="auto" w:before="124"/>
      </w:pPr>
      <w:r>
        <w:rPr>
          <w:color w:val="231F20"/>
        </w:rPr>
        <w:t>Art. 5:8. Tenzij de oprichtingsakte anders bepaalt worden alle inbrengen vanaf de oprichting volledig gestort.</w:t>
      </w:r>
    </w:p>
    <w:p>
      <w:pPr>
        <w:pStyle w:val="BodyText"/>
        <w:spacing w:line="218" w:lineRule="auto" w:before="129"/>
        <w:ind w:right="123"/>
      </w:pPr>
      <w:r>
        <w:rPr>
          <w:color w:val="231F20"/>
        </w:rPr>
        <w:t>Art. 5:9. In geval van inbreng in geld, te storten bij het verlijden van de akte, wordt dat geld vóór de oprichting van de vennootschap bij storting of overschrijving gedeponeerd op een bijzondere rekening, ten name van de vennootschap in oprichting geopend bij een in de Europese Economische Ruimte gevestigde kredietinstelling als bedoeld in artikel 4, lid 1, punt 1), van verordening (EU) nr. 575/2013. Een bewijs van die deponering wordt overhandigd aan de instrumente- rende notaris.</w:t>
      </w:r>
    </w:p>
    <w:p>
      <w:pPr>
        <w:pStyle w:val="BodyText"/>
        <w:spacing w:line="218" w:lineRule="auto" w:before="128"/>
        <w:ind w:right="123"/>
      </w:pPr>
      <w:r>
        <w:rPr>
          <w:color w:val="231F20"/>
        </w:rPr>
        <w:t>De bijzondere rekening wordt uitsluitend ter beschikking gehouden van de op te richten vennootschap. Over die rekening kan alleen worden beschikt door personen die bevoegd zijn om de vennootschap  te verbinden, en eerst nadat de optredende notaris aan de instelling bericht</w:t>
      </w:r>
      <w:r>
        <w:rPr>
          <w:color w:val="231F20"/>
          <w:spacing w:val="16"/>
        </w:rPr>
        <w:t> </w:t>
      </w:r>
      <w:r>
        <w:rPr>
          <w:color w:val="231F20"/>
        </w:rPr>
        <w:t>heeft</w:t>
      </w:r>
      <w:r>
        <w:rPr>
          <w:color w:val="231F20"/>
          <w:spacing w:val="16"/>
        </w:rPr>
        <w:t> </w:t>
      </w:r>
      <w:r>
        <w:rPr>
          <w:color w:val="231F20"/>
        </w:rPr>
        <w:t>gegeven</w:t>
      </w:r>
      <w:r>
        <w:rPr>
          <w:color w:val="231F20"/>
          <w:spacing w:val="16"/>
        </w:rPr>
        <w:t> </w:t>
      </w:r>
      <w:r>
        <w:rPr>
          <w:color w:val="231F20"/>
        </w:rPr>
        <w:t>van</w:t>
      </w:r>
      <w:r>
        <w:rPr>
          <w:color w:val="231F20"/>
          <w:spacing w:val="16"/>
        </w:rPr>
        <w:t> </w:t>
      </w:r>
      <w:r>
        <w:rPr>
          <w:color w:val="231F20"/>
        </w:rPr>
        <w:t>het</w:t>
      </w:r>
      <w:r>
        <w:rPr>
          <w:color w:val="231F20"/>
          <w:spacing w:val="17"/>
        </w:rPr>
        <w:t> </w:t>
      </w:r>
      <w:r>
        <w:rPr>
          <w:color w:val="231F20"/>
        </w:rPr>
        <w:t>verlijden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akte.</w:t>
      </w:r>
    </w:p>
    <w:p>
      <w:pPr>
        <w:pStyle w:val="BodyText"/>
        <w:spacing w:line="218" w:lineRule="auto" w:before="129"/>
      </w:pPr>
      <w:r>
        <w:rPr>
          <w:color w:val="231F20"/>
        </w:rPr>
        <w:t>Indien de vennootschap niet binnen één maand na de opening van de bijzondere rekening is opgericht, wordt het geld teruggegeven aan de deposanten die erom verzoeken.</w:t>
      </w:r>
    </w:p>
    <w:p>
      <w:pPr>
        <w:pStyle w:val="BodyText"/>
        <w:spacing w:line="218" w:lineRule="auto" w:before="128"/>
        <w:ind w:right="123"/>
      </w:pPr>
      <w:r>
        <w:rPr>
          <w:color w:val="231F20"/>
        </w:rPr>
        <w:t>Art. 5:10. In geval van overlijden, onbekwaamheid of enige andere vreemde oorzaak waardoor de schuldenaar van een inbreng in nijverheid definitief in de onmogelijkheid verkeert om zijn verbintenis- sen na te komen, komen de aandelen die hem zijn uitgereikt tegen zijn inbreng te vervallen. Zij geven dan enkel prorata temporis recht op een eventueel dividend met betrekking tot het lopende boekjaar.</w:t>
      </w:r>
    </w:p>
    <w:p>
      <w:pPr>
        <w:pStyle w:val="BodyText"/>
        <w:spacing w:line="218" w:lineRule="auto" w:before="128"/>
        <w:ind w:right="123"/>
      </w:pPr>
      <w:r>
        <w:rPr>
          <w:color w:val="231F20"/>
          <w:spacing w:val="-3"/>
        </w:rPr>
        <w:t>Wanneer </w:t>
      </w:r>
      <w:r>
        <w:rPr>
          <w:color w:val="231F20"/>
        </w:rPr>
        <w:t>de schuldenaar van een inbreng in nijverheid wegens een vreemde oorzaak tijdelijk in de onmogelijkheid verkeert om zijn verbintenissen na te komen gedurende een periode van meer dan drie maanden, worden de maatschappelijke rechten die zijn verbonden aan de aandelen die hem zijn uitgereikt tegen zijn inbreng opgeschort voor de hele duur van die onmogelijkheid die deze periode van drie maanden</w:t>
      </w:r>
      <w:r>
        <w:rPr>
          <w:color w:val="231F20"/>
          <w:spacing w:val="15"/>
        </w:rPr>
        <w:t> </w:t>
      </w:r>
      <w:r>
        <w:rPr>
          <w:color w:val="231F20"/>
        </w:rPr>
        <w:t>overstijgt.</w:t>
      </w:r>
    </w:p>
    <w:p>
      <w:pPr>
        <w:pStyle w:val="BodyText"/>
        <w:spacing w:line="376" w:lineRule="auto" w:before="115"/>
        <w:ind w:left="283" w:right="1262" w:firstLine="0"/>
        <w:jc w:val="left"/>
      </w:pPr>
      <w:r>
        <w:rPr>
          <w:color w:val="231F20"/>
        </w:rPr>
        <w:t>De statuten kunnen afwijken van dit artikel. HOOFDSTUK 4. Oprichtingsformaliteiten.</w:t>
      </w:r>
    </w:p>
    <w:p>
      <w:pPr>
        <w:pStyle w:val="BodyText"/>
        <w:spacing w:line="218" w:lineRule="auto" w:before="15"/>
      </w:pPr>
      <w:r>
        <w:rPr>
          <w:color w:val="231F20"/>
        </w:rPr>
        <w:t>Art. 5:11. De vennootschap wordt opgericht bij authentieke akte, bij het verlijden waarvan alle aandeelhouders verschijnen, hetzij in persoon, hetzij door een houder van een authentieke of een onder- handse volmacht.</w:t>
      </w:r>
    </w:p>
    <w:p>
      <w:pPr>
        <w:pStyle w:val="BodyText"/>
        <w:spacing w:line="218" w:lineRule="auto" w:before="128"/>
      </w:pPr>
      <w:r>
        <w:rPr>
          <w:color w:val="231F20"/>
        </w:rPr>
        <w:t>Zij die bij de oprichtingsakte verschijnen, worden als oprichters van de vennootschap beschouwd. Indien evenwel de akte één of meer aandeelhouders die samen ten minste een derde van de aandelen bezitten, als oprichters aanwijst, worden de overige verschijnenden, die zich beperken tot de inschrijving op aandelen tegen een inbreng in geld, zonder rechtstreeks of zijdelings enig bijzonder voordeel te genieten, als gewone inschrijvers</w:t>
      </w:r>
      <w:r>
        <w:rPr>
          <w:color w:val="231F20"/>
          <w:spacing w:val="6"/>
        </w:rPr>
        <w:t> </w:t>
      </w:r>
      <w:r>
        <w:rPr>
          <w:color w:val="231F20"/>
        </w:rPr>
        <w:t>beschouwd.</w:t>
      </w:r>
    </w:p>
    <w:p>
      <w:pPr>
        <w:pStyle w:val="BodyText"/>
        <w:spacing w:line="218" w:lineRule="auto" w:before="129"/>
      </w:pPr>
      <w:r>
        <w:rPr>
          <w:color w:val="231F20"/>
        </w:rPr>
        <w:t>Art. 5:12. Naast de gegevens opgenomen in het uittreksel bestemd voor bekendmaking overeenkomstig artikel 2:8, § 2, worden in de oprichtingsakte de volgende gegevens vermeld:</w:t>
      </w:r>
    </w:p>
    <w:p>
      <w:pPr>
        <w:pStyle w:val="BodyText"/>
        <w:spacing w:line="218" w:lineRule="auto" w:before="128"/>
      </w:pPr>
      <w:r>
        <w:rPr>
          <w:color w:val="231F20"/>
        </w:rPr>
        <w:t>1° de naleving van de voorwaarden bedoeld in de artikelen 5:3, 5:5  en</w:t>
      </w:r>
      <w:r>
        <w:rPr>
          <w:color w:val="231F20"/>
          <w:spacing w:val="14"/>
        </w:rPr>
        <w:t> </w:t>
      </w:r>
      <w:r>
        <w:rPr>
          <w:color w:val="231F20"/>
        </w:rPr>
        <w:t>5:8;</w:t>
      </w:r>
    </w:p>
    <w:p>
      <w:pPr>
        <w:pStyle w:val="BodyText"/>
        <w:spacing w:line="218" w:lineRule="auto" w:before="128"/>
      </w:pPr>
      <w:r>
        <w:rPr>
          <w:color w:val="231F20"/>
        </w:rPr>
        <w:t>2° de instelling waar de inbreng in geld is gedeponeerd overeenkom- stig artikel 5:9;</w:t>
      </w:r>
    </w:p>
    <w:p>
      <w:pPr>
        <w:spacing w:after="0" w:line="218" w:lineRule="auto"/>
        <w:sectPr>
          <w:pgSz w:w="11940" w:h="16880"/>
          <w:pgMar w:header="666" w:footer="0" w:top="1140" w:bottom="280" w:left="340" w:right="360"/>
          <w:cols w:num="2" w:equalWidth="0">
            <w:col w:w="5582" w:space="45"/>
            <w:col w:w="5613"/>
          </w:cols>
        </w:sectPr>
      </w:pPr>
    </w:p>
    <w:p>
      <w:pPr>
        <w:pStyle w:val="BodyText"/>
        <w:spacing w:line="218" w:lineRule="auto" w:before="120"/>
        <w:ind w:right="38"/>
      </w:pPr>
      <w:r>
        <w:rPr/>
        <w:pict>
          <v:line style="position:absolute;mso-position-horizontal-relative:page;mso-position-vertical-relative:page;z-index:3208" from="298.170502pt,64.473pt" to="298.170502pt,812.819pt" stroked="true" strokeweight=".533pt" strokecolor="#231f20">
            <v:stroke dashstyle="solid"/>
            <w10:wrap type="none"/>
          </v:line>
        </w:pict>
      </w:r>
      <w:bookmarkStart w:name="_bookmark91" w:id="96"/>
      <w:bookmarkEnd w:id="96"/>
      <w:r>
        <w:rPr/>
      </w:r>
      <w:r>
        <w:rPr>
          <w:color w:val="231F20"/>
        </w:rPr>
        <w:t>3° les règles, dans la mesure où elles ne résultent pas de la loi, qui déterminent le nombre et le mode de désignation des membres des organes chargés de l’administration ou, le cas échéant, de la gestion journalière, de la représentation à l’égard des tiers ainsi que la répartition des compétences entre ces organes;</w:t>
      </w:r>
    </w:p>
    <w:p>
      <w:pPr>
        <w:pStyle w:val="BodyText"/>
        <w:spacing w:line="218" w:lineRule="auto" w:before="117"/>
        <w:ind w:right="38"/>
      </w:pPr>
      <w:r>
        <w:rPr>
          <w:color w:val="231F20"/>
        </w:rPr>
        <w:t>4° le nombre des actions, ainsi que, le cas échéant, les restrictions en matière de cession et, s’il existe différentes classes d’actions, les mêmes données et les droits par classe;</w:t>
      </w:r>
    </w:p>
    <w:p>
      <w:pPr>
        <w:pStyle w:val="BodyText"/>
        <w:spacing w:line="218" w:lineRule="auto" w:before="118"/>
        <w:ind w:right="38"/>
      </w:pPr>
      <w:r>
        <w:rPr>
          <w:color w:val="231F20"/>
        </w:rPr>
        <w:t>5° l’indication de chaque apport en nature, le nom de l’apporteur, le nombre d’actions émises en contrepartie de chaque apport, le cas échéant, le nom du réviseur d’entreprises et les conclusions de son rapport ainsi que, le cas échéant, les conditions auxquelles l’apport est fait;</w:t>
      </w:r>
    </w:p>
    <w:p>
      <w:pPr>
        <w:pStyle w:val="BodyText"/>
        <w:spacing w:line="218" w:lineRule="auto" w:before="117"/>
        <w:ind w:right="38"/>
      </w:pPr>
      <w:r>
        <w:rPr>
          <w:color w:val="231F20"/>
        </w:rPr>
        <w:t>6° la nature et consistance des avantages particuliers attribués à chacun des fondateurs, ou à toute personne qui a participé directement ou indirectement à la constitution de la société;</w:t>
      </w:r>
    </w:p>
    <w:p>
      <w:pPr>
        <w:pStyle w:val="BodyText"/>
        <w:spacing w:line="218" w:lineRule="auto" w:before="118"/>
        <w:ind w:right="38"/>
      </w:pPr>
      <w:r>
        <w:rPr>
          <w:color w:val="231F20"/>
        </w:rPr>
        <w:t>7° le montant total, au moins approximatif, de tous les frais,</w:t>
      </w:r>
      <w:r>
        <w:rPr>
          <w:color w:val="231F20"/>
          <w:spacing w:val="-24"/>
        </w:rPr>
        <w:t> </w:t>
      </w:r>
      <w:r>
        <w:rPr>
          <w:color w:val="231F20"/>
        </w:rPr>
        <w:t>dépenses et rémunérations ou charges, sous quelque forme que ce soit, qui incombent à la société ou qui sont mis à sa charge à raison de sa constitution;</w:t>
      </w:r>
    </w:p>
    <w:p>
      <w:pPr>
        <w:pStyle w:val="BodyText"/>
        <w:spacing w:line="218" w:lineRule="auto" w:before="118"/>
        <w:ind w:right="38"/>
      </w:pPr>
      <w:r>
        <w:rPr>
          <w:color w:val="231F20"/>
        </w:rPr>
        <w:t>8° les charges hypothécaires ou les nantissements grevant les biens apportés.</w:t>
      </w:r>
    </w:p>
    <w:p>
      <w:pPr>
        <w:pStyle w:val="BodyText"/>
        <w:spacing w:line="218" w:lineRule="auto" w:before="117"/>
        <w:ind w:right="38"/>
      </w:pPr>
      <w:r>
        <w:rPr>
          <w:color w:val="231F20"/>
        </w:rPr>
        <w:t>Les données visées aux 3° et 4° figurent dans la partie de l’acte qui contient les statuts.</w:t>
      </w:r>
    </w:p>
    <w:p>
      <w:pPr>
        <w:pStyle w:val="BodyText"/>
        <w:spacing w:line="218" w:lineRule="auto" w:before="128"/>
        <w:ind w:right="38"/>
      </w:pPr>
      <w:r>
        <w:rPr>
          <w:color w:val="231F20"/>
        </w:rPr>
        <w:t>Les procurations doivent reproduire les énonciations prévues par l’article 2:8, § 2, 1°, 2°, 3° et 12°.</w:t>
      </w:r>
    </w:p>
    <w:p>
      <w:pPr>
        <w:pStyle w:val="BodyText"/>
        <w:spacing w:before="114"/>
        <w:ind w:left="283" w:right="0" w:firstLine="0"/>
        <w:jc w:val="left"/>
      </w:pPr>
      <w:r>
        <w:rPr>
          <w:color w:val="231F20"/>
        </w:rPr>
        <w:t>CHAPITRE 5. Nullité.</w:t>
      </w:r>
    </w:p>
    <w:p>
      <w:pPr>
        <w:pStyle w:val="BodyText"/>
        <w:spacing w:line="218" w:lineRule="auto" w:before="125"/>
        <w:ind w:right="38"/>
      </w:pPr>
      <w:r>
        <w:rPr>
          <w:color w:val="231F20"/>
        </w:rPr>
        <w:t>Art. 5:13. Une société à responsabilité limitée ne peut être déclarée nulle que dans les cas suivants:</w:t>
      </w:r>
    </w:p>
    <w:p>
      <w:pPr>
        <w:pStyle w:val="BodyText"/>
        <w:spacing w:before="114"/>
        <w:ind w:left="283" w:right="0" w:firstLine="0"/>
        <w:jc w:val="left"/>
      </w:pPr>
      <w:r>
        <w:rPr>
          <w:color w:val="231F20"/>
        </w:rPr>
        <w:t>1° lorsque l’acte constitutif n’est pas établi en la forme requise;</w:t>
      </w:r>
    </w:p>
    <w:p>
      <w:pPr>
        <w:pStyle w:val="BodyText"/>
        <w:spacing w:before="5"/>
        <w:ind w:left="0" w:right="0" w:firstLine="0"/>
        <w:jc w:val="left"/>
        <w:rPr>
          <w:sz w:val="26"/>
        </w:rPr>
      </w:pPr>
    </w:p>
    <w:p>
      <w:pPr>
        <w:pStyle w:val="BodyText"/>
        <w:spacing w:line="218" w:lineRule="auto"/>
        <w:ind w:right="38"/>
      </w:pPr>
      <w:r>
        <w:rPr>
          <w:color w:val="231F20"/>
        </w:rPr>
        <w:t>2° lorsque l’acte constitutif ne contient aucune indication au sujet de la dénomination, de l’objet de la société et des apports;</w:t>
      </w:r>
    </w:p>
    <w:p>
      <w:pPr>
        <w:pStyle w:val="BodyText"/>
        <w:spacing w:before="114"/>
        <w:ind w:left="283" w:right="0" w:firstLine="0"/>
        <w:jc w:val="left"/>
      </w:pPr>
      <w:r>
        <w:rPr>
          <w:color w:val="231F20"/>
        </w:rPr>
        <w:t>3° lorsque l’objet de la société est illicite ou contraire à l’ordre public;</w:t>
      </w:r>
    </w:p>
    <w:p>
      <w:pPr>
        <w:pStyle w:val="BodyText"/>
        <w:spacing w:before="2"/>
        <w:ind w:left="0" w:right="0" w:firstLine="0"/>
        <w:jc w:val="left"/>
        <w:rPr>
          <w:sz w:val="25"/>
        </w:rPr>
      </w:pPr>
    </w:p>
    <w:p>
      <w:pPr>
        <w:pStyle w:val="BodyText"/>
        <w:ind w:left="283" w:right="0" w:firstLine="0"/>
        <w:jc w:val="left"/>
      </w:pPr>
      <w:r>
        <w:rPr>
          <w:color w:val="231F20"/>
        </w:rPr>
        <w:t>4° lorsqu’il n’y a aucun fondateur valablement engagé.</w:t>
      </w:r>
    </w:p>
    <w:p>
      <w:pPr>
        <w:pStyle w:val="BodyText"/>
        <w:spacing w:line="218" w:lineRule="auto" w:before="125"/>
        <w:ind w:right="38"/>
      </w:pPr>
      <w:r>
        <w:rPr>
          <w:color w:val="231F20"/>
        </w:rPr>
        <w:t>Art. 5:14. Les dispositions attribuant la totalité des bénéfices à l’un des actionnaires, ou excluant un ou plusieurs actionnaires de la participation aux bénéfices, sont réputées non écrites.</w:t>
      </w:r>
    </w:p>
    <w:p>
      <w:pPr>
        <w:pStyle w:val="BodyText"/>
        <w:spacing w:before="114"/>
        <w:ind w:left="283" w:right="0" w:firstLine="0"/>
        <w:jc w:val="left"/>
      </w:pPr>
      <w:r>
        <w:rPr>
          <w:color w:val="231F20"/>
        </w:rPr>
        <w:t>CHAPITRE 6. Garantie et responsabilités.</w:t>
      </w:r>
    </w:p>
    <w:p>
      <w:pPr>
        <w:pStyle w:val="BodyText"/>
        <w:spacing w:line="218" w:lineRule="auto" w:before="125"/>
        <w:ind w:right="38"/>
      </w:pPr>
      <w:r>
        <w:rPr>
          <w:color w:val="231F20"/>
        </w:rPr>
        <w:t>Art. 5:15. Nonobstant toute disposition contraire, les fondateurs sont tenus solidairement envers les intéressés:</w:t>
      </w:r>
    </w:p>
    <w:p>
      <w:pPr>
        <w:pStyle w:val="BodyText"/>
        <w:spacing w:line="218" w:lineRule="auto" w:before="128"/>
        <w:ind w:right="38"/>
      </w:pPr>
      <w:r>
        <w:rPr>
          <w:color w:val="231F20"/>
        </w:rPr>
        <w:t>1° des actions qui ne seraient pas valablement souscrites conformé- ment à l’article 5:5; ils en sont de plein droit réputés souscripteurs;</w:t>
      </w:r>
    </w:p>
    <w:p>
      <w:pPr>
        <w:pStyle w:val="BodyText"/>
        <w:spacing w:before="8"/>
        <w:ind w:left="0" w:right="0" w:firstLine="0"/>
        <w:jc w:val="left"/>
        <w:rPr>
          <w:sz w:val="26"/>
        </w:rPr>
      </w:pPr>
    </w:p>
    <w:p>
      <w:pPr>
        <w:pStyle w:val="BodyText"/>
        <w:spacing w:line="218" w:lineRule="auto"/>
        <w:ind w:right="38"/>
      </w:pPr>
      <w:r>
        <w:rPr>
          <w:color w:val="231F20"/>
        </w:rPr>
        <w:t>2° de la libération effective des actions dont ils sont réputés souscripteurs en vertu du 1°;</w:t>
      </w:r>
    </w:p>
    <w:p>
      <w:pPr>
        <w:pStyle w:val="BodyText"/>
        <w:spacing w:line="218" w:lineRule="auto" w:before="128"/>
        <w:ind w:right="38"/>
      </w:pPr>
      <w:r>
        <w:rPr>
          <w:color w:val="231F20"/>
        </w:rPr>
        <w:t>3° de la libération des actions souscrites, directement ou au moyen</w:t>
      </w:r>
      <w:r>
        <w:rPr>
          <w:color w:val="231F20"/>
          <w:spacing w:val="-23"/>
        </w:rPr>
        <w:t> </w:t>
      </w:r>
      <w:r>
        <w:rPr>
          <w:color w:val="231F20"/>
        </w:rPr>
        <w:t>de certificats,</w:t>
      </w:r>
      <w:r>
        <w:rPr>
          <w:color w:val="231F20"/>
          <w:spacing w:val="14"/>
        </w:rPr>
        <w:t> </w:t>
      </w:r>
      <w:r>
        <w:rPr>
          <w:color w:val="231F20"/>
        </w:rPr>
        <w:t>en</w:t>
      </w:r>
      <w:r>
        <w:rPr>
          <w:color w:val="231F20"/>
          <w:spacing w:val="14"/>
        </w:rPr>
        <w:t> </w:t>
      </w:r>
      <w:r>
        <w:rPr>
          <w:color w:val="231F20"/>
        </w:rPr>
        <w:t>violation</w:t>
      </w:r>
      <w:r>
        <w:rPr>
          <w:color w:val="231F20"/>
          <w:spacing w:val="15"/>
        </w:rPr>
        <w:t> </w:t>
      </w:r>
      <w:r>
        <w:rPr>
          <w:color w:val="231F20"/>
        </w:rPr>
        <w:t>de</w:t>
      </w:r>
      <w:r>
        <w:rPr>
          <w:color w:val="231F20"/>
          <w:spacing w:val="14"/>
        </w:rPr>
        <w:t> </w:t>
      </w:r>
      <w:r>
        <w:rPr>
          <w:color w:val="231F20"/>
        </w:rPr>
        <w:t>l’article</w:t>
      </w:r>
      <w:r>
        <w:rPr>
          <w:color w:val="231F20"/>
          <w:spacing w:val="14"/>
        </w:rPr>
        <w:t> </w:t>
      </w:r>
      <w:r>
        <w:rPr>
          <w:color w:val="231F20"/>
        </w:rPr>
        <w:t>5:6.</w:t>
      </w:r>
    </w:p>
    <w:p>
      <w:pPr>
        <w:pStyle w:val="BodyText"/>
        <w:spacing w:line="218" w:lineRule="auto" w:before="129"/>
        <w:ind w:right="38"/>
      </w:pPr>
      <w:r>
        <w:rPr>
          <w:color w:val="231F20"/>
        </w:rPr>
        <w:t>Art. 5:16. Nonobstant toute disposition contraire, les fondateurs sont solidairement responsables envers les intéressés:</w:t>
      </w:r>
    </w:p>
    <w:p>
      <w:pPr>
        <w:pStyle w:val="BodyText"/>
        <w:spacing w:line="218" w:lineRule="auto" w:before="128"/>
        <w:ind w:right="38"/>
      </w:pPr>
      <w:r>
        <w:rPr>
          <w:color w:val="231F20"/>
        </w:rPr>
        <w:t>1° du préjudice qui est la suite immédiate et directe, soit de la nullité de</w:t>
      </w:r>
      <w:r>
        <w:rPr>
          <w:color w:val="231F20"/>
          <w:spacing w:val="-4"/>
        </w:rPr>
        <w:t> </w:t>
      </w:r>
      <w:r>
        <w:rPr>
          <w:color w:val="231F20"/>
        </w:rPr>
        <w:t>la</w:t>
      </w:r>
      <w:r>
        <w:rPr>
          <w:color w:val="231F20"/>
          <w:spacing w:val="-3"/>
        </w:rPr>
        <w:t> </w:t>
      </w:r>
      <w:r>
        <w:rPr>
          <w:color w:val="231F20"/>
        </w:rPr>
        <w:t>société</w:t>
      </w:r>
      <w:r>
        <w:rPr>
          <w:color w:val="231F20"/>
          <w:spacing w:val="-4"/>
        </w:rPr>
        <w:t> </w:t>
      </w:r>
      <w:r>
        <w:rPr>
          <w:color w:val="231F20"/>
        </w:rPr>
        <w:t>prononcée</w:t>
      </w:r>
      <w:r>
        <w:rPr>
          <w:color w:val="231F20"/>
          <w:spacing w:val="-3"/>
        </w:rPr>
        <w:t> </w:t>
      </w:r>
      <w:r>
        <w:rPr>
          <w:color w:val="231F20"/>
        </w:rPr>
        <w:t>par</w:t>
      </w:r>
      <w:r>
        <w:rPr>
          <w:color w:val="231F20"/>
          <w:spacing w:val="-4"/>
        </w:rPr>
        <w:t> </w:t>
      </w:r>
      <w:r>
        <w:rPr>
          <w:color w:val="231F20"/>
        </w:rPr>
        <w:t>application</w:t>
      </w:r>
      <w:r>
        <w:rPr>
          <w:color w:val="231F20"/>
          <w:spacing w:val="-3"/>
        </w:rPr>
        <w:t> </w:t>
      </w:r>
      <w:r>
        <w:rPr>
          <w:color w:val="231F20"/>
        </w:rPr>
        <w:t>de</w:t>
      </w:r>
      <w:r>
        <w:rPr>
          <w:color w:val="231F20"/>
          <w:spacing w:val="-4"/>
        </w:rPr>
        <w:t> </w:t>
      </w:r>
      <w:r>
        <w:rPr>
          <w:color w:val="231F20"/>
        </w:rPr>
        <w:t>l’article</w:t>
      </w:r>
      <w:r>
        <w:rPr>
          <w:color w:val="231F20"/>
          <w:spacing w:val="-3"/>
        </w:rPr>
        <w:t> </w:t>
      </w:r>
      <w:r>
        <w:rPr>
          <w:color w:val="231F20"/>
        </w:rPr>
        <w:t>5:13,</w:t>
      </w:r>
      <w:r>
        <w:rPr>
          <w:color w:val="231F20"/>
          <w:spacing w:val="-4"/>
        </w:rPr>
        <w:t> </w:t>
      </w:r>
      <w:r>
        <w:rPr>
          <w:color w:val="231F20"/>
        </w:rPr>
        <w:t>soit</w:t>
      </w:r>
      <w:r>
        <w:rPr>
          <w:color w:val="231F20"/>
          <w:spacing w:val="-3"/>
        </w:rPr>
        <w:t> </w:t>
      </w:r>
      <w:r>
        <w:rPr>
          <w:color w:val="231F20"/>
        </w:rPr>
        <w:t>de</w:t>
      </w:r>
      <w:r>
        <w:rPr>
          <w:color w:val="231F20"/>
          <w:spacing w:val="-4"/>
        </w:rPr>
        <w:t> </w:t>
      </w:r>
      <w:r>
        <w:rPr>
          <w:color w:val="231F20"/>
        </w:rPr>
        <w:t>l’absence ou de la fausseté des mentions prescrites par l’article 5:12, soit de la surévaluation</w:t>
      </w:r>
      <w:r>
        <w:rPr>
          <w:color w:val="231F20"/>
          <w:spacing w:val="15"/>
        </w:rPr>
        <w:t> </w:t>
      </w:r>
      <w:r>
        <w:rPr>
          <w:color w:val="231F20"/>
        </w:rPr>
        <w:t>manifeste</w:t>
      </w:r>
      <w:r>
        <w:rPr>
          <w:color w:val="231F20"/>
          <w:spacing w:val="15"/>
        </w:rPr>
        <w:t> </w:t>
      </w:r>
      <w:r>
        <w:rPr>
          <w:color w:val="231F20"/>
        </w:rPr>
        <w:t>des</w:t>
      </w:r>
      <w:r>
        <w:rPr>
          <w:color w:val="231F20"/>
          <w:spacing w:val="15"/>
        </w:rPr>
        <w:t> </w:t>
      </w:r>
      <w:r>
        <w:rPr>
          <w:color w:val="231F20"/>
        </w:rPr>
        <w:t>apports</w:t>
      </w:r>
      <w:r>
        <w:rPr>
          <w:color w:val="231F20"/>
          <w:spacing w:val="15"/>
        </w:rPr>
        <w:t> </w:t>
      </w:r>
      <w:r>
        <w:rPr>
          <w:color w:val="231F20"/>
        </w:rPr>
        <w:t>en</w:t>
      </w:r>
      <w:r>
        <w:rPr>
          <w:color w:val="231F20"/>
          <w:spacing w:val="15"/>
        </w:rPr>
        <w:t> </w:t>
      </w:r>
      <w:r>
        <w:rPr>
          <w:color w:val="231F20"/>
        </w:rPr>
        <w:t>nature;</w:t>
      </w:r>
    </w:p>
    <w:p>
      <w:pPr>
        <w:pStyle w:val="BodyText"/>
        <w:spacing w:before="8"/>
        <w:ind w:left="0" w:right="0" w:firstLine="0"/>
        <w:jc w:val="left"/>
        <w:rPr>
          <w:sz w:val="26"/>
        </w:rPr>
      </w:pPr>
    </w:p>
    <w:p>
      <w:pPr>
        <w:pStyle w:val="BodyText"/>
        <w:spacing w:line="218" w:lineRule="auto"/>
        <w:ind w:right="38"/>
      </w:pPr>
      <w:r>
        <w:rPr>
          <w:color w:val="231F20"/>
        </w:rPr>
        <w:t>2° des engagements de la société, dans la proportion fixée par le juge, en cas de faillite prononcée dans les trois ans de l’acquisition de la personnalité juridique, si les capitaux propres de départ étaient, lors de la constitution, manifestement insuffisants pour assurer l’exercice normal de l’activité projetée pendant une période de deux ans au moins. Dans ce cas, le notaire transmet au tribunal, à la demande du juge-commissaire ou du procureur du Roi, le plan financier prescrit en vertu de l’article</w:t>
      </w:r>
      <w:r>
        <w:rPr>
          <w:color w:val="231F20"/>
          <w:spacing w:val="3"/>
        </w:rPr>
        <w:t> </w:t>
      </w:r>
      <w:r>
        <w:rPr>
          <w:color w:val="231F20"/>
        </w:rPr>
        <w:t>5:4.</w:t>
      </w:r>
    </w:p>
    <w:p>
      <w:pPr>
        <w:pStyle w:val="BodyText"/>
        <w:spacing w:line="218" w:lineRule="auto" w:before="129"/>
        <w:ind w:right="38"/>
      </w:pPr>
      <w:r>
        <w:rPr>
          <w:color w:val="231F20"/>
        </w:rPr>
        <w:t>Art. 5:17. Ceux qui se sont engagés pour des tiers sont réputés personnellement obligés si le nom des mandants n’a pas été mentionné dans l’acte ou si le mandat produit n’est pas valable. Les fondateurs sont</w:t>
      </w:r>
      <w:r>
        <w:rPr>
          <w:color w:val="231F20"/>
          <w:spacing w:val="15"/>
        </w:rPr>
        <w:t> </w:t>
      </w:r>
      <w:r>
        <w:rPr>
          <w:color w:val="231F20"/>
        </w:rPr>
        <w:t>solidairement</w:t>
      </w:r>
      <w:r>
        <w:rPr>
          <w:color w:val="231F20"/>
          <w:spacing w:val="16"/>
        </w:rPr>
        <w:t> </w:t>
      </w:r>
      <w:r>
        <w:rPr>
          <w:color w:val="231F20"/>
        </w:rPr>
        <w:t>tenus</w:t>
      </w:r>
      <w:r>
        <w:rPr>
          <w:color w:val="231F20"/>
          <w:spacing w:val="15"/>
        </w:rPr>
        <w:t> </w:t>
      </w:r>
      <w:r>
        <w:rPr>
          <w:color w:val="231F20"/>
        </w:rPr>
        <w:t>de</w:t>
      </w:r>
      <w:r>
        <w:rPr>
          <w:color w:val="231F20"/>
          <w:spacing w:val="16"/>
        </w:rPr>
        <w:t> </w:t>
      </w:r>
      <w:r>
        <w:rPr>
          <w:color w:val="231F20"/>
        </w:rPr>
        <w:t>l’exécution</w:t>
      </w:r>
      <w:r>
        <w:rPr>
          <w:color w:val="231F20"/>
          <w:spacing w:val="15"/>
        </w:rPr>
        <w:t> </w:t>
      </w:r>
      <w:r>
        <w:rPr>
          <w:color w:val="231F20"/>
        </w:rPr>
        <w:t>de</w:t>
      </w:r>
      <w:r>
        <w:rPr>
          <w:color w:val="231F20"/>
          <w:spacing w:val="16"/>
        </w:rPr>
        <w:t> </w:t>
      </w:r>
      <w:r>
        <w:rPr>
          <w:color w:val="231F20"/>
        </w:rPr>
        <w:t>ces</w:t>
      </w:r>
      <w:r>
        <w:rPr>
          <w:color w:val="231F20"/>
          <w:spacing w:val="15"/>
        </w:rPr>
        <w:t> </w:t>
      </w:r>
      <w:r>
        <w:rPr>
          <w:color w:val="231F20"/>
        </w:rPr>
        <w:t>obligations.</w:t>
      </w:r>
    </w:p>
    <w:p>
      <w:pPr>
        <w:pStyle w:val="BodyText"/>
        <w:spacing w:line="218" w:lineRule="auto" w:before="119"/>
      </w:pPr>
      <w:r>
        <w:rPr/>
        <w:br w:type="column"/>
      </w:r>
      <w:r>
        <w:rPr>
          <w:color w:val="231F20"/>
          <w:w w:val="105"/>
        </w:rPr>
        <w:t>3° de regels, voor zover deze niet uit de wet voortvloeien, die het aantal</w:t>
      </w:r>
      <w:r>
        <w:rPr>
          <w:color w:val="231F20"/>
          <w:spacing w:val="-19"/>
          <w:w w:val="105"/>
        </w:rPr>
        <w:t> </w:t>
      </w:r>
      <w:r>
        <w:rPr>
          <w:color w:val="231F20"/>
          <w:w w:val="105"/>
        </w:rPr>
        <w:t>en</w:t>
      </w:r>
      <w:r>
        <w:rPr>
          <w:color w:val="231F20"/>
          <w:spacing w:val="-19"/>
          <w:w w:val="105"/>
        </w:rPr>
        <w:t> </w:t>
      </w:r>
      <w:r>
        <w:rPr>
          <w:color w:val="231F20"/>
          <w:w w:val="105"/>
        </w:rPr>
        <w:t>de</w:t>
      </w:r>
      <w:r>
        <w:rPr>
          <w:color w:val="231F20"/>
          <w:spacing w:val="-19"/>
          <w:w w:val="105"/>
        </w:rPr>
        <w:t> </w:t>
      </w:r>
      <w:r>
        <w:rPr>
          <w:color w:val="231F20"/>
          <w:w w:val="105"/>
        </w:rPr>
        <w:t>wijze</w:t>
      </w:r>
      <w:r>
        <w:rPr>
          <w:color w:val="231F20"/>
          <w:spacing w:val="-19"/>
          <w:w w:val="105"/>
        </w:rPr>
        <w:t> </w:t>
      </w:r>
      <w:r>
        <w:rPr>
          <w:color w:val="231F20"/>
          <w:w w:val="105"/>
        </w:rPr>
        <w:t>van</w:t>
      </w:r>
      <w:r>
        <w:rPr>
          <w:color w:val="231F20"/>
          <w:spacing w:val="-19"/>
          <w:w w:val="105"/>
        </w:rPr>
        <w:t> </w:t>
      </w:r>
      <w:r>
        <w:rPr>
          <w:color w:val="231F20"/>
          <w:w w:val="105"/>
        </w:rPr>
        <w:t>benoeming</w:t>
      </w:r>
      <w:r>
        <w:rPr>
          <w:color w:val="231F20"/>
          <w:spacing w:val="-18"/>
          <w:w w:val="105"/>
        </w:rPr>
        <w:t> </w:t>
      </w:r>
      <w:r>
        <w:rPr>
          <w:color w:val="231F20"/>
          <w:w w:val="105"/>
        </w:rPr>
        <w:t>bepalen</w:t>
      </w:r>
      <w:r>
        <w:rPr>
          <w:color w:val="231F20"/>
          <w:spacing w:val="-19"/>
          <w:w w:val="105"/>
        </w:rPr>
        <w:t> </w:t>
      </w:r>
      <w:r>
        <w:rPr>
          <w:color w:val="231F20"/>
          <w:w w:val="105"/>
        </w:rPr>
        <w:t>van</w:t>
      </w:r>
      <w:r>
        <w:rPr>
          <w:color w:val="231F20"/>
          <w:spacing w:val="-19"/>
          <w:w w:val="105"/>
        </w:rPr>
        <w:t> </w:t>
      </w:r>
      <w:r>
        <w:rPr>
          <w:color w:val="231F20"/>
          <w:w w:val="105"/>
        </w:rPr>
        <w:t>de</w:t>
      </w:r>
      <w:r>
        <w:rPr>
          <w:color w:val="231F20"/>
          <w:spacing w:val="-19"/>
          <w:w w:val="105"/>
        </w:rPr>
        <w:t> </w:t>
      </w:r>
      <w:r>
        <w:rPr>
          <w:color w:val="231F20"/>
          <w:w w:val="105"/>
        </w:rPr>
        <w:t>leden</w:t>
      </w:r>
      <w:r>
        <w:rPr>
          <w:color w:val="231F20"/>
          <w:spacing w:val="-19"/>
          <w:w w:val="105"/>
        </w:rPr>
        <w:t> </w:t>
      </w:r>
      <w:r>
        <w:rPr>
          <w:color w:val="231F20"/>
          <w:w w:val="105"/>
        </w:rPr>
        <w:t>van</w:t>
      </w:r>
      <w:r>
        <w:rPr>
          <w:color w:val="231F20"/>
          <w:spacing w:val="-18"/>
          <w:w w:val="105"/>
        </w:rPr>
        <w:t> </w:t>
      </w:r>
      <w:r>
        <w:rPr>
          <w:color w:val="231F20"/>
          <w:w w:val="105"/>
        </w:rPr>
        <w:t>de</w:t>
      </w:r>
      <w:r>
        <w:rPr>
          <w:color w:val="231F20"/>
          <w:spacing w:val="-19"/>
          <w:w w:val="105"/>
        </w:rPr>
        <w:t> </w:t>
      </w:r>
      <w:r>
        <w:rPr>
          <w:color w:val="231F20"/>
          <w:w w:val="105"/>
        </w:rPr>
        <w:t>organen belast</w:t>
      </w:r>
      <w:r>
        <w:rPr>
          <w:color w:val="231F20"/>
          <w:spacing w:val="-14"/>
          <w:w w:val="105"/>
        </w:rPr>
        <w:t> </w:t>
      </w:r>
      <w:r>
        <w:rPr>
          <w:color w:val="231F20"/>
          <w:w w:val="105"/>
        </w:rPr>
        <w:t>met</w:t>
      </w:r>
      <w:r>
        <w:rPr>
          <w:color w:val="231F20"/>
          <w:spacing w:val="-13"/>
          <w:w w:val="105"/>
        </w:rPr>
        <w:t> </w:t>
      </w:r>
      <w:r>
        <w:rPr>
          <w:color w:val="231F20"/>
          <w:w w:val="105"/>
        </w:rPr>
        <w:t>het</w:t>
      </w:r>
      <w:r>
        <w:rPr>
          <w:color w:val="231F20"/>
          <w:spacing w:val="-14"/>
          <w:w w:val="105"/>
        </w:rPr>
        <w:t> </w:t>
      </w:r>
      <w:r>
        <w:rPr>
          <w:color w:val="231F20"/>
          <w:w w:val="105"/>
        </w:rPr>
        <w:t>bestuur</w:t>
      </w:r>
      <w:r>
        <w:rPr>
          <w:color w:val="231F20"/>
          <w:spacing w:val="-13"/>
          <w:w w:val="105"/>
        </w:rPr>
        <w:t> </w:t>
      </w:r>
      <w:r>
        <w:rPr>
          <w:color w:val="231F20"/>
          <w:w w:val="105"/>
        </w:rPr>
        <w:t>en,</w:t>
      </w:r>
      <w:r>
        <w:rPr>
          <w:color w:val="231F20"/>
          <w:spacing w:val="-14"/>
          <w:w w:val="105"/>
        </w:rPr>
        <w:t> </w:t>
      </w:r>
      <w:r>
        <w:rPr>
          <w:color w:val="231F20"/>
          <w:w w:val="105"/>
        </w:rPr>
        <w:t>in</w:t>
      </w:r>
      <w:r>
        <w:rPr>
          <w:color w:val="231F20"/>
          <w:spacing w:val="-13"/>
          <w:w w:val="105"/>
        </w:rPr>
        <w:t> </w:t>
      </w:r>
      <w:r>
        <w:rPr>
          <w:color w:val="231F20"/>
          <w:w w:val="105"/>
        </w:rPr>
        <w:t>voorkomend</w:t>
      </w:r>
      <w:r>
        <w:rPr>
          <w:color w:val="231F20"/>
          <w:spacing w:val="-14"/>
          <w:w w:val="105"/>
        </w:rPr>
        <w:t> </w:t>
      </w:r>
      <w:r>
        <w:rPr>
          <w:color w:val="231F20"/>
          <w:w w:val="105"/>
        </w:rPr>
        <w:t>geval,</w:t>
      </w:r>
      <w:r>
        <w:rPr>
          <w:color w:val="231F20"/>
          <w:spacing w:val="-13"/>
          <w:w w:val="105"/>
        </w:rPr>
        <w:t> </w:t>
      </w:r>
      <w:r>
        <w:rPr>
          <w:color w:val="231F20"/>
          <w:w w:val="105"/>
        </w:rPr>
        <w:t>het</w:t>
      </w:r>
      <w:r>
        <w:rPr>
          <w:color w:val="231F20"/>
          <w:spacing w:val="-14"/>
          <w:w w:val="105"/>
        </w:rPr>
        <w:t> </w:t>
      </w:r>
      <w:r>
        <w:rPr>
          <w:color w:val="231F20"/>
          <w:w w:val="105"/>
        </w:rPr>
        <w:t>dagelijks</w:t>
      </w:r>
      <w:r>
        <w:rPr>
          <w:color w:val="231F20"/>
          <w:spacing w:val="-13"/>
          <w:w w:val="105"/>
        </w:rPr>
        <w:t> </w:t>
      </w:r>
      <w:r>
        <w:rPr>
          <w:color w:val="231F20"/>
          <w:w w:val="105"/>
        </w:rPr>
        <w:t>bestuur, de</w:t>
      </w:r>
      <w:r>
        <w:rPr>
          <w:color w:val="231F20"/>
          <w:spacing w:val="-6"/>
          <w:w w:val="105"/>
        </w:rPr>
        <w:t> </w:t>
      </w:r>
      <w:r>
        <w:rPr>
          <w:color w:val="231F20"/>
          <w:w w:val="105"/>
        </w:rPr>
        <w:t>vertegenwoordiging</w:t>
      </w:r>
      <w:r>
        <w:rPr>
          <w:color w:val="231F20"/>
          <w:spacing w:val="-6"/>
          <w:w w:val="105"/>
        </w:rPr>
        <w:t> </w:t>
      </w:r>
      <w:r>
        <w:rPr>
          <w:color w:val="231F20"/>
          <w:w w:val="105"/>
        </w:rPr>
        <w:t>tegenover</w:t>
      </w:r>
      <w:r>
        <w:rPr>
          <w:color w:val="231F20"/>
          <w:spacing w:val="-6"/>
          <w:w w:val="105"/>
        </w:rPr>
        <w:t> </w:t>
      </w:r>
      <w:r>
        <w:rPr>
          <w:color w:val="231F20"/>
          <w:w w:val="105"/>
        </w:rPr>
        <w:t>derden</w:t>
      </w:r>
      <w:r>
        <w:rPr>
          <w:color w:val="231F20"/>
          <w:spacing w:val="-5"/>
          <w:w w:val="105"/>
        </w:rPr>
        <w:t> </w:t>
      </w:r>
      <w:r>
        <w:rPr>
          <w:color w:val="231F20"/>
          <w:w w:val="105"/>
        </w:rPr>
        <w:t>evenals</w:t>
      </w:r>
      <w:r>
        <w:rPr>
          <w:color w:val="231F20"/>
          <w:spacing w:val="-6"/>
          <w:w w:val="105"/>
        </w:rPr>
        <w:t> </w:t>
      </w:r>
      <w:r>
        <w:rPr>
          <w:color w:val="231F20"/>
          <w:w w:val="105"/>
        </w:rPr>
        <w:t>de</w:t>
      </w:r>
      <w:r>
        <w:rPr>
          <w:color w:val="231F20"/>
          <w:spacing w:val="-6"/>
          <w:w w:val="105"/>
        </w:rPr>
        <w:t> </w:t>
      </w:r>
      <w:r>
        <w:rPr>
          <w:color w:val="231F20"/>
          <w:w w:val="105"/>
        </w:rPr>
        <w:t>verdeling</w:t>
      </w:r>
      <w:r>
        <w:rPr>
          <w:color w:val="231F20"/>
          <w:spacing w:val="-6"/>
          <w:w w:val="105"/>
        </w:rPr>
        <w:t> </w:t>
      </w:r>
      <w:r>
        <w:rPr>
          <w:color w:val="231F20"/>
          <w:w w:val="105"/>
        </w:rPr>
        <w:t>van</w:t>
      </w:r>
      <w:r>
        <w:rPr>
          <w:color w:val="231F20"/>
          <w:spacing w:val="-5"/>
          <w:w w:val="105"/>
        </w:rPr>
        <w:t> </w:t>
      </w:r>
      <w:r>
        <w:rPr>
          <w:color w:val="231F20"/>
          <w:w w:val="105"/>
        </w:rPr>
        <w:t>de bevoegdheden tussen die</w:t>
      </w:r>
      <w:r>
        <w:rPr>
          <w:color w:val="231F20"/>
          <w:spacing w:val="33"/>
          <w:w w:val="105"/>
        </w:rPr>
        <w:t> </w:t>
      </w:r>
      <w:r>
        <w:rPr>
          <w:color w:val="231F20"/>
          <w:w w:val="105"/>
        </w:rPr>
        <w:t>organen;</w:t>
      </w:r>
    </w:p>
    <w:p>
      <w:pPr>
        <w:pStyle w:val="BodyText"/>
        <w:spacing w:line="218" w:lineRule="auto" w:before="118"/>
      </w:pPr>
      <w:r>
        <w:rPr>
          <w:color w:val="231F20"/>
        </w:rPr>
        <w:t>4° het aantal aandelen, evenals in voorkomend geval, de overdrachts- beperkingen en, indien er verschillende soorten aandelen bestaan, dezelfde gegevens en de rechten per soort;</w:t>
      </w:r>
    </w:p>
    <w:p>
      <w:pPr>
        <w:pStyle w:val="BodyText"/>
        <w:spacing w:line="218" w:lineRule="auto" w:before="118"/>
      </w:pPr>
      <w:r>
        <w:rPr>
          <w:color w:val="231F20"/>
        </w:rPr>
        <w:t>5° de aanduiding van elke inbreng in natura, de naam van de inbrenger, het aantal aandelen die tegen elke inbreng zijn uitgegeven,</w:t>
      </w:r>
      <w:r>
        <w:rPr>
          <w:color w:val="231F20"/>
          <w:spacing w:val="-24"/>
        </w:rPr>
        <w:t> </w:t>
      </w:r>
      <w:r>
        <w:rPr>
          <w:color w:val="231F20"/>
        </w:rPr>
        <w:t>in voorkomend geval, de naam van de bedrijfsrevisor en de conclusies  van zijn verslag, evenals, in voorkomend geval, de voorwaarden waaronder de inbreng is</w:t>
      </w:r>
      <w:r>
        <w:rPr>
          <w:color w:val="231F20"/>
          <w:spacing w:val="20"/>
        </w:rPr>
        <w:t> </w:t>
      </w:r>
      <w:r>
        <w:rPr>
          <w:color w:val="231F20"/>
        </w:rPr>
        <w:t>gedaan;</w:t>
      </w:r>
    </w:p>
    <w:p>
      <w:pPr>
        <w:pStyle w:val="BodyText"/>
        <w:spacing w:line="218" w:lineRule="auto" w:before="117"/>
      </w:pPr>
      <w:r>
        <w:rPr>
          <w:color w:val="231F20"/>
        </w:rPr>
        <w:t>6° de aard en de omvang van de bijzondere voordelen die worden toegekend aan elke oprichter of aan ieder die rechtstreeks of zijdelings aan de oprichting van de vennootschap deelgenomen heeft;</w:t>
      </w:r>
    </w:p>
    <w:p>
      <w:pPr>
        <w:pStyle w:val="BodyText"/>
        <w:spacing w:line="218" w:lineRule="auto" w:before="118"/>
      </w:pPr>
      <w:r>
        <w:rPr>
          <w:color w:val="231F20"/>
        </w:rPr>
        <w:t>7° het totale bedrag, althans bij benadering, van alle kosten,</w:t>
      </w:r>
      <w:r>
        <w:rPr>
          <w:color w:val="231F20"/>
          <w:spacing w:val="-11"/>
        </w:rPr>
        <w:t> </w:t>
      </w:r>
      <w:r>
        <w:rPr>
          <w:color w:val="231F20"/>
        </w:rPr>
        <w:t>uitgaven, vergoedingen of lasten, in welke vorm ook, die voor rekening van de vennootschap</w:t>
      </w:r>
      <w:r>
        <w:rPr>
          <w:color w:val="231F20"/>
          <w:spacing w:val="19"/>
        </w:rPr>
        <w:t> </w:t>
      </w:r>
      <w:r>
        <w:rPr>
          <w:color w:val="231F20"/>
        </w:rPr>
        <w:t>komen</w:t>
      </w:r>
      <w:r>
        <w:rPr>
          <w:color w:val="231F20"/>
          <w:spacing w:val="19"/>
        </w:rPr>
        <w:t> </w:t>
      </w:r>
      <w:r>
        <w:rPr>
          <w:color w:val="231F20"/>
        </w:rPr>
        <w:t>of</w:t>
      </w:r>
      <w:r>
        <w:rPr>
          <w:color w:val="231F20"/>
          <w:spacing w:val="19"/>
        </w:rPr>
        <w:t> </w:t>
      </w:r>
      <w:r>
        <w:rPr>
          <w:color w:val="231F20"/>
        </w:rPr>
        <w:t>worden</w:t>
      </w:r>
      <w:r>
        <w:rPr>
          <w:color w:val="231F20"/>
          <w:spacing w:val="19"/>
        </w:rPr>
        <w:t> </w:t>
      </w:r>
      <w:r>
        <w:rPr>
          <w:color w:val="231F20"/>
        </w:rPr>
        <w:t>gebracht</w:t>
      </w:r>
      <w:r>
        <w:rPr>
          <w:color w:val="231F20"/>
          <w:spacing w:val="20"/>
        </w:rPr>
        <w:t> </w:t>
      </w:r>
      <w:r>
        <w:rPr>
          <w:color w:val="231F20"/>
        </w:rPr>
        <w:t>wegens</w:t>
      </w:r>
      <w:r>
        <w:rPr>
          <w:color w:val="231F20"/>
          <w:spacing w:val="19"/>
        </w:rPr>
        <w:t> </w:t>
      </w:r>
      <w:r>
        <w:rPr>
          <w:color w:val="231F20"/>
        </w:rPr>
        <w:t>haar</w:t>
      </w:r>
      <w:r>
        <w:rPr>
          <w:color w:val="231F20"/>
          <w:spacing w:val="19"/>
        </w:rPr>
        <w:t> </w:t>
      </w:r>
      <w:r>
        <w:rPr>
          <w:color w:val="231F20"/>
        </w:rPr>
        <w:t>oprichting;</w:t>
      </w:r>
    </w:p>
    <w:p>
      <w:pPr>
        <w:pStyle w:val="BodyText"/>
        <w:spacing w:before="9"/>
        <w:ind w:left="0" w:right="0" w:firstLine="0"/>
        <w:jc w:val="left"/>
        <w:rPr>
          <w:sz w:val="25"/>
        </w:rPr>
      </w:pPr>
    </w:p>
    <w:p>
      <w:pPr>
        <w:pStyle w:val="BodyText"/>
        <w:spacing w:line="218" w:lineRule="auto"/>
      </w:pPr>
      <w:r>
        <w:rPr>
          <w:color w:val="231F20"/>
        </w:rPr>
        <w:t>8° de hypothecaire lasten of pandrechten waarmee de ingebrachte goederen zijn bezwaard.</w:t>
      </w:r>
    </w:p>
    <w:p>
      <w:pPr>
        <w:pStyle w:val="BodyText"/>
        <w:spacing w:line="218" w:lineRule="auto" w:before="118"/>
      </w:pPr>
      <w:r>
        <w:rPr>
          <w:color w:val="231F20"/>
        </w:rPr>
        <w:t>De gegevens bedoeld onder 3° en 4°, moeten worden opgenomen in het deel van de akte dat de statuten bevat.</w:t>
      </w:r>
    </w:p>
    <w:p>
      <w:pPr>
        <w:pStyle w:val="BodyText"/>
        <w:spacing w:line="218" w:lineRule="auto" w:before="128"/>
        <w:ind w:right="125"/>
      </w:pPr>
      <w:r>
        <w:rPr>
          <w:color w:val="231F20"/>
        </w:rPr>
        <w:t>In de volmachten moeten de door artikel 2:8, § 2, 1°, 2°, 3° en 12°, voorgeschreven vermeldingen worden opgenomen.</w:t>
      </w:r>
    </w:p>
    <w:p>
      <w:pPr>
        <w:pStyle w:val="BodyText"/>
        <w:spacing w:before="114"/>
        <w:ind w:left="283" w:right="0" w:firstLine="0"/>
        <w:jc w:val="left"/>
      </w:pPr>
      <w:r>
        <w:rPr>
          <w:color w:val="231F20"/>
        </w:rPr>
        <w:t>HOOFDSTUK 5. Nietigheid.</w:t>
      </w:r>
    </w:p>
    <w:p>
      <w:pPr>
        <w:pStyle w:val="BodyText"/>
        <w:spacing w:line="218" w:lineRule="auto" w:before="124"/>
      </w:pPr>
      <w:r>
        <w:rPr>
          <w:color w:val="231F20"/>
        </w:rPr>
        <w:t>Art. 5:13. Een besloten vennootschap kan alleen in de hiernavolgende gevallen worden nietig verklaard:</w:t>
      </w:r>
    </w:p>
    <w:p>
      <w:pPr>
        <w:pStyle w:val="BodyText"/>
        <w:spacing w:line="218" w:lineRule="auto" w:before="128"/>
      </w:pPr>
      <w:r>
        <w:rPr>
          <w:color w:val="231F20"/>
        </w:rPr>
        <w:t>1° wanneer de oprichtingsakte niet werd opgemaakt in de vereiste vorm;</w:t>
      </w:r>
    </w:p>
    <w:p>
      <w:pPr>
        <w:pStyle w:val="BodyText"/>
        <w:spacing w:line="218" w:lineRule="auto" w:before="129"/>
      </w:pPr>
      <w:r>
        <w:rPr>
          <w:color w:val="231F20"/>
        </w:rPr>
        <w:t>2° wanneer in de oprichtingsakte geen gegevens voorkomen over de naam, het voorwerp van de vennootschap en de inbrengen;</w:t>
      </w:r>
    </w:p>
    <w:p>
      <w:pPr>
        <w:pStyle w:val="BodyText"/>
        <w:spacing w:line="218" w:lineRule="auto" w:before="128"/>
      </w:pPr>
      <w:r>
        <w:rPr>
          <w:color w:val="231F20"/>
        </w:rPr>
        <w:t>3° wanneer het voorwerp van de vennootschap ongeoorloofd of strijdig met de openbare orde is;</w:t>
      </w:r>
    </w:p>
    <w:p>
      <w:pPr>
        <w:pStyle w:val="BodyText"/>
        <w:spacing w:before="114"/>
        <w:ind w:left="283" w:right="0" w:firstLine="0"/>
        <w:jc w:val="left"/>
      </w:pPr>
      <w:r>
        <w:rPr>
          <w:color w:val="231F20"/>
        </w:rPr>
        <w:t>4° wanneer er geen enkele geldig verbonden oprichter is.</w:t>
      </w:r>
    </w:p>
    <w:p>
      <w:pPr>
        <w:pStyle w:val="BodyText"/>
        <w:spacing w:line="218" w:lineRule="auto" w:before="124"/>
      </w:pPr>
      <w:r>
        <w:rPr>
          <w:color w:val="231F20"/>
        </w:rPr>
        <w:t>Art. 5:14. Bepalingen die aan één van de aandeelhouders de gehele winst toekennen, of aan één of meer aandeelhouders enige deelname in de winst ontzeggen, worden voor niet geschreven gehouden.</w:t>
      </w:r>
    </w:p>
    <w:p>
      <w:pPr>
        <w:pStyle w:val="BodyText"/>
        <w:spacing w:before="114"/>
        <w:ind w:left="283" w:right="0" w:firstLine="0"/>
        <w:jc w:val="left"/>
      </w:pPr>
      <w:r>
        <w:rPr>
          <w:color w:val="231F20"/>
        </w:rPr>
        <w:t>HOOFDSTUK 6. Garantie en aansprakelijkheid.</w:t>
      </w:r>
    </w:p>
    <w:p>
      <w:pPr>
        <w:pStyle w:val="BodyText"/>
        <w:spacing w:line="218" w:lineRule="auto" w:before="125"/>
      </w:pPr>
      <w:r>
        <w:rPr>
          <w:color w:val="231F20"/>
        </w:rPr>
        <w:t>Art. 5:15. Niettegenstaande andersluidende bepaling, zijn de oprich- ters jegens de belanghebbenden hoofdelijk gehouden:</w:t>
      </w:r>
    </w:p>
    <w:p>
      <w:pPr>
        <w:pStyle w:val="BodyText"/>
        <w:spacing w:line="218" w:lineRule="auto" w:before="128"/>
      </w:pPr>
      <w:r>
        <w:rPr>
          <w:color w:val="231F20"/>
        </w:rPr>
        <w:t>1° voor de aandelen waarvoor niet op geldige wijze zou zijn ingeschreven overeenkomstig artikel 5:5; zij worden van rechtswege als inschrijvers ervan beschouwd;</w:t>
      </w:r>
    </w:p>
    <w:p>
      <w:pPr>
        <w:pStyle w:val="BodyText"/>
        <w:spacing w:line="218" w:lineRule="auto" w:before="128"/>
      </w:pPr>
      <w:r>
        <w:rPr>
          <w:color w:val="231F20"/>
        </w:rPr>
        <w:t>2° tot werkelijke storting van de aandelen waarvoor zij overeenkom- stig de bepaling onder 1° als inschrijvers worden beschouwd;</w:t>
      </w:r>
    </w:p>
    <w:p>
      <w:pPr>
        <w:pStyle w:val="BodyText"/>
        <w:spacing w:line="218" w:lineRule="auto" w:before="128"/>
      </w:pPr>
      <w:r>
        <w:rPr>
          <w:color w:val="231F20"/>
        </w:rPr>
        <w:t>3° tot volstorting van de aandelen waarop rechtstreeks of middels certificaten is ingeschreven in strijd met artikel 5:6.</w:t>
      </w:r>
    </w:p>
    <w:p>
      <w:pPr>
        <w:pStyle w:val="BodyText"/>
        <w:spacing w:line="218" w:lineRule="auto" w:before="128"/>
      </w:pPr>
      <w:r>
        <w:rPr>
          <w:color w:val="231F20"/>
        </w:rPr>
        <w:t>Art. 5:16. Niettegenstaande andersluidende bepaling, zijn de oprich- ters jegens de belanghebbenden hoofdelijk aansprakelijk:</w:t>
      </w:r>
    </w:p>
    <w:p>
      <w:pPr>
        <w:pStyle w:val="BodyText"/>
        <w:spacing w:line="218" w:lineRule="auto" w:before="129"/>
      </w:pPr>
      <w:r>
        <w:rPr>
          <w:color w:val="231F20"/>
        </w:rPr>
        <w:t>1° voor de schade die het onmiddellijke en rechtstreekse gevolg is, hetzij van de nietigheid van de vennootschap uitgesproken op grond van artikel 5:13, hetzij van het ontbreken of de onjuistheid van de vermeldingen voorgeschreven bij artikel 5:12, hetzij van de kennelijke overwaardering</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inbrengen</w:t>
      </w:r>
      <w:r>
        <w:rPr>
          <w:color w:val="231F20"/>
          <w:spacing w:val="15"/>
        </w:rPr>
        <w:t> </w:t>
      </w:r>
      <w:r>
        <w:rPr>
          <w:color w:val="231F20"/>
        </w:rPr>
        <w:t>in</w:t>
      </w:r>
      <w:r>
        <w:rPr>
          <w:color w:val="231F20"/>
          <w:spacing w:val="16"/>
        </w:rPr>
        <w:t> </w:t>
      </w:r>
      <w:r>
        <w:rPr>
          <w:color w:val="231F20"/>
        </w:rPr>
        <w:t>natura;</w:t>
      </w:r>
    </w:p>
    <w:p>
      <w:pPr>
        <w:pStyle w:val="BodyText"/>
        <w:spacing w:line="218" w:lineRule="auto" w:before="128"/>
      </w:pPr>
      <w:r>
        <w:rPr>
          <w:color w:val="231F20"/>
        </w:rPr>
        <w:t>2° voor de verbintenissen van de vennootschap, naar een verhouding die de rechter vaststelt, in geval van faillissement uitgesproken binnen drie jaar na de verkrijging van de rechtspersoonlijkheid, indien het aanvangsvermogen bij de oprichting kennelijk ontoereikend was voor de normale uitoefening van de voorgenomen bedrijvigheid over ten minste twee </w:t>
      </w:r>
      <w:r>
        <w:rPr>
          <w:color w:val="231F20"/>
          <w:spacing w:val="-3"/>
        </w:rPr>
        <w:t>jaar. </w:t>
      </w:r>
      <w:r>
        <w:rPr>
          <w:color w:val="231F20"/>
        </w:rPr>
        <w:t>In dit geval maakt de notaris, op verzoek van de rechter-commissaris of van de procureur  des  Konings,  het  in  arti-  kel</w:t>
      </w:r>
      <w:r>
        <w:rPr>
          <w:color w:val="231F20"/>
          <w:spacing w:val="14"/>
        </w:rPr>
        <w:t> </w:t>
      </w:r>
      <w:r>
        <w:rPr>
          <w:color w:val="231F20"/>
        </w:rPr>
        <w:t>5:4</w:t>
      </w:r>
      <w:r>
        <w:rPr>
          <w:color w:val="231F20"/>
          <w:spacing w:val="15"/>
        </w:rPr>
        <w:t> </w:t>
      </w:r>
      <w:r>
        <w:rPr>
          <w:color w:val="231F20"/>
        </w:rPr>
        <w:t>voorgeschreven</w:t>
      </w:r>
      <w:r>
        <w:rPr>
          <w:color w:val="231F20"/>
          <w:spacing w:val="15"/>
        </w:rPr>
        <w:t> </w:t>
      </w:r>
      <w:r>
        <w:rPr>
          <w:color w:val="231F20"/>
        </w:rPr>
        <w:t>financieel</w:t>
      </w:r>
      <w:r>
        <w:rPr>
          <w:color w:val="231F20"/>
          <w:spacing w:val="15"/>
        </w:rPr>
        <w:t> </w:t>
      </w:r>
      <w:r>
        <w:rPr>
          <w:color w:val="231F20"/>
        </w:rPr>
        <w:t>plan</w:t>
      </w:r>
      <w:r>
        <w:rPr>
          <w:color w:val="231F20"/>
          <w:spacing w:val="15"/>
        </w:rPr>
        <w:t> </w:t>
      </w:r>
      <w:r>
        <w:rPr>
          <w:color w:val="231F20"/>
        </w:rPr>
        <w:t>aan</w:t>
      </w:r>
      <w:r>
        <w:rPr>
          <w:color w:val="231F20"/>
          <w:spacing w:val="15"/>
        </w:rPr>
        <w:t> </w:t>
      </w:r>
      <w:r>
        <w:rPr>
          <w:color w:val="231F20"/>
        </w:rPr>
        <w:t>de</w:t>
      </w:r>
      <w:r>
        <w:rPr>
          <w:color w:val="231F20"/>
          <w:spacing w:val="15"/>
        </w:rPr>
        <w:t> </w:t>
      </w:r>
      <w:r>
        <w:rPr>
          <w:color w:val="231F20"/>
        </w:rPr>
        <w:t>rechtbank</w:t>
      </w:r>
      <w:r>
        <w:rPr>
          <w:color w:val="231F20"/>
          <w:spacing w:val="15"/>
        </w:rPr>
        <w:t> </w:t>
      </w:r>
      <w:r>
        <w:rPr>
          <w:color w:val="231F20"/>
          <w:spacing w:val="-3"/>
        </w:rPr>
        <w:t>over.</w:t>
      </w:r>
    </w:p>
    <w:p>
      <w:pPr>
        <w:pStyle w:val="BodyText"/>
        <w:spacing w:line="218" w:lineRule="auto" w:before="128"/>
      </w:pPr>
      <w:r>
        <w:rPr>
          <w:color w:val="231F20"/>
        </w:rPr>
        <w:t>Art. 5:17. Zij die een verbintenis voor derden hebben aangegaan, worden geacht persoonlijk verbonden te zijn indien de naam van de lastgevers niet is aangegeven in de akte, of indien de overgelegde lastgeving niet geldig is. De oprichters zijn hoofdelijk gehouden tot nakoming van die verbintenissen.</w:t>
      </w:r>
    </w:p>
    <w:p>
      <w:pPr>
        <w:spacing w:after="0" w:line="218" w:lineRule="auto"/>
        <w:sectPr>
          <w:headerReference w:type="even" r:id="rId43"/>
          <w:headerReference w:type="default" r:id="rId44"/>
          <w:pgSz w:w="11940" w:h="16880"/>
          <w:pgMar w:header="666" w:footer="0" w:top="1140" w:bottom="280" w:left="340" w:right="360"/>
          <w:cols w:num="2" w:equalWidth="0">
            <w:col w:w="5527" w:space="100"/>
            <w:col w:w="5613"/>
          </w:cols>
        </w:sectPr>
      </w:pPr>
    </w:p>
    <w:p>
      <w:pPr>
        <w:pStyle w:val="BodyText"/>
        <w:spacing w:line="319" w:lineRule="auto" w:before="105"/>
        <w:ind w:left="283" w:right="2109" w:firstLine="0"/>
        <w:jc w:val="left"/>
      </w:pPr>
      <w:r>
        <w:rPr/>
        <w:pict>
          <v:line style="position:absolute;mso-position-horizontal-relative:page;mso-position-vertical-relative:page;z-index:3232" from="298.170502pt,64.473pt" to="298.170502pt,812.819pt" stroked="true" strokeweight=".533pt" strokecolor="#231f20">
            <v:stroke dashstyle="solid"/>
            <w10:wrap type="none"/>
          </v:line>
        </w:pict>
      </w:r>
      <w:bookmarkStart w:name="_bookmark92" w:id="97"/>
      <w:bookmarkEnd w:id="97"/>
      <w:r>
        <w:rPr/>
      </w:r>
      <w:r>
        <w:rPr>
          <w:color w:val="231F20"/>
        </w:rPr>
        <w:t>TITRE 3. Des titres et de leur transfert. CHAPITRE 1</w:t>
      </w:r>
      <w:r>
        <w:rPr>
          <w:color w:val="231F20"/>
          <w:position w:val="7"/>
          <w:sz w:val="11"/>
        </w:rPr>
        <w:t>er</w:t>
      </w:r>
      <w:r>
        <w:rPr>
          <w:color w:val="231F20"/>
        </w:rPr>
        <w:t>. Dispositions générales.</w:t>
      </w:r>
    </w:p>
    <w:p>
      <w:pPr>
        <w:pStyle w:val="BodyText"/>
        <w:spacing w:line="218" w:lineRule="auto" w:before="29"/>
        <w:ind w:right="38"/>
      </w:pPr>
      <w:r>
        <w:rPr>
          <w:color w:val="231F20"/>
        </w:rPr>
        <w:t>Art. 5:18. Une société à responsabilité limitée peut émettre tous les titres qui ne sont pas interdits par la loi ou en vertu de celle-ci.</w:t>
      </w:r>
    </w:p>
    <w:p>
      <w:pPr>
        <w:pStyle w:val="BodyText"/>
        <w:spacing w:line="218" w:lineRule="auto" w:before="96"/>
        <w:ind w:right="38"/>
      </w:pPr>
      <w:r>
        <w:rPr>
          <w:color w:val="231F20"/>
        </w:rPr>
        <w:t>Sans préjudice de la </w:t>
      </w:r>
      <w:r>
        <w:rPr>
          <w:color w:val="231F20"/>
          <w:spacing w:val="3"/>
        </w:rPr>
        <w:t>société </w:t>
      </w:r>
      <w:r>
        <w:rPr>
          <w:color w:val="231F20"/>
        </w:rPr>
        <w:t>à responsabilité limitée cotée, qui peut également émettre des actions dématérialisées si les statuts le permet- tent, les actions qu’une société à responsabilité limitée émet sont nominatives. Les autres titres émis par une société à</w:t>
      </w:r>
      <w:r>
        <w:rPr>
          <w:color w:val="231F20"/>
          <w:spacing w:val="31"/>
        </w:rPr>
        <w:t> </w:t>
      </w:r>
      <w:r>
        <w:rPr>
          <w:color w:val="231F20"/>
        </w:rPr>
        <w:t>responsabilité limitée sont nominatifs ou, si les statuts le permettent, dématérialisés. Les obligations émises exclusivement à l’étranger et régies par un droit étranger, peuvent cependant prendre la forme de titres individuels ou collectifs au porteur. Ces obligations au porteur ne peuvent toutefois pas être délivrées physiquement en Belgique. Les propriétaires de ces obligations au porteur peuvent, à tout moment, en demander la conversion,</w:t>
      </w:r>
      <w:r>
        <w:rPr>
          <w:color w:val="231F20"/>
          <w:spacing w:val="15"/>
        </w:rPr>
        <w:t> </w:t>
      </w:r>
      <w:r>
        <w:rPr>
          <w:color w:val="231F20"/>
        </w:rPr>
        <w:t>à</w:t>
      </w:r>
      <w:r>
        <w:rPr>
          <w:color w:val="231F20"/>
          <w:spacing w:val="15"/>
        </w:rPr>
        <w:t> </w:t>
      </w:r>
      <w:r>
        <w:rPr>
          <w:color w:val="231F20"/>
        </w:rPr>
        <w:t>leurs</w:t>
      </w:r>
      <w:r>
        <w:rPr>
          <w:color w:val="231F20"/>
          <w:spacing w:val="15"/>
        </w:rPr>
        <w:t> </w:t>
      </w:r>
      <w:r>
        <w:rPr>
          <w:color w:val="231F20"/>
        </w:rPr>
        <w:t>frais,</w:t>
      </w:r>
      <w:r>
        <w:rPr>
          <w:color w:val="231F20"/>
          <w:spacing w:val="15"/>
        </w:rPr>
        <w:t> </w:t>
      </w:r>
      <w:r>
        <w:rPr>
          <w:color w:val="231F20"/>
        </w:rPr>
        <w:t>en</w:t>
      </w:r>
      <w:r>
        <w:rPr>
          <w:color w:val="231F20"/>
          <w:spacing w:val="16"/>
        </w:rPr>
        <w:t> </w:t>
      </w:r>
      <w:r>
        <w:rPr>
          <w:color w:val="231F20"/>
        </w:rPr>
        <w:t>obligations</w:t>
      </w:r>
      <w:r>
        <w:rPr>
          <w:color w:val="231F20"/>
          <w:spacing w:val="15"/>
        </w:rPr>
        <w:t> </w:t>
      </w:r>
      <w:r>
        <w:rPr>
          <w:color w:val="231F20"/>
        </w:rPr>
        <w:t>nominatives.</w:t>
      </w:r>
    </w:p>
    <w:p>
      <w:pPr>
        <w:pStyle w:val="BodyText"/>
        <w:spacing w:line="218" w:lineRule="auto" w:before="97"/>
        <w:ind w:right="38"/>
      </w:pPr>
      <w:r>
        <w:rPr>
          <w:color w:val="231F20"/>
        </w:rPr>
        <w:t>Art. 5:19. Les propriétaires de titres dématérialisés peuvent, à tout moment, en demander la conversion, à leurs frais, en titres nominatifs.</w:t>
      </w:r>
    </w:p>
    <w:p>
      <w:pPr>
        <w:pStyle w:val="BodyText"/>
        <w:spacing w:before="11"/>
        <w:ind w:left="0" w:right="0" w:firstLine="0"/>
        <w:jc w:val="left"/>
        <w:rPr>
          <w:sz w:val="23"/>
        </w:rPr>
      </w:pPr>
    </w:p>
    <w:p>
      <w:pPr>
        <w:pStyle w:val="BodyText"/>
        <w:spacing w:line="218" w:lineRule="auto"/>
        <w:ind w:right="38"/>
      </w:pPr>
      <w:r>
        <w:rPr>
          <w:color w:val="231F20"/>
        </w:rPr>
        <w:t>Art. 5:20. Si plusieurs personnes ont des droits réels sur une même action, la société peut suspendre l’exercice du droit de vote, jusqu’à ce qu’une seule personne ait été désignée comme titulaire à son égard du droit de vote.</w:t>
      </w:r>
    </w:p>
    <w:p>
      <w:pPr>
        <w:pStyle w:val="BodyText"/>
        <w:spacing w:line="218" w:lineRule="auto" w:before="96"/>
        <w:ind w:right="38"/>
      </w:pPr>
      <w:r>
        <w:rPr>
          <w:color w:val="231F20"/>
        </w:rPr>
        <w:t>Art. 5:21. En cas de décès de l’actionnaire unique, sauf disposition statutaire contraire, les droits afférents aux actions sont exercés par les héritiers et légataires régulièrement saisis ou envoyés en possession, proportionnellement à leurs droits dans la succession, jusqu’au jour du partage desdites actions ou jusqu’à la délivrance des legs portant sur celles-ci.</w:t>
      </w:r>
    </w:p>
    <w:p>
      <w:pPr>
        <w:pStyle w:val="BodyText"/>
        <w:ind w:left="0" w:right="0" w:firstLine="0"/>
        <w:jc w:val="left"/>
        <w:rPr>
          <w:sz w:val="24"/>
        </w:rPr>
      </w:pPr>
    </w:p>
    <w:p>
      <w:pPr>
        <w:pStyle w:val="BodyText"/>
        <w:spacing w:line="218" w:lineRule="auto"/>
        <w:ind w:right="38"/>
      </w:pPr>
      <w:r>
        <w:rPr>
          <w:color w:val="231F20"/>
        </w:rPr>
        <w:t>Art. 5:22. Par dérogation aux articles 5:20 et 5:21 et sauf disposition statutaire, testamentaire ou conventionnelle contraire, l’usufruitier de titres exerce tous les droits attachés à ceux-ci.</w:t>
      </w:r>
    </w:p>
    <w:p>
      <w:pPr>
        <w:pStyle w:val="BodyText"/>
        <w:spacing w:before="8"/>
        <w:ind w:left="0" w:right="0" w:firstLine="0"/>
        <w:jc w:val="left"/>
        <w:rPr>
          <w:sz w:val="22"/>
        </w:rPr>
      </w:pPr>
    </w:p>
    <w:p>
      <w:pPr>
        <w:pStyle w:val="BodyText"/>
        <w:spacing w:line="319" w:lineRule="auto"/>
        <w:ind w:left="283" w:right="2109" w:firstLine="0"/>
        <w:jc w:val="left"/>
      </w:pPr>
      <w:r>
        <w:rPr>
          <w:color w:val="231F20"/>
        </w:rPr>
        <w:t>CHAPITRE 2. De la forme des titres. Section 1</w:t>
      </w:r>
      <w:r>
        <w:rPr>
          <w:color w:val="231F20"/>
          <w:position w:val="7"/>
          <w:sz w:val="11"/>
        </w:rPr>
        <w:t>re</w:t>
      </w:r>
      <w:r>
        <w:rPr>
          <w:color w:val="231F20"/>
        </w:rPr>
        <w:t>. Titres nominatifs.</w:t>
      </w:r>
    </w:p>
    <w:p>
      <w:pPr>
        <w:pStyle w:val="BodyText"/>
        <w:spacing w:line="218" w:lineRule="auto" w:before="29"/>
        <w:ind w:right="38"/>
      </w:pPr>
      <w:r>
        <w:rPr>
          <w:color w:val="231F20"/>
        </w:rPr>
        <w:t>Art. 5:23. Le titre nominatif est représenté par une inscription dans</w:t>
      </w:r>
      <w:r>
        <w:rPr>
          <w:color w:val="231F20"/>
          <w:spacing w:val="-18"/>
        </w:rPr>
        <w:t> </w:t>
      </w:r>
      <w:r>
        <w:rPr>
          <w:color w:val="231F20"/>
        </w:rPr>
        <w:t>le registre pertinent </w:t>
      </w:r>
      <w:r>
        <w:rPr>
          <w:color w:val="231F20"/>
          <w:spacing w:val="2"/>
        </w:rPr>
        <w:t>visé </w:t>
      </w:r>
      <w:r>
        <w:rPr>
          <w:color w:val="231F20"/>
        </w:rPr>
        <w:t>à l’article 5:24. Ce titre peut aussi être établi par la</w:t>
      </w:r>
      <w:r>
        <w:rPr>
          <w:color w:val="231F20"/>
          <w:spacing w:val="15"/>
        </w:rPr>
        <w:t> </w:t>
      </w:r>
      <w:r>
        <w:rPr>
          <w:color w:val="231F20"/>
        </w:rPr>
        <w:t>mention</w:t>
      </w:r>
      <w:r>
        <w:rPr>
          <w:color w:val="231F20"/>
          <w:spacing w:val="16"/>
        </w:rPr>
        <w:t> </w:t>
      </w:r>
      <w:r>
        <w:rPr>
          <w:color w:val="231F20"/>
        </w:rPr>
        <w:t>du</w:t>
      </w:r>
      <w:r>
        <w:rPr>
          <w:color w:val="231F20"/>
          <w:spacing w:val="15"/>
        </w:rPr>
        <w:t> </w:t>
      </w:r>
      <w:r>
        <w:rPr>
          <w:color w:val="231F20"/>
        </w:rPr>
        <w:t>nom</w:t>
      </w:r>
      <w:r>
        <w:rPr>
          <w:color w:val="231F20"/>
          <w:spacing w:val="16"/>
        </w:rPr>
        <w:t> </w:t>
      </w:r>
      <w:r>
        <w:rPr>
          <w:color w:val="231F20"/>
        </w:rPr>
        <w:t>de</w:t>
      </w:r>
      <w:r>
        <w:rPr>
          <w:color w:val="231F20"/>
          <w:spacing w:val="16"/>
        </w:rPr>
        <w:t> </w:t>
      </w:r>
      <w:r>
        <w:rPr>
          <w:color w:val="231F20"/>
        </w:rPr>
        <w:t>son</w:t>
      </w:r>
      <w:r>
        <w:rPr>
          <w:color w:val="231F20"/>
          <w:spacing w:val="15"/>
        </w:rPr>
        <w:t> </w:t>
      </w:r>
      <w:r>
        <w:rPr>
          <w:color w:val="231F20"/>
        </w:rPr>
        <w:t>titulaire</w:t>
      </w:r>
      <w:r>
        <w:rPr>
          <w:color w:val="231F20"/>
          <w:spacing w:val="16"/>
        </w:rPr>
        <w:t> </w:t>
      </w:r>
      <w:r>
        <w:rPr>
          <w:color w:val="231F20"/>
        </w:rPr>
        <w:t>dans</w:t>
      </w:r>
      <w:r>
        <w:rPr>
          <w:color w:val="231F20"/>
          <w:spacing w:val="16"/>
        </w:rPr>
        <w:t> </w:t>
      </w:r>
      <w:r>
        <w:rPr>
          <w:color w:val="231F20"/>
        </w:rPr>
        <w:t>l</w:t>
      </w:r>
      <w:r>
        <w:rPr>
          <w:b/>
          <w:i/>
          <w:color w:val="231F20"/>
        </w:rPr>
        <w:t>’</w:t>
      </w:r>
      <w:r>
        <w:rPr>
          <w:color w:val="231F20"/>
        </w:rPr>
        <w:t>acte</w:t>
      </w:r>
      <w:r>
        <w:rPr>
          <w:color w:val="231F20"/>
          <w:spacing w:val="15"/>
        </w:rPr>
        <w:t> </w:t>
      </w:r>
      <w:r>
        <w:rPr>
          <w:color w:val="231F20"/>
        </w:rPr>
        <w:t>d’émission.</w:t>
      </w:r>
    </w:p>
    <w:p>
      <w:pPr>
        <w:pStyle w:val="BodyText"/>
        <w:spacing w:before="10"/>
        <w:ind w:left="0" w:right="0" w:firstLine="0"/>
        <w:jc w:val="left"/>
        <w:rPr>
          <w:sz w:val="23"/>
        </w:rPr>
      </w:pPr>
    </w:p>
    <w:p>
      <w:pPr>
        <w:pStyle w:val="BodyText"/>
        <w:spacing w:line="218" w:lineRule="auto"/>
        <w:ind w:right="38"/>
      </w:pPr>
      <w:r>
        <w:rPr>
          <w:color w:val="231F20"/>
        </w:rPr>
        <w:t>Art. 5:24. La société tient à son siège un registre pour chaque catégorie de titres nominatifs que la société a émis. Nonobstant toute disposition contraire, les titulaires de titres peuvent prendre connais- sance de l’intégralité du registre concernant leur catégorie de titres. L’organe d’administration peut décider que le registre sera tenu sous la forme électronique. Le Roi peut déterminer les conditions auxquelles le registre électronique doit satisfaire.</w:t>
      </w:r>
    </w:p>
    <w:p>
      <w:pPr>
        <w:pStyle w:val="BodyText"/>
        <w:spacing w:before="9"/>
        <w:ind w:left="0" w:right="0" w:firstLine="0"/>
        <w:jc w:val="left"/>
        <w:rPr>
          <w:sz w:val="22"/>
        </w:rPr>
      </w:pPr>
    </w:p>
    <w:p>
      <w:pPr>
        <w:pStyle w:val="BodyText"/>
        <w:ind w:left="283" w:right="0" w:firstLine="0"/>
        <w:jc w:val="left"/>
      </w:pPr>
      <w:r>
        <w:rPr>
          <w:color w:val="231F20"/>
        </w:rPr>
        <w:t>Art. 5:25. Le registre des actions nominatives mentionne:</w:t>
      </w:r>
    </w:p>
    <w:p>
      <w:pPr>
        <w:pStyle w:val="BodyText"/>
        <w:spacing w:line="218" w:lineRule="auto" w:before="92"/>
        <w:ind w:right="38"/>
      </w:pPr>
      <w:r>
        <w:rPr>
          <w:color w:val="231F20"/>
        </w:rPr>
        <w:t>1° le nombre total des actions émises par la société et, le cas échéant, le nombre total par classe;</w:t>
      </w:r>
    </w:p>
    <w:p>
      <w:pPr>
        <w:pStyle w:val="BodyText"/>
        <w:spacing w:line="211" w:lineRule="auto" w:before="112"/>
        <w:ind w:right="38"/>
      </w:pPr>
      <w:r>
        <w:rPr>
          <w:color w:val="231F20"/>
        </w:rPr>
        <w:t>2° pour les personnes physiques, le nom et le domicile et pour les personnes morales, la dénomination, le siège et le numéro d’immatri- culation</w:t>
      </w:r>
      <w:r>
        <w:rPr>
          <w:color w:val="231F20"/>
          <w:spacing w:val="10"/>
        </w:rPr>
        <w:t> </w:t>
      </w:r>
      <w:r>
        <w:rPr>
          <w:color w:val="231F20"/>
          <w:spacing w:val="3"/>
        </w:rPr>
        <w:t>visé</w:t>
      </w:r>
      <w:r>
        <w:rPr>
          <w:color w:val="231F20"/>
          <w:spacing w:val="-4"/>
        </w:rPr>
        <w:t> </w:t>
      </w:r>
      <w:r>
        <w:rPr>
          <w:color w:val="231F20"/>
        </w:rPr>
        <w:t>à</w:t>
      </w:r>
      <w:r>
        <w:rPr>
          <w:color w:val="231F20"/>
          <w:spacing w:val="10"/>
        </w:rPr>
        <w:t> </w:t>
      </w:r>
      <w:r>
        <w:rPr>
          <w:color w:val="231F20"/>
        </w:rPr>
        <w:t>l’article</w:t>
      </w:r>
      <w:r>
        <w:rPr>
          <w:color w:val="231F20"/>
          <w:spacing w:val="11"/>
        </w:rPr>
        <w:t> </w:t>
      </w:r>
      <w:r>
        <w:rPr>
          <w:color w:val="231F20"/>
        </w:rPr>
        <w:t>2:24,</w:t>
      </w:r>
      <w:r>
        <w:rPr>
          <w:color w:val="231F20"/>
          <w:spacing w:val="10"/>
        </w:rPr>
        <w:t> </w:t>
      </w:r>
      <w:r>
        <w:rPr>
          <w:color w:val="231F20"/>
        </w:rPr>
        <w:t>§</w:t>
      </w:r>
      <w:r>
        <w:rPr>
          <w:color w:val="231F20"/>
          <w:spacing w:val="10"/>
        </w:rPr>
        <w:t> </w:t>
      </w:r>
      <w:r>
        <w:rPr>
          <w:color w:val="231F20"/>
        </w:rPr>
        <w:t>1</w:t>
      </w:r>
      <w:r>
        <w:rPr>
          <w:color w:val="231F20"/>
          <w:position w:val="7"/>
          <w:sz w:val="11"/>
        </w:rPr>
        <w:t>er</w:t>
      </w:r>
      <w:r>
        <w:rPr>
          <w:color w:val="231F20"/>
        </w:rPr>
        <w:t>,</w:t>
      </w:r>
      <w:r>
        <w:rPr>
          <w:color w:val="231F20"/>
          <w:spacing w:val="10"/>
        </w:rPr>
        <w:t> </w:t>
      </w:r>
      <w:r>
        <w:rPr>
          <w:color w:val="231F20"/>
        </w:rPr>
        <w:t>3°,</w:t>
      </w:r>
      <w:r>
        <w:rPr>
          <w:color w:val="231F20"/>
          <w:spacing w:val="10"/>
        </w:rPr>
        <w:t> </w:t>
      </w:r>
      <w:r>
        <w:rPr>
          <w:color w:val="231F20"/>
        </w:rPr>
        <w:t>et</w:t>
      </w:r>
      <w:r>
        <w:rPr>
          <w:color w:val="231F20"/>
          <w:spacing w:val="11"/>
        </w:rPr>
        <w:t> </w:t>
      </w:r>
      <w:r>
        <w:rPr>
          <w:color w:val="231F20"/>
        </w:rPr>
        <w:t>§</w:t>
      </w:r>
      <w:r>
        <w:rPr>
          <w:color w:val="231F20"/>
          <w:spacing w:val="10"/>
        </w:rPr>
        <w:t> </w:t>
      </w:r>
      <w:r>
        <w:rPr>
          <w:color w:val="231F20"/>
        </w:rPr>
        <w:t>2,</w:t>
      </w:r>
      <w:r>
        <w:rPr>
          <w:color w:val="231F20"/>
          <w:spacing w:val="10"/>
        </w:rPr>
        <w:t> </w:t>
      </w:r>
      <w:r>
        <w:rPr>
          <w:color w:val="231F20"/>
        </w:rPr>
        <w:t>3°,</w:t>
      </w:r>
      <w:r>
        <w:rPr>
          <w:color w:val="231F20"/>
          <w:spacing w:val="10"/>
        </w:rPr>
        <w:t> </w:t>
      </w:r>
      <w:r>
        <w:rPr>
          <w:color w:val="231F20"/>
        </w:rPr>
        <w:t>de</w:t>
      </w:r>
      <w:r>
        <w:rPr>
          <w:color w:val="231F20"/>
          <w:spacing w:val="10"/>
        </w:rPr>
        <w:t> </w:t>
      </w:r>
      <w:r>
        <w:rPr>
          <w:color w:val="231F20"/>
        </w:rPr>
        <w:t>chaque</w:t>
      </w:r>
      <w:r>
        <w:rPr>
          <w:color w:val="231F20"/>
          <w:spacing w:val="11"/>
        </w:rPr>
        <w:t> </w:t>
      </w:r>
      <w:r>
        <w:rPr>
          <w:color w:val="231F20"/>
        </w:rPr>
        <w:t>actionnaire;</w:t>
      </w:r>
    </w:p>
    <w:p>
      <w:pPr>
        <w:pStyle w:val="BodyText"/>
        <w:spacing w:before="90"/>
        <w:ind w:left="283" w:right="0" w:firstLine="0"/>
        <w:jc w:val="left"/>
      </w:pPr>
      <w:r>
        <w:rPr>
          <w:color w:val="231F20"/>
        </w:rPr>
        <w:t>3° le nombre d’actions détenues par chaque actionnaire et leur</w:t>
      </w:r>
      <w:r>
        <w:rPr>
          <w:color w:val="231F20"/>
          <w:spacing w:val="-18"/>
        </w:rPr>
        <w:t> </w:t>
      </w:r>
      <w:r>
        <w:rPr>
          <w:color w:val="231F20"/>
        </w:rPr>
        <w:t>classe;</w:t>
      </w:r>
    </w:p>
    <w:p>
      <w:pPr>
        <w:pStyle w:val="BodyText"/>
        <w:spacing w:before="4"/>
        <w:ind w:left="0" w:right="0" w:firstLine="0"/>
        <w:jc w:val="left"/>
        <w:rPr>
          <w:sz w:val="23"/>
        </w:rPr>
      </w:pPr>
    </w:p>
    <w:p>
      <w:pPr>
        <w:pStyle w:val="BodyText"/>
        <w:ind w:left="283" w:right="0" w:firstLine="0"/>
        <w:jc w:val="left"/>
      </w:pPr>
      <w:r>
        <w:rPr>
          <w:color w:val="231F20"/>
        </w:rPr>
        <w:t>4° les versements faits sur chaque action;</w:t>
      </w:r>
    </w:p>
    <w:p>
      <w:pPr>
        <w:pStyle w:val="BodyText"/>
        <w:spacing w:line="218" w:lineRule="auto" w:before="103"/>
        <w:ind w:right="38"/>
      </w:pPr>
      <w:r>
        <w:rPr>
          <w:color w:val="231F20"/>
        </w:rPr>
        <w:t>5° les restrictions relatives à la cessibilité résultant des statuts et, lorsqu’une des parties le demande, les restrictions relatives à la cessibilité des actions résultant de conventions ou des conditions d’émission;</w:t>
      </w:r>
    </w:p>
    <w:p>
      <w:pPr>
        <w:pStyle w:val="BodyText"/>
        <w:spacing w:line="218" w:lineRule="auto" w:before="107"/>
        <w:ind w:right="38"/>
      </w:pPr>
      <w:r>
        <w:rPr>
          <w:color w:val="231F20"/>
        </w:rPr>
        <w:t>6° les transferts d’actions avec  leur  date,  conformément  à  l’arti-  cle 5:61. Si le registre est tenu sous forme électronique, la déclaration</w:t>
      </w:r>
      <w:r>
        <w:rPr>
          <w:color w:val="231F20"/>
          <w:spacing w:val="-24"/>
        </w:rPr>
        <w:t> </w:t>
      </w:r>
      <w:r>
        <w:rPr>
          <w:color w:val="231F20"/>
        </w:rPr>
        <w:t>de cession peut adopter une forme électronique et être signée par un ensemble de données électroniques pouvant être imputé à une personne déterminée et établissant le maintien de l’intégrité du</w:t>
      </w:r>
      <w:r>
        <w:rPr>
          <w:color w:val="231F20"/>
          <w:spacing w:val="-29"/>
        </w:rPr>
        <w:t> </w:t>
      </w:r>
      <w:r>
        <w:rPr>
          <w:color w:val="231F20"/>
        </w:rPr>
        <w:t>contenu de</w:t>
      </w:r>
      <w:r>
        <w:rPr>
          <w:color w:val="231F20"/>
          <w:spacing w:val="15"/>
        </w:rPr>
        <w:t> </w:t>
      </w:r>
      <w:r>
        <w:rPr>
          <w:color w:val="231F20"/>
        </w:rPr>
        <w:t>l’acte.</w:t>
      </w:r>
    </w:p>
    <w:p>
      <w:pPr>
        <w:pStyle w:val="BodyText"/>
        <w:spacing w:before="10"/>
        <w:ind w:left="0" w:right="0" w:firstLine="0"/>
        <w:jc w:val="left"/>
        <w:rPr>
          <w:sz w:val="24"/>
        </w:rPr>
      </w:pPr>
    </w:p>
    <w:p>
      <w:pPr>
        <w:pStyle w:val="BodyText"/>
        <w:spacing w:line="218" w:lineRule="auto" w:before="1"/>
        <w:ind w:right="38"/>
      </w:pPr>
      <w:r>
        <w:rPr>
          <w:color w:val="231F20"/>
        </w:rPr>
        <w:t>7° les droits de vote et les droits aux bénéfices attachés à chaque action, ainsi que leur part dans le solde de liquidation si celle-ci diverge des droits aux bénéfices.</w:t>
      </w:r>
    </w:p>
    <w:p>
      <w:pPr>
        <w:pStyle w:val="BodyText"/>
        <w:spacing w:line="218" w:lineRule="auto" w:before="106"/>
        <w:ind w:right="38"/>
      </w:pPr>
      <w:r>
        <w:rPr>
          <w:color w:val="231F20"/>
        </w:rPr>
        <w:t>En cas de contradiction entre les statuts et le registre des actions, les statuts prévalent, sauf si ceux-ci n’ont pas encore été adaptés après une émission d’actions par l’organe d’administration par application de l’article 5:137, § 2.</w:t>
      </w:r>
    </w:p>
    <w:p>
      <w:pPr>
        <w:pStyle w:val="BodyText"/>
        <w:spacing w:line="338" w:lineRule="auto" w:before="105"/>
        <w:ind w:left="283" w:right="1017" w:firstLine="0"/>
        <w:jc w:val="left"/>
      </w:pPr>
      <w:r>
        <w:rPr/>
        <w:br w:type="column"/>
      </w:r>
      <w:r>
        <w:rPr>
          <w:color w:val="231F20"/>
        </w:rPr>
        <w:t>TITEL 3. Effecten en hun overdracht en overgang. HOOFDSTUK 1. Algemene bepalingen.</w:t>
      </w:r>
    </w:p>
    <w:p>
      <w:pPr>
        <w:pStyle w:val="BodyText"/>
        <w:spacing w:line="218" w:lineRule="auto" w:before="13"/>
      </w:pPr>
      <w:r>
        <w:rPr>
          <w:color w:val="231F20"/>
        </w:rPr>
        <w:t>Art. 5:18. Een besloten vennootschap kan alle effecten uitgeven die niet door of krachtens de wet zijn verboden.</w:t>
      </w:r>
    </w:p>
    <w:p>
      <w:pPr>
        <w:pStyle w:val="BodyText"/>
        <w:spacing w:line="218" w:lineRule="auto" w:before="96"/>
      </w:pPr>
      <w:r>
        <w:rPr>
          <w:color w:val="231F20"/>
        </w:rPr>
        <w:t>Onverminderd de genoteerde besloten vennootschap die ook gede- materialiseerde aandelen mag uitgeven, indien de statuten dit toelaten, zijn de aandelen die een besloten vennootschap uitgeeft op naam. De andere effecten die een besloten vennootschap uitgeeft zijn op naam of, indien de statuten dit toelaten, gedematerialiseerd. Obligaties die uitsluitend in het buitenland worden uitgegeven en die worden beheerst door een buitenlands recht kunnen evenwel de vorm aanne- men van individuele of verzameleffecten aan toonder. Deze obligaties aan toonder mogen evenwel niet fysiek worden afgeleverd in België.   De eigenaars van deze obligaties aan toonder kunnen te allen tijde vragen</w:t>
      </w:r>
      <w:r>
        <w:rPr>
          <w:color w:val="231F20"/>
          <w:spacing w:val="11"/>
        </w:rPr>
        <w:t> </w:t>
      </w:r>
      <w:r>
        <w:rPr>
          <w:color w:val="231F20"/>
        </w:rPr>
        <w:t>dat</w:t>
      </w:r>
      <w:r>
        <w:rPr>
          <w:color w:val="231F20"/>
          <w:spacing w:val="12"/>
        </w:rPr>
        <w:t> </w:t>
      </w:r>
      <w:r>
        <w:rPr>
          <w:color w:val="231F20"/>
        </w:rPr>
        <w:t>deze</w:t>
      </w:r>
      <w:r>
        <w:rPr>
          <w:color w:val="231F20"/>
          <w:spacing w:val="11"/>
        </w:rPr>
        <w:t> </w:t>
      </w:r>
      <w:r>
        <w:rPr>
          <w:color w:val="231F20"/>
        </w:rPr>
        <w:t>op</w:t>
      </w:r>
      <w:r>
        <w:rPr>
          <w:color w:val="231F20"/>
          <w:spacing w:val="12"/>
        </w:rPr>
        <w:t> </w:t>
      </w:r>
      <w:r>
        <w:rPr>
          <w:color w:val="231F20"/>
        </w:rPr>
        <w:t>hun</w:t>
      </w:r>
      <w:r>
        <w:rPr>
          <w:color w:val="231F20"/>
          <w:spacing w:val="11"/>
        </w:rPr>
        <w:t> </w:t>
      </w:r>
      <w:r>
        <w:rPr>
          <w:color w:val="231F20"/>
        </w:rPr>
        <w:t>kosten</w:t>
      </w:r>
      <w:r>
        <w:rPr>
          <w:color w:val="231F20"/>
          <w:spacing w:val="12"/>
        </w:rPr>
        <w:t> </w:t>
      </w:r>
      <w:r>
        <w:rPr>
          <w:color w:val="231F20"/>
        </w:rPr>
        <w:t>worden</w:t>
      </w:r>
      <w:r>
        <w:rPr>
          <w:color w:val="231F20"/>
          <w:spacing w:val="11"/>
        </w:rPr>
        <w:t> </w:t>
      </w:r>
      <w:r>
        <w:rPr>
          <w:color w:val="231F20"/>
        </w:rPr>
        <w:t>omgezet</w:t>
      </w:r>
      <w:r>
        <w:rPr>
          <w:color w:val="231F20"/>
          <w:spacing w:val="12"/>
        </w:rPr>
        <w:t> </w:t>
      </w:r>
      <w:r>
        <w:rPr>
          <w:color w:val="231F20"/>
        </w:rPr>
        <w:t>in</w:t>
      </w:r>
      <w:r>
        <w:rPr>
          <w:color w:val="231F20"/>
          <w:spacing w:val="11"/>
        </w:rPr>
        <w:t> </w:t>
      </w:r>
      <w:r>
        <w:rPr>
          <w:color w:val="231F20"/>
        </w:rPr>
        <w:t>obligaties</w:t>
      </w:r>
      <w:r>
        <w:rPr>
          <w:color w:val="231F20"/>
          <w:spacing w:val="12"/>
        </w:rPr>
        <w:t> </w:t>
      </w:r>
      <w:r>
        <w:rPr>
          <w:color w:val="231F20"/>
        </w:rPr>
        <w:t>op</w:t>
      </w:r>
      <w:r>
        <w:rPr>
          <w:color w:val="231F20"/>
          <w:spacing w:val="11"/>
        </w:rPr>
        <w:t> </w:t>
      </w:r>
      <w:r>
        <w:rPr>
          <w:color w:val="231F20"/>
        </w:rPr>
        <w:t>naam.</w:t>
      </w:r>
    </w:p>
    <w:p>
      <w:pPr>
        <w:pStyle w:val="BodyText"/>
        <w:spacing w:line="218" w:lineRule="auto" w:before="97"/>
      </w:pPr>
      <w:r>
        <w:rPr>
          <w:color w:val="231F20"/>
        </w:rPr>
        <w:t>Art. 5:19. De eigenaars van gedematerialiseerde effecten kunnen te allen tijde vragen dat deze op hun kosten worden omgezet in effecten op</w:t>
      </w:r>
      <w:r>
        <w:rPr>
          <w:color w:val="231F20"/>
          <w:spacing w:val="15"/>
        </w:rPr>
        <w:t> </w:t>
      </w:r>
      <w:r>
        <w:rPr>
          <w:color w:val="231F20"/>
        </w:rPr>
        <w:t>naam.</w:t>
      </w:r>
    </w:p>
    <w:p>
      <w:pPr>
        <w:pStyle w:val="BodyText"/>
        <w:spacing w:line="218" w:lineRule="auto" w:before="96"/>
      </w:pPr>
      <w:r>
        <w:rPr>
          <w:color w:val="231F20"/>
        </w:rPr>
        <w:t>Art. 5:20. Indien verscheidene personen zakelijke rechten hebben op eenzelfde aandeel, kan de vennootschap de uitoefening van het stemrecht schorsen totdat een enkele persoon ten aanzien van de vennootschap als houder van het stemrecht is aangewezen.</w:t>
      </w:r>
    </w:p>
    <w:p>
      <w:pPr>
        <w:pStyle w:val="BodyText"/>
        <w:spacing w:line="218" w:lineRule="auto" w:before="97"/>
      </w:pPr>
      <w:r>
        <w:rPr>
          <w:color w:val="231F20"/>
        </w:rPr>
        <w:t>Art. 5:21. In geval van overlijden van de enige aandeelhouder worden, tenzij de statuten anders bepalen, de aan de</w:t>
      </w:r>
      <w:r>
        <w:rPr>
          <w:color w:val="231F20"/>
          <w:spacing w:val="17"/>
        </w:rPr>
        <w:t> </w:t>
      </w:r>
      <w:r>
        <w:rPr>
          <w:color w:val="231F20"/>
        </w:rPr>
        <w:t>aandelen verbonden rechten uitgeoefend door de regelmatig in het bezit  getreden of in het bezit gestelde erfgenamen of legatarissen, naar evenredigheid van hun rechten in de nalatenschap, en dit tot op de dag van de verdeling van deze aandelen of tot de afgifte van de legaten met betrekking tot deze</w:t>
      </w:r>
      <w:r>
        <w:rPr>
          <w:color w:val="231F20"/>
          <w:spacing w:val="4"/>
        </w:rPr>
        <w:t> </w:t>
      </w:r>
      <w:r>
        <w:rPr>
          <w:color w:val="231F20"/>
        </w:rPr>
        <w:t>aandelen.</w:t>
      </w:r>
    </w:p>
    <w:p>
      <w:pPr>
        <w:pStyle w:val="BodyText"/>
        <w:spacing w:line="218" w:lineRule="auto" w:before="96"/>
      </w:pPr>
      <w:r>
        <w:rPr>
          <w:color w:val="231F20"/>
        </w:rPr>
        <w:t>Art. 5:22. In afwijking van de artikelen 5:20 en 5:21, en tenzij de statuten, een testament of een overeenkomst anders bepalen, oefent de vruchtgebruiker van effecten, alle aan die effecten verbonden rechten uit.</w:t>
      </w:r>
    </w:p>
    <w:p>
      <w:pPr>
        <w:pStyle w:val="BodyText"/>
        <w:spacing w:line="338" w:lineRule="auto" w:before="82"/>
        <w:ind w:left="283" w:right="2162" w:firstLine="0"/>
        <w:jc w:val="left"/>
      </w:pPr>
      <w:r>
        <w:rPr>
          <w:color w:val="231F20"/>
        </w:rPr>
        <w:t>HOOFDSTUK 2. De vorm van effecten. Afdeling 1. Effecten op naam.</w:t>
      </w:r>
    </w:p>
    <w:p>
      <w:pPr>
        <w:pStyle w:val="BodyText"/>
        <w:spacing w:line="218" w:lineRule="auto" w:before="13"/>
      </w:pPr>
      <w:r>
        <w:rPr>
          <w:color w:val="231F20"/>
        </w:rPr>
        <w:t>Art. 5:23. Het effect op naam wordt vertegenwoordigd door een inschrijving van het effect in het relevante in artikel 5:24 bedoelde effectenregister. Dit effect kan ook blijken uit de vermelding op naam van een houder in de uitgifteakte.</w:t>
      </w:r>
    </w:p>
    <w:p>
      <w:pPr>
        <w:pStyle w:val="BodyText"/>
        <w:spacing w:line="218" w:lineRule="auto" w:before="97"/>
      </w:pPr>
      <w:r>
        <w:rPr>
          <w:color w:val="231F20"/>
        </w:rPr>
        <w:t>Art. 5:24. Op de zetel van de vennootschap wordt een register gehouden voor elke categorie van effecten op naam die de vennoot- schap heeft uitgegeven. Niettegenstaande andersluidende bepaling kunnen de effectenhouders inzage krijgen van het volledige register dat betrekking heeft op hun categorie van effecten. Het bestuursorgaan kan beslissen dat het register wordt aangehouden in elektronische vorm. De Koning kan voorwaarden opleggen waaraan het elektronische register dient te voldoen.</w:t>
      </w:r>
    </w:p>
    <w:p>
      <w:pPr>
        <w:pStyle w:val="BodyText"/>
        <w:spacing w:before="82"/>
        <w:ind w:left="283" w:right="0" w:firstLine="0"/>
        <w:jc w:val="left"/>
      </w:pPr>
      <w:r>
        <w:rPr>
          <w:color w:val="231F20"/>
        </w:rPr>
        <w:t>Art. 5:25. Het register van aandelen op naam vermeldt:</w:t>
      </w:r>
    </w:p>
    <w:p>
      <w:pPr>
        <w:pStyle w:val="BodyText"/>
        <w:spacing w:line="218" w:lineRule="auto" w:before="93"/>
      </w:pPr>
      <w:r>
        <w:rPr>
          <w:color w:val="231F20"/>
        </w:rPr>
        <w:t>1° het totale aantal door de vennootschap uitgegeven aandelen en, in voorkomend geval, het totale aantal per soort;</w:t>
      </w:r>
    </w:p>
    <w:p>
      <w:pPr>
        <w:pStyle w:val="BodyText"/>
        <w:spacing w:line="218" w:lineRule="auto" w:before="107"/>
      </w:pPr>
      <w:r>
        <w:rPr>
          <w:color w:val="231F20"/>
        </w:rPr>
        <w:t>2° voor natuurlijke personen naam en woonplaats en voor rechtsper- sonen naam, zetel en identificatienummer bedoeld in artikel 2:24, § 1, 3°, en § 2, 3°, van elke aandeelhouder;</w:t>
      </w:r>
    </w:p>
    <w:p>
      <w:pPr>
        <w:pStyle w:val="BodyText"/>
        <w:spacing w:line="218" w:lineRule="auto" w:before="107"/>
      </w:pPr>
      <w:r>
        <w:rPr>
          <w:color w:val="231F20"/>
        </w:rPr>
        <w:t>3° het aantal aandelen dat elke aandeelhouder aanhoudt en de soort waartoe die aandelen behoren;</w:t>
      </w:r>
    </w:p>
    <w:p>
      <w:pPr>
        <w:pStyle w:val="BodyText"/>
        <w:spacing w:before="92"/>
        <w:ind w:left="283" w:right="0" w:firstLine="0"/>
        <w:jc w:val="left"/>
      </w:pPr>
      <w:r>
        <w:rPr>
          <w:color w:val="231F20"/>
        </w:rPr>
        <w:t>4° de op elk aandeel gedane stortingen;</w:t>
      </w:r>
    </w:p>
    <w:p>
      <w:pPr>
        <w:pStyle w:val="BodyText"/>
        <w:spacing w:line="218" w:lineRule="auto" w:before="104"/>
      </w:pPr>
      <w:r>
        <w:rPr>
          <w:color w:val="231F20"/>
        </w:rPr>
        <w:t>5° de statutaire overdrachtsbeperkingen, en, wanneer één van de partijen daarom verzoekt, de overdrachtsbeperkingen die voortvloeien uit overeenkomsten of uit de uitgiftevoorwaarden;</w:t>
      </w:r>
    </w:p>
    <w:p>
      <w:pPr>
        <w:pStyle w:val="BodyText"/>
        <w:spacing w:before="9"/>
        <w:ind w:left="0" w:right="0" w:firstLine="0"/>
        <w:jc w:val="left"/>
        <w:rPr>
          <w:sz w:val="24"/>
        </w:rPr>
      </w:pPr>
    </w:p>
    <w:p>
      <w:pPr>
        <w:pStyle w:val="BodyText"/>
        <w:spacing w:line="218" w:lineRule="auto" w:before="1"/>
      </w:pPr>
      <w:r>
        <w:rPr>
          <w:color w:val="231F20"/>
        </w:rPr>
        <w:t>6° de overdrachten en de overgangen van aandelen met hun datum, overeenkomstig artikel 5:61. Indien het register in elektronische vorm wordt aangehouden, kan de verklaring van overdracht een elektroni- sche vorm aannemen en worden ondertekend door middel van een geheel van elektronische gegevens dat aan een bepaalde persoon kan worden toegerekend en het behoud van de integriteit van de inhoud van de akte</w:t>
      </w:r>
      <w:r>
        <w:rPr>
          <w:color w:val="231F20"/>
          <w:spacing w:val="4"/>
        </w:rPr>
        <w:t> </w:t>
      </w:r>
      <w:r>
        <w:rPr>
          <w:color w:val="231F20"/>
        </w:rPr>
        <w:t>aantoont.</w:t>
      </w:r>
    </w:p>
    <w:p>
      <w:pPr>
        <w:pStyle w:val="BodyText"/>
        <w:spacing w:line="218" w:lineRule="auto" w:before="107"/>
      </w:pPr>
      <w:r>
        <w:rPr>
          <w:color w:val="231F20"/>
        </w:rPr>
        <w:t>7° de aan elk aandeel verbonden stemrechten en winstrechten evenals hun aandeel in het vereffeningssaldo, indien dat afwijkt van hun</w:t>
      </w:r>
      <w:r>
        <w:rPr>
          <w:color w:val="231F20"/>
          <w:spacing w:val="15"/>
        </w:rPr>
        <w:t> </w:t>
      </w:r>
      <w:r>
        <w:rPr>
          <w:color w:val="231F20"/>
        </w:rPr>
        <w:t>winstrechten.</w:t>
      </w:r>
    </w:p>
    <w:p>
      <w:pPr>
        <w:pStyle w:val="BodyText"/>
        <w:spacing w:line="218" w:lineRule="auto" w:before="107"/>
        <w:ind w:right="123"/>
      </w:pPr>
      <w:r>
        <w:rPr>
          <w:color w:val="231F20"/>
        </w:rPr>
        <w:t>In geval van tegenstrijdigheid tussen de statuten en het aandelenre- gister, gelden de statuten, tenzij deze nog niet zijn aangepast na een uitgifte van aandelen door het bestuursorgaan in toepassing  van  artikel 5:137, §</w:t>
      </w:r>
      <w:r>
        <w:rPr>
          <w:color w:val="231F20"/>
          <w:spacing w:val="2"/>
        </w:rPr>
        <w:t> </w:t>
      </w:r>
      <w:r>
        <w:rPr>
          <w:color w:val="231F20"/>
        </w:rPr>
        <w:t>2.</w:t>
      </w:r>
    </w:p>
    <w:p>
      <w:pPr>
        <w:spacing w:after="0" w:line="218" w:lineRule="auto"/>
        <w:sectPr>
          <w:pgSz w:w="11940" w:h="16880"/>
          <w:pgMar w:header="666" w:footer="0" w:top="1140" w:bottom="280" w:left="340" w:right="360"/>
          <w:cols w:num="2" w:equalWidth="0">
            <w:col w:w="5527" w:space="101"/>
            <w:col w:w="5612"/>
          </w:cols>
        </w:sectPr>
      </w:pPr>
    </w:p>
    <w:p>
      <w:pPr>
        <w:pStyle w:val="BodyText"/>
        <w:spacing w:line="211" w:lineRule="auto" w:before="124"/>
        <w:ind w:right="38"/>
      </w:pPr>
      <w:r>
        <w:rPr/>
        <w:pict>
          <v:line style="position:absolute;mso-position-horizontal-relative:page;mso-position-vertical-relative:page;z-index:3256" from="298.170502pt,64.473pt" to="298.170502pt,812.819pt" stroked="true" strokeweight=".533pt" strokecolor="#231f20">
            <v:stroke dashstyle="solid"/>
            <w10:wrap type="none"/>
          </v:line>
        </w:pict>
      </w:r>
      <w:bookmarkStart w:name="_bookmark93" w:id="98"/>
      <w:bookmarkEnd w:id="98"/>
      <w:r>
        <w:rPr/>
      </w:r>
      <w:r>
        <w:rPr>
          <w:color w:val="231F20"/>
        </w:rPr>
        <w:t>Art. 5:26. La société tient à son siège un registre pour chaque catégorie de titres nominatifs  donnant  accès  à  des  actions.  L’arti-  cle 5:25 est applicable par analogie, à l’exception de l’alinéa 1</w:t>
      </w:r>
      <w:r>
        <w:rPr>
          <w:color w:val="231F20"/>
          <w:position w:val="7"/>
          <w:sz w:val="11"/>
        </w:rPr>
        <w:t>er</w:t>
      </w:r>
      <w:r>
        <w:rPr>
          <w:color w:val="231F20"/>
        </w:rPr>
        <w:t>, 4° et 7°.</w:t>
      </w:r>
    </w:p>
    <w:p>
      <w:pPr>
        <w:pStyle w:val="BodyText"/>
        <w:spacing w:before="6"/>
        <w:ind w:left="0" w:right="0" w:firstLine="0"/>
        <w:jc w:val="left"/>
        <w:rPr>
          <w:sz w:val="21"/>
        </w:rPr>
      </w:pPr>
    </w:p>
    <w:p>
      <w:pPr>
        <w:pStyle w:val="BodyText"/>
        <w:spacing w:before="1"/>
        <w:ind w:left="283" w:right="0" w:firstLine="0"/>
        <w:jc w:val="left"/>
      </w:pPr>
      <w:r>
        <w:rPr>
          <w:color w:val="231F20"/>
        </w:rPr>
        <w:t>Art. 5:27. Le registre des obligations nominatives mentionne:</w:t>
      </w:r>
    </w:p>
    <w:p>
      <w:pPr>
        <w:pStyle w:val="BodyText"/>
        <w:spacing w:line="218" w:lineRule="auto" w:before="82"/>
        <w:ind w:right="38"/>
      </w:pPr>
      <w:r>
        <w:rPr>
          <w:color w:val="231F20"/>
        </w:rPr>
        <w:t>1° la désignation précise de chaque obligataire et l’indication du montant des obligations lui appartenant;</w:t>
      </w:r>
    </w:p>
    <w:p>
      <w:pPr>
        <w:pStyle w:val="BodyText"/>
        <w:spacing w:line="218" w:lineRule="auto" w:before="96"/>
        <w:ind w:right="38"/>
      </w:pPr>
      <w:r>
        <w:rPr>
          <w:color w:val="231F20"/>
        </w:rPr>
        <w:t>2° les transferts d’obligations avec leur date et la conversion d’obligations nominatives en obligations dématérialisées ou inverse- ment, si les statuts l’autorisent;</w:t>
      </w:r>
    </w:p>
    <w:p>
      <w:pPr>
        <w:pStyle w:val="BodyText"/>
        <w:spacing w:line="218" w:lineRule="auto" w:before="96"/>
        <w:ind w:right="38"/>
      </w:pPr>
      <w:r>
        <w:rPr>
          <w:color w:val="231F20"/>
        </w:rPr>
        <w:t>3° les restrictions relatives à la cessibilité résultant des statuts ou, lorsqu’une des parties le demande, les restrictions relatives à la cessibilité résultant de conventions ou des conditions d’émission;</w:t>
      </w:r>
    </w:p>
    <w:p>
      <w:pPr>
        <w:pStyle w:val="BodyText"/>
        <w:spacing w:line="218" w:lineRule="auto" w:before="96"/>
        <w:ind w:right="38"/>
      </w:pPr>
      <w:r>
        <w:rPr>
          <w:color w:val="231F20"/>
        </w:rPr>
        <w:t>4° un renvoi au registre des titres nominatifs donnant accès à des actions si celui-ci comporte des obligations.</w:t>
      </w:r>
    </w:p>
    <w:p>
      <w:pPr>
        <w:pStyle w:val="BodyText"/>
        <w:spacing w:line="218" w:lineRule="auto" w:before="96"/>
        <w:ind w:right="38"/>
      </w:pPr>
      <w:r>
        <w:rPr>
          <w:color w:val="231F20"/>
        </w:rPr>
        <w:t>Art. 5:28. </w:t>
      </w:r>
      <w:r>
        <w:rPr>
          <w:color w:val="231F20"/>
          <w:spacing w:val="-3"/>
        </w:rPr>
        <w:t>L’organe </w:t>
      </w:r>
      <w:r>
        <w:rPr>
          <w:color w:val="231F20"/>
        </w:rPr>
        <w:t>d’administration peut décider de scinder un registre en deux parties, dont l’une est conservée au siège de la société et</w:t>
      </w:r>
      <w:r>
        <w:rPr>
          <w:color w:val="231F20"/>
          <w:spacing w:val="15"/>
        </w:rPr>
        <w:t> </w:t>
      </w:r>
      <w:r>
        <w:rPr>
          <w:color w:val="231F20"/>
        </w:rPr>
        <w:t>l’autre,</w:t>
      </w:r>
      <w:r>
        <w:rPr>
          <w:color w:val="231F20"/>
          <w:spacing w:val="16"/>
        </w:rPr>
        <w:t> </w:t>
      </w:r>
      <w:r>
        <w:rPr>
          <w:color w:val="231F20"/>
        </w:rPr>
        <w:t>en</w:t>
      </w:r>
      <w:r>
        <w:rPr>
          <w:color w:val="231F20"/>
          <w:spacing w:val="15"/>
        </w:rPr>
        <w:t> </w:t>
      </w:r>
      <w:r>
        <w:rPr>
          <w:color w:val="231F20"/>
        </w:rPr>
        <w:t>dehors</w:t>
      </w:r>
      <w:r>
        <w:rPr>
          <w:color w:val="231F20"/>
          <w:spacing w:val="16"/>
        </w:rPr>
        <w:t> </w:t>
      </w:r>
      <w:r>
        <w:rPr>
          <w:color w:val="231F20"/>
        </w:rPr>
        <w:t>du</w:t>
      </w:r>
      <w:r>
        <w:rPr>
          <w:color w:val="231F20"/>
          <w:spacing w:val="15"/>
        </w:rPr>
        <w:t> </w:t>
      </w:r>
      <w:r>
        <w:rPr>
          <w:color w:val="231F20"/>
        </w:rPr>
        <w:t>siège,</w:t>
      </w:r>
      <w:r>
        <w:rPr>
          <w:color w:val="231F20"/>
          <w:spacing w:val="16"/>
        </w:rPr>
        <w:t> </w:t>
      </w:r>
      <w:r>
        <w:rPr>
          <w:color w:val="231F20"/>
        </w:rPr>
        <w:t>en</w:t>
      </w:r>
      <w:r>
        <w:rPr>
          <w:color w:val="231F20"/>
          <w:spacing w:val="16"/>
        </w:rPr>
        <w:t> </w:t>
      </w:r>
      <w:r>
        <w:rPr>
          <w:color w:val="231F20"/>
        </w:rPr>
        <w:t>Belgique</w:t>
      </w:r>
      <w:r>
        <w:rPr>
          <w:color w:val="231F20"/>
          <w:spacing w:val="15"/>
        </w:rPr>
        <w:t> </w:t>
      </w:r>
      <w:r>
        <w:rPr>
          <w:color w:val="231F20"/>
        </w:rPr>
        <w:t>ou</w:t>
      </w:r>
      <w:r>
        <w:rPr>
          <w:color w:val="231F20"/>
          <w:spacing w:val="16"/>
        </w:rPr>
        <w:t> </w:t>
      </w:r>
      <w:r>
        <w:rPr>
          <w:color w:val="231F20"/>
        </w:rPr>
        <w:t>à</w:t>
      </w:r>
      <w:r>
        <w:rPr>
          <w:color w:val="231F20"/>
          <w:spacing w:val="15"/>
        </w:rPr>
        <w:t> </w:t>
      </w:r>
      <w:r>
        <w:rPr>
          <w:color w:val="231F20"/>
        </w:rPr>
        <w:t>l’étranger.</w:t>
      </w:r>
    </w:p>
    <w:p>
      <w:pPr>
        <w:pStyle w:val="BodyText"/>
        <w:spacing w:before="11"/>
        <w:ind w:left="0" w:right="0" w:firstLine="0"/>
        <w:jc w:val="left"/>
        <w:rPr>
          <w:sz w:val="23"/>
        </w:rPr>
      </w:pPr>
    </w:p>
    <w:p>
      <w:pPr>
        <w:pStyle w:val="BodyText"/>
        <w:spacing w:line="218" w:lineRule="auto"/>
        <w:ind w:right="38"/>
      </w:pPr>
      <w:r>
        <w:rPr>
          <w:color w:val="231F20"/>
        </w:rPr>
        <w:t>Une copie de chacune des parties est conservée à l’endroit où est déposée l’autre partie.</w:t>
      </w:r>
    </w:p>
    <w:p>
      <w:pPr>
        <w:pStyle w:val="BodyText"/>
        <w:spacing w:line="218" w:lineRule="auto" w:before="96"/>
        <w:ind w:right="38"/>
      </w:pPr>
      <w:r>
        <w:rPr>
          <w:color w:val="231F20"/>
        </w:rPr>
        <w:t>Cette copie est régulièrement tenue à jour et, si cela s’avère impossible, elle est complétée aussitôt que les circonstances le permet- tent.</w:t>
      </w:r>
    </w:p>
    <w:p>
      <w:pPr>
        <w:pStyle w:val="BodyText"/>
        <w:spacing w:line="218" w:lineRule="auto" w:before="96"/>
        <w:ind w:right="38"/>
      </w:pPr>
      <w:r>
        <w:rPr>
          <w:color w:val="231F20"/>
        </w:rPr>
        <w:t>Les titulaires d’actions ou d’obligations ont le droit de se faire</w:t>
      </w:r>
      <w:r>
        <w:rPr>
          <w:color w:val="231F20"/>
          <w:spacing w:val="-27"/>
        </w:rPr>
        <w:t> </w:t>
      </w:r>
      <w:r>
        <w:rPr>
          <w:color w:val="231F20"/>
        </w:rPr>
        <w:t>inscrire dans une des deux parties du registre à leur choix. Ils peuvent prendre connaissance des deux parties du registre relatif à leurs titres et de leur copie.</w:t>
      </w:r>
    </w:p>
    <w:p>
      <w:pPr>
        <w:pStyle w:val="BodyText"/>
        <w:spacing w:line="216" w:lineRule="auto" w:before="98"/>
        <w:ind w:right="38"/>
      </w:pPr>
      <w:r>
        <w:rPr>
          <w:color w:val="231F20"/>
        </w:rPr>
        <w:t>L’organe d’administration fait connaître le lieu où se trouve la deuxième partie du registre par une publication aux Annexes du </w:t>
      </w:r>
      <w:r>
        <w:rPr>
          <w:rFonts w:ascii="Times New Roman" w:hAnsi="Times New Roman"/>
          <w:i/>
          <w:color w:val="231F20"/>
        </w:rPr>
        <w:t>Moniteur belge</w:t>
      </w:r>
      <w:r>
        <w:rPr>
          <w:color w:val="231F20"/>
        </w:rPr>
        <w:t>. L’organe d’administration peut modifier ce lieu.</w:t>
      </w:r>
    </w:p>
    <w:p>
      <w:pPr>
        <w:pStyle w:val="BodyText"/>
        <w:spacing w:line="218" w:lineRule="auto" w:before="98"/>
        <w:ind w:right="38"/>
      </w:pPr>
      <w:r>
        <w:rPr>
          <w:color w:val="231F20"/>
        </w:rPr>
        <w:t>La décision de l’organe d’administration de scinder un registre en deux parties ne peut être modifiée que par une décision de l’assemblée générale dans les formes prescrites pour la modification des statuts.</w:t>
      </w:r>
    </w:p>
    <w:p>
      <w:pPr>
        <w:pStyle w:val="BodyText"/>
        <w:spacing w:before="82"/>
        <w:ind w:left="283" w:right="0" w:firstLine="0"/>
        <w:jc w:val="left"/>
      </w:pPr>
      <w:r>
        <w:rPr>
          <w:color w:val="231F20"/>
        </w:rPr>
        <w:t>Le Roi règle les modalités d’inscription dans les deux parties.</w:t>
      </w:r>
    </w:p>
    <w:p>
      <w:pPr>
        <w:pStyle w:val="BodyText"/>
        <w:spacing w:before="7"/>
        <w:ind w:left="0" w:right="0" w:firstLine="0"/>
        <w:jc w:val="left"/>
        <w:rPr>
          <w:sz w:val="23"/>
        </w:rPr>
      </w:pPr>
    </w:p>
    <w:p>
      <w:pPr>
        <w:pStyle w:val="BodyText"/>
        <w:spacing w:line="218" w:lineRule="auto"/>
        <w:ind w:right="38"/>
      </w:pPr>
      <w:r>
        <w:rPr>
          <w:color w:val="231F20"/>
        </w:rPr>
        <w:t>Art. 5:29. </w:t>
      </w:r>
      <w:r>
        <w:rPr>
          <w:color w:val="231F20"/>
          <w:spacing w:val="-4"/>
        </w:rPr>
        <w:t>Toute </w:t>
      </w:r>
      <w:r>
        <w:rPr>
          <w:color w:val="231F20"/>
        </w:rPr>
        <w:t>personne qui est inscrite dans un registre de titres nominatifs en qualité de titulaire d’un titre est présumée, jusqu’à preuve du contraire, être titulaire des titres pour lesquels elle est inscrite.</w:t>
      </w:r>
    </w:p>
    <w:p>
      <w:pPr>
        <w:pStyle w:val="BodyText"/>
        <w:spacing w:line="218" w:lineRule="auto" w:before="97"/>
        <w:ind w:right="38"/>
      </w:pPr>
      <w:r>
        <w:rPr>
          <w:color w:val="231F20"/>
          <w:spacing w:val="-3"/>
        </w:rPr>
        <w:t>L’organe </w:t>
      </w:r>
      <w:r>
        <w:rPr>
          <w:color w:val="231F20"/>
        </w:rPr>
        <w:t>d’administration délivre à la demande de celui qui est  inscrit en qualité de titulaire de titres, à titre de preuve de son inscription dans le registre, un extrait de ce registre sous la forme d’un certificat.</w:t>
      </w:r>
    </w:p>
    <w:p>
      <w:pPr>
        <w:pStyle w:val="BodyText"/>
        <w:spacing w:before="82"/>
        <w:ind w:left="283" w:right="0" w:firstLine="0"/>
        <w:jc w:val="left"/>
      </w:pPr>
      <w:r>
        <w:rPr>
          <w:color w:val="231F20"/>
        </w:rPr>
        <w:t>Section 2. Titres dématérialisés.</w:t>
      </w:r>
    </w:p>
    <w:p>
      <w:pPr>
        <w:pStyle w:val="BodyText"/>
        <w:spacing w:line="218" w:lineRule="auto" w:before="92"/>
        <w:ind w:right="38"/>
      </w:pPr>
      <w:r>
        <w:rPr>
          <w:color w:val="231F20"/>
        </w:rPr>
        <w:t>Art. 5:30. Le titre dématérialisé est représenté par une inscription en compte, au nom de son propriétaire ou de son détenteur, auprès d’un organisme de liquidation ou d’un teneur de comptes agréé.</w:t>
      </w:r>
    </w:p>
    <w:p>
      <w:pPr>
        <w:pStyle w:val="BodyText"/>
        <w:spacing w:line="218" w:lineRule="auto" w:before="97"/>
        <w:ind w:right="38"/>
      </w:pPr>
      <w:r>
        <w:rPr>
          <w:color w:val="231F20"/>
        </w:rPr>
        <w:t>Le Roi désigne par catégorie de titres les organismes de liquidation chargés d’assurer la conservation des titres dématérialisés et la liquidation des transactions sur de tels titres. Il agrée les teneurs de comptes en Belgique de manière individuelle ou de manière générale par catégorie d’établissements, en fonction de leur activité.</w:t>
      </w:r>
    </w:p>
    <w:p>
      <w:pPr>
        <w:pStyle w:val="BodyText"/>
        <w:spacing w:before="10"/>
        <w:ind w:left="0" w:right="0" w:firstLine="0"/>
        <w:jc w:val="left"/>
        <w:rPr>
          <w:sz w:val="23"/>
        </w:rPr>
      </w:pPr>
    </w:p>
    <w:p>
      <w:pPr>
        <w:pStyle w:val="BodyText"/>
        <w:spacing w:line="218" w:lineRule="auto" w:before="1"/>
        <w:ind w:right="38"/>
      </w:pPr>
      <w:r>
        <w:rPr>
          <w:color w:val="231F20"/>
        </w:rPr>
        <w:t>Le nombre des titres dématérialisés en circulation à tout moment est inscrit, par catégorie de titres, dans le registre des titres nominatifs au nom de l’organisme de liquidation ou, le cas échéant, du teneur de comptes agréé en cas d’application de l’article 5:39.</w:t>
      </w:r>
    </w:p>
    <w:p>
      <w:pPr>
        <w:pStyle w:val="BodyText"/>
        <w:spacing w:before="10"/>
        <w:ind w:left="0" w:right="0" w:firstLine="0"/>
        <w:jc w:val="left"/>
        <w:rPr>
          <w:sz w:val="23"/>
        </w:rPr>
      </w:pPr>
    </w:p>
    <w:p>
      <w:pPr>
        <w:pStyle w:val="BodyText"/>
        <w:spacing w:line="218" w:lineRule="auto"/>
        <w:ind w:right="38"/>
      </w:pPr>
      <w:r>
        <w:rPr>
          <w:color w:val="231F20"/>
        </w:rPr>
        <w:t>L’inscription de titres en compte confère un droit de copropriété, de nature incorporelle, sur l’universalité des titres de même catégorie inscrits au nom de l’organisme de liquidation ou, le cas échéant, du teneur de comptes agréé en cas d’application de l’article 5:39, dans le registre des titres nominatifs visé à l’alinéa 3.</w:t>
      </w:r>
    </w:p>
    <w:p>
      <w:pPr>
        <w:pStyle w:val="BodyText"/>
        <w:ind w:left="0" w:right="0" w:firstLine="0"/>
        <w:jc w:val="left"/>
        <w:rPr>
          <w:sz w:val="24"/>
        </w:rPr>
      </w:pPr>
    </w:p>
    <w:p>
      <w:pPr>
        <w:pStyle w:val="BodyText"/>
        <w:spacing w:line="218" w:lineRule="auto"/>
        <w:ind w:right="38"/>
      </w:pPr>
      <w:r>
        <w:rPr>
          <w:color w:val="231F20"/>
        </w:rPr>
        <w:t>La Banque nationale de Belgique est chargée de contrôler le respect, par les teneurs de comptes agréés en Belgique, des règles prévues par ou en vertu de la présente section. Pour l’exercice de ce contrôle, pour l’imposition de sanctions administratives et pour la prise d’autres mesures à l’égard des teneurs de comptes agréés, la Banque nationale de</w:t>
      </w:r>
      <w:r>
        <w:rPr>
          <w:color w:val="231F20"/>
          <w:spacing w:val="15"/>
        </w:rPr>
        <w:t> </w:t>
      </w:r>
      <w:r>
        <w:rPr>
          <w:color w:val="231F20"/>
        </w:rPr>
        <w:t>Belgique:</w:t>
      </w:r>
    </w:p>
    <w:p>
      <w:pPr>
        <w:pStyle w:val="BodyText"/>
        <w:spacing w:line="218" w:lineRule="auto" w:before="96"/>
        <w:ind w:right="38"/>
      </w:pPr>
      <w:r>
        <w:rPr>
          <w:color w:val="231F20"/>
        </w:rPr>
        <w:t>1° utilise, s’agissant d’établissements de crédit, les compétences qui lui ont été attribuées par la loi du 25 avril 2014 relative au statut et au contrôle des établissements de crédit et des sociétés de bourse;</w:t>
      </w:r>
    </w:p>
    <w:p>
      <w:pPr>
        <w:pStyle w:val="BodyText"/>
        <w:spacing w:line="218" w:lineRule="auto" w:before="119"/>
      </w:pPr>
      <w:r>
        <w:rPr/>
        <w:br w:type="column"/>
      </w:r>
      <w:r>
        <w:rPr>
          <w:color w:val="231F20"/>
        </w:rPr>
        <w:t>Art. 5:26. De vennootschap houdt op haar zetel een register voor elke categorie van effecten op naam die toegang geven  tot  aandelen.  Artikel 5:25, met uitzondering van het eerste lid, 4° en 7°, is van overeenkomstige</w:t>
      </w:r>
      <w:r>
        <w:rPr>
          <w:color w:val="231F20"/>
          <w:spacing w:val="15"/>
        </w:rPr>
        <w:t> </w:t>
      </w:r>
      <w:r>
        <w:rPr>
          <w:color w:val="231F20"/>
        </w:rPr>
        <w:t>toepassing.</w:t>
      </w:r>
    </w:p>
    <w:p>
      <w:pPr>
        <w:pStyle w:val="BodyText"/>
        <w:spacing w:before="72"/>
        <w:ind w:left="283" w:right="0" w:firstLine="0"/>
        <w:jc w:val="left"/>
      </w:pPr>
      <w:r>
        <w:rPr>
          <w:color w:val="231F20"/>
        </w:rPr>
        <w:t>Art. 5:27. Het register van obligaties op naam vermeldt:</w:t>
      </w:r>
    </w:p>
    <w:p>
      <w:pPr>
        <w:pStyle w:val="BodyText"/>
        <w:spacing w:line="218" w:lineRule="auto" w:before="82"/>
      </w:pPr>
      <w:r>
        <w:rPr>
          <w:color w:val="231F20"/>
        </w:rPr>
        <w:t>1° nauwkeurige gegevens over de persoon van elke obligatiehouder, evenals het bedrag van de hem toebehorende obligaties;</w:t>
      </w:r>
    </w:p>
    <w:p>
      <w:pPr>
        <w:pStyle w:val="BodyText"/>
        <w:spacing w:line="218" w:lineRule="auto" w:before="96"/>
      </w:pPr>
      <w:r>
        <w:rPr>
          <w:color w:val="231F20"/>
        </w:rPr>
        <w:t>2° de overdrachten en de overgangen van de obligaties met hun datum en de omzetting van obligaties op naam in gedematerialiseerde obligaties of omgekeerd, voor zover de statuten omzetting toelaten;</w:t>
      </w:r>
    </w:p>
    <w:p>
      <w:pPr>
        <w:pStyle w:val="BodyText"/>
        <w:spacing w:line="218" w:lineRule="auto" w:before="96"/>
      </w:pPr>
      <w:r>
        <w:rPr>
          <w:color w:val="231F20"/>
        </w:rPr>
        <w:t>3° de statutaire overdrachtsbeperkingen, of, wanneer één van de partijen daartoe verzoekt, de overdrachtsbeperkingen die voortvloeien uit overeenkomsten of uit de uitgiftevoorwaarden;</w:t>
      </w:r>
    </w:p>
    <w:p>
      <w:pPr>
        <w:pStyle w:val="BodyText"/>
        <w:spacing w:line="218" w:lineRule="auto" w:before="97"/>
      </w:pPr>
      <w:r>
        <w:rPr>
          <w:color w:val="231F20"/>
        </w:rPr>
        <w:t>4° een verwijzing naar het register van effecten op naam die toegang geven tot aandelen indien dit register obligaties bevat.</w:t>
      </w:r>
    </w:p>
    <w:p>
      <w:pPr>
        <w:pStyle w:val="BodyText"/>
        <w:spacing w:line="218" w:lineRule="auto" w:before="96"/>
      </w:pPr>
      <w:r>
        <w:rPr>
          <w:color w:val="231F20"/>
        </w:rPr>
        <w:t>Art. 5:28. Het bestuursorgaan kan besluiten tot splitsing van</w:t>
      </w:r>
      <w:r>
        <w:rPr>
          <w:color w:val="231F20"/>
          <w:spacing w:val="30"/>
        </w:rPr>
        <w:t> </w:t>
      </w:r>
      <w:r>
        <w:rPr>
          <w:color w:val="231F20"/>
        </w:rPr>
        <w:t>een register in twee delen, waarvan het ene wordt bewaard op de zetel van de vennootschap en het andere buiten die zetel, in België of in</w:t>
      </w:r>
      <w:r>
        <w:rPr>
          <w:color w:val="231F20"/>
          <w:spacing w:val="8"/>
        </w:rPr>
        <w:t> </w:t>
      </w:r>
      <w:r>
        <w:rPr>
          <w:color w:val="231F20"/>
        </w:rPr>
        <w:t>het buitenland.</w:t>
      </w:r>
    </w:p>
    <w:p>
      <w:pPr>
        <w:pStyle w:val="BodyText"/>
        <w:spacing w:line="218" w:lineRule="auto" w:before="96"/>
      </w:pPr>
      <w:r>
        <w:rPr>
          <w:color w:val="231F20"/>
          <w:spacing w:val="-6"/>
        </w:rPr>
        <w:t>Van </w:t>
      </w:r>
      <w:r>
        <w:rPr>
          <w:color w:val="231F20"/>
        </w:rPr>
        <w:t>elk deel wordt een kopie bewaard op de plaats waar het andere deel</w:t>
      </w:r>
      <w:r>
        <w:rPr>
          <w:color w:val="231F20"/>
          <w:spacing w:val="14"/>
        </w:rPr>
        <w:t> </w:t>
      </w:r>
      <w:r>
        <w:rPr>
          <w:color w:val="231F20"/>
        </w:rPr>
        <w:t>berust.</w:t>
      </w:r>
    </w:p>
    <w:p>
      <w:pPr>
        <w:pStyle w:val="BodyText"/>
        <w:spacing w:line="218" w:lineRule="auto" w:before="96"/>
      </w:pPr>
      <w:r>
        <w:rPr>
          <w:color w:val="231F20"/>
        </w:rPr>
        <w:t>Deze kopie wordt regelmatig bijgehouden en, indien zulks onmoge- lijk</w:t>
      </w:r>
      <w:r>
        <w:rPr>
          <w:color w:val="231F20"/>
          <w:spacing w:val="15"/>
        </w:rPr>
        <w:t> </w:t>
      </w:r>
      <w:r>
        <w:rPr>
          <w:color w:val="231F20"/>
        </w:rPr>
        <w:t>blijkt,</w:t>
      </w:r>
      <w:r>
        <w:rPr>
          <w:color w:val="231F20"/>
          <w:spacing w:val="16"/>
        </w:rPr>
        <w:t> </w:t>
      </w:r>
      <w:r>
        <w:rPr>
          <w:color w:val="231F20"/>
        </w:rPr>
        <w:t>bijgewerkt</w:t>
      </w:r>
      <w:r>
        <w:rPr>
          <w:color w:val="231F20"/>
          <w:spacing w:val="16"/>
        </w:rPr>
        <w:t> </w:t>
      </w:r>
      <w:r>
        <w:rPr>
          <w:color w:val="231F20"/>
        </w:rPr>
        <w:t>zodra</w:t>
      </w:r>
      <w:r>
        <w:rPr>
          <w:color w:val="231F20"/>
          <w:spacing w:val="16"/>
        </w:rPr>
        <w:t> </w:t>
      </w:r>
      <w:r>
        <w:rPr>
          <w:color w:val="231F20"/>
        </w:rPr>
        <w:t>de</w:t>
      </w:r>
      <w:r>
        <w:rPr>
          <w:color w:val="231F20"/>
          <w:spacing w:val="16"/>
        </w:rPr>
        <w:t> </w:t>
      </w:r>
      <w:r>
        <w:rPr>
          <w:color w:val="231F20"/>
        </w:rPr>
        <w:t>omstandigheden</w:t>
      </w:r>
      <w:r>
        <w:rPr>
          <w:color w:val="231F20"/>
          <w:spacing w:val="16"/>
        </w:rPr>
        <w:t> </w:t>
      </w:r>
      <w:r>
        <w:rPr>
          <w:color w:val="231F20"/>
        </w:rPr>
        <w:t>het</w:t>
      </w:r>
      <w:r>
        <w:rPr>
          <w:color w:val="231F20"/>
          <w:spacing w:val="16"/>
        </w:rPr>
        <w:t> </w:t>
      </w:r>
      <w:r>
        <w:rPr>
          <w:color w:val="231F20"/>
        </w:rPr>
        <w:t>toelaten.</w:t>
      </w:r>
    </w:p>
    <w:p>
      <w:pPr>
        <w:pStyle w:val="BodyText"/>
        <w:spacing w:before="11"/>
        <w:ind w:left="0" w:right="0" w:firstLine="0"/>
        <w:jc w:val="left"/>
        <w:rPr>
          <w:sz w:val="23"/>
        </w:rPr>
      </w:pPr>
    </w:p>
    <w:p>
      <w:pPr>
        <w:pStyle w:val="BodyText"/>
        <w:spacing w:line="218" w:lineRule="auto"/>
      </w:pPr>
      <w:r>
        <w:rPr>
          <w:color w:val="231F20"/>
        </w:rPr>
        <w:t>Iedere houder van aandelen of obligaties is gerechtigd zich naar keuze in een van de twee delen van het betreffende register te laten inschrijven. Zij kunnen kennisnemen van de twee delen van het register dat</w:t>
      </w:r>
      <w:r>
        <w:rPr>
          <w:color w:val="231F20"/>
          <w:spacing w:val="16"/>
        </w:rPr>
        <w:t> </w:t>
      </w:r>
      <w:r>
        <w:rPr>
          <w:color w:val="231F20"/>
        </w:rPr>
        <w:t>op</w:t>
      </w:r>
      <w:r>
        <w:rPr>
          <w:color w:val="231F20"/>
          <w:spacing w:val="16"/>
        </w:rPr>
        <w:t> </w:t>
      </w:r>
      <w:r>
        <w:rPr>
          <w:color w:val="231F20"/>
        </w:rPr>
        <w:t>hun</w:t>
      </w:r>
      <w:r>
        <w:rPr>
          <w:color w:val="231F20"/>
          <w:spacing w:val="16"/>
        </w:rPr>
        <w:t> </w:t>
      </w:r>
      <w:r>
        <w:rPr>
          <w:color w:val="231F20"/>
        </w:rPr>
        <w:t>effecten</w:t>
      </w:r>
      <w:r>
        <w:rPr>
          <w:color w:val="231F20"/>
          <w:spacing w:val="16"/>
        </w:rPr>
        <w:t> </w:t>
      </w:r>
      <w:r>
        <w:rPr>
          <w:color w:val="231F20"/>
        </w:rPr>
        <w:t>betrekking</w:t>
      </w:r>
      <w:r>
        <w:rPr>
          <w:color w:val="231F20"/>
          <w:spacing w:val="16"/>
        </w:rPr>
        <w:t> </w:t>
      </w:r>
      <w:r>
        <w:rPr>
          <w:color w:val="231F20"/>
        </w:rPr>
        <w:t>heeft,</w:t>
      </w:r>
      <w:r>
        <w:rPr>
          <w:color w:val="231F20"/>
          <w:spacing w:val="17"/>
        </w:rPr>
        <w:t> </w:t>
      </w:r>
      <w:r>
        <w:rPr>
          <w:color w:val="231F20"/>
        </w:rPr>
        <w:t>evenals</w:t>
      </w:r>
      <w:r>
        <w:rPr>
          <w:color w:val="231F20"/>
          <w:spacing w:val="16"/>
        </w:rPr>
        <w:t> </w:t>
      </w:r>
      <w:r>
        <w:rPr>
          <w:color w:val="231F20"/>
        </w:rPr>
        <w:t>van</w:t>
      </w:r>
      <w:r>
        <w:rPr>
          <w:color w:val="231F20"/>
          <w:spacing w:val="16"/>
        </w:rPr>
        <w:t> </w:t>
      </w:r>
      <w:r>
        <w:rPr>
          <w:color w:val="231F20"/>
        </w:rPr>
        <w:t>hun</w:t>
      </w:r>
      <w:r>
        <w:rPr>
          <w:color w:val="231F20"/>
          <w:spacing w:val="16"/>
        </w:rPr>
        <w:t> </w:t>
      </w:r>
      <w:r>
        <w:rPr>
          <w:color w:val="231F20"/>
        </w:rPr>
        <w:t>kopie.</w:t>
      </w:r>
    </w:p>
    <w:p>
      <w:pPr>
        <w:pStyle w:val="BodyText"/>
        <w:spacing w:line="216" w:lineRule="auto" w:before="98"/>
      </w:pPr>
      <w:r>
        <w:rPr>
          <w:color w:val="231F20"/>
        </w:rPr>
        <w:t>Het bestuursorgaan maakt de plaats waar het tweede deel van het register zich bevindt bekend in de Bijlagen bij het </w:t>
      </w:r>
      <w:r>
        <w:rPr>
          <w:rFonts w:ascii="Times New Roman"/>
          <w:i/>
          <w:color w:val="231F20"/>
        </w:rPr>
        <w:t>Belgisch Staatsblad</w:t>
      </w:r>
      <w:r>
        <w:rPr>
          <w:color w:val="231F20"/>
        </w:rPr>
        <w:t>. Het bestuursorgaan kan deze plaats wijzigen.</w:t>
      </w:r>
    </w:p>
    <w:p>
      <w:pPr>
        <w:pStyle w:val="BodyText"/>
        <w:spacing w:line="218" w:lineRule="auto" w:before="97"/>
      </w:pPr>
      <w:r>
        <w:rPr>
          <w:color w:val="231F20"/>
        </w:rPr>
        <w:t>Het besluit van het bestuursorgaan om een register in twee delen te splitsen, kan slechts worden gewijzigd bij een besluit van de algemene vergadering, in de vorm voorgeschreven voor de statutenwijziging.</w:t>
      </w:r>
    </w:p>
    <w:p>
      <w:pPr>
        <w:pStyle w:val="BodyText"/>
        <w:spacing w:line="218" w:lineRule="auto" w:before="97"/>
      </w:pPr>
      <w:r>
        <w:rPr>
          <w:color w:val="231F20"/>
        </w:rPr>
        <w:t>De Koning bepaalt op welke wijze de inschrijving in de twee delen gebeurt.</w:t>
      </w:r>
    </w:p>
    <w:p>
      <w:pPr>
        <w:pStyle w:val="BodyText"/>
        <w:spacing w:line="218" w:lineRule="auto" w:before="96"/>
        <w:ind w:right="123"/>
      </w:pPr>
      <w:r>
        <w:rPr>
          <w:color w:val="231F20"/>
        </w:rPr>
        <w:t>Art. 5:29. Hij die in een register van effecten op naam staat ingeschreven als houder van enig effect, wordt, tot het bewijs van het tegendeel, vermoed houder te zijn van de effecten waarvoor hij is ingeschreven.</w:t>
      </w:r>
    </w:p>
    <w:p>
      <w:pPr>
        <w:pStyle w:val="BodyText"/>
        <w:spacing w:line="218" w:lineRule="auto" w:before="96"/>
        <w:ind w:right="123"/>
      </w:pPr>
      <w:r>
        <w:rPr>
          <w:color w:val="231F20"/>
          <w:spacing w:val="-6"/>
        </w:rPr>
        <w:t>Ten </w:t>
      </w:r>
      <w:r>
        <w:rPr>
          <w:color w:val="231F20"/>
        </w:rPr>
        <w:t>bewijze van de inschrijving in het register levert het bestuursor- gaan, op verzoek van degene die als effectenhouder is ingeschreven,  een</w:t>
      </w:r>
      <w:r>
        <w:rPr>
          <w:color w:val="231F20"/>
          <w:spacing w:val="14"/>
        </w:rPr>
        <w:t> </w:t>
      </w:r>
      <w:r>
        <w:rPr>
          <w:color w:val="231F20"/>
        </w:rPr>
        <w:t>uittreksel</w:t>
      </w:r>
      <w:r>
        <w:rPr>
          <w:color w:val="231F20"/>
          <w:spacing w:val="15"/>
        </w:rPr>
        <w:t> </w:t>
      </w:r>
      <w:r>
        <w:rPr>
          <w:color w:val="231F20"/>
        </w:rPr>
        <w:t>af</w:t>
      </w:r>
      <w:r>
        <w:rPr>
          <w:color w:val="231F20"/>
          <w:spacing w:val="14"/>
        </w:rPr>
        <w:t> </w:t>
      </w:r>
      <w:r>
        <w:rPr>
          <w:color w:val="231F20"/>
        </w:rPr>
        <w:t>uit</w:t>
      </w:r>
      <w:r>
        <w:rPr>
          <w:color w:val="231F20"/>
          <w:spacing w:val="15"/>
        </w:rPr>
        <w:t> </w:t>
      </w:r>
      <w:r>
        <w:rPr>
          <w:color w:val="231F20"/>
        </w:rPr>
        <w:t>het</w:t>
      </w:r>
      <w:r>
        <w:rPr>
          <w:color w:val="231F20"/>
          <w:spacing w:val="15"/>
        </w:rPr>
        <w:t> </w:t>
      </w:r>
      <w:r>
        <w:rPr>
          <w:color w:val="231F20"/>
        </w:rPr>
        <w:t>register</w:t>
      </w:r>
      <w:r>
        <w:rPr>
          <w:color w:val="231F20"/>
          <w:spacing w:val="14"/>
        </w:rPr>
        <w:t> </w:t>
      </w:r>
      <w:r>
        <w:rPr>
          <w:color w:val="231F20"/>
        </w:rPr>
        <w:t>in</w:t>
      </w:r>
      <w:r>
        <w:rPr>
          <w:color w:val="231F20"/>
          <w:spacing w:val="15"/>
        </w:rPr>
        <w:t> </w:t>
      </w:r>
      <w:r>
        <w:rPr>
          <w:color w:val="231F20"/>
        </w:rPr>
        <w:t>de</w:t>
      </w:r>
      <w:r>
        <w:rPr>
          <w:color w:val="231F20"/>
          <w:spacing w:val="15"/>
        </w:rPr>
        <w:t> </w:t>
      </w:r>
      <w:r>
        <w:rPr>
          <w:color w:val="231F20"/>
        </w:rPr>
        <w:t>vorm</w:t>
      </w:r>
      <w:r>
        <w:rPr>
          <w:color w:val="231F20"/>
          <w:spacing w:val="14"/>
        </w:rPr>
        <w:t> </w:t>
      </w:r>
      <w:r>
        <w:rPr>
          <w:color w:val="231F20"/>
        </w:rPr>
        <w:t>van</w:t>
      </w:r>
      <w:r>
        <w:rPr>
          <w:color w:val="231F20"/>
          <w:spacing w:val="15"/>
        </w:rPr>
        <w:t> </w:t>
      </w:r>
      <w:r>
        <w:rPr>
          <w:color w:val="231F20"/>
        </w:rPr>
        <w:t>een</w:t>
      </w:r>
      <w:r>
        <w:rPr>
          <w:color w:val="231F20"/>
          <w:spacing w:val="15"/>
        </w:rPr>
        <w:t> </w:t>
      </w:r>
      <w:r>
        <w:rPr>
          <w:color w:val="231F20"/>
        </w:rPr>
        <w:t>certificaat.</w:t>
      </w:r>
    </w:p>
    <w:p>
      <w:pPr>
        <w:pStyle w:val="BodyText"/>
        <w:spacing w:before="8"/>
        <w:ind w:left="0" w:right="0" w:firstLine="0"/>
        <w:jc w:val="left"/>
        <w:rPr>
          <w:sz w:val="22"/>
        </w:rPr>
      </w:pPr>
    </w:p>
    <w:p>
      <w:pPr>
        <w:pStyle w:val="BodyText"/>
        <w:ind w:left="283" w:right="0" w:firstLine="0"/>
        <w:jc w:val="left"/>
      </w:pPr>
      <w:r>
        <w:rPr>
          <w:color w:val="231F20"/>
        </w:rPr>
        <w:t>Afdeling 2. Gedematerialiseerde effecten.</w:t>
      </w:r>
    </w:p>
    <w:p>
      <w:pPr>
        <w:pStyle w:val="BodyText"/>
        <w:spacing w:line="218" w:lineRule="auto" w:before="93"/>
      </w:pPr>
      <w:r>
        <w:rPr>
          <w:color w:val="231F20"/>
        </w:rPr>
        <w:t>Art. 5:30. Het gedematerialiseerde effect wordt vertegenwoordigd door een boeking op rekening, op naam van de eigenaar of de houder, bij een vereffeningsinstelling of bij een erkende rekeninghouder.</w:t>
      </w:r>
    </w:p>
    <w:p>
      <w:pPr>
        <w:pStyle w:val="BodyText"/>
        <w:spacing w:line="218" w:lineRule="auto" w:before="96"/>
        <w:ind w:right="123"/>
      </w:pPr>
      <w:r>
        <w:rPr>
          <w:color w:val="231F20"/>
        </w:rPr>
        <w:t>De Koning wijst per categorie van effecten de vereffeningsinstellin- gen aan die worden belast met de aanhouding van gedematerialiseerde effecten en de vereffening van transacties op dergelijke effecten. Hij erkent de rekeninghouders in België, op individuele wijze of op algemene wijze, per categorie van instellingen, naargelang van hun bedrijvigheid.</w:t>
      </w:r>
    </w:p>
    <w:p>
      <w:pPr>
        <w:pStyle w:val="BodyText"/>
        <w:spacing w:line="218" w:lineRule="auto" w:before="96"/>
      </w:pPr>
      <w:r>
        <w:rPr>
          <w:color w:val="231F20"/>
        </w:rPr>
        <w:t>Het aantal van de op elk ogenblik in omloop zijnde gedemateriali- seerde effecten, wordt, per categorie van effecten, in het register van de effecten op naam, ingeschreven op naam van de vereffeningsinstelling of, in voorkomend geval, van de erkende rekeninghouder wanneer artikel 5:39 wordt toegepast.</w:t>
      </w:r>
    </w:p>
    <w:p>
      <w:pPr>
        <w:pStyle w:val="BodyText"/>
        <w:spacing w:line="218" w:lineRule="auto" w:before="97"/>
      </w:pPr>
      <w:r>
        <w:rPr>
          <w:color w:val="231F20"/>
        </w:rPr>
        <w:t>De boeking op rekening van effecten vestigt een onlichamelijk recht van mede-eigendom op de algemeenheid van effecten van dezelfde categorie die op naam van de vereffeningsinstelling of, in voorkomend geval, van de erkende rekeninghouder wanneer artikel 5:39 wordt toegepast, zijn ingeschreven in het register van effecten op naam bedoeld in het derde lid.</w:t>
      </w:r>
    </w:p>
    <w:p>
      <w:pPr>
        <w:pStyle w:val="BodyText"/>
        <w:spacing w:line="218" w:lineRule="auto" w:before="96"/>
      </w:pPr>
      <w:r>
        <w:rPr>
          <w:color w:val="231F20"/>
        </w:rPr>
        <w:t>De Nationale Bank van België is belast met het toezicht op de naleving door de in België erkende rekeninghouders van de regels bepaald door of krachtens deze afdeling. Voor de uitoefening van dit toezicht, voor het opleggen van administratieve sancties en voor het treffen van andere maatregelen ten overstaan van de erkende rekening- houders maakt de Nationale Bank van België:</w:t>
      </w:r>
    </w:p>
    <w:p>
      <w:pPr>
        <w:pStyle w:val="BodyText"/>
        <w:spacing w:line="218" w:lineRule="auto" w:before="96"/>
      </w:pPr>
      <w:r>
        <w:rPr>
          <w:color w:val="231F20"/>
        </w:rPr>
        <w:t>1° ten aanzien van kredietinstellingen gebruik van de bevoegdheden die haar worden toegekend door de wet van 25 april 2014 op het statuut van en het toezicht op kredietinstellingen en beursvennootschappen;</w:t>
      </w:r>
    </w:p>
    <w:p>
      <w:pPr>
        <w:spacing w:after="0" w:line="218" w:lineRule="auto"/>
        <w:sectPr>
          <w:headerReference w:type="even" r:id="rId45"/>
          <w:headerReference w:type="default" r:id="rId46"/>
          <w:pgSz w:w="11940" w:h="16880"/>
          <w:pgMar w:header="666" w:footer="0" w:top="1140" w:bottom="280" w:left="340" w:right="360"/>
          <w:pgNumType w:start="33332"/>
          <w:cols w:num="2" w:equalWidth="0">
            <w:col w:w="5527" w:space="101"/>
            <w:col w:w="5612"/>
          </w:cols>
        </w:sectPr>
      </w:pPr>
    </w:p>
    <w:p>
      <w:pPr>
        <w:pStyle w:val="BodyText"/>
        <w:spacing w:line="218" w:lineRule="auto" w:before="120"/>
        <w:ind w:right="71"/>
      </w:pPr>
      <w:r>
        <w:rPr/>
        <w:pict>
          <v:line style="position:absolute;mso-position-horizontal-relative:page;mso-position-vertical-relative:page;z-index:3280" from="298.170502pt,64.473pt" to="298.170502pt,812.819pt" stroked="true" strokeweight=".533pt" strokecolor="#231f20">
            <v:stroke dashstyle="solid"/>
            <w10:wrap type="none"/>
          </v:line>
        </w:pict>
      </w:r>
      <w:bookmarkStart w:name="_bookmark94" w:id="99"/>
      <w:bookmarkEnd w:id="99"/>
      <w:r>
        <w:rPr/>
      </w:r>
      <w:r>
        <w:rPr>
          <w:color w:val="231F20"/>
        </w:rPr>
        <w:t>2° utilise, s’agissant d’entreprises d’investissement, les compétences qui lui ont été attribuées par la loi du 25 avril 2014 relative au statut et au contrôle des établissements de crédit et des sociétés de bourse;</w:t>
      </w:r>
    </w:p>
    <w:p>
      <w:pPr>
        <w:pStyle w:val="BodyText"/>
        <w:ind w:left="0" w:right="0" w:firstLine="0"/>
        <w:jc w:val="left"/>
        <w:rPr>
          <w:sz w:val="23"/>
        </w:rPr>
      </w:pPr>
    </w:p>
    <w:p>
      <w:pPr>
        <w:pStyle w:val="BodyText"/>
        <w:spacing w:line="218" w:lineRule="auto"/>
        <w:ind w:right="71"/>
      </w:pPr>
      <w:r>
        <w:rPr>
          <w:color w:val="231F20"/>
        </w:rPr>
        <w:t>3° utilise, s’agissant d’organismes de compensation et de liquidation, les compétences qui lui sont attribuées par la loi.</w:t>
      </w:r>
    </w:p>
    <w:p>
      <w:pPr>
        <w:pStyle w:val="BodyText"/>
        <w:spacing w:line="218" w:lineRule="auto" w:before="85"/>
        <w:ind w:right="71"/>
      </w:pPr>
      <w:r>
        <w:rPr>
          <w:color w:val="231F20"/>
        </w:rPr>
        <w:t>Les dispositions correspondantes qui sanctionnent pénalement la violation des dispositions précitées sont d’application.</w:t>
      </w:r>
    </w:p>
    <w:p>
      <w:pPr>
        <w:pStyle w:val="BodyText"/>
        <w:spacing w:line="218" w:lineRule="auto" w:before="86"/>
        <w:ind w:right="27"/>
        <w:jc w:val="left"/>
      </w:pPr>
      <w:r>
        <w:rPr>
          <w:color w:val="231F20"/>
        </w:rPr>
        <w:t>Art. 5:31. Les teneurs de comptes agréés maintiennent les titres dématérialisés qu’ils détiennent pour le compte de tiers et pour leur compte propre sur des comptes ouverts auprès de l’organisme de liquidation, auprès d’un ou de plusieurs établissements qui agissent pour eux, directement ou indirectement, comme intermédiaires à  l’égard de cet organisme de liquidation, ou à la fois auprès de l’organisme de liquidation et d’un ou plusieurs des établissements précités. Le cas échéant, les teneurs de comptes agréés maintiennent les titres dématérialises qu’ils détiennent pour le compte de tiers et pour leur compte propre sur des comptes ouverts auprès du teneur de comptes agréé visé à l’article 5:39, auprès d’un ou de plusieurs établissements qui agissent pour eux, directement ou indirectement, comme intermédiaires à l’égard de ce teneur de comptes agréé </w:t>
      </w:r>
      <w:r>
        <w:rPr>
          <w:color w:val="231F20"/>
          <w:spacing w:val="4"/>
        </w:rPr>
        <w:t>visé </w:t>
      </w:r>
      <w:r>
        <w:rPr>
          <w:color w:val="231F20"/>
        </w:rPr>
        <w:t>à l’article 5:39, ou à la fois auprès du teneur de comptes agréé </w:t>
      </w:r>
      <w:r>
        <w:rPr>
          <w:color w:val="231F20"/>
          <w:spacing w:val="8"/>
        </w:rPr>
        <w:t>visé </w:t>
      </w:r>
      <w:r>
        <w:rPr>
          <w:color w:val="231F20"/>
        </w:rPr>
        <w:t>à l’article</w:t>
      </w:r>
      <w:r>
        <w:rPr>
          <w:color w:val="231F20"/>
          <w:spacing w:val="14"/>
        </w:rPr>
        <w:t> </w:t>
      </w:r>
      <w:r>
        <w:rPr>
          <w:color w:val="231F20"/>
        </w:rPr>
        <w:t>5:39</w:t>
      </w:r>
      <w:r>
        <w:rPr>
          <w:color w:val="231F20"/>
          <w:spacing w:val="14"/>
        </w:rPr>
        <w:t> </w:t>
      </w:r>
      <w:r>
        <w:rPr>
          <w:color w:val="231F20"/>
        </w:rPr>
        <w:t>et</w:t>
      </w:r>
      <w:r>
        <w:rPr>
          <w:color w:val="231F20"/>
          <w:spacing w:val="14"/>
        </w:rPr>
        <w:t> </w:t>
      </w:r>
      <w:r>
        <w:rPr>
          <w:color w:val="231F20"/>
        </w:rPr>
        <w:t>d’un</w:t>
      </w:r>
      <w:r>
        <w:rPr>
          <w:color w:val="231F20"/>
          <w:spacing w:val="15"/>
        </w:rPr>
        <w:t> </w:t>
      </w:r>
      <w:r>
        <w:rPr>
          <w:color w:val="231F20"/>
        </w:rPr>
        <w:t>ou</w:t>
      </w:r>
      <w:r>
        <w:rPr>
          <w:color w:val="231F20"/>
          <w:spacing w:val="14"/>
        </w:rPr>
        <w:t> </w:t>
      </w:r>
      <w:r>
        <w:rPr>
          <w:color w:val="231F20"/>
        </w:rPr>
        <w:t>plusieurs</w:t>
      </w:r>
      <w:r>
        <w:rPr>
          <w:color w:val="231F20"/>
          <w:spacing w:val="14"/>
        </w:rPr>
        <w:t> </w:t>
      </w:r>
      <w:r>
        <w:rPr>
          <w:color w:val="231F20"/>
        </w:rPr>
        <w:t>établissements</w:t>
      </w:r>
      <w:r>
        <w:rPr>
          <w:color w:val="231F20"/>
          <w:spacing w:val="14"/>
        </w:rPr>
        <w:t> </w:t>
      </w:r>
      <w:r>
        <w:rPr>
          <w:color w:val="231F20"/>
        </w:rPr>
        <w:t>précités.</w:t>
      </w:r>
    </w:p>
    <w:p>
      <w:pPr>
        <w:pStyle w:val="BodyText"/>
        <w:spacing w:line="218" w:lineRule="auto" w:before="87"/>
        <w:ind w:right="71"/>
      </w:pPr>
      <w:r>
        <w:rPr>
          <w:color w:val="231F20"/>
        </w:rPr>
        <w:t>Art. 5:32. Un gage sur des titres dématérialisés est constitué conformément à la loi du 15 décembre 2004 relative aux sûretés financières et portant des dispositions fiscales diverses en matière de conventions constitutives de sûreté réelle et de prêts portant sur des instruments financiers.</w:t>
      </w:r>
    </w:p>
    <w:p>
      <w:pPr>
        <w:pStyle w:val="BodyText"/>
        <w:spacing w:line="218" w:lineRule="auto" w:before="85"/>
        <w:ind w:right="71"/>
      </w:pPr>
      <w:r>
        <w:rPr>
          <w:color w:val="231F20"/>
        </w:rPr>
        <w:t>Le constituant du gage est présumé être propriétaire des titres dématérialisés remis en gage. Le gage reste valablement constitué si le constituant du gage n’est pas le propriétaire des titres dématérialisés remis en gage, sans préjudice de la responsabilité du constituant du gage à l’égard du véritable propriétaire des titres dématérialisés remis en gage. Si le constituant du gage a averti le créancier gagiste, au préalable et par écrit, qu’il n’est pas le propriétaire des titres dématé- rialisés remis en gage, la validité du gage est subordonnée à l’accord du propriétaire de ces titres.</w:t>
      </w:r>
    </w:p>
    <w:p>
      <w:pPr>
        <w:pStyle w:val="BodyText"/>
        <w:spacing w:before="1"/>
        <w:ind w:left="0" w:right="0" w:firstLine="0"/>
        <w:jc w:val="left"/>
        <w:rPr>
          <w:sz w:val="23"/>
        </w:rPr>
      </w:pPr>
    </w:p>
    <w:p>
      <w:pPr>
        <w:pStyle w:val="BodyText"/>
        <w:spacing w:line="218" w:lineRule="auto"/>
        <w:ind w:right="71"/>
      </w:pPr>
      <w:r>
        <w:rPr>
          <w:color w:val="231F20"/>
        </w:rPr>
        <w:t>Art. 5:33. Les propriétaires de  titres  dématérialisés  visés  à  l’arti- cle 5:31 ne sont admis à faire valoir leurs droits de copropriété visés à l’article 5:30, alinéa 4, qu’à l’égard du teneur de comptes agréé auprès duquel ces titres sont inscrits en compte ou, s’ils maintiennent directement ces titres auprès de l’organisme de liquidation, à l’égard de celui-ci. Par exception, il leur revient:</w:t>
      </w:r>
    </w:p>
    <w:p>
      <w:pPr>
        <w:pStyle w:val="BodyText"/>
        <w:spacing w:line="218" w:lineRule="auto" w:before="86"/>
        <w:ind w:right="71"/>
      </w:pPr>
      <w:r>
        <w:rPr>
          <w:color w:val="231F20"/>
        </w:rPr>
        <w:t>1° d’exercer un droit de revendication conformément aux disposi- tions du présent article et de l’article 9</w:t>
      </w:r>
      <w:r>
        <w:rPr>
          <w:rFonts w:ascii="Times New Roman" w:hAnsi="Times New Roman"/>
          <w:i/>
          <w:color w:val="231F20"/>
        </w:rPr>
        <w:t>bis</w:t>
      </w:r>
      <w:r>
        <w:rPr>
          <w:color w:val="231F20"/>
        </w:rPr>
        <w:t>, alinéas 2 à 4, de l’arrêté royal n° 62 du 10 novembre 1967 favorisant la circulation des instruments financiers;</w:t>
      </w:r>
    </w:p>
    <w:p>
      <w:pPr>
        <w:pStyle w:val="BodyText"/>
        <w:spacing w:line="260" w:lineRule="atLeast" w:before="2"/>
        <w:ind w:left="284" w:right="71" w:hanging="1"/>
        <w:jc w:val="left"/>
      </w:pPr>
      <w:r>
        <w:rPr>
          <w:color w:val="231F20"/>
        </w:rPr>
        <w:t>2° d’exercer directement leurs droits sociaux auprès de l’émetteur;   3°</w:t>
      </w:r>
      <w:r>
        <w:rPr>
          <w:color w:val="231F20"/>
          <w:spacing w:val="19"/>
        </w:rPr>
        <w:t> </w:t>
      </w:r>
      <w:r>
        <w:rPr>
          <w:color w:val="231F20"/>
        </w:rPr>
        <w:t>en</w:t>
      </w:r>
      <w:r>
        <w:rPr>
          <w:color w:val="231F20"/>
          <w:spacing w:val="19"/>
        </w:rPr>
        <w:t> </w:t>
      </w:r>
      <w:r>
        <w:rPr>
          <w:color w:val="231F20"/>
        </w:rPr>
        <w:t>cas</w:t>
      </w:r>
      <w:r>
        <w:rPr>
          <w:color w:val="231F20"/>
          <w:spacing w:val="19"/>
        </w:rPr>
        <w:t> </w:t>
      </w:r>
      <w:r>
        <w:rPr>
          <w:color w:val="231F20"/>
        </w:rPr>
        <w:t>de</w:t>
      </w:r>
      <w:r>
        <w:rPr>
          <w:color w:val="231F20"/>
          <w:spacing w:val="20"/>
        </w:rPr>
        <w:t> </w:t>
      </w:r>
      <w:r>
        <w:rPr>
          <w:color w:val="231F20"/>
        </w:rPr>
        <w:t>faillite</w:t>
      </w:r>
      <w:r>
        <w:rPr>
          <w:color w:val="231F20"/>
          <w:spacing w:val="19"/>
        </w:rPr>
        <w:t> </w:t>
      </w:r>
      <w:r>
        <w:rPr>
          <w:color w:val="231F20"/>
        </w:rPr>
        <w:t>ou</w:t>
      </w:r>
      <w:r>
        <w:rPr>
          <w:color w:val="231F20"/>
          <w:spacing w:val="19"/>
        </w:rPr>
        <w:t> </w:t>
      </w:r>
      <w:r>
        <w:rPr>
          <w:color w:val="231F20"/>
        </w:rPr>
        <w:t>de</w:t>
      </w:r>
      <w:r>
        <w:rPr>
          <w:color w:val="231F20"/>
          <w:spacing w:val="20"/>
        </w:rPr>
        <w:t> </w:t>
      </w:r>
      <w:r>
        <w:rPr>
          <w:color w:val="231F20"/>
        </w:rPr>
        <w:t>toute</w:t>
      </w:r>
      <w:r>
        <w:rPr>
          <w:color w:val="231F20"/>
          <w:spacing w:val="19"/>
        </w:rPr>
        <w:t> </w:t>
      </w:r>
      <w:r>
        <w:rPr>
          <w:color w:val="231F20"/>
        </w:rPr>
        <w:t>autre</w:t>
      </w:r>
      <w:r>
        <w:rPr>
          <w:color w:val="231F20"/>
          <w:spacing w:val="19"/>
        </w:rPr>
        <w:t> </w:t>
      </w:r>
      <w:r>
        <w:rPr>
          <w:color w:val="231F20"/>
        </w:rPr>
        <w:t>situation</w:t>
      </w:r>
      <w:r>
        <w:rPr>
          <w:color w:val="231F20"/>
          <w:spacing w:val="20"/>
        </w:rPr>
        <w:t> </w:t>
      </w:r>
      <w:r>
        <w:rPr>
          <w:color w:val="231F20"/>
        </w:rPr>
        <w:t>de</w:t>
      </w:r>
      <w:r>
        <w:rPr>
          <w:color w:val="231F20"/>
          <w:spacing w:val="19"/>
        </w:rPr>
        <w:t> </w:t>
      </w:r>
      <w:r>
        <w:rPr>
          <w:color w:val="231F20"/>
        </w:rPr>
        <w:t>concours</w:t>
      </w:r>
      <w:r>
        <w:rPr>
          <w:color w:val="231F20"/>
          <w:spacing w:val="19"/>
        </w:rPr>
        <w:t> </w:t>
      </w:r>
      <w:r>
        <w:rPr>
          <w:color w:val="231F20"/>
        </w:rPr>
        <w:t>dans</w:t>
      </w:r>
      <w:r>
        <w:rPr>
          <w:color w:val="231F20"/>
          <w:spacing w:val="20"/>
        </w:rPr>
        <w:t> </w:t>
      </w:r>
      <w:r>
        <w:rPr>
          <w:color w:val="231F20"/>
        </w:rPr>
        <w:t>le</w:t>
      </w:r>
    </w:p>
    <w:p>
      <w:pPr>
        <w:pStyle w:val="BodyText"/>
        <w:spacing w:line="218" w:lineRule="auto"/>
        <w:ind w:right="71" w:hanging="1"/>
        <w:jc w:val="left"/>
      </w:pPr>
      <w:r>
        <w:rPr>
          <w:color w:val="231F20"/>
        </w:rPr>
        <w:t>chef de l’émetteur, d’exercer directement leurs droits de recours contre celui-ci.</w:t>
      </w:r>
    </w:p>
    <w:p>
      <w:pPr>
        <w:pStyle w:val="BodyText"/>
        <w:spacing w:line="218" w:lineRule="auto" w:before="83"/>
        <w:ind w:right="71"/>
      </w:pPr>
      <w:r>
        <w:rPr>
          <w:color w:val="231F20"/>
        </w:rPr>
        <w:t>En cas de faillite du teneur de comptes agréé ou de toute autre situation de concours, la revendication du montant des titres dématé- rialisés visés à l’article 5:31 dont le teneur de comptes agréé est redevable, s’exerce collectivement sur l’universalité des titres dématé- rialisés de la même catégorie et classe, inscrits au nom du teneur de comptes agréé auprès d’autres teneurs de comptes agréés ou auprès de l’organisme de liquidation.</w:t>
      </w:r>
    </w:p>
    <w:p>
      <w:pPr>
        <w:pStyle w:val="BodyText"/>
        <w:ind w:left="0" w:right="0" w:firstLine="0"/>
        <w:jc w:val="left"/>
        <w:rPr>
          <w:sz w:val="23"/>
        </w:rPr>
      </w:pPr>
    </w:p>
    <w:p>
      <w:pPr>
        <w:pStyle w:val="BodyText"/>
        <w:spacing w:line="218" w:lineRule="auto"/>
        <w:ind w:right="71"/>
      </w:pPr>
      <w:r>
        <w:rPr>
          <w:color w:val="231F20"/>
        </w:rPr>
        <w:t>Si, dans le cas visé à l’alinéa 2, cette universalité est insuffisante pour assurer la restitution intégrale des titres dématérialisés dus inscrits en compte, elle sera répartie entre les propriétaires en proportion de leurs droits.</w:t>
      </w:r>
    </w:p>
    <w:p>
      <w:pPr>
        <w:pStyle w:val="BodyText"/>
        <w:spacing w:line="218" w:lineRule="auto" w:before="86"/>
        <w:ind w:right="71"/>
      </w:pPr>
      <w:r>
        <w:rPr>
          <w:color w:val="231F20"/>
        </w:rPr>
        <w:t>Lorsque des propriétaires ont autorisé le teneur de compte agréé, conformément au droit applicable, à disposer de leurs titres dématé- rialisés, et pour autant qu’une telle disposition ait eu lieu dans les limites de cette autorisation, il ne leur sera attribué, en cas de faillite du teneur de compte agréé ou de toute autre situation de concours, que le nombre de titres qui subsiste après que la totalité des titres de la même catégorie appartenant aux autres propriétaires leur aura été restituée.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71"/>
      </w:pPr>
      <w:r>
        <w:rPr>
          <w:color w:val="231F20"/>
        </w:rPr>
        <w:t>Si le teneur de comptes agréé est lui-même propriétaire d’un nombre de titres dématérialisés de la même catégorie, il ne lui est attribué, lors de l’application de l’alinéa 3, que le montant des titres qui subsiste après que le montant total des titres de la même catégorie détenus par lui</w:t>
      </w:r>
      <w:r>
        <w:rPr>
          <w:color w:val="231F20"/>
          <w:spacing w:val="15"/>
        </w:rPr>
        <w:t> </w:t>
      </w:r>
      <w:r>
        <w:rPr>
          <w:color w:val="231F20"/>
        </w:rPr>
        <w:t>pour</w:t>
      </w:r>
      <w:r>
        <w:rPr>
          <w:color w:val="231F20"/>
          <w:spacing w:val="15"/>
        </w:rPr>
        <w:t> </w:t>
      </w:r>
      <w:r>
        <w:rPr>
          <w:color w:val="231F20"/>
        </w:rPr>
        <w:t>compte</w:t>
      </w:r>
      <w:r>
        <w:rPr>
          <w:color w:val="231F20"/>
          <w:spacing w:val="15"/>
        </w:rPr>
        <w:t> </w:t>
      </w:r>
      <w:r>
        <w:rPr>
          <w:color w:val="231F20"/>
        </w:rPr>
        <w:t>de</w:t>
      </w:r>
      <w:r>
        <w:rPr>
          <w:color w:val="231F20"/>
          <w:spacing w:val="15"/>
        </w:rPr>
        <w:t> </w:t>
      </w:r>
      <w:r>
        <w:rPr>
          <w:color w:val="231F20"/>
        </w:rPr>
        <w:t>tiers</w:t>
      </w:r>
      <w:r>
        <w:rPr>
          <w:color w:val="231F20"/>
          <w:spacing w:val="15"/>
        </w:rPr>
        <w:t> </w:t>
      </w:r>
      <w:r>
        <w:rPr>
          <w:color w:val="231F20"/>
        </w:rPr>
        <w:t>aura</w:t>
      </w:r>
      <w:r>
        <w:rPr>
          <w:color w:val="231F20"/>
          <w:spacing w:val="15"/>
        </w:rPr>
        <w:t> </w:t>
      </w:r>
      <w:r>
        <w:rPr>
          <w:color w:val="231F20"/>
        </w:rPr>
        <w:t>pu</w:t>
      </w:r>
      <w:r>
        <w:rPr>
          <w:color w:val="231F20"/>
          <w:spacing w:val="15"/>
        </w:rPr>
        <w:t> </w:t>
      </w:r>
      <w:r>
        <w:rPr>
          <w:color w:val="231F20"/>
        </w:rPr>
        <w:t>être</w:t>
      </w:r>
      <w:r>
        <w:rPr>
          <w:color w:val="231F20"/>
          <w:spacing w:val="15"/>
        </w:rPr>
        <w:t> </w:t>
      </w:r>
      <w:r>
        <w:rPr>
          <w:color w:val="231F20"/>
        </w:rPr>
        <w:t>restitué.</w:t>
      </w:r>
    </w:p>
    <w:p>
      <w:pPr>
        <w:pStyle w:val="BodyText"/>
        <w:spacing w:line="218" w:lineRule="auto" w:before="119"/>
        <w:ind w:right="121"/>
      </w:pPr>
      <w:r>
        <w:rPr/>
        <w:br w:type="column"/>
      </w:r>
      <w:r>
        <w:rPr>
          <w:color w:val="231F20"/>
        </w:rPr>
        <w:t>2° ten aanzien van beleggingsondernemingen gebruik van de </w:t>
      </w:r>
      <w:r>
        <w:rPr>
          <w:color w:val="231F20"/>
          <w:spacing w:val="2"/>
        </w:rPr>
        <w:t>bevoegdheden   </w:t>
      </w:r>
      <w:r>
        <w:rPr>
          <w:color w:val="231F20"/>
        </w:rPr>
        <w:t>die   </w:t>
      </w:r>
      <w:r>
        <w:rPr>
          <w:color w:val="231F20"/>
          <w:spacing w:val="2"/>
        </w:rPr>
        <w:t>haar   </w:t>
      </w:r>
      <w:r>
        <w:rPr>
          <w:color w:val="231F20"/>
        </w:rPr>
        <w:t>werden   </w:t>
      </w:r>
      <w:r>
        <w:rPr>
          <w:color w:val="231F20"/>
          <w:spacing w:val="2"/>
        </w:rPr>
        <w:t>toegekend   door   </w:t>
      </w:r>
      <w:r>
        <w:rPr>
          <w:color w:val="231F20"/>
        </w:rPr>
        <w:t>de   wet   </w:t>
      </w:r>
      <w:r>
        <w:rPr>
          <w:color w:val="231F20"/>
          <w:spacing w:val="3"/>
        </w:rPr>
        <w:t>van  </w:t>
      </w:r>
      <w:r>
        <w:rPr>
          <w:color w:val="231F20"/>
        </w:rPr>
        <w:t>25</w:t>
      </w:r>
      <w:r>
        <w:rPr>
          <w:color w:val="231F20"/>
          <w:spacing w:val="-5"/>
        </w:rPr>
        <w:t> </w:t>
      </w:r>
      <w:r>
        <w:rPr>
          <w:color w:val="231F20"/>
        </w:rPr>
        <w:t>april</w:t>
      </w:r>
      <w:r>
        <w:rPr>
          <w:color w:val="231F20"/>
          <w:spacing w:val="-5"/>
        </w:rPr>
        <w:t> </w:t>
      </w:r>
      <w:r>
        <w:rPr>
          <w:color w:val="231F20"/>
        </w:rPr>
        <w:t>2014</w:t>
      </w:r>
      <w:r>
        <w:rPr>
          <w:color w:val="231F20"/>
          <w:spacing w:val="-5"/>
        </w:rPr>
        <w:t> </w:t>
      </w:r>
      <w:r>
        <w:rPr>
          <w:color w:val="231F20"/>
        </w:rPr>
        <w:t>op</w:t>
      </w:r>
      <w:r>
        <w:rPr>
          <w:color w:val="231F20"/>
          <w:spacing w:val="-4"/>
        </w:rPr>
        <w:t> </w:t>
      </w:r>
      <w:r>
        <w:rPr>
          <w:color w:val="231F20"/>
        </w:rPr>
        <w:t>het</w:t>
      </w:r>
      <w:r>
        <w:rPr>
          <w:color w:val="231F20"/>
          <w:spacing w:val="-5"/>
        </w:rPr>
        <w:t> </w:t>
      </w:r>
      <w:r>
        <w:rPr>
          <w:color w:val="231F20"/>
        </w:rPr>
        <w:t>statuut</w:t>
      </w:r>
      <w:r>
        <w:rPr>
          <w:color w:val="231F20"/>
          <w:spacing w:val="-5"/>
        </w:rPr>
        <w:t> </w:t>
      </w:r>
      <w:r>
        <w:rPr>
          <w:color w:val="231F20"/>
        </w:rPr>
        <w:t>van</w:t>
      </w:r>
      <w:r>
        <w:rPr>
          <w:color w:val="231F20"/>
          <w:spacing w:val="-4"/>
        </w:rPr>
        <w:t> </w:t>
      </w:r>
      <w:r>
        <w:rPr>
          <w:color w:val="231F20"/>
        </w:rPr>
        <w:t>en</w:t>
      </w:r>
      <w:r>
        <w:rPr>
          <w:color w:val="231F20"/>
          <w:spacing w:val="-5"/>
        </w:rPr>
        <w:t> </w:t>
      </w:r>
      <w:r>
        <w:rPr>
          <w:color w:val="231F20"/>
        </w:rPr>
        <w:t>het</w:t>
      </w:r>
      <w:r>
        <w:rPr>
          <w:color w:val="231F20"/>
          <w:spacing w:val="-5"/>
        </w:rPr>
        <w:t> </w:t>
      </w:r>
      <w:r>
        <w:rPr>
          <w:color w:val="231F20"/>
        </w:rPr>
        <w:t>toezicht</w:t>
      </w:r>
      <w:r>
        <w:rPr>
          <w:color w:val="231F20"/>
          <w:spacing w:val="-4"/>
        </w:rPr>
        <w:t> </w:t>
      </w:r>
      <w:r>
        <w:rPr>
          <w:color w:val="231F20"/>
        </w:rPr>
        <w:t>op</w:t>
      </w:r>
      <w:r>
        <w:rPr>
          <w:color w:val="231F20"/>
          <w:spacing w:val="-5"/>
        </w:rPr>
        <w:t> </w:t>
      </w:r>
      <w:r>
        <w:rPr>
          <w:color w:val="231F20"/>
        </w:rPr>
        <w:t>kredietinstellingen</w:t>
      </w:r>
      <w:r>
        <w:rPr>
          <w:color w:val="231F20"/>
          <w:spacing w:val="-5"/>
        </w:rPr>
        <w:t> </w:t>
      </w:r>
      <w:r>
        <w:rPr>
          <w:color w:val="231F20"/>
        </w:rPr>
        <w:t>en beursvennootschappen;</w:t>
      </w:r>
    </w:p>
    <w:p>
      <w:pPr>
        <w:pStyle w:val="BodyText"/>
        <w:spacing w:line="218" w:lineRule="auto" w:before="86"/>
        <w:ind w:right="123"/>
      </w:pPr>
      <w:r>
        <w:rPr>
          <w:color w:val="231F20"/>
        </w:rPr>
        <w:t>3° ten aanzien van verrekenings- en vereffeningsinstellingen gebruik van de bevoegdheden die haar werden toegekend door de wet.</w:t>
      </w:r>
    </w:p>
    <w:p>
      <w:pPr>
        <w:pStyle w:val="BodyText"/>
        <w:spacing w:line="218" w:lineRule="auto" w:before="86"/>
      </w:pPr>
      <w:r>
        <w:rPr>
          <w:color w:val="231F20"/>
        </w:rPr>
        <w:t>De daarmee overeenstemmende bepalingen die de niet-naleving van voornoemde bepalingen bestraffen zijn van toepassing.</w:t>
      </w:r>
    </w:p>
    <w:p>
      <w:pPr>
        <w:pStyle w:val="BodyText"/>
        <w:spacing w:line="218" w:lineRule="auto" w:before="85"/>
        <w:ind w:right="123"/>
      </w:pPr>
      <w:r>
        <w:rPr>
          <w:color w:val="231F20"/>
        </w:rPr>
        <w:t>Art. 5:31. De erkende rekeninghouders houden de gedemateriali- seerde effecten die zij houden voor rekening van derden en voor eigen rekening bij op rekeningen bij de vereffeningsinstelling, bij één of meerdere instellingen die voor hen rechtstreeks of onrechtstreeks als tussenpersoon ten opzichte van die vereffeningsinstelling optreden, of tegelijk bij de vereffeningsinstelling en één of meerdere voornoemde instellingen. In voorkomend geval houden de erkende rekeninghou- ders de gedematerialiseerde effecten die zij houden voor rekening van derden en voor eigen rekening bij op rekeningen bij de erkende rekeninghouder waarvan sprake in artikel 5:39, bij één of meerdere instellingen die voor hen rechtstreeks of onrechtstreeks als tussenper- soon ten opzichte van die in artikel 5:39 bedoelde erkende rekening- houder optreden, of tegelijk bij de erkende rekeninghouder waarvan sprake in artikel 5:39 en één of meerdere voornoemde instellingen.</w:t>
      </w:r>
    </w:p>
    <w:p>
      <w:pPr>
        <w:pStyle w:val="BodyText"/>
        <w:spacing w:before="1"/>
        <w:ind w:left="0" w:right="0" w:firstLine="0"/>
        <w:jc w:val="left"/>
        <w:rPr>
          <w:sz w:val="23"/>
        </w:rPr>
      </w:pPr>
    </w:p>
    <w:p>
      <w:pPr>
        <w:pStyle w:val="BodyText"/>
        <w:spacing w:line="218" w:lineRule="auto"/>
      </w:pPr>
      <w:r>
        <w:rPr>
          <w:color w:val="231F20"/>
        </w:rPr>
        <w:t>Art. 5:32. Een pand op gedematerialiseerde effecten wordt gevestigd overeenkomstig de wet van 15 december 2004 betreffende de financiële zekerheden en houdende diverse fiscale bepalingen inzake zakelijke- zekerheidsovereenkomsten en leningen met betrekking tot financiële instrumenten.</w:t>
      </w:r>
    </w:p>
    <w:p>
      <w:pPr>
        <w:pStyle w:val="BodyText"/>
        <w:spacing w:line="218" w:lineRule="auto" w:before="86"/>
        <w:ind w:right="125"/>
      </w:pPr>
      <w:r>
        <w:rPr>
          <w:color w:val="231F20"/>
        </w:rPr>
        <w:t>De pandgever wordt geacht eigenaar te zijn van de in pand gegeven gedematerialiseerde effecten. Het pand blijft geldig gevestigd als de pandgever niet de eigenaar is van de in pand gegeven gedemateriali- seerde effecten, onverminderd de aansprakelijkheid van de pandgever ten overstaan van de werkelijke eigenaar van de in pand gegeven gedematerialiseerde effecten. Indien de pandgever de pandhoudende schuldeiser voorafgaandelijk en schriftelijk heeft verwittigd dat hij niet de eigenaar is van de in pand gegeven gedematerialiseerde effecten, dan is de geldigheid van het pand onderworpen aan de machtiging van de</w:t>
      </w:r>
      <w:r>
        <w:rPr>
          <w:color w:val="231F20"/>
          <w:spacing w:val="17"/>
        </w:rPr>
        <w:t> </w:t>
      </w:r>
      <w:r>
        <w:rPr>
          <w:color w:val="231F20"/>
        </w:rPr>
        <w:t>eigenaar</w:t>
      </w:r>
      <w:r>
        <w:rPr>
          <w:color w:val="231F20"/>
          <w:spacing w:val="17"/>
        </w:rPr>
        <w:t> </w:t>
      </w:r>
      <w:r>
        <w:rPr>
          <w:color w:val="231F20"/>
        </w:rPr>
        <w:t>voor</w:t>
      </w:r>
      <w:r>
        <w:rPr>
          <w:color w:val="231F20"/>
          <w:spacing w:val="17"/>
        </w:rPr>
        <w:t> </w:t>
      </w:r>
      <w:r>
        <w:rPr>
          <w:color w:val="231F20"/>
        </w:rPr>
        <w:t>de</w:t>
      </w:r>
      <w:r>
        <w:rPr>
          <w:color w:val="231F20"/>
          <w:spacing w:val="18"/>
        </w:rPr>
        <w:t> </w:t>
      </w:r>
      <w:r>
        <w:rPr>
          <w:color w:val="231F20"/>
        </w:rPr>
        <w:t>inpandgeving</w:t>
      </w:r>
      <w:r>
        <w:rPr>
          <w:color w:val="231F20"/>
          <w:spacing w:val="17"/>
        </w:rPr>
        <w:t> </w:t>
      </w:r>
      <w:r>
        <w:rPr>
          <w:color w:val="231F20"/>
        </w:rPr>
        <w:t>van</w:t>
      </w:r>
      <w:r>
        <w:rPr>
          <w:color w:val="231F20"/>
          <w:spacing w:val="17"/>
        </w:rPr>
        <w:t> </w:t>
      </w:r>
      <w:r>
        <w:rPr>
          <w:color w:val="231F20"/>
        </w:rPr>
        <w:t>deze</w:t>
      </w:r>
      <w:r>
        <w:rPr>
          <w:color w:val="231F20"/>
          <w:spacing w:val="18"/>
        </w:rPr>
        <w:t> </w:t>
      </w:r>
      <w:r>
        <w:rPr>
          <w:color w:val="231F20"/>
        </w:rPr>
        <w:t>effecten.</w:t>
      </w:r>
    </w:p>
    <w:p>
      <w:pPr>
        <w:pStyle w:val="BodyText"/>
        <w:spacing w:line="218" w:lineRule="auto" w:before="86"/>
        <w:ind w:right="123"/>
      </w:pPr>
      <w:r>
        <w:rPr>
          <w:color w:val="231F20"/>
        </w:rPr>
        <w:t>Art. 5:33. De eigenaars van gedematerialiseerde effecten bedoeld in artikel 5:31 kunnen hun rechten van mede-eigendom bedoeld  in  artikel 5:30, vierde lid, alleen laten gelden jegens de erkende rekening- houder bij wie deze effecten op rekening werden geboekt of, indien zij die effecten rechtstreeks aanhouden bij de vereffeningsinstelling,</w:t>
      </w:r>
      <w:r>
        <w:rPr>
          <w:color w:val="231F20"/>
          <w:spacing w:val="-16"/>
        </w:rPr>
        <w:t> </w:t>
      </w:r>
      <w:r>
        <w:rPr>
          <w:color w:val="231F20"/>
        </w:rPr>
        <w:t>jegens deze</w:t>
      </w:r>
      <w:r>
        <w:rPr>
          <w:color w:val="231F20"/>
          <w:spacing w:val="15"/>
        </w:rPr>
        <w:t> </w:t>
      </w:r>
      <w:r>
        <w:rPr>
          <w:color w:val="231F20"/>
        </w:rPr>
        <w:t>laatste.</w:t>
      </w:r>
      <w:r>
        <w:rPr>
          <w:color w:val="231F20"/>
          <w:spacing w:val="16"/>
        </w:rPr>
        <w:t> </w:t>
      </w:r>
      <w:r>
        <w:rPr>
          <w:color w:val="231F20"/>
        </w:rPr>
        <w:t>Bij</w:t>
      </w:r>
      <w:r>
        <w:rPr>
          <w:color w:val="231F20"/>
          <w:spacing w:val="16"/>
        </w:rPr>
        <w:t> </w:t>
      </w:r>
      <w:r>
        <w:rPr>
          <w:color w:val="231F20"/>
        </w:rPr>
        <w:t>wijze</w:t>
      </w:r>
      <w:r>
        <w:rPr>
          <w:color w:val="231F20"/>
          <w:spacing w:val="16"/>
        </w:rPr>
        <w:t> </w:t>
      </w:r>
      <w:r>
        <w:rPr>
          <w:color w:val="231F20"/>
        </w:rPr>
        <w:t>van</w:t>
      </w:r>
      <w:r>
        <w:rPr>
          <w:color w:val="231F20"/>
          <w:spacing w:val="16"/>
        </w:rPr>
        <w:t> </w:t>
      </w:r>
      <w:r>
        <w:rPr>
          <w:color w:val="231F20"/>
        </w:rPr>
        <w:t>uitzondering</w:t>
      </w:r>
      <w:r>
        <w:rPr>
          <w:color w:val="231F20"/>
          <w:spacing w:val="16"/>
        </w:rPr>
        <w:t> </w:t>
      </w:r>
      <w:r>
        <w:rPr>
          <w:color w:val="231F20"/>
        </w:rPr>
        <w:t>kunnen</w:t>
      </w:r>
      <w:r>
        <w:rPr>
          <w:color w:val="231F20"/>
          <w:spacing w:val="16"/>
        </w:rPr>
        <w:t> </w:t>
      </w:r>
      <w:r>
        <w:rPr>
          <w:color w:val="231F20"/>
        </w:rPr>
        <w:t>zij:</w:t>
      </w:r>
    </w:p>
    <w:p>
      <w:pPr>
        <w:pStyle w:val="BodyText"/>
        <w:spacing w:line="218" w:lineRule="auto" w:before="86"/>
        <w:ind w:right="125"/>
      </w:pPr>
      <w:r>
        <w:rPr>
          <w:color w:val="231F20"/>
        </w:rPr>
        <w:t>1° een recht van terugvordering uitoefenen overeenkomstig de bepalingen van dit artikel en artikel 9</w:t>
      </w:r>
      <w:r>
        <w:rPr>
          <w:rFonts w:ascii="Times New Roman" w:hAnsi="Times New Roman"/>
          <w:i/>
          <w:color w:val="231F20"/>
        </w:rPr>
        <w:t>bis</w:t>
      </w:r>
      <w:r>
        <w:rPr>
          <w:color w:val="231F20"/>
        </w:rPr>
        <w:t>, tweede tot vierde lid, van het koninklijk besluit nr. 62 van 10 november 1967 ter bevordering van de omloop van de financiële instrumenten;</w:t>
      </w:r>
    </w:p>
    <w:p>
      <w:pPr>
        <w:pStyle w:val="BodyText"/>
        <w:spacing w:before="69"/>
        <w:ind w:left="283" w:right="0" w:firstLine="0"/>
        <w:jc w:val="left"/>
      </w:pPr>
      <w:r>
        <w:rPr>
          <w:color w:val="231F20"/>
        </w:rPr>
        <w:t>2° rechtstreeks hun lidmaatschapsrechten uitoefenen bij de emittent;</w:t>
      </w:r>
    </w:p>
    <w:p>
      <w:pPr>
        <w:pStyle w:val="BodyText"/>
        <w:spacing w:line="218" w:lineRule="auto" w:before="82"/>
      </w:pPr>
      <w:r>
        <w:rPr>
          <w:color w:val="231F20"/>
        </w:rPr>
        <w:t>3° in geval van faillissement of in alle andere gevallen van samenloop in hoofde van de emittent rechtstreeks hun recht van verhaal tegen</w:t>
      </w:r>
      <w:r>
        <w:rPr>
          <w:color w:val="231F20"/>
          <w:spacing w:val="-23"/>
        </w:rPr>
        <w:t> </w:t>
      </w:r>
      <w:r>
        <w:rPr>
          <w:color w:val="231F20"/>
        </w:rPr>
        <w:t>deze laatste</w:t>
      </w:r>
      <w:r>
        <w:rPr>
          <w:color w:val="231F20"/>
          <w:spacing w:val="14"/>
        </w:rPr>
        <w:t> </w:t>
      </w:r>
      <w:r>
        <w:rPr>
          <w:color w:val="231F20"/>
        </w:rPr>
        <w:t>uitoefenen.</w:t>
      </w:r>
    </w:p>
    <w:p>
      <w:pPr>
        <w:pStyle w:val="BodyText"/>
        <w:spacing w:line="218" w:lineRule="auto" w:before="85"/>
      </w:pPr>
      <w:r>
        <w:rPr>
          <w:color w:val="231F20"/>
        </w:rPr>
        <w:t>In geval van faillissement van de erkende rekeninghouder of in alle andere gevallen van samenloop, gebeurt de terugvordering van het bedrag van de in artikel 5:31 bedoelde gedematerialiseerde effecten, dat de erkende rekeninghouder is verschuldigd, op collectieve wijze op de algemeenheid van de gedematerialiseerde effecten van dezelfde cate- gorie en soort, die op naam van de erkende rekeninghouder zijn ingeschreven bij andere erkende rekeninghouders of bij de vereffening- sinstelling.</w:t>
      </w:r>
    </w:p>
    <w:p>
      <w:pPr>
        <w:pStyle w:val="BodyText"/>
        <w:spacing w:line="218" w:lineRule="auto" w:before="86"/>
        <w:ind w:right="125"/>
      </w:pPr>
      <w:r>
        <w:rPr>
          <w:color w:val="231F20"/>
        </w:rPr>
        <w:t>Indien in het geval bedoeld in het tweede lid, deze algemeenheid onvoldoende is om de volledige teruggave te verzekeren van de op rekening geboekte verschuldigde gedematerialiseerde effecten, wordt zij</w:t>
      </w:r>
      <w:r>
        <w:rPr>
          <w:color w:val="231F20"/>
          <w:spacing w:val="17"/>
        </w:rPr>
        <w:t> </w:t>
      </w:r>
      <w:r>
        <w:rPr>
          <w:color w:val="231F20"/>
        </w:rPr>
        <w:t>verdeeld</w:t>
      </w:r>
      <w:r>
        <w:rPr>
          <w:color w:val="231F20"/>
          <w:spacing w:val="17"/>
        </w:rPr>
        <w:t> </w:t>
      </w:r>
      <w:r>
        <w:rPr>
          <w:color w:val="231F20"/>
        </w:rPr>
        <w:t>onder</w:t>
      </w:r>
      <w:r>
        <w:rPr>
          <w:color w:val="231F20"/>
          <w:spacing w:val="17"/>
        </w:rPr>
        <w:t> </w:t>
      </w:r>
      <w:r>
        <w:rPr>
          <w:color w:val="231F20"/>
        </w:rPr>
        <w:t>de</w:t>
      </w:r>
      <w:r>
        <w:rPr>
          <w:color w:val="231F20"/>
          <w:spacing w:val="17"/>
        </w:rPr>
        <w:t> </w:t>
      </w:r>
      <w:r>
        <w:rPr>
          <w:color w:val="231F20"/>
        </w:rPr>
        <w:t>eigenaars</w:t>
      </w:r>
      <w:r>
        <w:rPr>
          <w:color w:val="231F20"/>
          <w:spacing w:val="17"/>
        </w:rPr>
        <w:t> </w:t>
      </w:r>
      <w:r>
        <w:rPr>
          <w:color w:val="231F20"/>
        </w:rPr>
        <w:t>in</w:t>
      </w:r>
      <w:r>
        <w:rPr>
          <w:color w:val="231F20"/>
          <w:spacing w:val="17"/>
        </w:rPr>
        <w:t> </w:t>
      </w:r>
      <w:r>
        <w:rPr>
          <w:color w:val="231F20"/>
        </w:rPr>
        <w:t>verhouding</w:t>
      </w:r>
      <w:r>
        <w:rPr>
          <w:color w:val="231F20"/>
          <w:spacing w:val="17"/>
        </w:rPr>
        <w:t> </w:t>
      </w:r>
      <w:r>
        <w:rPr>
          <w:color w:val="231F20"/>
        </w:rPr>
        <w:t>tot</w:t>
      </w:r>
      <w:r>
        <w:rPr>
          <w:color w:val="231F20"/>
          <w:spacing w:val="17"/>
        </w:rPr>
        <w:t> </w:t>
      </w:r>
      <w:r>
        <w:rPr>
          <w:color w:val="231F20"/>
        </w:rPr>
        <w:t>hun</w:t>
      </w:r>
      <w:r>
        <w:rPr>
          <w:color w:val="231F20"/>
          <w:spacing w:val="17"/>
        </w:rPr>
        <w:t> </w:t>
      </w:r>
      <w:r>
        <w:rPr>
          <w:color w:val="231F20"/>
        </w:rPr>
        <w:t>rechten.</w:t>
      </w:r>
    </w:p>
    <w:p>
      <w:pPr>
        <w:pStyle w:val="BodyText"/>
        <w:spacing w:line="218" w:lineRule="auto" w:before="86"/>
        <w:ind w:right="123"/>
      </w:pPr>
      <w:r>
        <w:rPr>
          <w:color w:val="231F20"/>
          <w:spacing w:val="-3"/>
        </w:rPr>
        <w:t>Wanneer </w:t>
      </w:r>
      <w:r>
        <w:rPr>
          <w:color w:val="231F20"/>
        </w:rPr>
        <w:t>eigenaars de erkende rekeninghouder overeenkomstig het toepasselijke recht hebben gemachtigd om over hun gedemateriali- seerde effecten te beschikken, en voor zover een dergelijke beschikking is gebeurd binnen de grenzen van deze machtiging, wordt hun, in geval van faillissement van de erkende rekeninghouder of in alle andere gevallen van samenloop, slechts het aantal effecten toegekend dat overblijft nadat het volledige aantal van de aan de andere eigenaars toebehorende effecten van dezelfde categorie aan deze laatsten is teruggegeven.</w:t>
      </w:r>
    </w:p>
    <w:p>
      <w:pPr>
        <w:pStyle w:val="BodyText"/>
        <w:spacing w:line="218" w:lineRule="auto" w:before="97"/>
      </w:pPr>
      <w:r>
        <w:rPr>
          <w:color w:val="231F20"/>
        </w:rPr>
        <w:t>Indien de erkende rekeninghouder zelf eigenaar is van een aantal gedematerialiseerde effecten van dezelfde categorie, wordt hem, bij de toepassing van het derde lid, slechts het bedrag aan effecten toegekend dat overblijft nadat het volledige bedrag van de door hem voor  rekening van derden gehouden effecten van dezelfde categorie is teruggegeven.</w:t>
      </w:r>
    </w:p>
    <w:p>
      <w:pPr>
        <w:spacing w:after="0" w:line="218" w:lineRule="auto"/>
        <w:sectPr>
          <w:pgSz w:w="11940" w:h="16880"/>
          <w:pgMar w:header="666" w:footer="0" w:top="1140" w:bottom="280" w:left="340" w:right="360"/>
          <w:cols w:num="2" w:equalWidth="0">
            <w:col w:w="5560" w:space="67"/>
            <w:col w:w="5613"/>
          </w:cols>
        </w:sectPr>
      </w:pPr>
    </w:p>
    <w:p>
      <w:pPr>
        <w:pStyle w:val="BodyText"/>
        <w:spacing w:line="216" w:lineRule="auto" w:before="121"/>
        <w:ind w:right="38"/>
      </w:pPr>
      <w:r>
        <w:rPr/>
        <w:pict>
          <v:line style="position:absolute;mso-position-horizontal-relative:page;mso-position-vertical-relative:page;z-index:3304" from="298.170502pt,64.473pt" to="298.170502pt,812.819pt" stroked="true" strokeweight=".533pt" strokecolor="#231f20">
            <v:stroke dashstyle="solid"/>
            <w10:wrap type="none"/>
          </v:line>
        </w:pict>
      </w:r>
      <w:bookmarkStart w:name="_bookmark95" w:id="100"/>
      <w:bookmarkEnd w:id="100"/>
      <w:r>
        <w:rPr/>
      </w:r>
      <w:r>
        <w:rPr>
          <w:color w:val="231F20"/>
        </w:rPr>
        <w:t>Lorsqu’un intermédiaire a fait inscrire pour le compte d’autrui des titres dématérialisés visés à l’article 5:31 à son nom ou à celui d’une tierce personne, le propriétaire pour le compte duquel cette inscription a été prise peut revendiquer l’avoir qui est inscrit au nom de cet intermédiaire ou de cette tierce personne auprès du teneur de comptes agréé ou de l’organisme de liquidation. Cette revendication s’exerce suivant les règles définies aux alinéas 1</w:t>
      </w:r>
      <w:r>
        <w:rPr>
          <w:color w:val="231F20"/>
          <w:position w:val="7"/>
          <w:sz w:val="11"/>
        </w:rPr>
        <w:t>er </w:t>
      </w:r>
      <w:r>
        <w:rPr>
          <w:color w:val="231F20"/>
        </w:rPr>
        <w:t>à 4.</w:t>
      </w:r>
    </w:p>
    <w:p>
      <w:pPr>
        <w:pStyle w:val="BodyText"/>
        <w:spacing w:before="2"/>
        <w:ind w:left="0" w:right="0" w:firstLine="0"/>
        <w:jc w:val="left"/>
        <w:rPr>
          <w:sz w:val="31"/>
        </w:rPr>
      </w:pPr>
    </w:p>
    <w:p>
      <w:pPr>
        <w:pStyle w:val="BodyText"/>
        <w:spacing w:line="218" w:lineRule="auto"/>
        <w:ind w:right="38"/>
      </w:pPr>
      <w:r>
        <w:rPr>
          <w:color w:val="231F20"/>
        </w:rPr>
        <w:t>La</w:t>
      </w:r>
      <w:r>
        <w:rPr>
          <w:color w:val="231F20"/>
          <w:spacing w:val="-4"/>
        </w:rPr>
        <w:t> </w:t>
      </w:r>
      <w:r>
        <w:rPr>
          <w:color w:val="231F20"/>
        </w:rPr>
        <w:t>restitution</w:t>
      </w:r>
      <w:r>
        <w:rPr>
          <w:color w:val="231F20"/>
          <w:spacing w:val="-4"/>
        </w:rPr>
        <w:t> </w:t>
      </w:r>
      <w:r>
        <w:rPr>
          <w:color w:val="231F20"/>
        </w:rPr>
        <w:t>des</w:t>
      </w:r>
      <w:r>
        <w:rPr>
          <w:color w:val="231F20"/>
          <w:spacing w:val="-3"/>
        </w:rPr>
        <w:t> </w:t>
      </w:r>
      <w:r>
        <w:rPr>
          <w:color w:val="231F20"/>
        </w:rPr>
        <w:t>titres</w:t>
      </w:r>
      <w:r>
        <w:rPr>
          <w:color w:val="231F20"/>
          <w:spacing w:val="-4"/>
        </w:rPr>
        <w:t> </w:t>
      </w:r>
      <w:r>
        <w:rPr>
          <w:color w:val="231F20"/>
        </w:rPr>
        <w:t>dématérialisés</w:t>
      </w:r>
      <w:r>
        <w:rPr>
          <w:color w:val="231F20"/>
          <w:spacing w:val="-3"/>
        </w:rPr>
        <w:t> </w:t>
      </w:r>
      <w:r>
        <w:rPr>
          <w:color w:val="231F20"/>
        </w:rPr>
        <w:t>visés</w:t>
      </w:r>
      <w:r>
        <w:rPr>
          <w:color w:val="231F20"/>
          <w:spacing w:val="-4"/>
        </w:rPr>
        <w:t> </w:t>
      </w:r>
      <w:r>
        <w:rPr>
          <w:color w:val="231F20"/>
        </w:rPr>
        <w:t>à</w:t>
      </w:r>
      <w:r>
        <w:rPr>
          <w:color w:val="231F20"/>
          <w:spacing w:val="-3"/>
        </w:rPr>
        <w:t> </w:t>
      </w:r>
      <w:r>
        <w:rPr>
          <w:color w:val="231F20"/>
        </w:rPr>
        <w:t>l’article</w:t>
      </w:r>
      <w:r>
        <w:rPr>
          <w:color w:val="231F20"/>
          <w:spacing w:val="-4"/>
        </w:rPr>
        <w:t> </w:t>
      </w:r>
      <w:r>
        <w:rPr>
          <w:color w:val="231F20"/>
        </w:rPr>
        <w:t>5:31</w:t>
      </w:r>
      <w:r>
        <w:rPr>
          <w:color w:val="231F20"/>
          <w:spacing w:val="-4"/>
        </w:rPr>
        <w:t> </w:t>
      </w:r>
      <w:r>
        <w:rPr>
          <w:color w:val="231F20"/>
        </w:rPr>
        <w:t>s’opère</w:t>
      </w:r>
      <w:r>
        <w:rPr>
          <w:color w:val="231F20"/>
          <w:spacing w:val="-3"/>
        </w:rPr>
        <w:t> </w:t>
      </w:r>
      <w:r>
        <w:rPr>
          <w:color w:val="231F20"/>
        </w:rPr>
        <w:t>par virement sur un compte-titres auprès d’un autre teneur de comptes agréé,</w:t>
      </w:r>
      <w:r>
        <w:rPr>
          <w:color w:val="231F20"/>
          <w:spacing w:val="16"/>
        </w:rPr>
        <w:t> </w:t>
      </w:r>
      <w:r>
        <w:rPr>
          <w:color w:val="231F20"/>
        </w:rPr>
        <w:t>désigné</w:t>
      </w:r>
      <w:r>
        <w:rPr>
          <w:color w:val="231F20"/>
          <w:spacing w:val="17"/>
        </w:rPr>
        <w:t> </w:t>
      </w:r>
      <w:r>
        <w:rPr>
          <w:color w:val="231F20"/>
        </w:rPr>
        <w:t>par</w:t>
      </w:r>
      <w:r>
        <w:rPr>
          <w:color w:val="231F20"/>
          <w:spacing w:val="16"/>
        </w:rPr>
        <w:t> </w:t>
      </w:r>
      <w:r>
        <w:rPr>
          <w:color w:val="231F20"/>
        </w:rPr>
        <w:t>la</w:t>
      </w:r>
      <w:r>
        <w:rPr>
          <w:color w:val="231F20"/>
          <w:spacing w:val="17"/>
        </w:rPr>
        <w:t> </w:t>
      </w:r>
      <w:r>
        <w:rPr>
          <w:color w:val="231F20"/>
        </w:rPr>
        <w:t>personne</w:t>
      </w:r>
      <w:r>
        <w:rPr>
          <w:color w:val="231F20"/>
          <w:spacing w:val="16"/>
        </w:rPr>
        <w:t> </w:t>
      </w:r>
      <w:r>
        <w:rPr>
          <w:color w:val="231F20"/>
        </w:rPr>
        <w:t>qui</w:t>
      </w:r>
      <w:r>
        <w:rPr>
          <w:color w:val="231F20"/>
          <w:spacing w:val="17"/>
        </w:rPr>
        <w:t> </w:t>
      </w:r>
      <w:r>
        <w:rPr>
          <w:color w:val="231F20"/>
        </w:rPr>
        <w:t>exerce</w:t>
      </w:r>
      <w:r>
        <w:rPr>
          <w:color w:val="231F20"/>
          <w:spacing w:val="16"/>
        </w:rPr>
        <w:t> </w:t>
      </w:r>
      <w:r>
        <w:rPr>
          <w:color w:val="231F20"/>
        </w:rPr>
        <w:t>son</w:t>
      </w:r>
      <w:r>
        <w:rPr>
          <w:color w:val="231F20"/>
          <w:spacing w:val="17"/>
        </w:rPr>
        <w:t> </w:t>
      </w:r>
      <w:r>
        <w:rPr>
          <w:color w:val="231F20"/>
        </w:rPr>
        <w:t>droit</w:t>
      </w:r>
      <w:r>
        <w:rPr>
          <w:color w:val="231F20"/>
          <w:spacing w:val="16"/>
        </w:rPr>
        <w:t> </w:t>
      </w:r>
      <w:r>
        <w:rPr>
          <w:color w:val="231F20"/>
        </w:rPr>
        <w:t>de</w:t>
      </w:r>
      <w:r>
        <w:rPr>
          <w:color w:val="231F20"/>
          <w:spacing w:val="17"/>
        </w:rPr>
        <w:t> </w:t>
      </w:r>
      <w:r>
        <w:rPr>
          <w:color w:val="231F20"/>
        </w:rPr>
        <w:t>revendication.</w:t>
      </w:r>
    </w:p>
    <w:p>
      <w:pPr>
        <w:pStyle w:val="BodyText"/>
        <w:ind w:left="0" w:right="0" w:firstLine="0"/>
        <w:jc w:val="left"/>
        <w:rPr>
          <w:sz w:val="20"/>
        </w:rPr>
      </w:pPr>
    </w:p>
    <w:p>
      <w:pPr>
        <w:pStyle w:val="BodyText"/>
        <w:spacing w:line="218" w:lineRule="auto" w:before="130"/>
        <w:ind w:right="38"/>
      </w:pPr>
      <w:r>
        <w:rPr>
          <w:color w:val="231F20"/>
        </w:rPr>
        <w:t>Art. 5:34. La saisie-arrêt n’est pas autorisée sur les comptes de titres dématérialisés ouverts au nom d’un teneur de comptes agréé auprès de l’organisme de liquidation ou, le cas échéant, auprès du teneur de comptes agréé en cas d’application de l’article 5:39.</w:t>
      </w:r>
    </w:p>
    <w:p>
      <w:pPr>
        <w:pStyle w:val="BodyText"/>
        <w:ind w:left="0" w:right="0" w:firstLine="0"/>
        <w:jc w:val="left"/>
        <w:rPr>
          <w:sz w:val="16"/>
        </w:rPr>
      </w:pPr>
    </w:p>
    <w:p>
      <w:pPr>
        <w:pStyle w:val="BodyText"/>
        <w:spacing w:line="218" w:lineRule="auto"/>
        <w:ind w:right="38"/>
      </w:pPr>
      <w:r>
        <w:rPr>
          <w:color w:val="231F20"/>
        </w:rPr>
        <w:t>Sans préjudice de l’application de l’article 5:33, en cas de faillite du propriétaire des titres ou dans toute autre situation de concours, les créanciers du propriétaire des titres peuvent faire valoir leurs droits sur le solde disponible des titres inscrits en compte au nom et pour compte de leur débiteur, après déduction ou addition des titres qui, en vertu d’engagements conditionnels, d’engagements dont le montant est incertain ou d’engagements à terme, sont entrés, le cas échéant, dans une partie distincte de ce compte-titres, au jour de la faillite ou de la naissance du concours, et dont l’inclusion dans le solde disponible est différée jusqu’à la réalisation de la condition, la détermination du montant ou l’échéance du terme.</w:t>
      </w:r>
    </w:p>
    <w:p>
      <w:pPr>
        <w:pStyle w:val="BodyText"/>
        <w:ind w:left="0" w:right="0" w:firstLine="0"/>
        <w:jc w:val="left"/>
        <w:rPr>
          <w:sz w:val="20"/>
        </w:rPr>
      </w:pPr>
    </w:p>
    <w:p>
      <w:pPr>
        <w:pStyle w:val="BodyText"/>
        <w:spacing w:line="218" w:lineRule="auto" w:before="131"/>
        <w:ind w:right="38"/>
      </w:pPr>
      <w:r>
        <w:rPr>
          <w:color w:val="231F20"/>
        </w:rPr>
        <w:t>Art. 5:35. Le paiement des dividendes, des intérêts et des capitaux échus des titres dématérialisés à l’organisme de liquidation ou, le cas échéant, au teneur de comptes  agréé  en  cas  d’application  de  l’arti- cle 5:39, est libératoire pour l’émetteur.</w:t>
      </w:r>
    </w:p>
    <w:p>
      <w:pPr>
        <w:pStyle w:val="BodyText"/>
        <w:ind w:left="0" w:right="0" w:firstLine="0"/>
        <w:jc w:val="left"/>
        <w:rPr>
          <w:sz w:val="16"/>
        </w:rPr>
      </w:pPr>
    </w:p>
    <w:p>
      <w:pPr>
        <w:pStyle w:val="BodyText"/>
        <w:spacing w:line="218" w:lineRule="auto"/>
        <w:ind w:right="38"/>
      </w:pPr>
      <w:r>
        <w:rPr>
          <w:color w:val="231F20"/>
        </w:rPr>
        <w:t>L’organisme de liquidation ou, le cas échéant, le teneur de comptes agréé en cas d’application de l’article 5:39, rétrocède ces dividendes, intérêts et capitaux aux teneurs de comptes agréés en fonction des montants de titres dématérialisés inscrits à leur nom à l’échéance. Ces paiements sont libératoires pour l’organisme de liquidation ou, le cas échéant, pour le teneur de comptes agréé en cas d’application de l’article</w:t>
      </w:r>
      <w:r>
        <w:rPr>
          <w:color w:val="231F20"/>
          <w:spacing w:val="14"/>
        </w:rPr>
        <w:t> </w:t>
      </w:r>
      <w:r>
        <w:rPr>
          <w:color w:val="231F20"/>
        </w:rPr>
        <w:t>5:39.</w:t>
      </w:r>
    </w:p>
    <w:p>
      <w:pPr>
        <w:pStyle w:val="BodyText"/>
        <w:ind w:left="0" w:right="0" w:firstLine="0"/>
        <w:jc w:val="left"/>
        <w:rPr>
          <w:sz w:val="16"/>
        </w:rPr>
      </w:pPr>
    </w:p>
    <w:p>
      <w:pPr>
        <w:pStyle w:val="BodyText"/>
        <w:spacing w:line="218" w:lineRule="auto"/>
        <w:ind w:right="38"/>
      </w:pPr>
      <w:r>
        <w:rPr>
          <w:color w:val="231F20"/>
        </w:rPr>
        <w:t>Art. 5:36. Tous les droits sociaux du propriétaire de titres dématéria- lisés et, en cas de faillite de leur émetteur ou de toute autre situation de concours dans son chef, tous les droits de recours contre celui-ci s’exercent moyennant la production d’une attestation établie par le teneur de comptes agréé ou l’organisme de liquidation, certifiant le nombre de titres dématérialisés inscrits au nom du propriétaire ou de son intermédiaire à la date requise pour l’exercice de ces droits.</w:t>
      </w:r>
    </w:p>
    <w:p>
      <w:pPr>
        <w:pStyle w:val="BodyText"/>
        <w:ind w:left="0" w:right="0" w:firstLine="0"/>
        <w:jc w:val="left"/>
        <w:rPr>
          <w:sz w:val="20"/>
        </w:rPr>
      </w:pPr>
    </w:p>
    <w:p>
      <w:pPr>
        <w:pStyle w:val="BodyText"/>
        <w:spacing w:line="218" w:lineRule="auto" w:before="130"/>
        <w:ind w:right="38"/>
      </w:pPr>
      <w:r>
        <w:rPr>
          <w:color w:val="231F20"/>
        </w:rPr>
        <w:t>Art. 5:37. Afin de pourvoir à l’exécution des articles 5:31 à 5:36, le Roi peut fixer les conditions de la tenue des comptes par les teneurs de comptes agréés, le mode de fonctionnement des comptes, la nature des certificats qui doivent être délivrés aux titulaires des comptes et les modalités de paiement par les teneurs de comptes agréés et l’organisme de liquidation des dividendes, intérêts et capitaux échus.</w:t>
      </w:r>
    </w:p>
    <w:p>
      <w:pPr>
        <w:pStyle w:val="BodyText"/>
        <w:ind w:left="0" w:right="0" w:firstLine="0"/>
        <w:jc w:val="left"/>
        <w:rPr>
          <w:sz w:val="20"/>
        </w:rPr>
      </w:pPr>
    </w:p>
    <w:p>
      <w:pPr>
        <w:pStyle w:val="BodyText"/>
        <w:spacing w:line="218" w:lineRule="auto" w:before="131"/>
        <w:ind w:right="39"/>
      </w:pPr>
      <w:r>
        <w:rPr>
          <w:color w:val="231F20"/>
        </w:rPr>
        <w:t>Art. 5:38. Les articles 2279 et 2280 du Code civil sont applicables aux titres dématérialisés visés dans cette section.</w:t>
      </w:r>
    </w:p>
    <w:p>
      <w:pPr>
        <w:pStyle w:val="BodyText"/>
        <w:ind w:left="0" w:right="0" w:firstLine="0"/>
        <w:jc w:val="left"/>
        <w:rPr>
          <w:sz w:val="20"/>
        </w:rPr>
      </w:pPr>
    </w:p>
    <w:p>
      <w:pPr>
        <w:pStyle w:val="BodyText"/>
        <w:spacing w:line="218" w:lineRule="auto" w:before="130"/>
        <w:ind w:right="38"/>
      </w:pPr>
      <w:r>
        <w:rPr>
          <w:color w:val="231F20"/>
        </w:rPr>
        <w:t>Art. 5:39. Sauf pour les titres qui sont admis à la négociation sur un marché réglementé, les dispositions de cette section sont également applicables aux titres inscrits en compte auprès d’un teneur de comptes agréé qui ne sont pas maintenus par ce teneur de comptes auprès d’un organisme de liquidation ou auprès d’un établissement agissant comme intermédiaire à l’égard de cet organisme.</w:t>
      </w:r>
    </w:p>
    <w:p>
      <w:pPr>
        <w:pStyle w:val="BodyText"/>
        <w:spacing w:before="11"/>
        <w:ind w:left="0" w:right="0" w:firstLine="0"/>
        <w:jc w:val="left"/>
        <w:rPr>
          <w:sz w:val="15"/>
        </w:rPr>
      </w:pPr>
    </w:p>
    <w:p>
      <w:pPr>
        <w:pStyle w:val="BodyText"/>
        <w:spacing w:line="218" w:lineRule="auto"/>
        <w:ind w:right="38"/>
      </w:pPr>
      <w:r>
        <w:rPr>
          <w:color w:val="231F20"/>
        </w:rPr>
        <w:t>Le teneur de compte inscrit à son nom dans le registre des titres nominatifs les titres dématérialisés en circulation à tout moment, par émission de titres.</w:t>
      </w:r>
    </w:p>
    <w:p>
      <w:pPr>
        <w:pStyle w:val="BodyText"/>
        <w:spacing w:before="11"/>
        <w:ind w:left="0" w:right="0" w:firstLine="0"/>
        <w:jc w:val="left"/>
        <w:rPr>
          <w:sz w:val="15"/>
        </w:rPr>
      </w:pPr>
    </w:p>
    <w:p>
      <w:pPr>
        <w:pStyle w:val="BodyText"/>
        <w:spacing w:line="218" w:lineRule="auto"/>
        <w:ind w:right="38"/>
      </w:pPr>
      <w:r>
        <w:rPr>
          <w:color w:val="231F20"/>
        </w:rPr>
        <w:t>La totalité de l’encours d’une émission de titres dématérialisés d’un émetteur ne peut être inscrite dans le registre de titres nominatif qu’au nom d’un seul teneur de compte.</w:t>
      </w:r>
    </w:p>
    <w:p>
      <w:pPr>
        <w:pStyle w:val="BodyText"/>
        <w:spacing w:before="11"/>
        <w:ind w:left="0" w:right="0" w:firstLine="0"/>
        <w:jc w:val="left"/>
        <w:rPr>
          <w:sz w:val="15"/>
        </w:rPr>
      </w:pPr>
    </w:p>
    <w:p>
      <w:pPr>
        <w:pStyle w:val="BodyText"/>
        <w:spacing w:line="218" w:lineRule="auto"/>
        <w:ind w:right="38"/>
      </w:pPr>
      <w:r>
        <w:rPr>
          <w:color w:val="231F20"/>
        </w:rPr>
        <w:t>L’inscription de titres en compte confère dans ce cas un droit de copropriété, de nature incorporelle, sur l’universalité des titres de la même émission inscrits au nom du teneur de compte dans le registre des titres nominatifs.</w:t>
      </w:r>
    </w:p>
    <w:p>
      <w:pPr>
        <w:pStyle w:val="BodyText"/>
        <w:spacing w:line="218" w:lineRule="auto" w:before="119"/>
        <w:ind w:right="123"/>
      </w:pPr>
      <w:r>
        <w:rPr/>
        <w:br w:type="column"/>
      </w:r>
      <w:r>
        <w:rPr>
          <w:color w:val="231F20"/>
          <w:spacing w:val="-3"/>
        </w:rPr>
        <w:t>Wanneer  </w:t>
      </w:r>
      <w:r>
        <w:rPr>
          <w:color w:val="231F20"/>
        </w:rPr>
        <w:t>een  tussenpersoon  voor  andermans  rekening  in   arti- kel 5:31 bedoelde gedematerialiseerde effecten heeft laten inschrijven op zijn naam of op naam van een derde persoon, mag de eigenaar voor rekening waarvan deze inschrijving is genomen, van de erkende rekeninghouder of van het vereffeningsstelsel het tegoed terugvorderen dat op naam van deze tussenpersoon of derde persoon is ingeschreven. Deze terugvordering wordt uitgeoefend volgens de in het eerste tot vierde lid omschreven</w:t>
      </w:r>
      <w:r>
        <w:rPr>
          <w:color w:val="231F20"/>
          <w:spacing w:val="4"/>
        </w:rPr>
        <w:t> </w:t>
      </w:r>
      <w:r>
        <w:rPr>
          <w:color w:val="231F20"/>
        </w:rPr>
        <w:t>regels.</w:t>
      </w:r>
    </w:p>
    <w:p>
      <w:pPr>
        <w:pStyle w:val="BodyText"/>
        <w:ind w:left="0" w:right="0" w:firstLine="0"/>
        <w:jc w:val="left"/>
        <w:rPr>
          <w:sz w:val="16"/>
        </w:rPr>
      </w:pPr>
    </w:p>
    <w:p>
      <w:pPr>
        <w:pStyle w:val="BodyText"/>
        <w:spacing w:line="218" w:lineRule="auto" w:before="1"/>
      </w:pPr>
      <w:r>
        <w:rPr>
          <w:color w:val="231F20"/>
        </w:rPr>
        <w:t>De teruggave van de in artikel 5:31 bedoelde gedematerialiseerde effecten gebeurt door overschrijving op een effectenrekening bij een andere erkende rekeninghouder, aangewezen door de persoon die het terugvorderingsrecht uitoefent.</w:t>
      </w:r>
    </w:p>
    <w:p>
      <w:pPr>
        <w:pStyle w:val="BodyText"/>
        <w:spacing w:before="10"/>
        <w:ind w:left="0" w:right="0" w:firstLine="0"/>
        <w:jc w:val="left"/>
        <w:rPr>
          <w:sz w:val="15"/>
        </w:rPr>
      </w:pPr>
    </w:p>
    <w:p>
      <w:pPr>
        <w:pStyle w:val="BodyText"/>
        <w:spacing w:line="218" w:lineRule="auto" w:before="1"/>
      </w:pPr>
      <w:r>
        <w:rPr>
          <w:color w:val="231F20"/>
        </w:rPr>
        <w:t>Art. 5:34. Derdenbeslag is niet toegelaten op de rekeningen van gedematerialiseerde effecten geopend op naam van een erkende rekeninghouder bij de vereffeningsinstelling of, in voorkomend geval, bij de erkende rekeninghouder wanneer artikel 5:39 wordt toegepast.</w:t>
      </w:r>
    </w:p>
    <w:p>
      <w:pPr>
        <w:pStyle w:val="BodyText"/>
        <w:spacing w:before="11"/>
        <w:ind w:left="0" w:right="0" w:firstLine="0"/>
        <w:jc w:val="left"/>
        <w:rPr>
          <w:sz w:val="15"/>
        </w:rPr>
      </w:pPr>
    </w:p>
    <w:p>
      <w:pPr>
        <w:pStyle w:val="BodyText"/>
        <w:spacing w:line="218" w:lineRule="auto"/>
      </w:pPr>
      <w:r>
        <w:rPr>
          <w:color w:val="231F20"/>
        </w:rPr>
        <w:t>Onverminderd de toepassing van artikel 5:33 mogen de schuldeisers van de eigenaar van de effecten, in geval van faillissement van de eigenaar of in alle andere gevallen van samenloop, hun rechten laten gelden op het beschikbaar saldo van de effecten dat op naam en voor rekening van hun schuldenaar is ingeschreven, na aftrek of optelling van de effecten die, ingevolge voorwaardelijke verbintenissen, verbin- tenissen waarvan het bedrag onzeker is of verbintenissen op termijn, in voorkomend geval, op de dag van het faillissement of het ontstaan van de samenloop, waren geboekt op een afzonderlijk deel van de effectenrekening, en waarvan de samenvoeging met het beschikbaar saldo is uitgesteld tot aan de vervulling van de voorwaarde, de vaststelling van het bedrag of het verval van de termijn.</w:t>
      </w:r>
    </w:p>
    <w:p>
      <w:pPr>
        <w:pStyle w:val="BodyText"/>
        <w:ind w:left="0" w:right="0" w:firstLine="0"/>
        <w:jc w:val="left"/>
        <w:rPr>
          <w:sz w:val="16"/>
        </w:rPr>
      </w:pPr>
    </w:p>
    <w:p>
      <w:pPr>
        <w:pStyle w:val="BodyText"/>
        <w:spacing w:line="218" w:lineRule="auto"/>
      </w:pPr>
      <w:r>
        <w:rPr>
          <w:color w:val="231F20"/>
        </w:rPr>
        <w:t>Art. 5:35. De betaling van vervallen dividenden, interesten en kapitalen van gedematerialiseerde effecten aan de vereffeningsinstel- ling of, in voorkomend geval, aan de erkende rekeninghouder wanneer artikel 5:39 wordt toegepast, is bevrijdend voor de uitgever.</w:t>
      </w:r>
    </w:p>
    <w:p>
      <w:pPr>
        <w:pStyle w:val="BodyText"/>
        <w:ind w:left="0" w:right="0" w:firstLine="0"/>
        <w:jc w:val="left"/>
        <w:rPr>
          <w:sz w:val="16"/>
        </w:rPr>
      </w:pPr>
    </w:p>
    <w:p>
      <w:pPr>
        <w:pStyle w:val="BodyText"/>
        <w:spacing w:line="218" w:lineRule="auto"/>
      </w:pPr>
      <w:r>
        <w:rPr>
          <w:color w:val="231F20"/>
        </w:rPr>
        <w:t>De vereffeningsinstelling of, in voorkomend geval, de erkende rekeninghouder wanneer artikel 5:39 wordt toegepast, stort deze dividenden, interesten en kapitalen door aan de erkende rekeninghou- ders, overeenkomstig de bedragen aan gedematerialiseerde effecten die op de vervaldag geboekt staan op hun naam. Deze betalingen zijn bevrijdend voor de vereffeningsinstelling of, in voorkomend geval,  voor de erkende rekeninghouder wanneer artikel 5:39 wordt</w:t>
      </w:r>
      <w:r>
        <w:rPr>
          <w:color w:val="231F20"/>
          <w:spacing w:val="4"/>
        </w:rPr>
        <w:t> </w:t>
      </w:r>
      <w:r>
        <w:rPr>
          <w:color w:val="231F20"/>
        </w:rPr>
        <w:t>toegepast.</w:t>
      </w:r>
    </w:p>
    <w:p>
      <w:pPr>
        <w:pStyle w:val="BodyText"/>
        <w:ind w:left="0" w:right="0" w:firstLine="0"/>
        <w:jc w:val="left"/>
        <w:rPr>
          <w:sz w:val="16"/>
        </w:rPr>
      </w:pPr>
    </w:p>
    <w:p>
      <w:pPr>
        <w:pStyle w:val="BodyText"/>
        <w:spacing w:line="218" w:lineRule="auto"/>
      </w:pPr>
      <w:r>
        <w:rPr>
          <w:color w:val="231F20"/>
        </w:rPr>
        <w:t>Art. 5:36. Alle lidmaatschapsrechten van de eigenaars van gedema- terialiseerde effecten en alle rechten van verhaal in geval van faillisse- ment van de emittent ervan of in alle andere gevallen van samenloop tegen deze laatste worden uitgeoefend na voorlegging van een attest  dat de erkende rekeninghouder of de vereffeningsinstelling opstelt, dat het aantal van de gedematerialiseerde effecten bevestigt dat op naam van de eigenaar of van de tussenpersoon is ingeschreven op de datum vereist</w:t>
      </w:r>
      <w:r>
        <w:rPr>
          <w:color w:val="231F20"/>
          <w:spacing w:val="15"/>
        </w:rPr>
        <w:t> </w:t>
      </w:r>
      <w:r>
        <w:rPr>
          <w:color w:val="231F20"/>
        </w:rPr>
        <w:t>voor</w:t>
      </w:r>
      <w:r>
        <w:rPr>
          <w:color w:val="231F20"/>
          <w:spacing w:val="16"/>
        </w:rPr>
        <w:t> </w:t>
      </w:r>
      <w:r>
        <w:rPr>
          <w:color w:val="231F20"/>
        </w:rPr>
        <w:t>de</w:t>
      </w:r>
      <w:r>
        <w:rPr>
          <w:color w:val="231F20"/>
          <w:spacing w:val="16"/>
        </w:rPr>
        <w:t> </w:t>
      </w:r>
      <w:r>
        <w:rPr>
          <w:color w:val="231F20"/>
        </w:rPr>
        <w:t>uitoefening</w:t>
      </w:r>
      <w:r>
        <w:rPr>
          <w:color w:val="231F20"/>
          <w:spacing w:val="16"/>
        </w:rPr>
        <w:t> </w:t>
      </w:r>
      <w:r>
        <w:rPr>
          <w:color w:val="231F20"/>
        </w:rPr>
        <w:t>van</w:t>
      </w:r>
      <w:r>
        <w:rPr>
          <w:color w:val="231F20"/>
          <w:spacing w:val="16"/>
        </w:rPr>
        <w:t> </w:t>
      </w:r>
      <w:r>
        <w:rPr>
          <w:color w:val="231F20"/>
        </w:rPr>
        <w:t>deze</w:t>
      </w:r>
      <w:r>
        <w:rPr>
          <w:color w:val="231F20"/>
          <w:spacing w:val="16"/>
        </w:rPr>
        <w:t> </w:t>
      </w:r>
      <w:r>
        <w:rPr>
          <w:color w:val="231F20"/>
        </w:rPr>
        <w:t>rechten.</w:t>
      </w:r>
    </w:p>
    <w:p>
      <w:pPr>
        <w:pStyle w:val="BodyText"/>
        <w:ind w:left="0" w:right="0" w:firstLine="0"/>
        <w:jc w:val="left"/>
        <w:rPr>
          <w:sz w:val="16"/>
        </w:rPr>
      </w:pPr>
    </w:p>
    <w:p>
      <w:pPr>
        <w:pStyle w:val="BodyText"/>
        <w:spacing w:line="218" w:lineRule="auto"/>
      </w:pPr>
      <w:r>
        <w:rPr>
          <w:color w:val="231F20"/>
        </w:rPr>
        <w:t>Art. 5:37. Met het oog op de uitvoering van de artikelen 5:31 tot 5:36, kan de Koning de voorwaarden bepalen waaronder de erkende rekeninghouders rekeningen houden, de werkingswijze van de reke- ningen, de aard van de certificaten die aan de houders van de rekeningen moeten worden afgegeven en de wijze van betaling van vervallen dividenden, interesten en kapitalen door de erkende reke- ninghouders en de vereffeningsinstelling.</w:t>
      </w:r>
    </w:p>
    <w:p>
      <w:pPr>
        <w:pStyle w:val="BodyText"/>
        <w:ind w:left="0" w:right="0" w:firstLine="0"/>
        <w:jc w:val="left"/>
        <w:rPr>
          <w:sz w:val="16"/>
        </w:rPr>
      </w:pPr>
    </w:p>
    <w:p>
      <w:pPr>
        <w:pStyle w:val="BodyText"/>
        <w:spacing w:line="218" w:lineRule="auto"/>
      </w:pPr>
      <w:r>
        <w:rPr>
          <w:color w:val="231F20"/>
        </w:rPr>
        <w:t>Art. 5:38. De artikelen 2279 en 2280 van het Burgerlijk Wetboek zijn van toepassing op de gedematerialiseerde effecten bedoeld in deze afdeling.</w:t>
      </w:r>
    </w:p>
    <w:p>
      <w:pPr>
        <w:pStyle w:val="BodyText"/>
        <w:ind w:left="0" w:right="0" w:firstLine="0"/>
        <w:jc w:val="left"/>
        <w:rPr>
          <w:sz w:val="16"/>
        </w:rPr>
      </w:pPr>
    </w:p>
    <w:p>
      <w:pPr>
        <w:pStyle w:val="BodyText"/>
        <w:spacing w:line="218" w:lineRule="auto"/>
        <w:ind w:right="123"/>
      </w:pPr>
      <w:r>
        <w:rPr>
          <w:color w:val="231F20"/>
        </w:rPr>
        <w:t>Art. 5:39. Behalve voor effecten die worden toegelaten tot de verhandeling op een gereglementeerde markt, gelden de bepalingen van deze afdeling tevens voor effecten ingeschreven op een rekening bij een erkende rekeninghouder die die rekeninghouder niet bijhoudt bij een vereffeningsinstelling of bij een onderneming die ten opzichte van die instelling als tussenpersoon</w:t>
      </w:r>
      <w:r>
        <w:rPr>
          <w:color w:val="231F20"/>
          <w:spacing w:val="19"/>
        </w:rPr>
        <w:t> </w:t>
      </w:r>
      <w:r>
        <w:rPr>
          <w:color w:val="231F20"/>
        </w:rPr>
        <w:t>optreedt.</w:t>
      </w:r>
    </w:p>
    <w:p>
      <w:pPr>
        <w:pStyle w:val="BodyText"/>
        <w:ind w:left="0" w:right="0" w:firstLine="0"/>
        <w:jc w:val="left"/>
        <w:rPr>
          <w:sz w:val="16"/>
        </w:rPr>
      </w:pPr>
    </w:p>
    <w:p>
      <w:pPr>
        <w:pStyle w:val="BodyText"/>
        <w:spacing w:line="218" w:lineRule="auto"/>
      </w:pPr>
      <w:r>
        <w:rPr>
          <w:color w:val="231F20"/>
        </w:rPr>
        <w:t>De rekeninghouder schrijft de op elk ogenblik in omloop zijnde gedematerialiseerde effecten, per uitgifte van effecten, in op zijn naam in het register van de effecten op naam.</w:t>
      </w:r>
    </w:p>
    <w:p>
      <w:pPr>
        <w:pStyle w:val="BodyText"/>
        <w:spacing w:before="11"/>
        <w:ind w:left="0" w:right="0" w:firstLine="0"/>
        <w:jc w:val="left"/>
        <w:rPr>
          <w:sz w:val="15"/>
        </w:rPr>
      </w:pPr>
    </w:p>
    <w:p>
      <w:pPr>
        <w:pStyle w:val="BodyText"/>
        <w:spacing w:line="218" w:lineRule="auto"/>
      </w:pPr>
      <w:r>
        <w:rPr>
          <w:color w:val="231F20"/>
        </w:rPr>
        <w:t>De gehele omloop van een uitgifte van gedematerialiseerde effecten van een emittent kan slechts op naam van één rekeninghouder in het register van de effecten op naam worden ingeschreven.</w:t>
      </w:r>
    </w:p>
    <w:p>
      <w:pPr>
        <w:pStyle w:val="BodyText"/>
        <w:spacing w:before="11"/>
        <w:ind w:left="0" w:right="0" w:firstLine="0"/>
        <w:jc w:val="left"/>
        <w:rPr>
          <w:sz w:val="15"/>
        </w:rPr>
      </w:pPr>
    </w:p>
    <w:p>
      <w:pPr>
        <w:pStyle w:val="BodyText"/>
        <w:spacing w:line="218" w:lineRule="auto"/>
      </w:pPr>
      <w:r>
        <w:rPr>
          <w:color w:val="231F20"/>
        </w:rPr>
        <w:t>De boeking op rekening van effecten vestigt in dat geval een onlichamelijk recht van mede-eigendom op de algemeenheid van effecten van dezelfde uitgifte die op naam van de rekeninghouder zijn ingeschreven in het register van effecten op naam.</w:t>
      </w:r>
    </w:p>
    <w:p>
      <w:pPr>
        <w:spacing w:after="0" w:line="218" w:lineRule="auto"/>
        <w:sectPr>
          <w:pgSz w:w="11940" w:h="16880"/>
          <w:pgMar w:header="666" w:footer="0" w:top="1140" w:bottom="280" w:left="340" w:right="360"/>
          <w:cols w:num="2" w:equalWidth="0">
            <w:col w:w="5527" w:space="100"/>
            <w:col w:w="5613"/>
          </w:cols>
        </w:sectPr>
      </w:pPr>
    </w:p>
    <w:p>
      <w:pPr>
        <w:pStyle w:val="BodyText"/>
        <w:spacing w:line="304" w:lineRule="auto" w:before="106"/>
        <w:ind w:left="283" w:right="1150" w:hanging="1"/>
        <w:jc w:val="left"/>
      </w:pPr>
      <w:r>
        <w:rPr/>
        <w:pict>
          <v:line style="position:absolute;mso-position-horizontal-relative:page;mso-position-vertical-relative:page;z-index:3328" from="298.170502pt,64.473pt" to="298.170502pt,812.819pt" stroked="true" strokeweight=".533pt" strokecolor="#231f20">
            <v:stroke dashstyle="solid"/>
            <w10:wrap type="none"/>
          </v:line>
        </w:pict>
      </w:r>
      <w:bookmarkStart w:name="_bookmark96" w:id="101"/>
      <w:bookmarkEnd w:id="101"/>
      <w:r>
        <w:rPr/>
      </w:r>
      <w:r>
        <w:rPr>
          <w:color w:val="231F20"/>
        </w:rPr>
        <w:t>CHAPITRE 3. Des différentes catégories de titres. Section 1</w:t>
      </w:r>
      <w:r>
        <w:rPr>
          <w:color w:val="231F20"/>
          <w:position w:val="7"/>
          <w:sz w:val="11"/>
        </w:rPr>
        <w:t>re</w:t>
      </w:r>
      <w:r>
        <w:rPr>
          <w:color w:val="231F20"/>
        </w:rPr>
        <w:t>. Des actions.</w:t>
      </w:r>
    </w:p>
    <w:p>
      <w:pPr>
        <w:pStyle w:val="BodyText"/>
        <w:spacing w:before="1"/>
        <w:ind w:left="283" w:right="0" w:firstLine="0"/>
        <w:jc w:val="left"/>
      </w:pPr>
      <w:r>
        <w:rPr>
          <w:color w:val="231F20"/>
        </w:rPr>
        <w:t>Sous-section 1</w:t>
      </w:r>
      <w:r>
        <w:rPr>
          <w:color w:val="231F20"/>
          <w:position w:val="7"/>
          <w:sz w:val="11"/>
        </w:rPr>
        <w:t>re</w:t>
      </w:r>
      <w:r>
        <w:rPr>
          <w:color w:val="231F20"/>
        </w:rPr>
        <w:t>. Dispositions générales.</w:t>
      </w:r>
    </w:p>
    <w:p>
      <w:pPr>
        <w:pStyle w:val="BodyText"/>
        <w:spacing w:line="218" w:lineRule="auto" w:before="82"/>
        <w:ind w:right="38"/>
      </w:pPr>
      <w:r>
        <w:rPr>
          <w:color w:val="231F20"/>
        </w:rPr>
        <w:t>Art.</w:t>
      </w:r>
      <w:r>
        <w:rPr>
          <w:color w:val="231F20"/>
          <w:spacing w:val="-5"/>
        </w:rPr>
        <w:t> </w:t>
      </w:r>
      <w:r>
        <w:rPr>
          <w:color w:val="231F20"/>
        </w:rPr>
        <w:t>5:40.</w:t>
      </w:r>
      <w:r>
        <w:rPr>
          <w:color w:val="231F20"/>
          <w:spacing w:val="-5"/>
        </w:rPr>
        <w:t> </w:t>
      </w:r>
      <w:r>
        <w:rPr>
          <w:color w:val="231F20"/>
        </w:rPr>
        <w:t>La</w:t>
      </w:r>
      <w:r>
        <w:rPr>
          <w:color w:val="231F20"/>
          <w:spacing w:val="-5"/>
        </w:rPr>
        <w:t> </w:t>
      </w:r>
      <w:r>
        <w:rPr>
          <w:color w:val="231F20"/>
        </w:rPr>
        <w:t>société</w:t>
      </w:r>
      <w:r>
        <w:rPr>
          <w:color w:val="231F20"/>
          <w:spacing w:val="-4"/>
        </w:rPr>
        <w:t> </w:t>
      </w:r>
      <w:r>
        <w:rPr>
          <w:color w:val="231F20"/>
        </w:rPr>
        <w:t>doit</w:t>
      </w:r>
      <w:r>
        <w:rPr>
          <w:color w:val="231F20"/>
          <w:spacing w:val="-5"/>
        </w:rPr>
        <w:t> </w:t>
      </w:r>
      <w:r>
        <w:rPr>
          <w:color w:val="231F20"/>
        </w:rPr>
        <w:t>émettre</w:t>
      </w:r>
      <w:r>
        <w:rPr>
          <w:color w:val="231F20"/>
          <w:spacing w:val="-5"/>
        </w:rPr>
        <w:t> </w:t>
      </w:r>
      <w:r>
        <w:rPr>
          <w:color w:val="231F20"/>
        </w:rPr>
        <w:t>au</w:t>
      </w:r>
      <w:r>
        <w:rPr>
          <w:color w:val="231F20"/>
          <w:spacing w:val="-4"/>
        </w:rPr>
        <w:t> </w:t>
      </w:r>
      <w:r>
        <w:rPr>
          <w:color w:val="231F20"/>
        </w:rPr>
        <w:t>moins</w:t>
      </w:r>
      <w:r>
        <w:rPr>
          <w:color w:val="231F20"/>
          <w:spacing w:val="-5"/>
        </w:rPr>
        <w:t> </w:t>
      </w:r>
      <w:r>
        <w:rPr>
          <w:color w:val="231F20"/>
        </w:rPr>
        <w:t>une</w:t>
      </w:r>
      <w:r>
        <w:rPr>
          <w:color w:val="231F20"/>
          <w:spacing w:val="-5"/>
        </w:rPr>
        <w:t> </w:t>
      </w:r>
      <w:r>
        <w:rPr>
          <w:color w:val="231F20"/>
        </w:rPr>
        <w:t>action</w:t>
      </w:r>
      <w:r>
        <w:rPr>
          <w:color w:val="231F20"/>
          <w:spacing w:val="-4"/>
        </w:rPr>
        <w:t> </w:t>
      </w:r>
      <w:r>
        <w:rPr>
          <w:color w:val="231F20"/>
        </w:rPr>
        <w:t>et</w:t>
      </w:r>
      <w:r>
        <w:rPr>
          <w:color w:val="231F20"/>
          <w:spacing w:val="-5"/>
        </w:rPr>
        <w:t> </w:t>
      </w:r>
      <w:r>
        <w:rPr>
          <w:color w:val="231F20"/>
        </w:rPr>
        <w:t>une</w:t>
      </w:r>
      <w:r>
        <w:rPr>
          <w:color w:val="231F20"/>
          <w:spacing w:val="-5"/>
        </w:rPr>
        <w:t> </w:t>
      </w:r>
      <w:r>
        <w:rPr>
          <w:color w:val="231F20"/>
        </w:rPr>
        <w:t>action</w:t>
      </w:r>
      <w:r>
        <w:rPr>
          <w:color w:val="231F20"/>
          <w:spacing w:val="-4"/>
        </w:rPr>
        <w:t> </w:t>
      </w:r>
      <w:r>
        <w:rPr>
          <w:color w:val="231F20"/>
        </w:rPr>
        <w:t>au moins doit avoir le droit de vote. Chaque action est émise en contrepartie d’un</w:t>
      </w:r>
      <w:r>
        <w:rPr>
          <w:color w:val="231F20"/>
          <w:spacing w:val="-11"/>
        </w:rPr>
        <w:t> </w:t>
      </w:r>
      <w:r>
        <w:rPr>
          <w:color w:val="231F20"/>
        </w:rPr>
        <w:t>apport.</w:t>
      </w:r>
    </w:p>
    <w:p>
      <w:pPr>
        <w:pStyle w:val="BodyText"/>
        <w:spacing w:line="218" w:lineRule="auto" w:before="86"/>
        <w:ind w:right="38"/>
      </w:pPr>
      <w:r>
        <w:rPr>
          <w:color w:val="231F20"/>
        </w:rPr>
        <w:t>Art. 5:41. Chaque action participe au bénéfice ou au solde de la liquidation. Sauf disposition statutaire contraire, chaque action donne droit à une part égale du bénéfice et du solde de la liquidation.</w:t>
      </w:r>
    </w:p>
    <w:p>
      <w:pPr>
        <w:pStyle w:val="BodyText"/>
        <w:spacing w:before="71"/>
        <w:ind w:left="283" w:right="0" w:firstLine="0"/>
        <w:jc w:val="left"/>
      </w:pPr>
      <w:r>
        <w:rPr>
          <w:color w:val="231F20"/>
        </w:rPr>
        <w:t>Des droits de vote ne peuvent être attachés qu’à des actions.</w:t>
      </w:r>
    </w:p>
    <w:p>
      <w:pPr>
        <w:pStyle w:val="BodyText"/>
        <w:spacing w:line="218" w:lineRule="auto" w:before="82"/>
        <w:ind w:right="38"/>
      </w:pPr>
      <w:r>
        <w:rPr>
          <w:color w:val="231F20"/>
        </w:rPr>
        <w:t>Art. 5:42. Sauf disposition statutaire contraire, chaque action donne droit à une voix.</w:t>
      </w:r>
    </w:p>
    <w:p>
      <w:pPr>
        <w:pStyle w:val="BodyText"/>
        <w:spacing w:line="218" w:lineRule="auto" w:before="86"/>
        <w:ind w:right="38"/>
      </w:pPr>
      <w:r>
        <w:rPr>
          <w:color w:val="231F20"/>
        </w:rPr>
        <w:t>L’exercice du droit de vote afférent aux actions concernées est suspendu aussi longtemps que les versements régulièrement appelés et exigibles n’auront pas été effectués.</w:t>
      </w:r>
    </w:p>
    <w:p>
      <w:pPr>
        <w:pStyle w:val="BodyText"/>
        <w:spacing w:line="218" w:lineRule="auto" w:before="85"/>
        <w:ind w:right="38"/>
      </w:pPr>
      <w:r>
        <w:rPr>
          <w:color w:val="231F20"/>
        </w:rPr>
        <w:t>Art. 5:43. Les actions peuvent être divisées en coupures qui, réunies en nombre suffisant, confèrent les mêmes droits que l’action unitaire, sous réserve de ce qui est fixé à l’article 5:102.</w:t>
      </w:r>
    </w:p>
    <w:p>
      <w:pPr>
        <w:pStyle w:val="BodyText"/>
        <w:spacing w:line="218" w:lineRule="auto" w:before="86"/>
        <w:ind w:right="38"/>
      </w:pPr>
      <w:r>
        <w:rPr>
          <w:color w:val="231F20"/>
        </w:rPr>
        <w:t>Tout échange, regroupement ou scission d’actions a lieu aux condi- tions et selon les modalités fixées par les statuts, sans préjudice de l’article 5:19.</w:t>
      </w:r>
    </w:p>
    <w:p>
      <w:pPr>
        <w:pStyle w:val="BodyText"/>
        <w:spacing w:line="218" w:lineRule="auto" w:before="85"/>
        <w:ind w:right="38"/>
      </w:pPr>
      <w:r>
        <w:rPr>
          <w:color w:val="231F20"/>
        </w:rPr>
        <w:t>Art. 5:44. Est déposée avec les comptes annuels, conformément aux articles 3:10 et 3:12, une liste qui indique:</w:t>
      </w:r>
    </w:p>
    <w:p>
      <w:pPr>
        <w:pStyle w:val="BodyText"/>
        <w:spacing w:line="324" w:lineRule="auto" w:before="72"/>
        <w:ind w:left="283" w:right="2596" w:firstLine="0"/>
        <w:jc w:val="left"/>
      </w:pPr>
      <w:r>
        <w:rPr>
          <w:color w:val="231F20"/>
        </w:rPr>
        <w:t>1° le nombre d‘actions souscrites; 2° les versements effectués;</w:t>
      </w:r>
    </w:p>
    <w:p>
      <w:pPr>
        <w:pStyle w:val="BodyText"/>
        <w:spacing w:line="218" w:lineRule="auto" w:before="14"/>
        <w:ind w:right="38"/>
      </w:pPr>
      <w:r>
        <w:rPr>
          <w:color w:val="231F20"/>
        </w:rPr>
        <w:t>3° la liste des actionnaires qui n’ont pas entièrement libéré leurs actions, avec la mention du montant dont ils sont encore redevables.</w:t>
      </w:r>
    </w:p>
    <w:p>
      <w:pPr>
        <w:pStyle w:val="BodyText"/>
        <w:ind w:left="0" w:right="0" w:firstLine="0"/>
        <w:jc w:val="left"/>
        <w:rPr>
          <w:sz w:val="23"/>
        </w:rPr>
      </w:pPr>
    </w:p>
    <w:p>
      <w:pPr>
        <w:pStyle w:val="BodyText"/>
        <w:spacing w:line="218" w:lineRule="auto"/>
        <w:ind w:right="38"/>
      </w:pPr>
      <w:r>
        <w:rPr>
          <w:color w:val="231F20"/>
        </w:rPr>
        <w:t>Art. 5:45. Les statuts peuvent limiter le nombre de voix dont chaque actionnaire</w:t>
      </w:r>
      <w:r>
        <w:rPr>
          <w:color w:val="231F20"/>
          <w:spacing w:val="-6"/>
        </w:rPr>
        <w:t> </w:t>
      </w:r>
      <w:r>
        <w:rPr>
          <w:color w:val="231F20"/>
        </w:rPr>
        <w:t>dispose</w:t>
      </w:r>
      <w:r>
        <w:rPr>
          <w:color w:val="231F20"/>
          <w:spacing w:val="-6"/>
        </w:rPr>
        <w:t> </w:t>
      </w:r>
      <w:r>
        <w:rPr>
          <w:color w:val="231F20"/>
        </w:rPr>
        <w:t>dans</w:t>
      </w:r>
      <w:r>
        <w:rPr>
          <w:color w:val="231F20"/>
          <w:spacing w:val="-5"/>
        </w:rPr>
        <w:t> </w:t>
      </w:r>
      <w:r>
        <w:rPr>
          <w:color w:val="231F20"/>
        </w:rPr>
        <w:t>les</w:t>
      </w:r>
      <w:r>
        <w:rPr>
          <w:color w:val="231F20"/>
          <w:spacing w:val="-6"/>
        </w:rPr>
        <w:t> </w:t>
      </w:r>
      <w:r>
        <w:rPr>
          <w:color w:val="231F20"/>
        </w:rPr>
        <w:t>assemblées,</w:t>
      </w:r>
      <w:r>
        <w:rPr>
          <w:color w:val="231F20"/>
          <w:spacing w:val="-6"/>
        </w:rPr>
        <w:t> </w:t>
      </w:r>
      <w:r>
        <w:rPr>
          <w:color w:val="231F20"/>
        </w:rPr>
        <w:t>à</w:t>
      </w:r>
      <w:r>
        <w:rPr>
          <w:color w:val="231F20"/>
          <w:spacing w:val="-5"/>
        </w:rPr>
        <w:t> </w:t>
      </w:r>
      <w:r>
        <w:rPr>
          <w:color w:val="231F20"/>
        </w:rPr>
        <w:t>condition</w:t>
      </w:r>
      <w:r>
        <w:rPr>
          <w:color w:val="231F20"/>
          <w:spacing w:val="-6"/>
        </w:rPr>
        <w:t> </w:t>
      </w:r>
      <w:r>
        <w:rPr>
          <w:color w:val="231F20"/>
        </w:rPr>
        <w:t>que</w:t>
      </w:r>
      <w:r>
        <w:rPr>
          <w:color w:val="231F20"/>
          <w:spacing w:val="-6"/>
        </w:rPr>
        <w:t> </w:t>
      </w:r>
      <w:r>
        <w:rPr>
          <w:color w:val="231F20"/>
        </w:rPr>
        <w:t>cette</w:t>
      </w:r>
      <w:r>
        <w:rPr>
          <w:color w:val="231F20"/>
          <w:spacing w:val="-5"/>
        </w:rPr>
        <w:t> </w:t>
      </w:r>
      <w:r>
        <w:rPr>
          <w:color w:val="231F20"/>
        </w:rPr>
        <w:t>limitation s’impose à tout actionnaire quels que soient les titres pour lesquels il prend part au</w:t>
      </w:r>
      <w:r>
        <w:rPr>
          <w:color w:val="231F20"/>
          <w:spacing w:val="4"/>
        </w:rPr>
        <w:t> </w:t>
      </w:r>
      <w:r>
        <w:rPr>
          <w:color w:val="231F20"/>
        </w:rPr>
        <w:t>vote.</w:t>
      </w:r>
    </w:p>
    <w:p>
      <w:pPr>
        <w:pStyle w:val="BodyText"/>
        <w:spacing w:before="8"/>
        <w:ind w:left="0" w:right="0" w:firstLine="0"/>
        <w:jc w:val="left"/>
        <w:rPr>
          <w:sz w:val="21"/>
        </w:rPr>
      </w:pPr>
    </w:p>
    <w:p>
      <w:pPr>
        <w:pStyle w:val="BodyText"/>
        <w:spacing w:line="218" w:lineRule="auto"/>
        <w:ind w:right="39"/>
      </w:pPr>
      <w:r>
        <w:rPr>
          <w:color w:val="231F20"/>
        </w:rPr>
        <w:t>Art. 5:46. § 1</w:t>
      </w:r>
      <w:r>
        <w:rPr>
          <w:color w:val="231F20"/>
          <w:position w:val="7"/>
          <w:sz w:val="11"/>
        </w:rPr>
        <w:t>er</w:t>
      </w:r>
      <w:r>
        <w:rPr>
          <w:color w:val="231F20"/>
        </w:rPr>
        <w:t>. L’exercice du droit de vote peut faire l’objet de conventions.</w:t>
      </w:r>
    </w:p>
    <w:p>
      <w:pPr>
        <w:pStyle w:val="BodyText"/>
        <w:spacing w:line="218" w:lineRule="auto" w:before="96"/>
        <w:ind w:right="38"/>
      </w:pPr>
      <w:r>
        <w:rPr>
          <w:color w:val="231F20"/>
        </w:rPr>
        <w:t>Ces conventions doivent être limitées dans le temps et ne peuvent être contraires à l’intérêt</w:t>
      </w:r>
      <w:r>
        <w:rPr>
          <w:color w:val="231F20"/>
          <w:spacing w:val="16"/>
        </w:rPr>
        <w:t> </w:t>
      </w:r>
      <w:r>
        <w:rPr>
          <w:color w:val="231F20"/>
        </w:rPr>
        <w:t>social.</w:t>
      </w:r>
    </w:p>
    <w:p>
      <w:pPr>
        <w:pStyle w:val="BodyText"/>
        <w:spacing w:before="82"/>
        <w:ind w:left="283" w:right="0" w:firstLine="0"/>
        <w:jc w:val="left"/>
      </w:pPr>
      <w:r>
        <w:rPr>
          <w:color w:val="231F20"/>
        </w:rPr>
        <w:t>Sont nulles:</w:t>
      </w:r>
    </w:p>
    <w:p>
      <w:pPr>
        <w:pStyle w:val="BodyText"/>
        <w:spacing w:line="218" w:lineRule="auto" w:before="93"/>
        <w:ind w:right="38"/>
      </w:pPr>
      <w:r>
        <w:rPr>
          <w:color w:val="231F20"/>
        </w:rPr>
        <w:t>1° les conventions qui sont contraires aux dispositions du présent code;</w:t>
      </w:r>
    </w:p>
    <w:p>
      <w:pPr>
        <w:pStyle w:val="BodyText"/>
        <w:spacing w:line="218" w:lineRule="auto" w:before="96"/>
        <w:ind w:right="38"/>
      </w:pPr>
      <w:r>
        <w:rPr>
          <w:color w:val="231F20"/>
        </w:rPr>
        <w:t>2° les conventions par lesquelles un actionnaire s’engage à voter conformément aux directives données par la société, par une filiale ou encore par l’un des organes de ces sociétés;</w:t>
      </w:r>
    </w:p>
    <w:p>
      <w:pPr>
        <w:pStyle w:val="BodyText"/>
        <w:spacing w:before="11"/>
        <w:ind w:left="0" w:right="0" w:firstLine="0"/>
        <w:jc w:val="left"/>
        <w:rPr>
          <w:sz w:val="23"/>
        </w:rPr>
      </w:pPr>
    </w:p>
    <w:p>
      <w:pPr>
        <w:pStyle w:val="BodyText"/>
        <w:spacing w:line="218" w:lineRule="auto"/>
        <w:ind w:right="38"/>
      </w:pPr>
      <w:r>
        <w:rPr>
          <w:color w:val="231F20"/>
        </w:rPr>
        <w:t>3° les conventions par lesquelles un actionnaire ou un autre titulaire de titres s’engage envers les mêmes sociétés ou les mêmes organes à approuver les propositions émanant des organes de la société.</w:t>
      </w:r>
    </w:p>
    <w:p>
      <w:pPr>
        <w:pStyle w:val="BodyText"/>
        <w:spacing w:before="2"/>
        <w:ind w:left="0" w:right="0" w:firstLine="0"/>
        <w:jc w:val="left"/>
        <w:rPr>
          <w:sz w:val="24"/>
        </w:rPr>
      </w:pPr>
    </w:p>
    <w:p>
      <w:pPr>
        <w:pStyle w:val="BodyText"/>
        <w:spacing w:line="213" w:lineRule="auto"/>
        <w:ind w:right="38"/>
      </w:pPr>
      <w:r>
        <w:rPr>
          <w:color w:val="231F20"/>
        </w:rPr>
        <w:t>§ 2. Les votes émis en assemblée générale en vertu des conventions visées au paragraphe 1</w:t>
      </w:r>
      <w:r>
        <w:rPr>
          <w:color w:val="231F20"/>
          <w:position w:val="7"/>
          <w:sz w:val="11"/>
        </w:rPr>
        <w:t>er</w:t>
      </w:r>
      <w:r>
        <w:rPr>
          <w:color w:val="231F20"/>
        </w:rPr>
        <w:t>, alinéa 3, sont nuls. Ces votes entraînent la nullité des décisions prises à moins qu’ils n’aient eu aucune incidence sur la validité du vote intervenu.</w:t>
      </w:r>
    </w:p>
    <w:p>
      <w:pPr>
        <w:pStyle w:val="BodyText"/>
        <w:spacing w:before="6"/>
        <w:ind w:left="0" w:right="0" w:firstLine="0"/>
        <w:jc w:val="left"/>
        <w:rPr>
          <w:sz w:val="22"/>
        </w:rPr>
      </w:pPr>
    </w:p>
    <w:p>
      <w:pPr>
        <w:pStyle w:val="BodyText"/>
        <w:ind w:left="283" w:right="0" w:firstLine="0"/>
        <w:jc w:val="left"/>
      </w:pPr>
      <w:r>
        <w:rPr>
          <w:color w:val="231F20"/>
        </w:rPr>
        <w:t>Sous-section 2. Actions sans droit de vote.</w:t>
      </w:r>
    </w:p>
    <w:p>
      <w:pPr>
        <w:pStyle w:val="BodyText"/>
        <w:spacing w:line="218" w:lineRule="auto" w:before="77"/>
        <w:ind w:right="38"/>
      </w:pPr>
      <w:r>
        <w:rPr>
          <w:color w:val="231F20"/>
        </w:rPr>
        <w:t>Art.</w:t>
      </w:r>
      <w:r>
        <w:rPr>
          <w:color w:val="231F20"/>
          <w:spacing w:val="-4"/>
        </w:rPr>
        <w:t> </w:t>
      </w:r>
      <w:r>
        <w:rPr>
          <w:color w:val="231F20"/>
        </w:rPr>
        <w:t>5:47.</w:t>
      </w:r>
      <w:r>
        <w:rPr>
          <w:color w:val="231F20"/>
          <w:spacing w:val="-3"/>
        </w:rPr>
        <w:t> </w:t>
      </w:r>
      <w:r>
        <w:rPr>
          <w:color w:val="231F20"/>
        </w:rPr>
        <w:t>§</w:t>
      </w:r>
      <w:r>
        <w:rPr>
          <w:color w:val="231F20"/>
          <w:spacing w:val="-3"/>
        </w:rPr>
        <w:t> </w:t>
      </w:r>
      <w:r>
        <w:rPr>
          <w:color w:val="231F20"/>
        </w:rPr>
        <w:t>1</w:t>
      </w:r>
      <w:r>
        <w:rPr>
          <w:color w:val="231F20"/>
          <w:position w:val="7"/>
          <w:sz w:val="11"/>
        </w:rPr>
        <w:t>er</w:t>
      </w:r>
      <w:r>
        <w:rPr>
          <w:color w:val="231F20"/>
        </w:rPr>
        <w:t>.</w:t>
      </w:r>
      <w:r>
        <w:rPr>
          <w:color w:val="231F20"/>
          <w:spacing w:val="-3"/>
        </w:rPr>
        <w:t> </w:t>
      </w:r>
      <w:r>
        <w:rPr>
          <w:color w:val="231F20"/>
        </w:rPr>
        <w:t>En</w:t>
      </w:r>
      <w:r>
        <w:rPr>
          <w:color w:val="231F20"/>
          <w:spacing w:val="-3"/>
        </w:rPr>
        <w:t> </w:t>
      </w:r>
      <w:r>
        <w:rPr>
          <w:color w:val="231F20"/>
        </w:rPr>
        <w:t>cas</w:t>
      </w:r>
      <w:r>
        <w:rPr>
          <w:color w:val="231F20"/>
          <w:spacing w:val="-3"/>
        </w:rPr>
        <w:t> </w:t>
      </w:r>
      <w:r>
        <w:rPr>
          <w:color w:val="231F20"/>
        </w:rPr>
        <w:t>d’émission</w:t>
      </w:r>
      <w:r>
        <w:rPr>
          <w:color w:val="231F20"/>
          <w:spacing w:val="-3"/>
        </w:rPr>
        <w:t> </w:t>
      </w:r>
      <w:r>
        <w:rPr>
          <w:color w:val="231F20"/>
        </w:rPr>
        <w:t>d’actions</w:t>
      </w:r>
      <w:r>
        <w:rPr>
          <w:color w:val="231F20"/>
          <w:spacing w:val="-3"/>
        </w:rPr>
        <w:t> </w:t>
      </w:r>
      <w:r>
        <w:rPr>
          <w:color w:val="231F20"/>
        </w:rPr>
        <w:t>sans</w:t>
      </w:r>
      <w:r>
        <w:rPr>
          <w:color w:val="231F20"/>
          <w:spacing w:val="-3"/>
        </w:rPr>
        <w:t> </w:t>
      </w:r>
      <w:r>
        <w:rPr>
          <w:color w:val="231F20"/>
        </w:rPr>
        <w:t>droit</w:t>
      </w:r>
      <w:r>
        <w:rPr>
          <w:color w:val="231F20"/>
          <w:spacing w:val="-3"/>
        </w:rPr>
        <w:t> </w:t>
      </w:r>
      <w:r>
        <w:rPr>
          <w:color w:val="231F20"/>
        </w:rPr>
        <w:t>de</w:t>
      </w:r>
      <w:r>
        <w:rPr>
          <w:color w:val="231F20"/>
          <w:spacing w:val="-4"/>
        </w:rPr>
        <w:t> </w:t>
      </w:r>
      <w:r>
        <w:rPr>
          <w:color w:val="231F20"/>
        </w:rPr>
        <w:t>vote,</w:t>
      </w:r>
      <w:r>
        <w:rPr>
          <w:color w:val="231F20"/>
          <w:spacing w:val="-3"/>
        </w:rPr>
        <w:t> </w:t>
      </w:r>
      <w:r>
        <w:rPr>
          <w:color w:val="231F20"/>
        </w:rPr>
        <w:t>celles-ci donnent néanmoins droit à une voix par action au moins dans les cas suivants, nonobstant toute disposition</w:t>
      </w:r>
      <w:r>
        <w:rPr>
          <w:color w:val="231F20"/>
          <w:spacing w:val="16"/>
        </w:rPr>
        <w:t> </w:t>
      </w:r>
      <w:r>
        <w:rPr>
          <w:color w:val="231F20"/>
        </w:rPr>
        <w:t>contraire:</w:t>
      </w:r>
    </w:p>
    <w:p>
      <w:pPr>
        <w:pStyle w:val="BodyText"/>
        <w:spacing w:before="83"/>
        <w:ind w:left="283" w:right="0" w:firstLine="0"/>
        <w:jc w:val="left"/>
      </w:pPr>
      <w:r>
        <w:rPr>
          <w:color w:val="231F20"/>
        </w:rPr>
        <w:t>1° dans le cas visé à l’article 5:102;</w:t>
      </w:r>
    </w:p>
    <w:p>
      <w:pPr>
        <w:pStyle w:val="BodyText"/>
        <w:spacing w:before="78"/>
        <w:ind w:left="283" w:right="0" w:firstLine="0"/>
        <w:jc w:val="left"/>
      </w:pPr>
      <w:r>
        <w:rPr>
          <w:color w:val="231F20"/>
        </w:rPr>
        <w:t>2° en cas de transformation de la société;</w:t>
      </w:r>
    </w:p>
    <w:p>
      <w:pPr>
        <w:pStyle w:val="BodyText"/>
        <w:spacing w:line="218" w:lineRule="auto" w:before="93"/>
        <w:ind w:right="38"/>
      </w:pPr>
      <w:r>
        <w:rPr>
          <w:color w:val="231F20"/>
        </w:rPr>
        <w:t>3° en cas de fusion transfrontalière entraînant la dissolution la société;</w:t>
      </w:r>
    </w:p>
    <w:p>
      <w:pPr>
        <w:pStyle w:val="BodyText"/>
        <w:spacing w:line="218" w:lineRule="auto" w:before="96"/>
        <w:ind w:right="38"/>
      </w:pPr>
      <w:r>
        <w:rPr>
          <w:color w:val="231F20"/>
        </w:rPr>
        <w:t>4° en cas de déplacement transfrontalier du siège statutaire confor- mément à l’article 14:15.</w:t>
      </w:r>
    </w:p>
    <w:p>
      <w:pPr>
        <w:pStyle w:val="BodyText"/>
        <w:spacing w:line="218" w:lineRule="auto" w:before="96"/>
        <w:ind w:right="38"/>
      </w:pPr>
      <w:r>
        <w:rPr>
          <w:color w:val="231F20"/>
        </w:rPr>
        <w:t>§ 2. En cas d’émission d’actions sans droit de vote auxquelles un dividende privilégié est attribué, ces actions bénéficient néanmoins d’un droit de vote, nonobstant toute disposition statutaire contraire, la décision d’émission ou une convention si les dividendes privilégiés n’ont pas été entièrement mis en paiement durant deux exercices successifs. Le droit de vote cesse à nouveau lorsqu’il est distribué un dividende qui, additionné au dividende de l’exercice concerné, est équivalent</w:t>
      </w:r>
      <w:r>
        <w:rPr>
          <w:color w:val="231F20"/>
          <w:spacing w:val="19"/>
        </w:rPr>
        <w:t> </w:t>
      </w:r>
      <w:r>
        <w:rPr>
          <w:color w:val="231F20"/>
        </w:rPr>
        <w:t>au</w:t>
      </w:r>
      <w:r>
        <w:rPr>
          <w:color w:val="231F20"/>
          <w:spacing w:val="19"/>
        </w:rPr>
        <w:t> </w:t>
      </w:r>
      <w:r>
        <w:rPr>
          <w:color w:val="231F20"/>
        </w:rPr>
        <w:t>montant</w:t>
      </w:r>
      <w:r>
        <w:rPr>
          <w:color w:val="231F20"/>
          <w:spacing w:val="20"/>
        </w:rPr>
        <w:t> </w:t>
      </w:r>
      <w:r>
        <w:rPr>
          <w:color w:val="231F20"/>
        </w:rPr>
        <w:t>des</w:t>
      </w:r>
      <w:r>
        <w:rPr>
          <w:color w:val="231F20"/>
          <w:spacing w:val="19"/>
        </w:rPr>
        <w:t> </w:t>
      </w:r>
      <w:r>
        <w:rPr>
          <w:color w:val="231F20"/>
        </w:rPr>
        <w:t>dividendes</w:t>
      </w:r>
      <w:r>
        <w:rPr>
          <w:color w:val="231F20"/>
          <w:spacing w:val="20"/>
        </w:rPr>
        <w:t> </w:t>
      </w:r>
      <w:r>
        <w:rPr>
          <w:color w:val="231F20"/>
        </w:rPr>
        <w:t>privilégiés</w:t>
      </w:r>
      <w:r>
        <w:rPr>
          <w:color w:val="231F20"/>
          <w:spacing w:val="19"/>
        </w:rPr>
        <w:t> </w:t>
      </w:r>
      <w:r>
        <w:rPr>
          <w:color w:val="231F20"/>
        </w:rPr>
        <w:t>non</w:t>
      </w:r>
      <w:r>
        <w:rPr>
          <w:color w:val="231F20"/>
          <w:spacing w:val="19"/>
        </w:rPr>
        <w:t> </w:t>
      </w:r>
      <w:r>
        <w:rPr>
          <w:color w:val="231F20"/>
        </w:rPr>
        <w:t>distribués.</w:t>
      </w:r>
    </w:p>
    <w:p>
      <w:pPr>
        <w:pStyle w:val="BodyText"/>
        <w:spacing w:line="324" w:lineRule="auto" w:before="105"/>
        <w:ind w:left="283" w:right="1535" w:hanging="1"/>
        <w:jc w:val="left"/>
      </w:pPr>
      <w:r>
        <w:rPr/>
        <w:br w:type="column"/>
      </w:r>
      <w:r>
        <w:rPr>
          <w:color w:val="231F20"/>
        </w:rPr>
        <w:t>HOOFDSTUK 3. Categorieën van effecten. Afdeling 1. Aandelen.</w:t>
      </w:r>
    </w:p>
    <w:p>
      <w:pPr>
        <w:pStyle w:val="BodyText"/>
        <w:spacing w:before="1"/>
        <w:ind w:left="283" w:right="0" w:firstLine="0"/>
        <w:jc w:val="left"/>
      </w:pPr>
      <w:r>
        <w:rPr>
          <w:color w:val="231F20"/>
          <w:w w:val="105"/>
        </w:rPr>
        <w:t>Onderafdeling 1. Algemene bepalingen.</w:t>
      </w:r>
    </w:p>
    <w:p>
      <w:pPr>
        <w:pStyle w:val="BodyText"/>
        <w:spacing w:line="218" w:lineRule="auto" w:before="82"/>
      </w:pPr>
      <w:r>
        <w:rPr>
          <w:color w:val="231F20"/>
        </w:rPr>
        <w:t>Art. 5:40. De vennootschap moet minstens één aandeel uitgeven en minstens één aandeel moet stemrecht hebben. Een aandeel kan slechts worden uitgegeven in ruil voor een inbreng.</w:t>
      </w:r>
    </w:p>
    <w:p>
      <w:pPr>
        <w:pStyle w:val="BodyText"/>
        <w:spacing w:line="218" w:lineRule="auto" w:before="86"/>
      </w:pPr>
      <w:r>
        <w:rPr>
          <w:color w:val="231F20"/>
        </w:rPr>
        <w:t>Art. 5:41. Elk aandeel deelt in de winst of het vereffeningssaldo. </w:t>
      </w:r>
      <w:r>
        <w:rPr>
          <w:color w:val="231F20"/>
          <w:spacing w:val="-3"/>
        </w:rPr>
        <w:t>Tenzij </w:t>
      </w:r>
      <w:r>
        <w:rPr>
          <w:color w:val="231F20"/>
        </w:rPr>
        <w:t>de statuten anders bepalen, geeft elk aandeel recht op een gelijk aandeel</w:t>
      </w:r>
      <w:r>
        <w:rPr>
          <w:color w:val="231F20"/>
          <w:spacing w:val="15"/>
        </w:rPr>
        <w:t> </w:t>
      </w:r>
      <w:r>
        <w:rPr>
          <w:color w:val="231F20"/>
        </w:rPr>
        <w:t>in</w:t>
      </w:r>
      <w:r>
        <w:rPr>
          <w:color w:val="231F20"/>
          <w:spacing w:val="16"/>
        </w:rPr>
        <w:t> </w:t>
      </w:r>
      <w:r>
        <w:rPr>
          <w:color w:val="231F20"/>
        </w:rPr>
        <w:t>de</w:t>
      </w:r>
      <w:r>
        <w:rPr>
          <w:color w:val="231F20"/>
          <w:spacing w:val="16"/>
        </w:rPr>
        <w:t> </w:t>
      </w:r>
      <w:r>
        <w:rPr>
          <w:color w:val="231F20"/>
        </w:rPr>
        <w:t>winst</w:t>
      </w:r>
      <w:r>
        <w:rPr>
          <w:color w:val="231F20"/>
          <w:spacing w:val="16"/>
        </w:rPr>
        <w:t> </w:t>
      </w:r>
      <w:r>
        <w:rPr>
          <w:color w:val="231F20"/>
        </w:rPr>
        <w:t>en</w:t>
      </w:r>
      <w:r>
        <w:rPr>
          <w:color w:val="231F20"/>
          <w:spacing w:val="16"/>
        </w:rPr>
        <w:t> </w:t>
      </w:r>
      <w:r>
        <w:rPr>
          <w:color w:val="231F20"/>
        </w:rPr>
        <w:t>van</w:t>
      </w:r>
      <w:r>
        <w:rPr>
          <w:color w:val="231F20"/>
          <w:spacing w:val="16"/>
        </w:rPr>
        <w:t> </w:t>
      </w:r>
      <w:r>
        <w:rPr>
          <w:color w:val="231F20"/>
        </w:rPr>
        <w:t>het</w:t>
      </w:r>
      <w:r>
        <w:rPr>
          <w:color w:val="231F20"/>
          <w:spacing w:val="15"/>
        </w:rPr>
        <w:t> </w:t>
      </w:r>
      <w:r>
        <w:rPr>
          <w:color w:val="231F20"/>
        </w:rPr>
        <w:t>vereffeningssaldo.</w:t>
      </w:r>
    </w:p>
    <w:p>
      <w:pPr>
        <w:pStyle w:val="BodyText"/>
        <w:spacing w:before="71"/>
        <w:ind w:left="283" w:right="0" w:firstLine="0"/>
        <w:jc w:val="left"/>
      </w:pPr>
      <w:r>
        <w:rPr>
          <w:color w:val="231F20"/>
        </w:rPr>
        <w:t>Stemrechten kunnen enkel aan aandelen worden verbonden.</w:t>
      </w:r>
    </w:p>
    <w:p>
      <w:pPr>
        <w:pStyle w:val="BodyText"/>
        <w:spacing w:line="218" w:lineRule="auto" w:before="82"/>
      </w:pPr>
      <w:r>
        <w:rPr>
          <w:color w:val="231F20"/>
        </w:rPr>
        <w:t>Art. 5:42. Tenzij de statuten anders bepalen is aan elk aandeel één stem verbonden.</w:t>
      </w:r>
    </w:p>
    <w:p>
      <w:pPr>
        <w:pStyle w:val="BodyText"/>
        <w:spacing w:line="218" w:lineRule="auto" w:before="86"/>
      </w:pPr>
      <w:r>
        <w:rPr>
          <w:color w:val="231F20"/>
        </w:rPr>
        <w:t>Zolang de behoorlijk opgevraagde en opeisbare stortingen niet zijn gedaan, wordt de uitoefening van het stemrecht verbonden aan de betrokken aandelen geschorst.</w:t>
      </w:r>
    </w:p>
    <w:p>
      <w:pPr>
        <w:pStyle w:val="BodyText"/>
        <w:spacing w:line="218" w:lineRule="auto" w:before="85"/>
      </w:pPr>
      <w:r>
        <w:rPr>
          <w:color w:val="231F20"/>
        </w:rPr>
        <w:t>Art. 5:43. De aandelen kunnen worden gesplitst in onderaandelen die, in voldoende aantal verenigd, dezelfde rechten geven als het enkelvoudige aandeel, behoudens het bepaalde in artikel 5:102.</w:t>
      </w:r>
    </w:p>
    <w:p>
      <w:pPr>
        <w:pStyle w:val="BodyText"/>
        <w:spacing w:line="218" w:lineRule="auto" w:before="86"/>
      </w:pPr>
      <w:r>
        <w:rPr>
          <w:color w:val="231F20"/>
        </w:rPr>
        <w:t>Elke ruil, hergroepering of splitsing van aandelen vindt plaats volgens de voorwaarden en de modaliteiten die in de statuten zijn bepaald, onverminderd artikel</w:t>
      </w:r>
      <w:r>
        <w:rPr>
          <w:color w:val="231F20"/>
          <w:spacing w:val="4"/>
        </w:rPr>
        <w:t> </w:t>
      </w:r>
      <w:r>
        <w:rPr>
          <w:color w:val="231F20"/>
        </w:rPr>
        <w:t>5:19.</w:t>
      </w:r>
    </w:p>
    <w:p>
      <w:pPr>
        <w:pStyle w:val="BodyText"/>
        <w:spacing w:line="218" w:lineRule="auto" w:before="85"/>
      </w:pPr>
      <w:r>
        <w:rPr>
          <w:color w:val="231F20"/>
        </w:rPr>
        <w:t>Art. 5:44. Met de jaarrekening wordt een lijst neergelegd, overeen- komstig de artikelen 3:10 en 3:12, met opgave van:</w:t>
      </w:r>
    </w:p>
    <w:p>
      <w:pPr>
        <w:pStyle w:val="BodyText"/>
        <w:spacing w:line="324" w:lineRule="auto" w:before="72"/>
        <w:ind w:left="283" w:right="2675" w:hanging="1"/>
        <w:jc w:val="left"/>
      </w:pPr>
      <w:r>
        <w:rPr>
          <w:color w:val="231F20"/>
        </w:rPr>
        <w:t>1° het aantal geplaatste aandelen; 2° de gedane stortingen;</w:t>
      </w:r>
    </w:p>
    <w:p>
      <w:pPr>
        <w:pStyle w:val="BodyText"/>
        <w:spacing w:line="218" w:lineRule="auto" w:before="14"/>
      </w:pPr>
      <w:r>
        <w:rPr>
          <w:color w:val="231F20"/>
        </w:rPr>
        <w:t>3° de lijst van de aandeelhouders die hun aandelen niet hebben volgestort, met vermelding van het bedrag dat zij nog zijn verschul- digd.</w:t>
      </w:r>
    </w:p>
    <w:p>
      <w:pPr>
        <w:pStyle w:val="BodyText"/>
        <w:spacing w:line="218" w:lineRule="auto" w:before="86"/>
      </w:pPr>
      <w:r>
        <w:rPr>
          <w:color w:val="231F20"/>
        </w:rPr>
        <w:t>Art. 5:45. De statuten kunnen het aantal stemmen waarover iedere aandeelhouder in de vergaderingen beschikt, beperken, op voorwaarde dat die beperking verplicht van toepassing is op iedere aandeelhouder zonder onderscheid van het effect waarmee hij aan de stemming deelneemt.</w:t>
      </w:r>
    </w:p>
    <w:p>
      <w:pPr>
        <w:pStyle w:val="BodyText"/>
        <w:spacing w:line="218" w:lineRule="auto" w:before="86"/>
      </w:pPr>
      <w:r>
        <w:rPr>
          <w:color w:val="231F20"/>
        </w:rPr>
        <w:t>Art. 5:46. § 1. Overeenkomsten kunnen de uitoefening van het stemrecht regelen.</w:t>
      </w:r>
    </w:p>
    <w:p>
      <w:pPr>
        <w:pStyle w:val="BodyText"/>
        <w:spacing w:line="218" w:lineRule="auto" w:before="96"/>
      </w:pPr>
      <w:r>
        <w:rPr>
          <w:color w:val="231F20"/>
        </w:rPr>
        <w:t>Deze overeenkomsten moeten in de tijd beperkt zijn en mogen niet strijdig zijn met het belang van de vennootschap.</w:t>
      </w:r>
    </w:p>
    <w:p>
      <w:pPr>
        <w:pStyle w:val="BodyText"/>
        <w:spacing w:before="82"/>
        <w:ind w:left="283" w:right="0" w:firstLine="0"/>
        <w:jc w:val="left"/>
      </w:pPr>
      <w:r>
        <w:rPr>
          <w:color w:val="231F20"/>
        </w:rPr>
        <w:t>Zijn nietig:</w:t>
      </w:r>
    </w:p>
    <w:p>
      <w:pPr>
        <w:pStyle w:val="BodyText"/>
        <w:spacing w:line="218" w:lineRule="auto" w:before="93"/>
      </w:pPr>
      <w:r>
        <w:rPr>
          <w:color w:val="231F20"/>
        </w:rPr>
        <w:t>1° overeenkomsten die strijdig zijn met de bepalingen van het wetboek;</w:t>
      </w:r>
    </w:p>
    <w:p>
      <w:pPr>
        <w:pStyle w:val="BodyText"/>
        <w:spacing w:line="218" w:lineRule="auto" w:before="96"/>
      </w:pPr>
      <w:r>
        <w:rPr>
          <w:color w:val="231F20"/>
        </w:rPr>
        <w:t>2° overeenkomsten waarbij een aandeelhouder zich ertoe verbindt te stemmen overeenkomstig de richtlijnen van de vennootschap, van een dochtervennootschap of nog van één van de organen van die vennoot- schappen;</w:t>
      </w:r>
    </w:p>
    <w:p>
      <w:pPr>
        <w:pStyle w:val="BodyText"/>
        <w:spacing w:line="218" w:lineRule="auto" w:before="96"/>
      </w:pPr>
      <w:r>
        <w:rPr>
          <w:color w:val="231F20"/>
        </w:rPr>
        <w:t>3° overeenkomsten waarbij een aandeelhouder of een andere effec- tenhouder zich tegenover diezelfde vennootschappen of diezelfde organen verbindt om de voorstellen van de organen van de vennoot- schap goed te keuren.</w:t>
      </w:r>
    </w:p>
    <w:p>
      <w:pPr>
        <w:pStyle w:val="BodyText"/>
        <w:spacing w:line="218" w:lineRule="auto" w:before="96"/>
      </w:pPr>
      <w:r>
        <w:rPr>
          <w:color w:val="231F20"/>
        </w:rPr>
        <w:t>§ 2. Stemmen uitgebracht tijdens een algemene vergadering op grond van overeenkomsten bedoeld in paragraaf 1, derde lid, zijn nietig. Die stemmen brengen de nietigheid mee van de genomen besluiten, tenzij zij geen enkele invloed hebben gehad op de geldigheid van de  gehouden</w:t>
      </w:r>
      <w:r>
        <w:rPr>
          <w:color w:val="231F20"/>
          <w:spacing w:val="15"/>
        </w:rPr>
        <w:t> </w:t>
      </w:r>
      <w:r>
        <w:rPr>
          <w:color w:val="231F20"/>
        </w:rPr>
        <w:t>stemming.</w:t>
      </w:r>
    </w:p>
    <w:p>
      <w:pPr>
        <w:pStyle w:val="BodyText"/>
        <w:spacing w:before="83"/>
        <w:ind w:left="283" w:right="0" w:firstLine="0"/>
        <w:jc w:val="left"/>
      </w:pPr>
      <w:r>
        <w:rPr>
          <w:color w:val="231F20"/>
        </w:rPr>
        <w:t>Onderafdeling 2. Aandelen zonder stemrecht.</w:t>
      </w:r>
    </w:p>
    <w:p>
      <w:pPr>
        <w:pStyle w:val="BodyText"/>
        <w:spacing w:line="218" w:lineRule="auto" w:before="92"/>
      </w:pPr>
      <w:r>
        <w:rPr>
          <w:color w:val="231F20"/>
        </w:rPr>
        <w:t>Art. 5:47. § 1. In geval van uitgifte van aandelen zonder stemrecht, geven zij toch recht op minstens één stem per aandeel in volgende gevallen, niettegenstaande andersluidende bepaling:</w:t>
      </w:r>
    </w:p>
    <w:p>
      <w:pPr>
        <w:pStyle w:val="BodyText"/>
        <w:spacing w:line="338" w:lineRule="auto" w:before="82"/>
        <w:ind w:left="283" w:right="2377" w:hanging="1"/>
        <w:jc w:val="left"/>
      </w:pPr>
      <w:r>
        <w:rPr>
          <w:color w:val="231F20"/>
        </w:rPr>
        <w:t>1° het geval bedoeld in artikel 5:102;  2°</w:t>
      </w:r>
      <w:r>
        <w:rPr>
          <w:color w:val="231F20"/>
          <w:spacing w:val="16"/>
        </w:rPr>
        <w:t> </w:t>
      </w:r>
      <w:r>
        <w:rPr>
          <w:color w:val="231F20"/>
        </w:rPr>
        <w:t>bij</w:t>
      </w:r>
      <w:r>
        <w:rPr>
          <w:color w:val="231F20"/>
          <w:spacing w:val="16"/>
        </w:rPr>
        <w:t> </w:t>
      </w:r>
      <w:r>
        <w:rPr>
          <w:color w:val="231F20"/>
        </w:rPr>
        <w:t>omzetting</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vennootschap;</w:t>
      </w:r>
    </w:p>
    <w:p>
      <w:pPr>
        <w:pStyle w:val="BodyText"/>
        <w:spacing w:line="218" w:lineRule="auto" w:before="13"/>
      </w:pPr>
      <w:r>
        <w:rPr>
          <w:color w:val="231F20"/>
        </w:rPr>
        <w:t>3° bij grensoverschrijdende fusie waarbij de vennootschap wordt ontbonden;</w:t>
      </w:r>
    </w:p>
    <w:p>
      <w:pPr>
        <w:pStyle w:val="BodyText"/>
        <w:spacing w:line="218" w:lineRule="auto" w:before="96"/>
      </w:pPr>
      <w:r>
        <w:rPr>
          <w:color w:val="231F20"/>
        </w:rPr>
        <w:t>4° bij grensoverschrijdende verplaatsing van de statutaire zetel overeenkomstig artikel 14:15.</w:t>
      </w:r>
    </w:p>
    <w:p>
      <w:pPr>
        <w:pStyle w:val="BodyText"/>
        <w:spacing w:line="218" w:lineRule="auto" w:before="97"/>
        <w:ind w:right="123"/>
      </w:pPr>
      <w:r>
        <w:rPr>
          <w:color w:val="231F20"/>
        </w:rPr>
        <w:t>§ 2. In geval van uitgifte van aandelen zonder stemrecht waaraan een preferent dividend is toegekend, hebben deze aandelen toch stemrecht niettegenstaande andersluidende statutaire bepaling, het emissiebesluit of een overeenkomst, indien de preferente dividenden gedurende twee opeenvolgende boekjaren niet volledig betaalbaar werden gesteld. Het stemrecht vervalt opnieuw wanneer een dividend wordt uitgekeerd  dat, bovenop het dividend van het betrokken boekjaar, gelijk is aan het bedrag</w:t>
      </w:r>
      <w:r>
        <w:rPr>
          <w:color w:val="231F20"/>
          <w:spacing w:val="16"/>
        </w:rPr>
        <w:t> </w:t>
      </w:r>
      <w:r>
        <w:rPr>
          <w:color w:val="231F20"/>
        </w:rPr>
        <w:t>van</w:t>
      </w:r>
      <w:r>
        <w:rPr>
          <w:color w:val="231F20"/>
          <w:spacing w:val="17"/>
        </w:rPr>
        <w:t> </w:t>
      </w:r>
      <w:r>
        <w:rPr>
          <w:color w:val="231F20"/>
        </w:rPr>
        <w:t>de</w:t>
      </w:r>
      <w:r>
        <w:rPr>
          <w:color w:val="231F20"/>
          <w:spacing w:val="17"/>
        </w:rPr>
        <w:t> </w:t>
      </w:r>
      <w:r>
        <w:rPr>
          <w:color w:val="231F20"/>
        </w:rPr>
        <w:t>niet</w:t>
      </w:r>
      <w:r>
        <w:rPr>
          <w:color w:val="231F20"/>
          <w:spacing w:val="16"/>
        </w:rPr>
        <w:t> </w:t>
      </w:r>
      <w:r>
        <w:rPr>
          <w:color w:val="231F20"/>
        </w:rPr>
        <w:t>uitgekeerde</w:t>
      </w:r>
      <w:r>
        <w:rPr>
          <w:color w:val="231F20"/>
          <w:spacing w:val="17"/>
        </w:rPr>
        <w:t> </w:t>
      </w:r>
      <w:r>
        <w:rPr>
          <w:color w:val="231F20"/>
        </w:rPr>
        <w:t>preferente</w:t>
      </w:r>
      <w:r>
        <w:rPr>
          <w:color w:val="231F20"/>
          <w:spacing w:val="17"/>
        </w:rPr>
        <w:t> </w:t>
      </w:r>
      <w:r>
        <w:rPr>
          <w:color w:val="231F20"/>
        </w:rPr>
        <w:t>dividenden.</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3352" from="298.170502pt,64.473pt" to="298.170502pt,812.819pt" stroked="true" strokeweight=".533pt" strokecolor="#231f20">
            <v:stroke dashstyle="solid"/>
            <w10:wrap type="none"/>
          </v:line>
        </w:pict>
      </w:r>
      <w:bookmarkStart w:name="_bookmark97" w:id="102"/>
      <w:bookmarkEnd w:id="102"/>
      <w:r>
        <w:rPr/>
      </w:r>
      <w:r>
        <w:rPr>
          <w:color w:val="231F20"/>
        </w:rPr>
        <w:t>Section 2. Des classes d’actions.</w:t>
      </w:r>
    </w:p>
    <w:p>
      <w:pPr>
        <w:pStyle w:val="BodyText"/>
        <w:spacing w:line="218" w:lineRule="auto" w:before="114"/>
        <w:ind w:right="38"/>
      </w:pPr>
      <w:r>
        <w:rPr>
          <w:color w:val="231F20"/>
        </w:rPr>
        <w:t>Art. 5:48. Lorsqu’il est attaché à une action ou à une série d’actions d’autres droits que ceux attachés à d’autres actions émises par la même société, chacune de ces séries constitue une classe à l’égard des autres séries d’actions. Les actions avec des droits de vote différents ou sans droit de vote constituent toujours des classes distinctes.</w:t>
      </w:r>
    </w:p>
    <w:p>
      <w:pPr>
        <w:pStyle w:val="BodyText"/>
        <w:spacing w:before="6"/>
        <w:ind w:left="0" w:right="0" w:firstLine="0"/>
        <w:jc w:val="left"/>
        <w:rPr>
          <w:sz w:val="24"/>
        </w:rPr>
      </w:pPr>
    </w:p>
    <w:p>
      <w:pPr>
        <w:pStyle w:val="BodyText"/>
        <w:spacing w:before="1"/>
        <w:ind w:left="283" w:right="0" w:firstLine="0"/>
        <w:jc w:val="left"/>
      </w:pPr>
      <w:r>
        <w:rPr>
          <w:color w:val="231F20"/>
        </w:rPr>
        <w:t>Section 3. Certificats.</w:t>
      </w:r>
    </w:p>
    <w:p>
      <w:pPr>
        <w:pStyle w:val="BodyText"/>
        <w:spacing w:line="218" w:lineRule="auto" w:before="99"/>
        <w:ind w:right="38"/>
      </w:pPr>
      <w:r>
        <w:rPr>
          <w:color w:val="231F20"/>
        </w:rPr>
        <w:t>Art. 5:49. § 1</w:t>
      </w:r>
      <w:r>
        <w:rPr>
          <w:color w:val="231F20"/>
          <w:position w:val="7"/>
          <w:sz w:val="11"/>
        </w:rPr>
        <w:t>er</w:t>
      </w:r>
      <w:r>
        <w:rPr>
          <w:color w:val="231F20"/>
        </w:rPr>
        <w:t>. Des certificats se rapportant à des actions peuvent</w:t>
      </w:r>
      <w:r>
        <w:rPr>
          <w:color w:val="231F20"/>
          <w:spacing w:val="-29"/>
        </w:rPr>
        <w:t> </w:t>
      </w:r>
      <w:r>
        <w:rPr>
          <w:color w:val="231F20"/>
        </w:rPr>
        <w:t>être émis, en collaboration ou non avec la société, par une personne morale qui conserve ou acquiert la propriété des actions auxquelles</w:t>
      </w:r>
      <w:r>
        <w:rPr>
          <w:color w:val="231F20"/>
          <w:spacing w:val="19"/>
        </w:rPr>
        <w:t> </w:t>
      </w:r>
      <w:r>
        <w:rPr>
          <w:color w:val="231F20"/>
        </w:rPr>
        <w:t>se rapportent les certificats et s’engage à réserver tout produit ou revenu de ces actions au titulaire des certificats. Ces certificats doivent être nominatifs.</w:t>
      </w:r>
    </w:p>
    <w:p>
      <w:pPr>
        <w:pStyle w:val="BodyText"/>
        <w:spacing w:before="9"/>
        <w:ind w:left="0" w:right="0" w:firstLine="0"/>
        <w:jc w:val="left"/>
        <w:rPr>
          <w:sz w:val="25"/>
        </w:rPr>
      </w:pPr>
    </w:p>
    <w:p>
      <w:pPr>
        <w:pStyle w:val="BodyText"/>
        <w:spacing w:line="218" w:lineRule="auto"/>
        <w:ind w:right="38"/>
      </w:pPr>
      <w:r>
        <w:rPr>
          <w:color w:val="231F20"/>
        </w:rPr>
        <w:t>L’émetteur des certificats exerce tous les droits attachés aux actions auxquelles ils se rapportent, en ce compris le droit de vote.</w:t>
      </w:r>
    </w:p>
    <w:p>
      <w:pPr>
        <w:pStyle w:val="BodyText"/>
        <w:spacing w:before="9"/>
        <w:ind w:left="0" w:right="0" w:firstLine="0"/>
        <w:jc w:val="left"/>
        <w:rPr>
          <w:sz w:val="25"/>
        </w:rPr>
      </w:pPr>
    </w:p>
    <w:p>
      <w:pPr>
        <w:pStyle w:val="BodyText"/>
        <w:spacing w:line="218" w:lineRule="auto"/>
        <w:ind w:right="38"/>
      </w:pPr>
      <w:r>
        <w:rPr>
          <w:color w:val="231F20"/>
        </w:rPr>
        <w:t>L’émetteur</w:t>
      </w:r>
      <w:r>
        <w:rPr>
          <w:color w:val="231F20"/>
          <w:spacing w:val="-8"/>
        </w:rPr>
        <w:t> </w:t>
      </w:r>
      <w:r>
        <w:rPr>
          <w:color w:val="231F20"/>
        </w:rPr>
        <w:t>des</w:t>
      </w:r>
      <w:r>
        <w:rPr>
          <w:color w:val="231F20"/>
          <w:spacing w:val="-7"/>
        </w:rPr>
        <w:t> </w:t>
      </w:r>
      <w:r>
        <w:rPr>
          <w:color w:val="231F20"/>
        </w:rPr>
        <w:t>certificats</w:t>
      </w:r>
      <w:r>
        <w:rPr>
          <w:color w:val="231F20"/>
          <w:spacing w:val="-7"/>
        </w:rPr>
        <w:t> </w:t>
      </w:r>
      <w:r>
        <w:rPr>
          <w:color w:val="231F20"/>
        </w:rPr>
        <w:t>est</w:t>
      </w:r>
      <w:r>
        <w:rPr>
          <w:color w:val="231F20"/>
          <w:spacing w:val="-7"/>
        </w:rPr>
        <w:t> </w:t>
      </w:r>
      <w:r>
        <w:rPr>
          <w:color w:val="231F20"/>
        </w:rPr>
        <w:t>tenu</w:t>
      </w:r>
      <w:r>
        <w:rPr>
          <w:color w:val="231F20"/>
          <w:spacing w:val="-7"/>
        </w:rPr>
        <w:t> </w:t>
      </w:r>
      <w:r>
        <w:rPr>
          <w:color w:val="231F20"/>
        </w:rPr>
        <w:t>de</w:t>
      </w:r>
      <w:r>
        <w:rPr>
          <w:color w:val="231F20"/>
          <w:spacing w:val="-8"/>
        </w:rPr>
        <w:t> </w:t>
      </w:r>
      <w:r>
        <w:rPr>
          <w:color w:val="231F20"/>
        </w:rPr>
        <w:t>se</w:t>
      </w:r>
      <w:r>
        <w:rPr>
          <w:color w:val="231F20"/>
          <w:spacing w:val="-7"/>
        </w:rPr>
        <w:t> </w:t>
      </w:r>
      <w:r>
        <w:rPr>
          <w:color w:val="231F20"/>
        </w:rPr>
        <w:t>faire</w:t>
      </w:r>
      <w:r>
        <w:rPr>
          <w:color w:val="231F20"/>
          <w:spacing w:val="-7"/>
        </w:rPr>
        <w:t> </w:t>
      </w:r>
      <w:r>
        <w:rPr>
          <w:color w:val="231F20"/>
        </w:rPr>
        <w:t>connaître</w:t>
      </w:r>
      <w:r>
        <w:rPr>
          <w:color w:val="231F20"/>
          <w:spacing w:val="-7"/>
        </w:rPr>
        <w:t> </w:t>
      </w:r>
      <w:r>
        <w:rPr>
          <w:color w:val="231F20"/>
        </w:rPr>
        <w:t>en</w:t>
      </w:r>
      <w:r>
        <w:rPr>
          <w:color w:val="231F20"/>
          <w:spacing w:val="-7"/>
        </w:rPr>
        <w:t> </w:t>
      </w:r>
      <w:r>
        <w:rPr>
          <w:color w:val="231F20"/>
        </w:rPr>
        <w:t>cette</w:t>
      </w:r>
      <w:r>
        <w:rPr>
          <w:color w:val="231F20"/>
          <w:spacing w:val="-7"/>
        </w:rPr>
        <w:t> </w:t>
      </w:r>
      <w:r>
        <w:rPr>
          <w:color w:val="231F20"/>
        </w:rPr>
        <w:t>qualité à</w:t>
      </w:r>
      <w:r>
        <w:rPr>
          <w:color w:val="231F20"/>
          <w:spacing w:val="14"/>
        </w:rPr>
        <w:t> </w:t>
      </w:r>
      <w:r>
        <w:rPr>
          <w:color w:val="231F20"/>
        </w:rPr>
        <w:t>la</w:t>
      </w:r>
      <w:r>
        <w:rPr>
          <w:color w:val="231F20"/>
          <w:spacing w:val="14"/>
        </w:rPr>
        <w:t> </w:t>
      </w:r>
      <w:r>
        <w:rPr>
          <w:color w:val="231F20"/>
        </w:rPr>
        <w:t>société</w:t>
      </w:r>
      <w:r>
        <w:rPr>
          <w:color w:val="231F20"/>
          <w:spacing w:val="15"/>
        </w:rPr>
        <w:t> </w:t>
      </w:r>
      <w:r>
        <w:rPr>
          <w:color w:val="231F20"/>
        </w:rPr>
        <w:t>qui</w:t>
      </w:r>
      <w:r>
        <w:rPr>
          <w:color w:val="231F20"/>
          <w:spacing w:val="14"/>
        </w:rPr>
        <w:t> </w:t>
      </w:r>
      <w:r>
        <w:rPr>
          <w:color w:val="231F20"/>
        </w:rPr>
        <w:t>a</w:t>
      </w:r>
      <w:r>
        <w:rPr>
          <w:color w:val="231F20"/>
          <w:spacing w:val="15"/>
        </w:rPr>
        <w:t> </w:t>
      </w:r>
      <w:r>
        <w:rPr>
          <w:color w:val="231F20"/>
        </w:rPr>
        <w:t>émis</w:t>
      </w:r>
      <w:r>
        <w:rPr>
          <w:color w:val="231F20"/>
          <w:spacing w:val="14"/>
        </w:rPr>
        <w:t> </w:t>
      </w:r>
      <w:r>
        <w:rPr>
          <w:color w:val="231F20"/>
        </w:rPr>
        <w:t>les</w:t>
      </w:r>
      <w:r>
        <w:rPr>
          <w:color w:val="231F20"/>
          <w:spacing w:val="15"/>
        </w:rPr>
        <w:t> </w:t>
      </w:r>
      <w:r>
        <w:rPr>
          <w:color w:val="231F20"/>
        </w:rPr>
        <w:t>actions</w:t>
      </w:r>
      <w:r>
        <w:rPr>
          <w:color w:val="231F20"/>
          <w:spacing w:val="14"/>
        </w:rPr>
        <w:t> </w:t>
      </w:r>
      <w:r>
        <w:rPr>
          <w:color w:val="231F20"/>
        </w:rPr>
        <w:t>certifiées.</w:t>
      </w:r>
    </w:p>
    <w:p>
      <w:pPr>
        <w:pStyle w:val="BodyText"/>
        <w:spacing w:before="6"/>
        <w:ind w:left="0" w:right="0" w:firstLine="0"/>
        <w:jc w:val="left"/>
        <w:rPr>
          <w:sz w:val="24"/>
        </w:rPr>
      </w:pPr>
    </w:p>
    <w:p>
      <w:pPr>
        <w:pStyle w:val="BodyText"/>
        <w:spacing w:before="1"/>
        <w:ind w:left="283" w:right="0" w:firstLine="0"/>
        <w:jc w:val="left"/>
      </w:pPr>
      <w:r>
        <w:rPr>
          <w:color w:val="231F20"/>
        </w:rPr>
        <w:t>Celle-ci portera cette mention au registre des actions.</w:t>
      </w:r>
    </w:p>
    <w:p>
      <w:pPr>
        <w:pStyle w:val="BodyText"/>
        <w:spacing w:line="218" w:lineRule="auto" w:before="114"/>
        <w:ind w:right="38"/>
      </w:pPr>
      <w:r>
        <w:rPr>
          <w:color w:val="231F20"/>
        </w:rPr>
        <w:t>L’émetteur de certificats met en paiement immédiatement, sauf disposition contraire dans les conditions d’émission, sous déduction de ses frais éventuels, au titulaire de certificats les dividendes et le produit de liquidation éventuellement distribués par la société ainsi que toute somme provenant d’un remboursement de l’apport.</w:t>
      </w:r>
    </w:p>
    <w:p>
      <w:pPr>
        <w:pStyle w:val="BodyText"/>
        <w:spacing w:line="218" w:lineRule="auto" w:before="117"/>
        <w:ind w:right="38"/>
      </w:pPr>
      <w:r>
        <w:rPr>
          <w:color w:val="231F20"/>
        </w:rPr>
        <w:t>Sauf disposition contraire dans les conditions d’émission, l’émetteur de certificats ne peut céder les actions auxquelles se rapportent les certificats.</w:t>
      </w:r>
    </w:p>
    <w:p>
      <w:pPr>
        <w:pStyle w:val="BodyText"/>
        <w:spacing w:line="218" w:lineRule="auto" w:before="118"/>
        <w:ind w:right="38"/>
      </w:pPr>
      <w:r>
        <w:rPr>
          <w:color w:val="231F20"/>
        </w:rPr>
        <w:t>Les certificats sont échangeables en actions auxquelles ils se rappor- tent. L’échangeabilité peut être exclue pour une durée déterminée ou indéterminée dans les conditions d’émission.</w:t>
      </w:r>
    </w:p>
    <w:p>
      <w:pPr>
        <w:pStyle w:val="BodyText"/>
        <w:spacing w:before="9"/>
        <w:ind w:left="0" w:right="0" w:firstLine="0"/>
        <w:jc w:val="left"/>
        <w:rPr>
          <w:sz w:val="25"/>
        </w:rPr>
      </w:pPr>
    </w:p>
    <w:p>
      <w:pPr>
        <w:pStyle w:val="BodyText"/>
        <w:spacing w:line="218" w:lineRule="auto"/>
        <w:ind w:right="38"/>
      </w:pPr>
      <w:r>
        <w:rPr>
          <w:color w:val="231F20"/>
        </w:rPr>
        <w:t>Nonobstant toute disposition contraire, l’échange peut être obtenu à tout moment par chaque titulaire de certificats en cas d’inexécution des obligations de l’émetteur à son égard ou lorsque ses intérêts sont gravement méconnus.</w:t>
      </w:r>
    </w:p>
    <w:p>
      <w:pPr>
        <w:pStyle w:val="BodyText"/>
        <w:spacing w:line="218" w:lineRule="auto" w:before="118"/>
        <w:ind w:right="38"/>
      </w:pPr>
      <w:r>
        <w:rPr>
          <w:color w:val="231F20"/>
        </w:rPr>
        <w:t>§ 2. En cas de faillite de l’émetteur de certificats ou de toute autre situation de concours, les certificats sont échangés de plein droit nonobstant toute disposition contraire des conditions d’émission et les titulaires de certificats exercent collectivement leur revendication sur l’universalité des actions certifiées émises par la même société, appartenant à l’émetteur de certificats.</w:t>
      </w:r>
    </w:p>
    <w:p>
      <w:pPr>
        <w:pStyle w:val="BodyText"/>
        <w:spacing w:before="9"/>
        <w:ind w:left="0" w:right="0" w:firstLine="0"/>
        <w:jc w:val="left"/>
        <w:rPr>
          <w:sz w:val="25"/>
        </w:rPr>
      </w:pPr>
    </w:p>
    <w:p>
      <w:pPr>
        <w:pStyle w:val="BodyText"/>
        <w:spacing w:line="218" w:lineRule="auto"/>
        <w:ind w:right="38"/>
      </w:pPr>
      <w:r>
        <w:rPr>
          <w:color w:val="231F20"/>
        </w:rPr>
        <w:t>Si, dans le cas visé à l’alinéa précédent, cette universalité est insuffisante pour assurer la restitution intégrale des actions, elle sera répartie entre les titulaires de certificats en proportion de leurs droits.</w:t>
      </w:r>
    </w:p>
    <w:p>
      <w:pPr>
        <w:pStyle w:val="BodyText"/>
        <w:spacing w:before="7"/>
        <w:ind w:left="0" w:right="0" w:firstLine="0"/>
        <w:jc w:val="left"/>
        <w:rPr>
          <w:sz w:val="24"/>
        </w:rPr>
      </w:pPr>
    </w:p>
    <w:p>
      <w:pPr>
        <w:pStyle w:val="BodyText"/>
        <w:ind w:left="283" w:right="0" w:firstLine="0"/>
        <w:jc w:val="left"/>
      </w:pPr>
      <w:r>
        <w:rPr>
          <w:color w:val="231F20"/>
        </w:rPr>
        <w:t>Section 4. Obligations.</w:t>
      </w:r>
    </w:p>
    <w:p>
      <w:pPr>
        <w:pStyle w:val="BodyText"/>
        <w:spacing w:before="85"/>
        <w:ind w:left="283" w:right="0" w:firstLine="0"/>
        <w:jc w:val="left"/>
      </w:pPr>
      <w:r>
        <w:rPr>
          <w:color w:val="231F20"/>
        </w:rPr>
        <w:t>Sous-section 1</w:t>
      </w:r>
      <w:r>
        <w:rPr>
          <w:color w:val="231F20"/>
          <w:position w:val="7"/>
          <w:sz w:val="11"/>
        </w:rPr>
        <w:t>re</w:t>
      </w:r>
      <w:r>
        <w:rPr>
          <w:color w:val="231F20"/>
        </w:rPr>
        <w:t>. Dispositions générales.</w:t>
      </w:r>
    </w:p>
    <w:p>
      <w:pPr>
        <w:pStyle w:val="BodyText"/>
        <w:spacing w:line="218" w:lineRule="auto" w:before="114"/>
        <w:ind w:right="38"/>
      </w:pPr>
      <w:r>
        <w:rPr>
          <w:color w:val="231F20"/>
        </w:rPr>
        <w:t>Art. 5:50. La société à responsabilité limitée peut contracter des emprunts sous la forme d’émission d’obligations nominatives, le cas échéant convertibles en actions, la conversion pouvant intervenir indifféremment, selon les conditions d’émission, soit à l’option de l’obligataire ou de la société, soit automatiquement, le cas échéant, à certaines conditions. Les obligations peuvent être émises pour une durée déterminée ou à titre perpétuel.</w:t>
      </w:r>
    </w:p>
    <w:p>
      <w:pPr>
        <w:pStyle w:val="BodyText"/>
        <w:spacing w:line="218" w:lineRule="auto" w:before="103"/>
        <w:ind w:right="38"/>
      </w:pPr>
      <w:r>
        <w:rPr>
          <w:color w:val="231F20"/>
        </w:rPr>
        <w:t>Art. 5:51. § 1</w:t>
      </w:r>
      <w:r>
        <w:rPr>
          <w:color w:val="231F20"/>
          <w:position w:val="7"/>
          <w:sz w:val="11"/>
        </w:rPr>
        <w:t>er</w:t>
      </w:r>
      <w:r>
        <w:rPr>
          <w:color w:val="231F20"/>
        </w:rPr>
        <w:t>. Les conditions d’émission ou l’assemblée générale des obligataires peuvent désigner un ou plusieurs représentants des obligataires faisant partie de la même émission ou du même pro- gramme d’émission. Dans les limites des articles 1984 à 2010 du Code civil, ces représentants peuvent engager tous les obligataires de cette émission ou de ce programme d’émission à l’égard de tiers. Ils peuvent notamment représenter les obligataires dans les procédures d’insolva- bilité, en cas de saisie ou dans tout autre cas de concours, dans lequel ils interviennent en leur nom mais pour le compte des obligataires,</w:t>
      </w:r>
      <w:r>
        <w:rPr>
          <w:color w:val="231F20"/>
          <w:spacing w:val="-5"/>
        </w:rPr>
        <w:t> </w:t>
      </w:r>
      <w:r>
        <w:rPr>
          <w:color w:val="231F20"/>
        </w:rPr>
        <w:t>sans divulguer l’identité de</w:t>
      </w:r>
      <w:r>
        <w:rPr>
          <w:color w:val="231F20"/>
          <w:spacing w:val="6"/>
        </w:rPr>
        <w:t> </w:t>
      </w:r>
      <w:r>
        <w:rPr>
          <w:color w:val="231F20"/>
        </w:rPr>
        <w:t>ceux-ci.</w:t>
      </w:r>
    </w:p>
    <w:p>
      <w:pPr>
        <w:pStyle w:val="BodyText"/>
        <w:spacing w:before="9"/>
        <w:ind w:left="0" w:right="0" w:firstLine="0"/>
        <w:jc w:val="left"/>
        <w:rPr>
          <w:sz w:val="25"/>
        </w:rPr>
      </w:pPr>
    </w:p>
    <w:p>
      <w:pPr>
        <w:pStyle w:val="BodyText"/>
        <w:spacing w:line="218" w:lineRule="auto"/>
        <w:ind w:right="38"/>
      </w:pPr>
      <w:r>
        <w:rPr>
          <w:color w:val="231F20"/>
        </w:rPr>
        <w:t>§ 2. Les conditions d’émission ou l’assemblée générale des obligatai- res peuvent prévoir en outre que ce représentant intervient également en son nom propre, mais pour le compte des obligataires, en tant que bénéficiaire de privilèges ou sûretés constitués en garantie de l’emprunt obligataire.</w:t>
      </w:r>
    </w:p>
    <w:p>
      <w:pPr>
        <w:pStyle w:val="BodyText"/>
        <w:spacing w:before="105"/>
        <w:ind w:left="283" w:right="0" w:firstLine="0"/>
        <w:jc w:val="left"/>
      </w:pPr>
      <w:r>
        <w:rPr/>
        <w:br w:type="column"/>
      </w:r>
      <w:r>
        <w:rPr>
          <w:color w:val="231F20"/>
        </w:rPr>
        <w:t>Afdeling 2. Soorten van aandelen.</w:t>
      </w:r>
    </w:p>
    <w:p>
      <w:pPr>
        <w:pStyle w:val="BodyText"/>
        <w:spacing w:line="218" w:lineRule="auto" w:before="114"/>
      </w:pPr>
      <w:r>
        <w:rPr>
          <w:color w:val="231F20"/>
        </w:rPr>
        <w:t>Art. 5:48. Wanneer aan één of een reeks aandelen andere rechten zijn verbonden dan aan andere aandelen uitgegeven door dezelfde ven- nootschap, dan maakt elk van dergelijke reeksen een soort uit ten opzichte van de andere reeksen van aandelen. Aandelen met verschil- lend stemrecht, evenals aandelen zonder stemrecht, vormen steeds aparte soorten.</w:t>
      </w:r>
    </w:p>
    <w:p>
      <w:pPr>
        <w:pStyle w:val="BodyText"/>
        <w:spacing w:before="104"/>
        <w:ind w:left="283" w:right="0" w:firstLine="0"/>
        <w:jc w:val="left"/>
      </w:pPr>
      <w:r>
        <w:rPr>
          <w:color w:val="231F20"/>
        </w:rPr>
        <w:t>Afdeling 3. Certificaten.</w:t>
      </w:r>
    </w:p>
    <w:p>
      <w:pPr>
        <w:pStyle w:val="BodyText"/>
        <w:spacing w:line="218" w:lineRule="auto" w:before="114"/>
      </w:pPr>
      <w:r>
        <w:rPr>
          <w:color w:val="231F20"/>
        </w:rPr>
        <w:t>Art. 5:49. § 1. Certificaten die betrekking hebben op aandelen, kunnen, al dan niet met medewerking van de vennootschap, worden uitgegeven door een rechtspersoon die eigenaar blijft of wordt van de aandelen waarop de certificaten betrekking hebben en zich ertoe verbindt de opbrengst van of de inkomsten uit die aandelen voor te behouden aan de houder van de certificaten. Deze certificaten moeten op naam zijn.</w:t>
      </w:r>
    </w:p>
    <w:p>
      <w:pPr>
        <w:pStyle w:val="BodyText"/>
        <w:spacing w:line="218" w:lineRule="auto" w:before="118"/>
      </w:pPr>
      <w:r>
        <w:rPr>
          <w:color w:val="231F20"/>
        </w:rPr>
        <w:t>De emittent van de certificaten oefent alle rechten uit verbonden aan de aandelen waarop zij betrekking hebben, daaronder begrepen het stemrecht.</w:t>
      </w:r>
    </w:p>
    <w:p>
      <w:pPr>
        <w:pStyle w:val="BodyText"/>
        <w:spacing w:line="218" w:lineRule="auto" w:before="118"/>
      </w:pPr>
      <w:r>
        <w:rPr>
          <w:color w:val="231F20"/>
        </w:rPr>
        <w:t>De emittent van certificaten moet zich aan de vennootschap die de gecertificeerde aandelen heeft uitgegeven in die hoedanigheid bekend- maken.</w:t>
      </w:r>
    </w:p>
    <w:p>
      <w:pPr>
        <w:pStyle w:val="BodyText"/>
        <w:spacing w:before="103"/>
        <w:ind w:left="283" w:right="0" w:firstLine="0"/>
        <w:jc w:val="left"/>
      </w:pPr>
      <w:r>
        <w:rPr>
          <w:color w:val="231F20"/>
        </w:rPr>
        <w:t>Deze vennootschap neemt die vermelding op in het aandelenregister.</w:t>
      </w:r>
    </w:p>
    <w:p>
      <w:pPr>
        <w:pStyle w:val="BodyText"/>
        <w:spacing w:line="218" w:lineRule="auto" w:before="114"/>
      </w:pPr>
      <w:r>
        <w:rPr>
          <w:color w:val="231F20"/>
        </w:rPr>
        <w:t>Tenzij in de uitgiftevoorwaarden anders is bepaald, stelt de emittent van certificaten onmiddellijk en na aftrek van eventuele kosten, aan de houder van certificaten de dividenden en het overschot na vereffening die de vennootschap eventueel uitkeert betaalbaar, alsook alle bedragen die voortkomen uit een terugbetaling van de inbreng.</w:t>
      </w:r>
    </w:p>
    <w:p>
      <w:pPr>
        <w:pStyle w:val="BodyText"/>
        <w:spacing w:line="218" w:lineRule="auto" w:before="118"/>
      </w:pPr>
      <w:r>
        <w:rPr>
          <w:color w:val="231F20"/>
        </w:rPr>
        <w:t>Tenzij in de uitgiftevoorwaarden anders is bepaald, kan de emittent van certificaten de aandelen waarop certificaten betrekking hebben niet overdragen.</w:t>
      </w:r>
    </w:p>
    <w:p>
      <w:pPr>
        <w:pStyle w:val="BodyText"/>
        <w:spacing w:line="218" w:lineRule="auto" w:before="117"/>
      </w:pPr>
      <w:r>
        <w:rPr>
          <w:color w:val="231F20"/>
        </w:rPr>
        <w:t>De certificaten kunnen worden omgewisseld tegen de aandelen waarop zij betrekking hebben. Deze omwisselbaarheid kan in de uitgiftevoorwaarden voor bepaalde of onbepaalde duur worden uitge- sloten.</w:t>
      </w:r>
    </w:p>
    <w:p>
      <w:pPr>
        <w:pStyle w:val="BodyText"/>
        <w:spacing w:line="218" w:lineRule="auto" w:before="118"/>
      </w:pPr>
      <w:r>
        <w:rPr>
          <w:color w:val="231F20"/>
        </w:rPr>
        <w:t>Niettegenstaande andersluidende bepaling kan de houder van certificaten op ieder tijdstip de omwisseling verkrijgen indien de emittent zijn verplichtingen jegens hem niet nakomt of zijn belangen</w:t>
      </w:r>
      <w:r>
        <w:rPr>
          <w:color w:val="231F20"/>
          <w:spacing w:val="-11"/>
        </w:rPr>
        <w:t> </w:t>
      </w:r>
      <w:r>
        <w:rPr>
          <w:color w:val="231F20"/>
        </w:rPr>
        <w:t>op ernstige wijze</w:t>
      </w:r>
      <w:r>
        <w:rPr>
          <w:color w:val="231F20"/>
          <w:spacing w:val="-10"/>
        </w:rPr>
        <w:t> </w:t>
      </w:r>
      <w:r>
        <w:rPr>
          <w:color w:val="231F20"/>
        </w:rPr>
        <w:t>verwaarloost.</w:t>
      </w:r>
    </w:p>
    <w:p>
      <w:pPr>
        <w:pStyle w:val="BodyText"/>
        <w:spacing w:line="218" w:lineRule="auto" w:before="117"/>
        <w:ind w:right="123"/>
      </w:pPr>
      <w:r>
        <w:rPr>
          <w:color w:val="231F20"/>
        </w:rPr>
        <w:t>§ 2. Bij faillissement van de emittent van certificaten of in enig ander geval van samenloop worden de certificaten, niettegenstaande anders- luidende bepaling in de uitgiftevoorwaarden, van rechtswege omge- wisseld en oefenen de houders van certificaten gezamenlijk hun recht tot terugvordering uit op de algemeenheid van de gecertificeerde aandelen uitgegeven door dezelfde vennootschap, die zich in het bezit van de betrokken emittent van certificaten bevinden.</w:t>
      </w:r>
    </w:p>
    <w:p>
      <w:pPr>
        <w:pStyle w:val="BodyText"/>
        <w:spacing w:line="218" w:lineRule="auto" w:before="118"/>
      </w:pPr>
      <w:r>
        <w:rPr>
          <w:color w:val="231F20"/>
        </w:rPr>
        <w:t>Indien die algemeenheid in het geval bedoeld in het vorige lid niet toereikend is om de volledige teruggave van de aandelen te waarbor- gen, wordt zij onder de houders van certificaten verdeeld naar verhouding van hun rechten.</w:t>
      </w:r>
    </w:p>
    <w:p>
      <w:pPr>
        <w:pStyle w:val="BodyText"/>
        <w:spacing w:before="104"/>
        <w:ind w:left="283" w:right="0" w:firstLine="0"/>
        <w:jc w:val="left"/>
      </w:pPr>
      <w:r>
        <w:rPr>
          <w:color w:val="231F20"/>
        </w:rPr>
        <w:t>Afdeling 4. Obligaties.</w:t>
      </w:r>
    </w:p>
    <w:p>
      <w:pPr>
        <w:pStyle w:val="BodyText"/>
        <w:spacing w:before="100"/>
        <w:ind w:left="283" w:right="0" w:firstLine="0"/>
        <w:jc w:val="left"/>
      </w:pPr>
      <w:r>
        <w:rPr>
          <w:color w:val="231F20"/>
          <w:w w:val="105"/>
        </w:rPr>
        <w:t>Onderafdeling 1. Algemene bepalingen.</w:t>
      </w:r>
    </w:p>
    <w:p>
      <w:pPr>
        <w:pStyle w:val="BodyText"/>
        <w:spacing w:line="218" w:lineRule="auto" w:before="114"/>
      </w:pPr>
      <w:r>
        <w:rPr>
          <w:color w:val="231F20"/>
        </w:rPr>
        <w:t>Art. 5:50. De besloten vennootschap kan een overeenkomst van lening aangaan in de vorm van uitgifte van obligaties op naam, in voorkomend geval converteerbaar in aandelen, waarbij het conversie- recht krachtens de uitgiftevoorwaarden kan toekomen aan de obliga- tiehouder of aan de vennootschap, dan wel automatisch, al dan niet onder bepaalde voorwaarden, kan plaatsvinden. Obligaties kunnen voor</w:t>
      </w:r>
      <w:r>
        <w:rPr>
          <w:color w:val="231F20"/>
          <w:spacing w:val="21"/>
        </w:rPr>
        <w:t> </w:t>
      </w:r>
      <w:r>
        <w:rPr>
          <w:color w:val="231F20"/>
        </w:rPr>
        <w:t>een</w:t>
      </w:r>
      <w:r>
        <w:rPr>
          <w:color w:val="231F20"/>
          <w:spacing w:val="21"/>
        </w:rPr>
        <w:t> </w:t>
      </w:r>
      <w:r>
        <w:rPr>
          <w:color w:val="231F20"/>
        </w:rPr>
        <w:t>bepaalde</w:t>
      </w:r>
      <w:r>
        <w:rPr>
          <w:color w:val="231F20"/>
          <w:spacing w:val="21"/>
        </w:rPr>
        <w:t> </w:t>
      </w:r>
      <w:r>
        <w:rPr>
          <w:color w:val="231F20"/>
        </w:rPr>
        <w:t>termijn</w:t>
      </w:r>
      <w:r>
        <w:rPr>
          <w:color w:val="231F20"/>
          <w:spacing w:val="21"/>
        </w:rPr>
        <w:t> </w:t>
      </w:r>
      <w:r>
        <w:rPr>
          <w:color w:val="231F20"/>
        </w:rPr>
        <w:t>of</w:t>
      </w:r>
      <w:r>
        <w:rPr>
          <w:color w:val="231F20"/>
          <w:spacing w:val="21"/>
        </w:rPr>
        <w:t> </w:t>
      </w:r>
      <w:r>
        <w:rPr>
          <w:color w:val="231F20"/>
        </w:rPr>
        <w:t>eeuwigdurend</w:t>
      </w:r>
      <w:r>
        <w:rPr>
          <w:color w:val="231F20"/>
          <w:spacing w:val="21"/>
        </w:rPr>
        <w:t> </w:t>
      </w:r>
      <w:r>
        <w:rPr>
          <w:color w:val="231F20"/>
        </w:rPr>
        <w:t>worden</w:t>
      </w:r>
      <w:r>
        <w:rPr>
          <w:color w:val="231F20"/>
          <w:spacing w:val="21"/>
        </w:rPr>
        <w:t> </w:t>
      </w:r>
      <w:r>
        <w:rPr>
          <w:color w:val="231F20"/>
        </w:rPr>
        <w:t>uitgegeven.</w:t>
      </w:r>
    </w:p>
    <w:p>
      <w:pPr>
        <w:pStyle w:val="BodyText"/>
        <w:spacing w:line="218" w:lineRule="auto" w:before="118"/>
        <w:ind w:right="123"/>
      </w:pPr>
      <w:r>
        <w:rPr>
          <w:color w:val="231F20"/>
        </w:rPr>
        <w:t>Art. 5:51. § 1. De uitgiftevoorwaarden of de algemene vergadering  van obligatiehouders kunnen één of meer vertegenwoordigers aanstel- len van de obligatiehouders die deel uitmaken van dezelfde uitgifte of van hetzelfde uitgifteprogramma. Binnen de grenzen  van  de  artike- len 1984 tot 2010 van het Burgerlijk </w:t>
      </w:r>
      <w:r>
        <w:rPr>
          <w:color w:val="231F20"/>
          <w:spacing w:val="-3"/>
        </w:rPr>
        <w:t>Wetboek </w:t>
      </w:r>
      <w:r>
        <w:rPr>
          <w:color w:val="231F20"/>
        </w:rPr>
        <w:t>kunnen deze vertegen- woordigers alle obligatiehouders van deze uitgifte of van dit uitgifte- programma verbinden jegens derden. Zij kunnen onder meer de obligatiehouders </w:t>
      </w:r>
      <w:r>
        <w:rPr>
          <w:color w:val="231F20"/>
          <w:spacing w:val="-3"/>
        </w:rPr>
        <w:t>vertegenwoordigen </w:t>
      </w:r>
      <w:r>
        <w:rPr>
          <w:color w:val="231F20"/>
        </w:rPr>
        <w:t>in </w:t>
      </w:r>
      <w:r>
        <w:rPr>
          <w:color w:val="231F20"/>
          <w:spacing w:val="-3"/>
        </w:rPr>
        <w:t>insolventieprocedures, </w:t>
      </w:r>
      <w:r>
        <w:rPr>
          <w:color w:val="231F20"/>
        </w:rPr>
        <w:t>bij </w:t>
      </w:r>
      <w:r>
        <w:rPr>
          <w:color w:val="231F20"/>
          <w:spacing w:val="-2"/>
        </w:rPr>
        <w:t>beslag </w:t>
      </w:r>
      <w:r>
        <w:rPr>
          <w:color w:val="231F20"/>
        </w:rPr>
        <w:t>of in enig ander geval van samenloop, waarbij zij optreden in eigen naam maar voor rekening van de obligatiehouders, zonder de identiteit van</w:t>
      </w:r>
      <w:r>
        <w:rPr>
          <w:color w:val="231F20"/>
          <w:spacing w:val="15"/>
        </w:rPr>
        <w:t> </w:t>
      </w:r>
      <w:r>
        <w:rPr>
          <w:color w:val="231F20"/>
        </w:rPr>
        <w:t>deze</w:t>
      </w:r>
      <w:r>
        <w:rPr>
          <w:color w:val="231F20"/>
          <w:spacing w:val="15"/>
        </w:rPr>
        <w:t> </w:t>
      </w:r>
      <w:r>
        <w:rPr>
          <w:color w:val="231F20"/>
        </w:rPr>
        <w:t>laatste</w:t>
      </w:r>
      <w:r>
        <w:rPr>
          <w:color w:val="231F20"/>
          <w:spacing w:val="16"/>
        </w:rPr>
        <w:t> </w:t>
      </w:r>
      <w:r>
        <w:rPr>
          <w:color w:val="231F20"/>
        </w:rPr>
        <w:t>bekend</w:t>
      </w:r>
      <w:r>
        <w:rPr>
          <w:color w:val="231F20"/>
          <w:spacing w:val="15"/>
        </w:rPr>
        <w:t> </w:t>
      </w:r>
      <w:r>
        <w:rPr>
          <w:color w:val="231F20"/>
        </w:rPr>
        <w:t>te</w:t>
      </w:r>
      <w:r>
        <w:rPr>
          <w:color w:val="231F20"/>
          <w:spacing w:val="15"/>
        </w:rPr>
        <w:t> </w:t>
      </w:r>
      <w:r>
        <w:rPr>
          <w:color w:val="231F20"/>
        </w:rPr>
        <w:t>maken.</w:t>
      </w:r>
    </w:p>
    <w:p>
      <w:pPr>
        <w:pStyle w:val="BodyText"/>
        <w:spacing w:line="218" w:lineRule="auto" w:before="118"/>
      </w:pPr>
      <w:r>
        <w:rPr>
          <w:color w:val="231F20"/>
        </w:rPr>
        <w:t>§ 2. Bovendien kunnen de uitgiftevoorwaarden of de algemene vergadering van obligatiehouders bepalen dat deze vertegenwoordiger tevens optreedt, in eigen naam, maar voor rekening van de obligatie- houders als begunstigde van voorrechten of zekerheden gevestigd tot waarborg van de obligatielening.</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376" from="298.170502pt,64.473pt" to="298.170502pt,812.819pt" stroked="true" strokeweight=".533pt" strokecolor="#231f20">
            <v:stroke dashstyle="solid"/>
            <w10:wrap type="none"/>
          </v:line>
        </w:pict>
      </w:r>
      <w:bookmarkStart w:name="_bookmark98" w:id="103"/>
      <w:bookmarkEnd w:id="103"/>
      <w:r>
        <w:rPr/>
      </w:r>
      <w:r>
        <w:rPr>
          <w:color w:val="231F20"/>
        </w:rPr>
        <w:t>Les représentants peuvent exercer tous les pouvoirs des obligataires pour le compte desquels ils agissent. La représentation et les actes accomplis par les représentants peuvent être opposés aux tiers, y compris aux créanciers des représentants. Tous les droits qui découlent de la représentation, y compris les sûretés, font partie du patrimoine des obligataires.</w:t>
      </w:r>
    </w:p>
    <w:p>
      <w:pPr>
        <w:pStyle w:val="BodyText"/>
        <w:spacing w:before="8"/>
        <w:ind w:left="0" w:right="0" w:firstLine="0"/>
        <w:jc w:val="left"/>
        <w:rPr>
          <w:sz w:val="27"/>
        </w:rPr>
      </w:pPr>
    </w:p>
    <w:p>
      <w:pPr>
        <w:pStyle w:val="BodyText"/>
        <w:spacing w:line="218" w:lineRule="auto"/>
        <w:ind w:right="38"/>
      </w:pPr>
      <w:r>
        <w:rPr>
          <w:color w:val="231F20"/>
        </w:rPr>
        <w:t>§ 3. La désignation et les pouvoirs du représentant sont définis dans les conditions d’émission ou par l’assemblée générale des obligataires qui délibère et décide conformément à l’article 5:115. La preuve de son pouvoir peut être établie par la seule présentation d’un texte des conditions d’émission signé par un représentant de la société ou d’une copie du procès-verbal de l’assemblée générale, conformément à l’article 5:117.</w:t>
      </w:r>
    </w:p>
    <w:p>
      <w:pPr>
        <w:pStyle w:val="BodyText"/>
        <w:spacing w:before="7"/>
        <w:ind w:left="0" w:right="0" w:firstLine="0"/>
        <w:jc w:val="left"/>
        <w:rPr>
          <w:sz w:val="28"/>
        </w:rPr>
      </w:pPr>
    </w:p>
    <w:p>
      <w:pPr>
        <w:pStyle w:val="BodyText"/>
        <w:spacing w:line="218" w:lineRule="auto"/>
        <w:ind w:right="38"/>
      </w:pPr>
      <w:r>
        <w:rPr>
          <w:color w:val="231F20"/>
        </w:rPr>
        <w:t>L’assemblée générale des obligataires peut révoquer à tout moment le représentant, à condition qu’elle désigne en même temps un ou plusieurs nouveaux représentants. L’assemblée générale délibère et décide conformément à l’article</w:t>
      </w:r>
      <w:r>
        <w:rPr>
          <w:color w:val="231F20"/>
          <w:spacing w:val="18"/>
        </w:rPr>
        <w:t> </w:t>
      </w:r>
      <w:r>
        <w:rPr>
          <w:color w:val="231F20"/>
        </w:rPr>
        <w:t>5:115.</w:t>
      </w:r>
    </w:p>
    <w:p>
      <w:pPr>
        <w:pStyle w:val="BodyText"/>
        <w:spacing w:line="218" w:lineRule="auto" w:before="150"/>
        <w:ind w:right="38"/>
      </w:pPr>
      <w:r>
        <w:rPr>
          <w:color w:val="231F20"/>
        </w:rPr>
        <w:t>Le représentant exerce ses pouvoirs dans l’intérêt exclusif des obligataires et doit leur rendre compte selon les règles établies dans les conditions d’émission ou dans la décision de désignation.</w:t>
      </w:r>
    </w:p>
    <w:p>
      <w:pPr>
        <w:pStyle w:val="BodyText"/>
        <w:spacing w:before="7"/>
        <w:ind w:left="0" w:right="0" w:firstLine="0"/>
        <w:jc w:val="left"/>
        <w:rPr>
          <w:sz w:val="28"/>
        </w:rPr>
      </w:pPr>
    </w:p>
    <w:p>
      <w:pPr>
        <w:pStyle w:val="BodyText"/>
        <w:spacing w:line="218" w:lineRule="auto"/>
        <w:ind w:right="38"/>
      </w:pPr>
      <w:r>
        <w:rPr>
          <w:color w:val="231F20"/>
        </w:rPr>
        <w:t>Art.</w:t>
      </w:r>
      <w:r>
        <w:rPr>
          <w:color w:val="231F20"/>
          <w:spacing w:val="-5"/>
        </w:rPr>
        <w:t> </w:t>
      </w:r>
      <w:r>
        <w:rPr>
          <w:color w:val="231F20"/>
        </w:rPr>
        <w:t>5:52.</w:t>
      </w:r>
      <w:r>
        <w:rPr>
          <w:color w:val="231F20"/>
          <w:spacing w:val="-4"/>
        </w:rPr>
        <w:t> </w:t>
      </w:r>
      <w:r>
        <w:rPr>
          <w:color w:val="231F20"/>
        </w:rPr>
        <w:t>La</w:t>
      </w:r>
      <w:r>
        <w:rPr>
          <w:color w:val="231F20"/>
          <w:spacing w:val="-4"/>
        </w:rPr>
        <w:t> </w:t>
      </w:r>
      <w:r>
        <w:rPr>
          <w:color w:val="231F20"/>
        </w:rPr>
        <w:t>condition</w:t>
      </w:r>
      <w:r>
        <w:rPr>
          <w:color w:val="231F20"/>
          <w:spacing w:val="-4"/>
        </w:rPr>
        <w:t> </w:t>
      </w:r>
      <w:r>
        <w:rPr>
          <w:color w:val="231F20"/>
        </w:rPr>
        <w:t>résolutoire</w:t>
      </w:r>
      <w:r>
        <w:rPr>
          <w:color w:val="231F20"/>
          <w:spacing w:val="-4"/>
        </w:rPr>
        <w:t> </w:t>
      </w:r>
      <w:r>
        <w:rPr>
          <w:color w:val="231F20"/>
        </w:rPr>
        <w:t>est</w:t>
      </w:r>
      <w:r>
        <w:rPr>
          <w:color w:val="231F20"/>
          <w:spacing w:val="-5"/>
        </w:rPr>
        <w:t> </w:t>
      </w:r>
      <w:r>
        <w:rPr>
          <w:color w:val="231F20"/>
        </w:rPr>
        <w:t>toujours</w:t>
      </w:r>
      <w:r>
        <w:rPr>
          <w:color w:val="231F20"/>
          <w:spacing w:val="-4"/>
        </w:rPr>
        <w:t> </w:t>
      </w:r>
      <w:r>
        <w:rPr>
          <w:color w:val="231F20"/>
        </w:rPr>
        <w:t>sous-entendue,</w:t>
      </w:r>
      <w:r>
        <w:rPr>
          <w:color w:val="231F20"/>
          <w:spacing w:val="-4"/>
        </w:rPr>
        <w:t> </w:t>
      </w:r>
      <w:r>
        <w:rPr>
          <w:color w:val="231F20"/>
        </w:rPr>
        <w:t>dans</w:t>
      </w:r>
      <w:r>
        <w:rPr>
          <w:color w:val="231F20"/>
          <w:spacing w:val="-4"/>
        </w:rPr>
        <w:t> </w:t>
      </w:r>
      <w:r>
        <w:rPr>
          <w:color w:val="231F20"/>
        </w:rPr>
        <w:t>le contrat de prêt réalisé sous la forme d’émission d’obligations, pour le cas</w:t>
      </w:r>
      <w:r>
        <w:rPr>
          <w:color w:val="231F20"/>
          <w:spacing w:val="16"/>
        </w:rPr>
        <w:t> </w:t>
      </w:r>
      <w:r>
        <w:rPr>
          <w:color w:val="231F20"/>
        </w:rPr>
        <w:t>où</w:t>
      </w:r>
      <w:r>
        <w:rPr>
          <w:color w:val="231F20"/>
          <w:spacing w:val="17"/>
        </w:rPr>
        <w:t> </w:t>
      </w:r>
      <w:r>
        <w:rPr>
          <w:color w:val="231F20"/>
        </w:rPr>
        <w:t>l’une</w:t>
      </w:r>
      <w:r>
        <w:rPr>
          <w:color w:val="231F20"/>
          <w:spacing w:val="17"/>
        </w:rPr>
        <w:t> </w:t>
      </w:r>
      <w:r>
        <w:rPr>
          <w:color w:val="231F20"/>
        </w:rPr>
        <w:t>des</w:t>
      </w:r>
      <w:r>
        <w:rPr>
          <w:color w:val="231F20"/>
          <w:spacing w:val="16"/>
        </w:rPr>
        <w:t> </w:t>
      </w:r>
      <w:r>
        <w:rPr>
          <w:color w:val="231F20"/>
        </w:rPr>
        <w:t>deux</w:t>
      </w:r>
      <w:r>
        <w:rPr>
          <w:color w:val="231F20"/>
          <w:spacing w:val="17"/>
        </w:rPr>
        <w:t> </w:t>
      </w:r>
      <w:r>
        <w:rPr>
          <w:color w:val="231F20"/>
        </w:rPr>
        <w:t>parties</w:t>
      </w:r>
      <w:r>
        <w:rPr>
          <w:color w:val="231F20"/>
          <w:spacing w:val="17"/>
        </w:rPr>
        <w:t> </w:t>
      </w:r>
      <w:r>
        <w:rPr>
          <w:color w:val="231F20"/>
        </w:rPr>
        <w:t>ne</w:t>
      </w:r>
      <w:r>
        <w:rPr>
          <w:color w:val="231F20"/>
          <w:spacing w:val="17"/>
        </w:rPr>
        <w:t> </w:t>
      </w:r>
      <w:r>
        <w:rPr>
          <w:color w:val="231F20"/>
        </w:rPr>
        <w:t>satisferait</w:t>
      </w:r>
      <w:r>
        <w:rPr>
          <w:color w:val="231F20"/>
          <w:spacing w:val="16"/>
        </w:rPr>
        <w:t> </w:t>
      </w:r>
      <w:r>
        <w:rPr>
          <w:color w:val="231F20"/>
        </w:rPr>
        <w:t>pas</w:t>
      </w:r>
      <w:r>
        <w:rPr>
          <w:color w:val="231F20"/>
          <w:spacing w:val="17"/>
        </w:rPr>
        <w:t> </w:t>
      </w:r>
      <w:r>
        <w:rPr>
          <w:color w:val="231F20"/>
        </w:rPr>
        <w:t>à</w:t>
      </w:r>
      <w:r>
        <w:rPr>
          <w:color w:val="231F20"/>
          <w:spacing w:val="17"/>
        </w:rPr>
        <w:t> </w:t>
      </w:r>
      <w:r>
        <w:rPr>
          <w:color w:val="231F20"/>
        </w:rPr>
        <w:t>son</w:t>
      </w:r>
      <w:r>
        <w:rPr>
          <w:color w:val="231F20"/>
          <w:spacing w:val="16"/>
        </w:rPr>
        <w:t> </w:t>
      </w:r>
      <w:r>
        <w:rPr>
          <w:color w:val="231F20"/>
        </w:rPr>
        <w:t>engagement.</w:t>
      </w:r>
    </w:p>
    <w:p>
      <w:pPr>
        <w:pStyle w:val="BodyText"/>
        <w:spacing w:before="7"/>
        <w:ind w:left="0" w:right="0" w:firstLine="0"/>
        <w:jc w:val="left"/>
        <w:rPr>
          <w:sz w:val="28"/>
        </w:rPr>
      </w:pPr>
    </w:p>
    <w:p>
      <w:pPr>
        <w:pStyle w:val="BodyText"/>
        <w:spacing w:line="218" w:lineRule="auto"/>
        <w:ind w:right="38"/>
      </w:pPr>
      <w:r>
        <w:rPr>
          <w:color w:val="231F20"/>
        </w:rPr>
        <w:t>Dans ce cas, le contrat n’est pas résolu de plein droit. La partie envers laquelle l’engagement n’a pas été exécuté a le choix de forcer l’autre à l’exécution de la convention lorsqu’elle est possible, ou d’en demander la résolution avec dommages-intérêts.</w:t>
      </w:r>
    </w:p>
    <w:p>
      <w:pPr>
        <w:pStyle w:val="BodyText"/>
        <w:spacing w:before="8"/>
        <w:ind w:left="0" w:right="0" w:firstLine="0"/>
        <w:jc w:val="left"/>
        <w:rPr>
          <w:sz w:val="28"/>
        </w:rPr>
      </w:pPr>
    </w:p>
    <w:p>
      <w:pPr>
        <w:pStyle w:val="BodyText"/>
        <w:spacing w:line="218" w:lineRule="auto"/>
        <w:ind w:right="38"/>
      </w:pPr>
      <w:r>
        <w:rPr>
          <w:color w:val="231F20"/>
        </w:rPr>
        <w:t>La résolution doit être demandée en justice, et il peut être accordé au défendeur un délai selon les circonstances.</w:t>
      </w:r>
    </w:p>
    <w:p>
      <w:pPr>
        <w:pStyle w:val="BodyText"/>
        <w:spacing w:before="4"/>
        <w:ind w:left="0" w:right="0" w:firstLine="0"/>
        <w:jc w:val="left"/>
        <w:rPr>
          <w:sz w:val="27"/>
        </w:rPr>
      </w:pPr>
    </w:p>
    <w:p>
      <w:pPr>
        <w:pStyle w:val="BodyText"/>
        <w:ind w:left="284" w:right="0" w:firstLine="0"/>
        <w:jc w:val="left"/>
      </w:pPr>
      <w:r>
        <w:rPr>
          <w:color w:val="231F20"/>
        </w:rPr>
        <w:t>Sous-section 2. Des obligations convertibles.</w:t>
      </w:r>
    </w:p>
    <w:p>
      <w:pPr>
        <w:pStyle w:val="BodyText"/>
        <w:spacing w:line="218" w:lineRule="auto" w:before="146"/>
        <w:ind w:right="38"/>
      </w:pPr>
      <w:r>
        <w:rPr>
          <w:color w:val="231F20"/>
        </w:rPr>
        <w:t>Art. 5:53. Les obligations convertibles doivent être entièrement libérées.</w:t>
      </w:r>
    </w:p>
    <w:p>
      <w:pPr>
        <w:pStyle w:val="BodyText"/>
        <w:spacing w:line="218" w:lineRule="auto" w:before="150"/>
        <w:ind w:right="38"/>
      </w:pPr>
      <w:r>
        <w:rPr>
          <w:color w:val="231F20"/>
        </w:rPr>
        <w:t>Art. 5:54. À partir de l’émission des obligations convertibles et jusqu’à la fin de la période de conversion, la société ne peut effectuer aucune opération dont l’effet serait de réduire les avantages attribués aux obligataires par les conditions d’émission ou par la loi, sauf dans les</w:t>
      </w:r>
      <w:r>
        <w:rPr>
          <w:color w:val="231F20"/>
          <w:spacing w:val="15"/>
        </w:rPr>
        <w:t> </w:t>
      </w:r>
      <w:r>
        <w:rPr>
          <w:color w:val="231F20"/>
        </w:rPr>
        <w:t>cas</w:t>
      </w:r>
      <w:r>
        <w:rPr>
          <w:color w:val="231F20"/>
          <w:spacing w:val="16"/>
        </w:rPr>
        <w:t> </w:t>
      </w:r>
      <w:r>
        <w:rPr>
          <w:color w:val="231F20"/>
        </w:rPr>
        <w:t>spécialement</w:t>
      </w:r>
      <w:r>
        <w:rPr>
          <w:color w:val="231F20"/>
          <w:spacing w:val="16"/>
        </w:rPr>
        <w:t> </w:t>
      </w:r>
      <w:r>
        <w:rPr>
          <w:color w:val="231F20"/>
        </w:rPr>
        <w:t>prévus</w:t>
      </w:r>
      <w:r>
        <w:rPr>
          <w:color w:val="231F20"/>
          <w:spacing w:val="16"/>
        </w:rPr>
        <w:t> </w:t>
      </w:r>
      <w:r>
        <w:rPr>
          <w:color w:val="231F20"/>
        </w:rPr>
        <w:t>par</w:t>
      </w:r>
      <w:r>
        <w:rPr>
          <w:color w:val="231F20"/>
          <w:spacing w:val="16"/>
        </w:rPr>
        <w:t> </w:t>
      </w:r>
      <w:r>
        <w:rPr>
          <w:color w:val="231F20"/>
        </w:rPr>
        <w:t>les</w:t>
      </w:r>
      <w:r>
        <w:rPr>
          <w:color w:val="231F20"/>
          <w:spacing w:val="16"/>
        </w:rPr>
        <w:t> </w:t>
      </w:r>
      <w:r>
        <w:rPr>
          <w:color w:val="231F20"/>
        </w:rPr>
        <w:t>conditions</w:t>
      </w:r>
      <w:r>
        <w:rPr>
          <w:color w:val="231F20"/>
          <w:spacing w:val="16"/>
        </w:rPr>
        <w:t> </w:t>
      </w:r>
      <w:r>
        <w:rPr>
          <w:color w:val="231F20"/>
        </w:rPr>
        <w:t>d’émission.</w:t>
      </w:r>
    </w:p>
    <w:p>
      <w:pPr>
        <w:pStyle w:val="BodyText"/>
        <w:spacing w:before="135"/>
        <w:ind w:left="284" w:right="0" w:firstLine="0"/>
        <w:jc w:val="left"/>
      </w:pPr>
      <w:r>
        <w:rPr>
          <w:color w:val="231F20"/>
        </w:rPr>
        <w:t>Section 5. Des droits de souscription.</w:t>
      </w:r>
    </w:p>
    <w:p>
      <w:pPr>
        <w:pStyle w:val="BodyText"/>
        <w:spacing w:line="218" w:lineRule="auto" w:before="146"/>
        <w:ind w:right="38"/>
      </w:pPr>
      <w:r>
        <w:rPr>
          <w:color w:val="231F20"/>
        </w:rPr>
        <w:t>Art. 5:55. Une société à responsabilité limitée peut émettre des droits de souscription attachés ou non à un autre titre.</w:t>
      </w:r>
    </w:p>
    <w:p>
      <w:pPr>
        <w:pStyle w:val="BodyText"/>
        <w:spacing w:line="218" w:lineRule="auto" w:before="149"/>
        <w:ind w:right="38"/>
      </w:pPr>
      <w:r>
        <w:rPr>
          <w:color w:val="231F20"/>
        </w:rPr>
        <w:t>Art. 5:56. Une société filiale peut émettre des obligations assorties d’un droit de souscription portant sur des actions à émettre par la société mère. Dans ce cas, l’émission d’obligations doit être approuvée par la société filiale et l’émission de droits de souscription doit faire l’objet d’une approbation par la société mère.</w:t>
      </w:r>
    </w:p>
    <w:p>
      <w:pPr>
        <w:pStyle w:val="BodyText"/>
        <w:spacing w:line="218" w:lineRule="auto" w:before="150"/>
        <w:ind w:right="38"/>
      </w:pPr>
      <w:r>
        <w:rPr>
          <w:color w:val="231F20"/>
        </w:rPr>
        <w:t>Art. 5:57. La période pendant laquelle les droits de souscription peuvent être exercés, ne peut excéder dix ans à dater de leur émission.</w:t>
      </w:r>
    </w:p>
    <w:p>
      <w:pPr>
        <w:pStyle w:val="BodyText"/>
        <w:spacing w:before="7"/>
        <w:ind w:left="0" w:right="0" w:firstLine="0"/>
        <w:jc w:val="left"/>
        <w:rPr>
          <w:sz w:val="28"/>
        </w:rPr>
      </w:pPr>
    </w:p>
    <w:p>
      <w:pPr>
        <w:pStyle w:val="BodyText"/>
        <w:spacing w:line="218" w:lineRule="auto"/>
        <w:ind w:right="38"/>
      </w:pPr>
      <w:r>
        <w:rPr>
          <w:color w:val="231F20"/>
        </w:rPr>
        <w:t>Les conditions d’émission déterminent les dates auxquelles il sera procédé à la souscription des actions en cas d’exercice du droit de souscription et les délais dans lesquels les titulaires de ce droit seront tenus de communiquer leur décision.</w:t>
      </w:r>
    </w:p>
    <w:p>
      <w:pPr>
        <w:pStyle w:val="BodyText"/>
        <w:spacing w:line="218" w:lineRule="auto" w:before="150"/>
        <w:ind w:right="38"/>
      </w:pPr>
      <w:r>
        <w:rPr>
          <w:color w:val="231F20"/>
        </w:rPr>
        <w:t>Art. 5:58. Les droits de souscription émis dans le cadre d’une émission réservée à titre principal à une ou plusieurs personnes déterminées autres que des membres du personnel ne peuvent avoir une durée supérieure à cinq ans à dater de leur émission. Cet alinéa n’est pas applicable lorsque tous les actionnaires ont renoncé à leur droit de préférence aux conditions de l’article 5:130, § 2.</w:t>
      </w:r>
    </w:p>
    <w:p>
      <w:pPr>
        <w:pStyle w:val="BodyText"/>
        <w:spacing w:line="218" w:lineRule="auto" w:before="149"/>
        <w:ind w:right="38"/>
      </w:pPr>
      <w:r>
        <w:rPr>
          <w:color w:val="231F20"/>
        </w:rPr>
        <w:t>En outre, les clauses contenues dans les conditions d’émission qui visent à contraindre les détenteurs des droits de souscription à exercer ceux-ci sont nulles.</w:t>
      </w:r>
    </w:p>
    <w:p>
      <w:pPr>
        <w:pStyle w:val="BodyText"/>
        <w:spacing w:line="218" w:lineRule="auto" w:before="150"/>
        <w:ind w:right="38"/>
      </w:pPr>
      <w:r>
        <w:rPr>
          <w:color w:val="231F20"/>
        </w:rPr>
        <w:t>Les actions qui, suite à une telle émission de droits de souscription, ont été souscrites durant le déroulement d’une </w:t>
      </w:r>
      <w:r>
        <w:rPr>
          <w:color w:val="231F20"/>
          <w:spacing w:val="-4"/>
        </w:rPr>
        <w:t>offre </w:t>
      </w:r>
      <w:r>
        <w:rPr>
          <w:color w:val="231F20"/>
        </w:rPr>
        <w:t>publique d’acqui- sition, doivent revêtir la forme nominative et ne peuvent pas être cédées pendant douze</w:t>
      </w:r>
      <w:r>
        <w:rPr>
          <w:color w:val="231F20"/>
          <w:spacing w:val="5"/>
        </w:rPr>
        <w:t> </w:t>
      </w:r>
      <w:r>
        <w:rPr>
          <w:color w:val="231F20"/>
        </w:rPr>
        <w:t>mois.</w:t>
      </w:r>
    </w:p>
    <w:p>
      <w:pPr>
        <w:pStyle w:val="BodyText"/>
        <w:spacing w:line="218" w:lineRule="auto" w:before="119"/>
      </w:pPr>
      <w:r>
        <w:rPr/>
        <w:br w:type="column"/>
      </w:r>
      <w:r>
        <w:rPr>
          <w:color w:val="231F20"/>
        </w:rPr>
        <w:t>De vertegenwoordigers kunnen alle bevoegdheden  uitoefenen  van de obligatiehouders voor wier rekening zij optreden. De vertegenwoor- diging en de door de vertegenwoordigers verrichte handelingen  kunnen worden tegengeworpen aan derden, met inbegrip van de schuldeisers van de vertegenwoordigers. Alle rechten die uit de vertegenwoordiging voortvloeien, met inbegrip van de zekerheden, behoren</w:t>
      </w:r>
      <w:r>
        <w:rPr>
          <w:color w:val="231F20"/>
          <w:spacing w:val="15"/>
        </w:rPr>
        <w:t> </w:t>
      </w:r>
      <w:r>
        <w:rPr>
          <w:color w:val="231F20"/>
        </w:rPr>
        <w:t>tot</w:t>
      </w:r>
      <w:r>
        <w:rPr>
          <w:color w:val="231F20"/>
          <w:spacing w:val="16"/>
        </w:rPr>
        <w:t> </w:t>
      </w:r>
      <w:r>
        <w:rPr>
          <w:color w:val="231F20"/>
        </w:rPr>
        <w:t>het</w:t>
      </w:r>
      <w:r>
        <w:rPr>
          <w:color w:val="231F20"/>
          <w:spacing w:val="16"/>
        </w:rPr>
        <w:t> </w:t>
      </w:r>
      <w:r>
        <w:rPr>
          <w:color w:val="231F20"/>
        </w:rPr>
        <w:t>vermogen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obligatiehouders.</w:t>
      </w:r>
    </w:p>
    <w:p>
      <w:pPr>
        <w:pStyle w:val="BodyText"/>
        <w:spacing w:line="218" w:lineRule="auto" w:before="140"/>
      </w:pPr>
      <w:r>
        <w:rPr>
          <w:color w:val="231F20"/>
        </w:rPr>
        <w:t>§ 3. De aanstelling en de bevoegdheden van de vertegenwoordiger worden vastgesteld in de uitgiftevoorwaarden of door de algemene vergadering van de obligatiehouders die beraadslaagt en besluit overeenkomstig artikel 5:115. Het bewijs van zijn bevoegdheid kan worden geleverd door de enkele voorlegging van een door een vertegenwoordiger van de vennootschap getekende tekst van de uitgiftevoorwaarden of van een kopie van de notulen van de algemene vergadering overeenkomstig artikel 5:117.</w:t>
      </w:r>
    </w:p>
    <w:p>
      <w:pPr>
        <w:pStyle w:val="BodyText"/>
        <w:spacing w:line="218" w:lineRule="auto" w:before="150"/>
        <w:ind w:right="122"/>
      </w:pPr>
      <w:r>
        <w:rPr>
          <w:color w:val="231F20"/>
        </w:rPr>
        <w:t>De algemene vergadering van obligatiehouders kan de vertegenwoor- diger te allen tijde herroepen, op voorwaarde dat zij tegelijkertijd één of meer nieuwe vertegenwoordigers aanstelt. De algemene vergadering beraadslaagt en besluit overeenkomstig artikel 5:115.</w:t>
      </w:r>
    </w:p>
    <w:p>
      <w:pPr>
        <w:pStyle w:val="BodyText"/>
        <w:spacing w:line="218" w:lineRule="auto" w:before="149"/>
      </w:pPr>
      <w:r>
        <w:rPr>
          <w:color w:val="231F20"/>
        </w:rPr>
        <w:t>De vertegenwoordiger oefent zijn bevoegdheid uit in het uitsluitend belang van de obligatiehouders en is hen rekenschap verschuldigd volgens de regels bepaald in de uitgiftevoorwaarden of in het aanstellingsbesluit.</w:t>
      </w:r>
    </w:p>
    <w:p>
      <w:pPr>
        <w:pStyle w:val="BodyText"/>
        <w:spacing w:line="218" w:lineRule="auto" w:before="150"/>
      </w:pPr>
      <w:r>
        <w:rPr>
          <w:color w:val="231F20"/>
        </w:rPr>
        <w:t>Art. 5:52. In de overeenkomst van lening, aangegaan in de vorm van uitgifte van obligaties, is de ontbindende voorwaarde altijd stilzwij- gend begrepen, voor het geval dat een van beide partijen haar verbintenis niet nakomt.</w:t>
      </w:r>
    </w:p>
    <w:p>
      <w:pPr>
        <w:pStyle w:val="BodyText"/>
        <w:spacing w:line="218" w:lineRule="auto" w:before="149"/>
      </w:pPr>
      <w:r>
        <w:rPr>
          <w:color w:val="231F20"/>
        </w:rPr>
        <w:t>In dat geval is de overeenkomst niet van rechtswege ontbonden. De partij jegens wie de verbintenis niet is uitgevoerd, heeft de keus om de andere partij te verplichten de overeenkomst uit te voeren, wanneer de uitvoering mogelijk is, of de ontbinding van de overeenkomst te vorderen met schadevergoeding.</w:t>
      </w:r>
    </w:p>
    <w:p>
      <w:pPr>
        <w:pStyle w:val="BodyText"/>
        <w:spacing w:line="218" w:lineRule="auto" w:before="150"/>
      </w:pPr>
      <w:r>
        <w:rPr>
          <w:color w:val="231F20"/>
        </w:rPr>
        <w:t>De ontbinding moet in rechte worden gevorderd, en aan de verweerder kan, naargelang van de omstandigheden, uitstel worden verleend.</w:t>
      </w:r>
    </w:p>
    <w:p>
      <w:pPr>
        <w:pStyle w:val="BodyText"/>
        <w:spacing w:before="135"/>
        <w:ind w:left="283" w:right="0" w:firstLine="0"/>
        <w:jc w:val="left"/>
      </w:pPr>
      <w:r>
        <w:rPr>
          <w:color w:val="231F20"/>
        </w:rPr>
        <w:t>Onderafdeling 2. Converteerbare obligaties.</w:t>
      </w:r>
    </w:p>
    <w:p>
      <w:pPr>
        <w:pStyle w:val="BodyText"/>
        <w:spacing w:line="218" w:lineRule="auto" w:before="146"/>
      </w:pPr>
      <w:r>
        <w:rPr>
          <w:color w:val="231F20"/>
        </w:rPr>
        <w:t>Art. 5:53. Converteerbare obligaties moeten volledig worden volge- stort.</w:t>
      </w:r>
    </w:p>
    <w:p>
      <w:pPr>
        <w:pStyle w:val="BodyText"/>
        <w:spacing w:line="218" w:lineRule="auto" w:before="150"/>
      </w:pPr>
      <w:r>
        <w:rPr>
          <w:color w:val="231F20"/>
        </w:rPr>
        <w:t>Art. 5:54. Te rekenen van de uitgifte van de converteerbare obligaties en tot het einde van de termijn van conversie, mag de vennootschap door geen enkele verrichting de voordelen verminderen die de voorwaarden van uitgifte of de wet toekennen aan de obligatiehouders, tenzij in de gevallen waarin de uitgiftevoorwaarden speciaal voorzien.</w:t>
      </w:r>
    </w:p>
    <w:p>
      <w:pPr>
        <w:pStyle w:val="BodyText"/>
        <w:spacing w:before="135"/>
        <w:ind w:left="283" w:right="0" w:firstLine="0"/>
        <w:jc w:val="left"/>
      </w:pPr>
      <w:r>
        <w:rPr>
          <w:color w:val="231F20"/>
        </w:rPr>
        <w:t>Afdeling 5. Inschrijvingsrechten.</w:t>
      </w:r>
    </w:p>
    <w:p>
      <w:pPr>
        <w:pStyle w:val="BodyText"/>
        <w:spacing w:line="218" w:lineRule="auto" w:before="146"/>
      </w:pPr>
      <w:r>
        <w:rPr>
          <w:color w:val="231F20"/>
        </w:rPr>
        <w:t>Art. 5:55. Een besloten vennootschap kan inschrijvingsrechten uitge- ven die al dan niet aan een ander effect zijn verbonden.</w:t>
      </w:r>
    </w:p>
    <w:p>
      <w:pPr>
        <w:pStyle w:val="BodyText"/>
        <w:spacing w:line="218" w:lineRule="auto" w:before="150"/>
      </w:pPr>
      <w:r>
        <w:rPr>
          <w:color w:val="231F20"/>
        </w:rPr>
        <w:t>Art. 5:56. Een dochtervennootschap kan obligaties uitgeven met een inschrijvingsrecht op de door de moedervennootschap uit te geven aandelen. In dat geval verleent de dochtervennootschap toestemming voor de uitgifte van obligaties en verleent de moedervennootschap toestemming voor de uitgifte van inschrijvingsrechten.</w:t>
      </w:r>
    </w:p>
    <w:p>
      <w:pPr>
        <w:pStyle w:val="BodyText"/>
        <w:spacing w:line="218" w:lineRule="auto" w:before="149"/>
      </w:pPr>
      <w:r>
        <w:rPr>
          <w:color w:val="231F20"/>
        </w:rPr>
        <w:t>Art. 5:57. De periode waarin de inschrijvingsrechten kunnen worden uitgeoefend, mag niet langer zijn dan tien jaar te rekenen vanaf hun uitgifte.</w:t>
      </w:r>
    </w:p>
    <w:p>
      <w:pPr>
        <w:pStyle w:val="BodyText"/>
        <w:spacing w:line="218" w:lineRule="auto" w:before="150"/>
      </w:pPr>
      <w:r>
        <w:rPr>
          <w:color w:val="231F20"/>
        </w:rPr>
        <w:t>In de uitgiftevoorwaarden wordt bepaald op welke data de inschrij- ving op aandelen, in geval van uitoefening van het inschrijvingsrecht, zal plaats hebben en binnen welke termijnen de houders van dat recht hun besluit moeten meedelen.</w:t>
      </w:r>
    </w:p>
    <w:p>
      <w:pPr>
        <w:pStyle w:val="BodyText"/>
        <w:spacing w:line="218" w:lineRule="auto" w:before="149"/>
      </w:pPr>
      <w:r>
        <w:rPr>
          <w:color w:val="231F20"/>
        </w:rPr>
        <w:t>Art. 5:58. Indien de uitgifte van inschrijvingsrechten in hoofdzaak is bestemd voor één of meerdere bepaalde personen andere dan de leden van het personeel, dan mag het inschrijvingsrecht de duur van vijf jaar vanaf zijn uitgifte niet te boven gaan. Dit lid is niet van toepassing wanneer alle aandeelhouders afstand hebben gedaan van hun voor- keurrecht overeenkomstig de voorwaarden van artikel 5:130, § 2.</w:t>
      </w:r>
    </w:p>
    <w:p>
      <w:pPr>
        <w:pStyle w:val="BodyText"/>
        <w:spacing w:line="218" w:lineRule="auto" w:before="150"/>
      </w:pPr>
      <w:r>
        <w:rPr>
          <w:color w:val="231F20"/>
        </w:rPr>
        <w:t>Daarenboven zijn de bepalingen die zijn opgenomen in de uitgifte- voorwaarden en die beogen de houders van inschrijvingsrechten ertoe te dwingen ze uit te oefenen, nietig.</w:t>
      </w:r>
    </w:p>
    <w:p>
      <w:pPr>
        <w:pStyle w:val="BodyText"/>
        <w:spacing w:line="218" w:lineRule="auto" w:before="150"/>
      </w:pPr>
      <w:r>
        <w:rPr>
          <w:color w:val="231F20"/>
        </w:rPr>
        <w:t>De aandelen waarop tijdens het verloop van een openbaar overna- mebod is ingeschreven als gevolg van een dergelijke uitgifte van inschrijvingsrechten, moeten op naam zijn gesteld en mogen gedurende twaalf maanden niet worden overgedragen.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400" from="298.170502pt,64.473pt" to="298.170502pt,812.819pt" stroked="true" strokeweight=".533pt" strokecolor="#231f20">
            <v:stroke dashstyle="solid"/>
            <w10:wrap type="none"/>
          </v:line>
        </w:pict>
      </w:r>
      <w:bookmarkStart w:name="_bookmark99" w:id="104"/>
      <w:bookmarkEnd w:id="104"/>
      <w:r>
        <w:rPr/>
      </w:r>
      <w:r>
        <w:rPr>
          <w:color w:val="231F20"/>
        </w:rPr>
        <w:t>Art. 5:59. À partir de l’émission des droits de souscription et jusqu’à la fin de la période d’exercice, la société ne peut effectuer aucune opération dont l’effet serait de réduire les avantages attribués aux titulaires de droits de souscription par les conditions d’émission ou par la loi, sauf dans les cas spécialement prévus dans les conditions d’émission.</w:t>
      </w:r>
    </w:p>
    <w:p>
      <w:pPr>
        <w:pStyle w:val="BodyText"/>
        <w:spacing w:line="218" w:lineRule="auto" w:before="86"/>
        <w:ind w:right="38"/>
      </w:pPr>
      <w:r>
        <w:rPr>
          <w:color w:val="231F20"/>
        </w:rPr>
        <w:t>En cas d’émission de nouvelles actions en rémunération d’apports en numéraire, les titulaires de droits de souscription peuvent toutefois exercer leur droit de souscription et éventuellement participer à la nouvelle émission en qualité d’actionnaires dans la mesure où ce droit appartient aux actionnaires existants, sauf disposition contraire expres- sément prévue dans les conditions d’émission.</w:t>
      </w:r>
    </w:p>
    <w:p>
      <w:pPr>
        <w:pStyle w:val="BodyText"/>
        <w:spacing w:line="218" w:lineRule="auto" w:before="85"/>
        <w:ind w:right="38"/>
      </w:pPr>
      <w:r>
        <w:rPr>
          <w:color w:val="231F20"/>
        </w:rPr>
        <w:t>Art. 5:60. En cas de remboursement anticipé, même partiel de l’emprunt, décidé par la société, les titulaires d’obligations avec droit de souscription non détachable des obligations pourront exercer leur droit de souscription pendant un mois au moins avant la date du rembour- sement.</w:t>
      </w:r>
    </w:p>
    <w:p>
      <w:pPr>
        <w:pStyle w:val="BodyText"/>
        <w:spacing w:line="304" w:lineRule="auto" w:before="72"/>
        <w:ind w:left="283" w:right="2109" w:firstLine="0"/>
        <w:jc w:val="left"/>
      </w:pPr>
      <w:r>
        <w:rPr>
          <w:color w:val="231F20"/>
        </w:rPr>
        <w:t>CHAPITRE 4. Du transfert de titres. Section 1</w:t>
      </w:r>
      <w:r>
        <w:rPr>
          <w:color w:val="231F20"/>
          <w:position w:val="7"/>
          <w:sz w:val="11"/>
        </w:rPr>
        <w:t>re</w:t>
      </w:r>
      <w:r>
        <w:rPr>
          <w:color w:val="231F20"/>
        </w:rPr>
        <w:t>. Dispositions générales.</w:t>
      </w:r>
    </w:p>
    <w:p>
      <w:pPr>
        <w:pStyle w:val="BodyText"/>
        <w:spacing w:line="218" w:lineRule="auto" w:before="30"/>
        <w:ind w:right="38"/>
      </w:pPr>
      <w:r>
        <w:rPr>
          <w:color w:val="231F20"/>
        </w:rPr>
        <w:t>Art. 5:61. Le transfert de titres s’opère selon les règles du droit commun.</w:t>
      </w:r>
    </w:p>
    <w:p>
      <w:pPr>
        <w:pStyle w:val="BodyText"/>
        <w:spacing w:line="218" w:lineRule="auto" w:before="86"/>
        <w:ind w:right="38"/>
      </w:pPr>
      <w:r>
        <w:rPr>
          <w:color w:val="231F20"/>
        </w:rPr>
        <w:t>Un transfert de titres nominatifs n’est opposable à la société et aux tiers que par une déclaration de transfert inscrite dans le registre relatif à ces titres, datée et signée par le cédant et le cessionnaire ou par leurs mandataires en cas de cession entre vifs, et par un membre de l’organe d’administration et les bénéficiaires ou par leurs mandataires en cas de transmission à cause de mort.</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before="1"/>
        <w:ind w:right="38"/>
      </w:pPr>
      <w:r>
        <w:rPr>
          <w:color w:val="231F20"/>
        </w:rPr>
        <w:t>L’organe d’administration peut reconnaître et inscrire un transfert dans le registre sur la base de pièces qui établissent l’accord du cédant et du cessionnaire.</w:t>
      </w:r>
    </w:p>
    <w:p>
      <w:pPr>
        <w:pStyle w:val="BodyText"/>
        <w:spacing w:line="218" w:lineRule="auto" w:before="85"/>
        <w:ind w:right="38"/>
      </w:pPr>
      <w:r>
        <w:rPr>
          <w:color w:val="231F20"/>
        </w:rPr>
        <w:t>Si le registre est tenu sous forme électronique, la déclaration de cession peut adopter une forme électronique et être signée par un ensemble de données électroniques pouvant être imputé à une personne déterminée et établissant le maintien de l’intégrité du</w:t>
      </w:r>
      <w:r>
        <w:rPr>
          <w:color w:val="231F20"/>
          <w:spacing w:val="-29"/>
        </w:rPr>
        <w:t> </w:t>
      </w:r>
      <w:r>
        <w:rPr>
          <w:color w:val="231F20"/>
        </w:rPr>
        <w:t>contenu de</w:t>
      </w:r>
      <w:r>
        <w:rPr>
          <w:color w:val="231F20"/>
          <w:spacing w:val="15"/>
        </w:rPr>
        <w:t> </w:t>
      </w:r>
      <w:r>
        <w:rPr>
          <w:color w:val="231F20"/>
        </w:rPr>
        <w:t>l’acte.</w:t>
      </w:r>
    </w:p>
    <w:p>
      <w:pPr>
        <w:pStyle w:val="BodyText"/>
        <w:spacing w:line="218" w:lineRule="auto" w:before="86"/>
        <w:ind w:right="38"/>
      </w:pPr>
      <w:r>
        <w:rPr>
          <w:color w:val="231F20"/>
        </w:rPr>
        <w:t>Art. 5:62. Un transfert d’un titre dématérialisé n’est opposable à la société et aux tiers que par l’inscription d’un compte-titres à l’autre.</w:t>
      </w:r>
    </w:p>
    <w:p>
      <w:pPr>
        <w:pStyle w:val="BodyText"/>
        <w:ind w:left="0" w:right="0" w:firstLine="0"/>
        <w:jc w:val="left"/>
        <w:rPr>
          <w:sz w:val="20"/>
        </w:rPr>
      </w:pPr>
    </w:p>
    <w:p>
      <w:pPr>
        <w:pStyle w:val="BodyText"/>
        <w:spacing w:before="2"/>
        <w:ind w:left="0" w:right="0" w:firstLine="0"/>
        <w:jc w:val="left"/>
        <w:rPr>
          <w:sz w:val="18"/>
        </w:rPr>
      </w:pPr>
    </w:p>
    <w:p>
      <w:pPr>
        <w:pStyle w:val="BodyText"/>
        <w:ind w:left="283" w:right="0" w:firstLine="0"/>
        <w:jc w:val="left"/>
      </w:pPr>
      <w:r>
        <w:rPr>
          <w:color w:val="231F20"/>
        </w:rPr>
        <w:t>Section 2. Du transfert des actions.</w:t>
      </w:r>
    </w:p>
    <w:p>
      <w:pPr>
        <w:pStyle w:val="BodyText"/>
        <w:spacing w:line="218" w:lineRule="auto" w:before="78"/>
        <w:ind w:right="38"/>
      </w:pPr>
      <w:r>
        <w:rPr>
          <w:color w:val="231F20"/>
        </w:rPr>
        <w:t>Art. 5:63. § 1</w:t>
      </w:r>
      <w:r>
        <w:rPr>
          <w:color w:val="231F20"/>
          <w:position w:val="7"/>
          <w:sz w:val="11"/>
        </w:rPr>
        <w:t>er</w:t>
      </w:r>
      <w:r>
        <w:rPr>
          <w:color w:val="231F20"/>
        </w:rPr>
        <w:t>. Sauf disposition statutaire contraire, tout transfert d’actions à titre particulier ou à titre universel, à titre onéreux ou à titre gratuit, entre vifs ou à cause de mort est soumis à l’agrément</w:t>
      </w:r>
      <w:r>
        <w:rPr>
          <w:color w:val="231F20"/>
          <w:spacing w:val="9"/>
        </w:rPr>
        <w:t> </w:t>
      </w:r>
      <w:r>
        <w:rPr>
          <w:color w:val="231F20"/>
        </w:rPr>
        <w:t>d’au moins</w:t>
      </w:r>
      <w:r>
        <w:rPr>
          <w:color w:val="231F20"/>
          <w:spacing w:val="-3"/>
        </w:rPr>
        <w:t> </w:t>
      </w:r>
      <w:r>
        <w:rPr>
          <w:color w:val="231F20"/>
        </w:rPr>
        <w:t>la</w:t>
      </w:r>
      <w:r>
        <w:rPr>
          <w:color w:val="231F20"/>
          <w:spacing w:val="-3"/>
        </w:rPr>
        <w:t> </w:t>
      </w:r>
      <w:r>
        <w:rPr>
          <w:color w:val="231F20"/>
        </w:rPr>
        <w:t>moitié</w:t>
      </w:r>
      <w:r>
        <w:rPr>
          <w:color w:val="231F20"/>
          <w:spacing w:val="-3"/>
        </w:rPr>
        <w:t> </w:t>
      </w:r>
      <w:r>
        <w:rPr>
          <w:color w:val="231F20"/>
        </w:rPr>
        <w:t>des</w:t>
      </w:r>
      <w:r>
        <w:rPr>
          <w:color w:val="231F20"/>
          <w:spacing w:val="-3"/>
        </w:rPr>
        <w:t> </w:t>
      </w:r>
      <w:r>
        <w:rPr>
          <w:color w:val="231F20"/>
        </w:rPr>
        <w:t>actionnaires</w:t>
      </w:r>
      <w:r>
        <w:rPr>
          <w:color w:val="231F20"/>
          <w:spacing w:val="-3"/>
        </w:rPr>
        <w:t> </w:t>
      </w:r>
      <w:r>
        <w:rPr>
          <w:color w:val="231F20"/>
        </w:rPr>
        <w:t>possédant</w:t>
      </w:r>
      <w:r>
        <w:rPr>
          <w:color w:val="231F20"/>
          <w:spacing w:val="-2"/>
        </w:rPr>
        <w:t> </w:t>
      </w:r>
      <w:r>
        <w:rPr>
          <w:color w:val="231F20"/>
        </w:rPr>
        <w:t>les</w:t>
      </w:r>
      <w:r>
        <w:rPr>
          <w:color w:val="231F20"/>
          <w:spacing w:val="-3"/>
        </w:rPr>
        <w:t> </w:t>
      </w:r>
      <w:r>
        <w:rPr>
          <w:color w:val="231F20"/>
        </w:rPr>
        <w:t>trois</w:t>
      </w:r>
      <w:r>
        <w:rPr>
          <w:color w:val="231F20"/>
          <w:spacing w:val="-3"/>
        </w:rPr>
        <w:t> </w:t>
      </w:r>
      <w:r>
        <w:rPr>
          <w:color w:val="231F20"/>
        </w:rPr>
        <w:t>quarts</w:t>
      </w:r>
      <w:r>
        <w:rPr>
          <w:color w:val="231F20"/>
          <w:spacing w:val="-3"/>
        </w:rPr>
        <w:t> </w:t>
      </w:r>
      <w:r>
        <w:rPr>
          <w:color w:val="231F20"/>
        </w:rPr>
        <w:t>au</w:t>
      </w:r>
      <w:r>
        <w:rPr>
          <w:color w:val="231F20"/>
          <w:spacing w:val="-3"/>
        </w:rPr>
        <w:t> </w:t>
      </w:r>
      <w:r>
        <w:rPr>
          <w:color w:val="231F20"/>
        </w:rPr>
        <w:t>moins</w:t>
      </w:r>
      <w:r>
        <w:rPr>
          <w:color w:val="231F20"/>
          <w:spacing w:val="-2"/>
        </w:rPr>
        <w:t> </w:t>
      </w:r>
      <w:r>
        <w:rPr>
          <w:color w:val="231F20"/>
        </w:rPr>
        <w:t>des actions, déduction faite des actions dont la cession est proposée. Cet agrément</w:t>
      </w:r>
      <w:r>
        <w:rPr>
          <w:color w:val="231F20"/>
          <w:spacing w:val="14"/>
        </w:rPr>
        <w:t> </w:t>
      </w:r>
      <w:r>
        <w:rPr>
          <w:color w:val="231F20"/>
        </w:rPr>
        <w:t>doit</w:t>
      </w:r>
      <w:r>
        <w:rPr>
          <w:color w:val="231F20"/>
          <w:spacing w:val="15"/>
        </w:rPr>
        <w:t> </w:t>
      </w:r>
      <w:r>
        <w:rPr>
          <w:color w:val="231F20"/>
        </w:rPr>
        <w:t>être</w:t>
      </w:r>
      <w:r>
        <w:rPr>
          <w:color w:val="231F20"/>
          <w:spacing w:val="15"/>
        </w:rPr>
        <w:t> </w:t>
      </w:r>
      <w:r>
        <w:rPr>
          <w:color w:val="231F20"/>
        </w:rPr>
        <w:t>établi</w:t>
      </w:r>
      <w:r>
        <w:rPr>
          <w:color w:val="231F20"/>
          <w:spacing w:val="14"/>
        </w:rPr>
        <w:t> </w:t>
      </w:r>
      <w:r>
        <w:rPr>
          <w:color w:val="231F20"/>
        </w:rPr>
        <w:t>par</w:t>
      </w:r>
      <w:r>
        <w:rPr>
          <w:color w:val="231F20"/>
          <w:spacing w:val="15"/>
        </w:rPr>
        <w:t> </w:t>
      </w:r>
      <w:r>
        <w:rPr>
          <w:color w:val="231F20"/>
        </w:rPr>
        <w:t>écrit.</w:t>
      </w:r>
    </w:p>
    <w:p>
      <w:pPr>
        <w:pStyle w:val="BodyText"/>
        <w:spacing w:before="10"/>
        <w:ind w:left="0" w:right="0" w:firstLine="0"/>
        <w:jc w:val="left"/>
        <w:rPr>
          <w:sz w:val="23"/>
        </w:rPr>
      </w:pPr>
    </w:p>
    <w:p>
      <w:pPr>
        <w:pStyle w:val="BodyText"/>
        <w:spacing w:line="218" w:lineRule="auto"/>
        <w:ind w:right="38"/>
      </w:pPr>
      <w:r>
        <w:rPr>
          <w:color w:val="231F20"/>
        </w:rPr>
        <w:t>Cet agrément n’est toutefois pas requis lorsque les actions sont cédées ou</w:t>
      </w:r>
      <w:r>
        <w:rPr>
          <w:color w:val="231F20"/>
          <w:spacing w:val="-12"/>
        </w:rPr>
        <w:t> </w:t>
      </w:r>
      <w:r>
        <w:rPr>
          <w:color w:val="231F20"/>
        </w:rPr>
        <w:t>transmises:</w:t>
      </w:r>
    </w:p>
    <w:p>
      <w:pPr>
        <w:pStyle w:val="BodyText"/>
        <w:spacing w:before="83"/>
        <w:ind w:left="283" w:right="0" w:firstLine="0"/>
        <w:jc w:val="left"/>
      </w:pPr>
      <w:r>
        <w:rPr>
          <w:color w:val="231F20"/>
          <w:spacing w:val="7"/>
        </w:rPr>
        <w:t>1° </w:t>
      </w:r>
      <w:r>
        <w:rPr>
          <w:color w:val="231F20"/>
        </w:rPr>
        <w:t>à un</w:t>
      </w:r>
      <w:r>
        <w:rPr>
          <w:color w:val="231F20"/>
          <w:spacing w:val="12"/>
        </w:rPr>
        <w:t> </w:t>
      </w:r>
      <w:r>
        <w:rPr>
          <w:color w:val="231F20"/>
        </w:rPr>
        <w:t>actionnaire;</w:t>
      </w:r>
    </w:p>
    <w:p>
      <w:pPr>
        <w:pStyle w:val="BodyText"/>
        <w:spacing w:before="78"/>
        <w:ind w:left="283" w:right="0" w:firstLine="0"/>
        <w:jc w:val="left"/>
      </w:pPr>
      <w:r>
        <w:rPr>
          <w:color w:val="231F20"/>
        </w:rPr>
        <w:t>2° au conjoint du cédant;</w:t>
      </w:r>
    </w:p>
    <w:p>
      <w:pPr>
        <w:pStyle w:val="BodyText"/>
        <w:spacing w:before="79"/>
        <w:ind w:left="283" w:right="0" w:firstLine="0"/>
        <w:jc w:val="left"/>
      </w:pPr>
      <w:r>
        <w:rPr>
          <w:color w:val="231F20"/>
        </w:rPr>
        <w:t>3° à des ascendants ou descendants du cédant en ligne directe.</w:t>
      </w:r>
    </w:p>
    <w:p>
      <w:pPr>
        <w:pStyle w:val="BodyText"/>
        <w:spacing w:before="3"/>
        <w:ind w:left="0" w:right="0" w:firstLine="0"/>
        <w:jc w:val="left"/>
        <w:rPr>
          <w:sz w:val="22"/>
        </w:rPr>
      </w:pPr>
    </w:p>
    <w:p>
      <w:pPr>
        <w:pStyle w:val="BodyText"/>
        <w:spacing w:line="218" w:lineRule="auto"/>
        <w:ind w:right="38"/>
      </w:pPr>
      <w:r>
        <w:rPr>
          <w:color w:val="231F20"/>
        </w:rPr>
        <w:t>§ 2. Les cessions réalisées en méconnaissance du paragraphe 1</w:t>
      </w:r>
      <w:r>
        <w:rPr>
          <w:color w:val="231F20"/>
          <w:position w:val="7"/>
          <w:sz w:val="11"/>
        </w:rPr>
        <w:t>er </w:t>
      </w:r>
      <w:r>
        <w:rPr>
          <w:color w:val="231F20"/>
        </w:rPr>
        <w:t>ne sont pas opposables à la société ni aux tiers, indépendamment de la bonne ou la mauvaise foi du cessionnaire, et même lorsqu’une restriction statutaire à la cessibilité n’est pas reprise dans le registre des actionnaires.</w:t>
      </w:r>
    </w:p>
    <w:p>
      <w:pPr>
        <w:pStyle w:val="BodyText"/>
        <w:spacing w:line="213" w:lineRule="auto" w:before="100"/>
        <w:ind w:right="38"/>
      </w:pPr>
      <w:r>
        <w:rPr>
          <w:color w:val="231F20"/>
        </w:rPr>
        <w:t>Art. 5:64. Les parties à la cession proposée pourront, conformément à l’article 5:63, § 1</w:t>
      </w:r>
      <w:r>
        <w:rPr>
          <w:color w:val="231F20"/>
          <w:position w:val="7"/>
          <w:sz w:val="11"/>
        </w:rPr>
        <w:t>er</w:t>
      </w:r>
      <w:r>
        <w:rPr>
          <w:color w:val="231F20"/>
        </w:rPr>
        <w:t>, s’opposer au refus d’agrément d’une cession entre vifs devant le président du tribunal de l’entreprise siégeant comme en référé.</w:t>
      </w:r>
      <w:r>
        <w:rPr>
          <w:color w:val="231F20"/>
          <w:spacing w:val="-5"/>
        </w:rPr>
        <w:t> </w:t>
      </w:r>
      <w:r>
        <w:rPr>
          <w:color w:val="231F20"/>
        </w:rPr>
        <w:t>La</w:t>
      </w:r>
      <w:r>
        <w:rPr>
          <w:color w:val="231F20"/>
          <w:spacing w:val="-5"/>
        </w:rPr>
        <w:t> </w:t>
      </w:r>
      <w:r>
        <w:rPr>
          <w:color w:val="231F20"/>
        </w:rPr>
        <w:t>société,</w:t>
      </w:r>
      <w:r>
        <w:rPr>
          <w:color w:val="231F20"/>
          <w:spacing w:val="-4"/>
        </w:rPr>
        <w:t> </w:t>
      </w:r>
      <w:r>
        <w:rPr>
          <w:color w:val="231F20"/>
        </w:rPr>
        <w:t>les</w:t>
      </w:r>
      <w:r>
        <w:rPr>
          <w:color w:val="231F20"/>
          <w:spacing w:val="-5"/>
        </w:rPr>
        <w:t> </w:t>
      </w:r>
      <w:r>
        <w:rPr>
          <w:color w:val="231F20"/>
        </w:rPr>
        <w:t>parties</w:t>
      </w:r>
      <w:r>
        <w:rPr>
          <w:color w:val="231F20"/>
          <w:spacing w:val="-4"/>
        </w:rPr>
        <w:t> </w:t>
      </w:r>
      <w:r>
        <w:rPr>
          <w:color w:val="231F20"/>
        </w:rPr>
        <w:t>à</w:t>
      </w:r>
      <w:r>
        <w:rPr>
          <w:color w:val="231F20"/>
          <w:spacing w:val="-5"/>
        </w:rPr>
        <w:t> </w:t>
      </w:r>
      <w:r>
        <w:rPr>
          <w:color w:val="231F20"/>
        </w:rPr>
        <w:t>la</w:t>
      </w:r>
      <w:r>
        <w:rPr>
          <w:color w:val="231F20"/>
          <w:spacing w:val="-4"/>
        </w:rPr>
        <w:t> </w:t>
      </w:r>
      <w:r>
        <w:rPr>
          <w:color w:val="231F20"/>
        </w:rPr>
        <w:t>cession</w:t>
      </w:r>
      <w:r>
        <w:rPr>
          <w:color w:val="231F20"/>
          <w:spacing w:val="-5"/>
        </w:rPr>
        <w:t> </w:t>
      </w:r>
      <w:r>
        <w:rPr>
          <w:color w:val="231F20"/>
        </w:rPr>
        <w:t>proposée</w:t>
      </w:r>
      <w:r>
        <w:rPr>
          <w:color w:val="231F20"/>
          <w:spacing w:val="-4"/>
        </w:rPr>
        <w:t> </w:t>
      </w:r>
      <w:r>
        <w:rPr>
          <w:color w:val="231F20"/>
        </w:rPr>
        <w:t>et</w:t>
      </w:r>
      <w:r>
        <w:rPr>
          <w:color w:val="231F20"/>
          <w:spacing w:val="-5"/>
        </w:rPr>
        <w:t> </w:t>
      </w:r>
      <w:r>
        <w:rPr>
          <w:color w:val="231F20"/>
        </w:rPr>
        <w:t>les</w:t>
      </w:r>
      <w:r>
        <w:rPr>
          <w:color w:val="231F20"/>
          <w:spacing w:val="-4"/>
        </w:rPr>
        <w:t> </w:t>
      </w:r>
      <w:r>
        <w:rPr>
          <w:color w:val="231F20"/>
        </w:rPr>
        <w:t>actionnaires</w:t>
      </w:r>
      <w:r>
        <w:rPr>
          <w:color w:val="231F20"/>
          <w:spacing w:val="-5"/>
        </w:rPr>
        <w:t> </w:t>
      </w:r>
      <w:r>
        <w:rPr>
          <w:color w:val="231F20"/>
        </w:rPr>
        <w:t>qui se</w:t>
      </w:r>
      <w:r>
        <w:rPr>
          <w:color w:val="231F20"/>
          <w:spacing w:val="15"/>
        </w:rPr>
        <w:t> </w:t>
      </w:r>
      <w:r>
        <w:rPr>
          <w:color w:val="231F20"/>
        </w:rPr>
        <w:t>sont</w:t>
      </w:r>
      <w:r>
        <w:rPr>
          <w:color w:val="231F20"/>
          <w:spacing w:val="15"/>
        </w:rPr>
        <w:t> </w:t>
      </w:r>
      <w:r>
        <w:rPr>
          <w:color w:val="231F20"/>
        </w:rPr>
        <w:t>opposés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cession</w:t>
      </w:r>
      <w:r>
        <w:rPr>
          <w:color w:val="231F20"/>
          <w:spacing w:val="15"/>
        </w:rPr>
        <w:t> </w:t>
      </w:r>
      <w:r>
        <w:rPr>
          <w:color w:val="231F20"/>
        </w:rPr>
        <w:t>sont</w:t>
      </w:r>
      <w:r>
        <w:rPr>
          <w:color w:val="231F20"/>
          <w:spacing w:val="15"/>
        </w:rPr>
        <w:t> </w:t>
      </w:r>
      <w:r>
        <w:rPr>
          <w:color w:val="231F20"/>
        </w:rPr>
        <w:t>appelés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cause.</w:t>
      </w:r>
    </w:p>
    <w:p>
      <w:pPr>
        <w:pStyle w:val="BodyText"/>
        <w:ind w:left="0" w:right="0" w:firstLine="0"/>
        <w:jc w:val="left"/>
        <w:rPr>
          <w:sz w:val="20"/>
        </w:rPr>
      </w:pPr>
    </w:p>
    <w:p>
      <w:pPr>
        <w:pStyle w:val="BodyText"/>
        <w:spacing w:before="3"/>
        <w:ind w:left="0" w:right="0" w:firstLine="0"/>
        <w:jc w:val="left"/>
        <w:rPr>
          <w:sz w:val="18"/>
        </w:rPr>
      </w:pPr>
    </w:p>
    <w:p>
      <w:pPr>
        <w:pStyle w:val="BodyText"/>
        <w:ind w:left="283" w:right="0" w:firstLine="0"/>
        <w:jc w:val="left"/>
      </w:pPr>
      <w:r>
        <w:rPr>
          <w:color w:val="231F20"/>
        </w:rPr>
        <w:t>Le</w:t>
      </w:r>
      <w:r>
        <w:rPr>
          <w:color w:val="231F20"/>
          <w:spacing w:val="15"/>
        </w:rPr>
        <w:t> </w:t>
      </w:r>
      <w:r>
        <w:rPr>
          <w:color w:val="231F20"/>
        </w:rPr>
        <w:t>tribunal</w:t>
      </w:r>
      <w:r>
        <w:rPr>
          <w:color w:val="231F20"/>
          <w:spacing w:val="16"/>
        </w:rPr>
        <w:t> </w:t>
      </w:r>
      <w:r>
        <w:rPr>
          <w:color w:val="231F20"/>
        </w:rPr>
        <w:t>compétent</w:t>
      </w:r>
      <w:r>
        <w:rPr>
          <w:color w:val="231F20"/>
          <w:spacing w:val="16"/>
        </w:rPr>
        <w:t> </w:t>
      </w:r>
      <w:r>
        <w:rPr>
          <w:color w:val="231F20"/>
        </w:rPr>
        <w:t>est</w:t>
      </w:r>
      <w:r>
        <w:rPr>
          <w:color w:val="231F20"/>
          <w:spacing w:val="16"/>
        </w:rPr>
        <w:t> </w:t>
      </w:r>
      <w:r>
        <w:rPr>
          <w:color w:val="231F20"/>
        </w:rPr>
        <w:t>celui</w:t>
      </w:r>
      <w:r>
        <w:rPr>
          <w:color w:val="231F20"/>
          <w:spacing w:val="16"/>
        </w:rPr>
        <w:t> </w:t>
      </w:r>
      <w:r>
        <w:rPr>
          <w:color w:val="231F20"/>
        </w:rPr>
        <w:t>du</w:t>
      </w:r>
      <w:r>
        <w:rPr>
          <w:color w:val="231F20"/>
          <w:spacing w:val="16"/>
        </w:rPr>
        <w:t> </w:t>
      </w:r>
      <w:r>
        <w:rPr>
          <w:color w:val="231F20"/>
        </w:rPr>
        <w:t>siège</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société.</w:t>
      </w:r>
    </w:p>
    <w:p>
      <w:pPr>
        <w:pStyle w:val="BodyText"/>
        <w:spacing w:line="218" w:lineRule="auto" w:before="93"/>
        <w:ind w:right="38"/>
      </w:pPr>
      <w:r>
        <w:rPr>
          <w:color w:val="231F20"/>
        </w:rPr>
        <w:t>Si le refus est jugé arbitraire, le jugement vaut agrément conformé- ment l’article 5:63, à moins que l’acheteur ne retire son </w:t>
      </w:r>
      <w:r>
        <w:rPr>
          <w:color w:val="231F20"/>
          <w:spacing w:val="-4"/>
        </w:rPr>
        <w:t>offre </w:t>
      </w:r>
      <w:r>
        <w:rPr>
          <w:color w:val="231F20"/>
        </w:rPr>
        <w:t>dans un délai</w:t>
      </w:r>
      <w:r>
        <w:rPr>
          <w:color w:val="231F20"/>
          <w:spacing w:val="16"/>
        </w:rPr>
        <w:t> </w:t>
      </w:r>
      <w:r>
        <w:rPr>
          <w:color w:val="231F20"/>
        </w:rPr>
        <w:t>de</w:t>
      </w:r>
      <w:r>
        <w:rPr>
          <w:color w:val="231F20"/>
          <w:spacing w:val="17"/>
        </w:rPr>
        <w:t> </w:t>
      </w:r>
      <w:r>
        <w:rPr>
          <w:color w:val="231F20"/>
        </w:rPr>
        <w:t>deux</w:t>
      </w:r>
      <w:r>
        <w:rPr>
          <w:color w:val="231F20"/>
          <w:spacing w:val="16"/>
        </w:rPr>
        <w:t> </w:t>
      </w:r>
      <w:r>
        <w:rPr>
          <w:color w:val="231F20"/>
        </w:rPr>
        <w:t>mois</w:t>
      </w:r>
      <w:r>
        <w:rPr>
          <w:color w:val="231F20"/>
          <w:spacing w:val="17"/>
        </w:rPr>
        <w:t> </w:t>
      </w:r>
      <w:r>
        <w:rPr>
          <w:color w:val="231F20"/>
        </w:rPr>
        <w:t>suivant</w:t>
      </w:r>
      <w:r>
        <w:rPr>
          <w:color w:val="231F20"/>
          <w:spacing w:val="17"/>
        </w:rPr>
        <w:t> </w:t>
      </w:r>
      <w:r>
        <w:rPr>
          <w:color w:val="231F20"/>
        </w:rPr>
        <w:t>la</w:t>
      </w:r>
      <w:r>
        <w:rPr>
          <w:color w:val="231F20"/>
          <w:spacing w:val="16"/>
        </w:rPr>
        <w:t> </w:t>
      </w:r>
      <w:r>
        <w:rPr>
          <w:color w:val="231F20"/>
        </w:rPr>
        <w:t>signification</w:t>
      </w:r>
      <w:r>
        <w:rPr>
          <w:color w:val="231F20"/>
          <w:spacing w:val="17"/>
        </w:rPr>
        <w:t> </w:t>
      </w:r>
      <w:r>
        <w:rPr>
          <w:color w:val="231F20"/>
        </w:rPr>
        <w:t>du</w:t>
      </w:r>
      <w:r>
        <w:rPr>
          <w:color w:val="231F20"/>
          <w:spacing w:val="17"/>
        </w:rPr>
        <w:t> </w:t>
      </w:r>
      <w:r>
        <w:rPr>
          <w:color w:val="231F20"/>
        </w:rPr>
        <w:t>jugement.</w:t>
      </w:r>
    </w:p>
    <w:p>
      <w:pPr>
        <w:pStyle w:val="BodyText"/>
        <w:spacing w:before="10"/>
        <w:ind w:left="0" w:right="0" w:firstLine="0"/>
        <w:jc w:val="left"/>
        <w:rPr>
          <w:sz w:val="23"/>
        </w:rPr>
      </w:pPr>
    </w:p>
    <w:p>
      <w:pPr>
        <w:pStyle w:val="BodyText"/>
        <w:spacing w:line="218" w:lineRule="auto" w:before="1"/>
        <w:ind w:right="38"/>
      </w:pPr>
      <w:r>
        <w:rPr>
          <w:color w:val="231F20"/>
        </w:rPr>
        <w:t>Art. 5:65. Les héritiers et légataires d’actions, qui ne peuvent devenir actionnaires parce qu’ils n’ont pas été agréés comme tels ont droit,</w:t>
      </w:r>
    </w:p>
    <w:p>
      <w:pPr>
        <w:pStyle w:val="BodyText"/>
        <w:spacing w:line="218" w:lineRule="auto" w:before="119"/>
      </w:pPr>
      <w:r>
        <w:rPr/>
        <w:br w:type="column"/>
      </w:r>
      <w:r>
        <w:rPr>
          <w:color w:val="231F20"/>
        </w:rPr>
        <w:t>Art. 5:59. Vanaf de uitgifte van de inschrijvingsrechten en tot het einde van de termijn van uitoefening ervan, mag de vennootschap door geen enkele verrichting de voordelen verminderen die de uitgiftevoor- waarden of de wet toekennen aan de houders van inschrijvingsrechten, tenzij in de gevallen waarin de uitgiftevoorwaarden uitdrukkelijk voorzien.</w:t>
      </w:r>
    </w:p>
    <w:p>
      <w:pPr>
        <w:pStyle w:val="BodyText"/>
        <w:spacing w:line="218" w:lineRule="auto" w:before="86"/>
      </w:pPr>
      <w:r>
        <w:rPr>
          <w:color w:val="231F20"/>
        </w:rPr>
        <w:t>In geval van uitgifte van nieuwe aandelen tegen inbreng in geld kunnen de houders van inschrijvingsrechten hun inschrijvingsrecht evenwel uitoefenen en eventueel als aandeelhouder deelnemen aan de</w:t>
      </w:r>
      <w:r>
        <w:rPr>
          <w:color w:val="231F20"/>
          <w:w w:val="103"/>
        </w:rPr>
        <w:t> </w:t>
      </w:r>
      <w:r>
        <w:rPr>
          <w:color w:val="231F20"/>
        </w:rPr>
        <w:t>nieuwe uitgifte voor zover de bestaande aandeelhouders dit recht bezitten, tenzij de uitgiftevoorwaarden uitdrukkelijk anders bepalen.</w:t>
      </w:r>
    </w:p>
    <w:p>
      <w:pPr>
        <w:pStyle w:val="BodyText"/>
        <w:ind w:left="0" w:right="0" w:firstLine="0"/>
        <w:jc w:val="left"/>
        <w:rPr>
          <w:sz w:val="23"/>
        </w:rPr>
      </w:pPr>
    </w:p>
    <w:p>
      <w:pPr>
        <w:pStyle w:val="BodyText"/>
        <w:spacing w:line="218" w:lineRule="auto" w:before="1"/>
      </w:pPr>
      <w:r>
        <w:rPr>
          <w:color w:val="231F20"/>
        </w:rPr>
        <w:t>Art. 5:60. Indien de vennootschap besluit de lening, zelfs gedeeltelijk, vervroegd terug te betalen, kunnen de houders van obligaties met een onlosmakelijk daaraan verbonden inschrijvingsrecht hun inschrijvings- recht uitoefenen gedurende ten minste een maand vóór de datum van de terugbetaling.</w:t>
      </w:r>
    </w:p>
    <w:p>
      <w:pPr>
        <w:pStyle w:val="BodyText"/>
        <w:spacing w:line="324" w:lineRule="auto" w:before="71"/>
        <w:ind w:left="283" w:right="1017" w:firstLine="0"/>
        <w:jc w:val="left"/>
      </w:pPr>
      <w:r>
        <w:rPr>
          <w:color w:val="231F20"/>
        </w:rPr>
        <w:t>HOOFDSTUK 4. Overdracht en overgang van effecten. Afdeling 1. Algemene bepalingen.</w:t>
      </w:r>
    </w:p>
    <w:p>
      <w:pPr>
        <w:pStyle w:val="BodyText"/>
        <w:spacing w:line="218" w:lineRule="auto" w:before="15"/>
      </w:pPr>
      <w:r>
        <w:rPr>
          <w:color w:val="231F20"/>
        </w:rPr>
        <w:t>Art. 5:61. De overdracht en overgang van effecten gebeurt volgens de regels van het gemeen recht.</w:t>
      </w:r>
    </w:p>
    <w:p>
      <w:pPr>
        <w:pStyle w:val="BodyText"/>
        <w:spacing w:line="218" w:lineRule="auto" w:before="85"/>
      </w:pPr>
      <w:r>
        <w:rPr>
          <w:color w:val="231F20"/>
        </w:rPr>
        <w:t>Een overdracht of overgang van effecten op naam kan aan de vennootschap en aan derden slechts worden tegengeworpen door een verklaring van overdracht, ingeschreven in het register van de betrok- ken effecten en gedagtekend en ondertekend door de overdrager en de overnemer of door hun gevolmachtigden in geval van  overdracht  onder de levenden, en door een lid van het bestuursorgaan en de rechtsverkrijgenden of door hun gevolmachtigden in geval van over- gang wegens</w:t>
      </w:r>
      <w:r>
        <w:rPr>
          <w:color w:val="231F20"/>
          <w:spacing w:val="-10"/>
        </w:rPr>
        <w:t> </w:t>
      </w:r>
      <w:r>
        <w:rPr>
          <w:color w:val="231F20"/>
        </w:rPr>
        <w:t>overlijden.</w:t>
      </w:r>
    </w:p>
    <w:p>
      <w:pPr>
        <w:pStyle w:val="BodyText"/>
        <w:spacing w:line="218" w:lineRule="auto" w:before="86"/>
      </w:pPr>
      <w:r>
        <w:rPr>
          <w:color w:val="231F20"/>
        </w:rPr>
        <w:t>Het bestuursorgaan kan een overdracht erkennen en in het register inschrijven, als uit stukken het bewijs van de toestemming van de overdrager en van de overnemer blijkt.</w:t>
      </w:r>
    </w:p>
    <w:p>
      <w:pPr>
        <w:pStyle w:val="BodyText"/>
        <w:spacing w:line="218" w:lineRule="auto" w:before="86"/>
      </w:pPr>
      <w:r>
        <w:rPr>
          <w:color w:val="231F20"/>
        </w:rPr>
        <w:t>Indien het register in elektronische vorm wordt aangehouden, kan de verklaring van overdracht een elektronische vorm aannemen en worden ondertekend door middel van een geheel van elektronische gegevens dat aan een bepaalde persoon kan worden toegerekend en het behoud</w:t>
      </w:r>
      <w:r>
        <w:rPr>
          <w:color w:val="231F20"/>
          <w:spacing w:val="17"/>
        </w:rPr>
        <w:t> </w:t>
      </w:r>
      <w:r>
        <w:rPr>
          <w:color w:val="231F20"/>
        </w:rPr>
        <w:t>van</w:t>
      </w:r>
      <w:r>
        <w:rPr>
          <w:color w:val="231F20"/>
          <w:spacing w:val="18"/>
        </w:rPr>
        <w:t> </w:t>
      </w:r>
      <w:r>
        <w:rPr>
          <w:color w:val="231F20"/>
        </w:rPr>
        <w:t>de</w:t>
      </w:r>
      <w:r>
        <w:rPr>
          <w:color w:val="231F20"/>
          <w:spacing w:val="18"/>
        </w:rPr>
        <w:t> </w:t>
      </w:r>
      <w:r>
        <w:rPr>
          <w:color w:val="231F20"/>
        </w:rPr>
        <w:t>integriteit</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inhoud</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akte</w:t>
      </w:r>
      <w:r>
        <w:rPr>
          <w:color w:val="231F20"/>
          <w:spacing w:val="18"/>
        </w:rPr>
        <w:t> </w:t>
      </w:r>
      <w:r>
        <w:rPr>
          <w:color w:val="231F20"/>
        </w:rPr>
        <w:t>aantoont.</w:t>
      </w:r>
    </w:p>
    <w:p>
      <w:pPr>
        <w:pStyle w:val="BodyText"/>
        <w:spacing w:line="218" w:lineRule="auto" w:before="86"/>
      </w:pPr>
      <w:r>
        <w:rPr>
          <w:color w:val="231F20"/>
        </w:rPr>
        <w:t>Art. 5:62. Een overdracht of overgang van een gedematerialiseerd effect kan aan de vennootschap en aan derden slechts worden tegengeworpen door boeking van de ene op de andere effectenreke- ning.</w:t>
      </w:r>
    </w:p>
    <w:p>
      <w:pPr>
        <w:pStyle w:val="BodyText"/>
        <w:spacing w:before="82"/>
        <w:ind w:left="283" w:right="0" w:firstLine="0"/>
        <w:jc w:val="left"/>
      </w:pPr>
      <w:r>
        <w:rPr>
          <w:color w:val="231F20"/>
        </w:rPr>
        <w:t>Afdeling 2. Overdracht en overgang van aandelen.</w:t>
      </w:r>
    </w:p>
    <w:p>
      <w:pPr>
        <w:pStyle w:val="BodyText"/>
        <w:spacing w:line="218" w:lineRule="auto" w:before="93"/>
      </w:pPr>
      <w:r>
        <w:rPr>
          <w:color w:val="231F20"/>
        </w:rPr>
        <w:t>Art. 5:63. § 1. Tenzij de statuten anders bepalen, is elke overdracht of overgang, onder bijzondere of algemene titel, onder bezwarende titel of om niet, onder levenden of ten gevolge van overlijden van aandelen, onderworpen aan de instemming van ten minste de helft van de aandeelhouders die ten minste drie vierde van de aandelen bezitten, na aftrek van de aandelen waarvan de overdracht is voorgesteld. Deze instemming moet blijken uit een geschreven stuk.</w:t>
      </w:r>
    </w:p>
    <w:p>
      <w:pPr>
        <w:pStyle w:val="BodyText"/>
        <w:spacing w:line="218" w:lineRule="auto" w:before="96"/>
      </w:pPr>
      <w:r>
        <w:rPr>
          <w:color w:val="231F20"/>
        </w:rPr>
        <w:t>Die instemming is evenwel niet vereist wanneer de aandelen worden overgedragen of overgaan:</w:t>
      </w:r>
    </w:p>
    <w:p>
      <w:pPr>
        <w:pStyle w:val="BodyText"/>
        <w:spacing w:before="82"/>
        <w:ind w:left="283" w:right="0" w:firstLine="0"/>
        <w:jc w:val="left"/>
      </w:pPr>
      <w:r>
        <w:rPr>
          <w:color w:val="231F20"/>
        </w:rPr>
        <w:t>1° aan een aandeelhouder;</w:t>
      </w:r>
    </w:p>
    <w:p>
      <w:pPr>
        <w:pStyle w:val="BodyText"/>
        <w:spacing w:before="79"/>
        <w:ind w:left="283" w:right="0" w:firstLine="0"/>
        <w:jc w:val="left"/>
      </w:pPr>
      <w:r>
        <w:rPr>
          <w:color w:val="231F20"/>
        </w:rPr>
        <w:t>2° aan de echtgenoot van de overdrager;</w:t>
      </w:r>
    </w:p>
    <w:p>
      <w:pPr>
        <w:pStyle w:val="BodyText"/>
        <w:spacing w:line="218" w:lineRule="auto" w:before="93"/>
      </w:pPr>
      <w:r>
        <w:rPr>
          <w:color w:val="231F20"/>
        </w:rPr>
        <w:t>3° aan de bloedverwanten van de overdrager in de rechte opgaande of</w:t>
      </w:r>
      <w:r>
        <w:rPr>
          <w:color w:val="231F20"/>
          <w:spacing w:val="14"/>
        </w:rPr>
        <w:t> </w:t>
      </w:r>
      <w:r>
        <w:rPr>
          <w:color w:val="231F20"/>
        </w:rPr>
        <w:t>in</w:t>
      </w:r>
      <w:r>
        <w:rPr>
          <w:color w:val="231F20"/>
          <w:spacing w:val="15"/>
        </w:rPr>
        <w:t> </w:t>
      </w:r>
      <w:r>
        <w:rPr>
          <w:color w:val="231F20"/>
        </w:rPr>
        <w:t>de</w:t>
      </w:r>
      <w:r>
        <w:rPr>
          <w:color w:val="231F20"/>
          <w:spacing w:val="15"/>
        </w:rPr>
        <w:t> </w:t>
      </w:r>
      <w:r>
        <w:rPr>
          <w:color w:val="231F20"/>
        </w:rPr>
        <w:t>rechte</w:t>
      </w:r>
      <w:r>
        <w:rPr>
          <w:color w:val="231F20"/>
          <w:spacing w:val="15"/>
        </w:rPr>
        <w:t> </w:t>
      </w:r>
      <w:r>
        <w:rPr>
          <w:color w:val="231F20"/>
        </w:rPr>
        <w:t>nederdalende</w:t>
      </w:r>
      <w:r>
        <w:rPr>
          <w:color w:val="231F20"/>
          <w:spacing w:val="15"/>
        </w:rPr>
        <w:t> </w:t>
      </w:r>
      <w:r>
        <w:rPr>
          <w:color w:val="231F20"/>
        </w:rPr>
        <w:t>lijn.</w:t>
      </w:r>
    </w:p>
    <w:p>
      <w:pPr>
        <w:pStyle w:val="BodyText"/>
        <w:spacing w:line="218" w:lineRule="auto" w:before="96"/>
      </w:pPr>
      <w:r>
        <w:rPr>
          <w:color w:val="231F20"/>
        </w:rPr>
        <w:t>§ 2. Overdrachten die met miskenning van paragraaf 1 gebeuren, kunnen niet aan de vennootschap of aan derden worden tegengewor- pen, ongeacht de goede of kwade trouw van de overnemer, en zelfs wanneer een statutaire overdrachtsbeperking niet in het aandelenregis- ter is opgenomen.</w:t>
      </w:r>
    </w:p>
    <w:p>
      <w:pPr>
        <w:pStyle w:val="BodyText"/>
        <w:spacing w:line="218" w:lineRule="auto" w:before="96"/>
      </w:pPr>
      <w:r>
        <w:rPr>
          <w:color w:val="231F20"/>
        </w:rPr>
        <w:t>Art. 5:64. De partijen bij de voorgestelde overdracht kunnen tegen de weigering van de instemming met een overdracht onder de levenden overeenkomstig artikel 5:63, § 1, opkomen voor de voorzitter van de ondernemingsrechtbank zitting houdend zoals in kort geding. De vennootschap, de partijen bij de voorgestelde overdracht en de aandeelhouders die zich tegen de overdracht hebben verzet worden in zake geroepen.</w:t>
      </w:r>
    </w:p>
    <w:p>
      <w:pPr>
        <w:pStyle w:val="BodyText"/>
        <w:spacing w:before="83"/>
        <w:ind w:left="283" w:right="0" w:firstLine="0"/>
        <w:jc w:val="left"/>
      </w:pPr>
      <w:r>
        <w:rPr>
          <w:color w:val="231F20"/>
        </w:rPr>
        <w:t>De bevoegde rechtbank is die van de zetel van de vennootschap.</w:t>
      </w:r>
    </w:p>
    <w:p>
      <w:pPr>
        <w:pStyle w:val="BodyText"/>
        <w:spacing w:line="218" w:lineRule="auto" w:before="92"/>
        <w:ind w:right="123"/>
      </w:pPr>
      <w:r>
        <w:rPr>
          <w:color w:val="231F20"/>
        </w:rPr>
        <w:t>Wordt de weigering willekeurig geoordeeld, dan geldt het vonnis als instemming overeenkomstig artikel 5:63, tenzij de koper zijn aanbod intrekt binnen een termijn van twee maand na de betekening van het vonnis.</w:t>
      </w:r>
    </w:p>
    <w:p>
      <w:pPr>
        <w:pStyle w:val="BodyText"/>
        <w:spacing w:line="218" w:lineRule="auto" w:before="96"/>
      </w:pPr>
      <w:r>
        <w:rPr>
          <w:color w:val="231F20"/>
        </w:rPr>
        <w:t>Art. 5:65. De erfgenamen en legatarissen van aandelen die geen aandeelhouder kunnen worden omdat zij niet als aandeelhouder zijn toegelaten, hebben, niettegenstaande andersluidende bepaling, recht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41" w:firstLine="0"/>
      </w:pPr>
      <w:r>
        <w:rPr/>
        <w:pict>
          <v:line style="position:absolute;mso-position-horizontal-relative:page;mso-position-vertical-relative:page;z-index:3424" from="298.170502pt,64.473pt" to="298.170502pt,812.819pt" stroked="true" strokeweight=".533pt" strokecolor="#231f20">
            <v:stroke dashstyle="solid"/>
            <w10:wrap type="none"/>
          </v:line>
        </w:pict>
      </w:r>
      <w:bookmarkStart w:name="_bookmark100" w:id="105"/>
      <w:bookmarkEnd w:id="105"/>
      <w:r>
        <w:rPr/>
      </w:r>
      <w:r>
        <w:rPr>
          <w:color w:val="231F20"/>
        </w:rPr>
        <w:t>nonobstant toute disposition contraire, à la valeur des actions transmi- ses, selon le cas, à charge des actionnaires ou de la société qui se sont opposés à l’autorisation.</w:t>
      </w:r>
    </w:p>
    <w:p>
      <w:pPr>
        <w:pStyle w:val="BodyText"/>
        <w:spacing w:line="218" w:lineRule="auto" w:before="129"/>
        <w:ind w:right="42"/>
      </w:pPr>
      <w:r>
        <w:rPr>
          <w:color w:val="231F20"/>
        </w:rPr>
        <w:t>Le rachat peut être demandé à l’organe d’administration de la  société, qui transmet sans délai une copie de la demande aux actionnaires</w:t>
      </w:r>
      <w:r>
        <w:rPr>
          <w:color w:val="231F20"/>
          <w:spacing w:val="14"/>
        </w:rPr>
        <w:t> </w:t>
      </w:r>
      <w:r>
        <w:rPr>
          <w:color w:val="231F20"/>
        </w:rPr>
        <w:t>qui</w:t>
      </w:r>
      <w:r>
        <w:rPr>
          <w:color w:val="231F20"/>
          <w:spacing w:val="15"/>
        </w:rPr>
        <w:t> </w:t>
      </w:r>
      <w:r>
        <w:rPr>
          <w:color w:val="231F20"/>
        </w:rPr>
        <w:t>se</w:t>
      </w:r>
      <w:r>
        <w:rPr>
          <w:color w:val="231F20"/>
          <w:spacing w:val="15"/>
        </w:rPr>
        <w:t> </w:t>
      </w:r>
      <w:r>
        <w:rPr>
          <w:color w:val="231F20"/>
        </w:rPr>
        <w:t>sont</w:t>
      </w:r>
      <w:r>
        <w:rPr>
          <w:color w:val="231F20"/>
          <w:spacing w:val="15"/>
        </w:rPr>
        <w:t> </w:t>
      </w:r>
      <w:r>
        <w:rPr>
          <w:color w:val="231F20"/>
        </w:rPr>
        <w:t>opposés</w:t>
      </w:r>
      <w:r>
        <w:rPr>
          <w:color w:val="231F20"/>
          <w:spacing w:val="15"/>
        </w:rPr>
        <w:t> </w:t>
      </w:r>
      <w:r>
        <w:rPr>
          <w:color w:val="231F20"/>
        </w:rPr>
        <w:t>à</w:t>
      </w:r>
      <w:r>
        <w:rPr>
          <w:color w:val="231F20"/>
          <w:spacing w:val="15"/>
        </w:rPr>
        <w:t> </w:t>
      </w:r>
      <w:r>
        <w:rPr>
          <w:color w:val="231F20"/>
        </w:rPr>
        <w:t>l’autorisation.</w:t>
      </w:r>
    </w:p>
    <w:p>
      <w:pPr>
        <w:pStyle w:val="BodyText"/>
        <w:spacing w:line="218" w:lineRule="auto" w:before="138"/>
        <w:ind w:right="41"/>
      </w:pPr>
      <w:r>
        <w:rPr>
          <w:color w:val="231F20"/>
        </w:rPr>
        <w:t>À défaut d’accord entre les parties ou de dispositions statutaires, les prix et conditions de rachat seront déterminés par le président du tribunal de l’entreprise siégeant comme en référé, à la requête de la partie la plus diligente. La société et les actionnaires qui se sont</w:t>
      </w:r>
      <w:r>
        <w:rPr>
          <w:color w:val="231F20"/>
          <w:spacing w:val="-22"/>
        </w:rPr>
        <w:t> </w:t>
      </w:r>
      <w:r>
        <w:rPr>
          <w:color w:val="231F20"/>
        </w:rPr>
        <w:t>opposés à</w:t>
      </w:r>
      <w:r>
        <w:rPr>
          <w:color w:val="231F20"/>
          <w:spacing w:val="14"/>
        </w:rPr>
        <w:t> </w:t>
      </w:r>
      <w:r>
        <w:rPr>
          <w:color w:val="231F20"/>
        </w:rPr>
        <w:t>la</w:t>
      </w:r>
      <w:r>
        <w:rPr>
          <w:color w:val="231F20"/>
          <w:spacing w:val="15"/>
        </w:rPr>
        <w:t> </w:t>
      </w:r>
      <w:r>
        <w:rPr>
          <w:color w:val="231F20"/>
        </w:rPr>
        <w:t>cession</w:t>
      </w:r>
      <w:r>
        <w:rPr>
          <w:color w:val="231F20"/>
          <w:spacing w:val="15"/>
        </w:rPr>
        <w:t> </w:t>
      </w:r>
      <w:r>
        <w:rPr>
          <w:color w:val="231F20"/>
        </w:rPr>
        <w:t>sont</w:t>
      </w:r>
      <w:r>
        <w:rPr>
          <w:color w:val="231F20"/>
          <w:spacing w:val="15"/>
        </w:rPr>
        <w:t> </w:t>
      </w:r>
      <w:r>
        <w:rPr>
          <w:color w:val="231F20"/>
        </w:rPr>
        <w:t>appelés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cause.</w:t>
      </w:r>
    </w:p>
    <w:p>
      <w:pPr>
        <w:pStyle w:val="BodyText"/>
        <w:spacing w:before="6"/>
        <w:ind w:left="0" w:right="0" w:firstLine="0"/>
        <w:jc w:val="left"/>
        <w:rPr>
          <w:sz w:val="26"/>
        </w:rPr>
      </w:pPr>
    </w:p>
    <w:p>
      <w:pPr>
        <w:pStyle w:val="BodyText"/>
        <w:ind w:left="283" w:right="0" w:firstLine="0"/>
        <w:jc w:val="left"/>
      </w:pPr>
      <w:r>
        <w:rPr>
          <w:color w:val="231F20"/>
        </w:rPr>
        <w:t>Le tribunal compétent est celui du siège de la société.</w:t>
      </w:r>
    </w:p>
    <w:p>
      <w:pPr>
        <w:pStyle w:val="BodyText"/>
        <w:spacing w:line="218" w:lineRule="auto" w:before="135"/>
        <w:ind w:right="41"/>
      </w:pPr>
      <w:r>
        <w:rPr>
          <w:color w:val="231F20"/>
        </w:rPr>
        <w:t>Art. 5:66. En cas de cession d’une action non libérée, le cédant et le cessionnaire sont, nonobstant toute disposition contraire, tenus solidai- rement de la libération envers la société et les tiers. En cas de cessions successives, tous les cessionnaires consécutifs sont tenus solidairement.</w:t>
      </w:r>
    </w:p>
    <w:p>
      <w:pPr>
        <w:pStyle w:val="BodyText"/>
        <w:spacing w:before="8"/>
        <w:ind w:left="0" w:right="0" w:firstLine="0"/>
        <w:jc w:val="left"/>
        <w:rPr>
          <w:sz w:val="27"/>
        </w:rPr>
      </w:pPr>
    </w:p>
    <w:p>
      <w:pPr>
        <w:pStyle w:val="BodyText"/>
        <w:spacing w:line="218" w:lineRule="auto"/>
        <w:ind w:right="41"/>
      </w:pPr>
      <w:r>
        <w:rPr>
          <w:color w:val="231F20"/>
        </w:rPr>
        <w:t>Sauf convention contraire, le cédant d’une action non libérée auquel la libération est demandée par la société ou un tiers, peut exercer un recours pour ce qu’il a payé contre le cessionnaire auquel il a cédé ses actions et tout cessionnaire ultérieur.</w:t>
      </w:r>
    </w:p>
    <w:p>
      <w:pPr>
        <w:pStyle w:val="BodyText"/>
        <w:spacing w:before="125"/>
        <w:ind w:left="283" w:right="0" w:firstLine="0"/>
        <w:jc w:val="left"/>
      </w:pPr>
      <w:r>
        <w:rPr>
          <w:color w:val="231F20"/>
        </w:rPr>
        <w:t>Section 3. Restrictions à la cessibilité des titres.</w:t>
      </w:r>
    </w:p>
    <w:p>
      <w:pPr>
        <w:pStyle w:val="BodyText"/>
        <w:spacing w:line="218" w:lineRule="auto" w:before="135"/>
        <w:ind w:right="41"/>
      </w:pPr>
      <w:r>
        <w:rPr>
          <w:color w:val="231F20"/>
        </w:rPr>
        <w:t>Art. 5:67. Les statuts, les conditions d’émission de titres ou des conventions peuvent limiter la cessibilité entre vifs ou la transmissibi- lité à cause de mort des actions, de droits de souscription ou de tous les autres titres donnant accès à des actions. Des conventions ou des conditions d’émission de titres ne peuvent pas assouplir les conditions légales ou statutaires applicables à leur cessibilité.</w:t>
      </w:r>
    </w:p>
    <w:p>
      <w:pPr>
        <w:pStyle w:val="BodyText"/>
        <w:spacing w:before="8"/>
        <w:ind w:left="0" w:right="0" w:firstLine="0"/>
        <w:jc w:val="left"/>
        <w:rPr>
          <w:sz w:val="27"/>
        </w:rPr>
      </w:pPr>
    </w:p>
    <w:p>
      <w:pPr>
        <w:pStyle w:val="BodyText"/>
        <w:spacing w:line="218" w:lineRule="auto"/>
        <w:ind w:right="41"/>
      </w:pPr>
      <w:r>
        <w:rPr>
          <w:color w:val="231F20"/>
        </w:rPr>
        <w:t>Art. 5:68. Les statuts et les conditions d’émission de titres nominatifs ou dématérialisés autres que des actions, des droits de souscription ou des autres titres donnant accès à des actions peuvent limiter la cessibilité entre vifs ou à cause de mort.</w:t>
      </w:r>
    </w:p>
    <w:p>
      <w:pPr>
        <w:pStyle w:val="BodyText"/>
        <w:spacing w:before="5"/>
        <w:ind w:left="0" w:right="0" w:firstLine="0"/>
        <w:jc w:val="left"/>
        <w:rPr>
          <w:sz w:val="26"/>
        </w:rPr>
      </w:pPr>
    </w:p>
    <w:p>
      <w:pPr>
        <w:pStyle w:val="BodyText"/>
        <w:spacing w:line="218" w:lineRule="auto"/>
        <w:ind w:right="41"/>
      </w:pPr>
      <w:r>
        <w:rPr>
          <w:color w:val="231F20"/>
        </w:rPr>
        <w:t>Une cession de titres visés à l’alinéa 1</w:t>
      </w:r>
      <w:r>
        <w:rPr>
          <w:color w:val="231F20"/>
          <w:position w:val="7"/>
          <w:sz w:val="11"/>
        </w:rPr>
        <w:t>er </w:t>
      </w:r>
      <w:r>
        <w:rPr>
          <w:color w:val="231F20"/>
        </w:rPr>
        <w:t>contraire aux restrictions en  la matière figurant dans les statuts ou conditions d’émission publiés régulièrement</w:t>
      </w:r>
      <w:r>
        <w:rPr>
          <w:color w:val="231F20"/>
          <w:spacing w:val="-3"/>
        </w:rPr>
        <w:t> </w:t>
      </w:r>
      <w:r>
        <w:rPr>
          <w:color w:val="231F20"/>
        </w:rPr>
        <w:t>ne</w:t>
      </w:r>
      <w:r>
        <w:rPr>
          <w:color w:val="231F20"/>
          <w:spacing w:val="-3"/>
        </w:rPr>
        <w:t> </w:t>
      </w:r>
      <w:r>
        <w:rPr>
          <w:color w:val="231F20"/>
        </w:rPr>
        <w:t>peut</w:t>
      </w:r>
      <w:r>
        <w:rPr>
          <w:color w:val="231F20"/>
          <w:spacing w:val="-3"/>
        </w:rPr>
        <w:t> </w:t>
      </w:r>
      <w:r>
        <w:rPr>
          <w:color w:val="231F20"/>
        </w:rPr>
        <w:t>être</w:t>
      </w:r>
      <w:r>
        <w:rPr>
          <w:color w:val="231F20"/>
          <w:spacing w:val="-2"/>
        </w:rPr>
        <w:t> </w:t>
      </w:r>
      <w:r>
        <w:rPr>
          <w:color w:val="231F20"/>
        </w:rPr>
        <w:t>opposée</w:t>
      </w:r>
      <w:r>
        <w:rPr>
          <w:color w:val="231F20"/>
          <w:spacing w:val="-3"/>
        </w:rPr>
        <w:t> </w:t>
      </w:r>
      <w:r>
        <w:rPr>
          <w:color w:val="231F20"/>
        </w:rPr>
        <w:t>ni</w:t>
      </w:r>
      <w:r>
        <w:rPr>
          <w:color w:val="231F20"/>
          <w:spacing w:val="-3"/>
        </w:rPr>
        <w:t> </w:t>
      </w:r>
      <w:r>
        <w:rPr>
          <w:color w:val="231F20"/>
        </w:rPr>
        <w:t>à</w:t>
      </w:r>
      <w:r>
        <w:rPr>
          <w:color w:val="231F20"/>
          <w:spacing w:val="-2"/>
        </w:rPr>
        <w:t> </w:t>
      </w:r>
      <w:r>
        <w:rPr>
          <w:color w:val="231F20"/>
        </w:rPr>
        <w:t>la</w:t>
      </w:r>
      <w:r>
        <w:rPr>
          <w:color w:val="231F20"/>
          <w:spacing w:val="-3"/>
        </w:rPr>
        <w:t> </w:t>
      </w:r>
      <w:r>
        <w:rPr>
          <w:color w:val="231F20"/>
        </w:rPr>
        <w:t>société</w:t>
      </w:r>
      <w:r>
        <w:rPr>
          <w:color w:val="231F20"/>
          <w:spacing w:val="-3"/>
        </w:rPr>
        <w:t> </w:t>
      </w:r>
      <w:r>
        <w:rPr>
          <w:color w:val="231F20"/>
        </w:rPr>
        <w:t>ni</w:t>
      </w:r>
      <w:r>
        <w:rPr>
          <w:color w:val="231F20"/>
          <w:spacing w:val="-2"/>
        </w:rPr>
        <w:t> </w:t>
      </w:r>
      <w:r>
        <w:rPr>
          <w:color w:val="231F20"/>
        </w:rPr>
        <w:t>aux</w:t>
      </w:r>
      <w:r>
        <w:rPr>
          <w:color w:val="231F20"/>
          <w:spacing w:val="-3"/>
        </w:rPr>
        <w:t> </w:t>
      </w:r>
      <w:r>
        <w:rPr>
          <w:color w:val="231F20"/>
        </w:rPr>
        <w:t>tiers,</w:t>
      </w:r>
      <w:r>
        <w:rPr>
          <w:color w:val="231F20"/>
          <w:spacing w:val="-3"/>
        </w:rPr>
        <w:t> </w:t>
      </w:r>
      <w:r>
        <w:rPr>
          <w:color w:val="231F20"/>
        </w:rPr>
        <w:t>et</w:t>
      </w:r>
      <w:r>
        <w:rPr>
          <w:color w:val="231F20"/>
          <w:spacing w:val="-2"/>
        </w:rPr>
        <w:t> </w:t>
      </w:r>
      <w:r>
        <w:rPr>
          <w:color w:val="231F20"/>
        </w:rPr>
        <w:t>ce</w:t>
      </w:r>
      <w:r>
        <w:rPr>
          <w:color w:val="231F20"/>
          <w:spacing w:val="-3"/>
        </w:rPr>
        <w:t> </w:t>
      </w:r>
      <w:r>
        <w:rPr>
          <w:color w:val="231F20"/>
        </w:rPr>
        <w:t>dans la mesure prévue dans les conditions d’émission ou les statuts et indépendamment</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bonne</w:t>
      </w:r>
      <w:r>
        <w:rPr>
          <w:color w:val="231F20"/>
          <w:spacing w:val="18"/>
        </w:rPr>
        <w:t> </w:t>
      </w:r>
      <w:r>
        <w:rPr>
          <w:color w:val="231F20"/>
        </w:rPr>
        <w:t>ou</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mauvaise</w:t>
      </w:r>
      <w:r>
        <w:rPr>
          <w:color w:val="231F20"/>
          <w:spacing w:val="19"/>
        </w:rPr>
        <w:t> </w:t>
      </w:r>
      <w:r>
        <w:rPr>
          <w:color w:val="231F20"/>
        </w:rPr>
        <w:t>foi</w:t>
      </w:r>
      <w:r>
        <w:rPr>
          <w:color w:val="231F20"/>
          <w:spacing w:val="19"/>
        </w:rPr>
        <w:t> </w:t>
      </w:r>
      <w:r>
        <w:rPr>
          <w:color w:val="231F20"/>
        </w:rPr>
        <w:t>du</w:t>
      </w:r>
      <w:r>
        <w:rPr>
          <w:color w:val="231F20"/>
          <w:spacing w:val="19"/>
        </w:rPr>
        <w:t> </w:t>
      </w:r>
      <w:r>
        <w:rPr>
          <w:color w:val="231F20"/>
        </w:rPr>
        <w:t>cessionnaire.</w:t>
      </w:r>
    </w:p>
    <w:p>
      <w:pPr>
        <w:pStyle w:val="BodyText"/>
        <w:spacing w:before="4"/>
        <w:ind w:left="0" w:right="0" w:firstLine="0"/>
        <w:jc w:val="left"/>
        <w:rPr>
          <w:sz w:val="26"/>
        </w:rPr>
      </w:pPr>
    </w:p>
    <w:p>
      <w:pPr>
        <w:pStyle w:val="BodyText"/>
        <w:spacing w:line="218" w:lineRule="auto"/>
        <w:ind w:right="41"/>
      </w:pPr>
      <w:r>
        <w:rPr>
          <w:color w:val="231F20"/>
        </w:rPr>
        <w:t>Les conditions d’émission de titres visés à l’alinéa 1</w:t>
      </w:r>
      <w:r>
        <w:rPr>
          <w:color w:val="231F20"/>
          <w:position w:val="7"/>
          <w:sz w:val="11"/>
        </w:rPr>
        <w:t>er </w:t>
      </w:r>
      <w:r>
        <w:rPr>
          <w:color w:val="231F20"/>
        </w:rPr>
        <w:t>sont publiées régulièrement si elles ont été déposées et publiées conformément aux articles 2:8, § 3, et 2:14, 1°, ou figurent dans un prospectus.</w:t>
      </w:r>
    </w:p>
    <w:p>
      <w:pPr>
        <w:pStyle w:val="BodyText"/>
        <w:spacing w:before="5"/>
        <w:ind w:left="0" w:right="0" w:firstLine="0"/>
        <w:jc w:val="left"/>
        <w:rPr>
          <w:sz w:val="26"/>
        </w:rPr>
      </w:pPr>
    </w:p>
    <w:p>
      <w:pPr>
        <w:pStyle w:val="BodyText"/>
        <w:ind w:left="283" w:right="0" w:firstLine="0"/>
        <w:jc w:val="left"/>
      </w:pPr>
      <w:r>
        <w:rPr>
          <w:color w:val="231F20"/>
        </w:rPr>
        <w:t>Section 4. Offre de reprise.</w:t>
      </w:r>
    </w:p>
    <w:p>
      <w:pPr>
        <w:pStyle w:val="BodyText"/>
        <w:spacing w:line="218" w:lineRule="auto" w:before="121"/>
        <w:ind w:right="41"/>
      </w:pPr>
      <w:r>
        <w:rPr>
          <w:color w:val="231F20"/>
        </w:rPr>
        <w:t>Art. 5:69. § 1</w:t>
      </w:r>
      <w:r>
        <w:rPr>
          <w:color w:val="231F20"/>
          <w:position w:val="7"/>
          <w:sz w:val="11"/>
        </w:rPr>
        <w:t>er</w:t>
      </w:r>
      <w:r>
        <w:rPr>
          <w:color w:val="231F20"/>
        </w:rPr>
        <w:t>. </w:t>
      </w:r>
      <w:r>
        <w:rPr>
          <w:color w:val="231F20"/>
          <w:spacing w:val="-4"/>
        </w:rPr>
        <w:t>Toute </w:t>
      </w:r>
      <w:r>
        <w:rPr>
          <w:color w:val="231F20"/>
        </w:rPr>
        <w:t>personne physique ou morale qui, agissant seule ou de concert, détient 95 % des actions avec droit de vote d’une société à responsabilité limitée peut faire une </w:t>
      </w:r>
      <w:r>
        <w:rPr>
          <w:color w:val="231F20"/>
          <w:spacing w:val="-4"/>
        </w:rPr>
        <w:t>offre </w:t>
      </w:r>
      <w:r>
        <w:rPr>
          <w:color w:val="231F20"/>
        </w:rPr>
        <w:t>de reprise afin d’acquérir la totalité des actions avec droit de vote ou des titres</w:t>
      </w:r>
      <w:r>
        <w:rPr>
          <w:color w:val="231F20"/>
          <w:spacing w:val="-12"/>
        </w:rPr>
        <w:t> </w:t>
      </w:r>
      <w:r>
        <w:rPr>
          <w:color w:val="231F20"/>
        </w:rPr>
        <w:t>donnant accès</w:t>
      </w:r>
      <w:r>
        <w:rPr>
          <w:color w:val="231F20"/>
          <w:spacing w:val="15"/>
        </w:rPr>
        <w:t> </w:t>
      </w:r>
      <w:r>
        <w:rPr>
          <w:color w:val="231F20"/>
        </w:rPr>
        <w:t>au</w:t>
      </w:r>
      <w:r>
        <w:rPr>
          <w:color w:val="231F20"/>
          <w:spacing w:val="15"/>
        </w:rPr>
        <w:t> </w:t>
      </w:r>
      <w:r>
        <w:rPr>
          <w:color w:val="231F20"/>
        </w:rPr>
        <w:t>droit</w:t>
      </w:r>
      <w:r>
        <w:rPr>
          <w:color w:val="231F20"/>
          <w:spacing w:val="15"/>
        </w:rPr>
        <w:t> </w:t>
      </w:r>
      <w:r>
        <w:rPr>
          <w:color w:val="231F20"/>
        </w:rPr>
        <w:t>de</w:t>
      </w:r>
      <w:r>
        <w:rPr>
          <w:color w:val="231F20"/>
          <w:spacing w:val="15"/>
        </w:rPr>
        <w:t> </w:t>
      </w:r>
      <w:r>
        <w:rPr>
          <w:color w:val="231F20"/>
        </w:rPr>
        <w:t>vote</w:t>
      </w:r>
      <w:r>
        <w:rPr>
          <w:color w:val="231F20"/>
          <w:spacing w:val="15"/>
        </w:rPr>
        <w:t> </w:t>
      </w:r>
      <w:r>
        <w:rPr>
          <w:color w:val="231F20"/>
        </w:rPr>
        <w:t>de</w:t>
      </w:r>
      <w:r>
        <w:rPr>
          <w:color w:val="231F20"/>
          <w:spacing w:val="15"/>
        </w:rPr>
        <w:t> </w:t>
      </w:r>
      <w:r>
        <w:rPr>
          <w:color w:val="231F20"/>
        </w:rPr>
        <w:t>cette</w:t>
      </w:r>
      <w:r>
        <w:rPr>
          <w:color w:val="231F20"/>
          <w:spacing w:val="15"/>
        </w:rPr>
        <w:t> </w:t>
      </w:r>
      <w:r>
        <w:rPr>
          <w:color w:val="231F20"/>
        </w:rPr>
        <w:t>société.</w:t>
      </w:r>
    </w:p>
    <w:p>
      <w:pPr>
        <w:pStyle w:val="BodyText"/>
        <w:spacing w:before="125"/>
        <w:ind w:left="283" w:right="0" w:firstLine="0"/>
        <w:jc w:val="left"/>
      </w:pPr>
      <w:r>
        <w:rPr>
          <w:color w:val="231F20"/>
        </w:rPr>
        <w:t>On entend par personnes agissant de concert:</w:t>
      </w:r>
    </w:p>
    <w:p>
      <w:pPr>
        <w:pStyle w:val="ListParagraph"/>
        <w:numPr>
          <w:ilvl w:val="0"/>
          <w:numId w:val="96"/>
        </w:numPr>
        <w:tabs>
          <w:tab w:pos="459" w:val="left" w:leader="none"/>
        </w:tabs>
        <w:spacing w:line="218" w:lineRule="auto" w:before="132" w:after="0"/>
        <w:ind w:left="113" w:right="41" w:firstLine="170"/>
        <w:jc w:val="both"/>
        <w:rPr>
          <w:sz w:val="17"/>
        </w:rPr>
      </w:pPr>
      <w:r>
        <w:rPr>
          <w:color w:val="231F20"/>
          <w:sz w:val="17"/>
        </w:rPr>
        <w:t>les personnes physiques ou morales qui coopèrent sur la base d’un accord, formel ou tacite, oral ou écrit, visant à obtenir le contrôle de la société ou à le</w:t>
      </w:r>
      <w:r>
        <w:rPr>
          <w:color w:val="231F20"/>
          <w:spacing w:val="17"/>
          <w:sz w:val="17"/>
        </w:rPr>
        <w:t> </w:t>
      </w:r>
      <w:r>
        <w:rPr>
          <w:color w:val="231F20"/>
          <w:sz w:val="17"/>
        </w:rPr>
        <w:t>maintenir;</w:t>
      </w:r>
    </w:p>
    <w:p>
      <w:pPr>
        <w:pStyle w:val="BodyText"/>
        <w:spacing w:before="5"/>
        <w:ind w:left="0" w:right="0" w:firstLine="0"/>
        <w:jc w:val="left"/>
        <w:rPr>
          <w:sz w:val="27"/>
        </w:rPr>
      </w:pPr>
    </w:p>
    <w:p>
      <w:pPr>
        <w:pStyle w:val="ListParagraph"/>
        <w:numPr>
          <w:ilvl w:val="0"/>
          <w:numId w:val="96"/>
        </w:numPr>
        <w:tabs>
          <w:tab w:pos="503" w:val="left" w:leader="none"/>
        </w:tabs>
        <w:spacing w:line="218" w:lineRule="auto" w:before="1" w:after="0"/>
        <w:ind w:left="113" w:right="41" w:firstLine="170"/>
        <w:jc w:val="both"/>
        <w:rPr>
          <w:sz w:val="17"/>
        </w:rPr>
      </w:pPr>
      <w:r>
        <w:rPr>
          <w:color w:val="231F20"/>
          <w:sz w:val="17"/>
        </w:rPr>
        <w:t>les personnes physiques ou morales qui ont conclu un accord portant sur l’exercice concerté de leurs droits de vote, en vue de mener une</w:t>
      </w:r>
      <w:r>
        <w:rPr>
          <w:color w:val="231F20"/>
          <w:spacing w:val="16"/>
          <w:sz w:val="17"/>
        </w:rPr>
        <w:t> </w:t>
      </w:r>
      <w:r>
        <w:rPr>
          <w:color w:val="231F20"/>
          <w:sz w:val="17"/>
        </w:rPr>
        <w:t>politique</w:t>
      </w:r>
      <w:r>
        <w:rPr>
          <w:color w:val="231F20"/>
          <w:spacing w:val="16"/>
          <w:sz w:val="17"/>
        </w:rPr>
        <w:t> </w:t>
      </w:r>
      <w:r>
        <w:rPr>
          <w:color w:val="231F20"/>
          <w:sz w:val="17"/>
        </w:rPr>
        <w:t>commune</w:t>
      </w:r>
      <w:r>
        <w:rPr>
          <w:color w:val="231F20"/>
          <w:spacing w:val="17"/>
          <w:sz w:val="17"/>
        </w:rPr>
        <w:t> </w:t>
      </w:r>
      <w:r>
        <w:rPr>
          <w:color w:val="231F20"/>
          <w:sz w:val="17"/>
        </w:rPr>
        <w:t>durable</w:t>
      </w:r>
      <w:r>
        <w:rPr>
          <w:color w:val="231F20"/>
          <w:spacing w:val="16"/>
          <w:sz w:val="17"/>
        </w:rPr>
        <w:t> </w:t>
      </w:r>
      <w:r>
        <w:rPr>
          <w:color w:val="231F20"/>
          <w:sz w:val="17"/>
        </w:rPr>
        <w:t>vis-à-vis</w:t>
      </w:r>
      <w:r>
        <w:rPr>
          <w:color w:val="231F20"/>
          <w:spacing w:val="17"/>
          <w:sz w:val="17"/>
        </w:rPr>
        <w:t> </w:t>
      </w:r>
      <w:r>
        <w:rPr>
          <w:color w:val="231F20"/>
          <w:sz w:val="17"/>
        </w:rPr>
        <w:t>de</w:t>
      </w:r>
      <w:r>
        <w:rPr>
          <w:color w:val="231F20"/>
          <w:spacing w:val="16"/>
          <w:sz w:val="17"/>
        </w:rPr>
        <w:t> </w:t>
      </w:r>
      <w:r>
        <w:rPr>
          <w:color w:val="231F20"/>
          <w:sz w:val="17"/>
        </w:rPr>
        <w:t>la</w:t>
      </w:r>
      <w:r>
        <w:rPr>
          <w:color w:val="231F20"/>
          <w:spacing w:val="17"/>
          <w:sz w:val="17"/>
        </w:rPr>
        <w:t> </w:t>
      </w:r>
      <w:r>
        <w:rPr>
          <w:color w:val="231F20"/>
          <w:sz w:val="17"/>
        </w:rPr>
        <w:t>société</w:t>
      </w:r>
      <w:r>
        <w:rPr>
          <w:color w:val="231F20"/>
          <w:spacing w:val="16"/>
          <w:sz w:val="17"/>
        </w:rPr>
        <w:t> </w:t>
      </w:r>
      <w:r>
        <w:rPr>
          <w:color w:val="231F20"/>
          <w:sz w:val="17"/>
        </w:rPr>
        <w:t>concernée.</w:t>
      </w:r>
    </w:p>
    <w:p>
      <w:pPr>
        <w:pStyle w:val="BodyText"/>
        <w:spacing w:before="7"/>
        <w:ind w:left="0" w:right="0" w:firstLine="0"/>
        <w:jc w:val="left"/>
        <w:rPr>
          <w:sz w:val="27"/>
        </w:rPr>
      </w:pPr>
    </w:p>
    <w:p>
      <w:pPr>
        <w:pStyle w:val="BodyText"/>
        <w:spacing w:line="218" w:lineRule="auto" w:before="1"/>
        <w:ind w:right="41"/>
      </w:pPr>
      <w:r>
        <w:rPr>
          <w:color w:val="231F20"/>
        </w:rPr>
        <w:t>À l’exception des titres dont le propriétaire a fait savoir expressément et par écrit qu’il refusait de s’en défaire, à l’issue de la procédure, les titres non proposés sont réputés être cédés de plein droit à la personne qui a fait offre de reprise, avec consignation du prix. Les titres dématérialisés dont le propriétaire a fait savoir qu’il refusait de se défaire sont convertis de plein droit en titres nominatifs et sont inscrits par l’émetteur dans le registre des titres nominatifs.</w:t>
      </w:r>
    </w:p>
    <w:p>
      <w:pPr>
        <w:pStyle w:val="BodyText"/>
        <w:ind w:left="0" w:right="0" w:firstLine="0"/>
        <w:jc w:val="left"/>
        <w:rPr>
          <w:sz w:val="20"/>
        </w:rPr>
      </w:pPr>
    </w:p>
    <w:p>
      <w:pPr>
        <w:pStyle w:val="BodyText"/>
        <w:spacing w:before="9"/>
        <w:ind w:left="0" w:right="0" w:firstLine="0"/>
        <w:jc w:val="left"/>
        <w:rPr>
          <w:sz w:val="21"/>
        </w:rPr>
      </w:pPr>
    </w:p>
    <w:p>
      <w:pPr>
        <w:pStyle w:val="BodyText"/>
        <w:spacing w:line="218" w:lineRule="auto" w:before="1"/>
        <w:ind w:right="38"/>
      </w:pPr>
      <w:r>
        <w:rPr>
          <w:color w:val="231F20"/>
          <w:spacing w:val="-6"/>
        </w:rPr>
        <w:t>L’offre</w:t>
      </w:r>
      <w:r>
        <w:rPr>
          <w:color w:val="231F20"/>
          <w:spacing w:val="-8"/>
        </w:rPr>
        <w:t> </w:t>
      </w:r>
      <w:r>
        <w:rPr>
          <w:color w:val="231F20"/>
        </w:rPr>
        <w:t>visée</w:t>
      </w:r>
      <w:r>
        <w:rPr>
          <w:color w:val="231F20"/>
          <w:spacing w:val="-7"/>
        </w:rPr>
        <w:t> </w:t>
      </w:r>
      <w:r>
        <w:rPr>
          <w:color w:val="231F20"/>
        </w:rPr>
        <w:t>à</w:t>
      </w:r>
      <w:r>
        <w:rPr>
          <w:color w:val="231F20"/>
          <w:spacing w:val="-8"/>
        </w:rPr>
        <w:t> </w:t>
      </w:r>
      <w:r>
        <w:rPr>
          <w:color w:val="231F20"/>
        </w:rPr>
        <w:t>l’alinéa</w:t>
      </w:r>
      <w:r>
        <w:rPr>
          <w:color w:val="231F20"/>
          <w:spacing w:val="-7"/>
        </w:rPr>
        <w:t> </w:t>
      </w:r>
      <w:r>
        <w:rPr>
          <w:color w:val="231F20"/>
        </w:rPr>
        <w:t>1</w:t>
      </w:r>
      <w:r>
        <w:rPr>
          <w:color w:val="231F20"/>
          <w:position w:val="7"/>
          <w:sz w:val="11"/>
        </w:rPr>
        <w:t>er</w:t>
      </w:r>
      <w:r>
        <w:rPr>
          <w:color w:val="231F20"/>
          <w:spacing w:val="-3"/>
          <w:position w:val="7"/>
          <w:sz w:val="11"/>
        </w:rPr>
        <w:t> </w:t>
      </w:r>
      <w:r>
        <w:rPr>
          <w:color w:val="231F20"/>
        </w:rPr>
        <w:t>n’est</w:t>
      </w:r>
      <w:r>
        <w:rPr>
          <w:color w:val="231F20"/>
          <w:spacing w:val="-7"/>
        </w:rPr>
        <w:t> </w:t>
      </w:r>
      <w:r>
        <w:rPr>
          <w:color w:val="231F20"/>
        </w:rPr>
        <w:t>pas</w:t>
      </w:r>
      <w:r>
        <w:rPr>
          <w:color w:val="231F20"/>
          <w:spacing w:val="-8"/>
        </w:rPr>
        <w:t> </w:t>
      </w:r>
      <w:r>
        <w:rPr>
          <w:color w:val="231F20"/>
        </w:rPr>
        <w:t>soumise</w:t>
      </w:r>
      <w:r>
        <w:rPr>
          <w:color w:val="231F20"/>
          <w:spacing w:val="-7"/>
        </w:rPr>
        <w:t> </w:t>
      </w:r>
      <w:r>
        <w:rPr>
          <w:color w:val="231F20"/>
        </w:rPr>
        <w:t>à</w:t>
      </w:r>
      <w:r>
        <w:rPr>
          <w:color w:val="231F20"/>
          <w:spacing w:val="-8"/>
        </w:rPr>
        <w:t> </w:t>
      </w:r>
      <w:r>
        <w:rPr>
          <w:color w:val="231F20"/>
        </w:rPr>
        <w:t>la</w:t>
      </w:r>
      <w:r>
        <w:rPr>
          <w:color w:val="231F20"/>
          <w:spacing w:val="-7"/>
        </w:rPr>
        <w:t> </w:t>
      </w:r>
      <w:r>
        <w:rPr>
          <w:color w:val="231F20"/>
        </w:rPr>
        <w:t>loi</w:t>
      </w:r>
      <w:r>
        <w:rPr>
          <w:color w:val="231F20"/>
          <w:spacing w:val="-8"/>
        </w:rPr>
        <w:t> </w:t>
      </w:r>
      <w:r>
        <w:rPr>
          <w:color w:val="231F20"/>
        </w:rPr>
        <w:t>du</w:t>
      </w:r>
      <w:r>
        <w:rPr>
          <w:color w:val="231F20"/>
          <w:spacing w:val="-7"/>
        </w:rPr>
        <w:t> </w:t>
      </w:r>
      <w:r>
        <w:rPr>
          <w:color w:val="231F20"/>
        </w:rPr>
        <w:t>1</w:t>
      </w:r>
      <w:r>
        <w:rPr>
          <w:color w:val="231F20"/>
          <w:position w:val="7"/>
          <w:sz w:val="11"/>
        </w:rPr>
        <w:t>er</w:t>
      </w:r>
      <w:r>
        <w:rPr>
          <w:color w:val="231F20"/>
          <w:spacing w:val="-2"/>
          <w:position w:val="7"/>
          <w:sz w:val="11"/>
        </w:rPr>
        <w:t> </w:t>
      </w:r>
      <w:r>
        <w:rPr>
          <w:color w:val="231F20"/>
        </w:rPr>
        <w:t>avril</w:t>
      </w:r>
      <w:r>
        <w:rPr>
          <w:color w:val="231F20"/>
          <w:spacing w:val="-8"/>
        </w:rPr>
        <w:t> </w:t>
      </w:r>
      <w:r>
        <w:rPr>
          <w:color w:val="231F20"/>
        </w:rPr>
        <w:t>2007</w:t>
      </w:r>
      <w:r>
        <w:rPr>
          <w:color w:val="231F20"/>
          <w:spacing w:val="-7"/>
        </w:rPr>
        <w:t> </w:t>
      </w:r>
      <w:r>
        <w:rPr>
          <w:color w:val="231F20"/>
          <w:spacing w:val="-3"/>
        </w:rPr>
        <w:t>rela- </w:t>
      </w:r>
      <w:r>
        <w:rPr>
          <w:color w:val="231F20"/>
        </w:rPr>
        <w:t>tive aux </w:t>
      </w:r>
      <w:r>
        <w:rPr>
          <w:color w:val="231F20"/>
          <w:spacing w:val="-3"/>
        </w:rPr>
        <w:t>offres </w:t>
      </w:r>
      <w:r>
        <w:rPr>
          <w:color w:val="231F20"/>
        </w:rPr>
        <w:t>publiques</w:t>
      </w:r>
      <w:r>
        <w:rPr>
          <w:color w:val="231F20"/>
          <w:spacing w:val="28"/>
        </w:rPr>
        <w:t> </w:t>
      </w:r>
      <w:r>
        <w:rPr>
          <w:color w:val="231F20"/>
        </w:rPr>
        <w:t>d’acquisition.</w:t>
      </w:r>
    </w:p>
    <w:p>
      <w:pPr>
        <w:pStyle w:val="BodyText"/>
        <w:spacing w:line="218" w:lineRule="auto" w:before="119"/>
        <w:ind w:firstLine="0"/>
      </w:pPr>
      <w:r>
        <w:rPr/>
        <w:br w:type="column"/>
      </w:r>
      <w:r>
        <w:rPr>
          <w:color w:val="231F20"/>
        </w:rPr>
        <w:t>op de waarde van de overgegane aandelen, naargelang van het geval, ten laste van de aandeelhouders of van de vennootschap die zich tegen de toelating hebben</w:t>
      </w:r>
      <w:r>
        <w:rPr>
          <w:color w:val="231F20"/>
          <w:spacing w:val="4"/>
        </w:rPr>
        <w:t> </w:t>
      </w:r>
      <w:r>
        <w:rPr>
          <w:color w:val="231F20"/>
        </w:rPr>
        <w:t>verzet.</w:t>
      </w:r>
    </w:p>
    <w:p>
      <w:pPr>
        <w:pStyle w:val="BodyText"/>
        <w:spacing w:line="218" w:lineRule="auto" w:before="129"/>
      </w:pPr>
      <w:r>
        <w:rPr>
          <w:color w:val="231F20"/>
        </w:rPr>
        <w:t>De afkoop wordt gevraagd aan het bestuursorgaan van de vennoot- schap, die onmiddellijk een kopie van dit verzoek toezendt aan de aandeelhouders die zich tegen de toelating hebben verzet.</w:t>
      </w:r>
    </w:p>
    <w:p>
      <w:pPr>
        <w:pStyle w:val="BodyText"/>
        <w:spacing w:line="218" w:lineRule="auto" w:before="138"/>
      </w:pPr>
      <w:r>
        <w:rPr>
          <w:color w:val="231F20"/>
        </w:rPr>
        <w:t>Bij gebrek aan overeenstemming tussen partijen of aan statutaire bepalingen stelt de voorzitter van de ondernemingsrechtbank zitting houdend zoals in kort geding op verzoek van de meest gerede partij de prijs en voorwaarden van afkoop vast. De vennootschap en de aandeelhouders die zich tegen de overdracht hebben verzet worden in zake geroepen.</w:t>
      </w:r>
    </w:p>
    <w:p>
      <w:pPr>
        <w:pStyle w:val="BodyText"/>
        <w:spacing w:line="310" w:lineRule="atLeast" w:before="9"/>
        <w:ind w:left="283" w:firstLine="0"/>
        <w:jc w:val="left"/>
      </w:pPr>
      <w:r>
        <w:rPr>
          <w:color w:val="231F20"/>
        </w:rPr>
        <w:t>De bevoegde rechtbank is die van de zetel  van  de  vennootschap. Art.</w:t>
      </w:r>
      <w:r>
        <w:rPr>
          <w:color w:val="231F20"/>
          <w:spacing w:val="27"/>
        </w:rPr>
        <w:t> </w:t>
      </w:r>
      <w:r>
        <w:rPr>
          <w:color w:val="231F20"/>
        </w:rPr>
        <w:t>5:66.</w:t>
      </w:r>
      <w:r>
        <w:rPr>
          <w:color w:val="231F20"/>
          <w:spacing w:val="28"/>
        </w:rPr>
        <w:t> </w:t>
      </w:r>
      <w:r>
        <w:rPr>
          <w:color w:val="231F20"/>
        </w:rPr>
        <w:t>In</w:t>
      </w:r>
      <w:r>
        <w:rPr>
          <w:color w:val="231F20"/>
          <w:spacing w:val="27"/>
        </w:rPr>
        <w:t> </w:t>
      </w:r>
      <w:r>
        <w:rPr>
          <w:color w:val="231F20"/>
        </w:rPr>
        <w:t>geval</w:t>
      </w:r>
      <w:r>
        <w:rPr>
          <w:color w:val="231F20"/>
          <w:spacing w:val="28"/>
        </w:rPr>
        <w:t> </w:t>
      </w:r>
      <w:r>
        <w:rPr>
          <w:color w:val="231F20"/>
        </w:rPr>
        <w:t>van</w:t>
      </w:r>
      <w:r>
        <w:rPr>
          <w:color w:val="231F20"/>
          <w:spacing w:val="27"/>
        </w:rPr>
        <w:t> </w:t>
      </w:r>
      <w:r>
        <w:rPr>
          <w:color w:val="231F20"/>
        </w:rPr>
        <w:t>overdracht</w:t>
      </w:r>
      <w:r>
        <w:rPr>
          <w:color w:val="231F20"/>
          <w:spacing w:val="28"/>
        </w:rPr>
        <w:t> </w:t>
      </w:r>
      <w:r>
        <w:rPr>
          <w:color w:val="231F20"/>
        </w:rPr>
        <w:t>van</w:t>
      </w:r>
      <w:r>
        <w:rPr>
          <w:color w:val="231F20"/>
          <w:spacing w:val="27"/>
        </w:rPr>
        <w:t> </w:t>
      </w:r>
      <w:r>
        <w:rPr>
          <w:color w:val="231F20"/>
        </w:rPr>
        <w:t>een</w:t>
      </w:r>
      <w:r>
        <w:rPr>
          <w:color w:val="231F20"/>
          <w:spacing w:val="28"/>
        </w:rPr>
        <w:t> </w:t>
      </w:r>
      <w:r>
        <w:rPr>
          <w:color w:val="231F20"/>
        </w:rPr>
        <w:t>niet</w:t>
      </w:r>
      <w:r>
        <w:rPr>
          <w:color w:val="231F20"/>
          <w:spacing w:val="27"/>
        </w:rPr>
        <w:t> </w:t>
      </w:r>
      <w:r>
        <w:rPr>
          <w:color w:val="231F20"/>
        </w:rPr>
        <w:t>volgestort</w:t>
      </w:r>
      <w:r>
        <w:rPr>
          <w:color w:val="231F20"/>
          <w:spacing w:val="28"/>
        </w:rPr>
        <w:t> </w:t>
      </w:r>
      <w:r>
        <w:rPr>
          <w:color w:val="231F20"/>
        </w:rPr>
        <w:t>aandeel,</w:t>
      </w:r>
    </w:p>
    <w:p>
      <w:pPr>
        <w:pStyle w:val="BodyText"/>
        <w:spacing w:line="218" w:lineRule="auto" w:before="1"/>
        <w:ind w:firstLine="0"/>
      </w:pPr>
      <w:r>
        <w:rPr>
          <w:color w:val="231F20"/>
        </w:rPr>
        <w:t>zijn de overdrager en de overnemer, niettegenstaande andersluidende bepaling, tegenover de vennootschap en tegenover derden hoofdelijk gehouden tot volstorting. In geval van opeenvolgende  overdrachten zijn</w:t>
      </w:r>
      <w:r>
        <w:rPr>
          <w:color w:val="231F20"/>
          <w:spacing w:val="17"/>
        </w:rPr>
        <w:t> </w:t>
      </w:r>
      <w:r>
        <w:rPr>
          <w:color w:val="231F20"/>
        </w:rPr>
        <w:t>alle</w:t>
      </w:r>
      <w:r>
        <w:rPr>
          <w:color w:val="231F20"/>
          <w:spacing w:val="18"/>
        </w:rPr>
        <w:t> </w:t>
      </w:r>
      <w:r>
        <w:rPr>
          <w:color w:val="231F20"/>
        </w:rPr>
        <w:t>opeenvolgende</w:t>
      </w:r>
      <w:r>
        <w:rPr>
          <w:color w:val="231F20"/>
          <w:spacing w:val="18"/>
        </w:rPr>
        <w:t> </w:t>
      </w:r>
      <w:r>
        <w:rPr>
          <w:color w:val="231F20"/>
        </w:rPr>
        <w:t>overnemers</w:t>
      </w:r>
      <w:r>
        <w:rPr>
          <w:color w:val="231F20"/>
          <w:spacing w:val="17"/>
        </w:rPr>
        <w:t> </w:t>
      </w:r>
      <w:r>
        <w:rPr>
          <w:color w:val="231F20"/>
        </w:rPr>
        <w:t>hoofdelijk</w:t>
      </w:r>
      <w:r>
        <w:rPr>
          <w:color w:val="231F20"/>
          <w:spacing w:val="18"/>
        </w:rPr>
        <w:t> </w:t>
      </w:r>
      <w:r>
        <w:rPr>
          <w:color w:val="231F20"/>
        </w:rPr>
        <w:t>gehouden.</w:t>
      </w:r>
    </w:p>
    <w:p>
      <w:pPr>
        <w:pStyle w:val="BodyText"/>
        <w:spacing w:line="218" w:lineRule="auto" w:before="139"/>
      </w:pPr>
      <w:r>
        <w:rPr>
          <w:color w:val="231F20"/>
          <w:spacing w:val="-3"/>
        </w:rPr>
        <w:t>Tenzij </w:t>
      </w:r>
      <w:r>
        <w:rPr>
          <w:color w:val="231F20"/>
        </w:rPr>
        <w:t>anders is overeengekomen kan de overdrager van een niet volgestort aandeel die door de vennootschap of een derde tot volstorting wordt aangesproken, voor wat hij heeft betaald regres uitoefenen</w:t>
      </w:r>
      <w:r>
        <w:rPr>
          <w:color w:val="231F20"/>
          <w:spacing w:val="17"/>
        </w:rPr>
        <w:t> </w:t>
      </w:r>
      <w:r>
        <w:rPr>
          <w:color w:val="231F20"/>
        </w:rPr>
        <w:t>op</w:t>
      </w:r>
      <w:r>
        <w:rPr>
          <w:color w:val="231F20"/>
          <w:spacing w:val="17"/>
        </w:rPr>
        <w:t> </w:t>
      </w:r>
      <w:r>
        <w:rPr>
          <w:color w:val="231F20"/>
        </w:rPr>
        <w:t>zijn</w:t>
      </w:r>
      <w:r>
        <w:rPr>
          <w:color w:val="231F20"/>
          <w:spacing w:val="17"/>
        </w:rPr>
        <w:t> </w:t>
      </w:r>
      <w:r>
        <w:rPr>
          <w:color w:val="231F20"/>
        </w:rPr>
        <w:t>overnemer</w:t>
      </w:r>
      <w:r>
        <w:rPr>
          <w:color w:val="231F20"/>
          <w:spacing w:val="17"/>
        </w:rPr>
        <w:t> </w:t>
      </w:r>
      <w:r>
        <w:rPr>
          <w:color w:val="231F20"/>
        </w:rPr>
        <w:t>en</w:t>
      </w:r>
      <w:r>
        <w:rPr>
          <w:color w:val="231F20"/>
          <w:spacing w:val="17"/>
        </w:rPr>
        <w:t> </w:t>
      </w:r>
      <w:r>
        <w:rPr>
          <w:color w:val="231F20"/>
        </w:rPr>
        <w:t>op</w:t>
      </w:r>
      <w:r>
        <w:rPr>
          <w:color w:val="231F20"/>
          <w:spacing w:val="17"/>
        </w:rPr>
        <w:t> </w:t>
      </w:r>
      <w:r>
        <w:rPr>
          <w:color w:val="231F20"/>
        </w:rPr>
        <w:t>elk</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latere</w:t>
      </w:r>
      <w:r>
        <w:rPr>
          <w:color w:val="231F20"/>
          <w:spacing w:val="17"/>
        </w:rPr>
        <w:t> </w:t>
      </w:r>
      <w:r>
        <w:rPr>
          <w:color w:val="231F20"/>
        </w:rPr>
        <w:t>overnemers.</w:t>
      </w:r>
    </w:p>
    <w:p>
      <w:pPr>
        <w:pStyle w:val="BodyText"/>
        <w:spacing w:before="125"/>
        <w:ind w:left="283" w:right="0" w:firstLine="0"/>
        <w:jc w:val="left"/>
      </w:pPr>
      <w:r>
        <w:rPr>
          <w:color w:val="231F20"/>
        </w:rPr>
        <w:t>Afdeling 3. Beperkingen op de vrije overdraagbaarheid van effecten.</w:t>
      </w:r>
    </w:p>
    <w:p>
      <w:pPr>
        <w:pStyle w:val="BodyText"/>
        <w:spacing w:line="218" w:lineRule="auto" w:before="135"/>
      </w:pPr>
      <w:r>
        <w:rPr>
          <w:color w:val="231F20"/>
        </w:rPr>
        <w:t>Art. 5:67. De statuten, de uitgiftevoorwaarden van effecten of overeenkomsten kunnen perken stellen aan de overdraagbaarheid, onder de levenden of bij overlijden, van aandelen, van inschrijvings- rechten of van alle andere effecten die toegang geven tot aandelen. Overeenkomsten of de uitgiftevoorwaarden van effecten mogen de wettelijke of statutaire voorwaarden voor hun overdracht niet versoe- pelen.</w:t>
      </w:r>
    </w:p>
    <w:p>
      <w:pPr>
        <w:pStyle w:val="BodyText"/>
        <w:spacing w:line="218" w:lineRule="auto" w:before="139"/>
        <w:ind w:right="123"/>
      </w:pPr>
      <w:r>
        <w:rPr>
          <w:color w:val="231F20"/>
        </w:rPr>
        <w:t>Art. 5:68. De statuten en de uitgiftevoorwaarden van effecten op naam of in gedematerialiseerde vorm, andere dan aandelen, inschrij- vingsrechten of andere effecten die toegang geven tot aandelen, kunnen perken stellen aan de overdraagbaarheid, onder de levenden of bij overlijden.</w:t>
      </w:r>
    </w:p>
    <w:p>
      <w:pPr>
        <w:pStyle w:val="BodyText"/>
        <w:spacing w:line="218" w:lineRule="auto" w:before="139"/>
      </w:pPr>
      <w:r>
        <w:rPr>
          <w:color w:val="231F20"/>
        </w:rPr>
        <w:t>Een overdracht van effecten bedoeld in het eerste lid in strijd met overdrachtsbeperkingen die in regelmatig openbaar gemaakte statuten of uitgiftevoorwaarden zijn opgenomen, kan aan de vennootschap of derden niet worden tegengeworpen, en dit in de mate bepaald in de uitgiftevoorwaarden of statuten en ongeacht de goede of kwader trouw van de overnemer.</w:t>
      </w:r>
    </w:p>
    <w:p>
      <w:pPr>
        <w:pStyle w:val="BodyText"/>
        <w:spacing w:line="218" w:lineRule="auto" w:before="139"/>
      </w:pPr>
      <w:r>
        <w:rPr>
          <w:color w:val="231F20"/>
        </w:rPr>
        <w:t>De uitgiftevoorwaarden van effecten bedoeld in het eerste lid zijn regelmatig openbaar gemaakt indien ze werden neergelegd en bekend- gemaakt overeenkomstig de artikelen 2:8, § 3, en 2:14, 1°, of zijn opgenomen in een</w:t>
      </w:r>
      <w:r>
        <w:rPr>
          <w:color w:val="231F20"/>
          <w:spacing w:val="4"/>
        </w:rPr>
        <w:t> </w:t>
      </w:r>
      <w:r>
        <w:rPr>
          <w:color w:val="231F20"/>
        </w:rPr>
        <w:t>prospectus.</w:t>
      </w:r>
    </w:p>
    <w:p>
      <w:pPr>
        <w:pStyle w:val="BodyText"/>
        <w:spacing w:before="125"/>
        <w:ind w:left="283" w:right="0" w:firstLine="0"/>
        <w:jc w:val="left"/>
      </w:pPr>
      <w:r>
        <w:rPr>
          <w:color w:val="231F20"/>
        </w:rPr>
        <w:t>Afdeling  4.  Het uitkoopbod.</w:t>
      </w:r>
    </w:p>
    <w:p>
      <w:pPr>
        <w:pStyle w:val="BodyText"/>
        <w:spacing w:line="218" w:lineRule="auto" w:before="135"/>
      </w:pPr>
      <w:r>
        <w:rPr>
          <w:color w:val="231F20"/>
        </w:rPr>
        <w:t>Art. 5:69. § 1. Iedere natuurlijke persoon of iedere rechtspersoon die, alleen of in onderling overleg handelend, 95 % van de aandelen met stemrecht van een besloten vennootschap bezit, kan een uitkoopbod doen om het geheel van de aandelen met stemrecht of de effecten die toegang geven tot stemrecht van deze vennootschap te verkrijgen.</w:t>
      </w:r>
    </w:p>
    <w:p>
      <w:pPr>
        <w:pStyle w:val="BodyText"/>
        <w:spacing w:before="125"/>
        <w:ind w:left="283" w:right="0" w:firstLine="0"/>
        <w:jc w:val="left"/>
      </w:pPr>
      <w:r>
        <w:rPr>
          <w:color w:val="231F20"/>
        </w:rPr>
        <w:t>Onder personen die in onderling overleg handelen wordt verstaan:</w:t>
      </w:r>
    </w:p>
    <w:p>
      <w:pPr>
        <w:pStyle w:val="ListParagraph"/>
        <w:numPr>
          <w:ilvl w:val="0"/>
          <w:numId w:val="97"/>
        </w:numPr>
        <w:tabs>
          <w:tab w:pos="488" w:val="left" w:leader="none"/>
        </w:tabs>
        <w:spacing w:line="218" w:lineRule="auto" w:before="133" w:after="0"/>
        <w:ind w:left="113" w:right="124" w:firstLine="170"/>
        <w:jc w:val="both"/>
        <w:rPr>
          <w:sz w:val="17"/>
        </w:rPr>
      </w:pPr>
      <w:r>
        <w:rPr>
          <w:color w:val="231F20"/>
          <w:sz w:val="17"/>
        </w:rPr>
        <w:t>de natuurlijke personen of rechtspersonen die samenwerken op grond van een uitdrukkelijk of stilzwijgend, mondeling of schriftelijk akkoord dat ertoe strekt de controle over de vennootschap te verkrijgen dan wel te</w:t>
      </w:r>
      <w:r>
        <w:rPr>
          <w:color w:val="231F20"/>
          <w:spacing w:val="5"/>
          <w:sz w:val="17"/>
        </w:rPr>
        <w:t> </w:t>
      </w:r>
      <w:r>
        <w:rPr>
          <w:color w:val="231F20"/>
          <w:sz w:val="17"/>
        </w:rPr>
        <w:t>handhaven;</w:t>
      </w:r>
    </w:p>
    <w:p>
      <w:pPr>
        <w:pStyle w:val="ListParagraph"/>
        <w:numPr>
          <w:ilvl w:val="0"/>
          <w:numId w:val="97"/>
        </w:numPr>
        <w:tabs>
          <w:tab w:pos="462" w:val="left" w:leader="none"/>
        </w:tabs>
        <w:spacing w:line="218" w:lineRule="auto" w:before="136" w:after="0"/>
        <w:ind w:left="113" w:right="124" w:firstLine="170"/>
        <w:jc w:val="both"/>
        <w:rPr>
          <w:sz w:val="17"/>
        </w:rPr>
      </w:pPr>
      <w:r>
        <w:rPr>
          <w:color w:val="231F20"/>
          <w:sz w:val="17"/>
        </w:rPr>
        <w:t>de natuurlijke personen of rechtspersonen die een akkoord hebben gesloten aangaande de onderling afgestemde uitoefening van hun stemrechten, om een duurzaam gemeenschappelijk beleid ten aanzien van</w:t>
      </w:r>
      <w:r>
        <w:rPr>
          <w:color w:val="231F20"/>
          <w:spacing w:val="15"/>
          <w:sz w:val="17"/>
        </w:rPr>
        <w:t> </w:t>
      </w:r>
      <w:r>
        <w:rPr>
          <w:color w:val="231F20"/>
          <w:sz w:val="17"/>
        </w:rPr>
        <w:t>de</w:t>
      </w:r>
      <w:r>
        <w:rPr>
          <w:color w:val="231F20"/>
          <w:spacing w:val="16"/>
          <w:sz w:val="17"/>
        </w:rPr>
        <w:t> </w:t>
      </w:r>
      <w:r>
        <w:rPr>
          <w:color w:val="231F20"/>
          <w:sz w:val="17"/>
        </w:rPr>
        <w:t>betrokken</w:t>
      </w:r>
      <w:r>
        <w:rPr>
          <w:color w:val="231F20"/>
          <w:spacing w:val="15"/>
          <w:sz w:val="17"/>
        </w:rPr>
        <w:t> </w:t>
      </w:r>
      <w:r>
        <w:rPr>
          <w:color w:val="231F20"/>
          <w:sz w:val="17"/>
        </w:rPr>
        <w:t>vennootschap</w:t>
      </w:r>
      <w:r>
        <w:rPr>
          <w:color w:val="231F20"/>
          <w:spacing w:val="16"/>
          <w:sz w:val="17"/>
        </w:rPr>
        <w:t> </w:t>
      </w:r>
      <w:r>
        <w:rPr>
          <w:color w:val="231F20"/>
          <w:sz w:val="17"/>
        </w:rPr>
        <w:t>te</w:t>
      </w:r>
      <w:r>
        <w:rPr>
          <w:color w:val="231F20"/>
          <w:spacing w:val="15"/>
          <w:sz w:val="17"/>
        </w:rPr>
        <w:t> </w:t>
      </w:r>
      <w:r>
        <w:rPr>
          <w:color w:val="231F20"/>
          <w:sz w:val="17"/>
        </w:rPr>
        <w:t>voeren.</w:t>
      </w:r>
    </w:p>
    <w:p>
      <w:pPr>
        <w:pStyle w:val="BodyText"/>
        <w:spacing w:line="218" w:lineRule="auto" w:before="139"/>
        <w:ind w:right="123"/>
      </w:pPr>
      <w:r>
        <w:rPr>
          <w:color w:val="231F20"/>
        </w:rPr>
        <w:t>Met uitzondering van de effecten waarvan de eigenaar uitdrukkelijk en schriftelijk te kennen heeft gegeven dat hij geen afstand ervan wenst te doen, worden de niet-aangeboden effecten na afloop van de procedure geacht van rechtswege op de persoon die een uitkoopbod gedaan heeft te zijn overgegaan met consignatie van de prijs. De gedematerialiseerde effecten waarvan de eigenaar te kennen heeft gegeven dat hij er geen afstand van wenst te doen, worden van rechtswege omgezet in effecten op naam en worden door de emittent ingeschreven in het register van de effecten op naam.</w:t>
      </w:r>
    </w:p>
    <w:p>
      <w:pPr>
        <w:pStyle w:val="BodyText"/>
        <w:spacing w:line="218" w:lineRule="auto" w:before="139"/>
      </w:pPr>
      <w:r>
        <w:rPr>
          <w:color w:val="231F20"/>
        </w:rPr>
        <w:t>Het in het eerste lid van deze paragraaf bedoelde bod is niet onderworpen aan de wet van 1 april 2007 op de openbare overname- biedingen.</w:t>
      </w:r>
    </w:p>
    <w:p>
      <w:pPr>
        <w:spacing w:after="0" w:line="218" w:lineRule="auto"/>
        <w:sectPr>
          <w:pgSz w:w="11940" w:h="16880"/>
          <w:pgMar w:header="666" w:footer="0" w:top="1140" w:bottom="280" w:left="340" w:right="360"/>
          <w:cols w:num="2" w:equalWidth="0">
            <w:col w:w="5530" w:space="97"/>
            <w:col w:w="5613"/>
          </w:cols>
        </w:sectPr>
      </w:pPr>
    </w:p>
    <w:p>
      <w:pPr>
        <w:pStyle w:val="BodyText"/>
        <w:spacing w:line="218" w:lineRule="auto" w:before="105"/>
        <w:ind w:right="38"/>
      </w:pPr>
      <w:r>
        <w:rPr/>
        <w:pict>
          <v:line style="position:absolute;mso-position-horizontal-relative:page;mso-position-vertical-relative:page;z-index:3448" from="298.170502pt,64.473pt" to="298.170502pt,812.819pt" stroked="true" strokeweight=".533pt" strokecolor="#231f20">
            <v:stroke dashstyle="solid"/>
            <w10:wrap type="none"/>
          </v:line>
        </w:pict>
      </w:r>
      <w:bookmarkStart w:name="_bookmark101" w:id="106"/>
      <w:bookmarkEnd w:id="106"/>
      <w:r>
        <w:rPr/>
      </w:r>
      <w:r>
        <w:rPr>
          <w:color w:val="231F20"/>
        </w:rPr>
        <w:t>§ 2. Le Roi peut réglementer l’offre de reprise visée au paragraphe 1</w:t>
      </w:r>
      <w:r>
        <w:rPr>
          <w:color w:val="231F20"/>
          <w:position w:val="7"/>
          <w:sz w:val="11"/>
        </w:rPr>
        <w:t>er</w:t>
      </w:r>
      <w:r>
        <w:rPr>
          <w:color w:val="231F20"/>
        </w:rPr>
        <w:t>, et notamment déterminer la procédure à suivre et les modalités de fixation du prix de l’offre de reprise. À cette fin, Il veille à assurer l’information et l’égalité de traitement des titulaires de titres.</w:t>
      </w:r>
    </w:p>
    <w:p>
      <w:pPr>
        <w:pStyle w:val="BodyText"/>
        <w:spacing w:before="10"/>
        <w:ind w:left="0" w:right="0" w:firstLine="0"/>
        <w:jc w:val="left"/>
        <w:rPr>
          <w:sz w:val="23"/>
        </w:rPr>
      </w:pPr>
    </w:p>
    <w:p>
      <w:pPr>
        <w:pStyle w:val="BodyText"/>
        <w:spacing w:line="218" w:lineRule="auto"/>
        <w:ind w:right="38"/>
      </w:pPr>
      <w:r>
        <w:rPr>
          <w:color w:val="231F20"/>
        </w:rPr>
        <w:t>§ 3. L’extrait de la décision judiciaire passée en force de chose jugée ou exécutoire par provision se prononçant sur les conditions d’une </w:t>
      </w:r>
      <w:r>
        <w:rPr>
          <w:color w:val="231F20"/>
          <w:spacing w:val="-4"/>
        </w:rPr>
        <w:t>offre </w:t>
      </w:r>
      <w:r>
        <w:rPr>
          <w:color w:val="231F20"/>
        </w:rPr>
        <w:t>de</w:t>
      </w:r>
      <w:r>
        <w:rPr>
          <w:color w:val="231F20"/>
          <w:spacing w:val="-7"/>
        </w:rPr>
        <w:t> </w:t>
      </w:r>
      <w:r>
        <w:rPr>
          <w:color w:val="231F20"/>
        </w:rPr>
        <w:t>reprise</w:t>
      </w:r>
      <w:r>
        <w:rPr>
          <w:color w:val="231F20"/>
          <w:spacing w:val="-6"/>
        </w:rPr>
        <w:t> </w:t>
      </w:r>
      <w:r>
        <w:rPr>
          <w:color w:val="231F20"/>
        </w:rPr>
        <w:t>est</w:t>
      </w:r>
      <w:r>
        <w:rPr>
          <w:color w:val="231F20"/>
          <w:spacing w:val="-6"/>
        </w:rPr>
        <w:t> </w:t>
      </w:r>
      <w:r>
        <w:rPr>
          <w:color w:val="231F20"/>
        </w:rPr>
        <w:t>déposé</w:t>
      </w:r>
      <w:r>
        <w:rPr>
          <w:color w:val="231F20"/>
          <w:spacing w:val="-6"/>
        </w:rPr>
        <w:t> </w:t>
      </w:r>
      <w:r>
        <w:rPr>
          <w:color w:val="231F20"/>
        </w:rPr>
        <w:t>et</w:t>
      </w:r>
      <w:r>
        <w:rPr>
          <w:color w:val="231F20"/>
          <w:spacing w:val="-6"/>
        </w:rPr>
        <w:t> </w:t>
      </w:r>
      <w:r>
        <w:rPr>
          <w:color w:val="231F20"/>
        </w:rPr>
        <w:t>publié</w:t>
      </w:r>
      <w:r>
        <w:rPr>
          <w:color w:val="231F20"/>
          <w:spacing w:val="-6"/>
        </w:rPr>
        <w:t> </w:t>
      </w:r>
      <w:r>
        <w:rPr>
          <w:color w:val="231F20"/>
        </w:rPr>
        <w:t>conformément</w:t>
      </w:r>
      <w:r>
        <w:rPr>
          <w:color w:val="231F20"/>
          <w:spacing w:val="-6"/>
        </w:rPr>
        <w:t> </w:t>
      </w:r>
      <w:r>
        <w:rPr>
          <w:color w:val="231F20"/>
        </w:rPr>
        <w:t>aux</w:t>
      </w:r>
      <w:r>
        <w:rPr>
          <w:color w:val="231F20"/>
          <w:spacing w:val="-6"/>
        </w:rPr>
        <w:t> </w:t>
      </w:r>
      <w:r>
        <w:rPr>
          <w:color w:val="231F20"/>
        </w:rPr>
        <w:t>articles</w:t>
      </w:r>
      <w:r>
        <w:rPr>
          <w:color w:val="231F20"/>
          <w:spacing w:val="-7"/>
        </w:rPr>
        <w:t> </w:t>
      </w:r>
      <w:r>
        <w:rPr>
          <w:color w:val="231F20"/>
        </w:rPr>
        <w:t>2:8</w:t>
      </w:r>
      <w:r>
        <w:rPr>
          <w:color w:val="231F20"/>
          <w:spacing w:val="-6"/>
        </w:rPr>
        <w:t> </w:t>
      </w:r>
      <w:r>
        <w:rPr>
          <w:color w:val="231F20"/>
        </w:rPr>
        <w:t>et</w:t>
      </w:r>
      <w:r>
        <w:rPr>
          <w:color w:val="231F20"/>
          <w:spacing w:val="-6"/>
        </w:rPr>
        <w:t> </w:t>
      </w:r>
      <w:r>
        <w:rPr>
          <w:color w:val="231F20"/>
        </w:rPr>
        <w:t>2:14,</w:t>
      </w:r>
      <w:r>
        <w:rPr>
          <w:color w:val="231F20"/>
          <w:spacing w:val="-6"/>
        </w:rPr>
        <w:t> </w:t>
      </w:r>
      <w:r>
        <w:rPr>
          <w:color w:val="231F20"/>
        </w:rPr>
        <w:t>4°.</w:t>
      </w:r>
    </w:p>
    <w:p>
      <w:pPr>
        <w:pStyle w:val="BodyText"/>
        <w:spacing w:line="440" w:lineRule="atLeast" w:before="11"/>
        <w:ind w:left="283" w:right="-15" w:hanging="1"/>
        <w:jc w:val="left"/>
      </w:pPr>
      <w:r>
        <w:rPr>
          <w:color w:val="231F20"/>
        </w:rPr>
        <w:t>TITRE 4. Organes de la société et assemblée générale des obligataires. CHAPITRE 1</w:t>
      </w:r>
      <w:r>
        <w:rPr>
          <w:color w:val="231F20"/>
          <w:position w:val="7"/>
          <w:sz w:val="11"/>
        </w:rPr>
        <w:t>er</w:t>
      </w:r>
      <w:r>
        <w:rPr>
          <w:color w:val="231F20"/>
        </w:rPr>
        <w:t>. Administration.</w:t>
      </w:r>
    </w:p>
    <w:p>
      <w:pPr>
        <w:pStyle w:val="BodyText"/>
        <w:spacing w:before="72"/>
        <w:ind w:left="283" w:right="0" w:firstLine="0"/>
        <w:jc w:val="left"/>
      </w:pPr>
      <w:r>
        <w:rPr>
          <w:color w:val="231F20"/>
        </w:rPr>
        <w:t>Section 1</w:t>
      </w:r>
      <w:r>
        <w:rPr>
          <w:color w:val="231F20"/>
          <w:position w:val="7"/>
          <w:sz w:val="11"/>
        </w:rPr>
        <w:t>re</w:t>
      </w:r>
      <w:r>
        <w:rPr>
          <w:color w:val="231F20"/>
        </w:rPr>
        <w:t>. Composition</w:t>
      </w:r>
    </w:p>
    <w:p>
      <w:pPr>
        <w:pStyle w:val="BodyText"/>
        <w:spacing w:line="218" w:lineRule="auto" w:before="77"/>
        <w:ind w:right="38"/>
      </w:pPr>
      <w:r>
        <w:rPr>
          <w:color w:val="231F20"/>
        </w:rPr>
        <w:t>Art. 5:70. § 1</w:t>
      </w:r>
      <w:r>
        <w:rPr>
          <w:color w:val="231F20"/>
          <w:position w:val="7"/>
          <w:sz w:val="11"/>
        </w:rPr>
        <w:t>er</w:t>
      </w:r>
      <w:r>
        <w:rPr>
          <w:color w:val="231F20"/>
        </w:rPr>
        <w:t>. La société est administrée par un ou plusieurs administrateurs constituant un collège ou non, qui sont des personnes physiques ou morales.</w:t>
      </w:r>
    </w:p>
    <w:p>
      <w:pPr>
        <w:pStyle w:val="BodyText"/>
        <w:spacing w:line="218" w:lineRule="auto" w:before="97"/>
        <w:ind w:right="38"/>
      </w:pPr>
      <w:r>
        <w:rPr>
          <w:color w:val="231F20"/>
        </w:rPr>
        <w:t>Les administrateurs ne peuvent en cette qualité être liés à la société par un contrat de travail.</w:t>
      </w:r>
    </w:p>
    <w:p>
      <w:pPr>
        <w:pStyle w:val="BodyText"/>
        <w:spacing w:line="218" w:lineRule="auto" w:before="106"/>
        <w:ind w:right="38"/>
      </w:pPr>
      <w:r>
        <w:rPr>
          <w:color w:val="231F20"/>
        </w:rPr>
        <w:t>§ 2. Les administrateurs sont nommés par l’assemblée générale des actionnaires pour une durée déterminée ou indéterminée; ils sont désignés pour la première fois dans l’acte constitutif.</w:t>
      </w:r>
    </w:p>
    <w:p>
      <w:pPr>
        <w:pStyle w:val="BodyText"/>
        <w:spacing w:line="218" w:lineRule="auto" w:before="107"/>
        <w:ind w:right="38"/>
      </w:pPr>
      <w:r>
        <w:rPr>
          <w:color w:val="231F20"/>
        </w:rPr>
        <w:t>Sauf disposition statutaire contraire ou à moins que l’assemblée générale n’en décide autrement lors de la nomination, le mandat d’un administrateur nommé pour une durée déterminée court de l’assem- blée générale qui l’a nommé jusqu’à l’assemblée générale ordinaire ayant lieu dans l’année comptable durant laquelle son mandat prend  fin</w:t>
      </w:r>
      <w:r>
        <w:rPr>
          <w:color w:val="231F20"/>
          <w:spacing w:val="14"/>
        </w:rPr>
        <w:t> </w:t>
      </w:r>
      <w:r>
        <w:rPr>
          <w:color w:val="231F20"/>
        </w:rPr>
        <w:t>selon</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de</w:t>
      </w:r>
      <w:r>
        <w:rPr>
          <w:color w:val="231F20"/>
          <w:spacing w:val="15"/>
        </w:rPr>
        <w:t> </w:t>
      </w:r>
      <w:r>
        <w:rPr>
          <w:color w:val="231F20"/>
        </w:rPr>
        <w:t>nomination.</w:t>
      </w:r>
    </w:p>
    <w:p>
      <w:pPr>
        <w:pStyle w:val="BodyText"/>
        <w:spacing w:before="93"/>
        <w:ind w:left="283" w:right="0" w:firstLine="0"/>
        <w:jc w:val="left"/>
      </w:pPr>
      <w:r>
        <w:rPr>
          <w:color w:val="231F20"/>
        </w:rPr>
        <w:t>Les administrateurs peuvent aussi être nommés dans les statuts.</w:t>
      </w:r>
    </w:p>
    <w:p>
      <w:pPr>
        <w:pStyle w:val="BodyText"/>
        <w:spacing w:line="218" w:lineRule="auto" w:before="104"/>
        <w:ind w:right="38"/>
      </w:pPr>
      <w:r>
        <w:rPr>
          <w:color w:val="231F20"/>
        </w:rPr>
        <w:t>§ 3. La révocation d’un administrateur nommé dans les statuts requiert une modification de ceux-ci.</w:t>
      </w:r>
    </w:p>
    <w:p>
      <w:pPr>
        <w:pStyle w:val="BodyText"/>
        <w:spacing w:line="218" w:lineRule="auto" w:before="106"/>
        <w:ind w:right="38"/>
      </w:pPr>
      <w:r>
        <w:rPr>
          <w:color w:val="231F20"/>
        </w:rPr>
        <w:t>Sauf disposition contraire des statuts ou à moins que l’assemblée générale n’en décide autrement lors de la nomination, l’assemblée générale peut mettre un terme à tout moment, avec effet immédiat et sans motif, au mandat des administrateurs qui ne sont pas nommés dans les statuts.</w:t>
      </w:r>
    </w:p>
    <w:p>
      <w:pPr>
        <w:pStyle w:val="BodyText"/>
        <w:spacing w:line="218" w:lineRule="auto" w:before="107"/>
        <w:ind w:right="38"/>
      </w:pPr>
      <w:r>
        <w:rPr>
          <w:color w:val="231F20"/>
        </w:rPr>
        <w:t>Sauf disposition statutaire contraire, l’assemblée générale peut toutefois dans tous les cas fixer, au moment de la révocation, la date à laquelle le mandat d’administrateur prendra fin ou octroyer une indemnité de départ.</w:t>
      </w:r>
    </w:p>
    <w:p>
      <w:pPr>
        <w:pStyle w:val="BodyText"/>
        <w:spacing w:line="218" w:lineRule="auto" w:before="107"/>
        <w:ind w:right="38"/>
      </w:pPr>
      <w:r>
        <w:rPr>
          <w:color w:val="231F20"/>
        </w:rPr>
        <w:t>L’assemblée générale peut en toute hypothèse mettre fin au mandat d’un administrateur, nommé ou non dans les statuts, pour de justes motifs, sans préavis ni indemnité.</w:t>
      </w:r>
    </w:p>
    <w:p>
      <w:pPr>
        <w:pStyle w:val="BodyText"/>
        <w:spacing w:line="218" w:lineRule="auto" w:before="107"/>
        <w:ind w:right="38"/>
      </w:pPr>
      <w:r>
        <w:rPr>
          <w:color w:val="231F20"/>
        </w:rPr>
        <w:t>§ 4. </w:t>
      </w:r>
      <w:r>
        <w:rPr>
          <w:color w:val="231F20"/>
          <w:spacing w:val="-4"/>
        </w:rPr>
        <w:t>Tout </w:t>
      </w:r>
      <w:r>
        <w:rPr>
          <w:color w:val="231F20"/>
        </w:rPr>
        <w:t>administrateur peut démissionner par simple notification à l’organe d’administration. À la demande de la société, il reste en fonction jusqu’à ce que la société puisse raisonnablement pourvoir à son</w:t>
      </w:r>
      <w:r>
        <w:rPr>
          <w:color w:val="231F20"/>
          <w:spacing w:val="-6"/>
        </w:rPr>
        <w:t> </w:t>
      </w:r>
      <w:r>
        <w:rPr>
          <w:color w:val="231F20"/>
        </w:rPr>
        <w:t>remplacement.</w:t>
      </w:r>
      <w:r>
        <w:rPr>
          <w:color w:val="231F20"/>
          <w:spacing w:val="-5"/>
        </w:rPr>
        <w:t> </w:t>
      </w:r>
      <w:r>
        <w:rPr>
          <w:color w:val="231F20"/>
        </w:rPr>
        <w:t>Il</w:t>
      </w:r>
      <w:r>
        <w:rPr>
          <w:color w:val="231F20"/>
          <w:spacing w:val="-5"/>
        </w:rPr>
        <w:t> </w:t>
      </w:r>
      <w:r>
        <w:rPr>
          <w:color w:val="231F20"/>
        </w:rPr>
        <w:t>peut</w:t>
      </w:r>
      <w:r>
        <w:rPr>
          <w:color w:val="231F20"/>
          <w:spacing w:val="-5"/>
        </w:rPr>
        <w:t> </w:t>
      </w:r>
      <w:r>
        <w:rPr>
          <w:color w:val="231F20"/>
        </w:rPr>
        <w:t>lui-même</w:t>
      </w:r>
      <w:r>
        <w:rPr>
          <w:color w:val="231F20"/>
          <w:spacing w:val="-5"/>
        </w:rPr>
        <w:t> </w:t>
      </w:r>
      <w:r>
        <w:rPr>
          <w:color w:val="231F20"/>
        </w:rPr>
        <w:t>faire</w:t>
      </w:r>
      <w:r>
        <w:rPr>
          <w:color w:val="231F20"/>
          <w:spacing w:val="-5"/>
        </w:rPr>
        <w:t> </w:t>
      </w:r>
      <w:r>
        <w:rPr>
          <w:color w:val="231F20"/>
        </w:rPr>
        <w:t>tout</w:t>
      </w:r>
      <w:r>
        <w:rPr>
          <w:color w:val="231F20"/>
          <w:spacing w:val="-5"/>
        </w:rPr>
        <w:t> </w:t>
      </w:r>
      <w:r>
        <w:rPr>
          <w:color w:val="231F20"/>
        </w:rPr>
        <w:t>ce</w:t>
      </w:r>
      <w:r>
        <w:rPr>
          <w:color w:val="231F20"/>
          <w:spacing w:val="-5"/>
        </w:rPr>
        <w:t> </w:t>
      </w:r>
      <w:r>
        <w:rPr>
          <w:color w:val="231F20"/>
        </w:rPr>
        <w:t>qui</w:t>
      </w:r>
      <w:r>
        <w:rPr>
          <w:color w:val="231F20"/>
          <w:spacing w:val="-5"/>
        </w:rPr>
        <w:t> </w:t>
      </w:r>
      <w:r>
        <w:rPr>
          <w:color w:val="231F20"/>
        </w:rPr>
        <w:t>est</w:t>
      </w:r>
      <w:r>
        <w:rPr>
          <w:color w:val="231F20"/>
          <w:spacing w:val="-5"/>
        </w:rPr>
        <w:t> </w:t>
      </w:r>
      <w:r>
        <w:rPr>
          <w:color w:val="231F20"/>
        </w:rPr>
        <w:t>nécessaire</w:t>
      </w:r>
      <w:r>
        <w:rPr>
          <w:color w:val="231F20"/>
          <w:spacing w:val="-6"/>
        </w:rPr>
        <w:t> </w:t>
      </w:r>
      <w:r>
        <w:rPr>
          <w:color w:val="231F20"/>
        </w:rPr>
        <w:t>pour rendre la fin de son mandat opposable aux tiers aux conditions prévues à l’article</w:t>
      </w:r>
      <w:r>
        <w:rPr>
          <w:color w:val="231F20"/>
          <w:spacing w:val="-12"/>
        </w:rPr>
        <w:t> </w:t>
      </w:r>
      <w:r>
        <w:rPr>
          <w:color w:val="231F20"/>
        </w:rPr>
        <w:t>2:18.</w:t>
      </w:r>
    </w:p>
    <w:p>
      <w:pPr>
        <w:pStyle w:val="BodyText"/>
        <w:spacing w:line="213" w:lineRule="auto" w:before="110"/>
        <w:ind w:right="38"/>
      </w:pPr>
      <w:r>
        <w:rPr>
          <w:color w:val="231F20"/>
        </w:rPr>
        <w:t>Art. 5:71. Lorsque les administrateurs constituent un organe collégial au sens de l’article 5:73, § 1</w:t>
      </w:r>
      <w:r>
        <w:rPr>
          <w:color w:val="231F20"/>
          <w:position w:val="7"/>
          <w:sz w:val="11"/>
        </w:rPr>
        <w:t>er</w:t>
      </w:r>
      <w:r>
        <w:rPr>
          <w:color w:val="231F20"/>
        </w:rPr>
        <w:t>, et que la place d’un administrateur devient vacante avant la fin de son mandat, les administrateurs restants ont le droit de coopter un nouvel administrateur, sauf si les statuts l’excluent.</w:t>
      </w:r>
    </w:p>
    <w:p>
      <w:pPr>
        <w:pStyle w:val="BodyText"/>
        <w:spacing w:line="218" w:lineRule="auto" w:before="109"/>
        <w:ind w:right="38"/>
      </w:pPr>
      <w:r>
        <w:rPr>
          <w:color w:val="231F20"/>
        </w:rPr>
        <w:t>La première assemblée générale qui suit doit confirmer le mandat de l’administrateur</w:t>
      </w:r>
      <w:r>
        <w:rPr>
          <w:color w:val="231F20"/>
          <w:spacing w:val="-5"/>
        </w:rPr>
        <w:t> </w:t>
      </w:r>
      <w:r>
        <w:rPr>
          <w:color w:val="231F20"/>
        </w:rPr>
        <w:t>coopté;</w:t>
      </w:r>
      <w:r>
        <w:rPr>
          <w:color w:val="231F20"/>
          <w:spacing w:val="-4"/>
        </w:rPr>
        <w:t> </w:t>
      </w:r>
      <w:r>
        <w:rPr>
          <w:color w:val="231F20"/>
        </w:rPr>
        <w:t>en</w:t>
      </w:r>
      <w:r>
        <w:rPr>
          <w:color w:val="231F20"/>
          <w:spacing w:val="-5"/>
        </w:rPr>
        <w:t> </w:t>
      </w:r>
      <w:r>
        <w:rPr>
          <w:color w:val="231F20"/>
        </w:rPr>
        <w:t>cas</w:t>
      </w:r>
      <w:r>
        <w:rPr>
          <w:color w:val="231F20"/>
          <w:spacing w:val="-4"/>
        </w:rPr>
        <w:t> </w:t>
      </w:r>
      <w:r>
        <w:rPr>
          <w:color w:val="231F20"/>
        </w:rPr>
        <w:t>de</w:t>
      </w:r>
      <w:r>
        <w:rPr>
          <w:color w:val="231F20"/>
          <w:spacing w:val="-4"/>
        </w:rPr>
        <w:t> </w:t>
      </w:r>
      <w:r>
        <w:rPr>
          <w:color w:val="231F20"/>
        </w:rPr>
        <w:t>confirmation,</w:t>
      </w:r>
      <w:r>
        <w:rPr>
          <w:color w:val="231F20"/>
          <w:spacing w:val="-5"/>
        </w:rPr>
        <w:t> </w:t>
      </w:r>
      <w:r>
        <w:rPr>
          <w:color w:val="231F20"/>
        </w:rPr>
        <w:t>l’administrateur</w:t>
      </w:r>
      <w:r>
        <w:rPr>
          <w:color w:val="231F20"/>
          <w:spacing w:val="-4"/>
        </w:rPr>
        <w:t> </w:t>
      </w:r>
      <w:r>
        <w:rPr>
          <w:color w:val="231F20"/>
        </w:rPr>
        <w:t>coopté termine le mandat de son prédécesseur, sauf si l’assemblée générale en décide autrement. À défaut de confirmation, le mandat de l’adminis- trateur coopté prend fin après l’assemblée générale, sans que cela porte préjudice à la régularité de la composition de l’organe d’administration jusqu’à cette</w:t>
      </w:r>
      <w:r>
        <w:rPr>
          <w:color w:val="231F20"/>
          <w:spacing w:val="-12"/>
        </w:rPr>
        <w:t> </w:t>
      </w:r>
      <w:r>
        <w:rPr>
          <w:color w:val="231F20"/>
        </w:rPr>
        <w:t>date.</w:t>
      </w:r>
    </w:p>
    <w:p>
      <w:pPr>
        <w:pStyle w:val="BodyText"/>
        <w:spacing w:before="93"/>
        <w:ind w:left="283" w:right="0" w:firstLine="0"/>
        <w:jc w:val="left"/>
      </w:pPr>
      <w:r>
        <w:rPr>
          <w:color w:val="231F20"/>
        </w:rPr>
        <w:t>Section 2. Rémunération.</w:t>
      </w:r>
    </w:p>
    <w:p>
      <w:pPr>
        <w:pStyle w:val="BodyText"/>
        <w:spacing w:line="218" w:lineRule="auto" w:before="103"/>
        <w:ind w:right="38"/>
      </w:pPr>
      <w:r>
        <w:rPr>
          <w:color w:val="231F20"/>
        </w:rPr>
        <w:t>Art. 5:72. Sauf disposition statutaire contraire ou à moins que l’assemblée générale n’en décide autrement lors de leur nomination, les administrateurs sont rémunérés pour l’exercice de leur mandat.</w:t>
      </w:r>
    </w:p>
    <w:p>
      <w:pPr>
        <w:pStyle w:val="BodyText"/>
        <w:spacing w:before="93"/>
        <w:ind w:left="283" w:right="0" w:firstLine="0"/>
        <w:jc w:val="left"/>
      </w:pPr>
      <w:r>
        <w:rPr>
          <w:color w:val="231F20"/>
        </w:rPr>
        <w:t>Section 3. Pouvoirs et fonctionnement.</w:t>
      </w:r>
    </w:p>
    <w:p>
      <w:pPr>
        <w:pStyle w:val="BodyText"/>
        <w:spacing w:line="218" w:lineRule="auto" w:before="88"/>
        <w:ind w:right="38"/>
      </w:pPr>
      <w:r>
        <w:rPr>
          <w:color w:val="231F20"/>
        </w:rPr>
        <w:t>Art. 5:73. § 1</w:t>
      </w:r>
      <w:r>
        <w:rPr>
          <w:color w:val="231F20"/>
          <w:position w:val="7"/>
          <w:sz w:val="11"/>
        </w:rPr>
        <w:t>er</w:t>
      </w:r>
      <w:r>
        <w:rPr>
          <w:color w:val="231F20"/>
        </w:rPr>
        <w:t>. Chaque administrateur a le pouvoir d’accomplir tous les actes nécessaires ou utiles à la réalisation de l’objet de la société, à l’exception de ceux que la loi réserve à l’assemblée générale.</w:t>
      </w:r>
    </w:p>
    <w:p>
      <w:pPr>
        <w:pStyle w:val="BodyText"/>
        <w:spacing w:before="10"/>
        <w:ind w:left="0" w:right="0" w:firstLine="0"/>
        <w:jc w:val="left"/>
        <w:rPr>
          <w:sz w:val="24"/>
        </w:rPr>
      </w:pPr>
    </w:p>
    <w:p>
      <w:pPr>
        <w:pStyle w:val="BodyText"/>
        <w:spacing w:line="218" w:lineRule="auto"/>
        <w:ind w:right="38"/>
      </w:pPr>
      <w:r>
        <w:rPr>
          <w:color w:val="231F20"/>
        </w:rPr>
        <w:t>Les statuts peuvent apporter des restrictions aux pouvoirs de chaque administrateur. Une telle restriction n’est pas opposable aux tiers, même si elle est publiée. Il en va de même pour une répartition des tâches entre les administrateurs.</w:t>
      </w:r>
    </w:p>
    <w:p>
      <w:pPr>
        <w:pStyle w:val="BodyText"/>
        <w:spacing w:line="218" w:lineRule="auto" w:before="119"/>
      </w:pPr>
      <w:r>
        <w:rPr/>
        <w:br w:type="column"/>
      </w:r>
      <w:r>
        <w:rPr>
          <w:color w:val="231F20"/>
        </w:rPr>
        <w:t>§ 2. De Koning kan het in paragraaf 1 bedoelde uitkoopbod reglementeren, en inzonderheid de te volgen procedure en de wijze van vaststelling van de prijs van het uitkoopbod bepalen. Daarbij draagt Hij zorg voor de informatieverstrekking aan en de gelijke behandeling van de effectenhouders.</w:t>
      </w:r>
    </w:p>
    <w:p>
      <w:pPr>
        <w:pStyle w:val="BodyText"/>
        <w:spacing w:line="218" w:lineRule="auto" w:before="97"/>
      </w:pPr>
      <w:r>
        <w:rPr>
          <w:color w:val="231F20"/>
        </w:rPr>
        <w:t>§ 3. Het uittreksel uit de in kracht van gewijsde gegane of bij voorraad uitvoerbare rechterlijke beslissing waarbij de voorwaarden van een uitkoopbod worden vastgesteld, wordt neergelegd en bekend- gemaakt</w:t>
      </w:r>
      <w:r>
        <w:rPr>
          <w:color w:val="231F20"/>
          <w:spacing w:val="13"/>
        </w:rPr>
        <w:t> </w:t>
      </w:r>
      <w:r>
        <w:rPr>
          <w:color w:val="231F20"/>
        </w:rPr>
        <w:t>overeenkomstig</w:t>
      </w:r>
      <w:r>
        <w:rPr>
          <w:color w:val="231F20"/>
          <w:spacing w:val="13"/>
        </w:rPr>
        <w:t> </w:t>
      </w:r>
      <w:r>
        <w:rPr>
          <w:color w:val="231F20"/>
        </w:rPr>
        <w:t>de</w:t>
      </w:r>
      <w:r>
        <w:rPr>
          <w:color w:val="231F20"/>
          <w:spacing w:val="13"/>
        </w:rPr>
        <w:t> </w:t>
      </w:r>
      <w:r>
        <w:rPr>
          <w:color w:val="231F20"/>
        </w:rPr>
        <w:t>artikelen</w:t>
      </w:r>
      <w:r>
        <w:rPr>
          <w:color w:val="231F20"/>
          <w:spacing w:val="14"/>
        </w:rPr>
        <w:t> </w:t>
      </w:r>
      <w:r>
        <w:rPr>
          <w:color w:val="231F20"/>
        </w:rPr>
        <w:t>2:8</w:t>
      </w:r>
      <w:r>
        <w:rPr>
          <w:color w:val="231F20"/>
          <w:spacing w:val="13"/>
        </w:rPr>
        <w:t> </w:t>
      </w:r>
      <w:r>
        <w:rPr>
          <w:color w:val="231F20"/>
        </w:rPr>
        <w:t>en</w:t>
      </w:r>
      <w:r>
        <w:rPr>
          <w:color w:val="231F20"/>
          <w:spacing w:val="13"/>
        </w:rPr>
        <w:t> </w:t>
      </w:r>
      <w:r>
        <w:rPr>
          <w:color w:val="231F20"/>
        </w:rPr>
        <w:t>2:14,</w:t>
      </w:r>
      <w:r>
        <w:rPr>
          <w:color w:val="231F20"/>
          <w:spacing w:val="14"/>
        </w:rPr>
        <w:t> </w:t>
      </w:r>
      <w:r>
        <w:rPr>
          <w:color w:val="231F20"/>
        </w:rPr>
        <w:t>4°.</w:t>
      </w:r>
    </w:p>
    <w:p>
      <w:pPr>
        <w:pStyle w:val="BodyText"/>
        <w:spacing w:line="218" w:lineRule="auto" w:before="96"/>
      </w:pPr>
      <w:r>
        <w:rPr>
          <w:color w:val="231F20"/>
        </w:rPr>
        <w:t>TITEL 4. Vennootschapsorganen en algemene vergadering van obligatiehouders.</w:t>
      </w:r>
    </w:p>
    <w:p>
      <w:pPr>
        <w:pStyle w:val="BodyText"/>
        <w:spacing w:before="82"/>
        <w:ind w:left="283" w:right="0" w:firstLine="0"/>
        <w:jc w:val="left"/>
      </w:pPr>
      <w:r>
        <w:rPr>
          <w:color w:val="231F20"/>
        </w:rPr>
        <w:t>HOOFDSTUK 1. Bestuur.</w:t>
      </w:r>
    </w:p>
    <w:p>
      <w:pPr>
        <w:pStyle w:val="BodyText"/>
        <w:spacing w:before="79"/>
        <w:ind w:left="283" w:right="0" w:firstLine="0"/>
        <w:jc w:val="left"/>
      </w:pPr>
      <w:r>
        <w:rPr>
          <w:color w:val="231F20"/>
          <w:w w:val="105"/>
        </w:rPr>
        <w:t>Afdeling 1. Samenstelling.</w:t>
      </w:r>
    </w:p>
    <w:p>
      <w:pPr>
        <w:pStyle w:val="BodyText"/>
        <w:spacing w:line="218" w:lineRule="auto" w:before="92"/>
      </w:pPr>
      <w:r>
        <w:rPr>
          <w:color w:val="231F20"/>
        </w:rPr>
        <w:t>Art. 5:70. § 1. De vennootschap wordt bestuurd door één of meer bestuurders die al dan niet een college vormen, en die natuurlijke of rechtspersonen zijn.</w:t>
      </w:r>
    </w:p>
    <w:p>
      <w:pPr>
        <w:pStyle w:val="BodyText"/>
        <w:spacing w:line="218" w:lineRule="auto" w:before="97"/>
      </w:pPr>
      <w:r>
        <w:rPr>
          <w:color w:val="231F20"/>
        </w:rPr>
        <w:t>Bestuurders kunnen in deze hoedanigheid niet door een arbeidsover- eenkomst met de vennootschap zijn verbonden.</w:t>
      </w:r>
    </w:p>
    <w:p>
      <w:pPr>
        <w:pStyle w:val="BodyText"/>
        <w:spacing w:line="218" w:lineRule="auto" w:before="106"/>
      </w:pPr>
      <w:r>
        <w:rPr>
          <w:color w:val="231F20"/>
        </w:rPr>
        <w:t>§ 2. De bestuurders worden door de algemene vergadering van aandeelhouders benoemd voor een bepaalde of onbepaalde termijn; zij worden voor de eerste maal aangeduid in de oprichtingsakte.</w:t>
      </w:r>
    </w:p>
    <w:p>
      <w:pPr>
        <w:pStyle w:val="BodyText"/>
        <w:spacing w:line="218" w:lineRule="auto" w:before="107"/>
      </w:pPr>
      <w:r>
        <w:rPr>
          <w:color w:val="231F20"/>
        </w:rPr>
        <w:t>Tenzij de statuten of het benoemingsbesluit van de algemene vergadering anders bepalen, loopt het mandaat van een bestuurder die voor een bepaalde termijn is benoemd van de algemene vergadering waarop hij wordt benoemd tot de gewone algemene vergadering in het boekjaar waarin zijn mandaat volgens het benoemingsbesluit verstrijkt.</w:t>
      </w:r>
    </w:p>
    <w:p>
      <w:pPr>
        <w:pStyle w:val="BodyText"/>
        <w:spacing w:before="8"/>
        <w:ind w:left="0" w:right="0" w:firstLine="0"/>
        <w:jc w:val="left"/>
        <w:rPr>
          <w:sz w:val="23"/>
        </w:rPr>
      </w:pPr>
    </w:p>
    <w:p>
      <w:pPr>
        <w:pStyle w:val="BodyText"/>
        <w:ind w:left="283" w:right="0" w:firstLine="0"/>
        <w:jc w:val="left"/>
      </w:pPr>
      <w:r>
        <w:rPr>
          <w:color w:val="231F20"/>
        </w:rPr>
        <w:t>Bestuurders kunnen ook statutair worden benoemd.</w:t>
      </w:r>
    </w:p>
    <w:p>
      <w:pPr>
        <w:pStyle w:val="BodyText"/>
        <w:spacing w:line="218" w:lineRule="auto" w:before="103"/>
      </w:pPr>
      <w:r>
        <w:rPr>
          <w:color w:val="231F20"/>
        </w:rPr>
        <w:t>§ 3. Het ontslag van een bestuurder benoemd in de statuten vereist een statutenwijziging.</w:t>
      </w:r>
    </w:p>
    <w:p>
      <w:pPr>
        <w:pStyle w:val="BodyText"/>
        <w:spacing w:line="218" w:lineRule="auto" w:before="107"/>
      </w:pPr>
      <w:r>
        <w:rPr>
          <w:color w:val="231F20"/>
        </w:rPr>
        <w:t>Tenzij de statuten of de algemene vergadering in het benoemingsbe- sluit anders bepalen kan de algemene vergadering het mandaat van een niet-statutair benoemde bestuurder te allen tijde en zonder opgave van redenen met onmiddellijke ingang beeïndigen.</w:t>
      </w:r>
    </w:p>
    <w:p>
      <w:pPr>
        <w:pStyle w:val="BodyText"/>
        <w:spacing w:before="10"/>
        <w:ind w:left="0" w:right="0" w:firstLine="0"/>
        <w:jc w:val="left"/>
        <w:rPr>
          <w:sz w:val="24"/>
        </w:rPr>
      </w:pPr>
    </w:p>
    <w:p>
      <w:pPr>
        <w:pStyle w:val="BodyText"/>
        <w:spacing w:line="218" w:lineRule="auto"/>
      </w:pPr>
      <w:r>
        <w:rPr>
          <w:color w:val="231F20"/>
          <w:spacing w:val="-3"/>
        </w:rPr>
        <w:t>Tenzij </w:t>
      </w:r>
      <w:r>
        <w:rPr>
          <w:color w:val="231F20"/>
        </w:rPr>
        <w:t>de statuten anders bepalen, kan de algemene vergadering op het moment van de opzegging evenwel steeds de datum bepalen waarop het bestuursmandaat eindigt of een vertrekvergoeding toeken- nen.</w:t>
      </w:r>
    </w:p>
    <w:p>
      <w:pPr>
        <w:pStyle w:val="BodyText"/>
        <w:spacing w:line="218" w:lineRule="auto" w:before="107"/>
        <w:ind w:right="125"/>
      </w:pPr>
      <w:r>
        <w:rPr>
          <w:color w:val="231F20"/>
        </w:rPr>
        <w:t>De algemene vergadering kan het mandaat van een al dan niet in de statuten benoemde bestuurder steeds beëindigen wegens  wettige reden, zonder opzeggingstermijn of</w:t>
      </w:r>
      <w:r>
        <w:rPr>
          <w:color w:val="231F20"/>
          <w:spacing w:val="29"/>
        </w:rPr>
        <w:t> </w:t>
      </w:r>
      <w:r>
        <w:rPr>
          <w:color w:val="231F20"/>
        </w:rPr>
        <w:t>vertrekvergoeding.</w:t>
      </w:r>
    </w:p>
    <w:p>
      <w:pPr>
        <w:pStyle w:val="BodyText"/>
        <w:spacing w:line="218" w:lineRule="auto" w:before="107"/>
      </w:pPr>
      <w:r>
        <w:rPr>
          <w:color w:val="231F20"/>
        </w:rPr>
        <w:t>§ 4. Elke bestuurder kan ontslag nemen door loutere kennisgeving aan het bestuursorgaan. Op verzoek van de vennootschap blijft hij in functie totdat de vennootschap redelijkerwijze in zijn vervanging kan voorzien. Hij kan zelf het nodige doen om de beëindiging van zijn mandaat aan derden tegen te werpen onder de voorwaarden bepaald in artikel 2:18.</w:t>
      </w:r>
    </w:p>
    <w:p>
      <w:pPr>
        <w:pStyle w:val="BodyText"/>
        <w:spacing w:line="218" w:lineRule="auto" w:before="107"/>
      </w:pPr>
      <w:r>
        <w:rPr>
          <w:color w:val="231F20"/>
        </w:rPr>
        <w:t>Art. 5:71. Wanneer de bestuurders een collegiaal orgaan vormen als bedoeld in artikel 5:73, § 1, en de plaats van een bestuurder openvalt vóór het einde van zijn mandaat, hebben de overblijvende bestuurders het recht een nieuwe bestuurder te coöpteren, tenzij de statuten dit uitsluiten.</w:t>
      </w:r>
    </w:p>
    <w:p>
      <w:pPr>
        <w:pStyle w:val="BodyText"/>
        <w:spacing w:line="218" w:lineRule="auto" w:before="107"/>
      </w:pPr>
      <w:r>
        <w:rPr>
          <w:color w:val="231F20"/>
        </w:rPr>
        <w:t>De eerstvolgende algemene vergadering moet het mandaat van de gecoöpteerde bestuurder bevestigen; bij bevestiging volbrengt de gecoöpteerde bestuurder het mandaat van zijn voorganger, tenzij de algemene vergadering er anders over beslist. Bij gebrek aan bevestiging eindigt het mandaat van de gecoöpteerde bestuurder na afloop van de algemene vergadering, zonder dat dit afbreuk doet aan de regelmatig- heid van de samenstelling van het bestuursorgaan tot op dat ogenblik.</w:t>
      </w:r>
    </w:p>
    <w:p>
      <w:pPr>
        <w:pStyle w:val="BodyText"/>
        <w:spacing w:before="93"/>
        <w:ind w:left="283" w:right="0" w:firstLine="0"/>
        <w:jc w:val="left"/>
      </w:pPr>
      <w:r>
        <w:rPr>
          <w:color w:val="231F20"/>
        </w:rPr>
        <w:t>Afdeling 2. Bezoldiging.</w:t>
      </w:r>
    </w:p>
    <w:p>
      <w:pPr>
        <w:pStyle w:val="BodyText"/>
        <w:spacing w:line="218" w:lineRule="auto" w:before="103"/>
      </w:pPr>
      <w:r>
        <w:rPr>
          <w:color w:val="231F20"/>
        </w:rPr>
        <w:t>Art. 5:72. Tenzij de statuten anders bepalen of de algemene vergade- ring bij hun benoeming anders beslist, worden de bestuurders bezol- digd voor de uitoefening van hun mandaat.</w:t>
      </w:r>
    </w:p>
    <w:p>
      <w:pPr>
        <w:pStyle w:val="BodyText"/>
        <w:spacing w:before="93"/>
        <w:ind w:left="283" w:right="0" w:firstLine="0"/>
        <w:jc w:val="left"/>
      </w:pPr>
      <w:r>
        <w:rPr>
          <w:color w:val="231F20"/>
        </w:rPr>
        <w:t>Afdeling 3. Bevoegdheid en werkwijze.</w:t>
      </w:r>
    </w:p>
    <w:p>
      <w:pPr>
        <w:pStyle w:val="BodyText"/>
        <w:spacing w:line="218" w:lineRule="auto" w:before="104"/>
      </w:pPr>
      <w:r>
        <w:rPr>
          <w:color w:val="231F20"/>
        </w:rPr>
        <w:t>Art. 5:73. § 1. Elke bestuurder is bevoegd om alle handelingen te verrichten die nodig of dienstig zijn tot verwezenlijking van het voorwerp van de vennootschap, tenzij die waarvoor volgens de wet de algemene vergadering bevoegd is.</w:t>
      </w:r>
    </w:p>
    <w:p>
      <w:pPr>
        <w:pStyle w:val="BodyText"/>
        <w:spacing w:line="218" w:lineRule="auto" w:before="107"/>
        <w:ind w:right="123"/>
      </w:pPr>
      <w:r>
        <w:rPr>
          <w:color w:val="231F20"/>
        </w:rPr>
        <w:t>De statuten kunnen de bevoegdheden van elke bestuurder beperken. Zodanige beperking kan niet aan derden worden tegengeworpen, ook  al is ze openbaar gemaakt. Hetzelfde geldt voor een onderlinge taakverdeling onder de</w:t>
      </w:r>
      <w:r>
        <w:rPr>
          <w:color w:val="231F20"/>
          <w:spacing w:val="5"/>
        </w:rPr>
        <w:t> </w:t>
      </w:r>
      <w:r>
        <w:rPr>
          <w:color w:val="231F20"/>
        </w:rPr>
        <w:t>bestuurders.</w:t>
      </w:r>
    </w:p>
    <w:p>
      <w:pPr>
        <w:spacing w:after="0" w:line="218" w:lineRule="auto"/>
        <w:sectPr>
          <w:headerReference w:type="even" r:id="rId47"/>
          <w:headerReference w:type="default" r:id="rId48"/>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3472" from="298.170502pt,64.473pt" to="298.170502pt,812.819pt" stroked="true" strokeweight=".533pt" strokecolor="#231f20">
            <v:stroke dashstyle="solid"/>
            <w10:wrap type="none"/>
          </v:line>
        </w:pict>
      </w:r>
      <w:bookmarkStart w:name="_bookmark102" w:id="107"/>
      <w:bookmarkEnd w:id="107"/>
      <w:r>
        <w:rPr/>
      </w:r>
      <w:r>
        <w:rPr>
          <w:color w:val="231F20"/>
        </w:rPr>
        <w:t>Les statuts peuvent prévoir que les administrateurs constituent un organe d’administration collégial. Les statuts peuvent apporter des restrictions aux pouvoirs de cet organe d’administration collégial. Une telle restriction n’est pas opposable aux tiers, même si elle est publiée. Il en va de même pour une répartition des tâches entre les administra- teurs.</w:t>
      </w:r>
    </w:p>
    <w:p>
      <w:pPr>
        <w:pStyle w:val="BodyText"/>
        <w:spacing w:line="218" w:lineRule="auto" w:before="161"/>
        <w:ind w:right="38"/>
      </w:pPr>
      <w:r>
        <w:rPr>
          <w:color w:val="231F20"/>
        </w:rPr>
        <w:t>§ 2. Chaque administrateur ou, en cas d’organe d’administration collégial, l’organe d’administration représente la société à l’égard des tiers, en ce compris la représentation en justice. Toutefois, les statuts peuvent stipuler que la société est représentée par un ou plusieurs administrateurs désignés à cet effet, ou par plusieurs administrateurs agissant conjointement. Une telle clause de représentation est opposa- ble aux tiers aux conditions fixées à l’article 2:18.</w:t>
      </w:r>
    </w:p>
    <w:p>
      <w:pPr>
        <w:pStyle w:val="BodyText"/>
        <w:spacing w:line="218" w:lineRule="auto" w:before="160"/>
        <w:ind w:right="38"/>
      </w:pPr>
      <w:r>
        <w:rPr>
          <w:color w:val="231F20"/>
        </w:rPr>
        <w:t>Les statuts peuvent apporter des restrictions à ce pouvoir de représentation. Ces restrictions ne sont pas opposables aux tiers, même si elles sont publiées. Il en va de même pour une répartition des tâches entre les administrateurs ayant le pouvoir de représentation.</w:t>
      </w:r>
    </w:p>
    <w:p>
      <w:pPr>
        <w:pStyle w:val="BodyText"/>
        <w:spacing w:before="7"/>
        <w:ind w:left="0" w:right="0" w:firstLine="0"/>
        <w:jc w:val="left"/>
        <w:rPr>
          <w:sz w:val="29"/>
        </w:rPr>
      </w:pPr>
    </w:p>
    <w:p>
      <w:pPr>
        <w:pStyle w:val="BodyText"/>
        <w:spacing w:line="218" w:lineRule="auto"/>
        <w:ind w:right="38"/>
      </w:pPr>
      <w:r>
        <w:rPr>
          <w:color w:val="231F20"/>
        </w:rPr>
        <w:t>Art. 5:74. La société est liée par les actes accomplis par l’organe d’administration, par les délégués à la gestion journalière et par les administrateurs qui, conformément à l’article 5:73, § 2, ont le pouvoir de la représenter même si ces actes excèdent son objet, sauf si la société prouve que le tiers en avait connaissance ou qu’il ne pouvait l’ignorer, compte tenu des circonstances, sans que la seule publication des statuts suffise à constituer cette preuve.</w:t>
      </w:r>
    </w:p>
    <w:p>
      <w:pPr>
        <w:pStyle w:val="BodyText"/>
        <w:spacing w:before="7"/>
        <w:ind w:left="0" w:right="0" w:firstLine="0"/>
        <w:jc w:val="left"/>
        <w:rPr>
          <w:sz w:val="29"/>
        </w:rPr>
      </w:pPr>
    </w:p>
    <w:p>
      <w:pPr>
        <w:pStyle w:val="BodyText"/>
        <w:spacing w:line="218" w:lineRule="auto"/>
        <w:ind w:right="38"/>
      </w:pPr>
      <w:r>
        <w:rPr>
          <w:color w:val="231F20"/>
        </w:rPr>
        <w:t>Art. 5:75. Le procès-verbal des réunions d’un organe d’administra- tion collégial est signé par le président et les administrateurs qui le souhaitent; les copies à délivrer aux tiers sont signées par un ou plusieurs administrateurs ayant le pouvoir de représentation.</w:t>
      </w:r>
    </w:p>
    <w:p>
      <w:pPr>
        <w:pStyle w:val="BodyText"/>
        <w:spacing w:line="218" w:lineRule="auto" w:before="160"/>
        <w:ind w:right="38"/>
      </w:pPr>
      <w:r>
        <w:rPr>
          <w:color w:val="231F20"/>
        </w:rPr>
        <w:t>Les décisions d’un organe d’administration collégial peuvent être prises par consentement unanime de l’ensemble des membres, exprimé par écrit, à l’exception des décisions pour lesquelles les statuts excluent cette possibilité.</w:t>
      </w:r>
    </w:p>
    <w:p>
      <w:pPr>
        <w:pStyle w:val="BodyText"/>
        <w:spacing w:line="218" w:lineRule="auto" w:before="156"/>
        <w:ind w:right="38"/>
      </w:pPr>
      <w:r>
        <w:rPr>
          <w:color w:val="231F20"/>
        </w:rPr>
        <w:t>Art. 5:76. § 1</w:t>
      </w:r>
      <w:r>
        <w:rPr>
          <w:color w:val="231F20"/>
          <w:position w:val="7"/>
          <w:sz w:val="11"/>
        </w:rPr>
        <w:t>er</w:t>
      </w:r>
      <w:r>
        <w:rPr>
          <w:color w:val="231F20"/>
        </w:rPr>
        <w:t>. Lorsque l’organe d’administration est appelé à prendre une décision ou se prononcer sur une opération relevant de sa compétence à propos de laquelle un administrateur a un intérêt direct ou indirect de nature patrimoniale qui est opposé à l’intérêt de la société, et que plusieurs administrateurs sont chacun individuellement compétents pour administrer ou représenter la société, l’administrateur en question doit en informer les autres administrateurs. Sa déclaration et ses explications sur la nature de cet intérêt opposé doivent figurer dans le procès-verbal d’une réunion de ces autres administrateurs. Les autres administrateurs peuvent prendre la décision ou réaliser l’opéra- tion eux-mêmes. Dans ce cas, l’administrateur qui a le conflit d’intérêts ne peut prendre part aux délibérations des autres administrateurs concernant cette décision ou</w:t>
      </w:r>
      <w:r>
        <w:rPr>
          <w:color w:val="231F20"/>
          <w:spacing w:val="17"/>
        </w:rPr>
        <w:t> </w:t>
      </w:r>
      <w:r>
        <w:rPr>
          <w:color w:val="231F20"/>
        </w:rPr>
        <w:t>opération.</w:t>
      </w:r>
    </w:p>
    <w:p>
      <w:pPr>
        <w:pStyle w:val="BodyText"/>
        <w:spacing w:line="218" w:lineRule="auto" w:before="172"/>
        <w:ind w:right="38"/>
      </w:pPr>
      <w:r>
        <w:rPr>
          <w:color w:val="231F20"/>
        </w:rPr>
        <w:t>Lorsque tous les administrateurs ont un conflit d’intérêts, la décision ou l’opération est soumise à l’assemblée générale; si l’assemblée générale approuve la décision ou l’opération, l’organe d’administration peut l’exécuter.</w:t>
      </w:r>
    </w:p>
    <w:p>
      <w:pPr>
        <w:pStyle w:val="BodyText"/>
        <w:spacing w:line="218" w:lineRule="auto" w:before="170"/>
        <w:ind w:right="38"/>
      </w:pPr>
      <w:r>
        <w:rPr>
          <w:color w:val="231F20"/>
        </w:rPr>
        <w:t>§ 2. Si les statuts prévoient que l’organe d’administration est un organe collégial, la décision est prise ou l’opération accomplie par l’organe d’administration, sans que l’administrateur qui est en situation de conflit d’intérêts puisse participer aux délibérations de l’organe d’administration concernant cette décision ou opération, ni participer au vote à ce propos. Lorsque tous les administrateurs d’un organe d’administration collégial ont un conflit d’intérêts, la décision ou l’opération est soumise à l’assemblée générale; si l’assemblée générale approuve la décision ou l’opération, l’organe d’administration peut l’exécuter.</w:t>
      </w:r>
    </w:p>
    <w:p>
      <w:pPr>
        <w:pStyle w:val="BodyText"/>
        <w:spacing w:line="218" w:lineRule="auto" w:before="172"/>
        <w:ind w:right="38"/>
      </w:pPr>
      <w:r>
        <w:rPr>
          <w:color w:val="231F20"/>
        </w:rPr>
        <w:t>§ 3. Lorsqu’il n’y a qu’un administrateur et qu’il a un conflit d’intérêts,</w:t>
      </w:r>
      <w:r>
        <w:rPr>
          <w:color w:val="231F20"/>
          <w:spacing w:val="17"/>
        </w:rPr>
        <w:t> </w:t>
      </w:r>
      <w:r>
        <w:rPr>
          <w:color w:val="231F20"/>
        </w:rPr>
        <w:t>il</w:t>
      </w:r>
      <w:r>
        <w:rPr>
          <w:color w:val="231F20"/>
          <w:spacing w:val="18"/>
        </w:rPr>
        <w:t> </w:t>
      </w:r>
      <w:r>
        <w:rPr>
          <w:color w:val="231F20"/>
        </w:rPr>
        <w:t>soumet</w:t>
      </w:r>
      <w:r>
        <w:rPr>
          <w:color w:val="231F20"/>
          <w:spacing w:val="18"/>
        </w:rPr>
        <w:t> </w:t>
      </w:r>
      <w:r>
        <w:rPr>
          <w:color w:val="231F20"/>
        </w:rPr>
        <w:t>la</w:t>
      </w:r>
      <w:r>
        <w:rPr>
          <w:color w:val="231F20"/>
          <w:spacing w:val="18"/>
        </w:rPr>
        <w:t> </w:t>
      </w:r>
      <w:r>
        <w:rPr>
          <w:color w:val="231F20"/>
        </w:rPr>
        <w:t>décision</w:t>
      </w:r>
      <w:r>
        <w:rPr>
          <w:color w:val="231F20"/>
          <w:spacing w:val="18"/>
        </w:rPr>
        <w:t> </w:t>
      </w:r>
      <w:r>
        <w:rPr>
          <w:color w:val="231F20"/>
        </w:rPr>
        <w:t>ou</w:t>
      </w:r>
      <w:r>
        <w:rPr>
          <w:color w:val="231F20"/>
          <w:spacing w:val="17"/>
        </w:rPr>
        <w:t> </w:t>
      </w:r>
      <w:r>
        <w:rPr>
          <w:color w:val="231F20"/>
        </w:rPr>
        <w:t>l’opération</w:t>
      </w:r>
      <w:r>
        <w:rPr>
          <w:color w:val="231F20"/>
          <w:spacing w:val="18"/>
        </w:rPr>
        <w:t> </w:t>
      </w:r>
      <w:r>
        <w:rPr>
          <w:color w:val="231F20"/>
        </w:rPr>
        <w:t>à</w:t>
      </w:r>
      <w:r>
        <w:rPr>
          <w:color w:val="231F20"/>
          <w:spacing w:val="18"/>
        </w:rPr>
        <w:t> </w:t>
      </w:r>
      <w:r>
        <w:rPr>
          <w:color w:val="231F20"/>
        </w:rPr>
        <w:t>l’assemblée</w:t>
      </w:r>
      <w:r>
        <w:rPr>
          <w:color w:val="231F20"/>
          <w:spacing w:val="18"/>
        </w:rPr>
        <w:t> </w:t>
      </w:r>
      <w:r>
        <w:rPr>
          <w:color w:val="231F20"/>
        </w:rPr>
        <w:t>générale.</w:t>
      </w:r>
    </w:p>
    <w:p>
      <w:pPr>
        <w:pStyle w:val="BodyText"/>
        <w:ind w:left="0" w:right="0" w:firstLine="0"/>
        <w:jc w:val="left"/>
        <w:rPr>
          <w:sz w:val="20"/>
        </w:rPr>
      </w:pPr>
    </w:p>
    <w:p>
      <w:pPr>
        <w:pStyle w:val="BodyText"/>
        <w:spacing w:line="218" w:lineRule="auto" w:before="119"/>
        <w:ind w:right="38"/>
      </w:pPr>
      <w:r>
        <w:rPr>
          <w:color w:val="231F20"/>
        </w:rPr>
        <w:t>§ 4. Lorsque l’administrateur unique est également l’actionnaire unique, il peut prendre la décision ou réaliser l’opération lui-même.</w:t>
      </w:r>
    </w:p>
    <w:p>
      <w:pPr>
        <w:pStyle w:val="BodyText"/>
        <w:spacing w:line="216" w:lineRule="auto" w:before="172"/>
        <w:ind w:right="38" w:firstLine="171"/>
      </w:pPr>
      <w:r>
        <w:rPr>
          <w:color w:val="231F20"/>
        </w:rPr>
        <w:t>§ 5. À moins que l’administrateur unique soit également l’actionnaire unique, les paragraphes 1</w:t>
      </w:r>
      <w:r>
        <w:rPr>
          <w:color w:val="231F20"/>
          <w:position w:val="7"/>
          <w:sz w:val="11"/>
        </w:rPr>
        <w:t>er </w:t>
      </w:r>
      <w:r>
        <w:rPr>
          <w:color w:val="231F20"/>
        </w:rPr>
        <w:t>à 3 ne sont pas applicables lorsque les décisions ou opérations visées ci-dessus ont été conclues entre sociétés dont</w:t>
      </w:r>
      <w:r>
        <w:rPr>
          <w:color w:val="231F20"/>
          <w:spacing w:val="-3"/>
        </w:rPr>
        <w:t> </w:t>
      </w:r>
      <w:r>
        <w:rPr>
          <w:color w:val="231F20"/>
        </w:rPr>
        <w:t>l’une</w:t>
      </w:r>
      <w:r>
        <w:rPr>
          <w:color w:val="231F20"/>
          <w:spacing w:val="-3"/>
        </w:rPr>
        <w:t> </w:t>
      </w:r>
      <w:r>
        <w:rPr>
          <w:color w:val="231F20"/>
        </w:rPr>
        <w:t>détient</w:t>
      </w:r>
      <w:r>
        <w:rPr>
          <w:color w:val="231F20"/>
          <w:spacing w:val="-3"/>
        </w:rPr>
        <w:t> </w:t>
      </w:r>
      <w:r>
        <w:rPr>
          <w:color w:val="231F20"/>
        </w:rPr>
        <w:t>directement</w:t>
      </w:r>
      <w:r>
        <w:rPr>
          <w:color w:val="231F20"/>
          <w:spacing w:val="-2"/>
        </w:rPr>
        <w:t> </w:t>
      </w:r>
      <w:r>
        <w:rPr>
          <w:color w:val="231F20"/>
        </w:rPr>
        <w:t>ou</w:t>
      </w:r>
      <w:r>
        <w:rPr>
          <w:color w:val="231F20"/>
          <w:spacing w:val="-3"/>
        </w:rPr>
        <w:t> </w:t>
      </w:r>
      <w:r>
        <w:rPr>
          <w:color w:val="231F20"/>
        </w:rPr>
        <w:t>indirectement</w:t>
      </w:r>
      <w:r>
        <w:rPr>
          <w:color w:val="231F20"/>
          <w:spacing w:val="-3"/>
        </w:rPr>
        <w:t> </w:t>
      </w:r>
      <w:r>
        <w:rPr>
          <w:color w:val="231F20"/>
        </w:rPr>
        <w:t>95</w:t>
      </w:r>
      <w:r>
        <w:rPr>
          <w:color w:val="231F20"/>
          <w:spacing w:val="-2"/>
        </w:rPr>
        <w:t> </w:t>
      </w:r>
      <w:r>
        <w:rPr>
          <w:color w:val="231F20"/>
        </w:rPr>
        <w:t>%</w:t>
      </w:r>
      <w:r>
        <w:rPr>
          <w:color w:val="231F20"/>
          <w:spacing w:val="-3"/>
        </w:rPr>
        <w:t> </w:t>
      </w:r>
      <w:r>
        <w:rPr>
          <w:color w:val="231F20"/>
        </w:rPr>
        <w:t>au</w:t>
      </w:r>
      <w:r>
        <w:rPr>
          <w:color w:val="231F20"/>
          <w:spacing w:val="-3"/>
        </w:rPr>
        <w:t> </w:t>
      </w:r>
      <w:r>
        <w:rPr>
          <w:color w:val="231F20"/>
        </w:rPr>
        <w:t>moins</w:t>
      </w:r>
      <w:r>
        <w:rPr>
          <w:color w:val="231F20"/>
          <w:spacing w:val="-2"/>
        </w:rPr>
        <w:t> </w:t>
      </w:r>
      <w:r>
        <w:rPr>
          <w:color w:val="231F20"/>
        </w:rPr>
        <w:t>des</w:t>
      </w:r>
      <w:r>
        <w:rPr>
          <w:color w:val="231F20"/>
          <w:spacing w:val="-3"/>
        </w:rPr>
        <w:t> </w:t>
      </w:r>
      <w:r>
        <w:rPr>
          <w:color w:val="231F20"/>
        </w:rPr>
        <w:t>voix attachées à l’ensemble des titres émis par l’autre ou entre sociétés dont 95 % au moins des voix attachées à l’ensemble des titres émis par chacune</w:t>
      </w:r>
      <w:r>
        <w:rPr>
          <w:color w:val="231F20"/>
          <w:spacing w:val="15"/>
        </w:rPr>
        <w:t> </w:t>
      </w:r>
      <w:r>
        <w:rPr>
          <w:color w:val="231F20"/>
        </w:rPr>
        <w:t>d’elles</w:t>
      </w:r>
      <w:r>
        <w:rPr>
          <w:color w:val="231F20"/>
          <w:spacing w:val="15"/>
        </w:rPr>
        <w:t> </w:t>
      </w:r>
      <w:r>
        <w:rPr>
          <w:color w:val="231F20"/>
        </w:rPr>
        <w:t>sont</w:t>
      </w:r>
      <w:r>
        <w:rPr>
          <w:color w:val="231F20"/>
          <w:spacing w:val="15"/>
        </w:rPr>
        <w:t> </w:t>
      </w:r>
      <w:r>
        <w:rPr>
          <w:color w:val="231F20"/>
        </w:rPr>
        <w:t>détenues</w:t>
      </w:r>
      <w:r>
        <w:rPr>
          <w:color w:val="231F20"/>
          <w:spacing w:val="15"/>
        </w:rPr>
        <w:t> </w:t>
      </w:r>
      <w:r>
        <w:rPr>
          <w:color w:val="231F20"/>
        </w:rPr>
        <w:t>par</w:t>
      </w:r>
      <w:r>
        <w:rPr>
          <w:color w:val="231F20"/>
          <w:spacing w:val="15"/>
        </w:rPr>
        <w:t> </w:t>
      </w:r>
      <w:r>
        <w:rPr>
          <w:color w:val="231F20"/>
        </w:rPr>
        <w:t>une</w:t>
      </w:r>
      <w:r>
        <w:rPr>
          <w:color w:val="231F20"/>
          <w:spacing w:val="16"/>
        </w:rPr>
        <w:t> </w:t>
      </w:r>
      <w:r>
        <w:rPr>
          <w:color w:val="231F20"/>
        </w:rPr>
        <w:t>autre</w:t>
      </w:r>
      <w:r>
        <w:rPr>
          <w:color w:val="231F20"/>
          <w:spacing w:val="15"/>
        </w:rPr>
        <w:t> </w:t>
      </w:r>
      <w:r>
        <w:rPr>
          <w:color w:val="231F20"/>
        </w:rPr>
        <w:t>société.</w:t>
      </w:r>
    </w:p>
    <w:p>
      <w:pPr>
        <w:pStyle w:val="BodyText"/>
        <w:spacing w:line="218" w:lineRule="auto" w:before="119"/>
      </w:pPr>
      <w:r>
        <w:rPr/>
        <w:br w:type="column"/>
      </w:r>
      <w:r>
        <w:rPr>
          <w:color w:val="231F20"/>
        </w:rPr>
        <w:t>De statuten kunnen bepalen dat de bestuurders een collegiaal bestuursorgaan vormen. De statuten kunnen de bevoegdheden van dit collegiaal bestuursorgaan beperken. Zodanige beperking kan niet aan derden worden tegengeworpen, ook al is ze openbaar gemaakt. Hetzelfde geldt voor een onderlinge taakverdeling onder de bestuur- ders.</w:t>
      </w:r>
    </w:p>
    <w:p>
      <w:pPr>
        <w:pStyle w:val="BodyText"/>
        <w:spacing w:line="218" w:lineRule="auto" w:before="161"/>
      </w:pPr>
      <w:r>
        <w:rPr>
          <w:color w:val="231F20"/>
        </w:rPr>
        <w:t>§ 2. Elke bestuurder, of, ingeval van een collegiaal bestuursorgaan, het bestuursorgaan, vertegenwoordigt de vennootschap jegens derden, met inbegrip van de vertegenwoordiging in rechte. De statuten kunnen evenwel aan één of meer bestuurders de bevoegdheid verlenen om de vennootschap alleen of gezamenlijk te vertegenwoordigen. Zodanige vertegenwoordigingsclausule kan aan derden worden tegengeworpen onder de voorwaarden bepaald in artikel 2:18.</w:t>
      </w:r>
    </w:p>
    <w:p>
      <w:pPr>
        <w:pStyle w:val="BodyText"/>
        <w:spacing w:line="218" w:lineRule="auto" w:before="160"/>
      </w:pPr>
      <w:r>
        <w:rPr>
          <w:color w:val="231F20"/>
        </w:rPr>
        <w:t>De statuten kunnen aan deze vertegenwoordigingsbevoegdheid beperkingen aanbrengen. Zodanige beperkingen kunnen niet aan derden worden tegengeworpen, ook al zijn ze openbaar gemaakt. Hetzelfde geldt voor een onderlinge taakverdeling onder de vertegen- woordigingsbevoegde bestuurders.</w:t>
      </w:r>
    </w:p>
    <w:p>
      <w:pPr>
        <w:pStyle w:val="BodyText"/>
        <w:spacing w:line="218" w:lineRule="auto" w:before="161"/>
      </w:pPr>
      <w:r>
        <w:rPr>
          <w:color w:val="231F20"/>
        </w:rPr>
        <w:t>Art. 5:74. De vennootschap is verbonden door de handelingen van het bestuursorgaan, van de personen aan wie het dagelijks bestuur is opgedragen en van de bestuurders die overeenkomstig artikel 5:73, § 2, de bevoegdheid hebben om haar te vertegenwoordigen, zelfs indien die handelingen buiten haar voorwerp liggen, tenzij de vennootschap bewijst dat de derde daarvan op de hoogte was of </w:t>
      </w:r>
      <w:r>
        <w:rPr>
          <w:color w:val="231F20"/>
          <w:spacing w:val="-5"/>
        </w:rPr>
        <w:t>er, </w:t>
      </w:r>
      <w:r>
        <w:rPr>
          <w:color w:val="231F20"/>
        </w:rPr>
        <w:t>gezien de omstandigheden, niet onkundig van kon zijn; bekendmaking van de statuten</w:t>
      </w:r>
      <w:r>
        <w:rPr>
          <w:color w:val="231F20"/>
          <w:spacing w:val="15"/>
        </w:rPr>
        <w:t> </w:t>
      </w:r>
      <w:r>
        <w:rPr>
          <w:color w:val="231F20"/>
        </w:rPr>
        <w:t>alleen</w:t>
      </w:r>
      <w:r>
        <w:rPr>
          <w:color w:val="231F20"/>
          <w:spacing w:val="15"/>
        </w:rPr>
        <w:t> </w:t>
      </w:r>
      <w:r>
        <w:rPr>
          <w:color w:val="231F20"/>
        </w:rPr>
        <w:t>is</w:t>
      </w:r>
      <w:r>
        <w:rPr>
          <w:color w:val="231F20"/>
          <w:spacing w:val="16"/>
        </w:rPr>
        <w:t> </w:t>
      </w:r>
      <w:r>
        <w:rPr>
          <w:color w:val="231F20"/>
        </w:rPr>
        <w:t>echter</w:t>
      </w:r>
      <w:r>
        <w:rPr>
          <w:color w:val="231F20"/>
          <w:spacing w:val="15"/>
        </w:rPr>
        <w:t> </w:t>
      </w:r>
      <w:r>
        <w:rPr>
          <w:color w:val="231F20"/>
        </w:rPr>
        <w:t>geen</w:t>
      </w:r>
      <w:r>
        <w:rPr>
          <w:color w:val="231F20"/>
          <w:spacing w:val="16"/>
        </w:rPr>
        <w:t> </w:t>
      </w:r>
      <w:r>
        <w:rPr>
          <w:color w:val="231F20"/>
        </w:rPr>
        <w:t>voldoende</w:t>
      </w:r>
      <w:r>
        <w:rPr>
          <w:color w:val="231F20"/>
          <w:spacing w:val="15"/>
        </w:rPr>
        <w:t> </w:t>
      </w:r>
      <w:r>
        <w:rPr>
          <w:color w:val="231F20"/>
        </w:rPr>
        <w:t>bewijs.</w:t>
      </w:r>
    </w:p>
    <w:p>
      <w:pPr>
        <w:pStyle w:val="BodyText"/>
        <w:spacing w:line="218" w:lineRule="auto" w:before="160"/>
      </w:pPr>
      <w:r>
        <w:rPr>
          <w:color w:val="231F20"/>
        </w:rPr>
        <w:t>Art. 5:75. De notulen van de vergaderingen van een collegiaal bestuursorgaan worden ondertekend door de voorzitter en de bestuur- ders die erom verzoeken; kopieën voor derden worden ondertekend door één of meer bestuurders met vertegenwoordigingsbevoegdheid.</w:t>
      </w:r>
    </w:p>
    <w:p>
      <w:pPr>
        <w:pStyle w:val="BodyText"/>
        <w:spacing w:line="218" w:lineRule="auto" w:before="161"/>
      </w:pPr>
      <w:r>
        <w:rPr>
          <w:color w:val="231F20"/>
        </w:rPr>
        <w:t>De besluiten van een collegiaal bestuursorgaan kunnen bij eenparig schriftelijk akkoord van alle bestuurders worden genomen, met uitzondering van de besluiten waarvoor de statuten deze mogelijkheid uitsluiten.</w:t>
      </w:r>
    </w:p>
    <w:p>
      <w:pPr>
        <w:pStyle w:val="BodyText"/>
        <w:spacing w:line="218" w:lineRule="auto" w:before="170"/>
      </w:pPr>
      <w:r>
        <w:rPr>
          <w:color w:val="231F20"/>
        </w:rPr>
        <w:t>Art.</w:t>
      </w:r>
      <w:r>
        <w:rPr>
          <w:color w:val="231F20"/>
          <w:spacing w:val="-5"/>
        </w:rPr>
        <w:t> </w:t>
      </w:r>
      <w:r>
        <w:rPr>
          <w:color w:val="231F20"/>
        </w:rPr>
        <w:t>5:76.</w:t>
      </w:r>
      <w:r>
        <w:rPr>
          <w:color w:val="231F20"/>
          <w:spacing w:val="-4"/>
        </w:rPr>
        <w:t> </w:t>
      </w:r>
      <w:r>
        <w:rPr>
          <w:color w:val="231F20"/>
        </w:rPr>
        <w:t>§</w:t>
      </w:r>
      <w:r>
        <w:rPr>
          <w:color w:val="231F20"/>
          <w:spacing w:val="-4"/>
        </w:rPr>
        <w:t> </w:t>
      </w:r>
      <w:r>
        <w:rPr>
          <w:color w:val="231F20"/>
        </w:rPr>
        <w:t>1.</w:t>
      </w:r>
      <w:r>
        <w:rPr>
          <w:color w:val="231F20"/>
          <w:spacing w:val="-4"/>
        </w:rPr>
        <w:t> </w:t>
      </w:r>
      <w:r>
        <w:rPr>
          <w:color w:val="231F20"/>
          <w:spacing w:val="-3"/>
        </w:rPr>
        <w:t>Wanneer</w:t>
      </w:r>
      <w:r>
        <w:rPr>
          <w:color w:val="231F20"/>
          <w:spacing w:val="-4"/>
        </w:rPr>
        <w:t> </w:t>
      </w:r>
      <w:r>
        <w:rPr>
          <w:color w:val="231F20"/>
        </w:rPr>
        <w:t>het</w:t>
      </w:r>
      <w:r>
        <w:rPr>
          <w:color w:val="231F20"/>
          <w:spacing w:val="-4"/>
        </w:rPr>
        <w:t> </w:t>
      </w:r>
      <w:r>
        <w:rPr>
          <w:color w:val="231F20"/>
        </w:rPr>
        <w:t>bestuursorgaan</w:t>
      </w:r>
      <w:r>
        <w:rPr>
          <w:color w:val="231F20"/>
          <w:spacing w:val="-4"/>
        </w:rPr>
        <w:t> </w:t>
      </w:r>
      <w:r>
        <w:rPr>
          <w:color w:val="231F20"/>
        </w:rPr>
        <w:t>een</w:t>
      </w:r>
      <w:r>
        <w:rPr>
          <w:color w:val="231F20"/>
          <w:spacing w:val="-4"/>
        </w:rPr>
        <w:t> </w:t>
      </w:r>
      <w:r>
        <w:rPr>
          <w:color w:val="231F20"/>
        </w:rPr>
        <w:t>beslissing</w:t>
      </w:r>
      <w:r>
        <w:rPr>
          <w:color w:val="231F20"/>
          <w:spacing w:val="-4"/>
        </w:rPr>
        <w:t> </w:t>
      </w:r>
      <w:r>
        <w:rPr>
          <w:color w:val="231F20"/>
        </w:rPr>
        <w:t>moet</w:t>
      </w:r>
      <w:r>
        <w:rPr>
          <w:color w:val="231F20"/>
          <w:spacing w:val="-4"/>
        </w:rPr>
        <w:t> </w:t>
      </w:r>
      <w:r>
        <w:rPr>
          <w:color w:val="231F20"/>
        </w:rPr>
        <w:t>nemen of zich over een verrichting moet uitspreken die onder zijn bevoegd- heid vallen, waarbij een bestuurder een rechtstreeks of onrechtstreeks belang van vermogensrechtelijke aard heeft dat strijdig is met het belang van de vennootschap, en er zijn meerdere bestuurders die elk individueel bevoegd zijn om de vennootschap te besturen en te vertegenwoordigen, moet de betrokken bestuurder dit mededelen aan de andere bestuurders. Zijn verklaring en toelichting over de aard van dit strijdig belang worden opgenomen in de notulen van een vergade- ring van die andere bestuurders. Die andere bestuurders nemen</w:t>
      </w:r>
      <w:r>
        <w:rPr>
          <w:color w:val="231F20"/>
          <w:spacing w:val="26"/>
        </w:rPr>
        <w:t> </w:t>
      </w:r>
      <w:r>
        <w:rPr>
          <w:color w:val="231F20"/>
        </w:rPr>
        <w:t>de beslissing of voeren de verrichting uit. In dat geval mag de bestuurder met het belangenconflict niet deelnemen aan de beraadslagingen van de</w:t>
      </w:r>
      <w:r>
        <w:rPr>
          <w:color w:val="231F20"/>
          <w:spacing w:val="16"/>
        </w:rPr>
        <w:t> </w:t>
      </w:r>
      <w:r>
        <w:rPr>
          <w:color w:val="231F20"/>
        </w:rPr>
        <w:t>andere</w:t>
      </w:r>
      <w:r>
        <w:rPr>
          <w:color w:val="231F20"/>
          <w:spacing w:val="17"/>
        </w:rPr>
        <w:t> </w:t>
      </w:r>
      <w:r>
        <w:rPr>
          <w:color w:val="231F20"/>
        </w:rPr>
        <w:t>bestuurders</w:t>
      </w:r>
      <w:r>
        <w:rPr>
          <w:color w:val="231F20"/>
          <w:spacing w:val="17"/>
        </w:rPr>
        <w:t> </w:t>
      </w:r>
      <w:r>
        <w:rPr>
          <w:color w:val="231F20"/>
        </w:rPr>
        <w:t>over</w:t>
      </w:r>
      <w:r>
        <w:rPr>
          <w:color w:val="231F20"/>
          <w:spacing w:val="17"/>
        </w:rPr>
        <w:t> </w:t>
      </w:r>
      <w:r>
        <w:rPr>
          <w:color w:val="231F20"/>
        </w:rPr>
        <w:t>deze</w:t>
      </w:r>
      <w:r>
        <w:rPr>
          <w:color w:val="231F20"/>
          <w:spacing w:val="17"/>
        </w:rPr>
        <w:t> </w:t>
      </w:r>
      <w:r>
        <w:rPr>
          <w:color w:val="231F20"/>
        </w:rPr>
        <w:t>beslissing</w:t>
      </w:r>
      <w:r>
        <w:rPr>
          <w:color w:val="231F20"/>
          <w:spacing w:val="16"/>
        </w:rPr>
        <w:t> </w:t>
      </w:r>
      <w:r>
        <w:rPr>
          <w:color w:val="231F20"/>
        </w:rPr>
        <w:t>of</w:t>
      </w:r>
      <w:r>
        <w:rPr>
          <w:color w:val="231F20"/>
          <w:spacing w:val="17"/>
        </w:rPr>
        <w:t> </w:t>
      </w:r>
      <w:r>
        <w:rPr>
          <w:color w:val="231F20"/>
        </w:rPr>
        <w:t>verrichting.</w:t>
      </w:r>
    </w:p>
    <w:p>
      <w:pPr>
        <w:pStyle w:val="BodyText"/>
        <w:spacing w:line="218" w:lineRule="auto" w:before="172"/>
      </w:pPr>
      <w:r>
        <w:rPr>
          <w:color w:val="231F20"/>
        </w:rPr>
        <w:t>Wanneer alle bestuurders een belangenconflict hebben, wordt de beslissing of de verrichting aan de algemene vergadering voorgelegd; indien de algemene vergadering de beslissing of de verrichting goedkeurt, kan het bestuursorgaan ze uitvoeren.</w:t>
      </w:r>
    </w:p>
    <w:p>
      <w:pPr>
        <w:pStyle w:val="BodyText"/>
        <w:spacing w:line="218" w:lineRule="auto" w:before="171"/>
      </w:pPr>
      <w:r>
        <w:rPr>
          <w:color w:val="231F20"/>
        </w:rPr>
        <w:t>§ 2. Als de statuten bepalen dat het bestuursorgaan een collegiaal orgaan is, dan wordt de beslissing genomen of de verrichting uitgevoerd door het bestuursorgaan, waarbij de bestuurder met het belangenconflict niet mag deelnemen aan de beraadslagingen van het bestuursorgaan over deze beslissing of verrichting, noch aan</w:t>
      </w:r>
      <w:r>
        <w:rPr>
          <w:color w:val="231F20"/>
          <w:spacing w:val="20"/>
        </w:rPr>
        <w:t> </w:t>
      </w:r>
      <w:r>
        <w:rPr>
          <w:color w:val="231F20"/>
        </w:rPr>
        <w:t>de stemming in dat verband. </w:t>
      </w:r>
      <w:r>
        <w:rPr>
          <w:color w:val="231F20"/>
          <w:spacing w:val="-3"/>
        </w:rPr>
        <w:t>Wanneer </w:t>
      </w:r>
      <w:r>
        <w:rPr>
          <w:color w:val="231F20"/>
        </w:rPr>
        <w:t>alle bestuurders van een collegiaal bestuursorgaan een belangenconflict hebben, wordt de beslissing of verrichting aan de algemene vergadering voorgelegd; indien de algemene vergadering de beslissing of de verrichting goedkeurt, kan  het bestuursorgaan ze</w:t>
      </w:r>
      <w:r>
        <w:rPr>
          <w:color w:val="231F20"/>
          <w:spacing w:val="4"/>
        </w:rPr>
        <w:t> </w:t>
      </w:r>
      <w:r>
        <w:rPr>
          <w:color w:val="231F20"/>
        </w:rPr>
        <w:t>uitvoeren.</w:t>
      </w:r>
    </w:p>
    <w:p>
      <w:pPr>
        <w:pStyle w:val="BodyText"/>
        <w:spacing w:line="218" w:lineRule="auto" w:before="171"/>
      </w:pPr>
      <w:r>
        <w:rPr>
          <w:color w:val="231F20"/>
        </w:rPr>
        <w:t>§ 3. Wanneer er slechts één bestuurder is en hij een belangenconflict heeft, dan legt hij de beslissing of verrichting aan de algemene vergadering voor.</w:t>
      </w:r>
    </w:p>
    <w:p>
      <w:pPr>
        <w:pStyle w:val="BodyText"/>
        <w:spacing w:line="218" w:lineRule="auto" w:before="171"/>
      </w:pPr>
      <w:r>
        <w:rPr>
          <w:color w:val="231F20"/>
        </w:rPr>
        <w:t>§ 4. Wanneer de enige bestuurder ook de enige aandeelhouder is mag hij de beslissing zelf nemen of de verrichting uitvoeren.</w:t>
      </w:r>
    </w:p>
    <w:p>
      <w:pPr>
        <w:pStyle w:val="BodyText"/>
        <w:spacing w:line="218" w:lineRule="auto" w:before="171"/>
        <w:ind w:right="123"/>
      </w:pPr>
      <w:r>
        <w:rPr>
          <w:color w:val="231F20"/>
        </w:rPr>
        <w:t>§ 5. Tenzij de enige bestuurder ook de enige aandeelhouder is, zijn de paragrafen 1 tot 3 niet van toepassing wanneer de hierboven bedoelde beslissingen of verrichtingen tot stand zijn gekomen tussen vennoot- schappen waarvan de ene rechtstreeks of onrechtstreeks ten minste 95</w:t>
      </w:r>
    </w:p>
    <w:p>
      <w:pPr>
        <w:pStyle w:val="BodyText"/>
        <w:spacing w:line="218" w:lineRule="auto"/>
        <w:ind w:firstLine="0"/>
      </w:pPr>
      <w:r>
        <w:rPr>
          <w:color w:val="231F20"/>
        </w:rPr>
        <w:t>% bezit van de stemmen verbonden aan het geheel van de door de andere uitgegeven effecten, dan wel tussen vennootschappen waarvan ten minste 95 % van de stemmen verbonden aan het geheel van de door elk van hen uitgegeven effecten in het bezit zijn van een andere vennootschap.</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92"/>
      </w:pPr>
      <w:r>
        <w:rPr/>
        <w:pict>
          <v:line style="position:absolute;mso-position-horizontal-relative:page;mso-position-vertical-relative:page;z-index:3496" from="298.170502pt,64.473pt" to="298.170502pt,812.819pt" stroked="true" strokeweight=".533pt" strokecolor="#231f20">
            <v:stroke dashstyle="solid"/>
            <w10:wrap type="none"/>
          </v:line>
        </w:pict>
      </w:r>
      <w:bookmarkStart w:name="_bookmark103" w:id="108"/>
      <w:bookmarkEnd w:id="108"/>
      <w:r>
        <w:rPr/>
      </w:r>
      <w:r>
        <w:rPr>
          <w:color w:val="231F20"/>
        </w:rPr>
        <w:t>De même, les paragraphes 1</w:t>
      </w:r>
      <w:r>
        <w:rPr>
          <w:color w:val="231F20"/>
          <w:position w:val="7"/>
          <w:sz w:val="11"/>
        </w:rPr>
        <w:t>er </w:t>
      </w:r>
      <w:r>
        <w:rPr>
          <w:color w:val="231F20"/>
        </w:rPr>
        <w:t>à 4 ne sont pas applicables lorsque les décisions de l’organe d’administration concernent des opérations habituelles conclues dans des conditions et sous les garanties normales du marché pour des opérations de même nature.</w:t>
      </w:r>
    </w:p>
    <w:p>
      <w:pPr>
        <w:pStyle w:val="BodyText"/>
        <w:spacing w:before="6"/>
        <w:ind w:left="0" w:right="0" w:firstLine="0"/>
        <w:jc w:val="left"/>
        <w:rPr>
          <w:sz w:val="23"/>
        </w:rPr>
      </w:pPr>
    </w:p>
    <w:p>
      <w:pPr>
        <w:pStyle w:val="BodyText"/>
        <w:spacing w:line="218" w:lineRule="auto"/>
        <w:ind w:right="92"/>
      </w:pPr>
      <w:r>
        <w:rPr>
          <w:color w:val="231F20"/>
        </w:rPr>
        <w:t>Art. 5:77. § 1</w:t>
      </w:r>
      <w:r>
        <w:rPr>
          <w:color w:val="231F20"/>
          <w:position w:val="7"/>
          <w:sz w:val="11"/>
        </w:rPr>
        <w:t>er</w:t>
      </w:r>
      <w:r>
        <w:rPr>
          <w:color w:val="231F20"/>
        </w:rPr>
        <w:t>. Les autres administrateurs, l’assemblée générale ou l’administrateur unique qui est également l’actionnaire unique décri- vent, dans le procès-verbal ou dans un rapport spécial, la nature de la décision ou de l’opération visée à l’article 5:76 ainsi que les conséquen- ces patrimoniales de celle-ci pour la société et justifient la décision qui a été prise. Lorsque l’administrateur est aussi l’actionnaire unique, il mentionne également dans son rapport spécial les contrats conclus entre lui et la</w:t>
      </w:r>
      <w:r>
        <w:rPr>
          <w:color w:val="231F20"/>
          <w:spacing w:val="17"/>
        </w:rPr>
        <w:t> </w:t>
      </w:r>
      <w:r>
        <w:rPr>
          <w:color w:val="231F20"/>
        </w:rPr>
        <w:t>société.</w:t>
      </w:r>
    </w:p>
    <w:p>
      <w:pPr>
        <w:pStyle w:val="BodyText"/>
        <w:spacing w:line="218" w:lineRule="auto" w:before="107"/>
        <w:ind w:right="92"/>
      </w:pPr>
      <w:r>
        <w:rPr>
          <w:color w:val="231F20"/>
        </w:rPr>
        <w:t>Cette partie du procès-verbal ou ce rapport figure dans son intégralité dans le rapport de gestion ou dans une pièce qui est déposée en</w:t>
      </w:r>
      <w:r>
        <w:rPr>
          <w:color w:val="231F20"/>
          <w:spacing w:val="15"/>
        </w:rPr>
        <w:t> </w:t>
      </w:r>
      <w:r>
        <w:rPr>
          <w:color w:val="231F20"/>
        </w:rPr>
        <w:t>même</w:t>
      </w:r>
      <w:r>
        <w:rPr>
          <w:color w:val="231F20"/>
          <w:spacing w:val="15"/>
        </w:rPr>
        <w:t> </w:t>
      </w:r>
      <w:r>
        <w:rPr>
          <w:color w:val="231F20"/>
        </w:rPr>
        <w:t>temps</w:t>
      </w:r>
      <w:r>
        <w:rPr>
          <w:color w:val="231F20"/>
          <w:spacing w:val="15"/>
        </w:rPr>
        <w:t> </w:t>
      </w:r>
      <w:r>
        <w:rPr>
          <w:color w:val="231F20"/>
        </w:rPr>
        <w:t>que</w:t>
      </w:r>
      <w:r>
        <w:rPr>
          <w:color w:val="231F20"/>
          <w:spacing w:val="15"/>
        </w:rPr>
        <w:t> </w:t>
      </w:r>
      <w:r>
        <w:rPr>
          <w:color w:val="231F20"/>
        </w:rPr>
        <w:t>les</w:t>
      </w:r>
      <w:r>
        <w:rPr>
          <w:color w:val="231F20"/>
          <w:spacing w:val="15"/>
        </w:rPr>
        <w:t> </w:t>
      </w:r>
      <w:r>
        <w:rPr>
          <w:color w:val="231F20"/>
        </w:rPr>
        <w:t>comptes</w:t>
      </w:r>
      <w:r>
        <w:rPr>
          <w:color w:val="231F20"/>
          <w:spacing w:val="15"/>
        </w:rPr>
        <w:t> </w:t>
      </w:r>
      <w:r>
        <w:rPr>
          <w:color w:val="231F20"/>
        </w:rPr>
        <w:t>annuels.</w:t>
      </w:r>
    </w:p>
    <w:p>
      <w:pPr>
        <w:pStyle w:val="BodyText"/>
        <w:spacing w:line="216" w:lineRule="auto" w:before="109"/>
        <w:ind w:right="56"/>
        <w:jc w:val="left"/>
      </w:pPr>
      <w:r>
        <w:rPr>
          <w:color w:val="231F20"/>
        </w:rPr>
        <w:t>Si la société a nommé un commissaire, le procès-verbal ou le rapport lui est communiqué. Dans son rapport visé à l’article 3:74, le commissaire évalue dans une section séparée les conséquences patri- moniales pour la société des décisions de l’organe d’administration ou  de l’assemblée générale, telles que décrites dans le procès-verbal ou le rapport, pour lesquelles il existe un intérêt opposé tel que  </w:t>
      </w:r>
      <w:r>
        <w:rPr>
          <w:color w:val="231F20"/>
          <w:spacing w:val="2"/>
        </w:rPr>
        <w:t>visé  </w:t>
      </w:r>
      <w:r>
        <w:rPr>
          <w:color w:val="231F20"/>
        </w:rPr>
        <w:t>à  l’article 5:76, §</w:t>
      </w:r>
      <w:r>
        <w:rPr>
          <w:color w:val="231F20"/>
          <w:spacing w:val="3"/>
        </w:rPr>
        <w:t> </w:t>
      </w:r>
      <w:r>
        <w:rPr>
          <w:color w:val="231F20"/>
        </w:rPr>
        <w:t>1</w:t>
      </w:r>
      <w:r>
        <w:rPr>
          <w:color w:val="231F20"/>
          <w:position w:val="7"/>
          <w:sz w:val="11"/>
        </w:rPr>
        <w:t>er</w:t>
      </w:r>
      <w:r>
        <w:rPr>
          <w:color w:val="231F20"/>
        </w:rPr>
        <w:t>.</w:t>
      </w:r>
    </w:p>
    <w:p>
      <w:pPr>
        <w:pStyle w:val="BodyText"/>
        <w:spacing w:line="218" w:lineRule="auto" w:before="104"/>
        <w:ind w:right="92"/>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 société peut demander la nullité des décisions prises ou des opérations accomplies en violation des règles prévues au présent article ou à l’article 5:76 si l’autre partie   à ces décisions ou opérations avait ou devait avoir connaissance de  cette</w:t>
      </w:r>
      <w:r>
        <w:rPr>
          <w:color w:val="231F20"/>
          <w:spacing w:val="14"/>
        </w:rPr>
        <w:t> </w:t>
      </w:r>
      <w:r>
        <w:rPr>
          <w:color w:val="231F20"/>
        </w:rPr>
        <w:t>violation.</w:t>
      </w:r>
    </w:p>
    <w:p>
      <w:pPr>
        <w:pStyle w:val="BodyText"/>
        <w:spacing w:line="218" w:lineRule="auto" w:before="107"/>
        <w:ind w:right="92"/>
      </w:pPr>
      <w:r>
        <w:rPr>
          <w:color w:val="231F20"/>
        </w:rPr>
        <w:t>Art. 5:78. Sans préjudice de l’article 2:56, les administrateurs sont personnellement et solidairement responsables du préjudice subi par la société ou les tiers à la suite de décisions prises ou d’opérations accomplies en conformité avec les articles 5:76 et 5:77 si la décision ou l’opération leur a procuré ou a procuré à l’un d’eux un avantage financier abusif au détriment de la société.</w:t>
      </w:r>
    </w:p>
    <w:p>
      <w:pPr>
        <w:pStyle w:val="BodyText"/>
        <w:spacing w:before="7"/>
        <w:ind w:left="0" w:right="0" w:firstLine="0"/>
        <w:jc w:val="left"/>
        <w:rPr>
          <w:sz w:val="23"/>
        </w:rPr>
      </w:pPr>
    </w:p>
    <w:p>
      <w:pPr>
        <w:pStyle w:val="BodyText"/>
        <w:spacing w:before="1"/>
        <w:ind w:left="283" w:right="0" w:firstLine="0"/>
        <w:jc w:val="left"/>
      </w:pPr>
      <w:r>
        <w:rPr>
          <w:color w:val="231F20"/>
        </w:rPr>
        <w:t>Section 4. Gestion journalière.</w:t>
      </w:r>
    </w:p>
    <w:p>
      <w:pPr>
        <w:pStyle w:val="BodyText"/>
        <w:spacing w:line="218" w:lineRule="auto" w:before="103"/>
        <w:ind w:right="91"/>
      </w:pPr>
      <w:r>
        <w:rPr>
          <w:color w:val="231F20"/>
        </w:rPr>
        <w:t>Art. 5:79. L’organe d’administration peut charger une ou plusieurs personnes, qui agissent chacune individuellement, conjointement ou collégialement de la gestion journalière de la société, ainsi que de la représentation de la société en ce qui concerne cette gestion. Leur nomination, leur révocation et leurs pouvoirs sont déterminés par les statuts. L’organe d’administration qui a désigné l’organe de gestion journalière est chargé de la surveillance de celui-ci.</w:t>
      </w:r>
    </w:p>
    <w:p>
      <w:pPr>
        <w:pStyle w:val="BodyText"/>
        <w:spacing w:line="218" w:lineRule="auto" w:before="107"/>
        <w:ind w:right="91"/>
      </w:pPr>
      <w:r>
        <w:rPr>
          <w:color w:val="231F20"/>
        </w:rPr>
        <w:t>La gestion journalière comprend aussi bien les actes et les décisions qui n’excèdent pas les besoins de la vie quotidienne de la société que les actes et les décisions qui, soit en raison de leur intérêt mineur qu’ils représentent soit en raison de leur caractère urgent, ne justifient pas l’intervention de l’organe d’administration.</w:t>
      </w:r>
    </w:p>
    <w:p>
      <w:pPr>
        <w:pStyle w:val="BodyText"/>
        <w:spacing w:before="10"/>
        <w:ind w:left="0" w:right="0" w:firstLine="0"/>
        <w:jc w:val="left"/>
        <w:rPr>
          <w:sz w:val="24"/>
        </w:rPr>
      </w:pPr>
    </w:p>
    <w:p>
      <w:pPr>
        <w:pStyle w:val="BodyText"/>
        <w:spacing w:line="218" w:lineRule="auto"/>
        <w:ind w:right="91"/>
      </w:pPr>
      <w:r>
        <w:rPr>
          <w:color w:val="231F20"/>
        </w:rPr>
        <w:t>La disposition selon laquelle la gestion journalière est confiée à une ou plusieurs personnes qui agissent chacune individuellement, conjoin- tement ou collégialement est opposable aux tiers aux conditions fixées à l’article 2:18. Les restrictions apportées au pouvoir de représentation de l’organe chargé de la gestion journalière ne sont toutefois pas opposables</w:t>
      </w:r>
      <w:r>
        <w:rPr>
          <w:color w:val="231F20"/>
          <w:spacing w:val="15"/>
        </w:rPr>
        <w:t> </w:t>
      </w:r>
      <w:r>
        <w:rPr>
          <w:color w:val="231F20"/>
        </w:rPr>
        <w:t>aux</w:t>
      </w:r>
      <w:r>
        <w:rPr>
          <w:color w:val="231F20"/>
          <w:spacing w:val="15"/>
        </w:rPr>
        <w:t> </w:t>
      </w:r>
      <w:r>
        <w:rPr>
          <w:color w:val="231F20"/>
        </w:rPr>
        <w:t>tiers,</w:t>
      </w:r>
      <w:r>
        <w:rPr>
          <w:color w:val="231F20"/>
          <w:spacing w:val="15"/>
        </w:rPr>
        <w:t> </w:t>
      </w:r>
      <w:r>
        <w:rPr>
          <w:color w:val="231F20"/>
        </w:rPr>
        <w:t>même</w:t>
      </w:r>
      <w:r>
        <w:rPr>
          <w:color w:val="231F20"/>
          <w:spacing w:val="15"/>
        </w:rPr>
        <w:t> </w:t>
      </w:r>
      <w:r>
        <w:rPr>
          <w:color w:val="231F20"/>
        </w:rPr>
        <w:t>si</w:t>
      </w:r>
      <w:r>
        <w:rPr>
          <w:color w:val="231F20"/>
          <w:spacing w:val="15"/>
        </w:rPr>
        <w:t> </w:t>
      </w:r>
      <w:r>
        <w:rPr>
          <w:color w:val="231F20"/>
        </w:rPr>
        <w:t>elles</w:t>
      </w:r>
      <w:r>
        <w:rPr>
          <w:color w:val="231F20"/>
          <w:spacing w:val="15"/>
        </w:rPr>
        <w:t> </w:t>
      </w:r>
      <w:r>
        <w:rPr>
          <w:color w:val="231F20"/>
        </w:rPr>
        <w:t>sont</w:t>
      </w:r>
      <w:r>
        <w:rPr>
          <w:color w:val="231F20"/>
          <w:spacing w:val="16"/>
        </w:rPr>
        <w:t> </w:t>
      </w:r>
      <w:r>
        <w:rPr>
          <w:color w:val="231F20"/>
        </w:rPr>
        <w:t>publiées.</w:t>
      </w:r>
    </w:p>
    <w:p>
      <w:pPr>
        <w:pStyle w:val="BodyText"/>
        <w:spacing w:line="331" w:lineRule="auto" w:before="93"/>
        <w:ind w:left="283" w:right="887" w:firstLine="0"/>
        <w:jc w:val="left"/>
      </w:pPr>
      <w:r>
        <w:rPr>
          <w:color w:val="231F20"/>
        </w:rPr>
        <w:t>CHAPITRE 2. Assemblée générale des actionnaires. Section 1</w:t>
      </w:r>
      <w:r>
        <w:rPr>
          <w:color w:val="231F20"/>
          <w:position w:val="7"/>
          <w:sz w:val="11"/>
        </w:rPr>
        <w:t>re</w:t>
      </w:r>
      <w:r>
        <w:rPr>
          <w:color w:val="231F20"/>
        </w:rPr>
        <w:t>. Dispositions communes.</w:t>
      </w:r>
    </w:p>
    <w:p>
      <w:pPr>
        <w:pStyle w:val="BodyText"/>
        <w:spacing w:before="2"/>
        <w:ind w:left="283" w:right="0" w:firstLine="0"/>
        <w:jc w:val="left"/>
      </w:pPr>
      <w:r>
        <w:rPr>
          <w:color w:val="231F20"/>
        </w:rPr>
        <w:t>Sous-section 1</w:t>
      </w:r>
      <w:r>
        <w:rPr>
          <w:color w:val="231F20"/>
          <w:position w:val="7"/>
          <w:sz w:val="11"/>
        </w:rPr>
        <w:t>re</w:t>
      </w:r>
      <w:r>
        <w:rPr>
          <w:color w:val="231F20"/>
        </w:rPr>
        <w:t>. Égalité de traitement.</w:t>
      </w:r>
    </w:p>
    <w:p>
      <w:pPr>
        <w:pStyle w:val="BodyText"/>
        <w:spacing w:line="218" w:lineRule="auto" w:before="103"/>
        <w:ind w:right="92"/>
      </w:pPr>
      <w:r>
        <w:rPr>
          <w:color w:val="231F20"/>
        </w:rPr>
        <w:t>Art. 5:80. Dans l’application du présent chapitre, la société veille à assurer l’égalité de traitement de tous les actionnaires qui se trouvent dans une situation identique.</w:t>
      </w:r>
    </w:p>
    <w:p>
      <w:pPr>
        <w:pStyle w:val="BodyText"/>
        <w:spacing w:before="93"/>
        <w:ind w:left="283" w:right="0" w:firstLine="0"/>
        <w:jc w:val="left"/>
      </w:pPr>
      <w:r>
        <w:rPr>
          <w:color w:val="231F20"/>
        </w:rPr>
        <w:t>Sous-section 2. Pouvoirs.</w:t>
      </w:r>
    </w:p>
    <w:p>
      <w:pPr>
        <w:pStyle w:val="BodyText"/>
        <w:spacing w:line="218" w:lineRule="auto" w:before="104"/>
        <w:ind w:right="92"/>
      </w:pPr>
      <w:r>
        <w:rPr>
          <w:color w:val="231F20"/>
        </w:rPr>
        <w:t>Art. 5:81. L’assemblée générale des actionnaires exerce les pouvoirs que lui confère le présent code.</w:t>
      </w:r>
    </w:p>
    <w:p>
      <w:pPr>
        <w:pStyle w:val="BodyText"/>
        <w:spacing w:line="218" w:lineRule="auto" w:before="106"/>
        <w:ind w:right="91"/>
      </w:pPr>
      <w:r>
        <w:rPr>
          <w:color w:val="231F20"/>
        </w:rPr>
        <w:t>Les statuts peuvent étendre les pouvoirs de l’assemblée  générale. Une telle extension n’est pas opposable aux tiers, sauf si la société prouve que le tiers en avait connaissance ou ne pouvait l’ignorer compte tenu des circonstances, sans que la seule publication des statuts </w:t>
      </w:r>
      <w:r>
        <w:rPr>
          <w:color w:val="231F20"/>
          <w:spacing w:val="-4"/>
        </w:rPr>
        <w:t>suffise </w:t>
      </w:r>
      <w:r>
        <w:rPr>
          <w:color w:val="231F20"/>
        </w:rPr>
        <w:t>à constituer cette</w:t>
      </w:r>
      <w:r>
        <w:rPr>
          <w:color w:val="231F20"/>
          <w:spacing w:val="27"/>
        </w:rPr>
        <w:t> </w:t>
      </w:r>
      <w:r>
        <w:rPr>
          <w:color w:val="231F20"/>
        </w:rPr>
        <w:t>preuve.</w:t>
      </w:r>
    </w:p>
    <w:p>
      <w:pPr>
        <w:pStyle w:val="BodyText"/>
        <w:spacing w:before="10"/>
        <w:ind w:left="0" w:right="0" w:firstLine="0"/>
        <w:jc w:val="left"/>
        <w:rPr>
          <w:sz w:val="25"/>
        </w:rPr>
      </w:pPr>
    </w:p>
    <w:p>
      <w:pPr>
        <w:pStyle w:val="BodyText"/>
        <w:spacing w:line="218" w:lineRule="auto"/>
        <w:ind w:right="92"/>
      </w:pPr>
      <w:r>
        <w:rPr>
          <w:color w:val="231F20"/>
        </w:rPr>
        <w:t>Art. 5:82. Lorsque la société ne compte qu’un seul actionnaire, il exerce les pouvoirs dévolus à l’assemblée générale. Il ne peut les déléguer.</w:t>
      </w:r>
    </w:p>
    <w:p>
      <w:pPr>
        <w:pStyle w:val="BodyText"/>
        <w:spacing w:line="218" w:lineRule="auto" w:before="119"/>
        <w:ind w:right="125"/>
      </w:pPr>
      <w:r>
        <w:rPr/>
        <w:br w:type="column"/>
      </w:r>
      <w:r>
        <w:rPr>
          <w:color w:val="231F20"/>
        </w:rPr>
        <w:t>Bovendien zijn de paragrafen 1 tot 4 niet van toepassing wanneer de beslissingen van het bestuursorgaan betrekking hebben op gebruike- lijke verrichtingen die plaatshebben onder de voorwaarden en tegen de zekerheden die op de markt gewoonlijk gelden voor soortgelijke verrichtingen.</w:t>
      </w:r>
    </w:p>
    <w:p>
      <w:pPr>
        <w:pStyle w:val="BodyText"/>
        <w:spacing w:line="218" w:lineRule="auto" w:before="107"/>
      </w:pPr>
      <w:r>
        <w:rPr>
          <w:color w:val="231F20"/>
        </w:rPr>
        <w:t>Art. 5:77. § 1. De andere bestuurders, de algemene vergadering of de enige bestuurder die tevens de enige aandeelhouder is omschrijven in de  notulen  of  in  een  bijzonder  verslag  de  aard  van  de  in  arti-    kel 5:76 bedoelde beslissing of verrichting en de vermogensrechtelijke gevolgen ervan voor de vennootschap en verantwoorden zij het genomen besluit. In geval de bestuurder tevens de enige aandeelhou- der is, neemt hij in zijn bijzonder verslag eveneens de tussen hem en de vennootschap gesloten overeenkomsten</w:t>
      </w:r>
      <w:r>
        <w:rPr>
          <w:color w:val="231F20"/>
          <w:spacing w:val="5"/>
        </w:rPr>
        <w:t> </w:t>
      </w:r>
      <w:r>
        <w:rPr>
          <w:color w:val="231F20"/>
        </w:rPr>
        <w:t>op.</w:t>
      </w:r>
    </w:p>
    <w:p>
      <w:pPr>
        <w:pStyle w:val="BodyText"/>
        <w:spacing w:line="218" w:lineRule="auto" w:before="108"/>
      </w:pPr>
      <w:r>
        <w:rPr>
          <w:color w:val="231F20"/>
        </w:rPr>
        <w:t>Dit deel van de notulen of dit verslag wordt in zijn  geheel opgenomen in het jaarverslag of in een stuk dat samen met de jaarrekening wordt</w:t>
      </w:r>
      <w:r>
        <w:rPr>
          <w:color w:val="231F20"/>
          <w:spacing w:val="-11"/>
        </w:rPr>
        <w:t> </w:t>
      </w:r>
      <w:r>
        <w:rPr>
          <w:color w:val="231F20"/>
        </w:rPr>
        <w:t>neergelegd.</w:t>
      </w:r>
    </w:p>
    <w:p>
      <w:pPr>
        <w:pStyle w:val="BodyText"/>
        <w:spacing w:line="218" w:lineRule="auto" w:before="107"/>
        <w:ind w:right="125"/>
      </w:pPr>
      <w:r>
        <w:rPr>
          <w:color w:val="231F20"/>
        </w:rPr>
        <w:t>Ingeval de vennootschap een commissaris heeft benoemd, worden de notulen  of  het  verslag   aan   hem   meegedeeld.   In   zijn   in   arti-   kel 3:74 bedoelde verslag beoordeelt de commissaris, in een afzonder- lijke sectie, de vermogensrechtelijke gevolgen voor de</w:t>
      </w:r>
      <w:r>
        <w:rPr>
          <w:color w:val="231F20"/>
          <w:spacing w:val="33"/>
        </w:rPr>
        <w:t> </w:t>
      </w:r>
      <w:r>
        <w:rPr>
          <w:color w:val="231F20"/>
        </w:rPr>
        <w:t>vennootschap van de besluiten van het bestuursorgaan of de algemene vergadering, zoals omschreven in de notulen of het verslag, waarvoor een strijdig belang</w:t>
      </w:r>
      <w:r>
        <w:rPr>
          <w:color w:val="231F20"/>
          <w:spacing w:val="14"/>
        </w:rPr>
        <w:t> </w:t>
      </w:r>
      <w:r>
        <w:rPr>
          <w:color w:val="231F20"/>
        </w:rPr>
        <w:t>zoals</w:t>
      </w:r>
      <w:r>
        <w:rPr>
          <w:color w:val="231F20"/>
          <w:spacing w:val="15"/>
        </w:rPr>
        <w:t> </w:t>
      </w:r>
      <w:r>
        <w:rPr>
          <w:color w:val="231F20"/>
        </w:rPr>
        <w:t>bedoeld</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5:76,</w:t>
      </w:r>
      <w:r>
        <w:rPr>
          <w:color w:val="231F20"/>
          <w:spacing w:val="15"/>
        </w:rPr>
        <w:t> </w:t>
      </w:r>
      <w:r>
        <w:rPr>
          <w:color w:val="231F20"/>
        </w:rPr>
        <w:t>§</w:t>
      </w:r>
      <w:r>
        <w:rPr>
          <w:color w:val="231F20"/>
          <w:spacing w:val="15"/>
        </w:rPr>
        <w:t> </w:t>
      </w:r>
      <w:r>
        <w:rPr>
          <w:color w:val="231F20"/>
        </w:rPr>
        <w:t>1,</w:t>
      </w:r>
      <w:r>
        <w:rPr>
          <w:color w:val="231F20"/>
          <w:spacing w:val="14"/>
        </w:rPr>
        <w:t> </w:t>
      </w:r>
      <w:r>
        <w:rPr>
          <w:color w:val="231F20"/>
        </w:rPr>
        <w:t>bestaat.</w:t>
      </w:r>
    </w:p>
    <w:p>
      <w:pPr>
        <w:pStyle w:val="BodyText"/>
        <w:spacing w:line="218" w:lineRule="auto" w:before="107"/>
      </w:pPr>
      <w:r>
        <w:rPr>
          <w:color w:val="231F20"/>
        </w:rPr>
        <w:t>§ 2.  Onverminderd  het  recht  voor  de  in  de  artikelen  2:44  en  2:46 genoemde personen om de nietigheid of opschorting van het bestuursbesluit te vorderen, kan de vennootschap de nietigheid vorderen van besluiten of verrichtingen die hebben  plaatsgevonden met overtreding van de in dit artikel of artikel 5:76 bepaalde regels, indien de wederpartij bij die besluiten of verrichtingen van die overtreding</w:t>
      </w:r>
      <w:r>
        <w:rPr>
          <w:color w:val="231F20"/>
          <w:spacing w:val="16"/>
        </w:rPr>
        <w:t> </w:t>
      </w:r>
      <w:r>
        <w:rPr>
          <w:color w:val="231F20"/>
        </w:rPr>
        <w:t>op</w:t>
      </w:r>
      <w:r>
        <w:rPr>
          <w:color w:val="231F20"/>
          <w:spacing w:val="16"/>
        </w:rPr>
        <w:t> </w:t>
      </w:r>
      <w:r>
        <w:rPr>
          <w:color w:val="231F20"/>
        </w:rPr>
        <w:t>de</w:t>
      </w:r>
      <w:r>
        <w:rPr>
          <w:color w:val="231F20"/>
          <w:spacing w:val="17"/>
        </w:rPr>
        <w:t> </w:t>
      </w:r>
      <w:r>
        <w:rPr>
          <w:color w:val="231F20"/>
        </w:rPr>
        <w:t>hoogte</w:t>
      </w:r>
      <w:r>
        <w:rPr>
          <w:color w:val="231F20"/>
          <w:spacing w:val="16"/>
        </w:rPr>
        <w:t> </w:t>
      </w:r>
      <w:r>
        <w:rPr>
          <w:color w:val="231F20"/>
        </w:rPr>
        <w:t>was</w:t>
      </w:r>
      <w:r>
        <w:rPr>
          <w:color w:val="231F20"/>
          <w:spacing w:val="17"/>
        </w:rPr>
        <w:t> </w:t>
      </w:r>
      <w:r>
        <w:rPr>
          <w:color w:val="231F20"/>
        </w:rPr>
        <w:t>of</w:t>
      </w:r>
      <w:r>
        <w:rPr>
          <w:color w:val="231F20"/>
          <w:spacing w:val="16"/>
        </w:rPr>
        <w:t> </w:t>
      </w:r>
      <w:r>
        <w:rPr>
          <w:color w:val="231F20"/>
        </w:rPr>
        <w:t>had</w:t>
      </w:r>
      <w:r>
        <w:rPr>
          <w:color w:val="231F20"/>
          <w:spacing w:val="17"/>
        </w:rPr>
        <w:t> </w:t>
      </w:r>
      <w:r>
        <w:rPr>
          <w:color w:val="231F20"/>
        </w:rPr>
        <w:t>moeten</w:t>
      </w:r>
      <w:r>
        <w:rPr>
          <w:color w:val="231F20"/>
          <w:spacing w:val="16"/>
        </w:rPr>
        <w:t> </w:t>
      </w:r>
      <w:r>
        <w:rPr>
          <w:color w:val="231F20"/>
        </w:rPr>
        <w:t>zijn.</w:t>
      </w:r>
    </w:p>
    <w:p>
      <w:pPr>
        <w:pStyle w:val="BodyText"/>
        <w:spacing w:line="218" w:lineRule="auto" w:before="107"/>
      </w:pPr>
      <w:r>
        <w:rPr>
          <w:color w:val="231F20"/>
        </w:rPr>
        <w:t>Art. 5:78. Onverminderd artikel 2:56, zijn de bestuurders persoonlijk en hoofdelijk aansprakelijk voor de schade geleden door de vennoot- schap of door derden ten gevolge van beslissingen of verrichtingen die hebben</w:t>
      </w:r>
      <w:r>
        <w:rPr>
          <w:color w:val="231F20"/>
          <w:spacing w:val="-6"/>
        </w:rPr>
        <w:t> </w:t>
      </w:r>
      <w:r>
        <w:rPr>
          <w:color w:val="231F20"/>
        </w:rPr>
        <w:t>plaatsgevonden</w:t>
      </w:r>
      <w:r>
        <w:rPr>
          <w:color w:val="231F20"/>
          <w:spacing w:val="-5"/>
        </w:rPr>
        <w:t> </w:t>
      </w:r>
      <w:r>
        <w:rPr>
          <w:color w:val="231F20"/>
        </w:rPr>
        <w:t>met</w:t>
      </w:r>
      <w:r>
        <w:rPr>
          <w:color w:val="231F20"/>
          <w:spacing w:val="-6"/>
        </w:rPr>
        <w:t> </w:t>
      </w:r>
      <w:r>
        <w:rPr>
          <w:color w:val="231F20"/>
        </w:rPr>
        <w:t>inachtneming</w:t>
      </w:r>
      <w:r>
        <w:rPr>
          <w:color w:val="231F20"/>
          <w:spacing w:val="-5"/>
        </w:rPr>
        <w:t> </w:t>
      </w:r>
      <w:r>
        <w:rPr>
          <w:color w:val="231F20"/>
        </w:rPr>
        <w:t>van</w:t>
      </w:r>
      <w:r>
        <w:rPr>
          <w:color w:val="231F20"/>
          <w:spacing w:val="-6"/>
        </w:rPr>
        <w:t> </w:t>
      </w:r>
      <w:r>
        <w:rPr>
          <w:color w:val="231F20"/>
        </w:rPr>
        <w:t>de</w:t>
      </w:r>
      <w:r>
        <w:rPr>
          <w:color w:val="231F20"/>
          <w:spacing w:val="-5"/>
        </w:rPr>
        <w:t> </w:t>
      </w:r>
      <w:r>
        <w:rPr>
          <w:color w:val="231F20"/>
        </w:rPr>
        <w:t>artikelen</w:t>
      </w:r>
      <w:r>
        <w:rPr>
          <w:color w:val="231F20"/>
          <w:spacing w:val="-6"/>
        </w:rPr>
        <w:t> </w:t>
      </w:r>
      <w:r>
        <w:rPr>
          <w:color w:val="231F20"/>
        </w:rPr>
        <w:t>5:76</w:t>
      </w:r>
      <w:r>
        <w:rPr>
          <w:color w:val="231F20"/>
          <w:spacing w:val="-5"/>
        </w:rPr>
        <w:t> </w:t>
      </w:r>
      <w:r>
        <w:rPr>
          <w:color w:val="231F20"/>
        </w:rPr>
        <w:t>en</w:t>
      </w:r>
      <w:r>
        <w:rPr>
          <w:color w:val="231F20"/>
          <w:spacing w:val="-6"/>
        </w:rPr>
        <w:t> </w:t>
      </w:r>
      <w:r>
        <w:rPr>
          <w:color w:val="231F20"/>
        </w:rPr>
        <w:t>5:77, indien die beslissing of verrichting aan hen of aan een van hen een onrechtmatig financieel voordeel heeft bezorgd ten nadele van de vennootschap.</w:t>
      </w:r>
    </w:p>
    <w:p>
      <w:pPr>
        <w:pStyle w:val="BodyText"/>
        <w:spacing w:before="93"/>
        <w:ind w:left="283" w:right="0" w:firstLine="0"/>
        <w:jc w:val="left"/>
      </w:pPr>
      <w:r>
        <w:rPr>
          <w:color w:val="231F20"/>
        </w:rPr>
        <w:t>Afdeling 4. Dagelijks bestuur.</w:t>
      </w:r>
    </w:p>
    <w:p>
      <w:pPr>
        <w:pStyle w:val="BodyText"/>
        <w:spacing w:line="218" w:lineRule="auto" w:before="104"/>
      </w:pPr>
      <w:r>
        <w:rPr>
          <w:color w:val="231F20"/>
        </w:rPr>
        <w:t>Art. 5:79. Het bestuursorgaan kan het dagelijks bestuur van de vennootschap, alsook de vertegenwoordiging van de  vennootschap  wat dat bestuur aangaat, opdragen aan een of meer personen, die elk alleen, gezamenlijk of als college optreden. Hun benoeming, ontslag en bevoegdheid worden geregeld bij de statuten. Het bestuursorgaan dat het orgaan van dagelijks bestuur heeft aangesteld is belast met het toezicht op dit</w:t>
      </w:r>
      <w:r>
        <w:rPr>
          <w:color w:val="231F20"/>
          <w:spacing w:val="4"/>
        </w:rPr>
        <w:t> </w:t>
      </w:r>
      <w:r>
        <w:rPr>
          <w:color w:val="231F20"/>
        </w:rPr>
        <w:t>orgaan.</w:t>
      </w:r>
    </w:p>
    <w:p>
      <w:pPr>
        <w:pStyle w:val="BodyText"/>
        <w:spacing w:line="218" w:lineRule="auto" w:before="107"/>
      </w:pPr>
      <w:r>
        <w:rPr>
          <w:color w:val="231F20"/>
        </w:rPr>
        <w:t>Het dagelijks bestuur omvat zowel de handelingen en de beslissin- gen die niet verder reiken dan de behoeften van het dagelijks leven van de vennootschap, als de handelingen en de beslissingen die, ofwel om reden van hun minder belang dat ze vertonen ofwel omwille van hun spoedeisend karakter, de tussenkomst van het bestuursorgaan niet rechtvaardigen.</w:t>
      </w:r>
    </w:p>
    <w:p>
      <w:pPr>
        <w:pStyle w:val="BodyText"/>
        <w:spacing w:line="218" w:lineRule="auto" w:before="107"/>
      </w:pPr>
      <w:r>
        <w:rPr>
          <w:color w:val="231F20"/>
        </w:rPr>
        <w:t>De bepaling dat het dagelijks bestuur wordt opgedragen aan een of meer personen die elk alleen, gezamenlijk of als college optreden, kan aan derden worden tegengeworpen onder de voorwaarden bepaald in artikel 2:18. Beperkingen aan de vertegenwoordigingsbevoegdheid van het orgaan van dagelijks bestuur kunnen aan derden echter niet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line="350" w:lineRule="auto" w:before="93"/>
        <w:ind w:left="283" w:right="183" w:firstLine="0"/>
        <w:jc w:val="left"/>
      </w:pPr>
      <w:r>
        <w:rPr>
          <w:color w:val="231F20"/>
        </w:rPr>
        <w:t>HOOFDSTUK 2. Algemene vergadering van aandeelhouders. Afdeling 1. Gemeenschappelijke bepalingen.</w:t>
      </w:r>
    </w:p>
    <w:p>
      <w:pPr>
        <w:pStyle w:val="BodyText"/>
        <w:spacing w:before="1"/>
        <w:ind w:left="283" w:right="0" w:firstLine="0"/>
        <w:jc w:val="left"/>
      </w:pPr>
      <w:r>
        <w:rPr>
          <w:color w:val="231F20"/>
          <w:w w:val="105"/>
        </w:rPr>
        <w:t>Onderafdeling 1. Gelijke behandeling.</w:t>
      </w:r>
    </w:p>
    <w:p>
      <w:pPr>
        <w:pStyle w:val="BodyText"/>
        <w:spacing w:line="218" w:lineRule="auto" w:before="103"/>
      </w:pPr>
      <w:r>
        <w:rPr>
          <w:color w:val="231F20"/>
        </w:rPr>
        <w:t>Art. 5:80. Bij de toepassing van dit hoofdstuk draagt de</w:t>
      </w:r>
      <w:r>
        <w:rPr>
          <w:color w:val="231F20"/>
          <w:spacing w:val="-22"/>
        </w:rPr>
        <w:t> </w:t>
      </w:r>
      <w:r>
        <w:rPr>
          <w:color w:val="231F20"/>
        </w:rPr>
        <w:t>vennootschap zorg voor een gelijke behandeling van alle aandeelhouders die zich in gelijke omstandigheden</w:t>
      </w:r>
      <w:r>
        <w:rPr>
          <w:color w:val="231F20"/>
          <w:spacing w:val="-10"/>
        </w:rPr>
        <w:t> </w:t>
      </w:r>
      <w:r>
        <w:rPr>
          <w:color w:val="231F20"/>
        </w:rPr>
        <w:t>bevinden.</w:t>
      </w:r>
    </w:p>
    <w:p>
      <w:pPr>
        <w:pStyle w:val="BodyText"/>
        <w:spacing w:before="93"/>
        <w:ind w:left="283" w:right="0" w:firstLine="0"/>
        <w:jc w:val="left"/>
      </w:pPr>
      <w:r>
        <w:rPr>
          <w:color w:val="231F20"/>
        </w:rPr>
        <w:t>Onderafdeling 2. Bevoegdheden.</w:t>
      </w:r>
    </w:p>
    <w:p>
      <w:pPr>
        <w:pStyle w:val="BodyText"/>
        <w:spacing w:line="218" w:lineRule="auto" w:before="103"/>
      </w:pPr>
      <w:r>
        <w:rPr>
          <w:color w:val="231F20"/>
        </w:rPr>
        <w:t>Art. 5:81. De algemene vergadering van aandeelhouders oefent de bevoegdheden uit die dit wetboek haar toewijst.</w:t>
      </w:r>
    </w:p>
    <w:p>
      <w:pPr>
        <w:pStyle w:val="BodyText"/>
        <w:spacing w:line="218" w:lineRule="auto" w:before="107"/>
      </w:pPr>
      <w:r>
        <w:rPr>
          <w:color w:val="231F20"/>
        </w:rPr>
        <w:t>De statuten kunnen de bevoegdheden van de algemene vergadering uitbreiden. Zodanige uitbreiding kan niet aan derden worden tegenge- worpen, tenzij de vennootschap bewijst dat de derde daarvan op de hoogte was of </w:t>
      </w:r>
      <w:r>
        <w:rPr>
          <w:color w:val="231F20"/>
          <w:spacing w:val="-5"/>
        </w:rPr>
        <w:t>er, </w:t>
      </w:r>
      <w:r>
        <w:rPr>
          <w:color w:val="231F20"/>
        </w:rPr>
        <w:t>gezien de omstandigheden, niet onkundig van kon zijn; bekendmaking van de statuten alleen is echter geen voldoende bewijs.</w:t>
      </w:r>
    </w:p>
    <w:p>
      <w:pPr>
        <w:pStyle w:val="BodyText"/>
        <w:spacing w:line="218" w:lineRule="auto" w:before="118"/>
      </w:pPr>
      <w:r>
        <w:rPr>
          <w:color w:val="231F20"/>
        </w:rPr>
        <w:t>Art. 5:82. Wanneer de vennootschap slechts één aandeelhouder telt, oefent hij de bevoegdheden uit die aan de algemene vergadering zijn toegekend. Hij kan die niet overdragen.</w:t>
      </w:r>
    </w:p>
    <w:p>
      <w:pPr>
        <w:spacing w:after="0" w:line="218" w:lineRule="auto"/>
        <w:sectPr>
          <w:headerReference w:type="even" r:id="rId49"/>
          <w:headerReference w:type="default" r:id="rId50"/>
          <w:pgSz w:w="11940" w:h="16880"/>
          <w:pgMar w:header="666" w:footer="0" w:top="1140" w:bottom="280" w:left="340" w:right="360"/>
          <w:pgNumType w:start="33342"/>
          <w:cols w:num="2" w:equalWidth="0">
            <w:col w:w="5581" w:space="47"/>
            <w:col w:w="5612"/>
          </w:cols>
        </w:sectPr>
      </w:pPr>
    </w:p>
    <w:p>
      <w:pPr>
        <w:pStyle w:val="BodyText"/>
        <w:spacing w:before="106"/>
        <w:ind w:left="283" w:right="0" w:firstLine="0"/>
        <w:jc w:val="left"/>
      </w:pPr>
      <w:r>
        <w:rPr/>
        <w:pict>
          <v:line style="position:absolute;mso-position-horizontal-relative:page;mso-position-vertical-relative:page;z-index:3520" from="298.170502pt,64.473pt" to="298.170502pt,812.819pt" stroked="true" strokeweight=".533pt" strokecolor="#231f20">
            <v:stroke dashstyle="solid"/>
            <w10:wrap type="none"/>
          </v:line>
        </w:pict>
      </w:r>
      <w:bookmarkStart w:name="_bookmark104" w:id="109"/>
      <w:bookmarkEnd w:id="109"/>
      <w:r>
        <w:rPr/>
      </w:r>
      <w:r>
        <w:rPr>
          <w:color w:val="231F20"/>
        </w:rPr>
        <w:t>Sous-section 3. Convocation de l’assemblée générale.</w:t>
      </w:r>
    </w:p>
    <w:p>
      <w:pPr>
        <w:pStyle w:val="BodyText"/>
        <w:spacing w:line="218" w:lineRule="auto" w:before="92"/>
        <w:ind w:right="38"/>
      </w:pPr>
      <w:r>
        <w:rPr>
          <w:color w:val="231F20"/>
        </w:rPr>
        <w:t>Art.</w:t>
      </w:r>
      <w:r>
        <w:rPr>
          <w:color w:val="231F20"/>
          <w:spacing w:val="-6"/>
        </w:rPr>
        <w:t> </w:t>
      </w:r>
      <w:r>
        <w:rPr>
          <w:color w:val="231F20"/>
        </w:rPr>
        <w:t>5:83.</w:t>
      </w:r>
      <w:r>
        <w:rPr>
          <w:color w:val="231F20"/>
          <w:spacing w:val="-5"/>
        </w:rPr>
        <w:t> </w:t>
      </w:r>
      <w:r>
        <w:rPr>
          <w:color w:val="231F20"/>
          <w:spacing w:val="-3"/>
        </w:rPr>
        <w:t>L’organe</w:t>
      </w:r>
      <w:r>
        <w:rPr>
          <w:color w:val="231F20"/>
          <w:spacing w:val="-5"/>
        </w:rPr>
        <w:t> </w:t>
      </w:r>
      <w:r>
        <w:rPr>
          <w:color w:val="231F20"/>
        </w:rPr>
        <w:t>d’administration</w:t>
      </w:r>
      <w:r>
        <w:rPr>
          <w:color w:val="231F20"/>
          <w:spacing w:val="-6"/>
        </w:rPr>
        <w:t> </w:t>
      </w:r>
      <w:r>
        <w:rPr>
          <w:color w:val="231F20"/>
        </w:rPr>
        <w:t>et,</w:t>
      </w:r>
      <w:r>
        <w:rPr>
          <w:color w:val="231F20"/>
          <w:spacing w:val="-5"/>
        </w:rPr>
        <w:t> </w:t>
      </w:r>
      <w:r>
        <w:rPr>
          <w:color w:val="231F20"/>
        </w:rPr>
        <w:t>le</w:t>
      </w:r>
      <w:r>
        <w:rPr>
          <w:color w:val="231F20"/>
          <w:spacing w:val="-5"/>
        </w:rPr>
        <w:t> </w:t>
      </w:r>
      <w:r>
        <w:rPr>
          <w:color w:val="231F20"/>
        </w:rPr>
        <w:t>cas</w:t>
      </w:r>
      <w:r>
        <w:rPr>
          <w:color w:val="231F20"/>
          <w:spacing w:val="-5"/>
        </w:rPr>
        <w:t> </w:t>
      </w:r>
      <w:r>
        <w:rPr>
          <w:color w:val="231F20"/>
        </w:rPr>
        <w:t>échéant,</w:t>
      </w:r>
      <w:r>
        <w:rPr>
          <w:color w:val="231F20"/>
          <w:spacing w:val="-6"/>
        </w:rPr>
        <w:t> </w:t>
      </w:r>
      <w:r>
        <w:rPr>
          <w:color w:val="231F20"/>
        </w:rPr>
        <w:t>le</w:t>
      </w:r>
      <w:r>
        <w:rPr>
          <w:color w:val="231F20"/>
          <w:spacing w:val="-5"/>
        </w:rPr>
        <w:t> </w:t>
      </w:r>
      <w:r>
        <w:rPr>
          <w:color w:val="231F20"/>
        </w:rPr>
        <w:t>commissaire, convoquent l’assemblée générale et en fixent l’ordre du </w:t>
      </w:r>
      <w:r>
        <w:rPr>
          <w:color w:val="231F20"/>
          <w:spacing w:val="-3"/>
        </w:rPr>
        <w:t>jour. </w:t>
      </w:r>
      <w:r>
        <w:rPr>
          <w:color w:val="231F20"/>
        </w:rPr>
        <w:t>Ils doivent convoquer l’assemblée générale dans un délai de trois semaines lorsque des actionnaires qui représentent un dixième du nombre d’actions en circulation le demandent, avec au moins les points de l’ordre du jour proposés par ces</w:t>
      </w:r>
      <w:r>
        <w:rPr>
          <w:color w:val="231F20"/>
          <w:spacing w:val="3"/>
        </w:rPr>
        <w:t> </w:t>
      </w:r>
      <w:r>
        <w:rPr>
          <w:color w:val="231F20"/>
        </w:rPr>
        <w:t>actionnaires.</w:t>
      </w:r>
    </w:p>
    <w:p>
      <w:pPr>
        <w:pStyle w:val="BodyText"/>
        <w:spacing w:line="218" w:lineRule="auto" w:before="97"/>
        <w:ind w:right="38"/>
      </w:pPr>
      <w:r>
        <w:rPr>
          <w:color w:val="231F20"/>
        </w:rPr>
        <w:t>La convocation à l’assemblée générale contient l’ordre du jour avec les sujets à</w:t>
      </w:r>
      <w:r>
        <w:rPr>
          <w:color w:val="231F20"/>
          <w:spacing w:val="2"/>
        </w:rPr>
        <w:t> </w:t>
      </w:r>
      <w:r>
        <w:rPr>
          <w:color w:val="231F20"/>
        </w:rPr>
        <w:t>traiter.</w:t>
      </w:r>
    </w:p>
    <w:p>
      <w:pPr>
        <w:pStyle w:val="BodyText"/>
        <w:spacing w:line="218" w:lineRule="auto" w:before="96"/>
        <w:ind w:right="38"/>
      </w:pPr>
      <w:r>
        <w:rPr>
          <w:color w:val="231F20"/>
        </w:rPr>
        <w:t>Elle est communiquée, conformément à l’article 2:32, au moins quinze jours avant l’assemblée, aux actionnaires, aux titulaires d’obli- gations convertibles nominatives, de droits de souscription nominatifs ou de certificats nominatifs émis avec la collaboration de la société, aux membres de l’organe d’administration et, le cas échéant, au commis- saire.</w:t>
      </w:r>
    </w:p>
    <w:p>
      <w:pPr>
        <w:pStyle w:val="BodyText"/>
        <w:spacing w:line="218" w:lineRule="auto" w:before="96"/>
        <w:ind w:right="38"/>
      </w:pPr>
      <w:r>
        <w:rPr>
          <w:color w:val="231F20"/>
        </w:rPr>
        <w:t>Art. 5:84. En même temps que la convocation à l’assemblée générale, la société fournit aux actionnaires les pièces qu’elle doit mettre à leur disposition en vertu du présent code, de la manière visée à l’article</w:t>
      </w:r>
      <w:r>
        <w:rPr>
          <w:color w:val="231F20"/>
          <w:spacing w:val="-29"/>
        </w:rPr>
        <w:t> </w:t>
      </w:r>
      <w:r>
        <w:rPr>
          <w:color w:val="231F20"/>
        </w:rPr>
        <w:t>2:32.</w:t>
      </w:r>
    </w:p>
    <w:p>
      <w:pPr>
        <w:pStyle w:val="BodyText"/>
        <w:ind w:left="0" w:right="0" w:firstLine="0"/>
        <w:jc w:val="left"/>
        <w:rPr>
          <w:sz w:val="24"/>
        </w:rPr>
      </w:pPr>
    </w:p>
    <w:p>
      <w:pPr>
        <w:pStyle w:val="BodyText"/>
        <w:spacing w:line="218" w:lineRule="auto"/>
        <w:ind w:right="38"/>
      </w:pPr>
      <w:r>
        <w:rPr>
          <w:color w:val="231F20"/>
        </w:rPr>
        <w:t>La société fournit également de la même manière, sans délai et gratuitement, ces pièces aux autres personnes convoquées qui en font</w:t>
      </w:r>
      <w:r>
        <w:rPr>
          <w:color w:val="231F20"/>
          <w:spacing w:val="-10"/>
        </w:rPr>
        <w:t> </w:t>
      </w:r>
      <w:r>
        <w:rPr>
          <w:color w:val="231F20"/>
        </w:rPr>
        <w:t>la demande.</w:t>
      </w:r>
    </w:p>
    <w:p>
      <w:pPr>
        <w:pStyle w:val="BodyText"/>
        <w:spacing w:before="82"/>
        <w:ind w:left="283" w:right="0" w:firstLine="0"/>
        <w:jc w:val="left"/>
      </w:pPr>
      <w:r>
        <w:rPr>
          <w:color w:val="231F20"/>
        </w:rPr>
        <w:t>Sous-section 4. Assemblée générale écrite.</w:t>
      </w:r>
    </w:p>
    <w:p>
      <w:pPr>
        <w:pStyle w:val="BodyText"/>
        <w:spacing w:line="218" w:lineRule="auto" w:before="93"/>
        <w:ind w:right="38"/>
      </w:pPr>
      <w:r>
        <w:rPr>
          <w:color w:val="231F20"/>
        </w:rPr>
        <w:t>Art.</w:t>
      </w:r>
      <w:r>
        <w:rPr>
          <w:color w:val="231F20"/>
          <w:spacing w:val="-4"/>
        </w:rPr>
        <w:t> </w:t>
      </w:r>
      <w:r>
        <w:rPr>
          <w:color w:val="231F20"/>
        </w:rPr>
        <w:t>5:85.</w:t>
      </w:r>
      <w:r>
        <w:rPr>
          <w:color w:val="231F20"/>
          <w:spacing w:val="-4"/>
        </w:rPr>
        <w:t> </w:t>
      </w:r>
      <w:r>
        <w:rPr>
          <w:color w:val="231F20"/>
        </w:rPr>
        <w:t>Les</w:t>
      </w:r>
      <w:r>
        <w:rPr>
          <w:color w:val="231F20"/>
          <w:spacing w:val="-3"/>
        </w:rPr>
        <w:t> </w:t>
      </w:r>
      <w:r>
        <w:rPr>
          <w:color w:val="231F20"/>
        </w:rPr>
        <w:t>actionnaires</w:t>
      </w:r>
      <w:r>
        <w:rPr>
          <w:color w:val="231F20"/>
          <w:spacing w:val="-4"/>
        </w:rPr>
        <w:t> </w:t>
      </w:r>
      <w:r>
        <w:rPr>
          <w:color w:val="231F20"/>
        </w:rPr>
        <w:t>peuvent,</w:t>
      </w:r>
      <w:r>
        <w:rPr>
          <w:color w:val="231F20"/>
          <w:spacing w:val="-3"/>
        </w:rPr>
        <w:t> </w:t>
      </w:r>
      <w:r>
        <w:rPr>
          <w:color w:val="231F20"/>
        </w:rPr>
        <w:t>à</w:t>
      </w:r>
      <w:r>
        <w:rPr>
          <w:color w:val="231F20"/>
          <w:spacing w:val="-4"/>
        </w:rPr>
        <w:t> </w:t>
      </w:r>
      <w:r>
        <w:rPr>
          <w:color w:val="231F20"/>
        </w:rPr>
        <w:t>l’unanimité</w:t>
      </w:r>
      <w:r>
        <w:rPr>
          <w:color w:val="231F20"/>
          <w:spacing w:val="-3"/>
        </w:rPr>
        <w:t> </w:t>
      </w:r>
      <w:r>
        <w:rPr>
          <w:color w:val="231F20"/>
        </w:rPr>
        <w:t>et</w:t>
      </w:r>
      <w:r>
        <w:rPr>
          <w:color w:val="231F20"/>
          <w:spacing w:val="-4"/>
        </w:rPr>
        <w:t> </w:t>
      </w:r>
      <w:r>
        <w:rPr>
          <w:color w:val="231F20"/>
        </w:rPr>
        <w:t>par</w:t>
      </w:r>
      <w:r>
        <w:rPr>
          <w:color w:val="231F20"/>
          <w:spacing w:val="-3"/>
        </w:rPr>
        <w:t> </w:t>
      </w:r>
      <w:r>
        <w:rPr>
          <w:color w:val="231F20"/>
        </w:rPr>
        <w:t>écrit,</w:t>
      </w:r>
      <w:r>
        <w:rPr>
          <w:color w:val="231F20"/>
          <w:spacing w:val="-4"/>
        </w:rPr>
        <w:t> </w:t>
      </w:r>
      <w:r>
        <w:rPr>
          <w:color w:val="231F20"/>
        </w:rPr>
        <w:t>prendre toutes les décisions qui relèvent des pouvoirs de l’assemblée générale,  à l’exception de celles qui doivent être reçues dans un acte authentique. Dans ce cas, les formalités de convocation ne doivent pas être respectées. Les membres de l’organe d’administration, le commissaire et les titulaires d’obligations convertibles, de droits de souscription ou de certificats émis avec la collaboration de la société peuvent, à leur demande,</w:t>
      </w:r>
      <w:r>
        <w:rPr>
          <w:color w:val="231F20"/>
          <w:spacing w:val="14"/>
        </w:rPr>
        <w:t> </w:t>
      </w:r>
      <w:r>
        <w:rPr>
          <w:color w:val="231F20"/>
        </w:rPr>
        <w:t>prendre</w:t>
      </w:r>
      <w:r>
        <w:rPr>
          <w:color w:val="231F20"/>
          <w:spacing w:val="15"/>
        </w:rPr>
        <w:t> </w:t>
      </w:r>
      <w:r>
        <w:rPr>
          <w:color w:val="231F20"/>
        </w:rPr>
        <w:t>connaissance</w:t>
      </w:r>
      <w:r>
        <w:rPr>
          <w:color w:val="231F20"/>
          <w:spacing w:val="15"/>
        </w:rPr>
        <w:t> </w:t>
      </w:r>
      <w:r>
        <w:rPr>
          <w:color w:val="231F20"/>
        </w:rPr>
        <w:t>de</w:t>
      </w:r>
      <w:r>
        <w:rPr>
          <w:color w:val="231F20"/>
          <w:spacing w:val="15"/>
        </w:rPr>
        <w:t> </w:t>
      </w:r>
      <w:r>
        <w:rPr>
          <w:color w:val="231F20"/>
        </w:rPr>
        <w:t>ces</w:t>
      </w:r>
      <w:r>
        <w:rPr>
          <w:color w:val="231F20"/>
          <w:spacing w:val="15"/>
        </w:rPr>
        <w:t> </w:t>
      </w:r>
      <w:r>
        <w:rPr>
          <w:color w:val="231F20"/>
        </w:rPr>
        <w:t>décisions.</w:t>
      </w:r>
    </w:p>
    <w:p>
      <w:pPr>
        <w:pStyle w:val="BodyText"/>
        <w:spacing w:before="82"/>
        <w:ind w:left="283" w:right="0" w:firstLine="0"/>
        <w:jc w:val="left"/>
      </w:pPr>
      <w:r>
        <w:rPr>
          <w:color w:val="231F20"/>
        </w:rPr>
        <w:t>Sous-section 5. Participation à l’assemblée générale.</w:t>
      </w:r>
    </w:p>
    <w:p>
      <w:pPr>
        <w:pStyle w:val="BodyText"/>
        <w:spacing w:before="79"/>
        <w:ind w:left="283" w:right="0" w:firstLine="0"/>
        <w:jc w:val="left"/>
      </w:pPr>
      <w:r>
        <w:rPr>
          <w:color w:val="231F20"/>
        </w:rPr>
        <w:t>Art. 5:86. Les actionnaires peuvent participer à l’assemblée générale.</w:t>
      </w:r>
    </w:p>
    <w:p>
      <w:pPr>
        <w:pStyle w:val="BodyText"/>
        <w:spacing w:before="7"/>
        <w:ind w:left="0" w:right="0" w:firstLine="0"/>
        <w:jc w:val="left"/>
        <w:rPr>
          <w:sz w:val="23"/>
        </w:rPr>
      </w:pPr>
    </w:p>
    <w:p>
      <w:pPr>
        <w:pStyle w:val="BodyText"/>
        <w:spacing w:line="218" w:lineRule="auto"/>
        <w:ind w:right="38"/>
      </w:pPr>
      <w:r>
        <w:rPr>
          <w:color w:val="231F20"/>
        </w:rPr>
        <w:t>Les titulaires d’obligations convertibles, de droits de souscription et de certificats émis en collaboration avec la société peuvent assister à l’assemblée générale avec voix consultative.</w:t>
      </w:r>
    </w:p>
    <w:p>
      <w:pPr>
        <w:pStyle w:val="BodyText"/>
        <w:spacing w:line="218" w:lineRule="auto" w:before="96"/>
        <w:ind w:right="38"/>
      </w:pPr>
      <w:r>
        <w:rPr>
          <w:color w:val="231F20"/>
        </w:rPr>
        <w:t>Art. 5:87. Les membres de l’organe d’administration assistent à l’assemblée générale.</w:t>
      </w:r>
    </w:p>
    <w:p>
      <w:pPr>
        <w:pStyle w:val="BodyText"/>
        <w:spacing w:line="218" w:lineRule="auto" w:before="96"/>
        <w:ind w:right="38"/>
      </w:pPr>
      <w:r>
        <w:rPr>
          <w:color w:val="231F20"/>
        </w:rPr>
        <w:t>Lorsque l’assemblée générale délibère sur la base d’un rapport rédigé par le commissaire, celui-ci assiste à l’assemblée.</w:t>
      </w:r>
    </w:p>
    <w:p>
      <w:pPr>
        <w:pStyle w:val="BodyText"/>
        <w:spacing w:line="218" w:lineRule="auto" w:before="96"/>
        <w:ind w:right="38"/>
      </w:pPr>
      <w:r>
        <w:rPr>
          <w:color w:val="231F20"/>
        </w:rPr>
        <w:t>Art.</w:t>
      </w:r>
      <w:r>
        <w:rPr>
          <w:color w:val="231F20"/>
          <w:spacing w:val="-5"/>
        </w:rPr>
        <w:t> </w:t>
      </w:r>
      <w:r>
        <w:rPr>
          <w:color w:val="231F20"/>
        </w:rPr>
        <w:t>5:88.</w:t>
      </w:r>
      <w:r>
        <w:rPr>
          <w:color w:val="231F20"/>
          <w:spacing w:val="-4"/>
        </w:rPr>
        <w:t> </w:t>
      </w:r>
      <w:r>
        <w:rPr>
          <w:color w:val="231F20"/>
        </w:rPr>
        <w:t>Les</w:t>
      </w:r>
      <w:r>
        <w:rPr>
          <w:color w:val="231F20"/>
          <w:spacing w:val="-5"/>
        </w:rPr>
        <w:t> </w:t>
      </w:r>
      <w:r>
        <w:rPr>
          <w:color w:val="231F20"/>
        </w:rPr>
        <w:t>statuts</w:t>
      </w:r>
      <w:r>
        <w:rPr>
          <w:color w:val="231F20"/>
          <w:spacing w:val="-4"/>
        </w:rPr>
        <w:t> </w:t>
      </w:r>
      <w:r>
        <w:rPr>
          <w:color w:val="231F20"/>
        </w:rPr>
        <w:t>déterminent</w:t>
      </w:r>
      <w:r>
        <w:rPr>
          <w:color w:val="231F20"/>
          <w:spacing w:val="-5"/>
        </w:rPr>
        <w:t> </w:t>
      </w:r>
      <w:r>
        <w:rPr>
          <w:color w:val="231F20"/>
        </w:rPr>
        <w:t>les</w:t>
      </w:r>
      <w:r>
        <w:rPr>
          <w:color w:val="231F20"/>
          <w:spacing w:val="-4"/>
        </w:rPr>
        <w:t> </w:t>
      </w:r>
      <w:r>
        <w:rPr>
          <w:color w:val="231F20"/>
        </w:rPr>
        <w:t>formalités</w:t>
      </w:r>
      <w:r>
        <w:rPr>
          <w:color w:val="231F20"/>
          <w:spacing w:val="-4"/>
        </w:rPr>
        <w:t> </w:t>
      </w:r>
      <w:r>
        <w:rPr>
          <w:color w:val="231F20"/>
        </w:rPr>
        <w:t>à</w:t>
      </w:r>
      <w:r>
        <w:rPr>
          <w:color w:val="231F20"/>
          <w:spacing w:val="-5"/>
        </w:rPr>
        <w:t> </w:t>
      </w:r>
      <w:r>
        <w:rPr>
          <w:color w:val="231F20"/>
        </w:rPr>
        <w:t>accomplir</w:t>
      </w:r>
      <w:r>
        <w:rPr>
          <w:color w:val="231F20"/>
          <w:spacing w:val="-4"/>
        </w:rPr>
        <w:t> </w:t>
      </w:r>
      <w:r>
        <w:rPr>
          <w:color w:val="231F20"/>
        </w:rPr>
        <w:t>pour</w:t>
      </w:r>
      <w:r>
        <w:rPr>
          <w:color w:val="231F20"/>
          <w:spacing w:val="-5"/>
        </w:rPr>
        <w:t> </w:t>
      </w:r>
      <w:r>
        <w:rPr>
          <w:color w:val="231F20"/>
        </w:rPr>
        <w:t>être admis à l’assemblée</w:t>
      </w:r>
      <w:r>
        <w:rPr>
          <w:color w:val="231F20"/>
          <w:spacing w:val="4"/>
        </w:rPr>
        <w:t> </w:t>
      </w:r>
      <w:r>
        <w:rPr>
          <w:color w:val="231F20"/>
        </w:rPr>
        <w:t>générale.</w:t>
      </w:r>
    </w:p>
    <w:p>
      <w:pPr>
        <w:pStyle w:val="BodyText"/>
        <w:spacing w:line="218" w:lineRule="auto" w:before="97"/>
        <w:ind w:right="38"/>
      </w:pPr>
      <w:r>
        <w:rPr>
          <w:color w:val="231F20"/>
        </w:rPr>
        <w:t>Les titulaires d’actions, d’obligations convertibles, de droits de souscription et de certificats émis en collaboration avec la société qui ont rempli les formalités pour être admis à une assemblée générale sont également admis à chaque assemblée générale ultérieure comportant les mêmes points d’ordre du </w:t>
      </w:r>
      <w:r>
        <w:rPr>
          <w:color w:val="231F20"/>
          <w:spacing w:val="-3"/>
        </w:rPr>
        <w:t>jour, </w:t>
      </w:r>
      <w:r>
        <w:rPr>
          <w:color w:val="231F20"/>
        </w:rPr>
        <w:t>à moins que la société soit informée d’une cession des titres</w:t>
      </w:r>
      <w:r>
        <w:rPr>
          <w:color w:val="231F20"/>
          <w:spacing w:val="18"/>
        </w:rPr>
        <w:t> </w:t>
      </w:r>
      <w:r>
        <w:rPr>
          <w:color w:val="231F20"/>
        </w:rPr>
        <w:t>concernés.</w:t>
      </w:r>
    </w:p>
    <w:p>
      <w:pPr>
        <w:pStyle w:val="BodyText"/>
        <w:spacing w:before="7"/>
        <w:ind w:left="0" w:right="0" w:firstLine="0"/>
        <w:jc w:val="left"/>
        <w:rPr>
          <w:sz w:val="22"/>
        </w:rPr>
      </w:pPr>
    </w:p>
    <w:p>
      <w:pPr>
        <w:pStyle w:val="BodyText"/>
        <w:spacing w:line="218" w:lineRule="auto"/>
        <w:ind w:right="38" w:firstLine="171"/>
      </w:pPr>
      <w:r>
        <w:rPr>
          <w:color w:val="231F20"/>
        </w:rPr>
        <w:t>Art. 5:89. § 1</w:t>
      </w:r>
      <w:r>
        <w:rPr>
          <w:color w:val="231F20"/>
          <w:position w:val="7"/>
          <w:sz w:val="11"/>
        </w:rPr>
        <w:t>er</w:t>
      </w:r>
      <w:r>
        <w:rPr>
          <w:color w:val="231F20"/>
        </w:rPr>
        <w:t>. Les statuts peuvent prévoir la possibilité pour les titulaires d’actions, d’obligations convertibles, de droits de souscription et de certificats émis en collaboration avec la société de participer à distance à l’assemblée générale grâce à un moyen de communication électronique mis à disposition par la société. Pour ce qui concerne le respect des conditions de quorum et de majorité, les titulaires de titres qui participent de cette manière à l’assemblée générale sont réputés présents à l’endroit où se tient l’assemblée générale.</w:t>
      </w:r>
    </w:p>
    <w:p>
      <w:pPr>
        <w:pStyle w:val="BodyText"/>
        <w:ind w:left="0" w:right="0" w:firstLine="0"/>
        <w:jc w:val="left"/>
        <w:rPr>
          <w:sz w:val="20"/>
        </w:rPr>
      </w:pPr>
    </w:p>
    <w:p>
      <w:pPr>
        <w:pStyle w:val="BodyText"/>
        <w:spacing w:before="2"/>
        <w:ind w:left="0" w:right="0" w:firstLine="0"/>
        <w:jc w:val="left"/>
        <w:rPr>
          <w:sz w:val="18"/>
        </w:rPr>
      </w:pPr>
    </w:p>
    <w:p>
      <w:pPr>
        <w:pStyle w:val="BodyText"/>
        <w:spacing w:line="216" w:lineRule="auto" w:before="1"/>
        <w:ind w:right="38"/>
      </w:pPr>
      <w:r>
        <w:rPr>
          <w:color w:val="231F20"/>
        </w:rPr>
        <w:t>Pour l’application de l’alinéa 1</w:t>
      </w:r>
      <w:r>
        <w:rPr>
          <w:color w:val="231F20"/>
          <w:position w:val="7"/>
          <w:sz w:val="11"/>
        </w:rPr>
        <w:t>er</w:t>
      </w:r>
      <w:r>
        <w:rPr>
          <w:color w:val="231F20"/>
        </w:rPr>
        <w:t>, la société doit être en mesure de contrôler, par le moyen de communication électronique utilisé, la qualité et l’identité du titulaire de titres visé à l’alinéa 1</w:t>
      </w:r>
      <w:r>
        <w:rPr>
          <w:color w:val="231F20"/>
          <w:position w:val="7"/>
          <w:sz w:val="11"/>
        </w:rPr>
        <w:t>er </w:t>
      </w:r>
      <w:r>
        <w:rPr>
          <w:color w:val="231F20"/>
        </w:rPr>
        <w:t>de la manière définie par les statuts ou en vertu de ceux-ci. Des conditions supplé- mentaires peuvent être imposées par les statuts ou en vertu de ceux-ci pour l’utilisation du moyen de communication électronique, avec pour seul objectif la garantie de la sécurité du moyen de communication électronique.</w:t>
      </w:r>
    </w:p>
    <w:p>
      <w:pPr>
        <w:pStyle w:val="BodyText"/>
        <w:spacing w:line="218" w:lineRule="auto" w:before="91"/>
        <w:ind w:right="38"/>
      </w:pPr>
      <w:r>
        <w:rPr>
          <w:color w:val="231F20"/>
        </w:rPr>
        <w:t>Pour l’application de l’alinéa 1</w:t>
      </w:r>
      <w:r>
        <w:rPr>
          <w:color w:val="231F20"/>
          <w:position w:val="7"/>
          <w:sz w:val="11"/>
        </w:rPr>
        <w:t>er</w:t>
      </w:r>
      <w:r>
        <w:rPr>
          <w:color w:val="231F20"/>
        </w:rPr>
        <w:t>, et sans préjudice de toute restriction imposée </w:t>
      </w:r>
      <w:r>
        <w:rPr>
          <w:color w:val="231F20"/>
          <w:spacing w:val="24"/>
        </w:rPr>
        <w:t> </w:t>
      </w:r>
      <w:r>
        <w:rPr>
          <w:color w:val="231F20"/>
        </w:rPr>
        <w:t>par </w:t>
      </w:r>
      <w:r>
        <w:rPr>
          <w:color w:val="231F20"/>
          <w:spacing w:val="24"/>
        </w:rPr>
        <w:t> </w:t>
      </w:r>
      <w:r>
        <w:rPr>
          <w:color w:val="231F20"/>
        </w:rPr>
        <w:t>ou </w:t>
      </w:r>
      <w:r>
        <w:rPr>
          <w:color w:val="231F20"/>
          <w:spacing w:val="24"/>
        </w:rPr>
        <w:t> </w:t>
      </w:r>
      <w:r>
        <w:rPr>
          <w:color w:val="231F20"/>
        </w:rPr>
        <w:t>en </w:t>
      </w:r>
      <w:r>
        <w:rPr>
          <w:color w:val="231F20"/>
          <w:spacing w:val="25"/>
        </w:rPr>
        <w:t> </w:t>
      </w:r>
      <w:r>
        <w:rPr>
          <w:color w:val="231F20"/>
        </w:rPr>
        <w:t>vertu </w:t>
      </w:r>
      <w:r>
        <w:rPr>
          <w:color w:val="231F20"/>
          <w:spacing w:val="24"/>
        </w:rPr>
        <w:t> </w:t>
      </w:r>
      <w:r>
        <w:rPr>
          <w:color w:val="231F20"/>
        </w:rPr>
        <w:t>de </w:t>
      </w:r>
      <w:r>
        <w:rPr>
          <w:color w:val="231F20"/>
          <w:spacing w:val="24"/>
        </w:rPr>
        <w:t> </w:t>
      </w:r>
      <w:r>
        <w:rPr>
          <w:color w:val="231F20"/>
        </w:rPr>
        <w:t>la </w:t>
      </w:r>
      <w:r>
        <w:rPr>
          <w:color w:val="231F20"/>
          <w:spacing w:val="25"/>
        </w:rPr>
        <w:t> </w:t>
      </w:r>
      <w:r>
        <w:rPr>
          <w:color w:val="231F20"/>
        </w:rPr>
        <w:t>loi, </w:t>
      </w:r>
      <w:r>
        <w:rPr>
          <w:color w:val="231F20"/>
          <w:spacing w:val="24"/>
        </w:rPr>
        <w:t> </w:t>
      </w:r>
      <w:r>
        <w:rPr>
          <w:color w:val="231F20"/>
        </w:rPr>
        <w:t>le </w:t>
      </w:r>
      <w:r>
        <w:rPr>
          <w:color w:val="231F20"/>
          <w:spacing w:val="24"/>
        </w:rPr>
        <w:t> </w:t>
      </w:r>
      <w:r>
        <w:rPr>
          <w:color w:val="231F20"/>
        </w:rPr>
        <w:t>moyen </w:t>
      </w:r>
      <w:r>
        <w:rPr>
          <w:color w:val="231F20"/>
          <w:spacing w:val="25"/>
        </w:rPr>
        <w:t> </w:t>
      </w:r>
      <w:r>
        <w:rPr>
          <w:color w:val="231F20"/>
        </w:rPr>
        <w:t>de </w:t>
      </w:r>
      <w:r>
        <w:rPr>
          <w:color w:val="231F20"/>
          <w:spacing w:val="24"/>
        </w:rPr>
        <w:t> </w:t>
      </w:r>
      <w:r>
        <w:rPr>
          <w:color w:val="231F20"/>
        </w:rPr>
        <w:t>communication</w:t>
      </w:r>
    </w:p>
    <w:p>
      <w:pPr>
        <w:pStyle w:val="BodyText"/>
        <w:spacing w:line="180" w:lineRule="auto" w:before="14"/>
        <w:ind w:right="38" w:firstLine="0"/>
      </w:pPr>
      <w:r>
        <w:rPr>
          <w:color w:val="231F20"/>
          <w:w w:val="99"/>
        </w:rPr>
        <w:t>é</w:t>
      </w:r>
      <w:r>
        <w:rPr>
          <w:color w:val="231F20"/>
          <w:w w:val="98"/>
        </w:rPr>
        <w:t>lect</w:t>
      </w:r>
      <w:r>
        <w:rPr>
          <w:color w:val="231F20"/>
          <w:spacing w:val="-4"/>
          <w:w w:val="98"/>
        </w:rPr>
        <w:t>r</w:t>
      </w:r>
      <w:r>
        <w:rPr>
          <w:color w:val="231F20"/>
          <w:w w:val="100"/>
        </w:rPr>
        <w:t>oni</w:t>
      </w:r>
      <w:r>
        <w:rPr>
          <w:color w:val="231F20"/>
          <w:spacing w:val="-55"/>
          <w:w w:val="100"/>
        </w:rPr>
        <w:t>q</w:t>
      </w:r>
      <w:r>
        <w:rPr>
          <w:color w:val="231F20"/>
          <w:w w:val="99"/>
          <w:position w:val="-5"/>
          <w:sz w:val="9"/>
        </w:rPr>
        <w:t>e</w:t>
      </w:r>
      <w:r>
        <w:rPr>
          <w:color w:val="231F20"/>
          <w:spacing w:val="-24"/>
          <w:w w:val="96"/>
          <w:position w:val="-5"/>
          <w:sz w:val="9"/>
        </w:rPr>
        <w:t>r</w:t>
      </w:r>
      <w:r>
        <w:rPr>
          <w:color w:val="231F20"/>
          <w:w w:val="102"/>
        </w:rPr>
        <w:t>ue</w:t>
      </w:r>
      <w:r>
        <w:rPr>
          <w:color w:val="231F20"/>
        </w:rPr>
        <w:t> </w:t>
      </w:r>
      <w:r>
        <w:rPr>
          <w:color w:val="231F20"/>
          <w:spacing w:val="-4"/>
        </w:rPr>
        <w:t> </w:t>
      </w:r>
      <w:r>
        <w:rPr>
          <w:color w:val="231F20"/>
          <w:w w:val="101"/>
        </w:rPr>
        <w:t>doit</w:t>
      </w:r>
      <w:r>
        <w:rPr>
          <w:color w:val="231F20"/>
        </w:rPr>
        <w:t> </w:t>
      </w:r>
      <w:r>
        <w:rPr>
          <w:color w:val="231F20"/>
          <w:spacing w:val="-4"/>
        </w:rPr>
        <w:t> </w:t>
      </w:r>
      <w:r>
        <w:rPr>
          <w:color w:val="231F20"/>
          <w:w w:val="102"/>
        </w:rPr>
        <w:t>au</w:t>
      </w:r>
      <w:r>
        <w:rPr>
          <w:color w:val="231F20"/>
        </w:rPr>
        <w:t> </w:t>
      </w:r>
      <w:r>
        <w:rPr>
          <w:color w:val="231F20"/>
          <w:spacing w:val="-4"/>
        </w:rPr>
        <w:t> </w:t>
      </w:r>
      <w:r>
        <w:rPr>
          <w:color w:val="231F20"/>
          <w:w w:val="99"/>
        </w:rPr>
        <w:t>moins</w:t>
      </w:r>
      <w:r>
        <w:rPr>
          <w:color w:val="231F20"/>
        </w:rPr>
        <w:t> </w:t>
      </w:r>
      <w:r>
        <w:rPr>
          <w:color w:val="231F20"/>
          <w:spacing w:val="-4"/>
        </w:rPr>
        <w:t> </w:t>
      </w:r>
      <w:r>
        <w:rPr>
          <w:color w:val="231F20"/>
          <w:w w:val="99"/>
        </w:rPr>
        <w:t>permett</w:t>
      </w:r>
      <w:r>
        <w:rPr>
          <w:color w:val="231F20"/>
          <w:spacing w:val="-4"/>
          <w:w w:val="99"/>
        </w:rPr>
        <w:t>r</w:t>
      </w:r>
      <w:r>
        <w:rPr>
          <w:color w:val="231F20"/>
          <w:w w:val="99"/>
        </w:rPr>
        <w:t>e</w:t>
      </w:r>
      <w:r>
        <w:rPr>
          <w:color w:val="231F20"/>
        </w:rPr>
        <w:t> </w:t>
      </w:r>
      <w:r>
        <w:rPr>
          <w:color w:val="231F20"/>
          <w:spacing w:val="-4"/>
        </w:rPr>
        <w:t> </w:t>
      </w:r>
      <w:r>
        <w:rPr>
          <w:color w:val="231F20"/>
          <w:w w:val="102"/>
        </w:rPr>
        <w:t>aux</w:t>
      </w:r>
      <w:r>
        <w:rPr>
          <w:color w:val="231F20"/>
        </w:rPr>
        <w:t> </w:t>
      </w:r>
      <w:r>
        <w:rPr>
          <w:color w:val="231F20"/>
          <w:spacing w:val="-4"/>
        </w:rPr>
        <w:t> </w:t>
      </w:r>
      <w:r>
        <w:rPr>
          <w:color w:val="231F20"/>
          <w:w w:val="99"/>
        </w:rPr>
        <w:t>titulai</w:t>
      </w:r>
      <w:r>
        <w:rPr>
          <w:color w:val="231F20"/>
          <w:spacing w:val="-4"/>
          <w:w w:val="99"/>
        </w:rPr>
        <w:t>r</w:t>
      </w:r>
      <w:r>
        <w:rPr>
          <w:color w:val="231F20"/>
          <w:w w:val="98"/>
        </w:rPr>
        <w:t>es</w:t>
      </w:r>
      <w:r>
        <w:rPr>
          <w:color w:val="231F20"/>
        </w:rPr>
        <w:t> </w:t>
      </w:r>
      <w:r>
        <w:rPr>
          <w:color w:val="231F20"/>
          <w:spacing w:val="-4"/>
        </w:rPr>
        <w:t> </w:t>
      </w:r>
      <w:r>
        <w:rPr>
          <w:color w:val="231F20"/>
          <w:w w:val="103"/>
        </w:rPr>
        <w:t>de</w:t>
      </w:r>
      <w:r>
        <w:rPr>
          <w:color w:val="231F20"/>
        </w:rPr>
        <w:t> </w:t>
      </w:r>
      <w:r>
        <w:rPr>
          <w:color w:val="231F20"/>
          <w:spacing w:val="-4"/>
        </w:rPr>
        <w:t> </w:t>
      </w:r>
      <w:r>
        <w:rPr>
          <w:color w:val="231F20"/>
          <w:w w:val="96"/>
        </w:rPr>
        <w:t>tit</w:t>
      </w:r>
      <w:r>
        <w:rPr>
          <w:color w:val="231F20"/>
          <w:spacing w:val="-4"/>
          <w:w w:val="96"/>
        </w:rPr>
        <w:t>r</w:t>
      </w:r>
      <w:r>
        <w:rPr>
          <w:color w:val="231F20"/>
          <w:w w:val="98"/>
        </w:rPr>
        <w:t>es</w:t>
      </w:r>
      <w:r>
        <w:rPr>
          <w:color w:val="231F20"/>
        </w:rPr>
        <w:t> </w:t>
      </w:r>
      <w:r>
        <w:rPr>
          <w:color w:val="231F20"/>
          <w:spacing w:val="-4"/>
        </w:rPr>
        <w:t> </w:t>
      </w:r>
      <w:r>
        <w:rPr>
          <w:color w:val="231F20"/>
          <w:w w:val="105"/>
        </w:rPr>
        <w:t>vi</w:t>
      </w:r>
      <w:r>
        <w:rPr>
          <w:color w:val="231F20"/>
          <w:spacing w:val="-1"/>
          <w:w w:val="105"/>
        </w:rPr>
        <w:t>s</w:t>
      </w:r>
      <w:r>
        <w:rPr>
          <w:color w:val="231F20"/>
          <w:w w:val="99"/>
        </w:rPr>
        <w:t>é</w:t>
      </w:r>
      <w:r>
        <w:rPr>
          <w:color w:val="231F20"/>
          <w:w w:val="98"/>
        </w:rPr>
        <w:t>s</w:t>
      </w:r>
      <w:r>
        <w:rPr>
          <w:color w:val="231F20"/>
        </w:rPr>
        <w:t> </w:t>
      </w:r>
      <w:r>
        <w:rPr>
          <w:color w:val="231F20"/>
          <w:spacing w:val="-4"/>
        </w:rPr>
        <w:t> </w:t>
      </w:r>
      <w:r>
        <w:rPr>
          <w:color w:val="231F20"/>
          <w:w w:val="99"/>
        </w:rPr>
        <w:t>à </w:t>
      </w:r>
      <w:r>
        <w:rPr>
          <w:color w:val="231F20"/>
        </w:rPr>
        <w:t>l’alinéa 1  </w:t>
      </w:r>
      <w:r>
        <w:rPr>
          <w:color w:val="231F20"/>
          <w:spacing w:val="17"/>
        </w:rPr>
        <w:t> </w:t>
      </w:r>
      <w:r>
        <w:rPr>
          <w:color w:val="231F20"/>
        </w:rPr>
        <w:t>de</w:t>
      </w:r>
      <w:r>
        <w:rPr>
          <w:color w:val="231F20"/>
          <w:spacing w:val="18"/>
        </w:rPr>
        <w:t> </w:t>
      </w:r>
      <w:r>
        <w:rPr>
          <w:color w:val="231F20"/>
        </w:rPr>
        <w:t>prendre</w:t>
      </w:r>
      <w:r>
        <w:rPr>
          <w:color w:val="231F20"/>
          <w:spacing w:val="18"/>
        </w:rPr>
        <w:t> </w:t>
      </w:r>
      <w:r>
        <w:rPr>
          <w:color w:val="231F20"/>
        </w:rPr>
        <w:t>connaissance,</w:t>
      </w:r>
      <w:r>
        <w:rPr>
          <w:color w:val="231F20"/>
          <w:spacing w:val="18"/>
        </w:rPr>
        <w:t> </w:t>
      </w:r>
      <w:r>
        <w:rPr>
          <w:color w:val="231F20"/>
        </w:rPr>
        <w:t>de</w:t>
      </w:r>
      <w:r>
        <w:rPr>
          <w:color w:val="231F20"/>
          <w:spacing w:val="18"/>
        </w:rPr>
        <w:t> </w:t>
      </w:r>
      <w:r>
        <w:rPr>
          <w:color w:val="231F20"/>
        </w:rPr>
        <w:t>manière</w:t>
      </w:r>
      <w:r>
        <w:rPr>
          <w:color w:val="231F20"/>
          <w:spacing w:val="18"/>
        </w:rPr>
        <w:t> </w:t>
      </w:r>
      <w:r>
        <w:rPr>
          <w:color w:val="231F20"/>
        </w:rPr>
        <w:t>directe,</w:t>
      </w:r>
      <w:r>
        <w:rPr>
          <w:color w:val="231F20"/>
          <w:spacing w:val="19"/>
        </w:rPr>
        <w:t> </w:t>
      </w:r>
      <w:r>
        <w:rPr>
          <w:color w:val="231F20"/>
        </w:rPr>
        <w:t>simultanée</w:t>
      </w:r>
      <w:r>
        <w:rPr>
          <w:color w:val="231F20"/>
          <w:spacing w:val="18"/>
        </w:rPr>
        <w:t> </w:t>
      </w:r>
      <w:r>
        <w:rPr>
          <w:color w:val="231F20"/>
        </w:rPr>
        <w:t>et</w:t>
      </w:r>
    </w:p>
    <w:p>
      <w:pPr>
        <w:pStyle w:val="BodyText"/>
        <w:spacing w:line="218" w:lineRule="auto" w:before="5"/>
        <w:ind w:right="38" w:firstLine="0"/>
      </w:pPr>
      <w:r>
        <w:rPr>
          <w:color w:val="231F20"/>
        </w:rPr>
        <w:t>continue, des discussions au sein de l’assemblée et, en ce qui concerne les actionnaires, d’exercer leur droit de vote sur tous les points sur lesquels l’assemblée est appelée à se prononcer. Les statuts peuvent prévoir  que  le  moyen  de  communication  électronique  doit  en</w:t>
      </w:r>
      <w:r>
        <w:rPr>
          <w:color w:val="231F20"/>
          <w:spacing w:val="36"/>
        </w:rPr>
        <w:t> </w:t>
      </w:r>
      <w:r>
        <w:rPr>
          <w:color w:val="231F20"/>
        </w:rPr>
        <w:t>outre</w:t>
      </w:r>
    </w:p>
    <w:p>
      <w:pPr>
        <w:pStyle w:val="BodyText"/>
        <w:spacing w:before="105"/>
        <w:ind w:left="283" w:right="0" w:firstLine="0"/>
        <w:jc w:val="left"/>
      </w:pPr>
      <w:r>
        <w:rPr/>
        <w:br w:type="column"/>
      </w:r>
      <w:r>
        <w:rPr>
          <w:color w:val="231F20"/>
        </w:rPr>
        <w:t>Onderafdeling 3. Bijeenroeping van de algemene vergadering.</w:t>
      </w:r>
    </w:p>
    <w:p>
      <w:pPr>
        <w:pStyle w:val="BodyText"/>
        <w:spacing w:line="218" w:lineRule="auto" w:before="93"/>
      </w:pPr>
      <w:r>
        <w:rPr>
          <w:color w:val="231F20"/>
        </w:rPr>
        <w:t>Art. 5:83. Het bestuursorgaan en, in voorkomend geval, de commis- saris, roepen de algemene vergadering bijeen en bepalen haar agenda. Zij zijn verplicht de algemene vergadering binnen drie weken bijeen te roepen wanneer aandeelhouders die een tiende van het aantal uitge- geven aandelen vertegenwoordigen, dat vragen, met ten minste de  door</w:t>
      </w:r>
      <w:r>
        <w:rPr>
          <w:color w:val="231F20"/>
          <w:spacing w:val="19"/>
        </w:rPr>
        <w:t> </w:t>
      </w:r>
      <w:r>
        <w:rPr>
          <w:color w:val="231F20"/>
        </w:rPr>
        <w:t>de</w:t>
      </w:r>
      <w:r>
        <w:rPr>
          <w:color w:val="231F20"/>
          <w:spacing w:val="19"/>
        </w:rPr>
        <w:t> </w:t>
      </w:r>
      <w:r>
        <w:rPr>
          <w:color w:val="231F20"/>
        </w:rPr>
        <w:t>betrokken</w:t>
      </w:r>
      <w:r>
        <w:rPr>
          <w:color w:val="231F20"/>
          <w:spacing w:val="19"/>
        </w:rPr>
        <w:t> </w:t>
      </w:r>
      <w:r>
        <w:rPr>
          <w:color w:val="231F20"/>
        </w:rPr>
        <w:t>aandeelhouders</w:t>
      </w:r>
      <w:r>
        <w:rPr>
          <w:color w:val="231F20"/>
          <w:spacing w:val="19"/>
        </w:rPr>
        <w:t> </w:t>
      </w:r>
      <w:r>
        <w:rPr>
          <w:color w:val="231F20"/>
        </w:rPr>
        <w:t>voorgestelde</w:t>
      </w:r>
      <w:r>
        <w:rPr>
          <w:color w:val="231F20"/>
          <w:spacing w:val="19"/>
        </w:rPr>
        <w:t> </w:t>
      </w:r>
      <w:r>
        <w:rPr>
          <w:color w:val="231F20"/>
        </w:rPr>
        <w:t>agendapunten.</w:t>
      </w:r>
    </w:p>
    <w:p>
      <w:pPr>
        <w:pStyle w:val="BodyText"/>
        <w:spacing w:line="218" w:lineRule="auto" w:before="97"/>
      </w:pPr>
      <w:r>
        <w:rPr>
          <w:color w:val="231F20"/>
        </w:rPr>
        <w:t>De oproeping tot de algemene vergadering vermeldt de agenda met de te behandelen onderwerpen.</w:t>
      </w:r>
    </w:p>
    <w:p>
      <w:pPr>
        <w:pStyle w:val="BodyText"/>
        <w:spacing w:line="218" w:lineRule="auto" w:before="96"/>
      </w:pPr>
      <w:r>
        <w:rPr>
          <w:color w:val="231F20"/>
        </w:rPr>
        <w:t>Zij wordt ten minste vijftien dagen vóór de vergadering meegedeeld overeenkomstig artikel 2:32 aan de aandeelhouders, de houders van converteerbare obligaties op naam, van inschrijvingsrechten op naam of met medewerking van de vennootschap uitgegeven certificaten op naam, de leden van het bestuursorgaan, en, in voorkomend geval, de commissaris.</w:t>
      </w:r>
    </w:p>
    <w:p>
      <w:pPr>
        <w:pStyle w:val="BodyText"/>
        <w:spacing w:line="218" w:lineRule="auto" w:before="96"/>
      </w:pPr>
      <w:r>
        <w:rPr>
          <w:color w:val="231F20"/>
        </w:rPr>
        <w:t>Art. 5:84. Samen met de oproepingsbrief voor de algemene vergade- ring, bezorgt de vennootschap aan de aandeelhouders de stukken die  zij hen krachtens dit wetboek ter beschikking moet stellen, op de wijze bepaald in artikel</w:t>
      </w:r>
      <w:r>
        <w:rPr>
          <w:color w:val="231F20"/>
          <w:spacing w:val="2"/>
        </w:rPr>
        <w:t> </w:t>
      </w:r>
      <w:r>
        <w:rPr>
          <w:color w:val="231F20"/>
        </w:rPr>
        <w:t>2:32.</w:t>
      </w:r>
    </w:p>
    <w:p>
      <w:pPr>
        <w:pStyle w:val="BodyText"/>
        <w:spacing w:line="218" w:lineRule="auto" w:before="96"/>
      </w:pPr>
      <w:r>
        <w:rPr>
          <w:color w:val="231F20"/>
        </w:rPr>
        <w:t>De vennootschap bezorgt op aanvraag ook op dezelfde wijze onverwijld en kosteloos deze stukken aan de andere opgeroepen personen.</w:t>
      </w:r>
    </w:p>
    <w:p>
      <w:pPr>
        <w:pStyle w:val="BodyText"/>
        <w:spacing w:before="83"/>
        <w:ind w:left="283" w:right="0" w:firstLine="0"/>
        <w:jc w:val="left"/>
      </w:pPr>
      <w:r>
        <w:rPr>
          <w:color w:val="231F20"/>
        </w:rPr>
        <w:t>Onderafdeling 4. Schriftelijke algemene vergadering.</w:t>
      </w:r>
    </w:p>
    <w:p>
      <w:pPr>
        <w:pStyle w:val="BodyText"/>
        <w:spacing w:line="218" w:lineRule="auto" w:before="92"/>
      </w:pPr>
      <w:r>
        <w:rPr>
          <w:color w:val="231F20"/>
        </w:rPr>
        <w:t>Art. 5:85. De aandeelhouders kunnen eenparig en schriftelijk</w:t>
      </w:r>
      <w:r>
        <w:rPr>
          <w:color w:val="231F20"/>
          <w:spacing w:val="31"/>
        </w:rPr>
        <w:t> </w:t>
      </w:r>
      <w:r>
        <w:rPr>
          <w:color w:val="231F20"/>
        </w:rPr>
        <w:t>alle besluiten nemen die tot de bevoegdheid van de algemene vergadering behoren, met uitzondering van diegene die bij authentieke akte moeten worden verleden. In dat geval dienen de formaliteiten van bijeenroe- ping niet te worden nageleefd. De leden van het bestuursorgaan, de commissaris</w:t>
      </w:r>
      <w:r>
        <w:rPr>
          <w:color w:val="231F20"/>
          <w:spacing w:val="-10"/>
        </w:rPr>
        <w:t> </w:t>
      </w:r>
      <w:r>
        <w:rPr>
          <w:color w:val="231F20"/>
        </w:rPr>
        <w:t>en</w:t>
      </w:r>
      <w:r>
        <w:rPr>
          <w:color w:val="231F20"/>
          <w:spacing w:val="-10"/>
        </w:rPr>
        <w:t> </w:t>
      </w:r>
      <w:r>
        <w:rPr>
          <w:color w:val="231F20"/>
        </w:rPr>
        <w:t>de</w:t>
      </w:r>
      <w:r>
        <w:rPr>
          <w:color w:val="231F20"/>
          <w:spacing w:val="-9"/>
        </w:rPr>
        <w:t> </w:t>
      </w:r>
      <w:r>
        <w:rPr>
          <w:color w:val="231F20"/>
        </w:rPr>
        <w:t>houders</w:t>
      </w:r>
      <w:r>
        <w:rPr>
          <w:color w:val="231F20"/>
          <w:spacing w:val="-10"/>
        </w:rPr>
        <w:t> </w:t>
      </w:r>
      <w:r>
        <w:rPr>
          <w:color w:val="231F20"/>
        </w:rPr>
        <w:t>van</w:t>
      </w:r>
      <w:r>
        <w:rPr>
          <w:color w:val="231F20"/>
          <w:spacing w:val="-10"/>
        </w:rPr>
        <w:t> </w:t>
      </w:r>
      <w:r>
        <w:rPr>
          <w:color w:val="231F20"/>
        </w:rPr>
        <w:t>converteerbare</w:t>
      </w:r>
      <w:r>
        <w:rPr>
          <w:color w:val="231F20"/>
          <w:spacing w:val="-9"/>
        </w:rPr>
        <w:t> </w:t>
      </w:r>
      <w:r>
        <w:rPr>
          <w:color w:val="231F20"/>
        </w:rPr>
        <w:t>obligaties,</w:t>
      </w:r>
      <w:r>
        <w:rPr>
          <w:color w:val="231F20"/>
          <w:spacing w:val="-10"/>
        </w:rPr>
        <w:t> </w:t>
      </w:r>
      <w:r>
        <w:rPr>
          <w:color w:val="231F20"/>
        </w:rPr>
        <w:t>inschrijvings- rechten of met medewerking van de vennootschap uitgegeven certifi- caten</w:t>
      </w:r>
      <w:r>
        <w:rPr>
          <w:color w:val="231F20"/>
          <w:spacing w:val="17"/>
        </w:rPr>
        <w:t> </w:t>
      </w:r>
      <w:r>
        <w:rPr>
          <w:color w:val="231F20"/>
        </w:rPr>
        <w:t>mogen</w:t>
      </w:r>
      <w:r>
        <w:rPr>
          <w:color w:val="231F20"/>
          <w:spacing w:val="17"/>
        </w:rPr>
        <w:t> </w:t>
      </w:r>
      <w:r>
        <w:rPr>
          <w:color w:val="231F20"/>
        </w:rPr>
        <w:t>op</w:t>
      </w:r>
      <w:r>
        <w:rPr>
          <w:color w:val="231F20"/>
          <w:spacing w:val="17"/>
        </w:rPr>
        <w:t> </w:t>
      </w:r>
      <w:r>
        <w:rPr>
          <w:color w:val="231F20"/>
        </w:rPr>
        <w:t>hun</w:t>
      </w:r>
      <w:r>
        <w:rPr>
          <w:color w:val="231F20"/>
          <w:spacing w:val="18"/>
        </w:rPr>
        <w:t> </w:t>
      </w:r>
      <w:r>
        <w:rPr>
          <w:color w:val="231F20"/>
        </w:rPr>
        <w:t>verzoek</w:t>
      </w:r>
      <w:r>
        <w:rPr>
          <w:color w:val="231F20"/>
          <w:spacing w:val="17"/>
        </w:rPr>
        <w:t> </w:t>
      </w:r>
      <w:r>
        <w:rPr>
          <w:color w:val="231F20"/>
        </w:rPr>
        <w:t>van</w:t>
      </w:r>
      <w:r>
        <w:rPr>
          <w:color w:val="231F20"/>
          <w:spacing w:val="17"/>
        </w:rPr>
        <w:t> </w:t>
      </w:r>
      <w:r>
        <w:rPr>
          <w:color w:val="231F20"/>
        </w:rPr>
        <w:t>die</w:t>
      </w:r>
      <w:r>
        <w:rPr>
          <w:color w:val="231F20"/>
          <w:spacing w:val="18"/>
        </w:rPr>
        <w:t> </w:t>
      </w:r>
      <w:r>
        <w:rPr>
          <w:color w:val="231F20"/>
        </w:rPr>
        <w:t>besluiten</w:t>
      </w:r>
      <w:r>
        <w:rPr>
          <w:color w:val="231F20"/>
          <w:spacing w:val="17"/>
        </w:rPr>
        <w:t> </w:t>
      </w:r>
      <w:r>
        <w:rPr>
          <w:color w:val="231F20"/>
        </w:rPr>
        <w:t>kennis</w:t>
      </w:r>
      <w:r>
        <w:rPr>
          <w:color w:val="231F20"/>
          <w:spacing w:val="17"/>
        </w:rPr>
        <w:t> </w:t>
      </w:r>
      <w:r>
        <w:rPr>
          <w:color w:val="231F20"/>
        </w:rPr>
        <w:t>nemen.</w:t>
      </w:r>
    </w:p>
    <w:p>
      <w:pPr>
        <w:pStyle w:val="BodyText"/>
        <w:spacing w:before="83"/>
        <w:ind w:left="283" w:right="0" w:firstLine="0"/>
        <w:jc w:val="left"/>
      </w:pPr>
      <w:r>
        <w:rPr>
          <w:color w:val="231F20"/>
        </w:rPr>
        <w:t>Onderafdeling</w:t>
      </w:r>
      <w:r>
        <w:rPr>
          <w:color w:val="231F20"/>
          <w:spacing w:val="24"/>
        </w:rPr>
        <w:t> </w:t>
      </w:r>
      <w:r>
        <w:rPr>
          <w:color w:val="231F20"/>
        </w:rPr>
        <w:t>5.</w:t>
      </w:r>
      <w:r>
        <w:rPr>
          <w:color w:val="231F20"/>
          <w:spacing w:val="25"/>
        </w:rPr>
        <w:t> </w:t>
      </w:r>
      <w:r>
        <w:rPr>
          <w:color w:val="231F20"/>
        </w:rPr>
        <w:t>Deelneming</w:t>
      </w:r>
      <w:r>
        <w:rPr>
          <w:color w:val="231F20"/>
          <w:spacing w:val="25"/>
        </w:rPr>
        <w:t> </w:t>
      </w:r>
      <w:r>
        <w:rPr>
          <w:color w:val="231F20"/>
        </w:rPr>
        <w:t>aan</w:t>
      </w:r>
      <w:r>
        <w:rPr>
          <w:color w:val="231F20"/>
          <w:spacing w:val="25"/>
        </w:rPr>
        <w:t> </w:t>
      </w:r>
      <w:r>
        <w:rPr>
          <w:color w:val="231F20"/>
        </w:rPr>
        <w:t>de</w:t>
      </w:r>
      <w:r>
        <w:rPr>
          <w:color w:val="231F20"/>
          <w:spacing w:val="25"/>
        </w:rPr>
        <w:t> </w:t>
      </w:r>
      <w:r>
        <w:rPr>
          <w:color w:val="231F20"/>
        </w:rPr>
        <w:t>algemene</w:t>
      </w:r>
      <w:r>
        <w:rPr>
          <w:color w:val="231F20"/>
          <w:spacing w:val="25"/>
        </w:rPr>
        <w:t> </w:t>
      </w:r>
      <w:r>
        <w:rPr>
          <w:color w:val="231F20"/>
        </w:rPr>
        <w:t>vergadering.</w:t>
      </w:r>
    </w:p>
    <w:p>
      <w:pPr>
        <w:pStyle w:val="BodyText"/>
        <w:spacing w:line="218" w:lineRule="auto" w:before="92"/>
      </w:pPr>
      <w:r>
        <w:rPr>
          <w:color w:val="231F20"/>
        </w:rPr>
        <w:t>Art. 5:86. De aandeelhouders mogen deelnemen aan de algemene vergadering.</w:t>
      </w:r>
    </w:p>
    <w:p>
      <w:pPr>
        <w:pStyle w:val="BodyText"/>
        <w:spacing w:line="218" w:lineRule="auto" w:before="97"/>
      </w:pPr>
      <w:r>
        <w:rPr>
          <w:color w:val="231F20"/>
        </w:rPr>
        <w:t>De houders van converteerbare obligaties, inschrijvingsrechten en met medewerking van de vennootschap uitgegeven certificaten mogen de algemene vergadering bijwonen met raadgevende stem.</w:t>
      </w:r>
    </w:p>
    <w:p>
      <w:pPr>
        <w:pStyle w:val="BodyText"/>
        <w:spacing w:line="218" w:lineRule="auto" w:before="96"/>
      </w:pPr>
      <w:r>
        <w:rPr>
          <w:color w:val="231F20"/>
        </w:rPr>
        <w:t>Art. 5:87. De leden van het bestuursorgaan wonen de algemene vergadering bij.</w:t>
      </w:r>
    </w:p>
    <w:p>
      <w:pPr>
        <w:pStyle w:val="BodyText"/>
        <w:spacing w:line="218" w:lineRule="auto" w:before="96"/>
      </w:pPr>
      <w:r>
        <w:rPr>
          <w:color w:val="231F20"/>
        </w:rPr>
        <w:t>Wanneer de algemene vergadering beraadslaagt op grond van een door de commissaris opgesteld verslag, woont hij de vergadering bij.</w:t>
      </w:r>
    </w:p>
    <w:p>
      <w:pPr>
        <w:pStyle w:val="BodyText"/>
        <w:spacing w:line="218" w:lineRule="auto" w:before="96"/>
      </w:pPr>
      <w:r>
        <w:rPr>
          <w:color w:val="231F20"/>
        </w:rPr>
        <w:t>Art. 5:88. De statuten bepalen welke formaliteiten moeten worden vervuld om tot de algemene vergadering te worden toegelaten.</w:t>
      </w:r>
    </w:p>
    <w:p>
      <w:pPr>
        <w:pStyle w:val="BodyText"/>
        <w:spacing w:line="218" w:lineRule="auto" w:before="96"/>
      </w:pPr>
      <w:r>
        <w:rPr>
          <w:color w:val="231F20"/>
        </w:rPr>
        <w:t>Houders van aandelen, converteerbare obligaties, inschrijvingsrech- ten en met medewerking van de vennootschap uitgegeven certificaten die de formaliteiten om tot een algemene vergadering te worden toegelaten hebben vervuld, worden ook toegelaten tot elke volgende algemene vergadering met dezelfde agendapunten, tenzij de vennoot- schap op de hoogte wordt gesteld van een overdracht van de betrokken effecten.</w:t>
      </w:r>
    </w:p>
    <w:p>
      <w:pPr>
        <w:pStyle w:val="BodyText"/>
        <w:spacing w:line="218" w:lineRule="auto" w:before="97"/>
      </w:pPr>
      <w:r>
        <w:rPr>
          <w:color w:val="231F20"/>
        </w:rPr>
        <w:t>Art. 5:89. § 1. De statuten kunnen de houders van aandelen, van converteerbare obligaties, van inschrijvingsrechten en van met mede- werking van de vennootschap uitgegeven certificaten de mogelijkheid bieden om op afstand deel te nemen aan de algemene vergadering door middel van een door de vennootschap ter beschikking gesteld elektro- nisch communicatiemiddel. </w:t>
      </w:r>
      <w:r>
        <w:rPr>
          <w:color w:val="231F20"/>
          <w:spacing w:val="-6"/>
        </w:rPr>
        <w:t>Wat </w:t>
      </w:r>
      <w:r>
        <w:rPr>
          <w:color w:val="231F20"/>
        </w:rPr>
        <w:t>de naleving van de voorwaarden inzake aanwezigheid en meerderheid betreft, worden de effectenhou- ders die op die manier aan de algemene vergadering deelnemen, geacht aanwezig te zijn op de plaats waar de algemene vergadering wordt gehouden.</w:t>
      </w:r>
    </w:p>
    <w:p>
      <w:pPr>
        <w:pStyle w:val="BodyText"/>
        <w:spacing w:line="218" w:lineRule="auto" w:before="96"/>
      </w:pPr>
      <w:r>
        <w:rPr>
          <w:color w:val="231F20"/>
        </w:rPr>
        <w:t>Voor de toepassing van het eerste lid moet de vennootschap de hoedanigheid en de identiteit van de in het eerste lid bedoelde effectenhouder kunnen controleren aan de hand van het gebruikte elektronische communicatiemiddel, op de bij of krachtens de statuten bepaalde wijze. Aan het gebruik van het elektronische communicatie- middel kunnen bij of krachtens de statuten bijkomende voorwaarden worden gesteld, met als enige doelstelling de veiligheid van het elektronische communicatiemiddel te waarborgen.</w:t>
      </w:r>
    </w:p>
    <w:p>
      <w:pPr>
        <w:pStyle w:val="BodyText"/>
        <w:spacing w:line="218" w:lineRule="auto" w:before="108"/>
      </w:pPr>
      <w:r>
        <w:rPr>
          <w:color w:val="231F20"/>
        </w:rPr>
        <w:t>Voor de toepassing van het eerste lid moet het elektronische communicatiemiddel de in het eerste lid bedoelde effectenhouders, onverminderd enige bij of krachtens de wet opgelegde beperking, ten minste in staat stellen om rechtstreeks, gelijktijdig en ononderbroken kennis te nemen van de besprekingen tijdens de vergadering en, wat de aandeelhouders betreft, om hun stemrecht uit te oefenen met betrek- king tot alle punten waarover de vergadering zich dient uit te spreken. De statuten kunnen bepalen dat het elektronische communicatiemiddel</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05"/>
        <w:ind w:right="0" w:firstLine="0"/>
        <w:jc w:val="left"/>
      </w:pPr>
      <w:r>
        <w:rPr/>
        <w:pict>
          <v:line style="position:absolute;mso-position-horizontal-relative:page;mso-position-vertical-relative:page;z-index:3544" from="298.170502pt,64.473pt" to="298.170502pt,812.819pt" stroked="true" strokeweight=".533pt" strokecolor="#231f20">
            <v:stroke dashstyle="solid"/>
            <w10:wrap type="none"/>
          </v:line>
        </w:pict>
      </w:r>
      <w:bookmarkStart w:name="_bookmark105" w:id="110"/>
      <w:bookmarkEnd w:id="110"/>
      <w:r>
        <w:rPr/>
      </w:r>
      <w:r>
        <w:rPr>
          <w:color w:val="231F20"/>
        </w:rPr>
        <w:t>permettre aux titulaires de titres visés à l’alinéa 1</w:t>
      </w:r>
      <w:r>
        <w:rPr>
          <w:color w:val="231F20"/>
          <w:position w:val="7"/>
          <w:sz w:val="11"/>
        </w:rPr>
        <w:t>er </w:t>
      </w:r>
      <w:r>
        <w:rPr>
          <w:color w:val="231F20"/>
        </w:rPr>
        <w:t>de participer aux délibérations et de poser des questions.</w:t>
      </w:r>
    </w:p>
    <w:p>
      <w:pPr>
        <w:pStyle w:val="BodyText"/>
        <w:spacing w:line="218" w:lineRule="auto" w:before="138"/>
        <w:ind w:right="38"/>
      </w:pPr>
      <w:r>
        <w:rPr>
          <w:color w:val="231F20"/>
        </w:rPr>
        <w:t>La convocation à l’assemblée générale contient une description claire et précise des procédures relatives à la participation à distance prévues par les statuts ou en vertu de ceux-ci.</w:t>
      </w:r>
    </w:p>
    <w:p>
      <w:pPr>
        <w:pStyle w:val="BodyText"/>
        <w:spacing w:line="213" w:lineRule="auto" w:before="142"/>
        <w:ind w:right="38"/>
      </w:pPr>
      <w:r>
        <w:rPr>
          <w:color w:val="231F20"/>
        </w:rPr>
        <w:t>Les modalités suivant lesquelles il est constaté qu’un titulaire de titres </w:t>
      </w:r>
      <w:r>
        <w:rPr>
          <w:color w:val="231F20"/>
          <w:spacing w:val="3"/>
        </w:rPr>
        <w:t>visé </w:t>
      </w:r>
      <w:r>
        <w:rPr>
          <w:color w:val="231F20"/>
        </w:rPr>
        <w:t>à l’alinéa 1</w:t>
      </w:r>
      <w:r>
        <w:rPr>
          <w:color w:val="231F20"/>
          <w:position w:val="7"/>
          <w:sz w:val="11"/>
        </w:rPr>
        <w:t>er </w:t>
      </w:r>
      <w:r>
        <w:rPr>
          <w:color w:val="231F20"/>
        </w:rPr>
        <w:t>participe à l’assemblée générale par un moyen  de communication électronique et peut dès lors être considéré comme présent,</w:t>
      </w:r>
      <w:r>
        <w:rPr>
          <w:color w:val="231F20"/>
          <w:spacing w:val="15"/>
        </w:rPr>
        <w:t> </w:t>
      </w:r>
      <w:r>
        <w:rPr>
          <w:color w:val="231F20"/>
        </w:rPr>
        <w:t>sont</w:t>
      </w:r>
      <w:r>
        <w:rPr>
          <w:color w:val="231F20"/>
          <w:spacing w:val="15"/>
        </w:rPr>
        <w:t> </w:t>
      </w:r>
      <w:r>
        <w:rPr>
          <w:color w:val="231F20"/>
        </w:rPr>
        <w:t>définies</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statuts</w:t>
      </w:r>
      <w:r>
        <w:rPr>
          <w:color w:val="231F20"/>
          <w:spacing w:val="15"/>
        </w:rPr>
        <w:t> </w:t>
      </w:r>
      <w:r>
        <w:rPr>
          <w:color w:val="231F20"/>
        </w:rPr>
        <w:t>ou</w:t>
      </w:r>
      <w:r>
        <w:rPr>
          <w:color w:val="231F20"/>
          <w:spacing w:val="15"/>
        </w:rPr>
        <w:t> </w:t>
      </w:r>
      <w:r>
        <w:rPr>
          <w:color w:val="231F20"/>
        </w:rPr>
        <w:t>en</w:t>
      </w:r>
      <w:r>
        <w:rPr>
          <w:color w:val="231F20"/>
          <w:spacing w:val="15"/>
        </w:rPr>
        <w:t> </w:t>
      </w:r>
      <w:r>
        <w:rPr>
          <w:color w:val="231F20"/>
        </w:rPr>
        <w:t>vertu</w:t>
      </w:r>
      <w:r>
        <w:rPr>
          <w:color w:val="231F20"/>
          <w:spacing w:val="15"/>
        </w:rPr>
        <w:t> </w:t>
      </w:r>
      <w:r>
        <w:rPr>
          <w:color w:val="231F20"/>
        </w:rPr>
        <w:t>de</w:t>
      </w:r>
      <w:r>
        <w:rPr>
          <w:color w:val="231F20"/>
          <w:spacing w:val="15"/>
        </w:rPr>
        <w:t> </w:t>
      </w:r>
      <w:r>
        <w:rPr>
          <w:color w:val="231F20"/>
        </w:rPr>
        <w:t>ceux-ci.</w:t>
      </w:r>
    </w:p>
    <w:p>
      <w:pPr>
        <w:pStyle w:val="BodyText"/>
        <w:spacing w:line="218" w:lineRule="auto" w:before="136"/>
        <w:ind w:right="38"/>
      </w:pPr>
      <w:r>
        <w:rPr>
          <w:color w:val="231F20"/>
        </w:rPr>
        <w:t>Le procès-verbal de l’assemblée générale mentionne les éventuels problèmes et incidents techniques qui ont empêché ou perturbé la participation par voie électronique à l’assemblée générale ou au vote.</w:t>
      </w:r>
    </w:p>
    <w:p>
      <w:pPr>
        <w:pStyle w:val="BodyText"/>
        <w:spacing w:before="8"/>
        <w:ind w:left="0" w:right="0" w:firstLine="0"/>
        <w:jc w:val="left"/>
        <w:rPr>
          <w:sz w:val="27"/>
        </w:rPr>
      </w:pPr>
    </w:p>
    <w:p>
      <w:pPr>
        <w:pStyle w:val="BodyText"/>
        <w:spacing w:line="218" w:lineRule="auto"/>
        <w:ind w:right="38"/>
      </w:pPr>
      <w:r>
        <w:rPr>
          <w:color w:val="231F20"/>
        </w:rPr>
        <w:t>Les membres du bureau de l’assemblée générale, l’organe d’admi- nistration et, le cas échéant, le commissaire ne peuvent pas participer à l’assemblée générale par voie électronique.</w:t>
      </w:r>
    </w:p>
    <w:p>
      <w:pPr>
        <w:pStyle w:val="BodyText"/>
        <w:spacing w:line="218" w:lineRule="auto" w:before="139"/>
        <w:ind w:right="39"/>
      </w:pPr>
      <w:r>
        <w:rPr>
          <w:color w:val="231F20"/>
        </w:rPr>
        <w:t>§ 2. L’article 5:88 est applicable lorsque la société permet la participation à distance à l’assemblée générale.</w:t>
      </w:r>
    </w:p>
    <w:p>
      <w:pPr>
        <w:pStyle w:val="BodyText"/>
        <w:spacing w:line="201" w:lineRule="auto" w:before="150"/>
        <w:ind w:right="38"/>
      </w:pPr>
      <w:r>
        <w:rPr>
          <w:color w:val="231F20"/>
        </w:rPr>
        <w:t>§ 3. Le Roi peut préciser la nature et les conditions d’application des moyens de communication électronique visés au paragraphe 1</w:t>
      </w:r>
      <w:r>
        <w:rPr>
          <w:color w:val="231F20"/>
          <w:position w:val="7"/>
          <w:sz w:val="11"/>
        </w:rPr>
        <w:t>er</w:t>
      </w:r>
      <w:r>
        <w:rPr>
          <w:color w:val="231F20"/>
        </w:rPr>
        <w:t>.</w:t>
      </w:r>
    </w:p>
    <w:p>
      <w:pPr>
        <w:pStyle w:val="BodyText"/>
        <w:spacing w:before="8"/>
        <w:ind w:left="0" w:right="0" w:firstLine="0"/>
        <w:jc w:val="left"/>
        <w:rPr>
          <w:sz w:val="28"/>
        </w:rPr>
      </w:pPr>
    </w:p>
    <w:p>
      <w:pPr>
        <w:pStyle w:val="BodyText"/>
        <w:spacing w:line="218" w:lineRule="auto"/>
        <w:ind w:right="38"/>
      </w:pPr>
      <w:r>
        <w:rPr>
          <w:color w:val="231F20"/>
        </w:rPr>
        <w:t>§ 4. Sans préjudice de l’article 5:95, les statuts peuvent autoriser tout actionnaire à voter à distance avant l’assemblée générale sous forme électronique, selon les modalités qu’ils déterminent.</w:t>
      </w:r>
    </w:p>
    <w:p>
      <w:pPr>
        <w:pStyle w:val="BodyText"/>
        <w:spacing w:line="218" w:lineRule="auto" w:before="149"/>
        <w:ind w:right="38"/>
      </w:pPr>
      <w:r>
        <w:rPr>
          <w:color w:val="231F20"/>
        </w:rPr>
        <w:t>Lorsque la société autorise le vote à distance sous forme</w:t>
      </w:r>
      <w:r>
        <w:rPr>
          <w:color w:val="231F20"/>
          <w:spacing w:val="-8"/>
        </w:rPr>
        <w:t> </w:t>
      </w:r>
      <w:r>
        <w:rPr>
          <w:color w:val="231F20"/>
        </w:rPr>
        <w:t>électronique, elle doit être en mesure de contrôler la qualité et l’identité de l’actionnaire, de la manière définie par les statuts ou en vertu de ceux-ci.</w:t>
      </w:r>
    </w:p>
    <w:p>
      <w:pPr>
        <w:pStyle w:val="BodyText"/>
        <w:spacing w:before="136"/>
        <w:ind w:left="283" w:right="0" w:firstLine="0"/>
        <w:jc w:val="left"/>
      </w:pPr>
      <w:r>
        <w:rPr>
          <w:color w:val="231F20"/>
        </w:rPr>
        <w:t>Sous-section 6. Tenue de l’assemblée générale.</w:t>
      </w:r>
    </w:p>
    <w:p>
      <w:pPr>
        <w:pStyle w:val="BodyText"/>
        <w:spacing w:line="218" w:lineRule="auto" w:before="146"/>
        <w:ind w:right="38"/>
      </w:pPr>
      <w:r>
        <w:rPr>
          <w:color w:val="231F20"/>
        </w:rPr>
        <w:t>Art. 5:90. Il est tenu à chaque assemblée générale une liste des présences. Ceux qui ont participé à l’assemblée générale ou qui y étaient représentés peuvent consulter cette liste pour autant que les statuts le</w:t>
      </w:r>
      <w:r>
        <w:rPr>
          <w:color w:val="231F20"/>
          <w:spacing w:val="-11"/>
        </w:rPr>
        <w:t> </w:t>
      </w:r>
      <w:r>
        <w:rPr>
          <w:color w:val="231F20"/>
        </w:rPr>
        <w:t>prévoient.</w:t>
      </w:r>
    </w:p>
    <w:p>
      <w:pPr>
        <w:pStyle w:val="BodyText"/>
        <w:spacing w:line="218" w:lineRule="auto" w:before="150"/>
        <w:ind w:right="38"/>
      </w:pPr>
      <w:r>
        <w:rPr>
          <w:color w:val="231F20"/>
        </w:rPr>
        <w:t>Art. 5:91. Les membres de l’organe d’administration répondent aux questions qui leur sont posées oralement ou par écrit avant ou pendant l’assemblée générale par les titulaires d’actions, d’obligations converti- bles ou de droits de souscription ou de certificats émis avec la collaboration de la société et qui portent sur les points à l’ordre du jour. Les membres de l’organe d’administration peuvent, dans l’intérêt de la société, refuser de répondre aux questions lorsque la communication de certaines données ou de certains faits peut porter préjudice à la société ou qu’elle viole les engagements de confidentialité souscrits par eux ou par la société.</w:t>
      </w:r>
    </w:p>
    <w:p>
      <w:pPr>
        <w:pStyle w:val="BodyText"/>
        <w:spacing w:line="218" w:lineRule="auto" w:before="150"/>
        <w:ind w:right="38"/>
      </w:pPr>
      <w:r>
        <w:rPr>
          <w:color w:val="231F20"/>
        </w:rPr>
        <w:t>Le commissaire répond aux questions qui lui sont posées oralement ou par écrit avant ou pendant l’assemblée générale par les titulaires d’actions, d’obligations convertibles, de droits de souscription et de certificats émis en collaboration avec la société et qui portent sur les points de l’ordre du jour à propos desquels il fait rapport. Les questions écrites adressées au commissaire doivent dans le même temps être transmises à la société. Il peut, dans l’intérêt de la société, refuser de répondre aux questions lorsque la communication de certaines données ou de certains faits peut porter préjudice à la société ou qu’elle viole le secret professionnel auquel il est tenu ou les engagements de confiden- tialité souscrits par la société. Il a le droit de prendre la parole à l’assemblée générale en relation avec l’accomplissement de sa mission.</w:t>
      </w:r>
    </w:p>
    <w:p>
      <w:pPr>
        <w:pStyle w:val="BodyText"/>
        <w:spacing w:line="218" w:lineRule="auto" w:before="150"/>
        <w:ind w:right="38"/>
      </w:pPr>
      <w:r>
        <w:rPr>
          <w:color w:val="231F20"/>
        </w:rPr>
        <w:t>Les membres de l’organe d’administration et le commissaire peuvent donner une réponse groupée à différentes questions portant sur le même sujet.</w:t>
      </w:r>
    </w:p>
    <w:p>
      <w:pPr>
        <w:pStyle w:val="BodyText"/>
        <w:spacing w:line="218" w:lineRule="auto" w:before="149"/>
        <w:ind w:right="38"/>
      </w:pPr>
      <w:r>
        <w:rPr>
          <w:color w:val="231F20"/>
        </w:rPr>
        <w:t>Dès le moment où l’assemblée générale est convoquée, les actionnai- res et les titulaires d’obligations convertibles, de droits de souscription et</w:t>
      </w:r>
      <w:r>
        <w:rPr>
          <w:color w:val="231F20"/>
          <w:spacing w:val="-4"/>
        </w:rPr>
        <w:t> </w:t>
      </w:r>
      <w:r>
        <w:rPr>
          <w:color w:val="231F20"/>
        </w:rPr>
        <w:t>de</w:t>
      </w:r>
      <w:r>
        <w:rPr>
          <w:color w:val="231F20"/>
          <w:spacing w:val="-3"/>
        </w:rPr>
        <w:t> </w:t>
      </w:r>
      <w:r>
        <w:rPr>
          <w:color w:val="231F20"/>
        </w:rPr>
        <w:t>certificats</w:t>
      </w:r>
      <w:r>
        <w:rPr>
          <w:color w:val="231F20"/>
          <w:spacing w:val="-3"/>
        </w:rPr>
        <w:t> </w:t>
      </w:r>
      <w:r>
        <w:rPr>
          <w:color w:val="231F20"/>
        </w:rPr>
        <w:t>émis</w:t>
      </w:r>
      <w:r>
        <w:rPr>
          <w:color w:val="231F20"/>
          <w:spacing w:val="-4"/>
        </w:rPr>
        <w:t> </w:t>
      </w:r>
      <w:r>
        <w:rPr>
          <w:color w:val="231F20"/>
        </w:rPr>
        <w:t>avec</w:t>
      </w:r>
      <w:r>
        <w:rPr>
          <w:color w:val="231F20"/>
          <w:spacing w:val="-3"/>
        </w:rPr>
        <w:t> </w:t>
      </w:r>
      <w:r>
        <w:rPr>
          <w:color w:val="231F20"/>
        </w:rPr>
        <w:t>la</w:t>
      </w:r>
      <w:r>
        <w:rPr>
          <w:color w:val="231F20"/>
          <w:spacing w:val="-3"/>
        </w:rPr>
        <w:t> </w:t>
      </w:r>
      <w:r>
        <w:rPr>
          <w:color w:val="231F20"/>
        </w:rPr>
        <w:t>collaboration</w:t>
      </w:r>
      <w:r>
        <w:rPr>
          <w:color w:val="231F20"/>
          <w:spacing w:val="-3"/>
        </w:rPr>
        <w:t> </w:t>
      </w:r>
      <w:r>
        <w:rPr>
          <w:color w:val="231F20"/>
        </w:rPr>
        <w:t>de</w:t>
      </w:r>
      <w:r>
        <w:rPr>
          <w:color w:val="231F20"/>
          <w:spacing w:val="-4"/>
        </w:rPr>
        <w:t> </w:t>
      </w:r>
      <w:r>
        <w:rPr>
          <w:color w:val="231F20"/>
        </w:rPr>
        <w:t>la</w:t>
      </w:r>
      <w:r>
        <w:rPr>
          <w:color w:val="231F20"/>
          <w:spacing w:val="-3"/>
        </w:rPr>
        <w:t> </w:t>
      </w:r>
      <w:r>
        <w:rPr>
          <w:color w:val="231F20"/>
        </w:rPr>
        <w:t>société</w:t>
      </w:r>
      <w:r>
        <w:rPr>
          <w:color w:val="231F20"/>
          <w:spacing w:val="-3"/>
        </w:rPr>
        <w:t> </w:t>
      </w:r>
      <w:r>
        <w:rPr>
          <w:color w:val="231F20"/>
        </w:rPr>
        <w:t>peuvent,</w:t>
      </w:r>
      <w:r>
        <w:rPr>
          <w:color w:val="231F20"/>
          <w:spacing w:val="-4"/>
        </w:rPr>
        <w:t> </w:t>
      </w:r>
      <w:r>
        <w:rPr>
          <w:color w:val="231F20"/>
        </w:rPr>
        <w:t>dans</w:t>
      </w:r>
      <w:r>
        <w:rPr>
          <w:color w:val="231F20"/>
          <w:spacing w:val="-3"/>
        </w:rPr>
        <w:t> </w:t>
      </w:r>
      <w:r>
        <w:rPr>
          <w:color w:val="231F20"/>
        </w:rPr>
        <w:t>les délais définis dans les statuts, poser des questions par écrit à l’adresse communiquée dans la convocation à l’assemblée ou à l’adresse électronique visée à l’article 2:31. Si les titulaires de titres concernés ont rempli les formalités pour être admis à l’assemblée, il sera répondu à ces questions pendant la</w:t>
      </w:r>
      <w:r>
        <w:rPr>
          <w:color w:val="231F20"/>
          <w:spacing w:val="18"/>
        </w:rPr>
        <w:t> </w:t>
      </w:r>
      <w:r>
        <w:rPr>
          <w:color w:val="231F20"/>
        </w:rPr>
        <w:t>réunion.</w:t>
      </w:r>
    </w:p>
    <w:p>
      <w:pPr>
        <w:pStyle w:val="BodyText"/>
        <w:spacing w:before="8"/>
        <w:ind w:left="0" w:right="0" w:firstLine="0"/>
        <w:jc w:val="left"/>
        <w:rPr>
          <w:sz w:val="28"/>
        </w:rPr>
      </w:pPr>
    </w:p>
    <w:p>
      <w:pPr>
        <w:pStyle w:val="BodyText"/>
        <w:spacing w:line="218" w:lineRule="auto"/>
        <w:ind w:right="38"/>
      </w:pPr>
      <w:r>
        <w:rPr>
          <w:color w:val="231F20"/>
        </w:rPr>
        <w:t>Art. 5:92. Hormis les cas où un droit de vote leur est reconnu en</w:t>
      </w:r>
      <w:r>
        <w:rPr>
          <w:color w:val="231F20"/>
          <w:spacing w:val="-17"/>
        </w:rPr>
        <w:t> </w:t>
      </w:r>
      <w:r>
        <w:rPr>
          <w:color w:val="231F20"/>
        </w:rPr>
        <w:t>vertu de la loi ou des statuts, il n’est pas tenu compte des actions sans droit de vote et des actions dont le droit de vote a été suspendu pour la détermination des conditions de quorum et de </w:t>
      </w:r>
      <w:r>
        <w:rPr>
          <w:color w:val="231F20"/>
          <w:spacing w:val="4"/>
        </w:rPr>
        <w:t>majoritéà </w:t>
      </w:r>
      <w:r>
        <w:rPr>
          <w:color w:val="231F20"/>
        </w:rPr>
        <w:t>observer dans les assemblées</w:t>
      </w:r>
      <w:r>
        <w:rPr>
          <w:color w:val="231F20"/>
          <w:spacing w:val="-12"/>
        </w:rPr>
        <w:t> </w:t>
      </w:r>
      <w:r>
        <w:rPr>
          <w:color w:val="231F20"/>
        </w:rPr>
        <w:t>générales.</w:t>
      </w:r>
    </w:p>
    <w:p>
      <w:pPr>
        <w:pStyle w:val="BodyText"/>
        <w:spacing w:line="218" w:lineRule="auto" w:before="119"/>
        <w:ind w:right="0" w:firstLine="0"/>
        <w:jc w:val="left"/>
      </w:pPr>
      <w:r>
        <w:rPr/>
        <w:br w:type="column"/>
      </w:r>
      <w:r>
        <w:rPr>
          <w:color w:val="231F20"/>
        </w:rPr>
        <w:t>de in het eerste lid bedoelde effectenhouders bovendien in staat moet stellen om deel te nemen aan de beraadslagingen en vragen te stellen.</w:t>
      </w:r>
    </w:p>
    <w:p>
      <w:pPr>
        <w:pStyle w:val="BodyText"/>
        <w:spacing w:line="218" w:lineRule="auto" w:before="139"/>
      </w:pPr>
      <w:r>
        <w:rPr>
          <w:color w:val="231F20"/>
        </w:rPr>
        <w:t>De oproeping tot de algemene vergadering omvat een heldere en nauwkeurige beschrijving van de statutaire of krachtens de statuten vastgestelde procedures met betrekking tot de deelname op afstand.</w:t>
      </w:r>
    </w:p>
    <w:p>
      <w:pPr>
        <w:pStyle w:val="BodyText"/>
        <w:spacing w:line="218" w:lineRule="auto" w:before="139"/>
      </w:pPr>
      <w:r>
        <w:rPr>
          <w:color w:val="231F20"/>
        </w:rPr>
        <w:t>Bij of krachtens de statuten wordt bepaald hoe wordt vastgesteld dat een in het eerste lid bedoelde effectenhouder via het elektronische communicatiemiddel aan de algemene vergadering deelneemt en bijgevolg als aanwezig kan worden beschouwd.</w:t>
      </w:r>
    </w:p>
    <w:p>
      <w:pPr>
        <w:pStyle w:val="BodyText"/>
        <w:spacing w:line="218" w:lineRule="auto" w:before="139"/>
      </w:pPr>
      <w:r>
        <w:rPr>
          <w:color w:val="231F20"/>
        </w:rPr>
        <w:t>De notulen van de algemene vergadering vermelden de eventuele technische problemen en incidenten die de deelname langs elektroni- sche weg aan de algemene vergadering of aan de stemming hebben belet of</w:t>
      </w:r>
      <w:r>
        <w:rPr>
          <w:color w:val="231F20"/>
          <w:spacing w:val="-11"/>
        </w:rPr>
        <w:t> </w:t>
      </w:r>
      <w:r>
        <w:rPr>
          <w:color w:val="231F20"/>
        </w:rPr>
        <w:t>verstoord.</w:t>
      </w:r>
    </w:p>
    <w:p>
      <w:pPr>
        <w:pStyle w:val="BodyText"/>
        <w:spacing w:line="218" w:lineRule="auto" w:before="139"/>
      </w:pPr>
      <w:r>
        <w:rPr>
          <w:color w:val="231F20"/>
        </w:rPr>
        <w:t>De leden van het bureau van de algemene vergadering, het bestuursorgaan en, in voorkomend geval, de commissaris kunnen niet langs</w:t>
      </w:r>
      <w:r>
        <w:rPr>
          <w:color w:val="231F20"/>
          <w:spacing w:val="19"/>
        </w:rPr>
        <w:t> </w:t>
      </w:r>
      <w:r>
        <w:rPr>
          <w:color w:val="231F20"/>
        </w:rPr>
        <w:t>elektronische</w:t>
      </w:r>
      <w:r>
        <w:rPr>
          <w:color w:val="231F20"/>
          <w:spacing w:val="20"/>
        </w:rPr>
        <w:t> </w:t>
      </w:r>
      <w:r>
        <w:rPr>
          <w:color w:val="231F20"/>
        </w:rPr>
        <w:t>weg</w:t>
      </w:r>
      <w:r>
        <w:rPr>
          <w:color w:val="231F20"/>
          <w:spacing w:val="20"/>
        </w:rPr>
        <w:t> </w:t>
      </w:r>
      <w:r>
        <w:rPr>
          <w:color w:val="231F20"/>
        </w:rPr>
        <w:t>aan</w:t>
      </w:r>
      <w:r>
        <w:rPr>
          <w:color w:val="231F20"/>
          <w:spacing w:val="20"/>
        </w:rPr>
        <w:t> </w:t>
      </w:r>
      <w:r>
        <w:rPr>
          <w:color w:val="231F20"/>
        </w:rPr>
        <w:t>de</w:t>
      </w:r>
      <w:r>
        <w:rPr>
          <w:color w:val="231F20"/>
          <w:spacing w:val="19"/>
        </w:rPr>
        <w:t> </w:t>
      </w:r>
      <w:r>
        <w:rPr>
          <w:color w:val="231F20"/>
        </w:rPr>
        <w:t>algemene</w:t>
      </w:r>
      <w:r>
        <w:rPr>
          <w:color w:val="231F20"/>
          <w:spacing w:val="20"/>
        </w:rPr>
        <w:t> </w:t>
      </w:r>
      <w:r>
        <w:rPr>
          <w:color w:val="231F20"/>
        </w:rPr>
        <w:t>vergadering</w:t>
      </w:r>
      <w:r>
        <w:rPr>
          <w:color w:val="231F20"/>
          <w:spacing w:val="20"/>
        </w:rPr>
        <w:t> </w:t>
      </w:r>
      <w:r>
        <w:rPr>
          <w:color w:val="231F20"/>
        </w:rPr>
        <w:t>deelnemen.</w:t>
      </w:r>
    </w:p>
    <w:p>
      <w:pPr>
        <w:pStyle w:val="BodyText"/>
        <w:spacing w:line="218" w:lineRule="auto" w:before="139"/>
      </w:pPr>
      <w:r>
        <w:rPr>
          <w:color w:val="231F20"/>
        </w:rPr>
        <w:t>§ 2. Artikel 5:88 is van toepassing wanneer de vennootschap toestaat dat</w:t>
      </w:r>
      <w:r>
        <w:rPr>
          <w:color w:val="231F20"/>
          <w:spacing w:val="20"/>
        </w:rPr>
        <w:t> </w:t>
      </w:r>
      <w:r>
        <w:rPr>
          <w:color w:val="231F20"/>
        </w:rPr>
        <w:t>op</w:t>
      </w:r>
      <w:r>
        <w:rPr>
          <w:color w:val="231F20"/>
          <w:spacing w:val="20"/>
        </w:rPr>
        <w:t> </w:t>
      </w:r>
      <w:r>
        <w:rPr>
          <w:color w:val="231F20"/>
        </w:rPr>
        <w:t>afstand</w:t>
      </w:r>
      <w:r>
        <w:rPr>
          <w:color w:val="231F20"/>
          <w:spacing w:val="21"/>
        </w:rPr>
        <w:t> </w:t>
      </w:r>
      <w:r>
        <w:rPr>
          <w:color w:val="231F20"/>
        </w:rPr>
        <w:t>aan</w:t>
      </w:r>
      <w:r>
        <w:rPr>
          <w:color w:val="231F20"/>
          <w:spacing w:val="20"/>
        </w:rPr>
        <w:t> </w:t>
      </w:r>
      <w:r>
        <w:rPr>
          <w:color w:val="231F20"/>
        </w:rPr>
        <w:t>de</w:t>
      </w:r>
      <w:r>
        <w:rPr>
          <w:color w:val="231F20"/>
          <w:spacing w:val="20"/>
        </w:rPr>
        <w:t> </w:t>
      </w:r>
      <w:r>
        <w:rPr>
          <w:color w:val="231F20"/>
        </w:rPr>
        <w:t>algemene</w:t>
      </w:r>
      <w:r>
        <w:rPr>
          <w:color w:val="231F20"/>
          <w:spacing w:val="21"/>
        </w:rPr>
        <w:t> </w:t>
      </w:r>
      <w:r>
        <w:rPr>
          <w:color w:val="231F20"/>
        </w:rPr>
        <w:t>vergadering</w:t>
      </w:r>
      <w:r>
        <w:rPr>
          <w:color w:val="231F20"/>
          <w:spacing w:val="20"/>
        </w:rPr>
        <w:t> </w:t>
      </w:r>
      <w:r>
        <w:rPr>
          <w:color w:val="231F20"/>
        </w:rPr>
        <w:t>wordt</w:t>
      </w:r>
      <w:r>
        <w:rPr>
          <w:color w:val="231F20"/>
          <w:spacing w:val="20"/>
        </w:rPr>
        <w:t> </w:t>
      </w:r>
      <w:r>
        <w:rPr>
          <w:color w:val="231F20"/>
        </w:rPr>
        <w:t>deelgenomen.</w:t>
      </w:r>
    </w:p>
    <w:p>
      <w:pPr>
        <w:pStyle w:val="BodyText"/>
        <w:spacing w:line="218" w:lineRule="auto" w:before="138"/>
      </w:pPr>
      <w:r>
        <w:rPr>
          <w:color w:val="231F20"/>
        </w:rPr>
        <w:t>§ 3. De Koning kan de aard en de toepassingsvoorwaarden van de in paragraaf 1 bedoelde elektronische communicatiemiddelen verduide- lijken.</w:t>
      </w:r>
    </w:p>
    <w:p>
      <w:pPr>
        <w:pStyle w:val="BodyText"/>
        <w:spacing w:line="218" w:lineRule="auto" w:before="150"/>
      </w:pPr>
      <w:r>
        <w:rPr>
          <w:color w:val="231F20"/>
        </w:rPr>
        <w:t>§ 4. Onverminderd artikel 5:95 kunnen de statuten iedere aandeel- houder toestaan langs elektronische weg op afstand te stemmen vóór de</w:t>
      </w:r>
      <w:r>
        <w:rPr>
          <w:color w:val="231F20"/>
          <w:spacing w:val="22"/>
        </w:rPr>
        <w:t> </w:t>
      </w:r>
      <w:r>
        <w:rPr>
          <w:color w:val="231F20"/>
        </w:rPr>
        <w:t>algemene</w:t>
      </w:r>
      <w:r>
        <w:rPr>
          <w:color w:val="231F20"/>
          <w:spacing w:val="23"/>
        </w:rPr>
        <w:t> </w:t>
      </w:r>
      <w:r>
        <w:rPr>
          <w:color w:val="231F20"/>
        </w:rPr>
        <w:t>vergadering,</w:t>
      </w:r>
      <w:r>
        <w:rPr>
          <w:color w:val="231F20"/>
          <w:spacing w:val="23"/>
        </w:rPr>
        <w:t> </w:t>
      </w:r>
      <w:r>
        <w:rPr>
          <w:color w:val="231F20"/>
        </w:rPr>
        <w:t>volgens</w:t>
      </w:r>
      <w:r>
        <w:rPr>
          <w:color w:val="231F20"/>
          <w:spacing w:val="23"/>
        </w:rPr>
        <w:t> </w:t>
      </w:r>
      <w:r>
        <w:rPr>
          <w:color w:val="231F20"/>
        </w:rPr>
        <w:t>de</w:t>
      </w:r>
      <w:r>
        <w:rPr>
          <w:color w:val="231F20"/>
          <w:spacing w:val="23"/>
        </w:rPr>
        <w:t> </w:t>
      </w:r>
      <w:r>
        <w:rPr>
          <w:color w:val="231F20"/>
        </w:rPr>
        <w:t>statutair</w:t>
      </w:r>
      <w:r>
        <w:rPr>
          <w:color w:val="231F20"/>
          <w:spacing w:val="22"/>
        </w:rPr>
        <w:t> </w:t>
      </w:r>
      <w:r>
        <w:rPr>
          <w:color w:val="231F20"/>
        </w:rPr>
        <w:t>bepaalde</w:t>
      </w:r>
      <w:r>
        <w:rPr>
          <w:color w:val="231F20"/>
          <w:spacing w:val="23"/>
        </w:rPr>
        <w:t> </w:t>
      </w:r>
      <w:r>
        <w:rPr>
          <w:color w:val="231F20"/>
        </w:rPr>
        <w:t>modaliteiten.</w:t>
      </w:r>
    </w:p>
    <w:p>
      <w:pPr>
        <w:pStyle w:val="BodyText"/>
        <w:spacing w:line="218" w:lineRule="auto" w:before="149"/>
      </w:pPr>
      <w:r>
        <w:rPr>
          <w:color w:val="231F20"/>
        </w:rPr>
        <w:t>Als de vennootschap stemmen op afstand langs elektronische weg toestaat, moet zij in staat zijn de hoedanigheid en de identiteit van de aandeelhouder te controleren, op de bij of krachtens de statuten bepaalde wijze.</w:t>
      </w:r>
    </w:p>
    <w:p>
      <w:pPr>
        <w:pStyle w:val="BodyText"/>
        <w:spacing w:before="136"/>
        <w:ind w:left="283" w:right="0" w:firstLine="0"/>
        <w:jc w:val="left"/>
      </w:pPr>
      <w:r>
        <w:rPr>
          <w:color w:val="231F20"/>
        </w:rPr>
        <w:t>Onderafdeling 6. Verloop van de algemene vergadering.</w:t>
      </w:r>
    </w:p>
    <w:p>
      <w:pPr>
        <w:pStyle w:val="BodyText"/>
        <w:spacing w:line="218" w:lineRule="auto" w:before="146"/>
      </w:pPr>
      <w:r>
        <w:rPr>
          <w:color w:val="231F20"/>
          <w:w w:val="105"/>
        </w:rPr>
        <w:t>Art.</w:t>
      </w:r>
      <w:r>
        <w:rPr>
          <w:color w:val="231F20"/>
          <w:spacing w:val="-8"/>
          <w:w w:val="105"/>
        </w:rPr>
        <w:t> </w:t>
      </w:r>
      <w:r>
        <w:rPr>
          <w:color w:val="231F20"/>
          <w:w w:val="105"/>
        </w:rPr>
        <w:t>5:90.</w:t>
      </w:r>
      <w:r>
        <w:rPr>
          <w:color w:val="231F20"/>
          <w:spacing w:val="-7"/>
          <w:w w:val="105"/>
        </w:rPr>
        <w:t> </w:t>
      </w:r>
      <w:r>
        <w:rPr>
          <w:color w:val="231F20"/>
          <w:w w:val="105"/>
        </w:rPr>
        <w:t>Op</w:t>
      </w:r>
      <w:r>
        <w:rPr>
          <w:color w:val="231F20"/>
          <w:spacing w:val="-8"/>
          <w:w w:val="105"/>
        </w:rPr>
        <w:t> </w:t>
      </w:r>
      <w:r>
        <w:rPr>
          <w:color w:val="231F20"/>
          <w:w w:val="105"/>
        </w:rPr>
        <w:t>elke</w:t>
      </w:r>
      <w:r>
        <w:rPr>
          <w:color w:val="231F20"/>
          <w:spacing w:val="-7"/>
          <w:w w:val="105"/>
        </w:rPr>
        <w:t> </w:t>
      </w:r>
      <w:r>
        <w:rPr>
          <w:color w:val="231F20"/>
          <w:w w:val="105"/>
        </w:rPr>
        <w:t>algemene</w:t>
      </w:r>
      <w:r>
        <w:rPr>
          <w:color w:val="231F20"/>
          <w:spacing w:val="-7"/>
          <w:w w:val="105"/>
        </w:rPr>
        <w:t> </w:t>
      </w:r>
      <w:r>
        <w:rPr>
          <w:color w:val="231F20"/>
          <w:w w:val="105"/>
        </w:rPr>
        <w:t>vergadering</w:t>
      </w:r>
      <w:r>
        <w:rPr>
          <w:color w:val="231F20"/>
          <w:spacing w:val="-8"/>
          <w:w w:val="105"/>
        </w:rPr>
        <w:t> </w:t>
      </w:r>
      <w:r>
        <w:rPr>
          <w:color w:val="231F20"/>
          <w:w w:val="105"/>
        </w:rPr>
        <w:t>wordt</w:t>
      </w:r>
      <w:r>
        <w:rPr>
          <w:color w:val="231F20"/>
          <w:spacing w:val="-7"/>
          <w:w w:val="105"/>
        </w:rPr>
        <w:t> </w:t>
      </w:r>
      <w:r>
        <w:rPr>
          <w:color w:val="231F20"/>
          <w:w w:val="105"/>
        </w:rPr>
        <w:t>een</w:t>
      </w:r>
      <w:r>
        <w:rPr>
          <w:color w:val="231F20"/>
          <w:spacing w:val="-7"/>
          <w:w w:val="105"/>
        </w:rPr>
        <w:t> </w:t>
      </w:r>
      <w:r>
        <w:rPr>
          <w:color w:val="231F20"/>
          <w:w w:val="105"/>
        </w:rPr>
        <w:t>aanwezigheids- lijst</w:t>
      </w:r>
      <w:r>
        <w:rPr>
          <w:color w:val="231F20"/>
          <w:spacing w:val="-13"/>
          <w:w w:val="105"/>
        </w:rPr>
        <w:t> </w:t>
      </w:r>
      <w:r>
        <w:rPr>
          <w:color w:val="231F20"/>
          <w:w w:val="105"/>
        </w:rPr>
        <w:t>bijgehouden.</w:t>
      </w:r>
      <w:r>
        <w:rPr>
          <w:color w:val="231F20"/>
          <w:spacing w:val="-12"/>
          <w:w w:val="105"/>
        </w:rPr>
        <w:t> </w:t>
      </w:r>
      <w:r>
        <w:rPr>
          <w:color w:val="231F20"/>
          <w:w w:val="105"/>
        </w:rPr>
        <w:t>Zij</w:t>
      </w:r>
      <w:r>
        <w:rPr>
          <w:color w:val="231F20"/>
          <w:spacing w:val="-12"/>
          <w:w w:val="105"/>
        </w:rPr>
        <w:t> </w:t>
      </w:r>
      <w:r>
        <w:rPr>
          <w:color w:val="231F20"/>
          <w:w w:val="105"/>
        </w:rPr>
        <w:t>die</w:t>
      </w:r>
      <w:r>
        <w:rPr>
          <w:color w:val="231F20"/>
          <w:spacing w:val="-13"/>
          <w:w w:val="105"/>
        </w:rPr>
        <w:t> </w:t>
      </w:r>
      <w:r>
        <w:rPr>
          <w:color w:val="231F20"/>
          <w:w w:val="105"/>
        </w:rPr>
        <w:t>aan</w:t>
      </w:r>
      <w:r>
        <w:rPr>
          <w:color w:val="231F20"/>
          <w:spacing w:val="-12"/>
          <w:w w:val="105"/>
        </w:rPr>
        <w:t> </w:t>
      </w:r>
      <w:r>
        <w:rPr>
          <w:color w:val="231F20"/>
          <w:w w:val="105"/>
        </w:rPr>
        <w:t>de</w:t>
      </w:r>
      <w:r>
        <w:rPr>
          <w:color w:val="231F20"/>
          <w:spacing w:val="-12"/>
          <w:w w:val="105"/>
        </w:rPr>
        <w:t> </w:t>
      </w:r>
      <w:r>
        <w:rPr>
          <w:color w:val="231F20"/>
          <w:w w:val="105"/>
        </w:rPr>
        <w:t>algemene</w:t>
      </w:r>
      <w:r>
        <w:rPr>
          <w:color w:val="231F20"/>
          <w:spacing w:val="-12"/>
          <w:w w:val="105"/>
        </w:rPr>
        <w:t> </w:t>
      </w:r>
      <w:r>
        <w:rPr>
          <w:color w:val="231F20"/>
          <w:w w:val="105"/>
        </w:rPr>
        <w:t>vergadering</w:t>
      </w:r>
      <w:r>
        <w:rPr>
          <w:color w:val="231F20"/>
          <w:spacing w:val="-13"/>
          <w:w w:val="105"/>
        </w:rPr>
        <w:t> </w:t>
      </w:r>
      <w:r>
        <w:rPr>
          <w:color w:val="231F20"/>
          <w:w w:val="105"/>
        </w:rPr>
        <w:t>hebben</w:t>
      </w:r>
      <w:r>
        <w:rPr>
          <w:color w:val="231F20"/>
          <w:spacing w:val="-12"/>
          <w:w w:val="105"/>
        </w:rPr>
        <w:t> </w:t>
      </w:r>
      <w:r>
        <w:rPr>
          <w:color w:val="231F20"/>
          <w:w w:val="105"/>
        </w:rPr>
        <w:t>deelge- nomen of er waren vertegenwoordigd kunnen inzage krijgen in deze lijst in zoverre de statuten dit</w:t>
      </w:r>
      <w:r>
        <w:rPr>
          <w:color w:val="231F20"/>
          <w:spacing w:val="17"/>
          <w:w w:val="105"/>
        </w:rPr>
        <w:t> </w:t>
      </w:r>
      <w:r>
        <w:rPr>
          <w:color w:val="231F20"/>
          <w:w w:val="105"/>
        </w:rPr>
        <w:t>toelaten.</w:t>
      </w:r>
    </w:p>
    <w:p>
      <w:pPr>
        <w:pStyle w:val="BodyText"/>
        <w:spacing w:line="218" w:lineRule="auto" w:before="150"/>
      </w:pPr>
      <w:r>
        <w:rPr>
          <w:color w:val="231F20"/>
        </w:rPr>
        <w:t>Art. 5:91. De leden van het bestuursorgaan geven antwoord op de vragen die hun door de houders van aandelen, converteerbare obligaties of inschrijvingsrechten, of van certificaten die met medewer- king van de vennootschap zijn uitgegeven, vooraf of tijdens</w:t>
      </w:r>
      <w:r>
        <w:rPr>
          <w:color w:val="231F20"/>
          <w:spacing w:val="34"/>
        </w:rPr>
        <w:t> </w:t>
      </w:r>
      <w:r>
        <w:rPr>
          <w:color w:val="231F20"/>
        </w:rPr>
        <w:t>de vergadering, mondeling of schriftelijk worden gesteld en die verband houden met de agendapunten. De leden van het bestuursorgaan kunnen, in het belang van de vennootschap, weigeren op vragen</w:t>
      </w:r>
      <w:r>
        <w:rPr>
          <w:color w:val="231F20"/>
          <w:spacing w:val="23"/>
        </w:rPr>
        <w:t> </w:t>
      </w:r>
      <w:r>
        <w:rPr>
          <w:color w:val="231F20"/>
        </w:rPr>
        <w:t>te antwoorden wanneer de mededeling van bepaalde gegevens of feiten  de vennootschap schade kan berokkenen of in strijd is met de door hen of</w:t>
      </w:r>
      <w:r>
        <w:rPr>
          <w:color w:val="231F20"/>
          <w:spacing w:val="20"/>
        </w:rPr>
        <w:t> </w:t>
      </w:r>
      <w:r>
        <w:rPr>
          <w:color w:val="231F20"/>
        </w:rPr>
        <w:t>door</w:t>
      </w:r>
      <w:r>
        <w:rPr>
          <w:color w:val="231F20"/>
          <w:spacing w:val="20"/>
        </w:rPr>
        <w:t> </w:t>
      </w:r>
      <w:r>
        <w:rPr>
          <w:color w:val="231F20"/>
        </w:rPr>
        <w:t>de</w:t>
      </w:r>
      <w:r>
        <w:rPr>
          <w:color w:val="231F20"/>
          <w:spacing w:val="20"/>
        </w:rPr>
        <w:t> </w:t>
      </w:r>
      <w:r>
        <w:rPr>
          <w:color w:val="231F20"/>
        </w:rPr>
        <w:t>vennootschap</w:t>
      </w:r>
      <w:r>
        <w:rPr>
          <w:color w:val="231F20"/>
          <w:spacing w:val="21"/>
        </w:rPr>
        <w:t> </w:t>
      </w:r>
      <w:r>
        <w:rPr>
          <w:color w:val="231F20"/>
        </w:rPr>
        <w:t>aangegane</w:t>
      </w:r>
      <w:r>
        <w:rPr>
          <w:color w:val="231F20"/>
          <w:spacing w:val="20"/>
        </w:rPr>
        <w:t> </w:t>
      </w:r>
      <w:r>
        <w:rPr>
          <w:color w:val="231F20"/>
        </w:rPr>
        <w:t>vertrouwelijkheidsverbintenissen.</w:t>
      </w:r>
    </w:p>
    <w:p>
      <w:pPr>
        <w:pStyle w:val="BodyText"/>
        <w:spacing w:line="218" w:lineRule="auto" w:before="150"/>
        <w:ind w:right="123"/>
      </w:pPr>
      <w:r>
        <w:rPr>
          <w:color w:val="231F20"/>
        </w:rPr>
        <w:t>De commissaris geeft antwoord op de vragen die hem door de houders van aandelen, converteerbare obligaties, inschrijvingsrechten en met medewerking van de vennootschap uitgegeven certificaten vooraf of tijdens de vergadering, mondeling of schriftelijk, worden gesteld en die verband houden met de agendapunten waarover hij verslag uitbrengt. Hij kan, in het belang van de vennootschap, weigeren op vragen te antwoorden wanneer de mededeling van bepaalde gegevens of feiten de vennootschap schade kan berokkenen of in strijd is met zijn beroepsgeheim of met door de vennootschap aangegane vertrouwelijkheidsverbintenissen. Hij heeft het recht ter algemene vergadering het woord te voeren in verband met de vervulling van zijn taak.</w:t>
      </w:r>
    </w:p>
    <w:p>
      <w:pPr>
        <w:pStyle w:val="BodyText"/>
        <w:spacing w:line="218" w:lineRule="auto" w:before="150"/>
      </w:pPr>
      <w:r>
        <w:rPr>
          <w:color w:val="231F20"/>
        </w:rPr>
        <w:t>De leden van het bestuursorgaan en de commissaris kunnen hun antwoord op verschillende vragen over hetzelfde onderwerp groepe- ren.</w:t>
      </w:r>
    </w:p>
    <w:p>
      <w:pPr>
        <w:pStyle w:val="BodyText"/>
        <w:spacing w:line="218" w:lineRule="auto" w:before="150"/>
      </w:pPr>
      <w:r>
        <w:rPr>
          <w:color w:val="231F20"/>
        </w:rPr>
        <w:t>De aandeelhouders en de houders van converteerbare obligaties, inschrijvingsrechten en met medewerking van de vennootschap uitge- geven certificaten kunnen vanaf het ogenblik waarop de algemene vergadering wordt bijeengeroepen schriftelijk vragen stellen via het in de oproeping  tot  de  vergadering  vermelde  adres  of  op  het  in  artikel 2:31 bedoelde e-mailadres en binnen de in de statuten bepaalde termijn.</w:t>
      </w:r>
      <w:r>
        <w:rPr>
          <w:color w:val="231F20"/>
          <w:spacing w:val="-5"/>
        </w:rPr>
        <w:t> </w:t>
      </w:r>
      <w:r>
        <w:rPr>
          <w:color w:val="231F20"/>
        </w:rPr>
        <w:t>Indien</w:t>
      </w:r>
      <w:r>
        <w:rPr>
          <w:color w:val="231F20"/>
          <w:spacing w:val="-5"/>
        </w:rPr>
        <w:t> </w:t>
      </w:r>
      <w:r>
        <w:rPr>
          <w:color w:val="231F20"/>
        </w:rPr>
        <w:t>de</w:t>
      </w:r>
      <w:r>
        <w:rPr>
          <w:color w:val="231F20"/>
          <w:spacing w:val="-5"/>
        </w:rPr>
        <w:t> </w:t>
      </w:r>
      <w:r>
        <w:rPr>
          <w:color w:val="231F20"/>
        </w:rPr>
        <w:t>betrokken</w:t>
      </w:r>
      <w:r>
        <w:rPr>
          <w:color w:val="231F20"/>
          <w:spacing w:val="-5"/>
        </w:rPr>
        <w:t> </w:t>
      </w:r>
      <w:r>
        <w:rPr>
          <w:color w:val="231F20"/>
        </w:rPr>
        <w:t>effectenhouders</w:t>
      </w:r>
      <w:r>
        <w:rPr>
          <w:color w:val="231F20"/>
          <w:spacing w:val="-4"/>
        </w:rPr>
        <w:t> </w:t>
      </w:r>
      <w:r>
        <w:rPr>
          <w:color w:val="231F20"/>
        </w:rPr>
        <w:t>de</w:t>
      </w:r>
      <w:r>
        <w:rPr>
          <w:color w:val="231F20"/>
          <w:spacing w:val="-5"/>
        </w:rPr>
        <w:t> </w:t>
      </w:r>
      <w:r>
        <w:rPr>
          <w:color w:val="231F20"/>
        </w:rPr>
        <w:t>formaliteiten</w:t>
      </w:r>
      <w:r>
        <w:rPr>
          <w:color w:val="231F20"/>
          <w:spacing w:val="-5"/>
        </w:rPr>
        <w:t> </w:t>
      </w:r>
      <w:r>
        <w:rPr>
          <w:color w:val="231F20"/>
        </w:rPr>
        <w:t>om</w:t>
      </w:r>
      <w:r>
        <w:rPr>
          <w:color w:val="231F20"/>
          <w:spacing w:val="-5"/>
        </w:rPr>
        <w:t> </w:t>
      </w:r>
      <w:r>
        <w:rPr>
          <w:color w:val="231F20"/>
        </w:rPr>
        <w:t>tot</w:t>
      </w:r>
      <w:r>
        <w:rPr>
          <w:color w:val="231F20"/>
          <w:spacing w:val="-4"/>
        </w:rPr>
        <w:t> </w:t>
      </w:r>
      <w:r>
        <w:rPr>
          <w:color w:val="231F20"/>
        </w:rPr>
        <w:t>de vergadering te worden toegelaten hebben vervuld, worden deze vragen tijdens de vergadering</w:t>
      </w:r>
      <w:r>
        <w:rPr>
          <w:color w:val="231F20"/>
          <w:spacing w:val="5"/>
        </w:rPr>
        <w:t> </w:t>
      </w:r>
      <w:r>
        <w:rPr>
          <w:color w:val="231F20"/>
        </w:rPr>
        <w:t>beantwoord.</w:t>
      </w:r>
    </w:p>
    <w:p>
      <w:pPr>
        <w:pStyle w:val="BodyText"/>
        <w:spacing w:line="218" w:lineRule="auto" w:before="150"/>
      </w:pPr>
      <w:r>
        <w:rPr>
          <w:color w:val="231F20"/>
        </w:rPr>
        <w:t>Art. 5:92. Behalve in de gevallen waarin hun krachtens de wet of de statuten stemrecht is toegekend, wordt voor de vaststelling van de voorschriften inzake aanwezigheid en meerderheid die in de algemene vergadering moeten worden nageleefd, geen rekening gehouden met aandelen zonder stemrecht, noch met de aandelen waarvan het stemrecht is geschorst.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3568" from="298.170502pt,64.473pt" to="298.170502pt,812.819pt" stroked="true" strokeweight=".533pt" strokecolor="#231f20">
            <v:stroke dashstyle="solid"/>
            <w10:wrap type="none"/>
          </v:line>
        </w:pict>
      </w:r>
      <w:bookmarkStart w:name="_bookmark106" w:id="111"/>
      <w:bookmarkEnd w:id="111"/>
      <w:r>
        <w:rPr/>
      </w:r>
      <w:r>
        <w:rPr>
          <w:color w:val="231F20"/>
        </w:rPr>
        <w:t>Art. 5:93. Les procès-verbaux des assemblées générales sont signés par les membres du bureau et par les actionnaires qui le demandent;</w:t>
      </w:r>
      <w:r>
        <w:rPr>
          <w:color w:val="231F20"/>
          <w:spacing w:val="-19"/>
        </w:rPr>
        <w:t> </w:t>
      </w:r>
      <w:r>
        <w:rPr>
          <w:color w:val="231F20"/>
        </w:rPr>
        <w:t>les copies à délivrer aux tiers sont signées par un ou plusieurs membres de l’organe</w:t>
      </w:r>
      <w:r>
        <w:rPr>
          <w:color w:val="231F20"/>
          <w:spacing w:val="17"/>
        </w:rPr>
        <w:t> </w:t>
      </w:r>
      <w:r>
        <w:rPr>
          <w:color w:val="231F20"/>
        </w:rPr>
        <w:t>d’administration</w:t>
      </w:r>
      <w:r>
        <w:rPr>
          <w:color w:val="231F20"/>
          <w:spacing w:val="17"/>
        </w:rPr>
        <w:t> </w:t>
      </w:r>
      <w:r>
        <w:rPr>
          <w:color w:val="231F20"/>
        </w:rPr>
        <w:t>ayant</w:t>
      </w:r>
      <w:r>
        <w:rPr>
          <w:color w:val="231F20"/>
          <w:spacing w:val="17"/>
        </w:rPr>
        <w:t> </w:t>
      </w:r>
      <w:r>
        <w:rPr>
          <w:color w:val="231F20"/>
        </w:rPr>
        <w:t>le</w:t>
      </w:r>
      <w:r>
        <w:rPr>
          <w:color w:val="231F20"/>
          <w:spacing w:val="17"/>
        </w:rPr>
        <w:t> </w:t>
      </w:r>
      <w:r>
        <w:rPr>
          <w:color w:val="231F20"/>
        </w:rPr>
        <w:t>pouvoir</w:t>
      </w:r>
      <w:r>
        <w:rPr>
          <w:color w:val="231F20"/>
          <w:spacing w:val="17"/>
        </w:rPr>
        <w:t> </w:t>
      </w:r>
      <w:r>
        <w:rPr>
          <w:color w:val="231F20"/>
        </w:rPr>
        <w:t>de</w:t>
      </w:r>
      <w:r>
        <w:rPr>
          <w:color w:val="231F20"/>
          <w:spacing w:val="17"/>
        </w:rPr>
        <w:t> </w:t>
      </w:r>
      <w:r>
        <w:rPr>
          <w:color w:val="231F20"/>
        </w:rPr>
        <w:t>représentation.</w:t>
      </w:r>
    </w:p>
    <w:p>
      <w:pPr>
        <w:pStyle w:val="BodyText"/>
        <w:spacing w:before="10"/>
        <w:ind w:left="0" w:right="0" w:firstLine="0"/>
        <w:jc w:val="left"/>
        <w:rPr>
          <w:sz w:val="25"/>
        </w:rPr>
      </w:pPr>
    </w:p>
    <w:p>
      <w:pPr>
        <w:pStyle w:val="BodyText"/>
        <w:spacing w:line="218" w:lineRule="auto"/>
        <w:ind w:right="38"/>
      </w:pPr>
      <w:r>
        <w:rPr>
          <w:color w:val="231F20"/>
        </w:rPr>
        <w:t>Art. 5:94. Les décisions de l’actionnaire unique, agissant en lieu et place de l’assemblée générale, sont consignées dans un registre tenu au siège de la société.</w:t>
      </w:r>
    </w:p>
    <w:p>
      <w:pPr>
        <w:pStyle w:val="BodyText"/>
        <w:spacing w:before="103"/>
        <w:ind w:left="283" w:right="0" w:firstLine="0"/>
        <w:jc w:val="left"/>
      </w:pPr>
      <w:r>
        <w:rPr>
          <w:color w:val="231F20"/>
        </w:rPr>
        <w:t>Sous-section 7. Modalités de l’exercice du droit de vote.</w:t>
      </w:r>
    </w:p>
    <w:p>
      <w:pPr>
        <w:pStyle w:val="BodyText"/>
        <w:spacing w:line="218" w:lineRule="auto" w:before="114"/>
        <w:ind w:right="38"/>
      </w:pPr>
      <w:r>
        <w:rPr>
          <w:color w:val="231F20"/>
        </w:rPr>
        <w:t>Art. 5:95. Sauf disposition statutaire contraire, les actionnaires peuvent se faire représenter par un mandataire, qui ne doit pas être actionnaire. Les statuts peuvent permettre aux actionnaires de voter</w:t>
      </w:r>
      <w:r>
        <w:rPr>
          <w:color w:val="231F20"/>
          <w:spacing w:val="-26"/>
        </w:rPr>
        <w:t> </w:t>
      </w:r>
      <w:r>
        <w:rPr>
          <w:color w:val="231F20"/>
        </w:rPr>
        <w:t>par écrit avant</w:t>
      </w:r>
      <w:r>
        <w:rPr>
          <w:color w:val="231F20"/>
          <w:spacing w:val="-11"/>
        </w:rPr>
        <w:t> </w:t>
      </w:r>
      <w:r>
        <w:rPr>
          <w:color w:val="231F20"/>
        </w:rPr>
        <w:t>l’assemblée.</w:t>
      </w:r>
    </w:p>
    <w:p>
      <w:pPr>
        <w:pStyle w:val="BodyText"/>
        <w:spacing w:line="218" w:lineRule="auto" w:before="129"/>
        <w:ind w:right="38"/>
      </w:pPr>
      <w:r>
        <w:rPr>
          <w:color w:val="231F20"/>
        </w:rPr>
        <w:t>Un vote émis par écrit ou une procuration octroyée restent valables pour chaque assemblée générale suivante dans la mesure où il y est traité</w:t>
      </w:r>
      <w:r>
        <w:rPr>
          <w:color w:val="231F20"/>
          <w:spacing w:val="-3"/>
        </w:rPr>
        <w:t> </w:t>
      </w:r>
      <w:r>
        <w:rPr>
          <w:color w:val="231F20"/>
        </w:rPr>
        <w:t>des</w:t>
      </w:r>
      <w:r>
        <w:rPr>
          <w:color w:val="231F20"/>
          <w:spacing w:val="-3"/>
        </w:rPr>
        <w:t> </w:t>
      </w:r>
      <w:r>
        <w:rPr>
          <w:color w:val="231F20"/>
        </w:rPr>
        <w:t>mêmes</w:t>
      </w:r>
      <w:r>
        <w:rPr>
          <w:color w:val="231F20"/>
          <w:spacing w:val="-3"/>
        </w:rPr>
        <w:t> </w:t>
      </w:r>
      <w:r>
        <w:rPr>
          <w:color w:val="231F20"/>
        </w:rPr>
        <w:t>points</w:t>
      </w:r>
      <w:r>
        <w:rPr>
          <w:color w:val="231F20"/>
          <w:spacing w:val="-3"/>
        </w:rPr>
        <w:t> </w:t>
      </w:r>
      <w:r>
        <w:rPr>
          <w:color w:val="231F20"/>
        </w:rPr>
        <w:t>de</w:t>
      </w:r>
      <w:r>
        <w:rPr>
          <w:color w:val="231F20"/>
          <w:spacing w:val="-3"/>
        </w:rPr>
        <w:t> </w:t>
      </w:r>
      <w:r>
        <w:rPr>
          <w:color w:val="231F20"/>
        </w:rPr>
        <w:t>l’ordre</w:t>
      </w:r>
      <w:r>
        <w:rPr>
          <w:color w:val="231F20"/>
          <w:spacing w:val="-3"/>
        </w:rPr>
        <w:t> </w:t>
      </w:r>
      <w:r>
        <w:rPr>
          <w:color w:val="231F20"/>
        </w:rPr>
        <w:t>du</w:t>
      </w:r>
      <w:r>
        <w:rPr>
          <w:color w:val="231F20"/>
          <w:spacing w:val="-3"/>
        </w:rPr>
        <w:t> jour, </w:t>
      </w:r>
      <w:r>
        <w:rPr>
          <w:color w:val="231F20"/>
        </w:rPr>
        <w:t>sauf</w:t>
      </w:r>
      <w:r>
        <w:rPr>
          <w:color w:val="231F20"/>
          <w:spacing w:val="-3"/>
        </w:rPr>
        <w:t> </w:t>
      </w:r>
      <w:r>
        <w:rPr>
          <w:color w:val="231F20"/>
        </w:rPr>
        <w:t>si</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est</w:t>
      </w:r>
      <w:r>
        <w:rPr>
          <w:color w:val="231F20"/>
          <w:spacing w:val="-3"/>
        </w:rPr>
        <w:t> </w:t>
      </w:r>
      <w:r>
        <w:rPr>
          <w:color w:val="231F20"/>
        </w:rPr>
        <w:t>informée d’une cession des actions</w:t>
      </w:r>
      <w:r>
        <w:rPr>
          <w:color w:val="231F20"/>
          <w:spacing w:val="19"/>
        </w:rPr>
        <w:t> </w:t>
      </w:r>
      <w:r>
        <w:rPr>
          <w:color w:val="231F20"/>
        </w:rPr>
        <w:t>concernées.</w:t>
      </w:r>
    </w:p>
    <w:p>
      <w:pPr>
        <w:pStyle w:val="BodyText"/>
        <w:spacing w:before="5"/>
        <w:ind w:left="0" w:right="0" w:firstLine="0"/>
        <w:jc w:val="left"/>
        <w:rPr>
          <w:sz w:val="25"/>
        </w:rPr>
      </w:pPr>
    </w:p>
    <w:p>
      <w:pPr>
        <w:pStyle w:val="BodyText"/>
        <w:spacing w:before="1"/>
        <w:ind w:left="283" w:right="0" w:firstLine="0"/>
        <w:jc w:val="left"/>
      </w:pPr>
      <w:r>
        <w:rPr>
          <w:color w:val="231F20"/>
        </w:rPr>
        <w:t>Section 2. Assemblée générale ordinaire.</w:t>
      </w:r>
    </w:p>
    <w:p>
      <w:pPr>
        <w:pStyle w:val="BodyText"/>
        <w:spacing w:line="218" w:lineRule="auto" w:before="124"/>
        <w:ind w:right="38"/>
      </w:pPr>
      <w:r>
        <w:rPr>
          <w:color w:val="231F20"/>
        </w:rPr>
        <w:t>Art. 5:96. Il doit être tenu, chaque année, au moins une assemblée générale dans la commune, aux jour et heure indiqués par les statuts.</w:t>
      </w:r>
    </w:p>
    <w:p>
      <w:pPr>
        <w:pStyle w:val="BodyText"/>
        <w:spacing w:before="9"/>
        <w:ind w:left="0" w:right="0" w:firstLine="0"/>
        <w:jc w:val="left"/>
        <w:rPr>
          <w:sz w:val="26"/>
        </w:rPr>
      </w:pPr>
    </w:p>
    <w:p>
      <w:pPr>
        <w:pStyle w:val="BodyText"/>
        <w:spacing w:line="218" w:lineRule="auto"/>
        <w:ind w:right="38"/>
      </w:pPr>
      <w:r>
        <w:rPr>
          <w:color w:val="231F20"/>
        </w:rPr>
        <w:t>Art. 5:97. Quinze jours avant l’assemblée générale, les titulaires d’actions, d’obligations convertibles, de droits de souscription et de certificats émis avec la collaboration de la société peuvent prendre connaissance:</w:t>
      </w:r>
    </w:p>
    <w:p>
      <w:pPr>
        <w:pStyle w:val="BodyText"/>
        <w:spacing w:before="114"/>
        <w:ind w:left="283" w:right="0" w:firstLine="0"/>
        <w:jc w:val="left"/>
      </w:pPr>
      <w:r>
        <w:rPr>
          <w:color w:val="231F20"/>
        </w:rPr>
        <w:t>1° des comptes annuels;</w:t>
      </w:r>
    </w:p>
    <w:p>
      <w:pPr>
        <w:pStyle w:val="BodyText"/>
        <w:spacing w:before="111"/>
        <w:ind w:left="283" w:right="0" w:firstLine="0"/>
        <w:jc w:val="left"/>
      </w:pPr>
      <w:r>
        <w:rPr>
          <w:color w:val="231F20"/>
        </w:rPr>
        <w:t>2° le cas échéant, des comptes consolidés;</w:t>
      </w:r>
    </w:p>
    <w:p>
      <w:pPr>
        <w:pStyle w:val="BodyText"/>
        <w:spacing w:line="218" w:lineRule="auto" w:before="124"/>
        <w:ind w:right="38"/>
      </w:pPr>
      <w:r>
        <w:rPr>
          <w:color w:val="231F20"/>
        </w:rPr>
        <w:t>3° de la liste des actionnaires qui n’ont pas libéré leurs actions, avec l’indication du nombre d’actions non libérées et celle de leur domicile;</w:t>
      </w:r>
    </w:p>
    <w:p>
      <w:pPr>
        <w:pStyle w:val="BodyText"/>
        <w:spacing w:before="9"/>
        <w:ind w:left="0" w:right="0" w:firstLine="0"/>
        <w:jc w:val="left"/>
        <w:rPr>
          <w:sz w:val="26"/>
        </w:rPr>
      </w:pPr>
    </w:p>
    <w:p>
      <w:pPr>
        <w:pStyle w:val="BodyText"/>
        <w:spacing w:line="218" w:lineRule="auto"/>
        <w:ind w:right="38"/>
      </w:pPr>
      <w:r>
        <w:rPr>
          <w:color w:val="231F20"/>
        </w:rPr>
        <w:t>4° le cas échéant, du rapport de gestion, du rapport de gestion sur les comptes consolidés, du rapport du commissaire et des autres rapports prescrits par le présent code.</w:t>
      </w:r>
    </w:p>
    <w:p>
      <w:pPr>
        <w:pStyle w:val="BodyText"/>
        <w:spacing w:line="213" w:lineRule="auto" w:before="131"/>
        <w:ind w:right="38"/>
      </w:pPr>
      <w:r>
        <w:rPr>
          <w:color w:val="231F20"/>
        </w:rPr>
        <w:t>Ces informations, ainsi que les informations déposées auprès de la Banque nationale de Belgique conformément à l’article 3:12, sont communiquées aux titulaires des titres concernés, aux membres de l’organe d’administration et, le cas échéant, au commissaire conformé- ment à l’article 5:84, alinéa 1</w:t>
      </w:r>
      <w:r>
        <w:rPr>
          <w:color w:val="231F20"/>
          <w:position w:val="7"/>
          <w:sz w:val="11"/>
        </w:rPr>
        <w:t>er</w:t>
      </w:r>
      <w:r>
        <w:rPr>
          <w:color w:val="231F20"/>
        </w:rPr>
        <w:t>.</w:t>
      </w:r>
    </w:p>
    <w:p>
      <w:pPr>
        <w:pStyle w:val="BodyText"/>
        <w:spacing w:line="218" w:lineRule="auto" w:before="129"/>
        <w:ind w:right="38"/>
      </w:pPr>
      <w:r>
        <w:rPr>
          <w:color w:val="231F20"/>
        </w:rPr>
        <w:t>Art. 5:98. L’assemblée générale entend, le cas échéant, le rapport de gestion, le rapport de gestion sur les comptes consolidés, le rapport du commissaire et les autres rapports prescrits par le code et discute les comptes annuels.</w:t>
      </w:r>
    </w:p>
    <w:p>
      <w:pPr>
        <w:pStyle w:val="BodyText"/>
        <w:spacing w:line="218" w:lineRule="auto" w:before="129"/>
        <w:ind w:right="38"/>
      </w:pPr>
      <w:r>
        <w:rPr>
          <w:color w:val="231F20"/>
        </w:rPr>
        <w:t>Après l’approbation des comptes annuels, l’assemblée générale se prononce par un vote spécial sur la décharge des administrateurs et du commissaire. Cette décharge n’est valable que lorsque les comptes annuels ne contiennent ni omission, ni indication fausse dissimulant la situation réelle de la société et, quant aux opérations accomplies en violation des statuts ou du présent code, que lorsqu’ils ont été spécialement indiqués dans la convocation.</w:t>
      </w:r>
    </w:p>
    <w:p>
      <w:pPr>
        <w:pStyle w:val="BodyText"/>
        <w:spacing w:line="218" w:lineRule="auto" w:before="128"/>
        <w:ind w:right="38"/>
      </w:pPr>
      <w:r>
        <w:rPr>
          <w:color w:val="231F20"/>
        </w:rPr>
        <w:t>Art. 5:99. L’organe d’administration a le droit de proroger, séance tenante, la décision relative à l’approbation des comptes annuels à trois semaines. Sauf si l’assemblée générale en décide autrement, cette prorogation n’annule pas les autres décisions prises. L’assemblée suivante a le droit d’arrêter définitivement les comptes annuels.</w:t>
      </w:r>
    </w:p>
    <w:p>
      <w:pPr>
        <w:pStyle w:val="BodyText"/>
        <w:spacing w:before="6"/>
        <w:ind w:left="0" w:right="0" w:firstLine="0"/>
        <w:jc w:val="left"/>
        <w:rPr>
          <w:sz w:val="25"/>
        </w:rPr>
      </w:pPr>
    </w:p>
    <w:p>
      <w:pPr>
        <w:pStyle w:val="BodyText"/>
        <w:ind w:left="283" w:right="0" w:firstLine="0"/>
        <w:jc w:val="left"/>
      </w:pPr>
      <w:r>
        <w:rPr>
          <w:color w:val="231F20"/>
        </w:rPr>
        <w:t>Section 3. Assemblée générale extraordinaire.</w:t>
      </w:r>
    </w:p>
    <w:p>
      <w:pPr>
        <w:pStyle w:val="BodyText"/>
        <w:spacing w:before="96"/>
        <w:ind w:left="283" w:right="0" w:firstLine="0"/>
        <w:jc w:val="left"/>
      </w:pPr>
      <w:r>
        <w:rPr>
          <w:color w:val="231F20"/>
        </w:rPr>
        <w:t>Sous-section 1</w:t>
      </w:r>
      <w:r>
        <w:rPr>
          <w:color w:val="231F20"/>
          <w:position w:val="7"/>
          <w:sz w:val="11"/>
        </w:rPr>
        <w:t>re</w:t>
      </w:r>
      <w:r>
        <w:rPr>
          <w:color w:val="231F20"/>
        </w:rPr>
        <w:t>. Modification des statuts en général.</w:t>
      </w:r>
    </w:p>
    <w:p>
      <w:pPr>
        <w:pStyle w:val="BodyText"/>
        <w:spacing w:line="218" w:lineRule="auto" w:before="125"/>
        <w:ind w:right="38"/>
      </w:pPr>
      <w:r>
        <w:rPr>
          <w:color w:val="231F20"/>
        </w:rPr>
        <w:t>Art. 5:100. L’assemblée générale ne peut valablement délibérer et statuer sur les modifications aux statuts que lorsque les modifications proposées ont été mentionnées de manière précise dans la convocation, et lorsque les actionnaires présents ou représentés représentent la moitié au moins du nombre total des actions émises.</w:t>
      </w:r>
    </w:p>
    <w:p>
      <w:pPr>
        <w:pStyle w:val="BodyText"/>
        <w:spacing w:before="8"/>
        <w:ind w:left="0" w:right="0" w:firstLine="0"/>
        <w:jc w:val="left"/>
        <w:rPr>
          <w:sz w:val="26"/>
        </w:rPr>
      </w:pPr>
    </w:p>
    <w:p>
      <w:pPr>
        <w:pStyle w:val="BodyText"/>
        <w:spacing w:line="218" w:lineRule="auto"/>
        <w:ind w:right="38"/>
      </w:pPr>
      <w:r>
        <w:rPr>
          <w:color w:val="231F20"/>
        </w:rPr>
        <w:t>Si cette dernière condition n’est pas respectée, une deuxième convocation est nécessaire et la nouvelle assemblée délibère et statue valablement, quel que soit le nombre d’actions représentées par les actionnaires présents ou représentés.</w:t>
      </w:r>
    </w:p>
    <w:p>
      <w:pPr>
        <w:pStyle w:val="BodyText"/>
        <w:spacing w:line="218" w:lineRule="auto" w:before="129"/>
        <w:ind w:right="38"/>
      </w:pPr>
      <w:r>
        <w:rPr>
          <w:color w:val="231F20"/>
        </w:rPr>
        <w:t>Une modification n’est admise que lorsqu’elle réunit les trois quarts des voix exprimées, sans qu’il soit tenu compte des abstentions dans le numérateur ou dans le dénominateur.</w:t>
      </w:r>
    </w:p>
    <w:p>
      <w:pPr>
        <w:pStyle w:val="BodyText"/>
        <w:spacing w:line="218" w:lineRule="auto" w:before="119"/>
      </w:pPr>
      <w:r>
        <w:rPr/>
        <w:br w:type="column"/>
      </w:r>
      <w:r>
        <w:rPr>
          <w:color w:val="231F20"/>
          <w:w w:val="105"/>
        </w:rPr>
        <w:t>Art. 5:93. De notulen van de algemene vergaderingen worden ondertekend</w:t>
      </w:r>
      <w:r>
        <w:rPr>
          <w:color w:val="231F20"/>
          <w:spacing w:val="-15"/>
          <w:w w:val="105"/>
        </w:rPr>
        <w:t> </w:t>
      </w:r>
      <w:r>
        <w:rPr>
          <w:color w:val="231F20"/>
          <w:w w:val="105"/>
        </w:rPr>
        <w:t>door</w:t>
      </w:r>
      <w:r>
        <w:rPr>
          <w:color w:val="231F20"/>
          <w:spacing w:val="-15"/>
          <w:w w:val="105"/>
        </w:rPr>
        <w:t> </w:t>
      </w:r>
      <w:r>
        <w:rPr>
          <w:color w:val="231F20"/>
          <w:w w:val="105"/>
        </w:rPr>
        <w:t>de</w:t>
      </w:r>
      <w:r>
        <w:rPr>
          <w:color w:val="231F20"/>
          <w:spacing w:val="-14"/>
          <w:w w:val="105"/>
        </w:rPr>
        <w:t> </w:t>
      </w:r>
      <w:r>
        <w:rPr>
          <w:color w:val="231F20"/>
          <w:w w:val="105"/>
        </w:rPr>
        <w:t>leden</w:t>
      </w:r>
      <w:r>
        <w:rPr>
          <w:color w:val="231F20"/>
          <w:spacing w:val="-15"/>
          <w:w w:val="105"/>
        </w:rPr>
        <w:t> </w:t>
      </w:r>
      <w:r>
        <w:rPr>
          <w:color w:val="231F20"/>
          <w:w w:val="105"/>
        </w:rPr>
        <w:t>van</w:t>
      </w:r>
      <w:r>
        <w:rPr>
          <w:color w:val="231F20"/>
          <w:spacing w:val="-14"/>
          <w:w w:val="105"/>
        </w:rPr>
        <w:t> </w:t>
      </w:r>
      <w:r>
        <w:rPr>
          <w:color w:val="231F20"/>
          <w:w w:val="105"/>
        </w:rPr>
        <w:t>het</w:t>
      </w:r>
      <w:r>
        <w:rPr>
          <w:color w:val="231F20"/>
          <w:spacing w:val="-15"/>
          <w:w w:val="105"/>
        </w:rPr>
        <w:t> </w:t>
      </w:r>
      <w:r>
        <w:rPr>
          <w:color w:val="231F20"/>
          <w:w w:val="105"/>
        </w:rPr>
        <w:t>bureau</w:t>
      </w:r>
      <w:r>
        <w:rPr>
          <w:color w:val="231F20"/>
          <w:spacing w:val="-14"/>
          <w:w w:val="105"/>
        </w:rPr>
        <w:t> </w:t>
      </w:r>
      <w:r>
        <w:rPr>
          <w:color w:val="231F20"/>
          <w:w w:val="105"/>
        </w:rPr>
        <w:t>en</w:t>
      </w:r>
      <w:r>
        <w:rPr>
          <w:color w:val="231F20"/>
          <w:spacing w:val="-15"/>
          <w:w w:val="105"/>
        </w:rPr>
        <w:t> </w:t>
      </w:r>
      <w:r>
        <w:rPr>
          <w:color w:val="231F20"/>
          <w:w w:val="105"/>
        </w:rPr>
        <w:t>door</w:t>
      </w:r>
      <w:r>
        <w:rPr>
          <w:color w:val="231F20"/>
          <w:spacing w:val="-14"/>
          <w:w w:val="105"/>
        </w:rPr>
        <w:t> </w:t>
      </w:r>
      <w:r>
        <w:rPr>
          <w:color w:val="231F20"/>
          <w:w w:val="105"/>
        </w:rPr>
        <w:t>de</w:t>
      </w:r>
      <w:r>
        <w:rPr>
          <w:color w:val="231F20"/>
          <w:spacing w:val="-15"/>
          <w:w w:val="105"/>
        </w:rPr>
        <w:t> </w:t>
      </w:r>
      <w:r>
        <w:rPr>
          <w:color w:val="231F20"/>
          <w:w w:val="105"/>
        </w:rPr>
        <w:t>aandeelhouders die erom verzoeken; kopieën voor derden worden ondertekend door één</w:t>
      </w:r>
      <w:r>
        <w:rPr>
          <w:color w:val="231F20"/>
          <w:spacing w:val="-6"/>
          <w:w w:val="105"/>
        </w:rPr>
        <w:t> </w:t>
      </w:r>
      <w:r>
        <w:rPr>
          <w:color w:val="231F20"/>
          <w:w w:val="105"/>
        </w:rPr>
        <w:t>of</w:t>
      </w:r>
      <w:r>
        <w:rPr>
          <w:color w:val="231F20"/>
          <w:spacing w:val="-5"/>
          <w:w w:val="105"/>
        </w:rPr>
        <w:t> </w:t>
      </w:r>
      <w:r>
        <w:rPr>
          <w:color w:val="231F20"/>
          <w:w w:val="105"/>
        </w:rPr>
        <w:t>meer</w:t>
      </w:r>
      <w:r>
        <w:rPr>
          <w:color w:val="231F20"/>
          <w:spacing w:val="-5"/>
          <w:w w:val="105"/>
        </w:rPr>
        <w:t> </w:t>
      </w:r>
      <w:r>
        <w:rPr>
          <w:color w:val="231F20"/>
          <w:w w:val="105"/>
        </w:rPr>
        <w:t>vertegenwoordigingsbevoegde</w:t>
      </w:r>
      <w:r>
        <w:rPr>
          <w:color w:val="231F20"/>
          <w:spacing w:val="-5"/>
          <w:w w:val="105"/>
        </w:rPr>
        <w:t> </w:t>
      </w:r>
      <w:r>
        <w:rPr>
          <w:color w:val="231F20"/>
          <w:w w:val="105"/>
        </w:rPr>
        <w:t>leden</w:t>
      </w:r>
      <w:r>
        <w:rPr>
          <w:color w:val="231F20"/>
          <w:spacing w:val="-5"/>
          <w:w w:val="105"/>
        </w:rPr>
        <w:t> </w:t>
      </w:r>
      <w:r>
        <w:rPr>
          <w:color w:val="231F20"/>
          <w:w w:val="105"/>
        </w:rPr>
        <w:t>van</w:t>
      </w:r>
      <w:r>
        <w:rPr>
          <w:color w:val="231F20"/>
          <w:spacing w:val="-5"/>
          <w:w w:val="105"/>
        </w:rPr>
        <w:t> </w:t>
      </w:r>
      <w:r>
        <w:rPr>
          <w:color w:val="231F20"/>
          <w:w w:val="105"/>
        </w:rPr>
        <w:t>het</w:t>
      </w:r>
      <w:r>
        <w:rPr>
          <w:color w:val="231F20"/>
          <w:spacing w:val="-5"/>
          <w:w w:val="105"/>
        </w:rPr>
        <w:t> </w:t>
      </w:r>
      <w:r>
        <w:rPr>
          <w:color w:val="231F20"/>
          <w:w w:val="105"/>
        </w:rPr>
        <w:t>bestuursor- gaan.</w:t>
      </w:r>
    </w:p>
    <w:p>
      <w:pPr>
        <w:pStyle w:val="BodyText"/>
        <w:spacing w:line="218" w:lineRule="auto" w:before="118"/>
      </w:pPr>
      <w:r>
        <w:rPr>
          <w:color w:val="231F20"/>
        </w:rPr>
        <w:t>Art. 5:94. De beslissingen van de enige aandeelhouder, die handelt in de plaats van de algemene vergadering, worden opgenomen in een register dat op de zetel van de vennootschap wordt bijgehouden.</w:t>
      </w:r>
    </w:p>
    <w:p>
      <w:pPr>
        <w:pStyle w:val="BodyText"/>
        <w:spacing w:before="104"/>
        <w:ind w:left="283" w:right="0" w:firstLine="0"/>
        <w:jc w:val="left"/>
      </w:pPr>
      <w:r>
        <w:rPr>
          <w:color w:val="231F20"/>
        </w:rPr>
        <w:t>Onderafdeling 7. Wijze van uitoefening van het stemrecht.</w:t>
      </w:r>
    </w:p>
    <w:p>
      <w:pPr>
        <w:pStyle w:val="BodyText"/>
        <w:spacing w:line="218" w:lineRule="auto" w:before="114"/>
        <w:ind w:right="123"/>
      </w:pPr>
      <w:r>
        <w:rPr>
          <w:color w:val="231F20"/>
        </w:rPr>
        <w:t>Art. 5:95. Tenzij de statuten anders bepalen, mogen de aandeelhou- ders zich door een lasthebber, die geen aandeelhouder moet zijn, laten vertegenwoordigen. De statuten kunnen de aandeelhouders toelaten hun stem vooraf schriftelijk uit te brengen.</w:t>
      </w:r>
    </w:p>
    <w:p>
      <w:pPr>
        <w:pStyle w:val="BodyText"/>
        <w:spacing w:line="218" w:lineRule="auto" w:before="128"/>
      </w:pPr>
      <w:r>
        <w:rPr>
          <w:color w:val="231F20"/>
        </w:rPr>
        <w:t>Een schriftelijk uitgebrachte stem of een verleende volmacht blijven geldig voor elke volgende algemene vergadering in de mate waarin daarop dezelfde agendapunten worden behandeld, tenzij de vennoot- schap op de hoogte wordt gesteld van een overdracht van de betrokken aandelen.</w:t>
      </w:r>
    </w:p>
    <w:p>
      <w:pPr>
        <w:pStyle w:val="BodyText"/>
        <w:spacing w:before="114"/>
        <w:ind w:left="283" w:right="0" w:firstLine="0"/>
        <w:jc w:val="left"/>
      </w:pPr>
      <w:r>
        <w:rPr>
          <w:color w:val="231F20"/>
        </w:rPr>
        <w:t>Afdeling 2. Gewone algemene vergadering.</w:t>
      </w:r>
    </w:p>
    <w:p>
      <w:pPr>
        <w:pStyle w:val="BodyText"/>
        <w:spacing w:line="218" w:lineRule="auto" w:before="125"/>
      </w:pPr>
      <w:r>
        <w:rPr>
          <w:color w:val="231F20"/>
        </w:rPr>
        <w:t>Art. 5:96. Ieder jaar moet ten minste één algemene vergadering worden gehouden in de gemeente, op de dag en het uur bij de statuten bepaald.</w:t>
      </w:r>
    </w:p>
    <w:p>
      <w:pPr>
        <w:pStyle w:val="BodyText"/>
        <w:spacing w:line="218" w:lineRule="auto" w:before="128"/>
      </w:pPr>
      <w:r>
        <w:rPr>
          <w:color w:val="231F20"/>
        </w:rPr>
        <w:t>Art. 5:97. Vijftien dagen vóór de algemene vergadering mogen de houders van aandelen, converteerbare obligaties, inschrijvingsrechten en met medewerking van de vennootschap uitgegeven certificaten kennis nemen van:</w:t>
      </w:r>
    </w:p>
    <w:p>
      <w:pPr>
        <w:pStyle w:val="BodyText"/>
        <w:spacing w:before="114"/>
        <w:ind w:left="283" w:right="0" w:firstLine="0"/>
        <w:jc w:val="left"/>
      </w:pPr>
      <w:r>
        <w:rPr>
          <w:color w:val="231F20"/>
        </w:rPr>
        <w:t>1° de jaarrekening;</w:t>
      </w:r>
    </w:p>
    <w:p>
      <w:pPr>
        <w:pStyle w:val="BodyText"/>
        <w:spacing w:before="111"/>
        <w:ind w:left="283" w:right="0" w:firstLine="0"/>
        <w:jc w:val="left"/>
      </w:pPr>
      <w:r>
        <w:rPr>
          <w:color w:val="231F20"/>
        </w:rPr>
        <w:t>2° in voorkomend geval, de geconsolideerde jaarrekening;</w:t>
      </w:r>
    </w:p>
    <w:p>
      <w:pPr>
        <w:pStyle w:val="BodyText"/>
        <w:spacing w:line="218" w:lineRule="auto" w:before="124"/>
        <w:ind w:right="123"/>
      </w:pPr>
      <w:r>
        <w:rPr>
          <w:color w:val="231F20"/>
        </w:rPr>
        <w:t>3° de lijst van de aandeelhouders die hun aandelen niet hebben volgestort, met vermelding van het aantal niet-volgestorte aandelen en van hun woonplaats;</w:t>
      </w:r>
    </w:p>
    <w:p>
      <w:pPr>
        <w:pStyle w:val="BodyText"/>
        <w:spacing w:line="218" w:lineRule="auto" w:before="129"/>
      </w:pPr>
      <w:r>
        <w:rPr>
          <w:color w:val="231F20"/>
        </w:rPr>
        <w:t>4° in voorkomend geval, het jaarverslag, het jaarverslag over de geconsolideerde jaarrekening, het verslag van de commissaris en de andere verslagen die dit wetboek voorschrijft.</w:t>
      </w:r>
    </w:p>
    <w:p>
      <w:pPr>
        <w:pStyle w:val="BodyText"/>
        <w:spacing w:line="218" w:lineRule="auto" w:before="128"/>
      </w:pPr>
      <w:r>
        <w:rPr>
          <w:color w:val="231F20"/>
        </w:rPr>
        <w:t>Deze informatie, evenals de  informatie  die  overeenkomstig  arti-  kel 3:12 wordt neergelegd bij de Nationale Bank van België, worden meegedeeld aan de houders van de betrokken effecten, de leden van het bestuursorgaan en, in voorkomend geval, de commissaris overeenkom- stig artikel 5:84, eerste</w:t>
      </w:r>
      <w:r>
        <w:rPr>
          <w:color w:val="231F20"/>
          <w:spacing w:val="16"/>
        </w:rPr>
        <w:t> </w:t>
      </w:r>
      <w:r>
        <w:rPr>
          <w:color w:val="231F20"/>
        </w:rPr>
        <w:t>lid.</w:t>
      </w:r>
    </w:p>
    <w:p>
      <w:pPr>
        <w:pStyle w:val="BodyText"/>
        <w:spacing w:line="218" w:lineRule="auto" w:before="128"/>
      </w:pPr>
      <w:r>
        <w:rPr>
          <w:color w:val="231F20"/>
        </w:rPr>
        <w:t>Art. 5:98. De algemene vergadering hoort, in voorkomend geval, het jaarverslag, het jaarverslag over de geconsolideerde jaarrekening, het verslag van de commissaris en de andere verslagen die het wetboek voorschrijft en behandelt de jaarrekening.</w:t>
      </w:r>
    </w:p>
    <w:p>
      <w:pPr>
        <w:pStyle w:val="BodyText"/>
        <w:spacing w:line="218" w:lineRule="auto" w:before="128"/>
        <w:ind w:right="123"/>
      </w:pPr>
      <w:r>
        <w:rPr>
          <w:color w:val="231F20"/>
        </w:rPr>
        <w:t>Na de goedkeuring van de jaarrekening, beslist de algemene vergadering bij afzonderlijke stemming over de aan de bestuurders en commissaris te verlenen kwijting. Deze kwijting is alleen dan rechts- geldig, wanneer de ware toestand van de vennootschap niet wordt verborgen door enige weglating of onjuiste opgave in de jaarrekening, en, wat de met de statuten of met dit wetboek strijdige verrichtingen betreft, wanneer deze bepaaldelijk zijn aangegeven in de oproeping.</w:t>
      </w:r>
    </w:p>
    <w:p>
      <w:pPr>
        <w:pStyle w:val="BodyText"/>
        <w:spacing w:line="218" w:lineRule="auto" w:before="129"/>
      </w:pPr>
      <w:r>
        <w:rPr>
          <w:color w:val="231F20"/>
        </w:rPr>
        <w:t>Art. 5:99. Het bestuursorgaan heeft het recht, tijdens de zitting, de beslissing over de goedkeuring van de jaarrekening drie weken uit te stellen. </w:t>
      </w:r>
      <w:r>
        <w:rPr>
          <w:color w:val="231F20"/>
          <w:spacing w:val="-3"/>
        </w:rPr>
        <w:t>Tenzij </w:t>
      </w:r>
      <w:r>
        <w:rPr>
          <w:color w:val="231F20"/>
        </w:rPr>
        <w:t>de algemene vergadering er anders over beslist,  doet deze verdaging geen afbreuk aan de andere genomen besluiten. De volgende vergadering heeft het recht de jaarrekening definitief vast te stellen.</w:t>
      </w:r>
    </w:p>
    <w:p>
      <w:pPr>
        <w:pStyle w:val="BodyText"/>
        <w:spacing w:line="376" w:lineRule="auto" w:before="114"/>
        <w:ind w:left="283" w:right="1017" w:firstLine="0"/>
        <w:jc w:val="left"/>
      </w:pPr>
      <w:r>
        <w:rPr>
          <w:color w:val="231F20"/>
        </w:rPr>
        <w:t>Afdeling 3. Buitengewone algemene vergadering. Onderafdeling 1. Statutenwijziging: algemeen.</w:t>
      </w:r>
    </w:p>
    <w:p>
      <w:pPr>
        <w:pStyle w:val="BodyText"/>
        <w:spacing w:line="218" w:lineRule="auto" w:before="15"/>
        <w:ind w:right="125"/>
      </w:pPr>
      <w:r>
        <w:rPr>
          <w:color w:val="231F20"/>
          <w:w w:val="105"/>
        </w:rPr>
        <w:t>Art. 5:100. De algemene vergadering kan over wijzigingen in de statuten alleen dan geldig beraadslagen en besluiten, wanneer de voorgestelde</w:t>
      </w:r>
      <w:r>
        <w:rPr>
          <w:color w:val="231F20"/>
          <w:spacing w:val="-17"/>
          <w:w w:val="105"/>
        </w:rPr>
        <w:t> </w:t>
      </w:r>
      <w:r>
        <w:rPr>
          <w:color w:val="231F20"/>
          <w:w w:val="105"/>
        </w:rPr>
        <w:t>wijzigingen</w:t>
      </w:r>
      <w:r>
        <w:rPr>
          <w:color w:val="231F20"/>
          <w:spacing w:val="-16"/>
          <w:w w:val="105"/>
        </w:rPr>
        <w:t> </w:t>
      </w:r>
      <w:r>
        <w:rPr>
          <w:color w:val="231F20"/>
          <w:w w:val="105"/>
        </w:rPr>
        <w:t>nauwkeurig</w:t>
      </w:r>
      <w:r>
        <w:rPr>
          <w:color w:val="231F20"/>
          <w:spacing w:val="-17"/>
          <w:w w:val="105"/>
        </w:rPr>
        <w:t> </w:t>
      </w:r>
      <w:r>
        <w:rPr>
          <w:color w:val="231F20"/>
          <w:w w:val="105"/>
        </w:rPr>
        <w:t>zijn</w:t>
      </w:r>
      <w:r>
        <w:rPr>
          <w:color w:val="231F20"/>
          <w:spacing w:val="-16"/>
          <w:w w:val="105"/>
        </w:rPr>
        <w:t> </w:t>
      </w:r>
      <w:r>
        <w:rPr>
          <w:color w:val="231F20"/>
          <w:w w:val="105"/>
        </w:rPr>
        <w:t>aangegeven</w:t>
      </w:r>
      <w:r>
        <w:rPr>
          <w:color w:val="231F20"/>
          <w:spacing w:val="-17"/>
          <w:w w:val="105"/>
        </w:rPr>
        <w:t> </w:t>
      </w:r>
      <w:r>
        <w:rPr>
          <w:color w:val="231F20"/>
          <w:w w:val="105"/>
        </w:rPr>
        <w:t>in</w:t>
      </w:r>
      <w:r>
        <w:rPr>
          <w:color w:val="231F20"/>
          <w:spacing w:val="-16"/>
          <w:w w:val="105"/>
        </w:rPr>
        <w:t> </w:t>
      </w:r>
      <w:r>
        <w:rPr>
          <w:color w:val="231F20"/>
          <w:w w:val="105"/>
        </w:rPr>
        <w:t>de</w:t>
      </w:r>
      <w:r>
        <w:rPr>
          <w:color w:val="231F20"/>
          <w:spacing w:val="-17"/>
          <w:w w:val="105"/>
        </w:rPr>
        <w:t> </w:t>
      </w:r>
      <w:r>
        <w:rPr>
          <w:color w:val="231F20"/>
          <w:w w:val="105"/>
        </w:rPr>
        <w:t>oproeping</w:t>
      </w:r>
      <w:r>
        <w:rPr>
          <w:color w:val="231F20"/>
          <w:w w:val="102"/>
        </w:rPr>
        <w:t> </w:t>
      </w:r>
      <w:r>
        <w:rPr>
          <w:color w:val="231F20"/>
          <w:w w:val="105"/>
        </w:rPr>
        <w:t>en wanneer de aanwezige of vertegenwoordigde aandeelhouders ten minste</w:t>
      </w:r>
      <w:r>
        <w:rPr>
          <w:color w:val="231F20"/>
          <w:spacing w:val="12"/>
          <w:w w:val="105"/>
        </w:rPr>
        <w:t> </w:t>
      </w:r>
      <w:r>
        <w:rPr>
          <w:color w:val="231F20"/>
          <w:w w:val="105"/>
        </w:rPr>
        <w:t>de</w:t>
      </w:r>
      <w:r>
        <w:rPr>
          <w:color w:val="231F20"/>
          <w:spacing w:val="11"/>
          <w:w w:val="105"/>
        </w:rPr>
        <w:t> </w:t>
      </w:r>
      <w:r>
        <w:rPr>
          <w:color w:val="231F20"/>
          <w:w w:val="105"/>
        </w:rPr>
        <w:t>helft</w:t>
      </w:r>
      <w:r>
        <w:rPr>
          <w:color w:val="231F20"/>
          <w:spacing w:val="12"/>
          <w:w w:val="105"/>
        </w:rPr>
        <w:t> </w:t>
      </w:r>
      <w:r>
        <w:rPr>
          <w:color w:val="231F20"/>
          <w:w w:val="105"/>
        </w:rPr>
        <w:t>van</w:t>
      </w:r>
      <w:r>
        <w:rPr>
          <w:color w:val="231F20"/>
          <w:spacing w:val="12"/>
          <w:w w:val="105"/>
        </w:rPr>
        <w:t> </w:t>
      </w:r>
      <w:r>
        <w:rPr>
          <w:color w:val="231F20"/>
          <w:w w:val="105"/>
        </w:rPr>
        <w:t>het</w:t>
      </w:r>
      <w:r>
        <w:rPr>
          <w:color w:val="231F20"/>
          <w:spacing w:val="12"/>
          <w:w w:val="105"/>
        </w:rPr>
        <w:t> </w:t>
      </w:r>
      <w:r>
        <w:rPr>
          <w:color w:val="231F20"/>
          <w:w w:val="105"/>
        </w:rPr>
        <w:t>totaal</w:t>
      </w:r>
      <w:r>
        <w:rPr>
          <w:color w:val="231F20"/>
          <w:spacing w:val="12"/>
          <w:w w:val="105"/>
        </w:rPr>
        <w:t> </w:t>
      </w:r>
      <w:r>
        <w:rPr>
          <w:color w:val="231F20"/>
          <w:w w:val="105"/>
        </w:rPr>
        <w:t>aantal</w:t>
      </w:r>
      <w:r>
        <w:rPr>
          <w:color w:val="231F20"/>
          <w:spacing w:val="12"/>
          <w:w w:val="105"/>
        </w:rPr>
        <w:t> </w:t>
      </w:r>
      <w:r>
        <w:rPr>
          <w:color w:val="231F20"/>
          <w:w w:val="105"/>
        </w:rPr>
        <w:t>uitgegeven</w:t>
      </w:r>
      <w:r>
        <w:rPr>
          <w:color w:val="231F20"/>
          <w:spacing w:val="12"/>
          <w:w w:val="105"/>
        </w:rPr>
        <w:t> </w:t>
      </w:r>
      <w:r>
        <w:rPr>
          <w:color w:val="231F20"/>
          <w:w w:val="105"/>
        </w:rPr>
        <w:t>aandelen</w:t>
      </w:r>
      <w:r>
        <w:rPr>
          <w:color w:val="231F20"/>
          <w:spacing w:val="12"/>
          <w:w w:val="105"/>
        </w:rPr>
        <w:t> </w:t>
      </w:r>
      <w:r>
        <w:rPr>
          <w:color w:val="231F20"/>
          <w:w w:val="105"/>
        </w:rPr>
        <w:t>vertegen-</w:t>
      </w:r>
      <w:r>
        <w:rPr>
          <w:color w:val="231F20"/>
          <w:w w:val="100"/>
        </w:rPr>
        <w:t> </w:t>
      </w:r>
      <w:r>
        <w:rPr>
          <w:color w:val="231F20"/>
          <w:w w:val="105"/>
        </w:rPr>
        <w:t>woordigen.</w:t>
      </w:r>
    </w:p>
    <w:p>
      <w:pPr>
        <w:pStyle w:val="BodyText"/>
        <w:spacing w:line="218" w:lineRule="auto" w:before="129"/>
      </w:pPr>
      <w:r>
        <w:rPr>
          <w:color w:val="231F20"/>
          <w:w w:val="105"/>
        </w:rPr>
        <w:t>Is</w:t>
      </w:r>
      <w:r>
        <w:rPr>
          <w:color w:val="231F20"/>
          <w:spacing w:val="-19"/>
          <w:w w:val="105"/>
        </w:rPr>
        <w:t> </w:t>
      </w:r>
      <w:r>
        <w:rPr>
          <w:color w:val="231F20"/>
          <w:w w:val="105"/>
        </w:rPr>
        <w:t>de</w:t>
      </w:r>
      <w:r>
        <w:rPr>
          <w:color w:val="231F20"/>
          <w:spacing w:val="-19"/>
          <w:w w:val="105"/>
        </w:rPr>
        <w:t> </w:t>
      </w:r>
      <w:r>
        <w:rPr>
          <w:color w:val="231F20"/>
          <w:w w:val="105"/>
        </w:rPr>
        <w:t>laatste</w:t>
      </w:r>
      <w:r>
        <w:rPr>
          <w:color w:val="231F20"/>
          <w:spacing w:val="-18"/>
          <w:w w:val="105"/>
        </w:rPr>
        <w:t> </w:t>
      </w:r>
      <w:r>
        <w:rPr>
          <w:color w:val="231F20"/>
          <w:w w:val="105"/>
        </w:rPr>
        <w:t>voorwaarde</w:t>
      </w:r>
      <w:r>
        <w:rPr>
          <w:color w:val="231F20"/>
          <w:spacing w:val="-19"/>
          <w:w w:val="105"/>
        </w:rPr>
        <w:t> </w:t>
      </w:r>
      <w:r>
        <w:rPr>
          <w:color w:val="231F20"/>
          <w:w w:val="105"/>
        </w:rPr>
        <w:t>niet</w:t>
      </w:r>
      <w:r>
        <w:rPr>
          <w:color w:val="231F20"/>
          <w:spacing w:val="-18"/>
          <w:w w:val="105"/>
        </w:rPr>
        <w:t> </w:t>
      </w:r>
      <w:r>
        <w:rPr>
          <w:color w:val="231F20"/>
          <w:w w:val="105"/>
        </w:rPr>
        <w:t>nageleefd,</w:t>
      </w:r>
      <w:r>
        <w:rPr>
          <w:color w:val="231F20"/>
          <w:spacing w:val="-19"/>
          <w:w w:val="105"/>
        </w:rPr>
        <w:t> </w:t>
      </w:r>
      <w:r>
        <w:rPr>
          <w:color w:val="231F20"/>
          <w:w w:val="105"/>
        </w:rPr>
        <w:t>dan</w:t>
      </w:r>
      <w:r>
        <w:rPr>
          <w:color w:val="231F20"/>
          <w:spacing w:val="-18"/>
          <w:w w:val="105"/>
        </w:rPr>
        <w:t> </w:t>
      </w:r>
      <w:r>
        <w:rPr>
          <w:color w:val="231F20"/>
          <w:w w:val="105"/>
        </w:rPr>
        <w:t>is</w:t>
      </w:r>
      <w:r>
        <w:rPr>
          <w:color w:val="231F20"/>
          <w:spacing w:val="-19"/>
          <w:w w:val="105"/>
        </w:rPr>
        <w:t> </w:t>
      </w:r>
      <w:r>
        <w:rPr>
          <w:color w:val="231F20"/>
          <w:w w:val="105"/>
        </w:rPr>
        <w:t>een</w:t>
      </w:r>
      <w:r>
        <w:rPr>
          <w:color w:val="231F20"/>
          <w:spacing w:val="-18"/>
          <w:w w:val="105"/>
        </w:rPr>
        <w:t> </w:t>
      </w:r>
      <w:r>
        <w:rPr>
          <w:color w:val="231F20"/>
          <w:w w:val="105"/>
        </w:rPr>
        <w:t>tweede</w:t>
      </w:r>
      <w:r>
        <w:rPr>
          <w:color w:val="231F20"/>
          <w:spacing w:val="-19"/>
          <w:w w:val="105"/>
        </w:rPr>
        <w:t> </w:t>
      </w:r>
      <w:r>
        <w:rPr>
          <w:color w:val="231F20"/>
          <w:w w:val="105"/>
        </w:rPr>
        <w:t>bijeenroe- ping nodig en de nieuwe vergadering beraadslaagt en besluit</w:t>
      </w:r>
      <w:r>
        <w:rPr>
          <w:color w:val="231F20"/>
          <w:spacing w:val="27"/>
          <w:w w:val="105"/>
        </w:rPr>
        <w:t> </w:t>
      </w:r>
      <w:r>
        <w:rPr>
          <w:color w:val="231F20"/>
          <w:w w:val="105"/>
        </w:rPr>
        <w:t>op geldige wijze, ongeacht het door de aanwezige of vertegenwoordigde aandeelhouders vertegenwoordigde aantal</w:t>
      </w:r>
      <w:r>
        <w:rPr>
          <w:color w:val="231F20"/>
          <w:spacing w:val="23"/>
          <w:w w:val="105"/>
        </w:rPr>
        <w:t> </w:t>
      </w:r>
      <w:r>
        <w:rPr>
          <w:color w:val="231F20"/>
          <w:w w:val="105"/>
        </w:rPr>
        <w:t>aandelen.</w:t>
      </w:r>
    </w:p>
    <w:p>
      <w:pPr>
        <w:pStyle w:val="BodyText"/>
        <w:spacing w:line="218" w:lineRule="auto" w:before="128"/>
      </w:pPr>
      <w:r>
        <w:rPr>
          <w:color w:val="231F20"/>
        </w:rPr>
        <w:t>Een wijziging is alleen dan aangenomen, wanneer zij drie vierde van de uitgebrachte stemmen heeft verkregen, waarbij onthoudingen in de teller noch in de noemer worden meegerekend.</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3592" from="298.170502pt,64.473pt" to="298.170502pt,812.819pt" stroked="true" strokeweight=".533pt" strokecolor="#231f20">
            <v:stroke dashstyle="solid"/>
            <w10:wrap type="none"/>
          </v:line>
        </w:pict>
      </w:r>
      <w:bookmarkStart w:name="_bookmark107" w:id="112"/>
      <w:bookmarkEnd w:id="112"/>
      <w:r>
        <w:rPr/>
      </w:r>
      <w:r>
        <w:rPr>
          <w:color w:val="231F20"/>
        </w:rPr>
        <w:t>Sous-section 2. Modification de l’objet et des buts.</w:t>
      </w:r>
    </w:p>
    <w:p>
      <w:pPr>
        <w:pStyle w:val="BodyText"/>
        <w:spacing w:line="218" w:lineRule="auto" w:before="92"/>
        <w:ind w:right="40"/>
      </w:pPr>
      <w:r>
        <w:rPr>
          <w:color w:val="231F20"/>
        </w:rPr>
        <w:t>Art. 5:101. S’il est proposé de modifier l’objet ou les buts de la société, tels que décrits dans les statuts, l’organe d’administration justifie en détail la modification proposée dans un rapport. Une copie de ce rapport est mise à disposition conformément à l’article 5:84 aux titulaires d’actions, d’obligations convertibles, de droits de souscription et de certificats émis par ou avec la collaboration de la société.</w:t>
      </w:r>
    </w:p>
    <w:p>
      <w:pPr>
        <w:pStyle w:val="BodyText"/>
        <w:ind w:left="0" w:right="0" w:firstLine="0"/>
        <w:jc w:val="left"/>
        <w:rPr>
          <w:sz w:val="24"/>
        </w:rPr>
      </w:pPr>
    </w:p>
    <w:p>
      <w:pPr>
        <w:pStyle w:val="BodyText"/>
        <w:spacing w:line="218" w:lineRule="auto"/>
        <w:ind w:right="41"/>
      </w:pPr>
      <w:r>
        <w:rPr>
          <w:color w:val="231F20"/>
        </w:rPr>
        <w:t>En l’absence de ce rapport, la décision de l’assemblée générale est nulle.</w:t>
      </w:r>
    </w:p>
    <w:p>
      <w:pPr>
        <w:pStyle w:val="BodyText"/>
        <w:spacing w:line="218" w:lineRule="auto" w:before="96"/>
        <w:ind w:right="40"/>
      </w:pPr>
      <w:r>
        <w:rPr>
          <w:color w:val="231F20"/>
        </w:rPr>
        <w:t>L’assemblée</w:t>
      </w:r>
      <w:r>
        <w:rPr>
          <w:color w:val="231F20"/>
          <w:spacing w:val="-4"/>
        </w:rPr>
        <w:t> </w:t>
      </w:r>
      <w:r>
        <w:rPr>
          <w:color w:val="231F20"/>
        </w:rPr>
        <w:t>générale</w:t>
      </w:r>
      <w:r>
        <w:rPr>
          <w:color w:val="231F20"/>
          <w:spacing w:val="-4"/>
        </w:rPr>
        <w:t> </w:t>
      </w:r>
      <w:r>
        <w:rPr>
          <w:color w:val="231F20"/>
        </w:rPr>
        <w:t>ne</w:t>
      </w:r>
      <w:r>
        <w:rPr>
          <w:color w:val="231F20"/>
          <w:spacing w:val="-4"/>
        </w:rPr>
        <w:t> </w:t>
      </w:r>
      <w:r>
        <w:rPr>
          <w:color w:val="231F20"/>
        </w:rPr>
        <w:t>peut</w:t>
      </w:r>
      <w:r>
        <w:rPr>
          <w:color w:val="231F20"/>
          <w:spacing w:val="-4"/>
        </w:rPr>
        <w:t> </w:t>
      </w:r>
      <w:r>
        <w:rPr>
          <w:color w:val="231F20"/>
        </w:rPr>
        <w:t>valablement</w:t>
      </w:r>
      <w:r>
        <w:rPr>
          <w:color w:val="231F20"/>
          <w:spacing w:val="-4"/>
        </w:rPr>
        <w:t> </w:t>
      </w:r>
      <w:r>
        <w:rPr>
          <w:color w:val="231F20"/>
        </w:rPr>
        <w:t>délibérer</w:t>
      </w:r>
      <w:r>
        <w:rPr>
          <w:color w:val="231F20"/>
          <w:spacing w:val="-4"/>
        </w:rPr>
        <w:t> </w:t>
      </w:r>
      <w:r>
        <w:rPr>
          <w:color w:val="231F20"/>
        </w:rPr>
        <w:t>et</w:t>
      </w:r>
      <w:r>
        <w:rPr>
          <w:color w:val="231F20"/>
          <w:spacing w:val="-3"/>
        </w:rPr>
        <w:t> </w:t>
      </w:r>
      <w:r>
        <w:rPr>
          <w:color w:val="231F20"/>
        </w:rPr>
        <w:t>statuer</w:t>
      </w:r>
      <w:r>
        <w:rPr>
          <w:color w:val="231F20"/>
          <w:spacing w:val="-4"/>
        </w:rPr>
        <w:t> </w:t>
      </w:r>
      <w:r>
        <w:rPr>
          <w:color w:val="231F20"/>
        </w:rPr>
        <w:t>sur</w:t>
      </w:r>
      <w:r>
        <w:rPr>
          <w:color w:val="231F20"/>
          <w:spacing w:val="-4"/>
        </w:rPr>
        <w:t> </w:t>
      </w:r>
      <w:r>
        <w:rPr>
          <w:color w:val="231F20"/>
        </w:rPr>
        <w:t>une modification de l’objet et des buts que lorsque les actionnaires présents ou représentés représentent la moitié au moins du nombre total d’actions</w:t>
      </w:r>
      <w:r>
        <w:rPr>
          <w:color w:val="231F20"/>
          <w:spacing w:val="15"/>
        </w:rPr>
        <w:t> </w:t>
      </w:r>
      <w:r>
        <w:rPr>
          <w:color w:val="231F20"/>
        </w:rPr>
        <w:t>émises.</w:t>
      </w:r>
    </w:p>
    <w:p>
      <w:pPr>
        <w:pStyle w:val="BodyText"/>
        <w:spacing w:line="218" w:lineRule="auto" w:before="96"/>
        <w:ind w:right="40"/>
      </w:pPr>
      <w:r>
        <w:rPr>
          <w:color w:val="231F20"/>
        </w:rPr>
        <w:t>Si cette dernière condition n’est pas respectée, une seconde convoca- tion sera nécessaire et la nouvelle assemblée délibérera et statuera valablement, quel que soit le nombre d’actions représentées par les actionnaires présents ou représentés.</w:t>
      </w:r>
    </w:p>
    <w:p>
      <w:pPr>
        <w:pStyle w:val="BodyText"/>
        <w:spacing w:line="218" w:lineRule="auto" w:before="97"/>
        <w:ind w:right="40"/>
      </w:pPr>
      <w:r>
        <w:rPr>
          <w:color w:val="231F20"/>
        </w:rPr>
        <w:t>Une modification n’est admise que lorsqu’elle réunit au moins les quatre cinquièmes des voix exprimées, sans qu’il soit tenu compte des abstentions dans le numérateur ou dans le dénominateur.</w:t>
      </w:r>
    </w:p>
    <w:p>
      <w:pPr>
        <w:pStyle w:val="BodyText"/>
        <w:spacing w:before="82"/>
        <w:ind w:left="283" w:right="0" w:firstLine="0"/>
        <w:jc w:val="left"/>
      </w:pPr>
      <w:r>
        <w:rPr>
          <w:color w:val="231F20"/>
        </w:rPr>
        <w:t>Sous-section 3. Modification des droits attachés aux classes d’actions.</w:t>
      </w:r>
    </w:p>
    <w:p>
      <w:pPr>
        <w:pStyle w:val="BodyText"/>
        <w:spacing w:before="7"/>
        <w:ind w:left="0" w:right="0" w:firstLine="0"/>
        <w:jc w:val="left"/>
        <w:rPr>
          <w:sz w:val="23"/>
        </w:rPr>
      </w:pPr>
    </w:p>
    <w:p>
      <w:pPr>
        <w:pStyle w:val="BodyText"/>
        <w:spacing w:line="218" w:lineRule="auto"/>
        <w:ind w:right="38"/>
      </w:pPr>
      <w:r>
        <w:rPr>
          <w:color w:val="231F20"/>
        </w:rPr>
        <w:t>Art. 5:102. L’assemblée générale peut, nonobstant toute disposition statutaire</w:t>
      </w:r>
      <w:r>
        <w:rPr>
          <w:color w:val="231F20"/>
          <w:spacing w:val="-10"/>
        </w:rPr>
        <w:t> </w:t>
      </w:r>
      <w:r>
        <w:rPr>
          <w:color w:val="231F20"/>
        </w:rPr>
        <w:t>contraire,</w:t>
      </w:r>
      <w:r>
        <w:rPr>
          <w:color w:val="231F20"/>
          <w:spacing w:val="-9"/>
        </w:rPr>
        <w:t> </w:t>
      </w:r>
      <w:r>
        <w:rPr>
          <w:color w:val="231F20"/>
        </w:rPr>
        <w:t>approuver</w:t>
      </w:r>
      <w:r>
        <w:rPr>
          <w:color w:val="231F20"/>
          <w:spacing w:val="-9"/>
        </w:rPr>
        <w:t> </w:t>
      </w:r>
      <w:r>
        <w:rPr>
          <w:color w:val="231F20"/>
        </w:rPr>
        <w:t>l’émission</w:t>
      </w:r>
      <w:r>
        <w:rPr>
          <w:color w:val="231F20"/>
          <w:spacing w:val="-9"/>
        </w:rPr>
        <w:t> </w:t>
      </w:r>
      <w:r>
        <w:rPr>
          <w:color w:val="231F20"/>
        </w:rPr>
        <w:t>de</w:t>
      </w:r>
      <w:r>
        <w:rPr>
          <w:color w:val="231F20"/>
          <w:spacing w:val="-9"/>
        </w:rPr>
        <w:t> </w:t>
      </w:r>
      <w:r>
        <w:rPr>
          <w:color w:val="231F20"/>
        </w:rPr>
        <w:t>nouvelles</w:t>
      </w:r>
      <w:r>
        <w:rPr>
          <w:color w:val="231F20"/>
          <w:spacing w:val="-9"/>
        </w:rPr>
        <w:t> </w:t>
      </w:r>
      <w:r>
        <w:rPr>
          <w:color w:val="231F20"/>
        </w:rPr>
        <w:t>classes</w:t>
      </w:r>
      <w:r>
        <w:rPr>
          <w:color w:val="231F20"/>
          <w:spacing w:val="-9"/>
        </w:rPr>
        <w:t> </w:t>
      </w:r>
      <w:r>
        <w:rPr>
          <w:color w:val="231F20"/>
        </w:rPr>
        <w:t>d’actions, supprimer une ou plusieurs classes, assimiler les droits attachés à une classe d’actions et ceux attachés à une autre classe ou modifier directement ou indirectement les droits attachés à une classe. L’émis- sion de nouvelles actions qui ne s’effectue pas proportionnellement au nombre d’actions émis dans chaque classe, constitue une modification des</w:t>
      </w:r>
      <w:r>
        <w:rPr>
          <w:color w:val="231F20"/>
          <w:spacing w:val="14"/>
        </w:rPr>
        <w:t> </w:t>
      </w:r>
      <w:r>
        <w:rPr>
          <w:color w:val="231F20"/>
        </w:rPr>
        <w:t>droits</w:t>
      </w:r>
      <w:r>
        <w:rPr>
          <w:color w:val="231F20"/>
          <w:spacing w:val="15"/>
        </w:rPr>
        <w:t> </w:t>
      </w:r>
      <w:r>
        <w:rPr>
          <w:color w:val="231F20"/>
        </w:rPr>
        <w:t>attachés</w:t>
      </w:r>
      <w:r>
        <w:rPr>
          <w:color w:val="231F20"/>
          <w:spacing w:val="15"/>
        </w:rPr>
        <w:t> </w:t>
      </w:r>
      <w:r>
        <w:rPr>
          <w:color w:val="231F20"/>
        </w:rPr>
        <w:t>à</w:t>
      </w:r>
      <w:r>
        <w:rPr>
          <w:color w:val="231F20"/>
          <w:spacing w:val="14"/>
        </w:rPr>
        <w:t> </w:t>
      </w:r>
      <w:r>
        <w:rPr>
          <w:color w:val="231F20"/>
        </w:rPr>
        <w:t>chacune</w:t>
      </w:r>
      <w:r>
        <w:rPr>
          <w:color w:val="231F20"/>
          <w:spacing w:val="15"/>
        </w:rPr>
        <w:t> </w:t>
      </w:r>
      <w:r>
        <w:rPr>
          <w:color w:val="231F20"/>
        </w:rPr>
        <w:t>des</w:t>
      </w:r>
      <w:r>
        <w:rPr>
          <w:color w:val="231F20"/>
          <w:spacing w:val="15"/>
        </w:rPr>
        <w:t> </w:t>
      </w:r>
      <w:r>
        <w:rPr>
          <w:color w:val="231F20"/>
        </w:rPr>
        <w:t>classes.</w:t>
      </w:r>
    </w:p>
    <w:p>
      <w:pPr>
        <w:pStyle w:val="BodyText"/>
        <w:spacing w:line="218" w:lineRule="auto" w:before="97"/>
        <w:ind w:right="40"/>
      </w:pPr>
      <w:r>
        <w:rPr>
          <w:color w:val="231F20"/>
          <w:spacing w:val="-3"/>
        </w:rPr>
        <w:t>L’organe </w:t>
      </w:r>
      <w:r>
        <w:rPr>
          <w:color w:val="231F20"/>
        </w:rPr>
        <w:t>d’administration justifie les modifications proposées et leurs conséquences sur les droits des classes existantes. Si des données financières</w:t>
      </w:r>
      <w:r>
        <w:rPr>
          <w:color w:val="231F20"/>
          <w:spacing w:val="-4"/>
        </w:rPr>
        <w:t> </w:t>
      </w:r>
      <w:r>
        <w:rPr>
          <w:color w:val="231F20"/>
        </w:rPr>
        <w:t>et</w:t>
      </w:r>
      <w:r>
        <w:rPr>
          <w:color w:val="231F20"/>
          <w:spacing w:val="-4"/>
        </w:rPr>
        <w:t> </w:t>
      </w:r>
      <w:r>
        <w:rPr>
          <w:color w:val="231F20"/>
        </w:rPr>
        <w:t>comptables</w:t>
      </w:r>
      <w:r>
        <w:rPr>
          <w:color w:val="231F20"/>
          <w:spacing w:val="-4"/>
        </w:rPr>
        <w:t> </w:t>
      </w:r>
      <w:r>
        <w:rPr>
          <w:color w:val="231F20"/>
        </w:rPr>
        <w:t>sous-tendent</w:t>
      </w:r>
      <w:r>
        <w:rPr>
          <w:color w:val="231F20"/>
          <w:spacing w:val="-4"/>
        </w:rPr>
        <w:t> </w:t>
      </w:r>
      <w:r>
        <w:rPr>
          <w:color w:val="231F20"/>
        </w:rPr>
        <w:t>également</w:t>
      </w:r>
      <w:r>
        <w:rPr>
          <w:color w:val="231F20"/>
          <w:spacing w:val="-4"/>
        </w:rPr>
        <w:t> </w:t>
      </w:r>
      <w:r>
        <w:rPr>
          <w:color w:val="231F20"/>
        </w:rPr>
        <w:t>le</w:t>
      </w:r>
      <w:r>
        <w:rPr>
          <w:color w:val="231F20"/>
          <w:spacing w:val="-4"/>
        </w:rPr>
        <w:t> </w:t>
      </w:r>
      <w:r>
        <w:rPr>
          <w:color w:val="231F20"/>
        </w:rPr>
        <w:t>rapport</w:t>
      </w:r>
      <w:r>
        <w:rPr>
          <w:color w:val="231F20"/>
          <w:spacing w:val="-4"/>
        </w:rPr>
        <w:t> </w:t>
      </w:r>
      <w:r>
        <w:rPr>
          <w:color w:val="231F20"/>
        </w:rPr>
        <w:t>de</w:t>
      </w:r>
      <w:r>
        <w:rPr>
          <w:color w:val="231F20"/>
          <w:spacing w:val="-4"/>
        </w:rPr>
        <w:t> </w:t>
      </w:r>
      <w:r>
        <w:rPr>
          <w:color w:val="231F20"/>
        </w:rPr>
        <w:t>l’organe d’administration, le commissaire ou, lorsqu’il n’y a pas de commissaire, un réviseur d’entreprises ou un expert-comptable externe désigné par l’organe d’administration, évalue si ces données financières et compta- bles figurant dans le rapport de l’organe d’administration sont fidèles et </w:t>
      </w:r>
      <w:r>
        <w:rPr>
          <w:color w:val="231F20"/>
          <w:spacing w:val="-3"/>
        </w:rPr>
        <w:t>suffisantes </w:t>
      </w:r>
      <w:r>
        <w:rPr>
          <w:color w:val="231F20"/>
        </w:rPr>
        <w:t>dans tous leurs aspects significatifs pour éclairer l’assemblée générale appelée à voter sur cette proposition. Les deux rapports sont annoncés dans l’ordre du jour et mis à la disposition des titulaires d’actions, d’obligations convertibles, de droits de souscription et de certificats émis avec la collaboration de la société conformément à l’article 5:84. En l’absence de ces rapports, la décision de l’assemblée générale est nulle. Ces rapports sont déposés et publiés conformément aux</w:t>
      </w:r>
      <w:r>
        <w:rPr>
          <w:color w:val="231F20"/>
          <w:spacing w:val="13"/>
        </w:rPr>
        <w:t> </w:t>
      </w:r>
      <w:r>
        <w:rPr>
          <w:color w:val="231F20"/>
        </w:rPr>
        <w:t>articles</w:t>
      </w:r>
      <w:r>
        <w:rPr>
          <w:color w:val="231F20"/>
          <w:spacing w:val="14"/>
        </w:rPr>
        <w:t> </w:t>
      </w:r>
      <w:r>
        <w:rPr>
          <w:color w:val="231F20"/>
        </w:rPr>
        <w:t>2:8</w:t>
      </w:r>
      <w:r>
        <w:rPr>
          <w:color w:val="231F20"/>
          <w:spacing w:val="14"/>
        </w:rPr>
        <w:t> </w:t>
      </w:r>
      <w:r>
        <w:rPr>
          <w:color w:val="231F20"/>
        </w:rPr>
        <w:t>et</w:t>
      </w:r>
      <w:r>
        <w:rPr>
          <w:color w:val="231F20"/>
          <w:spacing w:val="14"/>
        </w:rPr>
        <w:t> </w:t>
      </w:r>
      <w:r>
        <w:rPr>
          <w:color w:val="231F20"/>
        </w:rPr>
        <w:t>2:14,</w:t>
      </w:r>
      <w:r>
        <w:rPr>
          <w:color w:val="231F20"/>
          <w:spacing w:val="13"/>
        </w:rPr>
        <w:t> </w:t>
      </w:r>
      <w:r>
        <w:rPr>
          <w:color w:val="231F20"/>
        </w:rPr>
        <w:t>4°.</w:t>
      </w:r>
    </w:p>
    <w:p>
      <w:pPr>
        <w:pStyle w:val="BodyText"/>
        <w:ind w:left="0" w:right="0" w:firstLine="0"/>
        <w:jc w:val="left"/>
        <w:rPr>
          <w:sz w:val="24"/>
        </w:rPr>
      </w:pPr>
    </w:p>
    <w:p>
      <w:pPr>
        <w:pStyle w:val="BodyText"/>
        <w:spacing w:line="218" w:lineRule="auto"/>
        <w:ind w:right="40"/>
      </w:pPr>
      <w:r>
        <w:rPr>
          <w:color w:val="231F20"/>
          <w:spacing w:val="-4"/>
        </w:rPr>
        <w:t>Toute </w:t>
      </w:r>
      <w:r>
        <w:rPr>
          <w:color w:val="231F20"/>
        </w:rPr>
        <w:t>modification des droits attachés à une ou plusieurs classes nécessite une modification des statuts, pour laquelle la décision doit être prise dans chaque classe dans le respect des conditions de quorum et de majorité requises pour la modification des statuts, et chaque porteur de coupures de titres doit être admis à la délibération et au vote dans la classe concernée, les voix étant comptées sur base d’une voix à la coupure la plus</w:t>
      </w:r>
      <w:r>
        <w:rPr>
          <w:color w:val="231F20"/>
          <w:spacing w:val="20"/>
        </w:rPr>
        <w:t> </w:t>
      </w:r>
      <w:r>
        <w:rPr>
          <w:color w:val="231F20"/>
        </w:rPr>
        <w:t>faible.</w:t>
      </w:r>
    </w:p>
    <w:p>
      <w:pPr>
        <w:pStyle w:val="BodyText"/>
        <w:spacing w:line="319" w:lineRule="auto" w:before="83"/>
        <w:ind w:left="284" w:right="332" w:firstLine="0"/>
        <w:jc w:val="left"/>
      </w:pPr>
      <w:r>
        <w:rPr>
          <w:color w:val="231F20"/>
        </w:rPr>
        <w:t>CHAPITRE 3. De l’action sociale et de l’action minoritaire. Section 1</w:t>
      </w:r>
      <w:r>
        <w:rPr>
          <w:color w:val="231F20"/>
          <w:position w:val="7"/>
          <w:sz w:val="11"/>
        </w:rPr>
        <w:t>re</w:t>
      </w:r>
      <w:r>
        <w:rPr>
          <w:color w:val="231F20"/>
        </w:rPr>
        <w:t>. De l’action sociale.</w:t>
      </w:r>
    </w:p>
    <w:p>
      <w:pPr>
        <w:pStyle w:val="BodyText"/>
        <w:spacing w:line="218" w:lineRule="auto" w:before="28"/>
        <w:ind w:right="41"/>
      </w:pPr>
      <w:r>
        <w:rPr>
          <w:color w:val="231F20"/>
        </w:rPr>
        <w:t>Art. 5:103. L’assemblée générale décide s’il y a lieu d’exercer l’action sociale contre les membres de l’organe d’administration ou contre le commissaire. Elle peut charger un ou plusieurs mandataires de l’exécution de cette décision.</w:t>
      </w:r>
    </w:p>
    <w:p>
      <w:pPr>
        <w:pStyle w:val="BodyText"/>
        <w:spacing w:before="82"/>
        <w:ind w:left="283" w:right="0" w:firstLine="0"/>
        <w:jc w:val="left"/>
      </w:pPr>
      <w:r>
        <w:rPr>
          <w:color w:val="231F20"/>
        </w:rPr>
        <w:t>Section 2. De l’action minoritaire.</w:t>
      </w:r>
    </w:p>
    <w:p>
      <w:pPr>
        <w:pStyle w:val="BodyText"/>
        <w:spacing w:line="218" w:lineRule="auto" w:before="78"/>
        <w:ind w:right="40"/>
      </w:pPr>
      <w:r>
        <w:rPr>
          <w:color w:val="231F20"/>
        </w:rPr>
        <w:t>Art. 5:104. § 1</w:t>
      </w:r>
      <w:r>
        <w:rPr>
          <w:color w:val="231F20"/>
          <w:position w:val="7"/>
          <w:sz w:val="11"/>
        </w:rPr>
        <w:t>er</w:t>
      </w:r>
      <w:r>
        <w:rPr>
          <w:color w:val="231F20"/>
        </w:rPr>
        <w:t>. Les actionnaires minoritaires peuvent intenter pour le compte de la société une action contre les membres de l’organe d’administration.</w:t>
      </w:r>
    </w:p>
    <w:p>
      <w:pPr>
        <w:pStyle w:val="BodyText"/>
        <w:spacing w:line="218" w:lineRule="auto" w:before="96"/>
        <w:ind w:right="40"/>
      </w:pPr>
      <w:r>
        <w:rPr>
          <w:color w:val="231F20"/>
        </w:rPr>
        <w:t>Les actionnaires minoritaires doivent, au jour de l’assemblée</w:t>
      </w:r>
      <w:r>
        <w:rPr>
          <w:color w:val="231F20"/>
          <w:spacing w:val="-27"/>
        </w:rPr>
        <w:t> </w:t>
      </w:r>
      <w:r>
        <w:rPr>
          <w:color w:val="231F20"/>
        </w:rPr>
        <w:t>générale qui se prononce sur la décharge des membres de l’organe d’adminis- tration,</w:t>
      </w:r>
      <w:r>
        <w:rPr>
          <w:color w:val="231F20"/>
          <w:spacing w:val="15"/>
        </w:rPr>
        <w:t> </w:t>
      </w:r>
      <w:r>
        <w:rPr>
          <w:color w:val="231F20"/>
        </w:rPr>
        <w:t>posséder</w:t>
      </w:r>
      <w:r>
        <w:rPr>
          <w:color w:val="231F20"/>
          <w:spacing w:val="15"/>
        </w:rPr>
        <w:t> </w:t>
      </w:r>
      <w:r>
        <w:rPr>
          <w:color w:val="231F20"/>
        </w:rPr>
        <w:t>au</w:t>
      </w:r>
      <w:r>
        <w:rPr>
          <w:color w:val="231F20"/>
          <w:spacing w:val="15"/>
        </w:rPr>
        <w:t> </w:t>
      </w:r>
      <w:r>
        <w:rPr>
          <w:color w:val="231F20"/>
        </w:rPr>
        <w:t>moins</w:t>
      </w:r>
      <w:r>
        <w:rPr>
          <w:color w:val="231F20"/>
          <w:spacing w:val="15"/>
        </w:rPr>
        <w:t> </w:t>
      </w:r>
      <w:r>
        <w:rPr>
          <w:color w:val="231F20"/>
        </w:rPr>
        <w:t>10</w:t>
      </w:r>
      <w:r>
        <w:rPr>
          <w:color w:val="231F20"/>
          <w:spacing w:val="16"/>
        </w:rPr>
        <w:t> </w:t>
      </w:r>
      <w:r>
        <w:rPr>
          <w:color w:val="231F20"/>
        </w:rPr>
        <w:t>%</w:t>
      </w:r>
      <w:r>
        <w:rPr>
          <w:color w:val="231F20"/>
          <w:spacing w:val="15"/>
        </w:rPr>
        <w:t> </w:t>
      </w:r>
      <w:r>
        <w:rPr>
          <w:color w:val="231F20"/>
        </w:rPr>
        <w:t>du</w:t>
      </w:r>
      <w:r>
        <w:rPr>
          <w:color w:val="231F20"/>
          <w:spacing w:val="15"/>
        </w:rPr>
        <w:t> </w:t>
      </w:r>
      <w:r>
        <w:rPr>
          <w:color w:val="231F20"/>
        </w:rPr>
        <w:t>nombre</w:t>
      </w:r>
      <w:r>
        <w:rPr>
          <w:color w:val="231F20"/>
          <w:spacing w:val="15"/>
        </w:rPr>
        <w:t> </w:t>
      </w:r>
      <w:r>
        <w:rPr>
          <w:color w:val="231F20"/>
        </w:rPr>
        <w:t>d’actions</w:t>
      </w:r>
      <w:r>
        <w:rPr>
          <w:color w:val="231F20"/>
          <w:spacing w:val="15"/>
        </w:rPr>
        <w:t> </w:t>
      </w:r>
      <w:r>
        <w:rPr>
          <w:color w:val="231F20"/>
        </w:rPr>
        <w:t>émises.</w:t>
      </w:r>
    </w:p>
    <w:p>
      <w:pPr>
        <w:pStyle w:val="BodyText"/>
        <w:spacing w:before="11"/>
        <w:ind w:left="0" w:right="0" w:firstLine="0"/>
        <w:jc w:val="left"/>
        <w:rPr>
          <w:sz w:val="23"/>
        </w:rPr>
      </w:pPr>
    </w:p>
    <w:p>
      <w:pPr>
        <w:pStyle w:val="BodyText"/>
        <w:spacing w:line="218" w:lineRule="auto"/>
        <w:ind w:right="40"/>
      </w:pPr>
      <w:r>
        <w:rPr>
          <w:color w:val="231F20"/>
        </w:rPr>
        <w:t>Les actionnaires ayant le droit de vote ne peuvent intenter l’action que s’ils n’ont pas approuvé la décharge ou s’ils ne l’ont pas valablement</w:t>
      </w:r>
      <w:r>
        <w:rPr>
          <w:color w:val="231F20"/>
          <w:spacing w:val="15"/>
        </w:rPr>
        <w:t> </w:t>
      </w:r>
      <w:r>
        <w:rPr>
          <w:color w:val="231F20"/>
        </w:rPr>
        <w:t>approuvée.</w:t>
      </w:r>
    </w:p>
    <w:p>
      <w:pPr>
        <w:pStyle w:val="BodyText"/>
        <w:spacing w:line="218" w:lineRule="auto" w:before="107"/>
        <w:ind w:right="40"/>
      </w:pPr>
      <w:r>
        <w:rPr>
          <w:color w:val="231F20"/>
        </w:rPr>
        <w:t>Les actionnaires sans droit de vote ne peuvent intenter l’action que dans les cas où ils ont exercé leur droit de vote conformément à  l’article</w:t>
      </w:r>
      <w:r>
        <w:rPr>
          <w:color w:val="231F20"/>
          <w:spacing w:val="-7"/>
        </w:rPr>
        <w:t> </w:t>
      </w:r>
      <w:r>
        <w:rPr>
          <w:color w:val="231F20"/>
        </w:rPr>
        <w:t>5:47</w:t>
      </w:r>
      <w:r>
        <w:rPr>
          <w:color w:val="231F20"/>
          <w:spacing w:val="-6"/>
        </w:rPr>
        <w:t> </w:t>
      </w:r>
      <w:r>
        <w:rPr>
          <w:color w:val="231F20"/>
        </w:rPr>
        <w:t>et</w:t>
      </w:r>
      <w:r>
        <w:rPr>
          <w:color w:val="231F20"/>
          <w:spacing w:val="-6"/>
        </w:rPr>
        <w:t> </w:t>
      </w:r>
      <w:r>
        <w:rPr>
          <w:color w:val="231F20"/>
        </w:rPr>
        <w:t>uniquement</w:t>
      </w:r>
      <w:r>
        <w:rPr>
          <w:color w:val="231F20"/>
          <w:spacing w:val="-6"/>
        </w:rPr>
        <w:t> </w:t>
      </w:r>
      <w:r>
        <w:rPr>
          <w:color w:val="231F20"/>
        </w:rPr>
        <w:t>pour</w:t>
      </w:r>
      <w:r>
        <w:rPr>
          <w:color w:val="231F20"/>
          <w:spacing w:val="-6"/>
        </w:rPr>
        <w:t> </w:t>
      </w:r>
      <w:r>
        <w:rPr>
          <w:color w:val="231F20"/>
        </w:rPr>
        <w:t>les</w:t>
      </w:r>
      <w:r>
        <w:rPr>
          <w:color w:val="231F20"/>
          <w:spacing w:val="-6"/>
        </w:rPr>
        <w:t> </w:t>
      </w:r>
      <w:r>
        <w:rPr>
          <w:color w:val="231F20"/>
        </w:rPr>
        <w:t>actes</w:t>
      </w:r>
      <w:r>
        <w:rPr>
          <w:color w:val="231F20"/>
          <w:spacing w:val="-7"/>
        </w:rPr>
        <w:t> </w:t>
      </w:r>
      <w:r>
        <w:rPr>
          <w:color w:val="231F20"/>
        </w:rPr>
        <w:t>d’administration</w:t>
      </w:r>
      <w:r>
        <w:rPr>
          <w:color w:val="231F20"/>
          <w:spacing w:val="-6"/>
        </w:rPr>
        <w:t> </w:t>
      </w:r>
      <w:r>
        <w:rPr>
          <w:color w:val="231F20"/>
        </w:rPr>
        <w:t>afférents</w:t>
      </w:r>
      <w:r>
        <w:rPr>
          <w:color w:val="231F20"/>
          <w:spacing w:val="-6"/>
        </w:rPr>
        <w:t> </w:t>
      </w:r>
      <w:r>
        <w:rPr>
          <w:color w:val="231F20"/>
        </w:rPr>
        <w:t>à</w:t>
      </w:r>
      <w:r>
        <w:rPr>
          <w:color w:val="231F20"/>
          <w:spacing w:val="-6"/>
        </w:rPr>
        <w:t> </w:t>
      </w:r>
      <w:r>
        <w:rPr>
          <w:color w:val="231F20"/>
        </w:rPr>
        <w:t>la décision</w:t>
      </w:r>
      <w:r>
        <w:rPr>
          <w:color w:val="231F20"/>
          <w:spacing w:val="15"/>
        </w:rPr>
        <w:t> </w:t>
      </w:r>
      <w:r>
        <w:rPr>
          <w:color w:val="231F20"/>
        </w:rPr>
        <w:t>prise</w:t>
      </w:r>
      <w:r>
        <w:rPr>
          <w:color w:val="231F20"/>
          <w:spacing w:val="15"/>
        </w:rPr>
        <w:t> </w:t>
      </w:r>
      <w:r>
        <w:rPr>
          <w:color w:val="231F20"/>
        </w:rPr>
        <w:t>en</w:t>
      </w:r>
      <w:r>
        <w:rPr>
          <w:color w:val="231F20"/>
          <w:spacing w:val="15"/>
        </w:rPr>
        <w:t> </w:t>
      </w:r>
      <w:r>
        <w:rPr>
          <w:color w:val="231F20"/>
        </w:rPr>
        <w:t>application</w:t>
      </w:r>
      <w:r>
        <w:rPr>
          <w:color w:val="231F20"/>
          <w:spacing w:val="16"/>
        </w:rPr>
        <w:t> </w:t>
      </w:r>
      <w:r>
        <w:rPr>
          <w:color w:val="231F20"/>
        </w:rPr>
        <w:t>du</w:t>
      </w:r>
      <w:r>
        <w:rPr>
          <w:color w:val="231F20"/>
          <w:spacing w:val="15"/>
        </w:rPr>
        <w:t> </w:t>
      </w:r>
      <w:r>
        <w:rPr>
          <w:color w:val="231F20"/>
        </w:rPr>
        <w:t>même</w:t>
      </w:r>
      <w:r>
        <w:rPr>
          <w:color w:val="231F20"/>
          <w:spacing w:val="15"/>
        </w:rPr>
        <w:t> </w:t>
      </w:r>
      <w:r>
        <w:rPr>
          <w:color w:val="231F20"/>
        </w:rPr>
        <w:t>article.</w:t>
      </w:r>
    </w:p>
    <w:p>
      <w:pPr>
        <w:pStyle w:val="BodyText"/>
        <w:spacing w:before="105"/>
        <w:ind w:left="283" w:right="0" w:firstLine="0"/>
        <w:jc w:val="left"/>
      </w:pPr>
      <w:r>
        <w:rPr/>
        <w:br w:type="column"/>
      </w:r>
      <w:r>
        <w:rPr>
          <w:color w:val="231F20"/>
        </w:rPr>
        <w:t>Onderafdeling 2. Wijziging van het voorwerp en de doelen.</w:t>
      </w:r>
    </w:p>
    <w:p>
      <w:pPr>
        <w:pStyle w:val="BodyText"/>
        <w:spacing w:line="218" w:lineRule="auto" w:before="93"/>
        <w:ind w:right="123"/>
      </w:pPr>
      <w:r>
        <w:rPr>
          <w:color w:val="231F20"/>
        </w:rPr>
        <w:t>Art. 5:101. Indien wordt voorgesteld het voorwerp of de doelen van de vennootschap, zoals beschreven in de statuten, te wijzigen, verant- woordt het bestuursorgaan de voorgestelde wijziging omstandig in een verslag. Een kopie van dit verslag wordt aan de houders van aandelen, converteerbare obligaties, inschrijvingsrechten en met medewerking van de vennootschap uitgegeven certificaten ter beschikking gesteld overeenkomstig artikel</w:t>
      </w:r>
      <w:r>
        <w:rPr>
          <w:color w:val="231F20"/>
          <w:spacing w:val="-13"/>
        </w:rPr>
        <w:t> </w:t>
      </w:r>
      <w:r>
        <w:rPr>
          <w:color w:val="231F20"/>
        </w:rPr>
        <w:t>5:84.</w:t>
      </w:r>
    </w:p>
    <w:p>
      <w:pPr>
        <w:pStyle w:val="BodyText"/>
        <w:spacing w:line="218" w:lineRule="auto" w:before="97"/>
      </w:pPr>
      <w:r>
        <w:rPr>
          <w:color w:val="231F20"/>
        </w:rPr>
        <w:t>Indien dit verslag ontbreekt, is het besluit van de algemene vergadering nietig.</w:t>
      </w:r>
    </w:p>
    <w:p>
      <w:pPr>
        <w:pStyle w:val="BodyText"/>
        <w:spacing w:line="218" w:lineRule="auto" w:before="96"/>
      </w:pPr>
      <w:r>
        <w:rPr>
          <w:color w:val="231F20"/>
        </w:rPr>
        <w:t>De algemene vergadering kan over een wijziging van het voorwerp  en van de doelen alleen dan geldig beraadslagen en besluiten, wanneer de aanwezige of vertegenwoordigde aandeelhouders ten minste de  helft</w:t>
      </w:r>
      <w:r>
        <w:rPr>
          <w:color w:val="231F20"/>
          <w:spacing w:val="21"/>
        </w:rPr>
        <w:t> </w:t>
      </w:r>
      <w:r>
        <w:rPr>
          <w:color w:val="231F20"/>
        </w:rPr>
        <w:t>van</w:t>
      </w:r>
      <w:r>
        <w:rPr>
          <w:color w:val="231F20"/>
          <w:spacing w:val="21"/>
        </w:rPr>
        <w:t> </w:t>
      </w:r>
      <w:r>
        <w:rPr>
          <w:color w:val="231F20"/>
        </w:rPr>
        <w:t>het</w:t>
      </w:r>
      <w:r>
        <w:rPr>
          <w:color w:val="231F20"/>
          <w:spacing w:val="21"/>
        </w:rPr>
        <w:t> </w:t>
      </w:r>
      <w:r>
        <w:rPr>
          <w:color w:val="231F20"/>
        </w:rPr>
        <w:t>totaal</w:t>
      </w:r>
      <w:r>
        <w:rPr>
          <w:color w:val="231F20"/>
          <w:spacing w:val="21"/>
        </w:rPr>
        <w:t> </w:t>
      </w:r>
      <w:r>
        <w:rPr>
          <w:color w:val="231F20"/>
        </w:rPr>
        <w:t>aantal</w:t>
      </w:r>
      <w:r>
        <w:rPr>
          <w:color w:val="231F20"/>
          <w:spacing w:val="21"/>
        </w:rPr>
        <w:t> </w:t>
      </w:r>
      <w:r>
        <w:rPr>
          <w:color w:val="231F20"/>
        </w:rPr>
        <w:t>uitgegeven</w:t>
      </w:r>
      <w:r>
        <w:rPr>
          <w:color w:val="231F20"/>
          <w:spacing w:val="21"/>
        </w:rPr>
        <w:t> </w:t>
      </w:r>
      <w:r>
        <w:rPr>
          <w:color w:val="231F20"/>
        </w:rPr>
        <w:t>aandelen</w:t>
      </w:r>
      <w:r>
        <w:rPr>
          <w:color w:val="231F20"/>
          <w:spacing w:val="21"/>
        </w:rPr>
        <w:t> </w:t>
      </w:r>
      <w:r>
        <w:rPr>
          <w:color w:val="231F20"/>
        </w:rPr>
        <w:t>vertegenwoordigen.</w:t>
      </w:r>
    </w:p>
    <w:p>
      <w:pPr>
        <w:pStyle w:val="BodyText"/>
        <w:spacing w:line="218" w:lineRule="auto" w:before="96"/>
      </w:pPr>
      <w:r>
        <w:rPr>
          <w:color w:val="231F20"/>
          <w:w w:val="105"/>
        </w:rPr>
        <w:t>Is</w:t>
      </w:r>
      <w:r>
        <w:rPr>
          <w:color w:val="231F20"/>
          <w:spacing w:val="-19"/>
          <w:w w:val="105"/>
        </w:rPr>
        <w:t> </w:t>
      </w:r>
      <w:r>
        <w:rPr>
          <w:color w:val="231F20"/>
          <w:w w:val="105"/>
        </w:rPr>
        <w:t>de</w:t>
      </w:r>
      <w:r>
        <w:rPr>
          <w:color w:val="231F20"/>
          <w:spacing w:val="-18"/>
          <w:w w:val="105"/>
        </w:rPr>
        <w:t> </w:t>
      </w:r>
      <w:r>
        <w:rPr>
          <w:color w:val="231F20"/>
          <w:w w:val="105"/>
        </w:rPr>
        <w:t>laatste</w:t>
      </w:r>
      <w:r>
        <w:rPr>
          <w:color w:val="231F20"/>
          <w:spacing w:val="-19"/>
          <w:w w:val="105"/>
        </w:rPr>
        <w:t> </w:t>
      </w:r>
      <w:r>
        <w:rPr>
          <w:color w:val="231F20"/>
          <w:w w:val="105"/>
        </w:rPr>
        <w:t>voorwaarde</w:t>
      </w:r>
      <w:r>
        <w:rPr>
          <w:color w:val="231F20"/>
          <w:spacing w:val="-18"/>
          <w:w w:val="105"/>
        </w:rPr>
        <w:t> </w:t>
      </w:r>
      <w:r>
        <w:rPr>
          <w:color w:val="231F20"/>
          <w:w w:val="105"/>
        </w:rPr>
        <w:t>niet</w:t>
      </w:r>
      <w:r>
        <w:rPr>
          <w:color w:val="231F20"/>
          <w:spacing w:val="-19"/>
          <w:w w:val="105"/>
        </w:rPr>
        <w:t> </w:t>
      </w:r>
      <w:r>
        <w:rPr>
          <w:color w:val="231F20"/>
          <w:w w:val="105"/>
        </w:rPr>
        <w:t>nageleefd,</w:t>
      </w:r>
      <w:r>
        <w:rPr>
          <w:color w:val="231F20"/>
          <w:spacing w:val="-18"/>
          <w:w w:val="105"/>
        </w:rPr>
        <w:t> </w:t>
      </w:r>
      <w:r>
        <w:rPr>
          <w:color w:val="231F20"/>
          <w:w w:val="105"/>
        </w:rPr>
        <w:t>dan</w:t>
      </w:r>
      <w:r>
        <w:rPr>
          <w:color w:val="231F20"/>
          <w:spacing w:val="-19"/>
          <w:w w:val="105"/>
        </w:rPr>
        <w:t> </w:t>
      </w:r>
      <w:r>
        <w:rPr>
          <w:color w:val="231F20"/>
          <w:w w:val="105"/>
        </w:rPr>
        <w:t>is</w:t>
      </w:r>
      <w:r>
        <w:rPr>
          <w:color w:val="231F20"/>
          <w:spacing w:val="-18"/>
          <w:w w:val="105"/>
        </w:rPr>
        <w:t> </w:t>
      </w:r>
      <w:r>
        <w:rPr>
          <w:color w:val="231F20"/>
          <w:w w:val="105"/>
        </w:rPr>
        <w:t>een</w:t>
      </w:r>
      <w:r>
        <w:rPr>
          <w:color w:val="231F20"/>
          <w:spacing w:val="-19"/>
          <w:w w:val="105"/>
        </w:rPr>
        <w:t> </w:t>
      </w:r>
      <w:r>
        <w:rPr>
          <w:color w:val="231F20"/>
          <w:w w:val="105"/>
        </w:rPr>
        <w:t>tweede</w:t>
      </w:r>
      <w:r>
        <w:rPr>
          <w:color w:val="231F20"/>
          <w:spacing w:val="-18"/>
          <w:w w:val="105"/>
        </w:rPr>
        <w:t> </w:t>
      </w:r>
      <w:r>
        <w:rPr>
          <w:color w:val="231F20"/>
          <w:w w:val="105"/>
        </w:rPr>
        <w:t>bijeenroe- ping nodig en de nieuwe vergadering beraadslaagt en besluit</w:t>
      </w:r>
      <w:r>
        <w:rPr>
          <w:color w:val="231F20"/>
          <w:spacing w:val="27"/>
          <w:w w:val="105"/>
        </w:rPr>
        <w:t> </w:t>
      </w:r>
      <w:r>
        <w:rPr>
          <w:color w:val="231F20"/>
          <w:w w:val="105"/>
        </w:rPr>
        <w:t>op geldige wijze, ongeacht het door de aanwezige of vertegenwoordigde aandeelhouders vertegenwoordigde aantal</w:t>
      </w:r>
      <w:r>
        <w:rPr>
          <w:color w:val="231F20"/>
          <w:spacing w:val="23"/>
          <w:w w:val="105"/>
        </w:rPr>
        <w:t> </w:t>
      </w:r>
      <w:r>
        <w:rPr>
          <w:color w:val="231F20"/>
          <w:w w:val="105"/>
        </w:rPr>
        <w:t>aandelen.</w:t>
      </w:r>
    </w:p>
    <w:p>
      <w:pPr>
        <w:pStyle w:val="BodyText"/>
        <w:spacing w:line="218" w:lineRule="auto" w:before="96"/>
      </w:pPr>
      <w:r>
        <w:rPr>
          <w:color w:val="231F20"/>
        </w:rPr>
        <w:t>Een wijziging is alleen dan aangenomen wanneer zij ten minste vier vijfde van de uitgebrachte stemmen heeft gekregen, waarbij onthou- dingen in de teller noch in de noemer worden meegerekend.</w:t>
      </w:r>
    </w:p>
    <w:p>
      <w:pPr>
        <w:pStyle w:val="BodyText"/>
        <w:spacing w:line="218" w:lineRule="auto" w:before="96"/>
      </w:pPr>
      <w:r>
        <w:rPr>
          <w:color w:val="231F20"/>
        </w:rPr>
        <w:t>Onderafdeling 3. Wijziging van de rechten verbonden aan soorten van</w:t>
      </w:r>
      <w:r>
        <w:rPr>
          <w:color w:val="231F20"/>
          <w:spacing w:val="15"/>
        </w:rPr>
        <w:t> </w:t>
      </w:r>
      <w:r>
        <w:rPr>
          <w:color w:val="231F20"/>
        </w:rPr>
        <w:t>aandelen.</w:t>
      </w:r>
    </w:p>
    <w:p>
      <w:pPr>
        <w:pStyle w:val="BodyText"/>
        <w:spacing w:line="218" w:lineRule="auto" w:before="97"/>
        <w:ind w:right="125"/>
      </w:pPr>
      <w:r>
        <w:rPr>
          <w:color w:val="231F20"/>
        </w:rPr>
        <w:t>Art. 5:102. De algemene vergadering kan, niettegenstaande anders- luidende statutaire bepaling, de uitgifte van nieuwe soorten van aandelen goedkeuren, één of meer soorten afschaffen, de rechten verbonden aan een soort van aandelen gelijkstellen met de rechten van een andere soort, of de rechten verbonden aan een soort rechtstreeks of onrechtstreeks wijzigen. De uitgifte van nieuwe aandelen die niet evenredig aan het aantal uitgegeven aandelen binnen elke soort gebeurt,</w:t>
      </w:r>
      <w:r>
        <w:rPr>
          <w:color w:val="231F20"/>
          <w:spacing w:val="17"/>
        </w:rPr>
        <w:t> </w:t>
      </w:r>
      <w:r>
        <w:rPr>
          <w:color w:val="231F20"/>
        </w:rPr>
        <w:t>is</w:t>
      </w:r>
      <w:r>
        <w:rPr>
          <w:color w:val="231F20"/>
          <w:spacing w:val="18"/>
        </w:rPr>
        <w:t> </w:t>
      </w:r>
      <w:r>
        <w:rPr>
          <w:color w:val="231F20"/>
        </w:rPr>
        <w:t>een</w:t>
      </w:r>
      <w:r>
        <w:rPr>
          <w:color w:val="231F20"/>
          <w:spacing w:val="18"/>
        </w:rPr>
        <w:t> </w:t>
      </w:r>
      <w:r>
        <w:rPr>
          <w:color w:val="231F20"/>
        </w:rPr>
        <w:t>wijziging</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rechten</w:t>
      </w:r>
      <w:r>
        <w:rPr>
          <w:color w:val="231F20"/>
          <w:spacing w:val="18"/>
        </w:rPr>
        <w:t> </w:t>
      </w:r>
      <w:r>
        <w:rPr>
          <w:color w:val="231F20"/>
        </w:rPr>
        <w:t>verbonden</w:t>
      </w:r>
      <w:r>
        <w:rPr>
          <w:color w:val="231F20"/>
          <w:spacing w:val="18"/>
        </w:rPr>
        <w:t> </w:t>
      </w:r>
      <w:r>
        <w:rPr>
          <w:color w:val="231F20"/>
        </w:rPr>
        <w:t>aan</w:t>
      </w:r>
      <w:r>
        <w:rPr>
          <w:color w:val="231F20"/>
          <w:spacing w:val="18"/>
        </w:rPr>
        <w:t> </w:t>
      </w:r>
      <w:r>
        <w:rPr>
          <w:color w:val="231F20"/>
        </w:rPr>
        <w:t>elke</w:t>
      </w:r>
      <w:r>
        <w:rPr>
          <w:color w:val="231F20"/>
          <w:spacing w:val="18"/>
        </w:rPr>
        <w:t> </w:t>
      </w:r>
      <w:r>
        <w:rPr>
          <w:color w:val="231F20"/>
        </w:rPr>
        <w:t>soort.</w:t>
      </w:r>
    </w:p>
    <w:p>
      <w:pPr>
        <w:pStyle w:val="BodyText"/>
        <w:spacing w:line="218" w:lineRule="auto" w:before="96"/>
      </w:pPr>
      <w:r>
        <w:rPr>
          <w:color w:val="231F20"/>
        </w:rPr>
        <w:t>Het bestuursorgaan verantwoordt de voorgestelde wijzigingen en de gevolgen daarvan op de rechten van de bestaande soorten. Als aan het verslag van het bestuursorgaan ook financiële en boekhoudkundige gegevens ten grondslag liggen, beoordeelt de commissaris, of, als er geen commissaris is, een bedrijfsrevisor of een externe accountant aangewezen door het bestuursorgaan, of de in het verslag van het bestuursorgaan opgenomen financiële en boekhoudkundige gegevens in alle van materieel belang zijnde opzichten getrouw en voldoende zijn om de algemene vergadering die over het voorstel moet stemmen voor te lichten. Beide verslagen worden in de agenda vermeld en aan de houders van aandelen, converteerbare obligaties, inschrijvingsrechten en met medewerking van de vennootschap uitgegeven certificaten ter beschikking gesteld overeenkomstig artikel 5:84. </w:t>
      </w:r>
      <w:r>
        <w:rPr>
          <w:color w:val="231F20"/>
          <w:spacing w:val="-3"/>
        </w:rPr>
        <w:t>Wanneer </w:t>
      </w:r>
      <w:r>
        <w:rPr>
          <w:color w:val="231F20"/>
        </w:rPr>
        <w:t>deze versla- gen ontbreken is het besluit van de algemene vergadering nietig. Deze verslagen worden neergelegd en bekendgemaakt overeenkomstig de artikelen 2:8 en 2:14,</w:t>
      </w:r>
      <w:r>
        <w:rPr>
          <w:color w:val="231F20"/>
          <w:spacing w:val="14"/>
        </w:rPr>
        <w:t> </w:t>
      </w:r>
      <w:r>
        <w:rPr>
          <w:color w:val="231F20"/>
        </w:rPr>
        <w:t>4°.</w:t>
      </w:r>
    </w:p>
    <w:p>
      <w:pPr>
        <w:pStyle w:val="BodyText"/>
        <w:spacing w:line="218" w:lineRule="auto" w:before="98"/>
        <w:ind w:right="123"/>
      </w:pPr>
      <w:r>
        <w:rPr>
          <w:color w:val="231F20"/>
        </w:rPr>
        <w:t>Elke wijziging van de rechten verbonden aan één of meerdere  soorten vereist een statutenwijziging, waarbij de beslissing binnen elke soort moet worden genomen met naleving van de aanwezigheids- en meerderheidsvereisten voorgeschreven voor een statutenwijziging, en moet elke houder van ondereffecten worden toegelaten tot de besluit- vorming en de stemming in de betrokken soort, waarbij de stemmen worden</w:t>
      </w:r>
      <w:r>
        <w:rPr>
          <w:color w:val="231F20"/>
          <w:spacing w:val="16"/>
        </w:rPr>
        <w:t> </w:t>
      </w:r>
      <w:r>
        <w:rPr>
          <w:color w:val="231F20"/>
        </w:rPr>
        <w:t>geteld</w:t>
      </w:r>
      <w:r>
        <w:rPr>
          <w:color w:val="231F20"/>
          <w:spacing w:val="17"/>
        </w:rPr>
        <w:t> </w:t>
      </w:r>
      <w:r>
        <w:rPr>
          <w:color w:val="231F20"/>
        </w:rPr>
        <w:t>op</w:t>
      </w:r>
      <w:r>
        <w:rPr>
          <w:color w:val="231F20"/>
          <w:spacing w:val="17"/>
        </w:rPr>
        <w:t> </w:t>
      </w:r>
      <w:r>
        <w:rPr>
          <w:color w:val="231F20"/>
        </w:rPr>
        <w:t>basis</w:t>
      </w:r>
      <w:r>
        <w:rPr>
          <w:color w:val="231F20"/>
          <w:spacing w:val="17"/>
        </w:rPr>
        <w:t> </w:t>
      </w:r>
      <w:r>
        <w:rPr>
          <w:color w:val="231F20"/>
        </w:rPr>
        <w:t>van</w:t>
      </w:r>
      <w:r>
        <w:rPr>
          <w:color w:val="231F20"/>
          <w:spacing w:val="17"/>
        </w:rPr>
        <w:t> </w:t>
      </w:r>
      <w:r>
        <w:rPr>
          <w:color w:val="231F20"/>
        </w:rPr>
        <w:t>één</w:t>
      </w:r>
      <w:r>
        <w:rPr>
          <w:color w:val="231F20"/>
          <w:spacing w:val="16"/>
        </w:rPr>
        <w:t> </w:t>
      </w:r>
      <w:r>
        <w:rPr>
          <w:color w:val="231F20"/>
        </w:rPr>
        <w:t>stem</w:t>
      </w:r>
      <w:r>
        <w:rPr>
          <w:color w:val="231F20"/>
          <w:spacing w:val="17"/>
        </w:rPr>
        <w:t> </w:t>
      </w:r>
      <w:r>
        <w:rPr>
          <w:color w:val="231F20"/>
        </w:rPr>
        <w:t>voor</w:t>
      </w:r>
      <w:r>
        <w:rPr>
          <w:color w:val="231F20"/>
          <w:spacing w:val="17"/>
        </w:rPr>
        <w:t> </w:t>
      </w:r>
      <w:r>
        <w:rPr>
          <w:color w:val="231F20"/>
        </w:rPr>
        <w:t>het</w:t>
      </w:r>
      <w:r>
        <w:rPr>
          <w:color w:val="231F20"/>
          <w:spacing w:val="17"/>
        </w:rPr>
        <w:t> </w:t>
      </w:r>
      <w:r>
        <w:rPr>
          <w:color w:val="231F20"/>
        </w:rPr>
        <w:t>kleinste</w:t>
      </w:r>
      <w:r>
        <w:rPr>
          <w:color w:val="231F20"/>
          <w:spacing w:val="17"/>
        </w:rPr>
        <w:t> </w:t>
      </w:r>
      <w:r>
        <w:rPr>
          <w:color w:val="231F20"/>
        </w:rPr>
        <w:t>ondereffect.</w:t>
      </w:r>
    </w:p>
    <w:p>
      <w:pPr>
        <w:pStyle w:val="BodyText"/>
        <w:spacing w:line="338" w:lineRule="auto" w:before="82"/>
        <w:ind w:left="283" w:right="0" w:firstLine="0"/>
        <w:jc w:val="left"/>
      </w:pPr>
      <w:r>
        <w:rPr>
          <w:color w:val="231F20"/>
        </w:rPr>
        <w:t>HOOFDSTUK 3. Vennootschapsvordering en minderheidsvordering. Afdeling 1. Vennootschapsvordering.</w:t>
      </w:r>
    </w:p>
    <w:p>
      <w:pPr>
        <w:pStyle w:val="BodyText"/>
        <w:spacing w:line="218" w:lineRule="auto" w:before="13"/>
      </w:pPr>
      <w:r>
        <w:rPr>
          <w:color w:val="231F20"/>
        </w:rPr>
        <w:t>Art. 5:103. De algemene vergadering beslist of tegen de leden van het bestuursorgaan of tegen de commissaris een vennootschapsvordering moet worden ingesteld. Zij kan één of meer lasthebbers aanstellen voor de uitvoering van die beslissing.</w:t>
      </w:r>
    </w:p>
    <w:p>
      <w:pPr>
        <w:pStyle w:val="BodyText"/>
        <w:spacing w:before="82"/>
        <w:ind w:left="283" w:right="0" w:firstLine="0"/>
        <w:jc w:val="left"/>
      </w:pPr>
      <w:r>
        <w:rPr>
          <w:color w:val="231F20"/>
        </w:rPr>
        <w:t>Afdeling 2. Minderheidsvordering.</w:t>
      </w:r>
    </w:p>
    <w:p>
      <w:pPr>
        <w:pStyle w:val="BodyText"/>
        <w:spacing w:line="218" w:lineRule="auto" w:before="93"/>
      </w:pPr>
      <w:r>
        <w:rPr>
          <w:color w:val="231F20"/>
        </w:rPr>
        <w:t>Art. 5:104. § 1. Minderheidsaandeelhouders kunnen voor rekening van de vennootschap een vordering tegen de leden van het bestuurs- orgaan instellen.</w:t>
      </w:r>
    </w:p>
    <w:p>
      <w:pPr>
        <w:pStyle w:val="BodyText"/>
        <w:spacing w:line="218" w:lineRule="auto" w:before="96"/>
      </w:pPr>
      <w:r>
        <w:rPr>
          <w:color w:val="231F20"/>
        </w:rPr>
        <w:t>Deze minderheidsaandeelhouders moeten, op de dag waarop de algemene vergadering zich uitspreekt over de aan de leden van het bestuursorgaan te verlenen kwijting, ten minste 10 % van het aantal uitgegeven aandelen bezitten.</w:t>
      </w:r>
    </w:p>
    <w:p>
      <w:pPr>
        <w:pStyle w:val="BodyText"/>
        <w:spacing w:line="218" w:lineRule="auto" w:before="96"/>
      </w:pPr>
      <w:r>
        <w:rPr>
          <w:color w:val="231F20"/>
        </w:rPr>
        <w:t>Aandeelhouders met stemrecht kunnen de vordering slechts instellen indien ze de kwijting niet of op een ongeldige wijze hebben goedge- keurd.</w:t>
      </w:r>
    </w:p>
    <w:p>
      <w:pPr>
        <w:pStyle w:val="BodyText"/>
        <w:spacing w:line="218" w:lineRule="auto" w:before="107"/>
      </w:pPr>
      <w:r>
        <w:rPr>
          <w:color w:val="231F20"/>
        </w:rPr>
        <w:t>Aandeelhouders zonder stemrecht kunnen de vordering slechts instellen in de gevallen waarin zij overeenkomstig artikel 5:47, hun stemrecht hebben uitgeoefend, en slechts met betrekking tot de daden van bestuur die betrekking hebben op de met toepassing van hetzelfde artikel genomen beslissing.</w:t>
      </w:r>
    </w:p>
    <w:p>
      <w:pPr>
        <w:spacing w:after="0" w:line="218" w:lineRule="auto"/>
        <w:sectPr>
          <w:pgSz w:w="11940" w:h="16880"/>
          <w:pgMar w:header="666" w:footer="0" w:top="1140" w:bottom="280" w:left="340" w:right="360"/>
          <w:cols w:num="2" w:equalWidth="0">
            <w:col w:w="5529" w:space="98"/>
            <w:col w:w="5613"/>
          </w:cols>
        </w:sectPr>
      </w:pPr>
    </w:p>
    <w:p>
      <w:pPr>
        <w:pStyle w:val="BodyText"/>
        <w:spacing w:line="218" w:lineRule="auto" w:before="120"/>
        <w:ind w:right="38"/>
      </w:pPr>
      <w:r>
        <w:rPr/>
        <w:pict>
          <v:line style="position:absolute;mso-position-horizontal-relative:page;mso-position-vertical-relative:page;z-index:3616" from="298.170502pt,64.473pt" to="298.170502pt,812.819pt" stroked="true" strokeweight=".533pt" strokecolor="#231f20">
            <v:stroke dashstyle="solid"/>
            <w10:wrap type="none"/>
          </v:line>
        </w:pict>
      </w:r>
      <w:bookmarkStart w:name="_bookmark108" w:id="113"/>
      <w:bookmarkEnd w:id="113"/>
      <w:r>
        <w:rPr/>
      </w:r>
      <w:r>
        <w:rPr>
          <w:color w:val="231F20"/>
        </w:rPr>
        <w:t>§ 2. Le fait qu’en cours d’instance, un ou plusieurs actionnaires cessent de faire partie du groupe d’actionnaires minoritaires, soit parce qu’ils ne possèdent plus d’actions, soit parce qu’ils renoncent à participer à l’action, est sans effet sur la poursuite de ladite instance ou sur l’exercice des voies de recours.</w:t>
      </w:r>
    </w:p>
    <w:p>
      <w:pPr>
        <w:pStyle w:val="BodyText"/>
        <w:spacing w:line="218" w:lineRule="auto" w:before="128"/>
        <w:ind w:right="38"/>
      </w:pPr>
      <w:r>
        <w:rPr>
          <w:color w:val="231F20"/>
        </w:rPr>
        <w:t>§ 3. Si tant les représentants légaux de la société qu’un ou plusieurs titulaires de titres intentent une action contre un ou plusieurs membres de l’organe d’administration, les demandes sont jointes pour connexité.</w:t>
      </w:r>
    </w:p>
    <w:p>
      <w:pPr>
        <w:pStyle w:val="BodyText"/>
        <w:ind w:left="0" w:right="0" w:firstLine="0"/>
        <w:jc w:val="left"/>
        <w:rPr>
          <w:sz w:val="27"/>
        </w:rPr>
      </w:pPr>
    </w:p>
    <w:p>
      <w:pPr>
        <w:pStyle w:val="BodyText"/>
        <w:spacing w:line="213" w:lineRule="auto" w:before="1"/>
        <w:ind w:right="38"/>
      </w:pPr>
      <w:r>
        <w:rPr>
          <w:color w:val="231F20"/>
        </w:rPr>
        <w:t>§ 4. Toute transaction conclue avant que l’action ait été intentée peut être annulée à la demande des actionnaires réunissant les conditions prévues au paragraphe 1</w:t>
      </w:r>
      <w:r>
        <w:rPr>
          <w:color w:val="231F20"/>
          <w:position w:val="7"/>
          <w:sz w:val="11"/>
        </w:rPr>
        <w:t>er </w:t>
      </w:r>
      <w:r>
        <w:rPr>
          <w:color w:val="231F20"/>
        </w:rPr>
        <w:t>si elle n’a point été faite à l’avantage de tous les actionnaires.</w:t>
      </w:r>
    </w:p>
    <w:p>
      <w:pPr>
        <w:pStyle w:val="BodyText"/>
        <w:spacing w:line="218" w:lineRule="auto" w:before="125"/>
        <w:ind w:right="38"/>
      </w:pPr>
      <w:r>
        <w:rPr>
          <w:color w:val="231F20"/>
        </w:rPr>
        <w:t>Une fois l’action intentée, la société ne peut plus alors transiger avec les membres de l’organe d’administration assignés sans le consente- ment unanime de ceux qui demeurent demandeurs de l’action.</w:t>
      </w:r>
    </w:p>
    <w:p>
      <w:pPr>
        <w:pStyle w:val="BodyText"/>
        <w:spacing w:before="8"/>
        <w:ind w:left="0" w:right="0" w:firstLine="0"/>
        <w:jc w:val="left"/>
        <w:rPr>
          <w:sz w:val="26"/>
        </w:rPr>
      </w:pPr>
    </w:p>
    <w:p>
      <w:pPr>
        <w:pStyle w:val="BodyText"/>
        <w:spacing w:line="218" w:lineRule="auto"/>
        <w:ind w:right="38"/>
      </w:pPr>
      <w:r>
        <w:rPr>
          <w:color w:val="231F20"/>
        </w:rPr>
        <w:t>Art. 5:105. Si la demande minoritaire est rejetée, les demandeurs peuvent être condamnés personnellement aux dépens et, s’il y a lieu, aux dommages-intérêts envers les défendeurs.</w:t>
      </w:r>
    </w:p>
    <w:p>
      <w:pPr>
        <w:pStyle w:val="BodyText"/>
        <w:spacing w:line="218" w:lineRule="auto" w:before="129"/>
        <w:ind w:right="38"/>
      </w:pPr>
      <w:r>
        <w:rPr>
          <w:color w:val="231F20"/>
        </w:rPr>
        <w:t>Si la demande est accueillie, la société rembourse les sommes dont</w:t>
      </w:r>
      <w:r>
        <w:rPr>
          <w:color w:val="231F20"/>
          <w:spacing w:val="-29"/>
        </w:rPr>
        <w:t> </w:t>
      </w:r>
      <w:r>
        <w:rPr>
          <w:color w:val="231F20"/>
        </w:rPr>
        <w:t>les demandeurs ont fait l’avance, et qui ne sont point comprises dans les dépens</w:t>
      </w:r>
      <w:r>
        <w:rPr>
          <w:color w:val="231F20"/>
          <w:spacing w:val="15"/>
        </w:rPr>
        <w:t> </w:t>
      </w:r>
      <w:r>
        <w:rPr>
          <w:color w:val="231F20"/>
        </w:rPr>
        <w:t>mis</w:t>
      </w:r>
      <w:r>
        <w:rPr>
          <w:color w:val="231F20"/>
          <w:spacing w:val="15"/>
        </w:rPr>
        <w:t> </w:t>
      </w:r>
      <w:r>
        <w:rPr>
          <w:color w:val="231F20"/>
        </w:rPr>
        <w:t>à</w:t>
      </w:r>
      <w:r>
        <w:rPr>
          <w:color w:val="231F20"/>
          <w:spacing w:val="16"/>
        </w:rPr>
        <w:t> </w:t>
      </w:r>
      <w:r>
        <w:rPr>
          <w:color w:val="231F20"/>
        </w:rPr>
        <w:t>charge</w:t>
      </w:r>
      <w:r>
        <w:rPr>
          <w:color w:val="231F20"/>
          <w:spacing w:val="15"/>
        </w:rPr>
        <w:t> </w:t>
      </w:r>
      <w:r>
        <w:rPr>
          <w:color w:val="231F20"/>
        </w:rPr>
        <w:t>des</w:t>
      </w:r>
      <w:r>
        <w:rPr>
          <w:color w:val="231F20"/>
          <w:spacing w:val="16"/>
        </w:rPr>
        <w:t> </w:t>
      </w:r>
      <w:r>
        <w:rPr>
          <w:color w:val="231F20"/>
        </w:rPr>
        <w:t>défendeurs.</w:t>
      </w:r>
    </w:p>
    <w:p>
      <w:pPr>
        <w:pStyle w:val="BodyText"/>
        <w:spacing w:before="114"/>
        <w:ind w:left="283" w:right="0" w:firstLine="0"/>
        <w:jc w:val="left"/>
      </w:pPr>
      <w:r>
        <w:rPr>
          <w:color w:val="231F20"/>
        </w:rPr>
        <w:t>Section 3. Experts.</w:t>
      </w:r>
    </w:p>
    <w:p>
      <w:pPr>
        <w:pStyle w:val="BodyText"/>
        <w:spacing w:line="218" w:lineRule="auto" w:before="124"/>
        <w:ind w:right="38"/>
      </w:pPr>
      <w:r>
        <w:rPr>
          <w:color w:val="231F20"/>
        </w:rPr>
        <w:t>Art. 5:106. S’il existe des indices d’atteinte grave ou de risque d’atteinte grave aux intérêts de la société, le président du tribunal de l’entreprise siégeant en référé peut, à la requête d’un ou de plusieurs actionnaires possédant au moins 10 % du nombre d’actions émises, nommer un ou plusieurs experts ayant pour mission de vérifier les livres et les comptes de la société ainsi que les opérations accomplies par ses organes.</w:t>
      </w:r>
    </w:p>
    <w:p>
      <w:pPr>
        <w:pStyle w:val="BodyText"/>
        <w:spacing w:before="9"/>
        <w:ind w:left="0" w:right="0" w:firstLine="0"/>
        <w:jc w:val="left"/>
        <w:rPr>
          <w:sz w:val="26"/>
        </w:rPr>
      </w:pPr>
    </w:p>
    <w:p>
      <w:pPr>
        <w:pStyle w:val="BodyText"/>
        <w:spacing w:line="218" w:lineRule="auto"/>
        <w:ind w:right="38"/>
      </w:pPr>
      <w:r>
        <w:rPr>
          <w:color w:val="231F20"/>
        </w:rPr>
        <w:t>Le président détermine si le rapport de l’expert doit faire l’objet d’une publicité. Il peut notamment en imposer la publication, aux frais 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selon</w:t>
      </w:r>
      <w:r>
        <w:rPr>
          <w:color w:val="231F20"/>
          <w:spacing w:val="15"/>
        </w:rPr>
        <w:t> </w:t>
      </w:r>
      <w:r>
        <w:rPr>
          <w:color w:val="231F20"/>
        </w:rPr>
        <w:t>les</w:t>
      </w:r>
      <w:r>
        <w:rPr>
          <w:color w:val="231F20"/>
          <w:spacing w:val="16"/>
        </w:rPr>
        <w:t> </w:t>
      </w:r>
      <w:r>
        <w:rPr>
          <w:color w:val="231F20"/>
        </w:rPr>
        <w:t>modalités</w:t>
      </w:r>
      <w:r>
        <w:rPr>
          <w:color w:val="231F20"/>
          <w:spacing w:val="15"/>
        </w:rPr>
        <w:t> </w:t>
      </w:r>
      <w:r>
        <w:rPr>
          <w:color w:val="231F20"/>
        </w:rPr>
        <w:t>qu’il</w:t>
      </w:r>
      <w:r>
        <w:rPr>
          <w:color w:val="231F20"/>
          <w:spacing w:val="15"/>
        </w:rPr>
        <w:t> </w:t>
      </w:r>
      <w:r>
        <w:rPr>
          <w:color w:val="231F20"/>
        </w:rPr>
        <w:t>fixe.</w:t>
      </w:r>
    </w:p>
    <w:p>
      <w:pPr>
        <w:pStyle w:val="BodyText"/>
        <w:spacing w:before="6"/>
        <w:ind w:left="0" w:right="0" w:firstLine="0"/>
        <w:jc w:val="left"/>
        <w:rPr>
          <w:sz w:val="25"/>
        </w:rPr>
      </w:pPr>
    </w:p>
    <w:p>
      <w:pPr>
        <w:pStyle w:val="BodyText"/>
        <w:spacing w:line="360" w:lineRule="auto"/>
        <w:ind w:left="283" w:right="1150" w:firstLine="0"/>
        <w:jc w:val="left"/>
      </w:pPr>
      <w:r>
        <w:rPr>
          <w:color w:val="231F20"/>
        </w:rPr>
        <w:t>CHAPITRE 4. Assemblée générale des obligataires. Section 1</w:t>
      </w:r>
      <w:r>
        <w:rPr>
          <w:color w:val="231F20"/>
          <w:position w:val="7"/>
          <w:sz w:val="11"/>
        </w:rPr>
        <w:t>re</w:t>
      </w:r>
      <w:r>
        <w:rPr>
          <w:color w:val="231F20"/>
        </w:rPr>
        <w:t>. Champ d’application.</w:t>
      </w:r>
    </w:p>
    <w:p>
      <w:pPr>
        <w:pStyle w:val="BodyText"/>
        <w:spacing w:line="218" w:lineRule="auto" w:before="27"/>
        <w:ind w:right="38"/>
      </w:pPr>
      <w:r>
        <w:rPr>
          <w:color w:val="231F20"/>
        </w:rPr>
        <w:t>Art. 5:107. Les dispositions contenues dans les sections 2 à 6 du présent chapitre s’appliquent uniquement aux obligations dans la mesure où les conditions d’émission n’y dérogent pas.</w:t>
      </w:r>
    </w:p>
    <w:p>
      <w:pPr>
        <w:pStyle w:val="BodyText"/>
        <w:spacing w:before="114"/>
        <w:ind w:left="283" w:right="0" w:firstLine="0"/>
        <w:jc w:val="left"/>
      </w:pPr>
      <w:r>
        <w:rPr>
          <w:color w:val="231F20"/>
        </w:rPr>
        <w:t>Section 2. Pouvoirs.</w:t>
      </w:r>
    </w:p>
    <w:p>
      <w:pPr>
        <w:pStyle w:val="BodyText"/>
        <w:spacing w:line="218" w:lineRule="auto" w:before="125"/>
        <w:ind w:right="38"/>
      </w:pPr>
      <w:r>
        <w:rPr>
          <w:color w:val="231F20"/>
        </w:rPr>
        <w:t>Art. 5:108. L’assemblée générale des obligataires a le pouvoir de modifier les conditions d’émission. Elle a notamment le pouvoir:</w:t>
      </w:r>
    </w:p>
    <w:p>
      <w:pPr>
        <w:pStyle w:val="BodyText"/>
        <w:spacing w:line="218" w:lineRule="auto" w:before="128"/>
        <w:ind w:right="38"/>
      </w:pPr>
      <w:r>
        <w:rPr>
          <w:color w:val="231F20"/>
        </w:rPr>
        <w:t>1° de proroger une ou plusieurs échéances d’intérêts, de consentir à la réduction du taux de l’intérêt ou d’en modifier les conditions</w:t>
      </w:r>
      <w:r>
        <w:rPr>
          <w:color w:val="231F20"/>
          <w:spacing w:val="28"/>
        </w:rPr>
        <w:t> </w:t>
      </w:r>
      <w:r>
        <w:rPr>
          <w:color w:val="231F20"/>
        </w:rPr>
        <w:t>de paiement;</w:t>
      </w:r>
    </w:p>
    <w:p>
      <w:pPr>
        <w:pStyle w:val="BodyText"/>
        <w:spacing w:line="218" w:lineRule="auto" w:before="128"/>
        <w:ind w:right="38"/>
      </w:pPr>
      <w:r>
        <w:rPr>
          <w:color w:val="231F20"/>
        </w:rPr>
        <w:t>2° de prolonger la durée du remboursement, de le suspendre et de consentir des modifications aux conditions dans lesquelles il doit avoir lieu;</w:t>
      </w:r>
    </w:p>
    <w:p>
      <w:pPr>
        <w:pStyle w:val="BodyText"/>
        <w:spacing w:line="218" w:lineRule="auto" w:before="128"/>
        <w:ind w:right="38"/>
      </w:pPr>
      <w:r>
        <w:rPr>
          <w:color w:val="231F20"/>
        </w:rPr>
        <w:t>3° d’accepter la substitution d’actions aux créances des obligataires; cette décision restera sans </w:t>
      </w:r>
      <w:r>
        <w:rPr>
          <w:color w:val="231F20"/>
          <w:spacing w:val="-3"/>
        </w:rPr>
        <w:t>effet </w:t>
      </w:r>
      <w:r>
        <w:rPr>
          <w:color w:val="231F20"/>
        </w:rPr>
        <w:t>si elle n’a pas été acceptée par une modification des statuts, dans les trois mois, à moins que l’assemblée générale</w:t>
      </w:r>
      <w:r>
        <w:rPr>
          <w:color w:val="231F20"/>
          <w:spacing w:val="-5"/>
        </w:rPr>
        <w:t> </w:t>
      </w:r>
      <w:r>
        <w:rPr>
          <w:color w:val="231F20"/>
        </w:rPr>
        <w:t>des</w:t>
      </w:r>
      <w:r>
        <w:rPr>
          <w:color w:val="231F20"/>
          <w:spacing w:val="-5"/>
        </w:rPr>
        <w:t> </w:t>
      </w:r>
      <w:r>
        <w:rPr>
          <w:color w:val="231F20"/>
        </w:rPr>
        <w:t>actionnaires</w:t>
      </w:r>
      <w:r>
        <w:rPr>
          <w:color w:val="231F20"/>
          <w:spacing w:val="-4"/>
        </w:rPr>
        <w:t> </w:t>
      </w:r>
      <w:r>
        <w:rPr>
          <w:color w:val="231F20"/>
        </w:rPr>
        <w:t>n’ait</w:t>
      </w:r>
      <w:r>
        <w:rPr>
          <w:color w:val="231F20"/>
          <w:spacing w:val="-5"/>
        </w:rPr>
        <w:t> </w:t>
      </w:r>
      <w:r>
        <w:rPr>
          <w:color w:val="231F20"/>
        </w:rPr>
        <w:t>antérieurement</w:t>
      </w:r>
      <w:r>
        <w:rPr>
          <w:color w:val="231F20"/>
          <w:spacing w:val="-4"/>
        </w:rPr>
        <w:t> </w:t>
      </w:r>
      <w:r>
        <w:rPr>
          <w:color w:val="231F20"/>
        </w:rPr>
        <w:t>donné</w:t>
      </w:r>
      <w:r>
        <w:rPr>
          <w:color w:val="231F20"/>
          <w:spacing w:val="-5"/>
        </w:rPr>
        <w:t> </w:t>
      </w:r>
      <w:r>
        <w:rPr>
          <w:color w:val="231F20"/>
        </w:rPr>
        <w:t>son</w:t>
      </w:r>
      <w:r>
        <w:rPr>
          <w:color w:val="231F20"/>
          <w:spacing w:val="-5"/>
        </w:rPr>
        <w:t> </w:t>
      </w:r>
      <w:r>
        <w:rPr>
          <w:color w:val="231F20"/>
        </w:rPr>
        <w:t>consentement dans</w:t>
      </w:r>
      <w:r>
        <w:rPr>
          <w:color w:val="231F20"/>
          <w:spacing w:val="14"/>
        </w:rPr>
        <w:t> </w:t>
      </w:r>
      <w:r>
        <w:rPr>
          <w:color w:val="231F20"/>
        </w:rPr>
        <w:t>les</w:t>
      </w:r>
      <w:r>
        <w:rPr>
          <w:color w:val="231F20"/>
          <w:spacing w:val="15"/>
        </w:rPr>
        <w:t> </w:t>
      </w:r>
      <w:r>
        <w:rPr>
          <w:color w:val="231F20"/>
        </w:rPr>
        <w:t>formes</w:t>
      </w:r>
      <w:r>
        <w:rPr>
          <w:color w:val="231F20"/>
          <w:spacing w:val="15"/>
        </w:rPr>
        <w:t> </w:t>
      </w:r>
      <w:r>
        <w:rPr>
          <w:color w:val="231F20"/>
        </w:rPr>
        <w:t>prescrites</w:t>
      </w:r>
      <w:r>
        <w:rPr>
          <w:color w:val="231F20"/>
          <w:spacing w:val="14"/>
        </w:rPr>
        <w:t> </w:t>
      </w:r>
      <w:r>
        <w:rPr>
          <w:color w:val="231F20"/>
        </w:rPr>
        <w:t>pour</w:t>
      </w:r>
      <w:r>
        <w:rPr>
          <w:color w:val="231F20"/>
          <w:spacing w:val="15"/>
        </w:rPr>
        <w:t> </w:t>
      </w:r>
      <w:r>
        <w:rPr>
          <w:color w:val="231F20"/>
        </w:rPr>
        <w:t>une</w:t>
      </w:r>
      <w:r>
        <w:rPr>
          <w:color w:val="231F20"/>
          <w:spacing w:val="15"/>
        </w:rPr>
        <w:t> </w:t>
      </w:r>
      <w:r>
        <w:rPr>
          <w:color w:val="231F20"/>
        </w:rPr>
        <w:t>modification</w:t>
      </w:r>
      <w:r>
        <w:rPr>
          <w:color w:val="231F20"/>
          <w:spacing w:val="14"/>
        </w:rPr>
        <w:t> </w:t>
      </w:r>
      <w:r>
        <w:rPr>
          <w:color w:val="231F20"/>
        </w:rPr>
        <w:t>des</w:t>
      </w:r>
      <w:r>
        <w:rPr>
          <w:color w:val="231F20"/>
          <w:spacing w:val="15"/>
        </w:rPr>
        <w:t> </w:t>
      </w:r>
      <w:r>
        <w:rPr>
          <w:color w:val="231F20"/>
        </w:rPr>
        <w:t>statuts;</w:t>
      </w:r>
    </w:p>
    <w:p>
      <w:pPr>
        <w:pStyle w:val="BodyText"/>
        <w:spacing w:before="9"/>
        <w:ind w:left="0" w:right="0" w:firstLine="0"/>
        <w:jc w:val="left"/>
        <w:rPr>
          <w:sz w:val="26"/>
        </w:rPr>
      </w:pPr>
    </w:p>
    <w:p>
      <w:pPr>
        <w:pStyle w:val="BodyText"/>
        <w:spacing w:line="218" w:lineRule="auto"/>
        <w:ind w:right="38"/>
      </w:pPr>
      <w:r>
        <w:rPr>
          <w:color w:val="231F20"/>
        </w:rPr>
        <w:t>4° d’accepter des dispositions ayant pour objet, soit d’accorder des sûretés particulières au profit des obligataires, soit de modifier ou de supprimer les sûretés déjà attribuées.</w:t>
      </w:r>
    </w:p>
    <w:p>
      <w:pPr>
        <w:pStyle w:val="BodyText"/>
        <w:spacing w:line="218" w:lineRule="auto" w:before="128"/>
        <w:ind w:right="38"/>
      </w:pPr>
      <w:r>
        <w:rPr>
          <w:color w:val="231F20"/>
        </w:rPr>
        <w:t>Art. 5:109. Aucune décision de l’assemblée générale des obligataires modifiant les conditions d’émission ne produit ses effets sans l’accord exprès de la société.</w:t>
      </w:r>
    </w:p>
    <w:p>
      <w:pPr>
        <w:pStyle w:val="BodyText"/>
        <w:spacing w:line="218" w:lineRule="auto" w:before="128"/>
        <w:ind w:right="38"/>
      </w:pPr>
      <w:r>
        <w:rPr>
          <w:color w:val="231F20"/>
        </w:rPr>
        <w:t>L’assemblée générale des obligataires peut prendre, à la majorité simple des voix, des actes conservatoires sans l’autorisation de la société.</w:t>
      </w:r>
    </w:p>
    <w:p>
      <w:pPr>
        <w:pStyle w:val="BodyText"/>
        <w:spacing w:before="115"/>
        <w:ind w:left="283" w:right="0" w:firstLine="0"/>
        <w:jc w:val="left"/>
      </w:pPr>
      <w:r>
        <w:rPr>
          <w:color w:val="231F20"/>
        </w:rPr>
        <w:t>Section 3. Convocation de l’assemblée générale des obligataires.</w:t>
      </w:r>
    </w:p>
    <w:p>
      <w:pPr>
        <w:pStyle w:val="BodyText"/>
        <w:spacing w:before="4"/>
        <w:ind w:left="0" w:right="0" w:firstLine="0"/>
        <w:jc w:val="left"/>
        <w:rPr>
          <w:sz w:val="27"/>
        </w:rPr>
      </w:pPr>
    </w:p>
    <w:p>
      <w:pPr>
        <w:pStyle w:val="BodyText"/>
        <w:spacing w:line="218" w:lineRule="auto"/>
        <w:ind w:right="38"/>
      </w:pPr>
      <w:r>
        <w:rPr>
          <w:color w:val="231F20"/>
        </w:rPr>
        <w:t>Art. 5:110. L’organe d’administration et, le cas échéant, le commis- saire, peuvent convoquer les obligataires en assemblée générale et fixer son ordre du jour.</w:t>
      </w:r>
    </w:p>
    <w:p>
      <w:pPr>
        <w:pStyle w:val="BodyText"/>
        <w:spacing w:line="218" w:lineRule="auto" w:before="119"/>
      </w:pPr>
      <w:r>
        <w:rPr/>
        <w:br w:type="column"/>
      </w:r>
      <w:r>
        <w:rPr>
          <w:color w:val="231F20"/>
        </w:rPr>
        <w:t>§ 2. Het feit dat tijdens de procedure één of meer aandeelhouders ophouden deel uit te maken van de groep van minderheidsaandeel- houders, hetzij omdat zij geen aandelen meer bezitten, hetzij omdat zij afzien van de vordering, heeft geen invloed op de voortzetting van de bedoelde procedure noch op de aanwending van de rechtsmiddelen.</w:t>
      </w:r>
    </w:p>
    <w:p>
      <w:pPr>
        <w:pStyle w:val="BodyText"/>
        <w:spacing w:line="218" w:lineRule="auto" w:before="129"/>
      </w:pPr>
      <w:r>
        <w:rPr>
          <w:color w:val="231F20"/>
        </w:rPr>
        <w:t>§ 3. Indien zowel de wettelijke vertegenwoordigers van de vennoot- schap als één of meer houders van effecten een vordering instellen tegen één of meerdere leden van het bestuursorgaan worden de vorderingen wegens hun samenhang</w:t>
      </w:r>
      <w:r>
        <w:rPr>
          <w:color w:val="231F20"/>
          <w:spacing w:val="30"/>
        </w:rPr>
        <w:t> </w:t>
      </w:r>
      <w:r>
        <w:rPr>
          <w:color w:val="231F20"/>
        </w:rPr>
        <w:t>samengevoegd.</w:t>
      </w:r>
    </w:p>
    <w:p>
      <w:pPr>
        <w:pStyle w:val="BodyText"/>
        <w:spacing w:line="218" w:lineRule="auto" w:before="128"/>
      </w:pPr>
      <w:r>
        <w:rPr>
          <w:color w:val="231F20"/>
        </w:rPr>
        <w:t>§ 4. Een dading aangegaan voordat de vordering is ingesteld kan nietig worden verklaard op verzoek van de  aandeelhouders  die voldoen aan de voorwaarden bepaald in paragraaf 1, indien de dading niet</w:t>
      </w:r>
      <w:r>
        <w:rPr>
          <w:color w:val="231F20"/>
          <w:spacing w:val="18"/>
        </w:rPr>
        <w:t> </w:t>
      </w:r>
      <w:r>
        <w:rPr>
          <w:color w:val="231F20"/>
        </w:rPr>
        <w:t>in</w:t>
      </w:r>
      <w:r>
        <w:rPr>
          <w:color w:val="231F20"/>
          <w:spacing w:val="18"/>
        </w:rPr>
        <w:t> </w:t>
      </w:r>
      <w:r>
        <w:rPr>
          <w:color w:val="231F20"/>
        </w:rPr>
        <w:t>het</w:t>
      </w:r>
      <w:r>
        <w:rPr>
          <w:color w:val="231F20"/>
          <w:spacing w:val="18"/>
        </w:rPr>
        <w:t> </w:t>
      </w:r>
      <w:r>
        <w:rPr>
          <w:color w:val="231F20"/>
        </w:rPr>
        <w:t>voordeel</w:t>
      </w:r>
      <w:r>
        <w:rPr>
          <w:color w:val="231F20"/>
          <w:spacing w:val="18"/>
        </w:rPr>
        <w:t> </w:t>
      </w:r>
      <w:r>
        <w:rPr>
          <w:color w:val="231F20"/>
        </w:rPr>
        <w:t>van</w:t>
      </w:r>
      <w:r>
        <w:rPr>
          <w:color w:val="231F20"/>
          <w:spacing w:val="18"/>
        </w:rPr>
        <w:t> </w:t>
      </w:r>
      <w:r>
        <w:rPr>
          <w:color w:val="231F20"/>
        </w:rPr>
        <w:t>alle</w:t>
      </w:r>
      <w:r>
        <w:rPr>
          <w:color w:val="231F20"/>
          <w:spacing w:val="18"/>
        </w:rPr>
        <w:t> </w:t>
      </w:r>
      <w:r>
        <w:rPr>
          <w:color w:val="231F20"/>
        </w:rPr>
        <w:t>aandeelhouders</w:t>
      </w:r>
      <w:r>
        <w:rPr>
          <w:color w:val="231F20"/>
          <w:spacing w:val="18"/>
        </w:rPr>
        <w:t> </w:t>
      </w:r>
      <w:r>
        <w:rPr>
          <w:color w:val="231F20"/>
        </w:rPr>
        <w:t>werd</w:t>
      </w:r>
      <w:r>
        <w:rPr>
          <w:color w:val="231F20"/>
          <w:spacing w:val="18"/>
        </w:rPr>
        <w:t> </w:t>
      </w:r>
      <w:r>
        <w:rPr>
          <w:color w:val="231F20"/>
        </w:rPr>
        <w:t>aangegaan.</w:t>
      </w:r>
    </w:p>
    <w:p>
      <w:pPr>
        <w:pStyle w:val="BodyText"/>
        <w:spacing w:line="218" w:lineRule="auto" w:before="128"/>
      </w:pPr>
      <w:r>
        <w:rPr>
          <w:color w:val="231F20"/>
        </w:rPr>
        <w:t>Is de vordering ingesteld, dan kan de vennootschap geen dading meer aangaan met de gedaagde leden van het bestuursorgaan zonder de eenparige instemming van degenen die eisers blijven van de vordering.</w:t>
      </w:r>
    </w:p>
    <w:p>
      <w:pPr>
        <w:pStyle w:val="BodyText"/>
        <w:spacing w:line="218" w:lineRule="auto" w:before="129"/>
      </w:pPr>
      <w:r>
        <w:rPr>
          <w:color w:val="231F20"/>
        </w:rPr>
        <w:t>Art. 5:105. Indien de minderheidsvordering wordt afgewezen, kun- nen de eisers persoonlijk in de kosten worden veroordeeld en, indien daartoe grond bestaat, tot schadevergoeding jegens de verweerders.</w:t>
      </w:r>
    </w:p>
    <w:p>
      <w:pPr>
        <w:pStyle w:val="BodyText"/>
        <w:spacing w:line="218" w:lineRule="auto" w:before="128"/>
      </w:pPr>
      <w:r>
        <w:rPr>
          <w:color w:val="231F20"/>
        </w:rPr>
        <w:t>Wordt de vordering toegewezen, dan betaalt de vennootschap de bedragen terug die de eisers hebben voorgeschoten en die niet zijn begrepen in de kosten waartoe de verweerders zijn veroordeeld.</w:t>
      </w:r>
    </w:p>
    <w:p>
      <w:pPr>
        <w:pStyle w:val="BodyText"/>
        <w:spacing w:before="114"/>
        <w:ind w:left="283" w:right="0" w:firstLine="0"/>
        <w:jc w:val="left"/>
      </w:pPr>
      <w:r>
        <w:rPr>
          <w:color w:val="231F20"/>
        </w:rPr>
        <w:t>Afdeling 3. Deskundigen.</w:t>
      </w:r>
    </w:p>
    <w:p>
      <w:pPr>
        <w:pStyle w:val="BodyText"/>
        <w:spacing w:line="218" w:lineRule="auto" w:before="125"/>
      </w:pPr>
      <w:r>
        <w:rPr>
          <w:color w:val="231F20"/>
        </w:rPr>
        <w:t>Art. 5:106. Op verzoek van één of meer aandeelhouders die aandelen bezitten die ten minste 10 % vertegenwoordigen van het aantal uitgegeven aandelen kan de voorzitter van de ondernemingsrechtbank, in kort geding één of meer deskundigen aanstellen om de boeken en de rekeningen van de vennootschap na te zien en ook de verrichtingen die haar organen hebben gedaan, indien er aanwijzingen zijn dat de belangen van de vennootschap op ernstige wijze in gevaar komen of dreigen te komen.</w:t>
      </w:r>
    </w:p>
    <w:p>
      <w:pPr>
        <w:pStyle w:val="BodyText"/>
        <w:spacing w:line="218" w:lineRule="auto" w:before="128"/>
      </w:pPr>
      <w:r>
        <w:rPr>
          <w:color w:val="231F20"/>
        </w:rPr>
        <w:t>De voorzitter beslist of het verslag van de deskundige moet worden bekendgemaakt. Hij kan onder meer beslissen dat het verslag op kosten van de vennootschap moet worden bekendgemaakt volgens de regels die hij bepaalt.</w:t>
      </w:r>
    </w:p>
    <w:p>
      <w:pPr>
        <w:pStyle w:val="BodyText"/>
        <w:spacing w:line="376" w:lineRule="auto" w:before="114"/>
        <w:ind w:left="283" w:right="169" w:firstLine="0"/>
        <w:jc w:val="left"/>
      </w:pPr>
      <w:r>
        <w:rPr>
          <w:color w:val="231F20"/>
        </w:rPr>
        <w:t>HOOFDSTUK 4. Algemene vergadering van obligatiehouders. Afdeling 1. Toepassingsgebied.</w:t>
      </w:r>
    </w:p>
    <w:p>
      <w:pPr>
        <w:pStyle w:val="BodyText"/>
        <w:spacing w:line="218" w:lineRule="auto" w:before="15"/>
      </w:pPr>
      <w:r>
        <w:rPr>
          <w:color w:val="231F20"/>
        </w:rPr>
        <w:t>Art. 5:107. De bepalingen van afdeling 2 tot afdeling 6 van dit hoofdstuk zijn slechts van toepassing op de obligaties in zoverre de uitgiftevoorwaarden daarvan niet afwijken.</w:t>
      </w:r>
    </w:p>
    <w:p>
      <w:pPr>
        <w:pStyle w:val="BodyText"/>
        <w:spacing w:before="115"/>
        <w:ind w:left="283" w:right="0" w:firstLine="0"/>
        <w:jc w:val="left"/>
      </w:pPr>
      <w:r>
        <w:rPr>
          <w:color w:val="231F20"/>
        </w:rPr>
        <w:t>Afdeling 2. Bevoegdheid.</w:t>
      </w:r>
    </w:p>
    <w:p>
      <w:pPr>
        <w:pStyle w:val="BodyText"/>
        <w:spacing w:line="218" w:lineRule="auto" w:before="124"/>
        <w:ind w:right="121"/>
      </w:pPr>
      <w:r>
        <w:rPr>
          <w:color w:val="231F20"/>
        </w:rPr>
        <w:t>Art. 5:108. De algemene vergadering van obligatiehouders is bevoegd om de uitgiftevoorwaarden te wijzigen. Zij is onder meer bevoegd om:</w:t>
      </w:r>
    </w:p>
    <w:p>
      <w:pPr>
        <w:pStyle w:val="BodyText"/>
        <w:spacing w:line="218" w:lineRule="auto" w:before="128"/>
      </w:pPr>
      <w:r>
        <w:rPr>
          <w:color w:val="231F20"/>
        </w:rPr>
        <w:t>1° een of meer rentetermijnen te verlengen, in de verlaging van de rentevoet toe te stemmen of de voorwaarden van betaling van de rente te wijzigen;</w:t>
      </w:r>
    </w:p>
    <w:p>
      <w:pPr>
        <w:pStyle w:val="BodyText"/>
        <w:spacing w:line="218" w:lineRule="auto" w:before="129"/>
      </w:pPr>
      <w:r>
        <w:rPr>
          <w:color w:val="231F20"/>
        </w:rPr>
        <w:t>2° de aflossing te verlengen, de aflossing te schorsen en toe te stemmen in een wijziging van de voorwaarden waaronder zij moet gebeuren;</w:t>
      </w:r>
    </w:p>
    <w:p>
      <w:pPr>
        <w:pStyle w:val="BodyText"/>
        <w:spacing w:line="218" w:lineRule="auto" w:before="128"/>
      </w:pPr>
      <w:r>
        <w:rPr>
          <w:color w:val="231F20"/>
        </w:rPr>
        <w:t>3° te aanvaarden dat de schuldvorderingen van de obligatiehouders worden vervangen door aandelen; dergelijk besluit blijft zonder gevolg wanneer het niet binnen drie maanden door een statutenwijziging is goedgekeurd, tenzij de algemene vergadering van aandeelhouders vooraf haar toestemming heeft gegeven met inachtneming van de voorschriften voor statutenwijziging;</w:t>
      </w:r>
    </w:p>
    <w:p>
      <w:pPr>
        <w:pStyle w:val="BodyText"/>
        <w:spacing w:line="218" w:lineRule="auto" w:before="128"/>
      </w:pPr>
      <w:r>
        <w:rPr>
          <w:color w:val="231F20"/>
        </w:rPr>
        <w:t>4° regelingen te aanvaarden om bijzondere zekerheden te stellen ten gunste van de obligatiehouders of de reeds gestelde zekerheden te wijzigen of op te heffen.</w:t>
      </w:r>
    </w:p>
    <w:p>
      <w:pPr>
        <w:pStyle w:val="BodyText"/>
        <w:spacing w:line="218" w:lineRule="auto" w:before="128"/>
      </w:pPr>
      <w:r>
        <w:rPr>
          <w:color w:val="231F20"/>
        </w:rPr>
        <w:t>Art. 5:109. Geen enkel besluit van de algemene vergadering van obligatiehouders tot wijziging van de uitgiftevoorwaarden heeft uit- werking zonder de uitdrukkelijke instemming van de vennootschap.</w:t>
      </w:r>
    </w:p>
    <w:p>
      <w:pPr>
        <w:pStyle w:val="BodyText"/>
        <w:spacing w:line="218" w:lineRule="auto" w:before="128"/>
      </w:pPr>
      <w:r>
        <w:rPr>
          <w:color w:val="231F20"/>
        </w:rPr>
        <w:t>De algemene vergadering van obligatiehouders kan, met gewone meerderheid van stemmen, zonder toestemming van de vennootschap bewarende maatregelen nemen.</w:t>
      </w:r>
    </w:p>
    <w:p>
      <w:pPr>
        <w:pStyle w:val="BodyText"/>
        <w:spacing w:line="218" w:lineRule="auto" w:before="129"/>
      </w:pPr>
      <w:r>
        <w:rPr>
          <w:color w:val="231F20"/>
        </w:rPr>
        <w:t>Afdeling 3. Bijeenroeping van de algemene vergadering van obliga- tiehouders.</w:t>
      </w:r>
    </w:p>
    <w:p>
      <w:pPr>
        <w:pStyle w:val="BodyText"/>
        <w:spacing w:line="218" w:lineRule="auto" w:before="138"/>
      </w:pPr>
      <w:r>
        <w:rPr>
          <w:color w:val="231F20"/>
        </w:rPr>
        <w:t>Art. 5:110. Het bestuursorgaan en, in voorkomend geval, de commis- saris, kunnen een algemene vergadering van de obligatiehouders bijeenroepen en haar agenda bepalen.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640" from="298.170502pt,64.473pt" to="298.170502pt,812.819pt" stroked="true" strokeweight=".533pt" strokecolor="#231f20">
            <v:stroke dashstyle="solid"/>
            <w10:wrap type="none"/>
          </v:line>
        </w:pict>
      </w:r>
      <w:bookmarkStart w:name="_bookmark109" w:id="114"/>
      <w:bookmarkEnd w:id="114"/>
      <w:r>
        <w:rPr/>
      </w:r>
      <w:r>
        <w:rPr>
          <w:color w:val="231F20"/>
        </w:rPr>
        <w:t>Ils sont obligés de convoquer l’assemblée générale des obligataires dans les trois semaines à la demande d’obligataires représentant le cinquième</w:t>
      </w:r>
      <w:r>
        <w:rPr>
          <w:color w:val="231F20"/>
          <w:spacing w:val="-5"/>
        </w:rPr>
        <w:t> </w:t>
      </w:r>
      <w:r>
        <w:rPr>
          <w:color w:val="231F20"/>
        </w:rPr>
        <w:t>du</w:t>
      </w:r>
      <w:r>
        <w:rPr>
          <w:color w:val="231F20"/>
          <w:spacing w:val="-4"/>
        </w:rPr>
        <w:t> </w:t>
      </w:r>
      <w:r>
        <w:rPr>
          <w:color w:val="231F20"/>
        </w:rPr>
        <w:t>montant</w:t>
      </w:r>
      <w:r>
        <w:rPr>
          <w:color w:val="231F20"/>
          <w:spacing w:val="-4"/>
        </w:rPr>
        <w:t> </w:t>
      </w:r>
      <w:r>
        <w:rPr>
          <w:color w:val="231F20"/>
        </w:rPr>
        <w:t>des</w:t>
      </w:r>
      <w:r>
        <w:rPr>
          <w:color w:val="231F20"/>
          <w:spacing w:val="-4"/>
        </w:rPr>
        <w:t> </w:t>
      </w:r>
      <w:r>
        <w:rPr>
          <w:color w:val="231F20"/>
        </w:rPr>
        <w:t>titres</w:t>
      </w:r>
      <w:r>
        <w:rPr>
          <w:color w:val="231F20"/>
          <w:spacing w:val="-4"/>
        </w:rPr>
        <w:t> </w:t>
      </w:r>
      <w:r>
        <w:rPr>
          <w:color w:val="231F20"/>
        </w:rPr>
        <w:t>en</w:t>
      </w:r>
      <w:r>
        <w:rPr>
          <w:color w:val="231F20"/>
          <w:spacing w:val="-4"/>
        </w:rPr>
        <w:t> </w:t>
      </w:r>
      <w:r>
        <w:rPr>
          <w:color w:val="231F20"/>
        </w:rPr>
        <w:t>circulation,</w:t>
      </w:r>
      <w:r>
        <w:rPr>
          <w:color w:val="231F20"/>
          <w:spacing w:val="-4"/>
        </w:rPr>
        <w:t> </w:t>
      </w:r>
      <w:r>
        <w:rPr>
          <w:color w:val="231F20"/>
        </w:rPr>
        <w:t>avec</w:t>
      </w:r>
      <w:r>
        <w:rPr>
          <w:color w:val="231F20"/>
          <w:spacing w:val="-4"/>
        </w:rPr>
        <w:t> </w:t>
      </w:r>
      <w:r>
        <w:rPr>
          <w:color w:val="231F20"/>
        </w:rPr>
        <w:t>au</w:t>
      </w:r>
      <w:r>
        <w:rPr>
          <w:color w:val="231F20"/>
          <w:spacing w:val="-4"/>
        </w:rPr>
        <w:t> </w:t>
      </w:r>
      <w:r>
        <w:rPr>
          <w:color w:val="231F20"/>
        </w:rPr>
        <w:t>moins</w:t>
      </w:r>
      <w:r>
        <w:rPr>
          <w:color w:val="231F20"/>
          <w:spacing w:val="-4"/>
        </w:rPr>
        <w:t> </w:t>
      </w:r>
      <w:r>
        <w:rPr>
          <w:color w:val="231F20"/>
        </w:rPr>
        <w:t>les</w:t>
      </w:r>
      <w:r>
        <w:rPr>
          <w:color w:val="231F20"/>
          <w:spacing w:val="-4"/>
        </w:rPr>
        <w:t> </w:t>
      </w:r>
      <w:r>
        <w:rPr>
          <w:color w:val="231F20"/>
        </w:rPr>
        <w:t>points de</w:t>
      </w:r>
      <w:r>
        <w:rPr>
          <w:color w:val="231F20"/>
          <w:spacing w:val="15"/>
        </w:rPr>
        <w:t> </w:t>
      </w:r>
      <w:r>
        <w:rPr>
          <w:color w:val="231F20"/>
        </w:rPr>
        <w:t>l’ordre</w:t>
      </w:r>
      <w:r>
        <w:rPr>
          <w:color w:val="231F20"/>
          <w:spacing w:val="15"/>
        </w:rPr>
        <w:t> </w:t>
      </w:r>
      <w:r>
        <w:rPr>
          <w:color w:val="231F20"/>
        </w:rPr>
        <w:t>du</w:t>
      </w:r>
      <w:r>
        <w:rPr>
          <w:color w:val="231F20"/>
          <w:spacing w:val="15"/>
        </w:rPr>
        <w:t> </w:t>
      </w:r>
      <w:r>
        <w:rPr>
          <w:color w:val="231F20"/>
        </w:rPr>
        <w:t>jour</w:t>
      </w:r>
      <w:r>
        <w:rPr>
          <w:color w:val="231F20"/>
          <w:spacing w:val="16"/>
        </w:rPr>
        <w:t> </w:t>
      </w:r>
      <w:r>
        <w:rPr>
          <w:color w:val="231F20"/>
        </w:rPr>
        <w:t>proposés</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obligataires</w:t>
      </w:r>
      <w:r>
        <w:rPr>
          <w:color w:val="231F20"/>
          <w:spacing w:val="16"/>
        </w:rPr>
        <w:t> </w:t>
      </w:r>
      <w:r>
        <w:rPr>
          <w:color w:val="231F20"/>
        </w:rPr>
        <w:t>concernés.</w:t>
      </w:r>
    </w:p>
    <w:p>
      <w:pPr>
        <w:pStyle w:val="BodyText"/>
        <w:spacing w:before="8"/>
        <w:ind w:left="0" w:right="0" w:firstLine="0"/>
        <w:jc w:val="left"/>
        <w:rPr>
          <w:sz w:val="21"/>
        </w:rPr>
      </w:pPr>
    </w:p>
    <w:p>
      <w:pPr>
        <w:pStyle w:val="BodyText"/>
        <w:spacing w:line="218" w:lineRule="auto"/>
        <w:ind w:right="38"/>
      </w:pPr>
      <w:r>
        <w:rPr>
          <w:color w:val="231F20"/>
        </w:rPr>
        <w:t>Art. </w:t>
      </w:r>
      <w:r>
        <w:rPr>
          <w:color w:val="231F20"/>
          <w:spacing w:val="-4"/>
        </w:rPr>
        <w:t>5:111. </w:t>
      </w:r>
      <w:r>
        <w:rPr>
          <w:color w:val="231F20"/>
        </w:rPr>
        <w:t>§ 1</w:t>
      </w:r>
      <w:r>
        <w:rPr>
          <w:color w:val="231F20"/>
          <w:position w:val="7"/>
          <w:sz w:val="11"/>
        </w:rPr>
        <w:t>er</w:t>
      </w:r>
      <w:r>
        <w:rPr>
          <w:color w:val="231F20"/>
        </w:rPr>
        <w:t>. La convocation à l’assemblée générale des obligatai- res contient l’ordre du jour et est faite par annonce insérée dans le </w:t>
      </w:r>
      <w:r>
        <w:rPr>
          <w:rFonts w:ascii="Times New Roman" w:hAnsi="Times New Roman"/>
          <w:i/>
          <w:color w:val="231F20"/>
        </w:rPr>
        <w:t>Moniteur belge </w:t>
      </w:r>
      <w:r>
        <w:rPr>
          <w:color w:val="231F20"/>
        </w:rPr>
        <w:t>et dans un organe de presse de diffusion nationale, papier ou électronique, au moins quinze jours avant l’assemblée, ou trente jours s’il s’agit d’obligations admises à la négociation sur un marché réglementé. Ces convocations seront communiquées quinze jours avant l’assemblée aux obligataires nominatifs; cette communica- tion se fait conformément à l’article 2:32. Quand toutes les obligations sont nominatives, la société peut se limiter à cette communication. </w:t>
      </w:r>
      <w:r>
        <w:rPr>
          <w:color w:val="231F20"/>
          <w:spacing w:val="-3"/>
        </w:rPr>
        <w:t>L’ordre </w:t>
      </w:r>
      <w:r>
        <w:rPr>
          <w:color w:val="231F20"/>
        </w:rPr>
        <w:t>du jour contient l’indication des sujets à traiter ainsi que les propositions</w:t>
      </w:r>
      <w:r>
        <w:rPr>
          <w:color w:val="231F20"/>
          <w:spacing w:val="15"/>
        </w:rPr>
        <w:t> </w:t>
      </w:r>
      <w:r>
        <w:rPr>
          <w:color w:val="231F20"/>
        </w:rPr>
        <w:t>de</w:t>
      </w:r>
      <w:r>
        <w:rPr>
          <w:color w:val="231F20"/>
          <w:spacing w:val="15"/>
        </w:rPr>
        <w:t> </w:t>
      </w:r>
      <w:r>
        <w:rPr>
          <w:color w:val="231F20"/>
        </w:rPr>
        <w:t>décisions</w:t>
      </w:r>
      <w:r>
        <w:rPr>
          <w:color w:val="231F20"/>
          <w:spacing w:val="16"/>
        </w:rPr>
        <w:t> </w:t>
      </w:r>
      <w:r>
        <w:rPr>
          <w:color w:val="231F20"/>
        </w:rPr>
        <w:t>qui</w:t>
      </w:r>
      <w:r>
        <w:rPr>
          <w:color w:val="231F20"/>
          <w:spacing w:val="15"/>
        </w:rPr>
        <w:t> </w:t>
      </w:r>
      <w:r>
        <w:rPr>
          <w:color w:val="231F20"/>
        </w:rPr>
        <w:t>seront</w:t>
      </w:r>
      <w:r>
        <w:rPr>
          <w:color w:val="231F20"/>
          <w:spacing w:val="16"/>
        </w:rPr>
        <w:t> </w:t>
      </w:r>
      <w:r>
        <w:rPr>
          <w:color w:val="231F20"/>
        </w:rPr>
        <w:t>soumises</w:t>
      </w:r>
      <w:r>
        <w:rPr>
          <w:color w:val="231F20"/>
          <w:spacing w:val="15"/>
        </w:rPr>
        <w:t> </w:t>
      </w:r>
      <w:r>
        <w:rPr>
          <w:color w:val="231F20"/>
        </w:rPr>
        <w:t>à</w:t>
      </w:r>
      <w:r>
        <w:rPr>
          <w:color w:val="231F20"/>
          <w:spacing w:val="16"/>
        </w:rPr>
        <w:t> </w:t>
      </w:r>
      <w:r>
        <w:rPr>
          <w:color w:val="231F20"/>
        </w:rPr>
        <w:t>l’assemblée.</w:t>
      </w:r>
    </w:p>
    <w:p>
      <w:pPr>
        <w:pStyle w:val="BodyText"/>
        <w:spacing w:before="9"/>
        <w:ind w:left="0" w:right="0" w:firstLine="0"/>
        <w:jc w:val="left"/>
        <w:rPr>
          <w:sz w:val="22"/>
        </w:rPr>
      </w:pPr>
    </w:p>
    <w:p>
      <w:pPr>
        <w:pStyle w:val="BodyText"/>
        <w:spacing w:line="218" w:lineRule="auto"/>
        <w:ind w:right="38"/>
      </w:pPr>
      <w:r>
        <w:rPr>
          <w:color w:val="231F20"/>
        </w:rPr>
        <w:t>§ 2. Si la société a émis des obligations dématérialisées, l’assemblée générale est convoquée par une annonce insérée au moins quinze jours avant l’assemblée:</w:t>
      </w:r>
    </w:p>
    <w:p>
      <w:pPr>
        <w:spacing w:before="69"/>
        <w:ind w:left="283" w:right="0" w:firstLine="0"/>
        <w:jc w:val="left"/>
        <w:rPr>
          <w:sz w:val="17"/>
        </w:rPr>
      </w:pPr>
      <w:r>
        <w:rPr>
          <w:color w:val="231F20"/>
          <w:w w:val="105"/>
          <w:sz w:val="17"/>
        </w:rPr>
        <w:t>1° dans le </w:t>
      </w:r>
      <w:r>
        <w:rPr>
          <w:rFonts w:ascii="Times New Roman" w:hAnsi="Times New Roman"/>
          <w:i/>
          <w:color w:val="231F20"/>
          <w:w w:val="105"/>
          <w:sz w:val="17"/>
        </w:rPr>
        <w:t>Moniteur belge</w:t>
      </w:r>
      <w:r>
        <w:rPr>
          <w:color w:val="231F20"/>
          <w:w w:val="105"/>
          <w:sz w:val="17"/>
        </w:rPr>
        <w:t>;</w:t>
      </w:r>
    </w:p>
    <w:p>
      <w:pPr>
        <w:pStyle w:val="BodyText"/>
        <w:spacing w:line="218" w:lineRule="auto" w:before="82"/>
        <w:ind w:right="38"/>
      </w:pPr>
      <w:r>
        <w:rPr>
          <w:color w:val="231F20"/>
        </w:rPr>
        <w:t>2° dans un organe de presse de diffusion nationale, papier ou électronique;</w:t>
      </w:r>
    </w:p>
    <w:p>
      <w:pPr>
        <w:pStyle w:val="BodyText"/>
        <w:spacing w:line="218" w:lineRule="auto" w:before="85"/>
        <w:ind w:right="38"/>
      </w:pPr>
      <w:r>
        <w:rPr>
          <w:color w:val="231F20"/>
        </w:rPr>
        <w:t>3° lorsque la société dispose d’un site internet visé à l’article 2:31, sur le site internet de la société.</w:t>
      </w:r>
    </w:p>
    <w:p>
      <w:pPr>
        <w:pStyle w:val="BodyText"/>
        <w:spacing w:before="71"/>
        <w:ind w:left="283" w:right="0" w:firstLine="0"/>
        <w:jc w:val="left"/>
      </w:pPr>
      <w:r>
        <w:rPr>
          <w:color w:val="231F20"/>
        </w:rPr>
        <w:t>Section 4. Participation à l’assemblée générale des obligataires.</w:t>
      </w:r>
    </w:p>
    <w:p>
      <w:pPr>
        <w:pStyle w:val="BodyText"/>
        <w:spacing w:before="8"/>
        <w:ind w:left="0" w:right="0" w:firstLine="0"/>
        <w:jc w:val="left"/>
        <w:rPr>
          <w:sz w:val="22"/>
        </w:rPr>
      </w:pPr>
    </w:p>
    <w:p>
      <w:pPr>
        <w:pStyle w:val="BodyText"/>
        <w:spacing w:line="218" w:lineRule="auto"/>
        <w:ind w:right="38"/>
      </w:pPr>
      <w:r>
        <w:rPr>
          <w:color w:val="231F20"/>
        </w:rPr>
        <w:t>Art. 5:112. Les statuts déterminent les formalités à accomplir pour être admis à l’assemblée générale des obligataires.</w:t>
      </w:r>
    </w:p>
    <w:p>
      <w:pPr>
        <w:pStyle w:val="BodyText"/>
        <w:ind w:left="0" w:right="0" w:firstLine="0"/>
        <w:jc w:val="left"/>
        <w:rPr>
          <w:sz w:val="23"/>
        </w:rPr>
      </w:pPr>
    </w:p>
    <w:p>
      <w:pPr>
        <w:pStyle w:val="BodyText"/>
        <w:spacing w:line="218" w:lineRule="auto"/>
        <w:ind w:right="38"/>
      </w:pPr>
      <w:r>
        <w:rPr>
          <w:color w:val="231F20"/>
        </w:rPr>
        <w:t>Art. 5:113. Les statuts peuvent étendre le régime de participation à distance visé à l’article 5:89, aux mêmes conditions, à l’assemblée générale des obligataires.</w:t>
      </w:r>
    </w:p>
    <w:p>
      <w:pPr>
        <w:pStyle w:val="BodyText"/>
        <w:spacing w:before="82"/>
        <w:ind w:left="283" w:right="0" w:firstLine="0"/>
        <w:jc w:val="left"/>
      </w:pPr>
      <w:r>
        <w:rPr>
          <w:color w:val="231F20"/>
        </w:rPr>
        <w:t>Section 5. Tenue de l’assemblée générale des obligataires.</w:t>
      </w:r>
    </w:p>
    <w:p>
      <w:pPr>
        <w:pStyle w:val="BodyText"/>
        <w:spacing w:before="7"/>
        <w:ind w:left="0" w:right="0" w:firstLine="0"/>
        <w:jc w:val="left"/>
        <w:rPr>
          <w:sz w:val="23"/>
        </w:rPr>
      </w:pPr>
    </w:p>
    <w:p>
      <w:pPr>
        <w:pStyle w:val="BodyText"/>
        <w:spacing w:line="218" w:lineRule="auto" w:before="1"/>
        <w:ind w:right="38"/>
      </w:pPr>
      <w:r>
        <w:rPr>
          <w:color w:val="231F20"/>
        </w:rPr>
        <w:t>Art. 5:114. Il est tenu à chaque assemblée générale des obligataires une liste des présences.</w:t>
      </w:r>
    </w:p>
    <w:p>
      <w:pPr>
        <w:pStyle w:val="BodyText"/>
        <w:spacing w:line="218" w:lineRule="auto" w:before="96"/>
        <w:ind w:right="38"/>
      </w:pPr>
      <w:r>
        <w:rPr>
          <w:color w:val="231F20"/>
        </w:rPr>
        <w:t>Art. 5:115. L’assemblée générale des obligataires ne peut valablement délibérer et statuer que lorsque ses membres représentent la moitié au moins du montant des titres en circulation.</w:t>
      </w:r>
    </w:p>
    <w:p>
      <w:pPr>
        <w:pStyle w:val="BodyText"/>
        <w:spacing w:before="10"/>
        <w:ind w:left="0" w:right="0" w:firstLine="0"/>
        <w:jc w:val="left"/>
        <w:rPr>
          <w:sz w:val="23"/>
        </w:rPr>
      </w:pPr>
    </w:p>
    <w:p>
      <w:pPr>
        <w:pStyle w:val="BodyText"/>
        <w:spacing w:line="218" w:lineRule="auto"/>
        <w:ind w:right="38"/>
      </w:pPr>
      <w:r>
        <w:rPr>
          <w:color w:val="231F20"/>
        </w:rPr>
        <w:t>Si cette condition n’est pas remplie, une nouvelle convocation est nécessaire et la deuxième assemblée délibère et décide valablement, quel que soit le montant représenté des titres en circulation.</w:t>
      </w:r>
    </w:p>
    <w:p>
      <w:pPr>
        <w:pStyle w:val="BodyText"/>
        <w:ind w:left="0" w:right="0" w:firstLine="0"/>
        <w:jc w:val="left"/>
        <w:rPr>
          <w:sz w:val="24"/>
        </w:rPr>
      </w:pPr>
    </w:p>
    <w:p>
      <w:pPr>
        <w:pStyle w:val="BodyText"/>
        <w:spacing w:line="218" w:lineRule="auto"/>
        <w:ind w:right="38"/>
      </w:pPr>
      <w:r>
        <w:rPr>
          <w:color w:val="231F20"/>
        </w:rPr>
        <w:t>Une proposition n’est acceptée que lorsqu’elle est approuvée par des obligataires présents ou représentés dont les voix représentent les trois quarts au moins du montant des obligations pour lesquelles il est pris part au vote.</w:t>
      </w:r>
    </w:p>
    <w:p>
      <w:pPr>
        <w:pStyle w:val="BodyText"/>
        <w:spacing w:before="1"/>
        <w:ind w:left="0" w:right="0" w:firstLine="0"/>
        <w:jc w:val="left"/>
        <w:rPr>
          <w:sz w:val="24"/>
        </w:rPr>
      </w:pPr>
    </w:p>
    <w:p>
      <w:pPr>
        <w:pStyle w:val="BodyText"/>
        <w:spacing w:line="216" w:lineRule="auto"/>
        <w:ind w:right="38"/>
      </w:pPr>
      <w:r>
        <w:rPr>
          <w:color w:val="231F20"/>
        </w:rPr>
        <w:t>Sauf si toutes les obligations sont nominatives, les décisions prises sont publiées, dans les quinze jours, aux Annexes du </w:t>
      </w:r>
      <w:r>
        <w:rPr>
          <w:rFonts w:ascii="Times New Roman" w:hAnsi="Times New Roman"/>
          <w:i/>
          <w:color w:val="231F20"/>
        </w:rPr>
        <w:t>Moniteur belge</w:t>
      </w:r>
      <w:r>
        <w:rPr>
          <w:color w:val="231F20"/>
        </w:rPr>
        <w:t>.</w:t>
      </w:r>
    </w:p>
    <w:p>
      <w:pPr>
        <w:pStyle w:val="BodyText"/>
        <w:spacing w:before="10"/>
        <w:ind w:left="0" w:right="0" w:firstLine="0"/>
        <w:jc w:val="left"/>
        <w:rPr>
          <w:sz w:val="23"/>
        </w:rPr>
      </w:pPr>
    </w:p>
    <w:p>
      <w:pPr>
        <w:pStyle w:val="BodyText"/>
        <w:spacing w:line="218" w:lineRule="auto"/>
        <w:ind w:right="38"/>
      </w:pPr>
      <w:r>
        <w:rPr>
          <w:color w:val="231F20"/>
        </w:rPr>
        <w:t>Art. 5:116. Lorsqu’il existe plusieurs classes d’obligations et que la décision de l’assemblée générale des obligataires est de nature à modifier leurs droits respectifs, les obligataires de chacune des classes doivent être convoqués en assemblée spéciale et il convient de réunir dans chaque classe les conditions de présence et de majorité requises par l’article 5:115.</w:t>
      </w:r>
    </w:p>
    <w:p>
      <w:pPr>
        <w:pStyle w:val="BodyText"/>
        <w:ind w:left="0" w:right="0" w:firstLine="0"/>
        <w:jc w:val="left"/>
        <w:rPr>
          <w:sz w:val="24"/>
        </w:rPr>
      </w:pPr>
    </w:p>
    <w:p>
      <w:pPr>
        <w:pStyle w:val="BodyText"/>
        <w:spacing w:line="218" w:lineRule="auto"/>
        <w:ind w:right="38"/>
      </w:pPr>
      <w:r>
        <w:rPr>
          <w:color w:val="231F20"/>
        </w:rPr>
        <w:t>Art. 5:117. Les procès-verbaux des assemblées générales des obliga- taires sont signés par les membres du bureau et par les obligataires qui le demandent; les copies à délivrer aux tiers sont signées par un ou plusieurs membres de l’organe d’administration ayant le pouvoir de représentation.</w:t>
      </w:r>
    </w:p>
    <w:p>
      <w:pPr>
        <w:pStyle w:val="BodyText"/>
        <w:spacing w:line="218" w:lineRule="auto" w:before="96"/>
        <w:ind w:right="38"/>
      </w:pPr>
      <w:r>
        <w:rPr>
          <w:color w:val="231F20"/>
        </w:rPr>
        <w:t>Art. 5:118. Moyennant le respect des formalités de convocation visées aux articles 5:110 et </w:t>
      </w:r>
      <w:r>
        <w:rPr>
          <w:color w:val="231F20"/>
          <w:spacing w:val="-4"/>
        </w:rPr>
        <w:t>5:111, </w:t>
      </w:r>
      <w:r>
        <w:rPr>
          <w:color w:val="231F20"/>
        </w:rPr>
        <w:t>toutes les décisions qui relèvent du pouvoir de l’assemblée générale des obligataires peuvent être prises par voie électronique ou par accord écrit. Aucune décision n’est admise dans ce cas que lorsque l’accord est obtenu, par voie électronique ou par accord écrit, d’obligataires représentant les trois quarts au moins du montant des obligations</w:t>
      </w:r>
      <w:r>
        <w:rPr>
          <w:color w:val="231F20"/>
          <w:spacing w:val="-12"/>
        </w:rPr>
        <w:t> </w:t>
      </w:r>
      <w:r>
        <w:rPr>
          <w:color w:val="231F20"/>
        </w:rPr>
        <w:t>existantes.</w:t>
      </w:r>
    </w:p>
    <w:p>
      <w:pPr>
        <w:pStyle w:val="BodyText"/>
        <w:spacing w:before="11"/>
        <w:ind w:left="0" w:right="0" w:firstLine="0"/>
        <w:jc w:val="left"/>
        <w:rPr>
          <w:sz w:val="24"/>
        </w:rPr>
      </w:pPr>
    </w:p>
    <w:p>
      <w:pPr>
        <w:pStyle w:val="BodyText"/>
        <w:spacing w:line="201" w:lineRule="auto"/>
        <w:ind w:right="38"/>
      </w:pPr>
      <w:r>
        <w:rPr>
          <w:color w:val="231F20"/>
        </w:rPr>
        <w:t>Le Roi peut préciser la nature et les conditions d’application de la voie</w:t>
      </w:r>
      <w:r>
        <w:rPr>
          <w:color w:val="231F20"/>
          <w:spacing w:val="17"/>
        </w:rPr>
        <w:t> </w:t>
      </w:r>
      <w:r>
        <w:rPr>
          <w:color w:val="231F20"/>
        </w:rPr>
        <w:t>électronique</w:t>
      </w:r>
      <w:r>
        <w:rPr>
          <w:color w:val="231F20"/>
          <w:spacing w:val="17"/>
        </w:rPr>
        <w:t> </w:t>
      </w:r>
      <w:r>
        <w:rPr>
          <w:color w:val="231F20"/>
        </w:rPr>
        <w:t>et</w:t>
      </w:r>
      <w:r>
        <w:rPr>
          <w:color w:val="231F20"/>
          <w:spacing w:val="17"/>
        </w:rPr>
        <w:t> </w:t>
      </w:r>
      <w:r>
        <w:rPr>
          <w:color w:val="231F20"/>
        </w:rPr>
        <w:t>de</w:t>
      </w:r>
      <w:r>
        <w:rPr>
          <w:color w:val="231F20"/>
          <w:spacing w:val="17"/>
        </w:rPr>
        <w:t> </w:t>
      </w:r>
      <w:r>
        <w:rPr>
          <w:color w:val="231F20"/>
        </w:rPr>
        <w:t>l’accord</w:t>
      </w:r>
      <w:r>
        <w:rPr>
          <w:color w:val="231F20"/>
          <w:spacing w:val="18"/>
        </w:rPr>
        <w:t> </w:t>
      </w:r>
      <w:r>
        <w:rPr>
          <w:color w:val="231F20"/>
        </w:rPr>
        <w:t>écrit</w:t>
      </w:r>
      <w:r>
        <w:rPr>
          <w:color w:val="231F20"/>
          <w:spacing w:val="17"/>
        </w:rPr>
        <w:t> </w:t>
      </w:r>
      <w:r>
        <w:rPr>
          <w:color w:val="231F20"/>
        </w:rPr>
        <w:t>à</w:t>
      </w:r>
      <w:r>
        <w:rPr>
          <w:color w:val="231F20"/>
          <w:spacing w:val="17"/>
        </w:rPr>
        <w:t> </w:t>
      </w:r>
      <w:r>
        <w:rPr>
          <w:color w:val="231F20"/>
        </w:rPr>
        <w:t>obtenir</w:t>
      </w:r>
      <w:r>
        <w:rPr>
          <w:color w:val="231F20"/>
          <w:spacing w:val="17"/>
        </w:rPr>
        <w:t> </w:t>
      </w:r>
      <w:r>
        <w:rPr>
          <w:color w:val="231F20"/>
        </w:rPr>
        <w:t>visés</w:t>
      </w:r>
      <w:r>
        <w:rPr>
          <w:color w:val="231F20"/>
          <w:spacing w:val="17"/>
        </w:rPr>
        <w:t> </w:t>
      </w:r>
      <w:r>
        <w:rPr>
          <w:color w:val="231F20"/>
        </w:rPr>
        <w:t>à</w:t>
      </w:r>
      <w:r>
        <w:rPr>
          <w:color w:val="231F20"/>
          <w:spacing w:val="18"/>
        </w:rPr>
        <w:t> </w:t>
      </w:r>
      <w:r>
        <w:rPr>
          <w:color w:val="231F20"/>
        </w:rPr>
        <w:t>l’alinéa</w:t>
      </w:r>
      <w:r>
        <w:rPr>
          <w:color w:val="231F20"/>
          <w:spacing w:val="17"/>
        </w:rPr>
        <w:t> </w:t>
      </w:r>
      <w:r>
        <w:rPr>
          <w:color w:val="231F20"/>
        </w:rPr>
        <w:t>1</w:t>
      </w:r>
      <w:r>
        <w:rPr>
          <w:color w:val="231F20"/>
          <w:position w:val="7"/>
          <w:sz w:val="11"/>
        </w:rPr>
        <w:t>er</w:t>
      </w:r>
      <w:r>
        <w:rPr>
          <w:color w:val="231F20"/>
        </w:rPr>
        <w:t>.</w:t>
      </w:r>
    </w:p>
    <w:p>
      <w:pPr>
        <w:pStyle w:val="BodyText"/>
        <w:spacing w:line="218" w:lineRule="auto" w:before="119"/>
      </w:pPr>
      <w:r>
        <w:rPr/>
        <w:br w:type="column"/>
      </w:r>
      <w:r>
        <w:rPr>
          <w:color w:val="231F20"/>
        </w:rPr>
        <w:t>Zij zijn verplicht de algemene vergadering van obligatiehouders binnen drie weken bijeen te roepen wanneer obligatiehouders die een vijfde van het bedrag van de in omloop zijnde effecten vertegenwoor- digen, dat vragen, met ten minste de door de betrokken obligatiehou- ders voorgestelde</w:t>
      </w:r>
      <w:r>
        <w:rPr>
          <w:color w:val="231F20"/>
          <w:spacing w:val="-10"/>
        </w:rPr>
        <w:t> </w:t>
      </w:r>
      <w:r>
        <w:rPr>
          <w:color w:val="231F20"/>
        </w:rPr>
        <w:t>agendapunten.</w:t>
      </w:r>
    </w:p>
    <w:p>
      <w:pPr>
        <w:pStyle w:val="BodyText"/>
        <w:spacing w:line="218" w:lineRule="auto" w:before="86"/>
      </w:pPr>
      <w:r>
        <w:rPr>
          <w:color w:val="231F20"/>
        </w:rPr>
        <w:t>Art. </w:t>
      </w:r>
      <w:r>
        <w:rPr>
          <w:color w:val="231F20"/>
          <w:spacing w:val="-4"/>
        </w:rPr>
        <w:t>5:111. </w:t>
      </w:r>
      <w:r>
        <w:rPr>
          <w:color w:val="231F20"/>
        </w:rPr>
        <w:t>§ 1. De oproeping tot de algemene vergadering bevat de agenda en wordt gedaan door middel van een aankondiging geplaatst  in het </w:t>
      </w:r>
      <w:r>
        <w:rPr>
          <w:rFonts w:ascii="Times New Roman" w:hAnsi="Times New Roman"/>
          <w:i/>
          <w:color w:val="231F20"/>
        </w:rPr>
        <w:t>Belgisch Staatsblad </w:t>
      </w:r>
      <w:r>
        <w:rPr>
          <w:color w:val="231F20"/>
        </w:rPr>
        <w:t>en in een nationaal uitgegeven blad, op papier of elektronisch, ten minste vijftien dagen voor de vergadering, of dertig dagen indien de obligaties zijn toegelaten tot de verhandeling op een gereglementeerde markt. Aan de obligatiehouders op naam worden de oproepingen vijftien dagen voor de vergadering medegedeeld; deze mededeling gebeurt overeenkomstig artikel 2:32. </w:t>
      </w:r>
      <w:r>
        <w:rPr>
          <w:color w:val="231F20"/>
          <w:spacing w:val="-3"/>
        </w:rPr>
        <w:t>Wanneer </w:t>
      </w:r>
      <w:r>
        <w:rPr>
          <w:color w:val="231F20"/>
        </w:rPr>
        <w:t>alle obliga- ties op naam zijn, volstaat deze mededeling. De agenda bevat de te behandelen onderwerpen en de voorstellen van besluiten die aan de vergadering worden</w:t>
      </w:r>
      <w:r>
        <w:rPr>
          <w:color w:val="231F20"/>
          <w:spacing w:val="-9"/>
        </w:rPr>
        <w:t> </w:t>
      </w:r>
      <w:r>
        <w:rPr>
          <w:color w:val="231F20"/>
        </w:rPr>
        <w:t>voorgelegd.</w:t>
      </w:r>
    </w:p>
    <w:p>
      <w:pPr>
        <w:pStyle w:val="BodyText"/>
        <w:spacing w:before="10"/>
        <w:ind w:left="0" w:right="0" w:firstLine="0"/>
        <w:jc w:val="left"/>
        <w:rPr>
          <w:sz w:val="22"/>
        </w:rPr>
      </w:pPr>
    </w:p>
    <w:p>
      <w:pPr>
        <w:pStyle w:val="BodyText"/>
        <w:spacing w:line="218" w:lineRule="auto"/>
      </w:pPr>
      <w:r>
        <w:rPr>
          <w:color w:val="231F20"/>
        </w:rPr>
        <w:t>§ 2. Heeft de vennootschap gedematerialiseerde obligaties uitgege- ven, dan gebeurt de oproeping door middel van een aankondiging die ten minste vijftien dagen vóór de vergadering wordt geplaatst:</w:t>
      </w:r>
    </w:p>
    <w:p>
      <w:pPr>
        <w:spacing w:before="68"/>
        <w:ind w:left="283" w:right="0" w:firstLine="0"/>
        <w:jc w:val="left"/>
        <w:rPr>
          <w:sz w:val="17"/>
        </w:rPr>
      </w:pPr>
      <w:r>
        <w:rPr>
          <w:color w:val="231F20"/>
          <w:sz w:val="17"/>
        </w:rPr>
        <w:t>1° in het </w:t>
      </w:r>
      <w:r>
        <w:rPr>
          <w:rFonts w:ascii="Times New Roman" w:hAnsi="Times New Roman"/>
          <w:i/>
          <w:color w:val="231F20"/>
          <w:sz w:val="17"/>
        </w:rPr>
        <w:t>Belgisch Staatsblad</w:t>
      </w:r>
      <w:r>
        <w:rPr>
          <w:color w:val="231F20"/>
          <w:sz w:val="17"/>
        </w:rPr>
        <w:t>;</w:t>
      </w:r>
    </w:p>
    <w:p>
      <w:pPr>
        <w:pStyle w:val="BodyText"/>
        <w:spacing w:before="68"/>
        <w:ind w:left="283" w:right="0" w:firstLine="0"/>
        <w:jc w:val="left"/>
      </w:pPr>
      <w:r>
        <w:rPr>
          <w:color w:val="231F20"/>
        </w:rPr>
        <w:t>2° in een nationaal verspreid blad, op papier of elektronisch;</w:t>
      </w:r>
    </w:p>
    <w:p>
      <w:pPr>
        <w:pStyle w:val="BodyText"/>
        <w:spacing w:before="8"/>
        <w:ind w:left="0" w:right="0" w:firstLine="0"/>
        <w:jc w:val="left"/>
        <w:rPr>
          <w:sz w:val="22"/>
        </w:rPr>
      </w:pPr>
    </w:p>
    <w:p>
      <w:pPr>
        <w:pStyle w:val="BodyText"/>
        <w:spacing w:line="218" w:lineRule="auto"/>
      </w:pPr>
      <w:r>
        <w:rPr>
          <w:color w:val="231F20"/>
        </w:rPr>
        <w:t>3° als de vennootschap een vennootschapswebsite heeft als bedoeld in</w:t>
      </w:r>
      <w:r>
        <w:rPr>
          <w:color w:val="231F20"/>
          <w:spacing w:val="15"/>
        </w:rPr>
        <w:t> </w:t>
      </w:r>
      <w:r>
        <w:rPr>
          <w:color w:val="231F20"/>
        </w:rPr>
        <w:t>artikel</w:t>
      </w:r>
      <w:r>
        <w:rPr>
          <w:color w:val="231F20"/>
          <w:spacing w:val="15"/>
        </w:rPr>
        <w:t> </w:t>
      </w:r>
      <w:r>
        <w:rPr>
          <w:color w:val="231F20"/>
        </w:rPr>
        <w:t>2:31,</w:t>
      </w:r>
      <w:r>
        <w:rPr>
          <w:color w:val="231F20"/>
          <w:spacing w:val="15"/>
        </w:rPr>
        <w:t> </w:t>
      </w:r>
      <w:r>
        <w:rPr>
          <w:color w:val="231F20"/>
        </w:rPr>
        <w:t>op</w:t>
      </w:r>
      <w:r>
        <w:rPr>
          <w:color w:val="231F20"/>
          <w:spacing w:val="15"/>
        </w:rPr>
        <w:t> </w:t>
      </w:r>
      <w:r>
        <w:rPr>
          <w:color w:val="231F20"/>
        </w:rPr>
        <w:t>de</w:t>
      </w:r>
      <w:r>
        <w:rPr>
          <w:color w:val="231F20"/>
          <w:spacing w:val="15"/>
        </w:rPr>
        <w:t> </w:t>
      </w:r>
      <w:r>
        <w:rPr>
          <w:color w:val="231F20"/>
        </w:rPr>
        <w:t>vennootschapswebsite.</w:t>
      </w:r>
    </w:p>
    <w:p>
      <w:pPr>
        <w:pStyle w:val="BodyText"/>
        <w:spacing w:line="218" w:lineRule="auto" w:before="86"/>
      </w:pPr>
      <w:r>
        <w:rPr>
          <w:color w:val="231F20"/>
        </w:rPr>
        <w:t>Afdeling 4. Deelneming aan de algemene vergadering van obligatie- houders.</w:t>
      </w:r>
    </w:p>
    <w:p>
      <w:pPr>
        <w:pStyle w:val="BodyText"/>
        <w:spacing w:line="218" w:lineRule="auto" w:before="85"/>
      </w:pPr>
      <w:r>
        <w:rPr>
          <w:color w:val="231F20"/>
        </w:rPr>
        <w:t>Art. 5:112. De statuten bepalen de formaliteiten die moeten worden vervuld om tot de algemene vergadering van obligatiehouders te worden</w:t>
      </w:r>
      <w:r>
        <w:rPr>
          <w:color w:val="231F20"/>
          <w:spacing w:val="15"/>
        </w:rPr>
        <w:t> </w:t>
      </w:r>
      <w:r>
        <w:rPr>
          <w:color w:val="231F20"/>
        </w:rPr>
        <w:t>toegelaten.</w:t>
      </w:r>
    </w:p>
    <w:p>
      <w:pPr>
        <w:pStyle w:val="BodyText"/>
        <w:spacing w:line="218" w:lineRule="auto" w:before="86"/>
      </w:pPr>
      <w:r>
        <w:rPr>
          <w:color w:val="231F20"/>
        </w:rPr>
        <w:t>Art. 5:113. De statuten kunnen de in artikel 5:89 bedoelde regeling voor deelname op afstand, onder dezelfde voorwaarden, uitbreiden tot de algemene vergadering van obligatiehouders.</w:t>
      </w:r>
    </w:p>
    <w:p>
      <w:pPr>
        <w:pStyle w:val="BodyText"/>
        <w:spacing w:line="218" w:lineRule="auto" w:before="96"/>
      </w:pPr>
      <w:r>
        <w:rPr>
          <w:color w:val="231F20"/>
        </w:rPr>
        <w:t>Afdeling 5. Verloop van de algemene vergadering van obligatiehou- ders.</w:t>
      </w:r>
    </w:p>
    <w:p>
      <w:pPr>
        <w:pStyle w:val="BodyText"/>
        <w:spacing w:line="218" w:lineRule="auto" w:before="96"/>
      </w:pPr>
      <w:r>
        <w:rPr>
          <w:color w:val="231F20"/>
        </w:rPr>
        <w:t>Art. 5:114. Op elke algemene vergadering van  obligatiehouders  wordt een aanwezigheidslijst</w:t>
      </w:r>
      <w:r>
        <w:rPr>
          <w:color w:val="231F20"/>
          <w:spacing w:val="7"/>
        </w:rPr>
        <w:t> </w:t>
      </w:r>
      <w:r>
        <w:rPr>
          <w:color w:val="231F20"/>
        </w:rPr>
        <w:t>bijgehouden.</w:t>
      </w:r>
    </w:p>
    <w:p>
      <w:pPr>
        <w:pStyle w:val="BodyText"/>
        <w:spacing w:line="218" w:lineRule="auto" w:before="96"/>
      </w:pPr>
      <w:r>
        <w:rPr>
          <w:color w:val="231F20"/>
        </w:rPr>
        <w:t>Art. 5:115. De algemene vergadering van obligatiehouders kan alleen dan op geldige wijze beraadslagen en besluiten wanneer de aanwezige leden ten minste de helft van het bedrag van de in omloop zijnde effecten vertegenwoordigen.</w:t>
      </w:r>
    </w:p>
    <w:p>
      <w:pPr>
        <w:pStyle w:val="BodyText"/>
        <w:spacing w:line="218" w:lineRule="auto" w:before="96"/>
      </w:pPr>
      <w:r>
        <w:rPr>
          <w:color w:val="231F20"/>
          <w:w w:val="105"/>
        </w:rPr>
        <w:t>Is deze voorwaarde niet vervuld, dan is een nieuwe bijeenroeping nodig en de tweede vergadering beraadslaagt en besluit op geldige wijze, ongeacht het vertegenwoordigde bedrag van de effecten in omloop.</w:t>
      </w:r>
    </w:p>
    <w:p>
      <w:pPr>
        <w:pStyle w:val="BodyText"/>
        <w:spacing w:line="218" w:lineRule="auto" w:before="97"/>
      </w:pPr>
      <w:r>
        <w:rPr>
          <w:color w:val="231F20"/>
        </w:rPr>
        <w:t>Een voorstel is alleen dan aangenomen wanneer het is goedgekeurd door leden die, uit eigen naam of als gemachtigde, gezamenlijk stemmen uitbrengen die ten minste drie vierde van het bedrag van de obligaties waarvoor aan de stemming is deelgenomen, vertegenwoor- digen.</w:t>
      </w:r>
    </w:p>
    <w:p>
      <w:pPr>
        <w:pStyle w:val="BodyText"/>
        <w:spacing w:line="216" w:lineRule="auto" w:before="98"/>
      </w:pPr>
      <w:r>
        <w:rPr>
          <w:color w:val="231F20"/>
        </w:rPr>
        <w:t>Tenzij alle obligaties op naam zijn, worden de genomen besluiten binnen vijftien dagen bekendgemaakt in de Bijlagen bij het </w:t>
      </w:r>
      <w:r>
        <w:rPr>
          <w:rFonts w:ascii="Times New Roman"/>
          <w:i/>
          <w:color w:val="231F20"/>
        </w:rPr>
        <w:t>Belgisch </w:t>
      </w:r>
      <w:r>
        <w:rPr>
          <w:rFonts w:ascii="Times New Roman"/>
          <w:i/>
          <w:color w:val="231F20"/>
        </w:rPr>
        <w:t>Staatsblad</w:t>
      </w:r>
      <w:r>
        <w:rPr>
          <w:color w:val="231F20"/>
        </w:rPr>
        <w:t>.</w:t>
      </w:r>
    </w:p>
    <w:p>
      <w:pPr>
        <w:pStyle w:val="BodyText"/>
        <w:spacing w:line="218" w:lineRule="auto" w:before="95"/>
      </w:pPr>
      <w:r>
        <w:rPr>
          <w:color w:val="231F20"/>
        </w:rPr>
        <w:t>Art. 5:116. Indien er verschillende soorten van obligaties zijn en het besluit van de algemene vergadering van obligatiehouders een wijzi- ging van de respectievelijke daaraan verbonden rechten voor</w:t>
      </w:r>
      <w:r>
        <w:rPr>
          <w:color w:val="231F20"/>
          <w:spacing w:val="18"/>
        </w:rPr>
        <w:t> </w:t>
      </w:r>
      <w:r>
        <w:rPr>
          <w:color w:val="231F20"/>
        </w:rPr>
        <w:t>gevolg kan hebben, dienen de houders van elke soort van obligaties afzonder- lijk te worden bijeengeroepen in een bijzondere vergadering en dient er voor elke soort te worden voldaan aan de voorwaarden van aanwezig- heid</w:t>
      </w:r>
      <w:r>
        <w:rPr>
          <w:color w:val="231F20"/>
          <w:spacing w:val="15"/>
        </w:rPr>
        <w:t> </w:t>
      </w:r>
      <w:r>
        <w:rPr>
          <w:color w:val="231F20"/>
        </w:rPr>
        <w:t>en</w:t>
      </w:r>
      <w:r>
        <w:rPr>
          <w:color w:val="231F20"/>
          <w:spacing w:val="15"/>
        </w:rPr>
        <w:t> </w:t>
      </w:r>
      <w:r>
        <w:rPr>
          <w:color w:val="231F20"/>
        </w:rPr>
        <w:t>van</w:t>
      </w:r>
      <w:r>
        <w:rPr>
          <w:color w:val="231F20"/>
          <w:spacing w:val="16"/>
        </w:rPr>
        <w:t> </w:t>
      </w:r>
      <w:r>
        <w:rPr>
          <w:color w:val="231F20"/>
        </w:rPr>
        <w:t>meerderheid</w:t>
      </w:r>
      <w:r>
        <w:rPr>
          <w:color w:val="231F20"/>
          <w:spacing w:val="15"/>
        </w:rPr>
        <w:t> </w:t>
      </w:r>
      <w:r>
        <w:rPr>
          <w:color w:val="231F20"/>
        </w:rPr>
        <w:t>bepaald</w:t>
      </w:r>
      <w:r>
        <w:rPr>
          <w:color w:val="231F20"/>
          <w:spacing w:val="15"/>
        </w:rPr>
        <w:t> </w:t>
      </w:r>
      <w:r>
        <w:rPr>
          <w:color w:val="231F20"/>
        </w:rPr>
        <w:t>in</w:t>
      </w:r>
      <w:r>
        <w:rPr>
          <w:color w:val="231F20"/>
          <w:spacing w:val="16"/>
        </w:rPr>
        <w:t> </w:t>
      </w:r>
      <w:r>
        <w:rPr>
          <w:color w:val="231F20"/>
        </w:rPr>
        <w:t>artikel</w:t>
      </w:r>
      <w:r>
        <w:rPr>
          <w:color w:val="231F20"/>
          <w:spacing w:val="15"/>
        </w:rPr>
        <w:t> </w:t>
      </w:r>
      <w:r>
        <w:rPr>
          <w:color w:val="231F20"/>
        </w:rPr>
        <w:t>5:115.</w:t>
      </w:r>
    </w:p>
    <w:p>
      <w:pPr>
        <w:pStyle w:val="BodyText"/>
        <w:spacing w:line="218" w:lineRule="auto" w:before="96"/>
      </w:pPr>
      <w:r>
        <w:rPr>
          <w:color w:val="231F20"/>
        </w:rPr>
        <w:t>Art. 5:117. De notulen van de algemene vergaderingen van obliga- tiehouders worden ondertekend door de leden van het bureau en door de obligatiehouders die erom verzoeken; kopieën voor derden worden ondertekend door één of meer vertegenwoordigingsbevoegde leden  van het</w:t>
      </w:r>
      <w:r>
        <w:rPr>
          <w:color w:val="231F20"/>
          <w:spacing w:val="-11"/>
        </w:rPr>
        <w:t> </w:t>
      </w:r>
      <w:r>
        <w:rPr>
          <w:color w:val="231F20"/>
        </w:rPr>
        <w:t>bestuursorgaan.</w:t>
      </w:r>
    </w:p>
    <w:p>
      <w:pPr>
        <w:pStyle w:val="BodyText"/>
        <w:spacing w:line="218" w:lineRule="auto" w:before="97"/>
        <w:ind w:right="120"/>
      </w:pPr>
      <w:r>
        <w:rPr>
          <w:color w:val="231F20"/>
        </w:rPr>
        <w:t>Art.</w:t>
      </w:r>
      <w:r>
        <w:rPr>
          <w:color w:val="231F20"/>
          <w:spacing w:val="-8"/>
        </w:rPr>
        <w:t> </w:t>
      </w:r>
      <w:r>
        <w:rPr>
          <w:color w:val="231F20"/>
          <w:spacing w:val="-3"/>
        </w:rPr>
        <w:t>5:118.</w:t>
      </w:r>
      <w:r>
        <w:rPr>
          <w:color w:val="231F20"/>
          <w:spacing w:val="-7"/>
        </w:rPr>
        <w:t> </w:t>
      </w:r>
      <w:r>
        <w:rPr>
          <w:color w:val="231F20"/>
        </w:rPr>
        <w:t>Mits</w:t>
      </w:r>
      <w:r>
        <w:rPr>
          <w:color w:val="231F20"/>
          <w:spacing w:val="-7"/>
        </w:rPr>
        <w:t> </w:t>
      </w:r>
      <w:r>
        <w:rPr>
          <w:color w:val="231F20"/>
        </w:rPr>
        <w:t>inachtneming</w:t>
      </w:r>
      <w:r>
        <w:rPr>
          <w:color w:val="231F20"/>
          <w:spacing w:val="-7"/>
        </w:rPr>
        <w:t> </w:t>
      </w:r>
      <w:r>
        <w:rPr>
          <w:color w:val="231F20"/>
        </w:rPr>
        <w:t>van</w:t>
      </w:r>
      <w:r>
        <w:rPr>
          <w:color w:val="231F20"/>
          <w:spacing w:val="-8"/>
        </w:rPr>
        <w:t> </w:t>
      </w:r>
      <w:r>
        <w:rPr>
          <w:color w:val="231F20"/>
        </w:rPr>
        <w:t>de</w:t>
      </w:r>
      <w:r>
        <w:rPr>
          <w:color w:val="231F20"/>
          <w:spacing w:val="-7"/>
        </w:rPr>
        <w:t> </w:t>
      </w:r>
      <w:r>
        <w:rPr>
          <w:color w:val="231F20"/>
        </w:rPr>
        <w:t>oproepingsformaliteiten</w:t>
      </w:r>
      <w:r>
        <w:rPr>
          <w:color w:val="231F20"/>
          <w:spacing w:val="-7"/>
        </w:rPr>
        <w:t> </w:t>
      </w:r>
      <w:r>
        <w:rPr>
          <w:color w:val="231F20"/>
        </w:rPr>
        <w:t>bedoeld in de artikelen 5:110 en </w:t>
      </w:r>
      <w:r>
        <w:rPr>
          <w:color w:val="231F20"/>
          <w:spacing w:val="-4"/>
        </w:rPr>
        <w:t>5:111, </w:t>
      </w:r>
      <w:r>
        <w:rPr>
          <w:color w:val="231F20"/>
        </w:rPr>
        <w:t>kunnen alle besluiten die tot de bevoegdheid van de algemene vergadering van obligatiehouders behoren via elektronische weg of via schriftelijk akkoord worden genomen. Een besluit is in dat geval alleen dan aangenomen wanneer het akkoord wordt verkregen, via elektronische weg of via schriftelijk akkoord, van obligatiehouders die ten minste drie vierde vertegenwoor- digen</w:t>
      </w:r>
      <w:r>
        <w:rPr>
          <w:color w:val="231F20"/>
          <w:spacing w:val="16"/>
        </w:rPr>
        <w:t> </w:t>
      </w:r>
      <w:r>
        <w:rPr>
          <w:color w:val="231F20"/>
        </w:rPr>
        <w:t>van</w:t>
      </w:r>
      <w:r>
        <w:rPr>
          <w:color w:val="231F20"/>
          <w:spacing w:val="16"/>
        </w:rPr>
        <w:t> </w:t>
      </w:r>
      <w:r>
        <w:rPr>
          <w:color w:val="231F20"/>
        </w:rPr>
        <w:t>het</w:t>
      </w:r>
      <w:r>
        <w:rPr>
          <w:color w:val="231F20"/>
          <w:spacing w:val="17"/>
        </w:rPr>
        <w:t> </w:t>
      </w:r>
      <w:r>
        <w:rPr>
          <w:color w:val="231F20"/>
        </w:rPr>
        <w:t>bedrag</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bestaande</w:t>
      </w:r>
      <w:r>
        <w:rPr>
          <w:color w:val="231F20"/>
          <w:spacing w:val="16"/>
        </w:rPr>
        <w:t> </w:t>
      </w:r>
      <w:r>
        <w:rPr>
          <w:color w:val="231F20"/>
        </w:rPr>
        <w:t>obligaties.</w:t>
      </w:r>
    </w:p>
    <w:p>
      <w:pPr>
        <w:pStyle w:val="BodyText"/>
        <w:spacing w:line="218" w:lineRule="auto" w:before="96"/>
        <w:ind w:right="123"/>
      </w:pPr>
      <w:r>
        <w:rPr>
          <w:color w:val="231F20"/>
        </w:rPr>
        <w:t>De Koning kan de aard en de toepassingsvoorwaarden van de in het eerste lid bedoelde elektronische weg en het te verkrijgen schriftelijk akkoord verduidelijken.</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3664" from="298.170502pt,64.473pt" to="298.170502pt,812.819pt" stroked="true" strokeweight=".533pt" strokecolor="#231f20">
            <v:stroke dashstyle="solid"/>
            <w10:wrap type="none"/>
          </v:line>
        </w:pict>
      </w:r>
      <w:bookmarkStart w:name="_bookmark110" w:id="115"/>
      <w:bookmarkEnd w:id="115"/>
      <w:r>
        <w:rPr/>
      </w:r>
      <w:r>
        <w:rPr>
          <w:color w:val="231F20"/>
        </w:rPr>
        <w:t>Section 6. Modalités de l’exercice du droit de vote.</w:t>
      </w:r>
    </w:p>
    <w:p>
      <w:pPr>
        <w:pStyle w:val="BodyText"/>
        <w:spacing w:line="218" w:lineRule="auto" w:before="92"/>
        <w:ind w:right="38"/>
      </w:pPr>
      <w:r>
        <w:rPr>
          <w:color w:val="231F20"/>
        </w:rPr>
        <w:t>Art. 5:119. Tous les obligataires peuvent voter en personne ou par procuration.</w:t>
      </w:r>
    </w:p>
    <w:p>
      <w:pPr>
        <w:pStyle w:val="BodyText"/>
        <w:spacing w:before="82"/>
        <w:ind w:left="283" w:right="0" w:firstLine="0"/>
        <w:jc w:val="left"/>
      </w:pPr>
      <w:r>
        <w:rPr>
          <w:color w:val="231F20"/>
        </w:rPr>
        <w:t>TITRE 5. Du patrimoine de la société.</w:t>
      </w:r>
    </w:p>
    <w:p>
      <w:pPr>
        <w:pStyle w:val="BodyText"/>
        <w:spacing w:line="218" w:lineRule="auto" w:before="78"/>
        <w:ind w:right="38"/>
      </w:pPr>
      <w:r>
        <w:rPr>
          <w:color w:val="231F20"/>
        </w:rPr>
        <w:t>CHAPITRE 1</w:t>
      </w:r>
      <w:r>
        <w:rPr>
          <w:color w:val="231F20"/>
          <w:position w:val="7"/>
          <w:sz w:val="11"/>
        </w:rPr>
        <w:t>er</w:t>
      </w:r>
      <w:r>
        <w:rPr>
          <w:color w:val="231F20"/>
        </w:rPr>
        <w:t>. Apports supplémentaires et émission de nouvelles actions.</w:t>
      </w:r>
    </w:p>
    <w:p>
      <w:pPr>
        <w:pStyle w:val="BodyText"/>
        <w:spacing w:before="67"/>
        <w:ind w:left="283" w:right="0" w:firstLine="0"/>
        <w:jc w:val="left"/>
      </w:pPr>
      <w:r>
        <w:rPr>
          <w:color w:val="231F20"/>
        </w:rPr>
        <w:t>Section 1</w:t>
      </w:r>
      <w:r>
        <w:rPr>
          <w:color w:val="231F20"/>
          <w:position w:val="7"/>
          <w:sz w:val="11"/>
        </w:rPr>
        <w:t>re</w:t>
      </w:r>
      <w:r>
        <w:rPr>
          <w:color w:val="231F20"/>
        </w:rPr>
        <w:t>. Dispositions communes.</w:t>
      </w:r>
    </w:p>
    <w:p>
      <w:pPr>
        <w:pStyle w:val="BodyText"/>
        <w:spacing w:line="218" w:lineRule="auto" w:before="78"/>
        <w:ind w:right="38"/>
      </w:pPr>
      <w:r>
        <w:rPr>
          <w:color w:val="231F20"/>
        </w:rPr>
        <w:t>Art. 5:120. § 1</w:t>
      </w:r>
      <w:r>
        <w:rPr>
          <w:color w:val="231F20"/>
          <w:position w:val="7"/>
          <w:sz w:val="11"/>
        </w:rPr>
        <w:t>er</w:t>
      </w:r>
      <w:r>
        <w:rPr>
          <w:color w:val="231F20"/>
        </w:rPr>
        <w:t>. L’émission d’actions nouvelles nécessite une modification des statuts, le cas échéant en appliquant l’article 5:102.</w:t>
      </w:r>
    </w:p>
    <w:p>
      <w:pPr>
        <w:pStyle w:val="BodyText"/>
        <w:spacing w:before="10"/>
        <w:ind w:left="0" w:right="0" w:firstLine="0"/>
        <w:jc w:val="left"/>
        <w:rPr>
          <w:sz w:val="23"/>
        </w:rPr>
      </w:pPr>
    </w:p>
    <w:p>
      <w:pPr>
        <w:pStyle w:val="BodyText"/>
        <w:spacing w:line="218" w:lineRule="auto"/>
        <w:ind w:right="38"/>
      </w:pPr>
      <w:r>
        <w:rPr>
          <w:color w:val="231F20"/>
        </w:rPr>
        <w:t>Les actions émises doivent être intégralement et, nonobstant toute disposition contraire, inconditionnellement souscrites.</w:t>
      </w:r>
    </w:p>
    <w:p>
      <w:pPr>
        <w:pStyle w:val="BodyText"/>
        <w:spacing w:line="218" w:lineRule="auto" w:before="107"/>
        <w:ind w:right="38"/>
      </w:pPr>
      <w:r>
        <w:rPr>
          <w:color w:val="231F20"/>
        </w:rPr>
        <w:t>§ 2. L’assemblée générale, statuant à la majorité simple, a le pouvoir d’accepter des apports supplémentaires sans émission d’actions nou- velles. Cette décision est constatée par acte authentique.</w:t>
      </w:r>
    </w:p>
    <w:p>
      <w:pPr>
        <w:pStyle w:val="BodyText"/>
        <w:spacing w:line="218" w:lineRule="auto" w:before="92"/>
        <w:ind w:right="38"/>
      </w:pPr>
      <w:r>
        <w:rPr>
          <w:color w:val="231F20"/>
        </w:rPr>
        <w:t>Art. 5:121. § 1</w:t>
      </w:r>
      <w:r>
        <w:rPr>
          <w:color w:val="231F20"/>
          <w:position w:val="7"/>
          <w:sz w:val="11"/>
        </w:rPr>
        <w:t>er</w:t>
      </w:r>
      <w:r>
        <w:rPr>
          <w:color w:val="231F20"/>
        </w:rPr>
        <w:t>. L’organe d’administration rédige un rapport qui justifie spécialement le prix d’émission et décrit les conséquences de l’opération sur les droits patrimoniaux et les droits sociaux des actionnaires.</w:t>
      </w:r>
    </w:p>
    <w:p>
      <w:pPr>
        <w:pStyle w:val="BodyText"/>
        <w:spacing w:line="218" w:lineRule="auto" w:before="107"/>
        <w:ind w:right="38"/>
      </w:pPr>
      <w:r>
        <w:rPr>
          <w:color w:val="231F20"/>
        </w:rPr>
        <w:t>Dans les sociétés où un commissaire a été désigné, ce dernier rédige un rapport dans lequel il évalue si les données financières et</w:t>
      </w:r>
      <w:r>
        <w:rPr>
          <w:color w:val="231F20"/>
          <w:spacing w:val="-27"/>
        </w:rPr>
        <w:t> </w:t>
      </w:r>
      <w:r>
        <w:rPr>
          <w:color w:val="231F20"/>
        </w:rPr>
        <w:t>comptables contenues dans le rapport de l’organe d’administration sont fidèles et </w:t>
      </w:r>
      <w:r>
        <w:rPr>
          <w:color w:val="231F20"/>
          <w:spacing w:val="-3"/>
        </w:rPr>
        <w:t>suffisantes </w:t>
      </w:r>
      <w:r>
        <w:rPr>
          <w:color w:val="231F20"/>
        </w:rPr>
        <w:t>dans tous leurs aspects significatifs pour éclairer l’assemblée générale</w:t>
      </w:r>
      <w:r>
        <w:rPr>
          <w:color w:val="231F20"/>
          <w:spacing w:val="15"/>
        </w:rPr>
        <w:t> </w:t>
      </w:r>
      <w:r>
        <w:rPr>
          <w:color w:val="231F20"/>
        </w:rPr>
        <w:t>appelée</w:t>
      </w:r>
      <w:r>
        <w:rPr>
          <w:color w:val="231F20"/>
          <w:spacing w:val="15"/>
        </w:rPr>
        <w:t> </w:t>
      </w:r>
      <w:r>
        <w:rPr>
          <w:color w:val="231F20"/>
        </w:rPr>
        <w:t>à</w:t>
      </w:r>
      <w:r>
        <w:rPr>
          <w:color w:val="231F20"/>
          <w:spacing w:val="15"/>
        </w:rPr>
        <w:t> </w:t>
      </w:r>
      <w:r>
        <w:rPr>
          <w:color w:val="231F20"/>
        </w:rPr>
        <w:t>voter</w:t>
      </w:r>
      <w:r>
        <w:rPr>
          <w:color w:val="231F20"/>
          <w:spacing w:val="16"/>
        </w:rPr>
        <w:t> </w:t>
      </w:r>
      <w:r>
        <w:rPr>
          <w:color w:val="231F20"/>
        </w:rPr>
        <w:t>sur</w:t>
      </w:r>
      <w:r>
        <w:rPr>
          <w:color w:val="231F20"/>
          <w:spacing w:val="15"/>
        </w:rPr>
        <w:t> </w:t>
      </w:r>
      <w:r>
        <w:rPr>
          <w:color w:val="231F20"/>
        </w:rPr>
        <w:t>cette</w:t>
      </w:r>
      <w:r>
        <w:rPr>
          <w:color w:val="231F20"/>
          <w:spacing w:val="15"/>
        </w:rPr>
        <w:t> </w:t>
      </w:r>
      <w:r>
        <w:rPr>
          <w:color w:val="231F20"/>
        </w:rPr>
        <w:t>proposition.</w:t>
      </w:r>
    </w:p>
    <w:p>
      <w:pPr>
        <w:pStyle w:val="BodyText"/>
        <w:spacing w:before="10"/>
        <w:ind w:left="0" w:right="0" w:firstLine="0"/>
        <w:jc w:val="left"/>
        <w:rPr>
          <w:sz w:val="24"/>
        </w:rPr>
      </w:pPr>
    </w:p>
    <w:p>
      <w:pPr>
        <w:pStyle w:val="BodyText"/>
        <w:spacing w:line="218" w:lineRule="auto"/>
        <w:ind w:right="38"/>
      </w:pPr>
      <w:r>
        <w:rPr>
          <w:color w:val="231F20"/>
        </w:rPr>
        <w:t>Ces</w:t>
      </w:r>
      <w:r>
        <w:rPr>
          <w:color w:val="231F20"/>
          <w:spacing w:val="-5"/>
        </w:rPr>
        <w:t> </w:t>
      </w:r>
      <w:r>
        <w:rPr>
          <w:color w:val="231F20"/>
        </w:rPr>
        <w:t>rapports</w:t>
      </w:r>
      <w:r>
        <w:rPr>
          <w:color w:val="231F20"/>
          <w:spacing w:val="-4"/>
        </w:rPr>
        <w:t> </w:t>
      </w:r>
      <w:r>
        <w:rPr>
          <w:color w:val="231F20"/>
        </w:rPr>
        <w:t>sont</w:t>
      </w:r>
      <w:r>
        <w:rPr>
          <w:color w:val="231F20"/>
          <w:spacing w:val="-5"/>
        </w:rPr>
        <w:t> </w:t>
      </w:r>
      <w:r>
        <w:rPr>
          <w:color w:val="231F20"/>
        </w:rPr>
        <w:t>déposés</w:t>
      </w:r>
      <w:r>
        <w:rPr>
          <w:color w:val="231F20"/>
          <w:spacing w:val="-4"/>
        </w:rPr>
        <w:t> </w:t>
      </w:r>
      <w:r>
        <w:rPr>
          <w:color w:val="231F20"/>
        </w:rPr>
        <w:t>et</w:t>
      </w:r>
      <w:r>
        <w:rPr>
          <w:color w:val="231F20"/>
          <w:spacing w:val="-5"/>
        </w:rPr>
        <w:t> </w:t>
      </w:r>
      <w:r>
        <w:rPr>
          <w:color w:val="231F20"/>
        </w:rPr>
        <w:t>publiés</w:t>
      </w:r>
      <w:r>
        <w:rPr>
          <w:color w:val="231F20"/>
          <w:spacing w:val="-4"/>
        </w:rPr>
        <w:t> </w:t>
      </w:r>
      <w:r>
        <w:rPr>
          <w:color w:val="231F20"/>
        </w:rPr>
        <w:t>conformément</w:t>
      </w:r>
      <w:r>
        <w:rPr>
          <w:color w:val="231F20"/>
          <w:spacing w:val="-4"/>
        </w:rPr>
        <w:t> </w:t>
      </w:r>
      <w:r>
        <w:rPr>
          <w:color w:val="231F20"/>
        </w:rPr>
        <w:t>aux</w:t>
      </w:r>
      <w:r>
        <w:rPr>
          <w:color w:val="231F20"/>
          <w:spacing w:val="-5"/>
        </w:rPr>
        <w:t> </w:t>
      </w:r>
      <w:r>
        <w:rPr>
          <w:color w:val="231F20"/>
        </w:rPr>
        <w:t>articles</w:t>
      </w:r>
      <w:r>
        <w:rPr>
          <w:color w:val="231F20"/>
          <w:spacing w:val="-4"/>
        </w:rPr>
        <w:t> </w:t>
      </w:r>
      <w:r>
        <w:rPr>
          <w:color w:val="231F20"/>
        </w:rPr>
        <w:t>2:8</w:t>
      </w:r>
      <w:r>
        <w:rPr>
          <w:color w:val="231F20"/>
          <w:spacing w:val="-5"/>
        </w:rPr>
        <w:t> </w:t>
      </w:r>
      <w:r>
        <w:rPr>
          <w:color w:val="231F20"/>
        </w:rPr>
        <w:t>et 2:14, 4°. Ils sont annoncés dans l’ordre du </w:t>
      </w:r>
      <w:r>
        <w:rPr>
          <w:color w:val="231F20"/>
          <w:spacing w:val="-3"/>
        </w:rPr>
        <w:t>jour. </w:t>
      </w:r>
      <w:r>
        <w:rPr>
          <w:color w:val="231F20"/>
        </w:rPr>
        <w:t>Une copie peut en être obtenue conformément à l’article</w:t>
      </w:r>
      <w:r>
        <w:rPr>
          <w:color w:val="231F20"/>
          <w:spacing w:val="15"/>
        </w:rPr>
        <w:t> </w:t>
      </w:r>
      <w:r>
        <w:rPr>
          <w:color w:val="231F20"/>
        </w:rPr>
        <w:t>5:84.</w:t>
      </w:r>
    </w:p>
    <w:p>
      <w:pPr>
        <w:pStyle w:val="BodyText"/>
        <w:spacing w:line="218" w:lineRule="auto" w:before="107"/>
        <w:ind w:right="38"/>
      </w:pPr>
      <w:r>
        <w:rPr>
          <w:color w:val="231F20"/>
        </w:rPr>
        <w:t>En l’absence de rapport de l’organe d’administration ou de rapport du commissaire contenant l’évaluation prévue par l’alinéa 2, la décision de l’assemblée générale est</w:t>
      </w:r>
      <w:r>
        <w:rPr>
          <w:color w:val="231F20"/>
          <w:spacing w:val="19"/>
        </w:rPr>
        <w:t> </w:t>
      </w:r>
      <w:r>
        <w:rPr>
          <w:color w:val="231F20"/>
        </w:rPr>
        <w:t>nulle.</w:t>
      </w:r>
    </w:p>
    <w:p>
      <w:pPr>
        <w:pStyle w:val="BodyText"/>
        <w:spacing w:line="213" w:lineRule="auto" w:before="110"/>
        <w:ind w:right="38"/>
      </w:pPr>
      <w:r>
        <w:rPr>
          <w:color w:val="231F20"/>
        </w:rPr>
        <w:t>§ 2. Si les actions ne sont pas émises à titre de rémunération d’un apport en nature, l’assemblée générale, à laquelle l’ensemble des actionnaires sont présents ou représentés, peut renoncer par une décision unanime aux rapports visés au paragraphe 1</w:t>
      </w:r>
      <w:r>
        <w:rPr>
          <w:color w:val="231F20"/>
          <w:position w:val="7"/>
          <w:sz w:val="11"/>
        </w:rPr>
        <w:t>er</w:t>
      </w:r>
      <w:r>
        <w:rPr>
          <w:color w:val="231F20"/>
        </w:rPr>
        <w:t>.</w:t>
      </w:r>
    </w:p>
    <w:p>
      <w:pPr>
        <w:pStyle w:val="BodyText"/>
        <w:spacing w:line="218" w:lineRule="auto" w:before="104"/>
        <w:ind w:right="38"/>
      </w:pPr>
      <w:r>
        <w:rPr>
          <w:color w:val="231F20"/>
        </w:rPr>
        <w:t>Art. 5:122. En cas d’émission d’obligations convertibles ou de droits de souscription, l’organe d’administration justifie l’opération proposée dans un rapport. Ce rapport justifie également le prix d’émission et décrit les conséquences de l’opération sur les droits patrimoniaux et les droits sociaux des actionnaires.</w:t>
      </w:r>
    </w:p>
    <w:p>
      <w:pPr>
        <w:pStyle w:val="BodyText"/>
        <w:spacing w:line="218" w:lineRule="auto" w:before="107"/>
        <w:ind w:right="38"/>
      </w:pPr>
      <w:r>
        <w:rPr>
          <w:color w:val="231F20"/>
        </w:rPr>
        <w:t>Dans les sociétés où un commissaire a été désigné, ce dernier rédige un rapport dans lequel il évalue si les données financières et</w:t>
      </w:r>
      <w:r>
        <w:rPr>
          <w:color w:val="231F20"/>
          <w:spacing w:val="-27"/>
        </w:rPr>
        <w:t> </w:t>
      </w:r>
      <w:r>
        <w:rPr>
          <w:color w:val="231F20"/>
        </w:rPr>
        <w:t>comptables contenues dans le rapport de l’organe d’administration sont fidèles et </w:t>
      </w:r>
      <w:r>
        <w:rPr>
          <w:color w:val="231F20"/>
          <w:spacing w:val="-3"/>
        </w:rPr>
        <w:t>suffisantes </w:t>
      </w:r>
      <w:r>
        <w:rPr>
          <w:color w:val="231F20"/>
        </w:rPr>
        <w:t>dans tous leurs aspects significatifs pour éclairer l’assemblée générale</w:t>
      </w:r>
      <w:r>
        <w:rPr>
          <w:color w:val="231F20"/>
          <w:spacing w:val="15"/>
        </w:rPr>
        <w:t> </w:t>
      </w:r>
      <w:r>
        <w:rPr>
          <w:color w:val="231F20"/>
        </w:rPr>
        <w:t>appelée</w:t>
      </w:r>
      <w:r>
        <w:rPr>
          <w:color w:val="231F20"/>
          <w:spacing w:val="15"/>
        </w:rPr>
        <w:t> </w:t>
      </w:r>
      <w:r>
        <w:rPr>
          <w:color w:val="231F20"/>
        </w:rPr>
        <w:t>à</w:t>
      </w:r>
      <w:r>
        <w:rPr>
          <w:color w:val="231F20"/>
          <w:spacing w:val="15"/>
        </w:rPr>
        <w:t> </w:t>
      </w:r>
      <w:r>
        <w:rPr>
          <w:color w:val="231F20"/>
        </w:rPr>
        <w:t>voter</w:t>
      </w:r>
      <w:r>
        <w:rPr>
          <w:color w:val="231F20"/>
          <w:spacing w:val="16"/>
        </w:rPr>
        <w:t> </w:t>
      </w:r>
      <w:r>
        <w:rPr>
          <w:color w:val="231F20"/>
        </w:rPr>
        <w:t>sur</w:t>
      </w:r>
      <w:r>
        <w:rPr>
          <w:color w:val="231F20"/>
          <w:spacing w:val="15"/>
        </w:rPr>
        <w:t> </w:t>
      </w:r>
      <w:r>
        <w:rPr>
          <w:color w:val="231F20"/>
        </w:rPr>
        <w:t>cette</w:t>
      </w:r>
      <w:r>
        <w:rPr>
          <w:color w:val="231F20"/>
          <w:spacing w:val="15"/>
        </w:rPr>
        <w:t> </w:t>
      </w:r>
      <w:r>
        <w:rPr>
          <w:color w:val="231F20"/>
        </w:rPr>
        <w:t>proposition.</w:t>
      </w:r>
    </w:p>
    <w:p>
      <w:pPr>
        <w:pStyle w:val="BodyText"/>
        <w:spacing w:before="10"/>
        <w:ind w:left="0" w:right="0" w:firstLine="0"/>
        <w:jc w:val="left"/>
        <w:rPr>
          <w:sz w:val="24"/>
        </w:rPr>
      </w:pPr>
    </w:p>
    <w:p>
      <w:pPr>
        <w:pStyle w:val="BodyText"/>
        <w:spacing w:line="218" w:lineRule="auto"/>
        <w:ind w:right="38"/>
      </w:pPr>
      <w:r>
        <w:rPr>
          <w:color w:val="231F20"/>
        </w:rPr>
        <w:t>Ces</w:t>
      </w:r>
      <w:r>
        <w:rPr>
          <w:color w:val="231F20"/>
          <w:spacing w:val="-5"/>
        </w:rPr>
        <w:t> </w:t>
      </w:r>
      <w:r>
        <w:rPr>
          <w:color w:val="231F20"/>
        </w:rPr>
        <w:t>rapports</w:t>
      </w:r>
      <w:r>
        <w:rPr>
          <w:color w:val="231F20"/>
          <w:spacing w:val="-4"/>
        </w:rPr>
        <w:t> </w:t>
      </w:r>
      <w:r>
        <w:rPr>
          <w:color w:val="231F20"/>
        </w:rPr>
        <w:t>sont</w:t>
      </w:r>
      <w:r>
        <w:rPr>
          <w:color w:val="231F20"/>
          <w:spacing w:val="-5"/>
        </w:rPr>
        <w:t> </w:t>
      </w:r>
      <w:r>
        <w:rPr>
          <w:color w:val="231F20"/>
        </w:rPr>
        <w:t>déposés</w:t>
      </w:r>
      <w:r>
        <w:rPr>
          <w:color w:val="231F20"/>
          <w:spacing w:val="-4"/>
        </w:rPr>
        <w:t> </w:t>
      </w:r>
      <w:r>
        <w:rPr>
          <w:color w:val="231F20"/>
        </w:rPr>
        <w:t>et</w:t>
      </w:r>
      <w:r>
        <w:rPr>
          <w:color w:val="231F20"/>
          <w:spacing w:val="-5"/>
        </w:rPr>
        <w:t> </w:t>
      </w:r>
      <w:r>
        <w:rPr>
          <w:color w:val="231F20"/>
        </w:rPr>
        <w:t>publiés</w:t>
      </w:r>
      <w:r>
        <w:rPr>
          <w:color w:val="231F20"/>
          <w:spacing w:val="-4"/>
        </w:rPr>
        <w:t> </w:t>
      </w:r>
      <w:r>
        <w:rPr>
          <w:color w:val="231F20"/>
        </w:rPr>
        <w:t>conformément</w:t>
      </w:r>
      <w:r>
        <w:rPr>
          <w:color w:val="231F20"/>
          <w:spacing w:val="-4"/>
        </w:rPr>
        <w:t> </w:t>
      </w:r>
      <w:r>
        <w:rPr>
          <w:color w:val="231F20"/>
        </w:rPr>
        <w:t>aux</w:t>
      </w:r>
      <w:r>
        <w:rPr>
          <w:color w:val="231F20"/>
          <w:spacing w:val="-5"/>
        </w:rPr>
        <w:t> </w:t>
      </w:r>
      <w:r>
        <w:rPr>
          <w:color w:val="231F20"/>
        </w:rPr>
        <w:t>articles</w:t>
      </w:r>
      <w:r>
        <w:rPr>
          <w:color w:val="231F20"/>
          <w:spacing w:val="-4"/>
        </w:rPr>
        <w:t> </w:t>
      </w:r>
      <w:r>
        <w:rPr>
          <w:color w:val="231F20"/>
        </w:rPr>
        <w:t>2:8</w:t>
      </w:r>
      <w:r>
        <w:rPr>
          <w:color w:val="231F20"/>
          <w:spacing w:val="-5"/>
        </w:rPr>
        <w:t> </w:t>
      </w:r>
      <w:r>
        <w:rPr>
          <w:color w:val="231F20"/>
        </w:rPr>
        <w:t>et 2:14, 4°. Ils sont annoncés dans l’ordre du </w:t>
      </w:r>
      <w:r>
        <w:rPr>
          <w:color w:val="231F20"/>
          <w:spacing w:val="-3"/>
        </w:rPr>
        <w:t>jour. </w:t>
      </w:r>
      <w:r>
        <w:rPr>
          <w:color w:val="231F20"/>
        </w:rPr>
        <w:t>Une copie peut en être obtenue conformément à l’article</w:t>
      </w:r>
      <w:r>
        <w:rPr>
          <w:color w:val="231F20"/>
          <w:spacing w:val="15"/>
        </w:rPr>
        <w:t> </w:t>
      </w:r>
      <w:r>
        <w:rPr>
          <w:color w:val="231F20"/>
        </w:rPr>
        <w:t>5:84.</w:t>
      </w:r>
    </w:p>
    <w:p>
      <w:pPr>
        <w:pStyle w:val="BodyText"/>
        <w:spacing w:line="218" w:lineRule="auto" w:before="107"/>
        <w:ind w:right="38"/>
      </w:pPr>
      <w:r>
        <w:rPr>
          <w:color w:val="231F20"/>
        </w:rPr>
        <w:t>En l’absence de rapport de l’organe d’administration ou de rapport du commissaire contenant la déclaration prévue par l’alinéa 2, la décision</w:t>
      </w:r>
      <w:r>
        <w:rPr>
          <w:color w:val="231F20"/>
          <w:spacing w:val="15"/>
        </w:rPr>
        <w:t> </w:t>
      </w:r>
      <w:r>
        <w:rPr>
          <w:color w:val="231F20"/>
        </w:rPr>
        <w:t>de</w:t>
      </w:r>
      <w:r>
        <w:rPr>
          <w:color w:val="231F20"/>
          <w:spacing w:val="15"/>
        </w:rPr>
        <w:t> </w:t>
      </w:r>
      <w:r>
        <w:rPr>
          <w:color w:val="231F20"/>
        </w:rPr>
        <w:t>l’assemblée</w:t>
      </w:r>
      <w:r>
        <w:rPr>
          <w:color w:val="231F20"/>
          <w:spacing w:val="16"/>
        </w:rPr>
        <w:t> </w:t>
      </w:r>
      <w:r>
        <w:rPr>
          <w:color w:val="231F20"/>
        </w:rPr>
        <w:t>générale</w:t>
      </w:r>
      <w:r>
        <w:rPr>
          <w:color w:val="231F20"/>
          <w:spacing w:val="15"/>
        </w:rPr>
        <w:t> </w:t>
      </w:r>
      <w:r>
        <w:rPr>
          <w:color w:val="231F20"/>
        </w:rPr>
        <w:t>est</w:t>
      </w:r>
      <w:r>
        <w:rPr>
          <w:color w:val="231F20"/>
          <w:spacing w:val="15"/>
        </w:rPr>
        <w:t> </w:t>
      </w:r>
      <w:r>
        <w:rPr>
          <w:color w:val="231F20"/>
        </w:rPr>
        <w:t>nulle.</w:t>
      </w:r>
    </w:p>
    <w:p>
      <w:pPr>
        <w:pStyle w:val="BodyText"/>
        <w:spacing w:line="218" w:lineRule="auto" w:before="107"/>
        <w:ind w:right="38"/>
      </w:pPr>
      <w:r>
        <w:rPr>
          <w:color w:val="231F20"/>
        </w:rPr>
        <w:t>Art. 5:123. Seules les personnes répondant aux conditions définies à l’article 5:63 pour pouvoir devenir actionnaire peuvent souscrire des actions nouvelles.</w:t>
      </w:r>
    </w:p>
    <w:p>
      <w:pPr>
        <w:pStyle w:val="BodyText"/>
        <w:spacing w:line="218" w:lineRule="auto" w:before="92"/>
        <w:ind w:right="38"/>
      </w:pPr>
      <w:r>
        <w:rPr>
          <w:color w:val="231F20"/>
        </w:rPr>
        <w:t>Art. 5:124. § 1</w:t>
      </w:r>
      <w:r>
        <w:rPr>
          <w:color w:val="231F20"/>
          <w:position w:val="7"/>
          <w:sz w:val="11"/>
        </w:rPr>
        <w:t>er</w:t>
      </w:r>
      <w:r>
        <w:rPr>
          <w:color w:val="231F20"/>
        </w:rPr>
        <w:t>. La société ne peut souscrire ses propres actions ou des certificats se rapportant à de telles actions émis à l’occasion de l’émission de telles actions, ni directement, ni par une société filiale, ni par une personne agissant en son nom propre mais pour le compte de la</w:t>
      </w:r>
      <w:r>
        <w:rPr>
          <w:color w:val="231F20"/>
          <w:spacing w:val="14"/>
        </w:rPr>
        <w:t> </w:t>
      </w:r>
      <w:r>
        <w:rPr>
          <w:color w:val="231F20"/>
        </w:rPr>
        <w:t>société</w:t>
      </w:r>
      <w:r>
        <w:rPr>
          <w:color w:val="231F20"/>
          <w:spacing w:val="15"/>
        </w:rPr>
        <w:t> </w:t>
      </w:r>
      <w:r>
        <w:rPr>
          <w:color w:val="231F20"/>
        </w:rPr>
        <w:t>ou</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filiale.</w:t>
      </w:r>
    </w:p>
    <w:p>
      <w:pPr>
        <w:pStyle w:val="BodyText"/>
        <w:spacing w:before="3"/>
        <w:ind w:left="0" w:right="0" w:firstLine="0"/>
        <w:jc w:val="left"/>
        <w:rPr>
          <w:sz w:val="25"/>
        </w:rPr>
      </w:pPr>
    </w:p>
    <w:p>
      <w:pPr>
        <w:pStyle w:val="BodyText"/>
        <w:spacing w:line="211" w:lineRule="auto"/>
        <w:ind w:right="38"/>
      </w:pPr>
      <w:r>
        <w:rPr>
          <w:color w:val="231F20"/>
        </w:rPr>
        <w:t>La personne qui a souscrit des actions ou des certificats visés à l’alinéa 1</w:t>
      </w:r>
      <w:r>
        <w:rPr>
          <w:color w:val="231F20"/>
          <w:position w:val="7"/>
          <w:sz w:val="11"/>
        </w:rPr>
        <w:t>er </w:t>
      </w:r>
      <w:r>
        <w:rPr>
          <w:color w:val="231F20"/>
        </w:rPr>
        <w:t>en son nom propre mais pour le compte de la société ou de  la</w:t>
      </w:r>
      <w:r>
        <w:rPr>
          <w:color w:val="231F20"/>
          <w:spacing w:val="14"/>
        </w:rPr>
        <w:t> </w:t>
      </w:r>
      <w:r>
        <w:rPr>
          <w:color w:val="231F20"/>
        </w:rPr>
        <w:t>société</w:t>
      </w:r>
      <w:r>
        <w:rPr>
          <w:color w:val="231F20"/>
          <w:spacing w:val="15"/>
        </w:rPr>
        <w:t> </w:t>
      </w:r>
      <w:r>
        <w:rPr>
          <w:color w:val="231F20"/>
        </w:rPr>
        <w:t>filiale</w:t>
      </w:r>
      <w:r>
        <w:rPr>
          <w:color w:val="231F20"/>
          <w:spacing w:val="15"/>
        </w:rPr>
        <w:t> </w:t>
      </w:r>
      <w:r>
        <w:rPr>
          <w:color w:val="231F20"/>
        </w:rPr>
        <w:t>est</w:t>
      </w:r>
      <w:r>
        <w:rPr>
          <w:color w:val="231F20"/>
          <w:spacing w:val="14"/>
        </w:rPr>
        <w:t> </w:t>
      </w:r>
      <w:r>
        <w:rPr>
          <w:color w:val="231F20"/>
        </w:rPr>
        <w:t>censée</w:t>
      </w:r>
      <w:r>
        <w:rPr>
          <w:color w:val="231F20"/>
          <w:spacing w:val="15"/>
        </w:rPr>
        <w:t> </w:t>
      </w:r>
      <w:r>
        <w:rPr>
          <w:color w:val="231F20"/>
        </w:rPr>
        <w:t>avoir</w:t>
      </w:r>
      <w:r>
        <w:rPr>
          <w:color w:val="231F20"/>
          <w:spacing w:val="15"/>
        </w:rPr>
        <w:t> </w:t>
      </w:r>
      <w:r>
        <w:rPr>
          <w:color w:val="231F20"/>
        </w:rPr>
        <w:t>souscrit</w:t>
      </w:r>
      <w:r>
        <w:rPr>
          <w:color w:val="231F20"/>
          <w:spacing w:val="14"/>
        </w:rPr>
        <w:t> </w:t>
      </w:r>
      <w:r>
        <w:rPr>
          <w:color w:val="231F20"/>
        </w:rPr>
        <w:t>pour</w:t>
      </w:r>
      <w:r>
        <w:rPr>
          <w:color w:val="231F20"/>
          <w:spacing w:val="15"/>
        </w:rPr>
        <w:t> </w:t>
      </w:r>
      <w:r>
        <w:rPr>
          <w:color w:val="231F20"/>
        </w:rPr>
        <w:t>son</w:t>
      </w:r>
      <w:r>
        <w:rPr>
          <w:color w:val="231F20"/>
          <w:spacing w:val="15"/>
        </w:rPr>
        <w:t> </w:t>
      </w:r>
      <w:r>
        <w:rPr>
          <w:color w:val="231F20"/>
        </w:rPr>
        <w:t>propre</w:t>
      </w:r>
      <w:r>
        <w:rPr>
          <w:color w:val="231F20"/>
          <w:spacing w:val="14"/>
        </w:rPr>
        <w:t> </w:t>
      </w:r>
      <w:r>
        <w:rPr>
          <w:color w:val="231F20"/>
        </w:rPr>
        <w:t>compte.</w:t>
      </w:r>
    </w:p>
    <w:p>
      <w:pPr>
        <w:pStyle w:val="BodyText"/>
        <w:spacing w:before="1"/>
        <w:ind w:left="0" w:right="0" w:firstLine="0"/>
        <w:jc w:val="left"/>
        <w:rPr>
          <w:sz w:val="25"/>
        </w:rPr>
      </w:pPr>
    </w:p>
    <w:p>
      <w:pPr>
        <w:pStyle w:val="BodyText"/>
        <w:spacing w:line="211" w:lineRule="auto"/>
        <w:ind w:right="38"/>
      </w:pPr>
      <w:r>
        <w:rPr>
          <w:color w:val="231F20"/>
          <w:spacing w:val="-4"/>
        </w:rPr>
        <w:t>Tous </w:t>
      </w:r>
      <w:r>
        <w:rPr>
          <w:color w:val="231F20"/>
        </w:rPr>
        <w:t>les droits afférents aux actions ou aux certificats  visés  à  l’alinéa 1</w:t>
      </w:r>
      <w:r>
        <w:rPr>
          <w:color w:val="231F20"/>
          <w:position w:val="7"/>
          <w:sz w:val="11"/>
        </w:rPr>
        <w:t>er </w:t>
      </w:r>
      <w:r>
        <w:rPr>
          <w:color w:val="231F20"/>
        </w:rPr>
        <w:t>souscrits par la société ou la filiale sont suspendus, tant que ces</w:t>
      </w:r>
      <w:r>
        <w:rPr>
          <w:color w:val="231F20"/>
          <w:spacing w:val="14"/>
        </w:rPr>
        <w:t> </w:t>
      </w:r>
      <w:r>
        <w:rPr>
          <w:color w:val="231F20"/>
        </w:rPr>
        <w:t>actions</w:t>
      </w:r>
      <w:r>
        <w:rPr>
          <w:color w:val="231F20"/>
          <w:spacing w:val="14"/>
        </w:rPr>
        <w:t> </w:t>
      </w:r>
      <w:r>
        <w:rPr>
          <w:color w:val="231F20"/>
        </w:rPr>
        <w:t>ou</w:t>
      </w:r>
      <w:r>
        <w:rPr>
          <w:color w:val="231F20"/>
          <w:spacing w:val="14"/>
        </w:rPr>
        <w:t> </w:t>
      </w:r>
      <w:r>
        <w:rPr>
          <w:color w:val="231F20"/>
        </w:rPr>
        <w:t>ces</w:t>
      </w:r>
      <w:r>
        <w:rPr>
          <w:color w:val="231F20"/>
          <w:spacing w:val="15"/>
        </w:rPr>
        <w:t> </w:t>
      </w:r>
      <w:r>
        <w:rPr>
          <w:color w:val="231F20"/>
        </w:rPr>
        <w:t>certificats</w:t>
      </w:r>
      <w:r>
        <w:rPr>
          <w:color w:val="231F20"/>
          <w:spacing w:val="14"/>
        </w:rPr>
        <w:t> </w:t>
      </w:r>
      <w:r>
        <w:rPr>
          <w:color w:val="231F20"/>
        </w:rPr>
        <w:t>n’ont</w:t>
      </w:r>
      <w:r>
        <w:rPr>
          <w:color w:val="231F20"/>
          <w:spacing w:val="14"/>
        </w:rPr>
        <w:t> </w:t>
      </w:r>
      <w:r>
        <w:rPr>
          <w:color w:val="231F20"/>
        </w:rPr>
        <w:t>pas</w:t>
      </w:r>
      <w:r>
        <w:rPr>
          <w:color w:val="231F20"/>
          <w:spacing w:val="15"/>
        </w:rPr>
        <w:t> </w:t>
      </w:r>
      <w:r>
        <w:rPr>
          <w:color w:val="231F20"/>
        </w:rPr>
        <w:t>été</w:t>
      </w:r>
      <w:r>
        <w:rPr>
          <w:color w:val="231F20"/>
          <w:spacing w:val="14"/>
        </w:rPr>
        <w:t> </w:t>
      </w:r>
      <w:r>
        <w:rPr>
          <w:color w:val="231F20"/>
        </w:rPr>
        <w:t>aliénés.</w:t>
      </w:r>
    </w:p>
    <w:p>
      <w:pPr>
        <w:pStyle w:val="BodyText"/>
        <w:spacing w:before="7"/>
        <w:ind w:left="0" w:right="0" w:firstLine="0"/>
        <w:jc w:val="left"/>
        <w:rPr>
          <w:sz w:val="23"/>
        </w:rPr>
      </w:pPr>
    </w:p>
    <w:p>
      <w:pPr>
        <w:pStyle w:val="BodyText"/>
        <w:spacing w:line="213" w:lineRule="auto" w:before="1"/>
        <w:ind w:right="38"/>
      </w:pPr>
      <w:r>
        <w:rPr>
          <w:color w:val="231F20"/>
        </w:rPr>
        <w:t>§ 2. Le paragraphe 1</w:t>
      </w:r>
      <w:r>
        <w:rPr>
          <w:color w:val="231F20"/>
          <w:position w:val="7"/>
          <w:sz w:val="11"/>
        </w:rPr>
        <w:t>er </w:t>
      </w:r>
      <w:r>
        <w:rPr>
          <w:color w:val="231F20"/>
        </w:rPr>
        <w:t>n’est pas applicable à la souscription d‘actions d’une société ou de certificats visés au paragraphe 1</w:t>
      </w:r>
      <w:r>
        <w:rPr>
          <w:color w:val="231F20"/>
          <w:position w:val="7"/>
          <w:sz w:val="11"/>
        </w:rPr>
        <w:t>er </w:t>
      </w:r>
      <w:r>
        <w:rPr>
          <w:color w:val="231F20"/>
        </w:rPr>
        <w:t>par une société filiale qui est, en sa qualité d’opérateur professionnel sur titres, une société de bourse ou un établissement de crédit.</w:t>
      </w:r>
    </w:p>
    <w:p>
      <w:pPr>
        <w:pStyle w:val="BodyText"/>
        <w:spacing w:before="105"/>
        <w:ind w:left="283" w:right="0" w:firstLine="0"/>
        <w:jc w:val="left"/>
      </w:pPr>
      <w:r>
        <w:rPr/>
        <w:br w:type="column"/>
      </w:r>
      <w:r>
        <w:rPr>
          <w:color w:val="231F20"/>
        </w:rPr>
        <w:t>Afdeling 6. Wijze van uitoefening van het stemrecht.</w:t>
      </w:r>
    </w:p>
    <w:p>
      <w:pPr>
        <w:pStyle w:val="BodyText"/>
        <w:spacing w:line="218" w:lineRule="auto" w:before="93"/>
      </w:pPr>
      <w:r>
        <w:rPr>
          <w:color w:val="231F20"/>
        </w:rPr>
        <w:t>Art. 5:119. Alle obligatiehouders kunnen in persoon of bij volmacht stemmen.</w:t>
      </w:r>
    </w:p>
    <w:p>
      <w:pPr>
        <w:pStyle w:val="BodyText"/>
        <w:spacing w:before="82"/>
        <w:ind w:left="283" w:right="0" w:firstLine="0"/>
        <w:jc w:val="left"/>
      </w:pPr>
      <w:r>
        <w:rPr>
          <w:color w:val="231F20"/>
        </w:rPr>
        <w:t>TITEL 5. Het vermogen van de vennootschap.</w:t>
      </w:r>
    </w:p>
    <w:p>
      <w:pPr>
        <w:pStyle w:val="BodyText"/>
        <w:spacing w:line="218" w:lineRule="auto" w:before="93"/>
      </w:pPr>
      <w:r>
        <w:rPr>
          <w:color w:val="231F20"/>
        </w:rPr>
        <w:t>HOOFDSTUK 1. Bijkomende inbrengen en de uitgifte van nieuwe aandelen.</w:t>
      </w:r>
    </w:p>
    <w:p>
      <w:pPr>
        <w:pStyle w:val="BodyText"/>
        <w:spacing w:before="82"/>
        <w:ind w:left="283" w:right="0" w:firstLine="0"/>
        <w:jc w:val="left"/>
      </w:pPr>
      <w:r>
        <w:rPr>
          <w:color w:val="231F20"/>
          <w:w w:val="105"/>
        </w:rPr>
        <w:t>Afdeling 1. Gemeenschappelijke bepalingen.</w:t>
      </w:r>
    </w:p>
    <w:p>
      <w:pPr>
        <w:pStyle w:val="BodyText"/>
        <w:spacing w:line="218" w:lineRule="auto" w:before="93"/>
      </w:pPr>
      <w:r>
        <w:rPr>
          <w:color w:val="231F20"/>
        </w:rPr>
        <w:t>Art. 5:120. § 1. De uitgifte van nieuwe aandelen vereist een statutenwijziging,  in  voorkomend  geval  met  toepassing  van   arti- kel</w:t>
      </w:r>
      <w:r>
        <w:rPr>
          <w:color w:val="231F20"/>
          <w:spacing w:val="14"/>
        </w:rPr>
        <w:t> </w:t>
      </w:r>
      <w:r>
        <w:rPr>
          <w:color w:val="231F20"/>
        </w:rPr>
        <w:t>5:102.</w:t>
      </w:r>
    </w:p>
    <w:p>
      <w:pPr>
        <w:pStyle w:val="BodyText"/>
        <w:spacing w:line="218" w:lineRule="auto" w:before="96"/>
        <w:ind w:right="121"/>
      </w:pPr>
      <w:r>
        <w:rPr>
          <w:color w:val="231F20"/>
        </w:rPr>
        <w:t>De</w:t>
      </w:r>
      <w:r>
        <w:rPr>
          <w:color w:val="231F20"/>
          <w:spacing w:val="-7"/>
        </w:rPr>
        <w:t> </w:t>
      </w:r>
      <w:r>
        <w:rPr>
          <w:color w:val="231F20"/>
        </w:rPr>
        <w:t>uitgegeven</w:t>
      </w:r>
      <w:r>
        <w:rPr>
          <w:color w:val="231F20"/>
          <w:spacing w:val="-7"/>
        </w:rPr>
        <w:t> </w:t>
      </w:r>
      <w:r>
        <w:rPr>
          <w:color w:val="231F20"/>
        </w:rPr>
        <w:t>aandelen</w:t>
      </w:r>
      <w:r>
        <w:rPr>
          <w:color w:val="231F20"/>
          <w:spacing w:val="-6"/>
        </w:rPr>
        <w:t> </w:t>
      </w:r>
      <w:r>
        <w:rPr>
          <w:color w:val="231F20"/>
        </w:rPr>
        <w:t>moeten</w:t>
      </w:r>
      <w:r>
        <w:rPr>
          <w:color w:val="231F20"/>
          <w:spacing w:val="-7"/>
        </w:rPr>
        <w:t> </w:t>
      </w:r>
      <w:r>
        <w:rPr>
          <w:color w:val="231F20"/>
        </w:rPr>
        <w:t>volledig</w:t>
      </w:r>
      <w:r>
        <w:rPr>
          <w:color w:val="231F20"/>
          <w:spacing w:val="-6"/>
        </w:rPr>
        <w:t> </w:t>
      </w:r>
      <w:r>
        <w:rPr>
          <w:color w:val="231F20"/>
        </w:rPr>
        <w:t>en,</w:t>
      </w:r>
      <w:r>
        <w:rPr>
          <w:color w:val="231F20"/>
          <w:spacing w:val="-7"/>
        </w:rPr>
        <w:t> </w:t>
      </w:r>
      <w:r>
        <w:rPr>
          <w:color w:val="231F20"/>
        </w:rPr>
        <w:t>niettegenstaande</w:t>
      </w:r>
      <w:r>
        <w:rPr>
          <w:color w:val="231F20"/>
          <w:spacing w:val="-6"/>
        </w:rPr>
        <w:t> </w:t>
      </w:r>
      <w:r>
        <w:rPr>
          <w:color w:val="231F20"/>
        </w:rPr>
        <w:t>anders- luidende bepaling, onvoorwaardelijk zijn</w:t>
      </w:r>
      <w:r>
        <w:rPr>
          <w:color w:val="231F20"/>
          <w:spacing w:val="25"/>
        </w:rPr>
        <w:t> </w:t>
      </w:r>
      <w:r>
        <w:rPr>
          <w:color w:val="231F20"/>
        </w:rPr>
        <w:t>geplaatst.</w:t>
      </w:r>
    </w:p>
    <w:p>
      <w:pPr>
        <w:pStyle w:val="BodyText"/>
        <w:spacing w:line="218" w:lineRule="auto" w:before="107"/>
      </w:pPr>
      <w:r>
        <w:rPr>
          <w:color w:val="231F20"/>
        </w:rPr>
        <w:t>§ 2. De algemene vergadering is bevoegd om bijkomende inbrengen zonder uitgifte van nieuwe aandelen te aanvaarden met gewone meerderheid. Dit besluit wordt in een authentieke akte vastgesteld.</w:t>
      </w:r>
    </w:p>
    <w:p>
      <w:pPr>
        <w:pStyle w:val="BodyText"/>
        <w:spacing w:line="218" w:lineRule="auto" w:before="106"/>
      </w:pPr>
      <w:r>
        <w:rPr>
          <w:color w:val="231F20"/>
        </w:rPr>
        <w:t>Art. 5:121. § 1. Het bestuursorgaan stelt een verslag op dat inzonderheid de uitgifteprijs verantwoordt en de gevolgen van de verrichting voor de vermogens- en lidmaatschapsrechten van de aandeelhouders beschrijft.</w:t>
      </w:r>
    </w:p>
    <w:p>
      <w:pPr>
        <w:pStyle w:val="BodyText"/>
        <w:spacing w:line="218" w:lineRule="auto" w:before="107"/>
      </w:pPr>
      <w:r>
        <w:rPr>
          <w:color w:val="231F20"/>
        </w:rPr>
        <w:t>In de vennootschappen waar een commissaris werd aangesteld, stelt hij een verslag op waarin hij beoordeelt of de in het verslag van het bestuursorgaan opgenomen financiële en boekhoudkundige gegevens in alle van materieel belang zijnde opzichten getrouw en voldoende zijn om de algemene vergadering die over het voorstel moet stemmen, voor te</w:t>
      </w:r>
      <w:r>
        <w:rPr>
          <w:color w:val="231F20"/>
          <w:spacing w:val="14"/>
        </w:rPr>
        <w:t> </w:t>
      </w:r>
      <w:r>
        <w:rPr>
          <w:color w:val="231F20"/>
        </w:rPr>
        <w:t>lichten.</w:t>
      </w:r>
    </w:p>
    <w:p>
      <w:pPr>
        <w:pStyle w:val="BodyText"/>
        <w:spacing w:line="218" w:lineRule="auto" w:before="107"/>
      </w:pPr>
      <w:r>
        <w:rPr>
          <w:color w:val="231F20"/>
        </w:rPr>
        <w:t>Die verslagen worden neergelegd en bekendgemaakt overeenkom- stig de artikelen 2:8 en 2:14, 4°. Zij worden in de agenda vermeld. Een kopie ervan kan worden verkregen overeenkomstig artikel 5:84.</w:t>
      </w:r>
    </w:p>
    <w:p>
      <w:pPr>
        <w:pStyle w:val="BodyText"/>
        <w:spacing w:line="218" w:lineRule="auto" w:before="107"/>
      </w:pPr>
      <w:r>
        <w:rPr>
          <w:color w:val="231F20"/>
        </w:rPr>
        <w:t>Wanneer het verslag van het bestuursorgaan of het verslag van de commissaris dat de in het tweede lid bedoelde beoordeling bevat ontbreekt, is het besluit van de algemene vergadering nietig.</w:t>
      </w:r>
    </w:p>
    <w:p>
      <w:pPr>
        <w:pStyle w:val="BodyText"/>
        <w:spacing w:line="218" w:lineRule="auto" w:before="107"/>
      </w:pPr>
      <w:r>
        <w:rPr>
          <w:color w:val="231F20"/>
          <w:w w:val="105"/>
        </w:rPr>
        <w:t>§ 2. Indien de aandelen niet worden uitgegeven tot vergoeding</w:t>
      </w:r>
      <w:r>
        <w:rPr>
          <w:color w:val="231F20"/>
          <w:spacing w:val="-23"/>
          <w:w w:val="105"/>
        </w:rPr>
        <w:t> </w:t>
      </w:r>
      <w:r>
        <w:rPr>
          <w:color w:val="231F20"/>
          <w:w w:val="105"/>
        </w:rPr>
        <w:t>van een inbreng in natura, kan de algemene vergadering, waarop alle aandeelhouders</w:t>
      </w:r>
      <w:r>
        <w:rPr>
          <w:color w:val="231F20"/>
          <w:spacing w:val="-23"/>
          <w:w w:val="105"/>
        </w:rPr>
        <w:t> </w:t>
      </w:r>
      <w:r>
        <w:rPr>
          <w:color w:val="231F20"/>
          <w:w w:val="105"/>
        </w:rPr>
        <w:t>aanwezig</w:t>
      </w:r>
      <w:r>
        <w:rPr>
          <w:color w:val="231F20"/>
          <w:spacing w:val="-22"/>
          <w:w w:val="105"/>
        </w:rPr>
        <w:t> </w:t>
      </w:r>
      <w:r>
        <w:rPr>
          <w:color w:val="231F20"/>
          <w:w w:val="105"/>
        </w:rPr>
        <w:t>of</w:t>
      </w:r>
      <w:r>
        <w:rPr>
          <w:color w:val="231F20"/>
          <w:spacing w:val="-22"/>
          <w:w w:val="105"/>
        </w:rPr>
        <w:t> </w:t>
      </w:r>
      <w:r>
        <w:rPr>
          <w:color w:val="231F20"/>
          <w:w w:val="105"/>
        </w:rPr>
        <w:t>vertegenwoordigd</w:t>
      </w:r>
      <w:r>
        <w:rPr>
          <w:color w:val="231F20"/>
          <w:spacing w:val="-22"/>
          <w:w w:val="105"/>
        </w:rPr>
        <w:t> </w:t>
      </w:r>
      <w:r>
        <w:rPr>
          <w:color w:val="231F20"/>
          <w:w w:val="105"/>
        </w:rPr>
        <w:t>zijn,</w:t>
      </w:r>
      <w:r>
        <w:rPr>
          <w:color w:val="231F20"/>
          <w:spacing w:val="-23"/>
          <w:w w:val="105"/>
        </w:rPr>
        <w:t> </w:t>
      </w:r>
      <w:r>
        <w:rPr>
          <w:color w:val="231F20"/>
          <w:w w:val="105"/>
        </w:rPr>
        <w:t>door</w:t>
      </w:r>
      <w:r>
        <w:rPr>
          <w:color w:val="231F20"/>
          <w:spacing w:val="-22"/>
          <w:w w:val="105"/>
        </w:rPr>
        <w:t> </w:t>
      </w:r>
      <w:r>
        <w:rPr>
          <w:color w:val="231F20"/>
          <w:w w:val="105"/>
        </w:rPr>
        <w:t>een</w:t>
      </w:r>
      <w:r>
        <w:rPr>
          <w:color w:val="231F20"/>
          <w:spacing w:val="-22"/>
          <w:w w:val="105"/>
        </w:rPr>
        <w:t> </w:t>
      </w:r>
      <w:r>
        <w:rPr>
          <w:color w:val="231F20"/>
          <w:w w:val="105"/>
        </w:rPr>
        <w:t>eenparig besluit van de in paragraaf 1 bedoelde verslagen afstand</w:t>
      </w:r>
      <w:r>
        <w:rPr>
          <w:color w:val="231F20"/>
          <w:spacing w:val="3"/>
          <w:w w:val="105"/>
        </w:rPr>
        <w:t> </w:t>
      </w:r>
      <w:r>
        <w:rPr>
          <w:color w:val="231F20"/>
          <w:w w:val="105"/>
        </w:rPr>
        <w:t>doen.</w:t>
      </w:r>
    </w:p>
    <w:p>
      <w:pPr>
        <w:pStyle w:val="BodyText"/>
        <w:spacing w:line="218" w:lineRule="auto" w:before="107"/>
      </w:pPr>
      <w:r>
        <w:rPr>
          <w:color w:val="231F20"/>
        </w:rPr>
        <w:t>Art. 5:122. In geval van uitgifte van converteerbare obligaties of van inschrijvingsrechten verantwoordt het bestuursorgaan de voorgestelde verrichting in een verslag. Dat verslag verantwoordt ook de uitgifte- prijs en beschrijft de gevolgen van de verrichting voor de vermogens- en lidmaatschapsrechten van de</w:t>
      </w:r>
      <w:r>
        <w:rPr>
          <w:color w:val="231F20"/>
          <w:spacing w:val="21"/>
        </w:rPr>
        <w:t> </w:t>
      </w:r>
      <w:r>
        <w:rPr>
          <w:color w:val="231F20"/>
        </w:rPr>
        <w:t>aandeelhouders.</w:t>
      </w:r>
    </w:p>
    <w:p>
      <w:pPr>
        <w:pStyle w:val="BodyText"/>
        <w:spacing w:line="218" w:lineRule="auto" w:before="107"/>
      </w:pPr>
      <w:r>
        <w:rPr>
          <w:color w:val="231F20"/>
        </w:rPr>
        <w:t>In de vennootschappen waar een commissaris werd aangesteld, stelt hij een verslag op waarin hij beoordeelt of de in het verslag van het bestuursorgaan opgenomen financiële en boekhoudkundige gegevens in alle van materieel belang zijnde opzichten getrouw en voldoende zijn om de algemene vergadering die over het voorstel moet stemmen, voor te</w:t>
      </w:r>
      <w:r>
        <w:rPr>
          <w:color w:val="231F20"/>
          <w:spacing w:val="14"/>
        </w:rPr>
        <w:t> </w:t>
      </w:r>
      <w:r>
        <w:rPr>
          <w:color w:val="231F20"/>
        </w:rPr>
        <w:t>lichten.</w:t>
      </w:r>
    </w:p>
    <w:p>
      <w:pPr>
        <w:pStyle w:val="BodyText"/>
        <w:spacing w:line="218" w:lineRule="auto" w:before="107"/>
      </w:pPr>
      <w:r>
        <w:rPr>
          <w:color w:val="231F20"/>
        </w:rPr>
        <w:t>Die verslagen worden neergelegd en bekendgemaakt overeenkom- stig de artikelen 2:8 en 2:14, 4°. Zij worden in de agenda vermeld. Een kopie ervan kan worden verkregen overeenkomstig artikel 5:84.</w:t>
      </w:r>
    </w:p>
    <w:p>
      <w:pPr>
        <w:pStyle w:val="BodyText"/>
        <w:spacing w:line="218" w:lineRule="auto" w:before="107"/>
      </w:pPr>
      <w:r>
        <w:rPr>
          <w:color w:val="231F20"/>
        </w:rPr>
        <w:t>Wanneer het verslag van het bestuursorgaan of het verslag van de commissaris dat de in het tweede lid bedoelde verklaring bevat ontbreekt, is het besluit van de algemene vergadering nietig.</w:t>
      </w:r>
    </w:p>
    <w:p>
      <w:pPr>
        <w:pStyle w:val="BodyText"/>
        <w:spacing w:line="218" w:lineRule="auto" w:before="107"/>
      </w:pPr>
      <w:r>
        <w:rPr>
          <w:color w:val="231F20"/>
        </w:rPr>
        <w:t>Art. 5:123. Op nieuwe aandelen kan slechts worden ingeschreven door de personen die aan de in artikel 5:63 bepaalde voorwaarden voldoen om aandeelhouder te kunnen worden.</w:t>
      </w:r>
    </w:p>
    <w:p>
      <w:pPr>
        <w:pStyle w:val="BodyText"/>
        <w:spacing w:line="218" w:lineRule="auto" w:before="107"/>
      </w:pPr>
      <w:r>
        <w:rPr>
          <w:color w:val="231F20"/>
        </w:rPr>
        <w:t>Art. 5:124. § 1. De vennootschap mag niet inschrijven op haar eigen aandelen of op certificaten die betrekking hebben op die aandelen en worden uitgegeven op het tijdstip van uitgifte van die aandelen, noch rechtstreeks, noch door een dochtervennootschap, noch door een persoon die handelt in eigen naam maar voor rekening van de vennootschap of de dochtervennootschap.</w:t>
      </w:r>
    </w:p>
    <w:p>
      <w:pPr>
        <w:pStyle w:val="BodyText"/>
        <w:spacing w:line="218" w:lineRule="auto" w:before="107"/>
      </w:pPr>
      <w:r>
        <w:rPr>
          <w:color w:val="231F20"/>
        </w:rPr>
        <w:t>De persoon die in eigen naam maar voor rekening van de vennoot- schap of van de dochtervennootschap op aandelen of op certificaten bedoeld in het eerste lid heeft ingeschreven, wordt geacht voor eigen rekening te hebben gehandeld.</w:t>
      </w:r>
    </w:p>
    <w:p>
      <w:pPr>
        <w:pStyle w:val="BodyText"/>
        <w:spacing w:line="218" w:lineRule="auto" w:before="107"/>
      </w:pPr>
      <w:r>
        <w:rPr>
          <w:color w:val="231F20"/>
        </w:rPr>
        <w:t>Alle rechten verbonden aan aandelen of aan certificaten bedoeld in het eerste lid waarop de vennootschap of de dochtervennootschap heeft ingeschreven, blijven geschorst zolang die aandelen of die certificaten niet zijn vervreemd.</w:t>
      </w:r>
    </w:p>
    <w:p>
      <w:pPr>
        <w:pStyle w:val="BodyText"/>
        <w:spacing w:line="218" w:lineRule="auto" w:before="107"/>
      </w:pPr>
      <w:r>
        <w:rPr>
          <w:color w:val="231F20"/>
        </w:rPr>
        <w:t>§ 2. Paragraaf 1 is niet van toepassing op de inschrijving op aandelen van een vennootschap of op certificaten bedoeld in paragraaf 1 door  een dochtervennootschap die in haar hoedanigheid van professionele effectenhandelaar,</w:t>
      </w:r>
      <w:r>
        <w:rPr>
          <w:color w:val="231F20"/>
          <w:spacing w:val="12"/>
        </w:rPr>
        <w:t> </w:t>
      </w:r>
      <w:r>
        <w:rPr>
          <w:color w:val="231F20"/>
        </w:rPr>
        <w:t>een</w:t>
      </w:r>
      <w:r>
        <w:rPr>
          <w:color w:val="231F20"/>
          <w:spacing w:val="12"/>
        </w:rPr>
        <w:t> </w:t>
      </w:r>
      <w:r>
        <w:rPr>
          <w:color w:val="231F20"/>
        </w:rPr>
        <w:t>beursvennootschap</w:t>
      </w:r>
      <w:r>
        <w:rPr>
          <w:color w:val="231F20"/>
          <w:spacing w:val="13"/>
        </w:rPr>
        <w:t> </w:t>
      </w:r>
      <w:r>
        <w:rPr>
          <w:color w:val="231F20"/>
        </w:rPr>
        <w:t>of</w:t>
      </w:r>
      <w:r>
        <w:rPr>
          <w:color w:val="231F20"/>
          <w:spacing w:val="12"/>
        </w:rPr>
        <w:t> </w:t>
      </w:r>
      <w:r>
        <w:rPr>
          <w:color w:val="231F20"/>
        </w:rPr>
        <w:t>een</w:t>
      </w:r>
      <w:r>
        <w:rPr>
          <w:color w:val="231F20"/>
          <w:spacing w:val="13"/>
        </w:rPr>
        <w:t> </w:t>
      </w:r>
      <w:r>
        <w:rPr>
          <w:color w:val="231F20"/>
        </w:rPr>
        <w:t>kredietinstelling</w:t>
      </w:r>
      <w:r>
        <w:rPr>
          <w:color w:val="231F20"/>
          <w:spacing w:val="12"/>
        </w:rPr>
        <w:t> </w:t>
      </w:r>
      <w:r>
        <w:rPr>
          <w:color w:val="231F20"/>
        </w:rPr>
        <w:t>is.</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3688" from="298.170502pt,64.473pt" to="298.170502pt,812.819pt" stroked="true" strokeweight=".533pt" strokecolor="#231f20">
            <v:stroke dashstyle="solid"/>
            <w10:wrap type="none"/>
          </v:line>
        </w:pict>
      </w:r>
      <w:bookmarkStart w:name="_bookmark111" w:id="116"/>
      <w:bookmarkEnd w:id="116"/>
      <w:r>
        <w:rPr/>
      </w:r>
      <w:r>
        <w:rPr>
          <w:color w:val="231F20"/>
        </w:rPr>
        <w:t>Art. 5:125. Sauf disposition contraire des statuts ou des conditions d’émission, les actions doivent être libérées à leur émission.</w:t>
      </w:r>
    </w:p>
    <w:p>
      <w:pPr>
        <w:pStyle w:val="BodyText"/>
        <w:spacing w:line="218" w:lineRule="auto" w:before="85"/>
        <w:ind w:right="38"/>
      </w:pPr>
      <w:r>
        <w:rPr>
          <w:color w:val="231F20"/>
        </w:rPr>
        <w:t>Art. 5:126. Lorsque la souscription d’actions nouvelles n’est pas concomitante à la décision de leur émission, la souscription est constatée par un acte authentique dressé à la requête de l’organe d’administration ou d’un ou de plusieurs administrateurs ou manda- taires spécialement délégués à cet effet, sur présentation des</w:t>
      </w:r>
      <w:r>
        <w:rPr>
          <w:color w:val="231F20"/>
          <w:spacing w:val="-22"/>
        </w:rPr>
        <w:t> </w:t>
      </w:r>
      <w:r>
        <w:rPr>
          <w:color w:val="231F20"/>
        </w:rPr>
        <w:t>documents justificatifs de l’opération. </w:t>
      </w:r>
      <w:r>
        <w:rPr>
          <w:color w:val="231F20"/>
          <w:spacing w:val="-3"/>
        </w:rPr>
        <w:t>L’acte </w:t>
      </w:r>
      <w:r>
        <w:rPr>
          <w:color w:val="231F20"/>
        </w:rPr>
        <w:t>fait l’objet d’un dépôt et d’une publication</w:t>
      </w:r>
      <w:r>
        <w:rPr>
          <w:color w:val="231F20"/>
          <w:spacing w:val="12"/>
        </w:rPr>
        <w:t> </w:t>
      </w:r>
      <w:r>
        <w:rPr>
          <w:color w:val="231F20"/>
        </w:rPr>
        <w:t>conformément</w:t>
      </w:r>
      <w:r>
        <w:rPr>
          <w:color w:val="231F20"/>
          <w:spacing w:val="12"/>
        </w:rPr>
        <w:t> </w:t>
      </w:r>
      <w:r>
        <w:rPr>
          <w:color w:val="231F20"/>
        </w:rPr>
        <w:t>aux</w:t>
      </w:r>
      <w:r>
        <w:rPr>
          <w:color w:val="231F20"/>
          <w:spacing w:val="13"/>
        </w:rPr>
        <w:t> </w:t>
      </w:r>
      <w:r>
        <w:rPr>
          <w:color w:val="231F20"/>
        </w:rPr>
        <w:t>articles</w:t>
      </w:r>
      <w:r>
        <w:rPr>
          <w:color w:val="231F20"/>
          <w:spacing w:val="12"/>
        </w:rPr>
        <w:t> </w:t>
      </w:r>
      <w:r>
        <w:rPr>
          <w:color w:val="231F20"/>
        </w:rPr>
        <w:t>2:8</w:t>
      </w:r>
      <w:r>
        <w:rPr>
          <w:color w:val="231F20"/>
          <w:spacing w:val="12"/>
        </w:rPr>
        <w:t> </w:t>
      </w:r>
      <w:r>
        <w:rPr>
          <w:color w:val="231F20"/>
        </w:rPr>
        <w:t>et</w:t>
      </w:r>
      <w:r>
        <w:rPr>
          <w:color w:val="231F20"/>
          <w:spacing w:val="13"/>
        </w:rPr>
        <w:t> </w:t>
      </w:r>
      <w:r>
        <w:rPr>
          <w:color w:val="231F20"/>
        </w:rPr>
        <w:t>2:14,</w:t>
      </w:r>
      <w:r>
        <w:rPr>
          <w:color w:val="231F20"/>
          <w:spacing w:val="12"/>
        </w:rPr>
        <w:t> </w:t>
      </w:r>
      <w:r>
        <w:rPr>
          <w:color w:val="231F20"/>
        </w:rPr>
        <w:t>4°.</w:t>
      </w:r>
    </w:p>
    <w:p>
      <w:pPr>
        <w:pStyle w:val="BodyText"/>
        <w:spacing w:line="218" w:lineRule="auto" w:before="86"/>
        <w:ind w:right="38"/>
      </w:pPr>
      <w:r>
        <w:rPr>
          <w:color w:val="231F20"/>
        </w:rPr>
        <w:t>Cet acte mentionne également le respect des conditions légales relatives à la souscription et à la libération des actions.</w:t>
      </w:r>
    </w:p>
    <w:p>
      <w:pPr>
        <w:pStyle w:val="BodyText"/>
        <w:spacing w:line="218" w:lineRule="auto" w:before="86"/>
        <w:ind w:right="38"/>
      </w:pPr>
      <w:r>
        <w:rPr>
          <w:color w:val="231F20"/>
        </w:rPr>
        <w:t>Art. 5:127. Lorsque des actions nouvelles sont émises à la suite d’une conversion d’obligations convertibles en actions, d’une substitution d’obligations par des actions conformément à l’article 5:108, 3°, ou d’une souscription d’actions en cas d’exercice d’un droit de souscrip- tion, la conversion, la substitution ou la souscription, les apports qui en découlent et le nombre de nouvelles actions émises sont constatés par un acte authentique. Cet acte est établi à la demande de l’organe d’administration moyennant la production d’une liste des conversions ou substitutions demandées ou des droits de souscription exercés. Ce constat a pour effet de modifier les dispositions statutaires relatives au nombre d’actions émises; il confère la qualité d’actionnaire à l’obliga- taire qui a demandé la conversion de ses titres, à l’obligataire dont les obligations ont été substituées par des actions et au titulaire d’un droit de souscription qui a exercé son droit.</w:t>
      </w:r>
    </w:p>
    <w:p>
      <w:pPr>
        <w:pStyle w:val="BodyText"/>
        <w:ind w:left="0" w:right="0" w:firstLine="0"/>
        <w:jc w:val="left"/>
        <w:rPr>
          <w:sz w:val="20"/>
        </w:rPr>
      </w:pPr>
    </w:p>
    <w:p>
      <w:pPr>
        <w:pStyle w:val="BodyText"/>
        <w:spacing w:before="3"/>
        <w:ind w:left="0" w:right="0" w:firstLine="0"/>
        <w:jc w:val="left"/>
      </w:pPr>
    </w:p>
    <w:p>
      <w:pPr>
        <w:pStyle w:val="BodyText"/>
        <w:spacing w:line="304" w:lineRule="auto"/>
        <w:ind w:left="283" w:right="2417" w:firstLine="0"/>
        <w:jc w:val="left"/>
      </w:pPr>
      <w:r>
        <w:rPr>
          <w:color w:val="231F20"/>
        </w:rPr>
        <w:t>Section 2. Apports en numéraire. Sous-section 1</w:t>
      </w:r>
      <w:r>
        <w:rPr>
          <w:color w:val="231F20"/>
          <w:position w:val="7"/>
          <w:sz w:val="11"/>
        </w:rPr>
        <w:t>re</w:t>
      </w:r>
      <w:r>
        <w:rPr>
          <w:color w:val="231F20"/>
        </w:rPr>
        <w:t>. Droit de préférence.</w:t>
      </w:r>
    </w:p>
    <w:p>
      <w:pPr>
        <w:pStyle w:val="BodyText"/>
        <w:spacing w:line="218" w:lineRule="auto" w:before="31"/>
        <w:ind w:right="38"/>
      </w:pPr>
      <w:r>
        <w:rPr>
          <w:color w:val="231F20"/>
        </w:rPr>
        <w:t>Art. 5:128. Les actions à souscrire en numéraire, les obligations convertibles et les droits de souscription doivent être offerts par préférence aux actionnaires existants, proportionnellement au nombre d’actions qu’ils détiennent.</w:t>
      </w:r>
    </w:p>
    <w:p>
      <w:pPr>
        <w:pStyle w:val="BodyText"/>
        <w:spacing w:line="218" w:lineRule="auto" w:before="96"/>
        <w:ind w:right="38"/>
      </w:pPr>
      <w:r>
        <w:rPr>
          <w:color w:val="231F20"/>
        </w:rPr>
        <w:t>Lorsqu’il y a plusieurs classes d’actions, le droit de préférence ne revient alors qu’aux titulaires d’actions de la classe à émettre. L’émis- sion a lieu dans le respect de l’article 5:102, à moins que l’émission ne se fasse dans chaque classe proportionnellement au nombre d’actions déjà</w:t>
      </w:r>
      <w:r>
        <w:rPr>
          <w:color w:val="231F20"/>
          <w:spacing w:val="14"/>
        </w:rPr>
        <w:t> </w:t>
      </w:r>
      <w:r>
        <w:rPr>
          <w:color w:val="231F20"/>
        </w:rPr>
        <w:t>détenues</w:t>
      </w:r>
      <w:r>
        <w:rPr>
          <w:color w:val="231F20"/>
          <w:spacing w:val="15"/>
        </w:rPr>
        <w:t> </w:t>
      </w:r>
      <w:r>
        <w:rPr>
          <w:color w:val="231F20"/>
        </w:rPr>
        <w:t>par</w:t>
      </w:r>
      <w:r>
        <w:rPr>
          <w:color w:val="231F20"/>
          <w:spacing w:val="14"/>
        </w:rPr>
        <w:t> </w:t>
      </w:r>
      <w:r>
        <w:rPr>
          <w:color w:val="231F20"/>
        </w:rPr>
        <w:t>les</w:t>
      </w:r>
      <w:r>
        <w:rPr>
          <w:color w:val="231F20"/>
          <w:spacing w:val="15"/>
        </w:rPr>
        <w:t> </w:t>
      </w:r>
      <w:r>
        <w:rPr>
          <w:color w:val="231F20"/>
        </w:rPr>
        <w:t>actionnaires</w:t>
      </w:r>
      <w:r>
        <w:rPr>
          <w:color w:val="231F20"/>
          <w:spacing w:val="15"/>
        </w:rPr>
        <w:t> </w:t>
      </w:r>
      <w:r>
        <w:rPr>
          <w:color w:val="231F20"/>
        </w:rPr>
        <w:t>dans</w:t>
      </w:r>
      <w:r>
        <w:rPr>
          <w:color w:val="231F20"/>
          <w:spacing w:val="14"/>
        </w:rPr>
        <w:t> </w:t>
      </w:r>
      <w:r>
        <w:rPr>
          <w:color w:val="231F20"/>
        </w:rPr>
        <w:t>chaque</w:t>
      </w:r>
      <w:r>
        <w:rPr>
          <w:color w:val="231F20"/>
          <w:spacing w:val="15"/>
        </w:rPr>
        <w:t> </w:t>
      </w:r>
      <w:r>
        <w:rPr>
          <w:color w:val="231F20"/>
        </w:rPr>
        <w:t>classe.</w:t>
      </w:r>
    </w:p>
    <w:p>
      <w:pPr>
        <w:pStyle w:val="BodyText"/>
        <w:spacing w:line="218" w:lineRule="auto" w:before="96"/>
        <w:ind w:right="38"/>
      </w:pPr>
      <w:r>
        <w:rPr>
          <w:color w:val="231F20"/>
        </w:rPr>
        <w:t>Toutefois en cas d’émission d’actions d’une nouvelle classe, tous les actionnaires existants disposent d’un droit de préférence sur les actions de celle-ci.</w:t>
      </w:r>
    </w:p>
    <w:p>
      <w:pPr>
        <w:pStyle w:val="BodyText"/>
        <w:spacing w:line="218" w:lineRule="auto" w:before="96"/>
        <w:ind w:right="38"/>
      </w:pPr>
      <w:r>
        <w:rPr>
          <w:color w:val="231F20"/>
        </w:rPr>
        <w:t>Art. 5:129. Le droit de préférence peut être exercé pendant un délai qui ne peut être inférieur à quinze jours à dater de l’ouverture de la souscription. Le délai est fixé par l’assemblée générale ou, lorsque l’organe d’administration décide de l’émission en application  de l’article 5:134, par</w:t>
      </w:r>
      <w:r>
        <w:rPr>
          <w:color w:val="231F20"/>
          <w:spacing w:val="2"/>
        </w:rPr>
        <w:t> </w:t>
      </w:r>
      <w:r>
        <w:rPr>
          <w:color w:val="231F20"/>
        </w:rPr>
        <w:t>celui-ci.</w:t>
      </w:r>
    </w:p>
    <w:p>
      <w:pPr>
        <w:pStyle w:val="BodyText"/>
        <w:spacing w:line="218" w:lineRule="auto" w:before="97"/>
        <w:ind w:right="38"/>
      </w:pPr>
      <w:r>
        <w:rPr>
          <w:color w:val="231F20"/>
        </w:rPr>
        <w:t>L’émission avec droit de préférence ainsi que le délai d’exercice de celui-ci sont communiqués aux actionnaires conformément  à  l’arti-  cle</w:t>
      </w:r>
      <w:r>
        <w:rPr>
          <w:color w:val="231F20"/>
          <w:spacing w:val="14"/>
        </w:rPr>
        <w:t> </w:t>
      </w:r>
      <w:r>
        <w:rPr>
          <w:color w:val="231F20"/>
        </w:rPr>
        <w:t>2:32.</w:t>
      </w:r>
    </w:p>
    <w:p>
      <w:pPr>
        <w:pStyle w:val="BodyText"/>
        <w:spacing w:line="218" w:lineRule="auto" w:before="96"/>
        <w:ind w:right="38"/>
      </w:pPr>
      <w:r>
        <w:rPr>
          <w:color w:val="231F20"/>
        </w:rPr>
        <w:t>Les actions qui  n’ont  pas  été  souscrites  conformément  à  l’arti-  cle</w:t>
      </w:r>
      <w:r>
        <w:rPr>
          <w:color w:val="231F20"/>
          <w:spacing w:val="13"/>
        </w:rPr>
        <w:t> </w:t>
      </w:r>
      <w:r>
        <w:rPr>
          <w:color w:val="231F20"/>
        </w:rPr>
        <w:t>5:128</w:t>
      </w:r>
      <w:r>
        <w:rPr>
          <w:color w:val="231F20"/>
          <w:spacing w:val="14"/>
        </w:rPr>
        <w:t> </w:t>
      </w:r>
      <w:r>
        <w:rPr>
          <w:color w:val="231F20"/>
        </w:rPr>
        <w:t>ne</w:t>
      </w:r>
      <w:r>
        <w:rPr>
          <w:color w:val="231F20"/>
          <w:spacing w:val="13"/>
        </w:rPr>
        <w:t> </w:t>
      </w:r>
      <w:r>
        <w:rPr>
          <w:color w:val="231F20"/>
        </w:rPr>
        <w:t>peuvent</w:t>
      </w:r>
      <w:r>
        <w:rPr>
          <w:color w:val="231F20"/>
          <w:spacing w:val="13"/>
        </w:rPr>
        <w:t> </w:t>
      </w:r>
      <w:r>
        <w:rPr>
          <w:color w:val="231F20"/>
        </w:rPr>
        <w:t>l’être</w:t>
      </w:r>
      <w:r>
        <w:rPr>
          <w:color w:val="231F20"/>
          <w:spacing w:val="14"/>
        </w:rPr>
        <w:t> </w:t>
      </w:r>
      <w:r>
        <w:rPr>
          <w:color w:val="231F20"/>
        </w:rPr>
        <w:t>que</w:t>
      </w:r>
      <w:r>
        <w:rPr>
          <w:color w:val="231F20"/>
          <w:spacing w:val="13"/>
        </w:rPr>
        <w:t> </w:t>
      </w:r>
      <w:r>
        <w:rPr>
          <w:color w:val="231F20"/>
        </w:rPr>
        <w:t>dans</w:t>
      </w:r>
      <w:r>
        <w:rPr>
          <w:color w:val="231F20"/>
          <w:spacing w:val="14"/>
        </w:rPr>
        <w:t> </w:t>
      </w:r>
      <w:r>
        <w:rPr>
          <w:color w:val="231F20"/>
        </w:rPr>
        <w:t>le</w:t>
      </w:r>
      <w:r>
        <w:rPr>
          <w:color w:val="231F20"/>
          <w:spacing w:val="13"/>
        </w:rPr>
        <w:t> </w:t>
      </w:r>
      <w:r>
        <w:rPr>
          <w:color w:val="231F20"/>
        </w:rPr>
        <w:t>respect</w:t>
      </w:r>
      <w:r>
        <w:rPr>
          <w:color w:val="231F20"/>
          <w:spacing w:val="14"/>
        </w:rPr>
        <w:t> </w:t>
      </w:r>
      <w:r>
        <w:rPr>
          <w:color w:val="231F20"/>
        </w:rPr>
        <w:t>de</w:t>
      </w:r>
      <w:r>
        <w:rPr>
          <w:color w:val="231F20"/>
          <w:spacing w:val="13"/>
        </w:rPr>
        <w:t> </w:t>
      </w:r>
      <w:r>
        <w:rPr>
          <w:color w:val="231F20"/>
        </w:rPr>
        <w:t>l’article</w:t>
      </w:r>
      <w:r>
        <w:rPr>
          <w:color w:val="231F20"/>
          <w:spacing w:val="14"/>
        </w:rPr>
        <w:t> </w:t>
      </w:r>
      <w:r>
        <w:rPr>
          <w:color w:val="231F20"/>
        </w:rPr>
        <w:t>5:123.</w:t>
      </w:r>
    </w:p>
    <w:p>
      <w:pPr>
        <w:pStyle w:val="BodyText"/>
        <w:spacing w:before="8"/>
        <w:ind w:left="0" w:right="0" w:firstLine="0"/>
        <w:jc w:val="left"/>
        <w:rPr>
          <w:sz w:val="22"/>
        </w:rPr>
      </w:pPr>
    </w:p>
    <w:p>
      <w:pPr>
        <w:pStyle w:val="BodyText"/>
        <w:ind w:left="283" w:right="0" w:firstLine="0"/>
        <w:jc w:val="left"/>
      </w:pPr>
      <w:r>
        <w:rPr>
          <w:color w:val="231F20"/>
        </w:rPr>
        <w:t>Sous-section 2. Limitation et suppression du droit de préférence.</w:t>
      </w:r>
    </w:p>
    <w:p>
      <w:pPr>
        <w:pStyle w:val="BodyText"/>
        <w:spacing w:line="218" w:lineRule="auto" w:before="78"/>
        <w:ind w:right="38"/>
      </w:pPr>
      <w:r>
        <w:rPr>
          <w:color w:val="231F20"/>
        </w:rPr>
        <w:t>Art. 5:130. § 1</w:t>
      </w:r>
      <w:r>
        <w:rPr>
          <w:color w:val="231F20"/>
          <w:position w:val="7"/>
          <w:sz w:val="11"/>
        </w:rPr>
        <w:t>er</w:t>
      </w:r>
      <w:r>
        <w:rPr>
          <w:color w:val="231F20"/>
        </w:rPr>
        <w:t>. Les statuts ne peuvent ni limiter ni supprimer le</w:t>
      </w:r>
      <w:r>
        <w:rPr>
          <w:color w:val="231F20"/>
          <w:spacing w:val="-29"/>
        </w:rPr>
        <w:t> </w:t>
      </w:r>
      <w:r>
        <w:rPr>
          <w:color w:val="231F20"/>
        </w:rPr>
        <w:t>droit de</w:t>
      </w:r>
      <w:r>
        <w:rPr>
          <w:color w:val="231F20"/>
          <w:spacing w:val="14"/>
        </w:rPr>
        <w:t> </w:t>
      </w:r>
      <w:r>
        <w:rPr>
          <w:color w:val="231F20"/>
        </w:rPr>
        <w:t>préférence.</w:t>
      </w:r>
    </w:p>
    <w:p>
      <w:pPr>
        <w:pStyle w:val="BodyText"/>
        <w:spacing w:line="218" w:lineRule="auto" w:before="96"/>
        <w:ind w:right="38"/>
      </w:pPr>
      <w:r>
        <w:rPr>
          <w:color w:val="231F20"/>
        </w:rPr>
        <w:t>§ 2. Il n’y a pas suppression ou limitation du droit de préférence lorsque chaque actionnaire renonce à son droit de préférence lors de la décision de l’assemblée générale d’émettre des actions nouvelles. L’ensemble</w:t>
      </w:r>
      <w:r>
        <w:rPr>
          <w:color w:val="231F20"/>
          <w:spacing w:val="-5"/>
        </w:rPr>
        <w:t> </w:t>
      </w:r>
      <w:r>
        <w:rPr>
          <w:color w:val="231F20"/>
        </w:rPr>
        <w:t>des</w:t>
      </w:r>
      <w:r>
        <w:rPr>
          <w:color w:val="231F20"/>
          <w:spacing w:val="-5"/>
        </w:rPr>
        <w:t> </w:t>
      </w:r>
      <w:r>
        <w:rPr>
          <w:color w:val="231F20"/>
        </w:rPr>
        <w:t>actionnaires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société</w:t>
      </w:r>
      <w:r>
        <w:rPr>
          <w:color w:val="231F20"/>
          <w:spacing w:val="-5"/>
        </w:rPr>
        <w:t> </w:t>
      </w:r>
      <w:r>
        <w:rPr>
          <w:color w:val="231F20"/>
        </w:rPr>
        <w:t>doit</w:t>
      </w:r>
      <w:r>
        <w:rPr>
          <w:color w:val="231F20"/>
          <w:spacing w:val="-5"/>
        </w:rPr>
        <w:t> </w:t>
      </w:r>
      <w:r>
        <w:rPr>
          <w:color w:val="231F20"/>
        </w:rPr>
        <w:t>être</w:t>
      </w:r>
      <w:r>
        <w:rPr>
          <w:color w:val="231F20"/>
          <w:spacing w:val="-5"/>
        </w:rPr>
        <w:t> </w:t>
      </w:r>
      <w:r>
        <w:rPr>
          <w:color w:val="231F20"/>
        </w:rPr>
        <w:t>présent</w:t>
      </w:r>
      <w:r>
        <w:rPr>
          <w:color w:val="231F20"/>
          <w:spacing w:val="-5"/>
        </w:rPr>
        <w:t> </w:t>
      </w:r>
      <w:r>
        <w:rPr>
          <w:color w:val="231F20"/>
        </w:rPr>
        <w:t>ou</w:t>
      </w:r>
      <w:r>
        <w:rPr>
          <w:color w:val="231F20"/>
          <w:spacing w:val="-4"/>
        </w:rPr>
        <w:t> </w:t>
      </w:r>
      <w:r>
        <w:rPr>
          <w:color w:val="231F20"/>
        </w:rPr>
        <w:t>représenté à cette assemblée et renoncer au droit de préférence. Les actionnaires représentés doivent renoncer à ce droit de préférence dans la procura- tion. La renonciation au droit de préférence de chacun des actionnaires est</w:t>
      </w:r>
      <w:r>
        <w:rPr>
          <w:color w:val="231F20"/>
          <w:spacing w:val="15"/>
        </w:rPr>
        <w:t> </w:t>
      </w:r>
      <w:r>
        <w:rPr>
          <w:color w:val="231F20"/>
        </w:rPr>
        <w:t>actée</w:t>
      </w:r>
      <w:r>
        <w:rPr>
          <w:color w:val="231F20"/>
          <w:spacing w:val="15"/>
        </w:rPr>
        <w:t> </w:t>
      </w:r>
      <w:r>
        <w:rPr>
          <w:color w:val="231F20"/>
        </w:rPr>
        <w:t>dans</w:t>
      </w:r>
      <w:r>
        <w:rPr>
          <w:color w:val="231F20"/>
          <w:spacing w:val="15"/>
        </w:rPr>
        <w:t> </w:t>
      </w:r>
      <w:r>
        <w:rPr>
          <w:color w:val="231F20"/>
        </w:rPr>
        <w:t>l’acte</w:t>
      </w:r>
      <w:r>
        <w:rPr>
          <w:color w:val="231F20"/>
          <w:spacing w:val="15"/>
        </w:rPr>
        <w:t> </w:t>
      </w:r>
      <w:r>
        <w:rPr>
          <w:color w:val="231F20"/>
        </w:rPr>
        <w:t>authentique</w:t>
      </w:r>
      <w:r>
        <w:rPr>
          <w:color w:val="231F20"/>
          <w:spacing w:val="15"/>
        </w:rPr>
        <w:t> </w:t>
      </w:r>
      <w:r>
        <w:rPr>
          <w:color w:val="231F20"/>
        </w:rPr>
        <w:t>relatif</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d’émission.</w:t>
      </w:r>
    </w:p>
    <w:p>
      <w:pPr>
        <w:pStyle w:val="BodyText"/>
        <w:spacing w:before="11"/>
        <w:ind w:left="0" w:right="0" w:firstLine="0"/>
        <w:jc w:val="left"/>
        <w:rPr>
          <w:sz w:val="23"/>
        </w:rPr>
      </w:pPr>
    </w:p>
    <w:p>
      <w:pPr>
        <w:pStyle w:val="BodyText"/>
        <w:spacing w:line="218" w:lineRule="auto"/>
        <w:ind w:right="38"/>
      </w:pPr>
      <w:r>
        <w:rPr>
          <w:color w:val="231F20"/>
        </w:rPr>
        <w:t>§ 3. L’assemblée générale appelée à délibérer et à décider de l’émission d’actions nouvelles, d’obligations convertibles ou de droits de souscription peut, dans l’intérêt social, limiter ou supprimer le droit de préférence. Cette proposition doit être annoncée dans la convoca- tion. La décision est prise dans le respect des conditions de quorum et de</w:t>
      </w:r>
      <w:r>
        <w:rPr>
          <w:color w:val="231F20"/>
          <w:spacing w:val="-4"/>
        </w:rPr>
        <w:t> </w:t>
      </w:r>
      <w:r>
        <w:rPr>
          <w:color w:val="231F20"/>
        </w:rPr>
        <w:t>majorité</w:t>
      </w:r>
      <w:r>
        <w:rPr>
          <w:color w:val="231F20"/>
          <w:spacing w:val="-4"/>
        </w:rPr>
        <w:t> </w:t>
      </w:r>
      <w:r>
        <w:rPr>
          <w:color w:val="231F20"/>
        </w:rPr>
        <w:t>requises</w:t>
      </w:r>
      <w:r>
        <w:rPr>
          <w:color w:val="231F20"/>
          <w:spacing w:val="-4"/>
        </w:rPr>
        <w:t> </w:t>
      </w:r>
      <w:r>
        <w:rPr>
          <w:color w:val="231F20"/>
        </w:rPr>
        <w:t>pour</w:t>
      </w:r>
      <w:r>
        <w:rPr>
          <w:color w:val="231F20"/>
          <w:spacing w:val="-4"/>
        </w:rPr>
        <w:t> </w:t>
      </w:r>
      <w:r>
        <w:rPr>
          <w:color w:val="231F20"/>
        </w:rPr>
        <w:t>la</w:t>
      </w:r>
      <w:r>
        <w:rPr>
          <w:color w:val="231F20"/>
          <w:spacing w:val="-4"/>
        </w:rPr>
        <w:t> </w:t>
      </w:r>
      <w:r>
        <w:rPr>
          <w:color w:val="231F20"/>
        </w:rPr>
        <w:t>modification</w:t>
      </w:r>
      <w:r>
        <w:rPr>
          <w:color w:val="231F20"/>
          <w:spacing w:val="-4"/>
        </w:rPr>
        <w:t> </w:t>
      </w:r>
      <w:r>
        <w:rPr>
          <w:color w:val="231F20"/>
        </w:rPr>
        <w:t>des</w:t>
      </w:r>
      <w:r>
        <w:rPr>
          <w:color w:val="231F20"/>
          <w:spacing w:val="-4"/>
        </w:rPr>
        <w:t> </w:t>
      </w:r>
      <w:r>
        <w:rPr>
          <w:color w:val="231F20"/>
        </w:rPr>
        <w:t>statuts</w:t>
      </w:r>
      <w:r>
        <w:rPr>
          <w:color w:val="231F20"/>
          <w:spacing w:val="-4"/>
        </w:rPr>
        <w:t> </w:t>
      </w:r>
      <w:r>
        <w:rPr>
          <w:color w:val="231F20"/>
        </w:rPr>
        <w:t>et</w:t>
      </w:r>
      <w:r>
        <w:rPr>
          <w:color w:val="231F20"/>
          <w:spacing w:val="-4"/>
        </w:rPr>
        <w:t> </w:t>
      </w:r>
      <w:r>
        <w:rPr>
          <w:color w:val="231F20"/>
        </w:rPr>
        <w:t>en</w:t>
      </w:r>
      <w:r>
        <w:rPr>
          <w:color w:val="231F20"/>
          <w:spacing w:val="-4"/>
        </w:rPr>
        <w:t> </w:t>
      </w:r>
      <w:r>
        <w:rPr>
          <w:color w:val="231F20"/>
        </w:rPr>
        <w:t>respectant</w:t>
      </w:r>
      <w:r>
        <w:rPr>
          <w:color w:val="231F20"/>
          <w:spacing w:val="-4"/>
        </w:rPr>
        <w:t> </w:t>
      </w:r>
      <w:r>
        <w:rPr>
          <w:color w:val="231F20"/>
        </w:rPr>
        <w:t>les articles</w:t>
      </w:r>
      <w:r>
        <w:rPr>
          <w:color w:val="231F20"/>
          <w:spacing w:val="14"/>
        </w:rPr>
        <w:t> </w:t>
      </w:r>
      <w:r>
        <w:rPr>
          <w:color w:val="231F20"/>
        </w:rPr>
        <w:t>5:123</w:t>
      </w:r>
      <w:r>
        <w:rPr>
          <w:color w:val="231F20"/>
          <w:spacing w:val="14"/>
        </w:rPr>
        <w:t> </w:t>
      </w:r>
      <w:r>
        <w:rPr>
          <w:color w:val="231F20"/>
        </w:rPr>
        <w:t>et</w:t>
      </w:r>
      <w:r>
        <w:rPr>
          <w:color w:val="231F20"/>
          <w:spacing w:val="14"/>
        </w:rPr>
        <w:t> </w:t>
      </w:r>
      <w:r>
        <w:rPr>
          <w:color w:val="231F20"/>
        </w:rPr>
        <w:t>5:131,</w:t>
      </w:r>
      <w:r>
        <w:rPr>
          <w:color w:val="231F20"/>
          <w:spacing w:val="14"/>
        </w:rPr>
        <w:t> </w:t>
      </w:r>
      <w:r>
        <w:rPr>
          <w:color w:val="231F20"/>
        </w:rPr>
        <w:t>alinéas</w:t>
      </w:r>
      <w:r>
        <w:rPr>
          <w:color w:val="231F20"/>
          <w:spacing w:val="14"/>
        </w:rPr>
        <w:t> </w:t>
      </w:r>
      <w:r>
        <w:rPr>
          <w:color w:val="231F20"/>
        </w:rPr>
        <w:t>5</w:t>
      </w:r>
      <w:r>
        <w:rPr>
          <w:color w:val="231F20"/>
          <w:spacing w:val="14"/>
        </w:rPr>
        <w:t> </w:t>
      </w:r>
      <w:r>
        <w:rPr>
          <w:color w:val="231F20"/>
        </w:rPr>
        <w:t>à</w:t>
      </w:r>
      <w:r>
        <w:rPr>
          <w:color w:val="231F20"/>
          <w:spacing w:val="14"/>
        </w:rPr>
        <w:t> </w:t>
      </w:r>
      <w:r>
        <w:rPr>
          <w:color w:val="231F20"/>
        </w:rPr>
        <w:t>7.</w:t>
      </w:r>
    </w:p>
    <w:p>
      <w:pPr>
        <w:pStyle w:val="BodyText"/>
        <w:spacing w:before="10"/>
        <w:ind w:left="0" w:right="0" w:firstLine="0"/>
        <w:jc w:val="left"/>
        <w:rPr>
          <w:sz w:val="22"/>
        </w:rPr>
      </w:pPr>
    </w:p>
    <w:p>
      <w:pPr>
        <w:pStyle w:val="BodyText"/>
        <w:spacing w:line="213" w:lineRule="auto"/>
        <w:ind w:right="38"/>
      </w:pPr>
      <w:r>
        <w:rPr>
          <w:color w:val="231F20"/>
        </w:rPr>
        <w:t>Dans le rapport rédigé conformément à l’article 5:121, § 1</w:t>
      </w:r>
      <w:r>
        <w:rPr>
          <w:color w:val="231F20"/>
          <w:position w:val="7"/>
          <w:sz w:val="11"/>
        </w:rPr>
        <w:t>er</w:t>
      </w:r>
      <w:r>
        <w:rPr>
          <w:color w:val="231F20"/>
        </w:rPr>
        <w:t>, ou 5:122, alinéa 1</w:t>
      </w:r>
      <w:r>
        <w:rPr>
          <w:color w:val="231F20"/>
          <w:position w:val="7"/>
          <w:sz w:val="11"/>
        </w:rPr>
        <w:t>er</w:t>
      </w:r>
      <w:r>
        <w:rPr>
          <w:color w:val="231F20"/>
        </w:rPr>
        <w:t>, l’organe d’administration justifie dans ce cas expressément les raisons de la limitation ou de la suppression du droit de préférence et indique quelles en sont les conséquences sur les droits patrimoniaux et</w:t>
      </w:r>
      <w:r>
        <w:rPr>
          <w:color w:val="231F20"/>
          <w:spacing w:val="14"/>
        </w:rPr>
        <w:t> </w:t>
      </w:r>
      <w:r>
        <w:rPr>
          <w:color w:val="231F20"/>
        </w:rPr>
        <w:t>les</w:t>
      </w:r>
      <w:r>
        <w:rPr>
          <w:color w:val="231F20"/>
          <w:spacing w:val="15"/>
        </w:rPr>
        <w:t> </w:t>
      </w:r>
      <w:r>
        <w:rPr>
          <w:color w:val="231F20"/>
        </w:rPr>
        <w:t>droits</w:t>
      </w:r>
      <w:r>
        <w:rPr>
          <w:color w:val="231F20"/>
          <w:spacing w:val="15"/>
        </w:rPr>
        <w:t> </w:t>
      </w:r>
      <w:r>
        <w:rPr>
          <w:color w:val="231F20"/>
        </w:rPr>
        <w:t>sociaux</w:t>
      </w:r>
      <w:r>
        <w:rPr>
          <w:color w:val="231F20"/>
          <w:spacing w:val="14"/>
        </w:rPr>
        <w:t> </w:t>
      </w:r>
      <w:r>
        <w:rPr>
          <w:color w:val="231F20"/>
        </w:rPr>
        <w:t>des</w:t>
      </w:r>
      <w:r>
        <w:rPr>
          <w:color w:val="231F20"/>
          <w:spacing w:val="15"/>
        </w:rPr>
        <w:t> </w:t>
      </w:r>
      <w:r>
        <w:rPr>
          <w:color w:val="231F20"/>
        </w:rPr>
        <w:t>actionnaires.</w:t>
      </w:r>
    </w:p>
    <w:p>
      <w:pPr>
        <w:pStyle w:val="BodyText"/>
        <w:spacing w:line="218" w:lineRule="auto" w:before="119"/>
      </w:pPr>
      <w:r>
        <w:rPr/>
        <w:br w:type="column"/>
      </w:r>
      <w:r>
        <w:rPr>
          <w:color w:val="231F20"/>
        </w:rPr>
        <w:t>Art. 5:125. Tenzij de statuten of de uitgiftevoorwaarden anders bepalen, moeten aandelen bij hun uitgifte worden volgestort.</w:t>
      </w:r>
    </w:p>
    <w:p>
      <w:pPr>
        <w:pStyle w:val="BodyText"/>
        <w:spacing w:line="218" w:lineRule="auto" w:before="86"/>
      </w:pPr>
      <w:r>
        <w:rPr>
          <w:color w:val="231F20"/>
        </w:rPr>
        <w:t>Art. 5:126. Wanneer op nieuwe aandelen niet gelijktijdig met de beslissing tot uitgifte daarvan wordt ingeschreven, wordt de inschrij- ving vastgesteld bij een authentieke akte die op verzoek van het bestuursorgaan of van één of meer daarvoor speciaal gemachtigde bestuurders of lasthebbers wordt opgesteld op overlegging van de stukken tot staving van de verrichting. De akte wordt neergelegd en bekendgemaakt overeenkomstig de artikelen 2:8 en 2:14, 4°.</w:t>
      </w:r>
    </w:p>
    <w:p>
      <w:pPr>
        <w:pStyle w:val="BodyText"/>
        <w:spacing w:line="218" w:lineRule="auto" w:before="86"/>
      </w:pPr>
      <w:r>
        <w:rPr>
          <w:color w:val="231F20"/>
        </w:rPr>
        <w:t>De akte vermeldt tevens de naleving van de wettelijke vereisten aangaande de inschrijving en de volstorting van aandelen.</w:t>
      </w:r>
    </w:p>
    <w:p>
      <w:pPr>
        <w:pStyle w:val="BodyText"/>
        <w:spacing w:line="218" w:lineRule="auto" w:before="85"/>
        <w:ind w:right="123"/>
      </w:pPr>
      <w:r>
        <w:rPr>
          <w:color w:val="231F20"/>
        </w:rPr>
        <w:t>Art. 5:127. </w:t>
      </w:r>
      <w:r>
        <w:rPr>
          <w:color w:val="231F20"/>
          <w:spacing w:val="-3"/>
        </w:rPr>
        <w:t>Wanneer </w:t>
      </w:r>
      <w:r>
        <w:rPr>
          <w:color w:val="231F20"/>
        </w:rPr>
        <w:t>nieuwe aandelen worden uitgegeven ten gevolge van een conversie van converteerbare obligaties in aandelen, van een vervanging van obligaties door aandelen overeenkomstig artikel 5:108, 3°, of van een inschrijving op aandelen in geval van uitoefening van een inschrijvingsrecht, worden de conversie, de vervanging of de inschrij- ving, de daaruit voortvloeiende inbrengen en het aantal uitgegeven nieuwe aandelen vastgesteld bij een authentieke akte. Deze akte wordt op verzoek van het bestuursorgaan opgemaakt onder overlegging van een lijst van de gevraagde conversies of vervangingen, of van de uitgeoefende inschrijvingsrechten. Deze vaststelling heeft wijziging tot gevolg van de statutaire bepalingen betreffende het aantal uitgegeven aandelen; zij verleent de hoedanigheid van aandeelhouder aan de obligatiehouder die de conversie van zijn effecten heeft gevraagd, aan de obligatiehouder wiens obligaties werden vervangen door aandelen, en aan de houder van het inschrijvingsrecht die zijn recht heeft uitgeoefend.</w:t>
      </w:r>
    </w:p>
    <w:p>
      <w:pPr>
        <w:pStyle w:val="BodyText"/>
        <w:spacing w:line="324" w:lineRule="auto" w:before="73"/>
        <w:ind w:left="283" w:right="2675" w:firstLine="0"/>
        <w:jc w:val="left"/>
      </w:pPr>
      <w:r>
        <w:rPr>
          <w:color w:val="231F20"/>
        </w:rPr>
        <w:t>Afdeling 2. Inbreng in geld. Onderafdeling 1. Voorkeurrecht.</w:t>
      </w:r>
    </w:p>
    <w:p>
      <w:pPr>
        <w:pStyle w:val="BodyText"/>
        <w:spacing w:line="218" w:lineRule="auto" w:before="15"/>
        <w:ind w:right="123"/>
      </w:pPr>
      <w:r>
        <w:rPr>
          <w:color w:val="231F20"/>
        </w:rPr>
        <w:t>Art. 5:128. De aandelen waarop in geld wordt ingeschreven, de converteerbare obligaties en de inschrijvingsrechten moeten eerst worden aangeboden aan de bestaande aandeelhouders, evenredig met het aantal aandelen dat zij bezitten.</w:t>
      </w:r>
    </w:p>
    <w:p>
      <w:pPr>
        <w:pStyle w:val="BodyText"/>
        <w:spacing w:line="218" w:lineRule="auto" w:before="96"/>
      </w:pPr>
      <w:r>
        <w:rPr>
          <w:color w:val="231F20"/>
        </w:rPr>
        <w:t>Zijn er verschillende soorten van aandelen, dan komt dit voorkeur- recht slechts toe aan de houders van aandelen van de uit te geven soort. De uitgifte gebeurt met naleving van artikel 5:102, tenzij de uitgifte binnen elke soort plaatsvindt evenredig met het aantal aandelen dat de aandeelhouders binnen elke soort reeds bezitten.</w:t>
      </w:r>
    </w:p>
    <w:p>
      <w:pPr>
        <w:pStyle w:val="BodyText"/>
        <w:spacing w:line="218" w:lineRule="auto" w:before="96"/>
      </w:pPr>
      <w:r>
        <w:rPr>
          <w:color w:val="231F20"/>
        </w:rPr>
        <w:t>Indien evenwel een nieuwe soort aandelen wordt uitgegeven, hebben alle bestaande aandeelhouders een voorkeurrecht met betrekking tot de aandelen van deze nieuwe soort.</w:t>
      </w:r>
    </w:p>
    <w:p>
      <w:pPr>
        <w:pStyle w:val="BodyText"/>
        <w:spacing w:line="218" w:lineRule="auto" w:before="96"/>
      </w:pPr>
      <w:r>
        <w:rPr>
          <w:color w:val="231F20"/>
        </w:rPr>
        <w:t>Art. 5:129. Het voorkeurrecht kan worden uitgeoefend  gedurende een termijn van ten minste vijftien dagen te rekenen van de dag van de openstelling van de inschrijving. De termijn wordt bepaald door</w:t>
      </w:r>
      <w:r>
        <w:rPr>
          <w:color w:val="231F20"/>
          <w:spacing w:val="30"/>
        </w:rPr>
        <w:t> </w:t>
      </w:r>
      <w:r>
        <w:rPr>
          <w:color w:val="231F20"/>
        </w:rPr>
        <w:t>de algemene vergadering of, wanneer het bestuursorgaan tot de uitgifte beslist</w:t>
      </w:r>
      <w:r>
        <w:rPr>
          <w:color w:val="231F20"/>
          <w:spacing w:val="14"/>
        </w:rPr>
        <w:t> </w:t>
      </w:r>
      <w:r>
        <w:rPr>
          <w:color w:val="231F20"/>
        </w:rPr>
        <w:t>in</w:t>
      </w:r>
      <w:r>
        <w:rPr>
          <w:color w:val="231F20"/>
          <w:spacing w:val="14"/>
        </w:rPr>
        <w:t> </w:t>
      </w:r>
      <w:r>
        <w:rPr>
          <w:color w:val="231F20"/>
        </w:rPr>
        <w:t>toepassing</w:t>
      </w:r>
      <w:r>
        <w:rPr>
          <w:color w:val="231F20"/>
          <w:spacing w:val="14"/>
        </w:rPr>
        <w:t> </w:t>
      </w:r>
      <w:r>
        <w:rPr>
          <w:color w:val="231F20"/>
        </w:rPr>
        <w:t>van</w:t>
      </w:r>
      <w:r>
        <w:rPr>
          <w:color w:val="231F20"/>
          <w:spacing w:val="14"/>
        </w:rPr>
        <w:t> </w:t>
      </w:r>
      <w:r>
        <w:rPr>
          <w:color w:val="231F20"/>
        </w:rPr>
        <w:t>artikel</w:t>
      </w:r>
      <w:r>
        <w:rPr>
          <w:color w:val="231F20"/>
          <w:spacing w:val="15"/>
        </w:rPr>
        <w:t> </w:t>
      </w:r>
      <w:r>
        <w:rPr>
          <w:color w:val="231F20"/>
        </w:rPr>
        <w:t>5:134,</w:t>
      </w:r>
      <w:r>
        <w:rPr>
          <w:color w:val="231F20"/>
          <w:spacing w:val="14"/>
        </w:rPr>
        <w:t> </w:t>
      </w:r>
      <w:r>
        <w:rPr>
          <w:color w:val="231F20"/>
        </w:rPr>
        <w:t>door</w:t>
      </w:r>
      <w:r>
        <w:rPr>
          <w:color w:val="231F20"/>
          <w:spacing w:val="14"/>
        </w:rPr>
        <w:t> </w:t>
      </w:r>
      <w:r>
        <w:rPr>
          <w:color w:val="231F20"/>
        </w:rPr>
        <w:t>het</w:t>
      </w:r>
      <w:r>
        <w:rPr>
          <w:color w:val="231F20"/>
          <w:spacing w:val="14"/>
        </w:rPr>
        <w:t> </w:t>
      </w:r>
      <w:r>
        <w:rPr>
          <w:color w:val="231F20"/>
        </w:rPr>
        <w:t>bestuursorgaan.</w:t>
      </w:r>
    </w:p>
    <w:p>
      <w:pPr>
        <w:pStyle w:val="BodyText"/>
        <w:spacing w:line="218" w:lineRule="auto" w:before="97"/>
      </w:pPr>
      <w:r>
        <w:rPr>
          <w:color w:val="231F20"/>
        </w:rPr>
        <w:t>De uitgifte met voorkeurrecht en het tijdvak waarin dat kan worden uitgeoefend, worden aan de aandeelhouders meegedeeld overeenkom- stig artikel 2:32.</w:t>
      </w:r>
    </w:p>
    <w:p>
      <w:pPr>
        <w:pStyle w:val="BodyText"/>
        <w:spacing w:line="218" w:lineRule="auto" w:before="96"/>
      </w:pPr>
      <w:r>
        <w:rPr>
          <w:color w:val="231F20"/>
        </w:rPr>
        <w:t>Op aandelen waarop niet wordt ingeschreven zoals bepaald  in  artikel 5:128, kan slechts worden ingeschreven met inachtneming van artikel</w:t>
      </w:r>
      <w:r>
        <w:rPr>
          <w:color w:val="231F20"/>
          <w:spacing w:val="14"/>
        </w:rPr>
        <w:t> </w:t>
      </w:r>
      <w:r>
        <w:rPr>
          <w:color w:val="231F20"/>
        </w:rPr>
        <w:t>5:123.</w:t>
      </w:r>
    </w:p>
    <w:p>
      <w:pPr>
        <w:pStyle w:val="BodyText"/>
        <w:spacing w:before="82"/>
        <w:ind w:left="283" w:right="0" w:firstLine="0"/>
        <w:jc w:val="left"/>
      </w:pPr>
      <w:r>
        <w:rPr>
          <w:color w:val="231F20"/>
        </w:rPr>
        <w:t>Onderafdeling 2. Beperking en opheffing van het voorkeurrecht.</w:t>
      </w:r>
    </w:p>
    <w:p>
      <w:pPr>
        <w:pStyle w:val="BodyText"/>
        <w:spacing w:line="218" w:lineRule="auto" w:before="93"/>
      </w:pPr>
      <w:r>
        <w:rPr>
          <w:color w:val="231F20"/>
        </w:rPr>
        <w:t>Art. 5:130. § 1. Het voorkeurrecht kan niet door de statuten worden beperkt of opgeheven.</w:t>
      </w:r>
    </w:p>
    <w:p>
      <w:pPr>
        <w:pStyle w:val="BodyText"/>
        <w:spacing w:line="218" w:lineRule="auto" w:before="96"/>
      </w:pPr>
      <w:r>
        <w:rPr>
          <w:color w:val="231F20"/>
          <w:w w:val="105"/>
        </w:rPr>
        <w:t>§ 2. Er is geen sprake van een </w:t>
      </w:r>
      <w:r>
        <w:rPr>
          <w:color w:val="231F20"/>
          <w:spacing w:val="-3"/>
          <w:w w:val="105"/>
        </w:rPr>
        <w:t>opheffing </w:t>
      </w:r>
      <w:r>
        <w:rPr>
          <w:color w:val="231F20"/>
          <w:w w:val="105"/>
        </w:rPr>
        <w:t>of beperking van het voorkeurrecht wanneer alle aandeelhouders afstand doen van hun voorkeurrecht</w:t>
      </w:r>
      <w:r>
        <w:rPr>
          <w:color w:val="231F20"/>
          <w:spacing w:val="-12"/>
          <w:w w:val="105"/>
        </w:rPr>
        <w:t> </w:t>
      </w:r>
      <w:r>
        <w:rPr>
          <w:color w:val="231F20"/>
          <w:w w:val="105"/>
        </w:rPr>
        <w:t>bij</w:t>
      </w:r>
      <w:r>
        <w:rPr>
          <w:color w:val="231F20"/>
          <w:spacing w:val="-12"/>
          <w:w w:val="105"/>
        </w:rPr>
        <w:t> </w:t>
      </w:r>
      <w:r>
        <w:rPr>
          <w:color w:val="231F20"/>
          <w:w w:val="105"/>
        </w:rPr>
        <w:t>het</w:t>
      </w:r>
      <w:r>
        <w:rPr>
          <w:color w:val="231F20"/>
          <w:spacing w:val="-12"/>
          <w:w w:val="105"/>
        </w:rPr>
        <w:t> </w:t>
      </w:r>
      <w:r>
        <w:rPr>
          <w:color w:val="231F20"/>
          <w:w w:val="105"/>
        </w:rPr>
        <w:t>besluit</w:t>
      </w:r>
      <w:r>
        <w:rPr>
          <w:color w:val="231F20"/>
          <w:spacing w:val="-11"/>
          <w:w w:val="105"/>
        </w:rPr>
        <w:t> </w:t>
      </w:r>
      <w:r>
        <w:rPr>
          <w:color w:val="231F20"/>
          <w:w w:val="105"/>
        </w:rPr>
        <w:t>van</w:t>
      </w:r>
      <w:r>
        <w:rPr>
          <w:color w:val="231F20"/>
          <w:spacing w:val="-12"/>
          <w:w w:val="105"/>
        </w:rPr>
        <w:t> </w:t>
      </w:r>
      <w:r>
        <w:rPr>
          <w:color w:val="231F20"/>
          <w:w w:val="105"/>
        </w:rPr>
        <w:t>de</w:t>
      </w:r>
      <w:r>
        <w:rPr>
          <w:color w:val="231F20"/>
          <w:spacing w:val="-12"/>
          <w:w w:val="105"/>
        </w:rPr>
        <w:t> </w:t>
      </w:r>
      <w:r>
        <w:rPr>
          <w:color w:val="231F20"/>
          <w:w w:val="105"/>
        </w:rPr>
        <w:t>algemene</w:t>
      </w:r>
      <w:r>
        <w:rPr>
          <w:color w:val="231F20"/>
          <w:spacing w:val="-12"/>
          <w:w w:val="105"/>
        </w:rPr>
        <w:t> </w:t>
      </w:r>
      <w:r>
        <w:rPr>
          <w:color w:val="231F20"/>
          <w:w w:val="105"/>
        </w:rPr>
        <w:t>vergadering</w:t>
      </w:r>
      <w:r>
        <w:rPr>
          <w:color w:val="231F20"/>
          <w:spacing w:val="-11"/>
          <w:w w:val="105"/>
        </w:rPr>
        <w:t> </w:t>
      </w:r>
      <w:r>
        <w:rPr>
          <w:color w:val="231F20"/>
          <w:w w:val="105"/>
        </w:rPr>
        <w:t>om</w:t>
      </w:r>
      <w:r>
        <w:rPr>
          <w:color w:val="231F20"/>
          <w:spacing w:val="-12"/>
          <w:w w:val="105"/>
        </w:rPr>
        <w:t> </w:t>
      </w:r>
      <w:r>
        <w:rPr>
          <w:color w:val="231F20"/>
          <w:w w:val="105"/>
        </w:rPr>
        <w:t>nieuwe aandelen uit te geven. Alle aandeelhouders van de vennootschap moeten</w:t>
      </w:r>
      <w:r>
        <w:rPr>
          <w:color w:val="231F20"/>
          <w:spacing w:val="-9"/>
          <w:w w:val="105"/>
        </w:rPr>
        <w:t> </w:t>
      </w:r>
      <w:r>
        <w:rPr>
          <w:color w:val="231F20"/>
          <w:w w:val="105"/>
        </w:rPr>
        <w:t>tijdens</w:t>
      </w:r>
      <w:r>
        <w:rPr>
          <w:color w:val="231F20"/>
          <w:spacing w:val="-9"/>
          <w:w w:val="105"/>
        </w:rPr>
        <w:t> </w:t>
      </w:r>
      <w:r>
        <w:rPr>
          <w:color w:val="231F20"/>
          <w:w w:val="105"/>
        </w:rPr>
        <w:t>die</w:t>
      </w:r>
      <w:r>
        <w:rPr>
          <w:color w:val="231F20"/>
          <w:spacing w:val="-9"/>
          <w:w w:val="105"/>
        </w:rPr>
        <w:t> </w:t>
      </w:r>
      <w:r>
        <w:rPr>
          <w:color w:val="231F20"/>
          <w:w w:val="105"/>
        </w:rPr>
        <w:t>vergadering</w:t>
      </w:r>
      <w:r>
        <w:rPr>
          <w:color w:val="231F20"/>
          <w:spacing w:val="-9"/>
          <w:w w:val="105"/>
        </w:rPr>
        <w:t> </w:t>
      </w:r>
      <w:r>
        <w:rPr>
          <w:color w:val="231F20"/>
          <w:w w:val="105"/>
        </w:rPr>
        <w:t>aanwezig</w:t>
      </w:r>
      <w:r>
        <w:rPr>
          <w:color w:val="231F20"/>
          <w:spacing w:val="-9"/>
          <w:w w:val="105"/>
        </w:rPr>
        <w:t> </w:t>
      </w:r>
      <w:r>
        <w:rPr>
          <w:color w:val="231F20"/>
          <w:w w:val="105"/>
        </w:rPr>
        <w:t>of</w:t>
      </w:r>
      <w:r>
        <w:rPr>
          <w:color w:val="231F20"/>
          <w:spacing w:val="-9"/>
          <w:w w:val="105"/>
        </w:rPr>
        <w:t> </w:t>
      </w:r>
      <w:r>
        <w:rPr>
          <w:color w:val="231F20"/>
          <w:w w:val="105"/>
        </w:rPr>
        <w:t>vertegenwoordigd</w:t>
      </w:r>
      <w:r>
        <w:rPr>
          <w:color w:val="231F20"/>
          <w:spacing w:val="-9"/>
          <w:w w:val="105"/>
        </w:rPr>
        <w:t> </w:t>
      </w:r>
      <w:r>
        <w:rPr>
          <w:color w:val="231F20"/>
          <w:w w:val="105"/>
        </w:rPr>
        <w:t>zijn</w:t>
      </w:r>
      <w:r>
        <w:rPr>
          <w:color w:val="231F20"/>
          <w:spacing w:val="-9"/>
          <w:w w:val="105"/>
        </w:rPr>
        <w:t> </w:t>
      </w:r>
      <w:r>
        <w:rPr>
          <w:color w:val="231F20"/>
          <w:w w:val="105"/>
        </w:rPr>
        <w:t>en afstand doen van het voorkeurrecht. De vertegenwoordigde</w:t>
      </w:r>
      <w:r>
        <w:rPr>
          <w:color w:val="231F20"/>
          <w:spacing w:val="-18"/>
          <w:w w:val="105"/>
        </w:rPr>
        <w:t> </w:t>
      </w:r>
      <w:r>
        <w:rPr>
          <w:color w:val="231F20"/>
          <w:w w:val="105"/>
        </w:rPr>
        <w:t>aandeel- houders moeten in de volmacht afstand doen van dat</w:t>
      </w:r>
      <w:r>
        <w:rPr>
          <w:color w:val="231F20"/>
          <w:spacing w:val="-8"/>
          <w:w w:val="105"/>
        </w:rPr>
        <w:t> </w:t>
      </w:r>
      <w:r>
        <w:rPr>
          <w:color w:val="231F20"/>
          <w:w w:val="105"/>
        </w:rPr>
        <w:t>voorkeurrecht. De afstand van het voorkeurrecht van iedere aandeelhouder wordt opgenomen in de authentieke akte met betrekking tot de</w:t>
      </w:r>
      <w:r>
        <w:rPr>
          <w:color w:val="231F20"/>
          <w:spacing w:val="-1"/>
          <w:w w:val="105"/>
        </w:rPr>
        <w:t> </w:t>
      </w:r>
      <w:r>
        <w:rPr>
          <w:color w:val="231F20"/>
          <w:w w:val="105"/>
        </w:rPr>
        <w:t>uitgifte.</w:t>
      </w:r>
    </w:p>
    <w:p>
      <w:pPr>
        <w:pStyle w:val="BodyText"/>
        <w:spacing w:line="218" w:lineRule="auto" w:before="97"/>
      </w:pPr>
      <w:r>
        <w:rPr>
          <w:color w:val="231F20"/>
        </w:rPr>
        <w:t>§ 3. De algemene vergadering die moet beraadslagen en besluiten tot uitgifte van nieuwe aandelen, van converteerbare obligaties of van inschrijvingsrechten, kan in het belang van de vennootschap het voorkeurrecht beperken of opheffen. Het voorstel daartoe moet in de oproeping worden vermeld. Het besluit wordt genomen met naleving van de aanwezigheids- en meerderheidsvereisten voorgeschreven voor een statutenwijziging en met inachtneming van de artikelen 5:123 en 5:131, vijde tot zevende lid.</w:t>
      </w:r>
    </w:p>
    <w:p>
      <w:pPr>
        <w:pStyle w:val="BodyText"/>
        <w:spacing w:line="218" w:lineRule="auto" w:before="96"/>
      </w:pPr>
      <w:r>
        <w:rPr>
          <w:color w:val="231F20"/>
        </w:rPr>
        <w:t>In het verslag opgesteld overeenkomstig artikel 5:121, § 1, of 5:122, eerste lid, verantwoordt het bestuursorgaan in dit geval uitdrukkelijk de redenen voor de beperking of </w:t>
      </w:r>
      <w:r>
        <w:rPr>
          <w:color w:val="231F20"/>
          <w:spacing w:val="-3"/>
        </w:rPr>
        <w:t>opheffing </w:t>
      </w:r>
      <w:r>
        <w:rPr>
          <w:color w:val="231F20"/>
        </w:rPr>
        <w:t>van het voorkeurrecht en geeft het aan welke de gevolgen daarvan zijn op de vermogens- en lidmaatschapsrechten van de</w:t>
      </w:r>
      <w:r>
        <w:rPr>
          <w:color w:val="231F20"/>
          <w:spacing w:val="5"/>
        </w:rPr>
        <w:t> </w:t>
      </w:r>
      <w:r>
        <w:rPr>
          <w:color w:val="231F20"/>
        </w:rPr>
        <w:t>aandeelhouders.</w:t>
      </w:r>
    </w:p>
    <w:p>
      <w:pPr>
        <w:spacing w:after="0" w:line="218" w:lineRule="auto"/>
        <w:sectPr>
          <w:headerReference w:type="even" r:id="rId51"/>
          <w:headerReference w:type="default" r:id="rId52"/>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3712" from="298.170502pt,64.473pt" to="298.170502pt,812.819pt" stroked="true" strokeweight=".533pt" strokecolor="#231f20">
            <v:stroke dashstyle="solid"/>
            <w10:wrap type="none"/>
          </v:line>
        </w:pict>
      </w:r>
      <w:bookmarkStart w:name="_bookmark112" w:id="117"/>
      <w:bookmarkEnd w:id="117"/>
      <w:r>
        <w:rPr/>
      </w:r>
      <w:r>
        <w:rPr>
          <w:color w:val="231F20"/>
        </w:rPr>
        <w:t>Dans le rapport visé à l’article 5:121, § 2, ou 5:122, alinéa 2, le commissaire évalue si les données financières et comptables contenues dans le rapport que l’organe d’administration a établi conformément à l’alinéa 2, sont fidèles et suffisantes dans tous leurs aspects significatifs pour éclairer l’assemblée générale appelée à voter sur cette proposition. Lorsqu’il n’y a pas de commissaire, cette déclaration est faite par un réviseur d’entreprises ou un expert-comptable externe désigné par l’organe d’administration.</w:t>
      </w:r>
    </w:p>
    <w:p>
      <w:pPr>
        <w:pStyle w:val="BodyText"/>
        <w:spacing w:line="218" w:lineRule="auto" w:before="97"/>
        <w:ind w:right="38"/>
      </w:pPr>
      <w:r>
        <w:rPr>
          <w:color w:val="231F20"/>
        </w:rPr>
        <w:t>En</w:t>
      </w:r>
      <w:r>
        <w:rPr>
          <w:color w:val="231F20"/>
          <w:spacing w:val="-4"/>
        </w:rPr>
        <w:t> </w:t>
      </w:r>
      <w:r>
        <w:rPr>
          <w:color w:val="231F20"/>
        </w:rPr>
        <w:t>l’absence</w:t>
      </w:r>
      <w:r>
        <w:rPr>
          <w:color w:val="231F20"/>
          <w:spacing w:val="-3"/>
        </w:rPr>
        <w:t> </w:t>
      </w:r>
      <w:r>
        <w:rPr>
          <w:color w:val="231F20"/>
        </w:rPr>
        <w:t>de</w:t>
      </w:r>
      <w:r>
        <w:rPr>
          <w:color w:val="231F20"/>
          <w:spacing w:val="-4"/>
        </w:rPr>
        <w:t> </w:t>
      </w:r>
      <w:r>
        <w:rPr>
          <w:color w:val="231F20"/>
        </w:rPr>
        <w:t>la</w:t>
      </w:r>
      <w:r>
        <w:rPr>
          <w:color w:val="231F20"/>
          <w:spacing w:val="-3"/>
        </w:rPr>
        <w:t> </w:t>
      </w:r>
      <w:r>
        <w:rPr>
          <w:color w:val="231F20"/>
        </w:rPr>
        <w:t>justification</w:t>
      </w:r>
      <w:r>
        <w:rPr>
          <w:color w:val="231F20"/>
          <w:spacing w:val="-3"/>
        </w:rPr>
        <w:t> </w:t>
      </w:r>
      <w:r>
        <w:rPr>
          <w:color w:val="231F20"/>
        </w:rPr>
        <w:t>prévue</w:t>
      </w:r>
      <w:r>
        <w:rPr>
          <w:color w:val="231F20"/>
          <w:spacing w:val="-4"/>
        </w:rPr>
        <w:t> </w:t>
      </w:r>
      <w:r>
        <w:rPr>
          <w:color w:val="231F20"/>
        </w:rPr>
        <w:t>à</w:t>
      </w:r>
      <w:r>
        <w:rPr>
          <w:color w:val="231F20"/>
          <w:spacing w:val="-3"/>
        </w:rPr>
        <w:t> </w:t>
      </w:r>
      <w:r>
        <w:rPr>
          <w:color w:val="231F20"/>
        </w:rPr>
        <w:t>l’alinéa</w:t>
      </w:r>
      <w:r>
        <w:rPr>
          <w:color w:val="231F20"/>
          <w:spacing w:val="-3"/>
        </w:rPr>
        <w:t> </w:t>
      </w:r>
      <w:r>
        <w:rPr>
          <w:color w:val="231F20"/>
        </w:rPr>
        <w:t>2,</w:t>
      </w:r>
      <w:r>
        <w:rPr>
          <w:color w:val="231F20"/>
          <w:spacing w:val="-4"/>
        </w:rPr>
        <w:t> </w:t>
      </w:r>
      <w:r>
        <w:rPr>
          <w:color w:val="231F20"/>
        </w:rPr>
        <w:t>ou</w:t>
      </w:r>
      <w:r>
        <w:rPr>
          <w:color w:val="231F20"/>
          <w:spacing w:val="-3"/>
        </w:rPr>
        <w:t> </w:t>
      </w:r>
      <w:r>
        <w:rPr>
          <w:color w:val="231F20"/>
        </w:rPr>
        <w:t>de</w:t>
      </w:r>
      <w:r>
        <w:rPr>
          <w:color w:val="231F20"/>
          <w:spacing w:val="-3"/>
        </w:rPr>
        <w:t> </w:t>
      </w:r>
      <w:r>
        <w:rPr>
          <w:color w:val="231F20"/>
        </w:rPr>
        <w:t>la</w:t>
      </w:r>
      <w:r>
        <w:rPr>
          <w:color w:val="231F20"/>
          <w:spacing w:val="-4"/>
        </w:rPr>
        <w:t> </w:t>
      </w:r>
      <w:r>
        <w:rPr>
          <w:color w:val="231F20"/>
        </w:rPr>
        <w:t>déclaration prévue à l’alinéa 3, les rapports visés aux articles 5:121 ou 5:122 et la décision</w:t>
      </w:r>
      <w:r>
        <w:rPr>
          <w:color w:val="231F20"/>
          <w:spacing w:val="15"/>
        </w:rPr>
        <w:t> </w:t>
      </w:r>
      <w:r>
        <w:rPr>
          <w:color w:val="231F20"/>
        </w:rPr>
        <w:t>de</w:t>
      </w:r>
      <w:r>
        <w:rPr>
          <w:color w:val="231F20"/>
          <w:spacing w:val="15"/>
        </w:rPr>
        <w:t> </w:t>
      </w:r>
      <w:r>
        <w:rPr>
          <w:color w:val="231F20"/>
        </w:rPr>
        <w:t>l’assemblée</w:t>
      </w:r>
      <w:r>
        <w:rPr>
          <w:color w:val="231F20"/>
          <w:spacing w:val="15"/>
        </w:rPr>
        <w:t> </w:t>
      </w:r>
      <w:r>
        <w:rPr>
          <w:color w:val="231F20"/>
        </w:rPr>
        <w:t>générale</w:t>
      </w:r>
      <w:r>
        <w:rPr>
          <w:color w:val="231F20"/>
          <w:spacing w:val="16"/>
        </w:rPr>
        <w:t> </w:t>
      </w:r>
      <w:r>
        <w:rPr>
          <w:color w:val="231F20"/>
        </w:rPr>
        <w:t>sont</w:t>
      </w:r>
      <w:r>
        <w:rPr>
          <w:color w:val="231F20"/>
          <w:spacing w:val="15"/>
        </w:rPr>
        <w:t> </w:t>
      </w:r>
      <w:r>
        <w:rPr>
          <w:color w:val="231F20"/>
        </w:rPr>
        <w:t>nuls.</w:t>
      </w:r>
    </w:p>
    <w:p>
      <w:pPr>
        <w:pStyle w:val="BodyText"/>
        <w:spacing w:before="11"/>
        <w:ind w:left="0" w:right="0" w:firstLine="0"/>
        <w:jc w:val="left"/>
        <w:rPr>
          <w:sz w:val="23"/>
        </w:rPr>
      </w:pPr>
    </w:p>
    <w:p>
      <w:pPr>
        <w:pStyle w:val="BodyText"/>
        <w:spacing w:line="218" w:lineRule="auto"/>
        <w:ind w:right="38"/>
      </w:pPr>
      <w:r>
        <w:rPr>
          <w:color w:val="231F20"/>
        </w:rPr>
        <w:t>La décision de l’assemblée générale de limiter ou de supprimer le droit de préférence doit être déposée et publiée conformément aux articles 2:8 et 2:14, 4°.</w:t>
      </w:r>
    </w:p>
    <w:p>
      <w:pPr>
        <w:pStyle w:val="BodyText"/>
        <w:spacing w:line="218" w:lineRule="auto" w:before="96"/>
        <w:ind w:right="38"/>
      </w:pPr>
      <w:r>
        <w:rPr>
          <w:color w:val="231F20"/>
        </w:rPr>
        <w:t>Art. 5:131. Quand le droit de préférence est limité ou supprimé en faveur d’une ou plusieurs personnes déterminées qui ne sont pas membres du personnel, l’identité du ou des bénéficiaire(s) de la limitation ou de la suppression du droit de préférence doit être mentionnée dans le rapport établi par l’organe d’administration ainsi que dans la convocation.</w:t>
      </w:r>
    </w:p>
    <w:p>
      <w:pPr>
        <w:pStyle w:val="BodyText"/>
        <w:spacing w:line="218" w:lineRule="auto" w:before="96"/>
        <w:ind w:right="38"/>
      </w:pPr>
      <w:r>
        <w:rPr>
          <w:color w:val="231F20"/>
        </w:rPr>
        <w:t>Le rapport établi par l’organe d’administration conformément à l’article 5:130, § 3, alinéa 2, justifie en détail l’opération et le prix d’émission au regard de l’intérêt social, en tenant compte en particulier de la situation financière de la société, de l’identité des bénéficiaires et de la nature et l’ampleur de leur apport.</w:t>
      </w:r>
    </w:p>
    <w:p>
      <w:pPr>
        <w:pStyle w:val="BodyText"/>
        <w:spacing w:line="218" w:lineRule="auto" w:before="97"/>
        <w:ind w:right="38"/>
      </w:pPr>
      <w:r>
        <w:rPr>
          <w:color w:val="231F20"/>
        </w:rPr>
        <w:t>Dans</w:t>
      </w:r>
      <w:r>
        <w:rPr>
          <w:color w:val="231F20"/>
          <w:spacing w:val="-8"/>
        </w:rPr>
        <w:t> </w:t>
      </w:r>
      <w:r>
        <w:rPr>
          <w:color w:val="231F20"/>
        </w:rPr>
        <w:t>le</w:t>
      </w:r>
      <w:r>
        <w:rPr>
          <w:color w:val="231F20"/>
          <w:spacing w:val="-7"/>
        </w:rPr>
        <w:t> </w:t>
      </w:r>
      <w:r>
        <w:rPr>
          <w:color w:val="231F20"/>
        </w:rPr>
        <w:t>rapport</w:t>
      </w:r>
      <w:r>
        <w:rPr>
          <w:color w:val="231F20"/>
          <w:spacing w:val="-7"/>
        </w:rPr>
        <w:t> </w:t>
      </w:r>
      <w:r>
        <w:rPr>
          <w:color w:val="231F20"/>
          <w:spacing w:val="7"/>
        </w:rPr>
        <w:t>viséà</w:t>
      </w:r>
      <w:r>
        <w:rPr>
          <w:color w:val="231F20"/>
          <w:spacing w:val="-7"/>
        </w:rPr>
        <w:t> </w:t>
      </w:r>
      <w:r>
        <w:rPr>
          <w:color w:val="231F20"/>
        </w:rPr>
        <w:t>l’article</w:t>
      </w:r>
      <w:r>
        <w:rPr>
          <w:color w:val="231F20"/>
          <w:spacing w:val="-7"/>
        </w:rPr>
        <w:t> </w:t>
      </w:r>
      <w:r>
        <w:rPr>
          <w:color w:val="231F20"/>
        </w:rPr>
        <w:t>5:130,</w:t>
      </w:r>
      <w:r>
        <w:rPr>
          <w:color w:val="231F20"/>
          <w:spacing w:val="-7"/>
        </w:rPr>
        <w:t> </w:t>
      </w:r>
      <w:r>
        <w:rPr>
          <w:color w:val="231F20"/>
        </w:rPr>
        <w:t>§</w:t>
      </w:r>
      <w:r>
        <w:rPr>
          <w:color w:val="231F20"/>
          <w:spacing w:val="-7"/>
        </w:rPr>
        <w:t> </w:t>
      </w:r>
      <w:r>
        <w:rPr>
          <w:color w:val="231F20"/>
        </w:rPr>
        <w:t>3,</w:t>
      </w:r>
      <w:r>
        <w:rPr>
          <w:color w:val="231F20"/>
          <w:spacing w:val="-7"/>
        </w:rPr>
        <w:t> </w:t>
      </w:r>
      <w:r>
        <w:rPr>
          <w:color w:val="231F20"/>
        </w:rPr>
        <w:t>alinéa</w:t>
      </w:r>
      <w:r>
        <w:rPr>
          <w:color w:val="231F20"/>
          <w:spacing w:val="-7"/>
        </w:rPr>
        <w:t> </w:t>
      </w:r>
      <w:r>
        <w:rPr>
          <w:color w:val="231F20"/>
        </w:rPr>
        <w:t>3,</w:t>
      </w:r>
      <w:r>
        <w:rPr>
          <w:color w:val="231F20"/>
          <w:spacing w:val="-7"/>
        </w:rPr>
        <w:t> </w:t>
      </w:r>
      <w:r>
        <w:rPr>
          <w:color w:val="231F20"/>
        </w:rPr>
        <w:t>le</w:t>
      </w:r>
      <w:r>
        <w:rPr>
          <w:color w:val="231F20"/>
          <w:spacing w:val="-7"/>
        </w:rPr>
        <w:t> </w:t>
      </w:r>
      <w:r>
        <w:rPr>
          <w:color w:val="231F20"/>
        </w:rPr>
        <w:t>commissaire</w:t>
      </w:r>
      <w:r>
        <w:rPr>
          <w:color w:val="231F20"/>
          <w:spacing w:val="-7"/>
        </w:rPr>
        <w:t> </w:t>
      </w:r>
      <w:r>
        <w:rPr>
          <w:color w:val="231F20"/>
        </w:rPr>
        <w:t>émet une évaluation circonstanciée de la justification du prix d’émission. Lorsqu’il n’y a pas de commissaire, cette évaluation est faite par un réviseur d’entreprises ou un expert-comptable externe désigné par l’organe</w:t>
      </w:r>
      <w:r>
        <w:rPr>
          <w:color w:val="231F20"/>
          <w:spacing w:val="15"/>
        </w:rPr>
        <w:t> </w:t>
      </w:r>
      <w:r>
        <w:rPr>
          <w:color w:val="231F20"/>
        </w:rPr>
        <w:t>d’administration.</w:t>
      </w:r>
    </w:p>
    <w:p>
      <w:pPr>
        <w:pStyle w:val="BodyText"/>
        <w:spacing w:line="218" w:lineRule="auto" w:before="96"/>
        <w:ind w:right="38"/>
      </w:pPr>
      <w:r>
        <w:rPr>
          <w:color w:val="231F20"/>
        </w:rPr>
        <w:t>L’absence de la justification prévue à l’alinéa 2, ou de l’évaluation prévue à l’alinéa 3, entraîne la nullité  des  rapports  visés  aux  arti-  cles</w:t>
      </w:r>
      <w:r>
        <w:rPr>
          <w:color w:val="231F20"/>
          <w:spacing w:val="14"/>
        </w:rPr>
        <w:t> </w:t>
      </w:r>
      <w:r>
        <w:rPr>
          <w:color w:val="231F20"/>
        </w:rPr>
        <w:t>5:121</w:t>
      </w:r>
      <w:r>
        <w:rPr>
          <w:color w:val="231F20"/>
          <w:spacing w:val="15"/>
        </w:rPr>
        <w:t> </w:t>
      </w:r>
      <w:r>
        <w:rPr>
          <w:color w:val="231F20"/>
        </w:rPr>
        <w:t>ou</w:t>
      </w:r>
      <w:r>
        <w:rPr>
          <w:color w:val="231F20"/>
          <w:spacing w:val="15"/>
        </w:rPr>
        <w:t> </w:t>
      </w:r>
      <w:r>
        <w:rPr>
          <w:color w:val="231F20"/>
        </w:rPr>
        <w:t>5:122</w:t>
      </w:r>
      <w:r>
        <w:rPr>
          <w:color w:val="231F20"/>
          <w:spacing w:val="15"/>
        </w:rPr>
        <w:t> </w:t>
      </w:r>
      <w:r>
        <w:rPr>
          <w:color w:val="231F20"/>
        </w:rPr>
        <w:t>et</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de</w:t>
      </w:r>
      <w:r>
        <w:rPr>
          <w:color w:val="231F20"/>
          <w:spacing w:val="15"/>
        </w:rPr>
        <w:t> </w:t>
      </w:r>
      <w:r>
        <w:rPr>
          <w:color w:val="231F20"/>
        </w:rPr>
        <w:t>l’assemblée</w:t>
      </w:r>
      <w:r>
        <w:rPr>
          <w:color w:val="231F20"/>
          <w:spacing w:val="15"/>
        </w:rPr>
        <w:t> </w:t>
      </w:r>
      <w:r>
        <w:rPr>
          <w:color w:val="231F20"/>
        </w:rPr>
        <w:t>générale.</w:t>
      </w:r>
    </w:p>
    <w:p>
      <w:pPr>
        <w:pStyle w:val="BodyText"/>
        <w:spacing w:before="11"/>
        <w:ind w:left="0" w:right="0" w:firstLine="0"/>
        <w:jc w:val="left"/>
        <w:rPr>
          <w:sz w:val="23"/>
        </w:rPr>
      </w:pPr>
    </w:p>
    <w:p>
      <w:pPr>
        <w:pStyle w:val="BodyText"/>
        <w:spacing w:line="218" w:lineRule="auto"/>
        <w:ind w:right="38"/>
      </w:pPr>
      <w:r>
        <w:rPr>
          <w:color w:val="231F20"/>
        </w:rPr>
        <w:t>Si un bénéficiaire détient des titres de la société auxquels sont attachés plus de 10 % des droits de vote, il ne peut participer au vote lors</w:t>
      </w:r>
      <w:r>
        <w:rPr>
          <w:color w:val="231F20"/>
          <w:spacing w:val="16"/>
        </w:rPr>
        <w:t> </w:t>
      </w:r>
      <w:r>
        <w:rPr>
          <w:color w:val="231F20"/>
        </w:rPr>
        <w:t>de</w:t>
      </w:r>
      <w:r>
        <w:rPr>
          <w:color w:val="231F20"/>
          <w:spacing w:val="16"/>
        </w:rPr>
        <w:t> </w:t>
      </w:r>
      <w:r>
        <w:rPr>
          <w:color w:val="231F20"/>
        </w:rPr>
        <w:t>l’assemblée</w:t>
      </w:r>
      <w:r>
        <w:rPr>
          <w:color w:val="231F20"/>
          <w:spacing w:val="16"/>
        </w:rPr>
        <w:t> </w:t>
      </w:r>
      <w:r>
        <w:rPr>
          <w:color w:val="231F20"/>
        </w:rPr>
        <w:t>générale</w:t>
      </w:r>
      <w:r>
        <w:rPr>
          <w:color w:val="231F20"/>
          <w:spacing w:val="16"/>
        </w:rPr>
        <w:t> </w:t>
      </w:r>
      <w:r>
        <w:rPr>
          <w:color w:val="231F20"/>
        </w:rPr>
        <w:t>qui</w:t>
      </w:r>
      <w:r>
        <w:rPr>
          <w:color w:val="231F20"/>
          <w:spacing w:val="16"/>
        </w:rPr>
        <w:t> </w:t>
      </w:r>
      <w:r>
        <w:rPr>
          <w:color w:val="231F20"/>
        </w:rPr>
        <w:t>se</w:t>
      </w:r>
      <w:r>
        <w:rPr>
          <w:color w:val="231F20"/>
          <w:spacing w:val="16"/>
        </w:rPr>
        <w:t> </w:t>
      </w:r>
      <w:r>
        <w:rPr>
          <w:color w:val="231F20"/>
        </w:rPr>
        <w:t>prononce</w:t>
      </w:r>
      <w:r>
        <w:rPr>
          <w:color w:val="231F20"/>
          <w:spacing w:val="16"/>
        </w:rPr>
        <w:t> </w:t>
      </w:r>
      <w:r>
        <w:rPr>
          <w:color w:val="231F20"/>
        </w:rPr>
        <w:t>sur</w:t>
      </w:r>
      <w:r>
        <w:rPr>
          <w:color w:val="231F20"/>
          <w:spacing w:val="16"/>
        </w:rPr>
        <w:t> </w:t>
      </w:r>
      <w:r>
        <w:rPr>
          <w:color w:val="231F20"/>
        </w:rPr>
        <w:t>l’opération.</w:t>
      </w:r>
    </w:p>
    <w:p>
      <w:pPr>
        <w:pStyle w:val="BodyText"/>
        <w:spacing w:line="440" w:lineRule="atLeast" w:before="11"/>
        <w:ind w:left="284" w:right="0" w:firstLine="0"/>
        <w:jc w:val="left"/>
      </w:pPr>
      <w:r>
        <w:rPr>
          <w:color w:val="231F20"/>
        </w:rPr>
        <w:t>Aux titres détenus par cet actionnaire, sont ajoutés les titres détenus: 1° par un tiers agissant en son nom propre, mais pour le compte de</w:t>
      </w:r>
    </w:p>
    <w:p>
      <w:pPr>
        <w:pStyle w:val="BodyText"/>
        <w:spacing w:line="184" w:lineRule="exact"/>
        <w:ind w:right="0" w:firstLine="0"/>
        <w:jc w:val="left"/>
      </w:pPr>
      <w:r>
        <w:rPr>
          <w:color w:val="231F20"/>
        </w:rPr>
        <w:t>l’actionnaire visé;</w:t>
      </w:r>
    </w:p>
    <w:p>
      <w:pPr>
        <w:pStyle w:val="BodyText"/>
        <w:spacing w:before="89"/>
        <w:ind w:left="284" w:right="0" w:firstLine="0"/>
        <w:jc w:val="left"/>
      </w:pPr>
      <w:r>
        <w:rPr>
          <w:color w:val="231F20"/>
        </w:rPr>
        <w:t>2° par une personne physique ou morale liée à l’actionnaire visé;</w:t>
      </w:r>
    </w:p>
    <w:p>
      <w:pPr>
        <w:pStyle w:val="BodyText"/>
        <w:spacing w:before="7"/>
        <w:ind w:left="0" w:right="0" w:firstLine="0"/>
        <w:jc w:val="left"/>
        <w:rPr>
          <w:sz w:val="24"/>
        </w:rPr>
      </w:pPr>
    </w:p>
    <w:p>
      <w:pPr>
        <w:pStyle w:val="BodyText"/>
        <w:spacing w:line="218" w:lineRule="auto"/>
        <w:ind w:right="38"/>
      </w:pPr>
      <w:r>
        <w:rPr>
          <w:color w:val="231F20"/>
        </w:rPr>
        <w:t>3° par un tiers agissant en son nom propre, mais pour le compte d’une personne physique ou morale liée à l’actionnaire visé;</w:t>
      </w:r>
    </w:p>
    <w:p>
      <w:pPr>
        <w:pStyle w:val="BodyText"/>
        <w:spacing w:before="7"/>
        <w:ind w:left="0" w:right="0" w:firstLine="0"/>
        <w:jc w:val="left"/>
        <w:rPr>
          <w:sz w:val="23"/>
        </w:rPr>
      </w:pPr>
    </w:p>
    <w:p>
      <w:pPr>
        <w:pStyle w:val="BodyText"/>
        <w:ind w:left="284" w:right="0" w:firstLine="0"/>
        <w:jc w:val="left"/>
      </w:pPr>
      <w:r>
        <w:rPr>
          <w:color w:val="231F20"/>
        </w:rPr>
        <w:t>4° par des personnes agissant de concert.</w:t>
      </w:r>
    </w:p>
    <w:p>
      <w:pPr>
        <w:pStyle w:val="BodyText"/>
        <w:spacing w:before="89"/>
        <w:ind w:left="284" w:right="0" w:firstLine="0"/>
        <w:jc w:val="left"/>
      </w:pPr>
      <w:r>
        <w:rPr>
          <w:color w:val="231F20"/>
        </w:rPr>
        <w:t>Par personnes agissant de concert, il faut entendre:</w:t>
      </w:r>
    </w:p>
    <w:p>
      <w:pPr>
        <w:pStyle w:val="ListParagraph"/>
        <w:numPr>
          <w:ilvl w:val="0"/>
          <w:numId w:val="98"/>
        </w:numPr>
        <w:tabs>
          <w:tab w:pos="468" w:val="left" w:leader="none"/>
        </w:tabs>
        <w:spacing w:line="218" w:lineRule="auto" w:before="101" w:after="0"/>
        <w:ind w:left="113" w:right="38" w:firstLine="171"/>
        <w:jc w:val="both"/>
        <w:rPr>
          <w:sz w:val="17"/>
        </w:rPr>
      </w:pPr>
      <w:r>
        <w:rPr>
          <w:color w:val="231F20"/>
          <w:sz w:val="17"/>
        </w:rPr>
        <w:t>les personnes physiques ou morales qui, dans le cadre d’une </w:t>
      </w:r>
      <w:r>
        <w:rPr>
          <w:color w:val="231F20"/>
          <w:spacing w:val="-4"/>
          <w:sz w:val="17"/>
        </w:rPr>
        <w:t>offre </w:t>
      </w:r>
      <w:r>
        <w:rPr>
          <w:color w:val="231F20"/>
          <w:sz w:val="17"/>
        </w:rPr>
        <w:t>publique d’acquisition, coopèrent avec l’offrant, avec la société visée ou avec d’autres personnes, sur la base d’un accord, formel ou tacite, oral ou écrit, visant à obtenir le contrôle de la société visée, à faire échouer une</w:t>
      </w:r>
      <w:r>
        <w:rPr>
          <w:color w:val="231F20"/>
          <w:spacing w:val="15"/>
          <w:sz w:val="17"/>
        </w:rPr>
        <w:t> </w:t>
      </w:r>
      <w:r>
        <w:rPr>
          <w:color w:val="231F20"/>
          <w:spacing w:val="-4"/>
          <w:sz w:val="17"/>
        </w:rPr>
        <w:t>offre</w:t>
      </w:r>
      <w:r>
        <w:rPr>
          <w:color w:val="231F20"/>
          <w:spacing w:val="15"/>
          <w:sz w:val="17"/>
        </w:rPr>
        <w:t> </w:t>
      </w:r>
      <w:r>
        <w:rPr>
          <w:color w:val="231F20"/>
          <w:sz w:val="17"/>
        </w:rPr>
        <w:t>ou</w:t>
      </w:r>
      <w:r>
        <w:rPr>
          <w:color w:val="231F20"/>
          <w:spacing w:val="15"/>
          <w:sz w:val="17"/>
        </w:rPr>
        <w:t> </w:t>
      </w:r>
      <w:r>
        <w:rPr>
          <w:color w:val="231F20"/>
          <w:sz w:val="17"/>
        </w:rPr>
        <w:t>à</w:t>
      </w:r>
      <w:r>
        <w:rPr>
          <w:color w:val="231F20"/>
          <w:spacing w:val="15"/>
          <w:sz w:val="17"/>
        </w:rPr>
        <w:t> </w:t>
      </w:r>
      <w:r>
        <w:rPr>
          <w:color w:val="231F20"/>
          <w:sz w:val="17"/>
        </w:rPr>
        <w:t>maintenir</w:t>
      </w:r>
      <w:r>
        <w:rPr>
          <w:color w:val="231F20"/>
          <w:spacing w:val="15"/>
          <w:sz w:val="17"/>
        </w:rPr>
        <w:t> </w:t>
      </w:r>
      <w:r>
        <w:rPr>
          <w:color w:val="231F20"/>
          <w:sz w:val="17"/>
        </w:rPr>
        <w:t>le</w:t>
      </w:r>
      <w:r>
        <w:rPr>
          <w:color w:val="231F20"/>
          <w:spacing w:val="15"/>
          <w:sz w:val="17"/>
        </w:rPr>
        <w:t> </w:t>
      </w:r>
      <w:r>
        <w:rPr>
          <w:color w:val="231F20"/>
          <w:sz w:val="17"/>
        </w:rPr>
        <w:t>contrôle</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société</w:t>
      </w:r>
      <w:r>
        <w:rPr>
          <w:color w:val="231F20"/>
          <w:spacing w:val="15"/>
          <w:sz w:val="17"/>
        </w:rPr>
        <w:t> </w:t>
      </w:r>
      <w:r>
        <w:rPr>
          <w:color w:val="231F20"/>
          <w:sz w:val="17"/>
        </w:rPr>
        <w:t>visée;</w:t>
      </w:r>
    </w:p>
    <w:p>
      <w:pPr>
        <w:pStyle w:val="BodyText"/>
        <w:ind w:left="0" w:right="0" w:firstLine="0"/>
        <w:jc w:val="left"/>
        <w:rPr>
          <w:sz w:val="20"/>
        </w:rPr>
      </w:pPr>
    </w:p>
    <w:p>
      <w:pPr>
        <w:pStyle w:val="BodyText"/>
        <w:spacing w:before="2"/>
        <w:ind w:left="0" w:right="0" w:firstLine="0"/>
        <w:jc w:val="left"/>
        <w:rPr>
          <w:sz w:val="20"/>
        </w:rPr>
      </w:pPr>
    </w:p>
    <w:p>
      <w:pPr>
        <w:pStyle w:val="ListParagraph"/>
        <w:numPr>
          <w:ilvl w:val="0"/>
          <w:numId w:val="98"/>
        </w:numPr>
        <w:tabs>
          <w:tab w:pos="504" w:val="left" w:leader="none"/>
        </w:tabs>
        <w:spacing w:line="218" w:lineRule="auto" w:before="0" w:after="0"/>
        <w:ind w:left="113" w:right="38" w:firstLine="171"/>
        <w:jc w:val="both"/>
        <w:rPr>
          <w:sz w:val="17"/>
        </w:rPr>
      </w:pPr>
      <w:r>
        <w:rPr>
          <w:color w:val="231F20"/>
          <w:sz w:val="17"/>
        </w:rPr>
        <w:t>les personnes physiques ou morales qui ont conclu un accord portant sur l’exercice concerté de leurs droits de vote, en vue de mener une</w:t>
      </w:r>
      <w:r>
        <w:rPr>
          <w:color w:val="231F20"/>
          <w:spacing w:val="16"/>
          <w:sz w:val="17"/>
        </w:rPr>
        <w:t> </w:t>
      </w:r>
      <w:r>
        <w:rPr>
          <w:color w:val="231F20"/>
          <w:sz w:val="17"/>
        </w:rPr>
        <w:t>politique</w:t>
      </w:r>
      <w:r>
        <w:rPr>
          <w:color w:val="231F20"/>
          <w:spacing w:val="16"/>
          <w:sz w:val="17"/>
        </w:rPr>
        <w:t> </w:t>
      </w:r>
      <w:r>
        <w:rPr>
          <w:color w:val="231F20"/>
          <w:sz w:val="17"/>
        </w:rPr>
        <w:t>commune</w:t>
      </w:r>
      <w:r>
        <w:rPr>
          <w:color w:val="231F20"/>
          <w:spacing w:val="17"/>
          <w:sz w:val="17"/>
        </w:rPr>
        <w:t> </w:t>
      </w:r>
      <w:r>
        <w:rPr>
          <w:color w:val="231F20"/>
          <w:sz w:val="17"/>
        </w:rPr>
        <w:t>durable</w:t>
      </w:r>
      <w:r>
        <w:rPr>
          <w:color w:val="231F20"/>
          <w:spacing w:val="16"/>
          <w:sz w:val="17"/>
        </w:rPr>
        <w:t> </w:t>
      </w:r>
      <w:r>
        <w:rPr>
          <w:color w:val="231F20"/>
          <w:sz w:val="17"/>
        </w:rPr>
        <w:t>vis-à-vis</w:t>
      </w:r>
      <w:r>
        <w:rPr>
          <w:color w:val="231F20"/>
          <w:spacing w:val="17"/>
          <w:sz w:val="17"/>
        </w:rPr>
        <w:t> </w:t>
      </w:r>
      <w:r>
        <w:rPr>
          <w:color w:val="231F20"/>
          <w:sz w:val="17"/>
        </w:rPr>
        <w:t>de</w:t>
      </w:r>
      <w:r>
        <w:rPr>
          <w:color w:val="231F20"/>
          <w:spacing w:val="16"/>
          <w:sz w:val="17"/>
        </w:rPr>
        <w:t> </w:t>
      </w:r>
      <w:r>
        <w:rPr>
          <w:color w:val="231F20"/>
          <w:sz w:val="17"/>
        </w:rPr>
        <w:t>la</w:t>
      </w:r>
      <w:r>
        <w:rPr>
          <w:color w:val="231F20"/>
          <w:spacing w:val="17"/>
          <w:sz w:val="17"/>
        </w:rPr>
        <w:t> </w:t>
      </w:r>
      <w:r>
        <w:rPr>
          <w:color w:val="231F20"/>
          <w:sz w:val="17"/>
        </w:rPr>
        <w:t>société</w:t>
      </w:r>
      <w:r>
        <w:rPr>
          <w:color w:val="231F20"/>
          <w:spacing w:val="16"/>
          <w:sz w:val="17"/>
        </w:rPr>
        <w:t> </w:t>
      </w:r>
      <w:r>
        <w:rPr>
          <w:color w:val="231F20"/>
          <w:sz w:val="17"/>
        </w:rPr>
        <w:t>concernée.</w:t>
      </w:r>
    </w:p>
    <w:p>
      <w:pPr>
        <w:pStyle w:val="BodyText"/>
        <w:spacing w:before="10"/>
        <w:ind w:left="0" w:right="0" w:firstLine="0"/>
        <w:jc w:val="left"/>
        <w:rPr>
          <w:sz w:val="24"/>
        </w:rPr>
      </w:pPr>
    </w:p>
    <w:p>
      <w:pPr>
        <w:pStyle w:val="BodyText"/>
        <w:spacing w:line="218" w:lineRule="auto"/>
        <w:ind w:right="38"/>
      </w:pPr>
      <w:r>
        <w:rPr>
          <w:color w:val="231F20"/>
        </w:rPr>
        <w:t>Les détenteurs des titres visés à l’alinéa 6 ne peuvent davantage participer au vote. Le quorum de présence et la majorité se calculent après déduction des voix attachées aux titres que possèdent le bénéficiaire et les personnes visées à l’alinéa 6.</w:t>
      </w:r>
    </w:p>
    <w:p>
      <w:pPr>
        <w:pStyle w:val="BodyText"/>
        <w:spacing w:before="7"/>
        <w:ind w:left="0" w:right="0" w:firstLine="0"/>
        <w:jc w:val="left"/>
        <w:rPr>
          <w:sz w:val="23"/>
        </w:rPr>
      </w:pPr>
    </w:p>
    <w:p>
      <w:pPr>
        <w:pStyle w:val="BodyText"/>
        <w:ind w:left="284" w:right="0" w:firstLine="0"/>
        <w:jc w:val="left"/>
      </w:pPr>
      <w:r>
        <w:rPr>
          <w:color w:val="231F20"/>
        </w:rPr>
        <w:t>Sous-section 3. Libération des apports en numéraire.</w:t>
      </w:r>
    </w:p>
    <w:p>
      <w:pPr>
        <w:pStyle w:val="BodyText"/>
        <w:spacing w:line="216" w:lineRule="auto" w:before="105"/>
        <w:ind w:right="38" w:firstLine="171"/>
      </w:pPr>
      <w:r>
        <w:rPr>
          <w:color w:val="231F20"/>
        </w:rPr>
        <w:t>Art. 5:132. En cas d’apport en numéraire à libérer lors de la réception de l’acte constatant l’émission d’actions nouvelles ou l’acceptation de l’apport par l’assemblée générale, les fonds sont préalablement déposés par versement ou virement sur un compte spécial ouvert au nom de la société auprès auprès d’un établissement de crédit établi dans l’Espace économique européen au sens de l’article 4, paragraphe 1</w:t>
      </w:r>
      <w:r>
        <w:rPr>
          <w:color w:val="231F20"/>
          <w:position w:val="7"/>
          <w:sz w:val="11"/>
        </w:rPr>
        <w:t>er</w:t>
      </w:r>
      <w:r>
        <w:rPr>
          <w:color w:val="231F20"/>
        </w:rPr>
        <w:t>, point 1), du règlement (UE) nr. 575/2013. Une preuve de ce dépôt est remise au notaire instrumentant.</w:t>
      </w:r>
    </w:p>
    <w:p>
      <w:pPr>
        <w:pStyle w:val="BodyText"/>
        <w:spacing w:line="218" w:lineRule="auto" w:before="119"/>
      </w:pPr>
      <w:r>
        <w:rPr/>
        <w:br w:type="column"/>
      </w:r>
      <w:r>
        <w:rPr>
          <w:color w:val="231F20"/>
        </w:rPr>
        <w:t>In het in artikel 5:121, § 2, of 5:122, tweede lid, bedoeld verslag beoordeelt de commissaris of in het verslag van het bestuursorgaan opgesteld overeenkomstig het tweede lid, de opgenomen financiële en boekhoudkundige gegevens in alle van materieel belang zijnde opzich- ten getrouw en voldoende zijn om de algemene vergadering die over  het voorstel moet stemmen voor te lichten. Als er geen commissaris is, wordt deze verklaring verstrekt door een bedrijfsrevisor of een externe accountant aangewezen door het</w:t>
      </w:r>
      <w:r>
        <w:rPr>
          <w:color w:val="231F20"/>
          <w:spacing w:val="22"/>
        </w:rPr>
        <w:t> </w:t>
      </w:r>
      <w:r>
        <w:rPr>
          <w:color w:val="231F20"/>
        </w:rPr>
        <w:t>bestuursorgaan.</w:t>
      </w:r>
    </w:p>
    <w:p>
      <w:pPr>
        <w:pStyle w:val="BodyText"/>
        <w:spacing w:line="218" w:lineRule="auto" w:before="97"/>
      </w:pPr>
      <w:r>
        <w:rPr>
          <w:color w:val="231F20"/>
          <w:spacing w:val="-3"/>
        </w:rPr>
        <w:t>Wanneer </w:t>
      </w:r>
      <w:r>
        <w:rPr>
          <w:color w:val="231F20"/>
        </w:rPr>
        <w:t>de verantwoording bedoeld in het tweede lid, of de verklaring bedoeld in het derde lid, ontbreekt,  zijn  de  in  de</w:t>
      </w:r>
      <w:r>
        <w:rPr>
          <w:color w:val="231F20"/>
          <w:spacing w:val="20"/>
        </w:rPr>
        <w:t> </w:t>
      </w:r>
      <w:r>
        <w:rPr>
          <w:color w:val="231F20"/>
        </w:rPr>
        <w:t>artike- len 5:121 of 5:122 bedoelde verslagen en het besluit van de algemene vergadering</w:t>
      </w:r>
      <w:r>
        <w:rPr>
          <w:color w:val="231F20"/>
          <w:spacing w:val="15"/>
        </w:rPr>
        <w:t> </w:t>
      </w:r>
      <w:r>
        <w:rPr>
          <w:color w:val="231F20"/>
        </w:rPr>
        <w:t>nietig.</w:t>
      </w:r>
    </w:p>
    <w:p>
      <w:pPr>
        <w:pStyle w:val="BodyText"/>
        <w:spacing w:line="218" w:lineRule="auto" w:before="96"/>
      </w:pPr>
      <w:r>
        <w:rPr>
          <w:color w:val="231F20"/>
        </w:rPr>
        <w:t>Het besluit van de algemene vergadering om het voorkeurrecht te beperken of op te heffen moet worden neergelegd en bekendgemaakt overeenkomstig de artikelen 2:8 en 2:14, 4°.</w:t>
      </w:r>
    </w:p>
    <w:p>
      <w:pPr>
        <w:pStyle w:val="BodyText"/>
        <w:spacing w:line="218" w:lineRule="auto" w:before="96"/>
        <w:ind w:right="123"/>
      </w:pPr>
      <w:r>
        <w:rPr>
          <w:color w:val="231F20"/>
        </w:rPr>
        <w:t>Art. 5:131. </w:t>
      </w:r>
      <w:r>
        <w:rPr>
          <w:color w:val="231F20"/>
          <w:spacing w:val="-3"/>
        </w:rPr>
        <w:t>Wanneer </w:t>
      </w:r>
      <w:r>
        <w:rPr>
          <w:color w:val="231F20"/>
        </w:rPr>
        <w:t>het voorkeurrecht wordt beperkt of opgeheven ten gunste van een of meer bepaalde personen die niet behoren tot het personeel, moet de identiteit van de begunstigde of de begunstigden van de beperking of de </w:t>
      </w:r>
      <w:r>
        <w:rPr>
          <w:color w:val="231F20"/>
          <w:spacing w:val="-3"/>
        </w:rPr>
        <w:t>opheffing </w:t>
      </w:r>
      <w:r>
        <w:rPr>
          <w:color w:val="231F20"/>
        </w:rPr>
        <w:t>van het voorkeurrecht worden vermeld in het door het bestuursorgaan op te stellen verslag, alsook in de</w:t>
      </w:r>
      <w:r>
        <w:rPr>
          <w:color w:val="231F20"/>
          <w:spacing w:val="15"/>
        </w:rPr>
        <w:t> </w:t>
      </w:r>
      <w:r>
        <w:rPr>
          <w:color w:val="231F20"/>
        </w:rPr>
        <w:t>oproeping.</w:t>
      </w:r>
    </w:p>
    <w:p>
      <w:pPr>
        <w:pStyle w:val="BodyText"/>
        <w:spacing w:line="218" w:lineRule="auto" w:before="97"/>
      </w:pPr>
      <w:r>
        <w:rPr>
          <w:color w:val="231F20"/>
        </w:rPr>
        <w:t>Het door het bestuursorgaan overeenkomstig het in artikel 5:130, § 3, tweede lid, opgesteld verslag verantwoordt de verrichting en de uitgifteprijs omstandig in het vennootschapsbelang, gelet in het bijzonder op de financiële toestand van de vennootschap, de identiteit van de begunstigden en de aard en omvang van hun inbreng.</w:t>
      </w:r>
    </w:p>
    <w:p>
      <w:pPr>
        <w:pStyle w:val="BodyText"/>
        <w:spacing w:line="218" w:lineRule="auto" w:before="96"/>
      </w:pPr>
      <w:r>
        <w:rPr>
          <w:color w:val="231F20"/>
        </w:rPr>
        <w:t>In het in artikel 5:130, § 3, derde lid, bedoeld verslag verstrekt de commissaris een omstandige beoordeling over de verantwoording van de uitgifteprijs. Als er geen commissaris is, wordt deze beoordeling verstrekt door een bedrijfsrevisor of een externe accountant aangewe- zen door het bestuursorgaan.</w:t>
      </w:r>
    </w:p>
    <w:p>
      <w:pPr>
        <w:pStyle w:val="BodyText"/>
        <w:spacing w:line="218" w:lineRule="auto" w:before="97"/>
      </w:pPr>
      <w:r>
        <w:rPr>
          <w:color w:val="231F20"/>
        </w:rPr>
        <w:t>Het ontbreken van de verantwoording bedoeld in het tweede lid, of van de beoordeling bedoeld in het derde lid, heeft de nietigheid van de in de artikelen 5:121 of 5:122 bedoelde verslagen en van het besluit van de algemene vergadering tot gevolg.</w:t>
      </w:r>
    </w:p>
    <w:p>
      <w:pPr>
        <w:pStyle w:val="BodyText"/>
        <w:spacing w:line="218" w:lineRule="auto" w:before="96"/>
      </w:pPr>
      <w:r>
        <w:rPr>
          <w:color w:val="231F20"/>
        </w:rPr>
        <w:t>Indien een begunstigde effecten van de vennootschap in zijn bezit houdt waaraan meer dan 10 % van de stemrechten zijn verbonden mag hij niet deelnemen aan de stemming op de algemene vergadering die tot de verrichting</w:t>
      </w:r>
      <w:r>
        <w:rPr>
          <w:color w:val="231F20"/>
          <w:spacing w:val="4"/>
        </w:rPr>
        <w:t> </w:t>
      </w:r>
      <w:r>
        <w:rPr>
          <w:color w:val="231F20"/>
        </w:rPr>
        <w:t>besluit.</w:t>
      </w:r>
    </w:p>
    <w:p>
      <w:pPr>
        <w:pStyle w:val="BodyText"/>
        <w:spacing w:line="218" w:lineRule="auto" w:before="96"/>
      </w:pPr>
      <w:r>
        <w:rPr>
          <w:color w:val="231F20"/>
        </w:rPr>
        <w:t>Bij de door deze aandeelhouder in bezit gehouden effecten, worden de</w:t>
      </w:r>
      <w:r>
        <w:rPr>
          <w:color w:val="231F20"/>
          <w:spacing w:val="17"/>
        </w:rPr>
        <w:t> </w:t>
      </w:r>
      <w:r>
        <w:rPr>
          <w:color w:val="231F20"/>
        </w:rPr>
        <w:t>effecten</w:t>
      </w:r>
      <w:r>
        <w:rPr>
          <w:color w:val="231F20"/>
          <w:spacing w:val="18"/>
        </w:rPr>
        <w:t> </w:t>
      </w:r>
      <w:r>
        <w:rPr>
          <w:color w:val="231F20"/>
        </w:rPr>
        <w:t>gevoegd</w:t>
      </w:r>
      <w:r>
        <w:rPr>
          <w:color w:val="231F20"/>
          <w:spacing w:val="17"/>
        </w:rPr>
        <w:t> </w:t>
      </w:r>
      <w:r>
        <w:rPr>
          <w:color w:val="231F20"/>
        </w:rPr>
        <w:t>die</w:t>
      </w:r>
      <w:r>
        <w:rPr>
          <w:color w:val="231F20"/>
          <w:spacing w:val="18"/>
        </w:rPr>
        <w:t> </w:t>
      </w:r>
      <w:r>
        <w:rPr>
          <w:color w:val="231F20"/>
        </w:rPr>
        <w:t>in</w:t>
      </w:r>
      <w:r>
        <w:rPr>
          <w:color w:val="231F20"/>
          <w:spacing w:val="17"/>
        </w:rPr>
        <w:t> </w:t>
      </w:r>
      <w:r>
        <w:rPr>
          <w:color w:val="231F20"/>
        </w:rPr>
        <w:t>bezit</w:t>
      </w:r>
      <w:r>
        <w:rPr>
          <w:color w:val="231F20"/>
          <w:spacing w:val="18"/>
        </w:rPr>
        <w:t> </w:t>
      </w:r>
      <w:r>
        <w:rPr>
          <w:color w:val="231F20"/>
        </w:rPr>
        <w:t>worden</w:t>
      </w:r>
      <w:r>
        <w:rPr>
          <w:color w:val="231F20"/>
          <w:spacing w:val="18"/>
        </w:rPr>
        <w:t> </w:t>
      </w:r>
      <w:r>
        <w:rPr>
          <w:color w:val="231F20"/>
        </w:rPr>
        <w:t>gehouden</w:t>
      </w:r>
      <w:r>
        <w:rPr>
          <w:color w:val="231F20"/>
          <w:spacing w:val="17"/>
        </w:rPr>
        <w:t> </w:t>
      </w:r>
      <w:r>
        <w:rPr>
          <w:color w:val="231F20"/>
        </w:rPr>
        <w:t>door:</w:t>
      </w:r>
    </w:p>
    <w:p>
      <w:pPr>
        <w:pStyle w:val="BodyText"/>
        <w:spacing w:line="218" w:lineRule="auto" w:before="96"/>
      </w:pPr>
      <w:r>
        <w:rPr>
          <w:color w:val="231F20"/>
        </w:rPr>
        <w:t>1° een derde die handelt in eigen naam maar voor rekening van de bedoelde aandeelhouder;</w:t>
      </w:r>
    </w:p>
    <w:p>
      <w:pPr>
        <w:pStyle w:val="BodyText"/>
        <w:spacing w:line="218" w:lineRule="auto" w:before="107"/>
      </w:pPr>
      <w:r>
        <w:rPr>
          <w:color w:val="231F20"/>
        </w:rPr>
        <w:t>2° een met de bedoelde aandeelhouder verbonden natuurlijke persoon of rechtspersoon;</w:t>
      </w:r>
    </w:p>
    <w:p>
      <w:pPr>
        <w:pStyle w:val="BodyText"/>
        <w:spacing w:line="218" w:lineRule="auto" w:before="107"/>
      </w:pPr>
      <w:r>
        <w:rPr>
          <w:color w:val="231F20"/>
        </w:rPr>
        <w:t>3° een derde die optreedt in eigen naam maar voor rekening van een met de bedoelde aandeelhouder verbonden natuurlijke persoon of rechtspersoon;</w:t>
      </w:r>
    </w:p>
    <w:p>
      <w:pPr>
        <w:pStyle w:val="BodyText"/>
        <w:spacing w:before="93"/>
        <w:ind w:left="283" w:right="0" w:firstLine="0"/>
        <w:jc w:val="left"/>
      </w:pPr>
      <w:r>
        <w:rPr>
          <w:color w:val="231F20"/>
        </w:rPr>
        <w:t>4° personen die in onderling overleg handelen.</w:t>
      </w:r>
    </w:p>
    <w:p>
      <w:pPr>
        <w:pStyle w:val="BodyText"/>
        <w:spacing w:before="89"/>
        <w:ind w:left="283" w:right="0" w:firstLine="0"/>
        <w:jc w:val="left"/>
      </w:pPr>
      <w:r>
        <w:rPr>
          <w:color w:val="231F20"/>
        </w:rPr>
        <w:t>Onder personen die in onderling overleg handelen wordt verstaan:</w:t>
      </w:r>
    </w:p>
    <w:p>
      <w:pPr>
        <w:pStyle w:val="ListParagraph"/>
        <w:numPr>
          <w:ilvl w:val="0"/>
          <w:numId w:val="99"/>
        </w:numPr>
        <w:tabs>
          <w:tab w:pos="463" w:val="left" w:leader="none"/>
        </w:tabs>
        <w:spacing w:line="218" w:lineRule="auto" w:before="101" w:after="0"/>
        <w:ind w:left="113" w:right="124" w:firstLine="170"/>
        <w:jc w:val="both"/>
        <w:rPr>
          <w:sz w:val="17"/>
        </w:rPr>
      </w:pPr>
      <w:r>
        <w:rPr>
          <w:color w:val="231F20"/>
          <w:sz w:val="17"/>
        </w:rPr>
        <w:t>de natuurlijke personen of rechtspersonen die in het raam van een openbaar overnamebod met de bieder, met de doelvennootschap of met andere personen samenwerken op grond van een uitdrukkelijk of stilzwijgend, mondeling of schriftelijk akkoord dat ertoe strekt de controle over de doelvennootschap te verkrijgen, het welslagen van een bod te dwarsbomen dan wel de controle over de doelvennootschap te handhaven;</w:t>
      </w:r>
    </w:p>
    <w:p>
      <w:pPr>
        <w:pStyle w:val="ListParagraph"/>
        <w:numPr>
          <w:ilvl w:val="0"/>
          <w:numId w:val="99"/>
        </w:numPr>
        <w:tabs>
          <w:tab w:pos="462" w:val="left" w:leader="none"/>
        </w:tabs>
        <w:spacing w:line="218" w:lineRule="auto" w:before="104" w:after="0"/>
        <w:ind w:left="113" w:right="124" w:firstLine="170"/>
        <w:jc w:val="both"/>
        <w:rPr>
          <w:sz w:val="17"/>
        </w:rPr>
      </w:pPr>
      <w:r>
        <w:rPr>
          <w:color w:val="231F20"/>
          <w:sz w:val="17"/>
        </w:rPr>
        <w:t>de natuurlijke personen of rechtspersonen die een akkoord hebben gesloten aangaande de onderling afgestemde uitoefening van hun stemrechten, om een duurzaam gemeenschappelijk beleid ten aanzien van</w:t>
      </w:r>
      <w:r>
        <w:rPr>
          <w:color w:val="231F20"/>
          <w:spacing w:val="15"/>
          <w:sz w:val="17"/>
        </w:rPr>
        <w:t> </w:t>
      </w:r>
      <w:r>
        <w:rPr>
          <w:color w:val="231F20"/>
          <w:sz w:val="17"/>
        </w:rPr>
        <w:t>de</w:t>
      </w:r>
      <w:r>
        <w:rPr>
          <w:color w:val="231F20"/>
          <w:spacing w:val="16"/>
          <w:sz w:val="17"/>
        </w:rPr>
        <w:t> </w:t>
      </w:r>
      <w:r>
        <w:rPr>
          <w:color w:val="231F20"/>
          <w:sz w:val="17"/>
        </w:rPr>
        <w:t>betrokken</w:t>
      </w:r>
      <w:r>
        <w:rPr>
          <w:color w:val="231F20"/>
          <w:spacing w:val="15"/>
          <w:sz w:val="17"/>
        </w:rPr>
        <w:t> </w:t>
      </w:r>
      <w:r>
        <w:rPr>
          <w:color w:val="231F20"/>
          <w:sz w:val="17"/>
        </w:rPr>
        <w:t>vennootschap</w:t>
      </w:r>
      <w:r>
        <w:rPr>
          <w:color w:val="231F20"/>
          <w:spacing w:val="16"/>
          <w:sz w:val="17"/>
        </w:rPr>
        <w:t> </w:t>
      </w:r>
      <w:r>
        <w:rPr>
          <w:color w:val="231F20"/>
          <w:sz w:val="17"/>
        </w:rPr>
        <w:t>te</w:t>
      </w:r>
      <w:r>
        <w:rPr>
          <w:color w:val="231F20"/>
          <w:spacing w:val="15"/>
          <w:sz w:val="17"/>
        </w:rPr>
        <w:t> </w:t>
      </w:r>
      <w:r>
        <w:rPr>
          <w:color w:val="231F20"/>
          <w:sz w:val="17"/>
        </w:rPr>
        <w:t>voeren.</w:t>
      </w:r>
    </w:p>
    <w:p>
      <w:pPr>
        <w:pStyle w:val="BodyText"/>
        <w:spacing w:line="218" w:lineRule="auto" w:before="107"/>
      </w:pPr>
      <w:r>
        <w:rPr>
          <w:color w:val="231F20"/>
        </w:rPr>
        <w:t>De houders van de in het zesde lid bedoelde effecten mogen evenmin aan de stemming deelnemen. Het aanwezigheidsquorum en de meer- derheid worden berekend na aftrek van de stemmen verbonden aan de effecten waarvan de begunstigde en de in het zesde lid bedoelde personen houder zijn.</w:t>
      </w:r>
    </w:p>
    <w:p>
      <w:pPr>
        <w:pStyle w:val="BodyText"/>
        <w:spacing w:before="93"/>
        <w:ind w:left="283" w:right="0" w:firstLine="0"/>
        <w:jc w:val="left"/>
      </w:pPr>
      <w:r>
        <w:rPr>
          <w:color w:val="231F20"/>
        </w:rPr>
        <w:t>Onderafdeling 3. Storting van de inbreng in geld.</w:t>
      </w:r>
    </w:p>
    <w:p>
      <w:pPr>
        <w:pStyle w:val="BodyText"/>
        <w:spacing w:line="218" w:lineRule="auto" w:before="103"/>
      </w:pPr>
      <w:r>
        <w:rPr>
          <w:color w:val="231F20"/>
        </w:rPr>
        <w:t>Art.</w:t>
      </w:r>
      <w:r>
        <w:rPr>
          <w:color w:val="231F20"/>
          <w:spacing w:val="-3"/>
        </w:rPr>
        <w:t> </w:t>
      </w:r>
      <w:r>
        <w:rPr>
          <w:color w:val="231F20"/>
        </w:rPr>
        <w:t>5:132.</w:t>
      </w:r>
      <w:r>
        <w:rPr>
          <w:color w:val="231F20"/>
          <w:spacing w:val="-3"/>
        </w:rPr>
        <w:t> </w:t>
      </w:r>
      <w:r>
        <w:rPr>
          <w:color w:val="231F20"/>
        </w:rPr>
        <w:t>In</w:t>
      </w:r>
      <w:r>
        <w:rPr>
          <w:color w:val="231F20"/>
          <w:spacing w:val="-3"/>
        </w:rPr>
        <w:t> </w:t>
      </w:r>
      <w:r>
        <w:rPr>
          <w:color w:val="231F20"/>
        </w:rPr>
        <w:t>geval</w:t>
      </w:r>
      <w:r>
        <w:rPr>
          <w:color w:val="231F20"/>
          <w:spacing w:val="-3"/>
        </w:rPr>
        <w:t> </w:t>
      </w:r>
      <w:r>
        <w:rPr>
          <w:color w:val="231F20"/>
        </w:rPr>
        <w:t>van</w:t>
      </w:r>
      <w:r>
        <w:rPr>
          <w:color w:val="231F20"/>
          <w:spacing w:val="-2"/>
        </w:rPr>
        <w:t> </w:t>
      </w:r>
      <w:r>
        <w:rPr>
          <w:color w:val="231F20"/>
        </w:rPr>
        <w:t>inbreng</w:t>
      </w:r>
      <w:r>
        <w:rPr>
          <w:color w:val="231F20"/>
          <w:spacing w:val="-3"/>
        </w:rPr>
        <w:t> </w:t>
      </w:r>
      <w:r>
        <w:rPr>
          <w:color w:val="231F20"/>
        </w:rPr>
        <w:t>in</w:t>
      </w:r>
      <w:r>
        <w:rPr>
          <w:color w:val="231F20"/>
          <w:spacing w:val="-3"/>
        </w:rPr>
        <w:t> </w:t>
      </w:r>
      <w:r>
        <w:rPr>
          <w:color w:val="231F20"/>
        </w:rPr>
        <w:t>geld,</w:t>
      </w:r>
      <w:r>
        <w:rPr>
          <w:color w:val="231F20"/>
          <w:spacing w:val="-3"/>
        </w:rPr>
        <w:t> </w:t>
      </w:r>
      <w:r>
        <w:rPr>
          <w:color w:val="231F20"/>
        </w:rPr>
        <w:t>te</w:t>
      </w:r>
      <w:r>
        <w:rPr>
          <w:color w:val="231F20"/>
          <w:spacing w:val="-2"/>
        </w:rPr>
        <w:t> </w:t>
      </w:r>
      <w:r>
        <w:rPr>
          <w:color w:val="231F20"/>
        </w:rPr>
        <w:t>storten</w:t>
      </w:r>
      <w:r>
        <w:rPr>
          <w:color w:val="231F20"/>
          <w:spacing w:val="-3"/>
        </w:rPr>
        <w:t> </w:t>
      </w:r>
      <w:r>
        <w:rPr>
          <w:color w:val="231F20"/>
        </w:rPr>
        <w:t>bij</w:t>
      </w:r>
      <w:r>
        <w:rPr>
          <w:color w:val="231F20"/>
          <w:spacing w:val="-3"/>
        </w:rPr>
        <w:t> </w:t>
      </w:r>
      <w:r>
        <w:rPr>
          <w:color w:val="231F20"/>
        </w:rPr>
        <w:t>het</w:t>
      </w:r>
      <w:r>
        <w:rPr>
          <w:color w:val="231F20"/>
          <w:spacing w:val="-3"/>
        </w:rPr>
        <w:t> </w:t>
      </w:r>
      <w:r>
        <w:rPr>
          <w:color w:val="231F20"/>
        </w:rPr>
        <w:t>verlijden</w:t>
      </w:r>
      <w:r>
        <w:rPr>
          <w:color w:val="231F20"/>
          <w:spacing w:val="-2"/>
        </w:rPr>
        <w:t> </w:t>
      </w:r>
      <w:r>
        <w:rPr>
          <w:color w:val="231F20"/>
        </w:rPr>
        <w:t>van de akte die de uitgifte van nieuwe aandelen of de aanvaarding van de inbreng door de algemene vergadering vaststelt wordt dat geld tevoren bij storting of overschrijving gedeponeerd op een bijzondere rekening, ten name van de vennootschap of bij een in de Europese Economische Ruimte gevestigde kredietinstelling als bedoeld in artikel  4,  lid  1,  punt 1), van verordening (EU) </w:t>
      </w:r>
      <w:r>
        <w:rPr>
          <w:color w:val="231F20"/>
          <w:spacing w:val="-5"/>
        </w:rPr>
        <w:t>nr. </w:t>
      </w:r>
      <w:r>
        <w:rPr>
          <w:color w:val="231F20"/>
        </w:rPr>
        <w:t>575/2013. Een bewijs van die deponering</w:t>
      </w:r>
      <w:r>
        <w:rPr>
          <w:color w:val="231F20"/>
          <w:spacing w:val="18"/>
        </w:rPr>
        <w:t> </w:t>
      </w:r>
      <w:r>
        <w:rPr>
          <w:color w:val="231F20"/>
        </w:rPr>
        <w:t>wordt</w:t>
      </w:r>
      <w:r>
        <w:rPr>
          <w:color w:val="231F20"/>
          <w:spacing w:val="18"/>
        </w:rPr>
        <w:t> </w:t>
      </w:r>
      <w:r>
        <w:rPr>
          <w:color w:val="231F20"/>
        </w:rPr>
        <w:t>overhandigd</w:t>
      </w:r>
      <w:r>
        <w:rPr>
          <w:color w:val="231F20"/>
          <w:spacing w:val="18"/>
        </w:rPr>
        <w:t> </w:t>
      </w:r>
      <w:r>
        <w:rPr>
          <w:color w:val="231F20"/>
        </w:rPr>
        <w:t>aan</w:t>
      </w:r>
      <w:r>
        <w:rPr>
          <w:color w:val="231F20"/>
          <w:spacing w:val="18"/>
        </w:rPr>
        <w:t> </w:t>
      </w:r>
      <w:r>
        <w:rPr>
          <w:color w:val="231F20"/>
        </w:rPr>
        <w:t>de</w:t>
      </w:r>
      <w:r>
        <w:rPr>
          <w:color w:val="231F20"/>
          <w:spacing w:val="19"/>
        </w:rPr>
        <w:t> </w:t>
      </w:r>
      <w:r>
        <w:rPr>
          <w:color w:val="231F20"/>
        </w:rPr>
        <w:t>instrumenterende</w:t>
      </w:r>
      <w:r>
        <w:rPr>
          <w:color w:val="231F20"/>
          <w:spacing w:val="18"/>
        </w:rPr>
        <w:t> </w:t>
      </w:r>
      <w:r>
        <w:rPr>
          <w:color w:val="231F20"/>
        </w:rPr>
        <w:t>notaris.</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97"/>
      </w:pPr>
      <w:r>
        <w:rPr/>
        <w:pict>
          <v:line style="position:absolute;mso-position-horizontal-relative:page;mso-position-vertical-relative:page;z-index:3736" from="298.170502pt,64.473pt" to="298.170502pt,812.819pt" stroked="true" strokeweight=".533pt" strokecolor="#231f20">
            <v:stroke dashstyle="solid"/>
            <w10:wrap type="none"/>
          </v:line>
        </w:pict>
      </w:r>
      <w:bookmarkStart w:name="_bookmark113" w:id="118"/>
      <w:bookmarkEnd w:id="118"/>
      <w:r>
        <w:rPr/>
      </w:r>
      <w:r>
        <w:rPr>
          <w:color w:val="231F20"/>
        </w:rPr>
        <w:t>Le compte spécial est à la disposition exclusive de la société. Il ne peut en être disposé que par les personnes habilitées à engager la société</w:t>
      </w:r>
      <w:r>
        <w:rPr>
          <w:color w:val="231F20"/>
          <w:spacing w:val="-8"/>
        </w:rPr>
        <w:t> </w:t>
      </w:r>
      <w:r>
        <w:rPr>
          <w:color w:val="231F20"/>
        </w:rPr>
        <w:t>et</w:t>
      </w:r>
      <w:r>
        <w:rPr>
          <w:color w:val="231F20"/>
          <w:spacing w:val="-7"/>
        </w:rPr>
        <w:t> </w:t>
      </w:r>
      <w:r>
        <w:rPr>
          <w:color w:val="231F20"/>
        </w:rPr>
        <w:t>après</w:t>
      </w:r>
      <w:r>
        <w:rPr>
          <w:color w:val="231F20"/>
          <w:spacing w:val="-7"/>
        </w:rPr>
        <w:t> </w:t>
      </w:r>
      <w:r>
        <w:rPr>
          <w:color w:val="231F20"/>
        </w:rPr>
        <w:t>que</w:t>
      </w:r>
      <w:r>
        <w:rPr>
          <w:color w:val="231F20"/>
          <w:spacing w:val="-7"/>
        </w:rPr>
        <w:t> </w:t>
      </w:r>
      <w:r>
        <w:rPr>
          <w:color w:val="231F20"/>
        </w:rPr>
        <w:t>le</w:t>
      </w:r>
      <w:r>
        <w:rPr>
          <w:color w:val="231F20"/>
          <w:spacing w:val="-7"/>
        </w:rPr>
        <w:t> </w:t>
      </w:r>
      <w:r>
        <w:rPr>
          <w:color w:val="231F20"/>
        </w:rPr>
        <w:t>notaire</w:t>
      </w:r>
      <w:r>
        <w:rPr>
          <w:color w:val="231F20"/>
          <w:spacing w:val="-7"/>
        </w:rPr>
        <w:t> </w:t>
      </w:r>
      <w:r>
        <w:rPr>
          <w:color w:val="231F20"/>
        </w:rPr>
        <w:t>instrumentant</w:t>
      </w:r>
      <w:r>
        <w:rPr>
          <w:color w:val="231F20"/>
          <w:spacing w:val="-7"/>
        </w:rPr>
        <w:t> </w:t>
      </w:r>
      <w:r>
        <w:rPr>
          <w:color w:val="231F20"/>
        </w:rPr>
        <w:t>eut</w:t>
      </w:r>
      <w:r>
        <w:rPr>
          <w:color w:val="231F20"/>
          <w:spacing w:val="-7"/>
        </w:rPr>
        <w:t> </w:t>
      </w:r>
      <w:r>
        <w:rPr>
          <w:color w:val="231F20"/>
        </w:rPr>
        <w:t>informé</w:t>
      </w:r>
      <w:r>
        <w:rPr>
          <w:color w:val="231F20"/>
          <w:spacing w:val="-7"/>
        </w:rPr>
        <w:t> </w:t>
      </w:r>
      <w:r>
        <w:rPr>
          <w:color w:val="231F20"/>
        </w:rPr>
        <w:t>l’établissement de la passation de</w:t>
      </w:r>
      <w:r>
        <w:rPr>
          <w:color w:val="231F20"/>
          <w:spacing w:val="19"/>
        </w:rPr>
        <w:t> </w:t>
      </w:r>
      <w:r>
        <w:rPr>
          <w:color w:val="231F20"/>
        </w:rPr>
        <w:t>l’acte.</w:t>
      </w:r>
    </w:p>
    <w:p>
      <w:pPr>
        <w:pStyle w:val="BodyText"/>
        <w:ind w:left="0" w:right="0" w:firstLine="0"/>
        <w:jc w:val="left"/>
        <w:rPr>
          <w:sz w:val="20"/>
        </w:rPr>
      </w:pPr>
    </w:p>
    <w:p>
      <w:pPr>
        <w:pStyle w:val="BodyText"/>
        <w:spacing w:line="218" w:lineRule="auto" w:before="141"/>
        <w:ind w:right="97"/>
      </w:pPr>
      <w:r>
        <w:rPr>
          <w:color w:val="231F20"/>
        </w:rPr>
        <w:t>Si l’apport n’est pas réalisé dans le mois de l’ouverture du compte spécial, les fonds sont restitués à leur demande à ceux qui les ont déposés.</w:t>
      </w:r>
    </w:p>
    <w:p>
      <w:pPr>
        <w:pStyle w:val="BodyText"/>
        <w:spacing w:before="178"/>
        <w:ind w:left="283" w:right="0" w:firstLine="0"/>
        <w:jc w:val="left"/>
      </w:pPr>
      <w:r>
        <w:rPr>
          <w:color w:val="231F20"/>
        </w:rPr>
        <w:t>Section 3. Apport en nature.</w:t>
      </w:r>
    </w:p>
    <w:p>
      <w:pPr>
        <w:pStyle w:val="BodyText"/>
        <w:spacing w:line="216" w:lineRule="auto" w:before="175"/>
        <w:ind w:right="97"/>
      </w:pPr>
      <w:r>
        <w:rPr>
          <w:color w:val="231F20"/>
        </w:rPr>
        <w:t>Art. 5:133. § 1</w:t>
      </w:r>
      <w:r>
        <w:rPr>
          <w:color w:val="231F20"/>
          <w:position w:val="7"/>
          <w:sz w:val="11"/>
        </w:rPr>
        <w:t>er</w:t>
      </w:r>
      <w:r>
        <w:rPr>
          <w:color w:val="231F20"/>
        </w:rPr>
        <w:t>. En cas d’apport en nature, l’organe d’administration expose dans le rapport </w:t>
      </w:r>
      <w:r>
        <w:rPr>
          <w:color w:val="231F20"/>
          <w:spacing w:val="7"/>
        </w:rPr>
        <w:t>viséà </w:t>
      </w:r>
      <w:r>
        <w:rPr>
          <w:color w:val="231F20"/>
        </w:rPr>
        <w:t>l’article 5:121, § 1</w:t>
      </w:r>
      <w:r>
        <w:rPr>
          <w:color w:val="231F20"/>
          <w:position w:val="7"/>
          <w:sz w:val="11"/>
        </w:rPr>
        <w:t>er</w:t>
      </w:r>
      <w:r>
        <w:rPr>
          <w:color w:val="231F20"/>
        </w:rPr>
        <w:t>, alinéa 1</w:t>
      </w:r>
      <w:r>
        <w:rPr>
          <w:color w:val="231F20"/>
          <w:position w:val="7"/>
          <w:sz w:val="11"/>
        </w:rPr>
        <w:t>er</w:t>
      </w:r>
      <w:r>
        <w:rPr>
          <w:color w:val="231F20"/>
        </w:rPr>
        <w:t>, l’intérêt que l’apport présente pour la société. Le rapport comporte une description de chaque apport en nature et en donne une évaluation motivée. Il indique quelle est la rémunération attribuée en contrepartie de</w:t>
      </w:r>
      <w:r>
        <w:rPr>
          <w:color w:val="231F20"/>
          <w:spacing w:val="-14"/>
        </w:rPr>
        <w:t> </w:t>
      </w:r>
      <w:r>
        <w:rPr>
          <w:color w:val="231F20"/>
        </w:rPr>
        <w:t>l’apport. </w:t>
      </w:r>
      <w:r>
        <w:rPr>
          <w:color w:val="231F20"/>
          <w:spacing w:val="-3"/>
        </w:rPr>
        <w:t>L’organe </w:t>
      </w:r>
      <w:r>
        <w:rPr>
          <w:color w:val="231F20"/>
        </w:rPr>
        <w:t>d’administration communique ce rapport en projet au com- missaire ou, lorsqu’il n’y a pas de commissaire, au réviseur d’entrepri- ses désigné par l’organe</w:t>
      </w:r>
      <w:r>
        <w:rPr>
          <w:color w:val="231F20"/>
          <w:spacing w:val="21"/>
        </w:rPr>
        <w:t> </w:t>
      </w:r>
      <w:r>
        <w:rPr>
          <w:color w:val="231F20"/>
        </w:rPr>
        <w:t>d’administration.</w:t>
      </w:r>
    </w:p>
    <w:p>
      <w:pPr>
        <w:pStyle w:val="BodyText"/>
        <w:ind w:left="0" w:right="0" w:firstLine="0"/>
        <w:jc w:val="left"/>
      </w:pPr>
    </w:p>
    <w:p>
      <w:pPr>
        <w:pStyle w:val="BodyText"/>
        <w:spacing w:line="216" w:lineRule="auto"/>
        <w:ind w:right="97"/>
      </w:pPr>
      <w:r>
        <w:rPr>
          <w:color w:val="231F20"/>
        </w:rPr>
        <w:t>Le commissaire ou, lorsqu’il n’y a pas de commissaire, un réviseur d’entreprises désigné par l’organe d’administration, examine dans le rapport </w:t>
      </w:r>
      <w:r>
        <w:rPr>
          <w:color w:val="231F20"/>
          <w:spacing w:val="9"/>
        </w:rPr>
        <w:t>visé </w:t>
      </w:r>
      <w:r>
        <w:rPr>
          <w:color w:val="231F20"/>
        </w:rPr>
        <w:t>à l’article 5:121, § 1</w:t>
      </w:r>
      <w:r>
        <w:rPr>
          <w:color w:val="231F20"/>
          <w:position w:val="7"/>
          <w:sz w:val="11"/>
        </w:rPr>
        <w:t>er</w:t>
      </w:r>
      <w:r>
        <w:rPr>
          <w:color w:val="231F20"/>
        </w:rPr>
        <w:t>, alinéa 2, la description faite</w:t>
      </w:r>
      <w:r>
        <w:rPr>
          <w:color w:val="231F20"/>
          <w:spacing w:val="25"/>
        </w:rPr>
        <w:t> </w:t>
      </w:r>
      <w:r>
        <w:rPr>
          <w:color w:val="231F20"/>
        </w:rPr>
        <w:t>par l’organe d’administration de chaque apport en nature, l’évaluation adoptée et les modes d’évaluation appliqués. Le rapport doit indiquer  si les valeurs auxquelles conduisent ces modes d’évaluation correspon- dent au moins à la valeur de l’apport mentionné dans l’acte. Il indique quelle</w:t>
      </w:r>
      <w:r>
        <w:rPr>
          <w:color w:val="231F20"/>
          <w:spacing w:val="14"/>
        </w:rPr>
        <w:t> </w:t>
      </w:r>
      <w:r>
        <w:rPr>
          <w:color w:val="231F20"/>
        </w:rPr>
        <w:t>est</w:t>
      </w:r>
      <w:r>
        <w:rPr>
          <w:color w:val="231F20"/>
          <w:spacing w:val="14"/>
        </w:rPr>
        <w:t> </w:t>
      </w:r>
      <w:r>
        <w:rPr>
          <w:color w:val="231F20"/>
        </w:rPr>
        <w:t>la</w:t>
      </w:r>
      <w:r>
        <w:rPr>
          <w:color w:val="231F20"/>
          <w:spacing w:val="14"/>
        </w:rPr>
        <w:t> </w:t>
      </w:r>
      <w:r>
        <w:rPr>
          <w:color w:val="231F20"/>
        </w:rPr>
        <w:t>rémunération</w:t>
      </w:r>
      <w:r>
        <w:rPr>
          <w:color w:val="231F20"/>
          <w:spacing w:val="14"/>
        </w:rPr>
        <w:t> </w:t>
      </w:r>
      <w:r>
        <w:rPr>
          <w:color w:val="231F20"/>
        </w:rPr>
        <w:t>réelle</w:t>
      </w:r>
      <w:r>
        <w:rPr>
          <w:color w:val="231F20"/>
          <w:spacing w:val="14"/>
        </w:rPr>
        <w:t> </w:t>
      </w:r>
      <w:r>
        <w:rPr>
          <w:color w:val="231F20"/>
        </w:rPr>
        <w:t>attribuée</w:t>
      </w:r>
      <w:r>
        <w:rPr>
          <w:color w:val="231F20"/>
          <w:spacing w:val="14"/>
        </w:rPr>
        <w:t> </w:t>
      </w:r>
      <w:r>
        <w:rPr>
          <w:color w:val="231F20"/>
        </w:rPr>
        <w:t>en</w:t>
      </w:r>
      <w:r>
        <w:rPr>
          <w:color w:val="231F20"/>
          <w:spacing w:val="14"/>
        </w:rPr>
        <w:t> </w:t>
      </w:r>
      <w:r>
        <w:rPr>
          <w:color w:val="231F20"/>
        </w:rPr>
        <w:t>contrepartie</w:t>
      </w:r>
      <w:r>
        <w:rPr>
          <w:color w:val="231F20"/>
          <w:spacing w:val="14"/>
        </w:rPr>
        <w:t> </w:t>
      </w:r>
      <w:r>
        <w:rPr>
          <w:color w:val="231F20"/>
        </w:rPr>
        <w:t>de</w:t>
      </w:r>
      <w:r>
        <w:rPr>
          <w:color w:val="231F20"/>
          <w:spacing w:val="14"/>
        </w:rPr>
        <w:t> </w:t>
      </w:r>
      <w:r>
        <w:rPr>
          <w:color w:val="231F20"/>
        </w:rPr>
        <w:t>l’apport.</w:t>
      </w:r>
    </w:p>
    <w:p>
      <w:pPr>
        <w:pStyle w:val="BodyText"/>
        <w:ind w:left="0" w:right="0" w:firstLine="0"/>
        <w:jc w:val="left"/>
        <w:rPr>
          <w:sz w:val="20"/>
        </w:rPr>
      </w:pPr>
    </w:p>
    <w:p>
      <w:pPr>
        <w:pStyle w:val="BodyText"/>
        <w:spacing w:line="218" w:lineRule="auto" w:before="125"/>
        <w:ind w:right="0"/>
        <w:jc w:val="left"/>
      </w:pPr>
      <w:r>
        <w:rPr>
          <w:color w:val="231F20"/>
        </w:rPr>
        <w:t>Dans le rapport visé à l’alinéa 1</w:t>
      </w:r>
      <w:r>
        <w:rPr>
          <w:color w:val="231F20"/>
          <w:position w:val="7"/>
          <w:sz w:val="11"/>
        </w:rPr>
        <w:t>er</w:t>
      </w:r>
      <w:r>
        <w:rPr>
          <w:color w:val="231F20"/>
        </w:rPr>
        <w:t>, auquel est joint le rapport visé à l’alinéa 2, l’organe d’administration indique, le cas échéant, les raisons pour lesquelles il s’écarte des conclusions de ce dernier rapport.</w:t>
      </w:r>
    </w:p>
    <w:p>
      <w:pPr>
        <w:pStyle w:val="BodyText"/>
        <w:ind w:left="0" w:right="0" w:firstLine="0"/>
        <w:jc w:val="left"/>
        <w:rPr>
          <w:sz w:val="20"/>
        </w:rPr>
      </w:pPr>
    </w:p>
    <w:p>
      <w:pPr>
        <w:pStyle w:val="BodyText"/>
        <w:spacing w:line="218" w:lineRule="auto" w:before="141"/>
        <w:ind w:right="97"/>
      </w:pPr>
      <w:r>
        <w:rPr>
          <w:color w:val="231F20"/>
        </w:rPr>
        <w:t>Les rapports précités sont déposés et publiés conformément aux articles 2:8 et 2:14, 4°. Ils sont annoncés dans l’ordre du </w:t>
      </w:r>
      <w:r>
        <w:rPr>
          <w:color w:val="231F20"/>
          <w:spacing w:val="-3"/>
        </w:rPr>
        <w:t>jour. </w:t>
      </w:r>
      <w:r>
        <w:rPr>
          <w:color w:val="231F20"/>
        </w:rPr>
        <w:t>Une copie peut en être obtenue conformément à l’article 5:84.</w:t>
      </w:r>
    </w:p>
    <w:p>
      <w:pPr>
        <w:pStyle w:val="BodyText"/>
        <w:ind w:left="0" w:right="0" w:firstLine="0"/>
        <w:jc w:val="left"/>
        <w:rPr>
          <w:sz w:val="20"/>
        </w:rPr>
      </w:pPr>
    </w:p>
    <w:p>
      <w:pPr>
        <w:pStyle w:val="BodyText"/>
        <w:spacing w:line="216" w:lineRule="auto" w:before="142"/>
        <w:ind w:right="97"/>
      </w:pPr>
      <w:r>
        <w:rPr>
          <w:color w:val="231F20"/>
        </w:rPr>
        <w:t>En cas d’absence de la description et de la justification par l’organe d’administration, prévue à l’alinéa 1</w:t>
      </w:r>
      <w:r>
        <w:rPr>
          <w:color w:val="231F20"/>
          <w:position w:val="7"/>
          <w:sz w:val="11"/>
        </w:rPr>
        <w:t>er</w:t>
      </w:r>
      <w:r>
        <w:rPr>
          <w:color w:val="231F20"/>
        </w:rPr>
        <w:t>, ou de l’évaluation et de la déclaration par le commissaire ou le réviseur d’entreprises, prévue à l’alinéa 2, la décision de l’assemblée générale est nulle. Si l’apport ne donne pas lieu à l’émission d’actions nouvelles, la décision de l’organe d’administration est nulle en l’absence du rapport de celui-ci ou du rapport du commissaire ou du réviseur d’entreprises sur l’apport en nature.</w:t>
      </w:r>
    </w:p>
    <w:p>
      <w:pPr>
        <w:pStyle w:val="BodyText"/>
        <w:spacing w:line="218" w:lineRule="auto" w:before="177"/>
        <w:ind w:right="98"/>
      </w:pPr>
      <w:r>
        <w:rPr>
          <w:color w:val="231F20"/>
        </w:rPr>
        <w:t>§ 2. Le paragraphe 1</w:t>
      </w:r>
      <w:r>
        <w:rPr>
          <w:color w:val="231F20"/>
          <w:position w:val="7"/>
          <w:sz w:val="11"/>
        </w:rPr>
        <w:t>er </w:t>
      </w:r>
      <w:r>
        <w:rPr>
          <w:color w:val="231F20"/>
        </w:rPr>
        <w:t>n’est pas applicable lorsqu’un apport en nature est constitué:</w:t>
      </w:r>
    </w:p>
    <w:p>
      <w:pPr>
        <w:pStyle w:val="BodyText"/>
        <w:spacing w:before="10"/>
        <w:ind w:left="0" w:right="0" w:firstLine="0"/>
        <w:jc w:val="left"/>
        <w:rPr>
          <w:sz w:val="16"/>
        </w:rPr>
      </w:pPr>
    </w:p>
    <w:p>
      <w:pPr>
        <w:pStyle w:val="BodyText"/>
        <w:spacing w:line="218" w:lineRule="auto"/>
        <w:ind w:right="97"/>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ind w:left="0" w:right="0" w:firstLine="0"/>
        <w:jc w:val="left"/>
        <w:rPr>
          <w:sz w:val="20"/>
        </w:rPr>
      </w:pPr>
    </w:p>
    <w:p>
      <w:pPr>
        <w:pStyle w:val="BodyText"/>
        <w:spacing w:line="218" w:lineRule="auto" w:before="141"/>
        <w:ind w:right="97"/>
      </w:pP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BodyText"/>
        <w:spacing w:before="7"/>
        <w:ind w:left="0" w:right="0" w:firstLine="0"/>
        <w:jc w:val="left"/>
      </w:pPr>
    </w:p>
    <w:p>
      <w:pPr>
        <w:pStyle w:val="ListParagraph"/>
        <w:numPr>
          <w:ilvl w:val="0"/>
          <w:numId w:val="100"/>
        </w:numPr>
        <w:tabs>
          <w:tab w:pos="461" w:val="left" w:leader="none"/>
        </w:tabs>
        <w:spacing w:line="218" w:lineRule="auto" w:before="0" w:after="0"/>
        <w:ind w:left="113" w:right="97" w:firstLine="170"/>
        <w:jc w:val="both"/>
        <w:rPr>
          <w:sz w:val="17"/>
        </w:rPr>
      </w:pPr>
      <w:r>
        <w:rPr>
          <w:color w:val="231F20"/>
          <w:sz w:val="17"/>
        </w:rPr>
        <w:t>la juste valeur est déterminée à une date qui ne précède de plus de six</w:t>
      </w:r>
      <w:r>
        <w:rPr>
          <w:color w:val="231F20"/>
          <w:spacing w:val="15"/>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5"/>
          <w:sz w:val="17"/>
        </w:rPr>
        <w:t> </w:t>
      </w:r>
      <w:r>
        <w:rPr>
          <w:color w:val="231F20"/>
          <w:sz w:val="17"/>
        </w:rPr>
        <w:t>effective</w:t>
      </w:r>
      <w:r>
        <w:rPr>
          <w:color w:val="231F20"/>
          <w:spacing w:val="15"/>
          <w:sz w:val="17"/>
        </w:rPr>
        <w:t> </w:t>
      </w:r>
      <w:r>
        <w:rPr>
          <w:color w:val="231F20"/>
          <w:sz w:val="17"/>
        </w:rPr>
        <w:t>de</w:t>
      </w:r>
      <w:r>
        <w:rPr>
          <w:color w:val="231F20"/>
          <w:spacing w:val="15"/>
          <w:sz w:val="17"/>
        </w:rPr>
        <w:t> </w:t>
      </w:r>
      <w:r>
        <w:rPr>
          <w:color w:val="231F20"/>
          <w:sz w:val="17"/>
        </w:rPr>
        <w:t>l’apport;</w:t>
      </w:r>
    </w:p>
    <w:p>
      <w:pPr>
        <w:pStyle w:val="BodyText"/>
        <w:ind w:left="0" w:right="0" w:firstLine="0"/>
        <w:jc w:val="left"/>
        <w:rPr>
          <w:sz w:val="20"/>
        </w:rPr>
      </w:pPr>
    </w:p>
    <w:p>
      <w:pPr>
        <w:pStyle w:val="ListParagraph"/>
        <w:numPr>
          <w:ilvl w:val="0"/>
          <w:numId w:val="100"/>
        </w:numPr>
        <w:tabs>
          <w:tab w:pos="509" w:val="left" w:leader="none"/>
        </w:tabs>
        <w:spacing w:line="218" w:lineRule="auto" w:before="149" w:after="0"/>
        <w:ind w:left="113" w:right="97"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before="10"/>
        <w:ind w:left="0" w:right="0" w:firstLine="0"/>
        <w:jc w:val="left"/>
      </w:pPr>
    </w:p>
    <w:p>
      <w:pPr>
        <w:pStyle w:val="BodyText"/>
        <w:spacing w:line="218" w:lineRule="auto"/>
        <w:ind w:right="97"/>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119"/>
        <w:ind w:right="123"/>
      </w:pPr>
      <w:r>
        <w:rPr/>
        <w:br w:type="column"/>
      </w:r>
      <w:r>
        <w:rPr>
          <w:color w:val="231F20"/>
        </w:rPr>
        <w:t>De bijzondere rekening wordt uitsluitend ter beschikking gehouden van de vennootschap. Over die rekening kan alleen worden beschikt door personen die bevoegd zijn om de vennootschap te verbinden, en eerst nadat de optredende notaris aan de instelling bericht heeft gegeven van het verlijden van de akte.</w:t>
      </w:r>
    </w:p>
    <w:p>
      <w:pPr>
        <w:pStyle w:val="BodyText"/>
        <w:spacing w:before="11"/>
        <w:ind w:left="0" w:right="0" w:firstLine="0"/>
        <w:jc w:val="left"/>
        <w:rPr>
          <w:sz w:val="16"/>
        </w:rPr>
      </w:pPr>
    </w:p>
    <w:p>
      <w:pPr>
        <w:pStyle w:val="BodyText"/>
        <w:spacing w:line="218" w:lineRule="auto"/>
      </w:pPr>
      <w:r>
        <w:rPr>
          <w:color w:val="231F20"/>
        </w:rPr>
        <w:t>Indien de inbreng niet binnen één maand na de opening van de bijzondere rekening is gestort, wordt het geld teruggegeven aan de deposanten die erom</w:t>
      </w:r>
      <w:r>
        <w:rPr>
          <w:color w:val="231F20"/>
          <w:spacing w:val="5"/>
        </w:rPr>
        <w:t> </w:t>
      </w:r>
      <w:r>
        <w:rPr>
          <w:color w:val="231F20"/>
        </w:rPr>
        <w:t>verzoeken.</w:t>
      </w:r>
    </w:p>
    <w:p>
      <w:pPr>
        <w:pStyle w:val="BodyText"/>
        <w:spacing w:before="178"/>
        <w:ind w:left="283" w:right="0" w:firstLine="0"/>
        <w:jc w:val="left"/>
      </w:pPr>
      <w:r>
        <w:rPr>
          <w:color w:val="231F20"/>
        </w:rPr>
        <w:t>Afdeling 3. Inbreng in </w:t>
      </w:r>
      <w:r>
        <w:rPr>
          <w:color w:val="231F20"/>
          <w:spacing w:val="23"/>
        </w:rPr>
        <w:t> </w:t>
      </w:r>
      <w:r>
        <w:rPr>
          <w:color w:val="231F20"/>
        </w:rPr>
        <w:t>natura.</w:t>
      </w:r>
    </w:p>
    <w:p>
      <w:pPr>
        <w:pStyle w:val="BodyText"/>
        <w:spacing w:before="7"/>
        <w:ind w:left="0" w:right="0" w:firstLine="0"/>
        <w:jc w:val="left"/>
        <w:rPr>
          <w:sz w:val="16"/>
        </w:rPr>
      </w:pPr>
    </w:p>
    <w:p>
      <w:pPr>
        <w:pStyle w:val="BodyText"/>
        <w:spacing w:line="218" w:lineRule="auto"/>
      </w:pPr>
      <w:r>
        <w:rPr>
          <w:color w:val="231F20"/>
        </w:rPr>
        <w:t>Art. 5:133. § 1. Ingeval van inbreng in natura zet het bestuursorgaan in het in artikel 5:121, § 1, eerste lid, bedoelde verslag uiteen waarom de inbreng van belang is voor de vennootschap. Het verslag bevat</w:t>
      </w:r>
      <w:r>
        <w:rPr>
          <w:color w:val="231F20"/>
          <w:spacing w:val="21"/>
        </w:rPr>
        <w:t> </w:t>
      </w:r>
      <w:r>
        <w:rPr>
          <w:color w:val="231F20"/>
        </w:rPr>
        <w:t>een beschrijving van elke inbreng in natura en bevat daarvan een gemoti- veerde waardering. Het geeft aan welke vergoeding als tegenprestatie voor de inbreng wordt verstrekt. Het bestuursorgaan deelt dit verslag  in ontwerp mee aan de commissaris of, als er geen commissaris is, een door het bestuursorgaan aangestelde</w:t>
      </w:r>
      <w:r>
        <w:rPr>
          <w:color w:val="231F20"/>
          <w:spacing w:val="18"/>
        </w:rPr>
        <w:t> </w:t>
      </w:r>
      <w:r>
        <w:rPr>
          <w:color w:val="231F20"/>
        </w:rPr>
        <w:t>bedrijfsrevisor.</w:t>
      </w:r>
    </w:p>
    <w:p>
      <w:pPr>
        <w:pStyle w:val="BodyText"/>
        <w:spacing w:before="10"/>
        <w:ind w:left="0" w:right="0" w:firstLine="0"/>
        <w:jc w:val="left"/>
        <w:rPr>
          <w:sz w:val="16"/>
        </w:rPr>
      </w:pPr>
    </w:p>
    <w:p>
      <w:pPr>
        <w:pStyle w:val="BodyText"/>
        <w:spacing w:line="218" w:lineRule="auto" w:before="1"/>
      </w:pPr>
      <w:r>
        <w:rPr>
          <w:color w:val="231F20"/>
        </w:rPr>
        <w:t>De commissaris of, als er geen commissaris is, een bedrijfsrevisor aangewezen  door  het  bestuursorgaan,  onderzoekt  in  het  in  arti-  kel 5:121, § 1, tweede lid, bedoelde verslag de door het bestuursorgaan gegeven beschrijving van elke inbreng in natura, de toegepaste waardering en de daartoe aangewende waarderingsmethoden. Het verslag moet aangeven of de waarden waartoe deze methodes leiden, ten minste overeenkomen met de waarde van de inbreng die in de akte wordt vermeld. Het vermeldt welke werkelijke vergoeding als tegen- prestatie</w:t>
      </w:r>
      <w:r>
        <w:rPr>
          <w:color w:val="231F20"/>
          <w:spacing w:val="15"/>
        </w:rPr>
        <w:t> </w:t>
      </w:r>
      <w:r>
        <w:rPr>
          <w:color w:val="231F20"/>
        </w:rPr>
        <w:t>voor</w:t>
      </w:r>
      <w:r>
        <w:rPr>
          <w:color w:val="231F20"/>
          <w:spacing w:val="15"/>
        </w:rPr>
        <w:t> </w:t>
      </w:r>
      <w:r>
        <w:rPr>
          <w:color w:val="231F20"/>
        </w:rPr>
        <w:t>de</w:t>
      </w:r>
      <w:r>
        <w:rPr>
          <w:color w:val="231F20"/>
          <w:spacing w:val="16"/>
        </w:rPr>
        <w:t> </w:t>
      </w:r>
      <w:r>
        <w:rPr>
          <w:color w:val="231F20"/>
        </w:rPr>
        <w:t>inbreng</w:t>
      </w:r>
      <w:r>
        <w:rPr>
          <w:color w:val="231F20"/>
          <w:spacing w:val="15"/>
        </w:rPr>
        <w:t> </w:t>
      </w:r>
      <w:r>
        <w:rPr>
          <w:color w:val="231F20"/>
        </w:rPr>
        <w:t>wordt</w:t>
      </w:r>
      <w:r>
        <w:rPr>
          <w:color w:val="231F20"/>
          <w:spacing w:val="16"/>
        </w:rPr>
        <w:t> </w:t>
      </w:r>
      <w:r>
        <w:rPr>
          <w:color w:val="231F20"/>
        </w:rPr>
        <w:t>verstrekt.</w:t>
      </w:r>
    </w:p>
    <w:p>
      <w:pPr>
        <w:pStyle w:val="BodyText"/>
        <w:spacing w:before="10"/>
        <w:ind w:left="0" w:right="0" w:firstLine="0"/>
        <w:jc w:val="left"/>
        <w:rPr>
          <w:sz w:val="16"/>
        </w:rPr>
      </w:pPr>
    </w:p>
    <w:p>
      <w:pPr>
        <w:pStyle w:val="BodyText"/>
        <w:spacing w:line="218" w:lineRule="auto"/>
      </w:pPr>
      <w:r>
        <w:rPr>
          <w:color w:val="231F20"/>
        </w:rPr>
        <w:t>In het in het eerste lid bedoelde verslag, waarbij het in het tweede lid bedoelde verslag wordt gevoegd, geeft het bestuursorgaan in voorko- mend geval aan waarom het van de conclusies van dit laatste verslag afwijkt.</w:t>
      </w:r>
    </w:p>
    <w:p>
      <w:pPr>
        <w:pStyle w:val="BodyText"/>
        <w:spacing w:before="11"/>
        <w:ind w:left="0" w:right="0" w:firstLine="0"/>
        <w:jc w:val="left"/>
        <w:rPr>
          <w:sz w:val="16"/>
        </w:rPr>
      </w:pPr>
    </w:p>
    <w:p>
      <w:pPr>
        <w:pStyle w:val="BodyText"/>
        <w:spacing w:line="218" w:lineRule="auto"/>
      </w:pPr>
      <w:r>
        <w:rPr>
          <w:color w:val="231F20"/>
        </w:rPr>
        <w:t>De hierboven bedoelde verslagen worden neergelegd en bekendge- maakt overeenkomstig de artikelen 2:8 en 2:14, 4°. Zij worden in de agenda vermeld. Een kopie ervan kan worden verkregen overeenkom- stig artikel 5:84.</w:t>
      </w:r>
    </w:p>
    <w:p>
      <w:pPr>
        <w:pStyle w:val="BodyText"/>
        <w:spacing w:before="10"/>
        <w:ind w:left="0" w:right="0" w:firstLine="0"/>
        <w:jc w:val="left"/>
        <w:rPr>
          <w:sz w:val="16"/>
        </w:rPr>
      </w:pPr>
    </w:p>
    <w:p>
      <w:pPr>
        <w:pStyle w:val="BodyText"/>
        <w:spacing w:line="218" w:lineRule="auto"/>
      </w:pPr>
      <w:r>
        <w:rPr>
          <w:color w:val="231F20"/>
        </w:rPr>
        <w:t>Wanneer de in het eerste lid bedoelde beschrijving en verantwoor- ding door het bestuursorgaan, of van de in het tweede lid bedoelde waardering en verklaring van de commissaris of van de bedrijfsrevisor ontbreekt, is het besluit van de algemene vergadering nietig. Indien de inbreng zonder uitgifte van nieuwe aandelen plaatsvindt, is het besluit van het bestuursorgaan nietig wanneer het verslag van het bestuurs- orgaan of van het verslag van de commissaris of bedrijfsrevisor over de inbreng in natura ontbreekt.</w:t>
      </w:r>
    </w:p>
    <w:p>
      <w:pPr>
        <w:pStyle w:val="BodyText"/>
        <w:spacing w:before="11"/>
        <w:ind w:left="0" w:right="0" w:firstLine="0"/>
        <w:jc w:val="left"/>
        <w:rPr>
          <w:sz w:val="16"/>
        </w:rPr>
      </w:pPr>
    </w:p>
    <w:p>
      <w:pPr>
        <w:pStyle w:val="BodyText"/>
        <w:spacing w:line="218" w:lineRule="auto"/>
      </w:pPr>
      <w:r>
        <w:rPr>
          <w:color w:val="231F20"/>
        </w:rPr>
        <w:t>§ 2. Paragraaf 1 is niet van toepassing wanneer een inbreng in natura plaatsvindt:</w:t>
      </w:r>
    </w:p>
    <w:p>
      <w:pPr>
        <w:pStyle w:val="BodyText"/>
        <w:spacing w:before="10"/>
        <w:ind w:left="0" w:right="0" w:firstLine="0"/>
        <w:jc w:val="left"/>
        <w:rPr>
          <w:sz w:val="16"/>
        </w:rPr>
      </w:pPr>
    </w:p>
    <w:p>
      <w:pPr>
        <w:pStyle w:val="BodyText"/>
        <w:spacing w:line="218" w:lineRule="auto"/>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de drie maanden voorafgaand aan  de  daadwerkelijke datum van de verwezenlijking van de inbreng in natura op een of meer gereglementeerde markten zoals bepaald in artikel 3, 7°, 8° en 9°, van de wet van 21 november 2017 over de infrastructuren voor de markten voor  financiële  instrumenten  en  houdende  omzetting  van   richt-  lijn 2014/65/EU worden</w:t>
      </w:r>
      <w:r>
        <w:rPr>
          <w:color w:val="231F20"/>
          <w:spacing w:val="4"/>
        </w:rPr>
        <w:t> </w:t>
      </w:r>
      <w:r>
        <w:rPr>
          <w:color w:val="231F20"/>
        </w:rPr>
        <w:t>verhandeld;</w:t>
      </w:r>
    </w:p>
    <w:p>
      <w:pPr>
        <w:pStyle w:val="BodyText"/>
        <w:spacing w:before="11"/>
        <w:ind w:left="0" w:right="0" w:firstLine="0"/>
        <w:jc w:val="left"/>
        <w:rPr>
          <w:sz w:val="16"/>
        </w:rPr>
      </w:pPr>
    </w:p>
    <w:p>
      <w:pPr>
        <w:pStyle w:val="BodyText"/>
        <w:spacing w:line="218" w:lineRule="auto"/>
      </w:pPr>
      <w:r>
        <w:rPr>
          <w:color w:val="231F20"/>
        </w:rPr>
        <w:t>2° in de vorm van andere vermogensbestanddelen dan de in het 1°, bedoelde effecten en geldmarktinstrumenten, die reeds door een bedrijfsrevisor zijn gewaardeerd en wanneer aan de volgende voor- waarden is voldaan:</w:t>
      </w:r>
    </w:p>
    <w:p>
      <w:pPr>
        <w:pStyle w:val="BodyText"/>
        <w:spacing w:before="7"/>
        <w:ind w:left="0" w:right="0" w:firstLine="0"/>
        <w:jc w:val="left"/>
      </w:pPr>
    </w:p>
    <w:p>
      <w:pPr>
        <w:pStyle w:val="ListParagraph"/>
        <w:numPr>
          <w:ilvl w:val="0"/>
          <w:numId w:val="101"/>
        </w:numPr>
        <w:tabs>
          <w:tab w:pos="464" w:val="left" w:leader="none"/>
        </w:tabs>
        <w:spacing w:line="218" w:lineRule="auto" w:before="0"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BodyText"/>
        <w:spacing w:before="7"/>
        <w:ind w:left="0" w:right="0" w:firstLine="0"/>
        <w:jc w:val="left"/>
      </w:pPr>
    </w:p>
    <w:p>
      <w:pPr>
        <w:pStyle w:val="ListParagraph"/>
        <w:numPr>
          <w:ilvl w:val="0"/>
          <w:numId w:val="101"/>
        </w:numPr>
        <w:tabs>
          <w:tab w:pos="480" w:val="left" w:leader="none"/>
        </w:tabs>
        <w:spacing w:line="218" w:lineRule="auto" w:before="0"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before="9"/>
        <w:ind w:left="0" w:right="0" w:firstLine="0"/>
        <w:jc w:val="left"/>
      </w:pPr>
    </w:p>
    <w:p>
      <w:pPr>
        <w:pStyle w:val="BodyText"/>
        <w:spacing w:line="218" w:lineRule="auto" w:before="1"/>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spacing w:after="0" w:line="218" w:lineRule="auto"/>
        <w:sectPr>
          <w:headerReference w:type="even" r:id="rId53"/>
          <w:headerReference w:type="default" r:id="rId54"/>
          <w:pgSz w:w="11940" w:h="16880"/>
          <w:pgMar w:header="666" w:footer="0" w:top="1140" w:bottom="280" w:left="340" w:right="360"/>
          <w:pgNumType w:start="33352"/>
          <w:cols w:num="2" w:equalWidth="0">
            <w:col w:w="5586" w:space="42"/>
            <w:col w:w="5612"/>
          </w:cols>
        </w:sectPr>
      </w:pPr>
    </w:p>
    <w:p>
      <w:pPr>
        <w:pStyle w:val="BodyText"/>
        <w:spacing w:line="218" w:lineRule="auto" w:before="105"/>
        <w:ind w:right="38"/>
      </w:pPr>
      <w:r>
        <w:rPr/>
        <w:pict>
          <v:line style="position:absolute;mso-position-horizontal-relative:page;mso-position-vertical-relative:page;z-index:3760" from="298.170502pt,64.473pt" to="298.170502pt,812.819pt" stroked="true" strokeweight=".533pt" strokecolor="#231f20">
            <v:stroke dashstyle="solid"/>
            <w10:wrap type="none"/>
          </v:line>
        </w:pict>
      </w:r>
      <w:bookmarkStart w:name="_bookmark114" w:id="119"/>
      <w:bookmarkEnd w:id="119"/>
      <w:r>
        <w:rPr/>
      </w:r>
      <w:r>
        <w:rPr>
          <w:color w:val="231F20"/>
        </w:rPr>
        <w:t>Le paragraphe 1</w:t>
      </w:r>
      <w:r>
        <w:rPr>
          <w:color w:val="231F20"/>
          <w:position w:val="7"/>
          <w:sz w:val="11"/>
        </w:rPr>
        <w:t>er </w:t>
      </w:r>
      <w:r>
        <w:rPr>
          <w:color w:val="231F20"/>
        </w:rPr>
        <w:t>s’applique toutefois à la réévaluation effectuée à l’initiative et sous la responsabilité de l’organe d’administration:</w:t>
      </w:r>
    </w:p>
    <w:p>
      <w:pPr>
        <w:pStyle w:val="BodyText"/>
        <w:spacing w:before="6"/>
        <w:ind w:left="0" w:right="0" w:firstLine="0"/>
        <w:jc w:val="left"/>
        <w:rPr>
          <w:sz w:val="23"/>
        </w:rPr>
      </w:pPr>
    </w:p>
    <w:p>
      <w:pPr>
        <w:pStyle w:val="BodyText"/>
        <w:spacing w:line="218" w:lineRule="auto"/>
        <w:ind w:right="38"/>
      </w:pPr>
      <w:r>
        <w:rPr>
          <w:color w:val="231F20"/>
        </w:rPr>
        <w:t>1° dans le cas prévu au paragraphe 2, alinéa 1</w:t>
      </w:r>
      <w:r>
        <w:rPr>
          <w:color w:val="231F20"/>
          <w:position w:val="7"/>
          <w:sz w:val="11"/>
        </w:rPr>
        <w:t>er</w:t>
      </w:r>
      <w:r>
        <w:rPr>
          <w:color w:val="231F20"/>
        </w:rPr>
        <w:t>, 1°, si le prix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before="6"/>
        <w:ind w:left="0" w:right="0" w:firstLine="0"/>
        <w:jc w:val="left"/>
        <w:rPr>
          <w:sz w:val="23"/>
        </w:rPr>
      </w:pPr>
    </w:p>
    <w:p>
      <w:pPr>
        <w:pStyle w:val="BodyText"/>
        <w:spacing w:line="218" w:lineRule="auto"/>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spacing w:before="2"/>
        <w:ind w:left="0" w:right="0" w:firstLine="0"/>
        <w:jc w:val="left"/>
        <w:rPr>
          <w:sz w:val="25"/>
        </w:rPr>
      </w:pPr>
    </w:p>
    <w:p>
      <w:pPr>
        <w:pStyle w:val="BodyText"/>
        <w:spacing w:line="213" w:lineRule="auto"/>
        <w:ind w:right="38"/>
      </w:pPr>
      <w:r>
        <w:rPr>
          <w:color w:val="231F20"/>
        </w:rPr>
        <w:t>Faute d’une réévaluation telle que visée au paragraphe 2, alinéa 2, 2°, un ou plusieurs actionnaires détenant un pourcentage total d’au moins 5 % des actions de la société au jour de l’apport peuvent demander une évaluation par un réviseur d’entreprises conformément au  paragra- phe</w:t>
      </w:r>
      <w:r>
        <w:rPr>
          <w:color w:val="231F20"/>
          <w:spacing w:val="15"/>
        </w:rPr>
        <w:t> </w:t>
      </w:r>
      <w:r>
        <w:rPr>
          <w:color w:val="231F20"/>
        </w:rPr>
        <w:t>1</w:t>
      </w:r>
      <w:r>
        <w:rPr>
          <w:color w:val="231F20"/>
          <w:position w:val="7"/>
          <w:sz w:val="11"/>
        </w:rPr>
        <w:t>er</w:t>
      </w:r>
      <w:r>
        <w:rPr>
          <w:color w:val="231F20"/>
        </w:rPr>
        <w:t>.</w:t>
      </w:r>
    </w:p>
    <w:p>
      <w:pPr>
        <w:pStyle w:val="BodyText"/>
        <w:spacing w:line="218" w:lineRule="auto" w:before="108"/>
        <w:ind w:right="38"/>
      </w:pPr>
      <w:r>
        <w:rPr>
          <w:color w:val="231F20"/>
        </w:rPr>
        <w:t>Cette demande peut être faite jusqu’à la date effective de l’apport de l’élément d’actif, à condition que, à la date de la demande, le ou les actionnaires en question détiennent toujours un pourcentage total d’au moins 5 % des actions au jour de l’apport.</w:t>
      </w:r>
    </w:p>
    <w:p>
      <w:pPr>
        <w:pStyle w:val="BodyText"/>
        <w:spacing w:before="93"/>
        <w:ind w:left="283" w:right="0" w:firstLine="0"/>
        <w:jc w:val="left"/>
      </w:pPr>
      <w:r>
        <w:rPr>
          <w:color w:val="231F20"/>
        </w:rPr>
        <w:t>Les frais de cette réévaluation sont à charge de la société.</w:t>
      </w:r>
    </w:p>
    <w:p>
      <w:pPr>
        <w:pStyle w:val="BodyText"/>
        <w:spacing w:before="9"/>
        <w:ind w:left="0" w:right="0" w:firstLine="0"/>
        <w:jc w:val="left"/>
        <w:rPr>
          <w:sz w:val="25"/>
        </w:rPr>
      </w:pPr>
    </w:p>
    <w:p>
      <w:pPr>
        <w:pStyle w:val="BodyText"/>
        <w:spacing w:line="213" w:lineRule="auto"/>
        <w:ind w:right="38"/>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8"/>
        <w:ind w:left="0" w:right="0" w:firstLine="0"/>
        <w:jc w:val="left"/>
        <w:rPr>
          <w:sz w:val="24"/>
        </w:rPr>
      </w:pPr>
    </w:p>
    <w:p>
      <w:pPr>
        <w:pStyle w:val="BodyText"/>
        <w:spacing w:line="364" w:lineRule="auto"/>
        <w:ind w:left="283" w:right="1360" w:firstLine="0"/>
        <w:jc w:val="left"/>
      </w:pPr>
      <w:r>
        <w:rPr>
          <w:color w:val="231F20"/>
        </w:rPr>
        <w:t>1° une description de l’apport en nature concerné; 2° le nom de l’apporteur;</w:t>
      </w:r>
    </w:p>
    <w:p>
      <w:pPr>
        <w:pStyle w:val="BodyText"/>
        <w:spacing w:line="218" w:lineRule="auto" w:before="13"/>
        <w:ind w:right="38"/>
      </w:pPr>
      <w:r>
        <w:rPr>
          <w:color w:val="231F20"/>
        </w:rPr>
        <w:t>3° la valeur de cet apport, l’origine de cette évaluation et, le cas échéant, le mode d’évaluation;</w:t>
      </w:r>
    </w:p>
    <w:p>
      <w:pPr>
        <w:pStyle w:val="BodyText"/>
        <w:spacing w:line="218" w:lineRule="auto" w:before="118"/>
        <w:ind w:right="38"/>
      </w:pPr>
      <w:r>
        <w:rPr>
          <w:color w:val="231F20"/>
        </w:rPr>
        <w:t>4° le nombre des actions émises en contrepartie de chaque apport en nature;</w:t>
      </w:r>
    </w:p>
    <w:p>
      <w:pPr>
        <w:pStyle w:val="BodyText"/>
        <w:spacing w:line="218" w:lineRule="auto" w:before="117"/>
        <w:ind w:right="38"/>
      </w:pPr>
      <w:r>
        <w:rPr>
          <w:color w:val="231F20"/>
        </w:rPr>
        <w:t>5° une attestation selon laquelle aucune circonstance nouvelle susceptible d’influencer l’évaluation initiale n’est survenue.</w:t>
      </w:r>
    </w:p>
    <w:p>
      <w:pPr>
        <w:pStyle w:val="BodyText"/>
        <w:spacing w:before="6"/>
        <w:ind w:left="0" w:right="0" w:firstLine="0"/>
        <w:jc w:val="left"/>
        <w:rPr>
          <w:sz w:val="24"/>
        </w:rPr>
      </w:pPr>
    </w:p>
    <w:p>
      <w:pPr>
        <w:pStyle w:val="BodyText"/>
        <w:spacing w:line="345" w:lineRule="auto" w:before="1"/>
        <w:ind w:left="283" w:right="473" w:hanging="1"/>
        <w:jc w:val="left"/>
      </w:pPr>
      <w:r>
        <w:rPr>
          <w:color w:val="231F20"/>
        </w:rPr>
        <w:t>Section 4. Délégation de pouvoirs à l’organe d’administration. Sous-section 1</w:t>
      </w:r>
      <w:r>
        <w:rPr>
          <w:color w:val="231F20"/>
          <w:position w:val="7"/>
          <w:sz w:val="11"/>
        </w:rPr>
        <w:t>re</w:t>
      </w:r>
      <w:r>
        <w:rPr>
          <w:color w:val="231F20"/>
        </w:rPr>
        <w:t>. Principes.</w:t>
      </w:r>
    </w:p>
    <w:p>
      <w:pPr>
        <w:pStyle w:val="BodyText"/>
        <w:spacing w:line="218" w:lineRule="auto" w:before="29"/>
        <w:ind w:right="38"/>
      </w:pPr>
      <w:r>
        <w:rPr>
          <w:color w:val="231F20"/>
        </w:rPr>
        <w:t>Art. 5:134. Les statuts peuvent conférer à l’organe d’administration le pouvoir d’émettre des actions nouvelles, des obligations convertibles  ou des droits de souscription. Ce pouvoir ne peut être exercé que pendant cinq ans à compter de la publication de l’acte constitutif ou de la modification des statuts. L’assemblée générale peut, par une décision prise selon les règles applicables à la modification des statuts, le cas échéant, en application de l’article 5:102, le renouveler à une ou plusieurs</w:t>
      </w:r>
      <w:r>
        <w:rPr>
          <w:color w:val="231F20"/>
          <w:spacing w:val="16"/>
        </w:rPr>
        <w:t> </w:t>
      </w:r>
      <w:r>
        <w:rPr>
          <w:color w:val="231F20"/>
        </w:rPr>
        <w:t>reprises</w:t>
      </w:r>
      <w:r>
        <w:rPr>
          <w:color w:val="231F20"/>
          <w:spacing w:val="16"/>
        </w:rPr>
        <w:t> </w:t>
      </w:r>
      <w:r>
        <w:rPr>
          <w:color w:val="231F20"/>
        </w:rPr>
        <w:t>pour</w:t>
      </w:r>
      <w:r>
        <w:rPr>
          <w:color w:val="231F20"/>
          <w:spacing w:val="16"/>
        </w:rPr>
        <w:t> </w:t>
      </w:r>
      <w:r>
        <w:rPr>
          <w:color w:val="231F20"/>
        </w:rPr>
        <w:t>un</w:t>
      </w:r>
      <w:r>
        <w:rPr>
          <w:color w:val="231F20"/>
          <w:spacing w:val="17"/>
        </w:rPr>
        <w:t> </w:t>
      </w:r>
      <w:r>
        <w:rPr>
          <w:color w:val="231F20"/>
        </w:rPr>
        <w:t>délai</w:t>
      </w:r>
      <w:r>
        <w:rPr>
          <w:color w:val="231F20"/>
          <w:spacing w:val="16"/>
        </w:rPr>
        <w:t> </w:t>
      </w:r>
      <w:r>
        <w:rPr>
          <w:color w:val="231F20"/>
        </w:rPr>
        <w:t>qui</w:t>
      </w:r>
      <w:r>
        <w:rPr>
          <w:color w:val="231F20"/>
          <w:spacing w:val="16"/>
        </w:rPr>
        <w:t> </w:t>
      </w:r>
      <w:r>
        <w:rPr>
          <w:color w:val="231F20"/>
        </w:rPr>
        <w:t>ne</w:t>
      </w:r>
      <w:r>
        <w:rPr>
          <w:color w:val="231F20"/>
          <w:spacing w:val="17"/>
        </w:rPr>
        <w:t> </w:t>
      </w:r>
      <w:r>
        <w:rPr>
          <w:color w:val="231F20"/>
        </w:rPr>
        <w:t>peut</w:t>
      </w:r>
      <w:r>
        <w:rPr>
          <w:color w:val="231F20"/>
          <w:spacing w:val="16"/>
        </w:rPr>
        <w:t> </w:t>
      </w:r>
      <w:r>
        <w:rPr>
          <w:color w:val="231F20"/>
        </w:rPr>
        <w:t>excéder</w:t>
      </w:r>
      <w:r>
        <w:rPr>
          <w:color w:val="231F20"/>
          <w:spacing w:val="16"/>
        </w:rPr>
        <w:t> </w:t>
      </w:r>
      <w:r>
        <w:rPr>
          <w:color w:val="231F20"/>
        </w:rPr>
        <w:t>cinq</w:t>
      </w:r>
      <w:r>
        <w:rPr>
          <w:color w:val="231F20"/>
          <w:spacing w:val="17"/>
        </w:rPr>
        <w:t> </w:t>
      </w:r>
      <w:r>
        <w:rPr>
          <w:color w:val="231F20"/>
        </w:rPr>
        <w:t>ans.</w:t>
      </w:r>
    </w:p>
    <w:p>
      <w:pPr>
        <w:pStyle w:val="BodyText"/>
        <w:spacing w:before="11"/>
        <w:ind w:left="0" w:right="0" w:firstLine="0"/>
        <w:jc w:val="left"/>
        <w:rPr>
          <w:sz w:val="25"/>
        </w:rPr>
      </w:pPr>
    </w:p>
    <w:p>
      <w:pPr>
        <w:pStyle w:val="BodyText"/>
        <w:spacing w:line="216" w:lineRule="auto"/>
        <w:ind w:right="38"/>
      </w:pPr>
      <w:r>
        <w:rPr>
          <w:color w:val="231F20"/>
        </w:rPr>
        <w:t>Lorsque les fondateurs ou l’assemblée générale décident de conférer ou de renouveler le pouvoir visé à l’alinéa 1</w:t>
      </w:r>
      <w:r>
        <w:rPr>
          <w:color w:val="231F20"/>
          <w:position w:val="7"/>
          <w:sz w:val="11"/>
        </w:rPr>
        <w:t>er</w:t>
      </w:r>
      <w:r>
        <w:rPr>
          <w:color w:val="231F20"/>
        </w:rPr>
        <w:t>, les circonstances particulières</w:t>
      </w:r>
      <w:r>
        <w:rPr>
          <w:color w:val="231F20"/>
          <w:spacing w:val="-7"/>
        </w:rPr>
        <w:t> </w:t>
      </w:r>
      <w:r>
        <w:rPr>
          <w:color w:val="231F20"/>
        </w:rPr>
        <w:t>dans</w:t>
      </w:r>
      <w:r>
        <w:rPr>
          <w:color w:val="231F20"/>
          <w:spacing w:val="-6"/>
        </w:rPr>
        <w:t> </w:t>
      </w:r>
      <w:r>
        <w:rPr>
          <w:color w:val="231F20"/>
        </w:rPr>
        <w:t>lesquelles</w:t>
      </w:r>
      <w:r>
        <w:rPr>
          <w:color w:val="231F20"/>
          <w:spacing w:val="-6"/>
        </w:rPr>
        <w:t> </w:t>
      </w:r>
      <w:r>
        <w:rPr>
          <w:color w:val="231F20"/>
        </w:rPr>
        <w:t>celui-ci</w:t>
      </w:r>
      <w:r>
        <w:rPr>
          <w:color w:val="231F20"/>
          <w:spacing w:val="-7"/>
        </w:rPr>
        <w:t> </w:t>
      </w:r>
      <w:r>
        <w:rPr>
          <w:color w:val="231F20"/>
        </w:rPr>
        <w:t>peut</w:t>
      </w:r>
      <w:r>
        <w:rPr>
          <w:color w:val="231F20"/>
          <w:spacing w:val="-6"/>
        </w:rPr>
        <w:t> </w:t>
      </w:r>
      <w:r>
        <w:rPr>
          <w:color w:val="231F20"/>
        </w:rPr>
        <w:t>être</w:t>
      </w:r>
      <w:r>
        <w:rPr>
          <w:color w:val="231F20"/>
          <w:spacing w:val="-6"/>
        </w:rPr>
        <w:t> </w:t>
      </w:r>
      <w:r>
        <w:rPr>
          <w:color w:val="231F20"/>
        </w:rPr>
        <w:t>exercé</w:t>
      </w:r>
      <w:r>
        <w:rPr>
          <w:color w:val="231F20"/>
          <w:spacing w:val="-7"/>
        </w:rPr>
        <w:t> </w:t>
      </w:r>
      <w:r>
        <w:rPr>
          <w:color w:val="231F20"/>
        </w:rPr>
        <w:t>et</w:t>
      </w:r>
      <w:r>
        <w:rPr>
          <w:color w:val="231F20"/>
          <w:spacing w:val="-6"/>
        </w:rPr>
        <w:t> </w:t>
      </w:r>
      <w:r>
        <w:rPr>
          <w:color w:val="231F20"/>
        </w:rPr>
        <w:t>les</w:t>
      </w:r>
      <w:r>
        <w:rPr>
          <w:color w:val="231F20"/>
          <w:spacing w:val="-6"/>
        </w:rPr>
        <w:t> </w:t>
      </w:r>
      <w:r>
        <w:rPr>
          <w:color w:val="231F20"/>
        </w:rPr>
        <w:t>objectifs</w:t>
      </w:r>
      <w:r>
        <w:rPr>
          <w:color w:val="231F20"/>
          <w:spacing w:val="-7"/>
        </w:rPr>
        <w:t> </w:t>
      </w:r>
      <w:r>
        <w:rPr>
          <w:color w:val="231F20"/>
        </w:rPr>
        <w:t>ainsi poursuivis sont exposés dans un rapport spécial. Le cas échéant, ce rapport est annoncé dans l’ordre du </w:t>
      </w:r>
      <w:r>
        <w:rPr>
          <w:color w:val="231F20"/>
          <w:spacing w:val="-3"/>
        </w:rPr>
        <w:t>jour. </w:t>
      </w:r>
      <w:r>
        <w:rPr>
          <w:color w:val="231F20"/>
        </w:rPr>
        <w:t>Une copie peut en être obtenue</w:t>
      </w:r>
      <w:r>
        <w:rPr>
          <w:color w:val="231F20"/>
          <w:spacing w:val="-5"/>
        </w:rPr>
        <w:t> </w:t>
      </w:r>
      <w:r>
        <w:rPr>
          <w:color w:val="231F20"/>
        </w:rPr>
        <w:t>conformément</w:t>
      </w:r>
      <w:r>
        <w:rPr>
          <w:color w:val="231F20"/>
          <w:spacing w:val="-5"/>
        </w:rPr>
        <w:t> </w:t>
      </w:r>
      <w:r>
        <w:rPr>
          <w:color w:val="231F20"/>
        </w:rPr>
        <w:t>à</w:t>
      </w:r>
      <w:r>
        <w:rPr>
          <w:color w:val="231F20"/>
          <w:spacing w:val="-5"/>
        </w:rPr>
        <w:t> </w:t>
      </w:r>
      <w:r>
        <w:rPr>
          <w:color w:val="231F20"/>
        </w:rPr>
        <w:t>l’article</w:t>
      </w:r>
      <w:r>
        <w:rPr>
          <w:color w:val="231F20"/>
          <w:spacing w:val="-4"/>
        </w:rPr>
        <w:t> </w:t>
      </w:r>
      <w:r>
        <w:rPr>
          <w:color w:val="231F20"/>
        </w:rPr>
        <w:t>5:84.</w:t>
      </w:r>
      <w:r>
        <w:rPr>
          <w:color w:val="231F20"/>
          <w:spacing w:val="-5"/>
        </w:rPr>
        <w:t> </w:t>
      </w:r>
      <w:r>
        <w:rPr>
          <w:color w:val="231F20"/>
        </w:rPr>
        <w:t>En</w:t>
      </w:r>
      <w:r>
        <w:rPr>
          <w:color w:val="231F20"/>
          <w:spacing w:val="-5"/>
        </w:rPr>
        <w:t> </w:t>
      </w:r>
      <w:r>
        <w:rPr>
          <w:color w:val="231F20"/>
        </w:rPr>
        <w:t>cas</w:t>
      </w:r>
      <w:r>
        <w:rPr>
          <w:color w:val="231F20"/>
          <w:spacing w:val="-4"/>
        </w:rPr>
        <w:t> </w:t>
      </w:r>
      <w:r>
        <w:rPr>
          <w:color w:val="231F20"/>
        </w:rPr>
        <w:t>d’absence</w:t>
      </w:r>
      <w:r>
        <w:rPr>
          <w:color w:val="231F20"/>
          <w:spacing w:val="-5"/>
        </w:rPr>
        <w:t> </w:t>
      </w:r>
      <w:r>
        <w:rPr>
          <w:color w:val="231F20"/>
        </w:rPr>
        <w:t>de</w:t>
      </w:r>
      <w:r>
        <w:rPr>
          <w:color w:val="231F20"/>
          <w:spacing w:val="-5"/>
        </w:rPr>
        <w:t> </w:t>
      </w:r>
      <w:r>
        <w:rPr>
          <w:color w:val="231F20"/>
        </w:rPr>
        <w:t>ce</w:t>
      </w:r>
      <w:r>
        <w:rPr>
          <w:color w:val="231F20"/>
          <w:spacing w:val="-4"/>
        </w:rPr>
        <w:t> </w:t>
      </w:r>
      <w:r>
        <w:rPr>
          <w:color w:val="231F20"/>
        </w:rPr>
        <w:t>rapport</w:t>
      </w:r>
      <w:r>
        <w:rPr>
          <w:color w:val="231F20"/>
          <w:spacing w:val="-5"/>
        </w:rPr>
        <w:t> </w:t>
      </w:r>
      <w:r>
        <w:rPr>
          <w:color w:val="231F20"/>
        </w:rPr>
        <w:t>la décision</w:t>
      </w:r>
      <w:r>
        <w:rPr>
          <w:color w:val="231F20"/>
          <w:spacing w:val="16"/>
        </w:rPr>
        <w:t> </w:t>
      </w:r>
      <w:r>
        <w:rPr>
          <w:color w:val="231F20"/>
        </w:rPr>
        <w:t>des</w:t>
      </w:r>
      <w:r>
        <w:rPr>
          <w:color w:val="231F20"/>
          <w:spacing w:val="17"/>
        </w:rPr>
        <w:t> </w:t>
      </w:r>
      <w:r>
        <w:rPr>
          <w:color w:val="231F20"/>
        </w:rPr>
        <w:t>fondateurs</w:t>
      </w:r>
      <w:r>
        <w:rPr>
          <w:color w:val="231F20"/>
          <w:spacing w:val="16"/>
        </w:rPr>
        <w:t> </w:t>
      </w:r>
      <w:r>
        <w:rPr>
          <w:color w:val="231F20"/>
        </w:rPr>
        <w:t>ou</w:t>
      </w:r>
      <w:r>
        <w:rPr>
          <w:color w:val="231F20"/>
          <w:spacing w:val="17"/>
        </w:rPr>
        <w:t> </w:t>
      </w:r>
      <w:r>
        <w:rPr>
          <w:color w:val="231F20"/>
        </w:rPr>
        <w:t>de</w:t>
      </w:r>
      <w:r>
        <w:rPr>
          <w:color w:val="231F20"/>
          <w:spacing w:val="16"/>
        </w:rPr>
        <w:t> </w:t>
      </w:r>
      <w:r>
        <w:rPr>
          <w:color w:val="231F20"/>
        </w:rPr>
        <w:t>l’assemblée</w:t>
      </w:r>
      <w:r>
        <w:rPr>
          <w:color w:val="231F20"/>
          <w:spacing w:val="17"/>
        </w:rPr>
        <w:t> </w:t>
      </w:r>
      <w:r>
        <w:rPr>
          <w:color w:val="231F20"/>
        </w:rPr>
        <w:t>générale</w:t>
      </w:r>
      <w:r>
        <w:rPr>
          <w:color w:val="231F20"/>
          <w:spacing w:val="16"/>
        </w:rPr>
        <w:t> </w:t>
      </w:r>
      <w:r>
        <w:rPr>
          <w:color w:val="231F20"/>
        </w:rPr>
        <w:t>est</w:t>
      </w:r>
      <w:r>
        <w:rPr>
          <w:color w:val="231F20"/>
          <w:spacing w:val="17"/>
        </w:rPr>
        <w:t> </w:t>
      </w:r>
      <w:r>
        <w:rPr>
          <w:color w:val="231F20"/>
        </w:rPr>
        <w:t>nulle.</w:t>
      </w:r>
    </w:p>
    <w:p>
      <w:pPr>
        <w:pStyle w:val="BodyText"/>
        <w:spacing w:before="4"/>
        <w:ind w:left="0" w:right="0" w:firstLine="0"/>
        <w:jc w:val="left"/>
        <w:rPr>
          <w:sz w:val="24"/>
        </w:rPr>
      </w:pPr>
    </w:p>
    <w:p>
      <w:pPr>
        <w:pStyle w:val="BodyText"/>
        <w:ind w:left="283" w:right="0" w:firstLine="0"/>
        <w:jc w:val="left"/>
      </w:pPr>
      <w:r>
        <w:rPr>
          <w:color w:val="231F20"/>
        </w:rPr>
        <w:t>Sous-section 2. Limitations.</w:t>
      </w:r>
    </w:p>
    <w:p>
      <w:pPr>
        <w:pStyle w:val="BodyText"/>
        <w:spacing w:line="218" w:lineRule="auto" w:before="114"/>
        <w:ind w:right="38"/>
      </w:pPr>
      <w:r>
        <w:rPr>
          <w:color w:val="231F20"/>
        </w:rPr>
        <w:t>Art. 5:135. </w:t>
      </w:r>
      <w:r>
        <w:rPr>
          <w:color w:val="231F20"/>
          <w:spacing w:val="-3"/>
        </w:rPr>
        <w:t>L’organe </w:t>
      </w:r>
      <w:r>
        <w:rPr>
          <w:color w:val="231F20"/>
        </w:rPr>
        <w:t>d’administration ne peut utiliser le pouvoir visé  à</w:t>
      </w:r>
      <w:r>
        <w:rPr>
          <w:color w:val="231F20"/>
          <w:spacing w:val="-4"/>
        </w:rPr>
        <w:t> </w:t>
      </w:r>
      <w:r>
        <w:rPr>
          <w:color w:val="231F20"/>
        </w:rPr>
        <w:t>l’article</w:t>
      </w:r>
      <w:r>
        <w:rPr>
          <w:color w:val="231F20"/>
          <w:spacing w:val="-4"/>
        </w:rPr>
        <w:t> </w:t>
      </w:r>
      <w:r>
        <w:rPr>
          <w:color w:val="231F20"/>
        </w:rPr>
        <w:t>5:134</w:t>
      </w:r>
      <w:r>
        <w:rPr>
          <w:color w:val="231F20"/>
          <w:spacing w:val="-4"/>
        </w:rPr>
        <w:t> </w:t>
      </w:r>
      <w:r>
        <w:rPr>
          <w:color w:val="231F20"/>
        </w:rPr>
        <w:t>pour</w:t>
      </w:r>
      <w:r>
        <w:rPr>
          <w:color w:val="231F20"/>
          <w:spacing w:val="-3"/>
        </w:rPr>
        <w:t> </w:t>
      </w:r>
      <w:r>
        <w:rPr>
          <w:color w:val="231F20"/>
        </w:rPr>
        <w:t>les</w:t>
      </w:r>
      <w:r>
        <w:rPr>
          <w:color w:val="231F20"/>
          <w:spacing w:val="-4"/>
        </w:rPr>
        <w:t> </w:t>
      </w:r>
      <w:r>
        <w:rPr>
          <w:color w:val="231F20"/>
        </w:rPr>
        <w:t>opérations</w:t>
      </w:r>
      <w:r>
        <w:rPr>
          <w:color w:val="231F20"/>
          <w:spacing w:val="-4"/>
        </w:rPr>
        <w:t> </w:t>
      </w:r>
      <w:r>
        <w:rPr>
          <w:color w:val="231F20"/>
        </w:rPr>
        <w:t>suivantes,</w:t>
      </w:r>
      <w:r>
        <w:rPr>
          <w:color w:val="231F20"/>
          <w:spacing w:val="-3"/>
        </w:rPr>
        <w:t> </w:t>
      </w:r>
      <w:r>
        <w:rPr>
          <w:color w:val="231F20"/>
        </w:rPr>
        <w:t>à</w:t>
      </w:r>
      <w:r>
        <w:rPr>
          <w:color w:val="231F20"/>
          <w:spacing w:val="-4"/>
        </w:rPr>
        <w:t> </w:t>
      </w:r>
      <w:r>
        <w:rPr>
          <w:color w:val="231F20"/>
        </w:rPr>
        <w:t>moins</w:t>
      </w:r>
      <w:r>
        <w:rPr>
          <w:color w:val="231F20"/>
          <w:spacing w:val="-4"/>
        </w:rPr>
        <w:t> </w:t>
      </w:r>
      <w:r>
        <w:rPr>
          <w:color w:val="231F20"/>
        </w:rPr>
        <w:t>que</w:t>
      </w:r>
      <w:r>
        <w:rPr>
          <w:color w:val="231F20"/>
          <w:spacing w:val="-3"/>
        </w:rPr>
        <w:t> </w:t>
      </w:r>
      <w:r>
        <w:rPr>
          <w:color w:val="231F20"/>
        </w:rPr>
        <w:t>l’autorisation ne le prévoit</w:t>
      </w:r>
      <w:r>
        <w:rPr>
          <w:color w:val="231F20"/>
          <w:spacing w:val="3"/>
        </w:rPr>
        <w:t> </w:t>
      </w:r>
      <w:r>
        <w:rPr>
          <w:color w:val="231F20"/>
        </w:rPr>
        <w:t>expressément:</w:t>
      </w:r>
    </w:p>
    <w:p>
      <w:pPr>
        <w:pStyle w:val="BodyText"/>
        <w:spacing w:line="218" w:lineRule="auto" w:before="117"/>
        <w:ind w:right="38"/>
      </w:pPr>
      <w:r>
        <w:rPr>
          <w:color w:val="231F20"/>
        </w:rPr>
        <w:t>1° les émissions d’actions, d’obligations convertibles ou de droits de souscription avec limitation ou suppression du droit de préférence conformément à l’article 5:130;</w:t>
      </w:r>
    </w:p>
    <w:p>
      <w:pPr>
        <w:pStyle w:val="BodyText"/>
        <w:spacing w:line="218" w:lineRule="auto" w:before="118"/>
        <w:ind w:right="38"/>
      </w:pPr>
      <w:r>
        <w:rPr>
          <w:color w:val="231F20"/>
        </w:rPr>
        <w:t>2° les émissions d’actions, d’obligations convertibles ou de droits de souscription à l’occasion desquelles le droit de préférence des action- naires est limité ou supprimé en faveur d’une ou plusieurs personnes déterminées, autres que les membres du personnel; dans ce cas, les administrateurs qui représentent en fait le bénéficiaire de l’exclusion</w:t>
      </w:r>
      <w:r>
        <w:rPr>
          <w:color w:val="231F20"/>
          <w:spacing w:val="-19"/>
        </w:rPr>
        <w:t> </w:t>
      </w:r>
      <w:r>
        <w:rPr>
          <w:color w:val="231F20"/>
        </w:rPr>
        <w:t>du droit de préférence ou une personne liée au bénéficiaire au sens de l’article</w:t>
      </w:r>
      <w:r>
        <w:rPr>
          <w:color w:val="231F20"/>
          <w:spacing w:val="15"/>
        </w:rPr>
        <w:t> </w:t>
      </w:r>
      <w:r>
        <w:rPr>
          <w:color w:val="231F20"/>
        </w:rPr>
        <w:t>5:131,</w:t>
      </w:r>
      <w:r>
        <w:rPr>
          <w:color w:val="231F20"/>
          <w:spacing w:val="15"/>
        </w:rPr>
        <w:t> </w:t>
      </w:r>
      <w:r>
        <w:rPr>
          <w:color w:val="231F20"/>
        </w:rPr>
        <w:t>alinéa</w:t>
      </w:r>
      <w:r>
        <w:rPr>
          <w:color w:val="231F20"/>
          <w:spacing w:val="16"/>
        </w:rPr>
        <w:t> </w:t>
      </w:r>
      <w:r>
        <w:rPr>
          <w:color w:val="231F20"/>
        </w:rPr>
        <w:t>6,</w:t>
      </w:r>
      <w:r>
        <w:rPr>
          <w:color w:val="231F20"/>
          <w:spacing w:val="15"/>
        </w:rPr>
        <w:t> </w:t>
      </w:r>
      <w:r>
        <w:rPr>
          <w:color w:val="231F20"/>
        </w:rPr>
        <w:t>ne</w:t>
      </w:r>
      <w:r>
        <w:rPr>
          <w:color w:val="231F20"/>
          <w:spacing w:val="15"/>
        </w:rPr>
        <w:t> </w:t>
      </w:r>
      <w:r>
        <w:rPr>
          <w:color w:val="231F20"/>
        </w:rPr>
        <w:t>peuvent</w:t>
      </w:r>
      <w:r>
        <w:rPr>
          <w:color w:val="231F20"/>
          <w:spacing w:val="16"/>
        </w:rPr>
        <w:t> </w:t>
      </w:r>
      <w:r>
        <w:rPr>
          <w:color w:val="231F20"/>
        </w:rPr>
        <w:t>participer</w:t>
      </w:r>
      <w:r>
        <w:rPr>
          <w:color w:val="231F20"/>
          <w:spacing w:val="15"/>
        </w:rPr>
        <w:t> </w:t>
      </w:r>
      <w:r>
        <w:rPr>
          <w:color w:val="231F20"/>
        </w:rPr>
        <w:t>au</w:t>
      </w:r>
      <w:r>
        <w:rPr>
          <w:color w:val="231F20"/>
          <w:spacing w:val="15"/>
        </w:rPr>
        <w:t> </w:t>
      </w:r>
      <w:r>
        <w:rPr>
          <w:color w:val="231F20"/>
        </w:rPr>
        <w:t>vote.</w:t>
      </w:r>
    </w:p>
    <w:p>
      <w:pPr>
        <w:pStyle w:val="BodyText"/>
        <w:spacing w:line="218" w:lineRule="auto" w:before="119"/>
      </w:pPr>
      <w:r>
        <w:rPr/>
        <w:br w:type="column"/>
      </w:r>
      <w:r>
        <w:rPr>
          <w:color w:val="231F20"/>
        </w:rPr>
        <w:t>Paragraaf 1 is evenwel van toepassing op de herwaardering waartoe wordt overgegaan op initiatief en onder de verantwoordelijkheid van het</w:t>
      </w:r>
      <w:r>
        <w:rPr>
          <w:color w:val="231F20"/>
          <w:spacing w:val="14"/>
        </w:rPr>
        <w:t> </w:t>
      </w:r>
      <w:r>
        <w:rPr>
          <w:color w:val="231F20"/>
        </w:rPr>
        <w:t>bestuursorgaan:</w:t>
      </w:r>
    </w:p>
    <w:p>
      <w:pPr>
        <w:pStyle w:val="BodyText"/>
        <w:spacing w:line="218" w:lineRule="auto" w:before="107"/>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w:t>
      </w:r>
      <w:r>
        <w:rPr>
          <w:color w:val="231F20"/>
          <w:spacing w:val="3"/>
        </w:rPr>
        <w:t> </w:t>
      </w:r>
      <w:r>
        <w:rPr>
          <w:color w:val="231F20"/>
        </w:rPr>
        <w:t>is;</w:t>
      </w:r>
    </w:p>
    <w:p>
      <w:pPr>
        <w:pStyle w:val="BodyText"/>
        <w:spacing w:line="218" w:lineRule="auto" w:before="107"/>
      </w:pPr>
      <w:r>
        <w:rPr>
          <w:color w:val="231F20"/>
        </w:rPr>
        <w:t>2° op de in paragraaf 2, eerste lid, 2° en 3°, bepaalde gevallen indien nieuwe bijzondere omstandigheden zouden leiden tot een aanzienlijke wijziging van de waarde in het economisch verkeer van het vermo- gensbestanddeel op de effectieve datum van de inbreng ervan.</w:t>
      </w:r>
    </w:p>
    <w:p>
      <w:pPr>
        <w:pStyle w:val="BodyText"/>
        <w:spacing w:line="218" w:lineRule="auto" w:before="107"/>
      </w:pPr>
      <w:r>
        <w:rPr>
          <w:color w:val="231F20"/>
        </w:rPr>
        <w:t>Bij het ontbreken van een herwaardering zoals bedoeld in para-  graaf 2, tweede lid, 2°, kunnen één of meer aandeelhouders die op de dag van de inbreng gezamenlijk ten minste 5 % van de aandelen in hun bezit hebben, een waardering volgens paragraaf 1 door een bedrijfsre- visor</w:t>
      </w:r>
      <w:r>
        <w:rPr>
          <w:color w:val="231F20"/>
          <w:spacing w:val="15"/>
        </w:rPr>
        <w:t> </w:t>
      </w:r>
      <w:r>
        <w:rPr>
          <w:color w:val="231F20"/>
        </w:rPr>
        <w:t>eisen.</w:t>
      </w:r>
    </w:p>
    <w:p>
      <w:pPr>
        <w:pStyle w:val="BodyText"/>
        <w:spacing w:line="218" w:lineRule="auto" w:before="107"/>
      </w:pPr>
      <w:r>
        <w:rPr>
          <w:color w:val="231F20"/>
        </w:rPr>
        <w:t>Deze eis kan worden ingediend tot de effectieve datum van de inbreng van het vermogensbestanddeel, op voorwaarde dat zij op datum van de eis nog steeds gezamenlijk ten minste 5 % van de aandelen</w:t>
      </w:r>
      <w:r>
        <w:rPr>
          <w:color w:val="231F20"/>
          <w:spacing w:val="16"/>
        </w:rPr>
        <w:t> </w:t>
      </w:r>
      <w:r>
        <w:rPr>
          <w:color w:val="231F20"/>
        </w:rPr>
        <w:t>op</w:t>
      </w:r>
      <w:r>
        <w:rPr>
          <w:color w:val="231F20"/>
          <w:spacing w:val="17"/>
        </w:rPr>
        <w:t> </w:t>
      </w:r>
      <w:r>
        <w:rPr>
          <w:color w:val="231F20"/>
        </w:rPr>
        <w:t>de</w:t>
      </w:r>
      <w:r>
        <w:rPr>
          <w:color w:val="231F20"/>
          <w:spacing w:val="16"/>
        </w:rPr>
        <w:t> </w:t>
      </w:r>
      <w:r>
        <w:rPr>
          <w:color w:val="231F20"/>
        </w:rPr>
        <w:t>dag</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inbreng,</w:t>
      </w:r>
      <w:r>
        <w:rPr>
          <w:color w:val="231F20"/>
          <w:spacing w:val="17"/>
        </w:rPr>
        <w:t> </w:t>
      </w:r>
      <w:r>
        <w:rPr>
          <w:color w:val="231F20"/>
        </w:rPr>
        <w:t>in</w:t>
      </w:r>
      <w:r>
        <w:rPr>
          <w:color w:val="231F20"/>
          <w:spacing w:val="16"/>
        </w:rPr>
        <w:t> </w:t>
      </w:r>
      <w:r>
        <w:rPr>
          <w:color w:val="231F20"/>
        </w:rPr>
        <w:t>hun</w:t>
      </w:r>
      <w:r>
        <w:rPr>
          <w:color w:val="231F20"/>
          <w:spacing w:val="17"/>
        </w:rPr>
        <w:t> </w:t>
      </w:r>
      <w:r>
        <w:rPr>
          <w:color w:val="231F20"/>
        </w:rPr>
        <w:t>bezit</w:t>
      </w:r>
      <w:r>
        <w:rPr>
          <w:color w:val="231F20"/>
          <w:spacing w:val="16"/>
        </w:rPr>
        <w:t> </w:t>
      </w:r>
      <w:r>
        <w:rPr>
          <w:color w:val="231F20"/>
        </w:rPr>
        <w:t>hebben.</w:t>
      </w:r>
    </w:p>
    <w:p>
      <w:pPr>
        <w:pStyle w:val="BodyText"/>
        <w:spacing w:line="218" w:lineRule="auto" w:before="107"/>
      </w:pPr>
      <w:r>
        <w:rPr>
          <w:color w:val="231F20"/>
        </w:rPr>
        <w:t>De kosten van deze herwaardering komen ten laste van de vennoot- schap.</w:t>
      </w:r>
    </w:p>
    <w:p>
      <w:pPr>
        <w:pStyle w:val="BodyText"/>
        <w:spacing w:line="218" w:lineRule="auto" w:before="118"/>
      </w:pPr>
      <w:r>
        <w:rPr>
          <w:color w:val="231F20"/>
        </w:rPr>
        <w:t>§ 3. In de gevallen bepaald in paragraaf 2 waarin de inbreng plaatsvindt zonder toepassing van paragraaf 1, legt het bestuursorgaan binnen één maand na de effectieve datum van de inbreng van het vermogensbestanddeel een verklaring neer en maakt deze bekend overeenkomstig de artikelen 2:8 en 2:14, 4°, waarin de volgende inlichtingen worden vermeld:</w:t>
      </w:r>
    </w:p>
    <w:p>
      <w:pPr>
        <w:pStyle w:val="BodyText"/>
        <w:spacing w:line="364" w:lineRule="auto" w:before="104"/>
        <w:ind w:left="283" w:right="679" w:hanging="1"/>
        <w:jc w:val="left"/>
      </w:pPr>
      <w:r>
        <w:rPr>
          <w:color w:val="231F20"/>
        </w:rPr>
        <w:t>1° een beschrijving van de desbetreffende inbreng in natura; 2° de naam van de inbrenger;</w:t>
      </w:r>
    </w:p>
    <w:p>
      <w:pPr>
        <w:pStyle w:val="BodyText"/>
        <w:spacing w:line="218" w:lineRule="auto" w:before="13"/>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17"/>
      </w:pPr>
      <w:r>
        <w:rPr>
          <w:color w:val="231F20"/>
        </w:rPr>
        <w:t>4° het aantal aandelen die tegen elke inbreng in natura zijn uitgegeven;</w:t>
      </w:r>
    </w:p>
    <w:p>
      <w:pPr>
        <w:pStyle w:val="BodyText"/>
        <w:spacing w:line="218" w:lineRule="auto" w:before="117"/>
      </w:pPr>
      <w:r>
        <w:rPr>
          <w:color w:val="231F20"/>
        </w:rPr>
        <w:t>5° een attest dat er zich geen nieuwe bijzondere</w:t>
      </w:r>
      <w:r>
        <w:rPr>
          <w:color w:val="231F20"/>
          <w:spacing w:val="23"/>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line="364" w:lineRule="auto" w:before="104"/>
        <w:ind w:left="283" w:right="0" w:firstLine="0"/>
        <w:jc w:val="left"/>
      </w:pPr>
      <w:r>
        <w:rPr>
          <w:color w:val="231F20"/>
        </w:rPr>
        <w:t>Afdeling 4. Bevoegdheidsdelegatie aan het bestuursorgaan. Onderafdeling 1. Beginselen.</w:t>
      </w:r>
    </w:p>
    <w:p>
      <w:pPr>
        <w:pStyle w:val="BodyText"/>
        <w:spacing w:line="218" w:lineRule="auto" w:before="13"/>
        <w:ind w:right="123"/>
      </w:pPr>
      <w:r>
        <w:rPr>
          <w:color w:val="231F20"/>
        </w:rPr>
        <w:t>Art. 5:134. De statuten kunnen aan het bestuursorgaan de bevoegd- heid toekennen om nieuwe aandelen, converteerbare obligaties of inschrijvingsrechten uit te geven. Deze bevoegdheid kan slechts  worden uitgeoefend gedurende vijf </w:t>
      </w:r>
      <w:r>
        <w:rPr>
          <w:color w:val="231F20"/>
          <w:spacing w:val="-3"/>
        </w:rPr>
        <w:t>jaar, </w:t>
      </w:r>
      <w:r>
        <w:rPr>
          <w:color w:val="231F20"/>
        </w:rPr>
        <w:t>te rekenen van de bekendma- king van de oprichtingsakte of van de statutenwijziging. De algemene vergadering kan </w:t>
      </w:r>
      <w:r>
        <w:rPr>
          <w:color w:val="231F20"/>
          <w:spacing w:val="-3"/>
        </w:rPr>
        <w:t>haar, </w:t>
      </w:r>
      <w:r>
        <w:rPr>
          <w:color w:val="231F20"/>
        </w:rPr>
        <w:t>bij een besluit genomen volgens de regels die voor de statutenwijziging zijn gesteld, in voorkomend geval met toepassing van artikel 5:102, een of meer malen hernieuwen voor een termijn</w:t>
      </w:r>
      <w:r>
        <w:rPr>
          <w:color w:val="231F20"/>
          <w:spacing w:val="14"/>
        </w:rPr>
        <w:t> </w:t>
      </w:r>
      <w:r>
        <w:rPr>
          <w:color w:val="231F20"/>
        </w:rPr>
        <w:t>die</w:t>
      </w:r>
      <w:r>
        <w:rPr>
          <w:color w:val="231F20"/>
          <w:spacing w:val="15"/>
        </w:rPr>
        <w:t> </w:t>
      </w:r>
      <w:r>
        <w:rPr>
          <w:color w:val="231F20"/>
        </w:rPr>
        <w:t>niet</w:t>
      </w:r>
      <w:r>
        <w:rPr>
          <w:color w:val="231F20"/>
          <w:spacing w:val="15"/>
        </w:rPr>
        <w:t> </w:t>
      </w:r>
      <w:r>
        <w:rPr>
          <w:color w:val="231F20"/>
        </w:rPr>
        <w:t>langer</w:t>
      </w:r>
      <w:r>
        <w:rPr>
          <w:color w:val="231F20"/>
          <w:spacing w:val="15"/>
        </w:rPr>
        <w:t> </w:t>
      </w:r>
      <w:r>
        <w:rPr>
          <w:color w:val="231F20"/>
        </w:rPr>
        <w:t>mag</w:t>
      </w:r>
      <w:r>
        <w:rPr>
          <w:color w:val="231F20"/>
          <w:spacing w:val="15"/>
        </w:rPr>
        <w:t> </w:t>
      </w:r>
      <w:r>
        <w:rPr>
          <w:color w:val="231F20"/>
        </w:rPr>
        <w:t>zijn</w:t>
      </w:r>
      <w:r>
        <w:rPr>
          <w:color w:val="231F20"/>
          <w:spacing w:val="14"/>
        </w:rPr>
        <w:t> </w:t>
      </w:r>
      <w:r>
        <w:rPr>
          <w:color w:val="231F20"/>
        </w:rPr>
        <w:t>dan</w:t>
      </w:r>
      <w:r>
        <w:rPr>
          <w:color w:val="231F20"/>
          <w:spacing w:val="15"/>
        </w:rPr>
        <w:t> </w:t>
      </w:r>
      <w:r>
        <w:rPr>
          <w:color w:val="231F20"/>
        </w:rPr>
        <w:t>vijf</w:t>
      </w:r>
      <w:r>
        <w:rPr>
          <w:color w:val="231F20"/>
          <w:spacing w:val="15"/>
        </w:rPr>
        <w:t> </w:t>
      </w:r>
      <w:r>
        <w:rPr>
          <w:color w:val="231F20"/>
          <w:spacing w:val="-3"/>
        </w:rPr>
        <w:t>jaar.</w:t>
      </w:r>
    </w:p>
    <w:p>
      <w:pPr>
        <w:pStyle w:val="BodyText"/>
        <w:spacing w:line="218" w:lineRule="auto" w:before="118"/>
      </w:pPr>
      <w:r>
        <w:rPr>
          <w:color w:val="231F20"/>
          <w:spacing w:val="-3"/>
        </w:rPr>
        <w:t>Wanneer </w:t>
      </w:r>
      <w:r>
        <w:rPr>
          <w:color w:val="231F20"/>
        </w:rPr>
        <w:t>de oprichters of de algemene vergadering besluiten de in het eerste lid bedoelde bevoegdheid toe te kennen of te vernieuwen, worden de bijzondere omstandigheden waarin deze kan worden gebruikt en de hierbij nagestreefde doeleinden in een bijzonder verslag uiteengezet. In voorkomend geval wordt dit verslag in de agenda vermeld. Een kopie ervan kan worden verkregen overeenkomstig artikel 5:84. </w:t>
      </w:r>
      <w:r>
        <w:rPr>
          <w:color w:val="231F20"/>
          <w:spacing w:val="-3"/>
        </w:rPr>
        <w:t>Wanneer </w:t>
      </w:r>
      <w:r>
        <w:rPr>
          <w:color w:val="231F20"/>
        </w:rPr>
        <w:t>dit verslag ontbreekt is de beslissing van de oprichters</w:t>
      </w:r>
      <w:r>
        <w:rPr>
          <w:color w:val="231F20"/>
          <w:spacing w:val="16"/>
        </w:rPr>
        <w:t> </w:t>
      </w:r>
      <w:r>
        <w:rPr>
          <w:color w:val="231F20"/>
        </w:rPr>
        <w:t>of</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algemene</w:t>
      </w:r>
      <w:r>
        <w:rPr>
          <w:color w:val="231F20"/>
          <w:spacing w:val="16"/>
        </w:rPr>
        <w:t> </w:t>
      </w:r>
      <w:r>
        <w:rPr>
          <w:color w:val="231F20"/>
        </w:rPr>
        <w:t>vergadering</w:t>
      </w:r>
      <w:r>
        <w:rPr>
          <w:color w:val="231F20"/>
          <w:spacing w:val="17"/>
        </w:rPr>
        <w:t> </w:t>
      </w:r>
      <w:r>
        <w:rPr>
          <w:color w:val="231F20"/>
        </w:rPr>
        <w:t>nietig.</w:t>
      </w:r>
    </w:p>
    <w:p>
      <w:pPr>
        <w:pStyle w:val="BodyText"/>
        <w:spacing w:before="104"/>
        <w:ind w:left="283" w:right="0" w:firstLine="0"/>
        <w:jc w:val="left"/>
      </w:pPr>
      <w:r>
        <w:rPr>
          <w:color w:val="231F20"/>
        </w:rPr>
        <w:t>Onderafdeling 2. Beperkingen.</w:t>
      </w:r>
    </w:p>
    <w:p>
      <w:pPr>
        <w:pStyle w:val="BodyText"/>
        <w:spacing w:line="218" w:lineRule="auto" w:before="114"/>
      </w:pPr>
      <w:r>
        <w:rPr>
          <w:color w:val="231F20"/>
        </w:rPr>
        <w:t>Art. 5:135. </w:t>
      </w:r>
      <w:r>
        <w:rPr>
          <w:color w:val="231F20"/>
          <w:spacing w:val="-3"/>
        </w:rPr>
        <w:t>Tenzij </w:t>
      </w:r>
      <w:r>
        <w:rPr>
          <w:color w:val="231F20"/>
        </w:rPr>
        <w:t>de machtiging daarin uitdrukkelijk voorziet, kan  het bestuursorgaan de bevoegdheid bedoeld in artikel 5:134 niet gebruiken</w:t>
      </w:r>
      <w:r>
        <w:rPr>
          <w:color w:val="231F20"/>
          <w:spacing w:val="15"/>
        </w:rPr>
        <w:t> </w:t>
      </w:r>
      <w:r>
        <w:rPr>
          <w:color w:val="231F20"/>
        </w:rPr>
        <w:t>voor:</w:t>
      </w:r>
    </w:p>
    <w:p>
      <w:pPr>
        <w:pStyle w:val="BodyText"/>
        <w:spacing w:line="218" w:lineRule="auto" w:before="117"/>
        <w:ind w:right="120"/>
      </w:pPr>
      <w:r>
        <w:rPr>
          <w:color w:val="231F20"/>
        </w:rPr>
        <w:t>1°</w:t>
      </w:r>
      <w:r>
        <w:rPr>
          <w:color w:val="231F20"/>
          <w:spacing w:val="-7"/>
        </w:rPr>
        <w:t> </w:t>
      </w:r>
      <w:r>
        <w:rPr>
          <w:color w:val="231F20"/>
        </w:rPr>
        <w:t>de</w:t>
      </w:r>
      <w:r>
        <w:rPr>
          <w:color w:val="231F20"/>
          <w:spacing w:val="-7"/>
        </w:rPr>
        <w:t> </w:t>
      </w:r>
      <w:r>
        <w:rPr>
          <w:color w:val="231F20"/>
        </w:rPr>
        <w:t>uitgifte</w:t>
      </w:r>
      <w:r>
        <w:rPr>
          <w:color w:val="231F20"/>
          <w:spacing w:val="-7"/>
        </w:rPr>
        <w:t> </w:t>
      </w:r>
      <w:r>
        <w:rPr>
          <w:color w:val="231F20"/>
        </w:rPr>
        <w:t>van</w:t>
      </w:r>
      <w:r>
        <w:rPr>
          <w:color w:val="231F20"/>
          <w:spacing w:val="-7"/>
        </w:rPr>
        <w:t> </w:t>
      </w:r>
      <w:r>
        <w:rPr>
          <w:color w:val="231F20"/>
        </w:rPr>
        <w:t>aandelen,</w:t>
      </w:r>
      <w:r>
        <w:rPr>
          <w:color w:val="231F20"/>
          <w:spacing w:val="-6"/>
        </w:rPr>
        <w:t> </w:t>
      </w:r>
      <w:r>
        <w:rPr>
          <w:color w:val="231F20"/>
        </w:rPr>
        <w:t>converteerbare</w:t>
      </w:r>
      <w:r>
        <w:rPr>
          <w:color w:val="231F20"/>
          <w:spacing w:val="-7"/>
        </w:rPr>
        <w:t> </w:t>
      </w:r>
      <w:r>
        <w:rPr>
          <w:color w:val="231F20"/>
        </w:rPr>
        <w:t>obligaties</w:t>
      </w:r>
      <w:r>
        <w:rPr>
          <w:color w:val="231F20"/>
          <w:spacing w:val="-7"/>
        </w:rPr>
        <w:t> </w:t>
      </w:r>
      <w:r>
        <w:rPr>
          <w:color w:val="231F20"/>
        </w:rPr>
        <w:t>of</w:t>
      </w:r>
      <w:r>
        <w:rPr>
          <w:color w:val="231F20"/>
          <w:spacing w:val="-7"/>
        </w:rPr>
        <w:t> </w:t>
      </w:r>
      <w:r>
        <w:rPr>
          <w:color w:val="231F20"/>
        </w:rPr>
        <w:t>inschrijvings- rechten met beperking of </w:t>
      </w:r>
      <w:r>
        <w:rPr>
          <w:color w:val="231F20"/>
          <w:spacing w:val="-3"/>
        </w:rPr>
        <w:t>opheffing </w:t>
      </w:r>
      <w:r>
        <w:rPr>
          <w:color w:val="231F20"/>
        </w:rPr>
        <w:t>van het voorkeurrecht overeenkom- stig artikel</w:t>
      </w:r>
      <w:r>
        <w:rPr>
          <w:color w:val="231F20"/>
          <w:spacing w:val="-13"/>
        </w:rPr>
        <w:t> </w:t>
      </w:r>
      <w:r>
        <w:rPr>
          <w:color w:val="231F20"/>
        </w:rPr>
        <w:t>5:130;</w:t>
      </w:r>
    </w:p>
    <w:p>
      <w:pPr>
        <w:pStyle w:val="BodyText"/>
        <w:spacing w:line="218" w:lineRule="auto" w:before="118"/>
        <w:ind w:right="120"/>
      </w:pPr>
      <w:r>
        <w:rPr>
          <w:color w:val="231F20"/>
        </w:rPr>
        <w:t>2°</w:t>
      </w:r>
      <w:r>
        <w:rPr>
          <w:color w:val="231F20"/>
          <w:spacing w:val="-10"/>
        </w:rPr>
        <w:t> </w:t>
      </w:r>
      <w:r>
        <w:rPr>
          <w:color w:val="231F20"/>
        </w:rPr>
        <w:t>de</w:t>
      </w:r>
      <w:r>
        <w:rPr>
          <w:color w:val="231F20"/>
          <w:spacing w:val="-9"/>
        </w:rPr>
        <w:t> </w:t>
      </w:r>
      <w:r>
        <w:rPr>
          <w:color w:val="231F20"/>
        </w:rPr>
        <w:t>uitgifte</w:t>
      </w:r>
      <w:r>
        <w:rPr>
          <w:color w:val="231F20"/>
          <w:spacing w:val="-9"/>
        </w:rPr>
        <w:t> </w:t>
      </w:r>
      <w:r>
        <w:rPr>
          <w:color w:val="231F20"/>
        </w:rPr>
        <w:t>van</w:t>
      </w:r>
      <w:r>
        <w:rPr>
          <w:color w:val="231F20"/>
          <w:spacing w:val="-9"/>
        </w:rPr>
        <w:t> </w:t>
      </w:r>
      <w:r>
        <w:rPr>
          <w:color w:val="231F20"/>
        </w:rPr>
        <w:t>aandelen,</w:t>
      </w:r>
      <w:r>
        <w:rPr>
          <w:color w:val="231F20"/>
          <w:spacing w:val="-9"/>
        </w:rPr>
        <w:t> </w:t>
      </w:r>
      <w:r>
        <w:rPr>
          <w:color w:val="231F20"/>
        </w:rPr>
        <w:t>converteerbare</w:t>
      </w:r>
      <w:r>
        <w:rPr>
          <w:color w:val="231F20"/>
          <w:spacing w:val="-9"/>
        </w:rPr>
        <w:t> </w:t>
      </w:r>
      <w:r>
        <w:rPr>
          <w:color w:val="231F20"/>
        </w:rPr>
        <w:t>obligaties</w:t>
      </w:r>
      <w:r>
        <w:rPr>
          <w:color w:val="231F20"/>
          <w:spacing w:val="-9"/>
        </w:rPr>
        <w:t> </w:t>
      </w:r>
      <w:r>
        <w:rPr>
          <w:color w:val="231F20"/>
        </w:rPr>
        <w:t>of</w:t>
      </w:r>
      <w:r>
        <w:rPr>
          <w:color w:val="231F20"/>
          <w:spacing w:val="-9"/>
        </w:rPr>
        <w:t> </w:t>
      </w:r>
      <w:r>
        <w:rPr>
          <w:color w:val="231F20"/>
        </w:rPr>
        <w:t>inschrijvings- rechten waarbij het voorkeurrecht van de aandeelhouders is beperkt of uitgesloten ten gunste van één of meer bepaalde personen, andere dan leden van het personeel; in dat geval mogen de bestuurders die</w:t>
      </w:r>
      <w:r>
        <w:rPr>
          <w:color w:val="231F20"/>
          <w:spacing w:val="27"/>
        </w:rPr>
        <w:t> </w:t>
      </w:r>
      <w:r>
        <w:rPr>
          <w:color w:val="231F20"/>
        </w:rPr>
        <w:t>de begunstigde van de </w:t>
      </w:r>
      <w:r>
        <w:rPr>
          <w:color w:val="231F20"/>
          <w:spacing w:val="-3"/>
        </w:rPr>
        <w:t>opheffing </w:t>
      </w:r>
      <w:r>
        <w:rPr>
          <w:color w:val="231F20"/>
        </w:rPr>
        <w:t>van het voorkeurrecht of een met de begunstigde verbonden persoon zoals omschreven in artikel 5:131, zesde lid, in feite vertegenwoordigen, niet aan de stemming deelne- men.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3784" from="298.170502pt,64.473pt" to="298.170502pt,812.819pt" stroked="true" strokeweight=".533pt" strokecolor="#231f20">
            <v:stroke dashstyle="solid"/>
            <w10:wrap type="none"/>
          </v:line>
        </w:pict>
      </w:r>
      <w:bookmarkStart w:name="_bookmark115" w:id="120"/>
      <w:bookmarkEnd w:id="120"/>
      <w:r>
        <w:rPr/>
      </w:r>
      <w:r>
        <w:rPr>
          <w:color w:val="231F20"/>
        </w:rPr>
        <w:t>Art. 5:136. L’organe d’administration ne peut pas utiliser le pouvoir visé à l’article 5:134 pour les opérations suivantes:</w:t>
      </w:r>
    </w:p>
    <w:p>
      <w:pPr>
        <w:pStyle w:val="BodyText"/>
        <w:spacing w:line="218" w:lineRule="auto" w:before="96"/>
        <w:ind w:right="38"/>
      </w:pPr>
      <w:r>
        <w:rPr>
          <w:color w:val="231F20"/>
        </w:rPr>
        <w:t>1° l’émission de droits de souscription réservée à titre principal à une ou plusieurs personnes déterminées autres que des membres du personnel;</w:t>
      </w:r>
    </w:p>
    <w:p>
      <w:pPr>
        <w:pStyle w:val="BodyText"/>
        <w:spacing w:line="218" w:lineRule="auto" w:before="96"/>
        <w:ind w:right="38"/>
      </w:pPr>
      <w:r>
        <w:rPr>
          <w:color w:val="231F20"/>
        </w:rPr>
        <w:t>2° l’émission d’actions à droit de vote multiple ou de titres donnant droit à l’émission de ou à la conversion en actions à droit de vote multiple;</w:t>
      </w:r>
    </w:p>
    <w:p>
      <w:pPr>
        <w:pStyle w:val="BodyText"/>
        <w:spacing w:line="218" w:lineRule="auto" w:before="96"/>
        <w:ind w:right="38"/>
      </w:pPr>
      <w:r>
        <w:rPr>
          <w:color w:val="231F20"/>
        </w:rPr>
        <w:t>3° l’émission d’actions ou d’obligations convertibles à réaliser principalement par un apport en nature réservé exclusivement à un actionnaire de la société détenant des titres de cette société auxquels sont attachés plus de 10 % des droits de vote;</w:t>
      </w:r>
    </w:p>
    <w:p>
      <w:pPr>
        <w:pStyle w:val="BodyText"/>
        <w:spacing w:before="8"/>
        <w:ind w:left="0" w:right="0" w:firstLine="0"/>
        <w:jc w:val="left"/>
        <w:rPr>
          <w:sz w:val="22"/>
        </w:rPr>
      </w:pPr>
    </w:p>
    <w:p>
      <w:pPr>
        <w:pStyle w:val="BodyText"/>
        <w:ind w:left="283" w:right="0" w:firstLine="0"/>
        <w:jc w:val="left"/>
      </w:pPr>
      <w:r>
        <w:rPr>
          <w:color w:val="231F20"/>
        </w:rPr>
        <w:t>4° l’émission d’une nouvelle classe d’actions.</w:t>
      </w:r>
    </w:p>
    <w:p>
      <w:pPr>
        <w:pStyle w:val="BodyText"/>
        <w:spacing w:line="218" w:lineRule="auto" w:before="78"/>
        <w:ind w:right="38"/>
      </w:pPr>
      <w:r>
        <w:rPr>
          <w:color w:val="231F20"/>
        </w:rPr>
        <w:t>Pour le calcul du seuil de 10 % des droits de vote </w:t>
      </w:r>
      <w:r>
        <w:rPr>
          <w:color w:val="231F20"/>
          <w:spacing w:val="3"/>
        </w:rPr>
        <w:t>visé </w:t>
      </w:r>
      <w:r>
        <w:rPr>
          <w:color w:val="231F20"/>
        </w:rPr>
        <w:t>à l’alinéa 1</w:t>
      </w:r>
      <w:r>
        <w:rPr>
          <w:color w:val="231F20"/>
          <w:position w:val="7"/>
          <w:sz w:val="11"/>
        </w:rPr>
        <w:t>er</w:t>
      </w:r>
      <w:r>
        <w:rPr>
          <w:color w:val="231F20"/>
        </w:rPr>
        <w:t>,   3°, les titres visés à l’article 5:131, alinéas 6 et 7, sont ajoutés aux titres détenus par un</w:t>
      </w:r>
      <w:r>
        <w:rPr>
          <w:color w:val="231F20"/>
          <w:spacing w:val="3"/>
        </w:rPr>
        <w:t> </w:t>
      </w:r>
      <w:r>
        <w:rPr>
          <w:color w:val="231F20"/>
        </w:rPr>
        <w:t>actionnaire.</w:t>
      </w:r>
    </w:p>
    <w:p>
      <w:pPr>
        <w:pStyle w:val="BodyText"/>
        <w:spacing w:line="280" w:lineRule="atLeast" w:before="171"/>
        <w:ind w:left="283" w:right="39" w:firstLine="0"/>
        <w:jc w:val="left"/>
      </w:pPr>
      <w:r>
        <w:rPr>
          <w:color w:val="231F20"/>
        </w:rPr>
        <w:t>Sous-section 3. Émission d’actions par l’organe  d’administration. Art.</w:t>
      </w:r>
      <w:r>
        <w:rPr>
          <w:color w:val="231F20"/>
          <w:spacing w:val="16"/>
        </w:rPr>
        <w:t> </w:t>
      </w:r>
      <w:r>
        <w:rPr>
          <w:color w:val="231F20"/>
        </w:rPr>
        <w:t>5:137.</w:t>
      </w:r>
      <w:r>
        <w:rPr>
          <w:color w:val="231F20"/>
          <w:spacing w:val="17"/>
        </w:rPr>
        <w:t> </w:t>
      </w:r>
      <w:r>
        <w:rPr>
          <w:color w:val="231F20"/>
        </w:rPr>
        <w:t>§</w:t>
      </w:r>
      <w:r>
        <w:rPr>
          <w:color w:val="231F20"/>
          <w:spacing w:val="16"/>
        </w:rPr>
        <w:t> </w:t>
      </w:r>
      <w:r>
        <w:rPr>
          <w:color w:val="231F20"/>
        </w:rPr>
        <w:t>1</w:t>
      </w:r>
      <w:r>
        <w:rPr>
          <w:color w:val="231F20"/>
          <w:position w:val="7"/>
          <w:sz w:val="11"/>
        </w:rPr>
        <w:t>er</w:t>
      </w:r>
      <w:r>
        <w:rPr>
          <w:color w:val="231F20"/>
        </w:rPr>
        <w:t>.</w:t>
      </w:r>
      <w:r>
        <w:rPr>
          <w:color w:val="231F20"/>
          <w:spacing w:val="17"/>
        </w:rPr>
        <w:t> </w:t>
      </w:r>
      <w:r>
        <w:rPr>
          <w:color w:val="231F20"/>
        </w:rPr>
        <w:t>En</w:t>
      </w:r>
      <w:r>
        <w:rPr>
          <w:color w:val="231F20"/>
          <w:spacing w:val="16"/>
        </w:rPr>
        <w:t> </w:t>
      </w:r>
      <w:r>
        <w:rPr>
          <w:color w:val="231F20"/>
        </w:rPr>
        <w:t>cas</w:t>
      </w:r>
      <w:r>
        <w:rPr>
          <w:color w:val="231F20"/>
          <w:spacing w:val="17"/>
        </w:rPr>
        <w:t> </w:t>
      </w:r>
      <w:r>
        <w:rPr>
          <w:color w:val="231F20"/>
        </w:rPr>
        <w:t>d’émission</w:t>
      </w:r>
      <w:r>
        <w:rPr>
          <w:color w:val="231F20"/>
          <w:spacing w:val="16"/>
        </w:rPr>
        <w:t> </w:t>
      </w:r>
      <w:r>
        <w:rPr>
          <w:color w:val="231F20"/>
        </w:rPr>
        <w:t>d’actions</w:t>
      </w:r>
      <w:r>
        <w:rPr>
          <w:color w:val="231F20"/>
          <w:spacing w:val="17"/>
        </w:rPr>
        <w:t> </w:t>
      </w:r>
      <w:r>
        <w:rPr>
          <w:color w:val="231F20"/>
        </w:rPr>
        <w:t>par</w:t>
      </w:r>
      <w:r>
        <w:rPr>
          <w:color w:val="231F20"/>
          <w:spacing w:val="16"/>
        </w:rPr>
        <w:t> </w:t>
      </w:r>
      <w:r>
        <w:rPr>
          <w:color w:val="231F20"/>
        </w:rPr>
        <w:t>l’organe</w:t>
      </w:r>
      <w:r>
        <w:rPr>
          <w:color w:val="231F20"/>
          <w:spacing w:val="17"/>
        </w:rPr>
        <w:t> </w:t>
      </w:r>
      <w:r>
        <w:rPr>
          <w:color w:val="231F20"/>
        </w:rPr>
        <w:t>d’adminis-</w:t>
      </w:r>
    </w:p>
    <w:p>
      <w:pPr>
        <w:pStyle w:val="BodyText"/>
        <w:spacing w:line="178" w:lineRule="exact"/>
        <w:ind w:right="0" w:firstLine="0"/>
        <w:jc w:val="left"/>
      </w:pPr>
      <w:r>
        <w:rPr>
          <w:color w:val="231F20"/>
        </w:rPr>
        <w:t>tration, les articles 5:120, § 1</w:t>
      </w:r>
      <w:r>
        <w:rPr>
          <w:color w:val="231F20"/>
          <w:position w:val="7"/>
          <w:sz w:val="11"/>
        </w:rPr>
        <w:t>er</w:t>
      </w:r>
      <w:r>
        <w:rPr>
          <w:color w:val="231F20"/>
        </w:rPr>
        <w:t>, alinéa 2, 5:121 à 5:130 sont</w:t>
      </w:r>
      <w:r>
        <w:rPr>
          <w:color w:val="231F20"/>
          <w:spacing w:val="-29"/>
        </w:rPr>
        <w:t> </w:t>
      </w:r>
      <w:r>
        <w:rPr>
          <w:color w:val="231F20"/>
        </w:rPr>
        <w:t>d’application.</w:t>
      </w:r>
    </w:p>
    <w:p>
      <w:pPr>
        <w:pStyle w:val="BodyText"/>
        <w:spacing w:line="218" w:lineRule="auto" w:before="103"/>
        <w:ind w:right="38"/>
      </w:pPr>
      <w:r>
        <w:rPr>
          <w:color w:val="231F20"/>
        </w:rPr>
        <w:t>Si l’émission d’actions a lieu contre un apport en nature en application de la procédure prévue à l’article 5:133, § 2, un avis indiquant la date à laquelle la décision d’émettre les actions a été prise et contenant les éléments mentionnés à l’aricle 5:133, § 3, est déposé et publié conformément aux articles 2:8 et 2:14, 4°, avant la réalisation de l’apport. Dans ce cas, la déclaration prévue à l’article 5:133, § 3, doit uniquement attester qu’aucune circonstance particulière nouvelle n’est survenue depuis la publication de l’avis.</w:t>
      </w:r>
    </w:p>
    <w:p>
      <w:pPr>
        <w:pStyle w:val="BodyText"/>
        <w:spacing w:before="10"/>
        <w:ind w:left="0" w:right="0" w:firstLine="0"/>
        <w:jc w:val="left"/>
        <w:rPr>
          <w:sz w:val="24"/>
        </w:rPr>
      </w:pPr>
    </w:p>
    <w:p>
      <w:pPr>
        <w:pStyle w:val="BodyText"/>
        <w:spacing w:line="218" w:lineRule="auto" w:before="1"/>
        <w:ind w:right="38"/>
      </w:pPr>
      <w:r>
        <w:rPr>
          <w:color w:val="231F20"/>
        </w:rPr>
        <w:t>Lorsque l’organe d’administration a exercé le pouvoir qui lui a été conféré conformément à l’article 5:134, il en fait rapport lors de la première assemblée générale qui suit. Le rapport viséà l’article 5:121, le cas échéant complété par les éléments visés à l’article 5:130, § 3, est annoncé dans l’ordre du jour de cette assemblée. Une copie peut en être obtenue conformément à l’article 5:84.</w:t>
      </w:r>
    </w:p>
    <w:p>
      <w:pPr>
        <w:pStyle w:val="BodyText"/>
        <w:spacing w:before="10"/>
        <w:ind w:left="0" w:right="0" w:firstLine="0"/>
        <w:jc w:val="left"/>
        <w:rPr>
          <w:sz w:val="24"/>
        </w:rPr>
      </w:pPr>
    </w:p>
    <w:p>
      <w:pPr>
        <w:pStyle w:val="BodyText"/>
        <w:spacing w:line="218" w:lineRule="auto"/>
        <w:ind w:right="38"/>
      </w:pPr>
      <w:r>
        <w:rPr>
          <w:color w:val="231F20"/>
        </w:rPr>
        <w:t>L’émission des actions nouvelles et la modification des statuts qui en résulte sont constatées par un acte authentique reçu à la requête de l’organe d’administration.</w:t>
      </w:r>
    </w:p>
    <w:p>
      <w:pPr>
        <w:pStyle w:val="BodyText"/>
        <w:spacing w:line="192" w:lineRule="exact" w:before="78"/>
        <w:ind w:left="283" w:right="0" w:firstLine="0"/>
        <w:jc w:val="left"/>
      </w:pPr>
      <w:r>
        <w:rPr>
          <w:color w:val="231F20"/>
        </w:rPr>
        <w:t>§ 2. Par dérogation au paragraphe 1</w:t>
      </w:r>
      <w:r>
        <w:rPr>
          <w:color w:val="231F20"/>
          <w:position w:val="7"/>
          <w:sz w:val="11"/>
        </w:rPr>
        <w:t>er</w:t>
      </w:r>
      <w:r>
        <w:rPr>
          <w:color w:val="231F20"/>
        </w:rPr>
        <w:t>, alinéa 4, et à l’article 5:120,</w:t>
      </w:r>
    </w:p>
    <w:p>
      <w:pPr>
        <w:pStyle w:val="BodyText"/>
        <w:spacing w:line="218" w:lineRule="auto"/>
        <w:ind w:right="38" w:hanging="1"/>
      </w:pPr>
      <w:r>
        <w:rPr>
          <w:color w:val="231F20"/>
        </w:rPr>
        <w:t>§ 1</w:t>
      </w:r>
      <w:r>
        <w:rPr>
          <w:color w:val="231F20"/>
          <w:position w:val="7"/>
          <w:sz w:val="11"/>
        </w:rPr>
        <w:t>er</w:t>
      </w:r>
      <w:r>
        <w:rPr>
          <w:color w:val="231F20"/>
        </w:rPr>
        <w:t>, les statuts peuvent prévoir que l’organe d’administration peut émettre des actions sans modifier immédiatement les statuts. Dans ce cas, les émissions et les modifications statutaires qui en découlent sont constatées, avant la fin de chaque exercice, par un acte authentique</w:t>
      </w:r>
      <w:r>
        <w:rPr>
          <w:color w:val="231F20"/>
          <w:spacing w:val="-26"/>
        </w:rPr>
        <w:t> </w:t>
      </w:r>
      <w:r>
        <w:rPr>
          <w:color w:val="231F20"/>
        </w:rPr>
        <w:t>reçu à</w:t>
      </w:r>
      <w:r>
        <w:rPr>
          <w:color w:val="231F20"/>
          <w:spacing w:val="15"/>
        </w:rPr>
        <w:t> </w:t>
      </w:r>
      <w:r>
        <w:rPr>
          <w:color w:val="231F20"/>
        </w:rPr>
        <w:t>la</w:t>
      </w:r>
      <w:r>
        <w:rPr>
          <w:color w:val="231F20"/>
          <w:spacing w:val="16"/>
        </w:rPr>
        <w:t> </w:t>
      </w:r>
      <w:r>
        <w:rPr>
          <w:color w:val="231F20"/>
        </w:rPr>
        <w:t>demande</w:t>
      </w:r>
      <w:r>
        <w:rPr>
          <w:color w:val="231F20"/>
          <w:spacing w:val="16"/>
        </w:rPr>
        <w:t> </w:t>
      </w:r>
      <w:r>
        <w:rPr>
          <w:color w:val="231F20"/>
        </w:rPr>
        <w:t>de</w:t>
      </w:r>
      <w:r>
        <w:rPr>
          <w:color w:val="231F20"/>
          <w:spacing w:val="16"/>
        </w:rPr>
        <w:t> </w:t>
      </w:r>
      <w:r>
        <w:rPr>
          <w:color w:val="231F20"/>
        </w:rPr>
        <w:t>l’organe</w:t>
      </w:r>
      <w:r>
        <w:rPr>
          <w:color w:val="231F20"/>
          <w:spacing w:val="16"/>
        </w:rPr>
        <w:t> </w:t>
      </w:r>
      <w:r>
        <w:rPr>
          <w:color w:val="231F20"/>
        </w:rPr>
        <w:t>d’administration.</w:t>
      </w:r>
    </w:p>
    <w:p>
      <w:pPr>
        <w:pStyle w:val="BodyText"/>
        <w:spacing w:before="91"/>
        <w:ind w:left="283" w:right="0" w:firstLine="0"/>
        <w:jc w:val="left"/>
      </w:pPr>
      <w:r>
        <w:rPr>
          <w:color w:val="231F20"/>
        </w:rPr>
        <w:t>Section 5. Garantie et responsabilité.</w:t>
      </w:r>
    </w:p>
    <w:p>
      <w:pPr>
        <w:pStyle w:val="BodyText"/>
        <w:spacing w:line="218" w:lineRule="auto" w:before="103"/>
        <w:ind w:right="38"/>
      </w:pPr>
      <w:r>
        <w:rPr>
          <w:color w:val="231F20"/>
        </w:rPr>
        <w:t>Art. 5:138. Nonobstant toute disposition contraire, les membres de l’organe d’administration sont tenus solidairement envers les intéres- sés:</w:t>
      </w:r>
    </w:p>
    <w:p>
      <w:pPr>
        <w:pStyle w:val="BodyText"/>
        <w:spacing w:line="211" w:lineRule="auto" w:before="112"/>
        <w:ind w:right="38"/>
      </w:pPr>
      <w:r>
        <w:rPr>
          <w:color w:val="231F20"/>
        </w:rPr>
        <w:t>1° des actions qui ne seraient pas valablement souscrites conformé- ment à l’article 5:120, § 1</w:t>
      </w:r>
      <w:r>
        <w:rPr>
          <w:color w:val="231F20"/>
          <w:position w:val="7"/>
          <w:sz w:val="11"/>
        </w:rPr>
        <w:t>er</w:t>
      </w:r>
      <w:r>
        <w:rPr>
          <w:color w:val="231F20"/>
        </w:rPr>
        <w:t>, alinéa 2; ils en sont de plein droit réputés souscripteurs;</w:t>
      </w:r>
    </w:p>
    <w:p>
      <w:pPr>
        <w:pStyle w:val="BodyText"/>
        <w:spacing w:line="218" w:lineRule="auto" w:before="104"/>
        <w:ind w:right="38"/>
      </w:pPr>
      <w:r>
        <w:rPr>
          <w:color w:val="231F20"/>
        </w:rPr>
        <w:t>2° de la libération effective des actions dont ils sont réputés souscripteurs en vertu du 1°;</w:t>
      </w:r>
    </w:p>
    <w:p>
      <w:pPr>
        <w:pStyle w:val="BodyText"/>
        <w:spacing w:line="218" w:lineRule="auto" w:before="107"/>
        <w:ind w:right="38"/>
      </w:pPr>
      <w:r>
        <w:rPr>
          <w:color w:val="231F20"/>
        </w:rPr>
        <w:t>3° de la libération d’actions souscrites, directement ou au moyen de certificats, en violation de l’article 5:123.</w:t>
      </w:r>
    </w:p>
    <w:p>
      <w:pPr>
        <w:pStyle w:val="BodyText"/>
        <w:spacing w:line="218" w:lineRule="auto" w:before="107"/>
        <w:ind w:right="38"/>
      </w:pPr>
      <w:r>
        <w:rPr>
          <w:color w:val="231F20"/>
        </w:rPr>
        <w:t>Art. 5:139. Nonobstant toute disposition contraire, les membres de l’organe d’administration sont responsables solidairement envers les intéressés du préjudice qui est une suite immédiate et directe soit de l’absence ou de la fausseté des mentions prescrites par l’article 5:133, soit de la surévaluation manifeste des apports en nature.</w:t>
      </w:r>
    </w:p>
    <w:p>
      <w:pPr>
        <w:pStyle w:val="BodyText"/>
        <w:spacing w:before="10"/>
        <w:ind w:left="0" w:right="0" w:firstLine="0"/>
        <w:jc w:val="left"/>
        <w:rPr>
          <w:sz w:val="24"/>
        </w:rPr>
      </w:pPr>
    </w:p>
    <w:p>
      <w:pPr>
        <w:pStyle w:val="BodyText"/>
        <w:spacing w:line="218" w:lineRule="auto"/>
        <w:ind w:right="38"/>
      </w:pPr>
      <w:r>
        <w:rPr>
          <w:color w:val="231F20"/>
        </w:rPr>
        <w:t>Art. 5:140. Ceux qui ont pris un engagement pour des tiers sont réputés personnellement obligés si le nom des mandants n’a pas été mentionné dans l’acte ou si le mandat produit n’est pas valable. Les membres de l’organe d’administration sont solidairement tenus de ces engagements.</w:t>
      </w:r>
    </w:p>
    <w:p>
      <w:pPr>
        <w:pStyle w:val="BodyText"/>
        <w:spacing w:before="93"/>
        <w:ind w:left="283" w:right="0" w:firstLine="0"/>
        <w:jc w:val="left"/>
      </w:pPr>
      <w:r>
        <w:rPr>
          <w:color w:val="231F20"/>
        </w:rPr>
        <w:t>CHAPITRE 2. Maintien du patrimoine de la société.</w:t>
      </w:r>
    </w:p>
    <w:p>
      <w:pPr>
        <w:pStyle w:val="BodyText"/>
        <w:ind w:left="0" w:right="0" w:firstLine="0"/>
        <w:jc w:val="left"/>
        <w:rPr>
          <w:sz w:val="22"/>
        </w:rPr>
      </w:pPr>
    </w:p>
    <w:p>
      <w:pPr>
        <w:pStyle w:val="BodyText"/>
        <w:ind w:left="283" w:right="0" w:firstLine="0"/>
        <w:jc w:val="left"/>
      </w:pPr>
      <w:r>
        <w:rPr>
          <w:color w:val="231F20"/>
        </w:rPr>
        <w:t>Section 1</w:t>
      </w:r>
      <w:r>
        <w:rPr>
          <w:color w:val="231F20"/>
          <w:position w:val="7"/>
          <w:sz w:val="11"/>
        </w:rPr>
        <w:t>re</w:t>
      </w:r>
      <w:r>
        <w:rPr>
          <w:color w:val="231F20"/>
        </w:rPr>
        <w:t>. Des distributions aux actionnaires et tantièmes</w:t>
      </w:r>
    </w:p>
    <w:p>
      <w:pPr>
        <w:pStyle w:val="BodyText"/>
        <w:spacing w:line="218" w:lineRule="auto" w:before="103"/>
        <w:ind w:right="38"/>
      </w:pPr>
      <w:r>
        <w:rPr>
          <w:color w:val="231F20"/>
        </w:rPr>
        <w:t>Art. 5:141. L’assemblée générale a le pouvoir de décider de l’affecta- tion du bénéfice et du montant des distributions.</w:t>
      </w:r>
    </w:p>
    <w:p>
      <w:pPr>
        <w:pStyle w:val="BodyText"/>
        <w:spacing w:line="218" w:lineRule="auto" w:before="119"/>
      </w:pPr>
      <w:r>
        <w:rPr/>
        <w:br w:type="column"/>
      </w:r>
      <w:r>
        <w:rPr>
          <w:color w:val="231F20"/>
        </w:rPr>
        <w:t>Art. 5:136. Het bestuursorgaan mag de bevoegdheid bedoeld in artikel</w:t>
      </w:r>
      <w:r>
        <w:rPr>
          <w:color w:val="231F20"/>
          <w:spacing w:val="16"/>
        </w:rPr>
        <w:t> </w:t>
      </w:r>
      <w:r>
        <w:rPr>
          <w:color w:val="231F20"/>
        </w:rPr>
        <w:t>5:134</w:t>
      </w:r>
      <w:r>
        <w:rPr>
          <w:color w:val="231F20"/>
          <w:spacing w:val="16"/>
        </w:rPr>
        <w:t> </w:t>
      </w:r>
      <w:r>
        <w:rPr>
          <w:color w:val="231F20"/>
        </w:rPr>
        <w:t>niet</w:t>
      </w:r>
      <w:r>
        <w:rPr>
          <w:color w:val="231F20"/>
          <w:spacing w:val="16"/>
        </w:rPr>
        <w:t> </w:t>
      </w:r>
      <w:r>
        <w:rPr>
          <w:color w:val="231F20"/>
        </w:rPr>
        <w:t>gebruiken</w:t>
      </w:r>
      <w:r>
        <w:rPr>
          <w:color w:val="231F20"/>
          <w:spacing w:val="16"/>
        </w:rPr>
        <w:t> </w:t>
      </w:r>
      <w:r>
        <w:rPr>
          <w:color w:val="231F20"/>
        </w:rPr>
        <w:t>voor</w:t>
      </w:r>
      <w:r>
        <w:rPr>
          <w:color w:val="231F20"/>
          <w:spacing w:val="16"/>
        </w:rPr>
        <w:t> </w:t>
      </w:r>
      <w:r>
        <w:rPr>
          <w:color w:val="231F20"/>
        </w:rPr>
        <w:t>de</w:t>
      </w:r>
      <w:r>
        <w:rPr>
          <w:color w:val="231F20"/>
          <w:spacing w:val="16"/>
        </w:rPr>
        <w:t> </w:t>
      </w:r>
      <w:r>
        <w:rPr>
          <w:color w:val="231F20"/>
        </w:rPr>
        <w:t>volgende</w:t>
      </w:r>
      <w:r>
        <w:rPr>
          <w:color w:val="231F20"/>
          <w:spacing w:val="16"/>
        </w:rPr>
        <w:t> </w:t>
      </w:r>
      <w:r>
        <w:rPr>
          <w:color w:val="231F20"/>
        </w:rPr>
        <w:t>verrichtingen:</w:t>
      </w:r>
    </w:p>
    <w:p>
      <w:pPr>
        <w:pStyle w:val="BodyText"/>
        <w:spacing w:line="218" w:lineRule="auto" w:before="97"/>
      </w:pPr>
      <w:r>
        <w:rPr>
          <w:color w:val="231F20"/>
        </w:rPr>
        <w:t>1° de uitgifte van inschrijvingsrechten die in hoofdzaak is bestemd voor één of meer bepaalde personen, andere dan de leden van het personeel;</w:t>
      </w:r>
    </w:p>
    <w:p>
      <w:pPr>
        <w:pStyle w:val="BodyText"/>
        <w:spacing w:line="218" w:lineRule="auto" w:before="96"/>
      </w:pPr>
      <w:r>
        <w:rPr>
          <w:color w:val="231F20"/>
          <w:w w:val="105"/>
        </w:rPr>
        <w:t>2°</w:t>
      </w:r>
      <w:r>
        <w:rPr>
          <w:color w:val="231F20"/>
          <w:spacing w:val="-26"/>
          <w:w w:val="105"/>
        </w:rPr>
        <w:t> </w:t>
      </w:r>
      <w:r>
        <w:rPr>
          <w:color w:val="231F20"/>
          <w:w w:val="105"/>
        </w:rPr>
        <w:t>de</w:t>
      </w:r>
      <w:r>
        <w:rPr>
          <w:color w:val="231F20"/>
          <w:spacing w:val="-25"/>
          <w:w w:val="105"/>
        </w:rPr>
        <w:t> </w:t>
      </w:r>
      <w:r>
        <w:rPr>
          <w:color w:val="231F20"/>
          <w:w w:val="105"/>
        </w:rPr>
        <w:t>uitgifte</w:t>
      </w:r>
      <w:r>
        <w:rPr>
          <w:color w:val="231F20"/>
          <w:spacing w:val="-25"/>
          <w:w w:val="105"/>
        </w:rPr>
        <w:t> </w:t>
      </w:r>
      <w:r>
        <w:rPr>
          <w:color w:val="231F20"/>
          <w:w w:val="105"/>
        </w:rPr>
        <w:t>van</w:t>
      </w:r>
      <w:r>
        <w:rPr>
          <w:color w:val="231F20"/>
          <w:spacing w:val="-25"/>
          <w:w w:val="105"/>
        </w:rPr>
        <w:t> </w:t>
      </w:r>
      <w:r>
        <w:rPr>
          <w:color w:val="231F20"/>
          <w:w w:val="105"/>
        </w:rPr>
        <w:t>aandelen</w:t>
      </w:r>
      <w:r>
        <w:rPr>
          <w:color w:val="231F20"/>
          <w:spacing w:val="-25"/>
          <w:w w:val="105"/>
        </w:rPr>
        <w:t> </w:t>
      </w:r>
      <w:r>
        <w:rPr>
          <w:color w:val="231F20"/>
          <w:w w:val="105"/>
        </w:rPr>
        <w:t>met</w:t>
      </w:r>
      <w:r>
        <w:rPr>
          <w:color w:val="231F20"/>
          <w:spacing w:val="-25"/>
          <w:w w:val="105"/>
        </w:rPr>
        <w:t> </w:t>
      </w:r>
      <w:r>
        <w:rPr>
          <w:color w:val="231F20"/>
          <w:w w:val="105"/>
        </w:rPr>
        <w:t>meervoudig</w:t>
      </w:r>
      <w:r>
        <w:rPr>
          <w:color w:val="231F20"/>
          <w:spacing w:val="-25"/>
          <w:w w:val="105"/>
        </w:rPr>
        <w:t> </w:t>
      </w:r>
      <w:r>
        <w:rPr>
          <w:color w:val="231F20"/>
          <w:w w:val="105"/>
        </w:rPr>
        <w:t>stemrecht</w:t>
      </w:r>
      <w:r>
        <w:rPr>
          <w:color w:val="231F20"/>
          <w:spacing w:val="-25"/>
          <w:w w:val="105"/>
        </w:rPr>
        <w:t> </w:t>
      </w:r>
      <w:r>
        <w:rPr>
          <w:color w:val="231F20"/>
          <w:w w:val="105"/>
        </w:rPr>
        <w:t>of</w:t>
      </w:r>
      <w:r>
        <w:rPr>
          <w:color w:val="231F20"/>
          <w:spacing w:val="-25"/>
          <w:w w:val="105"/>
        </w:rPr>
        <w:t> </w:t>
      </w:r>
      <w:r>
        <w:rPr>
          <w:color w:val="231F20"/>
          <w:w w:val="105"/>
        </w:rPr>
        <w:t>van</w:t>
      </w:r>
      <w:r>
        <w:rPr>
          <w:color w:val="231F20"/>
          <w:spacing w:val="-25"/>
          <w:w w:val="105"/>
        </w:rPr>
        <w:t> </w:t>
      </w:r>
      <w:r>
        <w:rPr>
          <w:color w:val="231F20"/>
          <w:w w:val="105"/>
        </w:rPr>
        <w:t>effecten die recht geven op de uitgifte van of de conversie in aandelen met meervoudig</w:t>
      </w:r>
      <w:r>
        <w:rPr>
          <w:color w:val="231F20"/>
          <w:spacing w:val="11"/>
          <w:w w:val="105"/>
        </w:rPr>
        <w:t> </w:t>
      </w:r>
      <w:r>
        <w:rPr>
          <w:color w:val="231F20"/>
          <w:w w:val="105"/>
        </w:rPr>
        <w:t>stemrecht;</w:t>
      </w:r>
    </w:p>
    <w:p>
      <w:pPr>
        <w:pStyle w:val="BodyText"/>
        <w:spacing w:line="218" w:lineRule="auto" w:before="96"/>
      </w:pPr>
      <w:r>
        <w:rPr>
          <w:color w:val="231F20"/>
        </w:rPr>
        <w:t>3° voor de uitgifte van aandelen of converteerbare obligaties die voornamelijk tot stand worden gebracht door een inbreng in natura uitsluitend voorbehouden aan een aandeelhouder van de vennoot- schap die effecten van deze vennootschap in zijn bezit houdt waaraan meer dan 10 % van de stemrechten zijn verbonden;</w:t>
      </w:r>
    </w:p>
    <w:p>
      <w:pPr>
        <w:pStyle w:val="BodyText"/>
        <w:spacing w:before="82"/>
        <w:ind w:left="283" w:right="0" w:firstLine="0"/>
        <w:jc w:val="left"/>
      </w:pPr>
      <w:r>
        <w:rPr>
          <w:color w:val="231F20"/>
        </w:rPr>
        <w:t>4° de uitgifte van een nieuwe soort van aandelen.</w:t>
      </w:r>
    </w:p>
    <w:p>
      <w:pPr>
        <w:pStyle w:val="BodyText"/>
        <w:spacing w:line="218" w:lineRule="auto" w:before="93"/>
      </w:pPr>
      <w:r>
        <w:rPr>
          <w:color w:val="231F20"/>
          <w:spacing w:val="-5"/>
        </w:rPr>
        <w:t>Voor </w:t>
      </w:r>
      <w:r>
        <w:rPr>
          <w:color w:val="231F20"/>
        </w:rPr>
        <w:t>de berekening van de drempel van 10 % van de stemrechten bedoeld in het eerste lid, 3°, worden de effecten bedoeld in artikel 5:31, zesde en zevende lid, gevoegd bij de effecten in bezit gehouden door  een</w:t>
      </w:r>
      <w:r>
        <w:rPr>
          <w:color w:val="231F20"/>
          <w:spacing w:val="14"/>
        </w:rPr>
        <w:t> </w:t>
      </w:r>
      <w:r>
        <w:rPr>
          <w:color w:val="231F20"/>
        </w:rPr>
        <w:t>aandeelhouder.</w:t>
      </w:r>
    </w:p>
    <w:p>
      <w:pPr>
        <w:pStyle w:val="BodyText"/>
        <w:spacing w:before="82"/>
        <w:ind w:left="283" w:right="0" w:firstLine="0"/>
        <w:jc w:val="left"/>
      </w:pPr>
      <w:r>
        <w:rPr>
          <w:color w:val="231F20"/>
        </w:rPr>
        <w:t>Onderafdeling 3. Uitgifte van aandelen door het bestuursorgaan.</w:t>
      </w:r>
    </w:p>
    <w:p>
      <w:pPr>
        <w:pStyle w:val="BodyText"/>
        <w:spacing w:line="218" w:lineRule="auto" w:before="104"/>
      </w:pPr>
      <w:r>
        <w:rPr>
          <w:color w:val="231F20"/>
        </w:rPr>
        <w:t>Art. 5:137. § 1. Bij uitgifte van aandelen door het bestuursorgaan, zijn de artikelen 5:120, § 1, tweede lid, 5:121 tot 5:130 van toepassing.</w:t>
      </w:r>
    </w:p>
    <w:p>
      <w:pPr>
        <w:pStyle w:val="BodyText"/>
        <w:spacing w:line="218" w:lineRule="auto" w:before="106"/>
      </w:pPr>
      <w:r>
        <w:rPr>
          <w:color w:val="231F20"/>
        </w:rPr>
        <w:t>Indien de uitgifte van aandelen plaatsvindt tegen een inbreng in natura met toepassing van de procedure bepaald in artikel 5:133, § 2, wordt, vóór de inbreng is verwezenlijkt, een aankondiging neergelegd en bekendgemaakt overeenkomstig de artikelen 2:8 en 2:14, 4°, die de datum van het besluit tot uitgifte alsook de in artikel 5:133, § 3, bedoelde informatie bevat. In dat geval houdt de in artikel 5:133,</w:t>
      </w:r>
    </w:p>
    <w:p>
      <w:pPr>
        <w:pStyle w:val="BodyText"/>
        <w:spacing w:line="218" w:lineRule="auto" w:before="1"/>
        <w:ind w:firstLine="0"/>
      </w:pPr>
      <w:r>
        <w:rPr>
          <w:color w:val="231F20"/>
        </w:rPr>
        <w:t>§ 3 bedoelde verklaring enkel in dat zich sinds de openbaarmaking van de aankondiging geen nieuwe bijzondere omstandigheden hebben voorgedaan.</w:t>
      </w:r>
    </w:p>
    <w:p>
      <w:pPr>
        <w:pStyle w:val="BodyText"/>
        <w:spacing w:line="218" w:lineRule="auto" w:before="107"/>
      </w:pPr>
      <w:r>
        <w:rPr>
          <w:color w:val="231F20"/>
        </w:rPr>
        <w:t>Wanneer het bestuursorgaan gebruik heeft gemaakt van de hem overeenkomstig artikel 5:134 toegekende bevoegdheid, brengt het daarover verslag uit op de eerstvolgende algemene vergadering. Het verslag zoals bedoeld in artikel 5:121, in voorkomend geval aangevuld met de gegevens bedoeld in artikel 5:130, § 3 , wordt in de agenda van deze vergadering vermeld. Een kopie ervan kan worden verkregen overeenkomstig artikel 5:84.</w:t>
      </w:r>
    </w:p>
    <w:p>
      <w:pPr>
        <w:pStyle w:val="BodyText"/>
        <w:spacing w:line="218" w:lineRule="auto" w:before="107"/>
        <w:ind w:right="123"/>
      </w:pPr>
      <w:r>
        <w:rPr>
          <w:color w:val="231F20"/>
        </w:rPr>
        <w:t>De uitgifte van de nieuwe aandelen en de daaruit voortvloeiende statutenwijziging wordt vastgesteld bij een authentieke akte verleden op verzoek van het</w:t>
      </w:r>
      <w:r>
        <w:rPr>
          <w:color w:val="231F20"/>
          <w:spacing w:val="21"/>
        </w:rPr>
        <w:t> </w:t>
      </w:r>
      <w:r>
        <w:rPr>
          <w:color w:val="231F20"/>
        </w:rPr>
        <w:t>bestuursorgaan.</w:t>
      </w:r>
    </w:p>
    <w:p>
      <w:pPr>
        <w:pStyle w:val="BodyText"/>
        <w:spacing w:line="218" w:lineRule="auto" w:before="107"/>
      </w:pPr>
      <w:r>
        <w:rPr>
          <w:color w:val="231F20"/>
        </w:rPr>
        <w:t>§ 2. In afwijking van paragraaf 1, vierde lid, en van artikel 5:120, § 1, kunnen de statuten bepalen dat het bestuursorgaan aandelen kan uitgeven zonder meteen de statuten te wijzigen. In dat geval worden de uitgiftes van aandelen en de daaruit voortvloeiende statutenwijziging, vóór het einde van elk boekjaar, vastgesteld bij een authentieke akte verleden op verzoek van het bestuursorgaan.</w:t>
      </w:r>
    </w:p>
    <w:p>
      <w:pPr>
        <w:pStyle w:val="BodyText"/>
        <w:spacing w:before="93"/>
        <w:ind w:left="283" w:right="0" w:firstLine="0"/>
        <w:jc w:val="left"/>
      </w:pPr>
      <w:r>
        <w:rPr>
          <w:color w:val="231F20"/>
        </w:rPr>
        <w:t>Afdeling 5. Garantie en aansprakelijkheid.</w:t>
      </w:r>
    </w:p>
    <w:p>
      <w:pPr>
        <w:pStyle w:val="BodyText"/>
        <w:spacing w:line="218" w:lineRule="auto" w:before="103"/>
      </w:pPr>
      <w:r>
        <w:rPr>
          <w:color w:val="231F20"/>
        </w:rPr>
        <w:t>Art. 5:138. Niettegenstaande andersluidende bepaling, zijn de leden van het bestuursorgaan jegens de belanghebbenden hoofdelijk gehou- den:</w:t>
      </w:r>
    </w:p>
    <w:p>
      <w:pPr>
        <w:pStyle w:val="BodyText"/>
        <w:spacing w:line="218" w:lineRule="auto" w:before="107"/>
      </w:pPr>
      <w:r>
        <w:rPr>
          <w:color w:val="231F20"/>
        </w:rPr>
        <w:t>1° voor de aandelen waarvoor niet op geldige wijze zou zijn ingeschreven overeenkomstig artikel 5:120, § 1, tweede lid; zij worden van rechtswege als inschrijvers ervan beschouwd;</w:t>
      </w:r>
    </w:p>
    <w:p>
      <w:pPr>
        <w:pStyle w:val="BodyText"/>
        <w:spacing w:line="218" w:lineRule="auto" w:before="107"/>
      </w:pPr>
      <w:r>
        <w:rPr>
          <w:color w:val="231F20"/>
        </w:rPr>
        <w:t>2° tot werkelijke storting van de aandelen waarvoor zij overeenkom- stig de bepaling onder 1° als inschrijvers worden beschouwd;</w:t>
      </w:r>
    </w:p>
    <w:p>
      <w:pPr>
        <w:pStyle w:val="BodyText"/>
        <w:spacing w:line="218" w:lineRule="auto" w:before="107"/>
      </w:pPr>
      <w:r>
        <w:rPr>
          <w:color w:val="231F20"/>
        </w:rPr>
        <w:t>3° tot volstorting van de aandelen waarop rechtstreeks of middels certificaten is ingeschreven in strijd met artikel 5:123.</w:t>
      </w:r>
    </w:p>
    <w:p>
      <w:pPr>
        <w:pStyle w:val="BodyText"/>
        <w:spacing w:line="218" w:lineRule="auto" w:before="106"/>
        <w:ind w:right="125"/>
      </w:pPr>
      <w:r>
        <w:rPr>
          <w:color w:val="231F20"/>
        </w:rPr>
        <w:t>Art. 5:139. Niettegenstaande andersluidende bepaling, zijn de leden van het bestuursorgaan jegens de belanghebbenden hoofdelijk aanspra- kelijk voor de schade die het onmiddellijke en rechtstreekse gevolg is hetzij van het ontbreken of de onjuistheid van de vermeldingen voorgeschreven door artikel 5:133, hetzij van de kennelijke overwaar- dering van inbrengen in natura.</w:t>
      </w:r>
    </w:p>
    <w:p>
      <w:pPr>
        <w:pStyle w:val="BodyText"/>
        <w:spacing w:line="218" w:lineRule="auto" w:before="108"/>
        <w:ind w:right="123"/>
      </w:pPr>
      <w:r>
        <w:rPr>
          <w:color w:val="231F20"/>
        </w:rPr>
        <w:t>Art. 5:140. Zij die een verbintenis voor derden hebben aangegaan, worden geacht persoonlijk verbonden te zijn indien de naam van de lastgevers niet is aangegeven in de akte, of indien de overgelegde lastgeving niet als geldig wordt erkend. De leden van het bestuursor- gaan zijn hoofdelijk gehouden tot nakoming van die verbintenissen.</w:t>
      </w:r>
    </w:p>
    <w:p>
      <w:pPr>
        <w:pStyle w:val="BodyText"/>
        <w:spacing w:line="218" w:lineRule="auto" w:before="107"/>
      </w:pPr>
      <w:r>
        <w:rPr>
          <w:color w:val="231F20"/>
        </w:rPr>
        <w:t>HOOFDSTUK 2. Instandhouding van het vermogen van de vennoot- schap.</w:t>
      </w:r>
    </w:p>
    <w:p>
      <w:pPr>
        <w:pStyle w:val="BodyText"/>
        <w:spacing w:before="92"/>
        <w:ind w:left="283" w:right="0" w:firstLine="0"/>
        <w:jc w:val="left"/>
      </w:pPr>
      <w:r>
        <w:rPr>
          <w:color w:val="231F20"/>
        </w:rPr>
        <w:t>Afdeling 1. Uitkeringen aan de aandeelhouders en tantièmes.</w:t>
      </w:r>
    </w:p>
    <w:p>
      <w:pPr>
        <w:pStyle w:val="BodyText"/>
        <w:spacing w:line="218" w:lineRule="auto" w:before="104"/>
      </w:pPr>
      <w:r>
        <w:rPr>
          <w:color w:val="231F20"/>
        </w:rPr>
        <w:t>Art. 5:141. De algemene vergadering is bevoegd tot bestemming van de winst en tot vaststelling van de uitkeringen.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3808" from="298.170502pt,64.473pt" to="298.170502pt,812.819pt" stroked="true" strokeweight=".533pt" strokecolor="#231f20">
            <v:stroke dashstyle="solid"/>
            <w10:wrap type="none"/>
          </v:line>
        </w:pict>
      </w:r>
      <w:bookmarkStart w:name="_bookmark116" w:id="121"/>
      <w:bookmarkEnd w:id="121"/>
      <w:r>
        <w:rPr/>
      </w:r>
      <w:r>
        <w:rPr>
          <w:color w:val="231F20"/>
        </w:rPr>
        <w:t>Les statuts peuvent déléguer à l’organe d’administration le pouvoir de procéder, dans les limites des articles 5:142 et 5:143, à des distributions provenant du bénéfice de l’exercice en cours ou du bénéfice de l’exercice précédent tant que les comptes annuels de cet exercice n’ont pas été approuvés, le cas échéant réduit de la perte reportée</w:t>
      </w:r>
      <w:r>
        <w:rPr>
          <w:color w:val="231F20"/>
          <w:spacing w:val="14"/>
        </w:rPr>
        <w:t> </w:t>
      </w:r>
      <w:r>
        <w:rPr>
          <w:color w:val="231F20"/>
        </w:rPr>
        <w:t>ou</w:t>
      </w:r>
      <w:r>
        <w:rPr>
          <w:color w:val="231F20"/>
          <w:spacing w:val="15"/>
        </w:rPr>
        <w:t> </w:t>
      </w:r>
      <w:r>
        <w:rPr>
          <w:color w:val="231F20"/>
        </w:rPr>
        <w:t>majoré</w:t>
      </w:r>
      <w:r>
        <w:rPr>
          <w:color w:val="231F20"/>
          <w:spacing w:val="14"/>
        </w:rPr>
        <w:t> </w:t>
      </w:r>
      <w:r>
        <w:rPr>
          <w:color w:val="231F20"/>
        </w:rPr>
        <w:t>du</w:t>
      </w:r>
      <w:r>
        <w:rPr>
          <w:color w:val="231F20"/>
          <w:spacing w:val="15"/>
        </w:rPr>
        <w:t> </w:t>
      </w:r>
      <w:r>
        <w:rPr>
          <w:color w:val="231F20"/>
        </w:rPr>
        <w:t>bénéfice</w:t>
      </w:r>
      <w:r>
        <w:rPr>
          <w:color w:val="231F20"/>
          <w:spacing w:val="15"/>
        </w:rPr>
        <w:t> </w:t>
      </w:r>
      <w:r>
        <w:rPr>
          <w:color w:val="231F20"/>
        </w:rPr>
        <w:t>reporté.</w:t>
      </w:r>
    </w:p>
    <w:p>
      <w:pPr>
        <w:pStyle w:val="BodyText"/>
        <w:spacing w:line="218" w:lineRule="auto" w:before="86"/>
        <w:ind w:right="38"/>
      </w:pPr>
      <w:r>
        <w:rPr>
          <w:color w:val="231F20"/>
        </w:rPr>
        <w:t>Art. 5:142. Aucune distribution ne peut être faite si l’actif net de la société est négatif ou le deviendrait à la suite d’une telle distribution. Si la société dispose de capitaux propres qui sont légalement ou statutairement indisponibles, aucune distribution ne peut être effectuée si l’actif net est inférieur au montant de ces capitaux propres indisponibles ou le deviendrait à la suite d’une telle distribution. Pour l’application de cette disposition, la partie non-amortie de la plus-value de réévaluation est reputée indisponible.</w:t>
      </w:r>
    </w:p>
    <w:p>
      <w:pPr>
        <w:pStyle w:val="BodyText"/>
        <w:spacing w:line="218" w:lineRule="auto" w:before="86"/>
        <w:ind w:right="38"/>
      </w:pPr>
      <w:r>
        <w:rPr>
          <w:color w:val="231F20"/>
        </w:rPr>
        <w:t>L’actif net de la société est établi sur la base des derniers comptes annuels approuvés ou d’un état plus récent résumant la situation active et passive. Dans les sociétés dans lesquelles un commissaire a été nommé, ce dernier évalue cet état. Le rapport d’évaluation limité du commissaire est joint à son rapport de contrôle annuel.</w:t>
      </w:r>
    </w:p>
    <w:p>
      <w:pPr>
        <w:pStyle w:val="BodyText"/>
        <w:spacing w:line="218" w:lineRule="auto" w:before="85"/>
        <w:ind w:right="38"/>
      </w:pPr>
      <w:r>
        <w:rPr>
          <w:color w:val="231F20"/>
        </w:rPr>
        <w:t>Par actif net, on entend le total de l’actif, déduction faite des provisions, des dettes et, sauf cas exceptionnels à mentionner et à justifier dans l’annexe aux comptes annuels, des montants non encore amortis des frais d’établissement et d’expansion et des frais de recherche et de développement.</w:t>
      </w:r>
    </w:p>
    <w:p>
      <w:pPr>
        <w:pStyle w:val="BodyText"/>
        <w:ind w:left="0" w:right="0" w:firstLine="0"/>
        <w:jc w:val="left"/>
        <w:rPr>
          <w:sz w:val="23"/>
        </w:rPr>
      </w:pPr>
    </w:p>
    <w:p>
      <w:pPr>
        <w:pStyle w:val="BodyText"/>
        <w:spacing w:line="218" w:lineRule="auto" w:before="1"/>
        <w:ind w:right="38"/>
      </w:pPr>
      <w:r>
        <w:rPr>
          <w:color w:val="231F20"/>
        </w:rPr>
        <w:t>Art. 5:143. La décision de distribution prise par l’assemblée générale ne produit ses effets qu’après que l’organe d’administration aura constaté qu’à la suite de la distribution, la société pourra, en fonction des développements auxquels on peut raisonnablement s’attendre, continuer à s’acquitter de ses dettes au fur et à mesure de leur échéance pendant une période d’au moins douze mois à compter de la date de la distribution.</w:t>
      </w:r>
    </w:p>
    <w:p>
      <w:pPr>
        <w:pStyle w:val="BodyText"/>
        <w:spacing w:line="218" w:lineRule="auto" w:before="85"/>
        <w:ind w:right="38"/>
      </w:pPr>
      <w:r>
        <w:rPr>
          <w:color w:val="231F20"/>
        </w:rPr>
        <w:t>La décision de l’organe d’administration est justifiée dans un rapport qui n’est pas déposé. Dans les sociétés qui ont nommé un commissaire, ce dernier évalue les données comptables et financières historiques et prospectives de ce rapport. Le commissaire mentionne dans son rapport</w:t>
      </w:r>
      <w:r>
        <w:rPr>
          <w:color w:val="231F20"/>
          <w:spacing w:val="15"/>
        </w:rPr>
        <w:t> </w:t>
      </w:r>
      <w:r>
        <w:rPr>
          <w:color w:val="231F20"/>
        </w:rPr>
        <w:t>de</w:t>
      </w:r>
      <w:r>
        <w:rPr>
          <w:color w:val="231F20"/>
          <w:spacing w:val="15"/>
        </w:rPr>
        <w:t> </w:t>
      </w:r>
      <w:r>
        <w:rPr>
          <w:color w:val="231F20"/>
        </w:rPr>
        <w:t>contrôle</w:t>
      </w:r>
      <w:r>
        <w:rPr>
          <w:color w:val="231F20"/>
          <w:spacing w:val="16"/>
        </w:rPr>
        <w:t> </w:t>
      </w:r>
      <w:r>
        <w:rPr>
          <w:color w:val="231F20"/>
        </w:rPr>
        <w:t>annuel</w:t>
      </w:r>
      <w:r>
        <w:rPr>
          <w:color w:val="231F20"/>
          <w:spacing w:val="15"/>
        </w:rPr>
        <w:t> </w:t>
      </w:r>
      <w:r>
        <w:rPr>
          <w:color w:val="231F20"/>
          <w:spacing w:val="2"/>
        </w:rPr>
        <w:t>qu’il</w:t>
      </w:r>
      <w:r>
        <w:rPr>
          <w:color w:val="231F20"/>
          <w:spacing w:val="1"/>
        </w:rPr>
        <w:t> </w:t>
      </w:r>
      <w:r>
        <w:rPr>
          <w:color w:val="231F20"/>
        </w:rPr>
        <w:t>a</w:t>
      </w:r>
      <w:r>
        <w:rPr>
          <w:color w:val="231F20"/>
          <w:spacing w:val="15"/>
        </w:rPr>
        <w:t> </w:t>
      </w:r>
      <w:r>
        <w:rPr>
          <w:color w:val="231F20"/>
        </w:rPr>
        <w:t>exécuté</w:t>
      </w:r>
      <w:r>
        <w:rPr>
          <w:color w:val="231F20"/>
          <w:spacing w:val="16"/>
        </w:rPr>
        <w:t> </w:t>
      </w:r>
      <w:r>
        <w:rPr>
          <w:color w:val="231F20"/>
        </w:rPr>
        <w:t>cette</w:t>
      </w:r>
      <w:r>
        <w:rPr>
          <w:color w:val="231F20"/>
          <w:spacing w:val="15"/>
        </w:rPr>
        <w:t> </w:t>
      </w:r>
      <w:r>
        <w:rPr>
          <w:color w:val="231F20"/>
        </w:rPr>
        <w:t>mission.</w:t>
      </w:r>
    </w:p>
    <w:p>
      <w:pPr>
        <w:pStyle w:val="BodyText"/>
        <w:spacing w:before="1"/>
        <w:ind w:left="0" w:right="0" w:firstLine="0"/>
        <w:jc w:val="left"/>
        <w:rPr>
          <w:sz w:val="23"/>
        </w:rPr>
      </w:pPr>
    </w:p>
    <w:p>
      <w:pPr>
        <w:pStyle w:val="BodyText"/>
        <w:spacing w:line="218" w:lineRule="auto"/>
        <w:ind w:right="38"/>
      </w:pPr>
      <w:r>
        <w:rPr>
          <w:color w:val="231F20"/>
        </w:rPr>
        <w:t>Art. 5:144. S’il est établi que lors de la prise de la décision visée à l’article 5:143, les membres de l’organe d’administration savaient ou, au vu des circonstances, auraient dû savoir, qu’à la suite de la distribution, la société ne serait manifestement plus en mesure de s’acquitter de ses dettes tel que précisé à l’article 5:143, ils sont solidairement responsa- bles envers la société et les tiers de tous les dommages qui en résultent.</w:t>
      </w:r>
    </w:p>
    <w:p>
      <w:pPr>
        <w:pStyle w:val="BodyText"/>
        <w:spacing w:before="11"/>
        <w:ind w:left="0" w:right="0" w:firstLine="0"/>
        <w:jc w:val="left"/>
        <w:rPr>
          <w:sz w:val="23"/>
        </w:rPr>
      </w:pPr>
    </w:p>
    <w:p>
      <w:pPr>
        <w:pStyle w:val="BodyText"/>
        <w:spacing w:line="218" w:lineRule="auto"/>
        <w:ind w:right="38"/>
      </w:pPr>
      <w:r>
        <w:rPr>
          <w:color w:val="231F20"/>
        </w:rPr>
        <w:t>La société peut demander le remboursement de toute distribution effectuée en violation des articles 5:142 et 5:143 par les actionnaires qui l’ont reçue, qu’ils soient de bonne ou mauvaise foi.</w:t>
      </w:r>
    </w:p>
    <w:p>
      <w:pPr>
        <w:pStyle w:val="BodyText"/>
        <w:spacing w:line="319" w:lineRule="auto" w:before="82"/>
        <w:ind w:left="284" w:right="565" w:firstLine="0"/>
        <w:jc w:val="left"/>
      </w:pPr>
      <w:r>
        <w:rPr>
          <w:color w:val="231F20"/>
        </w:rPr>
        <w:t>Section 2. De l’acquisition d’actions ou de certificats propres. Sous-section 1</w:t>
      </w:r>
      <w:r>
        <w:rPr>
          <w:color w:val="231F20"/>
          <w:position w:val="7"/>
          <w:sz w:val="11"/>
        </w:rPr>
        <w:t>re</w:t>
      </w:r>
      <w:r>
        <w:rPr>
          <w:color w:val="231F20"/>
        </w:rPr>
        <w:t>. Conditions de l’acquisition.</w:t>
      </w:r>
    </w:p>
    <w:p>
      <w:pPr>
        <w:pStyle w:val="BodyText"/>
        <w:spacing w:line="218" w:lineRule="auto" w:before="28"/>
        <w:ind w:right="38"/>
      </w:pPr>
      <w:r>
        <w:rPr>
          <w:color w:val="231F20"/>
        </w:rPr>
        <w:t>Art. 5:145. La société ne peut acquérir ses propres actions ou certificats s’y rapportant par voie d’achat ou d’échange, directement ou par personnes agissant en leur nom propre mais pour le compte de la société,</w:t>
      </w:r>
      <w:r>
        <w:rPr>
          <w:color w:val="231F20"/>
          <w:spacing w:val="-6"/>
        </w:rPr>
        <w:t> </w:t>
      </w:r>
      <w:r>
        <w:rPr>
          <w:color w:val="231F20"/>
        </w:rPr>
        <w:t>ainsi</w:t>
      </w:r>
      <w:r>
        <w:rPr>
          <w:color w:val="231F20"/>
          <w:spacing w:val="-6"/>
        </w:rPr>
        <w:t> </w:t>
      </w:r>
      <w:r>
        <w:rPr>
          <w:color w:val="231F20"/>
        </w:rPr>
        <w:t>que</w:t>
      </w:r>
      <w:r>
        <w:rPr>
          <w:color w:val="231F20"/>
          <w:spacing w:val="-6"/>
        </w:rPr>
        <w:t> </w:t>
      </w:r>
      <w:r>
        <w:rPr>
          <w:color w:val="231F20"/>
        </w:rPr>
        <w:t>souscrire</w:t>
      </w:r>
      <w:r>
        <w:rPr>
          <w:color w:val="231F20"/>
          <w:spacing w:val="-6"/>
        </w:rPr>
        <w:t> </w:t>
      </w:r>
      <w:r>
        <w:rPr>
          <w:color w:val="231F20"/>
        </w:rPr>
        <w:t>à</w:t>
      </w:r>
      <w:r>
        <w:rPr>
          <w:color w:val="231F20"/>
          <w:spacing w:val="-6"/>
        </w:rPr>
        <w:t> </w:t>
      </w:r>
      <w:r>
        <w:rPr>
          <w:color w:val="231F20"/>
        </w:rPr>
        <w:t>des</w:t>
      </w:r>
      <w:r>
        <w:rPr>
          <w:color w:val="231F20"/>
          <w:spacing w:val="-5"/>
        </w:rPr>
        <w:t> </w:t>
      </w:r>
      <w:r>
        <w:rPr>
          <w:color w:val="231F20"/>
        </w:rPr>
        <w:t>certificats</w:t>
      </w:r>
      <w:r>
        <w:rPr>
          <w:color w:val="231F20"/>
          <w:spacing w:val="-6"/>
        </w:rPr>
        <w:t> </w:t>
      </w:r>
      <w:r>
        <w:rPr>
          <w:color w:val="231F20"/>
        </w:rPr>
        <w:t>postérieurement</w:t>
      </w:r>
      <w:r>
        <w:rPr>
          <w:color w:val="231F20"/>
          <w:spacing w:val="-6"/>
        </w:rPr>
        <w:t> </w:t>
      </w:r>
      <w:r>
        <w:rPr>
          <w:color w:val="231F20"/>
        </w:rPr>
        <w:t>à</w:t>
      </w:r>
      <w:r>
        <w:rPr>
          <w:color w:val="231F20"/>
          <w:spacing w:val="-6"/>
        </w:rPr>
        <w:t> </w:t>
      </w:r>
      <w:r>
        <w:rPr>
          <w:color w:val="231F20"/>
        </w:rPr>
        <w:t>l’émission des</w:t>
      </w:r>
      <w:r>
        <w:rPr>
          <w:color w:val="231F20"/>
          <w:spacing w:val="14"/>
        </w:rPr>
        <w:t> </w:t>
      </w:r>
      <w:r>
        <w:rPr>
          <w:color w:val="231F20"/>
        </w:rPr>
        <w:t>actions</w:t>
      </w:r>
      <w:r>
        <w:rPr>
          <w:color w:val="231F20"/>
          <w:spacing w:val="15"/>
        </w:rPr>
        <w:t> </w:t>
      </w:r>
      <w:r>
        <w:rPr>
          <w:color w:val="231F20"/>
        </w:rPr>
        <w:t>correspondantes,</w:t>
      </w:r>
      <w:r>
        <w:rPr>
          <w:color w:val="231F20"/>
          <w:spacing w:val="15"/>
        </w:rPr>
        <w:t> </w:t>
      </w:r>
      <w:r>
        <w:rPr>
          <w:color w:val="231F20"/>
        </w:rPr>
        <w:t>que</w:t>
      </w:r>
      <w:r>
        <w:rPr>
          <w:color w:val="231F20"/>
          <w:spacing w:val="15"/>
        </w:rPr>
        <w:t> </w:t>
      </w:r>
      <w:r>
        <w:rPr>
          <w:color w:val="231F20"/>
        </w:rPr>
        <w:t>sous</w:t>
      </w:r>
      <w:r>
        <w:rPr>
          <w:color w:val="231F20"/>
          <w:spacing w:val="15"/>
        </w:rPr>
        <w:t> </w:t>
      </w:r>
      <w:r>
        <w:rPr>
          <w:color w:val="231F20"/>
        </w:rPr>
        <w:t>les</w:t>
      </w:r>
      <w:r>
        <w:rPr>
          <w:color w:val="231F20"/>
          <w:spacing w:val="15"/>
        </w:rPr>
        <w:t> </w:t>
      </w:r>
      <w:r>
        <w:rPr>
          <w:color w:val="231F20"/>
        </w:rPr>
        <w:t>conditions</w:t>
      </w:r>
      <w:r>
        <w:rPr>
          <w:color w:val="231F20"/>
          <w:spacing w:val="15"/>
        </w:rPr>
        <w:t> </w:t>
      </w:r>
      <w:r>
        <w:rPr>
          <w:color w:val="231F20"/>
        </w:rPr>
        <w:t>suivantes:</w:t>
      </w:r>
    </w:p>
    <w:p>
      <w:pPr>
        <w:pStyle w:val="BodyText"/>
        <w:spacing w:before="11"/>
        <w:ind w:left="0" w:right="0" w:firstLine="0"/>
        <w:jc w:val="left"/>
        <w:rPr>
          <w:sz w:val="23"/>
        </w:rPr>
      </w:pPr>
    </w:p>
    <w:p>
      <w:pPr>
        <w:pStyle w:val="BodyText"/>
        <w:spacing w:line="218" w:lineRule="auto"/>
        <w:ind w:right="38"/>
      </w:pPr>
      <w:r>
        <w:rPr>
          <w:color w:val="231F20"/>
        </w:rPr>
        <w:t>1° l’acquisition est autorisée par une une décision préalable de l’assemblée générale des actionnaires, prise dans le respect des conditions de quorum et de majorité requises pour la modification des statuts;</w:t>
      </w:r>
    </w:p>
    <w:p>
      <w:pPr>
        <w:pStyle w:val="BodyText"/>
        <w:spacing w:line="218" w:lineRule="auto" w:before="96"/>
        <w:ind w:right="38"/>
      </w:pPr>
      <w:r>
        <w:rPr>
          <w:color w:val="231F20"/>
        </w:rPr>
        <w:t>2° la somme affectée à cette acquisition est susceptible d’être distribuée conformément aux articles 5:142 et 5:143;</w:t>
      </w:r>
    </w:p>
    <w:p>
      <w:pPr>
        <w:pStyle w:val="BodyText"/>
        <w:spacing w:line="218" w:lineRule="auto" w:before="96"/>
        <w:ind w:right="38"/>
      </w:pPr>
      <w:r>
        <w:rPr>
          <w:color w:val="231F20"/>
        </w:rPr>
        <w:t>3° l’opération porte sur des actions entièrement libérées ou sur des certificats se rapportant à des actions entièrement libérées;</w:t>
      </w:r>
    </w:p>
    <w:p>
      <w:pPr>
        <w:pStyle w:val="BodyText"/>
        <w:spacing w:line="218" w:lineRule="auto" w:before="97"/>
        <w:ind w:right="38"/>
      </w:pPr>
      <w:r>
        <w:rPr>
          <w:color w:val="231F20"/>
        </w:rPr>
        <w:t>4° l’offre d’acquisition des actions ou des certificats est faite aux mêmes conditions par classe de titres à tous les actionnaires et, le cas échéant, à tous les titulaires de certificats, sauf si l’acquisition est décidée à l’unanimité par une assemblée générale à laquelle tous les actionnaires ou les titulaires de certificats étaient présents ou représen- tés.</w:t>
      </w:r>
    </w:p>
    <w:p>
      <w:pPr>
        <w:pStyle w:val="BodyText"/>
        <w:spacing w:line="218" w:lineRule="auto" w:before="96"/>
        <w:ind w:right="38"/>
      </w:pPr>
      <w:r>
        <w:rPr>
          <w:color w:val="231F20"/>
        </w:rPr>
        <w:t>L’assemblée générale ou les statuts fixent le nombre maximum d‘actions ou de certificats à acquérir, la durée pour laquelle l’autorisa- tion d’acquérir est accordée ainsi que les contre-valeurs minimales et maximales.</w:t>
      </w:r>
    </w:p>
    <w:p>
      <w:pPr>
        <w:pStyle w:val="BodyText"/>
        <w:spacing w:line="218" w:lineRule="auto" w:before="81"/>
        <w:ind w:right="38"/>
      </w:pPr>
      <w:r>
        <w:rPr>
          <w:color w:val="231F20"/>
        </w:rPr>
        <w:t>La décision de l’assemblée générale visée à l’alinéa 1</w:t>
      </w:r>
      <w:r>
        <w:rPr>
          <w:color w:val="231F20"/>
          <w:position w:val="7"/>
          <w:sz w:val="11"/>
        </w:rPr>
        <w:t>er</w:t>
      </w:r>
      <w:r>
        <w:rPr>
          <w:color w:val="231F20"/>
        </w:rPr>
        <w:t>, 1°, n’est pas requise lorsque la société acquiert ses actions ou certificats afin de les distribuer à son personnel.</w:t>
      </w:r>
    </w:p>
    <w:p>
      <w:pPr>
        <w:pStyle w:val="BodyText"/>
        <w:spacing w:line="218" w:lineRule="auto" w:before="119"/>
      </w:pPr>
      <w:r>
        <w:rPr/>
        <w:br w:type="column"/>
      </w:r>
      <w:r>
        <w:rPr>
          <w:color w:val="231F20"/>
        </w:rPr>
        <w:t>De statuten kunnen aan het bestuursorgaan de bevoegdheid delege- ren om binnen de grenzen van de artikelen 5:142 en 5:143 over te gaan tot uitkeringen uit de winst van het lopende boekjaar of uit de winst van het voorgaande boekjaar zolang de jaarrekening van dat boekjaar nog niet is goedgekeurd, in voorkomend geval verminderd met het overgedragen</w:t>
      </w:r>
      <w:r>
        <w:rPr>
          <w:color w:val="231F20"/>
          <w:spacing w:val="21"/>
        </w:rPr>
        <w:t> </w:t>
      </w:r>
      <w:r>
        <w:rPr>
          <w:color w:val="231F20"/>
        </w:rPr>
        <w:t>verlies</w:t>
      </w:r>
      <w:r>
        <w:rPr>
          <w:color w:val="231F20"/>
          <w:spacing w:val="21"/>
        </w:rPr>
        <w:t> </w:t>
      </w:r>
      <w:r>
        <w:rPr>
          <w:color w:val="231F20"/>
        </w:rPr>
        <w:t>of</w:t>
      </w:r>
      <w:r>
        <w:rPr>
          <w:color w:val="231F20"/>
          <w:spacing w:val="21"/>
        </w:rPr>
        <w:t> </w:t>
      </w:r>
      <w:r>
        <w:rPr>
          <w:color w:val="231F20"/>
        </w:rPr>
        <w:t>vermeerderd</w:t>
      </w:r>
      <w:r>
        <w:rPr>
          <w:color w:val="231F20"/>
          <w:spacing w:val="22"/>
        </w:rPr>
        <w:t> </w:t>
      </w:r>
      <w:r>
        <w:rPr>
          <w:color w:val="231F20"/>
        </w:rPr>
        <w:t>met</w:t>
      </w:r>
      <w:r>
        <w:rPr>
          <w:color w:val="231F20"/>
          <w:spacing w:val="21"/>
        </w:rPr>
        <w:t> </w:t>
      </w:r>
      <w:r>
        <w:rPr>
          <w:color w:val="231F20"/>
        </w:rPr>
        <w:t>de</w:t>
      </w:r>
      <w:r>
        <w:rPr>
          <w:color w:val="231F20"/>
          <w:spacing w:val="21"/>
        </w:rPr>
        <w:t> </w:t>
      </w:r>
      <w:r>
        <w:rPr>
          <w:color w:val="231F20"/>
        </w:rPr>
        <w:t>overgedragen</w:t>
      </w:r>
      <w:r>
        <w:rPr>
          <w:color w:val="231F20"/>
          <w:spacing w:val="21"/>
        </w:rPr>
        <w:t> </w:t>
      </w:r>
      <w:r>
        <w:rPr>
          <w:color w:val="231F20"/>
        </w:rPr>
        <w:t>winst.</w:t>
      </w:r>
    </w:p>
    <w:p>
      <w:pPr>
        <w:pStyle w:val="BodyText"/>
        <w:spacing w:line="218" w:lineRule="auto" w:before="86"/>
      </w:pPr>
      <w:r>
        <w:rPr>
          <w:color w:val="231F20"/>
        </w:rPr>
        <w:t>Art. 5:142. Geen uitkering mag gebeuren indien het nettoactief van</w:t>
      </w:r>
      <w:r>
        <w:rPr>
          <w:color w:val="231F20"/>
          <w:spacing w:val="-15"/>
        </w:rPr>
        <w:t> </w:t>
      </w:r>
      <w:r>
        <w:rPr>
          <w:color w:val="231F20"/>
        </w:rPr>
        <w:t>de vennootschap negatief is of ten gevolge daarvan negatief zou worden. Indien de vennootschap beschikt over eigen vermogen dat krachtens de wet of de statuten onbeschikbaar is, mag geen uitkering gebeuren indien het nettoactief is gedaald of door een uitkering zou dalen tot beneden het bedrag van dit onbeschikbare eigen vermogen. </w:t>
      </w:r>
      <w:r>
        <w:rPr>
          <w:color w:val="231F20"/>
          <w:spacing w:val="-5"/>
        </w:rPr>
        <w:t>Voor </w:t>
      </w:r>
      <w:r>
        <w:rPr>
          <w:color w:val="231F20"/>
        </w:rPr>
        <w:t>de toepassing van deze bepaling wordt het niet afgeschreven gedeelte van de herwaarderingsmeerwaarden als onbeschikbaar</w:t>
      </w:r>
      <w:r>
        <w:rPr>
          <w:color w:val="231F20"/>
          <w:spacing w:val="35"/>
        </w:rPr>
        <w:t> </w:t>
      </w:r>
      <w:r>
        <w:rPr>
          <w:color w:val="231F20"/>
        </w:rPr>
        <w:t>beschouwd.</w:t>
      </w:r>
    </w:p>
    <w:p>
      <w:pPr>
        <w:pStyle w:val="BodyText"/>
        <w:spacing w:line="218" w:lineRule="auto" w:before="86"/>
        <w:ind w:right="121"/>
      </w:pPr>
      <w:r>
        <w:rPr>
          <w:color w:val="231F20"/>
        </w:rPr>
        <w:t>Het nettoactief van de vennootschap wordt bepaald op grond van de laatste goedgekeurde jaarrekening of van een recentere staat van activa en</w:t>
      </w:r>
      <w:r>
        <w:rPr>
          <w:color w:val="231F20"/>
          <w:spacing w:val="-8"/>
        </w:rPr>
        <w:t> </w:t>
      </w:r>
      <w:r>
        <w:rPr>
          <w:color w:val="231F20"/>
        </w:rPr>
        <w:t>passiva.</w:t>
      </w:r>
      <w:r>
        <w:rPr>
          <w:color w:val="231F20"/>
          <w:spacing w:val="-7"/>
        </w:rPr>
        <w:t> </w:t>
      </w:r>
      <w:r>
        <w:rPr>
          <w:color w:val="231F20"/>
        </w:rPr>
        <w:t>In</w:t>
      </w:r>
      <w:r>
        <w:rPr>
          <w:color w:val="231F20"/>
          <w:spacing w:val="-7"/>
        </w:rPr>
        <w:t> </w:t>
      </w:r>
      <w:r>
        <w:rPr>
          <w:color w:val="231F20"/>
        </w:rPr>
        <w:t>de</w:t>
      </w:r>
      <w:r>
        <w:rPr>
          <w:color w:val="231F20"/>
          <w:spacing w:val="-8"/>
        </w:rPr>
        <w:t> </w:t>
      </w:r>
      <w:r>
        <w:rPr>
          <w:color w:val="231F20"/>
        </w:rPr>
        <w:t>vennootschappen</w:t>
      </w:r>
      <w:r>
        <w:rPr>
          <w:color w:val="231F20"/>
          <w:spacing w:val="-7"/>
        </w:rPr>
        <w:t> </w:t>
      </w:r>
      <w:r>
        <w:rPr>
          <w:color w:val="231F20"/>
        </w:rPr>
        <w:t>waarin</w:t>
      </w:r>
      <w:r>
        <w:rPr>
          <w:color w:val="231F20"/>
          <w:spacing w:val="-7"/>
        </w:rPr>
        <w:t> </w:t>
      </w:r>
      <w:r>
        <w:rPr>
          <w:color w:val="231F20"/>
        </w:rPr>
        <w:t>een</w:t>
      </w:r>
      <w:r>
        <w:rPr>
          <w:color w:val="231F20"/>
          <w:spacing w:val="-7"/>
        </w:rPr>
        <w:t> </w:t>
      </w:r>
      <w:r>
        <w:rPr>
          <w:color w:val="231F20"/>
        </w:rPr>
        <w:t>commissaris</w:t>
      </w:r>
      <w:r>
        <w:rPr>
          <w:color w:val="231F20"/>
          <w:spacing w:val="-8"/>
        </w:rPr>
        <w:t> </w:t>
      </w:r>
      <w:r>
        <w:rPr>
          <w:color w:val="231F20"/>
        </w:rPr>
        <w:t>is</w:t>
      </w:r>
      <w:r>
        <w:rPr>
          <w:color w:val="231F20"/>
          <w:spacing w:val="-7"/>
        </w:rPr>
        <w:t> </w:t>
      </w:r>
      <w:r>
        <w:rPr>
          <w:color w:val="231F20"/>
        </w:rPr>
        <w:t>benoemd, beoordeelt hij deze staat. Het beoordelingsverslag van de commissaris wordt</w:t>
      </w:r>
      <w:r>
        <w:rPr>
          <w:color w:val="231F20"/>
          <w:spacing w:val="15"/>
        </w:rPr>
        <w:t> </w:t>
      </w:r>
      <w:r>
        <w:rPr>
          <w:color w:val="231F20"/>
        </w:rPr>
        <w:t>bij</w:t>
      </w:r>
      <w:r>
        <w:rPr>
          <w:color w:val="231F20"/>
          <w:spacing w:val="16"/>
        </w:rPr>
        <w:t> </w:t>
      </w:r>
      <w:r>
        <w:rPr>
          <w:color w:val="231F20"/>
        </w:rPr>
        <w:t>zijn</w:t>
      </w:r>
      <w:r>
        <w:rPr>
          <w:color w:val="231F20"/>
          <w:spacing w:val="16"/>
        </w:rPr>
        <w:t> </w:t>
      </w:r>
      <w:r>
        <w:rPr>
          <w:color w:val="231F20"/>
        </w:rPr>
        <w:t>jaarlijks</w:t>
      </w:r>
      <w:r>
        <w:rPr>
          <w:color w:val="231F20"/>
          <w:spacing w:val="15"/>
        </w:rPr>
        <w:t> </w:t>
      </w:r>
      <w:r>
        <w:rPr>
          <w:color w:val="231F20"/>
        </w:rPr>
        <w:t>controleverslag</w:t>
      </w:r>
      <w:r>
        <w:rPr>
          <w:color w:val="231F20"/>
          <w:spacing w:val="16"/>
        </w:rPr>
        <w:t> </w:t>
      </w:r>
      <w:r>
        <w:rPr>
          <w:color w:val="231F20"/>
        </w:rPr>
        <w:t>gevoegd.</w:t>
      </w:r>
    </w:p>
    <w:p>
      <w:pPr>
        <w:pStyle w:val="BodyText"/>
        <w:spacing w:line="218" w:lineRule="auto" w:before="86"/>
      </w:pPr>
      <w:r>
        <w:rPr>
          <w:color w:val="231F20"/>
        </w:rPr>
        <w:t>Onder nettoactief moet worden verstaan het totaalbedrag van de activa, verminderd met de voorzieningen, de schulden en, behoudens  in uitzonderlijke gevallen te vermelden en te motiveren in de toelich- ting bij de jaarrekening, de nog niet afgeschreven bedragen van de oprichtings- en uitbreidingskosten en de kosten voor onderzoek en ontwikkeling.</w:t>
      </w:r>
    </w:p>
    <w:p>
      <w:pPr>
        <w:pStyle w:val="BodyText"/>
        <w:spacing w:line="218" w:lineRule="auto" w:before="86"/>
        <w:ind w:right="123"/>
      </w:pPr>
      <w:r>
        <w:rPr>
          <w:color w:val="231F20"/>
        </w:rPr>
        <w:t>Art. 5:143. Het besluit van de algemene vergadering tot uitkering heeft slechts uitwerking nadat het bestuursorgaan heeft vastgesteld dat de vennootschap, volgens de redelijkerwijs te verwachten ontwikkelin- gen, na de uitkering in staat zal blijven haar schulden te voldoen naarmate deze opeisbaar worden over een periode van ten minste twaalf</w:t>
      </w:r>
      <w:r>
        <w:rPr>
          <w:color w:val="231F20"/>
          <w:spacing w:val="17"/>
        </w:rPr>
        <w:t> </w:t>
      </w:r>
      <w:r>
        <w:rPr>
          <w:color w:val="231F20"/>
        </w:rPr>
        <w:t>maanden</w:t>
      </w:r>
      <w:r>
        <w:rPr>
          <w:color w:val="231F20"/>
          <w:spacing w:val="18"/>
        </w:rPr>
        <w:t> </w:t>
      </w:r>
      <w:r>
        <w:rPr>
          <w:color w:val="231F20"/>
        </w:rPr>
        <w:t>te</w:t>
      </w:r>
      <w:r>
        <w:rPr>
          <w:color w:val="231F20"/>
          <w:spacing w:val="17"/>
        </w:rPr>
        <w:t> </w:t>
      </w:r>
      <w:r>
        <w:rPr>
          <w:color w:val="231F20"/>
        </w:rPr>
        <w:t>rekenen</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datum</w:t>
      </w:r>
      <w:r>
        <w:rPr>
          <w:color w:val="231F20"/>
          <w:spacing w:val="17"/>
        </w:rPr>
        <w:t> </w:t>
      </w:r>
      <w:r>
        <w:rPr>
          <w:color w:val="231F20"/>
        </w:rPr>
        <w:t>van</w:t>
      </w:r>
      <w:r>
        <w:rPr>
          <w:color w:val="231F20"/>
          <w:spacing w:val="18"/>
        </w:rPr>
        <w:t> </w:t>
      </w:r>
      <w:r>
        <w:rPr>
          <w:color w:val="231F20"/>
        </w:rPr>
        <w:t>de</w:t>
      </w:r>
      <w:r>
        <w:rPr>
          <w:color w:val="231F20"/>
          <w:spacing w:val="17"/>
        </w:rPr>
        <w:t> </w:t>
      </w:r>
      <w:r>
        <w:rPr>
          <w:color w:val="231F20"/>
        </w:rPr>
        <w:t>uitkering.</w:t>
      </w:r>
    </w:p>
    <w:p>
      <w:pPr>
        <w:pStyle w:val="BodyText"/>
        <w:ind w:left="0" w:right="0" w:firstLine="0"/>
        <w:jc w:val="left"/>
        <w:rPr>
          <w:sz w:val="23"/>
        </w:rPr>
      </w:pPr>
    </w:p>
    <w:p>
      <w:pPr>
        <w:pStyle w:val="BodyText"/>
        <w:spacing w:line="218" w:lineRule="auto"/>
      </w:pPr>
      <w:r>
        <w:rPr>
          <w:color w:val="231F20"/>
        </w:rPr>
        <w:t>Het besluit van het bestuursorgaan wordt verantwoord in een  verslag dat niet wordt neergelegd. In de vennootschappen waarin een commissaris is benoemd, beoordeelt hij de historische en prospectieve boekhoudkundige en financiële gegevens van dit verslag. De commis- saris vermeldt in zijn jaarlijks controleverslag dat hij deze</w:t>
      </w:r>
      <w:r>
        <w:rPr>
          <w:color w:val="231F20"/>
          <w:spacing w:val="15"/>
        </w:rPr>
        <w:t> </w:t>
      </w:r>
      <w:r>
        <w:rPr>
          <w:color w:val="231F20"/>
        </w:rPr>
        <w:t>opdracht heeft</w:t>
      </w:r>
      <w:r>
        <w:rPr>
          <w:color w:val="231F20"/>
          <w:spacing w:val="15"/>
        </w:rPr>
        <w:t> </w:t>
      </w:r>
      <w:r>
        <w:rPr>
          <w:color w:val="231F20"/>
        </w:rPr>
        <w:t>uitgevoerd.</w:t>
      </w:r>
    </w:p>
    <w:p>
      <w:pPr>
        <w:pStyle w:val="BodyText"/>
        <w:spacing w:line="218" w:lineRule="auto" w:before="86"/>
      </w:pPr>
      <w:r>
        <w:rPr>
          <w:color w:val="231F20"/>
        </w:rPr>
        <w:t>Art. 5:144. Indien komt vast te staan dat de leden van het bestuursorgaan bij het nemen  van  het  besluit  als  bedoeld  in  arti-  kel 5:143 wisten of, gezien de omstandigheden, behoorden te weten dat de vennootschap ten gevolge van de uitkering kennelijk niet meer in staat zou zijn haar schulden te voldoen zoals bepaald in artikel 5:143, zijn zij tegenover de vennootschap en derden hoofdelijk aansprakelijk voor alle daaruit voortvloeiende</w:t>
      </w:r>
      <w:r>
        <w:rPr>
          <w:color w:val="231F20"/>
          <w:spacing w:val="22"/>
        </w:rPr>
        <w:t> </w:t>
      </w:r>
      <w:r>
        <w:rPr>
          <w:color w:val="231F20"/>
        </w:rPr>
        <w:t>schade.</w:t>
      </w:r>
    </w:p>
    <w:p>
      <w:pPr>
        <w:pStyle w:val="BodyText"/>
        <w:spacing w:line="218" w:lineRule="auto" w:before="96"/>
      </w:pPr>
      <w:r>
        <w:rPr>
          <w:color w:val="231F20"/>
        </w:rPr>
        <w:t>De vennootschap kan elke uitkering  die  in  strijd  met  de  artike-  len 5:142 en 5:143 is verricht van de aandeelhouders terugvorderen, ongeacht</w:t>
      </w:r>
      <w:r>
        <w:rPr>
          <w:color w:val="231F20"/>
          <w:spacing w:val="16"/>
        </w:rPr>
        <w:t> </w:t>
      </w:r>
      <w:r>
        <w:rPr>
          <w:color w:val="231F20"/>
        </w:rPr>
        <w:t>hun</w:t>
      </w:r>
      <w:r>
        <w:rPr>
          <w:color w:val="231F20"/>
          <w:spacing w:val="16"/>
        </w:rPr>
        <w:t> </w:t>
      </w:r>
      <w:r>
        <w:rPr>
          <w:color w:val="231F20"/>
        </w:rPr>
        <w:t>goede</w:t>
      </w:r>
      <w:r>
        <w:rPr>
          <w:color w:val="231F20"/>
          <w:spacing w:val="17"/>
        </w:rPr>
        <w:t> </w:t>
      </w:r>
      <w:r>
        <w:rPr>
          <w:color w:val="231F20"/>
        </w:rPr>
        <w:t>of</w:t>
      </w:r>
      <w:r>
        <w:rPr>
          <w:color w:val="231F20"/>
          <w:spacing w:val="16"/>
        </w:rPr>
        <w:t> </w:t>
      </w:r>
      <w:r>
        <w:rPr>
          <w:color w:val="231F20"/>
        </w:rPr>
        <w:t>kwade</w:t>
      </w:r>
      <w:r>
        <w:rPr>
          <w:color w:val="231F20"/>
          <w:spacing w:val="17"/>
        </w:rPr>
        <w:t> </w:t>
      </w:r>
      <w:r>
        <w:rPr>
          <w:color w:val="231F20"/>
          <w:spacing w:val="-4"/>
        </w:rPr>
        <w:t>trouw.</w:t>
      </w:r>
    </w:p>
    <w:p>
      <w:pPr>
        <w:pStyle w:val="BodyText"/>
        <w:spacing w:line="338" w:lineRule="auto" w:before="83"/>
        <w:ind w:left="283" w:right="0" w:firstLine="0"/>
        <w:jc w:val="left"/>
      </w:pPr>
      <w:r>
        <w:rPr>
          <w:color w:val="231F20"/>
        </w:rPr>
        <w:t>Afdeling 2. Verkrijging van eigen aandelen of certificaten. Onderafdeling 1. Voorwaarden van de verkrijging.</w:t>
      </w:r>
    </w:p>
    <w:p>
      <w:pPr>
        <w:pStyle w:val="BodyText"/>
        <w:spacing w:line="218" w:lineRule="auto" w:before="13"/>
      </w:pPr>
      <w:r>
        <w:rPr>
          <w:color w:val="231F20"/>
        </w:rPr>
        <w:t>Art. 5:145. De vennootschap mag slechts, hetzij rechtstreeks, hetzij door personen die handelen in eigen naam maar voor rekening van de vennootschap, door aankoop of ruil eigen aandelen of certificaten die daarop betrekking hebben, verkrijgen of inschrijven op certificaten na de uitgifte van de daarmee overeenstemmende aandelen, onder de volgende voorwaarden:</w:t>
      </w:r>
    </w:p>
    <w:p>
      <w:pPr>
        <w:pStyle w:val="BodyText"/>
        <w:spacing w:line="218" w:lineRule="auto" w:before="96"/>
      </w:pPr>
      <w:r>
        <w:rPr>
          <w:color w:val="231F20"/>
        </w:rPr>
        <w:t>1° de verkrijging is toegelaten door een voorafgaand besluit van de algemene vergadering van aandeelhouders genomen met naleving van de aanwezigheids- en meerderheidsvereisten voorgeschreven voor een statutenwijziging;</w:t>
      </w:r>
    </w:p>
    <w:p>
      <w:pPr>
        <w:pStyle w:val="BodyText"/>
        <w:spacing w:line="218" w:lineRule="auto" w:before="96"/>
      </w:pPr>
      <w:r>
        <w:rPr>
          <w:color w:val="231F20"/>
        </w:rPr>
        <w:t>2° het voor de verkrijging uitgetrokken bedrag is overeenkomstig de artikelen 5:142 en 5:143 voor uitkering vatbaar;</w:t>
      </w:r>
    </w:p>
    <w:p>
      <w:pPr>
        <w:pStyle w:val="BodyText"/>
        <w:spacing w:line="218" w:lineRule="auto" w:before="96"/>
      </w:pPr>
      <w:r>
        <w:rPr>
          <w:color w:val="231F20"/>
        </w:rPr>
        <w:t>3° de verrichting betreft volgestorte aandelen of certificaten die betrekking hebben op volgestorte aandelen;</w:t>
      </w:r>
    </w:p>
    <w:p>
      <w:pPr>
        <w:pStyle w:val="BodyText"/>
        <w:spacing w:line="218" w:lineRule="auto" w:before="97"/>
      </w:pPr>
      <w:r>
        <w:rPr>
          <w:color w:val="231F20"/>
        </w:rPr>
        <w:t>4° het aanbod tot verkrijging van de aandelen of certificaten wordt</w:t>
      </w:r>
      <w:r>
        <w:rPr>
          <w:color w:val="231F20"/>
          <w:spacing w:val="-29"/>
        </w:rPr>
        <w:t> </w:t>
      </w:r>
      <w:r>
        <w:rPr>
          <w:color w:val="231F20"/>
        </w:rPr>
        <w:t>tot alle aandeelhouders en, in voorkomend geval, alle certificaathouders onder dezelfde voorwaarden per soort van effecten gericht, tenzij een algemene vergadering waarop alle aandeelhouders of certificaathou- ders aanwezig of vertegenwoordigd zijn eenparig tot de verkrijging besluit.</w:t>
      </w:r>
    </w:p>
    <w:p>
      <w:pPr>
        <w:pStyle w:val="BodyText"/>
        <w:spacing w:line="218" w:lineRule="auto" w:before="96"/>
      </w:pPr>
      <w:r>
        <w:rPr>
          <w:color w:val="231F20"/>
        </w:rPr>
        <w:t>De algemene vergadering of de statuten bepalen het maximum  aantal te verkrijgen aandelen of certificaten, de duur waarvoor de toestemming tot verkrijging is verleend evenals de minimum- en maximumwaarde van de</w:t>
      </w:r>
      <w:r>
        <w:rPr>
          <w:color w:val="231F20"/>
          <w:spacing w:val="8"/>
        </w:rPr>
        <w:t> </w:t>
      </w:r>
      <w:r>
        <w:rPr>
          <w:color w:val="231F20"/>
        </w:rPr>
        <w:t>vergoeding.</w:t>
      </w:r>
    </w:p>
    <w:p>
      <w:pPr>
        <w:pStyle w:val="BodyText"/>
        <w:spacing w:line="218" w:lineRule="auto" w:before="96"/>
      </w:pPr>
      <w:r>
        <w:rPr>
          <w:color w:val="231F20"/>
        </w:rPr>
        <w:t>Het besluit van de algemene vergadering bedoeld in het eerste lid, 1°, is niet vereist wanneer de vennootschap haar aandelen of certificaten verkrijgt om deze aan te bieden aan haar personeel.</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832" from="298.170502pt,64.473pt" to="298.170502pt,812.819pt" stroked="true" strokeweight=".533pt" strokecolor="#231f20">
            <v:stroke dashstyle="solid"/>
            <w10:wrap type="none"/>
          </v:line>
        </w:pict>
      </w:r>
      <w:bookmarkStart w:name="_bookmark117" w:id="122"/>
      <w:bookmarkEnd w:id="122"/>
      <w:r>
        <w:rPr/>
      </w:r>
      <w:r>
        <w:rPr>
          <w:color w:val="231F20"/>
        </w:rPr>
        <w:t>Art. 5:146. Les actions et les certificats acquis en violation  de  l’article 5:145 sont nuls de plein droit. Lorsqu’un certificat est frappé de nullité de plein droit, l’action dont la société acquiert la propriété de ce fait</w:t>
      </w:r>
      <w:r>
        <w:rPr>
          <w:color w:val="231F20"/>
          <w:spacing w:val="15"/>
        </w:rPr>
        <w:t> </w:t>
      </w:r>
      <w:r>
        <w:rPr>
          <w:color w:val="231F20"/>
        </w:rPr>
        <w:t>est</w:t>
      </w:r>
      <w:r>
        <w:rPr>
          <w:color w:val="231F20"/>
          <w:spacing w:val="14"/>
        </w:rPr>
        <w:t> </w:t>
      </w:r>
      <w:r>
        <w:rPr>
          <w:color w:val="231F20"/>
        </w:rPr>
        <w:t>simultanément</w:t>
      </w:r>
      <w:r>
        <w:rPr>
          <w:color w:val="231F20"/>
          <w:spacing w:val="15"/>
        </w:rPr>
        <w:t> </w:t>
      </w:r>
      <w:r>
        <w:rPr>
          <w:color w:val="231F20"/>
        </w:rPr>
        <w:t>nulle</w:t>
      </w:r>
      <w:r>
        <w:rPr>
          <w:color w:val="231F20"/>
          <w:spacing w:val="15"/>
        </w:rPr>
        <w:t> </w:t>
      </w:r>
      <w:r>
        <w:rPr>
          <w:color w:val="231F20"/>
        </w:rPr>
        <w:t>de</w:t>
      </w:r>
      <w:r>
        <w:rPr>
          <w:color w:val="231F20"/>
          <w:spacing w:val="15"/>
        </w:rPr>
        <w:t> </w:t>
      </w:r>
      <w:r>
        <w:rPr>
          <w:color w:val="231F20"/>
        </w:rPr>
        <w:t>plein</w:t>
      </w:r>
      <w:r>
        <w:rPr>
          <w:color w:val="231F20"/>
          <w:spacing w:val="15"/>
        </w:rPr>
        <w:t> </w:t>
      </w:r>
      <w:r>
        <w:rPr>
          <w:color w:val="231F20"/>
        </w:rPr>
        <w:t>droit.</w:t>
      </w:r>
    </w:p>
    <w:p>
      <w:pPr>
        <w:pStyle w:val="BodyText"/>
        <w:spacing w:line="218" w:lineRule="auto" w:before="85"/>
        <w:ind w:right="38"/>
      </w:pPr>
      <w:r>
        <w:rPr>
          <w:color w:val="231F20"/>
        </w:rPr>
        <w:t>L’organe d’administration fait mention expresse de la nullité dans le registre des actions.</w:t>
      </w:r>
    </w:p>
    <w:p>
      <w:pPr>
        <w:pStyle w:val="BodyText"/>
        <w:spacing w:line="218" w:lineRule="auto" w:before="71"/>
        <w:ind w:right="38"/>
      </w:pPr>
      <w:r>
        <w:rPr>
          <w:color w:val="231F20"/>
        </w:rPr>
        <w:t>L’alinéa 1</w:t>
      </w:r>
      <w:r>
        <w:rPr>
          <w:color w:val="231F20"/>
          <w:position w:val="7"/>
          <w:sz w:val="11"/>
        </w:rPr>
        <w:t>er </w:t>
      </w:r>
      <w:r>
        <w:rPr>
          <w:color w:val="231F20"/>
        </w:rPr>
        <w:t>s’applique proportionnellement au nombre d‘actions et  de</w:t>
      </w:r>
      <w:r>
        <w:rPr>
          <w:color w:val="231F20"/>
          <w:spacing w:val="14"/>
        </w:rPr>
        <w:t> </w:t>
      </w:r>
      <w:r>
        <w:rPr>
          <w:color w:val="231F20"/>
        </w:rPr>
        <w:t>certificats</w:t>
      </w:r>
      <w:r>
        <w:rPr>
          <w:color w:val="231F20"/>
          <w:spacing w:val="15"/>
        </w:rPr>
        <w:t> </w:t>
      </w:r>
      <w:r>
        <w:rPr>
          <w:color w:val="231F20"/>
        </w:rPr>
        <w:t>de</w:t>
      </w:r>
      <w:r>
        <w:rPr>
          <w:color w:val="231F20"/>
          <w:spacing w:val="15"/>
        </w:rPr>
        <w:t> </w:t>
      </w:r>
      <w:r>
        <w:rPr>
          <w:color w:val="231F20"/>
        </w:rPr>
        <w:t>la</w:t>
      </w:r>
      <w:r>
        <w:rPr>
          <w:color w:val="231F20"/>
          <w:spacing w:val="14"/>
        </w:rPr>
        <w:t> </w:t>
      </w:r>
      <w:r>
        <w:rPr>
          <w:color w:val="231F20"/>
        </w:rPr>
        <w:t>même</w:t>
      </w:r>
      <w:r>
        <w:rPr>
          <w:color w:val="231F20"/>
          <w:spacing w:val="15"/>
        </w:rPr>
        <w:t> </w:t>
      </w:r>
      <w:r>
        <w:rPr>
          <w:color w:val="231F20"/>
        </w:rPr>
        <w:t>classe</w:t>
      </w:r>
      <w:r>
        <w:rPr>
          <w:color w:val="231F20"/>
          <w:spacing w:val="15"/>
        </w:rPr>
        <w:t> </w:t>
      </w:r>
      <w:r>
        <w:rPr>
          <w:color w:val="231F20"/>
        </w:rPr>
        <w:t>détenus</w:t>
      </w:r>
      <w:r>
        <w:rPr>
          <w:color w:val="231F20"/>
          <w:spacing w:val="14"/>
        </w:rPr>
        <w:t> </w:t>
      </w:r>
      <w:r>
        <w:rPr>
          <w:color w:val="231F20"/>
        </w:rPr>
        <w:t>par</w:t>
      </w:r>
      <w:r>
        <w:rPr>
          <w:color w:val="231F20"/>
          <w:spacing w:val="15"/>
        </w:rPr>
        <w:t> </w:t>
      </w:r>
      <w:r>
        <w:rPr>
          <w:color w:val="231F20"/>
        </w:rPr>
        <w:t>la</w:t>
      </w:r>
      <w:r>
        <w:rPr>
          <w:color w:val="231F20"/>
          <w:spacing w:val="15"/>
        </w:rPr>
        <w:t> </w:t>
      </w:r>
      <w:r>
        <w:rPr>
          <w:color w:val="231F20"/>
        </w:rPr>
        <w:t>société.</w:t>
      </w:r>
    </w:p>
    <w:p>
      <w:pPr>
        <w:pStyle w:val="BodyText"/>
        <w:spacing w:before="7"/>
        <w:ind w:left="0" w:right="0" w:firstLine="0"/>
        <w:jc w:val="left"/>
        <w:rPr>
          <w:sz w:val="21"/>
        </w:rPr>
      </w:pPr>
    </w:p>
    <w:p>
      <w:pPr>
        <w:pStyle w:val="BodyText"/>
        <w:spacing w:line="218" w:lineRule="auto"/>
        <w:ind w:right="39"/>
      </w:pPr>
      <w:r>
        <w:rPr>
          <w:color w:val="231F20"/>
        </w:rPr>
        <w:t>Art. 5:147. Les articles 5:142, 5:143 et 5:149, alinéa 1</w:t>
      </w:r>
      <w:r>
        <w:rPr>
          <w:color w:val="231F20"/>
          <w:position w:val="7"/>
          <w:sz w:val="11"/>
        </w:rPr>
        <w:t>er</w:t>
      </w:r>
      <w:r>
        <w:rPr>
          <w:color w:val="231F20"/>
        </w:rPr>
        <w:t>, ne</w:t>
      </w:r>
      <w:r>
        <w:rPr>
          <w:color w:val="231F20"/>
          <w:spacing w:val="-24"/>
        </w:rPr>
        <w:t> </w:t>
      </w:r>
      <w:r>
        <w:rPr>
          <w:color w:val="231F20"/>
        </w:rPr>
        <w:t>s’appliquent pas:</w:t>
      </w:r>
    </w:p>
    <w:p>
      <w:pPr>
        <w:pStyle w:val="BodyText"/>
        <w:spacing w:line="218" w:lineRule="auto" w:before="86"/>
        <w:ind w:right="38"/>
      </w:pPr>
      <w:r>
        <w:rPr>
          <w:color w:val="231F20"/>
        </w:rPr>
        <w:t>1° aux actions ou aux certificats acquis par la société à la suite d’une transmission de patrimoine à titre universel;</w:t>
      </w:r>
    </w:p>
    <w:p>
      <w:pPr>
        <w:pStyle w:val="BodyText"/>
        <w:spacing w:line="218" w:lineRule="auto" w:before="85"/>
        <w:ind w:right="38"/>
      </w:pPr>
      <w:r>
        <w:rPr>
          <w:color w:val="231F20"/>
        </w:rPr>
        <w:t>2° aux actions ou aux certificats acquis lors d’une vente faite conformément aux articles 1494 et suivants du Code judiciaire en vue de recouvrer une créance de la société sur le propriétaire de ces actions ou</w:t>
      </w:r>
      <w:r>
        <w:rPr>
          <w:color w:val="231F20"/>
          <w:spacing w:val="14"/>
        </w:rPr>
        <w:t> </w:t>
      </w:r>
      <w:r>
        <w:rPr>
          <w:color w:val="231F20"/>
        </w:rPr>
        <w:t>certificats.</w:t>
      </w:r>
    </w:p>
    <w:p>
      <w:pPr>
        <w:pStyle w:val="BodyText"/>
        <w:spacing w:before="72"/>
        <w:ind w:left="283" w:right="0" w:firstLine="0"/>
        <w:jc w:val="left"/>
      </w:pPr>
      <w:r>
        <w:rPr>
          <w:color w:val="231F20"/>
        </w:rPr>
        <w:t>Sous-section 2. Sort des actions et des certificats acquis.</w:t>
      </w:r>
    </w:p>
    <w:p>
      <w:pPr>
        <w:pStyle w:val="BodyText"/>
        <w:spacing w:line="218" w:lineRule="auto" w:before="67"/>
        <w:ind w:right="38"/>
      </w:pPr>
      <w:r>
        <w:rPr>
          <w:color w:val="231F20"/>
        </w:rPr>
        <w:t>Art. 5:148. § 1</w:t>
      </w:r>
      <w:r>
        <w:rPr>
          <w:color w:val="231F20"/>
          <w:position w:val="7"/>
          <w:sz w:val="11"/>
        </w:rPr>
        <w:t>er</w:t>
      </w:r>
      <w:r>
        <w:rPr>
          <w:color w:val="231F20"/>
        </w:rPr>
        <w:t>. Les actions ou certificats acquis peuvent être annulés ou détenus en portefeuille. Une annulation requiert une modification des statuts.</w:t>
      </w:r>
    </w:p>
    <w:p>
      <w:pPr>
        <w:pStyle w:val="BodyText"/>
        <w:spacing w:line="218" w:lineRule="auto" w:before="85"/>
        <w:ind w:right="38"/>
      </w:pPr>
      <w:r>
        <w:rPr>
          <w:color w:val="231F20"/>
        </w:rPr>
        <w:t>§ 2. Aussi longtemps que les actions sont comptabilisées à l’actif du bilan, une réserve indisponible, égale à la valeur à laquelle les actions sont portées à l’inventaire, doit être constituée.</w:t>
      </w:r>
    </w:p>
    <w:p>
      <w:pPr>
        <w:pStyle w:val="BodyText"/>
        <w:spacing w:before="3"/>
        <w:ind w:left="0" w:right="0" w:firstLine="0"/>
        <w:jc w:val="left"/>
        <w:rPr>
          <w:sz w:val="23"/>
        </w:rPr>
      </w:pPr>
    </w:p>
    <w:p>
      <w:pPr>
        <w:pStyle w:val="BodyText"/>
        <w:spacing w:line="213" w:lineRule="auto"/>
        <w:ind w:right="38"/>
      </w:pPr>
      <w:r>
        <w:rPr>
          <w:color w:val="231F20"/>
        </w:rPr>
        <w:t>En cas de nullité ou d’annulation des actions, cette réserve indispo- nible est supprimée. Si, par infraction à l’alinéa 1</w:t>
      </w:r>
      <w:r>
        <w:rPr>
          <w:color w:val="231F20"/>
          <w:position w:val="7"/>
          <w:sz w:val="11"/>
        </w:rPr>
        <w:t>er</w:t>
      </w:r>
      <w:r>
        <w:rPr>
          <w:color w:val="231F20"/>
        </w:rPr>
        <w:t>, la réserve indisponible n’avait pas été constituée, les réserves disponibles ou, à défaut, d’autres éléments des capitaux propres, doivent être diminuées à due</w:t>
      </w:r>
      <w:r>
        <w:rPr>
          <w:color w:val="231F20"/>
          <w:spacing w:val="-12"/>
        </w:rPr>
        <w:t> </w:t>
      </w:r>
      <w:r>
        <w:rPr>
          <w:color w:val="231F20"/>
        </w:rPr>
        <w:t>concurrence.</w:t>
      </w:r>
    </w:p>
    <w:p>
      <w:pPr>
        <w:pStyle w:val="BodyText"/>
        <w:spacing w:line="218" w:lineRule="auto" w:before="87"/>
        <w:ind w:right="38"/>
      </w:pPr>
      <w:r>
        <w:rPr>
          <w:color w:val="231F20"/>
        </w:rPr>
        <w:t>§ 3. Les droits afférents aux actions acquises sont suspendus jusqu’à ce qu’elles aient été aliénées ou annulées.</w:t>
      </w:r>
    </w:p>
    <w:p>
      <w:pPr>
        <w:pStyle w:val="BodyText"/>
        <w:spacing w:line="218" w:lineRule="auto" w:before="86"/>
        <w:ind w:right="38"/>
      </w:pPr>
      <w:r>
        <w:rPr>
          <w:color w:val="231F20"/>
        </w:rPr>
        <w:t>Aussi longtemps que les actions acquises demeurent dans le patrimoine de la société, le droit aux dividendes qui y est attaché est frappé de caducité.</w:t>
      </w:r>
    </w:p>
    <w:p>
      <w:pPr>
        <w:pStyle w:val="BodyText"/>
        <w:spacing w:line="218" w:lineRule="auto" w:before="96"/>
        <w:ind w:right="38"/>
      </w:pPr>
      <w:r>
        <w:rPr>
          <w:color w:val="231F20"/>
        </w:rPr>
        <w:t>§ 4. Le droit aux dividendes attaché aux certificats acquis est également frappé de caducité. Le droit de vote attaché aux actions auxquelles se rapportent les certificats acquis est suspendu dans la mesure où ces certificats ont été émis avec la collaboration de la société.</w:t>
      </w:r>
    </w:p>
    <w:p>
      <w:pPr>
        <w:pStyle w:val="BodyText"/>
        <w:spacing w:before="11"/>
        <w:ind w:left="0" w:right="0" w:firstLine="0"/>
        <w:jc w:val="left"/>
        <w:rPr>
          <w:sz w:val="23"/>
        </w:rPr>
      </w:pPr>
    </w:p>
    <w:p>
      <w:pPr>
        <w:pStyle w:val="BodyText"/>
        <w:spacing w:line="218" w:lineRule="auto"/>
        <w:ind w:right="38"/>
      </w:pPr>
      <w:r>
        <w:rPr>
          <w:color w:val="231F20"/>
        </w:rPr>
        <w:t>Art.</w:t>
      </w:r>
      <w:r>
        <w:rPr>
          <w:color w:val="231F20"/>
          <w:spacing w:val="-7"/>
        </w:rPr>
        <w:t> </w:t>
      </w:r>
      <w:r>
        <w:rPr>
          <w:color w:val="231F20"/>
        </w:rPr>
        <w:t>5:149.</w:t>
      </w:r>
      <w:r>
        <w:rPr>
          <w:color w:val="231F20"/>
          <w:spacing w:val="-7"/>
        </w:rPr>
        <w:t> </w:t>
      </w:r>
      <w:r>
        <w:rPr>
          <w:color w:val="231F20"/>
        </w:rPr>
        <w:t>La</w:t>
      </w:r>
      <w:r>
        <w:rPr>
          <w:color w:val="231F20"/>
          <w:spacing w:val="-7"/>
        </w:rPr>
        <w:t> </w:t>
      </w:r>
      <w:r>
        <w:rPr>
          <w:color w:val="231F20"/>
        </w:rPr>
        <w:t>société</w:t>
      </w:r>
      <w:r>
        <w:rPr>
          <w:color w:val="231F20"/>
          <w:spacing w:val="-7"/>
        </w:rPr>
        <w:t> </w:t>
      </w:r>
      <w:r>
        <w:rPr>
          <w:color w:val="231F20"/>
        </w:rPr>
        <w:t>ne</w:t>
      </w:r>
      <w:r>
        <w:rPr>
          <w:color w:val="231F20"/>
          <w:spacing w:val="-7"/>
        </w:rPr>
        <w:t> </w:t>
      </w:r>
      <w:r>
        <w:rPr>
          <w:color w:val="231F20"/>
        </w:rPr>
        <w:t>peut</w:t>
      </w:r>
      <w:r>
        <w:rPr>
          <w:color w:val="231F20"/>
          <w:spacing w:val="-7"/>
        </w:rPr>
        <w:t> </w:t>
      </w:r>
      <w:r>
        <w:rPr>
          <w:color w:val="231F20"/>
        </w:rPr>
        <w:t>aliéner</w:t>
      </w:r>
      <w:r>
        <w:rPr>
          <w:color w:val="231F20"/>
          <w:spacing w:val="-7"/>
        </w:rPr>
        <w:t> </w:t>
      </w:r>
      <w:r>
        <w:rPr>
          <w:color w:val="231F20"/>
        </w:rPr>
        <w:t>les</w:t>
      </w:r>
      <w:r>
        <w:rPr>
          <w:color w:val="231F20"/>
          <w:spacing w:val="-7"/>
        </w:rPr>
        <w:t> </w:t>
      </w:r>
      <w:r>
        <w:rPr>
          <w:color w:val="231F20"/>
        </w:rPr>
        <w:t>actions</w:t>
      </w:r>
      <w:r>
        <w:rPr>
          <w:color w:val="231F20"/>
          <w:spacing w:val="-7"/>
        </w:rPr>
        <w:t> </w:t>
      </w:r>
      <w:r>
        <w:rPr>
          <w:color w:val="231F20"/>
        </w:rPr>
        <w:t>et</w:t>
      </w:r>
      <w:r>
        <w:rPr>
          <w:color w:val="231F20"/>
          <w:spacing w:val="-7"/>
        </w:rPr>
        <w:t> </w:t>
      </w:r>
      <w:r>
        <w:rPr>
          <w:color w:val="231F20"/>
        </w:rPr>
        <w:t>les</w:t>
      </w:r>
      <w:r>
        <w:rPr>
          <w:color w:val="231F20"/>
          <w:spacing w:val="-6"/>
        </w:rPr>
        <w:t> </w:t>
      </w:r>
      <w:r>
        <w:rPr>
          <w:color w:val="231F20"/>
        </w:rPr>
        <w:t>certificats</w:t>
      </w:r>
      <w:r>
        <w:rPr>
          <w:color w:val="231F20"/>
          <w:spacing w:val="-7"/>
        </w:rPr>
        <w:t> </w:t>
      </w:r>
      <w:r>
        <w:rPr>
          <w:color w:val="231F20"/>
        </w:rPr>
        <w:t>acquis conformément aux articles 5:142 et 5:143 qu’en vertu d’une décision prise dans le respect, le cas échéant dans chaque classe, des conditions de quorum et de majorité requises pour la modification des statuts, qui détermine les conditions d’aliénation, le cas échéant, par classe ou par catégorie de</w:t>
      </w:r>
      <w:r>
        <w:rPr>
          <w:color w:val="231F20"/>
          <w:spacing w:val="-12"/>
        </w:rPr>
        <w:t> </w:t>
      </w:r>
      <w:r>
        <w:rPr>
          <w:color w:val="231F20"/>
        </w:rPr>
        <w:t>titres.</w:t>
      </w:r>
    </w:p>
    <w:p>
      <w:pPr>
        <w:pStyle w:val="BodyText"/>
        <w:spacing w:before="11"/>
        <w:ind w:left="0" w:right="0" w:firstLine="0"/>
        <w:jc w:val="left"/>
        <w:rPr>
          <w:sz w:val="23"/>
        </w:rPr>
      </w:pPr>
    </w:p>
    <w:p>
      <w:pPr>
        <w:pStyle w:val="BodyText"/>
        <w:spacing w:line="218" w:lineRule="auto"/>
        <w:ind w:right="38"/>
      </w:pPr>
      <w:r>
        <w:rPr>
          <w:color w:val="231F20"/>
        </w:rPr>
        <w:t>Les actions ou certificats sont offerts par préférence aux actionnaires existants proportionnellement au nombre d’actions qu’ils détiennent. S’il existe plusieurs classes d’actions et que l’aliénation ne se fait pas dans chaque classe proportionnellement au nombre d’actions que les actionnaires de chaque classe détiennent, l’aliénation ne peut alors avoir lieu que moyennant l’autorisation de l’assemblée générale prise dans chaque classe, dans le respect des conditions de quorum et de majorité requises pour la modification des statuts.</w:t>
      </w:r>
    </w:p>
    <w:p>
      <w:pPr>
        <w:pStyle w:val="BodyText"/>
        <w:spacing w:before="11"/>
        <w:ind w:left="0" w:right="0" w:firstLine="0"/>
        <w:jc w:val="left"/>
        <w:rPr>
          <w:sz w:val="23"/>
        </w:rPr>
      </w:pPr>
    </w:p>
    <w:p>
      <w:pPr>
        <w:pStyle w:val="BodyText"/>
        <w:spacing w:line="218" w:lineRule="auto"/>
        <w:ind w:right="38"/>
      </w:pPr>
      <w:r>
        <w:rPr>
          <w:color w:val="231F20"/>
        </w:rPr>
        <w:t>Une telle autorisation n’est pas requise pour l’aliénation au personnel d’actions et de certificats acquis à ces fins.</w:t>
      </w:r>
    </w:p>
    <w:p>
      <w:pPr>
        <w:pStyle w:val="BodyText"/>
        <w:spacing w:line="218" w:lineRule="auto" w:before="96"/>
        <w:ind w:right="38"/>
      </w:pPr>
      <w:r>
        <w:rPr>
          <w:color w:val="231F20"/>
        </w:rPr>
        <w:t>Art. 5:150. Lorsqu’une société devient propriétaire de ses propres actions et certificats à titre gratuit, ces titres sont nuls de plein droit. L’article 5:146 est applicable par analogie.</w:t>
      </w:r>
    </w:p>
    <w:p>
      <w:pPr>
        <w:pStyle w:val="BodyText"/>
        <w:spacing w:before="82"/>
        <w:ind w:left="283" w:right="0" w:firstLine="0"/>
        <w:jc w:val="left"/>
      </w:pPr>
      <w:r>
        <w:rPr>
          <w:color w:val="231F20"/>
        </w:rPr>
        <w:t>Sous-section 3. Mentions dans les documents sociaux.</w:t>
      </w:r>
    </w:p>
    <w:p>
      <w:pPr>
        <w:pStyle w:val="BodyText"/>
        <w:spacing w:line="218" w:lineRule="auto" w:before="93"/>
        <w:ind w:right="38"/>
      </w:pPr>
      <w:r>
        <w:rPr>
          <w:color w:val="231F20"/>
        </w:rPr>
        <w:t>Art. 5:151. Lorsque la société acquiert ses propres actions ou certificats, par elle-même ou par une personne agissant en son nom propre mais pour le compte de la société, le rapport de gestion est complété au moins par les indications suivantes:</w:t>
      </w:r>
    </w:p>
    <w:p>
      <w:pPr>
        <w:pStyle w:val="BodyText"/>
        <w:spacing w:before="82"/>
        <w:ind w:left="283" w:right="0" w:firstLine="0"/>
        <w:jc w:val="left"/>
      </w:pPr>
      <w:r>
        <w:rPr>
          <w:color w:val="231F20"/>
        </w:rPr>
        <w:t>1° les motifs des acquisitions;</w:t>
      </w:r>
    </w:p>
    <w:p>
      <w:pPr>
        <w:pStyle w:val="BodyText"/>
        <w:spacing w:line="218" w:lineRule="auto" w:before="93"/>
        <w:ind w:right="38"/>
      </w:pPr>
      <w:r>
        <w:rPr>
          <w:color w:val="231F20"/>
        </w:rPr>
        <w:t>2° le nombre d’actions acquises et d’actions auxquelles se rapportent les certificats acquis ou pendant l’exercice;</w:t>
      </w:r>
    </w:p>
    <w:p>
      <w:pPr>
        <w:pStyle w:val="BodyText"/>
        <w:spacing w:before="82"/>
        <w:ind w:left="284" w:right="0" w:firstLine="0"/>
        <w:jc w:val="left"/>
      </w:pPr>
      <w:r>
        <w:rPr>
          <w:color w:val="231F20"/>
        </w:rPr>
        <w:t>3° la contrevaleur des actions ou des certificats acquis;</w:t>
      </w:r>
    </w:p>
    <w:p>
      <w:pPr>
        <w:pStyle w:val="BodyText"/>
        <w:spacing w:before="7"/>
        <w:ind w:left="0" w:right="0" w:firstLine="0"/>
        <w:jc w:val="left"/>
        <w:rPr>
          <w:sz w:val="23"/>
        </w:rPr>
      </w:pPr>
    </w:p>
    <w:p>
      <w:pPr>
        <w:pStyle w:val="BodyText"/>
        <w:spacing w:line="218" w:lineRule="auto"/>
        <w:ind w:right="38"/>
      </w:pPr>
      <w:r>
        <w:rPr>
          <w:color w:val="231F20"/>
        </w:rPr>
        <w:t>4° le nombre de toutes les actions acquises par la société et détenues en portefeuille, et des actions auxquelles se rapportent les certificats acquis et détenus en portefeuille.</w:t>
      </w:r>
    </w:p>
    <w:p>
      <w:pPr>
        <w:pStyle w:val="BodyText"/>
        <w:spacing w:line="218" w:lineRule="auto" w:before="119"/>
      </w:pPr>
      <w:r>
        <w:rPr/>
        <w:br w:type="column"/>
      </w:r>
      <w:r>
        <w:rPr>
          <w:color w:val="231F20"/>
        </w:rPr>
        <w:t>Art. 5:146. De aandelen en certificaten verkregen met overtreding</w:t>
      </w:r>
      <w:r>
        <w:rPr>
          <w:color w:val="231F20"/>
          <w:spacing w:val="-22"/>
        </w:rPr>
        <w:t> </w:t>
      </w:r>
      <w:r>
        <w:rPr>
          <w:color w:val="231F20"/>
        </w:rPr>
        <w:t>van artikel 5:145 zijn van rechtswege nietig. Indien een certificaat van rechtswege nietig wordt, wordt het aandeel dat  daardoor  eigendom van</w:t>
      </w:r>
      <w:r>
        <w:rPr>
          <w:color w:val="231F20"/>
          <w:spacing w:val="13"/>
        </w:rPr>
        <w:t> </w:t>
      </w:r>
      <w:r>
        <w:rPr>
          <w:color w:val="231F20"/>
        </w:rPr>
        <w:t>de</w:t>
      </w:r>
      <w:r>
        <w:rPr>
          <w:color w:val="231F20"/>
          <w:spacing w:val="13"/>
        </w:rPr>
        <w:t> </w:t>
      </w:r>
      <w:r>
        <w:rPr>
          <w:color w:val="231F20"/>
        </w:rPr>
        <w:t>vennootschap</w:t>
      </w:r>
      <w:r>
        <w:rPr>
          <w:color w:val="231F20"/>
          <w:spacing w:val="14"/>
        </w:rPr>
        <w:t> </w:t>
      </w:r>
      <w:r>
        <w:rPr>
          <w:color w:val="231F20"/>
        </w:rPr>
        <w:t>is</w:t>
      </w:r>
      <w:r>
        <w:rPr>
          <w:color w:val="231F20"/>
          <w:spacing w:val="13"/>
        </w:rPr>
        <w:t> </w:t>
      </w:r>
      <w:r>
        <w:rPr>
          <w:color w:val="231F20"/>
        </w:rPr>
        <w:t>geworden,</w:t>
      </w:r>
      <w:r>
        <w:rPr>
          <w:color w:val="231F20"/>
          <w:spacing w:val="13"/>
        </w:rPr>
        <w:t> </w:t>
      </w:r>
      <w:r>
        <w:rPr>
          <w:color w:val="231F20"/>
        </w:rPr>
        <w:t>tegelijkertijd</w:t>
      </w:r>
      <w:r>
        <w:rPr>
          <w:color w:val="231F20"/>
          <w:spacing w:val="14"/>
        </w:rPr>
        <w:t> </w:t>
      </w:r>
      <w:r>
        <w:rPr>
          <w:color w:val="231F20"/>
        </w:rPr>
        <w:t>van</w:t>
      </w:r>
      <w:r>
        <w:rPr>
          <w:color w:val="231F20"/>
          <w:spacing w:val="13"/>
        </w:rPr>
        <w:t> </w:t>
      </w:r>
      <w:r>
        <w:rPr>
          <w:color w:val="231F20"/>
        </w:rPr>
        <w:t>rechtswege</w:t>
      </w:r>
      <w:r>
        <w:rPr>
          <w:color w:val="231F20"/>
          <w:spacing w:val="14"/>
        </w:rPr>
        <w:t> </w:t>
      </w:r>
      <w:r>
        <w:rPr>
          <w:color w:val="231F20"/>
        </w:rPr>
        <w:t>nietig.</w:t>
      </w:r>
    </w:p>
    <w:p>
      <w:pPr>
        <w:pStyle w:val="BodyText"/>
        <w:spacing w:line="218" w:lineRule="auto" w:before="86"/>
      </w:pPr>
      <w:r>
        <w:rPr>
          <w:color w:val="231F20"/>
        </w:rPr>
        <w:t>Het bestuursorgaan maakt van de nietigheid uitdrukkelijk melding  in het register van</w:t>
      </w:r>
      <w:r>
        <w:rPr>
          <w:color w:val="231F20"/>
          <w:spacing w:val="19"/>
        </w:rPr>
        <w:t> </w:t>
      </w:r>
      <w:r>
        <w:rPr>
          <w:color w:val="231F20"/>
        </w:rPr>
        <w:t>aandelen.</w:t>
      </w:r>
    </w:p>
    <w:p>
      <w:pPr>
        <w:pStyle w:val="BodyText"/>
        <w:spacing w:line="218" w:lineRule="auto" w:before="86"/>
      </w:pPr>
      <w:r>
        <w:rPr>
          <w:color w:val="231F20"/>
        </w:rPr>
        <w:t>Het eerste lid is van toepassing naar evenredigheid van de aandelen en de certificaten van dezelfde soort die de vennootschap in haar bezit houdt.</w:t>
      </w:r>
    </w:p>
    <w:p>
      <w:pPr>
        <w:pStyle w:val="BodyText"/>
        <w:spacing w:line="218" w:lineRule="auto" w:before="85"/>
        <w:ind w:right="125"/>
      </w:pPr>
      <w:r>
        <w:rPr>
          <w:color w:val="231F20"/>
        </w:rPr>
        <w:t>Art. 5:147. De artikelen 5:142, 5:143 en 5:149, eerste lid, zijn niet van toepassing:</w:t>
      </w:r>
    </w:p>
    <w:p>
      <w:pPr>
        <w:pStyle w:val="BodyText"/>
        <w:spacing w:line="218" w:lineRule="auto" w:before="86"/>
      </w:pPr>
      <w:r>
        <w:rPr>
          <w:color w:val="231F20"/>
        </w:rPr>
        <w:t>1° op aandelen of certificaten die op de vennootschap overgaan  onder algemene</w:t>
      </w:r>
      <w:r>
        <w:rPr>
          <w:color w:val="231F20"/>
          <w:spacing w:val="-12"/>
        </w:rPr>
        <w:t> </w:t>
      </w:r>
      <w:r>
        <w:rPr>
          <w:color w:val="231F20"/>
        </w:rPr>
        <w:t>titel;</w:t>
      </w:r>
    </w:p>
    <w:p>
      <w:pPr>
        <w:pStyle w:val="BodyText"/>
        <w:spacing w:line="218" w:lineRule="auto" w:before="85"/>
      </w:pPr>
      <w:r>
        <w:rPr>
          <w:color w:val="231F20"/>
        </w:rPr>
        <w:t>2° op aandelen of op certificaten verkregen bij een verkoop die overeenkomstig de artikelen 1494 en volgende van het Gerechtelijk </w:t>
      </w:r>
      <w:r>
        <w:rPr>
          <w:color w:val="231F20"/>
          <w:spacing w:val="-3"/>
        </w:rPr>
        <w:t>Wetboek </w:t>
      </w:r>
      <w:r>
        <w:rPr>
          <w:color w:val="231F20"/>
        </w:rPr>
        <w:t>plaatsvindt ter voldoening van een schuld van  de</w:t>
      </w:r>
      <w:r>
        <w:rPr>
          <w:color w:val="231F20"/>
          <w:spacing w:val="22"/>
        </w:rPr>
        <w:t> </w:t>
      </w:r>
      <w:r>
        <w:rPr>
          <w:color w:val="231F20"/>
        </w:rPr>
        <w:t>eigenaar van</w:t>
      </w:r>
      <w:r>
        <w:rPr>
          <w:color w:val="231F20"/>
          <w:spacing w:val="15"/>
        </w:rPr>
        <w:t> </w:t>
      </w:r>
      <w:r>
        <w:rPr>
          <w:color w:val="231F20"/>
        </w:rPr>
        <w:t>die</w:t>
      </w:r>
      <w:r>
        <w:rPr>
          <w:color w:val="231F20"/>
          <w:spacing w:val="16"/>
        </w:rPr>
        <w:t> </w:t>
      </w:r>
      <w:r>
        <w:rPr>
          <w:color w:val="231F20"/>
        </w:rPr>
        <w:t>aandelen</w:t>
      </w:r>
      <w:r>
        <w:rPr>
          <w:color w:val="231F20"/>
          <w:spacing w:val="15"/>
        </w:rPr>
        <w:t> </w:t>
      </w:r>
      <w:r>
        <w:rPr>
          <w:color w:val="231F20"/>
        </w:rPr>
        <w:t>of</w:t>
      </w:r>
      <w:r>
        <w:rPr>
          <w:color w:val="231F20"/>
          <w:spacing w:val="16"/>
        </w:rPr>
        <w:t> </w:t>
      </w:r>
      <w:r>
        <w:rPr>
          <w:color w:val="231F20"/>
        </w:rPr>
        <w:t>certificaten</w:t>
      </w:r>
      <w:r>
        <w:rPr>
          <w:color w:val="231F20"/>
          <w:spacing w:val="16"/>
        </w:rPr>
        <w:t> </w:t>
      </w:r>
      <w:r>
        <w:rPr>
          <w:color w:val="231F20"/>
        </w:rPr>
        <w:t>aan</w:t>
      </w:r>
      <w:r>
        <w:rPr>
          <w:color w:val="231F20"/>
          <w:spacing w:val="15"/>
        </w:rPr>
        <w:t> </w:t>
      </w:r>
      <w:r>
        <w:rPr>
          <w:color w:val="231F20"/>
        </w:rPr>
        <w:t>de</w:t>
      </w:r>
      <w:r>
        <w:rPr>
          <w:color w:val="231F20"/>
          <w:spacing w:val="16"/>
        </w:rPr>
        <w:t> </w:t>
      </w:r>
      <w:r>
        <w:rPr>
          <w:color w:val="231F20"/>
        </w:rPr>
        <w:t>vennootschap.</w:t>
      </w:r>
    </w:p>
    <w:p>
      <w:pPr>
        <w:pStyle w:val="BodyText"/>
        <w:spacing w:before="72"/>
        <w:ind w:left="283" w:right="0" w:firstLine="0"/>
        <w:jc w:val="left"/>
      </w:pPr>
      <w:r>
        <w:rPr>
          <w:color w:val="231F20"/>
        </w:rPr>
        <w:t>Onderafdeling 2. Statuut van de verkregen aandelen en certificaten.</w:t>
      </w:r>
    </w:p>
    <w:p>
      <w:pPr>
        <w:pStyle w:val="BodyText"/>
        <w:spacing w:line="218" w:lineRule="auto" w:before="82"/>
      </w:pPr>
      <w:r>
        <w:rPr>
          <w:color w:val="231F20"/>
        </w:rPr>
        <w:t>Art. 5:148. § 1. De verkregen aandelen of certificaten kunnen worden vernietigd of in portefeuille worden gehouden. Een vernietiging vereist een statutenwijziging.</w:t>
      </w:r>
    </w:p>
    <w:p>
      <w:pPr>
        <w:pStyle w:val="BodyText"/>
        <w:spacing w:line="218" w:lineRule="auto" w:before="85"/>
      </w:pPr>
      <w:r>
        <w:rPr>
          <w:color w:val="231F20"/>
        </w:rPr>
        <w:t>§ 2. Zolang de verkregen aandelen zijn opgenomen onder de activa van de balans, moet een onbeschikbare reserve worden gevormd, gelijk aan de waarde waarvoor de aandelen in de inventaris zijn ingeschre- ven.</w:t>
      </w:r>
    </w:p>
    <w:p>
      <w:pPr>
        <w:pStyle w:val="BodyText"/>
        <w:spacing w:line="218" w:lineRule="auto" w:before="86"/>
      </w:pPr>
      <w:r>
        <w:rPr>
          <w:color w:val="231F20"/>
        </w:rPr>
        <w:t>In geval van nietigheid of vernietiging van de aandelen wordt deze onbeschikbare reserve opgeheven. Indien, met overtreding van het eerste lid, geen onbeschikbare reserve was aangelegd, moeten de beschikbare reserves, of, bij gebrek daaraan, andere bestanddelen van het eigen vermogen, ten belope van dat bedrag worden verminderd.</w:t>
      </w:r>
    </w:p>
    <w:p>
      <w:pPr>
        <w:pStyle w:val="BodyText"/>
        <w:spacing w:line="218" w:lineRule="auto" w:before="85"/>
      </w:pPr>
      <w:r>
        <w:rPr>
          <w:color w:val="231F20"/>
        </w:rPr>
        <w:t>§ 3. De aan de verkregen aandelen verbonden rechten blijven geschorst totdat ze worden vervreemd of vernietigd.</w:t>
      </w:r>
    </w:p>
    <w:p>
      <w:pPr>
        <w:pStyle w:val="BodyText"/>
        <w:spacing w:line="218" w:lineRule="auto" w:before="86"/>
      </w:pPr>
      <w:r>
        <w:rPr>
          <w:color w:val="231F20"/>
        </w:rPr>
        <w:t>Zolang de verkregen aandelen tot het vermogen van de vennoot- schap behoren, komen de eraan verbonden dividendrechten te verval- len.</w:t>
      </w:r>
    </w:p>
    <w:p>
      <w:pPr>
        <w:pStyle w:val="BodyText"/>
        <w:spacing w:line="218" w:lineRule="auto" w:before="96"/>
      </w:pPr>
      <w:r>
        <w:rPr>
          <w:color w:val="231F20"/>
        </w:rPr>
        <w:t>§ 4. De dividendrechten verbonden aan de verkregen certificaten komen eveneens te vervallen. De stemrechten verbonden aan de aandelen waarop de verkregen certificaten betrekking hebben worden geschorst, voor zover deze certificaten met medewerking van de vennootschap werden uitgegeven.</w:t>
      </w:r>
    </w:p>
    <w:p>
      <w:pPr>
        <w:pStyle w:val="BodyText"/>
        <w:spacing w:line="218" w:lineRule="auto" w:before="97"/>
      </w:pPr>
      <w:r>
        <w:rPr>
          <w:color w:val="231F20"/>
        </w:rPr>
        <w:t>Art. 5:149. De vennootschap kan de krachtens de artikelen 5:142 en 5:143 verkregen aandelen of certificaten slechts vervreemden op grond van een besluit genomen met naleving, in voorkomend geval binnen elke soort, van de aanwezigheids- en meerderheidsvereisten voorge- schreven voor een statutenwijziging, waarbij de voorwaarden voor de vervreemding, in voorkomend geval, per soort of per categorie van effecten worden bepaald.</w:t>
      </w:r>
    </w:p>
    <w:p>
      <w:pPr>
        <w:pStyle w:val="BodyText"/>
        <w:spacing w:line="218" w:lineRule="auto" w:before="96"/>
      </w:pPr>
      <w:r>
        <w:rPr>
          <w:color w:val="231F20"/>
        </w:rPr>
        <w:t>De aandelen of certificaten worden bij voorrang aangeboden aan de bestaande aandeelhouders naar evenredigheid met het aantal aandelen dat zij bezitten. Zijn er verschillende soorten van aandelen, en gebeurt de vervreemding binnen elke soort niet naar evenredigheid met het aantal aandelen dat de aandeelhouders van elke soort bezitten, dan kan de vervreemding enkel plaatsvinden met machtiging door een besluit van de algemene vergadering genomen met naleving binnen elke soort, van de aanwezigheids- en meerderheidsvereisten voorgeschreven voor een statutenwijziging.</w:t>
      </w:r>
    </w:p>
    <w:p>
      <w:pPr>
        <w:pStyle w:val="BodyText"/>
        <w:spacing w:line="218" w:lineRule="auto" w:before="97"/>
      </w:pPr>
      <w:r>
        <w:rPr>
          <w:color w:val="231F20"/>
        </w:rPr>
        <w:t>Voor de vervreemding aan het personeel van aandelen of certificaten verkregen met dat doel is deze machting niet vereist.</w:t>
      </w:r>
    </w:p>
    <w:p>
      <w:pPr>
        <w:pStyle w:val="BodyText"/>
        <w:spacing w:line="218" w:lineRule="auto" w:before="96"/>
      </w:pPr>
      <w:r>
        <w:rPr>
          <w:color w:val="231F20"/>
        </w:rPr>
        <w:t>Art. 5:150. Wanneer een vennootschap om niet eigenaar wordt van eigen aandelen of certificaten, zijn die effecten van rechtswege nietig. Artikel 5:146 is van overeenkomstige toepassing.</w:t>
      </w:r>
    </w:p>
    <w:p>
      <w:pPr>
        <w:pStyle w:val="BodyText"/>
        <w:spacing w:before="82"/>
        <w:ind w:left="283" w:right="0" w:firstLine="0"/>
        <w:jc w:val="left"/>
      </w:pPr>
      <w:r>
        <w:rPr>
          <w:color w:val="231F20"/>
        </w:rPr>
        <w:t>Onderafdeling 3. Vermeldingen in de vennootschapsakten.</w:t>
      </w:r>
    </w:p>
    <w:p>
      <w:pPr>
        <w:pStyle w:val="BodyText"/>
        <w:spacing w:line="218" w:lineRule="auto" w:before="93"/>
      </w:pPr>
      <w:r>
        <w:rPr>
          <w:color w:val="231F20"/>
        </w:rPr>
        <w:t>Art. 5:151. Wanneer de vennootschap eigen aandelen of certificaten verkrijgt, hetzij zelf, hetzij door een persoon die in eigen naam maar voor rekening van de vennootschap handelt, worden in het jaarverslag ten minste de volgende bijkomende gegevens vermeld:</w:t>
      </w:r>
    </w:p>
    <w:p>
      <w:pPr>
        <w:pStyle w:val="BodyText"/>
        <w:spacing w:before="82"/>
        <w:ind w:left="283" w:right="0" w:firstLine="0"/>
        <w:jc w:val="left"/>
      </w:pPr>
      <w:r>
        <w:rPr>
          <w:color w:val="231F20"/>
          <w:w w:val="105"/>
        </w:rPr>
        <w:t>1° de redenen van de verkrijgingen;</w:t>
      </w:r>
    </w:p>
    <w:p>
      <w:pPr>
        <w:pStyle w:val="BodyText"/>
        <w:spacing w:line="218" w:lineRule="auto" w:before="93"/>
      </w:pPr>
      <w:r>
        <w:rPr>
          <w:color w:val="231F20"/>
        </w:rPr>
        <w:t>2° het aantal van de gedurende het boekjaar verkregen aandelen en van de aandelen waarop de verkregen certificaten betrekking hebben;</w:t>
      </w:r>
    </w:p>
    <w:p>
      <w:pPr>
        <w:pStyle w:val="BodyText"/>
        <w:spacing w:line="218" w:lineRule="auto" w:before="96"/>
      </w:pPr>
      <w:r>
        <w:rPr>
          <w:color w:val="231F20"/>
        </w:rPr>
        <w:t>3° de waarde van de vergoeding van de verkregen aandelen of certificaten;</w:t>
      </w:r>
    </w:p>
    <w:p>
      <w:pPr>
        <w:pStyle w:val="BodyText"/>
        <w:spacing w:line="218" w:lineRule="auto" w:before="96"/>
      </w:pPr>
      <w:r>
        <w:rPr>
          <w:color w:val="231F20"/>
        </w:rPr>
        <w:t>4° het aantal van alle aandelen die de vennootschap heeft verkregen en in portefeuille houdt, en van de aandelen waarop de verkregen en in portefeuille gehouden certificaten betrekking hebben.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3856" from="298.170502pt,64.473pt" to="298.170502pt,812.819pt" stroked="true" strokeweight=".533pt" strokecolor="#231f20">
            <v:stroke dashstyle="solid"/>
            <w10:wrap type="none"/>
          </v:line>
        </w:pict>
      </w:r>
      <w:bookmarkStart w:name="_bookmark118" w:id="123"/>
      <w:bookmarkEnd w:id="123"/>
      <w:r>
        <w:rPr/>
      </w:r>
      <w:r>
        <w:rPr>
          <w:color w:val="231F20"/>
        </w:rPr>
        <w:t>Lorsque la société a aliéné ses propres actions ou certificats, par elle-même ou par une personne agissant en son nom propre mais pour le compte de la société, le rapport de gestion est complété au moins par les indications suivantes:</w:t>
      </w:r>
    </w:p>
    <w:p>
      <w:pPr>
        <w:pStyle w:val="BodyText"/>
        <w:spacing w:line="324" w:lineRule="auto" w:before="71"/>
        <w:ind w:left="283" w:right="1686" w:hanging="1"/>
        <w:jc w:val="left"/>
      </w:pPr>
      <w:r>
        <w:rPr>
          <w:color w:val="231F20"/>
        </w:rPr>
        <w:t>1° le nombre d’actions ou de certificats aliénés; 2° la contrevaleur obtenue;</w:t>
      </w:r>
    </w:p>
    <w:p>
      <w:pPr>
        <w:pStyle w:val="BodyText"/>
        <w:spacing w:line="218" w:lineRule="auto" w:before="15"/>
        <w:ind w:right="38"/>
      </w:pPr>
      <w:r>
        <w:rPr>
          <w:color w:val="231F20"/>
        </w:rPr>
        <w:t>3° l’identité de l’acquéreur; pour le personnel, aucuns détails individuels relatifs aux acquéreurs ne doivent être communiqués, sous réserve de dispositions légales plus strictes.</w:t>
      </w:r>
    </w:p>
    <w:p>
      <w:pPr>
        <w:pStyle w:val="BodyText"/>
        <w:spacing w:line="211" w:lineRule="auto" w:before="90"/>
        <w:ind w:right="38"/>
      </w:pPr>
      <w:r>
        <w:rPr>
          <w:color w:val="231F20"/>
        </w:rPr>
        <w:t>Lorsque la société n’est pas tenue de rédiger un rapport de gestion, les indications visées aux alinéas 1</w:t>
      </w:r>
      <w:r>
        <w:rPr>
          <w:color w:val="231F20"/>
          <w:position w:val="7"/>
          <w:sz w:val="11"/>
        </w:rPr>
        <w:t>er </w:t>
      </w:r>
      <w:r>
        <w:rPr>
          <w:color w:val="231F20"/>
        </w:rPr>
        <w:t>et 2 sont mentionnées dans l’annexe aux comptes</w:t>
      </w:r>
      <w:r>
        <w:rPr>
          <w:color w:val="231F20"/>
          <w:spacing w:val="4"/>
        </w:rPr>
        <w:t> </w:t>
      </w:r>
      <w:r>
        <w:rPr>
          <w:color w:val="231F20"/>
        </w:rPr>
        <w:t>annuels.</w:t>
      </w:r>
    </w:p>
    <w:p>
      <w:pPr>
        <w:pStyle w:val="BodyText"/>
        <w:spacing w:line="218" w:lineRule="auto" w:before="83"/>
        <w:ind w:right="38"/>
      </w:pPr>
      <w:r>
        <w:rPr>
          <w:color w:val="231F20"/>
        </w:rPr>
        <w:t>Section 3. Financement de l’acquisition d’actions ou de certificats de la société par des tiers.</w:t>
      </w:r>
    </w:p>
    <w:p>
      <w:pPr>
        <w:pStyle w:val="BodyText"/>
        <w:spacing w:line="218" w:lineRule="auto" w:before="71"/>
        <w:ind w:right="38"/>
      </w:pPr>
      <w:r>
        <w:rPr>
          <w:color w:val="231F20"/>
        </w:rPr>
        <w:t>Art. 5:152. § 1</w:t>
      </w:r>
      <w:r>
        <w:rPr>
          <w:color w:val="231F20"/>
          <w:position w:val="7"/>
          <w:sz w:val="11"/>
        </w:rPr>
        <w:t>er</w:t>
      </w:r>
      <w:r>
        <w:rPr>
          <w:color w:val="231F20"/>
        </w:rPr>
        <w:t>. La société ne peut avancer de fonds ou accorder des prêts ou des sûretés en vue de l’acquisition de ses actions par des tiers ou en vue de l’acquisition ou de la souscription par des tiers de certificats se rapportant à ses actions qu’aux conditions suivantes:</w:t>
      </w:r>
    </w:p>
    <w:p>
      <w:pPr>
        <w:pStyle w:val="BodyText"/>
        <w:ind w:left="0" w:right="0" w:firstLine="0"/>
        <w:jc w:val="left"/>
        <w:rPr>
          <w:sz w:val="23"/>
        </w:rPr>
      </w:pPr>
    </w:p>
    <w:p>
      <w:pPr>
        <w:pStyle w:val="BodyText"/>
        <w:spacing w:line="218" w:lineRule="auto"/>
        <w:ind w:right="38"/>
      </w:pPr>
      <w:r>
        <w:rPr>
          <w:color w:val="231F20"/>
        </w:rPr>
        <w:t>1° l’opération est autorisée par une décision préalable de l’assemblée générale prise dans le respect des conditions de quorum et de majorité requises pour une modification des statuts;</w:t>
      </w:r>
    </w:p>
    <w:p>
      <w:pPr>
        <w:pStyle w:val="BodyText"/>
        <w:spacing w:line="218" w:lineRule="auto" w:before="85"/>
        <w:ind w:right="38"/>
      </w:pPr>
      <w:r>
        <w:rPr>
          <w:color w:val="231F20"/>
        </w:rPr>
        <w:t>2° l’opération a lieu sous la responsabilité de l’organe d’administra- tion qui rédige à ce propos un rapport indiquant les motifs de l’opération, les conditions dans lesquelles elle s’effectue ainsi que les risques qu’elle comporte pour la liquidité et la solvabilité de la société;</w:t>
      </w:r>
    </w:p>
    <w:p>
      <w:pPr>
        <w:pStyle w:val="BodyText"/>
        <w:ind w:left="0" w:right="0" w:firstLine="0"/>
        <w:jc w:val="left"/>
        <w:rPr>
          <w:sz w:val="23"/>
        </w:rPr>
      </w:pPr>
    </w:p>
    <w:p>
      <w:pPr>
        <w:pStyle w:val="BodyText"/>
        <w:spacing w:line="218" w:lineRule="auto" w:before="1"/>
        <w:ind w:right="38"/>
      </w:pPr>
      <w:r>
        <w:rPr>
          <w:color w:val="231F20"/>
        </w:rPr>
        <w:t>3° les sommes affectées à cette acquisition doivent être susceptibles d’être distribuées conformément aux articles 5:142 et 5:143;</w:t>
      </w:r>
    </w:p>
    <w:p>
      <w:pPr>
        <w:pStyle w:val="BodyText"/>
        <w:spacing w:line="218" w:lineRule="auto" w:before="96"/>
        <w:ind w:right="38"/>
      </w:pPr>
      <w:r>
        <w:rPr>
          <w:color w:val="231F20"/>
        </w:rPr>
        <w:t>4° la société inscrit au passif du bilan une réserve indisponible d’un montant correspondant à l’aide financière totale et sur laquelle des reprises peuvent être effectuées proportionnellement à la diminution</w:t>
      </w:r>
      <w:r>
        <w:rPr>
          <w:color w:val="231F20"/>
          <w:spacing w:val="-17"/>
        </w:rPr>
        <w:t> </w:t>
      </w:r>
      <w:r>
        <w:rPr>
          <w:color w:val="231F20"/>
        </w:rPr>
        <w:t>de l’aide</w:t>
      </w:r>
      <w:r>
        <w:rPr>
          <w:color w:val="231F20"/>
          <w:spacing w:val="15"/>
        </w:rPr>
        <w:t> </w:t>
      </w:r>
      <w:r>
        <w:rPr>
          <w:color w:val="231F20"/>
        </w:rPr>
        <w:t>apportée.</w:t>
      </w:r>
    </w:p>
    <w:p>
      <w:pPr>
        <w:pStyle w:val="BodyText"/>
        <w:spacing w:line="213" w:lineRule="auto" w:before="84"/>
        <w:ind w:right="38"/>
      </w:pPr>
      <w:r>
        <w:rPr>
          <w:color w:val="231F20"/>
        </w:rPr>
        <w:t>Le rapport visé à l’alinéa 1</w:t>
      </w:r>
      <w:r>
        <w:rPr>
          <w:color w:val="231F20"/>
          <w:position w:val="7"/>
          <w:sz w:val="11"/>
        </w:rPr>
        <w:t>er</w:t>
      </w:r>
      <w:r>
        <w:rPr>
          <w:color w:val="231F20"/>
        </w:rPr>
        <w:t>, 2°, est annoncé dans l’ordre du jour de l’assemblée générale visée à l’alinéa 1</w:t>
      </w:r>
      <w:r>
        <w:rPr>
          <w:color w:val="231F20"/>
          <w:position w:val="7"/>
          <w:sz w:val="11"/>
        </w:rPr>
        <w:t>er</w:t>
      </w:r>
      <w:r>
        <w:rPr>
          <w:color w:val="231F20"/>
        </w:rPr>
        <w:t>, 1°. Une copie peut en être obtenue conformément à l’article 5:84. En cas d’absence de ce rapport, la décision de l’assemblée générale est nulle.</w:t>
      </w:r>
    </w:p>
    <w:p>
      <w:pPr>
        <w:pStyle w:val="BodyText"/>
        <w:spacing w:line="218" w:lineRule="auto" w:before="79"/>
        <w:ind w:right="39"/>
      </w:pPr>
      <w:r>
        <w:rPr>
          <w:color w:val="231F20"/>
        </w:rPr>
        <w:t>§ 2. À l’exception de l’alinéa 1</w:t>
      </w:r>
      <w:r>
        <w:rPr>
          <w:color w:val="231F20"/>
          <w:position w:val="7"/>
          <w:sz w:val="11"/>
        </w:rPr>
        <w:t>er</w:t>
      </w:r>
      <w:r>
        <w:rPr>
          <w:color w:val="231F20"/>
        </w:rPr>
        <w:t>, 3° et 4°, le paragraphe 1</w:t>
      </w:r>
      <w:r>
        <w:rPr>
          <w:color w:val="231F20"/>
          <w:position w:val="7"/>
          <w:sz w:val="11"/>
        </w:rPr>
        <w:t>er </w:t>
      </w:r>
      <w:r>
        <w:rPr>
          <w:color w:val="231F20"/>
        </w:rPr>
        <w:t>ne s’applique pas aux avances, prêts et sûretés consentis à:</w:t>
      </w:r>
    </w:p>
    <w:p>
      <w:pPr>
        <w:pStyle w:val="BodyText"/>
        <w:spacing w:before="10"/>
        <w:ind w:left="0" w:right="0" w:firstLine="0"/>
        <w:jc w:val="left"/>
        <w:rPr>
          <w:sz w:val="23"/>
        </w:rPr>
      </w:pPr>
    </w:p>
    <w:p>
      <w:pPr>
        <w:pStyle w:val="BodyText"/>
        <w:spacing w:line="218" w:lineRule="auto"/>
        <w:ind w:right="38"/>
      </w:pPr>
      <w:r>
        <w:rPr>
          <w:color w:val="231F20"/>
        </w:rPr>
        <w:t>1° des membres du personnel de la société ou d’une société liée à celle-ci pour l’acquisition d’actions de ces sociétés ou de certificats se rapportant à des actions de ces sociétés;</w:t>
      </w:r>
    </w:p>
    <w:p>
      <w:pPr>
        <w:pStyle w:val="BodyText"/>
        <w:spacing w:before="11"/>
        <w:ind w:left="0" w:right="0" w:firstLine="0"/>
        <w:jc w:val="left"/>
        <w:rPr>
          <w:sz w:val="23"/>
        </w:rPr>
      </w:pPr>
    </w:p>
    <w:p>
      <w:pPr>
        <w:pStyle w:val="BodyText"/>
        <w:spacing w:line="218" w:lineRule="auto"/>
        <w:ind w:right="38"/>
      </w:pPr>
      <w:r>
        <w:rPr>
          <w:color w:val="231F20"/>
        </w:rPr>
        <w:t>2° des sociétés dont la moitié au moins des droits de vote est détenue par les membres du personnel de la société, pour l’acquisition par ces sociétés d’actions de la société ou de certificats se rapportant à des actions de cette dernière, auxquels est attachée la moitié au moins des droits de vote.</w:t>
      </w:r>
    </w:p>
    <w:p>
      <w:pPr>
        <w:pStyle w:val="BodyText"/>
        <w:spacing w:before="8"/>
        <w:ind w:left="0" w:right="0" w:firstLine="0"/>
        <w:jc w:val="left"/>
        <w:rPr>
          <w:sz w:val="22"/>
        </w:rPr>
      </w:pPr>
    </w:p>
    <w:p>
      <w:pPr>
        <w:pStyle w:val="BodyText"/>
        <w:ind w:left="283" w:right="0" w:firstLine="0"/>
        <w:jc w:val="left"/>
      </w:pPr>
      <w:r>
        <w:rPr>
          <w:color w:val="231F20"/>
        </w:rPr>
        <w:t>Section 4. Procédure de sonnette d’alarme.</w:t>
      </w:r>
    </w:p>
    <w:p>
      <w:pPr>
        <w:pStyle w:val="BodyText"/>
        <w:spacing w:line="218" w:lineRule="auto" w:before="78"/>
        <w:ind w:right="38"/>
      </w:pPr>
      <w:r>
        <w:rPr>
          <w:color w:val="231F20"/>
        </w:rPr>
        <w:t>Art. 5:153. § 1</w:t>
      </w:r>
      <w:r>
        <w:rPr>
          <w:color w:val="231F20"/>
          <w:position w:val="7"/>
          <w:sz w:val="11"/>
        </w:rPr>
        <w:t>er</w:t>
      </w:r>
      <w:r>
        <w:rPr>
          <w:color w:val="231F20"/>
        </w:rPr>
        <w:t>. Lorsque l’actif net risque de devenir ou est devenu négatif, l’organe d’administration doit, sauf dispositions plus rigoureu- ses dans les statuts, convoquer l’assemblée générale à une réunion à tenir dans les deux mois de la date à laquelle cette situation a été constatée ou aurait dû l’être en vertu de dispositions légales ou statutaires, en vue de décider de la dissolution de la société ou de mesures annoncées dans l’ordre du jour afin d’assurer la continuité de la société.</w:t>
      </w:r>
    </w:p>
    <w:p>
      <w:pPr>
        <w:pStyle w:val="BodyText"/>
        <w:spacing w:line="218" w:lineRule="auto" w:before="96"/>
        <w:ind w:right="38"/>
      </w:pPr>
      <w:r>
        <w:rPr>
          <w:color w:val="231F20"/>
        </w:rPr>
        <w:t>À moins que l’organe d’administration propose la dissolution de la société conformément à l’article 5:157, il expose dans un rapport spécial les mesures qu’il propose pour assurer la continuité de la société. Ce rapport est annoncé dans l’ordre du jour. Une copie peut en être obtenue conformément à l’article 5:84.</w:t>
      </w:r>
    </w:p>
    <w:p>
      <w:pPr>
        <w:pStyle w:val="BodyText"/>
        <w:spacing w:line="218" w:lineRule="auto" w:before="97"/>
        <w:ind w:right="39"/>
      </w:pPr>
      <w:r>
        <w:rPr>
          <w:color w:val="231F20"/>
        </w:rPr>
        <w:t>En cas d’absence du rapport visé à l’alinéa 2 la décision de l’assemblée générale est</w:t>
      </w:r>
      <w:r>
        <w:rPr>
          <w:color w:val="231F20"/>
          <w:spacing w:val="4"/>
        </w:rPr>
        <w:t> </w:t>
      </w:r>
      <w:r>
        <w:rPr>
          <w:color w:val="231F20"/>
        </w:rPr>
        <w:t>nulle.</w:t>
      </w:r>
    </w:p>
    <w:p>
      <w:pPr>
        <w:pStyle w:val="BodyText"/>
        <w:spacing w:line="213" w:lineRule="auto" w:before="99"/>
        <w:ind w:right="38"/>
      </w:pPr>
      <w:r>
        <w:rPr>
          <w:color w:val="231F20"/>
        </w:rPr>
        <w:t>§ 2. Il est procédé de la même manière que celle visée au paragraphe 1</w:t>
      </w:r>
      <w:r>
        <w:rPr>
          <w:color w:val="231F20"/>
          <w:position w:val="7"/>
          <w:sz w:val="11"/>
        </w:rPr>
        <w:t>er </w:t>
      </w:r>
      <w:r>
        <w:rPr>
          <w:color w:val="231F20"/>
        </w:rPr>
        <w:t>lorsque l’organe d’administration constate qu’il n’est plus  certain que la société, selon les développements auxquels on peut raisonnable- ment s’attendre, sera en mesure de s’acquitter de ses dettes au fur et à mesure</w:t>
      </w:r>
      <w:r>
        <w:rPr>
          <w:color w:val="231F20"/>
          <w:spacing w:val="18"/>
        </w:rPr>
        <w:t> </w:t>
      </w:r>
      <w:r>
        <w:rPr>
          <w:color w:val="231F20"/>
        </w:rPr>
        <w:t>de</w:t>
      </w:r>
      <w:r>
        <w:rPr>
          <w:color w:val="231F20"/>
          <w:spacing w:val="18"/>
        </w:rPr>
        <w:t> </w:t>
      </w:r>
      <w:r>
        <w:rPr>
          <w:color w:val="231F20"/>
        </w:rPr>
        <w:t>leur</w:t>
      </w:r>
      <w:r>
        <w:rPr>
          <w:color w:val="231F20"/>
          <w:spacing w:val="19"/>
        </w:rPr>
        <w:t> </w:t>
      </w:r>
      <w:r>
        <w:rPr>
          <w:color w:val="231F20"/>
        </w:rPr>
        <w:t>échéance</w:t>
      </w:r>
      <w:r>
        <w:rPr>
          <w:color w:val="231F20"/>
          <w:spacing w:val="18"/>
        </w:rPr>
        <w:t> </w:t>
      </w:r>
      <w:r>
        <w:rPr>
          <w:color w:val="231F20"/>
        </w:rPr>
        <w:t>pendant</w:t>
      </w:r>
      <w:r>
        <w:rPr>
          <w:color w:val="231F20"/>
          <w:spacing w:val="19"/>
        </w:rPr>
        <w:t> </w:t>
      </w:r>
      <w:r>
        <w:rPr>
          <w:color w:val="231F20"/>
        </w:rPr>
        <w:t>au</w:t>
      </w:r>
      <w:r>
        <w:rPr>
          <w:color w:val="231F20"/>
          <w:spacing w:val="18"/>
        </w:rPr>
        <w:t> </w:t>
      </w:r>
      <w:r>
        <w:rPr>
          <w:color w:val="231F20"/>
        </w:rPr>
        <w:t>moins</w:t>
      </w:r>
      <w:r>
        <w:rPr>
          <w:color w:val="231F20"/>
          <w:spacing w:val="18"/>
        </w:rPr>
        <w:t> </w:t>
      </w:r>
      <w:r>
        <w:rPr>
          <w:color w:val="231F20"/>
        </w:rPr>
        <w:t>les</w:t>
      </w:r>
      <w:r>
        <w:rPr>
          <w:color w:val="231F20"/>
          <w:spacing w:val="19"/>
        </w:rPr>
        <w:t> </w:t>
      </w:r>
      <w:r>
        <w:rPr>
          <w:color w:val="231F20"/>
        </w:rPr>
        <w:t>douze</w:t>
      </w:r>
      <w:r>
        <w:rPr>
          <w:color w:val="231F20"/>
          <w:spacing w:val="18"/>
        </w:rPr>
        <w:t> </w:t>
      </w:r>
      <w:r>
        <w:rPr>
          <w:color w:val="231F20"/>
        </w:rPr>
        <w:t>mois</w:t>
      </w:r>
      <w:r>
        <w:rPr>
          <w:color w:val="231F20"/>
          <w:spacing w:val="19"/>
        </w:rPr>
        <w:t> </w:t>
      </w:r>
      <w:r>
        <w:rPr>
          <w:color w:val="231F20"/>
        </w:rPr>
        <w:t>suivants.</w:t>
      </w:r>
    </w:p>
    <w:p>
      <w:pPr>
        <w:pStyle w:val="BodyText"/>
        <w:spacing w:line="218" w:lineRule="auto" w:before="98"/>
        <w:ind w:right="38"/>
      </w:pPr>
      <w:r>
        <w:rPr>
          <w:color w:val="231F20"/>
        </w:rPr>
        <w:t>§ 3. Lorsque l’assemblée générale n’a pas été convoquée conformé- ment au présent article, le dommage subi par les tiers est, sauf preuve contraire, présumé résulter de cette absence de convocation.</w:t>
      </w:r>
    </w:p>
    <w:p>
      <w:pPr>
        <w:pStyle w:val="BodyText"/>
        <w:spacing w:line="218" w:lineRule="auto" w:before="119"/>
      </w:pPr>
      <w:r>
        <w:rPr/>
        <w:br w:type="column"/>
      </w:r>
      <w:r>
        <w:rPr>
          <w:color w:val="231F20"/>
        </w:rPr>
        <w:t>Wanneer de vennootschap eigen aandelen of certificaten vervreemdt, hetzij zelf, hetzij door een persoon die in eigen naam maar voor rekening van de vennootschap handelt, worden in het jaarverslag ten minste de volgende bijkomende gegevens vermeld:</w:t>
      </w:r>
    </w:p>
    <w:p>
      <w:pPr>
        <w:pStyle w:val="BodyText"/>
        <w:spacing w:line="324" w:lineRule="auto" w:before="72"/>
        <w:ind w:left="283" w:right="1535" w:hanging="1"/>
        <w:jc w:val="left"/>
      </w:pPr>
      <w:r>
        <w:rPr>
          <w:color w:val="231F20"/>
        </w:rPr>
        <w:t>1° het aantal vervreemde aandelen of certificaten; 2° de ontvangen vergoeding;</w:t>
      </w:r>
    </w:p>
    <w:p>
      <w:pPr>
        <w:pStyle w:val="BodyText"/>
        <w:spacing w:line="218" w:lineRule="auto" w:before="15"/>
      </w:pPr>
      <w:r>
        <w:rPr>
          <w:color w:val="231F20"/>
        </w:rPr>
        <w:t>3° de identiteit van de verkrijger; voor personeel moeten, onvermin- derd strengere wettelijke bepalingen, geen individuele details over verkrijgers worden meegegeven.</w:t>
      </w:r>
    </w:p>
    <w:p>
      <w:pPr>
        <w:pStyle w:val="BodyText"/>
        <w:spacing w:line="218" w:lineRule="auto" w:before="85"/>
      </w:pPr>
      <w:r>
        <w:rPr>
          <w:color w:val="231F20"/>
        </w:rPr>
        <w:t>Indien de vennootschap geen jaarverslag moet opstellen, worden de gegevens bedoeld in het eerste en het tweede lid vermeld in de toelichting bij de jaarrekening.</w:t>
      </w:r>
    </w:p>
    <w:p>
      <w:pPr>
        <w:pStyle w:val="BodyText"/>
        <w:spacing w:line="218" w:lineRule="auto" w:before="86"/>
      </w:pPr>
      <w:r>
        <w:rPr>
          <w:color w:val="231F20"/>
        </w:rPr>
        <w:t>Afdeling 3. Financiering van de verkrijging van aandelen of certifi- caten van de vennootschap door derden.</w:t>
      </w:r>
    </w:p>
    <w:p>
      <w:pPr>
        <w:pStyle w:val="BodyText"/>
        <w:spacing w:line="218" w:lineRule="auto" w:before="85"/>
      </w:pPr>
      <w:r>
        <w:rPr>
          <w:color w:val="231F20"/>
        </w:rPr>
        <w:t>Art. 5:152. § 1. De vennootschap mag slechts middelen voorschieten, leningen toestaan of zekerheden stellen met het oog op de verkrijging van haar aandelen door derden of met het oog op de verkrijging van of de inschrijving op certificaten die betrekking hebben op haar aandelen, door derden, onder de volgende voorwaarden:</w:t>
      </w:r>
    </w:p>
    <w:p>
      <w:pPr>
        <w:pStyle w:val="BodyText"/>
        <w:spacing w:line="218" w:lineRule="auto" w:before="86"/>
      </w:pPr>
      <w:r>
        <w:rPr>
          <w:color w:val="231F20"/>
        </w:rPr>
        <w:t>1° de verrichting is toegelaten door een voorafgaand besluit van de algemene vergadering, genomen met naleving van de aanwezigheids- en</w:t>
      </w:r>
      <w:r>
        <w:rPr>
          <w:color w:val="231F20"/>
          <w:spacing w:val="21"/>
        </w:rPr>
        <w:t> </w:t>
      </w:r>
      <w:r>
        <w:rPr>
          <w:color w:val="231F20"/>
        </w:rPr>
        <w:t>meerderheidsvereisten</w:t>
      </w:r>
      <w:r>
        <w:rPr>
          <w:color w:val="231F20"/>
          <w:spacing w:val="21"/>
        </w:rPr>
        <w:t> </w:t>
      </w:r>
      <w:r>
        <w:rPr>
          <w:color w:val="231F20"/>
        </w:rPr>
        <w:t>voorgeschreven</w:t>
      </w:r>
      <w:r>
        <w:rPr>
          <w:color w:val="231F20"/>
          <w:spacing w:val="22"/>
        </w:rPr>
        <w:t> </w:t>
      </w:r>
      <w:r>
        <w:rPr>
          <w:color w:val="231F20"/>
        </w:rPr>
        <w:t>voor</w:t>
      </w:r>
      <w:r>
        <w:rPr>
          <w:color w:val="231F20"/>
          <w:spacing w:val="21"/>
        </w:rPr>
        <w:t> </w:t>
      </w:r>
      <w:r>
        <w:rPr>
          <w:color w:val="231F20"/>
        </w:rPr>
        <w:t>een</w:t>
      </w:r>
      <w:r>
        <w:rPr>
          <w:color w:val="231F20"/>
          <w:spacing w:val="22"/>
        </w:rPr>
        <w:t> </w:t>
      </w:r>
      <w:r>
        <w:rPr>
          <w:color w:val="231F20"/>
        </w:rPr>
        <w:t>statutenwijziging;</w:t>
      </w:r>
    </w:p>
    <w:p>
      <w:pPr>
        <w:pStyle w:val="BodyText"/>
        <w:spacing w:line="218" w:lineRule="auto" w:before="86"/>
      </w:pPr>
      <w:r>
        <w:rPr>
          <w:color w:val="231F20"/>
        </w:rPr>
        <w:t>2° de verrichting gebeurt onder de verantwoordelijkheid van het bestuursorgaan dat ter zake een verslag opstelt waarin de redenen voor de verrichting en de voorwaarden waartegen deze plaatsvindt worden vermeld, samen met de daaraan verbonden risico’s voor de liquiditeit en</w:t>
      </w:r>
      <w:r>
        <w:rPr>
          <w:color w:val="231F20"/>
          <w:spacing w:val="15"/>
        </w:rPr>
        <w:t> </w:t>
      </w:r>
      <w:r>
        <w:rPr>
          <w:color w:val="231F20"/>
        </w:rPr>
        <w:t>de</w:t>
      </w:r>
      <w:r>
        <w:rPr>
          <w:color w:val="231F20"/>
          <w:spacing w:val="16"/>
        </w:rPr>
        <w:t> </w:t>
      </w:r>
      <w:r>
        <w:rPr>
          <w:color w:val="231F20"/>
        </w:rPr>
        <w:t>solvabiliteit</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vennootschap;</w:t>
      </w:r>
    </w:p>
    <w:p>
      <w:pPr>
        <w:pStyle w:val="BodyText"/>
        <w:spacing w:line="218" w:lineRule="auto" w:before="85"/>
      </w:pPr>
      <w:r>
        <w:rPr>
          <w:color w:val="231F20"/>
        </w:rPr>
        <w:t>3° het voor die verrichting uitgetrokken bedrag moet overeenkomstig de artikelen 5:142 en 5:143 voor uitkering vatbaar zijn;</w:t>
      </w:r>
    </w:p>
    <w:p>
      <w:pPr>
        <w:pStyle w:val="BodyText"/>
        <w:spacing w:line="218" w:lineRule="auto" w:before="96"/>
      </w:pPr>
      <w:r>
        <w:rPr>
          <w:color w:val="231F20"/>
        </w:rPr>
        <w:t>4° de vennootschap neemt aan de passiefzijde van haar balans een onbeschikbare reserve op, ten bedrage van de totale financiële bijstand, en waarop terugnemingen kunnen gebeuren evenredig met de vermin- dering van de verleende steun.</w:t>
      </w:r>
    </w:p>
    <w:p>
      <w:pPr>
        <w:pStyle w:val="BodyText"/>
        <w:spacing w:line="218" w:lineRule="auto" w:before="97"/>
      </w:pPr>
      <w:r>
        <w:rPr>
          <w:color w:val="231F20"/>
        </w:rPr>
        <w:t>Het verslag bedoeld in het eerste lid, 2°, wordt vermeld in de agenda van de algemene vergadering bedoeld in het eerste lid, 1°. Een kopie ervan kan worden verkregen overeenkomstig artikel 5:84. Wanneer dit verslag ontbreekt, is het besluit van de algemene vergadering nietig.</w:t>
      </w:r>
    </w:p>
    <w:p>
      <w:pPr>
        <w:pStyle w:val="BodyText"/>
        <w:spacing w:line="218" w:lineRule="auto" w:before="96"/>
      </w:pPr>
      <w:r>
        <w:rPr>
          <w:color w:val="231F20"/>
        </w:rPr>
        <w:t>§ 2. Met uitzondering van het eerste lid, 3° en 4°, is paragraaf 1 niet van toepassing op de voorschotten, leningen en zekerheden toegekend aan:</w:t>
      </w:r>
    </w:p>
    <w:p>
      <w:pPr>
        <w:pStyle w:val="BodyText"/>
        <w:spacing w:line="218" w:lineRule="auto" w:before="96"/>
      </w:pPr>
      <w:r>
        <w:rPr>
          <w:color w:val="231F20"/>
        </w:rPr>
        <w:t>1° leden van het personeel van de vennootschap of van een met haar verbonden vennootschap voor de verkrijging van aandelen van deze vennootschappen of van certificaten die betrekking hebben op aande- len van die vennootschappen;</w:t>
      </w:r>
    </w:p>
    <w:p>
      <w:pPr>
        <w:pStyle w:val="BodyText"/>
        <w:spacing w:line="218" w:lineRule="auto" w:before="96"/>
      </w:pPr>
      <w:r>
        <w:rPr>
          <w:color w:val="231F20"/>
        </w:rPr>
        <w:t>2° vennootschappen waarvan ten minste de helft van de stemrechten in het bezit is van de leden van het personeel van de vennootschap, voor de verkrijging door die vennootschappen van aandelen van</w:t>
      </w:r>
      <w:r>
        <w:rPr>
          <w:color w:val="231F20"/>
          <w:spacing w:val="24"/>
        </w:rPr>
        <w:t> </w:t>
      </w:r>
      <w:r>
        <w:rPr>
          <w:color w:val="231F20"/>
        </w:rPr>
        <w:t>de vennootschap of van certificaten die betrekking hebben op aandelen van die vennootschap, waaraan ten minste de helft van de stemrechten is</w:t>
      </w:r>
      <w:r>
        <w:rPr>
          <w:color w:val="231F20"/>
          <w:spacing w:val="15"/>
        </w:rPr>
        <w:t> </w:t>
      </w:r>
      <w:r>
        <w:rPr>
          <w:color w:val="231F20"/>
        </w:rPr>
        <w:t>verbonden.</w:t>
      </w:r>
    </w:p>
    <w:p>
      <w:pPr>
        <w:pStyle w:val="BodyText"/>
        <w:spacing w:before="83"/>
        <w:ind w:left="283" w:right="0" w:firstLine="0"/>
        <w:jc w:val="left"/>
      </w:pPr>
      <w:r>
        <w:rPr>
          <w:color w:val="231F20"/>
        </w:rPr>
        <w:t>Afdeling 4. Alarmbelprocedure.</w:t>
      </w:r>
    </w:p>
    <w:p>
      <w:pPr>
        <w:pStyle w:val="BodyText"/>
        <w:spacing w:line="218" w:lineRule="auto" w:before="93"/>
      </w:pPr>
      <w:r>
        <w:rPr>
          <w:color w:val="231F20"/>
        </w:rPr>
        <w:t>Art. 5:153. § 1. Wanneer het nettoactief negatief dreigt te worden of is geworden, moet het bestuursorgaan de algemene vergadering, behou- dens strengere bepalingen in de statuten, oproepen tot een vergadering, te houden binnen twee maanden na de datum waarop deze toestand werd vastgesteld of krachtens wettelijke of statutaire bepalingen had moeten worden vastgesteld om te besluiten over de ontbinding van de vennootschap of over in de agenda aangekondigde maatregelen om de continuïteit van de vennootschap te vrijwaren.</w:t>
      </w:r>
    </w:p>
    <w:p>
      <w:pPr>
        <w:pStyle w:val="BodyText"/>
        <w:spacing w:line="218" w:lineRule="auto" w:before="96"/>
      </w:pPr>
      <w:r>
        <w:rPr>
          <w:color w:val="231F20"/>
        </w:rPr>
        <w:t>Tenzij het bestuursorgaan de ontbinding van de vennootschap voorstelt overeenkomstig artikel 5:157, zet het in een bijzonder verslag uiteen welke maatregelen het voorstelt om de continuïteit van de vennootschap te vrijwaren. Dat verslag wordt in de agenda vermeld. Een kopie ervan kan worden verkregen overeenkomstig artikel 5:84.</w:t>
      </w:r>
    </w:p>
    <w:p>
      <w:pPr>
        <w:pStyle w:val="BodyText"/>
        <w:spacing w:line="218" w:lineRule="auto" w:before="97"/>
      </w:pPr>
      <w:r>
        <w:rPr>
          <w:color w:val="231F20"/>
          <w:spacing w:val="-3"/>
        </w:rPr>
        <w:t>Wanneer </w:t>
      </w:r>
      <w:r>
        <w:rPr>
          <w:color w:val="231F20"/>
        </w:rPr>
        <w:t>het verslag bedoeld in het tweede lid ontbreekt, is het besluit</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algemene</w:t>
      </w:r>
      <w:r>
        <w:rPr>
          <w:color w:val="231F20"/>
          <w:spacing w:val="16"/>
        </w:rPr>
        <w:t> </w:t>
      </w:r>
      <w:r>
        <w:rPr>
          <w:color w:val="231F20"/>
        </w:rPr>
        <w:t>vergadering</w:t>
      </w:r>
      <w:r>
        <w:rPr>
          <w:color w:val="231F20"/>
          <w:spacing w:val="16"/>
        </w:rPr>
        <w:t> </w:t>
      </w:r>
      <w:r>
        <w:rPr>
          <w:color w:val="231F20"/>
        </w:rPr>
        <w:t>nietig.</w:t>
      </w:r>
    </w:p>
    <w:p>
      <w:pPr>
        <w:pStyle w:val="BodyText"/>
        <w:spacing w:line="218" w:lineRule="auto" w:before="96"/>
        <w:ind w:right="123"/>
      </w:pPr>
      <w:r>
        <w:rPr>
          <w:color w:val="231F20"/>
        </w:rPr>
        <w:t>§ 2. Op dezelfde wijze als bedoeld in paragraaf 1 wordt gehandeld wanneer het bestuursorgaan vaststelt dat het niet langer vaststaat dat de vennootschap, volgens redelijkerwijs te verwachten ontwikkelingen, in staat zal zijn om gedurende minstens de twaalf volgende maanden haar schulden te voldoen naarmate deze opeisbaar worden.</w:t>
      </w:r>
    </w:p>
    <w:p>
      <w:pPr>
        <w:pStyle w:val="BodyText"/>
        <w:spacing w:line="218" w:lineRule="auto" w:before="96"/>
      </w:pPr>
      <w:r>
        <w:rPr>
          <w:color w:val="231F20"/>
        </w:rPr>
        <w:t>§  3.  Is  de  algemene  vergadering  niet  overeenkomstig  dit  arti-  kel bijeengeroepen, dan wordt de door derden geleden schade, behoudens tegenbewijs, geacht uit het ontbreken van een bijeenroeping voort te</w:t>
      </w:r>
      <w:r>
        <w:rPr>
          <w:color w:val="231F20"/>
          <w:spacing w:val="-11"/>
        </w:rPr>
        <w:t> </w:t>
      </w:r>
      <w:r>
        <w:rPr>
          <w:color w:val="231F20"/>
        </w:rPr>
        <w:t>vloeien.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3" w:lineRule="auto" w:before="123"/>
        <w:ind w:right="38"/>
      </w:pPr>
      <w:r>
        <w:rPr/>
        <w:pict>
          <v:line style="position:absolute;mso-position-horizontal-relative:page;mso-position-vertical-relative:page;z-index:3880" from="298.170502pt,64.473pt" to="298.170502pt,812.819pt" stroked="true" strokeweight=".533pt" strokecolor="#231f20">
            <v:stroke dashstyle="solid"/>
            <w10:wrap type="none"/>
          </v:line>
        </w:pict>
      </w:r>
      <w:bookmarkStart w:name="_bookmark119" w:id="124"/>
      <w:bookmarkEnd w:id="124"/>
      <w:r>
        <w:rPr/>
      </w:r>
      <w:r>
        <w:rPr>
          <w:color w:val="231F20"/>
        </w:rPr>
        <w:t>§ 4. Après que l’organe d’administration a rempli une première fois les obligations visées aux paragraphes 1</w:t>
      </w:r>
      <w:r>
        <w:rPr>
          <w:color w:val="231F20"/>
          <w:position w:val="7"/>
          <w:sz w:val="11"/>
        </w:rPr>
        <w:t>er </w:t>
      </w:r>
      <w:r>
        <w:rPr>
          <w:color w:val="231F20"/>
        </w:rPr>
        <w:t>et 2, il n’est plus tenu de convoquer l’assemblée générale pour les mêmes motifs pendant les douze mois suivant la convocation initiale.</w:t>
      </w:r>
    </w:p>
    <w:p>
      <w:pPr>
        <w:pStyle w:val="BodyText"/>
        <w:spacing w:before="6"/>
        <w:ind w:left="0" w:right="0" w:firstLine="0"/>
        <w:jc w:val="left"/>
        <w:rPr>
          <w:sz w:val="21"/>
        </w:rPr>
      </w:pPr>
    </w:p>
    <w:p>
      <w:pPr>
        <w:pStyle w:val="BodyText"/>
        <w:ind w:left="283" w:right="0" w:firstLine="0"/>
        <w:jc w:val="left"/>
      </w:pPr>
      <w:r>
        <w:rPr>
          <w:color w:val="231F20"/>
        </w:rPr>
        <w:t>TITRE</w:t>
      </w:r>
      <w:r>
        <w:rPr>
          <w:color w:val="231F20"/>
          <w:spacing w:val="12"/>
        </w:rPr>
        <w:t> </w:t>
      </w:r>
      <w:r>
        <w:rPr>
          <w:color w:val="231F20"/>
        </w:rPr>
        <w:t>6.</w:t>
      </w:r>
      <w:r>
        <w:rPr>
          <w:color w:val="231F20"/>
          <w:spacing w:val="12"/>
        </w:rPr>
        <w:t> </w:t>
      </w:r>
      <w:r>
        <w:rPr>
          <w:color w:val="231F20"/>
        </w:rPr>
        <w:t>Démission</w:t>
      </w:r>
      <w:r>
        <w:rPr>
          <w:color w:val="231F20"/>
          <w:spacing w:val="12"/>
        </w:rPr>
        <w:t> </w:t>
      </w:r>
      <w:r>
        <w:rPr>
          <w:color w:val="231F20"/>
        </w:rPr>
        <w:t>et</w:t>
      </w:r>
      <w:r>
        <w:rPr>
          <w:color w:val="231F20"/>
          <w:spacing w:val="12"/>
        </w:rPr>
        <w:t> </w:t>
      </w:r>
      <w:r>
        <w:rPr>
          <w:color w:val="231F20"/>
        </w:rPr>
        <w:t>exclusion</w:t>
      </w:r>
      <w:r>
        <w:rPr>
          <w:color w:val="231F20"/>
          <w:spacing w:val="12"/>
        </w:rPr>
        <w:t> </w:t>
      </w:r>
      <w:r>
        <w:rPr>
          <w:color w:val="231F20"/>
        </w:rPr>
        <w:t>à</w:t>
      </w:r>
      <w:r>
        <w:rPr>
          <w:color w:val="231F20"/>
          <w:spacing w:val="12"/>
        </w:rPr>
        <w:t> </w:t>
      </w:r>
      <w:r>
        <w:rPr>
          <w:color w:val="231F20"/>
        </w:rPr>
        <w:t>charge</w:t>
      </w:r>
      <w:r>
        <w:rPr>
          <w:color w:val="231F20"/>
          <w:spacing w:val="12"/>
        </w:rPr>
        <w:t> </w:t>
      </w:r>
      <w:r>
        <w:rPr>
          <w:color w:val="231F20"/>
        </w:rPr>
        <w:t>du</w:t>
      </w:r>
      <w:r>
        <w:rPr>
          <w:color w:val="231F20"/>
          <w:spacing w:val="12"/>
        </w:rPr>
        <w:t> </w:t>
      </w:r>
      <w:r>
        <w:rPr>
          <w:color w:val="231F20"/>
        </w:rPr>
        <w:t>patrimoine</w:t>
      </w:r>
      <w:r>
        <w:rPr>
          <w:color w:val="231F20"/>
          <w:spacing w:val="12"/>
        </w:rPr>
        <w:t> </w:t>
      </w:r>
      <w:r>
        <w:rPr>
          <w:color w:val="231F20"/>
        </w:rPr>
        <w:t>social.</w:t>
      </w:r>
    </w:p>
    <w:p>
      <w:pPr>
        <w:pStyle w:val="BodyText"/>
        <w:spacing w:before="4"/>
        <w:ind w:left="0" w:right="0" w:firstLine="0"/>
        <w:jc w:val="left"/>
        <w:rPr>
          <w:sz w:val="21"/>
        </w:rPr>
      </w:pPr>
    </w:p>
    <w:p>
      <w:pPr>
        <w:pStyle w:val="BodyText"/>
        <w:spacing w:line="218" w:lineRule="auto"/>
        <w:ind w:right="38"/>
      </w:pPr>
      <w:r>
        <w:rPr>
          <w:color w:val="231F20"/>
        </w:rPr>
        <w:t>Art. 5:154. § 1</w:t>
      </w:r>
      <w:r>
        <w:rPr>
          <w:color w:val="231F20"/>
          <w:position w:val="7"/>
          <w:sz w:val="11"/>
        </w:rPr>
        <w:t>er</w:t>
      </w:r>
      <w:r>
        <w:rPr>
          <w:color w:val="231F20"/>
        </w:rPr>
        <w:t>. Les statuts peuvent prévoir que les actionnaires ont le</w:t>
      </w:r>
      <w:r>
        <w:rPr>
          <w:color w:val="231F20"/>
          <w:spacing w:val="16"/>
        </w:rPr>
        <w:t> </w:t>
      </w:r>
      <w:r>
        <w:rPr>
          <w:color w:val="231F20"/>
        </w:rPr>
        <w:t>droit</w:t>
      </w:r>
      <w:r>
        <w:rPr>
          <w:color w:val="231F20"/>
          <w:spacing w:val="16"/>
        </w:rPr>
        <w:t> </w:t>
      </w:r>
      <w:r>
        <w:rPr>
          <w:color w:val="231F20"/>
        </w:rPr>
        <w:t>de</w:t>
      </w:r>
      <w:r>
        <w:rPr>
          <w:color w:val="231F20"/>
          <w:spacing w:val="16"/>
        </w:rPr>
        <w:t> </w:t>
      </w:r>
      <w:r>
        <w:rPr>
          <w:color w:val="231F20"/>
        </w:rPr>
        <w:t>démissionner</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société</w:t>
      </w:r>
      <w:r>
        <w:rPr>
          <w:color w:val="231F20"/>
          <w:spacing w:val="1"/>
        </w:rPr>
        <w:t> </w:t>
      </w:r>
      <w:r>
        <w:rPr>
          <w:color w:val="231F20"/>
        </w:rPr>
        <w:t>à</w:t>
      </w:r>
      <w:r>
        <w:rPr>
          <w:color w:val="231F20"/>
          <w:spacing w:val="17"/>
        </w:rPr>
        <w:t> </w:t>
      </w:r>
      <w:r>
        <w:rPr>
          <w:color w:val="231F20"/>
        </w:rPr>
        <w:t>charge</w:t>
      </w:r>
      <w:r>
        <w:rPr>
          <w:color w:val="231F20"/>
          <w:spacing w:val="16"/>
        </w:rPr>
        <w:t> </w:t>
      </w:r>
      <w:r>
        <w:rPr>
          <w:color w:val="231F20"/>
        </w:rPr>
        <w:t>de</w:t>
      </w:r>
      <w:r>
        <w:rPr>
          <w:color w:val="231F20"/>
          <w:spacing w:val="16"/>
        </w:rPr>
        <w:t> </w:t>
      </w:r>
      <w:r>
        <w:rPr>
          <w:color w:val="231F20"/>
        </w:rPr>
        <w:t>son</w:t>
      </w:r>
      <w:r>
        <w:rPr>
          <w:color w:val="231F20"/>
          <w:spacing w:val="16"/>
        </w:rPr>
        <w:t> </w:t>
      </w:r>
      <w:r>
        <w:rPr>
          <w:color w:val="231F20"/>
        </w:rPr>
        <w:t>patrimoine.</w:t>
      </w:r>
    </w:p>
    <w:p>
      <w:pPr>
        <w:pStyle w:val="BodyText"/>
        <w:ind w:left="0" w:right="0" w:firstLine="0"/>
        <w:jc w:val="left"/>
        <w:rPr>
          <w:sz w:val="23"/>
        </w:rPr>
      </w:pPr>
    </w:p>
    <w:p>
      <w:pPr>
        <w:pStyle w:val="BodyText"/>
        <w:spacing w:line="218" w:lineRule="auto"/>
        <w:ind w:right="38"/>
      </w:pPr>
      <w:r>
        <w:rPr>
          <w:color w:val="231F20"/>
        </w:rPr>
        <w:t>Les statuts règlent les modalités de cette démission, étant entendu que:</w:t>
      </w:r>
    </w:p>
    <w:p>
      <w:pPr>
        <w:pStyle w:val="BodyText"/>
        <w:spacing w:line="218" w:lineRule="auto" w:before="85"/>
        <w:ind w:right="38"/>
      </w:pPr>
      <w:r>
        <w:rPr>
          <w:color w:val="231F20"/>
        </w:rPr>
        <w:t>1° nonobstant toute disposition statutaire contraire, la démission des fondateurs n’est autorisée qu’à partir du troisième exercice suivant la constitution;</w:t>
      </w:r>
    </w:p>
    <w:p>
      <w:pPr>
        <w:pStyle w:val="BodyText"/>
        <w:spacing w:line="218" w:lineRule="auto" w:before="86"/>
        <w:ind w:right="38"/>
      </w:pPr>
      <w:r>
        <w:rPr>
          <w:color w:val="231F20"/>
        </w:rPr>
        <w:t>2° sauf dispostion statutaire contraire, les actionnaires ne peuvent démissionner que pendant les six premiers mois de l’exercice social;</w:t>
      </w:r>
    </w:p>
    <w:p>
      <w:pPr>
        <w:pStyle w:val="BodyText"/>
        <w:spacing w:line="218" w:lineRule="auto" w:before="85"/>
        <w:ind w:right="38"/>
      </w:pPr>
      <w:r>
        <w:rPr>
          <w:color w:val="231F20"/>
        </w:rPr>
        <w:t>3° sauf disposition statutaire contraire, un actionnaire démissionne pour l’ensemble de ses actions, qui seront annulées;</w:t>
      </w:r>
    </w:p>
    <w:p>
      <w:pPr>
        <w:pStyle w:val="BodyText"/>
        <w:spacing w:line="218" w:lineRule="auto" w:before="86"/>
        <w:ind w:right="38"/>
      </w:pPr>
      <w:r>
        <w:rPr>
          <w:color w:val="231F20"/>
        </w:rPr>
        <w:t>4° sauf disposition statutaire contraire, la démission prend effet le dernier jour du sixième mois de l’exercice, et la valeur de la part de retrait doit être payée au plus tard dans le mois qui suit;</w:t>
      </w:r>
    </w:p>
    <w:p>
      <w:pPr>
        <w:pStyle w:val="BodyText"/>
        <w:ind w:left="0" w:right="0" w:firstLine="0"/>
        <w:jc w:val="left"/>
        <w:rPr>
          <w:sz w:val="23"/>
        </w:rPr>
      </w:pPr>
    </w:p>
    <w:p>
      <w:pPr>
        <w:pStyle w:val="BodyText"/>
        <w:spacing w:line="218" w:lineRule="auto"/>
        <w:ind w:right="38"/>
      </w:pPr>
      <w:r>
        <w:rPr>
          <w:color w:val="231F20"/>
        </w:rPr>
        <w:t>5°</w:t>
      </w:r>
      <w:r>
        <w:rPr>
          <w:color w:val="231F20"/>
          <w:spacing w:val="-7"/>
        </w:rPr>
        <w:t> </w:t>
      </w:r>
      <w:r>
        <w:rPr>
          <w:color w:val="231F20"/>
        </w:rPr>
        <w:t>sauf</w:t>
      </w:r>
      <w:r>
        <w:rPr>
          <w:color w:val="231F20"/>
          <w:spacing w:val="-6"/>
        </w:rPr>
        <w:t> </w:t>
      </w:r>
      <w:r>
        <w:rPr>
          <w:color w:val="231F20"/>
        </w:rPr>
        <w:t>disposition</w:t>
      </w:r>
      <w:r>
        <w:rPr>
          <w:color w:val="231F20"/>
          <w:spacing w:val="-6"/>
        </w:rPr>
        <w:t> </w:t>
      </w:r>
      <w:r>
        <w:rPr>
          <w:color w:val="231F20"/>
        </w:rPr>
        <w:t>statutaire</w:t>
      </w:r>
      <w:r>
        <w:rPr>
          <w:color w:val="231F20"/>
          <w:spacing w:val="-6"/>
        </w:rPr>
        <w:t> </w:t>
      </w:r>
      <w:r>
        <w:rPr>
          <w:color w:val="231F20"/>
        </w:rPr>
        <w:t>contraire,</w:t>
      </w:r>
      <w:r>
        <w:rPr>
          <w:color w:val="231F20"/>
          <w:spacing w:val="-6"/>
        </w:rPr>
        <w:t> </w:t>
      </w:r>
      <w:r>
        <w:rPr>
          <w:color w:val="231F20"/>
        </w:rPr>
        <w:t>le</w:t>
      </w:r>
      <w:r>
        <w:rPr>
          <w:color w:val="231F20"/>
          <w:spacing w:val="-6"/>
        </w:rPr>
        <w:t> </w:t>
      </w:r>
      <w:r>
        <w:rPr>
          <w:color w:val="231F20"/>
        </w:rPr>
        <w:t>montant</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part</w:t>
      </w:r>
      <w:r>
        <w:rPr>
          <w:color w:val="231F20"/>
          <w:spacing w:val="-6"/>
        </w:rPr>
        <w:t> </w:t>
      </w:r>
      <w:r>
        <w:rPr>
          <w:color w:val="231F20"/>
        </w:rPr>
        <w:t>de</w:t>
      </w:r>
      <w:r>
        <w:rPr>
          <w:color w:val="231F20"/>
          <w:spacing w:val="-7"/>
        </w:rPr>
        <w:t> </w:t>
      </w:r>
      <w:r>
        <w:rPr>
          <w:color w:val="231F20"/>
        </w:rPr>
        <w:t>retrait pour les actions pour lesquelles l’actionnaire concerné demande sa démission est équivalant au montant réellement libéré et non encore remboursé pour ces actions sans cependant être supérieur au montant de la valeur d’actif net de ces actions telle qu’elle résulte des derniers comptes annuels</w:t>
      </w:r>
      <w:r>
        <w:rPr>
          <w:color w:val="231F20"/>
          <w:spacing w:val="-11"/>
        </w:rPr>
        <w:t> </w:t>
      </w:r>
      <w:r>
        <w:rPr>
          <w:color w:val="231F20"/>
        </w:rPr>
        <w:t>approuvés;</w:t>
      </w:r>
    </w:p>
    <w:p>
      <w:pPr>
        <w:pStyle w:val="BodyText"/>
        <w:spacing w:line="218" w:lineRule="auto" w:before="86"/>
        <w:ind w:right="38"/>
      </w:pPr>
      <w:r>
        <w:rPr>
          <w:color w:val="231F20"/>
        </w:rPr>
        <w:t>6° le montant auquel l’actionnaire a droit à la démission est une distribution telle que visée aux articles 5:142 et 5:143.</w:t>
      </w:r>
    </w:p>
    <w:p>
      <w:pPr>
        <w:pStyle w:val="BodyText"/>
        <w:spacing w:line="218" w:lineRule="auto" w:before="96"/>
        <w:ind w:right="38"/>
      </w:pPr>
      <w:r>
        <w:rPr>
          <w:color w:val="231F20"/>
        </w:rPr>
        <w:t>Nonobstant toute disposition statutaire contraire, si la part de retrait visée à l’alinéa 2, 6°, ne peut être payée en tout ou partie en application des articles 5:142 et 5:143, le droit au paiement est suspendu jusqu’à ce que les distributions soient à nouveau permises. Le montant restant dû sur la part de retrait est payable avant toute autre distribution aux actionnaires. Aucun intérêt n’est dû sur ce montant.</w:t>
      </w:r>
    </w:p>
    <w:p>
      <w:pPr>
        <w:pStyle w:val="BodyText"/>
        <w:spacing w:before="11"/>
        <w:ind w:left="0" w:right="0" w:firstLine="0"/>
        <w:jc w:val="left"/>
        <w:rPr>
          <w:sz w:val="23"/>
        </w:rPr>
      </w:pPr>
    </w:p>
    <w:p>
      <w:pPr>
        <w:pStyle w:val="BodyText"/>
        <w:spacing w:line="218" w:lineRule="auto"/>
        <w:ind w:right="38"/>
      </w:pPr>
      <w:r>
        <w:rPr>
          <w:color w:val="231F20"/>
        </w:rPr>
        <w:t>§ 2. L’organe d’administration fait rapport à l’assemblée générale des demandes de démission intervenues au cours de l’exercice précédent. Ce rapport contient au moins l’identité des actionnaires démissionnai- res, le nombre et la classe d’actions pour lesquelles ils ont démissionné, le montant versé et les autres modalités éventuelles, le nombre de demandes rejetées et le motif du refus.</w:t>
      </w:r>
    </w:p>
    <w:p>
      <w:pPr>
        <w:pStyle w:val="BodyText"/>
        <w:spacing w:line="218" w:lineRule="auto" w:before="96"/>
        <w:ind w:right="38"/>
      </w:pPr>
      <w:r>
        <w:rPr>
          <w:color w:val="231F20"/>
        </w:rPr>
        <w:t>L’organe d’administration met à jour le registre des actions. Y sont mentionnés plus précisément: les démissions d’actionnaires, la date à laquelle elles sont intervenues ainsi que le montant versé aux action- naires concernés.</w:t>
      </w:r>
    </w:p>
    <w:p>
      <w:pPr>
        <w:pStyle w:val="BodyText"/>
        <w:spacing w:line="218" w:lineRule="auto" w:before="97"/>
        <w:ind w:right="38"/>
      </w:pPr>
      <w:r>
        <w:rPr>
          <w:color w:val="231F20"/>
        </w:rPr>
        <w:t>§ 3. Les démissions et les modifications statutaires qui en découlent sont établies, avant la fin de chaque exercice, par un acte authentique reçu à la demande de l’organe d’administration.</w:t>
      </w:r>
    </w:p>
    <w:p>
      <w:pPr>
        <w:pStyle w:val="BodyText"/>
        <w:spacing w:line="218" w:lineRule="auto" w:before="81"/>
        <w:ind w:right="38"/>
      </w:pPr>
      <w:r>
        <w:rPr>
          <w:color w:val="231F20"/>
        </w:rPr>
        <w:t>Art. 5:155. § 1</w:t>
      </w:r>
      <w:r>
        <w:rPr>
          <w:color w:val="231F20"/>
          <w:position w:val="7"/>
          <w:sz w:val="11"/>
        </w:rPr>
        <w:t>er</w:t>
      </w:r>
      <w:r>
        <w:rPr>
          <w:color w:val="231F20"/>
        </w:rPr>
        <w:t>. Les statuts peuvent prévoir que la société peut exclure un actionnaire pour de justes motifs ou pour tout autre motif indiqué dans les statuts. La proposition motivée d’exclusion lui est communiquée conformément à l’article 2:32. Si l’actionnaire a choisi de communiquer avec la société par courrier, la proposition lui est communiquée par pli</w:t>
      </w:r>
      <w:r>
        <w:rPr>
          <w:color w:val="231F20"/>
          <w:spacing w:val="4"/>
        </w:rPr>
        <w:t> </w:t>
      </w:r>
      <w:r>
        <w:rPr>
          <w:color w:val="231F20"/>
        </w:rPr>
        <w:t>recommandé.</w:t>
      </w:r>
    </w:p>
    <w:p>
      <w:pPr>
        <w:pStyle w:val="BodyText"/>
        <w:spacing w:before="10"/>
        <w:ind w:left="0" w:right="0" w:firstLine="0"/>
        <w:jc w:val="left"/>
        <w:rPr>
          <w:sz w:val="23"/>
        </w:rPr>
      </w:pPr>
    </w:p>
    <w:p>
      <w:pPr>
        <w:pStyle w:val="BodyText"/>
        <w:spacing w:line="218" w:lineRule="auto" w:before="1"/>
        <w:ind w:right="38"/>
      </w:pPr>
      <w:r>
        <w:rPr>
          <w:color w:val="231F20"/>
        </w:rPr>
        <w:t>Seule l’assemblée générale est compétente pour prononcer une exclusion.</w:t>
      </w:r>
    </w:p>
    <w:p>
      <w:pPr>
        <w:pStyle w:val="BodyText"/>
        <w:spacing w:line="218" w:lineRule="auto" w:before="96"/>
        <w:ind w:right="38"/>
      </w:pPr>
      <w:r>
        <w:rPr>
          <w:color w:val="231F20"/>
        </w:rPr>
        <w:t>L’actionnaire dont l’exclusion est demandée doit être invité à faire connaître ses observations par écrit et suivant les mêmes modalités à l’assemblée générale, dans le mois de la communication de la proposition d’exclusion.</w:t>
      </w:r>
    </w:p>
    <w:p>
      <w:pPr>
        <w:pStyle w:val="BodyText"/>
        <w:spacing w:line="338" w:lineRule="auto" w:before="82"/>
        <w:ind w:left="283" w:right="1760" w:hanging="1"/>
        <w:jc w:val="left"/>
      </w:pPr>
      <w:r>
        <w:rPr>
          <w:color w:val="231F20"/>
        </w:rPr>
        <w:t>L’actionnaire doit être entendu à sa demande. Toute décision d’exclusion est motivée.</w:t>
      </w:r>
    </w:p>
    <w:p>
      <w:pPr>
        <w:pStyle w:val="BodyText"/>
        <w:spacing w:line="218" w:lineRule="auto" w:before="13"/>
        <w:ind w:right="38"/>
      </w:pPr>
      <w:r>
        <w:rPr>
          <w:color w:val="231F20"/>
        </w:rPr>
        <w:t>§ 2. L’organe d’administration communique dans les quinze jours à l’actionnaire concerné la décision motivée d’exclusion conformément à l’article 2:32 et inscrit l’exclusion conformément au paragraphe 4 dans le registre des actions. Si l’actionnaire a choisi de communiquer avec la société par courrier, la décision lui est communiquée par pli recom- mandé.</w:t>
      </w:r>
    </w:p>
    <w:p>
      <w:pPr>
        <w:pStyle w:val="BodyText"/>
        <w:spacing w:line="218" w:lineRule="auto" w:before="96"/>
        <w:ind w:right="38"/>
      </w:pPr>
      <w:r>
        <w:rPr>
          <w:color w:val="231F20"/>
        </w:rPr>
        <w:t>§ 3. Sauf disposition statutaire contraire, l’actionnaire exclu recouvre la valeur de sa part de retrait conformément à l’article 5:154. En pareil cas, le délai de deux ans à compter de la constitution de la société, visé</w:t>
      </w:r>
    </w:p>
    <w:p>
      <w:pPr>
        <w:pStyle w:val="BodyText"/>
        <w:spacing w:line="218" w:lineRule="auto" w:before="119"/>
      </w:pPr>
      <w:r>
        <w:rPr/>
        <w:br w:type="column"/>
      </w:r>
      <w:r>
        <w:rPr>
          <w:color w:val="231F20"/>
        </w:rPr>
        <w:t>§ 4. Nadat het bestuursorgaan de verplichtingen bedoeld in paragra- fen 1 en 2 een eerste maal heeft nageleefd, is het gedurende de twaalf maanden volgend op de aanvankelijke bijeenroeping niet meer ver- plicht de algemene vergadering om dezelfde reden opnieuw bijeen te roepen.</w:t>
      </w:r>
    </w:p>
    <w:p>
      <w:pPr>
        <w:pStyle w:val="BodyText"/>
        <w:spacing w:line="218" w:lineRule="auto" w:before="86"/>
        <w:ind w:right="127"/>
      </w:pPr>
      <w:r>
        <w:rPr>
          <w:color w:val="231F20"/>
        </w:rPr>
        <w:t>TITEL 6. Uittreding en uitsluiting lastens het vennootschaps- vermogen.</w:t>
      </w:r>
    </w:p>
    <w:p>
      <w:pPr>
        <w:pStyle w:val="BodyText"/>
        <w:spacing w:line="218" w:lineRule="auto" w:before="86"/>
      </w:pPr>
      <w:r>
        <w:rPr>
          <w:color w:val="231F20"/>
        </w:rPr>
        <w:t>Art. 5:154. § 1. De statuten kunnen bepalen dat aandeelhouders het recht hebben uit de vennootschap te treden ten laste van haar vermogen.</w:t>
      </w:r>
    </w:p>
    <w:p>
      <w:pPr>
        <w:pStyle w:val="BodyText"/>
        <w:spacing w:line="218" w:lineRule="auto" w:before="85"/>
      </w:pPr>
      <w:r>
        <w:rPr>
          <w:color w:val="231F20"/>
        </w:rPr>
        <w:t>De statuten regelen de modaliteiten van dergelijke uittreding, met dien verstande dat:</w:t>
      </w:r>
    </w:p>
    <w:p>
      <w:pPr>
        <w:pStyle w:val="BodyText"/>
        <w:spacing w:line="218" w:lineRule="auto" w:before="86"/>
      </w:pPr>
      <w:r>
        <w:rPr>
          <w:color w:val="231F20"/>
        </w:rPr>
        <w:t>1° niettegenstaande andersluidende statutaire bepaling, is de uittre- ding van oprichters met ingang van het derde boekjaar na de oprichting pas toegelaten;</w:t>
      </w:r>
    </w:p>
    <w:p>
      <w:pPr>
        <w:pStyle w:val="BodyText"/>
        <w:spacing w:line="218" w:lineRule="auto" w:before="85"/>
      </w:pPr>
      <w:r>
        <w:rPr>
          <w:color w:val="231F20"/>
        </w:rPr>
        <w:t>2° tenzij de statuten anders bepalen, de aandeelhouders slechts kunnen uittreden gedurende de eerste zes maanden van het boekjaar;</w:t>
      </w:r>
    </w:p>
    <w:p>
      <w:pPr>
        <w:pStyle w:val="BodyText"/>
        <w:spacing w:line="218" w:lineRule="auto" w:before="86"/>
      </w:pPr>
      <w:r>
        <w:rPr>
          <w:color w:val="231F20"/>
        </w:rPr>
        <w:t>3° tenzij de statuten anders bepalen, een aandeelhouder met al zijn aandelen uittreedt, waarbij zijn aandelen worden vernietigd;</w:t>
      </w:r>
    </w:p>
    <w:p>
      <w:pPr>
        <w:pStyle w:val="BodyText"/>
        <w:spacing w:line="218" w:lineRule="auto" w:before="85"/>
        <w:ind w:right="123"/>
      </w:pPr>
      <w:r>
        <w:rPr>
          <w:color w:val="231F20"/>
        </w:rPr>
        <w:t>4° tenzij de statuten anders bepalen, de uittreding uitwerking heeft op de laatste dag van de zesde maand van het boekjaar, en het bedrag van het scheidingsaandeel ten laatste één maand nadien moet worden betaald;</w:t>
      </w:r>
    </w:p>
    <w:p>
      <w:pPr>
        <w:pStyle w:val="BodyText"/>
        <w:spacing w:line="218" w:lineRule="auto" w:before="86"/>
      </w:pPr>
      <w:r>
        <w:rPr>
          <w:color w:val="231F20"/>
        </w:rPr>
        <w:t>5° tenzij de statuten anders bepalen, het bedrag van het scheidings- aandeel voor de aandelen waarmee de betrokken</w:t>
      </w:r>
      <w:r>
        <w:rPr>
          <w:color w:val="231F20"/>
          <w:spacing w:val="21"/>
        </w:rPr>
        <w:t> </w:t>
      </w:r>
      <w:r>
        <w:rPr>
          <w:color w:val="231F20"/>
        </w:rPr>
        <w:t>aandeelhouder verzoekt uit te treden gelijk is aan het bedrag van de voor deze  aandelen werkelijk gestorte en nog niet terugbetaalde inbreng, zonder evenwel het bedrag van de nettoactief waarde van deze aandelen zoals die</w:t>
      </w:r>
      <w:r>
        <w:rPr>
          <w:color w:val="231F20"/>
          <w:spacing w:val="15"/>
        </w:rPr>
        <w:t> </w:t>
      </w:r>
      <w:r>
        <w:rPr>
          <w:color w:val="231F20"/>
        </w:rPr>
        <w:t>blijkt</w:t>
      </w:r>
      <w:r>
        <w:rPr>
          <w:color w:val="231F20"/>
          <w:spacing w:val="15"/>
        </w:rPr>
        <w:t> </w:t>
      </w:r>
      <w:r>
        <w:rPr>
          <w:color w:val="231F20"/>
        </w:rPr>
        <w:t>uit</w:t>
      </w:r>
      <w:r>
        <w:rPr>
          <w:color w:val="231F20"/>
          <w:spacing w:val="15"/>
        </w:rPr>
        <w:t> </w:t>
      </w:r>
      <w:r>
        <w:rPr>
          <w:color w:val="231F20"/>
        </w:rPr>
        <w:t>de</w:t>
      </w:r>
      <w:r>
        <w:rPr>
          <w:color w:val="231F20"/>
          <w:spacing w:val="15"/>
        </w:rPr>
        <w:t> </w:t>
      </w:r>
      <w:r>
        <w:rPr>
          <w:color w:val="231F20"/>
        </w:rPr>
        <w:t>laatste</w:t>
      </w:r>
      <w:r>
        <w:rPr>
          <w:color w:val="231F20"/>
          <w:spacing w:val="15"/>
        </w:rPr>
        <w:t> </w:t>
      </w:r>
      <w:r>
        <w:rPr>
          <w:color w:val="231F20"/>
        </w:rPr>
        <w:t>goedgekeurde</w:t>
      </w:r>
      <w:r>
        <w:rPr>
          <w:color w:val="231F20"/>
          <w:spacing w:val="15"/>
        </w:rPr>
        <w:t> </w:t>
      </w:r>
      <w:r>
        <w:rPr>
          <w:color w:val="231F20"/>
        </w:rPr>
        <w:t>jaarrekening,</w:t>
      </w:r>
      <w:r>
        <w:rPr>
          <w:color w:val="231F20"/>
          <w:spacing w:val="16"/>
        </w:rPr>
        <w:t> </w:t>
      </w:r>
      <w:r>
        <w:rPr>
          <w:color w:val="231F20"/>
        </w:rPr>
        <w:t>te</w:t>
      </w:r>
      <w:r>
        <w:rPr>
          <w:color w:val="231F20"/>
          <w:spacing w:val="15"/>
        </w:rPr>
        <w:t> </w:t>
      </w:r>
      <w:r>
        <w:rPr>
          <w:color w:val="231F20"/>
        </w:rPr>
        <w:t>overschrijden;</w:t>
      </w:r>
    </w:p>
    <w:p>
      <w:pPr>
        <w:pStyle w:val="BodyText"/>
        <w:spacing w:line="218" w:lineRule="auto" w:before="86"/>
      </w:pPr>
      <w:r>
        <w:rPr>
          <w:color w:val="231F20"/>
        </w:rPr>
        <w:t>6° het bedrag waarop de aandeelhouder recht heeft bij een uittreding een uitkering is als bedoeld in de artikelen 5:142 en 5:143.</w:t>
      </w:r>
    </w:p>
    <w:p>
      <w:pPr>
        <w:pStyle w:val="BodyText"/>
        <w:spacing w:line="218" w:lineRule="auto" w:before="96"/>
      </w:pPr>
      <w:r>
        <w:rPr>
          <w:color w:val="231F20"/>
        </w:rPr>
        <w:t>Niettegenstaande andersluidende statutaire bepaling wordt, indien het scheidingsaandeel bedoeld in het tweede lid, 6°, met toepassing van de artikelen 5:142 en 5:143 niet of niet geheel kan worden uitgekeerd, het recht op betaling ervan opgeschort totdat uitkeringen opnieuw zijn toegelaten. Het op het scheidingsaandeel nog verschuldigde bedrag wordt uitgekeerd vóór elke andere uitkering aan aandeelhouders. Op dit</w:t>
      </w:r>
      <w:r>
        <w:rPr>
          <w:color w:val="231F20"/>
          <w:spacing w:val="15"/>
        </w:rPr>
        <w:t> </w:t>
      </w:r>
      <w:r>
        <w:rPr>
          <w:color w:val="231F20"/>
        </w:rPr>
        <w:t>bedrag</w:t>
      </w:r>
      <w:r>
        <w:rPr>
          <w:color w:val="231F20"/>
          <w:spacing w:val="16"/>
        </w:rPr>
        <w:t> </w:t>
      </w:r>
      <w:r>
        <w:rPr>
          <w:color w:val="231F20"/>
        </w:rPr>
        <w:t>is</w:t>
      </w:r>
      <w:r>
        <w:rPr>
          <w:color w:val="231F20"/>
          <w:spacing w:val="16"/>
        </w:rPr>
        <w:t> </w:t>
      </w:r>
      <w:r>
        <w:rPr>
          <w:color w:val="231F20"/>
        </w:rPr>
        <w:t>geen</w:t>
      </w:r>
      <w:r>
        <w:rPr>
          <w:color w:val="231F20"/>
          <w:spacing w:val="15"/>
        </w:rPr>
        <w:t> </w:t>
      </w:r>
      <w:r>
        <w:rPr>
          <w:color w:val="231F20"/>
        </w:rPr>
        <w:t>interest</w:t>
      </w:r>
      <w:r>
        <w:rPr>
          <w:color w:val="231F20"/>
          <w:spacing w:val="16"/>
        </w:rPr>
        <w:t> </w:t>
      </w:r>
      <w:r>
        <w:rPr>
          <w:color w:val="231F20"/>
        </w:rPr>
        <w:t>verschuldigd.</w:t>
      </w:r>
    </w:p>
    <w:p>
      <w:pPr>
        <w:pStyle w:val="BodyText"/>
        <w:spacing w:line="218" w:lineRule="auto" w:before="96"/>
      </w:pPr>
      <w:r>
        <w:rPr>
          <w:color w:val="231F20"/>
        </w:rPr>
        <w:t>§ 2. Het bestuursorgaan doet op de gewone algemene vergadering verslag over de verzoeken tot uittreding gedurende het voorgaande boekjaar. Dat verslag bevat ten minste de identiteit van de uitgetreden aandeelhouders, het aantal en de soort aandelen waarmee zij zijn uitgetreden, de betaalde vergoeding en de eventuele andere modalitei- ten, het aantal geweigerde verzoeken en de reden daarvoor.</w:t>
      </w:r>
    </w:p>
    <w:p>
      <w:pPr>
        <w:pStyle w:val="BodyText"/>
        <w:spacing w:line="218" w:lineRule="auto" w:before="97"/>
      </w:pPr>
      <w:r>
        <w:rPr>
          <w:color w:val="231F20"/>
        </w:rPr>
        <w:t>Het bestuursorgaan werkt het aandelenregister bij. Meer bepaald worden vermeld: de uittredingen van aandeelhouders, de datum waarop dit is gebeurd, en de aan de betrokken aandeelhouders betaalde vergoeding.</w:t>
      </w:r>
    </w:p>
    <w:p>
      <w:pPr>
        <w:pStyle w:val="BodyText"/>
        <w:spacing w:line="218" w:lineRule="auto" w:before="96"/>
      </w:pPr>
      <w:r>
        <w:rPr>
          <w:color w:val="231F20"/>
        </w:rPr>
        <w:t>§ 3. De uittredingen en de daaruit voortvloeiende statutenwijziging worden, vóór het einde van elk boekjaar, vastgesteld bij een</w:t>
      </w:r>
      <w:r>
        <w:rPr>
          <w:color w:val="231F20"/>
          <w:spacing w:val="-11"/>
        </w:rPr>
        <w:t> </w:t>
      </w:r>
      <w:r>
        <w:rPr>
          <w:color w:val="231F20"/>
        </w:rPr>
        <w:t>authentieke akte</w:t>
      </w:r>
      <w:r>
        <w:rPr>
          <w:color w:val="231F20"/>
          <w:spacing w:val="16"/>
        </w:rPr>
        <w:t> </w:t>
      </w:r>
      <w:r>
        <w:rPr>
          <w:color w:val="231F20"/>
        </w:rPr>
        <w:t>verleden</w:t>
      </w:r>
      <w:r>
        <w:rPr>
          <w:color w:val="231F20"/>
          <w:spacing w:val="17"/>
        </w:rPr>
        <w:t> </w:t>
      </w:r>
      <w:r>
        <w:rPr>
          <w:color w:val="231F20"/>
        </w:rPr>
        <w:t>op</w:t>
      </w:r>
      <w:r>
        <w:rPr>
          <w:color w:val="231F20"/>
          <w:spacing w:val="16"/>
        </w:rPr>
        <w:t> </w:t>
      </w:r>
      <w:r>
        <w:rPr>
          <w:color w:val="231F20"/>
        </w:rPr>
        <w:t>verzoek</w:t>
      </w:r>
      <w:r>
        <w:rPr>
          <w:color w:val="231F20"/>
          <w:spacing w:val="17"/>
        </w:rPr>
        <w:t> </w:t>
      </w:r>
      <w:r>
        <w:rPr>
          <w:color w:val="231F20"/>
        </w:rPr>
        <w:t>van</w:t>
      </w:r>
      <w:r>
        <w:rPr>
          <w:color w:val="231F20"/>
          <w:spacing w:val="16"/>
        </w:rPr>
        <w:t> </w:t>
      </w:r>
      <w:r>
        <w:rPr>
          <w:color w:val="231F20"/>
        </w:rPr>
        <w:t>het</w:t>
      </w:r>
      <w:r>
        <w:rPr>
          <w:color w:val="231F20"/>
          <w:spacing w:val="17"/>
        </w:rPr>
        <w:t> </w:t>
      </w:r>
      <w:r>
        <w:rPr>
          <w:color w:val="231F20"/>
        </w:rPr>
        <w:t>bestuursorgaan.</w:t>
      </w:r>
    </w:p>
    <w:p>
      <w:pPr>
        <w:pStyle w:val="BodyText"/>
        <w:spacing w:line="218" w:lineRule="auto" w:before="96"/>
        <w:ind w:right="123"/>
      </w:pPr>
      <w:r>
        <w:rPr>
          <w:color w:val="231F20"/>
        </w:rPr>
        <w:t>Art. 5:155. § 1. De statuten kunnen bepalen dat de vennootschap een aandeelhouder om een wettige reden of omwille van een andere in de statuten vermelde reden kan uitsluiten. Het gemotiveerde voorstel tot uitsluiting wordt hem meegedeeld overeenkomstig artikel 2:32. Heeft de aandeelhouder ervoor gekozen om per post met de vennootschap te communiceren, dan wordt het voorstel hem per aangetekende brief meegedeeld.</w:t>
      </w:r>
    </w:p>
    <w:p>
      <w:pPr>
        <w:pStyle w:val="BodyText"/>
        <w:spacing w:line="218" w:lineRule="auto" w:before="97"/>
      </w:pPr>
      <w:r>
        <w:rPr>
          <w:color w:val="231F20"/>
        </w:rPr>
        <w:t>Alleen de algemene vergadering is bevoegd om een uitsluiting uit te spreken.</w:t>
      </w:r>
    </w:p>
    <w:p>
      <w:pPr>
        <w:pStyle w:val="BodyText"/>
        <w:spacing w:line="218" w:lineRule="auto" w:before="96"/>
        <w:ind w:right="123"/>
      </w:pPr>
      <w:r>
        <w:rPr>
          <w:color w:val="231F20"/>
        </w:rPr>
        <w:t>De aandeelhouder wiens uitsluiting wordt gevraagd, moet worden verzocht zijn opmerkingen schriftelijk en volgens dezelfde modaliteiten te kennen te geven aan de algemene vergadering, binnen één maand nadat het voorstel tot zijn uitsluiting hem werd meegedeeld.</w:t>
      </w:r>
    </w:p>
    <w:p>
      <w:pPr>
        <w:pStyle w:val="BodyText"/>
        <w:spacing w:line="338" w:lineRule="auto" w:before="82"/>
        <w:ind w:left="283" w:right="111" w:firstLine="0"/>
        <w:jc w:val="left"/>
      </w:pPr>
      <w:r>
        <w:rPr>
          <w:color w:val="231F20"/>
        </w:rPr>
        <w:t>Indien hij daarom verzoekt, moet de aandeelhouder worden gehoord. Elk besluit tot uitsluiting wordt gemotiveerd.</w:t>
      </w:r>
    </w:p>
    <w:p>
      <w:pPr>
        <w:pStyle w:val="BodyText"/>
        <w:spacing w:line="218" w:lineRule="auto" w:before="13"/>
      </w:pPr>
      <w:r>
        <w:rPr>
          <w:color w:val="231F20"/>
        </w:rPr>
        <w:t>§ 2. Het bestuursorgaan deelt het gemotiveerd besluit tot uitsluiting overeenkomstig artikel 2:32 binnen vijftien dagen mee aan de betrok- ken aandeelhouder, en schrijft de uitsluiting overeenkomstig paragraaf 4 in in het aandelenregister. Heeft de aandeelhouder ervoor gekozen om per post met de vennootschap te communiceren, dan wordt het besluit</w:t>
      </w:r>
      <w:r>
        <w:rPr>
          <w:color w:val="231F20"/>
          <w:spacing w:val="15"/>
        </w:rPr>
        <w:t> </w:t>
      </w:r>
      <w:r>
        <w:rPr>
          <w:color w:val="231F20"/>
        </w:rPr>
        <w:t>hem</w:t>
      </w:r>
      <w:r>
        <w:rPr>
          <w:color w:val="231F20"/>
          <w:spacing w:val="16"/>
        </w:rPr>
        <w:t> </w:t>
      </w:r>
      <w:r>
        <w:rPr>
          <w:color w:val="231F20"/>
        </w:rPr>
        <w:t>per</w:t>
      </w:r>
      <w:r>
        <w:rPr>
          <w:color w:val="231F20"/>
          <w:spacing w:val="16"/>
        </w:rPr>
        <w:t> </w:t>
      </w:r>
      <w:r>
        <w:rPr>
          <w:color w:val="231F20"/>
        </w:rPr>
        <w:t>aangetekende</w:t>
      </w:r>
      <w:r>
        <w:rPr>
          <w:color w:val="231F20"/>
          <w:spacing w:val="16"/>
        </w:rPr>
        <w:t> </w:t>
      </w:r>
      <w:r>
        <w:rPr>
          <w:color w:val="231F20"/>
        </w:rPr>
        <w:t>brief</w:t>
      </w:r>
      <w:r>
        <w:rPr>
          <w:color w:val="231F20"/>
          <w:spacing w:val="16"/>
        </w:rPr>
        <w:t> </w:t>
      </w:r>
      <w:r>
        <w:rPr>
          <w:color w:val="231F20"/>
        </w:rPr>
        <w:t>meegedeeld.</w:t>
      </w:r>
    </w:p>
    <w:p>
      <w:pPr>
        <w:pStyle w:val="BodyText"/>
        <w:spacing w:line="218" w:lineRule="auto" w:before="96"/>
      </w:pPr>
      <w:r>
        <w:rPr>
          <w:color w:val="231F20"/>
        </w:rPr>
        <w:t>§ 3. Tenzij de statuten anders bepalen, heeft de uitgesloten aandeel- houder recht op uitkering van de waarde van zijn scheidingsaandeel overeenkomstig artikel 5:154. In dit geval is de termijn van twee jaar als</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0" w:hanging="1"/>
        <w:jc w:val="left"/>
      </w:pPr>
      <w:r>
        <w:rPr/>
        <w:pict>
          <v:line style="position:absolute;mso-position-horizontal-relative:page;mso-position-vertical-relative:page;z-index:3904" from="298.170502pt,64.473pt" to="298.170502pt,812.819pt" stroked="true" strokeweight=".533pt" strokecolor="#231f20">
            <v:stroke dashstyle="solid"/>
            <w10:wrap type="none"/>
          </v:line>
        </w:pict>
      </w:r>
      <w:bookmarkStart w:name="_bookmark120" w:id="125"/>
      <w:bookmarkEnd w:id="125"/>
      <w:r>
        <w:rPr/>
      </w:r>
      <w:r>
        <w:rPr>
          <w:color w:val="231F20"/>
        </w:rPr>
        <w:t>à l’article 5:154, § 1</w:t>
      </w:r>
      <w:r>
        <w:rPr>
          <w:color w:val="231F20"/>
          <w:position w:val="7"/>
          <w:sz w:val="11"/>
        </w:rPr>
        <w:t>er</w:t>
      </w:r>
      <w:r>
        <w:rPr>
          <w:color w:val="231F20"/>
        </w:rPr>
        <w:t>, alinéa 2, 1°, n’est pas d’application. Les actions de l’actionnaire exclu sont annulées.</w:t>
      </w:r>
    </w:p>
    <w:p>
      <w:pPr>
        <w:pStyle w:val="BodyText"/>
        <w:spacing w:before="10"/>
        <w:ind w:left="0" w:right="0" w:firstLine="0"/>
        <w:jc w:val="left"/>
        <w:rPr>
          <w:sz w:val="23"/>
        </w:rPr>
      </w:pPr>
    </w:p>
    <w:p>
      <w:pPr>
        <w:pStyle w:val="BodyText"/>
        <w:spacing w:line="218" w:lineRule="auto"/>
        <w:ind w:right="38"/>
      </w:pPr>
      <w:r>
        <w:rPr>
          <w:color w:val="231F20"/>
        </w:rPr>
        <w:t>§ 4. </w:t>
      </w:r>
      <w:r>
        <w:rPr>
          <w:color w:val="231F20"/>
          <w:spacing w:val="-3"/>
        </w:rPr>
        <w:t>L’organe </w:t>
      </w:r>
      <w:r>
        <w:rPr>
          <w:color w:val="231F20"/>
        </w:rPr>
        <w:t>d’administration met à jour le registre des actions. Y sont mentionnés plus précisément: les exclusions d’actionnaires, la</w:t>
      </w:r>
      <w:r>
        <w:rPr>
          <w:color w:val="231F20"/>
          <w:spacing w:val="-20"/>
        </w:rPr>
        <w:t> </w:t>
      </w:r>
      <w:r>
        <w:rPr>
          <w:color w:val="231F20"/>
        </w:rPr>
        <w:t>date à laquelle elles sont intervenues ainsi que le montant versé aux actionnaires</w:t>
      </w:r>
      <w:r>
        <w:rPr>
          <w:color w:val="231F20"/>
          <w:spacing w:val="14"/>
        </w:rPr>
        <w:t> </w:t>
      </w:r>
      <w:r>
        <w:rPr>
          <w:color w:val="231F20"/>
        </w:rPr>
        <w:t>concernés.</w:t>
      </w:r>
    </w:p>
    <w:p>
      <w:pPr>
        <w:pStyle w:val="BodyText"/>
        <w:spacing w:line="218" w:lineRule="auto" w:before="96"/>
        <w:ind w:right="38"/>
      </w:pPr>
      <w:r>
        <w:rPr>
          <w:color w:val="231F20"/>
        </w:rPr>
        <w:t>§ 5. Les exclusions et les modifications statutaires qui en découlent sont établies, avant la fin de chaque exercice, par un acte authentique reçu à la demande de l’organe d’administration.</w:t>
      </w:r>
    </w:p>
    <w:p>
      <w:pPr>
        <w:pStyle w:val="BodyText"/>
        <w:spacing w:line="216" w:lineRule="auto" w:before="83"/>
        <w:ind w:right="38"/>
      </w:pPr>
      <w:r>
        <w:rPr>
          <w:color w:val="231F20"/>
        </w:rPr>
        <w:t>Art. 5:156. § 1</w:t>
      </w:r>
      <w:r>
        <w:rPr>
          <w:color w:val="231F20"/>
          <w:position w:val="7"/>
          <w:sz w:val="11"/>
        </w:rPr>
        <w:t>er</w:t>
      </w:r>
      <w:r>
        <w:rPr>
          <w:color w:val="231F20"/>
        </w:rPr>
        <w:t>. Les statuts peuvent prévoir qu’en cas de décès, de faillite, de déconfiture, de liquidation ou d’interdiction d’un action- naire, celui-ci est réputé démissionnaire de plein droit à cette date. L’actionnaire, ou, selon le cas, ses héritiers, créanciers ou représentants recouvrent la valeur de sa part de retrait de la manière déterminée par l’article 5:154. En pareil cas, le délai visé à l’article 5:154, § 1 </w:t>
      </w:r>
      <w:r>
        <w:rPr>
          <w:color w:val="231F20"/>
          <w:position w:val="7"/>
          <w:sz w:val="11"/>
        </w:rPr>
        <w:t>er</w:t>
      </w:r>
      <w:r>
        <w:rPr>
          <w:color w:val="231F20"/>
        </w:rPr>
        <w:t>, alinéa 2, 1°, n’est pas d’application.</w:t>
      </w:r>
    </w:p>
    <w:p>
      <w:pPr>
        <w:pStyle w:val="BodyText"/>
        <w:spacing w:before="8"/>
        <w:ind w:left="0" w:right="0" w:firstLine="0"/>
        <w:jc w:val="left"/>
        <w:rPr>
          <w:sz w:val="23"/>
        </w:rPr>
      </w:pPr>
    </w:p>
    <w:p>
      <w:pPr>
        <w:pStyle w:val="BodyText"/>
        <w:spacing w:line="218" w:lineRule="auto"/>
        <w:ind w:right="38"/>
      </w:pPr>
      <w:r>
        <w:rPr>
          <w:color w:val="231F20"/>
        </w:rPr>
        <w:t>Les actionnaires démissionnaires ou, en cas de décès, de faillite, de déconfiture, de liquidation ou d’interdiction d’un actionnaire, ses héritiers, créanciers ou représentants ne peuvent provoquer la liquida- tion de la société.</w:t>
      </w:r>
    </w:p>
    <w:p>
      <w:pPr>
        <w:pStyle w:val="BodyText"/>
        <w:spacing w:line="213" w:lineRule="auto" w:before="100"/>
        <w:ind w:right="38"/>
      </w:pPr>
      <w:r>
        <w:rPr>
          <w:color w:val="231F20"/>
        </w:rPr>
        <w:t>§ 2. Les statuts peuvent prévoir que l’actionnaire qui ne répond plus aux exigences statutaires pour devenir actionnaire est à ce</w:t>
      </w:r>
      <w:r>
        <w:rPr>
          <w:color w:val="231F20"/>
          <w:spacing w:val="21"/>
        </w:rPr>
        <w:t> </w:t>
      </w:r>
      <w:r>
        <w:rPr>
          <w:color w:val="231F20"/>
        </w:rPr>
        <w:t>moment réputé démissionnaire de plein droit. Les dispositions  du  paragra-  phe 1</w:t>
      </w:r>
      <w:r>
        <w:rPr>
          <w:color w:val="231F20"/>
          <w:position w:val="7"/>
          <w:sz w:val="11"/>
        </w:rPr>
        <w:t>er </w:t>
      </w:r>
      <w:r>
        <w:rPr>
          <w:color w:val="231F20"/>
        </w:rPr>
        <w:t>s’appliquent par analogie, pour autant que les statuts n’y dérogent</w:t>
      </w:r>
      <w:r>
        <w:rPr>
          <w:color w:val="231F20"/>
          <w:spacing w:val="15"/>
        </w:rPr>
        <w:t> </w:t>
      </w:r>
      <w:r>
        <w:rPr>
          <w:color w:val="231F20"/>
        </w:rPr>
        <w:t>pas.</w:t>
      </w:r>
    </w:p>
    <w:p>
      <w:pPr>
        <w:pStyle w:val="BodyText"/>
        <w:spacing w:before="83"/>
        <w:ind w:left="283" w:right="0" w:firstLine="0"/>
        <w:jc w:val="left"/>
      </w:pPr>
      <w:r>
        <w:rPr>
          <w:color w:val="231F20"/>
        </w:rPr>
        <w:t>TITRE 7. Durée et dissolution.</w:t>
      </w:r>
    </w:p>
    <w:p>
      <w:pPr>
        <w:pStyle w:val="BodyText"/>
        <w:spacing w:line="218" w:lineRule="auto" w:before="93"/>
        <w:ind w:right="38"/>
      </w:pPr>
      <w:r>
        <w:rPr>
          <w:color w:val="231F20"/>
        </w:rPr>
        <w:t>Art. 5:157. Sauf disposition statutaire contraire, les sociétés à responsabilité limitée sont constituées pour une durée illimitée.</w:t>
      </w:r>
    </w:p>
    <w:p>
      <w:pPr>
        <w:pStyle w:val="BodyText"/>
        <w:spacing w:line="218" w:lineRule="auto" w:before="96"/>
        <w:ind w:right="38"/>
      </w:pPr>
      <w:r>
        <w:rPr>
          <w:color w:val="231F20"/>
        </w:rPr>
        <w:t>Lorsqu’une durée est déterminée, l’assemblée générale peut décider la prorogation pour une durée limitée ou illimitée. Cette décision requiert une modification des</w:t>
      </w:r>
      <w:r>
        <w:rPr>
          <w:color w:val="231F20"/>
          <w:spacing w:val="18"/>
        </w:rPr>
        <w:t> </w:t>
      </w:r>
      <w:r>
        <w:rPr>
          <w:color w:val="231F20"/>
        </w:rPr>
        <w:t>statuts.</w:t>
      </w:r>
    </w:p>
    <w:p>
      <w:pPr>
        <w:pStyle w:val="BodyText"/>
        <w:spacing w:line="218" w:lineRule="auto" w:before="96"/>
        <w:ind w:right="38"/>
      </w:pPr>
      <w:r>
        <w:rPr>
          <w:color w:val="231F20"/>
        </w:rPr>
        <w:t>Sans préjudice de la dissolution pour de justes motifs précisés à l’article 2:73, la société ne peut être dissoute que par une décision de l’assemblée générale. Cette décision requiert une modification des statuts.</w:t>
      </w:r>
    </w:p>
    <w:p>
      <w:pPr>
        <w:pStyle w:val="BodyText"/>
        <w:spacing w:before="82"/>
        <w:ind w:left="283" w:right="0" w:firstLine="0"/>
        <w:jc w:val="left"/>
      </w:pPr>
      <w:r>
        <w:rPr>
          <w:color w:val="231F20"/>
        </w:rPr>
        <w:t>TITRE 8. Dispositions pénales.</w:t>
      </w:r>
    </w:p>
    <w:p>
      <w:pPr>
        <w:pStyle w:val="BodyText"/>
        <w:spacing w:line="218" w:lineRule="auto" w:before="93"/>
        <w:ind w:right="38"/>
      </w:pPr>
      <w:r>
        <w:rPr>
          <w:color w:val="231F20"/>
        </w:rPr>
        <w:t>Art. 5:158. Seront punis d’une amende de cinquante euros  à  dix mille euros et pourront en outre être punis d’un emprisonnement d’un mois à un</w:t>
      </w:r>
      <w:r>
        <w:rPr>
          <w:color w:val="231F20"/>
          <w:spacing w:val="3"/>
        </w:rPr>
        <w:t> </w:t>
      </w:r>
      <w:r>
        <w:rPr>
          <w:color w:val="231F20"/>
        </w:rPr>
        <w:t>an:</w:t>
      </w:r>
    </w:p>
    <w:p>
      <w:pPr>
        <w:pStyle w:val="BodyText"/>
        <w:spacing w:line="218" w:lineRule="auto" w:before="96"/>
        <w:ind w:right="38"/>
      </w:pPr>
      <w:r>
        <w:rPr>
          <w:color w:val="231F20"/>
        </w:rPr>
        <w:t>1° les administrateurs visés à l’article 2:51 qui n’ont pas présenté le rapport spécial accompagné du rapport du commissaire ou du réviseur d’entreprises, ainsi que le prévoient les articles 5:7 ou 5:133;</w:t>
      </w:r>
    </w:p>
    <w:p>
      <w:pPr>
        <w:pStyle w:val="BodyText"/>
        <w:spacing w:line="218" w:lineRule="auto" w:before="96"/>
        <w:ind w:right="38"/>
      </w:pPr>
      <w:r>
        <w:rPr>
          <w:color w:val="231F20"/>
        </w:rPr>
        <w:t>2° les administrateurs visés à l’article 2:51 ou le commissaire qui auront fait, par un usage quelconque, aux frais de la société, des versements sur les actions ou admis comme faits des versements qui ne sont pas effectués réellement de la manière et aux époques prescrites;</w:t>
      </w:r>
    </w:p>
    <w:p>
      <w:pPr>
        <w:pStyle w:val="BodyText"/>
        <w:spacing w:line="218" w:lineRule="auto" w:before="97"/>
        <w:ind w:right="38"/>
      </w:pPr>
      <w:r>
        <w:rPr>
          <w:color w:val="231F20"/>
        </w:rPr>
        <w:t>3° les administrateurs visés à l’article 2:51 qui ont contrevenu à l’article 5:142 ou l’article 5:143.</w:t>
      </w:r>
    </w:p>
    <w:p>
      <w:pPr>
        <w:pStyle w:val="BodyText"/>
        <w:spacing w:line="319" w:lineRule="auto" w:before="82"/>
        <w:ind w:left="283" w:right="2573" w:hanging="1"/>
        <w:jc w:val="left"/>
      </w:pPr>
      <w:r>
        <w:rPr>
          <w:color w:val="231F20"/>
        </w:rPr>
        <w:t>LIVRE 6. La société coopérative. TITRE 1</w:t>
      </w:r>
      <w:r>
        <w:rPr>
          <w:color w:val="231F20"/>
          <w:position w:val="7"/>
          <w:sz w:val="11"/>
        </w:rPr>
        <w:t>er</w:t>
      </w:r>
      <w:r>
        <w:rPr>
          <w:color w:val="231F20"/>
        </w:rPr>
        <w:t>. Nature et qualification.</w:t>
      </w:r>
    </w:p>
    <w:p>
      <w:pPr>
        <w:pStyle w:val="BodyText"/>
        <w:spacing w:line="218" w:lineRule="auto" w:before="13"/>
        <w:ind w:right="38"/>
      </w:pPr>
      <w:r>
        <w:rPr>
          <w:color w:val="231F20"/>
        </w:rPr>
        <w:t>Art. 6:1. § 1</w:t>
      </w:r>
      <w:r>
        <w:rPr>
          <w:color w:val="231F20"/>
          <w:position w:val="7"/>
          <w:sz w:val="11"/>
        </w:rPr>
        <w:t>er</w:t>
      </w:r>
      <w:r>
        <w:rPr>
          <w:color w:val="231F20"/>
        </w:rPr>
        <w:t>. La société coopérative a pour but principal la satisfaction des besoins et/ou le développement des activités économi- ques et/ou sociales de ses actionnaires ou bien de tiers intéressés notamment par la conclusion d’accords avec ceux-ci en vue de la fourniture de biens ou de services ou de l’exécution de travaux dans le cadre de l’activité que la société coopérative exerce ou fait </w:t>
      </w:r>
      <w:r>
        <w:rPr>
          <w:color w:val="231F20"/>
          <w:spacing w:val="-3"/>
        </w:rPr>
        <w:t>exercer. </w:t>
      </w:r>
      <w:r>
        <w:rPr>
          <w:color w:val="231F20"/>
        </w:rPr>
        <w:t>La société coopérative peut également avoir pour but de répondre aux besoins</w:t>
      </w:r>
      <w:r>
        <w:rPr>
          <w:color w:val="231F20"/>
          <w:spacing w:val="-7"/>
        </w:rPr>
        <w:t> </w:t>
      </w:r>
      <w:r>
        <w:rPr>
          <w:color w:val="231F20"/>
        </w:rPr>
        <w:t>de</w:t>
      </w:r>
      <w:r>
        <w:rPr>
          <w:color w:val="231F20"/>
          <w:spacing w:val="-6"/>
        </w:rPr>
        <w:t> </w:t>
      </w:r>
      <w:r>
        <w:rPr>
          <w:color w:val="231F20"/>
        </w:rPr>
        <w:t>ses</w:t>
      </w:r>
      <w:r>
        <w:rPr>
          <w:color w:val="231F20"/>
          <w:spacing w:val="-6"/>
        </w:rPr>
        <w:t> </w:t>
      </w:r>
      <w:r>
        <w:rPr>
          <w:color w:val="231F20"/>
        </w:rPr>
        <w:t>actionnaires</w:t>
      </w:r>
      <w:r>
        <w:rPr>
          <w:color w:val="231F20"/>
          <w:spacing w:val="-7"/>
        </w:rPr>
        <w:t> </w:t>
      </w:r>
      <w:r>
        <w:rPr>
          <w:color w:val="231F20"/>
        </w:rPr>
        <w:t>ou</w:t>
      </w:r>
      <w:r>
        <w:rPr>
          <w:color w:val="231F20"/>
          <w:spacing w:val="-6"/>
        </w:rPr>
        <w:t> </w:t>
      </w:r>
      <w:r>
        <w:rPr>
          <w:color w:val="231F20"/>
        </w:rPr>
        <w:t>de</w:t>
      </w:r>
      <w:r>
        <w:rPr>
          <w:color w:val="231F20"/>
          <w:spacing w:val="-6"/>
        </w:rPr>
        <w:t> </w:t>
      </w:r>
      <w:r>
        <w:rPr>
          <w:color w:val="231F20"/>
        </w:rPr>
        <w:t>ses</w:t>
      </w:r>
      <w:r>
        <w:rPr>
          <w:color w:val="231F20"/>
          <w:spacing w:val="-6"/>
        </w:rPr>
        <w:t> </w:t>
      </w:r>
      <w:r>
        <w:rPr>
          <w:color w:val="231F20"/>
        </w:rPr>
        <w:t>sociétés</w:t>
      </w:r>
      <w:r>
        <w:rPr>
          <w:color w:val="231F20"/>
          <w:spacing w:val="-7"/>
        </w:rPr>
        <w:t> </w:t>
      </w:r>
      <w:r>
        <w:rPr>
          <w:color w:val="231F20"/>
        </w:rPr>
        <w:t>mères</w:t>
      </w:r>
      <w:r>
        <w:rPr>
          <w:color w:val="231F20"/>
          <w:spacing w:val="-6"/>
        </w:rPr>
        <w:t> </w:t>
      </w:r>
      <w:r>
        <w:rPr>
          <w:color w:val="231F20"/>
        </w:rPr>
        <w:t>et</w:t>
      </w:r>
      <w:r>
        <w:rPr>
          <w:color w:val="231F20"/>
          <w:spacing w:val="-6"/>
        </w:rPr>
        <w:t> </w:t>
      </w:r>
      <w:r>
        <w:rPr>
          <w:color w:val="231F20"/>
        </w:rPr>
        <w:t>leurs</w:t>
      </w:r>
      <w:r>
        <w:rPr>
          <w:color w:val="231F20"/>
          <w:spacing w:val="-7"/>
        </w:rPr>
        <w:t> </w:t>
      </w:r>
      <w:r>
        <w:rPr>
          <w:color w:val="231F20"/>
        </w:rPr>
        <w:t>actionnaires ou des tiers intéressés que ce soit ou non par l’intervention de filiales. Elle peut également avoir pour objet de favoriser leurs activités économiques et/ou sociales par une participation à une ou plusieurs autres</w:t>
      </w:r>
      <w:r>
        <w:rPr>
          <w:color w:val="231F20"/>
          <w:spacing w:val="14"/>
        </w:rPr>
        <w:t> </w:t>
      </w:r>
      <w:r>
        <w:rPr>
          <w:color w:val="231F20"/>
        </w:rPr>
        <w:t>sociétés.</w:t>
      </w:r>
    </w:p>
    <w:p>
      <w:pPr>
        <w:pStyle w:val="BodyText"/>
        <w:ind w:left="0" w:right="0" w:firstLine="0"/>
        <w:jc w:val="left"/>
        <w:rPr>
          <w:sz w:val="24"/>
        </w:rPr>
      </w:pPr>
    </w:p>
    <w:p>
      <w:pPr>
        <w:pStyle w:val="BodyText"/>
        <w:spacing w:line="218" w:lineRule="auto" w:before="1"/>
        <w:ind w:right="38"/>
      </w:pPr>
      <w:r>
        <w:rPr>
          <w:color w:val="231F20"/>
        </w:rPr>
        <w:t>La qualité d’actionnaire peut être acquise sans modification des statuts et les actionnaires peuvent, dans les limites prévues par les statuts, démissionner à charge du patrimoine social ou être exclus de la société.</w:t>
      </w:r>
    </w:p>
    <w:p>
      <w:pPr>
        <w:pStyle w:val="BodyText"/>
        <w:spacing w:line="218" w:lineRule="auto" w:before="96"/>
        <w:ind w:right="38"/>
      </w:pPr>
      <w:r>
        <w:rPr>
          <w:color w:val="231F20"/>
        </w:rPr>
        <w:t>§ 2. Les actions d’une société coopérative ne peuvent être admises à la négociation sur un marché réglementé au sens de l’article 1:11, ni sur un marché non réglementé. En cas de cotation des autres titres sur un marché réglementé au sens de l’article 1:11, la société devient une entité d’intérêt</w:t>
      </w:r>
      <w:r>
        <w:rPr>
          <w:color w:val="231F20"/>
          <w:spacing w:val="15"/>
        </w:rPr>
        <w:t> </w:t>
      </w:r>
      <w:r>
        <w:rPr>
          <w:color w:val="231F20"/>
        </w:rPr>
        <w:t>public</w:t>
      </w:r>
      <w:r>
        <w:rPr>
          <w:color w:val="231F20"/>
          <w:spacing w:val="15"/>
        </w:rPr>
        <w:t> </w:t>
      </w:r>
      <w:r>
        <w:rPr>
          <w:color w:val="231F20"/>
        </w:rPr>
        <w:t>visée</w:t>
      </w:r>
      <w:r>
        <w:rPr>
          <w:color w:val="231F20"/>
          <w:spacing w:val="15"/>
        </w:rPr>
        <w:t> </w:t>
      </w:r>
      <w:r>
        <w:rPr>
          <w:color w:val="231F20"/>
        </w:rPr>
        <w:t>à</w:t>
      </w:r>
      <w:r>
        <w:rPr>
          <w:color w:val="231F20"/>
          <w:spacing w:val="15"/>
        </w:rPr>
        <w:t> </w:t>
      </w:r>
      <w:r>
        <w:rPr>
          <w:color w:val="231F20"/>
        </w:rPr>
        <w:t>l’article</w:t>
      </w:r>
      <w:r>
        <w:rPr>
          <w:color w:val="231F20"/>
          <w:spacing w:val="15"/>
        </w:rPr>
        <w:t> </w:t>
      </w:r>
      <w:r>
        <w:rPr>
          <w:color w:val="231F20"/>
        </w:rPr>
        <w:t>1:12,</w:t>
      </w:r>
      <w:r>
        <w:rPr>
          <w:color w:val="231F20"/>
          <w:spacing w:val="16"/>
        </w:rPr>
        <w:t> </w:t>
      </w:r>
      <w:r>
        <w:rPr>
          <w:color w:val="231F20"/>
        </w:rPr>
        <w:t>2°.</w:t>
      </w:r>
    </w:p>
    <w:p>
      <w:pPr>
        <w:pStyle w:val="BodyText"/>
        <w:spacing w:line="218" w:lineRule="auto" w:before="119"/>
        <w:ind w:firstLine="0"/>
      </w:pPr>
      <w:r>
        <w:rPr/>
        <w:br w:type="column"/>
      </w:r>
      <w:r>
        <w:rPr>
          <w:color w:val="231F20"/>
        </w:rPr>
        <w:t>bedoeld in artikel 5:154, § 1, tweede lid, 1°, sinds de oprichting van de vennootschap niet van toepassing. De aandelen van de uitgesloten aandeelhouder worden vernietigd.</w:t>
      </w:r>
    </w:p>
    <w:p>
      <w:pPr>
        <w:pStyle w:val="BodyText"/>
        <w:spacing w:line="218" w:lineRule="auto" w:before="97"/>
      </w:pPr>
      <w:r>
        <w:rPr>
          <w:color w:val="231F20"/>
        </w:rPr>
        <w:t>§ 4. Het bestuursorgaan werkt het aandelenregister bij. Meer bepaald worden vermeld: de uitsluitingen van aandeelhouders, de datum waarop dit is gebeurd, en de aan de betrokken aandeelhouders betaalde vergoeding.</w:t>
      </w:r>
    </w:p>
    <w:p>
      <w:pPr>
        <w:pStyle w:val="BodyText"/>
        <w:spacing w:line="218" w:lineRule="auto" w:before="96"/>
        <w:ind w:right="123"/>
      </w:pPr>
      <w:r>
        <w:rPr>
          <w:color w:val="231F20"/>
        </w:rPr>
        <w:t>§ 5. De uitsluitingen en de daaruit voortvloeiende statutenwijziging worden, vóór het einde van elk boekjaar, vastgesteld bij een</w:t>
      </w:r>
      <w:r>
        <w:rPr>
          <w:color w:val="231F20"/>
          <w:spacing w:val="-11"/>
        </w:rPr>
        <w:t> </w:t>
      </w:r>
      <w:r>
        <w:rPr>
          <w:color w:val="231F20"/>
        </w:rPr>
        <w:t>authentieke akte</w:t>
      </w:r>
      <w:r>
        <w:rPr>
          <w:color w:val="231F20"/>
          <w:spacing w:val="16"/>
        </w:rPr>
        <w:t> </w:t>
      </w:r>
      <w:r>
        <w:rPr>
          <w:color w:val="231F20"/>
        </w:rPr>
        <w:t>verleden</w:t>
      </w:r>
      <w:r>
        <w:rPr>
          <w:color w:val="231F20"/>
          <w:spacing w:val="17"/>
        </w:rPr>
        <w:t> </w:t>
      </w:r>
      <w:r>
        <w:rPr>
          <w:color w:val="231F20"/>
        </w:rPr>
        <w:t>op</w:t>
      </w:r>
      <w:r>
        <w:rPr>
          <w:color w:val="231F20"/>
          <w:spacing w:val="16"/>
        </w:rPr>
        <w:t> </w:t>
      </w:r>
      <w:r>
        <w:rPr>
          <w:color w:val="231F20"/>
        </w:rPr>
        <w:t>verzoek</w:t>
      </w:r>
      <w:r>
        <w:rPr>
          <w:color w:val="231F20"/>
          <w:spacing w:val="17"/>
        </w:rPr>
        <w:t> </w:t>
      </w:r>
      <w:r>
        <w:rPr>
          <w:color w:val="231F20"/>
        </w:rPr>
        <w:t>van</w:t>
      </w:r>
      <w:r>
        <w:rPr>
          <w:color w:val="231F20"/>
          <w:spacing w:val="16"/>
        </w:rPr>
        <w:t> </w:t>
      </w:r>
      <w:r>
        <w:rPr>
          <w:color w:val="231F20"/>
        </w:rPr>
        <w:t>het</w:t>
      </w:r>
      <w:r>
        <w:rPr>
          <w:color w:val="231F20"/>
          <w:spacing w:val="17"/>
        </w:rPr>
        <w:t> </w:t>
      </w:r>
      <w:r>
        <w:rPr>
          <w:color w:val="231F20"/>
        </w:rPr>
        <w:t>bestuursorgaan.</w:t>
      </w:r>
    </w:p>
    <w:p>
      <w:pPr>
        <w:pStyle w:val="BodyText"/>
        <w:spacing w:line="218" w:lineRule="auto" w:before="96"/>
        <w:ind w:right="123"/>
      </w:pPr>
      <w:r>
        <w:rPr>
          <w:color w:val="231F20"/>
        </w:rPr>
        <w:t>Art. 5:156. § 1. De statuten kunnen bepalen dat in geval van overlijden, faillissement, kennelijk onvermogen, vereffening of onbe- kwaamverklaring van een aandeelhouder hij op dat ogenblik van rechtswege wordt geacht uit te treden. De aandeelhouder, of, naarge- lang van het geval, zijn erfgenamen, schuldeisers of vertegenwoordi- gers hebben recht op uitkering van de waarde van zijn scheidingsaan- deel overeenkomstig artikel 5:154. In dit geval is de termijn als bedoeld in artikel 5:154, § 1, tweede lid, 1°, niet van toepassing.</w:t>
      </w:r>
    </w:p>
    <w:p>
      <w:pPr>
        <w:pStyle w:val="BodyText"/>
        <w:spacing w:line="218" w:lineRule="auto" w:before="97"/>
      </w:pPr>
      <w:r>
        <w:rPr>
          <w:color w:val="231F20"/>
        </w:rPr>
        <w:t>De uitgetreden aandeelhouders of, in geval van overlijden, faillisse- ment, kennelijk onvermogen, vereffening of onbekwaamverklaring van een aandeelhouder, zijn erfgenamen, schuldeisers of vertegenwoordi- gers kunnen de vereffening van de vennootschap niet vorderen.</w:t>
      </w:r>
    </w:p>
    <w:p>
      <w:pPr>
        <w:pStyle w:val="BodyText"/>
        <w:spacing w:line="218" w:lineRule="auto" w:before="96"/>
      </w:pPr>
      <w:r>
        <w:rPr>
          <w:color w:val="231F20"/>
        </w:rPr>
        <w:t>§ 2. De statuten kunnen bepalen dat de aandeelhouder die niet langer beantwoordt aan de statutaire vereisten om aandeelhouder te worden, wordt geacht op dat ogenblik van rechtswege uit te treden. De bepalingen van paragraaf 1 zijn van overeenkomstige toepassing, in zoverre de statuten er niet van afwijken.</w:t>
      </w:r>
    </w:p>
    <w:p>
      <w:pPr>
        <w:pStyle w:val="BodyText"/>
        <w:spacing w:before="82"/>
        <w:ind w:left="283" w:right="0" w:firstLine="0"/>
        <w:jc w:val="left"/>
      </w:pPr>
      <w:r>
        <w:rPr>
          <w:color w:val="231F20"/>
        </w:rPr>
        <w:t>TITEL 7. Duur en ontbinding.</w:t>
      </w:r>
    </w:p>
    <w:p>
      <w:pPr>
        <w:pStyle w:val="BodyText"/>
        <w:spacing w:line="218" w:lineRule="auto" w:before="93"/>
      </w:pPr>
      <w:r>
        <w:rPr>
          <w:color w:val="231F20"/>
        </w:rPr>
        <w:t>Art. 5:157. Tenzij de statuten anders bepalen, zijn de besloten vennootschappen voor onbepaalde duur aangegaan.</w:t>
      </w:r>
    </w:p>
    <w:p>
      <w:pPr>
        <w:pStyle w:val="BodyText"/>
        <w:spacing w:line="218" w:lineRule="auto" w:before="96"/>
      </w:pPr>
      <w:r>
        <w:rPr>
          <w:color w:val="231F20"/>
        </w:rPr>
        <w:t>Wanneer de duur bepaald is, kan de algemene vergadering besluiten tot verlenging voor een bepaalde of onbepaalde duur. Dit besluit vereist een statutenwijziging.</w:t>
      </w:r>
    </w:p>
    <w:p>
      <w:pPr>
        <w:pStyle w:val="BodyText"/>
        <w:spacing w:line="218" w:lineRule="auto" w:before="96"/>
      </w:pPr>
      <w:r>
        <w:rPr>
          <w:color w:val="231F20"/>
        </w:rPr>
        <w:t>Onverminderd de ontbinding om wettige redenen zoals bepaald in artikel 2:73, kan de vennootschap slechts worden ontbonden door een besluit van de algemene vergadering. Dit besluit vereist een statuten- wijziging.</w:t>
      </w:r>
    </w:p>
    <w:p>
      <w:pPr>
        <w:pStyle w:val="BodyText"/>
        <w:spacing w:before="83"/>
        <w:ind w:left="283" w:right="0" w:firstLine="0"/>
        <w:jc w:val="left"/>
      </w:pPr>
      <w:r>
        <w:rPr>
          <w:color w:val="231F20"/>
        </w:rPr>
        <w:t>TITEL 8. Strafbepalingen.</w:t>
      </w:r>
    </w:p>
    <w:p>
      <w:pPr>
        <w:pStyle w:val="BodyText"/>
        <w:spacing w:line="218" w:lineRule="auto" w:before="92"/>
      </w:pPr>
      <w:r>
        <w:rPr>
          <w:color w:val="231F20"/>
        </w:rPr>
        <w:t>Art. 5:158. Met geldboete van vijftig euro tot tienduizend euro worden gestraft en bovendien met gevangenisstraf van één maand tot een jaar kunnen worden</w:t>
      </w:r>
      <w:r>
        <w:rPr>
          <w:color w:val="231F20"/>
          <w:spacing w:val="18"/>
        </w:rPr>
        <w:t> </w:t>
      </w:r>
      <w:r>
        <w:rPr>
          <w:color w:val="231F20"/>
        </w:rPr>
        <w:t>gestraft:</w:t>
      </w:r>
    </w:p>
    <w:p>
      <w:pPr>
        <w:pStyle w:val="BodyText"/>
        <w:spacing w:line="218" w:lineRule="auto" w:before="97"/>
      </w:pPr>
      <w:r>
        <w:rPr>
          <w:color w:val="231F20"/>
        </w:rPr>
        <w:t>1° de bestuurders bedoeld in artikel 2:51 die het bijzonder verslag samen met het verslag van de commissaris, of van de bedrijfsrevisor, niet voorleggen zoals voorgeschreven door de artikelen 5:7 of 5:133;</w:t>
      </w:r>
    </w:p>
    <w:p>
      <w:pPr>
        <w:pStyle w:val="BodyText"/>
        <w:spacing w:line="218" w:lineRule="auto" w:before="96"/>
      </w:pPr>
      <w:r>
        <w:rPr>
          <w:color w:val="231F20"/>
        </w:rPr>
        <w:t>2° de bestuurders bedoeld in artikel 2:51 of de commissaris die door enig middel op kosten van de vennootschap stortingen op de aandelen doen of stortingen als gedaan erkennen die niet werkelijk zijn gedaan op</w:t>
      </w:r>
      <w:r>
        <w:rPr>
          <w:color w:val="231F20"/>
          <w:spacing w:val="15"/>
        </w:rPr>
        <w:t> </w:t>
      </w:r>
      <w:r>
        <w:rPr>
          <w:color w:val="231F20"/>
        </w:rPr>
        <w:t>de</w:t>
      </w:r>
      <w:r>
        <w:rPr>
          <w:color w:val="231F20"/>
          <w:spacing w:val="16"/>
        </w:rPr>
        <w:t> </w:t>
      </w:r>
      <w:r>
        <w:rPr>
          <w:color w:val="231F20"/>
        </w:rPr>
        <w:t>voorgeschreven</w:t>
      </w:r>
      <w:r>
        <w:rPr>
          <w:color w:val="231F20"/>
          <w:spacing w:val="16"/>
        </w:rPr>
        <w:t> </w:t>
      </w:r>
      <w:r>
        <w:rPr>
          <w:color w:val="231F20"/>
        </w:rPr>
        <w:t>wijze</w:t>
      </w:r>
      <w:r>
        <w:rPr>
          <w:color w:val="231F20"/>
          <w:spacing w:val="16"/>
        </w:rPr>
        <w:t> </w:t>
      </w:r>
      <w:r>
        <w:rPr>
          <w:color w:val="231F20"/>
        </w:rPr>
        <w:t>en</w:t>
      </w:r>
      <w:r>
        <w:rPr>
          <w:color w:val="231F20"/>
          <w:spacing w:val="15"/>
        </w:rPr>
        <w:t> </w:t>
      </w:r>
      <w:r>
        <w:rPr>
          <w:color w:val="231F20"/>
        </w:rPr>
        <w:t>tijdstippen;</w:t>
      </w:r>
    </w:p>
    <w:p>
      <w:pPr>
        <w:pStyle w:val="BodyText"/>
        <w:spacing w:line="218" w:lineRule="auto" w:before="96"/>
      </w:pPr>
      <w:r>
        <w:rPr>
          <w:color w:val="231F20"/>
        </w:rPr>
        <w:t>3° de bestuurders bedoeld in artikel 2:51 die het voorschrift van artikel 5:142 of artikel 5:143 overtreden.</w:t>
      </w:r>
    </w:p>
    <w:p>
      <w:pPr>
        <w:pStyle w:val="BodyText"/>
        <w:spacing w:line="338" w:lineRule="auto" w:before="82"/>
        <w:ind w:left="283" w:right="2162" w:firstLine="0"/>
        <w:jc w:val="left"/>
      </w:pPr>
      <w:r>
        <w:rPr>
          <w:color w:val="231F20"/>
        </w:rPr>
        <w:t>BOEK 6. De coöperatieve vennootschap. TITEL 1. Aard en kwalificatie.</w:t>
      </w:r>
    </w:p>
    <w:p>
      <w:pPr>
        <w:pStyle w:val="BodyText"/>
        <w:spacing w:line="218" w:lineRule="auto" w:before="13"/>
      </w:pPr>
      <w:r>
        <w:rPr>
          <w:color w:val="231F20"/>
        </w:rPr>
        <w:t>Art. 6:1. § 1. De coöperatieve vennootschap heeft tot voornaamste doel aan de behoeften van haar aandeelhouders dan wel derde belanghebbende partijen te voldoen en/of hun economische en sociale activiteiten te ontwikkelen, onder meer door met hen overeenkomsten te sluiten over de levering van goederen, de verrichting van diensten of de uitvoering van werken in het kader van de activiteit die de coöperatieve vennootschap uitoefent of laat uitoefenen. De</w:t>
      </w:r>
      <w:r>
        <w:rPr>
          <w:color w:val="231F20"/>
          <w:spacing w:val="25"/>
        </w:rPr>
        <w:t> </w:t>
      </w:r>
      <w:r>
        <w:rPr>
          <w:color w:val="231F20"/>
        </w:rPr>
        <w:t>coöpera- tieve vennootschap kan tevens tot doel hebben aan de behoeften van haar aandeelhouders of haar moedervennootschappen en hun aandeel- houders dan wel hun derde belanghebbende partijen te voldoen, al dan niet via de tussenkomst van dochtervennootschappen. Zij kan tevens tot doel hebben hun economische en/of sociale activiteiten te bevorde- ren</w:t>
      </w:r>
      <w:r>
        <w:rPr>
          <w:color w:val="231F20"/>
          <w:spacing w:val="17"/>
        </w:rPr>
        <w:t> </w:t>
      </w:r>
      <w:r>
        <w:rPr>
          <w:color w:val="231F20"/>
        </w:rPr>
        <w:t>middels</w:t>
      </w:r>
      <w:r>
        <w:rPr>
          <w:color w:val="231F20"/>
          <w:spacing w:val="17"/>
        </w:rPr>
        <w:t> </w:t>
      </w:r>
      <w:r>
        <w:rPr>
          <w:color w:val="231F20"/>
        </w:rPr>
        <w:t>een</w:t>
      </w:r>
      <w:r>
        <w:rPr>
          <w:color w:val="231F20"/>
          <w:spacing w:val="18"/>
        </w:rPr>
        <w:t> </w:t>
      </w:r>
      <w:r>
        <w:rPr>
          <w:color w:val="231F20"/>
        </w:rPr>
        <w:t>deelneming</w:t>
      </w:r>
      <w:r>
        <w:rPr>
          <w:color w:val="231F20"/>
          <w:spacing w:val="17"/>
        </w:rPr>
        <w:t> </w:t>
      </w:r>
      <w:r>
        <w:rPr>
          <w:color w:val="231F20"/>
        </w:rPr>
        <w:t>in</w:t>
      </w:r>
      <w:r>
        <w:rPr>
          <w:color w:val="231F20"/>
          <w:spacing w:val="17"/>
        </w:rPr>
        <w:t> </w:t>
      </w:r>
      <w:r>
        <w:rPr>
          <w:color w:val="231F20"/>
        </w:rPr>
        <w:t>één</w:t>
      </w:r>
      <w:r>
        <w:rPr>
          <w:color w:val="231F20"/>
          <w:spacing w:val="18"/>
        </w:rPr>
        <w:t> </w:t>
      </w:r>
      <w:r>
        <w:rPr>
          <w:color w:val="231F20"/>
        </w:rPr>
        <w:t>of</w:t>
      </w:r>
      <w:r>
        <w:rPr>
          <w:color w:val="231F20"/>
          <w:spacing w:val="17"/>
        </w:rPr>
        <w:t> </w:t>
      </w:r>
      <w:r>
        <w:rPr>
          <w:color w:val="231F20"/>
        </w:rPr>
        <w:t>meer</w:t>
      </w:r>
      <w:r>
        <w:rPr>
          <w:color w:val="231F20"/>
          <w:spacing w:val="18"/>
        </w:rPr>
        <w:t> </w:t>
      </w:r>
      <w:r>
        <w:rPr>
          <w:color w:val="231F20"/>
        </w:rPr>
        <w:t>andere</w:t>
      </w:r>
      <w:r>
        <w:rPr>
          <w:color w:val="231F20"/>
          <w:spacing w:val="17"/>
        </w:rPr>
        <w:t> </w:t>
      </w:r>
      <w:r>
        <w:rPr>
          <w:color w:val="231F20"/>
        </w:rPr>
        <w:t>vennootschappen.</w:t>
      </w:r>
    </w:p>
    <w:p>
      <w:pPr>
        <w:pStyle w:val="BodyText"/>
        <w:spacing w:line="218" w:lineRule="auto" w:before="97"/>
      </w:pPr>
      <w:r>
        <w:rPr>
          <w:color w:val="231F20"/>
        </w:rPr>
        <w:t>De hoedanigheid van aandeelhouder kan zonder statutenwijziging worden verkregen en de aandeelhouders kunnen, binnen de door de statuten bepaalde grenzen, ten laste van het vennootschapsvermogen uittreden of uit de vennootschap worden uitgesloten.</w:t>
      </w:r>
    </w:p>
    <w:p>
      <w:pPr>
        <w:pStyle w:val="BodyText"/>
        <w:spacing w:line="218" w:lineRule="auto" w:before="96"/>
      </w:pPr>
      <w:r>
        <w:rPr>
          <w:color w:val="231F20"/>
        </w:rPr>
        <w:t>§ 2. De aandelen van een coöperatieve vennootschap kunnen niet worden toegelaten tot de verhandeling op een gereglementeerde markt als bedoeld in artikel 1:11, noch op een niet gereglementeerde markt. In het geval van notering van de andere effecten op een gereglementeerde markt als bedoeld in artikel 1:11, wordt de vennootschap een organi- satie van openbaar belang als bedoeld in artikel 1:12, 2°.</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3928" from="298.170502pt,64.473pt" to="298.170502pt,812.819pt" stroked="true" strokeweight=".533pt" strokecolor="#231f20">
            <v:stroke dashstyle="solid"/>
            <w10:wrap type="none"/>
          </v:line>
        </w:pict>
      </w:r>
      <w:bookmarkStart w:name="_bookmark121" w:id="126"/>
      <w:bookmarkEnd w:id="126"/>
      <w:r>
        <w:rPr/>
      </w:r>
      <w:r>
        <w:rPr>
          <w:color w:val="231F20"/>
        </w:rPr>
        <w:t>§ 3. Une société coopérative peut être agréée conformément aux dispositions du livre 8.</w:t>
      </w:r>
    </w:p>
    <w:p>
      <w:pPr>
        <w:pStyle w:val="BodyText"/>
        <w:spacing w:line="218" w:lineRule="auto" w:before="96"/>
        <w:ind w:right="38"/>
      </w:pPr>
      <w:r>
        <w:rPr>
          <w:color w:val="231F20"/>
        </w:rPr>
        <w:t>§ 4. La finalité coopérative et les valeurs de la société coopérative</w:t>
      </w:r>
      <w:r>
        <w:rPr>
          <w:color w:val="231F20"/>
          <w:spacing w:val="-28"/>
        </w:rPr>
        <w:t> </w:t>
      </w:r>
      <w:r>
        <w:rPr>
          <w:color w:val="231F20"/>
        </w:rPr>
        <w:t>sont décrites dans les statuts et, le cas échéant, complétées par une explication</w:t>
      </w:r>
      <w:r>
        <w:rPr>
          <w:color w:val="231F20"/>
          <w:spacing w:val="16"/>
        </w:rPr>
        <w:t> </w:t>
      </w:r>
      <w:r>
        <w:rPr>
          <w:color w:val="231F20"/>
        </w:rPr>
        <w:t>plus</w:t>
      </w:r>
      <w:r>
        <w:rPr>
          <w:color w:val="231F20"/>
          <w:spacing w:val="16"/>
        </w:rPr>
        <w:t> </w:t>
      </w:r>
      <w:r>
        <w:rPr>
          <w:color w:val="231F20"/>
        </w:rPr>
        <w:t>détaillée</w:t>
      </w:r>
      <w:r>
        <w:rPr>
          <w:color w:val="231F20"/>
          <w:spacing w:val="17"/>
        </w:rPr>
        <w:t> </w:t>
      </w:r>
      <w:r>
        <w:rPr>
          <w:color w:val="231F20"/>
        </w:rPr>
        <w:t>dans</w:t>
      </w:r>
      <w:r>
        <w:rPr>
          <w:color w:val="231F20"/>
          <w:spacing w:val="16"/>
        </w:rPr>
        <w:t> </w:t>
      </w:r>
      <w:r>
        <w:rPr>
          <w:color w:val="231F20"/>
        </w:rPr>
        <w:t>un</w:t>
      </w:r>
      <w:r>
        <w:rPr>
          <w:color w:val="231F20"/>
          <w:spacing w:val="17"/>
        </w:rPr>
        <w:t> </w:t>
      </w:r>
      <w:r>
        <w:rPr>
          <w:color w:val="231F20"/>
        </w:rPr>
        <w:t>règlement</w:t>
      </w:r>
      <w:r>
        <w:rPr>
          <w:color w:val="231F20"/>
          <w:spacing w:val="16"/>
        </w:rPr>
        <w:t> </w:t>
      </w:r>
      <w:r>
        <w:rPr>
          <w:color w:val="231F20"/>
        </w:rPr>
        <w:t>intérieur</w:t>
      </w:r>
      <w:r>
        <w:rPr>
          <w:color w:val="231F20"/>
          <w:spacing w:val="17"/>
        </w:rPr>
        <w:t> </w:t>
      </w:r>
      <w:r>
        <w:rPr>
          <w:color w:val="231F20"/>
        </w:rPr>
        <w:t>ou</w:t>
      </w:r>
      <w:r>
        <w:rPr>
          <w:color w:val="231F20"/>
          <w:spacing w:val="16"/>
        </w:rPr>
        <w:t> </w:t>
      </w:r>
      <w:r>
        <w:rPr>
          <w:color w:val="231F20"/>
        </w:rPr>
        <w:t>une</w:t>
      </w:r>
      <w:r>
        <w:rPr>
          <w:color w:val="231F20"/>
          <w:spacing w:val="17"/>
        </w:rPr>
        <w:t> </w:t>
      </w:r>
      <w:r>
        <w:rPr>
          <w:color w:val="231F20"/>
        </w:rPr>
        <w:t>charte.</w:t>
      </w:r>
    </w:p>
    <w:p>
      <w:pPr>
        <w:pStyle w:val="BodyText"/>
        <w:spacing w:before="10"/>
        <w:ind w:left="0" w:right="0" w:firstLine="0"/>
        <w:jc w:val="left"/>
        <w:rPr>
          <w:sz w:val="23"/>
        </w:rPr>
      </w:pPr>
    </w:p>
    <w:p>
      <w:pPr>
        <w:pStyle w:val="BodyText"/>
        <w:spacing w:line="218" w:lineRule="auto" w:before="1"/>
        <w:ind w:right="38"/>
      </w:pPr>
      <w:r>
        <w:rPr>
          <w:color w:val="231F20"/>
        </w:rPr>
        <w:t>Art. 6:2. Les actionnaires d’une société coopérative n’engagent que leur apport.</w:t>
      </w:r>
    </w:p>
    <w:p>
      <w:pPr>
        <w:pStyle w:val="BodyText"/>
        <w:spacing w:before="82"/>
        <w:ind w:left="283" w:right="0" w:firstLine="0"/>
        <w:jc w:val="left"/>
      </w:pPr>
      <w:r>
        <w:rPr>
          <w:color w:val="231F20"/>
        </w:rPr>
        <w:t>TITRE 2. Constitution.</w:t>
      </w:r>
    </w:p>
    <w:p>
      <w:pPr>
        <w:pStyle w:val="BodyText"/>
        <w:spacing w:before="63"/>
        <w:ind w:left="283" w:right="0" w:firstLine="0"/>
        <w:jc w:val="left"/>
      </w:pPr>
      <w:r>
        <w:rPr>
          <w:color w:val="231F20"/>
        </w:rPr>
        <w:t>CHAPITRE 1</w:t>
      </w:r>
      <w:r>
        <w:rPr>
          <w:color w:val="231F20"/>
          <w:position w:val="7"/>
          <w:sz w:val="11"/>
        </w:rPr>
        <w:t>er</w:t>
      </w:r>
      <w:r>
        <w:rPr>
          <w:color w:val="231F20"/>
        </w:rPr>
        <w:t>. Dispositions générales.</w:t>
      </w:r>
    </w:p>
    <w:p>
      <w:pPr>
        <w:pStyle w:val="BodyText"/>
        <w:spacing w:line="218" w:lineRule="auto" w:before="93"/>
        <w:ind w:right="38"/>
      </w:pPr>
      <w:r>
        <w:rPr>
          <w:color w:val="231F20"/>
        </w:rPr>
        <w:t>Art.</w:t>
      </w:r>
      <w:r>
        <w:rPr>
          <w:color w:val="231F20"/>
          <w:spacing w:val="-6"/>
        </w:rPr>
        <w:t> </w:t>
      </w:r>
      <w:r>
        <w:rPr>
          <w:color w:val="231F20"/>
        </w:rPr>
        <w:t>6:3.</w:t>
      </w:r>
      <w:r>
        <w:rPr>
          <w:color w:val="231F20"/>
          <w:spacing w:val="-6"/>
        </w:rPr>
        <w:t> </w:t>
      </w:r>
      <w:r>
        <w:rPr>
          <w:color w:val="231F20"/>
        </w:rPr>
        <w:t>Une</w:t>
      </w:r>
      <w:r>
        <w:rPr>
          <w:color w:val="231F20"/>
          <w:spacing w:val="-5"/>
        </w:rPr>
        <w:t> </w:t>
      </w:r>
      <w:r>
        <w:rPr>
          <w:color w:val="231F20"/>
        </w:rPr>
        <w:t>société</w:t>
      </w:r>
      <w:r>
        <w:rPr>
          <w:color w:val="231F20"/>
          <w:spacing w:val="-6"/>
        </w:rPr>
        <w:t> </w:t>
      </w:r>
      <w:r>
        <w:rPr>
          <w:color w:val="231F20"/>
        </w:rPr>
        <w:t>coopérative</w:t>
      </w:r>
      <w:r>
        <w:rPr>
          <w:color w:val="231F20"/>
          <w:spacing w:val="-5"/>
        </w:rPr>
        <w:t> </w:t>
      </w:r>
      <w:r>
        <w:rPr>
          <w:color w:val="231F20"/>
        </w:rPr>
        <w:t>doit</w:t>
      </w:r>
      <w:r>
        <w:rPr>
          <w:color w:val="231F20"/>
          <w:spacing w:val="-6"/>
        </w:rPr>
        <w:t> </w:t>
      </w:r>
      <w:r>
        <w:rPr>
          <w:color w:val="231F20"/>
        </w:rPr>
        <w:t>à</w:t>
      </w:r>
      <w:r>
        <w:rPr>
          <w:color w:val="231F20"/>
          <w:spacing w:val="-5"/>
        </w:rPr>
        <w:t> </w:t>
      </w:r>
      <w:r>
        <w:rPr>
          <w:color w:val="231F20"/>
        </w:rPr>
        <w:t>peine</w:t>
      </w:r>
      <w:r>
        <w:rPr>
          <w:color w:val="231F20"/>
          <w:spacing w:val="-6"/>
        </w:rPr>
        <w:t> </w:t>
      </w:r>
      <w:r>
        <w:rPr>
          <w:color w:val="231F20"/>
        </w:rPr>
        <w:t>de</w:t>
      </w:r>
      <w:r>
        <w:rPr>
          <w:color w:val="231F20"/>
          <w:spacing w:val="-5"/>
        </w:rPr>
        <w:t> </w:t>
      </w:r>
      <w:r>
        <w:rPr>
          <w:color w:val="231F20"/>
        </w:rPr>
        <w:t>nullité</w:t>
      </w:r>
      <w:r>
        <w:rPr>
          <w:color w:val="231F20"/>
          <w:spacing w:val="-6"/>
        </w:rPr>
        <w:t> </w:t>
      </w:r>
      <w:r>
        <w:rPr>
          <w:color w:val="231F20"/>
        </w:rPr>
        <w:t>être</w:t>
      </w:r>
      <w:r>
        <w:rPr>
          <w:color w:val="231F20"/>
          <w:spacing w:val="-6"/>
        </w:rPr>
        <w:t> </w:t>
      </w:r>
      <w:r>
        <w:rPr>
          <w:color w:val="231F20"/>
        </w:rPr>
        <w:t>constituée par trois personnes au</w:t>
      </w:r>
      <w:r>
        <w:rPr>
          <w:color w:val="231F20"/>
          <w:spacing w:val="18"/>
        </w:rPr>
        <w:t> </w:t>
      </w:r>
      <w:r>
        <w:rPr>
          <w:color w:val="231F20"/>
        </w:rPr>
        <w:t>moins.</w:t>
      </w:r>
    </w:p>
    <w:p>
      <w:pPr>
        <w:pStyle w:val="BodyText"/>
        <w:spacing w:before="82"/>
        <w:ind w:left="283" w:right="0" w:firstLine="0"/>
        <w:jc w:val="left"/>
      </w:pPr>
      <w:r>
        <w:rPr>
          <w:color w:val="231F20"/>
        </w:rPr>
        <w:t>CHAPITRE 2 . Capitaux propres de départ.</w:t>
      </w:r>
    </w:p>
    <w:p>
      <w:pPr>
        <w:pStyle w:val="BodyText"/>
        <w:spacing w:line="218" w:lineRule="auto" w:before="92"/>
        <w:ind w:right="38"/>
      </w:pPr>
      <w:r>
        <w:rPr>
          <w:color w:val="231F20"/>
        </w:rPr>
        <w:t>Art. 6:4. Les fondateurs veillent à ce que la société coopérative dispose lors de sa constitution de capitaux propres qui, compte tenu des autres sources de financement, sont </w:t>
      </w:r>
      <w:r>
        <w:rPr>
          <w:color w:val="231F20"/>
          <w:spacing w:val="-3"/>
        </w:rPr>
        <w:t>suffisants </w:t>
      </w:r>
      <w:r>
        <w:rPr>
          <w:color w:val="231F20"/>
        </w:rPr>
        <w:t>à la lumière de l’activité</w:t>
      </w:r>
      <w:r>
        <w:rPr>
          <w:color w:val="231F20"/>
          <w:spacing w:val="14"/>
        </w:rPr>
        <w:t> </w:t>
      </w:r>
      <w:r>
        <w:rPr>
          <w:color w:val="231F20"/>
        </w:rPr>
        <w:t>projetée.</w:t>
      </w:r>
    </w:p>
    <w:p>
      <w:pPr>
        <w:pStyle w:val="BodyText"/>
        <w:spacing w:line="218" w:lineRule="auto" w:before="82"/>
        <w:ind w:right="38"/>
      </w:pPr>
      <w:r>
        <w:rPr>
          <w:color w:val="231F20"/>
        </w:rPr>
        <w:t>Art. 6:5. § 1</w:t>
      </w:r>
      <w:r>
        <w:rPr>
          <w:color w:val="231F20"/>
          <w:position w:val="7"/>
          <w:sz w:val="11"/>
        </w:rPr>
        <w:t>er</w:t>
      </w:r>
      <w:r>
        <w:rPr>
          <w:color w:val="231F20"/>
        </w:rPr>
        <w:t>. Préalablement à la constitution de la société, les fondateurs remettent au notaire instrumentant un plan financier dans lequel ils justifient le montant des capitaux propres de départ à la lumière de l’activité projetée de la société pendant une période d’au moins deux ans. Ce document n’est pas déposé avec l’acte, mais est conservé par le notaire.</w:t>
      </w:r>
    </w:p>
    <w:p>
      <w:pPr>
        <w:pStyle w:val="BodyText"/>
        <w:spacing w:before="82"/>
        <w:ind w:left="283" w:right="0" w:firstLine="0"/>
        <w:jc w:val="left"/>
      </w:pPr>
      <w:r>
        <w:rPr>
          <w:color w:val="231F20"/>
        </w:rPr>
        <w:t>§ 2. Le plan financier doit au moins comporter les éléments suivants:</w:t>
      </w:r>
    </w:p>
    <w:p>
      <w:pPr>
        <w:pStyle w:val="BodyText"/>
        <w:spacing w:before="4"/>
        <w:ind w:left="0" w:right="0" w:firstLine="0"/>
        <w:jc w:val="left"/>
        <w:rPr>
          <w:sz w:val="22"/>
        </w:rPr>
      </w:pPr>
    </w:p>
    <w:p>
      <w:pPr>
        <w:pStyle w:val="BodyText"/>
        <w:spacing w:before="1"/>
        <w:ind w:left="283" w:right="0" w:firstLine="0"/>
        <w:jc w:val="left"/>
      </w:pPr>
      <w:r>
        <w:rPr>
          <w:color w:val="231F20"/>
        </w:rPr>
        <w:t>1° une description précise de l’activité projetée;</w:t>
      </w:r>
    </w:p>
    <w:p>
      <w:pPr>
        <w:pStyle w:val="BodyText"/>
        <w:spacing w:line="218" w:lineRule="auto" w:before="92"/>
        <w:ind w:right="38"/>
      </w:pPr>
      <w:r>
        <w:rPr>
          <w:color w:val="231F20"/>
        </w:rPr>
        <w:t>2° un aperçu de toutes les sources de financement à la constitution</w:t>
      </w:r>
      <w:r>
        <w:rPr>
          <w:color w:val="231F20"/>
          <w:spacing w:val="-17"/>
        </w:rPr>
        <w:t> </w:t>
      </w:r>
      <w:r>
        <w:rPr>
          <w:color w:val="231F20"/>
        </w:rPr>
        <w:t>en ce</w:t>
      </w:r>
      <w:r>
        <w:rPr>
          <w:color w:val="231F20"/>
          <w:spacing w:val="-4"/>
        </w:rPr>
        <w:t> </w:t>
      </w:r>
      <w:r>
        <w:rPr>
          <w:color w:val="231F20"/>
        </w:rPr>
        <w:t>compris,</w:t>
      </w:r>
      <w:r>
        <w:rPr>
          <w:color w:val="231F20"/>
          <w:spacing w:val="-4"/>
        </w:rPr>
        <w:t> </w:t>
      </w:r>
      <w:r>
        <w:rPr>
          <w:color w:val="231F20"/>
        </w:rPr>
        <w:t>le</w:t>
      </w:r>
      <w:r>
        <w:rPr>
          <w:color w:val="231F20"/>
          <w:spacing w:val="-3"/>
        </w:rPr>
        <w:t> </w:t>
      </w:r>
      <w:r>
        <w:rPr>
          <w:color w:val="231F20"/>
        </w:rPr>
        <w:t>cas</w:t>
      </w:r>
      <w:r>
        <w:rPr>
          <w:color w:val="231F20"/>
          <w:spacing w:val="-4"/>
        </w:rPr>
        <w:t> </w:t>
      </w:r>
      <w:r>
        <w:rPr>
          <w:color w:val="231F20"/>
        </w:rPr>
        <w:t>échéant,</w:t>
      </w:r>
      <w:r>
        <w:rPr>
          <w:color w:val="231F20"/>
          <w:spacing w:val="-4"/>
        </w:rPr>
        <w:t> </w:t>
      </w:r>
      <w:r>
        <w:rPr>
          <w:color w:val="231F20"/>
        </w:rPr>
        <w:t>la</w:t>
      </w:r>
      <w:r>
        <w:rPr>
          <w:color w:val="231F20"/>
          <w:spacing w:val="-3"/>
        </w:rPr>
        <w:t> </w:t>
      </w:r>
      <w:r>
        <w:rPr>
          <w:color w:val="231F20"/>
        </w:rPr>
        <w:t>mention</w:t>
      </w:r>
      <w:r>
        <w:rPr>
          <w:color w:val="231F20"/>
          <w:spacing w:val="-4"/>
        </w:rPr>
        <w:t> </w:t>
      </w:r>
      <w:r>
        <w:rPr>
          <w:color w:val="231F20"/>
        </w:rPr>
        <w:t>des</w:t>
      </w:r>
      <w:r>
        <w:rPr>
          <w:color w:val="231F20"/>
          <w:spacing w:val="-4"/>
        </w:rPr>
        <w:t> </w:t>
      </w:r>
      <w:r>
        <w:rPr>
          <w:color w:val="231F20"/>
        </w:rPr>
        <w:t>garanties</w:t>
      </w:r>
      <w:r>
        <w:rPr>
          <w:color w:val="231F20"/>
          <w:spacing w:val="-3"/>
        </w:rPr>
        <w:t> </w:t>
      </w:r>
      <w:r>
        <w:rPr>
          <w:color w:val="231F20"/>
        </w:rPr>
        <w:t>fournies</w:t>
      </w:r>
      <w:r>
        <w:rPr>
          <w:color w:val="231F20"/>
          <w:spacing w:val="-4"/>
        </w:rPr>
        <w:t> </w:t>
      </w:r>
      <w:r>
        <w:rPr>
          <w:color w:val="231F20"/>
        </w:rPr>
        <w:t>à</w:t>
      </w:r>
      <w:r>
        <w:rPr>
          <w:color w:val="231F20"/>
          <w:spacing w:val="-4"/>
        </w:rPr>
        <w:t> </w:t>
      </w:r>
      <w:r>
        <w:rPr>
          <w:color w:val="231F20"/>
        </w:rPr>
        <w:t>cet</w:t>
      </w:r>
      <w:r>
        <w:rPr>
          <w:color w:val="231F20"/>
          <w:spacing w:val="-3"/>
        </w:rPr>
        <w:t> </w:t>
      </w:r>
      <w:r>
        <w:rPr>
          <w:color w:val="231F20"/>
        </w:rPr>
        <w:t>égard;</w:t>
      </w:r>
    </w:p>
    <w:p>
      <w:pPr>
        <w:pStyle w:val="BodyText"/>
        <w:spacing w:before="11"/>
        <w:ind w:left="0" w:right="0" w:firstLine="0"/>
        <w:jc w:val="left"/>
        <w:rPr>
          <w:sz w:val="23"/>
        </w:rPr>
      </w:pPr>
    </w:p>
    <w:p>
      <w:pPr>
        <w:pStyle w:val="BodyText"/>
        <w:spacing w:line="218" w:lineRule="auto"/>
        <w:ind w:right="38"/>
      </w:pPr>
      <w:r>
        <w:rPr>
          <w:color w:val="231F20"/>
        </w:rPr>
        <w:t>3° un bilan d’ouverture établi conformément au schéma visé à l’article 3:3, ainsi que des bilans projetés après douze et vingt-quatre mois;</w:t>
      </w:r>
    </w:p>
    <w:p>
      <w:pPr>
        <w:pStyle w:val="BodyText"/>
        <w:spacing w:line="218" w:lineRule="auto" w:before="96"/>
        <w:ind w:right="38"/>
      </w:pPr>
      <w:r>
        <w:rPr>
          <w:color w:val="231F20"/>
        </w:rPr>
        <w:t>4° un compte de résultats projeté après douze et vingt-quatre mois, établi conformément au schéma visé à l’article 3:3;</w:t>
      </w:r>
    </w:p>
    <w:p>
      <w:pPr>
        <w:pStyle w:val="BodyText"/>
        <w:spacing w:line="218" w:lineRule="auto" w:before="96"/>
        <w:ind w:right="38"/>
      </w:pPr>
      <w:r>
        <w:rPr>
          <w:color w:val="231F20"/>
        </w:rPr>
        <w:t>5° un budget des revenus et dépenses projetés pour une période d’au moins deux ans à compter de la constitution;</w:t>
      </w:r>
    </w:p>
    <w:p>
      <w:pPr>
        <w:pStyle w:val="BodyText"/>
        <w:spacing w:line="218" w:lineRule="auto" w:before="96"/>
        <w:ind w:right="38"/>
      </w:pPr>
      <w:r>
        <w:rPr>
          <w:color w:val="231F20"/>
        </w:rPr>
        <w:t>6° une description des hypothèses retenues lors de l’estimation du chiffre d’affaires et de la rentabilité prévues;</w:t>
      </w:r>
    </w:p>
    <w:p>
      <w:pPr>
        <w:pStyle w:val="BodyText"/>
        <w:spacing w:line="218" w:lineRule="auto" w:before="96"/>
        <w:ind w:right="38"/>
      </w:pPr>
      <w:r>
        <w:rPr>
          <w:color w:val="231F20"/>
        </w:rPr>
        <w:t>7° le cas échéant, le nom de l’expert externe qui a apporté son assistance lors de l’établissement du plan financier.</w:t>
      </w:r>
    </w:p>
    <w:p>
      <w:pPr>
        <w:pStyle w:val="BodyText"/>
        <w:spacing w:line="218" w:lineRule="auto" w:before="96"/>
        <w:ind w:right="38"/>
      </w:pPr>
      <w:r>
        <w:rPr>
          <w:color w:val="231F20"/>
        </w:rPr>
        <w:t>§ 3. Lors de l’élaboration des bilans et comptes de résultats projetés, une autre périodicité que celle visée au paragraphe 2, 3° et 4°, peut être utilisée, à condition que les projections concernent au total une période d’au moins deux ans à compter de la constitution.</w:t>
      </w:r>
    </w:p>
    <w:p>
      <w:pPr>
        <w:pStyle w:val="BodyText"/>
        <w:spacing w:before="8"/>
        <w:ind w:left="0" w:right="0" w:firstLine="0"/>
        <w:jc w:val="left"/>
        <w:rPr>
          <w:sz w:val="22"/>
        </w:rPr>
      </w:pPr>
    </w:p>
    <w:p>
      <w:pPr>
        <w:pStyle w:val="BodyText"/>
        <w:spacing w:line="319" w:lineRule="auto" w:before="1"/>
        <w:ind w:left="283" w:right="2109" w:firstLine="0"/>
        <w:jc w:val="left"/>
      </w:pPr>
      <w:r>
        <w:rPr>
          <w:color w:val="231F20"/>
        </w:rPr>
        <w:t>CHAPITRE 3. Souscription des actions. Section 1</w:t>
      </w:r>
      <w:r>
        <w:rPr>
          <w:color w:val="231F20"/>
          <w:position w:val="7"/>
          <w:sz w:val="11"/>
        </w:rPr>
        <w:t>re</w:t>
      </w:r>
      <w:r>
        <w:rPr>
          <w:color w:val="231F20"/>
        </w:rPr>
        <w:t>. Souscription intégrale.</w:t>
      </w:r>
    </w:p>
    <w:p>
      <w:pPr>
        <w:pStyle w:val="BodyText"/>
        <w:spacing w:line="218" w:lineRule="auto" w:before="28"/>
        <w:ind w:right="38"/>
      </w:pPr>
      <w:r>
        <w:rPr>
          <w:color w:val="231F20"/>
        </w:rPr>
        <w:t>Art. 6:6. Les actions émises par la société doivent être intégralement et, nonobstant toute disposition statutaire contraire, inconditionnelle- ment souscrites.</w:t>
      </w:r>
    </w:p>
    <w:p>
      <w:pPr>
        <w:pStyle w:val="BodyText"/>
        <w:spacing w:line="218" w:lineRule="auto" w:before="82"/>
        <w:ind w:right="38"/>
      </w:pPr>
      <w:r>
        <w:rPr>
          <w:color w:val="231F20"/>
        </w:rPr>
        <w:t>Art. 6:7. § 1</w:t>
      </w:r>
      <w:r>
        <w:rPr>
          <w:color w:val="231F20"/>
          <w:position w:val="7"/>
          <w:sz w:val="11"/>
        </w:rPr>
        <w:t>er</w:t>
      </w:r>
      <w:r>
        <w:rPr>
          <w:color w:val="231F20"/>
        </w:rPr>
        <w:t>. La société ne peut souscrire ses propres actions, ni directement, ni par une société filiale, ni par une personne agissant en son</w:t>
      </w:r>
      <w:r>
        <w:rPr>
          <w:color w:val="231F20"/>
          <w:spacing w:val="-4"/>
        </w:rPr>
        <w:t> </w:t>
      </w:r>
      <w:r>
        <w:rPr>
          <w:color w:val="231F20"/>
        </w:rPr>
        <w:t>nom</w:t>
      </w:r>
      <w:r>
        <w:rPr>
          <w:color w:val="231F20"/>
          <w:spacing w:val="-3"/>
        </w:rPr>
        <w:t> </w:t>
      </w:r>
      <w:r>
        <w:rPr>
          <w:color w:val="231F20"/>
        </w:rPr>
        <w:t>propre</w:t>
      </w:r>
      <w:r>
        <w:rPr>
          <w:color w:val="231F20"/>
          <w:spacing w:val="-3"/>
        </w:rPr>
        <w:t> </w:t>
      </w:r>
      <w:r>
        <w:rPr>
          <w:color w:val="231F20"/>
        </w:rPr>
        <w:t>mais</w:t>
      </w:r>
      <w:r>
        <w:rPr>
          <w:color w:val="231F20"/>
          <w:spacing w:val="-3"/>
        </w:rPr>
        <w:t> </w:t>
      </w:r>
      <w:r>
        <w:rPr>
          <w:color w:val="231F20"/>
        </w:rPr>
        <w:t>pour</w:t>
      </w:r>
      <w:r>
        <w:rPr>
          <w:color w:val="231F20"/>
          <w:spacing w:val="-3"/>
        </w:rPr>
        <w:t> </w:t>
      </w:r>
      <w:r>
        <w:rPr>
          <w:color w:val="231F20"/>
        </w:rPr>
        <w:t>le</w:t>
      </w:r>
      <w:r>
        <w:rPr>
          <w:color w:val="231F20"/>
          <w:spacing w:val="-3"/>
        </w:rPr>
        <w:t> </w:t>
      </w:r>
      <w:r>
        <w:rPr>
          <w:color w:val="231F20"/>
        </w:rPr>
        <w:t>compte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ou</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filiale.</w:t>
      </w:r>
    </w:p>
    <w:p>
      <w:pPr>
        <w:pStyle w:val="BodyText"/>
        <w:spacing w:before="10"/>
        <w:ind w:left="0" w:right="0" w:firstLine="0"/>
        <w:jc w:val="left"/>
        <w:rPr>
          <w:sz w:val="23"/>
        </w:rPr>
      </w:pPr>
    </w:p>
    <w:p>
      <w:pPr>
        <w:pStyle w:val="BodyText"/>
        <w:spacing w:line="218" w:lineRule="auto"/>
        <w:ind w:right="38"/>
      </w:pPr>
      <w:r>
        <w:rPr>
          <w:color w:val="231F20"/>
        </w:rPr>
        <w:t>La personne qui a souscrit des actions en son nom propre mais pour le compte de la société ou de la société filiale est censée avoir souscrit pour son propre compte.</w:t>
      </w:r>
    </w:p>
    <w:p>
      <w:pPr>
        <w:pStyle w:val="BodyText"/>
        <w:spacing w:line="218" w:lineRule="auto" w:before="96"/>
        <w:ind w:right="38"/>
      </w:pPr>
      <w:r>
        <w:rPr>
          <w:color w:val="231F20"/>
        </w:rPr>
        <w:t>Tous les droits afférents aux actions sont suspendus, tant que ces actions n’ont pas été aliénés.</w:t>
      </w:r>
    </w:p>
    <w:p>
      <w:pPr>
        <w:pStyle w:val="BodyText"/>
        <w:spacing w:line="218" w:lineRule="auto" w:before="92"/>
        <w:ind w:right="38"/>
      </w:pPr>
      <w:r>
        <w:rPr>
          <w:color w:val="231F20"/>
        </w:rPr>
        <w:t>§ 2. Le paragraphe 1</w:t>
      </w:r>
      <w:r>
        <w:rPr>
          <w:color w:val="231F20"/>
          <w:position w:val="7"/>
          <w:sz w:val="11"/>
        </w:rPr>
        <w:t>er </w:t>
      </w:r>
      <w:r>
        <w:rPr>
          <w:color w:val="231F20"/>
        </w:rPr>
        <w:t>n’est pas applicable à la souscription d’actions d’une société par une société filiale qui, en sa qualité d’opérateur professionnel sur titres, est une société de bourse ou un établissement de crédit.</w:t>
      </w:r>
    </w:p>
    <w:p>
      <w:pPr>
        <w:pStyle w:val="BodyText"/>
        <w:spacing w:before="93"/>
        <w:ind w:left="283" w:right="0" w:firstLine="0"/>
        <w:jc w:val="left"/>
      </w:pPr>
      <w:r>
        <w:rPr>
          <w:color w:val="231F20"/>
        </w:rPr>
        <w:t>Section 2. Apport en nature.</w:t>
      </w:r>
    </w:p>
    <w:p>
      <w:pPr>
        <w:pStyle w:val="BodyText"/>
        <w:spacing w:line="218" w:lineRule="auto" w:before="88"/>
        <w:ind w:right="38"/>
      </w:pPr>
      <w:r>
        <w:rPr>
          <w:color w:val="231F20"/>
        </w:rPr>
        <w:t>Art.</w:t>
      </w:r>
      <w:r>
        <w:rPr>
          <w:color w:val="231F20"/>
          <w:spacing w:val="-3"/>
        </w:rPr>
        <w:t> </w:t>
      </w:r>
      <w:r>
        <w:rPr>
          <w:color w:val="231F20"/>
        </w:rPr>
        <w:t>6:8.</w:t>
      </w:r>
      <w:r>
        <w:rPr>
          <w:color w:val="231F20"/>
          <w:spacing w:val="-3"/>
        </w:rPr>
        <w:t> </w:t>
      </w:r>
      <w:r>
        <w:rPr>
          <w:color w:val="231F20"/>
        </w:rPr>
        <w:t>§</w:t>
      </w:r>
      <w:r>
        <w:rPr>
          <w:color w:val="231F20"/>
          <w:spacing w:val="-3"/>
        </w:rPr>
        <w:t> </w:t>
      </w:r>
      <w:r>
        <w:rPr>
          <w:color w:val="231F20"/>
        </w:rPr>
        <w:t>1</w:t>
      </w:r>
      <w:r>
        <w:rPr>
          <w:color w:val="231F20"/>
          <w:position w:val="7"/>
          <w:sz w:val="11"/>
        </w:rPr>
        <w:t>er</w:t>
      </w:r>
      <w:r>
        <w:rPr>
          <w:color w:val="231F20"/>
        </w:rPr>
        <w:t>.</w:t>
      </w:r>
      <w:r>
        <w:rPr>
          <w:color w:val="231F20"/>
          <w:spacing w:val="-2"/>
        </w:rPr>
        <w:t> </w:t>
      </w:r>
      <w:r>
        <w:rPr>
          <w:color w:val="231F20"/>
        </w:rPr>
        <w:t>En</w:t>
      </w:r>
      <w:r>
        <w:rPr>
          <w:color w:val="231F20"/>
          <w:spacing w:val="-3"/>
        </w:rPr>
        <w:t> </w:t>
      </w:r>
      <w:r>
        <w:rPr>
          <w:color w:val="231F20"/>
        </w:rPr>
        <w:t>cas</w:t>
      </w:r>
      <w:r>
        <w:rPr>
          <w:color w:val="231F20"/>
          <w:spacing w:val="-3"/>
        </w:rPr>
        <w:t> </w:t>
      </w:r>
      <w:r>
        <w:rPr>
          <w:color w:val="231F20"/>
        </w:rPr>
        <w:t>d’apport</w:t>
      </w:r>
      <w:r>
        <w:rPr>
          <w:color w:val="231F20"/>
          <w:spacing w:val="-3"/>
        </w:rPr>
        <w:t> </w:t>
      </w:r>
      <w:r>
        <w:rPr>
          <w:color w:val="231F20"/>
        </w:rPr>
        <w:t>en</w:t>
      </w:r>
      <w:r>
        <w:rPr>
          <w:color w:val="231F20"/>
          <w:spacing w:val="-2"/>
        </w:rPr>
        <w:t> </w:t>
      </w:r>
      <w:r>
        <w:rPr>
          <w:color w:val="231F20"/>
        </w:rPr>
        <w:t>nature,</w:t>
      </w:r>
      <w:r>
        <w:rPr>
          <w:color w:val="231F20"/>
          <w:spacing w:val="-3"/>
        </w:rPr>
        <w:t> </w:t>
      </w:r>
      <w:r>
        <w:rPr>
          <w:color w:val="231F20"/>
        </w:rPr>
        <w:t>les</w:t>
      </w:r>
      <w:r>
        <w:rPr>
          <w:color w:val="231F20"/>
          <w:spacing w:val="-3"/>
        </w:rPr>
        <w:t> </w:t>
      </w:r>
      <w:r>
        <w:rPr>
          <w:color w:val="231F20"/>
        </w:rPr>
        <w:t>fondateurs</w:t>
      </w:r>
      <w:r>
        <w:rPr>
          <w:color w:val="231F20"/>
          <w:spacing w:val="-3"/>
        </w:rPr>
        <w:t> </w:t>
      </w:r>
      <w:r>
        <w:rPr>
          <w:color w:val="231F20"/>
        </w:rPr>
        <w:t>exposent</w:t>
      </w:r>
      <w:r>
        <w:rPr>
          <w:color w:val="231F20"/>
          <w:spacing w:val="-2"/>
        </w:rPr>
        <w:t> </w:t>
      </w:r>
      <w:r>
        <w:rPr>
          <w:color w:val="231F20"/>
        </w:rPr>
        <w:t>dans un rapport spécial l’intérêt que l’apport présente pour la société. Le rapport comporte une description de chaque apport en nature et en donne une évaluation motivée. Il indique quelle est la rémunération attribuée en contrepartie de l’apport. Les fondateurs communiquent ce rapport</w:t>
      </w:r>
      <w:r>
        <w:rPr>
          <w:color w:val="231F20"/>
          <w:spacing w:val="16"/>
        </w:rPr>
        <w:t> </w:t>
      </w:r>
      <w:r>
        <w:rPr>
          <w:color w:val="231F20"/>
        </w:rPr>
        <w:t>en</w:t>
      </w:r>
      <w:r>
        <w:rPr>
          <w:color w:val="231F20"/>
          <w:spacing w:val="16"/>
        </w:rPr>
        <w:t> </w:t>
      </w:r>
      <w:r>
        <w:rPr>
          <w:color w:val="231F20"/>
        </w:rPr>
        <w:t>projet</w:t>
      </w:r>
      <w:r>
        <w:rPr>
          <w:color w:val="231F20"/>
          <w:spacing w:val="16"/>
        </w:rPr>
        <w:t> </w:t>
      </w:r>
      <w:r>
        <w:rPr>
          <w:color w:val="231F20"/>
        </w:rPr>
        <w:t>au</w:t>
      </w:r>
      <w:r>
        <w:rPr>
          <w:color w:val="231F20"/>
          <w:spacing w:val="16"/>
        </w:rPr>
        <w:t> </w:t>
      </w:r>
      <w:r>
        <w:rPr>
          <w:color w:val="231F20"/>
        </w:rPr>
        <w:t>réviseur</w:t>
      </w:r>
      <w:r>
        <w:rPr>
          <w:color w:val="231F20"/>
          <w:spacing w:val="16"/>
        </w:rPr>
        <w:t> </w:t>
      </w:r>
      <w:r>
        <w:rPr>
          <w:color w:val="231F20"/>
        </w:rPr>
        <w:t>d’entreprises</w:t>
      </w:r>
      <w:r>
        <w:rPr>
          <w:color w:val="231F20"/>
          <w:spacing w:val="16"/>
        </w:rPr>
        <w:t> </w:t>
      </w:r>
      <w:r>
        <w:rPr>
          <w:color w:val="231F20"/>
        </w:rPr>
        <w:t>qu’ils</w:t>
      </w:r>
      <w:r>
        <w:rPr>
          <w:color w:val="231F20"/>
          <w:spacing w:val="16"/>
        </w:rPr>
        <w:t> </w:t>
      </w:r>
      <w:r>
        <w:rPr>
          <w:color w:val="231F20"/>
        </w:rPr>
        <w:t>désignent.</w:t>
      </w:r>
    </w:p>
    <w:p>
      <w:pPr>
        <w:pStyle w:val="BodyText"/>
        <w:spacing w:line="218" w:lineRule="auto" w:before="119"/>
      </w:pPr>
      <w:r>
        <w:rPr/>
        <w:br w:type="column"/>
      </w:r>
      <w:r>
        <w:rPr>
          <w:color w:val="231F20"/>
        </w:rPr>
        <w:t>§ 3. Een coöperatieve vennootschap kan worden erkend overeenkom- stig de bepalingen van boek 8.</w:t>
      </w:r>
    </w:p>
    <w:p>
      <w:pPr>
        <w:pStyle w:val="BodyText"/>
        <w:spacing w:line="218" w:lineRule="auto" w:before="97"/>
      </w:pPr>
      <w:r>
        <w:rPr>
          <w:color w:val="231F20"/>
        </w:rPr>
        <w:t>§ 4. De coöperatieve finaliteit en de waarden van de coöperatieve vennootschap worden beschreven in de statuten en, in voorkomend geval, aangevuld met een uitvoerigere toelichting in een intern reglement of een handvest.</w:t>
      </w:r>
    </w:p>
    <w:p>
      <w:pPr>
        <w:pStyle w:val="BodyText"/>
        <w:spacing w:line="218" w:lineRule="auto" w:before="96"/>
      </w:pPr>
      <w:r>
        <w:rPr>
          <w:color w:val="231F20"/>
        </w:rPr>
        <w:t>Art. 6:2. De aandeelhouders van een coöperatieve vennootschap verbinden slechts hun inbreng.</w:t>
      </w:r>
    </w:p>
    <w:p>
      <w:pPr>
        <w:pStyle w:val="BodyText"/>
        <w:spacing w:before="82"/>
        <w:ind w:left="283" w:right="0" w:firstLine="0"/>
        <w:jc w:val="left"/>
      </w:pPr>
      <w:r>
        <w:rPr>
          <w:color w:val="231F20"/>
        </w:rPr>
        <w:t>TITEL 2. Oprichting.</w:t>
      </w:r>
    </w:p>
    <w:p>
      <w:pPr>
        <w:pStyle w:val="BodyText"/>
        <w:spacing w:before="79"/>
        <w:ind w:left="283" w:right="0" w:firstLine="0"/>
        <w:jc w:val="left"/>
      </w:pPr>
      <w:r>
        <w:rPr>
          <w:color w:val="231F20"/>
          <w:w w:val="105"/>
        </w:rPr>
        <w:t>HOOFDSTUK 1. Algemene bepalingen.</w:t>
      </w:r>
    </w:p>
    <w:p>
      <w:pPr>
        <w:pStyle w:val="BodyText"/>
        <w:spacing w:line="218" w:lineRule="auto" w:before="92"/>
      </w:pPr>
      <w:r>
        <w:rPr>
          <w:color w:val="231F20"/>
        </w:rPr>
        <w:t>Art. 6:3. Een coöperatieve vennootschap moet op straffe van nietig- heid door minstens drie personen worden opgericht.</w:t>
      </w:r>
    </w:p>
    <w:p>
      <w:pPr>
        <w:pStyle w:val="BodyText"/>
        <w:spacing w:before="82"/>
        <w:ind w:left="283" w:right="0" w:firstLine="0"/>
        <w:jc w:val="left"/>
      </w:pPr>
      <w:r>
        <w:rPr>
          <w:color w:val="231F20"/>
        </w:rPr>
        <w:t>HOOFDSTUK 2. Aanvangsvermogen.</w:t>
      </w:r>
    </w:p>
    <w:p>
      <w:pPr>
        <w:pStyle w:val="BodyText"/>
        <w:spacing w:line="218" w:lineRule="auto" w:before="93"/>
      </w:pPr>
      <w:r>
        <w:rPr>
          <w:color w:val="231F20"/>
        </w:rPr>
        <w:t>Art. 6:4. De oprichters zien erop toe dat de coöperatieve vennoot- schap bij de oprichting over een eigen vermogen beschikt dat, mede gelet op de andere financieringsbronnen, toereikend is in het licht van de voorgenomen</w:t>
      </w:r>
      <w:r>
        <w:rPr>
          <w:color w:val="231F20"/>
          <w:spacing w:val="-10"/>
        </w:rPr>
        <w:t> </w:t>
      </w:r>
      <w:r>
        <w:rPr>
          <w:color w:val="231F20"/>
        </w:rPr>
        <w:t>bedrijvigheid.</w:t>
      </w:r>
    </w:p>
    <w:p>
      <w:pPr>
        <w:pStyle w:val="BodyText"/>
        <w:spacing w:line="218" w:lineRule="auto" w:before="96"/>
        <w:ind w:right="123"/>
      </w:pPr>
      <w:r>
        <w:rPr>
          <w:color w:val="231F20"/>
        </w:rPr>
        <w:t>Art. 6:5. § 1. Vóór de oprichting van de vennootschap overhandigen de oprichters aan de optredende notaris een financieel plan waarin zij het bedrag van het aanvangsvermogen verantwoorden in het licht van de voorgenomen bedrijvigheid van de vennootschap over een periode van ten minste twee </w:t>
      </w:r>
      <w:r>
        <w:rPr>
          <w:color w:val="231F20"/>
          <w:spacing w:val="-3"/>
        </w:rPr>
        <w:t>jaar. </w:t>
      </w:r>
      <w:r>
        <w:rPr>
          <w:color w:val="231F20"/>
        </w:rPr>
        <w:t>Dit stuk wordt niet neergelegd met de akte, maar door de notaris</w:t>
      </w:r>
      <w:r>
        <w:rPr>
          <w:color w:val="231F20"/>
          <w:spacing w:val="20"/>
        </w:rPr>
        <w:t> </w:t>
      </w:r>
      <w:r>
        <w:rPr>
          <w:color w:val="231F20"/>
        </w:rPr>
        <w:t>bewaard.</w:t>
      </w:r>
    </w:p>
    <w:p>
      <w:pPr>
        <w:pStyle w:val="BodyText"/>
        <w:spacing w:line="218" w:lineRule="auto" w:before="97"/>
      </w:pPr>
      <w:r>
        <w:rPr>
          <w:color w:val="231F20"/>
        </w:rPr>
        <w:t>§ 2. Het financieel plan dient minstens volgende elementen te bevatten:</w:t>
      </w:r>
    </w:p>
    <w:p>
      <w:pPr>
        <w:pStyle w:val="BodyText"/>
        <w:spacing w:before="82"/>
        <w:ind w:left="283" w:right="0" w:firstLine="0"/>
        <w:jc w:val="left"/>
      </w:pPr>
      <w:r>
        <w:rPr>
          <w:color w:val="231F20"/>
        </w:rPr>
        <w:t>1° een nauwkeurige beschrijving van de voorgenomen bedrijvigheid;</w:t>
      </w:r>
    </w:p>
    <w:p>
      <w:pPr>
        <w:pStyle w:val="BodyText"/>
        <w:spacing w:line="218" w:lineRule="auto" w:before="92"/>
      </w:pPr>
      <w:r>
        <w:rPr>
          <w:color w:val="231F20"/>
        </w:rPr>
        <w:t>2° een overzicht van alle financieringsbronnen bij oprichting, in voorkomend geval, met opgave van de in dat verband verstrekte zekerheden;</w:t>
      </w:r>
    </w:p>
    <w:p>
      <w:pPr>
        <w:pStyle w:val="BodyText"/>
        <w:spacing w:line="218" w:lineRule="auto" w:before="97"/>
      </w:pPr>
      <w:r>
        <w:rPr>
          <w:color w:val="231F20"/>
        </w:rPr>
        <w:t>3° een openingsbalans opgesteld volgens het schema bedoeld in artikel 3:3, evenals geprojecteerde balansen na twaalf en vierentwintig maanden;</w:t>
      </w:r>
    </w:p>
    <w:p>
      <w:pPr>
        <w:pStyle w:val="BodyText"/>
        <w:spacing w:line="218" w:lineRule="auto" w:before="96"/>
      </w:pPr>
      <w:r>
        <w:rPr>
          <w:color w:val="231F20"/>
        </w:rPr>
        <w:t>4° een geprojecteerde resultatenrekening na twaalf en vierentwintig maanden, opgesteld volgens het schema bedoeld in artikel 3:3;</w:t>
      </w:r>
    </w:p>
    <w:p>
      <w:pPr>
        <w:pStyle w:val="BodyText"/>
        <w:spacing w:line="218" w:lineRule="auto" w:before="96"/>
      </w:pPr>
      <w:r>
        <w:rPr>
          <w:color w:val="231F20"/>
        </w:rPr>
        <w:t>5° een begroting van de verwachte inkomsten en uitgaven voor een periode van minstens twee jaar na de oprichting;</w:t>
      </w:r>
    </w:p>
    <w:p>
      <w:pPr>
        <w:pStyle w:val="BodyText"/>
        <w:spacing w:line="218" w:lineRule="auto" w:before="96"/>
      </w:pPr>
      <w:r>
        <w:rPr>
          <w:color w:val="231F20"/>
        </w:rPr>
        <w:t>6° een beschrijving van de gehanteerde hypotheses bij de schatting van de verwachte omzet en de verwachte rentabiliteit;</w:t>
      </w:r>
    </w:p>
    <w:p>
      <w:pPr>
        <w:pStyle w:val="BodyText"/>
        <w:spacing w:line="218" w:lineRule="auto" w:before="96"/>
      </w:pPr>
      <w:r>
        <w:rPr>
          <w:color w:val="231F20"/>
        </w:rPr>
        <w:t>7° in voorkomend geval, de naam van de externe deskundige die bijstand heeft verleend bij de opmaak van het financieel plan.</w:t>
      </w:r>
    </w:p>
    <w:p>
      <w:pPr>
        <w:pStyle w:val="BodyText"/>
        <w:spacing w:line="218" w:lineRule="auto" w:before="96"/>
      </w:pPr>
      <w:r>
        <w:rPr>
          <w:color w:val="231F20"/>
        </w:rPr>
        <w:t>§ 3. Bij de opstelling van de geprojecteerde balansen en resultaten- rekeningen kan een andere periodiciteit dan deze bedoeld in para- graaf 2, 3° en 4°, worden gehanteerd op voorwaarde dat de projecties in totaal betrekking hebben op een periode van minstens twee jaar na de oprichting.</w:t>
      </w:r>
    </w:p>
    <w:p>
      <w:pPr>
        <w:pStyle w:val="BodyText"/>
        <w:spacing w:line="338" w:lineRule="auto" w:before="83"/>
        <w:ind w:left="283" w:right="1535" w:firstLine="0"/>
        <w:jc w:val="left"/>
      </w:pPr>
      <w:r>
        <w:rPr>
          <w:color w:val="231F20"/>
        </w:rPr>
        <w:t>HOOFDSTUK 3. Plaatsing van de aandelen. Afdeling 1. Volledige plaatsing.</w:t>
      </w:r>
    </w:p>
    <w:p>
      <w:pPr>
        <w:pStyle w:val="BodyText"/>
        <w:spacing w:line="218" w:lineRule="auto" w:before="13"/>
        <w:ind w:right="123"/>
      </w:pPr>
      <w:r>
        <w:rPr>
          <w:color w:val="231F20"/>
        </w:rPr>
        <w:t>Art. 6:6. De door de vennootschap uitgegeven aandelen moeten </w:t>
      </w:r>
      <w:r>
        <w:rPr>
          <w:color w:val="231F20"/>
          <w:spacing w:val="-3"/>
        </w:rPr>
        <w:t>volledig </w:t>
      </w:r>
      <w:r>
        <w:rPr>
          <w:color w:val="231F20"/>
        </w:rPr>
        <w:t>en, </w:t>
      </w:r>
      <w:r>
        <w:rPr>
          <w:color w:val="231F20"/>
          <w:spacing w:val="-3"/>
        </w:rPr>
        <w:t>niettegenstaande andersluidende statutaire bepaling, onvoor- </w:t>
      </w:r>
      <w:r>
        <w:rPr>
          <w:color w:val="231F20"/>
        </w:rPr>
        <w:t>waardelijk zijn geplaatst.</w:t>
      </w:r>
    </w:p>
    <w:p>
      <w:pPr>
        <w:pStyle w:val="BodyText"/>
        <w:spacing w:line="218" w:lineRule="auto" w:before="96"/>
      </w:pPr>
      <w:r>
        <w:rPr>
          <w:color w:val="231F20"/>
        </w:rPr>
        <w:t>Art. 6:7. § 1. De vennootschap mag niet inschrijven op haar eigen aandelen, noch rechtstreeks, noch door een dochtervennootschap, noch door een persoon die handelt in eigen naam maar voor rekening van de vennootschap of de dochtervennootschap.</w:t>
      </w:r>
    </w:p>
    <w:p>
      <w:pPr>
        <w:pStyle w:val="BodyText"/>
        <w:spacing w:line="218" w:lineRule="auto" w:before="96"/>
      </w:pPr>
      <w:r>
        <w:rPr>
          <w:color w:val="231F20"/>
        </w:rPr>
        <w:t>De persoon die in eigen naam maar voor rekening van de vennoot- schap of van de dochtervennootschap op aandelen heeft ingeschreven, wordt geacht voor eigen rekening te hebben gehandeld.</w:t>
      </w:r>
    </w:p>
    <w:p>
      <w:pPr>
        <w:pStyle w:val="BodyText"/>
        <w:spacing w:line="218" w:lineRule="auto" w:before="96"/>
      </w:pPr>
      <w:r>
        <w:rPr>
          <w:color w:val="231F20"/>
        </w:rPr>
        <w:t>Alle rechten verbonden aan aandelen blijven geschorst zolang die aandelen niet zijn vervreemd.</w:t>
      </w:r>
    </w:p>
    <w:p>
      <w:pPr>
        <w:pStyle w:val="BodyText"/>
        <w:spacing w:line="218" w:lineRule="auto" w:before="107"/>
      </w:pPr>
      <w:r>
        <w:rPr>
          <w:color w:val="231F20"/>
        </w:rPr>
        <w:t>§ 2. Paragraaf 1 is niet van toepassing op de inschrijving op aandelen van een vennootschap door een dochtervennootschap die in haar hoedanigheid van professionele effectenhandelaar, een beursvennoot- schap of een kredietinstelling</w:t>
      </w:r>
      <w:r>
        <w:rPr>
          <w:color w:val="231F20"/>
          <w:spacing w:val="19"/>
        </w:rPr>
        <w:t> </w:t>
      </w:r>
      <w:r>
        <w:rPr>
          <w:color w:val="231F20"/>
        </w:rPr>
        <w:t>is.</w:t>
      </w:r>
    </w:p>
    <w:p>
      <w:pPr>
        <w:pStyle w:val="BodyText"/>
        <w:spacing w:before="93"/>
        <w:ind w:left="283" w:right="0" w:firstLine="0"/>
        <w:jc w:val="left"/>
      </w:pPr>
      <w:r>
        <w:rPr>
          <w:color w:val="231F20"/>
        </w:rPr>
        <w:t>Afdeling 2. Inbreng in </w:t>
      </w:r>
      <w:r>
        <w:rPr>
          <w:color w:val="231F20"/>
          <w:spacing w:val="22"/>
        </w:rPr>
        <w:t> </w:t>
      </w:r>
      <w:r>
        <w:rPr>
          <w:color w:val="231F20"/>
        </w:rPr>
        <w:t>natura.</w:t>
      </w:r>
    </w:p>
    <w:p>
      <w:pPr>
        <w:pStyle w:val="BodyText"/>
        <w:spacing w:line="218" w:lineRule="auto" w:before="103"/>
      </w:pPr>
      <w:r>
        <w:rPr>
          <w:color w:val="231F20"/>
        </w:rPr>
        <w:t>Art. 6:8. § 1. Ingeval van een inbreng in natura zetten de oprichters in een bijzonder verslag uiteen waarom de inbreng van belang is voor de vennootschap. Het verslag bevat een beschrijving van elke inbreng in natura en geeft daarvan een gemotiveerde waardering. Het geeft aan welke vergoeding als tegenprestatie voor de inbreng wordt verstrekt.  De oprichters delen dit verslag in ontwerp mee aan een bedrijfsrevisor die zij</w:t>
      </w:r>
      <w:r>
        <w:rPr>
          <w:color w:val="231F20"/>
          <w:spacing w:val="-11"/>
        </w:rPr>
        <w:t> </w:t>
      </w:r>
      <w:r>
        <w:rPr>
          <w:color w:val="231F20"/>
        </w:rPr>
        <w:t>aanwijzen.</w:t>
      </w:r>
    </w:p>
    <w:p>
      <w:pPr>
        <w:spacing w:after="0" w:line="218" w:lineRule="auto"/>
        <w:sectPr>
          <w:headerReference w:type="even" r:id="rId55"/>
          <w:headerReference w:type="default" r:id="rId56"/>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3952" from="298.170502pt,64.473pt" to="298.170502pt,812.819pt" stroked="true" strokeweight=".533pt" strokecolor="#231f20">
            <v:stroke dashstyle="solid"/>
            <w10:wrap type="none"/>
          </v:line>
        </w:pict>
      </w:r>
      <w:bookmarkStart w:name="_bookmark122" w:id="127"/>
      <w:bookmarkEnd w:id="127"/>
      <w:r>
        <w:rPr/>
      </w:r>
      <w:r>
        <w:rPr>
          <w:color w:val="231F20"/>
        </w:rPr>
        <w:t>Le réviseur d’entreprises établit un rapport dans lequel il examine la description faite par les fondateurs de chaque apport en nature, l’évaluation adoptée et les modes d’évaluation appliqués. Le rapport doit indiquer si les valeurs auxquelles conduisent ces modes d’évalua- tion correspondent au moins à la valeur de l’apport mentionné dans l’acte. Il indique quelle est la rémunération réelle attribuée en contrepartie de l’apport.</w:t>
      </w:r>
    </w:p>
    <w:p>
      <w:pPr>
        <w:pStyle w:val="BodyText"/>
        <w:spacing w:line="218" w:lineRule="auto" w:before="107"/>
        <w:ind w:right="38"/>
      </w:pPr>
      <w:r>
        <w:rPr>
          <w:color w:val="231F20"/>
        </w:rPr>
        <w:t>Dans leur rapport, les fondateurs indiquent, le cas échéant, les raisons pour lesquelles ils s’écartent des conclusions du rapport du réviseur.</w:t>
      </w:r>
    </w:p>
    <w:p>
      <w:pPr>
        <w:pStyle w:val="BodyText"/>
        <w:spacing w:line="218" w:lineRule="auto" w:before="107"/>
        <w:ind w:right="38"/>
      </w:pPr>
      <w:r>
        <w:rPr>
          <w:color w:val="231F20"/>
        </w:rPr>
        <w:t>Ce rapport est déposé et publié avec celui du réviseur, conformément aux articles 2:8 et 2:14, 4°.</w:t>
      </w:r>
    </w:p>
    <w:p>
      <w:pPr>
        <w:pStyle w:val="BodyText"/>
        <w:spacing w:line="218" w:lineRule="auto" w:before="91"/>
        <w:ind w:right="39"/>
      </w:pPr>
      <w:r>
        <w:rPr>
          <w:color w:val="231F20"/>
        </w:rPr>
        <w:t>§ 2. Le paragraphe 1</w:t>
      </w:r>
      <w:r>
        <w:rPr>
          <w:color w:val="231F20"/>
          <w:position w:val="7"/>
          <w:sz w:val="11"/>
        </w:rPr>
        <w:t>er </w:t>
      </w:r>
      <w:r>
        <w:rPr>
          <w:color w:val="231F20"/>
        </w:rPr>
        <w:t>n’est pas applicable lorsqu’un apport en nature est constitué:</w:t>
      </w:r>
    </w:p>
    <w:p>
      <w:pPr>
        <w:pStyle w:val="BodyText"/>
        <w:spacing w:line="218" w:lineRule="auto" w:before="107"/>
        <w:ind w:right="38"/>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before="1"/>
        <w:ind w:right="38"/>
      </w:pP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0"/>
          <w:numId w:val="102"/>
        </w:numPr>
        <w:tabs>
          <w:tab w:pos="461" w:val="left" w:leader="none"/>
        </w:tabs>
        <w:spacing w:line="218" w:lineRule="auto" w:before="115" w:after="0"/>
        <w:ind w:left="113" w:right="38" w:firstLine="170"/>
        <w:jc w:val="both"/>
        <w:rPr>
          <w:sz w:val="17"/>
        </w:rPr>
      </w:pPr>
      <w:r>
        <w:rPr>
          <w:color w:val="231F20"/>
          <w:sz w:val="17"/>
        </w:rPr>
        <w:t>la juste valeur est déterminée à une date qui ne précède de plus de six</w:t>
      </w:r>
      <w:r>
        <w:rPr>
          <w:color w:val="231F20"/>
          <w:spacing w:val="15"/>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5"/>
          <w:sz w:val="17"/>
        </w:rPr>
        <w:t> </w:t>
      </w:r>
      <w:r>
        <w:rPr>
          <w:color w:val="231F20"/>
          <w:sz w:val="17"/>
        </w:rPr>
        <w:t>effective</w:t>
      </w:r>
      <w:r>
        <w:rPr>
          <w:color w:val="231F20"/>
          <w:spacing w:val="15"/>
          <w:sz w:val="17"/>
        </w:rPr>
        <w:t> </w:t>
      </w:r>
      <w:r>
        <w:rPr>
          <w:color w:val="231F20"/>
          <w:sz w:val="17"/>
        </w:rPr>
        <w:t>de</w:t>
      </w:r>
      <w:r>
        <w:rPr>
          <w:color w:val="231F20"/>
          <w:spacing w:val="15"/>
          <w:sz w:val="17"/>
        </w:rPr>
        <w:t> </w:t>
      </w:r>
      <w:r>
        <w:rPr>
          <w:color w:val="231F20"/>
          <w:sz w:val="17"/>
        </w:rPr>
        <w:t>l’apport;</w:t>
      </w:r>
    </w:p>
    <w:p>
      <w:pPr>
        <w:pStyle w:val="BodyText"/>
        <w:spacing w:before="6"/>
        <w:ind w:left="0" w:right="0" w:firstLine="0"/>
        <w:jc w:val="left"/>
        <w:rPr>
          <w:sz w:val="25"/>
        </w:rPr>
      </w:pPr>
    </w:p>
    <w:p>
      <w:pPr>
        <w:pStyle w:val="ListParagraph"/>
        <w:numPr>
          <w:ilvl w:val="0"/>
          <w:numId w:val="102"/>
        </w:numPr>
        <w:tabs>
          <w:tab w:pos="509" w:val="left" w:leader="none"/>
        </w:tabs>
        <w:spacing w:line="218" w:lineRule="auto" w:before="0"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line="218" w:lineRule="auto" w:before="118"/>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103"/>
        <w:ind w:right="38"/>
      </w:pPr>
      <w:r>
        <w:rPr>
          <w:color w:val="231F20"/>
        </w:rPr>
        <w:t>Le paragraphe 1</w:t>
      </w:r>
      <w:r>
        <w:rPr>
          <w:color w:val="231F20"/>
          <w:position w:val="7"/>
          <w:sz w:val="11"/>
        </w:rPr>
        <w:t>er </w:t>
      </w:r>
      <w:r>
        <w:rPr>
          <w:color w:val="231F20"/>
        </w:rPr>
        <w:t>s’applique toutefois à la réévaluation effectuée à l’initiative et sous la responsabilité des fondateurs:</w:t>
      </w:r>
    </w:p>
    <w:p>
      <w:pPr>
        <w:pStyle w:val="BodyText"/>
        <w:spacing w:before="5"/>
        <w:ind w:left="0" w:right="0" w:firstLine="0"/>
        <w:jc w:val="left"/>
        <w:rPr>
          <w:sz w:val="24"/>
        </w:rPr>
      </w:pPr>
    </w:p>
    <w:p>
      <w:pPr>
        <w:pStyle w:val="BodyText"/>
        <w:spacing w:line="218" w:lineRule="auto"/>
        <w:ind w:right="38"/>
      </w:pPr>
      <w:r>
        <w:rPr>
          <w:color w:val="231F20"/>
        </w:rPr>
        <w:t>1° dans le cas prévu au paragraphe 2, alinéa 1</w:t>
      </w:r>
      <w:r>
        <w:rPr>
          <w:color w:val="231F20"/>
          <w:position w:val="7"/>
          <w:sz w:val="11"/>
        </w:rPr>
        <w:t>er</w:t>
      </w:r>
      <w:r>
        <w:rPr>
          <w:color w:val="231F20"/>
        </w:rPr>
        <w:t>, 1°, si le cours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before="6"/>
        <w:ind w:left="0" w:right="0" w:firstLine="0"/>
        <w:jc w:val="left"/>
        <w:rPr>
          <w:sz w:val="24"/>
        </w:rPr>
      </w:pPr>
    </w:p>
    <w:p>
      <w:pPr>
        <w:pStyle w:val="BodyText"/>
        <w:spacing w:line="218" w:lineRule="auto"/>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spacing w:before="1"/>
        <w:ind w:left="0" w:right="0" w:firstLine="0"/>
        <w:jc w:val="left"/>
        <w:rPr>
          <w:sz w:val="26"/>
        </w:rPr>
      </w:pPr>
    </w:p>
    <w:p>
      <w:pPr>
        <w:pStyle w:val="BodyText"/>
        <w:spacing w:line="213" w:lineRule="auto"/>
        <w:ind w:right="38"/>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8"/>
        <w:ind w:left="0" w:right="0" w:firstLine="0"/>
        <w:jc w:val="left"/>
        <w:rPr>
          <w:sz w:val="24"/>
        </w:rPr>
      </w:pPr>
    </w:p>
    <w:p>
      <w:pPr>
        <w:pStyle w:val="BodyText"/>
        <w:spacing w:line="364" w:lineRule="auto"/>
        <w:ind w:left="283" w:right="1360" w:firstLine="0"/>
        <w:jc w:val="left"/>
      </w:pPr>
      <w:r>
        <w:rPr>
          <w:color w:val="231F20"/>
        </w:rPr>
        <w:t>1° une description de l’apport en nature concerné; 2° le nom de l’apporteur;</w:t>
      </w:r>
    </w:p>
    <w:p>
      <w:pPr>
        <w:pStyle w:val="BodyText"/>
        <w:spacing w:line="218" w:lineRule="auto" w:before="13"/>
        <w:ind w:right="38"/>
      </w:pPr>
      <w:r>
        <w:rPr>
          <w:color w:val="231F20"/>
        </w:rPr>
        <w:t>3° la valeur de cet apport, l’origine de cette évaluation et, le cas échéant, le mode d’évaluation;</w:t>
      </w:r>
    </w:p>
    <w:p>
      <w:pPr>
        <w:pStyle w:val="BodyText"/>
        <w:spacing w:line="218" w:lineRule="auto" w:before="118"/>
        <w:ind w:right="38"/>
      </w:pPr>
      <w:r>
        <w:rPr>
          <w:color w:val="231F20"/>
        </w:rPr>
        <w:t>4° le nombre d’actions émises en contrepartie de chaque apport en nature;</w:t>
      </w:r>
    </w:p>
    <w:p>
      <w:pPr>
        <w:pStyle w:val="BodyText"/>
        <w:spacing w:line="218" w:lineRule="auto" w:before="117"/>
        <w:ind w:right="41"/>
      </w:pPr>
      <w:r>
        <w:rPr>
          <w:color w:val="231F20"/>
        </w:rPr>
        <w:t>5° une attestation selon laquelle aucune circonstance particulière nouvelle susceptible d’influencer l’évaluation initiale n’est survenue.</w:t>
      </w:r>
    </w:p>
    <w:p>
      <w:pPr>
        <w:pStyle w:val="BodyText"/>
        <w:spacing w:before="6"/>
        <w:ind w:left="0" w:right="0" w:firstLine="0"/>
        <w:jc w:val="left"/>
        <w:rPr>
          <w:sz w:val="24"/>
        </w:rPr>
      </w:pPr>
    </w:p>
    <w:p>
      <w:pPr>
        <w:pStyle w:val="BodyText"/>
        <w:ind w:left="283" w:right="0" w:firstLine="0"/>
        <w:jc w:val="left"/>
      </w:pPr>
      <w:r>
        <w:rPr>
          <w:color w:val="231F20"/>
        </w:rPr>
        <w:t>CHAPITRE 4. Libération des apports.</w:t>
      </w:r>
    </w:p>
    <w:p>
      <w:pPr>
        <w:pStyle w:val="BodyText"/>
        <w:spacing w:line="218" w:lineRule="auto" w:before="114"/>
        <w:ind w:right="38"/>
      </w:pPr>
      <w:r>
        <w:rPr>
          <w:color w:val="231F20"/>
        </w:rPr>
        <w:t>Art. 6:9. Sauf disposition contraire dans l’acte constitutif, tous les apports sont intégralement libérés dès la constitution.</w:t>
      </w:r>
    </w:p>
    <w:p>
      <w:pPr>
        <w:pStyle w:val="BodyText"/>
        <w:spacing w:line="218" w:lineRule="auto" w:before="119"/>
      </w:pPr>
      <w:r>
        <w:rPr/>
        <w:br w:type="column"/>
      </w:r>
      <w:r>
        <w:rPr>
          <w:color w:val="231F20"/>
        </w:rPr>
        <w:t>De bedrijfsrevisor maakt een verslag op waarin hij de door de oprichters gegeven beschrijving van elke inbreng in natura, de toegepaste waardering en de daartoe aangewende waarderingsmetho- des onderzoekt. Het verslag moet aangeven of de waarden  waartoe deze methodes leiden, ten minste overeenkomen met de waarde van de inbreng die in de akte wordt vermeld. Het vermeldt welke werkelijke vergoeding</w:t>
      </w:r>
      <w:r>
        <w:rPr>
          <w:color w:val="231F20"/>
          <w:spacing w:val="17"/>
        </w:rPr>
        <w:t> </w:t>
      </w:r>
      <w:r>
        <w:rPr>
          <w:color w:val="231F20"/>
        </w:rPr>
        <w:t>als</w:t>
      </w:r>
      <w:r>
        <w:rPr>
          <w:color w:val="231F20"/>
          <w:spacing w:val="18"/>
        </w:rPr>
        <w:t> </w:t>
      </w:r>
      <w:r>
        <w:rPr>
          <w:color w:val="231F20"/>
        </w:rPr>
        <w:t>tegenprestatie</w:t>
      </w:r>
      <w:r>
        <w:rPr>
          <w:color w:val="231F20"/>
          <w:spacing w:val="18"/>
        </w:rPr>
        <w:t> </w:t>
      </w:r>
      <w:r>
        <w:rPr>
          <w:color w:val="231F20"/>
        </w:rPr>
        <w:t>voor</w:t>
      </w:r>
      <w:r>
        <w:rPr>
          <w:color w:val="231F20"/>
          <w:spacing w:val="18"/>
        </w:rPr>
        <w:t> </w:t>
      </w:r>
      <w:r>
        <w:rPr>
          <w:color w:val="231F20"/>
        </w:rPr>
        <w:t>de</w:t>
      </w:r>
      <w:r>
        <w:rPr>
          <w:color w:val="231F20"/>
          <w:spacing w:val="18"/>
        </w:rPr>
        <w:t> </w:t>
      </w:r>
      <w:r>
        <w:rPr>
          <w:color w:val="231F20"/>
        </w:rPr>
        <w:t>inbreng</w:t>
      </w:r>
      <w:r>
        <w:rPr>
          <w:color w:val="231F20"/>
          <w:spacing w:val="17"/>
        </w:rPr>
        <w:t> </w:t>
      </w:r>
      <w:r>
        <w:rPr>
          <w:color w:val="231F20"/>
        </w:rPr>
        <w:t>wordt</w:t>
      </w:r>
      <w:r>
        <w:rPr>
          <w:color w:val="231F20"/>
          <w:spacing w:val="18"/>
        </w:rPr>
        <w:t> </w:t>
      </w:r>
      <w:r>
        <w:rPr>
          <w:color w:val="231F20"/>
        </w:rPr>
        <w:t>verstrekt.</w:t>
      </w:r>
    </w:p>
    <w:p>
      <w:pPr>
        <w:pStyle w:val="BodyText"/>
        <w:spacing w:line="218" w:lineRule="auto" w:before="108"/>
      </w:pPr>
      <w:r>
        <w:rPr>
          <w:color w:val="231F20"/>
        </w:rPr>
        <w:t>In hun verslag zetten de oprichters in voorkomend geval uiteen waarom zij afwijken van de conclusies van het verslag van de revisor.</w:t>
      </w:r>
    </w:p>
    <w:p>
      <w:pPr>
        <w:pStyle w:val="BodyText"/>
        <w:spacing w:before="9"/>
        <w:ind w:left="0" w:right="0" w:firstLine="0"/>
        <w:jc w:val="left"/>
        <w:rPr>
          <w:sz w:val="24"/>
        </w:rPr>
      </w:pPr>
    </w:p>
    <w:p>
      <w:pPr>
        <w:pStyle w:val="BodyText"/>
        <w:spacing w:line="218" w:lineRule="auto" w:before="1"/>
      </w:pPr>
      <w:r>
        <w:rPr>
          <w:color w:val="231F20"/>
        </w:rPr>
        <w:t>Dat verslag wordt, samen met het verslag van de revisor, neergelegd en bekendgemaakt overeenkomstig de artikelen 2:8 en 2:14, 4°.</w:t>
      </w:r>
    </w:p>
    <w:p>
      <w:pPr>
        <w:pStyle w:val="BodyText"/>
        <w:spacing w:line="218" w:lineRule="auto" w:before="106"/>
      </w:pPr>
      <w:r>
        <w:rPr>
          <w:color w:val="231F20"/>
        </w:rPr>
        <w:t>§ 2. Paragraaf 1 is niet van toepassing wanneer een inbreng in natura plaatsvindt:</w:t>
      </w:r>
    </w:p>
    <w:p>
      <w:pPr>
        <w:pStyle w:val="BodyText"/>
        <w:spacing w:line="218" w:lineRule="auto" w:before="107"/>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drie maanden voorafgaand aan de daadwerkelijke</w:t>
      </w:r>
      <w:r>
        <w:rPr>
          <w:color w:val="231F20"/>
          <w:spacing w:val="23"/>
        </w:rPr>
        <w:t> </w:t>
      </w:r>
      <w:r>
        <w:rPr>
          <w:color w:val="231F20"/>
        </w:rPr>
        <w:t>datum van de verwezenlijking van de inbreng in natura op een of meer gereglementeerde markten zoals bepaald in artikel 3, 7°, 8° en 9°, van de wet van 21 november 2017 over de infrastructuren voor de markten voor financiële instrumenten en houdende omzetting van richtlijn 2014/65/EU werden</w:t>
      </w:r>
      <w:r>
        <w:rPr>
          <w:color w:val="231F20"/>
          <w:spacing w:val="-11"/>
        </w:rPr>
        <w:t> </w:t>
      </w:r>
      <w:r>
        <w:rPr>
          <w:color w:val="231F20"/>
        </w:rPr>
        <w:t>verhandeld;</w:t>
      </w:r>
    </w:p>
    <w:p>
      <w:pPr>
        <w:pStyle w:val="BodyText"/>
        <w:spacing w:before="11"/>
        <w:ind w:left="0" w:right="0" w:firstLine="0"/>
        <w:jc w:val="left"/>
        <w:rPr>
          <w:sz w:val="24"/>
        </w:rPr>
      </w:pPr>
    </w:p>
    <w:p>
      <w:pPr>
        <w:pStyle w:val="BodyText"/>
        <w:spacing w:line="218" w:lineRule="auto"/>
        <w:ind w:right="123"/>
      </w:pPr>
      <w:r>
        <w:rPr>
          <w:color w:val="231F20"/>
        </w:rPr>
        <w:t>2° in de vorm van andere vermogensbestanddelen dan de in het 1° bedoelde effecten en geldmarktinstrumenten, die een bedrijfsrevisor reeds heeft gewaardeerd en wanneer aan de volgende voorwaarden is voldaan:</w:t>
      </w:r>
    </w:p>
    <w:p>
      <w:pPr>
        <w:pStyle w:val="ListParagraph"/>
        <w:numPr>
          <w:ilvl w:val="0"/>
          <w:numId w:val="103"/>
        </w:numPr>
        <w:tabs>
          <w:tab w:pos="464" w:val="left" w:leader="none"/>
        </w:tabs>
        <w:spacing w:line="218" w:lineRule="auto" w:before="115"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ListParagraph"/>
        <w:numPr>
          <w:ilvl w:val="0"/>
          <w:numId w:val="103"/>
        </w:numPr>
        <w:tabs>
          <w:tab w:pos="480" w:val="left" w:leader="none"/>
        </w:tabs>
        <w:spacing w:line="218" w:lineRule="auto" w:before="115"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line="218" w:lineRule="auto" w:before="117"/>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118"/>
      </w:pPr>
      <w:r>
        <w:rPr>
          <w:color w:val="231F20"/>
        </w:rPr>
        <w:t>Paragraaf 1 is evenwel van toepassing op de herwaardering waartoe wordt overgegaan op initiatief en onder de verantwoordelijkheid van  de</w:t>
      </w:r>
      <w:r>
        <w:rPr>
          <w:color w:val="231F20"/>
          <w:spacing w:val="14"/>
        </w:rPr>
        <w:t> </w:t>
      </w:r>
      <w:r>
        <w:rPr>
          <w:color w:val="231F20"/>
        </w:rPr>
        <w:t>oprichters:</w:t>
      </w:r>
    </w:p>
    <w:p>
      <w:pPr>
        <w:pStyle w:val="BodyText"/>
        <w:spacing w:line="218" w:lineRule="auto" w:before="117"/>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 is;</w:t>
      </w:r>
    </w:p>
    <w:p>
      <w:pPr>
        <w:pStyle w:val="BodyText"/>
        <w:spacing w:line="218" w:lineRule="auto" w:before="118"/>
      </w:pPr>
      <w:r>
        <w:rPr>
          <w:color w:val="231F20"/>
        </w:rPr>
        <w:t>2° op de in paragraaf 2, eerste lid, 2° en 3° bepaalde gevallen indien nieuwe bijzondere omstandigheden zouden leiden tot een aanzienlijke wijziging van de waarde in het economisch verkeer van het vermo- gensbestanddeel op de effectieve datum van de inbreng ervan.</w:t>
      </w:r>
    </w:p>
    <w:p>
      <w:pPr>
        <w:pStyle w:val="BodyText"/>
        <w:spacing w:line="218" w:lineRule="auto" w:before="118"/>
      </w:pPr>
      <w:r>
        <w:rPr>
          <w:color w:val="231F20"/>
        </w:rPr>
        <w:t>§ 3. In de gevallen van paragraaf 2 waarin de inbreng plaatsvindt zonder toepassing van paragraaf 1, legt het bestuursorgaan binnen één maand na de effectieve datum van de inbreng van het vermogensbe- standdeel een verklaring neer en maakt deze bekend overeenkomstig de artikelen 2:8 en 2:14, 4°, waarin de volgende inlichtingen worden vermeld:</w:t>
      </w:r>
    </w:p>
    <w:p>
      <w:pPr>
        <w:pStyle w:val="BodyText"/>
        <w:spacing w:line="364" w:lineRule="auto" w:before="104"/>
        <w:ind w:left="283" w:right="679" w:hanging="1"/>
        <w:jc w:val="left"/>
      </w:pPr>
      <w:r>
        <w:rPr>
          <w:color w:val="231F20"/>
        </w:rPr>
        <w:t>1° een beschrijving van de desbetreffende inbreng in natura; 2° de naam van de inbrenger;</w:t>
      </w:r>
    </w:p>
    <w:p>
      <w:pPr>
        <w:pStyle w:val="BodyText"/>
        <w:spacing w:line="218" w:lineRule="auto" w:before="13"/>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17"/>
      </w:pPr>
      <w:r>
        <w:rPr>
          <w:color w:val="231F20"/>
        </w:rPr>
        <w:t>4° het aantal aandelen die tegen elke inbreng in natura zijn uitgegeven;</w:t>
      </w:r>
    </w:p>
    <w:p>
      <w:pPr>
        <w:pStyle w:val="BodyText"/>
        <w:spacing w:line="218" w:lineRule="auto" w:before="117"/>
      </w:pPr>
      <w:r>
        <w:rPr>
          <w:color w:val="231F20"/>
        </w:rPr>
        <w:t>5° een attest dat er zich geen nieuwe bijzondere</w:t>
      </w:r>
      <w:r>
        <w:rPr>
          <w:color w:val="231F20"/>
          <w:spacing w:val="23"/>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before="104"/>
        <w:ind w:left="283" w:right="0" w:firstLine="0"/>
        <w:jc w:val="left"/>
      </w:pPr>
      <w:r>
        <w:rPr>
          <w:color w:val="231F20"/>
        </w:rPr>
        <w:t>HOOFDSTUK 4. Storting van de inbrengen.</w:t>
      </w:r>
    </w:p>
    <w:p>
      <w:pPr>
        <w:pStyle w:val="BodyText"/>
        <w:spacing w:line="218" w:lineRule="auto" w:before="114"/>
      </w:pPr>
      <w:r>
        <w:rPr>
          <w:color w:val="231F20"/>
        </w:rPr>
        <w:t>Art. 6:9. Tenzij de oprichtingsakte anders bepaalt worden alle inbrengen vanaf de oprichting volledig gestort.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6" w:lineRule="auto" w:before="121"/>
        <w:ind w:right="93"/>
      </w:pPr>
      <w:r>
        <w:rPr/>
        <w:pict>
          <v:line style="position:absolute;mso-position-horizontal-relative:page;mso-position-vertical-relative:page;z-index:3976" from="298.170502pt,64.473pt" to="298.170502pt,812.819pt" stroked="true" strokeweight=".533pt" strokecolor="#231f20">
            <v:stroke dashstyle="solid"/>
            <w10:wrap type="none"/>
          </v:line>
        </w:pict>
      </w:r>
      <w:bookmarkStart w:name="_bookmark123" w:id="128"/>
      <w:bookmarkEnd w:id="128"/>
      <w:r>
        <w:rPr/>
      </w:r>
      <w:r>
        <w:rPr>
          <w:color w:val="231F20"/>
        </w:rPr>
        <w:t>Art. 6:10. En cas d’apport en numéraire, à libérer lors de la passation de l’acte, les fonds sont, préalablement à la constitution de la société, déposés par versement ou virement sur un compte spécial ouvert au nom de la société en formation auprès d’un établissement de crédit établi dans l’Espace économique européen au sens de l’article 4, paragraphe 1</w:t>
      </w:r>
      <w:r>
        <w:rPr>
          <w:color w:val="231F20"/>
          <w:position w:val="7"/>
          <w:sz w:val="11"/>
        </w:rPr>
        <w:t>er</w:t>
      </w:r>
      <w:r>
        <w:rPr>
          <w:color w:val="231F20"/>
        </w:rPr>
        <w:t>, point 1), du règlement (UE) </w:t>
      </w:r>
      <w:r>
        <w:rPr>
          <w:color w:val="231F20"/>
          <w:spacing w:val="-5"/>
        </w:rPr>
        <w:t>nr. </w:t>
      </w:r>
      <w:r>
        <w:rPr>
          <w:color w:val="231F20"/>
        </w:rPr>
        <w:t>575/2013. Une preuve de</w:t>
      </w:r>
      <w:r>
        <w:rPr>
          <w:color w:val="231F20"/>
          <w:spacing w:val="14"/>
        </w:rPr>
        <w:t> </w:t>
      </w:r>
      <w:r>
        <w:rPr>
          <w:color w:val="231F20"/>
        </w:rPr>
        <w:t>ce</w:t>
      </w:r>
      <w:r>
        <w:rPr>
          <w:color w:val="231F20"/>
          <w:spacing w:val="14"/>
        </w:rPr>
        <w:t> </w:t>
      </w:r>
      <w:r>
        <w:rPr>
          <w:color w:val="231F20"/>
        </w:rPr>
        <w:t>dépôt</w:t>
      </w:r>
      <w:r>
        <w:rPr>
          <w:color w:val="231F20"/>
          <w:spacing w:val="15"/>
        </w:rPr>
        <w:t> </w:t>
      </w:r>
      <w:r>
        <w:rPr>
          <w:color w:val="231F20"/>
        </w:rPr>
        <w:t>est</w:t>
      </w:r>
      <w:r>
        <w:rPr>
          <w:color w:val="231F20"/>
          <w:spacing w:val="14"/>
        </w:rPr>
        <w:t> </w:t>
      </w:r>
      <w:r>
        <w:rPr>
          <w:color w:val="231F20"/>
        </w:rPr>
        <w:t>remise</w:t>
      </w:r>
      <w:r>
        <w:rPr>
          <w:color w:val="231F20"/>
          <w:spacing w:val="15"/>
        </w:rPr>
        <w:t> </w:t>
      </w:r>
      <w:r>
        <w:rPr>
          <w:color w:val="231F20"/>
        </w:rPr>
        <w:t>au</w:t>
      </w:r>
      <w:r>
        <w:rPr>
          <w:color w:val="231F20"/>
          <w:spacing w:val="14"/>
        </w:rPr>
        <w:t> </w:t>
      </w:r>
      <w:r>
        <w:rPr>
          <w:color w:val="231F20"/>
        </w:rPr>
        <w:t>notaire</w:t>
      </w:r>
      <w:r>
        <w:rPr>
          <w:color w:val="231F20"/>
          <w:spacing w:val="14"/>
        </w:rPr>
        <w:t> </w:t>
      </w:r>
      <w:r>
        <w:rPr>
          <w:color w:val="231F20"/>
        </w:rPr>
        <w:t>instrumentant.</w:t>
      </w:r>
    </w:p>
    <w:p>
      <w:pPr>
        <w:pStyle w:val="BodyText"/>
        <w:spacing w:before="8"/>
        <w:ind w:left="0" w:right="0" w:firstLine="0"/>
        <w:jc w:val="left"/>
        <w:rPr>
          <w:sz w:val="23"/>
        </w:rPr>
      </w:pPr>
    </w:p>
    <w:p>
      <w:pPr>
        <w:pStyle w:val="BodyText"/>
        <w:spacing w:line="218" w:lineRule="auto"/>
        <w:ind w:right="0"/>
        <w:jc w:val="left"/>
      </w:pPr>
      <w:r>
        <w:rPr>
          <w:color w:val="231F20"/>
        </w:rPr>
        <w:t>Le compte spécial est à la disposition exclusive de la société à constituer. Il ne peut en être disposé que par les personnes habilitées à engager la société et après que le notaire instrumentant eut informé l’établissement de la passation de l’acte.</w:t>
      </w:r>
    </w:p>
    <w:p>
      <w:pPr>
        <w:pStyle w:val="BodyText"/>
        <w:spacing w:before="11"/>
        <w:ind w:left="0" w:right="0" w:firstLine="0"/>
        <w:jc w:val="left"/>
        <w:rPr>
          <w:sz w:val="23"/>
        </w:rPr>
      </w:pPr>
    </w:p>
    <w:p>
      <w:pPr>
        <w:pStyle w:val="BodyText"/>
        <w:spacing w:line="218" w:lineRule="auto"/>
        <w:ind w:right="93"/>
      </w:pPr>
      <w:r>
        <w:rPr>
          <w:color w:val="231F20"/>
        </w:rPr>
        <w:t>Si la société n’est pas constituée dans le mois de l’ouverture du compte spécial, les fonds sont restitués à leur demande à ceux qui les ont déposés.</w:t>
      </w:r>
    </w:p>
    <w:p>
      <w:pPr>
        <w:pStyle w:val="BodyText"/>
        <w:spacing w:line="218" w:lineRule="auto" w:before="96"/>
        <w:ind w:right="93"/>
      </w:pPr>
      <w:r>
        <w:rPr>
          <w:color w:val="231F20"/>
        </w:rPr>
        <w:t>Art. 6:11. En cas de décès, d’incapacité ou de toute autre cause étrangère rendant définitivement impossible l’exécution de ses obliga- tions par le débiteur d’un apport en industrie, les actions qui lui ont été attribuées en rémunération de son apport sont frappées de caducité. Elles ne donneront droit à un éventuel dividende relatif à l’exercice en cours que prorata temporis.</w:t>
      </w:r>
    </w:p>
    <w:p>
      <w:pPr>
        <w:pStyle w:val="BodyText"/>
        <w:spacing w:line="218" w:lineRule="auto" w:before="97"/>
        <w:ind w:right="93"/>
      </w:pPr>
      <w:r>
        <w:rPr>
          <w:color w:val="231F20"/>
        </w:rPr>
        <w:t>Lorsqu’en raison d’une cause étrangère, le débiteur d’un apport en industrie est dans l’impossibilité temporaire d’exécuter ses obligations pour une période de plus de trois mois, les droits sociaux attachés aux actions qui lui ont été attribuées en rémunération de son apport sont suspendus pour toute la durée de cette impossibilité qui dépasse cette période de trois mois.</w:t>
      </w:r>
    </w:p>
    <w:p>
      <w:pPr>
        <w:pStyle w:val="BodyText"/>
        <w:spacing w:before="8"/>
        <w:ind w:left="0" w:right="0" w:firstLine="0"/>
        <w:jc w:val="left"/>
        <w:rPr>
          <w:sz w:val="22"/>
        </w:rPr>
      </w:pPr>
    </w:p>
    <w:p>
      <w:pPr>
        <w:pStyle w:val="BodyText"/>
        <w:spacing w:line="338" w:lineRule="auto"/>
        <w:ind w:left="283" w:right="1415" w:firstLine="0"/>
        <w:jc w:val="left"/>
      </w:pPr>
      <w:r>
        <w:rPr>
          <w:color w:val="231F20"/>
        </w:rPr>
        <w:t>Les statuts peuvent déroger au présent article. CHAPITRE 5. Formalités de constitution.</w:t>
      </w:r>
    </w:p>
    <w:p>
      <w:pPr>
        <w:pStyle w:val="BodyText"/>
        <w:spacing w:line="218" w:lineRule="auto" w:before="13"/>
        <w:ind w:right="93"/>
      </w:pPr>
      <w:r>
        <w:rPr>
          <w:color w:val="231F20"/>
        </w:rPr>
        <w:t>Art. 6:12. La société est constituée par acte authentique auquel comparaissent tous les actionnaires en personne, ou par porteurs de mandats authentiques ou privés.</w:t>
      </w:r>
    </w:p>
    <w:p>
      <w:pPr>
        <w:pStyle w:val="BodyText"/>
        <w:spacing w:before="10"/>
        <w:ind w:left="0" w:right="0" w:firstLine="0"/>
        <w:jc w:val="left"/>
        <w:rPr>
          <w:sz w:val="23"/>
        </w:rPr>
      </w:pPr>
    </w:p>
    <w:p>
      <w:pPr>
        <w:pStyle w:val="BodyText"/>
        <w:spacing w:line="218" w:lineRule="auto"/>
        <w:ind w:right="93"/>
      </w:pPr>
      <w:r>
        <w:rPr>
          <w:color w:val="231F20"/>
        </w:rPr>
        <w:t>Les comparants à l’acte constitutif sont considérés comme</w:t>
      </w:r>
      <w:r>
        <w:rPr>
          <w:color w:val="231F20"/>
          <w:spacing w:val="-10"/>
        </w:rPr>
        <w:t> </w:t>
      </w:r>
      <w:r>
        <w:rPr>
          <w:color w:val="231F20"/>
        </w:rPr>
        <w:t>fondateurs de la société. Toutefois, si l’acte désigne comme fondateurs un ou plusieurs actionnaires détenant ensemble au moins un tiers des</w:t>
      </w:r>
      <w:r>
        <w:rPr>
          <w:color w:val="231F20"/>
          <w:spacing w:val="-14"/>
        </w:rPr>
        <w:t> </w:t>
      </w:r>
      <w:r>
        <w:rPr>
          <w:color w:val="231F20"/>
        </w:rPr>
        <w:t>actions, les autres comparants, qui se bornent à souscrire des actions contre un apport en numéraire, sans bénéficier, directement ou indirectement, d’un quelconque avantage particulier, sont tenus pour simples sous- cripteurs.</w:t>
      </w:r>
    </w:p>
    <w:p>
      <w:pPr>
        <w:pStyle w:val="BodyText"/>
        <w:spacing w:line="218" w:lineRule="auto" w:before="97"/>
        <w:ind w:right="93"/>
      </w:pPr>
      <w:r>
        <w:rPr>
          <w:color w:val="231F20"/>
        </w:rPr>
        <w:t>Art. 6:13. Outre les données comprises dans l’extrait destiné à la publication en vertu de l’article 2:8, § 2, l’acte constitutif mentionne les données suivantes:</w:t>
      </w:r>
    </w:p>
    <w:p>
      <w:pPr>
        <w:pStyle w:val="BodyText"/>
        <w:spacing w:before="82"/>
        <w:ind w:left="283" w:right="0" w:firstLine="0"/>
        <w:jc w:val="left"/>
      </w:pPr>
      <w:r>
        <w:rPr>
          <w:color w:val="231F20"/>
        </w:rPr>
        <w:t>1° le respect des conditions visées aux articles 6:4, 6:6 et 6:9;</w:t>
      </w:r>
    </w:p>
    <w:p>
      <w:pPr>
        <w:pStyle w:val="BodyText"/>
        <w:spacing w:before="7"/>
        <w:ind w:left="0" w:right="0" w:firstLine="0"/>
        <w:jc w:val="left"/>
        <w:rPr>
          <w:sz w:val="23"/>
        </w:rPr>
      </w:pPr>
    </w:p>
    <w:p>
      <w:pPr>
        <w:pStyle w:val="BodyText"/>
        <w:spacing w:line="218" w:lineRule="auto"/>
        <w:ind w:right="93"/>
      </w:pPr>
      <w:r>
        <w:rPr>
          <w:color w:val="231F20"/>
        </w:rPr>
        <w:t>2° l’organisme dépositaire des apports à libérer en numéraire conformément à l’article 6:10;</w:t>
      </w:r>
    </w:p>
    <w:p>
      <w:pPr>
        <w:pStyle w:val="BodyText"/>
        <w:spacing w:line="218" w:lineRule="auto" w:before="96"/>
        <w:ind w:right="93"/>
      </w:pPr>
      <w:r>
        <w:rPr>
          <w:color w:val="231F20"/>
        </w:rPr>
        <w:t>3° les règles, dans la mesure où elles ne résultent pas de la loi, qui déterminent le nombre et le mode de désignation des membres de l’organe d’administration ou, le cas échéant, de l’organe chargé de la gestion journalière, de la représentation à l’égard des tiers ainsi que de la répartition des compétences entre ces organes;</w:t>
      </w:r>
    </w:p>
    <w:p>
      <w:pPr>
        <w:pStyle w:val="BodyText"/>
        <w:spacing w:line="218" w:lineRule="auto" w:before="97"/>
        <w:ind w:right="93"/>
      </w:pPr>
      <w:r>
        <w:rPr>
          <w:color w:val="231F20"/>
        </w:rPr>
        <w:t>4° le nombre des actions, ainsi que, le cas échéant, les restrictions en matière de cession et, s’il existe différentes classes d’actions, les mêmes données et les droits par classe;</w:t>
      </w:r>
    </w:p>
    <w:p>
      <w:pPr>
        <w:pStyle w:val="BodyText"/>
        <w:spacing w:line="218" w:lineRule="auto" w:before="96"/>
        <w:ind w:right="93"/>
      </w:pPr>
      <w:r>
        <w:rPr>
          <w:color w:val="231F20"/>
        </w:rPr>
        <w:t>5° l’indication de chaque apport en nature, le nom de l’apporteur, le nombre d’actions émises en contrepartie de chaque apport, le cas échéant, le nom du réviseur d’entreprises et les conclusions de son rapport ainsi que, le cas échéant, les conditions auxquelles l’apport est fait;</w:t>
      </w:r>
    </w:p>
    <w:p>
      <w:pPr>
        <w:pStyle w:val="BodyText"/>
        <w:spacing w:line="218" w:lineRule="auto" w:before="96"/>
        <w:ind w:right="93"/>
      </w:pPr>
      <w:r>
        <w:rPr>
          <w:color w:val="231F20"/>
        </w:rPr>
        <w:t>6° la nature et consistance des avantages particuliers attribués à chacun des fondateurs, ou à toute personne qui a participé directement ou indirectement à la constitution de la société;</w:t>
      </w:r>
    </w:p>
    <w:p>
      <w:pPr>
        <w:pStyle w:val="BodyText"/>
        <w:spacing w:line="218" w:lineRule="auto" w:before="97"/>
        <w:ind w:right="93"/>
      </w:pPr>
      <w:r>
        <w:rPr>
          <w:color w:val="231F20"/>
        </w:rPr>
        <w:t>7° le montant total, au moins approximatif, de tous les frais,</w:t>
      </w:r>
      <w:r>
        <w:rPr>
          <w:color w:val="231F20"/>
          <w:spacing w:val="-24"/>
        </w:rPr>
        <w:t> </w:t>
      </w:r>
      <w:r>
        <w:rPr>
          <w:color w:val="231F20"/>
        </w:rPr>
        <w:t>dépenses et rémunérations ou charges, sous quelque forme que ce soit, qui incombent à la société ou qui sont mis à sa charge à raison de sa constitution;</w:t>
      </w:r>
    </w:p>
    <w:p>
      <w:pPr>
        <w:pStyle w:val="BodyText"/>
        <w:spacing w:line="218" w:lineRule="auto" w:before="96"/>
        <w:ind w:right="92"/>
      </w:pPr>
      <w:r>
        <w:rPr>
          <w:color w:val="231F20"/>
        </w:rPr>
        <w:t>8° les charges hypothécaires ou les nantissements grevant les biens apportés;</w:t>
      </w:r>
    </w:p>
    <w:p>
      <w:pPr>
        <w:pStyle w:val="BodyText"/>
        <w:spacing w:line="218" w:lineRule="auto" w:before="96"/>
        <w:ind w:right="93"/>
      </w:pPr>
      <w:r>
        <w:rPr>
          <w:color w:val="231F20"/>
        </w:rPr>
        <w:t>9° la finalité coopérative et les valeurs de la société coopérative visées à l’article 6:1, § 4.</w:t>
      </w:r>
    </w:p>
    <w:p>
      <w:pPr>
        <w:pStyle w:val="BodyText"/>
        <w:spacing w:line="218" w:lineRule="auto" w:before="96"/>
        <w:ind w:right="93"/>
      </w:pPr>
      <w:r>
        <w:rPr>
          <w:color w:val="231F20"/>
        </w:rPr>
        <w:t>Les données visées aux 3°, 4° et 9° figurent dans la partie de l’acte</w:t>
      </w:r>
      <w:r>
        <w:rPr>
          <w:color w:val="231F20"/>
          <w:spacing w:val="-23"/>
        </w:rPr>
        <w:t> </w:t>
      </w:r>
      <w:r>
        <w:rPr>
          <w:color w:val="231F20"/>
        </w:rPr>
        <w:t>qui contient les</w:t>
      </w:r>
      <w:r>
        <w:rPr>
          <w:color w:val="231F20"/>
          <w:spacing w:val="-12"/>
        </w:rPr>
        <w:t> </w:t>
      </w:r>
      <w:r>
        <w:rPr>
          <w:color w:val="231F20"/>
        </w:rPr>
        <w:t>statuts.</w:t>
      </w:r>
    </w:p>
    <w:p>
      <w:pPr>
        <w:pStyle w:val="BodyText"/>
        <w:spacing w:line="218" w:lineRule="auto" w:before="119"/>
      </w:pPr>
      <w:r>
        <w:rPr/>
        <w:br w:type="column"/>
      </w:r>
      <w:r>
        <w:rPr>
          <w:color w:val="231F20"/>
        </w:rPr>
        <w:t>Art. 6:10. In geval van inbreng in geld, te storten bij het verlijden van de akte, wordt dat geld vóór de oprichting van de vennootschap bij storting of overschrijving gedeponeerd op een bijzondere rekening, ten name van de vennootschap in oprichting geopend bij een in de Europese Economische Ruimte gevestigde kredietinstelling als bedoeld in artikel 4, lid 1, punt 1), van verordening (EU) nr. 575/2013. Een bewijs van die deponering wordt overhandigd aan de instrumente- rende notaris.</w:t>
      </w:r>
    </w:p>
    <w:p>
      <w:pPr>
        <w:pStyle w:val="BodyText"/>
        <w:spacing w:line="218" w:lineRule="auto" w:before="97"/>
        <w:ind w:right="123"/>
      </w:pPr>
      <w:r>
        <w:rPr>
          <w:color w:val="231F20"/>
        </w:rPr>
        <w:t>De bijzondere rekening wordt uitsluitend ter beschikking gehouden van de op te richten vennootschap. Over die rekening kan alleen worden beschikt door personen die bevoegd zijn om de vennootschap  te verbinden, en eerst nadat de optredende notaris aan de instelling bericht</w:t>
      </w:r>
      <w:r>
        <w:rPr>
          <w:color w:val="231F20"/>
          <w:spacing w:val="16"/>
        </w:rPr>
        <w:t> </w:t>
      </w:r>
      <w:r>
        <w:rPr>
          <w:color w:val="231F20"/>
        </w:rPr>
        <w:t>heeft</w:t>
      </w:r>
      <w:r>
        <w:rPr>
          <w:color w:val="231F20"/>
          <w:spacing w:val="16"/>
        </w:rPr>
        <w:t> </w:t>
      </w:r>
      <w:r>
        <w:rPr>
          <w:color w:val="231F20"/>
        </w:rPr>
        <w:t>gegeven</w:t>
      </w:r>
      <w:r>
        <w:rPr>
          <w:color w:val="231F20"/>
          <w:spacing w:val="16"/>
        </w:rPr>
        <w:t> </w:t>
      </w:r>
      <w:r>
        <w:rPr>
          <w:color w:val="231F20"/>
        </w:rPr>
        <w:t>van</w:t>
      </w:r>
      <w:r>
        <w:rPr>
          <w:color w:val="231F20"/>
          <w:spacing w:val="16"/>
        </w:rPr>
        <w:t> </w:t>
      </w:r>
      <w:r>
        <w:rPr>
          <w:color w:val="231F20"/>
        </w:rPr>
        <w:t>het</w:t>
      </w:r>
      <w:r>
        <w:rPr>
          <w:color w:val="231F20"/>
          <w:spacing w:val="17"/>
        </w:rPr>
        <w:t> </w:t>
      </w:r>
      <w:r>
        <w:rPr>
          <w:color w:val="231F20"/>
        </w:rPr>
        <w:t>verlijden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akte.</w:t>
      </w:r>
    </w:p>
    <w:p>
      <w:pPr>
        <w:pStyle w:val="BodyText"/>
        <w:spacing w:line="218" w:lineRule="auto" w:before="96"/>
      </w:pPr>
      <w:r>
        <w:rPr>
          <w:color w:val="231F20"/>
        </w:rPr>
        <w:t>Indien de vennootschap niet binnen één maand na de opening van de bijzondere rekening is opgericht, wordt het geld teruggegeven aan de deposanten die erom verzoeken.</w:t>
      </w:r>
    </w:p>
    <w:p>
      <w:pPr>
        <w:pStyle w:val="BodyText"/>
        <w:spacing w:line="218" w:lineRule="auto" w:before="97"/>
        <w:ind w:right="123"/>
      </w:pPr>
      <w:r>
        <w:rPr>
          <w:color w:val="231F20"/>
        </w:rPr>
        <w:t>Art. 6:11. In geval van overlijden, onbekwaamheid of enige andere vreemde oorzaak waardoor de schuldenaar van een inbreng in nijverheid definitief in de onmogelijkheid verkeert om zijn verbintenis- sen na te komen, komen de aandelen die hem zijn uitgereikt tegen zijn inbreng te vervallen. Zij geven dan enkel prorata temporis recht op een eventueel dividend met betrekking tot het lopende boekjaar.</w:t>
      </w:r>
    </w:p>
    <w:p>
      <w:pPr>
        <w:pStyle w:val="BodyText"/>
        <w:spacing w:line="218" w:lineRule="auto" w:before="96"/>
      </w:pPr>
      <w:r>
        <w:rPr>
          <w:color w:val="231F20"/>
          <w:spacing w:val="-3"/>
        </w:rPr>
        <w:t>Wanneer </w:t>
      </w:r>
      <w:r>
        <w:rPr>
          <w:color w:val="231F20"/>
        </w:rPr>
        <w:t>de schuldenaar van een inbreng in nijverheid wegens een vreemde oorzaak tijdelijk in de onmogelijkheid verkeert om zijn verbintenissen na te komen gedurende een periode van meer dan drie maanden, worden de maatschappelijke rechten die zijn verbonden aan de aandelen die hem zijn uitgereikt tegen zijn inbreng opgeschort voor de hele duur van die onmogelijkheid die deze periode van drie maanden</w:t>
      </w:r>
      <w:r>
        <w:rPr>
          <w:color w:val="231F20"/>
          <w:spacing w:val="15"/>
        </w:rPr>
        <w:t> </w:t>
      </w:r>
      <w:r>
        <w:rPr>
          <w:color w:val="231F20"/>
        </w:rPr>
        <w:t>overstijgt.</w:t>
      </w:r>
    </w:p>
    <w:p>
      <w:pPr>
        <w:pStyle w:val="BodyText"/>
        <w:spacing w:line="338" w:lineRule="auto" w:before="83"/>
        <w:ind w:left="283" w:right="1262" w:firstLine="0"/>
        <w:jc w:val="left"/>
      </w:pPr>
      <w:r>
        <w:rPr>
          <w:color w:val="231F20"/>
        </w:rPr>
        <w:t>De statuten kunnen afwijken van dit artikel. HOOFDSTUK 5. Oprichtingsformaliteiten.</w:t>
      </w:r>
    </w:p>
    <w:p>
      <w:pPr>
        <w:pStyle w:val="BodyText"/>
        <w:spacing w:line="218" w:lineRule="auto" w:before="13"/>
      </w:pPr>
      <w:r>
        <w:rPr>
          <w:color w:val="231F20"/>
        </w:rPr>
        <w:t>Art. 6:12. De vennootschap wordt opgericht bij authentieke akte, bij het verlijden waarvan alle aandeelhouders verschijnen, hetzij in persoon, hetzij door een houder van een authentieke of een onder- handse volmacht.</w:t>
      </w:r>
    </w:p>
    <w:p>
      <w:pPr>
        <w:pStyle w:val="BodyText"/>
        <w:spacing w:line="218" w:lineRule="auto" w:before="96"/>
      </w:pPr>
      <w:r>
        <w:rPr>
          <w:color w:val="231F20"/>
        </w:rPr>
        <w:t>Zij die bij de oprichtingsakte verschijnen, worden als oprichters van de vennootschap beschouwd. Indien evenwel de akte drie of meer aandeelhouders die samen ten minste een derde van de aandelen bezitten, als oprichters aanwijst, worden de overige verschijnenden, die zich beperken tot de inschrijving op aandelen tegen een inbreng in geld, zonder rechtstreeks of zijdelings enig bijzonder voordeel te genieten, als gewone inschrijvers</w:t>
      </w:r>
      <w:r>
        <w:rPr>
          <w:color w:val="231F20"/>
          <w:spacing w:val="6"/>
        </w:rPr>
        <w:t> </w:t>
      </w:r>
      <w:r>
        <w:rPr>
          <w:color w:val="231F20"/>
        </w:rPr>
        <w:t>beschouwd.</w:t>
      </w:r>
    </w:p>
    <w:p>
      <w:pPr>
        <w:pStyle w:val="BodyText"/>
        <w:spacing w:line="218" w:lineRule="auto" w:before="96"/>
      </w:pPr>
      <w:r>
        <w:rPr>
          <w:color w:val="231F20"/>
        </w:rPr>
        <w:t>Art. 6:13. Naast de gegevens opgenomen in het uittreksel bestemd voor bekendmaking overeenkomstig artikel 2:8, § 2, worden in de oprichtingsakte de volgende gegevens vermeld:</w:t>
      </w:r>
    </w:p>
    <w:p>
      <w:pPr>
        <w:pStyle w:val="BodyText"/>
        <w:spacing w:line="218" w:lineRule="auto" w:before="97"/>
      </w:pPr>
      <w:r>
        <w:rPr>
          <w:color w:val="231F20"/>
        </w:rPr>
        <w:t>1° de naleving van de  voorwaarden  bedoeld  in  de  artikelen  6:4,  6:6 en</w:t>
      </w:r>
      <w:r>
        <w:rPr>
          <w:color w:val="231F20"/>
          <w:spacing w:val="-13"/>
        </w:rPr>
        <w:t> </w:t>
      </w:r>
      <w:r>
        <w:rPr>
          <w:color w:val="231F20"/>
        </w:rPr>
        <w:t>6:9;</w:t>
      </w:r>
    </w:p>
    <w:p>
      <w:pPr>
        <w:pStyle w:val="BodyText"/>
        <w:spacing w:line="218" w:lineRule="auto" w:before="96"/>
      </w:pPr>
      <w:r>
        <w:rPr>
          <w:color w:val="231F20"/>
        </w:rPr>
        <w:t>2° de instelling waar de inbreng in geld is gedeponeerd overeenkom- stig artikel 6:10;</w:t>
      </w:r>
    </w:p>
    <w:p>
      <w:pPr>
        <w:pStyle w:val="BodyText"/>
        <w:spacing w:line="218" w:lineRule="auto" w:before="96"/>
      </w:pPr>
      <w:r>
        <w:rPr>
          <w:color w:val="231F20"/>
          <w:w w:val="105"/>
        </w:rPr>
        <w:t>3° de regels, voor zover deze niet uit de wet voortvloeien, die het aantal en de wijze van benoeming bepalen van de leden van het bestuursorgaan</w:t>
      </w:r>
      <w:r>
        <w:rPr>
          <w:color w:val="231F20"/>
          <w:spacing w:val="-24"/>
          <w:w w:val="105"/>
        </w:rPr>
        <w:t> </w:t>
      </w:r>
      <w:r>
        <w:rPr>
          <w:color w:val="231F20"/>
          <w:w w:val="105"/>
        </w:rPr>
        <w:t>en,</w:t>
      </w:r>
      <w:r>
        <w:rPr>
          <w:color w:val="231F20"/>
          <w:spacing w:val="-24"/>
          <w:w w:val="105"/>
        </w:rPr>
        <w:t> </w:t>
      </w:r>
      <w:r>
        <w:rPr>
          <w:color w:val="231F20"/>
          <w:w w:val="105"/>
        </w:rPr>
        <w:t>in</w:t>
      </w:r>
      <w:r>
        <w:rPr>
          <w:color w:val="231F20"/>
          <w:spacing w:val="-24"/>
          <w:w w:val="105"/>
        </w:rPr>
        <w:t> </w:t>
      </w:r>
      <w:r>
        <w:rPr>
          <w:color w:val="231F20"/>
          <w:w w:val="105"/>
        </w:rPr>
        <w:t>voorkomend</w:t>
      </w:r>
      <w:r>
        <w:rPr>
          <w:color w:val="231F20"/>
          <w:spacing w:val="-24"/>
          <w:w w:val="105"/>
        </w:rPr>
        <w:t> </w:t>
      </w:r>
      <w:r>
        <w:rPr>
          <w:color w:val="231F20"/>
          <w:w w:val="105"/>
        </w:rPr>
        <w:t>geval,</w:t>
      </w:r>
      <w:r>
        <w:rPr>
          <w:color w:val="231F20"/>
          <w:spacing w:val="-24"/>
          <w:w w:val="105"/>
        </w:rPr>
        <w:t> </w:t>
      </w:r>
      <w:r>
        <w:rPr>
          <w:color w:val="231F20"/>
          <w:w w:val="105"/>
        </w:rPr>
        <w:t>van</w:t>
      </w:r>
      <w:r>
        <w:rPr>
          <w:color w:val="231F20"/>
          <w:spacing w:val="-24"/>
          <w:w w:val="105"/>
        </w:rPr>
        <w:t> </w:t>
      </w:r>
      <w:r>
        <w:rPr>
          <w:color w:val="231F20"/>
          <w:w w:val="105"/>
        </w:rPr>
        <w:t>het</w:t>
      </w:r>
      <w:r>
        <w:rPr>
          <w:color w:val="231F20"/>
          <w:spacing w:val="-24"/>
          <w:w w:val="105"/>
        </w:rPr>
        <w:t> </w:t>
      </w:r>
      <w:r>
        <w:rPr>
          <w:color w:val="231F20"/>
          <w:w w:val="105"/>
        </w:rPr>
        <w:t>orgaan</w:t>
      </w:r>
      <w:r>
        <w:rPr>
          <w:color w:val="231F20"/>
          <w:spacing w:val="-24"/>
          <w:w w:val="105"/>
        </w:rPr>
        <w:t> </w:t>
      </w:r>
      <w:r>
        <w:rPr>
          <w:color w:val="231F20"/>
          <w:w w:val="105"/>
        </w:rPr>
        <w:t>belast</w:t>
      </w:r>
      <w:r>
        <w:rPr>
          <w:color w:val="231F20"/>
          <w:spacing w:val="-24"/>
          <w:w w:val="105"/>
        </w:rPr>
        <w:t> </w:t>
      </w:r>
      <w:r>
        <w:rPr>
          <w:color w:val="231F20"/>
          <w:w w:val="105"/>
        </w:rPr>
        <w:t>met</w:t>
      </w:r>
      <w:r>
        <w:rPr>
          <w:color w:val="231F20"/>
          <w:spacing w:val="-23"/>
          <w:w w:val="105"/>
        </w:rPr>
        <w:t> </w:t>
      </w:r>
      <w:r>
        <w:rPr>
          <w:color w:val="231F20"/>
          <w:w w:val="105"/>
        </w:rPr>
        <w:t>het dagelijks</w:t>
      </w:r>
      <w:r>
        <w:rPr>
          <w:color w:val="231F20"/>
          <w:spacing w:val="-21"/>
          <w:w w:val="105"/>
        </w:rPr>
        <w:t> </w:t>
      </w:r>
      <w:r>
        <w:rPr>
          <w:color w:val="231F20"/>
          <w:w w:val="105"/>
        </w:rPr>
        <w:t>bestuur,</w:t>
      </w:r>
      <w:r>
        <w:rPr>
          <w:color w:val="231F20"/>
          <w:spacing w:val="-20"/>
          <w:w w:val="105"/>
        </w:rPr>
        <w:t> </w:t>
      </w:r>
      <w:r>
        <w:rPr>
          <w:color w:val="231F20"/>
          <w:w w:val="105"/>
        </w:rPr>
        <w:t>de</w:t>
      </w:r>
      <w:r>
        <w:rPr>
          <w:color w:val="231F20"/>
          <w:spacing w:val="-21"/>
          <w:w w:val="105"/>
        </w:rPr>
        <w:t> </w:t>
      </w:r>
      <w:r>
        <w:rPr>
          <w:color w:val="231F20"/>
          <w:w w:val="105"/>
        </w:rPr>
        <w:t>vertegenwoordiging</w:t>
      </w:r>
      <w:r>
        <w:rPr>
          <w:color w:val="231F20"/>
          <w:spacing w:val="-20"/>
          <w:w w:val="105"/>
        </w:rPr>
        <w:t> </w:t>
      </w:r>
      <w:r>
        <w:rPr>
          <w:color w:val="231F20"/>
          <w:w w:val="105"/>
        </w:rPr>
        <w:t>tegenover</w:t>
      </w:r>
      <w:r>
        <w:rPr>
          <w:color w:val="231F20"/>
          <w:spacing w:val="-20"/>
          <w:w w:val="105"/>
        </w:rPr>
        <w:t> </w:t>
      </w:r>
      <w:r>
        <w:rPr>
          <w:color w:val="231F20"/>
          <w:w w:val="105"/>
        </w:rPr>
        <w:t>derden</w:t>
      </w:r>
      <w:r>
        <w:rPr>
          <w:color w:val="231F20"/>
          <w:spacing w:val="-21"/>
          <w:w w:val="105"/>
        </w:rPr>
        <w:t> </w:t>
      </w:r>
      <w:r>
        <w:rPr>
          <w:color w:val="231F20"/>
          <w:w w:val="105"/>
        </w:rPr>
        <w:t>evenals</w:t>
      </w:r>
      <w:r>
        <w:rPr>
          <w:color w:val="231F20"/>
          <w:spacing w:val="-20"/>
          <w:w w:val="105"/>
        </w:rPr>
        <w:t> </w:t>
      </w:r>
      <w:r>
        <w:rPr>
          <w:color w:val="231F20"/>
          <w:w w:val="105"/>
        </w:rPr>
        <w:t>de verdeling van de bevoegdheden tussen die</w:t>
      </w:r>
      <w:r>
        <w:rPr>
          <w:color w:val="231F20"/>
          <w:spacing w:val="10"/>
          <w:w w:val="105"/>
        </w:rPr>
        <w:t> </w:t>
      </w:r>
      <w:r>
        <w:rPr>
          <w:color w:val="231F20"/>
          <w:w w:val="105"/>
        </w:rPr>
        <w:t>organen;</w:t>
      </w:r>
    </w:p>
    <w:p>
      <w:pPr>
        <w:pStyle w:val="BodyText"/>
        <w:spacing w:line="218" w:lineRule="auto" w:before="96"/>
      </w:pPr>
      <w:r>
        <w:rPr>
          <w:color w:val="231F20"/>
        </w:rPr>
        <w:t>4° het aantal aandelen, evenals in voorkomend geval, de overdrachts- beperkingen en, indien er verschillende soorten aandelen bestaan, dezelfde gegevens en de rechten per soort;</w:t>
      </w:r>
    </w:p>
    <w:p>
      <w:pPr>
        <w:pStyle w:val="BodyText"/>
        <w:spacing w:line="218" w:lineRule="auto" w:before="96"/>
      </w:pPr>
      <w:r>
        <w:rPr>
          <w:color w:val="231F20"/>
        </w:rPr>
        <w:t>5° de aanduiding van elke inbreng in natura, de naam van de inbrenger, het aantal aandelen die tegen elke inbreng zijn uitgegeven,</w:t>
      </w:r>
      <w:r>
        <w:rPr>
          <w:color w:val="231F20"/>
          <w:spacing w:val="-24"/>
        </w:rPr>
        <w:t> </w:t>
      </w:r>
      <w:r>
        <w:rPr>
          <w:color w:val="231F20"/>
        </w:rPr>
        <w:t>in voorkomend geval, de naam van de bedrijfsrevisor en de conclusies  van zijn verslag, evenals, in voorkomend geval, de voorwaarden waaronder de inbreng is</w:t>
      </w:r>
      <w:r>
        <w:rPr>
          <w:color w:val="231F20"/>
          <w:spacing w:val="20"/>
        </w:rPr>
        <w:t> </w:t>
      </w:r>
      <w:r>
        <w:rPr>
          <w:color w:val="231F20"/>
        </w:rPr>
        <w:t>gedaan;</w:t>
      </w:r>
    </w:p>
    <w:p>
      <w:pPr>
        <w:pStyle w:val="BodyText"/>
        <w:spacing w:line="218" w:lineRule="auto" w:before="97"/>
      </w:pPr>
      <w:r>
        <w:rPr>
          <w:color w:val="231F20"/>
        </w:rPr>
        <w:t>6° de aard en de omvang van de bijzondere voordelen die worden toegekend aan elke oprichter of aan ieder die rechtstreeks of zijdelings aan de oprichting van de vennootschap deelgenomen heeft;</w:t>
      </w:r>
    </w:p>
    <w:p>
      <w:pPr>
        <w:pStyle w:val="BodyText"/>
        <w:spacing w:line="218" w:lineRule="auto" w:before="96"/>
      </w:pPr>
      <w:r>
        <w:rPr>
          <w:color w:val="231F20"/>
        </w:rPr>
        <w:t>7° het totale bedrag, althans bij benadering, van alle kosten,</w:t>
      </w:r>
      <w:r>
        <w:rPr>
          <w:color w:val="231F20"/>
          <w:spacing w:val="-11"/>
        </w:rPr>
        <w:t> </w:t>
      </w:r>
      <w:r>
        <w:rPr>
          <w:color w:val="231F20"/>
        </w:rPr>
        <w:t>uitgaven, vergoedingen of lasten, in welke vorm ook, die voor rekening van de vennootschap</w:t>
      </w:r>
      <w:r>
        <w:rPr>
          <w:color w:val="231F20"/>
          <w:spacing w:val="19"/>
        </w:rPr>
        <w:t> </w:t>
      </w:r>
      <w:r>
        <w:rPr>
          <w:color w:val="231F20"/>
        </w:rPr>
        <w:t>komen</w:t>
      </w:r>
      <w:r>
        <w:rPr>
          <w:color w:val="231F20"/>
          <w:spacing w:val="19"/>
        </w:rPr>
        <w:t> </w:t>
      </w:r>
      <w:r>
        <w:rPr>
          <w:color w:val="231F20"/>
        </w:rPr>
        <w:t>of</w:t>
      </w:r>
      <w:r>
        <w:rPr>
          <w:color w:val="231F20"/>
          <w:spacing w:val="19"/>
        </w:rPr>
        <w:t> </w:t>
      </w:r>
      <w:r>
        <w:rPr>
          <w:color w:val="231F20"/>
        </w:rPr>
        <w:t>worden</w:t>
      </w:r>
      <w:r>
        <w:rPr>
          <w:color w:val="231F20"/>
          <w:spacing w:val="19"/>
        </w:rPr>
        <w:t> </w:t>
      </w:r>
      <w:r>
        <w:rPr>
          <w:color w:val="231F20"/>
        </w:rPr>
        <w:t>gebracht</w:t>
      </w:r>
      <w:r>
        <w:rPr>
          <w:color w:val="231F20"/>
          <w:spacing w:val="20"/>
        </w:rPr>
        <w:t> </w:t>
      </w:r>
      <w:r>
        <w:rPr>
          <w:color w:val="231F20"/>
        </w:rPr>
        <w:t>wegens</w:t>
      </w:r>
      <w:r>
        <w:rPr>
          <w:color w:val="231F20"/>
          <w:spacing w:val="19"/>
        </w:rPr>
        <w:t> </w:t>
      </w:r>
      <w:r>
        <w:rPr>
          <w:color w:val="231F20"/>
        </w:rPr>
        <w:t>haar</w:t>
      </w:r>
      <w:r>
        <w:rPr>
          <w:color w:val="231F20"/>
          <w:spacing w:val="19"/>
        </w:rPr>
        <w:t> </w:t>
      </w:r>
      <w:r>
        <w:rPr>
          <w:color w:val="231F20"/>
        </w:rPr>
        <w:t>oprichting;</w:t>
      </w:r>
    </w:p>
    <w:p>
      <w:pPr>
        <w:pStyle w:val="BodyText"/>
        <w:spacing w:before="11"/>
        <w:ind w:left="0" w:right="0" w:firstLine="0"/>
        <w:jc w:val="left"/>
        <w:rPr>
          <w:sz w:val="23"/>
        </w:rPr>
      </w:pPr>
    </w:p>
    <w:p>
      <w:pPr>
        <w:pStyle w:val="BodyText"/>
        <w:spacing w:line="218" w:lineRule="auto"/>
      </w:pPr>
      <w:r>
        <w:rPr>
          <w:color w:val="231F20"/>
        </w:rPr>
        <w:t>8° de hypothecaire lasten of pandrechten waarmee de ingebrachte goederen zijn bezwaard;</w:t>
      </w:r>
    </w:p>
    <w:p>
      <w:pPr>
        <w:pStyle w:val="BodyText"/>
        <w:spacing w:line="218" w:lineRule="auto" w:before="96"/>
      </w:pPr>
      <w:r>
        <w:rPr>
          <w:color w:val="231F20"/>
        </w:rPr>
        <w:t>9° de coöperatieve finaliteit en de waarden van de coöperatieve vennootschap bedoeld in artikel 6:1, § 4.</w:t>
      </w:r>
    </w:p>
    <w:p>
      <w:pPr>
        <w:pStyle w:val="BodyText"/>
        <w:spacing w:line="218" w:lineRule="auto" w:before="96"/>
      </w:pPr>
      <w:r>
        <w:rPr>
          <w:color w:val="231F20"/>
        </w:rPr>
        <w:t>De gegevens bedoeld onder 3°, 4°en 9° moeten worden opgenomen in</w:t>
      </w:r>
      <w:r>
        <w:rPr>
          <w:color w:val="231F20"/>
          <w:spacing w:val="15"/>
        </w:rPr>
        <w:t> </w:t>
      </w:r>
      <w:r>
        <w:rPr>
          <w:color w:val="231F20"/>
        </w:rPr>
        <w:t>het</w:t>
      </w:r>
      <w:r>
        <w:rPr>
          <w:color w:val="231F20"/>
          <w:spacing w:val="16"/>
        </w:rPr>
        <w:t> </w:t>
      </w:r>
      <w:r>
        <w:rPr>
          <w:color w:val="231F20"/>
        </w:rPr>
        <w:t>deel</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akte</w:t>
      </w:r>
      <w:r>
        <w:rPr>
          <w:color w:val="231F20"/>
          <w:spacing w:val="16"/>
        </w:rPr>
        <w:t> </w:t>
      </w:r>
      <w:r>
        <w:rPr>
          <w:color w:val="231F20"/>
        </w:rPr>
        <w:t>dat</w:t>
      </w:r>
      <w:r>
        <w:rPr>
          <w:color w:val="231F20"/>
          <w:spacing w:val="15"/>
        </w:rPr>
        <w:t> </w:t>
      </w:r>
      <w:r>
        <w:rPr>
          <w:color w:val="231F20"/>
        </w:rPr>
        <w:t>de</w:t>
      </w:r>
      <w:r>
        <w:rPr>
          <w:color w:val="231F20"/>
          <w:spacing w:val="16"/>
        </w:rPr>
        <w:t> </w:t>
      </w:r>
      <w:r>
        <w:rPr>
          <w:color w:val="231F20"/>
        </w:rPr>
        <w:t>statuten</w:t>
      </w:r>
      <w:r>
        <w:rPr>
          <w:color w:val="231F20"/>
          <w:spacing w:val="15"/>
        </w:rPr>
        <w:t> </w:t>
      </w:r>
      <w:r>
        <w:rPr>
          <w:color w:val="231F20"/>
        </w:rPr>
        <w:t>bevat.</w:t>
      </w:r>
    </w:p>
    <w:p>
      <w:pPr>
        <w:spacing w:after="0" w:line="218" w:lineRule="auto"/>
        <w:sectPr>
          <w:headerReference w:type="even" r:id="rId57"/>
          <w:headerReference w:type="default" r:id="rId58"/>
          <w:pgSz w:w="11940" w:h="16880"/>
          <w:pgMar w:header="666" w:footer="0" w:top="1140" w:bottom="280" w:left="340" w:right="360"/>
          <w:pgNumType w:start="33362"/>
          <w:cols w:num="2" w:equalWidth="0">
            <w:col w:w="5582" w:space="45"/>
            <w:col w:w="5613"/>
          </w:cols>
        </w:sectPr>
      </w:pPr>
    </w:p>
    <w:p>
      <w:pPr>
        <w:pStyle w:val="BodyText"/>
        <w:spacing w:line="218" w:lineRule="auto" w:before="119"/>
        <w:ind w:right="38"/>
      </w:pPr>
      <w:r>
        <w:rPr/>
        <w:pict>
          <v:line style="position:absolute;mso-position-horizontal-relative:page;mso-position-vertical-relative:page;z-index:4000" from="298.170502pt,64.473pt" to="298.170502pt,812.819pt" stroked="true" strokeweight=".533pt" strokecolor="#231f20">
            <v:stroke dashstyle="solid"/>
            <w10:wrap type="none"/>
          </v:line>
        </w:pict>
      </w:r>
      <w:bookmarkStart w:name="_bookmark124" w:id="129"/>
      <w:bookmarkEnd w:id="129"/>
      <w:r>
        <w:rPr/>
      </w:r>
      <w:r>
        <w:rPr>
          <w:color w:val="231F20"/>
        </w:rPr>
        <w:t>Les procurations doivent reproduire les énonciations prévues par l’article 2:8, § 2, 1°, 2°, 3° et 12°.</w:t>
      </w:r>
    </w:p>
    <w:p>
      <w:pPr>
        <w:pStyle w:val="BodyText"/>
        <w:spacing w:before="82"/>
        <w:ind w:left="283" w:right="0" w:firstLine="0"/>
        <w:jc w:val="left"/>
      </w:pPr>
      <w:r>
        <w:rPr>
          <w:color w:val="231F20"/>
        </w:rPr>
        <w:t>CHAPITRE 6. Nullité.</w:t>
      </w:r>
    </w:p>
    <w:p>
      <w:pPr>
        <w:pStyle w:val="BodyText"/>
        <w:spacing w:line="218" w:lineRule="auto" w:before="93"/>
        <w:ind w:right="38"/>
      </w:pPr>
      <w:r>
        <w:rPr>
          <w:color w:val="231F20"/>
        </w:rPr>
        <w:t>Art. 6:14. Une société coopérative ne peut être déclarée nulle que dans les cas</w:t>
      </w:r>
      <w:r>
        <w:rPr>
          <w:color w:val="231F20"/>
          <w:spacing w:val="3"/>
        </w:rPr>
        <w:t> </w:t>
      </w:r>
      <w:r>
        <w:rPr>
          <w:color w:val="231F20"/>
        </w:rPr>
        <w:t>suivants:</w:t>
      </w:r>
    </w:p>
    <w:p>
      <w:pPr>
        <w:pStyle w:val="BodyText"/>
        <w:spacing w:before="82"/>
        <w:ind w:left="283" w:right="0" w:firstLine="0"/>
        <w:jc w:val="left"/>
      </w:pPr>
      <w:r>
        <w:rPr>
          <w:color w:val="231F20"/>
        </w:rPr>
        <w:t>1° lorsque l’acte constitutif n’est pas établi en la forme requise;</w:t>
      </w:r>
    </w:p>
    <w:p>
      <w:pPr>
        <w:pStyle w:val="BodyText"/>
        <w:spacing w:before="7"/>
        <w:ind w:left="0" w:right="0" w:firstLine="0"/>
        <w:jc w:val="left"/>
        <w:rPr>
          <w:sz w:val="24"/>
        </w:rPr>
      </w:pPr>
    </w:p>
    <w:p>
      <w:pPr>
        <w:pStyle w:val="BodyText"/>
        <w:spacing w:line="218" w:lineRule="auto"/>
        <w:ind w:right="38"/>
      </w:pPr>
      <w:r>
        <w:rPr>
          <w:color w:val="231F20"/>
        </w:rPr>
        <w:t>2° lorsque l’acte constitutif ne contient aucune indication au sujet de la dénomination, de l’objet de la société et des apports;</w:t>
      </w:r>
    </w:p>
    <w:p>
      <w:pPr>
        <w:pStyle w:val="BodyText"/>
        <w:spacing w:before="92"/>
        <w:ind w:left="283" w:right="0" w:firstLine="0"/>
        <w:jc w:val="left"/>
      </w:pPr>
      <w:r>
        <w:rPr>
          <w:color w:val="231F20"/>
        </w:rPr>
        <w:t>3° lorsque l’objet de la société est illicite ou contraire à l’ordre public;</w:t>
      </w:r>
    </w:p>
    <w:p>
      <w:pPr>
        <w:pStyle w:val="BodyText"/>
        <w:spacing w:before="4"/>
        <w:ind w:left="0" w:right="0" w:firstLine="0"/>
        <w:jc w:val="left"/>
        <w:rPr>
          <w:sz w:val="23"/>
        </w:rPr>
      </w:pPr>
    </w:p>
    <w:p>
      <w:pPr>
        <w:pStyle w:val="BodyText"/>
        <w:ind w:left="283" w:right="0" w:firstLine="0"/>
        <w:jc w:val="left"/>
      </w:pPr>
      <w:r>
        <w:rPr>
          <w:color w:val="231F20"/>
        </w:rPr>
        <w:t>4° lorsqu’il y a moins de trois fondateurs valablement engagés.</w:t>
      </w:r>
    </w:p>
    <w:p>
      <w:pPr>
        <w:pStyle w:val="BodyText"/>
        <w:spacing w:line="218" w:lineRule="auto" w:before="104"/>
        <w:ind w:right="38"/>
      </w:pPr>
      <w:r>
        <w:rPr>
          <w:color w:val="231F20"/>
        </w:rPr>
        <w:t>Art. 6:15. Les dispositions attribuant la totalité des bénéfices à l’un des actionnaires, ou excluant un ou plusieurs actionnaires de la participation aux bénéfices, sont réputées non écrites.</w:t>
      </w:r>
    </w:p>
    <w:p>
      <w:pPr>
        <w:pStyle w:val="BodyText"/>
        <w:spacing w:before="92"/>
        <w:ind w:left="283" w:right="0" w:firstLine="0"/>
        <w:jc w:val="left"/>
      </w:pPr>
      <w:r>
        <w:rPr>
          <w:color w:val="231F20"/>
        </w:rPr>
        <w:t>CHAPITRE 7. Garantie et responsabilités.</w:t>
      </w:r>
    </w:p>
    <w:p>
      <w:pPr>
        <w:pStyle w:val="BodyText"/>
        <w:spacing w:line="218" w:lineRule="auto" w:before="104"/>
        <w:ind w:right="38"/>
      </w:pPr>
      <w:r>
        <w:rPr>
          <w:color w:val="231F20"/>
        </w:rPr>
        <w:t>Art. 6:16. Nonobstant toute disposition contraire, les fondateurs sont tenus solidairement envers les intéressés:</w:t>
      </w:r>
    </w:p>
    <w:p>
      <w:pPr>
        <w:pStyle w:val="BodyText"/>
        <w:spacing w:line="218" w:lineRule="auto" w:before="106"/>
        <w:ind w:right="38"/>
      </w:pPr>
      <w:r>
        <w:rPr>
          <w:color w:val="231F20"/>
        </w:rPr>
        <w:t>1° des actions qui ne seraient pas valablement souscrites conformé- ment à l’article 6:6; ils en sont de plein droit réputés souscripteurs;</w:t>
      </w:r>
    </w:p>
    <w:p>
      <w:pPr>
        <w:pStyle w:val="BodyText"/>
        <w:spacing w:before="10"/>
        <w:ind w:left="0" w:right="0" w:firstLine="0"/>
        <w:jc w:val="left"/>
        <w:rPr>
          <w:sz w:val="24"/>
        </w:rPr>
      </w:pPr>
    </w:p>
    <w:p>
      <w:pPr>
        <w:pStyle w:val="BodyText"/>
        <w:spacing w:line="218" w:lineRule="auto"/>
        <w:ind w:right="38"/>
      </w:pPr>
      <w:r>
        <w:rPr>
          <w:color w:val="231F20"/>
        </w:rPr>
        <w:t>2° de la libération effective des actions dont ils sont réputés souscripteurs en vertu du 1°;</w:t>
      </w:r>
    </w:p>
    <w:p>
      <w:pPr>
        <w:pStyle w:val="BodyText"/>
        <w:spacing w:before="93"/>
        <w:ind w:left="283" w:right="0" w:firstLine="0"/>
        <w:jc w:val="left"/>
      </w:pPr>
      <w:r>
        <w:rPr>
          <w:color w:val="231F20"/>
        </w:rPr>
        <w:t>3° de la libération des actions souscrites en violation de l’article 6:7.</w:t>
      </w:r>
    </w:p>
    <w:p>
      <w:pPr>
        <w:pStyle w:val="BodyText"/>
        <w:spacing w:before="6"/>
        <w:ind w:left="0" w:right="0" w:firstLine="0"/>
        <w:jc w:val="left"/>
        <w:rPr>
          <w:sz w:val="24"/>
        </w:rPr>
      </w:pPr>
    </w:p>
    <w:p>
      <w:pPr>
        <w:pStyle w:val="BodyText"/>
        <w:spacing w:line="218" w:lineRule="auto" w:before="1"/>
        <w:ind w:right="38"/>
      </w:pPr>
      <w:r>
        <w:rPr>
          <w:color w:val="231F20"/>
        </w:rPr>
        <w:t>Art. 6:17. Nonobstant toute disposition contraire, les fondateurs sont solidairement responsables envers les intéressés:</w:t>
      </w:r>
    </w:p>
    <w:p>
      <w:pPr>
        <w:pStyle w:val="BodyText"/>
        <w:spacing w:line="218" w:lineRule="auto" w:before="106"/>
        <w:ind w:right="38"/>
      </w:pPr>
      <w:r>
        <w:rPr>
          <w:color w:val="231F20"/>
        </w:rPr>
        <w:t>1° du préjudice qui est la suite immédiate et directe, soit de la nullité de</w:t>
      </w:r>
      <w:r>
        <w:rPr>
          <w:color w:val="231F20"/>
          <w:spacing w:val="-5"/>
        </w:rPr>
        <w:t> </w:t>
      </w:r>
      <w:r>
        <w:rPr>
          <w:color w:val="231F20"/>
        </w:rPr>
        <w:t>la</w:t>
      </w:r>
      <w:r>
        <w:rPr>
          <w:color w:val="231F20"/>
          <w:spacing w:val="-4"/>
        </w:rPr>
        <w:t> </w:t>
      </w:r>
      <w:r>
        <w:rPr>
          <w:color w:val="231F20"/>
        </w:rPr>
        <w:t>société</w:t>
      </w:r>
      <w:r>
        <w:rPr>
          <w:color w:val="231F20"/>
          <w:spacing w:val="-4"/>
        </w:rPr>
        <w:t> </w:t>
      </w:r>
      <w:r>
        <w:rPr>
          <w:color w:val="231F20"/>
        </w:rPr>
        <w:t>prononcée</w:t>
      </w:r>
      <w:r>
        <w:rPr>
          <w:color w:val="231F20"/>
          <w:spacing w:val="-5"/>
        </w:rPr>
        <w:t> </w:t>
      </w:r>
      <w:r>
        <w:rPr>
          <w:color w:val="231F20"/>
        </w:rPr>
        <w:t>par</w:t>
      </w:r>
      <w:r>
        <w:rPr>
          <w:color w:val="231F20"/>
          <w:spacing w:val="-4"/>
        </w:rPr>
        <w:t> </w:t>
      </w:r>
      <w:r>
        <w:rPr>
          <w:color w:val="231F20"/>
        </w:rPr>
        <w:t>application</w:t>
      </w:r>
      <w:r>
        <w:rPr>
          <w:color w:val="231F20"/>
          <w:spacing w:val="-4"/>
        </w:rPr>
        <w:t> </w:t>
      </w:r>
      <w:r>
        <w:rPr>
          <w:color w:val="231F20"/>
        </w:rPr>
        <w:t>de</w:t>
      </w:r>
      <w:r>
        <w:rPr>
          <w:color w:val="231F20"/>
          <w:spacing w:val="-4"/>
        </w:rPr>
        <w:t> </w:t>
      </w:r>
      <w:r>
        <w:rPr>
          <w:color w:val="231F20"/>
        </w:rPr>
        <w:t>l’article</w:t>
      </w:r>
      <w:r>
        <w:rPr>
          <w:color w:val="231F20"/>
          <w:spacing w:val="-5"/>
        </w:rPr>
        <w:t> </w:t>
      </w:r>
      <w:r>
        <w:rPr>
          <w:color w:val="231F20"/>
        </w:rPr>
        <w:t>6:14,</w:t>
      </w:r>
      <w:r>
        <w:rPr>
          <w:color w:val="231F20"/>
          <w:spacing w:val="-4"/>
        </w:rPr>
        <w:t> </w:t>
      </w:r>
      <w:r>
        <w:rPr>
          <w:color w:val="231F20"/>
        </w:rPr>
        <w:t>soit</w:t>
      </w:r>
      <w:r>
        <w:rPr>
          <w:color w:val="231F20"/>
          <w:spacing w:val="-4"/>
        </w:rPr>
        <w:t> </w:t>
      </w:r>
      <w:r>
        <w:rPr>
          <w:color w:val="231F20"/>
        </w:rPr>
        <w:t>de</w:t>
      </w:r>
      <w:r>
        <w:rPr>
          <w:color w:val="231F20"/>
          <w:spacing w:val="-4"/>
        </w:rPr>
        <w:t> </w:t>
      </w:r>
      <w:r>
        <w:rPr>
          <w:color w:val="231F20"/>
        </w:rPr>
        <w:t>l’absence ou de la fausseté des mentions prescrites par l’article 6:13, soit de la surévaluation</w:t>
      </w:r>
      <w:r>
        <w:rPr>
          <w:color w:val="231F20"/>
          <w:spacing w:val="15"/>
        </w:rPr>
        <w:t> </w:t>
      </w:r>
      <w:r>
        <w:rPr>
          <w:color w:val="231F20"/>
        </w:rPr>
        <w:t>manifeste</w:t>
      </w:r>
      <w:r>
        <w:rPr>
          <w:color w:val="231F20"/>
          <w:spacing w:val="15"/>
        </w:rPr>
        <w:t> </w:t>
      </w:r>
      <w:r>
        <w:rPr>
          <w:color w:val="231F20"/>
        </w:rPr>
        <w:t>des</w:t>
      </w:r>
      <w:r>
        <w:rPr>
          <w:color w:val="231F20"/>
          <w:spacing w:val="15"/>
        </w:rPr>
        <w:t> </w:t>
      </w:r>
      <w:r>
        <w:rPr>
          <w:color w:val="231F20"/>
        </w:rPr>
        <w:t>apports</w:t>
      </w:r>
      <w:r>
        <w:rPr>
          <w:color w:val="231F20"/>
          <w:spacing w:val="15"/>
        </w:rPr>
        <w:t> </w:t>
      </w:r>
      <w:r>
        <w:rPr>
          <w:color w:val="231F20"/>
        </w:rPr>
        <w:t>en</w:t>
      </w:r>
      <w:r>
        <w:rPr>
          <w:color w:val="231F20"/>
          <w:spacing w:val="15"/>
        </w:rPr>
        <w:t> </w:t>
      </w:r>
      <w:r>
        <w:rPr>
          <w:color w:val="231F20"/>
        </w:rPr>
        <w:t>nature;</w:t>
      </w:r>
    </w:p>
    <w:p>
      <w:pPr>
        <w:pStyle w:val="BodyText"/>
        <w:spacing w:before="10"/>
        <w:ind w:left="0" w:right="0" w:firstLine="0"/>
        <w:jc w:val="left"/>
        <w:rPr>
          <w:sz w:val="24"/>
        </w:rPr>
      </w:pPr>
    </w:p>
    <w:p>
      <w:pPr>
        <w:pStyle w:val="BodyText"/>
        <w:spacing w:line="218" w:lineRule="auto"/>
        <w:ind w:right="38"/>
      </w:pPr>
      <w:r>
        <w:rPr>
          <w:color w:val="231F20"/>
        </w:rPr>
        <w:t>2° des engagements de la société, dans la proportion fixée par le juge, en cas de faillite prononcée dans les trois ans de l’acquisition de la personnalité juridique, si les capitaux propres de départ étaient, lors de la constitution, manifestement insuffisants pour assurer l’exercice normal de l’activité projetée pendant une période de deux ans au moins. Dans ce cas, le notaire transmet au tribunal, à la demande du juge-commissaire ou du procureur du Roi, le plan financier prescrit en vertu de l’article</w:t>
      </w:r>
      <w:r>
        <w:rPr>
          <w:color w:val="231F20"/>
          <w:spacing w:val="3"/>
        </w:rPr>
        <w:t> </w:t>
      </w:r>
      <w:r>
        <w:rPr>
          <w:color w:val="231F20"/>
        </w:rPr>
        <w:t>6:5.</w:t>
      </w:r>
    </w:p>
    <w:p>
      <w:pPr>
        <w:pStyle w:val="BodyText"/>
        <w:spacing w:line="218" w:lineRule="auto" w:before="108"/>
        <w:ind w:right="38"/>
      </w:pPr>
      <w:r>
        <w:rPr>
          <w:color w:val="231F20"/>
        </w:rPr>
        <w:t>Art. 6:18. Ceux qui se sont engagés pour des tiers sont réputés personnellement obligés si le nom des mandants n’a pas été mentionné dans l’acte ou si le mandat produit n’est pas valable. Les fondateurs sont</w:t>
      </w:r>
      <w:r>
        <w:rPr>
          <w:color w:val="231F20"/>
          <w:spacing w:val="15"/>
        </w:rPr>
        <w:t> </w:t>
      </w:r>
      <w:r>
        <w:rPr>
          <w:color w:val="231F20"/>
        </w:rPr>
        <w:t>solidairement</w:t>
      </w:r>
      <w:r>
        <w:rPr>
          <w:color w:val="231F20"/>
          <w:spacing w:val="16"/>
        </w:rPr>
        <w:t> </w:t>
      </w:r>
      <w:r>
        <w:rPr>
          <w:color w:val="231F20"/>
        </w:rPr>
        <w:t>tenus</w:t>
      </w:r>
      <w:r>
        <w:rPr>
          <w:color w:val="231F20"/>
          <w:spacing w:val="15"/>
        </w:rPr>
        <w:t> </w:t>
      </w:r>
      <w:r>
        <w:rPr>
          <w:color w:val="231F20"/>
        </w:rPr>
        <w:t>de</w:t>
      </w:r>
      <w:r>
        <w:rPr>
          <w:color w:val="231F20"/>
          <w:spacing w:val="16"/>
        </w:rPr>
        <w:t> </w:t>
      </w:r>
      <w:r>
        <w:rPr>
          <w:color w:val="231F20"/>
        </w:rPr>
        <w:t>l’exécution</w:t>
      </w:r>
      <w:r>
        <w:rPr>
          <w:color w:val="231F20"/>
          <w:spacing w:val="15"/>
        </w:rPr>
        <w:t> </w:t>
      </w:r>
      <w:r>
        <w:rPr>
          <w:color w:val="231F20"/>
        </w:rPr>
        <w:t>de</w:t>
      </w:r>
      <w:r>
        <w:rPr>
          <w:color w:val="231F20"/>
          <w:spacing w:val="16"/>
        </w:rPr>
        <w:t> </w:t>
      </w:r>
      <w:r>
        <w:rPr>
          <w:color w:val="231F20"/>
        </w:rPr>
        <w:t>ces</w:t>
      </w:r>
      <w:r>
        <w:rPr>
          <w:color w:val="231F20"/>
          <w:spacing w:val="15"/>
        </w:rPr>
        <w:t> </w:t>
      </w:r>
      <w:r>
        <w:rPr>
          <w:color w:val="231F20"/>
        </w:rPr>
        <w:t>obligations.</w:t>
      </w:r>
    </w:p>
    <w:p>
      <w:pPr>
        <w:pStyle w:val="BodyText"/>
        <w:spacing w:before="7"/>
        <w:ind w:left="0" w:right="0" w:firstLine="0"/>
        <w:jc w:val="left"/>
        <w:rPr>
          <w:sz w:val="23"/>
        </w:rPr>
      </w:pPr>
    </w:p>
    <w:p>
      <w:pPr>
        <w:pStyle w:val="BodyText"/>
        <w:spacing w:line="331" w:lineRule="auto"/>
        <w:ind w:left="284" w:right="2109" w:firstLine="0"/>
        <w:jc w:val="left"/>
      </w:pPr>
      <w:r>
        <w:rPr>
          <w:color w:val="231F20"/>
        </w:rPr>
        <w:t>TITRE 3. Des titres et de leur transfert. CHAPITRE 1</w:t>
      </w:r>
      <w:r>
        <w:rPr>
          <w:color w:val="231F20"/>
          <w:position w:val="7"/>
          <w:sz w:val="11"/>
        </w:rPr>
        <w:t>er</w:t>
      </w:r>
      <w:r>
        <w:rPr>
          <w:color w:val="231F20"/>
        </w:rPr>
        <w:t>. Dispositions générales.</w:t>
      </w:r>
    </w:p>
    <w:p>
      <w:pPr>
        <w:pStyle w:val="BodyText"/>
        <w:spacing w:line="218" w:lineRule="auto" w:before="31"/>
        <w:ind w:right="38"/>
      </w:pPr>
      <w:r>
        <w:rPr>
          <w:color w:val="231F20"/>
        </w:rPr>
        <w:t>Art. 6:19. Une société coopérative peut seulement émettre des actions nominatives avec droit de vote et des obligations. Ses titres ne peuvent pas être certifiés.</w:t>
      </w:r>
    </w:p>
    <w:p>
      <w:pPr>
        <w:pStyle w:val="BodyText"/>
        <w:spacing w:line="218" w:lineRule="auto" w:before="107"/>
        <w:ind w:right="38"/>
      </w:pPr>
      <w:r>
        <w:rPr>
          <w:color w:val="231F20"/>
        </w:rPr>
        <w:t>Les obligations sont nominatives ou, si les statuts le permettent, dématérialisées.</w:t>
      </w:r>
    </w:p>
    <w:p>
      <w:pPr>
        <w:pStyle w:val="BodyText"/>
        <w:spacing w:line="218" w:lineRule="auto" w:before="107"/>
        <w:ind w:right="38"/>
      </w:pPr>
      <w:r>
        <w:rPr>
          <w:color w:val="231F20"/>
        </w:rPr>
        <w:t>Les sociétés coopératives qui sont des entreprises réglementées au sens de l’article 3, 42°, de la loi du 25 avril 2014 relative au statut et au contrôle des établissements de crédit et des sociétés de bourse peuvent émettre tout autre titre que leur statut légal leur permet d’émettre, dématérialisé ou non.</w:t>
      </w:r>
    </w:p>
    <w:p>
      <w:pPr>
        <w:pStyle w:val="BodyText"/>
        <w:spacing w:line="218" w:lineRule="auto" w:before="107"/>
        <w:ind w:right="38"/>
      </w:pPr>
      <w:r>
        <w:rPr>
          <w:color w:val="231F20"/>
        </w:rPr>
        <w:t>Les obligations émises exclusivement à l’étranger et régies par un droit étranger, peuvent cependant prendre la forme de titres indivi- duels ou collectifs au porteur. Ces obligations au porteur ne peuvent toutefois pas être délivrées physiquement en Belgique. Les propriétai- res de ces obligations au porteur peuvent, à tout moment, en demander la conversion, à leurs frais, en obligations nominatives.</w:t>
      </w:r>
    </w:p>
    <w:p>
      <w:pPr>
        <w:pStyle w:val="BodyText"/>
        <w:spacing w:before="10"/>
        <w:ind w:left="0" w:right="0" w:firstLine="0"/>
        <w:jc w:val="left"/>
        <w:rPr>
          <w:sz w:val="24"/>
        </w:rPr>
      </w:pPr>
    </w:p>
    <w:p>
      <w:pPr>
        <w:pStyle w:val="BodyText"/>
        <w:spacing w:line="218" w:lineRule="auto"/>
        <w:ind w:right="38"/>
      </w:pPr>
      <w:r>
        <w:rPr>
          <w:color w:val="231F20"/>
        </w:rPr>
        <w:t>Art. 6:20. Les propriétaires de titres dématérialisés peuvent, à tout moment, en demander la conversion, à leurs frais, en titres nominatifs.</w:t>
      </w:r>
    </w:p>
    <w:p>
      <w:pPr>
        <w:pStyle w:val="BodyText"/>
        <w:spacing w:before="10"/>
        <w:ind w:left="0" w:right="0" w:firstLine="0"/>
        <w:jc w:val="left"/>
        <w:rPr>
          <w:sz w:val="24"/>
        </w:rPr>
      </w:pPr>
    </w:p>
    <w:p>
      <w:pPr>
        <w:pStyle w:val="BodyText"/>
        <w:spacing w:line="218" w:lineRule="auto"/>
        <w:ind w:right="38"/>
      </w:pPr>
      <w:r>
        <w:rPr>
          <w:color w:val="231F20"/>
        </w:rPr>
        <w:t>Art. 6:21. Si plusieurs personnes ont des droits réels sur une même action, la société peut suspendre l’exercice du droit de vote, jusqu’à ce qu’une seule personne ait été désignée comme titulaire à son égard du droit de vote.</w:t>
      </w:r>
    </w:p>
    <w:p>
      <w:pPr>
        <w:pStyle w:val="BodyText"/>
        <w:spacing w:line="218" w:lineRule="auto" w:before="119"/>
        <w:ind w:right="125"/>
      </w:pPr>
      <w:r>
        <w:rPr/>
        <w:br w:type="column"/>
      </w:r>
      <w:r>
        <w:rPr>
          <w:color w:val="231F20"/>
        </w:rPr>
        <w:t>In de volmachten moeten de door artikel 2:8, § 2, 1°, 2°, 3° en 12°, voorgeschreven vermeldingen worden opgenomen.</w:t>
      </w:r>
    </w:p>
    <w:p>
      <w:pPr>
        <w:pStyle w:val="BodyText"/>
        <w:spacing w:before="83"/>
        <w:ind w:left="283" w:right="0" w:firstLine="0"/>
        <w:jc w:val="left"/>
      </w:pPr>
      <w:r>
        <w:rPr>
          <w:color w:val="231F20"/>
        </w:rPr>
        <w:t>HOOFDSTUK 6. Nietigheid.</w:t>
      </w:r>
    </w:p>
    <w:p>
      <w:pPr>
        <w:pStyle w:val="BodyText"/>
        <w:spacing w:line="218" w:lineRule="auto" w:before="92"/>
      </w:pPr>
      <w:r>
        <w:rPr>
          <w:color w:val="231F20"/>
        </w:rPr>
        <w:t>Art. 6:14. Een coöperatieve vennootschap kan alleen in de hiernavol- gende gevallen worden nietig verklaard:</w:t>
      </w:r>
    </w:p>
    <w:p>
      <w:pPr>
        <w:pStyle w:val="BodyText"/>
        <w:spacing w:line="218" w:lineRule="auto" w:before="96"/>
      </w:pPr>
      <w:r>
        <w:rPr>
          <w:color w:val="231F20"/>
        </w:rPr>
        <w:t>1° wanneer de oprichtingsakte niet werd opgemaakt in de vereiste vorm;</w:t>
      </w:r>
    </w:p>
    <w:p>
      <w:pPr>
        <w:pStyle w:val="BodyText"/>
        <w:spacing w:line="218" w:lineRule="auto" w:before="107"/>
      </w:pPr>
      <w:r>
        <w:rPr>
          <w:color w:val="231F20"/>
        </w:rPr>
        <w:t>2° wanneer in de oprichtingsakte geen gegevens voorkomen over de naam, het voorwerp van de vennootschap en de inbrengen;</w:t>
      </w:r>
    </w:p>
    <w:p>
      <w:pPr>
        <w:pStyle w:val="BodyText"/>
        <w:spacing w:line="218" w:lineRule="auto" w:before="107"/>
      </w:pPr>
      <w:r>
        <w:rPr>
          <w:color w:val="231F20"/>
        </w:rPr>
        <w:t>3° wanneer het voorwerp van de vennootschap ongeoorloofd of strijdig met de openbare orde is;</w:t>
      </w:r>
    </w:p>
    <w:p>
      <w:pPr>
        <w:pStyle w:val="BodyText"/>
        <w:spacing w:before="93"/>
        <w:ind w:left="283" w:right="0" w:firstLine="0"/>
        <w:jc w:val="left"/>
      </w:pPr>
      <w:r>
        <w:rPr>
          <w:color w:val="231F20"/>
        </w:rPr>
        <w:t>4° wanneer er minder dan drie geldig verbonden oprichters zijn.</w:t>
      </w:r>
    </w:p>
    <w:p>
      <w:pPr>
        <w:pStyle w:val="BodyText"/>
        <w:spacing w:line="218" w:lineRule="auto" w:before="103"/>
      </w:pPr>
      <w:r>
        <w:rPr>
          <w:color w:val="231F20"/>
        </w:rPr>
        <w:t>Art. 6:15. Bepalingen die aan één van de aandeelhouders de gehele winst toekennen, of aan één of meer aandeelhouders enige deelname in de winst ontzeggen, worden voor niet geschreven gehouden.</w:t>
      </w:r>
    </w:p>
    <w:p>
      <w:pPr>
        <w:pStyle w:val="BodyText"/>
        <w:spacing w:before="93"/>
        <w:ind w:left="283" w:right="0" w:firstLine="0"/>
        <w:jc w:val="left"/>
      </w:pPr>
      <w:r>
        <w:rPr>
          <w:color w:val="231F20"/>
        </w:rPr>
        <w:t>HOOFDSTUK 7. Garantie en aansprakelijkheid.</w:t>
      </w:r>
    </w:p>
    <w:p>
      <w:pPr>
        <w:pStyle w:val="BodyText"/>
        <w:spacing w:line="218" w:lineRule="auto" w:before="103"/>
      </w:pPr>
      <w:r>
        <w:rPr>
          <w:color w:val="231F20"/>
        </w:rPr>
        <w:t>Art. 6:16. Niettegenstaande andersluidende bepaling, zijn de oprich- ters jegens de belanghebbenden hoofdelijk gehouden:</w:t>
      </w:r>
    </w:p>
    <w:p>
      <w:pPr>
        <w:pStyle w:val="BodyText"/>
        <w:spacing w:line="218" w:lineRule="auto" w:before="107"/>
      </w:pPr>
      <w:r>
        <w:rPr>
          <w:color w:val="231F20"/>
        </w:rPr>
        <w:t>1° voor de aandelen waarvoor niet op geldige wijze zou zijn ingeschreven overeenkomstig artikel 6:6; zij worden van rechtswege als inschrijvers ervan beschouwd;</w:t>
      </w:r>
    </w:p>
    <w:p>
      <w:pPr>
        <w:pStyle w:val="BodyText"/>
        <w:spacing w:line="218" w:lineRule="auto" w:before="107"/>
      </w:pPr>
      <w:r>
        <w:rPr>
          <w:color w:val="231F20"/>
        </w:rPr>
        <w:t>2° tot werkelijke storting van de aandelen waarvoor zij overeenkom- stig de bepaling onder 1° als inschrijvers worden beschouwd;</w:t>
      </w:r>
    </w:p>
    <w:p>
      <w:pPr>
        <w:pStyle w:val="BodyText"/>
        <w:spacing w:line="218" w:lineRule="auto" w:before="106"/>
      </w:pPr>
      <w:r>
        <w:rPr>
          <w:color w:val="231F20"/>
        </w:rPr>
        <w:t>3° tot volstorting van de aandelen waarop is ingeschreven in strijd met artikel 6:7.</w:t>
      </w:r>
    </w:p>
    <w:p>
      <w:pPr>
        <w:pStyle w:val="BodyText"/>
        <w:spacing w:line="218" w:lineRule="auto" w:before="107"/>
      </w:pPr>
      <w:r>
        <w:rPr>
          <w:color w:val="231F20"/>
        </w:rPr>
        <w:t>Art. 6:17. Niettegenstaande andersluidende bepaling, zijn de oprich- ters jegens de belanghebbenden hoofdelijk aansprakelijk:</w:t>
      </w:r>
    </w:p>
    <w:p>
      <w:pPr>
        <w:pStyle w:val="BodyText"/>
        <w:spacing w:line="218" w:lineRule="auto" w:before="107"/>
      </w:pPr>
      <w:r>
        <w:rPr>
          <w:color w:val="231F20"/>
        </w:rPr>
        <w:t>1° voor de schade die het onmiddellijke en rechtstreekse gevolg is, hetzij van de nietigheid van de vennootschap uitgesproken op grond van artikel 6:14, hetzij van het ontbreken of de onjuistheid van de vermeldingen voorgeschreven bij artikel 6:13, hetzij van de kennelijke overwaardering</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inbrengen</w:t>
      </w:r>
      <w:r>
        <w:rPr>
          <w:color w:val="231F20"/>
          <w:spacing w:val="15"/>
        </w:rPr>
        <w:t> </w:t>
      </w:r>
      <w:r>
        <w:rPr>
          <w:color w:val="231F20"/>
        </w:rPr>
        <w:t>in</w:t>
      </w:r>
      <w:r>
        <w:rPr>
          <w:color w:val="231F20"/>
          <w:spacing w:val="16"/>
        </w:rPr>
        <w:t> </w:t>
      </w:r>
      <w:r>
        <w:rPr>
          <w:color w:val="231F20"/>
        </w:rPr>
        <w:t>natura;</w:t>
      </w:r>
    </w:p>
    <w:p>
      <w:pPr>
        <w:pStyle w:val="BodyText"/>
        <w:spacing w:line="218" w:lineRule="auto" w:before="107"/>
      </w:pPr>
      <w:r>
        <w:rPr>
          <w:color w:val="231F20"/>
        </w:rPr>
        <w:t>2° voor de verbintenissen van de vennootschap, naar een verhouding die de rechter vaststelt, in geval van faillissement uitgesproken binnen drie jaar na de verkrijging van rechtspersoonlijkheid, indien het bedrag van het aanvangsvermogen bij de oprichting kennelijk</w:t>
      </w:r>
      <w:r>
        <w:rPr>
          <w:color w:val="231F20"/>
          <w:spacing w:val="29"/>
        </w:rPr>
        <w:t> </w:t>
      </w:r>
      <w:r>
        <w:rPr>
          <w:color w:val="231F20"/>
        </w:rPr>
        <w:t>ontoereikend was voor de normale uitoefening van de voorgenomen bedrijvigheid over ten minste twee </w:t>
      </w:r>
      <w:r>
        <w:rPr>
          <w:color w:val="231F20"/>
          <w:spacing w:val="-3"/>
        </w:rPr>
        <w:t>jaar. </w:t>
      </w:r>
      <w:r>
        <w:rPr>
          <w:color w:val="231F20"/>
        </w:rPr>
        <w:t>In dit geval maakt de notaris, op verzoek van de rechter-commissaris of van de procureur des Konings,  het  in  artikel</w:t>
      </w:r>
      <w:r>
        <w:rPr>
          <w:color w:val="231F20"/>
          <w:spacing w:val="14"/>
        </w:rPr>
        <w:t> </w:t>
      </w:r>
      <w:r>
        <w:rPr>
          <w:color w:val="231F20"/>
        </w:rPr>
        <w:t>6:5</w:t>
      </w:r>
      <w:r>
        <w:rPr>
          <w:color w:val="231F20"/>
          <w:spacing w:val="14"/>
        </w:rPr>
        <w:t> </w:t>
      </w:r>
      <w:r>
        <w:rPr>
          <w:color w:val="231F20"/>
        </w:rPr>
        <w:t>voorgeschreven</w:t>
      </w:r>
      <w:r>
        <w:rPr>
          <w:color w:val="231F20"/>
          <w:spacing w:val="15"/>
        </w:rPr>
        <w:t> </w:t>
      </w:r>
      <w:r>
        <w:rPr>
          <w:color w:val="231F20"/>
        </w:rPr>
        <w:t>financieel</w:t>
      </w:r>
      <w:r>
        <w:rPr>
          <w:color w:val="231F20"/>
          <w:spacing w:val="14"/>
        </w:rPr>
        <w:t> </w:t>
      </w:r>
      <w:r>
        <w:rPr>
          <w:color w:val="231F20"/>
        </w:rPr>
        <w:t>plan</w:t>
      </w:r>
      <w:r>
        <w:rPr>
          <w:color w:val="231F20"/>
          <w:spacing w:val="15"/>
        </w:rPr>
        <w:t> </w:t>
      </w:r>
      <w:r>
        <w:rPr>
          <w:color w:val="231F20"/>
        </w:rPr>
        <w:t>aan</w:t>
      </w:r>
      <w:r>
        <w:rPr>
          <w:color w:val="231F20"/>
          <w:spacing w:val="14"/>
        </w:rPr>
        <w:t> </w:t>
      </w:r>
      <w:r>
        <w:rPr>
          <w:color w:val="231F20"/>
        </w:rPr>
        <w:t>de</w:t>
      </w:r>
      <w:r>
        <w:rPr>
          <w:color w:val="231F20"/>
          <w:spacing w:val="15"/>
        </w:rPr>
        <w:t> </w:t>
      </w:r>
      <w:r>
        <w:rPr>
          <w:color w:val="231F20"/>
        </w:rPr>
        <w:t>rechtbank</w:t>
      </w:r>
      <w:r>
        <w:rPr>
          <w:color w:val="231F20"/>
          <w:spacing w:val="14"/>
        </w:rPr>
        <w:t> </w:t>
      </w:r>
      <w:r>
        <w:rPr>
          <w:color w:val="231F20"/>
          <w:spacing w:val="-3"/>
        </w:rPr>
        <w:t>over.</w:t>
      </w:r>
    </w:p>
    <w:p>
      <w:pPr>
        <w:pStyle w:val="BodyText"/>
        <w:spacing w:line="218" w:lineRule="auto" w:before="107"/>
      </w:pPr>
      <w:r>
        <w:rPr>
          <w:color w:val="231F20"/>
        </w:rPr>
        <w:t>Art. 6:18. Zij die een verbintenis voor derden hebben aangegaan, worden geacht persoonlijk verbonden te zijn indien de naam van de lastgevers niet is aangegeven in de akte, of indien de overgelegde lastgeving niet geldig is. De oprichters zijn hoofdelijk gehouden tot nakoming van die verbintenissen.</w:t>
      </w:r>
    </w:p>
    <w:p>
      <w:pPr>
        <w:pStyle w:val="BodyText"/>
        <w:spacing w:line="350" w:lineRule="auto" w:before="93"/>
        <w:ind w:left="283" w:right="1017" w:firstLine="0"/>
        <w:jc w:val="left"/>
      </w:pPr>
      <w:r>
        <w:rPr>
          <w:color w:val="231F20"/>
        </w:rPr>
        <w:t>TITEL 3. Effecten en hun overdracht en overgang. HOOFDSTUK 1. Algemene bepalingen.</w:t>
      </w:r>
    </w:p>
    <w:p>
      <w:pPr>
        <w:pStyle w:val="BodyText"/>
        <w:spacing w:line="218" w:lineRule="auto" w:before="15"/>
      </w:pPr>
      <w:r>
        <w:rPr>
          <w:color w:val="231F20"/>
        </w:rPr>
        <w:t>Art. 6:19. Een coöperatieve vennootschap kan enkel aandelen op naam met stemrecht en obligaties uitgeven. Haar effecten kunnen niet worden gecertificeerd.</w:t>
      </w:r>
    </w:p>
    <w:p>
      <w:pPr>
        <w:pStyle w:val="BodyText"/>
        <w:spacing w:line="218" w:lineRule="auto" w:before="107"/>
      </w:pPr>
      <w:r>
        <w:rPr>
          <w:color w:val="231F20"/>
        </w:rPr>
        <w:t>De obligaties zijn op naam of, indien de statuten dit toelaten, gedematerialiseerd.</w:t>
      </w:r>
    </w:p>
    <w:p>
      <w:pPr>
        <w:pStyle w:val="BodyText"/>
        <w:spacing w:line="218" w:lineRule="auto" w:before="107"/>
      </w:pPr>
      <w:r>
        <w:rPr>
          <w:color w:val="231F20"/>
        </w:rPr>
        <w:t>De coöperatieve vennootschappen die gereglementeerde onderne- </w:t>
      </w:r>
      <w:r>
        <w:rPr>
          <w:color w:val="231F20"/>
          <w:spacing w:val="-3"/>
        </w:rPr>
        <w:t>mingen</w:t>
      </w:r>
      <w:r>
        <w:rPr>
          <w:color w:val="231F20"/>
          <w:spacing w:val="-9"/>
        </w:rPr>
        <w:t> </w:t>
      </w:r>
      <w:r>
        <w:rPr>
          <w:color w:val="231F20"/>
          <w:spacing w:val="-3"/>
        </w:rPr>
        <w:t>zijn</w:t>
      </w:r>
      <w:r>
        <w:rPr>
          <w:color w:val="231F20"/>
          <w:spacing w:val="-9"/>
        </w:rPr>
        <w:t> </w:t>
      </w:r>
      <w:r>
        <w:rPr>
          <w:color w:val="231F20"/>
          <w:spacing w:val="-3"/>
        </w:rPr>
        <w:t>zoals</w:t>
      </w:r>
      <w:r>
        <w:rPr>
          <w:color w:val="231F20"/>
          <w:spacing w:val="-8"/>
        </w:rPr>
        <w:t> </w:t>
      </w:r>
      <w:r>
        <w:rPr>
          <w:color w:val="231F20"/>
          <w:spacing w:val="-3"/>
        </w:rPr>
        <w:t>bedoeld</w:t>
      </w:r>
      <w:r>
        <w:rPr>
          <w:color w:val="231F20"/>
          <w:spacing w:val="-9"/>
        </w:rPr>
        <w:t> </w:t>
      </w:r>
      <w:r>
        <w:rPr>
          <w:color w:val="231F20"/>
        </w:rPr>
        <w:t>in</w:t>
      </w:r>
      <w:r>
        <w:rPr>
          <w:color w:val="231F20"/>
          <w:spacing w:val="-8"/>
        </w:rPr>
        <w:t> </w:t>
      </w:r>
      <w:r>
        <w:rPr>
          <w:color w:val="231F20"/>
          <w:spacing w:val="-3"/>
        </w:rPr>
        <w:t>artikel</w:t>
      </w:r>
      <w:r>
        <w:rPr>
          <w:color w:val="231F20"/>
          <w:spacing w:val="-9"/>
        </w:rPr>
        <w:t> </w:t>
      </w:r>
      <w:r>
        <w:rPr>
          <w:color w:val="231F20"/>
        </w:rPr>
        <w:t>3,</w:t>
      </w:r>
      <w:r>
        <w:rPr>
          <w:color w:val="231F20"/>
          <w:spacing w:val="-9"/>
        </w:rPr>
        <w:t> </w:t>
      </w:r>
      <w:r>
        <w:rPr>
          <w:color w:val="231F20"/>
          <w:spacing w:val="-3"/>
        </w:rPr>
        <w:t>42°,</w:t>
      </w:r>
      <w:r>
        <w:rPr>
          <w:color w:val="231F20"/>
          <w:spacing w:val="-8"/>
        </w:rPr>
        <w:t> </w:t>
      </w:r>
      <w:r>
        <w:rPr>
          <w:color w:val="231F20"/>
        </w:rPr>
        <w:t>van</w:t>
      </w:r>
      <w:r>
        <w:rPr>
          <w:color w:val="231F20"/>
          <w:spacing w:val="-9"/>
        </w:rPr>
        <w:t> </w:t>
      </w:r>
      <w:r>
        <w:rPr>
          <w:color w:val="231F20"/>
        </w:rPr>
        <w:t>de</w:t>
      </w:r>
      <w:r>
        <w:rPr>
          <w:color w:val="231F20"/>
          <w:spacing w:val="-8"/>
        </w:rPr>
        <w:t> </w:t>
      </w:r>
      <w:r>
        <w:rPr>
          <w:color w:val="231F20"/>
        </w:rPr>
        <w:t>wet</w:t>
      </w:r>
      <w:r>
        <w:rPr>
          <w:color w:val="231F20"/>
          <w:spacing w:val="-9"/>
        </w:rPr>
        <w:t> </w:t>
      </w:r>
      <w:r>
        <w:rPr>
          <w:color w:val="231F20"/>
        </w:rPr>
        <w:t>van</w:t>
      </w:r>
      <w:r>
        <w:rPr>
          <w:color w:val="231F20"/>
          <w:spacing w:val="-9"/>
        </w:rPr>
        <w:t> </w:t>
      </w:r>
      <w:r>
        <w:rPr>
          <w:color w:val="231F20"/>
        </w:rPr>
        <w:t>25</w:t>
      </w:r>
      <w:r>
        <w:rPr>
          <w:color w:val="231F20"/>
          <w:spacing w:val="-8"/>
        </w:rPr>
        <w:t> </w:t>
      </w:r>
      <w:r>
        <w:rPr>
          <w:color w:val="231F20"/>
          <w:spacing w:val="-3"/>
        </w:rPr>
        <w:t>april</w:t>
      </w:r>
      <w:r>
        <w:rPr>
          <w:color w:val="231F20"/>
          <w:spacing w:val="-9"/>
        </w:rPr>
        <w:t> </w:t>
      </w:r>
      <w:r>
        <w:rPr>
          <w:color w:val="231F20"/>
          <w:spacing w:val="-3"/>
        </w:rPr>
        <w:t>2014</w:t>
      </w:r>
      <w:r>
        <w:rPr>
          <w:color w:val="231F20"/>
          <w:spacing w:val="-8"/>
        </w:rPr>
        <w:t> </w:t>
      </w:r>
      <w:r>
        <w:rPr>
          <w:color w:val="231F20"/>
          <w:spacing w:val="-3"/>
        </w:rPr>
        <w:t>op </w:t>
      </w:r>
      <w:r>
        <w:rPr>
          <w:color w:val="231F20"/>
        </w:rPr>
        <w:t>het statuut van en het toezicht op kredietinstellingen en beursvennoot- schappen kunnen alle andere effecten uitgeven die onder hun wettelijk statuut</w:t>
      </w:r>
      <w:r>
        <w:rPr>
          <w:color w:val="231F20"/>
          <w:spacing w:val="15"/>
        </w:rPr>
        <w:t> </w:t>
      </w:r>
      <w:r>
        <w:rPr>
          <w:color w:val="231F20"/>
        </w:rPr>
        <w:t>zijn</w:t>
      </w:r>
      <w:r>
        <w:rPr>
          <w:color w:val="231F20"/>
          <w:spacing w:val="15"/>
        </w:rPr>
        <w:t> </w:t>
      </w:r>
      <w:r>
        <w:rPr>
          <w:color w:val="231F20"/>
        </w:rPr>
        <w:t>toegelaten,</w:t>
      </w:r>
      <w:r>
        <w:rPr>
          <w:color w:val="231F20"/>
          <w:spacing w:val="15"/>
        </w:rPr>
        <w:t> </w:t>
      </w:r>
      <w:r>
        <w:rPr>
          <w:color w:val="231F20"/>
        </w:rPr>
        <w:t>al</w:t>
      </w:r>
      <w:r>
        <w:rPr>
          <w:color w:val="231F20"/>
          <w:spacing w:val="15"/>
        </w:rPr>
        <w:t> </w:t>
      </w:r>
      <w:r>
        <w:rPr>
          <w:color w:val="231F20"/>
        </w:rPr>
        <w:t>dan</w:t>
      </w:r>
      <w:r>
        <w:rPr>
          <w:color w:val="231F20"/>
          <w:spacing w:val="15"/>
        </w:rPr>
        <w:t> </w:t>
      </w:r>
      <w:r>
        <w:rPr>
          <w:color w:val="231F20"/>
        </w:rPr>
        <w:t>niet</w:t>
      </w:r>
      <w:r>
        <w:rPr>
          <w:color w:val="231F20"/>
          <w:spacing w:val="15"/>
        </w:rPr>
        <w:t> </w:t>
      </w:r>
      <w:r>
        <w:rPr>
          <w:color w:val="231F20"/>
        </w:rPr>
        <w:t>gedematerialiseerd.</w:t>
      </w:r>
    </w:p>
    <w:p>
      <w:pPr>
        <w:pStyle w:val="BodyText"/>
        <w:spacing w:line="218" w:lineRule="auto" w:before="107"/>
      </w:pPr>
      <w:r>
        <w:rPr>
          <w:color w:val="231F20"/>
        </w:rPr>
        <w:t>Obligaties die uitsluitend in het buitenland worden uitgegeven en  die worden beheerst door een buitenlands recht kunnen evenwel de vorm aannemen van individuele of verzameleffecten aan toonder. Deze obligaties aan toonder mogen evenwel niet fysiek worden afgeleverd in België. De eigenaars van deze obligaties aan toonder kunnen te allen tijde vragen dat deze op hun kosten worden omgezet in obligaties op naam.</w:t>
      </w:r>
    </w:p>
    <w:p>
      <w:pPr>
        <w:pStyle w:val="BodyText"/>
        <w:spacing w:line="218" w:lineRule="auto" w:before="107"/>
      </w:pPr>
      <w:r>
        <w:rPr>
          <w:color w:val="231F20"/>
        </w:rPr>
        <w:t>Art. 6:20. De eigenaars van gedematerialiseerde effecten kunnen te allen tijde vragen dat deze op hun kosten worden omgezet in effecten op</w:t>
      </w:r>
      <w:r>
        <w:rPr>
          <w:color w:val="231F20"/>
          <w:spacing w:val="15"/>
        </w:rPr>
        <w:t> </w:t>
      </w:r>
      <w:r>
        <w:rPr>
          <w:color w:val="231F20"/>
        </w:rPr>
        <w:t>naam.</w:t>
      </w:r>
    </w:p>
    <w:p>
      <w:pPr>
        <w:pStyle w:val="BodyText"/>
        <w:spacing w:line="218" w:lineRule="auto" w:before="107"/>
      </w:pPr>
      <w:r>
        <w:rPr>
          <w:color w:val="231F20"/>
        </w:rPr>
        <w:t>Art. 6:21. Indien verscheidene personen zakelijke rechten hebben op eenzelfde aandeel, kan de vennootschap de uitoefening van het stemrecht schorsen totdat een enkele persoon ten aanzien van de vennootschap als houder van het stemrecht is aangewezen.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024" from="298.170502pt,64.473pt" to="298.170502pt,812.819pt" stroked="true" strokeweight=".533pt" strokecolor="#231f20">
            <v:stroke dashstyle="solid"/>
            <w10:wrap type="none"/>
          </v:line>
        </w:pict>
      </w:r>
      <w:bookmarkStart w:name="_bookmark125" w:id="130"/>
      <w:bookmarkEnd w:id="130"/>
      <w:r>
        <w:rPr/>
      </w:r>
      <w:r>
        <w:rPr>
          <w:color w:val="231F20"/>
        </w:rPr>
        <w:t>Art. 6:22. Par dérogation à l’article 6:21 et sauf disposition statutaire, testamentaire ou conventionnelle contraire, l’usufruitier de titres</w:t>
      </w:r>
      <w:r>
        <w:rPr>
          <w:color w:val="231F20"/>
          <w:spacing w:val="-18"/>
        </w:rPr>
        <w:t> </w:t>
      </w:r>
      <w:r>
        <w:rPr>
          <w:color w:val="231F20"/>
        </w:rPr>
        <w:t>exerce tous</w:t>
      </w:r>
      <w:r>
        <w:rPr>
          <w:color w:val="231F20"/>
          <w:spacing w:val="14"/>
        </w:rPr>
        <w:t> </w:t>
      </w:r>
      <w:r>
        <w:rPr>
          <w:color w:val="231F20"/>
        </w:rPr>
        <w:t>les</w:t>
      </w:r>
      <w:r>
        <w:rPr>
          <w:color w:val="231F20"/>
          <w:spacing w:val="15"/>
        </w:rPr>
        <w:t> </w:t>
      </w:r>
      <w:r>
        <w:rPr>
          <w:color w:val="231F20"/>
        </w:rPr>
        <w:t>droits</w:t>
      </w:r>
      <w:r>
        <w:rPr>
          <w:color w:val="231F20"/>
          <w:spacing w:val="15"/>
        </w:rPr>
        <w:t> </w:t>
      </w:r>
      <w:r>
        <w:rPr>
          <w:color w:val="231F20"/>
        </w:rPr>
        <w:t>attachés</w:t>
      </w:r>
      <w:r>
        <w:rPr>
          <w:color w:val="231F20"/>
          <w:spacing w:val="14"/>
        </w:rPr>
        <w:t> </w:t>
      </w:r>
      <w:r>
        <w:rPr>
          <w:color w:val="231F20"/>
        </w:rPr>
        <w:t>à</w:t>
      </w:r>
      <w:r>
        <w:rPr>
          <w:color w:val="231F20"/>
          <w:spacing w:val="15"/>
        </w:rPr>
        <w:t> </w:t>
      </w:r>
      <w:r>
        <w:rPr>
          <w:color w:val="231F20"/>
        </w:rPr>
        <w:t>ceux-ci.</w:t>
      </w:r>
    </w:p>
    <w:p>
      <w:pPr>
        <w:pStyle w:val="BodyText"/>
        <w:spacing w:line="319" w:lineRule="auto" w:before="82"/>
        <w:ind w:left="283" w:right="2109" w:firstLine="0"/>
        <w:jc w:val="left"/>
      </w:pPr>
      <w:r>
        <w:rPr>
          <w:color w:val="231F20"/>
        </w:rPr>
        <w:t>CHAPITRE 2. De la forme des titres. Section 1</w:t>
      </w:r>
      <w:r>
        <w:rPr>
          <w:color w:val="231F20"/>
          <w:position w:val="7"/>
          <w:sz w:val="11"/>
        </w:rPr>
        <w:t>re</w:t>
      </w:r>
      <w:r>
        <w:rPr>
          <w:color w:val="231F20"/>
        </w:rPr>
        <w:t>. Titres nominatifs.</w:t>
      </w:r>
    </w:p>
    <w:p>
      <w:pPr>
        <w:pStyle w:val="BodyText"/>
        <w:spacing w:line="218" w:lineRule="auto" w:before="28"/>
        <w:ind w:right="38"/>
      </w:pPr>
      <w:r>
        <w:rPr>
          <w:color w:val="231F20"/>
        </w:rPr>
        <w:t>Art. 6:23. Le titre nominatif est représenté par une inscription dans</w:t>
      </w:r>
      <w:r>
        <w:rPr>
          <w:color w:val="231F20"/>
          <w:spacing w:val="-24"/>
        </w:rPr>
        <w:t> </w:t>
      </w:r>
      <w:r>
        <w:rPr>
          <w:color w:val="231F20"/>
        </w:rPr>
        <w:t>le registre pertinent </w:t>
      </w:r>
      <w:r>
        <w:rPr>
          <w:color w:val="231F20"/>
          <w:spacing w:val="2"/>
        </w:rPr>
        <w:t>visé </w:t>
      </w:r>
      <w:r>
        <w:rPr>
          <w:color w:val="231F20"/>
        </w:rPr>
        <w:t>à l’article 6:24. Ce titre peut aussi être établi par la</w:t>
      </w:r>
      <w:r>
        <w:rPr>
          <w:color w:val="231F20"/>
          <w:spacing w:val="15"/>
        </w:rPr>
        <w:t> </w:t>
      </w:r>
      <w:r>
        <w:rPr>
          <w:color w:val="231F20"/>
        </w:rPr>
        <w:t>mention</w:t>
      </w:r>
      <w:r>
        <w:rPr>
          <w:color w:val="231F20"/>
          <w:spacing w:val="16"/>
        </w:rPr>
        <w:t> </w:t>
      </w:r>
      <w:r>
        <w:rPr>
          <w:color w:val="231F20"/>
        </w:rPr>
        <w:t>du</w:t>
      </w:r>
      <w:r>
        <w:rPr>
          <w:color w:val="231F20"/>
          <w:spacing w:val="16"/>
        </w:rPr>
        <w:t> </w:t>
      </w:r>
      <w:r>
        <w:rPr>
          <w:color w:val="231F20"/>
        </w:rPr>
        <w:t>nom</w:t>
      </w:r>
      <w:r>
        <w:rPr>
          <w:color w:val="231F20"/>
          <w:spacing w:val="16"/>
        </w:rPr>
        <w:t> </w:t>
      </w:r>
      <w:r>
        <w:rPr>
          <w:color w:val="231F20"/>
        </w:rPr>
        <w:t>de</w:t>
      </w:r>
      <w:r>
        <w:rPr>
          <w:color w:val="231F20"/>
          <w:spacing w:val="16"/>
        </w:rPr>
        <w:t> </w:t>
      </w:r>
      <w:r>
        <w:rPr>
          <w:color w:val="231F20"/>
        </w:rPr>
        <w:t>son</w:t>
      </w:r>
      <w:r>
        <w:rPr>
          <w:color w:val="231F20"/>
          <w:spacing w:val="16"/>
        </w:rPr>
        <w:t> </w:t>
      </w:r>
      <w:r>
        <w:rPr>
          <w:color w:val="231F20"/>
        </w:rPr>
        <w:t>titulaire</w:t>
      </w:r>
      <w:r>
        <w:rPr>
          <w:color w:val="231F20"/>
          <w:spacing w:val="16"/>
        </w:rPr>
        <w:t> </w:t>
      </w:r>
      <w:r>
        <w:rPr>
          <w:color w:val="231F20"/>
        </w:rPr>
        <w:t>dans</w:t>
      </w:r>
      <w:r>
        <w:rPr>
          <w:color w:val="231F20"/>
          <w:spacing w:val="16"/>
        </w:rPr>
        <w:t> </w:t>
      </w:r>
      <w:r>
        <w:rPr>
          <w:color w:val="231F20"/>
        </w:rPr>
        <w:t>l’acte</w:t>
      </w:r>
      <w:r>
        <w:rPr>
          <w:color w:val="231F20"/>
          <w:spacing w:val="16"/>
        </w:rPr>
        <w:t> </w:t>
      </w:r>
      <w:r>
        <w:rPr>
          <w:color w:val="231F20"/>
        </w:rPr>
        <w:t>d’émission.</w:t>
      </w:r>
    </w:p>
    <w:p>
      <w:pPr>
        <w:pStyle w:val="BodyText"/>
        <w:ind w:left="0" w:right="0" w:firstLine="0"/>
        <w:jc w:val="left"/>
        <w:rPr>
          <w:sz w:val="24"/>
        </w:rPr>
      </w:pPr>
    </w:p>
    <w:p>
      <w:pPr>
        <w:pStyle w:val="BodyText"/>
        <w:spacing w:line="218" w:lineRule="auto"/>
        <w:ind w:right="38"/>
      </w:pPr>
      <w:r>
        <w:rPr>
          <w:color w:val="231F20"/>
        </w:rPr>
        <w:t>Art. 6:24. La société tient à son siège un registre pour chaque catégorie de titres nominatifs que la société a émis. Nonobstant toute disposition contraire, les titulaires de titres peuvent prendre connais- sance de l’intégralité du registre concernant leur catégorie de titres. L’organe d’administration peut décider que le registre sera tenu sous la forme électronique. Le Roi peut déterminer les conditions auxquelles le registre électronique doit satisfaire.</w:t>
      </w:r>
    </w:p>
    <w:p>
      <w:pPr>
        <w:pStyle w:val="BodyText"/>
        <w:spacing w:before="8"/>
        <w:ind w:left="0" w:right="0" w:firstLine="0"/>
        <w:jc w:val="left"/>
        <w:rPr>
          <w:sz w:val="22"/>
        </w:rPr>
      </w:pPr>
    </w:p>
    <w:p>
      <w:pPr>
        <w:pStyle w:val="BodyText"/>
        <w:ind w:left="283" w:right="0" w:firstLine="0"/>
        <w:jc w:val="left"/>
      </w:pPr>
      <w:r>
        <w:rPr>
          <w:color w:val="231F20"/>
        </w:rPr>
        <w:t>Art. 6:25. Le registre des actions nominatives mentionne:</w:t>
      </w:r>
    </w:p>
    <w:p>
      <w:pPr>
        <w:pStyle w:val="BodyText"/>
        <w:spacing w:line="218" w:lineRule="auto" w:before="93"/>
        <w:ind w:right="38"/>
      </w:pPr>
      <w:r>
        <w:rPr>
          <w:color w:val="231F20"/>
        </w:rPr>
        <w:t>1° le nombre total des actions émises par la société et, le cas échéant, le nombre total par classe;</w:t>
      </w:r>
    </w:p>
    <w:p>
      <w:pPr>
        <w:pStyle w:val="BodyText"/>
        <w:spacing w:line="211" w:lineRule="auto" w:before="101"/>
        <w:ind w:right="38"/>
      </w:pPr>
      <w:r>
        <w:rPr>
          <w:color w:val="231F20"/>
        </w:rPr>
        <w:t>2° pour les personnes physiques, le nom et le domicile et pour les personnes morales, la dénomination, le siège et le numéro d’immatri- culation visé à l’article 2:24, § 1</w:t>
      </w:r>
      <w:r>
        <w:rPr>
          <w:color w:val="231F20"/>
          <w:position w:val="7"/>
          <w:sz w:val="11"/>
        </w:rPr>
        <w:t>er</w:t>
      </w:r>
      <w:r>
        <w:rPr>
          <w:color w:val="231F20"/>
        </w:rPr>
        <w:t>, 3° et § 2, 3°, de chaque actionnaire;</w:t>
      </w:r>
    </w:p>
    <w:p>
      <w:pPr>
        <w:pStyle w:val="BodyText"/>
        <w:spacing w:before="79"/>
        <w:ind w:left="283" w:right="0" w:firstLine="0"/>
        <w:jc w:val="left"/>
      </w:pPr>
      <w:r>
        <w:rPr>
          <w:color w:val="231F20"/>
        </w:rPr>
        <w:t>3° le nombre d’actions détenues par chaque actionnaire et leur classe;</w:t>
      </w:r>
    </w:p>
    <w:p>
      <w:pPr>
        <w:pStyle w:val="BodyText"/>
        <w:spacing w:before="5"/>
        <w:ind w:left="0" w:right="0" w:firstLine="0"/>
        <w:jc w:val="left"/>
        <w:rPr>
          <w:sz w:val="22"/>
        </w:rPr>
      </w:pPr>
    </w:p>
    <w:p>
      <w:pPr>
        <w:pStyle w:val="BodyText"/>
        <w:ind w:left="283" w:right="0" w:firstLine="0"/>
        <w:jc w:val="left"/>
      </w:pPr>
      <w:r>
        <w:rPr>
          <w:color w:val="231F20"/>
        </w:rPr>
        <w:t>4° les versements faits sur chaque action;</w:t>
      </w:r>
    </w:p>
    <w:p>
      <w:pPr>
        <w:pStyle w:val="BodyText"/>
        <w:spacing w:line="218" w:lineRule="auto" w:before="93"/>
        <w:ind w:right="38"/>
      </w:pPr>
      <w:r>
        <w:rPr>
          <w:color w:val="231F20"/>
        </w:rPr>
        <w:t>5° les restrictions relatives à la cessibilité résultant des statuts et, lorsqu’une des parties le demande, les restrictions relatives à la cessibilité des actions résultant de conventions ou des conditions d’émission;</w:t>
      </w:r>
    </w:p>
    <w:p>
      <w:pPr>
        <w:pStyle w:val="BodyText"/>
        <w:spacing w:line="218" w:lineRule="auto" w:before="96"/>
        <w:ind w:right="38"/>
      </w:pPr>
      <w:r>
        <w:rPr>
          <w:color w:val="231F20"/>
        </w:rPr>
        <w:t>6° les transferts d’actions avec  leur  date,  conformément  à  l’arti-  cle</w:t>
      </w:r>
      <w:r>
        <w:rPr>
          <w:color w:val="231F20"/>
          <w:spacing w:val="-5"/>
        </w:rPr>
        <w:t> </w:t>
      </w:r>
      <w:r>
        <w:rPr>
          <w:color w:val="231F20"/>
        </w:rPr>
        <w:t>6:50.</w:t>
      </w:r>
      <w:r>
        <w:rPr>
          <w:color w:val="231F20"/>
          <w:spacing w:val="-4"/>
        </w:rPr>
        <w:t> </w:t>
      </w:r>
      <w:r>
        <w:rPr>
          <w:color w:val="231F20"/>
        </w:rPr>
        <w:t>Si</w:t>
      </w:r>
      <w:r>
        <w:rPr>
          <w:color w:val="231F20"/>
          <w:spacing w:val="-5"/>
        </w:rPr>
        <w:t> </w:t>
      </w:r>
      <w:r>
        <w:rPr>
          <w:color w:val="231F20"/>
        </w:rPr>
        <w:t>le</w:t>
      </w:r>
      <w:r>
        <w:rPr>
          <w:color w:val="231F20"/>
          <w:spacing w:val="-4"/>
        </w:rPr>
        <w:t> </w:t>
      </w:r>
      <w:r>
        <w:rPr>
          <w:color w:val="231F20"/>
        </w:rPr>
        <w:t>registre</w:t>
      </w:r>
      <w:r>
        <w:rPr>
          <w:color w:val="231F20"/>
          <w:spacing w:val="-5"/>
        </w:rPr>
        <w:t> </w:t>
      </w:r>
      <w:r>
        <w:rPr>
          <w:color w:val="231F20"/>
        </w:rPr>
        <w:t>est</w:t>
      </w:r>
      <w:r>
        <w:rPr>
          <w:color w:val="231F20"/>
          <w:spacing w:val="-4"/>
        </w:rPr>
        <w:t> </w:t>
      </w:r>
      <w:r>
        <w:rPr>
          <w:color w:val="231F20"/>
        </w:rPr>
        <w:t>tenu</w:t>
      </w:r>
      <w:r>
        <w:rPr>
          <w:color w:val="231F20"/>
          <w:spacing w:val="-5"/>
        </w:rPr>
        <w:t> </w:t>
      </w:r>
      <w:r>
        <w:rPr>
          <w:color w:val="231F20"/>
        </w:rPr>
        <w:t>sous</w:t>
      </w:r>
      <w:r>
        <w:rPr>
          <w:color w:val="231F20"/>
          <w:spacing w:val="-4"/>
        </w:rPr>
        <w:t> </w:t>
      </w:r>
      <w:r>
        <w:rPr>
          <w:color w:val="231F20"/>
        </w:rPr>
        <w:t>forme</w:t>
      </w:r>
      <w:r>
        <w:rPr>
          <w:color w:val="231F20"/>
          <w:spacing w:val="-5"/>
        </w:rPr>
        <w:t> </w:t>
      </w:r>
      <w:r>
        <w:rPr>
          <w:color w:val="231F20"/>
        </w:rPr>
        <w:t>électronique,</w:t>
      </w:r>
      <w:r>
        <w:rPr>
          <w:color w:val="231F20"/>
          <w:spacing w:val="-4"/>
        </w:rPr>
        <w:t> </w:t>
      </w:r>
      <w:r>
        <w:rPr>
          <w:color w:val="231F20"/>
        </w:rPr>
        <w:t>la</w:t>
      </w:r>
      <w:r>
        <w:rPr>
          <w:color w:val="231F20"/>
          <w:spacing w:val="-5"/>
        </w:rPr>
        <w:t> </w:t>
      </w:r>
      <w:r>
        <w:rPr>
          <w:color w:val="231F20"/>
        </w:rPr>
        <w:t>déclaration</w:t>
      </w:r>
      <w:r>
        <w:rPr>
          <w:color w:val="231F20"/>
          <w:spacing w:val="-4"/>
        </w:rPr>
        <w:t> </w:t>
      </w:r>
      <w:r>
        <w:rPr>
          <w:color w:val="231F20"/>
        </w:rPr>
        <w:t>de cession peut adopter une forme électronique et être signée par un ensemble de données électroniques pouvant être imputé à une personne déterminée et établissant le maintien de l’intégrité du</w:t>
      </w:r>
      <w:r>
        <w:rPr>
          <w:color w:val="231F20"/>
          <w:spacing w:val="-29"/>
        </w:rPr>
        <w:t> </w:t>
      </w:r>
      <w:r>
        <w:rPr>
          <w:color w:val="231F20"/>
        </w:rPr>
        <w:t>contenu de</w:t>
      </w:r>
      <w:r>
        <w:rPr>
          <w:color w:val="231F20"/>
          <w:spacing w:val="14"/>
        </w:rPr>
        <w:t> </w:t>
      </w:r>
      <w:r>
        <w:rPr>
          <w:color w:val="231F20"/>
        </w:rPr>
        <w:t>l’acte;</w:t>
      </w:r>
    </w:p>
    <w:p>
      <w:pPr>
        <w:pStyle w:val="BodyText"/>
        <w:spacing w:before="11"/>
        <w:ind w:left="0" w:right="0" w:firstLine="0"/>
        <w:jc w:val="left"/>
        <w:rPr>
          <w:sz w:val="23"/>
        </w:rPr>
      </w:pPr>
    </w:p>
    <w:p>
      <w:pPr>
        <w:pStyle w:val="BodyText"/>
        <w:spacing w:line="218" w:lineRule="auto"/>
        <w:ind w:right="38"/>
      </w:pPr>
      <w:r>
        <w:rPr>
          <w:color w:val="231F20"/>
        </w:rPr>
        <w:t>7° les droits de vote et les droits aux bénéfices attachés à chaque action, ainsi que leur part dans le solde de liquidation si celle-ci diverge des droits aux bénéfices.</w:t>
      </w:r>
    </w:p>
    <w:p>
      <w:pPr>
        <w:pStyle w:val="BodyText"/>
        <w:spacing w:line="218" w:lineRule="auto" w:before="96"/>
        <w:ind w:right="38"/>
      </w:pPr>
      <w:r>
        <w:rPr>
          <w:color w:val="231F20"/>
        </w:rPr>
        <w:t>En cas de contradiction entre les statuts et le registre des actions, les statuts prévalent.</w:t>
      </w:r>
    </w:p>
    <w:p>
      <w:pPr>
        <w:pStyle w:val="BodyText"/>
        <w:spacing w:before="82"/>
        <w:ind w:left="283" w:right="0" w:firstLine="0"/>
        <w:jc w:val="left"/>
      </w:pPr>
      <w:r>
        <w:rPr>
          <w:color w:val="231F20"/>
        </w:rPr>
        <w:t>Art. 6:26. Le registre des obligations nominatives mentionne:</w:t>
      </w:r>
    </w:p>
    <w:p>
      <w:pPr>
        <w:pStyle w:val="BodyText"/>
        <w:spacing w:line="218" w:lineRule="auto" w:before="93"/>
        <w:ind w:right="38"/>
      </w:pPr>
      <w:r>
        <w:rPr>
          <w:color w:val="231F20"/>
        </w:rPr>
        <w:t>1° la désignation précise de chaque obligataire et l’indication du montant des obligations lui appartenant;</w:t>
      </w:r>
    </w:p>
    <w:p>
      <w:pPr>
        <w:pStyle w:val="BodyText"/>
        <w:spacing w:line="218" w:lineRule="auto" w:before="96"/>
        <w:ind w:right="38"/>
      </w:pPr>
      <w:r>
        <w:rPr>
          <w:color w:val="231F20"/>
        </w:rPr>
        <w:t>2° les transferts d’obligations avec leur date et la conversion d’obligations nominatives en obligations dématérialisées ou inverse- ment, si les statuts l’autorisent;</w:t>
      </w:r>
    </w:p>
    <w:p>
      <w:pPr>
        <w:pStyle w:val="BodyText"/>
        <w:spacing w:line="218" w:lineRule="auto" w:before="96"/>
        <w:ind w:right="38"/>
      </w:pPr>
      <w:r>
        <w:rPr>
          <w:color w:val="231F20"/>
        </w:rPr>
        <w:t>3° les restrictions à la cessibilité résultant des statuts ou, lorsqu’une des parties le demande, les restrictions relatives à la cessibilité</w:t>
      </w:r>
      <w:r>
        <w:rPr>
          <w:color w:val="231F20"/>
          <w:spacing w:val="-12"/>
        </w:rPr>
        <w:t> </w:t>
      </w:r>
      <w:r>
        <w:rPr>
          <w:color w:val="231F20"/>
        </w:rPr>
        <w:t>résultant de</w:t>
      </w:r>
      <w:r>
        <w:rPr>
          <w:color w:val="231F20"/>
          <w:spacing w:val="15"/>
        </w:rPr>
        <w:t> </w:t>
      </w:r>
      <w:r>
        <w:rPr>
          <w:color w:val="231F20"/>
        </w:rPr>
        <w:t>conventions</w:t>
      </w:r>
      <w:r>
        <w:rPr>
          <w:color w:val="231F20"/>
          <w:spacing w:val="16"/>
        </w:rPr>
        <w:t> </w:t>
      </w:r>
      <w:r>
        <w:rPr>
          <w:color w:val="231F20"/>
        </w:rPr>
        <w:t>ou</w:t>
      </w:r>
      <w:r>
        <w:rPr>
          <w:color w:val="231F20"/>
          <w:spacing w:val="16"/>
        </w:rPr>
        <w:t> </w:t>
      </w:r>
      <w:r>
        <w:rPr>
          <w:color w:val="231F20"/>
        </w:rPr>
        <w:t>des</w:t>
      </w:r>
      <w:r>
        <w:rPr>
          <w:color w:val="231F20"/>
          <w:spacing w:val="16"/>
        </w:rPr>
        <w:t> </w:t>
      </w:r>
      <w:r>
        <w:rPr>
          <w:color w:val="231F20"/>
        </w:rPr>
        <w:t>conditions</w:t>
      </w:r>
      <w:r>
        <w:rPr>
          <w:color w:val="231F20"/>
          <w:spacing w:val="16"/>
        </w:rPr>
        <w:t> </w:t>
      </w:r>
      <w:r>
        <w:rPr>
          <w:color w:val="231F20"/>
        </w:rPr>
        <w:t>d’émission.</w:t>
      </w:r>
    </w:p>
    <w:p>
      <w:pPr>
        <w:pStyle w:val="BodyText"/>
        <w:spacing w:line="218" w:lineRule="auto" w:before="96"/>
        <w:ind w:right="38"/>
      </w:pPr>
      <w:r>
        <w:rPr>
          <w:color w:val="231F20"/>
        </w:rPr>
        <w:t>Art. 6:27. </w:t>
      </w:r>
      <w:r>
        <w:rPr>
          <w:color w:val="231F20"/>
          <w:spacing w:val="-3"/>
        </w:rPr>
        <w:t>L’organe </w:t>
      </w:r>
      <w:r>
        <w:rPr>
          <w:color w:val="231F20"/>
        </w:rPr>
        <w:t>d’administration peut décider de scinder un registre en deux parties, dont l’une est conservée au siège de la société et</w:t>
      </w:r>
      <w:r>
        <w:rPr>
          <w:color w:val="231F20"/>
          <w:spacing w:val="15"/>
        </w:rPr>
        <w:t> </w:t>
      </w:r>
      <w:r>
        <w:rPr>
          <w:color w:val="231F20"/>
        </w:rPr>
        <w:t>l’autre,</w:t>
      </w:r>
      <w:r>
        <w:rPr>
          <w:color w:val="231F20"/>
          <w:spacing w:val="16"/>
        </w:rPr>
        <w:t> </w:t>
      </w:r>
      <w:r>
        <w:rPr>
          <w:color w:val="231F20"/>
        </w:rPr>
        <w:t>en</w:t>
      </w:r>
      <w:r>
        <w:rPr>
          <w:color w:val="231F20"/>
          <w:spacing w:val="15"/>
        </w:rPr>
        <w:t> </w:t>
      </w:r>
      <w:r>
        <w:rPr>
          <w:color w:val="231F20"/>
        </w:rPr>
        <w:t>dehors</w:t>
      </w:r>
      <w:r>
        <w:rPr>
          <w:color w:val="231F20"/>
          <w:spacing w:val="16"/>
        </w:rPr>
        <w:t> </w:t>
      </w:r>
      <w:r>
        <w:rPr>
          <w:color w:val="231F20"/>
        </w:rPr>
        <w:t>du</w:t>
      </w:r>
      <w:r>
        <w:rPr>
          <w:color w:val="231F20"/>
          <w:spacing w:val="15"/>
        </w:rPr>
        <w:t> </w:t>
      </w:r>
      <w:r>
        <w:rPr>
          <w:color w:val="231F20"/>
        </w:rPr>
        <w:t>siège,</w:t>
      </w:r>
      <w:r>
        <w:rPr>
          <w:color w:val="231F20"/>
          <w:spacing w:val="16"/>
        </w:rPr>
        <w:t> </w:t>
      </w:r>
      <w:r>
        <w:rPr>
          <w:color w:val="231F20"/>
        </w:rPr>
        <w:t>en</w:t>
      </w:r>
      <w:r>
        <w:rPr>
          <w:color w:val="231F20"/>
          <w:spacing w:val="16"/>
        </w:rPr>
        <w:t> </w:t>
      </w:r>
      <w:r>
        <w:rPr>
          <w:color w:val="231F20"/>
        </w:rPr>
        <w:t>Belgique</w:t>
      </w:r>
      <w:r>
        <w:rPr>
          <w:color w:val="231F20"/>
          <w:spacing w:val="15"/>
        </w:rPr>
        <w:t> </w:t>
      </w:r>
      <w:r>
        <w:rPr>
          <w:color w:val="231F20"/>
        </w:rPr>
        <w:t>ou</w:t>
      </w:r>
      <w:r>
        <w:rPr>
          <w:color w:val="231F20"/>
          <w:spacing w:val="16"/>
        </w:rPr>
        <w:t> </w:t>
      </w:r>
      <w:r>
        <w:rPr>
          <w:color w:val="231F20"/>
        </w:rPr>
        <w:t>à</w:t>
      </w:r>
      <w:r>
        <w:rPr>
          <w:color w:val="231F20"/>
          <w:spacing w:val="15"/>
        </w:rPr>
        <w:t> </w:t>
      </w:r>
      <w:r>
        <w:rPr>
          <w:color w:val="231F20"/>
        </w:rPr>
        <w:t>l’étranger.</w:t>
      </w:r>
    </w:p>
    <w:p>
      <w:pPr>
        <w:pStyle w:val="BodyText"/>
        <w:spacing w:before="11"/>
        <w:ind w:left="0" w:right="0" w:firstLine="0"/>
        <w:jc w:val="left"/>
        <w:rPr>
          <w:sz w:val="23"/>
        </w:rPr>
      </w:pPr>
    </w:p>
    <w:p>
      <w:pPr>
        <w:pStyle w:val="BodyText"/>
        <w:spacing w:line="218" w:lineRule="auto"/>
        <w:ind w:right="38"/>
      </w:pPr>
      <w:r>
        <w:rPr>
          <w:color w:val="231F20"/>
        </w:rPr>
        <w:t>Une copie de chacune des parties est conservée à l’endroit où est déposée l’autre partie.</w:t>
      </w:r>
    </w:p>
    <w:p>
      <w:pPr>
        <w:pStyle w:val="BodyText"/>
        <w:spacing w:line="218" w:lineRule="auto" w:before="96"/>
        <w:ind w:right="38"/>
      </w:pPr>
      <w:r>
        <w:rPr>
          <w:color w:val="231F20"/>
        </w:rPr>
        <w:t>Cette copie est régulièrement tenue à jour et, si cela s’avère impossible, elle est complétée aussitôt que les circonstances le permet- tent.</w:t>
      </w:r>
    </w:p>
    <w:p>
      <w:pPr>
        <w:pStyle w:val="BodyText"/>
        <w:spacing w:line="218" w:lineRule="auto" w:before="107"/>
        <w:ind w:right="38"/>
      </w:pPr>
      <w:r>
        <w:rPr>
          <w:color w:val="231F20"/>
        </w:rPr>
        <w:t>Les titulaires d’actions ou d’obligations ont le droit de se faire</w:t>
      </w:r>
      <w:r>
        <w:rPr>
          <w:color w:val="231F20"/>
          <w:spacing w:val="-27"/>
        </w:rPr>
        <w:t> </w:t>
      </w:r>
      <w:r>
        <w:rPr>
          <w:color w:val="231F20"/>
        </w:rPr>
        <w:t>inscrire dans une des deux parties du registre à leur choix. Ils peuvent prendre connaissance des deux parties du registre relatif à leurs titres et de leur copie.</w:t>
      </w:r>
    </w:p>
    <w:p>
      <w:pPr>
        <w:pStyle w:val="BodyText"/>
        <w:spacing w:line="216" w:lineRule="auto" w:before="108"/>
        <w:ind w:right="38"/>
      </w:pPr>
      <w:r>
        <w:rPr>
          <w:color w:val="231F20"/>
        </w:rPr>
        <w:t>L’organe d’administration fait connaître le lieu où se trouve la deuxième partie du registre par une publication aux Annexes du </w:t>
      </w:r>
      <w:r>
        <w:rPr>
          <w:rFonts w:ascii="Times New Roman" w:hAnsi="Times New Roman"/>
          <w:i/>
          <w:color w:val="231F20"/>
        </w:rPr>
        <w:t>Moniteur belge</w:t>
      </w:r>
      <w:r>
        <w:rPr>
          <w:color w:val="231F20"/>
        </w:rPr>
        <w:t>. L’organe d’administration peut modifier ce lieu.</w:t>
      </w:r>
    </w:p>
    <w:p>
      <w:pPr>
        <w:pStyle w:val="BodyText"/>
        <w:spacing w:line="218" w:lineRule="auto" w:before="109"/>
        <w:ind w:right="38"/>
      </w:pPr>
      <w:r>
        <w:rPr>
          <w:color w:val="231F20"/>
        </w:rPr>
        <w:t>La décision de l’organe d’administration de scinder un registre en deux parties ne peut être modifiée que par une décision de l’assemblée générale dans les formes prescrites pour la modification des statuts.</w:t>
      </w:r>
    </w:p>
    <w:p>
      <w:pPr>
        <w:pStyle w:val="BodyText"/>
        <w:spacing w:before="93"/>
        <w:ind w:left="284" w:right="0" w:firstLine="0"/>
        <w:jc w:val="left"/>
      </w:pPr>
      <w:r>
        <w:rPr>
          <w:color w:val="231F20"/>
        </w:rPr>
        <w:t>Le Roi règle les modalités d’inscription dans les deux parties.</w:t>
      </w:r>
    </w:p>
    <w:p>
      <w:pPr>
        <w:pStyle w:val="BodyText"/>
        <w:spacing w:line="218" w:lineRule="auto" w:before="119"/>
        <w:ind w:right="123"/>
      </w:pPr>
      <w:r>
        <w:rPr/>
        <w:br w:type="column"/>
      </w:r>
      <w:r>
        <w:rPr>
          <w:color w:val="231F20"/>
        </w:rPr>
        <w:t>Art. 6:22. In afwijking van artikel 6:21, en tenzij de statuten, een testament of een overeenkomst anders bepalen, oefent de vruchtgebrui- ker van effecten, alle aan die effecten verbonden rechten uit.</w:t>
      </w:r>
    </w:p>
    <w:p>
      <w:pPr>
        <w:pStyle w:val="BodyText"/>
        <w:spacing w:line="338" w:lineRule="auto" w:before="83"/>
        <w:ind w:left="283" w:right="1786" w:firstLine="0"/>
        <w:jc w:val="left"/>
      </w:pPr>
      <w:r>
        <w:rPr>
          <w:color w:val="231F20"/>
        </w:rPr>
        <w:t>HOOFDSTUK 2. De vorm van effecten. Afdeling 1. Effecten op naam.</w:t>
      </w:r>
    </w:p>
    <w:p>
      <w:pPr>
        <w:pStyle w:val="BodyText"/>
        <w:spacing w:line="218" w:lineRule="auto" w:before="13"/>
      </w:pPr>
      <w:r>
        <w:rPr>
          <w:color w:val="231F20"/>
        </w:rPr>
        <w:t>Art. 6:23. Het effect op naam wordt vertegenwoordigd door een inschrijving van het effect in het relevante in artikel 6:24 bedoelde effectenregister. Dit effect kan ook blijken uit de vermelding op naam van een houder in de uitgifteakte.</w:t>
      </w:r>
    </w:p>
    <w:p>
      <w:pPr>
        <w:pStyle w:val="BodyText"/>
        <w:spacing w:line="218" w:lineRule="auto" w:before="96"/>
      </w:pPr>
      <w:r>
        <w:rPr>
          <w:color w:val="231F20"/>
        </w:rPr>
        <w:t>Art. 6:24. Op de zetel van de vennootschap wordt een register gehouden voor elke categorie van effecten op naam die de vennoot- schap heeft uitgegeven. Niettegenstaande andersluidende bepaling kunnen de effectenhouders inzage krijgen van het volledige register dat betrekking heeft op hun categorie van effecten. Het bestuursorgaan kan beslissen dat het register wordt aangehouden in elektronische vorm. De Koning kan voorwaarden opleggen waaraan het elektronische register dient te voldoen.</w:t>
      </w:r>
    </w:p>
    <w:p>
      <w:pPr>
        <w:pStyle w:val="BodyText"/>
        <w:spacing w:before="82"/>
        <w:ind w:left="283" w:right="0" w:firstLine="0"/>
        <w:jc w:val="left"/>
      </w:pPr>
      <w:r>
        <w:rPr>
          <w:color w:val="231F20"/>
        </w:rPr>
        <w:t>Art. 6:25. Het register van aandelen op naam vermeldt:</w:t>
      </w:r>
    </w:p>
    <w:p>
      <w:pPr>
        <w:pStyle w:val="BodyText"/>
        <w:spacing w:line="218" w:lineRule="auto" w:before="93"/>
      </w:pPr>
      <w:r>
        <w:rPr>
          <w:color w:val="231F20"/>
        </w:rPr>
        <w:t>1° het totale aantal door de vennootschap uitgegeven aandelen en, in voorkomend geval, het totale aantal per soort;</w:t>
      </w:r>
    </w:p>
    <w:p>
      <w:pPr>
        <w:pStyle w:val="BodyText"/>
        <w:spacing w:line="218" w:lineRule="auto" w:before="96"/>
      </w:pPr>
      <w:r>
        <w:rPr>
          <w:color w:val="231F20"/>
        </w:rPr>
        <w:t>2° voor natuurlijke personen naam en woonplaats en voor rechtsper- sonen</w:t>
      </w:r>
      <w:r>
        <w:rPr>
          <w:color w:val="231F20"/>
          <w:spacing w:val="-6"/>
        </w:rPr>
        <w:t> </w:t>
      </w:r>
      <w:r>
        <w:rPr>
          <w:color w:val="231F20"/>
        </w:rPr>
        <w:t>naam,</w:t>
      </w:r>
      <w:r>
        <w:rPr>
          <w:color w:val="231F20"/>
          <w:spacing w:val="-6"/>
        </w:rPr>
        <w:t> </w:t>
      </w:r>
      <w:r>
        <w:rPr>
          <w:color w:val="231F20"/>
        </w:rPr>
        <w:t>zetel</w:t>
      </w:r>
      <w:r>
        <w:rPr>
          <w:color w:val="231F20"/>
          <w:spacing w:val="-6"/>
        </w:rPr>
        <w:t> </w:t>
      </w:r>
      <w:r>
        <w:rPr>
          <w:color w:val="231F20"/>
        </w:rPr>
        <w:t>en</w:t>
      </w:r>
      <w:r>
        <w:rPr>
          <w:color w:val="231F20"/>
          <w:spacing w:val="-5"/>
        </w:rPr>
        <w:t> </w:t>
      </w:r>
      <w:r>
        <w:rPr>
          <w:color w:val="231F20"/>
        </w:rPr>
        <w:t>identificatienummer</w:t>
      </w:r>
      <w:r>
        <w:rPr>
          <w:color w:val="231F20"/>
          <w:spacing w:val="-6"/>
        </w:rPr>
        <w:t> </w:t>
      </w:r>
      <w:r>
        <w:rPr>
          <w:color w:val="231F20"/>
        </w:rPr>
        <w:t>bedoeld</w:t>
      </w:r>
      <w:r>
        <w:rPr>
          <w:color w:val="231F20"/>
          <w:spacing w:val="-6"/>
        </w:rPr>
        <w:t> </w:t>
      </w:r>
      <w:r>
        <w:rPr>
          <w:color w:val="231F20"/>
        </w:rPr>
        <w:t>in</w:t>
      </w:r>
      <w:r>
        <w:rPr>
          <w:color w:val="231F20"/>
          <w:spacing w:val="-5"/>
        </w:rPr>
        <w:t> </w:t>
      </w:r>
      <w:r>
        <w:rPr>
          <w:color w:val="231F20"/>
        </w:rPr>
        <w:t>artikel</w:t>
      </w:r>
      <w:r>
        <w:rPr>
          <w:color w:val="231F20"/>
          <w:spacing w:val="-6"/>
        </w:rPr>
        <w:t> </w:t>
      </w:r>
      <w:r>
        <w:rPr>
          <w:color w:val="231F20"/>
        </w:rPr>
        <w:t>2:24,</w:t>
      </w:r>
      <w:r>
        <w:rPr>
          <w:color w:val="231F20"/>
          <w:spacing w:val="-6"/>
        </w:rPr>
        <w:t> </w:t>
      </w:r>
      <w:r>
        <w:rPr>
          <w:color w:val="231F20"/>
        </w:rPr>
        <w:t>§</w:t>
      </w:r>
      <w:r>
        <w:rPr>
          <w:color w:val="231F20"/>
          <w:spacing w:val="-5"/>
        </w:rPr>
        <w:t> </w:t>
      </w:r>
      <w:r>
        <w:rPr>
          <w:color w:val="231F20"/>
        </w:rPr>
        <w:t>1,</w:t>
      </w:r>
      <w:r>
        <w:rPr>
          <w:color w:val="231F20"/>
          <w:spacing w:val="-6"/>
        </w:rPr>
        <w:t> </w:t>
      </w:r>
      <w:r>
        <w:rPr>
          <w:color w:val="231F20"/>
        </w:rPr>
        <w:t>3° en</w:t>
      </w:r>
      <w:r>
        <w:rPr>
          <w:color w:val="231F20"/>
          <w:spacing w:val="14"/>
        </w:rPr>
        <w:t> </w:t>
      </w:r>
      <w:r>
        <w:rPr>
          <w:color w:val="231F20"/>
        </w:rPr>
        <w:t>§</w:t>
      </w:r>
      <w:r>
        <w:rPr>
          <w:color w:val="231F20"/>
          <w:spacing w:val="15"/>
        </w:rPr>
        <w:t> </w:t>
      </w:r>
      <w:r>
        <w:rPr>
          <w:color w:val="231F20"/>
        </w:rPr>
        <w:t>2,</w:t>
      </w:r>
      <w:r>
        <w:rPr>
          <w:color w:val="231F20"/>
          <w:spacing w:val="15"/>
        </w:rPr>
        <w:t> </w:t>
      </w:r>
      <w:r>
        <w:rPr>
          <w:color w:val="231F20"/>
        </w:rPr>
        <w:t>3°</w:t>
      </w:r>
      <w:r>
        <w:rPr>
          <w:color w:val="231F20"/>
          <w:spacing w:val="15"/>
        </w:rPr>
        <w:t> </w:t>
      </w:r>
      <w:r>
        <w:rPr>
          <w:color w:val="231F20"/>
        </w:rPr>
        <w:t>van</w:t>
      </w:r>
      <w:r>
        <w:rPr>
          <w:color w:val="231F20"/>
          <w:spacing w:val="15"/>
        </w:rPr>
        <w:t> </w:t>
      </w:r>
      <w:r>
        <w:rPr>
          <w:color w:val="231F20"/>
        </w:rPr>
        <w:t>elke</w:t>
      </w:r>
      <w:r>
        <w:rPr>
          <w:color w:val="231F20"/>
          <w:spacing w:val="15"/>
        </w:rPr>
        <w:t> </w:t>
      </w:r>
      <w:r>
        <w:rPr>
          <w:color w:val="231F20"/>
        </w:rPr>
        <w:t>aandeelhouder;</w:t>
      </w:r>
    </w:p>
    <w:p>
      <w:pPr>
        <w:pStyle w:val="BodyText"/>
        <w:spacing w:line="218" w:lineRule="auto" w:before="96"/>
      </w:pPr>
      <w:r>
        <w:rPr>
          <w:color w:val="231F20"/>
        </w:rPr>
        <w:t>3° het aantal aandelen dat elke aandeelhouder aanhoudt en de soort waartoe die aandelen behoren;</w:t>
      </w:r>
    </w:p>
    <w:p>
      <w:pPr>
        <w:pStyle w:val="BodyText"/>
        <w:spacing w:before="83"/>
        <w:ind w:left="283" w:right="0" w:firstLine="0"/>
        <w:jc w:val="left"/>
      </w:pPr>
      <w:r>
        <w:rPr>
          <w:color w:val="231F20"/>
        </w:rPr>
        <w:t>4° de op elk aandeel gedane stortingen;</w:t>
      </w:r>
    </w:p>
    <w:p>
      <w:pPr>
        <w:pStyle w:val="BodyText"/>
        <w:spacing w:line="218" w:lineRule="auto" w:before="92"/>
      </w:pPr>
      <w:r>
        <w:rPr>
          <w:color w:val="231F20"/>
        </w:rPr>
        <w:t>5° de statutaire overdrachtsbeperkingen, en, wanneer één van de partijen daarom verzoekt, de overdrachtsbeperkingen die voortvloeien uit overeenkomsten of uit de uitgiftevoorwaarden;</w:t>
      </w:r>
    </w:p>
    <w:p>
      <w:pPr>
        <w:pStyle w:val="BodyText"/>
        <w:spacing w:before="11"/>
        <w:ind w:left="0" w:right="0" w:firstLine="0"/>
        <w:jc w:val="left"/>
        <w:rPr>
          <w:sz w:val="23"/>
        </w:rPr>
      </w:pPr>
    </w:p>
    <w:p>
      <w:pPr>
        <w:pStyle w:val="BodyText"/>
        <w:spacing w:line="218" w:lineRule="auto"/>
      </w:pPr>
      <w:r>
        <w:rPr>
          <w:color w:val="231F20"/>
        </w:rPr>
        <w:t>6° de overdrachten en de overgangen van aandelen met hun datum, overeenkomstig artikel 6:50. Indien het register in elektronische vorm wordt aangehouden, kan de verklaring van overdracht een elektroni- sche vorm aannemen en worden ondertekend door middel van een geheel van elektronische gegevens dat aan een bepaalde persoon kan worden toegerekend en het behoud van de integriteit van de inhoud van de akte</w:t>
      </w:r>
      <w:r>
        <w:rPr>
          <w:color w:val="231F20"/>
          <w:spacing w:val="3"/>
        </w:rPr>
        <w:t> </w:t>
      </w:r>
      <w:r>
        <w:rPr>
          <w:color w:val="231F20"/>
        </w:rPr>
        <w:t>aantoont;</w:t>
      </w:r>
    </w:p>
    <w:p>
      <w:pPr>
        <w:pStyle w:val="BodyText"/>
        <w:spacing w:line="218" w:lineRule="auto" w:before="96"/>
      </w:pPr>
      <w:r>
        <w:rPr>
          <w:color w:val="231F20"/>
        </w:rPr>
        <w:t>7° de aan elk aandeel verbonden stemrechten en winstrechten evenals hun aandeel in het vereffeningssaldo, indien dat afwijkt van hun</w:t>
      </w:r>
      <w:r>
        <w:rPr>
          <w:color w:val="231F20"/>
          <w:spacing w:val="15"/>
        </w:rPr>
        <w:t> </w:t>
      </w:r>
      <w:r>
        <w:rPr>
          <w:color w:val="231F20"/>
        </w:rPr>
        <w:t>winstrechten.</w:t>
      </w:r>
    </w:p>
    <w:p>
      <w:pPr>
        <w:pStyle w:val="BodyText"/>
        <w:spacing w:line="218" w:lineRule="auto" w:before="97"/>
        <w:ind w:right="123"/>
      </w:pPr>
      <w:r>
        <w:rPr>
          <w:color w:val="231F20"/>
        </w:rPr>
        <w:t>In geval van tegenstrijdigheid tussen de statuten en het aandelenre- gister, gelden de statuten.</w:t>
      </w:r>
    </w:p>
    <w:p>
      <w:pPr>
        <w:pStyle w:val="BodyText"/>
        <w:spacing w:before="82"/>
        <w:ind w:left="283" w:right="0" w:firstLine="0"/>
        <w:jc w:val="left"/>
      </w:pPr>
      <w:r>
        <w:rPr>
          <w:color w:val="231F20"/>
        </w:rPr>
        <w:t>Art. 6:26. Het register van obligaties op naam vermeldt:</w:t>
      </w:r>
    </w:p>
    <w:p>
      <w:pPr>
        <w:pStyle w:val="BodyText"/>
        <w:spacing w:line="218" w:lineRule="auto" w:before="92"/>
      </w:pPr>
      <w:r>
        <w:rPr>
          <w:color w:val="231F20"/>
        </w:rPr>
        <w:t>1° nauwkeurige gegevens over de persoon van elke obligatiehouder, evenals het bedrag van de hem toebehorende obligaties;</w:t>
      </w:r>
    </w:p>
    <w:p>
      <w:pPr>
        <w:pStyle w:val="BodyText"/>
        <w:spacing w:line="218" w:lineRule="auto" w:before="96"/>
      </w:pPr>
      <w:r>
        <w:rPr>
          <w:color w:val="231F20"/>
        </w:rPr>
        <w:t>2° de overdrachten en de overgangen van de obligaties met hun datum en de omzetting van obligaties op naam in gedematerialiseerde obligaties of omgekeerd, voor zover de statuten omzetting toelaten;</w:t>
      </w:r>
    </w:p>
    <w:p>
      <w:pPr>
        <w:pStyle w:val="BodyText"/>
        <w:spacing w:line="218" w:lineRule="auto" w:before="97"/>
      </w:pPr>
      <w:r>
        <w:rPr>
          <w:color w:val="231F20"/>
        </w:rPr>
        <w:t>3° de statutaire overdrachtsbeperkingen, of, wanneer één van de partijen daartoe verzoekt, de overdrachtsbeperkingen die voortvloeien uit overeenkomsten of uit de uitgiftevoorwaarden.</w:t>
      </w:r>
    </w:p>
    <w:p>
      <w:pPr>
        <w:pStyle w:val="BodyText"/>
        <w:spacing w:line="218" w:lineRule="auto" w:before="96"/>
      </w:pPr>
      <w:r>
        <w:rPr>
          <w:color w:val="231F20"/>
        </w:rPr>
        <w:t>Art. 6:27. Het bestuursorgaan kan besluiten tot splitsing van een register in twee delen, waarvan het ene wordt bewaard op de zetel van de vennootschap en het andere buiten die zetel, in België of in</w:t>
      </w:r>
      <w:r>
        <w:rPr>
          <w:color w:val="231F20"/>
          <w:spacing w:val="8"/>
        </w:rPr>
        <w:t> </w:t>
      </w:r>
      <w:r>
        <w:rPr>
          <w:color w:val="231F20"/>
        </w:rPr>
        <w:t>het buitenland.</w:t>
      </w:r>
    </w:p>
    <w:p>
      <w:pPr>
        <w:pStyle w:val="BodyText"/>
        <w:spacing w:line="218" w:lineRule="auto" w:before="96"/>
      </w:pPr>
      <w:r>
        <w:rPr>
          <w:color w:val="231F20"/>
          <w:spacing w:val="-6"/>
        </w:rPr>
        <w:t>Van </w:t>
      </w:r>
      <w:r>
        <w:rPr>
          <w:color w:val="231F20"/>
        </w:rPr>
        <w:t>elk deel wordt een kopie bewaard op de plaats waar het andere deel</w:t>
      </w:r>
      <w:r>
        <w:rPr>
          <w:color w:val="231F20"/>
          <w:spacing w:val="14"/>
        </w:rPr>
        <w:t> </w:t>
      </w:r>
      <w:r>
        <w:rPr>
          <w:color w:val="231F20"/>
        </w:rPr>
        <w:t>berust.</w:t>
      </w:r>
    </w:p>
    <w:p>
      <w:pPr>
        <w:pStyle w:val="BodyText"/>
        <w:spacing w:line="218" w:lineRule="auto" w:before="96"/>
      </w:pPr>
      <w:r>
        <w:rPr>
          <w:color w:val="231F20"/>
        </w:rPr>
        <w:t>Deze kopie wordt regelmatig bijgehouden en, indien zulks onmoge- lijk</w:t>
      </w:r>
      <w:r>
        <w:rPr>
          <w:color w:val="231F20"/>
          <w:spacing w:val="15"/>
        </w:rPr>
        <w:t> </w:t>
      </w:r>
      <w:r>
        <w:rPr>
          <w:color w:val="231F20"/>
        </w:rPr>
        <w:t>blijkt,</w:t>
      </w:r>
      <w:r>
        <w:rPr>
          <w:color w:val="231F20"/>
          <w:spacing w:val="16"/>
        </w:rPr>
        <w:t> </w:t>
      </w:r>
      <w:r>
        <w:rPr>
          <w:color w:val="231F20"/>
        </w:rPr>
        <w:t>bijgewerkt</w:t>
      </w:r>
      <w:r>
        <w:rPr>
          <w:color w:val="231F20"/>
          <w:spacing w:val="16"/>
        </w:rPr>
        <w:t> </w:t>
      </w:r>
      <w:r>
        <w:rPr>
          <w:color w:val="231F20"/>
        </w:rPr>
        <w:t>zodra</w:t>
      </w:r>
      <w:r>
        <w:rPr>
          <w:color w:val="231F20"/>
          <w:spacing w:val="16"/>
        </w:rPr>
        <w:t> </w:t>
      </w:r>
      <w:r>
        <w:rPr>
          <w:color w:val="231F20"/>
        </w:rPr>
        <w:t>de</w:t>
      </w:r>
      <w:r>
        <w:rPr>
          <w:color w:val="231F20"/>
          <w:spacing w:val="16"/>
        </w:rPr>
        <w:t> </w:t>
      </w:r>
      <w:r>
        <w:rPr>
          <w:color w:val="231F20"/>
        </w:rPr>
        <w:t>omstandigheden</w:t>
      </w:r>
      <w:r>
        <w:rPr>
          <w:color w:val="231F20"/>
          <w:spacing w:val="16"/>
        </w:rPr>
        <w:t> </w:t>
      </w:r>
      <w:r>
        <w:rPr>
          <w:color w:val="231F20"/>
        </w:rPr>
        <w:t>het</w:t>
      </w:r>
      <w:r>
        <w:rPr>
          <w:color w:val="231F20"/>
          <w:spacing w:val="16"/>
        </w:rPr>
        <w:t> </w:t>
      </w:r>
      <w:r>
        <w:rPr>
          <w:color w:val="231F20"/>
        </w:rPr>
        <w:t>toelaten.</w:t>
      </w:r>
    </w:p>
    <w:p>
      <w:pPr>
        <w:pStyle w:val="BodyText"/>
        <w:spacing w:before="10"/>
        <w:ind w:left="0" w:right="0" w:firstLine="0"/>
        <w:jc w:val="left"/>
        <w:rPr>
          <w:sz w:val="24"/>
        </w:rPr>
      </w:pPr>
    </w:p>
    <w:p>
      <w:pPr>
        <w:pStyle w:val="BodyText"/>
        <w:spacing w:line="218" w:lineRule="auto"/>
        <w:ind w:right="123"/>
      </w:pPr>
      <w:r>
        <w:rPr>
          <w:color w:val="231F20"/>
        </w:rPr>
        <w:t>Iedere houder van aandelen of obligaties is gerechtigd zich naar keuze in een van de twee delen van het betreffende register te laten inschrijven. Zij kunnen kennisnemen van de twee delen van het register dat</w:t>
      </w:r>
      <w:r>
        <w:rPr>
          <w:color w:val="231F20"/>
          <w:spacing w:val="16"/>
        </w:rPr>
        <w:t> </w:t>
      </w:r>
      <w:r>
        <w:rPr>
          <w:color w:val="231F20"/>
        </w:rPr>
        <w:t>op</w:t>
      </w:r>
      <w:r>
        <w:rPr>
          <w:color w:val="231F20"/>
          <w:spacing w:val="16"/>
        </w:rPr>
        <w:t> </w:t>
      </w:r>
      <w:r>
        <w:rPr>
          <w:color w:val="231F20"/>
        </w:rPr>
        <w:t>hun</w:t>
      </w:r>
      <w:r>
        <w:rPr>
          <w:color w:val="231F20"/>
          <w:spacing w:val="16"/>
        </w:rPr>
        <w:t> </w:t>
      </w:r>
      <w:r>
        <w:rPr>
          <w:color w:val="231F20"/>
        </w:rPr>
        <w:t>effecten</w:t>
      </w:r>
      <w:r>
        <w:rPr>
          <w:color w:val="231F20"/>
          <w:spacing w:val="16"/>
        </w:rPr>
        <w:t> </w:t>
      </w:r>
      <w:r>
        <w:rPr>
          <w:color w:val="231F20"/>
        </w:rPr>
        <w:t>betrekking</w:t>
      </w:r>
      <w:r>
        <w:rPr>
          <w:color w:val="231F20"/>
          <w:spacing w:val="16"/>
        </w:rPr>
        <w:t> </w:t>
      </w:r>
      <w:r>
        <w:rPr>
          <w:color w:val="231F20"/>
        </w:rPr>
        <w:t>heeft,</w:t>
      </w:r>
      <w:r>
        <w:rPr>
          <w:color w:val="231F20"/>
          <w:spacing w:val="17"/>
        </w:rPr>
        <w:t> </w:t>
      </w:r>
      <w:r>
        <w:rPr>
          <w:color w:val="231F20"/>
        </w:rPr>
        <w:t>evenals</w:t>
      </w:r>
      <w:r>
        <w:rPr>
          <w:color w:val="231F20"/>
          <w:spacing w:val="16"/>
        </w:rPr>
        <w:t> </w:t>
      </w:r>
      <w:r>
        <w:rPr>
          <w:color w:val="231F20"/>
        </w:rPr>
        <w:t>van</w:t>
      </w:r>
      <w:r>
        <w:rPr>
          <w:color w:val="231F20"/>
          <w:spacing w:val="16"/>
        </w:rPr>
        <w:t> </w:t>
      </w:r>
      <w:r>
        <w:rPr>
          <w:color w:val="231F20"/>
        </w:rPr>
        <w:t>hun</w:t>
      </w:r>
      <w:r>
        <w:rPr>
          <w:color w:val="231F20"/>
          <w:spacing w:val="16"/>
        </w:rPr>
        <w:t> </w:t>
      </w:r>
      <w:r>
        <w:rPr>
          <w:color w:val="231F20"/>
        </w:rPr>
        <w:t>kopie.</w:t>
      </w:r>
    </w:p>
    <w:p>
      <w:pPr>
        <w:pStyle w:val="BodyText"/>
        <w:spacing w:line="216" w:lineRule="auto" w:before="109"/>
      </w:pPr>
      <w:r>
        <w:rPr>
          <w:color w:val="231F20"/>
        </w:rPr>
        <w:t>Het bestuursorgaan maakt de plaats waar het tweede deel van het register zich bevindt bekend in de Bijlagen bij het </w:t>
      </w:r>
      <w:r>
        <w:rPr>
          <w:rFonts w:ascii="Times New Roman"/>
          <w:i/>
          <w:color w:val="231F20"/>
        </w:rPr>
        <w:t>Belgisch Staatsblad</w:t>
      </w:r>
      <w:r>
        <w:rPr>
          <w:color w:val="231F20"/>
        </w:rPr>
        <w:t>. Het bestuursorgaan kan deze plaats wijzigen.</w:t>
      </w:r>
    </w:p>
    <w:p>
      <w:pPr>
        <w:pStyle w:val="BodyText"/>
        <w:spacing w:line="218" w:lineRule="auto" w:before="108"/>
      </w:pPr>
      <w:r>
        <w:rPr>
          <w:color w:val="231F20"/>
        </w:rPr>
        <w:t>Het besluit van het bestuursorgaan om een register in twee delen te splitsen, kan slechts worden gewijzigd bij een besluit van de algemene vergadering, in de vorm voorgeschreven voor de statutenwijziging.</w:t>
      </w:r>
    </w:p>
    <w:p>
      <w:pPr>
        <w:pStyle w:val="BodyText"/>
        <w:spacing w:line="218" w:lineRule="auto" w:before="107"/>
      </w:pPr>
      <w:r>
        <w:rPr>
          <w:color w:val="231F20"/>
        </w:rPr>
        <w:t>De Koning bepaalt op welke wijze de inschrijving in de twee delen geschiedt.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72"/>
      </w:pPr>
      <w:r>
        <w:rPr/>
        <w:pict>
          <v:line style="position:absolute;mso-position-horizontal-relative:page;mso-position-vertical-relative:page;z-index:4048" from="298.170502pt,64.473pt" to="298.170502pt,812.819pt" stroked="true" strokeweight=".533pt" strokecolor="#231f20">
            <v:stroke dashstyle="solid"/>
            <w10:wrap type="none"/>
          </v:line>
        </w:pict>
      </w:r>
      <w:bookmarkStart w:name="_bookmark126" w:id="131"/>
      <w:bookmarkEnd w:id="131"/>
      <w:r>
        <w:rPr/>
      </w:r>
      <w:r>
        <w:rPr>
          <w:color w:val="231F20"/>
        </w:rPr>
        <w:t>Art. 6:28. </w:t>
      </w:r>
      <w:r>
        <w:rPr>
          <w:color w:val="231F20"/>
          <w:spacing w:val="-4"/>
        </w:rPr>
        <w:t>Toute </w:t>
      </w:r>
      <w:r>
        <w:rPr>
          <w:color w:val="231F20"/>
        </w:rPr>
        <w:t>personne qui est inscrite dans un registre de titres nominatifs en qualité de titulaire d’un titre est présumée, jusqu’à preuve du contraire, être titulaire des titres pour lesquels elle est inscrite.</w:t>
      </w:r>
    </w:p>
    <w:p>
      <w:pPr>
        <w:pStyle w:val="BodyText"/>
        <w:spacing w:line="218" w:lineRule="auto" w:before="86"/>
        <w:ind w:right="71"/>
      </w:pPr>
      <w:r>
        <w:rPr>
          <w:color w:val="231F20"/>
          <w:spacing w:val="-3"/>
        </w:rPr>
        <w:t>L’organe </w:t>
      </w:r>
      <w:r>
        <w:rPr>
          <w:color w:val="231F20"/>
        </w:rPr>
        <w:t>d’administration délivre à la demande de celui qui est  inscrit en qualité de titulaire de titres, à titre de preuve de son inscription dans le registre, un extrait de ce registre sous la forme d’un certificat.</w:t>
      </w:r>
    </w:p>
    <w:p>
      <w:pPr>
        <w:pStyle w:val="BodyText"/>
        <w:spacing w:before="72"/>
        <w:ind w:left="283" w:right="0" w:firstLine="0"/>
        <w:jc w:val="left"/>
      </w:pPr>
      <w:r>
        <w:rPr>
          <w:color w:val="231F20"/>
        </w:rPr>
        <w:t>Section 2. Titres dématérialisés.</w:t>
      </w:r>
    </w:p>
    <w:p>
      <w:pPr>
        <w:pStyle w:val="BodyText"/>
        <w:spacing w:line="218" w:lineRule="auto" w:before="82"/>
        <w:ind w:right="72"/>
      </w:pPr>
      <w:r>
        <w:rPr>
          <w:color w:val="231F20"/>
        </w:rPr>
        <w:t>Art. 6:29. Le titre dématérialisé est représenté par une inscription en compte, au nom de son propriétaire ou de son détenteur, auprès d’un organisme de liquidation ou d’un teneur de comptes agréé.</w:t>
      </w:r>
    </w:p>
    <w:p>
      <w:pPr>
        <w:pStyle w:val="BodyText"/>
        <w:spacing w:line="218" w:lineRule="auto" w:before="85"/>
        <w:ind w:right="71"/>
      </w:pPr>
      <w:r>
        <w:rPr>
          <w:color w:val="231F20"/>
        </w:rPr>
        <w:t>Le Roi désigne les organismes de liquidation chargés d’assurer la conservation des titres dématérialisés et la liquidation des transactions sur de tels titres. Il agrée les teneurs de comptes en Belgique de</w:t>
      </w:r>
      <w:r>
        <w:rPr>
          <w:color w:val="231F20"/>
          <w:spacing w:val="-30"/>
        </w:rPr>
        <w:t> </w:t>
      </w:r>
      <w:r>
        <w:rPr>
          <w:color w:val="231F20"/>
        </w:rPr>
        <w:t>manière individuelle ou de manière générale par catégorie d’établissements, en fonction de leur</w:t>
      </w:r>
      <w:r>
        <w:rPr>
          <w:color w:val="231F20"/>
          <w:spacing w:val="4"/>
        </w:rPr>
        <w:t> </w:t>
      </w:r>
      <w:r>
        <w:rPr>
          <w:color w:val="231F20"/>
        </w:rPr>
        <w:t>activité.</w:t>
      </w:r>
    </w:p>
    <w:p>
      <w:pPr>
        <w:pStyle w:val="BodyText"/>
        <w:spacing w:line="218" w:lineRule="auto" w:before="86"/>
        <w:ind w:right="72"/>
      </w:pPr>
      <w:r>
        <w:rPr>
          <w:color w:val="231F20"/>
        </w:rPr>
        <w:t>Le nombre de titres dématérialisés en circulation à tout moment et,</w:t>
      </w:r>
      <w:r>
        <w:rPr>
          <w:color w:val="231F20"/>
          <w:spacing w:val="-24"/>
        </w:rPr>
        <w:t> </w:t>
      </w:r>
      <w:r>
        <w:rPr>
          <w:color w:val="231F20"/>
        </w:rPr>
        <w:t>le cas échéant, leur classe, est inscrit dans le registre de titres nominatifs au nom de l’organisme de liquidation ou, le cas échéant, du teneur de comptes</w:t>
      </w:r>
      <w:r>
        <w:rPr>
          <w:color w:val="231F20"/>
          <w:spacing w:val="14"/>
        </w:rPr>
        <w:t> </w:t>
      </w:r>
      <w:r>
        <w:rPr>
          <w:color w:val="231F20"/>
        </w:rPr>
        <w:t>agréé</w:t>
      </w:r>
      <w:r>
        <w:rPr>
          <w:color w:val="231F20"/>
          <w:spacing w:val="14"/>
        </w:rPr>
        <w:t> </w:t>
      </w:r>
      <w:r>
        <w:rPr>
          <w:color w:val="231F20"/>
        </w:rPr>
        <w:t>en</w:t>
      </w:r>
      <w:r>
        <w:rPr>
          <w:color w:val="231F20"/>
          <w:spacing w:val="15"/>
        </w:rPr>
        <w:t> </w:t>
      </w:r>
      <w:r>
        <w:rPr>
          <w:color w:val="231F20"/>
        </w:rPr>
        <w:t>cas</w:t>
      </w:r>
      <w:r>
        <w:rPr>
          <w:color w:val="231F20"/>
          <w:spacing w:val="14"/>
        </w:rPr>
        <w:t> </w:t>
      </w:r>
      <w:r>
        <w:rPr>
          <w:color w:val="231F20"/>
        </w:rPr>
        <w:t>d’application</w:t>
      </w:r>
      <w:r>
        <w:rPr>
          <w:color w:val="231F20"/>
          <w:spacing w:val="15"/>
        </w:rPr>
        <w:t> </w:t>
      </w:r>
      <w:r>
        <w:rPr>
          <w:color w:val="231F20"/>
        </w:rPr>
        <w:t>de</w:t>
      </w:r>
      <w:r>
        <w:rPr>
          <w:color w:val="231F20"/>
          <w:spacing w:val="14"/>
        </w:rPr>
        <w:t> </w:t>
      </w:r>
      <w:r>
        <w:rPr>
          <w:color w:val="231F20"/>
        </w:rPr>
        <w:t>l’article</w:t>
      </w:r>
      <w:r>
        <w:rPr>
          <w:color w:val="231F20"/>
          <w:spacing w:val="15"/>
        </w:rPr>
        <w:t> </w:t>
      </w:r>
      <w:r>
        <w:rPr>
          <w:color w:val="231F20"/>
        </w:rPr>
        <w:t>6:38</w:t>
      </w:r>
    </w:p>
    <w:p>
      <w:pPr>
        <w:pStyle w:val="BodyText"/>
        <w:ind w:left="0" w:right="0" w:firstLine="0"/>
        <w:jc w:val="left"/>
        <w:rPr>
          <w:sz w:val="23"/>
        </w:rPr>
      </w:pPr>
    </w:p>
    <w:p>
      <w:pPr>
        <w:pStyle w:val="BodyText"/>
        <w:spacing w:line="218" w:lineRule="auto"/>
        <w:ind w:right="71"/>
      </w:pPr>
      <w:r>
        <w:rPr>
          <w:color w:val="231F20"/>
        </w:rPr>
        <w:t>L’inscription de titres en compte confère un droit de copropriété, de nature incorporelle, sur l’universalité des titres inscrits au nom de l’organisme de liquidation ou, le cas échéant, du teneur de comptes agréé en cas d’application de l’article 6:38, dans le registre des titres nominatifs visé à l’alinéa 3.</w:t>
      </w:r>
    </w:p>
    <w:p>
      <w:pPr>
        <w:pStyle w:val="BodyText"/>
        <w:spacing w:line="218" w:lineRule="auto" w:before="86"/>
        <w:ind w:right="71"/>
      </w:pPr>
      <w:r>
        <w:rPr>
          <w:color w:val="231F20"/>
        </w:rPr>
        <w:t>La Banque nationale de Belgique est chargée de contrôler le respect, par les teneurs de comptes agréés en Belgique, des règles prévues par ou en vertu de la présente section. Pour l’exercice de ce contrôle, pour l’imposition de sanctions administratives et pour la prise d’autres mesures à l’égard des teneurs de comptes agréés, la Banque nationale de</w:t>
      </w:r>
      <w:r>
        <w:rPr>
          <w:color w:val="231F20"/>
          <w:spacing w:val="15"/>
        </w:rPr>
        <w:t> </w:t>
      </w:r>
      <w:r>
        <w:rPr>
          <w:color w:val="231F20"/>
        </w:rPr>
        <w:t>Belgique:</w:t>
      </w:r>
    </w:p>
    <w:p>
      <w:pPr>
        <w:pStyle w:val="BodyText"/>
        <w:spacing w:line="218" w:lineRule="auto" w:before="86"/>
        <w:ind w:right="71"/>
      </w:pPr>
      <w:r>
        <w:rPr>
          <w:color w:val="231F20"/>
        </w:rPr>
        <w:t>1° utilise, s’agissant d’établissements de crédit, les compétences qui lui ont été attribuées par la loi du 25 avril 2014 relative au statut et au contrôle des établissements de crédit et des sociétés de bourse;</w:t>
      </w:r>
    </w:p>
    <w:p>
      <w:pPr>
        <w:pStyle w:val="BodyText"/>
        <w:spacing w:line="218" w:lineRule="auto" w:before="85"/>
        <w:ind w:right="71"/>
      </w:pPr>
      <w:r>
        <w:rPr>
          <w:color w:val="231F20"/>
        </w:rPr>
        <w:t>2° utilise, s’agissant d’entreprises d’investissement, les compétences qui lui ont été attribuées par la loi du 25 avril 2014 relative au statut et au contrôle des établissements de crédit et des sociétés de bourse;</w:t>
      </w:r>
    </w:p>
    <w:p>
      <w:pPr>
        <w:pStyle w:val="BodyText"/>
        <w:ind w:left="0" w:right="0" w:firstLine="0"/>
        <w:jc w:val="left"/>
        <w:rPr>
          <w:sz w:val="23"/>
        </w:rPr>
      </w:pPr>
    </w:p>
    <w:p>
      <w:pPr>
        <w:pStyle w:val="BodyText"/>
        <w:spacing w:line="218" w:lineRule="auto"/>
        <w:ind w:right="71"/>
      </w:pPr>
      <w:r>
        <w:rPr>
          <w:color w:val="231F20"/>
        </w:rPr>
        <w:t>3° utilise, s’agissant d’organismes de compensation et de liquidation, les compétences qui lui sont attribuées par la loi.</w:t>
      </w:r>
    </w:p>
    <w:p>
      <w:pPr>
        <w:pStyle w:val="BodyText"/>
        <w:spacing w:line="218" w:lineRule="auto" w:before="86"/>
        <w:ind w:right="71"/>
      </w:pPr>
      <w:r>
        <w:rPr>
          <w:color w:val="231F20"/>
        </w:rPr>
        <w:t>Les dispositions correspondantes qui sanctionnent pénalement la violation des dispositions précitées sont d’application.</w:t>
      </w:r>
    </w:p>
    <w:p>
      <w:pPr>
        <w:pStyle w:val="BodyText"/>
        <w:spacing w:line="218" w:lineRule="auto" w:before="85"/>
        <w:ind w:right="28"/>
        <w:jc w:val="left"/>
      </w:pPr>
      <w:r>
        <w:rPr>
          <w:color w:val="231F20"/>
        </w:rPr>
        <w:t>Art. 6:30. Les teneurs de comptes agréés maintiennent les titres dématérialisés qu’ils détiennent pour le compte de tiers et pour leur compte propre sur des comptes ouverts auprès de l’organisme de liquidation, auprès d’un ou de plusieurs établissements qui agissent pour eux, directement ou indirectement, comme intermédiaires à  l’égard de cet organisme de liquidation, ou à la fois auprès de l’organisme de liquidation et d’un ou plusieurs des établissements précités. Le cas échéant, les teneurs de comptes agréés maintiennent les titres dématérialisés qu’ils détiennent pour le compte de tiers et pour leur compte propre sur des comptes ouverts auprès du teneur de comptes agréé visé à l’article 6:38, auprès d’un ou de plusieurs établissements qui agissent pour eux, directement ou indirectement, comme intermédiaires à l’égard de ce teneur de comptes agréé </w:t>
      </w:r>
      <w:r>
        <w:rPr>
          <w:color w:val="231F20"/>
          <w:spacing w:val="4"/>
        </w:rPr>
        <w:t>visé </w:t>
      </w:r>
      <w:r>
        <w:rPr>
          <w:color w:val="231F20"/>
        </w:rPr>
        <w:t>à l’article 6:38, ou à la fois auprès du teneur de comptes agréé </w:t>
      </w:r>
      <w:r>
        <w:rPr>
          <w:color w:val="231F20"/>
          <w:spacing w:val="8"/>
        </w:rPr>
        <w:t>visé </w:t>
      </w:r>
      <w:r>
        <w:rPr>
          <w:color w:val="231F20"/>
        </w:rPr>
        <w:t>à l’article</w:t>
      </w:r>
      <w:r>
        <w:rPr>
          <w:color w:val="231F20"/>
          <w:spacing w:val="13"/>
        </w:rPr>
        <w:t> </w:t>
      </w:r>
      <w:r>
        <w:rPr>
          <w:color w:val="231F20"/>
        </w:rPr>
        <w:t>6:38</w:t>
      </w:r>
      <w:r>
        <w:rPr>
          <w:color w:val="231F20"/>
          <w:spacing w:val="14"/>
        </w:rPr>
        <w:t> </w:t>
      </w:r>
      <w:r>
        <w:rPr>
          <w:color w:val="231F20"/>
        </w:rPr>
        <w:t>et</w:t>
      </w:r>
      <w:r>
        <w:rPr>
          <w:color w:val="231F20"/>
          <w:spacing w:val="14"/>
        </w:rPr>
        <w:t> </w:t>
      </w:r>
      <w:r>
        <w:rPr>
          <w:color w:val="231F20"/>
        </w:rPr>
        <w:t>d’un</w:t>
      </w:r>
      <w:r>
        <w:rPr>
          <w:color w:val="231F20"/>
          <w:spacing w:val="14"/>
        </w:rPr>
        <w:t> </w:t>
      </w:r>
      <w:r>
        <w:rPr>
          <w:color w:val="231F20"/>
        </w:rPr>
        <w:t>ou</w:t>
      </w:r>
      <w:r>
        <w:rPr>
          <w:color w:val="231F20"/>
          <w:spacing w:val="14"/>
        </w:rPr>
        <w:t> </w:t>
      </w:r>
      <w:r>
        <w:rPr>
          <w:color w:val="231F20"/>
        </w:rPr>
        <w:t>plusieurs</w:t>
      </w:r>
      <w:r>
        <w:rPr>
          <w:color w:val="231F20"/>
          <w:spacing w:val="14"/>
        </w:rPr>
        <w:t> </w:t>
      </w:r>
      <w:r>
        <w:rPr>
          <w:color w:val="231F20"/>
        </w:rPr>
        <w:t>établissements</w:t>
      </w:r>
      <w:r>
        <w:rPr>
          <w:color w:val="231F20"/>
          <w:spacing w:val="13"/>
        </w:rPr>
        <w:t> </w:t>
      </w:r>
      <w:r>
        <w:rPr>
          <w:color w:val="231F20"/>
        </w:rPr>
        <w:t>précités.</w:t>
      </w:r>
    </w:p>
    <w:p>
      <w:pPr>
        <w:pStyle w:val="BodyText"/>
        <w:spacing w:line="218" w:lineRule="auto" w:before="87"/>
        <w:ind w:right="71"/>
      </w:pPr>
      <w:r>
        <w:rPr>
          <w:color w:val="231F20"/>
        </w:rPr>
        <w:t>Art. 6:31. Un gage sur des titres dématérialisés est constitué conformément à la loi du 15 décembre 2004 relative aux sûretés financières et portant des dispositions fiscales diverses en matière de conventions constitutives de sûreté réelle et de prêts portant sur des instruments financiers.</w:t>
      </w:r>
    </w:p>
    <w:p>
      <w:pPr>
        <w:pStyle w:val="BodyText"/>
        <w:spacing w:line="218" w:lineRule="auto" w:before="85"/>
        <w:ind w:right="71"/>
      </w:pPr>
      <w:r>
        <w:rPr>
          <w:color w:val="231F20"/>
        </w:rPr>
        <w:t>Le constituant du gage est présumé être propriétaire des titres dématérialisés remis en gage. Le gage reste valablement constitué si le constituant du gage n’est pas le propriétaire des titres dématérialisés remis en gage, sans préjudice de la responsabilité du constituant du gage à l’égard du véritable propriétaire des titres dématérialisés remis en gage. Si le constituant du gage a averti le créancier gagiste, au préalable et par écrit, qu’il n’est pas le propriétaire des titres dématé- rialisés remis en gage, la validité du gage est subordonnée à l’accord du propriétaire de ces titres.</w:t>
      </w:r>
    </w:p>
    <w:p>
      <w:pPr>
        <w:pStyle w:val="BodyText"/>
        <w:ind w:left="0" w:right="0" w:firstLine="0"/>
        <w:jc w:val="left"/>
        <w:rPr>
          <w:sz w:val="24"/>
        </w:rPr>
      </w:pPr>
    </w:p>
    <w:p>
      <w:pPr>
        <w:pStyle w:val="BodyText"/>
        <w:spacing w:line="218" w:lineRule="auto"/>
        <w:ind w:right="71"/>
      </w:pPr>
      <w:r>
        <w:rPr>
          <w:color w:val="231F20"/>
        </w:rPr>
        <w:t>Art. 6:32. Les propriétaires des titres dématérialisés visés à l’arti-    cle 6:30 ne sont admis à faire valoir leurs droits de copropriété visés à l’article 6:29, alinéa 4, qu’à l’égard du teneur de comptes agréé auprès duquel ces titres sont inscrits en compte ou, s’ils</w:t>
      </w:r>
      <w:r>
        <w:rPr>
          <w:color w:val="231F20"/>
          <w:spacing w:val="39"/>
        </w:rPr>
        <w:t> </w:t>
      </w:r>
      <w:r>
        <w:rPr>
          <w:color w:val="231F20"/>
        </w:rPr>
        <w:t>maintiennent</w:t>
      </w:r>
    </w:p>
    <w:p>
      <w:pPr>
        <w:pStyle w:val="BodyText"/>
        <w:spacing w:line="218" w:lineRule="auto" w:before="119"/>
      </w:pPr>
      <w:r>
        <w:rPr/>
        <w:br w:type="column"/>
      </w:r>
      <w:r>
        <w:rPr>
          <w:color w:val="231F20"/>
        </w:rPr>
        <w:t>Art. 6:28. Hij die in een register van effecten op naam staat ingeschreven als houder van enig effect, wordt, tot het bewijs van het tegendeel, vermoed houder te zijn van de effecten waarvoor hij is ingeschreven.</w:t>
      </w:r>
    </w:p>
    <w:p>
      <w:pPr>
        <w:pStyle w:val="BodyText"/>
        <w:spacing w:line="218" w:lineRule="auto" w:before="86"/>
        <w:ind w:right="123"/>
      </w:pPr>
      <w:r>
        <w:rPr>
          <w:color w:val="231F20"/>
          <w:spacing w:val="-6"/>
        </w:rPr>
        <w:t>Ten </w:t>
      </w:r>
      <w:r>
        <w:rPr>
          <w:color w:val="231F20"/>
        </w:rPr>
        <w:t>bewijze van de inschrijving in het register levert het bestuursor- gaan, op verzoek van degene die als effectenhouder is ingeschreven,  een</w:t>
      </w:r>
      <w:r>
        <w:rPr>
          <w:color w:val="231F20"/>
          <w:spacing w:val="14"/>
        </w:rPr>
        <w:t> </w:t>
      </w:r>
      <w:r>
        <w:rPr>
          <w:color w:val="231F20"/>
        </w:rPr>
        <w:t>uittreksel</w:t>
      </w:r>
      <w:r>
        <w:rPr>
          <w:color w:val="231F20"/>
          <w:spacing w:val="15"/>
        </w:rPr>
        <w:t> </w:t>
      </w:r>
      <w:r>
        <w:rPr>
          <w:color w:val="231F20"/>
        </w:rPr>
        <w:t>uit</w:t>
      </w:r>
      <w:r>
        <w:rPr>
          <w:color w:val="231F20"/>
          <w:spacing w:val="14"/>
        </w:rPr>
        <w:t> </w:t>
      </w:r>
      <w:r>
        <w:rPr>
          <w:color w:val="231F20"/>
        </w:rPr>
        <w:t>het</w:t>
      </w:r>
      <w:r>
        <w:rPr>
          <w:color w:val="231F20"/>
          <w:spacing w:val="15"/>
        </w:rPr>
        <w:t> </w:t>
      </w:r>
      <w:r>
        <w:rPr>
          <w:color w:val="231F20"/>
        </w:rPr>
        <w:t>register</w:t>
      </w:r>
      <w:r>
        <w:rPr>
          <w:color w:val="231F20"/>
          <w:spacing w:val="15"/>
        </w:rPr>
        <w:t> </w:t>
      </w:r>
      <w:r>
        <w:rPr>
          <w:color w:val="231F20"/>
        </w:rPr>
        <w:t>in</w:t>
      </w:r>
      <w:r>
        <w:rPr>
          <w:color w:val="231F20"/>
          <w:spacing w:val="14"/>
        </w:rPr>
        <w:t> </w:t>
      </w:r>
      <w:r>
        <w:rPr>
          <w:color w:val="231F20"/>
        </w:rPr>
        <w:t>de</w:t>
      </w:r>
      <w:r>
        <w:rPr>
          <w:color w:val="231F20"/>
          <w:spacing w:val="15"/>
        </w:rPr>
        <w:t> </w:t>
      </w:r>
      <w:r>
        <w:rPr>
          <w:color w:val="231F20"/>
        </w:rPr>
        <w:t>vorm</w:t>
      </w:r>
      <w:r>
        <w:rPr>
          <w:color w:val="231F20"/>
          <w:spacing w:val="15"/>
        </w:rPr>
        <w:t> </w:t>
      </w:r>
      <w:r>
        <w:rPr>
          <w:color w:val="231F20"/>
        </w:rPr>
        <w:t>van</w:t>
      </w:r>
      <w:r>
        <w:rPr>
          <w:color w:val="231F20"/>
          <w:spacing w:val="14"/>
        </w:rPr>
        <w:t> </w:t>
      </w:r>
      <w:r>
        <w:rPr>
          <w:color w:val="231F20"/>
        </w:rPr>
        <w:t>een</w:t>
      </w:r>
      <w:r>
        <w:rPr>
          <w:color w:val="231F20"/>
          <w:spacing w:val="15"/>
        </w:rPr>
        <w:t> </w:t>
      </w:r>
      <w:r>
        <w:rPr>
          <w:color w:val="231F20"/>
        </w:rPr>
        <w:t>certificaat</w:t>
      </w:r>
      <w:r>
        <w:rPr>
          <w:color w:val="231F20"/>
          <w:spacing w:val="15"/>
        </w:rPr>
        <w:t> </w:t>
      </w:r>
      <w:r>
        <w:rPr>
          <w:color w:val="231F20"/>
        </w:rPr>
        <w:t>af.</w:t>
      </w:r>
    </w:p>
    <w:p>
      <w:pPr>
        <w:pStyle w:val="BodyText"/>
        <w:spacing w:before="9"/>
        <w:ind w:left="0" w:right="0" w:firstLine="0"/>
        <w:jc w:val="left"/>
        <w:rPr>
          <w:sz w:val="21"/>
        </w:rPr>
      </w:pPr>
    </w:p>
    <w:p>
      <w:pPr>
        <w:pStyle w:val="BodyText"/>
        <w:ind w:left="283" w:right="0" w:firstLine="0"/>
        <w:jc w:val="left"/>
      </w:pPr>
      <w:r>
        <w:rPr>
          <w:color w:val="231F20"/>
        </w:rPr>
        <w:t>Afdeling 2. Gedematerialiseerde effecten.</w:t>
      </w:r>
    </w:p>
    <w:p>
      <w:pPr>
        <w:pStyle w:val="BodyText"/>
        <w:spacing w:line="218" w:lineRule="auto" w:before="82"/>
      </w:pPr>
      <w:r>
        <w:rPr>
          <w:color w:val="231F20"/>
        </w:rPr>
        <w:t>Art. 6:29. Het gedematerialiseerd effect wordt vertegenwoordigd door een boeking op rekening, op naam van de eigenaar of de houder, bij</w:t>
      </w:r>
      <w:r>
        <w:rPr>
          <w:color w:val="231F20"/>
          <w:spacing w:val="13"/>
        </w:rPr>
        <w:t> </w:t>
      </w:r>
      <w:r>
        <w:rPr>
          <w:color w:val="231F20"/>
        </w:rPr>
        <w:t>een</w:t>
      </w:r>
      <w:r>
        <w:rPr>
          <w:color w:val="231F20"/>
          <w:spacing w:val="14"/>
        </w:rPr>
        <w:t> </w:t>
      </w:r>
      <w:r>
        <w:rPr>
          <w:color w:val="231F20"/>
        </w:rPr>
        <w:t>vereffeningsinstelling</w:t>
      </w:r>
      <w:r>
        <w:rPr>
          <w:color w:val="231F20"/>
          <w:spacing w:val="14"/>
        </w:rPr>
        <w:t> </w:t>
      </w:r>
      <w:r>
        <w:rPr>
          <w:color w:val="231F20"/>
        </w:rPr>
        <w:t>of</w:t>
      </w:r>
      <w:r>
        <w:rPr>
          <w:color w:val="231F20"/>
          <w:spacing w:val="14"/>
        </w:rPr>
        <w:t> </w:t>
      </w:r>
      <w:r>
        <w:rPr>
          <w:color w:val="231F20"/>
        </w:rPr>
        <w:t>bij</w:t>
      </w:r>
      <w:r>
        <w:rPr>
          <w:color w:val="231F20"/>
          <w:spacing w:val="13"/>
        </w:rPr>
        <w:t> </w:t>
      </w:r>
      <w:r>
        <w:rPr>
          <w:color w:val="231F20"/>
        </w:rPr>
        <w:t>een</w:t>
      </w:r>
      <w:r>
        <w:rPr>
          <w:color w:val="231F20"/>
          <w:spacing w:val="14"/>
        </w:rPr>
        <w:t> </w:t>
      </w:r>
      <w:r>
        <w:rPr>
          <w:color w:val="231F20"/>
        </w:rPr>
        <w:t>erkende</w:t>
      </w:r>
      <w:r>
        <w:rPr>
          <w:color w:val="231F20"/>
          <w:spacing w:val="14"/>
        </w:rPr>
        <w:t> </w:t>
      </w:r>
      <w:r>
        <w:rPr>
          <w:color w:val="231F20"/>
        </w:rPr>
        <w:t>rekeninghouder.</w:t>
      </w:r>
    </w:p>
    <w:p>
      <w:pPr>
        <w:pStyle w:val="BodyText"/>
        <w:spacing w:line="218" w:lineRule="auto" w:before="85"/>
      </w:pPr>
      <w:r>
        <w:rPr>
          <w:color w:val="231F20"/>
        </w:rPr>
        <w:t>De Koning wijst de vereffeningsinstellingen aan die worden belast met de aanhouding van gedematerialiseerde effecten en de vereffening van transacties op dergelijke effecten. Hij erkent de rekeninghouders in België, op individuele wijze of op algemene wijze, per categorie van instellingen, naargelang van hun bedrijvigheid.</w:t>
      </w:r>
    </w:p>
    <w:p>
      <w:pPr>
        <w:pStyle w:val="BodyText"/>
        <w:spacing w:line="218" w:lineRule="auto" w:before="86"/>
      </w:pPr>
      <w:r>
        <w:rPr>
          <w:color w:val="231F20"/>
        </w:rPr>
        <w:t>Het aantal van de op elk ogenblik in omloop zijnde gedemateriali- seerde effecten en, in voorkomend geval, de soort waartoe deze behoren, wordt in het register van de effecten op naam, ingeschreven op naam van de vereffeningsinstelling of, in voorkomend geval, van de erkende</w:t>
      </w:r>
      <w:r>
        <w:rPr>
          <w:color w:val="231F20"/>
          <w:spacing w:val="15"/>
        </w:rPr>
        <w:t> </w:t>
      </w:r>
      <w:r>
        <w:rPr>
          <w:color w:val="231F20"/>
        </w:rPr>
        <w:t>rekeninghouder</w:t>
      </w:r>
      <w:r>
        <w:rPr>
          <w:color w:val="231F20"/>
          <w:spacing w:val="15"/>
        </w:rPr>
        <w:t> </w:t>
      </w:r>
      <w:r>
        <w:rPr>
          <w:color w:val="231F20"/>
        </w:rPr>
        <w:t>wanneer</w:t>
      </w:r>
      <w:r>
        <w:rPr>
          <w:color w:val="231F20"/>
          <w:spacing w:val="15"/>
        </w:rPr>
        <w:t> </w:t>
      </w:r>
      <w:r>
        <w:rPr>
          <w:color w:val="231F20"/>
        </w:rPr>
        <w:t>artikel</w:t>
      </w:r>
      <w:r>
        <w:rPr>
          <w:color w:val="231F20"/>
          <w:spacing w:val="15"/>
        </w:rPr>
        <w:t> </w:t>
      </w:r>
      <w:r>
        <w:rPr>
          <w:color w:val="231F20"/>
        </w:rPr>
        <w:t>6:38</w:t>
      </w:r>
      <w:r>
        <w:rPr>
          <w:color w:val="231F20"/>
          <w:spacing w:val="14"/>
        </w:rPr>
        <w:t> </w:t>
      </w:r>
      <w:r>
        <w:rPr>
          <w:color w:val="231F20"/>
        </w:rPr>
        <w:t>wordt</w:t>
      </w:r>
      <w:r>
        <w:rPr>
          <w:color w:val="231F20"/>
          <w:spacing w:val="15"/>
        </w:rPr>
        <w:t> </w:t>
      </w:r>
      <w:r>
        <w:rPr>
          <w:color w:val="231F20"/>
        </w:rPr>
        <w:t>toegepast.</w:t>
      </w:r>
    </w:p>
    <w:p>
      <w:pPr>
        <w:pStyle w:val="BodyText"/>
        <w:spacing w:line="218" w:lineRule="auto" w:before="86"/>
      </w:pPr>
      <w:r>
        <w:rPr>
          <w:color w:val="231F20"/>
        </w:rPr>
        <w:t>De boeking op rekening van effecten vestigt een onlichamelijk recht van mede-eigendom op de algemeenheid van effecten die op naam van de vereffeningsinstelling of, in voorkomend geval, van de erkende rekeninghouder wanneer artikel 6:38 wordt toegepast, zijn ingeschre- ven in het register van effecten op naam bedoeld in het derde lid.</w:t>
      </w:r>
    </w:p>
    <w:p>
      <w:pPr>
        <w:pStyle w:val="BodyText"/>
        <w:spacing w:line="218" w:lineRule="auto" w:before="86"/>
      </w:pPr>
      <w:r>
        <w:rPr>
          <w:color w:val="231F20"/>
        </w:rPr>
        <w:t>De Nationale Bank van België is belast met het toezicht op de naleving door de in België erkende rekeninghouders van de regels bepaald door of krachtens deze afdeling. Voor de uitoefening van dit toezicht, voor het opleggen van administratieve sancties en voor het treffen van andere maatregelen ten overstaan van de erkende rekening- houders maakt de Nationale Bank van België:</w:t>
      </w:r>
    </w:p>
    <w:p>
      <w:pPr>
        <w:pStyle w:val="BodyText"/>
        <w:spacing w:line="218" w:lineRule="auto" w:before="85"/>
      </w:pPr>
      <w:r>
        <w:rPr>
          <w:color w:val="231F20"/>
        </w:rPr>
        <w:t>1° ten aanzien van kredietinstellingen gebruik van de bevoegdheden die haar worden toegekend door de wet van 25 april 2014 op het statuut van en het toezicht op kredietinstellingen en beursvennootschappen;</w:t>
      </w:r>
    </w:p>
    <w:p>
      <w:pPr>
        <w:pStyle w:val="BodyText"/>
        <w:spacing w:line="218" w:lineRule="auto" w:before="86"/>
        <w:ind w:right="121"/>
      </w:pPr>
      <w:r>
        <w:rPr>
          <w:color w:val="231F20"/>
        </w:rPr>
        <w:t>2° ten aanzien van beleggingsondernemingen gebruik van de </w:t>
      </w:r>
      <w:r>
        <w:rPr>
          <w:color w:val="231F20"/>
          <w:spacing w:val="2"/>
        </w:rPr>
        <w:t>bevoegdheden   </w:t>
      </w:r>
      <w:r>
        <w:rPr>
          <w:color w:val="231F20"/>
        </w:rPr>
        <w:t>die   </w:t>
      </w:r>
      <w:r>
        <w:rPr>
          <w:color w:val="231F20"/>
          <w:spacing w:val="2"/>
        </w:rPr>
        <w:t>haar   </w:t>
      </w:r>
      <w:r>
        <w:rPr>
          <w:color w:val="231F20"/>
        </w:rPr>
        <w:t>werden   </w:t>
      </w:r>
      <w:r>
        <w:rPr>
          <w:color w:val="231F20"/>
          <w:spacing w:val="2"/>
        </w:rPr>
        <w:t>toegekend   door   </w:t>
      </w:r>
      <w:r>
        <w:rPr>
          <w:color w:val="231F20"/>
        </w:rPr>
        <w:t>de   wet   </w:t>
      </w:r>
      <w:r>
        <w:rPr>
          <w:color w:val="231F20"/>
          <w:spacing w:val="3"/>
        </w:rPr>
        <w:t>van  </w:t>
      </w:r>
      <w:r>
        <w:rPr>
          <w:color w:val="231F20"/>
        </w:rPr>
        <w:t>25</w:t>
      </w:r>
      <w:r>
        <w:rPr>
          <w:color w:val="231F20"/>
          <w:spacing w:val="-5"/>
        </w:rPr>
        <w:t> </w:t>
      </w:r>
      <w:r>
        <w:rPr>
          <w:color w:val="231F20"/>
        </w:rPr>
        <w:t>april</w:t>
      </w:r>
      <w:r>
        <w:rPr>
          <w:color w:val="231F20"/>
          <w:spacing w:val="-5"/>
        </w:rPr>
        <w:t> </w:t>
      </w:r>
      <w:r>
        <w:rPr>
          <w:color w:val="231F20"/>
        </w:rPr>
        <w:t>2014</w:t>
      </w:r>
      <w:r>
        <w:rPr>
          <w:color w:val="231F20"/>
          <w:spacing w:val="-5"/>
        </w:rPr>
        <w:t> </w:t>
      </w:r>
      <w:r>
        <w:rPr>
          <w:color w:val="231F20"/>
        </w:rPr>
        <w:t>op</w:t>
      </w:r>
      <w:r>
        <w:rPr>
          <w:color w:val="231F20"/>
          <w:spacing w:val="-4"/>
        </w:rPr>
        <w:t> </w:t>
      </w:r>
      <w:r>
        <w:rPr>
          <w:color w:val="231F20"/>
        </w:rPr>
        <w:t>het</w:t>
      </w:r>
      <w:r>
        <w:rPr>
          <w:color w:val="231F20"/>
          <w:spacing w:val="-5"/>
        </w:rPr>
        <w:t> </w:t>
      </w:r>
      <w:r>
        <w:rPr>
          <w:color w:val="231F20"/>
        </w:rPr>
        <w:t>statuut</w:t>
      </w:r>
      <w:r>
        <w:rPr>
          <w:color w:val="231F20"/>
          <w:spacing w:val="-5"/>
        </w:rPr>
        <w:t> </w:t>
      </w:r>
      <w:r>
        <w:rPr>
          <w:color w:val="231F20"/>
        </w:rPr>
        <w:t>van</w:t>
      </w:r>
      <w:r>
        <w:rPr>
          <w:color w:val="231F20"/>
          <w:spacing w:val="-4"/>
        </w:rPr>
        <w:t> </w:t>
      </w:r>
      <w:r>
        <w:rPr>
          <w:color w:val="231F20"/>
        </w:rPr>
        <w:t>en</w:t>
      </w:r>
      <w:r>
        <w:rPr>
          <w:color w:val="231F20"/>
          <w:spacing w:val="-5"/>
        </w:rPr>
        <w:t> </w:t>
      </w:r>
      <w:r>
        <w:rPr>
          <w:color w:val="231F20"/>
        </w:rPr>
        <w:t>het</w:t>
      </w:r>
      <w:r>
        <w:rPr>
          <w:color w:val="231F20"/>
          <w:spacing w:val="-5"/>
        </w:rPr>
        <w:t> </w:t>
      </w:r>
      <w:r>
        <w:rPr>
          <w:color w:val="231F20"/>
        </w:rPr>
        <w:t>toezicht</w:t>
      </w:r>
      <w:r>
        <w:rPr>
          <w:color w:val="231F20"/>
          <w:spacing w:val="-4"/>
        </w:rPr>
        <w:t> </w:t>
      </w:r>
      <w:r>
        <w:rPr>
          <w:color w:val="231F20"/>
        </w:rPr>
        <w:t>op</w:t>
      </w:r>
      <w:r>
        <w:rPr>
          <w:color w:val="231F20"/>
          <w:spacing w:val="-5"/>
        </w:rPr>
        <w:t> </w:t>
      </w:r>
      <w:r>
        <w:rPr>
          <w:color w:val="231F20"/>
        </w:rPr>
        <w:t>kredietinstellingen</w:t>
      </w:r>
      <w:r>
        <w:rPr>
          <w:color w:val="231F20"/>
          <w:spacing w:val="-5"/>
        </w:rPr>
        <w:t> </w:t>
      </w:r>
      <w:r>
        <w:rPr>
          <w:color w:val="231F20"/>
        </w:rPr>
        <w:t>en beursvennootschappen;</w:t>
      </w:r>
    </w:p>
    <w:p>
      <w:pPr>
        <w:pStyle w:val="BodyText"/>
        <w:spacing w:line="218" w:lineRule="auto" w:before="86"/>
        <w:ind w:right="123"/>
      </w:pPr>
      <w:r>
        <w:rPr>
          <w:color w:val="231F20"/>
        </w:rPr>
        <w:t>3° ten aanzien van verrekenings- en vereffeningsinstellingen gebruik van de bevoegdheden die haar werden toegekend door de wet.</w:t>
      </w:r>
    </w:p>
    <w:p>
      <w:pPr>
        <w:pStyle w:val="BodyText"/>
        <w:spacing w:line="218" w:lineRule="auto" w:before="85"/>
      </w:pPr>
      <w:r>
        <w:rPr>
          <w:color w:val="231F20"/>
        </w:rPr>
        <w:t>De daarmee overeenstemmende bepalingen die de niet-naleving van voornoemde bepalingen bestraffen zijn van toepassing.</w:t>
      </w:r>
    </w:p>
    <w:p>
      <w:pPr>
        <w:pStyle w:val="BodyText"/>
        <w:spacing w:line="218" w:lineRule="auto" w:before="85"/>
        <w:ind w:right="123"/>
      </w:pPr>
      <w:r>
        <w:rPr>
          <w:color w:val="231F20"/>
        </w:rPr>
        <w:t>Art. 6:30. De erkende rekeninghouders houden de gedemateriali- seerde effecten die zij houden voor rekening van derden en voor eigen rekening bij op rekeningen bij de vereffeningsinstelling, bij één of meerdere instellingen die voor hen rechtstreeks of onrechtstreeks als tussenpersoon ten opzichte van die vereffeningsinstelling optreden, of tegelijk bij de vereffeningsinstelling en één of meerdere voornoemde instellingen. In voorkomend geval houden de erkende rekeninghou- ders de gedematerialiseerde effecten die zij houden voor rekening van derden en voor eigen rekening bij op rekeningen bij de erkende rekeninghouder waarvan sprake in artikel 6:38, bij één of meerdere instellingen die voor hen rechtstreeks of onrechtstreeks als tussenper- soon ten opzichte van die in artikel 6:38 bedoelde erkende rekening- houder optreden, of tegelijk bij de erkende rekeninghouder waarvan sprake in artikel 6:38 en één of meerdere voornoemde instellingen.</w:t>
      </w:r>
    </w:p>
    <w:p>
      <w:pPr>
        <w:pStyle w:val="BodyText"/>
        <w:spacing w:before="1"/>
        <w:ind w:left="0" w:right="0" w:firstLine="0"/>
        <w:jc w:val="left"/>
        <w:rPr>
          <w:sz w:val="23"/>
        </w:rPr>
      </w:pPr>
    </w:p>
    <w:p>
      <w:pPr>
        <w:pStyle w:val="BodyText"/>
        <w:spacing w:line="218" w:lineRule="auto"/>
      </w:pPr>
      <w:r>
        <w:rPr>
          <w:color w:val="231F20"/>
        </w:rPr>
        <w:t>Art. 6:31. Een pand op gedematerialiseerde effecten wordt gevestigd overeenkomstig de wet van 15 december 2004 betreffende de financiële zekerheden en houdende diverse fiscale bepalingen inzake zakelijke- zekerheidsovereenkomsten en leningen met betrekking tot financiële instrumenten.</w:t>
      </w:r>
    </w:p>
    <w:p>
      <w:pPr>
        <w:pStyle w:val="BodyText"/>
        <w:spacing w:line="218" w:lineRule="auto" w:before="86"/>
        <w:ind w:right="123"/>
      </w:pPr>
      <w:r>
        <w:rPr>
          <w:color w:val="231F20"/>
        </w:rPr>
        <w:t>De pandgever wordt geacht eigenaar te zijn van de in pand gegeven gedematerialiseerde effecten. Het pand blijft geldig gevestigd als de pandgever niet de eigenaar is van de in pand gegeven gedemateriali- seerde effecten, onverminderd de aansprakelijkheid van de pandgever ten overstaan van de werkelijke eigenaar van de in pand gegeven gedematerialiseerde effecten. Indien de pandgever de pandhoudende schuldeiser voorafgaandelijk en schriftelijk heeft verwittigd dat hij niet de eigenaar is van de in pand gegeven gedematerialiseerde effecten, dan is de geldigheid van het pand onderworpen aan de machtiging van de</w:t>
      </w:r>
      <w:r>
        <w:rPr>
          <w:color w:val="231F20"/>
          <w:spacing w:val="17"/>
        </w:rPr>
        <w:t> </w:t>
      </w:r>
      <w:r>
        <w:rPr>
          <w:color w:val="231F20"/>
        </w:rPr>
        <w:t>eigenaar</w:t>
      </w:r>
      <w:r>
        <w:rPr>
          <w:color w:val="231F20"/>
          <w:spacing w:val="17"/>
        </w:rPr>
        <w:t> </w:t>
      </w:r>
      <w:r>
        <w:rPr>
          <w:color w:val="231F20"/>
        </w:rPr>
        <w:t>voor</w:t>
      </w:r>
      <w:r>
        <w:rPr>
          <w:color w:val="231F20"/>
          <w:spacing w:val="17"/>
        </w:rPr>
        <w:t> </w:t>
      </w:r>
      <w:r>
        <w:rPr>
          <w:color w:val="231F20"/>
        </w:rPr>
        <w:t>de</w:t>
      </w:r>
      <w:r>
        <w:rPr>
          <w:color w:val="231F20"/>
          <w:spacing w:val="18"/>
        </w:rPr>
        <w:t> </w:t>
      </w:r>
      <w:r>
        <w:rPr>
          <w:color w:val="231F20"/>
        </w:rPr>
        <w:t>inpandgeving</w:t>
      </w:r>
      <w:r>
        <w:rPr>
          <w:color w:val="231F20"/>
          <w:spacing w:val="17"/>
        </w:rPr>
        <w:t> </w:t>
      </w:r>
      <w:r>
        <w:rPr>
          <w:color w:val="231F20"/>
        </w:rPr>
        <w:t>van</w:t>
      </w:r>
      <w:r>
        <w:rPr>
          <w:color w:val="231F20"/>
          <w:spacing w:val="17"/>
        </w:rPr>
        <w:t> </w:t>
      </w:r>
      <w:r>
        <w:rPr>
          <w:color w:val="231F20"/>
        </w:rPr>
        <w:t>deze</w:t>
      </w:r>
      <w:r>
        <w:rPr>
          <w:color w:val="231F20"/>
          <w:spacing w:val="18"/>
        </w:rPr>
        <w:t> </w:t>
      </w:r>
      <w:r>
        <w:rPr>
          <w:color w:val="231F20"/>
        </w:rPr>
        <w:t>effecten.</w:t>
      </w:r>
    </w:p>
    <w:p>
      <w:pPr>
        <w:pStyle w:val="BodyText"/>
        <w:spacing w:line="218" w:lineRule="auto" w:before="97"/>
      </w:pPr>
      <w:r>
        <w:rPr>
          <w:color w:val="231F20"/>
        </w:rPr>
        <w:t>Art. 6:32. De eigenaars van gedematerialiseerde effecten bedoeld in artikel 6:30 kunnen hun rechten van mede-eigendom bedoeld in  artikel 6:29, vierde lid, alleen laten gelden jegens de erkende rekening- houder</w:t>
      </w:r>
      <w:r>
        <w:rPr>
          <w:color w:val="231F20"/>
          <w:spacing w:val="13"/>
        </w:rPr>
        <w:t> </w:t>
      </w:r>
      <w:r>
        <w:rPr>
          <w:color w:val="231F20"/>
        </w:rPr>
        <w:t>bij</w:t>
      </w:r>
      <w:r>
        <w:rPr>
          <w:color w:val="231F20"/>
          <w:spacing w:val="14"/>
        </w:rPr>
        <w:t> </w:t>
      </w:r>
      <w:r>
        <w:rPr>
          <w:color w:val="231F20"/>
        </w:rPr>
        <w:t>wie</w:t>
      </w:r>
      <w:r>
        <w:rPr>
          <w:color w:val="231F20"/>
          <w:spacing w:val="13"/>
        </w:rPr>
        <w:t> </w:t>
      </w:r>
      <w:r>
        <w:rPr>
          <w:color w:val="231F20"/>
        </w:rPr>
        <w:t>deze</w:t>
      </w:r>
      <w:r>
        <w:rPr>
          <w:color w:val="231F20"/>
          <w:spacing w:val="14"/>
        </w:rPr>
        <w:t> </w:t>
      </w:r>
      <w:r>
        <w:rPr>
          <w:color w:val="231F20"/>
        </w:rPr>
        <w:t>effecten</w:t>
      </w:r>
      <w:r>
        <w:rPr>
          <w:color w:val="231F20"/>
          <w:spacing w:val="13"/>
        </w:rPr>
        <w:t> </w:t>
      </w:r>
      <w:r>
        <w:rPr>
          <w:color w:val="231F20"/>
        </w:rPr>
        <w:t>op</w:t>
      </w:r>
      <w:r>
        <w:rPr>
          <w:color w:val="231F20"/>
          <w:spacing w:val="14"/>
        </w:rPr>
        <w:t> </w:t>
      </w:r>
      <w:r>
        <w:rPr>
          <w:color w:val="231F20"/>
        </w:rPr>
        <w:t>rekening</w:t>
      </w:r>
      <w:r>
        <w:rPr>
          <w:color w:val="231F20"/>
          <w:spacing w:val="13"/>
        </w:rPr>
        <w:t> </w:t>
      </w:r>
      <w:r>
        <w:rPr>
          <w:color w:val="231F20"/>
        </w:rPr>
        <w:t>werden</w:t>
      </w:r>
      <w:r>
        <w:rPr>
          <w:color w:val="231F20"/>
          <w:spacing w:val="14"/>
        </w:rPr>
        <w:t> </w:t>
      </w:r>
      <w:r>
        <w:rPr>
          <w:color w:val="231F20"/>
        </w:rPr>
        <w:t>geboekt</w:t>
      </w:r>
      <w:r>
        <w:rPr>
          <w:color w:val="231F20"/>
          <w:spacing w:val="13"/>
        </w:rPr>
        <w:t> </w:t>
      </w:r>
      <w:r>
        <w:rPr>
          <w:color w:val="231F20"/>
        </w:rPr>
        <w:t>of,</w:t>
      </w:r>
      <w:r>
        <w:rPr>
          <w:color w:val="231F20"/>
          <w:spacing w:val="14"/>
        </w:rPr>
        <w:t> </w:t>
      </w:r>
      <w:r>
        <w:rPr>
          <w:color w:val="231F20"/>
        </w:rPr>
        <w:t>indien</w:t>
      </w:r>
      <w:r>
        <w:rPr>
          <w:color w:val="231F20"/>
          <w:spacing w:val="13"/>
        </w:rPr>
        <w:t> </w:t>
      </w:r>
      <w:r>
        <w:rPr>
          <w:color w:val="231F20"/>
        </w:rPr>
        <w:t>zij</w:t>
      </w:r>
    </w:p>
    <w:p>
      <w:pPr>
        <w:spacing w:after="0" w:line="218" w:lineRule="auto"/>
        <w:sectPr>
          <w:pgSz w:w="11940" w:h="16880"/>
          <w:pgMar w:header="666" w:footer="0" w:top="1140" w:bottom="280" w:left="340" w:right="360"/>
          <w:cols w:num="2" w:equalWidth="0">
            <w:col w:w="5561" w:space="67"/>
            <w:col w:w="5612"/>
          </w:cols>
        </w:sectPr>
      </w:pPr>
    </w:p>
    <w:p>
      <w:pPr>
        <w:pStyle w:val="BodyText"/>
        <w:spacing w:line="218" w:lineRule="auto" w:before="120"/>
        <w:ind w:right="38" w:hanging="1"/>
        <w:jc w:val="left"/>
      </w:pPr>
      <w:r>
        <w:rPr/>
        <w:pict>
          <v:line style="position:absolute;mso-position-horizontal-relative:page;mso-position-vertical-relative:page;z-index:4072" from="298.170502pt,64.473pt" to="298.170502pt,812.819pt" stroked="true" strokeweight=".533pt" strokecolor="#231f20">
            <v:stroke dashstyle="solid"/>
            <w10:wrap type="none"/>
          </v:line>
        </w:pict>
      </w:r>
      <w:bookmarkStart w:name="_bookmark127" w:id="132"/>
      <w:bookmarkEnd w:id="132"/>
      <w:r>
        <w:rPr/>
      </w:r>
      <w:r>
        <w:rPr>
          <w:color w:val="231F20"/>
        </w:rPr>
        <w:t>directement ces titres auprès de l’organisme de liquidation, à l’égard de celui-ci. Par exception, il leur revient:</w:t>
      </w:r>
    </w:p>
    <w:p>
      <w:pPr>
        <w:pStyle w:val="BodyText"/>
        <w:spacing w:line="218" w:lineRule="auto" w:before="85"/>
        <w:ind w:right="38"/>
      </w:pPr>
      <w:r>
        <w:rPr>
          <w:color w:val="231F20"/>
        </w:rPr>
        <w:t>1° d’exercer un droit de revendication conformément aux disposi- tions du présent article et de l’article 9</w:t>
      </w:r>
      <w:r>
        <w:rPr>
          <w:rFonts w:ascii="Times New Roman" w:hAnsi="Times New Roman"/>
          <w:i/>
          <w:color w:val="231F20"/>
        </w:rPr>
        <w:t>bis</w:t>
      </w:r>
      <w:r>
        <w:rPr>
          <w:color w:val="231F20"/>
        </w:rPr>
        <w:t>, alinéas 2 à 4, de l’arrêté royal n° 62 du 10 novembre 1967 favorisant la circulation des instruments financiers;</w:t>
      </w:r>
    </w:p>
    <w:p>
      <w:pPr>
        <w:pStyle w:val="BodyText"/>
        <w:spacing w:line="260" w:lineRule="atLeast" w:before="2"/>
        <w:ind w:left="283" w:right="38" w:hanging="1"/>
        <w:jc w:val="left"/>
      </w:pPr>
      <w:r>
        <w:rPr>
          <w:color w:val="231F20"/>
        </w:rPr>
        <w:t>2° d’exercer directement leurs droits sociaux auprès de l’émetteur;   3°</w:t>
      </w:r>
      <w:r>
        <w:rPr>
          <w:color w:val="231F20"/>
          <w:spacing w:val="19"/>
        </w:rPr>
        <w:t> </w:t>
      </w:r>
      <w:r>
        <w:rPr>
          <w:color w:val="231F20"/>
        </w:rPr>
        <w:t>en</w:t>
      </w:r>
      <w:r>
        <w:rPr>
          <w:color w:val="231F20"/>
          <w:spacing w:val="19"/>
        </w:rPr>
        <w:t> </w:t>
      </w:r>
      <w:r>
        <w:rPr>
          <w:color w:val="231F20"/>
        </w:rPr>
        <w:t>cas</w:t>
      </w:r>
      <w:r>
        <w:rPr>
          <w:color w:val="231F20"/>
          <w:spacing w:val="19"/>
        </w:rPr>
        <w:t> </w:t>
      </w:r>
      <w:r>
        <w:rPr>
          <w:color w:val="231F20"/>
        </w:rPr>
        <w:t>de</w:t>
      </w:r>
      <w:r>
        <w:rPr>
          <w:color w:val="231F20"/>
          <w:spacing w:val="20"/>
        </w:rPr>
        <w:t> </w:t>
      </w:r>
      <w:r>
        <w:rPr>
          <w:color w:val="231F20"/>
        </w:rPr>
        <w:t>faillite</w:t>
      </w:r>
      <w:r>
        <w:rPr>
          <w:color w:val="231F20"/>
          <w:spacing w:val="19"/>
        </w:rPr>
        <w:t> </w:t>
      </w:r>
      <w:r>
        <w:rPr>
          <w:color w:val="231F20"/>
        </w:rPr>
        <w:t>ou</w:t>
      </w:r>
      <w:r>
        <w:rPr>
          <w:color w:val="231F20"/>
          <w:spacing w:val="19"/>
        </w:rPr>
        <w:t> </w:t>
      </w:r>
      <w:r>
        <w:rPr>
          <w:color w:val="231F20"/>
        </w:rPr>
        <w:t>de</w:t>
      </w:r>
      <w:r>
        <w:rPr>
          <w:color w:val="231F20"/>
          <w:spacing w:val="20"/>
        </w:rPr>
        <w:t> </w:t>
      </w:r>
      <w:r>
        <w:rPr>
          <w:color w:val="231F20"/>
        </w:rPr>
        <w:t>toute</w:t>
      </w:r>
      <w:r>
        <w:rPr>
          <w:color w:val="231F20"/>
          <w:spacing w:val="19"/>
        </w:rPr>
        <w:t> </w:t>
      </w:r>
      <w:r>
        <w:rPr>
          <w:color w:val="231F20"/>
        </w:rPr>
        <w:t>autre</w:t>
      </w:r>
      <w:r>
        <w:rPr>
          <w:color w:val="231F20"/>
          <w:spacing w:val="19"/>
        </w:rPr>
        <w:t> </w:t>
      </w:r>
      <w:r>
        <w:rPr>
          <w:color w:val="231F20"/>
        </w:rPr>
        <w:t>situation</w:t>
      </w:r>
      <w:r>
        <w:rPr>
          <w:color w:val="231F20"/>
          <w:spacing w:val="20"/>
        </w:rPr>
        <w:t> </w:t>
      </w:r>
      <w:r>
        <w:rPr>
          <w:color w:val="231F20"/>
        </w:rPr>
        <w:t>de</w:t>
      </w:r>
      <w:r>
        <w:rPr>
          <w:color w:val="231F20"/>
          <w:spacing w:val="19"/>
        </w:rPr>
        <w:t> </w:t>
      </w:r>
      <w:r>
        <w:rPr>
          <w:color w:val="231F20"/>
        </w:rPr>
        <w:t>concours</w:t>
      </w:r>
      <w:r>
        <w:rPr>
          <w:color w:val="231F20"/>
          <w:spacing w:val="19"/>
        </w:rPr>
        <w:t> </w:t>
      </w:r>
      <w:r>
        <w:rPr>
          <w:color w:val="231F20"/>
        </w:rPr>
        <w:t>dans</w:t>
      </w:r>
      <w:r>
        <w:rPr>
          <w:color w:val="231F20"/>
          <w:spacing w:val="20"/>
        </w:rPr>
        <w:t> </w:t>
      </w:r>
      <w:r>
        <w:rPr>
          <w:color w:val="231F20"/>
        </w:rPr>
        <w:t>le</w:t>
      </w:r>
    </w:p>
    <w:p>
      <w:pPr>
        <w:pStyle w:val="BodyText"/>
        <w:spacing w:line="218" w:lineRule="auto"/>
        <w:ind w:right="38" w:hanging="1"/>
        <w:jc w:val="left"/>
      </w:pPr>
      <w:r>
        <w:rPr>
          <w:color w:val="231F20"/>
        </w:rPr>
        <w:t>chef de l’émetteur, d’exercer directement leurs droits de recours contre celui-ci.</w:t>
      </w:r>
    </w:p>
    <w:p>
      <w:pPr>
        <w:pStyle w:val="BodyText"/>
        <w:spacing w:line="218" w:lineRule="auto" w:before="84"/>
        <w:ind w:right="38"/>
      </w:pPr>
      <w:r>
        <w:rPr>
          <w:color w:val="231F20"/>
        </w:rPr>
        <w:t>En cas de faillite du teneur de comptes agréé ou de toute autre situation de concours, la revendication du montant des titres dématé- rialisés visés à l’article 6:30 dont le teneur de comptes agréé est redevable, s’exerce collectivement sur l’universalité des titres dématé- rialisés de la même classe, inscrits au nom du teneur de comptes agréé auprès d’autres teneurs de comptes agréés ou auprès de l’organisme de liquidation.</w:t>
      </w:r>
    </w:p>
    <w:p>
      <w:pPr>
        <w:pStyle w:val="BodyText"/>
        <w:spacing w:line="218" w:lineRule="auto" w:before="86"/>
        <w:ind w:right="38"/>
      </w:pPr>
      <w:r>
        <w:rPr>
          <w:color w:val="231F20"/>
        </w:rPr>
        <w:t>Si, dans le cas visé à l’alinéa 2, cette universalité est insuffisante pour assurer</w:t>
      </w:r>
      <w:r>
        <w:rPr>
          <w:color w:val="231F20"/>
          <w:spacing w:val="-5"/>
        </w:rPr>
        <w:t> </w:t>
      </w:r>
      <w:r>
        <w:rPr>
          <w:color w:val="231F20"/>
        </w:rPr>
        <w:t>la</w:t>
      </w:r>
      <w:r>
        <w:rPr>
          <w:color w:val="231F20"/>
          <w:spacing w:val="-5"/>
        </w:rPr>
        <w:t> </w:t>
      </w:r>
      <w:r>
        <w:rPr>
          <w:color w:val="231F20"/>
        </w:rPr>
        <w:t>restitution</w:t>
      </w:r>
      <w:r>
        <w:rPr>
          <w:color w:val="231F20"/>
          <w:spacing w:val="-5"/>
        </w:rPr>
        <w:t> </w:t>
      </w:r>
      <w:r>
        <w:rPr>
          <w:color w:val="231F20"/>
        </w:rPr>
        <w:t>intégrale</w:t>
      </w:r>
      <w:r>
        <w:rPr>
          <w:color w:val="231F20"/>
          <w:spacing w:val="-5"/>
        </w:rPr>
        <w:t> </w:t>
      </w:r>
      <w:r>
        <w:rPr>
          <w:color w:val="231F20"/>
        </w:rPr>
        <w:t>des</w:t>
      </w:r>
      <w:r>
        <w:rPr>
          <w:color w:val="231F20"/>
          <w:spacing w:val="-5"/>
        </w:rPr>
        <w:t> </w:t>
      </w:r>
      <w:r>
        <w:rPr>
          <w:color w:val="231F20"/>
        </w:rPr>
        <w:t>titres</w:t>
      </w:r>
      <w:r>
        <w:rPr>
          <w:color w:val="231F20"/>
          <w:spacing w:val="-5"/>
        </w:rPr>
        <w:t> </w:t>
      </w:r>
      <w:r>
        <w:rPr>
          <w:color w:val="231F20"/>
        </w:rPr>
        <w:t>dus</w:t>
      </w:r>
      <w:r>
        <w:rPr>
          <w:color w:val="231F20"/>
          <w:spacing w:val="-5"/>
        </w:rPr>
        <w:t> </w:t>
      </w:r>
      <w:r>
        <w:rPr>
          <w:color w:val="231F20"/>
        </w:rPr>
        <w:t>inscrits</w:t>
      </w:r>
      <w:r>
        <w:rPr>
          <w:color w:val="231F20"/>
          <w:spacing w:val="-5"/>
        </w:rPr>
        <w:t> </w:t>
      </w:r>
      <w:r>
        <w:rPr>
          <w:color w:val="231F20"/>
        </w:rPr>
        <w:t>en</w:t>
      </w:r>
      <w:r>
        <w:rPr>
          <w:color w:val="231F20"/>
          <w:spacing w:val="-5"/>
        </w:rPr>
        <w:t> </w:t>
      </w:r>
      <w:r>
        <w:rPr>
          <w:color w:val="231F20"/>
        </w:rPr>
        <w:t>compte,</w:t>
      </w:r>
      <w:r>
        <w:rPr>
          <w:color w:val="231F20"/>
          <w:spacing w:val="-5"/>
        </w:rPr>
        <w:t> </w:t>
      </w:r>
      <w:r>
        <w:rPr>
          <w:color w:val="231F20"/>
        </w:rPr>
        <w:t>elle</w:t>
      </w:r>
      <w:r>
        <w:rPr>
          <w:color w:val="231F20"/>
          <w:spacing w:val="-5"/>
        </w:rPr>
        <w:t> </w:t>
      </w:r>
      <w:r>
        <w:rPr>
          <w:color w:val="231F20"/>
        </w:rPr>
        <w:t>sera répartie</w:t>
      </w:r>
      <w:r>
        <w:rPr>
          <w:color w:val="231F20"/>
          <w:spacing w:val="13"/>
        </w:rPr>
        <w:t> </w:t>
      </w:r>
      <w:r>
        <w:rPr>
          <w:color w:val="231F20"/>
        </w:rPr>
        <w:t>entre</w:t>
      </w:r>
      <w:r>
        <w:rPr>
          <w:color w:val="231F20"/>
          <w:spacing w:val="14"/>
        </w:rPr>
        <w:t> </w:t>
      </w:r>
      <w:r>
        <w:rPr>
          <w:color w:val="231F20"/>
        </w:rPr>
        <w:t>les</w:t>
      </w:r>
      <w:r>
        <w:rPr>
          <w:color w:val="231F20"/>
          <w:spacing w:val="14"/>
        </w:rPr>
        <w:t> </w:t>
      </w:r>
      <w:r>
        <w:rPr>
          <w:color w:val="231F20"/>
        </w:rPr>
        <w:t>propriétaires</w:t>
      </w:r>
      <w:r>
        <w:rPr>
          <w:color w:val="231F20"/>
          <w:spacing w:val="14"/>
        </w:rPr>
        <w:t> </w:t>
      </w:r>
      <w:r>
        <w:rPr>
          <w:color w:val="231F20"/>
        </w:rPr>
        <w:t>en</w:t>
      </w:r>
      <w:r>
        <w:rPr>
          <w:color w:val="231F20"/>
          <w:spacing w:val="14"/>
        </w:rPr>
        <w:t> </w:t>
      </w:r>
      <w:r>
        <w:rPr>
          <w:color w:val="231F20"/>
        </w:rPr>
        <w:t>proportion</w:t>
      </w:r>
      <w:r>
        <w:rPr>
          <w:color w:val="231F20"/>
          <w:spacing w:val="14"/>
        </w:rPr>
        <w:t> </w:t>
      </w:r>
      <w:r>
        <w:rPr>
          <w:color w:val="231F20"/>
        </w:rPr>
        <w:t>de</w:t>
      </w:r>
      <w:r>
        <w:rPr>
          <w:color w:val="231F20"/>
          <w:spacing w:val="14"/>
        </w:rPr>
        <w:t> </w:t>
      </w:r>
      <w:r>
        <w:rPr>
          <w:color w:val="231F20"/>
        </w:rPr>
        <w:t>leurs</w:t>
      </w:r>
      <w:r>
        <w:rPr>
          <w:color w:val="231F20"/>
          <w:spacing w:val="14"/>
        </w:rPr>
        <w:t> </w:t>
      </w:r>
      <w:r>
        <w:rPr>
          <w:color w:val="231F20"/>
        </w:rPr>
        <w:t>droits.</w:t>
      </w:r>
    </w:p>
    <w:p>
      <w:pPr>
        <w:pStyle w:val="BodyText"/>
        <w:spacing w:before="10"/>
        <w:ind w:left="0" w:right="0" w:firstLine="0"/>
        <w:jc w:val="left"/>
        <w:rPr>
          <w:sz w:val="23"/>
        </w:rPr>
      </w:pPr>
    </w:p>
    <w:p>
      <w:pPr>
        <w:pStyle w:val="BodyText"/>
        <w:spacing w:line="218" w:lineRule="auto"/>
        <w:ind w:right="38"/>
      </w:pPr>
      <w:r>
        <w:rPr>
          <w:color w:val="231F20"/>
        </w:rPr>
        <w:t>Lorsque des propriétaires ont autorisé le teneur de compte agréé, conformément au droit applicable, à disposer de leurs titres dématé- rialisés, et pour autant qu’une telle disposition ait eu lieu dans les limites de cette autorisation, il ne leur sera attribué, en cas de faillite du teneur de compte agréé ou de toute autre situation de concours, que le nombre</w:t>
      </w:r>
      <w:r>
        <w:rPr>
          <w:color w:val="231F20"/>
          <w:spacing w:val="-3"/>
        </w:rPr>
        <w:t> </w:t>
      </w:r>
      <w:r>
        <w:rPr>
          <w:color w:val="231F20"/>
        </w:rPr>
        <w:t>des</w:t>
      </w:r>
      <w:r>
        <w:rPr>
          <w:color w:val="231F20"/>
          <w:spacing w:val="-2"/>
        </w:rPr>
        <w:t> </w:t>
      </w:r>
      <w:r>
        <w:rPr>
          <w:color w:val="231F20"/>
        </w:rPr>
        <w:t>titres</w:t>
      </w:r>
      <w:r>
        <w:rPr>
          <w:color w:val="231F20"/>
          <w:spacing w:val="-3"/>
        </w:rPr>
        <w:t> </w:t>
      </w:r>
      <w:r>
        <w:rPr>
          <w:color w:val="231F20"/>
        </w:rPr>
        <w:t>qui</w:t>
      </w:r>
      <w:r>
        <w:rPr>
          <w:color w:val="231F20"/>
          <w:spacing w:val="-2"/>
        </w:rPr>
        <w:t> </w:t>
      </w:r>
      <w:r>
        <w:rPr>
          <w:color w:val="231F20"/>
        </w:rPr>
        <w:t>subsiste</w:t>
      </w:r>
      <w:r>
        <w:rPr>
          <w:color w:val="231F20"/>
          <w:spacing w:val="-2"/>
        </w:rPr>
        <w:t> </w:t>
      </w:r>
      <w:r>
        <w:rPr>
          <w:color w:val="231F20"/>
        </w:rPr>
        <w:t>après</w:t>
      </w:r>
      <w:r>
        <w:rPr>
          <w:color w:val="231F20"/>
          <w:spacing w:val="-3"/>
        </w:rPr>
        <w:t> </w:t>
      </w:r>
      <w:r>
        <w:rPr>
          <w:color w:val="231F20"/>
        </w:rPr>
        <w:t>que</w:t>
      </w:r>
      <w:r>
        <w:rPr>
          <w:color w:val="231F20"/>
          <w:spacing w:val="-2"/>
        </w:rPr>
        <w:t> </w:t>
      </w:r>
      <w:r>
        <w:rPr>
          <w:color w:val="231F20"/>
        </w:rPr>
        <w:t>la</w:t>
      </w:r>
      <w:r>
        <w:rPr>
          <w:color w:val="231F20"/>
          <w:spacing w:val="-2"/>
        </w:rPr>
        <w:t> </w:t>
      </w:r>
      <w:r>
        <w:rPr>
          <w:color w:val="231F20"/>
        </w:rPr>
        <w:t>totalité</w:t>
      </w:r>
      <w:r>
        <w:rPr>
          <w:color w:val="231F20"/>
          <w:spacing w:val="-3"/>
        </w:rPr>
        <w:t> </w:t>
      </w:r>
      <w:r>
        <w:rPr>
          <w:color w:val="231F20"/>
        </w:rPr>
        <w:t>des</w:t>
      </w:r>
      <w:r>
        <w:rPr>
          <w:color w:val="231F20"/>
          <w:spacing w:val="-2"/>
        </w:rPr>
        <w:t> </w:t>
      </w:r>
      <w:r>
        <w:rPr>
          <w:color w:val="231F20"/>
        </w:rPr>
        <w:t>titres</w:t>
      </w:r>
      <w:r>
        <w:rPr>
          <w:color w:val="231F20"/>
          <w:spacing w:val="-2"/>
        </w:rPr>
        <w:t> </w:t>
      </w:r>
      <w:r>
        <w:rPr>
          <w:color w:val="231F20"/>
        </w:rPr>
        <w:t>de</w:t>
      </w:r>
      <w:r>
        <w:rPr>
          <w:color w:val="231F20"/>
          <w:spacing w:val="-3"/>
        </w:rPr>
        <w:t> </w:t>
      </w:r>
      <w:r>
        <w:rPr>
          <w:color w:val="231F20"/>
        </w:rPr>
        <w:t>la</w:t>
      </w:r>
      <w:r>
        <w:rPr>
          <w:color w:val="231F20"/>
          <w:spacing w:val="-2"/>
        </w:rPr>
        <w:t> </w:t>
      </w:r>
      <w:r>
        <w:rPr>
          <w:color w:val="231F20"/>
        </w:rPr>
        <w:t>même classe</w:t>
      </w:r>
      <w:r>
        <w:rPr>
          <w:color w:val="231F20"/>
          <w:spacing w:val="12"/>
        </w:rPr>
        <w:t> </w:t>
      </w:r>
      <w:r>
        <w:rPr>
          <w:color w:val="231F20"/>
        </w:rPr>
        <w:t>appartenant</w:t>
      </w:r>
      <w:r>
        <w:rPr>
          <w:color w:val="231F20"/>
          <w:spacing w:val="13"/>
        </w:rPr>
        <w:t> </w:t>
      </w:r>
      <w:r>
        <w:rPr>
          <w:color w:val="231F20"/>
        </w:rPr>
        <w:t>aux</w:t>
      </w:r>
      <w:r>
        <w:rPr>
          <w:color w:val="231F20"/>
          <w:spacing w:val="13"/>
        </w:rPr>
        <w:t> </w:t>
      </w:r>
      <w:r>
        <w:rPr>
          <w:color w:val="231F20"/>
        </w:rPr>
        <w:t>autres</w:t>
      </w:r>
      <w:r>
        <w:rPr>
          <w:color w:val="231F20"/>
          <w:spacing w:val="13"/>
        </w:rPr>
        <w:t> </w:t>
      </w:r>
      <w:r>
        <w:rPr>
          <w:color w:val="231F20"/>
        </w:rPr>
        <w:t>propriétaires</w:t>
      </w:r>
      <w:r>
        <w:rPr>
          <w:color w:val="231F20"/>
          <w:spacing w:val="13"/>
        </w:rPr>
        <w:t> </w:t>
      </w:r>
      <w:r>
        <w:rPr>
          <w:color w:val="231F20"/>
        </w:rPr>
        <w:t>leur</w:t>
      </w:r>
      <w:r>
        <w:rPr>
          <w:color w:val="231F20"/>
          <w:spacing w:val="13"/>
        </w:rPr>
        <w:t> </w:t>
      </w:r>
      <w:r>
        <w:rPr>
          <w:color w:val="231F20"/>
        </w:rPr>
        <w:t>aura</w:t>
      </w:r>
      <w:r>
        <w:rPr>
          <w:color w:val="231F20"/>
          <w:spacing w:val="13"/>
        </w:rPr>
        <w:t> </w:t>
      </w:r>
      <w:r>
        <w:rPr>
          <w:color w:val="231F20"/>
        </w:rPr>
        <w:t>été</w:t>
      </w:r>
      <w:r>
        <w:rPr>
          <w:color w:val="231F20"/>
          <w:spacing w:val="13"/>
        </w:rPr>
        <w:t> </w:t>
      </w:r>
      <w:r>
        <w:rPr>
          <w:color w:val="231F20"/>
        </w:rPr>
        <w:t>restituée.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Si le teneur de comptes agréé est lui-même propriétaire d’un nombre de titres, il ne lui est attribué, lors de l’application de l’alinéa 3, que le montant des titres qui subsiste après que le montant total des titres de la même classe détenus par lui pour compte de tiers aura pu être restitué.</w:t>
      </w:r>
    </w:p>
    <w:p>
      <w:pPr>
        <w:pStyle w:val="BodyText"/>
        <w:spacing w:line="216" w:lineRule="auto" w:before="98"/>
        <w:ind w:right="38"/>
      </w:pPr>
      <w:r>
        <w:rPr>
          <w:color w:val="231F20"/>
        </w:rPr>
        <w:t>Lorsqu’un intermédiaire a fait inscrire pour le compte d’autrui des titres dématérialisés visées à l’article 6:30 à son nom ou à celui d’une tierce personne, le propriétaire pour le compte duquel cette inscription a été prise peut revendiquer l’avoir qui est inscrit au nom de cet intermédiaire ou de cette tierce personne auprès du teneur de comptes agréé ou de l’organisme de liquidation. Cette revendication s’exerce suivant les règles définies aux alinéas 1</w:t>
      </w:r>
      <w:r>
        <w:rPr>
          <w:color w:val="231F20"/>
          <w:position w:val="7"/>
          <w:sz w:val="11"/>
        </w:rPr>
        <w:t>er </w:t>
      </w:r>
      <w:r>
        <w:rPr>
          <w:color w:val="231F20"/>
        </w:rPr>
        <w:t>à 4.</w:t>
      </w:r>
    </w:p>
    <w:p>
      <w:pPr>
        <w:pStyle w:val="BodyText"/>
        <w:spacing w:before="8"/>
        <w:ind w:left="0" w:right="0" w:firstLine="0"/>
        <w:jc w:val="left"/>
        <w:rPr>
          <w:sz w:val="23"/>
        </w:rPr>
      </w:pPr>
    </w:p>
    <w:p>
      <w:pPr>
        <w:pStyle w:val="BodyText"/>
        <w:spacing w:line="218" w:lineRule="auto"/>
        <w:ind w:right="38"/>
      </w:pPr>
      <w:r>
        <w:rPr>
          <w:color w:val="231F20"/>
        </w:rPr>
        <w:t>La restitution des titres dématérialisés visées à l’article 6:30 s’opère par virement sur un compte-titres auprès d’un autre teneur de comptes agréé, désigné par la personne qui exerce son droit de revendication.</w:t>
      </w:r>
    </w:p>
    <w:p>
      <w:pPr>
        <w:pStyle w:val="BodyText"/>
        <w:spacing w:before="10"/>
        <w:ind w:left="0" w:right="0" w:firstLine="0"/>
        <w:jc w:val="left"/>
        <w:rPr>
          <w:sz w:val="23"/>
        </w:rPr>
      </w:pPr>
    </w:p>
    <w:p>
      <w:pPr>
        <w:pStyle w:val="BodyText"/>
        <w:spacing w:line="218" w:lineRule="auto" w:before="1"/>
        <w:ind w:right="38"/>
      </w:pPr>
      <w:r>
        <w:rPr>
          <w:color w:val="231F20"/>
        </w:rPr>
        <w:t>Art. 6:33. La saisie-arrêt n’est pas autorisée sur les comptes des titres dématérialisés ouverts au nom d’un teneur de comptes agréé auprès de l’organisme de liquidation ou, le cas échéant, auprès du teneur de comptes agréé en cas d’application de l’article 6:38.</w:t>
      </w:r>
    </w:p>
    <w:p>
      <w:pPr>
        <w:pStyle w:val="BodyText"/>
        <w:spacing w:line="218" w:lineRule="auto" w:before="96"/>
        <w:ind w:right="38"/>
      </w:pPr>
      <w:r>
        <w:rPr>
          <w:color w:val="231F20"/>
        </w:rPr>
        <w:t>Sans préjudice de l’application de l’article 6:32, en cas de faillite du propriétaire des titres ou dans toute autre situation de concours, les créanciers du propriétaire des titres peuvent faire valoir leurs droits sur le solde disponible des titres inscrits en compte au nom et pour compte de leur débiteur, après déduction ou addition des titres qui, en vertu d’engagements conditionnels, d’engagements dont le montant est incertain ou d’engagements à terme, sont entrés, le cas échéant, dans une partie distincte de ce compte-titres, au jour de la faillite ou de la naissance du concours, et dont l’inclusion dans le solde disponible est différée jusqu’à la réalisation de la condition, la détermination du montant ou l’échéance du terme.</w:t>
      </w:r>
    </w:p>
    <w:p>
      <w:pPr>
        <w:pStyle w:val="BodyText"/>
        <w:ind w:left="0" w:right="0" w:firstLine="0"/>
        <w:jc w:val="left"/>
        <w:rPr>
          <w:sz w:val="24"/>
        </w:rPr>
      </w:pPr>
    </w:p>
    <w:p>
      <w:pPr>
        <w:pStyle w:val="BodyText"/>
        <w:spacing w:line="218" w:lineRule="auto"/>
        <w:ind w:right="38"/>
      </w:pPr>
      <w:r>
        <w:rPr>
          <w:color w:val="231F20"/>
        </w:rPr>
        <w:t>Art. 6:34. Le paiement des intérêts et des capitaux échus des titres dématérialisés à l’organisme de liquidation ou, le cas échéant, au teneur de comptes agréé en cas d’application de l’article 6:38, est libératoire pour l’émetteur.</w:t>
      </w:r>
    </w:p>
    <w:p>
      <w:pPr>
        <w:pStyle w:val="BodyText"/>
        <w:spacing w:line="218" w:lineRule="auto" w:before="96"/>
        <w:ind w:right="38"/>
      </w:pPr>
      <w:r>
        <w:rPr>
          <w:color w:val="231F20"/>
        </w:rPr>
        <w:t>L’organisme de liquidation ou, le cas échéant, le teneur de comptes agréé en cas d’application de l’article 6:38, rétrocède ces intérêts et capitaux aux teneurs de comptes agréés en fonction des montants des titres dématérialiseés à leur nom à l’échéance. Ces paiements sont libératoires pour l’organisme de liquidation ou, le cas échéant, pour le teneur de comptes agréé en cas d’application de l’article 6:38.</w:t>
      </w:r>
    </w:p>
    <w:p>
      <w:pPr>
        <w:pStyle w:val="BodyText"/>
        <w:ind w:left="0" w:right="0" w:firstLine="0"/>
        <w:jc w:val="left"/>
        <w:rPr>
          <w:sz w:val="24"/>
        </w:rPr>
      </w:pPr>
    </w:p>
    <w:p>
      <w:pPr>
        <w:pStyle w:val="BodyText"/>
        <w:spacing w:line="218" w:lineRule="auto"/>
        <w:ind w:right="38"/>
      </w:pPr>
      <w:r>
        <w:rPr>
          <w:color w:val="231F20"/>
        </w:rPr>
        <w:t>Art. 6:35. Tous les droits sociaux du propriétaire de titres dématéria- lisés et, en cas de faillite de leur émetteur ou de toute autre situation de concours dans son chef, tous les droits de recours contre celui-ci s’exercent moyennant la production d’une attestation établie par le</w:t>
      </w:r>
    </w:p>
    <w:p>
      <w:pPr>
        <w:pStyle w:val="BodyText"/>
        <w:spacing w:line="218" w:lineRule="auto" w:before="119"/>
        <w:ind w:right="0" w:firstLine="0"/>
        <w:jc w:val="left"/>
      </w:pPr>
      <w:r>
        <w:rPr/>
        <w:br w:type="column"/>
      </w:r>
      <w:r>
        <w:rPr>
          <w:color w:val="231F20"/>
        </w:rPr>
        <w:t>die effecten rechtstreeks aanhouden bij de vereffeningsinstelling, jegens deze laatste. Bij wijze van uitzondering kunnen zij:</w:t>
      </w:r>
    </w:p>
    <w:p>
      <w:pPr>
        <w:pStyle w:val="BodyText"/>
        <w:spacing w:line="218" w:lineRule="auto" w:before="86"/>
      </w:pPr>
      <w:r>
        <w:rPr>
          <w:color w:val="231F20"/>
        </w:rPr>
        <w:t>1° een recht van terugvordering uitoefenen overeenkomstig de bepalingen van dit artikel en artikel 9</w:t>
      </w:r>
      <w:r>
        <w:rPr>
          <w:rFonts w:ascii="Times New Roman" w:hAnsi="Times New Roman"/>
          <w:i/>
          <w:color w:val="231F20"/>
        </w:rPr>
        <w:t>bis</w:t>
      </w:r>
      <w:r>
        <w:rPr>
          <w:color w:val="231F20"/>
        </w:rPr>
        <w:t>, tweede tot vierde lid, van het koninklijk besluit nr. 62 van 10 november 1967 ter bevordering van de omloop van de financiële instrumenten;</w:t>
      </w:r>
    </w:p>
    <w:p>
      <w:pPr>
        <w:pStyle w:val="BodyText"/>
        <w:spacing w:before="69"/>
        <w:ind w:left="283" w:right="0" w:firstLine="0"/>
        <w:jc w:val="left"/>
      </w:pPr>
      <w:r>
        <w:rPr>
          <w:color w:val="231F20"/>
        </w:rPr>
        <w:t>2° rechtstreeks hun lidmaatschapsrechten uitoefenen bij de emittent;</w:t>
      </w:r>
    </w:p>
    <w:p>
      <w:pPr>
        <w:pStyle w:val="BodyText"/>
        <w:spacing w:line="218" w:lineRule="auto" w:before="82"/>
      </w:pPr>
      <w:r>
        <w:rPr>
          <w:color w:val="231F20"/>
        </w:rPr>
        <w:t>3° in geval van faillissement of in alle andere gevallen van samenloop in hoofde van de emittent rechtstreeks hun recht van verhaal tegen</w:t>
      </w:r>
      <w:r>
        <w:rPr>
          <w:color w:val="231F20"/>
          <w:spacing w:val="-23"/>
        </w:rPr>
        <w:t> </w:t>
      </w:r>
      <w:r>
        <w:rPr>
          <w:color w:val="231F20"/>
        </w:rPr>
        <w:t>deze laatste</w:t>
      </w:r>
      <w:r>
        <w:rPr>
          <w:color w:val="231F20"/>
          <w:spacing w:val="14"/>
        </w:rPr>
        <w:t> </w:t>
      </w:r>
      <w:r>
        <w:rPr>
          <w:color w:val="231F20"/>
        </w:rPr>
        <w:t>uitoefenen.</w:t>
      </w:r>
    </w:p>
    <w:p>
      <w:pPr>
        <w:pStyle w:val="BodyText"/>
        <w:spacing w:line="218" w:lineRule="auto" w:before="85"/>
      </w:pPr>
      <w:r>
        <w:rPr>
          <w:color w:val="231F20"/>
        </w:rPr>
        <w:t>In geval van faillissement van de erkende rekeninghouder of in alle andere gevallen van samenloop, gebeurt de terugvordering van het bedrag</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in</w:t>
      </w:r>
      <w:r>
        <w:rPr>
          <w:color w:val="231F20"/>
          <w:spacing w:val="-3"/>
        </w:rPr>
        <w:t> </w:t>
      </w:r>
      <w:r>
        <w:rPr>
          <w:color w:val="231F20"/>
        </w:rPr>
        <w:t>artikel</w:t>
      </w:r>
      <w:r>
        <w:rPr>
          <w:color w:val="231F20"/>
          <w:spacing w:val="-3"/>
        </w:rPr>
        <w:t> </w:t>
      </w:r>
      <w:r>
        <w:rPr>
          <w:color w:val="231F20"/>
        </w:rPr>
        <w:t>6:30</w:t>
      </w:r>
      <w:r>
        <w:rPr>
          <w:color w:val="231F20"/>
          <w:spacing w:val="-4"/>
        </w:rPr>
        <w:t> </w:t>
      </w:r>
      <w:r>
        <w:rPr>
          <w:color w:val="231F20"/>
        </w:rPr>
        <w:t>bedoelde</w:t>
      </w:r>
      <w:r>
        <w:rPr>
          <w:color w:val="231F20"/>
          <w:spacing w:val="-3"/>
        </w:rPr>
        <w:t> </w:t>
      </w:r>
      <w:r>
        <w:rPr>
          <w:color w:val="231F20"/>
        </w:rPr>
        <w:t>gedematerialiseerde</w:t>
      </w:r>
      <w:r>
        <w:rPr>
          <w:color w:val="231F20"/>
          <w:spacing w:val="-3"/>
        </w:rPr>
        <w:t> </w:t>
      </w:r>
      <w:r>
        <w:rPr>
          <w:color w:val="231F20"/>
        </w:rPr>
        <w:t>effecten,</w:t>
      </w:r>
      <w:r>
        <w:rPr>
          <w:color w:val="231F20"/>
          <w:spacing w:val="-4"/>
        </w:rPr>
        <w:t> </w:t>
      </w:r>
      <w:r>
        <w:rPr>
          <w:color w:val="231F20"/>
        </w:rPr>
        <w:t>dat de erkende rekeninghouder is verschuldigd, op collectieve wijze op de algemeenheid van de gedematerialiseerde effecten van dezelfde soort, die op naam van de erkende rekeninghouder zijn ingeschreven bij andere</w:t>
      </w:r>
      <w:r>
        <w:rPr>
          <w:color w:val="231F20"/>
          <w:spacing w:val="15"/>
        </w:rPr>
        <w:t> </w:t>
      </w:r>
      <w:r>
        <w:rPr>
          <w:color w:val="231F20"/>
        </w:rPr>
        <w:t>erkende</w:t>
      </w:r>
      <w:r>
        <w:rPr>
          <w:color w:val="231F20"/>
          <w:spacing w:val="16"/>
        </w:rPr>
        <w:t> </w:t>
      </w:r>
      <w:r>
        <w:rPr>
          <w:color w:val="231F20"/>
        </w:rPr>
        <w:t>rekeninghouders</w:t>
      </w:r>
      <w:r>
        <w:rPr>
          <w:color w:val="231F20"/>
          <w:spacing w:val="16"/>
        </w:rPr>
        <w:t> </w:t>
      </w:r>
      <w:r>
        <w:rPr>
          <w:color w:val="231F20"/>
        </w:rPr>
        <w:t>of</w:t>
      </w:r>
      <w:r>
        <w:rPr>
          <w:color w:val="231F20"/>
          <w:spacing w:val="16"/>
        </w:rPr>
        <w:t> </w:t>
      </w:r>
      <w:r>
        <w:rPr>
          <w:color w:val="231F20"/>
        </w:rPr>
        <w:t>bij</w:t>
      </w:r>
      <w:r>
        <w:rPr>
          <w:color w:val="231F20"/>
          <w:spacing w:val="16"/>
        </w:rPr>
        <w:t> </w:t>
      </w:r>
      <w:r>
        <w:rPr>
          <w:color w:val="231F20"/>
        </w:rPr>
        <w:t>de</w:t>
      </w:r>
      <w:r>
        <w:rPr>
          <w:color w:val="231F20"/>
          <w:spacing w:val="16"/>
        </w:rPr>
        <w:t> </w:t>
      </w:r>
      <w:r>
        <w:rPr>
          <w:color w:val="231F20"/>
        </w:rPr>
        <w:t>vereffeningsinstelling.</w:t>
      </w:r>
    </w:p>
    <w:p>
      <w:pPr>
        <w:pStyle w:val="BodyText"/>
        <w:spacing w:line="218" w:lineRule="auto" w:before="86"/>
      </w:pPr>
      <w:r>
        <w:rPr>
          <w:color w:val="231F20"/>
        </w:rPr>
        <w:t>Indien in het geval bedoeld in het tweede lid, deze algemeenheid onvoldoende is om de volledige terugbetaling te verzekeren van de op rekening geboekte verschuldigde effecten, wordt zij verdeeld onder de eigenaars in verhouding tot hun rechten.</w:t>
      </w:r>
    </w:p>
    <w:p>
      <w:pPr>
        <w:pStyle w:val="BodyText"/>
        <w:spacing w:line="218" w:lineRule="auto" w:before="97"/>
        <w:ind w:right="123"/>
      </w:pPr>
      <w:r>
        <w:rPr>
          <w:color w:val="231F20"/>
        </w:rPr>
        <w:t>Wanneer eigenaars de erkende rekeninghouder overeenkomstig het toepasselijke recht hebben gemachtigd om over hun gedemateriali- seerde effecten te beschikken, en voor zover een dergelijke beschikking is gebeurd binnen de grenzen van deze machtiging, wordt hun, in geval van faillissement van de erkende rekeninghouder of in alle andere gevallen van samenloop, slechts het aantal obligaties toegekend dat overblijft nadat het volledige aantal van de aan de andere eigenaars toebehorende effecten van dezelfde soort aan deze laatsten is terugbe- taald.</w:t>
      </w:r>
    </w:p>
    <w:p>
      <w:pPr>
        <w:pStyle w:val="BodyText"/>
        <w:spacing w:line="218" w:lineRule="auto" w:before="96"/>
      </w:pPr>
      <w:r>
        <w:rPr>
          <w:color w:val="231F20"/>
        </w:rPr>
        <w:t>Indien de erkende rekeninghouder zelf eigenaar is van een aantal gedematerialiseerde effecten, wordt hem, bij de toepassing van het derde lid, slechts het bedrag aan effecten toegekend dat overblijft nadat het volledige bedrag van de door hem voor rekening van derden gehouden effecten van dezelfde soort is terugbetaald.</w:t>
      </w:r>
    </w:p>
    <w:p>
      <w:pPr>
        <w:pStyle w:val="BodyText"/>
        <w:spacing w:line="218" w:lineRule="auto" w:before="97"/>
        <w:ind w:right="123"/>
      </w:pPr>
      <w:r>
        <w:rPr>
          <w:color w:val="231F20"/>
        </w:rPr>
        <w:t>Wanneer een tussenpersoon voor andermans rekening in artikel 6:30 bedoelde gedematerialiseerde effecten heeft laten inschrijven op zijn naam of op naam van een derde persoon, mag de eigenaar voor rekening waarvan deze inschrijving is genomen, van de erkende rekeninghouder of van het vereffeningsstelsel het tegoed terugvorderen dat op naam van deze tussenpersoon of derde persoon is ingeschreven. Deze terugvordering wordt uitgeoefend volgens de in het eerste tot vierde lid omschreven regels.</w:t>
      </w:r>
    </w:p>
    <w:p>
      <w:pPr>
        <w:pStyle w:val="BodyText"/>
        <w:spacing w:line="218" w:lineRule="auto" w:before="96"/>
      </w:pPr>
      <w:r>
        <w:rPr>
          <w:color w:val="231F20"/>
        </w:rPr>
        <w:t>De teruggave van de in artikel 6:30 bedoelde gedematerialiseerde effecten gebeurt door overschrijving op een effectenrekening bij een andere erkende rekeninghouder, aangewezen door de persoon die het terugvorderingsrecht uitoefent.</w:t>
      </w:r>
    </w:p>
    <w:p>
      <w:pPr>
        <w:pStyle w:val="BodyText"/>
        <w:spacing w:line="218" w:lineRule="auto" w:before="97"/>
      </w:pPr>
      <w:r>
        <w:rPr>
          <w:color w:val="231F20"/>
        </w:rPr>
        <w:t>Art. 6:33. Derdenbeslag is niet toegelaten op de rekeningen van gedematerialiseerde effecten geopend op naam van een erkende rekeninghouder bij de vereffeningsinstelling of, in voorkomend geval, bij de erkende rekeninghouder wanneer artikel 6:38 wordt toegepast.</w:t>
      </w:r>
    </w:p>
    <w:p>
      <w:pPr>
        <w:pStyle w:val="BodyText"/>
        <w:spacing w:line="218" w:lineRule="auto" w:before="96"/>
      </w:pPr>
      <w:r>
        <w:rPr>
          <w:color w:val="231F20"/>
        </w:rPr>
        <w:t>Onverminderd de toepassing van artikel 6:32 mogen de schuldeisers van de eigenaar van de effecten, in geval van faillissement van de eigenaar of in alle andere gevallen van samenloop, hun rechten laten gelden op het beschikbaar saldo van de effecten dat op naam en voor rekening van hun schuldenaar is ingeschreven, na aftrek of optelling van de effecten die, ingevolge voorwaardelijke verbintenissen, verbin- tenissen waarvan het bedrag onzeker is of verbintenissen op termijn, in voorkomend geval, op de dag van het faillissement of het ontstaan van de samenloop, waren geboekt op een afzonderlijk deel van de effectenrekening, en waarvan de samenvoeging met het beschikbaar saldo is uitgesteld tot aan de vervulling van de voorwaarde, de vaststelling van het bedrag of het verval van de termijn.</w:t>
      </w:r>
    </w:p>
    <w:p>
      <w:pPr>
        <w:pStyle w:val="BodyText"/>
        <w:spacing w:line="218" w:lineRule="auto" w:before="97"/>
      </w:pPr>
      <w:r>
        <w:rPr>
          <w:color w:val="231F20"/>
        </w:rPr>
        <w:t>Art. 6:34. De betaling van vervallen interesten en kapitalen van gedematerialiseerde effecten aan de vereffeningsinstelling of, in voor- komend geval, aan de erkende rekeninghouder wanneer artikel 6:38 wordt toegepast, is bevrijdend voor de uitgever.</w:t>
      </w:r>
    </w:p>
    <w:p>
      <w:pPr>
        <w:pStyle w:val="BodyText"/>
        <w:spacing w:line="218" w:lineRule="auto" w:before="96"/>
      </w:pPr>
      <w:r>
        <w:rPr>
          <w:color w:val="231F20"/>
        </w:rPr>
        <w:t>De vereffeningsinstelling of, in voorkomend geval, de erkende rekeninghouder wanneer artikel 6:38 wordt toegepast, stort deze interesten en kapitalen door aan de erkende rekeninghouders, overeen- komstig de bedragen aan gedematerialiseerde effecten die op de vervaldag geboekt staan op hun naam. Deze betalingen zijn bevrijdend voor de vereffeningsinstelling of, in voorkomend geval, voor  de erkende</w:t>
      </w:r>
      <w:r>
        <w:rPr>
          <w:color w:val="231F20"/>
          <w:spacing w:val="15"/>
        </w:rPr>
        <w:t> </w:t>
      </w:r>
      <w:r>
        <w:rPr>
          <w:color w:val="231F20"/>
        </w:rPr>
        <w:t>rekeninghouder</w:t>
      </w:r>
      <w:r>
        <w:rPr>
          <w:color w:val="231F20"/>
          <w:spacing w:val="15"/>
        </w:rPr>
        <w:t> </w:t>
      </w:r>
      <w:r>
        <w:rPr>
          <w:color w:val="231F20"/>
        </w:rPr>
        <w:t>wanneer</w:t>
      </w:r>
      <w:r>
        <w:rPr>
          <w:color w:val="231F20"/>
          <w:spacing w:val="15"/>
        </w:rPr>
        <w:t> </w:t>
      </w:r>
      <w:r>
        <w:rPr>
          <w:color w:val="231F20"/>
        </w:rPr>
        <w:t>artikel</w:t>
      </w:r>
      <w:r>
        <w:rPr>
          <w:color w:val="231F20"/>
          <w:spacing w:val="15"/>
        </w:rPr>
        <w:t> </w:t>
      </w:r>
      <w:r>
        <w:rPr>
          <w:color w:val="231F20"/>
        </w:rPr>
        <w:t>6:38</w:t>
      </w:r>
      <w:r>
        <w:rPr>
          <w:color w:val="231F20"/>
          <w:spacing w:val="14"/>
        </w:rPr>
        <w:t> </w:t>
      </w:r>
      <w:r>
        <w:rPr>
          <w:color w:val="231F20"/>
        </w:rPr>
        <w:t>wordt</w:t>
      </w:r>
      <w:r>
        <w:rPr>
          <w:color w:val="231F20"/>
          <w:spacing w:val="15"/>
        </w:rPr>
        <w:t> </w:t>
      </w:r>
      <w:r>
        <w:rPr>
          <w:color w:val="231F20"/>
        </w:rPr>
        <w:t>toegepast.</w:t>
      </w:r>
    </w:p>
    <w:p>
      <w:pPr>
        <w:pStyle w:val="BodyText"/>
        <w:spacing w:line="218" w:lineRule="auto" w:before="97"/>
      </w:pPr>
      <w:r>
        <w:rPr>
          <w:color w:val="231F20"/>
        </w:rPr>
        <w:t>Art. 6:35. Alle lidmaatschapsrechten van de eigenaars van gedema- terialiseerde effecten en alle rechten van verhaal in geval van faillisse- ment van de emittent ervan of in alle andere gevallen van samenloop tegen deze laatste worden uitgeoefend na voorlegging van een attest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4096" from="298.170502pt,64.473pt" to="298.170502pt,812.819pt" stroked="true" strokeweight=".533pt" strokecolor="#231f20">
            <v:stroke dashstyle="solid"/>
            <w10:wrap type="none"/>
          </v:line>
        </w:pict>
      </w:r>
      <w:bookmarkStart w:name="_bookmark128" w:id="133"/>
      <w:bookmarkEnd w:id="133"/>
      <w:r>
        <w:rPr/>
      </w:r>
      <w:r>
        <w:rPr>
          <w:color w:val="231F20"/>
        </w:rPr>
        <w:t>teneur de comptes agréé ou l’organisme de liquidation, certifiant le nombre de titres dématérialisés inscrits au nom du propriétaire ou de son intermédiaire à la date requise pour l’exercice de ces droits.</w:t>
      </w:r>
    </w:p>
    <w:p>
      <w:pPr>
        <w:pStyle w:val="BodyText"/>
        <w:spacing w:before="9"/>
        <w:ind w:left="0" w:right="0" w:firstLine="0"/>
        <w:jc w:val="left"/>
        <w:rPr>
          <w:sz w:val="25"/>
        </w:rPr>
      </w:pPr>
    </w:p>
    <w:p>
      <w:pPr>
        <w:pStyle w:val="BodyText"/>
        <w:spacing w:line="218" w:lineRule="auto"/>
        <w:ind w:right="38"/>
      </w:pPr>
      <w:r>
        <w:rPr>
          <w:color w:val="231F20"/>
        </w:rPr>
        <w:t>Art.</w:t>
      </w:r>
      <w:r>
        <w:rPr>
          <w:color w:val="231F20"/>
          <w:spacing w:val="-5"/>
        </w:rPr>
        <w:t> </w:t>
      </w:r>
      <w:r>
        <w:rPr>
          <w:color w:val="231F20"/>
        </w:rPr>
        <w:t>6:36.</w:t>
      </w:r>
      <w:r>
        <w:rPr>
          <w:color w:val="231F20"/>
          <w:spacing w:val="-10"/>
        </w:rPr>
        <w:t> </w:t>
      </w:r>
      <w:r>
        <w:rPr>
          <w:color w:val="231F20"/>
        </w:rPr>
        <w:t>Afin</w:t>
      </w:r>
      <w:r>
        <w:rPr>
          <w:color w:val="231F20"/>
          <w:spacing w:val="-5"/>
        </w:rPr>
        <w:t> </w:t>
      </w:r>
      <w:r>
        <w:rPr>
          <w:color w:val="231F20"/>
        </w:rPr>
        <w:t>de</w:t>
      </w:r>
      <w:r>
        <w:rPr>
          <w:color w:val="231F20"/>
          <w:spacing w:val="-4"/>
        </w:rPr>
        <w:t> </w:t>
      </w:r>
      <w:r>
        <w:rPr>
          <w:color w:val="231F20"/>
        </w:rPr>
        <w:t>pourvoir</w:t>
      </w:r>
      <w:r>
        <w:rPr>
          <w:color w:val="231F20"/>
          <w:spacing w:val="-5"/>
        </w:rPr>
        <w:t> </w:t>
      </w:r>
      <w:r>
        <w:rPr>
          <w:color w:val="231F20"/>
        </w:rPr>
        <w:t>à</w:t>
      </w:r>
      <w:r>
        <w:rPr>
          <w:color w:val="231F20"/>
          <w:spacing w:val="-5"/>
        </w:rPr>
        <w:t> </w:t>
      </w:r>
      <w:r>
        <w:rPr>
          <w:color w:val="231F20"/>
        </w:rPr>
        <w:t>l’exécution</w:t>
      </w:r>
      <w:r>
        <w:rPr>
          <w:color w:val="231F20"/>
          <w:spacing w:val="-5"/>
        </w:rPr>
        <w:t> </w:t>
      </w:r>
      <w:r>
        <w:rPr>
          <w:color w:val="231F20"/>
        </w:rPr>
        <w:t>des</w:t>
      </w:r>
      <w:r>
        <w:rPr>
          <w:color w:val="231F20"/>
          <w:spacing w:val="-4"/>
        </w:rPr>
        <w:t> </w:t>
      </w:r>
      <w:r>
        <w:rPr>
          <w:color w:val="231F20"/>
        </w:rPr>
        <w:t>articles</w:t>
      </w:r>
      <w:r>
        <w:rPr>
          <w:color w:val="231F20"/>
          <w:spacing w:val="-5"/>
        </w:rPr>
        <w:t> </w:t>
      </w:r>
      <w:r>
        <w:rPr>
          <w:color w:val="231F20"/>
        </w:rPr>
        <w:t>6:30</w:t>
      </w:r>
      <w:r>
        <w:rPr>
          <w:color w:val="231F20"/>
          <w:spacing w:val="-5"/>
        </w:rPr>
        <w:t> </w:t>
      </w:r>
      <w:r>
        <w:rPr>
          <w:color w:val="231F20"/>
        </w:rPr>
        <w:t>à</w:t>
      </w:r>
      <w:r>
        <w:rPr>
          <w:color w:val="231F20"/>
          <w:spacing w:val="-4"/>
        </w:rPr>
        <w:t> </w:t>
      </w:r>
      <w:r>
        <w:rPr>
          <w:color w:val="231F20"/>
        </w:rPr>
        <w:t>6:35,</w:t>
      </w:r>
      <w:r>
        <w:rPr>
          <w:color w:val="231F20"/>
          <w:spacing w:val="-5"/>
        </w:rPr>
        <w:t> </w:t>
      </w:r>
      <w:r>
        <w:rPr>
          <w:color w:val="231F20"/>
        </w:rPr>
        <w:t>le</w:t>
      </w:r>
      <w:r>
        <w:rPr>
          <w:color w:val="231F20"/>
          <w:spacing w:val="-5"/>
        </w:rPr>
        <w:t> </w:t>
      </w:r>
      <w:r>
        <w:rPr>
          <w:color w:val="231F20"/>
        </w:rPr>
        <w:t>Roi peut fixer les conditions de la tenue des comptes par les teneurs de comptes agréés, le mode de fonctionnement des comptes, la nature des certificats qui doivent être délivrés aux titulaires des comptes et les modalités de paiement par les teneurs de comptes agréés et l’organisme de</w:t>
      </w:r>
      <w:r>
        <w:rPr>
          <w:color w:val="231F20"/>
          <w:spacing w:val="15"/>
        </w:rPr>
        <w:t> </w:t>
      </w:r>
      <w:r>
        <w:rPr>
          <w:color w:val="231F20"/>
        </w:rPr>
        <w:t>liquidation</w:t>
      </w:r>
      <w:r>
        <w:rPr>
          <w:color w:val="231F20"/>
          <w:spacing w:val="15"/>
        </w:rPr>
        <w:t> </w:t>
      </w:r>
      <w:r>
        <w:rPr>
          <w:color w:val="231F20"/>
        </w:rPr>
        <w:t>des</w:t>
      </w:r>
      <w:r>
        <w:rPr>
          <w:color w:val="231F20"/>
          <w:spacing w:val="15"/>
        </w:rPr>
        <w:t> </w:t>
      </w:r>
      <w:r>
        <w:rPr>
          <w:color w:val="231F20"/>
        </w:rPr>
        <w:t>intérêts</w:t>
      </w:r>
      <w:r>
        <w:rPr>
          <w:color w:val="231F20"/>
          <w:spacing w:val="15"/>
        </w:rPr>
        <w:t> </w:t>
      </w:r>
      <w:r>
        <w:rPr>
          <w:color w:val="231F20"/>
        </w:rPr>
        <w:t>et</w:t>
      </w:r>
      <w:r>
        <w:rPr>
          <w:color w:val="231F20"/>
          <w:spacing w:val="16"/>
        </w:rPr>
        <w:t> </w:t>
      </w:r>
      <w:r>
        <w:rPr>
          <w:color w:val="231F20"/>
        </w:rPr>
        <w:t>capitaux</w:t>
      </w:r>
      <w:r>
        <w:rPr>
          <w:color w:val="231F20"/>
          <w:spacing w:val="15"/>
        </w:rPr>
        <w:t> </w:t>
      </w:r>
      <w:r>
        <w:rPr>
          <w:color w:val="231F20"/>
        </w:rPr>
        <w:t>échus.</w:t>
      </w:r>
    </w:p>
    <w:p>
      <w:pPr>
        <w:pStyle w:val="BodyText"/>
        <w:spacing w:before="9"/>
        <w:ind w:left="0" w:right="0" w:firstLine="0"/>
        <w:jc w:val="left"/>
        <w:rPr>
          <w:sz w:val="25"/>
        </w:rPr>
      </w:pPr>
    </w:p>
    <w:p>
      <w:pPr>
        <w:pStyle w:val="BodyText"/>
        <w:spacing w:line="218" w:lineRule="auto" w:before="1"/>
        <w:ind w:right="39"/>
      </w:pPr>
      <w:r>
        <w:rPr>
          <w:color w:val="231F20"/>
        </w:rPr>
        <w:t>Art. 6:37. Les articles 2279 et 2280 du Code civil sont applicables aux titres</w:t>
      </w:r>
      <w:r>
        <w:rPr>
          <w:color w:val="231F20"/>
          <w:spacing w:val="14"/>
        </w:rPr>
        <w:t> </w:t>
      </w:r>
      <w:r>
        <w:rPr>
          <w:color w:val="231F20"/>
        </w:rPr>
        <w:t>dématérialisés</w:t>
      </w:r>
      <w:r>
        <w:rPr>
          <w:color w:val="231F20"/>
          <w:spacing w:val="14"/>
        </w:rPr>
        <w:t> </w:t>
      </w:r>
      <w:r>
        <w:rPr>
          <w:color w:val="231F20"/>
        </w:rPr>
        <w:t>visés</w:t>
      </w:r>
      <w:r>
        <w:rPr>
          <w:color w:val="231F20"/>
          <w:spacing w:val="15"/>
        </w:rPr>
        <w:t> </w:t>
      </w:r>
      <w:r>
        <w:rPr>
          <w:color w:val="231F20"/>
        </w:rPr>
        <w:t>dans</w:t>
      </w:r>
      <w:r>
        <w:rPr>
          <w:color w:val="231F20"/>
          <w:spacing w:val="14"/>
        </w:rPr>
        <w:t> </w:t>
      </w:r>
      <w:r>
        <w:rPr>
          <w:color w:val="231F20"/>
        </w:rPr>
        <w:t>cette</w:t>
      </w:r>
      <w:r>
        <w:rPr>
          <w:color w:val="231F20"/>
          <w:spacing w:val="14"/>
        </w:rPr>
        <w:t> </w:t>
      </w:r>
      <w:r>
        <w:rPr>
          <w:color w:val="231F20"/>
        </w:rPr>
        <w:t>section.</w:t>
      </w:r>
    </w:p>
    <w:p>
      <w:pPr>
        <w:pStyle w:val="BodyText"/>
        <w:spacing w:before="9"/>
        <w:ind w:left="0" w:right="0" w:firstLine="0"/>
        <w:jc w:val="left"/>
        <w:rPr>
          <w:sz w:val="25"/>
        </w:rPr>
      </w:pPr>
    </w:p>
    <w:p>
      <w:pPr>
        <w:pStyle w:val="BodyText"/>
        <w:spacing w:line="218" w:lineRule="auto"/>
        <w:ind w:right="38"/>
      </w:pPr>
      <w:r>
        <w:rPr>
          <w:color w:val="231F20"/>
        </w:rPr>
        <w:t>Art. 6:38. Sauf pour les titres qui sont admis à la négociation sur un marché réglementé, les dispositions de cette section sont également applicables aux titres inscrits en compte auprès d’un teneur de comptes agréé qui ne sont pas maintenus par ce teneur de comptes auprès d’un organisme de liquidation ou auprès d’un établissement agissant comme intermédiaire à l’égard de cet organisme.</w:t>
      </w:r>
    </w:p>
    <w:p>
      <w:pPr>
        <w:pStyle w:val="BodyText"/>
        <w:spacing w:line="218" w:lineRule="auto" w:before="118"/>
        <w:ind w:right="38"/>
      </w:pPr>
      <w:r>
        <w:rPr>
          <w:color w:val="231F20"/>
        </w:rPr>
        <w:t>Le teneur de compte inscrit à son nom dans le registre des titres nominatifs les titres dématérialisés en circulation à tout moment, par émission de titres.</w:t>
      </w:r>
    </w:p>
    <w:p>
      <w:pPr>
        <w:pStyle w:val="BodyText"/>
        <w:spacing w:line="218" w:lineRule="auto" w:before="117"/>
        <w:ind w:right="38"/>
      </w:pPr>
      <w:r>
        <w:rPr>
          <w:color w:val="231F20"/>
        </w:rPr>
        <w:t>La totalité de l’encours d’une émission des titres dématérialisés d’un émetteur ne peut être inscrite dans le registre des titres nominatifs qu’au nom d’un seul teneur de compte.</w:t>
      </w:r>
    </w:p>
    <w:p>
      <w:pPr>
        <w:pStyle w:val="BodyText"/>
        <w:spacing w:line="218" w:lineRule="auto" w:before="118"/>
        <w:ind w:right="38"/>
      </w:pPr>
      <w:r>
        <w:rPr>
          <w:color w:val="231F20"/>
        </w:rPr>
        <w:t>L’inscription des titres en compte confère dans ce cas un droit de copropriété, de nature incorporelle, sur l’universalité des titres de la même émission inscrits au nom du teneur de compte dans le registre des titres nominatifs.</w:t>
      </w:r>
    </w:p>
    <w:p>
      <w:pPr>
        <w:pStyle w:val="BodyText"/>
        <w:spacing w:line="345" w:lineRule="auto" w:before="103"/>
        <w:ind w:left="283" w:right="1150" w:hanging="1"/>
        <w:jc w:val="left"/>
      </w:pPr>
      <w:r>
        <w:rPr>
          <w:color w:val="231F20"/>
        </w:rPr>
        <w:t>CHAPITRE 3. Des différentes catégories de titres. Section 1</w:t>
      </w:r>
      <w:r>
        <w:rPr>
          <w:color w:val="231F20"/>
          <w:position w:val="7"/>
          <w:sz w:val="11"/>
        </w:rPr>
        <w:t>re</w:t>
      </w:r>
      <w:r>
        <w:rPr>
          <w:color w:val="231F20"/>
        </w:rPr>
        <w:t>. Des actions.</w:t>
      </w:r>
    </w:p>
    <w:p>
      <w:pPr>
        <w:pStyle w:val="BodyText"/>
        <w:spacing w:line="218" w:lineRule="auto" w:before="29"/>
        <w:ind w:right="38"/>
      </w:pPr>
      <w:r>
        <w:rPr>
          <w:color w:val="231F20"/>
        </w:rPr>
        <w:t>Art. 6:39. La société doit émettre au moins trois actions avec droit de vote. Chaque action est émise en contrepartie d’un apport.</w:t>
      </w:r>
    </w:p>
    <w:p>
      <w:pPr>
        <w:pStyle w:val="BodyText"/>
        <w:spacing w:before="9"/>
        <w:ind w:left="0" w:right="0" w:firstLine="0"/>
        <w:jc w:val="left"/>
        <w:rPr>
          <w:sz w:val="25"/>
        </w:rPr>
      </w:pPr>
    </w:p>
    <w:p>
      <w:pPr>
        <w:pStyle w:val="BodyText"/>
        <w:spacing w:line="218" w:lineRule="auto"/>
        <w:ind w:right="38"/>
      </w:pPr>
      <w:r>
        <w:rPr>
          <w:color w:val="231F20"/>
        </w:rPr>
        <w:t>Art. 6:40. Chaque action participe au bénéfice ou au solde de liquidation. Sauf disposition statutaire contraire, chaque action donne droit à une part égale du bénéfice et du solde de liquidation.</w:t>
      </w:r>
    </w:p>
    <w:p>
      <w:pPr>
        <w:pStyle w:val="BodyText"/>
        <w:spacing w:line="218" w:lineRule="auto" w:before="118"/>
        <w:ind w:right="38"/>
      </w:pPr>
      <w:r>
        <w:rPr>
          <w:color w:val="231F20"/>
        </w:rPr>
        <w:t>Art. 6:41. Sauf disposition statutaire contraire, chaque action donne droit à une voix.</w:t>
      </w:r>
    </w:p>
    <w:p>
      <w:pPr>
        <w:pStyle w:val="BodyText"/>
        <w:spacing w:line="218" w:lineRule="auto" w:before="117"/>
        <w:ind w:right="38"/>
      </w:pPr>
      <w:r>
        <w:rPr>
          <w:color w:val="231F20"/>
        </w:rPr>
        <w:t>L’exercice du droit de vote afférent aux actions concernées est suspendu aussi longtemps que les versements régulièrement appelés et exigibles n’auront pas été effectués.</w:t>
      </w:r>
    </w:p>
    <w:p>
      <w:pPr>
        <w:pStyle w:val="BodyText"/>
        <w:spacing w:line="218" w:lineRule="auto" w:before="117"/>
        <w:ind w:right="38"/>
      </w:pPr>
      <w:r>
        <w:rPr>
          <w:color w:val="231F20"/>
        </w:rPr>
        <w:t>Art. 6:42. Les actions peuvent être divisées en coupures qui, réunies en nombre suffisant, confèrent les mêmes droits que l’action unitaire, sous réserve de ce qui est fixé à l’article 6:87.</w:t>
      </w:r>
    </w:p>
    <w:p>
      <w:pPr>
        <w:pStyle w:val="BodyText"/>
        <w:spacing w:line="218" w:lineRule="auto" w:before="118"/>
        <w:ind w:right="38"/>
      </w:pPr>
      <w:r>
        <w:rPr>
          <w:color w:val="231F20"/>
        </w:rPr>
        <w:t>Tout échange, regroupement ou scission d’actions a lieu aux condi- tions et selon les modalités fixées par les statuts, sans préjudice de l’article 6:20.</w:t>
      </w:r>
    </w:p>
    <w:p>
      <w:pPr>
        <w:pStyle w:val="BodyText"/>
        <w:spacing w:line="218" w:lineRule="auto" w:before="117"/>
        <w:ind w:right="38"/>
      </w:pPr>
      <w:r>
        <w:rPr>
          <w:color w:val="231F20"/>
        </w:rPr>
        <w:t>Art. 6:43. Est déposée avec les comptes annuels, conformément aux articles 3:10 et 3:12, une liste qui indique:</w:t>
      </w:r>
    </w:p>
    <w:p>
      <w:pPr>
        <w:pStyle w:val="BodyText"/>
        <w:spacing w:line="364" w:lineRule="auto" w:before="104"/>
        <w:ind w:left="283" w:right="2596" w:firstLine="0"/>
        <w:jc w:val="left"/>
      </w:pPr>
      <w:r>
        <w:rPr>
          <w:color w:val="231F20"/>
        </w:rPr>
        <w:t>1° le nombre d’actions souscrites; 2° les versements effectués;</w:t>
      </w:r>
    </w:p>
    <w:p>
      <w:pPr>
        <w:pStyle w:val="BodyText"/>
        <w:spacing w:line="218" w:lineRule="auto" w:before="13"/>
        <w:ind w:right="38"/>
      </w:pPr>
      <w:r>
        <w:rPr>
          <w:color w:val="231F20"/>
        </w:rPr>
        <w:t>3° la liste des actionnaires qui n’ont pas entièrement libéré leurs actions, avec la mention du montant dont ils sont encore redevables.</w:t>
      </w:r>
    </w:p>
    <w:p>
      <w:pPr>
        <w:pStyle w:val="BodyText"/>
        <w:spacing w:before="9"/>
        <w:ind w:left="0" w:right="0" w:firstLine="0"/>
        <w:jc w:val="left"/>
        <w:rPr>
          <w:sz w:val="25"/>
        </w:rPr>
      </w:pPr>
    </w:p>
    <w:p>
      <w:pPr>
        <w:pStyle w:val="BodyText"/>
        <w:spacing w:line="218" w:lineRule="auto"/>
        <w:ind w:right="38"/>
      </w:pPr>
      <w:r>
        <w:rPr>
          <w:color w:val="231F20"/>
        </w:rPr>
        <w:t>Art. 6:44. Les statuts peuvent limiter le nombre de voix dont chaque actionnaire</w:t>
      </w:r>
      <w:r>
        <w:rPr>
          <w:color w:val="231F20"/>
          <w:spacing w:val="-6"/>
        </w:rPr>
        <w:t> </w:t>
      </w:r>
      <w:r>
        <w:rPr>
          <w:color w:val="231F20"/>
        </w:rPr>
        <w:t>dispose</w:t>
      </w:r>
      <w:r>
        <w:rPr>
          <w:color w:val="231F20"/>
          <w:spacing w:val="-6"/>
        </w:rPr>
        <w:t> </w:t>
      </w:r>
      <w:r>
        <w:rPr>
          <w:color w:val="231F20"/>
        </w:rPr>
        <w:t>dans</w:t>
      </w:r>
      <w:r>
        <w:rPr>
          <w:color w:val="231F20"/>
          <w:spacing w:val="-5"/>
        </w:rPr>
        <w:t> </w:t>
      </w:r>
      <w:r>
        <w:rPr>
          <w:color w:val="231F20"/>
        </w:rPr>
        <w:t>les</w:t>
      </w:r>
      <w:r>
        <w:rPr>
          <w:color w:val="231F20"/>
          <w:spacing w:val="-6"/>
        </w:rPr>
        <w:t> </w:t>
      </w:r>
      <w:r>
        <w:rPr>
          <w:color w:val="231F20"/>
        </w:rPr>
        <w:t>assemblées,</w:t>
      </w:r>
      <w:r>
        <w:rPr>
          <w:color w:val="231F20"/>
          <w:spacing w:val="-6"/>
        </w:rPr>
        <w:t> </w:t>
      </w:r>
      <w:r>
        <w:rPr>
          <w:color w:val="231F20"/>
        </w:rPr>
        <w:t>à</w:t>
      </w:r>
      <w:r>
        <w:rPr>
          <w:color w:val="231F20"/>
          <w:spacing w:val="-5"/>
        </w:rPr>
        <w:t> </w:t>
      </w:r>
      <w:r>
        <w:rPr>
          <w:color w:val="231F20"/>
        </w:rPr>
        <w:t>condition</w:t>
      </w:r>
      <w:r>
        <w:rPr>
          <w:color w:val="231F20"/>
          <w:spacing w:val="-6"/>
        </w:rPr>
        <w:t> </w:t>
      </w:r>
      <w:r>
        <w:rPr>
          <w:color w:val="231F20"/>
        </w:rPr>
        <w:t>que</w:t>
      </w:r>
      <w:r>
        <w:rPr>
          <w:color w:val="231F20"/>
          <w:spacing w:val="-6"/>
        </w:rPr>
        <w:t> </w:t>
      </w:r>
      <w:r>
        <w:rPr>
          <w:color w:val="231F20"/>
        </w:rPr>
        <w:t>cette</w:t>
      </w:r>
      <w:r>
        <w:rPr>
          <w:color w:val="231F20"/>
          <w:spacing w:val="-5"/>
        </w:rPr>
        <w:t> </w:t>
      </w:r>
      <w:r>
        <w:rPr>
          <w:color w:val="231F20"/>
        </w:rPr>
        <w:t>limitation s’impose à tout actionnaire quels que soient les titres pour lesquels il prend part au vote, sans préjudice des droits speciaux attribués à un actionnaire,</w:t>
      </w:r>
      <w:r>
        <w:rPr>
          <w:color w:val="231F20"/>
          <w:spacing w:val="14"/>
        </w:rPr>
        <w:t> </w:t>
      </w:r>
      <w:r>
        <w:rPr>
          <w:color w:val="231F20"/>
        </w:rPr>
        <w:t>en</w:t>
      </w:r>
      <w:r>
        <w:rPr>
          <w:color w:val="231F20"/>
          <w:spacing w:val="14"/>
        </w:rPr>
        <w:t> </w:t>
      </w:r>
      <w:r>
        <w:rPr>
          <w:color w:val="231F20"/>
        </w:rPr>
        <w:t>tenant</w:t>
      </w:r>
      <w:r>
        <w:rPr>
          <w:color w:val="231F20"/>
          <w:spacing w:val="15"/>
        </w:rPr>
        <w:t> </w:t>
      </w:r>
      <w:r>
        <w:rPr>
          <w:color w:val="231F20"/>
        </w:rPr>
        <w:t>compte</w:t>
      </w:r>
      <w:r>
        <w:rPr>
          <w:color w:val="231F20"/>
          <w:spacing w:val="14"/>
        </w:rPr>
        <w:t> </w:t>
      </w:r>
      <w:r>
        <w:rPr>
          <w:color w:val="231F20"/>
        </w:rPr>
        <w:t>de</w:t>
      </w:r>
      <w:r>
        <w:rPr>
          <w:color w:val="231F20"/>
          <w:spacing w:val="15"/>
        </w:rPr>
        <w:t> </w:t>
      </w:r>
      <w:r>
        <w:rPr>
          <w:color w:val="231F20"/>
        </w:rPr>
        <w:t>sa</w:t>
      </w:r>
      <w:r>
        <w:rPr>
          <w:color w:val="231F20"/>
          <w:spacing w:val="14"/>
        </w:rPr>
        <w:t> </w:t>
      </w:r>
      <w:r>
        <w:rPr>
          <w:color w:val="231F20"/>
        </w:rPr>
        <w:t>qualité.</w:t>
      </w:r>
    </w:p>
    <w:p>
      <w:pPr>
        <w:pStyle w:val="BodyText"/>
        <w:ind w:left="0" w:right="0" w:firstLine="0"/>
        <w:jc w:val="left"/>
        <w:rPr>
          <w:sz w:val="20"/>
        </w:rPr>
      </w:pPr>
    </w:p>
    <w:p>
      <w:pPr>
        <w:pStyle w:val="BodyText"/>
        <w:ind w:left="0" w:right="0" w:firstLine="0"/>
        <w:jc w:val="left"/>
        <w:rPr>
          <w:sz w:val="20"/>
        </w:rPr>
      </w:pPr>
    </w:p>
    <w:p>
      <w:pPr>
        <w:pStyle w:val="BodyText"/>
        <w:spacing w:line="218" w:lineRule="auto"/>
        <w:ind w:right="38"/>
      </w:pPr>
      <w:r>
        <w:rPr>
          <w:color w:val="231F20"/>
        </w:rPr>
        <w:t>Art. 6:45. § 1</w:t>
      </w:r>
      <w:r>
        <w:rPr>
          <w:color w:val="231F20"/>
          <w:position w:val="7"/>
          <w:sz w:val="11"/>
        </w:rPr>
        <w:t>er</w:t>
      </w:r>
      <w:r>
        <w:rPr>
          <w:color w:val="231F20"/>
        </w:rPr>
        <w:t>. L’exercice du droit de vote peut faire l’objet de conventions.</w:t>
      </w:r>
    </w:p>
    <w:p>
      <w:pPr>
        <w:pStyle w:val="BodyText"/>
        <w:spacing w:line="218" w:lineRule="auto" w:before="117"/>
        <w:ind w:right="38"/>
      </w:pPr>
      <w:r>
        <w:rPr>
          <w:color w:val="231F20"/>
        </w:rPr>
        <w:t>Ces conventions doivent être limitées dans le temps et ne peuvent être contraires à l’intérêt</w:t>
      </w:r>
      <w:r>
        <w:rPr>
          <w:color w:val="231F20"/>
          <w:spacing w:val="16"/>
        </w:rPr>
        <w:t> </w:t>
      </w:r>
      <w:r>
        <w:rPr>
          <w:color w:val="231F20"/>
        </w:rPr>
        <w:t>social.</w:t>
      </w:r>
    </w:p>
    <w:p>
      <w:pPr>
        <w:pStyle w:val="BodyText"/>
        <w:spacing w:before="104"/>
        <w:ind w:left="283" w:right="0" w:firstLine="0"/>
        <w:jc w:val="left"/>
      </w:pPr>
      <w:r>
        <w:rPr>
          <w:color w:val="231F20"/>
        </w:rPr>
        <w:t>Sont nulles:</w:t>
      </w:r>
    </w:p>
    <w:p>
      <w:pPr>
        <w:pStyle w:val="BodyText"/>
        <w:spacing w:line="218" w:lineRule="auto" w:before="114"/>
        <w:ind w:right="38"/>
      </w:pPr>
      <w:r>
        <w:rPr>
          <w:color w:val="231F20"/>
        </w:rPr>
        <w:t>1° les conventions qui sont contraires aux dispositions du présent code;</w:t>
      </w:r>
    </w:p>
    <w:p>
      <w:pPr>
        <w:pStyle w:val="BodyText"/>
        <w:spacing w:line="218" w:lineRule="auto" w:before="119"/>
        <w:ind w:firstLine="0"/>
      </w:pPr>
      <w:r>
        <w:rPr/>
        <w:br w:type="column"/>
      </w:r>
      <w:r>
        <w:rPr>
          <w:color w:val="231F20"/>
        </w:rPr>
        <w:t>dat de erkende rekeninghouder of de vereffeningsinstelling opstelt, dat het aantal van de gedematerialiseerde effecten bevestigt dat op naam van de eigenaar of van de tussenpersoon is ingeschreven op de datum vereist voor de uitoefening van deze rechten.</w:t>
      </w:r>
    </w:p>
    <w:p>
      <w:pPr>
        <w:pStyle w:val="BodyText"/>
        <w:spacing w:line="218" w:lineRule="auto" w:before="118"/>
      </w:pPr>
      <w:r>
        <w:rPr>
          <w:color w:val="231F20"/>
        </w:rPr>
        <w:t>Art. 6:36. Met het oog op de uitvoering van de artikelen 6:30 tot</w:t>
      </w:r>
      <w:r>
        <w:rPr>
          <w:color w:val="231F20"/>
          <w:spacing w:val="-7"/>
        </w:rPr>
        <w:t> </w:t>
      </w:r>
      <w:r>
        <w:rPr>
          <w:color w:val="231F20"/>
        </w:rPr>
        <w:t>6:35, kan de Koning de voorwaarden bepalen waaronder de erkende rekeninghouders rekeningen houden, de werkingswijze van de</w:t>
      </w:r>
      <w:r>
        <w:rPr>
          <w:color w:val="231F20"/>
          <w:spacing w:val="21"/>
        </w:rPr>
        <w:t> </w:t>
      </w:r>
      <w:r>
        <w:rPr>
          <w:color w:val="231F20"/>
        </w:rPr>
        <w:t>reke- ningen, de aard van de certificaten die aan de houders van de rekeningen moeten worden afgegeven en de wijze van betaling van vervallen interesten en kapitalen door de erkende rekeninghouders en de</w:t>
      </w:r>
      <w:r>
        <w:rPr>
          <w:color w:val="231F20"/>
          <w:spacing w:val="15"/>
        </w:rPr>
        <w:t> </w:t>
      </w:r>
      <w:r>
        <w:rPr>
          <w:color w:val="231F20"/>
        </w:rPr>
        <w:t>vereffeningsinstelling.</w:t>
      </w:r>
    </w:p>
    <w:p>
      <w:pPr>
        <w:pStyle w:val="BodyText"/>
        <w:spacing w:line="218" w:lineRule="auto" w:before="118"/>
      </w:pPr>
      <w:r>
        <w:rPr>
          <w:color w:val="231F20"/>
        </w:rPr>
        <w:t>Art. 6:37. De artikelen 2279 en 2280 van het Burgerlijk Wetboek zijn van toepassing op de gedematerialiseerde effecten bedoeld in deze afdeling.</w:t>
      </w:r>
    </w:p>
    <w:p>
      <w:pPr>
        <w:pStyle w:val="BodyText"/>
        <w:spacing w:line="218" w:lineRule="auto" w:before="117"/>
      </w:pPr>
      <w:r>
        <w:rPr>
          <w:color w:val="231F20"/>
        </w:rPr>
        <w:t>Art. 6:38. Behalve voor effecten die worden toegelaten tot de verhandeling op een gerelementeerde markt, gelden de bepalingen van deze afdeling tevens voor effecten ingeschreven op een rekening bij een erkende rekeninghouder die die rekeninghouder niet bijhoudt bij een vereffeningsinstelling of bij een onderneming die ten opzichte van die instelling als tussenpersoon optreedt.</w:t>
      </w:r>
    </w:p>
    <w:p>
      <w:pPr>
        <w:pStyle w:val="BodyText"/>
        <w:spacing w:line="218" w:lineRule="auto" w:before="118"/>
      </w:pPr>
      <w:r>
        <w:rPr>
          <w:color w:val="231F20"/>
        </w:rPr>
        <w:t>De rekeninghouder schrijft de op elk ogenblik in omloop zijnde gedematerialiseerde effecten, per uitgifte van effecten, in op zijn naam in het register van de effecten op naam.</w:t>
      </w:r>
    </w:p>
    <w:p>
      <w:pPr>
        <w:pStyle w:val="BodyText"/>
        <w:spacing w:line="218" w:lineRule="auto" w:before="118"/>
      </w:pPr>
      <w:r>
        <w:rPr>
          <w:color w:val="231F20"/>
        </w:rPr>
        <w:t>De gehele omloop van een uitgifte van gedematerialiseerde effecten van een emittent kan slechts op naam van één rekeninghouder in het register van de effecten op naam worden ingeschreven.</w:t>
      </w:r>
    </w:p>
    <w:p>
      <w:pPr>
        <w:pStyle w:val="BodyText"/>
        <w:spacing w:line="218" w:lineRule="auto" w:before="117"/>
      </w:pPr>
      <w:r>
        <w:rPr>
          <w:color w:val="231F20"/>
        </w:rPr>
        <w:t>De boeking op rekening van effecten vestigt in dat geval een onlichamelijk recht van mede-eigendom op de algemeenheid van effecten van dezelfde uitgifte die op naam van de rekeninghouder zijn ingeschreven in het register van effecten op naam.</w:t>
      </w:r>
    </w:p>
    <w:p>
      <w:pPr>
        <w:pStyle w:val="BodyText"/>
        <w:spacing w:line="364" w:lineRule="auto" w:before="104"/>
        <w:ind w:left="283" w:right="1535" w:hanging="1"/>
        <w:jc w:val="left"/>
      </w:pPr>
      <w:r>
        <w:rPr>
          <w:color w:val="231F20"/>
        </w:rPr>
        <w:t>HOOFDSTUK 3. Categorieën van effecten. Afdeling 1. Aandelen.</w:t>
      </w:r>
    </w:p>
    <w:p>
      <w:pPr>
        <w:pStyle w:val="BodyText"/>
        <w:spacing w:line="218" w:lineRule="auto" w:before="13"/>
      </w:pPr>
      <w:r>
        <w:rPr>
          <w:color w:val="231F20"/>
        </w:rPr>
        <w:t>Art. 6:39. De vennootschap moet minstens drie aandelen uitgeven met stemrecht. Een aandeel kan slechts worden uitgegeven in ruil voor een inbreng.</w:t>
      </w:r>
    </w:p>
    <w:p>
      <w:pPr>
        <w:pStyle w:val="BodyText"/>
        <w:spacing w:line="218" w:lineRule="auto" w:before="117"/>
      </w:pPr>
      <w:r>
        <w:rPr>
          <w:color w:val="231F20"/>
        </w:rPr>
        <w:t>Art. 6:40. Elk aandeel deelt in de winst of het vereffeningssaldo. Tenzij de statuten anders bepalen, geeft elk aandeel recht op een gelijk aandeel in de winst en van het vereffeningssaldo.</w:t>
      </w:r>
    </w:p>
    <w:p>
      <w:pPr>
        <w:pStyle w:val="BodyText"/>
        <w:spacing w:line="218" w:lineRule="auto" w:before="118"/>
      </w:pPr>
      <w:r>
        <w:rPr>
          <w:color w:val="231F20"/>
        </w:rPr>
        <w:t>Art. 6:41. Tenzij de statuten anders bepalen is aan elk aandeel één stem verbonden.</w:t>
      </w:r>
    </w:p>
    <w:p>
      <w:pPr>
        <w:pStyle w:val="BodyText"/>
        <w:spacing w:line="218" w:lineRule="auto" w:before="117"/>
      </w:pPr>
      <w:r>
        <w:rPr>
          <w:color w:val="231F20"/>
        </w:rPr>
        <w:t>Zolang de behoorlijk opgevraagde en opeisbare stortingen niet zijn gedaan, wordt de uitoefening van het stemrecht verbonden aan de aandelen waarop die stortingen niet zijn geschied, geschorst.</w:t>
      </w:r>
    </w:p>
    <w:p>
      <w:pPr>
        <w:pStyle w:val="BodyText"/>
        <w:spacing w:line="218" w:lineRule="auto" w:before="118"/>
      </w:pPr>
      <w:r>
        <w:rPr>
          <w:color w:val="231F20"/>
        </w:rPr>
        <w:t>Art. 6:42. De aandelen kunnen worden gesplitst in onderaandelen die, in voldoende aantal verenigd, dezelfde rechten geven als het enkelvoudige aandeel, behoudens het bepaalde in artikel 6:87.</w:t>
      </w:r>
    </w:p>
    <w:p>
      <w:pPr>
        <w:pStyle w:val="BodyText"/>
        <w:spacing w:line="218" w:lineRule="auto" w:before="117"/>
      </w:pPr>
      <w:r>
        <w:rPr>
          <w:color w:val="231F20"/>
        </w:rPr>
        <w:t>Elke ruil, hergroepering of splitsing van aandelen vindt plaats volgens de voorwaarden en de modaliteiten die in de statuten zijn bepaald, onverminderd artikel</w:t>
      </w:r>
      <w:r>
        <w:rPr>
          <w:color w:val="231F20"/>
          <w:spacing w:val="2"/>
        </w:rPr>
        <w:t> </w:t>
      </w:r>
      <w:r>
        <w:rPr>
          <w:color w:val="231F20"/>
        </w:rPr>
        <w:t>6:20.</w:t>
      </w:r>
    </w:p>
    <w:p>
      <w:pPr>
        <w:pStyle w:val="BodyText"/>
        <w:spacing w:line="218" w:lineRule="auto" w:before="118"/>
      </w:pPr>
      <w:r>
        <w:rPr>
          <w:color w:val="231F20"/>
        </w:rPr>
        <w:t>Art. 6:43. Met de jaarrekening wordt een lijst neergelegd, overeen- komstig de artikelen 3:10 en 3:12, met opgave van:</w:t>
      </w:r>
    </w:p>
    <w:p>
      <w:pPr>
        <w:pStyle w:val="BodyText"/>
        <w:spacing w:line="364" w:lineRule="auto" w:before="103"/>
        <w:ind w:left="283" w:right="2675" w:hanging="1"/>
        <w:jc w:val="left"/>
      </w:pPr>
      <w:r>
        <w:rPr>
          <w:color w:val="231F20"/>
        </w:rPr>
        <w:t>1° het aantal geplaatste aandelen; 2° de gedane stortingen;</w:t>
      </w:r>
    </w:p>
    <w:p>
      <w:pPr>
        <w:pStyle w:val="BodyText"/>
        <w:spacing w:line="218" w:lineRule="auto" w:before="13"/>
      </w:pPr>
      <w:r>
        <w:rPr>
          <w:color w:val="231F20"/>
        </w:rPr>
        <w:t>3° de lijst van de aandeelhouders die hun aandelen niet hebben volgestort, met vermelding van het bedrag dat zij nog zijn verschul- digd.</w:t>
      </w:r>
    </w:p>
    <w:p>
      <w:pPr>
        <w:pStyle w:val="BodyText"/>
        <w:spacing w:line="218" w:lineRule="auto" w:before="118"/>
      </w:pPr>
      <w:r>
        <w:rPr>
          <w:color w:val="231F20"/>
        </w:rPr>
        <w:t>Art. 6:44. De statuten kunnen het aantal stemmen waarover iedere aandeelhouder in de vergaderingen beschikt, beperken, op voorwaarde dat die beperking verplicht van toepassing is op iedere aandeelhouder zonder onderscheid van het effect waarmee hij aan de stemming deelneemt, onverminderd de bijzondere rechten die in voorkomend geval worden toegekend aan een aandeelhouder rekening  houdend  met zijn</w:t>
      </w:r>
      <w:r>
        <w:rPr>
          <w:color w:val="231F20"/>
          <w:spacing w:val="-11"/>
        </w:rPr>
        <w:t> </w:t>
      </w:r>
      <w:r>
        <w:rPr>
          <w:color w:val="231F20"/>
        </w:rPr>
        <w:t>hoedanigheid.</w:t>
      </w:r>
    </w:p>
    <w:p>
      <w:pPr>
        <w:pStyle w:val="BodyText"/>
        <w:spacing w:line="218" w:lineRule="auto" w:before="118"/>
      </w:pPr>
      <w:r>
        <w:rPr>
          <w:color w:val="231F20"/>
        </w:rPr>
        <w:t>Art. 6:45. § 1. Overeenkomsten kunnen de uitoefening van het stemrecht regelen.</w:t>
      </w:r>
    </w:p>
    <w:p>
      <w:pPr>
        <w:pStyle w:val="BodyText"/>
        <w:spacing w:line="218" w:lineRule="auto" w:before="117"/>
      </w:pPr>
      <w:r>
        <w:rPr>
          <w:color w:val="231F20"/>
        </w:rPr>
        <w:t>Deze overeenkomsten moeten in de tijd beperkt zijn en mogen niet strijdig zijn met het belang van de vennootschap.</w:t>
      </w:r>
    </w:p>
    <w:p>
      <w:pPr>
        <w:pStyle w:val="BodyText"/>
        <w:spacing w:before="103"/>
        <w:ind w:left="283" w:right="0" w:firstLine="0"/>
        <w:jc w:val="left"/>
      </w:pPr>
      <w:r>
        <w:rPr>
          <w:color w:val="231F20"/>
        </w:rPr>
        <w:t>Zijn nietig:</w:t>
      </w:r>
    </w:p>
    <w:p>
      <w:pPr>
        <w:pStyle w:val="BodyText"/>
        <w:spacing w:line="218" w:lineRule="auto" w:before="114"/>
      </w:pPr>
      <w:r>
        <w:rPr>
          <w:color w:val="231F20"/>
        </w:rPr>
        <w:t>1° overeenkomsten die strijdig zijn met de bepalingen van dit wetboek;</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4120" from="298.170502pt,64.473pt" to="298.170502pt,812.819pt" stroked="true" strokeweight=".533pt" strokecolor="#231f20">
            <v:stroke dashstyle="solid"/>
            <w10:wrap type="none"/>
          </v:line>
        </w:pict>
      </w:r>
      <w:bookmarkStart w:name="_bookmark129" w:id="134"/>
      <w:bookmarkEnd w:id="134"/>
      <w:r>
        <w:rPr/>
      </w:r>
      <w:r>
        <w:rPr>
          <w:color w:val="231F20"/>
        </w:rPr>
        <w:t>2° les conventions par lesquelles un actionnaire s’engage à voter conformément aux directives données par la société, par une filiale ou encore par l’un des organes de ces sociétés;</w:t>
      </w:r>
    </w:p>
    <w:p>
      <w:pPr>
        <w:pStyle w:val="BodyText"/>
        <w:spacing w:before="10"/>
        <w:ind w:left="0" w:right="0" w:firstLine="0"/>
        <w:jc w:val="left"/>
        <w:rPr>
          <w:sz w:val="25"/>
        </w:rPr>
      </w:pPr>
    </w:p>
    <w:p>
      <w:pPr>
        <w:pStyle w:val="BodyText"/>
        <w:spacing w:line="218" w:lineRule="auto"/>
        <w:ind w:right="38"/>
      </w:pPr>
      <w:r>
        <w:rPr>
          <w:color w:val="231F20"/>
        </w:rPr>
        <w:t>3° les conventions par lesquelles un actionnaire ou un autre titulaire de titres s’engage envers les mêmes sociétés ou les mêmes organes à approuver les propositions émanant des organes de la société.</w:t>
      </w:r>
    </w:p>
    <w:p>
      <w:pPr>
        <w:pStyle w:val="BodyText"/>
        <w:spacing w:before="1"/>
        <w:ind w:left="0" w:right="0" w:firstLine="0"/>
        <w:jc w:val="left"/>
        <w:rPr>
          <w:sz w:val="26"/>
        </w:rPr>
      </w:pPr>
    </w:p>
    <w:p>
      <w:pPr>
        <w:pStyle w:val="BodyText"/>
        <w:spacing w:line="213" w:lineRule="auto"/>
        <w:ind w:right="38"/>
      </w:pPr>
      <w:r>
        <w:rPr>
          <w:color w:val="231F20"/>
        </w:rPr>
        <w:t>§ 2. Les votes émis en assemblée générale en vertu des conventions visées au paragraphe 1</w:t>
      </w:r>
      <w:r>
        <w:rPr>
          <w:color w:val="231F20"/>
          <w:position w:val="7"/>
          <w:sz w:val="11"/>
        </w:rPr>
        <w:t>er</w:t>
      </w:r>
      <w:r>
        <w:rPr>
          <w:color w:val="231F20"/>
        </w:rPr>
        <w:t>, alinéa 3, sont nuls. Ces votes entraînent la nullité des décisions prises à moins qu’ils n’aient eu aucune incidence sur la validité du vote intervenu.</w:t>
      </w:r>
    </w:p>
    <w:p>
      <w:pPr>
        <w:pStyle w:val="BodyText"/>
        <w:spacing w:before="4"/>
        <w:ind w:left="0" w:right="0" w:firstLine="0"/>
        <w:jc w:val="left"/>
        <w:rPr>
          <w:sz w:val="24"/>
        </w:rPr>
      </w:pPr>
    </w:p>
    <w:p>
      <w:pPr>
        <w:pStyle w:val="BodyText"/>
        <w:ind w:left="283" w:right="0" w:firstLine="0"/>
        <w:jc w:val="left"/>
      </w:pPr>
      <w:r>
        <w:rPr>
          <w:color w:val="231F20"/>
        </w:rPr>
        <w:t>Section 2. Des classes d’actions.</w:t>
      </w:r>
    </w:p>
    <w:p>
      <w:pPr>
        <w:pStyle w:val="BodyText"/>
        <w:spacing w:line="218" w:lineRule="auto" w:before="114"/>
        <w:ind w:right="38"/>
      </w:pPr>
      <w:r>
        <w:rPr>
          <w:color w:val="231F20"/>
        </w:rPr>
        <w:t>Art. 6:46. Lorsqu’il est attaché à une action ou à une série d’actions d’autres droits que ceux attachés à d’autres actions émises par la même société, chacune de ces séries constitue une classe à l’égard des autres séries d’actions. Les actions avec des droits de vote différents consti- tuent toujours des classes distinctes.</w:t>
      </w:r>
    </w:p>
    <w:p>
      <w:pPr>
        <w:pStyle w:val="BodyText"/>
        <w:spacing w:line="218" w:lineRule="auto" w:before="118"/>
        <w:ind w:right="38"/>
      </w:pPr>
      <w:r>
        <w:rPr>
          <w:color w:val="231F20"/>
        </w:rPr>
        <w:t>Les droits spécifiques attribués à un actionnaire sur base de ses qualités sans qu’ils se rapportent à des actions spécifiques ne donnent pas lieu à la constitution d’une classe séparée.</w:t>
      </w:r>
    </w:p>
    <w:p>
      <w:pPr>
        <w:pStyle w:val="BodyText"/>
        <w:spacing w:before="103"/>
        <w:ind w:left="283" w:right="0" w:firstLine="0"/>
        <w:jc w:val="left"/>
      </w:pPr>
      <w:r>
        <w:rPr>
          <w:color w:val="231F20"/>
        </w:rPr>
        <w:t>Section 3. Des obligations.</w:t>
      </w:r>
    </w:p>
    <w:p>
      <w:pPr>
        <w:pStyle w:val="BodyText"/>
        <w:spacing w:line="218" w:lineRule="auto" w:before="114"/>
        <w:ind w:right="38"/>
      </w:pPr>
      <w:r>
        <w:rPr>
          <w:color w:val="231F20"/>
        </w:rPr>
        <w:t>Art. 6:47. La société coopérative peut contracter des emprunts sous</w:t>
      </w:r>
      <w:r>
        <w:rPr>
          <w:color w:val="231F20"/>
          <w:spacing w:val="-17"/>
        </w:rPr>
        <w:t> </w:t>
      </w:r>
      <w:r>
        <w:rPr>
          <w:color w:val="231F20"/>
        </w:rPr>
        <w:t>la forme d’émission d’obligations. Les obligations peuvent être émises pour</w:t>
      </w:r>
      <w:r>
        <w:rPr>
          <w:color w:val="231F20"/>
          <w:spacing w:val="15"/>
        </w:rPr>
        <w:t> </w:t>
      </w:r>
      <w:r>
        <w:rPr>
          <w:color w:val="231F20"/>
        </w:rPr>
        <w:t>une</w:t>
      </w:r>
      <w:r>
        <w:rPr>
          <w:color w:val="231F20"/>
          <w:spacing w:val="15"/>
        </w:rPr>
        <w:t> </w:t>
      </w:r>
      <w:r>
        <w:rPr>
          <w:color w:val="231F20"/>
        </w:rPr>
        <w:t>durée</w:t>
      </w:r>
      <w:r>
        <w:rPr>
          <w:color w:val="231F20"/>
          <w:spacing w:val="16"/>
        </w:rPr>
        <w:t> </w:t>
      </w:r>
      <w:r>
        <w:rPr>
          <w:color w:val="231F20"/>
        </w:rPr>
        <w:t>déterminée</w:t>
      </w:r>
      <w:r>
        <w:rPr>
          <w:color w:val="231F20"/>
          <w:spacing w:val="15"/>
        </w:rPr>
        <w:t> </w:t>
      </w:r>
      <w:r>
        <w:rPr>
          <w:color w:val="231F20"/>
        </w:rPr>
        <w:t>ou</w:t>
      </w:r>
      <w:r>
        <w:rPr>
          <w:color w:val="231F20"/>
          <w:spacing w:val="16"/>
        </w:rPr>
        <w:t> </w:t>
      </w:r>
      <w:r>
        <w:rPr>
          <w:color w:val="231F20"/>
        </w:rPr>
        <w:t>à</w:t>
      </w:r>
      <w:r>
        <w:rPr>
          <w:color w:val="231F20"/>
          <w:spacing w:val="15"/>
        </w:rPr>
        <w:t> </w:t>
      </w:r>
      <w:r>
        <w:rPr>
          <w:color w:val="231F20"/>
        </w:rPr>
        <w:t>titre</w:t>
      </w:r>
      <w:r>
        <w:rPr>
          <w:color w:val="231F20"/>
          <w:spacing w:val="15"/>
        </w:rPr>
        <w:t> </w:t>
      </w:r>
      <w:r>
        <w:rPr>
          <w:color w:val="231F20"/>
        </w:rPr>
        <w:t>perpétuel.</w:t>
      </w:r>
    </w:p>
    <w:p>
      <w:pPr>
        <w:pStyle w:val="BodyText"/>
        <w:spacing w:before="6"/>
        <w:ind w:left="0" w:right="0" w:firstLine="0"/>
        <w:jc w:val="left"/>
        <w:rPr>
          <w:sz w:val="24"/>
        </w:rPr>
      </w:pPr>
    </w:p>
    <w:p>
      <w:pPr>
        <w:pStyle w:val="BodyText"/>
        <w:spacing w:line="218" w:lineRule="auto"/>
        <w:ind w:right="38"/>
      </w:pPr>
      <w:r>
        <w:rPr>
          <w:color w:val="231F20"/>
        </w:rPr>
        <w:t>Art. 6:48. § 1</w:t>
      </w:r>
      <w:r>
        <w:rPr>
          <w:color w:val="231F20"/>
          <w:position w:val="7"/>
          <w:sz w:val="11"/>
        </w:rPr>
        <w:t>er</w:t>
      </w:r>
      <w:r>
        <w:rPr>
          <w:color w:val="231F20"/>
        </w:rPr>
        <w:t>. Les conditions d’émission ou l’assemblée générale des obligataires peuvent désigner un ou plusieurs représentants des obligataires faisant partie de la même émission ou du même pro- gramme d’émission. Dans les limites des articles 1984 à 2010 du Code civil, ces représentants peuvent engager tous les obligataires de cette émission ou de ce programme d’émission à l’égard de tiers. Ils peuvent notamment représenter les obligataires dans les procédures d’insolva- bilité, en cas de saisie ou dans tout autre cas de concours, dans lequel ils interviennent au nom et pour le compte des obligataires, mais sans divulguer l’identité de</w:t>
      </w:r>
      <w:r>
        <w:rPr>
          <w:color w:val="231F20"/>
          <w:spacing w:val="6"/>
        </w:rPr>
        <w:t> </w:t>
      </w:r>
      <w:r>
        <w:rPr>
          <w:color w:val="231F20"/>
        </w:rPr>
        <w:t>ceux-ci.</w:t>
      </w:r>
    </w:p>
    <w:p>
      <w:pPr>
        <w:pStyle w:val="BodyText"/>
        <w:spacing w:before="9"/>
        <w:ind w:left="0" w:right="0" w:firstLine="0"/>
        <w:jc w:val="left"/>
        <w:rPr>
          <w:sz w:val="25"/>
        </w:rPr>
      </w:pPr>
    </w:p>
    <w:p>
      <w:pPr>
        <w:pStyle w:val="BodyText"/>
        <w:spacing w:line="218" w:lineRule="auto" w:before="1"/>
        <w:ind w:right="38"/>
      </w:pPr>
      <w:r>
        <w:rPr>
          <w:color w:val="231F20"/>
        </w:rPr>
        <w:t>§ 2. Les conditions d’émission ou l’assemblée générale des obligatai- res peuvent prévoir en outre que ce représentant intervient également en son nom propre, mais pour le compte des obligataires, en tant que bénéficiaire de privilèges ou sûretés constitués en garantie de l’emprunt obligataire.</w:t>
      </w:r>
    </w:p>
    <w:p>
      <w:pPr>
        <w:pStyle w:val="BodyText"/>
        <w:spacing w:line="218" w:lineRule="auto" w:before="128"/>
        <w:ind w:right="38"/>
      </w:pPr>
      <w:r>
        <w:rPr>
          <w:color w:val="231F20"/>
        </w:rPr>
        <w:t>Les représentants peuvent exercer tous les pouvoirs des obligataires pour le compte desquels ils agissent. La représentation et les actes accomplis par le représentant peuvent être opposés aux tiers, y compris aux créanciers des représentants. Tous les droits qui découlent de la représentation, y compris les sûretés, font partie du patrimoine des obligataires.</w:t>
      </w:r>
    </w:p>
    <w:p>
      <w:pPr>
        <w:pStyle w:val="BodyText"/>
        <w:spacing w:before="9"/>
        <w:ind w:left="0" w:right="0" w:firstLine="0"/>
        <w:jc w:val="left"/>
        <w:rPr>
          <w:sz w:val="26"/>
        </w:rPr>
      </w:pPr>
    </w:p>
    <w:p>
      <w:pPr>
        <w:pStyle w:val="BodyText"/>
        <w:spacing w:line="218" w:lineRule="auto"/>
        <w:ind w:right="38"/>
      </w:pPr>
      <w:r>
        <w:rPr>
          <w:color w:val="231F20"/>
        </w:rPr>
        <w:t>§ 3. La désignation et les pouvoirs du représentant sont définis dans les conditions d’émission ou par l’assemblée générale des obligataires qui délibère et décide conformément à l’article 6:100. La preuve de son pouvoir peut être établie par la seule présentation d’un texte des conditions d’émission signé par un représentant de la société ou d’une copie du procès-verbal de l’assemblée générale, conformément à l’article 6:102.</w:t>
      </w:r>
    </w:p>
    <w:p>
      <w:pPr>
        <w:pStyle w:val="BodyText"/>
        <w:spacing w:before="9"/>
        <w:ind w:left="0" w:right="0" w:firstLine="0"/>
        <w:jc w:val="left"/>
        <w:rPr>
          <w:sz w:val="26"/>
        </w:rPr>
      </w:pPr>
    </w:p>
    <w:p>
      <w:pPr>
        <w:pStyle w:val="BodyText"/>
        <w:spacing w:line="218" w:lineRule="auto"/>
        <w:ind w:right="38"/>
      </w:pPr>
      <w:r>
        <w:rPr>
          <w:color w:val="231F20"/>
        </w:rPr>
        <w:t>L’assemblée générale des obligataires peut révoquer à tout moment le représentant, à condition qu’elle désigne en même temps un ou plusieurs nouveaux représentants. L’assemblée générale délibère et décide conformément à l’article</w:t>
      </w:r>
      <w:r>
        <w:rPr>
          <w:color w:val="231F20"/>
          <w:spacing w:val="15"/>
        </w:rPr>
        <w:t> </w:t>
      </w:r>
      <w:r>
        <w:rPr>
          <w:color w:val="231F20"/>
        </w:rPr>
        <w:t>6:100.</w:t>
      </w:r>
    </w:p>
    <w:p>
      <w:pPr>
        <w:pStyle w:val="BodyText"/>
        <w:spacing w:line="218" w:lineRule="auto" w:before="128"/>
        <w:ind w:right="38"/>
      </w:pPr>
      <w:r>
        <w:rPr>
          <w:color w:val="231F20"/>
        </w:rPr>
        <w:t>Le représentant exerce ses pouvoirs dans l’intérêt exclusif des obligataires et doit leur rendre compte selon les règles établies dans les conditions d’émission ou dans la décision de désignation.</w:t>
      </w:r>
    </w:p>
    <w:p>
      <w:pPr>
        <w:pStyle w:val="BodyText"/>
        <w:spacing w:before="8"/>
        <w:ind w:left="0" w:right="0" w:firstLine="0"/>
        <w:jc w:val="left"/>
        <w:rPr>
          <w:sz w:val="26"/>
        </w:rPr>
      </w:pPr>
    </w:p>
    <w:p>
      <w:pPr>
        <w:pStyle w:val="BodyText"/>
        <w:spacing w:line="218" w:lineRule="auto" w:before="1"/>
        <w:ind w:right="38"/>
      </w:pPr>
      <w:r>
        <w:rPr>
          <w:color w:val="231F20"/>
        </w:rPr>
        <w:t>Art.</w:t>
      </w:r>
      <w:r>
        <w:rPr>
          <w:color w:val="231F20"/>
          <w:spacing w:val="-6"/>
        </w:rPr>
        <w:t> </w:t>
      </w:r>
      <w:r>
        <w:rPr>
          <w:color w:val="231F20"/>
        </w:rPr>
        <w:t>6:49.</w:t>
      </w:r>
      <w:r>
        <w:rPr>
          <w:color w:val="231F20"/>
          <w:spacing w:val="-6"/>
        </w:rPr>
        <w:t> </w:t>
      </w:r>
      <w:r>
        <w:rPr>
          <w:color w:val="231F20"/>
        </w:rPr>
        <w:t>La</w:t>
      </w:r>
      <w:r>
        <w:rPr>
          <w:color w:val="231F20"/>
          <w:spacing w:val="-6"/>
        </w:rPr>
        <w:t> </w:t>
      </w:r>
      <w:r>
        <w:rPr>
          <w:color w:val="231F20"/>
        </w:rPr>
        <w:t>condition</w:t>
      </w:r>
      <w:r>
        <w:rPr>
          <w:color w:val="231F20"/>
          <w:spacing w:val="-5"/>
        </w:rPr>
        <w:t> </w:t>
      </w:r>
      <w:r>
        <w:rPr>
          <w:color w:val="231F20"/>
        </w:rPr>
        <w:t>résolutoire</w:t>
      </w:r>
      <w:r>
        <w:rPr>
          <w:color w:val="231F20"/>
          <w:spacing w:val="-6"/>
        </w:rPr>
        <w:t> </w:t>
      </w:r>
      <w:r>
        <w:rPr>
          <w:color w:val="231F20"/>
        </w:rPr>
        <w:t>est</w:t>
      </w:r>
      <w:r>
        <w:rPr>
          <w:color w:val="231F20"/>
          <w:spacing w:val="-6"/>
        </w:rPr>
        <w:t> </w:t>
      </w:r>
      <w:r>
        <w:rPr>
          <w:color w:val="231F20"/>
        </w:rPr>
        <w:t>toujours</w:t>
      </w:r>
      <w:r>
        <w:rPr>
          <w:color w:val="231F20"/>
          <w:spacing w:val="-5"/>
        </w:rPr>
        <w:t> </w:t>
      </w:r>
      <w:r>
        <w:rPr>
          <w:color w:val="231F20"/>
        </w:rPr>
        <w:t>sous-entendue,</w:t>
      </w:r>
      <w:r>
        <w:rPr>
          <w:color w:val="231F20"/>
          <w:spacing w:val="-6"/>
        </w:rPr>
        <w:t> </w:t>
      </w:r>
      <w:r>
        <w:rPr>
          <w:color w:val="231F20"/>
        </w:rPr>
        <w:t>dans</w:t>
      </w:r>
      <w:r>
        <w:rPr>
          <w:color w:val="231F20"/>
          <w:spacing w:val="-6"/>
        </w:rPr>
        <w:t> </w:t>
      </w:r>
      <w:r>
        <w:rPr>
          <w:color w:val="231F20"/>
        </w:rPr>
        <w:t>le contrat de prêt réalisé sous la forme d’émission d’obligations, pour le cas</w:t>
      </w:r>
      <w:r>
        <w:rPr>
          <w:color w:val="231F20"/>
          <w:spacing w:val="16"/>
        </w:rPr>
        <w:t> </w:t>
      </w:r>
      <w:r>
        <w:rPr>
          <w:color w:val="231F20"/>
        </w:rPr>
        <w:t>où</w:t>
      </w:r>
      <w:r>
        <w:rPr>
          <w:color w:val="231F20"/>
          <w:spacing w:val="17"/>
        </w:rPr>
        <w:t> </w:t>
      </w:r>
      <w:r>
        <w:rPr>
          <w:color w:val="231F20"/>
        </w:rPr>
        <w:t>l’une</w:t>
      </w:r>
      <w:r>
        <w:rPr>
          <w:color w:val="231F20"/>
          <w:spacing w:val="17"/>
        </w:rPr>
        <w:t> </w:t>
      </w:r>
      <w:r>
        <w:rPr>
          <w:color w:val="231F20"/>
        </w:rPr>
        <w:t>des</w:t>
      </w:r>
      <w:r>
        <w:rPr>
          <w:color w:val="231F20"/>
          <w:spacing w:val="16"/>
        </w:rPr>
        <w:t> </w:t>
      </w:r>
      <w:r>
        <w:rPr>
          <w:color w:val="231F20"/>
        </w:rPr>
        <w:t>deux</w:t>
      </w:r>
      <w:r>
        <w:rPr>
          <w:color w:val="231F20"/>
          <w:spacing w:val="17"/>
        </w:rPr>
        <w:t> </w:t>
      </w:r>
      <w:r>
        <w:rPr>
          <w:color w:val="231F20"/>
        </w:rPr>
        <w:t>parties</w:t>
      </w:r>
      <w:r>
        <w:rPr>
          <w:color w:val="231F20"/>
          <w:spacing w:val="17"/>
        </w:rPr>
        <w:t> </w:t>
      </w:r>
      <w:r>
        <w:rPr>
          <w:color w:val="231F20"/>
        </w:rPr>
        <w:t>ne</w:t>
      </w:r>
      <w:r>
        <w:rPr>
          <w:color w:val="231F20"/>
          <w:spacing w:val="17"/>
        </w:rPr>
        <w:t> </w:t>
      </w:r>
      <w:r>
        <w:rPr>
          <w:color w:val="231F20"/>
        </w:rPr>
        <w:t>satisferait</w:t>
      </w:r>
      <w:r>
        <w:rPr>
          <w:color w:val="231F20"/>
          <w:spacing w:val="16"/>
        </w:rPr>
        <w:t> </w:t>
      </w:r>
      <w:r>
        <w:rPr>
          <w:color w:val="231F20"/>
        </w:rPr>
        <w:t>pas</w:t>
      </w:r>
      <w:r>
        <w:rPr>
          <w:color w:val="231F20"/>
          <w:spacing w:val="17"/>
        </w:rPr>
        <w:t> </w:t>
      </w:r>
      <w:r>
        <w:rPr>
          <w:color w:val="231F20"/>
        </w:rPr>
        <w:t>à</w:t>
      </w:r>
      <w:r>
        <w:rPr>
          <w:color w:val="231F20"/>
          <w:spacing w:val="17"/>
        </w:rPr>
        <w:t> </w:t>
      </w:r>
      <w:r>
        <w:rPr>
          <w:color w:val="231F20"/>
        </w:rPr>
        <w:t>son</w:t>
      </w:r>
      <w:r>
        <w:rPr>
          <w:color w:val="231F20"/>
          <w:spacing w:val="16"/>
        </w:rPr>
        <w:t> </w:t>
      </w:r>
      <w:r>
        <w:rPr>
          <w:color w:val="231F20"/>
        </w:rPr>
        <w:t>engagement.</w:t>
      </w:r>
    </w:p>
    <w:p>
      <w:pPr>
        <w:pStyle w:val="BodyText"/>
        <w:spacing w:before="8"/>
        <w:ind w:left="0" w:right="0" w:firstLine="0"/>
        <w:jc w:val="left"/>
        <w:rPr>
          <w:sz w:val="26"/>
        </w:rPr>
      </w:pPr>
    </w:p>
    <w:p>
      <w:pPr>
        <w:pStyle w:val="BodyText"/>
        <w:spacing w:line="218" w:lineRule="auto"/>
        <w:ind w:right="38"/>
      </w:pPr>
      <w:r>
        <w:rPr>
          <w:color w:val="231F20"/>
        </w:rPr>
        <w:t>Dans ce cas, le contrat n’est pas résolu de plein droit. La partie envers laquelle l’engagement n’a pas été exécuté a le choix de forcer l’autre à l’exécution de la convention lorsqu’elle est possible, ou d’en demander la résolution avec dommages-intérêts.</w:t>
      </w:r>
    </w:p>
    <w:p>
      <w:pPr>
        <w:pStyle w:val="BodyText"/>
        <w:spacing w:line="218" w:lineRule="auto" w:before="119"/>
      </w:pPr>
      <w:r>
        <w:rPr/>
        <w:br w:type="column"/>
      </w:r>
      <w:r>
        <w:rPr>
          <w:color w:val="231F20"/>
        </w:rPr>
        <w:t>2° overeenkomsten waarbij een aandeelhouder zich ertoe verbindt te stemmen overeenkomstig de richtlijnen van de vennootschap, van een dochtervennootschap of nog van één van de organen van die vennoot- schappen;</w:t>
      </w:r>
    </w:p>
    <w:p>
      <w:pPr>
        <w:pStyle w:val="BodyText"/>
        <w:spacing w:line="218" w:lineRule="auto" w:before="118"/>
      </w:pPr>
      <w:r>
        <w:rPr>
          <w:color w:val="231F20"/>
        </w:rPr>
        <w:t>3° overeenkomsten waarbij een aandeelhouder of een andere effec- tenhouder zich tegenover diezelfde vennootschappen of diezelfde organen verbindt om de voorstellen van de organen van de vennoot- schap goed te keuren.</w:t>
      </w:r>
    </w:p>
    <w:p>
      <w:pPr>
        <w:pStyle w:val="BodyText"/>
        <w:spacing w:line="218" w:lineRule="auto" w:before="118"/>
      </w:pPr>
      <w:r>
        <w:rPr>
          <w:color w:val="231F20"/>
        </w:rPr>
        <w:t>§ 2. Stemmen uitgebracht tijdens een algemene vergadering op grond van overeenkomsten bedoeld in paragraaf 1, derde lid, zijn nietig. Die stemmen brengen de nietigheid mee van de genomen beslissingen, tenzij zij geen enkele invloed hebben gehad op de geldigheid van de gehouden stemming.</w:t>
      </w:r>
    </w:p>
    <w:p>
      <w:pPr>
        <w:pStyle w:val="BodyText"/>
        <w:spacing w:before="103"/>
        <w:ind w:left="283" w:right="0" w:firstLine="0"/>
        <w:jc w:val="left"/>
      </w:pPr>
      <w:r>
        <w:rPr>
          <w:color w:val="231F20"/>
        </w:rPr>
        <w:t>Afdeling 2. Soorten van aandelen.</w:t>
      </w:r>
    </w:p>
    <w:p>
      <w:pPr>
        <w:pStyle w:val="BodyText"/>
        <w:spacing w:line="218" w:lineRule="auto" w:before="114"/>
      </w:pPr>
      <w:r>
        <w:rPr>
          <w:color w:val="231F20"/>
        </w:rPr>
        <w:t>Art. 6:46. Wanneer aan één of een reeks aandelen andere rechten zijn verbonden dan aan andere aandelen uitgegeven door dezelfde ven- nootschap, dan maakt elk van dergelijke reeksen een soort uit ten opzichte van de andere reeksen van aandelen. Aandelen met verschil- lend stemrecht vormen steeds aparte soorten.</w:t>
      </w:r>
    </w:p>
    <w:p>
      <w:pPr>
        <w:pStyle w:val="BodyText"/>
        <w:spacing w:line="218" w:lineRule="auto" w:before="118"/>
      </w:pPr>
      <w:r>
        <w:rPr>
          <w:color w:val="231F20"/>
        </w:rPr>
        <w:t>De specifieke rechten die aan een aandeelhouder toekomen op grond van een bepaalde hoedanigheid zonder dat zij betrekking hebben op specifieke aandelen geven geen aanleiding tot soortvorming.</w:t>
      </w:r>
    </w:p>
    <w:p>
      <w:pPr>
        <w:pStyle w:val="BodyText"/>
        <w:spacing w:before="104"/>
        <w:ind w:left="283" w:right="0" w:firstLine="0"/>
        <w:jc w:val="left"/>
      </w:pPr>
      <w:r>
        <w:rPr>
          <w:color w:val="231F20"/>
        </w:rPr>
        <w:t>Afdeling 3. Obligaties.</w:t>
      </w:r>
    </w:p>
    <w:p>
      <w:pPr>
        <w:pStyle w:val="BodyText"/>
        <w:spacing w:line="218" w:lineRule="auto" w:before="114"/>
      </w:pPr>
      <w:r>
        <w:rPr>
          <w:color w:val="231F20"/>
        </w:rPr>
        <w:t>Art. 6:47. De coöperatieve vennootschap kan een overeenkomst van lening aangaan in de vorm van uitgifte van obligaties. Obligaties kunnen voor een bepaalde termijn of eeuwigdurend worden uitgege- ven.</w:t>
      </w:r>
    </w:p>
    <w:p>
      <w:pPr>
        <w:pStyle w:val="BodyText"/>
        <w:spacing w:line="218" w:lineRule="auto" w:before="117"/>
        <w:ind w:right="125"/>
      </w:pPr>
      <w:r>
        <w:rPr>
          <w:color w:val="231F20"/>
        </w:rPr>
        <w:t>Art. 6:48. § 1. De uitgiftevoorwaarden of de algemene vergadering van obligatiehouders kunnen één of meer vertegenwoordigers aanstel- len van de obligatiehouders die deel uitmaken van dezelfde uitgifte of van hetzelfde uitgifteprogramma. Binnen de grenzen van  de  artike- len 1984 tot 2010 van het Burgerlijk </w:t>
      </w:r>
      <w:r>
        <w:rPr>
          <w:color w:val="231F20"/>
          <w:spacing w:val="-3"/>
        </w:rPr>
        <w:t>Wetboek </w:t>
      </w:r>
      <w:r>
        <w:rPr>
          <w:color w:val="231F20"/>
        </w:rPr>
        <w:t>kunnen deze vertegen- woordigers alle obligatiehouders van deze uitgifte of van dit uitgifte- programma verbinden jegens derden. Zij kunnen onder meer de obligatiehouders </w:t>
      </w:r>
      <w:r>
        <w:rPr>
          <w:color w:val="231F20"/>
          <w:spacing w:val="-3"/>
        </w:rPr>
        <w:t>vertegenwoordigen </w:t>
      </w:r>
      <w:r>
        <w:rPr>
          <w:color w:val="231F20"/>
        </w:rPr>
        <w:t>in </w:t>
      </w:r>
      <w:r>
        <w:rPr>
          <w:color w:val="231F20"/>
          <w:spacing w:val="-3"/>
        </w:rPr>
        <w:t>insolventieprocedures, </w:t>
      </w:r>
      <w:r>
        <w:rPr>
          <w:color w:val="231F20"/>
        </w:rPr>
        <w:t>bij </w:t>
      </w:r>
      <w:r>
        <w:rPr>
          <w:color w:val="231F20"/>
          <w:spacing w:val="-2"/>
        </w:rPr>
        <w:t>beslag </w:t>
      </w:r>
      <w:r>
        <w:rPr>
          <w:color w:val="231F20"/>
        </w:rPr>
        <w:t>of in enig ander geval van samenloop, waarbij zij optreden in naam en voor rekening van de obligatiehouders maar zonder de identiteit van deze laatste bekend te</w:t>
      </w:r>
      <w:r>
        <w:rPr>
          <w:color w:val="231F20"/>
          <w:spacing w:val="19"/>
        </w:rPr>
        <w:t> </w:t>
      </w:r>
      <w:r>
        <w:rPr>
          <w:color w:val="231F20"/>
        </w:rPr>
        <w:t>maken.</w:t>
      </w:r>
    </w:p>
    <w:p>
      <w:pPr>
        <w:pStyle w:val="BodyText"/>
        <w:spacing w:line="218" w:lineRule="auto" w:before="118"/>
      </w:pPr>
      <w:r>
        <w:rPr>
          <w:color w:val="231F20"/>
        </w:rPr>
        <w:t>§ 2. Bovendien kunnen de uitgiftevoorwaarden of de algemene vergadering van obligatiehouders bepalen dat deze vertegenwoordiger tevens optreedt, in eigen naam, maar voor rekening van de obligatie- houders als begunstigde van voorrechten of zekerheden gevestigd tot waarborg van de obligatielening.</w:t>
      </w:r>
    </w:p>
    <w:p>
      <w:pPr>
        <w:pStyle w:val="BodyText"/>
        <w:spacing w:line="218" w:lineRule="auto" w:before="129"/>
        <w:ind w:right="125"/>
      </w:pPr>
      <w:r>
        <w:rPr>
          <w:color w:val="231F20"/>
        </w:rPr>
        <w:t>De vertegenwoordigers kunnen alle bevoegdheden  uitoefenen  van de obligatiehouders voor wier rekening zij optreden. De vertegenwoor- diging en de door de vertegenwoordiger verrichte handelingen kunnen worden tegengeworpen aan derden, met inbegrip van de schuldeisers van de vertegenwoordigers. Alle rechten die uit de vertegenwoordiging voortvloeien, met inbegrip van de zekerheden, behoren tot het vermogen van de</w:t>
      </w:r>
      <w:r>
        <w:rPr>
          <w:color w:val="231F20"/>
          <w:spacing w:val="6"/>
        </w:rPr>
        <w:t> </w:t>
      </w:r>
      <w:r>
        <w:rPr>
          <w:color w:val="231F20"/>
        </w:rPr>
        <w:t>obligatiehouders.</w:t>
      </w:r>
    </w:p>
    <w:p>
      <w:pPr>
        <w:pStyle w:val="BodyText"/>
        <w:spacing w:line="218" w:lineRule="auto" w:before="128"/>
      </w:pPr>
      <w:r>
        <w:rPr>
          <w:color w:val="231F20"/>
        </w:rPr>
        <w:t>§ 3. De aanstelling en de bevoegdheden van de vertegenwoordiger worden vastgesteld in de uitgiftevoorwaarden of door de algemene vergadering van de obligatiehouders die beraadslaagt en besluit overeenkomstig artikel 6:100. Het bewijs van zijn bevoegdheid kan worden geleverd door de enkele voorlegging van een door een vertegenwoordiger van de vennootschap getekende tekst van de uitgiftevoorwaarden of van een kopie van de notulen van de algemene vergadering overeenkomstig artikel 6:102.</w:t>
      </w:r>
    </w:p>
    <w:p>
      <w:pPr>
        <w:pStyle w:val="BodyText"/>
        <w:spacing w:line="218" w:lineRule="auto" w:before="129"/>
        <w:ind w:right="122"/>
      </w:pPr>
      <w:r>
        <w:rPr>
          <w:color w:val="231F20"/>
        </w:rPr>
        <w:t>De algemene vergadering van obligatiehouders kan de vertegenwoor- diger te allen tijde herroepen, op voorwaarde dat zij tegelijkertijd één of meer nieuwe vertegenwoordigers aanstelt. De algemene vergadering beraadslaagt en besluit overeenkomstig artikel 6:100.</w:t>
      </w:r>
    </w:p>
    <w:p>
      <w:pPr>
        <w:pStyle w:val="BodyText"/>
        <w:spacing w:line="218" w:lineRule="auto" w:before="128"/>
      </w:pPr>
      <w:r>
        <w:rPr>
          <w:color w:val="231F20"/>
        </w:rPr>
        <w:t>De vertegenwoordiger oefent zijn bevoegdheid uit in het uitsluitend belang van de obligatiehouders en is hen rekenschap verschuldigd volgens de regels bepaald in de uitgiftevoorwaarden of in het aanstellingsbesluit.</w:t>
      </w:r>
    </w:p>
    <w:p>
      <w:pPr>
        <w:pStyle w:val="BodyText"/>
        <w:spacing w:line="218" w:lineRule="auto" w:before="128"/>
      </w:pPr>
      <w:r>
        <w:rPr>
          <w:color w:val="231F20"/>
        </w:rPr>
        <w:t>Art. 6:49. In de overeenkomst van lening, aangegaan in de vorm van uitgifte van obligaties, is de ontbindende voorwaarde altijd stilzwij- gend begrepen, voor het geval dat een van beide partijen haar verbintenis niet nakomt.</w:t>
      </w:r>
    </w:p>
    <w:p>
      <w:pPr>
        <w:pStyle w:val="BodyText"/>
        <w:spacing w:line="218" w:lineRule="auto" w:before="128"/>
      </w:pPr>
      <w:r>
        <w:rPr>
          <w:color w:val="231F20"/>
        </w:rPr>
        <w:t>In dat geval is de overeenkomst niet van rechtswege ontbonden. De partij jegens wie de verbintenis niet is uitgevoerd, heeft de keus om de andere partij te verplichten de overeenkomst uit te voeren, wanneer de uitvoering mogelijk is, of de ontbinding van de overeenkomst te vorderen met schadevergoeding.</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4144" from="298.170502pt,64.473pt" to="298.170502pt,812.819pt" stroked="true" strokeweight=".533pt" strokecolor="#231f20">
            <v:stroke dashstyle="solid"/>
            <w10:wrap type="none"/>
          </v:line>
        </w:pict>
      </w:r>
      <w:bookmarkStart w:name="_bookmark130" w:id="135"/>
      <w:bookmarkEnd w:id="135"/>
      <w:r>
        <w:rPr/>
      </w:r>
      <w:r>
        <w:rPr>
          <w:color w:val="231F20"/>
        </w:rPr>
        <w:t>La résolution doit être demandée en justice, et il peut être accordé au défendeur un délai selon les circonstances.</w:t>
      </w:r>
    </w:p>
    <w:p>
      <w:pPr>
        <w:pStyle w:val="BodyText"/>
        <w:spacing w:before="8"/>
        <w:ind w:left="0" w:right="0" w:firstLine="0"/>
        <w:jc w:val="left"/>
        <w:rPr>
          <w:sz w:val="21"/>
        </w:rPr>
      </w:pPr>
    </w:p>
    <w:p>
      <w:pPr>
        <w:pStyle w:val="BodyText"/>
        <w:spacing w:line="304" w:lineRule="auto" w:before="1"/>
        <w:ind w:left="283" w:right="2109" w:firstLine="0"/>
        <w:jc w:val="left"/>
      </w:pPr>
      <w:r>
        <w:rPr>
          <w:color w:val="231F20"/>
        </w:rPr>
        <w:t>CHAPITRE 4. Du transfert de titres. Section 1</w:t>
      </w:r>
      <w:r>
        <w:rPr>
          <w:color w:val="231F20"/>
          <w:position w:val="7"/>
          <w:sz w:val="11"/>
        </w:rPr>
        <w:t>re</w:t>
      </w:r>
      <w:r>
        <w:rPr>
          <w:color w:val="231F20"/>
        </w:rPr>
        <w:t>. Dispositions générales.</w:t>
      </w:r>
    </w:p>
    <w:p>
      <w:pPr>
        <w:pStyle w:val="BodyText"/>
        <w:spacing w:line="218" w:lineRule="auto" w:before="30"/>
        <w:ind w:right="38"/>
      </w:pPr>
      <w:r>
        <w:rPr>
          <w:color w:val="231F20"/>
        </w:rPr>
        <w:t>Art. 6:50. Le transfert de titres s’opère selon les règles du droit commun.</w:t>
      </w:r>
    </w:p>
    <w:p>
      <w:pPr>
        <w:pStyle w:val="BodyText"/>
        <w:spacing w:line="218" w:lineRule="auto" w:before="85"/>
        <w:ind w:right="38"/>
      </w:pPr>
      <w:r>
        <w:rPr>
          <w:color w:val="231F20"/>
        </w:rPr>
        <w:t>Un transfert de titres nominatifs n’est opposable à la société et aux tiers que par une déclaration de transfert inscrite dans le registre relatif à ces titres, datée et signée par le cédant et le cessionnaire ou par leurs mandataires en cas de cession entre vifs, et par un membre de l’organe d’administration et les bénéficiaires ou leurs mandataires en cas de transmission à cause de mort.</w:t>
      </w:r>
    </w:p>
    <w:p>
      <w:pPr>
        <w:pStyle w:val="BodyText"/>
        <w:ind w:left="0" w:right="0" w:firstLine="0"/>
        <w:jc w:val="left"/>
        <w:rPr>
          <w:sz w:val="23"/>
        </w:rPr>
      </w:pPr>
    </w:p>
    <w:p>
      <w:pPr>
        <w:pStyle w:val="BodyText"/>
        <w:spacing w:line="218" w:lineRule="auto" w:before="1"/>
        <w:ind w:right="38"/>
      </w:pPr>
      <w:r>
        <w:rPr>
          <w:color w:val="231F20"/>
        </w:rPr>
        <w:t>L’organe d’administration peut reconnaître et inscrire un transfert dans le registre sur la base de pièces qui établissent l’accord du cédant et du cessionnaire.</w:t>
      </w:r>
    </w:p>
    <w:p>
      <w:pPr>
        <w:pStyle w:val="BodyText"/>
        <w:spacing w:line="218" w:lineRule="auto" w:before="85"/>
        <w:ind w:right="38"/>
      </w:pPr>
      <w:r>
        <w:rPr>
          <w:color w:val="231F20"/>
        </w:rPr>
        <w:t>Si le registre est tenu sous forme électronique, la déclaration de cession peut adopter une forme électronique et être signée par un ensemble de données électroniques pouvant être imputé à une personne déterminée et établissant le maintien de l’intégrité du</w:t>
      </w:r>
      <w:r>
        <w:rPr>
          <w:color w:val="231F20"/>
          <w:spacing w:val="-29"/>
        </w:rPr>
        <w:t> </w:t>
      </w:r>
      <w:r>
        <w:rPr>
          <w:color w:val="231F20"/>
        </w:rPr>
        <w:t>contenu de</w:t>
      </w:r>
      <w:r>
        <w:rPr>
          <w:color w:val="231F20"/>
          <w:spacing w:val="15"/>
        </w:rPr>
        <w:t> </w:t>
      </w:r>
      <w:r>
        <w:rPr>
          <w:color w:val="231F20"/>
        </w:rPr>
        <w:t>l’acte.</w:t>
      </w:r>
    </w:p>
    <w:p>
      <w:pPr>
        <w:pStyle w:val="BodyText"/>
        <w:spacing w:line="218" w:lineRule="auto" w:before="86"/>
        <w:ind w:right="38"/>
      </w:pPr>
      <w:r>
        <w:rPr>
          <w:color w:val="231F20"/>
        </w:rPr>
        <w:t>Art. 6:51. Un transfert d’un titre dématérialisé n’est opposable à la société et aux tiers que par l’inscription d’un compte-titres à l’autre.</w:t>
      </w:r>
    </w:p>
    <w:p>
      <w:pPr>
        <w:pStyle w:val="BodyText"/>
        <w:ind w:left="0" w:right="0" w:firstLine="0"/>
        <w:jc w:val="left"/>
        <w:rPr>
          <w:sz w:val="20"/>
        </w:rPr>
      </w:pPr>
    </w:p>
    <w:p>
      <w:pPr>
        <w:pStyle w:val="BodyText"/>
        <w:spacing w:before="2"/>
        <w:ind w:left="0" w:right="0" w:firstLine="0"/>
        <w:jc w:val="left"/>
      </w:pPr>
    </w:p>
    <w:p>
      <w:pPr>
        <w:pStyle w:val="BodyText"/>
        <w:spacing w:before="1"/>
        <w:ind w:left="283" w:right="0" w:firstLine="0"/>
        <w:jc w:val="left"/>
      </w:pPr>
      <w:r>
        <w:rPr>
          <w:color w:val="231F20"/>
        </w:rPr>
        <w:t>Section 2. Du transfert des actions.</w:t>
      </w:r>
    </w:p>
    <w:p>
      <w:pPr>
        <w:pStyle w:val="BodyText"/>
        <w:spacing w:line="218" w:lineRule="auto" w:before="82"/>
        <w:ind w:right="38"/>
      </w:pPr>
      <w:r>
        <w:rPr>
          <w:color w:val="231F20"/>
        </w:rPr>
        <w:t>Art. 6:52. Sauf disposition statutaire contraire, les actions sont librement cessibles aux actionnaires, le cas échéant dans les conditions prévues par les statuts.</w:t>
      </w:r>
    </w:p>
    <w:p>
      <w:pPr>
        <w:pStyle w:val="BodyText"/>
        <w:spacing w:line="218" w:lineRule="auto" w:before="85"/>
        <w:ind w:right="38"/>
      </w:pPr>
      <w:r>
        <w:rPr>
          <w:color w:val="231F20"/>
        </w:rPr>
        <w:t>Art. 6:53. Une société coopérative ne peut directement ou par une filiale ou des personnes agissant en leur nom propre mais pour le compe de la société ou de sa filiale, pas acquérir ses propres actions par voie</w:t>
      </w:r>
      <w:r>
        <w:rPr>
          <w:color w:val="231F20"/>
          <w:spacing w:val="16"/>
        </w:rPr>
        <w:t> </w:t>
      </w:r>
      <w:r>
        <w:rPr>
          <w:color w:val="231F20"/>
        </w:rPr>
        <w:t>d’achat</w:t>
      </w:r>
      <w:r>
        <w:rPr>
          <w:color w:val="231F20"/>
          <w:spacing w:val="17"/>
        </w:rPr>
        <w:t> </w:t>
      </w:r>
      <w:r>
        <w:rPr>
          <w:color w:val="231F20"/>
        </w:rPr>
        <w:t>ou</w:t>
      </w:r>
      <w:r>
        <w:rPr>
          <w:color w:val="231F20"/>
          <w:spacing w:val="17"/>
        </w:rPr>
        <w:t> </w:t>
      </w:r>
      <w:r>
        <w:rPr>
          <w:color w:val="231F20"/>
        </w:rPr>
        <w:t>d‘échange,</w:t>
      </w:r>
      <w:r>
        <w:rPr>
          <w:color w:val="231F20"/>
          <w:spacing w:val="16"/>
        </w:rPr>
        <w:t> </w:t>
      </w:r>
      <w:r>
        <w:rPr>
          <w:color w:val="231F20"/>
        </w:rPr>
        <w:t>ou</w:t>
      </w:r>
      <w:r>
        <w:rPr>
          <w:color w:val="231F20"/>
          <w:spacing w:val="17"/>
        </w:rPr>
        <w:t> </w:t>
      </w:r>
      <w:r>
        <w:rPr>
          <w:color w:val="231F20"/>
        </w:rPr>
        <w:t>les</w:t>
      </w:r>
      <w:r>
        <w:rPr>
          <w:color w:val="231F20"/>
          <w:spacing w:val="17"/>
        </w:rPr>
        <w:t> </w:t>
      </w:r>
      <w:r>
        <w:rPr>
          <w:color w:val="231F20"/>
        </w:rPr>
        <w:t>prendre</w:t>
      </w:r>
      <w:r>
        <w:rPr>
          <w:color w:val="231F20"/>
          <w:spacing w:val="16"/>
        </w:rPr>
        <w:t> </w:t>
      </w:r>
      <w:r>
        <w:rPr>
          <w:color w:val="231F20"/>
        </w:rPr>
        <w:t>en</w:t>
      </w:r>
      <w:r>
        <w:rPr>
          <w:color w:val="231F20"/>
          <w:spacing w:val="17"/>
        </w:rPr>
        <w:t> </w:t>
      </w:r>
      <w:r>
        <w:rPr>
          <w:color w:val="231F20"/>
        </w:rPr>
        <w:t>gage.</w:t>
      </w:r>
    </w:p>
    <w:p>
      <w:pPr>
        <w:pStyle w:val="BodyText"/>
        <w:spacing w:line="218" w:lineRule="auto" w:before="71"/>
        <w:ind w:right="38"/>
      </w:pPr>
      <w:r>
        <w:rPr>
          <w:color w:val="231F20"/>
        </w:rPr>
        <w:t>L’alinéa 1</w:t>
      </w:r>
      <w:r>
        <w:rPr>
          <w:color w:val="231F20"/>
          <w:position w:val="7"/>
          <w:sz w:val="11"/>
        </w:rPr>
        <w:t>er </w:t>
      </w:r>
      <w:r>
        <w:rPr>
          <w:color w:val="231F20"/>
        </w:rPr>
        <w:t>n’est pas applicable à l’acquisition ou la prise en gage d’actions par une société qui, en sa qualité d’opérateur professionnel sur</w:t>
      </w:r>
      <w:r>
        <w:rPr>
          <w:color w:val="231F20"/>
          <w:spacing w:val="14"/>
        </w:rPr>
        <w:t> </w:t>
      </w:r>
      <w:r>
        <w:rPr>
          <w:color w:val="231F20"/>
        </w:rPr>
        <w:t>titres,</w:t>
      </w:r>
      <w:r>
        <w:rPr>
          <w:color w:val="231F20"/>
          <w:spacing w:val="14"/>
        </w:rPr>
        <w:t> </w:t>
      </w:r>
      <w:r>
        <w:rPr>
          <w:color w:val="231F20"/>
        </w:rPr>
        <w:t>est</w:t>
      </w:r>
      <w:r>
        <w:rPr>
          <w:color w:val="231F20"/>
          <w:spacing w:val="14"/>
        </w:rPr>
        <w:t> </w:t>
      </w:r>
      <w:r>
        <w:rPr>
          <w:color w:val="231F20"/>
        </w:rPr>
        <w:t>une</w:t>
      </w:r>
      <w:r>
        <w:rPr>
          <w:color w:val="231F20"/>
          <w:spacing w:val="14"/>
        </w:rPr>
        <w:t> </w:t>
      </w:r>
      <w:r>
        <w:rPr>
          <w:color w:val="231F20"/>
        </w:rPr>
        <w:t>société</w:t>
      </w:r>
      <w:r>
        <w:rPr>
          <w:color w:val="231F20"/>
          <w:spacing w:val="14"/>
        </w:rPr>
        <w:t> </w:t>
      </w:r>
      <w:r>
        <w:rPr>
          <w:color w:val="231F20"/>
        </w:rPr>
        <w:t>de</w:t>
      </w:r>
      <w:r>
        <w:rPr>
          <w:color w:val="231F20"/>
          <w:spacing w:val="14"/>
        </w:rPr>
        <w:t> </w:t>
      </w:r>
      <w:r>
        <w:rPr>
          <w:color w:val="231F20"/>
        </w:rPr>
        <w:t>bourse</w:t>
      </w:r>
      <w:r>
        <w:rPr>
          <w:color w:val="231F20"/>
          <w:spacing w:val="14"/>
        </w:rPr>
        <w:t> </w:t>
      </w:r>
      <w:r>
        <w:rPr>
          <w:color w:val="231F20"/>
        </w:rPr>
        <w:t>ou</w:t>
      </w:r>
      <w:r>
        <w:rPr>
          <w:color w:val="231F20"/>
          <w:spacing w:val="14"/>
        </w:rPr>
        <w:t> </w:t>
      </w:r>
      <w:r>
        <w:rPr>
          <w:color w:val="231F20"/>
        </w:rPr>
        <w:t>un</w:t>
      </w:r>
      <w:r>
        <w:rPr>
          <w:color w:val="231F20"/>
          <w:spacing w:val="14"/>
        </w:rPr>
        <w:t> </w:t>
      </w:r>
      <w:r>
        <w:rPr>
          <w:color w:val="231F20"/>
        </w:rPr>
        <w:t>établissement</w:t>
      </w:r>
      <w:r>
        <w:rPr>
          <w:color w:val="231F20"/>
          <w:spacing w:val="14"/>
        </w:rPr>
        <w:t> </w:t>
      </w:r>
      <w:r>
        <w:rPr>
          <w:color w:val="231F20"/>
        </w:rPr>
        <w:t>de</w:t>
      </w:r>
      <w:r>
        <w:rPr>
          <w:color w:val="231F20"/>
          <w:spacing w:val="14"/>
        </w:rPr>
        <w:t> </w:t>
      </w:r>
      <w:r>
        <w:rPr>
          <w:color w:val="231F20"/>
        </w:rPr>
        <w:t>crédit.</w:t>
      </w:r>
    </w:p>
    <w:p>
      <w:pPr>
        <w:pStyle w:val="BodyText"/>
        <w:spacing w:before="11"/>
        <w:ind w:left="0" w:right="0" w:firstLine="0"/>
        <w:jc w:val="left"/>
        <w:rPr>
          <w:sz w:val="22"/>
        </w:rPr>
      </w:pPr>
    </w:p>
    <w:p>
      <w:pPr>
        <w:pStyle w:val="BodyText"/>
        <w:spacing w:line="218" w:lineRule="auto"/>
        <w:ind w:right="38"/>
      </w:pPr>
      <w:r>
        <w:rPr>
          <w:color w:val="231F20"/>
        </w:rPr>
        <w:t>Art. 6:54. Les actions ne peuvent être transférées à des tiers que s’ils appartiennent</w:t>
      </w:r>
      <w:r>
        <w:rPr>
          <w:color w:val="231F20"/>
          <w:spacing w:val="-6"/>
        </w:rPr>
        <w:t> </w:t>
      </w:r>
      <w:r>
        <w:rPr>
          <w:color w:val="231F20"/>
        </w:rPr>
        <w:t>aux</w:t>
      </w:r>
      <w:r>
        <w:rPr>
          <w:color w:val="231F20"/>
          <w:spacing w:val="-5"/>
        </w:rPr>
        <w:t> </w:t>
      </w:r>
      <w:r>
        <w:rPr>
          <w:color w:val="231F20"/>
        </w:rPr>
        <w:t>catégories</w:t>
      </w:r>
      <w:r>
        <w:rPr>
          <w:color w:val="231F20"/>
          <w:spacing w:val="-5"/>
        </w:rPr>
        <w:t> </w:t>
      </w:r>
      <w:r>
        <w:rPr>
          <w:color w:val="231F20"/>
        </w:rPr>
        <w:t>déterminées</w:t>
      </w:r>
      <w:r>
        <w:rPr>
          <w:color w:val="231F20"/>
          <w:spacing w:val="-5"/>
        </w:rPr>
        <w:t> </w:t>
      </w:r>
      <w:r>
        <w:rPr>
          <w:color w:val="231F20"/>
        </w:rPr>
        <w:t>par</w:t>
      </w:r>
      <w:r>
        <w:rPr>
          <w:color w:val="231F20"/>
          <w:spacing w:val="-5"/>
        </w:rPr>
        <w:t> </w:t>
      </w:r>
      <w:r>
        <w:rPr>
          <w:color w:val="231F20"/>
        </w:rPr>
        <w:t>les</w:t>
      </w:r>
      <w:r>
        <w:rPr>
          <w:color w:val="231F20"/>
          <w:spacing w:val="-5"/>
        </w:rPr>
        <w:t> </w:t>
      </w:r>
      <w:r>
        <w:rPr>
          <w:color w:val="231F20"/>
        </w:rPr>
        <w:t>statuts</w:t>
      </w:r>
      <w:r>
        <w:rPr>
          <w:color w:val="231F20"/>
          <w:spacing w:val="-6"/>
        </w:rPr>
        <w:t> </w:t>
      </w:r>
      <w:r>
        <w:rPr>
          <w:color w:val="231F20"/>
        </w:rPr>
        <w:t>et</w:t>
      </w:r>
      <w:r>
        <w:rPr>
          <w:color w:val="231F20"/>
          <w:spacing w:val="-5"/>
        </w:rPr>
        <w:t> </w:t>
      </w:r>
      <w:r>
        <w:rPr>
          <w:color w:val="231F20"/>
        </w:rPr>
        <w:t>satisfont</w:t>
      </w:r>
      <w:r>
        <w:rPr>
          <w:color w:val="231F20"/>
          <w:spacing w:val="-5"/>
        </w:rPr>
        <w:t> </w:t>
      </w:r>
      <w:r>
        <w:rPr>
          <w:color w:val="231F20"/>
        </w:rPr>
        <w:t>aux exigences statutaires pour devenir actionnaire. </w:t>
      </w:r>
      <w:r>
        <w:rPr>
          <w:color w:val="231F20"/>
          <w:spacing w:val="-3"/>
        </w:rPr>
        <w:t>L’organe </w:t>
      </w:r>
      <w:r>
        <w:rPr>
          <w:color w:val="231F20"/>
        </w:rPr>
        <w:t>d’administra- tion a le pouvoir d’en décider, sauf si les statuts prévoient que ce pouvoir appartient à l’assemblée générale. Les statuts peuvent prévoir que l’organe compétent peut refuser un candidat acquéreur, à condition de motiver son</w:t>
      </w:r>
      <w:r>
        <w:rPr>
          <w:color w:val="231F20"/>
          <w:spacing w:val="4"/>
        </w:rPr>
        <w:t> </w:t>
      </w:r>
      <w:r>
        <w:rPr>
          <w:color w:val="231F20"/>
        </w:rPr>
        <w:t>refus.</w:t>
      </w:r>
    </w:p>
    <w:p>
      <w:pPr>
        <w:pStyle w:val="BodyText"/>
        <w:spacing w:before="8"/>
        <w:ind w:left="0" w:right="0" w:firstLine="0"/>
        <w:jc w:val="left"/>
        <w:rPr>
          <w:sz w:val="21"/>
        </w:rPr>
      </w:pPr>
    </w:p>
    <w:p>
      <w:pPr>
        <w:pStyle w:val="BodyText"/>
        <w:spacing w:line="218" w:lineRule="auto"/>
        <w:ind w:right="38"/>
      </w:pPr>
      <w:r>
        <w:rPr>
          <w:color w:val="231F20"/>
        </w:rPr>
        <w:t>Les cessions réalisées en méconnaissance de l’alinéa 1</w:t>
      </w:r>
      <w:r>
        <w:rPr>
          <w:color w:val="231F20"/>
          <w:position w:val="7"/>
          <w:sz w:val="11"/>
        </w:rPr>
        <w:t>er </w:t>
      </w:r>
      <w:r>
        <w:rPr>
          <w:color w:val="231F20"/>
        </w:rPr>
        <w:t>ne sont pas opposables à la société ni aux tiers, indépendamment de la bonne ou la mauvaise foi du cessionnaire, et même lorsqu’une restriction statutaire à la cessibilité n’est pas reprise dans le registre des actionnaires.</w:t>
      </w:r>
    </w:p>
    <w:p>
      <w:pPr>
        <w:pStyle w:val="BodyText"/>
        <w:ind w:left="0" w:right="0" w:firstLine="0"/>
        <w:jc w:val="left"/>
        <w:rPr>
          <w:sz w:val="23"/>
        </w:rPr>
      </w:pPr>
    </w:p>
    <w:p>
      <w:pPr>
        <w:pStyle w:val="BodyText"/>
        <w:spacing w:line="218" w:lineRule="auto"/>
        <w:ind w:right="38"/>
      </w:pPr>
      <w:r>
        <w:rPr>
          <w:color w:val="231F20"/>
        </w:rPr>
        <w:t>Art. 6:55. En cas de cession d’une action non libérée, le cédant et le cessionnaire sont, nonobstant toute disposition contraire, tenus solidai- rement de la libération envers la société et les tiers. En cas de cessions successives, tous les cessionnaires consécutifs sont tenus solidairement.</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Sauf convention contraire, le cédant d’une action non libérée auquel la libération est demandée par la société ou un tiers, peut exercer un recours pour ce qu’il a payé contre le cessionnaire auquel il a cédé ses actions et tout cessionnaire ultérieur.</w:t>
      </w:r>
    </w:p>
    <w:p>
      <w:pPr>
        <w:pStyle w:val="BodyText"/>
        <w:spacing w:before="72"/>
        <w:ind w:left="283" w:right="0" w:firstLine="0"/>
        <w:jc w:val="left"/>
      </w:pPr>
      <w:r>
        <w:rPr>
          <w:color w:val="231F20"/>
        </w:rPr>
        <w:t>Section 3. Restrictions à la cessibilité des titres.</w:t>
      </w:r>
    </w:p>
    <w:p>
      <w:pPr>
        <w:pStyle w:val="BodyText"/>
        <w:spacing w:line="218" w:lineRule="auto" w:before="82"/>
        <w:ind w:right="38"/>
      </w:pPr>
      <w:r>
        <w:rPr>
          <w:color w:val="231F20"/>
        </w:rPr>
        <w:t>Art. 6:56. Des conventions peuvent limiter la cessibilité entre vifs ou la transmissibilité à cause de mort des actions. Elles ne peuvent pas assouplir les conditions légales ou statutaires applicables à leur cessibilité.</w:t>
      </w:r>
    </w:p>
    <w:p>
      <w:pPr>
        <w:pStyle w:val="BodyText"/>
        <w:spacing w:line="218" w:lineRule="auto" w:before="96"/>
        <w:ind w:right="38"/>
      </w:pPr>
      <w:r>
        <w:rPr>
          <w:color w:val="231F20"/>
        </w:rPr>
        <w:t>Art. 6:57. Les statuts et les conditions d’émission de titres nominatifs ou dématérialisés autres que des actions peuvent limiter la cessibilité entre vifs ou à cause de mort.</w:t>
      </w:r>
    </w:p>
    <w:p>
      <w:pPr>
        <w:pStyle w:val="BodyText"/>
        <w:spacing w:before="7"/>
        <w:ind w:left="0" w:right="0" w:firstLine="0"/>
        <w:jc w:val="left"/>
        <w:rPr>
          <w:sz w:val="22"/>
        </w:rPr>
      </w:pPr>
    </w:p>
    <w:p>
      <w:pPr>
        <w:pStyle w:val="BodyText"/>
        <w:spacing w:line="218" w:lineRule="auto"/>
        <w:ind w:right="38"/>
      </w:pPr>
      <w:r>
        <w:rPr>
          <w:color w:val="231F20"/>
        </w:rPr>
        <w:t>Une cession de titres visés à l’alinéa 1</w:t>
      </w:r>
      <w:r>
        <w:rPr>
          <w:color w:val="231F20"/>
          <w:position w:val="7"/>
          <w:sz w:val="11"/>
        </w:rPr>
        <w:t>er </w:t>
      </w:r>
      <w:r>
        <w:rPr>
          <w:color w:val="231F20"/>
        </w:rPr>
        <w:t>contraire aux restrictions en  la matière figurant dans les statuts ou conditions d’émission publiés régulièrement</w:t>
      </w:r>
      <w:r>
        <w:rPr>
          <w:color w:val="231F20"/>
          <w:spacing w:val="-3"/>
        </w:rPr>
        <w:t> </w:t>
      </w:r>
      <w:r>
        <w:rPr>
          <w:color w:val="231F20"/>
        </w:rPr>
        <w:t>ne</w:t>
      </w:r>
      <w:r>
        <w:rPr>
          <w:color w:val="231F20"/>
          <w:spacing w:val="-3"/>
        </w:rPr>
        <w:t> </w:t>
      </w:r>
      <w:r>
        <w:rPr>
          <w:color w:val="231F20"/>
        </w:rPr>
        <w:t>peut</w:t>
      </w:r>
      <w:r>
        <w:rPr>
          <w:color w:val="231F20"/>
          <w:spacing w:val="-3"/>
        </w:rPr>
        <w:t> </w:t>
      </w:r>
      <w:r>
        <w:rPr>
          <w:color w:val="231F20"/>
        </w:rPr>
        <w:t>être</w:t>
      </w:r>
      <w:r>
        <w:rPr>
          <w:color w:val="231F20"/>
          <w:spacing w:val="-2"/>
        </w:rPr>
        <w:t> </w:t>
      </w:r>
      <w:r>
        <w:rPr>
          <w:color w:val="231F20"/>
        </w:rPr>
        <w:t>opposée</w:t>
      </w:r>
      <w:r>
        <w:rPr>
          <w:color w:val="231F20"/>
          <w:spacing w:val="-3"/>
        </w:rPr>
        <w:t> </w:t>
      </w:r>
      <w:r>
        <w:rPr>
          <w:color w:val="231F20"/>
        </w:rPr>
        <w:t>ni</w:t>
      </w:r>
      <w:r>
        <w:rPr>
          <w:color w:val="231F20"/>
          <w:spacing w:val="-3"/>
        </w:rPr>
        <w:t> </w:t>
      </w:r>
      <w:r>
        <w:rPr>
          <w:color w:val="231F20"/>
        </w:rPr>
        <w:t>à</w:t>
      </w:r>
      <w:r>
        <w:rPr>
          <w:color w:val="231F20"/>
          <w:spacing w:val="-2"/>
        </w:rPr>
        <w:t> </w:t>
      </w:r>
      <w:r>
        <w:rPr>
          <w:color w:val="231F20"/>
        </w:rPr>
        <w:t>la</w:t>
      </w:r>
      <w:r>
        <w:rPr>
          <w:color w:val="231F20"/>
          <w:spacing w:val="-3"/>
        </w:rPr>
        <w:t> </w:t>
      </w:r>
      <w:r>
        <w:rPr>
          <w:color w:val="231F20"/>
        </w:rPr>
        <w:t>société</w:t>
      </w:r>
      <w:r>
        <w:rPr>
          <w:color w:val="231F20"/>
          <w:spacing w:val="-3"/>
        </w:rPr>
        <w:t> </w:t>
      </w:r>
      <w:r>
        <w:rPr>
          <w:color w:val="231F20"/>
        </w:rPr>
        <w:t>ni</w:t>
      </w:r>
      <w:r>
        <w:rPr>
          <w:color w:val="231F20"/>
          <w:spacing w:val="-2"/>
        </w:rPr>
        <w:t> </w:t>
      </w:r>
      <w:r>
        <w:rPr>
          <w:color w:val="231F20"/>
        </w:rPr>
        <w:t>aux</w:t>
      </w:r>
      <w:r>
        <w:rPr>
          <w:color w:val="231F20"/>
          <w:spacing w:val="-3"/>
        </w:rPr>
        <w:t> </w:t>
      </w:r>
      <w:r>
        <w:rPr>
          <w:color w:val="231F20"/>
        </w:rPr>
        <w:t>tiers,</w:t>
      </w:r>
      <w:r>
        <w:rPr>
          <w:color w:val="231F20"/>
          <w:spacing w:val="-3"/>
        </w:rPr>
        <w:t> </w:t>
      </w:r>
      <w:r>
        <w:rPr>
          <w:color w:val="231F20"/>
        </w:rPr>
        <w:t>et</w:t>
      </w:r>
      <w:r>
        <w:rPr>
          <w:color w:val="231F20"/>
          <w:spacing w:val="-2"/>
        </w:rPr>
        <w:t> </w:t>
      </w:r>
      <w:r>
        <w:rPr>
          <w:color w:val="231F20"/>
        </w:rPr>
        <w:t>ce</w:t>
      </w:r>
      <w:r>
        <w:rPr>
          <w:color w:val="231F20"/>
          <w:spacing w:val="-3"/>
        </w:rPr>
        <w:t> </w:t>
      </w:r>
      <w:r>
        <w:rPr>
          <w:color w:val="231F20"/>
        </w:rPr>
        <w:t>dans la mesure prévue dans les conditions d’émission ou les statuts et indépendamment</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bonne</w:t>
      </w:r>
      <w:r>
        <w:rPr>
          <w:color w:val="231F20"/>
          <w:spacing w:val="18"/>
        </w:rPr>
        <w:t> </w:t>
      </w:r>
      <w:r>
        <w:rPr>
          <w:color w:val="231F20"/>
        </w:rPr>
        <w:t>ou</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mauvaise</w:t>
      </w:r>
      <w:r>
        <w:rPr>
          <w:color w:val="231F20"/>
          <w:spacing w:val="19"/>
        </w:rPr>
        <w:t> </w:t>
      </w:r>
      <w:r>
        <w:rPr>
          <w:color w:val="231F20"/>
        </w:rPr>
        <w:t>foi</w:t>
      </w:r>
      <w:r>
        <w:rPr>
          <w:color w:val="231F20"/>
          <w:spacing w:val="19"/>
        </w:rPr>
        <w:t> </w:t>
      </w:r>
      <w:r>
        <w:rPr>
          <w:color w:val="231F20"/>
        </w:rPr>
        <w:t>du</w:t>
      </w:r>
      <w:r>
        <w:rPr>
          <w:color w:val="231F20"/>
          <w:spacing w:val="19"/>
        </w:rPr>
        <w:t> </w:t>
      </w:r>
      <w:r>
        <w:rPr>
          <w:color w:val="231F20"/>
        </w:rPr>
        <w:t>cessionnaire.</w:t>
      </w:r>
    </w:p>
    <w:p>
      <w:pPr>
        <w:pStyle w:val="BodyText"/>
        <w:spacing w:line="218" w:lineRule="auto" w:before="119"/>
      </w:pPr>
      <w:r>
        <w:rPr/>
        <w:br w:type="column"/>
      </w:r>
      <w:r>
        <w:rPr>
          <w:color w:val="231F20"/>
        </w:rPr>
        <w:t>De ontbinding moet in rechte worden gevorderd, en aan de verweerder kan, naar gelang van de omstandigheden, uitstel worden verleend.</w:t>
      </w:r>
    </w:p>
    <w:p>
      <w:pPr>
        <w:pStyle w:val="BodyText"/>
        <w:spacing w:line="324" w:lineRule="auto" w:before="72"/>
        <w:ind w:left="283" w:right="1017" w:firstLine="0"/>
        <w:jc w:val="left"/>
      </w:pPr>
      <w:r>
        <w:rPr>
          <w:color w:val="231F20"/>
        </w:rPr>
        <w:t>HOOFDSTUK 4. Overdracht en overgang van effecten. Afdeling 1. Algemene bepalingen.</w:t>
      </w:r>
    </w:p>
    <w:p>
      <w:pPr>
        <w:pStyle w:val="BodyText"/>
        <w:spacing w:line="218" w:lineRule="auto" w:before="15"/>
      </w:pPr>
      <w:r>
        <w:rPr>
          <w:color w:val="231F20"/>
        </w:rPr>
        <w:t>Art. 6:50. De overdracht en overgang van effecten gebeurt volgens de regels van het gemeen recht.</w:t>
      </w:r>
    </w:p>
    <w:p>
      <w:pPr>
        <w:pStyle w:val="BodyText"/>
        <w:spacing w:line="218" w:lineRule="auto" w:before="85"/>
      </w:pPr>
      <w:r>
        <w:rPr>
          <w:color w:val="231F20"/>
        </w:rPr>
        <w:t>Een overdracht of overgang van effecten op naam kan aan de vennootschap en aan derden slechts worden tegengeworpen door een verklaring van overdracht, ingeschreven in het register van de betrok- ken effecten en gedagtekend en ondertekend door de overdrager en de overnemer of door hun gevolmachtigden in geval van  overdracht  onder de levenden, en door een lid van het bestuursorgaan en de rechtverkrijgenden</w:t>
      </w:r>
      <w:r>
        <w:rPr>
          <w:color w:val="231F20"/>
          <w:spacing w:val="19"/>
        </w:rPr>
        <w:t> </w:t>
      </w:r>
      <w:r>
        <w:rPr>
          <w:color w:val="231F20"/>
        </w:rPr>
        <w:t>in</w:t>
      </w:r>
      <w:r>
        <w:rPr>
          <w:color w:val="231F20"/>
          <w:spacing w:val="19"/>
        </w:rPr>
        <w:t> </w:t>
      </w:r>
      <w:r>
        <w:rPr>
          <w:color w:val="231F20"/>
        </w:rPr>
        <w:t>geval</w:t>
      </w:r>
      <w:r>
        <w:rPr>
          <w:color w:val="231F20"/>
          <w:spacing w:val="19"/>
        </w:rPr>
        <w:t> </w:t>
      </w:r>
      <w:r>
        <w:rPr>
          <w:color w:val="231F20"/>
        </w:rPr>
        <w:t>van</w:t>
      </w:r>
      <w:r>
        <w:rPr>
          <w:color w:val="231F20"/>
          <w:spacing w:val="19"/>
        </w:rPr>
        <w:t> </w:t>
      </w:r>
      <w:r>
        <w:rPr>
          <w:color w:val="231F20"/>
        </w:rPr>
        <w:t>overgang</w:t>
      </w:r>
      <w:r>
        <w:rPr>
          <w:color w:val="231F20"/>
          <w:spacing w:val="20"/>
        </w:rPr>
        <w:t> </w:t>
      </w:r>
      <w:r>
        <w:rPr>
          <w:color w:val="231F20"/>
        </w:rPr>
        <w:t>wegens</w:t>
      </w:r>
      <w:r>
        <w:rPr>
          <w:color w:val="231F20"/>
          <w:spacing w:val="19"/>
        </w:rPr>
        <w:t> </w:t>
      </w:r>
      <w:r>
        <w:rPr>
          <w:color w:val="231F20"/>
        </w:rPr>
        <w:t>overlijden.</w:t>
      </w:r>
    </w:p>
    <w:p>
      <w:pPr>
        <w:pStyle w:val="BodyText"/>
        <w:spacing w:line="218" w:lineRule="auto" w:before="86"/>
      </w:pPr>
      <w:r>
        <w:rPr>
          <w:color w:val="231F20"/>
        </w:rPr>
        <w:t>Het bestuursorgaan kan een overdracht erkennen en in het register inschrijven, als uit stukken het bewijs van de toestemming van de overdrager en van de overnemer blijkt.</w:t>
      </w:r>
    </w:p>
    <w:p>
      <w:pPr>
        <w:pStyle w:val="BodyText"/>
        <w:spacing w:line="218" w:lineRule="auto" w:before="86"/>
      </w:pPr>
      <w:r>
        <w:rPr>
          <w:color w:val="231F20"/>
        </w:rPr>
        <w:t>Indien het register in elektronische vorm wordt aangehouden, kan de verklaring van overdracht een elektronische vorm aannemen en worden ondertekend door middel van een geheel van elektronische gegevens dat aan een bepaalde persoon kan worden toegerekend en het behoud</w:t>
      </w:r>
      <w:r>
        <w:rPr>
          <w:color w:val="231F20"/>
          <w:spacing w:val="17"/>
        </w:rPr>
        <w:t> </w:t>
      </w:r>
      <w:r>
        <w:rPr>
          <w:color w:val="231F20"/>
        </w:rPr>
        <w:t>van</w:t>
      </w:r>
      <w:r>
        <w:rPr>
          <w:color w:val="231F20"/>
          <w:spacing w:val="18"/>
        </w:rPr>
        <w:t> </w:t>
      </w:r>
      <w:r>
        <w:rPr>
          <w:color w:val="231F20"/>
        </w:rPr>
        <w:t>de</w:t>
      </w:r>
      <w:r>
        <w:rPr>
          <w:color w:val="231F20"/>
          <w:spacing w:val="18"/>
        </w:rPr>
        <w:t> </w:t>
      </w:r>
      <w:r>
        <w:rPr>
          <w:color w:val="231F20"/>
        </w:rPr>
        <w:t>integriteit</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inhoud</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akte</w:t>
      </w:r>
      <w:r>
        <w:rPr>
          <w:color w:val="231F20"/>
          <w:spacing w:val="18"/>
        </w:rPr>
        <w:t> </w:t>
      </w:r>
      <w:r>
        <w:rPr>
          <w:color w:val="231F20"/>
        </w:rPr>
        <w:t>aantoont.</w:t>
      </w:r>
    </w:p>
    <w:p>
      <w:pPr>
        <w:pStyle w:val="BodyText"/>
        <w:spacing w:line="218" w:lineRule="auto" w:before="85"/>
      </w:pPr>
      <w:r>
        <w:rPr>
          <w:color w:val="231F20"/>
        </w:rPr>
        <w:t>Art. 6:51. Een overdracht of overgang van een gedematerialiseerd effect kan aan de vennootschap en aan derden slechts worden tegengeworpen door boeking van de ene op de andere effectenreke- ning.</w:t>
      </w:r>
    </w:p>
    <w:p>
      <w:pPr>
        <w:pStyle w:val="BodyText"/>
        <w:spacing w:before="72"/>
        <w:ind w:left="283" w:right="0" w:firstLine="0"/>
        <w:jc w:val="left"/>
      </w:pPr>
      <w:r>
        <w:rPr>
          <w:color w:val="231F20"/>
        </w:rPr>
        <w:t>Afdeling 2. Overdracht en overgang van aandelen.</w:t>
      </w:r>
    </w:p>
    <w:p>
      <w:pPr>
        <w:pStyle w:val="BodyText"/>
        <w:spacing w:line="218" w:lineRule="auto" w:before="82"/>
      </w:pPr>
      <w:r>
        <w:rPr>
          <w:color w:val="231F20"/>
        </w:rPr>
        <w:t>Art. 6:52. </w:t>
      </w:r>
      <w:r>
        <w:rPr>
          <w:color w:val="231F20"/>
          <w:spacing w:val="-3"/>
        </w:rPr>
        <w:t>Tenzij </w:t>
      </w:r>
      <w:r>
        <w:rPr>
          <w:color w:val="231F20"/>
        </w:rPr>
        <w:t>de statuten anders bepalen, kunnen de aandelen vrij worden overgedragen aan aandeelhouders, in voorkomend  geval  onder</w:t>
      </w:r>
      <w:r>
        <w:rPr>
          <w:color w:val="231F20"/>
          <w:spacing w:val="16"/>
        </w:rPr>
        <w:t> </w:t>
      </w:r>
      <w:r>
        <w:rPr>
          <w:color w:val="231F20"/>
        </w:rPr>
        <w:t>de</w:t>
      </w:r>
      <w:r>
        <w:rPr>
          <w:color w:val="231F20"/>
          <w:spacing w:val="16"/>
        </w:rPr>
        <w:t> </w:t>
      </w:r>
      <w:r>
        <w:rPr>
          <w:color w:val="231F20"/>
        </w:rPr>
        <w:t>voorwaarden</w:t>
      </w:r>
      <w:r>
        <w:rPr>
          <w:color w:val="231F20"/>
          <w:spacing w:val="16"/>
        </w:rPr>
        <w:t> </w:t>
      </w:r>
      <w:r>
        <w:rPr>
          <w:color w:val="231F20"/>
        </w:rPr>
        <w:t>bepaald</w:t>
      </w:r>
      <w:r>
        <w:rPr>
          <w:color w:val="231F20"/>
          <w:spacing w:val="16"/>
        </w:rPr>
        <w:t> </w:t>
      </w:r>
      <w:r>
        <w:rPr>
          <w:color w:val="231F20"/>
        </w:rPr>
        <w:t>in</w:t>
      </w:r>
      <w:r>
        <w:rPr>
          <w:color w:val="231F20"/>
          <w:spacing w:val="16"/>
        </w:rPr>
        <w:t> </w:t>
      </w:r>
      <w:r>
        <w:rPr>
          <w:color w:val="231F20"/>
        </w:rPr>
        <w:t>de</w:t>
      </w:r>
      <w:r>
        <w:rPr>
          <w:color w:val="231F20"/>
          <w:spacing w:val="16"/>
        </w:rPr>
        <w:t> </w:t>
      </w:r>
      <w:r>
        <w:rPr>
          <w:color w:val="231F20"/>
        </w:rPr>
        <w:t>statuten.</w:t>
      </w:r>
    </w:p>
    <w:p>
      <w:pPr>
        <w:pStyle w:val="BodyText"/>
        <w:spacing w:line="218" w:lineRule="auto" w:before="85"/>
      </w:pPr>
      <w:r>
        <w:rPr>
          <w:color w:val="231F20"/>
        </w:rPr>
        <w:t>Art. 6:53. Een coöperatieve vennootschap mag hetzij zelf, hetzij door een dochtervennootschap of personen die in eigen naam maar voor rekening van de vennootschap of van haar dochtervennootschap, haar eigen aandelen niet verkrijgen door inkoop of ruil, of ze in pand nemen.</w:t>
      </w:r>
    </w:p>
    <w:p>
      <w:pPr>
        <w:pStyle w:val="BodyText"/>
        <w:spacing w:line="218" w:lineRule="auto" w:before="86"/>
      </w:pPr>
      <w:r>
        <w:rPr>
          <w:color w:val="231F20"/>
        </w:rPr>
        <w:t>Het eerste lid is niet van toepassing op de verkrijging of inpandne- ming van aandelen door een vennootschap die in haar hoedanigheid van professionele effectenhandelaar, een beursvennootschap of een kredietinstelling is.</w:t>
      </w:r>
    </w:p>
    <w:p>
      <w:pPr>
        <w:pStyle w:val="BodyText"/>
        <w:spacing w:line="218" w:lineRule="auto" w:before="86"/>
      </w:pPr>
      <w:r>
        <w:rPr>
          <w:color w:val="231F20"/>
        </w:rPr>
        <w:t>Art. 6:54. Aan derden kunnen de aandelen slechts worden overge- dragen indien zij behoren tot de door de statuten bepaalde categorieën en voldoen aan de statutaire vereisten om aandeelhouder te worden. Het bestuursorgaan is bevoegd om hierover te beslissen, tenzij de statuten bepalen dat deze bevoegdheid bij de algemene</w:t>
      </w:r>
      <w:r>
        <w:rPr>
          <w:color w:val="231F20"/>
          <w:spacing w:val="32"/>
        </w:rPr>
        <w:t> </w:t>
      </w:r>
      <w:r>
        <w:rPr>
          <w:color w:val="231F20"/>
        </w:rPr>
        <w:t>vergadering ligt. De statuten kunnen bepalen dat het bevoegde orgaan een kandidaat verwerver kan weigeren, op voorwaarde dat de</w:t>
      </w:r>
      <w:r>
        <w:rPr>
          <w:color w:val="231F20"/>
          <w:spacing w:val="18"/>
        </w:rPr>
        <w:t> </w:t>
      </w:r>
      <w:r>
        <w:rPr>
          <w:color w:val="231F20"/>
        </w:rPr>
        <w:t>weigering wordt</w:t>
      </w:r>
      <w:r>
        <w:rPr>
          <w:color w:val="231F20"/>
          <w:spacing w:val="15"/>
        </w:rPr>
        <w:t> </w:t>
      </w:r>
      <w:r>
        <w:rPr>
          <w:color w:val="231F20"/>
        </w:rPr>
        <w:t>gemotiveerd.</w:t>
      </w:r>
    </w:p>
    <w:p>
      <w:pPr>
        <w:pStyle w:val="BodyText"/>
        <w:spacing w:line="218" w:lineRule="auto" w:before="86"/>
      </w:pPr>
      <w:r>
        <w:rPr>
          <w:color w:val="231F20"/>
        </w:rPr>
        <w:t>Overdrachten die met miskenning van het eerste lid gebeuren, kunnen niet aan de vennootschap of aan derden worden tegengewor- pen, ongeacht de goede of kwade trouw van de overnemer, en zelfs wanneer een statutaire overdrachtsbeperking niet in het aandelenregis- ter is opgenomen.</w:t>
      </w:r>
    </w:p>
    <w:p>
      <w:pPr>
        <w:pStyle w:val="BodyText"/>
        <w:spacing w:line="218" w:lineRule="auto" w:before="85"/>
        <w:ind w:right="125"/>
      </w:pPr>
      <w:r>
        <w:rPr>
          <w:color w:val="231F20"/>
        </w:rPr>
        <w:t>Art. 6:55. In geval van overdracht van een niet volgestort aandeel, zijn de overdrager en de overnemer, niettegenstaande enig anderslui- dende bepaling, tegenover de vennootschap en tegenover derden hoofdelijk gehouden tot volstorting. In geval van</w:t>
      </w:r>
      <w:r>
        <w:rPr>
          <w:color w:val="231F20"/>
          <w:spacing w:val="31"/>
        </w:rPr>
        <w:t> </w:t>
      </w:r>
      <w:r>
        <w:rPr>
          <w:color w:val="231F20"/>
        </w:rPr>
        <w:t>opeenvolgende overdrachten zijn alle opeenvolgende overnemers hoofdelijk gehou- den.</w:t>
      </w:r>
    </w:p>
    <w:p>
      <w:pPr>
        <w:pStyle w:val="BodyText"/>
        <w:spacing w:line="218" w:lineRule="auto" w:before="86"/>
      </w:pPr>
      <w:r>
        <w:rPr>
          <w:color w:val="231F20"/>
          <w:spacing w:val="-3"/>
        </w:rPr>
        <w:t>Tenzij </w:t>
      </w:r>
      <w:r>
        <w:rPr>
          <w:color w:val="231F20"/>
        </w:rPr>
        <w:t>anders is overeengekomen kan de overdrager van een niet volgestort aandeel die door de vennootschap of een derde tot volstorting wordt aangesproken, voor wat hij heeft betaald regres uitoefenen</w:t>
      </w:r>
      <w:r>
        <w:rPr>
          <w:color w:val="231F20"/>
          <w:spacing w:val="17"/>
        </w:rPr>
        <w:t> </w:t>
      </w:r>
      <w:r>
        <w:rPr>
          <w:color w:val="231F20"/>
        </w:rPr>
        <w:t>op</w:t>
      </w:r>
      <w:r>
        <w:rPr>
          <w:color w:val="231F20"/>
          <w:spacing w:val="17"/>
        </w:rPr>
        <w:t> </w:t>
      </w:r>
      <w:r>
        <w:rPr>
          <w:color w:val="231F20"/>
        </w:rPr>
        <w:t>zijn</w:t>
      </w:r>
      <w:r>
        <w:rPr>
          <w:color w:val="231F20"/>
          <w:spacing w:val="17"/>
        </w:rPr>
        <w:t> </w:t>
      </w:r>
      <w:r>
        <w:rPr>
          <w:color w:val="231F20"/>
        </w:rPr>
        <w:t>overnemer</w:t>
      </w:r>
      <w:r>
        <w:rPr>
          <w:color w:val="231F20"/>
          <w:spacing w:val="17"/>
        </w:rPr>
        <w:t> </w:t>
      </w:r>
      <w:r>
        <w:rPr>
          <w:color w:val="231F20"/>
        </w:rPr>
        <w:t>en</w:t>
      </w:r>
      <w:r>
        <w:rPr>
          <w:color w:val="231F20"/>
          <w:spacing w:val="17"/>
        </w:rPr>
        <w:t> </w:t>
      </w:r>
      <w:r>
        <w:rPr>
          <w:color w:val="231F20"/>
        </w:rPr>
        <w:t>op</w:t>
      </w:r>
      <w:r>
        <w:rPr>
          <w:color w:val="231F20"/>
          <w:spacing w:val="17"/>
        </w:rPr>
        <w:t> </w:t>
      </w:r>
      <w:r>
        <w:rPr>
          <w:color w:val="231F20"/>
        </w:rPr>
        <w:t>elk</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latere</w:t>
      </w:r>
      <w:r>
        <w:rPr>
          <w:color w:val="231F20"/>
          <w:spacing w:val="17"/>
        </w:rPr>
        <w:t> </w:t>
      </w:r>
      <w:r>
        <w:rPr>
          <w:color w:val="231F20"/>
        </w:rPr>
        <w:t>overnemers.</w:t>
      </w:r>
    </w:p>
    <w:p>
      <w:pPr>
        <w:pStyle w:val="BodyText"/>
        <w:spacing w:before="72"/>
        <w:ind w:left="283" w:right="0" w:firstLine="0"/>
        <w:jc w:val="left"/>
      </w:pPr>
      <w:r>
        <w:rPr>
          <w:color w:val="231F20"/>
        </w:rPr>
        <w:t>Afdeling 3. Beperkingen op de vrije overdraagbaarheid van effecten.</w:t>
      </w:r>
    </w:p>
    <w:p>
      <w:pPr>
        <w:pStyle w:val="BodyText"/>
        <w:spacing w:line="218" w:lineRule="auto" w:before="82"/>
      </w:pPr>
      <w:r>
        <w:rPr>
          <w:color w:val="231F20"/>
        </w:rPr>
        <w:t>Art. 6:56. Overeenkomsten kunnen perken stellen aan de overdraag- baarheid, onder de levenden of bij overlijden, van aandelen. Ze mogen de wettelijke of statutaire voorwaarden voor hun overdracht niet versoepelen.</w:t>
      </w:r>
    </w:p>
    <w:p>
      <w:pPr>
        <w:pStyle w:val="BodyText"/>
        <w:spacing w:line="218" w:lineRule="auto" w:before="96"/>
      </w:pPr>
      <w:r>
        <w:rPr>
          <w:color w:val="231F20"/>
        </w:rPr>
        <w:t>Art. 6:57. De statuten en de uitgiftevoorwaarden van effecten op naam of in gedematerialiseerde vorm, andere dan aandelen, kunnen perken stellen aan de overdraagbaarheid, onder de levenden of bij overlijden.</w:t>
      </w:r>
    </w:p>
    <w:p>
      <w:pPr>
        <w:pStyle w:val="BodyText"/>
        <w:spacing w:line="218" w:lineRule="auto" w:before="97"/>
      </w:pPr>
      <w:r>
        <w:rPr>
          <w:color w:val="231F20"/>
        </w:rPr>
        <w:t>Een overdracht van effecten bedoeld in het eerste lid in strijd met overdrachtsbeperkingen die in regelmatig openbaar gemaakte statuten of uitgiftevoorwaarden zijn opgenomen, kan aan de vennootschap of derden niet worden tegengeworpen, en dit in de mate bepaald in de uitgiftevoorwaarden of statuten en ongeacht de goede of kwader trouw van de overnemer.</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4168" from="298.170502pt,64.473pt" to="298.170502pt,812.819pt" stroked="true" strokeweight=".533pt" strokecolor="#231f20">
            <v:stroke dashstyle="solid"/>
            <w10:wrap type="none"/>
          </v:line>
        </w:pict>
      </w:r>
      <w:bookmarkStart w:name="_bookmark131" w:id="136"/>
      <w:bookmarkEnd w:id="136"/>
      <w:r>
        <w:rPr/>
      </w:r>
      <w:r>
        <w:rPr>
          <w:color w:val="231F20"/>
        </w:rPr>
        <w:t>Les conditions d’émission de titres visés à l’alinéa 1</w:t>
      </w:r>
      <w:r>
        <w:rPr>
          <w:color w:val="231F20"/>
          <w:position w:val="7"/>
          <w:sz w:val="11"/>
        </w:rPr>
        <w:t>er </w:t>
      </w:r>
      <w:r>
        <w:rPr>
          <w:color w:val="231F20"/>
        </w:rPr>
        <w:t>sont publiées régulièrement si elles ont été déposées et publiées conformément aux articles 2:8, § 3, et 2:14, 1°, ou figurent dans un prospectus approprié.</w:t>
      </w:r>
    </w:p>
    <w:p>
      <w:pPr>
        <w:pStyle w:val="BodyText"/>
        <w:spacing w:line="430" w:lineRule="atLeast" w:before="10"/>
        <w:ind w:left="283" w:right="-15" w:hanging="1"/>
        <w:jc w:val="left"/>
      </w:pPr>
      <w:r>
        <w:rPr>
          <w:color w:val="231F20"/>
        </w:rPr>
        <w:t>TITRE 4. Organes de la société et assemblée générale des obligataires. CHAPITRE 1</w:t>
      </w:r>
      <w:r>
        <w:rPr>
          <w:color w:val="231F20"/>
          <w:position w:val="7"/>
          <w:sz w:val="11"/>
        </w:rPr>
        <w:t>er</w:t>
      </w:r>
      <w:r>
        <w:rPr>
          <w:color w:val="231F20"/>
        </w:rPr>
        <w:t>. Administration.</w:t>
      </w:r>
    </w:p>
    <w:p>
      <w:pPr>
        <w:pStyle w:val="BodyText"/>
        <w:spacing w:before="60"/>
        <w:ind w:left="283" w:right="0" w:firstLine="0"/>
        <w:jc w:val="left"/>
      </w:pPr>
      <w:r>
        <w:rPr>
          <w:color w:val="231F20"/>
        </w:rPr>
        <w:t>Section 1</w:t>
      </w:r>
      <w:r>
        <w:rPr>
          <w:color w:val="231F20"/>
          <w:position w:val="7"/>
          <w:sz w:val="11"/>
        </w:rPr>
        <w:t>re</w:t>
      </w:r>
      <w:r>
        <w:rPr>
          <w:color w:val="231F20"/>
        </w:rPr>
        <w:t>. Composition.</w:t>
      </w:r>
    </w:p>
    <w:p>
      <w:pPr>
        <w:pStyle w:val="BodyText"/>
        <w:spacing w:line="218" w:lineRule="auto" w:before="67"/>
        <w:ind w:right="38"/>
      </w:pPr>
      <w:r>
        <w:rPr>
          <w:color w:val="231F20"/>
        </w:rPr>
        <w:t>Art. 6:58. § 1</w:t>
      </w:r>
      <w:r>
        <w:rPr>
          <w:color w:val="231F20"/>
          <w:position w:val="7"/>
          <w:sz w:val="11"/>
        </w:rPr>
        <w:t>er</w:t>
      </w:r>
      <w:r>
        <w:rPr>
          <w:color w:val="231F20"/>
        </w:rPr>
        <w:t>. La société est administrée par un ou plusieurs administrateurs constituant un collège ou non, qui sont des personnes physiques ou morales.</w:t>
      </w:r>
    </w:p>
    <w:p>
      <w:pPr>
        <w:pStyle w:val="BodyText"/>
        <w:spacing w:line="218" w:lineRule="auto" w:before="85"/>
        <w:ind w:right="38"/>
      </w:pPr>
      <w:r>
        <w:rPr>
          <w:color w:val="231F20"/>
        </w:rPr>
        <w:t>Les administrateurs ne peuvent en cette qualité étre liés à la société par un contrat de travail.</w:t>
      </w:r>
    </w:p>
    <w:p>
      <w:pPr>
        <w:pStyle w:val="BodyText"/>
        <w:spacing w:line="218" w:lineRule="auto" w:before="86"/>
        <w:ind w:right="38"/>
      </w:pPr>
      <w:r>
        <w:rPr>
          <w:color w:val="231F20"/>
        </w:rPr>
        <w:t>§ 2. Les administrateurs sont nommés par l’assemblée générale des actionnaires pour une durée déterminée ou indéterminée; ils sont désignés pour la première fois dans l’acte constitutif.</w:t>
      </w:r>
    </w:p>
    <w:p>
      <w:pPr>
        <w:pStyle w:val="BodyText"/>
        <w:spacing w:line="218" w:lineRule="auto" w:before="85"/>
        <w:ind w:right="38"/>
      </w:pPr>
      <w:r>
        <w:rPr>
          <w:color w:val="231F20"/>
        </w:rPr>
        <w:t>Sauf disposition statutaire contraire ou à moins que l’assemblée générale n’en décide autrement lors de  la  nomination,  le  mandat  d’un administrateur nommé pour une durée déterminée court de l’assemblée générale qui l’a nommé jusqu’à l’assemblée</w:t>
      </w:r>
      <w:r>
        <w:rPr>
          <w:color w:val="231F20"/>
          <w:spacing w:val="24"/>
        </w:rPr>
        <w:t> </w:t>
      </w:r>
      <w:r>
        <w:rPr>
          <w:color w:val="231F20"/>
        </w:rPr>
        <w:t>générale ordinaire ayant lieu dans l’année comptable durant laquelle son mandat</w:t>
      </w:r>
      <w:r>
        <w:rPr>
          <w:color w:val="231F20"/>
          <w:spacing w:val="15"/>
        </w:rPr>
        <w:t> </w:t>
      </w:r>
      <w:r>
        <w:rPr>
          <w:color w:val="231F20"/>
        </w:rPr>
        <w:t>prend</w:t>
      </w:r>
      <w:r>
        <w:rPr>
          <w:color w:val="231F20"/>
          <w:spacing w:val="15"/>
        </w:rPr>
        <w:t> </w:t>
      </w:r>
      <w:r>
        <w:rPr>
          <w:color w:val="231F20"/>
        </w:rPr>
        <w:t>fin</w:t>
      </w:r>
      <w:r>
        <w:rPr>
          <w:color w:val="231F20"/>
          <w:spacing w:val="15"/>
        </w:rPr>
        <w:t> </w:t>
      </w:r>
      <w:r>
        <w:rPr>
          <w:color w:val="231F20"/>
        </w:rPr>
        <w:t>selon</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de</w:t>
      </w:r>
      <w:r>
        <w:rPr>
          <w:color w:val="231F20"/>
          <w:spacing w:val="16"/>
        </w:rPr>
        <w:t> </w:t>
      </w:r>
      <w:r>
        <w:rPr>
          <w:color w:val="231F20"/>
        </w:rPr>
        <w:t>nomination.</w:t>
      </w:r>
    </w:p>
    <w:p>
      <w:pPr>
        <w:pStyle w:val="BodyText"/>
        <w:spacing w:before="72"/>
        <w:ind w:left="283" w:right="0" w:firstLine="0"/>
        <w:jc w:val="left"/>
      </w:pPr>
      <w:r>
        <w:rPr>
          <w:color w:val="231F20"/>
        </w:rPr>
        <w:t>Les administrateurs peuvent aussi être nommés dans les statuts.</w:t>
      </w:r>
    </w:p>
    <w:p>
      <w:pPr>
        <w:pStyle w:val="BodyText"/>
        <w:spacing w:line="218" w:lineRule="auto" w:before="82"/>
        <w:ind w:right="39"/>
      </w:pPr>
      <w:r>
        <w:rPr>
          <w:color w:val="231F20"/>
        </w:rPr>
        <w:t>§ 3. La révocation d’un administrateur nommé dans les statuts requiert une modification de ceux-ci.</w:t>
      </w:r>
    </w:p>
    <w:p>
      <w:pPr>
        <w:pStyle w:val="BodyText"/>
        <w:spacing w:line="218" w:lineRule="auto" w:before="86"/>
        <w:ind w:right="38"/>
      </w:pPr>
      <w:r>
        <w:rPr>
          <w:color w:val="231F20"/>
        </w:rPr>
        <w:t>Sauf disposition contraire des statuts ou à moins que l’assemblée générale n’en décide autrement lors de la nomination, l’assemblée générale peut mettre un terme à tout moment, avec effet immédiat et sans motif, au mandat des administrateurs qui ne sont pas nommés dans les statuts.</w:t>
      </w:r>
    </w:p>
    <w:p>
      <w:pPr>
        <w:pStyle w:val="BodyText"/>
        <w:spacing w:line="218" w:lineRule="auto" w:before="85"/>
        <w:ind w:right="38"/>
      </w:pPr>
      <w:r>
        <w:rPr>
          <w:color w:val="231F20"/>
        </w:rPr>
        <w:t>Sauf disposition statutaire contraire, l’assemblée générale peut toutefois dans tous les cas fixer, au moment de la révocation, la date à laquelle le mandat d’administrateur prendra fin ou octroyer une indemnité de départ.</w:t>
      </w:r>
    </w:p>
    <w:p>
      <w:pPr>
        <w:pStyle w:val="BodyText"/>
        <w:spacing w:line="218" w:lineRule="auto" w:before="86"/>
        <w:ind w:right="38"/>
      </w:pPr>
      <w:r>
        <w:rPr>
          <w:color w:val="231F20"/>
        </w:rPr>
        <w:t>L’assemblée générale peut en toute hypothèse mettre fin au mandat d’un administrateur, nommé ou non dans les statuts, pour de justes motifs, sans préavis ni indemnité de départ.</w:t>
      </w:r>
    </w:p>
    <w:p>
      <w:pPr>
        <w:pStyle w:val="BodyText"/>
        <w:spacing w:line="218" w:lineRule="auto" w:before="86"/>
        <w:ind w:right="38"/>
      </w:pPr>
      <w:r>
        <w:rPr>
          <w:color w:val="231F20"/>
        </w:rPr>
        <w:t>§ 4. </w:t>
      </w:r>
      <w:r>
        <w:rPr>
          <w:color w:val="231F20"/>
          <w:spacing w:val="-4"/>
        </w:rPr>
        <w:t>Tout </w:t>
      </w:r>
      <w:r>
        <w:rPr>
          <w:color w:val="231F20"/>
        </w:rPr>
        <w:t>administrateur peut démissionner par simple notification à l’organe d’administration. A la demande de la société, il reste en fonction jusqu’à ce que la société puisse raisonnablement pourvoir à son</w:t>
      </w:r>
      <w:r>
        <w:rPr>
          <w:color w:val="231F20"/>
          <w:spacing w:val="-4"/>
        </w:rPr>
        <w:t> </w:t>
      </w:r>
      <w:r>
        <w:rPr>
          <w:color w:val="231F20"/>
        </w:rPr>
        <w:t>remplacement.</w:t>
      </w:r>
      <w:r>
        <w:rPr>
          <w:color w:val="231F20"/>
          <w:spacing w:val="-3"/>
        </w:rPr>
        <w:t> </w:t>
      </w:r>
      <w:r>
        <w:rPr>
          <w:color w:val="231F20"/>
        </w:rPr>
        <w:t>Il</w:t>
      </w:r>
      <w:r>
        <w:rPr>
          <w:color w:val="231F20"/>
          <w:spacing w:val="-4"/>
        </w:rPr>
        <w:t> </w:t>
      </w:r>
      <w:r>
        <w:rPr>
          <w:color w:val="231F20"/>
        </w:rPr>
        <w:t>peut</w:t>
      </w:r>
      <w:r>
        <w:rPr>
          <w:color w:val="231F20"/>
          <w:spacing w:val="-3"/>
        </w:rPr>
        <w:t> </w:t>
      </w:r>
      <w:r>
        <w:rPr>
          <w:color w:val="231F20"/>
        </w:rPr>
        <w:t>faire</w:t>
      </w:r>
      <w:r>
        <w:rPr>
          <w:color w:val="231F20"/>
          <w:spacing w:val="-4"/>
        </w:rPr>
        <w:t> </w:t>
      </w:r>
      <w:r>
        <w:rPr>
          <w:color w:val="231F20"/>
        </w:rPr>
        <w:t>lui-même</w:t>
      </w:r>
      <w:r>
        <w:rPr>
          <w:color w:val="231F20"/>
          <w:spacing w:val="-3"/>
        </w:rPr>
        <w:t> </w:t>
      </w:r>
      <w:r>
        <w:rPr>
          <w:color w:val="231F20"/>
        </w:rPr>
        <w:t>faire</w:t>
      </w:r>
      <w:r>
        <w:rPr>
          <w:color w:val="231F20"/>
          <w:spacing w:val="-4"/>
        </w:rPr>
        <w:t> </w:t>
      </w:r>
      <w:r>
        <w:rPr>
          <w:color w:val="231F20"/>
        </w:rPr>
        <w:t>tout</w:t>
      </w:r>
      <w:r>
        <w:rPr>
          <w:color w:val="231F20"/>
          <w:spacing w:val="-3"/>
        </w:rPr>
        <w:t> </w:t>
      </w:r>
      <w:r>
        <w:rPr>
          <w:color w:val="231F20"/>
        </w:rPr>
        <w:t>ce</w:t>
      </w:r>
      <w:r>
        <w:rPr>
          <w:color w:val="231F20"/>
          <w:spacing w:val="-4"/>
        </w:rPr>
        <w:t> </w:t>
      </w:r>
      <w:r>
        <w:rPr>
          <w:color w:val="231F20"/>
        </w:rPr>
        <w:t>qui</w:t>
      </w:r>
      <w:r>
        <w:rPr>
          <w:color w:val="231F20"/>
          <w:spacing w:val="-3"/>
        </w:rPr>
        <w:t> </w:t>
      </w:r>
      <w:r>
        <w:rPr>
          <w:color w:val="231F20"/>
        </w:rPr>
        <w:t>est</w:t>
      </w:r>
      <w:r>
        <w:rPr>
          <w:color w:val="231F20"/>
          <w:spacing w:val="-4"/>
        </w:rPr>
        <w:t> </w:t>
      </w:r>
      <w:r>
        <w:rPr>
          <w:color w:val="231F20"/>
        </w:rPr>
        <w:t>nécessaire pour rendre la cessation de ses fonctions opposable aux tiers aux conditions prévues à l’article</w:t>
      </w:r>
      <w:r>
        <w:rPr>
          <w:color w:val="231F20"/>
          <w:spacing w:val="18"/>
        </w:rPr>
        <w:t> </w:t>
      </w:r>
      <w:r>
        <w:rPr>
          <w:color w:val="231F20"/>
        </w:rPr>
        <w:t>2:18.</w:t>
      </w:r>
    </w:p>
    <w:p>
      <w:pPr>
        <w:pStyle w:val="BodyText"/>
        <w:spacing w:line="213" w:lineRule="auto" w:before="89"/>
        <w:ind w:right="38"/>
      </w:pPr>
      <w:r>
        <w:rPr>
          <w:color w:val="231F20"/>
        </w:rPr>
        <w:t>Art. 6:59. Lorsque les administrateurs constituent un organe collégial au sens de l’article 6:61, § 1</w:t>
      </w:r>
      <w:r>
        <w:rPr>
          <w:color w:val="231F20"/>
          <w:position w:val="7"/>
          <w:sz w:val="11"/>
        </w:rPr>
        <w:t>er</w:t>
      </w:r>
      <w:r>
        <w:rPr>
          <w:color w:val="231F20"/>
        </w:rPr>
        <w:t>, et que la place d’un administrateur devient vacante avant la fin de son mandat, les administrateurs restants ont le droit de coopter un nouvel administrateur, sauf si les statuts l’excluent.</w:t>
      </w:r>
    </w:p>
    <w:p>
      <w:pPr>
        <w:pStyle w:val="BodyText"/>
        <w:spacing w:line="218" w:lineRule="auto" w:before="86"/>
        <w:ind w:right="38"/>
      </w:pPr>
      <w:r>
        <w:rPr>
          <w:color w:val="231F20"/>
        </w:rPr>
        <w:t>La première assemblée générale qui suit doit confirmer le mandat de l’administrateur</w:t>
      </w:r>
      <w:r>
        <w:rPr>
          <w:color w:val="231F20"/>
          <w:spacing w:val="-5"/>
        </w:rPr>
        <w:t> </w:t>
      </w:r>
      <w:r>
        <w:rPr>
          <w:color w:val="231F20"/>
        </w:rPr>
        <w:t>coopté;</w:t>
      </w:r>
      <w:r>
        <w:rPr>
          <w:color w:val="231F20"/>
          <w:spacing w:val="-4"/>
        </w:rPr>
        <w:t> </w:t>
      </w:r>
      <w:r>
        <w:rPr>
          <w:color w:val="231F20"/>
        </w:rPr>
        <w:t>en</w:t>
      </w:r>
      <w:r>
        <w:rPr>
          <w:color w:val="231F20"/>
          <w:spacing w:val="-5"/>
        </w:rPr>
        <w:t> </w:t>
      </w:r>
      <w:r>
        <w:rPr>
          <w:color w:val="231F20"/>
        </w:rPr>
        <w:t>cas</w:t>
      </w:r>
      <w:r>
        <w:rPr>
          <w:color w:val="231F20"/>
          <w:spacing w:val="-4"/>
        </w:rPr>
        <w:t> </w:t>
      </w:r>
      <w:r>
        <w:rPr>
          <w:color w:val="231F20"/>
        </w:rPr>
        <w:t>de</w:t>
      </w:r>
      <w:r>
        <w:rPr>
          <w:color w:val="231F20"/>
          <w:spacing w:val="-4"/>
        </w:rPr>
        <w:t> </w:t>
      </w:r>
      <w:r>
        <w:rPr>
          <w:color w:val="231F20"/>
        </w:rPr>
        <w:t>confirmation,</w:t>
      </w:r>
      <w:r>
        <w:rPr>
          <w:color w:val="231F20"/>
          <w:spacing w:val="-5"/>
        </w:rPr>
        <w:t> </w:t>
      </w:r>
      <w:r>
        <w:rPr>
          <w:color w:val="231F20"/>
        </w:rPr>
        <w:t>l’administrateur</w:t>
      </w:r>
      <w:r>
        <w:rPr>
          <w:color w:val="231F20"/>
          <w:spacing w:val="-4"/>
        </w:rPr>
        <w:t> </w:t>
      </w:r>
      <w:r>
        <w:rPr>
          <w:color w:val="231F20"/>
        </w:rPr>
        <w:t>coopté termine le mandat de son prédécesseur, sauf si l’assemblée générale en décide autrement. À défaut de confirmation, le mandat de l’adminis- trateur coopté prend fin après l’assemblée générale, sans que cela porte préjudice à la régularité de la composition de l’organe d’administration jusqu’à cette</w:t>
      </w:r>
      <w:r>
        <w:rPr>
          <w:color w:val="231F20"/>
          <w:spacing w:val="-12"/>
        </w:rPr>
        <w:t> </w:t>
      </w:r>
      <w:r>
        <w:rPr>
          <w:color w:val="231F20"/>
        </w:rPr>
        <w:t>date.</w:t>
      </w:r>
    </w:p>
    <w:p>
      <w:pPr>
        <w:pStyle w:val="BodyText"/>
        <w:spacing w:before="72"/>
        <w:ind w:left="283" w:right="0" w:firstLine="0"/>
        <w:jc w:val="left"/>
      </w:pPr>
      <w:r>
        <w:rPr>
          <w:color w:val="231F20"/>
        </w:rPr>
        <w:t>Section 2. Rémunération.</w:t>
      </w:r>
    </w:p>
    <w:p>
      <w:pPr>
        <w:pStyle w:val="BodyText"/>
        <w:spacing w:line="218" w:lineRule="auto" w:before="82"/>
        <w:ind w:right="38"/>
      </w:pPr>
      <w:r>
        <w:rPr>
          <w:color w:val="231F20"/>
        </w:rPr>
        <w:t>Art. 6:60. Sauf disposition statutaire contraire ou à moins que l’assemblée générale n’en décide autrement lors de leur nomination, les administrateurs sont rémunérés pour l’exercice de leur mandat.</w:t>
      </w:r>
    </w:p>
    <w:p>
      <w:pPr>
        <w:pStyle w:val="BodyText"/>
        <w:spacing w:before="72"/>
        <w:ind w:left="283" w:right="0" w:firstLine="0"/>
        <w:jc w:val="left"/>
      </w:pPr>
      <w:r>
        <w:rPr>
          <w:color w:val="231F20"/>
        </w:rPr>
        <w:t>Section 3. Pouvoirs et fonctionnement.</w:t>
      </w:r>
    </w:p>
    <w:p>
      <w:pPr>
        <w:pStyle w:val="BodyText"/>
        <w:spacing w:line="218" w:lineRule="auto" w:before="77"/>
        <w:ind w:right="39"/>
      </w:pPr>
      <w:r>
        <w:rPr>
          <w:color w:val="231F20"/>
        </w:rPr>
        <w:t>Art. 6:61. § 1</w:t>
      </w:r>
      <w:r>
        <w:rPr>
          <w:color w:val="231F20"/>
          <w:position w:val="7"/>
          <w:sz w:val="11"/>
        </w:rPr>
        <w:t>er</w:t>
      </w:r>
      <w:r>
        <w:rPr>
          <w:color w:val="231F20"/>
        </w:rPr>
        <w:t>. Chaque administrateur a le pouvoir d’accomplir tous les actes nécessaires ou utiles à la réalisation de l’objet de la société, à l’exception de ceux que la loi réserve à l’assemblée générale.</w:t>
      </w:r>
    </w:p>
    <w:p>
      <w:pPr>
        <w:pStyle w:val="BodyText"/>
        <w:spacing w:before="11"/>
        <w:ind w:left="0" w:right="0" w:firstLine="0"/>
        <w:jc w:val="left"/>
        <w:rPr>
          <w:sz w:val="23"/>
        </w:rPr>
      </w:pPr>
    </w:p>
    <w:p>
      <w:pPr>
        <w:pStyle w:val="BodyText"/>
        <w:spacing w:line="218" w:lineRule="auto"/>
        <w:ind w:right="38"/>
      </w:pPr>
      <w:r>
        <w:rPr>
          <w:color w:val="231F20"/>
        </w:rPr>
        <w:t>Les statuts peuvent apporter des restrictions aux pouvoirs de chaque administrateur. Une telle restriction n’est pas opposable aux tiers, même si elle est publiée. Il en va de même pour une répartition des tâches entre les administrateurs.</w:t>
      </w:r>
    </w:p>
    <w:p>
      <w:pPr>
        <w:pStyle w:val="BodyText"/>
        <w:spacing w:line="218" w:lineRule="auto" w:before="96"/>
        <w:ind w:right="38"/>
      </w:pPr>
      <w:r>
        <w:rPr>
          <w:color w:val="231F20"/>
        </w:rPr>
        <w:t>Les statuts peuvent prévoir que les administrateurs constituent un organe d’administration collégial. Les statuts peuvent apporter des restrictions aux pouvoirs de cet organe  d’administration  collégial.  Une telle restriction n’est pas opposable aux tiers, même si elle</w:t>
      </w:r>
      <w:r>
        <w:rPr>
          <w:color w:val="231F20"/>
          <w:spacing w:val="9"/>
        </w:rPr>
        <w:t> </w:t>
      </w:r>
      <w:r>
        <w:rPr>
          <w:color w:val="231F20"/>
        </w:rPr>
        <w:t>est publiée. Il en va de même pour une répartition des tâches entre les administrateurs.</w:t>
      </w:r>
    </w:p>
    <w:p>
      <w:pPr>
        <w:pStyle w:val="BodyText"/>
        <w:spacing w:line="218" w:lineRule="auto" w:before="119"/>
      </w:pPr>
      <w:r>
        <w:rPr/>
        <w:br w:type="column"/>
      </w:r>
      <w:r>
        <w:rPr>
          <w:color w:val="231F20"/>
        </w:rPr>
        <w:t>De uitgiftevoorwaarden van effecten bedoeld in het eerste lid zijn regelmatig openbaar gemaakt indien ze werden neergelegd en bekend- gemaakt overeenkomstig de artikelen 2:8, § 3, en 2:14, 1°, of zijn opgenomen in een toepasselijke prospectus.</w:t>
      </w:r>
    </w:p>
    <w:p>
      <w:pPr>
        <w:pStyle w:val="BodyText"/>
        <w:spacing w:line="218" w:lineRule="auto" w:before="86"/>
      </w:pPr>
      <w:r>
        <w:rPr>
          <w:color w:val="231F20"/>
        </w:rPr>
        <w:t>TITEL 4. Vennootschapsorganen en algemene vergadering van obligatiehouders.</w:t>
      </w:r>
    </w:p>
    <w:p>
      <w:pPr>
        <w:pStyle w:val="BodyText"/>
        <w:spacing w:before="71"/>
        <w:ind w:left="283" w:right="0" w:firstLine="0"/>
        <w:jc w:val="left"/>
      </w:pPr>
      <w:r>
        <w:rPr>
          <w:color w:val="231F20"/>
        </w:rPr>
        <w:t>HOOFDSTUK 1. Bestuur.</w:t>
      </w:r>
    </w:p>
    <w:p>
      <w:pPr>
        <w:pStyle w:val="BodyText"/>
        <w:spacing w:before="68"/>
        <w:ind w:left="283" w:right="0" w:firstLine="0"/>
        <w:jc w:val="left"/>
      </w:pPr>
      <w:r>
        <w:rPr>
          <w:color w:val="231F20"/>
          <w:w w:val="105"/>
        </w:rPr>
        <w:t>Afdeling 1. Samenstelling.</w:t>
      </w:r>
    </w:p>
    <w:p>
      <w:pPr>
        <w:pStyle w:val="BodyText"/>
        <w:spacing w:line="218" w:lineRule="auto" w:before="82"/>
      </w:pPr>
      <w:r>
        <w:rPr>
          <w:color w:val="231F20"/>
        </w:rPr>
        <w:t>Art. 6:58. § 1. De vennootschap wordt bestuurd door één of meer bestuurders die al dan niet een college vormen, en die natuurlijke of rechtspersonen zijn.</w:t>
      </w:r>
    </w:p>
    <w:p>
      <w:pPr>
        <w:pStyle w:val="BodyText"/>
        <w:spacing w:line="218" w:lineRule="auto" w:before="86"/>
      </w:pPr>
      <w:r>
        <w:rPr>
          <w:color w:val="231F20"/>
        </w:rPr>
        <w:t>Bestuurders kunnen in deze hoedanigheid niet door een arbeidsover- eenkomst met de vennootschap zijn verbonden.</w:t>
      </w:r>
    </w:p>
    <w:p>
      <w:pPr>
        <w:pStyle w:val="BodyText"/>
        <w:spacing w:line="218" w:lineRule="auto" w:before="85"/>
      </w:pPr>
      <w:r>
        <w:rPr>
          <w:color w:val="231F20"/>
        </w:rPr>
        <w:t>§ 2. De bestuurders worden door de algemene vergadering van aandeelhouders benoemd voor een bepaalde of onbepaalde termijn; zij worden voor de eerste maal aangeduid in de oprichtingsakte.</w:t>
      </w:r>
    </w:p>
    <w:p>
      <w:pPr>
        <w:pStyle w:val="BodyText"/>
        <w:spacing w:line="218" w:lineRule="auto" w:before="86"/>
      </w:pPr>
      <w:r>
        <w:rPr>
          <w:color w:val="231F20"/>
        </w:rPr>
        <w:t>Tenzij de statuten of het benoemingsbesluit van de algemene vergadering anders bepalen, loopt het mandaat van een bestuurder die voor een bepaalde termijn is benoemd van de algemene vergadering waarop hij wordt benoemd tot de gewone algemene vergadering in het boekjaar waarin zijn mandaat volgens het benoemingsbesluit verstrijkt.</w:t>
      </w:r>
    </w:p>
    <w:p>
      <w:pPr>
        <w:pStyle w:val="BodyText"/>
        <w:spacing w:before="9"/>
        <w:ind w:left="0" w:right="0" w:firstLine="0"/>
        <w:jc w:val="left"/>
        <w:rPr>
          <w:sz w:val="21"/>
        </w:rPr>
      </w:pPr>
    </w:p>
    <w:p>
      <w:pPr>
        <w:pStyle w:val="BodyText"/>
        <w:ind w:left="283" w:right="0" w:firstLine="0"/>
        <w:jc w:val="left"/>
      </w:pPr>
      <w:r>
        <w:rPr>
          <w:color w:val="231F20"/>
        </w:rPr>
        <w:t>Bestuurders kunnen ook statutair worden benoemd.</w:t>
      </w:r>
    </w:p>
    <w:p>
      <w:pPr>
        <w:pStyle w:val="BodyText"/>
        <w:spacing w:line="218" w:lineRule="auto" w:before="82"/>
      </w:pPr>
      <w:r>
        <w:rPr>
          <w:color w:val="231F20"/>
        </w:rPr>
        <w:t>§ 3. Het ontslag van een bestuurder benoemd in de statuten vereist een statutenwijziging.</w:t>
      </w:r>
    </w:p>
    <w:p>
      <w:pPr>
        <w:pStyle w:val="BodyText"/>
        <w:spacing w:line="218" w:lineRule="auto" w:before="85"/>
      </w:pPr>
      <w:r>
        <w:rPr>
          <w:color w:val="231F20"/>
        </w:rPr>
        <w:t>Tenzij de statuten of de algemene vergadering in het benoemingsbe- sluit anders bepalen kan de algemene vergadering het mandaat van een niet-statutair benoemde bestuurder te allen tijde en zonder opgave van redenen met onmiddellijke ingang beëindigen.</w:t>
      </w:r>
    </w:p>
    <w:p>
      <w:pPr>
        <w:pStyle w:val="BodyText"/>
        <w:ind w:left="0" w:right="0" w:firstLine="0"/>
        <w:jc w:val="left"/>
        <w:rPr>
          <w:sz w:val="23"/>
        </w:rPr>
      </w:pPr>
    </w:p>
    <w:p>
      <w:pPr>
        <w:pStyle w:val="BodyText"/>
        <w:spacing w:line="218" w:lineRule="auto"/>
      </w:pPr>
      <w:r>
        <w:rPr>
          <w:color w:val="231F20"/>
          <w:spacing w:val="-3"/>
        </w:rPr>
        <w:t>Tenzij </w:t>
      </w:r>
      <w:r>
        <w:rPr>
          <w:color w:val="231F20"/>
        </w:rPr>
        <w:t>de statuten anders bepalen, kan de algemene vergadering op het moment van de opzegging evenwel steeds de datum bepalen waarop het bestuursmandaat eindigt of een vertrekvergoeding toekennen.</w:t>
      </w:r>
    </w:p>
    <w:p>
      <w:pPr>
        <w:pStyle w:val="BodyText"/>
        <w:spacing w:line="218" w:lineRule="auto" w:before="86"/>
      </w:pPr>
      <w:r>
        <w:rPr>
          <w:color w:val="231F20"/>
        </w:rPr>
        <w:t>De algemene vergadering kan het mandaat van een al dan niet in de statuten benoemde bestuurder steeds beëindigen wegens  wettige reden, zonder opzeggingstermijn of</w:t>
      </w:r>
      <w:r>
        <w:rPr>
          <w:color w:val="231F20"/>
          <w:spacing w:val="29"/>
        </w:rPr>
        <w:t> </w:t>
      </w:r>
      <w:r>
        <w:rPr>
          <w:color w:val="231F20"/>
        </w:rPr>
        <w:t>vertrekvergoeding.</w:t>
      </w:r>
    </w:p>
    <w:p>
      <w:pPr>
        <w:pStyle w:val="BodyText"/>
        <w:spacing w:line="218" w:lineRule="auto" w:before="86"/>
      </w:pPr>
      <w:r>
        <w:rPr>
          <w:color w:val="231F20"/>
        </w:rPr>
        <w:t>§ 4. Elke bestuurder kan zelf ontslag nemen door loutere kennisge- ving aan het bestuursorgaan. Op verzoek van de vennootschap blijft hij in functie totdat de vennootschap redelijkerwijze in zijn  vervanging kan voorzien. Hij kan zelf het nodige doen om de beëindiging van zijn mandaat aan derden tegen te werpen onder de voorwaarden bepaald in artikel</w:t>
      </w:r>
      <w:r>
        <w:rPr>
          <w:color w:val="231F20"/>
          <w:spacing w:val="14"/>
        </w:rPr>
        <w:t> </w:t>
      </w:r>
      <w:r>
        <w:rPr>
          <w:color w:val="231F20"/>
        </w:rPr>
        <w:t>2:18.</w:t>
      </w:r>
    </w:p>
    <w:p>
      <w:pPr>
        <w:pStyle w:val="BodyText"/>
        <w:spacing w:line="218" w:lineRule="auto" w:before="85"/>
      </w:pPr>
      <w:r>
        <w:rPr>
          <w:color w:val="231F20"/>
        </w:rPr>
        <w:t>Art. 6:59. Wanneer de bestuurders een collegiaal orgaan vormen als bedoeld in artikel 6:61, § 1, en de plaats van een bestuurder vóór het einde van zijn mandaat openvalt, hebben de overblijvende bestuurders het recht een nieuwe bestuurder te coöpteren, tenzij de statuten dit uitsluiten.</w:t>
      </w:r>
    </w:p>
    <w:p>
      <w:pPr>
        <w:pStyle w:val="BodyText"/>
        <w:spacing w:line="218" w:lineRule="auto" w:before="86"/>
      </w:pPr>
      <w:r>
        <w:rPr>
          <w:color w:val="231F20"/>
        </w:rPr>
        <w:t>De eerstvolgende algemene vergadering moet het mandaat van de gecoöpteerde bestuurder bevestigen; bij bevestiging volbrengt de gecoöpteerde bestuurder het mandaat van zijn voorganger, tenzij de algemene vergadering er anders over beslist. Bij gebrek aan bevestiging eindigt het mandaat van de gecoöpteerde bestuurder na afloop van de algemene vergadering, zonder dat dit afbreuk doet aan de regelmatig- heid van de samenstelling van het bestuursorgaan tot op dat ogenblik.</w:t>
      </w:r>
    </w:p>
    <w:p>
      <w:pPr>
        <w:pStyle w:val="BodyText"/>
        <w:spacing w:before="72"/>
        <w:ind w:left="283" w:right="0" w:firstLine="0"/>
        <w:jc w:val="left"/>
      </w:pPr>
      <w:r>
        <w:rPr>
          <w:color w:val="231F20"/>
        </w:rPr>
        <w:t>Afdeling 2. Bezoldiging.</w:t>
      </w:r>
    </w:p>
    <w:p>
      <w:pPr>
        <w:pStyle w:val="BodyText"/>
        <w:spacing w:line="218" w:lineRule="auto" w:before="82"/>
      </w:pPr>
      <w:r>
        <w:rPr>
          <w:color w:val="231F20"/>
        </w:rPr>
        <w:t>Art. 6:60. Tenzij de statuten anders bepalen of de algemene vergade- ring bij hun benoeming anders beslist, worden de bestuurders bezol- digd voor de uitoefening van hun mandaat.</w:t>
      </w:r>
    </w:p>
    <w:p>
      <w:pPr>
        <w:pStyle w:val="BodyText"/>
        <w:spacing w:before="72"/>
        <w:ind w:left="283" w:right="0" w:firstLine="0"/>
        <w:jc w:val="left"/>
      </w:pPr>
      <w:r>
        <w:rPr>
          <w:color w:val="231F20"/>
        </w:rPr>
        <w:t>Afdeling 3. Bevoegdheid en werkwijze.</w:t>
      </w:r>
    </w:p>
    <w:p>
      <w:pPr>
        <w:pStyle w:val="BodyText"/>
        <w:spacing w:line="218" w:lineRule="auto" w:before="92"/>
      </w:pPr>
      <w:r>
        <w:rPr>
          <w:color w:val="231F20"/>
        </w:rPr>
        <w:t>Art. 6:61. § 1. Elke bestuurder is bevoegd om alle handelingen te verrichten die nodig of dienstig zijn tot verwezenlijking van het voorwerp van de vennootschap, tenzij die waarvoor volgens de wet de algemene vergadering bevoegd is.</w:t>
      </w:r>
    </w:p>
    <w:p>
      <w:pPr>
        <w:pStyle w:val="BodyText"/>
        <w:spacing w:line="218" w:lineRule="auto" w:before="97"/>
        <w:ind w:right="123"/>
      </w:pPr>
      <w:r>
        <w:rPr>
          <w:color w:val="231F20"/>
        </w:rPr>
        <w:t>De statuten kunnen de bevoegdheden van elke bestuurder beperken. Zodanige beperking kan niet aan derden worden tegengeworpen, ook  al is ze openbaar gemaakt. Hetzelfde geldt voor een onderlinge taakverdeling onder de</w:t>
      </w:r>
      <w:r>
        <w:rPr>
          <w:color w:val="231F20"/>
          <w:spacing w:val="5"/>
        </w:rPr>
        <w:t> </w:t>
      </w:r>
      <w:r>
        <w:rPr>
          <w:color w:val="231F20"/>
        </w:rPr>
        <w:t>bestuurders.</w:t>
      </w:r>
    </w:p>
    <w:p>
      <w:pPr>
        <w:pStyle w:val="BodyText"/>
        <w:spacing w:line="218" w:lineRule="auto" w:before="96"/>
      </w:pPr>
      <w:r>
        <w:rPr>
          <w:color w:val="231F20"/>
        </w:rPr>
        <w:t>De statuten kunnen bepalen dat de bestuurders een collegiaal bestuursorgaan vormen. De statuten kunnen de bevoegdheden van dit collegiaal bestuursorgaan beperken. Zodanige beperking kan niet aan derden worden tegengeworpen, ook al is ze openbaar gemaakt. Hetzelfde geldt voor een onderlinge taakverdeling onder de bestuur- ders.</w:t>
      </w:r>
    </w:p>
    <w:p>
      <w:pPr>
        <w:spacing w:after="0" w:line="218" w:lineRule="auto"/>
        <w:sectPr>
          <w:headerReference w:type="even" r:id="rId59"/>
          <w:headerReference w:type="default" r:id="rId60"/>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4192" from="298.170502pt,64.473pt" to="298.170502pt,812.819pt" stroked="true" strokeweight=".533pt" strokecolor="#231f20">
            <v:stroke dashstyle="solid"/>
            <w10:wrap type="none"/>
          </v:line>
        </w:pict>
      </w:r>
      <w:bookmarkStart w:name="_bookmark132" w:id="137"/>
      <w:bookmarkEnd w:id="137"/>
      <w:r>
        <w:rPr/>
      </w:r>
      <w:r>
        <w:rPr>
          <w:color w:val="231F20"/>
        </w:rPr>
        <w:t>§ 2. Chaque administrateur ou, en cas d’organe d’administration collégial, l’organe d’administration représente la société à l’égard des tiers, en ce compris la représentation en justice. Toutefois, les statuts peuvent stipuler que la société est représentée par un ou plusieurs administrateurs désignés à cet effet, ou par plusieurs administrateurs agissant conjointement. Une telle clause de représentation est opposa- ble aux tiers aux conditions fixées à l’article 2:18.</w:t>
      </w:r>
    </w:p>
    <w:p>
      <w:pPr>
        <w:pStyle w:val="BodyText"/>
        <w:spacing w:line="218" w:lineRule="auto" w:before="86"/>
        <w:ind w:right="38"/>
      </w:pPr>
      <w:r>
        <w:rPr>
          <w:color w:val="231F20"/>
        </w:rPr>
        <w:t>Les statuts peuvent apporter des restrictions à ce pouvoir de représentation. Ces restrictions ne sont pas opposable aux tiers, même si elles sont publiées. Il en va de même pour une répartition des tâches entre les administrateurs ayant le pouvoir de représentation.</w:t>
      </w:r>
    </w:p>
    <w:p>
      <w:pPr>
        <w:pStyle w:val="BodyText"/>
        <w:ind w:left="0" w:right="0" w:firstLine="0"/>
        <w:jc w:val="left"/>
        <w:rPr>
          <w:sz w:val="23"/>
        </w:rPr>
      </w:pPr>
    </w:p>
    <w:p>
      <w:pPr>
        <w:pStyle w:val="BodyText"/>
        <w:spacing w:line="218" w:lineRule="auto"/>
        <w:ind w:right="38"/>
      </w:pPr>
      <w:r>
        <w:rPr>
          <w:color w:val="231F20"/>
        </w:rPr>
        <w:t>Art. 6:62. La société est liée par les actes accomplis par l’organe d’administration, par les délégués à la gestion journalière et par les administrateurs qui, conformément à l’article 6:61, § 2, ont le pouvoir de la représenter même si ces actes excèdent son objet, sauf si la société prouve que le tiers en avait connaissance ou qu’il ne pouvait l’ignorer, compte tenu des circonstances, sans que la seule publication des statuts suffise à constituer cette preuve.</w:t>
      </w:r>
    </w:p>
    <w:p>
      <w:pPr>
        <w:pStyle w:val="BodyText"/>
        <w:ind w:left="0" w:right="0" w:firstLine="0"/>
        <w:jc w:val="left"/>
        <w:rPr>
          <w:sz w:val="23"/>
        </w:rPr>
      </w:pPr>
    </w:p>
    <w:p>
      <w:pPr>
        <w:pStyle w:val="BodyText"/>
        <w:spacing w:line="218" w:lineRule="auto"/>
        <w:ind w:right="38"/>
      </w:pPr>
      <w:r>
        <w:rPr>
          <w:color w:val="231F20"/>
        </w:rPr>
        <w:t>Art. 6:63. Le procès-verbal des réunions d’un organe d’administra- tion collégial est signé par le président et les administrateurs qui le souhaitent; les copies à délivrer aux tiers sont signées par un ou plusieurs administrateurs ayant le pouvoir de représentation.</w:t>
      </w:r>
    </w:p>
    <w:p>
      <w:pPr>
        <w:pStyle w:val="BodyText"/>
        <w:spacing w:line="218" w:lineRule="auto" w:before="96"/>
        <w:ind w:right="38"/>
      </w:pPr>
      <w:r>
        <w:rPr>
          <w:color w:val="231F20"/>
        </w:rPr>
        <w:t>Les décisions d’un organe d’administration collégial peuvent être prises par consentement unanime de l’ensemble des membres, exprimé par écrit, à l’exception des décisions pour lesquelles les statuts excluent cette possibilité.</w:t>
      </w:r>
    </w:p>
    <w:p>
      <w:pPr>
        <w:pStyle w:val="BodyText"/>
        <w:spacing w:line="218" w:lineRule="auto" w:before="82"/>
        <w:ind w:right="38"/>
      </w:pPr>
      <w:r>
        <w:rPr>
          <w:color w:val="231F20"/>
        </w:rPr>
        <w:t>Art. 6:64. § 1</w:t>
      </w:r>
      <w:r>
        <w:rPr>
          <w:color w:val="231F20"/>
          <w:position w:val="7"/>
          <w:sz w:val="11"/>
        </w:rPr>
        <w:t>er</w:t>
      </w:r>
      <w:r>
        <w:rPr>
          <w:color w:val="231F20"/>
        </w:rPr>
        <w:t>. Lorsque l’organe d’administration est appelé à prendre une décision ou se prononcer sur une opération relevant de sa compétence à propos de laquelle un administrateur a un intérêt direct ou indirect de nature patrimoniale qui est opposé à l’intérêt de la société, et que plusieurs administrateurs sont chacun individuellement compétents pour administrer ou représenter la société, l’administrateur en question doit en informer les autres administrateurs. Sa déclaration et ses explications sur la nature de cet intérêt opposé doivent figurer dans le procès-verbal d’une réunion de ces autres administrateurs. Les autres administrateurs peuvent prendre la décision ou réaliser l’opéra- tion eux-mêmes. Dans ce cas, l’administrateur qui a le conflit d’intérêts ne peut prendre part aux délibérations des autres administrateurs concernant cette décision ou opération.</w:t>
      </w:r>
    </w:p>
    <w:p>
      <w:pPr>
        <w:pStyle w:val="BodyText"/>
        <w:spacing w:line="218" w:lineRule="auto" w:before="97"/>
        <w:ind w:right="38"/>
      </w:pPr>
      <w:r>
        <w:rPr>
          <w:color w:val="231F20"/>
        </w:rPr>
        <w:t>Lorsque tous les administrateurs ont un conflit d’intérêts, la décision ou l’opération est soumise à l’assemblée générale; si l’assemblée générale approuve la décision ou l’opération, l’organe d’administration peut l’exécuter.</w:t>
      </w:r>
    </w:p>
    <w:p>
      <w:pPr>
        <w:pStyle w:val="BodyText"/>
        <w:spacing w:line="218" w:lineRule="auto" w:before="96"/>
        <w:ind w:right="38"/>
      </w:pPr>
      <w:r>
        <w:rPr>
          <w:color w:val="231F20"/>
        </w:rPr>
        <w:t>§ 2. Si les statuts prévoient que l’organe d’administration est un organe collégial, la décision est prise ou l’opération accomplie par l’organe d’administration, sans que l’administrateur qui est en situation de conflit d’intérêts puisse participer aux délibérations de l’organe d’administration concernant cette décision ou opération, ni participer au vote à ce propos. Lorsque tous les administrateurs de l’organe d’administration collégial ont un conflit d’intérêts, la décision ou l’opération est soumise à l’assemblée générale; si l’assemblée générale approuve la décision ou l’opération, l’organe d’administration peut l’exécuter.</w:t>
      </w:r>
    </w:p>
    <w:p>
      <w:pPr>
        <w:pStyle w:val="BodyText"/>
        <w:spacing w:line="218" w:lineRule="auto" w:before="97"/>
        <w:ind w:right="38"/>
      </w:pPr>
      <w:r>
        <w:rPr>
          <w:color w:val="231F20"/>
        </w:rPr>
        <w:t>§ 3. Lorqu’il n’ya qu’un administrateur et qu’ila un conflit d’intérêts, il soumet la décision ou l’opération à l’assemblée générale.</w:t>
      </w:r>
    </w:p>
    <w:p>
      <w:pPr>
        <w:pStyle w:val="BodyText"/>
        <w:spacing w:before="6"/>
        <w:ind w:left="0" w:right="0" w:firstLine="0"/>
        <w:jc w:val="left"/>
        <w:rPr>
          <w:sz w:val="22"/>
        </w:rPr>
      </w:pPr>
    </w:p>
    <w:p>
      <w:pPr>
        <w:pStyle w:val="BodyText"/>
        <w:spacing w:line="218" w:lineRule="auto" w:before="1"/>
        <w:ind w:right="38" w:firstLine="171"/>
      </w:pPr>
      <w:r>
        <w:rPr>
          <w:color w:val="231F20"/>
        </w:rPr>
        <w:t>§ 4. Les paragraphes 1</w:t>
      </w:r>
      <w:r>
        <w:rPr>
          <w:color w:val="231F20"/>
          <w:position w:val="7"/>
          <w:sz w:val="11"/>
        </w:rPr>
        <w:t>er </w:t>
      </w:r>
      <w:r>
        <w:rPr>
          <w:color w:val="231F20"/>
        </w:rPr>
        <w:t>à 3 ne sont pas applicables lorsque les décisions ou opérations visées ci-dessus ont été conclues entre sociétés dont</w:t>
      </w:r>
      <w:r>
        <w:rPr>
          <w:color w:val="231F20"/>
          <w:spacing w:val="-3"/>
        </w:rPr>
        <w:t> </w:t>
      </w:r>
      <w:r>
        <w:rPr>
          <w:color w:val="231F20"/>
        </w:rPr>
        <w:t>l’une</w:t>
      </w:r>
      <w:r>
        <w:rPr>
          <w:color w:val="231F20"/>
          <w:spacing w:val="-3"/>
        </w:rPr>
        <w:t> </w:t>
      </w:r>
      <w:r>
        <w:rPr>
          <w:color w:val="231F20"/>
        </w:rPr>
        <w:t>détient</w:t>
      </w:r>
      <w:r>
        <w:rPr>
          <w:color w:val="231F20"/>
          <w:spacing w:val="-3"/>
        </w:rPr>
        <w:t> </w:t>
      </w:r>
      <w:r>
        <w:rPr>
          <w:color w:val="231F20"/>
        </w:rPr>
        <w:t>directement</w:t>
      </w:r>
      <w:r>
        <w:rPr>
          <w:color w:val="231F20"/>
          <w:spacing w:val="-2"/>
        </w:rPr>
        <w:t> </w:t>
      </w:r>
      <w:r>
        <w:rPr>
          <w:color w:val="231F20"/>
        </w:rPr>
        <w:t>ou</w:t>
      </w:r>
      <w:r>
        <w:rPr>
          <w:color w:val="231F20"/>
          <w:spacing w:val="-3"/>
        </w:rPr>
        <w:t> </w:t>
      </w:r>
      <w:r>
        <w:rPr>
          <w:color w:val="231F20"/>
        </w:rPr>
        <w:t>indirectement</w:t>
      </w:r>
      <w:r>
        <w:rPr>
          <w:color w:val="231F20"/>
          <w:spacing w:val="-3"/>
        </w:rPr>
        <w:t> </w:t>
      </w:r>
      <w:r>
        <w:rPr>
          <w:color w:val="231F20"/>
        </w:rPr>
        <w:t>95</w:t>
      </w:r>
      <w:r>
        <w:rPr>
          <w:color w:val="231F20"/>
          <w:spacing w:val="-2"/>
        </w:rPr>
        <w:t> </w:t>
      </w:r>
      <w:r>
        <w:rPr>
          <w:color w:val="231F20"/>
        </w:rPr>
        <w:t>%</w:t>
      </w:r>
      <w:r>
        <w:rPr>
          <w:color w:val="231F20"/>
          <w:spacing w:val="-3"/>
        </w:rPr>
        <w:t> </w:t>
      </w:r>
      <w:r>
        <w:rPr>
          <w:color w:val="231F20"/>
        </w:rPr>
        <w:t>au</w:t>
      </w:r>
      <w:r>
        <w:rPr>
          <w:color w:val="231F20"/>
          <w:spacing w:val="-3"/>
        </w:rPr>
        <w:t> </w:t>
      </w:r>
      <w:r>
        <w:rPr>
          <w:color w:val="231F20"/>
        </w:rPr>
        <w:t>moins</w:t>
      </w:r>
      <w:r>
        <w:rPr>
          <w:color w:val="231F20"/>
          <w:spacing w:val="-2"/>
        </w:rPr>
        <w:t> </w:t>
      </w:r>
      <w:r>
        <w:rPr>
          <w:color w:val="231F20"/>
        </w:rPr>
        <w:t>des</w:t>
      </w:r>
      <w:r>
        <w:rPr>
          <w:color w:val="231F20"/>
          <w:spacing w:val="-3"/>
        </w:rPr>
        <w:t> </w:t>
      </w:r>
      <w:r>
        <w:rPr>
          <w:color w:val="231F20"/>
        </w:rPr>
        <w:t>voix attachées à l’ensemble des titres émis par l’autre ou entre sociétés dont 95 % au moins des voix attachées à l’ensemble des titres émis par chacune</w:t>
      </w:r>
      <w:r>
        <w:rPr>
          <w:color w:val="231F20"/>
          <w:spacing w:val="15"/>
        </w:rPr>
        <w:t> </w:t>
      </w:r>
      <w:r>
        <w:rPr>
          <w:color w:val="231F20"/>
        </w:rPr>
        <w:t>d’elles</w:t>
      </w:r>
      <w:r>
        <w:rPr>
          <w:color w:val="231F20"/>
          <w:spacing w:val="15"/>
        </w:rPr>
        <w:t> </w:t>
      </w:r>
      <w:r>
        <w:rPr>
          <w:color w:val="231F20"/>
        </w:rPr>
        <w:t>sont</w:t>
      </w:r>
      <w:r>
        <w:rPr>
          <w:color w:val="231F20"/>
          <w:spacing w:val="15"/>
        </w:rPr>
        <w:t> </w:t>
      </w:r>
      <w:r>
        <w:rPr>
          <w:color w:val="231F20"/>
        </w:rPr>
        <w:t>détenues</w:t>
      </w:r>
      <w:r>
        <w:rPr>
          <w:color w:val="231F20"/>
          <w:spacing w:val="15"/>
        </w:rPr>
        <w:t> </w:t>
      </w:r>
      <w:r>
        <w:rPr>
          <w:color w:val="231F20"/>
        </w:rPr>
        <w:t>par</w:t>
      </w:r>
      <w:r>
        <w:rPr>
          <w:color w:val="231F20"/>
          <w:spacing w:val="15"/>
        </w:rPr>
        <w:t> </w:t>
      </w:r>
      <w:r>
        <w:rPr>
          <w:color w:val="231F20"/>
        </w:rPr>
        <w:t>une</w:t>
      </w:r>
      <w:r>
        <w:rPr>
          <w:color w:val="231F20"/>
          <w:spacing w:val="16"/>
        </w:rPr>
        <w:t> </w:t>
      </w:r>
      <w:r>
        <w:rPr>
          <w:color w:val="231F20"/>
        </w:rPr>
        <w:t>autre</w:t>
      </w:r>
      <w:r>
        <w:rPr>
          <w:color w:val="231F20"/>
          <w:spacing w:val="15"/>
        </w:rPr>
        <w:t> </w:t>
      </w:r>
      <w:r>
        <w:rPr>
          <w:color w:val="231F20"/>
        </w:rPr>
        <w:t>société.</w:t>
      </w:r>
    </w:p>
    <w:p>
      <w:pPr>
        <w:pStyle w:val="BodyText"/>
        <w:ind w:left="0" w:right="0" w:firstLine="0"/>
        <w:jc w:val="left"/>
        <w:rPr>
          <w:sz w:val="20"/>
        </w:rPr>
      </w:pPr>
    </w:p>
    <w:p>
      <w:pPr>
        <w:pStyle w:val="BodyText"/>
        <w:spacing w:before="1"/>
        <w:ind w:left="0" w:right="0" w:firstLine="0"/>
        <w:jc w:val="left"/>
        <w:rPr>
          <w:sz w:val="18"/>
        </w:rPr>
      </w:pPr>
    </w:p>
    <w:p>
      <w:pPr>
        <w:pStyle w:val="BodyText"/>
        <w:spacing w:line="218" w:lineRule="auto"/>
        <w:ind w:right="38"/>
      </w:pPr>
      <w:r>
        <w:rPr>
          <w:color w:val="231F20"/>
        </w:rPr>
        <w:t>De même, les paragraphes 1</w:t>
      </w:r>
      <w:r>
        <w:rPr>
          <w:color w:val="231F20"/>
          <w:position w:val="7"/>
          <w:sz w:val="11"/>
        </w:rPr>
        <w:t>er </w:t>
      </w:r>
      <w:r>
        <w:rPr>
          <w:color w:val="231F20"/>
        </w:rPr>
        <w:t>à 3 ne sont pas applicables lorsque les décisions de l’organe d’administration concernent des opérations habituelles conclues dans des conditions et sous les garanties normales du marché pour des opérations de même nature.</w:t>
      </w:r>
    </w:p>
    <w:p>
      <w:pPr>
        <w:pStyle w:val="BodyText"/>
        <w:spacing w:before="7"/>
        <w:ind w:left="0" w:right="0" w:firstLine="0"/>
        <w:jc w:val="left"/>
        <w:rPr>
          <w:sz w:val="22"/>
        </w:rPr>
      </w:pPr>
    </w:p>
    <w:p>
      <w:pPr>
        <w:pStyle w:val="BodyText"/>
        <w:spacing w:line="218" w:lineRule="auto"/>
        <w:ind w:right="38"/>
      </w:pPr>
      <w:r>
        <w:rPr>
          <w:color w:val="231F20"/>
        </w:rPr>
        <w:t>Art. 6:65. § 1</w:t>
      </w:r>
      <w:r>
        <w:rPr>
          <w:color w:val="231F20"/>
          <w:position w:val="7"/>
          <w:sz w:val="11"/>
        </w:rPr>
        <w:t>er</w:t>
      </w:r>
      <w:r>
        <w:rPr>
          <w:color w:val="231F20"/>
        </w:rPr>
        <w:t>. Les autres administrateurs ou l’assemblée générale décrivent, dans le procès-verbal ou dans un rapport spécial, la nature de la décision ou de l’opération visée à l’article 6:64 ainsi que les conséquences patrimoniales de celle-ci pour la société et justifie la décision qui a été</w:t>
      </w:r>
      <w:r>
        <w:rPr>
          <w:color w:val="231F20"/>
          <w:spacing w:val="19"/>
        </w:rPr>
        <w:t> </w:t>
      </w:r>
      <w:r>
        <w:rPr>
          <w:color w:val="231F20"/>
        </w:rPr>
        <w:t>prise.</w:t>
      </w:r>
    </w:p>
    <w:p>
      <w:pPr>
        <w:pStyle w:val="BodyText"/>
        <w:spacing w:line="218" w:lineRule="auto" w:before="96"/>
        <w:ind w:right="38"/>
      </w:pPr>
      <w:r>
        <w:rPr>
          <w:color w:val="231F20"/>
        </w:rPr>
        <w:t>Cette partie du procès-verbal ou ce rapport figure dans son intégralité dans le rapport de gestion ou dans une pièce qui est déposée en</w:t>
      </w:r>
      <w:r>
        <w:rPr>
          <w:color w:val="231F20"/>
          <w:spacing w:val="15"/>
        </w:rPr>
        <w:t> </w:t>
      </w:r>
      <w:r>
        <w:rPr>
          <w:color w:val="231F20"/>
        </w:rPr>
        <w:t>même</w:t>
      </w:r>
      <w:r>
        <w:rPr>
          <w:color w:val="231F20"/>
          <w:spacing w:val="15"/>
        </w:rPr>
        <w:t> </w:t>
      </w:r>
      <w:r>
        <w:rPr>
          <w:color w:val="231F20"/>
        </w:rPr>
        <w:t>temps</w:t>
      </w:r>
      <w:r>
        <w:rPr>
          <w:color w:val="231F20"/>
          <w:spacing w:val="15"/>
        </w:rPr>
        <w:t> </w:t>
      </w:r>
      <w:r>
        <w:rPr>
          <w:color w:val="231F20"/>
        </w:rPr>
        <w:t>que</w:t>
      </w:r>
      <w:r>
        <w:rPr>
          <w:color w:val="231F20"/>
          <w:spacing w:val="15"/>
        </w:rPr>
        <w:t> </w:t>
      </w:r>
      <w:r>
        <w:rPr>
          <w:color w:val="231F20"/>
        </w:rPr>
        <w:t>les</w:t>
      </w:r>
      <w:r>
        <w:rPr>
          <w:color w:val="231F20"/>
          <w:spacing w:val="15"/>
        </w:rPr>
        <w:t> </w:t>
      </w:r>
      <w:r>
        <w:rPr>
          <w:color w:val="231F20"/>
        </w:rPr>
        <w:t>comptes</w:t>
      </w:r>
      <w:r>
        <w:rPr>
          <w:color w:val="231F20"/>
          <w:spacing w:val="15"/>
        </w:rPr>
        <w:t> </w:t>
      </w:r>
      <w:r>
        <w:rPr>
          <w:color w:val="231F20"/>
        </w:rPr>
        <w:t>annuels.</w:t>
      </w:r>
    </w:p>
    <w:p>
      <w:pPr>
        <w:pStyle w:val="BodyText"/>
        <w:spacing w:line="218" w:lineRule="auto" w:before="119"/>
      </w:pPr>
      <w:r>
        <w:rPr/>
        <w:br w:type="column"/>
      </w:r>
      <w:r>
        <w:rPr>
          <w:color w:val="231F20"/>
        </w:rPr>
        <w:t>§ 2. Elke bestuurder, of, ingeval van een collegiaal bestuursorgaan, het bestuursorgaan, vertegenwoordigt de vennootschap jegens derden, met inbegrip van de vertegenwoordiging in rechte. De statuten kunnen evenwel aan één of meer bestuurders de bevoegdheid verlenen om de vennootschap alleen of gezamenlijk te vertegenwoordigen. Zodanige vertegenwoordigingsclausule kan aan derden worden tegengeworpen onder de voorwaarden bepaald in artikel 2:18.</w:t>
      </w:r>
    </w:p>
    <w:p>
      <w:pPr>
        <w:pStyle w:val="BodyText"/>
        <w:spacing w:line="218" w:lineRule="auto" w:before="86"/>
      </w:pPr>
      <w:r>
        <w:rPr>
          <w:color w:val="231F20"/>
        </w:rPr>
        <w:t>De statuten kunnen aan deze vertegenwoordigingsbevoegdheid beperkingen aanbrengen. Zodanige beperkingen kunnen niet aan derden worden tegengeworpen, ook al zijn ze openbaar gemaakt. Hetzelfde geldt voor een onderlinge taakverdeling onder de vertegen- woordigingsbevoegde bestuurders.</w:t>
      </w:r>
    </w:p>
    <w:p>
      <w:pPr>
        <w:pStyle w:val="BodyText"/>
        <w:spacing w:line="218" w:lineRule="auto" w:before="86"/>
      </w:pPr>
      <w:r>
        <w:rPr>
          <w:color w:val="231F20"/>
        </w:rPr>
        <w:t>Art. 6:62. De vennootschap is verbonden door de handelingen van het bestuursorgaan, van de personen aan wie het dagelijks bestuur is opgedragen en van de bestuurders die overeenkomstig artikel 6:61, § 2, de bevoegdheid hebben om haar te vertegenwoordigen, zelfs indien die handelingen buiten haar voorwerp liggen, tenzij de vennootschap bewijst dat de derde daarvan op de hoogte was of </w:t>
      </w:r>
      <w:r>
        <w:rPr>
          <w:color w:val="231F20"/>
          <w:spacing w:val="-5"/>
        </w:rPr>
        <w:t>er, </w:t>
      </w:r>
      <w:r>
        <w:rPr>
          <w:color w:val="231F20"/>
        </w:rPr>
        <w:t>gezien de omstandigheden, niet onkundig van kon zijn; bekendmaking van de statuten</w:t>
      </w:r>
      <w:r>
        <w:rPr>
          <w:color w:val="231F20"/>
          <w:spacing w:val="15"/>
        </w:rPr>
        <w:t> </w:t>
      </w:r>
      <w:r>
        <w:rPr>
          <w:color w:val="231F20"/>
        </w:rPr>
        <w:t>alleen</w:t>
      </w:r>
      <w:r>
        <w:rPr>
          <w:color w:val="231F20"/>
          <w:spacing w:val="15"/>
        </w:rPr>
        <w:t> </w:t>
      </w:r>
      <w:r>
        <w:rPr>
          <w:color w:val="231F20"/>
        </w:rPr>
        <w:t>is</w:t>
      </w:r>
      <w:r>
        <w:rPr>
          <w:color w:val="231F20"/>
          <w:spacing w:val="16"/>
        </w:rPr>
        <w:t> </w:t>
      </w:r>
      <w:r>
        <w:rPr>
          <w:color w:val="231F20"/>
        </w:rPr>
        <w:t>echter</w:t>
      </w:r>
      <w:r>
        <w:rPr>
          <w:color w:val="231F20"/>
          <w:spacing w:val="15"/>
        </w:rPr>
        <w:t> </w:t>
      </w:r>
      <w:r>
        <w:rPr>
          <w:color w:val="231F20"/>
        </w:rPr>
        <w:t>geen</w:t>
      </w:r>
      <w:r>
        <w:rPr>
          <w:color w:val="231F20"/>
          <w:spacing w:val="16"/>
        </w:rPr>
        <w:t> </w:t>
      </w:r>
      <w:r>
        <w:rPr>
          <w:color w:val="231F20"/>
        </w:rPr>
        <w:t>voldoende</w:t>
      </w:r>
      <w:r>
        <w:rPr>
          <w:color w:val="231F20"/>
          <w:spacing w:val="15"/>
        </w:rPr>
        <w:t> </w:t>
      </w:r>
      <w:r>
        <w:rPr>
          <w:color w:val="231F20"/>
        </w:rPr>
        <w:t>bewijs.</w:t>
      </w:r>
    </w:p>
    <w:p>
      <w:pPr>
        <w:pStyle w:val="BodyText"/>
        <w:spacing w:line="218" w:lineRule="auto" w:before="86"/>
      </w:pPr>
      <w:r>
        <w:rPr>
          <w:color w:val="231F20"/>
          <w:w w:val="105"/>
        </w:rPr>
        <w:t>Art. 6:63. De notulen van de vergaderingen van een</w:t>
      </w:r>
      <w:r>
        <w:rPr>
          <w:color w:val="231F20"/>
          <w:spacing w:val="22"/>
          <w:w w:val="105"/>
        </w:rPr>
        <w:t> </w:t>
      </w:r>
      <w:r>
        <w:rPr>
          <w:color w:val="231F20"/>
          <w:w w:val="105"/>
        </w:rPr>
        <w:t>collegiaal bestuursorgaan</w:t>
      </w:r>
      <w:r>
        <w:rPr>
          <w:color w:val="231F20"/>
          <w:spacing w:val="-22"/>
          <w:w w:val="105"/>
        </w:rPr>
        <w:t> </w:t>
      </w:r>
      <w:r>
        <w:rPr>
          <w:color w:val="231F20"/>
          <w:w w:val="105"/>
        </w:rPr>
        <w:t>worden</w:t>
      </w:r>
      <w:r>
        <w:rPr>
          <w:color w:val="231F20"/>
          <w:spacing w:val="-21"/>
          <w:w w:val="105"/>
        </w:rPr>
        <w:t> </w:t>
      </w:r>
      <w:r>
        <w:rPr>
          <w:color w:val="231F20"/>
          <w:w w:val="105"/>
        </w:rPr>
        <w:t>ondertekend</w:t>
      </w:r>
      <w:r>
        <w:rPr>
          <w:color w:val="231F20"/>
          <w:spacing w:val="-21"/>
          <w:w w:val="105"/>
        </w:rPr>
        <w:t> </w:t>
      </w:r>
      <w:r>
        <w:rPr>
          <w:color w:val="231F20"/>
          <w:w w:val="105"/>
        </w:rPr>
        <w:t>door</w:t>
      </w:r>
      <w:r>
        <w:rPr>
          <w:color w:val="231F20"/>
          <w:spacing w:val="-22"/>
          <w:w w:val="105"/>
        </w:rPr>
        <w:t> </w:t>
      </w:r>
      <w:r>
        <w:rPr>
          <w:color w:val="231F20"/>
          <w:w w:val="105"/>
        </w:rPr>
        <w:t>de</w:t>
      </w:r>
      <w:r>
        <w:rPr>
          <w:color w:val="231F20"/>
          <w:spacing w:val="-21"/>
          <w:w w:val="105"/>
        </w:rPr>
        <w:t> </w:t>
      </w:r>
      <w:r>
        <w:rPr>
          <w:color w:val="231F20"/>
          <w:w w:val="105"/>
        </w:rPr>
        <w:t>voorzitter</w:t>
      </w:r>
      <w:r>
        <w:rPr>
          <w:color w:val="231F20"/>
          <w:spacing w:val="-21"/>
          <w:w w:val="105"/>
        </w:rPr>
        <w:t> </w:t>
      </w:r>
      <w:r>
        <w:rPr>
          <w:color w:val="231F20"/>
          <w:w w:val="105"/>
        </w:rPr>
        <w:t>en</w:t>
      </w:r>
      <w:r>
        <w:rPr>
          <w:color w:val="231F20"/>
          <w:spacing w:val="-22"/>
          <w:w w:val="105"/>
        </w:rPr>
        <w:t> </w:t>
      </w:r>
      <w:r>
        <w:rPr>
          <w:color w:val="231F20"/>
          <w:w w:val="105"/>
        </w:rPr>
        <w:t>de</w:t>
      </w:r>
      <w:r>
        <w:rPr>
          <w:color w:val="231F20"/>
          <w:spacing w:val="-21"/>
          <w:w w:val="105"/>
        </w:rPr>
        <w:t> </w:t>
      </w:r>
      <w:r>
        <w:rPr>
          <w:color w:val="231F20"/>
          <w:w w:val="105"/>
        </w:rPr>
        <w:t>bestuur- ders die erom verzoeken; kopieën voor derden worden ondertekend door</w:t>
      </w:r>
      <w:r>
        <w:rPr>
          <w:color w:val="231F20"/>
          <w:spacing w:val="-11"/>
          <w:w w:val="105"/>
        </w:rPr>
        <w:t> </w:t>
      </w:r>
      <w:r>
        <w:rPr>
          <w:color w:val="231F20"/>
          <w:w w:val="105"/>
        </w:rPr>
        <w:t>één</w:t>
      </w:r>
      <w:r>
        <w:rPr>
          <w:color w:val="231F20"/>
          <w:spacing w:val="-10"/>
          <w:w w:val="105"/>
        </w:rPr>
        <w:t> </w:t>
      </w:r>
      <w:r>
        <w:rPr>
          <w:color w:val="231F20"/>
          <w:w w:val="105"/>
        </w:rPr>
        <w:t>of</w:t>
      </w:r>
      <w:r>
        <w:rPr>
          <w:color w:val="231F20"/>
          <w:spacing w:val="-11"/>
          <w:w w:val="105"/>
        </w:rPr>
        <w:t> </w:t>
      </w:r>
      <w:r>
        <w:rPr>
          <w:color w:val="231F20"/>
          <w:w w:val="105"/>
        </w:rPr>
        <w:t>meer</w:t>
      </w:r>
      <w:r>
        <w:rPr>
          <w:color w:val="231F20"/>
          <w:spacing w:val="-10"/>
          <w:w w:val="105"/>
        </w:rPr>
        <w:t> </w:t>
      </w:r>
      <w:r>
        <w:rPr>
          <w:color w:val="231F20"/>
          <w:w w:val="105"/>
        </w:rPr>
        <w:t>bestuurders</w:t>
      </w:r>
      <w:r>
        <w:rPr>
          <w:color w:val="231F20"/>
          <w:spacing w:val="-10"/>
          <w:w w:val="105"/>
        </w:rPr>
        <w:t> </w:t>
      </w:r>
      <w:r>
        <w:rPr>
          <w:color w:val="231F20"/>
          <w:w w:val="105"/>
        </w:rPr>
        <w:t>met</w:t>
      </w:r>
      <w:r>
        <w:rPr>
          <w:color w:val="231F20"/>
          <w:spacing w:val="-11"/>
          <w:w w:val="105"/>
        </w:rPr>
        <w:t> </w:t>
      </w:r>
      <w:r>
        <w:rPr>
          <w:color w:val="231F20"/>
          <w:w w:val="105"/>
        </w:rPr>
        <w:t>vertegenwoordigingsbevoegdheid.</w:t>
      </w:r>
    </w:p>
    <w:p>
      <w:pPr>
        <w:pStyle w:val="BodyText"/>
        <w:spacing w:line="218" w:lineRule="auto" w:before="96"/>
      </w:pPr>
      <w:r>
        <w:rPr>
          <w:color w:val="231F20"/>
        </w:rPr>
        <w:t>De besluiten van een collegiaal bestuursorgaan kunnen bij eenparig schriftelijk akkoord van alle bestuurders worden genomen, met uitzondering van de besluiten waarvoor de statuten deze mogelijkheid uitsluiten.</w:t>
      </w:r>
    </w:p>
    <w:p>
      <w:pPr>
        <w:pStyle w:val="BodyText"/>
        <w:spacing w:line="218" w:lineRule="auto" w:before="97"/>
      </w:pPr>
      <w:r>
        <w:rPr>
          <w:color w:val="231F20"/>
        </w:rPr>
        <w:t>Art.</w:t>
      </w:r>
      <w:r>
        <w:rPr>
          <w:color w:val="231F20"/>
          <w:spacing w:val="-6"/>
        </w:rPr>
        <w:t> </w:t>
      </w:r>
      <w:r>
        <w:rPr>
          <w:color w:val="231F20"/>
        </w:rPr>
        <w:t>6:64.</w:t>
      </w:r>
      <w:r>
        <w:rPr>
          <w:color w:val="231F20"/>
          <w:spacing w:val="-6"/>
        </w:rPr>
        <w:t> </w:t>
      </w:r>
      <w:r>
        <w:rPr>
          <w:color w:val="231F20"/>
        </w:rPr>
        <w:t>§</w:t>
      </w:r>
      <w:r>
        <w:rPr>
          <w:color w:val="231F20"/>
          <w:spacing w:val="-6"/>
        </w:rPr>
        <w:t> </w:t>
      </w:r>
      <w:r>
        <w:rPr>
          <w:color w:val="231F20"/>
        </w:rPr>
        <w:t>1.</w:t>
      </w:r>
      <w:r>
        <w:rPr>
          <w:color w:val="231F20"/>
          <w:spacing w:val="-5"/>
        </w:rPr>
        <w:t> </w:t>
      </w:r>
      <w:r>
        <w:rPr>
          <w:color w:val="231F20"/>
          <w:spacing w:val="-3"/>
        </w:rPr>
        <w:t>Wanneer</w:t>
      </w:r>
      <w:r>
        <w:rPr>
          <w:color w:val="231F20"/>
          <w:spacing w:val="-6"/>
        </w:rPr>
        <w:t> </w:t>
      </w:r>
      <w:r>
        <w:rPr>
          <w:color w:val="231F20"/>
        </w:rPr>
        <w:t>het</w:t>
      </w:r>
      <w:r>
        <w:rPr>
          <w:color w:val="231F20"/>
          <w:spacing w:val="-6"/>
        </w:rPr>
        <w:t> </w:t>
      </w:r>
      <w:r>
        <w:rPr>
          <w:color w:val="231F20"/>
        </w:rPr>
        <w:t>bestuursorgaan</w:t>
      </w:r>
      <w:r>
        <w:rPr>
          <w:color w:val="231F20"/>
          <w:spacing w:val="-5"/>
        </w:rPr>
        <w:t> </w:t>
      </w:r>
      <w:r>
        <w:rPr>
          <w:color w:val="231F20"/>
        </w:rPr>
        <w:t>een</w:t>
      </w:r>
      <w:r>
        <w:rPr>
          <w:color w:val="231F20"/>
          <w:spacing w:val="-6"/>
        </w:rPr>
        <w:t> </w:t>
      </w:r>
      <w:r>
        <w:rPr>
          <w:color w:val="231F20"/>
        </w:rPr>
        <w:t>beslissing</w:t>
      </w:r>
      <w:r>
        <w:rPr>
          <w:color w:val="231F20"/>
          <w:spacing w:val="-6"/>
        </w:rPr>
        <w:t> </w:t>
      </w:r>
      <w:r>
        <w:rPr>
          <w:color w:val="231F20"/>
        </w:rPr>
        <w:t>moet</w:t>
      </w:r>
      <w:r>
        <w:rPr>
          <w:color w:val="231F20"/>
          <w:spacing w:val="-6"/>
        </w:rPr>
        <w:t> </w:t>
      </w:r>
      <w:r>
        <w:rPr>
          <w:color w:val="231F20"/>
        </w:rPr>
        <w:t>nemen of zich over een verrichting moet uitspreken die onder zijn bevoegd- heid vallen, waarbij een bestuurder een rechtstreeks of onrechtstreeks belang van vermogensrechtelijke aard heeft dat strijdig is met het belang van de vennootschap, en er zijn meerdere bestuurders die elk individueel bevoegd zijn om de vennootschap te besturen en te vertegenwoordigen, moet de betrokken bestuurder dit mededelen aan de andere bestuurders. Zijn verklaring en toelichting over de aard van dit strijdig belang worden opgenomen in de notulen van een vergade- ring van die andere bestuurders. Die andere bestuurders nemen</w:t>
      </w:r>
      <w:r>
        <w:rPr>
          <w:color w:val="231F20"/>
          <w:spacing w:val="26"/>
        </w:rPr>
        <w:t> </w:t>
      </w:r>
      <w:r>
        <w:rPr>
          <w:color w:val="231F20"/>
        </w:rPr>
        <w:t>de beslissing of voeren de verrichting uit. In dat geval mag de bestuurder met het belangenconflict niet deelnemen aan de beraadslagingen van de</w:t>
      </w:r>
      <w:r>
        <w:rPr>
          <w:color w:val="231F20"/>
          <w:spacing w:val="17"/>
        </w:rPr>
        <w:t> </w:t>
      </w:r>
      <w:r>
        <w:rPr>
          <w:color w:val="231F20"/>
        </w:rPr>
        <w:t>andere</w:t>
      </w:r>
      <w:r>
        <w:rPr>
          <w:color w:val="231F20"/>
          <w:spacing w:val="17"/>
        </w:rPr>
        <w:t> </w:t>
      </w:r>
      <w:r>
        <w:rPr>
          <w:color w:val="231F20"/>
        </w:rPr>
        <w:t>bestuurders</w:t>
      </w:r>
      <w:r>
        <w:rPr>
          <w:color w:val="231F20"/>
          <w:spacing w:val="17"/>
        </w:rPr>
        <w:t> </w:t>
      </w:r>
      <w:r>
        <w:rPr>
          <w:color w:val="231F20"/>
        </w:rPr>
        <w:t>over</w:t>
      </w:r>
      <w:r>
        <w:rPr>
          <w:color w:val="231F20"/>
          <w:spacing w:val="18"/>
        </w:rPr>
        <w:t> </w:t>
      </w:r>
      <w:r>
        <w:rPr>
          <w:color w:val="231F20"/>
        </w:rPr>
        <w:t>deze</w:t>
      </w:r>
      <w:r>
        <w:rPr>
          <w:color w:val="231F20"/>
          <w:spacing w:val="17"/>
        </w:rPr>
        <w:t> </w:t>
      </w:r>
      <w:r>
        <w:rPr>
          <w:color w:val="231F20"/>
        </w:rPr>
        <w:t>beslissingen</w:t>
      </w:r>
      <w:r>
        <w:rPr>
          <w:color w:val="231F20"/>
          <w:spacing w:val="17"/>
        </w:rPr>
        <w:t> </w:t>
      </w:r>
      <w:r>
        <w:rPr>
          <w:color w:val="231F20"/>
        </w:rPr>
        <w:t>of</w:t>
      </w:r>
      <w:r>
        <w:rPr>
          <w:color w:val="231F20"/>
          <w:spacing w:val="18"/>
        </w:rPr>
        <w:t> </w:t>
      </w:r>
      <w:r>
        <w:rPr>
          <w:color w:val="231F20"/>
        </w:rPr>
        <w:t>verrichtingen.</w:t>
      </w:r>
    </w:p>
    <w:p>
      <w:pPr>
        <w:pStyle w:val="BodyText"/>
        <w:spacing w:line="218" w:lineRule="auto" w:before="97"/>
      </w:pPr>
      <w:r>
        <w:rPr>
          <w:color w:val="231F20"/>
        </w:rPr>
        <w:t>Wanneer alle bestuurders een belangenconflict hebben, wordt de beslissing of de verrichting aan de algemene vergadering voorgelegd; indien de algemene vergadering de beslissing of de verrichting goedkeurt, kan het bestuursorgaan ze uitvoeren.</w:t>
      </w:r>
    </w:p>
    <w:p>
      <w:pPr>
        <w:pStyle w:val="BodyText"/>
        <w:spacing w:line="218" w:lineRule="auto" w:before="96"/>
      </w:pPr>
      <w:r>
        <w:rPr>
          <w:color w:val="231F20"/>
        </w:rPr>
        <w:t>§ 2. Als de statuten bepalen dat het bestuursorgaan een collegiaal orgaan is, dan wordt de beslissing genomen of de verrichting uitgevoerd door het bestuursorgaan, waarbij de bestuurder met het belangenconflict niet mag deelnemen aan de beraadslagingen van het bestuursorgaan over deze beslissing of verrichting, noch aan</w:t>
      </w:r>
      <w:r>
        <w:rPr>
          <w:color w:val="231F20"/>
          <w:spacing w:val="20"/>
        </w:rPr>
        <w:t> </w:t>
      </w:r>
      <w:r>
        <w:rPr>
          <w:color w:val="231F20"/>
        </w:rPr>
        <w:t>de stemming in dat verband. </w:t>
      </w:r>
      <w:r>
        <w:rPr>
          <w:color w:val="231F20"/>
          <w:spacing w:val="-3"/>
        </w:rPr>
        <w:t>Wanneer </w:t>
      </w:r>
      <w:r>
        <w:rPr>
          <w:color w:val="231F20"/>
        </w:rPr>
        <w:t>alle bestuurders van een collegiaal bestuursorgaan een belangenconflict hebben, wordt de beslissing of de verrichting aan de algemene vergadering voorgelegd; indien de algemene vergadering de beslissing of de verrichting goedkeurt, kan  het bestuursorgaan ze</w:t>
      </w:r>
      <w:r>
        <w:rPr>
          <w:color w:val="231F20"/>
          <w:spacing w:val="4"/>
        </w:rPr>
        <w:t> </w:t>
      </w:r>
      <w:r>
        <w:rPr>
          <w:color w:val="231F20"/>
        </w:rPr>
        <w:t>uitvoeren.</w:t>
      </w:r>
    </w:p>
    <w:p>
      <w:pPr>
        <w:pStyle w:val="BodyText"/>
        <w:spacing w:line="218" w:lineRule="auto" w:before="97"/>
      </w:pPr>
      <w:r>
        <w:rPr>
          <w:color w:val="231F20"/>
        </w:rPr>
        <w:t>§ 3. Wanneer er slechts één bestuurder is en hij een belangenconflict heeft, dan legt hij de beslissing of verrichting aan de algemene vergadering voor.</w:t>
      </w:r>
    </w:p>
    <w:p>
      <w:pPr>
        <w:pStyle w:val="BodyText"/>
        <w:spacing w:line="218" w:lineRule="auto" w:before="96"/>
        <w:ind w:right="123"/>
      </w:pPr>
      <w:r>
        <w:rPr>
          <w:color w:val="231F20"/>
        </w:rPr>
        <w:t>§ 4. De paragrafen 1 tot 3 zijn niet van toepassing wanneer de hierboven bedoelde beslissingen of verrichtingen tot stand zijn geko- men tussen vennootschappen waarvan de ene rechtstreeks of onrecht- streeks</w:t>
      </w:r>
      <w:r>
        <w:rPr>
          <w:color w:val="231F20"/>
          <w:spacing w:val="-4"/>
        </w:rPr>
        <w:t> </w:t>
      </w:r>
      <w:r>
        <w:rPr>
          <w:color w:val="231F20"/>
        </w:rPr>
        <w:t>ten</w:t>
      </w:r>
      <w:r>
        <w:rPr>
          <w:color w:val="231F20"/>
          <w:spacing w:val="-4"/>
        </w:rPr>
        <w:t> </w:t>
      </w:r>
      <w:r>
        <w:rPr>
          <w:color w:val="231F20"/>
        </w:rPr>
        <w:t>minste</w:t>
      </w:r>
      <w:r>
        <w:rPr>
          <w:color w:val="231F20"/>
          <w:spacing w:val="-4"/>
        </w:rPr>
        <w:t> </w:t>
      </w:r>
      <w:r>
        <w:rPr>
          <w:color w:val="231F20"/>
        </w:rPr>
        <w:t>95</w:t>
      </w:r>
      <w:r>
        <w:rPr>
          <w:color w:val="231F20"/>
          <w:spacing w:val="-4"/>
        </w:rPr>
        <w:t> </w:t>
      </w:r>
      <w:r>
        <w:rPr>
          <w:color w:val="231F20"/>
        </w:rPr>
        <w:t>%</w:t>
      </w:r>
      <w:r>
        <w:rPr>
          <w:color w:val="231F20"/>
          <w:spacing w:val="-3"/>
        </w:rPr>
        <w:t> </w:t>
      </w:r>
      <w:r>
        <w:rPr>
          <w:color w:val="231F20"/>
        </w:rPr>
        <w:t>bezit</w:t>
      </w:r>
      <w:r>
        <w:rPr>
          <w:color w:val="231F20"/>
          <w:spacing w:val="-4"/>
        </w:rPr>
        <w:t> </w:t>
      </w:r>
      <w:r>
        <w:rPr>
          <w:color w:val="231F20"/>
        </w:rPr>
        <w:t>van</w:t>
      </w:r>
      <w:r>
        <w:rPr>
          <w:color w:val="231F20"/>
          <w:spacing w:val="-4"/>
        </w:rPr>
        <w:t> </w:t>
      </w:r>
      <w:r>
        <w:rPr>
          <w:color w:val="231F20"/>
        </w:rPr>
        <w:t>de</w:t>
      </w:r>
      <w:r>
        <w:rPr>
          <w:color w:val="231F20"/>
          <w:spacing w:val="-4"/>
        </w:rPr>
        <w:t> </w:t>
      </w:r>
      <w:r>
        <w:rPr>
          <w:color w:val="231F20"/>
        </w:rPr>
        <w:t>stemmen</w:t>
      </w:r>
      <w:r>
        <w:rPr>
          <w:color w:val="231F20"/>
          <w:spacing w:val="-3"/>
        </w:rPr>
        <w:t> </w:t>
      </w:r>
      <w:r>
        <w:rPr>
          <w:color w:val="231F20"/>
        </w:rPr>
        <w:t>verbonden</w:t>
      </w:r>
      <w:r>
        <w:rPr>
          <w:color w:val="231F20"/>
          <w:spacing w:val="-4"/>
        </w:rPr>
        <w:t> </w:t>
      </w:r>
      <w:r>
        <w:rPr>
          <w:color w:val="231F20"/>
        </w:rPr>
        <w:t>aan</w:t>
      </w:r>
      <w:r>
        <w:rPr>
          <w:color w:val="231F20"/>
          <w:spacing w:val="-4"/>
        </w:rPr>
        <w:t> </w:t>
      </w:r>
      <w:r>
        <w:rPr>
          <w:color w:val="231F20"/>
        </w:rPr>
        <w:t>het</w:t>
      </w:r>
      <w:r>
        <w:rPr>
          <w:color w:val="231F20"/>
          <w:spacing w:val="-4"/>
        </w:rPr>
        <w:t> </w:t>
      </w:r>
      <w:r>
        <w:rPr>
          <w:color w:val="231F20"/>
        </w:rPr>
        <w:t>geheel van de door de andere uitgegeven effecten, dan wel tussen vennoot- schappen waarvan ten minste 95 % van de stemmen verbonden aan het geheel van de door elk van hen uitgegeven effecten in het bezit zijn van een andere</w:t>
      </w:r>
      <w:r>
        <w:rPr>
          <w:color w:val="231F20"/>
          <w:spacing w:val="-11"/>
        </w:rPr>
        <w:t> </w:t>
      </w:r>
      <w:r>
        <w:rPr>
          <w:color w:val="231F20"/>
        </w:rPr>
        <w:t>vennootschap.</w:t>
      </w:r>
    </w:p>
    <w:p>
      <w:pPr>
        <w:pStyle w:val="BodyText"/>
        <w:spacing w:line="218" w:lineRule="auto" w:before="97"/>
        <w:ind w:right="125"/>
      </w:pPr>
      <w:r>
        <w:rPr>
          <w:color w:val="231F20"/>
        </w:rPr>
        <w:t>Bovendien zijn de paragrafen 1 tot 3 niet van toepassing wanneer de beslissingen van het bestuursorgaan betrekking hebben op gebruike- lijke verrichtingen die plaatshebben onder de voorwaarden en tegen de zekerheden die op de markt gewoonlijk gelden voor soortgelijke verrichtingen.</w:t>
      </w:r>
    </w:p>
    <w:p>
      <w:pPr>
        <w:pStyle w:val="BodyText"/>
        <w:spacing w:line="218" w:lineRule="auto" w:before="96"/>
      </w:pPr>
      <w:r>
        <w:rPr>
          <w:color w:val="231F20"/>
        </w:rPr>
        <w:t>Art. 6:65. § 1. De andere bestuurders of de algemene vergadering omschrijven in de notulen of in een bijzonder verslag de aard van de in artikel 6:64 bedoelde beslissing of verrichting en de vermogensrechte- lijke gevolgen ervan voor de vennootschap en verantwoorden zij het genomen besluit.</w:t>
      </w:r>
    </w:p>
    <w:p>
      <w:pPr>
        <w:pStyle w:val="BodyText"/>
        <w:spacing w:line="218" w:lineRule="auto" w:before="96"/>
      </w:pPr>
      <w:r>
        <w:rPr>
          <w:color w:val="231F20"/>
        </w:rPr>
        <w:t>Dit deel van de notulen of dit verslag wordt in zijn  geheel opgenomen in het jaarverslag of in een stuk dat samen met de jaarrekening wordt</w:t>
      </w:r>
      <w:r>
        <w:rPr>
          <w:color w:val="231F20"/>
          <w:spacing w:val="-11"/>
        </w:rPr>
        <w:t> </w:t>
      </w:r>
      <w:r>
        <w:rPr>
          <w:color w:val="231F20"/>
        </w:rPr>
        <w:t>neergelegd.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6" w:lineRule="auto" w:before="121"/>
        <w:ind w:right="56"/>
        <w:jc w:val="left"/>
      </w:pPr>
      <w:r>
        <w:rPr/>
        <w:pict>
          <v:line style="position:absolute;mso-position-horizontal-relative:page;mso-position-vertical-relative:page;z-index:4216" from="298.170502pt,64.473pt" to="298.170502pt,812.819pt" stroked="true" strokeweight=".533pt" strokecolor="#231f20">
            <v:stroke dashstyle="solid"/>
            <w10:wrap type="none"/>
          </v:line>
        </w:pict>
      </w:r>
      <w:bookmarkStart w:name="_bookmark133" w:id="138"/>
      <w:bookmarkEnd w:id="138"/>
      <w:r>
        <w:rPr/>
      </w:r>
      <w:r>
        <w:rPr>
          <w:color w:val="231F20"/>
        </w:rPr>
        <w:t>Si la société a nommé un commissaire, le procès-verbal ou le rapport lui est communiqué. Dans son rapport visé à l’article 3:74, le commissaire évalue dans une section séparée les conséquences patri- moniales pour la société des décisions de l’organe d’administration ou  de l’assemblée générale, telles que décrites dans le procès-verbal ou le rapport, pour lesquelles il existe un intérêt opposé tel que  </w:t>
      </w:r>
      <w:r>
        <w:rPr>
          <w:color w:val="231F20"/>
          <w:spacing w:val="2"/>
        </w:rPr>
        <w:t>visé  </w:t>
      </w:r>
      <w:r>
        <w:rPr>
          <w:color w:val="231F20"/>
        </w:rPr>
        <w:t>à  l’article 6:64, §</w:t>
      </w:r>
      <w:r>
        <w:rPr>
          <w:color w:val="231F20"/>
          <w:spacing w:val="3"/>
        </w:rPr>
        <w:t> </w:t>
      </w:r>
      <w:r>
        <w:rPr>
          <w:color w:val="231F20"/>
        </w:rPr>
        <w:t>1</w:t>
      </w:r>
      <w:r>
        <w:rPr>
          <w:color w:val="231F20"/>
          <w:position w:val="7"/>
          <w:sz w:val="11"/>
        </w:rPr>
        <w:t>er</w:t>
      </w:r>
      <w:r>
        <w:rPr>
          <w:color w:val="231F20"/>
        </w:rPr>
        <w:t>.</w:t>
      </w:r>
    </w:p>
    <w:p>
      <w:pPr>
        <w:pStyle w:val="BodyText"/>
        <w:spacing w:line="218" w:lineRule="auto" w:before="83"/>
        <w:ind w:right="92"/>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 société peut demander la nullité des décisions prises ou des opérations accomplies en violation des règles prévues au présent article ou à l’article 6:64 si l’autre partie  à ces décisions ou opérations avait ou devait avoir connaissance de  cette</w:t>
      </w:r>
      <w:r>
        <w:rPr>
          <w:color w:val="231F20"/>
          <w:spacing w:val="14"/>
        </w:rPr>
        <w:t> </w:t>
      </w:r>
      <w:r>
        <w:rPr>
          <w:color w:val="231F20"/>
        </w:rPr>
        <w:t>violation.</w:t>
      </w:r>
    </w:p>
    <w:p>
      <w:pPr>
        <w:pStyle w:val="BodyText"/>
        <w:spacing w:line="218" w:lineRule="auto" w:before="86"/>
        <w:ind w:right="92"/>
      </w:pPr>
      <w:r>
        <w:rPr>
          <w:color w:val="231F20"/>
        </w:rPr>
        <w:t>Art. 6:66. Sans préjudice de l’article 2:56, les administrateurs sont personnellement et solidairement responsables du préjudice subi par la société ou les tiers à la suite de décisions prises ou d’opérations accomplies en conformité avec les articles 6:64 et 6:65 si la décision ou l’opération leur a procuré ou a procuré à l’un d’eux un avantage financier abusif au détriment de la société.</w:t>
      </w:r>
    </w:p>
    <w:p>
      <w:pPr>
        <w:pStyle w:val="BodyText"/>
        <w:spacing w:before="9"/>
        <w:ind w:left="0" w:right="0" w:firstLine="0"/>
        <w:jc w:val="left"/>
        <w:rPr>
          <w:sz w:val="21"/>
        </w:rPr>
      </w:pPr>
    </w:p>
    <w:p>
      <w:pPr>
        <w:pStyle w:val="BodyText"/>
        <w:ind w:left="283" w:right="0" w:firstLine="0"/>
        <w:jc w:val="left"/>
      </w:pPr>
      <w:r>
        <w:rPr>
          <w:color w:val="231F20"/>
        </w:rPr>
        <w:t>Section 4. Gestion journalière.</w:t>
      </w:r>
    </w:p>
    <w:p>
      <w:pPr>
        <w:pStyle w:val="BodyText"/>
        <w:spacing w:line="218" w:lineRule="auto" w:before="82"/>
        <w:ind w:right="91"/>
      </w:pPr>
      <w:r>
        <w:rPr>
          <w:color w:val="231F20"/>
        </w:rPr>
        <w:t>Art. 6:67. L’organe d’administration peut charger une ou plusieurs personnes, qui agissent chacune individuellement, conjointement ou collégialement de la gestion journalière de la société, ainsi que de la représentation de la société en ce qui concerne cette gestion. Leur nomination, leur révocation et leurs pouvoirs sont déterminés par les statuts. L’organe d’administration qui a désigné l’organe de ge gestion journalière est chargé de la surveillance de celui-ci.</w:t>
      </w:r>
    </w:p>
    <w:p>
      <w:pPr>
        <w:pStyle w:val="BodyText"/>
        <w:spacing w:line="218" w:lineRule="auto" w:before="86"/>
        <w:ind w:right="91"/>
      </w:pPr>
      <w:r>
        <w:rPr>
          <w:color w:val="231F20"/>
        </w:rPr>
        <w:t>La gestion journalière comprend aussi bien les actes et les décisions qui n’excèdent pas les besoins de la vie quotidienne de la société que les actes et les décisions qui, soit en raison de leur intérêt mineur qu’ils représentent soit en raison de leur caractère urgent, ne justifient pas l’intervention de l’organe d’administration.</w:t>
      </w:r>
    </w:p>
    <w:p>
      <w:pPr>
        <w:pStyle w:val="BodyText"/>
        <w:ind w:left="0" w:right="0" w:firstLine="0"/>
        <w:jc w:val="left"/>
        <w:rPr>
          <w:sz w:val="23"/>
        </w:rPr>
      </w:pPr>
    </w:p>
    <w:p>
      <w:pPr>
        <w:pStyle w:val="BodyText"/>
        <w:spacing w:line="218" w:lineRule="auto"/>
        <w:ind w:right="91"/>
      </w:pPr>
      <w:r>
        <w:rPr>
          <w:color w:val="231F20"/>
        </w:rPr>
        <w:t>La disposition selon laquelle la gestion journalière est confiée à une ou plusieurs personnes qui agissent chacune individuellement, conjoin- tement ou collégialement est opposable aux tiers aux conditions fixées à l’article 2:18. Les restrictions apportées au pouvoir de représentation de l’organe chargé de la gestion journalière ne sont toutefois pas opposables</w:t>
      </w:r>
      <w:r>
        <w:rPr>
          <w:color w:val="231F20"/>
          <w:spacing w:val="15"/>
        </w:rPr>
        <w:t> </w:t>
      </w:r>
      <w:r>
        <w:rPr>
          <w:color w:val="231F20"/>
        </w:rPr>
        <w:t>aux</w:t>
      </w:r>
      <w:r>
        <w:rPr>
          <w:color w:val="231F20"/>
          <w:spacing w:val="15"/>
        </w:rPr>
        <w:t> </w:t>
      </w:r>
      <w:r>
        <w:rPr>
          <w:color w:val="231F20"/>
        </w:rPr>
        <w:t>tiers,</w:t>
      </w:r>
      <w:r>
        <w:rPr>
          <w:color w:val="231F20"/>
          <w:spacing w:val="15"/>
        </w:rPr>
        <w:t> </w:t>
      </w:r>
      <w:r>
        <w:rPr>
          <w:color w:val="231F20"/>
        </w:rPr>
        <w:t>même</w:t>
      </w:r>
      <w:r>
        <w:rPr>
          <w:color w:val="231F20"/>
          <w:spacing w:val="15"/>
        </w:rPr>
        <w:t> </w:t>
      </w:r>
      <w:r>
        <w:rPr>
          <w:color w:val="231F20"/>
        </w:rPr>
        <w:t>si</w:t>
      </w:r>
      <w:r>
        <w:rPr>
          <w:color w:val="231F20"/>
          <w:spacing w:val="15"/>
        </w:rPr>
        <w:t> </w:t>
      </w:r>
      <w:r>
        <w:rPr>
          <w:color w:val="231F20"/>
        </w:rPr>
        <w:t>elles</w:t>
      </w:r>
      <w:r>
        <w:rPr>
          <w:color w:val="231F20"/>
          <w:spacing w:val="15"/>
        </w:rPr>
        <w:t> </w:t>
      </w:r>
      <w:r>
        <w:rPr>
          <w:color w:val="231F20"/>
        </w:rPr>
        <w:t>sont</w:t>
      </w:r>
      <w:r>
        <w:rPr>
          <w:color w:val="231F20"/>
          <w:spacing w:val="16"/>
        </w:rPr>
        <w:t> </w:t>
      </w:r>
      <w:r>
        <w:rPr>
          <w:color w:val="231F20"/>
        </w:rPr>
        <w:t>publiées.</w:t>
      </w:r>
    </w:p>
    <w:p>
      <w:pPr>
        <w:pStyle w:val="BodyText"/>
        <w:spacing w:line="304" w:lineRule="auto" w:before="72"/>
        <w:ind w:left="283" w:right="887" w:firstLine="0"/>
        <w:jc w:val="left"/>
      </w:pPr>
      <w:r>
        <w:rPr>
          <w:color w:val="231F20"/>
        </w:rPr>
        <w:t>CHAPITRE 2. Assemblée générale des actionnaires. Section 1</w:t>
      </w:r>
      <w:r>
        <w:rPr>
          <w:color w:val="231F20"/>
          <w:position w:val="7"/>
          <w:sz w:val="11"/>
        </w:rPr>
        <w:t>re</w:t>
      </w:r>
      <w:r>
        <w:rPr>
          <w:color w:val="231F20"/>
        </w:rPr>
        <w:t>. Dispositions communes.</w:t>
      </w:r>
    </w:p>
    <w:p>
      <w:pPr>
        <w:pStyle w:val="BodyText"/>
        <w:spacing w:before="12"/>
        <w:ind w:left="283" w:right="0" w:firstLine="0"/>
        <w:jc w:val="left"/>
      </w:pPr>
      <w:r>
        <w:rPr>
          <w:color w:val="231F20"/>
        </w:rPr>
        <w:t>Sous-section 1</w:t>
      </w:r>
      <w:r>
        <w:rPr>
          <w:color w:val="231F20"/>
          <w:position w:val="7"/>
          <w:sz w:val="11"/>
        </w:rPr>
        <w:t>re</w:t>
      </w:r>
      <w:r>
        <w:rPr>
          <w:color w:val="231F20"/>
        </w:rPr>
        <w:t>. Égalité de traitement.</w:t>
      </w:r>
    </w:p>
    <w:p>
      <w:pPr>
        <w:pStyle w:val="BodyText"/>
        <w:spacing w:line="218" w:lineRule="auto" w:before="93"/>
        <w:ind w:right="92"/>
      </w:pPr>
      <w:r>
        <w:rPr>
          <w:color w:val="231F20"/>
        </w:rPr>
        <w:t>Art. 6:68. Dans l’application du présent chapitre, la société veille à assurer l’égalité de traitement de tous les actionnaires qui se trouvent dans une situation identique.</w:t>
      </w:r>
    </w:p>
    <w:p>
      <w:pPr>
        <w:pStyle w:val="BodyText"/>
        <w:spacing w:before="82"/>
        <w:ind w:left="283" w:right="0" w:firstLine="0"/>
        <w:jc w:val="left"/>
      </w:pPr>
      <w:r>
        <w:rPr>
          <w:color w:val="231F20"/>
        </w:rPr>
        <w:t>Sous-section 2. Pouvoirs.</w:t>
      </w:r>
    </w:p>
    <w:p>
      <w:pPr>
        <w:pStyle w:val="BodyText"/>
        <w:spacing w:line="218" w:lineRule="auto" w:before="77"/>
        <w:ind w:right="92"/>
      </w:pPr>
      <w:r>
        <w:rPr>
          <w:color w:val="231F20"/>
        </w:rPr>
        <w:t>Art. 6:69. § 1</w:t>
      </w:r>
      <w:r>
        <w:rPr>
          <w:color w:val="231F20"/>
          <w:position w:val="7"/>
          <w:sz w:val="11"/>
        </w:rPr>
        <w:t>er</w:t>
      </w:r>
      <w:r>
        <w:rPr>
          <w:color w:val="231F20"/>
        </w:rPr>
        <w:t>. L’assemblée générale des actionnaires exerce les pouvoirs que lui confère le présent code.</w:t>
      </w:r>
    </w:p>
    <w:p>
      <w:pPr>
        <w:pStyle w:val="BodyText"/>
        <w:spacing w:line="218" w:lineRule="auto" w:before="97"/>
        <w:ind w:right="91"/>
      </w:pPr>
      <w:r>
        <w:rPr>
          <w:color w:val="231F20"/>
        </w:rPr>
        <w:t>Les statuts peuvent étendre les pouvoirs de l’assemblée  générale. Une telle extension n’est pas opposable aux tiers, sauf si la société prouve que le tiers en avait connaissance ou ne pouvait l’ignorer compte tenu des circonstances, sans que la seule publication des statuts </w:t>
      </w:r>
      <w:r>
        <w:rPr>
          <w:color w:val="231F20"/>
          <w:spacing w:val="-4"/>
        </w:rPr>
        <w:t>suffise </w:t>
      </w:r>
      <w:r>
        <w:rPr>
          <w:color w:val="231F20"/>
        </w:rPr>
        <w:t>à constituer cette</w:t>
      </w:r>
      <w:r>
        <w:rPr>
          <w:color w:val="231F20"/>
          <w:spacing w:val="27"/>
        </w:rPr>
        <w:t> </w:t>
      </w:r>
      <w:r>
        <w:rPr>
          <w:color w:val="231F20"/>
        </w:rPr>
        <w:t>preuve.</w:t>
      </w:r>
    </w:p>
    <w:p>
      <w:pPr>
        <w:pStyle w:val="BodyText"/>
        <w:spacing w:before="10"/>
        <w:ind w:left="0" w:right="0" w:firstLine="0"/>
        <w:jc w:val="left"/>
        <w:rPr>
          <w:sz w:val="23"/>
        </w:rPr>
      </w:pPr>
    </w:p>
    <w:p>
      <w:pPr>
        <w:pStyle w:val="BodyText"/>
        <w:spacing w:line="218" w:lineRule="auto"/>
        <w:ind w:right="91"/>
      </w:pPr>
      <w:r>
        <w:rPr>
          <w:color w:val="231F20"/>
        </w:rPr>
        <w:t>§ 2. Les statuts ou, si les statuts le prévoient, un règlement d’ordre intérieur, approuvé par une décision prise dans le respect des conditions de quorum et de majorité requises pour la modification des statuts, peuvent contenir des dispositions supplémentaires et complé- mentaires</w:t>
      </w:r>
      <w:r>
        <w:rPr>
          <w:color w:val="231F20"/>
          <w:spacing w:val="-8"/>
        </w:rPr>
        <w:t> </w:t>
      </w:r>
      <w:r>
        <w:rPr>
          <w:color w:val="231F20"/>
        </w:rPr>
        <w:t>concernant</w:t>
      </w:r>
      <w:r>
        <w:rPr>
          <w:color w:val="231F20"/>
          <w:spacing w:val="-8"/>
        </w:rPr>
        <w:t> </w:t>
      </w:r>
      <w:r>
        <w:rPr>
          <w:color w:val="231F20"/>
        </w:rPr>
        <w:t>les</w:t>
      </w:r>
      <w:r>
        <w:rPr>
          <w:color w:val="231F20"/>
          <w:spacing w:val="-7"/>
        </w:rPr>
        <w:t> </w:t>
      </w:r>
      <w:r>
        <w:rPr>
          <w:color w:val="231F20"/>
        </w:rPr>
        <w:t>droits</w:t>
      </w:r>
      <w:r>
        <w:rPr>
          <w:color w:val="231F20"/>
          <w:spacing w:val="-8"/>
        </w:rPr>
        <w:t> </w:t>
      </w:r>
      <w:r>
        <w:rPr>
          <w:color w:val="231F20"/>
        </w:rPr>
        <w:t>des</w:t>
      </w:r>
      <w:r>
        <w:rPr>
          <w:color w:val="231F20"/>
          <w:spacing w:val="-7"/>
        </w:rPr>
        <w:t> </w:t>
      </w:r>
      <w:r>
        <w:rPr>
          <w:color w:val="231F20"/>
        </w:rPr>
        <w:t>actionnaires</w:t>
      </w:r>
      <w:r>
        <w:rPr>
          <w:color w:val="231F20"/>
          <w:spacing w:val="-8"/>
        </w:rPr>
        <w:t> </w:t>
      </w:r>
      <w:r>
        <w:rPr>
          <w:color w:val="231F20"/>
        </w:rPr>
        <w:t>et</w:t>
      </w:r>
      <w:r>
        <w:rPr>
          <w:color w:val="231F20"/>
          <w:spacing w:val="-7"/>
        </w:rPr>
        <w:t> </w:t>
      </w:r>
      <w:r>
        <w:rPr>
          <w:color w:val="231F20"/>
        </w:rPr>
        <w:t>le</w:t>
      </w:r>
      <w:r>
        <w:rPr>
          <w:color w:val="231F20"/>
          <w:spacing w:val="-8"/>
        </w:rPr>
        <w:t> </w:t>
      </w:r>
      <w:r>
        <w:rPr>
          <w:color w:val="231F20"/>
        </w:rPr>
        <w:t>fonctionnement</w:t>
      </w:r>
      <w:r>
        <w:rPr>
          <w:color w:val="231F20"/>
          <w:spacing w:val="-8"/>
        </w:rPr>
        <w:t> </w:t>
      </w:r>
      <w:r>
        <w:rPr>
          <w:color w:val="231F20"/>
        </w:rPr>
        <w:t>de la</w:t>
      </w:r>
      <w:r>
        <w:rPr>
          <w:color w:val="231F20"/>
          <w:spacing w:val="11"/>
        </w:rPr>
        <w:t> </w:t>
      </w:r>
      <w:r>
        <w:rPr>
          <w:color w:val="231F20"/>
        </w:rPr>
        <w:t>société,</w:t>
      </w:r>
      <w:r>
        <w:rPr>
          <w:color w:val="231F20"/>
          <w:spacing w:val="12"/>
        </w:rPr>
        <w:t> </w:t>
      </w:r>
      <w:r>
        <w:rPr>
          <w:color w:val="231F20"/>
        </w:rPr>
        <w:t>y</w:t>
      </w:r>
      <w:r>
        <w:rPr>
          <w:color w:val="231F20"/>
          <w:spacing w:val="12"/>
        </w:rPr>
        <w:t> </w:t>
      </w:r>
      <w:r>
        <w:rPr>
          <w:color w:val="231F20"/>
        </w:rPr>
        <w:t>compris</w:t>
      </w:r>
      <w:r>
        <w:rPr>
          <w:color w:val="231F20"/>
          <w:spacing w:val="12"/>
        </w:rPr>
        <w:t> </w:t>
      </w:r>
      <w:r>
        <w:rPr>
          <w:color w:val="231F20"/>
        </w:rPr>
        <w:t>les</w:t>
      </w:r>
      <w:r>
        <w:rPr>
          <w:color w:val="231F20"/>
          <w:spacing w:val="11"/>
        </w:rPr>
        <w:t> </w:t>
      </w:r>
      <w:r>
        <w:rPr>
          <w:color w:val="231F20"/>
        </w:rPr>
        <w:t>matières</w:t>
      </w:r>
      <w:r>
        <w:rPr>
          <w:color w:val="231F20"/>
          <w:spacing w:val="12"/>
        </w:rPr>
        <w:t> </w:t>
      </w:r>
      <w:r>
        <w:rPr>
          <w:color w:val="231F20"/>
        </w:rPr>
        <w:t>visées</w:t>
      </w:r>
      <w:r>
        <w:rPr>
          <w:color w:val="231F20"/>
          <w:spacing w:val="12"/>
        </w:rPr>
        <w:t> </w:t>
      </w:r>
      <w:r>
        <w:rPr>
          <w:color w:val="231F20"/>
        </w:rPr>
        <w:t>à</w:t>
      </w:r>
      <w:r>
        <w:rPr>
          <w:color w:val="231F20"/>
          <w:spacing w:val="12"/>
        </w:rPr>
        <w:t> </w:t>
      </w:r>
      <w:r>
        <w:rPr>
          <w:color w:val="231F20"/>
        </w:rPr>
        <w:t>l’article</w:t>
      </w:r>
      <w:r>
        <w:rPr>
          <w:color w:val="231F20"/>
          <w:spacing w:val="11"/>
        </w:rPr>
        <w:t> </w:t>
      </w:r>
      <w:r>
        <w:rPr>
          <w:color w:val="231F20"/>
        </w:rPr>
        <w:t>2:59,</w:t>
      </w:r>
      <w:r>
        <w:rPr>
          <w:color w:val="231F20"/>
          <w:spacing w:val="12"/>
        </w:rPr>
        <w:t> </w:t>
      </w:r>
      <w:r>
        <w:rPr>
          <w:color w:val="231F20"/>
        </w:rPr>
        <w:t>2°</w:t>
      </w:r>
      <w:r>
        <w:rPr>
          <w:color w:val="231F20"/>
          <w:spacing w:val="12"/>
        </w:rPr>
        <w:t> </w:t>
      </w:r>
      <w:r>
        <w:rPr>
          <w:color w:val="231F20"/>
        </w:rPr>
        <w:t>et</w:t>
      </w:r>
      <w:r>
        <w:rPr>
          <w:color w:val="231F20"/>
          <w:spacing w:val="12"/>
        </w:rPr>
        <w:t> </w:t>
      </w:r>
      <w:r>
        <w:rPr>
          <w:color w:val="231F20"/>
        </w:rPr>
        <w:t>3°.</w:t>
      </w:r>
    </w:p>
    <w:p>
      <w:pPr>
        <w:pStyle w:val="BodyText"/>
        <w:spacing w:before="83"/>
        <w:ind w:left="283" w:right="0" w:firstLine="0"/>
        <w:jc w:val="left"/>
      </w:pPr>
      <w:r>
        <w:rPr>
          <w:color w:val="231F20"/>
        </w:rPr>
        <w:t>Sous-section 3. Convocation de l’assemblée générale.</w:t>
      </w:r>
    </w:p>
    <w:p>
      <w:pPr>
        <w:pStyle w:val="BodyText"/>
        <w:spacing w:line="218" w:lineRule="auto" w:before="77"/>
        <w:ind w:right="92"/>
      </w:pPr>
      <w:r>
        <w:rPr>
          <w:color w:val="231F20"/>
        </w:rPr>
        <w:t>Art. 6:70. § 1</w:t>
      </w:r>
      <w:r>
        <w:rPr>
          <w:color w:val="231F20"/>
          <w:position w:val="7"/>
          <w:sz w:val="11"/>
        </w:rPr>
        <w:t>er</w:t>
      </w:r>
      <w:r>
        <w:rPr>
          <w:color w:val="231F20"/>
        </w:rPr>
        <w:t>. L’organe d’administration et, le cas échéant, le commissaire, convoquent l’assemblée générale et en fixent l’ordre du jour. Ils doivent convoquer l’assemblée générale dans un délai de trois semaines lorsque des actionnaires qui représentent un dixième du nombre d’actions en circulation le demandent, avec au moins les points de l’ordre du jour proposés par ces actionnaires.</w:t>
      </w:r>
    </w:p>
    <w:p>
      <w:pPr>
        <w:pStyle w:val="BodyText"/>
        <w:spacing w:line="218" w:lineRule="auto" w:before="97"/>
        <w:ind w:right="92"/>
      </w:pPr>
      <w:r>
        <w:rPr>
          <w:color w:val="231F20"/>
        </w:rPr>
        <w:t>La convocation à l’assemblée générale contient l’ordre du jour avec les sujets à</w:t>
      </w:r>
      <w:r>
        <w:rPr>
          <w:color w:val="231F20"/>
          <w:spacing w:val="2"/>
        </w:rPr>
        <w:t> </w:t>
      </w:r>
      <w:r>
        <w:rPr>
          <w:color w:val="231F20"/>
        </w:rPr>
        <w:t>traiter.</w:t>
      </w:r>
    </w:p>
    <w:p>
      <w:pPr>
        <w:pStyle w:val="BodyText"/>
        <w:spacing w:line="218" w:lineRule="auto" w:before="96"/>
        <w:ind w:right="92"/>
      </w:pPr>
      <w:r>
        <w:rPr>
          <w:color w:val="231F20"/>
        </w:rPr>
        <w:t>Elle est communiquée, conformément à l’article 2:32, au moins quinze jours avant l’assemblée aux actionnaires, aux membres de l’organe d’administration et, le cas échéant, au commissaire, sauf si les statuts ou le règlement d’ordre intérieur prévoient d’autres formalités de convocation.</w:t>
      </w:r>
    </w:p>
    <w:p>
      <w:pPr>
        <w:pStyle w:val="BodyText"/>
        <w:spacing w:line="218" w:lineRule="auto" w:before="119"/>
      </w:pPr>
      <w:r>
        <w:rPr/>
        <w:br w:type="column"/>
      </w:r>
      <w:r>
        <w:rPr>
          <w:color w:val="231F20"/>
        </w:rPr>
        <w:t>Ingeval de vennootschap een commissaris heeft benoemd, worden de notulen of het verslag aan hem meegedeeld. In zijn in artikel 3:74 bedoelde verslag beoordeelt de commissaris, in een afzonderlijke sectie, de vermogensrechtelijke gevolgen voor de vennootschap van de besluiten van het bestuursorgaan of de algemene vergadering, zoals omschreven in de notulen of het verslag, waarvoor een strijdig belang zoals bedoeld in artikel 6:64, § 1, bestaat.</w:t>
      </w:r>
    </w:p>
    <w:p>
      <w:pPr>
        <w:pStyle w:val="BodyText"/>
        <w:spacing w:line="218" w:lineRule="auto" w:before="86"/>
        <w:ind w:right="123"/>
      </w:pPr>
      <w:r>
        <w:rPr>
          <w:color w:val="231F20"/>
        </w:rPr>
        <w:t>§ 2. Onverminderd het recht voor de in de artikelen 2:44 en 2:46 genoemde personen om de nietigheid of opschorting van het bestuurs- besluit te vorderen, kan de vennootschap de nietigheid vorderen van besluiten of verrichtingen die hebben plaatsgevonden met overtreding van de in dit artikel of artikel 6:64 bepaalde regels, indien de wederpartij bij die besluiten of verrichtingen van die overtreding op de hoogte was of had moeten zijn.</w:t>
      </w:r>
    </w:p>
    <w:p>
      <w:pPr>
        <w:pStyle w:val="BodyText"/>
        <w:spacing w:line="218" w:lineRule="auto" w:before="86"/>
      </w:pPr>
      <w:r>
        <w:rPr>
          <w:color w:val="231F20"/>
        </w:rPr>
        <w:t>Art. 6:66. Onverminderd artikel 2:56, zijn de bestuurders persoonlijk en hoofdelijk aansprakelijk voor de schade geleden door de vennoot- schap of door derden ten gevolge van beslissingen of verrichtingen die hebben</w:t>
      </w:r>
      <w:r>
        <w:rPr>
          <w:color w:val="231F20"/>
          <w:spacing w:val="-10"/>
        </w:rPr>
        <w:t> </w:t>
      </w:r>
      <w:r>
        <w:rPr>
          <w:color w:val="231F20"/>
        </w:rPr>
        <w:t>plaatsgevonden</w:t>
      </w:r>
      <w:r>
        <w:rPr>
          <w:color w:val="231F20"/>
          <w:spacing w:val="-10"/>
        </w:rPr>
        <w:t> </w:t>
      </w:r>
      <w:r>
        <w:rPr>
          <w:color w:val="231F20"/>
        </w:rPr>
        <w:t>met</w:t>
      </w:r>
      <w:r>
        <w:rPr>
          <w:color w:val="231F20"/>
          <w:spacing w:val="-9"/>
        </w:rPr>
        <w:t> </w:t>
      </w:r>
      <w:r>
        <w:rPr>
          <w:color w:val="231F20"/>
        </w:rPr>
        <w:t>inachtneming</w:t>
      </w:r>
      <w:r>
        <w:rPr>
          <w:color w:val="231F20"/>
          <w:spacing w:val="-10"/>
        </w:rPr>
        <w:t> </w:t>
      </w:r>
      <w:r>
        <w:rPr>
          <w:color w:val="231F20"/>
        </w:rPr>
        <w:t>van</w:t>
      </w:r>
      <w:r>
        <w:rPr>
          <w:color w:val="231F20"/>
          <w:spacing w:val="-10"/>
        </w:rPr>
        <w:t> </w:t>
      </w:r>
      <w:r>
        <w:rPr>
          <w:color w:val="231F20"/>
        </w:rPr>
        <w:t>de</w:t>
      </w:r>
      <w:r>
        <w:rPr>
          <w:color w:val="231F20"/>
          <w:spacing w:val="-9"/>
        </w:rPr>
        <w:t> </w:t>
      </w:r>
      <w:r>
        <w:rPr>
          <w:color w:val="231F20"/>
        </w:rPr>
        <w:t>artikelen</w:t>
      </w:r>
      <w:r>
        <w:rPr>
          <w:color w:val="231F20"/>
          <w:spacing w:val="-10"/>
        </w:rPr>
        <w:t> </w:t>
      </w:r>
      <w:r>
        <w:rPr>
          <w:color w:val="231F20"/>
        </w:rPr>
        <w:t>6:64</w:t>
      </w:r>
      <w:r>
        <w:rPr>
          <w:color w:val="231F20"/>
          <w:spacing w:val="-9"/>
        </w:rPr>
        <w:t> </w:t>
      </w:r>
      <w:r>
        <w:rPr>
          <w:color w:val="231F20"/>
        </w:rPr>
        <w:t>en</w:t>
      </w:r>
      <w:r>
        <w:rPr>
          <w:color w:val="231F20"/>
          <w:spacing w:val="-10"/>
        </w:rPr>
        <w:t> </w:t>
      </w:r>
      <w:r>
        <w:rPr>
          <w:color w:val="231F20"/>
        </w:rPr>
        <w:t>6:65, indien die beslissing of verrichting aan hen of aan een van hen een onrechtmatig financieel voordeel heeft bezorgd ten nadele van de vennootschap.</w:t>
      </w:r>
    </w:p>
    <w:p>
      <w:pPr>
        <w:pStyle w:val="BodyText"/>
        <w:spacing w:before="72"/>
        <w:ind w:left="283" w:right="0" w:firstLine="0"/>
        <w:jc w:val="left"/>
      </w:pPr>
      <w:r>
        <w:rPr>
          <w:color w:val="231F20"/>
        </w:rPr>
        <w:t>Afdeling 4. Dagelijks bestuur.</w:t>
      </w:r>
    </w:p>
    <w:p>
      <w:pPr>
        <w:pStyle w:val="BodyText"/>
        <w:spacing w:line="218" w:lineRule="auto" w:before="82"/>
      </w:pPr>
      <w:r>
        <w:rPr>
          <w:color w:val="231F20"/>
          <w:w w:val="105"/>
        </w:rPr>
        <w:t>Art. 6:67. Het bestuursorgaan kan het dagelijks bestuur van de vennootschap, alsook de vertegenwoordiging van de vennootschap wat dat bestuur aangaat, opdragen aan een of meer personen, die</w:t>
      </w:r>
      <w:r>
        <w:rPr>
          <w:color w:val="231F20"/>
          <w:spacing w:val="-31"/>
          <w:w w:val="105"/>
        </w:rPr>
        <w:t> </w:t>
      </w:r>
      <w:r>
        <w:rPr>
          <w:color w:val="231F20"/>
          <w:w w:val="105"/>
        </w:rPr>
        <w:t>elk alleen,</w:t>
      </w:r>
      <w:r>
        <w:rPr>
          <w:color w:val="231F20"/>
          <w:spacing w:val="-23"/>
          <w:w w:val="105"/>
        </w:rPr>
        <w:t> </w:t>
      </w:r>
      <w:r>
        <w:rPr>
          <w:color w:val="231F20"/>
          <w:w w:val="105"/>
        </w:rPr>
        <w:t>gezamenlijk</w:t>
      </w:r>
      <w:r>
        <w:rPr>
          <w:color w:val="231F20"/>
          <w:spacing w:val="-23"/>
          <w:w w:val="105"/>
        </w:rPr>
        <w:t> </w:t>
      </w:r>
      <w:r>
        <w:rPr>
          <w:color w:val="231F20"/>
          <w:w w:val="105"/>
        </w:rPr>
        <w:t>of</w:t>
      </w:r>
      <w:r>
        <w:rPr>
          <w:color w:val="231F20"/>
          <w:spacing w:val="-22"/>
          <w:w w:val="105"/>
        </w:rPr>
        <w:t> </w:t>
      </w:r>
      <w:r>
        <w:rPr>
          <w:color w:val="231F20"/>
          <w:w w:val="105"/>
        </w:rPr>
        <w:t>als</w:t>
      </w:r>
      <w:r>
        <w:rPr>
          <w:color w:val="231F20"/>
          <w:spacing w:val="-23"/>
          <w:w w:val="105"/>
        </w:rPr>
        <w:t> </w:t>
      </w:r>
      <w:r>
        <w:rPr>
          <w:color w:val="231F20"/>
          <w:w w:val="105"/>
        </w:rPr>
        <w:t>college</w:t>
      </w:r>
      <w:r>
        <w:rPr>
          <w:color w:val="231F20"/>
          <w:spacing w:val="-23"/>
          <w:w w:val="105"/>
        </w:rPr>
        <w:t> </w:t>
      </w:r>
      <w:r>
        <w:rPr>
          <w:color w:val="231F20"/>
          <w:w w:val="105"/>
        </w:rPr>
        <w:t>optreden.</w:t>
      </w:r>
      <w:r>
        <w:rPr>
          <w:color w:val="231F20"/>
          <w:spacing w:val="-22"/>
          <w:w w:val="105"/>
        </w:rPr>
        <w:t> </w:t>
      </w:r>
      <w:r>
        <w:rPr>
          <w:color w:val="231F20"/>
          <w:w w:val="105"/>
        </w:rPr>
        <w:t>Hun</w:t>
      </w:r>
      <w:r>
        <w:rPr>
          <w:color w:val="231F20"/>
          <w:spacing w:val="-23"/>
          <w:w w:val="105"/>
        </w:rPr>
        <w:t> </w:t>
      </w:r>
      <w:r>
        <w:rPr>
          <w:color w:val="231F20"/>
          <w:w w:val="105"/>
        </w:rPr>
        <w:t>benoeming,</w:t>
      </w:r>
      <w:r>
        <w:rPr>
          <w:color w:val="231F20"/>
          <w:spacing w:val="-22"/>
          <w:w w:val="105"/>
        </w:rPr>
        <w:t> </w:t>
      </w:r>
      <w:r>
        <w:rPr>
          <w:color w:val="231F20"/>
          <w:w w:val="105"/>
        </w:rPr>
        <w:t>ontslag</w:t>
      </w:r>
      <w:r>
        <w:rPr>
          <w:color w:val="231F20"/>
          <w:spacing w:val="-23"/>
          <w:w w:val="105"/>
        </w:rPr>
        <w:t> </w:t>
      </w:r>
      <w:r>
        <w:rPr>
          <w:color w:val="231F20"/>
          <w:w w:val="105"/>
        </w:rPr>
        <w:t>en bevoegdheid</w:t>
      </w:r>
      <w:r>
        <w:rPr>
          <w:color w:val="231F20"/>
          <w:spacing w:val="-12"/>
          <w:w w:val="105"/>
        </w:rPr>
        <w:t> </w:t>
      </w:r>
      <w:r>
        <w:rPr>
          <w:color w:val="231F20"/>
          <w:w w:val="105"/>
        </w:rPr>
        <w:t>worden</w:t>
      </w:r>
      <w:r>
        <w:rPr>
          <w:color w:val="231F20"/>
          <w:spacing w:val="-12"/>
          <w:w w:val="105"/>
        </w:rPr>
        <w:t> </w:t>
      </w:r>
      <w:r>
        <w:rPr>
          <w:color w:val="231F20"/>
          <w:w w:val="105"/>
        </w:rPr>
        <w:t>geregeld</w:t>
      </w:r>
      <w:r>
        <w:rPr>
          <w:color w:val="231F20"/>
          <w:spacing w:val="-12"/>
          <w:w w:val="105"/>
        </w:rPr>
        <w:t> </w:t>
      </w:r>
      <w:r>
        <w:rPr>
          <w:color w:val="231F20"/>
          <w:w w:val="105"/>
        </w:rPr>
        <w:t>bij</w:t>
      </w:r>
      <w:r>
        <w:rPr>
          <w:color w:val="231F20"/>
          <w:spacing w:val="-12"/>
          <w:w w:val="105"/>
        </w:rPr>
        <w:t> </w:t>
      </w:r>
      <w:r>
        <w:rPr>
          <w:color w:val="231F20"/>
          <w:w w:val="105"/>
        </w:rPr>
        <w:t>de</w:t>
      </w:r>
      <w:r>
        <w:rPr>
          <w:color w:val="231F20"/>
          <w:spacing w:val="-12"/>
          <w:w w:val="105"/>
        </w:rPr>
        <w:t> </w:t>
      </w:r>
      <w:r>
        <w:rPr>
          <w:color w:val="231F20"/>
          <w:w w:val="105"/>
        </w:rPr>
        <w:t>statuten.</w:t>
      </w:r>
      <w:r>
        <w:rPr>
          <w:color w:val="231F20"/>
          <w:spacing w:val="-12"/>
          <w:w w:val="105"/>
        </w:rPr>
        <w:t> </w:t>
      </w:r>
      <w:r>
        <w:rPr>
          <w:color w:val="231F20"/>
          <w:w w:val="105"/>
        </w:rPr>
        <w:t>Het</w:t>
      </w:r>
      <w:r>
        <w:rPr>
          <w:color w:val="231F20"/>
          <w:spacing w:val="-12"/>
          <w:w w:val="105"/>
        </w:rPr>
        <w:t> </w:t>
      </w:r>
      <w:r>
        <w:rPr>
          <w:color w:val="231F20"/>
          <w:w w:val="105"/>
        </w:rPr>
        <w:t>bestuursorgaan</w:t>
      </w:r>
      <w:r>
        <w:rPr>
          <w:color w:val="231F20"/>
          <w:spacing w:val="-12"/>
          <w:w w:val="105"/>
        </w:rPr>
        <w:t> </w:t>
      </w:r>
      <w:r>
        <w:rPr>
          <w:color w:val="231F20"/>
          <w:w w:val="105"/>
        </w:rPr>
        <w:t>dat het orgaan van dagelijks bestuur heeft aangesteld is belast met het toezicht op dit</w:t>
      </w:r>
      <w:r>
        <w:rPr>
          <w:color w:val="231F20"/>
          <w:spacing w:val="35"/>
          <w:w w:val="105"/>
        </w:rPr>
        <w:t> </w:t>
      </w:r>
      <w:r>
        <w:rPr>
          <w:color w:val="231F20"/>
          <w:w w:val="105"/>
        </w:rPr>
        <w:t>orgaan.</w:t>
      </w:r>
    </w:p>
    <w:p>
      <w:pPr>
        <w:pStyle w:val="BodyText"/>
        <w:spacing w:line="218" w:lineRule="auto" w:before="86"/>
      </w:pPr>
      <w:r>
        <w:rPr>
          <w:color w:val="231F20"/>
        </w:rPr>
        <w:t>Het dagelijks bestuur omvat zowel de handelingen en de beslissin- gen die niet verder reiken dan de behoeften van het dagelijks leven van de vennootschap, als de handelingen en de beslissingen die, ofwel om reden van hun minder belang dat ze vertonen ofwel omwille van hun spoedeisend karakter, de tussenkomst van het bestuursorgaan niet rechtvaardigen.</w:t>
      </w:r>
    </w:p>
    <w:p>
      <w:pPr>
        <w:pStyle w:val="BodyText"/>
        <w:spacing w:line="218" w:lineRule="auto" w:before="86"/>
      </w:pPr>
      <w:r>
        <w:rPr>
          <w:color w:val="231F20"/>
        </w:rPr>
        <w:t>De bepaling dat het dagelijks bestuur wordt opgedragen aan een of meer personen die elk alleen, gezamenlijk of als college optreden, kan aan derden worden tegengeworpen onder de voorwaarden bepaald in artikel 2:18. Beperkingen aan de vertegenwoordigingsbevoegdheid van het orgaan van dagelijks bestuur kunnen aan derden echter niet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line="324" w:lineRule="auto" w:before="72"/>
        <w:ind w:left="283" w:right="183" w:firstLine="0"/>
        <w:jc w:val="left"/>
      </w:pPr>
      <w:r>
        <w:rPr>
          <w:color w:val="231F20"/>
        </w:rPr>
        <w:t>HOOFDSTUK 2. Algemene vergadering van aandeelhouders. Afdeling 1. Gemeenschappelijke bepalingen.</w:t>
      </w:r>
    </w:p>
    <w:p>
      <w:pPr>
        <w:pStyle w:val="BodyText"/>
        <w:spacing w:before="11"/>
        <w:ind w:left="283" w:right="0" w:firstLine="0"/>
        <w:jc w:val="left"/>
      </w:pPr>
      <w:r>
        <w:rPr>
          <w:color w:val="231F20"/>
          <w:w w:val="105"/>
        </w:rPr>
        <w:t>Onderafdeling 1. Gelijke behandeling.</w:t>
      </w:r>
    </w:p>
    <w:p>
      <w:pPr>
        <w:pStyle w:val="BodyText"/>
        <w:spacing w:line="218" w:lineRule="auto" w:before="93"/>
      </w:pPr>
      <w:r>
        <w:rPr>
          <w:color w:val="231F20"/>
        </w:rPr>
        <w:t>Art. 6:68. Bij de toepassing van dit hoofdstuk draagt de</w:t>
      </w:r>
      <w:r>
        <w:rPr>
          <w:color w:val="231F20"/>
          <w:spacing w:val="-20"/>
        </w:rPr>
        <w:t> </w:t>
      </w:r>
      <w:r>
        <w:rPr>
          <w:color w:val="231F20"/>
        </w:rPr>
        <w:t>vennootschap zorg voor een gelijke behandeling van alle aandeelhouders die zich in gelijke omstandigheden</w:t>
      </w:r>
      <w:r>
        <w:rPr>
          <w:color w:val="231F20"/>
          <w:spacing w:val="-10"/>
        </w:rPr>
        <w:t> </w:t>
      </w:r>
      <w:r>
        <w:rPr>
          <w:color w:val="231F20"/>
        </w:rPr>
        <w:t>bevinden.</w:t>
      </w:r>
    </w:p>
    <w:p>
      <w:pPr>
        <w:pStyle w:val="BodyText"/>
        <w:spacing w:before="82"/>
        <w:ind w:left="283" w:right="0" w:firstLine="0"/>
        <w:jc w:val="left"/>
      </w:pPr>
      <w:r>
        <w:rPr>
          <w:color w:val="231F20"/>
        </w:rPr>
        <w:t>Onderafdeling 2. Bevoegdheden.</w:t>
      </w:r>
    </w:p>
    <w:p>
      <w:pPr>
        <w:pStyle w:val="BodyText"/>
        <w:spacing w:line="218" w:lineRule="auto" w:before="92"/>
      </w:pPr>
      <w:r>
        <w:rPr>
          <w:color w:val="231F20"/>
        </w:rPr>
        <w:t>Art. 6:69. § 1. De algemene vergadering van aandeelhouders oefent de</w:t>
      </w:r>
      <w:r>
        <w:rPr>
          <w:color w:val="231F20"/>
          <w:spacing w:val="16"/>
        </w:rPr>
        <w:t> </w:t>
      </w:r>
      <w:r>
        <w:rPr>
          <w:color w:val="231F20"/>
        </w:rPr>
        <w:t>bevoegdheden</w:t>
      </w:r>
      <w:r>
        <w:rPr>
          <w:color w:val="231F20"/>
          <w:spacing w:val="17"/>
        </w:rPr>
        <w:t> </w:t>
      </w:r>
      <w:r>
        <w:rPr>
          <w:color w:val="231F20"/>
        </w:rPr>
        <w:t>uit</w:t>
      </w:r>
      <w:r>
        <w:rPr>
          <w:color w:val="231F20"/>
          <w:spacing w:val="17"/>
        </w:rPr>
        <w:t> </w:t>
      </w:r>
      <w:r>
        <w:rPr>
          <w:color w:val="231F20"/>
        </w:rPr>
        <w:t>die</w:t>
      </w:r>
      <w:r>
        <w:rPr>
          <w:color w:val="231F20"/>
          <w:spacing w:val="17"/>
        </w:rPr>
        <w:t> </w:t>
      </w:r>
      <w:r>
        <w:rPr>
          <w:color w:val="231F20"/>
        </w:rPr>
        <w:t>dit</w:t>
      </w:r>
      <w:r>
        <w:rPr>
          <w:color w:val="231F20"/>
          <w:spacing w:val="17"/>
        </w:rPr>
        <w:t> </w:t>
      </w:r>
      <w:r>
        <w:rPr>
          <w:color w:val="231F20"/>
        </w:rPr>
        <w:t>wetboek</w:t>
      </w:r>
      <w:r>
        <w:rPr>
          <w:color w:val="231F20"/>
          <w:spacing w:val="17"/>
        </w:rPr>
        <w:t> </w:t>
      </w:r>
      <w:r>
        <w:rPr>
          <w:color w:val="231F20"/>
        </w:rPr>
        <w:t>haar</w:t>
      </w:r>
      <w:r>
        <w:rPr>
          <w:color w:val="231F20"/>
          <w:spacing w:val="16"/>
        </w:rPr>
        <w:t> </w:t>
      </w:r>
      <w:r>
        <w:rPr>
          <w:color w:val="231F20"/>
        </w:rPr>
        <w:t>toewijst.</w:t>
      </w:r>
    </w:p>
    <w:p>
      <w:pPr>
        <w:pStyle w:val="BodyText"/>
        <w:spacing w:line="218" w:lineRule="auto" w:before="97"/>
      </w:pPr>
      <w:r>
        <w:rPr>
          <w:color w:val="231F20"/>
        </w:rPr>
        <w:t>De statuten kunnen de bevoegdheden van de algemene vergadering uitbreiden. Zodanige uitbreiding kan niet aan derden worden tegenge- worpen, tenzij de vennootschap bewijst dat de derde daarvan op de hoogte was of </w:t>
      </w:r>
      <w:r>
        <w:rPr>
          <w:color w:val="231F20"/>
          <w:spacing w:val="-5"/>
        </w:rPr>
        <w:t>er, </w:t>
      </w:r>
      <w:r>
        <w:rPr>
          <w:color w:val="231F20"/>
        </w:rPr>
        <w:t>gezien de omstandigheden, niet onkundig van kon zijn; bekendmaking van de statuten alleen is echter geen voldoende bewijs.</w:t>
      </w:r>
    </w:p>
    <w:p>
      <w:pPr>
        <w:pStyle w:val="BodyText"/>
        <w:spacing w:line="218" w:lineRule="auto" w:before="96"/>
        <w:ind w:right="123"/>
      </w:pPr>
      <w:r>
        <w:rPr>
          <w:color w:val="231F20"/>
        </w:rPr>
        <w:t>§</w:t>
      </w:r>
      <w:r>
        <w:rPr>
          <w:color w:val="231F20"/>
          <w:spacing w:val="-7"/>
        </w:rPr>
        <w:t> </w:t>
      </w:r>
      <w:r>
        <w:rPr>
          <w:color w:val="231F20"/>
        </w:rPr>
        <w:t>2.</w:t>
      </w:r>
      <w:r>
        <w:rPr>
          <w:color w:val="231F20"/>
          <w:spacing w:val="-7"/>
        </w:rPr>
        <w:t> </w:t>
      </w:r>
      <w:r>
        <w:rPr>
          <w:color w:val="231F20"/>
        </w:rPr>
        <w:t>De</w:t>
      </w:r>
      <w:r>
        <w:rPr>
          <w:color w:val="231F20"/>
          <w:spacing w:val="-7"/>
        </w:rPr>
        <w:t> </w:t>
      </w:r>
      <w:r>
        <w:rPr>
          <w:color w:val="231F20"/>
        </w:rPr>
        <w:t>statuten</w:t>
      </w:r>
      <w:r>
        <w:rPr>
          <w:color w:val="231F20"/>
          <w:spacing w:val="-7"/>
        </w:rPr>
        <w:t> </w:t>
      </w:r>
      <w:r>
        <w:rPr>
          <w:color w:val="231F20"/>
        </w:rPr>
        <w:t>of,</w:t>
      </w:r>
      <w:r>
        <w:rPr>
          <w:color w:val="231F20"/>
          <w:spacing w:val="-6"/>
        </w:rPr>
        <w:t> </w:t>
      </w:r>
      <w:r>
        <w:rPr>
          <w:color w:val="231F20"/>
        </w:rPr>
        <w:t>mits</w:t>
      </w:r>
      <w:r>
        <w:rPr>
          <w:color w:val="231F20"/>
          <w:spacing w:val="-7"/>
        </w:rPr>
        <w:t> </w:t>
      </w:r>
      <w:r>
        <w:rPr>
          <w:color w:val="231F20"/>
        </w:rPr>
        <w:t>de</w:t>
      </w:r>
      <w:r>
        <w:rPr>
          <w:color w:val="231F20"/>
          <w:spacing w:val="-7"/>
        </w:rPr>
        <w:t> </w:t>
      </w:r>
      <w:r>
        <w:rPr>
          <w:color w:val="231F20"/>
        </w:rPr>
        <w:t>statuten</w:t>
      </w:r>
      <w:r>
        <w:rPr>
          <w:color w:val="231F20"/>
          <w:spacing w:val="-7"/>
        </w:rPr>
        <w:t> </w:t>
      </w:r>
      <w:r>
        <w:rPr>
          <w:color w:val="231F20"/>
        </w:rPr>
        <w:t>dat</w:t>
      </w:r>
      <w:r>
        <w:rPr>
          <w:color w:val="231F20"/>
          <w:spacing w:val="-6"/>
        </w:rPr>
        <w:t> </w:t>
      </w:r>
      <w:r>
        <w:rPr>
          <w:color w:val="231F20"/>
        </w:rPr>
        <w:t>bepalen,</w:t>
      </w:r>
      <w:r>
        <w:rPr>
          <w:color w:val="231F20"/>
          <w:spacing w:val="-7"/>
        </w:rPr>
        <w:t> </w:t>
      </w:r>
      <w:r>
        <w:rPr>
          <w:color w:val="231F20"/>
        </w:rPr>
        <w:t>een</w:t>
      </w:r>
      <w:r>
        <w:rPr>
          <w:color w:val="231F20"/>
          <w:spacing w:val="-7"/>
        </w:rPr>
        <w:t> </w:t>
      </w:r>
      <w:r>
        <w:rPr>
          <w:color w:val="231F20"/>
        </w:rPr>
        <w:t>intern</w:t>
      </w:r>
      <w:r>
        <w:rPr>
          <w:color w:val="231F20"/>
          <w:spacing w:val="-7"/>
        </w:rPr>
        <w:t> </w:t>
      </w:r>
      <w:r>
        <w:rPr>
          <w:color w:val="231F20"/>
        </w:rPr>
        <w:t>reglement, goedgekeurd door een besluit genomen met naleving van de aanwezigheids- en meerderheidsvereisten voor een statutenwijziging, kunnen bijkomende en aanvullende bepalingen bevatten over de rechten van de aandeelhouders en de werking van de vennootschap, met</w:t>
      </w:r>
      <w:r>
        <w:rPr>
          <w:color w:val="231F20"/>
          <w:spacing w:val="12"/>
        </w:rPr>
        <w:t> </w:t>
      </w:r>
      <w:r>
        <w:rPr>
          <w:color w:val="231F20"/>
        </w:rPr>
        <w:t>inbegrip</w:t>
      </w:r>
      <w:r>
        <w:rPr>
          <w:color w:val="231F20"/>
          <w:spacing w:val="13"/>
        </w:rPr>
        <w:t> </w:t>
      </w:r>
      <w:r>
        <w:rPr>
          <w:color w:val="231F20"/>
        </w:rPr>
        <w:t>van</w:t>
      </w:r>
      <w:r>
        <w:rPr>
          <w:color w:val="231F20"/>
          <w:spacing w:val="13"/>
        </w:rPr>
        <w:t> </w:t>
      </w:r>
      <w:r>
        <w:rPr>
          <w:color w:val="231F20"/>
        </w:rPr>
        <w:t>de</w:t>
      </w:r>
      <w:r>
        <w:rPr>
          <w:color w:val="231F20"/>
          <w:spacing w:val="13"/>
        </w:rPr>
        <w:t> </w:t>
      </w:r>
      <w:r>
        <w:rPr>
          <w:color w:val="231F20"/>
        </w:rPr>
        <w:t>materies</w:t>
      </w:r>
      <w:r>
        <w:rPr>
          <w:color w:val="231F20"/>
          <w:spacing w:val="13"/>
        </w:rPr>
        <w:t> </w:t>
      </w:r>
      <w:r>
        <w:rPr>
          <w:color w:val="231F20"/>
        </w:rPr>
        <w:t>bedoeld</w:t>
      </w:r>
      <w:r>
        <w:rPr>
          <w:color w:val="231F20"/>
          <w:spacing w:val="13"/>
        </w:rPr>
        <w:t> </w:t>
      </w:r>
      <w:r>
        <w:rPr>
          <w:color w:val="231F20"/>
        </w:rPr>
        <w:t>in</w:t>
      </w:r>
      <w:r>
        <w:rPr>
          <w:color w:val="231F20"/>
          <w:spacing w:val="13"/>
        </w:rPr>
        <w:t> </w:t>
      </w:r>
      <w:r>
        <w:rPr>
          <w:color w:val="231F20"/>
        </w:rPr>
        <w:t>artikel</w:t>
      </w:r>
      <w:r>
        <w:rPr>
          <w:color w:val="231F20"/>
          <w:spacing w:val="13"/>
        </w:rPr>
        <w:t> </w:t>
      </w:r>
      <w:r>
        <w:rPr>
          <w:color w:val="231F20"/>
        </w:rPr>
        <w:t>2:59,</w:t>
      </w:r>
      <w:r>
        <w:rPr>
          <w:color w:val="231F20"/>
          <w:spacing w:val="13"/>
        </w:rPr>
        <w:t> </w:t>
      </w:r>
      <w:r>
        <w:rPr>
          <w:color w:val="231F20"/>
        </w:rPr>
        <w:t>2°</w:t>
      </w:r>
      <w:r>
        <w:rPr>
          <w:color w:val="231F20"/>
          <w:spacing w:val="13"/>
        </w:rPr>
        <w:t> </w:t>
      </w:r>
      <w:r>
        <w:rPr>
          <w:color w:val="231F20"/>
        </w:rPr>
        <w:t>en</w:t>
      </w:r>
      <w:r>
        <w:rPr>
          <w:color w:val="231F20"/>
          <w:spacing w:val="13"/>
        </w:rPr>
        <w:t> </w:t>
      </w:r>
      <w:r>
        <w:rPr>
          <w:color w:val="231F20"/>
        </w:rPr>
        <w:t>3°.</w:t>
      </w:r>
    </w:p>
    <w:p>
      <w:pPr>
        <w:pStyle w:val="BodyText"/>
        <w:spacing w:before="82"/>
        <w:ind w:left="283" w:right="0" w:firstLine="0"/>
        <w:jc w:val="left"/>
      </w:pPr>
      <w:r>
        <w:rPr>
          <w:color w:val="231F20"/>
        </w:rPr>
        <w:t>Onderafdeling 3. Bijeenroeping van de algemene vergadering.</w:t>
      </w:r>
    </w:p>
    <w:p>
      <w:pPr>
        <w:pStyle w:val="BodyText"/>
        <w:spacing w:line="218" w:lineRule="auto" w:before="93"/>
      </w:pPr>
      <w:r>
        <w:rPr>
          <w:color w:val="231F20"/>
        </w:rPr>
        <w:t>Art. 6:70. § 1. Het bestuursorgaan en, in voorkomend geval, de commissaris, roepen de algemene vergadering bijeen en bepalen haar agenda. Zij zijn verplicht de algemene vergadering binnen drie weken bijeen te roepen wanneer aandeelhouders die een tiende van het aantal uitgegeven aandelen vertegenwoordigen, dat vragen, met ten minste   de</w:t>
      </w:r>
      <w:r>
        <w:rPr>
          <w:color w:val="231F20"/>
          <w:spacing w:val="21"/>
        </w:rPr>
        <w:t> </w:t>
      </w:r>
      <w:r>
        <w:rPr>
          <w:color w:val="231F20"/>
        </w:rPr>
        <w:t>door</w:t>
      </w:r>
      <w:r>
        <w:rPr>
          <w:color w:val="231F20"/>
          <w:spacing w:val="21"/>
        </w:rPr>
        <w:t> </w:t>
      </w:r>
      <w:r>
        <w:rPr>
          <w:color w:val="231F20"/>
        </w:rPr>
        <w:t>de</w:t>
      </w:r>
      <w:r>
        <w:rPr>
          <w:color w:val="231F20"/>
          <w:spacing w:val="21"/>
        </w:rPr>
        <w:t> </w:t>
      </w:r>
      <w:r>
        <w:rPr>
          <w:color w:val="231F20"/>
        </w:rPr>
        <w:t>betrokken</w:t>
      </w:r>
      <w:r>
        <w:rPr>
          <w:color w:val="231F20"/>
          <w:spacing w:val="21"/>
        </w:rPr>
        <w:t> </w:t>
      </w:r>
      <w:r>
        <w:rPr>
          <w:color w:val="231F20"/>
        </w:rPr>
        <w:t>aandeelhouders</w:t>
      </w:r>
      <w:r>
        <w:rPr>
          <w:color w:val="231F20"/>
          <w:spacing w:val="21"/>
        </w:rPr>
        <w:t> </w:t>
      </w:r>
      <w:r>
        <w:rPr>
          <w:color w:val="231F20"/>
        </w:rPr>
        <w:t>voorgestelde</w:t>
      </w:r>
      <w:r>
        <w:rPr>
          <w:color w:val="231F20"/>
          <w:spacing w:val="21"/>
        </w:rPr>
        <w:t> </w:t>
      </w:r>
      <w:r>
        <w:rPr>
          <w:color w:val="231F20"/>
        </w:rPr>
        <w:t>agendapunten.</w:t>
      </w:r>
    </w:p>
    <w:p>
      <w:pPr>
        <w:pStyle w:val="BodyText"/>
        <w:spacing w:line="218" w:lineRule="auto" w:before="97"/>
      </w:pPr>
      <w:r>
        <w:rPr>
          <w:color w:val="231F20"/>
        </w:rPr>
        <w:t>De bijeenroeping tot de algemene vergadering vermeldt de agenda met de te behandelen onderwerpen.</w:t>
      </w:r>
    </w:p>
    <w:p>
      <w:pPr>
        <w:pStyle w:val="BodyText"/>
        <w:spacing w:line="218" w:lineRule="auto" w:before="96"/>
        <w:ind w:right="123"/>
      </w:pPr>
      <w:r>
        <w:rPr>
          <w:color w:val="231F20"/>
        </w:rPr>
        <w:t>Zij wordt ten minste vijftien dagen vóór de vergadering meegedeeld overeenkomstig artikel 2:32 aan de aandeelhouders, de leden van het bestuursorgaan, en, in voorkomend geval, de commissaris, tenzij de statuten of het intern reglement andere bijeenroepingsformaliteiten bepalen.</w:t>
      </w:r>
    </w:p>
    <w:p>
      <w:pPr>
        <w:spacing w:after="0" w:line="218" w:lineRule="auto"/>
        <w:sectPr>
          <w:headerReference w:type="even" r:id="rId61"/>
          <w:headerReference w:type="default" r:id="rId62"/>
          <w:pgSz w:w="11940" w:h="16880"/>
          <w:pgMar w:header="666" w:footer="0" w:top="1140" w:bottom="280" w:left="340" w:right="360"/>
          <w:pgNumType w:start="33372"/>
          <w:cols w:num="2" w:equalWidth="0">
            <w:col w:w="5581" w:space="47"/>
            <w:col w:w="5612"/>
          </w:cols>
        </w:sectPr>
      </w:pPr>
    </w:p>
    <w:p>
      <w:pPr>
        <w:pStyle w:val="BodyText"/>
        <w:spacing w:line="218" w:lineRule="auto" w:before="119"/>
        <w:ind w:right="38"/>
      </w:pPr>
      <w:r>
        <w:rPr/>
        <w:pict>
          <v:line style="position:absolute;mso-position-horizontal-relative:page;mso-position-vertical-relative:page;z-index:4240" from="298.170502pt,64.473pt" to="298.170502pt,812.819pt" stroked="true" strokeweight=".533pt" strokecolor="#231f20">
            <v:stroke dashstyle="solid"/>
            <w10:wrap type="none"/>
          </v:line>
        </w:pict>
      </w:r>
      <w:bookmarkStart w:name="_bookmark134" w:id="139"/>
      <w:bookmarkEnd w:id="139"/>
      <w:r>
        <w:rPr/>
      </w:r>
      <w:r>
        <w:rPr>
          <w:color w:val="231F20"/>
        </w:rPr>
        <w:t>§ 2. Les statuts peuvent prévoir que la société fournit aux actionnai- res, en même temps que la convocation à l’assemblée générale, les pièces qu’elle doit mettre à leur disposition en vertu du présent code,  de</w:t>
      </w:r>
      <w:r>
        <w:rPr>
          <w:color w:val="231F20"/>
          <w:spacing w:val="14"/>
        </w:rPr>
        <w:t> </w:t>
      </w:r>
      <w:r>
        <w:rPr>
          <w:color w:val="231F20"/>
        </w:rPr>
        <w:t>la</w:t>
      </w:r>
      <w:r>
        <w:rPr>
          <w:color w:val="231F20"/>
          <w:spacing w:val="14"/>
        </w:rPr>
        <w:t> </w:t>
      </w:r>
      <w:r>
        <w:rPr>
          <w:color w:val="231F20"/>
        </w:rPr>
        <w:t>manière</w:t>
      </w:r>
      <w:r>
        <w:rPr>
          <w:color w:val="231F20"/>
          <w:spacing w:val="15"/>
        </w:rPr>
        <w:t> </w:t>
      </w:r>
      <w:r>
        <w:rPr>
          <w:color w:val="231F20"/>
        </w:rPr>
        <w:t>visée</w:t>
      </w:r>
      <w:r>
        <w:rPr>
          <w:color w:val="231F20"/>
          <w:spacing w:val="14"/>
        </w:rPr>
        <w:t> </w:t>
      </w:r>
      <w:r>
        <w:rPr>
          <w:color w:val="231F20"/>
        </w:rPr>
        <w:t>à</w:t>
      </w:r>
      <w:r>
        <w:rPr>
          <w:color w:val="231F20"/>
          <w:spacing w:val="15"/>
        </w:rPr>
        <w:t> </w:t>
      </w:r>
      <w:r>
        <w:rPr>
          <w:color w:val="231F20"/>
        </w:rPr>
        <w:t>l’article</w:t>
      </w:r>
      <w:r>
        <w:rPr>
          <w:color w:val="231F20"/>
          <w:spacing w:val="14"/>
        </w:rPr>
        <w:t> </w:t>
      </w:r>
      <w:r>
        <w:rPr>
          <w:color w:val="231F20"/>
        </w:rPr>
        <w:t>2:32.</w:t>
      </w:r>
    </w:p>
    <w:p>
      <w:pPr>
        <w:pStyle w:val="BodyText"/>
        <w:spacing w:line="218" w:lineRule="auto" w:before="97"/>
        <w:ind w:right="38"/>
      </w:pPr>
      <w:r>
        <w:rPr>
          <w:color w:val="231F20"/>
        </w:rPr>
        <w:t>Les actionnaires peuvent recevoir, au siège de la société, une copie de ces documents.</w:t>
      </w:r>
    </w:p>
    <w:p>
      <w:pPr>
        <w:pStyle w:val="BodyText"/>
        <w:spacing w:before="82"/>
        <w:ind w:left="283" w:right="0" w:firstLine="0"/>
        <w:jc w:val="left"/>
      </w:pPr>
      <w:r>
        <w:rPr>
          <w:color w:val="231F20"/>
        </w:rPr>
        <w:t>Sous-section 4. Assemblée générale écrite.</w:t>
      </w:r>
    </w:p>
    <w:p>
      <w:pPr>
        <w:pStyle w:val="BodyText"/>
        <w:spacing w:line="218" w:lineRule="auto" w:before="92"/>
        <w:ind w:right="38"/>
      </w:pPr>
      <w:r>
        <w:rPr>
          <w:color w:val="231F20"/>
        </w:rPr>
        <w:t>Art. 6:71. Les actionnaires peuvent, à l’unanimité et par écrit,</w:t>
      </w:r>
      <w:r>
        <w:rPr>
          <w:color w:val="231F20"/>
          <w:spacing w:val="-10"/>
        </w:rPr>
        <w:t> </w:t>
      </w:r>
      <w:r>
        <w:rPr>
          <w:color w:val="231F20"/>
        </w:rPr>
        <w:t>prendre toutes les décisions qui relèvent des pouvoirs de l’assemblée générale,  à l’exception de celles qui doivent être reçues dans un acte authentique. Dans ce cas, les formalités de convocation ne doivent pas être respectées. Les membres de l’organe d’administration et le</w:t>
      </w:r>
      <w:r>
        <w:rPr>
          <w:color w:val="231F20"/>
          <w:spacing w:val="-14"/>
        </w:rPr>
        <w:t> </w:t>
      </w:r>
      <w:r>
        <w:rPr>
          <w:color w:val="231F20"/>
        </w:rPr>
        <w:t>commissaire peuvent,</w:t>
      </w:r>
      <w:r>
        <w:rPr>
          <w:color w:val="231F20"/>
          <w:spacing w:val="15"/>
        </w:rPr>
        <w:t> </w:t>
      </w:r>
      <w:r>
        <w:rPr>
          <w:color w:val="231F20"/>
        </w:rPr>
        <w:t>à</w:t>
      </w:r>
      <w:r>
        <w:rPr>
          <w:color w:val="231F20"/>
          <w:spacing w:val="16"/>
        </w:rPr>
        <w:t> </w:t>
      </w:r>
      <w:r>
        <w:rPr>
          <w:color w:val="231F20"/>
        </w:rPr>
        <w:t>leur</w:t>
      </w:r>
      <w:r>
        <w:rPr>
          <w:color w:val="231F20"/>
          <w:spacing w:val="16"/>
        </w:rPr>
        <w:t> </w:t>
      </w:r>
      <w:r>
        <w:rPr>
          <w:color w:val="231F20"/>
        </w:rPr>
        <w:t>demande,</w:t>
      </w:r>
      <w:r>
        <w:rPr>
          <w:color w:val="231F20"/>
          <w:spacing w:val="16"/>
        </w:rPr>
        <w:t> </w:t>
      </w:r>
      <w:r>
        <w:rPr>
          <w:color w:val="231F20"/>
        </w:rPr>
        <w:t>prendre</w:t>
      </w:r>
      <w:r>
        <w:rPr>
          <w:color w:val="231F20"/>
          <w:spacing w:val="16"/>
        </w:rPr>
        <w:t> </w:t>
      </w:r>
      <w:r>
        <w:rPr>
          <w:color w:val="231F20"/>
        </w:rPr>
        <w:t>connaissance</w:t>
      </w:r>
      <w:r>
        <w:rPr>
          <w:color w:val="231F20"/>
          <w:spacing w:val="16"/>
        </w:rPr>
        <w:t> </w:t>
      </w:r>
      <w:r>
        <w:rPr>
          <w:color w:val="231F20"/>
        </w:rPr>
        <w:t>de</w:t>
      </w:r>
      <w:r>
        <w:rPr>
          <w:color w:val="231F20"/>
          <w:spacing w:val="16"/>
        </w:rPr>
        <w:t> </w:t>
      </w:r>
      <w:r>
        <w:rPr>
          <w:color w:val="231F20"/>
        </w:rPr>
        <w:t>ces</w:t>
      </w:r>
      <w:r>
        <w:rPr>
          <w:color w:val="231F20"/>
          <w:spacing w:val="16"/>
        </w:rPr>
        <w:t> </w:t>
      </w:r>
      <w:r>
        <w:rPr>
          <w:color w:val="231F20"/>
        </w:rPr>
        <w:t>décisions.</w:t>
      </w:r>
    </w:p>
    <w:p>
      <w:pPr>
        <w:pStyle w:val="BodyText"/>
        <w:spacing w:before="93"/>
        <w:ind w:left="283" w:right="0" w:firstLine="0"/>
        <w:jc w:val="left"/>
      </w:pPr>
      <w:r>
        <w:rPr>
          <w:color w:val="231F20"/>
        </w:rPr>
        <w:t>Sous-section 5. Participation à l’assemblée générale.</w:t>
      </w:r>
    </w:p>
    <w:p>
      <w:pPr>
        <w:pStyle w:val="BodyText"/>
        <w:spacing w:before="90"/>
        <w:ind w:left="283" w:right="0" w:firstLine="0"/>
        <w:jc w:val="left"/>
      </w:pPr>
      <w:r>
        <w:rPr>
          <w:color w:val="231F20"/>
        </w:rPr>
        <w:t>Art. 6:72. Les actionnaires peuvent participer à l’assemblée générale.</w:t>
      </w:r>
    </w:p>
    <w:p>
      <w:pPr>
        <w:pStyle w:val="BodyText"/>
        <w:spacing w:before="6"/>
        <w:ind w:left="0" w:right="0" w:firstLine="0"/>
        <w:jc w:val="left"/>
        <w:rPr>
          <w:sz w:val="24"/>
        </w:rPr>
      </w:pPr>
    </w:p>
    <w:p>
      <w:pPr>
        <w:pStyle w:val="BodyText"/>
        <w:spacing w:line="218" w:lineRule="auto"/>
        <w:ind w:right="38"/>
      </w:pPr>
      <w:r>
        <w:rPr>
          <w:color w:val="231F20"/>
        </w:rPr>
        <w:t>Art. 6:73. Les membres de l’organe d’administration assistent à l’assemblée générale.</w:t>
      </w:r>
    </w:p>
    <w:p>
      <w:pPr>
        <w:pStyle w:val="BodyText"/>
        <w:spacing w:line="218" w:lineRule="auto" w:before="107"/>
        <w:ind w:right="38"/>
      </w:pPr>
      <w:r>
        <w:rPr>
          <w:color w:val="231F20"/>
        </w:rPr>
        <w:t>Lorsque l’assemblée générale délibère sur la base d’un rapport rédigé par le commissaire, celui-ci assiste à l’assemblée.</w:t>
      </w:r>
    </w:p>
    <w:p>
      <w:pPr>
        <w:pStyle w:val="BodyText"/>
        <w:spacing w:line="218" w:lineRule="auto" w:before="107"/>
        <w:ind w:right="38"/>
      </w:pPr>
      <w:r>
        <w:rPr>
          <w:color w:val="231F20"/>
        </w:rPr>
        <w:t>Art.</w:t>
      </w:r>
      <w:r>
        <w:rPr>
          <w:color w:val="231F20"/>
          <w:spacing w:val="-3"/>
        </w:rPr>
        <w:t> </w:t>
      </w:r>
      <w:r>
        <w:rPr>
          <w:color w:val="231F20"/>
        </w:rPr>
        <w:t>6:74.</w:t>
      </w:r>
      <w:r>
        <w:rPr>
          <w:color w:val="231F20"/>
          <w:spacing w:val="-3"/>
        </w:rPr>
        <w:t> </w:t>
      </w:r>
      <w:r>
        <w:rPr>
          <w:color w:val="231F20"/>
        </w:rPr>
        <w:t>Les</w:t>
      </w:r>
      <w:r>
        <w:rPr>
          <w:color w:val="231F20"/>
          <w:spacing w:val="-3"/>
        </w:rPr>
        <w:t> </w:t>
      </w:r>
      <w:r>
        <w:rPr>
          <w:color w:val="231F20"/>
        </w:rPr>
        <w:t>statuts</w:t>
      </w:r>
      <w:r>
        <w:rPr>
          <w:color w:val="231F20"/>
          <w:spacing w:val="-3"/>
        </w:rPr>
        <w:t> </w:t>
      </w:r>
      <w:r>
        <w:rPr>
          <w:color w:val="231F20"/>
        </w:rPr>
        <w:t>déterminent</w:t>
      </w:r>
      <w:r>
        <w:rPr>
          <w:color w:val="231F20"/>
          <w:spacing w:val="-3"/>
        </w:rPr>
        <w:t> </w:t>
      </w:r>
      <w:r>
        <w:rPr>
          <w:color w:val="231F20"/>
        </w:rPr>
        <w:t>les</w:t>
      </w:r>
      <w:r>
        <w:rPr>
          <w:color w:val="231F20"/>
          <w:spacing w:val="-3"/>
        </w:rPr>
        <w:t> </w:t>
      </w:r>
      <w:r>
        <w:rPr>
          <w:color w:val="231F20"/>
        </w:rPr>
        <w:t>formalités</w:t>
      </w:r>
      <w:r>
        <w:rPr>
          <w:color w:val="231F20"/>
          <w:spacing w:val="-3"/>
        </w:rPr>
        <w:t> </w:t>
      </w:r>
      <w:r>
        <w:rPr>
          <w:color w:val="231F20"/>
        </w:rPr>
        <w:t>à</w:t>
      </w:r>
      <w:r>
        <w:rPr>
          <w:color w:val="231F20"/>
          <w:spacing w:val="-3"/>
        </w:rPr>
        <w:t> </w:t>
      </w:r>
      <w:r>
        <w:rPr>
          <w:color w:val="231F20"/>
        </w:rPr>
        <w:t>accomplir</w:t>
      </w:r>
      <w:r>
        <w:rPr>
          <w:color w:val="231F20"/>
          <w:spacing w:val="-3"/>
        </w:rPr>
        <w:t> </w:t>
      </w:r>
      <w:r>
        <w:rPr>
          <w:color w:val="231F20"/>
        </w:rPr>
        <w:t>pour</w:t>
      </w:r>
      <w:r>
        <w:rPr>
          <w:color w:val="231F20"/>
          <w:spacing w:val="-3"/>
        </w:rPr>
        <w:t> </w:t>
      </w:r>
      <w:r>
        <w:rPr>
          <w:color w:val="231F20"/>
        </w:rPr>
        <w:t>être admis à l’assemblée</w:t>
      </w:r>
      <w:r>
        <w:rPr>
          <w:color w:val="231F20"/>
          <w:spacing w:val="4"/>
        </w:rPr>
        <w:t> </w:t>
      </w:r>
      <w:r>
        <w:rPr>
          <w:color w:val="231F20"/>
        </w:rPr>
        <w:t>générale.</w:t>
      </w:r>
    </w:p>
    <w:p>
      <w:pPr>
        <w:pStyle w:val="BodyText"/>
        <w:spacing w:line="218" w:lineRule="auto" w:before="107"/>
        <w:ind w:right="38"/>
      </w:pPr>
      <w:r>
        <w:rPr>
          <w:color w:val="231F20"/>
        </w:rPr>
        <w:t>Les actionnaires qui ont rempli les formalités pour être admis à une assemblée générale sont également admis à chaque assemblée générale ultérieure comportant les mêmes points d’ordre du jour, à moins que la société soit informée d’une cession des actions concernées.</w:t>
      </w:r>
    </w:p>
    <w:p>
      <w:pPr>
        <w:pStyle w:val="BodyText"/>
        <w:spacing w:before="6"/>
        <w:ind w:left="0" w:right="0" w:firstLine="0"/>
        <w:jc w:val="left"/>
        <w:rPr>
          <w:sz w:val="23"/>
        </w:rPr>
      </w:pPr>
    </w:p>
    <w:p>
      <w:pPr>
        <w:pStyle w:val="BodyText"/>
        <w:spacing w:line="218" w:lineRule="auto"/>
        <w:ind w:right="38"/>
      </w:pPr>
      <w:r>
        <w:rPr>
          <w:color w:val="231F20"/>
        </w:rPr>
        <w:t>Art. 6:75. § 1</w:t>
      </w:r>
      <w:r>
        <w:rPr>
          <w:color w:val="231F20"/>
          <w:position w:val="7"/>
          <w:sz w:val="11"/>
        </w:rPr>
        <w:t>er</w:t>
      </w:r>
      <w:r>
        <w:rPr>
          <w:color w:val="231F20"/>
        </w:rPr>
        <w:t>. Les statuts peuvent prévoir la possibilité pour les actionnaires de participer à distance à l’assemblée générale grâce à un moyen de communication électronique mis à disposition par la société. Pour ce qui concerne le respect des conditions de quorum et de majorité, les actionnaires qui participent de cette manière à l’assemblée générale sont réputés présents à l’endroit où se tient l’assemblée générale.</w:t>
      </w:r>
    </w:p>
    <w:p>
      <w:pPr>
        <w:pStyle w:val="BodyText"/>
        <w:spacing w:before="8"/>
        <w:ind w:left="0" w:right="0" w:firstLine="0"/>
        <w:jc w:val="left"/>
        <w:rPr>
          <w:sz w:val="23"/>
        </w:rPr>
      </w:pPr>
    </w:p>
    <w:p>
      <w:pPr>
        <w:pStyle w:val="BodyText"/>
        <w:spacing w:line="216" w:lineRule="auto"/>
        <w:ind w:right="38"/>
      </w:pPr>
      <w:r>
        <w:rPr>
          <w:color w:val="231F20"/>
        </w:rPr>
        <w:t>Pour l’application de l’alinéa 1</w:t>
      </w:r>
      <w:r>
        <w:rPr>
          <w:color w:val="231F20"/>
          <w:position w:val="7"/>
          <w:sz w:val="11"/>
        </w:rPr>
        <w:t>er</w:t>
      </w:r>
      <w:r>
        <w:rPr>
          <w:color w:val="231F20"/>
        </w:rPr>
        <w:t>, la société doit être en mesure de contrôler, par le moyen de communication électronique utilisé, la qualité et l’identité de l’actionnaire visé à l’alinéa 1</w:t>
      </w:r>
      <w:r>
        <w:rPr>
          <w:color w:val="231F20"/>
          <w:position w:val="7"/>
          <w:sz w:val="11"/>
        </w:rPr>
        <w:t>er </w:t>
      </w:r>
      <w:r>
        <w:rPr>
          <w:color w:val="231F20"/>
        </w:rPr>
        <w:t>de la manière définie par les statuts ou en vertu de ceux-ci. Des conditions supplé- mentaires peuvent être imposées par les statuts ou en vertu de ceux-ci pour l’utilisation du moyen de communication électronique, avec pour seul objectif la garantie de la sécurité du moyen de communication électronique.</w:t>
      </w:r>
    </w:p>
    <w:p>
      <w:pPr>
        <w:pStyle w:val="BodyText"/>
        <w:spacing w:line="218" w:lineRule="auto" w:before="92"/>
        <w:ind w:right="38"/>
      </w:pPr>
      <w:r>
        <w:rPr>
          <w:color w:val="231F20"/>
        </w:rPr>
        <w:t>Pour l’application de l’alinéa 1</w:t>
      </w:r>
      <w:r>
        <w:rPr>
          <w:color w:val="231F20"/>
          <w:position w:val="7"/>
          <w:sz w:val="11"/>
        </w:rPr>
        <w:t>er</w:t>
      </w:r>
      <w:r>
        <w:rPr>
          <w:color w:val="231F20"/>
        </w:rPr>
        <w:t>, et sans préjudice de toute restriction imposée par ou en vertu de la loi, le moyen de communication électronique doit au moins permettre aux actionnaires, de prendre connaissance, de manière directe, simultanée et continue, des discus- sions au sein de l’assemblée et d’exercer leur droit de vote sur tous les points sur lesquels l’assemblée est appelée à se prononcer. Les statuts peuvent prévoir que le moyen de communication électronique doit en outre permettre aux actionnaires de participer aux délibérations et de poser des questions.</w:t>
      </w:r>
    </w:p>
    <w:p>
      <w:pPr>
        <w:pStyle w:val="BodyText"/>
        <w:spacing w:line="218" w:lineRule="auto" w:before="107"/>
        <w:ind w:right="38"/>
      </w:pPr>
      <w:r>
        <w:rPr>
          <w:color w:val="231F20"/>
        </w:rPr>
        <w:t>La convocation à l’assemblée générale contient une description claire et précise des procédures relatives à la participation à distance prévues par les statuts ou en vertu de ceux-ci.</w:t>
      </w:r>
    </w:p>
    <w:p>
      <w:pPr>
        <w:pStyle w:val="BodyText"/>
        <w:spacing w:line="218" w:lineRule="auto" w:before="107"/>
        <w:ind w:right="38"/>
      </w:pPr>
      <w:r>
        <w:rPr>
          <w:color w:val="231F20"/>
        </w:rPr>
        <w:t>Les modalités suivant lesquelles il est constaté qu’un actionnaire participe à l’assemblée générale par un moyen de communication électronique et peut dès lors être considéré comme présent, sont définies par les statuts ou en vertu de ceux-ci.</w:t>
      </w:r>
    </w:p>
    <w:p>
      <w:pPr>
        <w:pStyle w:val="BodyText"/>
        <w:spacing w:line="218" w:lineRule="auto" w:before="107"/>
        <w:ind w:right="38"/>
      </w:pPr>
      <w:r>
        <w:rPr>
          <w:color w:val="231F20"/>
        </w:rPr>
        <w:t>Le procès-verbal de l’assemblée générale mentionne les éventuels problèmes et incidents techniques qui ont empêché ou perturbé la participation par voie électronique à l’assemblée générale ou au vote.</w:t>
      </w:r>
    </w:p>
    <w:p>
      <w:pPr>
        <w:pStyle w:val="BodyText"/>
        <w:spacing w:before="9"/>
        <w:ind w:left="0" w:right="0" w:firstLine="0"/>
        <w:jc w:val="left"/>
        <w:rPr>
          <w:sz w:val="24"/>
        </w:rPr>
      </w:pPr>
    </w:p>
    <w:p>
      <w:pPr>
        <w:pStyle w:val="BodyText"/>
        <w:spacing w:line="218" w:lineRule="auto" w:before="1"/>
        <w:ind w:right="38"/>
      </w:pPr>
      <w:r>
        <w:rPr>
          <w:color w:val="231F20"/>
        </w:rPr>
        <w:t>Les membres du bureau de l’assemblée générale, l’organe d’admi- nistration et, le cas échéant, le commissaire ne peuvent pas participer à l’assemblée générale par voie électronique.</w:t>
      </w:r>
    </w:p>
    <w:p>
      <w:pPr>
        <w:pStyle w:val="BodyText"/>
        <w:spacing w:line="218" w:lineRule="auto" w:before="106"/>
        <w:ind w:right="38"/>
      </w:pPr>
      <w:r>
        <w:rPr>
          <w:color w:val="231F20"/>
        </w:rPr>
        <w:t>§ 2. L’article 6:74 est applicable lorsque la société permet la participation à distance à l’assemblée générale.</w:t>
      </w:r>
    </w:p>
    <w:p>
      <w:pPr>
        <w:pStyle w:val="BodyText"/>
        <w:spacing w:line="201" w:lineRule="auto" w:before="118"/>
        <w:ind w:right="38"/>
      </w:pPr>
      <w:r>
        <w:rPr>
          <w:color w:val="231F20"/>
        </w:rPr>
        <w:t>§ 3. Le Roi peut préciser la nature et les conditions d’application des moyens de communication électronique visés au paragraphe 1</w:t>
      </w:r>
      <w:r>
        <w:rPr>
          <w:color w:val="231F20"/>
          <w:position w:val="7"/>
          <w:sz w:val="11"/>
        </w:rPr>
        <w:t>er</w:t>
      </w:r>
      <w:r>
        <w:rPr>
          <w:color w:val="231F20"/>
        </w:rPr>
        <w:t>.</w:t>
      </w:r>
    </w:p>
    <w:p>
      <w:pPr>
        <w:pStyle w:val="BodyText"/>
        <w:ind w:left="0" w:right="0" w:firstLine="0"/>
        <w:jc w:val="left"/>
        <w:rPr>
          <w:sz w:val="25"/>
        </w:rPr>
      </w:pPr>
    </w:p>
    <w:p>
      <w:pPr>
        <w:pStyle w:val="BodyText"/>
        <w:spacing w:line="218" w:lineRule="auto"/>
        <w:ind w:right="38"/>
      </w:pPr>
      <w:r>
        <w:rPr>
          <w:color w:val="231F20"/>
        </w:rPr>
        <w:t>§ 4. Sans préjudice de l’article 6:80, les statuts peuvent autoriser tout actionnaire à voter à distance avant l’assemblée générale sous forme électronique, selon les modalités qu’ils déterminent.</w:t>
      </w:r>
    </w:p>
    <w:p>
      <w:pPr>
        <w:pStyle w:val="BodyText"/>
        <w:spacing w:line="218" w:lineRule="auto" w:before="119"/>
      </w:pPr>
      <w:r>
        <w:rPr/>
        <w:br w:type="column"/>
      </w:r>
      <w:r>
        <w:rPr>
          <w:color w:val="231F20"/>
        </w:rPr>
        <w:t>§ 2. De statuten kunnen bepalen dat de vennootschap, samen met de oproepingsbrief voor de algemene vergadering, aan de aandeelhouders de stukken bezorgt die zij hen krachtens dit wetboek ter beschikking moet stellen, op de wijze bepaald in artikel 2:32.</w:t>
      </w:r>
    </w:p>
    <w:p>
      <w:pPr>
        <w:pStyle w:val="BodyText"/>
        <w:spacing w:line="218" w:lineRule="auto" w:before="97"/>
      </w:pPr>
      <w:r>
        <w:rPr>
          <w:color w:val="231F20"/>
        </w:rPr>
        <w:t>De aandeelhouders kunnen ter zetel van de vennootschap een kopie krijgen van deze stukken.</w:t>
      </w:r>
    </w:p>
    <w:p>
      <w:pPr>
        <w:pStyle w:val="BodyText"/>
        <w:spacing w:before="82"/>
        <w:ind w:left="283" w:right="0" w:firstLine="0"/>
        <w:jc w:val="left"/>
      </w:pPr>
      <w:r>
        <w:rPr>
          <w:color w:val="231F20"/>
        </w:rPr>
        <w:t>Onderafdeling 4. Schriftelijke algemene vergadering.</w:t>
      </w:r>
    </w:p>
    <w:p>
      <w:pPr>
        <w:pStyle w:val="BodyText"/>
        <w:spacing w:line="218" w:lineRule="auto" w:before="92"/>
      </w:pPr>
      <w:r>
        <w:rPr>
          <w:color w:val="231F20"/>
        </w:rPr>
        <w:t>Art. 6:71. De aandeelhouders kunnen eenparig en schriftelijk alle besluiten nemen die tot de bevoegdheid van de algemene vergadering behoren, met uitzondering van diegene die bij authentieke akte moeten worden verleden. In dat geval dienen de formaliteiten van bijeenroe- ping niet te worden nageleefd. De leden van het bestuursorgaan en de commissaris mogen op hun verzoek van die besluiten kennisnemen.</w:t>
      </w:r>
    </w:p>
    <w:p>
      <w:pPr>
        <w:pStyle w:val="BodyText"/>
        <w:spacing w:before="94"/>
        <w:ind w:left="283" w:right="0" w:firstLine="0"/>
        <w:jc w:val="left"/>
      </w:pPr>
      <w:r>
        <w:rPr>
          <w:color w:val="231F20"/>
        </w:rPr>
        <w:t>Onderafdeling 5. Deelneming aan de algemene vergadering.</w:t>
      </w:r>
    </w:p>
    <w:p>
      <w:pPr>
        <w:pStyle w:val="BodyText"/>
        <w:spacing w:line="218" w:lineRule="auto" w:before="103"/>
      </w:pPr>
      <w:r>
        <w:rPr>
          <w:color w:val="231F20"/>
        </w:rPr>
        <w:t>Art. 6:72. De aandeelhouders mogen deelnemen aan de algemene vergadering.</w:t>
      </w:r>
    </w:p>
    <w:p>
      <w:pPr>
        <w:pStyle w:val="BodyText"/>
        <w:spacing w:line="218" w:lineRule="auto" w:before="107"/>
      </w:pPr>
      <w:r>
        <w:rPr>
          <w:color w:val="231F20"/>
        </w:rPr>
        <w:t>Art. 6:73. De leden van het bestuursorgaan wonen de algemene vergadering bij.</w:t>
      </w:r>
    </w:p>
    <w:p>
      <w:pPr>
        <w:pStyle w:val="BodyText"/>
        <w:spacing w:line="218" w:lineRule="auto" w:before="106"/>
      </w:pPr>
      <w:r>
        <w:rPr>
          <w:color w:val="231F20"/>
        </w:rPr>
        <w:t>Wanneer de algemene vergadering beraadslaagt op grond van een door de commissaris opgesteld verslag, woont hij de vergadering bij.</w:t>
      </w:r>
    </w:p>
    <w:p>
      <w:pPr>
        <w:pStyle w:val="BodyText"/>
        <w:spacing w:line="218" w:lineRule="auto" w:before="107"/>
      </w:pPr>
      <w:r>
        <w:rPr>
          <w:color w:val="231F20"/>
        </w:rPr>
        <w:t>Art. 6:74. De statuten bepalen welke formaliteiten moeten worden vervuld om tot de algemene vergadering te worden toegelaten.</w:t>
      </w:r>
    </w:p>
    <w:p>
      <w:pPr>
        <w:pStyle w:val="BodyText"/>
        <w:spacing w:line="218" w:lineRule="auto" w:before="107"/>
      </w:pPr>
      <w:r>
        <w:rPr>
          <w:color w:val="231F20"/>
        </w:rPr>
        <w:t>Aandeelhouders die de formaliteiten om tot een algemene vergade- ring te worden toegelaten hebben vervuld, worden ook toegelaten tot elke volgende algemene vergadering met  dezelfde  agendapunten, tenzij de vennootschap op de hoogte wordt gesteld van een overdracht van de betrokken</w:t>
      </w:r>
      <w:r>
        <w:rPr>
          <w:color w:val="231F20"/>
          <w:spacing w:val="4"/>
        </w:rPr>
        <w:t> </w:t>
      </w:r>
      <w:r>
        <w:rPr>
          <w:color w:val="231F20"/>
        </w:rPr>
        <w:t>aandelen.</w:t>
      </w:r>
    </w:p>
    <w:p>
      <w:pPr>
        <w:pStyle w:val="BodyText"/>
        <w:spacing w:line="218" w:lineRule="auto" w:before="107"/>
      </w:pPr>
      <w:r>
        <w:rPr>
          <w:color w:val="231F20"/>
        </w:rPr>
        <w:t>Art. 6:75. § 1. De statuten kunnen de aandeelhouders de mogelijkheid bieden om op afstand deel te nemen aan de algemene vergadering door middel van een door de vennootschap ter beschikking gesteld elektro- nisch communicatiemiddel. </w:t>
      </w:r>
      <w:r>
        <w:rPr>
          <w:color w:val="231F20"/>
          <w:spacing w:val="-6"/>
        </w:rPr>
        <w:t>Wat </w:t>
      </w:r>
      <w:r>
        <w:rPr>
          <w:color w:val="231F20"/>
        </w:rPr>
        <w:t>de naleving van de voorwaarden inzake aanwezigheid en meerderheid betreft, worden de aandeelhou- ders die op die manier aan de algemene vergadering deelnemen, geacht aanwezig te zijn op de plaats waar de algemene vergadering wordt gehouden.</w:t>
      </w:r>
    </w:p>
    <w:p>
      <w:pPr>
        <w:pStyle w:val="BodyText"/>
        <w:spacing w:line="218" w:lineRule="auto" w:before="107"/>
      </w:pPr>
      <w:r>
        <w:rPr>
          <w:color w:val="231F20"/>
        </w:rPr>
        <w:t>Voor de toepassing van het eerste lid moet de vennootschap de hoedanigheid en de identiteit van de in het eerste lid bedoelde aandeelhouder kunnen controleren aan de hand van het gebruikte elektronische communicatiemiddel, op de bij of krachtens de statuten bepaalde wijze. Aan het gebruik van het elektronische communicatie- middel kunnen bij of krachtens de statuten bijkomende voorwaarden worden gesteld, met als enige doelstelling de veiligheid van het elektronische communicatiemiddel te waarborgen.</w:t>
      </w:r>
    </w:p>
    <w:p>
      <w:pPr>
        <w:pStyle w:val="BodyText"/>
        <w:spacing w:line="218" w:lineRule="auto" w:before="107"/>
      </w:pPr>
      <w:r>
        <w:rPr>
          <w:color w:val="231F20"/>
        </w:rPr>
        <w:t>Voor de toepassing van het eerste lid moet het elektronische communicatiemiddel de aandeelhouders, onverminderd enige bij of krachtens de wet opgelegde beperking, ten minste in staat stellen om rechtstreeks, gelijktijdig en ononderbroken kennis te nemen van de besprekingen tijdens de vergadering en om hun stemrecht uit te oefenen met betrekking tot alle punten waarover de vergadering zich dient uit te spreken. De statuten kunnen bepalen dat het elektronische communicatiemiddel de aandeelhouders bovendien in staat moet stellen om deel te nemen aan de beraadslagingen en vragen te stellen.</w:t>
      </w:r>
    </w:p>
    <w:p>
      <w:pPr>
        <w:pStyle w:val="BodyText"/>
        <w:spacing w:line="218" w:lineRule="auto" w:before="108"/>
      </w:pPr>
      <w:r>
        <w:rPr>
          <w:color w:val="231F20"/>
        </w:rPr>
        <w:t>De oproeping tot de algemene vergadering omvat een heldere en nauwkeurige beschrijving van de statutaire of krachtens de statuten vastgestelde procedures met betrekking tot de deelname op afstand.</w:t>
      </w:r>
    </w:p>
    <w:p>
      <w:pPr>
        <w:pStyle w:val="BodyText"/>
        <w:spacing w:line="218" w:lineRule="auto" w:before="107"/>
      </w:pPr>
      <w:r>
        <w:rPr>
          <w:color w:val="231F20"/>
        </w:rPr>
        <w:t>Bij of krachtens de statuten wordt bepaald hoe wordt vastgesteld dat een aandeelhouder via het elektronische communicatiemiddel aan de algemene vergadering deelneemt en bijgevolg als aanwezig  kan  worden</w:t>
      </w:r>
      <w:r>
        <w:rPr>
          <w:color w:val="231F20"/>
          <w:spacing w:val="15"/>
        </w:rPr>
        <w:t> </w:t>
      </w:r>
      <w:r>
        <w:rPr>
          <w:color w:val="231F20"/>
        </w:rPr>
        <w:t>beschouwd.</w:t>
      </w:r>
    </w:p>
    <w:p>
      <w:pPr>
        <w:pStyle w:val="BodyText"/>
        <w:spacing w:line="218" w:lineRule="auto" w:before="107"/>
      </w:pPr>
      <w:r>
        <w:rPr>
          <w:color w:val="231F20"/>
        </w:rPr>
        <w:t>De notulen van de algemene vergadering vermelden de</w:t>
      </w:r>
      <w:r>
        <w:rPr>
          <w:color w:val="231F20"/>
          <w:spacing w:val="38"/>
        </w:rPr>
        <w:t> </w:t>
      </w:r>
      <w:r>
        <w:rPr>
          <w:color w:val="231F20"/>
        </w:rPr>
        <w:t>eventuele technische problemen en incidenten die de deelname langs elektroni- sche weg aan de algemene vergadering of aan de stemming hebben belet of</w:t>
      </w:r>
      <w:r>
        <w:rPr>
          <w:color w:val="231F20"/>
          <w:spacing w:val="-11"/>
        </w:rPr>
        <w:t> </w:t>
      </w:r>
      <w:r>
        <w:rPr>
          <w:color w:val="231F20"/>
        </w:rPr>
        <w:t>verstoord.</w:t>
      </w:r>
    </w:p>
    <w:p>
      <w:pPr>
        <w:pStyle w:val="BodyText"/>
        <w:spacing w:line="218" w:lineRule="auto" w:before="106"/>
      </w:pPr>
      <w:r>
        <w:rPr>
          <w:color w:val="231F20"/>
        </w:rPr>
        <w:t>De leden van het bureau van de algemene vergadering, het bestuursorgaan en, in voorkomend geval, de commissaris kunnen niet langs</w:t>
      </w:r>
      <w:r>
        <w:rPr>
          <w:color w:val="231F20"/>
          <w:spacing w:val="19"/>
        </w:rPr>
        <w:t> </w:t>
      </w:r>
      <w:r>
        <w:rPr>
          <w:color w:val="231F20"/>
        </w:rPr>
        <w:t>elektronische</w:t>
      </w:r>
      <w:r>
        <w:rPr>
          <w:color w:val="231F20"/>
          <w:spacing w:val="20"/>
        </w:rPr>
        <w:t> </w:t>
      </w:r>
      <w:r>
        <w:rPr>
          <w:color w:val="231F20"/>
        </w:rPr>
        <w:t>weg</w:t>
      </w:r>
      <w:r>
        <w:rPr>
          <w:color w:val="231F20"/>
          <w:spacing w:val="20"/>
        </w:rPr>
        <w:t> </w:t>
      </w:r>
      <w:r>
        <w:rPr>
          <w:color w:val="231F20"/>
        </w:rPr>
        <w:t>aan</w:t>
      </w:r>
      <w:r>
        <w:rPr>
          <w:color w:val="231F20"/>
          <w:spacing w:val="20"/>
        </w:rPr>
        <w:t> </w:t>
      </w:r>
      <w:r>
        <w:rPr>
          <w:color w:val="231F20"/>
        </w:rPr>
        <w:t>de</w:t>
      </w:r>
      <w:r>
        <w:rPr>
          <w:color w:val="231F20"/>
          <w:spacing w:val="19"/>
        </w:rPr>
        <w:t> </w:t>
      </w:r>
      <w:r>
        <w:rPr>
          <w:color w:val="231F20"/>
        </w:rPr>
        <w:t>algemene</w:t>
      </w:r>
      <w:r>
        <w:rPr>
          <w:color w:val="231F20"/>
          <w:spacing w:val="20"/>
        </w:rPr>
        <w:t> </w:t>
      </w:r>
      <w:r>
        <w:rPr>
          <w:color w:val="231F20"/>
        </w:rPr>
        <w:t>vergadering</w:t>
      </w:r>
      <w:r>
        <w:rPr>
          <w:color w:val="231F20"/>
          <w:spacing w:val="20"/>
        </w:rPr>
        <w:t> </w:t>
      </w:r>
      <w:r>
        <w:rPr>
          <w:color w:val="231F20"/>
        </w:rPr>
        <w:t>deelnemen.</w:t>
      </w:r>
    </w:p>
    <w:p>
      <w:pPr>
        <w:pStyle w:val="BodyText"/>
        <w:spacing w:line="218" w:lineRule="auto" w:before="107"/>
      </w:pPr>
      <w:r>
        <w:rPr>
          <w:color w:val="231F20"/>
        </w:rPr>
        <w:t>§ 2. Artikel 6:74 is van toepassing wanneer de vennootschap toestaat dat</w:t>
      </w:r>
      <w:r>
        <w:rPr>
          <w:color w:val="231F20"/>
          <w:spacing w:val="20"/>
        </w:rPr>
        <w:t> </w:t>
      </w:r>
      <w:r>
        <w:rPr>
          <w:color w:val="231F20"/>
        </w:rPr>
        <w:t>op</w:t>
      </w:r>
      <w:r>
        <w:rPr>
          <w:color w:val="231F20"/>
          <w:spacing w:val="20"/>
        </w:rPr>
        <w:t> </w:t>
      </w:r>
      <w:r>
        <w:rPr>
          <w:color w:val="231F20"/>
        </w:rPr>
        <w:t>afstand</w:t>
      </w:r>
      <w:r>
        <w:rPr>
          <w:color w:val="231F20"/>
          <w:spacing w:val="21"/>
        </w:rPr>
        <w:t> </w:t>
      </w:r>
      <w:r>
        <w:rPr>
          <w:color w:val="231F20"/>
        </w:rPr>
        <w:t>aan</w:t>
      </w:r>
      <w:r>
        <w:rPr>
          <w:color w:val="231F20"/>
          <w:spacing w:val="20"/>
        </w:rPr>
        <w:t> </w:t>
      </w:r>
      <w:r>
        <w:rPr>
          <w:color w:val="231F20"/>
        </w:rPr>
        <w:t>de</w:t>
      </w:r>
      <w:r>
        <w:rPr>
          <w:color w:val="231F20"/>
          <w:spacing w:val="20"/>
        </w:rPr>
        <w:t> </w:t>
      </w:r>
      <w:r>
        <w:rPr>
          <w:color w:val="231F20"/>
        </w:rPr>
        <w:t>algemene</w:t>
      </w:r>
      <w:r>
        <w:rPr>
          <w:color w:val="231F20"/>
          <w:spacing w:val="21"/>
        </w:rPr>
        <w:t> </w:t>
      </w:r>
      <w:r>
        <w:rPr>
          <w:color w:val="231F20"/>
        </w:rPr>
        <w:t>vergadering</w:t>
      </w:r>
      <w:r>
        <w:rPr>
          <w:color w:val="231F20"/>
          <w:spacing w:val="20"/>
        </w:rPr>
        <w:t> </w:t>
      </w:r>
      <w:r>
        <w:rPr>
          <w:color w:val="231F20"/>
        </w:rPr>
        <w:t>wordt</w:t>
      </w:r>
      <w:r>
        <w:rPr>
          <w:color w:val="231F20"/>
          <w:spacing w:val="20"/>
        </w:rPr>
        <w:t> </w:t>
      </w:r>
      <w:r>
        <w:rPr>
          <w:color w:val="231F20"/>
        </w:rPr>
        <w:t>deelgenomen.</w:t>
      </w:r>
    </w:p>
    <w:p>
      <w:pPr>
        <w:pStyle w:val="BodyText"/>
        <w:spacing w:line="218" w:lineRule="auto" w:before="107"/>
      </w:pPr>
      <w:r>
        <w:rPr>
          <w:color w:val="231F20"/>
        </w:rPr>
        <w:t>§ 3. De Koning kan de aard en de toepassingsvoorwaarden van de in paragraaf 1 bedoelde elektronische communicatiemiddelen verduide- lijken.</w:t>
      </w:r>
    </w:p>
    <w:p>
      <w:pPr>
        <w:pStyle w:val="BodyText"/>
        <w:spacing w:line="218" w:lineRule="auto" w:before="107"/>
      </w:pPr>
      <w:r>
        <w:rPr>
          <w:color w:val="231F20"/>
        </w:rPr>
        <w:t>§ 4. Onverminderd artikel 6:80 kunnen de statuten iedere aandeel- houder toestaan langs elektronische weg op afstand te stemmen vóór de</w:t>
      </w:r>
      <w:r>
        <w:rPr>
          <w:color w:val="231F20"/>
          <w:spacing w:val="22"/>
        </w:rPr>
        <w:t> </w:t>
      </w:r>
      <w:r>
        <w:rPr>
          <w:color w:val="231F20"/>
        </w:rPr>
        <w:t>algemene</w:t>
      </w:r>
      <w:r>
        <w:rPr>
          <w:color w:val="231F20"/>
          <w:spacing w:val="23"/>
        </w:rPr>
        <w:t> </w:t>
      </w:r>
      <w:r>
        <w:rPr>
          <w:color w:val="231F20"/>
        </w:rPr>
        <w:t>vergadering,</w:t>
      </w:r>
      <w:r>
        <w:rPr>
          <w:color w:val="231F20"/>
          <w:spacing w:val="23"/>
        </w:rPr>
        <w:t> </w:t>
      </w:r>
      <w:r>
        <w:rPr>
          <w:color w:val="231F20"/>
        </w:rPr>
        <w:t>volgens</w:t>
      </w:r>
      <w:r>
        <w:rPr>
          <w:color w:val="231F20"/>
          <w:spacing w:val="23"/>
        </w:rPr>
        <w:t> </w:t>
      </w:r>
      <w:r>
        <w:rPr>
          <w:color w:val="231F20"/>
        </w:rPr>
        <w:t>de</w:t>
      </w:r>
      <w:r>
        <w:rPr>
          <w:color w:val="231F20"/>
          <w:spacing w:val="23"/>
        </w:rPr>
        <w:t> </w:t>
      </w:r>
      <w:r>
        <w:rPr>
          <w:color w:val="231F20"/>
        </w:rPr>
        <w:t>statutair</w:t>
      </w:r>
      <w:r>
        <w:rPr>
          <w:color w:val="231F20"/>
          <w:spacing w:val="23"/>
        </w:rPr>
        <w:t> </w:t>
      </w:r>
      <w:r>
        <w:rPr>
          <w:color w:val="231F20"/>
        </w:rPr>
        <w:t>bepaalde</w:t>
      </w:r>
      <w:r>
        <w:rPr>
          <w:color w:val="231F20"/>
          <w:spacing w:val="22"/>
        </w:rPr>
        <w:t> </w:t>
      </w:r>
      <w:r>
        <w:rPr>
          <w:color w:val="231F20"/>
        </w:rPr>
        <w:t>modaliteiten.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264" from="298.170502pt,64.473pt" to="298.170502pt,812.819pt" stroked="true" strokeweight=".533pt" strokecolor="#231f20">
            <v:stroke dashstyle="solid"/>
            <w10:wrap type="none"/>
          </v:line>
        </w:pict>
      </w:r>
      <w:bookmarkStart w:name="_bookmark135" w:id="140"/>
      <w:bookmarkEnd w:id="140"/>
      <w:r>
        <w:rPr/>
      </w:r>
      <w:r>
        <w:rPr>
          <w:color w:val="231F20"/>
        </w:rPr>
        <w:t>Lorsque la société autorise le vote à distance sous forme</w:t>
      </w:r>
      <w:r>
        <w:rPr>
          <w:color w:val="231F20"/>
          <w:spacing w:val="-8"/>
        </w:rPr>
        <w:t> </w:t>
      </w:r>
      <w:r>
        <w:rPr>
          <w:color w:val="231F20"/>
        </w:rPr>
        <w:t>électronique, elle doit être en mesure de contrôler la qualité et l’identité de l’actionnaire, de la manière définie par les statuts ou en vertu de ceux-ci.</w:t>
      </w:r>
    </w:p>
    <w:p>
      <w:pPr>
        <w:pStyle w:val="BodyText"/>
        <w:spacing w:before="71"/>
        <w:ind w:left="283" w:right="0" w:firstLine="0"/>
        <w:jc w:val="left"/>
      </w:pPr>
      <w:r>
        <w:rPr>
          <w:color w:val="231F20"/>
        </w:rPr>
        <w:t>Sous-section 6. Tenue de l’assemblée générale.</w:t>
      </w:r>
    </w:p>
    <w:p>
      <w:pPr>
        <w:pStyle w:val="BodyText"/>
        <w:spacing w:line="218" w:lineRule="auto" w:before="82"/>
        <w:ind w:right="38"/>
      </w:pPr>
      <w:r>
        <w:rPr>
          <w:color w:val="231F20"/>
        </w:rPr>
        <w:t>Art. 6:76. Il est tenu à chaque assemblée générale une liste des présences. Ceux qui ont participé à l’assemblée générale ou qui y étaient représentés peuvent consulter cette liste pour autant que les statuts le</w:t>
      </w:r>
      <w:r>
        <w:rPr>
          <w:color w:val="231F20"/>
          <w:spacing w:val="-11"/>
        </w:rPr>
        <w:t> </w:t>
      </w:r>
      <w:r>
        <w:rPr>
          <w:color w:val="231F20"/>
        </w:rPr>
        <w:t>prévoient.</w:t>
      </w:r>
    </w:p>
    <w:p>
      <w:pPr>
        <w:pStyle w:val="BodyText"/>
        <w:spacing w:line="218" w:lineRule="auto" w:before="86"/>
        <w:ind w:right="38"/>
      </w:pPr>
      <w:r>
        <w:rPr>
          <w:color w:val="231F20"/>
        </w:rPr>
        <w:t>Art. 6:77. Les membres de l’organe d’administration répondent aux questions qui leur sont posées oralement ou par écrit avant ou pendant l’assemblée générale par les actionnaires et qui portent sur les points à l’ordre du </w:t>
      </w:r>
      <w:r>
        <w:rPr>
          <w:color w:val="231F20"/>
          <w:spacing w:val="-3"/>
        </w:rPr>
        <w:t>jour. </w:t>
      </w:r>
      <w:r>
        <w:rPr>
          <w:color w:val="231F20"/>
        </w:rPr>
        <w:t>Les membres de l’organe d’administration peuvent, dans l’intérêt de la société, refuser de répondre aux questions lorsque la communication de certaines données ou de certains faits peut porter préjudice à la société ou qu’elle viole les engagements de confidentialité souscrits</w:t>
      </w:r>
      <w:r>
        <w:rPr>
          <w:color w:val="231F20"/>
          <w:spacing w:val="15"/>
        </w:rPr>
        <w:t> </w:t>
      </w:r>
      <w:r>
        <w:rPr>
          <w:color w:val="231F20"/>
        </w:rPr>
        <w:t>par</w:t>
      </w:r>
      <w:r>
        <w:rPr>
          <w:color w:val="231F20"/>
          <w:spacing w:val="15"/>
        </w:rPr>
        <w:t> </w:t>
      </w:r>
      <w:r>
        <w:rPr>
          <w:color w:val="231F20"/>
        </w:rPr>
        <w:t>eux</w:t>
      </w:r>
      <w:r>
        <w:rPr>
          <w:color w:val="231F20"/>
          <w:spacing w:val="15"/>
        </w:rPr>
        <w:t> </w:t>
      </w:r>
      <w:r>
        <w:rPr>
          <w:color w:val="231F20"/>
        </w:rPr>
        <w:t>ou</w:t>
      </w:r>
      <w:r>
        <w:rPr>
          <w:color w:val="231F20"/>
          <w:spacing w:val="15"/>
        </w:rPr>
        <w:t> </w:t>
      </w:r>
      <w:r>
        <w:rPr>
          <w:color w:val="231F20"/>
        </w:rPr>
        <w:t>par</w:t>
      </w:r>
      <w:r>
        <w:rPr>
          <w:color w:val="231F20"/>
          <w:spacing w:val="15"/>
        </w:rPr>
        <w:t> </w:t>
      </w:r>
      <w:r>
        <w:rPr>
          <w:color w:val="231F20"/>
        </w:rPr>
        <w:t>la</w:t>
      </w:r>
      <w:r>
        <w:rPr>
          <w:color w:val="231F20"/>
          <w:spacing w:val="15"/>
        </w:rPr>
        <w:t> </w:t>
      </w:r>
      <w:r>
        <w:rPr>
          <w:color w:val="231F20"/>
        </w:rPr>
        <w:t>société.</w:t>
      </w:r>
    </w:p>
    <w:p>
      <w:pPr>
        <w:pStyle w:val="BodyText"/>
        <w:spacing w:line="218" w:lineRule="auto" w:before="86"/>
        <w:ind w:right="38"/>
      </w:pPr>
      <w:r>
        <w:rPr>
          <w:color w:val="231F20"/>
        </w:rPr>
        <w:t>Le commissaire communique sans délai les questions écrites qu’il reçoit à l’organe d’administration et répond aux questions qui lui sont posées oralement ou par écrit avant ou pendant l’assemblée générale par les actionnaires et qui portent sur les points de l’ordre du jour à propos desquels il fait rapport. Il peut, dans l’intérêt de la société, refuser de répondre aux questions lorsque la communication de certaines données ou de certains faits peut porter préjudice à la société ou qu’elle viole le secret professionnel auquel il est tenu ou les engagements de confidentialité souscrits par la société. Il a le droit de prendre la parole à l’assemblée générale en relation avec l’accomplis- sement de sa mission.</w:t>
      </w:r>
    </w:p>
    <w:p>
      <w:pPr>
        <w:pStyle w:val="BodyText"/>
        <w:spacing w:line="218" w:lineRule="auto" w:before="86"/>
        <w:ind w:right="38"/>
      </w:pPr>
      <w:r>
        <w:rPr>
          <w:color w:val="231F20"/>
        </w:rPr>
        <w:t>Les membres de l’organe d’administration et le commissaire peuvent donner une réponse groupée à différentes questions portant sur le même sujet.</w:t>
      </w:r>
    </w:p>
    <w:p>
      <w:pPr>
        <w:pStyle w:val="BodyText"/>
        <w:spacing w:line="218" w:lineRule="auto" w:before="86"/>
        <w:ind w:right="38"/>
      </w:pPr>
      <w:r>
        <w:rPr>
          <w:color w:val="231F20"/>
        </w:rPr>
        <w:t>Dès le moment où l’assemblée générale est convoquée, les actionnai- res peuvent, dans les délais définis dans les statuts, poser des questions par écrit à l’adresse communiquée dans la convocation à l’assemblée ou à l’adresse électronique visée à l’article 2:31. Si les actionnaires concernés ont rempli les formalités pour être admis à l’assemblée, il sera répondu à ces questions pendant la réunion.</w:t>
      </w:r>
    </w:p>
    <w:p>
      <w:pPr>
        <w:pStyle w:val="BodyText"/>
        <w:ind w:left="0" w:right="0" w:firstLine="0"/>
        <w:jc w:val="left"/>
        <w:rPr>
          <w:sz w:val="23"/>
        </w:rPr>
      </w:pPr>
    </w:p>
    <w:p>
      <w:pPr>
        <w:pStyle w:val="BodyText"/>
        <w:spacing w:line="218" w:lineRule="auto"/>
        <w:ind w:right="38"/>
      </w:pPr>
      <w:r>
        <w:rPr>
          <w:color w:val="231F20"/>
        </w:rPr>
        <w:t>Art. 6:78. Il n’est pas tenu compte des actions dont le droit de vote a été suspendu pour la détermination des conditions de quorum et de majorité à observer dans les assemblées générales.</w:t>
      </w:r>
    </w:p>
    <w:p>
      <w:pPr>
        <w:pStyle w:val="BodyText"/>
        <w:ind w:left="0" w:right="0" w:firstLine="0"/>
        <w:jc w:val="left"/>
        <w:rPr>
          <w:sz w:val="23"/>
        </w:rPr>
      </w:pPr>
    </w:p>
    <w:p>
      <w:pPr>
        <w:pStyle w:val="BodyText"/>
        <w:spacing w:line="218" w:lineRule="auto"/>
        <w:ind w:right="38"/>
      </w:pPr>
      <w:r>
        <w:rPr>
          <w:color w:val="231F20"/>
        </w:rPr>
        <w:t>Art. 6:79. Les procès-verbaux des assemblées générales sont signés par les membres du bureau et par les actionnaires qui le demandent;</w:t>
      </w:r>
      <w:r>
        <w:rPr>
          <w:color w:val="231F20"/>
          <w:spacing w:val="-19"/>
        </w:rPr>
        <w:t> </w:t>
      </w:r>
      <w:r>
        <w:rPr>
          <w:color w:val="231F20"/>
        </w:rPr>
        <w:t>les copies à délivrer aux tiers sont signées par un ou plusieurs membres de l’organe</w:t>
      </w:r>
      <w:r>
        <w:rPr>
          <w:color w:val="231F20"/>
          <w:spacing w:val="17"/>
        </w:rPr>
        <w:t> </w:t>
      </w:r>
      <w:r>
        <w:rPr>
          <w:color w:val="231F20"/>
        </w:rPr>
        <w:t>d’administration</w:t>
      </w:r>
      <w:r>
        <w:rPr>
          <w:color w:val="231F20"/>
          <w:spacing w:val="17"/>
        </w:rPr>
        <w:t> </w:t>
      </w:r>
      <w:r>
        <w:rPr>
          <w:color w:val="231F20"/>
        </w:rPr>
        <w:t>ayant</w:t>
      </w:r>
      <w:r>
        <w:rPr>
          <w:color w:val="231F20"/>
          <w:spacing w:val="17"/>
        </w:rPr>
        <w:t> </w:t>
      </w:r>
      <w:r>
        <w:rPr>
          <w:color w:val="231F20"/>
        </w:rPr>
        <w:t>le</w:t>
      </w:r>
      <w:r>
        <w:rPr>
          <w:color w:val="231F20"/>
          <w:spacing w:val="17"/>
        </w:rPr>
        <w:t> </w:t>
      </w:r>
      <w:r>
        <w:rPr>
          <w:color w:val="231F20"/>
        </w:rPr>
        <w:t>pouvoir</w:t>
      </w:r>
      <w:r>
        <w:rPr>
          <w:color w:val="231F20"/>
          <w:spacing w:val="17"/>
        </w:rPr>
        <w:t> </w:t>
      </w:r>
      <w:r>
        <w:rPr>
          <w:color w:val="231F20"/>
        </w:rPr>
        <w:t>de</w:t>
      </w:r>
      <w:r>
        <w:rPr>
          <w:color w:val="231F20"/>
          <w:spacing w:val="17"/>
        </w:rPr>
        <w:t> </w:t>
      </w:r>
      <w:r>
        <w:rPr>
          <w:color w:val="231F20"/>
        </w:rPr>
        <w:t>représentation.</w:t>
      </w:r>
    </w:p>
    <w:p>
      <w:pPr>
        <w:pStyle w:val="BodyText"/>
        <w:spacing w:before="9"/>
        <w:ind w:left="0" w:right="0" w:firstLine="0"/>
        <w:jc w:val="left"/>
        <w:rPr>
          <w:sz w:val="21"/>
        </w:rPr>
      </w:pPr>
    </w:p>
    <w:p>
      <w:pPr>
        <w:pStyle w:val="BodyText"/>
        <w:ind w:left="284" w:right="0" w:firstLine="0"/>
        <w:jc w:val="left"/>
      </w:pPr>
      <w:r>
        <w:rPr>
          <w:color w:val="231F20"/>
        </w:rPr>
        <w:t>Sous-section 7. Modalités de l’exercice du droit de vote.</w:t>
      </w:r>
    </w:p>
    <w:p>
      <w:pPr>
        <w:pStyle w:val="BodyText"/>
        <w:spacing w:line="218" w:lineRule="auto" w:before="82"/>
        <w:ind w:right="38"/>
      </w:pPr>
      <w:r>
        <w:rPr>
          <w:color w:val="231F20"/>
        </w:rPr>
        <w:t>Art. 6:80. Sauf disposition statutaire contraire, les actionnaires peuvent se faire représenter par un mandataire, qui ne doit pas être actionnaire. Les statuts peuvent permettre aux actionnaires de voter</w:t>
      </w:r>
      <w:r>
        <w:rPr>
          <w:color w:val="231F20"/>
          <w:spacing w:val="-26"/>
        </w:rPr>
        <w:t> </w:t>
      </w:r>
      <w:r>
        <w:rPr>
          <w:color w:val="231F20"/>
        </w:rPr>
        <w:t>par écrit avant</w:t>
      </w:r>
      <w:r>
        <w:rPr>
          <w:color w:val="231F20"/>
          <w:spacing w:val="-11"/>
        </w:rPr>
        <w:t> </w:t>
      </w:r>
      <w:r>
        <w:rPr>
          <w:color w:val="231F20"/>
        </w:rPr>
        <w:t>l’assemblée.</w:t>
      </w:r>
    </w:p>
    <w:p>
      <w:pPr>
        <w:pStyle w:val="BodyText"/>
        <w:spacing w:line="218" w:lineRule="auto" w:before="86"/>
        <w:ind w:right="38"/>
      </w:pPr>
      <w:r>
        <w:rPr>
          <w:color w:val="231F20"/>
        </w:rPr>
        <w:t>Un vote émis par écrit ou une procuration octroyée restent valables pour chaque assemblée générale suivante dans la mesure où il y est traité</w:t>
      </w:r>
      <w:r>
        <w:rPr>
          <w:color w:val="231F20"/>
          <w:spacing w:val="-3"/>
        </w:rPr>
        <w:t> </w:t>
      </w:r>
      <w:r>
        <w:rPr>
          <w:color w:val="231F20"/>
        </w:rPr>
        <w:t>des</w:t>
      </w:r>
      <w:r>
        <w:rPr>
          <w:color w:val="231F20"/>
          <w:spacing w:val="-3"/>
        </w:rPr>
        <w:t> </w:t>
      </w:r>
      <w:r>
        <w:rPr>
          <w:color w:val="231F20"/>
        </w:rPr>
        <w:t>mêmes</w:t>
      </w:r>
      <w:r>
        <w:rPr>
          <w:color w:val="231F20"/>
          <w:spacing w:val="-3"/>
        </w:rPr>
        <w:t> </w:t>
      </w:r>
      <w:r>
        <w:rPr>
          <w:color w:val="231F20"/>
        </w:rPr>
        <w:t>points</w:t>
      </w:r>
      <w:r>
        <w:rPr>
          <w:color w:val="231F20"/>
          <w:spacing w:val="-3"/>
        </w:rPr>
        <w:t> </w:t>
      </w:r>
      <w:r>
        <w:rPr>
          <w:color w:val="231F20"/>
        </w:rPr>
        <w:t>de</w:t>
      </w:r>
      <w:r>
        <w:rPr>
          <w:color w:val="231F20"/>
          <w:spacing w:val="-3"/>
        </w:rPr>
        <w:t> </w:t>
      </w:r>
      <w:r>
        <w:rPr>
          <w:color w:val="231F20"/>
        </w:rPr>
        <w:t>l’ordre</w:t>
      </w:r>
      <w:r>
        <w:rPr>
          <w:color w:val="231F20"/>
          <w:spacing w:val="-3"/>
        </w:rPr>
        <w:t> </w:t>
      </w:r>
      <w:r>
        <w:rPr>
          <w:color w:val="231F20"/>
        </w:rPr>
        <w:t>du</w:t>
      </w:r>
      <w:r>
        <w:rPr>
          <w:color w:val="231F20"/>
          <w:spacing w:val="-3"/>
        </w:rPr>
        <w:t> jour, </w:t>
      </w:r>
      <w:r>
        <w:rPr>
          <w:color w:val="231F20"/>
        </w:rPr>
        <w:t>sauf</w:t>
      </w:r>
      <w:r>
        <w:rPr>
          <w:color w:val="231F20"/>
          <w:spacing w:val="-3"/>
        </w:rPr>
        <w:t> </w:t>
      </w:r>
      <w:r>
        <w:rPr>
          <w:color w:val="231F20"/>
        </w:rPr>
        <w:t>si</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est</w:t>
      </w:r>
      <w:r>
        <w:rPr>
          <w:color w:val="231F20"/>
          <w:spacing w:val="-3"/>
        </w:rPr>
        <w:t> </w:t>
      </w:r>
      <w:r>
        <w:rPr>
          <w:color w:val="231F20"/>
        </w:rPr>
        <w:t>informée d’une cession des actions</w:t>
      </w:r>
      <w:r>
        <w:rPr>
          <w:color w:val="231F20"/>
          <w:spacing w:val="19"/>
        </w:rPr>
        <w:t> </w:t>
      </w:r>
      <w:r>
        <w:rPr>
          <w:color w:val="231F20"/>
        </w:rPr>
        <w:t>concernées.</w:t>
      </w:r>
    </w:p>
    <w:p>
      <w:pPr>
        <w:pStyle w:val="BodyText"/>
        <w:spacing w:before="8"/>
        <w:ind w:left="0" w:right="0" w:firstLine="0"/>
        <w:jc w:val="left"/>
        <w:rPr>
          <w:sz w:val="21"/>
        </w:rPr>
      </w:pPr>
    </w:p>
    <w:p>
      <w:pPr>
        <w:pStyle w:val="BodyText"/>
        <w:ind w:left="284" w:right="0" w:firstLine="0"/>
        <w:jc w:val="left"/>
      </w:pPr>
      <w:r>
        <w:rPr>
          <w:color w:val="231F20"/>
        </w:rPr>
        <w:t>Section 2. Assemblée générale ordinaire.</w:t>
      </w:r>
    </w:p>
    <w:p>
      <w:pPr>
        <w:pStyle w:val="BodyText"/>
        <w:spacing w:line="218" w:lineRule="auto" w:before="82"/>
        <w:ind w:right="38"/>
      </w:pPr>
      <w:r>
        <w:rPr>
          <w:color w:val="231F20"/>
        </w:rPr>
        <w:t>Art. 6:81. Il doit être tenu, chaque année, au moins une assemblée générale dans la commune, aux jour et heure indiqués par les statuts.</w:t>
      </w:r>
    </w:p>
    <w:p>
      <w:pPr>
        <w:pStyle w:val="BodyText"/>
        <w:ind w:left="0" w:right="0" w:firstLine="0"/>
        <w:jc w:val="left"/>
        <w:rPr>
          <w:sz w:val="23"/>
        </w:rPr>
      </w:pPr>
    </w:p>
    <w:p>
      <w:pPr>
        <w:pStyle w:val="BodyText"/>
        <w:spacing w:line="218" w:lineRule="auto"/>
        <w:ind w:right="38"/>
      </w:pPr>
      <w:r>
        <w:rPr>
          <w:color w:val="231F20"/>
        </w:rPr>
        <w:t>Art. 6:82. Quinze jours avant l’assemblée générale, les actionnaires peuvent prendre connaissance:</w:t>
      </w:r>
    </w:p>
    <w:p>
      <w:pPr>
        <w:pStyle w:val="BodyText"/>
        <w:spacing w:before="72"/>
        <w:ind w:left="284" w:right="0" w:firstLine="0"/>
        <w:jc w:val="left"/>
      </w:pPr>
      <w:r>
        <w:rPr>
          <w:color w:val="231F20"/>
        </w:rPr>
        <w:t>1° des comptes annuels;</w:t>
      </w:r>
    </w:p>
    <w:p>
      <w:pPr>
        <w:pStyle w:val="BodyText"/>
        <w:spacing w:before="68"/>
        <w:ind w:left="284" w:right="0" w:firstLine="0"/>
        <w:jc w:val="left"/>
      </w:pPr>
      <w:r>
        <w:rPr>
          <w:color w:val="231F20"/>
        </w:rPr>
        <w:t>2° le cas échéant, des comptes consolidés;</w:t>
      </w:r>
    </w:p>
    <w:p>
      <w:pPr>
        <w:pStyle w:val="BodyText"/>
        <w:spacing w:line="218" w:lineRule="auto" w:before="82"/>
        <w:ind w:right="38"/>
      </w:pPr>
      <w:r>
        <w:rPr>
          <w:color w:val="231F20"/>
        </w:rPr>
        <w:t>3° de la liste des actionnaires qui n’ont pas libéré leurs actions, avec l’indication du nombre d’actions non libérées et celle de leur domicile;</w:t>
      </w:r>
    </w:p>
    <w:p>
      <w:pPr>
        <w:pStyle w:val="BodyText"/>
        <w:spacing w:before="10"/>
        <w:ind w:left="0" w:right="0" w:firstLine="0"/>
        <w:jc w:val="left"/>
        <w:rPr>
          <w:sz w:val="23"/>
        </w:rPr>
      </w:pPr>
    </w:p>
    <w:p>
      <w:pPr>
        <w:pStyle w:val="BodyText"/>
        <w:spacing w:line="218" w:lineRule="auto"/>
        <w:ind w:right="38"/>
      </w:pPr>
      <w:r>
        <w:rPr>
          <w:color w:val="231F20"/>
        </w:rPr>
        <w:t>4° le cas échéant, du rapport de gestion, du rapport de gestion sur les comptes consolidés, du rapport du commissaire et des autres rapports prescrits par le présent code.</w:t>
      </w:r>
    </w:p>
    <w:p>
      <w:pPr>
        <w:pStyle w:val="BodyText"/>
        <w:spacing w:line="218" w:lineRule="auto" w:before="97"/>
        <w:ind w:right="38"/>
      </w:pPr>
      <w:r>
        <w:rPr>
          <w:color w:val="231F20"/>
        </w:rPr>
        <w:t>Ces informations, ainsi que les informations déposées auprès de la Banque nationale de Belgique conformément à l’article 3:12, sont communiquées aux actionnaires, aux membres de l’organe d’adminis- tration et, le cas échéant, au commissaire conformément à l’article</w:t>
      </w:r>
      <w:r>
        <w:rPr>
          <w:color w:val="231F20"/>
          <w:spacing w:val="-17"/>
        </w:rPr>
        <w:t> </w:t>
      </w:r>
      <w:r>
        <w:rPr>
          <w:color w:val="231F20"/>
        </w:rPr>
        <w:t>6:70,</w:t>
      </w:r>
    </w:p>
    <w:p>
      <w:pPr>
        <w:pStyle w:val="BodyText"/>
        <w:spacing w:line="179" w:lineRule="exact"/>
        <w:ind w:right="0" w:firstLine="0"/>
        <w:jc w:val="left"/>
      </w:pPr>
      <w:r>
        <w:rPr>
          <w:color w:val="231F20"/>
        </w:rPr>
        <w:t>§ 2.</w:t>
      </w:r>
    </w:p>
    <w:p>
      <w:pPr>
        <w:pStyle w:val="BodyText"/>
        <w:spacing w:line="218" w:lineRule="auto" w:before="119"/>
      </w:pPr>
      <w:r>
        <w:rPr/>
        <w:br w:type="column"/>
      </w:r>
      <w:r>
        <w:rPr>
          <w:color w:val="231F20"/>
        </w:rPr>
        <w:t>Als de vennootschap stemmen op afstand langs elektronische weg toestaat, moet zij in staat zijn de hoedanigheid en de identiteit van de aandeelhouder te controleren, op de bij of krachtens de statuten bepaalde wijze.</w:t>
      </w:r>
    </w:p>
    <w:p>
      <w:pPr>
        <w:pStyle w:val="BodyText"/>
        <w:spacing w:before="72"/>
        <w:ind w:left="283" w:right="0" w:firstLine="0"/>
        <w:jc w:val="left"/>
      </w:pPr>
      <w:r>
        <w:rPr>
          <w:color w:val="231F20"/>
        </w:rPr>
        <w:t>Onderafdeling 6. Verloop van de algemene vergadering.</w:t>
      </w:r>
    </w:p>
    <w:p>
      <w:pPr>
        <w:pStyle w:val="BodyText"/>
        <w:spacing w:line="218" w:lineRule="auto" w:before="82"/>
      </w:pPr>
      <w:r>
        <w:rPr>
          <w:color w:val="231F20"/>
          <w:w w:val="105"/>
        </w:rPr>
        <w:t>Art.</w:t>
      </w:r>
      <w:r>
        <w:rPr>
          <w:color w:val="231F20"/>
          <w:spacing w:val="-6"/>
          <w:w w:val="105"/>
        </w:rPr>
        <w:t> </w:t>
      </w:r>
      <w:r>
        <w:rPr>
          <w:color w:val="231F20"/>
          <w:w w:val="105"/>
        </w:rPr>
        <w:t>6:76.</w:t>
      </w:r>
      <w:r>
        <w:rPr>
          <w:color w:val="231F20"/>
          <w:spacing w:val="-6"/>
          <w:w w:val="105"/>
        </w:rPr>
        <w:t> </w:t>
      </w:r>
      <w:r>
        <w:rPr>
          <w:color w:val="231F20"/>
          <w:w w:val="105"/>
        </w:rPr>
        <w:t>Op</w:t>
      </w:r>
      <w:r>
        <w:rPr>
          <w:color w:val="231F20"/>
          <w:spacing w:val="-6"/>
          <w:w w:val="105"/>
        </w:rPr>
        <w:t> </w:t>
      </w:r>
      <w:r>
        <w:rPr>
          <w:color w:val="231F20"/>
          <w:w w:val="105"/>
        </w:rPr>
        <w:t>elke</w:t>
      </w:r>
      <w:r>
        <w:rPr>
          <w:color w:val="231F20"/>
          <w:spacing w:val="-5"/>
          <w:w w:val="105"/>
        </w:rPr>
        <w:t> </w:t>
      </w:r>
      <w:r>
        <w:rPr>
          <w:color w:val="231F20"/>
          <w:w w:val="105"/>
        </w:rPr>
        <w:t>algemene</w:t>
      </w:r>
      <w:r>
        <w:rPr>
          <w:color w:val="231F20"/>
          <w:spacing w:val="-6"/>
          <w:w w:val="105"/>
        </w:rPr>
        <w:t> </w:t>
      </w:r>
      <w:r>
        <w:rPr>
          <w:color w:val="231F20"/>
          <w:w w:val="105"/>
        </w:rPr>
        <w:t>vergadering</w:t>
      </w:r>
      <w:r>
        <w:rPr>
          <w:color w:val="231F20"/>
          <w:spacing w:val="-6"/>
          <w:w w:val="105"/>
        </w:rPr>
        <w:t> </w:t>
      </w:r>
      <w:r>
        <w:rPr>
          <w:color w:val="231F20"/>
          <w:w w:val="105"/>
        </w:rPr>
        <w:t>wordt</w:t>
      </w:r>
      <w:r>
        <w:rPr>
          <w:color w:val="231F20"/>
          <w:spacing w:val="-6"/>
          <w:w w:val="105"/>
        </w:rPr>
        <w:t> </w:t>
      </w:r>
      <w:r>
        <w:rPr>
          <w:color w:val="231F20"/>
          <w:w w:val="105"/>
        </w:rPr>
        <w:t>een</w:t>
      </w:r>
      <w:r>
        <w:rPr>
          <w:color w:val="231F20"/>
          <w:spacing w:val="-5"/>
          <w:w w:val="105"/>
        </w:rPr>
        <w:t> </w:t>
      </w:r>
      <w:r>
        <w:rPr>
          <w:color w:val="231F20"/>
          <w:w w:val="105"/>
        </w:rPr>
        <w:t>aanwezigheids- lijst</w:t>
      </w:r>
      <w:r>
        <w:rPr>
          <w:color w:val="231F20"/>
          <w:spacing w:val="-13"/>
          <w:w w:val="105"/>
        </w:rPr>
        <w:t> </w:t>
      </w:r>
      <w:r>
        <w:rPr>
          <w:color w:val="231F20"/>
          <w:w w:val="105"/>
        </w:rPr>
        <w:t>bijgehouden.</w:t>
      </w:r>
      <w:r>
        <w:rPr>
          <w:color w:val="231F20"/>
          <w:spacing w:val="-12"/>
          <w:w w:val="105"/>
        </w:rPr>
        <w:t> </w:t>
      </w:r>
      <w:r>
        <w:rPr>
          <w:color w:val="231F20"/>
          <w:w w:val="105"/>
        </w:rPr>
        <w:t>Zij</w:t>
      </w:r>
      <w:r>
        <w:rPr>
          <w:color w:val="231F20"/>
          <w:spacing w:val="-12"/>
          <w:w w:val="105"/>
        </w:rPr>
        <w:t> </w:t>
      </w:r>
      <w:r>
        <w:rPr>
          <w:color w:val="231F20"/>
          <w:w w:val="105"/>
        </w:rPr>
        <w:t>die</w:t>
      </w:r>
      <w:r>
        <w:rPr>
          <w:color w:val="231F20"/>
          <w:spacing w:val="-13"/>
          <w:w w:val="105"/>
        </w:rPr>
        <w:t> </w:t>
      </w:r>
      <w:r>
        <w:rPr>
          <w:color w:val="231F20"/>
          <w:w w:val="105"/>
        </w:rPr>
        <w:t>aan</w:t>
      </w:r>
      <w:r>
        <w:rPr>
          <w:color w:val="231F20"/>
          <w:spacing w:val="-12"/>
          <w:w w:val="105"/>
        </w:rPr>
        <w:t> </w:t>
      </w:r>
      <w:r>
        <w:rPr>
          <w:color w:val="231F20"/>
          <w:w w:val="105"/>
        </w:rPr>
        <w:t>de</w:t>
      </w:r>
      <w:r>
        <w:rPr>
          <w:color w:val="231F20"/>
          <w:spacing w:val="-12"/>
          <w:w w:val="105"/>
        </w:rPr>
        <w:t> </w:t>
      </w:r>
      <w:r>
        <w:rPr>
          <w:color w:val="231F20"/>
          <w:w w:val="105"/>
        </w:rPr>
        <w:t>algemene</w:t>
      </w:r>
      <w:r>
        <w:rPr>
          <w:color w:val="231F20"/>
          <w:spacing w:val="-12"/>
          <w:w w:val="105"/>
        </w:rPr>
        <w:t> </w:t>
      </w:r>
      <w:r>
        <w:rPr>
          <w:color w:val="231F20"/>
          <w:w w:val="105"/>
        </w:rPr>
        <w:t>vergadering</w:t>
      </w:r>
      <w:r>
        <w:rPr>
          <w:color w:val="231F20"/>
          <w:spacing w:val="-13"/>
          <w:w w:val="105"/>
        </w:rPr>
        <w:t> </w:t>
      </w:r>
      <w:r>
        <w:rPr>
          <w:color w:val="231F20"/>
          <w:w w:val="105"/>
        </w:rPr>
        <w:t>hebben</w:t>
      </w:r>
      <w:r>
        <w:rPr>
          <w:color w:val="231F20"/>
          <w:spacing w:val="-12"/>
          <w:w w:val="105"/>
        </w:rPr>
        <w:t> </w:t>
      </w:r>
      <w:r>
        <w:rPr>
          <w:color w:val="231F20"/>
          <w:w w:val="105"/>
        </w:rPr>
        <w:t>deelge- nomen of er waren vertegenwoordigd kunnen inzage krijgen in deze lijst in zoverre de statuten dit</w:t>
      </w:r>
      <w:r>
        <w:rPr>
          <w:color w:val="231F20"/>
          <w:spacing w:val="17"/>
          <w:w w:val="105"/>
        </w:rPr>
        <w:t> </w:t>
      </w:r>
      <w:r>
        <w:rPr>
          <w:color w:val="231F20"/>
          <w:w w:val="105"/>
        </w:rPr>
        <w:t>toelaten.</w:t>
      </w:r>
    </w:p>
    <w:p>
      <w:pPr>
        <w:pStyle w:val="BodyText"/>
        <w:spacing w:line="218" w:lineRule="auto" w:before="86"/>
      </w:pPr>
      <w:r>
        <w:rPr>
          <w:color w:val="231F20"/>
        </w:rPr>
        <w:t>Art. 6:77. De leden van het bestuursorgaan geven antwoord op de vragen die hun door de aandeelhouders vooraf of tijdens de vergade- ring, mondeling of schriftelijk worden gesteld en die verband houden met de agendapunten. De leden van het bestuursorgaan kunnen, in het belang van de vennootschap, weigeren op vragen te antwoorden wanneer de mededeling van bepaalde gegevens of feiten de vennoot- schap schade kan berokkenen of in strijd is met de door hen of door de vennootschap aangegane vertrouwelijkheidsverbintenissen.</w:t>
      </w:r>
    </w:p>
    <w:p>
      <w:pPr>
        <w:pStyle w:val="BodyText"/>
        <w:spacing w:line="218" w:lineRule="auto" w:before="86"/>
      </w:pPr>
      <w:r>
        <w:rPr>
          <w:color w:val="231F20"/>
        </w:rPr>
        <w:t>De commissaris deelt schriftelijke vragen die hij krijgt onmiddellijk mee aan het bestuursorgaan en geeft antwoord op de vragen die hem door de aandeelhouders vooraf of tijdens de vergadering, mondeling of schriftelijk, worden gesteld en die verband houden met de agendapun- ten waarover hij verslag uitbrengt. Hij kan, in het belang van de vennootschap, weigeren op vragen te antwoorden wanneer de mede- deling van bepaalde gegevens of feiten de vennootschap schade kan berokkenen of in strijd is met zijn beroepsgeheim of met door de vennootschap aangegane vertrouwelijkheidsverbintenissen. Hij heeft het recht ter algemene vergadering het woord te voeren in verband met de vervulling van zijn taak.</w:t>
      </w:r>
    </w:p>
    <w:p>
      <w:pPr>
        <w:pStyle w:val="BodyText"/>
        <w:spacing w:line="218" w:lineRule="auto" w:before="86"/>
      </w:pPr>
      <w:r>
        <w:rPr>
          <w:color w:val="231F20"/>
        </w:rPr>
        <w:t>De leden van het bestuursorgaan en de commissaris kunnen hun antwoord op verschillende vragen over hetzelfde onderwerp groepe- ren.</w:t>
      </w:r>
    </w:p>
    <w:p>
      <w:pPr>
        <w:pStyle w:val="BodyText"/>
        <w:spacing w:line="218" w:lineRule="auto" w:before="86"/>
      </w:pPr>
      <w:r>
        <w:rPr>
          <w:color w:val="231F20"/>
        </w:rPr>
        <w:t>De aandeelhouders kunnen vanaf het ogenblik waarop de algemene vergadering wordt bijeengeroepen schriftelijk vragen stellen via het in de oproeping  tot  de  vergadering  vermelde  adres  of  op  het  in  artikel 2:31 bedoelde e-mailadres en binnen de in de statuten bepaalde termijn.</w:t>
      </w:r>
      <w:r>
        <w:rPr>
          <w:color w:val="231F20"/>
          <w:spacing w:val="-4"/>
        </w:rPr>
        <w:t> </w:t>
      </w:r>
      <w:r>
        <w:rPr>
          <w:color w:val="231F20"/>
        </w:rPr>
        <w:t>Indien</w:t>
      </w:r>
      <w:r>
        <w:rPr>
          <w:color w:val="231F20"/>
          <w:spacing w:val="-4"/>
        </w:rPr>
        <w:t> </w:t>
      </w:r>
      <w:r>
        <w:rPr>
          <w:color w:val="231F20"/>
        </w:rPr>
        <w:t>de</w:t>
      </w:r>
      <w:r>
        <w:rPr>
          <w:color w:val="231F20"/>
          <w:spacing w:val="-3"/>
        </w:rPr>
        <w:t> </w:t>
      </w:r>
      <w:r>
        <w:rPr>
          <w:color w:val="231F20"/>
        </w:rPr>
        <w:t>betrokken</w:t>
      </w:r>
      <w:r>
        <w:rPr>
          <w:color w:val="231F20"/>
          <w:spacing w:val="-4"/>
        </w:rPr>
        <w:t> </w:t>
      </w:r>
      <w:r>
        <w:rPr>
          <w:color w:val="231F20"/>
        </w:rPr>
        <w:t>aandeelhouders</w:t>
      </w:r>
      <w:r>
        <w:rPr>
          <w:color w:val="231F20"/>
          <w:spacing w:val="-3"/>
        </w:rPr>
        <w:t> </w:t>
      </w:r>
      <w:r>
        <w:rPr>
          <w:color w:val="231F20"/>
        </w:rPr>
        <w:t>de</w:t>
      </w:r>
      <w:r>
        <w:rPr>
          <w:color w:val="231F20"/>
          <w:spacing w:val="-4"/>
        </w:rPr>
        <w:t> </w:t>
      </w:r>
      <w:r>
        <w:rPr>
          <w:color w:val="231F20"/>
        </w:rPr>
        <w:t>formaliteiten</w:t>
      </w:r>
      <w:r>
        <w:rPr>
          <w:color w:val="231F20"/>
          <w:spacing w:val="-3"/>
        </w:rPr>
        <w:t> </w:t>
      </w:r>
      <w:r>
        <w:rPr>
          <w:color w:val="231F20"/>
        </w:rPr>
        <w:t>om</w:t>
      </w:r>
      <w:r>
        <w:rPr>
          <w:color w:val="231F20"/>
          <w:spacing w:val="-4"/>
        </w:rPr>
        <w:t> </w:t>
      </w:r>
      <w:r>
        <w:rPr>
          <w:color w:val="231F20"/>
        </w:rPr>
        <w:t>tot</w:t>
      </w:r>
      <w:r>
        <w:rPr>
          <w:color w:val="231F20"/>
          <w:spacing w:val="-3"/>
        </w:rPr>
        <w:t> </w:t>
      </w:r>
      <w:r>
        <w:rPr>
          <w:color w:val="231F20"/>
        </w:rPr>
        <w:t>de vergadering te worden toegelaten hebben vervuld, worden deze vragen tijdens de vergadering</w:t>
      </w:r>
      <w:r>
        <w:rPr>
          <w:color w:val="231F20"/>
          <w:spacing w:val="5"/>
        </w:rPr>
        <w:t> </w:t>
      </w:r>
      <w:r>
        <w:rPr>
          <w:color w:val="231F20"/>
        </w:rPr>
        <w:t>beantwoord.</w:t>
      </w:r>
    </w:p>
    <w:p>
      <w:pPr>
        <w:pStyle w:val="BodyText"/>
        <w:spacing w:line="218" w:lineRule="auto" w:before="85"/>
      </w:pPr>
      <w:r>
        <w:rPr>
          <w:color w:val="231F20"/>
        </w:rPr>
        <w:t>Art. 6:78. Voor de vaststelling van de voorschriften inzake aanwezig- heid en meerderheid die in de algemene vergadering moeten worden nageleefd, wordt geen rekening gehouden met aandelen waarvan het stemrecht is geschorst.</w:t>
      </w:r>
    </w:p>
    <w:p>
      <w:pPr>
        <w:pStyle w:val="BodyText"/>
        <w:spacing w:line="218" w:lineRule="auto" w:before="86"/>
      </w:pPr>
      <w:r>
        <w:rPr>
          <w:color w:val="231F20"/>
          <w:w w:val="105"/>
        </w:rPr>
        <w:t>Art. 6:79. De notulen van de algemene vergaderingen worden ondertekend</w:t>
      </w:r>
      <w:r>
        <w:rPr>
          <w:color w:val="231F20"/>
          <w:spacing w:val="-15"/>
          <w:w w:val="105"/>
        </w:rPr>
        <w:t> </w:t>
      </w:r>
      <w:r>
        <w:rPr>
          <w:color w:val="231F20"/>
          <w:w w:val="105"/>
        </w:rPr>
        <w:t>door</w:t>
      </w:r>
      <w:r>
        <w:rPr>
          <w:color w:val="231F20"/>
          <w:spacing w:val="-14"/>
          <w:w w:val="105"/>
        </w:rPr>
        <w:t> </w:t>
      </w:r>
      <w:r>
        <w:rPr>
          <w:color w:val="231F20"/>
          <w:w w:val="105"/>
        </w:rPr>
        <w:t>de</w:t>
      </w:r>
      <w:r>
        <w:rPr>
          <w:color w:val="231F20"/>
          <w:spacing w:val="-15"/>
          <w:w w:val="105"/>
        </w:rPr>
        <w:t> </w:t>
      </w:r>
      <w:r>
        <w:rPr>
          <w:color w:val="231F20"/>
          <w:w w:val="105"/>
        </w:rPr>
        <w:t>leden</w:t>
      </w:r>
      <w:r>
        <w:rPr>
          <w:color w:val="231F20"/>
          <w:spacing w:val="-14"/>
          <w:w w:val="105"/>
        </w:rPr>
        <w:t> </w:t>
      </w:r>
      <w:r>
        <w:rPr>
          <w:color w:val="231F20"/>
          <w:w w:val="105"/>
        </w:rPr>
        <w:t>van</w:t>
      </w:r>
      <w:r>
        <w:rPr>
          <w:color w:val="231F20"/>
          <w:spacing w:val="-15"/>
          <w:w w:val="105"/>
        </w:rPr>
        <w:t> </w:t>
      </w:r>
      <w:r>
        <w:rPr>
          <w:color w:val="231F20"/>
          <w:w w:val="105"/>
        </w:rPr>
        <w:t>het</w:t>
      </w:r>
      <w:r>
        <w:rPr>
          <w:color w:val="231F20"/>
          <w:spacing w:val="-14"/>
          <w:w w:val="105"/>
        </w:rPr>
        <w:t> </w:t>
      </w:r>
      <w:r>
        <w:rPr>
          <w:color w:val="231F20"/>
          <w:w w:val="105"/>
        </w:rPr>
        <w:t>bureau</w:t>
      </w:r>
      <w:r>
        <w:rPr>
          <w:color w:val="231F20"/>
          <w:spacing w:val="-15"/>
          <w:w w:val="105"/>
        </w:rPr>
        <w:t> </w:t>
      </w:r>
      <w:r>
        <w:rPr>
          <w:color w:val="231F20"/>
          <w:w w:val="105"/>
        </w:rPr>
        <w:t>en</w:t>
      </w:r>
      <w:r>
        <w:rPr>
          <w:color w:val="231F20"/>
          <w:spacing w:val="-14"/>
          <w:w w:val="105"/>
        </w:rPr>
        <w:t> </w:t>
      </w:r>
      <w:r>
        <w:rPr>
          <w:color w:val="231F20"/>
          <w:w w:val="105"/>
        </w:rPr>
        <w:t>door</w:t>
      </w:r>
      <w:r>
        <w:rPr>
          <w:color w:val="231F20"/>
          <w:spacing w:val="-15"/>
          <w:w w:val="105"/>
        </w:rPr>
        <w:t> </w:t>
      </w:r>
      <w:r>
        <w:rPr>
          <w:color w:val="231F20"/>
          <w:w w:val="105"/>
        </w:rPr>
        <w:t>de</w:t>
      </w:r>
      <w:r>
        <w:rPr>
          <w:color w:val="231F20"/>
          <w:spacing w:val="-14"/>
          <w:w w:val="105"/>
        </w:rPr>
        <w:t> </w:t>
      </w:r>
      <w:r>
        <w:rPr>
          <w:color w:val="231F20"/>
          <w:w w:val="105"/>
        </w:rPr>
        <w:t>aandeelhouders die erom verzoeken; kopieën voor derden worden ondertekend door één</w:t>
      </w:r>
      <w:r>
        <w:rPr>
          <w:color w:val="231F20"/>
          <w:spacing w:val="-5"/>
          <w:w w:val="105"/>
        </w:rPr>
        <w:t> </w:t>
      </w:r>
      <w:r>
        <w:rPr>
          <w:color w:val="231F20"/>
          <w:w w:val="105"/>
        </w:rPr>
        <w:t>of</w:t>
      </w:r>
      <w:r>
        <w:rPr>
          <w:color w:val="231F20"/>
          <w:spacing w:val="-5"/>
          <w:w w:val="105"/>
        </w:rPr>
        <w:t> </w:t>
      </w:r>
      <w:r>
        <w:rPr>
          <w:color w:val="231F20"/>
          <w:w w:val="105"/>
        </w:rPr>
        <w:t>meer</w:t>
      </w:r>
      <w:r>
        <w:rPr>
          <w:color w:val="231F20"/>
          <w:spacing w:val="-5"/>
          <w:w w:val="105"/>
        </w:rPr>
        <w:t> </w:t>
      </w:r>
      <w:r>
        <w:rPr>
          <w:color w:val="231F20"/>
          <w:w w:val="105"/>
        </w:rPr>
        <w:t>vertegenwoordigingsbevoegde</w:t>
      </w:r>
      <w:r>
        <w:rPr>
          <w:color w:val="231F20"/>
          <w:spacing w:val="-5"/>
          <w:w w:val="105"/>
        </w:rPr>
        <w:t> </w:t>
      </w:r>
      <w:r>
        <w:rPr>
          <w:color w:val="231F20"/>
          <w:w w:val="105"/>
        </w:rPr>
        <w:t>leden</w:t>
      </w:r>
      <w:r>
        <w:rPr>
          <w:color w:val="231F20"/>
          <w:spacing w:val="-5"/>
          <w:w w:val="105"/>
        </w:rPr>
        <w:t> </w:t>
      </w:r>
      <w:r>
        <w:rPr>
          <w:color w:val="231F20"/>
          <w:w w:val="105"/>
        </w:rPr>
        <w:t>van</w:t>
      </w:r>
      <w:r>
        <w:rPr>
          <w:color w:val="231F20"/>
          <w:spacing w:val="-5"/>
          <w:w w:val="105"/>
        </w:rPr>
        <w:t> </w:t>
      </w:r>
      <w:r>
        <w:rPr>
          <w:color w:val="231F20"/>
          <w:w w:val="105"/>
        </w:rPr>
        <w:t>het</w:t>
      </w:r>
      <w:r>
        <w:rPr>
          <w:color w:val="231F20"/>
          <w:spacing w:val="-5"/>
          <w:w w:val="105"/>
        </w:rPr>
        <w:t> </w:t>
      </w:r>
      <w:r>
        <w:rPr>
          <w:color w:val="231F20"/>
          <w:w w:val="105"/>
        </w:rPr>
        <w:t>bestuursor- gaan.</w:t>
      </w:r>
    </w:p>
    <w:p>
      <w:pPr>
        <w:pStyle w:val="BodyText"/>
        <w:spacing w:before="72"/>
        <w:ind w:left="283" w:right="0" w:firstLine="0"/>
        <w:jc w:val="left"/>
      </w:pPr>
      <w:r>
        <w:rPr>
          <w:color w:val="231F20"/>
        </w:rPr>
        <w:t>Onderafdeling 7. Wijze van uitoefening van het stemrecht.</w:t>
      </w:r>
    </w:p>
    <w:p>
      <w:pPr>
        <w:pStyle w:val="BodyText"/>
        <w:spacing w:line="218" w:lineRule="auto" w:before="82"/>
        <w:ind w:right="123"/>
      </w:pPr>
      <w:r>
        <w:rPr>
          <w:color w:val="231F20"/>
        </w:rPr>
        <w:t>Art. 6:80. Tenzij de statuten anders bepalen, mogen de aandeelhou- ders zich door een lasthebber, die geen aandeelhouder moet zijn, laten vertegenwoordigen. De statuten kunnen de aandeelhouders toelaten hun stem vooraf schriftelijk uit te brengen.</w:t>
      </w:r>
    </w:p>
    <w:p>
      <w:pPr>
        <w:pStyle w:val="BodyText"/>
        <w:spacing w:line="218" w:lineRule="auto" w:before="85"/>
      </w:pPr>
      <w:r>
        <w:rPr>
          <w:color w:val="231F20"/>
        </w:rPr>
        <w:t>Een schriftelijk uitgebrachte stem of een verleende volmacht blijven geldig voor elke volgende algemene vergadering in de mate waarin daarop dezelfde agendapunten worden behandeld, tenzij de vennoot- schap op de hoogte wordt gesteld van een overdracht van de betrokken aandelen.</w:t>
      </w:r>
    </w:p>
    <w:p>
      <w:pPr>
        <w:pStyle w:val="BodyText"/>
        <w:spacing w:before="72"/>
        <w:ind w:left="283" w:right="0" w:firstLine="0"/>
        <w:jc w:val="left"/>
      </w:pPr>
      <w:r>
        <w:rPr>
          <w:color w:val="231F20"/>
        </w:rPr>
        <w:t>Afdeling 2. Gewone algemene vergadering.</w:t>
      </w:r>
    </w:p>
    <w:p>
      <w:pPr>
        <w:pStyle w:val="BodyText"/>
        <w:spacing w:line="218" w:lineRule="auto" w:before="82"/>
      </w:pPr>
      <w:r>
        <w:rPr>
          <w:color w:val="231F20"/>
        </w:rPr>
        <w:t>Art. 6:81. Ieder jaar moet ten minste één algemene vergadering worden gehouden in de gemeente, op de dag en het uur bij de statuten bepaald.</w:t>
      </w:r>
    </w:p>
    <w:p>
      <w:pPr>
        <w:pStyle w:val="BodyText"/>
        <w:spacing w:line="218" w:lineRule="auto" w:before="86"/>
      </w:pPr>
      <w:r>
        <w:rPr>
          <w:color w:val="231F20"/>
        </w:rPr>
        <w:t>Art. 6:82. Vijftien dagen vóór de algemene vergadering mogen de aandeelhouders kennisnemen van:</w:t>
      </w:r>
    </w:p>
    <w:p>
      <w:pPr>
        <w:pStyle w:val="BodyText"/>
        <w:spacing w:before="71"/>
        <w:ind w:left="283" w:right="0" w:firstLine="0"/>
        <w:jc w:val="left"/>
      </w:pPr>
      <w:r>
        <w:rPr>
          <w:color w:val="231F20"/>
        </w:rPr>
        <w:t>1° de jaarrekening;</w:t>
      </w:r>
    </w:p>
    <w:p>
      <w:pPr>
        <w:pStyle w:val="BodyText"/>
        <w:spacing w:before="68"/>
        <w:ind w:left="283" w:right="0" w:firstLine="0"/>
        <w:jc w:val="left"/>
      </w:pPr>
      <w:r>
        <w:rPr>
          <w:color w:val="231F20"/>
        </w:rPr>
        <w:t>2° in voorkomend geval, de geconsolideerde jaarrekening;</w:t>
      </w:r>
    </w:p>
    <w:p>
      <w:pPr>
        <w:pStyle w:val="BodyText"/>
        <w:spacing w:line="218" w:lineRule="auto" w:before="82"/>
        <w:ind w:right="123"/>
      </w:pPr>
      <w:r>
        <w:rPr>
          <w:color w:val="231F20"/>
        </w:rPr>
        <w:t>3° de lijst van de aandeelhouders die hun aandelen niet hebben volgestort, met vermelding van het aantal niet-volgestorte aandelen en van hun woonplaats;</w:t>
      </w:r>
    </w:p>
    <w:p>
      <w:pPr>
        <w:pStyle w:val="BodyText"/>
        <w:spacing w:line="218" w:lineRule="auto" w:before="96"/>
      </w:pPr>
      <w:r>
        <w:rPr>
          <w:color w:val="231F20"/>
        </w:rPr>
        <w:t>4° in voorkomend geval, het jaarverslag, het jaarverslag over de geconsolideerde jaarrekening, het verslag van de commissaris en de andere verslagen die dit wetboek voorschrijft.</w:t>
      </w:r>
    </w:p>
    <w:p>
      <w:pPr>
        <w:pStyle w:val="BodyText"/>
        <w:spacing w:line="218" w:lineRule="auto" w:before="96"/>
      </w:pPr>
      <w:r>
        <w:rPr>
          <w:color w:val="231F20"/>
        </w:rPr>
        <w:t>Deze informatie, evenals de  informatie  die  overeenkomstig  arti-  kel 3:12 wordt neergelegd bij de Nationale Bank van België, worden meegedeeld aan de betrokken aandeelhouders, leden van het bestuurs- orgaan en, in voorkomend geval, de commissaris overeenkomstig artikel 6:70, §</w:t>
      </w:r>
      <w:r>
        <w:rPr>
          <w:color w:val="231F20"/>
          <w:spacing w:val="1"/>
        </w:rPr>
        <w:t> </w:t>
      </w:r>
      <w:r>
        <w:rPr>
          <w:color w:val="231F20"/>
        </w:rPr>
        <w:t>2.</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41"/>
      </w:pPr>
      <w:r>
        <w:rPr/>
        <w:pict>
          <v:line style="position:absolute;mso-position-horizontal-relative:page;mso-position-vertical-relative:page;z-index:4288" from="298.170502pt,64.473pt" to="298.170502pt,812.819pt" stroked="true" strokeweight=".533pt" strokecolor="#231f20">
            <v:stroke dashstyle="solid"/>
            <w10:wrap type="none"/>
          </v:line>
        </w:pict>
      </w:r>
      <w:bookmarkStart w:name="_bookmark136" w:id="141"/>
      <w:bookmarkEnd w:id="141"/>
      <w:r>
        <w:rPr/>
      </w:r>
      <w:r>
        <w:rPr>
          <w:color w:val="231F20"/>
        </w:rPr>
        <w:t>Art. 6:83. L’assemblée générale entend, le cas échéant, le rapport de gestion, le rapport de gestion sur les comptes consolidés, le rapport du commissaire et les autres rapports prescrits par le code et discute les comptes annuels.</w:t>
      </w:r>
    </w:p>
    <w:p>
      <w:pPr>
        <w:pStyle w:val="BodyText"/>
        <w:spacing w:line="218" w:lineRule="auto" w:before="85"/>
        <w:ind w:right="40"/>
      </w:pPr>
      <w:r>
        <w:rPr>
          <w:color w:val="231F20"/>
        </w:rPr>
        <w:t>Après l’approbation des comptes annuels, l’assemblée générale se prononce par un vote spécial sur la décharge des administrateurs et du commissaire. Cette décharge n’est valable que lorsque les comptes annuels ne contiennent ni omission, ni indication fausse dissimulant la situation réelle de la société et, quant aux opérations accomplies en violation des statuts ou du présent code, que lorsqu’ils ont été spécialement indiqués dans la convocation.</w:t>
      </w:r>
    </w:p>
    <w:p>
      <w:pPr>
        <w:pStyle w:val="BodyText"/>
        <w:spacing w:line="218" w:lineRule="auto" w:before="86"/>
        <w:ind w:right="40"/>
      </w:pPr>
      <w:r>
        <w:rPr>
          <w:color w:val="231F20"/>
        </w:rPr>
        <w:t>Art. 6:84. L’organe d’administration a le droit de proroger, séance tenante, la décision relative à l’approbation des comptes annuels à trois semaines. Si l’assemblée générale en décide autrement, cette proroga- tion n’annule pas les autres décisions prises. L’assemblée suivante a le droit d’arrêter définitivement les comptes annuels.</w:t>
      </w:r>
    </w:p>
    <w:p>
      <w:pPr>
        <w:pStyle w:val="BodyText"/>
        <w:spacing w:before="9"/>
        <w:ind w:left="0" w:right="0" w:firstLine="0"/>
        <w:jc w:val="left"/>
        <w:rPr>
          <w:sz w:val="21"/>
        </w:rPr>
      </w:pPr>
    </w:p>
    <w:p>
      <w:pPr>
        <w:pStyle w:val="BodyText"/>
        <w:ind w:left="283" w:right="0" w:firstLine="0"/>
        <w:jc w:val="left"/>
      </w:pPr>
      <w:r>
        <w:rPr>
          <w:color w:val="231F20"/>
        </w:rPr>
        <w:t>Section 3. Assemblée générale extraordinaire.</w:t>
      </w:r>
    </w:p>
    <w:p>
      <w:pPr>
        <w:pStyle w:val="BodyText"/>
        <w:spacing w:before="53"/>
        <w:ind w:left="283" w:right="0" w:firstLine="0"/>
        <w:jc w:val="left"/>
      </w:pPr>
      <w:r>
        <w:rPr>
          <w:color w:val="231F20"/>
        </w:rPr>
        <w:t>Sous-section 1</w:t>
      </w:r>
      <w:r>
        <w:rPr>
          <w:color w:val="231F20"/>
          <w:position w:val="7"/>
          <w:sz w:val="11"/>
        </w:rPr>
        <w:t>re</w:t>
      </w:r>
      <w:r>
        <w:rPr>
          <w:color w:val="231F20"/>
        </w:rPr>
        <w:t>. Modification des statuts en général.</w:t>
      </w:r>
    </w:p>
    <w:p>
      <w:pPr>
        <w:pStyle w:val="BodyText"/>
        <w:spacing w:line="218" w:lineRule="auto" w:before="82"/>
        <w:ind w:right="40"/>
      </w:pPr>
      <w:r>
        <w:rPr>
          <w:color w:val="231F20"/>
        </w:rPr>
        <w:t>Art. 6:85. L’assemblée générale ne peut valablement délibérer et statuer sur les modifications aux statuts, et sauf disposition statutaire contraire, que lorsque les modifications proposées ont été mentionnées de manière précise dans la convocation, et si les actionnaires présents ou représentés représentent la moitié au moins du nombre total des actions émises.</w:t>
      </w:r>
    </w:p>
    <w:p>
      <w:pPr>
        <w:pStyle w:val="BodyText"/>
        <w:spacing w:line="218" w:lineRule="auto" w:before="86"/>
        <w:ind w:right="40"/>
      </w:pPr>
      <w:r>
        <w:rPr>
          <w:color w:val="231F20"/>
        </w:rPr>
        <w:t>Si cette dernière condition n’est pas respectée, une deuxième convocation, sauf disposition statutaire contraire, est nécessaire et la nouvelle assemblée délibère et statue valablement, quel que soit le nombre d’actions représentées par les actionnaires présents ou repré- sentés.</w:t>
      </w:r>
    </w:p>
    <w:p>
      <w:pPr>
        <w:pStyle w:val="BodyText"/>
        <w:spacing w:line="218" w:lineRule="auto" w:before="96"/>
        <w:ind w:right="40"/>
      </w:pPr>
      <w:r>
        <w:rPr>
          <w:color w:val="231F20"/>
        </w:rPr>
        <w:t>Sauf disposition statutaire contraire, une modification n’est admise que si elle réunit les trois quarts des voix exprimées, sans qu’il soit tenu compte des abstentions dans le numérateur ou dans le dénominateur.</w:t>
      </w:r>
    </w:p>
    <w:p>
      <w:pPr>
        <w:pStyle w:val="BodyText"/>
        <w:spacing w:before="11"/>
        <w:ind w:left="0" w:right="0" w:firstLine="0"/>
        <w:jc w:val="left"/>
        <w:rPr>
          <w:sz w:val="23"/>
        </w:rPr>
      </w:pPr>
    </w:p>
    <w:p>
      <w:pPr>
        <w:pStyle w:val="BodyText"/>
        <w:spacing w:line="218" w:lineRule="auto"/>
        <w:ind w:right="41"/>
      </w:pPr>
      <w:r>
        <w:rPr>
          <w:color w:val="231F20"/>
        </w:rPr>
        <w:t>Sous-section 2. Modification de l’objet, des buts, de la finalité ou des valeurs.</w:t>
      </w:r>
    </w:p>
    <w:p>
      <w:pPr>
        <w:pStyle w:val="BodyText"/>
        <w:spacing w:line="218" w:lineRule="auto" w:before="96"/>
        <w:ind w:right="41"/>
      </w:pPr>
      <w:r>
        <w:rPr>
          <w:color w:val="231F20"/>
        </w:rPr>
        <w:t>Art.</w:t>
      </w:r>
      <w:r>
        <w:rPr>
          <w:color w:val="231F20"/>
          <w:spacing w:val="-4"/>
        </w:rPr>
        <w:t> </w:t>
      </w:r>
      <w:r>
        <w:rPr>
          <w:color w:val="231F20"/>
        </w:rPr>
        <w:t>6:86.</w:t>
      </w:r>
      <w:r>
        <w:rPr>
          <w:color w:val="231F20"/>
          <w:spacing w:val="-3"/>
        </w:rPr>
        <w:t> </w:t>
      </w:r>
      <w:r>
        <w:rPr>
          <w:color w:val="231F20"/>
        </w:rPr>
        <w:t>S’il</w:t>
      </w:r>
      <w:r>
        <w:rPr>
          <w:color w:val="231F20"/>
          <w:spacing w:val="-3"/>
        </w:rPr>
        <w:t> </w:t>
      </w:r>
      <w:r>
        <w:rPr>
          <w:color w:val="231F20"/>
        </w:rPr>
        <w:t>est</w:t>
      </w:r>
      <w:r>
        <w:rPr>
          <w:color w:val="231F20"/>
          <w:spacing w:val="-3"/>
        </w:rPr>
        <w:t> </w:t>
      </w:r>
      <w:r>
        <w:rPr>
          <w:color w:val="231F20"/>
        </w:rPr>
        <w:t>proposé</w:t>
      </w:r>
      <w:r>
        <w:rPr>
          <w:color w:val="231F20"/>
          <w:spacing w:val="-3"/>
        </w:rPr>
        <w:t> </w:t>
      </w:r>
      <w:r>
        <w:rPr>
          <w:color w:val="231F20"/>
        </w:rPr>
        <w:t>de</w:t>
      </w:r>
      <w:r>
        <w:rPr>
          <w:color w:val="231F20"/>
          <w:spacing w:val="-3"/>
        </w:rPr>
        <w:t> </w:t>
      </w:r>
      <w:r>
        <w:rPr>
          <w:color w:val="231F20"/>
        </w:rPr>
        <w:t>modifier</w:t>
      </w:r>
      <w:r>
        <w:rPr>
          <w:color w:val="231F20"/>
          <w:spacing w:val="-3"/>
        </w:rPr>
        <w:t> </w:t>
      </w:r>
      <w:r>
        <w:rPr>
          <w:color w:val="231F20"/>
        </w:rPr>
        <w:t>l’objet,</w:t>
      </w:r>
      <w:r>
        <w:rPr>
          <w:color w:val="231F20"/>
          <w:spacing w:val="-3"/>
        </w:rPr>
        <w:t> </w:t>
      </w:r>
      <w:r>
        <w:rPr>
          <w:color w:val="231F20"/>
        </w:rPr>
        <w:t>les</w:t>
      </w:r>
      <w:r>
        <w:rPr>
          <w:color w:val="231F20"/>
          <w:spacing w:val="-3"/>
        </w:rPr>
        <w:t> </w:t>
      </w:r>
      <w:r>
        <w:rPr>
          <w:color w:val="231F20"/>
        </w:rPr>
        <w:t>buts,</w:t>
      </w:r>
      <w:r>
        <w:rPr>
          <w:color w:val="231F20"/>
          <w:spacing w:val="-4"/>
        </w:rPr>
        <w:t> </w:t>
      </w:r>
      <w:r>
        <w:rPr>
          <w:color w:val="231F20"/>
        </w:rPr>
        <w:t>la</w:t>
      </w:r>
      <w:r>
        <w:rPr>
          <w:color w:val="231F20"/>
          <w:spacing w:val="-3"/>
        </w:rPr>
        <w:t> </w:t>
      </w:r>
      <w:r>
        <w:rPr>
          <w:color w:val="231F20"/>
        </w:rPr>
        <w:t>finalité</w:t>
      </w:r>
      <w:r>
        <w:rPr>
          <w:color w:val="231F20"/>
          <w:spacing w:val="-3"/>
        </w:rPr>
        <w:t> </w:t>
      </w:r>
      <w:r>
        <w:rPr>
          <w:color w:val="231F20"/>
        </w:rPr>
        <w:t>ou</w:t>
      </w:r>
      <w:r>
        <w:rPr>
          <w:color w:val="231F20"/>
          <w:spacing w:val="-3"/>
        </w:rPr>
        <w:t> </w:t>
      </w:r>
      <w:r>
        <w:rPr>
          <w:color w:val="231F20"/>
        </w:rPr>
        <w:t>les valeurs de la société, tels que décrits dans les statuts, l’organe d’administration justifie en détail la modification proposée dans un rapport. Une copie de ce rapport est mise à disposition conformément  à</w:t>
      </w:r>
      <w:r>
        <w:rPr>
          <w:color w:val="231F20"/>
          <w:spacing w:val="13"/>
        </w:rPr>
        <w:t> </w:t>
      </w:r>
      <w:r>
        <w:rPr>
          <w:color w:val="231F20"/>
        </w:rPr>
        <w:t>l’article</w:t>
      </w:r>
      <w:r>
        <w:rPr>
          <w:color w:val="231F20"/>
          <w:spacing w:val="14"/>
        </w:rPr>
        <w:t> </w:t>
      </w:r>
      <w:r>
        <w:rPr>
          <w:color w:val="231F20"/>
        </w:rPr>
        <w:t>6:70,</w:t>
      </w:r>
      <w:r>
        <w:rPr>
          <w:color w:val="231F20"/>
          <w:spacing w:val="14"/>
        </w:rPr>
        <w:t> </w:t>
      </w:r>
      <w:r>
        <w:rPr>
          <w:color w:val="231F20"/>
        </w:rPr>
        <w:t>§</w:t>
      </w:r>
      <w:r>
        <w:rPr>
          <w:color w:val="231F20"/>
          <w:spacing w:val="13"/>
        </w:rPr>
        <w:t> </w:t>
      </w:r>
      <w:r>
        <w:rPr>
          <w:color w:val="231F20"/>
        </w:rPr>
        <w:t>2,</w:t>
      </w:r>
      <w:r>
        <w:rPr>
          <w:color w:val="231F20"/>
          <w:spacing w:val="14"/>
        </w:rPr>
        <w:t> </w:t>
      </w:r>
      <w:r>
        <w:rPr>
          <w:color w:val="231F20"/>
        </w:rPr>
        <w:t>des</w:t>
      </w:r>
      <w:r>
        <w:rPr>
          <w:color w:val="231F20"/>
          <w:spacing w:val="14"/>
        </w:rPr>
        <w:t> </w:t>
      </w:r>
      <w:r>
        <w:rPr>
          <w:color w:val="231F20"/>
        </w:rPr>
        <w:t>actionnaires.</w:t>
      </w:r>
    </w:p>
    <w:p>
      <w:pPr>
        <w:pStyle w:val="BodyText"/>
        <w:spacing w:before="11"/>
        <w:ind w:left="0" w:right="0" w:firstLine="0"/>
        <w:jc w:val="left"/>
        <w:rPr>
          <w:sz w:val="23"/>
        </w:rPr>
      </w:pPr>
    </w:p>
    <w:p>
      <w:pPr>
        <w:pStyle w:val="BodyText"/>
        <w:spacing w:line="218" w:lineRule="auto"/>
        <w:ind w:right="41"/>
      </w:pPr>
      <w:r>
        <w:rPr>
          <w:color w:val="231F20"/>
        </w:rPr>
        <w:t>En l’absence de ce rapport, la décision de l’assemblée générale est nulle.</w:t>
      </w:r>
    </w:p>
    <w:p>
      <w:pPr>
        <w:pStyle w:val="BodyText"/>
        <w:spacing w:line="218" w:lineRule="auto" w:before="96"/>
        <w:ind w:right="40"/>
      </w:pPr>
      <w:r>
        <w:rPr>
          <w:color w:val="231F20"/>
        </w:rPr>
        <w:t>L’assemblée</w:t>
      </w:r>
      <w:r>
        <w:rPr>
          <w:color w:val="231F20"/>
          <w:spacing w:val="-4"/>
        </w:rPr>
        <w:t> </w:t>
      </w:r>
      <w:r>
        <w:rPr>
          <w:color w:val="231F20"/>
        </w:rPr>
        <w:t>générale</w:t>
      </w:r>
      <w:r>
        <w:rPr>
          <w:color w:val="231F20"/>
          <w:spacing w:val="-4"/>
        </w:rPr>
        <w:t> </w:t>
      </w:r>
      <w:r>
        <w:rPr>
          <w:color w:val="231F20"/>
        </w:rPr>
        <w:t>ne</w:t>
      </w:r>
      <w:r>
        <w:rPr>
          <w:color w:val="231F20"/>
          <w:spacing w:val="-4"/>
        </w:rPr>
        <w:t> </w:t>
      </w:r>
      <w:r>
        <w:rPr>
          <w:color w:val="231F20"/>
        </w:rPr>
        <w:t>peut</w:t>
      </w:r>
      <w:r>
        <w:rPr>
          <w:color w:val="231F20"/>
          <w:spacing w:val="-4"/>
        </w:rPr>
        <w:t> </w:t>
      </w:r>
      <w:r>
        <w:rPr>
          <w:color w:val="231F20"/>
        </w:rPr>
        <w:t>valablement</w:t>
      </w:r>
      <w:r>
        <w:rPr>
          <w:color w:val="231F20"/>
          <w:spacing w:val="-4"/>
        </w:rPr>
        <w:t> </w:t>
      </w:r>
      <w:r>
        <w:rPr>
          <w:color w:val="231F20"/>
        </w:rPr>
        <w:t>délibérer</w:t>
      </w:r>
      <w:r>
        <w:rPr>
          <w:color w:val="231F20"/>
          <w:spacing w:val="-4"/>
        </w:rPr>
        <w:t> </w:t>
      </w:r>
      <w:r>
        <w:rPr>
          <w:color w:val="231F20"/>
        </w:rPr>
        <w:t>et</w:t>
      </w:r>
      <w:r>
        <w:rPr>
          <w:color w:val="231F20"/>
          <w:spacing w:val="-4"/>
        </w:rPr>
        <w:t> </w:t>
      </w:r>
      <w:r>
        <w:rPr>
          <w:color w:val="231F20"/>
        </w:rPr>
        <w:t>statuer</w:t>
      </w:r>
      <w:r>
        <w:rPr>
          <w:color w:val="231F20"/>
          <w:spacing w:val="-3"/>
        </w:rPr>
        <w:t> </w:t>
      </w:r>
      <w:r>
        <w:rPr>
          <w:color w:val="231F20"/>
        </w:rPr>
        <w:t>sur</w:t>
      </w:r>
      <w:r>
        <w:rPr>
          <w:color w:val="231F20"/>
          <w:spacing w:val="-4"/>
        </w:rPr>
        <w:t> </w:t>
      </w:r>
      <w:r>
        <w:rPr>
          <w:color w:val="231F20"/>
        </w:rPr>
        <w:t>une modification de l’objet, des buts, de la finalité ou des valeurs de la société et sauf disposition statutaire contraire, que lorsque les action- naires présents ou représentés représentent la moitié au moins du nombre total d’actions</w:t>
      </w:r>
      <w:r>
        <w:rPr>
          <w:color w:val="231F20"/>
          <w:spacing w:val="3"/>
        </w:rPr>
        <w:t> </w:t>
      </w:r>
      <w:r>
        <w:rPr>
          <w:color w:val="231F20"/>
        </w:rPr>
        <w:t>émises.</w:t>
      </w:r>
    </w:p>
    <w:p>
      <w:pPr>
        <w:pStyle w:val="BodyText"/>
        <w:spacing w:before="11"/>
        <w:ind w:left="0" w:right="0" w:firstLine="0"/>
        <w:jc w:val="left"/>
        <w:rPr>
          <w:sz w:val="23"/>
        </w:rPr>
      </w:pPr>
    </w:p>
    <w:p>
      <w:pPr>
        <w:pStyle w:val="BodyText"/>
        <w:spacing w:line="218" w:lineRule="auto"/>
        <w:ind w:right="40"/>
      </w:pPr>
      <w:r>
        <w:rPr>
          <w:color w:val="231F20"/>
        </w:rPr>
        <w:t>Si cette dernière condition n’est pas respectée, sauf disposition statutaire contraire, une seconde convocation sera nécessaire et la nouvelle assemblée délibérera et statuera valablement, quel que soit le nombre d’actions représentées par les actionnaires présents ou repré- sentés.</w:t>
      </w:r>
    </w:p>
    <w:p>
      <w:pPr>
        <w:pStyle w:val="BodyText"/>
        <w:spacing w:line="218" w:lineRule="auto" w:before="96"/>
        <w:ind w:right="40"/>
      </w:pPr>
      <w:r>
        <w:rPr>
          <w:color w:val="231F20"/>
        </w:rPr>
        <w:t>Sauf disposition statutaire contraire, une modification n’est admise que si elle réunit au moins les quatre cinquièmes des voix exprimées, sans qu’il soit tenu compte des abstentions dans le numérateur ou dans le dénominateur.</w:t>
      </w:r>
    </w:p>
    <w:p>
      <w:pPr>
        <w:pStyle w:val="BodyText"/>
        <w:spacing w:before="82"/>
        <w:ind w:left="283" w:right="0" w:firstLine="0"/>
        <w:jc w:val="left"/>
      </w:pPr>
      <w:r>
        <w:rPr>
          <w:color w:val="231F20"/>
        </w:rPr>
        <w:t>Sous-section 3. Modification des droits attachés aux classes d’actions.</w:t>
      </w:r>
    </w:p>
    <w:p>
      <w:pPr>
        <w:pStyle w:val="BodyText"/>
        <w:spacing w:before="7"/>
        <w:ind w:left="0" w:right="0" w:firstLine="0"/>
        <w:jc w:val="left"/>
        <w:rPr>
          <w:sz w:val="23"/>
        </w:rPr>
      </w:pPr>
    </w:p>
    <w:p>
      <w:pPr>
        <w:pStyle w:val="BodyText"/>
        <w:spacing w:line="218" w:lineRule="auto" w:before="1"/>
        <w:ind w:right="38"/>
      </w:pPr>
      <w:r>
        <w:rPr>
          <w:color w:val="231F20"/>
        </w:rPr>
        <w:t>Art. 6:87. L’assemblée générale peut, nonobstant toute disposition statutaire</w:t>
      </w:r>
      <w:r>
        <w:rPr>
          <w:color w:val="231F20"/>
          <w:spacing w:val="-10"/>
        </w:rPr>
        <w:t> </w:t>
      </w:r>
      <w:r>
        <w:rPr>
          <w:color w:val="231F20"/>
        </w:rPr>
        <w:t>contraire,</w:t>
      </w:r>
      <w:r>
        <w:rPr>
          <w:color w:val="231F20"/>
          <w:spacing w:val="-9"/>
        </w:rPr>
        <w:t> </w:t>
      </w:r>
      <w:r>
        <w:rPr>
          <w:color w:val="231F20"/>
        </w:rPr>
        <w:t>approuver</w:t>
      </w:r>
      <w:r>
        <w:rPr>
          <w:color w:val="231F20"/>
          <w:spacing w:val="-9"/>
        </w:rPr>
        <w:t> </w:t>
      </w:r>
      <w:r>
        <w:rPr>
          <w:color w:val="231F20"/>
        </w:rPr>
        <w:t>l’émission</w:t>
      </w:r>
      <w:r>
        <w:rPr>
          <w:color w:val="231F20"/>
          <w:spacing w:val="-9"/>
        </w:rPr>
        <w:t> </w:t>
      </w:r>
      <w:r>
        <w:rPr>
          <w:color w:val="231F20"/>
        </w:rPr>
        <w:t>de</w:t>
      </w:r>
      <w:r>
        <w:rPr>
          <w:color w:val="231F20"/>
          <w:spacing w:val="-9"/>
        </w:rPr>
        <w:t> </w:t>
      </w:r>
      <w:r>
        <w:rPr>
          <w:color w:val="231F20"/>
        </w:rPr>
        <w:t>nouvelles</w:t>
      </w:r>
      <w:r>
        <w:rPr>
          <w:color w:val="231F20"/>
          <w:spacing w:val="-9"/>
        </w:rPr>
        <w:t> </w:t>
      </w:r>
      <w:r>
        <w:rPr>
          <w:color w:val="231F20"/>
        </w:rPr>
        <w:t>classes</w:t>
      </w:r>
      <w:r>
        <w:rPr>
          <w:color w:val="231F20"/>
          <w:spacing w:val="-9"/>
        </w:rPr>
        <w:t> </w:t>
      </w:r>
      <w:r>
        <w:rPr>
          <w:color w:val="231F20"/>
        </w:rPr>
        <w:t>d’actions, supprimer une ou plusieurs classes, assimiler les droits attachés à une classe d’actions et ceux attachés à une autre classe ou modifier directement ou indirectement les droits attachés à une classe. La modification du nombre d’actions d’une classe existante qui ne s’effectue pas proportionnellement au nombre d’actions émises dans chaque classe, ne constitue toutefois pas une modification des droits attachés à chacune des</w:t>
      </w:r>
      <w:r>
        <w:rPr>
          <w:color w:val="231F20"/>
          <w:spacing w:val="18"/>
        </w:rPr>
        <w:t> </w:t>
      </w:r>
      <w:r>
        <w:rPr>
          <w:color w:val="231F20"/>
        </w:rPr>
        <w:t>classes.</w:t>
      </w:r>
    </w:p>
    <w:p>
      <w:pPr>
        <w:pStyle w:val="BodyText"/>
        <w:spacing w:line="218" w:lineRule="auto" w:before="96"/>
        <w:ind w:right="40"/>
      </w:pPr>
      <w:r>
        <w:rPr>
          <w:color w:val="231F20"/>
          <w:spacing w:val="-3"/>
        </w:rPr>
        <w:t>L’organe </w:t>
      </w:r>
      <w:r>
        <w:rPr>
          <w:color w:val="231F20"/>
        </w:rPr>
        <w:t>d’administration justifie les modifications proposées et leurs conséquences sur les droits des classes existantes. Si des données financières</w:t>
      </w:r>
      <w:r>
        <w:rPr>
          <w:color w:val="231F20"/>
          <w:spacing w:val="-4"/>
        </w:rPr>
        <w:t> </w:t>
      </w:r>
      <w:r>
        <w:rPr>
          <w:color w:val="231F20"/>
        </w:rPr>
        <w:t>et</w:t>
      </w:r>
      <w:r>
        <w:rPr>
          <w:color w:val="231F20"/>
          <w:spacing w:val="-4"/>
        </w:rPr>
        <w:t> </w:t>
      </w:r>
      <w:r>
        <w:rPr>
          <w:color w:val="231F20"/>
        </w:rPr>
        <w:t>comptables</w:t>
      </w:r>
      <w:r>
        <w:rPr>
          <w:color w:val="231F20"/>
          <w:spacing w:val="-4"/>
        </w:rPr>
        <w:t> </w:t>
      </w:r>
      <w:r>
        <w:rPr>
          <w:color w:val="231F20"/>
        </w:rPr>
        <w:t>sous-tendent</w:t>
      </w:r>
      <w:r>
        <w:rPr>
          <w:color w:val="231F20"/>
          <w:spacing w:val="-4"/>
        </w:rPr>
        <w:t> </w:t>
      </w:r>
      <w:r>
        <w:rPr>
          <w:color w:val="231F20"/>
        </w:rPr>
        <w:t>également</w:t>
      </w:r>
      <w:r>
        <w:rPr>
          <w:color w:val="231F20"/>
          <w:spacing w:val="-4"/>
        </w:rPr>
        <w:t> </w:t>
      </w:r>
      <w:r>
        <w:rPr>
          <w:color w:val="231F20"/>
        </w:rPr>
        <w:t>le</w:t>
      </w:r>
      <w:r>
        <w:rPr>
          <w:color w:val="231F20"/>
          <w:spacing w:val="-4"/>
        </w:rPr>
        <w:t> </w:t>
      </w:r>
      <w:r>
        <w:rPr>
          <w:color w:val="231F20"/>
        </w:rPr>
        <w:t>rapport</w:t>
      </w:r>
      <w:r>
        <w:rPr>
          <w:color w:val="231F20"/>
          <w:spacing w:val="-4"/>
        </w:rPr>
        <w:t> </w:t>
      </w:r>
      <w:r>
        <w:rPr>
          <w:color w:val="231F20"/>
        </w:rPr>
        <w:t>de</w:t>
      </w:r>
      <w:r>
        <w:rPr>
          <w:color w:val="231F20"/>
          <w:spacing w:val="-4"/>
        </w:rPr>
        <w:t> </w:t>
      </w:r>
      <w:r>
        <w:rPr>
          <w:color w:val="231F20"/>
        </w:rPr>
        <w:t>l’organe d’administration, le commissaire ou, lorsqu’il n’y a pas de commissaire, un réviseur d’entreprises ou un expert-comptable externe désigné par l’organe d’administration, évalue si ces données financières et compta- bles figurant dans le rapport de l’organe d’administration sont fidèles</w:t>
      </w:r>
      <w:r>
        <w:rPr>
          <w:color w:val="231F20"/>
          <w:spacing w:val="2"/>
        </w:rPr>
        <w:t> </w:t>
      </w:r>
      <w:r>
        <w:rPr>
          <w:color w:val="231F20"/>
        </w:rPr>
        <w:t>et</w:t>
      </w:r>
    </w:p>
    <w:p>
      <w:pPr>
        <w:pStyle w:val="BodyText"/>
        <w:spacing w:line="218" w:lineRule="auto" w:before="119"/>
      </w:pPr>
      <w:r>
        <w:rPr/>
        <w:br w:type="column"/>
      </w:r>
      <w:r>
        <w:rPr>
          <w:color w:val="231F20"/>
        </w:rPr>
        <w:t>Art. 6:83. De algemene vergadering hoort in voorkomend geval, het jaarverslag, het jaarverslag over de geconsolideerde jaarrekening, het verslag van de commissaris en de andere verslagen die het wetboek voorschrijft en behandelt de jaarrekening.</w:t>
      </w:r>
    </w:p>
    <w:p>
      <w:pPr>
        <w:pStyle w:val="BodyText"/>
        <w:spacing w:line="218" w:lineRule="auto" w:before="86"/>
        <w:ind w:right="123"/>
      </w:pPr>
      <w:r>
        <w:rPr>
          <w:color w:val="231F20"/>
        </w:rPr>
        <w:t>Na de goedkeuring van de jaarrekening, beslist de algemene vergadering bij afzonderlijke stemming over de aan de bestuurders en commissaris te verlenen kwijting. Deze kwijting is alleen dan rechts- geldig, wanneer de ware toestand van de vennootschap niet wordt verborgen door enige weglating of onjuiste opgave in de jaarrekening, en, wat de met de statuten of met dit wetboek strijdige verrichtingen betreft, wanneer deze bepaaldelijk zijn aangegeven in de oproeping.</w:t>
      </w:r>
    </w:p>
    <w:p>
      <w:pPr>
        <w:pStyle w:val="BodyText"/>
        <w:spacing w:line="218" w:lineRule="auto" w:before="86"/>
      </w:pPr>
      <w:r>
        <w:rPr>
          <w:color w:val="231F20"/>
        </w:rPr>
        <w:t>Art. 6:84. Het bestuursorgaan heeft het recht, tijdens de zitting, de beslissing over de goedkeuring van de jaarrekening drie weken uit te stellen. </w:t>
      </w:r>
      <w:r>
        <w:rPr>
          <w:color w:val="231F20"/>
          <w:spacing w:val="-3"/>
        </w:rPr>
        <w:t>Tenzij </w:t>
      </w:r>
      <w:r>
        <w:rPr>
          <w:color w:val="231F20"/>
        </w:rPr>
        <w:t>de algemene vergadering er anders over beslist,  doet deze verdaging geen afbreuk aan de andere genomen besluiten. De volgende vergadering heeft het recht de jaarrekening definitief vast te stellen.</w:t>
      </w:r>
    </w:p>
    <w:p>
      <w:pPr>
        <w:pStyle w:val="BodyText"/>
        <w:spacing w:line="324" w:lineRule="auto" w:before="72"/>
        <w:ind w:left="283" w:right="1017" w:firstLine="0"/>
        <w:jc w:val="left"/>
      </w:pPr>
      <w:r>
        <w:rPr>
          <w:color w:val="231F20"/>
        </w:rPr>
        <w:t>Afdeling 3. Buitengewone algemene vergadering. Onderafdeling 1. Statutenwijziging: algemeen.</w:t>
      </w:r>
    </w:p>
    <w:p>
      <w:pPr>
        <w:pStyle w:val="BodyText"/>
        <w:spacing w:line="218" w:lineRule="auto" w:before="15"/>
      </w:pPr>
      <w:r>
        <w:rPr>
          <w:color w:val="231F20"/>
          <w:w w:val="105"/>
        </w:rPr>
        <w:t>Art. 6:85. De algemene vergadering kan over wijzigingen in de statuten alleen dan geldig beraadslagen en besluiten, en behoudens andersluidende</w:t>
      </w:r>
      <w:r>
        <w:rPr>
          <w:color w:val="231F20"/>
          <w:spacing w:val="-24"/>
          <w:w w:val="105"/>
        </w:rPr>
        <w:t> </w:t>
      </w:r>
      <w:r>
        <w:rPr>
          <w:color w:val="231F20"/>
          <w:w w:val="105"/>
        </w:rPr>
        <w:t>statutaire</w:t>
      </w:r>
      <w:r>
        <w:rPr>
          <w:color w:val="231F20"/>
          <w:spacing w:val="-23"/>
          <w:w w:val="105"/>
        </w:rPr>
        <w:t> </w:t>
      </w:r>
      <w:r>
        <w:rPr>
          <w:color w:val="231F20"/>
          <w:w w:val="105"/>
        </w:rPr>
        <w:t>bepaling,</w:t>
      </w:r>
      <w:r>
        <w:rPr>
          <w:color w:val="231F20"/>
          <w:spacing w:val="-23"/>
          <w:w w:val="105"/>
        </w:rPr>
        <w:t> </w:t>
      </w:r>
      <w:r>
        <w:rPr>
          <w:color w:val="231F20"/>
          <w:w w:val="105"/>
        </w:rPr>
        <w:t>wanneer</w:t>
      </w:r>
      <w:r>
        <w:rPr>
          <w:color w:val="231F20"/>
          <w:spacing w:val="-23"/>
          <w:w w:val="105"/>
        </w:rPr>
        <w:t> </w:t>
      </w:r>
      <w:r>
        <w:rPr>
          <w:color w:val="231F20"/>
          <w:w w:val="105"/>
        </w:rPr>
        <w:t>de</w:t>
      </w:r>
      <w:r>
        <w:rPr>
          <w:color w:val="231F20"/>
          <w:spacing w:val="-23"/>
          <w:w w:val="105"/>
        </w:rPr>
        <w:t> </w:t>
      </w:r>
      <w:r>
        <w:rPr>
          <w:color w:val="231F20"/>
          <w:w w:val="105"/>
        </w:rPr>
        <w:t>voorgestelde</w:t>
      </w:r>
      <w:r>
        <w:rPr>
          <w:color w:val="231F20"/>
          <w:spacing w:val="-23"/>
          <w:w w:val="105"/>
        </w:rPr>
        <w:t> </w:t>
      </w:r>
      <w:r>
        <w:rPr>
          <w:color w:val="231F20"/>
          <w:w w:val="105"/>
        </w:rPr>
        <w:t>wijzigin- gen nauwkeurig zijn aangegeven in de oproeping en wanneer de aanwezige of vertegenwoordigde aandeelhouders ten minste de</w:t>
      </w:r>
      <w:r>
        <w:rPr>
          <w:color w:val="231F20"/>
          <w:spacing w:val="-3"/>
          <w:w w:val="105"/>
        </w:rPr>
        <w:t> </w:t>
      </w:r>
      <w:r>
        <w:rPr>
          <w:color w:val="231F20"/>
          <w:w w:val="105"/>
        </w:rPr>
        <w:t>helft van het totaal uitgegeven aandelen</w:t>
      </w:r>
      <w:r>
        <w:rPr>
          <w:color w:val="231F20"/>
          <w:spacing w:val="39"/>
          <w:w w:val="105"/>
        </w:rPr>
        <w:t> </w:t>
      </w:r>
      <w:r>
        <w:rPr>
          <w:color w:val="231F20"/>
          <w:w w:val="105"/>
        </w:rPr>
        <w:t>vertegenwoordigen.</w:t>
      </w:r>
    </w:p>
    <w:p>
      <w:pPr>
        <w:pStyle w:val="BodyText"/>
        <w:spacing w:line="218" w:lineRule="auto" w:before="85"/>
      </w:pPr>
      <w:r>
        <w:rPr>
          <w:color w:val="231F20"/>
          <w:w w:val="105"/>
        </w:rPr>
        <w:t>Is de laatste voorwaarde niet nageleefd, dan is behoudens een andersluidende</w:t>
      </w:r>
      <w:r>
        <w:rPr>
          <w:color w:val="231F20"/>
          <w:spacing w:val="-22"/>
          <w:w w:val="105"/>
        </w:rPr>
        <w:t> </w:t>
      </w:r>
      <w:r>
        <w:rPr>
          <w:color w:val="231F20"/>
          <w:w w:val="105"/>
        </w:rPr>
        <w:t>statutaire</w:t>
      </w:r>
      <w:r>
        <w:rPr>
          <w:color w:val="231F20"/>
          <w:spacing w:val="-21"/>
          <w:w w:val="105"/>
        </w:rPr>
        <w:t> </w:t>
      </w:r>
      <w:r>
        <w:rPr>
          <w:color w:val="231F20"/>
          <w:w w:val="105"/>
        </w:rPr>
        <w:t>bepaling</w:t>
      </w:r>
      <w:r>
        <w:rPr>
          <w:color w:val="231F20"/>
          <w:spacing w:val="-21"/>
          <w:w w:val="105"/>
        </w:rPr>
        <w:t> </w:t>
      </w:r>
      <w:r>
        <w:rPr>
          <w:color w:val="231F20"/>
          <w:w w:val="105"/>
        </w:rPr>
        <w:t>een</w:t>
      </w:r>
      <w:r>
        <w:rPr>
          <w:color w:val="231F20"/>
          <w:spacing w:val="-21"/>
          <w:w w:val="105"/>
        </w:rPr>
        <w:t> </w:t>
      </w:r>
      <w:r>
        <w:rPr>
          <w:color w:val="231F20"/>
          <w:w w:val="105"/>
        </w:rPr>
        <w:t>tweede</w:t>
      </w:r>
      <w:r>
        <w:rPr>
          <w:color w:val="231F20"/>
          <w:spacing w:val="-21"/>
          <w:w w:val="105"/>
        </w:rPr>
        <w:t> </w:t>
      </w:r>
      <w:r>
        <w:rPr>
          <w:color w:val="231F20"/>
          <w:w w:val="105"/>
        </w:rPr>
        <w:t>bijeenroeping</w:t>
      </w:r>
      <w:r>
        <w:rPr>
          <w:color w:val="231F20"/>
          <w:spacing w:val="-21"/>
          <w:w w:val="105"/>
        </w:rPr>
        <w:t> </w:t>
      </w:r>
      <w:r>
        <w:rPr>
          <w:color w:val="231F20"/>
          <w:w w:val="105"/>
        </w:rPr>
        <w:t>nodig</w:t>
      </w:r>
      <w:r>
        <w:rPr>
          <w:color w:val="231F20"/>
          <w:spacing w:val="-22"/>
          <w:w w:val="105"/>
        </w:rPr>
        <w:t> </w:t>
      </w:r>
      <w:r>
        <w:rPr>
          <w:color w:val="231F20"/>
          <w:w w:val="105"/>
        </w:rPr>
        <w:t>en de nieuwe vergadering beraadslaagt en besluit op geldige wijze, ongeacht het door de aanwezige of vertegenwoordigde aandeelhou- ders vertegenwoordigde aantal</w:t>
      </w:r>
      <w:r>
        <w:rPr>
          <w:color w:val="231F20"/>
          <w:spacing w:val="31"/>
          <w:w w:val="105"/>
        </w:rPr>
        <w:t> </w:t>
      </w:r>
      <w:r>
        <w:rPr>
          <w:color w:val="231F20"/>
          <w:w w:val="105"/>
        </w:rPr>
        <w:t>aandelen.</w:t>
      </w:r>
    </w:p>
    <w:p>
      <w:pPr>
        <w:pStyle w:val="BodyText"/>
        <w:spacing w:line="218" w:lineRule="auto" w:before="97"/>
      </w:pPr>
      <w:r>
        <w:rPr>
          <w:color w:val="231F20"/>
        </w:rPr>
        <w:t>Behoudens een andersluidende statutaire bepaling, is een wijziging alleen dan aangenomen, wanneer zij drie vierde van de uitgebrachte stemmen heeft verkregen, waarbij onthoudingen in de teller noch in de noemer worden meegerekend.</w:t>
      </w:r>
    </w:p>
    <w:p>
      <w:pPr>
        <w:pStyle w:val="BodyText"/>
        <w:spacing w:line="218" w:lineRule="auto" w:before="96"/>
      </w:pPr>
      <w:r>
        <w:rPr>
          <w:color w:val="231F20"/>
        </w:rPr>
        <w:t>Onderafdeling 2. Wijziging van het voorwerp, de doelen, de finaliteit of de waarden.</w:t>
      </w:r>
    </w:p>
    <w:p>
      <w:pPr>
        <w:pStyle w:val="BodyText"/>
        <w:spacing w:line="218" w:lineRule="auto" w:before="96"/>
      </w:pPr>
      <w:r>
        <w:rPr>
          <w:color w:val="231F20"/>
        </w:rPr>
        <w:t>Art. 6:86. Indien wordt voorgesteld het voorwerp, de doelen, de finaliteit of de waarden van de vennootschap, zoals beschreven in de statuten, te wijzigen, verantwoordt het bestuursorgaan de voorgestelde wijziging omstandig in een verslag. Een kopie van dit verslag wordt  aan de aandeelhouders ter beschikking gesteld overeenkomstig</w:t>
      </w:r>
      <w:r>
        <w:rPr>
          <w:color w:val="231F20"/>
          <w:spacing w:val="33"/>
        </w:rPr>
        <w:t> </w:t>
      </w:r>
      <w:r>
        <w:rPr>
          <w:color w:val="231F20"/>
        </w:rPr>
        <w:t>arti- kel 6:70, §</w:t>
      </w:r>
      <w:r>
        <w:rPr>
          <w:color w:val="231F20"/>
          <w:spacing w:val="2"/>
        </w:rPr>
        <w:t> </w:t>
      </w:r>
      <w:r>
        <w:rPr>
          <w:color w:val="231F20"/>
        </w:rPr>
        <w:t>2.</w:t>
      </w:r>
    </w:p>
    <w:p>
      <w:pPr>
        <w:pStyle w:val="BodyText"/>
        <w:spacing w:line="218" w:lineRule="auto" w:before="97"/>
      </w:pPr>
      <w:r>
        <w:rPr>
          <w:color w:val="231F20"/>
        </w:rPr>
        <w:t>Indien dit verslag ontbreekt, is de beslissing van de algemene vergadering nietig.</w:t>
      </w:r>
    </w:p>
    <w:p>
      <w:pPr>
        <w:pStyle w:val="BodyText"/>
        <w:spacing w:line="218" w:lineRule="auto" w:before="96"/>
      </w:pPr>
      <w:r>
        <w:rPr>
          <w:color w:val="231F20"/>
        </w:rPr>
        <w:t>De algemene vergadering kan over een wijziging van het voorwerp, de doelen, de finaliteit en de waarden van de vennootschap alleen dan geldig beraadslagen en besluiten, en behoudens andersluidende statu- taire bepaling, wanneer de aanwezige of vertegenwoordigde aandeel- houders ten minste de helft van het totaal aantal uitgegeven aandelen vertegenwoordigen.</w:t>
      </w:r>
    </w:p>
    <w:p>
      <w:pPr>
        <w:pStyle w:val="BodyText"/>
        <w:spacing w:line="218" w:lineRule="auto" w:before="96"/>
      </w:pPr>
      <w:r>
        <w:rPr>
          <w:color w:val="231F20"/>
          <w:w w:val="105"/>
        </w:rPr>
        <w:t>Is de laatste voorwaarde niet nageleefd, dan is behoudens een andersluidende</w:t>
      </w:r>
      <w:r>
        <w:rPr>
          <w:color w:val="231F20"/>
          <w:spacing w:val="-22"/>
          <w:w w:val="105"/>
        </w:rPr>
        <w:t> </w:t>
      </w:r>
      <w:r>
        <w:rPr>
          <w:color w:val="231F20"/>
          <w:w w:val="105"/>
        </w:rPr>
        <w:t>statutaire</w:t>
      </w:r>
      <w:r>
        <w:rPr>
          <w:color w:val="231F20"/>
          <w:spacing w:val="-21"/>
          <w:w w:val="105"/>
        </w:rPr>
        <w:t> </w:t>
      </w:r>
      <w:r>
        <w:rPr>
          <w:color w:val="231F20"/>
          <w:w w:val="105"/>
        </w:rPr>
        <w:t>bepaling</w:t>
      </w:r>
      <w:r>
        <w:rPr>
          <w:color w:val="231F20"/>
          <w:spacing w:val="-21"/>
          <w:w w:val="105"/>
        </w:rPr>
        <w:t> </w:t>
      </w:r>
      <w:r>
        <w:rPr>
          <w:color w:val="231F20"/>
          <w:w w:val="105"/>
        </w:rPr>
        <w:t>een</w:t>
      </w:r>
      <w:r>
        <w:rPr>
          <w:color w:val="231F20"/>
          <w:spacing w:val="-21"/>
          <w:w w:val="105"/>
        </w:rPr>
        <w:t> </w:t>
      </w:r>
      <w:r>
        <w:rPr>
          <w:color w:val="231F20"/>
          <w:w w:val="105"/>
        </w:rPr>
        <w:t>tweede</w:t>
      </w:r>
      <w:r>
        <w:rPr>
          <w:color w:val="231F20"/>
          <w:spacing w:val="-21"/>
          <w:w w:val="105"/>
        </w:rPr>
        <w:t> </w:t>
      </w:r>
      <w:r>
        <w:rPr>
          <w:color w:val="231F20"/>
          <w:w w:val="105"/>
        </w:rPr>
        <w:t>bijeenroeping</w:t>
      </w:r>
      <w:r>
        <w:rPr>
          <w:color w:val="231F20"/>
          <w:spacing w:val="-21"/>
          <w:w w:val="105"/>
        </w:rPr>
        <w:t> </w:t>
      </w:r>
      <w:r>
        <w:rPr>
          <w:color w:val="231F20"/>
          <w:w w:val="105"/>
        </w:rPr>
        <w:t>nodig</w:t>
      </w:r>
      <w:r>
        <w:rPr>
          <w:color w:val="231F20"/>
          <w:spacing w:val="-22"/>
          <w:w w:val="105"/>
        </w:rPr>
        <w:t> </w:t>
      </w:r>
      <w:r>
        <w:rPr>
          <w:color w:val="231F20"/>
          <w:w w:val="105"/>
        </w:rPr>
        <w:t>en de nieuwe vergadering beraadslaagt en besluit op geldige wijze, ongeacht het door de aanwezige of vertegenwoordigde aandeelhou- ders vertegenwoordigde aantal</w:t>
      </w:r>
      <w:r>
        <w:rPr>
          <w:color w:val="231F20"/>
          <w:spacing w:val="31"/>
          <w:w w:val="105"/>
        </w:rPr>
        <w:t> </w:t>
      </w:r>
      <w:r>
        <w:rPr>
          <w:color w:val="231F20"/>
          <w:w w:val="105"/>
        </w:rPr>
        <w:t>aandelen.</w:t>
      </w:r>
    </w:p>
    <w:p>
      <w:pPr>
        <w:pStyle w:val="BodyText"/>
        <w:spacing w:line="218" w:lineRule="auto" w:before="96"/>
      </w:pPr>
      <w:r>
        <w:rPr>
          <w:color w:val="231F20"/>
        </w:rPr>
        <w:t>Behoudens een andersluidende statutaire bepaling, is een wijziging alleen dan aangenomen wanneer zij ten minste vier vijfde van de uitgebrachte stemmen heeft gekregen, waarbij onthoudingen in de teller</w:t>
      </w:r>
      <w:r>
        <w:rPr>
          <w:color w:val="231F20"/>
          <w:spacing w:val="15"/>
        </w:rPr>
        <w:t> </w:t>
      </w:r>
      <w:r>
        <w:rPr>
          <w:color w:val="231F20"/>
        </w:rPr>
        <w:t>noch</w:t>
      </w:r>
      <w:r>
        <w:rPr>
          <w:color w:val="231F20"/>
          <w:spacing w:val="16"/>
        </w:rPr>
        <w:t> </w:t>
      </w:r>
      <w:r>
        <w:rPr>
          <w:color w:val="231F20"/>
        </w:rPr>
        <w:t>in</w:t>
      </w:r>
      <w:r>
        <w:rPr>
          <w:color w:val="231F20"/>
          <w:spacing w:val="15"/>
        </w:rPr>
        <w:t> </w:t>
      </w:r>
      <w:r>
        <w:rPr>
          <w:color w:val="231F20"/>
        </w:rPr>
        <w:t>de</w:t>
      </w:r>
      <w:r>
        <w:rPr>
          <w:color w:val="231F20"/>
          <w:spacing w:val="16"/>
        </w:rPr>
        <w:t> </w:t>
      </w:r>
      <w:r>
        <w:rPr>
          <w:color w:val="231F20"/>
        </w:rPr>
        <w:t>noemer</w:t>
      </w:r>
      <w:r>
        <w:rPr>
          <w:color w:val="231F20"/>
          <w:spacing w:val="15"/>
        </w:rPr>
        <w:t> </w:t>
      </w:r>
      <w:r>
        <w:rPr>
          <w:color w:val="231F20"/>
        </w:rPr>
        <w:t>worden</w:t>
      </w:r>
      <w:r>
        <w:rPr>
          <w:color w:val="231F20"/>
          <w:spacing w:val="16"/>
        </w:rPr>
        <w:t> </w:t>
      </w:r>
      <w:r>
        <w:rPr>
          <w:color w:val="231F20"/>
        </w:rPr>
        <w:t>meegerekend.</w:t>
      </w:r>
    </w:p>
    <w:p>
      <w:pPr>
        <w:pStyle w:val="BodyText"/>
        <w:spacing w:line="218" w:lineRule="auto" w:before="97"/>
      </w:pPr>
      <w:r>
        <w:rPr>
          <w:color w:val="231F20"/>
        </w:rPr>
        <w:t>Onderafdeling 3. Wijziging van de rechten verbonden aan soorten van</w:t>
      </w:r>
      <w:r>
        <w:rPr>
          <w:color w:val="231F20"/>
          <w:spacing w:val="15"/>
        </w:rPr>
        <w:t> </w:t>
      </w:r>
      <w:r>
        <w:rPr>
          <w:color w:val="231F20"/>
        </w:rPr>
        <w:t>aandelen.</w:t>
      </w:r>
    </w:p>
    <w:p>
      <w:pPr>
        <w:pStyle w:val="BodyText"/>
        <w:spacing w:line="218" w:lineRule="auto" w:before="96"/>
      </w:pPr>
      <w:r>
        <w:rPr>
          <w:color w:val="231F20"/>
        </w:rPr>
        <w:t>Art. 6:87. De algemene vergadering kan, niettegenstaande anderslui- dende statutaire bepaling, de uitgifte van nieuwe soorten van aandelen goedkeuren, één of meer soorten afschaffen, de rechten verbonden aan een soort van aandelen gelijkstellen met de rechten van een andere soort, of de rechten verbonden aan een soort rechtstreeks of onrecht- streeks wijzigen. De wijziging van het aantal aandelen van een bestaande soort die niet evenredig aan het aantal uitgegeven aandelen binnen elke soort gebeurt, is evenwel geen wijziging van de rechten verbonden aan elke soort.</w:t>
      </w:r>
    </w:p>
    <w:p>
      <w:pPr>
        <w:pStyle w:val="BodyText"/>
        <w:spacing w:line="218" w:lineRule="auto" w:before="96"/>
      </w:pPr>
      <w:r>
        <w:rPr>
          <w:color w:val="231F20"/>
        </w:rPr>
        <w:t>Het bestuursorgaan verantwoordt de voorgestelde wijzigingen en de gevolgen daarvan op de rechten van de bestaande soorten. Als aan het verslag van het bestuursorgaan ook financiële en boekhoudkundige gegevens ten grondslag liggen, beoordeelt de commissaris, of, als er geen commissaris is, een bedrijfsrevisor of een externe accountant aangewezen door het bestuursorgaan, of de in het verslag van het bestuursorgaan opgenomen financiële en boekhoudkundige gegevens</w:t>
      </w:r>
    </w:p>
    <w:p>
      <w:pPr>
        <w:spacing w:after="0" w:line="218" w:lineRule="auto"/>
        <w:sectPr>
          <w:pgSz w:w="11940" w:h="16880"/>
          <w:pgMar w:header="666" w:footer="0" w:top="1140" w:bottom="280" w:left="340" w:right="360"/>
          <w:cols w:num="2" w:equalWidth="0">
            <w:col w:w="5530" w:space="98"/>
            <w:col w:w="5612"/>
          </w:cols>
        </w:sectPr>
      </w:pPr>
    </w:p>
    <w:p>
      <w:pPr>
        <w:pStyle w:val="BodyText"/>
        <w:spacing w:line="218" w:lineRule="auto" w:before="119"/>
        <w:ind w:right="38" w:hanging="1"/>
      </w:pPr>
      <w:r>
        <w:rPr/>
        <w:pict>
          <v:line style="position:absolute;mso-position-horizontal-relative:page;mso-position-vertical-relative:page;z-index:4312" from="298.170502pt,64.473pt" to="298.170502pt,812.819pt" stroked="true" strokeweight=".533pt" strokecolor="#231f20">
            <v:stroke dashstyle="solid"/>
            <w10:wrap type="none"/>
          </v:line>
        </w:pict>
      </w:r>
      <w:bookmarkStart w:name="_bookmark137" w:id="142"/>
      <w:bookmarkEnd w:id="142"/>
      <w:r>
        <w:rPr/>
      </w:r>
      <w:r>
        <w:rPr>
          <w:color w:val="231F20"/>
        </w:rPr>
        <w:t>suffisantes dans tous leurs aspects significats pour éclairer l’assemblée générale appelée à voter sur cette proposition. Les deux rapports sont annoncés dans l’ordre du jour et mis à la disposition des actionnaires conformément à l’article 6:70, § 2. En l’absence de ces rapports, la décision de l’assemblée générale est nulle. Ces rapports sont déposés et publiés conformément aux articles 2:8 et 2:14, 4°.</w:t>
      </w:r>
    </w:p>
    <w:p>
      <w:pPr>
        <w:pStyle w:val="BodyText"/>
        <w:spacing w:before="10"/>
        <w:ind w:left="0" w:right="0" w:firstLine="0"/>
        <w:jc w:val="left"/>
        <w:rPr>
          <w:sz w:val="25"/>
        </w:rPr>
      </w:pPr>
    </w:p>
    <w:p>
      <w:pPr>
        <w:pStyle w:val="BodyText"/>
        <w:spacing w:line="218" w:lineRule="auto"/>
        <w:ind w:right="38"/>
      </w:pPr>
      <w:r>
        <w:rPr>
          <w:color w:val="231F20"/>
          <w:spacing w:val="-4"/>
        </w:rPr>
        <w:t>Toute </w:t>
      </w:r>
      <w:r>
        <w:rPr>
          <w:color w:val="231F20"/>
        </w:rPr>
        <w:t>modification des droits attachés à une ou plusieurs classes nécessite une modification des statuts, pour laquelle la décision doit être prise dans chaque classe dans le respect des conditions de quorum et de majorité requises pour la modification des statuts, et chaque porteur de coupures de titres doit être admis à la délibération et au vote dans la classe concernée, les voix étant comptées sur base d’une voix à la coupure la plus</w:t>
      </w:r>
      <w:r>
        <w:rPr>
          <w:color w:val="231F20"/>
          <w:spacing w:val="20"/>
        </w:rPr>
        <w:t> </w:t>
      </w:r>
      <w:r>
        <w:rPr>
          <w:color w:val="231F20"/>
        </w:rPr>
        <w:t>faible.</w:t>
      </w:r>
    </w:p>
    <w:p>
      <w:pPr>
        <w:pStyle w:val="BodyText"/>
        <w:spacing w:line="345" w:lineRule="auto" w:before="104"/>
        <w:ind w:left="283" w:right="473" w:firstLine="0"/>
        <w:jc w:val="left"/>
      </w:pPr>
      <w:r>
        <w:rPr>
          <w:color w:val="231F20"/>
        </w:rPr>
        <w:t>CHAPITRE 3. De l’action sociale et de l’action minoritaire. Section 1</w:t>
      </w:r>
      <w:r>
        <w:rPr>
          <w:color w:val="231F20"/>
          <w:position w:val="7"/>
          <w:sz w:val="11"/>
        </w:rPr>
        <w:t>re</w:t>
      </w:r>
      <w:r>
        <w:rPr>
          <w:color w:val="231F20"/>
        </w:rPr>
        <w:t>. De l’action sociale.</w:t>
      </w:r>
    </w:p>
    <w:p>
      <w:pPr>
        <w:pStyle w:val="BodyText"/>
        <w:spacing w:line="218" w:lineRule="auto" w:before="39"/>
        <w:ind w:right="38"/>
      </w:pPr>
      <w:r>
        <w:rPr>
          <w:color w:val="231F20"/>
        </w:rPr>
        <w:t>Art. 6:88. L’assemblée générale décide s’il y a lieu d’exercer l’action sociale contre les membres de l’organe d’administration ou contre le commissaire. Elle peut charger un ou plusieurs mandataires de l’exécution de cette décision.</w:t>
      </w:r>
    </w:p>
    <w:p>
      <w:pPr>
        <w:pStyle w:val="BodyText"/>
        <w:spacing w:before="115"/>
        <w:ind w:left="283" w:right="0" w:firstLine="0"/>
        <w:jc w:val="left"/>
      </w:pPr>
      <w:r>
        <w:rPr>
          <w:color w:val="231F20"/>
        </w:rPr>
        <w:t>Section 2. De l’action minoritaire.</w:t>
      </w:r>
    </w:p>
    <w:p>
      <w:pPr>
        <w:pStyle w:val="BodyText"/>
        <w:spacing w:line="218" w:lineRule="auto" w:before="109"/>
        <w:ind w:right="38"/>
      </w:pPr>
      <w:r>
        <w:rPr>
          <w:color w:val="231F20"/>
        </w:rPr>
        <w:t>Art. 6:89. § 1</w:t>
      </w:r>
      <w:r>
        <w:rPr>
          <w:color w:val="231F20"/>
          <w:position w:val="7"/>
          <w:sz w:val="11"/>
        </w:rPr>
        <w:t>er</w:t>
      </w:r>
      <w:r>
        <w:rPr>
          <w:color w:val="231F20"/>
        </w:rPr>
        <w:t>. Les actionnaires minoritaires peuvent intenter pour le compte de la société une action contre les membres de l’organe d’administration.</w:t>
      </w:r>
    </w:p>
    <w:p>
      <w:pPr>
        <w:pStyle w:val="BodyText"/>
        <w:spacing w:line="218" w:lineRule="auto" w:before="128"/>
        <w:ind w:right="38"/>
      </w:pPr>
      <w:r>
        <w:rPr>
          <w:color w:val="231F20"/>
        </w:rPr>
        <w:t>Les actionnaires minoritaires doivent, au jour de l’assemblée</w:t>
      </w:r>
      <w:r>
        <w:rPr>
          <w:color w:val="231F20"/>
          <w:spacing w:val="-27"/>
        </w:rPr>
        <w:t> </w:t>
      </w:r>
      <w:r>
        <w:rPr>
          <w:color w:val="231F20"/>
        </w:rPr>
        <w:t>générale qui se prononce sur la décharge des membres de l’organe d’adminis- tration,</w:t>
      </w:r>
      <w:r>
        <w:rPr>
          <w:color w:val="231F20"/>
          <w:spacing w:val="15"/>
        </w:rPr>
        <w:t> </w:t>
      </w:r>
      <w:r>
        <w:rPr>
          <w:color w:val="231F20"/>
        </w:rPr>
        <w:t>posséder</w:t>
      </w:r>
      <w:r>
        <w:rPr>
          <w:color w:val="231F20"/>
          <w:spacing w:val="15"/>
        </w:rPr>
        <w:t> </w:t>
      </w:r>
      <w:r>
        <w:rPr>
          <w:color w:val="231F20"/>
        </w:rPr>
        <w:t>au</w:t>
      </w:r>
      <w:r>
        <w:rPr>
          <w:color w:val="231F20"/>
          <w:spacing w:val="15"/>
        </w:rPr>
        <w:t> </w:t>
      </w:r>
      <w:r>
        <w:rPr>
          <w:color w:val="231F20"/>
        </w:rPr>
        <w:t>moins</w:t>
      </w:r>
      <w:r>
        <w:rPr>
          <w:color w:val="231F20"/>
          <w:spacing w:val="15"/>
        </w:rPr>
        <w:t> </w:t>
      </w:r>
      <w:r>
        <w:rPr>
          <w:color w:val="231F20"/>
        </w:rPr>
        <w:t>10</w:t>
      </w:r>
      <w:r>
        <w:rPr>
          <w:color w:val="231F20"/>
          <w:spacing w:val="16"/>
        </w:rPr>
        <w:t> </w:t>
      </w:r>
      <w:r>
        <w:rPr>
          <w:color w:val="231F20"/>
        </w:rPr>
        <w:t>%</w:t>
      </w:r>
      <w:r>
        <w:rPr>
          <w:color w:val="231F20"/>
          <w:spacing w:val="15"/>
        </w:rPr>
        <w:t> </w:t>
      </w:r>
      <w:r>
        <w:rPr>
          <w:color w:val="231F20"/>
        </w:rPr>
        <w:t>du</w:t>
      </w:r>
      <w:r>
        <w:rPr>
          <w:color w:val="231F20"/>
          <w:spacing w:val="15"/>
        </w:rPr>
        <w:t> </w:t>
      </w:r>
      <w:r>
        <w:rPr>
          <w:color w:val="231F20"/>
        </w:rPr>
        <w:t>nombre</w:t>
      </w:r>
      <w:r>
        <w:rPr>
          <w:color w:val="231F20"/>
          <w:spacing w:val="15"/>
        </w:rPr>
        <w:t> </w:t>
      </w:r>
      <w:r>
        <w:rPr>
          <w:color w:val="231F20"/>
        </w:rPr>
        <w:t>d’actions</w:t>
      </w:r>
      <w:r>
        <w:rPr>
          <w:color w:val="231F20"/>
          <w:spacing w:val="15"/>
        </w:rPr>
        <w:t> </w:t>
      </w:r>
      <w:r>
        <w:rPr>
          <w:color w:val="231F20"/>
        </w:rPr>
        <w:t>émises.</w:t>
      </w:r>
    </w:p>
    <w:p>
      <w:pPr>
        <w:pStyle w:val="BodyText"/>
        <w:spacing w:before="9"/>
        <w:ind w:left="0" w:right="0" w:firstLine="0"/>
        <w:jc w:val="left"/>
        <w:rPr>
          <w:sz w:val="26"/>
        </w:rPr>
      </w:pPr>
    </w:p>
    <w:p>
      <w:pPr>
        <w:pStyle w:val="BodyText"/>
        <w:spacing w:line="218" w:lineRule="auto"/>
        <w:ind w:right="38"/>
      </w:pPr>
      <w:r>
        <w:rPr>
          <w:color w:val="231F20"/>
        </w:rPr>
        <w:t>Les actionnaires ne peuvent intenter l’action que s’ils n’ont pas approuvé la décharge ou s’ils ne l’ont pas valablement approuvée.</w:t>
      </w:r>
    </w:p>
    <w:p>
      <w:pPr>
        <w:pStyle w:val="BodyText"/>
        <w:spacing w:line="218" w:lineRule="auto" w:before="128"/>
        <w:ind w:right="38"/>
      </w:pPr>
      <w:r>
        <w:rPr>
          <w:color w:val="231F20"/>
        </w:rPr>
        <w:t>§ 2. Le fait qu’en cours d’instance, un ou plusieurs actionnaires cessent de faire partie du groupe d’actionnaires minoritaires, soit parce qu’ils ne possèdent plus d’actions, soit parce qu’ils renoncent à participer à l’action, est sans effet sur la poursuite de ladite instance ou sur l’exercice des voies de recours.</w:t>
      </w:r>
    </w:p>
    <w:p>
      <w:pPr>
        <w:pStyle w:val="BodyText"/>
        <w:spacing w:line="218" w:lineRule="auto" w:before="129"/>
        <w:ind w:right="38"/>
      </w:pPr>
      <w:r>
        <w:rPr>
          <w:color w:val="231F20"/>
        </w:rPr>
        <w:t>§ 3. Si tant les représentants légaux de la société qu’un ou plusieurs titulaires de titres intentent une action contre un ou plusieurs membres de l’organe d’administration, les demandes sont jointes pour connexité.</w:t>
      </w:r>
    </w:p>
    <w:p>
      <w:pPr>
        <w:pStyle w:val="BodyText"/>
        <w:ind w:left="0" w:right="0" w:firstLine="0"/>
        <w:jc w:val="left"/>
        <w:rPr>
          <w:sz w:val="27"/>
        </w:rPr>
      </w:pPr>
    </w:p>
    <w:p>
      <w:pPr>
        <w:pStyle w:val="BodyText"/>
        <w:spacing w:line="213" w:lineRule="auto"/>
        <w:ind w:right="38"/>
      </w:pPr>
      <w:r>
        <w:rPr>
          <w:color w:val="231F20"/>
        </w:rPr>
        <w:t>§ 4. Toute transaction conclue avant que l’action ait été intentée peut être annulée à la demande des actionnaires réunissant les conditions prévues au paragraphe 1</w:t>
      </w:r>
      <w:r>
        <w:rPr>
          <w:color w:val="231F20"/>
          <w:position w:val="7"/>
          <w:sz w:val="11"/>
        </w:rPr>
        <w:t>er </w:t>
      </w:r>
      <w:r>
        <w:rPr>
          <w:color w:val="231F20"/>
        </w:rPr>
        <w:t>si elle n’a point été faite à l’avantage de tous les actionnaires.</w:t>
      </w:r>
    </w:p>
    <w:p>
      <w:pPr>
        <w:pStyle w:val="BodyText"/>
        <w:spacing w:line="218" w:lineRule="auto" w:before="125"/>
        <w:ind w:right="38"/>
      </w:pPr>
      <w:r>
        <w:rPr>
          <w:color w:val="231F20"/>
        </w:rPr>
        <w:t>Une fois l’action intentée, la société ne peut plus alors transiger avec les membres de l’organe d’administration assignés sans le consente- ment unanime de ceux qui demeurent demandeurs de l’action.</w:t>
      </w:r>
    </w:p>
    <w:p>
      <w:pPr>
        <w:pStyle w:val="BodyText"/>
        <w:spacing w:before="9"/>
        <w:ind w:left="0" w:right="0" w:firstLine="0"/>
        <w:jc w:val="left"/>
        <w:rPr>
          <w:sz w:val="26"/>
        </w:rPr>
      </w:pPr>
    </w:p>
    <w:p>
      <w:pPr>
        <w:pStyle w:val="BodyText"/>
        <w:spacing w:line="218" w:lineRule="auto"/>
        <w:ind w:right="38"/>
      </w:pPr>
      <w:r>
        <w:rPr>
          <w:color w:val="231F20"/>
        </w:rPr>
        <w:t>Art. 6:90. Si la demande minoritaire est rejetée, les demandeurs peuvent être condamnés personnellement aux dépens et, s’il y a lieu, aux dommages-intérêts envers les défendeurs.</w:t>
      </w:r>
    </w:p>
    <w:p>
      <w:pPr>
        <w:pStyle w:val="BodyText"/>
        <w:spacing w:line="218" w:lineRule="auto" w:before="128"/>
        <w:ind w:right="38"/>
      </w:pPr>
      <w:r>
        <w:rPr>
          <w:color w:val="231F20"/>
        </w:rPr>
        <w:t>Si la demande est accueillie, la société rembourse les sommes dont</w:t>
      </w:r>
      <w:r>
        <w:rPr>
          <w:color w:val="231F20"/>
          <w:spacing w:val="-29"/>
        </w:rPr>
        <w:t> </w:t>
      </w:r>
      <w:r>
        <w:rPr>
          <w:color w:val="231F20"/>
        </w:rPr>
        <w:t>les demandeurs ont fait l’avance, et qui ne sont point comprises dans les dépens</w:t>
      </w:r>
      <w:r>
        <w:rPr>
          <w:color w:val="231F20"/>
          <w:spacing w:val="15"/>
        </w:rPr>
        <w:t> </w:t>
      </w:r>
      <w:r>
        <w:rPr>
          <w:color w:val="231F20"/>
        </w:rPr>
        <w:t>mis</w:t>
      </w:r>
      <w:r>
        <w:rPr>
          <w:color w:val="231F20"/>
          <w:spacing w:val="15"/>
        </w:rPr>
        <w:t> </w:t>
      </w:r>
      <w:r>
        <w:rPr>
          <w:color w:val="231F20"/>
        </w:rPr>
        <w:t>à</w:t>
      </w:r>
      <w:r>
        <w:rPr>
          <w:color w:val="231F20"/>
          <w:spacing w:val="16"/>
        </w:rPr>
        <w:t> </w:t>
      </w:r>
      <w:r>
        <w:rPr>
          <w:color w:val="231F20"/>
        </w:rPr>
        <w:t>charge</w:t>
      </w:r>
      <w:r>
        <w:rPr>
          <w:color w:val="231F20"/>
          <w:spacing w:val="15"/>
        </w:rPr>
        <w:t> </w:t>
      </w:r>
      <w:r>
        <w:rPr>
          <w:color w:val="231F20"/>
        </w:rPr>
        <w:t>des</w:t>
      </w:r>
      <w:r>
        <w:rPr>
          <w:color w:val="231F20"/>
          <w:spacing w:val="16"/>
        </w:rPr>
        <w:t> </w:t>
      </w:r>
      <w:r>
        <w:rPr>
          <w:color w:val="231F20"/>
        </w:rPr>
        <w:t>défendeurs.</w:t>
      </w:r>
    </w:p>
    <w:p>
      <w:pPr>
        <w:pStyle w:val="BodyText"/>
        <w:spacing w:before="114"/>
        <w:ind w:left="283" w:right="0" w:firstLine="0"/>
        <w:jc w:val="left"/>
      </w:pPr>
      <w:r>
        <w:rPr>
          <w:color w:val="231F20"/>
        </w:rPr>
        <w:t>Section 3. Experts.</w:t>
      </w:r>
    </w:p>
    <w:p>
      <w:pPr>
        <w:pStyle w:val="BodyText"/>
        <w:spacing w:line="218" w:lineRule="auto" w:before="125"/>
        <w:ind w:right="38"/>
      </w:pPr>
      <w:r>
        <w:rPr>
          <w:color w:val="231F20"/>
        </w:rPr>
        <w:t>Art. 6:91. S’il existe des indices d’atteinte grave ou de risque d’atteinte grave aux intérêts de la société, le président du tribunal de l’entreprise siégeant en référé peut, à la requête d’un ou de plusieurs actionnaires possédant au moins 10 % du nombre d’actions émises, nommer un ou plusieurs experts ayant pour mission de vérifier</w:t>
      </w:r>
      <w:r>
        <w:rPr>
          <w:color w:val="231F20"/>
          <w:spacing w:val="34"/>
        </w:rPr>
        <w:t> </w:t>
      </w:r>
      <w:r>
        <w:rPr>
          <w:color w:val="231F20"/>
        </w:rPr>
        <w:t>les livres et les comptes de la société ainsi que les opérations accomplies par ses</w:t>
      </w:r>
      <w:r>
        <w:rPr>
          <w:color w:val="231F20"/>
          <w:spacing w:val="-12"/>
        </w:rPr>
        <w:t> </w:t>
      </w:r>
      <w:r>
        <w:rPr>
          <w:color w:val="231F20"/>
        </w:rPr>
        <w:t>organes.</w:t>
      </w:r>
    </w:p>
    <w:p>
      <w:pPr>
        <w:pStyle w:val="BodyText"/>
        <w:spacing w:before="9"/>
        <w:ind w:left="0" w:right="0" w:firstLine="0"/>
        <w:jc w:val="left"/>
        <w:rPr>
          <w:sz w:val="26"/>
        </w:rPr>
      </w:pPr>
    </w:p>
    <w:p>
      <w:pPr>
        <w:pStyle w:val="BodyText"/>
        <w:spacing w:line="218" w:lineRule="auto"/>
        <w:ind w:right="38"/>
      </w:pPr>
      <w:r>
        <w:rPr>
          <w:color w:val="231F20"/>
        </w:rPr>
        <w:t>Le président détermine si le rapport de l’expert doit faire l’objet d’une publicité. Il peut notamment en imposer la publication, aux frais 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selon</w:t>
      </w:r>
      <w:r>
        <w:rPr>
          <w:color w:val="231F20"/>
          <w:spacing w:val="15"/>
        </w:rPr>
        <w:t> </w:t>
      </w:r>
      <w:r>
        <w:rPr>
          <w:color w:val="231F20"/>
        </w:rPr>
        <w:t>les</w:t>
      </w:r>
      <w:r>
        <w:rPr>
          <w:color w:val="231F20"/>
          <w:spacing w:val="16"/>
        </w:rPr>
        <w:t> </w:t>
      </w:r>
      <w:r>
        <w:rPr>
          <w:color w:val="231F20"/>
        </w:rPr>
        <w:t>modalités</w:t>
      </w:r>
      <w:r>
        <w:rPr>
          <w:color w:val="231F20"/>
          <w:spacing w:val="15"/>
        </w:rPr>
        <w:t> </w:t>
      </w:r>
      <w:r>
        <w:rPr>
          <w:color w:val="231F20"/>
        </w:rPr>
        <w:t>qu’il</w:t>
      </w:r>
      <w:r>
        <w:rPr>
          <w:color w:val="231F20"/>
          <w:spacing w:val="15"/>
        </w:rPr>
        <w:t> </w:t>
      </w:r>
      <w:r>
        <w:rPr>
          <w:color w:val="231F20"/>
        </w:rPr>
        <w:t>fixe.</w:t>
      </w:r>
    </w:p>
    <w:p>
      <w:pPr>
        <w:pStyle w:val="BodyText"/>
        <w:spacing w:before="6"/>
        <w:ind w:left="0" w:right="0" w:firstLine="0"/>
        <w:jc w:val="left"/>
        <w:rPr>
          <w:sz w:val="25"/>
        </w:rPr>
      </w:pPr>
    </w:p>
    <w:p>
      <w:pPr>
        <w:pStyle w:val="BodyText"/>
        <w:spacing w:line="357" w:lineRule="auto"/>
        <w:ind w:left="283" w:right="1150" w:firstLine="0"/>
        <w:jc w:val="left"/>
      </w:pPr>
      <w:r>
        <w:rPr>
          <w:color w:val="231F20"/>
        </w:rPr>
        <w:t>CHAPITRE 4. Assemblée générale des obligataires. Section 1</w:t>
      </w:r>
      <w:r>
        <w:rPr>
          <w:color w:val="231F20"/>
          <w:position w:val="7"/>
          <w:sz w:val="11"/>
        </w:rPr>
        <w:t>re</w:t>
      </w:r>
      <w:r>
        <w:rPr>
          <w:color w:val="231F20"/>
        </w:rPr>
        <w:t>. Champ d’application</w:t>
      </w:r>
    </w:p>
    <w:p>
      <w:pPr>
        <w:pStyle w:val="BodyText"/>
        <w:spacing w:line="218" w:lineRule="auto" w:before="31"/>
        <w:ind w:right="38"/>
      </w:pPr>
      <w:r>
        <w:rPr>
          <w:color w:val="231F20"/>
        </w:rPr>
        <w:t>Art. 6:92. Les dispositions contenues dans les sections 2 à 6 du présent chapitre s’appliquent uniquement aux obligations dans la mesure où les conditions d’émission n’y dérogent pas.</w:t>
      </w:r>
    </w:p>
    <w:p>
      <w:pPr>
        <w:pStyle w:val="BodyText"/>
        <w:spacing w:line="218" w:lineRule="auto" w:before="119"/>
        <w:ind w:firstLine="0"/>
      </w:pPr>
      <w:r>
        <w:rPr/>
        <w:br w:type="column"/>
      </w:r>
      <w:r>
        <w:rPr>
          <w:color w:val="231F20"/>
        </w:rPr>
        <w:t>in alle van materieel belang zijnde opzichten getrouw en voldoende zijn om de algemene vergadering die over het voorstel moet stemmen voor te lichten. Beide verslagen worden in de agenda vermeld en aan de aandeelhouders ter beschikking gesteld overeenkomstig artikel 6:70,</w:t>
      </w:r>
    </w:p>
    <w:p>
      <w:pPr>
        <w:pStyle w:val="BodyText"/>
        <w:spacing w:line="218" w:lineRule="auto" w:before="1"/>
        <w:ind w:firstLine="0"/>
      </w:pPr>
      <w:r>
        <w:rPr>
          <w:color w:val="231F20"/>
        </w:rPr>
        <w:t>§ 2. Wanneer deze verslagen ontbreken is het besluit van de algemene vergadering nietig. Deze verslagen worden neergelegd en bekendge- maakt overeenkomstig de artikelen 2:8 en 2:14, 4°.</w:t>
      </w:r>
    </w:p>
    <w:p>
      <w:pPr>
        <w:pStyle w:val="BodyText"/>
        <w:spacing w:line="218" w:lineRule="auto" w:before="117"/>
        <w:ind w:right="123"/>
      </w:pPr>
      <w:r>
        <w:rPr>
          <w:color w:val="231F20"/>
        </w:rPr>
        <w:t>Elke wijziging van de rechten verbonden aan één of meerdere  soorten vereist een statutenwijziging, waarbij de beslissing binnen elke soort moet worden genomen met naleving van de aanwezigheids- en meerderheidsvereisten voorgeschreven voor een statutenwijziging, en moet elke houder van ondereffecten worden toegelaten tot de besluit- vorming en de stemming in de betrokken soort, waarbij de stemmen worden</w:t>
      </w:r>
      <w:r>
        <w:rPr>
          <w:color w:val="231F20"/>
          <w:spacing w:val="16"/>
        </w:rPr>
        <w:t> </w:t>
      </w:r>
      <w:r>
        <w:rPr>
          <w:color w:val="231F20"/>
        </w:rPr>
        <w:t>geteld</w:t>
      </w:r>
      <w:r>
        <w:rPr>
          <w:color w:val="231F20"/>
          <w:spacing w:val="17"/>
        </w:rPr>
        <w:t> </w:t>
      </w:r>
      <w:r>
        <w:rPr>
          <w:color w:val="231F20"/>
        </w:rPr>
        <w:t>op</w:t>
      </w:r>
      <w:r>
        <w:rPr>
          <w:color w:val="231F20"/>
          <w:spacing w:val="17"/>
        </w:rPr>
        <w:t> </w:t>
      </w:r>
      <w:r>
        <w:rPr>
          <w:color w:val="231F20"/>
        </w:rPr>
        <w:t>basis</w:t>
      </w:r>
      <w:r>
        <w:rPr>
          <w:color w:val="231F20"/>
          <w:spacing w:val="17"/>
        </w:rPr>
        <w:t> </w:t>
      </w:r>
      <w:r>
        <w:rPr>
          <w:color w:val="231F20"/>
        </w:rPr>
        <w:t>van</w:t>
      </w:r>
      <w:r>
        <w:rPr>
          <w:color w:val="231F20"/>
          <w:spacing w:val="17"/>
        </w:rPr>
        <w:t> </w:t>
      </w:r>
      <w:r>
        <w:rPr>
          <w:color w:val="231F20"/>
        </w:rPr>
        <w:t>één</w:t>
      </w:r>
      <w:r>
        <w:rPr>
          <w:color w:val="231F20"/>
          <w:spacing w:val="16"/>
        </w:rPr>
        <w:t> </w:t>
      </w:r>
      <w:r>
        <w:rPr>
          <w:color w:val="231F20"/>
        </w:rPr>
        <w:t>stem</w:t>
      </w:r>
      <w:r>
        <w:rPr>
          <w:color w:val="231F20"/>
          <w:spacing w:val="17"/>
        </w:rPr>
        <w:t> </w:t>
      </w:r>
      <w:r>
        <w:rPr>
          <w:color w:val="231F20"/>
        </w:rPr>
        <w:t>voor</w:t>
      </w:r>
      <w:r>
        <w:rPr>
          <w:color w:val="231F20"/>
          <w:spacing w:val="17"/>
        </w:rPr>
        <w:t> </w:t>
      </w:r>
      <w:r>
        <w:rPr>
          <w:color w:val="231F20"/>
        </w:rPr>
        <w:t>het</w:t>
      </w:r>
      <w:r>
        <w:rPr>
          <w:color w:val="231F20"/>
          <w:spacing w:val="17"/>
        </w:rPr>
        <w:t> </w:t>
      </w:r>
      <w:r>
        <w:rPr>
          <w:color w:val="231F20"/>
        </w:rPr>
        <w:t>kleinste</w:t>
      </w:r>
      <w:r>
        <w:rPr>
          <w:color w:val="231F20"/>
          <w:spacing w:val="17"/>
        </w:rPr>
        <w:t> </w:t>
      </w:r>
      <w:r>
        <w:rPr>
          <w:color w:val="231F20"/>
        </w:rPr>
        <w:t>ondereffect.</w:t>
      </w:r>
    </w:p>
    <w:p>
      <w:pPr>
        <w:pStyle w:val="BodyText"/>
        <w:spacing w:line="364" w:lineRule="auto" w:before="104"/>
        <w:ind w:left="283" w:right="0" w:firstLine="0"/>
        <w:jc w:val="left"/>
      </w:pPr>
      <w:r>
        <w:rPr>
          <w:color w:val="231F20"/>
        </w:rPr>
        <w:t>HOOFDSTUK 3. Vennootschapsvordering en minderheidsvordering. Afdeling 1. Vennootschapsvordering.</w:t>
      </w:r>
    </w:p>
    <w:p>
      <w:pPr>
        <w:pStyle w:val="BodyText"/>
        <w:spacing w:line="218" w:lineRule="auto" w:before="24"/>
      </w:pPr>
      <w:r>
        <w:rPr>
          <w:color w:val="231F20"/>
        </w:rPr>
        <w:t>Art. 6:88. De algemene vergadering beslist of tegen de leden van het bestuursorgaan of tegen de commissaris een vennootschapsvordering moet worden ingesteld. Zij kan één of meer lasthebbers aanstellen voor de uitvoering van die beslissing.</w:t>
      </w:r>
    </w:p>
    <w:p>
      <w:pPr>
        <w:pStyle w:val="BodyText"/>
        <w:spacing w:before="114"/>
        <w:ind w:left="283" w:right="0" w:firstLine="0"/>
        <w:jc w:val="left"/>
      </w:pPr>
      <w:r>
        <w:rPr>
          <w:color w:val="231F20"/>
        </w:rPr>
        <w:t>Afdeling 2. Minderheidsvordering.</w:t>
      </w:r>
    </w:p>
    <w:p>
      <w:pPr>
        <w:pStyle w:val="BodyText"/>
        <w:spacing w:line="218" w:lineRule="auto" w:before="125"/>
      </w:pPr>
      <w:r>
        <w:rPr>
          <w:color w:val="231F20"/>
        </w:rPr>
        <w:t>Art. 6:89. § 1. Minderheidsaandeelhouders kunnen voor rekening</w:t>
      </w:r>
      <w:r>
        <w:rPr>
          <w:color w:val="231F20"/>
          <w:spacing w:val="-14"/>
        </w:rPr>
        <w:t> </w:t>
      </w:r>
      <w:r>
        <w:rPr>
          <w:color w:val="231F20"/>
        </w:rPr>
        <w:t>van de vennootschap een vordering tegen de leden van het bestuursorgaan instellen.</w:t>
      </w:r>
    </w:p>
    <w:p>
      <w:pPr>
        <w:pStyle w:val="BodyText"/>
        <w:spacing w:line="218" w:lineRule="auto" w:before="128"/>
      </w:pPr>
      <w:r>
        <w:rPr>
          <w:color w:val="231F20"/>
        </w:rPr>
        <w:t>Deze minderheidsaandeelhouders moeten, op de dag waarop de algemene vergadering zich uitspreekt over de aan de leden van</w:t>
      </w:r>
      <w:r>
        <w:rPr>
          <w:color w:val="231F20"/>
          <w:spacing w:val="31"/>
        </w:rPr>
        <w:t> </w:t>
      </w:r>
      <w:r>
        <w:rPr>
          <w:color w:val="231F20"/>
        </w:rPr>
        <w:t>het bestuursorgaan te verlenen kwijting, van ten minste 10 % van het</w:t>
      </w:r>
      <w:r>
        <w:rPr>
          <w:color w:val="231F20"/>
          <w:spacing w:val="-17"/>
        </w:rPr>
        <w:t> </w:t>
      </w:r>
      <w:r>
        <w:rPr>
          <w:color w:val="231F20"/>
        </w:rPr>
        <w:t>aantal uitgegeven aandelen</w:t>
      </w:r>
      <w:r>
        <w:rPr>
          <w:color w:val="231F20"/>
          <w:spacing w:val="-11"/>
        </w:rPr>
        <w:t> </w:t>
      </w:r>
      <w:r>
        <w:rPr>
          <w:color w:val="231F20"/>
        </w:rPr>
        <w:t>bezitten.</w:t>
      </w:r>
    </w:p>
    <w:p>
      <w:pPr>
        <w:pStyle w:val="BodyText"/>
        <w:spacing w:line="218" w:lineRule="auto" w:before="128"/>
      </w:pPr>
      <w:r>
        <w:rPr>
          <w:color w:val="231F20"/>
        </w:rPr>
        <w:t>Aandeelhouders kunnen de vordering slechts instellen indien ze de kwijting niet of op een ongeldige wijze hebben goedgekeurd.</w:t>
      </w:r>
    </w:p>
    <w:p>
      <w:pPr>
        <w:pStyle w:val="BodyText"/>
        <w:spacing w:line="218" w:lineRule="auto" w:before="128"/>
      </w:pPr>
      <w:r>
        <w:rPr>
          <w:color w:val="231F20"/>
        </w:rPr>
        <w:t>§ 2. Het feit dat tijdens de procedure één of meer aandeelhouders ophouden deel uit te maken van de groep van minderheidsaandeel- houders, hetzij omdat zij geen aandelen meer bezitten, hetzij omdat zij afzien van de vordering, heeft geen invloed op de voortzetting van de bedoelde procedure noch op de aanwending van de rechtsmiddelen.</w:t>
      </w:r>
    </w:p>
    <w:p>
      <w:pPr>
        <w:pStyle w:val="BodyText"/>
        <w:spacing w:line="218" w:lineRule="auto" w:before="129"/>
      </w:pPr>
      <w:r>
        <w:rPr>
          <w:color w:val="231F20"/>
        </w:rPr>
        <w:t>§ 3. Indien zowel de wettelijke vertegenwoordigers van de vennoot- schap als één of meer houders van effecten een vordering instellen tegen één of meerdere leden van het bestuursorgaan worden de vorderingen wegens hun samenhang</w:t>
      </w:r>
      <w:r>
        <w:rPr>
          <w:color w:val="231F20"/>
          <w:spacing w:val="30"/>
        </w:rPr>
        <w:t> </w:t>
      </w:r>
      <w:r>
        <w:rPr>
          <w:color w:val="231F20"/>
        </w:rPr>
        <w:t>samengevoegd.</w:t>
      </w:r>
    </w:p>
    <w:p>
      <w:pPr>
        <w:pStyle w:val="BodyText"/>
        <w:spacing w:line="218" w:lineRule="auto" w:before="128"/>
      </w:pPr>
      <w:r>
        <w:rPr>
          <w:color w:val="231F20"/>
        </w:rPr>
        <w:t>§ 4. Een dading aangegaan voordat de vordering is ingesteld kan nietig worden verklaard op verzoek van de  aandeelhouders  die voldoen aan de voorwaarden bepaald in paragraaf 1, indien de dading niet</w:t>
      </w:r>
      <w:r>
        <w:rPr>
          <w:color w:val="231F20"/>
          <w:spacing w:val="18"/>
        </w:rPr>
        <w:t> </w:t>
      </w:r>
      <w:r>
        <w:rPr>
          <w:color w:val="231F20"/>
        </w:rPr>
        <w:t>in</w:t>
      </w:r>
      <w:r>
        <w:rPr>
          <w:color w:val="231F20"/>
          <w:spacing w:val="18"/>
        </w:rPr>
        <w:t> </w:t>
      </w:r>
      <w:r>
        <w:rPr>
          <w:color w:val="231F20"/>
        </w:rPr>
        <w:t>het</w:t>
      </w:r>
      <w:r>
        <w:rPr>
          <w:color w:val="231F20"/>
          <w:spacing w:val="18"/>
        </w:rPr>
        <w:t> </w:t>
      </w:r>
      <w:r>
        <w:rPr>
          <w:color w:val="231F20"/>
        </w:rPr>
        <w:t>voordeel</w:t>
      </w:r>
      <w:r>
        <w:rPr>
          <w:color w:val="231F20"/>
          <w:spacing w:val="18"/>
        </w:rPr>
        <w:t> </w:t>
      </w:r>
      <w:r>
        <w:rPr>
          <w:color w:val="231F20"/>
        </w:rPr>
        <w:t>van</w:t>
      </w:r>
      <w:r>
        <w:rPr>
          <w:color w:val="231F20"/>
          <w:spacing w:val="18"/>
        </w:rPr>
        <w:t> </w:t>
      </w:r>
      <w:r>
        <w:rPr>
          <w:color w:val="231F20"/>
        </w:rPr>
        <w:t>alle</w:t>
      </w:r>
      <w:r>
        <w:rPr>
          <w:color w:val="231F20"/>
          <w:spacing w:val="18"/>
        </w:rPr>
        <w:t> </w:t>
      </w:r>
      <w:r>
        <w:rPr>
          <w:color w:val="231F20"/>
        </w:rPr>
        <w:t>aandeelhouders</w:t>
      </w:r>
      <w:r>
        <w:rPr>
          <w:color w:val="231F20"/>
          <w:spacing w:val="18"/>
        </w:rPr>
        <w:t> </w:t>
      </w:r>
      <w:r>
        <w:rPr>
          <w:color w:val="231F20"/>
        </w:rPr>
        <w:t>werd</w:t>
      </w:r>
      <w:r>
        <w:rPr>
          <w:color w:val="231F20"/>
          <w:spacing w:val="18"/>
        </w:rPr>
        <w:t> </w:t>
      </w:r>
      <w:r>
        <w:rPr>
          <w:color w:val="231F20"/>
        </w:rPr>
        <w:t>aangegaan.</w:t>
      </w:r>
    </w:p>
    <w:p>
      <w:pPr>
        <w:pStyle w:val="BodyText"/>
        <w:spacing w:line="218" w:lineRule="auto" w:before="128"/>
      </w:pPr>
      <w:r>
        <w:rPr>
          <w:color w:val="231F20"/>
        </w:rPr>
        <w:t>Is de vordering ingesteld, dan kan de vennootschap geen dading meer aangaan met de gedaagde leden van het bestuursorgaan zonder de eenparige instemming van degenen die eiser blijven van de vordering.</w:t>
      </w:r>
    </w:p>
    <w:p>
      <w:pPr>
        <w:pStyle w:val="BodyText"/>
        <w:spacing w:line="218" w:lineRule="auto" w:before="128"/>
      </w:pPr>
      <w:r>
        <w:rPr>
          <w:color w:val="231F20"/>
        </w:rPr>
        <w:t>Art. 6:90. Indien de minderheidsvordering wordt afgewezen, kunnen de eisers persoonlijk in de kosten worden veroordeeld en, indien daartoe grond bestaat, tot schadevergoeding jegens de verweerders.</w:t>
      </w:r>
    </w:p>
    <w:p>
      <w:pPr>
        <w:pStyle w:val="BodyText"/>
        <w:spacing w:line="218" w:lineRule="auto" w:before="128"/>
      </w:pPr>
      <w:r>
        <w:rPr>
          <w:color w:val="231F20"/>
        </w:rPr>
        <w:t>Wordt de vordering toegewezen, dan betaalt de vennootschap de bedragen terug die de eisers hebben voorgeschoten en die niet zijn begrepen in de kosten waartoe de verweerders zijn veroordeeld.</w:t>
      </w:r>
    </w:p>
    <w:p>
      <w:pPr>
        <w:pStyle w:val="BodyText"/>
        <w:spacing w:before="115"/>
        <w:ind w:left="283" w:right="0" w:firstLine="0"/>
        <w:jc w:val="left"/>
      </w:pPr>
      <w:r>
        <w:rPr>
          <w:color w:val="231F20"/>
        </w:rPr>
        <w:t>Afdeling 3. Deskundigen.</w:t>
      </w:r>
    </w:p>
    <w:p>
      <w:pPr>
        <w:pStyle w:val="BodyText"/>
        <w:spacing w:line="218" w:lineRule="auto" w:before="124"/>
      </w:pPr>
      <w:r>
        <w:rPr>
          <w:color w:val="231F20"/>
        </w:rPr>
        <w:t>Art. 6:91. Op verzoek van één of meer aandeelhouders die aandelen bezitten die ten minste 10 % vertegenwoordigen van het aantal uitgegeven aandelen kan de voorzitter van de ondernemingsrechtbank, in kort geding één of meer deskundigen aanstellen om de boeken en de rekeningen van de vennootschap na te zien en ook de verrichtingen die haar organen hebben gedaan, indien er aanwijzingen zijn dat de belangen van de vennootschap op ernstige wijze in gevaar komen of dreigen te komen.</w:t>
      </w:r>
    </w:p>
    <w:p>
      <w:pPr>
        <w:pStyle w:val="BodyText"/>
        <w:spacing w:line="218" w:lineRule="auto" w:before="129"/>
      </w:pPr>
      <w:r>
        <w:rPr>
          <w:color w:val="231F20"/>
        </w:rPr>
        <w:t>De voorzitter beslist of het verslag van de deskundige moet worden bekendgemaakt. Hij kan onder meer beslissen dat het verslag op kosten van de vennootschap moet worden bekendgemaakt volgens de regels die hij bepaalt.</w:t>
      </w:r>
    </w:p>
    <w:p>
      <w:pPr>
        <w:pStyle w:val="BodyText"/>
        <w:spacing w:line="376" w:lineRule="auto" w:before="114"/>
        <w:ind w:left="283" w:right="169" w:firstLine="0"/>
        <w:jc w:val="left"/>
      </w:pPr>
      <w:r>
        <w:rPr>
          <w:color w:val="231F20"/>
        </w:rPr>
        <w:t>HOOFDSTUK 4. Algemene vergadering van obligatiehouders. Afdeling 1. Toepassingsgebied</w:t>
      </w:r>
    </w:p>
    <w:p>
      <w:pPr>
        <w:pStyle w:val="BodyText"/>
        <w:spacing w:line="218" w:lineRule="auto" w:before="15"/>
      </w:pPr>
      <w:r>
        <w:rPr>
          <w:color w:val="231F20"/>
        </w:rPr>
        <w:t>Art. 6:92. De bepalingen van afdeling 2 tot afdeling 6 van dit hoofdstuk zijn slechts van toepassing op de obligaties in zoverre de uitgiftevoorwaarden daarvan niet afwijken.</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4336" from="298.170502pt,64.473pt" to="298.170502pt,812.819pt" stroked="true" strokeweight=".533pt" strokecolor="#231f20">
            <v:stroke dashstyle="solid"/>
            <w10:wrap type="none"/>
          </v:line>
        </w:pict>
      </w:r>
      <w:bookmarkStart w:name="_bookmark138" w:id="143"/>
      <w:bookmarkEnd w:id="143"/>
      <w:r>
        <w:rPr/>
      </w:r>
      <w:r>
        <w:rPr>
          <w:color w:val="231F20"/>
        </w:rPr>
        <w:t>Section 2. Pouvoirs.</w:t>
      </w:r>
    </w:p>
    <w:p>
      <w:pPr>
        <w:pStyle w:val="BodyText"/>
        <w:spacing w:line="218" w:lineRule="auto" w:before="92"/>
        <w:ind w:right="38"/>
      </w:pPr>
      <w:r>
        <w:rPr>
          <w:color w:val="231F20"/>
        </w:rPr>
        <w:t>Art. 6:93. L’assemblée générale des obligataires a le pouvoir de modifier les conditions d’émission. Elle a notamment le pouvoir:</w:t>
      </w:r>
    </w:p>
    <w:p>
      <w:pPr>
        <w:pStyle w:val="BodyText"/>
        <w:spacing w:line="218" w:lineRule="auto" w:before="96"/>
        <w:ind w:right="38"/>
      </w:pPr>
      <w:r>
        <w:rPr>
          <w:color w:val="231F20"/>
        </w:rPr>
        <w:t>1° de proroger une ou plusieurs échéances d’intérêts, de consentir à la réduction du taux de l’intérêt ou d’en modifier les conditions</w:t>
      </w:r>
      <w:r>
        <w:rPr>
          <w:color w:val="231F20"/>
          <w:spacing w:val="28"/>
        </w:rPr>
        <w:t> </w:t>
      </w:r>
      <w:r>
        <w:rPr>
          <w:color w:val="231F20"/>
        </w:rPr>
        <w:t>de paiement;</w:t>
      </w:r>
    </w:p>
    <w:p>
      <w:pPr>
        <w:pStyle w:val="BodyText"/>
        <w:spacing w:line="218" w:lineRule="auto" w:before="97"/>
        <w:ind w:right="38"/>
      </w:pPr>
      <w:r>
        <w:rPr>
          <w:color w:val="231F20"/>
        </w:rPr>
        <w:t>2° de prolonger la durée du remboursement, de le suspendre et de consentir des modifications aux conditions dans lesquelles il doit avoir lieu;</w:t>
      </w:r>
    </w:p>
    <w:p>
      <w:pPr>
        <w:pStyle w:val="BodyText"/>
        <w:spacing w:line="218" w:lineRule="auto" w:before="96"/>
        <w:ind w:right="38"/>
      </w:pPr>
      <w:r>
        <w:rPr>
          <w:color w:val="231F20"/>
        </w:rPr>
        <w:t>3° d’accepter la substitution d’actions aux créances des obligataires; cette décision restera sans </w:t>
      </w:r>
      <w:r>
        <w:rPr>
          <w:color w:val="231F20"/>
          <w:spacing w:val="-3"/>
        </w:rPr>
        <w:t>effet </w:t>
      </w:r>
      <w:r>
        <w:rPr>
          <w:color w:val="231F20"/>
        </w:rPr>
        <w:t>si elle n’a pas été acceptée par une modification des statuts, dans les trois mois, à moins que l’assemblée générale</w:t>
      </w:r>
      <w:r>
        <w:rPr>
          <w:color w:val="231F20"/>
          <w:spacing w:val="-5"/>
        </w:rPr>
        <w:t> </w:t>
      </w:r>
      <w:r>
        <w:rPr>
          <w:color w:val="231F20"/>
        </w:rPr>
        <w:t>des</w:t>
      </w:r>
      <w:r>
        <w:rPr>
          <w:color w:val="231F20"/>
          <w:spacing w:val="-5"/>
        </w:rPr>
        <w:t> </w:t>
      </w:r>
      <w:r>
        <w:rPr>
          <w:color w:val="231F20"/>
        </w:rPr>
        <w:t>actionnaires</w:t>
      </w:r>
      <w:r>
        <w:rPr>
          <w:color w:val="231F20"/>
          <w:spacing w:val="-4"/>
        </w:rPr>
        <w:t> </w:t>
      </w:r>
      <w:r>
        <w:rPr>
          <w:color w:val="231F20"/>
        </w:rPr>
        <w:t>n’ait</w:t>
      </w:r>
      <w:r>
        <w:rPr>
          <w:color w:val="231F20"/>
          <w:spacing w:val="-5"/>
        </w:rPr>
        <w:t> </w:t>
      </w:r>
      <w:r>
        <w:rPr>
          <w:color w:val="231F20"/>
        </w:rPr>
        <w:t>antérieurement</w:t>
      </w:r>
      <w:r>
        <w:rPr>
          <w:color w:val="231F20"/>
          <w:spacing w:val="-4"/>
        </w:rPr>
        <w:t> </w:t>
      </w:r>
      <w:r>
        <w:rPr>
          <w:color w:val="231F20"/>
        </w:rPr>
        <w:t>donné</w:t>
      </w:r>
      <w:r>
        <w:rPr>
          <w:color w:val="231F20"/>
          <w:spacing w:val="-5"/>
        </w:rPr>
        <w:t> </w:t>
      </w:r>
      <w:r>
        <w:rPr>
          <w:color w:val="231F20"/>
        </w:rPr>
        <w:t>son</w:t>
      </w:r>
      <w:r>
        <w:rPr>
          <w:color w:val="231F20"/>
          <w:spacing w:val="-5"/>
        </w:rPr>
        <w:t> </w:t>
      </w:r>
      <w:r>
        <w:rPr>
          <w:color w:val="231F20"/>
        </w:rPr>
        <w:t>consentement dans</w:t>
      </w:r>
      <w:r>
        <w:rPr>
          <w:color w:val="231F20"/>
          <w:spacing w:val="14"/>
        </w:rPr>
        <w:t> </w:t>
      </w:r>
      <w:r>
        <w:rPr>
          <w:color w:val="231F20"/>
        </w:rPr>
        <w:t>les</w:t>
      </w:r>
      <w:r>
        <w:rPr>
          <w:color w:val="231F20"/>
          <w:spacing w:val="15"/>
        </w:rPr>
        <w:t> </w:t>
      </w:r>
      <w:r>
        <w:rPr>
          <w:color w:val="231F20"/>
        </w:rPr>
        <w:t>formes</w:t>
      </w:r>
      <w:r>
        <w:rPr>
          <w:color w:val="231F20"/>
          <w:spacing w:val="15"/>
        </w:rPr>
        <w:t> </w:t>
      </w:r>
      <w:r>
        <w:rPr>
          <w:color w:val="231F20"/>
        </w:rPr>
        <w:t>prescrites</w:t>
      </w:r>
      <w:r>
        <w:rPr>
          <w:color w:val="231F20"/>
          <w:spacing w:val="14"/>
        </w:rPr>
        <w:t> </w:t>
      </w:r>
      <w:r>
        <w:rPr>
          <w:color w:val="231F20"/>
        </w:rPr>
        <w:t>pour</w:t>
      </w:r>
      <w:r>
        <w:rPr>
          <w:color w:val="231F20"/>
          <w:spacing w:val="15"/>
        </w:rPr>
        <w:t> </w:t>
      </w:r>
      <w:r>
        <w:rPr>
          <w:color w:val="231F20"/>
        </w:rPr>
        <w:t>une</w:t>
      </w:r>
      <w:r>
        <w:rPr>
          <w:color w:val="231F20"/>
          <w:spacing w:val="15"/>
        </w:rPr>
        <w:t> </w:t>
      </w:r>
      <w:r>
        <w:rPr>
          <w:color w:val="231F20"/>
        </w:rPr>
        <w:t>modification</w:t>
      </w:r>
      <w:r>
        <w:rPr>
          <w:color w:val="231F20"/>
          <w:spacing w:val="14"/>
        </w:rPr>
        <w:t> </w:t>
      </w:r>
      <w:r>
        <w:rPr>
          <w:color w:val="231F20"/>
        </w:rPr>
        <w:t>des</w:t>
      </w:r>
      <w:r>
        <w:rPr>
          <w:color w:val="231F20"/>
          <w:spacing w:val="15"/>
        </w:rPr>
        <w:t> </w:t>
      </w:r>
      <w:r>
        <w:rPr>
          <w:color w:val="231F20"/>
        </w:rPr>
        <w:t>statuts;</w:t>
      </w:r>
    </w:p>
    <w:p>
      <w:pPr>
        <w:pStyle w:val="BodyText"/>
        <w:spacing w:before="10"/>
        <w:ind w:left="0" w:right="0" w:firstLine="0"/>
        <w:jc w:val="left"/>
        <w:rPr>
          <w:sz w:val="23"/>
        </w:rPr>
      </w:pPr>
    </w:p>
    <w:p>
      <w:pPr>
        <w:pStyle w:val="BodyText"/>
        <w:spacing w:line="218" w:lineRule="auto" w:before="1"/>
        <w:ind w:right="38"/>
      </w:pPr>
      <w:r>
        <w:rPr>
          <w:color w:val="231F20"/>
        </w:rPr>
        <w:t>4° d’accepter des dispositions ayant pour objet, soit d’accorder des sûretés particulières au profit des obligataires, soit de modifier ou de supprimer les sûretés déjà attribuées.</w:t>
      </w:r>
    </w:p>
    <w:p>
      <w:pPr>
        <w:pStyle w:val="BodyText"/>
        <w:spacing w:line="218" w:lineRule="auto" w:before="96"/>
        <w:ind w:right="38"/>
      </w:pPr>
      <w:r>
        <w:rPr>
          <w:color w:val="231F20"/>
        </w:rPr>
        <w:t>Art. 6:94. Aucune décision de l’assemblée générale des obligataires modifiant les conditions d’émission ne produit ses effets sans l’accord exprès de la société.</w:t>
      </w:r>
    </w:p>
    <w:p>
      <w:pPr>
        <w:pStyle w:val="BodyText"/>
        <w:spacing w:line="218" w:lineRule="auto" w:before="96"/>
        <w:ind w:right="38"/>
      </w:pPr>
      <w:r>
        <w:rPr>
          <w:color w:val="231F20"/>
        </w:rPr>
        <w:t>L’assemblée générale des obligataires peut prendre, à la majorité simple des voix, des actes conservatoires sans l’autorisation de la société.</w:t>
      </w:r>
    </w:p>
    <w:p>
      <w:pPr>
        <w:pStyle w:val="BodyText"/>
        <w:spacing w:before="82"/>
        <w:ind w:left="283" w:right="0" w:firstLine="0"/>
        <w:jc w:val="left"/>
      </w:pPr>
      <w:r>
        <w:rPr>
          <w:color w:val="231F20"/>
        </w:rPr>
        <w:t>Section 3. Convocation de l’assemblée générale des obligataires.</w:t>
      </w:r>
    </w:p>
    <w:p>
      <w:pPr>
        <w:pStyle w:val="BodyText"/>
        <w:spacing w:before="7"/>
        <w:ind w:left="0" w:right="0" w:firstLine="0"/>
        <w:jc w:val="left"/>
        <w:rPr>
          <w:sz w:val="23"/>
        </w:rPr>
      </w:pPr>
    </w:p>
    <w:p>
      <w:pPr>
        <w:pStyle w:val="BodyText"/>
        <w:spacing w:line="218" w:lineRule="auto"/>
        <w:ind w:right="38"/>
      </w:pPr>
      <w:r>
        <w:rPr>
          <w:color w:val="231F20"/>
        </w:rPr>
        <w:t>Art. 6:95. </w:t>
      </w:r>
      <w:r>
        <w:rPr>
          <w:color w:val="231F20"/>
          <w:spacing w:val="-3"/>
        </w:rPr>
        <w:t>L’organe </w:t>
      </w:r>
      <w:r>
        <w:rPr>
          <w:color w:val="231F20"/>
        </w:rPr>
        <w:t>d’administration et, le cas échéant, le commissaire peut convoquer les obligataires en assemblée générale et fixer son ordre du </w:t>
      </w:r>
      <w:r>
        <w:rPr>
          <w:color w:val="231F20"/>
          <w:spacing w:val="-3"/>
        </w:rPr>
        <w:t>jour.</w:t>
      </w:r>
    </w:p>
    <w:p>
      <w:pPr>
        <w:pStyle w:val="BodyText"/>
        <w:spacing w:line="218" w:lineRule="auto" w:before="97"/>
        <w:ind w:right="38"/>
      </w:pPr>
      <w:r>
        <w:rPr>
          <w:color w:val="231F20"/>
        </w:rPr>
        <w:t>Ils sont obligés de convoquer l’assemblée générale des obligataires dans les trois semaines à la demande d’obligataires représentant le cinquième</w:t>
      </w:r>
      <w:r>
        <w:rPr>
          <w:color w:val="231F20"/>
          <w:spacing w:val="-5"/>
        </w:rPr>
        <w:t> </w:t>
      </w:r>
      <w:r>
        <w:rPr>
          <w:color w:val="231F20"/>
        </w:rPr>
        <w:t>du</w:t>
      </w:r>
      <w:r>
        <w:rPr>
          <w:color w:val="231F20"/>
          <w:spacing w:val="-4"/>
        </w:rPr>
        <w:t> </w:t>
      </w:r>
      <w:r>
        <w:rPr>
          <w:color w:val="231F20"/>
        </w:rPr>
        <w:t>montant</w:t>
      </w:r>
      <w:r>
        <w:rPr>
          <w:color w:val="231F20"/>
          <w:spacing w:val="-4"/>
        </w:rPr>
        <w:t> </w:t>
      </w:r>
      <w:r>
        <w:rPr>
          <w:color w:val="231F20"/>
        </w:rPr>
        <w:t>des</w:t>
      </w:r>
      <w:r>
        <w:rPr>
          <w:color w:val="231F20"/>
          <w:spacing w:val="-4"/>
        </w:rPr>
        <w:t> </w:t>
      </w:r>
      <w:r>
        <w:rPr>
          <w:color w:val="231F20"/>
        </w:rPr>
        <w:t>titres</w:t>
      </w:r>
      <w:r>
        <w:rPr>
          <w:color w:val="231F20"/>
          <w:spacing w:val="-4"/>
        </w:rPr>
        <w:t> </w:t>
      </w:r>
      <w:r>
        <w:rPr>
          <w:color w:val="231F20"/>
        </w:rPr>
        <w:t>en</w:t>
      </w:r>
      <w:r>
        <w:rPr>
          <w:color w:val="231F20"/>
          <w:spacing w:val="-4"/>
        </w:rPr>
        <w:t> </w:t>
      </w:r>
      <w:r>
        <w:rPr>
          <w:color w:val="231F20"/>
        </w:rPr>
        <w:t>circulation,</w:t>
      </w:r>
      <w:r>
        <w:rPr>
          <w:color w:val="231F20"/>
          <w:spacing w:val="-4"/>
        </w:rPr>
        <w:t> </w:t>
      </w:r>
      <w:r>
        <w:rPr>
          <w:color w:val="231F20"/>
        </w:rPr>
        <w:t>avec</w:t>
      </w:r>
      <w:r>
        <w:rPr>
          <w:color w:val="231F20"/>
          <w:spacing w:val="-4"/>
        </w:rPr>
        <w:t> </w:t>
      </w:r>
      <w:r>
        <w:rPr>
          <w:color w:val="231F20"/>
        </w:rPr>
        <w:t>au</w:t>
      </w:r>
      <w:r>
        <w:rPr>
          <w:color w:val="231F20"/>
          <w:spacing w:val="-4"/>
        </w:rPr>
        <w:t> </w:t>
      </w:r>
      <w:r>
        <w:rPr>
          <w:color w:val="231F20"/>
        </w:rPr>
        <w:t>moins</w:t>
      </w:r>
      <w:r>
        <w:rPr>
          <w:color w:val="231F20"/>
          <w:spacing w:val="-4"/>
        </w:rPr>
        <w:t> </w:t>
      </w:r>
      <w:r>
        <w:rPr>
          <w:color w:val="231F20"/>
        </w:rPr>
        <w:t>les</w:t>
      </w:r>
      <w:r>
        <w:rPr>
          <w:color w:val="231F20"/>
          <w:spacing w:val="-4"/>
        </w:rPr>
        <w:t> </w:t>
      </w:r>
      <w:r>
        <w:rPr>
          <w:color w:val="231F20"/>
        </w:rPr>
        <w:t>points de</w:t>
      </w:r>
      <w:r>
        <w:rPr>
          <w:color w:val="231F20"/>
          <w:spacing w:val="15"/>
        </w:rPr>
        <w:t> </w:t>
      </w:r>
      <w:r>
        <w:rPr>
          <w:color w:val="231F20"/>
        </w:rPr>
        <w:t>l’ordre</w:t>
      </w:r>
      <w:r>
        <w:rPr>
          <w:color w:val="231F20"/>
          <w:spacing w:val="15"/>
        </w:rPr>
        <w:t> </w:t>
      </w:r>
      <w:r>
        <w:rPr>
          <w:color w:val="231F20"/>
        </w:rPr>
        <w:t>du</w:t>
      </w:r>
      <w:r>
        <w:rPr>
          <w:color w:val="231F20"/>
          <w:spacing w:val="15"/>
        </w:rPr>
        <w:t> </w:t>
      </w:r>
      <w:r>
        <w:rPr>
          <w:color w:val="231F20"/>
        </w:rPr>
        <w:t>jour</w:t>
      </w:r>
      <w:r>
        <w:rPr>
          <w:color w:val="231F20"/>
          <w:spacing w:val="16"/>
        </w:rPr>
        <w:t> </w:t>
      </w:r>
      <w:r>
        <w:rPr>
          <w:color w:val="231F20"/>
        </w:rPr>
        <w:t>proposés</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obligataires</w:t>
      </w:r>
      <w:r>
        <w:rPr>
          <w:color w:val="231F20"/>
          <w:spacing w:val="16"/>
        </w:rPr>
        <w:t> </w:t>
      </w:r>
      <w:r>
        <w:rPr>
          <w:color w:val="231F20"/>
        </w:rPr>
        <w:t>concernés.</w:t>
      </w:r>
    </w:p>
    <w:p>
      <w:pPr>
        <w:pStyle w:val="BodyText"/>
        <w:spacing w:before="7"/>
        <w:ind w:left="0" w:right="0" w:firstLine="0"/>
        <w:jc w:val="left"/>
        <w:rPr>
          <w:sz w:val="22"/>
        </w:rPr>
      </w:pPr>
    </w:p>
    <w:p>
      <w:pPr>
        <w:pStyle w:val="BodyText"/>
        <w:spacing w:line="218" w:lineRule="auto"/>
        <w:ind w:right="38"/>
      </w:pPr>
      <w:r>
        <w:rPr>
          <w:color w:val="231F20"/>
        </w:rPr>
        <w:t>Art. 6:96. § 1</w:t>
      </w:r>
      <w:r>
        <w:rPr>
          <w:color w:val="231F20"/>
          <w:position w:val="7"/>
          <w:sz w:val="11"/>
        </w:rPr>
        <w:t>er</w:t>
      </w:r>
      <w:r>
        <w:rPr>
          <w:color w:val="231F20"/>
        </w:rPr>
        <w:t>. La convocation à l’assemblée générale des obligataires contient l’ordre du jour et est faite par annonce insérée dans le </w:t>
      </w:r>
      <w:r>
        <w:rPr>
          <w:rFonts w:ascii="Times New Roman" w:hAnsi="Times New Roman"/>
          <w:i/>
          <w:color w:val="231F20"/>
        </w:rPr>
        <w:t>Moniteur </w:t>
      </w:r>
      <w:r>
        <w:rPr>
          <w:rFonts w:ascii="Times New Roman" w:hAnsi="Times New Roman"/>
          <w:i/>
          <w:color w:val="231F20"/>
        </w:rPr>
        <w:t>belge </w:t>
      </w:r>
      <w:r>
        <w:rPr>
          <w:color w:val="231F20"/>
        </w:rPr>
        <w:t>et dans un organe de presse de diffusion nationale, papier ou électronique, au moins quinze jours avant l’assemblée, ou trente jours s’il s’agit d’obligations admises à la négociation sur un marché réglementé. Ces convocations seront communiquées quinze jours avant l’assemblée aux obligataires nominatifs; cette communication se fait conformément à l’article 2:32. Quand toutes les obligations sont nominatives, la société peut se limiter à cette communication. L’ordre du jour contient l’indication des sujets à traiter ainsi que les proposi- tions de décisions qui seront soumises à l’assemblée.</w:t>
      </w:r>
    </w:p>
    <w:p>
      <w:pPr>
        <w:pStyle w:val="BodyText"/>
        <w:spacing w:line="218" w:lineRule="auto" w:before="91"/>
        <w:ind w:right="38"/>
      </w:pPr>
      <w:r>
        <w:rPr>
          <w:color w:val="231F20"/>
        </w:rPr>
        <w:t>§ 2. Si la société a émis des obligations dématérialisées, l’assemblée générale est convoquée par une annonce insérée au moins quinze jours avant l’assemblée:</w:t>
      </w:r>
    </w:p>
    <w:p>
      <w:pPr>
        <w:spacing w:before="80"/>
        <w:ind w:left="283" w:right="0" w:firstLine="0"/>
        <w:jc w:val="left"/>
        <w:rPr>
          <w:sz w:val="17"/>
        </w:rPr>
      </w:pPr>
      <w:r>
        <w:rPr>
          <w:color w:val="231F20"/>
          <w:w w:val="105"/>
          <w:sz w:val="17"/>
        </w:rPr>
        <w:t>1° dans le </w:t>
      </w:r>
      <w:r>
        <w:rPr>
          <w:rFonts w:ascii="Times New Roman" w:hAnsi="Times New Roman"/>
          <w:i/>
          <w:color w:val="231F20"/>
          <w:w w:val="105"/>
          <w:sz w:val="17"/>
        </w:rPr>
        <w:t>Moniteur belge</w:t>
      </w:r>
      <w:r>
        <w:rPr>
          <w:color w:val="231F20"/>
          <w:w w:val="105"/>
          <w:sz w:val="17"/>
        </w:rPr>
        <w:t>;</w:t>
      </w:r>
    </w:p>
    <w:p>
      <w:pPr>
        <w:pStyle w:val="BodyText"/>
        <w:spacing w:line="218" w:lineRule="auto" w:before="92"/>
        <w:ind w:right="38"/>
      </w:pPr>
      <w:r>
        <w:rPr>
          <w:color w:val="231F20"/>
        </w:rPr>
        <w:t>2° dans un organe de presse de diffusion nationale, papier ou électronique;</w:t>
      </w:r>
    </w:p>
    <w:p>
      <w:pPr>
        <w:pStyle w:val="BodyText"/>
        <w:spacing w:line="218" w:lineRule="auto" w:before="96"/>
        <w:ind w:right="38"/>
      </w:pPr>
      <w:r>
        <w:rPr>
          <w:color w:val="231F20"/>
        </w:rPr>
        <w:t>3° lorsque la société dispose d’un site internet visé à l’article 2:31, sur le site internet de la société.</w:t>
      </w:r>
    </w:p>
    <w:p>
      <w:pPr>
        <w:pStyle w:val="BodyText"/>
        <w:spacing w:before="82"/>
        <w:ind w:left="283" w:right="0" w:firstLine="0"/>
        <w:jc w:val="left"/>
      </w:pPr>
      <w:r>
        <w:rPr>
          <w:color w:val="231F20"/>
        </w:rPr>
        <w:t>Section 4. Participation à l’assemblée générale des obligataires.</w:t>
      </w:r>
    </w:p>
    <w:p>
      <w:pPr>
        <w:pStyle w:val="BodyText"/>
        <w:spacing w:before="7"/>
        <w:ind w:left="0" w:right="0" w:firstLine="0"/>
        <w:jc w:val="left"/>
        <w:rPr>
          <w:sz w:val="24"/>
        </w:rPr>
      </w:pPr>
    </w:p>
    <w:p>
      <w:pPr>
        <w:pStyle w:val="BodyText"/>
        <w:spacing w:line="218" w:lineRule="auto"/>
        <w:ind w:right="38"/>
      </w:pPr>
      <w:r>
        <w:rPr>
          <w:color w:val="231F20"/>
        </w:rPr>
        <w:t>Art.</w:t>
      </w:r>
      <w:r>
        <w:rPr>
          <w:color w:val="231F20"/>
          <w:spacing w:val="-3"/>
        </w:rPr>
        <w:t> </w:t>
      </w:r>
      <w:r>
        <w:rPr>
          <w:color w:val="231F20"/>
        </w:rPr>
        <w:t>6:97.</w:t>
      </w:r>
      <w:r>
        <w:rPr>
          <w:color w:val="231F20"/>
          <w:spacing w:val="-3"/>
        </w:rPr>
        <w:t> </w:t>
      </w:r>
      <w:r>
        <w:rPr>
          <w:color w:val="231F20"/>
        </w:rPr>
        <w:t>Les</w:t>
      </w:r>
      <w:r>
        <w:rPr>
          <w:color w:val="231F20"/>
          <w:spacing w:val="-3"/>
        </w:rPr>
        <w:t> </w:t>
      </w:r>
      <w:r>
        <w:rPr>
          <w:color w:val="231F20"/>
        </w:rPr>
        <w:t>statuts</w:t>
      </w:r>
      <w:r>
        <w:rPr>
          <w:color w:val="231F20"/>
          <w:spacing w:val="-3"/>
        </w:rPr>
        <w:t> </w:t>
      </w:r>
      <w:r>
        <w:rPr>
          <w:color w:val="231F20"/>
        </w:rPr>
        <w:t>déterminent</w:t>
      </w:r>
      <w:r>
        <w:rPr>
          <w:color w:val="231F20"/>
          <w:spacing w:val="-3"/>
        </w:rPr>
        <w:t> </w:t>
      </w:r>
      <w:r>
        <w:rPr>
          <w:color w:val="231F20"/>
        </w:rPr>
        <w:t>les</w:t>
      </w:r>
      <w:r>
        <w:rPr>
          <w:color w:val="231F20"/>
          <w:spacing w:val="-4"/>
        </w:rPr>
        <w:t> </w:t>
      </w:r>
      <w:r>
        <w:rPr>
          <w:color w:val="231F20"/>
        </w:rPr>
        <w:t>formalités</w:t>
      </w:r>
      <w:r>
        <w:rPr>
          <w:color w:val="231F20"/>
          <w:spacing w:val="-3"/>
        </w:rPr>
        <w:t> </w:t>
      </w:r>
      <w:r>
        <w:rPr>
          <w:color w:val="231F20"/>
        </w:rPr>
        <w:t>à</w:t>
      </w:r>
      <w:r>
        <w:rPr>
          <w:color w:val="231F20"/>
          <w:spacing w:val="-3"/>
        </w:rPr>
        <w:t> </w:t>
      </w:r>
      <w:r>
        <w:rPr>
          <w:color w:val="231F20"/>
        </w:rPr>
        <w:t>accomplir</w:t>
      </w:r>
      <w:r>
        <w:rPr>
          <w:color w:val="231F20"/>
          <w:spacing w:val="-3"/>
        </w:rPr>
        <w:t> </w:t>
      </w:r>
      <w:r>
        <w:rPr>
          <w:color w:val="231F20"/>
        </w:rPr>
        <w:t>pour</w:t>
      </w:r>
      <w:r>
        <w:rPr>
          <w:color w:val="231F20"/>
          <w:spacing w:val="-3"/>
        </w:rPr>
        <w:t> </w:t>
      </w:r>
      <w:r>
        <w:rPr>
          <w:color w:val="231F20"/>
        </w:rPr>
        <w:t>être admis</w:t>
      </w:r>
      <w:r>
        <w:rPr>
          <w:color w:val="231F20"/>
          <w:spacing w:val="15"/>
        </w:rPr>
        <w:t> </w:t>
      </w:r>
      <w:r>
        <w:rPr>
          <w:color w:val="231F20"/>
        </w:rPr>
        <w:t>à</w:t>
      </w:r>
      <w:r>
        <w:rPr>
          <w:color w:val="231F20"/>
          <w:spacing w:val="15"/>
        </w:rPr>
        <w:t> </w:t>
      </w:r>
      <w:r>
        <w:rPr>
          <w:color w:val="231F20"/>
        </w:rPr>
        <w:t>l’assemblée</w:t>
      </w:r>
      <w:r>
        <w:rPr>
          <w:color w:val="231F20"/>
          <w:spacing w:val="16"/>
        </w:rPr>
        <w:t> </w:t>
      </w:r>
      <w:r>
        <w:rPr>
          <w:color w:val="231F20"/>
        </w:rPr>
        <w:t>générale</w:t>
      </w:r>
      <w:r>
        <w:rPr>
          <w:color w:val="231F20"/>
          <w:spacing w:val="15"/>
        </w:rPr>
        <w:t> </w:t>
      </w:r>
      <w:r>
        <w:rPr>
          <w:color w:val="231F20"/>
        </w:rPr>
        <w:t>des</w:t>
      </w:r>
      <w:r>
        <w:rPr>
          <w:color w:val="231F20"/>
          <w:spacing w:val="15"/>
        </w:rPr>
        <w:t> </w:t>
      </w:r>
      <w:r>
        <w:rPr>
          <w:color w:val="231F20"/>
        </w:rPr>
        <w:t>obligataires.</w:t>
      </w:r>
    </w:p>
    <w:p>
      <w:pPr>
        <w:pStyle w:val="BodyText"/>
        <w:spacing w:before="10"/>
        <w:ind w:left="0" w:right="0" w:firstLine="0"/>
        <w:jc w:val="left"/>
        <w:rPr>
          <w:sz w:val="24"/>
        </w:rPr>
      </w:pPr>
    </w:p>
    <w:p>
      <w:pPr>
        <w:pStyle w:val="BodyText"/>
        <w:spacing w:line="218" w:lineRule="auto"/>
        <w:ind w:right="38"/>
      </w:pPr>
      <w:r>
        <w:rPr>
          <w:color w:val="231F20"/>
        </w:rPr>
        <w:t>Art. 6:98. Les statuts peuvent étendre le régime de participation à distance visé à l’article 6:75, aux mêmes conditions, à l’assemblée générale des obligataires.</w:t>
      </w:r>
    </w:p>
    <w:p>
      <w:pPr>
        <w:pStyle w:val="BodyText"/>
        <w:spacing w:before="93"/>
        <w:ind w:left="283" w:right="0" w:firstLine="0"/>
        <w:jc w:val="left"/>
      </w:pPr>
      <w:r>
        <w:rPr>
          <w:color w:val="231F20"/>
        </w:rPr>
        <w:t>Section 5. Tenue de l’assemblée générale des obligataires.</w:t>
      </w:r>
    </w:p>
    <w:p>
      <w:pPr>
        <w:pStyle w:val="BodyText"/>
        <w:spacing w:before="6"/>
        <w:ind w:left="0" w:right="0" w:firstLine="0"/>
        <w:jc w:val="left"/>
        <w:rPr>
          <w:sz w:val="24"/>
        </w:rPr>
      </w:pPr>
    </w:p>
    <w:p>
      <w:pPr>
        <w:pStyle w:val="BodyText"/>
        <w:spacing w:line="218" w:lineRule="auto"/>
        <w:ind w:right="38"/>
      </w:pPr>
      <w:r>
        <w:rPr>
          <w:color w:val="231F20"/>
        </w:rPr>
        <w:t>Art.</w:t>
      </w:r>
      <w:r>
        <w:rPr>
          <w:color w:val="231F20"/>
          <w:spacing w:val="-4"/>
        </w:rPr>
        <w:t> </w:t>
      </w:r>
      <w:r>
        <w:rPr>
          <w:color w:val="231F20"/>
        </w:rPr>
        <w:t>6:99.</w:t>
      </w:r>
      <w:r>
        <w:rPr>
          <w:color w:val="231F20"/>
          <w:spacing w:val="-4"/>
        </w:rPr>
        <w:t> </w:t>
      </w:r>
      <w:r>
        <w:rPr>
          <w:color w:val="231F20"/>
        </w:rPr>
        <w:t>Il</w:t>
      </w:r>
      <w:r>
        <w:rPr>
          <w:color w:val="231F20"/>
          <w:spacing w:val="-3"/>
        </w:rPr>
        <w:t> </w:t>
      </w:r>
      <w:r>
        <w:rPr>
          <w:color w:val="231F20"/>
        </w:rPr>
        <w:t>est</w:t>
      </w:r>
      <w:r>
        <w:rPr>
          <w:color w:val="231F20"/>
          <w:spacing w:val="-4"/>
        </w:rPr>
        <w:t> </w:t>
      </w:r>
      <w:r>
        <w:rPr>
          <w:color w:val="231F20"/>
        </w:rPr>
        <w:t>tenu</w:t>
      </w:r>
      <w:r>
        <w:rPr>
          <w:color w:val="231F20"/>
          <w:spacing w:val="-3"/>
        </w:rPr>
        <w:t> </w:t>
      </w:r>
      <w:r>
        <w:rPr>
          <w:color w:val="231F20"/>
        </w:rPr>
        <w:t>à</w:t>
      </w:r>
      <w:r>
        <w:rPr>
          <w:color w:val="231F20"/>
          <w:spacing w:val="-4"/>
        </w:rPr>
        <w:t> </w:t>
      </w:r>
      <w:r>
        <w:rPr>
          <w:color w:val="231F20"/>
        </w:rPr>
        <w:t>chaque</w:t>
      </w:r>
      <w:r>
        <w:rPr>
          <w:color w:val="231F20"/>
          <w:spacing w:val="-4"/>
        </w:rPr>
        <w:t> </w:t>
      </w:r>
      <w:r>
        <w:rPr>
          <w:color w:val="231F20"/>
        </w:rPr>
        <w:t>assemblée</w:t>
      </w:r>
      <w:r>
        <w:rPr>
          <w:color w:val="231F20"/>
          <w:spacing w:val="-3"/>
        </w:rPr>
        <w:t> </w:t>
      </w:r>
      <w:r>
        <w:rPr>
          <w:color w:val="231F20"/>
        </w:rPr>
        <w:t>générale</w:t>
      </w:r>
      <w:r>
        <w:rPr>
          <w:color w:val="231F20"/>
          <w:spacing w:val="-4"/>
        </w:rPr>
        <w:t> </w:t>
      </w:r>
      <w:r>
        <w:rPr>
          <w:color w:val="231F20"/>
        </w:rPr>
        <w:t>des</w:t>
      </w:r>
      <w:r>
        <w:rPr>
          <w:color w:val="231F20"/>
          <w:spacing w:val="-3"/>
        </w:rPr>
        <w:t> </w:t>
      </w:r>
      <w:r>
        <w:rPr>
          <w:color w:val="231F20"/>
        </w:rPr>
        <w:t>obligataires</w:t>
      </w:r>
      <w:r>
        <w:rPr>
          <w:color w:val="231F20"/>
          <w:spacing w:val="-4"/>
        </w:rPr>
        <w:t> </w:t>
      </w:r>
      <w:r>
        <w:rPr>
          <w:color w:val="231F20"/>
        </w:rPr>
        <w:t>une liste des</w:t>
      </w:r>
      <w:r>
        <w:rPr>
          <w:color w:val="231F20"/>
          <w:spacing w:val="-12"/>
        </w:rPr>
        <w:t> </w:t>
      </w:r>
      <w:r>
        <w:rPr>
          <w:color w:val="231F20"/>
        </w:rPr>
        <w:t>présences.</w:t>
      </w:r>
    </w:p>
    <w:p>
      <w:pPr>
        <w:pStyle w:val="BodyText"/>
        <w:spacing w:line="218" w:lineRule="auto" w:before="107"/>
        <w:ind w:right="38"/>
      </w:pPr>
      <w:r>
        <w:rPr>
          <w:color w:val="231F20"/>
        </w:rPr>
        <w:t>Art. 6:100. L’assemblée générale des obligataires ne peut</w:t>
      </w:r>
      <w:r>
        <w:rPr>
          <w:color w:val="231F20"/>
          <w:spacing w:val="-20"/>
        </w:rPr>
        <w:t> </w:t>
      </w:r>
      <w:r>
        <w:rPr>
          <w:color w:val="231F20"/>
        </w:rPr>
        <w:t>valablement délibérer et statuer que lorsque ses membres représentent la moitié au moins</w:t>
      </w:r>
      <w:r>
        <w:rPr>
          <w:color w:val="231F20"/>
          <w:spacing w:val="14"/>
        </w:rPr>
        <w:t> </w:t>
      </w:r>
      <w:r>
        <w:rPr>
          <w:color w:val="231F20"/>
        </w:rPr>
        <w:t>du</w:t>
      </w:r>
      <w:r>
        <w:rPr>
          <w:color w:val="231F20"/>
          <w:spacing w:val="15"/>
        </w:rPr>
        <w:t> </w:t>
      </w:r>
      <w:r>
        <w:rPr>
          <w:color w:val="231F20"/>
        </w:rPr>
        <w:t>montant</w:t>
      </w:r>
      <w:r>
        <w:rPr>
          <w:color w:val="231F20"/>
          <w:spacing w:val="14"/>
        </w:rPr>
        <w:t> </w:t>
      </w:r>
      <w:r>
        <w:rPr>
          <w:color w:val="231F20"/>
        </w:rPr>
        <w:t>des</w:t>
      </w:r>
      <w:r>
        <w:rPr>
          <w:color w:val="231F20"/>
          <w:spacing w:val="15"/>
        </w:rPr>
        <w:t> </w:t>
      </w:r>
      <w:r>
        <w:rPr>
          <w:color w:val="231F20"/>
        </w:rPr>
        <w:t>titres</w:t>
      </w:r>
      <w:r>
        <w:rPr>
          <w:color w:val="231F20"/>
          <w:spacing w:val="15"/>
        </w:rPr>
        <w:t> </w:t>
      </w:r>
      <w:r>
        <w:rPr>
          <w:color w:val="231F20"/>
        </w:rPr>
        <w:t>en</w:t>
      </w:r>
      <w:r>
        <w:rPr>
          <w:color w:val="231F20"/>
          <w:spacing w:val="14"/>
        </w:rPr>
        <w:t> </w:t>
      </w:r>
      <w:r>
        <w:rPr>
          <w:color w:val="231F20"/>
        </w:rPr>
        <w:t>circulation.</w:t>
      </w:r>
    </w:p>
    <w:p>
      <w:pPr>
        <w:pStyle w:val="BodyText"/>
        <w:spacing w:before="10"/>
        <w:ind w:left="0" w:right="0" w:firstLine="0"/>
        <w:jc w:val="left"/>
        <w:rPr>
          <w:sz w:val="24"/>
        </w:rPr>
      </w:pPr>
    </w:p>
    <w:p>
      <w:pPr>
        <w:pStyle w:val="BodyText"/>
        <w:spacing w:line="218" w:lineRule="auto"/>
        <w:ind w:right="38"/>
      </w:pPr>
      <w:r>
        <w:rPr>
          <w:color w:val="231F20"/>
        </w:rPr>
        <w:t>Si cette condition n’est pas remplie, une nouvelle convocation est nécessaire et la deuxième assemblée délibère et décide valablement, quel que soit le montant représenté des titres en circulation.</w:t>
      </w:r>
    </w:p>
    <w:p>
      <w:pPr>
        <w:pStyle w:val="BodyText"/>
        <w:spacing w:before="105"/>
        <w:ind w:left="283" w:right="0" w:firstLine="0"/>
        <w:jc w:val="left"/>
      </w:pPr>
      <w:r>
        <w:rPr/>
        <w:br w:type="column"/>
      </w:r>
      <w:r>
        <w:rPr>
          <w:color w:val="231F20"/>
        </w:rPr>
        <w:t>Afdeling 2. Bevoegdheid.</w:t>
      </w:r>
    </w:p>
    <w:p>
      <w:pPr>
        <w:pStyle w:val="BodyText"/>
        <w:spacing w:line="218" w:lineRule="auto" w:before="93"/>
      </w:pPr>
      <w:r>
        <w:rPr>
          <w:color w:val="231F20"/>
        </w:rPr>
        <w:t>Art. 6:93. De algemene vergadering van obligatiehouders is bevoegd om de uitgiftevoorwaarden te wijzigen. Zij is onder meer bevoegd om:</w:t>
      </w:r>
    </w:p>
    <w:p>
      <w:pPr>
        <w:pStyle w:val="BodyText"/>
        <w:spacing w:line="218" w:lineRule="auto" w:before="96"/>
      </w:pPr>
      <w:r>
        <w:rPr>
          <w:color w:val="231F20"/>
        </w:rPr>
        <w:t>1° een of meer rentetermijnen te verlengen, in de verlaging van de rentevoet toe te stemmen of de voorwaarden van betaling van de rente te wijzigen;</w:t>
      </w:r>
    </w:p>
    <w:p>
      <w:pPr>
        <w:pStyle w:val="BodyText"/>
        <w:spacing w:line="218" w:lineRule="auto" w:before="96"/>
      </w:pPr>
      <w:r>
        <w:rPr>
          <w:color w:val="231F20"/>
        </w:rPr>
        <w:t>2° de aflossing te verlengen, de aflossing te schorsen en toe te stemmen in een wijziging van de voorwaarden waaronder zij moet gebeuren;</w:t>
      </w:r>
    </w:p>
    <w:p>
      <w:pPr>
        <w:pStyle w:val="BodyText"/>
        <w:spacing w:line="218" w:lineRule="auto" w:before="97"/>
      </w:pPr>
      <w:r>
        <w:rPr>
          <w:color w:val="231F20"/>
        </w:rPr>
        <w:t>3° te aanvaarden dat de schuldvorderingen van de obligatiehouders worden vervangen door aandelen; dergelijk besluit blijft zonder gevolg wanneer het niet binnen drie maanden door een statutenwijziging is goedgekeurd, tenzij de algemene vergadering van aandeelhouders vooraf haar toestemming heeft gegeven met inachtneming van de voorschriften voor statutenwijziging;</w:t>
      </w:r>
    </w:p>
    <w:p>
      <w:pPr>
        <w:pStyle w:val="BodyText"/>
        <w:spacing w:line="218" w:lineRule="auto" w:before="96"/>
      </w:pPr>
      <w:r>
        <w:rPr>
          <w:color w:val="231F20"/>
        </w:rPr>
        <w:t>4° regelingen te aanvaarden om bijzondere zekerheden te stellen ten gunste van de obligatiehouders of de reeds gestelde zekerheden te wijzigen of op te heffen.</w:t>
      </w:r>
    </w:p>
    <w:p>
      <w:pPr>
        <w:pStyle w:val="BodyText"/>
        <w:spacing w:line="218" w:lineRule="auto" w:before="96"/>
      </w:pPr>
      <w:r>
        <w:rPr>
          <w:color w:val="231F20"/>
        </w:rPr>
        <w:t>Art. 6:94. Geen enkel besluit van de algemene vergadering van obligatiehouders tot wijziging van de uitgiftevoorwaarden heeft uit- werking zonder de uitdrukkelijke instemming van de vennootschap.</w:t>
      </w:r>
    </w:p>
    <w:p>
      <w:pPr>
        <w:pStyle w:val="BodyText"/>
        <w:spacing w:line="218" w:lineRule="auto" w:before="96"/>
      </w:pPr>
      <w:r>
        <w:rPr>
          <w:color w:val="231F20"/>
        </w:rPr>
        <w:t>De algemene vergadering van obligatiehouders kan, met gewone meerderheid van stemmen, zonder toestemming van de vennootschap bewarende maatregelen nemen.</w:t>
      </w:r>
    </w:p>
    <w:p>
      <w:pPr>
        <w:pStyle w:val="BodyText"/>
        <w:spacing w:line="218" w:lineRule="auto" w:before="97"/>
      </w:pPr>
      <w:r>
        <w:rPr>
          <w:color w:val="231F20"/>
        </w:rPr>
        <w:t>Afdeling 3. Bijeenroeping van de algemene vergadering van obliga- tiehouders.</w:t>
      </w:r>
    </w:p>
    <w:p>
      <w:pPr>
        <w:pStyle w:val="BodyText"/>
        <w:spacing w:line="218" w:lineRule="auto" w:before="96"/>
      </w:pPr>
      <w:r>
        <w:rPr>
          <w:color w:val="231F20"/>
        </w:rPr>
        <w:t>Art. 6:95. Het bestuursorgaan en, in voorkomend geval, de commis- saris, kunnen een algemene vergadering van de obligatiehouders bijeenroepen en haar agenda bepalen.</w:t>
      </w:r>
    </w:p>
    <w:p>
      <w:pPr>
        <w:pStyle w:val="BodyText"/>
        <w:spacing w:line="218" w:lineRule="auto" w:before="96"/>
      </w:pPr>
      <w:r>
        <w:rPr>
          <w:color w:val="231F20"/>
        </w:rPr>
        <w:t>Zij zijn verplicht de algemene vergadering van obligatiehouders binnen drie weken bijeen te roepen wanneer obligatiehouders die een vijfde van het bedrag van de in omloop zijnde effecten vertegenwoor- digen, dat vragen, met ten minste de door de betrokken obligatiehou- ders voorgestelde</w:t>
      </w:r>
      <w:r>
        <w:rPr>
          <w:color w:val="231F20"/>
          <w:spacing w:val="-10"/>
        </w:rPr>
        <w:t> </w:t>
      </w:r>
      <w:r>
        <w:rPr>
          <w:color w:val="231F20"/>
        </w:rPr>
        <w:t>agendapunten.</w:t>
      </w:r>
    </w:p>
    <w:p>
      <w:pPr>
        <w:pStyle w:val="BodyText"/>
        <w:spacing w:line="218" w:lineRule="auto" w:before="96"/>
      </w:pPr>
      <w:r>
        <w:rPr>
          <w:color w:val="231F20"/>
        </w:rPr>
        <w:t>Art. 6:96. § 1. De oproeping tot de algemene vergadering bevat de agenda en wordt gedaan door middel van een aankondiging geplaatst  in het </w:t>
      </w:r>
      <w:r>
        <w:rPr>
          <w:rFonts w:ascii="Times New Roman" w:hAnsi="Times New Roman"/>
          <w:i/>
          <w:color w:val="231F20"/>
        </w:rPr>
        <w:t>Belgisch Staatsblad </w:t>
      </w:r>
      <w:r>
        <w:rPr>
          <w:color w:val="231F20"/>
        </w:rPr>
        <w:t>en in een nationaal uitgegeven blad, op papier of elektronisch, ten minste vijftien dagen voor de vergadering, of dertig dagen indien de obligaties zijn toegelaten tot de verhandeling op een gereglementeerde markt. Aan de obligatiehouders op naam worden de oproepingen vijftien dagen voor de vergadering medegedeeld; deze mededeling gebeurt overeenkomstig artikel 2:32. </w:t>
      </w:r>
      <w:r>
        <w:rPr>
          <w:color w:val="231F20"/>
          <w:spacing w:val="-3"/>
        </w:rPr>
        <w:t>Wanneer </w:t>
      </w:r>
      <w:r>
        <w:rPr>
          <w:color w:val="231F20"/>
        </w:rPr>
        <w:t>alle obliga- ties op naam zijn, volstaat deze mededeling. De agenda bevat de te behandelen onderwerpen en de voorstellen van besluiten die aan de vergadering worden</w:t>
      </w:r>
      <w:r>
        <w:rPr>
          <w:color w:val="231F20"/>
          <w:spacing w:val="-9"/>
        </w:rPr>
        <w:t> </w:t>
      </w:r>
      <w:r>
        <w:rPr>
          <w:color w:val="231F20"/>
        </w:rPr>
        <w:t>voorgelegd.</w:t>
      </w:r>
    </w:p>
    <w:p>
      <w:pPr>
        <w:pStyle w:val="BodyText"/>
        <w:spacing w:line="218" w:lineRule="auto" w:before="95"/>
      </w:pPr>
      <w:r>
        <w:rPr>
          <w:color w:val="231F20"/>
        </w:rPr>
        <w:t>§ 2. Heeft de vennootschap gedematerialiseerde obligaties uitgege- ven, dan gebeurt de oproeping door middel van een aankondiging die ten minste vijftien dagen vóór de vergadering wordt geplaatst:</w:t>
      </w:r>
    </w:p>
    <w:p>
      <w:pPr>
        <w:spacing w:before="79"/>
        <w:ind w:left="283" w:right="0" w:firstLine="0"/>
        <w:jc w:val="left"/>
        <w:rPr>
          <w:sz w:val="17"/>
        </w:rPr>
      </w:pPr>
      <w:r>
        <w:rPr>
          <w:color w:val="231F20"/>
          <w:sz w:val="17"/>
        </w:rPr>
        <w:t>1° in het </w:t>
      </w:r>
      <w:r>
        <w:rPr>
          <w:rFonts w:ascii="Times New Roman" w:hAnsi="Times New Roman"/>
          <w:i/>
          <w:color w:val="231F20"/>
          <w:sz w:val="17"/>
        </w:rPr>
        <w:t>Belgisch Staatsblad</w:t>
      </w:r>
      <w:r>
        <w:rPr>
          <w:color w:val="231F20"/>
          <w:sz w:val="17"/>
        </w:rPr>
        <w:t>;</w:t>
      </w:r>
    </w:p>
    <w:p>
      <w:pPr>
        <w:pStyle w:val="BodyText"/>
        <w:spacing w:before="79"/>
        <w:ind w:left="283" w:right="0" w:firstLine="0"/>
        <w:jc w:val="left"/>
      </w:pPr>
      <w:r>
        <w:rPr>
          <w:color w:val="231F20"/>
        </w:rPr>
        <w:t>2° in een nationaal verspreid blad, op papier of elektronisch;</w:t>
      </w:r>
    </w:p>
    <w:p>
      <w:pPr>
        <w:pStyle w:val="BodyText"/>
        <w:spacing w:before="7"/>
        <w:ind w:left="0" w:right="0" w:firstLine="0"/>
        <w:jc w:val="left"/>
        <w:rPr>
          <w:sz w:val="23"/>
        </w:rPr>
      </w:pPr>
    </w:p>
    <w:p>
      <w:pPr>
        <w:pStyle w:val="BodyText"/>
        <w:spacing w:line="218" w:lineRule="auto"/>
      </w:pPr>
      <w:r>
        <w:rPr>
          <w:color w:val="231F20"/>
        </w:rPr>
        <w:t>3° als de vennootschap een vennootschapswebsite heeft als bedoeld in</w:t>
      </w:r>
      <w:r>
        <w:rPr>
          <w:color w:val="231F20"/>
          <w:spacing w:val="15"/>
        </w:rPr>
        <w:t> </w:t>
      </w:r>
      <w:r>
        <w:rPr>
          <w:color w:val="231F20"/>
        </w:rPr>
        <w:t>artikel</w:t>
      </w:r>
      <w:r>
        <w:rPr>
          <w:color w:val="231F20"/>
          <w:spacing w:val="15"/>
        </w:rPr>
        <w:t> </w:t>
      </w:r>
      <w:r>
        <w:rPr>
          <w:color w:val="231F20"/>
        </w:rPr>
        <w:t>2:31,</w:t>
      </w:r>
      <w:r>
        <w:rPr>
          <w:color w:val="231F20"/>
          <w:spacing w:val="15"/>
        </w:rPr>
        <w:t> </w:t>
      </w:r>
      <w:r>
        <w:rPr>
          <w:color w:val="231F20"/>
        </w:rPr>
        <w:t>op</w:t>
      </w:r>
      <w:r>
        <w:rPr>
          <w:color w:val="231F20"/>
          <w:spacing w:val="15"/>
        </w:rPr>
        <w:t> </w:t>
      </w:r>
      <w:r>
        <w:rPr>
          <w:color w:val="231F20"/>
        </w:rPr>
        <w:t>de</w:t>
      </w:r>
      <w:r>
        <w:rPr>
          <w:color w:val="231F20"/>
          <w:spacing w:val="15"/>
        </w:rPr>
        <w:t> </w:t>
      </w:r>
      <w:r>
        <w:rPr>
          <w:color w:val="231F20"/>
        </w:rPr>
        <w:t>vennootschapswebsite.</w:t>
      </w:r>
    </w:p>
    <w:p>
      <w:pPr>
        <w:pStyle w:val="BodyText"/>
        <w:spacing w:line="218" w:lineRule="auto" w:before="96"/>
      </w:pPr>
      <w:r>
        <w:rPr>
          <w:color w:val="231F20"/>
        </w:rPr>
        <w:t>Afdeling 4. Deelneming aan de algemene vergadering van obligatie- houders.</w:t>
      </w:r>
    </w:p>
    <w:p>
      <w:pPr>
        <w:pStyle w:val="BodyText"/>
        <w:spacing w:line="218" w:lineRule="auto" w:before="107"/>
      </w:pPr>
      <w:r>
        <w:rPr>
          <w:color w:val="231F20"/>
        </w:rPr>
        <w:t>Art. 6:97. De statuten bepalen de formaliteiten die moeten worden vervuld om tot de algemene vergadering van obligatiehouders te worden</w:t>
      </w:r>
      <w:r>
        <w:rPr>
          <w:color w:val="231F20"/>
          <w:spacing w:val="15"/>
        </w:rPr>
        <w:t> </w:t>
      </w:r>
      <w:r>
        <w:rPr>
          <w:color w:val="231F20"/>
        </w:rPr>
        <w:t>toegelaten.</w:t>
      </w:r>
    </w:p>
    <w:p>
      <w:pPr>
        <w:pStyle w:val="BodyText"/>
        <w:spacing w:line="218" w:lineRule="auto" w:before="106"/>
      </w:pPr>
      <w:r>
        <w:rPr>
          <w:color w:val="231F20"/>
        </w:rPr>
        <w:t>Art. 6:98. De statuten kunnen de in artikel 6:75 bedoelde regeling voor deelname op afstand, onder dezelfde voorwaarden, uitbreiden tot de algemene vergadering van obligatiehouders.</w:t>
      </w:r>
    </w:p>
    <w:p>
      <w:pPr>
        <w:pStyle w:val="BodyText"/>
        <w:spacing w:line="218" w:lineRule="auto" w:before="107"/>
      </w:pPr>
      <w:r>
        <w:rPr>
          <w:color w:val="231F20"/>
        </w:rPr>
        <w:t>Afdeling 5. Verloop van de algemene vergadering van obligatiehou- ders.</w:t>
      </w:r>
    </w:p>
    <w:p>
      <w:pPr>
        <w:pStyle w:val="BodyText"/>
        <w:spacing w:line="218" w:lineRule="auto" w:before="107"/>
      </w:pPr>
      <w:r>
        <w:rPr>
          <w:color w:val="231F20"/>
        </w:rPr>
        <w:t>Art. 6:99. Op elke algemene vergadering van obligatiehouders wordt een aanwezigheidslijst bijgehouden.</w:t>
      </w:r>
    </w:p>
    <w:p>
      <w:pPr>
        <w:pStyle w:val="BodyText"/>
        <w:spacing w:line="218" w:lineRule="auto" w:before="107"/>
      </w:pPr>
      <w:r>
        <w:rPr>
          <w:color w:val="231F20"/>
        </w:rPr>
        <w:t>Art. 6:100. De algemene vergadering van obligatiehouders kan alleen dan op geldige wijze beraadslagen en besluiten wanneer de aanwezige leden ten minste de helft van het bedrag van de in omloop zijnde effecten vertegenwoordigen.</w:t>
      </w:r>
    </w:p>
    <w:p>
      <w:pPr>
        <w:pStyle w:val="BodyText"/>
        <w:spacing w:line="218" w:lineRule="auto" w:before="107"/>
      </w:pPr>
      <w:r>
        <w:rPr>
          <w:color w:val="231F20"/>
          <w:w w:val="105"/>
        </w:rPr>
        <w:t>Is deze voorwaarde niet vervuld, dan is een nieuwe bijeenroeping nodig en de tweede vergadering beraadslaagt en besluit op geldige wijze, ongeacht het vertegenwoordigde bedrag van de effecten in omloop.</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4360" from="298.170502pt,64.473pt" to="298.170502pt,812.819pt" stroked="true" strokeweight=".533pt" strokecolor="#231f20">
            <v:stroke dashstyle="solid"/>
            <w10:wrap type="none"/>
          </v:line>
        </w:pict>
      </w:r>
      <w:bookmarkStart w:name="_bookmark139" w:id="144"/>
      <w:bookmarkEnd w:id="144"/>
      <w:r>
        <w:rPr/>
      </w:r>
      <w:r>
        <w:rPr>
          <w:color w:val="231F20"/>
        </w:rPr>
        <w:t>Une proposition n’est acceptée que lorsqu’elle est approuvée par des obligataires présents ou représentés dont les voix représentant les trois quarts au moins du montant des obligations pour lesquelles il est pris part au vote.</w:t>
      </w:r>
    </w:p>
    <w:p>
      <w:pPr>
        <w:pStyle w:val="BodyText"/>
        <w:spacing w:before="1"/>
        <w:ind w:left="0" w:right="0" w:firstLine="0"/>
        <w:jc w:val="left"/>
        <w:rPr>
          <w:sz w:val="24"/>
        </w:rPr>
      </w:pPr>
    </w:p>
    <w:p>
      <w:pPr>
        <w:pStyle w:val="BodyText"/>
        <w:spacing w:line="216" w:lineRule="auto"/>
        <w:ind w:right="38"/>
      </w:pPr>
      <w:r>
        <w:rPr>
          <w:color w:val="231F20"/>
        </w:rPr>
        <w:t>Sauf si toutes les obligations sont nominatives, les décisions prises sont publiées, dans les quinze jours, aux Annexes du </w:t>
      </w:r>
      <w:r>
        <w:rPr>
          <w:rFonts w:ascii="Times New Roman" w:hAnsi="Times New Roman"/>
          <w:i/>
          <w:color w:val="231F20"/>
        </w:rPr>
        <w:t>Moniteur belge</w:t>
      </w:r>
      <w:r>
        <w:rPr>
          <w:color w:val="231F20"/>
        </w:rPr>
        <w:t>.</w:t>
      </w:r>
    </w:p>
    <w:p>
      <w:pPr>
        <w:pStyle w:val="BodyText"/>
        <w:spacing w:before="10"/>
        <w:ind w:left="0" w:right="0" w:firstLine="0"/>
        <w:jc w:val="left"/>
        <w:rPr>
          <w:sz w:val="23"/>
        </w:rPr>
      </w:pPr>
    </w:p>
    <w:p>
      <w:pPr>
        <w:pStyle w:val="BodyText"/>
        <w:spacing w:line="218" w:lineRule="auto"/>
        <w:ind w:right="38"/>
      </w:pPr>
      <w:r>
        <w:rPr>
          <w:color w:val="231F20"/>
        </w:rPr>
        <w:t>Art. 6:101. Lorsqu’il existe plusieurs classes d’obligations et que la décision de l’assemblée générale des obligataires est de nature à modifier leurs droits respectifs, les obligataires de chacune des classes doivent être convoqués en assemblée spéciale et il convient de réunir dans chaque classe les conditions de présence et de majorité requises par l’article 6:100.</w:t>
      </w:r>
    </w:p>
    <w:p>
      <w:pPr>
        <w:pStyle w:val="BodyText"/>
        <w:ind w:left="0" w:right="0" w:firstLine="0"/>
        <w:jc w:val="left"/>
        <w:rPr>
          <w:sz w:val="24"/>
        </w:rPr>
      </w:pPr>
    </w:p>
    <w:p>
      <w:pPr>
        <w:pStyle w:val="BodyText"/>
        <w:spacing w:line="218" w:lineRule="auto"/>
        <w:ind w:right="38"/>
      </w:pPr>
      <w:r>
        <w:rPr>
          <w:color w:val="231F20"/>
        </w:rPr>
        <w:t>Art. 6:102. Les procès-verbaux des assemblées générales des obliga- taires sont signés par les membres du bureau et par les obligataires qui le demandent; les copies à délivrer aux tiers sont signées par un ou plusieurs membres de l’organe d’administration ayant le pouvoir de représentation.</w:t>
      </w:r>
    </w:p>
    <w:p>
      <w:pPr>
        <w:pStyle w:val="BodyText"/>
        <w:spacing w:line="218" w:lineRule="auto" w:before="96"/>
        <w:ind w:right="38"/>
      </w:pPr>
      <w:r>
        <w:rPr>
          <w:color w:val="231F20"/>
        </w:rPr>
        <w:t>Art. 6:103. Moyennant le respect des formalités de convocation</w:t>
      </w:r>
      <w:r>
        <w:rPr>
          <w:color w:val="231F20"/>
          <w:spacing w:val="-16"/>
        </w:rPr>
        <w:t> </w:t>
      </w:r>
      <w:r>
        <w:rPr>
          <w:color w:val="231F20"/>
        </w:rPr>
        <w:t>visées aux articles 6:95 et 6:96, toutes les décisions qui relèvent du pouvoir de l’assemblée générale des obligataires peuvent être prises par voie électronique ou par accord écrit. Aucune décision n’est admise dans ce cas que si l’accord est obtenu, par voie électronique ou par accord écrit, d’obligataires représentant les trois quarts au moins du montant des obligations</w:t>
      </w:r>
      <w:r>
        <w:rPr>
          <w:color w:val="231F20"/>
          <w:spacing w:val="14"/>
        </w:rPr>
        <w:t> </w:t>
      </w:r>
      <w:r>
        <w:rPr>
          <w:color w:val="231F20"/>
        </w:rPr>
        <w:t>existantes.</w:t>
      </w:r>
    </w:p>
    <w:p>
      <w:pPr>
        <w:pStyle w:val="BodyText"/>
        <w:spacing w:before="11"/>
        <w:ind w:left="0" w:right="0" w:firstLine="0"/>
        <w:jc w:val="left"/>
        <w:rPr>
          <w:sz w:val="24"/>
        </w:rPr>
      </w:pPr>
    </w:p>
    <w:p>
      <w:pPr>
        <w:pStyle w:val="BodyText"/>
        <w:spacing w:line="201" w:lineRule="auto"/>
        <w:ind w:right="38"/>
      </w:pPr>
      <w:r>
        <w:rPr>
          <w:color w:val="231F20"/>
        </w:rPr>
        <w:t>Le Roi peut préciser la nature et les conditions d’application de la voie</w:t>
      </w:r>
      <w:r>
        <w:rPr>
          <w:color w:val="231F20"/>
          <w:spacing w:val="17"/>
        </w:rPr>
        <w:t> </w:t>
      </w:r>
      <w:r>
        <w:rPr>
          <w:color w:val="231F20"/>
        </w:rPr>
        <w:t>électronique</w:t>
      </w:r>
      <w:r>
        <w:rPr>
          <w:color w:val="231F20"/>
          <w:spacing w:val="17"/>
        </w:rPr>
        <w:t> </w:t>
      </w:r>
      <w:r>
        <w:rPr>
          <w:color w:val="231F20"/>
        </w:rPr>
        <w:t>et</w:t>
      </w:r>
      <w:r>
        <w:rPr>
          <w:color w:val="231F20"/>
          <w:spacing w:val="17"/>
        </w:rPr>
        <w:t> </w:t>
      </w:r>
      <w:r>
        <w:rPr>
          <w:color w:val="231F20"/>
        </w:rPr>
        <w:t>de</w:t>
      </w:r>
      <w:r>
        <w:rPr>
          <w:color w:val="231F20"/>
          <w:spacing w:val="17"/>
        </w:rPr>
        <w:t> </w:t>
      </w:r>
      <w:r>
        <w:rPr>
          <w:color w:val="231F20"/>
        </w:rPr>
        <w:t>l’accord</w:t>
      </w:r>
      <w:r>
        <w:rPr>
          <w:color w:val="231F20"/>
          <w:spacing w:val="18"/>
        </w:rPr>
        <w:t> </w:t>
      </w:r>
      <w:r>
        <w:rPr>
          <w:color w:val="231F20"/>
        </w:rPr>
        <w:t>écrit</w:t>
      </w:r>
      <w:r>
        <w:rPr>
          <w:color w:val="231F20"/>
          <w:spacing w:val="17"/>
        </w:rPr>
        <w:t> </w:t>
      </w:r>
      <w:r>
        <w:rPr>
          <w:color w:val="231F20"/>
        </w:rPr>
        <w:t>à</w:t>
      </w:r>
      <w:r>
        <w:rPr>
          <w:color w:val="231F20"/>
          <w:spacing w:val="17"/>
        </w:rPr>
        <w:t> </w:t>
      </w:r>
      <w:r>
        <w:rPr>
          <w:color w:val="231F20"/>
        </w:rPr>
        <w:t>obtenir</w:t>
      </w:r>
      <w:r>
        <w:rPr>
          <w:color w:val="231F20"/>
          <w:spacing w:val="17"/>
        </w:rPr>
        <w:t> </w:t>
      </w:r>
      <w:r>
        <w:rPr>
          <w:color w:val="231F20"/>
        </w:rPr>
        <w:t>visés</w:t>
      </w:r>
      <w:r>
        <w:rPr>
          <w:color w:val="231F20"/>
          <w:spacing w:val="17"/>
        </w:rPr>
        <w:t> </w:t>
      </w:r>
      <w:r>
        <w:rPr>
          <w:color w:val="231F20"/>
        </w:rPr>
        <w:t>à</w:t>
      </w:r>
      <w:r>
        <w:rPr>
          <w:color w:val="231F20"/>
          <w:spacing w:val="18"/>
        </w:rPr>
        <w:t> </w:t>
      </w:r>
      <w:r>
        <w:rPr>
          <w:color w:val="231F20"/>
        </w:rPr>
        <w:t>l’alinéa</w:t>
      </w:r>
      <w:r>
        <w:rPr>
          <w:color w:val="231F20"/>
          <w:spacing w:val="17"/>
        </w:rPr>
        <w:t> </w:t>
      </w:r>
      <w:r>
        <w:rPr>
          <w:color w:val="231F20"/>
        </w:rPr>
        <w:t>1</w:t>
      </w:r>
      <w:r>
        <w:rPr>
          <w:color w:val="231F20"/>
          <w:position w:val="7"/>
          <w:sz w:val="11"/>
        </w:rPr>
        <w:t>er</w:t>
      </w:r>
      <w:r>
        <w:rPr>
          <w:color w:val="231F20"/>
        </w:rPr>
        <w:t>.</w:t>
      </w:r>
    </w:p>
    <w:p>
      <w:pPr>
        <w:pStyle w:val="BodyText"/>
        <w:spacing w:before="8"/>
        <w:ind w:left="0" w:right="0" w:firstLine="0"/>
        <w:jc w:val="left"/>
        <w:rPr>
          <w:sz w:val="22"/>
        </w:rPr>
      </w:pPr>
    </w:p>
    <w:p>
      <w:pPr>
        <w:pStyle w:val="BodyText"/>
        <w:ind w:left="283" w:right="0" w:firstLine="0"/>
        <w:jc w:val="left"/>
      </w:pPr>
      <w:r>
        <w:rPr>
          <w:color w:val="231F20"/>
        </w:rPr>
        <w:t>Section 6. Modalités de l’exercice du droit de vote.</w:t>
      </w:r>
    </w:p>
    <w:p>
      <w:pPr>
        <w:pStyle w:val="BodyText"/>
        <w:spacing w:line="218" w:lineRule="auto" w:before="93"/>
        <w:ind w:right="38"/>
      </w:pPr>
      <w:r>
        <w:rPr>
          <w:color w:val="231F20"/>
        </w:rPr>
        <w:t>Art. 6:104. Tous les obligataires peuvent voter en personne ou par procuration.</w:t>
      </w:r>
    </w:p>
    <w:p>
      <w:pPr>
        <w:pStyle w:val="BodyText"/>
        <w:spacing w:before="82"/>
        <w:ind w:left="283" w:right="0" w:firstLine="0"/>
        <w:jc w:val="left"/>
      </w:pPr>
      <w:r>
        <w:rPr>
          <w:color w:val="231F20"/>
        </w:rPr>
        <w:t>TITRE 5. Du patrimoine de la société.</w:t>
      </w:r>
    </w:p>
    <w:p>
      <w:pPr>
        <w:pStyle w:val="BodyText"/>
        <w:spacing w:line="319" w:lineRule="auto" w:before="64"/>
        <w:ind w:left="283" w:right="473" w:firstLine="0"/>
        <w:jc w:val="left"/>
      </w:pPr>
      <w:r>
        <w:rPr>
          <w:color w:val="231F20"/>
        </w:rPr>
        <w:t>CHAPITRE 1</w:t>
      </w:r>
      <w:r>
        <w:rPr>
          <w:color w:val="231F20"/>
          <w:position w:val="7"/>
          <w:sz w:val="11"/>
        </w:rPr>
        <w:t>er</w:t>
      </w:r>
      <w:r>
        <w:rPr>
          <w:color w:val="231F20"/>
        </w:rPr>
        <w:t>. Émission d’actions nouvelles et admission. Section 1</w:t>
      </w:r>
      <w:r>
        <w:rPr>
          <w:color w:val="231F20"/>
          <w:position w:val="7"/>
          <w:sz w:val="11"/>
        </w:rPr>
        <w:t>re</w:t>
      </w:r>
      <w:r>
        <w:rPr>
          <w:color w:val="231F20"/>
        </w:rPr>
        <w:t>. Dispositions communes.</w:t>
      </w:r>
    </w:p>
    <w:p>
      <w:pPr>
        <w:pStyle w:val="BodyText"/>
        <w:spacing w:line="218" w:lineRule="auto" w:before="29"/>
        <w:ind w:right="38"/>
      </w:pPr>
      <w:r>
        <w:rPr>
          <w:color w:val="231F20"/>
        </w:rPr>
        <w:t>Art. 6:105. Seules les personnes répondant aux conditions définies aux articles 6:52 et 6:54 pour pouvoir devenir actionnaire peuvent souscrire des actions nouvelles.</w:t>
      </w:r>
    </w:p>
    <w:p>
      <w:pPr>
        <w:pStyle w:val="BodyText"/>
        <w:spacing w:line="218" w:lineRule="auto" w:before="81"/>
        <w:ind w:right="38"/>
      </w:pPr>
      <w:r>
        <w:rPr>
          <w:color w:val="231F20"/>
        </w:rPr>
        <w:t>Art. 6:106. § 1</w:t>
      </w:r>
      <w:r>
        <w:rPr>
          <w:color w:val="231F20"/>
          <w:position w:val="7"/>
          <w:sz w:val="11"/>
        </w:rPr>
        <w:t>er</w:t>
      </w:r>
      <w:r>
        <w:rPr>
          <w:color w:val="231F20"/>
        </w:rPr>
        <w:t>. Nonobstant toute disposition statutaire contraire, les actionnaires peuvent souscrire à des actions sans modification statu- taire, le cas échéant dans les conditions prévues par les statuts.</w:t>
      </w:r>
    </w:p>
    <w:p>
      <w:pPr>
        <w:pStyle w:val="BodyText"/>
        <w:spacing w:before="10"/>
        <w:ind w:left="0" w:right="0" w:firstLine="0"/>
        <w:jc w:val="left"/>
        <w:rPr>
          <w:sz w:val="23"/>
        </w:rPr>
      </w:pPr>
    </w:p>
    <w:p>
      <w:pPr>
        <w:pStyle w:val="BodyText"/>
        <w:spacing w:line="218" w:lineRule="auto" w:before="1"/>
        <w:ind w:right="38"/>
      </w:pPr>
      <w:r>
        <w:rPr>
          <w:color w:val="231F20"/>
        </w:rPr>
        <w:t>Nonobstant toute disposition statutaire contraire, les tiers peuvent être admis sans modification statutaire en souscrivant à des actions</w:t>
      </w:r>
      <w:r>
        <w:rPr>
          <w:color w:val="231F20"/>
          <w:spacing w:val="-10"/>
        </w:rPr>
        <w:t> </w:t>
      </w:r>
      <w:r>
        <w:rPr>
          <w:color w:val="231F20"/>
        </w:rPr>
        <w:t>s’ils satisfont aux exigences statutaires pour devenir actionnaires. Les statuts peuvent prévoir que l’organe compétent peut refuser</w:t>
      </w:r>
      <w:r>
        <w:rPr>
          <w:color w:val="231F20"/>
          <w:spacing w:val="26"/>
        </w:rPr>
        <w:t> </w:t>
      </w:r>
      <w:r>
        <w:rPr>
          <w:color w:val="231F20"/>
        </w:rPr>
        <w:t>un candidat</w:t>
      </w:r>
      <w:r>
        <w:rPr>
          <w:color w:val="231F20"/>
          <w:spacing w:val="15"/>
        </w:rPr>
        <w:t> </w:t>
      </w:r>
      <w:r>
        <w:rPr>
          <w:color w:val="231F20"/>
        </w:rPr>
        <w:t>actionnaires</w:t>
      </w:r>
      <w:r>
        <w:rPr>
          <w:color w:val="231F20"/>
          <w:spacing w:val="15"/>
        </w:rPr>
        <w:t> </w:t>
      </w:r>
      <w:r>
        <w:rPr>
          <w:color w:val="231F20"/>
        </w:rPr>
        <w:t>à</w:t>
      </w:r>
      <w:r>
        <w:rPr>
          <w:color w:val="231F20"/>
          <w:spacing w:val="15"/>
        </w:rPr>
        <w:t> </w:t>
      </w:r>
      <w:r>
        <w:rPr>
          <w:color w:val="231F20"/>
        </w:rPr>
        <w:t>condition</w:t>
      </w:r>
      <w:r>
        <w:rPr>
          <w:color w:val="231F20"/>
          <w:spacing w:val="15"/>
        </w:rPr>
        <w:t> </w:t>
      </w:r>
      <w:r>
        <w:rPr>
          <w:color w:val="231F20"/>
        </w:rPr>
        <w:t>de</w:t>
      </w:r>
      <w:r>
        <w:rPr>
          <w:color w:val="231F20"/>
          <w:spacing w:val="15"/>
        </w:rPr>
        <w:t> </w:t>
      </w:r>
      <w:r>
        <w:rPr>
          <w:color w:val="231F20"/>
        </w:rPr>
        <w:t>motiver</w:t>
      </w:r>
      <w:r>
        <w:rPr>
          <w:color w:val="231F20"/>
          <w:spacing w:val="15"/>
        </w:rPr>
        <w:t> </w:t>
      </w:r>
      <w:r>
        <w:rPr>
          <w:color w:val="231F20"/>
        </w:rPr>
        <w:t>son</w:t>
      </w:r>
      <w:r>
        <w:rPr>
          <w:color w:val="231F20"/>
          <w:spacing w:val="15"/>
        </w:rPr>
        <w:t> </w:t>
      </w:r>
      <w:r>
        <w:rPr>
          <w:color w:val="231F20"/>
        </w:rPr>
        <w:t>refus.</w:t>
      </w:r>
    </w:p>
    <w:p>
      <w:pPr>
        <w:pStyle w:val="BodyText"/>
        <w:spacing w:before="10"/>
        <w:ind w:left="0" w:right="0" w:firstLine="0"/>
        <w:jc w:val="left"/>
        <w:rPr>
          <w:sz w:val="24"/>
        </w:rPr>
      </w:pPr>
    </w:p>
    <w:p>
      <w:pPr>
        <w:pStyle w:val="BodyText"/>
        <w:spacing w:line="218" w:lineRule="auto"/>
        <w:ind w:right="38"/>
      </w:pPr>
      <w:r>
        <w:rPr>
          <w:color w:val="231F20"/>
        </w:rPr>
        <w:t>Les actions émises doivent être intégralement et, nonobstant toute disposition contraire, inconditionnellement souscrites.</w:t>
      </w:r>
    </w:p>
    <w:p>
      <w:pPr>
        <w:pStyle w:val="BodyText"/>
        <w:spacing w:line="218" w:lineRule="auto" w:before="92"/>
        <w:ind w:right="38"/>
      </w:pPr>
      <w:r>
        <w:rPr>
          <w:color w:val="231F20"/>
        </w:rPr>
        <w:t>Art. 6:107. § 1</w:t>
      </w:r>
      <w:r>
        <w:rPr>
          <w:color w:val="231F20"/>
          <w:position w:val="7"/>
          <w:sz w:val="11"/>
        </w:rPr>
        <w:t>er</w:t>
      </w:r>
      <w:r>
        <w:rPr>
          <w:color w:val="231F20"/>
        </w:rPr>
        <w:t>. La société ne peut souscrire ses propres actions, ni directement, ni par une société filiale, ni par une personne agissant en son</w:t>
      </w:r>
      <w:r>
        <w:rPr>
          <w:color w:val="231F20"/>
          <w:spacing w:val="-4"/>
        </w:rPr>
        <w:t> </w:t>
      </w:r>
      <w:r>
        <w:rPr>
          <w:color w:val="231F20"/>
        </w:rPr>
        <w:t>nom</w:t>
      </w:r>
      <w:r>
        <w:rPr>
          <w:color w:val="231F20"/>
          <w:spacing w:val="-3"/>
        </w:rPr>
        <w:t> </w:t>
      </w:r>
      <w:r>
        <w:rPr>
          <w:color w:val="231F20"/>
        </w:rPr>
        <w:t>propre</w:t>
      </w:r>
      <w:r>
        <w:rPr>
          <w:color w:val="231F20"/>
          <w:spacing w:val="-3"/>
        </w:rPr>
        <w:t> </w:t>
      </w:r>
      <w:r>
        <w:rPr>
          <w:color w:val="231F20"/>
        </w:rPr>
        <w:t>mais</w:t>
      </w:r>
      <w:r>
        <w:rPr>
          <w:color w:val="231F20"/>
          <w:spacing w:val="-3"/>
        </w:rPr>
        <w:t> </w:t>
      </w:r>
      <w:r>
        <w:rPr>
          <w:color w:val="231F20"/>
        </w:rPr>
        <w:t>pour</w:t>
      </w:r>
      <w:r>
        <w:rPr>
          <w:color w:val="231F20"/>
          <w:spacing w:val="-3"/>
        </w:rPr>
        <w:t> </w:t>
      </w:r>
      <w:r>
        <w:rPr>
          <w:color w:val="231F20"/>
        </w:rPr>
        <w:t>le</w:t>
      </w:r>
      <w:r>
        <w:rPr>
          <w:color w:val="231F20"/>
          <w:spacing w:val="-3"/>
        </w:rPr>
        <w:t> </w:t>
      </w:r>
      <w:r>
        <w:rPr>
          <w:color w:val="231F20"/>
        </w:rPr>
        <w:t>compte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ou</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filiale.</w:t>
      </w:r>
    </w:p>
    <w:p>
      <w:pPr>
        <w:pStyle w:val="BodyText"/>
        <w:spacing w:before="6"/>
        <w:ind w:left="0" w:right="0" w:firstLine="0"/>
        <w:jc w:val="left"/>
        <w:rPr>
          <w:sz w:val="23"/>
        </w:rPr>
      </w:pPr>
    </w:p>
    <w:p>
      <w:pPr>
        <w:pStyle w:val="BodyText"/>
        <w:spacing w:line="218" w:lineRule="auto"/>
        <w:ind w:right="38"/>
      </w:pPr>
      <w:r>
        <w:rPr>
          <w:color w:val="231F20"/>
        </w:rPr>
        <w:t>La personne qui a souscrit des actions visées à l’alinéa 1</w:t>
      </w:r>
      <w:r>
        <w:rPr>
          <w:color w:val="231F20"/>
          <w:position w:val="7"/>
          <w:sz w:val="11"/>
        </w:rPr>
        <w:t>er </w:t>
      </w:r>
      <w:r>
        <w:rPr>
          <w:color w:val="231F20"/>
        </w:rPr>
        <w:t>en son nom propre mais pour le compte de la société ou de la société filiale est censée avoir souscrit pour son propre compte.</w:t>
      </w:r>
    </w:p>
    <w:p>
      <w:pPr>
        <w:pStyle w:val="BodyText"/>
        <w:spacing w:before="10"/>
        <w:ind w:left="0" w:right="0" w:firstLine="0"/>
        <w:jc w:val="left"/>
        <w:rPr>
          <w:sz w:val="24"/>
        </w:rPr>
      </w:pPr>
    </w:p>
    <w:p>
      <w:pPr>
        <w:pStyle w:val="BodyText"/>
        <w:spacing w:line="218" w:lineRule="auto"/>
        <w:ind w:right="38"/>
      </w:pPr>
      <w:r>
        <w:rPr>
          <w:color w:val="231F20"/>
        </w:rPr>
        <w:t>Tous les droits afférents aux actions sont suspendus, tant que ces actions n’ont pas été aliénés.</w:t>
      </w:r>
    </w:p>
    <w:p>
      <w:pPr>
        <w:pStyle w:val="BodyText"/>
        <w:spacing w:line="218" w:lineRule="auto" w:before="92"/>
        <w:ind w:right="38"/>
      </w:pPr>
      <w:r>
        <w:rPr>
          <w:color w:val="231F20"/>
        </w:rPr>
        <w:t>§ 2. Le paragraphe 1</w:t>
      </w:r>
      <w:r>
        <w:rPr>
          <w:color w:val="231F20"/>
          <w:position w:val="7"/>
          <w:sz w:val="11"/>
        </w:rPr>
        <w:t>er </w:t>
      </w:r>
      <w:r>
        <w:rPr>
          <w:color w:val="231F20"/>
        </w:rPr>
        <w:t>n’est pas applicable à la souscription d‘actions d’une société par une société filiale qui est, en sa qualité d’opérateur professionnel sur titres, une société de bourse ou un établissement de crédit.</w:t>
      </w:r>
    </w:p>
    <w:p>
      <w:pPr>
        <w:pStyle w:val="BodyText"/>
        <w:spacing w:line="218" w:lineRule="auto" w:before="92"/>
        <w:ind w:right="38"/>
      </w:pPr>
      <w:r>
        <w:rPr>
          <w:color w:val="231F20"/>
        </w:rPr>
        <w:t>Art. 6:108. § 1</w:t>
      </w:r>
      <w:r>
        <w:rPr>
          <w:color w:val="231F20"/>
          <w:position w:val="7"/>
          <w:sz w:val="11"/>
        </w:rPr>
        <w:t>er</w:t>
      </w:r>
      <w:r>
        <w:rPr>
          <w:color w:val="231F20"/>
        </w:rPr>
        <w:t>. L’organe d’administration a le pouvoir de décider de l’émission d’actions nouvelles, sauf si les statuts prévoient que ce pouvoir appartient à l’assemblée générale.</w:t>
      </w:r>
    </w:p>
    <w:p>
      <w:pPr>
        <w:pStyle w:val="BodyText"/>
        <w:spacing w:line="218" w:lineRule="auto" w:before="106"/>
        <w:ind w:right="38"/>
      </w:pPr>
      <w:r>
        <w:rPr>
          <w:color w:val="231F20"/>
          <w:spacing w:val="-3"/>
        </w:rPr>
        <w:t>L’organe </w:t>
      </w:r>
      <w:r>
        <w:rPr>
          <w:color w:val="231F20"/>
        </w:rPr>
        <w:t>d’administration ne peut émettre que des actions d’une classe déjà existante, à moins que l’assemblée générale, par une décision prise conformément aux règles relatives à la modification des statuts, n’ait spécialement habilité l’organe d’administration à émettre une nouvelle classe</w:t>
      </w:r>
      <w:r>
        <w:rPr>
          <w:color w:val="231F20"/>
          <w:spacing w:val="5"/>
        </w:rPr>
        <w:t> </w:t>
      </w:r>
      <w:r>
        <w:rPr>
          <w:color w:val="231F20"/>
        </w:rPr>
        <w:t>d’actions.</w:t>
      </w:r>
    </w:p>
    <w:p>
      <w:pPr>
        <w:pStyle w:val="BodyText"/>
        <w:spacing w:line="218" w:lineRule="auto" w:before="119"/>
      </w:pPr>
      <w:r>
        <w:rPr/>
        <w:br w:type="column"/>
      </w:r>
      <w:r>
        <w:rPr>
          <w:color w:val="231F20"/>
        </w:rPr>
        <w:t>Een voorstel is alleen dan aangenomen wanneer het is goedgekeurd door leden die, uit eigen naam of als gemachtigde, gezamenlijk stemmen uitbrengen die ten minste drie vierde van het bedrag van de obligaties waarvoor aan de stemming is deelgenomen, vertegenwoor- digen.</w:t>
      </w:r>
    </w:p>
    <w:p>
      <w:pPr>
        <w:pStyle w:val="BodyText"/>
        <w:spacing w:line="216" w:lineRule="auto" w:before="98"/>
      </w:pPr>
      <w:r>
        <w:rPr>
          <w:color w:val="231F20"/>
        </w:rPr>
        <w:t>Tenzij alle obligaties op naam zijn, worden de genomen besluiten binnen vijftien dagen bekendgemaakt in de Bijlagen bij het </w:t>
      </w:r>
      <w:r>
        <w:rPr>
          <w:rFonts w:ascii="Times New Roman"/>
          <w:i/>
          <w:color w:val="231F20"/>
        </w:rPr>
        <w:t>Belgisch </w:t>
      </w:r>
      <w:r>
        <w:rPr>
          <w:rFonts w:ascii="Times New Roman"/>
          <w:i/>
          <w:color w:val="231F20"/>
        </w:rPr>
        <w:t>Staatsblad</w:t>
      </w:r>
      <w:r>
        <w:rPr>
          <w:color w:val="231F20"/>
        </w:rPr>
        <w:t>.</w:t>
      </w:r>
    </w:p>
    <w:p>
      <w:pPr>
        <w:pStyle w:val="BodyText"/>
        <w:spacing w:line="218" w:lineRule="auto" w:before="96"/>
      </w:pPr>
      <w:r>
        <w:rPr>
          <w:color w:val="231F20"/>
        </w:rPr>
        <w:t>Art. 6:101. Indien er verschillende soorten van obligaties zijn en het besluit van de algemene vergadering van obligatiehouders een wijzi- ging van de respectievelijke daaraan verbonden rechten ten</w:t>
      </w:r>
      <w:r>
        <w:rPr>
          <w:color w:val="231F20"/>
          <w:spacing w:val="32"/>
        </w:rPr>
        <w:t> </w:t>
      </w:r>
      <w:r>
        <w:rPr>
          <w:color w:val="231F20"/>
        </w:rPr>
        <w:t>gevolge kan hebben, dienen de houders van elke soort van obligaties afzonder- lijk te worden bijeengeroepen in een bijzondere vergadering en dient er voor elke soort te worden voldaan aan de voorwaarden van aanwezig- heid</w:t>
      </w:r>
      <w:r>
        <w:rPr>
          <w:color w:val="231F20"/>
          <w:spacing w:val="14"/>
        </w:rPr>
        <w:t> </w:t>
      </w:r>
      <w:r>
        <w:rPr>
          <w:color w:val="231F20"/>
        </w:rPr>
        <w:t>en</w:t>
      </w:r>
      <w:r>
        <w:rPr>
          <w:color w:val="231F20"/>
          <w:spacing w:val="14"/>
        </w:rPr>
        <w:t> </w:t>
      </w:r>
      <w:r>
        <w:rPr>
          <w:color w:val="231F20"/>
        </w:rPr>
        <w:t>van</w:t>
      </w:r>
      <w:r>
        <w:rPr>
          <w:color w:val="231F20"/>
          <w:spacing w:val="14"/>
        </w:rPr>
        <w:t> </w:t>
      </w:r>
      <w:r>
        <w:rPr>
          <w:color w:val="231F20"/>
        </w:rPr>
        <w:t>meerderheid</w:t>
      </w:r>
      <w:r>
        <w:rPr>
          <w:color w:val="231F20"/>
          <w:spacing w:val="14"/>
        </w:rPr>
        <w:t> </w:t>
      </w:r>
      <w:r>
        <w:rPr>
          <w:color w:val="231F20"/>
        </w:rPr>
        <w:t>bepaald</w:t>
      </w:r>
      <w:r>
        <w:rPr>
          <w:color w:val="231F20"/>
          <w:spacing w:val="14"/>
        </w:rPr>
        <w:t> </w:t>
      </w:r>
      <w:r>
        <w:rPr>
          <w:color w:val="231F20"/>
        </w:rPr>
        <w:t>in</w:t>
      </w:r>
      <w:r>
        <w:rPr>
          <w:color w:val="231F20"/>
          <w:spacing w:val="15"/>
        </w:rPr>
        <w:t> </w:t>
      </w:r>
      <w:r>
        <w:rPr>
          <w:color w:val="231F20"/>
        </w:rPr>
        <w:t>artikel</w:t>
      </w:r>
      <w:r>
        <w:rPr>
          <w:color w:val="231F20"/>
          <w:spacing w:val="14"/>
        </w:rPr>
        <w:t> </w:t>
      </w:r>
      <w:r>
        <w:rPr>
          <w:color w:val="231F20"/>
        </w:rPr>
        <w:t>6:100.</w:t>
      </w:r>
    </w:p>
    <w:p>
      <w:pPr>
        <w:pStyle w:val="BodyText"/>
        <w:spacing w:line="218" w:lineRule="auto" w:before="96"/>
      </w:pPr>
      <w:r>
        <w:rPr>
          <w:color w:val="231F20"/>
          <w:w w:val="105"/>
        </w:rPr>
        <w:t>Art. 6:102. De notulen van de algemene vergaderingen van obliga- tiehouders</w:t>
      </w:r>
      <w:r>
        <w:rPr>
          <w:color w:val="231F20"/>
          <w:spacing w:val="-14"/>
          <w:w w:val="105"/>
        </w:rPr>
        <w:t> </w:t>
      </w:r>
      <w:r>
        <w:rPr>
          <w:color w:val="231F20"/>
          <w:w w:val="105"/>
        </w:rPr>
        <w:t>worden</w:t>
      </w:r>
      <w:r>
        <w:rPr>
          <w:color w:val="231F20"/>
          <w:spacing w:val="-14"/>
          <w:w w:val="105"/>
        </w:rPr>
        <w:t> </w:t>
      </w:r>
      <w:r>
        <w:rPr>
          <w:color w:val="231F20"/>
          <w:w w:val="105"/>
        </w:rPr>
        <w:t>ondertekend</w:t>
      </w:r>
      <w:r>
        <w:rPr>
          <w:color w:val="231F20"/>
          <w:spacing w:val="-13"/>
          <w:w w:val="105"/>
        </w:rPr>
        <w:t> </w:t>
      </w:r>
      <w:r>
        <w:rPr>
          <w:color w:val="231F20"/>
          <w:w w:val="105"/>
        </w:rPr>
        <w:t>door</w:t>
      </w:r>
      <w:r>
        <w:rPr>
          <w:color w:val="231F20"/>
          <w:spacing w:val="-14"/>
          <w:w w:val="105"/>
        </w:rPr>
        <w:t> </w:t>
      </w:r>
      <w:r>
        <w:rPr>
          <w:color w:val="231F20"/>
          <w:w w:val="105"/>
        </w:rPr>
        <w:t>de</w:t>
      </w:r>
      <w:r>
        <w:rPr>
          <w:color w:val="231F20"/>
          <w:spacing w:val="-13"/>
          <w:w w:val="105"/>
        </w:rPr>
        <w:t> </w:t>
      </w:r>
      <w:r>
        <w:rPr>
          <w:color w:val="231F20"/>
          <w:w w:val="105"/>
        </w:rPr>
        <w:t>leden</w:t>
      </w:r>
      <w:r>
        <w:rPr>
          <w:color w:val="231F20"/>
          <w:spacing w:val="-14"/>
          <w:w w:val="105"/>
        </w:rPr>
        <w:t> </w:t>
      </w:r>
      <w:r>
        <w:rPr>
          <w:color w:val="231F20"/>
          <w:w w:val="105"/>
        </w:rPr>
        <w:t>van</w:t>
      </w:r>
      <w:r>
        <w:rPr>
          <w:color w:val="231F20"/>
          <w:spacing w:val="-13"/>
          <w:w w:val="105"/>
        </w:rPr>
        <w:t> </w:t>
      </w:r>
      <w:r>
        <w:rPr>
          <w:color w:val="231F20"/>
          <w:w w:val="105"/>
        </w:rPr>
        <w:t>het</w:t>
      </w:r>
      <w:r>
        <w:rPr>
          <w:color w:val="231F20"/>
          <w:spacing w:val="-14"/>
          <w:w w:val="105"/>
        </w:rPr>
        <w:t> </w:t>
      </w:r>
      <w:r>
        <w:rPr>
          <w:color w:val="231F20"/>
          <w:w w:val="105"/>
        </w:rPr>
        <w:t>bureau</w:t>
      </w:r>
      <w:r>
        <w:rPr>
          <w:color w:val="231F20"/>
          <w:spacing w:val="-14"/>
          <w:w w:val="105"/>
        </w:rPr>
        <w:t> </w:t>
      </w:r>
      <w:r>
        <w:rPr>
          <w:color w:val="231F20"/>
          <w:w w:val="105"/>
        </w:rPr>
        <w:t>en</w:t>
      </w:r>
      <w:r>
        <w:rPr>
          <w:color w:val="231F20"/>
          <w:spacing w:val="-13"/>
          <w:w w:val="105"/>
        </w:rPr>
        <w:t> </w:t>
      </w:r>
      <w:r>
        <w:rPr>
          <w:color w:val="231F20"/>
          <w:w w:val="105"/>
        </w:rPr>
        <w:t>door de</w:t>
      </w:r>
      <w:r>
        <w:rPr>
          <w:color w:val="231F20"/>
          <w:spacing w:val="-16"/>
          <w:w w:val="105"/>
        </w:rPr>
        <w:t> </w:t>
      </w:r>
      <w:r>
        <w:rPr>
          <w:color w:val="231F20"/>
          <w:w w:val="105"/>
        </w:rPr>
        <w:t>obligatiehouders</w:t>
      </w:r>
      <w:r>
        <w:rPr>
          <w:color w:val="231F20"/>
          <w:spacing w:val="-16"/>
          <w:w w:val="105"/>
        </w:rPr>
        <w:t> </w:t>
      </w:r>
      <w:r>
        <w:rPr>
          <w:color w:val="231F20"/>
          <w:w w:val="105"/>
        </w:rPr>
        <w:t>die</w:t>
      </w:r>
      <w:r>
        <w:rPr>
          <w:color w:val="231F20"/>
          <w:spacing w:val="-15"/>
          <w:w w:val="105"/>
        </w:rPr>
        <w:t> </w:t>
      </w:r>
      <w:r>
        <w:rPr>
          <w:color w:val="231F20"/>
          <w:w w:val="105"/>
        </w:rPr>
        <w:t>erom</w:t>
      </w:r>
      <w:r>
        <w:rPr>
          <w:color w:val="231F20"/>
          <w:spacing w:val="-16"/>
          <w:w w:val="105"/>
        </w:rPr>
        <w:t> </w:t>
      </w:r>
      <w:r>
        <w:rPr>
          <w:color w:val="231F20"/>
          <w:w w:val="105"/>
        </w:rPr>
        <w:t>verzoeken;</w:t>
      </w:r>
      <w:r>
        <w:rPr>
          <w:color w:val="231F20"/>
          <w:spacing w:val="-15"/>
          <w:w w:val="105"/>
        </w:rPr>
        <w:t> </w:t>
      </w:r>
      <w:r>
        <w:rPr>
          <w:color w:val="231F20"/>
          <w:w w:val="105"/>
        </w:rPr>
        <w:t>kopieën</w:t>
      </w:r>
      <w:r>
        <w:rPr>
          <w:color w:val="231F20"/>
          <w:spacing w:val="-16"/>
          <w:w w:val="105"/>
        </w:rPr>
        <w:t> </w:t>
      </w:r>
      <w:r>
        <w:rPr>
          <w:color w:val="231F20"/>
          <w:w w:val="105"/>
        </w:rPr>
        <w:t>voor</w:t>
      </w:r>
      <w:r>
        <w:rPr>
          <w:color w:val="231F20"/>
          <w:spacing w:val="-16"/>
          <w:w w:val="105"/>
        </w:rPr>
        <w:t> </w:t>
      </w:r>
      <w:r>
        <w:rPr>
          <w:color w:val="231F20"/>
          <w:w w:val="105"/>
        </w:rPr>
        <w:t>derden</w:t>
      </w:r>
      <w:r>
        <w:rPr>
          <w:color w:val="231F20"/>
          <w:spacing w:val="-15"/>
          <w:w w:val="105"/>
        </w:rPr>
        <w:t> </w:t>
      </w:r>
      <w:r>
        <w:rPr>
          <w:color w:val="231F20"/>
          <w:w w:val="105"/>
        </w:rPr>
        <w:t>worden ondertekend door één of meer vertegenwoordigingsbevoegde leden van het</w:t>
      </w:r>
      <w:r>
        <w:rPr>
          <w:color w:val="231F20"/>
          <w:spacing w:val="23"/>
          <w:w w:val="105"/>
        </w:rPr>
        <w:t> </w:t>
      </w:r>
      <w:r>
        <w:rPr>
          <w:color w:val="231F20"/>
          <w:w w:val="105"/>
        </w:rPr>
        <w:t>bestuursorgaan.</w:t>
      </w:r>
    </w:p>
    <w:p>
      <w:pPr>
        <w:pStyle w:val="BodyText"/>
        <w:spacing w:line="218" w:lineRule="auto" w:before="97"/>
        <w:ind w:right="120"/>
      </w:pPr>
      <w:r>
        <w:rPr>
          <w:color w:val="231F20"/>
        </w:rPr>
        <w:t>Art.</w:t>
      </w:r>
      <w:r>
        <w:rPr>
          <w:color w:val="231F20"/>
          <w:spacing w:val="-13"/>
        </w:rPr>
        <w:t> </w:t>
      </w:r>
      <w:r>
        <w:rPr>
          <w:color w:val="231F20"/>
        </w:rPr>
        <w:t>6:103.</w:t>
      </w:r>
      <w:r>
        <w:rPr>
          <w:color w:val="231F20"/>
          <w:spacing w:val="-13"/>
        </w:rPr>
        <w:t> </w:t>
      </w:r>
      <w:r>
        <w:rPr>
          <w:color w:val="231F20"/>
        </w:rPr>
        <w:t>Mits</w:t>
      </w:r>
      <w:r>
        <w:rPr>
          <w:color w:val="231F20"/>
          <w:spacing w:val="-12"/>
        </w:rPr>
        <w:t> </w:t>
      </w:r>
      <w:r>
        <w:rPr>
          <w:color w:val="231F20"/>
        </w:rPr>
        <w:t>inachtneming</w:t>
      </w:r>
      <w:r>
        <w:rPr>
          <w:color w:val="231F20"/>
          <w:spacing w:val="-13"/>
        </w:rPr>
        <w:t> </w:t>
      </w:r>
      <w:r>
        <w:rPr>
          <w:color w:val="231F20"/>
        </w:rPr>
        <w:t>van</w:t>
      </w:r>
      <w:r>
        <w:rPr>
          <w:color w:val="231F20"/>
          <w:spacing w:val="-13"/>
        </w:rPr>
        <w:t> </w:t>
      </w:r>
      <w:r>
        <w:rPr>
          <w:color w:val="231F20"/>
        </w:rPr>
        <w:t>de</w:t>
      </w:r>
      <w:r>
        <w:rPr>
          <w:color w:val="231F20"/>
          <w:spacing w:val="-12"/>
        </w:rPr>
        <w:t> </w:t>
      </w:r>
      <w:r>
        <w:rPr>
          <w:color w:val="231F20"/>
        </w:rPr>
        <w:t>oproepingsformaliteiten</w:t>
      </w:r>
      <w:r>
        <w:rPr>
          <w:color w:val="231F20"/>
          <w:spacing w:val="-13"/>
        </w:rPr>
        <w:t> </w:t>
      </w:r>
      <w:r>
        <w:rPr>
          <w:color w:val="231F20"/>
        </w:rPr>
        <w:t>bedoeld in de artikelen 6:95 en 6:96, kunnen alle besluiten die tot de bevoegdheid van de algemene vergadering van obligatiehouders behoren via elektronische weg of via schriftelijk akkoord worden genomen. Een besluit is in dat geval alleen dan aangenomen wanneer het akkoord wordt verkregen, via elektronische weg of via schriftelijk akkoord, van obligatiehouders die ten minste drie vierde vertegenwoor- digen</w:t>
      </w:r>
      <w:r>
        <w:rPr>
          <w:color w:val="231F20"/>
          <w:spacing w:val="16"/>
        </w:rPr>
        <w:t> </w:t>
      </w:r>
      <w:r>
        <w:rPr>
          <w:color w:val="231F20"/>
        </w:rPr>
        <w:t>van</w:t>
      </w:r>
      <w:r>
        <w:rPr>
          <w:color w:val="231F20"/>
          <w:spacing w:val="16"/>
        </w:rPr>
        <w:t> </w:t>
      </w:r>
      <w:r>
        <w:rPr>
          <w:color w:val="231F20"/>
        </w:rPr>
        <w:t>het</w:t>
      </w:r>
      <w:r>
        <w:rPr>
          <w:color w:val="231F20"/>
          <w:spacing w:val="17"/>
        </w:rPr>
        <w:t> </w:t>
      </w:r>
      <w:r>
        <w:rPr>
          <w:color w:val="231F20"/>
        </w:rPr>
        <w:t>bedrag</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bestaande</w:t>
      </w:r>
      <w:r>
        <w:rPr>
          <w:color w:val="231F20"/>
          <w:spacing w:val="16"/>
        </w:rPr>
        <w:t> </w:t>
      </w:r>
      <w:r>
        <w:rPr>
          <w:color w:val="231F20"/>
        </w:rPr>
        <w:t>obligaties.</w:t>
      </w:r>
    </w:p>
    <w:p>
      <w:pPr>
        <w:pStyle w:val="BodyText"/>
        <w:spacing w:line="218" w:lineRule="auto" w:before="96"/>
        <w:ind w:right="123"/>
      </w:pPr>
      <w:r>
        <w:rPr>
          <w:color w:val="231F20"/>
        </w:rPr>
        <w:t>De Koning kan de aard en de toepassingsvoorwaarden van de in het eerste lid bedoelde elektronische weg en het te verkrijgen schriftelijk akkoord verduidelijken.</w:t>
      </w:r>
    </w:p>
    <w:p>
      <w:pPr>
        <w:pStyle w:val="BodyText"/>
        <w:spacing w:before="82"/>
        <w:ind w:left="283" w:right="0" w:firstLine="0"/>
        <w:jc w:val="left"/>
      </w:pPr>
      <w:r>
        <w:rPr>
          <w:color w:val="231F20"/>
        </w:rPr>
        <w:t>Afdeling 6. Wijze van uitoefening van het stemrecht.</w:t>
      </w:r>
    </w:p>
    <w:p>
      <w:pPr>
        <w:pStyle w:val="BodyText"/>
        <w:spacing w:line="218" w:lineRule="auto" w:before="93"/>
      </w:pPr>
      <w:r>
        <w:rPr>
          <w:color w:val="231F20"/>
        </w:rPr>
        <w:t>Art. 6:104. Alle obligatiehouders kunnen in persoon of bij volmacht stemmen.</w:t>
      </w:r>
    </w:p>
    <w:p>
      <w:pPr>
        <w:pStyle w:val="BodyText"/>
        <w:spacing w:before="82"/>
        <w:ind w:left="283" w:right="0" w:firstLine="0"/>
        <w:jc w:val="left"/>
      </w:pPr>
      <w:r>
        <w:rPr>
          <w:color w:val="231F20"/>
        </w:rPr>
        <w:t>TITEL 5. Het vermogen van de vennootschap.</w:t>
      </w:r>
    </w:p>
    <w:p>
      <w:pPr>
        <w:pStyle w:val="BodyText"/>
        <w:spacing w:line="338" w:lineRule="auto" w:before="79"/>
        <w:ind w:left="283" w:right="183" w:firstLine="0"/>
        <w:jc w:val="left"/>
      </w:pPr>
      <w:r>
        <w:rPr>
          <w:color w:val="231F20"/>
        </w:rPr>
        <w:t>HOOFDSTUK 1. Uitgifte van nieuwe aandelen en toetreding. Afdeling 1. Gemeenschappelijke bepalingen.</w:t>
      </w:r>
    </w:p>
    <w:p>
      <w:pPr>
        <w:pStyle w:val="BodyText"/>
        <w:spacing w:line="218" w:lineRule="auto" w:before="13"/>
      </w:pPr>
      <w:r>
        <w:rPr>
          <w:color w:val="231F20"/>
        </w:rPr>
        <w:t>Art. 6:105. Op nieuwe aandelen kan slechts worden ingeschreven door de personen die aan de in de artikelen 6:52 en 6:54 bepaalde voorwaarden voldoen om aandeelhouder te kunnen worden.</w:t>
      </w:r>
    </w:p>
    <w:p>
      <w:pPr>
        <w:pStyle w:val="BodyText"/>
        <w:spacing w:line="218" w:lineRule="auto" w:before="96"/>
      </w:pPr>
      <w:r>
        <w:rPr>
          <w:color w:val="231F20"/>
        </w:rPr>
        <w:t>Art. 6:106. § 1. Niettegenstaande andersluidende statutaire bepaling, kunnen aandeelhouders zonder statutenwijziging op aandelen inschrij- ven, in voorkomend geval onder de voorwaarden bepaald in de statuten.</w:t>
      </w:r>
    </w:p>
    <w:p>
      <w:pPr>
        <w:pStyle w:val="BodyText"/>
        <w:spacing w:line="218" w:lineRule="auto" w:before="96"/>
      </w:pPr>
      <w:r>
        <w:rPr>
          <w:color w:val="231F20"/>
        </w:rPr>
        <w:t>Niettegenstaande andersluidende statutaire bepaling, kunnen der- den zonder statutenwijziging toetreden door op aandelen in te  schrijven indien zij voldoen aan de statutaire vereisten om aandeelhou- der te worden. De statuten kunnen bepalen dat het bevoegde orgaan een kandidaat verwerver kan weigeren, op voorwaarde dat de  weigering wordt</w:t>
      </w:r>
      <w:r>
        <w:rPr>
          <w:color w:val="231F20"/>
          <w:spacing w:val="-9"/>
        </w:rPr>
        <w:t> </w:t>
      </w:r>
      <w:r>
        <w:rPr>
          <w:color w:val="231F20"/>
        </w:rPr>
        <w:t>gemotiveerd.</w:t>
      </w:r>
    </w:p>
    <w:p>
      <w:pPr>
        <w:pStyle w:val="BodyText"/>
        <w:spacing w:line="218" w:lineRule="auto" w:before="107"/>
        <w:ind w:right="121"/>
      </w:pPr>
      <w:r>
        <w:rPr>
          <w:color w:val="231F20"/>
        </w:rPr>
        <w:t>De</w:t>
      </w:r>
      <w:r>
        <w:rPr>
          <w:color w:val="231F20"/>
          <w:spacing w:val="-7"/>
        </w:rPr>
        <w:t> </w:t>
      </w:r>
      <w:r>
        <w:rPr>
          <w:color w:val="231F20"/>
        </w:rPr>
        <w:t>uitgegeven</w:t>
      </w:r>
      <w:r>
        <w:rPr>
          <w:color w:val="231F20"/>
          <w:spacing w:val="-7"/>
        </w:rPr>
        <w:t> </w:t>
      </w:r>
      <w:r>
        <w:rPr>
          <w:color w:val="231F20"/>
        </w:rPr>
        <w:t>aandelen</w:t>
      </w:r>
      <w:r>
        <w:rPr>
          <w:color w:val="231F20"/>
          <w:spacing w:val="-6"/>
        </w:rPr>
        <w:t> </w:t>
      </w:r>
      <w:r>
        <w:rPr>
          <w:color w:val="231F20"/>
        </w:rPr>
        <w:t>moeten</w:t>
      </w:r>
      <w:r>
        <w:rPr>
          <w:color w:val="231F20"/>
          <w:spacing w:val="-7"/>
        </w:rPr>
        <w:t> </w:t>
      </w:r>
      <w:r>
        <w:rPr>
          <w:color w:val="231F20"/>
        </w:rPr>
        <w:t>volledig</w:t>
      </w:r>
      <w:r>
        <w:rPr>
          <w:color w:val="231F20"/>
          <w:spacing w:val="-6"/>
        </w:rPr>
        <w:t> </w:t>
      </w:r>
      <w:r>
        <w:rPr>
          <w:color w:val="231F20"/>
        </w:rPr>
        <w:t>en,</w:t>
      </w:r>
      <w:r>
        <w:rPr>
          <w:color w:val="231F20"/>
          <w:spacing w:val="-7"/>
        </w:rPr>
        <w:t> </w:t>
      </w:r>
      <w:r>
        <w:rPr>
          <w:color w:val="231F20"/>
        </w:rPr>
        <w:t>niettegenstaande</w:t>
      </w:r>
      <w:r>
        <w:rPr>
          <w:color w:val="231F20"/>
          <w:spacing w:val="-6"/>
        </w:rPr>
        <w:t> </w:t>
      </w:r>
      <w:r>
        <w:rPr>
          <w:color w:val="231F20"/>
        </w:rPr>
        <w:t>anders- luidende bepaling, onvoorwaardelijk zijn</w:t>
      </w:r>
      <w:r>
        <w:rPr>
          <w:color w:val="231F20"/>
          <w:spacing w:val="25"/>
        </w:rPr>
        <w:t> </w:t>
      </w:r>
      <w:r>
        <w:rPr>
          <w:color w:val="231F20"/>
        </w:rPr>
        <w:t>geplaatst.</w:t>
      </w:r>
    </w:p>
    <w:p>
      <w:pPr>
        <w:pStyle w:val="BodyText"/>
        <w:spacing w:line="218" w:lineRule="auto" w:before="107"/>
      </w:pPr>
      <w:r>
        <w:rPr>
          <w:color w:val="231F20"/>
        </w:rPr>
        <w:t>Art. 6:107. § 1. De vennootschap mag niet inschrijven op haar eigen aandelen, noch rechtstreeks, noch door een dochtervennootschap, noch door een persoon die handelt in eigen naam maar voor rekening van de vennootschap of de dochtervennootschap.</w:t>
      </w:r>
    </w:p>
    <w:p>
      <w:pPr>
        <w:pStyle w:val="BodyText"/>
        <w:spacing w:line="218" w:lineRule="auto" w:before="107"/>
      </w:pPr>
      <w:r>
        <w:rPr>
          <w:color w:val="231F20"/>
        </w:rPr>
        <w:t>De persoon die in eigen naam maar voor rekening van de vennoot- schap of van de dochtervennootschap op aandelen bedoeld in het eerste lid heeft ingeschreven, wordt geacht voor eigen rekening te hebben gehandeld.</w:t>
      </w:r>
    </w:p>
    <w:p>
      <w:pPr>
        <w:pStyle w:val="BodyText"/>
        <w:spacing w:line="218" w:lineRule="auto" w:before="107"/>
      </w:pPr>
      <w:r>
        <w:rPr>
          <w:color w:val="231F20"/>
        </w:rPr>
        <w:t>Alle rechten verbonden aan aandelen blijven geschorst zolang die aandelen of die certificaten niet zijn vervreemd.</w:t>
      </w:r>
    </w:p>
    <w:p>
      <w:pPr>
        <w:pStyle w:val="BodyText"/>
        <w:spacing w:line="218" w:lineRule="auto" w:before="107"/>
      </w:pPr>
      <w:r>
        <w:rPr>
          <w:color w:val="231F20"/>
        </w:rPr>
        <w:t>§ 2. Paragraaf 1 is niet van toepassing op de inschrijving op aandelen van een vennootschap door een dochtervennootschap die in haar hoedanigheid van professionele effectenhandelaar, een beursvennoot- schap of een kredietinstelling is.</w:t>
      </w:r>
    </w:p>
    <w:p>
      <w:pPr>
        <w:pStyle w:val="BodyText"/>
        <w:spacing w:line="218" w:lineRule="auto" w:before="107"/>
      </w:pPr>
      <w:r>
        <w:rPr>
          <w:color w:val="231F20"/>
        </w:rPr>
        <w:t>Art. 6:108. § 1. Het bestuursorgaan is bevoegd om over de uitgifte</w:t>
      </w:r>
      <w:r>
        <w:rPr>
          <w:color w:val="231F20"/>
          <w:spacing w:val="-13"/>
        </w:rPr>
        <w:t> </w:t>
      </w:r>
      <w:r>
        <w:rPr>
          <w:color w:val="231F20"/>
        </w:rPr>
        <w:t>van nieuwe aandelen te beslissen, tenzij de statuten bepalen dat deze bevoegdheid</w:t>
      </w:r>
      <w:r>
        <w:rPr>
          <w:color w:val="231F20"/>
          <w:spacing w:val="16"/>
        </w:rPr>
        <w:t> </w:t>
      </w:r>
      <w:r>
        <w:rPr>
          <w:color w:val="231F20"/>
        </w:rPr>
        <w:t>bij</w:t>
      </w:r>
      <w:r>
        <w:rPr>
          <w:color w:val="231F20"/>
          <w:spacing w:val="17"/>
        </w:rPr>
        <w:t> </w:t>
      </w:r>
      <w:r>
        <w:rPr>
          <w:color w:val="231F20"/>
        </w:rPr>
        <w:t>de</w:t>
      </w:r>
      <w:r>
        <w:rPr>
          <w:color w:val="231F20"/>
          <w:spacing w:val="16"/>
        </w:rPr>
        <w:t> </w:t>
      </w:r>
      <w:r>
        <w:rPr>
          <w:color w:val="231F20"/>
        </w:rPr>
        <w:t>algemene</w:t>
      </w:r>
      <w:r>
        <w:rPr>
          <w:color w:val="231F20"/>
          <w:spacing w:val="17"/>
        </w:rPr>
        <w:t> </w:t>
      </w:r>
      <w:r>
        <w:rPr>
          <w:color w:val="231F20"/>
        </w:rPr>
        <w:t>vergadering</w:t>
      </w:r>
      <w:r>
        <w:rPr>
          <w:color w:val="231F20"/>
          <w:spacing w:val="17"/>
        </w:rPr>
        <w:t> </w:t>
      </w:r>
      <w:r>
        <w:rPr>
          <w:color w:val="231F20"/>
        </w:rPr>
        <w:t>ligt.</w:t>
      </w:r>
    </w:p>
    <w:p>
      <w:pPr>
        <w:pStyle w:val="BodyText"/>
        <w:spacing w:line="218" w:lineRule="auto" w:before="107"/>
      </w:pPr>
      <w:r>
        <w:rPr>
          <w:color w:val="231F20"/>
        </w:rPr>
        <w:t>Het bestuursorgaan kan slechts aandelen van een reeds bestaande soort uitgeven, tenzij de algemene vergadering, bij een besluit genomen volgens de regels voor een statutenwijziging, het bestuursorgaan specifiek heeft gemachtigd om een nieuwe soort aandelen uit te geven.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97"/>
      </w:pPr>
      <w:r>
        <w:rPr/>
        <w:pict>
          <v:line style="position:absolute;mso-position-horizontal-relative:page;mso-position-vertical-relative:page;z-index:4384" from="298.170502pt,64.473pt" to="298.170502pt,812.819pt" stroked="true" strokeweight=".533pt" strokecolor="#231f20">
            <v:stroke dashstyle="solid"/>
            <w10:wrap type="none"/>
          </v:line>
        </w:pict>
      </w:r>
      <w:bookmarkStart w:name="_bookmark140" w:id="145"/>
      <w:bookmarkEnd w:id="145"/>
      <w:r>
        <w:rPr/>
      </w:r>
      <w:r>
        <w:rPr>
          <w:color w:val="231F20"/>
        </w:rPr>
        <w:t>Les statuts peuvent définir les modalités d’une telle émission et peuvent, par classe ou non, fixer un montant maximum d’actions à émettre par cette voie.</w:t>
      </w:r>
    </w:p>
    <w:p>
      <w:pPr>
        <w:pStyle w:val="BodyText"/>
        <w:spacing w:before="10"/>
        <w:ind w:left="0" w:right="0" w:firstLine="0"/>
        <w:jc w:val="left"/>
        <w:rPr>
          <w:sz w:val="16"/>
        </w:rPr>
      </w:pPr>
    </w:p>
    <w:p>
      <w:pPr>
        <w:pStyle w:val="BodyText"/>
        <w:spacing w:line="218" w:lineRule="auto"/>
        <w:ind w:right="97"/>
      </w:pPr>
      <w:r>
        <w:rPr>
          <w:color w:val="231F20"/>
        </w:rPr>
        <w:t>§ 2. L’organe d’administration fait rapport à l’assemblée générale ordinaire sur l’émission d’actions nouvelles au cours de l’exercice précédent. Ce rapport contient au moins le nombre des actionnaires existants et nouveaux qui ont souscrit des actions nouvelles, le nombre et la classe d’actions auxquelles ils ont souscrit, le montant versé, la justification du prix d’émission, dans la mesure où cela n’est pas déterminé par les statuts et les autres modalités éventuelles. Les statuts peuvent prévoir que l’identité des actionnaires existants ou nouvelle- ment admis soit également mentionnée.</w:t>
      </w:r>
    </w:p>
    <w:p>
      <w:pPr>
        <w:pStyle w:val="BodyText"/>
        <w:spacing w:before="11"/>
        <w:ind w:left="0" w:right="0" w:firstLine="0"/>
        <w:jc w:val="left"/>
        <w:rPr>
          <w:sz w:val="16"/>
        </w:rPr>
      </w:pPr>
    </w:p>
    <w:p>
      <w:pPr>
        <w:pStyle w:val="BodyText"/>
        <w:spacing w:line="218" w:lineRule="auto"/>
        <w:ind w:right="97"/>
      </w:pPr>
      <w:r>
        <w:rPr>
          <w:color w:val="231F20"/>
        </w:rPr>
        <w:t>Ces informations figurent dans le rapport de gestion ou, à défaut, dans un document à déposer en même temps que les comptes annuels, ou dans un rapport distinct qui est déposé et publié conformément les articles 2:8 et 2:14, 4°. Une copie peut en être obtenue conformément à l’article 6:70, § 2.</w:t>
      </w:r>
    </w:p>
    <w:p>
      <w:pPr>
        <w:pStyle w:val="BodyText"/>
        <w:spacing w:before="10"/>
        <w:ind w:left="0" w:right="0" w:firstLine="0"/>
        <w:jc w:val="left"/>
        <w:rPr>
          <w:sz w:val="16"/>
        </w:rPr>
      </w:pPr>
    </w:p>
    <w:p>
      <w:pPr>
        <w:pStyle w:val="BodyText"/>
        <w:spacing w:line="218" w:lineRule="auto" w:before="1"/>
        <w:ind w:right="97"/>
      </w:pPr>
      <w:r>
        <w:rPr>
          <w:color w:val="231F20"/>
          <w:spacing w:val="-3"/>
        </w:rPr>
        <w:t>L’organe </w:t>
      </w:r>
      <w:r>
        <w:rPr>
          <w:color w:val="231F20"/>
        </w:rPr>
        <w:t>d’administration met à jour le registre des actions. Sont plus précisément mentionnés: le nombre d’actions nouvelles, le cas échéant la classe, l’identité des souscripteurs, la date à laquelle les actions ont été émises, le prix de souscription et les versements effectués.</w:t>
      </w:r>
    </w:p>
    <w:p>
      <w:pPr>
        <w:pStyle w:val="BodyText"/>
        <w:spacing w:before="10"/>
        <w:ind w:left="0" w:right="0" w:firstLine="0"/>
        <w:jc w:val="left"/>
        <w:rPr>
          <w:sz w:val="16"/>
        </w:rPr>
      </w:pPr>
    </w:p>
    <w:p>
      <w:pPr>
        <w:pStyle w:val="BodyText"/>
        <w:spacing w:line="218" w:lineRule="auto"/>
        <w:ind w:right="97"/>
      </w:pPr>
      <w:r>
        <w:rPr>
          <w:color w:val="231F20"/>
        </w:rPr>
        <w:t>Art. 6:109. Sauf disposition contraire des statuts, les actions doivent être libérées à leur émission.</w:t>
      </w:r>
    </w:p>
    <w:p>
      <w:pPr>
        <w:pStyle w:val="BodyText"/>
        <w:spacing w:before="178"/>
        <w:ind w:left="283" w:right="0" w:firstLine="0"/>
        <w:jc w:val="left"/>
      </w:pPr>
      <w:r>
        <w:rPr>
          <w:color w:val="231F20"/>
        </w:rPr>
        <w:t>Section 2. Apport en nature.</w:t>
      </w:r>
    </w:p>
    <w:p>
      <w:pPr>
        <w:pStyle w:val="BodyText"/>
        <w:spacing w:line="218" w:lineRule="auto" w:before="174"/>
        <w:ind w:right="97"/>
      </w:pPr>
      <w:r>
        <w:rPr>
          <w:color w:val="231F20"/>
        </w:rPr>
        <w:t>Art. 6:110. § 1</w:t>
      </w:r>
      <w:r>
        <w:rPr>
          <w:color w:val="231F20"/>
          <w:position w:val="7"/>
          <w:sz w:val="11"/>
        </w:rPr>
        <w:t>er</w:t>
      </w:r>
      <w:r>
        <w:rPr>
          <w:color w:val="231F20"/>
        </w:rPr>
        <w:t>. En cas d’apport en nature, l’organe d’administration expose dans un rapport visé à l’article 6:108, § 2, l’intérêt que l’apport présente pour la société. Le rapport comporte une description de chaque apport en nature et en donne une évaluation motivée. Il indique quelle est la rémunération attribuée en contrepartie de l’apport. L’organe d’administration communique ce rapport en projet au com- missaire ou, lorsqu’il n’y a pas de commissaire, au réviseur d’entrepri- ses désigné par l’organe d’administration.</w:t>
      </w:r>
    </w:p>
    <w:p>
      <w:pPr>
        <w:pStyle w:val="BodyText"/>
        <w:spacing w:before="10"/>
        <w:ind w:left="0" w:right="0" w:firstLine="0"/>
        <w:jc w:val="left"/>
        <w:rPr>
          <w:sz w:val="16"/>
        </w:rPr>
      </w:pPr>
    </w:p>
    <w:p>
      <w:pPr>
        <w:pStyle w:val="BodyText"/>
        <w:spacing w:line="218" w:lineRule="auto"/>
        <w:ind w:right="97"/>
      </w:pPr>
      <w:r>
        <w:rPr>
          <w:color w:val="231F20"/>
        </w:rPr>
        <w:t>Le commissaire ou, lorsqu’il n’y a pas de commissaire, un réviseur d’entreprises désigné par l’organe d’administration, examine dans le rapport </w:t>
      </w:r>
      <w:r>
        <w:rPr>
          <w:color w:val="231F20"/>
          <w:spacing w:val="2"/>
        </w:rPr>
        <w:t>visé </w:t>
      </w:r>
      <w:r>
        <w:rPr>
          <w:color w:val="231F20"/>
        </w:rPr>
        <w:t>à l’article 6:108, § 2, la description faite par l’organe d’administration de chaque apport en nature, l’évaluation adoptée et les modes d’évaluation appliqués. Le rapport doit indiquer si les  valeurs auxquelles conduisent ces modes d’évaluation correspondent au moins à la valeur de l’apport mentionné dans l’acte. Il indique quelle est</w:t>
      </w:r>
      <w:r>
        <w:rPr>
          <w:color w:val="231F20"/>
          <w:spacing w:val="14"/>
        </w:rPr>
        <w:t> </w:t>
      </w:r>
      <w:r>
        <w:rPr>
          <w:color w:val="231F20"/>
        </w:rPr>
        <w:t>la</w:t>
      </w:r>
      <w:r>
        <w:rPr>
          <w:color w:val="231F20"/>
          <w:spacing w:val="14"/>
        </w:rPr>
        <w:t> </w:t>
      </w:r>
      <w:r>
        <w:rPr>
          <w:color w:val="231F20"/>
        </w:rPr>
        <w:t>rémunération</w:t>
      </w:r>
      <w:r>
        <w:rPr>
          <w:color w:val="231F20"/>
          <w:spacing w:val="14"/>
        </w:rPr>
        <w:t> </w:t>
      </w:r>
      <w:r>
        <w:rPr>
          <w:color w:val="231F20"/>
        </w:rPr>
        <w:t>réelle</w:t>
      </w:r>
      <w:r>
        <w:rPr>
          <w:color w:val="231F20"/>
          <w:spacing w:val="14"/>
        </w:rPr>
        <w:t> </w:t>
      </w:r>
      <w:r>
        <w:rPr>
          <w:color w:val="231F20"/>
        </w:rPr>
        <w:t>attribuée</w:t>
      </w:r>
      <w:r>
        <w:rPr>
          <w:color w:val="231F20"/>
          <w:spacing w:val="14"/>
        </w:rPr>
        <w:t> </w:t>
      </w:r>
      <w:r>
        <w:rPr>
          <w:color w:val="231F20"/>
        </w:rPr>
        <w:t>en</w:t>
      </w:r>
      <w:r>
        <w:rPr>
          <w:color w:val="231F20"/>
          <w:spacing w:val="14"/>
        </w:rPr>
        <w:t> </w:t>
      </w:r>
      <w:r>
        <w:rPr>
          <w:color w:val="231F20"/>
        </w:rPr>
        <w:t>contrepartie</w:t>
      </w:r>
      <w:r>
        <w:rPr>
          <w:color w:val="231F20"/>
          <w:spacing w:val="14"/>
        </w:rPr>
        <w:t> </w:t>
      </w:r>
      <w:r>
        <w:rPr>
          <w:color w:val="231F20"/>
        </w:rPr>
        <w:t>de</w:t>
      </w:r>
      <w:r>
        <w:rPr>
          <w:color w:val="231F20"/>
          <w:spacing w:val="14"/>
        </w:rPr>
        <w:t> </w:t>
      </w:r>
      <w:r>
        <w:rPr>
          <w:color w:val="231F20"/>
        </w:rPr>
        <w:t>l’apport.</w:t>
      </w:r>
    </w:p>
    <w:p>
      <w:pPr>
        <w:pStyle w:val="BodyText"/>
        <w:ind w:left="0" w:right="0" w:firstLine="0"/>
        <w:jc w:val="left"/>
        <w:rPr>
          <w:sz w:val="20"/>
        </w:rPr>
      </w:pPr>
    </w:p>
    <w:p>
      <w:pPr>
        <w:pStyle w:val="BodyText"/>
        <w:spacing w:line="218" w:lineRule="auto" w:before="126"/>
        <w:ind w:right="0"/>
        <w:jc w:val="left"/>
      </w:pPr>
      <w:r>
        <w:rPr>
          <w:color w:val="231F20"/>
        </w:rPr>
        <w:t>Dans le rapport visé à l’alinéa 1</w:t>
      </w:r>
      <w:r>
        <w:rPr>
          <w:color w:val="231F20"/>
          <w:position w:val="7"/>
          <w:sz w:val="11"/>
        </w:rPr>
        <w:t>er</w:t>
      </w:r>
      <w:r>
        <w:rPr>
          <w:color w:val="231F20"/>
        </w:rPr>
        <w:t>, auquel est joint le rapport visé à l’alinéa 2, l’organe d’administration indique, le cas échéant, les raisons pour lesquelles il s’écarte des conclusions de ce dernier rapport.</w:t>
      </w:r>
    </w:p>
    <w:p>
      <w:pPr>
        <w:pStyle w:val="BodyText"/>
        <w:ind w:left="0" w:right="0" w:firstLine="0"/>
        <w:jc w:val="left"/>
        <w:rPr>
          <w:sz w:val="20"/>
        </w:rPr>
      </w:pPr>
    </w:p>
    <w:p>
      <w:pPr>
        <w:pStyle w:val="BodyText"/>
        <w:spacing w:line="218" w:lineRule="auto" w:before="151"/>
        <w:ind w:right="97"/>
      </w:pPr>
      <w:r>
        <w:rPr>
          <w:color w:val="231F20"/>
        </w:rPr>
        <w:t>Les rapports précités sont déposés et publiés conformément aux articles 2:8 et 2:14, 4°. Ils sont annoncés dans l’ordre du jour de la première assemblée générale qui suit ou, si les statuts prévoient que l’assemblée générale a le pouvoir d’émission d’actions nouvelles, dans l’ordre du jour de l’assemblée générale qui décide de l’émission. Une copie peut en être obtenue conformément à l’article 6:70, § 2.</w:t>
      </w:r>
    </w:p>
    <w:p>
      <w:pPr>
        <w:pStyle w:val="BodyText"/>
        <w:ind w:left="0" w:right="0" w:firstLine="0"/>
        <w:jc w:val="left"/>
        <w:rPr>
          <w:sz w:val="20"/>
        </w:rPr>
      </w:pPr>
    </w:p>
    <w:p>
      <w:pPr>
        <w:pStyle w:val="BodyText"/>
        <w:spacing w:line="216" w:lineRule="auto" w:before="154"/>
        <w:ind w:right="97"/>
      </w:pPr>
      <w:r>
        <w:rPr>
          <w:color w:val="231F20"/>
        </w:rPr>
        <w:t>En cas d’absence de la description et de la justification par l’organe d’administration, prévue à l’alinéa 1</w:t>
      </w:r>
      <w:r>
        <w:rPr>
          <w:color w:val="231F20"/>
          <w:position w:val="7"/>
          <w:sz w:val="11"/>
        </w:rPr>
        <w:t>er</w:t>
      </w:r>
      <w:r>
        <w:rPr>
          <w:color w:val="231F20"/>
        </w:rPr>
        <w:t>, ou de l’évaluation et de la déclaration par le commissaire ou le réviseur d’entreprises, prévue à l’alinéa 2, la décision de l’assemblée générale est nulle. Si l’apport ne donne pas lieu à l’émission d’actions nouvelles, la décision de l’organe d’administration est nulle en l’absence du rapport de celui-ci ou du rapport du commissaire ou du réviseur d’entreprises sur l’apport en nature.</w:t>
      </w:r>
    </w:p>
    <w:p>
      <w:pPr>
        <w:pStyle w:val="BodyText"/>
        <w:spacing w:before="5"/>
        <w:ind w:left="0" w:right="0" w:firstLine="0"/>
        <w:jc w:val="left"/>
        <w:rPr>
          <w:sz w:val="16"/>
        </w:rPr>
      </w:pPr>
    </w:p>
    <w:p>
      <w:pPr>
        <w:pStyle w:val="BodyText"/>
        <w:spacing w:line="218" w:lineRule="auto"/>
        <w:ind w:right="98"/>
      </w:pPr>
      <w:r>
        <w:rPr>
          <w:color w:val="231F20"/>
        </w:rPr>
        <w:t>§ 2. Le paragraphe 1</w:t>
      </w:r>
      <w:r>
        <w:rPr>
          <w:color w:val="231F20"/>
          <w:position w:val="7"/>
          <w:sz w:val="11"/>
        </w:rPr>
        <w:t>er </w:t>
      </w:r>
      <w:r>
        <w:rPr>
          <w:color w:val="231F20"/>
        </w:rPr>
        <w:t>n’est pas applicable lorsqu’un apport en nature est constitué:</w:t>
      </w:r>
    </w:p>
    <w:p>
      <w:pPr>
        <w:pStyle w:val="BodyText"/>
        <w:spacing w:before="9"/>
        <w:ind w:left="0" w:right="0" w:firstLine="0"/>
        <w:jc w:val="left"/>
      </w:pPr>
    </w:p>
    <w:p>
      <w:pPr>
        <w:pStyle w:val="BodyText"/>
        <w:spacing w:line="218" w:lineRule="auto"/>
        <w:ind w:right="97"/>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spacing w:line="218" w:lineRule="auto" w:before="119"/>
      </w:pPr>
      <w:r>
        <w:rPr/>
        <w:br w:type="column"/>
      </w:r>
      <w:r>
        <w:rPr>
          <w:color w:val="231F20"/>
        </w:rPr>
        <w:t>De statuten kunnen de modaliteiten van dergelijke uitgifte vastleg- gen, en kunnen, al dan niet per soort, een maximum aantal aldus uit te geven aandelen vaststellen.</w:t>
      </w:r>
    </w:p>
    <w:p>
      <w:pPr>
        <w:pStyle w:val="BodyText"/>
        <w:spacing w:before="11"/>
        <w:ind w:left="0" w:right="0" w:firstLine="0"/>
        <w:jc w:val="left"/>
        <w:rPr>
          <w:sz w:val="16"/>
        </w:rPr>
      </w:pPr>
    </w:p>
    <w:p>
      <w:pPr>
        <w:pStyle w:val="BodyText"/>
        <w:spacing w:line="218" w:lineRule="auto"/>
      </w:pPr>
      <w:r>
        <w:rPr>
          <w:color w:val="231F20"/>
        </w:rPr>
        <w:t>§ 2. Het bestuursorgaan doet op de gewone algemene vergadering verslag over de uitgifte van nieuwe aandelen gedurende het voor- gaande boekjaar. Dat verslag bevat ten minste het aantal bestaande en nieuwe aandeelhouders die inschreven op nieuwe aandelen, het aantal en de soort aandelen waarop zij hebben ingeschreven, de betaalde vergoeding, de verantwoording van de uitgifteprijs, in  zoverre  deze niet statutair wordt bepaald, en de eventuele andere modaliteiten. De statuten kunnen bepalen dat ook de identiteit van de bestaande</w:t>
      </w:r>
      <w:r>
        <w:rPr>
          <w:color w:val="231F20"/>
          <w:spacing w:val="34"/>
        </w:rPr>
        <w:t> </w:t>
      </w:r>
      <w:r>
        <w:rPr>
          <w:color w:val="231F20"/>
        </w:rPr>
        <w:t>en nieuwe aandeelhouders moet worden</w:t>
      </w:r>
      <w:r>
        <w:rPr>
          <w:color w:val="231F20"/>
          <w:spacing w:val="26"/>
        </w:rPr>
        <w:t> </w:t>
      </w:r>
      <w:r>
        <w:rPr>
          <w:color w:val="231F20"/>
        </w:rPr>
        <w:t>vermeld.</w:t>
      </w:r>
    </w:p>
    <w:p>
      <w:pPr>
        <w:pStyle w:val="BodyText"/>
        <w:spacing w:before="10"/>
        <w:ind w:left="0" w:right="0" w:firstLine="0"/>
        <w:jc w:val="left"/>
        <w:rPr>
          <w:sz w:val="16"/>
        </w:rPr>
      </w:pPr>
    </w:p>
    <w:p>
      <w:pPr>
        <w:pStyle w:val="BodyText"/>
        <w:spacing w:line="218" w:lineRule="auto" w:before="1"/>
      </w:pPr>
      <w:r>
        <w:rPr>
          <w:color w:val="231F20"/>
        </w:rPr>
        <w:t>Deze gegevens worden opgenomen in het jaarverslag of, bij gebrek daaraan, in een stuk dat samen met de jaarrekening moet worden neergelegd, dan wel in een afzonderlijk verslag dat wordt neergelegd  en bekendgemaakt overeenkomstig de artikelen 2:8 en 2:14, 4°. Een kopie</w:t>
      </w:r>
      <w:r>
        <w:rPr>
          <w:color w:val="231F20"/>
          <w:spacing w:val="15"/>
        </w:rPr>
        <w:t> </w:t>
      </w:r>
      <w:r>
        <w:rPr>
          <w:color w:val="231F20"/>
        </w:rPr>
        <w:t>ervan</w:t>
      </w:r>
      <w:r>
        <w:rPr>
          <w:color w:val="231F20"/>
          <w:spacing w:val="15"/>
        </w:rPr>
        <w:t> </w:t>
      </w:r>
      <w:r>
        <w:rPr>
          <w:color w:val="231F20"/>
        </w:rPr>
        <w:t>kan</w:t>
      </w:r>
      <w:r>
        <w:rPr>
          <w:color w:val="231F20"/>
          <w:spacing w:val="16"/>
        </w:rPr>
        <w:t> </w:t>
      </w:r>
      <w:r>
        <w:rPr>
          <w:color w:val="231F20"/>
        </w:rPr>
        <w:t>worden</w:t>
      </w:r>
      <w:r>
        <w:rPr>
          <w:color w:val="231F20"/>
          <w:spacing w:val="15"/>
        </w:rPr>
        <w:t> </w:t>
      </w:r>
      <w:r>
        <w:rPr>
          <w:color w:val="231F20"/>
        </w:rPr>
        <w:t>verkregen</w:t>
      </w:r>
      <w:r>
        <w:rPr>
          <w:color w:val="231F20"/>
          <w:spacing w:val="16"/>
        </w:rPr>
        <w:t> </w:t>
      </w:r>
      <w:r>
        <w:rPr>
          <w:color w:val="231F20"/>
        </w:rPr>
        <w:t>overeenkomstig</w:t>
      </w:r>
      <w:r>
        <w:rPr>
          <w:color w:val="231F20"/>
          <w:spacing w:val="15"/>
        </w:rPr>
        <w:t> </w:t>
      </w:r>
      <w:r>
        <w:rPr>
          <w:color w:val="231F20"/>
        </w:rPr>
        <w:t>artikel</w:t>
      </w:r>
      <w:r>
        <w:rPr>
          <w:color w:val="231F20"/>
          <w:spacing w:val="16"/>
        </w:rPr>
        <w:t> </w:t>
      </w:r>
      <w:r>
        <w:rPr>
          <w:color w:val="231F20"/>
        </w:rPr>
        <w:t>6:70,</w:t>
      </w:r>
      <w:r>
        <w:rPr>
          <w:color w:val="231F20"/>
          <w:spacing w:val="15"/>
        </w:rPr>
        <w:t> </w:t>
      </w:r>
      <w:r>
        <w:rPr>
          <w:color w:val="231F20"/>
        </w:rPr>
        <w:t>§</w:t>
      </w:r>
      <w:r>
        <w:rPr>
          <w:color w:val="231F20"/>
          <w:spacing w:val="16"/>
        </w:rPr>
        <w:t> </w:t>
      </w:r>
      <w:r>
        <w:rPr>
          <w:color w:val="231F20"/>
        </w:rPr>
        <w:t>2.</w:t>
      </w:r>
    </w:p>
    <w:p>
      <w:pPr>
        <w:pStyle w:val="BodyText"/>
        <w:spacing w:before="10"/>
        <w:ind w:left="0" w:right="0" w:firstLine="0"/>
        <w:jc w:val="left"/>
        <w:rPr>
          <w:sz w:val="16"/>
        </w:rPr>
      </w:pPr>
    </w:p>
    <w:p>
      <w:pPr>
        <w:pStyle w:val="BodyText"/>
        <w:spacing w:line="218" w:lineRule="auto"/>
      </w:pPr>
      <w:r>
        <w:rPr>
          <w:color w:val="231F20"/>
        </w:rPr>
        <w:t>Het bestuursorgaan werkt het aandelenregister bij. Meer bepaald worden vermeld: het aantal nieuwe aandelen, in voorkomend geval de soort, de identiteit van de inschrijvers, de datum waarop de aandelen worden uitgegeven, de inschrijvingsprijs en de gedane stortingen.</w:t>
      </w:r>
    </w:p>
    <w:p>
      <w:pPr>
        <w:pStyle w:val="BodyText"/>
        <w:spacing w:before="10"/>
        <w:ind w:left="0" w:right="0" w:firstLine="0"/>
        <w:jc w:val="left"/>
        <w:rPr>
          <w:sz w:val="16"/>
        </w:rPr>
      </w:pPr>
    </w:p>
    <w:p>
      <w:pPr>
        <w:pStyle w:val="BodyText"/>
        <w:spacing w:line="218" w:lineRule="auto" w:before="1"/>
      </w:pPr>
      <w:r>
        <w:rPr>
          <w:color w:val="231F20"/>
        </w:rPr>
        <w:t>Art. 6:109. Tenzij de statuten anders bepalen, moeten aandelen bij hun uitgifte worden volgestort.</w:t>
      </w:r>
    </w:p>
    <w:p>
      <w:pPr>
        <w:pStyle w:val="BodyText"/>
        <w:spacing w:before="178"/>
        <w:ind w:left="283" w:right="0" w:firstLine="0"/>
        <w:jc w:val="left"/>
      </w:pPr>
      <w:r>
        <w:rPr>
          <w:color w:val="231F20"/>
        </w:rPr>
        <w:t>Afdeling 2. Inbreng in natura.</w:t>
      </w:r>
    </w:p>
    <w:p>
      <w:pPr>
        <w:pStyle w:val="BodyText"/>
        <w:spacing w:before="6"/>
        <w:ind w:left="0" w:right="0" w:firstLine="0"/>
        <w:jc w:val="left"/>
        <w:rPr>
          <w:sz w:val="16"/>
        </w:rPr>
      </w:pPr>
    </w:p>
    <w:p>
      <w:pPr>
        <w:pStyle w:val="BodyText"/>
        <w:spacing w:line="218" w:lineRule="auto"/>
      </w:pPr>
      <w:r>
        <w:rPr>
          <w:color w:val="231F20"/>
        </w:rPr>
        <w:t>Art. 6:110. § 1. Ingeval van inbreng in natura zet het bestuursorgaan in het in artikel 6:108, § 2, bedoelde verslag uiteen waarom de inbreng van belang is voor de vennootschap. Het verslag bevat een beschrijving van elke inbreng in natura en bevat daarvan een gemotiveerde waardering. Het geeft aan welke vergoeding als tegenprestatie voor de inbreng wordt verstrekt. Het bestuursorgaan deelt dit verslag in ontwerp mee aan de commissaris of, als er geen commissaris is, een door het bestuursorgaan aangestelde bedrijfsrevisor.</w:t>
      </w:r>
    </w:p>
    <w:p>
      <w:pPr>
        <w:pStyle w:val="BodyText"/>
        <w:ind w:left="0" w:right="0" w:firstLine="0"/>
        <w:jc w:val="left"/>
      </w:pPr>
    </w:p>
    <w:p>
      <w:pPr>
        <w:pStyle w:val="BodyText"/>
        <w:spacing w:line="218" w:lineRule="auto"/>
      </w:pPr>
      <w:r>
        <w:rPr>
          <w:color w:val="231F20"/>
        </w:rPr>
        <w:t>De commissaris of, als er geen commissaris is, een bedrijfsrevisor aangewezen  door  het  bestuursorgaan,  onderzoekt  in  het  in  arti-  kel 6:108, § 2, bedoelde verslag de door het bestuursorgaan gegeven beschrijving van elke inbreng in natura, de toegepaste waardering en  de daartoe aangewende waarderingsmethoden. Het verslag moet aangeven of de waarden waartoe de toegepaste methoden leiden, ten minste overeenkomen met de waarde van de inbreng die in de akte wordt vermeld. Het vermeldt welke werkelijke vergoeding als tegen- prestatie</w:t>
      </w:r>
      <w:r>
        <w:rPr>
          <w:color w:val="231F20"/>
          <w:spacing w:val="15"/>
        </w:rPr>
        <w:t> </w:t>
      </w:r>
      <w:r>
        <w:rPr>
          <w:color w:val="231F20"/>
        </w:rPr>
        <w:t>voor</w:t>
      </w:r>
      <w:r>
        <w:rPr>
          <w:color w:val="231F20"/>
          <w:spacing w:val="15"/>
        </w:rPr>
        <w:t> </w:t>
      </w:r>
      <w:r>
        <w:rPr>
          <w:color w:val="231F20"/>
        </w:rPr>
        <w:t>de</w:t>
      </w:r>
      <w:r>
        <w:rPr>
          <w:color w:val="231F20"/>
          <w:spacing w:val="16"/>
        </w:rPr>
        <w:t> </w:t>
      </w:r>
      <w:r>
        <w:rPr>
          <w:color w:val="231F20"/>
        </w:rPr>
        <w:t>inbreng</w:t>
      </w:r>
      <w:r>
        <w:rPr>
          <w:color w:val="231F20"/>
          <w:spacing w:val="15"/>
        </w:rPr>
        <w:t> </w:t>
      </w:r>
      <w:r>
        <w:rPr>
          <w:color w:val="231F20"/>
        </w:rPr>
        <w:t>wordt</w:t>
      </w:r>
      <w:r>
        <w:rPr>
          <w:color w:val="231F20"/>
          <w:spacing w:val="16"/>
        </w:rPr>
        <w:t> </w:t>
      </w:r>
      <w:r>
        <w:rPr>
          <w:color w:val="231F20"/>
        </w:rPr>
        <w:t>verstrekt.</w:t>
      </w:r>
    </w:p>
    <w:p>
      <w:pPr>
        <w:pStyle w:val="BodyText"/>
        <w:spacing w:before="11"/>
        <w:ind w:left="0" w:right="0" w:firstLine="0"/>
        <w:jc w:val="left"/>
        <w:rPr>
          <w:sz w:val="16"/>
        </w:rPr>
      </w:pPr>
    </w:p>
    <w:p>
      <w:pPr>
        <w:pStyle w:val="BodyText"/>
        <w:spacing w:line="218" w:lineRule="auto"/>
      </w:pPr>
      <w:r>
        <w:rPr>
          <w:color w:val="231F20"/>
        </w:rPr>
        <w:t>In het in het eerste lid bedoelde verslag, waarbij het in het tweede lid bedoelde verslag wordt gevoegd, geeft het bestuursorgaan in voorko- mend geval aan waarom het van de conclusies van dit laatste verslag afwijkt.</w:t>
      </w:r>
    </w:p>
    <w:p>
      <w:pPr>
        <w:pStyle w:val="BodyText"/>
        <w:spacing w:before="9"/>
        <w:ind w:left="0" w:right="0" w:firstLine="0"/>
        <w:jc w:val="left"/>
      </w:pPr>
    </w:p>
    <w:p>
      <w:pPr>
        <w:pStyle w:val="BodyText"/>
        <w:spacing w:line="218" w:lineRule="auto"/>
      </w:pPr>
      <w:r>
        <w:rPr>
          <w:color w:val="231F20"/>
        </w:rPr>
        <w:t>De hierboven bedoelde verslagen worden neergelegd en bekendge- maakt overeenkomstig de artikelen 2:8 en 2:14, 4°. Zij worden in de agenda vermeld van de eerstvolgende algemene vergadering of, indien de statuten bepalen dat de bevoegdheid tot uitgifte van nieuwe aandelen bij de algemene vergadering ligt, in de agenda van de algemene vergadering die over de uitgifte besluit. Een kopie ervan kan worden</w:t>
      </w:r>
      <w:r>
        <w:rPr>
          <w:color w:val="231F20"/>
          <w:spacing w:val="14"/>
        </w:rPr>
        <w:t> </w:t>
      </w:r>
      <w:r>
        <w:rPr>
          <w:color w:val="231F20"/>
        </w:rPr>
        <w:t>verkregen</w:t>
      </w:r>
      <w:r>
        <w:rPr>
          <w:color w:val="231F20"/>
          <w:spacing w:val="15"/>
        </w:rPr>
        <w:t> </w:t>
      </w:r>
      <w:r>
        <w:rPr>
          <w:color w:val="231F20"/>
        </w:rPr>
        <w:t>overeenkomstig</w:t>
      </w:r>
      <w:r>
        <w:rPr>
          <w:color w:val="231F20"/>
          <w:spacing w:val="14"/>
        </w:rPr>
        <w:t> </w:t>
      </w:r>
      <w:r>
        <w:rPr>
          <w:color w:val="231F20"/>
        </w:rPr>
        <w:t>artikel</w:t>
      </w:r>
      <w:r>
        <w:rPr>
          <w:color w:val="231F20"/>
          <w:spacing w:val="15"/>
        </w:rPr>
        <w:t> </w:t>
      </w:r>
      <w:r>
        <w:rPr>
          <w:color w:val="231F20"/>
        </w:rPr>
        <w:t>6:70,</w:t>
      </w:r>
      <w:r>
        <w:rPr>
          <w:color w:val="231F20"/>
          <w:spacing w:val="14"/>
        </w:rPr>
        <w:t> </w:t>
      </w:r>
      <w:r>
        <w:rPr>
          <w:color w:val="231F20"/>
        </w:rPr>
        <w:t>§</w:t>
      </w:r>
      <w:r>
        <w:rPr>
          <w:color w:val="231F20"/>
          <w:spacing w:val="15"/>
        </w:rPr>
        <w:t> </w:t>
      </w:r>
      <w:r>
        <w:rPr>
          <w:color w:val="231F20"/>
        </w:rPr>
        <w:t>2.</w:t>
      </w:r>
    </w:p>
    <w:p>
      <w:pPr>
        <w:pStyle w:val="BodyText"/>
        <w:spacing w:before="10"/>
        <w:ind w:left="0" w:right="0" w:firstLine="0"/>
        <w:jc w:val="left"/>
      </w:pPr>
    </w:p>
    <w:p>
      <w:pPr>
        <w:pStyle w:val="BodyText"/>
        <w:spacing w:line="218" w:lineRule="auto"/>
      </w:pPr>
      <w:r>
        <w:rPr>
          <w:color w:val="231F20"/>
        </w:rPr>
        <w:t>Wanneer de in het eerste lid bedoelde beschrijving en verantwoor- ding door het bestuursorgaan, of van de in het tweede lid bedoelde waardering en verklaring van de commissaris of van de bedrijfsrevisor ontbreekt, is het besluit van de algemene vergadering nietig. Indien de inbreng zonder uitgifte van nieuwe aandelen plaatsvindt, is het besluit van het bestuursorgaan nietig wanneer het verslag van het bestuurs- orgaan of het verslag van de commissaris of bedrijfsrevisor over de inbreng in natura ontbreekt.</w:t>
      </w:r>
    </w:p>
    <w:p>
      <w:pPr>
        <w:pStyle w:val="BodyText"/>
        <w:spacing w:before="10"/>
        <w:ind w:left="0" w:right="0" w:firstLine="0"/>
        <w:jc w:val="left"/>
      </w:pPr>
    </w:p>
    <w:p>
      <w:pPr>
        <w:pStyle w:val="BodyText"/>
        <w:spacing w:line="218" w:lineRule="auto" w:before="1"/>
      </w:pPr>
      <w:r>
        <w:rPr>
          <w:color w:val="231F20"/>
        </w:rPr>
        <w:t>§ 2. Paragraaf 1 is niet van toepassing wanneer een inbreng in natura plaatsvindt:</w:t>
      </w:r>
    </w:p>
    <w:p>
      <w:pPr>
        <w:pStyle w:val="BodyText"/>
        <w:spacing w:before="9"/>
        <w:ind w:left="0" w:right="0" w:firstLine="0"/>
        <w:jc w:val="left"/>
      </w:pPr>
    </w:p>
    <w:p>
      <w:pPr>
        <w:pStyle w:val="BodyText"/>
        <w:spacing w:line="218" w:lineRule="auto"/>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de drie maanden voorafgaand aan  de  daadwerkelijke datum van de verwezenlijking van de inbreng in natura op een of meer gereglementeerde markten zoals bepaald in artikel 3, 7°, 8° en 9°, van de wet van 21 november 2017 over de infrastructuren voor de markten voor financiële instrumenten en houdende omzetting van richtlijn 2014/65/EU worden</w:t>
      </w:r>
      <w:r>
        <w:rPr>
          <w:color w:val="231F20"/>
          <w:spacing w:val="-11"/>
        </w:rPr>
        <w:t> </w:t>
      </w:r>
      <w:r>
        <w:rPr>
          <w:color w:val="231F20"/>
        </w:rPr>
        <w:t>verhandeld;</w:t>
      </w:r>
    </w:p>
    <w:p>
      <w:pPr>
        <w:spacing w:after="0" w:line="218" w:lineRule="auto"/>
        <w:sectPr>
          <w:pgSz w:w="11940" w:h="16880"/>
          <w:pgMar w:header="666" w:footer="0" w:top="1140" w:bottom="280" w:left="340" w:right="360"/>
          <w:cols w:num="2" w:equalWidth="0">
            <w:col w:w="5586" w:space="42"/>
            <w:col w:w="5612"/>
          </w:cols>
        </w:sectPr>
      </w:pPr>
    </w:p>
    <w:p>
      <w:pPr>
        <w:pStyle w:val="BodyText"/>
        <w:spacing w:line="218" w:lineRule="auto" w:before="120"/>
        <w:ind w:right="38"/>
      </w:pPr>
      <w:r>
        <w:rPr/>
        <w:pict>
          <v:line style="position:absolute;mso-position-horizontal-relative:page;mso-position-vertical-relative:page;z-index:4408" from="298.170502pt,64.473pt" to="298.170502pt,812.819pt" stroked="true" strokeweight=".533pt" strokecolor="#231f20">
            <v:stroke dashstyle="solid"/>
            <w10:wrap type="none"/>
          </v:line>
        </w:pict>
      </w:r>
      <w:bookmarkStart w:name="_bookmark141" w:id="146"/>
      <w:bookmarkEnd w:id="146"/>
      <w:r>
        <w:rPr/>
      </w: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0"/>
          <w:numId w:val="104"/>
        </w:numPr>
        <w:tabs>
          <w:tab w:pos="456" w:val="left" w:leader="none"/>
        </w:tabs>
        <w:spacing w:line="218" w:lineRule="auto" w:before="93" w:after="0"/>
        <w:ind w:left="113" w:right="38" w:firstLine="170"/>
        <w:jc w:val="both"/>
        <w:rPr>
          <w:sz w:val="17"/>
        </w:rPr>
      </w:pPr>
      <w:r>
        <w:rPr>
          <w:color w:val="231F20"/>
          <w:sz w:val="17"/>
        </w:rPr>
        <w:t>la juste valeur est déterminée à une date qui ne précède pas de plus de</w:t>
      </w:r>
      <w:r>
        <w:rPr>
          <w:color w:val="231F20"/>
          <w:spacing w:val="15"/>
          <w:sz w:val="17"/>
        </w:rPr>
        <w:t> </w:t>
      </w:r>
      <w:r>
        <w:rPr>
          <w:color w:val="231F20"/>
          <w:sz w:val="17"/>
        </w:rPr>
        <w:t>six</w:t>
      </w:r>
      <w:r>
        <w:rPr>
          <w:color w:val="231F20"/>
          <w:spacing w:val="15"/>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6"/>
          <w:sz w:val="17"/>
        </w:rPr>
        <w:t> </w:t>
      </w:r>
      <w:r>
        <w:rPr>
          <w:color w:val="231F20"/>
          <w:sz w:val="17"/>
        </w:rPr>
        <w:t>effective</w:t>
      </w:r>
      <w:r>
        <w:rPr>
          <w:color w:val="231F20"/>
          <w:spacing w:val="15"/>
          <w:sz w:val="17"/>
        </w:rPr>
        <w:t> </w:t>
      </w:r>
      <w:r>
        <w:rPr>
          <w:color w:val="231F20"/>
          <w:sz w:val="17"/>
        </w:rPr>
        <w:t>de</w:t>
      </w:r>
      <w:r>
        <w:rPr>
          <w:color w:val="231F20"/>
          <w:spacing w:val="15"/>
          <w:sz w:val="17"/>
        </w:rPr>
        <w:t> </w:t>
      </w:r>
      <w:r>
        <w:rPr>
          <w:color w:val="231F20"/>
          <w:sz w:val="17"/>
        </w:rPr>
        <w:t>l’apport;</w:t>
      </w:r>
    </w:p>
    <w:p>
      <w:pPr>
        <w:pStyle w:val="BodyText"/>
        <w:spacing w:before="8"/>
        <w:ind w:left="0" w:right="0" w:firstLine="0"/>
        <w:jc w:val="left"/>
        <w:rPr>
          <w:sz w:val="23"/>
        </w:rPr>
      </w:pPr>
    </w:p>
    <w:p>
      <w:pPr>
        <w:pStyle w:val="ListParagraph"/>
        <w:numPr>
          <w:ilvl w:val="0"/>
          <w:numId w:val="104"/>
        </w:numPr>
        <w:tabs>
          <w:tab w:pos="509" w:val="left" w:leader="none"/>
        </w:tabs>
        <w:spacing w:line="218" w:lineRule="auto" w:before="0"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line="218" w:lineRule="auto" w:before="96"/>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82"/>
        <w:ind w:right="38"/>
      </w:pPr>
      <w:r>
        <w:rPr>
          <w:color w:val="231F20"/>
        </w:rPr>
        <w:t>Le paragraphe 1</w:t>
      </w:r>
      <w:r>
        <w:rPr>
          <w:color w:val="231F20"/>
          <w:position w:val="7"/>
          <w:sz w:val="11"/>
        </w:rPr>
        <w:t>er </w:t>
      </w:r>
      <w:r>
        <w:rPr>
          <w:color w:val="231F20"/>
        </w:rPr>
        <w:t>s’applique toutefois à la réévaluation effectuée à l’initiative et sous la responsabilité de l’organe d’administration:</w:t>
      </w:r>
    </w:p>
    <w:p>
      <w:pPr>
        <w:pStyle w:val="BodyText"/>
        <w:spacing w:before="7"/>
        <w:ind w:left="0" w:right="0" w:firstLine="0"/>
        <w:jc w:val="left"/>
        <w:rPr>
          <w:sz w:val="22"/>
        </w:rPr>
      </w:pPr>
    </w:p>
    <w:p>
      <w:pPr>
        <w:pStyle w:val="BodyText"/>
        <w:spacing w:line="218" w:lineRule="auto"/>
        <w:ind w:right="38"/>
      </w:pPr>
      <w:r>
        <w:rPr>
          <w:color w:val="231F20"/>
        </w:rPr>
        <w:t>1° dans le cas prévu au paragraphe 2, alinéa 1</w:t>
      </w:r>
      <w:r>
        <w:rPr>
          <w:color w:val="231F20"/>
          <w:position w:val="7"/>
          <w:sz w:val="11"/>
        </w:rPr>
        <w:t>er</w:t>
      </w:r>
      <w:r>
        <w:rPr>
          <w:color w:val="231F20"/>
        </w:rPr>
        <w:t>, 1°, si le prix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before="7"/>
        <w:ind w:left="0" w:right="0" w:firstLine="0"/>
        <w:jc w:val="left"/>
        <w:rPr>
          <w:sz w:val="22"/>
        </w:rPr>
      </w:pPr>
    </w:p>
    <w:p>
      <w:pPr>
        <w:pStyle w:val="BodyText"/>
        <w:spacing w:line="218" w:lineRule="auto"/>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spacing w:before="4"/>
        <w:ind w:left="0" w:right="0" w:firstLine="0"/>
        <w:jc w:val="left"/>
        <w:rPr>
          <w:sz w:val="24"/>
        </w:rPr>
      </w:pPr>
    </w:p>
    <w:p>
      <w:pPr>
        <w:pStyle w:val="BodyText"/>
        <w:spacing w:line="211" w:lineRule="auto"/>
        <w:ind w:right="38"/>
      </w:pPr>
      <w:r>
        <w:rPr>
          <w:color w:val="231F20"/>
        </w:rPr>
        <w:t>Faute d’une réévaluation telle que visée au paragraphe 2, alinéa 2, 2°, un ou plusieurs actionnaires détenant un pourcentage total d’au moins 5 % des actions de la société au jour de l’apport peuvent demander une évaluation par un réviseur d’entreprises conformément au paragraphe </w:t>
      </w:r>
      <w:r>
        <w:rPr>
          <w:color w:val="231F20"/>
          <w:position w:val="-6"/>
        </w:rPr>
        <w:t>1</w:t>
      </w:r>
      <w:r>
        <w:rPr>
          <w:color w:val="231F20"/>
          <w:sz w:val="11"/>
        </w:rPr>
        <w:t>er</w:t>
      </w:r>
      <w:r>
        <w:rPr>
          <w:color w:val="231F20"/>
          <w:position w:val="-6"/>
        </w:rPr>
        <w:t>.</w:t>
      </w:r>
    </w:p>
    <w:p>
      <w:pPr>
        <w:pStyle w:val="BodyText"/>
        <w:spacing w:line="218" w:lineRule="auto" w:before="106"/>
        <w:ind w:right="38"/>
      </w:pPr>
      <w:r>
        <w:rPr>
          <w:color w:val="231F20"/>
        </w:rPr>
        <w:t>Cette demande peut être faite jusqu’à la date effective de l’apport de l’élément d’actif, à condition que, à la date de la demande, le ou les actionnaires en question détiennent toujours un pourcentage total d’au moins 5 % des actions au jour de l’apport.</w:t>
      </w:r>
    </w:p>
    <w:p>
      <w:pPr>
        <w:pStyle w:val="BodyText"/>
        <w:spacing w:before="82"/>
        <w:ind w:left="283" w:right="0" w:firstLine="0"/>
        <w:jc w:val="left"/>
      </w:pPr>
      <w:r>
        <w:rPr>
          <w:color w:val="231F20"/>
        </w:rPr>
        <w:t>Les frais de cette réévaluation sont à charge de la société.</w:t>
      </w:r>
    </w:p>
    <w:p>
      <w:pPr>
        <w:pStyle w:val="BodyText"/>
        <w:spacing w:before="10"/>
        <w:ind w:left="0" w:right="0" w:firstLine="0"/>
        <w:jc w:val="left"/>
        <w:rPr>
          <w:sz w:val="23"/>
        </w:rPr>
      </w:pPr>
    </w:p>
    <w:p>
      <w:pPr>
        <w:pStyle w:val="BodyText"/>
        <w:spacing w:line="213" w:lineRule="auto"/>
        <w:ind w:right="38"/>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10"/>
        <w:ind w:left="0" w:right="0" w:firstLine="0"/>
        <w:jc w:val="left"/>
        <w:rPr>
          <w:sz w:val="22"/>
        </w:rPr>
      </w:pPr>
    </w:p>
    <w:p>
      <w:pPr>
        <w:pStyle w:val="BodyText"/>
        <w:spacing w:line="338" w:lineRule="auto"/>
        <w:ind w:left="283" w:right="1360" w:firstLine="0"/>
        <w:jc w:val="left"/>
      </w:pPr>
      <w:r>
        <w:rPr>
          <w:color w:val="231F20"/>
        </w:rPr>
        <w:t>1° une description de l’apport en nature concerné; 2° le nom de l’apporteur;</w:t>
      </w:r>
    </w:p>
    <w:p>
      <w:pPr>
        <w:pStyle w:val="BodyText"/>
        <w:spacing w:line="218" w:lineRule="auto" w:before="13"/>
        <w:ind w:right="38"/>
      </w:pPr>
      <w:r>
        <w:rPr>
          <w:color w:val="231F20"/>
        </w:rPr>
        <w:t>3° la valeur de cet apport, l’origine de cette évaluation et, le cas échéant, le mode d’évaluation;</w:t>
      </w:r>
    </w:p>
    <w:p>
      <w:pPr>
        <w:pStyle w:val="BodyText"/>
        <w:spacing w:line="218" w:lineRule="auto" w:before="106"/>
        <w:ind w:right="38"/>
      </w:pPr>
      <w:r>
        <w:rPr>
          <w:color w:val="231F20"/>
        </w:rPr>
        <w:t>4° le nombre des actions émises en contrepartie de chaque apport en nature;</w:t>
      </w:r>
    </w:p>
    <w:p>
      <w:pPr>
        <w:pStyle w:val="BodyText"/>
        <w:spacing w:line="218" w:lineRule="auto" w:before="107"/>
        <w:ind w:right="38"/>
      </w:pPr>
      <w:r>
        <w:rPr>
          <w:color w:val="231F20"/>
        </w:rPr>
        <w:t>5° une attestation selon laquelle aucune circonstance nouvelle susceptible d’influencer l’évaluation initiale n’est survenue.</w:t>
      </w:r>
    </w:p>
    <w:p>
      <w:pPr>
        <w:pStyle w:val="BodyText"/>
        <w:spacing w:before="10"/>
        <w:ind w:left="0" w:right="0" w:firstLine="0"/>
        <w:jc w:val="left"/>
        <w:rPr>
          <w:sz w:val="24"/>
        </w:rPr>
      </w:pPr>
    </w:p>
    <w:p>
      <w:pPr>
        <w:pStyle w:val="BodyText"/>
        <w:spacing w:line="218" w:lineRule="auto"/>
        <w:ind w:right="38"/>
      </w:pPr>
      <w:r>
        <w:rPr>
          <w:color w:val="231F20"/>
        </w:rPr>
        <w:t>§ 4. Si l’émission d’actions a lieu contre un apport en nature en application de la procédure prévue au paragraphe 2, un avis indiquant la date à laquelle la décision d’émettre les actions a été prise et contenant les éléments mentionnés au paragraphe 3, est déposé et publié conformément aux articles 2:8 et 2:14, 4°, avant la réalisation de l’apport. Dans ce cas, la déclaration prévue au paragraphe 3, doit uniquement attester qu’aucune circonstance particulière nouvelle n’est survenue depuis la publication de l’avis.</w:t>
      </w:r>
    </w:p>
    <w:p>
      <w:pPr>
        <w:pStyle w:val="BodyText"/>
        <w:spacing w:before="8"/>
        <w:ind w:left="0" w:right="0" w:firstLine="0"/>
        <w:jc w:val="left"/>
        <w:rPr>
          <w:sz w:val="23"/>
        </w:rPr>
      </w:pPr>
    </w:p>
    <w:p>
      <w:pPr>
        <w:pStyle w:val="BodyText"/>
        <w:ind w:left="283" w:right="0" w:firstLine="0"/>
        <w:jc w:val="left"/>
      </w:pPr>
      <w:r>
        <w:rPr>
          <w:color w:val="231F20"/>
        </w:rPr>
        <w:t>Section 3. Garantie et responsabilité.</w:t>
      </w:r>
    </w:p>
    <w:p>
      <w:pPr>
        <w:pStyle w:val="BodyText"/>
        <w:spacing w:line="218" w:lineRule="auto" w:before="103"/>
        <w:ind w:right="38"/>
      </w:pPr>
      <w:r>
        <w:rPr>
          <w:color w:val="231F20"/>
        </w:rPr>
        <w:t>Art. 6:111. Nonobstant toute disposition contraire, les membres de l’organe d’administration sont tenus solidairement envers les intéres- sés:</w:t>
      </w:r>
    </w:p>
    <w:p>
      <w:pPr>
        <w:pStyle w:val="BodyText"/>
        <w:spacing w:line="218" w:lineRule="auto" w:before="107"/>
        <w:ind w:right="38"/>
      </w:pPr>
      <w:r>
        <w:rPr>
          <w:color w:val="231F20"/>
        </w:rPr>
        <w:t>1° des actions qui ne seraient pas valablement souscrites conformé- ment à l’article 6:106; ils en sont de plein droit réputés souscripteurs;</w:t>
      </w:r>
    </w:p>
    <w:p>
      <w:pPr>
        <w:pStyle w:val="BodyText"/>
        <w:spacing w:before="10"/>
        <w:ind w:left="0" w:right="0" w:firstLine="0"/>
        <w:jc w:val="left"/>
        <w:rPr>
          <w:sz w:val="24"/>
        </w:rPr>
      </w:pPr>
    </w:p>
    <w:p>
      <w:pPr>
        <w:pStyle w:val="BodyText"/>
        <w:spacing w:line="218" w:lineRule="auto"/>
        <w:ind w:right="38"/>
      </w:pPr>
      <w:r>
        <w:rPr>
          <w:color w:val="231F20"/>
        </w:rPr>
        <w:t>2° de la libération effective des actions dont ils sont réputés souscripteurs en vertu du 1°.</w:t>
      </w:r>
    </w:p>
    <w:p>
      <w:pPr>
        <w:pStyle w:val="BodyText"/>
        <w:spacing w:line="218" w:lineRule="auto" w:before="119"/>
      </w:pPr>
      <w:r>
        <w:rPr/>
        <w:br w:type="column"/>
      </w:r>
      <w:r>
        <w:rPr>
          <w:color w:val="231F20"/>
        </w:rPr>
        <w:t>2° in de vorm van andere vermogensbestanddelen dan de in het 1° bedoelde effecten en geldmarktinstrumenten, die reeds door een bedrijfsrevisor zijn gewaardeerd en wanneer aan de volgende voor- waarden is voldaan:</w:t>
      </w:r>
    </w:p>
    <w:p>
      <w:pPr>
        <w:pStyle w:val="ListParagraph"/>
        <w:numPr>
          <w:ilvl w:val="0"/>
          <w:numId w:val="105"/>
        </w:numPr>
        <w:tabs>
          <w:tab w:pos="464" w:val="left" w:leader="none"/>
        </w:tabs>
        <w:spacing w:line="218" w:lineRule="auto" w:before="94"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ListParagraph"/>
        <w:numPr>
          <w:ilvl w:val="0"/>
          <w:numId w:val="105"/>
        </w:numPr>
        <w:tabs>
          <w:tab w:pos="480" w:val="left" w:leader="none"/>
        </w:tabs>
        <w:spacing w:line="218" w:lineRule="auto" w:before="94"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line="218" w:lineRule="auto" w:before="96"/>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96"/>
      </w:pPr>
      <w:r>
        <w:rPr>
          <w:color w:val="231F20"/>
        </w:rPr>
        <w:t>Paragraaf 1 is evenwel van toepassing op de herwaardering waartoe wordt overgegaan op initiatief en onder de verantwoordelijkheid van het</w:t>
      </w:r>
      <w:r>
        <w:rPr>
          <w:color w:val="231F20"/>
          <w:spacing w:val="14"/>
        </w:rPr>
        <w:t> </w:t>
      </w:r>
      <w:r>
        <w:rPr>
          <w:color w:val="231F20"/>
        </w:rPr>
        <w:t>bestuursorgaan:</w:t>
      </w:r>
    </w:p>
    <w:p>
      <w:pPr>
        <w:pStyle w:val="BodyText"/>
        <w:spacing w:line="218" w:lineRule="auto" w:before="97"/>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w:t>
      </w:r>
      <w:r>
        <w:rPr>
          <w:color w:val="231F20"/>
          <w:spacing w:val="3"/>
        </w:rPr>
        <w:t> </w:t>
      </w:r>
      <w:r>
        <w:rPr>
          <w:color w:val="231F20"/>
        </w:rPr>
        <w:t>is;</w:t>
      </w:r>
    </w:p>
    <w:p>
      <w:pPr>
        <w:pStyle w:val="BodyText"/>
        <w:spacing w:line="218" w:lineRule="auto" w:before="96"/>
      </w:pPr>
      <w:r>
        <w:rPr>
          <w:color w:val="231F20"/>
        </w:rPr>
        <w:t>2° op de in paragraaf 2, eerste lid, 2° en 3° bepaalde gevallen indien nieuwe bijzondere omstandigheden zouden leiden tot een aanzienlijke wijziging van de waarde in het economisch verkeer van het vermo- gensbestanddeel op de effectieve datum van de inbreng ervan.</w:t>
      </w:r>
    </w:p>
    <w:p>
      <w:pPr>
        <w:pStyle w:val="BodyText"/>
        <w:spacing w:line="218" w:lineRule="auto" w:before="96"/>
      </w:pPr>
      <w:r>
        <w:rPr>
          <w:color w:val="231F20"/>
        </w:rPr>
        <w:t>Bij het ontbreken van een herwaardering zoals bedoeld in paragraaf 2, tweede lid, 2°, kunnen een of meer aandeelhouders die op de dag van de inbreng gezamenlijk ten minste 5 % van de aandelen in hun bezit hebben, een waardering volgens paragraaf 1 door een bedrijfsrevisor eisen.</w:t>
      </w:r>
    </w:p>
    <w:p>
      <w:pPr>
        <w:pStyle w:val="BodyText"/>
        <w:spacing w:line="218" w:lineRule="auto" w:before="97"/>
      </w:pPr>
      <w:r>
        <w:rPr>
          <w:color w:val="231F20"/>
        </w:rPr>
        <w:t>Deze eis kan worden ingediend tot de effectieve datum van de inbreng van het vermogensbestanddeel, op voorwaarde dat zij op datum van de eis nog steeds gezamenlijk ten minste 5 % van de aandelen</w:t>
      </w:r>
      <w:r>
        <w:rPr>
          <w:color w:val="231F20"/>
          <w:spacing w:val="16"/>
        </w:rPr>
        <w:t> </w:t>
      </w:r>
      <w:r>
        <w:rPr>
          <w:color w:val="231F20"/>
        </w:rPr>
        <w:t>op</w:t>
      </w:r>
      <w:r>
        <w:rPr>
          <w:color w:val="231F20"/>
          <w:spacing w:val="17"/>
        </w:rPr>
        <w:t> </w:t>
      </w:r>
      <w:r>
        <w:rPr>
          <w:color w:val="231F20"/>
        </w:rPr>
        <w:t>de</w:t>
      </w:r>
      <w:r>
        <w:rPr>
          <w:color w:val="231F20"/>
          <w:spacing w:val="16"/>
        </w:rPr>
        <w:t> </w:t>
      </w:r>
      <w:r>
        <w:rPr>
          <w:color w:val="231F20"/>
        </w:rPr>
        <w:t>dag</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inbreng,</w:t>
      </w:r>
      <w:r>
        <w:rPr>
          <w:color w:val="231F20"/>
          <w:spacing w:val="17"/>
        </w:rPr>
        <w:t> </w:t>
      </w:r>
      <w:r>
        <w:rPr>
          <w:color w:val="231F20"/>
        </w:rPr>
        <w:t>in</w:t>
      </w:r>
      <w:r>
        <w:rPr>
          <w:color w:val="231F20"/>
          <w:spacing w:val="16"/>
        </w:rPr>
        <w:t> </w:t>
      </w:r>
      <w:r>
        <w:rPr>
          <w:color w:val="231F20"/>
        </w:rPr>
        <w:t>hun</w:t>
      </w:r>
      <w:r>
        <w:rPr>
          <w:color w:val="231F20"/>
          <w:spacing w:val="17"/>
        </w:rPr>
        <w:t> </w:t>
      </w:r>
      <w:r>
        <w:rPr>
          <w:color w:val="231F20"/>
        </w:rPr>
        <w:t>bezit</w:t>
      </w:r>
      <w:r>
        <w:rPr>
          <w:color w:val="231F20"/>
          <w:spacing w:val="16"/>
        </w:rPr>
        <w:t> </w:t>
      </w:r>
      <w:r>
        <w:rPr>
          <w:color w:val="231F20"/>
        </w:rPr>
        <w:t>hebben.</w:t>
      </w:r>
    </w:p>
    <w:p>
      <w:pPr>
        <w:pStyle w:val="BodyText"/>
        <w:spacing w:line="218" w:lineRule="auto" w:before="96"/>
      </w:pPr>
      <w:r>
        <w:rPr>
          <w:color w:val="231F20"/>
        </w:rPr>
        <w:t>De kosten van deze herwaardering komen ten laste van de vennoot- schap.</w:t>
      </w:r>
    </w:p>
    <w:p>
      <w:pPr>
        <w:pStyle w:val="BodyText"/>
        <w:spacing w:line="218" w:lineRule="auto" w:before="96"/>
      </w:pPr>
      <w:r>
        <w:rPr>
          <w:color w:val="231F20"/>
        </w:rPr>
        <w:t>§ 3. In de gevallen bepaald in paragraaf 2 waarin de inbreng plaatsvindt zonder toepassing van paragraaf 1, legt het bestuursorgaan binnen één maand na de effectieve datum van de inbreng van het vermogensbestanddeel een verklaring neer en maakt deze bekend overeenkomstig de artikelen 2:8 en 2:14, 4°, waarin de volgende inlichtingen worden vermeld:</w:t>
      </w:r>
    </w:p>
    <w:p>
      <w:pPr>
        <w:pStyle w:val="BodyText"/>
        <w:spacing w:line="338" w:lineRule="auto" w:before="83"/>
        <w:ind w:left="283" w:right="679" w:hanging="1"/>
        <w:jc w:val="left"/>
      </w:pPr>
      <w:r>
        <w:rPr>
          <w:color w:val="231F20"/>
        </w:rPr>
        <w:t>1° een beschrijving van de desbetreffende inbreng in natura; 2° de naam van de inbrenger;</w:t>
      </w:r>
    </w:p>
    <w:p>
      <w:pPr>
        <w:pStyle w:val="BodyText"/>
        <w:spacing w:line="218" w:lineRule="auto" w:before="12"/>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07"/>
      </w:pPr>
      <w:r>
        <w:rPr>
          <w:color w:val="231F20"/>
        </w:rPr>
        <w:t>4° het aantal aandelen die tegen elke inbreng in natura zijn uitgegeven;</w:t>
      </w:r>
    </w:p>
    <w:p>
      <w:pPr>
        <w:pStyle w:val="BodyText"/>
        <w:spacing w:line="218" w:lineRule="auto" w:before="107"/>
      </w:pPr>
      <w:r>
        <w:rPr>
          <w:color w:val="231F20"/>
        </w:rPr>
        <w:t>5° een attest dat er zich geen nieuwe bijzondere</w:t>
      </w:r>
      <w:r>
        <w:rPr>
          <w:color w:val="231F20"/>
          <w:spacing w:val="23"/>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line="218" w:lineRule="auto" w:before="107"/>
      </w:pPr>
      <w:r>
        <w:rPr>
          <w:color w:val="231F20"/>
        </w:rPr>
        <w:t>§ 4. Indien de uitgifte van aandelen door het bestuursorgaan plaats- vindt tegen een inbreng in natura met toepassing van de procedure bepaald in paragraaf 2 wordt, vóór de inbreng is verwezenlijkt, een aankondiging neergelegd en bekendgemaakt overeenkomstig de arti- kelen 2:8 en 2:14, 4°, die de datum van het besluit tot uitgifte alsook de in paragraaf 3 bedoelde informatie bevat. In dat geval houdt de in paragraaf 3 bedoelde verklaring enkel in dat zich sinds de openbaar- making van de aankondiging geen nieuwe bijzondere omstandigheden hebben voorgedaan.</w:t>
      </w:r>
    </w:p>
    <w:p>
      <w:pPr>
        <w:pStyle w:val="BodyText"/>
        <w:spacing w:before="93"/>
        <w:ind w:left="283" w:right="0" w:firstLine="0"/>
        <w:jc w:val="left"/>
      </w:pPr>
      <w:r>
        <w:rPr>
          <w:color w:val="231F20"/>
        </w:rPr>
        <w:t>Afdeling 3. Garantie en aansprakelijkheid.</w:t>
      </w:r>
    </w:p>
    <w:p>
      <w:pPr>
        <w:pStyle w:val="BodyText"/>
        <w:spacing w:line="218" w:lineRule="auto" w:before="103"/>
      </w:pPr>
      <w:r>
        <w:rPr>
          <w:color w:val="231F20"/>
        </w:rPr>
        <w:t>Art. 6:111. Niettegenstaande andersluidende bepaling, zijn de leden van het bestuursorgaan jegens de belanghebbenden hoofdelijk gehou- den:</w:t>
      </w:r>
    </w:p>
    <w:p>
      <w:pPr>
        <w:pStyle w:val="BodyText"/>
        <w:spacing w:line="218" w:lineRule="auto" w:before="107"/>
      </w:pPr>
      <w:r>
        <w:rPr>
          <w:color w:val="231F20"/>
        </w:rPr>
        <w:t>1° voor de aandelen waarvoor niet op geldige wijze zou zijn ingeschreven overeenkomstig artikel 6:106; zij worden van rechtswege als inschrijvers ervan beschouwd;</w:t>
      </w:r>
    </w:p>
    <w:p>
      <w:pPr>
        <w:pStyle w:val="BodyText"/>
        <w:spacing w:line="218" w:lineRule="auto" w:before="107"/>
      </w:pPr>
      <w:r>
        <w:rPr>
          <w:color w:val="231F20"/>
        </w:rPr>
        <w:t>2° tot werkelijke storting van de aandelen waarvoor zij overeenkom- stig de bepaling onder 1° als inschrijvers worden beschouwd;</w:t>
      </w:r>
    </w:p>
    <w:p>
      <w:pPr>
        <w:spacing w:after="0" w:line="218" w:lineRule="auto"/>
        <w:sectPr>
          <w:headerReference w:type="even" r:id="rId63"/>
          <w:headerReference w:type="default" r:id="rId64"/>
          <w:pgSz w:w="11940" w:h="16880"/>
          <w:pgMar w:header="666" w:footer="0" w:top="1140" w:bottom="280" w:left="340" w:right="360"/>
          <w:cols w:num="2" w:equalWidth="0">
            <w:col w:w="5527" w:space="101"/>
            <w:col w:w="5612"/>
          </w:cols>
        </w:sectPr>
      </w:pPr>
    </w:p>
    <w:p>
      <w:pPr>
        <w:pStyle w:val="BodyText"/>
        <w:spacing w:line="177" w:lineRule="exact" w:before="105"/>
        <w:ind w:left="283" w:right="0" w:firstLine="0"/>
        <w:jc w:val="left"/>
      </w:pPr>
      <w:r>
        <w:rPr/>
        <w:pict>
          <v:line style="position:absolute;mso-position-horizontal-relative:page;mso-position-vertical-relative:page;z-index:4432" from="298.170502pt,64.473pt" to="298.170502pt,812.819pt" stroked="true" strokeweight=".533pt" strokecolor="#231f20">
            <v:stroke dashstyle="solid"/>
            <w10:wrap type="none"/>
          </v:line>
        </w:pict>
      </w:r>
      <w:bookmarkStart w:name="_bookmark142" w:id="147"/>
      <w:bookmarkEnd w:id="147"/>
      <w:r>
        <w:rPr/>
      </w:r>
      <w:r>
        <w:rPr>
          <w:color w:val="231F20"/>
        </w:rPr>
        <w:t>3° de la libération d’actions souscrites en violation de l’article 6:106,</w:t>
      </w:r>
    </w:p>
    <w:p>
      <w:pPr>
        <w:spacing w:line="192" w:lineRule="exact" w:before="0"/>
        <w:ind w:left="113" w:right="0" w:firstLine="0"/>
        <w:jc w:val="left"/>
        <w:rPr>
          <w:sz w:val="17"/>
        </w:rPr>
      </w:pPr>
      <w:r>
        <w:rPr>
          <w:color w:val="231F20"/>
          <w:w w:val="105"/>
          <w:sz w:val="17"/>
        </w:rPr>
        <w:t>§ 1</w:t>
      </w:r>
      <w:r>
        <w:rPr>
          <w:color w:val="231F20"/>
          <w:w w:val="105"/>
          <w:position w:val="7"/>
          <w:sz w:val="11"/>
        </w:rPr>
        <w:t>er</w:t>
      </w:r>
      <w:r>
        <w:rPr>
          <w:color w:val="231F20"/>
          <w:w w:val="105"/>
          <w:sz w:val="17"/>
        </w:rPr>
        <w:t>.</w:t>
      </w:r>
    </w:p>
    <w:p>
      <w:pPr>
        <w:pStyle w:val="BodyText"/>
        <w:spacing w:line="218" w:lineRule="auto" w:before="82"/>
        <w:ind w:right="38"/>
      </w:pPr>
      <w:r>
        <w:rPr>
          <w:color w:val="231F20"/>
        </w:rPr>
        <w:t>Art. 6:112. Nonobstant toute disposition contraire, les membres de l’organe d’administration sont responsables solidairement envers les intéressés du préjudice qui est une suite immédiate et directe soit de l’absence ou de la fausseté des mentions prescrites par l’article 6:110, soit de la surévaluation manifeste des apports en nature.</w:t>
      </w:r>
    </w:p>
    <w:p>
      <w:pPr>
        <w:pStyle w:val="BodyText"/>
        <w:ind w:left="0" w:right="0" w:firstLine="0"/>
        <w:jc w:val="left"/>
        <w:rPr>
          <w:sz w:val="23"/>
        </w:rPr>
      </w:pPr>
    </w:p>
    <w:p>
      <w:pPr>
        <w:pStyle w:val="BodyText"/>
        <w:spacing w:line="218" w:lineRule="auto" w:before="1"/>
        <w:ind w:right="38"/>
      </w:pPr>
      <w:r>
        <w:rPr>
          <w:color w:val="231F20"/>
        </w:rPr>
        <w:t>Art. 6:113. Ceux qui ont pris un engagement pour des tiers sont réputés personnellement obligés si le nom des mandants n’a pas été mentionné dans l’acte ou si le mandat produit n’est pas valable. Les membres de l’organe d’administration sont solidairement tenus de ces engagements.</w:t>
      </w:r>
    </w:p>
    <w:p>
      <w:pPr>
        <w:pStyle w:val="BodyText"/>
        <w:spacing w:before="71"/>
        <w:ind w:left="283" w:right="0" w:firstLine="0"/>
        <w:jc w:val="left"/>
      </w:pPr>
      <w:r>
        <w:rPr>
          <w:color w:val="231F20"/>
        </w:rPr>
        <w:t>CHAPITRE 2. Maintien du patrimoine de la société.</w:t>
      </w:r>
    </w:p>
    <w:p>
      <w:pPr>
        <w:pStyle w:val="BodyText"/>
        <w:spacing w:before="2"/>
        <w:ind w:left="0" w:right="0" w:firstLine="0"/>
        <w:jc w:val="left"/>
        <w:rPr>
          <w:sz w:val="20"/>
        </w:rPr>
      </w:pPr>
    </w:p>
    <w:p>
      <w:pPr>
        <w:pStyle w:val="BodyText"/>
        <w:ind w:left="283" w:right="0" w:firstLine="0"/>
        <w:jc w:val="left"/>
      </w:pPr>
      <w:r>
        <w:rPr>
          <w:color w:val="231F20"/>
        </w:rPr>
        <w:t>Section 1</w:t>
      </w:r>
      <w:r>
        <w:rPr>
          <w:color w:val="231F20"/>
          <w:position w:val="7"/>
          <w:sz w:val="11"/>
        </w:rPr>
        <w:t>re</w:t>
      </w:r>
      <w:r>
        <w:rPr>
          <w:color w:val="231F20"/>
        </w:rPr>
        <w:t>. Des distributions aux actionnaires et tantièmes.</w:t>
      </w:r>
    </w:p>
    <w:p>
      <w:pPr>
        <w:pStyle w:val="BodyText"/>
        <w:spacing w:line="218" w:lineRule="auto" w:before="82"/>
        <w:ind w:right="38"/>
      </w:pPr>
      <w:r>
        <w:rPr>
          <w:color w:val="231F20"/>
        </w:rPr>
        <w:t>Art. 6:114. L’assemblée générale a le pouvoir de décider de l’affecta- tion du bénéfice et du montant des distributions.</w:t>
      </w:r>
    </w:p>
    <w:p>
      <w:pPr>
        <w:pStyle w:val="BodyText"/>
        <w:spacing w:line="218" w:lineRule="auto" w:before="85"/>
        <w:ind w:right="38"/>
      </w:pPr>
      <w:r>
        <w:rPr>
          <w:color w:val="231F20"/>
        </w:rPr>
        <w:t>Les statuts peuvent déléguer à l’organe d’administration le pouvoir de procéder, dans les limites des articles 6:115 et 6:116, à des distributions provenant du bénéfice de l’exercice en cours ou du bénéfice de l’exercice précédent tant que les comptes annuels de cet exercice n’ont pas été approuvés, le cas échéant réduit de la perte reportée</w:t>
      </w:r>
      <w:r>
        <w:rPr>
          <w:color w:val="231F20"/>
          <w:spacing w:val="14"/>
        </w:rPr>
        <w:t> </w:t>
      </w:r>
      <w:r>
        <w:rPr>
          <w:color w:val="231F20"/>
        </w:rPr>
        <w:t>ou</w:t>
      </w:r>
      <w:r>
        <w:rPr>
          <w:color w:val="231F20"/>
          <w:spacing w:val="15"/>
        </w:rPr>
        <w:t> </w:t>
      </w:r>
      <w:r>
        <w:rPr>
          <w:color w:val="231F20"/>
        </w:rPr>
        <w:t>majoré</w:t>
      </w:r>
      <w:r>
        <w:rPr>
          <w:color w:val="231F20"/>
          <w:spacing w:val="14"/>
        </w:rPr>
        <w:t> </w:t>
      </w:r>
      <w:r>
        <w:rPr>
          <w:color w:val="231F20"/>
        </w:rPr>
        <w:t>du</w:t>
      </w:r>
      <w:r>
        <w:rPr>
          <w:color w:val="231F20"/>
          <w:spacing w:val="15"/>
        </w:rPr>
        <w:t> </w:t>
      </w:r>
      <w:r>
        <w:rPr>
          <w:color w:val="231F20"/>
        </w:rPr>
        <w:t>bénéfice</w:t>
      </w:r>
      <w:r>
        <w:rPr>
          <w:color w:val="231F20"/>
          <w:spacing w:val="15"/>
        </w:rPr>
        <w:t> </w:t>
      </w:r>
      <w:r>
        <w:rPr>
          <w:color w:val="231F20"/>
        </w:rPr>
        <w:t>reporté.</w:t>
      </w:r>
    </w:p>
    <w:p>
      <w:pPr>
        <w:pStyle w:val="BodyText"/>
        <w:spacing w:line="218" w:lineRule="auto" w:before="86"/>
        <w:ind w:right="38"/>
      </w:pPr>
      <w:r>
        <w:rPr>
          <w:color w:val="231F20"/>
        </w:rPr>
        <w:t>Art. 6:115. Aucune distribution ne peut être faite si l’actif net de la société est négatif ou le deviendrait à la suite d’une telle distribution. Si la société dispose de capitaux propres qui sont légalement ou statutairement indisponibles, aucune distribution ne peut être effectuée si l’actif net est inférieur au montant de ces capitaux propres indisponibles ou le deviendrait à la suite d’une telle distribution. Pour l’application de cette disposition, la partie non-amortie de la plus-value de réévaluation est réputée indisponible.</w:t>
      </w:r>
    </w:p>
    <w:p>
      <w:pPr>
        <w:pStyle w:val="BodyText"/>
        <w:spacing w:line="218" w:lineRule="auto" w:before="86"/>
        <w:ind w:right="38"/>
      </w:pPr>
      <w:r>
        <w:rPr>
          <w:color w:val="231F20"/>
        </w:rPr>
        <w:t>L’actif net de la société est établi sur la base des derniers comptes annuels approuvés ou d’un état plus récent résumant la situation active et passive. Dans les sociétés dans lesquelles un commissaire a été nommé, ce dernier évalue cet état. Le rapport d’évaluation limité du commissaire est joint à son rapport de contrôle annuel.</w:t>
      </w:r>
    </w:p>
    <w:p>
      <w:pPr>
        <w:pStyle w:val="BodyText"/>
        <w:spacing w:line="218" w:lineRule="auto" w:before="86"/>
        <w:ind w:right="38"/>
      </w:pPr>
      <w:r>
        <w:rPr>
          <w:color w:val="231F20"/>
        </w:rPr>
        <w:t>Par actif net, on entend le total de l’actif, déduction faite des provisions, des dettes, et, sauf cas exceptionnels à mentionner et à justifier dans l’annexe aux comptes annuels, des montants non encore amortis des frais d’établissement et d’expansion et des frais de recherche et de développement.</w:t>
      </w:r>
    </w:p>
    <w:p>
      <w:pPr>
        <w:pStyle w:val="BodyText"/>
        <w:ind w:left="0" w:right="0" w:firstLine="0"/>
        <w:jc w:val="left"/>
        <w:rPr>
          <w:sz w:val="23"/>
        </w:rPr>
      </w:pPr>
    </w:p>
    <w:p>
      <w:pPr>
        <w:pStyle w:val="BodyText"/>
        <w:spacing w:line="218" w:lineRule="auto"/>
        <w:ind w:right="38"/>
      </w:pPr>
      <w:r>
        <w:rPr>
          <w:color w:val="231F20"/>
        </w:rPr>
        <w:t>Art. 6:116. La décision de distribution prise par l’assemblée générale ne produit ses effets qu’après que l’organe d’administration aura constaté qu’à la suite de la distribution, la société pourra, en fonction des développements auxquels on peut raisonnablement s’attendre, continuer à s’acquitter de ses dettes au fur et à mesure de leur échéance pendant une période d’au moins douze mois à compter de la date de la distribution.</w:t>
      </w:r>
    </w:p>
    <w:p>
      <w:pPr>
        <w:pStyle w:val="BodyText"/>
        <w:spacing w:line="218" w:lineRule="auto" w:before="86"/>
        <w:ind w:right="38"/>
      </w:pPr>
      <w:r>
        <w:rPr>
          <w:color w:val="231F20"/>
        </w:rPr>
        <w:t>La décision de l’organe d’administration est justifiée dans un rapport qui n’est pas déposé. Dans les sociétés qui ont nommé un commissaire, ce dernier évalue les données comptables et financières historiques et prospectives de ce rapport. Le commissaire mentionne dans son rapport</w:t>
      </w:r>
      <w:r>
        <w:rPr>
          <w:color w:val="231F20"/>
          <w:spacing w:val="15"/>
        </w:rPr>
        <w:t> </w:t>
      </w:r>
      <w:r>
        <w:rPr>
          <w:color w:val="231F20"/>
        </w:rPr>
        <w:t>de</w:t>
      </w:r>
      <w:r>
        <w:rPr>
          <w:color w:val="231F20"/>
          <w:spacing w:val="15"/>
        </w:rPr>
        <w:t> </w:t>
      </w:r>
      <w:r>
        <w:rPr>
          <w:color w:val="231F20"/>
        </w:rPr>
        <w:t>contrôle</w:t>
      </w:r>
      <w:r>
        <w:rPr>
          <w:color w:val="231F20"/>
          <w:spacing w:val="16"/>
        </w:rPr>
        <w:t> </w:t>
      </w:r>
      <w:r>
        <w:rPr>
          <w:color w:val="231F20"/>
        </w:rPr>
        <w:t>annuel</w:t>
      </w:r>
      <w:r>
        <w:rPr>
          <w:color w:val="231F20"/>
          <w:spacing w:val="15"/>
        </w:rPr>
        <w:t> </w:t>
      </w:r>
      <w:r>
        <w:rPr>
          <w:color w:val="231F20"/>
          <w:spacing w:val="2"/>
        </w:rPr>
        <w:t>qu’il</w:t>
      </w:r>
      <w:r>
        <w:rPr>
          <w:color w:val="231F20"/>
          <w:spacing w:val="1"/>
        </w:rPr>
        <w:t> </w:t>
      </w:r>
      <w:r>
        <w:rPr>
          <w:color w:val="231F20"/>
        </w:rPr>
        <w:t>a</w:t>
      </w:r>
      <w:r>
        <w:rPr>
          <w:color w:val="231F20"/>
          <w:spacing w:val="15"/>
        </w:rPr>
        <w:t> </w:t>
      </w:r>
      <w:r>
        <w:rPr>
          <w:color w:val="231F20"/>
        </w:rPr>
        <w:t>exécuté</w:t>
      </w:r>
      <w:r>
        <w:rPr>
          <w:color w:val="231F20"/>
          <w:spacing w:val="16"/>
        </w:rPr>
        <w:t> </w:t>
      </w:r>
      <w:r>
        <w:rPr>
          <w:color w:val="231F20"/>
        </w:rPr>
        <w:t>cette</w:t>
      </w:r>
      <w:r>
        <w:rPr>
          <w:color w:val="231F20"/>
          <w:spacing w:val="15"/>
        </w:rPr>
        <w:t> </w:t>
      </w:r>
      <w:r>
        <w:rPr>
          <w:color w:val="231F20"/>
        </w:rPr>
        <w:t>mission.</w:t>
      </w:r>
    </w:p>
    <w:p>
      <w:pPr>
        <w:pStyle w:val="BodyText"/>
        <w:ind w:left="0" w:right="0" w:firstLine="0"/>
        <w:jc w:val="left"/>
        <w:rPr>
          <w:sz w:val="23"/>
        </w:rPr>
      </w:pPr>
    </w:p>
    <w:p>
      <w:pPr>
        <w:pStyle w:val="BodyText"/>
        <w:spacing w:line="218" w:lineRule="auto"/>
        <w:ind w:right="38"/>
      </w:pPr>
      <w:r>
        <w:rPr>
          <w:color w:val="231F20"/>
        </w:rPr>
        <w:t>Art. 6:117. S’il est établi que lors de la prise de la décision visée à l’article 6:116, les membres de l’organe d’administration savaient ou, au vu des circonstances, auraient dû savoir, qu’à la suite de la distribution, la</w:t>
      </w:r>
      <w:r>
        <w:rPr>
          <w:color w:val="231F20"/>
          <w:spacing w:val="-4"/>
        </w:rPr>
        <w:t> </w:t>
      </w:r>
      <w:r>
        <w:rPr>
          <w:color w:val="231F20"/>
        </w:rPr>
        <w:t>société</w:t>
      </w:r>
      <w:r>
        <w:rPr>
          <w:color w:val="231F20"/>
          <w:spacing w:val="-4"/>
        </w:rPr>
        <w:t> </w:t>
      </w:r>
      <w:r>
        <w:rPr>
          <w:color w:val="231F20"/>
        </w:rPr>
        <w:t>ne</w:t>
      </w:r>
      <w:r>
        <w:rPr>
          <w:color w:val="231F20"/>
          <w:spacing w:val="-4"/>
        </w:rPr>
        <w:t> </w:t>
      </w:r>
      <w:r>
        <w:rPr>
          <w:color w:val="231F20"/>
        </w:rPr>
        <w:t>serait</w:t>
      </w:r>
      <w:r>
        <w:rPr>
          <w:color w:val="231F20"/>
          <w:spacing w:val="-3"/>
        </w:rPr>
        <w:t> </w:t>
      </w:r>
      <w:r>
        <w:rPr>
          <w:color w:val="231F20"/>
        </w:rPr>
        <w:t>raisonnablement</w:t>
      </w:r>
      <w:r>
        <w:rPr>
          <w:color w:val="231F20"/>
          <w:spacing w:val="-4"/>
        </w:rPr>
        <w:t> </w:t>
      </w:r>
      <w:r>
        <w:rPr>
          <w:color w:val="231F20"/>
        </w:rPr>
        <w:t>plus</w:t>
      </w:r>
      <w:r>
        <w:rPr>
          <w:color w:val="231F20"/>
          <w:spacing w:val="-4"/>
        </w:rPr>
        <w:t> </w:t>
      </w:r>
      <w:r>
        <w:rPr>
          <w:color w:val="231F20"/>
        </w:rPr>
        <w:t>en</w:t>
      </w:r>
      <w:r>
        <w:rPr>
          <w:color w:val="231F20"/>
          <w:spacing w:val="-4"/>
        </w:rPr>
        <w:t> </w:t>
      </w:r>
      <w:r>
        <w:rPr>
          <w:color w:val="231F20"/>
        </w:rPr>
        <w:t>mesure</w:t>
      </w:r>
      <w:r>
        <w:rPr>
          <w:color w:val="231F20"/>
          <w:spacing w:val="-3"/>
        </w:rPr>
        <w:t> </w:t>
      </w:r>
      <w:r>
        <w:rPr>
          <w:color w:val="231F20"/>
        </w:rPr>
        <w:t>de</w:t>
      </w:r>
      <w:r>
        <w:rPr>
          <w:color w:val="231F20"/>
          <w:spacing w:val="-4"/>
        </w:rPr>
        <w:t> </w:t>
      </w:r>
      <w:r>
        <w:rPr>
          <w:color w:val="231F20"/>
        </w:rPr>
        <w:t>s’acquitter</w:t>
      </w:r>
      <w:r>
        <w:rPr>
          <w:color w:val="231F20"/>
          <w:spacing w:val="-4"/>
        </w:rPr>
        <w:t> </w:t>
      </w:r>
      <w:r>
        <w:rPr>
          <w:color w:val="231F20"/>
        </w:rPr>
        <w:t>de</w:t>
      </w:r>
      <w:r>
        <w:rPr>
          <w:color w:val="231F20"/>
          <w:spacing w:val="-4"/>
        </w:rPr>
        <w:t> </w:t>
      </w:r>
      <w:r>
        <w:rPr>
          <w:color w:val="231F20"/>
        </w:rPr>
        <w:t>ses dettes comme il est dit à l’article 6:116, ils sont solidairement responsables envers la société et les tiers de tous les dommages qui en résultent.</w:t>
      </w:r>
    </w:p>
    <w:p>
      <w:pPr>
        <w:pStyle w:val="BodyText"/>
        <w:spacing w:line="218" w:lineRule="auto" w:before="86"/>
        <w:ind w:right="38"/>
      </w:pPr>
      <w:r>
        <w:rPr>
          <w:color w:val="231F20"/>
        </w:rPr>
        <w:t>La société peut demander le remboursement de toute distribution effectuée en violation des articles 6:115 et 6:116 par les actionnaires qui l’ont reçue qu’ils soient de bonne ou mauvaise foi.</w:t>
      </w:r>
    </w:p>
    <w:p>
      <w:pPr>
        <w:pStyle w:val="BodyText"/>
        <w:spacing w:line="218" w:lineRule="auto" w:before="86"/>
        <w:ind w:right="38"/>
      </w:pPr>
      <w:r>
        <w:rPr>
          <w:color w:val="231F20"/>
        </w:rPr>
        <w:t>Section 2. Financement de l’acquisition d’actions de la société par des tiers.</w:t>
      </w:r>
    </w:p>
    <w:p>
      <w:pPr>
        <w:pStyle w:val="BodyText"/>
        <w:spacing w:line="218" w:lineRule="auto" w:before="70"/>
        <w:ind w:right="38"/>
      </w:pPr>
      <w:r>
        <w:rPr>
          <w:color w:val="231F20"/>
        </w:rPr>
        <w:t>Art. 6:118. § 1</w:t>
      </w:r>
      <w:r>
        <w:rPr>
          <w:color w:val="231F20"/>
          <w:position w:val="7"/>
          <w:sz w:val="11"/>
        </w:rPr>
        <w:t>er</w:t>
      </w:r>
      <w:r>
        <w:rPr>
          <w:color w:val="231F20"/>
        </w:rPr>
        <w:t>. La société ne peut avancer de fonds ou accorder des prêts ou des sûretés en vue de l’acquisition de ses actions par des tiers qu’aux conditions suivantes:</w:t>
      </w:r>
    </w:p>
    <w:p>
      <w:pPr>
        <w:pStyle w:val="BodyText"/>
        <w:spacing w:line="218" w:lineRule="auto" w:before="96"/>
        <w:ind w:right="38"/>
      </w:pPr>
      <w:r>
        <w:rPr>
          <w:color w:val="231F20"/>
        </w:rPr>
        <w:t>1° l’opération est autorisée par une décision préalable de l’assemblée générale prise dans le respect des conditions de quorum et de majorité requises pour une modification des statuts;</w:t>
      </w:r>
    </w:p>
    <w:p>
      <w:pPr>
        <w:pStyle w:val="BodyText"/>
        <w:spacing w:line="218" w:lineRule="auto" w:before="96"/>
        <w:ind w:right="38"/>
      </w:pPr>
      <w:r>
        <w:rPr>
          <w:color w:val="231F20"/>
        </w:rPr>
        <w:t>2° l’opération a lieu sous la responsabilité de l’organe d’administra- tion qui rédige à ce propos un rapport indiquant les motifs de l’opération, les conditions dans lesquelles elle s’effectue ainsi que les</w:t>
      </w:r>
    </w:p>
    <w:p>
      <w:pPr>
        <w:pStyle w:val="BodyText"/>
        <w:spacing w:line="218" w:lineRule="auto" w:before="119"/>
      </w:pPr>
      <w:r>
        <w:rPr/>
        <w:br w:type="column"/>
      </w:r>
      <w:r>
        <w:rPr>
          <w:color w:val="231F20"/>
        </w:rPr>
        <w:t>3° tot volstorting van de aandelen waarop is ingeschreven in strijd met artikel 6:106, § 1.</w:t>
      </w:r>
    </w:p>
    <w:p>
      <w:pPr>
        <w:pStyle w:val="BodyText"/>
        <w:spacing w:line="218" w:lineRule="auto" w:before="86"/>
      </w:pPr>
      <w:r>
        <w:rPr>
          <w:color w:val="231F20"/>
        </w:rPr>
        <w:t>Art. 6:112. Niettegenstaande andersluidende bepaling, zijn de leden van het bestuursorgaan jegens de belanghebbenden hoofdelijk aanspra- kelijk voor de schade die het onmiddellijke en rechtstreekse gevolg is hetzij van het ontbreken of de onjuistheid van de vermeldingen voorgeschreven door artikel 6:110, hetzij van de kennelijke overwaar- dering van inbrengen in natura.</w:t>
      </w:r>
    </w:p>
    <w:p>
      <w:pPr>
        <w:pStyle w:val="BodyText"/>
        <w:spacing w:line="218" w:lineRule="auto" w:before="86"/>
      </w:pPr>
      <w:r>
        <w:rPr>
          <w:color w:val="231F20"/>
        </w:rPr>
        <w:t>Art. 6:113. Zij die een verbintenis voor derden hebben aangegaan, worden geacht persoonlijk verbonden te zijn indien de naam van de lastgevers niet is aangegeven in de akte, of indien de overgelegde lastgeving niet als geldig wordt erkend. De leden van het bestuursor- gaan zijn hoofdelijk gehouden tot nakoming van die verbintenissen.</w:t>
      </w:r>
    </w:p>
    <w:p>
      <w:pPr>
        <w:pStyle w:val="BodyText"/>
        <w:spacing w:line="218" w:lineRule="auto" w:before="85"/>
      </w:pPr>
      <w:r>
        <w:rPr>
          <w:color w:val="231F20"/>
        </w:rPr>
        <w:t>HOOFDSTUK 2. Instandhouding van het vermogen van de vennoot- schap.</w:t>
      </w:r>
    </w:p>
    <w:p>
      <w:pPr>
        <w:pStyle w:val="BodyText"/>
        <w:spacing w:before="72"/>
        <w:ind w:left="283" w:right="0" w:firstLine="0"/>
        <w:jc w:val="left"/>
      </w:pPr>
      <w:r>
        <w:rPr>
          <w:color w:val="231F20"/>
        </w:rPr>
        <w:t>Afdeling 1. Uitkeringen aan de aandeelhouders en tantièmes.</w:t>
      </w:r>
    </w:p>
    <w:p>
      <w:pPr>
        <w:pStyle w:val="BodyText"/>
        <w:spacing w:line="218" w:lineRule="auto" w:before="82"/>
      </w:pPr>
      <w:r>
        <w:rPr>
          <w:color w:val="231F20"/>
        </w:rPr>
        <w:t>Art. 6:114. De algemene vergadering is bevoegd tot bestemming van de winst en tot vaststelling van de uitkeringen.</w:t>
      </w:r>
    </w:p>
    <w:p>
      <w:pPr>
        <w:pStyle w:val="BodyText"/>
        <w:spacing w:line="218" w:lineRule="auto" w:before="85"/>
      </w:pPr>
      <w:r>
        <w:rPr>
          <w:color w:val="231F20"/>
        </w:rPr>
        <w:t>De statuten kunnen aan het bestuursorgaan de bevoegdheid delege- ren om binnen de grenzen van de artikelen 6:115 en 6:116 over te gaan tot uitkeringen uit de winst van het lopende boekjaar of uit de winst van het voorgaande boekjaar zolang de jaarrekening van dat boekjaar nog niet is goedgekeurd, in voorkomend geval verminderd met het overgedragen</w:t>
      </w:r>
      <w:r>
        <w:rPr>
          <w:color w:val="231F20"/>
          <w:spacing w:val="21"/>
        </w:rPr>
        <w:t> </w:t>
      </w:r>
      <w:r>
        <w:rPr>
          <w:color w:val="231F20"/>
        </w:rPr>
        <w:t>verlies</w:t>
      </w:r>
      <w:r>
        <w:rPr>
          <w:color w:val="231F20"/>
          <w:spacing w:val="21"/>
        </w:rPr>
        <w:t> </w:t>
      </w:r>
      <w:r>
        <w:rPr>
          <w:color w:val="231F20"/>
        </w:rPr>
        <w:t>of</w:t>
      </w:r>
      <w:r>
        <w:rPr>
          <w:color w:val="231F20"/>
          <w:spacing w:val="21"/>
        </w:rPr>
        <w:t> </w:t>
      </w:r>
      <w:r>
        <w:rPr>
          <w:color w:val="231F20"/>
        </w:rPr>
        <w:t>vermeerderd</w:t>
      </w:r>
      <w:r>
        <w:rPr>
          <w:color w:val="231F20"/>
          <w:spacing w:val="22"/>
        </w:rPr>
        <w:t> </w:t>
      </w:r>
      <w:r>
        <w:rPr>
          <w:color w:val="231F20"/>
        </w:rPr>
        <w:t>met</w:t>
      </w:r>
      <w:r>
        <w:rPr>
          <w:color w:val="231F20"/>
          <w:spacing w:val="21"/>
        </w:rPr>
        <w:t> </w:t>
      </w:r>
      <w:r>
        <w:rPr>
          <w:color w:val="231F20"/>
        </w:rPr>
        <w:t>de</w:t>
      </w:r>
      <w:r>
        <w:rPr>
          <w:color w:val="231F20"/>
          <w:spacing w:val="21"/>
        </w:rPr>
        <w:t> </w:t>
      </w:r>
      <w:r>
        <w:rPr>
          <w:color w:val="231F20"/>
        </w:rPr>
        <w:t>overgedragen</w:t>
      </w:r>
      <w:r>
        <w:rPr>
          <w:color w:val="231F20"/>
          <w:spacing w:val="21"/>
        </w:rPr>
        <w:t> </w:t>
      </w:r>
      <w:r>
        <w:rPr>
          <w:color w:val="231F20"/>
        </w:rPr>
        <w:t>winst.</w:t>
      </w:r>
    </w:p>
    <w:p>
      <w:pPr>
        <w:pStyle w:val="BodyText"/>
        <w:spacing w:line="218" w:lineRule="auto" w:before="86"/>
      </w:pPr>
      <w:r>
        <w:rPr>
          <w:color w:val="231F20"/>
        </w:rPr>
        <w:t>Art. 6:115. Geen uitkering mag gebeuren indien het nettoactief van de vennootschap negatief is of ten gevolge daarvan negatief zou worden. Indien de vennootschap beschikt over eigen vermogen dat krachtens de wet of de statuten onbeschikbaar is, mag geen uitkering gebeuren indien het nettoactief is gedaald of door een uitkering zou dalen tot beneden het bedrag van dit onbeschikbare eigen vermogen. Voor de toepassing van deze bepaling wordt het niet afgeschreven gedeelte van de herwaarderingsmeerwaarden als onbeschikbaar beschouwd.</w:t>
      </w:r>
    </w:p>
    <w:p>
      <w:pPr>
        <w:pStyle w:val="BodyText"/>
        <w:spacing w:line="218" w:lineRule="auto" w:before="86"/>
        <w:ind w:right="121"/>
      </w:pPr>
      <w:r>
        <w:rPr>
          <w:color w:val="231F20"/>
        </w:rPr>
        <w:t>Het nettoactief van de vennootschap wordt bepaald op grond van de laatste goedgekeurde jaarrekening of van een recentere staat van activa en</w:t>
      </w:r>
      <w:r>
        <w:rPr>
          <w:color w:val="231F20"/>
          <w:spacing w:val="-8"/>
        </w:rPr>
        <w:t> </w:t>
      </w:r>
      <w:r>
        <w:rPr>
          <w:color w:val="231F20"/>
        </w:rPr>
        <w:t>passiva.</w:t>
      </w:r>
      <w:r>
        <w:rPr>
          <w:color w:val="231F20"/>
          <w:spacing w:val="-7"/>
        </w:rPr>
        <w:t> </w:t>
      </w:r>
      <w:r>
        <w:rPr>
          <w:color w:val="231F20"/>
        </w:rPr>
        <w:t>In</w:t>
      </w:r>
      <w:r>
        <w:rPr>
          <w:color w:val="231F20"/>
          <w:spacing w:val="-7"/>
        </w:rPr>
        <w:t> </w:t>
      </w:r>
      <w:r>
        <w:rPr>
          <w:color w:val="231F20"/>
        </w:rPr>
        <w:t>de</w:t>
      </w:r>
      <w:r>
        <w:rPr>
          <w:color w:val="231F20"/>
          <w:spacing w:val="-8"/>
        </w:rPr>
        <w:t> </w:t>
      </w:r>
      <w:r>
        <w:rPr>
          <w:color w:val="231F20"/>
        </w:rPr>
        <w:t>vennootschappen</w:t>
      </w:r>
      <w:r>
        <w:rPr>
          <w:color w:val="231F20"/>
          <w:spacing w:val="-7"/>
        </w:rPr>
        <w:t> </w:t>
      </w:r>
      <w:r>
        <w:rPr>
          <w:color w:val="231F20"/>
        </w:rPr>
        <w:t>waarin</w:t>
      </w:r>
      <w:r>
        <w:rPr>
          <w:color w:val="231F20"/>
          <w:spacing w:val="-7"/>
        </w:rPr>
        <w:t> </w:t>
      </w:r>
      <w:r>
        <w:rPr>
          <w:color w:val="231F20"/>
        </w:rPr>
        <w:t>een</w:t>
      </w:r>
      <w:r>
        <w:rPr>
          <w:color w:val="231F20"/>
          <w:spacing w:val="-7"/>
        </w:rPr>
        <w:t> </w:t>
      </w:r>
      <w:r>
        <w:rPr>
          <w:color w:val="231F20"/>
        </w:rPr>
        <w:t>commissaris</w:t>
      </w:r>
      <w:r>
        <w:rPr>
          <w:color w:val="231F20"/>
          <w:spacing w:val="-8"/>
        </w:rPr>
        <w:t> </w:t>
      </w:r>
      <w:r>
        <w:rPr>
          <w:color w:val="231F20"/>
        </w:rPr>
        <w:t>is</w:t>
      </w:r>
      <w:r>
        <w:rPr>
          <w:color w:val="231F20"/>
          <w:spacing w:val="-7"/>
        </w:rPr>
        <w:t> </w:t>
      </w:r>
      <w:r>
        <w:rPr>
          <w:color w:val="231F20"/>
        </w:rPr>
        <w:t>benoemd, beoordeelt hij deze staat. Het beoordelingsverslag van de commissaris wordt</w:t>
      </w:r>
      <w:r>
        <w:rPr>
          <w:color w:val="231F20"/>
          <w:spacing w:val="15"/>
        </w:rPr>
        <w:t> </w:t>
      </w:r>
      <w:r>
        <w:rPr>
          <w:color w:val="231F20"/>
        </w:rPr>
        <w:t>bij</w:t>
      </w:r>
      <w:r>
        <w:rPr>
          <w:color w:val="231F20"/>
          <w:spacing w:val="16"/>
        </w:rPr>
        <w:t> </w:t>
      </w:r>
      <w:r>
        <w:rPr>
          <w:color w:val="231F20"/>
        </w:rPr>
        <w:t>zijn</w:t>
      </w:r>
      <w:r>
        <w:rPr>
          <w:color w:val="231F20"/>
          <w:spacing w:val="16"/>
        </w:rPr>
        <w:t> </w:t>
      </w:r>
      <w:r>
        <w:rPr>
          <w:color w:val="231F20"/>
        </w:rPr>
        <w:t>jaarlijks</w:t>
      </w:r>
      <w:r>
        <w:rPr>
          <w:color w:val="231F20"/>
          <w:spacing w:val="15"/>
        </w:rPr>
        <w:t> </w:t>
      </w:r>
      <w:r>
        <w:rPr>
          <w:color w:val="231F20"/>
        </w:rPr>
        <w:t>controleverslag</w:t>
      </w:r>
      <w:r>
        <w:rPr>
          <w:color w:val="231F20"/>
          <w:spacing w:val="16"/>
        </w:rPr>
        <w:t> </w:t>
      </w:r>
      <w:r>
        <w:rPr>
          <w:color w:val="231F20"/>
        </w:rPr>
        <w:t>gevoegd.</w:t>
      </w:r>
    </w:p>
    <w:p>
      <w:pPr>
        <w:pStyle w:val="BodyText"/>
        <w:spacing w:line="218" w:lineRule="auto" w:before="86"/>
      </w:pPr>
      <w:r>
        <w:rPr>
          <w:color w:val="231F20"/>
        </w:rPr>
        <w:t>Onder nettoactief moet worden verstaan het totaalbedrag van de activa, verminderd met de voorzieningen, de schulden en behoudens in uitzonderingsgevallen, te vermelden en te motiveren in de toelichting bij de jaarrekening, de nog niet afgeschreven bedragen van de oprichtings- en uitbreidingskosten en de kosten voor onderzoek en ontwikkeling.</w:t>
      </w:r>
    </w:p>
    <w:p>
      <w:pPr>
        <w:pStyle w:val="BodyText"/>
        <w:spacing w:line="218" w:lineRule="auto" w:before="86"/>
        <w:ind w:right="123"/>
      </w:pPr>
      <w:r>
        <w:rPr>
          <w:color w:val="231F20"/>
        </w:rPr>
        <w:t>Art. 6:116. Het besluit van de algemene vergadering tot</w:t>
      </w:r>
      <w:r>
        <w:rPr>
          <w:color w:val="231F20"/>
          <w:spacing w:val="27"/>
        </w:rPr>
        <w:t> </w:t>
      </w:r>
      <w:r>
        <w:rPr>
          <w:color w:val="231F20"/>
        </w:rPr>
        <w:t>uitkering heeft slechts uitwerking nadat het bestuursorgaan heeft vastgesteld dat de vennootschap, volgens de redelijkerwijs te verwachten ontwikkelin- gen, na de uitkering in staat zal blijven haar schulden te voldoen naarmate deze opeisbaar worden over een periode van ten minste twaalf</w:t>
      </w:r>
      <w:r>
        <w:rPr>
          <w:color w:val="231F20"/>
          <w:spacing w:val="17"/>
        </w:rPr>
        <w:t> </w:t>
      </w:r>
      <w:r>
        <w:rPr>
          <w:color w:val="231F20"/>
        </w:rPr>
        <w:t>maanden</w:t>
      </w:r>
      <w:r>
        <w:rPr>
          <w:color w:val="231F20"/>
          <w:spacing w:val="18"/>
        </w:rPr>
        <w:t> </w:t>
      </w:r>
      <w:r>
        <w:rPr>
          <w:color w:val="231F20"/>
        </w:rPr>
        <w:t>te</w:t>
      </w:r>
      <w:r>
        <w:rPr>
          <w:color w:val="231F20"/>
          <w:spacing w:val="17"/>
        </w:rPr>
        <w:t> </w:t>
      </w:r>
      <w:r>
        <w:rPr>
          <w:color w:val="231F20"/>
        </w:rPr>
        <w:t>rekenen</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datum</w:t>
      </w:r>
      <w:r>
        <w:rPr>
          <w:color w:val="231F20"/>
          <w:spacing w:val="17"/>
        </w:rPr>
        <w:t> </w:t>
      </w:r>
      <w:r>
        <w:rPr>
          <w:color w:val="231F20"/>
        </w:rPr>
        <w:t>van</w:t>
      </w:r>
      <w:r>
        <w:rPr>
          <w:color w:val="231F20"/>
          <w:spacing w:val="18"/>
        </w:rPr>
        <w:t> </w:t>
      </w:r>
      <w:r>
        <w:rPr>
          <w:color w:val="231F20"/>
        </w:rPr>
        <w:t>de</w:t>
      </w:r>
      <w:r>
        <w:rPr>
          <w:color w:val="231F20"/>
          <w:spacing w:val="17"/>
        </w:rPr>
        <w:t> </w:t>
      </w:r>
      <w:r>
        <w:rPr>
          <w:color w:val="231F20"/>
        </w:rPr>
        <w:t>uitkering.</w:t>
      </w:r>
    </w:p>
    <w:p>
      <w:pPr>
        <w:pStyle w:val="BodyText"/>
        <w:ind w:left="0" w:right="0" w:firstLine="0"/>
        <w:jc w:val="left"/>
        <w:rPr>
          <w:sz w:val="23"/>
        </w:rPr>
      </w:pPr>
    </w:p>
    <w:p>
      <w:pPr>
        <w:pStyle w:val="BodyText"/>
        <w:spacing w:line="218" w:lineRule="auto"/>
      </w:pPr>
      <w:r>
        <w:rPr>
          <w:color w:val="231F20"/>
        </w:rPr>
        <w:t>Het besluit van het bestuursorgaan wordt verantwoord in een  verslag dat niet wordt neergelegd. In de vennootschappen waarin een commissaris is benoemd, beoordeelt hij de historische en prospectieve boekhoudkundige en financiële gegevens van dit verslag. De commis- saris vermeldt in zijn jaarlijks controleverslag dat hij deze</w:t>
      </w:r>
      <w:r>
        <w:rPr>
          <w:color w:val="231F20"/>
          <w:spacing w:val="15"/>
        </w:rPr>
        <w:t> </w:t>
      </w:r>
      <w:r>
        <w:rPr>
          <w:color w:val="231F20"/>
        </w:rPr>
        <w:t>opdracht heeft</w:t>
      </w:r>
      <w:r>
        <w:rPr>
          <w:color w:val="231F20"/>
          <w:spacing w:val="15"/>
        </w:rPr>
        <w:t> </w:t>
      </w:r>
      <w:r>
        <w:rPr>
          <w:color w:val="231F20"/>
        </w:rPr>
        <w:t>uitgevoerd.</w:t>
      </w:r>
    </w:p>
    <w:p>
      <w:pPr>
        <w:pStyle w:val="BodyText"/>
        <w:spacing w:line="218" w:lineRule="auto" w:before="86"/>
      </w:pPr>
      <w:r>
        <w:rPr>
          <w:color w:val="231F20"/>
        </w:rPr>
        <w:t>Art. 6:117. Indien komt vast te staan dat de leden van het bestuursorgaan</w:t>
      </w:r>
      <w:r>
        <w:rPr>
          <w:color w:val="231F20"/>
          <w:spacing w:val="-5"/>
        </w:rPr>
        <w:t> </w:t>
      </w:r>
      <w:r>
        <w:rPr>
          <w:color w:val="231F20"/>
        </w:rPr>
        <w:t>bij</w:t>
      </w:r>
      <w:r>
        <w:rPr>
          <w:color w:val="231F20"/>
          <w:spacing w:val="-4"/>
        </w:rPr>
        <w:t> </w:t>
      </w:r>
      <w:r>
        <w:rPr>
          <w:color w:val="231F20"/>
        </w:rPr>
        <w:t>het</w:t>
      </w:r>
      <w:r>
        <w:rPr>
          <w:color w:val="231F20"/>
          <w:spacing w:val="-4"/>
        </w:rPr>
        <w:t> </w:t>
      </w:r>
      <w:r>
        <w:rPr>
          <w:color w:val="231F20"/>
        </w:rPr>
        <w:t>nemen</w:t>
      </w:r>
      <w:r>
        <w:rPr>
          <w:color w:val="231F20"/>
          <w:spacing w:val="-5"/>
        </w:rPr>
        <w:t> </w:t>
      </w:r>
      <w:r>
        <w:rPr>
          <w:color w:val="231F20"/>
        </w:rPr>
        <w:t>van</w:t>
      </w:r>
      <w:r>
        <w:rPr>
          <w:color w:val="231F20"/>
          <w:spacing w:val="-4"/>
        </w:rPr>
        <w:t> </w:t>
      </w:r>
      <w:r>
        <w:rPr>
          <w:color w:val="231F20"/>
        </w:rPr>
        <w:t>het</w:t>
      </w:r>
      <w:r>
        <w:rPr>
          <w:color w:val="231F20"/>
          <w:spacing w:val="-4"/>
        </w:rPr>
        <w:t> </w:t>
      </w:r>
      <w:r>
        <w:rPr>
          <w:color w:val="231F20"/>
        </w:rPr>
        <w:t>besluit</w:t>
      </w:r>
      <w:r>
        <w:rPr>
          <w:color w:val="231F20"/>
          <w:spacing w:val="-5"/>
        </w:rPr>
        <w:t> </w:t>
      </w:r>
      <w:r>
        <w:rPr>
          <w:color w:val="231F20"/>
        </w:rPr>
        <w:t>als</w:t>
      </w:r>
      <w:r>
        <w:rPr>
          <w:color w:val="231F20"/>
          <w:spacing w:val="-4"/>
        </w:rPr>
        <w:t> </w:t>
      </w:r>
      <w:r>
        <w:rPr>
          <w:color w:val="231F20"/>
        </w:rPr>
        <w:t>bedoeld</w:t>
      </w:r>
      <w:r>
        <w:rPr>
          <w:color w:val="231F20"/>
          <w:spacing w:val="-4"/>
        </w:rPr>
        <w:t> </w:t>
      </w:r>
      <w:r>
        <w:rPr>
          <w:color w:val="231F20"/>
        </w:rPr>
        <w:t>in</w:t>
      </w:r>
      <w:r>
        <w:rPr>
          <w:color w:val="231F20"/>
          <w:spacing w:val="-5"/>
        </w:rPr>
        <w:t> </w:t>
      </w:r>
      <w:r>
        <w:rPr>
          <w:color w:val="231F20"/>
        </w:rPr>
        <w:t>artikel</w:t>
      </w:r>
      <w:r>
        <w:rPr>
          <w:color w:val="231F20"/>
          <w:spacing w:val="-4"/>
        </w:rPr>
        <w:t> </w:t>
      </w:r>
      <w:r>
        <w:rPr>
          <w:color w:val="231F20"/>
        </w:rPr>
        <w:t>6:116 wisten of, gezien de omstandigheden, behoorden te weten dat de vennootschap ten gevolge van de uitkering redelijk niet meer in staat zou zijn haar schulden te voldoen zoals bepaald in artikel 6:116, zijn zij tegenover de vennootschap en derden hoofdelijk aansprakelijk  voor alle daaruit voortvloeiende</w:t>
      </w:r>
      <w:r>
        <w:rPr>
          <w:color w:val="231F20"/>
          <w:spacing w:val="5"/>
        </w:rPr>
        <w:t> </w:t>
      </w:r>
      <w:r>
        <w:rPr>
          <w:color w:val="231F20"/>
        </w:rPr>
        <w:t>schade.</w:t>
      </w:r>
    </w:p>
    <w:p>
      <w:pPr>
        <w:pStyle w:val="BodyText"/>
        <w:spacing w:line="218" w:lineRule="auto" w:before="85"/>
      </w:pPr>
      <w:r>
        <w:rPr>
          <w:color w:val="231F20"/>
        </w:rPr>
        <w:t>De vennootschap kan elke uitkering  die  in  strijd  met  de  artike-  len 6:115 en 6:116 is verricht van de aandeelhouders terugvorderen, ongeacht</w:t>
      </w:r>
      <w:r>
        <w:rPr>
          <w:color w:val="231F20"/>
          <w:spacing w:val="16"/>
        </w:rPr>
        <w:t> </w:t>
      </w:r>
      <w:r>
        <w:rPr>
          <w:color w:val="231F20"/>
        </w:rPr>
        <w:t>hun</w:t>
      </w:r>
      <w:r>
        <w:rPr>
          <w:color w:val="231F20"/>
          <w:spacing w:val="16"/>
        </w:rPr>
        <w:t> </w:t>
      </w:r>
      <w:r>
        <w:rPr>
          <w:color w:val="231F20"/>
        </w:rPr>
        <w:t>goede</w:t>
      </w:r>
      <w:r>
        <w:rPr>
          <w:color w:val="231F20"/>
          <w:spacing w:val="17"/>
        </w:rPr>
        <w:t> </w:t>
      </w:r>
      <w:r>
        <w:rPr>
          <w:color w:val="231F20"/>
        </w:rPr>
        <w:t>of</w:t>
      </w:r>
      <w:r>
        <w:rPr>
          <w:color w:val="231F20"/>
          <w:spacing w:val="16"/>
        </w:rPr>
        <w:t> </w:t>
      </w:r>
      <w:r>
        <w:rPr>
          <w:color w:val="231F20"/>
        </w:rPr>
        <w:t>kwade</w:t>
      </w:r>
      <w:r>
        <w:rPr>
          <w:color w:val="231F20"/>
          <w:spacing w:val="17"/>
        </w:rPr>
        <w:t> </w:t>
      </w:r>
      <w:r>
        <w:rPr>
          <w:color w:val="231F20"/>
          <w:spacing w:val="-4"/>
        </w:rPr>
        <w:t>trouw.</w:t>
      </w:r>
    </w:p>
    <w:p>
      <w:pPr>
        <w:pStyle w:val="BodyText"/>
        <w:spacing w:line="218" w:lineRule="auto" w:before="86"/>
      </w:pPr>
      <w:r>
        <w:rPr>
          <w:color w:val="231F20"/>
        </w:rPr>
        <w:t>Afdeling 2. Financiering van de verkrijging van aandelen van de vennootschap door derden.</w:t>
      </w:r>
    </w:p>
    <w:p>
      <w:pPr>
        <w:pStyle w:val="BodyText"/>
        <w:spacing w:line="218" w:lineRule="auto" w:before="85"/>
      </w:pPr>
      <w:r>
        <w:rPr>
          <w:color w:val="231F20"/>
        </w:rPr>
        <w:t>Art. 6:118. § 1. De vennootschap mag slechts middelen voorschieten, leningen toestaan of zekerheden stellen met het oog op de verkrijging van haar aandelen door derden onder de volgende voorwaarden:</w:t>
      </w:r>
    </w:p>
    <w:p>
      <w:pPr>
        <w:pStyle w:val="BodyText"/>
        <w:spacing w:line="218" w:lineRule="auto" w:before="97"/>
      </w:pPr>
      <w:r>
        <w:rPr>
          <w:color w:val="231F20"/>
        </w:rPr>
        <w:t>1° de verrichting is toegelaten door een voorafgaand besluit van de algemene vergadering, genomen met naleving van de aanwezigheids- en</w:t>
      </w:r>
      <w:r>
        <w:rPr>
          <w:color w:val="231F20"/>
          <w:spacing w:val="22"/>
        </w:rPr>
        <w:t> </w:t>
      </w:r>
      <w:r>
        <w:rPr>
          <w:color w:val="231F20"/>
        </w:rPr>
        <w:t>meerderheidsvereisten</w:t>
      </w:r>
      <w:r>
        <w:rPr>
          <w:color w:val="231F20"/>
          <w:spacing w:val="22"/>
        </w:rPr>
        <w:t> </w:t>
      </w:r>
      <w:r>
        <w:rPr>
          <w:color w:val="231F20"/>
        </w:rPr>
        <w:t>voorgeschreven</w:t>
      </w:r>
      <w:r>
        <w:rPr>
          <w:color w:val="231F20"/>
          <w:spacing w:val="23"/>
        </w:rPr>
        <w:t> </w:t>
      </w:r>
      <w:r>
        <w:rPr>
          <w:color w:val="231F20"/>
        </w:rPr>
        <w:t>voor</w:t>
      </w:r>
      <w:r>
        <w:rPr>
          <w:color w:val="231F20"/>
          <w:spacing w:val="22"/>
        </w:rPr>
        <w:t> </w:t>
      </w:r>
      <w:r>
        <w:rPr>
          <w:color w:val="231F20"/>
        </w:rPr>
        <w:t>een</w:t>
      </w:r>
      <w:r>
        <w:rPr>
          <w:color w:val="231F20"/>
          <w:spacing w:val="22"/>
        </w:rPr>
        <w:t> </w:t>
      </w:r>
      <w:r>
        <w:rPr>
          <w:color w:val="231F20"/>
        </w:rPr>
        <w:t>statutenwijziging;</w:t>
      </w:r>
    </w:p>
    <w:p>
      <w:pPr>
        <w:pStyle w:val="BodyText"/>
        <w:spacing w:line="218" w:lineRule="auto" w:before="96"/>
      </w:pPr>
      <w:r>
        <w:rPr>
          <w:color w:val="231F20"/>
        </w:rPr>
        <w:t>2° de verrichting gebeurt onder de verantwoordelijkheid van het bestuursorgaan dat ter zake een verslag opstelt waarin de redenen voor de</w:t>
      </w:r>
      <w:r>
        <w:rPr>
          <w:color w:val="231F20"/>
          <w:spacing w:val="20"/>
        </w:rPr>
        <w:t> </w:t>
      </w:r>
      <w:r>
        <w:rPr>
          <w:color w:val="231F20"/>
        </w:rPr>
        <w:t>verrichting</w:t>
      </w:r>
      <w:r>
        <w:rPr>
          <w:color w:val="231F20"/>
          <w:spacing w:val="21"/>
        </w:rPr>
        <w:t> </w:t>
      </w:r>
      <w:r>
        <w:rPr>
          <w:color w:val="231F20"/>
        </w:rPr>
        <w:t>en</w:t>
      </w:r>
      <w:r>
        <w:rPr>
          <w:color w:val="231F20"/>
          <w:spacing w:val="21"/>
        </w:rPr>
        <w:t> </w:t>
      </w:r>
      <w:r>
        <w:rPr>
          <w:color w:val="231F20"/>
        </w:rPr>
        <w:t>de</w:t>
      </w:r>
      <w:r>
        <w:rPr>
          <w:color w:val="231F20"/>
          <w:spacing w:val="21"/>
        </w:rPr>
        <w:t> </w:t>
      </w:r>
      <w:r>
        <w:rPr>
          <w:color w:val="231F20"/>
        </w:rPr>
        <w:t>voorwaarden</w:t>
      </w:r>
      <w:r>
        <w:rPr>
          <w:color w:val="231F20"/>
          <w:spacing w:val="21"/>
        </w:rPr>
        <w:t> </w:t>
      </w:r>
      <w:r>
        <w:rPr>
          <w:color w:val="231F20"/>
        </w:rPr>
        <w:t>waartegen</w:t>
      </w:r>
      <w:r>
        <w:rPr>
          <w:color w:val="231F20"/>
          <w:spacing w:val="21"/>
        </w:rPr>
        <w:t> </w:t>
      </w:r>
      <w:r>
        <w:rPr>
          <w:color w:val="231F20"/>
        </w:rPr>
        <w:t>deze</w:t>
      </w:r>
      <w:r>
        <w:rPr>
          <w:color w:val="231F20"/>
          <w:spacing w:val="21"/>
        </w:rPr>
        <w:t> </w:t>
      </w:r>
      <w:r>
        <w:rPr>
          <w:color w:val="231F20"/>
        </w:rPr>
        <w:t>plaatsvindt</w:t>
      </w:r>
      <w:r>
        <w:rPr>
          <w:color w:val="231F20"/>
          <w:spacing w:val="21"/>
        </w:rPr>
        <w:t> </w:t>
      </w:r>
      <w:r>
        <w:rPr>
          <w:color w:val="231F20"/>
        </w:rPr>
        <w:t>worden</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right="0" w:firstLine="0"/>
        <w:jc w:val="left"/>
      </w:pPr>
      <w:r>
        <w:rPr/>
        <w:pict>
          <v:line style="position:absolute;mso-position-horizontal-relative:page;mso-position-vertical-relative:page;z-index:4456" from="298.170502pt,64.473pt" to="298.170502pt,812.819pt" stroked="true" strokeweight=".533pt" strokecolor="#231f20">
            <v:stroke dashstyle="solid"/>
            <w10:wrap type="none"/>
          </v:line>
        </w:pict>
      </w:r>
      <w:bookmarkStart w:name="_bookmark143" w:id="148"/>
      <w:bookmarkEnd w:id="148"/>
      <w:r>
        <w:rPr/>
      </w:r>
      <w:r>
        <w:rPr>
          <w:color w:val="231F20"/>
        </w:rPr>
        <w:t>risques qu’elle comporte pour la liquidité et la solvabilité de la société;</w:t>
      </w:r>
    </w:p>
    <w:p>
      <w:pPr>
        <w:pStyle w:val="BodyText"/>
        <w:spacing w:before="7"/>
        <w:ind w:left="0" w:right="0" w:firstLine="0"/>
        <w:jc w:val="left"/>
        <w:rPr>
          <w:sz w:val="23"/>
        </w:rPr>
      </w:pPr>
    </w:p>
    <w:p>
      <w:pPr>
        <w:pStyle w:val="BodyText"/>
        <w:spacing w:line="218" w:lineRule="auto"/>
        <w:ind w:right="38"/>
      </w:pPr>
      <w:r>
        <w:rPr>
          <w:color w:val="231F20"/>
        </w:rPr>
        <w:t>3° les sommes affectées à cette acquisition doivent être susceptibles d’être distribuées conformément aux articles 6:115 et 6:116;</w:t>
      </w:r>
    </w:p>
    <w:p>
      <w:pPr>
        <w:pStyle w:val="BodyText"/>
        <w:spacing w:line="218" w:lineRule="auto" w:before="96"/>
        <w:ind w:right="38"/>
      </w:pPr>
      <w:r>
        <w:rPr>
          <w:color w:val="231F20"/>
        </w:rPr>
        <w:t>4° la société inscrit au passif du bilan une réserve indisponible d’un montant correspondant à l’aide financière totale. Cette réserve peut</w:t>
      </w:r>
      <w:r>
        <w:rPr>
          <w:color w:val="231F20"/>
          <w:spacing w:val="-21"/>
        </w:rPr>
        <w:t> </w:t>
      </w:r>
      <w:r>
        <w:rPr>
          <w:color w:val="231F20"/>
        </w:rPr>
        <w:t>être diminuée proportionnellement à la diminution de l’aide apportée, et sur laquelle des reprises peuvent être effectuées proportionnellement à la diminution de l’aide</w:t>
      </w:r>
      <w:r>
        <w:rPr>
          <w:color w:val="231F20"/>
          <w:spacing w:val="21"/>
        </w:rPr>
        <w:t> </w:t>
      </w:r>
      <w:r>
        <w:rPr>
          <w:color w:val="231F20"/>
        </w:rPr>
        <w:t>apportée.</w:t>
      </w:r>
    </w:p>
    <w:p>
      <w:pPr>
        <w:pStyle w:val="BodyText"/>
        <w:spacing w:line="213" w:lineRule="auto" w:before="85"/>
        <w:ind w:right="38"/>
      </w:pPr>
      <w:r>
        <w:rPr>
          <w:color w:val="231F20"/>
        </w:rPr>
        <w:t>Le rapport visé à l’alinéa 1</w:t>
      </w:r>
      <w:r>
        <w:rPr>
          <w:color w:val="231F20"/>
          <w:position w:val="7"/>
          <w:sz w:val="11"/>
        </w:rPr>
        <w:t>er</w:t>
      </w:r>
      <w:r>
        <w:rPr>
          <w:color w:val="231F20"/>
        </w:rPr>
        <w:t>, 2°, est annoncé dans l’ordre du jour de l’assemblée générale visée à l’alinéa 1</w:t>
      </w:r>
      <w:r>
        <w:rPr>
          <w:color w:val="231F20"/>
          <w:position w:val="7"/>
          <w:sz w:val="11"/>
        </w:rPr>
        <w:t>er</w:t>
      </w:r>
      <w:r>
        <w:rPr>
          <w:color w:val="231F20"/>
        </w:rPr>
        <w:t>, 1°. Une copie peut en être obtenue conformément à l’article 6:70, § 2. En cas d’absence de ce rapport, la décision de l’assemblée générale est nulle.</w:t>
      </w:r>
    </w:p>
    <w:p>
      <w:pPr>
        <w:pStyle w:val="BodyText"/>
        <w:spacing w:line="218" w:lineRule="auto" w:before="78"/>
        <w:ind w:right="38"/>
      </w:pPr>
      <w:r>
        <w:rPr>
          <w:color w:val="231F20"/>
        </w:rPr>
        <w:t>§ 2. À l’exception de l’alinéa 1</w:t>
      </w:r>
      <w:r>
        <w:rPr>
          <w:color w:val="231F20"/>
          <w:position w:val="7"/>
          <w:sz w:val="11"/>
        </w:rPr>
        <w:t>er</w:t>
      </w:r>
      <w:r>
        <w:rPr>
          <w:color w:val="231F20"/>
        </w:rPr>
        <w:t>, 3° et 4°, le paragraphe 1</w:t>
      </w:r>
      <w:r>
        <w:rPr>
          <w:color w:val="231F20"/>
          <w:position w:val="7"/>
          <w:sz w:val="11"/>
        </w:rPr>
        <w:t>er </w:t>
      </w:r>
      <w:r>
        <w:rPr>
          <w:color w:val="231F20"/>
        </w:rPr>
        <w:t>ne s’applique pas aux avances, prêts et sûretés consentis:</w:t>
      </w:r>
    </w:p>
    <w:p>
      <w:pPr>
        <w:pStyle w:val="BodyText"/>
        <w:spacing w:before="10"/>
        <w:ind w:left="0" w:right="0" w:firstLine="0"/>
        <w:jc w:val="left"/>
        <w:rPr>
          <w:sz w:val="23"/>
        </w:rPr>
      </w:pPr>
    </w:p>
    <w:p>
      <w:pPr>
        <w:pStyle w:val="BodyText"/>
        <w:spacing w:line="218" w:lineRule="auto"/>
        <w:ind w:right="38"/>
      </w:pPr>
      <w:r>
        <w:rPr>
          <w:color w:val="231F20"/>
        </w:rPr>
        <w:t>1° à des membres du personnel de la société ou d’une société liée à celle-ci pour l’acquisition d’actions de ces sociétés;</w:t>
      </w:r>
    </w:p>
    <w:p>
      <w:pPr>
        <w:pStyle w:val="BodyText"/>
        <w:ind w:left="0" w:right="0" w:firstLine="0"/>
        <w:jc w:val="left"/>
        <w:rPr>
          <w:sz w:val="24"/>
        </w:rPr>
      </w:pPr>
    </w:p>
    <w:p>
      <w:pPr>
        <w:pStyle w:val="BodyText"/>
        <w:spacing w:line="218" w:lineRule="auto"/>
        <w:ind w:right="38"/>
      </w:pPr>
      <w:r>
        <w:rPr>
          <w:color w:val="231F20"/>
        </w:rPr>
        <w:t>2° à des sociétés dont la moitié au moins des droits de vote est détenue par les membres du personnel de la société, pour l’acquisition par ces sociétés d’actions de la société, auxquels est attachée la moitié au moins des droits de vote.</w:t>
      </w:r>
    </w:p>
    <w:p>
      <w:pPr>
        <w:pStyle w:val="BodyText"/>
        <w:spacing w:before="7"/>
        <w:ind w:left="0" w:right="0" w:firstLine="0"/>
        <w:jc w:val="left"/>
        <w:rPr>
          <w:sz w:val="23"/>
        </w:rPr>
      </w:pPr>
    </w:p>
    <w:p>
      <w:pPr>
        <w:pStyle w:val="BodyText"/>
        <w:ind w:left="283" w:right="0" w:firstLine="0"/>
        <w:jc w:val="left"/>
      </w:pPr>
      <w:r>
        <w:rPr>
          <w:color w:val="231F20"/>
        </w:rPr>
        <w:t>Section 3. Procédure de sonnette d’alarme.</w:t>
      </w:r>
    </w:p>
    <w:p>
      <w:pPr>
        <w:pStyle w:val="BodyText"/>
        <w:spacing w:line="218" w:lineRule="auto" w:before="89"/>
        <w:ind w:right="38"/>
      </w:pPr>
      <w:r>
        <w:rPr>
          <w:color w:val="231F20"/>
        </w:rPr>
        <w:t>Art. 6:119. § 1</w:t>
      </w:r>
      <w:r>
        <w:rPr>
          <w:color w:val="231F20"/>
          <w:position w:val="7"/>
          <w:sz w:val="11"/>
        </w:rPr>
        <w:t>er</w:t>
      </w:r>
      <w:r>
        <w:rPr>
          <w:color w:val="231F20"/>
        </w:rPr>
        <w:t>. Lorsque l’actif net risque de devenir ou est devenu négatif, l’organe d’administration doit, sauf dispositions plus rigoureu- ses dans les statuts, convoquer l’assemblée générale à une réunion à tenir dans les deux mois de la date à laquelle cette situation a été constatée ou aurait dû l’être constatée en vertu des dispositions légales ou statutaires, en vue de décider de la dissolution de la société ou de mesures annoncées dans l’ordre du jour afin d’assurer la continuité de la société.</w:t>
      </w:r>
    </w:p>
    <w:p>
      <w:pPr>
        <w:pStyle w:val="BodyText"/>
        <w:spacing w:line="218" w:lineRule="auto" w:before="107"/>
        <w:ind w:right="38"/>
      </w:pPr>
      <w:r>
        <w:rPr>
          <w:color w:val="231F20"/>
        </w:rPr>
        <w:t>À moins que l’organe d’administration propose la dissolution de la société conformément à l’article 6:125, il expose dans un rapport</w:t>
      </w:r>
      <w:r>
        <w:rPr>
          <w:color w:val="231F20"/>
          <w:spacing w:val="-15"/>
        </w:rPr>
        <w:t> </w:t>
      </w:r>
      <w:r>
        <w:rPr>
          <w:color w:val="231F20"/>
        </w:rPr>
        <w:t>spécial les mesures qu’il propose pour assurer la continuité de la société. Ce rapport est annoncé dans l’ordre du </w:t>
      </w:r>
      <w:r>
        <w:rPr>
          <w:color w:val="231F20"/>
          <w:spacing w:val="-3"/>
        </w:rPr>
        <w:t>jour. </w:t>
      </w:r>
      <w:r>
        <w:rPr>
          <w:color w:val="231F20"/>
        </w:rPr>
        <w:t>Une copie peut en être obtenue</w:t>
      </w:r>
      <w:r>
        <w:rPr>
          <w:color w:val="231F20"/>
          <w:spacing w:val="13"/>
        </w:rPr>
        <w:t> </w:t>
      </w:r>
      <w:r>
        <w:rPr>
          <w:color w:val="231F20"/>
        </w:rPr>
        <w:t>conformément</w:t>
      </w:r>
      <w:r>
        <w:rPr>
          <w:color w:val="231F20"/>
          <w:spacing w:val="14"/>
        </w:rPr>
        <w:t> </w:t>
      </w:r>
      <w:r>
        <w:rPr>
          <w:color w:val="231F20"/>
        </w:rPr>
        <w:t>à</w:t>
      </w:r>
      <w:r>
        <w:rPr>
          <w:color w:val="231F20"/>
          <w:spacing w:val="14"/>
        </w:rPr>
        <w:t> </w:t>
      </w:r>
      <w:r>
        <w:rPr>
          <w:color w:val="231F20"/>
        </w:rPr>
        <w:t>l’article</w:t>
      </w:r>
      <w:r>
        <w:rPr>
          <w:color w:val="231F20"/>
          <w:spacing w:val="13"/>
        </w:rPr>
        <w:t> </w:t>
      </w:r>
      <w:r>
        <w:rPr>
          <w:color w:val="231F20"/>
        </w:rPr>
        <w:t>6:70,</w:t>
      </w:r>
      <w:r>
        <w:rPr>
          <w:color w:val="231F20"/>
          <w:spacing w:val="14"/>
        </w:rPr>
        <w:t> </w:t>
      </w:r>
      <w:r>
        <w:rPr>
          <w:color w:val="231F20"/>
        </w:rPr>
        <w:t>§</w:t>
      </w:r>
      <w:r>
        <w:rPr>
          <w:color w:val="231F20"/>
          <w:spacing w:val="13"/>
        </w:rPr>
        <w:t> </w:t>
      </w:r>
      <w:r>
        <w:rPr>
          <w:color w:val="231F20"/>
        </w:rPr>
        <w:t>2.</w:t>
      </w:r>
    </w:p>
    <w:p>
      <w:pPr>
        <w:pStyle w:val="BodyText"/>
        <w:spacing w:line="218" w:lineRule="auto" w:before="107"/>
        <w:ind w:right="38"/>
      </w:pPr>
      <w:r>
        <w:rPr>
          <w:color w:val="231F20"/>
        </w:rPr>
        <w:t>En cas d’absence du rapport visé à l’alinéa 2, la décision de l’assemblée générale est nulle.</w:t>
      </w:r>
    </w:p>
    <w:p>
      <w:pPr>
        <w:pStyle w:val="BodyText"/>
        <w:spacing w:line="213" w:lineRule="auto" w:before="110"/>
        <w:ind w:right="38"/>
      </w:pPr>
      <w:r>
        <w:rPr>
          <w:color w:val="231F20"/>
        </w:rPr>
        <w:t>§ 2. Il est procédé de la même manière que celle visée au paragraphe 1</w:t>
      </w:r>
      <w:r>
        <w:rPr>
          <w:color w:val="231F20"/>
          <w:position w:val="7"/>
          <w:sz w:val="11"/>
        </w:rPr>
        <w:t>er </w:t>
      </w:r>
      <w:r>
        <w:rPr>
          <w:color w:val="231F20"/>
        </w:rPr>
        <w:t>lorsque l’organe d’administration constate qu’il n’est plus  certain que la société, selon les développements auxquels on peut raisonnable- ment s’attendre, sera en mesure de s’acquitter de ses dettes au fur et à mesure</w:t>
      </w:r>
      <w:r>
        <w:rPr>
          <w:color w:val="231F20"/>
          <w:spacing w:val="18"/>
        </w:rPr>
        <w:t> </w:t>
      </w:r>
      <w:r>
        <w:rPr>
          <w:color w:val="231F20"/>
        </w:rPr>
        <w:t>de</w:t>
      </w:r>
      <w:r>
        <w:rPr>
          <w:color w:val="231F20"/>
          <w:spacing w:val="18"/>
        </w:rPr>
        <w:t> </w:t>
      </w:r>
      <w:r>
        <w:rPr>
          <w:color w:val="231F20"/>
        </w:rPr>
        <w:t>leur</w:t>
      </w:r>
      <w:r>
        <w:rPr>
          <w:color w:val="231F20"/>
          <w:spacing w:val="19"/>
        </w:rPr>
        <w:t> </w:t>
      </w:r>
      <w:r>
        <w:rPr>
          <w:color w:val="231F20"/>
        </w:rPr>
        <w:t>échéance</w:t>
      </w:r>
      <w:r>
        <w:rPr>
          <w:color w:val="231F20"/>
          <w:spacing w:val="18"/>
        </w:rPr>
        <w:t> </w:t>
      </w:r>
      <w:r>
        <w:rPr>
          <w:color w:val="231F20"/>
        </w:rPr>
        <w:t>pendant</w:t>
      </w:r>
      <w:r>
        <w:rPr>
          <w:color w:val="231F20"/>
          <w:spacing w:val="19"/>
        </w:rPr>
        <w:t> </w:t>
      </w:r>
      <w:r>
        <w:rPr>
          <w:color w:val="231F20"/>
        </w:rPr>
        <w:t>au</w:t>
      </w:r>
      <w:r>
        <w:rPr>
          <w:color w:val="231F20"/>
          <w:spacing w:val="18"/>
        </w:rPr>
        <w:t> </w:t>
      </w:r>
      <w:r>
        <w:rPr>
          <w:color w:val="231F20"/>
        </w:rPr>
        <w:t>moins</w:t>
      </w:r>
      <w:r>
        <w:rPr>
          <w:color w:val="231F20"/>
          <w:spacing w:val="18"/>
        </w:rPr>
        <w:t> </w:t>
      </w:r>
      <w:r>
        <w:rPr>
          <w:color w:val="231F20"/>
        </w:rPr>
        <w:t>les</w:t>
      </w:r>
      <w:r>
        <w:rPr>
          <w:color w:val="231F20"/>
          <w:spacing w:val="19"/>
        </w:rPr>
        <w:t> </w:t>
      </w:r>
      <w:r>
        <w:rPr>
          <w:color w:val="231F20"/>
        </w:rPr>
        <w:t>douze</w:t>
      </w:r>
      <w:r>
        <w:rPr>
          <w:color w:val="231F20"/>
          <w:spacing w:val="18"/>
        </w:rPr>
        <w:t> </w:t>
      </w:r>
      <w:r>
        <w:rPr>
          <w:color w:val="231F20"/>
        </w:rPr>
        <w:t>mois</w:t>
      </w:r>
      <w:r>
        <w:rPr>
          <w:color w:val="231F20"/>
          <w:spacing w:val="19"/>
        </w:rPr>
        <w:t> </w:t>
      </w:r>
      <w:r>
        <w:rPr>
          <w:color w:val="231F20"/>
        </w:rPr>
        <w:t>suivants.</w:t>
      </w:r>
    </w:p>
    <w:p>
      <w:pPr>
        <w:pStyle w:val="BodyText"/>
        <w:spacing w:line="218" w:lineRule="auto" w:before="108"/>
        <w:ind w:right="38"/>
      </w:pPr>
      <w:r>
        <w:rPr>
          <w:color w:val="231F20"/>
        </w:rPr>
        <w:t>§ 3. Lorsque l’assemblée générale n’a pas été convoquée conformé- ment au présent article, le dommage subi par les tiers est, sauf preuve contraire, présumé résulter de cette absence de convocation.</w:t>
      </w:r>
    </w:p>
    <w:p>
      <w:pPr>
        <w:pStyle w:val="BodyText"/>
        <w:spacing w:before="1"/>
        <w:ind w:left="0" w:right="0" w:firstLine="0"/>
        <w:jc w:val="left"/>
        <w:rPr>
          <w:sz w:val="25"/>
        </w:rPr>
      </w:pPr>
    </w:p>
    <w:p>
      <w:pPr>
        <w:pStyle w:val="BodyText"/>
        <w:spacing w:line="213" w:lineRule="auto" w:before="1"/>
        <w:ind w:right="38"/>
      </w:pPr>
      <w:r>
        <w:rPr>
          <w:color w:val="231F20"/>
        </w:rPr>
        <w:t>§ 4. Après que l’organe d’administration a rempli une première fois les obligations visées aux paragraphes 1</w:t>
      </w:r>
      <w:r>
        <w:rPr>
          <w:color w:val="231F20"/>
          <w:position w:val="7"/>
          <w:sz w:val="11"/>
        </w:rPr>
        <w:t>er </w:t>
      </w:r>
      <w:r>
        <w:rPr>
          <w:color w:val="231F20"/>
        </w:rPr>
        <w:t>et 2, il n’est plus tenu de convoquer l’assemblée générale pour les mêmes motifs pendant les douze mois suivant la convocation initiale.</w:t>
      </w:r>
    </w:p>
    <w:p>
      <w:pPr>
        <w:pStyle w:val="BodyText"/>
        <w:spacing w:line="460" w:lineRule="atLeast"/>
        <w:ind w:left="283" w:right="0" w:firstLine="0"/>
        <w:jc w:val="left"/>
      </w:pPr>
      <w:r>
        <w:rPr>
          <w:color w:val="231F20"/>
        </w:rPr>
        <w:t>TITRE 6. Démission et exclusion à charge du patrimoine social. Section 1</w:t>
      </w:r>
      <w:r>
        <w:rPr>
          <w:color w:val="231F20"/>
          <w:position w:val="7"/>
          <w:sz w:val="11"/>
        </w:rPr>
        <w:t>re</w:t>
      </w:r>
      <w:r>
        <w:rPr>
          <w:color w:val="231F20"/>
        </w:rPr>
        <w:t>. Démission.</w:t>
      </w:r>
    </w:p>
    <w:p>
      <w:pPr>
        <w:pStyle w:val="BodyText"/>
        <w:spacing w:line="218" w:lineRule="auto" w:before="86"/>
        <w:ind w:right="38"/>
      </w:pPr>
      <w:r>
        <w:rPr>
          <w:color w:val="231F20"/>
        </w:rPr>
        <w:t>Art. 6:120. § 1</w:t>
      </w:r>
      <w:r>
        <w:rPr>
          <w:color w:val="231F20"/>
          <w:position w:val="7"/>
          <w:sz w:val="11"/>
        </w:rPr>
        <w:t>er</w:t>
      </w:r>
      <w:r>
        <w:rPr>
          <w:color w:val="231F20"/>
        </w:rPr>
        <w:t>. Nonobstant toute disposition statutaire contraire, les actionnaires ont le droit de démissionner de la société à charge de son patrimoine.</w:t>
      </w:r>
    </w:p>
    <w:p>
      <w:pPr>
        <w:pStyle w:val="BodyText"/>
        <w:spacing w:line="218" w:lineRule="auto" w:before="106"/>
        <w:ind w:right="38"/>
      </w:pPr>
      <w:r>
        <w:rPr>
          <w:color w:val="231F20"/>
        </w:rPr>
        <w:t>Les statuts règlent les modalités d’une telle démission, étant entendu que:</w:t>
      </w:r>
    </w:p>
    <w:p>
      <w:pPr>
        <w:pStyle w:val="BodyText"/>
        <w:spacing w:line="218" w:lineRule="auto" w:before="107"/>
        <w:ind w:right="38"/>
      </w:pPr>
      <w:r>
        <w:rPr>
          <w:color w:val="231F20"/>
        </w:rPr>
        <w:t>1° nonobstant toute disposition statutaire contraire, la démission des fondateurs n’est autorisée qu’à partir du troisième exercice suivant la constitution;</w:t>
      </w:r>
    </w:p>
    <w:p>
      <w:pPr>
        <w:pStyle w:val="BodyText"/>
        <w:spacing w:line="218" w:lineRule="auto" w:before="107"/>
        <w:ind w:right="38"/>
      </w:pPr>
      <w:r>
        <w:rPr>
          <w:color w:val="231F20"/>
        </w:rPr>
        <w:t>2° sauf disposition statutaire contraire, les actionnaires ne peuvent démissionner que pendant les six premiers mois de l’exercice social;</w:t>
      </w:r>
    </w:p>
    <w:p>
      <w:pPr>
        <w:pStyle w:val="BodyText"/>
        <w:spacing w:line="218" w:lineRule="auto" w:before="107"/>
        <w:ind w:right="38"/>
      </w:pPr>
      <w:r>
        <w:rPr>
          <w:color w:val="231F20"/>
        </w:rPr>
        <w:t>3° sauf disposition statutaire contraire, un actionnaire démissionne pour l’ensemble de ses actions, qui sont annulées;</w:t>
      </w:r>
    </w:p>
    <w:p>
      <w:pPr>
        <w:pStyle w:val="BodyText"/>
        <w:spacing w:line="218" w:lineRule="auto" w:before="107"/>
        <w:ind w:right="38"/>
      </w:pPr>
      <w:r>
        <w:rPr>
          <w:color w:val="231F20"/>
        </w:rPr>
        <w:t>4° sauf disposition statutaire contraire,, la démission prend effet le dernier jour du sixième mois de l’exercice et la valeur de la part de retrait doit être payée au plus tard dans le mois qui suit;</w:t>
      </w:r>
    </w:p>
    <w:p>
      <w:pPr>
        <w:pStyle w:val="BodyText"/>
        <w:spacing w:line="218" w:lineRule="auto" w:before="119"/>
        <w:ind w:right="183" w:hanging="1"/>
        <w:jc w:val="left"/>
      </w:pPr>
      <w:r>
        <w:rPr/>
        <w:br w:type="column"/>
      </w:r>
      <w:r>
        <w:rPr>
          <w:color w:val="231F20"/>
        </w:rPr>
        <w:t>vermeld, samen met de daaraan verbonden risico’s voor de liquiditeit en</w:t>
      </w:r>
      <w:r>
        <w:rPr>
          <w:color w:val="231F20"/>
          <w:spacing w:val="15"/>
        </w:rPr>
        <w:t> </w:t>
      </w:r>
      <w:r>
        <w:rPr>
          <w:color w:val="231F20"/>
        </w:rPr>
        <w:t>de</w:t>
      </w:r>
      <w:r>
        <w:rPr>
          <w:color w:val="231F20"/>
          <w:spacing w:val="16"/>
        </w:rPr>
        <w:t> </w:t>
      </w:r>
      <w:r>
        <w:rPr>
          <w:color w:val="231F20"/>
        </w:rPr>
        <w:t>solvabiliteit</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vennootschap;</w:t>
      </w:r>
    </w:p>
    <w:p>
      <w:pPr>
        <w:pStyle w:val="BodyText"/>
        <w:spacing w:line="218" w:lineRule="auto" w:before="97"/>
      </w:pPr>
      <w:r>
        <w:rPr>
          <w:color w:val="231F20"/>
        </w:rPr>
        <w:t>3° het voor die verrichting uitgetrokken bedrag moet overeenkomstig de artikelen 6:115 en 6:116 voor uitkering vatbaar zijn;</w:t>
      </w:r>
    </w:p>
    <w:p>
      <w:pPr>
        <w:pStyle w:val="BodyText"/>
        <w:spacing w:line="218" w:lineRule="auto" w:before="96"/>
      </w:pPr>
      <w:r>
        <w:rPr>
          <w:color w:val="231F20"/>
        </w:rPr>
        <w:t>4° de vennootschap neemt aan de passiefzijde van haar balans een onbeschikbare reserve op, ten bedrage van de totale financiële bijstand. Deze reserve mag worden teruggenomen evenredig met de verminde- ring van de verleende steun, en waarop terugnemingen kunnen gebeuren evenredig met de vermindering van de verleende steun.</w:t>
      </w:r>
    </w:p>
    <w:p>
      <w:pPr>
        <w:pStyle w:val="BodyText"/>
        <w:spacing w:line="218" w:lineRule="auto" w:before="96"/>
      </w:pPr>
      <w:r>
        <w:rPr>
          <w:color w:val="231F20"/>
        </w:rPr>
        <w:t>Het verslag bedoeld in het eerste lid, 2°, wordt vermeld in de agenda van de algemene vergadering bedoeld in het eerste lid, 1°. Een kopie ervan kan worden verkregen overeenkomstig artikel 6:70, § 2. Wanneer dit verslag ontbreekt, is het besluit van de algemene vergadering nietig.</w:t>
      </w:r>
    </w:p>
    <w:p>
      <w:pPr>
        <w:pStyle w:val="BodyText"/>
        <w:spacing w:line="218" w:lineRule="auto" w:before="96"/>
      </w:pPr>
      <w:r>
        <w:rPr>
          <w:color w:val="231F20"/>
        </w:rPr>
        <w:t>§ 2. Met uitzondering van het eerste lid, 3° en 4° is paragraaf 1 niet van toepassing op de voorschotten, leningen en zekerheden toegekend aan:</w:t>
      </w:r>
    </w:p>
    <w:p>
      <w:pPr>
        <w:pStyle w:val="BodyText"/>
        <w:spacing w:line="218" w:lineRule="auto" w:before="97"/>
      </w:pPr>
      <w:r>
        <w:rPr>
          <w:color w:val="231F20"/>
        </w:rPr>
        <w:t>1° leden van het personeel van de vennootschap of van een met haar verbonden vennootschap voor de verkrijging van aandelen van deze vennootschappen;</w:t>
      </w:r>
    </w:p>
    <w:p>
      <w:pPr>
        <w:pStyle w:val="BodyText"/>
        <w:spacing w:line="218" w:lineRule="auto" w:before="96"/>
      </w:pPr>
      <w:r>
        <w:rPr>
          <w:color w:val="231F20"/>
        </w:rPr>
        <w:t>2° vennootschappen waarvan ten minste de helft van de stemrechten in het bezit is van de leden van het personeel van de vennootschap, voor de verkrijging door die vennootschappen van aandelen van</w:t>
      </w:r>
      <w:r>
        <w:rPr>
          <w:color w:val="231F20"/>
          <w:spacing w:val="24"/>
        </w:rPr>
        <w:t> </w:t>
      </w:r>
      <w:r>
        <w:rPr>
          <w:color w:val="231F20"/>
        </w:rPr>
        <w:t>de vennootschap, waaraan ten minste de helft van de stemrechten is verbonden.</w:t>
      </w:r>
    </w:p>
    <w:p>
      <w:pPr>
        <w:pStyle w:val="BodyText"/>
        <w:spacing w:before="93"/>
        <w:ind w:left="283" w:right="0" w:firstLine="0"/>
        <w:jc w:val="left"/>
      </w:pPr>
      <w:r>
        <w:rPr>
          <w:color w:val="231F20"/>
        </w:rPr>
        <w:t>Afdeling 3. Alarmbelprocedure.</w:t>
      </w:r>
    </w:p>
    <w:p>
      <w:pPr>
        <w:pStyle w:val="BodyText"/>
        <w:spacing w:line="218" w:lineRule="auto" w:before="103"/>
        <w:ind w:right="123"/>
      </w:pPr>
      <w:r>
        <w:rPr>
          <w:color w:val="231F20"/>
        </w:rPr>
        <w:t>Art. 6:119. § 1. Wanneer het nettoactief negatief dreigt te worden of is geworden, moet het bestuursorgaan de algemene vergadering, behou- dens strengere bepalingen in de statuten, oproepen tot een vergadering, te houden binnen twee maanden na de datum waarop deze toestand werd vastgesteld of krachtens de wettelijke of statutaire bepalingen had moeten worden vastgesteld om te besluiten over de ontbinding van de vennootschap of over in de agenda aangekondigde maatregelen om de continuïteit van de vennootschap te vrijwaren.</w:t>
      </w:r>
    </w:p>
    <w:p>
      <w:pPr>
        <w:pStyle w:val="BodyText"/>
        <w:spacing w:line="218" w:lineRule="auto" w:before="107"/>
      </w:pPr>
      <w:r>
        <w:rPr>
          <w:color w:val="231F20"/>
        </w:rPr>
        <w:t>Tenzij het bestuursorgaan de ontbinding van de vennootschap voorstelt overeenkomstig artikel 6:125, zet het in een bijzonder verslag uiteen welke maatregelen het voorstelt om de continuïteit van de vennootschap te vrijwaren. Dat verslag wordt in de agenda vermeld. Een kopie ervan wordt verkregen overeenkomstig artikel 6:70, § 2.</w:t>
      </w:r>
    </w:p>
    <w:p>
      <w:pPr>
        <w:pStyle w:val="BodyText"/>
        <w:spacing w:line="218" w:lineRule="auto" w:before="108"/>
      </w:pPr>
      <w:r>
        <w:rPr>
          <w:color w:val="231F20"/>
          <w:spacing w:val="-3"/>
        </w:rPr>
        <w:t>Wanneer </w:t>
      </w:r>
      <w:r>
        <w:rPr>
          <w:color w:val="231F20"/>
        </w:rPr>
        <w:t>het verslag bedoeld in het tweede lid ontbreekt, is het besluit</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algemene</w:t>
      </w:r>
      <w:r>
        <w:rPr>
          <w:color w:val="231F20"/>
          <w:spacing w:val="16"/>
        </w:rPr>
        <w:t> </w:t>
      </w:r>
      <w:r>
        <w:rPr>
          <w:color w:val="231F20"/>
        </w:rPr>
        <w:t>vergadering</w:t>
      </w:r>
      <w:r>
        <w:rPr>
          <w:color w:val="231F20"/>
          <w:spacing w:val="16"/>
        </w:rPr>
        <w:t> </w:t>
      </w:r>
      <w:r>
        <w:rPr>
          <w:color w:val="231F20"/>
        </w:rPr>
        <w:t>nietig.</w:t>
      </w:r>
    </w:p>
    <w:p>
      <w:pPr>
        <w:pStyle w:val="BodyText"/>
        <w:spacing w:line="218" w:lineRule="auto" w:before="106"/>
        <w:ind w:right="123"/>
      </w:pPr>
      <w:r>
        <w:rPr>
          <w:color w:val="231F20"/>
        </w:rPr>
        <w:t>§ 2. Op dezelfde wijze als bedoeld in paragraaf 1 wordt gehandeld wanneer het bestuursorgaan vaststelt dat het niet langer vaststaat dat de vennootschap, volgens redelijkerwijs te verwachten ontwikkelingen, in staat zal zijn om gedurende minstens de twaalf volgende maanden haar schulden te voldoen naarmate deze opeisbaar worden.</w:t>
      </w:r>
    </w:p>
    <w:p>
      <w:pPr>
        <w:pStyle w:val="BodyText"/>
        <w:spacing w:line="218" w:lineRule="auto" w:before="107"/>
        <w:ind w:right="125"/>
      </w:pPr>
      <w:r>
        <w:rPr>
          <w:color w:val="231F20"/>
        </w:rPr>
        <w:t>§  3.  Is  de  algemene  vergadering  niet  overeenkomstig  dit  arti-  kel bijeengeroepen, dan wordt de door derden geleden schade, behoudens tegenbewijs, geacht uit het ontbreken van een bijeenroeping voort te</w:t>
      </w:r>
      <w:r>
        <w:rPr>
          <w:color w:val="231F20"/>
          <w:spacing w:val="-11"/>
        </w:rPr>
        <w:t> </w:t>
      </w:r>
      <w:r>
        <w:rPr>
          <w:color w:val="231F20"/>
        </w:rPr>
        <w:t>vloeien.</w:t>
      </w:r>
    </w:p>
    <w:p>
      <w:pPr>
        <w:pStyle w:val="BodyText"/>
        <w:spacing w:line="218" w:lineRule="auto" w:before="107"/>
      </w:pPr>
      <w:r>
        <w:rPr>
          <w:color w:val="231F20"/>
        </w:rPr>
        <w:t>§ 4. Nadat het bestuursorgaan de verplichtingen bedoeld in de paragrafen 1 en 2 een eerste maal heeft nageleefd, is het gedurende de twaalf maanden volgend op de aanvankelijke bijeenroeping niet meer verplicht de algemene vergadering om dezelfde reden opnieuw bijeen  te</w:t>
      </w:r>
      <w:r>
        <w:rPr>
          <w:color w:val="231F20"/>
          <w:spacing w:val="14"/>
        </w:rPr>
        <w:t> </w:t>
      </w:r>
      <w:r>
        <w:rPr>
          <w:color w:val="231F20"/>
        </w:rPr>
        <w:t>roepen.</w:t>
      </w:r>
    </w:p>
    <w:p>
      <w:pPr>
        <w:pStyle w:val="BodyText"/>
        <w:spacing w:line="218" w:lineRule="auto" w:before="107"/>
      </w:pPr>
      <w:r>
        <w:rPr>
          <w:color w:val="231F20"/>
        </w:rPr>
        <w:t>TITEL 6. Uittreding en uitsluiting lastens het vennootschapsvermo- gen.</w:t>
      </w:r>
    </w:p>
    <w:p>
      <w:pPr>
        <w:pStyle w:val="BodyText"/>
        <w:spacing w:before="93"/>
        <w:ind w:left="283" w:right="0" w:firstLine="0"/>
        <w:jc w:val="left"/>
      </w:pPr>
      <w:r>
        <w:rPr>
          <w:color w:val="231F20"/>
          <w:w w:val="105"/>
        </w:rPr>
        <w:t>Afdeling 1.</w:t>
      </w:r>
      <w:r>
        <w:rPr>
          <w:color w:val="231F20"/>
          <w:spacing w:val="-9"/>
          <w:w w:val="105"/>
        </w:rPr>
        <w:t> </w:t>
      </w:r>
      <w:r>
        <w:rPr>
          <w:color w:val="231F20"/>
          <w:w w:val="105"/>
        </w:rPr>
        <w:t>Uittreding.</w:t>
      </w:r>
    </w:p>
    <w:p>
      <w:pPr>
        <w:pStyle w:val="BodyText"/>
        <w:spacing w:line="218" w:lineRule="auto" w:before="103"/>
      </w:pPr>
      <w:r>
        <w:rPr>
          <w:color w:val="231F20"/>
        </w:rPr>
        <w:t>Art. 6:120. § 1. Niettegenstaande andersluidende statutaire bepaling, hebben de aandeelhouders het recht uit de vennootschap te treden ten laste van haar</w:t>
      </w:r>
      <w:r>
        <w:rPr>
          <w:color w:val="231F20"/>
          <w:spacing w:val="4"/>
        </w:rPr>
        <w:t> </w:t>
      </w:r>
      <w:r>
        <w:rPr>
          <w:color w:val="231F20"/>
        </w:rPr>
        <w:t>vermogen.</w:t>
      </w:r>
    </w:p>
    <w:p>
      <w:pPr>
        <w:pStyle w:val="BodyText"/>
        <w:spacing w:line="218" w:lineRule="auto" w:before="107"/>
        <w:ind w:right="125"/>
      </w:pPr>
      <w:r>
        <w:rPr>
          <w:color w:val="231F20"/>
        </w:rPr>
        <w:t>De statuten regelen de modaliteiten van dergelijke uittreding, met dien verstande dat:</w:t>
      </w:r>
    </w:p>
    <w:p>
      <w:pPr>
        <w:pStyle w:val="BodyText"/>
        <w:spacing w:line="218" w:lineRule="auto" w:before="107"/>
      </w:pPr>
      <w:r>
        <w:rPr>
          <w:color w:val="231F20"/>
        </w:rPr>
        <w:t>1° niettegenstaande andersluidende statutaire bepaling, is de uittre- ding van oprichters pas met ingang van het derde boekjaar na de oprichting toegelaten;</w:t>
      </w:r>
    </w:p>
    <w:p>
      <w:pPr>
        <w:pStyle w:val="BodyText"/>
        <w:spacing w:line="218" w:lineRule="auto" w:before="107"/>
      </w:pPr>
      <w:r>
        <w:rPr>
          <w:color w:val="231F20"/>
        </w:rPr>
        <w:t>2° tenzij de statuten anders bepalen, de aandeelhouders slechts kunnen uittreden gedurende de eerste zes maanden van het boekjaar;</w:t>
      </w:r>
    </w:p>
    <w:p>
      <w:pPr>
        <w:pStyle w:val="BodyText"/>
        <w:spacing w:line="218" w:lineRule="auto" w:before="107"/>
      </w:pPr>
      <w:r>
        <w:rPr>
          <w:color w:val="231F20"/>
        </w:rPr>
        <w:t>3° tenzij de statuten anders bepalen, een aandeelhouder met al zijn aandelen uittreedt, waarbij deze worden vernietigd;</w:t>
      </w:r>
    </w:p>
    <w:p>
      <w:pPr>
        <w:pStyle w:val="BodyText"/>
        <w:spacing w:line="218" w:lineRule="auto" w:before="106"/>
        <w:ind w:right="123"/>
      </w:pPr>
      <w:r>
        <w:rPr>
          <w:color w:val="231F20"/>
        </w:rPr>
        <w:t>4° tenzij de statuten anders bepalen, de uittreding uitwerking heeft op de laatste dag van de zesde maand van het boekjaar, en het bedrag van het scheidingsaandeel ten laatste één maand nadien moet worden betaald;</w:t>
      </w:r>
    </w:p>
    <w:p>
      <w:pPr>
        <w:spacing w:after="0" w:line="218" w:lineRule="auto"/>
        <w:sectPr>
          <w:headerReference w:type="even" r:id="rId65"/>
          <w:headerReference w:type="default" r:id="rId66"/>
          <w:pgSz w:w="11940" w:h="16880"/>
          <w:pgMar w:header="666" w:footer="0" w:top="1140" w:bottom="280" w:left="340" w:right="360"/>
          <w:pgNumType w:start="33382"/>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480" from="298.170502pt,64.473pt" to="298.170502pt,812.819pt" stroked="true" strokeweight=".533pt" strokecolor="#231f20">
            <v:stroke dashstyle="solid"/>
            <w10:wrap type="none"/>
          </v:line>
        </w:pict>
      </w:r>
      <w:bookmarkStart w:name="_bookmark144" w:id="149"/>
      <w:bookmarkEnd w:id="149"/>
      <w:r>
        <w:rPr/>
      </w:r>
      <w:r>
        <w:rPr>
          <w:color w:val="231F20"/>
        </w:rPr>
        <w:t>5°</w:t>
      </w:r>
      <w:r>
        <w:rPr>
          <w:color w:val="231F20"/>
          <w:spacing w:val="-7"/>
        </w:rPr>
        <w:t> </w:t>
      </w:r>
      <w:r>
        <w:rPr>
          <w:color w:val="231F20"/>
        </w:rPr>
        <w:t>sauf</w:t>
      </w:r>
      <w:r>
        <w:rPr>
          <w:color w:val="231F20"/>
          <w:spacing w:val="-6"/>
        </w:rPr>
        <w:t> </w:t>
      </w:r>
      <w:r>
        <w:rPr>
          <w:color w:val="231F20"/>
        </w:rPr>
        <w:t>disposition</w:t>
      </w:r>
      <w:r>
        <w:rPr>
          <w:color w:val="231F20"/>
          <w:spacing w:val="-6"/>
        </w:rPr>
        <w:t> </w:t>
      </w:r>
      <w:r>
        <w:rPr>
          <w:color w:val="231F20"/>
        </w:rPr>
        <w:t>statutaire</w:t>
      </w:r>
      <w:r>
        <w:rPr>
          <w:color w:val="231F20"/>
          <w:spacing w:val="-6"/>
        </w:rPr>
        <w:t> </w:t>
      </w:r>
      <w:r>
        <w:rPr>
          <w:color w:val="231F20"/>
        </w:rPr>
        <w:t>contraire,</w:t>
      </w:r>
      <w:r>
        <w:rPr>
          <w:color w:val="231F20"/>
          <w:spacing w:val="-6"/>
        </w:rPr>
        <w:t> </w:t>
      </w:r>
      <w:r>
        <w:rPr>
          <w:color w:val="231F20"/>
        </w:rPr>
        <w:t>le</w:t>
      </w:r>
      <w:r>
        <w:rPr>
          <w:color w:val="231F20"/>
          <w:spacing w:val="-6"/>
        </w:rPr>
        <w:t> </w:t>
      </w:r>
      <w:r>
        <w:rPr>
          <w:color w:val="231F20"/>
        </w:rPr>
        <w:t>montant</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part</w:t>
      </w:r>
      <w:r>
        <w:rPr>
          <w:color w:val="231F20"/>
          <w:spacing w:val="-6"/>
        </w:rPr>
        <w:t> </w:t>
      </w:r>
      <w:r>
        <w:rPr>
          <w:color w:val="231F20"/>
        </w:rPr>
        <w:t>de</w:t>
      </w:r>
      <w:r>
        <w:rPr>
          <w:color w:val="231F20"/>
          <w:spacing w:val="-7"/>
        </w:rPr>
        <w:t> </w:t>
      </w:r>
      <w:r>
        <w:rPr>
          <w:color w:val="231F20"/>
        </w:rPr>
        <w:t>retrait pour les actions pour lesquelles l’actionnaire concerné demande sa démission est égal au montant réellement libéré et non encore remboursé pour ces actions sans cependant être supérieur au montant de la valeur d’actif net de ces actions telle qu’elle résulte des derniers comptes annuels</w:t>
      </w:r>
      <w:r>
        <w:rPr>
          <w:color w:val="231F20"/>
          <w:spacing w:val="-11"/>
        </w:rPr>
        <w:t> </w:t>
      </w:r>
      <w:r>
        <w:rPr>
          <w:color w:val="231F20"/>
        </w:rPr>
        <w:t>approuvés;</w:t>
      </w:r>
    </w:p>
    <w:p>
      <w:pPr>
        <w:pStyle w:val="BodyText"/>
        <w:spacing w:line="218" w:lineRule="auto" w:before="86"/>
        <w:ind w:right="38"/>
      </w:pPr>
      <w:r>
        <w:rPr>
          <w:color w:val="231F20"/>
        </w:rPr>
        <w:t>6° le montant auquel l’actionnaire a droit en cas de démission est une distribution telle que visée aux articles 6:115 et 6:116.</w:t>
      </w:r>
    </w:p>
    <w:p>
      <w:pPr>
        <w:pStyle w:val="BodyText"/>
        <w:spacing w:line="218" w:lineRule="auto" w:before="85"/>
        <w:ind w:right="38"/>
      </w:pPr>
      <w:r>
        <w:rPr>
          <w:color w:val="231F20"/>
        </w:rPr>
        <w:t>Nonobstant toute disposition statutaire contraire, si la part de retrait visée à l’alinéa 2, 6°, ne peut être payee en tout ou partie en application des articles 6:115 et 6:116, le droit au paiement est suspendu jusqu’à ce que les distributions soient à nouveau permises. Le montant restant dû sur la part de retrait est payable avant toute autre distribution aux actionnaires. Aucun intérêt n’est dû sur ce montant.</w:t>
      </w:r>
    </w:p>
    <w:p>
      <w:pPr>
        <w:pStyle w:val="BodyText"/>
        <w:ind w:left="0" w:right="0" w:firstLine="0"/>
        <w:jc w:val="left"/>
        <w:rPr>
          <w:sz w:val="23"/>
        </w:rPr>
      </w:pPr>
    </w:p>
    <w:p>
      <w:pPr>
        <w:pStyle w:val="BodyText"/>
        <w:spacing w:line="218" w:lineRule="auto"/>
        <w:ind w:right="38"/>
      </w:pPr>
      <w:r>
        <w:rPr>
          <w:color w:val="231F20"/>
        </w:rPr>
        <w:t>§ 2. </w:t>
      </w:r>
      <w:r>
        <w:rPr>
          <w:color w:val="231F20"/>
          <w:spacing w:val="-3"/>
        </w:rPr>
        <w:t>L’organe </w:t>
      </w:r>
      <w:r>
        <w:rPr>
          <w:color w:val="231F20"/>
        </w:rPr>
        <w:t>d’administration fait rapport à l’assemblée générale ordinaire des demandes de démission intervenues au cours de l’exercice précédent. Ce rapport contient au moins le nombre d’action- naires démissionnaires, et la classe d’actions pour lesquelles ils</w:t>
      </w:r>
      <w:r>
        <w:rPr>
          <w:color w:val="231F20"/>
          <w:spacing w:val="34"/>
        </w:rPr>
        <w:t> </w:t>
      </w:r>
      <w:r>
        <w:rPr>
          <w:color w:val="231F20"/>
        </w:rPr>
        <w:t>ont démissionné, le montant versé et les autres modalités éventuelles, le nombre de demandes rejetées et le motif du refus. Les statuts peuvent prévoir que l’identité des actionnaires démissionnaires doit également être</w:t>
      </w:r>
      <w:r>
        <w:rPr>
          <w:color w:val="231F20"/>
          <w:spacing w:val="14"/>
        </w:rPr>
        <w:t> </w:t>
      </w:r>
      <w:r>
        <w:rPr>
          <w:color w:val="231F20"/>
        </w:rPr>
        <w:t>mentionnée.</w:t>
      </w:r>
    </w:p>
    <w:p>
      <w:pPr>
        <w:pStyle w:val="BodyText"/>
        <w:spacing w:line="218" w:lineRule="auto" w:before="86"/>
        <w:ind w:right="38"/>
      </w:pPr>
      <w:r>
        <w:rPr>
          <w:color w:val="231F20"/>
          <w:spacing w:val="-3"/>
        </w:rPr>
        <w:t>L’organe </w:t>
      </w:r>
      <w:r>
        <w:rPr>
          <w:color w:val="231F20"/>
        </w:rPr>
        <w:t>d’administration met à jour le registre des actions. Y sont mentionnés plus précisément: les démissions d’actionnaires, la date à laquelle elles sont intervenues ainsi que le montant versé aux action- naires</w:t>
      </w:r>
      <w:r>
        <w:rPr>
          <w:color w:val="231F20"/>
          <w:spacing w:val="14"/>
        </w:rPr>
        <w:t> </w:t>
      </w:r>
      <w:r>
        <w:rPr>
          <w:color w:val="231F20"/>
        </w:rPr>
        <w:t>concernés.</w:t>
      </w:r>
    </w:p>
    <w:p>
      <w:pPr>
        <w:pStyle w:val="BodyText"/>
        <w:spacing w:line="216" w:lineRule="auto" w:before="88"/>
        <w:ind w:right="38"/>
      </w:pPr>
      <w:r>
        <w:rPr>
          <w:color w:val="231F20"/>
        </w:rPr>
        <w:t>Art. 6:121. Sauf disposition statutaire contraire, en cas de décès, de faillite, de déconfiture, de liquidation ou d’interdiction d’un action- naire, celui-ci est réputé démissionnaire de plein droit à cette date. L’actionnaire ou selon le cas, ses héritiers, créanciers ou représentants recouvrent la valeur de sa part de retrait de la manière déterminée par l’article 6:120. En pareil cas, les délais visés à l’article 6:120, § 1</w:t>
      </w:r>
      <w:r>
        <w:rPr>
          <w:color w:val="231F20"/>
          <w:position w:val="7"/>
          <w:sz w:val="11"/>
        </w:rPr>
        <w:t>er</w:t>
      </w:r>
      <w:r>
        <w:rPr>
          <w:color w:val="231F20"/>
        </w:rPr>
        <w:t>, alinéa 2, 1° et 2°, ne sont pas d’application.</w:t>
      </w:r>
    </w:p>
    <w:p>
      <w:pPr>
        <w:pStyle w:val="BodyText"/>
        <w:spacing w:before="8"/>
        <w:ind w:left="0" w:right="0" w:firstLine="0"/>
        <w:jc w:val="left"/>
        <w:rPr>
          <w:sz w:val="22"/>
        </w:rPr>
      </w:pPr>
    </w:p>
    <w:p>
      <w:pPr>
        <w:pStyle w:val="BodyText"/>
        <w:spacing w:line="218" w:lineRule="auto"/>
        <w:ind w:right="38"/>
      </w:pPr>
      <w:r>
        <w:rPr>
          <w:color w:val="231F20"/>
        </w:rPr>
        <w:t>Les actionnaires démissionnaires ou, en cas de décès, de faillite, de déconfiture, de liquidation ou d’interdiction d’un actionnaire, ses héritiers, créanciers ou représentants ne peuvent provoquer la liquida- tion de la société.</w:t>
      </w:r>
    </w:p>
    <w:p>
      <w:pPr>
        <w:pStyle w:val="BodyText"/>
        <w:spacing w:before="71"/>
        <w:ind w:left="283" w:right="0" w:firstLine="0"/>
        <w:jc w:val="left"/>
      </w:pPr>
      <w:r>
        <w:rPr>
          <w:color w:val="231F20"/>
        </w:rPr>
        <w:t>Section 2. Perte de qualité.</w:t>
      </w:r>
    </w:p>
    <w:p>
      <w:pPr>
        <w:pStyle w:val="BodyText"/>
        <w:spacing w:line="218" w:lineRule="auto" w:before="82"/>
        <w:ind w:right="38"/>
      </w:pPr>
      <w:r>
        <w:rPr>
          <w:color w:val="231F20"/>
        </w:rPr>
        <w:t>Art. 6:122. Les statuts peuvent prévoir que l’actionnaire qui ne répond plus aux exigences statutaires pour devenir actionnaire est à ce moment</w:t>
      </w:r>
      <w:r>
        <w:rPr>
          <w:color w:val="231F20"/>
          <w:spacing w:val="15"/>
        </w:rPr>
        <w:t> </w:t>
      </w:r>
      <w:r>
        <w:rPr>
          <w:color w:val="231F20"/>
        </w:rPr>
        <w:t>réputé</w:t>
      </w:r>
      <w:r>
        <w:rPr>
          <w:color w:val="231F20"/>
          <w:spacing w:val="15"/>
        </w:rPr>
        <w:t> </w:t>
      </w:r>
      <w:r>
        <w:rPr>
          <w:color w:val="231F20"/>
        </w:rPr>
        <w:t>démissionnaire</w:t>
      </w:r>
      <w:r>
        <w:rPr>
          <w:color w:val="231F20"/>
          <w:spacing w:val="15"/>
        </w:rPr>
        <w:t> </w:t>
      </w:r>
      <w:r>
        <w:rPr>
          <w:color w:val="231F20"/>
        </w:rPr>
        <w:t>de</w:t>
      </w:r>
      <w:r>
        <w:rPr>
          <w:color w:val="231F20"/>
          <w:spacing w:val="15"/>
        </w:rPr>
        <w:t> </w:t>
      </w:r>
      <w:r>
        <w:rPr>
          <w:color w:val="231F20"/>
        </w:rPr>
        <w:t>plein</w:t>
      </w:r>
      <w:r>
        <w:rPr>
          <w:color w:val="231F20"/>
          <w:spacing w:val="15"/>
        </w:rPr>
        <w:t> </w:t>
      </w:r>
      <w:r>
        <w:rPr>
          <w:color w:val="231F20"/>
        </w:rPr>
        <w:t>droit.</w:t>
      </w:r>
    </w:p>
    <w:p>
      <w:pPr>
        <w:pStyle w:val="BodyText"/>
        <w:spacing w:line="211" w:lineRule="auto" w:before="101"/>
        <w:ind w:right="38"/>
      </w:pPr>
      <w:r>
        <w:rPr>
          <w:color w:val="231F20"/>
        </w:rPr>
        <w:t>L’actionnaire recouvre la valeur de sa part de retrait de la manière déterminée par l’article 6:120. En pareil  cas,  les  délais  visés </w:t>
      </w:r>
      <w:r>
        <w:rPr>
          <w:color w:val="231F20"/>
          <w:spacing w:val="18"/>
        </w:rPr>
        <w:t> </w:t>
      </w:r>
      <w:r>
        <w:rPr>
          <w:color w:val="231F20"/>
        </w:rPr>
        <w:t>à l’article</w:t>
      </w:r>
      <w:r>
        <w:rPr>
          <w:color w:val="231F20"/>
          <w:spacing w:val="13"/>
        </w:rPr>
        <w:t> </w:t>
      </w:r>
      <w:r>
        <w:rPr>
          <w:color w:val="231F20"/>
        </w:rPr>
        <w:t>6:120,</w:t>
      </w:r>
      <w:r>
        <w:rPr>
          <w:color w:val="231F20"/>
          <w:spacing w:val="14"/>
        </w:rPr>
        <w:t> </w:t>
      </w:r>
      <w:r>
        <w:rPr>
          <w:color w:val="231F20"/>
        </w:rPr>
        <w:t>§</w:t>
      </w:r>
      <w:r>
        <w:rPr>
          <w:color w:val="231F20"/>
          <w:spacing w:val="14"/>
        </w:rPr>
        <w:t> </w:t>
      </w:r>
      <w:r>
        <w:rPr>
          <w:color w:val="231F20"/>
        </w:rPr>
        <w:t>1</w:t>
      </w:r>
      <w:r>
        <w:rPr>
          <w:color w:val="231F20"/>
          <w:position w:val="7"/>
          <w:sz w:val="11"/>
        </w:rPr>
        <w:t>er</w:t>
      </w:r>
      <w:r>
        <w:rPr>
          <w:color w:val="231F20"/>
        </w:rPr>
        <w:t>,</w:t>
      </w:r>
      <w:r>
        <w:rPr>
          <w:color w:val="231F20"/>
          <w:spacing w:val="13"/>
        </w:rPr>
        <w:t> </w:t>
      </w:r>
      <w:r>
        <w:rPr>
          <w:color w:val="231F20"/>
        </w:rPr>
        <w:t>alinéa</w:t>
      </w:r>
      <w:r>
        <w:rPr>
          <w:color w:val="231F20"/>
          <w:spacing w:val="14"/>
        </w:rPr>
        <w:t> </w:t>
      </w:r>
      <w:r>
        <w:rPr>
          <w:color w:val="231F20"/>
        </w:rPr>
        <w:t>2,</w:t>
      </w:r>
      <w:r>
        <w:rPr>
          <w:color w:val="231F20"/>
          <w:spacing w:val="14"/>
        </w:rPr>
        <w:t> </w:t>
      </w:r>
      <w:r>
        <w:rPr>
          <w:color w:val="231F20"/>
        </w:rPr>
        <w:t>1°</w:t>
      </w:r>
      <w:r>
        <w:rPr>
          <w:color w:val="231F20"/>
          <w:spacing w:val="14"/>
        </w:rPr>
        <w:t> </w:t>
      </w:r>
      <w:r>
        <w:rPr>
          <w:color w:val="231F20"/>
        </w:rPr>
        <w:t>et</w:t>
      </w:r>
      <w:r>
        <w:rPr>
          <w:color w:val="231F20"/>
          <w:spacing w:val="13"/>
        </w:rPr>
        <w:t> </w:t>
      </w:r>
      <w:r>
        <w:rPr>
          <w:color w:val="231F20"/>
        </w:rPr>
        <w:t>2°,</w:t>
      </w:r>
      <w:r>
        <w:rPr>
          <w:color w:val="231F20"/>
          <w:spacing w:val="14"/>
        </w:rPr>
        <w:t> </w:t>
      </w:r>
      <w:r>
        <w:rPr>
          <w:color w:val="231F20"/>
        </w:rPr>
        <w:t>ne</w:t>
      </w:r>
      <w:r>
        <w:rPr>
          <w:color w:val="231F20"/>
          <w:spacing w:val="14"/>
        </w:rPr>
        <w:t> </w:t>
      </w:r>
      <w:r>
        <w:rPr>
          <w:color w:val="231F20"/>
        </w:rPr>
        <w:t>sont</w:t>
      </w:r>
      <w:r>
        <w:rPr>
          <w:color w:val="231F20"/>
          <w:spacing w:val="14"/>
        </w:rPr>
        <w:t> </w:t>
      </w:r>
      <w:r>
        <w:rPr>
          <w:color w:val="231F20"/>
        </w:rPr>
        <w:t>pas</w:t>
      </w:r>
      <w:r>
        <w:rPr>
          <w:color w:val="231F20"/>
          <w:spacing w:val="13"/>
        </w:rPr>
        <w:t> </w:t>
      </w:r>
      <w:r>
        <w:rPr>
          <w:color w:val="231F20"/>
        </w:rPr>
        <w:t>d’application.</w:t>
      </w:r>
    </w:p>
    <w:p>
      <w:pPr>
        <w:pStyle w:val="BodyText"/>
        <w:spacing w:before="6"/>
        <w:ind w:left="0" w:right="0" w:firstLine="0"/>
        <w:jc w:val="left"/>
        <w:rPr>
          <w:sz w:val="22"/>
        </w:rPr>
      </w:pPr>
    </w:p>
    <w:p>
      <w:pPr>
        <w:pStyle w:val="BodyText"/>
        <w:ind w:left="283" w:right="0" w:firstLine="0"/>
        <w:jc w:val="left"/>
      </w:pPr>
      <w:r>
        <w:rPr>
          <w:color w:val="231F20"/>
        </w:rPr>
        <w:t>Section 3. Exclusion.</w:t>
      </w:r>
    </w:p>
    <w:p>
      <w:pPr>
        <w:pStyle w:val="BodyText"/>
        <w:spacing w:line="218" w:lineRule="auto" w:before="78"/>
        <w:ind w:right="38"/>
      </w:pPr>
      <w:r>
        <w:rPr>
          <w:color w:val="231F20"/>
        </w:rPr>
        <w:t>Art. 6:123 § 1</w:t>
      </w:r>
      <w:r>
        <w:rPr>
          <w:color w:val="231F20"/>
          <w:position w:val="7"/>
          <w:sz w:val="11"/>
        </w:rPr>
        <w:t>er</w:t>
      </w:r>
      <w:r>
        <w:rPr>
          <w:color w:val="231F20"/>
        </w:rPr>
        <w:t>. Nonobstant toute disposition statutaire contraire, la société peut exclure un actionnaire pour justes motifs. Les statuts peuvent prévoir des motifs d’exclusion supplémentaires. La proposi- tion motivée d’exclusion lui est communiquée conformément à l’arti- cle 2:32. Si l’actionnaire a choisi de communiquer avec la société par courrier,</w:t>
      </w:r>
      <w:r>
        <w:rPr>
          <w:color w:val="231F20"/>
          <w:spacing w:val="14"/>
        </w:rPr>
        <w:t> </w:t>
      </w:r>
      <w:r>
        <w:rPr>
          <w:color w:val="231F20"/>
        </w:rPr>
        <w:t>la</w:t>
      </w:r>
      <w:r>
        <w:rPr>
          <w:color w:val="231F20"/>
          <w:spacing w:val="15"/>
        </w:rPr>
        <w:t> </w:t>
      </w:r>
      <w:r>
        <w:rPr>
          <w:color w:val="231F20"/>
        </w:rPr>
        <w:t>proposition</w:t>
      </w:r>
      <w:r>
        <w:rPr>
          <w:color w:val="231F20"/>
          <w:spacing w:val="15"/>
        </w:rPr>
        <w:t> </w:t>
      </w:r>
      <w:r>
        <w:rPr>
          <w:color w:val="231F20"/>
        </w:rPr>
        <w:t>lui</w:t>
      </w:r>
      <w:r>
        <w:rPr>
          <w:color w:val="231F20"/>
          <w:spacing w:val="15"/>
        </w:rPr>
        <w:t> </w:t>
      </w:r>
      <w:r>
        <w:rPr>
          <w:color w:val="231F20"/>
        </w:rPr>
        <w:t>est</w:t>
      </w:r>
      <w:r>
        <w:rPr>
          <w:color w:val="231F20"/>
          <w:spacing w:val="15"/>
        </w:rPr>
        <w:t> </w:t>
      </w:r>
      <w:r>
        <w:rPr>
          <w:color w:val="231F20"/>
        </w:rPr>
        <w:t>communiquée</w:t>
      </w:r>
      <w:r>
        <w:rPr>
          <w:color w:val="231F20"/>
          <w:spacing w:val="15"/>
        </w:rPr>
        <w:t> </w:t>
      </w:r>
      <w:r>
        <w:rPr>
          <w:color w:val="231F20"/>
        </w:rPr>
        <w:t>par</w:t>
      </w:r>
      <w:r>
        <w:rPr>
          <w:color w:val="231F20"/>
          <w:spacing w:val="15"/>
        </w:rPr>
        <w:t> </w:t>
      </w:r>
      <w:r>
        <w:rPr>
          <w:color w:val="231F20"/>
        </w:rPr>
        <w:t>pli</w:t>
      </w:r>
      <w:r>
        <w:rPr>
          <w:color w:val="231F20"/>
          <w:spacing w:val="15"/>
        </w:rPr>
        <w:t> </w:t>
      </w:r>
      <w:r>
        <w:rPr>
          <w:color w:val="231F20"/>
        </w:rPr>
        <w:t>recommandé.</w:t>
      </w:r>
    </w:p>
    <w:p>
      <w:pPr>
        <w:pStyle w:val="BodyText"/>
        <w:spacing w:before="11"/>
        <w:ind w:left="0" w:right="0" w:firstLine="0"/>
        <w:jc w:val="left"/>
        <w:rPr>
          <w:sz w:val="23"/>
        </w:rPr>
      </w:pPr>
    </w:p>
    <w:p>
      <w:pPr>
        <w:pStyle w:val="BodyText"/>
        <w:spacing w:line="218" w:lineRule="auto"/>
        <w:ind w:right="38"/>
      </w:pPr>
      <w:r>
        <w:rPr>
          <w:color w:val="231F20"/>
        </w:rPr>
        <w:t>L’exclusion est prononcée par l’assemblée générale à moins que les statuts attribuent ce pouvoir à l’organe d’administration.</w:t>
      </w:r>
    </w:p>
    <w:p>
      <w:pPr>
        <w:pStyle w:val="BodyText"/>
        <w:spacing w:line="218" w:lineRule="auto" w:before="96"/>
        <w:ind w:right="38"/>
      </w:pPr>
      <w:r>
        <w:rPr>
          <w:color w:val="231F20"/>
        </w:rPr>
        <w:t>L’actionnaire dont l’exclusion est demandée doit être invité à faire connaître ses observations par écrit et suivant les mêmes modalités à l’organe compétent pour décider de l’exclusion, dans le mois de la communication de la proposition d’exclusion.</w:t>
      </w:r>
    </w:p>
    <w:p>
      <w:pPr>
        <w:pStyle w:val="BodyText"/>
        <w:spacing w:line="338" w:lineRule="auto" w:before="82"/>
        <w:ind w:left="283" w:right="1760" w:hanging="1"/>
        <w:jc w:val="left"/>
      </w:pPr>
      <w:r>
        <w:rPr>
          <w:color w:val="231F20"/>
        </w:rPr>
        <w:t>L’actionnaire doit être entendu à sa demande. Toute décision d’exclusion est motivée.</w:t>
      </w:r>
    </w:p>
    <w:p>
      <w:pPr>
        <w:pStyle w:val="BodyText"/>
        <w:spacing w:line="218" w:lineRule="auto" w:before="13"/>
        <w:ind w:right="38"/>
      </w:pPr>
      <w:r>
        <w:rPr>
          <w:color w:val="231F20"/>
        </w:rPr>
        <w:t>§ 2. L’organe d’administration communique dans les quinze jours à l’actionnaire concerné la décision motivée d’exclusion conformément à l’article 2:32 et inscrit l’exclusion dans le registre des actions. Si l’actionnaire a choisi de communiquer avec la société par courrier, la décision lui est communiquée par pli recommandé.</w:t>
      </w:r>
    </w:p>
    <w:p>
      <w:pPr>
        <w:pStyle w:val="BodyText"/>
        <w:spacing w:before="2"/>
        <w:ind w:left="0" w:right="0" w:firstLine="0"/>
        <w:jc w:val="left"/>
        <w:rPr>
          <w:sz w:val="24"/>
        </w:rPr>
      </w:pPr>
    </w:p>
    <w:p>
      <w:pPr>
        <w:pStyle w:val="BodyText"/>
        <w:spacing w:line="213" w:lineRule="auto" w:before="1"/>
        <w:ind w:right="38"/>
      </w:pPr>
      <w:r>
        <w:rPr>
          <w:color w:val="231F20"/>
        </w:rPr>
        <w:t>§ 3. Sauf disposition statutaire contraire, l’actionnaire exclu recouvre la valeur de sa part de retrait conformément à l’article 6:120. En pareil cas, les 1° en 2° de l’article 6:120, § 1</w:t>
      </w:r>
      <w:r>
        <w:rPr>
          <w:color w:val="231F20"/>
          <w:position w:val="7"/>
          <w:sz w:val="11"/>
        </w:rPr>
        <w:t>er</w:t>
      </w:r>
      <w:r>
        <w:rPr>
          <w:color w:val="231F20"/>
        </w:rPr>
        <w:t>, alinéa 2, ne sont pas d’application. Les actions de l’actionnaire exclu sont annulées.</w:t>
      </w:r>
    </w:p>
    <w:p>
      <w:pPr>
        <w:pStyle w:val="BodyText"/>
        <w:spacing w:before="5"/>
        <w:ind w:left="0" w:right="0" w:firstLine="0"/>
        <w:jc w:val="left"/>
        <w:rPr>
          <w:sz w:val="22"/>
        </w:rPr>
      </w:pPr>
    </w:p>
    <w:p>
      <w:pPr>
        <w:pStyle w:val="BodyText"/>
        <w:ind w:left="283" w:right="0" w:firstLine="0"/>
        <w:jc w:val="left"/>
      </w:pPr>
      <w:r>
        <w:rPr>
          <w:color w:val="231F20"/>
        </w:rPr>
        <w:t>L’actionnaire exclu ne peut provoquer la liquidation de la société.</w:t>
      </w:r>
    </w:p>
    <w:p>
      <w:pPr>
        <w:pStyle w:val="BodyText"/>
        <w:spacing w:line="218" w:lineRule="auto" w:before="119"/>
      </w:pPr>
      <w:r>
        <w:rPr/>
        <w:br w:type="column"/>
      </w:r>
      <w:r>
        <w:rPr>
          <w:color w:val="231F20"/>
        </w:rPr>
        <w:t>5° tenzij de statuten anders bepalen, het bedrag van het scheidings- aandeel voor de aandelen waarmee de betrokken</w:t>
      </w:r>
      <w:r>
        <w:rPr>
          <w:color w:val="231F20"/>
          <w:spacing w:val="21"/>
        </w:rPr>
        <w:t> </w:t>
      </w:r>
      <w:r>
        <w:rPr>
          <w:color w:val="231F20"/>
        </w:rPr>
        <w:t>aandeelhouder verzoekt uit te treden gelijk is aan het bedrag van de voor deze  aandelen werkelijk gestorte en nog niet terugbetaalde inbreng, zonder evenwel het bedrag van de nettoactief waarde van deze aandelen zoals die</w:t>
      </w:r>
      <w:r>
        <w:rPr>
          <w:color w:val="231F20"/>
          <w:spacing w:val="15"/>
        </w:rPr>
        <w:t> </w:t>
      </w:r>
      <w:r>
        <w:rPr>
          <w:color w:val="231F20"/>
        </w:rPr>
        <w:t>blijkt</w:t>
      </w:r>
      <w:r>
        <w:rPr>
          <w:color w:val="231F20"/>
          <w:spacing w:val="15"/>
        </w:rPr>
        <w:t> </w:t>
      </w:r>
      <w:r>
        <w:rPr>
          <w:color w:val="231F20"/>
        </w:rPr>
        <w:t>uit</w:t>
      </w:r>
      <w:r>
        <w:rPr>
          <w:color w:val="231F20"/>
          <w:spacing w:val="15"/>
        </w:rPr>
        <w:t> </w:t>
      </w:r>
      <w:r>
        <w:rPr>
          <w:color w:val="231F20"/>
        </w:rPr>
        <w:t>de</w:t>
      </w:r>
      <w:r>
        <w:rPr>
          <w:color w:val="231F20"/>
          <w:spacing w:val="15"/>
        </w:rPr>
        <w:t> </w:t>
      </w:r>
      <w:r>
        <w:rPr>
          <w:color w:val="231F20"/>
        </w:rPr>
        <w:t>laatste</w:t>
      </w:r>
      <w:r>
        <w:rPr>
          <w:color w:val="231F20"/>
          <w:spacing w:val="15"/>
        </w:rPr>
        <w:t> </w:t>
      </w:r>
      <w:r>
        <w:rPr>
          <w:color w:val="231F20"/>
        </w:rPr>
        <w:t>goedgekeurde</w:t>
      </w:r>
      <w:r>
        <w:rPr>
          <w:color w:val="231F20"/>
          <w:spacing w:val="15"/>
        </w:rPr>
        <w:t> </w:t>
      </w:r>
      <w:r>
        <w:rPr>
          <w:color w:val="231F20"/>
        </w:rPr>
        <w:t>jaarrekening,</w:t>
      </w:r>
      <w:r>
        <w:rPr>
          <w:color w:val="231F20"/>
          <w:spacing w:val="16"/>
        </w:rPr>
        <w:t> </w:t>
      </w:r>
      <w:r>
        <w:rPr>
          <w:color w:val="231F20"/>
        </w:rPr>
        <w:t>te</w:t>
      </w:r>
      <w:r>
        <w:rPr>
          <w:color w:val="231F20"/>
          <w:spacing w:val="15"/>
        </w:rPr>
        <w:t> </w:t>
      </w:r>
      <w:r>
        <w:rPr>
          <w:color w:val="231F20"/>
        </w:rPr>
        <w:t>overschrijden;</w:t>
      </w:r>
    </w:p>
    <w:p>
      <w:pPr>
        <w:pStyle w:val="BodyText"/>
        <w:spacing w:line="218" w:lineRule="auto" w:before="86"/>
      </w:pPr>
      <w:r>
        <w:rPr>
          <w:color w:val="231F20"/>
        </w:rPr>
        <w:t>6° het bedrag waarop de aandeelhouder recht heeft bij een uittreding een uitkering is als bedoeld in de artikelen 6:115 en 6:116.</w:t>
      </w:r>
    </w:p>
    <w:p>
      <w:pPr>
        <w:pStyle w:val="BodyText"/>
        <w:spacing w:line="218" w:lineRule="auto" w:before="86"/>
      </w:pPr>
      <w:r>
        <w:rPr>
          <w:color w:val="231F20"/>
        </w:rPr>
        <w:t>Niettegenstaande andersluidende statutaire bepaling wordt, indien het scheidingsaandeel bedoeld in het tweede lid, 6°, met toepassing van de artikelen 6:115 en 6:116 niet of niet geheel kan worden uitgekeerd, het recht op betaling ervan opgeschort totdat uitkeringen opnieuw zijn toegelaten. Het op het scheidingsaandeel nog verschuldigde bedrag wordt uitgekeerd vóór elke andere uitkering aan aandeelhouders. Op dit</w:t>
      </w:r>
      <w:r>
        <w:rPr>
          <w:color w:val="231F20"/>
          <w:spacing w:val="15"/>
        </w:rPr>
        <w:t> </w:t>
      </w:r>
      <w:r>
        <w:rPr>
          <w:color w:val="231F20"/>
        </w:rPr>
        <w:t>bedrag</w:t>
      </w:r>
      <w:r>
        <w:rPr>
          <w:color w:val="231F20"/>
          <w:spacing w:val="16"/>
        </w:rPr>
        <w:t> </w:t>
      </w:r>
      <w:r>
        <w:rPr>
          <w:color w:val="231F20"/>
        </w:rPr>
        <w:t>is</w:t>
      </w:r>
      <w:r>
        <w:rPr>
          <w:color w:val="231F20"/>
          <w:spacing w:val="16"/>
        </w:rPr>
        <w:t> </w:t>
      </w:r>
      <w:r>
        <w:rPr>
          <w:color w:val="231F20"/>
        </w:rPr>
        <w:t>geen</w:t>
      </w:r>
      <w:r>
        <w:rPr>
          <w:color w:val="231F20"/>
          <w:spacing w:val="15"/>
        </w:rPr>
        <w:t> </w:t>
      </w:r>
      <w:r>
        <w:rPr>
          <w:color w:val="231F20"/>
        </w:rPr>
        <w:t>interest</w:t>
      </w:r>
      <w:r>
        <w:rPr>
          <w:color w:val="231F20"/>
          <w:spacing w:val="16"/>
        </w:rPr>
        <w:t> </w:t>
      </w:r>
      <w:r>
        <w:rPr>
          <w:color w:val="231F20"/>
        </w:rPr>
        <w:t>verschuldigd.</w:t>
      </w:r>
    </w:p>
    <w:p>
      <w:pPr>
        <w:pStyle w:val="BodyText"/>
        <w:spacing w:line="218" w:lineRule="auto" w:before="86"/>
        <w:ind w:right="123"/>
      </w:pPr>
      <w:r>
        <w:rPr>
          <w:color w:val="231F20"/>
        </w:rPr>
        <w:t>§ 2. Het bestuursorgaan doet op de gewone algemene vergadering verslag over de verzoeken tot uittreding gedurende het voorgaande boekjaar. Dat verslag bevat ten minste het aantal uitgetreden aandeel- houders en de soort aandelen waarmee zij zijn uitgetreden, de betaalde vergoeding en de eventuele andere modaliteiten, het aantal geweigerde verzoeken en de reden daarvoor. De statuten kunnen bepalen dat ook de identiteit van de uitgetreden aandeelhouders moet worden</w:t>
      </w:r>
      <w:r>
        <w:rPr>
          <w:color w:val="231F20"/>
          <w:spacing w:val="5"/>
        </w:rPr>
        <w:t> </w:t>
      </w:r>
      <w:r>
        <w:rPr>
          <w:color w:val="231F20"/>
        </w:rPr>
        <w:t>vermeld.</w:t>
      </w:r>
    </w:p>
    <w:p>
      <w:pPr>
        <w:pStyle w:val="BodyText"/>
        <w:ind w:left="0" w:right="0" w:firstLine="0"/>
        <w:jc w:val="left"/>
        <w:rPr>
          <w:sz w:val="23"/>
        </w:rPr>
      </w:pPr>
    </w:p>
    <w:p>
      <w:pPr>
        <w:pStyle w:val="BodyText"/>
        <w:spacing w:line="218" w:lineRule="auto"/>
      </w:pPr>
      <w:r>
        <w:rPr>
          <w:color w:val="231F20"/>
        </w:rPr>
        <w:t>Het bestuursorgaan werkt het aandelenregister bij. Meer bepaald worden vermeld: de uittredingen van aandeelhouders, de datum waarop dit is gebeurd, en de aan de betrokken aandeelhouders betaalde vergoeding.</w:t>
      </w:r>
    </w:p>
    <w:p>
      <w:pPr>
        <w:pStyle w:val="BodyText"/>
        <w:spacing w:line="218" w:lineRule="auto" w:before="86"/>
        <w:ind w:right="123"/>
      </w:pPr>
      <w:r>
        <w:rPr>
          <w:color w:val="231F20"/>
        </w:rPr>
        <w:t>Art. 6:121. Tenzij de statuten anders bepalen, wordt in geval van overlijden, faillissement, kennelijk onvermogen, vereffening of onbe- kwaamverklaring van een aandeelhouder hij op dat ogenblik van rechtswege geacht uit te treden. De aandeelhouder, of, naargelang van het geval, zijn erfgenamen, schuldeisers of vertegenwoordigers hebben recht op uitkering van de waarde van zijn scheidingsaandeel overeen- komstig artikel 6:120. In dit geval zijn de termijnen als bedoeld in artikel 6:120, § 1, tweede lid, 1° en 2°, niet van toepassing.</w:t>
      </w:r>
    </w:p>
    <w:p>
      <w:pPr>
        <w:pStyle w:val="BodyText"/>
        <w:spacing w:line="218" w:lineRule="auto" w:before="86"/>
      </w:pPr>
      <w:r>
        <w:rPr>
          <w:color w:val="231F20"/>
        </w:rPr>
        <w:t>De uitgetreden aandeelhouders of, in geval van overlijden, faillisse- ment, kennelijk onvermogen, vereffening of onbekwaamverklaring van een aandeelhouder, zijn erfgenamen, schuldeisers of vertegenwoordi- gers kunnen de vereffening van de vennootschap niet vorderen.</w:t>
      </w:r>
    </w:p>
    <w:p>
      <w:pPr>
        <w:pStyle w:val="BodyText"/>
        <w:spacing w:before="71"/>
        <w:ind w:left="283" w:right="0" w:firstLine="0"/>
        <w:jc w:val="left"/>
      </w:pPr>
      <w:r>
        <w:rPr>
          <w:color w:val="231F20"/>
        </w:rPr>
        <w:t>Afdeling 2. Verlies van hoedanigheid.</w:t>
      </w:r>
    </w:p>
    <w:p>
      <w:pPr>
        <w:pStyle w:val="BodyText"/>
        <w:spacing w:line="218" w:lineRule="auto" w:before="82"/>
      </w:pPr>
      <w:r>
        <w:rPr>
          <w:color w:val="231F20"/>
        </w:rPr>
        <w:t>Art. 6:122. De statuten kunnen bepalen dat de aandeelhouder die</w:t>
      </w:r>
      <w:r>
        <w:rPr>
          <w:color w:val="231F20"/>
          <w:spacing w:val="-13"/>
        </w:rPr>
        <w:t> </w:t>
      </w:r>
      <w:r>
        <w:rPr>
          <w:color w:val="231F20"/>
        </w:rPr>
        <w:t>niet langer beantwoordt aan de statutaire vereisten om aandeelhouder te worden,</w:t>
      </w:r>
      <w:r>
        <w:rPr>
          <w:color w:val="231F20"/>
          <w:spacing w:val="20"/>
        </w:rPr>
        <w:t> </w:t>
      </w:r>
      <w:r>
        <w:rPr>
          <w:color w:val="231F20"/>
        </w:rPr>
        <w:t>wordt</w:t>
      </w:r>
      <w:r>
        <w:rPr>
          <w:color w:val="231F20"/>
          <w:spacing w:val="20"/>
        </w:rPr>
        <w:t> </w:t>
      </w:r>
      <w:r>
        <w:rPr>
          <w:color w:val="231F20"/>
        </w:rPr>
        <w:t>geacht</w:t>
      </w:r>
      <w:r>
        <w:rPr>
          <w:color w:val="231F20"/>
          <w:spacing w:val="20"/>
        </w:rPr>
        <w:t> </w:t>
      </w:r>
      <w:r>
        <w:rPr>
          <w:color w:val="231F20"/>
        </w:rPr>
        <w:t>op</w:t>
      </w:r>
      <w:r>
        <w:rPr>
          <w:color w:val="231F20"/>
          <w:spacing w:val="21"/>
        </w:rPr>
        <w:t> </w:t>
      </w:r>
      <w:r>
        <w:rPr>
          <w:color w:val="231F20"/>
        </w:rPr>
        <w:t>dat</w:t>
      </w:r>
      <w:r>
        <w:rPr>
          <w:color w:val="231F20"/>
          <w:spacing w:val="20"/>
        </w:rPr>
        <w:t> </w:t>
      </w:r>
      <w:r>
        <w:rPr>
          <w:color w:val="231F20"/>
        </w:rPr>
        <w:t>ogenblik</w:t>
      </w:r>
      <w:r>
        <w:rPr>
          <w:color w:val="231F20"/>
          <w:spacing w:val="20"/>
        </w:rPr>
        <w:t> </w:t>
      </w:r>
      <w:r>
        <w:rPr>
          <w:color w:val="231F20"/>
        </w:rPr>
        <w:t>van</w:t>
      </w:r>
      <w:r>
        <w:rPr>
          <w:color w:val="231F20"/>
          <w:spacing w:val="21"/>
        </w:rPr>
        <w:t> </w:t>
      </w:r>
      <w:r>
        <w:rPr>
          <w:color w:val="231F20"/>
        </w:rPr>
        <w:t>rechtswege</w:t>
      </w:r>
      <w:r>
        <w:rPr>
          <w:color w:val="231F20"/>
          <w:spacing w:val="20"/>
        </w:rPr>
        <w:t> </w:t>
      </w:r>
      <w:r>
        <w:rPr>
          <w:color w:val="231F20"/>
        </w:rPr>
        <w:t>uit</w:t>
      </w:r>
      <w:r>
        <w:rPr>
          <w:color w:val="231F20"/>
          <w:spacing w:val="20"/>
        </w:rPr>
        <w:t> </w:t>
      </w:r>
      <w:r>
        <w:rPr>
          <w:color w:val="231F20"/>
        </w:rPr>
        <w:t>te</w:t>
      </w:r>
      <w:r>
        <w:rPr>
          <w:color w:val="231F20"/>
          <w:spacing w:val="21"/>
        </w:rPr>
        <w:t> </w:t>
      </w:r>
      <w:r>
        <w:rPr>
          <w:color w:val="231F20"/>
        </w:rPr>
        <w:t>treden.</w:t>
      </w:r>
    </w:p>
    <w:p>
      <w:pPr>
        <w:pStyle w:val="BodyText"/>
        <w:spacing w:line="218" w:lineRule="auto" w:before="96"/>
      </w:pPr>
      <w:r>
        <w:rPr>
          <w:color w:val="231F20"/>
        </w:rPr>
        <w:t>De aandeelhouder heeft recht op uitkering van de waarde van zijn scheidingsaandeel overeenkomstig artikel 6:120. In dit geval zijn de termijnen bedoeld in artikel 6:120, § 1, tweede lid, 1° en 2°, niet van toepassing.</w:t>
      </w:r>
    </w:p>
    <w:p>
      <w:pPr>
        <w:pStyle w:val="BodyText"/>
        <w:spacing w:before="83"/>
        <w:ind w:left="283" w:right="0" w:firstLine="0"/>
        <w:jc w:val="left"/>
      </w:pPr>
      <w:r>
        <w:rPr>
          <w:color w:val="231F20"/>
        </w:rPr>
        <w:t>Afdeling 3. Uitsluiting.</w:t>
      </w:r>
    </w:p>
    <w:p>
      <w:pPr>
        <w:pStyle w:val="BodyText"/>
        <w:spacing w:line="218" w:lineRule="auto" w:before="92"/>
      </w:pPr>
      <w:r>
        <w:rPr>
          <w:color w:val="231F20"/>
        </w:rPr>
        <w:t>Art. 6:123. § 1. Niettegenstaande andersluidende statutaire bepaling, kan de vennootschap een aandeelhouder uitsluiten om een wettige reden. De statuten kunnen bijkomende redenen tot uitsluiting bepalen. Het gemotiveerde voorstel tot uitsluiting wordt hem meegedeeld overeenkomstig artikel 2:32. Heeft de aandeelhouder ervoor gekozen om per post met de vennootschap te communiceren, dan wordt het voorstel hem per aangetekende brief meegedeeld.</w:t>
      </w:r>
    </w:p>
    <w:p>
      <w:pPr>
        <w:pStyle w:val="BodyText"/>
        <w:spacing w:line="218" w:lineRule="auto" w:before="97"/>
      </w:pPr>
      <w:r>
        <w:rPr>
          <w:color w:val="231F20"/>
        </w:rPr>
        <w:t>De uitsluiting wordt door de algemene vergadering uitgesproken, tenzij de statuten die bevoegdheid aan het bestuursorgaan toekennen.</w:t>
      </w:r>
    </w:p>
    <w:p>
      <w:pPr>
        <w:pStyle w:val="BodyText"/>
        <w:spacing w:line="218" w:lineRule="auto" w:before="96"/>
        <w:ind w:right="123"/>
      </w:pPr>
      <w:r>
        <w:rPr>
          <w:color w:val="231F20"/>
        </w:rPr>
        <w:t>De aandeelhouder wiens uitsluiting wordt gevraagd, moet worden verzocht zijn opmerkingen schriftelijk en volgens dezelfde modaliteiten te kennen te geven aan het tot uitsluiting bevoegde orgaan, binnen één maand nadat het voorstel tot zijn uitsluiting hem werd meegedeeld.</w:t>
      </w:r>
    </w:p>
    <w:p>
      <w:pPr>
        <w:pStyle w:val="BodyText"/>
        <w:spacing w:line="338" w:lineRule="auto" w:before="82"/>
        <w:ind w:left="283" w:right="111" w:firstLine="0"/>
        <w:jc w:val="left"/>
      </w:pPr>
      <w:r>
        <w:rPr>
          <w:color w:val="231F20"/>
        </w:rPr>
        <w:t>Indien hij daarom verzoekt, moet de aandeelhouder worden gehoord. Elk besluit tot uitsluiting wordt gemotiveerd.</w:t>
      </w:r>
    </w:p>
    <w:p>
      <w:pPr>
        <w:pStyle w:val="BodyText"/>
        <w:spacing w:line="218" w:lineRule="auto" w:before="13"/>
      </w:pPr>
      <w:r>
        <w:rPr>
          <w:color w:val="231F20"/>
        </w:rPr>
        <w:t>§ 2. Het bestuursorgaan deelt het gemotiveerd besluit tot uitsluiting overeenkomstig artikel 2:32 binnen vijftien dagen mee aan de betrok- ken aandeelhouder, en schrijft in het aandelenregister de uitsluiting in. Heeft de aandeelhouder ervoor gekozen om per post met de vennoot- schap te communiceren, dan wordt het besluit hem per aangetekende brief meegedeeld.</w:t>
      </w:r>
    </w:p>
    <w:p>
      <w:pPr>
        <w:pStyle w:val="BodyText"/>
        <w:spacing w:line="218" w:lineRule="auto" w:before="97"/>
      </w:pPr>
      <w:r>
        <w:rPr>
          <w:color w:val="231F20"/>
        </w:rPr>
        <w:t>§ 3. </w:t>
      </w:r>
      <w:r>
        <w:rPr>
          <w:color w:val="231F20"/>
          <w:spacing w:val="-3"/>
        </w:rPr>
        <w:t>Tenzij </w:t>
      </w:r>
      <w:r>
        <w:rPr>
          <w:color w:val="231F20"/>
        </w:rPr>
        <w:t>de statuten anders bepalen, heeft de uitgesloten aandeel- houder recht op uitkering van de waarde van zijn scheidingsaandeel overeenkomstig artikel 6:120. In dit geval zijn  het  1°  en  2°  van  artikel 6:120, § 1, tweede lid, niet van toepassing. De aandelen van de uitgesloten aandeelhouder worden</w:t>
      </w:r>
      <w:r>
        <w:rPr>
          <w:color w:val="231F20"/>
          <w:spacing w:val="8"/>
        </w:rPr>
        <w:t> </w:t>
      </w:r>
      <w:r>
        <w:rPr>
          <w:color w:val="231F20"/>
        </w:rPr>
        <w:t>vernietigd.</w:t>
      </w:r>
    </w:p>
    <w:p>
      <w:pPr>
        <w:pStyle w:val="BodyText"/>
        <w:spacing w:line="218" w:lineRule="auto" w:before="96"/>
      </w:pPr>
      <w:r>
        <w:rPr>
          <w:color w:val="231F20"/>
        </w:rPr>
        <w:t>De uitgesloten aandeelhouder kan de vereffening van de vennoot- schap niet vorderen.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504" from="298.170502pt,64.473pt" to="298.170502pt,812.819pt" stroked="true" strokeweight=".533pt" strokecolor="#231f20">
            <v:stroke dashstyle="solid"/>
            <w10:wrap type="none"/>
          </v:line>
        </w:pict>
      </w:r>
      <w:bookmarkStart w:name="_bookmark145" w:id="150"/>
      <w:bookmarkEnd w:id="150"/>
      <w:r>
        <w:rPr/>
      </w:r>
      <w:r>
        <w:rPr>
          <w:color w:val="231F20"/>
        </w:rPr>
        <w:t>§ 4. </w:t>
      </w:r>
      <w:r>
        <w:rPr>
          <w:color w:val="231F20"/>
          <w:spacing w:val="-3"/>
        </w:rPr>
        <w:t>L’organe </w:t>
      </w:r>
      <w:r>
        <w:rPr>
          <w:color w:val="231F20"/>
        </w:rPr>
        <w:t>d’administration met à jour le registre des actions. Y sont mentionnés plus précisément: les exclusions d’actionnaires, la</w:t>
      </w:r>
      <w:r>
        <w:rPr>
          <w:color w:val="231F20"/>
          <w:spacing w:val="-20"/>
        </w:rPr>
        <w:t> </w:t>
      </w:r>
      <w:r>
        <w:rPr>
          <w:color w:val="231F20"/>
        </w:rPr>
        <w:t>date à laquelle elles sont intervenues ainsi que le montant versé aux actionnaires</w:t>
      </w:r>
      <w:r>
        <w:rPr>
          <w:color w:val="231F20"/>
          <w:spacing w:val="14"/>
        </w:rPr>
        <w:t> </w:t>
      </w:r>
      <w:r>
        <w:rPr>
          <w:color w:val="231F20"/>
        </w:rPr>
        <w:t>concernés.</w:t>
      </w:r>
    </w:p>
    <w:p>
      <w:pPr>
        <w:pStyle w:val="BodyText"/>
        <w:spacing w:before="82"/>
        <w:ind w:left="283" w:right="0" w:firstLine="0"/>
        <w:jc w:val="left"/>
      </w:pPr>
      <w:r>
        <w:rPr>
          <w:color w:val="231F20"/>
        </w:rPr>
        <w:t>Section 4. Publication du nombre d’actions, par classe.</w:t>
      </w:r>
    </w:p>
    <w:p>
      <w:pPr>
        <w:pStyle w:val="BodyText"/>
        <w:spacing w:line="218" w:lineRule="auto" w:before="93"/>
        <w:ind w:right="38"/>
      </w:pPr>
      <w:r>
        <w:rPr>
          <w:color w:val="231F20"/>
        </w:rPr>
        <w:t>Art. 6:124. Le rapport de gestion, ou à défaut, un document à déposer en même temps que les comptes annuels, indique, par classe, le</w:t>
      </w:r>
      <w:r>
        <w:rPr>
          <w:color w:val="231F20"/>
          <w:spacing w:val="-11"/>
        </w:rPr>
        <w:t> </w:t>
      </w:r>
      <w:r>
        <w:rPr>
          <w:color w:val="231F20"/>
        </w:rPr>
        <w:t>nombre d’actions</w:t>
      </w:r>
      <w:r>
        <w:rPr>
          <w:color w:val="231F20"/>
          <w:spacing w:val="15"/>
        </w:rPr>
        <w:t> </w:t>
      </w:r>
      <w:r>
        <w:rPr>
          <w:color w:val="231F20"/>
        </w:rPr>
        <w:t>en</w:t>
      </w:r>
      <w:r>
        <w:rPr>
          <w:color w:val="231F20"/>
          <w:spacing w:val="15"/>
        </w:rPr>
        <w:t> </w:t>
      </w:r>
      <w:r>
        <w:rPr>
          <w:color w:val="231F20"/>
        </w:rPr>
        <w:t>circulation</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fin</w:t>
      </w:r>
      <w:r>
        <w:rPr>
          <w:color w:val="231F20"/>
          <w:spacing w:val="15"/>
        </w:rPr>
        <w:t> </w:t>
      </w:r>
      <w:r>
        <w:rPr>
          <w:color w:val="231F20"/>
        </w:rPr>
        <w:t>de</w:t>
      </w:r>
      <w:r>
        <w:rPr>
          <w:color w:val="231F20"/>
          <w:spacing w:val="15"/>
        </w:rPr>
        <w:t> </w:t>
      </w:r>
      <w:r>
        <w:rPr>
          <w:color w:val="231F20"/>
        </w:rPr>
        <w:t>l’exercice.</w:t>
      </w:r>
    </w:p>
    <w:p>
      <w:pPr>
        <w:pStyle w:val="BodyText"/>
        <w:spacing w:before="82"/>
        <w:ind w:left="283" w:right="0" w:firstLine="0"/>
        <w:jc w:val="left"/>
      </w:pPr>
      <w:r>
        <w:rPr>
          <w:color w:val="231F20"/>
        </w:rPr>
        <w:t>TITRE 7. Durée et dissolution.</w:t>
      </w:r>
    </w:p>
    <w:p>
      <w:pPr>
        <w:pStyle w:val="BodyText"/>
        <w:spacing w:line="218" w:lineRule="auto" w:before="93"/>
        <w:ind w:right="38"/>
      </w:pPr>
      <w:r>
        <w:rPr>
          <w:color w:val="231F20"/>
        </w:rPr>
        <w:t>Art. 6:125. Sauf disposition statutaire contraire, les sociétés coopéra- tives sont constituées pour une durée illimitée.</w:t>
      </w:r>
    </w:p>
    <w:p>
      <w:pPr>
        <w:pStyle w:val="BodyText"/>
        <w:spacing w:line="218" w:lineRule="auto" w:before="96"/>
        <w:ind w:right="38"/>
      </w:pPr>
      <w:r>
        <w:rPr>
          <w:color w:val="231F20"/>
        </w:rPr>
        <w:t>Lorsqu’une durée est déterminée, l’assemblée générale peut décider la prorogation pour une durée limitée ou illimitée. Cette décision requiert une modification des</w:t>
      </w:r>
      <w:r>
        <w:rPr>
          <w:color w:val="231F20"/>
          <w:spacing w:val="18"/>
        </w:rPr>
        <w:t> </w:t>
      </w:r>
      <w:r>
        <w:rPr>
          <w:color w:val="231F20"/>
        </w:rPr>
        <w:t>statuts.</w:t>
      </w:r>
    </w:p>
    <w:p>
      <w:pPr>
        <w:pStyle w:val="BodyText"/>
        <w:spacing w:line="218" w:lineRule="auto" w:before="96"/>
        <w:ind w:right="38"/>
      </w:pPr>
      <w:r>
        <w:rPr>
          <w:color w:val="231F20"/>
        </w:rPr>
        <w:t>Sans préjudice de la dissolution pour de justes motifs précisés à l’article 2:73, la société ne peut être dissoute que par une décision de l’assemblée générale. Cette décision requiert une modification des statuts.</w:t>
      </w:r>
    </w:p>
    <w:p>
      <w:pPr>
        <w:pStyle w:val="BodyText"/>
        <w:spacing w:line="218" w:lineRule="auto" w:before="96"/>
        <w:ind w:right="38"/>
      </w:pPr>
      <w:r>
        <w:rPr>
          <w:color w:val="231F20"/>
        </w:rPr>
        <w:t>Art. 6:126. Si au cours de son existence une société coopérative compte moins de trois actionnaires, tout intéressé peut en demander la dissolution devant le tribunal de l’entreprise du siège de la société. Le tribunal peut accorder à la société un délai pour régulariser la situation en prenant une autre forme légale ou en ramenant à nouveau le nombre d’actionnaires à trois.</w:t>
      </w:r>
    </w:p>
    <w:p>
      <w:pPr>
        <w:pStyle w:val="BodyText"/>
        <w:ind w:left="0" w:right="0" w:firstLine="0"/>
        <w:jc w:val="left"/>
        <w:rPr>
          <w:sz w:val="24"/>
        </w:rPr>
      </w:pPr>
    </w:p>
    <w:p>
      <w:pPr>
        <w:pStyle w:val="BodyText"/>
        <w:spacing w:line="218" w:lineRule="auto"/>
        <w:ind w:right="38"/>
      </w:pPr>
      <w:r>
        <w:rPr>
          <w:color w:val="231F20"/>
        </w:rPr>
        <w:t>Art. 6:127. Le tribunal de l’entreprise peut prononcer à la requête soit d’un actionnaire, soit d’un tiers intéressé, soit du ministère public, la dissolution d’une société coopérative qui ne répond pas aux exigences de l’article 6:1.</w:t>
      </w:r>
    </w:p>
    <w:p>
      <w:pPr>
        <w:pStyle w:val="BodyText"/>
        <w:spacing w:line="218" w:lineRule="auto" w:before="96"/>
        <w:ind w:right="38"/>
      </w:pPr>
      <w:r>
        <w:rPr>
          <w:color w:val="231F20"/>
        </w:rPr>
        <w:t>Le tribunal peut, le cas échéant, accorder à la société un délai en vue de régulariser sa situation.</w:t>
      </w:r>
    </w:p>
    <w:p>
      <w:pPr>
        <w:pStyle w:val="BodyText"/>
        <w:spacing w:before="82"/>
        <w:ind w:left="283" w:right="0" w:firstLine="0"/>
        <w:jc w:val="left"/>
      </w:pPr>
      <w:r>
        <w:rPr>
          <w:color w:val="231F20"/>
        </w:rPr>
        <w:t>TITRE 8. Dispositions pénales.</w:t>
      </w:r>
    </w:p>
    <w:p>
      <w:pPr>
        <w:pStyle w:val="BodyText"/>
        <w:spacing w:line="218" w:lineRule="auto" w:before="93"/>
        <w:ind w:right="38"/>
      </w:pPr>
      <w:r>
        <w:rPr>
          <w:color w:val="231F20"/>
        </w:rPr>
        <w:t>Art. 6:128. Seront punis d’une amende de cinquante euros à  dix mille euros et pourront en outre être punis d’un emprisonnement d’un mois à un</w:t>
      </w:r>
      <w:r>
        <w:rPr>
          <w:color w:val="231F20"/>
          <w:spacing w:val="3"/>
        </w:rPr>
        <w:t> </w:t>
      </w:r>
      <w:r>
        <w:rPr>
          <w:color w:val="231F20"/>
        </w:rPr>
        <w:t>an:</w:t>
      </w:r>
    </w:p>
    <w:p>
      <w:pPr>
        <w:pStyle w:val="BodyText"/>
        <w:spacing w:line="218" w:lineRule="auto" w:before="96"/>
        <w:ind w:right="38"/>
      </w:pPr>
      <w:r>
        <w:rPr>
          <w:color w:val="231F20"/>
        </w:rPr>
        <w:t>1° les administrateurs visés à l’article 2:51 qui n’ont pas présenté le rapport spécial accompagné du rapport du commissaire ou du réviseur d’entreprises, ainsi que le prévoient les articles 6:8 et 6:110;</w:t>
      </w:r>
    </w:p>
    <w:p>
      <w:pPr>
        <w:pStyle w:val="BodyText"/>
        <w:spacing w:line="218" w:lineRule="auto" w:before="96"/>
        <w:ind w:right="38"/>
      </w:pPr>
      <w:r>
        <w:rPr>
          <w:color w:val="231F20"/>
        </w:rPr>
        <w:t>2° les administrateurs visés à l’article 2:51 ou le commissaire qui auront fait, par un usage quelconque, aux frais de la société, des versements sur les actions ou admis comme faits des versements qui ne sont pas effectués réellement de la manière et aux époques prescrites;</w:t>
      </w:r>
    </w:p>
    <w:p>
      <w:pPr>
        <w:pStyle w:val="BodyText"/>
        <w:spacing w:line="218" w:lineRule="auto" w:before="97"/>
        <w:ind w:right="38"/>
      </w:pPr>
      <w:r>
        <w:rPr>
          <w:color w:val="231F20"/>
        </w:rPr>
        <w:t>3° les administrateurs visés à l’article 2:51 qui ont contrevenu à l’article 6:115 ou à l’article 6:116.</w:t>
      </w:r>
    </w:p>
    <w:p>
      <w:pPr>
        <w:pStyle w:val="BodyText"/>
        <w:spacing w:line="319" w:lineRule="auto" w:before="82"/>
        <w:ind w:left="284" w:right="2573" w:hanging="1"/>
        <w:jc w:val="left"/>
      </w:pPr>
      <w:r>
        <w:rPr>
          <w:color w:val="231F20"/>
        </w:rPr>
        <w:t>LIVRE 7. La société anonyme. TITRE 1</w:t>
      </w:r>
      <w:r>
        <w:rPr>
          <w:color w:val="231F20"/>
          <w:position w:val="7"/>
          <w:sz w:val="11"/>
        </w:rPr>
        <w:t>er</w:t>
      </w:r>
      <w:r>
        <w:rPr>
          <w:color w:val="231F20"/>
        </w:rPr>
        <w:t>. Nature et qualification.</w:t>
      </w:r>
    </w:p>
    <w:p>
      <w:pPr>
        <w:pStyle w:val="BodyText"/>
        <w:spacing w:line="218" w:lineRule="auto" w:before="28"/>
        <w:ind w:right="38"/>
      </w:pPr>
      <w:r>
        <w:rPr>
          <w:color w:val="231F20"/>
        </w:rPr>
        <w:t>Art. 7:1. La société anonyme est une société dotée d’un capital et dans laquelle les actionnaires n’engagent que leur apport.</w:t>
      </w:r>
    </w:p>
    <w:p>
      <w:pPr>
        <w:pStyle w:val="BodyText"/>
        <w:spacing w:before="93"/>
        <w:ind w:left="283" w:right="0" w:firstLine="0"/>
        <w:jc w:val="left"/>
      </w:pPr>
      <w:r>
        <w:rPr>
          <w:color w:val="231F20"/>
        </w:rPr>
        <w:t>TITRE 2. Constitution.</w:t>
      </w:r>
    </w:p>
    <w:p>
      <w:pPr>
        <w:pStyle w:val="BodyText"/>
        <w:spacing w:before="74"/>
        <w:ind w:left="283" w:right="0" w:firstLine="0"/>
        <w:jc w:val="left"/>
      </w:pPr>
      <w:r>
        <w:rPr>
          <w:color w:val="231F20"/>
        </w:rPr>
        <w:t>CHAPITRE 1</w:t>
      </w:r>
      <w:r>
        <w:rPr>
          <w:color w:val="231F20"/>
          <w:position w:val="7"/>
          <w:sz w:val="11"/>
        </w:rPr>
        <w:t>er</w:t>
      </w:r>
      <w:r>
        <w:rPr>
          <w:color w:val="231F20"/>
        </w:rPr>
        <w:t>. Montant du capital.</w:t>
      </w:r>
    </w:p>
    <w:p>
      <w:pPr>
        <w:pStyle w:val="BodyText"/>
        <w:spacing w:before="89"/>
        <w:ind w:left="283" w:right="0" w:firstLine="0"/>
        <w:jc w:val="left"/>
      </w:pPr>
      <w:r>
        <w:rPr>
          <w:color w:val="231F20"/>
        </w:rPr>
        <w:t>Art. 7:2. Le capital ne peut être inférieur à 61 500 euros.</w:t>
      </w:r>
    </w:p>
    <w:p>
      <w:pPr>
        <w:pStyle w:val="BodyText"/>
        <w:spacing w:line="218" w:lineRule="auto" w:before="88"/>
        <w:ind w:right="38"/>
      </w:pPr>
      <w:r>
        <w:rPr>
          <w:color w:val="231F20"/>
        </w:rPr>
        <w:t>Art. 7:3. § 1</w:t>
      </w:r>
      <w:r>
        <w:rPr>
          <w:color w:val="231F20"/>
          <w:position w:val="7"/>
          <w:sz w:val="11"/>
        </w:rPr>
        <w:t>er</w:t>
      </w:r>
      <w:r>
        <w:rPr>
          <w:color w:val="231F20"/>
        </w:rPr>
        <w:t>. Préalablement à la constitution de la société, les fondateurs remettent au notaire instrumentant un plan financier dans lequel ils justifient le montant du capital de la société à constituer à la lumière de l’activité projetée sur une période d’au moins deux ans. Ce document n’est pas déposé en même temps que l’acte, mais est conservé par le</w:t>
      </w:r>
      <w:r>
        <w:rPr>
          <w:color w:val="231F20"/>
          <w:spacing w:val="3"/>
        </w:rPr>
        <w:t> </w:t>
      </w:r>
      <w:r>
        <w:rPr>
          <w:color w:val="231F20"/>
        </w:rPr>
        <w:t>notaire.</w:t>
      </w:r>
    </w:p>
    <w:p>
      <w:pPr>
        <w:pStyle w:val="BodyText"/>
        <w:spacing w:before="94"/>
        <w:ind w:left="283" w:right="0" w:firstLine="0"/>
        <w:jc w:val="left"/>
      </w:pPr>
      <w:r>
        <w:rPr>
          <w:color w:val="231F20"/>
        </w:rPr>
        <w:t>§ 2. Le plan financier doit au moins comporter les éléments suivants:</w:t>
      </w:r>
    </w:p>
    <w:p>
      <w:pPr>
        <w:pStyle w:val="BodyText"/>
        <w:spacing w:before="3"/>
        <w:ind w:left="0" w:right="0" w:firstLine="0"/>
        <w:jc w:val="left"/>
        <w:rPr>
          <w:sz w:val="23"/>
        </w:rPr>
      </w:pPr>
    </w:p>
    <w:p>
      <w:pPr>
        <w:pStyle w:val="BodyText"/>
        <w:ind w:left="283" w:right="0" w:firstLine="0"/>
        <w:jc w:val="left"/>
      </w:pPr>
      <w:r>
        <w:rPr>
          <w:color w:val="231F20"/>
        </w:rPr>
        <w:t>1° une description précise de l’activité projetée;</w:t>
      </w:r>
    </w:p>
    <w:p>
      <w:pPr>
        <w:pStyle w:val="BodyText"/>
        <w:spacing w:line="218" w:lineRule="auto" w:before="104"/>
        <w:ind w:right="38"/>
      </w:pPr>
      <w:r>
        <w:rPr>
          <w:color w:val="231F20"/>
        </w:rPr>
        <w:t>2° un aperçu de toutes les sources de financement à la constitution</w:t>
      </w:r>
      <w:r>
        <w:rPr>
          <w:color w:val="231F20"/>
          <w:spacing w:val="-17"/>
        </w:rPr>
        <w:t> </w:t>
      </w:r>
      <w:r>
        <w:rPr>
          <w:color w:val="231F20"/>
        </w:rPr>
        <w:t>en ce</w:t>
      </w:r>
      <w:r>
        <w:rPr>
          <w:color w:val="231F20"/>
          <w:spacing w:val="-4"/>
        </w:rPr>
        <w:t> </w:t>
      </w:r>
      <w:r>
        <w:rPr>
          <w:color w:val="231F20"/>
        </w:rPr>
        <w:t>compris,</w:t>
      </w:r>
      <w:r>
        <w:rPr>
          <w:color w:val="231F20"/>
          <w:spacing w:val="-4"/>
        </w:rPr>
        <w:t> </w:t>
      </w:r>
      <w:r>
        <w:rPr>
          <w:color w:val="231F20"/>
        </w:rPr>
        <w:t>le</w:t>
      </w:r>
      <w:r>
        <w:rPr>
          <w:color w:val="231F20"/>
          <w:spacing w:val="-3"/>
        </w:rPr>
        <w:t> </w:t>
      </w:r>
      <w:r>
        <w:rPr>
          <w:color w:val="231F20"/>
        </w:rPr>
        <w:t>cas</w:t>
      </w:r>
      <w:r>
        <w:rPr>
          <w:color w:val="231F20"/>
          <w:spacing w:val="-4"/>
        </w:rPr>
        <w:t> </w:t>
      </w:r>
      <w:r>
        <w:rPr>
          <w:color w:val="231F20"/>
        </w:rPr>
        <w:t>échéant,</w:t>
      </w:r>
      <w:r>
        <w:rPr>
          <w:color w:val="231F20"/>
          <w:spacing w:val="-4"/>
        </w:rPr>
        <w:t> </w:t>
      </w:r>
      <w:r>
        <w:rPr>
          <w:color w:val="231F20"/>
        </w:rPr>
        <w:t>la</w:t>
      </w:r>
      <w:r>
        <w:rPr>
          <w:color w:val="231F20"/>
          <w:spacing w:val="-3"/>
        </w:rPr>
        <w:t> </w:t>
      </w:r>
      <w:r>
        <w:rPr>
          <w:color w:val="231F20"/>
        </w:rPr>
        <w:t>mention</w:t>
      </w:r>
      <w:r>
        <w:rPr>
          <w:color w:val="231F20"/>
          <w:spacing w:val="-4"/>
        </w:rPr>
        <w:t> </w:t>
      </w:r>
      <w:r>
        <w:rPr>
          <w:color w:val="231F20"/>
        </w:rPr>
        <w:t>des</w:t>
      </w:r>
      <w:r>
        <w:rPr>
          <w:color w:val="231F20"/>
          <w:spacing w:val="-4"/>
        </w:rPr>
        <w:t> </w:t>
      </w:r>
      <w:r>
        <w:rPr>
          <w:color w:val="231F20"/>
        </w:rPr>
        <w:t>garanties</w:t>
      </w:r>
      <w:r>
        <w:rPr>
          <w:color w:val="231F20"/>
          <w:spacing w:val="-3"/>
        </w:rPr>
        <w:t> </w:t>
      </w:r>
      <w:r>
        <w:rPr>
          <w:color w:val="231F20"/>
        </w:rPr>
        <w:t>fournies</w:t>
      </w:r>
      <w:r>
        <w:rPr>
          <w:color w:val="231F20"/>
          <w:spacing w:val="-4"/>
        </w:rPr>
        <w:t> </w:t>
      </w:r>
      <w:r>
        <w:rPr>
          <w:color w:val="231F20"/>
        </w:rPr>
        <w:t>à</w:t>
      </w:r>
      <w:r>
        <w:rPr>
          <w:color w:val="231F20"/>
          <w:spacing w:val="-4"/>
        </w:rPr>
        <w:t> </w:t>
      </w:r>
      <w:r>
        <w:rPr>
          <w:color w:val="231F20"/>
        </w:rPr>
        <w:t>cet</w:t>
      </w:r>
      <w:r>
        <w:rPr>
          <w:color w:val="231F20"/>
          <w:spacing w:val="-3"/>
        </w:rPr>
        <w:t> </w:t>
      </w:r>
      <w:r>
        <w:rPr>
          <w:color w:val="231F20"/>
        </w:rPr>
        <w:t>égard;</w:t>
      </w:r>
    </w:p>
    <w:p>
      <w:pPr>
        <w:pStyle w:val="BodyText"/>
        <w:spacing w:before="9"/>
        <w:ind w:left="0" w:right="0" w:firstLine="0"/>
        <w:jc w:val="left"/>
        <w:rPr>
          <w:sz w:val="24"/>
        </w:rPr>
      </w:pPr>
    </w:p>
    <w:p>
      <w:pPr>
        <w:pStyle w:val="BodyText"/>
        <w:spacing w:line="218" w:lineRule="auto" w:before="1"/>
        <w:ind w:right="38"/>
      </w:pPr>
      <w:r>
        <w:rPr>
          <w:color w:val="231F20"/>
        </w:rPr>
        <w:t>3° un bilan d’ouverture établi conformément au schéma visé à l’article 3:3, ainsi que des bilans projetés après douze et vingt-quatre mois;</w:t>
      </w:r>
    </w:p>
    <w:p>
      <w:pPr>
        <w:pStyle w:val="BodyText"/>
        <w:spacing w:line="218" w:lineRule="auto" w:before="106"/>
        <w:ind w:right="38"/>
      </w:pPr>
      <w:r>
        <w:rPr>
          <w:color w:val="231F20"/>
        </w:rPr>
        <w:t>4° un compte de résultats projeté après douze et vingt-quatre mois, établi conformément au schéma visé à l’article 3:3;</w:t>
      </w:r>
    </w:p>
    <w:p>
      <w:pPr>
        <w:pStyle w:val="BodyText"/>
        <w:spacing w:line="218" w:lineRule="auto" w:before="107"/>
        <w:ind w:right="38"/>
      </w:pPr>
      <w:r>
        <w:rPr>
          <w:color w:val="231F20"/>
        </w:rPr>
        <w:t>5° un budget des revenus et dépenses projetés pour une période d’au moins deux ans à compter de la constitution;</w:t>
      </w:r>
    </w:p>
    <w:p>
      <w:pPr>
        <w:pStyle w:val="BodyText"/>
        <w:spacing w:line="218" w:lineRule="auto" w:before="119"/>
      </w:pPr>
      <w:r>
        <w:rPr/>
        <w:br w:type="column"/>
      </w:r>
      <w:r>
        <w:rPr>
          <w:color w:val="231F20"/>
        </w:rPr>
        <w:t>§ 4. Het bestuursorgaan werkt het aandelenregister bij. Meer bepaald worden vermeld: de uitsluitingen van aandeelhouders, de datum waarop dit is gebeurd, en de aan de betrokken aandeelhouders betaalde vergoeding.</w:t>
      </w:r>
    </w:p>
    <w:p>
      <w:pPr>
        <w:pStyle w:val="BodyText"/>
        <w:spacing w:before="83"/>
        <w:ind w:left="283" w:right="0" w:firstLine="0"/>
        <w:jc w:val="left"/>
      </w:pPr>
      <w:r>
        <w:rPr>
          <w:color w:val="231F20"/>
        </w:rPr>
        <w:t>Afdeling 4. Bekendmaking van het aantal aandelen, per soort.</w:t>
      </w:r>
    </w:p>
    <w:p>
      <w:pPr>
        <w:pStyle w:val="BodyText"/>
        <w:spacing w:line="218" w:lineRule="auto" w:before="92"/>
      </w:pPr>
      <w:r>
        <w:rPr>
          <w:color w:val="231F20"/>
        </w:rPr>
        <w:t>Art. 6:124. Het jaarverslag, of, bij gebrek daaraan, een stuk dat</w:t>
      </w:r>
      <w:r>
        <w:rPr>
          <w:color w:val="231F20"/>
          <w:spacing w:val="-17"/>
        </w:rPr>
        <w:t> </w:t>
      </w:r>
      <w:r>
        <w:rPr>
          <w:color w:val="231F20"/>
        </w:rPr>
        <w:t>samen met de jaarrekening moet worden neergelegd, vermeldt per soort het aantal</w:t>
      </w:r>
      <w:r>
        <w:rPr>
          <w:color w:val="231F20"/>
          <w:spacing w:val="14"/>
        </w:rPr>
        <w:t> </w:t>
      </w:r>
      <w:r>
        <w:rPr>
          <w:color w:val="231F20"/>
        </w:rPr>
        <w:t>uitstaande</w:t>
      </w:r>
      <w:r>
        <w:rPr>
          <w:color w:val="231F20"/>
          <w:spacing w:val="15"/>
        </w:rPr>
        <w:t> </w:t>
      </w:r>
      <w:r>
        <w:rPr>
          <w:color w:val="231F20"/>
        </w:rPr>
        <w:t>aandelen</w:t>
      </w:r>
      <w:r>
        <w:rPr>
          <w:color w:val="231F20"/>
          <w:spacing w:val="14"/>
        </w:rPr>
        <w:t> </w:t>
      </w:r>
      <w:r>
        <w:rPr>
          <w:color w:val="231F20"/>
        </w:rPr>
        <w:t>per</w:t>
      </w:r>
      <w:r>
        <w:rPr>
          <w:color w:val="231F20"/>
          <w:spacing w:val="15"/>
        </w:rPr>
        <w:t> </w:t>
      </w:r>
      <w:r>
        <w:rPr>
          <w:color w:val="231F20"/>
        </w:rPr>
        <w:t>einde</w:t>
      </w:r>
      <w:r>
        <w:rPr>
          <w:color w:val="231F20"/>
          <w:spacing w:val="15"/>
        </w:rPr>
        <w:t> </w:t>
      </w:r>
      <w:r>
        <w:rPr>
          <w:color w:val="231F20"/>
        </w:rPr>
        <w:t>van</w:t>
      </w:r>
      <w:r>
        <w:rPr>
          <w:color w:val="231F20"/>
          <w:spacing w:val="14"/>
        </w:rPr>
        <w:t> </w:t>
      </w:r>
      <w:r>
        <w:rPr>
          <w:color w:val="231F20"/>
        </w:rPr>
        <w:t>het</w:t>
      </w:r>
      <w:r>
        <w:rPr>
          <w:color w:val="231F20"/>
          <w:spacing w:val="15"/>
        </w:rPr>
        <w:t> </w:t>
      </w:r>
      <w:r>
        <w:rPr>
          <w:color w:val="231F20"/>
        </w:rPr>
        <w:t>boekjaar.</w:t>
      </w:r>
    </w:p>
    <w:p>
      <w:pPr>
        <w:pStyle w:val="BodyText"/>
        <w:spacing w:before="83"/>
        <w:ind w:left="283" w:right="0" w:firstLine="0"/>
        <w:jc w:val="left"/>
      </w:pPr>
      <w:r>
        <w:rPr>
          <w:color w:val="231F20"/>
        </w:rPr>
        <w:t>TITEL 7. Duur en ontbinding.</w:t>
      </w:r>
    </w:p>
    <w:p>
      <w:pPr>
        <w:pStyle w:val="BodyText"/>
        <w:spacing w:line="218" w:lineRule="auto" w:before="92"/>
      </w:pPr>
      <w:r>
        <w:rPr>
          <w:color w:val="231F20"/>
        </w:rPr>
        <w:t>Art. 6:125. Tenzij de statuten anders bepalen, zijn de coöperatieve vennootschappen voor onbepaalde duur aangegaan.</w:t>
      </w:r>
    </w:p>
    <w:p>
      <w:pPr>
        <w:pStyle w:val="BodyText"/>
        <w:spacing w:line="218" w:lineRule="auto" w:before="96"/>
      </w:pPr>
      <w:r>
        <w:rPr>
          <w:color w:val="231F20"/>
        </w:rPr>
        <w:t>Wanneer de duur bepaald is, kan de algemene vergadering besluiten tot verlenging voor een bepaalde of onbepaalde duur. Dit besluit vereist een statutenwijziging.</w:t>
      </w:r>
    </w:p>
    <w:p>
      <w:pPr>
        <w:pStyle w:val="BodyText"/>
        <w:spacing w:line="218" w:lineRule="auto" w:before="97"/>
      </w:pPr>
      <w:r>
        <w:rPr>
          <w:color w:val="231F20"/>
        </w:rPr>
        <w:t>Onverminderd de ontbinding om wettige redenen zoals bepaald in artikel 2:73, kan de vennootschap slechts worden ontbonden door een besluit van de algemene vergadering. Dit besluit vereist een statuten- wijziging.</w:t>
      </w:r>
    </w:p>
    <w:p>
      <w:pPr>
        <w:pStyle w:val="BodyText"/>
        <w:spacing w:line="218" w:lineRule="auto" w:before="96"/>
      </w:pPr>
      <w:r>
        <w:rPr>
          <w:color w:val="231F20"/>
        </w:rPr>
        <w:t>Art. 6:126. Als een coöperatieve vennootschap in de loop van haar bestaan minder dan drie aandeelhouders telt, kan elke belanghebbende haar ontbinding vorderen voor de ondernemingsrechtbank van de zetel van de vennootschap. De rechtbank kan aan de vennootschap een termijn toestaan om de toestand te regulariseren door zich om te zetten naar een andere rechtsvorm of door het aantal aandeelhouders opnieuw op drie te</w:t>
      </w:r>
      <w:r>
        <w:rPr>
          <w:color w:val="231F20"/>
          <w:spacing w:val="20"/>
        </w:rPr>
        <w:t> </w:t>
      </w:r>
      <w:r>
        <w:rPr>
          <w:color w:val="231F20"/>
        </w:rPr>
        <w:t>brengen.</w:t>
      </w:r>
    </w:p>
    <w:p>
      <w:pPr>
        <w:pStyle w:val="BodyText"/>
        <w:spacing w:line="218" w:lineRule="auto" w:before="96"/>
      </w:pPr>
      <w:r>
        <w:rPr>
          <w:color w:val="231F20"/>
        </w:rPr>
        <w:t>Art. 6:127. De ondernemingsrechtbank kan op verzoek van een aandeelhouder, van een belanghebbende derde of van het openbaar ministerie de ontbinding uitspreken van een coöperatieve vennoot- schap die niet beantwoordt aan de vereisten van artikel 6:1.</w:t>
      </w:r>
    </w:p>
    <w:p>
      <w:pPr>
        <w:pStyle w:val="BodyText"/>
        <w:spacing w:line="218" w:lineRule="auto" w:before="97"/>
      </w:pPr>
      <w:r>
        <w:rPr>
          <w:color w:val="231F20"/>
        </w:rPr>
        <w:t>In voorkomend geval kan de rechtbank een termijn aan de vennoot- schap toestaan om haar toestand te regulariseren.</w:t>
      </w:r>
    </w:p>
    <w:p>
      <w:pPr>
        <w:pStyle w:val="BodyText"/>
        <w:spacing w:before="82"/>
        <w:ind w:left="283" w:right="0" w:firstLine="0"/>
        <w:jc w:val="left"/>
      </w:pPr>
      <w:r>
        <w:rPr>
          <w:color w:val="231F20"/>
        </w:rPr>
        <w:t>TITEL 8. Strafbepalingen.</w:t>
      </w:r>
    </w:p>
    <w:p>
      <w:pPr>
        <w:pStyle w:val="BodyText"/>
        <w:spacing w:line="218" w:lineRule="auto" w:before="92"/>
      </w:pPr>
      <w:r>
        <w:rPr>
          <w:color w:val="231F20"/>
        </w:rPr>
        <w:t>Art. 6:128. Met geldboete van vijftig euro tot tienduizend euro worden gestraft en bovendien met gevangenisstraf van één maand tot een jaar kunnen worden</w:t>
      </w:r>
      <w:r>
        <w:rPr>
          <w:color w:val="231F20"/>
          <w:spacing w:val="18"/>
        </w:rPr>
        <w:t> </w:t>
      </w:r>
      <w:r>
        <w:rPr>
          <w:color w:val="231F20"/>
        </w:rPr>
        <w:t>gestraft:</w:t>
      </w:r>
    </w:p>
    <w:p>
      <w:pPr>
        <w:pStyle w:val="BodyText"/>
        <w:spacing w:line="218" w:lineRule="auto" w:before="97"/>
      </w:pPr>
      <w:r>
        <w:rPr>
          <w:color w:val="231F20"/>
        </w:rPr>
        <w:t>1° de bestuurders bedoeld in artikel 2:51 die het bijzonder verslag samen met het verslag van de commissaris of van de bedrijfsrevisor, niet voorleggen zoals voorgeschreven door de artikelen 6:8 en 6:110;</w:t>
      </w:r>
    </w:p>
    <w:p>
      <w:pPr>
        <w:pStyle w:val="BodyText"/>
        <w:spacing w:line="218" w:lineRule="auto" w:before="96"/>
      </w:pPr>
      <w:r>
        <w:rPr>
          <w:color w:val="231F20"/>
        </w:rPr>
        <w:t>2° de bestuurders bedoeld in artikel 2:51 of de commissaris die door enig middel op kosten van de vennootschap stortingen op de aandelen doen of stortingen als gedaan erkennen die niet werkelijk zijn gedaan op</w:t>
      </w:r>
      <w:r>
        <w:rPr>
          <w:color w:val="231F20"/>
          <w:spacing w:val="15"/>
        </w:rPr>
        <w:t> </w:t>
      </w:r>
      <w:r>
        <w:rPr>
          <w:color w:val="231F20"/>
        </w:rPr>
        <w:t>de</w:t>
      </w:r>
      <w:r>
        <w:rPr>
          <w:color w:val="231F20"/>
          <w:spacing w:val="16"/>
        </w:rPr>
        <w:t> </w:t>
      </w:r>
      <w:r>
        <w:rPr>
          <w:color w:val="231F20"/>
        </w:rPr>
        <w:t>voorgeschreven</w:t>
      </w:r>
      <w:r>
        <w:rPr>
          <w:color w:val="231F20"/>
          <w:spacing w:val="16"/>
        </w:rPr>
        <w:t> </w:t>
      </w:r>
      <w:r>
        <w:rPr>
          <w:color w:val="231F20"/>
        </w:rPr>
        <w:t>wijze</w:t>
      </w:r>
      <w:r>
        <w:rPr>
          <w:color w:val="231F20"/>
          <w:spacing w:val="16"/>
        </w:rPr>
        <w:t> </w:t>
      </w:r>
      <w:r>
        <w:rPr>
          <w:color w:val="231F20"/>
        </w:rPr>
        <w:t>en</w:t>
      </w:r>
      <w:r>
        <w:rPr>
          <w:color w:val="231F20"/>
          <w:spacing w:val="15"/>
        </w:rPr>
        <w:t> </w:t>
      </w:r>
      <w:r>
        <w:rPr>
          <w:color w:val="231F20"/>
        </w:rPr>
        <w:t>tijdstippen;</w:t>
      </w:r>
    </w:p>
    <w:p>
      <w:pPr>
        <w:pStyle w:val="BodyText"/>
        <w:spacing w:line="218" w:lineRule="auto" w:before="96"/>
      </w:pPr>
      <w:r>
        <w:rPr>
          <w:color w:val="231F20"/>
        </w:rPr>
        <w:t>3° de bestuurders bedoeld in artikel 2:51 die het voorschrift van artikel 6:115 of artikel 6:116 overtreden.</w:t>
      </w:r>
    </w:p>
    <w:p>
      <w:pPr>
        <w:pStyle w:val="BodyText"/>
        <w:spacing w:line="338" w:lineRule="auto" w:before="82"/>
        <w:ind w:left="283" w:right="2162" w:firstLine="0"/>
        <w:jc w:val="left"/>
      </w:pPr>
      <w:r>
        <w:rPr>
          <w:color w:val="231F20"/>
        </w:rPr>
        <w:t>BOEK 7. De naamloze vennootschap. TITEL 1. Aard en kwalificatie.</w:t>
      </w:r>
    </w:p>
    <w:p>
      <w:pPr>
        <w:pStyle w:val="BodyText"/>
        <w:spacing w:line="218" w:lineRule="auto" w:before="13"/>
      </w:pPr>
      <w:r>
        <w:rPr>
          <w:color w:val="231F20"/>
        </w:rPr>
        <w:t>Art. 7:1. De naamloze vennootschap is een vennootschap met een kapitaal en waarin de aandeelhouders slechts hun inbreng verbinden.</w:t>
      </w:r>
    </w:p>
    <w:p>
      <w:pPr>
        <w:pStyle w:val="BodyText"/>
        <w:spacing w:before="93"/>
        <w:ind w:left="283" w:right="0" w:firstLine="0"/>
        <w:jc w:val="left"/>
      </w:pPr>
      <w:r>
        <w:rPr>
          <w:color w:val="231F20"/>
        </w:rPr>
        <w:t>TITEL 2. Oprichting.</w:t>
      </w:r>
    </w:p>
    <w:p>
      <w:pPr>
        <w:pStyle w:val="BodyText"/>
        <w:spacing w:before="89"/>
        <w:ind w:left="283" w:right="0" w:firstLine="0"/>
        <w:jc w:val="left"/>
      </w:pPr>
      <w:r>
        <w:rPr>
          <w:color w:val="231F20"/>
        </w:rPr>
        <w:t>HOOFDSTUK 1. Bedrag van het kapitaal.</w:t>
      </w:r>
    </w:p>
    <w:p>
      <w:pPr>
        <w:pStyle w:val="BodyText"/>
        <w:spacing w:before="89"/>
        <w:ind w:left="283" w:right="0" w:firstLine="0"/>
        <w:jc w:val="left"/>
      </w:pPr>
      <w:r>
        <w:rPr>
          <w:color w:val="231F20"/>
        </w:rPr>
        <w:t>Art. 7:2. Het kapitaal mag niet minder bedragen dan 61 500 euro.</w:t>
      </w:r>
    </w:p>
    <w:p>
      <w:pPr>
        <w:pStyle w:val="BodyText"/>
        <w:spacing w:line="218" w:lineRule="auto" w:before="104"/>
      </w:pPr>
      <w:r>
        <w:rPr>
          <w:color w:val="231F20"/>
        </w:rPr>
        <w:t>Art. 7:3. § 1. Vóór de oprichting van de vennootschap overhandigen de oprichters aan de optredende notaris een financieel plan waarin zij het bedrag van het kapitaal van de op te richten vennootschap verantwoorden in het licht van de voorgenomen bedrijvigheid over een periode van ten minste twee jaar. Dit stuk wordt niet neergelegd met de akte, maar door de notaris bewaard.</w:t>
      </w:r>
    </w:p>
    <w:p>
      <w:pPr>
        <w:pStyle w:val="BodyText"/>
        <w:spacing w:line="218" w:lineRule="auto" w:before="107"/>
      </w:pPr>
      <w:r>
        <w:rPr>
          <w:color w:val="231F20"/>
        </w:rPr>
        <w:t>§ 2. Het financieel plan dient minstens volgende elementen te bevatten:</w:t>
      </w:r>
    </w:p>
    <w:p>
      <w:pPr>
        <w:pStyle w:val="BodyText"/>
        <w:spacing w:before="93"/>
        <w:ind w:left="283" w:right="0" w:firstLine="0"/>
        <w:jc w:val="left"/>
      </w:pPr>
      <w:r>
        <w:rPr>
          <w:color w:val="231F20"/>
        </w:rPr>
        <w:t>1° een nauwkeurige beschrijving van de voorgenomen bedrijvigheid;</w:t>
      </w:r>
    </w:p>
    <w:p>
      <w:pPr>
        <w:pStyle w:val="BodyText"/>
        <w:spacing w:line="218" w:lineRule="auto" w:before="103"/>
      </w:pPr>
      <w:r>
        <w:rPr>
          <w:color w:val="231F20"/>
        </w:rPr>
        <w:t>2° een overzicht van alle financieringsbronnen bij de oprichting, in voorkomend geval, met opgave van de in dat verband verstrekte zekerheden;</w:t>
      </w:r>
    </w:p>
    <w:p>
      <w:pPr>
        <w:pStyle w:val="BodyText"/>
        <w:spacing w:line="218" w:lineRule="auto" w:before="107"/>
      </w:pPr>
      <w:r>
        <w:rPr>
          <w:color w:val="231F20"/>
        </w:rPr>
        <w:t>3° een openingsbalans opgesteld volgens het schema als bedoeld in artikel 3:3, evenals geprojecteerde balansen na twaalf en vierentwintig maanden;</w:t>
      </w:r>
    </w:p>
    <w:p>
      <w:pPr>
        <w:pStyle w:val="BodyText"/>
        <w:spacing w:line="218" w:lineRule="auto" w:before="107"/>
      </w:pPr>
      <w:r>
        <w:rPr>
          <w:color w:val="231F20"/>
        </w:rPr>
        <w:t>4° een geprojecteerde resultatenrekening na twaalf en vierentwintig maanden, opgesteld volgens het schema bedoeld in artikel 3:3;</w:t>
      </w:r>
    </w:p>
    <w:p>
      <w:pPr>
        <w:pStyle w:val="BodyText"/>
        <w:spacing w:line="218" w:lineRule="auto" w:before="106"/>
      </w:pPr>
      <w:r>
        <w:rPr>
          <w:color w:val="231F20"/>
        </w:rPr>
        <w:t>5° een begroting van de verwachte inkomsten en uitgaven voor een periode van minstens twee jaar na de oprichting;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528" from="298.170502pt,64.473pt" to="298.170502pt,812.819pt" stroked="true" strokeweight=".533pt" strokecolor="#231f20">
            <v:stroke dashstyle="solid"/>
            <w10:wrap type="none"/>
          </v:line>
        </w:pict>
      </w:r>
      <w:bookmarkStart w:name="_bookmark146" w:id="151"/>
      <w:bookmarkEnd w:id="151"/>
      <w:r>
        <w:rPr/>
      </w:r>
      <w:r>
        <w:rPr>
          <w:color w:val="231F20"/>
        </w:rPr>
        <w:t>6° une description des hypothèses retenues lors de l’estimation du chiffre d’affaires et de la rentabilité prévus;</w:t>
      </w:r>
    </w:p>
    <w:p>
      <w:pPr>
        <w:pStyle w:val="BodyText"/>
        <w:spacing w:line="218" w:lineRule="auto" w:before="138"/>
        <w:ind w:right="38"/>
      </w:pPr>
      <w:r>
        <w:rPr>
          <w:color w:val="231F20"/>
        </w:rPr>
        <w:t>7° le cas échéant, le nom de l’expert externe qui a apporté son assistance lors de l’établissement du plan financier.</w:t>
      </w:r>
    </w:p>
    <w:p>
      <w:pPr>
        <w:pStyle w:val="BodyText"/>
        <w:spacing w:line="218" w:lineRule="auto" w:before="150"/>
        <w:ind w:right="38"/>
      </w:pPr>
      <w:r>
        <w:rPr>
          <w:color w:val="231F20"/>
        </w:rPr>
        <w:t>§ 3. Lors de l’élaboration des bilans et des comptes de résultats projetés, une autre périodicité que celle visée au paragraphe 2, 3° et 4°, peut être utilisée, à condition que les projections concernent au total une période d’au moins deux ans à compter de la constitution.</w:t>
      </w:r>
    </w:p>
    <w:p>
      <w:pPr>
        <w:pStyle w:val="BodyText"/>
        <w:spacing w:before="4"/>
        <w:ind w:left="0" w:right="0" w:firstLine="0"/>
        <w:jc w:val="left"/>
        <w:rPr>
          <w:sz w:val="27"/>
        </w:rPr>
      </w:pPr>
    </w:p>
    <w:p>
      <w:pPr>
        <w:pStyle w:val="BodyText"/>
        <w:spacing w:line="386" w:lineRule="auto" w:before="1"/>
        <w:ind w:left="283" w:right="2109" w:firstLine="0"/>
        <w:jc w:val="left"/>
      </w:pPr>
      <w:r>
        <w:rPr>
          <w:color w:val="231F20"/>
        </w:rPr>
        <w:t>CHAPITRE 2. Souscription du capital. Section 1</w:t>
      </w:r>
      <w:r>
        <w:rPr>
          <w:color w:val="231F20"/>
          <w:position w:val="7"/>
          <w:sz w:val="11"/>
        </w:rPr>
        <w:t>er</w:t>
      </w:r>
      <w:r>
        <w:rPr>
          <w:color w:val="231F20"/>
        </w:rPr>
        <w:t>. Intégralité de la souscription.</w:t>
      </w:r>
    </w:p>
    <w:p>
      <w:pPr>
        <w:pStyle w:val="BodyText"/>
        <w:spacing w:line="218" w:lineRule="auto" w:before="26"/>
        <w:ind w:right="38"/>
      </w:pPr>
      <w:r>
        <w:rPr>
          <w:color w:val="231F20"/>
        </w:rPr>
        <w:t>Art. 7:4. Le capital de la société doit être intégralement et,</w:t>
      </w:r>
      <w:r>
        <w:rPr>
          <w:color w:val="231F20"/>
          <w:spacing w:val="-26"/>
        </w:rPr>
        <w:t> </w:t>
      </w:r>
      <w:r>
        <w:rPr>
          <w:color w:val="231F20"/>
        </w:rPr>
        <w:t>nonobstant toute disposition contraire, inconditionnellement</w:t>
      </w:r>
      <w:r>
        <w:rPr>
          <w:color w:val="231F20"/>
          <w:spacing w:val="15"/>
        </w:rPr>
        <w:t> </w:t>
      </w:r>
      <w:r>
        <w:rPr>
          <w:color w:val="231F20"/>
        </w:rPr>
        <w:t>souscrit.</w:t>
      </w:r>
    </w:p>
    <w:p>
      <w:pPr>
        <w:pStyle w:val="BodyText"/>
        <w:spacing w:before="4"/>
        <w:ind w:left="0" w:right="0" w:firstLine="0"/>
        <w:jc w:val="left"/>
        <w:rPr>
          <w:sz w:val="27"/>
        </w:rPr>
      </w:pPr>
    </w:p>
    <w:p>
      <w:pPr>
        <w:pStyle w:val="BodyText"/>
        <w:spacing w:line="218" w:lineRule="auto"/>
        <w:ind w:right="38"/>
      </w:pPr>
      <w:r>
        <w:rPr>
          <w:color w:val="231F20"/>
        </w:rPr>
        <w:t>Art. 7:5. § 1</w:t>
      </w:r>
      <w:r>
        <w:rPr>
          <w:color w:val="231F20"/>
          <w:position w:val="7"/>
          <w:sz w:val="11"/>
        </w:rPr>
        <w:t>er</w:t>
      </w:r>
      <w:r>
        <w:rPr>
          <w:color w:val="231F20"/>
        </w:rPr>
        <w:t>. La société ne peut souscrire ses propres actions ou des certificats se rapportant à de telles actions émis à l’occasion de l’émission de telles actions, ni directement, ni par une société filiale, ni par</w:t>
      </w:r>
      <w:r>
        <w:rPr>
          <w:color w:val="231F20"/>
          <w:spacing w:val="-3"/>
        </w:rPr>
        <w:t> </w:t>
      </w:r>
      <w:r>
        <w:rPr>
          <w:color w:val="231F20"/>
        </w:rPr>
        <w:t>une</w:t>
      </w:r>
      <w:r>
        <w:rPr>
          <w:color w:val="231F20"/>
          <w:spacing w:val="-3"/>
        </w:rPr>
        <w:t> </w:t>
      </w:r>
      <w:r>
        <w:rPr>
          <w:color w:val="231F20"/>
        </w:rPr>
        <w:t>personne</w:t>
      </w:r>
      <w:r>
        <w:rPr>
          <w:color w:val="231F20"/>
          <w:spacing w:val="-3"/>
        </w:rPr>
        <w:t> </w:t>
      </w:r>
      <w:r>
        <w:rPr>
          <w:color w:val="231F20"/>
        </w:rPr>
        <w:t>agissant</w:t>
      </w:r>
      <w:r>
        <w:rPr>
          <w:color w:val="231F20"/>
          <w:spacing w:val="-2"/>
        </w:rPr>
        <w:t> </w:t>
      </w:r>
      <w:r>
        <w:rPr>
          <w:color w:val="231F20"/>
        </w:rPr>
        <w:t>en</w:t>
      </w:r>
      <w:r>
        <w:rPr>
          <w:color w:val="231F20"/>
          <w:spacing w:val="-3"/>
        </w:rPr>
        <w:t> </w:t>
      </w:r>
      <w:r>
        <w:rPr>
          <w:color w:val="231F20"/>
        </w:rPr>
        <w:t>son</w:t>
      </w:r>
      <w:r>
        <w:rPr>
          <w:color w:val="231F20"/>
          <w:spacing w:val="-3"/>
        </w:rPr>
        <w:t> </w:t>
      </w:r>
      <w:r>
        <w:rPr>
          <w:color w:val="231F20"/>
        </w:rPr>
        <w:t>nom</w:t>
      </w:r>
      <w:r>
        <w:rPr>
          <w:color w:val="231F20"/>
          <w:spacing w:val="-2"/>
        </w:rPr>
        <w:t> </w:t>
      </w:r>
      <w:r>
        <w:rPr>
          <w:color w:val="231F20"/>
        </w:rPr>
        <w:t>mais</w:t>
      </w:r>
      <w:r>
        <w:rPr>
          <w:color w:val="231F20"/>
          <w:spacing w:val="-3"/>
        </w:rPr>
        <w:t> </w:t>
      </w:r>
      <w:r>
        <w:rPr>
          <w:color w:val="231F20"/>
        </w:rPr>
        <w:t>pour</w:t>
      </w:r>
      <w:r>
        <w:rPr>
          <w:color w:val="231F20"/>
          <w:spacing w:val="-3"/>
        </w:rPr>
        <w:t> </w:t>
      </w:r>
      <w:r>
        <w:rPr>
          <w:color w:val="231F20"/>
        </w:rPr>
        <w:t>le</w:t>
      </w:r>
      <w:r>
        <w:rPr>
          <w:color w:val="231F20"/>
          <w:spacing w:val="-3"/>
        </w:rPr>
        <w:t> </w:t>
      </w:r>
      <w:r>
        <w:rPr>
          <w:color w:val="231F20"/>
        </w:rPr>
        <w:t>compte</w:t>
      </w:r>
      <w:r>
        <w:rPr>
          <w:color w:val="231F20"/>
          <w:spacing w:val="-2"/>
        </w:rPr>
        <w:t> </w:t>
      </w:r>
      <w:r>
        <w:rPr>
          <w:color w:val="231F20"/>
        </w:rPr>
        <w:t>de</w:t>
      </w:r>
      <w:r>
        <w:rPr>
          <w:color w:val="231F20"/>
          <w:spacing w:val="-3"/>
        </w:rPr>
        <w:t> </w:t>
      </w:r>
      <w:r>
        <w:rPr>
          <w:color w:val="231F20"/>
        </w:rPr>
        <w:t>la</w:t>
      </w:r>
      <w:r>
        <w:rPr>
          <w:color w:val="231F20"/>
          <w:spacing w:val="-3"/>
        </w:rPr>
        <w:t> </w:t>
      </w:r>
      <w:r>
        <w:rPr>
          <w:color w:val="231F20"/>
        </w:rPr>
        <w:t>société ou de la société</w:t>
      </w:r>
      <w:r>
        <w:rPr>
          <w:color w:val="231F20"/>
          <w:spacing w:val="19"/>
        </w:rPr>
        <w:t> </w:t>
      </w:r>
      <w:r>
        <w:rPr>
          <w:color w:val="231F20"/>
        </w:rPr>
        <w:t>filiale.</w:t>
      </w:r>
    </w:p>
    <w:p>
      <w:pPr>
        <w:pStyle w:val="BodyText"/>
        <w:spacing w:before="10"/>
        <w:ind w:left="0" w:right="0" w:firstLine="0"/>
        <w:jc w:val="left"/>
        <w:rPr>
          <w:sz w:val="28"/>
        </w:rPr>
      </w:pPr>
    </w:p>
    <w:p>
      <w:pPr>
        <w:pStyle w:val="BodyText"/>
        <w:spacing w:line="213" w:lineRule="auto"/>
        <w:ind w:right="38"/>
      </w:pPr>
      <w:r>
        <w:rPr>
          <w:color w:val="231F20"/>
        </w:rPr>
        <w:t>La personne qui a souscrit des actions ou des certificats visés à l’alinéa 1</w:t>
      </w:r>
      <w:r>
        <w:rPr>
          <w:color w:val="231F20"/>
          <w:position w:val="7"/>
          <w:sz w:val="11"/>
        </w:rPr>
        <w:t>er </w:t>
      </w:r>
      <w:r>
        <w:rPr>
          <w:color w:val="231F20"/>
        </w:rPr>
        <w:t>en son nom propre mais pour le compte de la société ou de  la société filiale est considérée comme ayant souscrit pour son propre compte.</w:t>
      </w:r>
    </w:p>
    <w:p>
      <w:pPr>
        <w:pStyle w:val="BodyText"/>
        <w:spacing w:line="211" w:lineRule="auto" w:before="152"/>
        <w:ind w:right="38"/>
      </w:pPr>
      <w:r>
        <w:rPr>
          <w:color w:val="231F20"/>
          <w:spacing w:val="-4"/>
        </w:rPr>
        <w:t>Tous </w:t>
      </w:r>
      <w:r>
        <w:rPr>
          <w:color w:val="231F20"/>
        </w:rPr>
        <w:t>les droits afférents aux actions ou aux certificats  visés  à  l’alinéa 1</w:t>
      </w:r>
      <w:r>
        <w:rPr>
          <w:color w:val="231F20"/>
          <w:position w:val="7"/>
          <w:sz w:val="11"/>
        </w:rPr>
        <w:t>er </w:t>
      </w:r>
      <w:r>
        <w:rPr>
          <w:color w:val="231F20"/>
        </w:rPr>
        <w:t>souscrits par la société ou sa filiale sont suspendus, tant que ces</w:t>
      </w:r>
      <w:r>
        <w:rPr>
          <w:color w:val="231F20"/>
          <w:spacing w:val="14"/>
        </w:rPr>
        <w:t> </w:t>
      </w:r>
      <w:r>
        <w:rPr>
          <w:color w:val="231F20"/>
        </w:rPr>
        <w:t>actions</w:t>
      </w:r>
      <w:r>
        <w:rPr>
          <w:color w:val="231F20"/>
          <w:spacing w:val="14"/>
        </w:rPr>
        <w:t> </w:t>
      </w:r>
      <w:r>
        <w:rPr>
          <w:color w:val="231F20"/>
        </w:rPr>
        <w:t>ou</w:t>
      </w:r>
      <w:r>
        <w:rPr>
          <w:color w:val="231F20"/>
          <w:spacing w:val="14"/>
        </w:rPr>
        <w:t> </w:t>
      </w:r>
      <w:r>
        <w:rPr>
          <w:color w:val="231F20"/>
        </w:rPr>
        <w:t>ces</w:t>
      </w:r>
      <w:r>
        <w:rPr>
          <w:color w:val="231F20"/>
          <w:spacing w:val="15"/>
        </w:rPr>
        <w:t> </w:t>
      </w:r>
      <w:r>
        <w:rPr>
          <w:color w:val="231F20"/>
        </w:rPr>
        <w:t>certificats</w:t>
      </w:r>
      <w:r>
        <w:rPr>
          <w:color w:val="231F20"/>
          <w:spacing w:val="14"/>
        </w:rPr>
        <w:t> </w:t>
      </w:r>
      <w:r>
        <w:rPr>
          <w:color w:val="231F20"/>
        </w:rPr>
        <w:t>n’ont</w:t>
      </w:r>
      <w:r>
        <w:rPr>
          <w:color w:val="231F20"/>
          <w:spacing w:val="14"/>
        </w:rPr>
        <w:t> </w:t>
      </w:r>
      <w:r>
        <w:rPr>
          <w:color w:val="231F20"/>
        </w:rPr>
        <w:t>pas</w:t>
      </w:r>
      <w:r>
        <w:rPr>
          <w:color w:val="231F20"/>
          <w:spacing w:val="15"/>
        </w:rPr>
        <w:t> </w:t>
      </w:r>
      <w:r>
        <w:rPr>
          <w:color w:val="231F20"/>
        </w:rPr>
        <w:t>été</w:t>
      </w:r>
      <w:r>
        <w:rPr>
          <w:color w:val="231F20"/>
          <w:spacing w:val="14"/>
        </w:rPr>
        <w:t> </w:t>
      </w:r>
      <w:r>
        <w:rPr>
          <w:color w:val="231F20"/>
        </w:rPr>
        <w:t>aliénés.</w:t>
      </w:r>
    </w:p>
    <w:p>
      <w:pPr>
        <w:pStyle w:val="BodyText"/>
        <w:spacing w:before="4"/>
        <w:ind w:left="0" w:right="0" w:firstLine="0"/>
        <w:jc w:val="left"/>
        <w:rPr>
          <w:sz w:val="27"/>
        </w:rPr>
      </w:pPr>
    </w:p>
    <w:p>
      <w:pPr>
        <w:pStyle w:val="BodyText"/>
        <w:spacing w:line="213" w:lineRule="auto"/>
        <w:ind w:right="38"/>
      </w:pPr>
      <w:r>
        <w:rPr>
          <w:color w:val="231F20"/>
        </w:rPr>
        <w:t>§ 2. Le paragraphe 1</w:t>
      </w:r>
      <w:r>
        <w:rPr>
          <w:color w:val="231F20"/>
          <w:position w:val="7"/>
          <w:sz w:val="11"/>
        </w:rPr>
        <w:t>er </w:t>
      </w:r>
      <w:r>
        <w:rPr>
          <w:color w:val="231F20"/>
        </w:rPr>
        <w:t>n’est pas applicable à la souscription d’actions d’une société ou de certificats visés au paragraphe 1</w:t>
      </w:r>
      <w:r>
        <w:rPr>
          <w:color w:val="231F20"/>
          <w:position w:val="7"/>
          <w:sz w:val="11"/>
        </w:rPr>
        <w:t>er </w:t>
      </w:r>
      <w:r>
        <w:rPr>
          <w:color w:val="231F20"/>
        </w:rPr>
        <w:t>par une société filiale qui est, en sa qualité d’opérateur professionnel sur titres, une société de bourse ou un établissement de crédit.</w:t>
      </w:r>
    </w:p>
    <w:p>
      <w:pPr>
        <w:pStyle w:val="BodyText"/>
        <w:spacing w:before="133"/>
        <w:ind w:left="283" w:right="0" w:firstLine="0"/>
        <w:jc w:val="left"/>
      </w:pPr>
      <w:r>
        <w:rPr>
          <w:color w:val="231F20"/>
        </w:rPr>
        <w:t>Section 2. Apport en nature.</w:t>
      </w:r>
    </w:p>
    <w:p>
      <w:pPr>
        <w:pStyle w:val="BodyText"/>
        <w:spacing w:line="218" w:lineRule="auto" w:before="146"/>
        <w:ind w:right="38"/>
      </w:pPr>
      <w:r>
        <w:rPr>
          <w:color w:val="231F20"/>
        </w:rPr>
        <w:t>Art. 7:6. Les apports en nature ne peuvent être rémunérés par des actions que lorsqu’ils consistent en éléments d’actifs susceptibles d’évaluation économique, à l’exclusion des actifs constitués par des engagements concernant l’exécution de travaux ou la prestation de services.</w:t>
      </w:r>
    </w:p>
    <w:p>
      <w:pPr>
        <w:pStyle w:val="BodyText"/>
        <w:spacing w:line="218" w:lineRule="auto" w:before="135"/>
        <w:ind w:right="38"/>
      </w:pPr>
      <w:r>
        <w:rPr>
          <w:color w:val="231F20"/>
        </w:rPr>
        <w:t>Art. 7:7. § 1</w:t>
      </w:r>
      <w:r>
        <w:rPr>
          <w:color w:val="231F20"/>
          <w:position w:val="7"/>
          <w:sz w:val="11"/>
        </w:rPr>
        <w:t>er</w:t>
      </w:r>
      <w:r>
        <w:rPr>
          <w:color w:val="231F20"/>
        </w:rPr>
        <w:t>. En cas d’apport en nature, les fondateurs exposent dans un rapport spécial l’intérêt que l’apport présente pour la société. Le rapport comporte une description de chaque apport en nature et en donne une évaluation motivée. Il indique quelle est la rémunération attribuée en contrepartie de l’apport. Les fondateurs communiquent ce rapport en projet au réviseur d’entreprises qu’ils désignent.</w:t>
      </w:r>
    </w:p>
    <w:p>
      <w:pPr>
        <w:pStyle w:val="BodyText"/>
        <w:spacing w:before="7"/>
        <w:ind w:left="0" w:right="0" w:firstLine="0"/>
        <w:jc w:val="left"/>
        <w:rPr>
          <w:sz w:val="28"/>
        </w:rPr>
      </w:pPr>
    </w:p>
    <w:p>
      <w:pPr>
        <w:pStyle w:val="BodyText"/>
        <w:spacing w:line="218" w:lineRule="auto"/>
        <w:ind w:right="38"/>
      </w:pPr>
      <w:r>
        <w:rPr>
          <w:color w:val="231F20"/>
        </w:rPr>
        <w:t>Le réviseur d’entreprises établit un rapport dans lequel il examine la description faite par les fondateurs de chaque apport en nature, l’évaluation adoptée et les modes d’évaluation appliqués. Le rapport doit indiquer si les valeurs auxquelles conduisent ces modes d’évalua- tion correspondent au moins au nombre et à la valeur nominale, ou à défaut, au pair comptable des actions à émettre en contrepartie. Le rapport indique quelle est la rémunération réelle attribuée en contre- partie de l’apport.</w:t>
      </w:r>
    </w:p>
    <w:p>
      <w:pPr>
        <w:pStyle w:val="BodyText"/>
        <w:spacing w:before="8"/>
        <w:ind w:left="0" w:right="0" w:firstLine="0"/>
        <w:jc w:val="left"/>
        <w:rPr>
          <w:sz w:val="28"/>
        </w:rPr>
      </w:pPr>
    </w:p>
    <w:p>
      <w:pPr>
        <w:pStyle w:val="BodyText"/>
        <w:spacing w:line="218" w:lineRule="auto"/>
        <w:ind w:right="38"/>
      </w:pPr>
      <w:r>
        <w:rPr>
          <w:color w:val="231F20"/>
        </w:rPr>
        <w:t>Dans leur rapport, les fondateurs indiquent, le cas échéant, les raisons pour lesquelles ils s’écartent des conclusions du rapport du réviseur.</w:t>
      </w:r>
    </w:p>
    <w:p>
      <w:pPr>
        <w:pStyle w:val="BodyText"/>
        <w:spacing w:line="218" w:lineRule="auto" w:before="149"/>
        <w:ind w:right="38"/>
      </w:pPr>
      <w:r>
        <w:rPr>
          <w:color w:val="231F20"/>
        </w:rPr>
        <w:t>Ce rapport est déposé et publié avec celui du réviseur, conformément aux articles 2:8 et 2:14, 4°.</w:t>
      </w:r>
    </w:p>
    <w:p>
      <w:pPr>
        <w:pStyle w:val="BodyText"/>
        <w:spacing w:line="218" w:lineRule="auto" w:before="135"/>
        <w:ind w:right="39"/>
      </w:pPr>
      <w:r>
        <w:rPr>
          <w:color w:val="231F20"/>
        </w:rPr>
        <w:t>§ 2. Le paragraphe 1</w:t>
      </w:r>
      <w:r>
        <w:rPr>
          <w:color w:val="231F20"/>
          <w:position w:val="7"/>
          <w:sz w:val="11"/>
        </w:rPr>
        <w:t>er </w:t>
      </w:r>
      <w:r>
        <w:rPr>
          <w:color w:val="231F20"/>
        </w:rPr>
        <w:t>n’est pas applicable lorsqu’un apport en nature est constitué:</w:t>
      </w:r>
    </w:p>
    <w:p>
      <w:pPr>
        <w:pStyle w:val="BodyText"/>
        <w:spacing w:line="218" w:lineRule="auto" w:before="149"/>
        <w:ind w:right="38"/>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spacing w:line="218" w:lineRule="auto" w:before="119"/>
      </w:pPr>
      <w:r>
        <w:rPr/>
        <w:br w:type="column"/>
      </w:r>
      <w:r>
        <w:rPr>
          <w:color w:val="231F20"/>
        </w:rPr>
        <w:t>6° een beschrijving van de aangenomen hypotheses bij de schatting van de verwachte omzet en de verwachte rentabiliteit;</w:t>
      </w:r>
    </w:p>
    <w:p>
      <w:pPr>
        <w:pStyle w:val="BodyText"/>
        <w:spacing w:line="218" w:lineRule="auto" w:before="139"/>
      </w:pPr>
      <w:r>
        <w:rPr>
          <w:color w:val="231F20"/>
        </w:rPr>
        <w:t>7° in voorkomend geval, de naam van de externe deskundige die bijstand heeft verleend bij de opmaak van het financieel plan.</w:t>
      </w:r>
    </w:p>
    <w:p>
      <w:pPr>
        <w:pStyle w:val="BodyText"/>
        <w:spacing w:line="218" w:lineRule="auto" w:before="150"/>
      </w:pPr>
      <w:r>
        <w:rPr>
          <w:color w:val="231F20"/>
        </w:rPr>
        <w:t>§ 3. Bij de opstelling van de geprojecteerde balansen en resultaten- rekeningen kan een andere periodiciteit dan deze bedoeld in para- graaf 2, 3° en 4°, worden gehanteerd op voorwaarde dat de projecties in totaal betrekking hebben op een periode van minstens 2 jaar na de oprichting.</w:t>
      </w:r>
    </w:p>
    <w:p>
      <w:pPr>
        <w:pStyle w:val="BodyText"/>
        <w:spacing w:line="403" w:lineRule="auto" w:before="135"/>
        <w:ind w:left="283" w:right="1535" w:firstLine="0"/>
        <w:jc w:val="left"/>
      </w:pPr>
      <w:r>
        <w:rPr>
          <w:color w:val="231F20"/>
        </w:rPr>
        <w:t>HOOFDSTUK 2. Plaatsing van het kapitaal. Afdeling 1. Volledige plaatsing.</w:t>
      </w:r>
    </w:p>
    <w:p>
      <w:pPr>
        <w:pStyle w:val="BodyText"/>
        <w:spacing w:line="218" w:lineRule="auto" w:before="15"/>
      </w:pPr>
      <w:r>
        <w:rPr>
          <w:color w:val="231F20"/>
        </w:rPr>
        <w:t>Art. 7:4. Het kapitaal van de vennootschap moet volledig en, niettegenstaande andersluidende bepaling, onvoorwaardelijk zijn geplaatst.</w:t>
      </w:r>
    </w:p>
    <w:p>
      <w:pPr>
        <w:pStyle w:val="BodyText"/>
        <w:spacing w:line="218" w:lineRule="auto" w:before="150"/>
      </w:pPr>
      <w:r>
        <w:rPr>
          <w:color w:val="231F20"/>
        </w:rPr>
        <w:t>Art. 7:5. § 1. De vennootschap mag niet inschrijven op haar eigen aandelen of op certificaten die betrekking hebben op die aandelen en worden uitgegeven op het tijdstip van uitgifte van die aandelen, noch rechtstreeks, noch door een dochtervennootschap, noch door een persoon die handelt in eigen naam maar voor rekening van de vennootschap of de dochtervennootschap.</w:t>
      </w:r>
    </w:p>
    <w:p>
      <w:pPr>
        <w:pStyle w:val="BodyText"/>
        <w:spacing w:line="218" w:lineRule="auto" w:before="150"/>
      </w:pPr>
      <w:r>
        <w:rPr>
          <w:color w:val="231F20"/>
        </w:rPr>
        <w:t>De persoon die in eigen naam maar voor rekening van de vennoot- schap of van de dochtervennootschap op aandelen of op certificaten bedoeld in het eerste lid heeft ingeschreven, wordt geacht voor eigen rekening te hebben gehandeld.</w:t>
      </w:r>
    </w:p>
    <w:p>
      <w:pPr>
        <w:pStyle w:val="BodyText"/>
        <w:spacing w:line="218" w:lineRule="auto" w:before="149"/>
      </w:pPr>
      <w:r>
        <w:rPr>
          <w:color w:val="231F20"/>
        </w:rPr>
        <w:t>Alle rechten verbonden aan aandelen of aan certificaten bedoeld in het eerste lid waarop de vennootschap of haar dochtervennootschap heeft ingeschreven, blijven geschorst zolang die aandelen of die certificaten niet zijn vervreemd.</w:t>
      </w:r>
    </w:p>
    <w:p>
      <w:pPr>
        <w:pStyle w:val="BodyText"/>
        <w:spacing w:line="218" w:lineRule="auto" w:before="150"/>
      </w:pPr>
      <w:r>
        <w:rPr>
          <w:color w:val="231F20"/>
        </w:rPr>
        <w:t>§ 2. Paragraaf 1 is niet van toepassing op de inschrijving op aandelen van een vennootschap of op certificaten bedoeld in paragraaf 1 door  een dochtervennootschap die in haar hoedanigheid van professionele effectenhandelaar,</w:t>
      </w:r>
      <w:r>
        <w:rPr>
          <w:color w:val="231F20"/>
          <w:spacing w:val="12"/>
        </w:rPr>
        <w:t> </w:t>
      </w:r>
      <w:r>
        <w:rPr>
          <w:color w:val="231F20"/>
        </w:rPr>
        <w:t>een</w:t>
      </w:r>
      <w:r>
        <w:rPr>
          <w:color w:val="231F20"/>
          <w:spacing w:val="12"/>
        </w:rPr>
        <w:t> </w:t>
      </w:r>
      <w:r>
        <w:rPr>
          <w:color w:val="231F20"/>
        </w:rPr>
        <w:t>beursvennootschap</w:t>
      </w:r>
      <w:r>
        <w:rPr>
          <w:color w:val="231F20"/>
          <w:spacing w:val="13"/>
        </w:rPr>
        <w:t> </w:t>
      </w:r>
      <w:r>
        <w:rPr>
          <w:color w:val="231F20"/>
        </w:rPr>
        <w:t>of</w:t>
      </w:r>
      <w:r>
        <w:rPr>
          <w:color w:val="231F20"/>
          <w:spacing w:val="12"/>
        </w:rPr>
        <w:t> </w:t>
      </w:r>
      <w:r>
        <w:rPr>
          <w:color w:val="231F20"/>
        </w:rPr>
        <w:t>een</w:t>
      </w:r>
      <w:r>
        <w:rPr>
          <w:color w:val="231F20"/>
          <w:spacing w:val="13"/>
        </w:rPr>
        <w:t> </w:t>
      </w:r>
      <w:r>
        <w:rPr>
          <w:color w:val="231F20"/>
        </w:rPr>
        <w:t>kredietinstelling</w:t>
      </w:r>
      <w:r>
        <w:rPr>
          <w:color w:val="231F20"/>
          <w:spacing w:val="12"/>
        </w:rPr>
        <w:t> </w:t>
      </w:r>
      <w:r>
        <w:rPr>
          <w:color w:val="231F20"/>
        </w:rPr>
        <w:t>is.</w:t>
      </w:r>
    </w:p>
    <w:p>
      <w:pPr>
        <w:pStyle w:val="BodyText"/>
        <w:spacing w:before="135"/>
        <w:ind w:left="283" w:right="0" w:firstLine="0"/>
        <w:jc w:val="left"/>
      </w:pPr>
      <w:r>
        <w:rPr>
          <w:color w:val="231F20"/>
        </w:rPr>
        <w:t>Afdeling 2. Inbreng in natura.</w:t>
      </w:r>
    </w:p>
    <w:p>
      <w:pPr>
        <w:pStyle w:val="BodyText"/>
        <w:spacing w:line="218" w:lineRule="auto" w:before="146"/>
      </w:pPr>
      <w:r>
        <w:rPr>
          <w:color w:val="231F20"/>
        </w:rPr>
        <w:t>Art. 7:6. Inbreng in natura komt slechts in aanmerking</w:t>
      </w:r>
      <w:r>
        <w:rPr>
          <w:color w:val="231F20"/>
          <w:spacing w:val="17"/>
        </w:rPr>
        <w:t> </w:t>
      </w:r>
      <w:r>
        <w:rPr>
          <w:color w:val="231F20"/>
        </w:rPr>
        <w:t>voor vergoeding met aandelen die het kapitaal vertegenwoordigen, wanneer hij bestaat uit vermogensbestanddelen die naar economische maatsta- ven kunnen worden gewaardeerd, met uitsluiting van verplichtingen  tot</w:t>
      </w:r>
      <w:r>
        <w:rPr>
          <w:color w:val="231F20"/>
          <w:spacing w:val="16"/>
        </w:rPr>
        <w:t> </w:t>
      </w:r>
      <w:r>
        <w:rPr>
          <w:color w:val="231F20"/>
        </w:rPr>
        <w:t>de</w:t>
      </w:r>
      <w:r>
        <w:rPr>
          <w:color w:val="231F20"/>
          <w:spacing w:val="17"/>
        </w:rPr>
        <w:t> </w:t>
      </w:r>
      <w:r>
        <w:rPr>
          <w:color w:val="231F20"/>
        </w:rPr>
        <w:t>uitvoering</w:t>
      </w:r>
      <w:r>
        <w:rPr>
          <w:color w:val="231F20"/>
          <w:spacing w:val="17"/>
        </w:rPr>
        <w:t> </w:t>
      </w:r>
      <w:r>
        <w:rPr>
          <w:color w:val="231F20"/>
        </w:rPr>
        <w:t>van</w:t>
      </w:r>
      <w:r>
        <w:rPr>
          <w:color w:val="231F20"/>
          <w:spacing w:val="17"/>
        </w:rPr>
        <w:t> </w:t>
      </w:r>
      <w:r>
        <w:rPr>
          <w:color w:val="231F20"/>
        </w:rPr>
        <w:t>werk</w:t>
      </w:r>
      <w:r>
        <w:rPr>
          <w:color w:val="231F20"/>
          <w:spacing w:val="16"/>
        </w:rPr>
        <w:t> </w:t>
      </w:r>
      <w:r>
        <w:rPr>
          <w:color w:val="231F20"/>
        </w:rPr>
        <w:t>of</w:t>
      </w:r>
      <w:r>
        <w:rPr>
          <w:color w:val="231F20"/>
          <w:spacing w:val="17"/>
        </w:rPr>
        <w:t> </w:t>
      </w:r>
      <w:r>
        <w:rPr>
          <w:color w:val="231F20"/>
        </w:rPr>
        <w:t>dienstverleningen.</w:t>
      </w:r>
    </w:p>
    <w:p>
      <w:pPr>
        <w:pStyle w:val="BodyText"/>
        <w:spacing w:line="218" w:lineRule="auto" w:before="150"/>
        <w:ind w:right="123"/>
      </w:pPr>
      <w:r>
        <w:rPr>
          <w:color w:val="231F20"/>
        </w:rPr>
        <w:t>Art. 7:7. § 1. In geval van een inbreng in natura zetten de oprichters in een bijzonder verslag uiteen waarom de inbreng van belang is voor de vennootschap. Het verslag bevat een beschrijving van elke inbreng in natura en geeft daarvan een gemotiveerde waardering. Het geeft aan welke vergoeding als tegenprestatie voor de inbreng wordt verstrekt.  De oprichters delen dit verslag in ontwerp mee aan een bedrijfsrevisor die zij</w:t>
      </w:r>
      <w:r>
        <w:rPr>
          <w:color w:val="231F20"/>
          <w:spacing w:val="-11"/>
        </w:rPr>
        <w:t> </w:t>
      </w:r>
      <w:r>
        <w:rPr>
          <w:color w:val="231F20"/>
        </w:rPr>
        <w:t>aanwijzen.</w:t>
      </w:r>
    </w:p>
    <w:p>
      <w:pPr>
        <w:pStyle w:val="BodyText"/>
        <w:spacing w:line="218" w:lineRule="auto" w:before="150"/>
      </w:pPr>
      <w:r>
        <w:rPr>
          <w:color w:val="231F20"/>
        </w:rPr>
        <w:t>De bedrijfsrevisor maakt een verslag op waarin hij de door de oprichters gegeven beschrijving van elke inbreng in natura, de toegepaste waardering en de daartoe aangewende waarderingsmetho- des onderzoekt. Het verslag moet aangeven of de waarden  waartoe deze methodes leiden, ten minste overeenkomen met het aantal en de nominale waarde of, bij gebrek aan een nominale waarde, de fractie- waarde van de tegen de inbreng uit te geven aandelen. Het</w:t>
      </w:r>
      <w:r>
        <w:rPr>
          <w:color w:val="231F20"/>
          <w:spacing w:val="13"/>
        </w:rPr>
        <w:t> </w:t>
      </w:r>
      <w:r>
        <w:rPr>
          <w:color w:val="231F20"/>
        </w:rPr>
        <w:t>verslag vermeldt welke werkelijke vergoeding als tegenprestatie voor de inbreng wordt</w:t>
      </w:r>
      <w:r>
        <w:rPr>
          <w:color w:val="231F20"/>
          <w:spacing w:val="-11"/>
        </w:rPr>
        <w:t> </w:t>
      </w:r>
      <w:r>
        <w:rPr>
          <w:color w:val="231F20"/>
        </w:rPr>
        <w:t>verstrekt.</w:t>
      </w:r>
    </w:p>
    <w:p>
      <w:pPr>
        <w:pStyle w:val="BodyText"/>
        <w:spacing w:line="218" w:lineRule="auto" w:before="150"/>
      </w:pPr>
      <w:r>
        <w:rPr>
          <w:color w:val="231F20"/>
        </w:rPr>
        <w:t>In hun verslag zetten de oprichters in voorkomend geval uiteen waarom zij afwijken van de conclusie van het verslag van de revisor.</w:t>
      </w:r>
    </w:p>
    <w:p>
      <w:pPr>
        <w:pStyle w:val="BodyText"/>
        <w:spacing w:before="7"/>
        <w:ind w:left="0" w:right="0" w:firstLine="0"/>
        <w:jc w:val="left"/>
        <w:rPr>
          <w:sz w:val="28"/>
        </w:rPr>
      </w:pPr>
    </w:p>
    <w:p>
      <w:pPr>
        <w:pStyle w:val="BodyText"/>
        <w:spacing w:line="218" w:lineRule="auto"/>
      </w:pPr>
      <w:r>
        <w:rPr>
          <w:color w:val="231F20"/>
        </w:rPr>
        <w:t>Dat verslag wordt, samen met het verslag van de revisor, neergelegd en bekendgemaakt overeenkomstig de artikelen 2:8 en 2:14, 4°.</w:t>
      </w:r>
    </w:p>
    <w:p>
      <w:pPr>
        <w:pStyle w:val="BodyText"/>
        <w:spacing w:line="218" w:lineRule="auto" w:before="149"/>
      </w:pPr>
      <w:r>
        <w:rPr>
          <w:color w:val="231F20"/>
        </w:rPr>
        <w:t>§ 2. Paragraaf 1 is niet van toepassing wanneer een inbreng in natura plaatsvindt:</w:t>
      </w:r>
    </w:p>
    <w:p>
      <w:pPr>
        <w:pStyle w:val="BodyText"/>
        <w:spacing w:line="218" w:lineRule="auto" w:before="150"/>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drie maanden voorafgaand aan de daadwerkelijke</w:t>
      </w:r>
      <w:r>
        <w:rPr>
          <w:color w:val="231F20"/>
          <w:spacing w:val="23"/>
        </w:rPr>
        <w:t> </w:t>
      </w:r>
      <w:r>
        <w:rPr>
          <w:color w:val="231F20"/>
        </w:rPr>
        <w:t>datum van de verwezenlijking van de inbreng in natura op een of meer gereglementeerde markten zoals bepaald in artikel 3, 7°, 8° en 9°, van de wet van 21 november 2017 over de infrastructuren voor de markten voor financiële instrumenten en houdende omzetting van richtlijn 2014/65/EU worden</w:t>
      </w:r>
      <w:r>
        <w:rPr>
          <w:color w:val="231F20"/>
          <w:spacing w:val="-11"/>
        </w:rPr>
        <w:t> </w:t>
      </w:r>
      <w:r>
        <w:rPr>
          <w:color w:val="231F20"/>
        </w:rPr>
        <w:t>verhandeld;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552" from="298.170502pt,64.473pt" to="298.170502pt,812.819pt" stroked="true" strokeweight=".533pt" strokecolor="#231f20">
            <v:stroke dashstyle="solid"/>
            <w10:wrap type="none"/>
          </v:line>
        </w:pict>
      </w:r>
      <w:bookmarkStart w:name="_bookmark147" w:id="152"/>
      <w:bookmarkEnd w:id="152"/>
      <w:r>
        <w:rPr/>
      </w: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0"/>
          <w:numId w:val="106"/>
        </w:numPr>
        <w:tabs>
          <w:tab w:pos="461" w:val="left" w:leader="none"/>
        </w:tabs>
        <w:spacing w:line="218" w:lineRule="auto" w:before="93" w:after="0"/>
        <w:ind w:left="113" w:right="38" w:firstLine="170"/>
        <w:jc w:val="both"/>
        <w:rPr>
          <w:sz w:val="17"/>
        </w:rPr>
      </w:pPr>
      <w:r>
        <w:rPr>
          <w:color w:val="231F20"/>
          <w:sz w:val="17"/>
        </w:rPr>
        <w:t>la juste valeur est déterminée à une date qui ne précède de plus de six</w:t>
      </w:r>
      <w:r>
        <w:rPr>
          <w:color w:val="231F20"/>
          <w:spacing w:val="15"/>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5"/>
          <w:sz w:val="17"/>
        </w:rPr>
        <w:t> </w:t>
      </w:r>
      <w:r>
        <w:rPr>
          <w:color w:val="231F20"/>
          <w:sz w:val="17"/>
        </w:rPr>
        <w:t>effective</w:t>
      </w:r>
      <w:r>
        <w:rPr>
          <w:color w:val="231F20"/>
          <w:spacing w:val="15"/>
          <w:sz w:val="17"/>
        </w:rPr>
        <w:t> </w:t>
      </w:r>
      <w:r>
        <w:rPr>
          <w:color w:val="231F20"/>
          <w:sz w:val="17"/>
        </w:rPr>
        <w:t>de</w:t>
      </w:r>
      <w:r>
        <w:rPr>
          <w:color w:val="231F20"/>
          <w:spacing w:val="15"/>
          <w:sz w:val="17"/>
        </w:rPr>
        <w:t> </w:t>
      </w:r>
      <w:r>
        <w:rPr>
          <w:color w:val="231F20"/>
          <w:sz w:val="17"/>
        </w:rPr>
        <w:t>l’apport;</w:t>
      </w:r>
    </w:p>
    <w:p>
      <w:pPr>
        <w:pStyle w:val="BodyText"/>
        <w:spacing w:before="8"/>
        <w:ind w:left="0" w:right="0" w:firstLine="0"/>
        <w:jc w:val="left"/>
        <w:rPr>
          <w:sz w:val="23"/>
        </w:rPr>
      </w:pPr>
    </w:p>
    <w:p>
      <w:pPr>
        <w:pStyle w:val="ListParagraph"/>
        <w:numPr>
          <w:ilvl w:val="0"/>
          <w:numId w:val="106"/>
        </w:numPr>
        <w:tabs>
          <w:tab w:pos="509" w:val="left" w:leader="none"/>
        </w:tabs>
        <w:spacing w:line="218" w:lineRule="auto" w:before="0"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line="218" w:lineRule="auto" w:before="96"/>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82"/>
        <w:ind w:right="38"/>
      </w:pPr>
      <w:r>
        <w:rPr>
          <w:color w:val="231F20"/>
        </w:rPr>
        <w:t>Le paragraphe 1</w:t>
      </w:r>
      <w:r>
        <w:rPr>
          <w:color w:val="231F20"/>
          <w:position w:val="7"/>
          <w:sz w:val="11"/>
        </w:rPr>
        <w:t>er </w:t>
      </w:r>
      <w:r>
        <w:rPr>
          <w:color w:val="231F20"/>
        </w:rPr>
        <w:t>s’applique toutefois à la réévaluation effectuée à l’initiative et sous la responsabilité des fondateurs:</w:t>
      </w:r>
    </w:p>
    <w:p>
      <w:pPr>
        <w:pStyle w:val="BodyText"/>
        <w:spacing w:before="7"/>
        <w:ind w:left="0" w:right="0" w:firstLine="0"/>
        <w:jc w:val="left"/>
        <w:rPr>
          <w:sz w:val="22"/>
        </w:rPr>
      </w:pPr>
    </w:p>
    <w:p>
      <w:pPr>
        <w:pStyle w:val="BodyText"/>
        <w:spacing w:line="218" w:lineRule="auto"/>
        <w:ind w:right="38"/>
      </w:pPr>
      <w:r>
        <w:rPr>
          <w:color w:val="231F20"/>
        </w:rPr>
        <w:t>1° dans le cas prévu au paragraphe 2, alinéa 1</w:t>
      </w:r>
      <w:r>
        <w:rPr>
          <w:color w:val="231F20"/>
          <w:position w:val="7"/>
          <w:sz w:val="11"/>
        </w:rPr>
        <w:t>er</w:t>
      </w:r>
      <w:r>
        <w:rPr>
          <w:color w:val="231F20"/>
        </w:rPr>
        <w:t>, 1°, si le cours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before="7"/>
        <w:ind w:left="0" w:right="0" w:firstLine="0"/>
        <w:jc w:val="left"/>
        <w:rPr>
          <w:sz w:val="22"/>
        </w:rPr>
      </w:pPr>
    </w:p>
    <w:p>
      <w:pPr>
        <w:pStyle w:val="BodyText"/>
        <w:spacing w:line="218" w:lineRule="auto"/>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spacing w:before="2"/>
        <w:ind w:left="0" w:right="0" w:firstLine="0"/>
        <w:jc w:val="left"/>
        <w:rPr>
          <w:sz w:val="24"/>
        </w:rPr>
      </w:pPr>
    </w:p>
    <w:p>
      <w:pPr>
        <w:pStyle w:val="BodyText"/>
        <w:spacing w:line="213" w:lineRule="auto" w:before="1"/>
        <w:ind w:right="38"/>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9"/>
        <w:ind w:left="0" w:right="0" w:firstLine="0"/>
        <w:jc w:val="left"/>
        <w:rPr>
          <w:sz w:val="22"/>
        </w:rPr>
      </w:pPr>
    </w:p>
    <w:p>
      <w:pPr>
        <w:pStyle w:val="BodyText"/>
        <w:spacing w:line="338" w:lineRule="auto"/>
        <w:ind w:left="283" w:right="1360" w:firstLine="0"/>
        <w:jc w:val="left"/>
      </w:pPr>
      <w:r>
        <w:rPr>
          <w:color w:val="231F20"/>
        </w:rPr>
        <w:t>1° une description de l’apport en nature concerné; 2° le nom de l’apporteur;</w:t>
      </w:r>
    </w:p>
    <w:p>
      <w:pPr>
        <w:pStyle w:val="BodyText"/>
        <w:spacing w:line="218" w:lineRule="auto" w:before="24"/>
        <w:ind w:right="38"/>
      </w:pPr>
      <w:r>
        <w:rPr>
          <w:color w:val="231F20"/>
        </w:rPr>
        <w:t>3° la valeur de cet apport, l’origine de cette évaluation et, le cas échéant, le mode d’évaluation;</w:t>
      </w:r>
    </w:p>
    <w:p>
      <w:pPr>
        <w:pStyle w:val="BodyText"/>
        <w:spacing w:line="218" w:lineRule="auto" w:before="106"/>
        <w:ind w:right="38"/>
      </w:pPr>
      <w:r>
        <w:rPr>
          <w:color w:val="231F20"/>
        </w:rPr>
        <w:t>4° la valeur nominale des actions ou, à défaut de valeur nominale, le nombre d’actions émises en contrepartie de chaque apport en nature;</w:t>
      </w:r>
    </w:p>
    <w:p>
      <w:pPr>
        <w:pStyle w:val="BodyText"/>
        <w:spacing w:before="10"/>
        <w:ind w:left="0" w:right="0" w:firstLine="0"/>
        <w:jc w:val="left"/>
        <w:rPr>
          <w:sz w:val="24"/>
        </w:rPr>
      </w:pPr>
    </w:p>
    <w:p>
      <w:pPr>
        <w:pStyle w:val="BodyText"/>
        <w:spacing w:line="218" w:lineRule="auto"/>
        <w:ind w:right="38"/>
      </w:pPr>
      <w:r>
        <w:rPr>
          <w:color w:val="231F20"/>
        </w:rPr>
        <w:t>5° une attestation précisant si les valeurs obtenues correspondent au moins au nombre et à la valeur nominale ou, à défaut de valeur nominale, au pair comptable des actions à émettre en contrepartie de cet apport;</w:t>
      </w:r>
    </w:p>
    <w:p>
      <w:pPr>
        <w:pStyle w:val="BodyText"/>
        <w:spacing w:line="218" w:lineRule="auto" w:before="107"/>
        <w:ind w:right="41"/>
      </w:pPr>
      <w:r>
        <w:rPr>
          <w:color w:val="231F20"/>
        </w:rPr>
        <w:t>6° une attestation selon laquelle aucune circonstance particulière nouvelle susceptible d’influencer l’évaluation initiale n’est survenue.</w:t>
      </w:r>
    </w:p>
    <w:p>
      <w:pPr>
        <w:pStyle w:val="BodyText"/>
        <w:spacing w:before="7"/>
        <w:ind w:left="0" w:right="0" w:firstLine="0"/>
        <w:jc w:val="left"/>
        <w:rPr>
          <w:sz w:val="23"/>
        </w:rPr>
      </w:pPr>
    </w:p>
    <w:p>
      <w:pPr>
        <w:pStyle w:val="BodyText"/>
        <w:ind w:left="283" w:right="0" w:firstLine="0"/>
        <w:jc w:val="left"/>
      </w:pPr>
      <w:r>
        <w:rPr>
          <w:color w:val="231F20"/>
        </w:rPr>
        <w:t>Section 3. Quasi-apport.</w:t>
      </w:r>
    </w:p>
    <w:p>
      <w:pPr>
        <w:pStyle w:val="BodyText"/>
        <w:spacing w:line="218" w:lineRule="auto" w:before="104"/>
        <w:ind w:right="38"/>
      </w:pPr>
      <w:r>
        <w:rPr>
          <w:color w:val="231F20"/>
        </w:rPr>
        <w:t>Art. 7:8. </w:t>
      </w:r>
      <w:r>
        <w:rPr>
          <w:color w:val="231F20"/>
          <w:spacing w:val="-4"/>
        </w:rPr>
        <w:t>Tout </w:t>
      </w:r>
      <w:r>
        <w:rPr>
          <w:color w:val="231F20"/>
        </w:rPr>
        <w:t>bien appartenant à une personne qui a signé ou au nom de qui a été signé l’acte constitutif, à un administrateur, un membre du conseil de direction ou du conseil de surveillance, ou à un actionnaire, que la société se propose d’acquérir dans un délai de deux ans à compter de l’acquisition de la personnalité juridique, le cas échéant en application</w:t>
      </w:r>
      <w:r>
        <w:rPr>
          <w:color w:val="231F20"/>
          <w:spacing w:val="32"/>
        </w:rPr>
        <w:t> </w:t>
      </w:r>
      <w:r>
        <w:rPr>
          <w:color w:val="231F20"/>
        </w:rPr>
        <w:t>de</w:t>
      </w:r>
      <w:r>
        <w:rPr>
          <w:color w:val="231F20"/>
          <w:spacing w:val="32"/>
        </w:rPr>
        <w:t> </w:t>
      </w:r>
      <w:r>
        <w:rPr>
          <w:color w:val="231F20"/>
        </w:rPr>
        <w:t>l’article</w:t>
      </w:r>
      <w:r>
        <w:rPr>
          <w:color w:val="231F20"/>
          <w:spacing w:val="32"/>
        </w:rPr>
        <w:t> </w:t>
      </w:r>
      <w:r>
        <w:rPr>
          <w:color w:val="231F20"/>
        </w:rPr>
        <w:t>2:2,</w:t>
      </w:r>
      <w:r>
        <w:rPr>
          <w:color w:val="231F20"/>
          <w:spacing w:val="33"/>
        </w:rPr>
        <w:t> </w:t>
      </w:r>
      <w:r>
        <w:rPr>
          <w:color w:val="231F20"/>
        </w:rPr>
        <w:t>pour</w:t>
      </w:r>
      <w:r>
        <w:rPr>
          <w:color w:val="231F20"/>
          <w:spacing w:val="32"/>
        </w:rPr>
        <w:t> </w:t>
      </w:r>
      <w:r>
        <w:rPr>
          <w:color w:val="231F20"/>
        </w:rPr>
        <w:t>une</w:t>
      </w:r>
      <w:r>
        <w:rPr>
          <w:color w:val="231F20"/>
          <w:spacing w:val="32"/>
        </w:rPr>
        <w:t> </w:t>
      </w:r>
      <w:r>
        <w:rPr>
          <w:color w:val="231F20"/>
        </w:rPr>
        <w:t>contre-valeur</w:t>
      </w:r>
      <w:r>
        <w:rPr>
          <w:color w:val="231F20"/>
          <w:spacing w:val="33"/>
        </w:rPr>
        <w:t> </w:t>
      </w:r>
      <w:r>
        <w:rPr>
          <w:color w:val="231F20"/>
        </w:rPr>
        <w:t>au</w:t>
      </w:r>
      <w:r>
        <w:rPr>
          <w:color w:val="231F20"/>
          <w:spacing w:val="32"/>
        </w:rPr>
        <w:t> </w:t>
      </w:r>
      <w:r>
        <w:rPr>
          <w:color w:val="231F20"/>
        </w:rPr>
        <w:t>moins</w:t>
      </w:r>
      <w:r>
        <w:rPr>
          <w:color w:val="231F20"/>
          <w:spacing w:val="32"/>
        </w:rPr>
        <w:t> </w:t>
      </w:r>
      <w:r>
        <w:rPr>
          <w:color w:val="231F20"/>
        </w:rPr>
        <w:t>égale</w:t>
      </w:r>
      <w:r>
        <w:rPr>
          <w:color w:val="231F20"/>
          <w:spacing w:val="33"/>
        </w:rPr>
        <w:t> </w:t>
      </w:r>
      <w:r>
        <w:rPr>
          <w:color w:val="231F20"/>
        </w:rPr>
        <w:t>à</w:t>
      </w:r>
    </w:p>
    <w:p>
      <w:pPr>
        <w:pStyle w:val="BodyText"/>
        <w:spacing w:line="218" w:lineRule="auto"/>
        <w:ind w:right="38" w:hanging="1"/>
      </w:pPr>
      <w:r>
        <w:rPr>
          <w:color w:val="231F20"/>
        </w:rPr>
        <w:t>10 % du capital souscrit, fait l’objet d’un rapport établi par le commissaire, ou, lorsqu’il n’y a pas de commissaire, par un réviseur d’entreprises désigné par l’organe d’administration.</w:t>
      </w:r>
    </w:p>
    <w:p>
      <w:pPr>
        <w:pStyle w:val="BodyText"/>
        <w:spacing w:line="211" w:lineRule="auto" w:before="97"/>
        <w:ind w:right="38"/>
      </w:pPr>
      <w:r>
        <w:rPr>
          <w:color w:val="231F20"/>
        </w:rPr>
        <w:t>L’alinéa 1</w:t>
      </w:r>
      <w:r>
        <w:rPr>
          <w:color w:val="231F20"/>
          <w:position w:val="7"/>
          <w:sz w:val="11"/>
        </w:rPr>
        <w:t>er </w:t>
      </w:r>
      <w:r>
        <w:rPr>
          <w:color w:val="231F20"/>
        </w:rPr>
        <w:t>est applicable à la cession faite par une personne agissant en son nom propre mais  pour  compte  d’une  personne  visée  à l’alinéa</w:t>
      </w:r>
      <w:r>
        <w:rPr>
          <w:color w:val="231F20"/>
          <w:spacing w:val="15"/>
        </w:rPr>
        <w:t> </w:t>
      </w:r>
      <w:r>
        <w:rPr>
          <w:color w:val="231F20"/>
        </w:rPr>
        <w:t>1</w:t>
      </w:r>
      <w:r>
        <w:rPr>
          <w:color w:val="231F20"/>
          <w:position w:val="7"/>
          <w:sz w:val="11"/>
        </w:rPr>
        <w:t>er</w:t>
      </w:r>
      <w:r>
        <w:rPr>
          <w:color w:val="231F20"/>
        </w:rPr>
        <w:t>.</w:t>
      </w:r>
    </w:p>
    <w:p>
      <w:pPr>
        <w:pStyle w:val="BodyText"/>
        <w:spacing w:line="218" w:lineRule="auto" w:before="104"/>
        <w:ind w:right="38"/>
      </w:pPr>
      <w:r>
        <w:rPr>
          <w:color w:val="231F20"/>
        </w:rPr>
        <w:t>Art. 7:9. L’article 7:8 n’est ni applicable aux acquisitions faites dans les limites des opérations courantes conclues aux conditions et sous les garanties normalement exigées par la société pour les opérations de la même espèce, ni aux acquisitions en bourse, ni aux acquisitions résultant d’une vente ordonnée par justice.</w:t>
      </w:r>
    </w:p>
    <w:p>
      <w:pPr>
        <w:pStyle w:val="BodyText"/>
        <w:spacing w:line="218" w:lineRule="auto" w:before="92"/>
        <w:ind w:right="38"/>
      </w:pPr>
      <w:r>
        <w:rPr>
          <w:color w:val="231F20"/>
        </w:rPr>
        <w:t>Art. 7:10. § 1</w:t>
      </w:r>
      <w:r>
        <w:rPr>
          <w:color w:val="231F20"/>
          <w:position w:val="7"/>
          <w:sz w:val="11"/>
        </w:rPr>
        <w:t>er</w:t>
      </w:r>
      <w:r>
        <w:rPr>
          <w:color w:val="231F20"/>
        </w:rPr>
        <w:t>. Le rapport visé à l’article 7:8 mentionne le nom du propriétaire du bien que la société se propose d’acquérir, la description de ce bien, la rémunération effectivement attribuée en contrepartie de l’acquisition et les modes d’évaluation adoptés. Il indique si les valeurs auxquelles conduisent ces modes d’évaluation correspondent au moins à la rémunération attribuée en contrepartie de l’acquisition.</w:t>
      </w:r>
    </w:p>
    <w:p>
      <w:pPr>
        <w:pStyle w:val="BodyText"/>
        <w:spacing w:line="218" w:lineRule="auto" w:before="119"/>
        <w:ind w:right="123"/>
      </w:pPr>
      <w:r>
        <w:rPr/>
        <w:br w:type="column"/>
      </w:r>
      <w:r>
        <w:rPr>
          <w:color w:val="231F20"/>
        </w:rPr>
        <w:t>2° in de vorm van andere vermogensbestanddelen dan de in het 1° bedoelde effecten en geldmarktinstrumenten, die een bedrijfsrevisor reeds heeft gewaardeerd en wanneer aan de volgende voorwaarden is voldaan:</w:t>
      </w:r>
    </w:p>
    <w:p>
      <w:pPr>
        <w:pStyle w:val="ListParagraph"/>
        <w:numPr>
          <w:ilvl w:val="0"/>
          <w:numId w:val="107"/>
        </w:numPr>
        <w:tabs>
          <w:tab w:pos="464" w:val="left" w:leader="none"/>
        </w:tabs>
        <w:spacing w:line="218" w:lineRule="auto" w:before="94"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ListParagraph"/>
        <w:numPr>
          <w:ilvl w:val="0"/>
          <w:numId w:val="107"/>
        </w:numPr>
        <w:tabs>
          <w:tab w:pos="480" w:val="left" w:leader="none"/>
        </w:tabs>
        <w:spacing w:line="218" w:lineRule="auto" w:before="94"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line="218" w:lineRule="auto" w:before="96"/>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96"/>
      </w:pPr>
      <w:r>
        <w:rPr>
          <w:color w:val="231F20"/>
        </w:rPr>
        <w:t>Paragraaf 1 is evenwel van toepassing op de herwaardering waartoe wordt overgegaan op initiatief en onder de verantwoordelijkheid van  de</w:t>
      </w:r>
      <w:r>
        <w:rPr>
          <w:color w:val="231F20"/>
          <w:spacing w:val="14"/>
        </w:rPr>
        <w:t> </w:t>
      </w:r>
      <w:r>
        <w:rPr>
          <w:color w:val="231F20"/>
        </w:rPr>
        <w:t>oprichters:</w:t>
      </w:r>
    </w:p>
    <w:p>
      <w:pPr>
        <w:pStyle w:val="BodyText"/>
        <w:spacing w:line="218" w:lineRule="auto" w:before="97"/>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 is;</w:t>
      </w:r>
    </w:p>
    <w:p>
      <w:pPr>
        <w:pStyle w:val="BodyText"/>
        <w:spacing w:line="218" w:lineRule="auto" w:before="96"/>
      </w:pPr>
      <w:r>
        <w:rPr>
          <w:color w:val="231F20"/>
        </w:rPr>
        <w:t>2° op de in paragraaf 2, eerste lid, 2° en 3°, bepaalde gevallen indien nieuwe bijzondere omstandigheden zouden leiden tot een aanzienlijke wijziging van de waarde in het economisch verkeer van het vermo- gensbestanddeel op de effectieve datum van de inbreng ervan.</w:t>
      </w:r>
    </w:p>
    <w:p>
      <w:pPr>
        <w:pStyle w:val="BodyText"/>
        <w:spacing w:line="218" w:lineRule="auto" w:before="96"/>
      </w:pPr>
      <w:r>
        <w:rPr>
          <w:color w:val="231F20"/>
        </w:rPr>
        <w:t>§ 3. In de gevallen van paragraaf 2 waarin de inbreng plaatsvindt zonder toepassing van paragraaf 1, legt het bestuursorgaan binnen één maand na de effectieve datum van de inbreng van het vermogensbe- standdeel een verklaring neer en maakt deze bekend overeenkomstig de artikelen 2:8 en 2:14, 4°, waarin de volgende inlichtingen worden vermeld:</w:t>
      </w:r>
    </w:p>
    <w:p>
      <w:pPr>
        <w:pStyle w:val="BodyText"/>
        <w:spacing w:line="338" w:lineRule="auto" w:before="83"/>
        <w:ind w:left="283" w:right="679" w:hanging="1"/>
        <w:jc w:val="left"/>
      </w:pPr>
      <w:r>
        <w:rPr>
          <w:color w:val="231F20"/>
        </w:rPr>
        <w:t>1° een beschrijving van de desbetreffende inbreng in natura; 2° de naam van de inbrenger;</w:t>
      </w:r>
    </w:p>
    <w:p>
      <w:pPr>
        <w:pStyle w:val="BodyText"/>
        <w:spacing w:line="218" w:lineRule="auto" w:before="23"/>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07"/>
      </w:pPr>
      <w:r>
        <w:rPr>
          <w:color w:val="231F20"/>
        </w:rPr>
        <w:t>4° de nominale waarde van de aandelen of, bij gebrek aan een nominale waarde, het aantal aandelen die tegen elke inbreng in natura zijn uitgegeven;</w:t>
      </w:r>
    </w:p>
    <w:p>
      <w:pPr>
        <w:pStyle w:val="BodyText"/>
        <w:spacing w:line="218" w:lineRule="auto" w:before="107"/>
      </w:pPr>
      <w:r>
        <w:rPr>
          <w:color w:val="231F20"/>
        </w:rPr>
        <w:t>5° een attest dat bepaalt of de verkregen waarde ten minste met het aantal en de nominale waarde of, bij gebrek aan een nominale waarde, de fractiewaarde van de tegen de inbreng uit te geven aandelen overeenkomt;</w:t>
      </w:r>
    </w:p>
    <w:p>
      <w:pPr>
        <w:pStyle w:val="BodyText"/>
        <w:spacing w:line="218" w:lineRule="auto" w:before="107"/>
      </w:pPr>
      <w:r>
        <w:rPr>
          <w:color w:val="231F20"/>
        </w:rPr>
        <w:t>6° een attest dat er zich geen nieuwe bijzondere</w:t>
      </w:r>
      <w:r>
        <w:rPr>
          <w:color w:val="231F20"/>
          <w:spacing w:val="17"/>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before="93"/>
        <w:ind w:left="283" w:right="0" w:firstLine="0"/>
        <w:jc w:val="left"/>
      </w:pPr>
      <w:r>
        <w:rPr>
          <w:color w:val="231F20"/>
        </w:rPr>
        <w:t>Afdeling 3. Quasi-inbreng.</w:t>
      </w:r>
    </w:p>
    <w:p>
      <w:pPr>
        <w:pStyle w:val="BodyText"/>
        <w:spacing w:line="218" w:lineRule="auto" w:before="103"/>
      </w:pPr>
      <w:r>
        <w:rPr>
          <w:color w:val="231F20"/>
        </w:rPr>
        <w:t>Art. 7:8. Over elk vermogensbestanddeel dat toebehoort aan een persoon door of namens wie de oprichtingsakte is ondertekend, aan  een bestuurder, een lid van een directieraad of een raad van toezicht, of aan een aandeelhouder dat de vennootschap overweegt te verkrijgen binnen twee jaar te rekenen van de verkrijging van de rechtspersoon- lijkheid, in voorkomend geval met toepassing van artikel 2:2, tegen een vergoeding van ten minste 10 % van het geplaatste kapitaal, maakt de commissaris of, als er geen commissaris is, een door het</w:t>
      </w:r>
      <w:r>
        <w:rPr>
          <w:color w:val="231F20"/>
          <w:spacing w:val="-28"/>
        </w:rPr>
        <w:t> </w:t>
      </w:r>
      <w:r>
        <w:rPr>
          <w:color w:val="231F20"/>
        </w:rPr>
        <w:t>bestuursorgaan aangewezen bedrijfsrevisor een verslag</w:t>
      </w:r>
      <w:r>
        <w:rPr>
          <w:color w:val="231F20"/>
          <w:spacing w:val="23"/>
        </w:rPr>
        <w:t> </w:t>
      </w:r>
      <w:r>
        <w:rPr>
          <w:color w:val="231F20"/>
        </w:rPr>
        <w:t>op.</w:t>
      </w:r>
    </w:p>
    <w:p>
      <w:pPr>
        <w:pStyle w:val="BodyText"/>
        <w:spacing w:line="218" w:lineRule="auto" w:before="107"/>
      </w:pPr>
      <w:r>
        <w:rPr>
          <w:color w:val="231F20"/>
        </w:rPr>
        <w:t>Het eerste lid is van toepassing op de overdracht gedaan door een persoon die handelt in eigen naam, maar voor rekening van een in het eerste lid bedoelde persoon.</w:t>
      </w:r>
    </w:p>
    <w:p>
      <w:pPr>
        <w:pStyle w:val="BodyText"/>
        <w:spacing w:line="218" w:lineRule="auto" w:before="107"/>
      </w:pPr>
      <w:r>
        <w:rPr>
          <w:color w:val="231F20"/>
        </w:rPr>
        <w:t>Art. 7:9. Artikel 7:8 is niet van toepassing op verkrijgingen in het gewone bedrijf van de vennootschap die plaatshebben op de voorwaar- den en tegen de zekerheden die zij normaal voor soortgelijke verrich- tingen eist, en evenmin op verkrijgingen ter beurze, noch op verkrij- gingen bij een gerechtelijke verkoop.</w:t>
      </w:r>
    </w:p>
    <w:p>
      <w:pPr>
        <w:pStyle w:val="BodyText"/>
        <w:spacing w:line="218" w:lineRule="auto" w:before="107"/>
      </w:pPr>
      <w:r>
        <w:rPr>
          <w:color w:val="231F20"/>
        </w:rPr>
        <w:t>Art. 7:10. § 1. Het verslag bedoeld in artikel 7:8, vermeldt de naam van de eigenaar van het goed dat de vennootschap voornemens is te verkrijgen, de beschrijving van dit goed, evenals de vergoeding die werkelijk als tegenprestatie voor de verkrijging wordt betaald en de toegepaste methodes van waardering. Het verslag moet aangeven of de waarden waartoe deze methodes leiden, ten minste gelijk zijn aan de  als tegenprestatie verstrekte</w:t>
      </w:r>
      <w:r>
        <w:rPr>
          <w:color w:val="231F20"/>
          <w:spacing w:val="5"/>
        </w:rPr>
        <w:t> </w:t>
      </w:r>
      <w:r>
        <w:rPr>
          <w:color w:val="231F20"/>
        </w:rPr>
        <w:t>vergoeding.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4"/>
        <w:ind w:right="38"/>
      </w:pPr>
      <w:r>
        <w:rPr/>
        <w:pict>
          <v:line style="position:absolute;mso-position-horizontal-relative:page;mso-position-vertical-relative:page;z-index:4576" from="298.170502pt,64.473pt" to="298.170502pt,812.819pt" stroked="true" strokeweight=".533pt" strokecolor="#231f20">
            <v:stroke dashstyle="solid"/>
            <w10:wrap type="none"/>
          </v:line>
        </w:pict>
      </w:r>
      <w:bookmarkStart w:name="_bookmark148" w:id="153"/>
      <w:bookmarkEnd w:id="153"/>
      <w:r>
        <w:rPr/>
      </w:r>
      <w:r>
        <w:rPr>
          <w:color w:val="231F20"/>
        </w:rPr>
        <w:t>Le rapport visé à l’alinéa 1</w:t>
      </w:r>
      <w:r>
        <w:rPr>
          <w:color w:val="231F20"/>
          <w:position w:val="7"/>
          <w:sz w:val="11"/>
        </w:rPr>
        <w:t>er </w:t>
      </w:r>
      <w:r>
        <w:rPr>
          <w:color w:val="231F20"/>
        </w:rPr>
        <w:t>est joint à un rapport spécial dans lequel l’organe d’administration expose, d’une part, l’intérêt que présente pour la société l’acquisition envisagée et, d’autre part, les raisons pour lesquelles, éventuellement, il s’écarte des conclusions du rapport annexé. Le rapport du réviseur et le rapport spécial de l’organe d’administration sont déposés et  publiés  conformément  aux  arti-  cles 2:8 et 2:14,</w:t>
      </w:r>
      <w:r>
        <w:rPr>
          <w:color w:val="231F20"/>
          <w:spacing w:val="14"/>
        </w:rPr>
        <w:t> </w:t>
      </w:r>
      <w:r>
        <w:rPr>
          <w:color w:val="231F20"/>
        </w:rPr>
        <w:t>4°.</w:t>
      </w:r>
    </w:p>
    <w:p>
      <w:pPr>
        <w:pStyle w:val="BodyText"/>
        <w:spacing w:line="218" w:lineRule="auto" w:before="97"/>
        <w:ind w:right="38"/>
      </w:pPr>
      <w:r>
        <w:rPr>
          <w:color w:val="231F20"/>
        </w:rPr>
        <w:t>Cette acquisition est soumise à l’autorisation préalable de l’assemblée générale. Les rapports prévus à l’alinéa 2 sont annoncés dans l’ordre du jour. Une copie peut en être obtenue conformément à l’article 7:132.</w:t>
      </w:r>
    </w:p>
    <w:p>
      <w:pPr>
        <w:pStyle w:val="BodyText"/>
        <w:spacing w:before="11"/>
        <w:ind w:left="0" w:right="0" w:firstLine="0"/>
        <w:jc w:val="left"/>
        <w:rPr>
          <w:sz w:val="23"/>
        </w:rPr>
      </w:pPr>
    </w:p>
    <w:p>
      <w:pPr>
        <w:pStyle w:val="BodyText"/>
        <w:spacing w:line="218" w:lineRule="auto"/>
        <w:ind w:right="38"/>
      </w:pPr>
      <w:r>
        <w:rPr>
          <w:color w:val="231F20"/>
        </w:rPr>
        <w:t>L’absence du rapport viséà l’alinéa 2 entraîne la nullité de la décision de l’assemblée générale.</w:t>
      </w:r>
    </w:p>
    <w:p>
      <w:pPr>
        <w:pStyle w:val="BodyText"/>
        <w:spacing w:line="218" w:lineRule="auto" w:before="96"/>
        <w:ind w:right="38"/>
      </w:pPr>
      <w:r>
        <w:rPr>
          <w:color w:val="231F20"/>
        </w:rPr>
        <w:t>§ 2. L’article 7:8 n’est pas applicable lorsqu’un quasi-apport est constitué:</w:t>
      </w:r>
    </w:p>
    <w:p>
      <w:pPr>
        <w:pStyle w:val="BodyText"/>
        <w:spacing w:line="218" w:lineRule="auto" w:before="96"/>
        <w:ind w:right="38"/>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w:t>
      </w:r>
      <w:r>
        <w:rPr>
          <w:color w:val="231F20"/>
          <w:spacing w:val="8"/>
        </w:rPr>
        <w:t> </w:t>
      </w:r>
      <w:r>
        <w:rPr>
          <w:color w:val="231F20"/>
        </w:rPr>
        <w:t>mois</w:t>
      </w:r>
      <w:r>
        <w:rPr>
          <w:color w:val="231F20"/>
          <w:spacing w:val="9"/>
        </w:rPr>
        <w:t> </w:t>
      </w:r>
      <w:r>
        <w:rPr>
          <w:color w:val="231F20"/>
        </w:rPr>
        <w:t>précédant</w:t>
      </w:r>
      <w:r>
        <w:rPr>
          <w:color w:val="231F20"/>
          <w:spacing w:val="8"/>
        </w:rPr>
        <w:t> </w:t>
      </w:r>
      <w:r>
        <w:rPr>
          <w:color w:val="231F20"/>
        </w:rPr>
        <w:t>la</w:t>
      </w:r>
      <w:r>
        <w:rPr>
          <w:color w:val="231F20"/>
          <w:spacing w:val="9"/>
        </w:rPr>
        <w:t> </w:t>
      </w:r>
      <w:r>
        <w:rPr>
          <w:color w:val="231F20"/>
        </w:rPr>
        <w:t>date</w:t>
      </w:r>
      <w:r>
        <w:rPr>
          <w:color w:val="231F20"/>
          <w:spacing w:val="9"/>
        </w:rPr>
        <w:t> </w:t>
      </w:r>
      <w:r>
        <w:rPr>
          <w:color w:val="231F20"/>
        </w:rPr>
        <w:t>effective</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réalisation</w:t>
      </w:r>
      <w:r>
        <w:rPr>
          <w:color w:val="231F20"/>
          <w:spacing w:val="8"/>
        </w:rPr>
        <w:t> </w:t>
      </w:r>
      <w:r>
        <w:rPr>
          <w:color w:val="231F20"/>
        </w:rPr>
        <w:t>du</w:t>
      </w:r>
      <w:r>
        <w:rPr>
          <w:color w:val="231F20"/>
          <w:spacing w:val="9"/>
        </w:rPr>
        <w:t> </w:t>
      </w:r>
      <w:r>
        <w:rPr>
          <w:color w:val="231F20"/>
        </w:rPr>
        <w:t>quasi-apport;</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0"/>
          <w:numId w:val="108"/>
        </w:numPr>
        <w:tabs>
          <w:tab w:pos="461" w:val="left" w:leader="none"/>
        </w:tabs>
        <w:spacing w:line="218" w:lineRule="auto" w:before="94" w:after="0"/>
        <w:ind w:left="113" w:right="38" w:firstLine="170"/>
        <w:jc w:val="both"/>
        <w:rPr>
          <w:sz w:val="17"/>
        </w:rPr>
      </w:pPr>
      <w:r>
        <w:rPr>
          <w:color w:val="231F20"/>
          <w:sz w:val="17"/>
        </w:rPr>
        <w:t>la juste valeur est déterminée à une date qui ne précède de plus de six</w:t>
      </w:r>
      <w:r>
        <w:rPr>
          <w:color w:val="231F20"/>
          <w:spacing w:val="14"/>
          <w:sz w:val="17"/>
        </w:rPr>
        <w:t> </w:t>
      </w:r>
      <w:r>
        <w:rPr>
          <w:color w:val="231F20"/>
          <w:sz w:val="17"/>
        </w:rPr>
        <w:t>mois</w:t>
      </w:r>
      <w:r>
        <w:rPr>
          <w:color w:val="231F20"/>
          <w:spacing w:val="15"/>
          <w:sz w:val="17"/>
        </w:rPr>
        <w:t> </w:t>
      </w:r>
      <w:r>
        <w:rPr>
          <w:color w:val="231F20"/>
          <w:sz w:val="17"/>
        </w:rPr>
        <w:t>la</w:t>
      </w:r>
      <w:r>
        <w:rPr>
          <w:color w:val="231F20"/>
          <w:spacing w:val="15"/>
          <w:sz w:val="17"/>
        </w:rPr>
        <w:t> </w:t>
      </w:r>
      <w:r>
        <w:rPr>
          <w:color w:val="231F20"/>
          <w:sz w:val="17"/>
        </w:rPr>
        <w:t>réalisation</w:t>
      </w:r>
      <w:r>
        <w:rPr>
          <w:color w:val="231F20"/>
          <w:spacing w:val="15"/>
          <w:sz w:val="17"/>
        </w:rPr>
        <w:t> </w:t>
      </w:r>
      <w:r>
        <w:rPr>
          <w:color w:val="231F20"/>
          <w:sz w:val="17"/>
        </w:rPr>
        <w:t>effective</w:t>
      </w:r>
      <w:r>
        <w:rPr>
          <w:color w:val="231F20"/>
          <w:spacing w:val="15"/>
          <w:sz w:val="17"/>
        </w:rPr>
        <w:t> </w:t>
      </w:r>
      <w:r>
        <w:rPr>
          <w:color w:val="231F20"/>
          <w:sz w:val="17"/>
        </w:rPr>
        <w:t>du</w:t>
      </w:r>
      <w:r>
        <w:rPr>
          <w:color w:val="231F20"/>
          <w:spacing w:val="15"/>
          <w:sz w:val="17"/>
        </w:rPr>
        <w:t> </w:t>
      </w:r>
      <w:r>
        <w:rPr>
          <w:color w:val="231F20"/>
          <w:sz w:val="17"/>
        </w:rPr>
        <w:t>quasi-apport;</w:t>
      </w:r>
    </w:p>
    <w:p>
      <w:pPr>
        <w:pStyle w:val="BodyText"/>
        <w:spacing w:before="8"/>
        <w:ind w:left="0" w:right="0" w:firstLine="0"/>
        <w:jc w:val="left"/>
        <w:rPr>
          <w:sz w:val="23"/>
        </w:rPr>
      </w:pPr>
    </w:p>
    <w:p>
      <w:pPr>
        <w:pStyle w:val="ListParagraph"/>
        <w:numPr>
          <w:ilvl w:val="0"/>
          <w:numId w:val="108"/>
        </w:numPr>
        <w:tabs>
          <w:tab w:pos="509" w:val="left" w:leader="none"/>
        </w:tabs>
        <w:spacing w:line="218" w:lineRule="auto" w:before="0"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 le</w:t>
      </w:r>
      <w:r>
        <w:rPr>
          <w:color w:val="231F20"/>
          <w:spacing w:val="3"/>
          <w:sz w:val="17"/>
        </w:rPr>
        <w:t> </w:t>
      </w:r>
      <w:r>
        <w:rPr>
          <w:color w:val="231F20"/>
          <w:sz w:val="17"/>
        </w:rPr>
        <w:t>quasi-apport;</w:t>
      </w:r>
    </w:p>
    <w:p>
      <w:pPr>
        <w:pStyle w:val="BodyText"/>
        <w:spacing w:line="218" w:lineRule="auto" w:before="96"/>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97"/>
        <w:ind w:right="38"/>
      </w:pPr>
      <w:r>
        <w:rPr>
          <w:color w:val="231F20"/>
        </w:rPr>
        <w:t>L’article 7:8 s’applique toutefois à la réévaluation effectuée à l’initiative et sous la responsabilité de l’organe d’administration:</w:t>
      </w:r>
    </w:p>
    <w:p>
      <w:pPr>
        <w:pStyle w:val="BodyText"/>
        <w:spacing w:before="6"/>
        <w:ind w:left="0" w:right="0" w:firstLine="0"/>
        <w:jc w:val="left"/>
        <w:rPr>
          <w:sz w:val="22"/>
        </w:rPr>
      </w:pPr>
    </w:p>
    <w:p>
      <w:pPr>
        <w:pStyle w:val="BodyText"/>
        <w:spacing w:line="218" w:lineRule="auto" w:before="1"/>
        <w:ind w:right="38"/>
      </w:pPr>
      <w:r>
        <w:rPr>
          <w:color w:val="231F20"/>
        </w:rPr>
        <w:t>1° dans le cas prévu au paragraphe 2, alinéa 1</w:t>
      </w:r>
      <w:r>
        <w:rPr>
          <w:color w:val="231F20"/>
          <w:position w:val="7"/>
          <w:sz w:val="11"/>
        </w:rPr>
        <w:t>er</w:t>
      </w:r>
      <w:r>
        <w:rPr>
          <w:color w:val="231F20"/>
        </w:rPr>
        <w:t>, 1°, si le cours a été affecté par des circonstances exceptionnelles pouvant modifier sensi- blement la valeur de l’élément d’actif à la date effective de son quasi-apport, notamment dans les cas où le marché de ces valeurs mobilières ou de ces instruments du marché monétaire n’est plus liquide;</w:t>
      </w:r>
    </w:p>
    <w:p>
      <w:pPr>
        <w:pStyle w:val="BodyText"/>
        <w:spacing w:line="218" w:lineRule="auto" w:before="81"/>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w:t>
      </w:r>
      <w:r>
        <w:rPr>
          <w:color w:val="231F20"/>
          <w:spacing w:val="10"/>
        </w:rPr>
        <w:t> </w:t>
      </w:r>
      <w:r>
        <w:rPr>
          <w:color w:val="231F20"/>
        </w:rPr>
        <w:t>valeur</w:t>
      </w:r>
      <w:r>
        <w:rPr>
          <w:color w:val="231F20"/>
          <w:spacing w:val="11"/>
        </w:rPr>
        <w:t> </w:t>
      </w:r>
      <w:r>
        <w:rPr>
          <w:color w:val="231F20"/>
        </w:rPr>
        <w:t>de</w:t>
      </w:r>
      <w:r>
        <w:rPr>
          <w:color w:val="231F20"/>
          <w:spacing w:val="11"/>
        </w:rPr>
        <w:t> </w:t>
      </w:r>
      <w:r>
        <w:rPr>
          <w:color w:val="231F20"/>
        </w:rPr>
        <w:t>l’élément</w:t>
      </w:r>
      <w:r>
        <w:rPr>
          <w:color w:val="231F20"/>
          <w:spacing w:val="11"/>
        </w:rPr>
        <w:t> </w:t>
      </w:r>
      <w:r>
        <w:rPr>
          <w:color w:val="231F20"/>
        </w:rPr>
        <w:t>d’actif</w:t>
      </w:r>
      <w:r>
        <w:rPr>
          <w:color w:val="231F20"/>
          <w:spacing w:val="11"/>
        </w:rPr>
        <w:t> </w:t>
      </w:r>
      <w:r>
        <w:rPr>
          <w:color w:val="231F20"/>
        </w:rPr>
        <w:t>à</w:t>
      </w:r>
      <w:r>
        <w:rPr>
          <w:color w:val="231F20"/>
          <w:spacing w:val="11"/>
        </w:rPr>
        <w:t> </w:t>
      </w:r>
      <w:r>
        <w:rPr>
          <w:color w:val="231F20"/>
        </w:rPr>
        <w:t>la</w:t>
      </w:r>
      <w:r>
        <w:rPr>
          <w:color w:val="231F20"/>
          <w:spacing w:val="11"/>
        </w:rPr>
        <w:t> </w:t>
      </w:r>
      <w:r>
        <w:rPr>
          <w:color w:val="231F20"/>
        </w:rPr>
        <w:t>date</w:t>
      </w:r>
      <w:r>
        <w:rPr>
          <w:color w:val="231F20"/>
          <w:spacing w:val="11"/>
        </w:rPr>
        <w:t> </w:t>
      </w:r>
      <w:r>
        <w:rPr>
          <w:color w:val="231F20"/>
        </w:rPr>
        <w:t>effective</w:t>
      </w:r>
      <w:r>
        <w:rPr>
          <w:color w:val="231F20"/>
          <w:spacing w:val="11"/>
        </w:rPr>
        <w:t> </w:t>
      </w:r>
      <w:r>
        <w:rPr>
          <w:color w:val="231F20"/>
        </w:rPr>
        <w:t>de</w:t>
      </w:r>
      <w:r>
        <w:rPr>
          <w:color w:val="231F20"/>
          <w:spacing w:val="11"/>
        </w:rPr>
        <w:t> </w:t>
      </w:r>
      <w:r>
        <w:rPr>
          <w:color w:val="231F20"/>
        </w:rPr>
        <w:t>son</w:t>
      </w:r>
      <w:r>
        <w:rPr>
          <w:color w:val="231F20"/>
          <w:spacing w:val="11"/>
        </w:rPr>
        <w:t> </w:t>
      </w:r>
      <w:r>
        <w:rPr>
          <w:color w:val="231F20"/>
        </w:rPr>
        <w:t>quasi-apport.</w:t>
      </w:r>
    </w:p>
    <w:p>
      <w:pPr>
        <w:pStyle w:val="BodyText"/>
        <w:spacing w:before="10"/>
        <w:ind w:left="0" w:right="0" w:firstLine="0"/>
        <w:jc w:val="left"/>
        <w:rPr>
          <w:sz w:val="23"/>
        </w:rPr>
      </w:pPr>
    </w:p>
    <w:p>
      <w:pPr>
        <w:pStyle w:val="BodyText"/>
        <w:spacing w:line="218" w:lineRule="auto" w:before="1"/>
        <w:ind w:right="38"/>
      </w:pPr>
      <w:r>
        <w:rPr>
          <w:color w:val="231F20"/>
        </w:rPr>
        <w:t>Faute d’une réévaluation telle que visée au paragraphe 2, alinéa 2, 2°, un</w:t>
      </w:r>
      <w:r>
        <w:rPr>
          <w:color w:val="231F20"/>
          <w:spacing w:val="8"/>
        </w:rPr>
        <w:t> </w:t>
      </w:r>
      <w:r>
        <w:rPr>
          <w:color w:val="231F20"/>
        </w:rPr>
        <w:t>ou</w:t>
      </w:r>
      <w:r>
        <w:rPr>
          <w:color w:val="231F20"/>
          <w:spacing w:val="8"/>
        </w:rPr>
        <w:t> </w:t>
      </w:r>
      <w:r>
        <w:rPr>
          <w:color w:val="231F20"/>
        </w:rPr>
        <w:t>plusieurs</w:t>
      </w:r>
      <w:r>
        <w:rPr>
          <w:color w:val="231F20"/>
          <w:spacing w:val="8"/>
        </w:rPr>
        <w:t> </w:t>
      </w:r>
      <w:r>
        <w:rPr>
          <w:color w:val="231F20"/>
        </w:rPr>
        <w:t>actionnaires</w:t>
      </w:r>
      <w:r>
        <w:rPr>
          <w:color w:val="231F20"/>
          <w:spacing w:val="8"/>
        </w:rPr>
        <w:t> </w:t>
      </w:r>
      <w:r>
        <w:rPr>
          <w:color w:val="231F20"/>
        </w:rPr>
        <w:t>détenant</w:t>
      </w:r>
      <w:r>
        <w:rPr>
          <w:color w:val="231F20"/>
          <w:spacing w:val="8"/>
        </w:rPr>
        <w:t> </w:t>
      </w:r>
      <w:r>
        <w:rPr>
          <w:color w:val="231F20"/>
        </w:rPr>
        <w:t>un</w:t>
      </w:r>
      <w:r>
        <w:rPr>
          <w:color w:val="231F20"/>
          <w:spacing w:val="8"/>
        </w:rPr>
        <w:t> </w:t>
      </w:r>
      <w:r>
        <w:rPr>
          <w:color w:val="231F20"/>
        </w:rPr>
        <w:t>pourcentage</w:t>
      </w:r>
      <w:r>
        <w:rPr>
          <w:color w:val="231F20"/>
          <w:spacing w:val="8"/>
        </w:rPr>
        <w:t> </w:t>
      </w:r>
      <w:r>
        <w:rPr>
          <w:color w:val="231F20"/>
        </w:rPr>
        <w:t>total</w:t>
      </w:r>
      <w:r>
        <w:rPr>
          <w:color w:val="231F20"/>
          <w:spacing w:val="8"/>
        </w:rPr>
        <w:t> </w:t>
      </w:r>
      <w:r>
        <w:rPr>
          <w:color w:val="231F20"/>
        </w:rPr>
        <w:t>d’au</w:t>
      </w:r>
      <w:r>
        <w:rPr>
          <w:color w:val="231F20"/>
          <w:spacing w:val="8"/>
        </w:rPr>
        <w:t> </w:t>
      </w:r>
      <w:r>
        <w:rPr>
          <w:color w:val="231F20"/>
        </w:rPr>
        <w:t>moins</w:t>
      </w:r>
    </w:p>
    <w:p>
      <w:pPr>
        <w:pStyle w:val="BodyText"/>
        <w:spacing w:line="211" w:lineRule="auto" w:before="5"/>
        <w:ind w:right="38" w:firstLine="0"/>
      </w:pPr>
      <w:r>
        <w:rPr>
          <w:color w:val="231F20"/>
        </w:rPr>
        <w:t>5 % du capital souscrit de la société au jour de la décision de quasi-apport peuvent demander une évaluation par un réviseur d’entreprises conformément au paragraphe 1</w:t>
      </w:r>
      <w:r>
        <w:rPr>
          <w:color w:val="231F20"/>
          <w:position w:val="7"/>
          <w:sz w:val="11"/>
        </w:rPr>
        <w:t>er</w:t>
      </w:r>
      <w:r>
        <w:rPr>
          <w:color w:val="231F20"/>
        </w:rPr>
        <w:t>.</w:t>
      </w:r>
    </w:p>
    <w:p>
      <w:pPr>
        <w:pStyle w:val="BodyText"/>
        <w:spacing w:line="218" w:lineRule="auto" w:before="93"/>
        <w:ind w:right="38"/>
      </w:pPr>
      <w:r>
        <w:rPr>
          <w:color w:val="231F20"/>
        </w:rPr>
        <w:t>Ils peuvent faire cette demande jusqu’a la date effective du quasi- apport, à condition que, à la date de la demande, ils détiennent toujours un pourcentage total d’au moins 5 % du capital souscrit au jour où la décision de quasi-apport a été prise.</w:t>
      </w:r>
    </w:p>
    <w:p>
      <w:pPr>
        <w:pStyle w:val="BodyText"/>
        <w:spacing w:before="8"/>
        <w:ind w:left="0" w:right="0" w:firstLine="0"/>
        <w:jc w:val="left"/>
        <w:rPr>
          <w:sz w:val="22"/>
        </w:rPr>
      </w:pPr>
    </w:p>
    <w:p>
      <w:pPr>
        <w:pStyle w:val="BodyText"/>
        <w:spacing w:before="1"/>
        <w:ind w:left="283" w:right="0" w:firstLine="0"/>
        <w:jc w:val="left"/>
      </w:pPr>
      <w:r>
        <w:rPr>
          <w:color w:val="231F20"/>
        </w:rPr>
        <w:t>Les frais de cette réévaluation sont à charge de la société.</w:t>
      </w:r>
    </w:p>
    <w:p>
      <w:pPr>
        <w:pStyle w:val="BodyText"/>
        <w:spacing w:before="10"/>
        <w:ind w:left="0" w:right="0" w:firstLine="0"/>
        <w:jc w:val="left"/>
        <w:rPr>
          <w:sz w:val="23"/>
        </w:rPr>
      </w:pPr>
    </w:p>
    <w:p>
      <w:pPr>
        <w:pStyle w:val="BodyText"/>
        <w:spacing w:line="213" w:lineRule="auto"/>
        <w:ind w:right="38"/>
      </w:pPr>
      <w:r>
        <w:rPr>
          <w:color w:val="231F20"/>
        </w:rPr>
        <w:t>§ 3. Dans les cas visés au paragraphe 2 où le quasi-apport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du quasi-apport de l’élément d’actif. Cette déclaration contient les éléments suivants:</w:t>
      </w:r>
    </w:p>
    <w:p>
      <w:pPr>
        <w:pStyle w:val="BodyText"/>
        <w:spacing w:before="9"/>
        <w:ind w:left="0" w:right="0" w:firstLine="0"/>
        <w:jc w:val="left"/>
        <w:rPr>
          <w:sz w:val="22"/>
        </w:rPr>
      </w:pPr>
    </w:p>
    <w:p>
      <w:pPr>
        <w:pStyle w:val="BodyText"/>
        <w:ind w:left="283" w:right="0" w:firstLine="0"/>
        <w:jc w:val="left"/>
      </w:pPr>
      <w:r>
        <w:rPr>
          <w:color w:val="231F20"/>
        </w:rPr>
        <w:t>1° une description du quasi-apport concerné;</w:t>
      </w:r>
    </w:p>
    <w:p>
      <w:pPr>
        <w:pStyle w:val="BodyText"/>
        <w:spacing w:line="218" w:lineRule="auto" w:before="104"/>
        <w:ind w:right="38"/>
      </w:pPr>
      <w:r>
        <w:rPr>
          <w:color w:val="231F20"/>
        </w:rPr>
        <w:t>2° le nom du propriétaire du bien que la société se propose d’acquérir;</w:t>
      </w:r>
    </w:p>
    <w:p>
      <w:pPr>
        <w:pStyle w:val="BodyText"/>
        <w:spacing w:line="218" w:lineRule="auto" w:before="119"/>
      </w:pPr>
      <w:r>
        <w:rPr/>
        <w:br w:type="column"/>
      </w:r>
      <w:r>
        <w:rPr>
          <w:color w:val="231F20"/>
        </w:rPr>
        <w:t>In een bijzonder verslag, waarbij het in het eerste lid bedoelde verslag wordt gevoegd, zet het bestuursorgaan uiteen waarom de overwogen verkrijging van belang is voor de vennootschap en  eventueel ook waarom het afwijkt van de conclusies van het bijge- voegde verslag. Het bijzonder verslag van het bestuursorgaan en het bijgevoegde verslag worden neergelegd en bekendgemaakt overeen- komstig</w:t>
      </w:r>
      <w:r>
        <w:rPr>
          <w:color w:val="231F20"/>
          <w:spacing w:val="13"/>
        </w:rPr>
        <w:t> </w:t>
      </w:r>
      <w:r>
        <w:rPr>
          <w:color w:val="231F20"/>
        </w:rPr>
        <w:t>de</w:t>
      </w:r>
      <w:r>
        <w:rPr>
          <w:color w:val="231F20"/>
          <w:spacing w:val="14"/>
        </w:rPr>
        <w:t> </w:t>
      </w:r>
      <w:r>
        <w:rPr>
          <w:color w:val="231F20"/>
        </w:rPr>
        <w:t>artikelen</w:t>
      </w:r>
      <w:r>
        <w:rPr>
          <w:color w:val="231F20"/>
          <w:spacing w:val="14"/>
        </w:rPr>
        <w:t> </w:t>
      </w:r>
      <w:r>
        <w:rPr>
          <w:color w:val="231F20"/>
        </w:rPr>
        <w:t>2:8</w:t>
      </w:r>
      <w:r>
        <w:rPr>
          <w:color w:val="231F20"/>
          <w:spacing w:val="14"/>
        </w:rPr>
        <w:t> </w:t>
      </w:r>
      <w:r>
        <w:rPr>
          <w:color w:val="231F20"/>
        </w:rPr>
        <w:t>en</w:t>
      </w:r>
      <w:r>
        <w:rPr>
          <w:color w:val="231F20"/>
          <w:spacing w:val="13"/>
        </w:rPr>
        <w:t> </w:t>
      </w:r>
      <w:r>
        <w:rPr>
          <w:color w:val="231F20"/>
        </w:rPr>
        <w:t>2:14,</w:t>
      </w:r>
      <w:r>
        <w:rPr>
          <w:color w:val="231F20"/>
          <w:spacing w:val="14"/>
        </w:rPr>
        <w:t> </w:t>
      </w:r>
      <w:r>
        <w:rPr>
          <w:color w:val="231F20"/>
        </w:rPr>
        <w:t>4°.</w:t>
      </w:r>
    </w:p>
    <w:p>
      <w:pPr>
        <w:pStyle w:val="BodyText"/>
        <w:spacing w:line="218" w:lineRule="auto" w:before="97"/>
      </w:pPr>
      <w:r>
        <w:rPr>
          <w:color w:val="231F20"/>
        </w:rPr>
        <w:t>Deze verkrijging wordt vooraf ter goedkeuring voorgelegd aan de algemene vergadering. De in het tweede lid genoemde verslagen worden in de agenda vermeld. Een kopie ervan kan worden verkregen overeenkomstig artikel</w:t>
      </w:r>
      <w:r>
        <w:rPr>
          <w:color w:val="231F20"/>
          <w:spacing w:val="-12"/>
        </w:rPr>
        <w:t> </w:t>
      </w:r>
      <w:r>
        <w:rPr>
          <w:color w:val="231F20"/>
        </w:rPr>
        <w:t>7:132.</w:t>
      </w:r>
    </w:p>
    <w:p>
      <w:pPr>
        <w:pStyle w:val="BodyText"/>
        <w:spacing w:line="218" w:lineRule="auto" w:before="96"/>
      </w:pPr>
      <w:r>
        <w:rPr>
          <w:color w:val="231F20"/>
        </w:rPr>
        <w:t>Het ontbreken van het verslag bedoeld in het tweede lid heeft de nietigheid van het besluit van de algemene vergadering tot gevolg.</w:t>
      </w:r>
    </w:p>
    <w:p>
      <w:pPr>
        <w:pStyle w:val="BodyText"/>
        <w:spacing w:line="218" w:lineRule="auto" w:before="96"/>
      </w:pPr>
      <w:r>
        <w:rPr>
          <w:color w:val="231F20"/>
        </w:rPr>
        <w:t>§ 2. Artikel 7:8 is niet van toepassing wanneer een quasi-inbreng plaatsvindt:</w:t>
      </w:r>
    </w:p>
    <w:p>
      <w:pPr>
        <w:pStyle w:val="BodyText"/>
        <w:spacing w:line="218" w:lineRule="auto" w:before="97"/>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drie maanden voorafgaand aan de daadwerkelijke</w:t>
      </w:r>
      <w:r>
        <w:rPr>
          <w:color w:val="231F20"/>
          <w:spacing w:val="23"/>
        </w:rPr>
        <w:t> </w:t>
      </w:r>
      <w:r>
        <w:rPr>
          <w:color w:val="231F20"/>
        </w:rPr>
        <w:t>datum van de verwezenlijking van de quasi-inbreng op een of meer geregle- menteerde markten zoals bepaald in artikel 3, 7°, 8° en 9°, van de wet van 21 november 2017 over de infrastructuren voor de markten voor </w:t>
      </w:r>
      <w:r>
        <w:rPr>
          <w:color w:val="231F20"/>
          <w:spacing w:val="-3"/>
        </w:rPr>
        <w:t>financiële instrumenten </w:t>
      </w:r>
      <w:r>
        <w:rPr>
          <w:color w:val="231F20"/>
        </w:rPr>
        <w:t>en </w:t>
      </w:r>
      <w:r>
        <w:rPr>
          <w:color w:val="231F20"/>
          <w:spacing w:val="-3"/>
        </w:rPr>
        <w:t>houdende omzetting </w:t>
      </w:r>
      <w:r>
        <w:rPr>
          <w:color w:val="231F20"/>
        </w:rPr>
        <w:t>van </w:t>
      </w:r>
      <w:r>
        <w:rPr>
          <w:color w:val="231F20"/>
          <w:spacing w:val="-3"/>
        </w:rPr>
        <w:t>richtlijn 2014/65/EU </w:t>
      </w:r>
      <w:r>
        <w:rPr>
          <w:color w:val="231F20"/>
        </w:rPr>
        <w:t>zijn</w:t>
      </w:r>
      <w:r>
        <w:rPr>
          <w:color w:val="231F20"/>
          <w:spacing w:val="14"/>
        </w:rPr>
        <w:t> </w:t>
      </w:r>
      <w:r>
        <w:rPr>
          <w:color w:val="231F20"/>
        </w:rPr>
        <w:t>toegelaten;</w:t>
      </w:r>
    </w:p>
    <w:p>
      <w:pPr>
        <w:pStyle w:val="BodyText"/>
        <w:spacing w:line="218" w:lineRule="auto" w:before="96"/>
        <w:ind w:right="123"/>
      </w:pPr>
      <w:r>
        <w:rPr>
          <w:color w:val="231F20"/>
        </w:rPr>
        <w:t>2° in de vorm van andere vermogensbestanddelen dan de in het 1°, bedoelde effecten en geldmarktinstrumenten, die een bedrijfsrevisor reeds heeft gewaardeerd en wanneer aan de volgende voorwaarden is voldaan:</w:t>
      </w:r>
    </w:p>
    <w:p>
      <w:pPr>
        <w:pStyle w:val="ListParagraph"/>
        <w:numPr>
          <w:ilvl w:val="0"/>
          <w:numId w:val="109"/>
        </w:numPr>
        <w:tabs>
          <w:tab w:pos="464" w:val="left" w:leader="none"/>
        </w:tabs>
        <w:spacing w:line="218" w:lineRule="auto" w:before="94" w:after="0"/>
        <w:ind w:left="113" w:right="124" w:firstLine="170"/>
        <w:jc w:val="both"/>
        <w:rPr>
          <w:sz w:val="17"/>
        </w:rPr>
      </w:pPr>
      <w:r>
        <w:rPr>
          <w:color w:val="231F20"/>
          <w:sz w:val="17"/>
        </w:rPr>
        <w:t>de waarde in het economisch verkeer werd bepaald op een datum die niet meer dan zes maanden aan de effectieve datum van de quasi-inbreng</w:t>
      </w:r>
      <w:r>
        <w:rPr>
          <w:color w:val="231F20"/>
          <w:spacing w:val="15"/>
          <w:sz w:val="17"/>
        </w:rPr>
        <w:t> </w:t>
      </w:r>
      <w:r>
        <w:rPr>
          <w:color w:val="231F20"/>
          <w:sz w:val="17"/>
        </w:rPr>
        <w:t>voorafgaat;</w:t>
      </w:r>
    </w:p>
    <w:p>
      <w:pPr>
        <w:pStyle w:val="ListParagraph"/>
        <w:numPr>
          <w:ilvl w:val="0"/>
          <w:numId w:val="109"/>
        </w:numPr>
        <w:tabs>
          <w:tab w:pos="480" w:val="left" w:leader="none"/>
        </w:tabs>
        <w:spacing w:line="218" w:lineRule="auto" w:before="94"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quasi-inbreng</w:t>
      </w:r>
      <w:r>
        <w:rPr>
          <w:color w:val="231F20"/>
          <w:spacing w:val="23"/>
          <w:sz w:val="17"/>
        </w:rPr>
        <w:t> </w:t>
      </w:r>
      <w:r>
        <w:rPr>
          <w:color w:val="231F20"/>
          <w:sz w:val="17"/>
        </w:rPr>
        <w:t>vormen;</w:t>
      </w:r>
    </w:p>
    <w:p>
      <w:pPr>
        <w:pStyle w:val="BodyText"/>
        <w:spacing w:line="218" w:lineRule="auto" w:before="96"/>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96"/>
      </w:pPr>
      <w:r>
        <w:rPr>
          <w:color w:val="231F20"/>
        </w:rPr>
        <w:t>Artikel 7:8 is evenwel van toepassing op de herwaardering waartoe wordt overgegaan op initiatief en onder de verantwoordelijkheid van het bestuursorgaan:</w:t>
      </w:r>
    </w:p>
    <w:p>
      <w:pPr>
        <w:pStyle w:val="BodyText"/>
        <w:spacing w:line="218" w:lineRule="auto" w:before="96"/>
      </w:pPr>
      <w:r>
        <w:rPr>
          <w:color w:val="231F20"/>
        </w:rPr>
        <w:t>1° op het in paragraaf 2, eerste lid, 1°, bepaalde geval indien de koers is beïnvloed door uitzonderlijke omstandigheden die zouden leiden tot een aanzienlijke wijziging van de waarde van het vermogensbestand- deel op de effectieve datum van de quasi-inbreng ervan, met inbegrip van situaties waarin de markt voor die effecten of geldmarktinstrumen- ten niet meer liquide is;</w:t>
      </w:r>
    </w:p>
    <w:p>
      <w:pPr>
        <w:pStyle w:val="BodyText"/>
        <w:spacing w:line="218" w:lineRule="auto" w:before="97"/>
      </w:pPr>
      <w:r>
        <w:rPr>
          <w:color w:val="231F20"/>
        </w:rPr>
        <w:t>2° op de in paragraaf 2, eerste lid, 2° en 3°, bepaalde gevallen indien nieuwe bijzondere omstandigheden zouden leiden tot een aanzienlijke wijziging van de waarde in het economisch verkeer van het vermo- gensbestanddeel op de effectieve datum van de quasi-inbreng ervan.</w:t>
      </w:r>
    </w:p>
    <w:p>
      <w:pPr>
        <w:pStyle w:val="BodyText"/>
        <w:spacing w:line="218" w:lineRule="auto" w:before="96"/>
      </w:pPr>
      <w:r>
        <w:rPr>
          <w:color w:val="231F20"/>
        </w:rPr>
        <w:t>Bij het ontbreken van een herwaardering zoals bedoeld in para-  graaf 2, tweede lid, 2°, kunnen één of meer aandeelhouders die op de dag dat het besluit tot quasi-inbreng wordt genomen gezamenlijk ten minste 5 % van het geplaatste kapitaal in hun bezit hebben, een waardering</w:t>
      </w:r>
      <w:r>
        <w:rPr>
          <w:color w:val="231F20"/>
          <w:spacing w:val="18"/>
        </w:rPr>
        <w:t> </w:t>
      </w:r>
      <w:r>
        <w:rPr>
          <w:color w:val="231F20"/>
        </w:rPr>
        <w:t>volgens</w:t>
      </w:r>
      <w:r>
        <w:rPr>
          <w:color w:val="231F20"/>
          <w:spacing w:val="18"/>
        </w:rPr>
        <w:t> </w:t>
      </w:r>
      <w:r>
        <w:rPr>
          <w:color w:val="231F20"/>
        </w:rPr>
        <w:t>paragraaf</w:t>
      </w:r>
      <w:r>
        <w:rPr>
          <w:color w:val="231F20"/>
          <w:spacing w:val="18"/>
        </w:rPr>
        <w:t> </w:t>
      </w:r>
      <w:r>
        <w:rPr>
          <w:color w:val="231F20"/>
        </w:rPr>
        <w:t>1</w:t>
      </w:r>
      <w:r>
        <w:rPr>
          <w:color w:val="231F20"/>
          <w:spacing w:val="19"/>
        </w:rPr>
        <w:t> </w:t>
      </w:r>
      <w:r>
        <w:rPr>
          <w:color w:val="231F20"/>
        </w:rPr>
        <w:t>door</w:t>
      </w:r>
      <w:r>
        <w:rPr>
          <w:color w:val="231F20"/>
          <w:spacing w:val="18"/>
        </w:rPr>
        <w:t> </w:t>
      </w:r>
      <w:r>
        <w:rPr>
          <w:color w:val="231F20"/>
        </w:rPr>
        <w:t>een</w:t>
      </w:r>
      <w:r>
        <w:rPr>
          <w:color w:val="231F20"/>
          <w:spacing w:val="18"/>
        </w:rPr>
        <w:t> </w:t>
      </w:r>
      <w:r>
        <w:rPr>
          <w:color w:val="231F20"/>
        </w:rPr>
        <w:t>bedrijfsrevisor</w:t>
      </w:r>
      <w:r>
        <w:rPr>
          <w:color w:val="231F20"/>
          <w:spacing w:val="18"/>
        </w:rPr>
        <w:t> </w:t>
      </w:r>
      <w:r>
        <w:rPr>
          <w:color w:val="231F20"/>
        </w:rPr>
        <w:t>eisen.</w:t>
      </w:r>
    </w:p>
    <w:p>
      <w:pPr>
        <w:pStyle w:val="BodyText"/>
        <w:spacing w:line="218" w:lineRule="auto" w:before="96"/>
      </w:pPr>
      <w:r>
        <w:rPr>
          <w:color w:val="231F20"/>
        </w:rPr>
        <w:t>Zij kunnen deze eis indienen tot de effectieve datum van de quasi-inbreng van het vermogensbestanddeel, op voorwaarde dat zij  op datum van de eis nog steeds ten minste 5 % van het geplaatst kapitaal op de dag dat het besluit tot quasi-inbreng werd genomen, gezamenlijk in hun bezit</w:t>
      </w:r>
      <w:r>
        <w:rPr>
          <w:color w:val="231F20"/>
          <w:spacing w:val="19"/>
        </w:rPr>
        <w:t> </w:t>
      </w:r>
      <w:r>
        <w:rPr>
          <w:color w:val="231F20"/>
        </w:rPr>
        <w:t>hebben.</w:t>
      </w:r>
    </w:p>
    <w:p>
      <w:pPr>
        <w:pStyle w:val="BodyText"/>
        <w:spacing w:line="218" w:lineRule="auto" w:before="97"/>
      </w:pPr>
      <w:r>
        <w:rPr>
          <w:color w:val="231F20"/>
        </w:rPr>
        <w:t>De kosten van deze herwaardering komen ten laste van de vennoot- schap.</w:t>
      </w:r>
    </w:p>
    <w:p>
      <w:pPr>
        <w:pStyle w:val="BodyText"/>
        <w:spacing w:line="218" w:lineRule="auto" w:before="96"/>
      </w:pPr>
      <w:r>
        <w:rPr>
          <w:color w:val="231F20"/>
        </w:rPr>
        <w:t>§ 3. In de gevallen van paragraaf 2 waarin de quasi-inbreng plaatsvindt zonder toepassing van paragraaf 1 legt het bestuursorgaan binnen één maand na de effectieve datum van de quasi-inbreng van het vermogensbestanddeel een verklaring neer en maakt deze bekend overeenkomstig de artikelen 2:8 en 2:14, 4°, waarin de volgende inlichtingen worden vermeld:</w:t>
      </w:r>
    </w:p>
    <w:p>
      <w:pPr>
        <w:pStyle w:val="BodyText"/>
        <w:spacing w:before="82"/>
        <w:ind w:left="283" w:right="0" w:firstLine="0"/>
        <w:jc w:val="left"/>
      </w:pPr>
      <w:r>
        <w:rPr>
          <w:color w:val="231F20"/>
        </w:rPr>
        <w:t>1° een beschrijving van de desbetreffende quasi-inbreng;</w:t>
      </w:r>
    </w:p>
    <w:p>
      <w:pPr>
        <w:pStyle w:val="BodyText"/>
        <w:spacing w:line="218" w:lineRule="auto" w:before="104"/>
      </w:pPr>
      <w:r>
        <w:rPr>
          <w:color w:val="231F20"/>
        </w:rPr>
        <w:t>2° de naam van de eigenaar van het goed dat de vennootschap voornemens is te verkrijgen;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93"/>
      </w:pPr>
      <w:r>
        <w:rPr/>
        <w:pict>
          <v:line style="position:absolute;mso-position-horizontal-relative:page;mso-position-vertical-relative:page;z-index:4600" from="298.170502pt,64.473pt" to="298.170502pt,812.819pt" stroked="true" strokeweight=".533pt" strokecolor="#231f20">
            <v:stroke dashstyle="solid"/>
            <w10:wrap type="none"/>
          </v:line>
        </w:pict>
      </w:r>
      <w:bookmarkStart w:name="_bookmark149" w:id="154"/>
      <w:bookmarkEnd w:id="154"/>
      <w:r>
        <w:rPr/>
      </w:r>
      <w:r>
        <w:rPr>
          <w:color w:val="231F20"/>
        </w:rPr>
        <w:t>3° la valeur de ce quasi-apport, l’origine de cette évaluation et, le cas échéant, le mode d’évaluation;</w:t>
      </w:r>
    </w:p>
    <w:p>
      <w:pPr>
        <w:pStyle w:val="BodyText"/>
        <w:spacing w:line="218" w:lineRule="auto" w:before="107"/>
        <w:ind w:right="93"/>
      </w:pPr>
      <w:r>
        <w:rPr>
          <w:color w:val="231F20"/>
        </w:rPr>
        <w:t>4°</w:t>
      </w:r>
      <w:r>
        <w:rPr>
          <w:color w:val="231F20"/>
          <w:spacing w:val="-6"/>
        </w:rPr>
        <w:t> </w:t>
      </w:r>
      <w:r>
        <w:rPr>
          <w:color w:val="231F20"/>
        </w:rPr>
        <w:t>une</w:t>
      </w:r>
      <w:r>
        <w:rPr>
          <w:color w:val="231F20"/>
          <w:spacing w:val="-5"/>
        </w:rPr>
        <w:t> </w:t>
      </w:r>
      <w:r>
        <w:rPr>
          <w:color w:val="231F20"/>
        </w:rPr>
        <w:t>attestation</w:t>
      </w:r>
      <w:r>
        <w:rPr>
          <w:color w:val="231F20"/>
          <w:spacing w:val="-5"/>
        </w:rPr>
        <w:t> </w:t>
      </w:r>
      <w:r>
        <w:rPr>
          <w:color w:val="231F20"/>
        </w:rPr>
        <w:t>précisant</w:t>
      </w:r>
      <w:r>
        <w:rPr>
          <w:color w:val="231F20"/>
          <w:spacing w:val="-5"/>
        </w:rPr>
        <w:t> </w:t>
      </w:r>
      <w:r>
        <w:rPr>
          <w:color w:val="231F20"/>
        </w:rPr>
        <w:t>la</w:t>
      </w:r>
      <w:r>
        <w:rPr>
          <w:color w:val="231F20"/>
          <w:spacing w:val="-5"/>
        </w:rPr>
        <w:t> </w:t>
      </w:r>
      <w:r>
        <w:rPr>
          <w:color w:val="231F20"/>
        </w:rPr>
        <w:t>contrevaleur</w:t>
      </w:r>
      <w:r>
        <w:rPr>
          <w:color w:val="231F20"/>
          <w:spacing w:val="-5"/>
        </w:rPr>
        <w:t> </w:t>
      </w:r>
      <w:r>
        <w:rPr>
          <w:color w:val="231F20"/>
        </w:rPr>
        <w:t>effectivement</w:t>
      </w:r>
      <w:r>
        <w:rPr>
          <w:color w:val="231F20"/>
          <w:spacing w:val="-5"/>
        </w:rPr>
        <w:t> </w:t>
      </w:r>
      <w:r>
        <w:rPr>
          <w:color w:val="231F20"/>
        </w:rPr>
        <w:t>attribuée</w:t>
      </w:r>
      <w:r>
        <w:rPr>
          <w:color w:val="231F20"/>
          <w:spacing w:val="-6"/>
        </w:rPr>
        <w:t> </w:t>
      </w:r>
      <w:r>
        <w:rPr>
          <w:color w:val="231F20"/>
        </w:rPr>
        <w:t>en contrepartie de</w:t>
      </w:r>
      <w:r>
        <w:rPr>
          <w:color w:val="231F20"/>
          <w:spacing w:val="-12"/>
        </w:rPr>
        <w:t> </w:t>
      </w:r>
      <w:r>
        <w:rPr>
          <w:color w:val="231F20"/>
        </w:rPr>
        <w:t>l’acquisition;</w:t>
      </w:r>
    </w:p>
    <w:p>
      <w:pPr>
        <w:pStyle w:val="BodyText"/>
        <w:spacing w:line="218" w:lineRule="auto" w:before="106"/>
        <w:ind w:right="96"/>
      </w:pPr>
      <w:r>
        <w:rPr>
          <w:color w:val="231F20"/>
        </w:rPr>
        <w:t>5° une attestation selon laquelle aucune circonstance particulière nouvelle susceptible d’influencer l’évaluation initiale n’est survenue.</w:t>
      </w:r>
    </w:p>
    <w:p>
      <w:pPr>
        <w:pStyle w:val="BodyText"/>
        <w:spacing w:before="7"/>
        <w:ind w:left="0" w:right="0" w:firstLine="0"/>
        <w:jc w:val="left"/>
        <w:rPr>
          <w:sz w:val="23"/>
        </w:rPr>
      </w:pPr>
    </w:p>
    <w:p>
      <w:pPr>
        <w:pStyle w:val="BodyText"/>
        <w:spacing w:before="1"/>
        <w:ind w:left="283" w:right="0" w:firstLine="0"/>
        <w:jc w:val="left"/>
      </w:pPr>
      <w:r>
        <w:rPr>
          <w:color w:val="231F20"/>
        </w:rPr>
        <w:t>CHAPITRE 3. Libération du capital.</w:t>
      </w:r>
    </w:p>
    <w:p>
      <w:pPr>
        <w:pStyle w:val="BodyText"/>
        <w:spacing w:line="218" w:lineRule="auto" w:before="103"/>
        <w:ind w:right="93"/>
      </w:pPr>
      <w:r>
        <w:rPr>
          <w:color w:val="231F20"/>
        </w:rPr>
        <w:t>Art. 7:11. Dès la constitution de la société, le capital doit être libéré intégralement à concurrence du minimum fixé à l’article 7:2.</w:t>
      </w:r>
    </w:p>
    <w:p>
      <w:pPr>
        <w:pStyle w:val="BodyText"/>
        <w:spacing w:before="93"/>
        <w:ind w:left="283" w:right="0" w:firstLine="0"/>
        <w:jc w:val="left"/>
      </w:pPr>
      <w:r>
        <w:rPr>
          <w:color w:val="231F20"/>
        </w:rPr>
        <w:t>En outre:</w:t>
      </w:r>
    </w:p>
    <w:p>
      <w:pPr>
        <w:pStyle w:val="BodyText"/>
        <w:spacing w:line="218" w:lineRule="auto" w:before="103"/>
        <w:ind w:right="93"/>
      </w:pPr>
      <w:r>
        <w:rPr>
          <w:color w:val="231F20"/>
        </w:rPr>
        <w:t>1° chaque action correspondant à un apport en numéraire et chaque action correspondant, en tout ou en partie, à un apport en nature doivent être libérées d’un quart;</w:t>
      </w:r>
    </w:p>
    <w:p>
      <w:pPr>
        <w:pStyle w:val="BodyText"/>
        <w:spacing w:line="218" w:lineRule="auto" w:before="107"/>
        <w:ind w:right="93"/>
      </w:pPr>
      <w:r>
        <w:rPr>
          <w:color w:val="231F20"/>
        </w:rPr>
        <w:t>2° les actions correspondant en tout ou en partie à des apports en nature doivent être entièrement libérées dans un délai de cinq ans à dater de la constitution de la société.</w:t>
      </w:r>
    </w:p>
    <w:p>
      <w:pPr>
        <w:pStyle w:val="BodyText"/>
        <w:spacing w:line="216" w:lineRule="auto" w:before="108"/>
        <w:ind w:right="93"/>
      </w:pPr>
      <w:r>
        <w:rPr>
          <w:color w:val="231F20"/>
        </w:rPr>
        <w:t>Art. 7:12. En cas d’apports en numéraire à libérer lors de la passation de l’acte, les fonds sont, préalablement à la constitution de la société, déposés par versement ou virement sur un compte spécial ouvert au nom de la société en formation auprès d’un établissement de crédit établi dans l’Espace économique européen au sens de l’article 4, paragraphe 1</w:t>
      </w:r>
      <w:r>
        <w:rPr>
          <w:color w:val="231F20"/>
          <w:position w:val="7"/>
          <w:sz w:val="11"/>
        </w:rPr>
        <w:t>er</w:t>
      </w:r>
      <w:r>
        <w:rPr>
          <w:color w:val="231F20"/>
        </w:rPr>
        <w:t>, point 1), du règlement (UE) </w:t>
      </w:r>
      <w:r>
        <w:rPr>
          <w:color w:val="231F20"/>
          <w:spacing w:val="-5"/>
        </w:rPr>
        <w:t>nr. </w:t>
      </w:r>
      <w:r>
        <w:rPr>
          <w:color w:val="231F20"/>
        </w:rPr>
        <w:t>575/2013. Une preuve de</w:t>
      </w:r>
      <w:r>
        <w:rPr>
          <w:color w:val="231F20"/>
          <w:spacing w:val="14"/>
        </w:rPr>
        <w:t> </w:t>
      </w:r>
      <w:r>
        <w:rPr>
          <w:color w:val="231F20"/>
        </w:rPr>
        <w:t>ce</w:t>
      </w:r>
      <w:r>
        <w:rPr>
          <w:color w:val="231F20"/>
          <w:spacing w:val="14"/>
        </w:rPr>
        <w:t> </w:t>
      </w:r>
      <w:r>
        <w:rPr>
          <w:color w:val="231F20"/>
        </w:rPr>
        <w:t>dépôt</w:t>
      </w:r>
      <w:r>
        <w:rPr>
          <w:color w:val="231F20"/>
          <w:spacing w:val="15"/>
        </w:rPr>
        <w:t> </w:t>
      </w:r>
      <w:r>
        <w:rPr>
          <w:color w:val="231F20"/>
        </w:rPr>
        <w:t>est</w:t>
      </w:r>
      <w:r>
        <w:rPr>
          <w:color w:val="231F20"/>
          <w:spacing w:val="14"/>
        </w:rPr>
        <w:t> </w:t>
      </w:r>
      <w:r>
        <w:rPr>
          <w:color w:val="231F20"/>
        </w:rPr>
        <w:t>remise</w:t>
      </w:r>
      <w:r>
        <w:rPr>
          <w:color w:val="231F20"/>
          <w:spacing w:val="15"/>
        </w:rPr>
        <w:t> </w:t>
      </w:r>
      <w:r>
        <w:rPr>
          <w:color w:val="231F20"/>
        </w:rPr>
        <w:t>au</w:t>
      </w:r>
      <w:r>
        <w:rPr>
          <w:color w:val="231F20"/>
          <w:spacing w:val="14"/>
        </w:rPr>
        <w:t> </w:t>
      </w:r>
      <w:r>
        <w:rPr>
          <w:color w:val="231F20"/>
        </w:rPr>
        <w:t>notaire</w:t>
      </w:r>
      <w:r>
        <w:rPr>
          <w:color w:val="231F20"/>
          <w:spacing w:val="14"/>
        </w:rPr>
        <w:t> </w:t>
      </w:r>
      <w:r>
        <w:rPr>
          <w:color w:val="231F20"/>
        </w:rPr>
        <w:t>instrumentant.</w:t>
      </w:r>
    </w:p>
    <w:p>
      <w:pPr>
        <w:pStyle w:val="BodyText"/>
        <w:spacing w:before="7"/>
        <w:ind w:left="0" w:right="0" w:firstLine="0"/>
        <w:jc w:val="left"/>
        <w:rPr>
          <w:sz w:val="24"/>
        </w:rPr>
      </w:pPr>
    </w:p>
    <w:p>
      <w:pPr>
        <w:pStyle w:val="BodyText"/>
        <w:spacing w:line="218" w:lineRule="auto"/>
        <w:ind w:right="0"/>
        <w:jc w:val="left"/>
      </w:pPr>
      <w:r>
        <w:rPr>
          <w:color w:val="231F20"/>
        </w:rPr>
        <w:t>Le compte spécial est à la disposition exclusive de la société à constituer. Il ne peut en être disposé que par les personnes habilitées à engager la société et après que le notaire instrumentant eût informé l’établissement de la passation de l’acte.</w:t>
      </w:r>
    </w:p>
    <w:p>
      <w:pPr>
        <w:pStyle w:val="BodyText"/>
        <w:spacing w:before="10"/>
        <w:ind w:left="0" w:right="0" w:firstLine="0"/>
        <w:jc w:val="left"/>
        <w:rPr>
          <w:sz w:val="24"/>
        </w:rPr>
      </w:pPr>
    </w:p>
    <w:p>
      <w:pPr>
        <w:pStyle w:val="BodyText"/>
        <w:spacing w:line="218" w:lineRule="auto"/>
        <w:ind w:right="93"/>
      </w:pPr>
      <w:r>
        <w:rPr>
          <w:color w:val="231F20"/>
        </w:rPr>
        <w:t>Si la société n’est pas constituée dans le mois de l’ouverture du compte spécial, les fonds sont restitués à leur demande à ceux qui les ont déposés.</w:t>
      </w:r>
    </w:p>
    <w:p>
      <w:pPr>
        <w:pStyle w:val="BodyText"/>
        <w:spacing w:line="331" w:lineRule="auto" w:before="93"/>
        <w:ind w:left="283" w:right="1645" w:firstLine="0"/>
        <w:jc w:val="left"/>
      </w:pPr>
      <w:r>
        <w:rPr>
          <w:color w:val="231F20"/>
        </w:rPr>
        <w:t>CHAPITRE 4. Formalités de constitution. Section 1</w:t>
      </w:r>
      <w:r>
        <w:rPr>
          <w:color w:val="231F20"/>
          <w:position w:val="7"/>
          <w:sz w:val="11"/>
        </w:rPr>
        <w:t>re</w:t>
      </w:r>
      <w:r>
        <w:rPr>
          <w:color w:val="231F20"/>
        </w:rPr>
        <w:t>. Procédé de constitution.</w:t>
      </w:r>
    </w:p>
    <w:p>
      <w:pPr>
        <w:pStyle w:val="BodyText"/>
        <w:spacing w:line="218" w:lineRule="auto" w:before="31"/>
        <w:ind w:right="93"/>
      </w:pPr>
      <w:r>
        <w:rPr>
          <w:color w:val="231F20"/>
        </w:rPr>
        <w:t>Art. 7:13. La société est constituée par acte authentique auquel comparaissent tous les actionnaires en personne, ou par porteurs de mandats authentiques ou privés.</w:t>
      </w:r>
    </w:p>
    <w:p>
      <w:pPr>
        <w:pStyle w:val="BodyText"/>
        <w:spacing w:before="10"/>
        <w:ind w:left="0" w:right="0" w:firstLine="0"/>
        <w:jc w:val="left"/>
        <w:rPr>
          <w:sz w:val="24"/>
        </w:rPr>
      </w:pPr>
    </w:p>
    <w:p>
      <w:pPr>
        <w:pStyle w:val="BodyText"/>
        <w:spacing w:line="218" w:lineRule="auto"/>
        <w:ind w:right="93"/>
      </w:pPr>
      <w:r>
        <w:rPr>
          <w:color w:val="231F20"/>
        </w:rPr>
        <w:t>Les comparants à l’acte constitutif seront considérés comme fonda- teurs de la société. Toutefois, si l’acte désigne comme fondateurs un ou plusieurs actionnaires possédant ensemble au moins un tiers du</w:t>
      </w:r>
      <w:r>
        <w:rPr>
          <w:color w:val="231F20"/>
          <w:spacing w:val="-19"/>
        </w:rPr>
        <w:t> </w:t>
      </w:r>
      <w:r>
        <w:rPr>
          <w:color w:val="231F20"/>
        </w:rPr>
        <w:t>capital, les autres comparants, qui se bornent à souscrire des actions en numéraire sans recevoir, directement ou indirectement, aucun</w:t>
      </w:r>
      <w:r>
        <w:rPr>
          <w:color w:val="231F20"/>
          <w:spacing w:val="-27"/>
        </w:rPr>
        <w:t> </w:t>
      </w:r>
      <w:r>
        <w:rPr>
          <w:color w:val="231F20"/>
        </w:rPr>
        <w:t>avantage particulier,</w:t>
      </w:r>
      <w:r>
        <w:rPr>
          <w:color w:val="231F20"/>
          <w:spacing w:val="14"/>
        </w:rPr>
        <w:t> </w:t>
      </w:r>
      <w:r>
        <w:rPr>
          <w:color w:val="231F20"/>
        </w:rPr>
        <w:t>seront</w:t>
      </w:r>
      <w:r>
        <w:rPr>
          <w:color w:val="231F20"/>
          <w:spacing w:val="15"/>
        </w:rPr>
        <w:t> </w:t>
      </w:r>
      <w:r>
        <w:rPr>
          <w:color w:val="231F20"/>
        </w:rPr>
        <w:t>tenus</w:t>
      </w:r>
      <w:r>
        <w:rPr>
          <w:color w:val="231F20"/>
          <w:spacing w:val="14"/>
        </w:rPr>
        <w:t> </w:t>
      </w:r>
      <w:r>
        <w:rPr>
          <w:color w:val="231F20"/>
        </w:rPr>
        <w:t>pour</w:t>
      </w:r>
      <w:r>
        <w:rPr>
          <w:color w:val="231F20"/>
          <w:spacing w:val="15"/>
        </w:rPr>
        <w:t> </w:t>
      </w:r>
      <w:r>
        <w:rPr>
          <w:color w:val="231F20"/>
        </w:rPr>
        <w:t>simples</w:t>
      </w:r>
      <w:r>
        <w:rPr>
          <w:color w:val="231F20"/>
          <w:spacing w:val="14"/>
        </w:rPr>
        <w:t> </w:t>
      </w:r>
      <w:r>
        <w:rPr>
          <w:color w:val="231F20"/>
        </w:rPr>
        <w:t>souscripteurs.</w:t>
      </w:r>
    </w:p>
    <w:p>
      <w:pPr>
        <w:pStyle w:val="BodyText"/>
        <w:spacing w:before="7"/>
        <w:ind w:left="0" w:right="0" w:firstLine="0"/>
        <w:jc w:val="left"/>
        <w:rPr>
          <w:sz w:val="23"/>
        </w:rPr>
      </w:pPr>
    </w:p>
    <w:p>
      <w:pPr>
        <w:pStyle w:val="BodyText"/>
        <w:ind w:left="283" w:right="0" w:firstLine="0"/>
        <w:jc w:val="left"/>
      </w:pPr>
      <w:r>
        <w:rPr>
          <w:color w:val="231F20"/>
        </w:rPr>
        <w:t>Section 2. Mentions de l’acte constitutif.</w:t>
      </w:r>
    </w:p>
    <w:p>
      <w:pPr>
        <w:pStyle w:val="BodyText"/>
        <w:spacing w:line="218" w:lineRule="auto" w:before="104"/>
        <w:ind w:right="93"/>
      </w:pPr>
      <w:r>
        <w:rPr>
          <w:color w:val="231F20"/>
        </w:rPr>
        <w:t>Art. 7:14. Outre les données contenues dans l’extrait destiné à publication en vertu de l’article 2:8, § 2, l’acte constitutif mentionne les données suivantes:</w:t>
      </w:r>
    </w:p>
    <w:p>
      <w:pPr>
        <w:pStyle w:val="BodyText"/>
        <w:spacing w:line="218" w:lineRule="auto" w:before="107"/>
        <w:ind w:right="93"/>
      </w:pPr>
      <w:r>
        <w:rPr>
          <w:color w:val="231F20"/>
        </w:rPr>
        <w:t>1° le respect des conditions légales relatives à la souscription et à la libération du capital;</w:t>
      </w:r>
    </w:p>
    <w:p>
      <w:pPr>
        <w:pStyle w:val="BodyText"/>
        <w:spacing w:line="218" w:lineRule="auto" w:before="106"/>
        <w:ind w:right="94"/>
      </w:pPr>
      <w:r>
        <w:rPr>
          <w:color w:val="231F20"/>
        </w:rPr>
        <w:t>2° l’organisme dépositaire des apports à libérer en numéraire conformément à l’article 7:12;</w:t>
      </w:r>
    </w:p>
    <w:p>
      <w:pPr>
        <w:pStyle w:val="BodyText"/>
        <w:spacing w:line="218" w:lineRule="auto" w:before="107"/>
        <w:ind w:right="93"/>
      </w:pPr>
      <w:r>
        <w:rPr>
          <w:color w:val="231F20"/>
        </w:rPr>
        <w:t>3° les règles, dans la mesure où elles ne résultent pas de la loi, qui déterminent le nombre et le mode de désignation des membres des organes chargés de l’administration ou, le cas échéant, de la gestion journalière, de la représentation à l’égard des tiers ainsi que la répartition des compétences entre ces organes;</w:t>
      </w:r>
    </w:p>
    <w:p>
      <w:pPr>
        <w:pStyle w:val="BodyText"/>
        <w:spacing w:line="218" w:lineRule="auto" w:before="107"/>
        <w:ind w:right="93"/>
      </w:pPr>
      <w:r>
        <w:rPr>
          <w:color w:val="231F20"/>
        </w:rPr>
        <w:t>4° le nombre et la valeur nominale ou le nombre si elles sont émises sans valeur nominale, des actions ainsi que, le cas échéant, les conditions particulières qui limitent leur cession, et, s’il existe plusieurs classes d’actions, les mêmes indications pour chaques classes ainsi que les</w:t>
      </w:r>
      <w:r>
        <w:rPr>
          <w:color w:val="231F20"/>
          <w:spacing w:val="14"/>
        </w:rPr>
        <w:t> </w:t>
      </w:r>
      <w:r>
        <w:rPr>
          <w:color w:val="231F20"/>
        </w:rPr>
        <w:t>droits</w:t>
      </w:r>
      <w:r>
        <w:rPr>
          <w:color w:val="231F20"/>
          <w:spacing w:val="14"/>
        </w:rPr>
        <w:t> </w:t>
      </w:r>
      <w:r>
        <w:rPr>
          <w:color w:val="231F20"/>
        </w:rPr>
        <w:t>attachés</w:t>
      </w:r>
      <w:r>
        <w:rPr>
          <w:color w:val="231F20"/>
          <w:spacing w:val="15"/>
        </w:rPr>
        <w:t> </w:t>
      </w:r>
      <w:r>
        <w:rPr>
          <w:color w:val="231F20"/>
        </w:rPr>
        <w:t>à</w:t>
      </w:r>
      <w:r>
        <w:rPr>
          <w:color w:val="231F20"/>
          <w:spacing w:val="14"/>
        </w:rPr>
        <w:t> </w:t>
      </w:r>
      <w:r>
        <w:rPr>
          <w:color w:val="231F20"/>
        </w:rPr>
        <w:t>ces</w:t>
      </w:r>
      <w:r>
        <w:rPr>
          <w:color w:val="231F20"/>
          <w:spacing w:val="15"/>
        </w:rPr>
        <w:t> </w:t>
      </w:r>
      <w:r>
        <w:rPr>
          <w:color w:val="231F20"/>
        </w:rPr>
        <w:t>actions;</w:t>
      </w:r>
    </w:p>
    <w:p>
      <w:pPr>
        <w:pStyle w:val="BodyText"/>
        <w:spacing w:before="10"/>
        <w:ind w:left="0" w:right="0" w:firstLine="0"/>
        <w:jc w:val="left"/>
        <w:rPr>
          <w:sz w:val="24"/>
        </w:rPr>
      </w:pPr>
    </w:p>
    <w:p>
      <w:pPr>
        <w:pStyle w:val="BodyText"/>
        <w:spacing w:line="218" w:lineRule="auto"/>
        <w:ind w:right="93"/>
      </w:pPr>
      <w:r>
        <w:rPr>
          <w:color w:val="231F20"/>
        </w:rPr>
        <w:t>5°</w:t>
      </w:r>
      <w:r>
        <w:rPr>
          <w:color w:val="231F20"/>
          <w:spacing w:val="-7"/>
        </w:rPr>
        <w:t> </w:t>
      </w:r>
      <w:r>
        <w:rPr>
          <w:color w:val="231F20"/>
        </w:rPr>
        <w:t>le</w:t>
      </w:r>
      <w:r>
        <w:rPr>
          <w:color w:val="231F20"/>
          <w:spacing w:val="-6"/>
        </w:rPr>
        <w:t> </w:t>
      </w:r>
      <w:r>
        <w:rPr>
          <w:color w:val="231F20"/>
        </w:rPr>
        <w:t>nombre</w:t>
      </w:r>
      <w:r>
        <w:rPr>
          <w:color w:val="231F20"/>
          <w:spacing w:val="-6"/>
        </w:rPr>
        <w:t> </w:t>
      </w:r>
      <w:r>
        <w:rPr>
          <w:color w:val="231F20"/>
        </w:rPr>
        <w:t>de</w:t>
      </w:r>
      <w:r>
        <w:rPr>
          <w:color w:val="231F20"/>
          <w:spacing w:val="-6"/>
        </w:rPr>
        <w:t> </w:t>
      </w:r>
      <w:r>
        <w:rPr>
          <w:color w:val="231F20"/>
        </w:rPr>
        <w:t>parts</w:t>
      </w:r>
      <w:r>
        <w:rPr>
          <w:color w:val="231F20"/>
          <w:spacing w:val="-6"/>
        </w:rPr>
        <w:t> </w:t>
      </w:r>
      <w:r>
        <w:rPr>
          <w:color w:val="231F20"/>
        </w:rPr>
        <w:t>bénéficiaires,</w:t>
      </w:r>
      <w:r>
        <w:rPr>
          <w:color w:val="231F20"/>
          <w:spacing w:val="-6"/>
        </w:rPr>
        <w:t> </w:t>
      </w:r>
      <w:r>
        <w:rPr>
          <w:color w:val="231F20"/>
        </w:rPr>
        <w:t>les</w:t>
      </w:r>
      <w:r>
        <w:rPr>
          <w:color w:val="231F20"/>
          <w:spacing w:val="-6"/>
        </w:rPr>
        <w:t> </w:t>
      </w:r>
      <w:r>
        <w:rPr>
          <w:color w:val="231F20"/>
        </w:rPr>
        <w:t>droits</w:t>
      </w:r>
      <w:r>
        <w:rPr>
          <w:color w:val="231F20"/>
          <w:spacing w:val="-6"/>
        </w:rPr>
        <w:t> </w:t>
      </w:r>
      <w:r>
        <w:rPr>
          <w:color w:val="231F20"/>
        </w:rPr>
        <w:t>attachés</w:t>
      </w:r>
      <w:r>
        <w:rPr>
          <w:color w:val="231F20"/>
          <w:spacing w:val="-6"/>
        </w:rPr>
        <w:t> </w:t>
      </w:r>
      <w:r>
        <w:rPr>
          <w:color w:val="231F20"/>
        </w:rPr>
        <w:t>à</w:t>
      </w:r>
      <w:r>
        <w:rPr>
          <w:color w:val="231F20"/>
          <w:spacing w:val="-6"/>
        </w:rPr>
        <w:t> </w:t>
      </w:r>
      <w:r>
        <w:rPr>
          <w:color w:val="231F20"/>
        </w:rPr>
        <w:t>ces</w:t>
      </w:r>
      <w:r>
        <w:rPr>
          <w:color w:val="231F20"/>
          <w:spacing w:val="-6"/>
        </w:rPr>
        <w:t> </w:t>
      </w:r>
      <w:r>
        <w:rPr>
          <w:color w:val="231F20"/>
        </w:rPr>
        <w:t>parts</w:t>
      </w:r>
      <w:r>
        <w:rPr>
          <w:color w:val="231F20"/>
          <w:spacing w:val="-7"/>
        </w:rPr>
        <w:t> </w:t>
      </w:r>
      <w:r>
        <w:rPr>
          <w:color w:val="231F20"/>
        </w:rPr>
        <w:t>ainsi que, le cas échéant, les conditions particulières qui limitent leur cession et, s’il existe plusieurs classes de parts bénéficiaires, les mêmes indications pour chaque</w:t>
      </w:r>
      <w:r>
        <w:rPr>
          <w:color w:val="231F20"/>
          <w:spacing w:val="3"/>
        </w:rPr>
        <w:t> </w:t>
      </w:r>
      <w:r>
        <w:rPr>
          <w:color w:val="231F20"/>
        </w:rPr>
        <w:t>classe;</w:t>
      </w:r>
    </w:p>
    <w:p>
      <w:pPr>
        <w:pStyle w:val="BodyText"/>
        <w:spacing w:line="218" w:lineRule="auto" w:before="107"/>
        <w:ind w:right="93"/>
      </w:pPr>
      <w:r>
        <w:rPr>
          <w:color w:val="231F20"/>
        </w:rPr>
        <w:t>6° la forme des titres prévus à l’article 7:22 ainsi que les dispositions relatives à leur conversion dans la mesure où elles diffèrent de celles que la loi fixe;</w:t>
      </w:r>
    </w:p>
    <w:p>
      <w:pPr>
        <w:pStyle w:val="BodyText"/>
        <w:spacing w:line="218" w:lineRule="auto" w:before="119"/>
        <w:ind w:right="125"/>
      </w:pPr>
      <w:r>
        <w:rPr/>
        <w:br w:type="column"/>
      </w:r>
      <w:r>
        <w:rPr>
          <w:color w:val="231F20"/>
        </w:rPr>
        <w:t>3° de waarde van deze quasi-inbreng, de herkomst van deze waardering, en in voorkomend geval, de waarderingsmethode;</w:t>
      </w:r>
    </w:p>
    <w:p>
      <w:pPr>
        <w:pStyle w:val="BodyText"/>
        <w:spacing w:line="218" w:lineRule="auto" w:before="107"/>
      </w:pPr>
      <w:r>
        <w:rPr>
          <w:color w:val="231F20"/>
        </w:rPr>
        <w:t>4° een attest dat de vergoeding bepaalt die werkelijk als tegenpres- tatie voor de verkrijging wordt verstrekt;</w:t>
      </w:r>
    </w:p>
    <w:p>
      <w:pPr>
        <w:pStyle w:val="BodyText"/>
        <w:spacing w:line="218" w:lineRule="auto" w:before="107"/>
      </w:pPr>
      <w:r>
        <w:rPr>
          <w:color w:val="231F20"/>
        </w:rPr>
        <w:t>5° een attest dat er zich geen nieuwe bijzondere</w:t>
      </w:r>
      <w:r>
        <w:rPr>
          <w:color w:val="231F20"/>
          <w:spacing w:val="23"/>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before="93"/>
        <w:ind w:left="283" w:right="0" w:firstLine="0"/>
        <w:jc w:val="left"/>
      </w:pPr>
      <w:r>
        <w:rPr>
          <w:color w:val="231F20"/>
        </w:rPr>
        <w:t>HOOFDSTUK 3. Storting van het kapitaal.</w:t>
      </w:r>
    </w:p>
    <w:p>
      <w:pPr>
        <w:pStyle w:val="BodyText"/>
        <w:spacing w:line="218" w:lineRule="auto" w:before="103"/>
      </w:pPr>
      <w:r>
        <w:rPr>
          <w:color w:val="231F20"/>
        </w:rPr>
        <w:t>Art. 7:11. Vanaf de oprichting van de vennootschap moet het kapitaal zijn volgestort ten belope van het minimum bepaald in artikel 7:2.</w:t>
      </w:r>
    </w:p>
    <w:p>
      <w:pPr>
        <w:pStyle w:val="BodyText"/>
        <w:spacing w:before="93"/>
        <w:ind w:left="283" w:right="0" w:firstLine="0"/>
        <w:jc w:val="left"/>
      </w:pPr>
      <w:r>
        <w:rPr>
          <w:color w:val="231F20"/>
        </w:rPr>
        <w:t>Bovendien:</w:t>
      </w:r>
    </w:p>
    <w:p>
      <w:pPr>
        <w:pStyle w:val="BodyText"/>
        <w:spacing w:line="218" w:lineRule="auto" w:before="103"/>
      </w:pPr>
      <w:r>
        <w:rPr>
          <w:color w:val="231F20"/>
        </w:rPr>
        <w:t>1° moet op ieder aandeel dat overeenstemt met een inbreng in geld en op ieder aandeel dat geheel of ten dele overeenstemt met een inbreng</w:t>
      </w:r>
      <w:r>
        <w:rPr>
          <w:color w:val="231F20"/>
          <w:spacing w:val="15"/>
        </w:rPr>
        <w:t> </w:t>
      </w:r>
      <w:r>
        <w:rPr>
          <w:color w:val="231F20"/>
        </w:rPr>
        <w:t>in</w:t>
      </w:r>
      <w:r>
        <w:rPr>
          <w:color w:val="231F20"/>
          <w:spacing w:val="15"/>
        </w:rPr>
        <w:t> </w:t>
      </w:r>
      <w:r>
        <w:rPr>
          <w:color w:val="231F20"/>
        </w:rPr>
        <w:t>natura,</w:t>
      </w:r>
      <w:r>
        <w:rPr>
          <w:color w:val="231F20"/>
          <w:spacing w:val="15"/>
        </w:rPr>
        <w:t> </w:t>
      </w:r>
      <w:r>
        <w:rPr>
          <w:color w:val="231F20"/>
        </w:rPr>
        <w:t>een</w:t>
      </w:r>
      <w:r>
        <w:rPr>
          <w:color w:val="231F20"/>
          <w:spacing w:val="15"/>
        </w:rPr>
        <w:t> </w:t>
      </w:r>
      <w:r>
        <w:rPr>
          <w:color w:val="231F20"/>
        </w:rPr>
        <w:t>vierde</w:t>
      </w:r>
      <w:r>
        <w:rPr>
          <w:color w:val="231F20"/>
          <w:spacing w:val="15"/>
        </w:rPr>
        <w:t> </w:t>
      </w:r>
      <w:r>
        <w:rPr>
          <w:color w:val="231F20"/>
        </w:rPr>
        <w:t>worden</w:t>
      </w:r>
      <w:r>
        <w:rPr>
          <w:color w:val="231F20"/>
          <w:spacing w:val="15"/>
        </w:rPr>
        <w:t> </w:t>
      </w:r>
      <w:r>
        <w:rPr>
          <w:color w:val="231F20"/>
        </w:rPr>
        <w:t>gestort;</w:t>
      </w:r>
    </w:p>
    <w:p>
      <w:pPr>
        <w:pStyle w:val="BodyText"/>
        <w:spacing w:line="218" w:lineRule="auto" w:before="107"/>
      </w:pPr>
      <w:r>
        <w:rPr>
          <w:color w:val="231F20"/>
        </w:rPr>
        <w:t>2° moeten de aandelen die geheel of ten dele inbrengen in natura vertegenwoordigen, volgestort zijn binnen een termijn van vijf jaar na de oprichting van de vennootschap.</w:t>
      </w:r>
    </w:p>
    <w:p>
      <w:pPr>
        <w:pStyle w:val="BodyText"/>
        <w:spacing w:line="218" w:lineRule="auto" w:before="107"/>
      </w:pPr>
      <w:r>
        <w:rPr>
          <w:color w:val="231F20"/>
        </w:rPr>
        <w:t>Art. 7:12. In geval van inbreng in geld, te storten bij het verlijden van de akte, wordt dat geld vóór de oprichting van de vennootschap bij storting of overschrijving gedeponeerd op een bijzondere rekening, ten name van de vennootschap in oprichting geopend bij een in de Europese Economische Ruimte gevestigde kredietinstelling als bedoeld in artikel 4, lid 1, punt 1), van verordening (EU) nr. 575/2013. Een bewijs van die deponering wordt overhandigd aan de instrumente- rende notaris.</w:t>
      </w:r>
    </w:p>
    <w:p>
      <w:pPr>
        <w:pStyle w:val="BodyText"/>
        <w:spacing w:line="218" w:lineRule="auto" w:before="107"/>
        <w:ind w:right="123"/>
      </w:pPr>
      <w:r>
        <w:rPr>
          <w:color w:val="231F20"/>
        </w:rPr>
        <w:t>De bijzondere rekening wordt uitsluitend ter beschikking gehouden van de op te richten vennootschap. Over die rekening kan alleen worden beschikt door personen die bevoegd zijn om de vennootschap  te verbinden, en eerst nadat de optredende notaris aan de instelling bericht</w:t>
      </w:r>
      <w:r>
        <w:rPr>
          <w:color w:val="231F20"/>
          <w:spacing w:val="16"/>
        </w:rPr>
        <w:t> </w:t>
      </w:r>
      <w:r>
        <w:rPr>
          <w:color w:val="231F20"/>
        </w:rPr>
        <w:t>heeft</w:t>
      </w:r>
      <w:r>
        <w:rPr>
          <w:color w:val="231F20"/>
          <w:spacing w:val="16"/>
        </w:rPr>
        <w:t> </w:t>
      </w:r>
      <w:r>
        <w:rPr>
          <w:color w:val="231F20"/>
        </w:rPr>
        <w:t>gegeven</w:t>
      </w:r>
      <w:r>
        <w:rPr>
          <w:color w:val="231F20"/>
          <w:spacing w:val="16"/>
        </w:rPr>
        <w:t> </w:t>
      </w:r>
      <w:r>
        <w:rPr>
          <w:color w:val="231F20"/>
        </w:rPr>
        <w:t>van</w:t>
      </w:r>
      <w:r>
        <w:rPr>
          <w:color w:val="231F20"/>
          <w:spacing w:val="16"/>
        </w:rPr>
        <w:t> </w:t>
      </w:r>
      <w:r>
        <w:rPr>
          <w:color w:val="231F20"/>
        </w:rPr>
        <w:t>het</w:t>
      </w:r>
      <w:r>
        <w:rPr>
          <w:color w:val="231F20"/>
          <w:spacing w:val="17"/>
        </w:rPr>
        <w:t> </w:t>
      </w:r>
      <w:r>
        <w:rPr>
          <w:color w:val="231F20"/>
        </w:rPr>
        <w:t>verlijden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akte.</w:t>
      </w:r>
    </w:p>
    <w:p>
      <w:pPr>
        <w:pStyle w:val="BodyText"/>
        <w:spacing w:line="218" w:lineRule="auto" w:before="107"/>
      </w:pPr>
      <w:r>
        <w:rPr>
          <w:color w:val="231F20"/>
        </w:rPr>
        <w:t>Indien de vennootschap niet binnen één maand na de opening van de bijzondere rekening is opgericht, wordt het geld teruggegeven aan de deposanten die erom verzoeken.</w:t>
      </w:r>
    </w:p>
    <w:p>
      <w:pPr>
        <w:pStyle w:val="BodyText"/>
        <w:spacing w:line="350" w:lineRule="auto" w:before="93"/>
        <w:ind w:left="283" w:right="1786" w:firstLine="0"/>
        <w:jc w:val="left"/>
      </w:pPr>
      <w:r>
        <w:rPr>
          <w:color w:val="231F20"/>
        </w:rPr>
        <w:t>HOOFDSTUK 4. Oprichtingsformaliteiten. Afdeling 1. Wijze van oprichting.</w:t>
      </w:r>
    </w:p>
    <w:p>
      <w:pPr>
        <w:pStyle w:val="BodyText"/>
        <w:spacing w:line="218" w:lineRule="auto" w:before="15"/>
      </w:pPr>
      <w:r>
        <w:rPr>
          <w:color w:val="231F20"/>
        </w:rPr>
        <w:t>Art. 7:13. De vennootschap wordt opgericht bij authentieke akte, bij het verlijden waarvan alle aandeelhouders verschijnen, hetzij in persoon, hetzij door een houder van een authentieke of een onder- handse volmacht.</w:t>
      </w:r>
    </w:p>
    <w:p>
      <w:pPr>
        <w:pStyle w:val="BodyText"/>
        <w:spacing w:line="218" w:lineRule="auto" w:before="107"/>
      </w:pPr>
      <w:r>
        <w:rPr>
          <w:color w:val="231F20"/>
        </w:rPr>
        <w:t>Zij die bij de oprichtingsakte verschijnen, worden als oprichters van de vennootschap beschouwd. Indien evenwel de akte één of meer aandeelhouders die samen ten minste een derde van het kapitaal bezitten, als oprichters aanwijst, worden de overige verschijnenden, die zich beperken tot een inschrijving op aandelen in geld, zonder rechtstreeks of zijdelings enig bijzonder voordeel te genieten, als gewone inschrijvers beschouwd.</w:t>
      </w:r>
    </w:p>
    <w:p>
      <w:pPr>
        <w:pStyle w:val="BodyText"/>
        <w:spacing w:before="93"/>
        <w:ind w:left="283" w:right="0" w:firstLine="0"/>
        <w:jc w:val="left"/>
      </w:pPr>
      <w:r>
        <w:rPr>
          <w:color w:val="231F20"/>
        </w:rPr>
        <w:t>Afdeling 2. Vermeldingen in de oprichtingsakte.</w:t>
      </w:r>
    </w:p>
    <w:p>
      <w:pPr>
        <w:pStyle w:val="BodyText"/>
        <w:spacing w:line="218" w:lineRule="auto" w:before="103"/>
      </w:pPr>
      <w:r>
        <w:rPr>
          <w:color w:val="231F20"/>
        </w:rPr>
        <w:t>Art. 7:14. Naast de gegevens opgenomen in het uittreksel bestemd voor bekendmaking overeenkomstig artikel 2:8, § 2, worden in de oprichtingsakte de volgende gegevens vermeld:</w:t>
      </w:r>
    </w:p>
    <w:p>
      <w:pPr>
        <w:pStyle w:val="BodyText"/>
        <w:spacing w:line="218" w:lineRule="auto" w:before="107"/>
      </w:pPr>
      <w:r>
        <w:rPr>
          <w:color w:val="231F20"/>
        </w:rPr>
        <w:t>1° de naleving van de wettelijke voorwaarden met betrekking tot de plaatsing en de storting van het kapitaal;</w:t>
      </w:r>
    </w:p>
    <w:p>
      <w:pPr>
        <w:pStyle w:val="BodyText"/>
        <w:spacing w:line="218" w:lineRule="auto" w:before="107"/>
      </w:pPr>
      <w:r>
        <w:rPr>
          <w:color w:val="231F20"/>
        </w:rPr>
        <w:t>2° de instelling waarbij de in geld te storten inbreng naar het voorschrift van artikel 7:12 is gedeponeerd;</w:t>
      </w:r>
    </w:p>
    <w:p>
      <w:pPr>
        <w:pStyle w:val="BodyText"/>
        <w:spacing w:line="218" w:lineRule="auto" w:before="107"/>
      </w:pPr>
      <w:r>
        <w:rPr>
          <w:color w:val="231F20"/>
          <w:w w:val="105"/>
        </w:rPr>
        <w:t>3° de regels, voor zover deze niet uit de wet voortvloeien, die het aantal</w:t>
      </w:r>
      <w:r>
        <w:rPr>
          <w:color w:val="231F20"/>
          <w:spacing w:val="-19"/>
          <w:w w:val="105"/>
        </w:rPr>
        <w:t> </w:t>
      </w:r>
      <w:r>
        <w:rPr>
          <w:color w:val="231F20"/>
          <w:w w:val="105"/>
        </w:rPr>
        <w:t>en</w:t>
      </w:r>
      <w:r>
        <w:rPr>
          <w:color w:val="231F20"/>
          <w:spacing w:val="-19"/>
          <w:w w:val="105"/>
        </w:rPr>
        <w:t> </w:t>
      </w:r>
      <w:r>
        <w:rPr>
          <w:color w:val="231F20"/>
          <w:w w:val="105"/>
        </w:rPr>
        <w:t>de</w:t>
      </w:r>
      <w:r>
        <w:rPr>
          <w:color w:val="231F20"/>
          <w:spacing w:val="-19"/>
          <w:w w:val="105"/>
        </w:rPr>
        <w:t> </w:t>
      </w:r>
      <w:r>
        <w:rPr>
          <w:color w:val="231F20"/>
          <w:w w:val="105"/>
        </w:rPr>
        <w:t>wijze</w:t>
      </w:r>
      <w:r>
        <w:rPr>
          <w:color w:val="231F20"/>
          <w:spacing w:val="-19"/>
          <w:w w:val="105"/>
        </w:rPr>
        <w:t> </w:t>
      </w:r>
      <w:r>
        <w:rPr>
          <w:color w:val="231F20"/>
          <w:w w:val="105"/>
        </w:rPr>
        <w:t>van</w:t>
      </w:r>
      <w:r>
        <w:rPr>
          <w:color w:val="231F20"/>
          <w:spacing w:val="-19"/>
          <w:w w:val="105"/>
        </w:rPr>
        <w:t> </w:t>
      </w:r>
      <w:r>
        <w:rPr>
          <w:color w:val="231F20"/>
          <w:w w:val="105"/>
        </w:rPr>
        <w:t>benoeming</w:t>
      </w:r>
      <w:r>
        <w:rPr>
          <w:color w:val="231F20"/>
          <w:spacing w:val="-18"/>
          <w:w w:val="105"/>
        </w:rPr>
        <w:t> </w:t>
      </w:r>
      <w:r>
        <w:rPr>
          <w:color w:val="231F20"/>
          <w:w w:val="105"/>
        </w:rPr>
        <w:t>bepalen</w:t>
      </w:r>
      <w:r>
        <w:rPr>
          <w:color w:val="231F20"/>
          <w:spacing w:val="-19"/>
          <w:w w:val="105"/>
        </w:rPr>
        <w:t> </w:t>
      </w:r>
      <w:r>
        <w:rPr>
          <w:color w:val="231F20"/>
          <w:w w:val="105"/>
        </w:rPr>
        <w:t>van</w:t>
      </w:r>
      <w:r>
        <w:rPr>
          <w:color w:val="231F20"/>
          <w:spacing w:val="-19"/>
          <w:w w:val="105"/>
        </w:rPr>
        <w:t> </w:t>
      </w:r>
      <w:r>
        <w:rPr>
          <w:color w:val="231F20"/>
          <w:w w:val="105"/>
        </w:rPr>
        <w:t>de</w:t>
      </w:r>
      <w:r>
        <w:rPr>
          <w:color w:val="231F20"/>
          <w:spacing w:val="-19"/>
          <w:w w:val="105"/>
        </w:rPr>
        <w:t> </w:t>
      </w:r>
      <w:r>
        <w:rPr>
          <w:color w:val="231F20"/>
          <w:w w:val="105"/>
        </w:rPr>
        <w:t>leden</w:t>
      </w:r>
      <w:r>
        <w:rPr>
          <w:color w:val="231F20"/>
          <w:spacing w:val="-19"/>
          <w:w w:val="105"/>
        </w:rPr>
        <w:t> </w:t>
      </w:r>
      <w:r>
        <w:rPr>
          <w:color w:val="231F20"/>
          <w:w w:val="105"/>
        </w:rPr>
        <w:t>van</w:t>
      </w:r>
      <w:r>
        <w:rPr>
          <w:color w:val="231F20"/>
          <w:spacing w:val="-18"/>
          <w:w w:val="105"/>
        </w:rPr>
        <w:t> </w:t>
      </w:r>
      <w:r>
        <w:rPr>
          <w:color w:val="231F20"/>
          <w:w w:val="105"/>
        </w:rPr>
        <w:t>de</w:t>
      </w:r>
      <w:r>
        <w:rPr>
          <w:color w:val="231F20"/>
          <w:spacing w:val="-19"/>
          <w:w w:val="105"/>
        </w:rPr>
        <w:t> </w:t>
      </w:r>
      <w:r>
        <w:rPr>
          <w:color w:val="231F20"/>
          <w:w w:val="105"/>
        </w:rPr>
        <w:t>organen belast</w:t>
      </w:r>
      <w:r>
        <w:rPr>
          <w:color w:val="231F20"/>
          <w:spacing w:val="-14"/>
          <w:w w:val="105"/>
        </w:rPr>
        <w:t> </w:t>
      </w:r>
      <w:r>
        <w:rPr>
          <w:color w:val="231F20"/>
          <w:w w:val="105"/>
        </w:rPr>
        <w:t>met</w:t>
      </w:r>
      <w:r>
        <w:rPr>
          <w:color w:val="231F20"/>
          <w:spacing w:val="-13"/>
          <w:w w:val="105"/>
        </w:rPr>
        <w:t> </w:t>
      </w:r>
      <w:r>
        <w:rPr>
          <w:color w:val="231F20"/>
          <w:w w:val="105"/>
        </w:rPr>
        <w:t>het</w:t>
      </w:r>
      <w:r>
        <w:rPr>
          <w:color w:val="231F20"/>
          <w:spacing w:val="-14"/>
          <w:w w:val="105"/>
        </w:rPr>
        <w:t> </w:t>
      </w:r>
      <w:r>
        <w:rPr>
          <w:color w:val="231F20"/>
          <w:w w:val="105"/>
        </w:rPr>
        <w:t>bestuur</w:t>
      </w:r>
      <w:r>
        <w:rPr>
          <w:color w:val="231F20"/>
          <w:spacing w:val="-13"/>
          <w:w w:val="105"/>
        </w:rPr>
        <w:t> </w:t>
      </w:r>
      <w:r>
        <w:rPr>
          <w:color w:val="231F20"/>
          <w:w w:val="105"/>
        </w:rPr>
        <w:t>en,</w:t>
      </w:r>
      <w:r>
        <w:rPr>
          <w:color w:val="231F20"/>
          <w:spacing w:val="-14"/>
          <w:w w:val="105"/>
        </w:rPr>
        <w:t> </w:t>
      </w:r>
      <w:r>
        <w:rPr>
          <w:color w:val="231F20"/>
          <w:w w:val="105"/>
        </w:rPr>
        <w:t>in</w:t>
      </w:r>
      <w:r>
        <w:rPr>
          <w:color w:val="231F20"/>
          <w:spacing w:val="-13"/>
          <w:w w:val="105"/>
        </w:rPr>
        <w:t> </w:t>
      </w:r>
      <w:r>
        <w:rPr>
          <w:color w:val="231F20"/>
          <w:w w:val="105"/>
        </w:rPr>
        <w:t>voorkomend</w:t>
      </w:r>
      <w:r>
        <w:rPr>
          <w:color w:val="231F20"/>
          <w:spacing w:val="-14"/>
          <w:w w:val="105"/>
        </w:rPr>
        <w:t> </w:t>
      </w:r>
      <w:r>
        <w:rPr>
          <w:color w:val="231F20"/>
          <w:w w:val="105"/>
        </w:rPr>
        <w:t>geval,</w:t>
      </w:r>
      <w:r>
        <w:rPr>
          <w:color w:val="231F20"/>
          <w:spacing w:val="-13"/>
          <w:w w:val="105"/>
        </w:rPr>
        <w:t> </w:t>
      </w:r>
      <w:r>
        <w:rPr>
          <w:color w:val="231F20"/>
          <w:w w:val="105"/>
        </w:rPr>
        <w:t>het</w:t>
      </w:r>
      <w:r>
        <w:rPr>
          <w:color w:val="231F20"/>
          <w:spacing w:val="-14"/>
          <w:w w:val="105"/>
        </w:rPr>
        <w:t> </w:t>
      </w:r>
      <w:r>
        <w:rPr>
          <w:color w:val="231F20"/>
          <w:w w:val="105"/>
        </w:rPr>
        <w:t>dagelijks</w:t>
      </w:r>
      <w:r>
        <w:rPr>
          <w:color w:val="231F20"/>
          <w:spacing w:val="-13"/>
          <w:w w:val="105"/>
        </w:rPr>
        <w:t> </w:t>
      </w:r>
      <w:r>
        <w:rPr>
          <w:color w:val="231F20"/>
          <w:w w:val="105"/>
        </w:rPr>
        <w:t>bestuur, de</w:t>
      </w:r>
      <w:r>
        <w:rPr>
          <w:color w:val="231F20"/>
          <w:spacing w:val="-6"/>
          <w:w w:val="105"/>
        </w:rPr>
        <w:t> </w:t>
      </w:r>
      <w:r>
        <w:rPr>
          <w:color w:val="231F20"/>
          <w:w w:val="105"/>
        </w:rPr>
        <w:t>vertegenwoordiging</w:t>
      </w:r>
      <w:r>
        <w:rPr>
          <w:color w:val="231F20"/>
          <w:spacing w:val="-6"/>
          <w:w w:val="105"/>
        </w:rPr>
        <w:t> </w:t>
      </w:r>
      <w:r>
        <w:rPr>
          <w:color w:val="231F20"/>
          <w:w w:val="105"/>
        </w:rPr>
        <w:t>tegenover</w:t>
      </w:r>
      <w:r>
        <w:rPr>
          <w:color w:val="231F20"/>
          <w:spacing w:val="-6"/>
          <w:w w:val="105"/>
        </w:rPr>
        <w:t> </w:t>
      </w:r>
      <w:r>
        <w:rPr>
          <w:color w:val="231F20"/>
          <w:w w:val="105"/>
        </w:rPr>
        <w:t>derden</w:t>
      </w:r>
      <w:r>
        <w:rPr>
          <w:color w:val="231F20"/>
          <w:spacing w:val="-5"/>
          <w:w w:val="105"/>
        </w:rPr>
        <w:t> </w:t>
      </w:r>
      <w:r>
        <w:rPr>
          <w:color w:val="231F20"/>
          <w:w w:val="105"/>
        </w:rPr>
        <w:t>evenals</w:t>
      </w:r>
      <w:r>
        <w:rPr>
          <w:color w:val="231F20"/>
          <w:spacing w:val="-6"/>
          <w:w w:val="105"/>
        </w:rPr>
        <w:t> </w:t>
      </w:r>
      <w:r>
        <w:rPr>
          <w:color w:val="231F20"/>
          <w:w w:val="105"/>
        </w:rPr>
        <w:t>de</w:t>
      </w:r>
      <w:r>
        <w:rPr>
          <w:color w:val="231F20"/>
          <w:spacing w:val="-6"/>
          <w:w w:val="105"/>
        </w:rPr>
        <w:t> </w:t>
      </w:r>
      <w:r>
        <w:rPr>
          <w:color w:val="231F20"/>
          <w:w w:val="105"/>
        </w:rPr>
        <w:t>verdeling</w:t>
      </w:r>
      <w:r>
        <w:rPr>
          <w:color w:val="231F20"/>
          <w:spacing w:val="-6"/>
          <w:w w:val="105"/>
        </w:rPr>
        <w:t> </w:t>
      </w:r>
      <w:r>
        <w:rPr>
          <w:color w:val="231F20"/>
          <w:w w:val="105"/>
        </w:rPr>
        <w:t>van</w:t>
      </w:r>
      <w:r>
        <w:rPr>
          <w:color w:val="231F20"/>
          <w:spacing w:val="-5"/>
          <w:w w:val="105"/>
        </w:rPr>
        <w:t> </w:t>
      </w:r>
      <w:r>
        <w:rPr>
          <w:color w:val="231F20"/>
          <w:w w:val="105"/>
        </w:rPr>
        <w:t>de bevoegdheden tussen die</w:t>
      </w:r>
      <w:r>
        <w:rPr>
          <w:color w:val="231F20"/>
          <w:spacing w:val="33"/>
          <w:w w:val="105"/>
        </w:rPr>
        <w:t> </w:t>
      </w:r>
      <w:r>
        <w:rPr>
          <w:color w:val="231F20"/>
          <w:w w:val="105"/>
        </w:rPr>
        <w:t>organen;</w:t>
      </w:r>
    </w:p>
    <w:p>
      <w:pPr>
        <w:pStyle w:val="BodyText"/>
        <w:spacing w:line="218" w:lineRule="auto" w:before="107"/>
      </w:pPr>
      <w:r>
        <w:rPr>
          <w:color w:val="231F20"/>
        </w:rPr>
        <w:t>4° het aantal en de nominale waarde van de aandelen of, indien ze zijn uitgegeven zonder vermelding van nominale waarde, hun aantal alleen, evenals eventueel de bijzondere voorwaarden die hun over- dracht beperken en, indien er verschillende soorten aandelen bestaan, dezelfde gegevens voor elk der soorten en de rechten die aan de aandelen van elke soort zijn verbonden;</w:t>
      </w:r>
    </w:p>
    <w:p>
      <w:pPr>
        <w:pStyle w:val="BodyText"/>
        <w:spacing w:line="218" w:lineRule="auto" w:before="107"/>
      </w:pPr>
      <w:r>
        <w:rPr>
          <w:color w:val="231F20"/>
        </w:rPr>
        <w:t>5° het aantal winstbewijzen, de rechten die daaraan zijn verbonden evenals eventueel de bijzondere voorwaarden die hun overdracht beperken en, indien er verschillende soorten winstbewijzen bestaan, dezelfde gegevens voor elk van de soorten;</w:t>
      </w:r>
    </w:p>
    <w:p>
      <w:pPr>
        <w:pStyle w:val="BodyText"/>
        <w:spacing w:line="218" w:lineRule="auto" w:before="107"/>
      </w:pPr>
      <w:r>
        <w:rPr>
          <w:color w:val="231F20"/>
        </w:rPr>
        <w:t>6° de vorm van de effecten als bedoeld in artikel 7:22, evenals de bepalingen inzake omwisseling voor zover zij verschillen van die  waarin de wet</w:t>
      </w:r>
      <w:r>
        <w:rPr>
          <w:color w:val="231F20"/>
          <w:spacing w:val="5"/>
        </w:rPr>
        <w:t> </w:t>
      </w:r>
      <w:r>
        <w:rPr>
          <w:color w:val="231F20"/>
        </w:rPr>
        <w:t>voorziet;</w:t>
      </w:r>
    </w:p>
    <w:p>
      <w:pPr>
        <w:spacing w:after="0" w:line="218" w:lineRule="auto"/>
        <w:sectPr>
          <w:pgSz w:w="11940" w:h="16880"/>
          <w:pgMar w:header="666" w:footer="0" w:top="1140" w:bottom="280" w:left="340" w:right="360"/>
          <w:cols w:num="2" w:equalWidth="0">
            <w:col w:w="5582" w:space="45"/>
            <w:col w:w="5613"/>
          </w:cols>
        </w:sectPr>
      </w:pPr>
    </w:p>
    <w:p>
      <w:pPr>
        <w:pStyle w:val="BodyText"/>
        <w:spacing w:line="218" w:lineRule="auto" w:before="119"/>
        <w:ind w:right="38"/>
      </w:pPr>
      <w:r>
        <w:rPr/>
        <w:pict>
          <v:line style="position:absolute;mso-position-horizontal-relative:page;mso-position-vertical-relative:page;z-index:4624" from="298.170502pt,64.473pt" to="298.170502pt,812.819pt" stroked="true" strokeweight=".533pt" strokecolor="#231f20">
            <v:stroke dashstyle="solid"/>
            <w10:wrap type="none"/>
          </v:line>
        </w:pict>
      </w:r>
      <w:bookmarkStart w:name="_bookmark150" w:id="155"/>
      <w:bookmarkEnd w:id="155"/>
      <w:r>
        <w:rPr/>
      </w:r>
      <w:r>
        <w:rPr>
          <w:color w:val="231F20"/>
        </w:rPr>
        <w:t>7° la spécification de chaque apport en nature, le nom de l’apporteur, le nom du réviseur d’entreprises et les conclusions de son rapport, le nombre et la valeur nominale ou, à défaut de valeur nominale, le nombre des actions émises en contrepartie de chaque apport ainsi que, le cas échéant, les autres conditions auxquelles l’apport est fait;</w:t>
      </w:r>
    </w:p>
    <w:p>
      <w:pPr>
        <w:pStyle w:val="BodyText"/>
        <w:spacing w:before="10"/>
        <w:ind w:left="0" w:right="0" w:firstLine="0"/>
        <w:jc w:val="left"/>
        <w:rPr>
          <w:sz w:val="24"/>
        </w:rPr>
      </w:pPr>
    </w:p>
    <w:p>
      <w:pPr>
        <w:pStyle w:val="BodyText"/>
        <w:spacing w:line="218" w:lineRule="auto" w:before="1"/>
        <w:ind w:right="38"/>
      </w:pPr>
      <w:r>
        <w:rPr>
          <w:color w:val="231F20"/>
        </w:rPr>
        <w:t>8° la nature et la consistance des avantages particuliers attribués à chacun des fondateurs ou à quiconque a participé directement ou indirectement à la constitution de la société;</w:t>
      </w:r>
    </w:p>
    <w:p>
      <w:pPr>
        <w:pStyle w:val="BodyText"/>
        <w:spacing w:line="218" w:lineRule="auto" w:before="107"/>
        <w:ind w:right="38"/>
      </w:pPr>
      <w:r>
        <w:rPr>
          <w:color w:val="231F20"/>
        </w:rPr>
        <w:t>9° le montant total, au moins approximatif, des frais, dépenses et rémunérations ou charges, sous quelque forme que ce soit, qui incombent à la société ou qui sont mis à sa charge à raison de sa constitution;</w:t>
      </w:r>
    </w:p>
    <w:p>
      <w:pPr>
        <w:pStyle w:val="BodyText"/>
        <w:spacing w:line="218" w:lineRule="auto" w:before="106"/>
        <w:ind w:right="38"/>
      </w:pPr>
      <w:r>
        <w:rPr>
          <w:color w:val="231F20"/>
        </w:rPr>
        <w:t>10° les cessions à titre onéreux dont les immeubles apportés à la société ont été l’objet pendant les cinq années précédentes ainsi que les conditions auxquelles elles ont été faites;</w:t>
      </w:r>
    </w:p>
    <w:p>
      <w:pPr>
        <w:pStyle w:val="BodyText"/>
        <w:spacing w:before="10"/>
        <w:ind w:left="0" w:right="0" w:firstLine="0"/>
        <w:jc w:val="left"/>
        <w:rPr>
          <w:sz w:val="24"/>
        </w:rPr>
      </w:pPr>
    </w:p>
    <w:p>
      <w:pPr>
        <w:pStyle w:val="BodyText"/>
        <w:spacing w:line="218" w:lineRule="auto"/>
        <w:ind w:right="38"/>
      </w:pPr>
      <w:r>
        <w:rPr>
          <w:color w:val="231F20"/>
        </w:rPr>
        <w:t>11° les charges hypothécaires ou les nantissements grevant les biens apportés;</w:t>
      </w:r>
    </w:p>
    <w:p>
      <w:pPr>
        <w:pStyle w:val="BodyText"/>
        <w:spacing w:line="218" w:lineRule="auto" w:before="107"/>
        <w:ind w:right="38"/>
      </w:pPr>
      <w:r>
        <w:rPr>
          <w:color w:val="231F20"/>
        </w:rPr>
        <w:t>12° les conditions auxquelles est subordonnée la réalisation des</w:t>
      </w:r>
      <w:r>
        <w:rPr>
          <w:color w:val="231F20"/>
          <w:spacing w:val="-24"/>
        </w:rPr>
        <w:t> </w:t>
      </w:r>
      <w:r>
        <w:rPr>
          <w:color w:val="231F20"/>
        </w:rPr>
        <w:t>droits apportés en</w:t>
      </w:r>
      <w:r>
        <w:rPr>
          <w:color w:val="231F20"/>
          <w:spacing w:val="-11"/>
        </w:rPr>
        <w:t> </w:t>
      </w:r>
      <w:r>
        <w:rPr>
          <w:color w:val="231F20"/>
        </w:rPr>
        <w:t>option.</w:t>
      </w:r>
    </w:p>
    <w:p>
      <w:pPr>
        <w:pStyle w:val="BodyText"/>
        <w:spacing w:line="218" w:lineRule="auto" w:before="107"/>
        <w:ind w:right="38"/>
      </w:pPr>
      <w:r>
        <w:rPr>
          <w:color w:val="231F20"/>
        </w:rPr>
        <w:t>Les données visées aux 3° à 6° doivent être reprises dans la partie de l’acte qui contient les statuts.</w:t>
      </w:r>
    </w:p>
    <w:p>
      <w:pPr>
        <w:pStyle w:val="BodyText"/>
        <w:spacing w:line="218" w:lineRule="auto" w:before="107"/>
        <w:ind w:right="38"/>
      </w:pPr>
      <w:r>
        <w:rPr>
          <w:color w:val="231F20"/>
        </w:rPr>
        <w:t>Les procurations doivent reproduire les énonciations prévues par l’article 2:8, § 2, 1°, 2°, 3°, 5°, 12°.</w:t>
      </w:r>
    </w:p>
    <w:p>
      <w:pPr>
        <w:pStyle w:val="BodyText"/>
        <w:spacing w:before="93"/>
        <w:ind w:left="283" w:right="0" w:firstLine="0"/>
        <w:jc w:val="left"/>
      </w:pPr>
      <w:r>
        <w:rPr>
          <w:color w:val="231F20"/>
        </w:rPr>
        <w:t>CHAPITRE 5. Nullité.</w:t>
      </w:r>
    </w:p>
    <w:p>
      <w:pPr>
        <w:pStyle w:val="BodyText"/>
        <w:spacing w:line="218" w:lineRule="auto" w:before="103"/>
        <w:ind w:right="38"/>
      </w:pPr>
      <w:r>
        <w:rPr>
          <w:color w:val="231F20"/>
        </w:rPr>
        <w:t>Art. 7:15. La nullité d’une société anonyme ne peut être prononcée que dans les cas suivants:</w:t>
      </w:r>
    </w:p>
    <w:p>
      <w:pPr>
        <w:pStyle w:val="BodyText"/>
        <w:spacing w:before="93"/>
        <w:ind w:left="283" w:right="0" w:firstLine="0"/>
        <w:jc w:val="left"/>
      </w:pPr>
      <w:r>
        <w:rPr>
          <w:color w:val="231F20"/>
        </w:rPr>
        <w:t>1° lorsque l’acte constitutif n’est pas établi en forme requise;</w:t>
      </w:r>
    </w:p>
    <w:p>
      <w:pPr>
        <w:pStyle w:val="BodyText"/>
        <w:spacing w:before="6"/>
        <w:ind w:left="0" w:right="0" w:firstLine="0"/>
        <w:jc w:val="left"/>
        <w:rPr>
          <w:sz w:val="24"/>
        </w:rPr>
      </w:pPr>
    </w:p>
    <w:p>
      <w:pPr>
        <w:pStyle w:val="BodyText"/>
        <w:spacing w:line="218" w:lineRule="auto"/>
        <w:ind w:right="38"/>
      </w:pPr>
      <w:r>
        <w:rPr>
          <w:color w:val="231F20"/>
        </w:rPr>
        <w:t>2° lorsque l’acte constitutif ne contient aucune indication au sujet de la dénomination et de l’objet de la société, des apports ou du montant du capital souscrit;</w:t>
      </w:r>
    </w:p>
    <w:p>
      <w:pPr>
        <w:pStyle w:val="BodyText"/>
        <w:spacing w:before="93"/>
        <w:ind w:left="283" w:right="0" w:firstLine="0"/>
        <w:jc w:val="left"/>
      </w:pPr>
      <w:r>
        <w:rPr>
          <w:color w:val="231F20"/>
        </w:rPr>
        <w:t>3° lorsque l’objet de la société est illicite ou contraire à l’ordre public;</w:t>
      </w:r>
    </w:p>
    <w:p>
      <w:pPr>
        <w:pStyle w:val="BodyText"/>
        <w:spacing w:before="4"/>
        <w:ind w:left="0" w:right="0" w:firstLine="0"/>
        <w:jc w:val="left"/>
        <w:rPr>
          <w:sz w:val="23"/>
        </w:rPr>
      </w:pPr>
    </w:p>
    <w:p>
      <w:pPr>
        <w:pStyle w:val="BodyText"/>
        <w:ind w:left="284" w:right="0" w:firstLine="0"/>
        <w:jc w:val="left"/>
      </w:pPr>
      <w:r>
        <w:rPr>
          <w:color w:val="231F20"/>
        </w:rPr>
        <w:t>4° lorsqu’il n’y a aucun fondateur valablement engagé.</w:t>
      </w:r>
    </w:p>
    <w:p>
      <w:pPr>
        <w:pStyle w:val="BodyText"/>
        <w:spacing w:line="218" w:lineRule="auto" w:before="103"/>
        <w:ind w:right="38"/>
      </w:pPr>
      <w:r>
        <w:rPr>
          <w:color w:val="231F20"/>
        </w:rPr>
        <w:t>Art. 7:16. Les dispositions attribuant la totalité des bénéfices à l’un des actionnaires, ou à exclure un ou plusieurs actionnaires de la participation aux bénéfices, sont réputées non écrites.</w:t>
      </w:r>
    </w:p>
    <w:p>
      <w:pPr>
        <w:pStyle w:val="BodyText"/>
        <w:spacing w:before="93"/>
        <w:ind w:left="284" w:right="0" w:firstLine="0"/>
        <w:jc w:val="left"/>
      </w:pPr>
      <w:r>
        <w:rPr>
          <w:color w:val="231F20"/>
        </w:rPr>
        <w:t>CHAPITRE 6. Garantie et responsabilités.</w:t>
      </w:r>
    </w:p>
    <w:p>
      <w:pPr>
        <w:pStyle w:val="BodyText"/>
        <w:spacing w:line="218" w:lineRule="auto" w:before="103"/>
        <w:ind w:right="38"/>
      </w:pPr>
      <w:r>
        <w:rPr>
          <w:color w:val="231F20"/>
        </w:rPr>
        <w:t>Art. 7:17. Nonobstant toute disposition contraire, les fondateurs sont tenus solidairement envers les intéressés:</w:t>
      </w:r>
    </w:p>
    <w:p>
      <w:pPr>
        <w:pStyle w:val="BodyText"/>
        <w:spacing w:line="218" w:lineRule="auto" w:before="107"/>
        <w:ind w:right="38"/>
      </w:pPr>
      <w:r>
        <w:rPr>
          <w:color w:val="231F20"/>
        </w:rPr>
        <w:t>1° de toute la partie du capital qui ne serait pas valablement souscrite en vertu de l’article 7:4 ainsi que de la différence éventuelle entre le capital</w:t>
      </w:r>
      <w:r>
        <w:rPr>
          <w:color w:val="231F20"/>
          <w:spacing w:val="-4"/>
        </w:rPr>
        <w:t> </w:t>
      </w:r>
      <w:r>
        <w:rPr>
          <w:color w:val="231F20"/>
        </w:rPr>
        <w:t>minimum</w:t>
      </w:r>
      <w:r>
        <w:rPr>
          <w:color w:val="231F20"/>
          <w:spacing w:val="-3"/>
        </w:rPr>
        <w:t> </w:t>
      </w:r>
      <w:r>
        <w:rPr>
          <w:color w:val="231F20"/>
        </w:rPr>
        <w:t>requis</w:t>
      </w:r>
      <w:r>
        <w:rPr>
          <w:color w:val="231F20"/>
          <w:spacing w:val="-4"/>
        </w:rPr>
        <w:t> </w:t>
      </w:r>
      <w:r>
        <w:rPr>
          <w:color w:val="231F20"/>
        </w:rPr>
        <w:t>par</w:t>
      </w:r>
      <w:r>
        <w:rPr>
          <w:color w:val="231F20"/>
          <w:spacing w:val="-3"/>
        </w:rPr>
        <w:t> </w:t>
      </w:r>
      <w:r>
        <w:rPr>
          <w:color w:val="231F20"/>
        </w:rPr>
        <w:t>l’article</w:t>
      </w:r>
      <w:r>
        <w:rPr>
          <w:color w:val="231F20"/>
          <w:spacing w:val="-4"/>
        </w:rPr>
        <w:t> </w:t>
      </w:r>
      <w:r>
        <w:rPr>
          <w:color w:val="231F20"/>
        </w:rPr>
        <w:t>7:2</w:t>
      </w:r>
      <w:r>
        <w:rPr>
          <w:color w:val="231F20"/>
          <w:spacing w:val="-3"/>
        </w:rPr>
        <w:t> </w:t>
      </w:r>
      <w:r>
        <w:rPr>
          <w:color w:val="231F20"/>
        </w:rPr>
        <w:t>et</w:t>
      </w:r>
      <w:r>
        <w:rPr>
          <w:color w:val="231F20"/>
          <w:spacing w:val="-4"/>
        </w:rPr>
        <w:t> </w:t>
      </w:r>
      <w:r>
        <w:rPr>
          <w:color w:val="231F20"/>
        </w:rPr>
        <w:t>le</w:t>
      </w:r>
      <w:r>
        <w:rPr>
          <w:color w:val="231F20"/>
          <w:spacing w:val="-3"/>
        </w:rPr>
        <w:t> </w:t>
      </w:r>
      <w:r>
        <w:rPr>
          <w:color w:val="231F20"/>
        </w:rPr>
        <w:t>montant</w:t>
      </w:r>
      <w:r>
        <w:rPr>
          <w:color w:val="231F20"/>
          <w:spacing w:val="-4"/>
        </w:rPr>
        <w:t> </w:t>
      </w:r>
      <w:r>
        <w:rPr>
          <w:color w:val="231F20"/>
        </w:rPr>
        <w:t>des</w:t>
      </w:r>
      <w:r>
        <w:rPr>
          <w:color w:val="231F20"/>
          <w:spacing w:val="-3"/>
        </w:rPr>
        <w:t> </w:t>
      </w:r>
      <w:r>
        <w:rPr>
          <w:color w:val="231F20"/>
        </w:rPr>
        <w:t>souscriptions; ils</w:t>
      </w:r>
      <w:r>
        <w:rPr>
          <w:color w:val="231F20"/>
          <w:spacing w:val="14"/>
        </w:rPr>
        <w:t> </w:t>
      </w:r>
      <w:r>
        <w:rPr>
          <w:color w:val="231F20"/>
        </w:rPr>
        <w:t>en</w:t>
      </w:r>
      <w:r>
        <w:rPr>
          <w:color w:val="231F20"/>
          <w:spacing w:val="15"/>
        </w:rPr>
        <w:t> </w:t>
      </w:r>
      <w:r>
        <w:rPr>
          <w:color w:val="231F20"/>
        </w:rPr>
        <w:t>sont</w:t>
      </w:r>
      <w:r>
        <w:rPr>
          <w:color w:val="231F20"/>
          <w:spacing w:val="15"/>
        </w:rPr>
        <w:t> </w:t>
      </w:r>
      <w:r>
        <w:rPr>
          <w:color w:val="231F20"/>
        </w:rPr>
        <w:t>de</w:t>
      </w:r>
      <w:r>
        <w:rPr>
          <w:color w:val="231F20"/>
          <w:spacing w:val="15"/>
        </w:rPr>
        <w:t> </w:t>
      </w:r>
      <w:r>
        <w:rPr>
          <w:color w:val="231F20"/>
        </w:rPr>
        <w:t>plein</w:t>
      </w:r>
      <w:r>
        <w:rPr>
          <w:color w:val="231F20"/>
          <w:spacing w:val="15"/>
        </w:rPr>
        <w:t> </w:t>
      </w:r>
      <w:r>
        <w:rPr>
          <w:color w:val="231F20"/>
        </w:rPr>
        <w:t>droit</w:t>
      </w:r>
      <w:r>
        <w:rPr>
          <w:color w:val="231F20"/>
          <w:spacing w:val="15"/>
        </w:rPr>
        <w:t> </w:t>
      </w:r>
      <w:r>
        <w:rPr>
          <w:color w:val="231F20"/>
        </w:rPr>
        <w:t>réputés</w:t>
      </w:r>
      <w:r>
        <w:rPr>
          <w:color w:val="231F20"/>
          <w:spacing w:val="15"/>
        </w:rPr>
        <w:t> </w:t>
      </w:r>
      <w:r>
        <w:rPr>
          <w:color w:val="231F20"/>
        </w:rPr>
        <w:t>souscripteurs;</w:t>
      </w:r>
    </w:p>
    <w:p>
      <w:pPr>
        <w:pStyle w:val="BodyText"/>
        <w:spacing w:before="10"/>
        <w:ind w:left="0" w:right="0" w:firstLine="0"/>
        <w:jc w:val="left"/>
        <w:rPr>
          <w:sz w:val="24"/>
        </w:rPr>
      </w:pPr>
    </w:p>
    <w:p>
      <w:pPr>
        <w:pStyle w:val="BodyText"/>
        <w:spacing w:line="218" w:lineRule="auto"/>
        <w:ind w:right="38"/>
      </w:pPr>
      <w:r>
        <w:rPr>
          <w:color w:val="231F20"/>
        </w:rPr>
        <w:t>2° de la libération effective du capital minimum visé à l’article 7:2, de la libération effective jusqu’à concurrence d’un quart des actions, de la libération intégrale dans un délai de cinq ans des actions correspondant en tout  ou  en  partie  à  des  apports  en  nature  en  vertu  de  l’arti-  cle </w:t>
      </w:r>
      <w:r>
        <w:rPr>
          <w:color w:val="231F20"/>
          <w:spacing w:val="-3"/>
        </w:rPr>
        <w:t>7:11 </w:t>
      </w:r>
      <w:r>
        <w:rPr>
          <w:color w:val="231F20"/>
        </w:rPr>
        <w:t>ainsi que de la libération effective de la partie du capital dont ils sont</w:t>
      </w:r>
      <w:r>
        <w:rPr>
          <w:color w:val="231F20"/>
          <w:spacing w:val="15"/>
        </w:rPr>
        <w:t> </w:t>
      </w:r>
      <w:r>
        <w:rPr>
          <w:color w:val="231F20"/>
        </w:rPr>
        <w:t>réputés</w:t>
      </w:r>
      <w:r>
        <w:rPr>
          <w:color w:val="231F20"/>
          <w:spacing w:val="15"/>
        </w:rPr>
        <w:t> </w:t>
      </w:r>
      <w:r>
        <w:rPr>
          <w:color w:val="231F20"/>
        </w:rPr>
        <w:t>souscripteurs</w:t>
      </w:r>
      <w:r>
        <w:rPr>
          <w:color w:val="231F20"/>
          <w:spacing w:val="15"/>
        </w:rPr>
        <w:t> </w:t>
      </w:r>
      <w:r>
        <w:rPr>
          <w:color w:val="231F20"/>
        </w:rPr>
        <w:t>conformément</w:t>
      </w:r>
      <w:r>
        <w:rPr>
          <w:color w:val="231F20"/>
          <w:spacing w:val="15"/>
        </w:rPr>
        <w:t> </w:t>
      </w:r>
      <w:r>
        <w:rPr>
          <w:color w:val="231F20"/>
        </w:rPr>
        <w:t>au</w:t>
      </w:r>
      <w:r>
        <w:rPr>
          <w:color w:val="231F20"/>
          <w:spacing w:val="15"/>
        </w:rPr>
        <w:t> </w:t>
      </w:r>
      <w:r>
        <w:rPr>
          <w:color w:val="231F20"/>
        </w:rPr>
        <w:t>1°.</w:t>
      </w:r>
    </w:p>
    <w:p>
      <w:pPr>
        <w:pStyle w:val="BodyText"/>
        <w:spacing w:line="218" w:lineRule="auto" w:before="107"/>
        <w:ind w:right="38"/>
      </w:pPr>
      <w:r>
        <w:rPr>
          <w:color w:val="231F20"/>
        </w:rPr>
        <w:t>Art. 7:18. Nonobstant toute disposition contraire, les fondateurs sont solidairement responsables envers les</w:t>
      </w:r>
      <w:r>
        <w:rPr>
          <w:color w:val="231F20"/>
          <w:spacing w:val="15"/>
        </w:rPr>
        <w:t> </w:t>
      </w:r>
      <w:r>
        <w:rPr>
          <w:color w:val="231F20"/>
        </w:rPr>
        <w:t>intéressés:</w:t>
      </w:r>
    </w:p>
    <w:p>
      <w:pPr>
        <w:pStyle w:val="BodyText"/>
        <w:spacing w:line="218" w:lineRule="auto" w:before="107"/>
        <w:ind w:right="38"/>
      </w:pPr>
      <w:r>
        <w:rPr>
          <w:color w:val="231F20"/>
        </w:rPr>
        <w:t>1° de la réparation du préjudice, qui est une suite immédiate et directe soit de la nullité de la société prononcée  sur  la  base  de  l’article 7:15, soit de l’absence ou de la fausseté des mentions prescrites par l’article 7:14 dans l’acte, soit de la surévaluation manifeste des apports en</w:t>
      </w:r>
      <w:r>
        <w:rPr>
          <w:color w:val="231F20"/>
          <w:spacing w:val="-12"/>
        </w:rPr>
        <w:t> </w:t>
      </w:r>
      <w:r>
        <w:rPr>
          <w:color w:val="231F20"/>
        </w:rPr>
        <w:t>nature;</w:t>
      </w:r>
    </w:p>
    <w:p>
      <w:pPr>
        <w:pStyle w:val="BodyText"/>
        <w:spacing w:line="218" w:lineRule="auto" w:before="107"/>
        <w:ind w:right="38"/>
      </w:pPr>
      <w:r>
        <w:rPr>
          <w:color w:val="231F20"/>
        </w:rPr>
        <w:t>2° des engagements de la société dans une proportion fixée par le juge, en cas de faillite, prononcée dans les trois ans de l’acquisition de la personnalité juridique, si le capital était, lors de la constitution, manifestement </w:t>
      </w:r>
      <w:r>
        <w:rPr>
          <w:color w:val="231F20"/>
          <w:spacing w:val="-3"/>
        </w:rPr>
        <w:t>insuffisant </w:t>
      </w:r>
      <w:r>
        <w:rPr>
          <w:color w:val="231F20"/>
        </w:rPr>
        <w:t>pour assurer l’exercice normal de l’activité projetée pendant une période de deux ans au moins. Le plan financier prescrit par l’article 7:3 est dans ce cas transmis au tribunal par le notaire,</w:t>
      </w:r>
      <w:r>
        <w:rPr>
          <w:color w:val="231F20"/>
          <w:spacing w:val="16"/>
        </w:rPr>
        <w:t> </w:t>
      </w:r>
      <w:r>
        <w:rPr>
          <w:color w:val="231F20"/>
        </w:rPr>
        <w:t>à</w:t>
      </w:r>
      <w:r>
        <w:rPr>
          <w:color w:val="231F20"/>
          <w:spacing w:val="17"/>
        </w:rPr>
        <w:t> </w:t>
      </w:r>
      <w:r>
        <w:rPr>
          <w:color w:val="231F20"/>
        </w:rPr>
        <w:t>la</w:t>
      </w:r>
      <w:r>
        <w:rPr>
          <w:color w:val="231F20"/>
          <w:spacing w:val="17"/>
        </w:rPr>
        <w:t> </w:t>
      </w:r>
      <w:r>
        <w:rPr>
          <w:color w:val="231F20"/>
        </w:rPr>
        <w:t>demande</w:t>
      </w:r>
      <w:r>
        <w:rPr>
          <w:color w:val="231F20"/>
          <w:spacing w:val="16"/>
        </w:rPr>
        <w:t> </w:t>
      </w:r>
      <w:r>
        <w:rPr>
          <w:color w:val="231F20"/>
        </w:rPr>
        <w:t>du</w:t>
      </w:r>
      <w:r>
        <w:rPr>
          <w:color w:val="231F20"/>
          <w:spacing w:val="17"/>
        </w:rPr>
        <w:t> </w:t>
      </w:r>
      <w:r>
        <w:rPr>
          <w:color w:val="231F20"/>
        </w:rPr>
        <w:t>juge-commissaire</w:t>
      </w:r>
      <w:r>
        <w:rPr>
          <w:color w:val="231F20"/>
          <w:spacing w:val="17"/>
        </w:rPr>
        <w:t> </w:t>
      </w:r>
      <w:r>
        <w:rPr>
          <w:color w:val="231F20"/>
        </w:rPr>
        <w:t>ou</w:t>
      </w:r>
      <w:r>
        <w:rPr>
          <w:color w:val="231F20"/>
          <w:spacing w:val="16"/>
        </w:rPr>
        <w:t> </w:t>
      </w:r>
      <w:r>
        <w:rPr>
          <w:color w:val="231F20"/>
        </w:rPr>
        <w:t>du</w:t>
      </w:r>
      <w:r>
        <w:rPr>
          <w:color w:val="231F20"/>
          <w:spacing w:val="17"/>
        </w:rPr>
        <w:t> </w:t>
      </w:r>
      <w:r>
        <w:rPr>
          <w:color w:val="231F20"/>
        </w:rPr>
        <w:t>procureur</w:t>
      </w:r>
      <w:r>
        <w:rPr>
          <w:color w:val="231F20"/>
          <w:spacing w:val="17"/>
        </w:rPr>
        <w:t> </w:t>
      </w:r>
      <w:r>
        <w:rPr>
          <w:color w:val="231F20"/>
        </w:rPr>
        <w:t>du</w:t>
      </w:r>
      <w:r>
        <w:rPr>
          <w:color w:val="231F20"/>
          <w:spacing w:val="16"/>
        </w:rPr>
        <w:t> </w:t>
      </w:r>
      <w:r>
        <w:rPr>
          <w:color w:val="231F20"/>
        </w:rPr>
        <w:t>Roi.</w:t>
      </w:r>
    </w:p>
    <w:p>
      <w:pPr>
        <w:pStyle w:val="BodyText"/>
        <w:spacing w:before="10"/>
        <w:ind w:left="0" w:right="0" w:firstLine="0"/>
        <w:jc w:val="left"/>
        <w:rPr>
          <w:sz w:val="24"/>
        </w:rPr>
      </w:pPr>
    </w:p>
    <w:p>
      <w:pPr>
        <w:pStyle w:val="BodyText"/>
        <w:spacing w:line="218" w:lineRule="auto"/>
        <w:ind w:right="38"/>
      </w:pPr>
      <w:r>
        <w:rPr>
          <w:color w:val="231F20"/>
        </w:rPr>
        <w:t>Art. 7:19. Les personnes qui ont signé ou au nom de qui a été signé l’acte constitutif sont tenues solidairement à la libération des actions souscrites, directement ou au moyen de certificats, en violation de l’article 7:5.</w:t>
      </w:r>
    </w:p>
    <w:p>
      <w:pPr>
        <w:pStyle w:val="BodyText"/>
        <w:spacing w:line="218" w:lineRule="auto" w:before="119"/>
      </w:pPr>
      <w:r>
        <w:rPr/>
        <w:br w:type="column"/>
      </w:r>
      <w:r>
        <w:rPr>
          <w:color w:val="231F20"/>
        </w:rPr>
        <w:t>7° de nadere omschrijving van elke inbreng in natura, de naam van de inbrenger, de naam van de bedrijfsrevisor en de conclusies van zijn verslag, het aantal en de nominale waarde van de aandelen of, bij gebrek aan nominale waarde, het aantal aandelen die tegen elke inbreng zijn uitgegeven evenals, in voorkomend geval, de andere voorwaarden</w:t>
      </w:r>
      <w:r>
        <w:rPr>
          <w:color w:val="231F20"/>
          <w:spacing w:val="16"/>
        </w:rPr>
        <w:t> </w:t>
      </w:r>
      <w:r>
        <w:rPr>
          <w:color w:val="231F20"/>
        </w:rPr>
        <w:t>waarop</w:t>
      </w:r>
      <w:r>
        <w:rPr>
          <w:color w:val="231F20"/>
          <w:spacing w:val="16"/>
        </w:rPr>
        <w:t> </w:t>
      </w:r>
      <w:r>
        <w:rPr>
          <w:color w:val="231F20"/>
        </w:rPr>
        <w:t>de</w:t>
      </w:r>
      <w:r>
        <w:rPr>
          <w:color w:val="231F20"/>
          <w:spacing w:val="16"/>
        </w:rPr>
        <w:t> </w:t>
      </w:r>
      <w:r>
        <w:rPr>
          <w:color w:val="231F20"/>
        </w:rPr>
        <w:t>inbreng</w:t>
      </w:r>
      <w:r>
        <w:rPr>
          <w:color w:val="231F20"/>
          <w:spacing w:val="16"/>
        </w:rPr>
        <w:t> </w:t>
      </w:r>
      <w:r>
        <w:rPr>
          <w:color w:val="231F20"/>
        </w:rPr>
        <w:t>is</w:t>
      </w:r>
      <w:r>
        <w:rPr>
          <w:color w:val="231F20"/>
          <w:spacing w:val="16"/>
        </w:rPr>
        <w:t> </w:t>
      </w:r>
      <w:r>
        <w:rPr>
          <w:color w:val="231F20"/>
        </w:rPr>
        <w:t>gedaan;</w:t>
      </w:r>
    </w:p>
    <w:p>
      <w:pPr>
        <w:pStyle w:val="BodyText"/>
        <w:spacing w:line="218" w:lineRule="auto" w:before="108"/>
      </w:pPr>
      <w:r>
        <w:rPr>
          <w:color w:val="231F20"/>
        </w:rPr>
        <w:t>8° de aard en de omvang van de bijzondere voordelen die worden toegekend aan elke oprichter of aan ieder die rechtstreeks of zijdelings aan de oprichting van de vennootschap deelgenomen heeft;</w:t>
      </w:r>
    </w:p>
    <w:p>
      <w:pPr>
        <w:pStyle w:val="BodyText"/>
        <w:spacing w:line="218" w:lineRule="auto" w:before="106"/>
      </w:pPr>
      <w:r>
        <w:rPr>
          <w:color w:val="231F20"/>
        </w:rPr>
        <w:t>9° het totale bedrag, althans bij benadering, van de kosten, uitgaven, vergoedingen of lasten, in welke vorm ook, die voor rekening van de vennootschap komen of worden gebracht wegens haar oprichting;</w:t>
      </w:r>
    </w:p>
    <w:p>
      <w:pPr>
        <w:pStyle w:val="BodyText"/>
        <w:spacing w:before="10"/>
        <w:ind w:left="0" w:right="0" w:firstLine="0"/>
        <w:jc w:val="left"/>
        <w:rPr>
          <w:sz w:val="24"/>
        </w:rPr>
      </w:pPr>
    </w:p>
    <w:p>
      <w:pPr>
        <w:pStyle w:val="BodyText"/>
        <w:spacing w:line="218" w:lineRule="auto"/>
      </w:pPr>
      <w:r>
        <w:rPr>
          <w:color w:val="231F20"/>
        </w:rPr>
        <w:t>10° de overdrachten onder bezwarende titel gedurende de vijf voorgaande jaren van de onroerende goederen die bij de vennootschap zijn ingebracht, evenals de bedingen waaronder deze overdrachten hebben plaatsgehad;</w:t>
      </w:r>
    </w:p>
    <w:p>
      <w:pPr>
        <w:pStyle w:val="BodyText"/>
        <w:spacing w:line="218" w:lineRule="auto" w:before="107"/>
      </w:pPr>
      <w:r>
        <w:rPr>
          <w:color w:val="231F20"/>
        </w:rPr>
        <w:t>11° de hypothecaire lasten of pandrechten waarmee de ingebrachte goederen zijn bezwaard;</w:t>
      </w:r>
    </w:p>
    <w:p>
      <w:pPr>
        <w:pStyle w:val="BodyText"/>
        <w:spacing w:line="218" w:lineRule="auto" w:before="107"/>
      </w:pPr>
      <w:r>
        <w:rPr>
          <w:color w:val="231F20"/>
        </w:rPr>
        <w:t>12° de voorwaarden waaronder ingebrachte optierechten kunnen worden uitgeoefend.</w:t>
      </w:r>
    </w:p>
    <w:p>
      <w:pPr>
        <w:pStyle w:val="BodyText"/>
        <w:spacing w:line="218" w:lineRule="auto" w:before="107"/>
      </w:pPr>
      <w:r>
        <w:rPr>
          <w:color w:val="231F20"/>
        </w:rPr>
        <w:t>De gegevens bedoeld onder 3° tot en met 6°, moeten worden opgenomen in het deel van de akte dat de statuten bevat.</w:t>
      </w:r>
    </w:p>
    <w:p>
      <w:pPr>
        <w:pStyle w:val="BodyText"/>
        <w:spacing w:line="218" w:lineRule="auto" w:before="107"/>
      </w:pPr>
      <w:r>
        <w:rPr>
          <w:color w:val="231F20"/>
        </w:rPr>
        <w:t>In de volmachten moeten de gegevens bedoeld in artikel 2:8, § 2, 1°, 2°, 3°, 5°, 12°, worden opgenomen.</w:t>
      </w:r>
    </w:p>
    <w:p>
      <w:pPr>
        <w:pStyle w:val="BodyText"/>
        <w:spacing w:before="92"/>
        <w:ind w:left="283" w:right="0" w:firstLine="0"/>
        <w:jc w:val="left"/>
      </w:pPr>
      <w:r>
        <w:rPr>
          <w:color w:val="231F20"/>
        </w:rPr>
        <w:t>HOOFDSTUK 5. Nietigheid.</w:t>
      </w:r>
    </w:p>
    <w:p>
      <w:pPr>
        <w:pStyle w:val="BodyText"/>
        <w:spacing w:line="218" w:lineRule="auto" w:before="104"/>
      </w:pPr>
      <w:r>
        <w:rPr>
          <w:color w:val="231F20"/>
        </w:rPr>
        <w:t>Art. 7:15. De nietigheid van een naamloze vennootschap kan alleen in de hiernavolgende gevallen worden uitgesproken:</w:t>
      </w:r>
    </w:p>
    <w:p>
      <w:pPr>
        <w:pStyle w:val="BodyText"/>
        <w:spacing w:line="218" w:lineRule="auto" w:before="107"/>
      </w:pPr>
      <w:r>
        <w:rPr>
          <w:color w:val="231F20"/>
        </w:rPr>
        <w:t>1° wanneer de oprichtingsakte niet werd opgemaakt in de vereiste vorm;</w:t>
      </w:r>
    </w:p>
    <w:p>
      <w:pPr>
        <w:pStyle w:val="BodyText"/>
        <w:spacing w:line="218" w:lineRule="auto" w:before="106"/>
      </w:pPr>
      <w:r>
        <w:rPr>
          <w:color w:val="231F20"/>
        </w:rPr>
        <w:t>2° wanneer in de oprichtingsakte geen gegevens voorkomen over de naam en het voorwerp van de vennootschap, de inbreng of het bedrag van het geplaatste kapitaal;</w:t>
      </w:r>
    </w:p>
    <w:p>
      <w:pPr>
        <w:pStyle w:val="BodyText"/>
        <w:spacing w:line="218" w:lineRule="auto" w:before="107"/>
      </w:pPr>
      <w:r>
        <w:rPr>
          <w:color w:val="231F20"/>
        </w:rPr>
        <w:t>3° wanneer het voorwerp van de vennootschap ongeoorloofd is of strijdig met de openbare orde;</w:t>
      </w:r>
    </w:p>
    <w:p>
      <w:pPr>
        <w:pStyle w:val="BodyText"/>
        <w:spacing w:before="93"/>
        <w:ind w:left="283" w:right="0" w:firstLine="0"/>
        <w:jc w:val="left"/>
      </w:pPr>
      <w:r>
        <w:rPr>
          <w:color w:val="231F20"/>
        </w:rPr>
        <w:t>4° wanneer er geen geldig verbonden oprichter is.</w:t>
      </w:r>
    </w:p>
    <w:p>
      <w:pPr>
        <w:pStyle w:val="BodyText"/>
        <w:spacing w:line="218" w:lineRule="auto" w:before="103"/>
      </w:pPr>
      <w:r>
        <w:rPr>
          <w:color w:val="231F20"/>
        </w:rPr>
        <w:t>Art. 7:16. Bepalingen die aan één van de aandeelhouders de gehele winst toekennen, of aan één of meer aandeelhouders enige deelname in de winst ontzeggen, worden voor niet geschreven gehouden.</w:t>
      </w:r>
    </w:p>
    <w:p>
      <w:pPr>
        <w:pStyle w:val="BodyText"/>
        <w:spacing w:before="93"/>
        <w:ind w:left="283" w:right="0" w:firstLine="0"/>
        <w:jc w:val="left"/>
      </w:pPr>
      <w:r>
        <w:rPr>
          <w:color w:val="231F20"/>
        </w:rPr>
        <w:t>HOOFDSTUK 6. Garantie en aansprakelijkheid.</w:t>
      </w:r>
    </w:p>
    <w:p>
      <w:pPr>
        <w:pStyle w:val="BodyText"/>
        <w:spacing w:line="218" w:lineRule="auto" w:before="103"/>
      </w:pPr>
      <w:r>
        <w:rPr>
          <w:color w:val="231F20"/>
        </w:rPr>
        <w:t>Art. 7:17. Niettegenstaande andersluidende bepaling, zijn de oprich- ters jegens de belanghebbenden hoofdelijk gehouden:</w:t>
      </w:r>
    </w:p>
    <w:p>
      <w:pPr>
        <w:pStyle w:val="BodyText"/>
        <w:spacing w:line="218" w:lineRule="auto" w:before="107"/>
        <w:ind w:right="123"/>
      </w:pPr>
      <w:r>
        <w:rPr>
          <w:color w:val="231F20"/>
        </w:rPr>
        <w:t>1° voor het volle gedeelte van het kapitaal waarvoor niet op geldige wijze is ingeschreven overeenkomstig artikel 7:4, evenals voor het eventuele verschil tussen het minimumkapitaal vereist bij artikel 7:2 en het bedrag van de inschrijvingen; zij worden van rechtswege als inschrijvers ervan beschouwd;</w:t>
      </w:r>
    </w:p>
    <w:p>
      <w:pPr>
        <w:pStyle w:val="BodyText"/>
        <w:spacing w:line="218" w:lineRule="auto" w:before="107"/>
        <w:ind w:right="123"/>
      </w:pPr>
      <w:r>
        <w:rPr>
          <w:color w:val="231F20"/>
        </w:rPr>
        <w:t>2° tot werkelijke storting van het in artikel 7:2, bepaalde minimum- kapitaal, tot werkelijke storting van een vierde op de aandelen, tot volstorting binnen vijf jaar van de aandelen die geheel of ten dele overeenstemmen met inbreng in natura, krachtens artikel 7:11, evenals tot werkelijke volstorting van het gedeelte van het kapitaal waarvoor zij </w:t>
      </w:r>
      <w:r>
        <w:rPr>
          <w:color w:val="231F20"/>
          <w:spacing w:val="-3"/>
        </w:rPr>
        <w:t>overeenkomstig </w:t>
      </w:r>
      <w:r>
        <w:rPr>
          <w:color w:val="231F20"/>
        </w:rPr>
        <w:t>de </w:t>
      </w:r>
      <w:r>
        <w:rPr>
          <w:color w:val="231F20"/>
          <w:spacing w:val="-3"/>
        </w:rPr>
        <w:t>bepaling onder </w:t>
      </w:r>
      <w:r>
        <w:rPr>
          <w:color w:val="231F20"/>
        </w:rPr>
        <w:t>1° als </w:t>
      </w:r>
      <w:r>
        <w:rPr>
          <w:color w:val="231F20"/>
          <w:spacing w:val="-3"/>
        </w:rPr>
        <w:t>inschrijvers worden beschouwd.</w:t>
      </w:r>
    </w:p>
    <w:p>
      <w:pPr>
        <w:pStyle w:val="BodyText"/>
        <w:spacing w:line="218" w:lineRule="auto" w:before="107"/>
      </w:pPr>
      <w:r>
        <w:rPr>
          <w:color w:val="231F20"/>
        </w:rPr>
        <w:t>Art. 7:18. Niettegenstaande andersluidende bepaling, zijn de oprich- ters jegens de belanghebbenden hoofdelijk aansprakelijk:</w:t>
      </w:r>
    </w:p>
    <w:p>
      <w:pPr>
        <w:pStyle w:val="BodyText"/>
        <w:spacing w:line="218" w:lineRule="auto" w:before="107"/>
      </w:pPr>
      <w:r>
        <w:rPr>
          <w:color w:val="231F20"/>
        </w:rPr>
        <w:t>1° voor de schade die het onmiddellijke en rechtstreekse gevolg is, hetzij van de nietigheid van de vennootschap uitgesproken op grond van artikel 7:15, hetzij van het ontbreken of de onjuistheid van de bij artikel 7:14 voorgeschreven vermeldingen in de akte, hetzij van de kennelijke</w:t>
      </w:r>
      <w:r>
        <w:rPr>
          <w:color w:val="231F20"/>
          <w:spacing w:val="15"/>
        </w:rPr>
        <w:t> </w:t>
      </w:r>
      <w:r>
        <w:rPr>
          <w:color w:val="231F20"/>
        </w:rPr>
        <w:t>overwaardering</w:t>
      </w:r>
      <w:r>
        <w:rPr>
          <w:color w:val="231F20"/>
          <w:spacing w:val="16"/>
        </w:rPr>
        <w:t> </w:t>
      </w:r>
      <w:r>
        <w:rPr>
          <w:color w:val="231F20"/>
        </w:rPr>
        <w:t>van</w:t>
      </w:r>
      <w:r>
        <w:rPr>
          <w:color w:val="231F20"/>
          <w:spacing w:val="15"/>
        </w:rPr>
        <w:t> </w:t>
      </w:r>
      <w:r>
        <w:rPr>
          <w:color w:val="231F20"/>
        </w:rPr>
        <w:t>inbrengen</w:t>
      </w:r>
      <w:r>
        <w:rPr>
          <w:color w:val="231F20"/>
          <w:spacing w:val="16"/>
        </w:rPr>
        <w:t> </w:t>
      </w:r>
      <w:r>
        <w:rPr>
          <w:color w:val="231F20"/>
        </w:rPr>
        <w:t>in</w:t>
      </w:r>
      <w:r>
        <w:rPr>
          <w:color w:val="231F20"/>
          <w:spacing w:val="16"/>
        </w:rPr>
        <w:t> </w:t>
      </w:r>
      <w:r>
        <w:rPr>
          <w:color w:val="231F20"/>
        </w:rPr>
        <w:t>natura;</w:t>
      </w:r>
    </w:p>
    <w:p>
      <w:pPr>
        <w:pStyle w:val="BodyText"/>
        <w:spacing w:line="218" w:lineRule="auto" w:before="107"/>
        <w:ind w:right="121"/>
      </w:pPr>
      <w:r>
        <w:rPr>
          <w:color w:val="231F20"/>
        </w:rPr>
        <w:t>2° voor de verbintenissen van de vennootschap, naar een verhouding die de rechter vaststelt, in geval van faillissement uitgesproken binnen drie jaar na de verkrijging van de rechtspersoonlijkheid, indien het kapitaal bij de oprichting kennelijk ontoereikend was voor de normale uitoefening van de voorgenomen bedrijvigheid over ten minste twee </w:t>
      </w:r>
      <w:r>
        <w:rPr>
          <w:color w:val="231F20"/>
          <w:spacing w:val="-3"/>
        </w:rPr>
        <w:t>jaar. </w:t>
      </w:r>
      <w:r>
        <w:rPr>
          <w:color w:val="231F20"/>
        </w:rPr>
        <w:t>In dit geval maakt de notaris, op verzoek van de rechter- </w:t>
      </w:r>
      <w:r>
        <w:rPr>
          <w:color w:val="231F20"/>
          <w:spacing w:val="3"/>
        </w:rPr>
        <w:t>commissaris</w:t>
      </w:r>
      <w:r>
        <w:rPr>
          <w:color w:val="231F20"/>
          <w:spacing w:val="47"/>
        </w:rPr>
        <w:t> </w:t>
      </w:r>
      <w:r>
        <w:rPr>
          <w:color w:val="231F20"/>
        </w:rPr>
        <w:t>of   </w:t>
      </w:r>
      <w:r>
        <w:rPr>
          <w:color w:val="231F20"/>
          <w:spacing w:val="2"/>
        </w:rPr>
        <w:t>van   </w:t>
      </w:r>
      <w:r>
        <w:rPr>
          <w:color w:val="231F20"/>
        </w:rPr>
        <w:t>de   </w:t>
      </w:r>
      <w:r>
        <w:rPr>
          <w:color w:val="231F20"/>
          <w:spacing w:val="2"/>
        </w:rPr>
        <w:t>procureur   des   </w:t>
      </w:r>
      <w:r>
        <w:rPr>
          <w:color w:val="231F20"/>
          <w:spacing w:val="3"/>
        </w:rPr>
        <w:t>Konings,   </w:t>
      </w:r>
      <w:r>
        <w:rPr>
          <w:color w:val="231F20"/>
          <w:spacing w:val="2"/>
        </w:rPr>
        <w:t>het   </w:t>
      </w:r>
      <w:r>
        <w:rPr>
          <w:color w:val="231F20"/>
        </w:rPr>
        <w:t>in   </w:t>
      </w:r>
      <w:r>
        <w:rPr>
          <w:color w:val="231F20"/>
          <w:spacing w:val="4"/>
        </w:rPr>
        <w:t>arti- </w:t>
      </w:r>
      <w:r>
        <w:rPr>
          <w:color w:val="231F20"/>
        </w:rPr>
        <w:t>kel</w:t>
      </w:r>
      <w:r>
        <w:rPr>
          <w:color w:val="231F20"/>
          <w:spacing w:val="15"/>
        </w:rPr>
        <w:t> </w:t>
      </w:r>
      <w:r>
        <w:rPr>
          <w:color w:val="231F20"/>
        </w:rPr>
        <w:t>7:3</w:t>
      </w:r>
      <w:r>
        <w:rPr>
          <w:color w:val="231F20"/>
          <w:spacing w:val="15"/>
        </w:rPr>
        <w:t> </w:t>
      </w:r>
      <w:r>
        <w:rPr>
          <w:color w:val="231F20"/>
        </w:rPr>
        <w:t>voorgeschreven</w:t>
      </w:r>
      <w:r>
        <w:rPr>
          <w:color w:val="231F20"/>
          <w:spacing w:val="15"/>
        </w:rPr>
        <w:t> </w:t>
      </w:r>
      <w:r>
        <w:rPr>
          <w:color w:val="231F20"/>
        </w:rPr>
        <w:t>financieel</w:t>
      </w:r>
      <w:r>
        <w:rPr>
          <w:color w:val="231F20"/>
          <w:spacing w:val="15"/>
        </w:rPr>
        <w:t> </w:t>
      </w:r>
      <w:r>
        <w:rPr>
          <w:color w:val="231F20"/>
        </w:rPr>
        <w:t>plan</w:t>
      </w:r>
      <w:r>
        <w:rPr>
          <w:color w:val="231F20"/>
          <w:spacing w:val="16"/>
        </w:rPr>
        <w:t> </w:t>
      </w:r>
      <w:r>
        <w:rPr>
          <w:color w:val="231F20"/>
        </w:rPr>
        <w:t>aan</w:t>
      </w:r>
      <w:r>
        <w:rPr>
          <w:color w:val="231F20"/>
          <w:spacing w:val="15"/>
        </w:rPr>
        <w:t> </w:t>
      </w:r>
      <w:r>
        <w:rPr>
          <w:color w:val="231F20"/>
        </w:rPr>
        <w:t>de</w:t>
      </w:r>
      <w:r>
        <w:rPr>
          <w:color w:val="231F20"/>
          <w:spacing w:val="15"/>
        </w:rPr>
        <w:t> </w:t>
      </w:r>
      <w:r>
        <w:rPr>
          <w:color w:val="231F20"/>
        </w:rPr>
        <w:t>rechtbank</w:t>
      </w:r>
      <w:r>
        <w:rPr>
          <w:color w:val="231F20"/>
          <w:spacing w:val="15"/>
        </w:rPr>
        <w:t> </w:t>
      </w:r>
      <w:r>
        <w:rPr>
          <w:color w:val="231F20"/>
          <w:spacing w:val="-3"/>
        </w:rPr>
        <w:t>over.</w:t>
      </w:r>
    </w:p>
    <w:p>
      <w:pPr>
        <w:pStyle w:val="BodyText"/>
        <w:spacing w:line="218" w:lineRule="auto" w:before="107"/>
      </w:pPr>
      <w:r>
        <w:rPr>
          <w:color w:val="231F20"/>
        </w:rPr>
        <w:t>Art. 7:19. De personen door of namens wie de oprichtingsakte is ondertekend, zijn hoofdelijk gehouden tot volstorting van de aandelen waarop rechtstreeks of middels certificaten is ingeschreven in strijd</w:t>
      </w:r>
      <w:r>
        <w:rPr>
          <w:color w:val="231F20"/>
          <w:spacing w:val="-21"/>
        </w:rPr>
        <w:t> </w:t>
      </w:r>
      <w:r>
        <w:rPr>
          <w:color w:val="231F20"/>
        </w:rPr>
        <w:t>met artikel</w:t>
      </w:r>
      <w:r>
        <w:rPr>
          <w:color w:val="231F20"/>
          <w:spacing w:val="14"/>
        </w:rPr>
        <w:t> </w:t>
      </w:r>
      <w:r>
        <w:rPr>
          <w:color w:val="231F20"/>
        </w:rPr>
        <w:t>7:5.</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4648" from="298.170502pt,64.473pt" to="298.170502pt,812.819pt" stroked="true" strokeweight=".533pt" strokecolor="#231f20">
            <v:stroke dashstyle="solid"/>
            <w10:wrap type="none"/>
          </v:line>
        </w:pict>
      </w:r>
      <w:bookmarkStart w:name="_bookmark151" w:id="156"/>
      <w:bookmarkEnd w:id="156"/>
      <w:r>
        <w:rPr/>
      </w:r>
      <w:r>
        <w:rPr>
          <w:color w:val="231F20"/>
        </w:rPr>
        <w:t>Art. 7:20. Nonobstant toute disposition contraire, les administrateurs sont tenus solidairement envers les intéressés, de la réparation du préjudice qui est une suite immédiate et directe de la surévaluation manifeste des biens acquis dans les conditions énoncées à l’article 7:8.</w:t>
      </w:r>
    </w:p>
    <w:p>
      <w:pPr>
        <w:pStyle w:val="BodyText"/>
        <w:ind w:left="0" w:right="0" w:firstLine="0"/>
        <w:jc w:val="left"/>
        <w:rPr>
          <w:sz w:val="23"/>
        </w:rPr>
      </w:pPr>
    </w:p>
    <w:p>
      <w:pPr>
        <w:pStyle w:val="BodyText"/>
        <w:spacing w:line="218" w:lineRule="auto"/>
        <w:ind w:right="38"/>
      </w:pPr>
      <w:r>
        <w:rPr>
          <w:color w:val="231F20"/>
        </w:rPr>
        <w:t>Art. 7:21. Ceux qui ont pris un engagement pour des tiers, soit comme mandataire, soit en se portant fort, sont réputés personnelle- ment obligés, s’il n’y a pas mandat valable ou si l’engagement n’est pas ratifié dans les deux mois de la stipulation; ce délai est réduit à quinze jours si les noms des personnes pour lesquelles la stipulation a été faite ne sont pas indiqués. Les fondateurs sont solidairement tenus de ces engagements.</w:t>
      </w:r>
    </w:p>
    <w:p>
      <w:pPr>
        <w:pStyle w:val="BodyText"/>
        <w:spacing w:before="9"/>
        <w:ind w:left="0" w:right="0" w:firstLine="0"/>
        <w:jc w:val="left"/>
        <w:rPr>
          <w:sz w:val="21"/>
        </w:rPr>
      </w:pPr>
    </w:p>
    <w:p>
      <w:pPr>
        <w:pStyle w:val="BodyText"/>
        <w:spacing w:line="319" w:lineRule="auto"/>
        <w:ind w:left="283" w:right="2109" w:firstLine="0"/>
        <w:jc w:val="left"/>
      </w:pPr>
      <w:r>
        <w:rPr>
          <w:color w:val="231F20"/>
        </w:rPr>
        <w:t>TITRE 3. Des titres et de leur transfert. CHAPITRE 1</w:t>
      </w:r>
      <w:r>
        <w:rPr>
          <w:color w:val="231F20"/>
          <w:position w:val="7"/>
          <w:sz w:val="11"/>
        </w:rPr>
        <w:t>er</w:t>
      </w:r>
      <w:r>
        <w:rPr>
          <w:color w:val="231F20"/>
        </w:rPr>
        <w:t>. Dispositions générales.</w:t>
      </w:r>
    </w:p>
    <w:p>
      <w:pPr>
        <w:pStyle w:val="BodyText"/>
        <w:spacing w:line="218" w:lineRule="auto" w:before="28"/>
        <w:ind w:right="38"/>
      </w:pPr>
      <w:r>
        <w:rPr>
          <w:color w:val="231F20"/>
        </w:rPr>
        <w:t>Art.</w:t>
      </w:r>
      <w:r>
        <w:rPr>
          <w:color w:val="231F20"/>
          <w:spacing w:val="-6"/>
        </w:rPr>
        <w:t> </w:t>
      </w:r>
      <w:r>
        <w:rPr>
          <w:color w:val="231F20"/>
        </w:rPr>
        <w:t>7:22.</w:t>
      </w:r>
      <w:r>
        <w:rPr>
          <w:color w:val="231F20"/>
          <w:spacing w:val="-6"/>
        </w:rPr>
        <w:t> </w:t>
      </w:r>
      <w:r>
        <w:rPr>
          <w:color w:val="231F20"/>
        </w:rPr>
        <w:t>Une</w:t>
      </w:r>
      <w:r>
        <w:rPr>
          <w:color w:val="231F20"/>
          <w:spacing w:val="-6"/>
        </w:rPr>
        <w:t> </w:t>
      </w:r>
      <w:r>
        <w:rPr>
          <w:color w:val="231F20"/>
        </w:rPr>
        <w:t>société</w:t>
      </w:r>
      <w:r>
        <w:rPr>
          <w:color w:val="231F20"/>
          <w:spacing w:val="-6"/>
        </w:rPr>
        <w:t> </w:t>
      </w:r>
      <w:r>
        <w:rPr>
          <w:color w:val="231F20"/>
        </w:rPr>
        <w:t>anonyme</w:t>
      </w:r>
      <w:r>
        <w:rPr>
          <w:color w:val="231F20"/>
          <w:spacing w:val="-6"/>
        </w:rPr>
        <w:t> </w:t>
      </w:r>
      <w:r>
        <w:rPr>
          <w:color w:val="231F20"/>
        </w:rPr>
        <w:t>peut</w:t>
      </w:r>
      <w:r>
        <w:rPr>
          <w:color w:val="231F20"/>
          <w:spacing w:val="-6"/>
        </w:rPr>
        <w:t> </w:t>
      </w:r>
      <w:r>
        <w:rPr>
          <w:color w:val="231F20"/>
        </w:rPr>
        <w:t>émettre</w:t>
      </w:r>
      <w:r>
        <w:rPr>
          <w:color w:val="231F20"/>
          <w:spacing w:val="-6"/>
        </w:rPr>
        <w:t> </w:t>
      </w:r>
      <w:r>
        <w:rPr>
          <w:color w:val="231F20"/>
        </w:rPr>
        <w:t>tous</w:t>
      </w:r>
      <w:r>
        <w:rPr>
          <w:color w:val="231F20"/>
          <w:spacing w:val="-6"/>
        </w:rPr>
        <w:t> </w:t>
      </w:r>
      <w:r>
        <w:rPr>
          <w:color w:val="231F20"/>
        </w:rPr>
        <w:t>les</w:t>
      </w:r>
      <w:r>
        <w:rPr>
          <w:color w:val="231F20"/>
          <w:spacing w:val="-6"/>
        </w:rPr>
        <w:t> </w:t>
      </w:r>
      <w:r>
        <w:rPr>
          <w:color w:val="231F20"/>
        </w:rPr>
        <w:t>titres</w:t>
      </w:r>
      <w:r>
        <w:rPr>
          <w:color w:val="231F20"/>
          <w:spacing w:val="-6"/>
        </w:rPr>
        <w:t> </w:t>
      </w:r>
      <w:r>
        <w:rPr>
          <w:color w:val="231F20"/>
        </w:rPr>
        <w:t>qui</w:t>
      </w:r>
      <w:r>
        <w:rPr>
          <w:color w:val="231F20"/>
          <w:spacing w:val="-6"/>
        </w:rPr>
        <w:t> </w:t>
      </w:r>
      <w:r>
        <w:rPr>
          <w:color w:val="231F20"/>
        </w:rPr>
        <w:t>ne</w:t>
      </w:r>
      <w:r>
        <w:rPr>
          <w:color w:val="231F20"/>
          <w:spacing w:val="-6"/>
        </w:rPr>
        <w:t> </w:t>
      </w:r>
      <w:r>
        <w:rPr>
          <w:color w:val="231F20"/>
        </w:rPr>
        <w:t>sont pas</w:t>
      </w:r>
      <w:r>
        <w:rPr>
          <w:color w:val="231F20"/>
          <w:spacing w:val="15"/>
        </w:rPr>
        <w:t> </w:t>
      </w:r>
      <w:r>
        <w:rPr>
          <w:color w:val="231F20"/>
        </w:rPr>
        <w:t>interdits</w:t>
      </w:r>
      <w:r>
        <w:rPr>
          <w:color w:val="231F20"/>
          <w:spacing w:val="15"/>
        </w:rPr>
        <w:t> </w:t>
      </w:r>
      <w:r>
        <w:rPr>
          <w:color w:val="231F20"/>
        </w:rPr>
        <w:t>par</w:t>
      </w:r>
      <w:r>
        <w:rPr>
          <w:color w:val="231F20"/>
          <w:spacing w:val="15"/>
        </w:rPr>
        <w:t> </w:t>
      </w:r>
      <w:r>
        <w:rPr>
          <w:color w:val="231F20"/>
        </w:rPr>
        <w:t>la</w:t>
      </w:r>
      <w:r>
        <w:rPr>
          <w:color w:val="231F20"/>
          <w:spacing w:val="15"/>
        </w:rPr>
        <w:t> </w:t>
      </w:r>
      <w:r>
        <w:rPr>
          <w:color w:val="231F20"/>
        </w:rPr>
        <w:t>loi</w:t>
      </w:r>
      <w:r>
        <w:rPr>
          <w:color w:val="231F20"/>
          <w:spacing w:val="16"/>
        </w:rPr>
        <w:t> </w:t>
      </w:r>
      <w:r>
        <w:rPr>
          <w:color w:val="231F20"/>
        </w:rPr>
        <w:t>ou</w:t>
      </w:r>
      <w:r>
        <w:rPr>
          <w:color w:val="231F20"/>
          <w:spacing w:val="15"/>
        </w:rPr>
        <w:t> </w:t>
      </w:r>
      <w:r>
        <w:rPr>
          <w:color w:val="231F20"/>
        </w:rPr>
        <w:t>en</w:t>
      </w:r>
      <w:r>
        <w:rPr>
          <w:color w:val="231F20"/>
          <w:spacing w:val="15"/>
        </w:rPr>
        <w:t> </w:t>
      </w:r>
      <w:r>
        <w:rPr>
          <w:color w:val="231F20"/>
        </w:rPr>
        <w:t>vertu</w:t>
      </w:r>
      <w:r>
        <w:rPr>
          <w:color w:val="231F20"/>
          <w:spacing w:val="15"/>
        </w:rPr>
        <w:t> </w:t>
      </w:r>
      <w:r>
        <w:rPr>
          <w:color w:val="231F20"/>
        </w:rPr>
        <w:t>de</w:t>
      </w:r>
      <w:r>
        <w:rPr>
          <w:color w:val="231F20"/>
          <w:spacing w:val="16"/>
        </w:rPr>
        <w:t> </w:t>
      </w:r>
      <w:r>
        <w:rPr>
          <w:color w:val="231F20"/>
        </w:rPr>
        <w:t>celle-ci.</w:t>
      </w:r>
    </w:p>
    <w:p>
      <w:pPr>
        <w:pStyle w:val="BodyText"/>
        <w:spacing w:before="83"/>
        <w:ind w:left="283" w:right="0" w:firstLine="0"/>
        <w:jc w:val="left"/>
      </w:pPr>
      <w:r>
        <w:rPr>
          <w:color w:val="231F20"/>
        </w:rPr>
        <w:t>Ces titres sont nominatifs ou dématérialisés.</w:t>
      </w:r>
    </w:p>
    <w:p>
      <w:pPr>
        <w:pStyle w:val="BodyText"/>
        <w:spacing w:line="218" w:lineRule="auto" w:before="92"/>
        <w:ind w:right="38"/>
      </w:pPr>
      <w:r>
        <w:rPr>
          <w:color w:val="231F20"/>
        </w:rPr>
        <w:t>Les obligations émises exclusivement à l’étranger et régies par un droit étranger, peuvent cependant prendre la forme de titres indivi- duels ou de titres collectifs au porteur. Ces obligations au porteur ne peuvent toutefois pas être délivrées physiquement en Belgique. Les propriétaires de ces obligations au porteur peuvent, à tout moment, en demander la conversion, à leurs frais, en obligations nominatives.</w:t>
      </w:r>
    </w:p>
    <w:p>
      <w:pPr>
        <w:pStyle w:val="BodyText"/>
        <w:ind w:left="0" w:right="0" w:firstLine="0"/>
        <w:jc w:val="left"/>
        <w:rPr>
          <w:sz w:val="24"/>
        </w:rPr>
      </w:pPr>
    </w:p>
    <w:p>
      <w:pPr>
        <w:pStyle w:val="BodyText"/>
        <w:spacing w:line="218" w:lineRule="auto"/>
        <w:ind w:right="38"/>
      </w:pPr>
      <w:r>
        <w:rPr>
          <w:color w:val="231F20"/>
        </w:rPr>
        <w:t>Art. 7:23. Les propriétaires de titres dématérialisés peuvent, à tout moment, en demander la conversion, à leurs frais, en titres nominatifs.</w:t>
      </w:r>
    </w:p>
    <w:p>
      <w:pPr>
        <w:pStyle w:val="BodyText"/>
        <w:spacing w:before="10"/>
        <w:ind w:left="0" w:right="0" w:firstLine="0"/>
        <w:jc w:val="left"/>
        <w:rPr>
          <w:sz w:val="23"/>
        </w:rPr>
      </w:pPr>
    </w:p>
    <w:p>
      <w:pPr>
        <w:pStyle w:val="BodyText"/>
        <w:spacing w:line="218" w:lineRule="auto" w:before="1"/>
        <w:ind w:right="38"/>
      </w:pPr>
      <w:r>
        <w:rPr>
          <w:color w:val="231F20"/>
        </w:rPr>
        <w:t>Art. 7:24. Si plusieurs personnes ont des droits réels sur une même action ou part bénéficiaire, la société peut suspendre l’exercice du droit de vote, jusqu’à ce qu’une seule personne ait été désignée comme titulaire à son égard du droit de vote.</w:t>
      </w:r>
    </w:p>
    <w:p>
      <w:pPr>
        <w:pStyle w:val="BodyText"/>
        <w:spacing w:line="218" w:lineRule="auto" w:before="96"/>
        <w:ind w:right="38"/>
      </w:pPr>
      <w:r>
        <w:rPr>
          <w:color w:val="231F20"/>
        </w:rPr>
        <w:t>Art. 7:25. En cas de décès de l’actionnaire unique, sauf disposition statutaire contraire, les droits afférents aux actions sont exercés par les héritiers et légataires régulièrement saisis ou envoyés en possession, proportionnellement à leurs droits dans la succession, jusqu’au jour du partage desdites actions ou jusqu’à la délivrance des legs portant sur celles-ci.</w:t>
      </w:r>
    </w:p>
    <w:p>
      <w:pPr>
        <w:pStyle w:val="BodyText"/>
        <w:spacing w:before="11"/>
        <w:ind w:left="0" w:right="0" w:firstLine="0"/>
        <w:jc w:val="left"/>
        <w:rPr>
          <w:sz w:val="23"/>
        </w:rPr>
      </w:pPr>
    </w:p>
    <w:p>
      <w:pPr>
        <w:pStyle w:val="BodyText"/>
        <w:spacing w:line="218" w:lineRule="auto"/>
        <w:ind w:right="38"/>
      </w:pPr>
      <w:r>
        <w:rPr>
          <w:color w:val="231F20"/>
        </w:rPr>
        <w:t>Art. 7:26. Par dérogation aux articles 7:24 et 7:25 et sauf disposition statutaire, testamentaire ou conventionnelle contraire, l’usufruitier de titres exerce tous les droits attachés à ceux-ci.</w:t>
      </w:r>
    </w:p>
    <w:p>
      <w:pPr>
        <w:pStyle w:val="BodyText"/>
        <w:spacing w:before="8"/>
        <w:ind w:left="0" w:right="0" w:firstLine="0"/>
        <w:jc w:val="left"/>
        <w:rPr>
          <w:sz w:val="22"/>
        </w:rPr>
      </w:pPr>
    </w:p>
    <w:p>
      <w:pPr>
        <w:pStyle w:val="BodyText"/>
        <w:spacing w:line="319" w:lineRule="auto"/>
        <w:ind w:left="283" w:right="2109" w:firstLine="0"/>
        <w:jc w:val="left"/>
      </w:pPr>
      <w:r>
        <w:rPr>
          <w:color w:val="231F20"/>
        </w:rPr>
        <w:t>CHAPITRE 2. De la forme des titres. Section 1</w:t>
      </w:r>
      <w:r>
        <w:rPr>
          <w:color w:val="231F20"/>
          <w:position w:val="7"/>
          <w:sz w:val="11"/>
        </w:rPr>
        <w:t>re</w:t>
      </w:r>
      <w:r>
        <w:rPr>
          <w:color w:val="231F20"/>
        </w:rPr>
        <w:t>. Titres nominatifs.</w:t>
      </w:r>
    </w:p>
    <w:p>
      <w:pPr>
        <w:pStyle w:val="BodyText"/>
        <w:spacing w:line="218" w:lineRule="auto" w:before="29"/>
        <w:ind w:right="38"/>
      </w:pPr>
      <w:r>
        <w:rPr>
          <w:color w:val="231F20"/>
        </w:rPr>
        <w:t>Art. 7:27. Le titre nominatif est représenté par une inscription dans le registre pertinent visé à l’article 7:28. Ce titre peut aussi être établi par la mention du nom de son titulaire dans l’acte d’émission.</w:t>
      </w:r>
    </w:p>
    <w:p>
      <w:pPr>
        <w:pStyle w:val="BodyText"/>
        <w:spacing w:before="10"/>
        <w:ind w:left="0" w:right="0" w:firstLine="0"/>
        <w:jc w:val="left"/>
        <w:rPr>
          <w:sz w:val="23"/>
        </w:rPr>
      </w:pPr>
    </w:p>
    <w:p>
      <w:pPr>
        <w:pStyle w:val="BodyText"/>
        <w:spacing w:line="218" w:lineRule="auto"/>
        <w:ind w:right="38"/>
      </w:pPr>
      <w:r>
        <w:rPr>
          <w:color w:val="231F20"/>
        </w:rPr>
        <w:t>Art. 7:28. La société tient à son siège un registre pour chaque catégorie de titres nominatifs que la société a émis. Nonobstant toute disposition contraire, les titulaires de titres peuvent prendre connais- sance de l’intégralité du registre concernant leur catégorie de titres. L’organe d’administration peut décider que le registre sera tenu sous la forme électronique. Le Roi peut déterminer les conditions auxquelles le registre électronique doit satisfaire.</w:t>
      </w:r>
    </w:p>
    <w:p>
      <w:pPr>
        <w:pStyle w:val="BodyText"/>
        <w:spacing w:before="8"/>
        <w:ind w:left="0" w:right="0" w:firstLine="0"/>
        <w:jc w:val="left"/>
        <w:rPr>
          <w:sz w:val="22"/>
        </w:rPr>
      </w:pPr>
    </w:p>
    <w:p>
      <w:pPr>
        <w:pStyle w:val="BodyText"/>
        <w:spacing w:before="1"/>
        <w:ind w:left="283" w:right="0" w:firstLine="0"/>
        <w:jc w:val="left"/>
      </w:pPr>
      <w:r>
        <w:rPr>
          <w:color w:val="231F20"/>
        </w:rPr>
        <w:t>Art. 7:29. Le registre des actions nominatives mentionne:</w:t>
      </w:r>
    </w:p>
    <w:p>
      <w:pPr>
        <w:pStyle w:val="BodyText"/>
        <w:spacing w:line="218" w:lineRule="auto" w:before="92"/>
        <w:ind w:right="38"/>
      </w:pPr>
      <w:r>
        <w:rPr>
          <w:color w:val="231F20"/>
        </w:rPr>
        <w:t>1° le nombre total des actions émises par la société et, le cas échéant, le nombre total par classe;</w:t>
      </w:r>
    </w:p>
    <w:p>
      <w:pPr>
        <w:pStyle w:val="BodyText"/>
        <w:spacing w:line="211" w:lineRule="auto" w:before="101"/>
        <w:ind w:right="38"/>
      </w:pPr>
      <w:r>
        <w:rPr>
          <w:color w:val="231F20"/>
        </w:rPr>
        <w:t>2° pour les personnes physiques, le nom et le domicile et pour les personnes morales, la dénomination, le siège et le numéro d’immatri- culation</w:t>
      </w:r>
      <w:r>
        <w:rPr>
          <w:color w:val="231F20"/>
          <w:spacing w:val="10"/>
        </w:rPr>
        <w:t> </w:t>
      </w:r>
      <w:r>
        <w:rPr>
          <w:color w:val="231F20"/>
          <w:spacing w:val="3"/>
        </w:rPr>
        <w:t>visé</w:t>
      </w:r>
      <w:r>
        <w:rPr>
          <w:color w:val="231F20"/>
          <w:spacing w:val="-4"/>
        </w:rPr>
        <w:t> </w:t>
      </w:r>
      <w:r>
        <w:rPr>
          <w:color w:val="231F20"/>
        </w:rPr>
        <w:t>à</w:t>
      </w:r>
      <w:r>
        <w:rPr>
          <w:color w:val="231F20"/>
          <w:spacing w:val="10"/>
        </w:rPr>
        <w:t> </w:t>
      </w:r>
      <w:r>
        <w:rPr>
          <w:color w:val="231F20"/>
        </w:rPr>
        <w:t>l’article</w:t>
      </w:r>
      <w:r>
        <w:rPr>
          <w:color w:val="231F20"/>
          <w:spacing w:val="11"/>
        </w:rPr>
        <w:t> </w:t>
      </w:r>
      <w:r>
        <w:rPr>
          <w:color w:val="231F20"/>
        </w:rPr>
        <w:t>2:24,</w:t>
      </w:r>
      <w:r>
        <w:rPr>
          <w:color w:val="231F20"/>
          <w:spacing w:val="10"/>
        </w:rPr>
        <w:t> </w:t>
      </w:r>
      <w:r>
        <w:rPr>
          <w:color w:val="231F20"/>
        </w:rPr>
        <w:t>§</w:t>
      </w:r>
      <w:r>
        <w:rPr>
          <w:color w:val="231F20"/>
          <w:spacing w:val="10"/>
        </w:rPr>
        <w:t> </w:t>
      </w:r>
      <w:r>
        <w:rPr>
          <w:color w:val="231F20"/>
        </w:rPr>
        <w:t>1</w:t>
      </w:r>
      <w:r>
        <w:rPr>
          <w:color w:val="231F20"/>
          <w:position w:val="7"/>
          <w:sz w:val="11"/>
        </w:rPr>
        <w:t>er</w:t>
      </w:r>
      <w:r>
        <w:rPr>
          <w:color w:val="231F20"/>
        </w:rPr>
        <w:t>,</w:t>
      </w:r>
      <w:r>
        <w:rPr>
          <w:color w:val="231F20"/>
          <w:spacing w:val="10"/>
        </w:rPr>
        <w:t> </w:t>
      </w:r>
      <w:r>
        <w:rPr>
          <w:color w:val="231F20"/>
        </w:rPr>
        <w:t>3°,</w:t>
      </w:r>
      <w:r>
        <w:rPr>
          <w:color w:val="231F20"/>
          <w:spacing w:val="10"/>
        </w:rPr>
        <w:t> </w:t>
      </w:r>
      <w:r>
        <w:rPr>
          <w:color w:val="231F20"/>
        </w:rPr>
        <w:t>et</w:t>
      </w:r>
      <w:r>
        <w:rPr>
          <w:color w:val="231F20"/>
          <w:spacing w:val="11"/>
        </w:rPr>
        <w:t> </w:t>
      </w:r>
      <w:r>
        <w:rPr>
          <w:color w:val="231F20"/>
        </w:rPr>
        <w:t>§</w:t>
      </w:r>
      <w:r>
        <w:rPr>
          <w:color w:val="231F20"/>
          <w:spacing w:val="10"/>
        </w:rPr>
        <w:t> </w:t>
      </w:r>
      <w:r>
        <w:rPr>
          <w:color w:val="231F20"/>
        </w:rPr>
        <w:t>2,</w:t>
      </w:r>
      <w:r>
        <w:rPr>
          <w:color w:val="231F20"/>
          <w:spacing w:val="10"/>
        </w:rPr>
        <w:t> </w:t>
      </w:r>
      <w:r>
        <w:rPr>
          <w:color w:val="231F20"/>
        </w:rPr>
        <w:t>3°,</w:t>
      </w:r>
      <w:r>
        <w:rPr>
          <w:color w:val="231F20"/>
          <w:spacing w:val="10"/>
        </w:rPr>
        <w:t> </w:t>
      </w:r>
      <w:r>
        <w:rPr>
          <w:color w:val="231F20"/>
        </w:rPr>
        <w:t>de</w:t>
      </w:r>
      <w:r>
        <w:rPr>
          <w:color w:val="231F20"/>
          <w:spacing w:val="10"/>
        </w:rPr>
        <w:t> </w:t>
      </w:r>
      <w:r>
        <w:rPr>
          <w:color w:val="231F20"/>
        </w:rPr>
        <w:t>chaque</w:t>
      </w:r>
      <w:r>
        <w:rPr>
          <w:color w:val="231F20"/>
          <w:spacing w:val="11"/>
        </w:rPr>
        <w:t> </w:t>
      </w:r>
      <w:r>
        <w:rPr>
          <w:color w:val="231F20"/>
        </w:rPr>
        <w:t>actionnaire;</w:t>
      </w:r>
    </w:p>
    <w:p>
      <w:pPr>
        <w:pStyle w:val="BodyText"/>
        <w:spacing w:before="80"/>
        <w:ind w:left="283" w:right="0" w:firstLine="0"/>
        <w:jc w:val="left"/>
      </w:pPr>
      <w:r>
        <w:rPr>
          <w:color w:val="231F20"/>
        </w:rPr>
        <w:t>3° le nombre d’actions détenues par chaque actionnaire et leur</w:t>
      </w:r>
      <w:r>
        <w:rPr>
          <w:color w:val="231F20"/>
          <w:spacing w:val="-18"/>
        </w:rPr>
        <w:t> </w:t>
      </w:r>
      <w:r>
        <w:rPr>
          <w:color w:val="231F20"/>
        </w:rPr>
        <w:t>classe;</w:t>
      </w:r>
    </w:p>
    <w:p>
      <w:pPr>
        <w:pStyle w:val="BodyText"/>
        <w:spacing w:before="4"/>
        <w:ind w:left="0" w:right="0" w:firstLine="0"/>
        <w:jc w:val="left"/>
        <w:rPr>
          <w:sz w:val="22"/>
        </w:rPr>
      </w:pPr>
    </w:p>
    <w:p>
      <w:pPr>
        <w:pStyle w:val="BodyText"/>
        <w:spacing w:before="1"/>
        <w:ind w:left="283" w:right="0" w:firstLine="0"/>
        <w:jc w:val="left"/>
      </w:pPr>
      <w:r>
        <w:rPr>
          <w:color w:val="231F20"/>
        </w:rPr>
        <w:t>4° les versements faits sur chaque action;</w:t>
      </w:r>
    </w:p>
    <w:p>
      <w:pPr>
        <w:pStyle w:val="BodyText"/>
        <w:spacing w:line="218" w:lineRule="auto" w:before="92"/>
        <w:ind w:right="38"/>
      </w:pPr>
      <w:r>
        <w:rPr>
          <w:color w:val="231F20"/>
        </w:rPr>
        <w:t>5° les restrictions relatives à la cessibilité résultant des statuts et, lorsqu’une des parties le demande, les restrictions relatives à la cessibilité des actions résultant de conventions ou des conditions d’émission;</w:t>
      </w:r>
    </w:p>
    <w:p>
      <w:pPr>
        <w:pStyle w:val="BodyText"/>
        <w:spacing w:line="213" w:lineRule="auto" w:before="100"/>
        <w:ind w:right="38"/>
      </w:pPr>
      <w:r>
        <w:rPr>
          <w:color w:val="231F20"/>
        </w:rPr>
        <w:t>6° les transferts d’actions avec leur date, conformément l’article 7:74, alinéa 1</w:t>
      </w:r>
      <w:r>
        <w:rPr>
          <w:color w:val="231F20"/>
          <w:position w:val="7"/>
          <w:sz w:val="11"/>
        </w:rPr>
        <w:t>er</w:t>
      </w:r>
      <w:r>
        <w:rPr>
          <w:color w:val="231F20"/>
        </w:rPr>
        <w:t>. Si le registre est tenu sous forme électronique, la déclaration de cession peut adopter une forme électronique et être signée par un ensemble de données électroniques pouvant être imputé à une</w:t>
      </w:r>
    </w:p>
    <w:p>
      <w:pPr>
        <w:pStyle w:val="BodyText"/>
        <w:spacing w:line="218" w:lineRule="auto" w:before="119"/>
      </w:pPr>
      <w:r>
        <w:rPr/>
        <w:br w:type="column"/>
      </w:r>
      <w:r>
        <w:rPr>
          <w:color w:val="231F20"/>
        </w:rPr>
        <w:t>Art. 7:20. Niettegenstaande andersluidende bepaling zijn de bestuur- ders jegens belanghebbenden hoofdelijk aansprakelijk voor de vergoe- ding van alle schade die het onmiddellijke en rechtstreekse gevolg is van de kennelijke overwaardering van de vermogensbestanddelen verkregen</w:t>
      </w:r>
      <w:r>
        <w:rPr>
          <w:color w:val="231F20"/>
          <w:spacing w:val="15"/>
        </w:rPr>
        <w:t> </w:t>
      </w:r>
      <w:r>
        <w:rPr>
          <w:color w:val="231F20"/>
        </w:rPr>
        <w:t>onder</w:t>
      </w:r>
      <w:r>
        <w:rPr>
          <w:color w:val="231F20"/>
          <w:spacing w:val="16"/>
        </w:rPr>
        <w:t> </w:t>
      </w:r>
      <w:r>
        <w:rPr>
          <w:color w:val="231F20"/>
        </w:rPr>
        <w:t>de</w:t>
      </w:r>
      <w:r>
        <w:rPr>
          <w:color w:val="231F20"/>
          <w:spacing w:val="16"/>
        </w:rPr>
        <w:t> </w:t>
      </w:r>
      <w:r>
        <w:rPr>
          <w:color w:val="231F20"/>
        </w:rPr>
        <w:t>voorwaarden</w:t>
      </w:r>
      <w:r>
        <w:rPr>
          <w:color w:val="231F20"/>
          <w:spacing w:val="16"/>
        </w:rPr>
        <w:t> </w:t>
      </w:r>
      <w:r>
        <w:rPr>
          <w:color w:val="231F20"/>
        </w:rPr>
        <w:t>van</w:t>
      </w:r>
      <w:r>
        <w:rPr>
          <w:color w:val="231F20"/>
          <w:spacing w:val="16"/>
        </w:rPr>
        <w:t> </w:t>
      </w:r>
      <w:r>
        <w:rPr>
          <w:color w:val="231F20"/>
        </w:rPr>
        <w:t>artikel</w:t>
      </w:r>
      <w:r>
        <w:rPr>
          <w:color w:val="231F20"/>
          <w:spacing w:val="15"/>
        </w:rPr>
        <w:t> </w:t>
      </w:r>
      <w:r>
        <w:rPr>
          <w:color w:val="231F20"/>
        </w:rPr>
        <w:t>7:8.</w:t>
      </w:r>
    </w:p>
    <w:p>
      <w:pPr>
        <w:pStyle w:val="BodyText"/>
        <w:spacing w:line="218" w:lineRule="auto" w:before="86"/>
        <w:ind w:right="125"/>
      </w:pPr>
      <w:r>
        <w:rPr>
          <w:color w:val="231F20"/>
        </w:rPr>
        <w:t>Art. 7:21. Zij die een verbintenis voor derden zijn aangegaan, hetzij als lasthebber, hetzij door zich voor hen sterk te maken, worden geacht persoonlijk verbonden te zijn, indien er geen geldige lastgeving bestaat of indien de verbintenis niet is bekrachtigd binnen twee maanden</w:t>
      </w:r>
      <w:r>
        <w:rPr>
          <w:color w:val="231F20"/>
          <w:spacing w:val="-11"/>
        </w:rPr>
        <w:t> </w:t>
      </w:r>
      <w:r>
        <w:rPr>
          <w:color w:val="231F20"/>
        </w:rPr>
        <w:t>nadat ze is aangegaan; deze termijn wordt verminderd tot vijftien dagen, indien de namen van de personen voor wie de verbintenis is  aangegaan, niet zijn opgegeven. De oprichters zijn hoofdelijk gehouden tot nakoming van die</w:t>
      </w:r>
      <w:r>
        <w:rPr>
          <w:color w:val="231F20"/>
          <w:spacing w:val="20"/>
        </w:rPr>
        <w:t> </w:t>
      </w:r>
      <w:r>
        <w:rPr>
          <w:color w:val="231F20"/>
        </w:rPr>
        <w:t>verbintenissen.</w:t>
      </w:r>
    </w:p>
    <w:p>
      <w:pPr>
        <w:pStyle w:val="BodyText"/>
        <w:spacing w:line="338" w:lineRule="auto" w:before="72"/>
        <w:ind w:left="283" w:right="1017" w:firstLine="0"/>
        <w:jc w:val="left"/>
      </w:pPr>
      <w:r>
        <w:rPr>
          <w:color w:val="231F20"/>
        </w:rPr>
        <w:t>TITEL 3. Effecten en hun overdracht en overgang. HOOFDSTUK 1. Algemene bepalingen.</w:t>
      </w:r>
    </w:p>
    <w:p>
      <w:pPr>
        <w:pStyle w:val="BodyText"/>
        <w:spacing w:line="218" w:lineRule="auto" w:before="13"/>
      </w:pPr>
      <w:r>
        <w:rPr>
          <w:color w:val="231F20"/>
        </w:rPr>
        <w:t>Art. 7:22. Een naamloze vennootschap kan alle effecten uitgeven die niet door of krachtens de wet zijn verboden.</w:t>
      </w:r>
    </w:p>
    <w:p>
      <w:pPr>
        <w:pStyle w:val="BodyText"/>
        <w:spacing w:before="82"/>
        <w:ind w:left="283" w:right="0" w:firstLine="0"/>
        <w:jc w:val="left"/>
      </w:pPr>
      <w:r>
        <w:rPr>
          <w:color w:val="231F20"/>
        </w:rPr>
        <w:t>Deze effecten zijn op naam of gedematerialiseerd.</w:t>
      </w:r>
    </w:p>
    <w:p>
      <w:pPr>
        <w:pStyle w:val="BodyText"/>
        <w:spacing w:line="218" w:lineRule="auto" w:before="93"/>
      </w:pPr>
      <w:r>
        <w:rPr>
          <w:color w:val="231F20"/>
        </w:rPr>
        <w:t>Obligaties die uitsluitend in het buitenland worden uitgegeven en  die worden beheerst door een buitenlands recht kunnen evenwel de vorm aannemen van individuele of verzameleffecten aan toonder. Deze obligaties aan toonder mogen evenwel niet fysiek worden afgeleverd in België. De eigenaars van deze obligaties aan toonder kunnen te allen tijde vragen dat deze op hun kosten worden omgezet in obligaties op naam.</w:t>
      </w:r>
    </w:p>
    <w:p>
      <w:pPr>
        <w:pStyle w:val="BodyText"/>
        <w:spacing w:line="218" w:lineRule="auto" w:before="96"/>
      </w:pPr>
      <w:r>
        <w:rPr>
          <w:color w:val="231F20"/>
        </w:rPr>
        <w:t>Art. 7:23. De eigenaars van gedematerialiseerde effecten kunnen te allen tijde vragen dat deze op hun kosten worden omgezet in effecten op</w:t>
      </w:r>
      <w:r>
        <w:rPr>
          <w:color w:val="231F20"/>
          <w:spacing w:val="15"/>
        </w:rPr>
        <w:t> </w:t>
      </w:r>
      <w:r>
        <w:rPr>
          <w:color w:val="231F20"/>
        </w:rPr>
        <w:t>naam.</w:t>
      </w:r>
    </w:p>
    <w:p>
      <w:pPr>
        <w:pStyle w:val="BodyText"/>
        <w:spacing w:line="218" w:lineRule="auto" w:before="96"/>
      </w:pPr>
      <w:r>
        <w:rPr>
          <w:color w:val="231F20"/>
        </w:rPr>
        <w:t>Art. 7:24. Indien verscheidene personen zakelijke rechten hebben op eenzelfde aandeel of winstbewijs, kan de vennootschap de uitoefening van het stemrecht schorsen totdat een enkele persoon ten aanzien van de vennootschap als houder van het stemrecht is aangewezen.</w:t>
      </w:r>
    </w:p>
    <w:p>
      <w:pPr>
        <w:pStyle w:val="BodyText"/>
        <w:spacing w:line="218" w:lineRule="auto" w:before="97"/>
      </w:pPr>
      <w:r>
        <w:rPr>
          <w:color w:val="231F20"/>
        </w:rPr>
        <w:t>Art. 7:25. In geval van overlijden van de enige aandeelhouder worden, tenzij de statuten anders bepalen, de aan de</w:t>
      </w:r>
      <w:r>
        <w:rPr>
          <w:color w:val="231F20"/>
          <w:spacing w:val="17"/>
        </w:rPr>
        <w:t> </w:t>
      </w:r>
      <w:r>
        <w:rPr>
          <w:color w:val="231F20"/>
        </w:rPr>
        <w:t>aandelen verbonden rechten uitgeoefend door de regelmatig in het bezit  getreden of in het bezit gestelde erfgenamen of legatarissen, naar evenredigheid van hun rechten in de nalatenschap, en dit tot op de dag van de verdeling van de aandelen of tot de afgifte van de legaten met betrekking tot deze</w:t>
      </w:r>
      <w:r>
        <w:rPr>
          <w:color w:val="231F20"/>
          <w:spacing w:val="4"/>
        </w:rPr>
        <w:t> </w:t>
      </w:r>
      <w:r>
        <w:rPr>
          <w:color w:val="231F20"/>
        </w:rPr>
        <w:t>aandelen.</w:t>
      </w:r>
    </w:p>
    <w:p>
      <w:pPr>
        <w:pStyle w:val="BodyText"/>
        <w:spacing w:line="218" w:lineRule="auto" w:before="96"/>
      </w:pPr>
      <w:r>
        <w:rPr>
          <w:color w:val="231F20"/>
        </w:rPr>
        <w:t>Art. 7:26. In afwijking van de artikelen 7:24 en 7:25, en tenzij de statuten, een testament of een overeenkomst anders bepalen, oefent de vruchtgebruiker van effecten alle aan die effecten verbonden rechten uit.</w:t>
      </w:r>
    </w:p>
    <w:p>
      <w:pPr>
        <w:pStyle w:val="BodyText"/>
        <w:spacing w:line="338" w:lineRule="auto" w:before="82"/>
        <w:ind w:left="283" w:right="2162" w:firstLine="0"/>
        <w:jc w:val="left"/>
      </w:pPr>
      <w:r>
        <w:rPr>
          <w:color w:val="231F20"/>
        </w:rPr>
        <w:t>HOOFDSTUK 2. De vorm van effecten. Afdeling 1. Effecten op naam.</w:t>
      </w:r>
    </w:p>
    <w:p>
      <w:pPr>
        <w:pStyle w:val="BodyText"/>
        <w:spacing w:line="218" w:lineRule="auto" w:before="13"/>
      </w:pPr>
      <w:r>
        <w:rPr>
          <w:color w:val="231F20"/>
        </w:rPr>
        <w:t>Art. 7:27. Het effect op naam wordt vertegenwoordigd door een inschrijving van het effect in het relevante in artikel 7:28 bedoelde effectenregister. Dit effect kan ook blijken uit de vermelding op naam van zijn houder in de uitgifteakte.</w:t>
      </w:r>
    </w:p>
    <w:p>
      <w:pPr>
        <w:pStyle w:val="BodyText"/>
        <w:spacing w:line="218" w:lineRule="auto" w:before="97"/>
      </w:pPr>
      <w:r>
        <w:rPr>
          <w:color w:val="231F20"/>
        </w:rPr>
        <w:t>Art. 7:28. Op de zetel van de vennootschap wordt een register gehouden voor elke categorie van effecten op naam die de vennoot- schap heeft uitgegeven. Niettegenstaande andersluidende bepaling kunnen effectenhouders inzage krijgen van het volledige register dat betrekking heeft op hun categorie van effecten. Het bestuursorgaan kan beslissen dat het register wordt aangehouden in elektronische vorm. De Koning kan voorwaarden opleggen waaraan het elektronische register dient te voldoen.</w:t>
      </w:r>
    </w:p>
    <w:p>
      <w:pPr>
        <w:pStyle w:val="BodyText"/>
        <w:spacing w:before="82"/>
        <w:ind w:left="283" w:right="0" w:firstLine="0"/>
        <w:jc w:val="left"/>
      </w:pPr>
      <w:r>
        <w:rPr>
          <w:color w:val="231F20"/>
        </w:rPr>
        <w:t>Art. 7:29. Het register van aandelen op naam vermeldt:</w:t>
      </w:r>
    </w:p>
    <w:p>
      <w:pPr>
        <w:pStyle w:val="BodyText"/>
        <w:spacing w:line="218" w:lineRule="auto" w:before="93"/>
      </w:pPr>
      <w:r>
        <w:rPr>
          <w:color w:val="231F20"/>
        </w:rPr>
        <w:t>1° het totale aantal door de vennootschap uitgegeven aandelen en, in voorkomend geval, het totale aantal per soort;</w:t>
      </w:r>
    </w:p>
    <w:p>
      <w:pPr>
        <w:pStyle w:val="BodyText"/>
        <w:spacing w:line="218" w:lineRule="auto" w:before="96"/>
      </w:pPr>
      <w:r>
        <w:rPr>
          <w:color w:val="231F20"/>
        </w:rPr>
        <w:t>2° voor natuurlijke personen naam en woonplaats en voor rechtsper- sonen naam, zetel en identificatienummer bedoeld in artikel 2:24, § 1, 3°, en § 2, 3°, van elke aandeelhouder;</w:t>
      </w:r>
    </w:p>
    <w:p>
      <w:pPr>
        <w:pStyle w:val="BodyText"/>
        <w:spacing w:line="218" w:lineRule="auto" w:before="96"/>
      </w:pPr>
      <w:r>
        <w:rPr>
          <w:color w:val="231F20"/>
        </w:rPr>
        <w:t>3° het aantal aandelen dat elke aandeelhouder aanhoudt en de soort waartoe die aandelen behoren;</w:t>
      </w:r>
    </w:p>
    <w:p>
      <w:pPr>
        <w:pStyle w:val="BodyText"/>
        <w:spacing w:before="82"/>
        <w:ind w:left="283" w:right="0" w:firstLine="0"/>
        <w:jc w:val="left"/>
      </w:pPr>
      <w:r>
        <w:rPr>
          <w:color w:val="231F20"/>
        </w:rPr>
        <w:t>4° de op elk aandeel gedane stortingen;</w:t>
      </w:r>
    </w:p>
    <w:p>
      <w:pPr>
        <w:pStyle w:val="BodyText"/>
        <w:spacing w:line="218" w:lineRule="auto" w:before="93"/>
      </w:pPr>
      <w:r>
        <w:rPr>
          <w:color w:val="231F20"/>
        </w:rPr>
        <w:t>5° de statutaire overdrachtsbeperkingen, en, wanneer één van de partijen daarom verzoekt, de overdrachtsbeperkingen die voortvloeien uit overeenkomsten of de uitgiftevoorwaarden;</w:t>
      </w:r>
    </w:p>
    <w:p>
      <w:pPr>
        <w:pStyle w:val="BodyText"/>
        <w:spacing w:before="11"/>
        <w:ind w:left="0" w:right="0" w:firstLine="0"/>
        <w:jc w:val="left"/>
        <w:rPr>
          <w:sz w:val="23"/>
        </w:rPr>
      </w:pPr>
    </w:p>
    <w:p>
      <w:pPr>
        <w:pStyle w:val="BodyText"/>
        <w:spacing w:line="218" w:lineRule="auto"/>
      </w:pPr>
      <w:r>
        <w:rPr>
          <w:color w:val="231F20"/>
        </w:rPr>
        <w:t>6° de overdrachten en de overgangen van aandelen met hun datum, overeenkomstig artikel 7:74, eerste lid. Indien het register in elektroni- sche vorm wordt aangehouden, kan de verklaring van overdracht een elektronische vorm aannemen en worden ondertekend door middel</w:t>
      </w:r>
    </w:p>
    <w:p>
      <w:pPr>
        <w:spacing w:after="0" w:line="218" w:lineRule="auto"/>
        <w:sectPr>
          <w:headerReference w:type="even" r:id="rId67"/>
          <w:headerReference w:type="default" r:id="rId68"/>
          <w:pgSz w:w="11940" w:h="16880"/>
          <w:pgMar w:header="666" w:footer="0" w:top="1140" w:bottom="280" w:left="340" w:right="360"/>
          <w:cols w:num="2" w:equalWidth="0">
            <w:col w:w="5527" w:space="101"/>
            <w:col w:w="5612"/>
          </w:cols>
        </w:sectPr>
      </w:pPr>
    </w:p>
    <w:p>
      <w:pPr>
        <w:pStyle w:val="BodyText"/>
        <w:spacing w:line="218" w:lineRule="auto" w:before="120"/>
        <w:ind w:right="5" w:hanging="1"/>
        <w:jc w:val="left"/>
      </w:pPr>
      <w:r>
        <w:rPr/>
        <w:pict>
          <v:line style="position:absolute;mso-position-horizontal-relative:page;mso-position-vertical-relative:page;z-index:4672" from="298.170502pt,64.473pt" to="298.170502pt,812.819pt" stroked="true" strokeweight=".533pt" strokecolor="#231f20">
            <v:stroke dashstyle="solid"/>
            <w10:wrap type="none"/>
          </v:line>
        </w:pict>
      </w:r>
      <w:bookmarkStart w:name="_bookmark152" w:id="157"/>
      <w:bookmarkEnd w:id="157"/>
      <w:r>
        <w:rPr/>
      </w:r>
      <w:r>
        <w:rPr>
          <w:color w:val="231F20"/>
        </w:rPr>
        <w:t>personne déterminée et établissant le maintien de l’intégrité du contenu de l’acte;</w:t>
      </w:r>
    </w:p>
    <w:p>
      <w:pPr>
        <w:pStyle w:val="BodyText"/>
        <w:ind w:left="0" w:right="0" w:firstLine="0"/>
        <w:jc w:val="left"/>
        <w:rPr>
          <w:sz w:val="23"/>
        </w:rPr>
      </w:pPr>
    </w:p>
    <w:p>
      <w:pPr>
        <w:pStyle w:val="BodyText"/>
        <w:spacing w:line="218" w:lineRule="auto"/>
        <w:ind w:right="38"/>
      </w:pPr>
      <w:r>
        <w:rPr>
          <w:color w:val="231F20"/>
        </w:rPr>
        <w:t>7° les droits de vote et les droits aux bénéfices attachés à chaque action, ainsi que leur part dans le solde de liquidation si celle-ci diverge des droits aux bénéfices.</w:t>
      </w:r>
    </w:p>
    <w:p>
      <w:pPr>
        <w:pStyle w:val="BodyText"/>
        <w:spacing w:line="218" w:lineRule="auto" w:before="85"/>
        <w:ind w:right="38"/>
      </w:pPr>
      <w:r>
        <w:rPr>
          <w:color w:val="231F20"/>
        </w:rPr>
        <w:t>En cas de contradiction entre les statuts et le registre des actions, les statuts prévalent.</w:t>
      </w:r>
    </w:p>
    <w:p>
      <w:pPr>
        <w:pStyle w:val="BodyText"/>
        <w:spacing w:line="211" w:lineRule="auto" w:before="90"/>
        <w:ind w:right="38"/>
      </w:pPr>
      <w:r>
        <w:rPr>
          <w:color w:val="231F20"/>
        </w:rPr>
        <w:t>Art. 7:30. La société tient à son siège un registre pour chaque catégorie de titres nominatifs  donnant  accès  à  des  actions.  L’arti-  cle 7:29 est applicable par analogie, à l’exception de l’alinéa 1</w:t>
      </w:r>
      <w:r>
        <w:rPr>
          <w:color w:val="231F20"/>
          <w:position w:val="7"/>
          <w:sz w:val="11"/>
        </w:rPr>
        <w:t>er</w:t>
      </w:r>
      <w:r>
        <w:rPr>
          <w:color w:val="231F20"/>
        </w:rPr>
        <w:t>, 4° et</w:t>
      </w:r>
      <w:r>
        <w:rPr>
          <w:color w:val="231F20"/>
          <w:spacing w:val="39"/>
        </w:rPr>
        <w:t> </w:t>
      </w:r>
      <w:r>
        <w:rPr>
          <w:color w:val="231F20"/>
        </w:rPr>
        <w:t>7°.</w:t>
      </w:r>
    </w:p>
    <w:p>
      <w:pPr>
        <w:pStyle w:val="BodyText"/>
        <w:spacing w:before="6"/>
        <w:ind w:left="0" w:right="0" w:firstLine="0"/>
        <w:jc w:val="left"/>
        <w:rPr>
          <w:sz w:val="21"/>
        </w:rPr>
      </w:pPr>
    </w:p>
    <w:p>
      <w:pPr>
        <w:pStyle w:val="BodyText"/>
        <w:spacing w:before="1"/>
        <w:ind w:left="283" w:right="0" w:hanging="1"/>
        <w:jc w:val="left"/>
      </w:pPr>
      <w:r>
        <w:rPr>
          <w:color w:val="231F20"/>
        </w:rPr>
        <w:t>Art.</w:t>
      </w:r>
      <w:r>
        <w:rPr>
          <w:color w:val="231F20"/>
          <w:spacing w:val="10"/>
        </w:rPr>
        <w:t> </w:t>
      </w:r>
      <w:r>
        <w:rPr>
          <w:color w:val="231F20"/>
        </w:rPr>
        <w:t>7:31.</w:t>
      </w:r>
      <w:r>
        <w:rPr>
          <w:color w:val="231F20"/>
          <w:spacing w:val="10"/>
        </w:rPr>
        <w:t> </w:t>
      </w:r>
      <w:r>
        <w:rPr>
          <w:color w:val="231F20"/>
        </w:rPr>
        <w:t>Le</w:t>
      </w:r>
      <w:r>
        <w:rPr>
          <w:color w:val="231F20"/>
          <w:spacing w:val="10"/>
        </w:rPr>
        <w:t> </w:t>
      </w:r>
      <w:r>
        <w:rPr>
          <w:color w:val="231F20"/>
        </w:rPr>
        <w:t>registre</w:t>
      </w:r>
      <w:r>
        <w:rPr>
          <w:color w:val="231F20"/>
          <w:spacing w:val="10"/>
        </w:rPr>
        <w:t> </w:t>
      </w:r>
      <w:r>
        <w:rPr>
          <w:color w:val="231F20"/>
        </w:rPr>
        <w:t>des</w:t>
      </w:r>
      <w:r>
        <w:rPr>
          <w:color w:val="231F20"/>
          <w:spacing w:val="10"/>
        </w:rPr>
        <w:t> </w:t>
      </w:r>
      <w:r>
        <w:rPr>
          <w:color w:val="231F20"/>
        </w:rPr>
        <w:t>parts</w:t>
      </w:r>
      <w:r>
        <w:rPr>
          <w:color w:val="231F20"/>
          <w:spacing w:val="10"/>
        </w:rPr>
        <w:t> </w:t>
      </w:r>
      <w:r>
        <w:rPr>
          <w:color w:val="231F20"/>
        </w:rPr>
        <w:t>bénéficiaires</w:t>
      </w:r>
      <w:r>
        <w:rPr>
          <w:color w:val="231F20"/>
          <w:spacing w:val="10"/>
        </w:rPr>
        <w:t> </w:t>
      </w:r>
      <w:r>
        <w:rPr>
          <w:color w:val="231F20"/>
        </w:rPr>
        <w:t>nominatives</w:t>
      </w:r>
      <w:r>
        <w:rPr>
          <w:color w:val="231F20"/>
          <w:spacing w:val="10"/>
        </w:rPr>
        <w:t> </w:t>
      </w:r>
      <w:r>
        <w:rPr>
          <w:color w:val="231F20"/>
        </w:rPr>
        <w:t>mentionne:</w:t>
      </w:r>
    </w:p>
    <w:p>
      <w:pPr>
        <w:pStyle w:val="BodyText"/>
        <w:spacing w:line="218" w:lineRule="auto" w:before="82"/>
        <w:ind w:right="38"/>
      </w:pPr>
      <w:r>
        <w:rPr>
          <w:color w:val="231F20"/>
        </w:rPr>
        <w:t>1° les droits de vote ainsi que les droits aux bénéfices attachés à chaque part bénéficiaire, ainsi que leur part dans le solde de liquida- tion;</w:t>
      </w:r>
    </w:p>
    <w:p>
      <w:pPr>
        <w:pStyle w:val="BodyText"/>
        <w:spacing w:before="82"/>
        <w:ind w:left="283" w:right="0" w:firstLine="0"/>
        <w:jc w:val="left"/>
      </w:pPr>
      <w:r>
        <w:rPr>
          <w:color w:val="231F20"/>
        </w:rPr>
        <w:t>2° la date de leur émission;</w:t>
      </w:r>
    </w:p>
    <w:p>
      <w:pPr>
        <w:pStyle w:val="BodyText"/>
        <w:spacing w:before="78"/>
        <w:ind w:left="283" w:right="0" w:firstLine="0"/>
        <w:jc w:val="left"/>
      </w:pPr>
      <w:r>
        <w:rPr>
          <w:color w:val="231F20"/>
        </w:rPr>
        <w:t>3° les conditions de leur cession;</w:t>
      </w:r>
    </w:p>
    <w:p>
      <w:pPr>
        <w:pStyle w:val="BodyText"/>
        <w:spacing w:line="218" w:lineRule="auto" w:before="93"/>
        <w:ind w:right="38"/>
      </w:pPr>
      <w:r>
        <w:rPr>
          <w:color w:val="231F20"/>
        </w:rPr>
        <w:t>4° les transferts avec leur date et la conversion des parts bénéficiaires nominatives en parts bénéficiaires dématérialisées, si les statuts auto- risent la conversion.</w:t>
      </w:r>
    </w:p>
    <w:p>
      <w:pPr>
        <w:pStyle w:val="BodyText"/>
        <w:spacing w:before="82"/>
        <w:ind w:left="283" w:right="0" w:firstLine="0"/>
        <w:jc w:val="left"/>
      </w:pPr>
      <w:r>
        <w:rPr>
          <w:color w:val="231F20"/>
        </w:rPr>
        <w:t>Art. 7:32. Le registre des obligations nominatives mentionne:</w:t>
      </w:r>
    </w:p>
    <w:p>
      <w:pPr>
        <w:pStyle w:val="BodyText"/>
        <w:spacing w:line="218" w:lineRule="auto" w:before="93"/>
        <w:ind w:right="38"/>
      </w:pPr>
      <w:r>
        <w:rPr>
          <w:color w:val="231F20"/>
        </w:rPr>
        <w:t>1° la désignation précise de chaque obligataire et l’indication du montant des obligations lui appartenant;</w:t>
      </w:r>
    </w:p>
    <w:p>
      <w:pPr>
        <w:pStyle w:val="BodyText"/>
        <w:spacing w:line="218" w:lineRule="auto" w:before="96"/>
        <w:ind w:right="38"/>
      </w:pPr>
      <w:r>
        <w:rPr>
          <w:color w:val="231F20"/>
        </w:rPr>
        <w:t>2° les transferts d’obligations avec leur date et la conversion d’obligations nominatives en obligations dématérialisées ou inverse- ment, si les statuts autorisent la conversion;</w:t>
      </w:r>
    </w:p>
    <w:p>
      <w:pPr>
        <w:pStyle w:val="BodyText"/>
        <w:spacing w:line="218" w:lineRule="auto" w:before="96"/>
        <w:ind w:right="38"/>
      </w:pPr>
      <w:r>
        <w:rPr>
          <w:color w:val="231F20"/>
        </w:rPr>
        <w:t>3° les restrictions relatives à la cessibilité résultant des statuts ou, lorsqu’une des parties le demande, de conventions ou des conditions d’émission;</w:t>
      </w:r>
    </w:p>
    <w:p>
      <w:pPr>
        <w:pStyle w:val="BodyText"/>
        <w:spacing w:line="218" w:lineRule="auto" w:before="96"/>
        <w:ind w:right="38"/>
      </w:pPr>
      <w:r>
        <w:rPr>
          <w:color w:val="231F20"/>
        </w:rPr>
        <w:t>4° un renvoi au registre des titres nominatifs donnant accès à des actions si celui-ci comporte des obligations.</w:t>
      </w:r>
    </w:p>
    <w:p>
      <w:pPr>
        <w:pStyle w:val="BodyText"/>
        <w:spacing w:line="218" w:lineRule="auto" w:before="96"/>
        <w:ind w:right="38"/>
      </w:pPr>
      <w:r>
        <w:rPr>
          <w:color w:val="231F20"/>
        </w:rPr>
        <w:t>Art. 7:33. L’organe d’administration peut décider de scinder un registre des titres nominatifs en deux parties, dont l’une est conservée au siège de la société et l’autre, en dehors du siège, en Belgique ou à l’étranger.</w:t>
      </w:r>
    </w:p>
    <w:p>
      <w:pPr>
        <w:pStyle w:val="BodyText"/>
        <w:spacing w:line="218" w:lineRule="auto" w:before="97"/>
        <w:ind w:right="38"/>
      </w:pPr>
      <w:r>
        <w:rPr>
          <w:color w:val="231F20"/>
        </w:rPr>
        <w:t>Une copie de chacune des parties est conservée à l’endroit où est déposée l’autre partie.</w:t>
      </w:r>
    </w:p>
    <w:p>
      <w:pPr>
        <w:pStyle w:val="BodyText"/>
        <w:spacing w:line="218" w:lineRule="auto" w:before="96"/>
        <w:ind w:right="38"/>
      </w:pPr>
      <w:r>
        <w:rPr>
          <w:color w:val="231F20"/>
        </w:rPr>
        <w:t>Cette copie est régulièrement tenue à jour et, si cela s’avère impossible, elle est complétée aussitôt que les circonstances le permet- tent.</w:t>
      </w:r>
    </w:p>
    <w:p>
      <w:pPr>
        <w:pStyle w:val="BodyText"/>
        <w:spacing w:line="218" w:lineRule="auto" w:before="96"/>
        <w:ind w:right="38"/>
      </w:pPr>
      <w:r>
        <w:rPr>
          <w:color w:val="231F20"/>
        </w:rPr>
        <w:t>Les titulaires des titres nominatifs concernés ont le droit de les faire inscrire dans une des deux parties du registre à leur choix.</w:t>
      </w:r>
    </w:p>
    <w:p>
      <w:pPr>
        <w:pStyle w:val="BodyText"/>
        <w:spacing w:before="10"/>
        <w:ind w:left="0" w:right="0" w:firstLine="0"/>
        <w:jc w:val="left"/>
        <w:rPr>
          <w:sz w:val="23"/>
        </w:rPr>
      </w:pPr>
    </w:p>
    <w:p>
      <w:pPr>
        <w:pStyle w:val="BodyText"/>
        <w:spacing w:line="218" w:lineRule="auto" w:before="1"/>
        <w:ind w:right="38"/>
      </w:pPr>
      <w:r>
        <w:rPr>
          <w:color w:val="231F20"/>
        </w:rPr>
        <w:t>Les titulaires de titres pourront prendre connaissance des deux parties du registre relatif à leurs titres et de leur copie.</w:t>
      </w:r>
    </w:p>
    <w:p>
      <w:pPr>
        <w:pStyle w:val="BodyText"/>
        <w:spacing w:before="10"/>
        <w:ind w:left="0" w:right="0" w:firstLine="0"/>
        <w:jc w:val="left"/>
        <w:rPr>
          <w:sz w:val="23"/>
        </w:rPr>
      </w:pPr>
    </w:p>
    <w:p>
      <w:pPr>
        <w:pStyle w:val="BodyText"/>
        <w:spacing w:line="218" w:lineRule="auto"/>
        <w:ind w:right="38"/>
      </w:pPr>
      <w:r>
        <w:rPr>
          <w:color w:val="231F20"/>
        </w:rPr>
        <w:t>L’organe d’administration peut modifier le lieu où est déposé la deuxième partie du registre.</w:t>
      </w:r>
    </w:p>
    <w:p>
      <w:pPr>
        <w:pStyle w:val="BodyText"/>
        <w:spacing w:line="218" w:lineRule="auto" w:before="96"/>
        <w:ind w:right="38"/>
      </w:pPr>
      <w:r>
        <w:rPr>
          <w:color w:val="231F20"/>
        </w:rPr>
        <w:t>Art. 7:34. Toute personne qui est inscrite dans un registre de titres nominatifs en qualité de titulaire d’un titre, est présumée, jusqu’à preuve contraire, être titulaire des titres pour lesquels elle est inscrite.</w:t>
      </w:r>
    </w:p>
    <w:p>
      <w:pPr>
        <w:pStyle w:val="BodyText"/>
        <w:spacing w:before="11"/>
        <w:ind w:left="0" w:right="0" w:firstLine="0"/>
        <w:jc w:val="left"/>
        <w:rPr>
          <w:sz w:val="23"/>
        </w:rPr>
      </w:pPr>
    </w:p>
    <w:p>
      <w:pPr>
        <w:pStyle w:val="BodyText"/>
        <w:spacing w:line="218" w:lineRule="auto"/>
        <w:ind w:right="38"/>
      </w:pPr>
      <w:r>
        <w:rPr>
          <w:color w:val="231F20"/>
          <w:spacing w:val="-3"/>
        </w:rPr>
        <w:t>L’organe </w:t>
      </w:r>
      <w:r>
        <w:rPr>
          <w:color w:val="231F20"/>
        </w:rPr>
        <w:t>d’administration délivre à la demande de celui qui est  inscrit en qualité de titulaire de titres, à titre de preuve de son inscription dans le registre, un extrait du registre sous la forme d’un certificat.</w:t>
      </w:r>
    </w:p>
    <w:p>
      <w:pPr>
        <w:pStyle w:val="BodyText"/>
        <w:spacing w:before="82"/>
        <w:ind w:left="283" w:right="0" w:firstLine="0"/>
        <w:jc w:val="left"/>
      </w:pPr>
      <w:r>
        <w:rPr>
          <w:color w:val="231F20"/>
        </w:rPr>
        <w:t>Section 2. Titres dématérialisés.</w:t>
      </w:r>
    </w:p>
    <w:p>
      <w:pPr>
        <w:pStyle w:val="BodyText"/>
        <w:spacing w:line="218" w:lineRule="auto" w:before="93"/>
        <w:ind w:right="38"/>
      </w:pPr>
      <w:r>
        <w:rPr>
          <w:color w:val="231F20"/>
        </w:rPr>
        <w:t>Art. 7:35. Le titre dématérialisé est représenté par une inscription en compte, au nom de son propriétaire ou de son détenteur, auprès d’un organisme de liquidation ou d’un teneur de comptes agréé.</w:t>
      </w:r>
    </w:p>
    <w:p>
      <w:pPr>
        <w:pStyle w:val="BodyText"/>
        <w:spacing w:line="218" w:lineRule="auto" w:before="96"/>
        <w:ind w:right="38"/>
      </w:pPr>
      <w:r>
        <w:rPr>
          <w:color w:val="231F20"/>
        </w:rPr>
        <w:t>Le Roi désigne par catégorie de titres les organismes de liquidation chargés d’assurer la conservation des titres dématérialisés et la liquidation des transactions sur de tels titres. Il agrée les teneurs de comptes en Belgique de manière individuelle ou de manière générale par catégorie d’établissements, en fonction de leur activité.</w:t>
      </w:r>
    </w:p>
    <w:p>
      <w:pPr>
        <w:pStyle w:val="BodyText"/>
        <w:spacing w:before="11"/>
        <w:ind w:left="0" w:right="0" w:firstLine="0"/>
        <w:jc w:val="left"/>
        <w:rPr>
          <w:sz w:val="23"/>
        </w:rPr>
      </w:pPr>
    </w:p>
    <w:p>
      <w:pPr>
        <w:pStyle w:val="BodyText"/>
        <w:spacing w:line="218" w:lineRule="auto"/>
        <w:ind w:right="38"/>
      </w:pPr>
      <w:r>
        <w:rPr>
          <w:color w:val="231F20"/>
        </w:rPr>
        <w:t>Le nombre des titres dématérialisés en circulation à tout moment est inscrit, par catégorie de titres, dans le registre des titres nominatifs au nom de l’organisme de liquidation ou, le cas échéant, du teneur de comptes agréé en cas d’application de l’article 7:44.</w:t>
      </w:r>
    </w:p>
    <w:p>
      <w:pPr>
        <w:pStyle w:val="BodyText"/>
        <w:spacing w:line="218" w:lineRule="auto" w:before="119"/>
        <w:ind w:firstLine="0"/>
      </w:pPr>
      <w:r>
        <w:rPr/>
        <w:br w:type="column"/>
      </w:r>
      <w:r>
        <w:rPr>
          <w:color w:val="231F20"/>
        </w:rPr>
        <w:t>van een geheel van elektronische gegevens dat aan een bepaalde persoon kan worden toegerekend en het behoud van de integriteit van de inhoud van de akte aantoont;</w:t>
      </w:r>
    </w:p>
    <w:p>
      <w:pPr>
        <w:pStyle w:val="BodyText"/>
        <w:spacing w:line="218" w:lineRule="auto" w:before="86"/>
      </w:pPr>
      <w:r>
        <w:rPr>
          <w:color w:val="231F20"/>
        </w:rPr>
        <w:t>7° de aan elk aandeel verbonden stemrechten en winstrechten evenals hun aandeel in het vereffeningssaldo, indien dat afwijkt van hun</w:t>
      </w:r>
      <w:r>
        <w:rPr>
          <w:color w:val="231F20"/>
          <w:spacing w:val="15"/>
        </w:rPr>
        <w:t> </w:t>
      </w:r>
      <w:r>
        <w:rPr>
          <w:color w:val="231F20"/>
        </w:rPr>
        <w:t>winstrechten.</w:t>
      </w:r>
    </w:p>
    <w:p>
      <w:pPr>
        <w:pStyle w:val="BodyText"/>
        <w:spacing w:line="218" w:lineRule="auto" w:before="86"/>
        <w:ind w:right="123"/>
      </w:pPr>
      <w:r>
        <w:rPr>
          <w:color w:val="231F20"/>
        </w:rPr>
        <w:t>In geval van tegenstrijdigheid tussen de statuten en het aandelenre- gister, prevaleren de statuten.</w:t>
      </w:r>
    </w:p>
    <w:p>
      <w:pPr>
        <w:pStyle w:val="BodyText"/>
        <w:spacing w:line="218" w:lineRule="auto" w:before="85"/>
      </w:pPr>
      <w:r>
        <w:rPr>
          <w:color w:val="231F20"/>
        </w:rPr>
        <w:t>Art. 7:30. De vennootschap houdt op haar zetel een register voor elke categorie van effecten op naam die toegang geven  tot  aandelen.  Artikel 7:29, met uitzondering van het eerste lid, 4° en 7°, is van overeenkomstige</w:t>
      </w:r>
      <w:r>
        <w:rPr>
          <w:color w:val="231F20"/>
          <w:spacing w:val="15"/>
        </w:rPr>
        <w:t> </w:t>
      </w:r>
      <w:r>
        <w:rPr>
          <w:color w:val="231F20"/>
        </w:rPr>
        <w:t>toepassing.</w:t>
      </w:r>
    </w:p>
    <w:p>
      <w:pPr>
        <w:pStyle w:val="BodyText"/>
        <w:spacing w:before="72"/>
        <w:ind w:left="283" w:right="0" w:firstLine="0"/>
        <w:jc w:val="left"/>
      </w:pPr>
      <w:r>
        <w:rPr>
          <w:color w:val="231F20"/>
        </w:rPr>
        <w:t>Art. 7:31. Het register van de winstbewijzen op naam vermeldt:</w:t>
      </w:r>
    </w:p>
    <w:p>
      <w:pPr>
        <w:pStyle w:val="BodyText"/>
        <w:spacing w:line="218" w:lineRule="auto" w:before="82"/>
      </w:pPr>
      <w:r>
        <w:rPr>
          <w:color w:val="231F20"/>
        </w:rPr>
        <w:t>1° de aan elk winstbewijs verbonden stemrechten en winstrechten, evenals hun aandeel in het vereffeningssaldo;</w:t>
      </w:r>
    </w:p>
    <w:p>
      <w:pPr>
        <w:pStyle w:val="BodyText"/>
        <w:spacing w:before="7"/>
        <w:ind w:left="0" w:right="0" w:firstLine="0"/>
        <w:jc w:val="left"/>
        <w:rPr>
          <w:sz w:val="22"/>
        </w:rPr>
      </w:pPr>
    </w:p>
    <w:p>
      <w:pPr>
        <w:pStyle w:val="BodyText"/>
        <w:spacing w:before="1"/>
        <w:ind w:left="283" w:right="0" w:firstLine="0"/>
        <w:jc w:val="left"/>
      </w:pPr>
      <w:r>
        <w:rPr>
          <w:color w:val="231F20"/>
        </w:rPr>
        <w:t>2° de datum van hun uitgifte;</w:t>
      </w:r>
    </w:p>
    <w:p>
      <w:pPr>
        <w:pStyle w:val="BodyText"/>
        <w:spacing w:before="78"/>
        <w:ind w:left="283" w:right="0" w:firstLine="0"/>
        <w:jc w:val="left"/>
      </w:pPr>
      <w:r>
        <w:rPr>
          <w:color w:val="231F20"/>
        </w:rPr>
        <w:t>3° de voorwaarden van hun overdracht;</w:t>
      </w:r>
    </w:p>
    <w:p>
      <w:pPr>
        <w:pStyle w:val="BodyText"/>
        <w:spacing w:line="218" w:lineRule="auto" w:before="93"/>
      </w:pPr>
      <w:r>
        <w:rPr>
          <w:color w:val="231F20"/>
        </w:rPr>
        <w:t>4° de overgangen of overdrachten met hun datum en de omzetting van winstbewijzen op naam in gedematerialiseerde winstbewijzen voor zover de statuten omzetting toelaten.</w:t>
      </w:r>
    </w:p>
    <w:p>
      <w:pPr>
        <w:pStyle w:val="BodyText"/>
        <w:spacing w:before="82"/>
        <w:ind w:left="283" w:right="0" w:firstLine="0"/>
        <w:jc w:val="left"/>
      </w:pPr>
      <w:r>
        <w:rPr>
          <w:color w:val="231F20"/>
        </w:rPr>
        <w:t>Art. 7:32. Het register van de obligaties op naam vermeldt:</w:t>
      </w:r>
    </w:p>
    <w:p>
      <w:pPr>
        <w:pStyle w:val="BodyText"/>
        <w:spacing w:line="218" w:lineRule="auto" w:before="93"/>
        <w:ind w:right="123"/>
      </w:pPr>
      <w:r>
        <w:rPr>
          <w:color w:val="231F20"/>
        </w:rPr>
        <w:t>1° nauwkeurige gegevens betreffende de persoon van elke obligatie- houder, evenals het bedrag van de hem toebehorende obligaties;</w:t>
      </w:r>
    </w:p>
    <w:p>
      <w:pPr>
        <w:pStyle w:val="BodyText"/>
        <w:spacing w:line="218" w:lineRule="auto" w:before="96"/>
      </w:pPr>
      <w:r>
        <w:rPr>
          <w:color w:val="231F20"/>
        </w:rPr>
        <w:t>2° de overdrachten en overgangen van obligaties met hun datum en de omzetting van obligaties op naam in gedematerialiseerde obligaties of omgekeerd, voor zover de statuten omzetting toelaten;</w:t>
      </w:r>
    </w:p>
    <w:p>
      <w:pPr>
        <w:pStyle w:val="BodyText"/>
        <w:spacing w:line="218" w:lineRule="auto" w:before="96"/>
      </w:pPr>
      <w:r>
        <w:rPr>
          <w:color w:val="231F20"/>
        </w:rPr>
        <w:t>3° de statutaire overdrachtsbeperkingen, of, wanneer één van de partijen daartoe verzoekt, de overdrachtsbeperkingen die voortvloeien uit de overeenkomsten of uit de uitgiftevoorwaarden;</w:t>
      </w:r>
    </w:p>
    <w:p>
      <w:pPr>
        <w:pStyle w:val="BodyText"/>
        <w:spacing w:line="218" w:lineRule="auto" w:before="96"/>
      </w:pPr>
      <w:r>
        <w:rPr>
          <w:color w:val="231F20"/>
        </w:rPr>
        <w:t>4° een verwijzing naar het register van effecten op naam die toegang geven tot aandelen indien dit register obligaties bevat.</w:t>
      </w:r>
    </w:p>
    <w:p>
      <w:pPr>
        <w:pStyle w:val="BodyText"/>
        <w:spacing w:line="218" w:lineRule="auto" w:before="96"/>
      </w:pPr>
      <w:r>
        <w:rPr>
          <w:color w:val="231F20"/>
        </w:rPr>
        <w:t>Art. 7:33. Het bestuursorgaan kan besluiten tot splitsing van een register van effecten op naam in twee delen, waarvan het ene wordt bewaard op de zetel van de vennootschap en het andere buiten die zetel,</w:t>
      </w:r>
      <w:r>
        <w:rPr>
          <w:color w:val="231F20"/>
          <w:spacing w:val="15"/>
        </w:rPr>
        <w:t> </w:t>
      </w:r>
      <w:r>
        <w:rPr>
          <w:color w:val="231F20"/>
        </w:rPr>
        <w:t>in</w:t>
      </w:r>
      <w:r>
        <w:rPr>
          <w:color w:val="231F20"/>
          <w:spacing w:val="15"/>
        </w:rPr>
        <w:t> </w:t>
      </w:r>
      <w:r>
        <w:rPr>
          <w:color w:val="231F20"/>
        </w:rPr>
        <w:t>België</w:t>
      </w:r>
      <w:r>
        <w:rPr>
          <w:color w:val="231F20"/>
          <w:spacing w:val="15"/>
        </w:rPr>
        <w:t> </w:t>
      </w:r>
      <w:r>
        <w:rPr>
          <w:color w:val="231F20"/>
        </w:rPr>
        <w:t>of</w:t>
      </w:r>
      <w:r>
        <w:rPr>
          <w:color w:val="231F20"/>
          <w:spacing w:val="15"/>
        </w:rPr>
        <w:t> </w:t>
      </w:r>
      <w:r>
        <w:rPr>
          <w:color w:val="231F20"/>
        </w:rPr>
        <w:t>in</w:t>
      </w:r>
      <w:r>
        <w:rPr>
          <w:color w:val="231F20"/>
          <w:spacing w:val="15"/>
        </w:rPr>
        <w:t> </w:t>
      </w:r>
      <w:r>
        <w:rPr>
          <w:color w:val="231F20"/>
        </w:rPr>
        <w:t>het</w:t>
      </w:r>
      <w:r>
        <w:rPr>
          <w:color w:val="231F20"/>
          <w:spacing w:val="15"/>
        </w:rPr>
        <w:t> </w:t>
      </w:r>
      <w:r>
        <w:rPr>
          <w:color w:val="231F20"/>
        </w:rPr>
        <w:t>buitenland.</w:t>
      </w:r>
    </w:p>
    <w:p>
      <w:pPr>
        <w:pStyle w:val="BodyText"/>
        <w:spacing w:line="218" w:lineRule="auto" w:before="97"/>
      </w:pPr>
      <w:r>
        <w:rPr>
          <w:color w:val="231F20"/>
        </w:rPr>
        <w:t>Van elk deel wordt een kopie bewaard op de plaats waar het andere deel berust.</w:t>
      </w:r>
    </w:p>
    <w:p>
      <w:pPr>
        <w:pStyle w:val="BodyText"/>
        <w:spacing w:line="218" w:lineRule="auto" w:before="96"/>
      </w:pPr>
      <w:r>
        <w:rPr>
          <w:color w:val="231F20"/>
        </w:rPr>
        <w:t>Deze kopie wordt regelmatig bijgehouden en, indien zulks onmoge- lijk blijkt, bijgewerkt zodra de omstandigheden het toelaten.</w:t>
      </w:r>
    </w:p>
    <w:p>
      <w:pPr>
        <w:pStyle w:val="BodyText"/>
        <w:spacing w:before="10"/>
        <w:ind w:left="0" w:right="0" w:firstLine="0"/>
        <w:jc w:val="left"/>
        <w:rPr>
          <w:sz w:val="23"/>
        </w:rPr>
      </w:pPr>
    </w:p>
    <w:p>
      <w:pPr>
        <w:pStyle w:val="BodyText"/>
        <w:spacing w:line="218" w:lineRule="auto"/>
      </w:pPr>
      <w:r>
        <w:rPr>
          <w:color w:val="231F20"/>
        </w:rPr>
        <w:t>De houders van de betrokken effecten op naam zijn gerechtigd die naar keuze in een van de twee delen van het register te laten inschrijven.</w:t>
      </w:r>
    </w:p>
    <w:p>
      <w:pPr>
        <w:pStyle w:val="BodyText"/>
        <w:spacing w:line="218" w:lineRule="auto" w:before="97"/>
        <w:ind w:right="123"/>
      </w:pPr>
      <w:r>
        <w:rPr>
          <w:color w:val="231F20"/>
        </w:rPr>
        <w:t>De houders van effecten kunnen kennisnemen van de twee delen van het register dat op hun effecten betrekking heeft, evenals van hun kopie.</w:t>
      </w:r>
    </w:p>
    <w:p>
      <w:pPr>
        <w:pStyle w:val="BodyText"/>
        <w:spacing w:line="218" w:lineRule="auto" w:before="96"/>
      </w:pPr>
      <w:r>
        <w:rPr>
          <w:color w:val="231F20"/>
        </w:rPr>
        <w:t>Het bestuursorgaan kan de plaats waar het tweede deel van het register berust wijzigen.</w:t>
      </w:r>
    </w:p>
    <w:p>
      <w:pPr>
        <w:pStyle w:val="BodyText"/>
        <w:spacing w:line="218" w:lineRule="auto" w:before="96"/>
        <w:ind w:right="123"/>
      </w:pPr>
      <w:r>
        <w:rPr>
          <w:color w:val="231F20"/>
        </w:rPr>
        <w:t>Art. 7:34. Hij die in een register van effecten op naam staat ingeschreven als houder van enig effect, wordt, tot het bewijs van het tegendeel, vermoed houder te zijn van de effecten waarvoor hij is ingeschreven.</w:t>
      </w:r>
    </w:p>
    <w:p>
      <w:pPr>
        <w:pStyle w:val="BodyText"/>
        <w:spacing w:line="218" w:lineRule="auto" w:before="96"/>
        <w:ind w:right="123"/>
      </w:pPr>
      <w:r>
        <w:rPr>
          <w:color w:val="231F20"/>
          <w:spacing w:val="-6"/>
        </w:rPr>
        <w:t>Ten </w:t>
      </w:r>
      <w:r>
        <w:rPr>
          <w:color w:val="231F20"/>
        </w:rPr>
        <w:t>bewijze van de inschrijving in het register levert het bestuursor- gaan, op verzoek van degene die als effectenhouder is ingeschreven,  een</w:t>
      </w:r>
      <w:r>
        <w:rPr>
          <w:color w:val="231F20"/>
          <w:spacing w:val="14"/>
        </w:rPr>
        <w:t> </w:t>
      </w:r>
      <w:r>
        <w:rPr>
          <w:color w:val="231F20"/>
        </w:rPr>
        <w:t>uittreksel</w:t>
      </w:r>
      <w:r>
        <w:rPr>
          <w:color w:val="231F20"/>
          <w:spacing w:val="15"/>
        </w:rPr>
        <w:t> </w:t>
      </w:r>
      <w:r>
        <w:rPr>
          <w:color w:val="231F20"/>
        </w:rPr>
        <w:t>uit</w:t>
      </w:r>
      <w:r>
        <w:rPr>
          <w:color w:val="231F20"/>
          <w:spacing w:val="14"/>
        </w:rPr>
        <w:t> </w:t>
      </w:r>
      <w:r>
        <w:rPr>
          <w:color w:val="231F20"/>
        </w:rPr>
        <w:t>het</w:t>
      </w:r>
      <w:r>
        <w:rPr>
          <w:color w:val="231F20"/>
          <w:spacing w:val="15"/>
        </w:rPr>
        <w:t> </w:t>
      </w:r>
      <w:r>
        <w:rPr>
          <w:color w:val="231F20"/>
        </w:rPr>
        <w:t>register</w:t>
      </w:r>
      <w:r>
        <w:rPr>
          <w:color w:val="231F20"/>
          <w:spacing w:val="15"/>
        </w:rPr>
        <w:t> </w:t>
      </w:r>
      <w:r>
        <w:rPr>
          <w:color w:val="231F20"/>
        </w:rPr>
        <w:t>in</w:t>
      </w:r>
      <w:r>
        <w:rPr>
          <w:color w:val="231F20"/>
          <w:spacing w:val="14"/>
        </w:rPr>
        <w:t> </w:t>
      </w:r>
      <w:r>
        <w:rPr>
          <w:color w:val="231F20"/>
        </w:rPr>
        <w:t>de</w:t>
      </w:r>
      <w:r>
        <w:rPr>
          <w:color w:val="231F20"/>
          <w:spacing w:val="15"/>
        </w:rPr>
        <w:t> </w:t>
      </w:r>
      <w:r>
        <w:rPr>
          <w:color w:val="231F20"/>
        </w:rPr>
        <w:t>vorm</w:t>
      </w:r>
      <w:r>
        <w:rPr>
          <w:color w:val="231F20"/>
          <w:spacing w:val="15"/>
        </w:rPr>
        <w:t> </w:t>
      </w:r>
      <w:r>
        <w:rPr>
          <w:color w:val="231F20"/>
        </w:rPr>
        <w:t>van</w:t>
      </w:r>
      <w:r>
        <w:rPr>
          <w:color w:val="231F20"/>
          <w:spacing w:val="14"/>
        </w:rPr>
        <w:t> </w:t>
      </w:r>
      <w:r>
        <w:rPr>
          <w:color w:val="231F20"/>
        </w:rPr>
        <w:t>een</w:t>
      </w:r>
      <w:r>
        <w:rPr>
          <w:color w:val="231F20"/>
          <w:spacing w:val="15"/>
        </w:rPr>
        <w:t> </w:t>
      </w:r>
      <w:r>
        <w:rPr>
          <w:color w:val="231F20"/>
        </w:rPr>
        <w:t>certificaat</w:t>
      </w:r>
      <w:r>
        <w:rPr>
          <w:color w:val="231F20"/>
          <w:spacing w:val="15"/>
        </w:rPr>
        <w:t> </w:t>
      </w:r>
      <w:r>
        <w:rPr>
          <w:color w:val="231F20"/>
        </w:rPr>
        <w:t>af.</w:t>
      </w:r>
    </w:p>
    <w:p>
      <w:pPr>
        <w:pStyle w:val="BodyText"/>
        <w:spacing w:before="8"/>
        <w:ind w:left="0" w:right="0" w:firstLine="0"/>
        <w:jc w:val="left"/>
        <w:rPr>
          <w:sz w:val="22"/>
        </w:rPr>
      </w:pPr>
    </w:p>
    <w:p>
      <w:pPr>
        <w:pStyle w:val="BodyText"/>
        <w:ind w:left="283" w:right="0" w:firstLine="0"/>
        <w:jc w:val="left"/>
      </w:pPr>
      <w:r>
        <w:rPr>
          <w:color w:val="231F20"/>
        </w:rPr>
        <w:t>Afdeling 2. Gedematerialiseerde effecten.</w:t>
      </w:r>
    </w:p>
    <w:p>
      <w:pPr>
        <w:pStyle w:val="BodyText"/>
        <w:spacing w:line="218" w:lineRule="auto" w:before="93"/>
      </w:pPr>
      <w:r>
        <w:rPr>
          <w:color w:val="231F20"/>
        </w:rPr>
        <w:t>Art. 7:35. Het gedematerialiseerde effect wordt vertegenwoordigd door een boeking op rekening, op naam van de eigenaar of de houder, bij een vereffeningsinstelling of bij een erkende rekeninghouder.</w:t>
      </w:r>
    </w:p>
    <w:p>
      <w:pPr>
        <w:pStyle w:val="BodyText"/>
        <w:spacing w:line="218" w:lineRule="auto" w:before="96"/>
        <w:ind w:right="123"/>
      </w:pPr>
      <w:r>
        <w:rPr>
          <w:color w:val="231F20"/>
        </w:rPr>
        <w:t>De Koning wijst per categorie van effecten de vereffeningsinstellin- gen aan die worden belast met de aanhouding van gedematerialiseerde effecten en de vereffening van transacties op dergelijke effecten. Hij erkent de rekeninghouders in België, op individuele wijze of op algemene wijze, per categorie van instellingen, naargelang van hun bedrijvigheid.</w:t>
      </w:r>
    </w:p>
    <w:p>
      <w:pPr>
        <w:pStyle w:val="BodyText"/>
        <w:spacing w:line="218" w:lineRule="auto" w:before="96"/>
      </w:pPr>
      <w:r>
        <w:rPr>
          <w:color w:val="231F20"/>
        </w:rPr>
        <w:t>Het aantal van de op elk ogenblik in omloop zijnde gedemateriali- seerde effecten, wordt, per categorie van effecten, in het register van de effecten op naam, ingeschreven op naam van de vereffeningsinstelling of, in voorkomend geval, van de erkende rekeninghouder wanneer artikel 7:44 wordt toegepast.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71"/>
      </w:pPr>
      <w:r>
        <w:rPr/>
        <w:pict>
          <v:line style="position:absolute;mso-position-horizontal-relative:page;mso-position-vertical-relative:page;z-index:4696" from="298.170502pt,64.473pt" to="298.170502pt,812.819pt" stroked="true" strokeweight=".533pt" strokecolor="#231f20">
            <v:stroke dashstyle="solid"/>
            <w10:wrap type="none"/>
          </v:line>
        </w:pict>
      </w:r>
      <w:bookmarkStart w:name="_bookmark153" w:id="158"/>
      <w:bookmarkEnd w:id="158"/>
      <w:r>
        <w:rPr/>
      </w:r>
      <w:r>
        <w:rPr>
          <w:color w:val="231F20"/>
        </w:rPr>
        <w:t>L’inscription de titres en compte confère un droit de copropriété, de nature incorporelle, sur l’universalité des titres de même catégorie inscrits au nom de l’organisme de liquidation ou, le cas échéant, du teneur de comptes agréé en cas d’application de l’article 7:44, dans le registre des titres nominatifs visé à l’alinéa 3.</w:t>
      </w:r>
    </w:p>
    <w:p>
      <w:pPr>
        <w:pStyle w:val="BodyText"/>
        <w:spacing w:before="8"/>
        <w:ind w:left="0" w:right="0" w:firstLine="0"/>
        <w:jc w:val="left"/>
        <w:rPr>
          <w:sz w:val="27"/>
        </w:rPr>
      </w:pPr>
    </w:p>
    <w:p>
      <w:pPr>
        <w:pStyle w:val="BodyText"/>
        <w:spacing w:line="218" w:lineRule="auto"/>
        <w:ind w:right="71"/>
      </w:pPr>
      <w:r>
        <w:rPr>
          <w:color w:val="231F20"/>
        </w:rPr>
        <w:t>La Banque nationale de Belgique est chargée de contrôler le respect, par les teneurs de comptes agréés en Belgique, des règles prévues par ou en vertu de la présente section. Pour l’exercice de ce contrôle, pour l’imposition de sanctions administratives et pour la prise d’autres mesures à l’égard des teneurs de comptes agréés, la Banque nationale de</w:t>
      </w:r>
      <w:r>
        <w:rPr>
          <w:color w:val="231F20"/>
          <w:spacing w:val="15"/>
        </w:rPr>
        <w:t> </w:t>
      </w:r>
      <w:r>
        <w:rPr>
          <w:color w:val="231F20"/>
        </w:rPr>
        <w:t>Belgique:</w:t>
      </w:r>
    </w:p>
    <w:p>
      <w:pPr>
        <w:pStyle w:val="BodyText"/>
        <w:spacing w:line="218" w:lineRule="auto" w:before="140"/>
        <w:ind w:right="71"/>
      </w:pPr>
      <w:r>
        <w:rPr>
          <w:color w:val="231F20"/>
        </w:rPr>
        <w:t>1° utilise, s’agissant d’établissements de crédit, les compétences qui lui ont été attribuées par la loi du 25 avril 2014 relative au statut et au contrôle des établissements de crédit et des sociétés de bourse;</w:t>
      </w:r>
    </w:p>
    <w:p>
      <w:pPr>
        <w:pStyle w:val="BodyText"/>
        <w:spacing w:line="218" w:lineRule="auto" w:before="138"/>
        <w:ind w:right="71"/>
      </w:pPr>
      <w:r>
        <w:rPr>
          <w:color w:val="231F20"/>
        </w:rPr>
        <w:t>2° utilise, s’agissant d’entreprises d’investissement, les compétences qui lui ont été attribuées par la loi du 25 avril 2014 relative au statut et au contrôle des établissements de crédit et des sociétés de bourse;</w:t>
      </w:r>
    </w:p>
    <w:p>
      <w:pPr>
        <w:pStyle w:val="BodyText"/>
        <w:spacing w:before="8"/>
        <w:ind w:left="0" w:right="0" w:firstLine="0"/>
        <w:jc w:val="left"/>
        <w:rPr>
          <w:sz w:val="27"/>
        </w:rPr>
      </w:pPr>
    </w:p>
    <w:p>
      <w:pPr>
        <w:pStyle w:val="BodyText"/>
        <w:spacing w:line="218" w:lineRule="auto"/>
        <w:ind w:right="71"/>
      </w:pPr>
      <w:r>
        <w:rPr>
          <w:color w:val="231F20"/>
        </w:rPr>
        <w:t>3° utilise, s’agissant d’organismes de compensation et de liquidation, les compétences qui lui sont attribuées par la loi.</w:t>
      </w:r>
    </w:p>
    <w:p>
      <w:pPr>
        <w:pStyle w:val="BodyText"/>
        <w:spacing w:line="218" w:lineRule="auto" w:before="139"/>
        <w:ind w:right="71"/>
      </w:pPr>
      <w:r>
        <w:rPr>
          <w:color w:val="231F20"/>
        </w:rPr>
        <w:t>Les dispositions correspondantes qui sanctionnent pénalement la violation des dispositions précitées sont d’application.</w:t>
      </w:r>
    </w:p>
    <w:p>
      <w:pPr>
        <w:pStyle w:val="BodyText"/>
        <w:spacing w:line="218" w:lineRule="auto" w:before="139"/>
        <w:ind w:right="28"/>
        <w:jc w:val="left"/>
      </w:pPr>
      <w:r>
        <w:rPr>
          <w:color w:val="231F20"/>
        </w:rPr>
        <w:t>Art. 7:36. Les teneurs de comptes agréés maintiennent les titres dématérialisés qu’ils détiennent pour le compte de tiers et pour leur compte propre sur des comptes ouverts auprès de l’organisme de liquidation, auprès d’un ou de plusieurs établissements qui agissent pour eux, directement ou indirectement, comme intermédiaires à  l’égard de cet organisme de liquidation, ou auprès à la fois de l’organisme de liquidation et d’un ou plusieurs des établissements précités. Le cas échéant, les teneurs de comptes agréés maintiennent les titres dématérialises qu’ils détiennent pour le compte de tiers et pour leur compte propre sur des comptes ouverts auprès du teneur de comptes agréé visé à l’article 7:44, auprès d’un ou de plusieurs établissements qui agissent pour eux, directement ou indirectement, comme intermédiaires à l’égard de ce teneur de comptes agréé </w:t>
      </w:r>
      <w:r>
        <w:rPr>
          <w:color w:val="231F20"/>
          <w:spacing w:val="4"/>
        </w:rPr>
        <w:t>visé </w:t>
      </w:r>
      <w:r>
        <w:rPr>
          <w:color w:val="231F20"/>
        </w:rPr>
        <w:t>à l’article 7:44, ou auprès à la fois du teneur de comptes agréé </w:t>
      </w:r>
      <w:r>
        <w:rPr>
          <w:color w:val="231F20"/>
          <w:spacing w:val="8"/>
        </w:rPr>
        <w:t>visé </w:t>
      </w:r>
      <w:r>
        <w:rPr>
          <w:color w:val="231F20"/>
        </w:rPr>
        <w:t>à l’article</w:t>
      </w:r>
      <w:r>
        <w:rPr>
          <w:color w:val="231F20"/>
          <w:spacing w:val="14"/>
        </w:rPr>
        <w:t> </w:t>
      </w:r>
      <w:r>
        <w:rPr>
          <w:color w:val="231F20"/>
        </w:rPr>
        <w:t>7:44</w:t>
      </w:r>
      <w:r>
        <w:rPr>
          <w:color w:val="231F20"/>
          <w:spacing w:val="14"/>
        </w:rPr>
        <w:t> </w:t>
      </w:r>
      <w:r>
        <w:rPr>
          <w:color w:val="231F20"/>
        </w:rPr>
        <w:t>et</w:t>
      </w:r>
      <w:r>
        <w:rPr>
          <w:color w:val="231F20"/>
          <w:spacing w:val="15"/>
        </w:rPr>
        <w:t> </w:t>
      </w:r>
      <w:r>
        <w:rPr>
          <w:color w:val="231F20"/>
        </w:rPr>
        <w:t>d’un</w:t>
      </w:r>
      <w:r>
        <w:rPr>
          <w:color w:val="231F20"/>
          <w:spacing w:val="14"/>
        </w:rPr>
        <w:t> </w:t>
      </w:r>
      <w:r>
        <w:rPr>
          <w:color w:val="231F20"/>
        </w:rPr>
        <w:t>ou</w:t>
      </w:r>
      <w:r>
        <w:rPr>
          <w:color w:val="231F20"/>
          <w:spacing w:val="14"/>
        </w:rPr>
        <w:t> </w:t>
      </w:r>
      <w:r>
        <w:rPr>
          <w:color w:val="231F20"/>
        </w:rPr>
        <w:t>plusieurs</w:t>
      </w:r>
      <w:r>
        <w:rPr>
          <w:color w:val="231F20"/>
          <w:spacing w:val="15"/>
        </w:rPr>
        <w:t> </w:t>
      </w:r>
      <w:r>
        <w:rPr>
          <w:color w:val="231F20"/>
        </w:rPr>
        <w:t>établissements</w:t>
      </w:r>
      <w:r>
        <w:rPr>
          <w:color w:val="231F20"/>
          <w:spacing w:val="14"/>
        </w:rPr>
        <w:t> </w:t>
      </w:r>
      <w:r>
        <w:rPr>
          <w:color w:val="231F20"/>
        </w:rPr>
        <w:t>précités.</w:t>
      </w:r>
    </w:p>
    <w:p>
      <w:pPr>
        <w:pStyle w:val="BodyText"/>
        <w:spacing w:line="218" w:lineRule="auto" w:before="140"/>
        <w:ind w:right="71"/>
      </w:pPr>
      <w:r>
        <w:rPr>
          <w:color w:val="231F20"/>
        </w:rPr>
        <w:t>Art. 7:37. Un gage sur des titres dématérialisés est constitué conformément à la loi du 15 décembre 2004 relative aux sûretés financières et portant des dispositions fiscales diverses en matière de conventions constitutives de sûreté réelle et de prêts portant sur des instruments financiers.</w:t>
      </w:r>
    </w:p>
    <w:p>
      <w:pPr>
        <w:pStyle w:val="BodyText"/>
        <w:spacing w:line="218" w:lineRule="auto" w:before="139"/>
        <w:ind w:right="71"/>
      </w:pPr>
      <w:r>
        <w:rPr>
          <w:color w:val="231F20"/>
        </w:rPr>
        <w:t>Le constituant du gage est présumé être propriétaire des titres dématérialisés remis en gage. Le gage reste valablement constitué si le constituant du gage n’est pas le propriétaire des titres dématérialisés remis en gage, sans préjudice de la responsabilité du constituant du gage à l’égard du véritable propriétaire des titres dématérialisés remis en gage. Si le constituant du gage a averti le créancier gagiste, au préalable et par écrit, qu’il n’est pas le propriétaire des titres dématé- rialisés remis en gage, la validité du gage est subordonnée à l’accord du propriétaire de ces titres.</w:t>
      </w:r>
    </w:p>
    <w:p>
      <w:pPr>
        <w:pStyle w:val="BodyText"/>
        <w:spacing w:before="8"/>
        <w:ind w:left="0" w:right="0" w:firstLine="0"/>
        <w:jc w:val="left"/>
        <w:rPr>
          <w:sz w:val="27"/>
        </w:rPr>
      </w:pPr>
    </w:p>
    <w:p>
      <w:pPr>
        <w:pStyle w:val="BodyText"/>
        <w:spacing w:line="218" w:lineRule="auto"/>
        <w:ind w:right="71"/>
      </w:pPr>
      <w:r>
        <w:rPr>
          <w:color w:val="231F20"/>
        </w:rPr>
        <w:t>Art. 7:38. Les propriétaires de titres  dématérialisés  visés  à  l’arti- cle 7:36 ne sont admis à faire valoir leurs droits de copropriété visés à l’article 7:35, alinéa 4, qu’à l’égard du teneur de comptes agréé auprès duquel ces titres sont inscrits en compte ou, s’ils maintiennent directement ces titres auprès de l’organisme de liquidation, à l’égard de celui-ci.</w:t>
      </w:r>
      <w:r>
        <w:rPr>
          <w:color w:val="231F20"/>
          <w:spacing w:val="14"/>
        </w:rPr>
        <w:t> </w:t>
      </w:r>
      <w:r>
        <w:rPr>
          <w:color w:val="231F20"/>
        </w:rPr>
        <w:t>Par</w:t>
      </w:r>
      <w:r>
        <w:rPr>
          <w:color w:val="231F20"/>
          <w:spacing w:val="15"/>
        </w:rPr>
        <w:t> </w:t>
      </w:r>
      <w:r>
        <w:rPr>
          <w:color w:val="231F20"/>
        </w:rPr>
        <w:t>exception,</w:t>
      </w:r>
      <w:r>
        <w:rPr>
          <w:color w:val="231F20"/>
          <w:spacing w:val="14"/>
        </w:rPr>
        <w:t> </w:t>
      </w:r>
      <w:r>
        <w:rPr>
          <w:color w:val="231F20"/>
        </w:rPr>
        <w:t>il</w:t>
      </w:r>
      <w:r>
        <w:rPr>
          <w:color w:val="231F20"/>
          <w:spacing w:val="15"/>
        </w:rPr>
        <w:t> </w:t>
      </w:r>
      <w:r>
        <w:rPr>
          <w:color w:val="231F20"/>
        </w:rPr>
        <w:t>leur</w:t>
      </w:r>
      <w:r>
        <w:rPr>
          <w:color w:val="231F20"/>
          <w:spacing w:val="15"/>
        </w:rPr>
        <w:t> </w:t>
      </w:r>
      <w:r>
        <w:rPr>
          <w:color w:val="231F20"/>
        </w:rPr>
        <w:t>revient:</w:t>
      </w:r>
    </w:p>
    <w:p>
      <w:pPr>
        <w:pStyle w:val="BodyText"/>
        <w:spacing w:line="218" w:lineRule="auto" w:before="139"/>
        <w:ind w:right="71"/>
      </w:pPr>
      <w:r>
        <w:rPr>
          <w:color w:val="231F20"/>
        </w:rPr>
        <w:t>1° d’exercer un droit de revendication conformément aux disposi- tions du présent article et de l’article 9</w:t>
      </w:r>
      <w:r>
        <w:rPr>
          <w:rFonts w:ascii="Times New Roman" w:hAnsi="Times New Roman"/>
          <w:i/>
          <w:color w:val="231F20"/>
        </w:rPr>
        <w:t>bis</w:t>
      </w:r>
      <w:r>
        <w:rPr>
          <w:color w:val="231F20"/>
        </w:rPr>
        <w:t>, alinéas 2 à 4, de l’arrêté royal n° 62 du 10 novembre 1967 favorisant la circulation des instruments financiers;</w:t>
      </w:r>
    </w:p>
    <w:p>
      <w:pPr>
        <w:pStyle w:val="BodyText"/>
        <w:spacing w:line="326" w:lineRule="exact" w:before="18"/>
        <w:ind w:left="284" w:right="71" w:hanging="1"/>
        <w:jc w:val="left"/>
      </w:pPr>
      <w:r>
        <w:rPr>
          <w:color w:val="231F20"/>
        </w:rPr>
        <w:t>2° d’exercer directement leurs droits sociaux auprès de l’émetteur;   3°</w:t>
      </w:r>
      <w:r>
        <w:rPr>
          <w:color w:val="231F20"/>
          <w:spacing w:val="19"/>
        </w:rPr>
        <w:t> </w:t>
      </w:r>
      <w:r>
        <w:rPr>
          <w:color w:val="231F20"/>
        </w:rPr>
        <w:t>en</w:t>
      </w:r>
      <w:r>
        <w:rPr>
          <w:color w:val="231F20"/>
          <w:spacing w:val="19"/>
        </w:rPr>
        <w:t> </w:t>
      </w:r>
      <w:r>
        <w:rPr>
          <w:color w:val="231F20"/>
        </w:rPr>
        <w:t>cas</w:t>
      </w:r>
      <w:r>
        <w:rPr>
          <w:color w:val="231F20"/>
          <w:spacing w:val="19"/>
        </w:rPr>
        <w:t> </w:t>
      </w:r>
      <w:r>
        <w:rPr>
          <w:color w:val="231F20"/>
        </w:rPr>
        <w:t>de</w:t>
      </w:r>
      <w:r>
        <w:rPr>
          <w:color w:val="231F20"/>
          <w:spacing w:val="20"/>
        </w:rPr>
        <w:t> </w:t>
      </w:r>
      <w:r>
        <w:rPr>
          <w:color w:val="231F20"/>
        </w:rPr>
        <w:t>faillite</w:t>
      </w:r>
      <w:r>
        <w:rPr>
          <w:color w:val="231F20"/>
          <w:spacing w:val="19"/>
        </w:rPr>
        <w:t> </w:t>
      </w:r>
      <w:r>
        <w:rPr>
          <w:color w:val="231F20"/>
        </w:rPr>
        <w:t>ou</w:t>
      </w:r>
      <w:r>
        <w:rPr>
          <w:color w:val="231F20"/>
          <w:spacing w:val="19"/>
        </w:rPr>
        <w:t> </w:t>
      </w:r>
      <w:r>
        <w:rPr>
          <w:color w:val="231F20"/>
        </w:rPr>
        <w:t>de</w:t>
      </w:r>
      <w:r>
        <w:rPr>
          <w:color w:val="231F20"/>
          <w:spacing w:val="20"/>
        </w:rPr>
        <w:t> </w:t>
      </w:r>
      <w:r>
        <w:rPr>
          <w:color w:val="231F20"/>
        </w:rPr>
        <w:t>toute</w:t>
      </w:r>
      <w:r>
        <w:rPr>
          <w:color w:val="231F20"/>
          <w:spacing w:val="19"/>
        </w:rPr>
        <w:t> </w:t>
      </w:r>
      <w:r>
        <w:rPr>
          <w:color w:val="231F20"/>
        </w:rPr>
        <w:t>autre</w:t>
      </w:r>
      <w:r>
        <w:rPr>
          <w:color w:val="231F20"/>
          <w:spacing w:val="19"/>
        </w:rPr>
        <w:t> </w:t>
      </w:r>
      <w:r>
        <w:rPr>
          <w:color w:val="231F20"/>
        </w:rPr>
        <w:t>situation</w:t>
      </w:r>
      <w:r>
        <w:rPr>
          <w:color w:val="231F20"/>
          <w:spacing w:val="20"/>
        </w:rPr>
        <w:t> </w:t>
      </w:r>
      <w:r>
        <w:rPr>
          <w:color w:val="231F20"/>
        </w:rPr>
        <w:t>de</w:t>
      </w:r>
      <w:r>
        <w:rPr>
          <w:color w:val="231F20"/>
          <w:spacing w:val="19"/>
        </w:rPr>
        <w:t> </w:t>
      </w:r>
      <w:r>
        <w:rPr>
          <w:color w:val="231F20"/>
        </w:rPr>
        <w:t>concours</w:t>
      </w:r>
      <w:r>
        <w:rPr>
          <w:color w:val="231F20"/>
          <w:spacing w:val="19"/>
        </w:rPr>
        <w:t> </w:t>
      </w:r>
      <w:r>
        <w:rPr>
          <w:color w:val="231F20"/>
        </w:rPr>
        <w:t>dans</w:t>
      </w:r>
      <w:r>
        <w:rPr>
          <w:color w:val="231F20"/>
          <w:spacing w:val="20"/>
        </w:rPr>
        <w:t> </w:t>
      </w:r>
      <w:r>
        <w:rPr>
          <w:color w:val="231F20"/>
        </w:rPr>
        <w:t>le</w:t>
      </w:r>
    </w:p>
    <w:p>
      <w:pPr>
        <w:pStyle w:val="BodyText"/>
        <w:spacing w:line="138" w:lineRule="exact"/>
        <w:ind w:right="0" w:firstLine="0"/>
        <w:jc w:val="left"/>
      </w:pPr>
      <w:r>
        <w:rPr>
          <w:color w:val="231F20"/>
        </w:rPr>
        <w:t>chef</w:t>
      </w:r>
      <w:r>
        <w:rPr>
          <w:color w:val="231F20"/>
          <w:spacing w:val="6"/>
        </w:rPr>
        <w:t> </w:t>
      </w:r>
      <w:r>
        <w:rPr>
          <w:color w:val="231F20"/>
        </w:rPr>
        <w:t>de</w:t>
      </w:r>
      <w:r>
        <w:rPr>
          <w:color w:val="231F20"/>
          <w:spacing w:val="7"/>
        </w:rPr>
        <w:t> </w:t>
      </w:r>
      <w:r>
        <w:rPr>
          <w:color w:val="231F20"/>
        </w:rPr>
        <w:t>l’émetteur,</w:t>
      </w:r>
      <w:r>
        <w:rPr>
          <w:color w:val="231F20"/>
          <w:spacing w:val="7"/>
        </w:rPr>
        <w:t> </w:t>
      </w:r>
      <w:r>
        <w:rPr>
          <w:color w:val="231F20"/>
        </w:rPr>
        <w:t>d’exercer</w:t>
      </w:r>
      <w:r>
        <w:rPr>
          <w:color w:val="231F20"/>
          <w:spacing w:val="7"/>
        </w:rPr>
        <w:t> </w:t>
      </w:r>
      <w:r>
        <w:rPr>
          <w:color w:val="231F20"/>
        </w:rPr>
        <w:t>directement</w:t>
      </w:r>
      <w:r>
        <w:rPr>
          <w:color w:val="231F20"/>
          <w:spacing w:val="7"/>
        </w:rPr>
        <w:t> </w:t>
      </w:r>
      <w:r>
        <w:rPr>
          <w:color w:val="231F20"/>
        </w:rPr>
        <w:t>leurs</w:t>
      </w:r>
      <w:r>
        <w:rPr>
          <w:color w:val="231F20"/>
          <w:spacing w:val="7"/>
        </w:rPr>
        <w:t> </w:t>
      </w:r>
      <w:r>
        <w:rPr>
          <w:color w:val="231F20"/>
        </w:rPr>
        <w:t>droits</w:t>
      </w:r>
      <w:r>
        <w:rPr>
          <w:color w:val="231F20"/>
          <w:spacing w:val="6"/>
        </w:rPr>
        <w:t> </w:t>
      </w:r>
      <w:r>
        <w:rPr>
          <w:color w:val="231F20"/>
        </w:rPr>
        <w:t>de</w:t>
      </w:r>
      <w:r>
        <w:rPr>
          <w:color w:val="231F20"/>
          <w:spacing w:val="7"/>
        </w:rPr>
        <w:t> </w:t>
      </w:r>
      <w:r>
        <w:rPr>
          <w:color w:val="231F20"/>
        </w:rPr>
        <w:t>recours</w:t>
      </w:r>
      <w:r>
        <w:rPr>
          <w:color w:val="231F20"/>
          <w:spacing w:val="7"/>
        </w:rPr>
        <w:t> </w:t>
      </w:r>
      <w:r>
        <w:rPr>
          <w:color w:val="231F20"/>
        </w:rPr>
        <w:t>contre</w:t>
      </w:r>
    </w:p>
    <w:p>
      <w:pPr>
        <w:pStyle w:val="BodyText"/>
        <w:spacing w:line="185" w:lineRule="exact"/>
        <w:ind w:right="0" w:firstLine="0"/>
        <w:jc w:val="left"/>
      </w:pPr>
      <w:r>
        <w:rPr>
          <w:color w:val="231F20"/>
        </w:rPr>
        <w:t>celui-ci.</w:t>
      </w:r>
    </w:p>
    <w:p>
      <w:pPr>
        <w:pStyle w:val="BodyText"/>
        <w:spacing w:line="218" w:lineRule="auto" w:before="145"/>
        <w:ind w:right="71"/>
      </w:pPr>
      <w:r>
        <w:rPr>
          <w:color w:val="231F20"/>
        </w:rPr>
        <w:t>En cas de faillite du teneur de comptes agréé ou de toute autre situation de concours, la revendication du montant des titres dématé- rialisés visés à l’article 7:36 dont le teneur de comptes agréé est redevable, s’exerce collectivement sur l’universalité des titres dématé- rialisés de la même catégorie et classe, inscrites au nom du teneur de comptes agréé auprès d’autres teneurs de comptes agréés ou auprès de l’organisme de liquidation.</w:t>
      </w:r>
    </w:p>
    <w:p>
      <w:pPr>
        <w:pStyle w:val="BodyText"/>
        <w:spacing w:line="218" w:lineRule="auto" w:before="119"/>
      </w:pPr>
      <w:r>
        <w:rPr/>
        <w:br w:type="column"/>
      </w:r>
      <w:r>
        <w:rPr>
          <w:color w:val="231F20"/>
        </w:rPr>
        <w:t>De boeking op rekening van effecten vestigt een onlichamelijk recht van mede-eigendom op de algemeenheid van effecten van dezelfde categorie die op naam van de vereffeningsinstelling of, in voorkomend geval, van de erkende rekeninghouder wanneer artikel 7:44 wordt toegepast, zijn ingeschreven in het register van effecten op naam bedoeld in het derde lid.</w:t>
      </w:r>
    </w:p>
    <w:p>
      <w:pPr>
        <w:pStyle w:val="BodyText"/>
        <w:spacing w:line="218" w:lineRule="auto" w:before="140"/>
      </w:pPr>
      <w:r>
        <w:rPr>
          <w:color w:val="231F20"/>
        </w:rPr>
        <w:t>De Nationale Bank van België is belast met het toezicht op de naleving door de in België erkende rekeninghouders van de regels bepaald door of krachtens deze afdeling. Voor de uitoefening van dit toezicht, voor het opleggen van administratieve sancties en voor het treffen van andere maatregelen ten overstaan van de erkende rekening- houders maakt de Nationale Bank van België:</w:t>
      </w:r>
    </w:p>
    <w:p>
      <w:pPr>
        <w:pStyle w:val="BodyText"/>
        <w:spacing w:line="218" w:lineRule="auto" w:before="139"/>
      </w:pPr>
      <w:r>
        <w:rPr>
          <w:color w:val="231F20"/>
        </w:rPr>
        <w:t>1° ten aanzien van kredietinstellingen gebruik van de bevoegdheden die haar worden toegekend door de wet van 25 april 2014 op het statuut van en het toezicht op kredietinstellingen en beursvennootschappen;</w:t>
      </w:r>
    </w:p>
    <w:p>
      <w:pPr>
        <w:pStyle w:val="BodyText"/>
        <w:spacing w:line="218" w:lineRule="auto" w:before="139"/>
        <w:ind w:right="121"/>
      </w:pPr>
      <w:r>
        <w:rPr>
          <w:color w:val="231F20"/>
        </w:rPr>
        <w:t>2° ten aanzien van beleggingsondernemingen gebruik van de </w:t>
      </w:r>
      <w:r>
        <w:rPr>
          <w:color w:val="231F20"/>
          <w:spacing w:val="2"/>
        </w:rPr>
        <w:t>bevoegdheden   </w:t>
      </w:r>
      <w:r>
        <w:rPr>
          <w:color w:val="231F20"/>
        </w:rPr>
        <w:t>die   </w:t>
      </w:r>
      <w:r>
        <w:rPr>
          <w:color w:val="231F20"/>
          <w:spacing w:val="2"/>
        </w:rPr>
        <w:t>haar   </w:t>
      </w:r>
      <w:r>
        <w:rPr>
          <w:color w:val="231F20"/>
        </w:rPr>
        <w:t>werden   </w:t>
      </w:r>
      <w:r>
        <w:rPr>
          <w:color w:val="231F20"/>
          <w:spacing w:val="2"/>
        </w:rPr>
        <w:t>toegekend   door   </w:t>
      </w:r>
      <w:r>
        <w:rPr>
          <w:color w:val="231F20"/>
        </w:rPr>
        <w:t>de   wet   </w:t>
      </w:r>
      <w:r>
        <w:rPr>
          <w:color w:val="231F20"/>
          <w:spacing w:val="3"/>
        </w:rPr>
        <w:t>van  </w:t>
      </w:r>
      <w:r>
        <w:rPr>
          <w:color w:val="231F20"/>
        </w:rPr>
        <w:t>25</w:t>
      </w:r>
      <w:r>
        <w:rPr>
          <w:color w:val="231F20"/>
          <w:spacing w:val="-5"/>
        </w:rPr>
        <w:t> </w:t>
      </w:r>
      <w:r>
        <w:rPr>
          <w:color w:val="231F20"/>
        </w:rPr>
        <w:t>april</w:t>
      </w:r>
      <w:r>
        <w:rPr>
          <w:color w:val="231F20"/>
          <w:spacing w:val="-5"/>
        </w:rPr>
        <w:t> </w:t>
      </w:r>
      <w:r>
        <w:rPr>
          <w:color w:val="231F20"/>
        </w:rPr>
        <w:t>2014</w:t>
      </w:r>
      <w:r>
        <w:rPr>
          <w:color w:val="231F20"/>
          <w:spacing w:val="-5"/>
        </w:rPr>
        <w:t> </w:t>
      </w:r>
      <w:r>
        <w:rPr>
          <w:color w:val="231F20"/>
        </w:rPr>
        <w:t>op</w:t>
      </w:r>
      <w:r>
        <w:rPr>
          <w:color w:val="231F20"/>
          <w:spacing w:val="-4"/>
        </w:rPr>
        <w:t> </w:t>
      </w:r>
      <w:r>
        <w:rPr>
          <w:color w:val="231F20"/>
        </w:rPr>
        <w:t>het</w:t>
      </w:r>
      <w:r>
        <w:rPr>
          <w:color w:val="231F20"/>
          <w:spacing w:val="-5"/>
        </w:rPr>
        <w:t> </w:t>
      </w:r>
      <w:r>
        <w:rPr>
          <w:color w:val="231F20"/>
        </w:rPr>
        <w:t>statuut</w:t>
      </w:r>
      <w:r>
        <w:rPr>
          <w:color w:val="231F20"/>
          <w:spacing w:val="-5"/>
        </w:rPr>
        <w:t> </w:t>
      </w:r>
      <w:r>
        <w:rPr>
          <w:color w:val="231F20"/>
        </w:rPr>
        <w:t>van</w:t>
      </w:r>
      <w:r>
        <w:rPr>
          <w:color w:val="231F20"/>
          <w:spacing w:val="-4"/>
        </w:rPr>
        <w:t> </w:t>
      </w:r>
      <w:r>
        <w:rPr>
          <w:color w:val="231F20"/>
        </w:rPr>
        <w:t>en</w:t>
      </w:r>
      <w:r>
        <w:rPr>
          <w:color w:val="231F20"/>
          <w:spacing w:val="-5"/>
        </w:rPr>
        <w:t> </w:t>
      </w:r>
      <w:r>
        <w:rPr>
          <w:color w:val="231F20"/>
        </w:rPr>
        <w:t>het</w:t>
      </w:r>
      <w:r>
        <w:rPr>
          <w:color w:val="231F20"/>
          <w:spacing w:val="-5"/>
        </w:rPr>
        <w:t> </w:t>
      </w:r>
      <w:r>
        <w:rPr>
          <w:color w:val="231F20"/>
        </w:rPr>
        <w:t>toezicht</w:t>
      </w:r>
      <w:r>
        <w:rPr>
          <w:color w:val="231F20"/>
          <w:spacing w:val="-4"/>
        </w:rPr>
        <w:t> </w:t>
      </w:r>
      <w:r>
        <w:rPr>
          <w:color w:val="231F20"/>
        </w:rPr>
        <w:t>op</w:t>
      </w:r>
      <w:r>
        <w:rPr>
          <w:color w:val="231F20"/>
          <w:spacing w:val="-5"/>
        </w:rPr>
        <w:t> </w:t>
      </w:r>
      <w:r>
        <w:rPr>
          <w:color w:val="231F20"/>
        </w:rPr>
        <w:t>kredietinstellingen</w:t>
      </w:r>
      <w:r>
        <w:rPr>
          <w:color w:val="231F20"/>
          <w:spacing w:val="-5"/>
        </w:rPr>
        <w:t> </w:t>
      </w:r>
      <w:r>
        <w:rPr>
          <w:color w:val="231F20"/>
        </w:rPr>
        <w:t>en beursvennootschappen;</w:t>
      </w:r>
    </w:p>
    <w:p>
      <w:pPr>
        <w:pStyle w:val="BodyText"/>
        <w:spacing w:line="218" w:lineRule="auto" w:before="138"/>
        <w:ind w:right="123"/>
      </w:pPr>
      <w:r>
        <w:rPr>
          <w:color w:val="231F20"/>
        </w:rPr>
        <w:t>3° ten aanzien van verrekenings- en vereffeningsinstellingen gebruik van de bevoegdheden die haar werden toegekend door de wet.</w:t>
      </w:r>
    </w:p>
    <w:p>
      <w:pPr>
        <w:pStyle w:val="BodyText"/>
        <w:spacing w:line="218" w:lineRule="auto" w:before="139"/>
      </w:pPr>
      <w:r>
        <w:rPr>
          <w:color w:val="231F20"/>
        </w:rPr>
        <w:t>De daarmee overeenstemmende bepalingen die de niet-naleving van voornoemde bepalingen bestraffen zijn van toepassing.</w:t>
      </w:r>
    </w:p>
    <w:p>
      <w:pPr>
        <w:pStyle w:val="BodyText"/>
        <w:spacing w:line="218" w:lineRule="auto" w:before="139"/>
        <w:ind w:right="123"/>
      </w:pPr>
      <w:r>
        <w:rPr>
          <w:color w:val="231F20"/>
        </w:rPr>
        <w:t>Art. 7:36. De erkende rekeninghouders houden de gedemateriali- seerde effecten die zij houden voor rekening van derden en voor eigen rekening bij op rekeningen bij de vereffeningsinstelling, bij één of meerdere instellingen die voor hen rechtstreeks of onrechtstreeks als tussenpersoon ten opzichte van die vereffeningsinstelling optreden, of tegelijk bij de vereffeningsinstelling en één of meerdere voornoemde instellingen. In voorkomend geval houden de erkende rekeninghou- ders de gedematerialiseerde effecten die zij houden voor rekening van derden en voor eigen rekening bij op rekeningen bij de erkende rekeninghouder waarvan sprake in artikel 7:44, bij één of meerdere instellingen die voor hen rechtstreeks of onrechtstreeks als tussenper- soon ten opzichte van die in artikel 7:44 bedoelde erkende rekening- houder optreden, of tegelijk bij de erkende rekeninghouder waarvan sprake in artikel 7:44 en één of meerdere voornoemde instellingen.</w:t>
      </w:r>
    </w:p>
    <w:p>
      <w:pPr>
        <w:pStyle w:val="BodyText"/>
        <w:spacing w:before="9"/>
        <w:ind w:left="0" w:right="0" w:firstLine="0"/>
        <w:jc w:val="left"/>
        <w:rPr>
          <w:sz w:val="27"/>
        </w:rPr>
      </w:pPr>
    </w:p>
    <w:p>
      <w:pPr>
        <w:pStyle w:val="BodyText"/>
        <w:spacing w:line="218" w:lineRule="auto"/>
      </w:pPr>
      <w:r>
        <w:rPr>
          <w:color w:val="231F20"/>
        </w:rPr>
        <w:t>Art. 7:37. Een pand op gedematerialiseerde effecten wordt gevestigd overeenkomstig de wet van 15 december 2004 betreffende de financiële zekerheden en houdende diverse fiscale bepalingen inzake zakelijke- zekerheidsovereenkomsten en leningen met betrekking tot financiële instrumenten.</w:t>
      </w:r>
    </w:p>
    <w:p>
      <w:pPr>
        <w:pStyle w:val="BodyText"/>
        <w:spacing w:line="218" w:lineRule="auto" w:before="139"/>
        <w:ind w:right="123"/>
      </w:pPr>
      <w:r>
        <w:rPr>
          <w:color w:val="231F20"/>
        </w:rPr>
        <w:t>De pandgever wordt geacht eigenaar te zijn van de in pand gegeven gedematerialiseerde effecten. Het pand blijft geldig gevestigd als de pandgever niet de eigenaar is van de in pand gegeven gedemateriali- seerde effecten, onverminderd de aansprakelijkheid van de pandgever ten overstaan van de werkelijke eigenaar van de in pand gegeven gedematerialiseerde effecten. Indien de pandgever de pandhoudende schuldeiser voorafgaandelijk en schriftelijk heeft verwittigd dat hij niet de eigenaar is van de in pand gegeven gedematerialiseerde effecten, dan is de geldigheid van het pand onderworpen aan de machtiging van de</w:t>
      </w:r>
      <w:r>
        <w:rPr>
          <w:color w:val="231F20"/>
          <w:spacing w:val="17"/>
        </w:rPr>
        <w:t> </w:t>
      </w:r>
      <w:r>
        <w:rPr>
          <w:color w:val="231F20"/>
        </w:rPr>
        <w:t>eigenaar</w:t>
      </w:r>
      <w:r>
        <w:rPr>
          <w:color w:val="231F20"/>
          <w:spacing w:val="17"/>
        </w:rPr>
        <w:t> </w:t>
      </w:r>
      <w:r>
        <w:rPr>
          <w:color w:val="231F20"/>
        </w:rPr>
        <w:t>voor</w:t>
      </w:r>
      <w:r>
        <w:rPr>
          <w:color w:val="231F20"/>
          <w:spacing w:val="17"/>
        </w:rPr>
        <w:t> </w:t>
      </w:r>
      <w:r>
        <w:rPr>
          <w:color w:val="231F20"/>
        </w:rPr>
        <w:t>de</w:t>
      </w:r>
      <w:r>
        <w:rPr>
          <w:color w:val="231F20"/>
          <w:spacing w:val="18"/>
        </w:rPr>
        <w:t> </w:t>
      </w:r>
      <w:r>
        <w:rPr>
          <w:color w:val="231F20"/>
        </w:rPr>
        <w:t>inpandgeving</w:t>
      </w:r>
      <w:r>
        <w:rPr>
          <w:color w:val="231F20"/>
          <w:spacing w:val="17"/>
        </w:rPr>
        <w:t> </w:t>
      </w:r>
      <w:r>
        <w:rPr>
          <w:color w:val="231F20"/>
        </w:rPr>
        <w:t>van</w:t>
      </w:r>
      <w:r>
        <w:rPr>
          <w:color w:val="231F20"/>
          <w:spacing w:val="17"/>
        </w:rPr>
        <w:t> </w:t>
      </w:r>
      <w:r>
        <w:rPr>
          <w:color w:val="231F20"/>
        </w:rPr>
        <w:t>deze</w:t>
      </w:r>
      <w:r>
        <w:rPr>
          <w:color w:val="231F20"/>
          <w:spacing w:val="18"/>
        </w:rPr>
        <w:t> </w:t>
      </w:r>
      <w:r>
        <w:rPr>
          <w:color w:val="231F20"/>
        </w:rPr>
        <w:t>effecten.</w:t>
      </w:r>
    </w:p>
    <w:p>
      <w:pPr>
        <w:pStyle w:val="BodyText"/>
        <w:spacing w:line="218" w:lineRule="auto" w:before="139"/>
        <w:ind w:right="123"/>
      </w:pPr>
      <w:r>
        <w:rPr>
          <w:color w:val="231F20"/>
        </w:rPr>
        <w:t>Art. 7:38. De eigenaars van gedematerialiseerde effecten bedoeld in artikel 7:36 kunnen hun rechten van mede-eigendom bedoeld in  artikel 7:35, vierde lid, alleen laten gelden jegens de erkende rekening- houder bij wie deze effecten op rekening werden geboekt of, indien zij die effecten rechtstreeks aanhouden bij de vereffeningsinstelling,</w:t>
      </w:r>
      <w:r>
        <w:rPr>
          <w:color w:val="231F20"/>
          <w:spacing w:val="-16"/>
        </w:rPr>
        <w:t> </w:t>
      </w:r>
      <w:r>
        <w:rPr>
          <w:color w:val="231F20"/>
        </w:rPr>
        <w:t>jegens deze</w:t>
      </w:r>
      <w:r>
        <w:rPr>
          <w:color w:val="231F20"/>
          <w:spacing w:val="15"/>
        </w:rPr>
        <w:t> </w:t>
      </w:r>
      <w:r>
        <w:rPr>
          <w:color w:val="231F20"/>
        </w:rPr>
        <w:t>laatste.</w:t>
      </w:r>
      <w:r>
        <w:rPr>
          <w:color w:val="231F20"/>
          <w:spacing w:val="16"/>
        </w:rPr>
        <w:t> </w:t>
      </w:r>
      <w:r>
        <w:rPr>
          <w:color w:val="231F20"/>
        </w:rPr>
        <w:t>Bij</w:t>
      </w:r>
      <w:r>
        <w:rPr>
          <w:color w:val="231F20"/>
          <w:spacing w:val="16"/>
        </w:rPr>
        <w:t> </w:t>
      </w:r>
      <w:r>
        <w:rPr>
          <w:color w:val="231F20"/>
        </w:rPr>
        <w:t>wijze</w:t>
      </w:r>
      <w:r>
        <w:rPr>
          <w:color w:val="231F20"/>
          <w:spacing w:val="16"/>
        </w:rPr>
        <w:t> </w:t>
      </w:r>
      <w:r>
        <w:rPr>
          <w:color w:val="231F20"/>
        </w:rPr>
        <w:t>van</w:t>
      </w:r>
      <w:r>
        <w:rPr>
          <w:color w:val="231F20"/>
          <w:spacing w:val="16"/>
        </w:rPr>
        <w:t> </w:t>
      </w:r>
      <w:r>
        <w:rPr>
          <w:color w:val="231F20"/>
        </w:rPr>
        <w:t>uitzondering</w:t>
      </w:r>
      <w:r>
        <w:rPr>
          <w:color w:val="231F20"/>
          <w:spacing w:val="16"/>
        </w:rPr>
        <w:t> </w:t>
      </w:r>
      <w:r>
        <w:rPr>
          <w:color w:val="231F20"/>
        </w:rPr>
        <w:t>kunnen</w:t>
      </w:r>
      <w:r>
        <w:rPr>
          <w:color w:val="231F20"/>
          <w:spacing w:val="16"/>
        </w:rPr>
        <w:t> </w:t>
      </w:r>
      <w:r>
        <w:rPr>
          <w:color w:val="231F20"/>
        </w:rPr>
        <w:t>zij:</w:t>
      </w:r>
    </w:p>
    <w:p>
      <w:pPr>
        <w:pStyle w:val="BodyText"/>
        <w:spacing w:line="218" w:lineRule="auto" w:before="139"/>
        <w:ind w:right="123"/>
      </w:pPr>
      <w:r>
        <w:rPr>
          <w:color w:val="231F20"/>
        </w:rPr>
        <w:t>1° een recht van terugvordering uitoefenen overeenkomstig de bepalingen van dit artikel en artikel 9</w:t>
      </w:r>
      <w:r>
        <w:rPr>
          <w:rFonts w:ascii="Times New Roman" w:hAnsi="Times New Roman"/>
          <w:i/>
          <w:color w:val="231F20"/>
        </w:rPr>
        <w:t>bis</w:t>
      </w:r>
      <w:r>
        <w:rPr>
          <w:color w:val="231F20"/>
        </w:rPr>
        <w:t>, tweede tot vierde lid, van het koninklijk besluit nr. 62 van 10 november 1967 ter bevordering van de omloop van de financiële instrumenten;</w:t>
      </w:r>
    </w:p>
    <w:p>
      <w:pPr>
        <w:pStyle w:val="BodyText"/>
        <w:spacing w:before="122"/>
        <w:ind w:left="283" w:right="0" w:firstLine="0"/>
        <w:jc w:val="left"/>
      </w:pPr>
      <w:r>
        <w:rPr>
          <w:color w:val="231F20"/>
        </w:rPr>
        <w:t>2° rechtstreeks hun lidmaatschapsrechten uitoefenen bij de emittent;</w:t>
      </w:r>
    </w:p>
    <w:p>
      <w:pPr>
        <w:pStyle w:val="BodyText"/>
        <w:spacing w:line="218" w:lineRule="auto" w:before="146"/>
      </w:pPr>
      <w:r>
        <w:rPr>
          <w:color w:val="231F20"/>
        </w:rPr>
        <w:t>3° in geval van faillissement of in alle andere gevallen van samenloop in hoofde van de emittent rechtstreeks hun recht van verhaal tegen</w:t>
      </w:r>
      <w:r>
        <w:rPr>
          <w:color w:val="231F20"/>
          <w:spacing w:val="-23"/>
        </w:rPr>
        <w:t> </w:t>
      </w:r>
      <w:r>
        <w:rPr>
          <w:color w:val="231F20"/>
        </w:rPr>
        <w:t>deze laatste</w:t>
      </w:r>
      <w:r>
        <w:rPr>
          <w:color w:val="231F20"/>
          <w:spacing w:val="14"/>
        </w:rPr>
        <w:t> </w:t>
      </w:r>
      <w:r>
        <w:rPr>
          <w:color w:val="231F20"/>
        </w:rPr>
        <w:t>uitoefenen.</w:t>
      </w:r>
    </w:p>
    <w:p>
      <w:pPr>
        <w:pStyle w:val="BodyText"/>
        <w:spacing w:line="218" w:lineRule="auto" w:before="150"/>
        <w:ind w:right="125"/>
      </w:pPr>
      <w:r>
        <w:rPr>
          <w:color w:val="231F20"/>
        </w:rPr>
        <w:t>In geval van faillissement van de erkende rekeninghouder of in alle andere gevallen van samenloop, gebeurt de terugvordering van het bedrag van de in artikel 7:36 bedoelde gedematerialiseerde effecten,</w:t>
      </w:r>
      <w:r>
        <w:rPr>
          <w:color w:val="231F20"/>
          <w:spacing w:val="-12"/>
        </w:rPr>
        <w:t> </w:t>
      </w:r>
      <w:r>
        <w:rPr>
          <w:color w:val="231F20"/>
        </w:rPr>
        <w:t>dat de erkende rekeninghouder is verschuldigd, op collectieve wijze op de algemeenheid van de gedematerialiseerde effecten van dezelfde cate- gorie en soort, die op naam van de erkende rekeninghouder zijn ingeschreven bij andere erkende rekeninghouders of bij de vereffening- sinstelling.</w:t>
      </w:r>
    </w:p>
    <w:p>
      <w:pPr>
        <w:spacing w:after="0" w:line="218" w:lineRule="auto"/>
        <w:sectPr>
          <w:headerReference w:type="even" r:id="rId69"/>
          <w:headerReference w:type="default" r:id="rId70"/>
          <w:pgSz w:w="11940" w:h="16880"/>
          <w:pgMar w:header="666" w:footer="0" w:top="1140" w:bottom="280" w:left="340" w:right="360"/>
          <w:pgNumType w:start="33392"/>
          <w:cols w:num="2" w:equalWidth="0">
            <w:col w:w="5561" w:space="67"/>
            <w:col w:w="5612"/>
          </w:cols>
        </w:sectPr>
      </w:pPr>
    </w:p>
    <w:p>
      <w:pPr>
        <w:pStyle w:val="BodyText"/>
        <w:spacing w:line="218" w:lineRule="auto" w:before="120"/>
        <w:ind w:right="38"/>
      </w:pPr>
      <w:r>
        <w:rPr/>
        <w:pict>
          <v:line style="position:absolute;mso-position-horizontal-relative:page;mso-position-vertical-relative:page;z-index:4720" from="298.170502pt,64.473pt" to="298.170502pt,812.819pt" stroked="true" strokeweight=".533pt" strokecolor="#231f20">
            <v:stroke dashstyle="solid"/>
            <w10:wrap type="none"/>
          </v:line>
        </w:pict>
      </w:r>
      <w:bookmarkStart w:name="_bookmark154" w:id="159"/>
      <w:bookmarkEnd w:id="159"/>
      <w:r>
        <w:rPr/>
      </w:r>
      <w:r>
        <w:rPr>
          <w:color w:val="231F20"/>
        </w:rPr>
        <w:t>Si, dans le cas visé à l’alinéa 2, cette universalité est insuffisante pour assurer la restitution intégrale des titres dématérialisés dus inscrits en compte, elle sera répartie entre les propriétaires en proportion de leurs droits.</w:t>
      </w:r>
    </w:p>
    <w:p>
      <w:pPr>
        <w:pStyle w:val="BodyText"/>
        <w:spacing w:line="218" w:lineRule="auto" w:before="85"/>
        <w:ind w:right="38"/>
      </w:pPr>
      <w:r>
        <w:rPr>
          <w:color w:val="231F20"/>
        </w:rPr>
        <w:t>Lorsque des propriétaires ont autorisé le teneur de compte agréé, conformément au droit applicable, à disposer de leurs titres dématé- rialisés, et pour autant qu’une telle disposition ait eu lieu dans les limites de cette autorisation, il ne leur sera attribué, en cas de faillite du teneur de compte agréé ou de toute autre situation de concours, que le nombre de titres qui subsiste après que la totalité des titres de la même catégorie appartenant aux autres propriétaires leur aura été restituée.</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Si le teneur de comptes agréé est lui-même propriétaire d’un nombre de titres dématérialisés de la même catégorie, il ne lui est attribué, lors de l’application de l’alinéa 3, que le montant des titres qui subsiste après que le montant total des titres de la même catégorie détenus par lui</w:t>
      </w:r>
      <w:r>
        <w:rPr>
          <w:color w:val="231F20"/>
          <w:spacing w:val="15"/>
        </w:rPr>
        <w:t> </w:t>
      </w:r>
      <w:r>
        <w:rPr>
          <w:color w:val="231F20"/>
        </w:rPr>
        <w:t>pour</w:t>
      </w:r>
      <w:r>
        <w:rPr>
          <w:color w:val="231F20"/>
          <w:spacing w:val="15"/>
        </w:rPr>
        <w:t> </w:t>
      </w:r>
      <w:r>
        <w:rPr>
          <w:color w:val="231F20"/>
        </w:rPr>
        <w:t>compte</w:t>
      </w:r>
      <w:r>
        <w:rPr>
          <w:color w:val="231F20"/>
          <w:spacing w:val="15"/>
        </w:rPr>
        <w:t> </w:t>
      </w:r>
      <w:r>
        <w:rPr>
          <w:color w:val="231F20"/>
        </w:rPr>
        <w:t>de</w:t>
      </w:r>
      <w:r>
        <w:rPr>
          <w:color w:val="231F20"/>
          <w:spacing w:val="15"/>
        </w:rPr>
        <w:t> </w:t>
      </w:r>
      <w:r>
        <w:rPr>
          <w:color w:val="231F20"/>
        </w:rPr>
        <w:t>tiers</w:t>
      </w:r>
      <w:r>
        <w:rPr>
          <w:color w:val="231F20"/>
          <w:spacing w:val="15"/>
        </w:rPr>
        <w:t> </w:t>
      </w:r>
      <w:r>
        <w:rPr>
          <w:color w:val="231F20"/>
        </w:rPr>
        <w:t>aura</w:t>
      </w:r>
      <w:r>
        <w:rPr>
          <w:color w:val="231F20"/>
          <w:spacing w:val="15"/>
        </w:rPr>
        <w:t> </w:t>
      </w:r>
      <w:r>
        <w:rPr>
          <w:color w:val="231F20"/>
        </w:rPr>
        <w:t>pu</w:t>
      </w:r>
      <w:r>
        <w:rPr>
          <w:color w:val="231F20"/>
          <w:spacing w:val="15"/>
        </w:rPr>
        <w:t> </w:t>
      </w:r>
      <w:r>
        <w:rPr>
          <w:color w:val="231F20"/>
        </w:rPr>
        <w:t>être</w:t>
      </w:r>
      <w:r>
        <w:rPr>
          <w:color w:val="231F20"/>
          <w:spacing w:val="15"/>
        </w:rPr>
        <w:t> </w:t>
      </w:r>
      <w:r>
        <w:rPr>
          <w:color w:val="231F20"/>
        </w:rPr>
        <w:t>restitué.</w:t>
      </w:r>
    </w:p>
    <w:p>
      <w:pPr>
        <w:pStyle w:val="BodyText"/>
        <w:spacing w:before="2"/>
        <w:ind w:left="0" w:right="0" w:firstLine="0"/>
        <w:jc w:val="left"/>
        <w:rPr>
          <w:sz w:val="23"/>
        </w:rPr>
      </w:pPr>
    </w:p>
    <w:p>
      <w:pPr>
        <w:pStyle w:val="BodyText"/>
        <w:spacing w:line="216" w:lineRule="auto"/>
        <w:ind w:right="38"/>
      </w:pPr>
      <w:r>
        <w:rPr>
          <w:color w:val="231F20"/>
        </w:rPr>
        <w:t>Lorsqu’un intermédiaire a fait inscrire pour le compte d’autrui des titres dématérialisés visés à l’article 7:36 à son nom ou à celui d’une tierce personne, le propriétaire pour le compte duquel cette inscription a été prise peut revendiquer l’avoir qui est inscrit au nom de cet intermédiaire ou de cette tierce personne auprès du teneur de comptes agréé ou de l’organisme de liquidation. Cette revendication s’exerce suivant les règles définies aux alinéas 1</w:t>
      </w:r>
      <w:r>
        <w:rPr>
          <w:color w:val="231F20"/>
          <w:position w:val="7"/>
          <w:sz w:val="11"/>
        </w:rPr>
        <w:t>er </w:t>
      </w:r>
      <w:r>
        <w:rPr>
          <w:color w:val="231F20"/>
        </w:rPr>
        <w:t>à 4.</w:t>
      </w:r>
    </w:p>
    <w:p>
      <w:pPr>
        <w:pStyle w:val="BodyText"/>
        <w:spacing w:before="8"/>
        <w:ind w:left="0" w:right="0" w:firstLine="0"/>
        <w:jc w:val="left"/>
        <w:rPr>
          <w:sz w:val="23"/>
        </w:rPr>
      </w:pPr>
    </w:p>
    <w:p>
      <w:pPr>
        <w:pStyle w:val="BodyText"/>
        <w:spacing w:line="218" w:lineRule="auto"/>
        <w:ind w:right="38"/>
      </w:pPr>
      <w:r>
        <w:rPr>
          <w:color w:val="231F20"/>
        </w:rPr>
        <w:t>La</w:t>
      </w:r>
      <w:r>
        <w:rPr>
          <w:color w:val="231F20"/>
          <w:spacing w:val="-6"/>
        </w:rPr>
        <w:t> </w:t>
      </w:r>
      <w:r>
        <w:rPr>
          <w:color w:val="231F20"/>
        </w:rPr>
        <w:t>restitution</w:t>
      </w:r>
      <w:r>
        <w:rPr>
          <w:color w:val="231F20"/>
          <w:spacing w:val="-5"/>
        </w:rPr>
        <w:t> </w:t>
      </w:r>
      <w:r>
        <w:rPr>
          <w:color w:val="231F20"/>
        </w:rPr>
        <w:t>des</w:t>
      </w:r>
      <w:r>
        <w:rPr>
          <w:color w:val="231F20"/>
          <w:spacing w:val="-6"/>
        </w:rPr>
        <w:t> </w:t>
      </w:r>
      <w:r>
        <w:rPr>
          <w:color w:val="231F20"/>
        </w:rPr>
        <w:t>titres</w:t>
      </w:r>
      <w:r>
        <w:rPr>
          <w:color w:val="231F20"/>
          <w:spacing w:val="-5"/>
        </w:rPr>
        <w:t> </w:t>
      </w:r>
      <w:r>
        <w:rPr>
          <w:color w:val="231F20"/>
        </w:rPr>
        <w:t>dématérialisés</w:t>
      </w:r>
      <w:r>
        <w:rPr>
          <w:color w:val="231F20"/>
          <w:spacing w:val="-5"/>
        </w:rPr>
        <w:t> </w:t>
      </w:r>
      <w:r>
        <w:rPr>
          <w:color w:val="231F20"/>
        </w:rPr>
        <w:t>visés</w:t>
      </w:r>
      <w:r>
        <w:rPr>
          <w:color w:val="231F20"/>
          <w:spacing w:val="-6"/>
        </w:rPr>
        <w:t> </w:t>
      </w:r>
      <w:r>
        <w:rPr>
          <w:color w:val="231F20"/>
        </w:rPr>
        <w:t>à</w:t>
      </w:r>
      <w:r>
        <w:rPr>
          <w:color w:val="231F20"/>
          <w:spacing w:val="-5"/>
        </w:rPr>
        <w:t> </w:t>
      </w:r>
      <w:r>
        <w:rPr>
          <w:color w:val="231F20"/>
        </w:rPr>
        <w:t>l’article</w:t>
      </w:r>
      <w:r>
        <w:rPr>
          <w:color w:val="231F20"/>
          <w:spacing w:val="-6"/>
        </w:rPr>
        <w:t> </w:t>
      </w:r>
      <w:r>
        <w:rPr>
          <w:color w:val="231F20"/>
        </w:rPr>
        <w:t>7:36</w:t>
      </w:r>
      <w:r>
        <w:rPr>
          <w:color w:val="231F20"/>
          <w:spacing w:val="-5"/>
        </w:rPr>
        <w:t> </w:t>
      </w:r>
      <w:r>
        <w:rPr>
          <w:color w:val="231F20"/>
        </w:rPr>
        <w:t>s’opère</w:t>
      </w:r>
      <w:r>
        <w:rPr>
          <w:color w:val="231F20"/>
          <w:spacing w:val="-5"/>
        </w:rPr>
        <w:t> </w:t>
      </w:r>
      <w:r>
        <w:rPr>
          <w:color w:val="231F20"/>
        </w:rPr>
        <w:t>par virement sur un compte-titres auprès d’un autre teneur de comptes agréé,</w:t>
      </w:r>
      <w:r>
        <w:rPr>
          <w:color w:val="231F20"/>
          <w:spacing w:val="16"/>
        </w:rPr>
        <w:t> </w:t>
      </w:r>
      <w:r>
        <w:rPr>
          <w:color w:val="231F20"/>
        </w:rPr>
        <w:t>désigné</w:t>
      </w:r>
      <w:r>
        <w:rPr>
          <w:color w:val="231F20"/>
          <w:spacing w:val="17"/>
        </w:rPr>
        <w:t> </w:t>
      </w:r>
      <w:r>
        <w:rPr>
          <w:color w:val="231F20"/>
        </w:rPr>
        <w:t>par</w:t>
      </w:r>
      <w:r>
        <w:rPr>
          <w:color w:val="231F20"/>
          <w:spacing w:val="16"/>
        </w:rPr>
        <w:t> </w:t>
      </w:r>
      <w:r>
        <w:rPr>
          <w:color w:val="231F20"/>
        </w:rPr>
        <w:t>la</w:t>
      </w:r>
      <w:r>
        <w:rPr>
          <w:color w:val="231F20"/>
          <w:spacing w:val="17"/>
        </w:rPr>
        <w:t> </w:t>
      </w:r>
      <w:r>
        <w:rPr>
          <w:color w:val="231F20"/>
        </w:rPr>
        <w:t>personne</w:t>
      </w:r>
      <w:r>
        <w:rPr>
          <w:color w:val="231F20"/>
          <w:spacing w:val="16"/>
        </w:rPr>
        <w:t> </w:t>
      </w:r>
      <w:r>
        <w:rPr>
          <w:color w:val="231F20"/>
        </w:rPr>
        <w:t>qui</w:t>
      </w:r>
      <w:r>
        <w:rPr>
          <w:color w:val="231F20"/>
          <w:spacing w:val="17"/>
        </w:rPr>
        <w:t> </w:t>
      </w:r>
      <w:r>
        <w:rPr>
          <w:color w:val="231F20"/>
        </w:rPr>
        <w:t>exerce</w:t>
      </w:r>
      <w:r>
        <w:rPr>
          <w:color w:val="231F20"/>
          <w:spacing w:val="16"/>
        </w:rPr>
        <w:t> </w:t>
      </w:r>
      <w:r>
        <w:rPr>
          <w:color w:val="231F20"/>
        </w:rPr>
        <w:t>son</w:t>
      </w:r>
      <w:r>
        <w:rPr>
          <w:color w:val="231F20"/>
          <w:spacing w:val="17"/>
        </w:rPr>
        <w:t> </w:t>
      </w:r>
      <w:r>
        <w:rPr>
          <w:color w:val="231F20"/>
        </w:rPr>
        <w:t>droit</w:t>
      </w:r>
      <w:r>
        <w:rPr>
          <w:color w:val="231F20"/>
          <w:spacing w:val="16"/>
        </w:rPr>
        <w:t> </w:t>
      </w:r>
      <w:r>
        <w:rPr>
          <w:color w:val="231F20"/>
        </w:rPr>
        <w:t>de</w:t>
      </w:r>
      <w:r>
        <w:rPr>
          <w:color w:val="231F20"/>
          <w:spacing w:val="17"/>
        </w:rPr>
        <w:t> </w:t>
      </w:r>
      <w:r>
        <w:rPr>
          <w:color w:val="231F20"/>
        </w:rPr>
        <w:t>revendication.</w:t>
      </w:r>
    </w:p>
    <w:p>
      <w:pPr>
        <w:pStyle w:val="BodyText"/>
        <w:spacing w:before="10"/>
        <w:ind w:left="0" w:right="0" w:firstLine="0"/>
        <w:jc w:val="left"/>
        <w:rPr>
          <w:sz w:val="23"/>
        </w:rPr>
      </w:pPr>
    </w:p>
    <w:p>
      <w:pPr>
        <w:pStyle w:val="BodyText"/>
        <w:spacing w:line="218" w:lineRule="auto"/>
        <w:ind w:right="38"/>
      </w:pPr>
      <w:r>
        <w:rPr>
          <w:color w:val="231F20"/>
        </w:rPr>
        <w:t>Art. 7:39. La saisie-arrêt n’est pas autorisée sur les comptes de titres dématérialisés ouverts au nom d’un teneur de comptes agréé auprès de l’organisme de liquidation ou, le cas échéant, auprès du teneur de comptes agréé en cas d’application de l’article 7:44.</w:t>
      </w:r>
    </w:p>
    <w:p>
      <w:pPr>
        <w:pStyle w:val="BodyText"/>
        <w:spacing w:line="218" w:lineRule="auto" w:before="97"/>
        <w:ind w:right="38"/>
      </w:pPr>
      <w:r>
        <w:rPr>
          <w:color w:val="231F20"/>
        </w:rPr>
        <w:t>Sans préjudice de l’application de l’article 7:38, en cas de faillite du propriétaire des titres ou, dans toute autre situation de concours, les créanciers du propriétaire des titres peuvent faire valoir leurs droits sur le solde disponible des titres inscrits en compte au nom et pour compte de leur débiteur, après déduction ou addition des titres qui, en vertu d’engagements conditionnels, d’engagements dont le montant est incertain ou d’engagements à terme, sont entrés, le cas échéant, dans une partie distincte de ce compte-titres, au jour de la faillite ou de la naissance du concours, et dont l’inclusion dans le solde disponible est différée jusqu’à la réalisation de la condition, la détermination du montant ou l’échéance du terme.</w:t>
      </w:r>
    </w:p>
    <w:p>
      <w:pPr>
        <w:pStyle w:val="BodyText"/>
        <w:ind w:left="0" w:right="0" w:firstLine="0"/>
        <w:jc w:val="left"/>
        <w:rPr>
          <w:sz w:val="24"/>
        </w:rPr>
      </w:pPr>
    </w:p>
    <w:p>
      <w:pPr>
        <w:pStyle w:val="BodyText"/>
        <w:spacing w:line="218" w:lineRule="auto"/>
        <w:ind w:right="38"/>
      </w:pPr>
      <w:r>
        <w:rPr>
          <w:color w:val="231F20"/>
        </w:rPr>
        <w:t>Art. 7:40. Le paiement des dividendes, des intérêts et des capitaux échus des titres dématérialisés à l’organisme de liquidation ou, le cas échéant, au teneur de comptes  agréé  en  cas  d’application  de  l’arti- cle 7:44, est libératoire pour l’émetteur.</w:t>
      </w:r>
    </w:p>
    <w:p>
      <w:pPr>
        <w:pStyle w:val="BodyText"/>
        <w:spacing w:line="218" w:lineRule="auto" w:before="96"/>
        <w:ind w:right="38"/>
      </w:pPr>
      <w:r>
        <w:rPr>
          <w:color w:val="231F20"/>
        </w:rPr>
        <w:t>L’organisme de liquidation ou, le cas échéant, le teneur de comptes agréé en cas d’application de l’article 7:44, rétrocède ces dividendes, intérêts et capitaux aux teneurs de comptes agréés en fonction des montants de titres dématérialisés inscrits à leur nom à l’échéance. Ces paiements sont libératoires pour l’organisme de liquidation ou, le cas échéant, pour le teneur de comptes agréé en cas d’application de l’article</w:t>
      </w:r>
      <w:r>
        <w:rPr>
          <w:color w:val="231F20"/>
          <w:spacing w:val="14"/>
        </w:rPr>
        <w:t> </w:t>
      </w:r>
      <w:r>
        <w:rPr>
          <w:color w:val="231F20"/>
        </w:rPr>
        <w:t>7:44.</w:t>
      </w:r>
    </w:p>
    <w:p>
      <w:pPr>
        <w:pStyle w:val="BodyText"/>
        <w:spacing w:line="218" w:lineRule="auto" w:before="97"/>
        <w:ind w:right="38"/>
      </w:pPr>
      <w:r>
        <w:rPr>
          <w:color w:val="231F20"/>
        </w:rPr>
        <w:t>Art. 7:41. Tous les droits sociaux du propriétaire de titres dématéria- lisés et, en cas de faillite de leur émetteur ou de toute autre situation de concours dans son chef, tous les droits de recours contre celui-ci s’exercent moyennant la production d’une attestation établie par le teneur de comptes agréé ou l’organisme de liquidation, certifiant le nombre de titres dématérialisés inscrits au nom du propriétaire ou de son intermédiaire à la date requise pour l’exercice de ces droits.</w:t>
      </w:r>
    </w:p>
    <w:p>
      <w:pPr>
        <w:pStyle w:val="BodyText"/>
        <w:spacing w:before="10"/>
        <w:ind w:left="0" w:right="0" w:firstLine="0"/>
        <w:jc w:val="left"/>
        <w:rPr>
          <w:sz w:val="23"/>
        </w:rPr>
      </w:pPr>
    </w:p>
    <w:p>
      <w:pPr>
        <w:pStyle w:val="BodyText"/>
        <w:spacing w:line="218" w:lineRule="auto" w:before="1"/>
        <w:ind w:right="38"/>
      </w:pPr>
      <w:r>
        <w:rPr>
          <w:color w:val="231F20"/>
        </w:rPr>
        <w:t>Art. 7:42. Afin de pourvoir à l’exécution des articles 7:36 à 7:41, le Roi peut fixer les conditions de la tenue des comptes par les teneurs de comptes agréés, le mode de fonctionnement des comptes, la nature des certificats qui doivent être délivrés aux titulaires des comptes et les modalités de paiement par les teneurs de comptes agréés et l’organisme de liquidation des dividendes, intérêts et capitaux échus.</w:t>
      </w:r>
    </w:p>
    <w:p>
      <w:pPr>
        <w:pStyle w:val="BodyText"/>
        <w:spacing w:before="10"/>
        <w:ind w:left="0" w:right="0" w:firstLine="0"/>
        <w:jc w:val="left"/>
        <w:rPr>
          <w:sz w:val="23"/>
        </w:rPr>
      </w:pPr>
    </w:p>
    <w:p>
      <w:pPr>
        <w:pStyle w:val="BodyText"/>
        <w:spacing w:line="218" w:lineRule="auto" w:before="1"/>
        <w:ind w:right="39"/>
      </w:pPr>
      <w:r>
        <w:rPr>
          <w:color w:val="231F20"/>
        </w:rPr>
        <w:t>Art. 7:43. Les articles 2279 et 2280 du Code civil sont applicables aux titres dématérialisés visés dans cette section.</w:t>
      </w:r>
    </w:p>
    <w:p>
      <w:pPr>
        <w:pStyle w:val="BodyText"/>
        <w:spacing w:before="10"/>
        <w:ind w:left="0" w:right="0" w:firstLine="0"/>
        <w:jc w:val="left"/>
        <w:rPr>
          <w:sz w:val="23"/>
        </w:rPr>
      </w:pPr>
    </w:p>
    <w:p>
      <w:pPr>
        <w:pStyle w:val="BodyText"/>
        <w:spacing w:line="218" w:lineRule="auto"/>
        <w:ind w:right="38"/>
      </w:pPr>
      <w:r>
        <w:rPr>
          <w:color w:val="231F20"/>
        </w:rPr>
        <w:t>Art. 7:44. Sauf pour les titres qui sont admis à la négociation sur un marché réglementé, les dispositions de cette section sont également applicables aux titres inscrits en compte auprès d’un teneur de comptes</w:t>
      </w:r>
    </w:p>
    <w:p>
      <w:pPr>
        <w:pStyle w:val="BodyText"/>
        <w:spacing w:line="218" w:lineRule="auto" w:before="119"/>
      </w:pPr>
      <w:r>
        <w:rPr/>
        <w:br w:type="column"/>
      </w:r>
      <w:r>
        <w:rPr>
          <w:color w:val="231F20"/>
        </w:rPr>
        <w:t>Indien in het geval bedoeld in het tweede lid, deze algemeenheid onvoldoende is om de volledige teruggave te verzekeren van de op rekening geboekte verschuldigde gedematerialiseerde effecten, wordt zij</w:t>
      </w:r>
      <w:r>
        <w:rPr>
          <w:color w:val="231F20"/>
          <w:spacing w:val="17"/>
        </w:rPr>
        <w:t> </w:t>
      </w:r>
      <w:r>
        <w:rPr>
          <w:color w:val="231F20"/>
        </w:rPr>
        <w:t>verdeeld</w:t>
      </w:r>
      <w:r>
        <w:rPr>
          <w:color w:val="231F20"/>
          <w:spacing w:val="17"/>
        </w:rPr>
        <w:t> </w:t>
      </w:r>
      <w:r>
        <w:rPr>
          <w:color w:val="231F20"/>
        </w:rPr>
        <w:t>onder</w:t>
      </w:r>
      <w:r>
        <w:rPr>
          <w:color w:val="231F20"/>
          <w:spacing w:val="17"/>
        </w:rPr>
        <w:t> </w:t>
      </w:r>
      <w:r>
        <w:rPr>
          <w:color w:val="231F20"/>
        </w:rPr>
        <w:t>de</w:t>
      </w:r>
      <w:r>
        <w:rPr>
          <w:color w:val="231F20"/>
          <w:spacing w:val="17"/>
        </w:rPr>
        <w:t> </w:t>
      </w:r>
      <w:r>
        <w:rPr>
          <w:color w:val="231F20"/>
        </w:rPr>
        <w:t>eigenaars</w:t>
      </w:r>
      <w:r>
        <w:rPr>
          <w:color w:val="231F20"/>
          <w:spacing w:val="17"/>
        </w:rPr>
        <w:t> </w:t>
      </w:r>
      <w:r>
        <w:rPr>
          <w:color w:val="231F20"/>
        </w:rPr>
        <w:t>in</w:t>
      </w:r>
      <w:r>
        <w:rPr>
          <w:color w:val="231F20"/>
          <w:spacing w:val="17"/>
        </w:rPr>
        <w:t> </w:t>
      </w:r>
      <w:r>
        <w:rPr>
          <w:color w:val="231F20"/>
        </w:rPr>
        <w:t>verhouding</w:t>
      </w:r>
      <w:r>
        <w:rPr>
          <w:color w:val="231F20"/>
          <w:spacing w:val="17"/>
        </w:rPr>
        <w:t> </w:t>
      </w:r>
      <w:r>
        <w:rPr>
          <w:color w:val="231F20"/>
        </w:rPr>
        <w:t>tot</w:t>
      </w:r>
      <w:r>
        <w:rPr>
          <w:color w:val="231F20"/>
          <w:spacing w:val="17"/>
        </w:rPr>
        <w:t> </w:t>
      </w:r>
      <w:r>
        <w:rPr>
          <w:color w:val="231F20"/>
        </w:rPr>
        <w:t>hun</w:t>
      </w:r>
      <w:r>
        <w:rPr>
          <w:color w:val="231F20"/>
          <w:spacing w:val="17"/>
        </w:rPr>
        <w:t> </w:t>
      </w:r>
      <w:r>
        <w:rPr>
          <w:color w:val="231F20"/>
        </w:rPr>
        <w:t>rechten.</w:t>
      </w:r>
    </w:p>
    <w:p>
      <w:pPr>
        <w:pStyle w:val="BodyText"/>
        <w:spacing w:line="218" w:lineRule="auto" w:before="86"/>
        <w:ind w:right="123"/>
      </w:pPr>
      <w:r>
        <w:rPr>
          <w:color w:val="231F20"/>
          <w:spacing w:val="-3"/>
        </w:rPr>
        <w:t>Wanneer </w:t>
      </w:r>
      <w:r>
        <w:rPr>
          <w:color w:val="231F20"/>
        </w:rPr>
        <w:t>eigenaars de erkende rekeninghouder overeenkomstig het toepasselijke recht hebben gemachtigd om over hun gedemateriali- seerde effecten te beschikken, en voor zover een dergelijke beschikking is gebeurd binnen de grenzen van deze machtiging, wordt hun, in geval van faillissement van de erkende rekeninghouder of in alle andere gevallen van samenloop, slechts het aantal effecten toegekend dat overblijft nadat het volledige aantal van de aan de andere eigenaars toebehorende effecten van dezelfde categorie aan deze laatsten is teruggegeven.</w:t>
      </w:r>
    </w:p>
    <w:p>
      <w:pPr>
        <w:pStyle w:val="BodyText"/>
        <w:spacing w:line="218" w:lineRule="auto" w:before="86"/>
      </w:pPr>
      <w:r>
        <w:rPr>
          <w:color w:val="231F20"/>
        </w:rPr>
        <w:t>Indien de erkende rekeninghouder zelf eigenaar is van een aantal gedematerialiseerde effecten van dezelfde categorie, wordt hem, bij de toepassing van het derde lid, slechts het bedrag aan effecten toegekend dat overblijft nadat het volledige bedrag van de door hem voor  rekening van derden gehouden effecten van dezelfde categorie is teruggegeven.</w:t>
      </w:r>
    </w:p>
    <w:p>
      <w:pPr>
        <w:pStyle w:val="BodyText"/>
        <w:spacing w:line="218" w:lineRule="auto" w:before="86"/>
        <w:ind w:right="123"/>
      </w:pPr>
      <w:r>
        <w:rPr>
          <w:color w:val="231F20"/>
          <w:spacing w:val="-3"/>
        </w:rPr>
        <w:t>Wanneer  </w:t>
      </w:r>
      <w:r>
        <w:rPr>
          <w:color w:val="231F20"/>
        </w:rPr>
        <w:t>een  tussenpersoon  voor  andermans  rekening  in   arti- kel 7:36 bedoelde gedematerialiseerde effecten heeft laten inschrijven op zijn naam of op naam van een derde persoon, mag de eigenaar voor rekening waarvan deze inschrijving is genomen, van de erkende rekeninghouder of van het vereffeningsstelsel het tegoed terugvorderen dat op naam van deze tussenpersoon of derde persoon is ingeschreven. Deze terugvordering wordt uitgeoefend volgens de in het eerste tot vierde lid omschreven</w:t>
      </w:r>
      <w:r>
        <w:rPr>
          <w:color w:val="231F20"/>
          <w:spacing w:val="4"/>
        </w:rPr>
        <w:t> </w:t>
      </w:r>
      <w:r>
        <w:rPr>
          <w:color w:val="231F20"/>
        </w:rPr>
        <w:t>regels.</w:t>
      </w:r>
    </w:p>
    <w:p>
      <w:pPr>
        <w:pStyle w:val="BodyText"/>
        <w:spacing w:line="218" w:lineRule="auto" w:before="97"/>
      </w:pPr>
      <w:r>
        <w:rPr>
          <w:color w:val="231F20"/>
        </w:rPr>
        <w:t>De teruggave van de in artikel 7:36 bedoelde gedematerialiseerde effecten gebeurt door overschrijving op een effectenrekening bij een andere erkende rekeninghouder, aangewezen door de persoon die het terugvorderingsrecht uitoefent.</w:t>
      </w:r>
    </w:p>
    <w:p>
      <w:pPr>
        <w:pStyle w:val="BodyText"/>
        <w:spacing w:line="218" w:lineRule="auto" w:before="96"/>
      </w:pPr>
      <w:r>
        <w:rPr>
          <w:color w:val="231F20"/>
        </w:rPr>
        <w:t>Art. 7:39. Derdenbeslag is niet toegelaten op de rekeningen van gedematerialiseerde effecten geopend op naam van een erkende rekeninghouder bij de vereffeningsinstelling of, in voorkomend geval, bij de erkende rekeninghouder wanneer artikel 7:44 wordt toegepast.</w:t>
      </w:r>
    </w:p>
    <w:p>
      <w:pPr>
        <w:pStyle w:val="BodyText"/>
        <w:spacing w:line="218" w:lineRule="auto" w:before="96"/>
      </w:pPr>
      <w:r>
        <w:rPr>
          <w:color w:val="231F20"/>
        </w:rPr>
        <w:t>Onverminderd de toepassing van artikel 7:38 mogen de schuldeisers van de eigenaar van de effecten, in geval van faillissement van de eigenaar of in alle andere gevallen van samenloop, hun rechten laten gelden op het beschikbaar saldo van de effecten dat op naam en voor rekening van hun schuldenaar is ingeschreven, na aftrek of optelling van de effecten die, ingevolge voorwaardelijke verbintenissen, verbin- tenissen waarvan het bedrag onzeker is of verbintenissen op termijn, in voorkomend geval, op de dag van het faillissement of het ontstaan van de samenloop, waren geboekt op een afzonderlijk deel van de effectenrekening, en waarvan de samenvoeging met het beschikbaar saldo is uitgesteld tot aan de vervulling van de voorwaarde, de vaststelling van het bedrag of het verval van de termijn.</w:t>
      </w:r>
    </w:p>
    <w:p>
      <w:pPr>
        <w:pStyle w:val="BodyText"/>
        <w:spacing w:line="218" w:lineRule="auto" w:before="97"/>
      </w:pPr>
      <w:r>
        <w:rPr>
          <w:color w:val="231F20"/>
        </w:rPr>
        <w:t>Art. 7:40. De betaling van vervallen dividenden, interesten en kapitalen van gedematerialiseerde effecten aan de vereffeningsinstel- ling of, in voorkomend geval, aan de erkende rekeninghouder wanneer artikel 7:44 wordt toegepast, is bevrijdend voor de uitgever.</w:t>
      </w:r>
    </w:p>
    <w:p>
      <w:pPr>
        <w:pStyle w:val="BodyText"/>
        <w:spacing w:line="218" w:lineRule="auto" w:before="97"/>
      </w:pPr>
      <w:r>
        <w:rPr>
          <w:color w:val="231F20"/>
        </w:rPr>
        <w:t>De vereffeningsinstelling of, in voorkomend geval, de erkende rekeninghouder wanneer artikel 7:44 wordt toegepast, stort deze dividenden, interesten en kapitalen door aan de erkende rekeninghou- ders, overeenkomstig de bedragen aan gedematerialiseerde effecten die op de vervaldag geboekt staan op hun naam. Deze betalingen zijn bevrijdend voor de vereffeningsinstelling of, in voorkomend geval,  voor de erkende rekeninghouder wanneer artikel 7:44 wordt</w:t>
      </w:r>
      <w:r>
        <w:rPr>
          <w:color w:val="231F20"/>
          <w:spacing w:val="6"/>
        </w:rPr>
        <w:t> </w:t>
      </w:r>
      <w:r>
        <w:rPr>
          <w:color w:val="231F20"/>
        </w:rPr>
        <w:t>toegepast.</w:t>
      </w:r>
    </w:p>
    <w:p>
      <w:pPr>
        <w:pStyle w:val="BodyText"/>
        <w:spacing w:line="218" w:lineRule="auto" w:before="96"/>
      </w:pPr>
      <w:r>
        <w:rPr>
          <w:color w:val="231F20"/>
        </w:rPr>
        <w:t>Art. 7:41. Alle lidmaatschapsrechten van de eigenaars van gedema- terialiseerde effecten en alle rechten van verhaal in geval van faillisse- ment van de emittent ervan of in alle andere gevallen van samenloop tegen deze laatste worden uitgeoefend na voorlegging van een attest  dat de erkende rekeninghouder of de vereffeningsinstelling opstelt, dat het aantal van de gedematerialiseerde effecten bevestigt dat op naam van de eigenaar of van de tussenpersoon is ingeschreven op de datum vereist</w:t>
      </w:r>
      <w:r>
        <w:rPr>
          <w:color w:val="231F20"/>
          <w:spacing w:val="15"/>
        </w:rPr>
        <w:t> </w:t>
      </w:r>
      <w:r>
        <w:rPr>
          <w:color w:val="231F20"/>
        </w:rPr>
        <w:t>voor</w:t>
      </w:r>
      <w:r>
        <w:rPr>
          <w:color w:val="231F20"/>
          <w:spacing w:val="16"/>
        </w:rPr>
        <w:t> </w:t>
      </w:r>
      <w:r>
        <w:rPr>
          <w:color w:val="231F20"/>
        </w:rPr>
        <w:t>de</w:t>
      </w:r>
      <w:r>
        <w:rPr>
          <w:color w:val="231F20"/>
          <w:spacing w:val="16"/>
        </w:rPr>
        <w:t> </w:t>
      </w:r>
      <w:r>
        <w:rPr>
          <w:color w:val="231F20"/>
        </w:rPr>
        <w:t>uitoefening</w:t>
      </w:r>
      <w:r>
        <w:rPr>
          <w:color w:val="231F20"/>
          <w:spacing w:val="16"/>
        </w:rPr>
        <w:t> </w:t>
      </w:r>
      <w:r>
        <w:rPr>
          <w:color w:val="231F20"/>
        </w:rPr>
        <w:t>van</w:t>
      </w:r>
      <w:r>
        <w:rPr>
          <w:color w:val="231F20"/>
          <w:spacing w:val="16"/>
        </w:rPr>
        <w:t> </w:t>
      </w:r>
      <w:r>
        <w:rPr>
          <w:color w:val="231F20"/>
        </w:rPr>
        <w:t>deze</w:t>
      </w:r>
      <w:r>
        <w:rPr>
          <w:color w:val="231F20"/>
          <w:spacing w:val="16"/>
        </w:rPr>
        <w:t> </w:t>
      </w:r>
      <w:r>
        <w:rPr>
          <w:color w:val="231F20"/>
        </w:rPr>
        <w:t>rechten.</w:t>
      </w:r>
    </w:p>
    <w:p>
      <w:pPr>
        <w:pStyle w:val="BodyText"/>
        <w:spacing w:line="218" w:lineRule="auto" w:before="97"/>
      </w:pPr>
      <w:r>
        <w:rPr>
          <w:color w:val="231F20"/>
        </w:rPr>
        <w:t>Art. 7:42. Met het oog op de uitvoering van de artikelen 7:36 tot 7:41, kan de Koning de voorwaarden bepalen waaronder de erkende rekeninghouders rekeningen houden, de werkingswijze van de reke- ningen, de aard van de certificaten die aan de houders van de rekeningen moeten worden afgegeven en de wijze van betaling van vervallen dividenden, interesten en kapitalen door de erkende reke- ninghouders en de vereffeningsinstelling.</w:t>
      </w:r>
    </w:p>
    <w:p>
      <w:pPr>
        <w:pStyle w:val="BodyText"/>
        <w:spacing w:line="218" w:lineRule="auto" w:before="96"/>
      </w:pPr>
      <w:r>
        <w:rPr>
          <w:color w:val="231F20"/>
        </w:rPr>
        <w:t>Art. 7:43. De artikelen 2279 en 2280 van het Burgerlijk Wetboek zijn van toepassing op de gedematerialiseerde effecten bedoeld in deze afdeling.</w:t>
      </w:r>
    </w:p>
    <w:p>
      <w:pPr>
        <w:pStyle w:val="BodyText"/>
        <w:spacing w:line="218" w:lineRule="auto" w:before="96"/>
        <w:ind w:right="123"/>
      </w:pPr>
      <w:r>
        <w:rPr>
          <w:color w:val="231F20"/>
        </w:rPr>
        <w:t>Art. 7:44. Behalve voor effecten die worden toegelaten tot de verhandeling op een gereglementeerde markt, gelden de bepalingen van deze afdeling tevens voor effecten ingeschreven op een rekening</w:t>
      </w:r>
      <w:r>
        <w:rPr>
          <w:color w:val="231F20"/>
          <w:spacing w:val="35"/>
        </w:rPr>
        <w:t> </w:t>
      </w:r>
      <w:r>
        <w:rPr>
          <w:color w:val="231F20"/>
        </w:rPr>
        <w:t>bij</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firstLine="0"/>
      </w:pPr>
      <w:r>
        <w:rPr/>
        <w:pict>
          <v:line style="position:absolute;mso-position-horizontal-relative:page;mso-position-vertical-relative:page;z-index:4744" from="298.170502pt,64.473pt" to="298.170502pt,812.819pt" stroked="true" strokeweight=".533pt" strokecolor="#231f20">
            <v:stroke dashstyle="solid"/>
            <w10:wrap type="none"/>
          </v:line>
        </w:pict>
      </w:r>
      <w:bookmarkStart w:name="_bookmark155" w:id="160"/>
      <w:bookmarkEnd w:id="160"/>
      <w:r>
        <w:rPr/>
      </w:r>
      <w:r>
        <w:rPr>
          <w:color w:val="231F20"/>
        </w:rPr>
        <w:t>agréé qui ne sont pas maintenus par ce teneur de comptes auprès d’un organisme de liquidation ou auprès d’un établissement agissant comme intermédiaire à l’égard de cet organisme.</w:t>
      </w:r>
    </w:p>
    <w:p>
      <w:pPr>
        <w:pStyle w:val="BodyText"/>
        <w:spacing w:line="218" w:lineRule="auto" w:before="86"/>
        <w:ind w:right="38"/>
      </w:pPr>
      <w:r>
        <w:rPr>
          <w:color w:val="231F20"/>
        </w:rPr>
        <w:t>Le teneur de compte inscrit à son nom dans le registre des titres nominatifs les titres dématérialisés en circulation à tout moment, par émission de titres.</w:t>
      </w:r>
    </w:p>
    <w:p>
      <w:pPr>
        <w:pStyle w:val="BodyText"/>
        <w:spacing w:line="218" w:lineRule="auto" w:before="86"/>
        <w:ind w:right="38"/>
      </w:pPr>
      <w:r>
        <w:rPr>
          <w:color w:val="231F20"/>
        </w:rPr>
        <w:t>La totalité de l’encours d’une émission de titres dématérialisés d’un émetteur ne peut être inscrite dans le registre de titres nominatif qu’au nom d’un seul teneur de compte.</w:t>
      </w:r>
    </w:p>
    <w:p>
      <w:pPr>
        <w:pStyle w:val="BodyText"/>
        <w:spacing w:line="218" w:lineRule="auto" w:before="85"/>
        <w:ind w:right="38"/>
      </w:pPr>
      <w:r>
        <w:rPr>
          <w:color w:val="231F20"/>
        </w:rPr>
        <w:t>L’inscription de titres en compte confère dans ce cas un droit de copropriété, de nature incorporelle, sur l’universalité des titres de la même émission inscrits au nom du teneur de compte dans le registre des titres nominatifs.</w:t>
      </w:r>
    </w:p>
    <w:p>
      <w:pPr>
        <w:pStyle w:val="BodyText"/>
        <w:spacing w:line="304" w:lineRule="auto" w:before="72"/>
        <w:ind w:left="283" w:right="1150" w:hanging="1"/>
        <w:jc w:val="left"/>
      </w:pPr>
      <w:r>
        <w:rPr>
          <w:color w:val="231F20"/>
        </w:rPr>
        <w:t>CHAPITRE 3. Des différentes catégories de titres. Section 1</w:t>
      </w:r>
      <w:r>
        <w:rPr>
          <w:color w:val="231F20"/>
          <w:position w:val="7"/>
          <w:sz w:val="11"/>
        </w:rPr>
        <w:t>re</w:t>
      </w:r>
      <w:r>
        <w:rPr>
          <w:color w:val="231F20"/>
        </w:rPr>
        <w:t>. Des actions.</w:t>
      </w:r>
    </w:p>
    <w:p>
      <w:pPr>
        <w:pStyle w:val="BodyText"/>
        <w:spacing w:before="1"/>
        <w:ind w:left="283" w:right="0" w:firstLine="0"/>
        <w:jc w:val="left"/>
      </w:pPr>
      <w:r>
        <w:rPr>
          <w:color w:val="231F20"/>
        </w:rPr>
        <w:t>Sous-section 1</w:t>
      </w:r>
      <w:r>
        <w:rPr>
          <w:color w:val="231F20"/>
          <w:position w:val="7"/>
          <w:sz w:val="11"/>
        </w:rPr>
        <w:t>re</w:t>
      </w:r>
      <w:r>
        <w:rPr>
          <w:color w:val="231F20"/>
        </w:rPr>
        <w:t>. Dispositions générales.</w:t>
      </w:r>
    </w:p>
    <w:p>
      <w:pPr>
        <w:pStyle w:val="BodyText"/>
        <w:spacing w:line="218" w:lineRule="auto" w:before="82"/>
        <w:ind w:right="38"/>
      </w:pPr>
      <w:r>
        <w:rPr>
          <w:color w:val="231F20"/>
        </w:rPr>
        <w:t>Art. 7:45. Le capital des sociétés anonymes se divise en une ou plusieurs actions librement cessibles, assorties ou non du droit de vote, avec ou sans mention de valeur.</w:t>
      </w:r>
    </w:p>
    <w:p>
      <w:pPr>
        <w:pStyle w:val="BodyText"/>
        <w:spacing w:line="218" w:lineRule="auto" w:before="86"/>
        <w:ind w:right="38"/>
      </w:pPr>
      <w:r>
        <w:rPr>
          <w:color w:val="231F20"/>
        </w:rPr>
        <w:t>Art.</w:t>
      </w:r>
      <w:r>
        <w:rPr>
          <w:color w:val="231F20"/>
          <w:spacing w:val="-4"/>
        </w:rPr>
        <w:t> </w:t>
      </w:r>
      <w:r>
        <w:rPr>
          <w:color w:val="231F20"/>
        </w:rPr>
        <w:t>7:46.</w:t>
      </w:r>
      <w:r>
        <w:rPr>
          <w:color w:val="231F20"/>
          <w:spacing w:val="-4"/>
        </w:rPr>
        <w:t> </w:t>
      </w:r>
      <w:r>
        <w:rPr>
          <w:color w:val="231F20"/>
        </w:rPr>
        <w:t>La</w:t>
      </w:r>
      <w:r>
        <w:rPr>
          <w:color w:val="231F20"/>
          <w:spacing w:val="-4"/>
        </w:rPr>
        <w:t> </w:t>
      </w:r>
      <w:r>
        <w:rPr>
          <w:color w:val="231F20"/>
        </w:rPr>
        <w:t>société</w:t>
      </w:r>
      <w:r>
        <w:rPr>
          <w:color w:val="231F20"/>
          <w:spacing w:val="-3"/>
        </w:rPr>
        <w:t> </w:t>
      </w:r>
      <w:r>
        <w:rPr>
          <w:color w:val="231F20"/>
        </w:rPr>
        <w:t>doit</w:t>
      </w:r>
      <w:r>
        <w:rPr>
          <w:color w:val="231F20"/>
          <w:spacing w:val="-4"/>
        </w:rPr>
        <w:t> </w:t>
      </w:r>
      <w:r>
        <w:rPr>
          <w:color w:val="231F20"/>
        </w:rPr>
        <w:t>émettre</w:t>
      </w:r>
      <w:r>
        <w:rPr>
          <w:color w:val="231F20"/>
          <w:spacing w:val="-4"/>
        </w:rPr>
        <w:t> </w:t>
      </w:r>
      <w:r>
        <w:rPr>
          <w:color w:val="231F20"/>
        </w:rPr>
        <w:t>au</w:t>
      </w:r>
      <w:r>
        <w:rPr>
          <w:color w:val="231F20"/>
          <w:spacing w:val="-4"/>
        </w:rPr>
        <w:t> </w:t>
      </w:r>
      <w:r>
        <w:rPr>
          <w:color w:val="231F20"/>
        </w:rPr>
        <w:t>moins</w:t>
      </w:r>
      <w:r>
        <w:rPr>
          <w:color w:val="231F20"/>
          <w:spacing w:val="-3"/>
        </w:rPr>
        <w:t> </w:t>
      </w:r>
      <w:r>
        <w:rPr>
          <w:color w:val="231F20"/>
        </w:rPr>
        <w:t>une</w:t>
      </w:r>
      <w:r>
        <w:rPr>
          <w:color w:val="231F20"/>
          <w:spacing w:val="-4"/>
        </w:rPr>
        <w:t> </w:t>
      </w:r>
      <w:r>
        <w:rPr>
          <w:color w:val="231F20"/>
        </w:rPr>
        <w:t>action</w:t>
      </w:r>
      <w:r>
        <w:rPr>
          <w:color w:val="231F20"/>
          <w:spacing w:val="-4"/>
        </w:rPr>
        <w:t> </w:t>
      </w:r>
      <w:r>
        <w:rPr>
          <w:color w:val="231F20"/>
        </w:rPr>
        <w:t>et</w:t>
      </w:r>
      <w:r>
        <w:rPr>
          <w:color w:val="231F20"/>
          <w:spacing w:val="-4"/>
        </w:rPr>
        <w:t> </w:t>
      </w:r>
      <w:r>
        <w:rPr>
          <w:color w:val="231F20"/>
        </w:rPr>
        <w:t>une</w:t>
      </w:r>
      <w:r>
        <w:rPr>
          <w:color w:val="231F20"/>
          <w:spacing w:val="-3"/>
        </w:rPr>
        <w:t> </w:t>
      </w:r>
      <w:r>
        <w:rPr>
          <w:color w:val="231F20"/>
        </w:rPr>
        <w:t>action</w:t>
      </w:r>
      <w:r>
        <w:rPr>
          <w:color w:val="231F20"/>
          <w:spacing w:val="-4"/>
        </w:rPr>
        <w:t> </w:t>
      </w:r>
      <w:r>
        <w:rPr>
          <w:color w:val="231F20"/>
        </w:rPr>
        <w:t>au moins</w:t>
      </w:r>
      <w:r>
        <w:rPr>
          <w:color w:val="231F20"/>
          <w:spacing w:val="15"/>
        </w:rPr>
        <w:t> </w:t>
      </w:r>
      <w:r>
        <w:rPr>
          <w:color w:val="231F20"/>
        </w:rPr>
        <w:t>doit</w:t>
      </w:r>
      <w:r>
        <w:rPr>
          <w:color w:val="231F20"/>
          <w:spacing w:val="15"/>
        </w:rPr>
        <w:t> </w:t>
      </w:r>
      <w:r>
        <w:rPr>
          <w:color w:val="231F20"/>
        </w:rPr>
        <w:t>avoir</w:t>
      </w:r>
      <w:r>
        <w:rPr>
          <w:color w:val="231F20"/>
          <w:spacing w:val="16"/>
        </w:rPr>
        <w:t> </w:t>
      </w:r>
      <w:r>
        <w:rPr>
          <w:color w:val="231F20"/>
        </w:rPr>
        <w:t>le</w:t>
      </w:r>
      <w:r>
        <w:rPr>
          <w:color w:val="231F20"/>
          <w:spacing w:val="15"/>
        </w:rPr>
        <w:t> </w:t>
      </w:r>
      <w:r>
        <w:rPr>
          <w:color w:val="231F20"/>
        </w:rPr>
        <w:t>droit</w:t>
      </w:r>
      <w:r>
        <w:rPr>
          <w:color w:val="231F20"/>
          <w:spacing w:val="16"/>
        </w:rPr>
        <w:t> </w:t>
      </w:r>
      <w:r>
        <w:rPr>
          <w:color w:val="231F20"/>
        </w:rPr>
        <w:t>de</w:t>
      </w:r>
      <w:r>
        <w:rPr>
          <w:color w:val="231F20"/>
          <w:spacing w:val="15"/>
        </w:rPr>
        <w:t> </w:t>
      </w:r>
      <w:r>
        <w:rPr>
          <w:color w:val="231F20"/>
        </w:rPr>
        <w:t>vote.</w:t>
      </w:r>
    </w:p>
    <w:p>
      <w:pPr>
        <w:pStyle w:val="BodyText"/>
        <w:spacing w:before="71"/>
        <w:ind w:left="283" w:right="0" w:hanging="1"/>
        <w:jc w:val="left"/>
      </w:pPr>
      <w:r>
        <w:rPr>
          <w:color w:val="231F20"/>
        </w:rPr>
        <w:t>Art. 7:47. Les actions sont nominatives jusqu’à leur entière libération.</w:t>
      </w:r>
    </w:p>
    <w:p>
      <w:pPr>
        <w:pStyle w:val="BodyText"/>
        <w:spacing w:line="218" w:lineRule="auto" w:before="82"/>
        <w:ind w:right="38"/>
      </w:pPr>
      <w:r>
        <w:rPr>
          <w:color w:val="231F20"/>
        </w:rPr>
        <w:t>Art. 7:48. Sauf disposition statutaire contraire, chaque action donne droit à une part du bénéfice et du solde de liquidation proportionnelle  à</w:t>
      </w:r>
      <w:r>
        <w:rPr>
          <w:color w:val="231F20"/>
          <w:spacing w:val="15"/>
        </w:rPr>
        <w:t> </w:t>
      </w:r>
      <w:r>
        <w:rPr>
          <w:color w:val="231F20"/>
        </w:rPr>
        <w:t>la</w:t>
      </w:r>
      <w:r>
        <w:rPr>
          <w:color w:val="231F20"/>
          <w:spacing w:val="15"/>
        </w:rPr>
        <w:t> </w:t>
      </w:r>
      <w:r>
        <w:rPr>
          <w:color w:val="231F20"/>
        </w:rPr>
        <w:t>part</w:t>
      </w:r>
      <w:r>
        <w:rPr>
          <w:color w:val="231F20"/>
          <w:spacing w:val="15"/>
        </w:rPr>
        <w:t> </w:t>
      </w:r>
      <w:r>
        <w:rPr>
          <w:color w:val="231F20"/>
        </w:rPr>
        <w:t>qu’elle</w:t>
      </w:r>
      <w:r>
        <w:rPr>
          <w:color w:val="231F20"/>
          <w:spacing w:val="15"/>
        </w:rPr>
        <w:t> </w:t>
      </w:r>
      <w:r>
        <w:rPr>
          <w:color w:val="231F20"/>
        </w:rPr>
        <w:t>représente</w:t>
      </w:r>
      <w:r>
        <w:rPr>
          <w:color w:val="231F20"/>
          <w:spacing w:val="15"/>
        </w:rPr>
        <w:t> </w:t>
      </w:r>
      <w:r>
        <w:rPr>
          <w:color w:val="231F20"/>
        </w:rPr>
        <w:t>dans</w:t>
      </w:r>
      <w:r>
        <w:rPr>
          <w:color w:val="231F20"/>
          <w:spacing w:val="15"/>
        </w:rPr>
        <w:t> </w:t>
      </w:r>
      <w:r>
        <w:rPr>
          <w:color w:val="231F20"/>
        </w:rPr>
        <w:t>le</w:t>
      </w:r>
      <w:r>
        <w:rPr>
          <w:color w:val="231F20"/>
          <w:spacing w:val="15"/>
        </w:rPr>
        <w:t> </w:t>
      </w:r>
      <w:r>
        <w:rPr>
          <w:color w:val="231F20"/>
        </w:rPr>
        <w:t>capital.</w:t>
      </w:r>
    </w:p>
    <w:p>
      <w:pPr>
        <w:pStyle w:val="BodyText"/>
        <w:spacing w:line="218" w:lineRule="auto" w:before="86"/>
        <w:ind w:right="38"/>
      </w:pPr>
      <w:r>
        <w:rPr>
          <w:color w:val="231F20"/>
        </w:rPr>
        <w:t>Art. 7:49. Les actions peuvent être divisées en coupures qui, réunies en nombre suffisant, confèrent les mêmes droits que l’action unitaire, sous réserve de ce qui est dit à l’article 7:155.</w:t>
      </w:r>
    </w:p>
    <w:p>
      <w:pPr>
        <w:pStyle w:val="BodyText"/>
        <w:spacing w:line="218" w:lineRule="auto" w:before="85"/>
        <w:ind w:right="38"/>
      </w:pPr>
      <w:r>
        <w:rPr>
          <w:color w:val="231F20"/>
        </w:rPr>
        <w:t>Tout échange, regroupement ou scission d’actions a lieu aux condi- tions et selon les modalités fixées par les statuts, sans préjudice de l’article 7:23.</w:t>
      </w:r>
    </w:p>
    <w:p>
      <w:pPr>
        <w:pStyle w:val="BodyText"/>
        <w:spacing w:line="218" w:lineRule="auto" w:before="86"/>
        <w:ind w:right="38"/>
      </w:pPr>
      <w:r>
        <w:rPr>
          <w:color w:val="231F20"/>
        </w:rPr>
        <w:t>Art. 7:50. La situation du capital est déposée en même temps que les comptes annuels, conformément aux articles 3:10 et 3:12.</w:t>
      </w:r>
    </w:p>
    <w:p>
      <w:pPr>
        <w:pStyle w:val="BodyText"/>
        <w:spacing w:before="71"/>
        <w:ind w:left="283" w:right="0" w:firstLine="0"/>
        <w:jc w:val="left"/>
      </w:pPr>
      <w:r>
        <w:rPr>
          <w:color w:val="231F20"/>
        </w:rPr>
        <w:t>Elle comprend:</w:t>
      </w:r>
    </w:p>
    <w:p>
      <w:pPr>
        <w:pStyle w:val="BodyText"/>
        <w:spacing w:before="68"/>
        <w:ind w:left="283" w:right="0" w:firstLine="0"/>
        <w:jc w:val="left"/>
      </w:pPr>
      <w:r>
        <w:rPr>
          <w:color w:val="231F20"/>
        </w:rPr>
        <w:t>1° le nombre d’actions souscrites;</w:t>
      </w:r>
    </w:p>
    <w:p>
      <w:pPr>
        <w:pStyle w:val="BodyText"/>
        <w:spacing w:before="68"/>
        <w:ind w:left="283" w:right="0" w:firstLine="0"/>
        <w:jc w:val="left"/>
      </w:pPr>
      <w:r>
        <w:rPr>
          <w:color w:val="231F20"/>
        </w:rPr>
        <w:t>2° l’indication des versements effectués;</w:t>
      </w:r>
    </w:p>
    <w:p>
      <w:pPr>
        <w:pStyle w:val="BodyText"/>
        <w:spacing w:line="218" w:lineRule="auto" w:before="82"/>
        <w:ind w:right="38"/>
      </w:pPr>
      <w:r>
        <w:rPr>
          <w:color w:val="231F20"/>
        </w:rPr>
        <w:t>3° la liste des actionnaires qui n’ont pas encore entièrement libéré leurs actions, avec l’indication des sommes dont ils sont redevables.</w:t>
      </w:r>
    </w:p>
    <w:p>
      <w:pPr>
        <w:pStyle w:val="BodyText"/>
        <w:ind w:left="0" w:right="0" w:firstLine="0"/>
        <w:jc w:val="left"/>
        <w:rPr>
          <w:sz w:val="23"/>
        </w:rPr>
      </w:pPr>
    </w:p>
    <w:p>
      <w:pPr>
        <w:pStyle w:val="BodyText"/>
        <w:spacing w:line="218" w:lineRule="auto"/>
        <w:ind w:right="38"/>
      </w:pPr>
      <w:r>
        <w:rPr>
          <w:color w:val="231F20"/>
        </w:rPr>
        <w:t>Art. 7:51. Lorsque les actions représentent une part égale du capital, chacune donne droit à une voix.</w:t>
      </w:r>
    </w:p>
    <w:p>
      <w:pPr>
        <w:pStyle w:val="BodyText"/>
        <w:spacing w:line="218" w:lineRule="auto" w:before="86"/>
        <w:ind w:right="38"/>
      </w:pPr>
      <w:r>
        <w:rPr>
          <w:color w:val="231F20"/>
        </w:rPr>
        <w:t>Lorsqu’elles n’ont pas toutes la même valeur représentative du capital, leur titulaire a droit à un nombre de voix égal au nombre de fois que l’action représentant le montant le plus faible est comprise dans la valeur totale que ses actions représentent dans le capital; les fractions de voix ne sont pas prises en considération, excepté dans les cas prévus à l’article 7:155.</w:t>
      </w:r>
    </w:p>
    <w:p>
      <w:pPr>
        <w:pStyle w:val="BodyText"/>
        <w:spacing w:line="218" w:lineRule="auto" w:before="85"/>
        <w:ind w:right="38"/>
      </w:pPr>
      <w:r>
        <w:rPr>
          <w:color w:val="231F20"/>
        </w:rPr>
        <w:t>Art. 7:52. Dans les sociétés non cotées, les statuts peuvent déroger à l’article 7:51.</w:t>
      </w:r>
    </w:p>
    <w:p>
      <w:pPr>
        <w:pStyle w:val="BodyText"/>
        <w:spacing w:line="218" w:lineRule="auto" w:before="71"/>
        <w:ind w:right="38"/>
      </w:pPr>
      <w:r>
        <w:rPr>
          <w:color w:val="231F20"/>
        </w:rPr>
        <w:t>Art. 7:53. § 1</w:t>
      </w:r>
      <w:r>
        <w:rPr>
          <w:color w:val="231F20"/>
          <w:position w:val="7"/>
          <w:sz w:val="11"/>
        </w:rPr>
        <w:t>er</w:t>
      </w:r>
      <w:r>
        <w:rPr>
          <w:color w:val="231F20"/>
        </w:rPr>
        <w:t>. Dans les sociétés cotées, les statuts peuvent conférer aux actions entièrement libérées, qui sont inscrites depuis au moins deux années sans interruption au nom du même actionnaire dans le registre des actions nominatives, un double droit de vote par rapport aux autres actions représentant une même part du capital. Par dérogation à l’article 7:153, alinéa 4, cette décision peut être prise à la majorité des deux tiers des voix exprimées. Cette disposition statutaire s’applique à toutes les actions qui répondent aux conditions.</w:t>
      </w:r>
    </w:p>
    <w:p>
      <w:pPr>
        <w:pStyle w:val="BodyText"/>
        <w:spacing w:before="11"/>
        <w:ind w:left="0" w:right="0" w:firstLine="0"/>
        <w:jc w:val="left"/>
        <w:rPr>
          <w:sz w:val="23"/>
        </w:rPr>
      </w:pPr>
    </w:p>
    <w:p>
      <w:pPr>
        <w:pStyle w:val="BodyText"/>
        <w:spacing w:line="218" w:lineRule="auto"/>
        <w:ind w:right="38"/>
      </w:pPr>
      <w:r>
        <w:rPr>
          <w:color w:val="231F20"/>
        </w:rPr>
        <w:t>Le délai de deux ans commence à courir à la date où les actions sont inscrites au nominatif, alors même que cette inscription aurait été effectuée avant le jour de l’adoption de la disposition statutaire instaurant le droit de vote double et avant que la société ne soit cotée.</w:t>
      </w:r>
    </w:p>
    <w:p>
      <w:pPr>
        <w:pStyle w:val="BodyText"/>
        <w:spacing w:line="218" w:lineRule="auto" w:before="96"/>
        <w:ind w:right="38"/>
      </w:pPr>
      <w:r>
        <w:rPr>
          <w:color w:val="231F20"/>
        </w:rPr>
        <w:t>En cas d’augmentation de capital par incorporation de réserves, le double droit de vote est reconnu dès leur émission aux actions de bonus qui sont attribuées aux actionnaires à raison des actions anciennes</w:t>
      </w:r>
      <w:r>
        <w:rPr>
          <w:color w:val="231F20"/>
          <w:spacing w:val="-8"/>
        </w:rPr>
        <w:t> </w:t>
      </w:r>
      <w:r>
        <w:rPr>
          <w:color w:val="231F20"/>
        </w:rPr>
        <w:t>pour lesquelles</w:t>
      </w:r>
      <w:r>
        <w:rPr>
          <w:color w:val="231F20"/>
          <w:spacing w:val="15"/>
        </w:rPr>
        <w:t> </w:t>
      </w:r>
      <w:r>
        <w:rPr>
          <w:color w:val="231F20"/>
        </w:rPr>
        <w:t>ils</w:t>
      </w:r>
      <w:r>
        <w:rPr>
          <w:color w:val="231F20"/>
          <w:spacing w:val="15"/>
        </w:rPr>
        <w:t> </w:t>
      </w:r>
      <w:r>
        <w:rPr>
          <w:color w:val="231F20"/>
        </w:rPr>
        <w:t>disposent</w:t>
      </w:r>
      <w:r>
        <w:rPr>
          <w:color w:val="231F20"/>
          <w:spacing w:val="15"/>
        </w:rPr>
        <w:t> </w:t>
      </w:r>
      <w:r>
        <w:rPr>
          <w:color w:val="231F20"/>
        </w:rPr>
        <w:t>de</w:t>
      </w:r>
      <w:r>
        <w:rPr>
          <w:color w:val="231F20"/>
          <w:spacing w:val="15"/>
        </w:rPr>
        <w:t> </w:t>
      </w:r>
      <w:r>
        <w:rPr>
          <w:color w:val="231F20"/>
        </w:rPr>
        <w:t>ce</w:t>
      </w:r>
      <w:r>
        <w:rPr>
          <w:color w:val="231F20"/>
          <w:spacing w:val="15"/>
        </w:rPr>
        <w:t> </w:t>
      </w:r>
      <w:r>
        <w:rPr>
          <w:color w:val="231F20"/>
        </w:rPr>
        <w:t>droit.</w:t>
      </w:r>
    </w:p>
    <w:p>
      <w:pPr>
        <w:pStyle w:val="BodyText"/>
        <w:spacing w:line="211" w:lineRule="auto" w:before="101"/>
        <w:ind w:right="38"/>
      </w:pPr>
      <w:r>
        <w:rPr>
          <w:color w:val="231F20"/>
        </w:rPr>
        <w:t>§ 2. Toute action convertie en action dématérialisée ou transférée en propriété perd le droit de vote double attribué en application du paragraphe 1</w:t>
      </w:r>
      <w:r>
        <w:rPr>
          <w:color w:val="231F20"/>
          <w:position w:val="7"/>
          <w:sz w:val="11"/>
        </w:rPr>
        <w:t>er</w:t>
      </w:r>
      <w:r>
        <w:rPr>
          <w:color w:val="231F20"/>
        </w:rPr>
        <w:t>.</w:t>
      </w:r>
    </w:p>
    <w:p>
      <w:pPr>
        <w:pStyle w:val="BodyText"/>
        <w:spacing w:line="213" w:lineRule="auto" w:before="97"/>
        <w:ind w:right="38"/>
      </w:pPr>
      <w:r>
        <w:rPr>
          <w:color w:val="231F20"/>
        </w:rPr>
        <w:t>Toutefois, le transfert d’actions par suite de succession, de</w:t>
      </w:r>
      <w:r>
        <w:rPr>
          <w:color w:val="231F20"/>
          <w:spacing w:val="-27"/>
        </w:rPr>
        <w:t> </w:t>
      </w:r>
      <w:r>
        <w:rPr>
          <w:color w:val="231F20"/>
        </w:rPr>
        <w:t>liquidation de régime matrimonial ou de cession à titre onéreux ou à titre gratuit</w:t>
      </w:r>
      <w:r>
        <w:rPr>
          <w:color w:val="231F20"/>
          <w:spacing w:val="-21"/>
        </w:rPr>
        <w:t> </w:t>
      </w:r>
      <w:r>
        <w:rPr>
          <w:color w:val="231F20"/>
        </w:rPr>
        <w:t>au profit d’un successible n’entraîne pas la perte du droit de vote double  et</w:t>
      </w:r>
      <w:r>
        <w:rPr>
          <w:color w:val="231F20"/>
          <w:spacing w:val="20"/>
        </w:rPr>
        <w:t> </w:t>
      </w:r>
      <w:r>
        <w:rPr>
          <w:color w:val="231F20"/>
        </w:rPr>
        <w:t>n’interrompt</w:t>
      </w:r>
      <w:r>
        <w:rPr>
          <w:color w:val="231F20"/>
          <w:spacing w:val="21"/>
        </w:rPr>
        <w:t> </w:t>
      </w:r>
      <w:r>
        <w:rPr>
          <w:color w:val="231F20"/>
        </w:rPr>
        <w:t>pas</w:t>
      </w:r>
      <w:r>
        <w:rPr>
          <w:color w:val="231F20"/>
          <w:spacing w:val="20"/>
        </w:rPr>
        <w:t> </w:t>
      </w:r>
      <w:r>
        <w:rPr>
          <w:color w:val="231F20"/>
        </w:rPr>
        <w:t>le</w:t>
      </w:r>
      <w:r>
        <w:rPr>
          <w:color w:val="231F20"/>
          <w:spacing w:val="21"/>
        </w:rPr>
        <w:t> </w:t>
      </w:r>
      <w:r>
        <w:rPr>
          <w:color w:val="231F20"/>
        </w:rPr>
        <w:t>délai</w:t>
      </w:r>
      <w:r>
        <w:rPr>
          <w:color w:val="231F20"/>
          <w:spacing w:val="20"/>
        </w:rPr>
        <w:t> </w:t>
      </w:r>
      <w:r>
        <w:rPr>
          <w:color w:val="231F20"/>
        </w:rPr>
        <w:t>mentionné</w:t>
      </w:r>
      <w:r>
        <w:rPr>
          <w:color w:val="231F20"/>
          <w:spacing w:val="21"/>
        </w:rPr>
        <w:t> </w:t>
      </w:r>
      <w:r>
        <w:rPr>
          <w:color w:val="231F20"/>
        </w:rPr>
        <w:t>au</w:t>
      </w:r>
      <w:r>
        <w:rPr>
          <w:color w:val="231F20"/>
          <w:spacing w:val="20"/>
        </w:rPr>
        <w:t> </w:t>
      </w:r>
      <w:r>
        <w:rPr>
          <w:color w:val="231F20"/>
        </w:rPr>
        <w:t>paragraphe</w:t>
      </w:r>
      <w:r>
        <w:rPr>
          <w:color w:val="231F20"/>
          <w:spacing w:val="21"/>
        </w:rPr>
        <w:t> </w:t>
      </w:r>
      <w:r>
        <w:rPr>
          <w:color w:val="231F20"/>
        </w:rPr>
        <w:t>1</w:t>
      </w:r>
      <w:r>
        <w:rPr>
          <w:color w:val="231F20"/>
          <w:position w:val="7"/>
          <w:sz w:val="11"/>
        </w:rPr>
        <w:t>er</w:t>
      </w:r>
      <w:r>
        <w:rPr>
          <w:color w:val="231F20"/>
        </w:rPr>
        <w:t>.</w:t>
      </w:r>
      <w:r>
        <w:rPr>
          <w:color w:val="231F20"/>
          <w:spacing w:val="20"/>
        </w:rPr>
        <w:t> </w:t>
      </w:r>
      <w:r>
        <w:rPr>
          <w:color w:val="231F20"/>
        </w:rPr>
        <w:t>Il</w:t>
      </w:r>
      <w:r>
        <w:rPr>
          <w:color w:val="231F20"/>
          <w:spacing w:val="21"/>
        </w:rPr>
        <w:t> </w:t>
      </w:r>
      <w:r>
        <w:rPr>
          <w:color w:val="231F20"/>
        </w:rPr>
        <w:t>en</w:t>
      </w:r>
      <w:r>
        <w:rPr>
          <w:color w:val="231F20"/>
          <w:spacing w:val="21"/>
        </w:rPr>
        <w:t> </w:t>
      </w:r>
      <w:r>
        <w:rPr>
          <w:color w:val="231F20"/>
        </w:rPr>
        <w:t>est</w:t>
      </w:r>
      <w:r>
        <w:rPr>
          <w:color w:val="231F20"/>
          <w:spacing w:val="20"/>
        </w:rPr>
        <w:t> </w:t>
      </w:r>
      <w:r>
        <w:rPr>
          <w:color w:val="231F20"/>
        </w:rPr>
        <w:t>de</w:t>
      </w:r>
    </w:p>
    <w:p>
      <w:pPr>
        <w:pStyle w:val="BodyText"/>
        <w:spacing w:line="218" w:lineRule="auto" w:before="119"/>
        <w:ind w:firstLine="0"/>
      </w:pPr>
      <w:r>
        <w:rPr/>
        <w:br w:type="column"/>
      </w:r>
      <w:r>
        <w:rPr>
          <w:color w:val="231F20"/>
        </w:rPr>
        <w:t>een erkende rekeninghouder die die rekeninghouder niet bijhoudt bij een vereffeningsinstelling of bij een onderneming die ten opzichte van die instelling als tussenpersoon optreedt.</w:t>
      </w:r>
    </w:p>
    <w:p>
      <w:pPr>
        <w:pStyle w:val="BodyText"/>
        <w:spacing w:line="218" w:lineRule="auto" w:before="86"/>
      </w:pPr>
      <w:r>
        <w:rPr>
          <w:color w:val="231F20"/>
        </w:rPr>
        <w:t>De rekeninghouder schrijft de op elk ogenblik in omloop zijnde gedematerialiseerde effecten, per uitgifte van effecten, in op zijn naam in het register van de effecten op naam.</w:t>
      </w:r>
    </w:p>
    <w:p>
      <w:pPr>
        <w:pStyle w:val="BodyText"/>
        <w:spacing w:line="218" w:lineRule="auto" w:before="86"/>
      </w:pPr>
      <w:r>
        <w:rPr>
          <w:color w:val="231F20"/>
        </w:rPr>
        <w:t>De gehele omloop van een uitgifte van gedematerialiseerde effecten van een emittent kan slechts op naam van één rekeninghouder in het register van de effecten op naam worden ingeschreven.</w:t>
      </w:r>
    </w:p>
    <w:p>
      <w:pPr>
        <w:pStyle w:val="BodyText"/>
        <w:spacing w:line="218" w:lineRule="auto" w:before="85"/>
      </w:pPr>
      <w:r>
        <w:rPr>
          <w:color w:val="231F20"/>
        </w:rPr>
        <w:t>De boeking op rekening van effecten vestigt in dat geval een onlichamelijk recht van mede-eigendom op de algemeenheid van effecten van dezelfde uitgifte die op naam van de rekeninghouder zijn ingeschreven in het register van effecten op naam.</w:t>
      </w:r>
    </w:p>
    <w:p>
      <w:pPr>
        <w:pStyle w:val="BodyText"/>
        <w:spacing w:line="324" w:lineRule="auto" w:before="72"/>
        <w:ind w:left="283" w:right="1535" w:hanging="1"/>
        <w:jc w:val="left"/>
      </w:pPr>
      <w:r>
        <w:rPr>
          <w:color w:val="231F20"/>
        </w:rPr>
        <w:t>HOOFDSTUK 3. Categorieën van effecten. Afdeling 1. Aandelen.</w:t>
      </w:r>
    </w:p>
    <w:p>
      <w:pPr>
        <w:pStyle w:val="BodyText"/>
        <w:ind w:left="283" w:right="0" w:firstLine="0"/>
        <w:jc w:val="left"/>
      </w:pPr>
      <w:r>
        <w:rPr>
          <w:color w:val="231F20"/>
          <w:w w:val="105"/>
        </w:rPr>
        <w:t>Onderafdeling 1. Algemene bepalingen.</w:t>
      </w:r>
    </w:p>
    <w:p>
      <w:pPr>
        <w:pStyle w:val="BodyText"/>
        <w:spacing w:line="218" w:lineRule="auto" w:before="82"/>
      </w:pPr>
      <w:r>
        <w:rPr>
          <w:color w:val="231F20"/>
        </w:rPr>
        <w:t>Art. 7:45. Het kapitaal van de naamloze vennootschappen is verdeeld in één of meerdere vrij overdraagbare aandelen, al dan niet met stemrecht, en met of zonder vermelding van waarde.</w:t>
      </w:r>
    </w:p>
    <w:p>
      <w:pPr>
        <w:pStyle w:val="BodyText"/>
        <w:spacing w:line="218" w:lineRule="auto" w:before="86"/>
      </w:pPr>
      <w:r>
        <w:rPr>
          <w:color w:val="231F20"/>
        </w:rPr>
        <w:t>Art. 7:46. De vennootschap moet minstens één aandeel uitgeven en minstens één aandeel moet stemrecht hebben.</w:t>
      </w:r>
    </w:p>
    <w:p>
      <w:pPr>
        <w:pStyle w:val="BodyText"/>
        <w:spacing w:before="71"/>
        <w:ind w:left="283" w:right="0" w:firstLine="0"/>
        <w:jc w:val="left"/>
      </w:pPr>
      <w:r>
        <w:rPr>
          <w:color w:val="231F20"/>
        </w:rPr>
        <w:t>Art. 7:47. De aandelen zijn op naam totdat zij zijn volgestort.</w:t>
      </w:r>
    </w:p>
    <w:p>
      <w:pPr>
        <w:pStyle w:val="BodyText"/>
        <w:spacing w:line="218" w:lineRule="auto" w:before="82"/>
      </w:pPr>
      <w:r>
        <w:rPr>
          <w:color w:val="231F20"/>
        </w:rPr>
        <w:t>Art.</w:t>
      </w:r>
      <w:r>
        <w:rPr>
          <w:color w:val="231F20"/>
          <w:spacing w:val="-5"/>
        </w:rPr>
        <w:t> </w:t>
      </w:r>
      <w:r>
        <w:rPr>
          <w:color w:val="231F20"/>
        </w:rPr>
        <w:t>7:48.</w:t>
      </w:r>
      <w:r>
        <w:rPr>
          <w:color w:val="231F20"/>
          <w:spacing w:val="-5"/>
        </w:rPr>
        <w:t> </w:t>
      </w:r>
      <w:r>
        <w:rPr>
          <w:color w:val="231F20"/>
          <w:spacing w:val="-3"/>
        </w:rPr>
        <w:t>Tenzij</w:t>
      </w:r>
      <w:r>
        <w:rPr>
          <w:color w:val="231F20"/>
          <w:spacing w:val="-5"/>
        </w:rPr>
        <w:t> </w:t>
      </w:r>
      <w:r>
        <w:rPr>
          <w:color w:val="231F20"/>
        </w:rPr>
        <w:t>de</w:t>
      </w:r>
      <w:r>
        <w:rPr>
          <w:color w:val="231F20"/>
          <w:spacing w:val="-5"/>
        </w:rPr>
        <w:t> </w:t>
      </w:r>
      <w:r>
        <w:rPr>
          <w:color w:val="231F20"/>
        </w:rPr>
        <w:t>statuten</w:t>
      </w:r>
      <w:r>
        <w:rPr>
          <w:color w:val="231F20"/>
          <w:spacing w:val="-5"/>
        </w:rPr>
        <w:t> </w:t>
      </w:r>
      <w:r>
        <w:rPr>
          <w:color w:val="231F20"/>
        </w:rPr>
        <w:t>anders</w:t>
      </w:r>
      <w:r>
        <w:rPr>
          <w:color w:val="231F20"/>
          <w:spacing w:val="-5"/>
        </w:rPr>
        <w:t> </w:t>
      </w:r>
      <w:r>
        <w:rPr>
          <w:color w:val="231F20"/>
        </w:rPr>
        <w:t>bepalen,</w:t>
      </w:r>
      <w:r>
        <w:rPr>
          <w:color w:val="231F20"/>
          <w:spacing w:val="-5"/>
        </w:rPr>
        <w:t> </w:t>
      </w:r>
      <w:r>
        <w:rPr>
          <w:color w:val="231F20"/>
        </w:rPr>
        <w:t>geeft</w:t>
      </w:r>
      <w:r>
        <w:rPr>
          <w:color w:val="231F20"/>
          <w:spacing w:val="-5"/>
        </w:rPr>
        <w:t> </w:t>
      </w:r>
      <w:r>
        <w:rPr>
          <w:color w:val="231F20"/>
        </w:rPr>
        <w:t>elk</w:t>
      </w:r>
      <w:r>
        <w:rPr>
          <w:color w:val="231F20"/>
          <w:spacing w:val="-5"/>
        </w:rPr>
        <w:t> </w:t>
      </w:r>
      <w:r>
        <w:rPr>
          <w:color w:val="231F20"/>
        </w:rPr>
        <w:t>aandeel</w:t>
      </w:r>
      <w:r>
        <w:rPr>
          <w:color w:val="231F20"/>
          <w:spacing w:val="-5"/>
        </w:rPr>
        <w:t> </w:t>
      </w:r>
      <w:r>
        <w:rPr>
          <w:color w:val="231F20"/>
        </w:rPr>
        <w:t>recht</w:t>
      </w:r>
      <w:r>
        <w:rPr>
          <w:color w:val="231F20"/>
          <w:spacing w:val="-5"/>
        </w:rPr>
        <w:t> </w:t>
      </w:r>
      <w:r>
        <w:rPr>
          <w:color w:val="231F20"/>
        </w:rPr>
        <w:t>op een deel in de winst en in het vereffeningssaldo evenredig met het deel dat</w:t>
      </w:r>
      <w:r>
        <w:rPr>
          <w:color w:val="231F20"/>
          <w:spacing w:val="16"/>
        </w:rPr>
        <w:t> </w:t>
      </w:r>
      <w:r>
        <w:rPr>
          <w:color w:val="231F20"/>
        </w:rPr>
        <w:t>dit</w:t>
      </w:r>
      <w:r>
        <w:rPr>
          <w:color w:val="231F20"/>
          <w:spacing w:val="16"/>
        </w:rPr>
        <w:t> </w:t>
      </w:r>
      <w:r>
        <w:rPr>
          <w:color w:val="231F20"/>
        </w:rPr>
        <w:t>aandeel</w:t>
      </w:r>
      <w:r>
        <w:rPr>
          <w:color w:val="231F20"/>
          <w:spacing w:val="16"/>
        </w:rPr>
        <w:t> </w:t>
      </w:r>
      <w:r>
        <w:rPr>
          <w:color w:val="231F20"/>
        </w:rPr>
        <w:t>in</w:t>
      </w:r>
      <w:r>
        <w:rPr>
          <w:color w:val="231F20"/>
          <w:spacing w:val="17"/>
        </w:rPr>
        <w:t> </w:t>
      </w:r>
      <w:r>
        <w:rPr>
          <w:color w:val="231F20"/>
        </w:rPr>
        <w:t>het</w:t>
      </w:r>
      <w:r>
        <w:rPr>
          <w:color w:val="231F20"/>
          <w:spacing w:val="16"/>
        </w:rPr>
        <w:t> </w:t>
      </w:r>
      <w:r>
        <w:rPr>
          <w:color w:val="231F20"/>
        </w:rPr>
        <w:t>kapitaal</w:t>
      </w:r>
      <w:r>
        <w:rPr>
          <w:color w:val="231F20"/>
          <w:spacing w:val="16"/>
        </w:rPr>
        <w:t> </w:t>
      </w:r>
      <w:r>
        <w:rPr>
          <w:color w:val="231F20"/>
        </w:rPr>
        <w:t>vertegenwoordigt.</w:t>
      </w:r>
    </w:p>
    <w:p>
      <w:pPr>
        <w:pStyle w:val="BodyText"/>
        <w:spacing w:line="218" w:lineRule="auto" w:before="86"/>
      </w:pPr>
      <w:r>
        <w:rPr>
          <w:color w:val="231F20"/>
        </w:rPr>
        <w:t>Art. 7:49. De aandelen kunnen worden gesplitst in onderaandelen die, in voldoende aantal verenigd, dezelfde rechten geven als het enkelvoudige</w:t>
      </w:r>
      <w:r>
        <w:rPr>
          <w:color w:val="231F20"/>
          <w:spacing w:val="17"/>
        </w:rPr>
        <w:t> </w:t>
      </w:r>
      <w:r>
        <w:rPr>
          <w:color w:val="231F20"/>
        </w:rPr>
        <w:t>aandeel,</w:t>
      </w:r>
      <w:r>
        <w:rPr>
          <w:color w:val="231F20"/>
          <w:spacing w:val="17"/>
        </w:rPr>
        <w:t> </w:t>
      </w:r>
      <w:r>
        <w:rPr>
          <w:color w:val="231F20"/>
        </w:rPr>
        <w:t>behoudens</w:t>
      </w:r>
      <w:r>
        <w:rPr>
          <w:color w:val="231F20"/>
          <w:spacing w:val="18"/>
        </w:rPr>
        <w:t> </w:t>
      </w:r>
      <w:r>
        <w:rPr>
          <w:color w:val="231F20"/>
        </w:rPr>
        <w:t>het</w:t>
      </w:r>
      <w:r>
        <w:rPr>
          <w:color w:val="231F20"/>
          <w:spacing w:val="17"/>
        </w:rPr>
        <w:t> </w:t>
      </w:r>
      <w:r>
        <w:rPr>
          <w:color w:val="231F20"/>
        </w:rPr>
        <w:t>bepaalde</w:t>
      </w:r>
      <w:r>
        <w:rPr>
          <w:color w:val="231F20"/>
          <w:spacing w:val="18"/>
        </w:rPr>
        <w:t> </w:t>
      </w:r>
      <w:r>
        <w:rPr>
          <w:color w:val="231F20"/>
        </w:rPr>
        <w:t>in</w:t>
      </w:r>
      <w:r>
        <w:rPr>
          <w:color w:val="231F20"/>
          <w:spacing w:val="17"/>
        </w:rPr>
        <w:t> </w:t>
      </w:r>
      <w:r>
        <w:rPr>
          <w:color w:val="231F20"/>
        </w:rPr>
        <w:t>artikel</w:t>
      </w:r>
      <w:r>
        <w:rPr>
          <w:color w:val="231F20"/>
          <w:spacing w:val="17"/>
        </w:rPr>
        <w:t> </w:t>
      </w:r>
      <w:r>
        <w:rPr>
          <w:color w:val="231F20"/>
        </w:rPr>
        <w:t>7:155.</w:t>
      </w:r>
    </w:p>
    <w:p>
      <w:pPr>
        <w:pStyle w:val="BodyText"/>
        <w:spacing w:line="218" w:lineRule="auto" w:before="85"/>
      </w:pPr>
      <w:r>
        <w:rPr>
          <w:color w:val="231F20"/>
        </w:rPr>
        <w:t>Elke ruil, hergroepering of splitsing van aandelen vindt plaats volgens de voorwaarden en de modaliteiten die in de statuten zijn bepaald, onverminderd artikel</w:t>
      </w:r>
      <w:r>
        <w:rPr>
          <w:color w:val="231F20"/>
          <w:spacing w:val="3"/>
        </w:rPr>
        <w:t> </w:t>
      </w:r>
      <w:r>
        <w:rPr>
          <w:color w:val="231F20"/>
        </w:rPr>
        <w:t>7:23.</w:t>
      </w:r>
    </w:p>
    <w:p>
      <w:pPr>
        <w:pStyle w:val="BodyText"/>
        <w:spacing w:line="218" w:lineRule="auto" w:before="86"/>
      </w:pPr>
      <w:r>
        <w:rPr>
          <w:color w:val="231F20"/>
        </w:rPr>
        <w:t>Art. 7:50. De staat van het kapitaal wordt tegelijk met de</w:t>
      </w:r>
      <w:r>
        <w:rPr>
          <w:color w:val="231F20"/>
          <w:spacing w:val="-23"/>
        </w:rPr>
        <w:t> </w:t>
      </w:r>
      <w:r>
        <w:rPr>
          <w:color w:val="231F20"/>
        </w:rPr>
        <w:t>jaarrekening neergelegd,</w:t>
      </w:r>
      <w:r>
        <w:rPr>
          <w:color w:val="231F20"/>
          <w:spacing w:val="14"/>
        </w:rPr>
        <w:t> </w:t>
      </w:r>
      <w:r>
        <w:rPr>
          <w:color w:val="231F20"/>
        </w:rPr>
        <w:t>overeenkomstig</w:t>
      </w:r>
      <w:r>
        <w:rPr>
          <w:color w:val="231F20"/>
          <w:spacing w:val="14"/>
        </w:rPr>
        <w:t> </w:t>
      </w:r>
      <w:r>
        <w:rPr>
          <w:color w:val="231F20"/>
        </w:rPr>
        <w:t>de</w:t>
      </w:r>
      <w:r>
        <w:rPr>
          <w:color w:val="231F20"/>
          <w:spacing w:val="15"/>
        </w:rPr>
        <w:t> </w:t>
      </w:r>
      <w:r>
        <w:rPr>
          <w:color w:val="231F20"/>
        </w:rPr>
        <w:t>artikelen</w:t>
      </w:r>
      <w:r>
        <w:rPr>
          <w:color w:val="231F20"/>
          <w:spacing w:val="14"/>
        </w:rPr>
        <w:t> </w:t>
      </w:r>
      <w:r>
        <w:rPr>
          <w:color w:val="231F20"/>
        </w:rPr>
        <w:t>3:10</w:t>
      </w:r>
      <w:r>
        <w:rPr>
          <w:color w:val="231F20"/>
          <w:spacing w:val="14"/>
        </w:rPr>
        <w:t> </w:t>
      </w:r>
      <w:r>
        <w:rPr>
          <w:color w:val="231F20"/>
        </w:rPr>
        <w:t>en</w:t>
      </w:r>
      <w:r>
        <w:rPr>
          <w:color w:val="231F20"/>
          <w:spacing w:val="15"/>
        </w:rPr>
        <w:t> </w:t>
      </w:r>
      <w:r>
        <w:rPr>
          <w:color w:val="231F20"/>
        </w:rPr>
        <w:t>3:12.</w:t>
      </w:r>
    </w:p>
    <w:p>
      <w:pPr>
        <w:pStyle w:val="BodyText"/>
        <w:spacing w:before="71"/>
        <w:ind w:left="283" w:right="0" w:firstLine="0"/>
        <w:jc w:val="left"/>
      </w:pPr>
      <w:r>
        <w:rPr>
          <w:color w:val="231F20"/>
        </w:rPr>
        <w:t>Daarin wordt opgegeven:</w:t>
      </w:r>
    </w:p>
    <w:p>
      <w:pPr>
        <w:pStyle w:val="BodyText"/>
        <w:spacing w:before="68"/>
        <w:ind w:left="283" w:right="0" w:firstLine="0"/>
        <w:jc w:val="left"/>
      </w:pPr>
      <w:r>
        <w:rPr>
          <w:color w:val="231F20"/>
        </w:rPr>
        <w:t>1° het aantal geplaatste aandelen;</w:t>
      </w:r>
    </w:p>
    <w:p>
      <w:pPr>
        <w:pStyle w:val="BodyText"/>
        <w:spacing w:before="68"/>
        <w:ind w:left="283" w:right="0" w:firstLine="0"/>
        <w:jc w:val="left"/>
      </w:pPr>
      <w:r>
        <w:rPr>
          <w:color w:val="231F20"/>
        </w:rPr>
        <w:t>2° de vermelding van de gedane stortingen;</w:t>
      </w:r>
    </w:p>
    <w:p>
      <w:pPr>
        <w:pStyle w:val="BodyText"/>
        <w:spacing w:line="218" w:lineRule="auto" w:before="82"/>
      </w:pPr>
      <w:r>
        <w:rPr>
          <w:color w:val="231F20"/>
        </w:rPr>
        <w:t>3° de lijst van de aandeelhouders die hun aandelen niet hebben volgestort, met vermelding van het bedrag dat zij nog zijn verschul- digd.</w:t>
      </w:r>
    </w:p>
    <w:p>
      <w:pPr>
        <w:pStyle w:val="BodyText"/>
        <w:spacing w:line="218" w:lineRule="auto" w:before="86"/>
      </w:pPr>
      <w:r>
        <w:rPr>
          <w:color w:val="231F20"/>
        </w:rPr>
        <w:t>Art. 7:51. Wanneer de aandelen een gelijke kapitaalvertegenwoordi- gende waarde hebben, geven zij elk recht op één stem.</w:t>
      </w:r>
    </w:p>
    <w:p>
      <w:pPr>
        <w:pStyle w:val="BodyText"/>
        <w:spacing w:line="218" w:lineRule="auto" w:before="85"/>
      </w:pPr>
      <w:r>
        <w:rPr>
          <w:color w:val="231F20"/>
        </w:rPr>
        <w:t>Hebben niet alle aandelen dezelfde kapitaalvertegenwoordigende waarde, dan heeft hun houder recht op een aantal stemmen gelijk aan het aantal keer dat het aandeel dat het laagste bedrag vertegenwoordigt is begrepen in de totale kapitaalvertegenwoordigende waarde van zijn aandelen, waarbij gedeelten van stemmen worden verwaarloosd, behoudens in de gevallen bepaald in artikel 7:155.</w:t>
      </w:r>
    </w:p>
    <w:p>
      <w:pPr>
        <w:pStyle w:val="BodyText"/>
        <w:spacing w:line="218" w:lineRule="auto" w:before="86"/>
      </w:pPr>
      <w:r>
        <w:rPr>
          <w:color w:val="231F20"/>
        </w:rPr>
        <w:t>Art. 7:52. In niet genoteerde vennootschappen kunnen de statuten afwijken van artikel 7:51.</w:t>
      </w:r>
    </w:p>
    <w:p>
      <w:pPr>
        <w:pStyle w:val="BodyText"/>
        <w:spacing w:line="218" w:lineRule="auto" w:before="85"/>
      </w:pPr>
      <w:r>
        <w:rPr>
          <w:color w:val="231F20"/>
        </w:rPr>
        <w:t>Art. 7:53. § 1. In genoteerde vennootschappen kunnen de statuten, aan de volgestorte aandelen die ten minste twee jaar ononderbroken op naam van dezelfde aandeelhouder in het register van de aandelen op naam zijn ingeschreven, een dubbel stemrecht verlenen in vergelijking met de andere aandelen die een gelijk deel in het kapitaal vertegen- woordigen. In afwijking van artikel 7:153, vierde lid, kan dit besluit worden genomen met een meerderheid van twee derde van</w:t>
      </w:r>
      <w:r>
        <w:rPr>
          <w:color w:val="231F20"/>
          <w:spacing w:val="23"/>
        </w:rPr>
        <w:t> </w:t>
      </w:r>
      <w:r>
        <w:rPr>
          <w:color w:val="231F20"/>
        </w:rPr>
        <w:t>de uitgebrachte stemmen. Deze statutaire bepaling vindt toepassing op alle</w:t>
      </w:r>
      <w:r>
        <w:rPr>
          <w:color w:val="231F20"/>
          <w:spacing w:val="16"/>
        </w:rPr>
        <w:t> </w:t>
      </w:r>
      <w:r>
        <w:rPr>
          <w:color w:val="231F20"/>
        </w:rPr>
        <w:t>aandelen</w:t>
      </w:r>
      <w:r>
        <w:rPr>
          <w:color w:val="231F20"/>
          <w:spacing w:val="17"/>
        </w:rPr>
        <w:t> </w:t>
      </w:r>
      <w:r>
        <w:rPr>
          <w:color w:val="231F20"/>
        </w:rPr>
        <w:t>die</w:t>
      </w:r>
      <w:r>
        <w:rPr>
          <w:color w:val="231F20"/>
          <w:spacing w:val="16"/>
        </w:rPr>
        <w:t> </w:t>
      </w:r>
      <w:r>
        <w:rPr>
          <w:color w:val="231F20"/>
        </w:rPr>
        <w:t>aan</w:t>
      </w:r>
      <w:r>
        <w:rPr>
          <w:color w:val="231F20"/>
          <w:spacing w:val="17"/>
        </w:rPr>
        <w:t> </w:t>
      </w:r>
      <w:r>
        <w:rPr>
          <w:color w:val="231F20"/>
        </w:rPr>
        <w:t>de</w:t>
      </w:r>
      <w:r>
        <w:rPr>
          <w:color w:val="231F20"/>
          <w:spacing w:val="17"/>
        </w:rPr>
        <w:t> </w:t>
      </w:r>
      <w:r>
        <w:rPr>
          <w:color w:val="231F20"/>
        </w:rPr>
        <w:t>voorwaarden</w:t>
      </w:r>
      <w:r>
        <w:rPr>
          <w:color w:val="231F20"/>
          <w:spacing w:val="16"/>
        </w:rPr>
        <w:t> </w:t>
      </w:r>
      <w:r>
        <w:rPr>
          <w:color w:val="231F20"/>
        </w:rPr>
        <w:t>voldoen.</w:t>
      </w:r>
    </w:p>
    <w:p>
      <w:pPr>
        <w:pStyle w:val="BodyText"/>
        <w:spacing w:line="218" w:lineRule="auto" w:before="97"/>
      </w:pPr>
      <w:r>
        <w:rPr>
          <w:color w:val="231F20"/>
        </w:rPr>
        <w:t>De termijn van twee jaar begint te lopen op de dag waarop de aandelen op naam zijn ingeschreven, zelfs wanneer die inschrijving is gebeurd voordat de statutaire bepaling die het dubbel stemrecht invoert</w:t>
      </w:r>
      <w:r>
        <w:rPr>
          <w:color w:val="231F20"/>
          <w:spacing w:val="20"/>
        </w:rPr>
        <w:t> </w:t>
      </w:r>
      <w:r>
        <w:rPr>
          <w:color w:val="231F20"/>
        </w:rPr>
        <w:t>werd</w:t>
      </w:r>
      <w:r>
        <w:rPr>
          <w:color w:val="231F20"/>
          <w:spacing w:val="21"/>
        </w:rPr>
        <w:t> </w:t>
      </w:r>
      <w:r>
        <w:rPr>
          <w:color w:val="231F20"/>
        </w:rPr>
        <w:t>aangenomen</w:t>
      </w:r>
      <w:r>
        <w:rPr>
          <w:color w:val="231F20"/>
          <w:spacing w:val="21"/>
        </w:rPr>
        <w:t> </w:t>
      </w:r>
      <w:r>
        <w:rPr>
          <w:color w:val="231F20"/>
        </w:rPr>
        <w:t>en</w:t>
      </w:r>
      <w:r>
        <w:rPr>
          <w:color w:val="231F20"/>
          <w:spacing w:val="21"/>
        </w:rPr>
        <w:t> </w:t>
      </w:r>
      <w:r>
        <w:rPr>
          <w:color w:val="231F20"/>
        </w:rPr>
        <w:t>voordat</w:t>
      </w:r>
      <w:r>
        <w:rPr>
          <w:color w:val="231F20"/>
          <w:spacing w:val="20"/>
        </w:rPr>
        <w:t> </w:t>
      </w:r>
      <w:r>
        <w:rPr>
          <w:color w:val="231F20"/>
        </w:rPr>
        <w:t>de</w:t>
      </w:r>
      <w:r>
        <w:rPr>
          <w:color w:val="231F20"/>
          <w:spacing w:val="21"/>
        </w:rPr>
        <w:t> </w:t>
      </w:r>
      <w:r>
        <w:rPr>
          <w:color w:val="231F20"/>
        </w:rPr>
        <w:t>vennootschap</w:t>
      </w:r>
      <w:r>
        <w:rPr>
          <w:color w:val="231F20"/>
          <w:spacing w:val="21"/>
        </w:rPr>
        <w:t> </w:t>
      </w:r>
      <w:r>
        <w:rPr>
          <w:color w:val="231F20"/>
        </w:rPr>
        <w:t>genoteerd</w:t>
      </w:r>
      <w:r>
        <w:rPr>
          <w:color w:val="231F20"/>
          <w:spacing w:val="21"/>
        </w:rPr>
        <w:t> </w:t>
      </w:r>
      <w:r>
        <w:rPr>
          <w:color w:val="231F20"/>
        </w:rPr>
        <w:t>is.</w:t>
      </w:r>
    </w:p>
    <w:p>
      <w:pPr>
        <w:pStyle w:val="BodyText"/>
        <w:spacing w:line="218" w:lineRule="auto" w:before="96"/>
      </w:pPr>
      <w:r>
        <w:rPr>
          <w:color w:val="231F20"/>
        </w:rPr>
        <w:t>Bij kapitaalverhoging door omzetting van reserves wordt het dubbel stemrecht vanaf de uitgifte verleend aan bonusaandelen die worden uitgegeven ten gunste van aandeelhouders voor oude aandelen waarvoor zij over dit recht beschikken.</w:t>
      </w:r>
    </w:p>
    <w:p>
      <w:pPr>
        <w:pStyle w:val="BodyText"/>
        <w:spacing w:line="218" w:lineRule="auto" w:before="97"/>
      </w:pPr>
      <w:r>
        <w:rPr>
          <w:color w:val="231F20"/>
        </w:rPr>
        <w:t>§ 2. Elk aandeel dat in een gedematerialiseerd aandeel wordt omgezet of waarvan de eigendom wordt overgedragen verliest het overeenkomstig</w:t>
      </w:r>
      <w:r>
        <w:rPr>
          <w:color w:val="231F20"/>
          <w:spacing w:val="16"/>
        </w:rPr>
        <w:t> </w:t>
      </w:r>
      <w:r>
        <w:rPr>
          <w:color w:val="231F20"/>
        </w:rPr>
        <w:t>paragraaf</w:t>
      </w:r>
      <w:r>
        <w:rPr>
          <w:color w:val="231F20"/>
          <w:spacing w:val="17"/>
        </w:rPr>
        <w:t> </w:t>
      </w:r>
      <w:r>
        <w:rPr>
          <w:color w:val="231F20"/>
        </w:rPr>
        <w:t>1</w:t>
      </w:r>
      <w:r>
        <w:rPr>
          <w:color w:val="231F20"/>
          <w:spacing w:val="17"/>
        </w:rPr>
        <w:t> </w:t>
      </w:r>
      <w:r>
        <w:rPr>
          <w:color w:val="231F20"/>
        </w:rPr>
        <w:t>toegekende</w:t>
      </w:r>
      <w:r>
        <w:rPr>
          <w:color w:val="231F20"/>
          <w:spacing w:val="17"/>
        </w:rPr>
        <w:t> </w:t>
      </w:r>
      <w:r>
        <w:rPr>
          <w:color w:val="231F20"/>
        </w:rPr>
        <w:t>dubbel</w:t>
      </w:r>
      <w:r>
        <w:rPr>
          <w:color w:val="231F20"/>
          <w:spacing w:val="17"/>
        </w:rPr>
        <w:t> </w:t>
      </w:r>
      <w:r>
        <w:rPr>
          <w:color w:val="231F20"/>
        </w:rPr>
        <w:t>stemrecht.</w:t>
      </w:r>
    </w:p>
    <w:p>
      <w:pPr>
        <w:pStyle w:val="BodyText"/>
        <w:spacing w:line="218" w:lineRule="auto" w:before="96"/>
        <w:ind w:right="123"/>
      </w:pPr>
      <w:r>
        <w:rPr>
          <w:color w:val="231F20"/>
        </w:rPr>
        <w:t>De overdracht van aandelen ten gevolge van erfopvolging, vereffe- ning van huwelijksvermogensstelsel of van overdracht, onder bezwa- rende titel of om niet, ten gunste van een erfgerechtigde heeft evenwel niet het verlies van dit stemrecht voor gevolg en onderbreekt evenmin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hanging="1"/>
      </w:pPr>
      <w:r>
        <w:rPr/>
        <w:pict>
          <v:line style="position:absolute;mso-position-horizontal-relative:page;mso-position-vertical-relative:page;z-index:4768" from="298.170502pt,64.473pt" to="298.170502pt,812.819pt" stroked="true" strokeweight=".533pt" strokecolor="#231f20">
            <v:stroke dashstyle="solid"/>
            <w10:wrap type="none"/>
          </v:line>
        </w:pict>
      </w:r>
      <w:bookmarkStart w:name="_bookmark156" w:id="161"/>
      <w:bookmarkEnd w:id="161"/>
      <w:r>
        <w:rPr/>
      </w:r>
      <w:r>
        <w:rPr>
          <w:color w:val="231F20"/>
        </w:rPr>
        <w:t>même en cas du transfert d’actions entre sociétés qui sont contrôlées par un même, ou s’il y a contrôle conjoint, par les mêmes actionnaires de contrôle, personnes physiques ou morales, ou entre l’une de ces sociétés et ces actionnaires de contrôle.</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ind w:right="38"/>
      </w:pPr>
      <w:r>
        <w:rPr>
          <w:color w:val="231F20"/>
        </w:rPr>
        <w:t>Si les actions sont détenues par une société, le changement de contrôle de celle-ci vaut transfert de ces actions, sauf si le changement de contrôle s’opère au bénéfice de l’époux ou d’un ou plusieurs successibles</w:t>
      </w:r>
      <w:r>
        <w:rPr>
          <w:color w:val="231F20"/>
          <w:spacing w:val="-7"/>
        </w:rPr>
        <w:t> </w:t>
      </w:r>
      <w:r>
        <w:rPr>
          <w:color w:val="231F20"/>
        </w:rPr>
        <w:t>de</w:t>
      </w:r>
      <w:r>
        <w:rPr>
          <w:color w:val="231F20"/>
          <w:spacing w:val="-7"/>
        </w:rPr>
        <w:t> </w:t>
      </w:r>
      <w:r>
        <w:rPr>
          <w:color w:val="231F20"/>
        </w:rPr>
        <w:t>l’actionnaire</w:t>
      </w:r>
      <w:r>
        <w:rPr>
          <w:color w:val="231F20"/>
          <w:spacing w:val="-7"/>
        </w:rPr>
        <w:t> </w:t>
      </w:r>
      <w:r>
        <w:rPr>
          <w:color w:val="231F20"/>
        </w:rPr>
        <w:t>ou</w:t>
      </w:r>
      <w:r>
        <w:rPr>
          <w:color w:val="231F20"/>
          <w:spacing w:val="-7"/>
        </w:rPr>
        <w:t> </w:t>
      </w:r>
      <w:r>
        <w:rPr>
          <w:color w:val="231F20"/>
        </w:rPr>
        <w:t>des</w:t>
      </w:r>
      <w:r>
        <w:rPr>
          <w:color w:val="231F20"/>
          <w:spacing w:val="-7"/>
        </w:rPr>
        <w:t> </w:t>
      </w:r>
      <w:r>
        <w:rPr>
          <w:color w:val="231F20"/>
        </w:rPr>
        <w:t>actionnaires</w:t>
      </w:r>
      <w:r>
        <w:rPr>
          <w:color w:val="231F20"/>
          <w:spacing w:val="-7"/>
        </w:rPr>
        <w:t> </w:t>
      </w:r>
      <w:r>
        <w:rPr>
          <w:color w:val="231F20"/>
        </w:rPr>
        <w:t>contrôlant</w:t>
      </w:r>
      <w:r>
        <w:rPr>
          <w:color w:val="231F20"/>
          <w:spacing w:val="-7"/>
        </w:rPr>
        <w:t> </w:t>
      </w:r>
      <w:r>
        <w:rPr>
          <w:color w:val="231F20"/>
        </w:rPr>
        <w:t>cette</w:t>
      </w:r>
      <w:r>
        <w:rPr>
          <w:color w:val="231F20"/>
          <w:spacing w:val="-7"/>
        </w:rPr>
        <w:t> </w:t>
      </w:r>
      <w:r>
        <w:rPr>
          <w:color w:val="231F20"/>
        </w:rPr>
        <w:t>société.</w:t>
      </w:r>
    </w:p>
    <w:p>
      <w:pPr>
        <w:pStyle w:val="BodyText"/>
        <w:spacing w:before="5"/>
        <w:ind w:left="0" w:right="0" w:firstLine="0"/>
        <w:jc w:val="left"/>
        <w:rPr>
          <w:sz w:val="23"/>
        </w:rPr>
      </w:pPr>
    </w:p>
    <w:p>
      <w:pPr>
        <w:pStyle w:val="BodyText"/>
        <w:spacing w:line="211" w:lineRule="auto"/>
        <w:ind w:right="38"/>
      </w:pPr>
      <w:r>
        <w:rPr>
          <w:color w:val="231F20"/>
        </w:rPr>
        <w:t>N’a pas davantage pour </w:t>
      </w:r>
      <w:r>
        <w:rPr>
          <w:color w:val="231F20"/>
          <w:spacing w:val="-3"/>
        </w:rPr>
        <w:t>effet </w:t>
      </w:r>
      <w:r>
        <w:rPr>
          <w:color w:val="231F20"/>
        </w:rPr>
        <w:t>la perte du droit de vote double visé au paragraphe 1</w:t>
      </w:r>
      <w:r>
        <w:rPr>
          <w:color w:val="231F20"/>
          <w:position w:val="7"/>
          <w:sz w:val="11"/>
        </w:rPr>
        <w:t>er </w:t>
      </w:r>
      <w:r>
        <w:rPr>
          <w:color w:val="231F20"/>
        </w:rPr>
        <w:t>et n’interrompt pas le délai visé au même paragraphe, le transfert d’actions à une personne morale contre l’émission de certifi- cats visés à l’article 7:61, § 1</w:t>
      </w:r>
      <w:r>
        <w:rPr>
          <w:color w:val="231F20"/>
          <w:position w:val="7"/>
          <w:sz w:val="11"/>
        </w:rPr>
        <w:t>er</w:t>
      </w:r>
      <w:r>
        <w:rPr>
          <w:color w:val="231F20"/>
        </w:rPr>
        <w:t>, alinéa 1</w:t>
      </w:r>
      <w:r>
        <w:rPr>
          <w:color w:val="231F20"/>
          <w:position w:val="7"/>
          <w:sz w:val="11"/>
        </w:rPr>
        <w:t>er</w:t>
      </w:r>
      <w:r>
        <w:rPr>
          <w:color w:val="231F20"/>
        </w:rPr>
        <w:t>, assortie de l’engagement de cette personne de réserver tout produit ou revenu au titulaire de ces certificats, ni l’échange de certificats contre des actions </w:t>
      </w:r>
      <w:r>
        <w:rPr>
          <w:color w:val="231F20"/>
          <w:spacing w:val="9"/>
        </w:rPr>
        <w:t>visé </w:t>
      </w:r>
      <w:r>
        <w:rPr>
          <w:color w:val="231F20"/>
        </w:rPr>
        <w:t>à l’arti-   cle 7:61, § 1</w:t>
      </w:r>
      <w:r>
        <w:rPr>
          <w:color w:val="231F20"/>
          <w:position w:val="7"/>
          <w:sz w:val="11"/>
        </w:rPr>
        <w:t>er</w:t>
      </w:r>
      <w:r>
        <w:rPr>
          <w:color w:val="231F20"/>
        </w:rPr>
        <w:t>, alinéa 6, ou § 2, alinéa 2, pour autant qu’il intervienne au profit de celui qui a procédé à la certification ou d’un de ses cessionnaires</w:t>
      </w:r>
      <w:r>
        <w:rPr>
          <w:color w:val="231F20"/>
          <w:spacing w:val="15"/>
        </w:rPr>
        <w:t> </w:t>
      </w:r>
      <w:r>
        <w:rPr>
          <w:color w:val="231F20"/>
        </w:rPr>
        <w:t>répondant</w:t>
      </w:r>
      <w:r>
        <w:rPr>
          <w:color w:val="231F20"/>
          <w:spacing w:val="15"/>
        </w:rPr>
        <w:t> </w:t>
      </w:r>
      <w:r>
        <w:rPr>
          <w:color w:val="231F20"/>
        </w:rPr>
        <w:t>aux</w:t>
      </w:r>
      <w:r>
        <w:rPr>
          <w:color w:val="231F20"/>
          <w:spacing w:val="16"/>
        </w:rPr>
        <w:t> </w:t>
      </w:r>
      <w:r>
        <w:rPr>
          <w:color w:val="231F20"/>
        </w:rPr>
        <w:t>conditions</w:t>
      </w:r>
      <w:r>
        <w:rPr>
          <w:color w:val="231F20"/>
          <w:spacing w:val="15"/>
        </w:rPr>
        <w:t> </w:t>
      </w:r>
      <w:r>
        <w:rPr>
          <w:color w:val="231F20"/>
        </w:rPr>
        <w:t>de</w:t>
      </w:r>
      <w:r>
        <w:rPr>
          <w:color w:val="231F20"/>
          <w:spacing w:val="16"/>
        </w:rPr>
        <w:t> </w:t>
      </w:r>
      <w:r>
        <w:rPr>
          <w:color w:val="231F20"/>
        </w:rPr>
        <w:t>l’alinéa 2</w:t>
      </w:r>
      <w:r>
        <w:rPr>
          <w:color w:val="231F20"/>
          <w:spacing w:val="15"/>
        </w:rPr>
        <w:t> </w:t>
      </w:r>
      <w:r>
        <w:rPr>
          <w:color w:val="231F20"/>
        </w:rPr>
        <w:t>ou</w:t>
      </w:r>
      <w:r>
        <w:rPr>
          <w:color w:val="231F20"/>
          <w:spacing w:val="16"/>
        </w:rPr>
        <w:t> </w:t>
      </w:r>
      <w:r>
        <w:rPr>
          <w:color w:val="231F20"/>
        </w:rPr>
        <w:t>3.</w:t>
      </w:r>
    </w:p>
    <w:p>
      <w:pPr>
        <w:pStyle w:val="BodyText"/>
        <w:ind w:left="0" w:right="0" w:firstLine="0"/>
        <w:jc w:val="left"/>
        <w:rPr>
          <w:sz w:val="20"/>
        </w:rPr>
      </w:pPr>
    </w:p>
    <w:p>
      <w:pPr>
        <w:pStyle w:val="BodyText"/>
        <w:spacing w:before="8"/>
        <w:ind w:left="0" w:right="0" w:firstLine="0"/>
        <w:jc w:val="left"/>
        <w:rPr>
          <w:sz w:val="18"/>
        </w:rPr>
      </w:pPr>
    </w:p>
    <w:p>
      <w:pPr>
        <w:pStyle w:val="BodyText"/>
        <w:spacing w:line="218" w:lineRule="auto"/>
        <w:ind w:right="38"/>
      </w:pPr>
      <w:r>
        <w:rPr>
          <w:color w:val="231F20"/>
        </w:rPr>
        <w:t>La fusion ou la scission de la société cotée est sans effet sur le droit de vote double qui peut continuer à être exercé au sein des sociétés bénéficiaires, si les statuts de celles-ci le prévoient.</w:t>
      </w:r>
    </w:p>
    <w:p>
      <w:pPr>
        <w:pStyle w:val="BodyText"/>
        <w:ind w:left="0" w:right="0" w:firstLine="0"/>
        <w:jc w:val="left"/>
        <w:rPr>
          <w:sz w:val="23"/>
        </w:rPr>
      </w:pPr>
    </w:p>
    <w:p>
      <w:pPr>
        <w:pStyle w:val="BodyText"/>
        <w:spacing w:line="218" w:lineRule="auto"/>
        <w:ind w:right="38"/>
      </w:pPr>
      <w:r>
        <w:rPr>
          <w:color w:val="231F20"/>
        </w:rPr>
        <w:t>§ 3. Les actions qui bénéficient du double droit de vote par application</w:t>
      </w:r>
      <w:r>
        <w:rPr>
          <w:color w:val="231F20"/>
          <w:spacing w:val="-4"/>
        </w:rPr>
        <w:t> </w:t>
      </w:r>
      <w:r>
        <w:rPr>
          <w:color w:val="231F20"/>
        </w:rPr>
        <w:t>du</w:t>
      </w:r>
      <w:r>
        <w:rPr>
          <w:color w:val="231F20"/>
          <w:spacing w:val="-3"/>
        </w:rPr>
        <w:t> </w:t>
      </w:r>
      <w:r>
        <w:rPr>
          <w:color w:val="231F20"/>
        </w:rPr>
        <w:t>présent</w:t>
      </w:r>
      <w:r>
        <w:rPr>
          <w:color w:val="231F20"/>
          <w:spacing w:val="-3"/>
        </w:rPr>
        <w:t> </w:t>
      </w:r>
      <w:r>
        <w:rPr>
          <w:color w:val="231F20"/>
        </w:rPr>
        <w:t>article,</w:t>
      </w:r>
      <w:r>
        <w:rPr>
          <w:color w:val="231F20"/>
          <w:spacing w:val="-3"/>
        </w:rPr>
        <w:t> </w:t>
      </w:r>
      <w:r>
        <w:rPr>
          <w:color w:val="231F20"/>
        </w:rPr>
        <w:t>ne</w:t>
      </w:r>
      <w:r>
        <w:rPr>
          <w:color w:val="231F20"/>
          <w:spacing w:val="-3"/>
        </w:rPr>
        <w:t> </w:t>
      </w:r>
      <w:r>
        <w:rPr>
          <w:color w:val="231F20"/>
        </w:rPr>
        <w:t>constituent</w:t>
      </w:r>
      <w:r>
        <w:rPr>
          <w:color w:val="231F20"/>
          <w:spacing w:val="-3"/>
        </w:rPr>
        <w:t> </w:t>
      </w:r>
      <w:r>
        <w:rPr>
          <w:color w:val="231F20"/>
        </w:rPr>
        <w:t>pas</w:t>
      </w:r>
      <w:r>
        <w:rPr>
          <w:color w:val="231F20"/>
          <w:spacing w:val="-3"/>
        </w:rPr>
        <w:t> </w:t>
      </w:r>
      <w:r>
        <w:rPr>
          <w:color w:val="231F20"/>
        </w:rPr>
        <w:t>une</w:t>
      </w:r>
      <w:r>
        <w:rPr>
          <w:color w:val="231F20"/>
          <w:spacing w:val="-3"/>
        </w:rPr>
        <w:t> </w:t>
      </w:r>
      <w:r>
        <w:rPr>
          <w:color w:val="231F20"/>
        </w:rPr>
        <w:t>classe</w:t>
      </w:r>
      <w:r>
        <w:rPr>
          <w:color w:val="231F20"/>
          <w:spacing w:val="-3"/>
        </w:rPr>
        <w:t> </w:t>
      </w:r>
      <w:r>
        <w:rPr>
          <w:color w:val="231F20"/>
        </w:rPr>
        <w:t>d’actions</w:t>
      </w:r>
      <w:r>
        <w:rPr>
          <w:color w:val="231F20"/>
          <w:spacing w:val="-3"/>
        </w:rPr>
        <w:t> </w:t>
      </w:r>
      <w:r>
        <w:rPr>
          <w:color w:val="231F20"/>
        </w:rPr>
        <w:t>au sens de l’article</w:t>
      </w:r>
      <w:r>
        <w:rPr>
          <w:color w:val="231F20"/>
          <w:spacing w:val="3"/>
        </w:rPr>
        <w:t> </w:t>
      </w:r>
      <w:r>
        <w:rPr>
          <w:color w:val="231F20"/>
        </w:rPr>
        <w:t>7:155.</w:t>
      </w:r>
    </w:p>
    <w:p>
      <w:pPr>
        <w:pStyle w:val="BodyText"/>
        <w:spacing w:line="218" w:lineRule="auto" w:before="86"/>
        <w:ind w:right="38"/>
      </w:pPr>
      <w:r>
        <w:rPr>
          <w:color w:val="231F20"/>
        </w:rPr>
        <w:t>§ 4. Une société non cotée dont les statuts prévoient, conformément  à l’article 7:52 un droit de vote multiple pour une ou plusieurs classes d’actions, peut instaurer un double droit de vote en vue de sa cotation, après avoir supprimé le droit de vote multiple en se conformant à l’article</w:t>
      </w:r>
      <w:r>
        <w:rPr>
          <w:color w:val="231F20"/>
          <w:spacing w:val="14"/>
        </w:rPr>
        <w:t> </w:t>
      </w:r>
      <w:r>
        <w:rPr>
          <w:color w:val="231F20"/>
        </w:rPr>
        <w:t>7:155.</w:t>
      </w:r>
    </w:p>
    <w:p>
      <w:pPr>
        <w:pStyle w:val="BodyText"/>
        <w:spacing w:line="218" w:lineRule="auto" w:before="86"/>
        <w:ind w:right="38"/>
      </w:pPr>
      <w:r>
        <w:rPr>
          <w:color w:val="231F20"/>
        </w:rPr>
        <w:t>Art. 7:54. L’exercice du droit de vote </w:t>
      </w:r>
      <w:r>
        <w:rPr>
          <w:color w:val="231F20"/>
          <w:spacing w:val="-3"/>
        </w:rPr>
        <w:t>afférent </w:t>
      </w:r>
      <w:r>
        <w:rPr>
          <w:color w:val="231F20"/>
        </w:rPr>
        <w:t>aux actions concernées est suspendu aussi longtemps que les versements régulièrement appelés</w:t>
      </w:r>
      <w:r>
        <w:rPr>
          <w:color w:val="231F20"/>
          <w:spacing w:val="14"/>
        </w:rPr>
        <w:t> </w:t>
      </w:r>
      <w:r>
        <w:rPr>
          <w:color w:val="231F20"/>
        </w:rPr>
        <w:t>et</w:t>
      </w:r>
      <w:r>
        <w:rPr>
          <w:color w:val="231F20"/>
          <w:spacing w:val="15"/>
        </w:rPr>
        <w:t> </w:t>
      </w:r>
      <w:r>
        <w:rPr>
          <w:color w:val="231F20"/>
        </w:rPr>
        <w:t>exigibles</w:t>
      </w:r>
      <w:r>
        <w:rPr>
          <w:color w:val="231F20"/>
          <w:spacing w:val="15"/>
        </w:rPr>
        <w:t> </w:t>
      </w:r>
      <w:r>
        <w:rPr>
          <w:color w:val="231F20"/>
        </w:rPr>
        <w:t>n’auront</w:t>
      </w:r>
      <w:r>
        <w:rPr>
          <w:color w:val="231F20"/>
          <w:spacing w:val="15"/>
        </w:rPr>
        <w:t> </w:t>
      </w:r>
      <w:r>
        <w:rPr>
          <w:color w:val="231F20"/>
        </w:rPr>
        <w:t>pas</w:t>
      </w:r>
      <w:r>
        <w:rPr>
          <w:color w:val="231F20"/>
          <w:spacing w:val="15"/>
        </w:rPr>
        <w:t> </w:t>
      </w:r>
      <w:r>
        <w:rPr>
          <w:color w:val="231F20"/>
        </w:rPr>
        <w:t>été</w:t>
      </w:r>
      <w:r>
        <w:rPr>
          <w:color w:val="231F20"/>
          <w:spacing w:val="15"/>
        </w:rPr>
        <w:t> </w:t>
      </w:r>
      <w:r>
        <w:rPr>
          <w:color w:val="231F20"/>
        </w:rPr>
        <w:t>effectués.</w:t>
      </w:r>
    </w:p>
    <w:p>
      <w:pPr>
        <w:pStyle w:val="BodyText"/>
        <w:spacing w:line="218" w:lineRule="auto" w:before="85"/>
        <w:ind w:right="38"/>
      </w:pPr>
      <w:r>
        <w:rPr>
          <w:color w:val="231F20"/>
        </w:rPr>
        <w:t>Art. 7:55. Les statuts peuvent limiter le nombre de voix dont chaque actionnaire</w:t>
      </w:r>
      <w:r>
        <w:rPr>
          <w:color w:val="231F20"/>
          <w:spacing w:val="-6"/>
        </w:rPr>
        <w:t> </w:t>
      </w:r>
      <w:r>
        <w:rPr>
          <w:color w:val="231F20"/>
        </w:rPr>
        <w:t>dispose</w:t>
      </w:r>
      <w:r>
        <w:rPr>
          <w:color w:val="231F20"/>
          <w:spacing w:val="-6"/>
        </w:rPr>
        <w:t> </w:t>
      </w:r>
      <w:r>
        <w:rPr>
          <w:color w:val="231F20"/>
        </w:rPr>
        <w:t>dans</w:t>
      </w:r>
      <w:r>
        <w:rPr>
          <w:color w:val="231F20"/>
          <w:spacing w:val="-5"/>
        </w:rPr>
        <w:t> </w:t>
      </w:r>
      <w:r>
        <w:rPr>
          <w:color w:val="231F20"/>
        </w:rPr>
        <w:t>les</w:t>
      </w:r>
      <w:r>
        <w:rPr>
          <w:color w:val="231F20"/>
          <w:spacing w:val="-6"/>
        </w:rPr>
        <w:t> </w:t>
      </w:r>
      <w:r>
        <w:rPr>
          <w:color w:val="231F20"/>
        </w:rPr>
        <w:t>assemblées,</w:t>
      </w:r>
      <w:r>
        <w:rPr>
          <w:color w:val="231F20"/>
          <w:spacing w:val="-6"/>
        </w:rPr>
        <w:t> </w:t>
      </w:r>
      <w:r>
        <w:rPr>
          <w:color w:val="231F20"/>
        </w:rPr>
        <w:t>à</w:t>
      </w:r>
      <w:r>
        <w:rPr>
          <w:color w:val="231F20"/>
          <w:spacing w:val="-5"/>
        </w:rPr>
        <w:t> </w:t>
      </w:r>
      <w:r>
        <w:rPr>
          <w:color w:val="231F20"/>
        </w:rPr>
        <w:t>condition</w:t>
      </w:r>
      <w:r>
        <w:rPr>
          <w:color w:val="231F20"/>
          <w:spacing w:val="-6"/>
        </w:rPr>
        <w:t> </w:t>
      </w:r>
      <w:r>
        <w:rPr>
          <w:color w:val="231F20"/>
        </w:rPr>
        <w:t>que</w:t>
      </w:r>
      <w:r>
        <w:rPr>
          <w:color w:val="231F20"/>
          <w:spacing w:val="-6"/>
        </w:rPr>
        <w:t> </w:t>
      </w:r>
      <w:r>
        <w:rPr>
          <w:color w:val="231F20"/>
        </w:rPr>
        <w:t>cette</w:t>
      </w:r>
      <w:r>
        <w:rPr>
          <w:color w:val="231F20"/>
          <w:spacing w:val="-5"/>
        </w:rPr>
        <w:t> </w:t>
      </w:r>
      <w:r>
        <w:rPr>
          <w:color w:val="231F20"/>
        </w:rPr>
        <w:t>limitation s’impose à tout actionnaire quels que soient les titres pour lesquels il prend part au</w:t>
      </w:r>
      <w:r>
        <w:rPr>
          <w:color w:val="231F20"/>
          <w:spacing w:val="4"/>
        </w:rPr>
        <w:t> </w:t>
      </w:r>
      <w:r>
        <w:rPr>
          <w:color w:val="231F20"/>
        </w:rPr>
        <w:t>vote.</w:t>
      </w:r>
    </w:p>
    <w:p>
      <w:pPr>
        <w:pStyle w:val="BodyText"/>
        <w:spacing w:before="8"/>
        <w:ind w:left="0" w:right="0" w:firstLine="0"/>
        <w:jc w:val="left"/>
        <w:rPr>
          <w:sz w:val="21"/>
        </w:rPr>
      </w:pPr>
    </w:p>
    <w:p>
      <w:pPr>
        <w:pStyle w:val="BodyText"/>
        <w:spacing w:line="218" w:lineRule="auto"/>
        <w:ind w:right="39"/>
      </w:pPr>
      <w:r>
        <w:rPr>
          <w:color w:val="231F20"/>
        </w:rPr>
        <w:t>Art. 7:56. § 1</w:t>
      </w:r>
      <w:r>
        <w:rPr>
          <w:color w:val="231F20"/>
          <w:position w:val="7"/>
          <w:sz w:val="11"/>
        </w:rPr>
        <w:t>er</w:t>
      </w:r>
      <w:r>
        <w:rPr>
          <w:color w:val="231F20"/>
        </w:rPr>
        <w:t>. L’exercice du droit de vote peut faire l’objet de conventions.</w:t>
      </w:r>
    </w:p>
    <w:p>
      <w:pPr>
        <w:pStyle w:val="BodyText"/>
        <w:spacing w:line="218" w:lineRule="auto" w:before="86"/>
        <w:ind w:right="38"/>
      </w:pPr>
      <w:r>
        <w:rPr>
          <w:color w:val="231F20"/>
        </w:rPr>
        <w:t>Ces conventions doivent être limitées dans le temps et ne peuvent être</w:t>
      </w:r>
      <w:r>
        <w:rPr>
          <w:color w:val="231F20"/>
          <w:spacing w:val="14"/>
        </w:rPr>
        <w:t> </w:t>
      </w:r>
      <w:r>
        <w:rPr>
          <w:color w:val="231F20"/>
        </w:rPr>
        <w:t>contraires</w:t>
      </w:r>
      <w:r>
        <w:rPr>
          <w:color w:val="231F20"/>
          <w:spacing w:val="14"/>
        </w:rPr>
        <w:t> </w:t>
      </w:r>
      <w:r>
        <w:rPr>
          <w:color w:val="231F20"/>
        </w:rPr>
        <w:t>à</w:t>
      </w:r>
      <w:r>
        <w:rPr>
          <w:color w:val="231F20"/>
          <w:spacing w:val="15"/>
        </w:rPr>
        <w:t> </w:t>
      </w:r>
      <w:r>
        <w:rPr>
          <w:color w:val="231F20"/>
        </w:rPr>
        <w:t>l’intérêt</w:t>
      </w:r>
      <w:r>
        <w:rPr>
          <w:color w:val="231F20"/>
          <w:spacing w:val="14"/>
        </w:rPr>
        <w:t> </w:t>
      </w:r>
      <w:r>
        <w:rPr>
          <w:color w:val="231F20"/>
        </w:rPr>
        <w:t>de</w:t>
      </w:r>
      <w:r>
        <w:rPr>
          <w:color w:val="231F20"/>
          <w:spacing w:val="15"/>
        </w:rPr>
        <w:t> </w:t>
      </w:r>
      <w:r>
        <w:rPr>
          <w:color w:val="231F20"/>
        </w:rPr>
        <w:t>la</w:t>
      </w:r>
      <w:r>
        <w:rPr>
          <w:color w:val="231F20"/>
          <w:spacing w:val="14"/>
        </w:rPr>
        <w:t> </w:t>
      </w:r>
      <w:r>
        <w:rPr>
          <w:color w:val="231F20"/>
        </w:rPr>
        <w:t>société.</w:t>
      </w:r>
    </w:p>
    <w:p>
      <w:pPr>
        <w:pStyle w:val="BodyText"/>
        <w:spacing w:before="82"/>
        <w:ind w:left="283" w:right="0" w:firstLine="0"/>
        <w:jc w:val="left"/>
      </w:pPr>
      <w:r>
        <w:rPr>
          <w:color w:val="231F20"/>
        </w:rPr>
        <w:t>Sont nulles:</w:t>
      </w:r>
    </w:p>
    <w:p>
      <w:pPr>
        <w:pStyle w:val="BodyText"/>
        <w:spacing w:line="218" w:lineRule="auto" w:before="92"/>
        <w:ind w:right="38"/>
      </w:pPr>
      <w:r>
        <w:rPr>
          <w:color w:val="231F20"/>
        </w:rPr>
        <w:t>1° les conventions qui ne sont pas limitées dans le temps ou qui sont contraires aux dispositions du présent code ou à l’intérêt de la société;</w:t>
      </w:r>
    </w:p>
    <w:p>
      <w:pPr>
        <w:pStyle w:val="BodyText"/>
        <w:spacing w:before="11"/>
        <w:ind w:left="0" w:right="0" w:firstLine="0"/>
        <w:jc w:val="left"/>
        <w:rPr>
          <w:sz w:val="23"/>
        </w:rPr>
      </w:pPr>
    </w:p>
    <w:p>
      <w:pPr>
        <w:pStyle w:val="BodyText"/>
        <w:spacing w:line="218" w:lineRule="auto"/>
        <w:ind w:right="38"/>
      </w:pPr>
      <w:r>
        <w:rPr>
          <w:color w:val="231F20"/>
        </w:rPr>
        <w:t>2° les conventions par lesquelles un actionnaire s’engage à voter conformément aux instructions de la société, d’une filiale ou de l’un de leurs organes ou s’engage, envers ces mêmes sociétés ou organes, à approuver les propositions émanant des organes de la société.</w:t>
      </w:r>
    </w:p>
    <w:p>
      <w:pPr>
        <w:pStyle w:val="BodyText"/>
        <w:ind w:left="0" w:right="0" w:firstLine="0"/>
        <w:jc w:val="left"/>
        <w:rPr>
          <w:sz w:val="20"/>
        </w:rPr>
      </w:pPr>
    </w:p>
    <w:p>
      <w:pPr>
        <w:pStyle w:val="BodyText"/>
        <w:spacing w:before="8"/>
        <w:ind w:left="0" w:right="0" w:firstLine="0"/>
        <w:jc w:val="left"/>
        <w:rPr>
          <w:sz w:val="19"/>
        </w:rPr>
      </w:pPr>
    </w:p>
    <w:p>
      <w:pPr>
        <w:pStyle w:val="BodyText"/>
        <w:spacing w:line="213" w:lineRule="auto"/>
        <w:ind w:right="38"/>
      </w:pPr>
      <w:r>
        <w:rPr>
          <w:color w:val="231F20"/>
        </w:rPr>
        <w:t>§ 2. Les votes émis en assemblée générale en vertu des conventions visées au paragraphe 1</w:t>
      </w:r>
      <w:r>
        <w:rPr>
          <w:color w:val="231F20"/>
          <w:position w:val="7"/>
          <w:sz w:val="11"/>
        </w:rPr>
        <w:t>er</w:t>
      </w:r>
      <w:r>
        <w:rPr>
          <w:color w:val="231F20"/>
        </w:rPr>
        <w:t>, alinéa 3, sont nuls. Ces votes entraînent la nullité des décisions prises à moins qu’ils n’aient eu aucune incidence sur la validité du vote intervenu.</w:t>
      </w:r>
    </w:p>
    <w:p>
      <w:pPr>
        <w:pStyle w:val="BodyText"/>
        <w:spacing w:before="5"/>
        <w:ind w:left="0" w:right="0" w:firstLine="0"/>
        <w:jc w:val="left"/>
        <w:rPr>
          <w:sz w:val="22"/>
        </w:rPr>
      </w:pPr>
    </w:p>
    <w:p>
      <w:pPr>
        <w:pStyle w:val="BodyText"/>
        <w:ind w:left="283" w:right="0" w:firstLine="0"/>
        <w:jc w:val="left"/>
      </w:pPr>
      <w:r>
        <w:rPr>
          <w:color w:val="231F20"/>
        </w:rPr>
        <w:t>Sous-section 2. Des actions sans droit de vote.</w:t>
      </w:r>
    </w:p>
    <w:p>
      <w:pPr>
        <w:pStyle w:val="BodyText"/>
        <w:spacing w:line="218" w:lineRule="auto" w:before="78"/>
        <w:ind w:right="38"/>
      </w:pPr>
      <w:r>
        <w:rPr>
          <w:color w:val="231F20"/>
        </w:rPr>
        <w:t>Art. 7:57. § 1</w:t>
      </w:r>
      <w:r>
        <w:rPr>
          <w:color w:val="231F20"/>
          <w:position w:val="7"/>
          <w:sz w:val="11"/>
        </w:rPr>
        <w:t>er</w:t>
      </w:r>
      <w:r>
        <w:rPr>
          <w:color w:val="231F20"/>
        </w:rPr>
        <w:t>. Nonobstant toute disposition contraire, les actions sans droit de vote donnent néanmoins droit à une voix par action dans les cas suivants:</w:t>
      </w:r>
    </w:p>
    <w:p>
      <w:pPr>
        <w:pStyle w:val="BodyText"/>
        <w:spacing w:before="82"/>
        <w:ind w:left="283" w:right="0" w:firstLine="0"/>
        <w:jc w:val="left"/>
      </w:pPr>
      <w:r>
        <w:rPr>
          <w:color w:val="231F20"/>
        </w:rPr>
        <w:t>1° dans le cas visé à l’article 7:155;</w:t>
      </w:r>
    </w:p>
    <w:p>
      <w:pPr>
        <w:pStyle w:val="BodyText"/>
        <w:spacing w:before="79"/>
        <w:ind w:left="283" w:right="0" w:firstLine="0"/>
        <w:jc w:val="left"/>
      </w:pPr>
      <w:r>
        <w:rPr>
          <w:color w:val="231F20"/>
        </w:rPr>
        <w:t>2° en cas de transformation de la société;</w:t>
      </w:r>
    </w:p>
    <w:p>
      <w:pPr>
        <w:pStyle w:val="BodyText"/>
        <w:spacing w:line="218" w:lineRule="auto" w:before="92"/>
        <w:ind w:right="38"/>
      </w:pPr>
      <w:r>
        <w:rPr>
          <w:color w:val="231F20"/>
        </w:rPr>
        <w:t>3° en cas de fusion transfrontalière entraînant la dissolution la société;</w:t>
      </w:r>
    </w:p>
    <w:p>
      <w:pPr>
        <w:pStyle w:val="BodyText"/>
        <w:spacing w:line="218" w:lineRule="auto" w:before="97"/>
        <w:ind w:right="38"/>
      </w:pPr>
      <w:r>
        <w:rPr>
          <w:color w:val="231F20"/>
        </w:rPr>
        <w:t>4° en cas de déplacement transfrontalier du siège statutaire confor- mément à l’article 14:15.</w:t>
      </w:r>
    </w:p>
    <w:p>
      <w:pPr>
        <w:pStyle w:val="BodyText"/>
        <w:spacing w:line="218" w:lineRule="auto" w:before="96"/>
        <w:ind w:right="38"/>
      </w:pPr>
      <w:r>
        <w:rPr>
          <w:color w:val="231F20"/>
        </w:rPr>
        <w:t>§ 2. En cas d’émission d’actions sans droit de vote auxquelles un dividende privilégié est attribué, ces actions bénéficient néanmoins d’un droit de vote, nonobstant toute disposition contraire dans les statuts,</w:t>
      </w:r>
      <w:r>
        <w:rPr>
          <w:color w:val="231F20"/>
          <w:spacing w:val="7"/>
        </w:rPr>
        <w:t> </w:t>
      </w:r>
      <w:r>
        <w:rPr>
          <w:color w:val="231F20"/>
        </w:rPr>
        <w:t>la</w:t>
      </w:r>
      <w:r>
        <w:rPr>
          <w:color w:val="231F20"/>
          <w:spacing w:val="7"/>
        </w:rPr>
        <w:t> </w:t>
      </w:r>
      <w:r>
        <w:rPr>
          <w:color w:val="231F20"/>
        </w:rPr>
        <w:t>décision</w:t>
      </w:r>
      <w:r>
        <w:rPr>
          <w:color w:val="231F20"/>
          <w:spacing w:val="7"/>
        </w:rPr>
        <w:t> </w:t>
      </w:r>
      <w:r>
        <w:rPr>
          <w:color w:val="231F20"/>
        </w:rPr>
        <w:t>d’émission</w:t>
      </w:r>
      <w:r>
        <w:rPr>
          <w:color w:val="231F20"/>
          <w:spacing w:val="7"/>
        </w:rPr>
        <w:t> </w:t>
      </w:r>
      <w:r>
        <w:rPr>
          <w:color w:val="231F20"/>
        </w:rPr>
        <w:t>ou</w:t>
      </w:r>
      <w:r>
        <w:rPr>
          <w:color w:val="231F20"/>
          <w:spacing w:val="7"/>
        </w:rPr>
        <w:t> </w:t>
      </w:r>
      <w:r>
        <w:rPr>
          <w:color w:val="231F20"/>
        </w:rPr>
        <w:t>une</w:t>
      </w:r>
      <w:r>
        <w:rPr>
          <w:color w:val="231F20"/>
          <w:spacing w:val="8"/>
        </w:rPr>
        <w:t> </w:t>
      </w:r>
      <w:r>
        <w:rPr>
          <w:color w:val="231F20"/>
        </w:rPr>
        <w:t>convention</w:t>
      </w:r>
      <w:r>
        <w:rPr>
          <w:color w:val="231F20"/>
          <w:spacing w:val="7"/>
        </w:rPr>
        <w:t> </w:t>
      </w:r>
      <w:r>
        <w:rPr>
          <w:color w:val="231F20"/>
        </w:rPr>
        <w:t>si</w:t>
      </w:r>
      <w:r>
        <w:rPr>
          <w:color w:val="231F20"/>
          <w:spacing w:val="7"/>
        </w:rPr>
        <w:t> </w:t>
      </w:r>
      <w:r>
        <w:rPr>
          <w:color w:val="231F20"/>
        </w:rPr>
        <w:t>les</w:t>
      </w:r>
      <w:r>
        <w:rPr>
          <w:color w:val="231F20"/>
          <w:spacing w:val="7"/>
        </w:rPr>
        <w:t> </w:t>
      </w:r>
      <w:r>
        <w:rPr>
          <w:color w:val="231F20"/>
        </w:rPr>
        <w:t>dividendes</w:t>
      </w:r>
    </w:p>
    <w:p>
      <w:pPr>
        <w:pStyle w:val="BodyText"/>
        <w:spacing w:line="218" w:lineRule="auto" w:before="119"/>
        <w:ind w:firstLine="0"/>
      </w:pPr>
      <w:r>
        <w:rPr/>
        <w:br w:type="column"/>
      </w:r>
      <w:r>
        <w:rPr>
          <w:color w:val="231F20"/>
        </w:rPr>
        <w:t>de in paragraaf 1 bedoelde termijn. Hetzelfde geldt in geval van overdracht van aandelen tussen vennootschappen die door dezelfde aandeelhouder, of ingeval van gezamenlijke controle, door dezelfde aandeelhouders, natuurlijke of rechtspersonen, zijn gecontroleerd, of tussen een van deze vennootschappen en deze controlerende aandeel- houders.</w:t>
      </w:r>
    </w:p>
    <w:p>
      <w:pPr>
        <w:pStyle w:val="BodyText"/>
        <w:spacing w:line="218" w:lineRule="auto" w:before="86"/>
      </w:pPr>
      <w:r>
        <w:rPr>
          <w:color w:val="231F20"/>
        </w:rPr>
        <w:t>Indien de aandelen worden aangehouden door een</w:t>
      </w:r>
      <w:r>
        <w:rPr>
          <w:color w:val="231F20"/>
          <w:spacing w:val="29"/>
        </w:rPr>
        <w:t> </w:t>
      </w:r>
      <w:r>
        <w:rPr>
          <w:color w:val="231F20"/>
        </w:rPr>
        <w:t>vennootschap, geldt de wijziging van de controle over deze vennootschap als een overdracht van die aandelen, tenzij de controlewijziging  plaatsvindt ten gunste van de echtgenoot of van één of meer erfgerechtigden van de controlerende aandeelhouder of</w:t>
      </w:r>
      <w:r>
        <w:rPr>
          <w:color w:val="231F20"/>
          <w:spacing w:val="5"/>
        </w:rPr>
        <w:t> </w:t>
      </w:r>
      <w:r>
        <w:rPr>
          <w:color w:val="231F20"/>
        </w:rPr>
        <w:t>aandeelhouders.</w:t>
      </w:r>
    </w:p>
    <w:p>
      <w:pPr>
        <w:pStyle w:val="BodyText"/>
        <w:spacing w:line="218" w:lineRule="auto" w:before="86"/>
      </w:pPr>
      <w:r>
        <w:rPr>
          <w:color w:val="231F20"/>
        </w:rPr>
        <w:t>Een overdracht van aandelen aan een rechtspersoon tegen uitgifte van certificaten als bedoeld in artikel 7:61, § 1, eerste lid, onder de verbintenis van die rechtspersoon om de opbrengst of de inkomsten voor te behouden aan de houder van deze certificaten, of ten gevolge van een omwisseling van certificaten tegen aandelen als bedoeld in artikel 7:61, § 1, zesde lid, of § 2, tweede lid, heeft evenmin het verlies van het in paragraaf 1 bedoelde dubbel stemrecht voor gevolg en onderbreekt de in paragraaf 1 bedoelde termijn niet, voor zover die overdracht gebeurt ten voordele van diegene die tot certificering overging of aan één van zijn overnemers die voldoet aan de voorwaar- den van het tweede of derde lid.</w:t>
      </w:r>
    </w:p>
    <w:p>
      <w:pPr>
        <w:pStyle w:val="BodyText"/>
        <w:spacing w:line="218" w:lineRule="auto" w:before="86"/>
      </w:pPr>
      <w:r>
        <w:rPr>
          <w:color w:val="231F20"/>
        </w:rPr>
        <w:t>De fusie of de splitsing van de genoteerde vennootschap blijft zonder gevolg op het dubbel stemrecht dat verder kan worden uitgeoefend in de verkrijgende vennootschappen, indien de statuten van deze ven- nootschappen daarin</w:t>
      </w:r>
      <w:r>
        <w:rPr>
          <w:color w:val="231F20"/>
          <w:spacing w:val="-11"/>
        </w:rPr>
        <w:t> </w:t>
      </w:r>
      <w:r>
        <w:rPr>
          <w:color w:val="231F20"/>
        </w:rPr>
        <w:t>voorzien.</w:t>
      </w:r>
    </w:p>
    <w:p>
      <w:pPr>
        <w:pStyle w:val="BodyText"/>
        <w:spacing w:line="218" w:lineRule="auto" w:before="86"/>
      </w:pPr>
      <w:r>
        <w:rPr>
          <w:color w:val="231F20"/>
        </w:rPr>
        <w:t>§ 3. Aandelen die met toepassing van deze bepaling van het dubbel stemrecht</w:t>
      </w:r>
      <w:r>
        <w:rPr>
          <w:color w:val="231F20"/>
          <w:spacing w:val="-6"/>
        </w:rPr>
        <w:t> </w:t>
      </w:r>
      <w:r>
        <w:rPr>
          <w:color w:val="231F20"/>
        </w:rPr>
        <w:t>genieten,</w:t>
      </w:r>
      <w:r>
        <w:rPr>
          <w:color w:val="231F20"/>
          <w:spacing w:val="-5"/>
        </w:rPr>
        <w:t> </w:t>
      </w:r>
      <w:r>
        <w:rPr>
          <w:color w:val="231F20"/>
        </w:rPr>
        <w:t>zijn</w:t>
      </w:r>
      <w:r>
        <w:rPr>
          <w:color w:val="231F20"/>
          <w:spacing w:val="-5"/>
        </w:rPr>
        <w:t> </w:t>
      </w:r>
      <w:r>
        <w:rPr>
          <w:color w:val="231F20"/>
        </w:rPr>
        <w:t>geen</w:t>
      </w:r>
      <w:r>
        <w:rPr>
          <w:color w:val="231F20"/>
          <w:spacing w:val="-6"/>
        </w:rPr>
        <w:t> </w:t>
      </w:r>
      <w:r>
        <w:rPr>
          <w:color w:val="231F20"/>
        </w:rPr>
        <w:t>soort</w:t>
      </w:r>
      <w:r>
        <w:rPr>
          <w:color w:val="231F20"/>
          <w:spacing w:val="-5"/>
        </w:rPr>
        <w:t> </w:t>
      </w:r>
      <w:r>
        <w:rPr>
          <w:color w:val="231F20"/>
        </w:rPr>
        <w:t>aandelen</w:t>
      </w:r>
      <w:r>
        <w:rPr>
          <w:color w:val="231F20"/>
          <w:spacing w:val="-5"/>
        </w:rPr>
        <w:t> </w:t>
      </w:r>
      <w:r>
        <w:rPr>
          <w:color w:val="231F20"/>
        </w:rPr>
        <w:t>als</w:t>
      </w:r>
      <w:r>
        <w:rPr>
          <w:color w:val="231F20"/>
          <w:spacing w:val="-5"/>
        </w:rPr>
        <w:t> </w:t>
      </w:r>
      <w:r>
        <w:rPr>
          <w:color w:val="231F20"/>
        </w:rPr>
        <w:t>bedoeld</w:t>
      </w:r>
      <w:r>
        <w:rPr>
          <w:color w:val="231F20"/>
          <w:spacing w:val="-6"/>
        </w:rPr>
        <w:t> </w:t>
      </w:r>
      <w:r>
        <w:rPr>
          <w:color w:val="231F20"/>
        </w:rPr>
        <w:t>in</w:t>
      </w:r>
      <w:r>
        <w:rPr>
          <w:color w:val="231F20"/>
          <w:spacing w:val="-5"/>
        </w:rPr>
        <w:t> </w:t>
      </w:r>
      <w:r>
        <w:rPr>
          <w:color w:val="231F20"/>
        </w:rPr>
        <w:t>artikel</w:t>
      </w:r>
      <w:r>
        <w:rPr>
          <w:color w:val="231F20"/>
          <w:spacing w:val="-5"/>
        </w:rPr>
        <w:t> </w:t>
      </w:r>
      <w:r>
        <w:rPr>
          <w:color w:val="231F20"/>
        </w:rPr>
        <w:t>7:155.</w:t>
      </w:r>
    </w:p>
    <w:p>
      <w:pPr>
        <w:pStyle w:val="BodyText"/>
        <w:ind w:left="0" w:right="0" w:firstLine="0"/>
        <w:jc w:val="left"/>
        <w:rPr>
          <w:sz w:val="23"/>
        </w:rPr>
      </w:pPr>
    </w:p>
    <w:p>
      <w:pPr>
        <w:pStyle w:val="BodyText"/>
        <w:spacing w:line="218" w:lineRule="auto"/>
      </w:pPr>
      <w:r>
        <w:rPr>
          <w:color w:val="231F20"/>
        </w:rPr>
        <w:t>§ 4. Een niet-genoteerde vennootschap waarvan de statuten overeen- komstig artikel 7:52 in een meervoudig stemrecht voor een of meer soorten aandelen voorzien, kan het dubbel stemrecht met het oog op de notering invoeren, na </w:t>
      </w:r>
      <w:r>
        <w:rPr>
          <w:color w:val="231F20"/>
          <w:spacing w:val="-3"/>
        </w:rPr>
        <w:t>opheffing </w:t>
      </w:r>
      <w:r>
        <w:rPr>
          <w:color w:val="231F20"/>
        </w:rPr>
        <w:t>van het meervoudig stemrecht</w:t>
      </w:r>
      <w:r>
        <w:rPr>
          <w:color w:val="231F20"/>
          <w:spacing w:val="31"/>
        </w:rPr>
        <w:t> </w:t>
      </w:r>
      <w:r>
        <w:rPr>
          <w:color w:val="231F20"/>
        </w:rPr>
        <w:t>door een</w:t>
      </w:r>
      <w:r>
        <w:rPr>
          <w:color w:val="231F20"/>
          <w:spacing w:val="15"/>
        </w:rPr>
        <w:t> </w:t>
      </w:r>
      <w:r>
        <w:rPr>
          <w:color w:val="231F20"/>
        </w:rPr>
        <w:t>statutenwijziging</w:t>
      </w:r>
      <w:r>
        <w:rPr>
          <w:color w:val="231F20"/>
          <w:spacing w:val="16"/>
        </w:rPr>
        <w:t> </w:t>
      </w:r>
      <w:r>
        <w:rPr>
          <w:color w:val="231F20"/>
        </w:rPr>
        <w:t>met</w:t>
      </w:r>
      <w:r>
        <w:rPr>
          <w:color w:val="231F20"/>
          <w:spacing w:val="16"/>
        </w:rPr>
        <w:t> </w:t>
      </w:r>
      <w:r>
        <w:rPr>
          <w:color w:val="231F20"/>
        </w:rPr>
        <w:t>inachtneming</w:t>
      </w:r>
      <w:r>
        <w:rPr>
          <w:color w:val="231F20"/>
          <w:spacing w:val="16"/>
        </w:rPr>
        <w:t> </w:t>
      </w:r>
      <w:r>
        <w:rPr>
          <w:color w:val="231F20"/>
        </w:rPr>
        <w:t>van</w:t>
      </w:r>
      <w:r>
        <w:rPr>
          <w:color w:val="231F20"/>
          <w:spacing w:val="15"/>
        </w:rPr>
        <w:t> </w:t>
      </w:r>
      <w:r>
        <w:rPr>
          <w:color w:val="231F20"/>
        </w:rPr>
        <w:t>artikel</w:t>
      </w:r>
      <w:r>
        <w:rPr>
          <w:color w:val="231F20"/>
          <w:spacing w:val="16"/>
        </w:rPr>
        <w:t> </w:t>
      </w:r>
      <w:r>
        <w:rPr>
          <w:color w:val="231F20"/>
        </w:rPr>
        <w:t>7:155.</w:t>
      </w:r>
    </w:p>
    <w:p>
      <w:pPr>
        <w:pStyle w:val="BodyText"/>
        <w:spacing w:line="218" w:lineRule="auto" w:before="86"/>
        <w:ind w:right="123"/>
      </w:pPr>
      <w:r>
        <w:rPr>
          <w:color w:val="231F20"/>
        </w:rPr>
        <w:t>Art. 7:54. Zolang de behoorlijk opgevraagde en opeisbare stortingen niet zijn gebeurd, wordt de uitoefening van het stemrecht verbonden aan de betrokken aandelen geschorst.</w:t>
      </w:r>
    </w:p>
    <w:p>
      <w:pPr>
        <w:pStyle w:val="BodyText"/>
        <w:spacing w:line="218" w:lineRule="auto" w:before="85"/>
      </w:pPr>
      <w:r>
        <w:rPr>
          <w:color w:val="231F20"/>
        </w:rPr>
        <w:t>Art. 7:55. De statuten kunnen het aantal stemmen waarover iedere aandeelhouder in de vergaderingen beschikt, beperken, op voorwaarde dat die beperking verplicht van toepassing is op iedere aandeelhouder zonder onderscheid van het effect waarmee hij aan de stemming deelneemt.</w:t>
      </w:r>
    </w:p>
    <w:p>
      <w:pPr>
        <w:pStyle w:val="BodyText"/>
        <w:spacing w:line="218" w:lineRule="auto" w:before="86"/>
      </w:pPr>
      <w:r>
        <w:rPr>
          <w:color w:val="231F20"/>
        </w:rPr>
        <w:t>Art. 7:56. § 1. Overeenkomsten kunnen de uitoefening van het stemrecht regelen.</w:t>
      </w:r>
    </w:p>
    <w:p>
      <w:pPr>
        <w:pStyle w:val="BodyText"/>
        <w:spacing w:line="218" w:lineRule="auto" w:before="85"/>
      </w:pPr>
      <w:r>
        <w:rPr>
          <w:color w:val="231F20"/>
        </w:rPr>
        <w:t>Deze overeenkomsten moeten in de tijd beperkt zijn en mogen niet strijdig zijn met het belang van de vennootschap.</w:t>
      </w:r>
    </w:p>
    <w:p>
      <w:pPr>
        <w:pStyle w:val="BodyText"/>
        <w:spacing w:before="82"/>
        <w:ind w:left="283" w:right="0" w:firstLine="0"/>
        <w:jc w:val="left"/>
      </w:pPr>
      <w:r>
        <w:rPr>
          <w:color w:val="231F20"/>
        </w:rPr>
        <w:t>Zijn nietig:</w:t>
      </w:r>
    </w:p>
    <w:p>
      <w:pPr>
        <w:pStyle w:val="BodyText"/>
        <w:spacing w:line="218" w:lineRule="auto" w:before="93"/>
      </w:pPr>
      <w:r>
        <w:rPr>
          <w:color w:val="231F20"/>
        </w:rPr>
        <w:t>1° overeenkomsten die niet in de tijd beperkt zijn of die strijdig zijn met de bepalingen van dit wetboek of met het belang van de vennootschap;</w:t>
      </w:r>
    </w:p>
    <w:p>
      <w:pPr>
        <w:pStyle w:val="BodyText"/>
        <w:spacing w:line="218" w:lineRule="auto" w:before="96"/>
      </w:pPr>
      <w:r>
        <w:rPr>
          <w:color w:val="231F20"/>
        </w:rPr>
        <w:t>2° overeenkomsten waarbij een aandeelhouder zich ertoe verbindt te stemmen overeenkomstig de richtlijnen van de vennootschap, van een dochtervennootschap of van een van de organen van die vennootschap- pen, of zich er ten aanzien van diezelfde vennootschappen of organen toe verbindt om de voorstellen van de organen van de vennootschap goed te keuren.</w:t>
      </w:r>
    </w:p>
    <w:p>
      <w:pPr>
        <w:pStyle w:val="BodyText"/>
        <w:spacing w:line="218" w:lineRule="auto" w:before="97"/>
      </w:pPr>
      <w:r>
        <w:rPr>
          <w:color w:val="231F20"/>
        </w:rPr>
        <w:t>§ 2. Stemmen uitgebracht tijdens een algemene vergadering op grond van overeenkomsten bedoeld in paragraaf 1, derde lid, zijn nietig. Die stemmen brengen de nietigheid mee van de genomen besluiten, tenzij zij geen enkele invloed hebben gehad op de geldigheid van de  gehouden</w:t>
      </w:r>
      <w:r>
        <w:rPr>
          <w:color w:val="231F20"/>
          <w:spacing w:val="15"/>
        </w:rPr>
        <w:t> </w:t>
      </w:r>
      <w:r>
        <w:rPr>
          <w:color w:val="231F20"/>
        </w:rPr>
        <w:t>stemming.</w:t>
      </w:r>
    </w:p>
    <w:p>
      <w:pPr>
        <w:pStyle w:val="BodyText"/>
        <w:spacing w:before="82"/>
        <w:ind w:left="283" w:right="0" w:firstLine="0"/>
        <w:jc w:val="left"/>
      </w:pPr>
      <w:r>
        <w:rPr>
          <w:color w:val="231F20"/>
        </w:rPr>
        <w:t>Onderafdeling 2. Aandelen zonder stemrecht.</w:t>
      </w:r>
    </w:p>
    <w:p>
      <w:pPr>
        <w:pStyle w:val="BodyText"/>
        <w:spacing w:line="218" w:lineRule="auto" w:before="93"/>
      </w:pPr>
      <w:r>
        <w:rPr>
          <w:color w:val="231F20"/>
        </w:rPr>
        <w:t>Art. 7:57. § 1. De aandelen zonder stemrecht geven toch recht op één stem per aandeel in volgende gevallen, niettegenstaande anderslui- dende bepaling:</w:t>
      </w:r>
    </w:p>
    <w:p>
      <w:pPr>
        <w:pStyle w:val="BodyText"/>
        <w:spacing w:line="338" w:lineRule="auto" w:before="82"/>
        <w:ind w:left="283" w:right="2377" w:hanging="1"/>
        <w:jc w:val="left"/>
      </w:pPr>
      <w:r>
        <w:rPr>
          <w:color w:val="231F20"/>
        </w:rPr>
        <w:t>1° het geval bedoeld in  artikel  7:155; 2°</w:t>
      </w:r>
      <w:r>
        <w:rPr>
          <w:color w:val="231F20"/>
          <w:spacing w:val="16"/>
        </w:rPr>
        <w:t> </w:t>
      </w:r>
      <w:r>
        <w:rPr>
          <w:color w:val="231F20"/>
        </w:rPr>
        <w:t>bij</w:t>
      </w:r>
      <w:r>
        <w:rPr>
          <w:color w:val="231F20"/>
          <w:spacing w:val="16"/>
        </w:rPr>
        <w:t> </w:t>
      </w:r>
      <w:r>
        <w:rPr>
          <w:color w:val="231F20"/>
        </w:rPr>
        <w:t>omzetting</w:t>
      </w:r>
      <w:r>
        <w:rPr>
          <w:color w:val="231F20"/>
          <w:spacing w:val="16"/>
        </w:rPr>
        <w:t> </w:t>
      </w:r>
      <w:r>
        <w:rPr>
          <w:color w:val="231F20"/>
        </w:rPr>
        <w:t>van</w:t>
      </w:r>
      <w:r>
        <w:rPr>
          <w:color w:val="231F20"/>
          <w:spacing w:val="16"/>
        </w:rPr>
        <w:t> </w:t>
      </w:r>
      <w:r>
        <w:rPr>
          <w:color w:val="231F20"/>
        </w:rPr>
        <w:t>de</w:t>
      </w:r>
      <w:r>
        <w:rPr>
          <w:color w:val="231F20"/>
          <w:spacing w:val="17"/>
        </w:rPr>
        <w:t> </w:t>
      </w:r>
      <w:r>
        <w:rPr>
          <w:color w:val="231F20"/>
        </w:rPr>
        <w:t>vennootschap;</w:t>
      </w:r>
    </w:p>
    <w:p>
      <w:pPr>
        <w:pStyle w:val="BodyText"/>
        <w:spacing w:line="218" w:lineRule="auto" w:before="13"/>
      </w:pPr>
      <w:r>
        <w:rPr>
          <w:color w:val="231F20"/>
        </w:rPr>
        <w:t>3° bij grensoverschrijdende fusie waarbij de vennootschap wordt ontbonden;</w:t>
      </w:r>
    </w:p>
    <w:p>
      <w:pPr>
        <w:pStyle w:val="BodyText"/>
        <w:spacing w:line="218" w:lineRule="auto" w:before="96"/>
      </w:pPr>
      <w:r>
        <w:rPr>
          <w:color w:val="231F20"/>
        </w:rPr>
        <w:t>4° bij grensoverschrijdende verplaatsing van de statutaire zetel overeenkomstig artikel 14:15.</w:t>
      </w:r>
    </w:p>
    <w:p>
      <w:pPr>
        <w:pStyle w:val="BodyText"/>
        <w:spacing w:line="218" w:lineRule="auto" w:before="96"/>
        <w:ind w:right="125"/>
      </w:pPr>
      <w:r>
        <w:rPr>
          <w:color w:val="231F20"/>
        </w:rPr>
        <w:t>§ 2. In geval van uitgifte van aandelen zonder stemrecht waaraan een preferent dividend is toegekend, hebben deze aandelen toch stemrecht niettegenstaande andersluidende statutaire bepaling, een emissiebe- sluit of een overeenkomst, indien de preferente dividenden gedurende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4792" from="298.170502pt,64.473pt" to="298.170502pt,812.819pt" stroked="true" strokeweight=".533pt" strokecolor="#231f20">
            <v:stroke dashstyle="solid"/>
            <w10:wrap type="none"/>
          </v:line>
        </w:pict>
      </w:r>
      <w:bookmarkStart w:name="_bookmark157" w:id="162"/>
      <w:bookmarkEnd w:id="162"/>
      <w:r>
        <w:rPr/>
      </w:r>
      <w:r>
        <w:rPr>
          <w:color w:val="231F20"/>
        </w:rPr>
        <w:t>privilégiés n’ont pas été entièrement mis en paiement durant deux exercices successifs. Le droit de vote cesse à nouveau lorsqu’il est distribué un dividende qui, additionné au dividende de l’exercice concerné, est équivalent au montant des dividendes privilégiés non distribués.</w:t>
      </w:r>
    </w:p>
    <w:p>
      <w:pPr>
        <w:pStyle w:val="BodyText"/>
        <w:spacing w:line="218" w:lineRule="auto" w:before="107"/>
        <w:ind w:right="38"/>
      </w:pPr>
      <w:r>
        <w:rPr>
          <w:color w:val="231F20"/>
        </w:rPr>
        <w:t>Lorsqu’elles n’ont pas toutes la même valeur représentative du capital, l’article 7:51, alinéa 2, est d’application.</w:t>
      </w:r>
    </w:p>
    <w:p>
      <w:pPr>
        <w:pStyle w:val="BodyText"/>
        <w:spacing w:before="7"/>
        <w:ind w:left="0" w:right="0" w:firstLine="0"/>
        <w:jc w:val="left"/>
        <w:rPr>
          <w:sz w:val="23"/>
        </w:rPr>
      </w:pPr>
    </w:p>
    <w:p>
      <w:pPr>
        <w:pStyle w:val="BodyText"/>
        <w:ind w:left="283" w:right="0" w:firstLine="0"/>
        <w:jc w:val="left"/>
      </w:pPr>
      <w:r>
        <w:rPr>
          <w:color w:val="231F20"/>
        </w:rPr>
        <w:t>Section 2. Des parts bénéficiaires.</w:t>
      </w:r>
    </w:p>
    <w:p>
      <w:pPr>
        <w:pStyle w:val="BodyText"/>
        <w:spacing w:line="218" w:lineRule="auto" w:before="103"/>
        <w:ind w:right="39"/>
      </w:pPr>
      <w:r>
        <w:rPr>
          <w:color w:val="231F20"/>
        </w:rPr>
        <w:t>Art. 7:58. Les parts bénéficiaires ne représentent pas le capital. Les statuts déterminent les droits qui y sont attachés.</w:t>
      </w:r>
    </w:p>
    <w:p>
      <w:pPr>
        <w:pStyle w:val="BodyText"/>
        <w:spacing w:line="218" w:lineRule="auto" w:before="107"/>
        <w:ind w:right="38"/>
      </w:pPr>
      <w:r>
        <w:rPr>
          <w:color w:val="231F20"/>
        </w:rPr>
        <w:t>Dans les sociétés cotées les parts bénéficiaires ne peuvent donner droit à plus d’une voix par titre.</w:t>
      </w:r>
    </w:p>
    <w:p>
      <w:pPr>
        <w:pStyle w:val="BodyText"/>
        <w:spacing w:before="93"/>
        <w:ind w:left="283" w:right="0" w:firstLine="0"/>
        <w:jc w:val="left"/>
      </w:pPr>
      <w:r>
        <w:rPr>
          <w:color w:val="231F20"/>
        </w:rPr>
        <w:t>L’article 7:49 est applicable par analogie.</w:t>
      </w:r>
    </w:p>
    <w:p>
      <w:pPr>
        <w:pStyle w:val="BodyText"/>
        <w:spacing w:line="218" w:lineRule="auto" w:before="103"/>
        <w:ind w:right="39"/>
      </w:pPr>
      <w:r>
        <w:rPr>
          <w:color w:val="231F20"/>
        </w:rPr>
        <w:t>Art. 7:59. Les statuts déterminent si, et dans quelle mesure, un droit de vote est accordé aux titulaires de parts bénéficiaires.</w:t>
      </w:r>
    </w:p>
    <w:p>
      <w:pPr>
        <w:pStyle w:val="BodyText"/>
        <w:spacing w:line="218" w:lineRule="auto" w:before="107"/>
        <w:ind w:right="39"/>
      </w:pPr>
      <w:r>
        <w:rPr>
          <w:color w:val="231F20"/>
        </w:rPr>
        <w:t>Ces titres ne peuvent se voir attribuer dans l’ensemble un nombre de voix supérieur à la moitié de celui attribué à l’ensemble des actions, ni être comptés dans le vote pour un nombre de voix supérieur aux deux tiers du nombre des voix émises par les actions.</w:t>
      </w:r>
    </w:p>
    <w:p>
      <w:pPr>
        <w:pStyle w:val="BodyText"/>
        <w:spacing w:before="10"/>
        <w:ind w:left="0" w:right="0" w:firstLine="0"/>
        <w:jc w:val="left"/>
        <w:rPr>
          <w:sz w:val="24"/>
        </w:rPr>
      </w:pPr>
    </w:p>
    <w:p>
      <w:pPr>
        <w:pStyle w:val="BodyText"/>
        <w:spacing w:line="218" w:lineRule="auto"/>
        <w:ind w:right="38"/>
      </w:pPr>
      <w:r>
        <w:rPr>
          <w:color w:val="231F20"/>
        </w:rPr>
        <w:t>Si les votes soumis à la limitation sont émis en sens différents, la réduction s’opère proportionnellement; il n’est pas tenu compte des fractions de voix.</w:t>
      </w:r>
    </w:p>
    <w:p>
      <w:pPr>
        <w:pStyle w:val="BodyText"/>
        <w:spacing w:line="218" w:lineRule="auto" w:before="107"/>
        <w:ind w:right="38"/>
      </w:pPr>
      <w:r>
        <w:rPr>
          <w:color w:val="231F20"/>
        </w:rPr>
        <w:t>Si un droit de vote est accordé aux titulaires de parts bénéficiaires,</w:t>
      </w:r>
      <w:r>
        <w:rPr>
          <w:color w:val="231F20"/>
          <w:spacing w:val="-12"/>
        </w:rPr>
        <w:t> </w:t>
      </w:r>
      <w:r>
        <w:rPr>
          <w:color w:val="231F20"/>
        </w:rPr>
        <w:t>les règles qui s’appliquent aux actionnaires en matière de convocation et de participation à l’assemblée générale ainsi qu’à d’exercice du droit de vote</w:t>
      </w:r>
      <w:r>
        <w:rPr>
          <w:color w:val="231F20"/>
          <w:spacing w:val="16"/>
        </w:rPr>
        <w:t> </w:t>
      </w:r>
      <w:r>
        <w:rPr>
          <w:color w:val="231F20"/>
        </w:rPr>
        <w:t>s’appliquent</w:t>
      </w:r>
      <w:r>
        <w:rPr>
          <w:color w:val="231F20"/>
          <w:spacing w:val="16"/>
        </w:rPr>
        <w:t> </w:t>
      </w:r>
      <w:r>
        <w:rPr>
          <w:color w:val="231F20"/>
        </w:rPr>
        <w:t>également</w:t>
      </w:r>
      <w:r>
        <w:rPr>
          <w:color w:val="231F20"/>
          <w:spacing w:val="16"/>
        </w:rPr>
        <w:t> </w:t>
      </w:r>
      <w:r>
        <w:rPr>
          <w:color w:val="231F20"/>
        </w:rPr>
        <w:t>aux</w:t>
      </w:r>
      <w:r>
        <w:rPr>
          <w:color w:val="231F20"/>
          <w:spacing w:val="16"/>
        </w:rPr>
        <w:t> </w:t>
      </w:r>
      <w:r>
        <w:rPr>
          <w:color w:val="231F20"/>
        </w:rPr>
        <w:t>titulaires</w:t>
      </w:r>
      <w:r>
        <w:rPr>
          <w:color w:val="231F20"/>
          <w:spacing w:val="16"/>
        </w:rPr>
        <w:t> </w:t>
      </w:r>
      <w:r>
        <w:rPr>
          <w:color w:val="231F20"/>
        </w:rPr>
        <w:t>de</w:t>
      </w:r>
      <w:r>
        <w:rPr>
          <w:color w:val="231F20"/>
          <w:spacing w:val="16"/>
        </w:rPr>
        <w:t> </w:t>
      </w:r>
      <w:r>
        <w:rPr>
          <w:color w:val="231F20"/>
        </w:rPr>
        <w:t>parts</w:t>
      </w:r>
      <w:r>
        <w:rPr>
          <w:color w:val="231F20"/>
          <w:spacing w:val="16"/>
        </w:rPr>
        <w:t> </w:t>
      </w:r>
      <w:r>
        <w:rPr>
          <w:color w:val="231F20"/>
        </w:rPr>
        <w:t>bénéficiaires.</w:t>
      </w:r>
    </w:p>
    <w:p>
      <w:pPr>
        <w:pStyle w:val="BodyText"/>
        <w:spacing w:before="93"/>
        <w:ind w:left="283" w:right="0" w:firstLine="0"/>
        <w:jc w:val="left"/>
      </w:pPr>
      <w:r>
        <w:rPr>
          <w:color w:val="231F20"/>
        </w:rPr>
        <w:t>Section 3. Des classes d’actions ou de parts bénéficiaires.</w:t>
      </w:r>
    </w:p>
    <w:p>
      <w:pPr>
        <w:pStyle w:val="BodyText"/>
        <w:spacing w:line="218" w:lineRule="auto" w:before="103"/>
        <w:ind w:right="38"/>
      </w:pPr>
      <w:r>
        <w:rPr>
          <w:color w:val="231F20"/>
        </w:rPr>
        <w:t>Art. 7:60. Lorsqu’il est attaché à une action ou part bénéficiaire ou à une série d’actions ou de parts bénéficiaires d’autres droits que ceux attribués à d’autres actions ou parts bénéficiaires émises par la même société, chacune de ces séries constitue une classe à l’égard des autres séries d’actions ou de parts bénéficiaires. Les actions et parts bénéfi- ciaires auxquelles un droit de vote différent est attachés et les actions sans droit de vote constituent toujours des classes distinctes.</w:t>
      </w:r>
    </w:p>
    <w:p>
      <w:pPr>
        <w:pStyle w:val="BodyText"/>
        <w:spacing w:before="104"/>
        <w:ind w:left="284" w:right="0" w:firstLine="0"/>
        <w:jc w:val="left"/>
      </w:pPr>
      <w:r>
        <w:rPr>
          <w:color w:val="231F20"/>
        </w:rPr>
        <w:t>Section 4. Des certificats.</w:t>
      </w:r>
    </w:p>
    <w:p>
      <w:pPr>
        <w:pStyle w:val="BodyText"/>
        <w:spacing w:line="218" w:lineRule="auto" w:before="99"/>
        <w:ind w:right="38" w:firstLine="171"/>
      </w:pPr>
      <w:r>
        <w:rPr>
          <w:color w:val="231F20"/>
        </w:rPr>
        <w:t>Art. 7:61. § 1</w:t>
      </w:r>
      <w:r>
        <w:rPr>
          <w:color w:val="231F20"/>
          <w:position w:val="7"/>
          <w:sz w:val="11"/>
        </w:rPr>
        <w:t>er</w:t>
      </w:r>
      <w:r>
        <w:rPr>
          <w:color w:val="231F20"/>
        </w:rPr>
        <w:t>. Des certificats se rapportant à des actions, parts bénéficiaires, obligations convertibles ou droits de souscription peuvent être émis, en collaboration ou non avec la société, par une personne morale qui conserve ou acquiert la propriété des titres auxquels se rapportent les certificats et s’engage à réserver tout produit ou revenu de ces titres au titulaire des certificats. Ces certificats peuvent revêtir la forme nominative ou la forme dématérialisée.</w:t>
      </w:r>
    </w:p>
    <w:p>
      <w:pPr>
        <w:pStyle w:val="BodyText"/>
        <w:spacing w:before="9"/>
        <w:ind w:left="0" w:right="0" w:firstLine="0"/>
        <w:jc w:val="left"/>
        <w:rPr>
          <w:sz w:val="25"/>
        </w:rPr>
      </w:pPr>
    </w:p>
    <w:p>
      <w:pPr>
        <w:pStyle w:val="BodyText"/>
        <w:spacing w:line="218" w:lineRule="auto"/>
        <w:ind w:right="39"/>
      </w:pPr>
      <w:r>
        <w:rPr>
          <w:color w:val="231F20"/>
        </w:rPr>
        <w:t>L’émetteur de certificats exerce tous les droits attachés aux titres auxquels ils se rapportent, en ce compris le droit de vote.</w:t>
      </w:r>
    </w:p>
    <w:p>
      <w:pPr>
        <w:pStyle w:val="BodyText"/>
        <w:spacing w:before="9"/>
        <w:ind w:left="0" w:right="0" w:firstLine="0"/>
        <w:jc w:val="left"/>
        <w:rPr>
          <w:sz w:val="25"/>
        </w:rPr>
      </w:pPr>
    </w:p>
    <w:p>
      <w:pPr>
        <w:pStyle w:val="BodyText"/>
        <w:spacing w:line="218" w:lineRule="auto"/>
        <w:ind w:right="38"/>
      </w:pPr>
      <w:r>
        <w:rPr>
          <w:color w:val="231F20"/>
        </w:rPr>
        <w:t>L’émetteur de certificats se rapportant à des titres nominatifs est</w:t>
      </w:r>
      <w:r>
        <w:rPr>
          <w:color w:val="231F20"/>
          <w:spacing w:val="-26"/>
        </w:rPr>
        <w:t> </w:t>
      </w:r>
      <w:r>
        <w:rPr>
          <w:color w:val="231F20"/>
        </w:rPr>
        <w:t>tenu de se faire connaître en cette </w:t>
      </w:r>
      <w:r>
        <w:rPr>
          <w:color w:val="231F20"/>
          <w:spacing w:val="3"/>
        </w:rPr>
        <w:t>qualité </w:t>
      </w:r>
      <w:r>
        <w:rPr>
          <w:color w:val="231F20"/>
        </w:rPr>
        <w:t>à la société qui a émis les titres certifiés. Cette dernière portera cette mention au registre concerné. L’émetteur de certificats se rapportant à des titres dématérialisés est tenu de faire connaître sa qualité d’émetteur à la société qui a émis les titres</w:t>
      </w:r>
      <w:r>
        <w:rPr>
          <w:color w:val="231F20"/>
          <w:spacing w:val="14"/>
        </w:rPr>
        <w:t> </w:t>
      </w:r>
      <w:r>
        <w:rPr>
          <w:color w:val="231F20"/>
        </w:rPr>
        <w:t>certifiés</w:t>
      </w:r>
      <w:r>
        <w:rPr>
          <w:color w:val="231F20"/>
          <w:spacing w:val="15"/>
        </w:rPr>
        <w:t> </w:t>
      </w:r>
      <w:r>
        <w:rPr>
          <w:color w:val="231F20"/>
        </w:rPr>
        <w:t>avant</w:t>
      </w:r>
      <w:r>
        <w:rPr>
          <w:color w:val="231F20"/>
          <w:spacing w:val="15"/>
        </w:rPr>
        <w:t> </w:t>
      </w:r>
      <w:r>
        <w:rPr>
          <w:color w:val="231F20"/>
        </w:rPr>
        <w:t>d’exercer</w:t>
      </w:r>
      <w:r>
        <w:rPr>
          <w:color w:val="231F20"/>
          <w:spacing w:val="15"/>
        </w:rPr>
        <w:t> </w:t>
      </w:r>
      <w:r>
        <w:rPr>
          <w:color w:val="231F20"/>
        </w:rPr>
        <w:t>son</w:t>
      </w:r>
      <w:r>
        <w:rPr>
          <w:color w:val="231F20"/>
          <w:spacing w:val="15"/>
        </w:rPr>
        <w:t> </w:t>
      </w:r>
      <w:r>
        <w:rPr>
          <w:color w:val="231F20"/>
        </w:rPr>
        <w:t>droit</w:t>
      </w:r>
      <w:r>
        <w:rPr>
          <w:color w:val="231F20"/>
          <w:spacing w:val="15"/>
        </w:rPr>
        <w:t> </w:t>
      </w:r>
      <w:r>
        <w:rPr>
          <w:color w:val="231F20"/>
        </w:rPr>
        <w:t>de</w:t>
      </w:r>
      <w:r>
        <w:rPr>
          <w:color w:val="231F20"/>
          <w:spacing w:val="15"/>
        </w:rPr>
        <w:t> </w:t>
      </w:r>
      <w:r>
        <w:rPr>
          <w:color w:val="231F20"/>
        </w:rPr>
        <w:t>vote.</w:t>
      </w:r>
    </w:p>
    <w:p>
      <w:pPr>
        <w:pStyle w:val="BodyText"/>
        <w:ind w:left="0" w:right="0" w:firstLine="0"/>
        <w:jc w:val="left"/>
        <w:rPr>
          <w:sz w:val="20"/>
        </w:rPr>
      </w:pPr>
    </w:p>
    <w:p>
      <w:pPr>
        <w:pStyle w:val="BodyText"/>
        <w:spacing w:before="4"/>
        <w:ind w:left="0" w:right="0" w:firstLine="0"/>
        <w:jc w:val="left"/>
        <w:rPr>
          <w:sz w:val="21"/>
        </w:rPr>
      </w:pPr>
    </w:p>
    <w:p>
      <w:pPr>
        <w:pStyle w:val="BodyText"/>
        <w:spacing w:line="218" w:lineRule="auto"/>
        <w:ind w:right="38"/>
      </w:pPr>
      <w:r>
        <w:rPr>
          <w:color w:val="231F20"/>
        </w:rPr>
        <w:t>L’émetteur de certificats se rapportant à des actions ou parts </w:t>
      </w:r>
      <w:r>
        <w:rPr>
          <w:color w:val="231F20"/>
          <w:spacing w:val="-3"/>
        </w:rPr>
        <w:t>bénéficiaires</w:t>
      </w:r>
      <w:r>
        <w:rPr>
          <w:color w:val="231F20"/>
          <w:spacing w:val="-14"/>
        </w:rPr>
        <w:t> </w:t>
      </w:r>
      <w:r>
        <w:rPr>
          <w:color w:val="231F20"/>
        </w:rPr>
        <w:t>met</w:t>
      </w:r>
      <w:r>
        <w:rPr>
          <w:color w:val="231F20"/>
          <w:spacing w:val="-14"/>
        </w:rPr>
        <w:t> </w:t>
      </w:r>
      <w:r>
        <w:rPr>
          <w:color w:val="231F20"/>
        </w:rPr>
        <w:t>en</w:t>
      </w:r>
      <w:r>
        <w:rPr>
          <w:color w:val="231F20"/>
          <w:spacing w:val="-14"/>
        </w:rPr>
        <w:t> </w:t>
      </w:r>
      <w:r>
        <w:rPr>
          <w:color w:val="231F20"/>
        </w:rPr>
        <w:t>paiement</w:t>
      </w:r>
      <w:r>
        <w:rPr>
          <w:color w:val="231F20"/>
          <w:spacing w:val="-14"/>
        </w:rPr>
        <w:t> </w:t>
      </w:r>
      <w:r>
        <w:rPr>
          <w:color w:val="231F20"/>
        </w:rPr>
        <w:t>immédiatement,</w:t>
      </w:r>
      <w:r>
        <w:rPr>
          <w:color w:val="231F20"/>
          <w:spacing w:val="-13"/>
        </w:rPr>
        <w:t> </w:t>
      </w:r>
      <w:r>
        <w:rPr>
          <w:color w:val="231F20"/>
        </w:rPr>
        <w:t>sauf</w:t>
      </w:r>
      <w:r>
        <w:rPr>
          <w:color w:val="231F20"/>
          <w:spacing w:val="-14"/>
        </w:rPr>
        <w:t> </w:t>
      </w:r>
      <w:r>
        <w:rPr>
          <w:color w:val="231F20"/>
        </w:rPr>
        <w:t>disposition</w:t>
      </w:r>
      <w:r>
        <w:rPr>
          <w:color w:val="231F20"/>
          <w:spacing w:val="-14"/>
        </w:rPr>
        <w:t> </w:t>
      </w:r>
      <w:r>
        <w:rPr>
          <w:color w:val="231F20"/>
          <w:spacing w:val="-3"/>
        </w:rPr>
        <w:t>contraire </w:t>
      </w:r>
      <w:r>
        <w:rPr>
          <w:color w:val="231F20"/>
        </w:rPr>
        <w:t>dans les conditions d’émission, sous déduction de ses frais éventuels, au titulaire des certificats les dividendes, l’éventuel produit du droit de souscription et le produit de liquidation éventuellement distribués par la</w:t>
      </w:r>
      <w:r>
        <w:rPr>
          <w:color w:val="231F20"/>
          <w:spacing w:val="13"/>
        </w:rPr>
        <w:t> </w:t>
      </w:r>
      <w:r>
        <w:rPr>
          <w:color w:val="231F20"/>
        </w:rPr>
        <w:t>société</w:t>
      </w:r>
      <w:r>
        <w:rPr>
          <w:color w:val="231F20"/>
          <w:spacing w:val="13"/>
        </w:rPr>
        <w:t> </w:t>
      </w:r>
      <w:r>
        <w:rPr>
          <w:color w:val="231F20"/>
        </w:rPr>
        <w:t>ainsi</w:t>
      </w:r>
      <w:r>
        <w:rPr>
          <w:color w:val="231F20"/>
          <w:spacing w:val="13"/>
        </w:rPr>
        <w:t> </w:t>
      </w:r>
      <w:r>
        <w:rPr>
          <w:color w:val="231F20"/>
        </w:rPr>
        <w:t>que</w:t>
      </w:r>
      <w:r>
        <w:rPr>
          <w:color w:val="231F20"/>
          <w:spacing w:val="13"/>
        </w:rPr>
        <w:t> </w:t>
      </w:r>
      <w:r>
        <w:rPr>
          <w:color w:val="231F20"/>
        </w:rPr>
        <w:t>toute</w:t>
      </w:r>
      <w:r>
        <w:rPr>
          <w:color w:val="231F20"/>
          <w:spacing w:val="13"/>
        </w:rPr>
        <w:t> </w:t>
      </w:r>
      <w:r>
        <w:rPr>
          <w:color w:val="231F20"/>
        </w:rPr>
        <w:t>somme</w:t>
      </w:r>
      <w:r>
        <w:rPr>
          <w:color w:val="231F20"/>
          <w:spacing w:val="13"/>
        </w:rPr>
        <w:t> </w:t>
      </w:r>
      <w:r>
        <w:rPr>
          <w:color w:val="231F20"/>
        </w:rPr>
        <w:t>provenant</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réduction</w:t>
      </w:r>
      <w:r>
        <w:rPr>
          <w:color w:val="231F20"/>
          <w:spacing w:val="13"/>
        </w:rPr>
        <w:t> </w:t>
      </w:r>
      <w:r>
        <w:rPr>
          <w:color w:val="231F20"/>
        </w:rPr>
        <w:t>du</w:t>
      </w:r>
      <w:r>
        <w:rPr>
          <w:color w:val="231F20"/>
          <w:spacing w:val="13"/>
        </w:rPr>
        <w:t> </w:t>
      </w:r>
      <w:r>
        <w:rPr>
          <w:color w:val="231F20"/>
        </w:rPr>
        <w:t>capital.</w:t>
      </w:r>
    </w:p>
    <w:p>
      <w:pPr>
        <w:pStyle w:val="BodyText"/>
        <w:spacing w:before="9"/>
        <w:ind w:left="0" w:right="0" w:firstLine="0"/>
        <w:jc w:val="left"/>
        <w:rPr>
          <w:sz w:val="25"/>
        </w:rPr>
      </w:pPr>
    </w:p>
    <w:p>
      <w:pPr>
        <w:pStyle w:val="BodyText"/>
        <w:spacing w:line="218" w:lineRule="auto" w:before="1"/>
        <w:ind w:right="38"/>
      </w:pPr>
      <w:r>
        <w:rPr>
          <w:color w:val="231F20"/>
        </w:rPr>
        <w:t>Aucune cession de titres auxquels se rapportent des certificats n’est admise si l’émetteur est une société cotée. Si l’émetteur de certificats est une société non cotée, il ne peut céder les titres auxquels se rapportent les certificats, sauf disposition contraire dans les conditions</w:t>
      </w:r>
      <w:r>
        <w:rPr>
          <w:color w:val="231F20"/>
          <w:spacing w:val="15"/>
        </w:rPr>
        <w:t> </w:t>
      </w:r>
      <w:r>
        <w:rPr>
          <w:color w:val="231F20"/>
        </w:rPr>
        <w:t>d’émission.</w:t>
      </w:r>
    </w:p>
    <w:p>
      <w:pPr>
        <w:pStyle w:val="BodyText"/>
        <w:ind w:left="0" w:right="0" w:firstLine="0"/>
        <w:jc w:val="left"/>
        <w:rPr>
          <w:sz w:val="20"/>
        </w:rPr>
      </w:pPr>
    </w:p>
    <w:p>
      <w:pPr>
        <w:pStyle w:val="BodyText"/>
        <w:spacing w:before="3"/>
        <w:ind w:left="0" w:right="0" w:firstLine="0"/>
        <w:jc w:val="left"/>
        <w:rPr>
          <w:sz w:val="21"/>
        </w:rPr>
      </w:pPr>
    </w:p>
    <w:p>
      <w:pPr>
        <w:pStyle w:val="BodyText"/>
        <w:spacing w:line="218" w:lineRule="auto"/>
        <w:ind w:right="38"/>
      </w:pPr>
      <w:r>
        <w:rPr>
          <w:color w:val="231F20"/>
        </w:rPr>
        <w:t>Les certificats sont échangeables en actions, parts bénéficiaires, obligations ou droits de souscription auxquels ils se rapportent. L’échange peut être exclue pour une durée déterminée ou indéterminée dans les conditions d’émission. Nonobstant toute disposition contraire, l’échange </w:t>
      </w:r>
      <w:r>
        <w:rPr>
          <w:color w:val="231F20"/>
          <w:spacing w:val="9"/>
        </w:rPr>
        <w:t> </w:t>
      </w:r>
      <w:r>
        <w:rPr>
          <w:color w:val="231F20"/>
        </w:rPr>
        <w:t>peut </w:t>
      </w:r>
      <w:r>
        <w:rPr>
          <w:color w:val="231F20"/>
          <w:spacing w:val="9"/>
        </w:rPr>
        <w:t> </w:t>
      </w:r>
      <w:r>
        <w:rPr>
          <w:color w:val="231F20"/>
        </w:rPr>
        <w:t>être </w:t>
      </w:r>
      <w:r>
        <w:rPr>
          <w:color w:val="231F20"/>
          <w:spacing w:val="10"/>
        </w:rPr>
        <w:t> </w:t>
      </w:r>
      <w:r>
        <w:rPr>
          <w:color w:val="231F20"/>
        </w:rPr>
        <w:t>obtenu </w:t>
      </w:r>
      <w:r>
        <w:rPr>
          <w:color w:val="231F20"/>
          <w:spacing w:val="9"/>
        </w:rPr>
        <w:t> </w:t>
      </w:r>
      <w:r>
        <w:rPr>
          <w:color w:val="231F20"/>
        </w:rPr>
        <w:t>à </w:t>
      </w:r>
      <w:r>
        <w:rPr>
          <w:color w:val="231F20"/>
          <w:spacing w:val="10"/>
        </w:rPr>
        <w:t> </w:t>
      </w:r>
      <w:r>
        <w:rPr>
          <w:color w:val="231F20"/>
        </w:rPr>
        <w:t>tout </w:t>
      </w:r>
      <w:r>
        <w:rPr>
          <w:color w:val="231F20"/>
          <w:spacing w:val="9"/>
        </w:rPr>
        <w:t> </w:t>
      </w:r>
      <w:r>
        <w:rPr>
          <w:color w:val="231F20"/>
        </w:rPr>
        <w:t>moment </w:t>
      </w:r>
      <w:r>
        <w:rPr>
          <w:color w:val="231F20"/>
          <w:spacing w:val="10"/>
        </w:rPr>
        <w:t> </w:t>
      </w:r>
      <w:r>
        <w:rPr>
          <w:color w:val="231F20"/>
        </w:rPr>
        <w:t>par </w:t>
      </w:r>
      <w:r>
        <w:rPr>
          <w:color w:val="231F20"/>
          <w:spacing w:val="9"/>
        </w:rPr>
        <w:t> </w:t>
      </w:r>
      <w:r>
        <w:rPr>
          <w:color w:val="231F20"/>
        </w:rPr>
        <w:t>chaque </w:t>
      </w:r>
      <w:r>
        <w:rPr>
          <w:color w:val="231F20"/>
          <w:spacing w:val="9"/>
        </w:rPr>
        <w:t> </w:t>
      </w:r>
      <w:r>
        <w:rPr>
          <w:color w:val="231F20"/>
        </w:rPr>
        <w:t>titulaire </w:t>
      </w:r>
      <w:r>
        <w:rPr>
          <w:color w:val="231F20"/>
          <w:spacing w:val="10"/>
        </w:rPr>
        <w:t> </w:t>
      </w:r>
      <w:r>
        <w:rPr>
          <w:color w:val="231F20"/>
        </w:rPr>
        <w:t>de</w:t>
      </w:r>
    </w:p>
    <w:p>
      <w:pPr>
        <w:pStyle w:val="BodyText"/>
        <w:spacing w:line="218" w:lineRule="auto" w:before="119"/>
        <w:ind w:firstLine="0"/>
      </w:pPr>
      <w:r>
        <w:rPr/>
        <w:br w:type="column"/>
      </w:r>
      <w:r>
        <w:rPr>
          <w:color w:val="231F20"/>
        </w:rPr>
        <w:t>twee opeenvolgende boekjaren niet volledig betaalbaar werden gesteld. Het stemrecht vervalt opnieuw wanneer een dividend wordt uitge- keerd dat, bovenop het dividend van het betrokken boekjaar, gelijk is aan het bedrag van de niet uitgekeerde preferente dividenden.</w:t>
      </w:r>
    </w:p>
    <w:p>
      <w:pPr>
        <w:pStyle w:val="BodyText"/>
        <w:spacing w:before="10"/>
        <w:ind w:left="0" w:right="0" w:firstLine="0"/>
        <w:jc w:val="left"/>
        <w:rPr>
          <w:sz w:val="24"/>
        </w:rPr>
      </w:pPr>
    </w:p>
    <w:p>
      <w:pPr>
        <w:pStyle w:val="BodyText"/>
        <w:spacing w:line="218" w:lineRule="auto" w:before="1"/>
      </w:pPr>
      <w:r>
        <w:rPr>
          <w:color w:val="231F20"/>
        </w:rPr>
        <w:t>In geval de aandelen zonder stemrecht een verschillende kapitaal- vertegenwoordigende waarde hebben, is artikel 7:51, tweede lid, van toepassing.</w:t>
      </w:r>
    </w:p>
    <w:p>
      <w:pPr>
        <w:pStyle w:val="BodyText"/>
        <w:spacing w:before="92"/>
        <w:ind w:left="283" w:right="0" w:firstLine="0"/>
        <w:jc w:val="left"/>
      </w:pPr>
      <w:r>
        <w:rPr>
          <w:color w:val="231F20"/>
        </w:rPr>
        <w:t>Afdeling 2. Winstbewijzen.</w:t>
      </w:r>
    </w:p>
    <w:p>
      <w:pPr>
        <w:pStyle w:val="BodyText"/>
        <w:spacing w:line="218" w:lineRule="auto" w:before="104"/>
      </w:pPr>
      <w:r>
        <w:rPr>
          <w:color w:val="231F20"/>
        </w:rPr>
        <w:t>Art. 7:58. Winstbewijzen vertegenwoordigen het kapitaal niet. De statuten bepalen de eraan verbonden rechten.</w:t>
      </w:r>
    </w:p>
    <w:p>
      <w:pPr>
        <w:pStyle w:val="BodyText"/>
        <w:spacing w:line="218" w:lineRule="auto" w:before="106"/>
        <w:ind w:right="123"/>
      </w:pPr>
      <w:r>
        <w:rPr>
          <w:color w:val="231F20"/>
        </w:rPr>
        <w:t>In genoteerde vennootschappen kunnen winstbewijzen geen recht geven op meer dan één stem per effect.</w:t>
      </w:r>
    </w:p>
    <w:p>
      <w:pPr>
        <w:pStyle w:val="BodyText"/>
        <w:spacing w:before="93"/>
        <w:ind w:left="283" w:right="0" w:firstLine="0"/>
        <w:jc w:val="left"/>
      </w:pPr>
      <w:r>
        <w:rPr>
          <w:color w:val="231F20"/>
        </w:rPr>
        <w:t>Artikel 7:49 is van overeenkomstige toepassing.</w:t>
      </w:r>
    </w:p>
    <w:p>
      <w:pPr>
        <w:pStyle w:val="BodyText"/>
        <w:spacing w:line="218" w:lineRule="auto" w:before="104"/>
      </w:pPr>
      <w:r>
        <w:rPr>
          <w:color w:val="231F20"/>
        </w:rPr>
        <w:t>Art. 7:59. De statuten bepalen of en in hoever stemrecht wordt toegekend aan de houders van winstbewijzen.</w:t>
      </w:r>
    </w:p>
    <w:p>
      <w:pPr>
        <w:pStyle w:val="BodyText"/>
        <w:spacing w:line="218" w:lineRule="auto" w:before="106"/>
      </w:pPr>
      <w:r>
        <w:rPr>
          <w:color w:val="231F20"/>
        </w:rPr>
        <w:t>In het geheel kunnen er niet meer stemmen aan worden toegekend dan de helft van het aantal dat is toegekend aan de gezamenlijke aandelen, en bij de stemming kunnen zij niet worden aangerekend voor meer dan twee derde van het aantal stemmen uitgebracht door de aandelen.</w:t>
      </w:r>
    </w:p>
    <w:p>
      <w:pPr>
        <w:pStyle w:val="BodyText"/>
        <w:spacing w:line="218" w:lineRule="auto" w:before="107"/>
      </w:pPr>
      <w:r>
        <w:rPr>
          <w:color w:val="231F20"/>
        </w:rPr>
        <w:t>Worden de aan de beperking onderworpen stemmen in verschillende zin uitgebracht, dan wordt de vermindering evenredig toegepast; gedeelten van stemmen worden verwaarloosd.</w:t>
      </w:r>
    </w:p>
    <w:p>
      <w:pPr>
        <w:pStyle w:val="BodyText"/>
        <w:spacing w:line="218" w:lineRule="auto" w:before="107"/>
      </w:pPr>
      <w:r>
        <w:rPr>
          <w:color w:val="231F20"/>
        </w:rPr>
        <w:t>Als aan de winstbewijshouders stemrecht is toegekend, zijn de regels inzake bijeenroeping, deelneming aan de algemene vergadering en uitoefening van het stemrecht die gelden voor aandeelhouders ook van toepassing op de winstbewijshouders.</w:t>
      </w:r>
    </w:p>
    <w:p>
      <w:pPr>
        <w:pStyle w:val="BodyText"/>
        <w:spacing w:before="93"/>
        <w:ind w:left="283" w:right="0" w:firstLine="0"/>
        <w:jc w:val="left"/>
      </w:pPr>
      <w:r>
        <w:rPr>
          <w:color w:val="231F20"/>
        </w:rPr>
        <w:t>Afdeling 3. Soorten van aandelen of winstbewijzen.</w:t>
      </w:r>
    </w:p>
    <w:p>
      <w:pPr>
        <w:pStyle w:val="BodyText"/>
        <w:spacing w:line="218" w:lineRule="auto" w:before="103"/>
      </w:pPr>
      <w:r>
        <w:rPr>
          <w:color w:val="231F20"/>
        </w:rPr>
        <w:t>Art. 7:60. Wanneer aan één of een reeks aandelen of winstbewijzen andere rechten zijn verbonden dan aan andere aandelen of winstbewij- zen uitgegeven door dezelfde vennootschap, dan maakt elk van dergelijke reeksen een soort uit ten opzichte van de andere reeksen van aandelen of winstbewijzen. Aandelen en winstbewijzen waaraan een verschillend stemrecht is verbonden, evenals aandelen zonder stem- recht, vormen steeds aparte soorten.</w:t>
      </w:r>
    </w:p>
    <w:p>
      <w:pPr>
        <w:pStyle w:val="BodyText"/>
        <w:spacing w:before="104"/>
        <w:ind w:left="283" w:right="0" w:firstLine="0"/>
        <w:jc w:val="left"/>
      </w:pPr>
      <w:r>
        <w:rPr>
          <w:color w:val="231F20"/>
        </w:rPr>
        <w:t>Afdeling 4. Certificaten.</w:t>
      </w:r>
    </w:p>
    <w:p>
      <w:pPr>
        <w:pStyle w:val="BodyText"/>
        <w:spacing w:line="218" w:lineRule="auto" w:before="114"/>
        <w:ind w:right="123"/>
      </w:pPr>
      <w:r>
        <w:rPr>
          <w:color w:val="231F20"/>
        </w:rPr>
        <w:t>Art. 7:61. § 1. Certificaten die betrekking hebben op aandelen, winstbewijzen, converteerbare obligaties of inschrijvingsrechten kun- nen, al dan niet met medewerking van de vennootschap, worden uitgegeven door een rechtspersoon die eigenaar blijft of wordt van de effecten waarop de certificaten betrekking hebben en zich ertoe verbindt de opbrengst van of de inkomsten uit die effecten voor</w:t>
      </w:r>
      <w:r>
        <w:rPr>
          <w:color w:val="231F20"/>
          <w:spacing w:val="33"/>
        </w:rPr>
        <w:t> </w:t>
      </w:r>
      <w:r>
        <w:rPr>
          <w:color w:val="231F20"/>
        </w:rPr>
        <w:t>te behouden aan de houder van de certificaten. Het kan hierbij gaan om certificaten</w:t>
      </w:r>
      <w:r>
        <w:rPr>
          <w:color w:val="231F20"/>
          <w:spacing w:val="14"/>
        </w:rPr>
        <w:t> </w:t>
      </w:r>
      <w:r>
        <w:rPr>
          <w:color w:val="231F20"/>
        </w:rPr>
        <w:t>op</w:t>
      </w:r>
      <w:r>
        <w:rPr>
          <w:color w:val="231F20"/>
          <w:spacing w:val="14"/>
        </w:rPr>
        <w:t> </w:t>
      </w:r>
      <w:r>
        <w:rPr>
          <w:color w:val="231F20"/>
        </w:rPr>
        <w:t>naam</w:t>
      </w:r>
      <w:r>
        <w:rPr>
          <w:color w:val="231F20"/>
          <w:spacing w:val="14"/>
        </w:rPr>
        <w:t> </w:t>
      </w:r>
      <w:r>
        <w:rPr>
          <w:color w:val="231F20"/>
        </w:rPr>
        <w:t>of</w:t>
      </w:r>
      <w:r>
        <w:rPr>
          <w:color w:val="231F20"/>
          <w:spacing w:val="14"/>
        </w:rPr>
        <w:t> </w:t>
      </w:r>
      <w:r>
        <w:rPr>
          <w:color w:val="231F20"/>
        </w:rPr>
        <w:t>om</w:t>
      </w:r>
      <w:r>
        <w:rPr>
          <w:color w:val="231F20"/>
          <w:spacing w:val="14"/>
        </w:rPr>
        <w:t> </w:t>
      </w:r>
      <w:r>
        <w:rPr>
          <w:color w:val="231F20"/>
        </w:rPr>
        <w:t>gedematerialiseerde</w:t>
      </w:r>
      <w:r>
        <w:rPr>
          <w:color w:val="231F20"/>
          <w:spacing w:val="14"/>
        </w:rPr>
        <w:t> </w:t>
      </w:r>
      <w:r>
        <w:rPr>
          <w:color w:val="231F20"/>
        </w:rPr>
        <w:t>certificaten.</w:t>
      </w:r>
    </w:p>
    <w:p>
      <w:pPr>
        <w:pStyle w:val="BodyText"/>
        <w:spacing w:line="218" w:lineRule="auto" w:before="118"/>
      </w:pPr>
      <w:r>
        <w:rPr>
          <w:color w:val="231F20"/>
        </w:rPr>
        <w:t>De emittent van de certificaten oefent alle rechten uit die zijn verbonden aan de effecten waarop zij betrekking hebben, daaronder begrepen het stemrecht.</w:t>
      </w:r>
    </w:p>
    <w:p>
      <w:pPr>
        <w:pStyle w:val="BodyText"/>
        <w:spacing w:line="218" w:lineRule="auto" w:before="118"/>
        <w:ind w:right="123"/>
      </w:pPr>
      <w:r>
        <w:rPr>
          <w:color w:val="231F20"/>
        </w:rPr>
        <w:t>De emittent van certificaten die betrekking hebben op effecten op naam moet zich aan de vennootschap die de gecertificeerde effecten heeft uitgegeven in die hoedanigheid bekendmaken. Deze vennoot- schap neemt die vermelding op in het betrokken register. De emittent van certificaten die betrekking hebben op gedematerialiseerde effecten moet aan de vennootschap die de gecertificeerde effecten heeft uitgegeven zijn hoedanigheid van emittent bekendmaken alvorens zijn stemrecht uit te oefenen.</w:t>
      </w:r>
    </w:p>
    <w:p>
      <w:pPr>
        <w:pStyle w:val="BodyText"/>
        <w:spacing w:line="218" w:lineRule="auto" w:before="118"/>
        <w:ind w:right="123"/>
      </w:pPr>
      <w:r>
        <w:rPr>
          <w:color w:val="231F20"/>
          <w:spacing w:val="-3"/>
        </w:rPr>
        <w:t>Tenzij </w:t>
      </w:r>
      <w:r>
        <w:rPr>
          <w:color w:val="231F20"/>
        </w:rPr>
        <w:t>in de uitgiftevoorwaarden anders is bepaald, stelt de emittent van certificaten die betrekking hebben op aandelen of winstbewijzen onmiddellijk en na aftrek van eventuele kosten, aan de houder</w:t>
      </w:r>
      <w:r>
        <w:rPr>
          <w:color w:val="231F20"/>
          <w:spacing w:val="24"/>
        </w:rPr>
        <w:t> </w:t>
      </w:r>
      <w:r>
        <w:rPr>
          <w:color w:val="231F20"/>
        </w:rPr>
        <w:t>van certificaten de dividenden betaalbaar, de eventuele opbrengst van het inschrijvingsrecht en het overschot na vereffening die eventueel door de vennootschap worden uitgekeerd, alsook alle bedragen die voort- komen</w:t>
      </w:r>
      <w:r>
        <w:rPr>
          <w:color w:val="231F20"/>
          <w:spacing w:val="16"/>
        </w:rPr>
        <w:t> </w:t>
      </w:r>
      <w:r>
        <w:rPr>
          <w:color w:val="231F20"/>
        </w:rPr>
        <w:t>uit</w:t>
      </w:r>
      <w:r>
        <w:rPr>
          <w:color w:val="231F20"/>
          <w:spacing w:val="16"/>
        </w:rPr>
        <w:t> </w:t>
      </w:r>
      <w:r>
        <w:rPr>
          <w:color w:val="231F20"/>
        </w:rPr>
        <w:t>de</w:t>
      </w:r>
      <w:r>
        <w:rPr>
          <w:color w:val="231F20"/>
          <w:spacing w:val="16"/>
        </w:rPr>
        <w:t> </w:t>
      </w:r>
      <w:r>
        <w:rPr>
          <w:color w:val="231F20"/>
        </w:rPr>
        <w:t>vermindering</w:t>
      </w:r>
      <w:r>
        <w:rPr>
          <w:color w:val="231F20"/>
          <w:spacing w:val="16"/>
        </w:rPr>
        <w:t> </w:t>
      </w:r>
      <w:r>
        <w:rPr>
          <w:color w:val="231F20"/>
        </w:rPr>
        <w:t>van</w:t>
      </w:r>
      <w:r>
        <w:rPr>
          <w:color w:val="231F20"/>
          <w:spacing w:val="16"/>
        </w:rPr>
        <w:t> </w:t>
      </w:r>
      <w:r>
        <w:rPr>
          <w:color w:val="231F20"/>
        </w:rPr>
        <w:t>het</w:t>
      </w:r>
      <w:r>
        <w:rPr>
          <w:color w:val="231F20"/>
          <w:spacing w:val="16"/>
        </w:rPr>
        <w:t> </w:t>
      </w:r>
      <w:r>
        <w:rPr>
          <w:color w:val="231F20"/>
        </w:rPr>
        <w:t>kapitaal.</w:t>
      </w:r>
    </w:p>
    <w:p>
      <w:pPr>
        <w:pStyle w:val="BodyText"/>
        <w:spacing w:line="218" w:lineRule="auto" w:before="118"/>
        <w:ind w:right="123"/>
      </w:pPr>
      <w:r>
        <w:rPr>
          <w:color w:val="231F20"/>
        </w:rPr>
        <w:t>Geen enkele overdracht van effecten waarop certificaten betrekking hebben,</w:t>
      </w:r>
      <w:r>
        <w:rPr>
          <w:color w:val="231F20"/>
          <w:spacing w:val="-5"/>
        </w:rPr>
        <w:t> </w:t>
      </w:r>
      <w:r>
        <w:rPr>
          <w:color w:val="231F20"/>
        </w:rPr>
        <w:t>is</w:t>
      </w:r>
      <w:r>
        <w:rPr>
          <w:color w:val="231F20"/>
          <w:spacing w:val="-5"/>
        </w:rPr>
        <w:t> </w:t>
      </w:r>
      <w:r>
        <w:rPr>
          <w:color w:val="231F20"/>
        </w:rPr>
        <w:t>toegestaan</w:t>
      </w:r>
      <w:r>
        <w:rPr>
          <w:color w:val="231F20"/>
          <w:spacing w:val="-5"/>
        </w:rPr>
        <w:t> </w:t>
      </w:r>
      <w:r>
        <w:rPr>
          <w:color w:val="231F20"/>
        </w:rPr>
        <w:t>indien</w:t>
      </w:r>
      <w:r>
        <w:rPr>
          <w:color w:val="231F20"/>
          <w:spacing w:val="-4"/>
        </w:rPr>
        <w:t> </w:t>
      </w:r>
      <w:r>
        <w:rPr>
          <w:color w:val="231F20"/>
        </w:rPr>
        <w:t>de</w:t>
      </w:r>
      <w:r>
        <w:rPr>
          <w:color w:val="231F20"/>
          <w:spacing w:val="-5"/>
        </w:rPr>
        <w:t> </w:t>
      </w:r>
      <w:r>
        <w:rPr>
          <w:color w:val="231F20"/>
        </w:rPr>
        <w:t>emittent</w:t>
      </w:r>
      <w:r>
        <w:rPr>
          <w:color w:val="231F20"/>
          <w:spacing w:val="-5"/>
        </w:rPr>
        <w:t> </w:t>
      </w:r>
      <w:r>
        <w:rPr>
          <w:color w:val="231F20"/>
        </w:rPr>
        <w:t>van</w:t>
      </w:r>
      <w:r>
        <w:rPr>
          <w:color w:val="231F20"/>
          <w:spacing w:val="-4"/>
        </w:rPr>
        <w:t> </w:t>
      </w:r>
      <w:r>
        <w:rPr>
          <w:color w:val="231F20"/>
        </w:rPr>
        <w:t>certificaten</w:t>
      </w:r>
      <w:r>
        <w:rPr>
          <w:color w:val="231F20"/>
          <w:spacing w:val="-5"/>
        </w:rPr>
        <w:t> </w:t>
      </w:r>
      <w:r>
        <w:rPr>
          <w:color w:val="231F20"/>
        </w:rPr>
        <w:t>een</w:t>
      </w:r>
      <w:r>
        <w:rPr>
          <w:color w:val="231F20"/>
          <w:spacing w:val="-5"/>
        </w:rPr>
        <w:t> </w:t>
      </w:r>
      <w:r>
        <w:rPr>
          <w:color w:val="231F20"/>
        </w:rPr>
        <w:t>genoteerde vennootschap</w:t>
      </w:r>
      <w:r>
        <w:rPr>
          <w:color w:val="231F20"/>
          <w:spacing w:val="-5"/>
        </w:rPr>
        <w:t> </w:t>
      </w:r>
      <w:r>
        <w:rPr>
          <w:color w:val="231F20"/>
        </w:rPr>
        <w:t>is.</w:t>
      </w:r>
      <w:r>
        <w:rPr>
          <w:color w:val="231F20"/>
          <w:spacing w:val="-4"/>
        </w:rPr>
        <w:t> </w:t>
      </w:r>
      <w:r>
        <w:rPr>
          <w:color w:val="231F20"/>
        </w:rPr>
        <w:t>Indien</w:t>
      </w:r>
      <w:r>
        <w:rPr>
          <w:color w:val="231F20"/>
          <w:spacing w:val="-5"/>
        </w:rPr>
        <w:t> </w:t>
      </w:r>
      <w:r>
        <w:rPr>
          <w:color w:val="231F20"/>
        </w:rPr>
        <w:t>de</w:t>
      </w:r>
      <w:r>
        <w:rPr>
          <w:color w:val="231F20"/>
          <w:spacing w:val="-4"/>
        </w:rPr>
        <w:t> </w:t>
      </w:r>
      <w:r>
        <w:rPr>
          <w:color w:val="231F20"/>
        </w:rPr>
        <w:t>emittent</w:t>
      </w:r>
      <w:r>
        <w:rPr>
          <w:color w:val="231F20"/>
          <w:spacing w:val="-4"/>
        </w:rPr>
        <w:t> </w:t>
      </w:r>
      <w:r>
        <w:rPr>
          <w:color w:val="231F20"/>
        </w:rPr>
        <w:t>van</w:t>
      </w:r>
      <w:r>
        <w:rPr>
          <w:color w:val="231F20"/>
          <w:spacing w:val="-5"/>
        </w:rPr>
        <w:t> </w:t>
      </w:r>
      <w:r>
        <w:rPr>
          <w:color w:val="231F20"/>
        </w:rPr>
        <w:t>certificaten</w:t>
      </w:r>
      <w:r>
        <w:rPr>
          <w:color w:val="231F20"/>
          <w:spacing w:val="-4"/>
        </w:rPr>
        <w:t> </w:t>
      </w:r>
      <w:r>
        <w:rPr>
          <w:color w:val="231F20"/>
        </w:rPr>
        <w:t>een</w:t>
      </w:r>
      <w:r>
        <w:rPr>
          <w:color w:val="231F20"/>
          <w:spacing w:val="-5"/>
        </w:rPr>
        <w:t> </w:t>
      </w:r>
      <w:r>
        <w:rPr>
          <w:color w:val="231F20"/>
        </w:rPr>
        <w:t>niet</w:t>
      </w:r>
      <w:r>
        <w:rPr>
          <w:color w:val="231F20"/>
          <w:spacing w:val="-4"/>
        </w:rPr>
        <w:t> </w:t>
      </w:r>
      <w:r>
        <w:rPr>
          <w:color w:val="231F20"/>
        </w:rPr>
        <w:t>genoteerde vennootschap is, kan hij de effecten waarop certificaten betrekking hebben evenmin overdragen, tenzij in de uitgiftevoorwaarden anders is bepaald.</w:t>
      </w:r>
    </w:p>
    <w:p>
      <w:pPr>
        <w:pStyle w:val="BodyText"/>
        <w:spacing w:line="218" w:lineRule="auto" w:before="117"/>
      </w:pPr>
      <w:r>
        <w:rPr>
          <w:color w:val="231F20"/>
        </w:rPr>
        <w:t>De certificaten kunnen worden omgewisseld tegen de aandelen, winstbewijzen, obligaties of inschrijvingsrechten waarop zij betrekking hebben. Deze omwisselbaarheid kan in de uitgiftevoorwaarden voor bepaalde of onbepaalde duur worden uitgesloten. Niettegenstaande andersluidende bepaling kan de houder van certificaten op ieder</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20"/>
        <w:ind w:right="10" w:hanging="1"/>
        <w:jc w:val="left"/>
      </w:pPr>
      <w:r>
        <w:rPr/>
        <w:pict>
          <v:line style="position:absolute;mso-position-horizontal-relative:page;mso-position-vertical-relative:page;z-index:4816" from="298.170502pt,64.473pt" to="298.170502pt,812.819pt" stroked="true" strokeweight=".533pt" strokecolor="#231f20">
            <v:stroke dashstyle="solid"/>
            <w10:wrap type="none"/>
          </v:line>
        </w:pict>
      </w:r>
      <w:bookmarkStart w:name="_bookmark158" w:id="163"/>
      <w:bookmarkEnd w:id="163"/>
      <w:r>
        <w:rPr/>
      </w:r>
      <w:r>
        <w:rPr>
          <w:color w:val="231F20"/>
        </w:rPr>
        <w:t>certificats en cas d’inexécution des obligations de l’émetteur à son égard ou lorsque ses intérêts sont gravement méconnus.</w:t>
      </w:r>
    </w:p>
    <w:p>
      <w:pPr>
        <w:pStyle w:val="BodyText"/>
        <w:ind w:left="0" w:right="0" w:firstLine="0"/>
        <w:jc w:val="left"/>
        <w:rPr>
          <w:sz w:val="23"/>
        </w:rPr>
      </w:pPr>
    </w:p>
    <w:p>
      <w:pPr>
        <w:pStyle w:val="BodyText"/>
        <w:spacing w:line="218" w:lineRule="auto"/>
        <w:ind w:right="38"/>
      </w:pPr>
      <w:r>
        <w:rPr>
          <w:color w:val="231F20"/>
        </w:rPr>
        <w:t>§ 2. En cas de faillite de l’émetteur de certificats ou de toute autre situation de concours, les certificats sont échangés de plein droit nonobstant toute disposition contraire et les titulaires de certificats exercent collectivement leur revendication sur l’universalité des titres certifiés de la même catégorie et classe émis par la même société, appartenant à l’émetteur de certificats.</w:t>
      </w:r>
    </w:p>
    <w:p>
      <w:pPr>
        <w:pStyle w:val="BodyText"/>
        <w:spacing w:before="8"/>
        <w:ind w:left="0" w:right="0" w:firstLine="0"/>
        <w:jc w:val="left"/>
        <w:rPr>
          <w:sz w:val="21"/>
        </w:rPr>
      </w:pPr>
    </w:p>
    <w:p>
      <w:pPr>
        <w:pStyle w:val="BodyText"/>
        <w:spacing w:line="218" w:lineRule="auto"/>
        <w:ind w:right="38"/>
      </w:pPr>
      <w:r>
        <w:rPr>
          <w:color w:val="231F20"/>
        </w:rPr>
        <w:t>Si, dans le cas </w:t>
      </w:r>
      <w:r>
        <w:rPr>
          <w:color w:val="231F20"/>
          <w:spacing w:val="7"/>
        </w:rPr>
        <w:t>visé </w:t>
      </w:r>
      <w:r>
        <w:rPr>
          <w:color w:val="231F20"/>
        </w:rPr>
        <w:t>à l’alinéa 1</w:t>
      </w:r>
      <w:r>
        <w:rPr>
          <w:color w:val="231F20"/>
          <w:position w:val="7"/>
          <w:sz w:val="11"/>
        </w:rPr>
        <w:t>er</w:t>
      </w:r>
      <w:r>
        <w:rPr>
          <w:color w:val="231F20"/>
        </w:rPr>
        <w:t>, cette universalité est insuffisante pour</w:t>
      </w:r>
      <w:r>
        <w:rPr>
          <w:color w:val="231F20"/>
          <w:spacing w:val="-4"/>
        </w:rPr>
        <w:t> </w:t>
      </w:r>
      <w:r>
        <w:rPr>
          <w:color w:val="231F20"/>
        </w:rPr>
        <w:t>assurer</w:t>
      </w:r>
      <w:r>
        <w:rPr>
          <w:color w:val="231F20"/>
          <w:spacing w:val="-4"/>
        </w:rPr>
        <w:t> </w:t>
      </w:r>
      <w:r>
        <w:rPr>
          <w:color w:val="231F20"/>
        </w:rPr>
        <w:t>la</w:t>
      </w:r>
      <w:r>
        <w:rPr>
          <w:color w:val="231F20"/>
          <w:spacing w:val="-4"/>
        </w:rPr>
        <w:t> </w:t>
      </w:r>
      <w:r>
        <w:rPr>
          <w:color w:val="231F20"/>
        </w:rPr>
        <w:t>restitution</w:t>
      </w:r>
      <w:r>
        <w:rPr>
          <w:color w:val="231F20"/>
          <w:spacing w:val="-3"/>
        </w:rPr>
        <w:t> </w:t>
      </w:r>
      <w:r>
        <w:rPr>
          <w:color w:val="231F20"/>
        </w:rPr>
        <w:t>intégrale</w:t>
      </w:r>
      <w:r>
        <w:rPr>
          <w:color w:val="231F20"/>
          <w:spacing w:val="-4"/>
        </w:rPr>
        <w:t> </w:t>
      </w:r>
      <w:r>
        <w:rPr>
          <w:color w:val="231F20"/>
        </w:rPr>
        <w:t>des</w:t>
      </w:r>
      <w:r>
        <w:rPr>
          <w:color w:val="231F20"/>
          <w:spacing w:val="-4"/>
        </w:rPr>
        <w:t> </w:t>
      </w:r>
      <w:r>
        <w:rPr>
          <w:color w:val="231F20"/>
        </w:rPr>
        <w:t>titres,</w:t>
      </w:r>
      <w:r>
        <w:rPr>
          <w:color w:val="231F20"/>
          <w:spacing w:val="-3"/>
        </w:rPr>
        <w:t> </w:t>
      </w:r>
      <w:r>
        <w:rPr>
          <w:color w:val="231F20"/>
        </w:rPr>
        <w:t>elle</w:t>
      </w:r>
      <w:r>
        <w:rPr>
          <w:color w:val="231F20"/>
          <w:spacing w:val="-4"/>
        </w:rPr>
        <w:t> </w:t>
      </w:r>
      <w:r>
        <w:rPr>
          <w:color w:val="231F20"/>
        </w:rPr>
        <w:t>sera</w:t>
      </w:r>
      <w:r>
        <w:rPr>
          <w:color w:val="231F20"/>
          <w:spacing w:val="-4"/>
        </w:rPr>
        <w:t> </w:t>
      </w:r>
      <w:r>
        <w:rPr>
          <w:color w:val="231F20"/>
        </w:rPr>
        <w:t>répartie</w:t>
      </w:r>
      <w:r>
        <w:rPr>
          <w:color w:val="231F20"/>
          <w:spacing w:val="-3"/>
        </w:rPr>
        <w:t> </w:t>
      </w:r>
      <w:r>
        <w:rPr>
          <w:color w:val="231F20"/>
        </w:rPr>
        <w:t>entre</w:t>
      </w:r>
      <w:r>
        <w:rPr>
          <w:color w:val="231F20"/>
          <w:spacing w:val="-4"/>
        </w:rPr>
        <w:t> </w:t>
      </w:r>
      <w:r>
        <w:rPr>
          <w:color w:val="231F20"/>
        </w:rPr>
        <w:t>les titulaires</w:t>
      </w:r>
      <w:r>
        <w:rPr>
          <w:color w:val="231F20"/>
          <w:spacing w:val="14"/>
        </w:rPr>
        <w:t> </w:t>
      </w:r>
      <w:r>
        <w:rPr>
          <w:color w:val="231F20"/>
        </w:rPr>
        <w:t>de</w:t>
      </w:r>
      <w:r>
        <w:rPr>
          <w:color w:val="231F20"/>
          <w:spacing w:val="14"/>
        </w:rPr>
        <w:t> </w:t>
      </w:r>
      <w:r>
        <w:rPr>
          <w:color w:val="231F20"/>
        </w:rPr>
        <w:t>certificats</w:t>
      </w:r>
      <w:r>
        <w:rPr>
          <w:color w:val="231F20"/>
          <w:spacing w:val="15"/>
        </w:rPr>
        <w:t> </w:t>
      </w:r>
      <w:r>
        <w:rPr>
          <w:color w:val="231F20"/>
        </w:rPr>
        <w:t>en</w:t>
      </w:r>
      <w:r>
        <w:rPr>
          <w:color w:val="231F20"/>
          <w:spacing w:val="14"/>
        </w:rPr>
        <w:t> </w:t>
      </w:r>
      <w:r>
        <w:rPr>
          <w:color w:val="231F20"/>
        </w:rPr>
        <w:t>proportion</w:t>
      </w:r>
      <w:r>
        <w:rPr>
          <w:color w:val="231F20"/>
          <w:spacing w:val="15"/>
        </w:rPr>
        <w:t> </w:t>
      </w:r>
      <w:r>
        <w:rPr>
          <w:color w:val="231F20"/>
        </w:rPr>
        <w:t>de</w:t>
      </w:r>
      <w:r>
        <w:rPr>
          <w:color w:val="231F20"/>
          <w:spacing w:val="14"/>
        </w:rPr>
        <w:t> </w:t>
      </w:r>
      <w:r>
        <w:rPr>
          <w:color w:val="231F20"/>
        </w:rPr>
        <w:t>leurs</w:t>
      </w:r>
      <w:r>
        <w:rPr>
          <w:color w:val="231F20"/>
          <w:spacing w:val="15"/>
        </w:rPr>
        <w:t> </w:t>
      </w:r>
      <w:r>
        <w:rPr>
          <w:color w:val="231F20"/>
        </w:rPr>
        <w:t>droits.</w:t>
      </w:r>
    </w:p>
    <w:p>
      <w:pPr>
        <w:pStyle w:val="BodyText"/>
        <w:spacing w:before="8"/>
        <w:ind w:left="0" w:right="0" w:firstLine="0"/>
        <w:jc w:val="left"/>
        <w:rPr>
          <w:sz w:val="21"/>
        </w:rPr>
      </w:pPr>
    </w:p>
    <w:p>
      <w:pPr>
        <w:pStyle w:val="BodyText"/>
        <w:ind w:left="283" w:right="0" w:firstLine="0"/>
        <w:jc w:val="left"/>
      </w:pPr>
      <w:r>
        <w:rPr>
          <w:color w:val="231F20"/>
        </w:rPr>
        <w:t>Section 5. Des obligations.</w:t>
      </w:r>
    </w:p>
    <w:p>
      <w:pPr>
        <w:pStyle w:val="BodyText"/>
        <w:spacing w:before="53"/>
        <w:ind w:left="283" w:right="0" w:firstLine="0"/>
        <w:jc w:val="left"/>
      </w:pPr>
      <w:r>
        <w:rPr>
          <w:color w:val="231F20"/>
        </w:rPr>
        <w:t>Sous-section 1</w:t>
      </w:r>
      <w:r>
        <w:rPr>
          <w:color w:val="231F20"/>
          <w:position w:val="7"/>
          <w:sz w:val="11"/>
        </w:rPr>
        <w:t>re </w:t>
      </w:r>
      <w:r>
        <w:rPr>
          <w:color w:val="231F20"/>
        </w:rPr>
        <w:t>. Dispositions générales.</w:t>
      </w:r>
    </w:p>
    <w:p>
      <w:pPr>
        <w:pStyle w:val="BodyText"/>
        <w:spacing w:line="218" w:lineRule="auto" w:before="82"/>
        <w:ind w:right="38"/>
      </w:pPr>
      <w:r>
        <w:rPr>
          <w:color w:val="231F20"/>
        </w:rPr>
        <w:t>Art. 7:62. La société anonyme peut contracter des emprunts sous la forme d’émission d’obligations, le cas échéant convertibles en actions, la conversion pouvant intervenir indifféremment, selon les conditions d’émission, soit à l’option de l’obligataire ou de la société, soit automatiquement,</w:t>
      </w:r>
      <w:r>
        <w:rPr>
          <w:color w:val="231F20"/>
          <w:spacing w:val="-5"/>
        </w:rPr>
        <w:t> </w:t>
      </w:r>
      <w:r>
        <w:rPr>
          <w:color w:val="231F20"/>
        </w:rPr>
        <w:t>le</w:t>
      </w:r>
      <w:r>
        <w:rPr>
          <w:color w:val="231F20"/>
          <w:spacing w:val="-5"/>
        </w:rPr>
        <w:t> </w:t>
      </w:r>
      <w:r>
        <w:rPr>
          <w:color w:val="231F20"/>
        </w:rPr>
        <w:t>cas</w:t>
      </w:r>
      <w:r>
        <w:rPr>
          <w:color w:val="231F20"/>
          <w:spacing w:val="-5"/>
        </w:rPr>
        <w:t> </w:t>
      </w:r>
      <w:r>
        <w:rPr>
          <w:color w:val="231F20"/>
        </w:rPr>
        <w:t>échéant,</w:t>
      </w:r>
      <w:r>
        <w:rPr>
          <w:color w:val="231F20"/>
          <w:spacing w:val="-5"/>
        </w:rPr>
        <w:t> </w:t>
      </w:r>
      <w:r>
        <w:rPr>
          <w:color w:val="231F20"/>
        </w:rPr>
        <w:t>à</w:t>
      </w:r>
      <w:r>
        <w:rPr>
          <w:color w:val="231F20"/>
          <w:spacing w:val="-4"/>
        </w:rPr>
        <w:t> </w:t>
      </w:r>
      <w:r>
        <w:rPr>
          <w:color w:val="231F20"/>
        </w:rPr>
        <w:t>certaines</w:t>
      </w:r>
      <w:r>
        <w:rPr>
          <w:color w:val="231F20"/>
          <w:spacing w:val="-5"/>
        </w:rPr>
        <w:t> </w:t>
      </w:r>
      <w:r>
        <w:rPr>
          <w:color w:val="231F20"/>
        </w:rPr>
        <w:t>conditions.</w:t>
      </w:r>
      <w:r>
        <w:rPr>
          <w:color w:val="231F20"/>
          <w:spacing w:val="-5"/>
        </w:rPr>
        <w:t> </w:t>
      </w:r>
      <w:r>
        <w:rPr>
          <w:color w:val="231F20"/>
        </w:rPr>
        <w:t>Les</w:t>
      </w:r>
      <w:r>
        <w:rPr>
          <w:color w:val="231F20"/>
          <w:spacing w:val="-5"/>
        </w:rPr>
        <w:t> </w:t>
      </w:r>
      <w:r>
        <w:rPr>
          <w:color w:val="231F20"/>
        </w:rPr>
        <w:t>obligations peuvent</w:t>
      </w:r>
      <w:r>
        <w:rPr>
          <w:color w:val="231F20"/>
          <w:spacing w:val="16"/>
        </w:rPr>
        <w:t> </w:t>
      </w:r>
      <w:r>
        <w:rPr>
          <w:color w:val="231F20"/>
        </w:rPr>
        <w:t>être</w:t>
      </w:r>
      <w:r>
        <w:rPr>
          <w:color w:val="231F20"/>
          <w:spacing w:val="17"/>
        </w:rPr>
        <w:t> </w:t>
      </w:r>
      <w:r>
        <w:rPr>
          <w:color w:val="231F20"/>
        </w:rPr>
        <w:t>émises</w:t>
      </w:r>
      <w:r>
        <w:rPr>
          <w:color w:val="231F20"/>
          <w:spacing w:val="16"/>
        </w:rPr>
        <w:t> </w:t>
      </w:r>
      <w:r>
        <w:rPr>
          <w:color w:val="231F20"/>
        </w:rPr>
        <w:t>pour</w:t>
      </w:r>
      <w:r>
        <w:rPr>
          <w:color w:val="231F20"/>
          <w:spacing w:val="17"/>
        </w:rPr>
        <w:t> </w:t>
      </w:r>
      <w:r>
        <w:rPr>
          <w:color w:val="231F20"/>
        </w:rPr>
        <w:t>une</w:t>
      </w:r>
      <w:r>
        <w:rPr>
          <w:color w:val="231F20"/>
          <w:spacing w:val="17"/>
        </w:rPr>
        <w:t> </w:t>
      </w:r>
      <w:r>
        <w:rPr>
          <w:color w:val="231F20"/>
        </w:rPr>
        <w:t>durée</w:t>
      </w:r>
      <w:r>
        <w:rPr>
          <w:color w:val="231F20"/>
          <w:spacing w:val="16"/>
        </w:rPr>
        <w:t> </w:t>
      </w:r>
      <w:r>
        <w:rPr>
          <w:color w:val="231F20"/>
        </w:rPr>
        <w:t>déterminée</w:t>
      </w:r>
      <w:r>
        <w:rPr>
          <w:color w:val="231F20"/>
          <w:spacing w:val="17"/>
        </w:rPr>
        <w:t> </w:t>
      </w:r>
      <w:r>
        <w:rPr>
          <w:color w:val="231F20"/>
        </w:rPr>
        <w:t>ou</w:t>
      </w:r>
      <w:r>
        <w:rPr>
          <w:color w:val="231F20"/>
          <w:spacing w:val="17"/>
        </w:rPr>
        <w:t> </w:t>
      </w:r>
      <w:r>
        <w:rPr>
          <w:color w:val="231F20"/>
        </w:rPr>
        <w:t>à</w:t>
      </w:r>
      <w:r>
        <w:rPr>
          <w:color w:val="231F20"/>
          <w:spacing w:val="16"/>
        </w:rPr>
        <w:t> </w:t>
      </w:r>
      <w:r>
        <w:rPr>
          <w:color w:val="231F20"/>
        </w:rPr>
        <w:t>titre</w:t>
      </w:r>
      <w:r>
        <w:rPr>
          <w:color w:val="231F20"/>
          <w:spacing w:val="17"/>
        </w:rPr>
        <w:t> </w:t>
      </w:r>
      <w:r>
        <w:rPr>
          <w:color w:val="231F20"/>
        </w:rPr>
        <w:t>perpétuel.</w:t>
      </w:r>
    </w:p>
    <w:p>
      <w:pPr>
        <w:pStyle w:val="BodyText"/>
        <w:spacing w:before="8"/>
        <w:ind w:left="0" w:right="0" w:firstLine="0"/>
        <w:jc w:val="left"/>
        <w:rPr>
          <w:sz w:val="21"/>
        </w:rPr>
      </w:pPr>
    </w:p>
    <w:p>
      <w:pPr>
        <w:pStyle w:val="BodyText"/>
        <w:spacing w:line="218" w:lineRule="auto"/>
        <w:ind w:right="38"/>
      </w:pPr>
      <w:r>
        <w:rPr>
          <w:color w:val="231F20"/>
        </w:rPr>
        <w:t>Art. 7:63. § 1</w:t>
      </w:r>
      <w:r>
        <w:rPr>
          <w:color w:val="231F20"/>
          <w:position w:val="7"/>
          <w:sz w:val="11"/>
        </w:rPr>
        <w:t>er</w:t>
      </w:r>
      <w:r>
        <w:rPr>
          <w:color w:val="231F20"/>
        </w:rPr>
        <w:t>. Les conditions d’émission ou l’assemblée générale des obligataires peuvent désigner un ou plusieurs représentants des obligataires faisant partie de la même émission ou du même pro- gramme d’émission. Dans les limites des articles 1984 à 2010 du Code civil, ces représentants peuvent engager tous les obligataires de cette émission ou de ce programme d’émission à l’égard de tiers. Ils peuvent notamment représenter les obligataires dans les procédures d’insolva- bilité, en cas de saisie ou dans tout autre cas de concours, dans lequel ils interviennent en leur nom mais pour le compte des obligataires,</w:t>
      </w:r>
      <w:r>
        <w:rPr>
          <w:color w:val="231F20"/>
          <w:spacing w:val="-5"/>
        </w:rPr>
        <w:t> </w:t>
      </w:r>
      <w:r>
        <w:rPr>
          <w:color w:val="231F20"/>
        </w:rPr>
        <w:t>sans divulguer l’identité de</w:t>
      </w:r>
      <w:r>
        <w:rPr>
          <w:color w:val="231F20"/>
          <w:spacing w:val="6"/>
        </w:rPr>
        <w:t> </w:t>
      </w:r>
      <w:r>
        <w:rPr>
          <w:color w:val="231F20"/>
        </w:rPr>
        <w:t>ceux-ci.</w:t>
      </w:r>
    </w:p>
    <w:p>
      <w:pPr>
        <w:pStyle w:val="BodyText"/>
        <w:ind w:left="0" w:right="0" w:firstLine="0"/>
        <w:jc w:val="left"/>
        <w:rPr>
          <w:sz w:val="24"/>
        </w:rPr>
      </w:pPr>
    </w:p>
    <w:p>
      <w:pPr>
        <w:pStyle w:val="BodyText"/>
        <w:spacing w:line="218" w:lineRule="auto"/>
        <w:ind w:right="38"/>
      </w:pPr>
      <w:r>
        <w:rPr>
          <w:color w:val="231F20"/>
        </w:rPr>
        <w:t>§ 2. Les conditions d’émission ou l’assemblée générale des obligatai- res peuvent prévoir en outre que ces représentants interviennent également en leur nom, mais pour le compte des obligataires, en tant que bénéficiaires de privilèges ou sûretés constitués en garantie de l’emprunt obligataire.</w:t>
      </w:r>
    </w:p>
    <w:p>
      <w:pPr>
        <w:pStyle w:val="BodyText"/>
        <w:spacing w:line="218" w:lineRule="auto" w:before="97"/>
        <w:ind w:right="38"/>
      </w:pPr>
      <w:r>
        <w:rPr>
          <w:color w:val="231F20"/>
        </w:rPr>
        <w:t>Les représentants peuvent exercer tous les pouvoirs des obligataires pour le compte desquels ils agissent. La représentation et les actes accomplis par les représentants peuvent être opposés aux tiers, y compris aux créanciers du représentant. </w:t>
      </w:r>
      <w:r>
        <w:rPr>
          <w:color w:val="231F20"/>
          <w:spacing w:val="-4"/>
        </w:rPr>
        <w:t>Tous </w:t>
      </w:r>
      <w:r>
        <w:rPr>
          <w:color w:val="231F20"/>
        </w:rPr>
        <w:t>les droits qui découlent de la représentation, y compris les sûretés, font partie du patrimoine des</w:t>
      </w:r>
      <w:r>
        <w:rPr>
          <w:color w:val="231F20"/>
          <w:spacing w:val="15"/>
        </w:rPr>
        <w:t> </w:t>
      </w:r>
      <w:r>
        <w:rPr>
          <w:color w:val="231F20"/>
        </w:rPr>
        <w:t>obligataires.</w:t>
      </w:r>
    </w:p>
    <w:p>
      <w:pPr>
        <w:pStyle w:val="BodyText"/>
        <w:spacing w:before="10"/>
        <w:ind w:left="0" w:right="0" w:firstLine="0"/>
        <w:jc w:val="left"/>
        <w:rPr>
          <w:sz w:val="23"/>
        </w:rPr>
      </w:pPr>
    </w:p>
    <w:p>
      <w:pPr>
        <w:pStyle w:val="BodyText"/>
        <w:spacing w:line="218" w:lineRule="auto" w:before="1"/>
        <w:ind w:right="38"/>
      </w:pPr>
      <w:r>
        <w:rPr>
          <w:color w:val="231F20"/>
        </w:rPr>
        <w:t>§ 3. La désignation et les pouvoirs du représentant sont définis dans les conditions d’émission ou par l’assemblée générale des obligataires, qui délibère et décide conformément à l’article 7:170. La preuve de son pouvoir peut être établie par la seule présentation du texte des conditions d’émission signé par un représentant de la société ou d’une copie du procès-verbal de l’assemblée générale, conformément à l’article 7:172.</w:t>
      </w:r>
    </w:p>
    <w:p>
      <w:pPr>
        <w:pStyle w:val="BodyText"/>
        <w:spacing w:before="11"/>
        <w:ind w:left="0" w:right="0" w:firstLine="0"/>
        <w:jc w:val="left"/>
        <w:rPr>
          <w:sz w:val="23"/>
        </w:rPr>
      </w:pPr>
    </w:p>
    <w:p>
      <w:pPr>
        <w:pStyle w:val="BodyText"/>
        <w:spacing w:line="218" w:lineRule="auto"/>
        <w:ind w:right="38"/>
      </w:pPr>
      <w:r>
        <w:rPr>
          <w:color w:val="231F20"/>
        </w:rPr>
        <w:t>L’assemblée générale des obligataires peut révoquer à tout moment le représentant, à condition qu’elle désigne en même temps un ou plusieurs nouveaux représentants. L’assemblée générale délibère et décide conformément à l’article</w:t>
      </w:r>
      <w:r>
        <w:rPr>
          <w:color w:val="231F20"/>
          <w:spacing w:val="17"/>
        </w:rPr>
        <w:t> </w:t>
      </w:r>
      <w:r>
        <w:rPr>
          <w:color w:val="231F20"/>
        </w:rPr>
        <w:t>7:170.</w:t>
      </w:r>
    </w:p>
    <w:p>
      <w:pPr>
        <w:pStyle w:val="BodyText"/>
        <w:spacing w:line="218" w:lineRule="auto" w:before="96"/>
        <w:ind w:right="38"/>
      </w:pPr>
      <w:r>
        <w:rPr>
          <w:color w:val="231F20"/>
        </w:rPr>
        <w:t>Le représentant exerce ses pouvoirs dans l’intérêt exclusif des obligataires et doit leur rendre compte selon les règles établies dans les conditions d’émission ou dans la décision de désignation.</w:t>
      </w:r>
    </w:p>
    <w:p>
      <w:pPr>
        <w:pStyle w:val="BodyText"/>
        <w:spacing w:before="10"/>
        <w:ind w:left="0" w:right="0" w:firstLine="0"/>
        <w:jc w:val="left"/>
        <w:rPr>
          <w:sz w:val="23"/>
        </w:rPr>
      </w:pPr>
    </w:p>
    <w:p>
      <w:pPr>
        <w:pStyle w:val="BodyText"/>
        <w:spacing w:line="218" w:lineRule="auto" w:before="1"/>
        <w:ind w:right="38"/>
      </w:pPr>
      <w:r>
        <w:rPr>
          <w:color w:val="231F20"/>
        </w:rPr>
        <w:t>Art.</w:t>
      </w:r>
      <w:r>
        <w:rPr>
          <w:color w:val="231F20"/>
          <w:spacing w:val="-5"/>
        </w:rPr>
        <w:t> </w:t>
      </w:r>
      <w:r>
        <w:rPr>
          <w:color w:val="231F20"/>
        </w:rPr>
        <w:t>7:64.</w:t>
      </w:r>
      <w:r>
        <w:rPr>
          <w:color w:val="231F20"/>
          <w:spacing w:val="-5"/>
        </w:rPr>
        <w:t> </w:t>
      </w:r>
      <w:r>
        <w:rPr>
          <w:color w:val="231F20"/>
        </w:rPr>
        <w:t>La</w:t>
      </w:r>
      <w:r>
        <w:rPr>
          <w:color w:val="231F20"/>
          <w:spacing w:val="-4"/>
        </w:rPr>
        <w:t> </w:t>
      </w:r>
      <w:r>
        <w:rPr>
          <w:color w:val="231F20"/>
        </w:rPr>
        <w:t>condition</w:t>
      </w:r>
      <w:r>
        <w:rPr>
          <w:color w:val="231F20"/>
          <w:spacing w:val="-5"/>
        </w:rPr>
        <w:t> </w:t>
      </w:r>
      <w:r>
        <w:rPr>
          <w:color w:val="231F20"/>
        </w:rPr>
        <w:t>résolutoire</w:t>
      </w:r>
      <w:r>
        <w:rPr>
          <w:color w:val="231F20"/>
          <w:spacing w:val="-4"/>
        </w:rPr>
        <w:t> </w:t>
      </w:r>
      <w:r>
        <w:rPr>
          <w:color w:val="231F20"/>
        </w:rPr>
        <w:t>est</w:t>
      </w:r>
      <w:r>
        <w:rPr>
          <w:color w:val="231F20"/>
          <w:spacing w:val="-5"/>
        </w:rPr>
        <w:t> </w:t>
      </w:r>
      <w:r>
        <w:rPr>
          <w:color w:val="231F20"/>
        </w:rPr>
        <w:t>toujours</w:t>
      </w:r>
      <w:r>
        <w:rPr>
          <w:color w:val="231F20"/>
          <w:spacing w:val="-4"/>
        </w:rPr>
        <w:t> </w:t>
      </w:r>
      <w:r>
        <w:rPr>
          <w:color w:val="231F20"/>
        </w:rPr>
        <w:t>sous-entendue,</w:t>
      </w:r>
      <w:r>
        <w:rPr>
          <w:color w:val="231F20"/>
          <w:spacing w:val="-5"/>
        </w:rPr>
        <w:t> </w:t>
      </w:r>
      <w:r>
        <w:rPr>
          <w:color w:val="231F20"/>
        </w:rPr>
        <w:t>dans</w:t>
      </w:r>
      <w:r>
        <w:rPr>
          <w:color w:val="231F20"/>
          <w:spacing w:val="-4"/>
        </w:rPr>
        <w:t> </w:t>
      </w:r>
      <w:r>
        <w:rPr>
          <w:color w:val="231F20"/>
        </w:rPr>
        <w:t>le contrat de prêt réalisé sous la forme d’émission d’obligations, pour le cas</w:t>
      </w:r>
      <w:r>
        <w:rPr>
          <w:color w:val="231F20"/>
          <w:spacing w:val="16"/>
        </w:rPr>
        <w:t> </w:t>
      </w:r>
      <w:r>
        <w:rPr>
          <w:color w:val="231F20"/>
        </w:rPr>
        <w:t>où</w:t>
      </w:r>
      <w:r>
        <w:rPr>
          <w:color w:val="231F20"/>
          <w:spacing w:val="17"/>
        </w:rPr>
        <w:t> </w:t>
      </w:r>
      <w:r>
        <w:rPr>
          <w:color w:val="231F20"/>
        </w:rPr>
        <w:t>l’une</w:t>
      </w:r>
      <w:r>
        <w:rPr>
          <w:color w:val="231F20"/>
          <w:spacing w:val="17"/>
        </w:rPr>
        <w:t> </w:t>
      </w:r>
      <w:r>
        <w:rPr>
          <w:color w:val="231F20"/>
        </w:rPr>
        <w:t>des</w:t>
      </w:r>
      <w:r>
        <w:rPr>
          <w:color w:val="231F20"/>
          <w:spacing w:val="17"/>
        </w:rPr>
        <w:t> </w:t>
      </w:r>
      <w:r>
        <w:rPr>
          <w:color w:val="231F20"/>
        </w:rPr>
        <w:t>deux</w:t>
      </w:r>
      <w:r>
        <w:rPr>
          <w:color w:val="231F20"/>
          <w:spacing w:val="17"/>
        </w:rPr>
        <w:t> </w:t>
      </w:r>
      <w:r>
        <w:rPr>
          <w:color w:val="231F20"/>
        </w:rPr>
        <w:t>parties</w:t>
      </w:r>
      <w:r>
        <w:rPr>
          <w:color w:val="231F20"/>
          <w:spacing w:val="17"/>
        </w:rPr>
        <w:t> </w:t>
      </w:r>
      <w:r>
        <w:rPr>
          <w:color w:val="231F20"/>
        </w:rPr>
        <w:t>ne</w:t>
      </w:r>
      <w:r>
        <w:rPr>
          <w:color w:val="231F20"/>
          <w:spacing w:val="17"/>
        </w:rPr>
        <w:t> </w:t>
      </w:r>
      <w:r>
        <w:rPr>
          <w:color w:val="231F20"/>
        </w:rPr>
        <w:t>satisferait</w:t>
      </w:r>
      <w:r>
        <w:rPr>
          <w:color w:val="231F20"/>
          <w:spacing w:val="17"/>
        </w:rPr>
        <w:t> </w:t>
      </w:r>
      <w:r>
        <w:rPr>
          <w:color w:val="231F20"/>
        </w:rPr>
        <w:t>point</w:t>
      </w:r>
      <w:r>
        <w:rPr>
          <w:color w:val="231F20"/>
          <w:spacing w:val="17"/>
        </w:rPr>
        <w:t> </w:t>
      </w:r>
      <w:r>
        <w:rPr>
          <w:color w:val="231F20"/>
        </w:rPr>
        <w:t>à</w:t>
      </w:r>
      <w:r>
        <w:rPr>
          <w:color w:val="231F20"/>
          <w:spacing w:val="17"/>
        </w:rPr>
        <w:t> </w:t>
      </w:r>
      <w:r>
        <w:rPr>
          <w:color w:val="231F20"/>
        </w:rPr>
        <w:t>son</w:t>
      </w:r>
      <w:r>
        <w:rPr>
          <w:color w:val="231F20"/>
          <w:spacing w:val="17"/>
        </w:rPr>
        <w:t> </w:t>
      </w:r>
      <w:r>
        <w:rPr>
          <w:color w:val="231F20"/>
        </w:rPr>
        <w:t>engagement.</w:t>
      </w:r>
    </w:p>
    <w:p>
      <w:pPr>
        <w:pStyle w:val="BodyText"/>
        <w:spacing w:before="10"/>
        <w:ind w:left="0" w:right="0" w:firstLine="0"/>
        <w:jc w:val="left"/>
        <w:rPr>
          <w:sz w:val="23"/>
        </w:rPr>
      </w:pPr>
    </w:p>
    <w:p>
      <w:pPr>
        <w:pStyle w:val="BodyText"/>
        <w:spacing w:line="218" w:lineRule="auto"/>
        <w:ind w:right="38"/>
      </w:pPr>
      <w:r>
        <w:rPr>
          <w:color w:val="231F20"/>
        </w:rPr>
        <w:t>Dans ce cas, le contrat n’est point résolu de plein droit. La partie envers laquelle l’engagement n’a point été exécuté a le choix de forcer l’autre à l’exécution de la convention lorsqu’elle est possible, ou d’en demander la résolution avec dommages-intérêts.</w:t>
      </w:r>
    </w:p>
    <w:p>
      <w:pPr>
        <w:pStyle w:val="BodyText"/>
        <w:ind w:left="0" w:right="0" w:firstLine="0"/>
        <w:jc w:val="left"/>
        <w:rPr>
          <w:sz w:val="24"/>
        </w:rPr>
      </w:pPr>
    </w:p>
    <w:p>
      <w:pPr>
        <w:pStyle w:val="BodyText"/>
        <w:spacing w:line="218" w:lineRule="auto"/>
        <w:ind w:right="38"/>
      </w:pPr>
      <w:r>
        <w:rPr>
          <w:color w:val="231F20"/>
        </w:rPr>
        <w:t>La résolution doit être demandée en justice, et il peut être accordé au défendeur un délai selon les circonstances.</w:t>
      </w:r>
    </w:p>
    <w:p>
      <w:pPr>
        <w:pStyle w:val="BodyText"/>
        <w:spacing w:before="8"/>
        <w:ind w:left="0" w:right="0" w:firstLine="0"/>
        <w:jc w:val="left"/>
        <w:rPr>
          <w:sz w:val="22"/>
        </w:rPr>
      </w:pPr>
    </w:p>
    <w:p>
      <w:pPr>
        <w:pStyle w:val="BodyText"/>
        <w:ind w:left="284" w:right="0" w:firstLine="0"/>
        <w:jc w:val="left"/>
      </w:pPr>
      <w:r>
        <w:rPr>
          <w:color w:val="231F20"/>
        </w:rPr>
        <w:t>Sous-section 2. Des obligations convertibles.</w:t>
      </w:r>
    </w:p>
    <w:p>
      <w:pPr>
        <w:pStyle w:val="BodyText"/>
        <w:spacing w:line="218" w:lineRule="auto" w:before="92"/>
        <w:ind w:right="38"/>
      </w:pPr>
      <w:r>
        <w:rPr>
          <w:color w:val="231F20"/>
        </w:rPr>
        <w:t>Art. 7:65. Les obligations convertibles doivent être entièrement libérées.</w:t>
      </w:r>
    </w:p>
    <w:p>
      <w:pPr>
        <w:pStyle w:val="BodyText"/>
        <w:spacing w:line="218" w:lineRule="auto" w:before="119"/>
        <w:ind w:firstLine="0"/>
      </w:pPr>
      <w:r>
        <w:rPr/>
        <w:br w:type="column"/>
      </w:r>
      <w:r>
        <w:rPr>
          <w:color w:val="231F20"/>
        </w:rPr>
        <w:t>tijdstip de omwisseling verkrijgen indien de emittent zijn verplichtin- gen jegens hem niet nakomt of zijn belangen op ernstige wijze worden verwaarloosd.</w:t>
      </w:r>
    </w:p>
    <w:p>
      <w:pPr>
        <w:pStyle w:val="BodyText"/>
        <w:spacing w:line="218" w:lineRule="auto" w:before="86"/>
      </w:pPr>
      <w:r>
        <w:rPr>
          <w:color w:val="231F20"/>
        </w:rPr>
        <w:t>§ 2. Bij faillissement van de emittent van certificaten of in enig ander geval van samenloop worden de certificaten, niettegenstaande anders- luidende bepaling, van rechtswege omgewisseld en oefenen de hou- ders van certificaten gezamenlijk hun recht tot terugvordering uit op de algemeenheid van de gecertificeerde effecten van dezelfde categorie en soort uitgegeven door dezelfde vennootschap, die zich in het bezit van de betrokken emittent van certificaten bevinden.</w:t>
      </w:r>
    </w:p>
    <w:p>
      <w:pPr>
        <w:pStyle w:val="BodyText"/>
        <w:spacing w:line="218" w:lineRule="auto" w:before="86"/>
      </w:pPr>
      <w:r>
        <w:rPr>
          <w:color w:val="231F20"/>
        </w:rPr>
        <w:t>Indien die algemeenheid in het geval bedoeld in het eerste lid niet toereikend is om de volledige teruggave van de effecten te waarborgen, wordt zij onder de houders van certificaten verdeeld naar verhouding van hun rechten.</w:t>
      </w:r>
    </w:p>
    <w:p>
      <w:pPr>
        <w:pStyle w:val="BodyText"/>
        <w:spacing w:before="71"/>
        <w:ind w:left="283" w:right="0" w:firstLine="0"/>
        <w:jc w:val="left"/>
      </w:pPr>
      <w:r>
        <w:rPr>
          <w:color w:val="231F20"/>
        </w:rPr>
        <w:t>Afdeling 5. Obligaties.</w:t>
      </w:r>
    </w:p>
    <w:p>
      <w:pPr>
        <w:pStyle w:val="BodyText"/>
        <w:spacing w:before="68"/>
        <w:ind w:left="283" w:right="0" w:firstLine="0"/>
        <w:jc w:val="left"/>
      </w:pPr>
      <w:r>
        <w:rPr>
          <w:color w:val="231F20"/>
          <w:w w:val="105"/>
        </w:rPr>
        <w:t>Onderafdeling 1. Algemene bepalingen.</w:t>
      </w:r>
    </w:p>
    <w:p>
      <w:pPr>
        <w:pStyle w:val="BodyText"/>
        <w:spacing w:line="218" w:lineRule="auto" w:before="82"/>
        <w:ind w:right="123"/>
      </w:pPr>
      <w:r>
        <w:rPr>
          <w:color w:val="231F20"/>
        </w:rPr>
        <w:t>Art. 7:62. De naamloze vennootschap kan een overeenkomst van lening aangaan in de vorm van uitgifte van obligaties, in voorkomend geval converteerbaar in aandelen, waarbij het conversierecht krachtens de uitgiftevoorwaarden kan toekomen aan de obligatiehouder of aan   de vennootschap, dan wel automatisch, al dan niet onder bepaalde voorwaarden, kan plaatsvinden. Obligaties kunnen voor een bepaalde termijn of eeuwigdurend worden</w:t>
      </w:r>
      <w:r>
        <w:rPr>
          <w:color w:val="231F20"/>
          <w:spacing w:val="26"/>
        </w:rPr>
        <w:t> </w:t>
      </w:r>
      <w:r>
        <w:rPr>
          <w:color w:val="231F20"/>
        </w:rPr>
        <w:t>uitgegeven.</w:t>
      </w:r>
    </w:p>
    <w:p>
      <w:pPr>
        <w:pStyle w:val="BodyText"/>
        <w:spacing w:line="218" w:lineRule="auto" w:before="86"/>
        <w:ind w:right="125"/>
      </w:pPr>
      <w:r>
        <w:rPr>
          <w:color w:val="231F20"/>
        </w:rPr>
        <w:t>Art. 7:63. § 1. De uitgiftevoorwaarden of de algemene vergadering van obligatiehouders kunnen één of meer vertegenwoordigers aanstel- len van de obligatiehouders die deel uitmaken van dezelfde uitgifte of van hetzelfde uitgifteprogramma. Binnen de grenzen van  de  artike- len 1984 tot 2010 van het Burgerlijk </w:t>
      </w:r>
      <w:r>
        <w:rPr>
          <w:color w:val="231F20"/>
          <w:spacing w:val="-3"/>
        </w:rPr>
        <w:t>Wetboek </w:t>
      </w:r>
      <w:r>
        <w:rPr>
          <w:color w:val="231F20"/>
        </w:rPr>
        <w:t>kunnen deze vertegen- woordigers alle obligatiehouders van deze uitgifte of van dit uitgifte- programma verbinden jegens derden. Zij kunnen onder meer de obligatiehouders </w:t>
      </w:r>
      <w:r>
        <w:rPr>
          <w:color w:val="231F20"/>
          <w:spacing w:val="-3"/>
        </w:rPr>
        <w:t>vertegenwoordigen </w:t>
      </w:r>
      <w:r>
        <w:rPr>
          <w:color w:val="231F20"/>
        </w:rPr>
        <w:t>in </w:t>
      </w:r>
      <w:r>
        <w:rPr>
          <w:color w:val="231F20"/>
          <w:spacing w:val="-3"/>
        </w:rPr>
        <w:t>insolventieprocedures, </w:t>
      </w:r>
      <w:r>
        <w:rPr>
          <w:color w:val="231F20"/>
        </w:rPr>
        <w:t>bij </w:t>
      </w:r>
      <w:r>
        <w:rPr>
          <w:color w:val="231F20"/>
          <w:spacing w:val="-2"/>
        </w:rPr>
        <w:t>beslag </w:t>
      </w:r>
      <w:r>
        <w:rPr>
          <w:color w:val="231F20"/>
        </w:rPr>
        <w:t>of in enig ander geval van samenloop, waarbij zij optreden in eigen naam maar voor rekening van de obligatiehouders, zonder de identiteit van</w:t>
      </w:r>
      <w:r>
        <w:rPr>
          <w:color w:val="231F20"/>
          <w:spacing w:val="15"/>
        </w:rPr>
        <w:t> </w:t>
      </w:r>
      <w:r>
        <w:rPr>
          <w:color w:val="231F20"/>
        </w:rPr>
        <w:t>deze</w:t>
      </w:r>
      <w:r>
        <w:rPr>
          <w:color w:val="231F20"/>
          <w:spacing w:val="15"/>
        </w:rPr>
        <w:t> </w:t>
      </w:r>
      <w:r>
        <w:rPr>
          <w:color w:val="231F20"/>
        </w:rPr>
        <w:t>laatste</w:t>
      </w:r>
      <w:r>
        <w:rPr>
          <w:color w:val="231F20"/>
          <w:spacing w:val="16"/>
        </w:rPr>
        <w:t> </w:t>
      </w:r>
      <w:r>
        <w:rPr>
          <w:color w:val="231F20"/>
        </w:rPr>
        <w:t>bekend</w:t>
      </w:r>
      <w:r>
        <w:rPr>
          <w:color w:val="231F20"/>
          <w:spacing w:val="15"/>
        </w:rPr>
        <w:t> </w:t>
      </w:r>
      <w:r>
        <w:rPr>
          <w:color w:val="231F20"/>
        </w:rPr>
        <w:t>te</w:t>
      </w:r>
      <w:r>
        <w:rPr>
          <w:color w:val="231F20"/>
          <w:spacing w:val="15"/>
        </w:rPr>
        <w:t> </w:t>
      </w:r>
      <w:r>
        <w:rPr>
          <w:color w:val="231F20"/>
        </w:rPr>
        <w:t>maken.</w:t>
      </w:r>
    </w:p>
    <w:p>
      <w:pPr>
        <w:pStyle w:val="BodyText"/>
        <w:spacing w:line="218" w:lineRule="auto" w:before="97"/>
      </w:pPr>
      <w:r>
        <w:rPr>
          <w:color w:val="231F20"/>
        </w:rPr>
        <w:t>§ 2. Bovendien kunnen de uitgiftevoorwaarden of de algemene vergadering van obligatiehouders bepalen dat deze vertegenwoordi- gers tevens optreden, in eigen naam, maar voor rekening van de obligatiehouders als begunstigden van voorrechten of zekerheden gevestigd tot waarborg van de obligatielening.</w:t>
      </w:r>
    </w:p>
    <w:p>
      <w:pPr>
        <w:pStyle w:val="BodyText"/>
        <w:spacing w:line="218" w:lineRule="auto" w:before="97"/>
      </w:pPr>
      <w:r>
        <w:rPr>
          <w:color w:val="231F20"/>
        </w:rPr>
        <w:t>De vertegenwoordigers kunnen alle bevoegdheden  uitoefenen  van de obligatiehouders voor wier rekening zij optreden. De vertegenwoor- diging en de door de vertegenwoordigers verrichte handelingen  kunnen worden tegengeworpen aan derden, met inbegrip van de schuldeisers van de vertegenwoordiger. Alle rechten die uit de vertegenwoordiging voortvloeien, met inbegrip van de zekerheden, behoren</w:t>
      </w:r>
      <w:r>
        <w:rPr>
          <w:color w:val="231F20"/>
          <w:spacing w:val="15"/>
        </w:rPr>
        <w:t> </w:t>
      </w:r>
      <w:r>
        <w:rPr>
          <w:color w:val="231F20"/>
        </w:rPr>
        <w:t>tot</w:t>
      </w:r>
      <w:r>
        <w:rPr>
          <w:color w:val="231F20"/>
          <w:spacing w:val="16"/>
        </w:rPr>
        <w:t> </w:t>
      </w:r>
      <w:r>
        <w:rPr>
          <w:color w:val="231F20"/>
        </w:rPr>
        <w:t>het</w:t>
      </w:r>
      <w:r>
        <w:rPr>
          <w:color w:val="231F20"/>
          <w:spacing w:val="16"/>
        </w:rPr>
        <w:t> </w:t>
      </w:r>
      <w:r>
        <w:rPr>
          <w:color w:val="231F20"/>
        </w:rPr>
        <w:t>vermogen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obligatiehouders.</w:t>
      </w:r>
    </w:p>
    <w:p>
      <w:pPr>
        <w:pStyle w:val="BodyText"/>
        <w:spacing w:line="218" w:lineRule="auto" w:before="96"/>
      </w:pPr>
      <w:r>
        <w:rPr>
          <w:color w:val="231F20"/>
        </w:rPr>
        <w:t>§ 3. De aanstelling en de bevoegdheden van de vertegenwoordiger worden vastgesteld in de uitgiftevoorwaarden of door de algemene vergadering van de obligatiehouders die beraadslaagt en besluit overeenkomstig artikel 7:170. Het bewijs van zijn bevoegdheid kan worden geleverd door de enkele voorlegging van een door een vertegenwoordiger van de vennootschap getekende tekst van de uitgiftevoorwaarden of van een kopie van de notulen van de algemene vergadering overeenkomstig artikel 7:172.</w:t>
      </w:r>
    </w:p>
    <w:p>
      <w:pPr>
        <w:pStyle w:val="BodyText"/>
        <w:spacing w:line="218" w:lineRule="auto" w:before="97"/>
        <w:ind w:right="122"/>
      </w:pPr>
      <w:r>
        <w:rPr>
          <w:color w:val="231F20"/>
        </w:rPr>
        <w:t>De algemene vergadering van obligatiehouders kan de vertegenwoor- diger te allen tijde herroepen, op voorwaarde dat zij tegelijkertijd één of meer nieuwe vertegenwoordigers aanstelt. De algemene vergadering beraadslaagt en besluit overeenkomstig artikel 7:170.</w:t>
      </w:r>
    </w:p>
    <w:p>
      <w:pPr>
        <w:pStyle w:val="BodyText"/>
        <w:spacing w:line="218" w:lineRule="auto" w:before="96"/>
        <w:ind w:right="123"/>
      </w:pPr>
      <w:r>
        <w:rPr>
          <w:color w:val="231F20"/>
        </w:rPr>
        <w:t>De vertegenwoordiger oefent zijn bevoegdheden uit in het uitslui- tend belang van de obligatiehouders en is hen rekenschap verschuldigd volgens de regels bepaald in de uitgiftevoorwaarden of in het aanstellingsbesluit.</w:t>
      </w:r>
    </w:p>
    <w:p>
      <w:pPr>
        <w:pStyle w:val="BodyText"/>
        <w:spacing w:line="218" w:lineRule="auto" w:before="97"/>
      </w:pPr>
      <w:r>
        <w:rPr>
          <w:color w:val="231F20"/>
        </w:rPr>
        <w:t>Art. 7:64. In de overeenkomst van lening, aangegaan in de vorm van uitgifte van obligaties, is de ontbindende voorwaarde altijd stilzwij- gend begrepen, voor het geval dat één van beide partijen haar verbintenis niet nakomt.</w:t>
      </w:r>
    </w:p>
    <w:p>
      <w:pPr>
        <w:pStyle w:val="BodyText"/>
        <w:spacing w:line="218" w:lineRule="auto" w:before="96"/>
      </w:pPr>
      <w:r>
        <w:rPr>
          <w:color w:val="231F20"/>
        </w:rPr>
        <w:t>In dat geval is de overeenkomst niet van rechtswege ontbonden. De partij jegens wie de verbintenis niet is uitgevoerd, heeft de keuze om de andere partij te verplichten de overeenkomst uit te voeren, wanneer de uitvoering mogelijk is, of de ontbinding van de overeenkomst te vorderen met schadevergoeding.</w:t>
      </w:r>
    </w:p>
    <w:p>
      <w:pPr>
        <w:pStyle w:val="BodyText"/>
        <w:spacing w:line="218" w:lineRule="auto" w:before="96"/>
      </w:pPr>
      <w:r>
        <w:rPr>
          <w:color w:val="231F20"/>
        </w:rPr>
        <w:t>De ontbinding moet in rechte worden gevorderd, en aan de verweerder kan, naargelang van de omstandigheden, uitstel worden verleend.</w:t>
      </w:r>
    </w:p>
    <w:p>
      <w:pPr>
        <w:pStyle w:val="BodyText"/>
        <w:spacing w:before="82"/>
        <w:ind w:left="283" w:right="0" w:firstLine="0"/>
        <w:jc w:val="left"/>
      </w:pPr>
      <w:r>
        <w:rPr>
          <w:color w:val="231F20"/>
        </w:rPr>
        <w:t>Onderafdeling 2. Converteerbare obligaties.</w:t>
      </w:r>
    </w:p>
    <w:p>
      <w:pPr>
        <w:pStyle w:val="BodyText"/>
        <w:spacing w:line="218" w:lineRule="auto" w:before="93"/>
      </w:pPr>
      <w:r>
        <w:rPr>
          <w:color w:val="231F20"/>
        </w:rPr>
        <w:t>Art. 7:65. De converteerbare obligaties moeten volledig zijn volge- stort.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4840" from="298.170502pt,64.473pt" to="298.170502pt,812.819pt" stroked="true" strokeweight=".533pt" strokecolor="#231f20">
            <v:stroke dashstyle="solid"/>
            <w10:wrap type="none"/>
          </v:line>
        </w:pict>
      </w:r>
      <w:bookmarkStart w:name="_bookmark159" w:id="164"/>
      <w:bookmarkEnd w:id="164"/>
      <w:r>
        <w:rPr/>
      </w:r>
      <w:r>
        <w:rPr>
          <w:color w:val="231F20"/>
        </w:rPr>
        <w:t>Art. 7:66. À partir de l’émission des obligations convertibles et jusqu’à la fin de la période de conversion, la société ne peut effectuer aucune opération dont l’effet serait de réduire les avantages attribués aux obligataires par les conditions d’émission ou par la loi, sauf dans les cas qui seraient spécialement prévus dans les conditions de l’émission.</w:t>
      </w:r>
    </w:p>
    <w:p>
      <w:pPr>
        <w:pStyle w:val="BodyText"/>
        <w:spacing w:before="72"/>
        <w:ind w:left="283" w:right="0" w:firstLine="0"/>
        <w:jc w:val="left"/>
      </w:pPr>
      <w:r>
        <w:rPr>
          <w:color w:val="231F20"/>
        </w:rPr>
        <w:t>Section 6. Des droits de souscription.</w:t>
      </w:r>
    </w:p>
    <w:p>
      <w:pPr>
        <w:pStyle w:val="BodyText"/>
        <w:spacing w:line="218" w:lineRule="auto" w:before="82"/>
        <w:ind w:right="39"/>
      </w:pPr>
      <w:r>
        <w:rPr>
          <w:color w:val="231F20"/>
        </w:rPr>
        <w:t>Art. 7:67. Les sociétés anonymes peuvent émettre des droits de souscription</w:t>
      </w:r>
      <w:r>
        <w:rPr>
          <w:color w:val="231F20"/>
          <w:spacing w:val="14"/>
        </w:rPr>
        <w:t> </w:t>
      </w:r>
      <w:r>
        <w:rPr>
          <w:color w:val="231F20"/>
        </w:rPr>
        <w:t>attachés</w:t>
      </w:r>
      <w:r>
        <w:rPr>
          <w:color w:val="231F20"/>
          <w:spacing w:val="15"/>
        </w:rPr>
        <w:t> </w:t>
      </w:r>
      <w:r>
        <w:rPr>
          <w:color w:val="231F20"/>
        </w:rPr>
        <w:t>ou</w:t>
      </w:r>
      <w:r>
        <w:rPr>
          <w:color w:val="231F20"/>
          <w:spacing w:val="14"/>
        </w:rPr>
        <w:t> </w:t>
      </w:r>
      <w:r>
        <w:rPr>
          <w:color w:val="231F20"/>
        </w:rPr>
        <w:t>non</w:t>
      </w:r>
      <w:r>
        <w:rPr>
          <w:color w:val="231F20"/>
          <w:spacing w:val="15"/>
        </w:rPr>
        <w:t> </w:t>
      </w:r>
      <w:r>
        <w:rPr>
          <w:color w:val="231F20"/>
        </w:rPr>
        <w:t>à</w:t>
      </w:r>
      <w:r>
        <w:rPr>
          <w:color w:val="231F20"/>
          <w:spacing w:val="14"/>
        </w:rPr>
        <w:t> </w:t>
      </w:r>
      <w:r>
        <w:rPr>
          <w:color w:val="231F20"/>
        </w:rPr>
        <w:t>un</w:t>
      </w:r>
      <w:r>
        <w:rPr>
          <w:color w:val="231F20"/>
          <w:spacing w:val="15"/>
        </w:rPr>
        <w:t> </w:t>
      </w:r>
      <w:r>
        <w:rPr>
          <w:color w:val="231F20"/>
        </w:rPr>
        <w:t>autre</w:t>
      </w:r>
      <w:r>
        <w:rPr>
          <w:color w:val="231F20"/>
          <w:spacing w:val="14"/>
        </w:rPr>
        <w:t> </w:t>
      </w:r>
      <w:r>
        <w:rPr>
          <w:color w:val="231F20"/>
        </w:rPr>
        <w:t>titre.</w:t>
      </w:r>
    </w:p>
    <w:p>
      <w:pPr>
        <w:pStyle w:val="BodyText"/>
        <w:spacing w:line="218" w:lineRule="auto" w:before="85"/>
        <w:ind w:right="38"/>
      </w:pPr>
      <w:r>
        <w:rPr>
          <w:color w:val="231F20"/>
        </w:rPr>
        <w:t>Art. 7:68. Une société filiale peut émettre des obligations assorties d’un droit de souscription portant sur des actions à émettre par la société mère. Dans ce cas, l’émission d’obligations doit être approuvée par la société filiale et l’émission de droits de souscription doit faire l’objet</w:t>
      </w:r>
      <w:r>
        <w:rPr>
          <w:color w:val="231F20"/>
          <w:spacing w:val="15"/>
        </w:rPr>
        <w:t> </w:t>
      </w:r>
      <w:r>
        <w:rPr>
          <w:color w:val="231F20"/>
        </w:rPr>
        <w:t>d’une</w:t>
      </w:r>
      <w:r>
        <w:rPr>
          <w:color w:val="231F20"/>
          <w:spacing w:val="15"/>
        </w:rPr>
        <w:t> </w:t>
      </w:r>
      <w:r>
        <w:rPr>
          <w:color w:val="231F20"/>
        </w:rPr>
        <w:t>approbation</w:t>
      </w:r>
      <w:r>
        <w:rPr>
          <w:color w:val="231F20"/>
          <w:spacing w:val="15"/>
        </w:rPr>
        <w:t> </w:t>
      </w:r>
      <w:r>
        <w:rPr>
          <w:color w:val="231F20"/>
        </w:rPr>
        <w:t>par</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mère.</w:t>
      </w:r>
    </w:p>
    <w:p>
      <w:pPr>
        <w:pStyle w:val="BodyText"/>
        <w:spacing w:line="218" w:lineRule="auto" w:before="86"/>
        <w:ind w:right="38"/>
      </w:pPr>
      <w:r>
        <w:rPr>
          <w:color w:val="231F20"/>
        </w:rPr>
        <w:t>Art. 7:69. La période pendant laquelle les droits de souscription pourront être exercés, ne peut excéder dix ans à dater de leur émission.</w:t>
      </w:r>
    </w:p>
    <w:p>
      <w:pPr>
        <w:pStyle w:val="BodyText"/>
        <w:ind w:left="0" w:right="0" w:firstLine="0"/>
        <w:jc w:val="left"/>
        <w:rPr>
          <w:sz w:val="23"/>
        </w:rPr>
      </w:pPr>
    </w:p>
    <w:p>
      <w:pPr>
        <w:pStyle w:val="BodyText"/>
        <w:spacing w:line="218" w:lineRule="auto"/>
        <w:ind w:right="38"/>
      </w:pPr>
      <w:r>
        <w:rPr>
          <w:color w:val="231F20"/>
        </w:rPr>
        <w:t>Les conditions d’émission déterminent les dates auxquelles il sera procédé à la souscription des actions en cas d’exercice du droit de souscription et les délais dans lesquels les titulaires de ce droit seront tenus de communiquer leur décision.</w:t>
      </w:r>
    </w:p>
    <w:p>
      <w:pPr>
        <w:pStyle w:val="BodyText"/>
        <w:spacing w:line="218" w:lineRule="auto" w:before="85"/>
        <w:ind w:right="38"/>
      </w:pPr>
      <w:r>
        <w:rPr>
          <w:color w:val="231F20"/>
        </w:rPr>
        <w:t>Art. 7:70. Les droits de souscription émis dans le cadre d’une émission réservée à titre principal à une ou plusieurs personnes déterminées autres que des membres du personnel ne peuvent avoir une durée supérieure à cinq ans à dater de leur émission. Cet alinéa n’est pas applicable lorsque tous les actionnaires ont renoncé à leur droit de préférence aux conditions de l’article 7:192, alinéa 2.</w:t>
      </w:r>
    </w:p>
    <w:p>
      <w:pPr>
        <w:pStyle w:val="BodyText"/>
        <w:spacing w:before="1"/>
        <w:ind w:left="0" w:right="0" w:firstLine="0"/>
        <w:jc w:val="left"/>
        <w:rPr>
          <w:sz w:val="23"/>
        </w:rPr>
      </w:pPr>
    </w:p>
    <w:p>
      <w:pPr>
        <w:pStyle w:val="BodyText"/>
        <w:spacing w:line="218" w:lineRule="auto"/>
        <w:ind w:right="38"/>
      </w:pPr>
      <w:r>
        <w:rPr>
          <w:color w:val="231F20"/>
        </w:rPr>
        <w:t>En outre, les clauses contenues dans les conditions d’émission qui visent à contraindre les détenteurs des droits de souscription à exercer ceux-ci sont nulles.</w:t>
      </w:r>
    </w:p>
    <w:p>
      <w:pPr>
        <w:pStyle w:val="BodyText"/>
        <w:spacing w:line="218" w:lineRule="auto" w:before="85"/>
        <w:ind w:right="38"/>
      </w:pPr>
      <w:r>
        <w:rPr>
          <w:color w:val="231F20"/>
        </w:rPr>
        <w:t>Les actions qui, à la suite d’une telle émission de droits de souscription, ont été souscrites durant le déroulement d’une offre publique d’acquisition doivent revêtir la forme nominative et ne peuvent pas être cédées pendant douze mois.</w:t>
      </w:r>
    </w:p>
    <w:p>
      <w:pPr>
        <w:pStyle w:val="BodyText"/>
        <w:spacing w:line="218" w:lineRule="auto" w:before="97"/>
        <w:ind w:right="38"/>
      </w:pPr>
      <w:r>
        <w:rPr>
          <w:color w:val="231F20"/>
        </w:rPr>
        <w:t>Art. 7:71. À partir de l’émission des droits de souscription et jusqu’à la fin de la période d’exercice de ceux-ci, la société ne peut effectuer aucune opération dont l’effet serait de réduire les avantages attribués aux titulaires de droits de souscription par les conditions d’émission ou par la loi, sauf dans les cas spécialement prévus dans les conditions d’émission.</w:t>
      </w:r>
    </w:p>
    <w:p>
      <w:pPr>
        <w:pStyle w:val="BodyText"/>
        <w:spacing w:line="218" w:lineRule="auto" w:before="96"/>
        <w:ind w:right="38"/>
      </w:pPr>
      <w:r>
        <w:rPr>
          <w:color w:val="231F20"/>
        </w:rPr>
        <w:t>En cas d’augmentation du capital par apports en numéraire, les titulaires de droits de souscription peuvent toutefois exercer leur droit de souscription et éventuellement participer éventuellement à la nouvelle émission en qualité d’actionnaires dans la mesure où ce droit appartient aux actionnaires existants, sauf disposition contraire expres- sément prévue dans les conditions d’émission.</w:t>
      </w:r>
    </w:p>
    <w:p>
      <w:pPr>
        <w:pStyle w:val="BodyText"/>
        <w:spacing w:line="218" w:lineRule="auto" w:before="96"/>
        <w:ind w:right="38"/>
      </w:pPr>
      <w:r>
        <w:rPr>
          <w:color w:val="231F20"/>
        </w:rPr>
        <w:t>Art. 7:72. Si la société décide de rembourser de manière anticipée l’emprunt, même partiellement, les titulaires d’obligations avec droit de souscription non détachable des obligations pourront exercer leur droit de souscription pendant un mois au moins avant la date du rembour- sement.</w:t>
      </w:r>
    </w:p>
    <w:p>
      <w:pPr>
        <w:pStyle w:val="BodyText"/>
        <w:spacing w:line="319" w:lineRule="auto" w:before="83"/>
        <w:ind w:left="284" w:right="2109" w:firstLine="0"/>
        <w:jc w:val="left"/>
      </w:pPr>
      <w:r>
        <w:rPr>
          <w:color w:val="231F20"/>
        </w:rPr>
        <w:t>CHAPITRE 4. Du transfert de titres. Section 1</w:t>
      </w:r>
      <w:r>
        <w:rPr>
          <w:color w:val="231F20"/>
          <w:position w:val="7"/>
          <w:sz w:val="11"/>
        </w:rPr>
        <w:t>re</w:t>
      </w:r>
      <w:r>
        <w:rPr>
          <w:color w:val="231F20"/>
        </w:rPr>
        <w:t>. Dispositions générales.</w:t>
      </w:r>
    </w:p>
    <w:p>
      <w:pPr>
        <w:pStyle w:val="BodyText"/>
        <w:spacing w:line="218" w:lineRule="auto" w:before="28"/>
        <w:ind w:right="38"/>
      </w:pPr>
      <w:r>
        <w:rPr>
          <w:color w:val="231F20"/>
        </w:rPr>
        <w:t>Art. 7:73. Le transfert de titres s’opère selon les règles du droit commun.</w:t>
      </w:r>
    </w:p>
    <w:p>
      <w:pPr>
        <w:pStyle w:val="BodyText"/>
        <w:spacing w:line="218" w:lineRule="auto" w:before="96"/>
        <w:ind w:right="38"/>
      </w:pPr>
      <w:r>
        <w:rPr>
          <w:color w:val="231F20"/>
        </w:rPr>
        <w:t>Art. 7:74. Un transfert de titres nominatifs n’est opposable à la</w:t>
      </w:r>
      <w:r>
        <w:rPr>
          <w:color w:val="231F20"/>
          <w:spacing w:val="-28"/>
        </w:rPr>
        <w:t> </w:t>
      </w:r>
      <w:r>
        <w:rPr>
          <w:color w:val="231F20"/>
        </w:rPr>
        <w:t>société et aux tiers que par une déclaration de transfert inscrite dans le registre relatif à ces titres, datée et signée par le cédant et le cessionnaire ou par leurs mandataires en cas de cession entre vifs, et par un membre de l’organe d’administration et les bénéficiaires ou par leurs mandataires en</w:t>
      </w:r>
      <w:r>
        <w:rPr>
          <w:color w:val="231F20"/>
          <w:spacing w:val="14"/>
        </w:rPr>
        <w:t> </w:t>
      </w:r>
      <w:r>
        <w:rPr>
          <w:color w:val="231F20"/>
        </w:rPr>
        <w:t>cas</w:t>
      </w:r>
      <w:r>
        <w:rPr>
          <w:color w:val="231F20"/>
          <w:spacing w:val="15"/>
        </w:rPr>
        <w:t> </w:t>
      </w:r>
      <w:r>
        <w:rPr>
          <w:color w:val="231F20"/>
        </w:rPr>
        <w:t>de</w:t>
      </w:r>
      <w:r>
        <w:rPr>
          <w:color w:val="231F20"/>
          <w:spacing w:val="15"/>
        </w:rPr>
        <w:t> </w:t>
      </w:r>
      <w:r>
        <w:rPr>
          <w:color w:val="231F20"/>
        </w:rPr>
        <w:t>transmission</w:t>
      </w:r>
      <w:r>
        <w:rPr>
          <w:color w:val="231F20"/>
          <w:spacing w:val="15"/>
        </w:rPr>
        <w:t> </w:t>
      </w:r>
      <w:r>
        <w:rPr>
          <w:color w:val="231F20"/>
        </w:rPr>
        <w:t>à</w:t>
      </w:r>
      <w:r>
        <w:rPr>
          <w:color w:val="231F20"/>
          <w:spacing w:val="15"/>
        </w:rPr>
        <w:t> </w:t>
      </w:r>
      <w:r>
        <w:rPr>
          <w:color w:val="231F20"/>
        </w:rPr>
        <w:t>cause</w:t>
      </w:r>
      <w:r>
        <w:rPr>
          <w:color w:val="231F20"/>
          <w:spacing w:val="15"/>
        </w:rPr>
        <w:t> </w:t>
      </w:r>
      <w:r>
        <w:rPr>
          <w:color w:val="231F20"/>
        </w:rPr>
        <w:t>de</w:t>
      </w:r>
      <w:r>
        <w:rPr>
          <w:color w:val="231F20"/>
          <w:spacing w:val="14"/>
        </w:rPr>
        <w:t> </w:t>
      </w:r>
      <w:r>
        <w:rPr>
          <w:color w:val="231F20"/>
        </w:rPr>
        <w:t>mort.</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L’organe d’administration peut reconnaître et inscrire un transfert dans le registre sur la base de pièces qui établissent l’accord du cédant et du cessionnaire.</w:t>
      </w:r>
    </w:p>
    <w:p>
      <w:pPr>
        <w:pStyle w:val="BodyText"/>
        <w:spacing w:line="218" w:lineRule="auto" w:before="96"/>
        <w:ind w:right="38"/>
      </w:pPr>
      <w:r>
        <w:rPr>
          <w:color w:val="231F20"/>
        </w:rPr>
        <w:t>Si le registre est tenu sous la forme électronique, la déclaration de cession peut adopter une forme électronique et être signée par un ensemble de données électroniques pouvant être imputées à une personne déterminée et établissant le maintien de l’intégrité du</w:t>
      </w:r>
      <w:r>
        <w:rPr>
          <w:color w:val="231F20"/>
          <w:spacing w:val="-29"/>
        </w:rPr>
        <w:t> </w:t>
      </w:r>
      <w:r>
        <w:rPr>
          <w:color w:val="231F20"/>
        </w:rPr>
        <w:t>contenu de</w:t>
      </w:r>
      <w:r>
        <w:rPr>
          <w:color w:val="231F20"/>
          <w:spacing w:val="15"/>
        </w:rPr>
        <w:t> </w:t>
      </w:r>
      <w:r>
        <w:rPr>
          <w:color w:val="231F20"/>
        </w:rPr>
        <w:t>l’acte.</w:t>
      </w:r>
    </w:p>
    <w:p>
      <w:pPr>
        <w:pStyle w:val="BodyText"/>
        <w:spacing w:line="218" w:lineRule="auto" w:before="97"/>
        <w:ind w:right="38"/>
      </w:pPr>
      <w:r>
        <w:rPr>
          <w:color w:val="231F20"/>
        </w:rPr>
        <w:t>Art. 7:75. Un transfert d’un titre dématérialisé n’est opposable à la société et aux tiers que par l’inscription d’un compte-titres à l’autre.</w:t>
      </w:r>
    </w:p>
    <w:p>
      <w:pPr>
        <w:pStyle w:val="BodyText"/>
        <w:spacing w:line="218" w:lineRule="auto" w:before="119"/>
      </w:pPr>
      <w:r>
        <w:rPr/>
        <w:br w:type="column"/>
      </w:r>
      <w:r>
        <w:rPr>
          <w:color w:val="231F20"/>
        </w:rPr>
        <w:t>Art. 7:66. Te rekenen van de uitgifte van de converteerbare obligaties en tot het einde van de termijn van conversie, mag de vennootschap door geen enkele verrichting de voordelen verminderen die de voorwaarden van uitgifte of de wet toekennen aan de obligatiehouders, tenzij in de gevallen waarin de uitgiftevoorwaarden speciaal voorzien.</w:t>
      </w:r>
    </w:p>
    <w:p>
      <w:pPr>
        <w:pStyle w:val="BodyText"/>
        <w:spacing w:before="9"/>
        <w:ind w:left="0" w:right="0" w:firstLine="0"/>
        <w:jc w:val="left"/>
        <w:rPr>
          <w:sz w:val="21"/>
        </w:rPr>
      </w:pPr>
    </w:p>
    <w:p>
      <w:pPr>
        <w:pStyle w:val="BodyText"/>
        <w:ind w:left="283" w:right="0" w:firstLine="0"/>
        <w:jc w:val="left"/>
      </w:pPr>
      <w:r>
        <w:rPr>
          <w:color w:val="231F20"/>
        </w:rPr>
        <w:t>Afdeling 6. Inschrijvingsrechten.</w:t>
      </w:r>
    </w:p>
    <w:p>
      <w:pPr>
        <w:pStyle w:val="BodyText"/>
        <w:spacing w:line="218" w:lineRule="auto" w:before="82"/>
      </w:pPr>
      <w:r>
        <w:rPr>
          <w:color w:val="231F20"/>
        </w:rPr>
        <w:t>Art. 7:67. Naamloze vennootschappen kunnen inschrijvingsrechten uitgeven die al dan niet aan een ander effect zijn verbonden.</w:t>
      </w:r>
    </w:p>
    <w:p>
      <w:pPr>
        <w:pStyle w:val="BodyText"/>
        <w:spacing w:line="218" w:lineRule="auto" w:before="86"/>
      </w:pPr>
      <w:r>
        <w:rPr>
          <w:color w:val="231F20"/>
        </w:rPr>
        <w:t>Art. 7:68. Een dochtervennootschap kan obligaties uitgeven met een inschrijvingsrecht op de door de moedervennootschap uit te geven aandelen. In dat geval verleent de dochtervennootschap toestemming voor de uitgifte van obligaties en verleent de moedervennootschap toestemming voor de uitgifte van inschrijvingsrechten.</w:t>
      </w:r>
    </w:p>
    <w:p>
      <w:pPr>
        <w:pStyle w:val="BodyText"/>
        <w:spacing w:line="218" w:lineRule="auto" w:before="86"/>
      </w:pPr>
      <w:r>
        <w:rPr>
          <w:color w:val="231F20"/>
        </w:rPr>
        <w:t>Art. 7:69. De periode waarin de inschrijvingsrechten kunnen worden uitgeoefend, mag niet langer zijn dan tien jaar te rekenen vanaf hun uitgifte.</w:t>
      </w:r>
    </w:p>
    <w:p>
      <w:pPr>
        <w:pStyle w:val="BodyText"/>
        <w:spacing w:line="218" w:lineRule="auto" w:before="85"/>
      </w:pPr>
      <w:r>
        <w:rPr>
          <w:color w:val="231F20"/>
        </w:rPr>
        <w:t>In de uitgiftevoorwaarden wordt bepaald op welke data de inschrij- ving op aandelen, in geval van uitoefening van het inschrijvingsrecht, zal plaatshebben en binnen welke termijnen de houders van dat recht hun besluit moeten meedelen.</w:t>
      </w:r>
    </w:p>
    <w:p>
      <w:pPr>
        <w:pStyle w:val="BodyText"/>
        <w:spacing w:line="218" w:lineRule="auto" w:before="86"/>
      </w:pPr>
      <w:r>
        <w:rPr>
          <w:color w:val="231F20"/>
        </w:rPr>
        <w:t>Art. 7:70. Indien de uitgifte van inschrijvingsrechten in hoofdzaak is bestemd voor één of meerdere bepaalde personen andere dan de leden van het personeel, dan mag het inschrijvingsrecht de duur van vijf jaar vanaf zijn uitgifte niet te boven gaan. Dit lid is niet van toepassing wanneer alle aandeelhouders afstand hebben gedaan van hun</w:t>
      </w:r>
      <w:r>
        <w:rPr>
          <w:color w:val="231F20"/>
          <w:spacing w:val="29"/>
        </w:rPr>
        <w:t> </w:t>
      </w:r>
      <w:r>
        <w:rPr>
          <w:color w:val="231F20"/>
        </w:rPr>
        <w:t>voor- keurrecht overeenkomstig de voorwaarden van artikel 7:192, tweede lid.</w:t>
      </w:r>
    </w:p>
    <w:p>
      <w:pPr>
        <w:pStyle w:val="BodyText"/>
        <w:spacing w:line="218" w:lineRule="auto" w:before="86"/>
      </w:pPr>
      <w:r>
        <w:rPr>
          <w:color w:val="231F20"/>
        </w:rPr>
        <w:t>Daarenboven zijn de bepalingen die zijn opgenomen in de uitgifte- voorwaarden en die beogen de houders van inschrijvingsrechten ertoe te dwingen ze uit te oefenen, nietig.</w:t>
      </w:r>
    </w:p>
    <w:p>
      <w:pPr>
        <w:pStyle w:val="BodyText"/>
        <w:spacing w:line="218" w:lineRule="auto" w:before="85"/>
      </w:pPr>
      <w:r>
        <w:rPr>
          <w:color w:val="231F20"/>
        </w:rPr>
        <w:t>De aandelen waarop tijdens het verloop van een openbaar overna- mebod is ingeschreven als gevolg van een dergelijke uitgifte van inschrijvingsrechten, moeten op naam zijn gesteld en mogen</w:t>
      </w:r>
      <w:r>
        <w:rPr>
          <w:color w:val="231F20"/>
          <w:spacing w:val="-11"/>
        </w:rPr>
        <w:t> </w:t>
      </w:r>
      <w:r>
        <w:rPr>
          <w:color w:val="231F20"/>
        </w:rPr>
        <w:t>gedurende twaalf maanden niet worden</w:t>
      </w:r>
      <w:r>
        <w:rPr>
          <w:color w:val="231F20"/>
          <w:spacing w:val="24"/>
        </w:rPr>
        <w:t> </w:t>
      </w:r>
      <w:r>
        <w:rPr>
          <w:color w:val="231F20"/>
        </w:rPr>
        <w:t>overgedragen.</w:t>
      </w:r>
    </w:p>
    <w:p>
      <w:pPr>
        <w:pStyle w:val="BodyText"/>
        <w:spacing w:line="218" w:lineRule="auto" w:before="97"/>
      </w:pPr>
      <w:r>
        <w:rPr>
          <w:color w:val="231F20"/>
        </w:rPr>
        <w:t>Art. 7:71. </w:t>
      </w:r>
      <w:r>
        <w:rPr>
          <w:color w:val="231F20"/>
          <w:spacing w:val="-4"/>
        </w:rPr>
        <w:t>Vanaf </w:t>
      </w:r>
      <w:r>
        <w:rPr>
          <w:color w:val="231F20"/>
        </w:rPr>
        <w:t>de uitgifte van de inschrijvingsrechten en tot het einde van de termijn van uitoefening ervan, mag de vennootschap door geen enkele verrichting de voordelen verminderen die de uitgiftevoor- waarden of de wet toekennen aan de houders van inschrijvingsrechten, tenzij in de gevallen waarin de uitgiftevoorwaarden uitdrukkelijk voorzien.</w:t>
      </w:r>
    </w:p>
    <w:p>
      <w:pPr>
        <w:pStyle w:val="BodyText"/>
        <w:spacing w:line="218" w:lineRule="auto" w:before="96"/>
        <w:ind w:right="123"/>
      </w:pPr>
      <w:r>
        <w:rPr>
          <w:color w:val="231F20"/>
        </w:rPr>
        <w:t>In geval van verhoging van het kapitaal door inbreng in geld kunnen de houders van inschrijvingsrechten hun inschrijvingsrecht evenwel uitoefenen en eventueel als aandeelhouder deelnemen aan de nieuwe uitgifte voor zover de bestaande aandeelhouders dit recht bezitten, tenzij de uitgiftevoorwaarden uitdrukkelijk anders bepalen.</w:t>
      </w:r>
    </w:p>
    <w:p>
      <w:pPr>
        <w:pStyle w:val="BodyText"/>
        <w:spacing w:before="11"/>
        <w:ind w:left="0" w:right="0" w:firstLine="0"/>
        <w:jc w:val="left"/>
        <w:rPr>
          <w:sz w:val="23"/>
        </w:rPr>
      </w:pPr>
    </w:p>
    <w:p>
      <w:pPr>
        <w:pStyle w:val="BodyText"/>
        <w:spacing w:line="218" w:lineRule="auto"/>
      </w:pPr>
      <w:r>
        <w:rPr>
          <w:color w:val="231F20"/>
        </w:rPr>
        <w:t>Art. 7:72. Indien de vennootschap besluit de lening, zelfs gedeeltelijk, vervroegd terug te betalen, kunnen de houders van obligaties met een onlosmakelijk daaraan verbonden inschrijvingsrecht hun inschrijvings- recht uitoefenen gedurende ten minste een maand vóór de datum van de terugbetaling.</w:t>
      </w:r>
    </w:p>
    <w:p>
      <w:pPr>
        <w:pStyle w:val="BodyText"/>
        <w:spacing w:line="338" w:lineRule="auto" w:before="82"/>
        <w:ind w:left="283" w:right="1017" w:firstLine="0"/>
        <w:jc w:val="left"/>
      </w:pPr>
      <w:r>
        <w:rPr>
          <w:color w:val="231F20"/>
        </w:rPr>
        <w:t>HOOFDSTUK 4. Overdracht en overgang van effecten. Afdeling 1. Algemene bepalingen.</w:t>
      </w:r>
    </w:p>
    <w:p>
      <w:pPr>
        <w:pStyle w:val="BodyText"/>
        <w:spacing w:line="218" w:lineRule="auto" w:before="13"/>
      </w:pPr>
      <w:r>
        <w:rPr>
          <w:color w:val="231F20"/>
        </w:rPr>
        <w:t>Art. 7:73. De overdracht en overgang van effecten gebeurt volgens de regels van het gemeen recht.</w:t>
      </w:r>
    </w:p>
    <w:p>
      <w:pPr>
        <w:pStyle w:val="BodyText"/>
        <w:spacing w:line="218" w:lineRule="auto" w:before="96"/>
      </w:pPr>
      <w:r>
        <w:rPr>
          <w:color w:val="231F20"/>
        </w:rPr>
        <w:t>Art. 7:74. Een overdracht of overgang van effecten op naam kan aan de vennootschap en aan derden slechts worden tegengeworpen door een verklaring van overdracht, ingeschreven in het register van de betrokken effecten en gedagtekend en ondertekend door de overdrager en de overnemer of door hun gevolmachtigden in geval van overdracht onder de levenden, en door een lid van het bestuursorgaan en de rechtsverkrijgenden of door hun gevolmachtigden in geval van over- gang wegens</w:t>
      </w:r>
      <w:r>
        <w:rPr>
          <w:color w:val="231F20"/>
          <w:spacing w:val="-10"/>
        </w:rPr>
        <w:t> </w:t>
      </w:r>
      <w:r>
        <w:rPr>
          <w:color w:val="231F20"/>
        </w:rPr>
        <w:t>overlijden.</w:t>
      </w:r>
    </w:p>
    <w:p>
      <w:pPr>
        <w:pStyle w:val="BodyText"/>
        <w:spacing w:line="218" w:lineRule="auto" w:before="97"/>
      </w:pPr>
      <w:r>
        <w:rPr>
          <w:color w:val="231F20"/>
        </w:rPr>
        <w:t>Het bestuursorgaan kan een overdracht erkennen en in het register inschrijven, als uit stukken het bewijs van de toestemming van de overdrager en van de overnemer blijkt.</w:t>
      </w:r>
    </w:p>
    <w:p>
      <w:pPr>
        <w:pStyle w:val="BodyText"/>
        <w:spacing w:line="218" w:lineRule="auto" w:before="96"/>
      </w:pPr>
      <w:r>
        <w:rPr>
          <w:color w:val="231F20"/>
        </w:rPr>
        <w:t>Indien het register in elektronische vorm wordt aangehouden, kan de verklaring van overdracht een elektronische vorm aannemen en worden ondertekend door middel van een geheel van elektronische gegevens dat aan een bepaalde persoon kan worden toegerekend en het behoud</w:t>
      </w:r>
      <w:r>
        <w:rPr>
          <w:color w:val="231F20"/>
          <w:spacing w:val="17"/>
        </w:rPr>
        <w:t> </w:t>
      </w:r>
      <w:r>
        <w:rPr>
          <w:color w:val="231F20"/>
        </w:rPr>
        <w:t>van</w:t>
      </w:r>
      <w:r>
        <w:rPr>
          <w:color w:val="231F20"/>
          <w:spacing w:val="18"/>
        </w:rPr>
        <w:t> </w:t>
      </w:r>
      <w:r>
        <w:rPr>
          <w:color w:val="231F20"/>
        </w:rPr>
        <w:t>de</w:t>
      </w:r>
      <w:r>
        <w:rPr>
          <w:color w:val="231F20"/>
          <w:spacing w:val="18"/>
        </w:rPr>
        <w:t> </w:t>
      </w:r>
      <w:r>
        <w:rPr>
          <w:color w:val="231F20"/>
        </w:rPr>
        <w:t>integriteit</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inhoud</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akte</w:t>
      </w:r>
      <w:r>
        <w:rPr>
          <w:color w:val="231F20"/>
          <w:spacing w:val="18"/>
        </w:rPr>
        <w:t> </w:t>
      </w:r>
      <w:r>
        <w:rPr>
          <w:color w:val="231F20"/>
        </w:rPr>
        <w:t>aantoont.</w:t>
      </w:r>
    </w:p>
    <w:p>
      <w:pPr>
        <w:pStyle w:val="BodyText"/>
        <w:spacing w:line="218" w:lineRule="auto" w:before="96"/>
      </w:pPr>
      <w:r>
        <w:rPr>
          <w:color w:val="231F20"/>
        </w:rPr>
        <w:t>Art. 7:75. Een overdracht of overgang van een gedematerialiseerd effect kan aan de vennootschap en aan derden slechts worden tegengeworpen door boeking van de ene op de andere effectenreke- ning.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4864" from="298.170502pt,64.473pt" to="298.170502pt,812.819pt" stroked="true" strokeweight=".533pt" strokecolor="#231f20">
            <v:stroke dashstyle="solid"/>
            <w10:wrap type="none"/>
          </v:line>
        </w:pict>
      </w:r>
      <w:bookmarkStart w:name="_bookmark160" w:id="165"/>
      <w:bookmarkEnd w:id="165"/>
      <w:r>
        <w:rPr/>
      </w:r>
      <w:r>
        <w:rPr>
          <w:color w:val="231F20"/>
        </w:rPr>
        <w:t>Art. 7:76. Les actes relatifs à la cession des parts bénéficiaires ou de tous titres y donnant directement ou indirectement droit mentionnent leur</w:t>
      </w:r>
      <w:r>
        <w:rPr>
          <w:color w:val="231F20"/>
          <w:spacing w:val="-4"/>
        </w:rPr>
        <w:t> </w:t>
      </w:r>
      <w:r>
        <w:rPr>
          <w:color w:val="231F20"/>
        </w:rPr>
        <w:t>nature,</w:t>
      </w:r>
      <w:r>
        <w:rPr>
          <w:color w:val="231F20"/>
          <w:spacing w:val="-3"/>
        </w:rPr>
        <w:t> </w:t>
      </w:r>
      <w:r>
        <w:rPr>
          <w:color w:val="231F20"/>
        </w:rPr>
        <w:t>la</w:t>
      </w:r>
      <w:r>
        <w:rPr>
          <w:color w:val="231F20"/>
          <w:spacing w:val="-3"/>
        </w:rPr>
        <w:t> </w:t>
      </w:r>
      <w:r>
        <w:rPr>
          <w:color w:val="231F20"/>
        </w:rPr>
        <w:t>date</w:t>
      </w:r>
      <w:r>
        <w:rPr>
          <w:color w:val="231F20"/>
          <w:spacing w:val="-4"/>
        </w:rPr>
        <w:t> </w:t>
      </w:r>
      <w:r>
        <w:rPr>
          <w:color w:val="231F20"/>
        </w:rPr>
        <w:t>de</w:t>
      </w:r>
      <w:r>
        <w:rPr>
          <w:color w:val="231F20"/>
          <w:spacing w:val="-3"/>
        </w:rPr>
        <w:t> </w:t>
      </w:r>
      <w:r>
        <w:rPr>
          <w:color w:val="231F20"/>
        </w:rPr>
        <w:t>leur</w:t>
      </w:r>
      <w:r>
        <w:rPr>
          <w:color w:val="231F20"/>
          <w:spacing w:val="-3"/>
        </w:rPr>
        <w:t> </w:t>
      </w:r>
      <w:r>
        <w:rPr>
          <w:color w:val="231F20"/>
        </w:rPr>
        <w:t>création</w:t>
      </w:r>
      <w:r>
        <w:rPr>
          <w:color w:val="231F20"/>
          <w:spacing w:val="-4"/>
        </w:rPr>
        <w:t> </w:t>
      </w:r>
      <w:r>
        <w:rPr>
          <w:color w:val="231F20"/>
        </w:rPr>
        <w:t>et</w:t>
      </w:r>
      <w:r>
        <w:rPr>
          <w:color w:val="231F20"/>
          <w:spacing w:val="-3"/>
        </w:rPr>
        <w:t> </w:t>
      </w:r>
      <w:r>
        <w:rPr>
          <w:color w:val="231F20"/>
        </w:rPr>
        <w:t>les</w:t>
      </w:r>
      <w:r>
        <w:rPr>
          <w:color w:val="231F20"/>
          <w:spacing w:val="-3"/>
        </w:rPr>
        <w:t> </w:t>
      </w:r>
      <w:r>
        <w:rPr>
          <w:color w:val="231F20"/>
        </w:rPr>
        <w:t>conditions</w:t>
      </w:r>
      <w:r>
        <w:rPr>
          <w:color w:val="231F20"/>
          <w:spacing w:val="-4"/>
        </w:rPr>
        <w:t> </w:t>
      </w:r>
      <w:r>
        <w:rPr>
          <w:color w:val="231F20"/>
        </w:rPr>
        <w:t>prescrites</w:t>
      </w:r>
      <w:r>
        <w:rPr>
          <w:color w:val="231F20"/>
          <w:spacing w:val="-3"/>
        </w:rPr>
        <w:t> </w:t>
      </w:r>
      <w:r>
        <w:rPr>
          <w:color w:val="231F20"/>
        </w:rPr>
        <w:t>pour</w:t>
      </w:r>
      <w:r>
        <w:rPr>
          <w:color w:val="231F20"/>
          <w:spacing w:val="-3"/>
        </w:rPr>
        <w:t> </w:t>
      </w:r>
      <w:r>
        <w:rPr>
          <w:color w:val="231F20"/>
        </w:rPr>
        <w:t>leur cession.</w:t>
      </w:r>
    </w:p>
    <w:p>
      <w:pPr>
        <w:pStyle w:val="BodyText"/>
        <w:spacing w:line="218" w:lineRule="auto" w:before="96"/>
        <w:ind w:right="38"/>
      </w:pPr>
      <w:r>
        <w:rPr>
          <w:color w:val="231F20"/>
        </w:rPr>
        <w:t>Art. 7:77. En cas de cession d’une action non libérée, le cédant et le cessionnaire sont, nonobstant toute disposition contraire, tenus solidai- rement de la libération envers la société et les tiers. En cas de cessions successives, tous les cessionnaires consécutifs sont tenus solidairement.</w:t>
      </w:r>
    </w:p>
    <w:p>
      <w:pPr>
        <w:pStyle w:val="BodyText"/>
        <w:spacing w:before="11"/>
        <w:ind w:left="0" w:right="0" w:firstLine="0"/>
        <w:jc w:val="left"/>
        <w:rPr>
          <w:sz w:val="23"/>
        </w:rPr>
      </w:pPr>
    </w:p>
    <w:p>
      <w:pPr>
        <w:pStyle w:val="BodyText"/>
        <w:spacing w:line="218" w:lineRule="auto"/>
        <w:ind w:right="38"/>
      </w:pPr>
      <w:r>
        <w:rPr>
          <w:color w:val="231F20"/>
        </w:rPr>
        <w:t>Sauf convention contraire, le cédant d’une action non libérée auquel la libération est demandée par la société ou un tiers, peut exercer un recours pour ce qu’il a payé contre le cessionnaire auquel il a cédé ses actions et tout cessionnaire ultérieur.</w:t>
      </w:r>
    </w:p>
    <w:p>
      <w:pPr>
        <w:pStyle w:val="BodyText"/>
        <w:spacing w:before="8"/>
        <w:ind w:left="0" w:right="0" w:firstLine="0"/>
        <w:jc w:val="left"/>
        <w:rPr>
          <w:sz w:val="22"/>
        </w:rPr>
      </w:pPr>
    </w:p>
    <w:p>
      <w:pPr>
        <w:pStyle w:val="BodyText"/>
        <w:ind w:left="283" w:right="0" w:firstLine="0"/>
        <w:jc w:val="left"/>
      </w:pPr>
      <w:r>
        <w:rPr>
          <w:color w:val="231F20"/>
        </w:rPr>
        <w:t>Section 2. Restrictions à la cessibilité des titres.</w:t>
      </w:r>
    </w:p>
    <w:p>
      <w:pPr>
        <w:pStyle w:val="BodyText"/>
        <w:spacing w:line="218" w:lineRule="auto" w:before="78"/>
        <w:ind w:right="38"/>
      </w:pPr>
      <w:r>
        <w:rPr>
          <w:color w:val="231F20"/>
        </w:rPr>
        <w:t>Art. 7:78. § 1</w:t>
      </w:r>
      <w:r>
        <w:rPr>
          <w:color w:val="231F20"/>
          <w:position w:val="7"/>
          <w:sz w:val="11"/>
        </w:rPr>
        <w:t>er</w:t>
      </w:r>
      <w:r>
        <w:rPr>
          <w:color w:val="231F20"/>
        </w:rPr>
        <w:t>. Les statuts, les conditions d’émission de titres ou des conventions peuvent limiter la cessibilité entre vifs ou la transmissibi- lité à cause de mort des actions, des droits de souscription ou de tous autres titres donnant accès à des actions.</w:t>
      </w:r>
    </w:p>
    <w:p>
      <w:pPr>
        <w:pStyle w:val="BodyText"/>
        <w:spacing w:line="218" w:lineRule="auto" w:before="96"/>
        <w:ind w:right="38"/>
      </w:pPr>
      <w:r>
        <w:rPr>
          <w:color w:val="231F20"/>
        </w:rPr>
        <w:t>Les clauses d’inaliénabilité doivent être justifiées par un intérêt légitime, notamment en ce qui concerne leur durée. Les clauses d’inaliénabilité d’une durée indéterminée peuvent à tout moment être dénoncées moyennant le respect d’un préavis raisonnable.</w:t>
      </w:r>
    </w:p>
    <w:p>
      <w:pPr>
        <w:pStyle w:val="BodyText"/>
        <w:spacing w:line="218" w:lineRule="auto" w:before="96"/>
        <w:ind w:right="38"/>
      </w:pPr>
      <w:r>
        <w:rPr>
          <w:color w:val="231F20"/>
        </w:rPr>
        <w:t>Toutefois, lorsque la limitation résulte d’une clause d’agrément ou d’une clause prévoyant un droit de préemption, l’application de ces clauses ne peut aboutir à ce que l’incessibilité soit prolongée plus de six mois à dater de la demande d’agrément ou de l’invitation à exercer le droit de préemption.</w:t>
      </w:r>
    </w:p>
    <w:p>
      <w:pPr>
        <w:pStyle w:val="BodyText"/>
        <w:spacing w:before="11"/>
        <w:ind w:left="0" w:right="0" w:firstLine="0"/>
        <w:jc w:val="left"/>
        <w:rPr>
          <w:sz w:val="23"/>
        </w:rPr>
      </w:pPr>
    </w:p>
    <w:p>
      <w:pPr>
        <w:pStyle w:val="BodyText"/>
        <w:spacing w:line="218" w:lineRule="auto"/>
        <w:ind w:right="38"/>
      </w:pPr>
      <w:r>
        <w:rPr>
          <w:color w:val="231F20"/>
        </w:rPr>
        <w:t>Lorsque les clauses visées à l’alinéa 3 prévoient un délai supérieur à six mois, ou lorsque le transfert des titres qui font l’objet du droit de préemption n’est pas intervenu dans les six mois conformément au droit de préemption, ce délai est de plein droit limité à six mois.</w:t>
      </w:r>
    </w:p>
    <w:p>
      <w:pPr>
        <w:pStyle w:val="BodyText"/>
        <w:spacing w:before="10"/>
        <w:ind w:left="0" w:right="0" w:firstLine="0"/>
        <w:jc w:val="left"/>
        <w:rPr>
          <w:sz w:val="23"/>
        </w:rPr>
      </w:pPr>
    </w:p>
    <w:p>
      <w:pPr>
        <w:pStyle w:val="BodyText"/>
        <w:spacing w:line="218" w:lineRule="auto" w:before="1"/>
        <w:ind w:right="38"/>
      </w:pPr>
      <w:r>
        <w:rPr>
          <w:color w:val="231F20"/>
        </w:rPr>
        <w:t>§ 2. Une cession contraire aux restrictions à la cessibilité qui figurent dans des statuts publiés régulièrement, n’est opposable ni à la société ni aux tiers, que le cessionnaire soit de bonne ou de mauvaise foi, même lorsque la restriction statutaire ne figure pas dans le registre des actionnaires.</w:t>
      </w:r>
    </w:p>
    <w:p>
      <w:pPr>
        <w:pStyle w:val="BodyText"/>
        <w:spacing w:line="218" w:lineRule="auto" w:before="96"/>
        <w:ind w:right="38"/>
      </w:pPr>
      <w:r>
        <w:rPr>
          <w:color w:val="231F20"/>
        </w:rPr>
        <w:t>Art.</w:t>
      </w:r>
      <w:r>
        <w:rPr>
          <w:color w:val="231F20"/>
          <w:spacing w:val="-5"/>
        </w:rPr>
        <w:t> </w:t>
      </w:r>
      <w:r>
        <w:rPr>
          <w:color w:val="231F20"/>
        </w:rPr>
        <w:t>7:79.</w:t>
      </w:r>
      <w:r>
        <w:rPr>
          <w:color w:val="231F20"/>
          <w:spacing w:val="-5"/>
        </w:rPr>
        <w:t> </w:t>
      </w:r>
      <w:r>
        <w:rPr>
          <w:color w:val="231F20"/>
        </w:rPr>
        <w:t>Dès</w:t>
      </w:r>
      <w:r>
        <w:rPr>
          <w:color w:val="231F20"/>
          <w:spacing w:val="-5"/>
        </w:rPr>
        <w:t> </w:t>
      </w:r>
      <w:r>
        <w:rPr>
          <w:color w:val="231F20"/>
        </w:rPr>
        <w:t>la</w:t>
      </w:r>
      <w:r>
        <w:rPr>
          <w:color w:val="231F20"/>
          <w:spacing w:val="-5"/>
        </w:rPr>
        <w:t> </w:t>
      </w:r>
      <w:r>
        <w:rPr>
          <w:color w:val="231F20"/>
        </w:rPr>
        <w:t>réception</w:t>
      </w:r>
      <w:r>
        <w:rPr>
          <w:color w:val="231F20"/>
          <w:spacing w:val="-5"/>
        </w:rPr>
        <w:t> </w:t>
      </w:r>
      <w:r>
        <w:rPr>
          <w:color w:val="231F20"/>
        </w:rPr>
        <w:t>par</w:t>
      </w:r>
      <w:r>
        <w:rPr>
          <w:color w:val="231F20"/>
          <w:spacing w:val="-5"/>
        </w:rPr>
        <w:t> </w:t>
      </w:r>
      <w:r>
        <w:rPr>
          <w:color w:val="231F20"/>
        </w:rPr>
        <w:t>la</w:t>
      </w:r>
      <w:r>
        <w:rPr>
          <w:color w:val="231F20"/>
          <w:spacing w:val="-5"/>
        </w:rPr>
        <w:t> </w:t>
      </w:r>
      <w:r>
        <w:rPr>
          <w:color w:val="231F20"/>
        </w:rPr>
        <w:t>société</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communication</w:t>
      </w:r>
      <w:r>
        <w:rPr>
          <w:color w:val="231F20"/>
          <w:spacing w:val="-5"/>
        </w:rPr>
        <w:t> </w:t>
      </w:r>
      <w:r>
        <w:rPr>
          <w:color w:val="231F20"/>
        </w:rPr>
        <w:t>faite</w:t>
      </w:r>
      <w:r>
        <w:rPr>
          <w:color w:val="231F20"/>
          <w:spacing w:val="-5"/>
        </w:rPr>
        <w:t> </w:t>
      </w:r>
      <w:r>
        <w:rPr>
          <w:color w:val="231F20"/>
        </w:rPr>
        <w:t>par l’Autorité des services et marchés financiers selon laquelle elle a été saisie d’un avis </w:t>
      </w:r>
      <w:r>
        <w:rPr>
          <w:color w:val="231F20"/>
          <w:spacing w:val="-3"/>
        </w:rPr>
        <w:t>d’offre </w:t>
      </w:r>
      <w:r>
        <w:rPr>
          <w:color w:val="231F20"/>
        </w:rPr>
        <w:t>publique d’acquisition la concernant et, en cas  de refus d’agrément ou d’application des clauses de préemption, les titulaires de titres doivent se voir proposer, dans les cinq jours suivant la clôture de </w:t>
      </w:r>
      <w:r>
        <w:rPr>
          <w:color w:val="231F20"/>
          <w:spacing w:val="-3"/>
        </w:rPr>
        <w:t>l’offre, </w:t>
      </w:r>
      <w:r>
        <w:rPr>
          <w:color w:val="231F20"/>
        </w:rPr>
        <w:t>l’acquisition de leurs titres à un prix au moins égal au prix de </w:t>
      </w:r>
      <w:r>
        <w:rPr>
          <w:color w:val="231F20"/>
          <w:spacing w:val="-3"/>
        </w:rPr>
        <w:t>l’offre </w:t>
      </w:r>
      <w:r>
        <w:rPr>
          <w:color w:val="231F20"/>
        </w:rPr>
        <w:t>ou de la contre-offre, par une ou plusieurs personnes agréées ou à l’égard desquelles le droit de préemption ne serait pas invoqué.</w:t>
      </w:r>
    </w:p>
    <w:p>
      <w:pPr>
        <w:pStyle w:val="BodyText"/>
        <w:ind w:left="0" w:right="0" w:firstLine="0"/>
        <w:jc w:val="left"/>
        <w:rPr>
          <w:sz w:val="24"/>
        </w:rPr>
      </w:pPr>
    </w:p>
    <w:p>
      <w:pPr>
        <w:pStyle w:val="BodyText"/>
        <w:spacing w:line="218" w:lineRule="auto"/>
        <w:ind w:right="38"/>
      </w:pPr>
      <w:r>
        <w:rPr>
          <w:color w:val="231F20"/>
        </w:rPr>
        <w:t>Art. 7:80. Par dérogation aux articles 7:78 et 7:79, les clauses d’agrément figurant soit dans les statuts, soit dans un acte authentique d’émission d’obligations convertibles ou de droits de souscription pourront être opposées à l’auteur de l’offre par l’organe d’administra- tion de la société visée pour autant qu’il justifie le refus d’agrément par l’application constante et non discriminatoire des règles d’agrément qu’il a adoptées et communiquées à l’Autorité des services et marchés financiers avant la date de la réception de la communication visée à l’article 7:79.</w:t>
      </w:r>
    </w:p>
    <w:p>
      <w:pPr>
        <w:pStyle w:val="BodyText"/>
        <w:ind w:left="0" w:right="0" w:firstLine="0"/>
        <w:jc w:val="left"/>
        <w:rPr>
          <w:sz w:val="24"/>
        </w:rPr>
      </w:pPr>
    </w:p>
    <w:p>
      <w:pPr>
        <w:pStyle w:val="BodyText"/>
        <w:spacing w:line="218" w:lineRule="auto"/>
        <w:ind w:right="38"/>
      </w:pPr>
      <w:r>
        <w:rPr>
          <w:color w:val="231F20"/>
        </w:rPr>
        <w:t>Art. 7:81. Les statuts et les conditions d’émission des obligations et autres titres que ceux visés à l’article 7:78 peuvent limiter la cessibilité entre vifs ou à cause de mort de ces titres nominatifs ou sous forme dématérialisée.</w:t>
      </w:r>
    </w:p>
    <w:p>
      <w:pPr>
        <w:pStyle w:val="BodyText"/>
        <w:spacing w:line="218" w:lineRule="auto" w:before="81"/>
        <w:ind w:right="38"/>
      </w:pPr>
      <w:r>
        <w:rPr>
          <w:color w:val="231F20"/>
        </w:rPr>
        <w:t>Une cession de titres visés à l’alinéa 1</w:t>
      </w:r>
      <w:r>
        <w:rPr>
          <w:color w:val="231F20"/>
          <w:position w:val="7"/>
          <w:sz w:val="11"/>
        </w:rPr>
        <w:t>er </w:t>
      </w:r>
      <w:r>
        <w:rPr>
          <w:color w:val="231F20"/>
        </w:rPr>
        <w:t>contraire aux restrictions à la cessibilité figurant dans les statuts ou conditions d’émission publiés régulièrement</w:t>
      </w:r>
      <w:r>
        <w:rPr>
          <w:color w:val="231F20"/>
          <w:spacing w:val="-3"/>
        </w:rPr>
        <w:t> </w:t>
      </w:r>
      <w:r>
        <w:rPr>
          <w:color w:val="231F20"/>
        </w:rPr>
        <w:t>ne</w:t>
      </w:r>
      <w:r>
        <w:rPr>
          <w:color w:val="231F20"/>
          <w:spacing w:val="-3"/>
        </w:rPr>
        <w:t> </w:t>
      </w:r>
      <w:r>
        <w:rPr>
          <w:color w:val="231F20"/>
        </w:rPr>
        <w:t>peut</w:t>
      </w:r>
      <w:r>
        <w:rPr>
          <w:color w:val="231F20"/>
          <w:spacing w:val="-3"/>
        </w:rPr>
        <w:t> </w:t>
      </w:r>
      <w:r>
        <w:rPr>
          <w:color w:val="231F20"/>
        </w:rPr>
        <w:t>être</w:t>
      </w:r>
      <w:r>
        <w:rPr>
          <w:color w:val="231F20"/>
          <w:spacing w:val="-2"/>
        </w:rPr>
        <w:t> </w:t>
      </w:r>
      <w:r>
        <w:rPr>
          <w:color w:val="231F20"/>
        </w:rPr>
        <w:t>opposée</w:t>
      </w:r>
      <w:r>
        <w:rPr>
          <w:color w:val="231F20"/>
          <w:spacing w:val="-3"/>
        </w:rPr>
        <w:t> </w:t>
      </w:r>
      <w:r>
        <w:rPr>
          <w:color w:val="231F20"/>
        </w:rPr>
        <w:t>ni</w:t>
      </w:r>
      <w:r>
        <w:rPr>
          <w:color w:val="231F20"/>
          <w:spacing w:val="-3"/>
        </w:rPr>
        <w:t> </w:t>
      </w:r>
      <w:r>
        <w:rPr>
          <w:color w:val="231F20"/>
        </w:rPr>
        <w:t>à</w:t>
      </w:r>
      <w:r>
        <w:rPr>
          <w:color w:val="231F20"/>
          <w:spacing w:val="-2"/>
        </w:rPr>
        <w:t> </w:t>
      </w:r>
      <w:r>
        <w:rPr>
          <w:color w:val="231F20"/>
        </w:rPr>
        <w:t>la</w:t>
      </w:r>
      <w:r>
        <w:rPr>
          <w:color w:val="231F20"/>
          <w:spacing w:val="-3"/>
        </w:rPr>
        <w:t> </w:t>
      </w:r>
      <w:r>
        <w:rPr>
          <w:color w:val="231F20"/>
        </w:rPr>
        <w:t>société</w:t>
      </w:r>
      <w:r>
        <w:rPr>
          <w:color w:val="231F20"/>
          <w:spacing w:val="-3"/>
        </w:rPr>
        <w:t> </w:t>
      </w:r>
      <w:r>
        <w:rPr>
          <w:color w:val="231F20"/>
        </w:rPr>
        <w:t>ni</w:t>
      </w:r>
      <w:r>
        <w:rPr>
          <w:color w:val="231F20"/>
          <w:spacing w:val="-2"/>
        </w:rPr>
        <w:t> </w:t>
      </w:r>
      <w:r>
        <w:rPr>
          <w:color w:val="231F20"/>
        </w:rPr>
        <w:t>aux</w:t>
      </w:r>
      <w:r>
        <w:rPr>
          <w:color w:val="231F20"/>
          <w:spacing w:val="-3"/>
        </w:rPr>
        <w:t> </w:t>
      </w:r>
      <w:r>
        <w:rPr>
          <w:color w:val="231F20"/>
        </w:rPr>
        <w:t>tiers,</w:t>
      </w:r>
      <w:r>
        <w:rPr>
          <w:color w:val="231F20"/>
          <w:spacing w:val="-3"/>
        </w:rPr>
        <w:t> </w:t>
      </w:r>
      <w:r>
        <w:rPr>
          <w:color w:val="231F20"/>
        </w:rPr>
        <w:t>et</w:t>
      </w:r>
      <w:r>
        <w:rPr>
          <w:color w:val="231F20"/>
          <w:spacing w:val="-2"/>
        </w:rPr>
        <w:t> </w:t>
      </w:r>
      <w:r>
        <w:rPr>
          <w:color w:val="231F20"/>
        </w:rPr>
        <w:t>ce</w:t>
      </w:r>
      <w:r>
        <w:rPr>
          <w:color w:val="231F20"/>
          <w:spacing w:val="-3"/>
        </w:rPr>
        <w:t> </w:t>
      </w:r>
      <w:r>
        <w:rPr>
          <w:color w:val="231F20"/>
        </w:rPr>
        <w:t>dans la mesure prévue dans les conditions d’émission ou les statuts et indépendamment</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bonne</w:t>
      </w:r>
      <w:r>
        <w:rPr>
          <w:color w:val="231F20"/>
          <w:spacing w:val="18"/>
        </w:rPr>
        <w:t> </w:t>
      </w:r>
      <w:r>
        <w:rPr>
          <w:color w:val="231F20"/>
        </w:rPr>
        <w:t>ou</w:t>
      </w:r>
      <w:r>
        <w:rPr>
          <w:color w:val="231F20"/>
          <w:spacing w:val="19"/>
        </w:rPr>
        <w:t> </w:t>
      </w:r>
      <w:r>
        <w:rPr>
          <w:color w:val="231F20"/>
        </w:rPr>
        <w:t>de</w:t>
      </w:r>
      <w:r>
        <w:rPr>
          <w:color w:val="231F20"/>
          <w:spacing w:val="19"/>
        </w:rPr>
        <w:t> </w:t>
      </w:r>
      <w:r>
        <w:rPr>
          <w:color w:val="231F20"/>
        </w:rPr>
        <w:t>la</w:t>
      </w:r>
      <w:r>
        <w:rPr>
          <w:color w:val="231F20"/>
          <w:spacing w:val="18"/>
        </w:rPr>
        <w:t> </w:t>
      </w:r>
      <w:r>
        <w:rPr>
          <w:color w:val="231F20"/>
        </w:rPr>
        <w:t>mauvaise</w:t>
      </w:r>
      <w:r>
        <w:rPr>
          <w:color w:val="231F20"/>
          <w:spacing w:val="19"/>
        </w:rPr>
        <w:t> </w:t>
      </w:r>
      <w:r>
        <w:rPr>
          <w:color w:val="231F20"/>
        </w:rPr>
        <w:t>foi</w:t>
      </w:r>
      <w:r>
        <w:rPr>
          <w:color w:val="231F20"/>
          <w:spacing w:val="19"/>
        </w:rPr>
        <w:t> </w:t>
      </w:r>
      <w:r>
        <w:rPr>
          <w:color w:val="231F20"/>
        </w:rPr>
        <w:t>du</w:t>
      </w:r>
      <w:r>
        <w:rPr>
          <w:color w:val="231F20"/>
          <w:spacing w:val="19"/>
        </w:rPr>
        <w:t> </w:t>
      </w:r>
      <w:r>
        <w:rPr>
          <w:color w:val="231F20"/>
        </w:rPr>
        <w:t>cessionnaire.</w:t>
      </w:r>
    </w:p>
    <w:p>
      <w:pPr>
        <w:pStyle w:val="BodyText"/>
        <w:spacing w:before="6"/>
        <w:ind w:left="0" w:right="0" w:firstLine="0"/>
        <w:jc w:val="left"/>
        <w:rPr>
          <w:sz w:val="23"/>
        </w:rPr>
      </w:pPr>
    </w:p>
    <w:p>
      <w:pPr>
        <w:pStyle w:val="BodyText"/>
        <w:spacing w:line="218" w:lineRule="auto"/>
        <w:ind w:right="38"/>
      </w:pPr>
      <w:r>
        <w:rPr>
          <w:color w:val="231F20"/>
        </w:rPr>
        <w:t>Les conditions d’émission de titres visés à l’alinéa 1</w:t>
      </w:r>
      <w:r>
        <w:rPr>
          <w:color w:val="231F20"/>
          <w:position w:val="7"/>
          <w:sz w:val="11"/>
        </w:rPr>
        <w:t>er </w:t>
      </w:r>
      <w:r>
        <w:rPr>
          <w:color w:val="231F20"/>
        </w:rPr>
        <w:t>sont publiées régulièrement si elles ont été déposées et publiées conformément aux articles 2:8, § 3, et 2:14, 1°, ou figurent dans un prospectus.</w:t>
      </w:r>
    </w:p>
    <w:p>
      <w:pPr>
        <w:pStyle w:val="BodyText"/>
        <w:spacing w:before="8"/>
        <w:ind w:left="0" w:right="0" w:firstLine="0"/>
        <w:jc w:val="left"/>
        <w:rPr>
          <w:sz w:val="23"/>
        </w:rPr>
      </w:pPr>
    </w:p>
    <w:p>
      <w:pPr>
        <w:pStyle w:val="BodyText"/>
        <w:ind w:left="283" w:right="0" w:firstLine="0"/>
        <w:jc w:val="left"/>
      </w:pPr>
      <w:r>
        <w:rPr>
          <w:color w:val="231F20"/>
        </w:rPr>
        <w:t>Section 3. L’offre de reprise.</w:t>
      </w:r>
    </w:p>
    <w:p>
      <w:pPr>
        <w:pStyle w:val="BodyText"/>
        <w:spacing w:line="218" w:lineRule="auto" w:before="88"/>
        <w:ind w:right="38"/>
      </w:pPr>
      <w:r>
        <w:rPr>
          <w:color w:val="231F20"/>
        </w:rPr>
        <w:t>Art. 7:82. § 1</w:t>
      </w:r>
      <w:r>
        <w:rPr>
          <w:color w:val="231F20"/>
          <w:position w:val="7"/>
          <w:sz w:val="11"/>
        </w:rPr>
        <w:t>er</w:t>
      </w:r>
      <w:r>
        <w:rPr>
          <w:color w:val="231F20"/>
        </w:rPr>
        <w:t>. Toute personne physique ou morale, qui, agissant seule ou de concert, détient 95 % des titres conférant le droit de vote émis par une société anonyme cotée, peut faire une offre publique de</w:t>
      </w:r>
    </w:p>
    <w:p>
      <w:pPr>
        <w:pStyle w:val="BodyText"/>
        <w:spacing w:line="218" w:lineRule="auto" w:before="119"/>
      </w:pPr>
      <w:r>
        <w:rPr/>
        <w:br w:type="column"/>
      </w:r>
      <w:r>
        <w:rPr>
          <w:color w:val="231F20"/>
        </w:rPr>
        <w:t>Art. 7:76. In de akten betreffende de overdracht van winstbewijzen of van effecten die daarop rechtstreeks of onrechtstreeks recht geven, wordt vermeld van welke aard zij zijn, op welke datum zij uitgegeven zijn en welke voorwaarden voor hun overdracht zijn gesteld.</w:t>
      </w:r>
    </w:p>
    <w:p>
      <w:pPr>
        <w:pStyle w:val="BodyText"/>
        <w:spacing w:line="218" w:lineRule="auto" w:before="97"/>
      </w:pPr>
      <w:r>
        <w:rPr>
          <w:color w:val="231F20"/>
        </w:rPr>
        <w:t>Art. 7:77. In geval van overdracht van een niet volgestort aandeel, zijn de overdrager en overnemer, niettegenstaande andersluidende bepaling, tegenover de vennootschap en tegenover derden hoofdelijk gehouden tot volstorting. In geval van opeenvolgende  overdrachten zijn</w:t>
      </w:r>
      <w:r>
        <w:rPr>
          <w:color w:val="231F20"/>
          <w:spacing w:val="17"/>
        </w:rPr>
        <w:t> </w:t>
      </w:r>
      <w:r>
        <w:rPr>
          <w:color w:val="231F20"/>
        </w:rPr>
        <w:t>alle</w:t>
      </w:r>
      <w:r>
        <w:rPr>
          <w:color w:val="231F20"/>
          <w:spacing w:val="18"/>
        </w:rPr>
        <w:t> </w:t>
      </w:r>
      <w:r>
        <w:rPr>
          <w:color w:val="231F20"/>
        </w:rPr>
        <w:t>opeenvolgende</w:t>
      </w:r>
      <w:r>
        <w:rPr>
          <w:color w:val="231F20"/>
          <w:spacing w:val="18"/>
        </w:rPr>
        <w:t> </w:t>
      </w:r>
      <w:r>
        <w:rPr>
          <w:color w:val="231F20"/>
        </w:rPr>
        <w:t>overnemers</w:t>
      </w:r>
      <w:r>
        <w:rPr>
          <w:color w:val="231F20"/>
          <w:spacing w:val="17"/>
        </w:rPr>
        <w:t> </w:t>
      </w:r>
      <w:r>
        <w:rPr>
          <w:color w:val="231F20"/>
        </w:rPr>
        <w:t>hoofdelijk</w:t>
      </w:r>
      <w:r>
        <w:rPr>
          <w:color w:val="231F20"/>
          <w:spacing w:val="18"/>
        </w:rPr>
        <w:t> </w:t>
      </w:r>
      <w:r>
        <w:rPr>
          <w:color w:val="231F20"/>
        </w:rPr>
        <w:t>gehouden.</w:t>
      </w:r>
    </w:p>
    <w:p>
      <w:pPr>
        <w:pStyle w:val="BodyText"/>
        <w:spacing w:line="218" w:lineRule="auto" w:before="96"/>
      </w:pPr>
      <w:r>
        <w:rPr>
          <w:color w:val="231F20"/>
          <w:spacing w:val="-3"/>
        </w:rPr>
        <w:t>Tenzij </w:t>
      </w:r>
      <w:r>
        <w:rPr>
          <w:color w:val="231F20"/>
        </w:rPr>
        <w:t>anders is overeengekomen kan de overdrager van een niet volgestort aandeel die door de vennootschap of een derde tot volstorting wordt aangesproken, voor wat hij heeft betaald regres uitoefenen op de overnemer aan wie hij zijn aandelen heeft overgedra- gen</w:t>
      </w:r>
      <w:r>
        <w:rPr>
          <w:color w:val="231F20"/>
          <w:spacing w:val="15"/>
        </w:rPr>
        <w:t> </w:t>
      </w:r>
      <w:r>
        <w:rPr>
          <w:color w:val="231F20"/>
        </w:rPr>
        <w:t>en</w:t>
      </w:r>
      <w:r>
        <w:rPr>
          <w:color w:val="231F20"/>
          <w:spacing w:val="16"/>
        </w:rPr>
        <w:t> </w:t>
      </w:r>
      <w:r>
        <w:rPr>
          <w:color w:val="231F20"/>
        </w:rPr>
        <w:t>op</w:t>
      </w:r>
      <w:r>
        <w:rPr>
          <w:color w:val="231F20"/>
          <w:spacing w:val="15"/>
        </w:rPr>
        <w:t> </w:t>
      </w:r>
      <w:r>
        <w:rPr>
          <w:color w:val="231F20"/>
        </w:rPr>
        <w:t>elk</w:t>
      </w:r>
      <w:r>
        <w:rPr>
          <w:color w:val="231F20"/>
          <w:spacing w:val="16"/>
        </w:rPr>
        <w:t> </w:t>
      </w:r>
      <w:r>
        <w:rPr>
          <w:color w:val="231F20"/>
        </w:rPr>
        <w:t>van</w:t>
      </w:r>
      <w:r>
        <w:rPr>
          <w:color w:val="231F20"/>
          <w:spacing w:val="15"/>
        </w:rPr>
        <w:t> </w:t>
      </w:r>
      <w:r>
        <w:rPr>
          <w:color w:val="231F20"/>
        </w:rPr>
        <w:t>de</w:t>
      </w:r>
      <w:r>
        <w:rPr>
          <w:color w:val="231F20"/>
          <w:spacing w:val="16"/>
        </w:rPr>
        <w:t> </w:t>
      </w:r>
      <w:r>
        <w:rPr>
          <w:color w:val="231F20"/>
        </w:rPr>
        <w:t>latere</w:t>
      </w:r>
      <w:r>
        <w:rPr>
          <w:color w:val="231F20"/>
          <w:spacing w:val="15"/>
        </w:rPr>
        <w:t> </w:t>
      </w:r>
      <w:r>
        <w:rPr>
          <w:color w:val="231F20"/>
        </w:rPr>
        <w:t>overnemers.</w:t>
      </w:r>
    </w:p>
    <w:p>
      <w:pPr>
        <w:pStyle w:val="BodyText"/>
        <w:spacing w:before="82"/>
        <w:ind w:left="283" w:right="0" w:firstLine="0"/>
        <w:jc w:val="left"/>
      </w:pPr>
      <w:r>
        <w:rPr>
          <w:color w:val="231F20"/>
        </w:rPr>
        <w:t>Afdeling 2. Beperkingen op de vrije overdraagbaarheid van effecten.</w:t>
      </w:r>
    </w:p>
    <w:p>
      <w:pPr>
        <w:pStyle w:val="BodyText"/>
        <w:spacing w:line="218" w:lineRule="auto" w:before="93"/>
      </w:pPr>
      <w:r>
        <w:rPr>
          <w:color w:val="231F20"/>
        </w:rPr>
        <w:t>Art. 7:78. § 1. De statuten, de uitgiftevoorwaarden van effecten of overeenkomsten kunnen perken stellen aan de overdraagbaarheid, onder de levenden of bij overlijden, van aandelen, van inschrijvings- rechten of van alle andere effecten die toegang geven tot aandelen.</w:t>
      </w:r>
    </w:p>
    <w:p>
      <w:pPr>
        <w:pStyle w:val="BodyText"/>
        <w:spacing w:line="218" w:lineRule="auto" w:before="96"/>
      </w:pPr>
      <w:r>
        <w:rPr>
          <w:color w:val="231F20"/>
        </w:rPr>
        <w:t>Onvervreemdbaarheidsclausules moeten door een rechtmatig belang worden verantwoord, met name wat hun duur betreft. Onvervreemd- baarheidsclausules van onbepaalde duur kunnen te allen tijde worden opgezegd met inachtneming van een redelijke opzeggingstermijn.</w:t>
      </w:r>
    </w:p>
    <w:p>
      <w:pPr>
        <w:pStyle w:val="BodyText"/>
        <w:spacing w:line="218" w:lineRule="auto" w:before="97"/>
      </w:pPr>
      <w:r>
        <w:rPr>
          <w:color w:val="231F20"/>
          <w:spacing w:val="-3"/>
        </w:rPr>
        <w:t>Wanneer </w:t>
      </w:r>
      <w:r>
        <w:rPr>
          <w:color w:val="231F20"/>
        </w:rPr>
        <w:t>de beperking voortvloeit uit een goedkeuringsclausule of  uit een clausule die in een voorkooprecht voorziet, mag de toepassing van die clausules niet tot gevolg hebben dat de onoverdraagbaarheid meer dan zes maanden duurt te rekenen van de datum van het verzoek om goedkeuring of van de uitnodiging om het recht van voorkoop uit   te</w:t>
      </w:r>
      <w:r>
        <w:rPr>
          <w:color w:val="231F20"/>
          <w:spacing w:val="14"/>
        </w:rPr>
        <w:t> </w:t>
      </w:r>
      <w:r>
        <w:rPr>
          <w:color w:val="231F20"/>
        </w:rPr>
        <w:t>oefenen.</w:t>
      </w:r>
    </w:p>
    <w:p>
      <w:pPr>
        <w:pStyle w:val="BodyText"/>
        <w:spacing w:line="218" w:lineRule="auto" w:before="96"/>
      </w:pPr>
      <w:r>
        <w:rPr>
          <w:color w:val="231F20"/>
          <w:spacing w:val="-3"/>
        </w:rPr>
        <w:t>Wanneer </w:t>
      </w:r>
      <w:r>
        <w:rPr>
          <w:color w:val="231F20"/>
        </w:rPr>
        <w:t>de in het derde lid bedoelde clausules voorzien in een termijn van meer dan zes maanden, of de overdracht van de effecten</w:t>
      </w:r>
      <w:r>
        <w:rPr>
          <w:color w:val="231F20"/>
          <w:spacing w:val="-22"/>
        </w:rPr>
        <w:t> </w:t>
      </w:r>
      <w:r>
        <w:rPr>
          <w:color w:val="231F20"/>
        </w:rPr>
        <w:t>die het voorwerp uitmaken van het voorkooprecht niet binnen zes maanden is verwezenlijkt in overeenstemming met het voorkooprecht, wordt</w:t>
      </w:r>
      <w:r>
        <w:rPr>
          <w:color w:val="231F20"/>
          <w:spacing w:val="17"/>
        </w:rPr>
        <w:t> </w:t>
      </w:r>
      <w:r>
        <w:rPr>
          <w:color w:val="231F20"/>
        </w:rPr>
        <w:t>deze</w:t>
      </w:r>
      <w:r>
        <w:rPr>
          <w:color w:val="231F20"/>
          <w:spacing w:val="17"/>
        </w:rPr>
        <w:t> </w:t>
      </w:r>
      <w:r>
        <w:rPr>
          <w:color w:val="231F20"/>
        </w:rPr>
        <w:t>termijn</w:t>
      </w:r>
      <w:r>
        <w:rPr>
          <w:color w:val="231F20"/>
          <w:spacing w:val="17"/>
        </w:rPr>
        <w:t> </w:t>
      </w:r>
      <w:r>
        <w:rPr>
          <w:color w:val="231F20"/>
        </w:rPr>
        <w:t>van</w:t>
      </w:r>
      <w:r>
        <w:rPr>
          <w:color w:val="231F20"/>
          <w:spacing w:val="17"/>
        </w:rPr>
        <w:t> </w:t>
      </w:r>
      <w:r>
        <w:rPr>
          <w:color w:val="231F20"/>
        </w:rPr>
        <w:t>rechtswege</w:t>
      </w:r>
      <w:r>
        <w:rPr>
          <w:color w:val="231F20"/>
          <w:spacing w:val="17"/>
        </w:rPr>
        <w:t> </w:t>
      </w:r>
      <w:r>
        <w:rPr>
          <w:color w:val="231F20"/>
        </w:rPr>
        <w:t>tot</w:t>
      </w:r>
      <w:r>
        <w:rPr>
          <w:color w:val="231F20"/>
          <w:spacing w:val="17"/>
        </w:rPr>
        <w:t> </w:t>
      </w:r>
      <w:r>
        <w:rPr>
          <w:color w:val="231F20"/>
        </w:rPr>
        <w:t>zes</w:t>
      </w:r>
      <w:r>
        <w:rPr>
          <w:color w:val="231F20"/>
          <w:spacing w:val="18"/>
        </w:rPr>
        <w:t> </w:t>
      </w:r>
      <w:r>
        <w:rPr>
          <w:color w:val="231F20"/>
        </w:rPr>
        <w:t>maanden</w:t>
      </w:r>
      <w:r>
        <w:rPr>
          <w:color w:val="231F20"/>
          <w:spacing w:val="17"/>
        </w:rPr>
        <w:t> </w:t>
      </w:r>
      <w:r>
        <w:rPr>
          <w:color w:val="231F20"/>
        </w:rPr>
        <w:t>beperkt.</w:t>
      </w:r>
    </w:p>
    <w:p>
      <w:pPr>
        <w:pStyle w:val="BodyText"/>
        <w:spacing w:line="218" w:lineRule="auto" w:before="97"/>
      </w:pPr>
      <w:r>
        <w:rPr>
          <w:color w:val="231F20"/>
        </w:rPr>
        <w:t>§ 2. Een overdracht in strijd met overdrachtsbeperkingen die in regelmatig openbaar gemaakte statuten zijn opgenomen, kan aan de vennootschap of derden niet worden tegengeworpen, ongeacht de goede of kwade trouw van de overnemer, zelfs wanneer de statutaire overdrachtsbeperking</w:t>
      </w:r>
      <w:r>
        <w:rPr>
          <w:color w:val="231F20"/>
          <w:spacing w:val="16"/>
        </w:rPr>
        <w:t> </w:t>
      </w:r>
      <w:r>
        <w:rPr>
          <w:color w:val="231F20"/>
        </w:rPr>
        <w:t>niet</w:t>
      </w:r>
      <w:r>
        <w:rPr>
          <w:color w:val="231F20"/>
          <w:spacing w:val="16"/>
        </w:rPr>
        <w:t> </w:t>
      </w:r>
      <w:r>
        <w:rPr>
          <w:color w:val="231F20"/>
        </w:rPr>
        <w:t>in</w:t>
      </w:r>
      <w:r>
        <w:rPr>
          <w:color w:val="231F20"/>
          <w:spacing w:val="16"/>
        </w:rPr>
        <w:t> </w:t>
      </w:r>
      <w:r>
        <w:rPr>
          <w:color w:val="231F20"/>
        </w:rPr>
        <w:t>het</w:t>
      </w:r>
      <w:r>
        <w:rPr>
          <w:color w:val="231F20"/>
          <w:spacing w:val="16"/>
        </w:rPr>
        <w:t> </w:t>
      </w:r>
      <w:r>
        <w:rPr>
          <w:color w:val="231F20"/>
        </w:rPr>
        <w:t>aandelenregister</w:t>
      </w:r>
      <w:r>
        <w:rPr>
          <w:color w:val="231F20"/>
          <w:spacing w:val="16"/>
        </w:rPr>
        <w:t> </w:t>
      </w:r>
      <w:r>
        <w:rPr>
          <w:color w:val="231F20"/>
        </w:rPr>
        <w:t>is</w:t>
      </w:r>
      <w:r>
        <w:rPr>
          <w:color w:val="231F20"/>
          <w:spacing w:val="16"/>
        </w:rPr>
        <w:t> </w:t>
      </w:r>
      <w:r>
        <w:rPr>
          <w:color w:val="231F20"/>
        </w:rPr>
        <w:t>opgenomen.</w:t>
      </w:r>
    </w:p>
    <w:p>
      <w:pPr>
        <w:pStyle w:val="BodyText"/>
        <w:spacing w:line="218" w:lineRule="auto" w:before="96"/>
      </w:pPr>
      <w:r>
        <w:rPr>
          <w:color w:val="231F20"/>
        </w:rPr>
        <w:t>Art. 7:79. </w:t>
      </w:r>
      <w:r>
        <w:rPr>
          <w:color w:val="231F20"/>
          <w:spacing w:val="-4"/>
        </w:rPr>
        <w:t>Vanaf </w:t>
      </w:r>
      <w:r>
        <w:rPr>
          <w:color w:val="231F20"/>
        </w:rPr>
        <w:t>het tijdstip dat de vennootschap de mededeling van de Autoriteit voor Financiële Diensten en Markten ontvangt dat haar kennis is gegeven van een openbaar overnamebod op de effecten van die vennootschap, moet bij weigering van goedkeuring of toepassing van de rechten van voorkoop, aan de effectenhouders binnen vijf dagen na de afsluiting van het bod worden voorgesteld dat hun effecten worden verworven door één of meer personen die zijn goedgekeurd of ten aanzien van wie het recht van voorkoop niet zal worden ingeroe- pen, tegen een prijs die ten minste gelijk is aan de prijs van het bod of het</w:t>
      </w:r>
      <w:r>
        <w:rPr>
          <w:color w:val="231F20"/>
          <w:spacing w:val="15"/>
        </w:rPr>
        <w:t> </w:t>
      </w:r>
      <w:r>
        <w:rPr>
          <w:color w:val="231F20"/>
        </w:rPr>
        <w:t>tegenbod.</w:t>
      </w:r>
    </w:p>
    <w:p>
      <w:pPr>
        <w:pStyle w:val="BodyText"/>
        <w:spacing w:line="218" w:lineRule="auto" w:before="97"/>
        <w:ind w:right="123"/>
      </w:pPr>
      <w:r>
        <w:rPr>
          <w:color w:val="231F20"/>
        </w:rPr>
        <w:t>Art. 7:80. Het bestuursorgaan van de doelvennootschap kan goed- keuringsclausules die, hetzij in de statuten, hetzij in een authentieke akte van uitgifte van converteerbare obligaties of inschrijvingsrechten zijn opgenomen, in afwijking van de artikelen 7:78 en 7:79, aan de bieder tegenwerpen, voor zover het de weigering van goedkeuring verantwoordt op grond van een blijvende en niet-discriminerende toepassing van de goedkeuringsregels die het heeft vastgesteld en aan de Autoriteit voor Financiële Diensten en Markten heeft medegedeeld voor de datum van ontvangst van de in artikel 7:79 bedoelde mededeling.</w:t>
      </w:r>
    </w:p>
    <w:p>
      <w:pPr>
        <w:pStyle w:val="BodyText"/>
        <w:spacing w:line="218" w:lineRule="auto" w:before="97"/>
      </w:pPr>
      <w:r>
        <w:rPr>
          <w:color w:val="231F20"/>
        </w:rPr>
        <w:t>Art. 7:81. De statuten en de uitgiftevoorwaarden van obligaties en andere effecten dan deze bedoeld in artikel 7:78 kunnen perken stellen aan de overdraagbaarheid, onder de levenden of bij overlijden,  van deze effecten op naam of in gedematerialiseerde vorm.</w:t>
      </w:r>
    </w:p>
    <w:p>
      <w:pPr>
        <w:pStyle w:val="BodyText"/>
        <w:spacing w:line="218" w:lineRule="auto" w:before="96"/>
      </w:pPr>
      <w:r>
        <w:rPr>
          <w:color w:val="231F20"/>
        </w:rPr>
        <w:t>Een overdracht van effecten bedoeld in het eerste lid in strijd met overdrachtsbeperkingen die in regelmatig openbaar gemaakte statuten of uitgiftevoorwaarden zijn opgenomen, kan aan de vennootschap of derden niet worden tegengeworpen, en dit in de mate bepaald in de uitgiftevoorwaarden of statuten en ongeacht de goede of kwader trouw van de overnemer.</w:t>
      </w:r>
    </w:p>
    <w:p>
      <w:pPr>
        <w:pStyle w:val="BodyText"/>
        <w:spacing w:line="218" w:lineRule="auto" w:before="107"/>
      </w:pPr>
      <w:r>
        <w:rPr>
          <w:color w:val="231F20"/>
        </w:rPr>
        <w:t>De uitgiftevoorwaarden van effecten bedoeld in het eerste lid zijn regelmatig openbaar gemaakt indien ze werden neergelegd en bekend- gemaakt overeenkomstig de artikelen 2:8, § 3, en 2:14, 1°, of zijn opgenomen in een</w:t>
      </w:r>
      <w:r>
        <w:rPr>
          <w:color w:val="231F20"/>
          <w:spacing w:val="4"/>
        </w:rPr>
        <w:t> </w:t>
      </w:r>
      <w:r>
        <w:rPr>
          <w:color w:val="231F20"/>
        </w:rPr>
        <w:t>prospectus.</w:t>
      </w:r>
    </w:p>
    <w:p>
      <w:pPr>
        <w:pStyle w:val="BodyText"/>
        <w:spacing w:before="93"/>
        <w:ind w:left="283" w:right="0" w:firstLine="0"/>
        <w:jc w:val="left"/>
      </w:pPr>
      <w:r>
        <w:rPr>
          <w:color w:val="231F20"/>
        </w:rPr>
        <w:t>Afdeling  3.  Het</w:t>
      </w:r>
      <w:r>
        <w:rPr>
          <w:color w:val="231F20"/>
          <w:spacing w:val="2"/>
        </w:rPr>
        <w:t> </w:t>
      </w:r>
      <w:r>
        <w:rPr>
          <w:color w:val="231F20"/>
        </w:rPr>
        <w:t>uitkoopbod.</w:t>
      </w:r>
    </w:p>
    <w:p>
      <w:pPr>
        <w:pStyle w:val="BodyText"/>
        <w:spacing w:line="218" w:lineRule="auto" w:before="103"/>
      </w:pPr>
      <w:r>
        <w:rPr>
          <w:color w:val="231F20"/>
        </w:rPr>
        <w:t>Art. 7:82. § 1. Iedere natuurlijke persoon of iedere rechtspersoon die, alleen of in onderling overleg handelend, 95 % van de effecten met stemrecht van een genoteerde naamloze vennootschap bezit, kan een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43" w:hanging="1"/>
      </w:pPr>
      <w:r>
        <w:rPr/>
        <w:pict>
          <v:line style="position:absolute;mso-position-horizontal-relative:page;mso-position-vertical-relative:page;z-index:4888" from="298.170502pt,64.473pt" to="298.170502pt,812.819pt" stroked="true" strokeweight=".533pt" strokecolor="#231f20">
            <v:stroke dashstyle="solid"/>
            <w10:wrap type="none"/>
          </v:line>
        </w:pict>
      </w:r>
      <w:bookmarkStart w:name="_bookmark161" w:id="166"/>
      <w:bookmarkEnd w:id="166"/>
      <w:r>
        <w:rPr/>
      </w:r>
      <w:r>
        <w:rPr>
          <w:color w:val="231F20"/>
        </w:rPr>
        <w:t>reprise afin d’acquérir la totalité des titres de cette société conférant le droit de vote ou donnant accès au droit de vote.</w:t>
      </w:r>
    </w:p>
    <w:p>
      <w:pPr>
        <w:pStyle w:val="BodyText"/>
        <w:spacing w:before="5"/>
        <w:ind w:left="0" w:right="0" w:firstLine="0"/>
        <w:jc w:val="left"/>
        <w:rPr>
          <w:sz w:val="23"/>
        </w:rPr>
      </w:pPr>
    </w:p>
    <w:p>
      <w:pPr>
        <w:pStyle w:val="BodyText"/>
        <w:spacing w:line="211" w:lineRule="auto"/>
        <w:ind w:right="42"/>
      </w:pPr>
      <w:r>
        <w:rPr>
          <w:color w:val="231F20"/>
        </w:rPr>
        <w:t>Pour le calcul du pourcentage de 95 % des titres avec droit de vote visé à l’alinéa 1</w:t>
      </w:r>
      <w:r>
        <w:rPr>
          <w:color w:val="231F20"/>
          <w:position w:val="7"/>
          <w:sz w:val="11"/>
        </w:rPr>
        <w:t>er</w:t>
      </w:r>
      <w:r>
        <w:rPr>
          <w:color w:val="231F20"/>
        </w:rPr>
        <w:t>, il n’est pas tenu compte du droit de vote double visé   à l’article</w:t>
      </w:r>
      <w:r>
        <w:rPr>
          <w:color w:val="231F20"/>
          <w:spacing w:val="-12"/>
        </w:rPr>
        <w:t> </w:t>
      </w:r>
      <w:r>
        <w:rPr>
          <w:color w:val="231F20"/>
        </w:rPr>
        <w:t>7:53.</w:t>
      </w:r>
    </w:p>
    <w:p>
      <w:pPr>
        <w:pStyle w:val="BodyText"/>
        <w:spacing w:line="218" w:lineRule="auto" w:before="83"/>
        <w:ind w:right="41"/>
      </w:pPr>
      <w:r>
        <w:rPr>
          <w:color w:val="231F20"/>
        </w:rPr>
        <w:t>A l’issue de la procédure, les titres non présentés, que leur propriétaire se soit ou non manifesté, sont réputés transférés de plein droit à cette personne avec consignation du prix.</w:t>
      </w:r>
    </w:p>
    <w:p>
      <w:pPr>
        <w:pStyle w:val="BodyText"/>
        <w:ind w:left="0" w:right="0" w:firstLine="0"/>
        <w:jc w:val="left"/>
        <w:rPr>
          <w:sz w:val="23"/>
        </w:rPr>
      </w:pPr>
    </w:p>
    <w:p>
      <w:pPr>
        <w:pStyle w:val="BodyText"/>
        <w:spacing w:line="218" w:lineRule="auto"/>
        <w:ind w:right="41"/>
      </w:pPr>
      <w:r>
        <w:rPr>
          <w:color w:val="231F20"/>
        </w:rPr>
        <w:t>A l’issue de l’offre de reprise, la société n’est plus considérée comme une société cotée.</w:t>
      </w:r>
    </w:p>
    <w:p>
      <w:pPr>
        <w:pStyle w:val="BodyText"/>
        <w:spacing w:before="72"/>
        <w:ind w:left="283" w:right="0" w:firstLine="0"/>
        <w:jc w:val="left"/>
      </w:pPr>
      <w:r>
        <w:rPr>
          <w:color w:val="231F20"/>
        </w:rPr>
        <w:t>Par personnes agissant de concert, il faut entendre:</w:t>
      </w:r>
    </w:p>
    <w:p>
      <w:pPr>
        <w:pStyle w:val="BodyText"/>
        <w:spacing w:line="218" w:lineRule="auto" w:before="82"/>
        <w:ind w:right="41"/>
      </w:pPr>
      <w:r>
        <w:rPr>
          <w:color w:val="231F20"/>
        </w:rPr>
        <w:t>1° les personnes physiques ou morales qui coopèrent avec l’offrant, avec la société visée ou avec d’autres personnes, sur la base d’un  accord, formel ou tacite, oral ou écrit, visant à obtenir le contrôle de la société</w:t>
      </w:r>
      <w:r>
        <w:rPr>
          <w:color w:val="231F20"/>
          <w:spacing w:val="14"/>
        </w:rPr>
        <w:t> </w:t>
      </w:r>
      <w:r>
        <w:rPr>
          <w:color w:val="231F20"/>
        </w:rPr>
        <w:t>visée</w:t>
      </w:r>
      <w:r>
        <w:rPr>
          <w:color w:val="231F20"/>
          <w:spacing w:val="15"/>
        </w:rPr>
        <w:t> </w:t>
      </w:r>
      <w:r>
        <w:rPr>
          <w:color w:val="231F20"/>
        </w:rPr>
        <w:t>ou</w:t>
      </w:r>
      <w:r>
        <w:rPr>
          <w:color w:val="231F20"/>
          <w:spacing w:val="15"/>
        </w:rPr>
        <w:t> </w:t>
      </w:r>
      <w:r>
        <w:rPr>
          <w:color w:val="231F20"/>
        </w:rPr>
        <w:t>à</w:t>
      </w:r>
      <w:r>
        <w:rPr>
          <w:color w:val="231F20"/>
          <w:spacing w:val="15"/>
        </w:rPr>
        <w:t> </w:t>
      </w:r>
      <w:r>
        <w:rPr>
          <w:color w:val="231F20"/>
        </w:rPr>
        <w:t>maintenir</w:t>
      </w:r>
      <w:r>
        <w:rPr>
          <w:color w:val="231F20"/>
          <w:spacing w:val="15"/>
        </w:rPr>
        <w:t> </w:t>
      </w:r>
      <w:r>
        <w:rPr>
          <w:color w:val="231F20"/>
        </w:rPr>
        <w:t>le</w:t>
      </w:r>
      <w:r>
        <w:rPr>
          <w:color w:val="231F20"/>
          <w:spacing w:val="14"/>
        </w:rPr>
        <w:t> </w:t>
      </w:r>
      <w:r>
        <w:rPr>
          <w:color w:val="231F20"/>
        </w:rPr>
        <w:t>contrôle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visée;</w:t>
      </w:r>
    </w:p>
    <w:p>
      <w:pPr>
        <w:pStyle w:val="BodyText"/>
        <w:ind w:left="0" w:right="0" w:firstLine="0"/>
        <w:jc w:val="left"/>
        <w:rPr>
          <w:sz w:val="23"/>
        </w:rPr>
      </w:pPr>
    </w:p>
    <w:p>
      <w:pPr>
        <w:pStyle w:val="BodyText"/>
        <w:spacing w:line="218" w:lineRule="auto"/>
        <w:ind w:right="41"/>
      </w:pPr>
      <w:r>
        <w:rPr>
          <w:color w:val="231F20"/>
        </w:rPr>
        <w:t>2° les personnes physiques ou morales qui ont conclu un accord portant sur l’exercice concerté de leurs droits de vote, en vue de mener une politique commune durable vis-à-vis de la société concernée.</w:t>
      </w:r>
    </w:p>
    <w:p>
      <w:pPr>
        <w:pStyle w:val="BodyText"/>
        <w:ind w:left="0" w:right="0" w:firstLine="0"/>
        <w:jc w:val="left"/>
        <w:rPr>
          <w:sz w:val="23"/>
        </w:rPr>
      </w:pPr>
    </w:p>
    <w:p>
      <w:pPr>
        <w:pStyle w:val="BodyText"/>
        <w:spacing w:line="218" w:lineRule="auto"/>
        <w:ind w:right="41"/>
      </w:pPr>
      <w:r>
        <w:rPr>
          <w:color w:val="231F20"/>
        </w:rPr>
        <w:t>§ 2. Toute personne physique ou morale, qui, agissant seule ou de concert, détient 95 % des titres conférant le droit de vote émis par une société anonyme non cotée, peut faire une offre de reprise afin d’acquérir la totalité des titres de cette société conférant le droit de vote ou donnant accès au droit de vote.</w:t>
      </w:r>
    </w:p>
    <w:p>
      <w:pPr>
        <w:pStyle w:val="BodyText"/>
        <w:spacing w:line="201" w:lineRule="auto" w:before="97"/>
        <w:ind w:right="42"/>
      </w:pPr>
      <w:r>
        <w:rPr>
          <w:color w:val="231F20"/>
        </w:rPr>
        <w:t>Pour le calcul du pourcentage de 95 % des titres, avec droit de vote visé à l’alinéa 1</w:t>
      </w:r>
      <w:r>
        <w:rPr>
          <w:color w:val="231F20"/>
          <w:position w:val="7"/>
          <w:sz w:val="11"/>
        </w:rPr>
        <w:t>er</w:t>
      </w:r>
      <w:r>
        <w:rPr>
          <w:color w:val="231F20"/>
        </w:rPr>
        <w:t>, il n’est pas tenu compte du droit de vote multiple.</w:t>
      </w:r>
    </w:p>
    <w:p>
      <w:pPr>
        <w:pStyle w:val="BodyText"/>
        <w:spacing w:before="1"/>
        <w:ind w:left="0" w:right="0" w:firstLine="0"/>
        <w:jc w:val="left"/>
        <w:rPr>
          <w:sz w:val="23"/>
        </w:rPr>
      </w:pPr>
    </w:p>
    <w:p>
      <w:pPr>
        <w:pStyle w:val="BodyText"/>
        <w:spacing w:line="218" w:lineRule="auto"/>
        <w:ind w:right="41"/>
      </w:pPr>
      <w:r>
        <w:rPr>
          <w:color w:val="231F20"/>
        </w:rPr>
        <w:t>A l’issue de la procédure, à l’exception des titres dont le propriétaire  a fait savoir expressément et par écrit qu’il refusait de s’en défaire, les titres non présentés sont réputés transférés de plein droit à la personne ayant fait </w:t>
      </w:r>
      <w:r>
        <w:rPr>
          <w:color w:val="231F20"/>
          <w:spacing w:val="-4"/>
        </w:rPr>
        <w:t>offre </w:t>
      </w:r>
      <w:r>
        <w:rPr>
          <w:color w:val="231F20"/>
        </w:rPr>
        <w:t>de reprise avec consignation du prix. Les titres dématérialisés dont le propriétaire a fait savoir qu’il refusait de se défaire sont convertis de plein droit en titres nominatifs et sont inscrits au</w:t>
      </w:r>
      <w:r>
        <w:rPr>
          <w:color w:val="231F20"/>
          <w:spacing w:val="14"/>
        </w:rPr>
        <w:t> </w:t>
      </w:r>
      <w:r>
        <w:rPr>
          <w:color w:val="231F20"/>
        </w:rPr>
        <w:t>registre</w:t>
      </w:r>
      <w:r>
        <w:rPr>
          <w:color w:val="231F20"/>
          <w:spacing w:val="14"/>
        </w:rPr>
        <w:t> </w:t>
      </w:r>
      <w:r>
        <w:rPr>
          <w:color w:val="231F20"/>
        </w:rPr>
        <w:t>des</w:t>
      </w:r>
      <w:r>
        <w:rPr>
          <w:color w:val="231F20"/>
          <w:spacing w:val="14"/>
        </w:rPr>
        <w:t> </w:t>
      </w:r>
      <w:r>
        <w:rPr>
          <w:color w:val="231F20"/>
        </w:rPr>
        <w:t>titres</w:t>
      </w:r>
      <w:r>
        <w:rPr>
          <w:color w:val="231F20"/>
          <w:spacing w:val="15"/>
        </w:rPr>
        <w:t> </w:t>
      </w:r>
      <w:r>
        <w:rPr>
          <w:color w:val="231F20"/>
        </w:rPr>
        <w:t>nominatifs</w:t>
      </w:r>
      <w:r>
        <w:rPr>
          <w:color w:val="231F20"/>
          <w:spacing w:val="14"/>
        </w:rPr>
        <w:t> </w:t>
      </w:r>
      <w:r>
        <w:rPr>
          <w:color w:val="231F20"/>
        </w:rPr>
        <w:t>par</w:t>
      </w:r>
      <w:r>
        <w:rPr>
          <w:color w:val="231F20"/>
          <w:spacing w:val="14"/>
        </w:rPr>
        <w:t> </w:t>
      </w:r>
      <w:r>
        <w:rPr>
          <w:color w:val="231F20"/>
        </w:rPr>
        <w:t>l’émetteur.</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spacing w:val="-6"/>
        </w:rPr>
        <w:t>L’offre</w:t>
      </w:r>
      <w:r>
        <w:rPr>
          <w:color w:val="231F20"/>
          <w:spacing w:val="-8"/>
        </w:rPr>
        <w:t> </w:t>
      </w:r>
      <w:r>
        <w:rPr>
          <w:color w:val="231F20"/>
        </w:rPr>
        <w:t>visée</w:t>
      </w:r>
      <w:r>
        <w:rPr>
          <w:color w:val="231F20"/>
          <w:spacing w:val="-7"/>
        </w:rPr>
        <w:t> </w:t>
      </w:r>
      <w:r>
        <w:rPr>
          <w:color w:val="231F20"/>
        </w:rPr>
        <w:t>à</w:t>
      </w:r>
      <w:r>
        <w:rPr>
          <w:color w:val="231F20"/>
          <w:spacing w:val="-8"/>
        </w:rPr>
        <w:t> </w:t>
      </w:r>
      <w:r>
        <w:rPr>
          <w:color w:val="231F20"/>
        </w:rPr>
        <w:t>l’alinéa</w:t>
      </w:r>
      <w:r>
        <w:rPr>
          <w:color w:val="231F20"/>
          <w:spacing w:val="-7"/>
        </w:rPr>
        <w:t> </w:t>
      </w:r>
      <w:r>
        <w:rPr>
          <w:color w:val="231F20"/>
        </w:rPr>
        <w:t>1</w:t>
      </w:r>
      <w:r>
        <w:rPr>
          <w:color w:val="231F20"/>
          <w:position w:val="7"/>
          <w:sz w:val="11"/>
        </w:rPr>
        <w:t>er</w:t>
      </w:r>
      <w:r>
        <w:rPr>
          <w:color w:val="231F20"/>
          <w:spacing w:val="-3"/>
          <w:position w:val="7"/>
          <w:sz w:val="11"/>
        </w:rPr>
        <w:t> </w:t>
      </w:r>
      <w:r>
        <w:rPr>
          <w:color w:val="231F20"/>
        </w:rPr>
        <w:t>n’est</w:t>
      </w:r>
      <w:r>
        <w:rPr>
          <w:color w:val="231F20"/>
          <w:spacing w:val="-7"/>
        </w:rPr>
        <w:t> </w:t>
      </w:r>
      <w:r>
        <w:rPr>
          <w:color w:val="231F20"/>
        </w:rPr>
        <w:t>pas</w:t>
      </w:r>
      <w:r>
        <w:rPr>
          <w:color w:val="231F20"/>
          <w:spacing w:val="-8"/>
        </w:rPr>
        <w:t> </w:t>
      </w:r>
      <w:r>
        <w:rPr>
          <w:color w:val="231F20"/>
        </w:rPr>
        <w:t>soumise</w:t>
      </w:r>
      <w:r>
        <w:rPr>
          <w:color w:val="231F20"/>
          <w:spacing w:val="-7"/>
        </w:rPr>
        <w:t> </w:t>
      </w:r>
      <w:r>
        <w:rPr>
          <w:color w:val="231F20"/>
        </w:rPr>
        <w:t>à</w:t>
      </w:r>
      <w:r>
        <w:rPr>
          <w:color w:val="231F20"/>
          <w:spacing w:val="-8"/>
        </w:rPr>
        <w:t> </w:t>
      </w:r>
      <w:r>
        <w:rPr>
          <w:color w:val="231F20"/>
        </w:rPr>
        <w:t>la</w:t>
      </w:r>
      <w:r>
        <w:rPr>
          <w:color w:val="231F20"/>
          <w:spacing w:val="-7"/>
        </w:rPr>
        <w:t> </w:t>
      </w:r>
      <w:r>
        <w:rPr>
          <w:color w:val="231F20"/>
        </w:rPr>
        <w:t>loi</w:t>
      </w:r>
      <w:r>
        <w:rPr>
          <w:color w:val="231F20"/>
          <w:spacing w:val="-8"/>
        </w:rPr>
        <w:t> </w:t>
      </w:r>
      <w:r>
        <w:rPr>
          <w:color w:val="231F20"/>
        </w:rPr>
        <w:t>du</w:t>
      </w:r>
      <w:r>
        <w:rPr>
          <w:color w:val="231F20"/>
          <w:spacing w:val="-7"/>
        </w:rPr>
        <w:t> </w:t>
      </w:r>
      <w:r>
        <w:rPr>
          <w:color w:val="231F20"/>
        </w:rPr>
        <w:t>1</w:t>
      </w:r>
      <w:r>
        <w:rPr>
          <w:color w:val="231F20"/>
          <w:position w:val="7"/>
          <w:sz w:val="11"/>
        </w:rPr>
        <w:t>er</w:t>
      </w:r>
      <w:r>
        <w:rPr>
          <w:color w:val="231F20"/>
          <w:spacing w:val="-2"/>
          <w:position w:val="7"/>
          <w:sz w:val="11"/>
        </w:rPr>
        <w:t> </w:t>
      </w:r>
      <w:r>
        <w:rPr>
          <w:color w:val="231F20"/>
        </w:rPr>
        <w:t>avril</w:t>
      </w:r>
      <w:r>
        <w:rPr>
          <w:color w:val="231F20"/>
          <w:spacing w:val="-8"/>
        </w:rPr>
        <w:t> </w:t>
      </w:r>
      <w:r>
        <w:rPr>
          <w:color w:val="231F20"/>
        </w:rPr>
        <w:t>2007</w:t>
      </w:r>
      <w:r>
        <w:rPr>
          <w:color w:val="231F20"/>
          <w:spacing w:val="-7"/>
        </w:rPr>
        <w:t> </w:t>
      </w:r>
      <w:r>
        <w:rPr>
          <w:color w:val="231F20"/>
          <w:spacing w:val="-3"/>
        </w:rPr>
        <w:t>rela- </w:t>
      </w:r>
      <w:r>
        <w:rPr>
          <w:color w:val="231F20"/>
        </w:rPr>
        <w:t>tive aux </w:t>
      </w:r>
      <w:r>
        <w:rPr>
          <w:color w:val="231F20"/>
          <w:spacing w:val="-3"/>
        </w:rPr>
        <w:t>offres </w:t>
      </w:r>
      <w:r>
        <w:rPr>
          <w:color w:val="231F20"/>
        </w:rPr>
        <w:t>publiques</w:t>
      </w:r>
      <w:r>
        <w:rPr>
          <w:color w:val="231F20"/>
          <w:spacing w:val="28"/>
        </w:rPr>
        <w:t> </w:t>
      </w:r>
      <w:r>
        <w:rPr>
          <w:color w:val="231F20"/>
        </w:rPr>
        <w:t>d’acquisition.</w:t>
      </w:r>
    </w:p>
    <w:p>
      <w:pPr>
        <w:pStyle w:val="BodyText"/>
        <w:spacing w:line="218" w:lineRule="auto" w:before="85"/>
        <w:ind w:right="42"/>
      </w:pPr>
      <w:r>
        <w:rPr>
          <w:color w:val="231F20"/>
        </w:rPr>
        <w:t>§ 3. Le Roi peut réglementer l’offre de reprise visée au paragraphe 2, et notamment déterminer la procédure à suivre et les modalités de fixation du prix de l’offre de reprise. A cette fin, Il veille à assurer l’information et l’égalité de traitement des titulaires de titres.</w:t>
      </w:r>
    </w:p>
    <w:p>
      <w:pPr>
        <w:pStyle w:val="BodyText"/>
        <w:ind w:left="0" w:right="0" w:firstLine="0"/>
        <w:jc w:val="left"/>
        <w:rPr>
          <w:sz w:val="23"/>
        </w:rPr>
      </w:pPr>
    </w:p>
    <w:p>
      <w:pPr>
        <w:pStyle w:val="BodyText"/>
        <w:spacing w:line="218" w:lineRule="auto" w:before="1"/>
        <w:ind w:right="41"/>
      </w:pPr>
      <w:r>
        <w:rPr>
          <w:color w:val="231F20"/>
        </w:rPr>
        <w:t>§ 4. L’extrait de la décision judiciaire passée en force de chose jugée ou exécutoire par provision se prononçant sur les conditions d’une </w:t>
      </w:r>
      <w:r>
        <w:rPr>
          <w:color w:val="231F20"/>
          <w:spacing w:val="-4"/>
        </w:rPr>
        <w:t>offre </w:t>
      </w:r>
      <w:r>
        <w:rPr>
          <w:color w:val="231F20"/>
        </w:rPr>
        <w:t>de</w:t>
      </w:r>
      <w:r>
        <w:rPr>
          <w:color w:val="231F20"/>
          <w:spacing w:val="-10"/>
        </w:rPr>
        <w:t> </w:t>
      </w:r>
      <w:r>
        <w:rPr>
          <w:color w:val="231F20"/>
        </w:rPr>
        <w:t>reprise,</w:t>
      </w:r>
      <w:r>
        <w:rPr>
          <w:color w:val="231F20"/>
          <w:spacing w:val="-9"/>
        </w:rPr>
        <w:t> </w:t>
      </w:r>
      <w:r>
        <w:rPr>
          <w:color w:val="231F20"/>
        </w:rPr>
        <w:t>est</w:t>
      </w:r>
      <w:r>
        <w:rPr>
          <w:color w:val="231F20"/>
          <w:spacing w:val="-10"/>
        </w:rPr>
        <w:t> </w:t>
      </w:r>
      <w:r>
        <w:rPr>
          <w:color w:val="231F20"/>
        </w:rPr>
        <w:t>déposé</w:t>
      </w:r>
      <w:r>
        <w:rPr>
          <w:color w:val="231F20"/>
          <w:spacing w:val="-9"/>
        </w:rPr>
        <w:t> </w:t>
      </w:r>
      <w:r>
        <w:rPr>
          <w:color w:val="231F20"/>
        </w:rPr>
        <w:t>et</w:t>
      </w:r>
      <w:r>
        <w:rPr>
          <w:color w:val="231F20"/>
          <w:spacing w:val="-10"/>
        </w:rPr>
        <w:t> </w:t>
      </w:r>
      <w:r>
        <w:rPr>
          <w:color w:val="231F20"/>
        </w:rPr>
        <w:t>publié</w:t>
      </w:r>
      <w:r>
        <w:rPr>
          <w:color w:val="231F20"/>
          <w:spacing w:val="-9"/>
        </w:rPr>
        <w:t> </w:t>
      </w:r>
      <w:r>
        <w:rPr>
          <w:color w:val="231F20"/>
        </w:rPr>
        <w:t>conformément</w:t>
      </w:r>
      <w:r>
        <w:rPr>
          <w:color w:val="231F20"/>
          <w:spacing w:val="-10"/>
        </w:rPr>
        <w:t> </w:t>
      </w:r>
      <w:r>
        <w:rPr>
          <w:color w:val="231F20"/>
        </w:rPr>
        <w:t>aux</w:t>
      </w:r>
      <w:r>
        <w:rPr>
          <w:color w:val="231F20"/>
          <w:spacing w:val="-9"/>
        </w:rPr>
        <w:t> </w:t>
      </w:r>
      <w:r>
        <w:rPr>
          <w:color w:val="231F20"/>
        </w:rPr>
        <w:t>articles</w:t>
      </w:r>
      <w:r>
        <w:rPr>
          <w:color w:val="231F20"/>
          <w:spacing w:val="-10"/>
        </w:rPr>
        <w:t> </w:t>
      </w:r>
      <w:r>
        <w:rPr>
          <w:color w:val="231F20"/>
        </w:rPr>
        <w:t>2:8</w:t>
      </w:r>
      <w:r>
        <w:rPr>
          <w:color w:val="231F20"/>
          <w:spacing w:val="-9"/>
        </w:rPr>
        <w:t> </w:t>
      </w:r>
      <w:r>
        <w:rPr>
          <w:color w:val="231F20"/>
        </w:rPr>
        <w:t>et</w:t>
      </w:r>
      <w:r>
        <w:rPr>
          <w:color w:val="231F20"/>
          <w:spacing w:val="-10"/>
        </w:rPr>
        <w:t> </w:t>
      </w:r>
      <w:r>
        <w:rPr>
          <w:color w:val="231F20"/>
        </w:rPr>
        <w:t>2:14,</w:t>
      </w:r>
      <w:r>
        <w:rPr>
          <w:color w:val="231F20"/>
          <w:spacing w:val="-9"/>
        </w:rPr>
        <w:t> </w:t>
      </w:r>
      <w:r>
        <w:rPr>
          <w:color w:val="231F20"/>
        </w:rPr>
        <w:t>4°.</w:t>
      </w:r>
    </w:p>
    <w:p>
      <w:pPr>
        <w:pStyle w:val="BodyText"/>
        <w:spacing w:before="2"/>
        <w:ind w:left="0" w:right="0" w:firstLine="0"/>
        <w:jc w:val="left"/>
        <w:rPr>
          <w:sz w:val="22"/>
        </w:rPr>
      </w:pPr>
    </w:p>
    <w:p>
      <w:pPr>
        <w:pStyle w:val="BodyText"/>
        <w:spacing w:line="208" w:lineRule="auto"/>
        <w:ind w:right="41"/>
      </w:pPr>
      <w:r>
        <w:rPr>
          <w:color w:val="231F20"/>
        </w:rPr>
        <w:t>§ 5. Le Roi peut décider de soumettre au régime du paragraphe 1</w:t>
      </w:r>
      <w:r>
        <w:rPr>
          <w:color w:val="231F20"/>
          <w:position w:val="7"/>
          <w:sz w:val="11"/>
        </w:rPr>
        <w:t>er  </w:t>
      </w:r>
      <w:r>
        <w:rPr>
          <w:color w:val="231F20"/>
        </w:rPr>
        <w:t>des sociétés non cotées dont les actions sont admises à la négociation sur les marchés qu’il désigne en vertu de l’article 5, alinéa 1</w:t>
      </w:r>
      <w:r>
        <w:rPr>
          <w:color w:val="231F20"/>
          <w:position w:val="7"/>
          <w:sz w:val="11"/>
        </w:rPr>
        <w:t>er</w:t>
      </w:r>
      <w:r>
        <w:rPr>
          <w:color w:val="231F20"/>
        </w:rPr>
        <w:t>, de la loi du 1</w:t>
      </w:r>
      <w:r>
        <w:rPr>
          <w:color w:val="231F20"/>
          <w:position w:val="7"/>
          <w:sz w:val="11"/>
        </w:rPr>
        <w:t>er </w:t>
      </w:r>
      <w:r>
        <w:rPr>
          <w:color w:val="231F20"/>
        </w:rPr>
        <w:t>avril 2007 relative aux </w:t>
      </w:r>
      <w:r>
        <w:rPr>
          <w:color w:val="231F20"/>
          <w:spacing w:val="-3"/>
        </w:rPr>
        <w:t>offres </w:t>
      </w:r>
      <w:r>
        <w:rPr>
          <w:color w:val="231F20"/>
        </w:rPr>
        <w:t>publiques</w:t>
      </w:r>
      <w:r>
        <w:rPr>
          <w:color w:val="231F20"/>
          <w:spacing w:val="31"/>
        </w:rPr>
        <w:t> </w:t>
      </w:r>
      <w:r>
        <w:rPr>
          <w:color w:val="231F20"/>
        </w:rPr>
        <w:t>d’acquisition.</w:t>
      </w:r>
    </w:p>
    <w:p>
      <w:pPr>
        <w:pStyle w:val="BodyText"/>
        <w:spacing w:before="4"/>
        <w:ind w:left="0" w:right="0" w:firstLine="0"/>
        <w:jc w:val="left"/>
        <w:rPr>
          <w:sz w:val="21"/>
        </w:rPr>
      </w:pPr>
    </w:p>
    <w:p>
      <w:pPr>
        <w:pStyle w:val="BodyText"/>
        <w:ind w:left="283" w:right="0" w:firstLine="0"/>
        <w:jc w:val="left"/>
      </w:pPr>
      <w:r>
        <w:rPr>
          <w:color w:val="231F20"/>
        </w:rPr>
        <w:t>Section 4. Publicité des participations importantes.</w:t>
      </w:r>
    </w:p>
    <w:p>
      <w:pPr>
        <w:pStyle w:val="BodyText"/>
        <w:spacing w:line="218" w:lineRule="auto" w:before="67"/>
        <w:ind w:right="41"/>
      </w:pPr>
      <w:r>
        <w:rPr>
          <w:color w:val="231F20"/>
        </w:rPr>
        <w:t>Art. 7:83. § 1</w:t>
      </w:r>
      <w:r>
        <w:rPr>
          <w:color w:val="231F20"/>
          <w:position w:val="7"/>
          <w:sz w:val="11"/>
        </w:rPr>
        <w:t>er</w:t>
      </w:r>
      <w:r>
        <w:rPr>
          <w:color w:val="231F20"/>
        </w:rPr>
        <w:t>. </w:t>
      </w:r>
      <w:r>
        <w:rPr>
          <w:color w:val="231F20"/>
          <w:spacing w:val="-4"/>
        </w:rPr>
        <w:t>Toute </w:t>
      </w:r>
      <w:r>
        <w:rPr>
          <w:color w:val="231F20"/>
        </w:rPr>
        <w:t>personne physique ou morale qui acquiert directement</w:t>
      </w:r>
      <w:r>
        <w:rPr>
          <w:color w:val="231F20"/>
          <w:spacing w:val="-6"/>
        </w:rPr>
        <w:t> </w:t>
      </w:r>
      <w:r>
        <w:rPr>
          <w:color w:val="231F20"/>
        </w:rPr>
        <w:t>ou</w:t>
      </w:r>
      <w:r>
        <w:rPr>
          <w:color w:val="231F20"/>
          <w:spacing w:val="-6"/>
        </w:rPr>
        <w:t> </w:t>
      </w:r>
      <w:r>
        <w:rPr>
          <w:color w:val="231F20"/>
        </w:rPr>
        <w:t>indirectement</w:t>
      </w:r>
      <w:r>
        <w:rPr>
          <w:color w:val="231F20"/>
          <w:spacing w:val="-6"/>
        </w:rPr>
        <w:t> </w:t>
      </w:r>
      <w:r>
        <w:rPr>
          <w:color w:val="231F20"/>
        </w:rPr>
        <w:t>des</w:t>
      </w:r>
      <w:r>
        <w:rPr>
          <w:color w:val="231F20"/>
          <w:spacing w:val="-6"/>
        </w:rPr>
        <w:t> </w:t>
      </w:r>
      <w:r>
        <w:rPr>
          <w:color w:val="231F20"/>
        </w:rPr>
        <w:t>titres</w:t>
      </w:r>
      <w:r>
        <w:rPr>
          <w:color w:val="231F20"/>
          <w:spacing w:val="-5"/>
        </w:rPr>
        <w:t> </w:t>
      </w:r>
      <w:r>
        <w:rPr>
          <w:color w:val="231F20"/>
        </w:rPr>
        <w:t>dématérialisés</w:t>
      </w:r>
      <w:r>
        <w:rPr>
          <w:color w:val="231F20"/>
          <w:spacing w:val="-6"/>
        </w:rPr>
        <w:t> </w:t>
      </w:r>
      <w:r>
        <w:rPr>
          <w:color w:val="231F20"/>
        </w:rPr>
        <w:t>représentatifs</w:t>
      </w:r>
      <w:r>
        <w:rPr>
          <w:color w:val="231F20"/>
          <w:spacing w:val="-6"/>
        </w:rPr>
        <w:t> </w:t>
      </w:r>
      <w:r>
        <w:rPr>
          <w:color w:val="231F20"/>
        </w:rPr>
        <w:t>ou non du capital conférant le droit de vote dans les sociétés anonyme non soumise au titre II de la loi du 2 mai 2007 relative à la publicité des participations importantes dans des émetteurs dont les actions sont admises à la négociation sur un marché réglementé et portant des dispositions diverses, doit déclarer à cette société, au plus tard le cinquième jour ouvrable suivant le jour de l’acquisition, le nombre de titres qu’elle possède lorsque les droits de vote afférents à ces titres atteignent une quotité de 25 % ou plus du total des droits de</w:t>
      </w:r>
      <w:r>
        <w:rPr>
          <w:color w:val="231F20"/>
          <w:spacing w:val="24"/>
        </w:rPr>
        <w:t> </w:t>
      </w:r>
      <w:r>
        <w:rPr>
          <w:color w:val="231F20"/>
        </w:rPr>
        <w:t>vote existant au moment de la réalisation de l’opération donnant lieu à l’obligation de</w:t>
      </w:r>
      <w:r>
        <w:rPr>
          <w:color w:val="231F20"/>
          <w:spacing w:val="-11"/>
        </w:rPr>
        <w:t> </w:t>
      </w:r>
      <w:r>
        <w:rPr>
          <w:color w:val="231F20"/>
        </w:rPr>
        <w:t>déclaration.</w:t>
      </w:r>
    </w:p>
    <w:p>
      <w:pPr>
        <w:pStyle w:val="BodyText"/>
        <w:ind w:left="0" w:right="0" w:firstLine="0"/>
        <w:jc w:val="left"/>
        <w:rPr>
          <w:sz w:val="24"/>
        </w:rPr>
      </w:pPr>
    </w:p>
    <w:p>
      <w:pPr>
        <w:pStyle w:val="BodyText"/>
        <w:spacing w:line="218" w:lineRule="auto"/>
        <w:ind w:right="41"/>
      </w:pPr>
      <w:r>
        <w:rPr>
          <w:color w:val="231F20"/>
        </w:rPr>
        <w:t>Elle doit faire la même déclaration, dans le même délai, en cas de cession de titres lorsque, à la suite de cette cession, les droits de vote tombent en deçà du seuil précité de 25 %.</w:t>
      </w:r>
    </w:p>
    <w:p>
      <w:pPr>
        <w:pStyle w:val="BodyText"/>
        <w:spacing w:line="185" w:lineRule="exact" w:before="82"/>
        <w:ind w:left="283" w:right="0" w:firstLine="0"/>
        <w:jc w:val="left"/>
      </w:pPr>
      <w:r>
        <w:rPr>
          <w:color w:val="231F20"/>
        </w:rPr>
        <w:t>Pour le calcul du seuil de 25 %, il est fait application de l’article 9,</w:t>
      </w:r>
    </w:p>
    <w:p>
      <w:pPr>
        <w:pStyle w:val="BodyText"/>
        <w:spacing w:line="218" w:lineRule="auto" w:before="5"/>
        <w:ind w:right="41" w:hanging="1"/>
      </w:pPr>
      <w:r>
        <w:rPr>
          <w:color w:val="231F20"/>
        </w:rPr>
        <w:t>§ 3, de la loi du 2 mai 2007 relative à la publicité des participations importantes dans des émetteurs dont les actions sont admises à la négociation sur un marché réglementé et portant des dispositions diverses.</w:t>
      </w:r>
    </w:p>
    <w:p>
      <w:pPr>
        <w:pStyle w:val="BodyText"/>
        <w:spacing w:line="218" w:lineRule="auto" w:before="119"/>
        <w:ind w:right="123" w:firstLine="0"/>
      </w:pPr>
      <w:r>
        <w:rPr/>
        <w:br w:type="column"/>
      </w:r>
      <w:r>
        <w:rPr>
          <w:color w:val="231F20"/>
        </w:rPr>
        <w:t>openbaar bod tot uitkoop doen om het geheel van de door de vennootschap uitgegeven effecten met stemrecht of die toegang geven tot stemrecht te verkrijgen.</w:t>
      </w:r>
    </w:p>
    <w:p>
      <w:pPr>
        <w:pStyle w:val="BodyText"/>
        <w:spacing w:line="218" w:lineRule="auto" w:before="86"/>
        <w:ind w:right="123"/>
      </w:pPr>
      <w:r>
        <w:rPr>
          <w:color w:val="231F20"/>
        </w:rPr>
        <w:t>Voor de berekening van het in het eerste lid bedoelde percentage van 95 % effecten met stemrecht wordt er geen rekening gehouden met het dubbel stemrecht bedoeld in artikel 7:53.</w:t>
      </w:r>
    </w:p>
    <w:p>
      <w:pPr>
        <w:pStyle w:val="BodyText"/>
        <w:spacing w:line="218" w:lineRule="auto" w:before="86"/>
      </w:pPr>
      <w:r>
        <w:rPr>
          <w:color w:val="231F20"/>
        </w:rPr>
        <w:t>Na afloop van de procedure worden de niet-aangeboden effecten, ongeacht of de eigenaar ervan zich kenbaar heeft gemaakt, geacht van rechtswege op die persoon te zijn overgegaan met consignatie van de prijs.</w:t>
      </w:r>
    </w:p>
    <w:p>
      <w:pPr>
        <w:pStyle w:val="BodyText"/>
        <w:spacing w:line="218" w:lineRule="auto" w:before="85"/>
      </w:pPr>
      <w:r>
        <w:rPr>
          <w:color w:val="231F20"/>
        </w:rPr>
        <w:t>Na afloop van het uitkoopbod wordt de vennootschap niet langer beschouwd als een genoteerde vennootschap.</w:t>
      </w:r>
    </w:p>
    <w:p>
      <w:pPr>
        <w:pStyle w:val="BodyText"/>
        <w:spacing w:before="72"/>
        <w:ind w:left="283" w:right="0" w:firstLine="0"/>
        <w:jc w:val="left"/>
      </w:pPr>
      <w:r>
        <w:rPr>
          <w:color w:val="231F20"/>
        </w:rPr>
        <w:t>Onder personen die in onderling overleg handelen wordt verstaan:</w:t>
      </w:r>
    </w:p>
    <w:p>
      <w:pPr>
        <w:pStyle w:val="BodyText"/>
        <w:spacing w:line="218" w:lineRule="auto" w:before="82"/>
      </w:pPr>
      <w:r>
        <w:rPr>
          <w:color w:val="231F20"/>
        </w:rPr>
        <w:t>1° de natuurlijke personen of rechtspersonen die met de bieder, met de doelvennootschap of met andere personen samenwerken op grond van een uitdrukkelijk of stilzwijgend, mondeling of schriftelijk akkoord dat ertoe strekt de controle over de doelvennootschap te verkrijgen dan wel de controle over de doelvennootschap te handhaven;</w:t>
      </w:r>
    </w:p>
    <w:p>
      <w:pPr>
        <w:pStyle w:val="BodyText"/>
        <w:spacing w:line="218" w:lineRule="auto" w:before="85"/>
      </w:pPr>
      <w:r>
        <w:rPr>
          <w:color w:val="231F20"/>
        </w:rPr>
        <w:t>2° de natuurlijke personen of rechtspersonen die een akkoord</w:t>
      </w:r>
      <w:r>
        <w:rPr>
          <w:color w:val="231F20"/>
          <w:spacing w:val="-17"/>
        </w:rPr>
        <w:t> </w:t>
      </w:r>
      <w:r>
        <w:rPr>
          <w:color w:val="231F20"/>
        </w:rPr>
        <w:t>hebben gesloten aangaande de onderling afgestemde uitoefening van hun stemrechten, om een duurzaam gemeenschappelijk beleid ten aanzien van</w:t>
      </w:r>
      <w:r>
        <w:rPr>
          <w:color w:val="231F20"/>
          <w:spacing w:val="15"/>
        </w:rPr>
        <w:t> </w:t>
      </w:r>
      <w:r>
        <w:rPr>
          <w:color w:val="231F20"/>
        </w:rPr>
        <w:t>de</w:t>
      </w:r>
      <w:r>
        <w:rPr>
          <w:color w:val="231F20"/>
          <w:spacing w:val="16"/>
        </w:rPr>
        <w:t> </w:t>
      </w:r>
      <w:r>
        <w:rPr>
          <w:color w:val="231F20"/>
        </w:rPr>
        <w:t>betrokken</w:t>
      </w:r>
      <w:r>
        <w:rPr>
          <w:color w:val="231F20"/>
          <w:spacing w:val="15"/>
        </w:rPr>
        <w:t> </w:t>
      </w:r>
      <w:r>
        <w:rPr>
          <w:color w:val="231F20"/>
        </w:rPr>
        <w:t>vennootschap</w:t>
      </w:r>
      <w:r>
        <w:rPr>
          <w:color w:val="231F20"/>
          <w:spacing w:val="16"/>
        </w:rPr>
        <w:t> </w:t>
      </w:r>
      <w:r>
        <w:rPr>
          <w:color w:val="231F20"/>
        </w:rPr>
        <w:t>te</w:t>
      </w:r>
      <w:r>
        <w:rPr>
          <w:color w:val="231F20"/>
          <w:spacing w:val="15"/>
        </w:rPr>
        <w:t> </w:t>
      </w:r>
      <w:r>
        <w:rPr>
          <w:color w:val="231F20"/>
        </w:rPr>
        <w:t>voeren.</w:t>
      </w:r>
    </w:p>
    <w:p>
      <w:pPr>
        <w:pStyle w:val="BodyText"/>
        <w:spacing w:line="218" w:lineRule="auto" w:before="86"/>
        <w:ind w:right="122"/>
      </w:pPr>
      <w:r>
        <w:rPr>
          <w:color w:val="231F20"/>
        </w:rPr>
        <w:t>§ 2. Iedere natuurlijke persoon of iedere rechtspersoon die, alleen of in onderling overleg handelend, 95 % van de effecten met stemrecht van</w:t>
      </w:r>
      <w:r>
        <w:rPr>
          <w:color w:val="231F20"/>
          <w:spacing w:val="-8"/>
        </w:rPr>
        <w:t> </w:t>
      </w:r>
      <w:r>
        <w:rPr>
          <w:color w:val="231F20"/>
        </w:rPr>
        <w:t>een</w:t>
      </w:r>
      <w:r>
        <w:rPr>
          <w:color w:val="231F20"/>
          <w:spacing w:val="-7"/>
        </w:rPr>
        <w:t> </w:t>
      </w:r>
      <w:r>
        <w:rPr>
          <w:color w:val="231F20"/>
        </w:rPr>
        <w:t>niet-genoteerde</w:t>
      </w:r>
      <w:r>
        <w:rPr>
          <w:color w:val="231F20"/>
          <w:spacing w:val="-7"/>
        </w:rPr>
        <w:t> </w:t>
      </w:r>
      <w:r>
        <w:rPr>
          <w:color w:val="231F20"/>
        </w:rPr>
        <w:t>naamloze</w:t>
      </w:r>
      <w:r>
        <w:rPr>
          <w:color w:val="231F20"/>
          <w:spacing w:val="-8"/>
        </w:rPr>
        <w:t> </w:t>
      </w:r>
      <w:r>
        <w:rPr>
          <w:color w:val="231F20"/>
        </w:rPr>
        <w:t>vennootschap</w:t>
      </w:r>
      <w:r>
        <w:rPr>
          <w:color w:val="231F20"/>
          <w:spacing w:val="-7"/>
        </w:rPr>
        <w:t> </w:t>
      </w:r>
      <w:r>
        <w:rPr>
          <w:color w:val="231F20"/>
        </w:rPr>
        <w:t>bezit,</w:t>
      </w:r>
      <w:r>
        <w:rPr>
          <w:color w:val="231F20"/>
          <w:spacing w:val="-7"/>
        </w:rPr>
        <w:t> </w:t>
      </w:r>
      <w:r>
        <w:rPr>
          <w:color w:val="231F20"/>
        </w:rPr>
        <w:t>kan</w:t>
      </w:r>
      <w:r>
        <w:rPr>
          <w:color w:val="231F20"/>
          <w:spacing w:val="-8"/>
        </w:rPr>
        <w:t> </w:t>
      </w:r>
      <w:r>
        <w:rPr>
          <w:color w:val="231F20"/>
        </w:rPr>
        <w:t>een</w:t>
      </w:r>
      <w:r>
        <w:rPr>
          <w:color w:val="231F20"/>
          <w:spacing w:val="-7"/>
        </w:rPr>
        <w:t> </w:t>
      </w:r>
      <w:r>
        <w:rPr>
          <w:color w:val="231F20"/>
        </w:rPr>
        <w:t>uitkoop- bod doen om het geheel van de door de vennootschap uitgegeven effecten met stemrecht of die toegang geven tot stemrecht te</w:t>
      </w:r>
      <w:r>
        <w:rPr>
          <w:color w:val="231F20"/>
          <w:spacing w:val="6"/>
        </w:rPr>
        <w:t> </w:t>
      </w:r>
      <w:r>
        <w:rPr>
          <w:color w:val="231F20"/>
        </w:rPr>
        <w:t>verkrijgen.</w:t>
      </w:r>
    </w:p>
    <w:p>
      <w:pPr>
        <w:pStyle w:val="BodyText"/>
        <w:spacing w:line="218" w:lineRule="auto" w:before="86"/>
      </w:pPr>
      <w:r>
        <w:rPr>
          <w:color w:val="231F20"/>
        </w:rPr>
        <w:t>Voor de berekening van het percentage van 95 % van de effecten met stemrecht als bedoeld in het eerste lid, wordt geen rekening gehouden met het meervoudig stemrecht.</w:t>
      </w:r>
    </w:p>
    <w:p>
      <w:pPr>
        <w:pStyle w:val="BodyText"/>
        <w:spacing w:line="218" w:lineRule="auto" w:before="85"/>
        <w:ind w:right="123"/>
      </w:pPr>
      <w:r>
        <w:rPr>
          <w:color w:val="231F20"/>
        </w:rPr>
        <w:t>Met uitzondering van de effecten waarvan de eigenaar uitdrukkelijk en schriftelijk te kennen heeft gegeven dat hij geen afstand ervan wenst te doen, worden de niet-aangeboden effecten na afloop van de procedure geacht van rechtswege op de persoon die een uitkoopbod gedaan heeft te zijn overgegaan met consignatie van de prijs. De gedematerialiseerde effecten waarvan de eigenaar te kennen heeft gegeven dat hij er geen afstand van wenst te doen, worden van rechtswege omgezet in effecten op naam en worden door de emittent ingeschreven</w:t>
      </w:r>
      <w:r>
        <w:rPr>
          <w:color w:val="231F20"/>
          <w:spacing w:val="15"/>
        </w:rPr>
        <w:t> </w:t>
      </w:r>
      <w:r>
        <w:rPr>
          <w:color w:val="231F20"/>
        </w:rPr>
        <w:t>in</w:t>
      </w:r>
      <w:r>
        <w:rPr>
          <w:color w:val="231F20"/>
          <w:spacing w:val="14"/>
        </w:rPr>
        <w:t> </w:t>
      </w:r>
      <w:r>
        <w:rPr>
          <w:color w:val="231F20"/>
        </w:rPr>
        <w:t>het</w:t>
      </w:r>
      <w:r>
        <w:rPr>
          <w:color w:val="231F20"/>
          <w:spacing w:val="15"/>
        </w:rPr>
        <w:t> </w:t>
      </w:r>
      <w:r>
        <w:rPr>
          <w:color w:val="231F20"/>
        </w:rPr>
        <w:t>register</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effecten</w:t>
      </w:r>
      <w:r>
        <w:rPr>
          <w:color w:val="231F20"/>
          <w:spacing w:val="15"/>
        </w:rPr>
        <w:t> </w:t>
      </w:r>
      <w:r>
        <w:rPr>
          <w:color w:val="231F20"/>
        </w:rPr>
        <w:t>op</w:t>
      </w:r>
      <w:r>
        <w:rPr>
          <w:color w:val="231F20"/>
          <w:spacing w:val="15"/>
        </w:rPr>
        <w:t> </w:t>
      </w:r>
      <w:r>
        <w:rPr>
          <w:color w:val="231F20"/>
        </w:rPr>
        <w:t>naam.</w:t>
      </w:r>
    </w:p>
    <w:p>
      <w:pPr>
        <w:pStyle w:val="BodyText"/>
        <w:spacing w:line="218" w:lineRule="auto" w:before="86"/>
      </w:pPr>
      <w:r>
        <w:rPr>
          <w:color w:val="231F20"/>
        </w:rPr>
        <w:t>Het in het eerste lid bedoelde bod is niet onderworpen aan de wet van</w:t>
      </w:r>
      <w:r>
        <w:rPr>
          <w:color w:val="231F20"/>
          <w:spacing w:val="15"/>
        </w:rPr>
        <w:t> </w:t>
      </w:r>
      <w:r>
        <w:rPr>
          <w:color w:val="231F20"/>
        </w:rPr>
        <w:t>1</w:t>
      </w:r>
      <w:r>
        <w:rPr>
          <w:color w:val="231F20"/>
          <w:spacing w:val="15"/>
        </w:rPr>
        <w:t> </w:t>
      </w:r>
      <w:r>
        <w:rPr>
          <w:color w:val="231F20"/>
        </w:rPr>
        <w:t>april</w:t>
      </w:r>
      <w:r>
        <w:rPr>
          <w:color w:val="231F20"/>
          <w:spacing w:val="15"/>
        </w:rPr>
        <w:t> </w:t>
      </w:r>
      <w:r>
        <w:rPr>
          <w:color w:val="231F20"/>
        </w:rPr>
        <w:t>2007</w:t>
      </w:r>
      <w:r>
        <w:rPr>
          <w:color w:val="231F20"/>
          <w:spacing w:val="15"/>
        </w:rPr>
        <w:t> </w:t>
      </w:r>
      <w:r>
        <w:rPr>
          <w:color w:val="231F20"/>
        </w:rPr>
        <w:t>op</w:t>
      </w:r>
      <w:r>
        <w:rPr>
          <w:color w:val="231F20"/>
          <w:spacing w:val="15"/>
        </w:rPr>
        <w:t> </w:t>
      </w:r>
      <w:r>
        <w:rPr>
          <w:color w:val="231F20"/>
        </w:rPr>
        <w:t>de</w:t>
      </w:r>
      <w:r>
        <w:rPr>
          <w:color w:val="231F20"/>
          <w:spacing w:val="15"/>
        </w:rPr>
        <w:t> </w:t>
      </w:r>
      <w:r>
        <w:rPr>
          <w:color w:val="231F20"/>
        </w:rPr>
        <w:t>openbare</w:t>
      </w:r>
      <w:r>
        <w:rPr>
          <w:color w:val="231F20"/>
          <w:spacing w:val="16"/>
        </w:rPr>
        <w:t> </w:t>
      </w:r>
      <w:r>
        <w:rPr>
          <w:color w:val="231F20"/>
        </w:rPr>
        <w:t>overnamebiedingen.</w:t>
      </w:r>
    </w:p>
    <w:p>
      <w:pPr>
        <w:pStyle w:val="BodyText"/>
        <w:spacing w:line="218" w:lineRule="auto" w:before="86"/>
      </w:pPr>
      <w:r>
        <w:rPr>
          <w:color w:val="231F20"/>
        </w:rPr>
        <w:t>§ 3. De Koning kan het in paragraaf 2 bedoelde uitkoopbod reglementeren, en inzonderheid de te volgen procedure en de wijze van vaststelling van de prijs van het uitkoopbod bepalen. Daarbij draagt Hij zorg voor de informatieverstrekking aan en de gelijke behandeling van de effectenhouders.</w:t>
      </w:r>
    </w:p>
    <w:p>
      <w:pPr>
        <w:pStyle w:val="BodyText"/>
        <w:spacing w:line="218" w:lineRule="auto" w:before="85"/>
      </w:pPr>
      <w:r>
        <w:rPr>
          <w:color w:val="231F20"/>
        </w:rPr>
        <w:t>§ 4. Het uittreksel uit de in kracht van gewijsde gegane of bij voorraad uitvoerbare rechterlijke beslissing waarbij de voorwaarden van een uitkoopbod worden vastgesteld, wordt neergelegd en bekend- gemaakt</w:t>
      </w:r>
      <w:r>
        <w:rPr>
          <w:color w:val="231F20"/>
          <w:spacing w:val="13"/>
        </w:rPr>
        <w:t> </w:t>
      </w:r>
      <w:r>
        <w:rPr>
          <w:color w:val="231F20"/>
        </w:rPr>
        <w:t>overeenkomstig</w:t>
      </w:r>
      <w:r>
        <w:rPr>
          <w:color w:val="231F20"/>
          <w:spacing w:val="13"/>
        </w:rPr>
        <w:t> </w:t>
      </w:r>
      <w:r>
        <w:rPr>
          <w:color w:val="231F20"/>
        </w:rPr>
        <w:t>de</w:t>
      </w:r>
      <w:r>
        <w:rPr>
          <w:color w:val="231F20"/>
          <w:spacing w:val="13"/>
        </w:rPr>
        <w:t> </w:t>
      </w:r>
      <w:r>
        <w:rPr>
          <w:color w:val="231F20"/>
        </w:rPr>
        <w:t>artikelen</w:t>
      </w:r>
      <w:r>
        <w:rPr>
          <w:color w:val="231F20"/>
          <w:spacing w:val="14"/>
        </w:rPr>
        <w:t> </w:t>
      </w:r>
      <w:r>
        <w:rPr>
          <w:color w:val="231F20"/>
        </w:rPr>
        <w:t>2:8</w:t>
      </w:r>
      <w:r>
        <w:rPr>
          <w:color w:val="231F20"/>
          <w:spacing w:val="13"/>
        </w:rPr>
        <w:t> </w:t>
      </w:r>
      <w:r>
        <w:rPr>
          <w:color w:val="231F20"/>
        </w:rPr>
        <w:t>en</w:t>
      </w:r>
      <w:r>
        <w:rPr>
          <w:color w:val="231F20"/>
          <w:spacing w:val="13"/>
        </w:rPr>
        <w:t> </w:t>
      </w:r>
      <w:r>
        <w:rPr>
          <w:color w:val="231F20"/>
        </w:rPr>
        <w:t>2:14,</w:t>
      </w:r>
      <w:r>
        <w:rPr>
          <w:color w:val="231F20"/>
          <w:spacing w:val="14"/>
        </w:rPr>
        <w:t> </w:t>
      </w:r>
      <w:r>
        <w:rPr>
          <w:color w:val="231F20"/>
        </w:rPr>
        <w:t>4°.</w:t>
      </w:r>
    </w:p>
    <w:p>
      <w:pPr>
        <w:pStyle w:val="BodyText"/>
        <w:spacing w:line="218" w:lineRule="auto" w:before="86"/>
      </w:pPr>
      <w:r>
        <w:rPr>
          <w:color w:val="231F20"/>
        </w:rPr>
        <w:t>§ 5. De Koning kan niet genoteerde vennootschappen waarvan de aandelen zijn toegelaten tot de verhandeling op de markten die Hij aanduidt  in  toepassing  van  artikel  5,  eerste  lid,  van  de  wet  van      1 april 2007 op de openbare overnamebiedingen onderwerpen aan het regime van paragraaf</w:t>
      </w:r>
      <w:r>
        <w:rPr>
          <w:color w:val="231F20"/>
          <w:spacing w:val="5"/>
        </w:rPr>
        <w:t> </w:t>
      </w:r>
      <w:r>
        <w:rPr>
          <w:color w:val="231F20"/>
        </w:rPr>
        <w:t>1.</w:t>
      </w:r>
    </w:p>
    <w:p>
      <w:pPr>
        <w:pStyle w:val="BodyText"/>
        <w:spacing w:before="72"/>
        <w:ind w:left="283" w:right="0" w:firstLine="0"/>
        <w:jc w:val="left"/>
      </w:pPr>
      <w:r>
        <w:rPr>
          <w:color w:val="231F20"/>
        </w:rPr>
        <w:t>Afdeling 4. Openbaarmaking van belangrijke deelnemingen.</w:t>
      </w:r>
    </w:p>
    <w:p>
      <w:pPr>
        <w:pStyle w:val="BodyText"/>
        <w:spacing w:line="218" w:lineRule="auto" w:before="82"/>
      </w:pPr>
      <w:r>
        <w:rPr>
          <w:color w:val="231F20"/>
        </w:rPr>
        <w:t>Art. 7:83. § 1. Elke natuurlijke persoon of rechtspersoon die rechtstreeks of onrechtstreeks gedematerialiseerde stemrechtverle- nende effecten verwerft die al dan niet het kapitaal vertegenwoordigen van een naamloze vennootschap die niet is onderworpen aan titel II van de wet van 2 mei 2007 op de openbaarmaking van belangrijke deelnemingen in emittenten waarvan aandelen zijn toegelaten tot de verhandeling op een gereglementeerde markt en houdende diverse bepalingen, moet ten laatste binnen vijf werkdagen volgend op de dag van verwerving aan deze vennootschap kennis geven van het aantal effecten dat hij bezit, wanneer de stemrechten verbonden aan die effecten 25 % of meer bereiken van het totaal van de stemrechten op</w:t>
      </w:r>
      <w:r>
        <w:rPr>
          <w:color w:val="231F20"/>
          <w:spacing w:val="-26"/>
        </w:rPr>
        <w:t> </w:t>
      </w:r>
      <w:r>
        <w:rPr>
          <w:color w:val="231F20"/>
        </w:rPr>
        <w:t>het ogenblik waarop zich de verrichting voordoet op grond waarvan kennisgeving verplicht</w:t>
      </w:r>
      <w:r>
        <w:rPr>
          <w:color w:val="231F20"/>
          <w:spacing w:val="-10"/>
        </w:rPr>
        <w:t> </w:t>
      </w:r>
      <w:r>
        <w:rPr>
          <w:color w:val="231F20"/>
        </w:rPr>
        <w:t>is.</w:t>
      </w:r>
    </w:p>
    <w:p>
      <w:pPr>
        <w:pStyle w:val="BodyText"/>
        <w:spacing w:line="218" w:lineRule="auto" w:before="96"/>
        <w:ind w:right="123"/>
      </w:pPr>
      <w:r>
        <w:rPr>
          <w:color w:val="231F20"/>
        </w:rPr>
        <w:t>Deze kennisgeving is eveneens binnen dezelfde termijn verplicht bij overdracht van effecten wanneer als gevolg hiervan de stemrechten zakken onder voormelde drempel van 25 %.</w:t>
      </w:r>
    </w:p>
    <w:p>
      <w:pPr>
        <w:pStyle w:val="BodyText"/>
        <w:spacing w:line="218" w:lineRule="auto" w:before="97"/>
      </w:pPr>
      <w:r>
        <w:rPr>
          <w:color w:val="231F20"/>
        </w:rPr>
        <w:t>Voor de berekening van de drempel van 25 % wordt artikel 9, § 3, van de wet van 2 mei 2007 op de openbaarmaking van belangrijke deelnemingen in emittenten waarvan aandelen zijn toegelaten tot de verhandeling op een gereglementeerde markt en houdende diverse bepalingen toegepast.</w:t>
      </w:r>
    </w:p>
    <w:p>
      <w:pPr>
        <w:spacing w:after="0" w:line="218" w:lineRule="auto"/>
        <w:sectPr>
          <w:headerReference w:type="even" r:id="rId71"/>
          <w:headerReference w:type="default" r:id="rId72"/>
          <w:pgSz w:w="11940" w:h="16880"/>
          <w:pgMar w:header="666" w:footer="0" w:top="1140" w:bottom="280" w:left="340" w:right="360"/>
          <w:cols w:num="2" w:equalWidth="0">
            <w:col w:w="5530" w:space="97"/>
            <w:col w:w="5613"/>
          </w:cols>
        </w:sectPr>
      </w:pPr>
    </w:p>
    <w:p>
      <w:pPr>
        <w:pStyle w:val="BodyText"/>
        <w:spacing w:line="218" w:lineRule="auto" w:before="105"/>
        <w:ind w:right="38"/>
      </w:pPr>
      <w:r>
        <w:rPr/>
        <w:pict>
          <v:line style="position:absolute;mso-position-horizontal-relative:page;mso-position-vertical-relative:page;z-index:4912" from="298.170502pt,64.473pt" to="298.170502pt,812.819pt" stroked="true" strokeweight=".533pt" strokecolor="#231f20">
            <v:stroke dashstyle="solid"/>
            <w10:wrap type="none"/>
          </v:line>
        </w:pict>
      </w:r>
      <w:bookmarkStart w:name="_bookmark162" w:id="167"/>
      <w:bookmarkEnd w:id="167"/>
      <w:r>
        <w:rPr/>
      </w:r>
      <w:r>
        <w:rPr>
          <w:color w:val="231F20"/>
        </w:rPr>
        <w:t>§ 2. Celui qui a omis de faire la déclaration visée au paragraphe 1</w:t>
      </w:r>
      <w:r>
        <w:rPr>
          <w:color w:val="231F20"/>
          <w:position w:val="7"/>
          <w:sz w:val="11"/>
        </w:rPr>
        <w:t>er </w:t>
      </w:r>
      <w:r>
        <w:rPr>
          <w:color w:val="231F20"/>
        </w:rPr>
        <w:t>vingt jours au moins avant l’assemblée générale ne peut prendre part au vote à l’assemblée générale pour un nombre de voix supérieur ou égal à 25 % du total des droits de vote existant à la date de l’assemblée générale.</w:t>
      </w:r>
    </w:p>
    <w:p>
      <w:pPr>
        <w:pStyle w:val="BodyText"/>
        <w:spacing w:line="218" w:lineRule="auto" w:before="102"/>
        <w:ind w:right="38"/>
      </w:pPr>
      <w:r>
        <w:rPr>
          <w:color w:val="231F20"/>
        </w:rPr>
        <w:t>L’alinéa 1</w:t>
      </w:r>
      <w:r>
        <w:rPr>
          <w:color w:val="231F20"/>
          <w:position w:val="7"/>
          <w:sz w:val="11"/>
        </w:rPr>
        <w:t>er </w:t>
      </w:r>
      <w:r>
        <w:rPr>
          <w:color w:val="231F20"/>
        </w:rPr>
        <w:t>n’est pas applicable aux titres souscrits par exercice d’un droit de préférence ou acquis en vertu d’une transmission à titre universel ou d’une liquidation.</w:t>
      </w:r>
    </w:p>
    <w:p>
      <w:pPr>
        <w:pStyle w:val="BodyText"/>
        <w:spacing w:before="7"/>
        <w:ind w:left="0" w:right="0" w:firstLine="0"/>
        <w:jc w:val="left"/>
        <w:rPr>
          <w:sz w:val="24"/>
        </w:rPr>
      </w:pPr>
    </w:p>
    <w:p>
      <w:pPr>
        <w:pStyle w:val="BodyText"/>
        <w:ind w:left="283" w:right="0" w:firstLine="0"/>
        <w:jc w:val="left"/>
      </w:pPr>
      <w:r>
        <w:rPr>
          <w:color w:val="231F20"/>
        </w:rPr>
        <w:t>Les droits de vote relatifs aux titres concernés sont suspendus.</w:t>
      </w:r>
    </w:p>
    <w:p>
      <w:pPr>
        <w:pStyle w:val="BodyText"/>
        <w:spacing w:before="2"/>
        <w:ind w:left="0" w:right="0" w:firstLine="0"/>
        <w:jc w:val="left"/>
        <w:rPr>
          <w:sz w:val="24"/>
        </w:rPr>
      </w:pPr>
    </w:p>
    <w:p>
      <w:pPr>
        <w:pStyle w:val="BodyText"/>
        <w:spacing w:line="218" w:lineRule="auto"/>
        <w:ind w:right="38"/>
      </w:pPr>
      <w:r>
        <w:rPr>
          <w:color w:val="231F20"/>
        </w:rPr>
        <w:t>Art. 7:84. § 1</w:t>
      </w:r>
      <w:r>
        <w:rPr>
          <w:color w:val="231F20"/>
          <w:position w:val="7"/>
          <w:sz w:val="11"/>
        </w:rPr>
        <w:t>er</w:t>
      </w:r>
      <w:r>
        <w:rPr>
          <w:color w:val="231F20"/>
        </w:rPr>
        <w:t>. Si les déclarations requises par l’article 7:83, n’ont pas été effectuées selon les modalités et les délais prescrits, le président du tribunal de l’entreprise du siège de la société, statuant comme en référé, peut:</w:t>
      </w:r>
    </w:p>
    <w:p>
      <w:pPr>
        <w:pStyle w:val="BodyText"/>
        <w:spacing w:before="9"/>
        <w:ind w:left="0" w:right="0" w:firstLine="0"/>
        <w:jc w:val="left"/>
        <w:rPr>
          <w:sz w:val="25"/>
        </w:rPr>
      </w:pPr>
    </w:p>
    <w:p>
      <w:pPr>
        <w:pStyle w:val="BodyText"/>
        <w:spacing w:line="218" w:lineRule="auto"/>
        <w:ind w:right="38"/>
      </w:pPr>
      <w:r>
        <w:rPr>
          <w:color w:val="231F20"/>
        </w:rPr>
        <w:t>1° suspendre pour une période d’un an au plus l’exercice de tout ou partie des droits afférents aux titres concernés;</w:t>
      </w:r>
    </w:p>
    <w:p>
      <w:pPr>
        <w:pStyle w:val="BodyText"/>
        <w:spacing w:before="9"/>
        <w:ind w:left="0" w:right="0" w:firstLine="0"/>
        <w:jc w:val="left"/>
        <w:rPr>
          <w:sz w:val="25"/>
        </w:rPr>
      </w:pPr>
    </w:p>
    <w:p>
      <w:pPr>
        <w:pStyle w:val="BodyText"/>
        <w:spacing w:line="218" w:lineRule="auto" w:before="1"/>
        <w:ind w:right="38"/>
      </w:pPr>
      <w:r>
        <w:rPr>
          <w:color w:val="231F20"/>
        </w:rPr>
        <w:t>2° suspendre pendant la durée qu’il fixe, la tenue d’une assemblée générale déjà convoquée;</w:t>
      </w:r>
    </w:p>
    <w:p>
      <w:pPr>
        <w:pStyle w:val="BodyText"/>
        <w:spacing w:line="218" w:lineRule="auto" w:before="117"/>
        <w:ind w:right="38"/>
      </w:pPr>
      <w:r>
        <w:rPr>
          <w:color w:val="231F20"/>
        </w:rPr>
        <w:t>3°</w:t>
      </w:r>
      <w:r>
        <w:rPr>
          <w:color w:val="231F20"/>
          <w:spacing w:val="-4"/>
        </w:rPr>
        <w:t> </w:t>
      </w:r>
      <w:r>
        <w:rPr>
          <w:color w:val="231F20"/>
        </w:rPr>
        <w:t>ordonner</w:t>
      </w:r>
      <w:r>
        <w:rPr>
          <w:color w:val="231F20"/>
          <w:spacing w:val="-3"/>
        </w:rPr>
        <w:t> </w:t>
      </w:r>
      <w:r>
        <w:rPr>
          <w:color w:val="231F20"/>
        </w:rPr>
        <w:t>la</w:t>
      </w:r>
      <w:r>
        <w:rPr>
          <w:color w:val="231F20"/>
          <w:spacing w:val="-3"/>
        </w:rPr>
        <w:t> </w:t>
      </w:r>
      <w:r>
        <w:rPr>
          <w:color w:val="231F20"/>
        </w:rPr>
        <w:t>vente,</w:t>
      </w:r>
      <w:r>
        <w:rPr>
          <w:color w:val="231F20"/>
          <w:spacing w:val="-3"/>
        </w:rPr>
        <w:t> </w:t>
      </w:r>
      <w:r>
        <w:rPr>
          <w:color w:val="231F20"/>
        </w:rPr>
        <w:t>sous</w:t>
      </w:r>
      <w:r>
        <w:rPr>
          <w:color w:val="231F20"/>
          <w:spacing w:val="-3"/>
        </w:rPr>
        <w:t> </w:t>
      </w:r>
      <w:r>
        <w:rPr>
          <w:color w:val="231F20"/>
        </w:rPr>
        <w:t>son</w:t>
      </w:r>
      <w:r>
        <w:rPr>
          <w:color w:val="231F20"/>
          <w:spacing w:val="-3"/>
        </w:rPr>
        <w:t> </w:t>
      </w:r>
      <w:r>
        <w:rPr>
          <w:color w:val="231F20"/>
        </w:rPr>
        <w:t>contrôle,</w:t>
      </w:r>
      <w:r>
        <w:rPr>
          <w:color w:val="231F20"/>
          <w:spacing w:val="-3"/>
        </w:rPr>
        <w:t> </w:t>
      </w:r>
      <w:r>
        <w:rPr>
          <w:color w:val="231F20"/>
        </w:rPr>
        <w:t>des</w:t>
      </w:r>
      <w:r>
        <w:rPr>
          <w:color w:val="231F20"/>
          <w:spacing w:val="-3"/>
        </w:rPr>
        <w:t> </w:t>
      </w:r>
      <w:r>
        <w:rPr>
          <w:color w:val="231F20"/>
        </w:rPr>
        <w:t>titres</w:t>
      </w:r>
      <w:r>
        <w:rPr>
          <w:color w:val="231F20"/>
          <w:spacing w:val="-3"/>
        </w:rPr>
        <w:t> </w:t>
      </w:r>
      <w:r>
        <w:rPr>
          <w:color w:val="231F20"/>
        </w:rPr>
        <w:t>concernés</w:t>
      </w:r>
      <w:r>
        <w:rPr>
          <w:color w:val="231F20"/>
          <w:spacing w:val="-3"/>
        </w:rPr>
        <w:t> </w:t>
      </w:r>
      <w:r>
        <w:rPr>
          <w:color w:val="231F20"/>
        </w:rPr>
        <w:t>à</w:t>
      </w:r>
      <w:r>
        <w:rPr>
          <w:color w:val="231F20"/>
          <w:spacing w:val="-3"/>
        </w:rPr>
        <w:t> </w:t>
      </w:r>
      <w:r>
        <w:rPr>
          <w:color w:val="231F20"/>
        </w:rPr>
        <w:t>un</w:t>
      </w:r>
      <w:r>
        <w:rPr>
          <w:color w:val="231F20"/>
          <w:spacing w:val="-3"/>
        </w:rPr>
        <w:t> </w:t>
      </w:r>
      <w:r>
        <w:rPr>
          <w:color w:val="231F20"/>
        </w:rPr>
        <w:t>tiers qui n’est pas lié à l’actionnaire actuel, dans un délai qu’il fixe et qui est renouvelable.</w:t>
      </w:r>
    </w:p>
    <w:p>
      <w:pPr>
        <w:pStyle w:val="BodyText"/>
        <w:spacing w:line="218" w:lineRule="auto" w:before="118"/>
        <w:ind w:right="38"/>
      </w:pPr>
      <w:r>
        <w:rPr>
          <w:color w:val="231F20"/>
        </w:rPr>
        <w:t>§ 2. La procédure est introduite par citation émanant de la société ou d’un ou de plusieurs actionnaires ayant le droit de vote. Lorsque la demande a pour objet la suspension de la tenue d’une assemblée déjà convoquée, la personne dont les titres font l’objet d’une demande ou d’une décision de suspension de l’exercice de tout ou partie des droits   y</w:t>
      </w:r>
      <w:r>
        <w:rPr>
          <w:color w:val="231F20"/>
          <w:spacing w:val="14"/>
        </w:rPr>
        <w:t> </w:t>
      </w:r>
      <w:r>
        <w:rPr>
          <w:color w:val="231F20"/>
        </w:rPr>
        <w:t>afférents</w:t>
      </w:r>
      <w:r>
        <w:rPr>
          <w:color w:val="231F20"/>
          <w:spacing w:val="15"/>
        </w:rPr>
        <w:t> </w:t>
      </w:r>
      <w:r>
        <w:rPr>
          <w:color w:val="231F20"/>
        </w:rPr>
        <w:t>peut</w:t>
      </w:r>
      <w:r>
        <w:rPr>
          <w:color w:val="231F20"/>
          <w:spacing w:val="15"/>
        </w:rPr>
        <w:t> </w:t>
      </w:r>
      <w:r>
        <w:rPr>
          <w:color w:val="231F20"/>
        </w:rPr>
        <w:t>également</w:t>
      </w:r>
      <w:r>
        <w:rPr>
          <w:color w:val="231F20"/>
          <w:spacing w:val="15"/>
        </w:rPr>
        <w:t> </w:t>
      </w:r>
      <w:r>
        <w:rPr>
          <w:color w:val="231F20"/>
        </w:rPr>
        <w:t>introduire</w:t>
      </w:r>
      <w:r>
        <w:rPr>
          <w:color w:val="231F20"/>
          <w:spacing w:val="15"/>
        </w:rPr>
        <w:t> </w:t>
      </w:r>
      <w:r>
        <w:rPr>
          <w:color w:val="231F20"/>
        </w:rPr>
        <w:t>la</w:t>
      </w:r>
      <w:r>
        <w:rPr>
          <w:color w:val="231F20"/>
          <w:spacing w:val="14"/>
        </w:rPr>
        <w:t> </w:t>
      </w:r>
      <w:r>
        <w:rPr>
          <w:color w:val="231F20"/>
        </w:rPr>
        <w:t>procédure.</w:t>
      </w:r>
    </w:p>
    <w:p>
      <w:pPr>
        <w:pStyle w:val="BodyText"/>
        <w:spacing w:before="5"/>
        <w:ind w:left="0" w:right="0" w:firstLine="0"/>
        <w:jc w:val="left"/>
        <w:rPr>
          <w:sz w:val="24"/>
        </w:rPr>
      </w:pPr>
    </w:p>
    <w:p>
      <w:pPr>
        <w:pStyle w:val="BodyText"/>
        <w:spacing w:line="218" w:lineRule="auto"/>
        <w:ind w:right="38"/>
      </w:pPr>
      <w:r>
        <w:rPr>
          <w:color w:val="231F20"/>
        </w:rPr>
        <w:t>Lorsque la demande a pour objet la suspension, visée à l’alinéa 1</w:t>
      </w:r>
      <w:r>
        <w:rPr>
          <w:color w:val="231F20"/>
          <w:position w:val="7"/>
          <w:sz w:val="11"/>
        </w:rPr>
        <w:t>er</w:t>
      </w:r>
      <w:r>
        <w:rPr>
          <w:color w:val="231F20"/>
        </w:rPr>
        <w:t>, 1°, de tout ou partie des droits afférents aux titres concernés, elle doit, si une déclaration a été notifiée, être introduite, à peine d’irrecevabilité, quinze jours au plus après la notification.</w:t>
      </w:r>
    </w:p>
    <w:p>
      <w:pPr>
        <w:pStyle w:val="BodyText"/>
        <w:spacing w:before="10"/>
        <w:ind w:left="0" w:right="0" w:firstLine="0"/>
        <w:jc w:val="left"/>
        <w:rPr>
          <w:sz w:val="25"/>
        </w:rPr>
      </w:pPr>
    </w:p>
    <w:p>
      <w:pPr>
        <w:pStyle w:val="BodyText"/>
        <w:spacing w:line="218" w:lineRule="auto"/>
        <w:ind w:right="38"/>
      </w:pPr>
      <w:r>
        <w:rPr>
          <w:color w:val="231F20"/>
        </w:rPr>
        <w:t>§ 3. Le président statue nonobstant toute action exercée en raison des mêmes faits devant toute autre juridiction.</w:t>
      </w:r>
    </w:p>
    <w:p>
      <w:pPr>
        <w:pStyle w:val="BodyText"/>
        <w:spacing w:line="218" w:lineRule="auto" w:before="117"/>
        <w:ind w:right="38"/>
      </w:pPr>
      <w:r>
        <w:rPr>
          <w:color w:val="231F20"/>
        </w:rPr>
        <w:t>Le président peut, à la demande d’un des intéressés et après avoir entendu ceux qui l’ont saisi ainsi que la société accorder la levée des mesures ordonnées par lui.</w:t>
      </w:r>
    </w:p>
    <w:p>
      <w:pPr>
        <w:pStyle w:val="BodyText"/>
        <w:spacing w:line="470" w:lineRule="atLeast" w:before="3"/>
        <w:ind w:left="283" w:right="-15" w:hanging="1"/>
        <w:jc w:val="left"/>
      </w:pPr>
      <w:r>
        <w:rPr>
          <w:color w:val="231F20"/>
        </w:rPr>
        <w:t>TITRE 4. Organes de la société et assemblée générale des obligataires. CHAPITRE 1</w:t>
      </w:r>
      <w:r>
        <w:rPr>
          <w:color w:val="231F20"/>
          <w:position w:val="7"/>
          <w:sz w:val="11"/>
        </w:rPr>
        <w:t>er</w:t>
      </w:r>
      <w:r>
        <w:rPr>
          <w:color w:val="231F20"/>
        </w:rPr>
        <w:t>. Administration.</w:t>
      </w:r>
    </w:p>
    <w:p>
      <w:pPr>
        <w:pStyle w:val="BodyText"/>
        <w:spacing w:line="345" w:lineRule="auto" w:before="84"/>
        <w:ind w:left="283" w:right="2484" w:firstLine="0"/>
        <w:jc w:val="left"/>
      </w:pPr>
      <w:r>
        <w:rPr>
          <w:color w:val="231F20"/>
        </w:rPr>
        <w:t>Section 1</w:t>
      </w:r>
      <w:r>
        <w:rPr>
          <w:color w:val="231F20"/>
          <w:position w:val="7"/>
          <w:sz w:val="11"/>
        </w:rPr>
        <w:t>re</w:t>
      </w:r>
      <w:r>
        <w:rPr>
          <w:color w:val="231F20"/>
        </w:rPr>
        <w:t>. Administration moniste. Sous-section 1</w:t>
      </w:r>
      <w:r>
        <w:rPr>
          <w:color w:val="231F20"/>
          <w:position w:val="7"/>
          <w:sz w:val="11"/>
        </w:rPr>
        <w:t>re</w:t>
      </w:r>
      <w:r>
        <w:rPr>
          <w:color w:val="231F20"/>
        </w:rPr>
        <w:t>. Composition.</w:t>
      </w:r>
    </w:p>
    <w:p>
      <w:pPr>
        <w:pStyle w:val="BodyText"/>
        <w:spacing w:line="218" w:lineRule="auto" w:before="14"/>
        <w:ind w:right="38"/>
      </w:pPr>
      <w:r>
        <w:rPr>
          <w:color w:val="231F20"/>
        </w:rPr>
        <w:t>Art. 7:85. § 1</w:t>
      </w:r>
      <w:r>
        <w:rPr>
          <w:color w:val="231F20"/>
          <w:position w:val="7"/>
          <w:sz w:val="11"/>
        </w:rPr>
        <w:t>er</w:t>
      </w:r>
      <w:r>
        <w:rPr>
          <w:color w:val="231F20"/>
        </w:rPr>
        <w:t>. La société est administrée par un organe d’adminis- tration collégial, appelé conseil d’administration, qui compte au moins trois administrateurs, personnes physiques ou morales.</w:t>
      </w:r>
    </w:p>
    <w:p>
      <w:pPr>
        <w:pStyle w:val="BodyText"/>
        <w:spacing w:line="218" w:lineRule="auto" w:before="117"/>
        <w:ind w:right="38"/>
      </w:pPr>
      <w:r>
        <w:rPr>
          <w:color w:val="231F20"/>
        </w:rPr>
        <w:t>Tant que la société compte moins de trois actionnaires, le conseil d’administration peut être constitué de deux administrateurs. Tant que le conseil d’administration ne compte que deux membres, toute disposition qui octroie à un membre du conseil d’administration une voix prépondérante cesse de plein droit de sortir ses effets.</w:t>
      </w:r>
    </w:p>
    <w:p>
      <w:pPr>
        <w:pStyle w:val="BodyText"/>
        <w:spacing w:line="218" w:lineRule="auto" w:before="118"/>
        <w:ind w:right="38"/>
      </w:pPr>
      <w:r>
        <w:rPr>
          <w:color w:val="231F20"/>
        </w:rPr>
        <w:t>Les administrateurs ne peuvent, en cette qualité, être liés à la société par un contrat de travail.</w:t>
      </w:r>
    </w:p>
    <w:p>
      <w:pPr>
        <w:pStyle w:val="BodyText"/>
        <w:spacing w:line="218" w:lineRule="auto" w:before="117"/>
        <w:ind w:right="38"/>
      </w:pPr>
      <w:r>
        <w:rPr>
          <w:color w:val="231F20"/>
        </w:rPr>
        <w:t>§ 2. Les administrateurs sont nommés par l’assemblée générale des actionnaires; ils sont désignés pour la première fois dans l’acte constitutif. Ils sont nommés pour six ans au plus, mais leur mandat peut</w:t>
      </w:r>
      <w:r>
        <w:rPr>
          <w:color w:val="231F20"/>
          <w:spacing w:val="14"/>
        </w:rPr>
        <w:t> </w:t>
      </w:r>
      <w:r>
        <w:rPr>
          <w:color w:val="231F20"/>
        </w:rPr>
        <w:t>être</w:t>
      </w:r>
      <w:r>
        <w:rPr>
          <w:color w:val="231F20"/>
          <w:spacing w:val="15"/>
        </w:rPr>
        <w:t> </w:t>
      </w:r>
      <w:r>
        <w:rPr>
          <w:color w:val="231F20"/>
        </w:rPr>
        <w:t>renouvelé</w:t>
      </w:r>
      <w:r>
        <w:rPr>
          <w:color w:val="231F20"/>
          <w:spacing w:val="15"/>
        </w:rPr>
        <w:t> </w:t>
      </w:r>
      <w:r>
        <w:rPr>
          <w:color w:val="231F20"/>
        </w:rPr>
        <w:t>de</w:t>
      </w:r>
      <w:r>
        <w:rPr>
          <w:color w:val="231F20"/>
          <w:spacing w:val="15"/>
        </w:rPr>
        <w:t> </w:t>
      </w:r>
      <w:r>
        <w:rPr>
          <w:color w:val="231F20"/>
        </w:rPr>
        <w:t>manière</w:t>
      </w:r>
      <w:r>
        <w:rPr>
          <w:color w:val="231F20"/>
          <w:spacing w:val="15"/>
        </w:rPr>
        <w:t> </w:t>
      </w:r>
      <w:r>
        <w:rPr>
          <w:color w:val="231F20"/>
        </w:rPr>
        <w:t>illimitée.</w:t>
      </w:r>
    </w:p>
    <w:p>
      <w:pPr>
        <w:pStyle w:val="BodyText"/>
        <w:spacing w:line="218" w:lineRule="auto" w:before="118"/>
        <w:ind w:right="38"/>
      </w:pPr>
      <w:r>
        <w:rPr>
          <w:color w:val="231F20"/>
        </w:rPr>
        <w:t>Sauf disposition statutaire contraire ou à moins que l’assemblée générale n’en décide autrement lors de leur nomination, leur mandat court de l’assemblée générale qui les a nommés jusqu’à l’assemblée générale ordinaire ayant lieu dans l’année comptable durant laquelle leur mandat prend fin selon la décision de nomination.</w:t>
      </w:r>
    </w:p>
    <w:p>
      <w:pPr>
        <w:pStyle w:val="BodyText"/>
        <w:spacing w:line="218" w:lineRule="auto" w:before="117"/>
        <w:ind w:right="38"/>
      </w:pPr>
      <w:r>
        <w:rPr>
          <w:color w:val="231F20"/>
        </w:rPr>
        <w:t>§ 3. L’assemblée générale peut mettre un terme à tout moment, avec effet immédiat et sans motif au mandat de chaque administrateur. Toutefois, sauf disposition statutaire contraire, l’assemblée générale peut dans tous les cas, au moment de la révocation, fixer la date à laquelle le mandat prendra fin ou octroyer une indemnité de départ.</w:t>
      </w:r>
    </w:p>
    <w:p>
      <w:pPr>
        <w:pStyle w:val="BodyText"/>
        <w:spacing w:line="218" w:lineRule="auto" w:before="119"/>
      </w:pPr>
      <w:r>
        <w:rPr/>
        <w:br w:type="column"/>
      </w:r>
      <w:r>
        <w:rPr>
          <w:color w:val="231F20"/>
        </w:rPr>
        <w:t>§ 2. De persoon die heeft nagelaten de in paragraaf 1 bedoelde kennisgeving te doen minstens twintig dagen voor de algemene vergadering, kan op de algemene vergadering niet aan de stemming deelnemen voor 25 % of meer dan 25 % van het totaal van de stemrechten op de datum van de algemene vergadering.</w:t>
      </w:r>
    </w:p>
    <w:p>
      <w:pPr>
        <w:pStyle w:val="BodyText"/>
        <w:spacing w:line="218" w:lineRule="auto" w:before="118"/>
        <w:ind w:right="125"/>
      </w:pPr>
      <w:r>
        <w:rPr>
          <w:color w:val="231F20"/>
        </w:rPr>
        <w:t>Het eerste lid is niet van toepassing op de effecten waarop is ingeschreven met uitoefening van een voorkeurrecht of die zijn verworven op grond van een overgang onder algemene titel of op  grond van een</w:t>
      </w:r>
      <w:r>
        <w:rPr>
          <w:color w:val="231F20"/>
          <w:spacing w:val="4"/>
        </w:rPr>
        <w:t> </w:t>
      </w:r>
      <w:r>
        <w:rPr>
          <w:color w:val="231F20"/>
        </w:rPr>
        <w:t>vereffening.</w:t>
      </w:r>
    </w:p>
    <w:p>
      <w:pPr>
        <w:pStyle w:val="BodyText"/>
        <w:spacing w:line="218" w:lineRule="auto" w:before="118"/>
      </w:pPr>
      <w:r>
        <w:rPr>
          <w:color w:val="231F20"/>
        </w:rPr>
        <w:t>De stemrechten met betrekking tot de betrokken effecten worden geschorst.</w:t>
      </w:r>
    </w:p>
    <w:p>
      <w:pPr>
        <w:pStyle w:val="BodyText"/>
        <w:spacing w:line="218" w:lineRule="auto" w:before="117"/>
      </w:pPr>
      <w:r>
        <w:rPr>
          <w:color w:val="231F20"/>
        </w:rPr>
        <w:t>Art.</w:t>
      </w:r>
      <w:r>
        <w:rPr>
          <w:color w:val="231F20"/>
          <w:spacing w:val="-7"/>
        </w:rPr>
        <w:t> </w:t>
      </w:r>
      <w:r>
        <w:rPr>
          <w:color w:val="231F20"/>
        </w:rPr>
        <w:t>7:84.</w:t>
      </w:r>
      <w:r>
        <w:rPr>
          <w:color w:val="231F20"/>
          <w:spacing w:val="-7"/>
        </w:rPr>
        <w:t> </w:t>
      </w:r>
      <w:r>
        <w:rPr>
          <w:color w:val="231F20"/>
        </w:rPr>
        <w:t>§</w:t>
      </w:r>
      <w:r>
        <w:rPr>
          <w:color w:val="231F20"/>
          <w:spacing w:val="-7"/>
        </w:rPr>
        <w:t> </w:t>
      </w:r>
      <w:r>
        <w:rPr>
          <w:color w:val="231F20"/>
        </w:rPr>
        <w:t>1.</w:t>
      </w:r>
      <w:r>
        <w:rPr>
          <w:color w:val="231F20"/>
          <w:spacing w:val="-7"/>
        </w:rPr>
        <w:t> </w:t>
      </w:r>
      <w:r>
        <w:rPr>
          <w:color w:val="231F20"/>
        </w:rPr>
        <w:t>Indien</w:t>
      </w:r>
      <w:r>
        <w:rPr>
          <w:color w:val="231F20"/>
          <w:spacing w:val="-7"/>
        </w:rPr>
        <w:t> </w:t>
      </w:r>
      <w:r>
        <w:rPr>
          <w:color w:val="231F20"/>
        </w:rPr>
        <w:t>de</w:t>
      </w:r>
      <w:r>
        <w:rPr>
          <w:color w:val="231F20"/>
          <w:spacing w:val="-7"/>
        </w:rPr>
        <w:t> </w:t>
      </w:r>
      <w:r>
        <w:rPr>
          <w:color w:val="231F20"/>
        </w:rPr>
        <w:t>krachtens</w:t>
      </w:r>
      <w:r>
        <w:rPr>
          <w:color w:val="231F20"/>
          <w:spacing w:val="-7"/>
        </w:rPr>
        <w:t> </w:t>
      </w:r>
      <w:r>
        <w:rPr>
          <w:color w:val="231F20"/>
        </w:rPr>
        <w:t>artikel</w:t>
      </w:r>
      <w:r>
        <w:rPr>
          <w:color w:val="231F20"/>
          <w:spacing w:val="-7"/>
        </w:rPr>
        <w:t> </w:t>
      </w:r>
      <w:r>
        <w:rPr>
          <w:color w:val="231F20"/>
        </w:rPr>
        <w:t>7:83</w:t>
      </w:r>
      <w:r>
        <w:rPr>
          <w:color w:val="231F20"/>
          <w:spacing w:val="-6"/>
        </w:rPr>
        <w:t> </w:t>
      </w:r>
      <w:r>
        <w:rPr>
          <w:color w:val="231F20"/>
        </w:rPr>
        <w:t>vereiste</w:t>
      </w:r>
      <w:r>
        <w:rPr>
          <w:color w:val="231F20"/>
          <w:spacing w:val="-7"/>
        </w:rPr>
        <w:t> </w:t>
      </w:r>
      <w:r>
        <w:rPr>
          <w:color w:val="231F20"/>
        </w:rPr>
        <w:t>kennisgevingen niet werden verricht volgens de modaliteiten en binnen de termijnen zoals voorgeschreven, kan de voorzitter van de ondernemingsrecht- bank van de zetel van de vennootschap, recht doende als in kort  geding:</w:t>
      </w:r>
    </w:p>
    <w:p>
      <w:pPr>
        <w:pStyle w:val="BodyText"/>
        <w:spacing w:line="218" w:lineRule="auto" w:before="118"/>
      </w:pPr>
      <w:r>
        <w:rPr>
          <w:color w:val="231F20"/>
        </w:rPr>
        <w:t>1° de uitoefening van alle of een deel van de aan de betrokken effecten verbonden rechten voor een periode van ten hoogste één jaar schorsen;</w:t>
      </w:r>
    </w:p>
    <w:p>
      <w:pPr>
        <w:pStyle w:val="BodyText"/>
        <w:spacing w:line="218" w:lineRule="auto" w:before="117"/>
      </w:pPr>
      <w:r>
        <w:rPr>
          <w:color w:val="231F20"/>
        </w:rPr>
        <w:t>2° gedurende de termijn die hij vaststelt, een reeds bijeengeroepen algemene vergadering opschorten;</w:t>
      </w:r>
    </w:p>
    <w:p>
      <w:pPr>
        <w:pStyle w:val="BodyText"/>
        <w:spacing w:line="218" w:lineRule="auto" w:before="118"/>
      </w:pPr>
      <w:r>
        <w:rPr>
          <w:color w:val="231F20"/>
        </w:rPr>
        <w:t>3° onder zijn toezicht de verkoop van de bewuste effecten aan een derde, die niet met de huidige aandeelhouder verbonden is, bevelen binnen een termijn die hij vaststelt en die kan worden verlengd.</w:t>
      </w:r>
    </w:p>
    <w:p>
      <w:pPr>
        <w:pStyle w:val="BodyText"/>
        <w:spacing w:line="218" w:lineRule="auto" w:before="117"/>
      </w:pPr>
      <w:r>
        <w:rPr>
          <w:color w:val="231F20"/>
        </w:rPr>
        <w:t>§ 2. De procedure wordt ingesteld door een dagvaarding uitgaande van de vennootschap of uitgaande van één of meer stemgerechtigde aandeelhouders. Wanneer het voorwerp van de vraag de opschorting van een reeds bijeengeroepen algemene vergadering betreft, kan ook de persoon wiens effecten het voorwerp zijn van een vraag of beslissing tot opschorting van alle of een deel van de aan de betrokken effecten verbonden rechten de procedure instellen.</w:t>
      </w:r>
    </w:p>
    <w:p>
      <w:pPr>
        <w:pStyle w:val="BodyText"/>
        <w:spacing w:line="218" w:lineRule="auto" w:before="118"/>
      </w:pPr>
      <w:r>
        <w:rPr>
          <w:color w:val="231F20"/>
        </w:rPr>
        <w:t>Wanneer het voorwerp van de vordering de schorsing betreft, overeenkomstig het eerste lid, 1°, van alle of een deel van de rechten verbonden aan de betrokken effecten, moet zij, indien een kennisgeving is verricht, op straffe van niet-ontvankelijkheid, uiterlijk vijftien dagen na de betekening van de kennisgeving worden ingediend.</w:t>
      </w:r>
    </w:p>
    <w:p>
      <w:pPr>
        <w:pStyle w:val="BodyText"/>
        <w:spacing w:line="218" w:lineRule="auto" w:before="118"/>
      </w:pPr>
      <w:r>
        <w:rPr>
          <w:color w:val="231F20"/>
        </w:rPr>
        <w:t>§ 3. De voorzitter doet uitspraak niettegenstaande elke vordering uitgeoefend om reden van dezelfde feiten voor een ander rechtscollege.</w:t>
      </w:r>
    </w:p>
    <w:p>
      <w:pPr>
        <w:pStyle w:val="BodyText"/>
        <w:spacing w:line="218" w:lineRule="auto" w:before="117"/>
      </w:pPr>
      <w:r>
        <w:rPr>
          <w:color w:val="231F20"/>
        </w:rPr>
        <w:t>De voorzitter kan de </w:t>
      </w:r>
      <w:r>
        <w:rPr>
          <w:color w:val="231F20"/>
          <w:spacing w:val="-3"/>
        </w:rPr>
        <w:t>opheffing </w:t>
      </w:r>
      <w:r>
        <w:rPr>
          <w:color w:val="231F20"/>
        </w:rPr>
        <w:t>van de door hem bevolen maatregelen toestaan op vraag van één der belanghebbenden en na de personen die de zaak bij hem aanhangig hebben gemaakt alsook de vennootschap te hebben</w:t>
      </w:r>
      <w:r>
        <w:rPr>
          <w:color w:val="231F20"/>
          <w:spacing w:val="15"/>
        </w:rPr>
        <w:t> </w:t>
      </w:r>
      <w:r>
        <w:rPr>
          <w:color w:val="231F20"/>
        </w:rPr>
        <w:t>gehoord.</w:t>
      </w:r>
    </w:p>
    <w:p>
      <w:pPr>
        <w:pStyle w:val="BodyText"/>
        <w:spacing w:line="218" w:lineRule="auto" w:before="118"/>
      </w:pPr>
      <w:r>
        <w:rPr>
          <w:color w:val="231F20"/>
        </w:rPr>
        <w:t>TITEL 4. Vennootschapsorganen en algemene vergadering van obligatiehouders.</w:t>
      </w:r>
    </w:p>
    <w:p>
      <w:pPr>
        <w:pStyle w:val="BodyText"/>
        <w:spacing w:line="364" w:lineRule="auto" w:before="103"/>
        <w:ind w:left="283" w:right="2809" w:firstLine="0"/>
        <w:jc w:val="left"/>
      </w:pPr>
      <w:r>
        <w:rPr>
          <w:color w:val="231F20"/>
        </w:rPr>
        <w:t>HOOFDSTUK 1. Bestuur. Afdeling 1. Monistisch bestuur. Onderafdeling 1. Samenstelling.</w:t>
      </w:r>
    </w:p>
    <w:p>
      <w:pPr>
        <w:pStyle w:val="BodyText"/>
        <w:spacing w:line="218" w:lineRule="auto" w:before="13"/>
      </w:pPr>
      <w:r>
        <w:rPr>
          <w:color w:val="231F20"/>
        </w:rPr>
        <w:t>Art. 7:85. § 1. De vennootschap wordt bestuurd door een collegiaal bestuursorgaan, raad van bestuur genoemd, dat minstens drie bestuur- ders telt, die natuurlijke of rechtspersonen zijn.</w:t>
      </w:r>
    </w:p>
    <w:p>
      <w:pPr>
        <w:pStyle w:val="BodyText"/>
        <w:spacing w:line="218" w:lineRule="auto" w:before="117"/>
      </w:pPr>
      <w:r>
        <w:rPr>
          <w:color w:val="231F20"/>
        </w:rPr>
        <w:t>Indien en zolang de vennootschap minder dan drie aandeelhouders heeft, mag de raad van bestuur bestaan uit twee bestuurders. Zolang de raad van bestuur tweehoofdig is, verliest elke bepaling die aan een lid van de raad van bestuur een doorslaggevende stem toekent, van rechtswege haar werking.</w:t>
      </w:r>
    </w:p>
    <w:p>
      <w:pPr>
        <w:pStyle w:val="BodyText"/>
        <w:spacing w:line="218" w:lineRule="auto" w:before="118"/>
      </w:pPr>
      <w:r>
        <w:rPr>
          <w:color w:val="231F20"/>
        </w:rPr>
        <w:t>Bestuurders kunnen in deze hoedanigheid niet door een arbeidsover- eenkomst met de vennootschap zijn verbonden.</w:t>
      </w:r>
    </w:p>
    <w:p>
      <w:pPr>
        <w:pStyle w:val="BodyText"/>
        <w:spacing w:line="218" w:lineRule="auto" w:before="117"/>
      </w:pPr>
      <w:r>
        <w:rPr>
          <w:color w:val="231F20"/>
        </w:rPr>
        <w:t>§ 2. De bestuurders worden door de algemene vergadering van aandeelhouders benoemd; zij worden voor de eerste maal aangeduid in de oprichtingsakte. Zij worden benoemd voor ten hoogste zes </w:t>
      </w:r>
      <w:r>
        <w:rPr>
          <w:color w:val="231F20"/>
          <w:spacing w:val="-3"/>
        </w:rPr>
        <w:t>jaar,  </w:t>
      </w:r>
      <w:r>
        <w:rPr>
          <w:color w:val="231F20"/>
        </w:rPr>
        <w:t>maar</w:t>
      </w:r>
      <w:r>
        <w:rPr>
          <w:color w:val="231F20"/>
          <w:spacing w:val="15"/>
        </w:rPr>
        <w:t> </w:t>
      </w:r>
      <w:r>
        <w:rPr>
          <w:color w:val="231F20"/>
        </w:rPr>
        <w:t>hun</w:t>
      </w:r>
      <w:r>
        <w:rPr>
          <w:color w:val="231F20"/>
          <w:spacing w:val="15"/>
        </w:rPr>
        <w:t> </w:t>
      </w:r>
      <w:r>
        <w:rPr>
          <w:color w:val="231F20"/>
        </w:rPr>
        <w:t>mandaat</w:t>
      </w:r>
      <w:r>
        <w:rPr>
          <w:color w:val="231F20"/>
          <w:spacing w:val="15"/>
        </w:rPr>
        <w:t> </w:t>
      </w:r>
      <w:r>
        <w:rPr>
          <w:color w:val="231F20"/>
        </w:rPr>
        <w:t>is</w:t>
      </w:r>
      <w:r>
        <w:rPr>
          <w:color w:val="231F20"/>
          <w:spacing w:val="15"/>
        </w:rPr>
        <w:t> </w:t>
      </w:r>
      <w:r>
        <w:rPr>
          <w:color w:val="231F20"/>
        </w:rPr>
        <w:t>onbeperkt</w:t>
      </w:r>
      <w:r>
        <w:rPr>
          <w:color w:val="231F20"/>
          <w:spacing w:val="15"/>
        </w:rPr>
        <w:t> </w:t>
      </w:r>
      <w:r>
        <w:rPr>
          <w:color w:val="231F20"/>
        </w:rPr>
        <w:t>hernieuwbaar.</w:t>
      </w:r>
    </w:p>
    <w:p>
      <w:pPr>
        <w:pStyle w:val="BodyText"/>
        <w:spacing w:line="218" w:lineRule="auto" w:before="118"/>
      </w:pPr>
      <w:r>
        <w:rPr>
          <w:color w:val="231F20"/>
        </w:rPr>
        <w:t>Tenzij de statuten of het benoemingsbesluit van de algemene vergadering anders bepalen, loopt hun mandaat van de algemene vergadering waarop zij worden benoemd tot de gewone algemene vergadering in het boekjaar waarin hun mandaat volgens het benoe- mingsbesluit verstrijkt.</w:t>
      </w:r>
    </w:p>
    <w:p>
      <w:pPr>
        <w:pStyle w:val="BodyText"/>
        <w:spacing w:line="218" w:lineRule="auto" w:before="118"/>
      </w:pPr>
      <w:r>
        <w:rPr>
          <w:color w:val="231F20"/>
        </w:rPr>
        <w:t>§ 3. De algemene vergadering kan het mandaat van elke bestuurder te allen tijde en zonder opgave van redenen met onmiddelijke ingang beeïndigen. </w:t>
      </w:r>
      <w:r>
        <w:rPr>
          <w:color w:val="231F20"/>
          <w:spacing w:val="-3"/>
        </w:rPr>
        <w:t>Tenzij </w:t>
      </w:r>
      <w:r>
        <w:rPr>
          <w:color w:val="231F20"/>
        </w:rPr>
        <w:t>de statuten anders bepalen, kan de algemene vergadering op het moment van de opzegging evenwel steeds  de  datum bepalen waarop het mandaat eindigt of een vertrekvergoeding toekennen.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4936" from="298.170502pt,64.473pt" to="298.170502pt,812.819pt" stroked="true" strokeweight=".533pt" strokecolor="#231f20">
            <v:stroke dashstyle="solid"/>
            <w10:wrap type="none"/>
          </v:line>
        </w:pict>
      </w:r>
      <w:bookmarkStart w:name="_bookmark163" w:id="168"/>
      <w:bookmarkEnd w:id="168"/>
      <w:r>
        <w:rPr/>
      </w:r>
      <w:r>
        <w:rPr>
          <w:color w:val="231F20"/>
        </w:rPr>
        <w:t>Par dérogation à l’alinéa 1</w:t>
      </w:r>
      <w:r>
        <w:rPr>
          <w:color w:val="231F20"/>
          <w:position w:val="7"/>
          <w:sz w:val="11"/>
        </w:rPr>
        <w:t>er</w:t>
      </w:r>
      <w:r>
        <w:rPr>
          <w:color w:val="231F20"/>
        </w:rPr>
        <w:t>, les statuts peuvent prévoir qu’il ne peut être mis fin au mandat d’un administrateur que moyennant le respect d’un délai de préavis ou l’octroi d’une indemnité de départ.</w:t>
      </w:r>
    </w:p>
    <w:p>
      <w:pPr>
        <w:pStyle w:val="BodyText"/>
        <w:spacing w:before="11"/>
        <w:ind w:left="0" w:right="0" w:firstLine="0"/>
        <w:jc w:val="left"/>
        <w:rPr>
          <w:sz w:val="22"/>
        </w:rPr>
      </w:pPr>
    </w:p>
    <w:p>
      <w:pPr>
        <w:pStyle w:val="BodyText"/>
        <w:spacing w:line="218" w:lineRule="auto"/>
        <w:ind w:right="38"/>
      </w:pPr>
      <w:r>
        <w:rPr>
          <w:color w:val="231F20"/>
        </w:rPr>
        <w:t>L’assemblée générale peut toutefois, en toute hypothèse, mettre un terme au mandat d’un administrateur pour de justes motifs, sans préavis ni indemnité.</w:t>
      </w:r>
    </w:p>
    <w:p>
      <w:pPr>
        <w:pStyle w:val="BodyText"/>
        <w:spacing w:line="218" w:lineRule="auto" w:before="85"/>
        <w:ind w:right="38"/>
      </w:pPr>
      <w:r>
        <w:rPr>
          <w:color w:val="231F20"/>
        </w:rPr>
        <w:t>§ 4. </w:t>
      </w:r>
      <w:r>
        <w:rPr>
          <w:color w:val="231F20"/>
          <w:spacing w:val="-4"/>
        </w:rPr>
        <w:t>Tout </w:t>
      </w:r>
      <w:r>
        <w:rPr>
          <w:color w:val="231F20"/>
        </w:rPr>
        <w:t>administrateur peut démissionner par simple notification</w:t>
      </w:r>
      <w:r>
        <w:rPr>
          <w:color w:val="231F20"/>
          <w:spacing w:val="-28"/>
        </w:rPr>
        <w:t> </w:t>
      </w:r>
      <w:r>
        <w:rPr>
          <w:color w:val="231F20"/>
        </w:rPr>
        <w:t>au conseil d’administration. À la demande de la société, il reste en fonction jusqu’à ce que la société puisse raisonnablement pourvoir à son remplacement. Il peut lui-même faire tout ce qui est nécessaire pour rendre la fin de son mandat opposable aux tiers, aux conditions</w:t>
      </w:r>
      <w:r>
        <w:rPr>
          <w:color w:val="231F20"/>
          <w:spacing w:val="-16"/>
        </w:rPr>
        <w:t> </w:t>
      </w:r>
      <w:r>
        <w:rPr>
          <w:color w:val="231F20"/>
        </w:rPr>
        <w:t>prévues à l’article</w:t>
      </w:r>
      <w:r>
        <w:rPr>
          <w:color w:val="231F20"/>
          <w:spacing w:val="-12"/>
        </w:rPr>
        <w:t> </w:t>
      </w:r>
      <w:r>
        <w:rPr>
          <w:color w:val="231F20"/>
        </w:rPr>
        <w:t>2:18.</w:t>
      </w:r>
    </w:p>
    <w:p>
      <w:pPr>
        <w:pStyle w:val="BodyText"/>
        <w:spacing w:line="218" w:lineRule="auto" w:before="86"/>
        <w:ind w:right="38"/>
      </w:pPr>
      <w:r>
        <w:rPr>
          <w:color w:val="231F20"/>
        </w:rPr>
        <w:t>Art. 7:86. Dans les sociétés cotées et les entités d’intérêt public visées à l’article 1:12, 2°, au moins un tiers des membres du conseil d’administration sont de sexe différent de celui des autres membres; le nombre minimum exigé étant arrondi au nombre entier le plus proche. Si l’administrateur est une personne morale, son sexe est déterminé par celui de son représentant permanent.</w:t>
      </w:r>
    </w:p>
    <w:p>
      <w:pPr>
        <w:pStyle w:val="BodyText"/>
        <w:spacing w:before="2"/>
        <w:ind w:left="0" w:right="0" w:firstLine="0"/>
        <w:jc w:val="left"/>
        <w:rPr>
          <w:sz w:val="23"/>
        </w:rPr>
      </w:pPr>
    </w:p>
    <w:p>
      <w:pPr>
        <w:pStyle w:val="BodyText"/>
        <w:spacing w:line="216" w:lineRule="auto"/>
        <w:ind w:right="38"/>
      </w:pPr>
      <w:r>
        <w:rPr>
          <w:color w:val="231F20"/>
        </w:rPr>
        <w:t>Si pour quelque raison que ce soit, la composition du conseil d’administration ne répond pas ou plus aux conditions  fixées  à  l’alinéa 1</w:t>
      </w:r>
      <w:r>
        <w:rPr>
          <w:color w:val="231F20"/>
          <w:position w:val="7"/>
          <w:sz w:val="11"/>
        </w:rPr>
        <w:t>er</w:t>
      </w:r>
      <w:r>
        <w:rPr>
          <w:color w:val="231F20"/>
        </w:rPr>
        <w:t>, la première assemblée générale qui suit constitue un conseil d’administration qui répond à ces exigences, sans qu’il soit porté préjudice à la régularité de la composition du conseil d’administration jusqu’à cette date. </w:t>
      </w:r>
      <w:r>
        <w:rPr>
          <w:color w:val="231F20"/>
          <w:spacing w:val="-4"/>
        </w:rPr>
        <w:t>Toute </w:t>
      </w:r>
      <w:r>
        <w:rPr>
          <w:color w:val="231F20"/>
        </w:rPr>
        <w:t>autre nomination est</w:t>
      </w:r>
      <w:r>
        <w:rPr>
          <w:color w:val="231F20"/>
          <w:spacing w:val="29"/>
        </w:rPr>
        <w:t> </w:t>
      </w:r>
      <w:r>
        <w:rPr>
          <w:color w:val="231F20"/>
        </w:rPr>
        <w:t>nulle.</w:t>
      </w:r>
    </w:p>
    <w:p>
      <w:pPr>
        <w:pStyle w:val="BodyText"/>
        <w:spacing w:line="216" w:lineRule="auto" w:before="82"/>
        <w:ind w:right="38"/>
      </w:pPr>
      <w:r>
        <w:rPr>
          <w:color w:val="231F20"/>
        </w:rPr>
        <w:t>Si après l’assemblée générale visée à l’alinéa 2, la composition du conseil d’administration n’est pas conforme aux alinéas 1</w:t>
      </w:r>
      <w:r>
        <w:rPr>
          <w:color w:val="231F20"/>
          <w:position w:val="7"/>
          <w:sz w:val="11"/>
        </w:rPr>
        <w:t>er </w:t>
      </w:r>
      <w:r>
        <w:rPr>
          <w:color w:val="231F20"/>
        </w:rPr>
        <w:t>et 2, tout avantage, financier ou autre, revenant aux administrateurs sur la base de leur mandat, est suspendu à partir de ce moment et ce, jusqu’au moment où au moins un tiers des membres du conseil d’administration sera d’un sexe différent de celui des autres membres.</w:t>
      </w:r>
    </w:p>
    <w:p>
      <w:pPr>
        <w:pStyle w:val="BodyText"/>
        <w:spacing w:before="9"/>
        <w:ind w:left="0" w:right="0" w:firstLine="0"/>
        <w:jc w:val="left"/>
        <w:rPr>
          <w:sz w:val="23"/>
        </w:rPr>
      </w:pPr>
    </w:p>
    <w:p>
      <w:pPr>
        <w:pStyle w:val="BodyText"/>
        <w:spacing w:line="213" w:lineRule="auto" w:before="1"/>
        <w:ind w:right="38"/>
      </w:pPr>
      <w:r>
        <w:rPr>
          <w:color w:val="231F20"/>
        </w:rPr>
        <w:t>La composition du conseil d’administration des sociétés dont les actions sont cotées pour la première fois doit être au conforme à l’alinéa 1</w:t>
      </w:r>
      <w:r>
        <w:rPr>
          <w:color w:val="231F20"/>
          <w:position w:val="7"/>
          <w:sz w:val="11"/>
        </w:rPr>
        <w:t>er</w:t>
      </w:r>
      <w:r>
        <w:rPr>
          <w:color w:val="231F20"/>
        </w:rPr>
        <w:t>, à compter du premier jour de la sixième année qui suit la cotation.</w:t>
      </w:r>
    </w:p>
    <w:p>
      <w:pPr>
        <w:pStyle w:val="BodyText"/>
        <w:spacing w:line="218" w:lineRule="auto" w:before="78"/>
        <w:ind w:right="38"/>
      </w:pPr>
      <w:r>
        <w:rPr>
          <w:color w:val="231F20"/>
        </w:rPr>
        <w:t>Art. 7:87. § 1</w:t>
      </w:r>
      <w:r>
        <w:rPr>
          <w:color w:val="231F20"/>
          <w:position w:val="7"/>
          <w:sz w:val="11"/>
        </w:rPr>
        <w:t>er</w:t>
      </w:r>
      <w:r>
        <w:rPr>
          <w:color w:val="231F20"/>
        </w:rPr>
        <w:t>. Un administrateur d’une société cotée est considéré comme indépendant s’il n’entretient pas avec la société ou un actionnaire important de celle-ci de relation qui soit de nature à mettre son indépendance en péril. Si l’administrateur est une personne</w:t>
      </w:r>
      <w:r>
        <w:rPr>
          <w:color w:val="231F20"/>
          <w:spacing w:val="-23"/>
        </w:rPr>
        <w:t> </w:t>
      </w:r>
      <w:r>
        <w:rPr>
          <w:color w:val="231F20"/>
        </w:rPr>
        <w:t>morale, l’indépendance doit être appréciée tant dans le chef de la</w:t>
      </w:r>
      <w:r>
        <w:rPr>
          <w:color w:val="231F20"/>
          <w:spacing w:val="13"/>
        </w:rPr>
        <w:t> </w:t>
      </w:r>
      <w:r>
        <w:rPr>
          <w:color w:val="231F20"/>
        </w:rPr>
        <w:t>personne morale</w:t>
      </w:r>
      <w:r>
        <w:rPr>
          <w:color w:val="231F20"/>
          <w:spacing w:val="14"/>
        </w:rPr>
        <w:t> </w:t>
      </w:r>
      <w:r>
        <w:rPr>
          <w:color w:val="231F20"/>
        </w:rPr>
        <w:t>que</w:t>
      </w:r>
      <w:r>
        <w:rPr>
          <w:color w:val="231F20"/>
          <w:spacing w:val="15"/>
        </w:rPr>
        <w:t> </w:t>
      </w:r>
      <w:r>
        <w:rPr>
          <w:color w:val="231F20"/>
        </w:rPr>
        <w:t>de</w:t>
      </w:r>
      <w:r>
        <w:rPr>
          <w:color w:val="231F20"/>
          <w:spacing w:val="15"/>
        </w:rPr>
        <w:t> </w:t>
      </w:r>
      <w:r>
        <w:rPr>
          <w:color w:val="231F20"/>
        </w:rPr>
        <w:t>son</w:t>
      </w:r>
      <w:r>
        <w:rPr>
          <w:color w:val="231F20"/>
          <w:spacing w:val="14"/>
        </w:rPr>
        <w:t> </w:t>
      </w:r>
      <w:r>
        <w:rPr>
          <w:color w:val="231F20"/>
        </w:rPr>
        <w:t>représentant</w:t>
      </w:r>
      <w:r>
        <w:rPr>
          <w:color w:val="231F20"/>
          <w:spacing w:val="15"/>
        </w:rPr>
        <w:t> </w:t>
      </w:r>
      <w:r>
        <w:rPr>
          <w:color w:val="231F20"/>
        </w:rPr>
        <w:t>permanent.</w:t>
      </w:r>
    </w:p>
    <w:p>
      <w:pPr>
        <w:pStyle w:val="BodyText"/>
        <w:spacing w:line="218" w:lineRule="auto" w:before="97"/>
        <w:ind w:right="38"/>
      </w:pPr>
      <w:r>
        <w:rPr>
          <w:color w:val="231F20"/>
        </w:rPr>
        <w:t>Afin de vérifier si un candidat administrateur répond à cette condition, il est fait application des critères prévus dans le code belge de gouvernance d’entreprise que le Roi désigne conformément à l’article 3:6, § 2, alinéa 4. Le Roi veille à ce que ce code contienne une liste de critères adéquats. Un candidat administrateur qui remplit ces critères</w:t>
      </w:r>
      <w:r>
        <w:rPr>
          <w:color w:val="231F20"/>
          <w:spacing w:val="14"/>
        </w:rPr>
        <w:t> </w:t>
      </w:r>
      <w:r>
        <w:rPr>
          <w:color w:val="231F20"/>
        </w:rPr>
        <w:t>est</w:t>
      </w:r>
      <w:r>
        <w:rPr>
          <w:color w:val="231F20"/>
          <w:spacing w:val="14"/>
        </w:rPr>
        <w:t> </w:t>
      </w:r>
      <w:r>
        <w:rPr>
          <w:color w:val="231F20"/>
        </w:rPr>
        <w:t>présumé,</w:t>
      </w:r>
      <w:r>
        <w:rPr>
          <w:color w:val="231F20"/>
          <w:spacing w:val="15"/>
        </w:rPr>
        <w:t> </w:t>
      </w:r>
      <w:r>
        <w:rPr>
          <w:color w:val="231F20"/>
        </w:rPr>
        <w:t>jusqu’à</w:t>
      </w:r>
      <w:r>
        <w:rPr>
          <w:color w:val="231F20"/>
          <w:spacing w:val="14"/>
        </w:rPr>
        <w:t> </w:t>
      </w:r>
      <w:r>
        <w:rPr>
          <w:color w:val="231F20"/>
        </w:rPr>
        <w:t>preuve</w:t>
      </w:r>
      <w:r>
        <w:rPr>
          <w:color w:val="231F20"/>
          <w:spacing w:val="14"/>
        </w:rPr>
        <w:t> </w:t>
      </w:r>
      <w:r>
        <w:rPr>
          <w:color w:val="231F20"/>
        </w:rPr>
        <w:t>du</w:t>
      </w:r>
      <w:r>
        <w:rPr>
          <w:color w:val="231F20"/>
          <w:spacing w:val="15"/>
        </w:rPr>
        <w:t> </w:t>
      </w:r>
      <w:r>
        <w:rPr>
          <w:color w:val="231F20"/>
        </w:rPr>
        <w:t>contraire,</w:t>
      </w:r>
      <w:r>
        <w:rPr>
          <w:color w:val="231F20"/>
          <w:spacing w:val="14"/>
        </w:rPr>
        <w:t> </w:t>
      </w:r>
      <w:r>
        <w:rPr>
          <w:color w:val="231F20"/>
        </w:rPr>
        <w:t>être</w:t>
      </w:r>
      <w:r>
        <w:rPr>
          <w:color w:val="231F20"/>
          <w:spacing w:val="14"/>
        </w:rPr>
        <w:t> </w:t>
      </w:r>
      <w:r>
        <w:rPr>
          <w:color w:val="231F20"/>
        </w:rPr>
        <w:t>indépendant.</w:t>
      </w:r>
    </w:p>
    <w:p>
      <w:pPr>
        <w:pStyle w:val="BodyText"/>
        <w:spacing w:before="2"/>
        <w:ind w:left="0" w:right="0" w:firstLine="0"/>
        <w:jc w:val="left"/>
        <w:rPr>
          <w:sz w:val="24"/>
        </w:rPr>
      </w:pPr>
    </w:p>
    <w:p>
      <w:pPr>
        <w:pStyle w:val="BodyText"/>
        <w:spacing w:line="213" w:lineRule="auto"/>
        <w:ind w:right="38"/>
      </w:pPr>
      <w:r>
        <w:rPr>
          <w:color w:val="231F20"/>
        </w:rPr>
        <w:t>Lorsque le conseil d’administration présente à l’assemblée générale la candidature d’un administrateur indépendant qui ne remplit pas ces critères, il expose les motifs qui le conduisent à considérer que le candidat</w:t>
      </w:r>
      <w:r>
        <w:rPr>
          <w:color w:val="231F20"/>
          <w:spacing w:val="17"/>
        </w:rPr>
        <w:t> </w:t>
      </w:r>
      <w:r>
        <w:rPr>
          <w:color w:val="231F20"/>
        </w:rPr>
        <w:t>est</w:t>
      </w:r>
      <w:r>
        <w:rPr>
          <w:color w:val="231F20"/>
          <w:spacing w:val="17"/>
        </w:rPr>
        <w:t> </w:t>
      </w:r>
      <w:r>
        <w:rPr>
          <w:color w:val="231F20"/>
        </w:rPr>
        <w:t>effectivement</w:t>
      </w:r>
      <w:r>
        <w:rPr>
          <w:color w:val="231F20"/>
          <w:spacing w:val="17"/>
        </w:rPr>
        <w:t> </w:t>
      </w:r>
      <w:r>
        <w:rPr>
          <w:color w:val="231F20"/>
        </w:rPr>
        <w:t>indépendant</w:t>
      </w:r>
      <w:r>
        <w:rPr>
          <w:color w:val="231F20"/>
          <w:spacing w:val="17"/>
        </w:rPr>
        <w:t> </w:t>
      </w:r>
      <w:r>
        <w:rPr>
          <w:color w:val="231F20"/>
        </w:rPr>
        <w:t>au</w:t>
      </w:r>
      <w:r>
        <w:rPr>
          <w:color w:val="231F20"/>
          <w:spacing w:val="17"/>
        </w:rPr>
        <w:t> </w:t>
      </w:r>
      <w:r>
        <w:rPr>
          <w:color w:val="231F20"/>
        </w:rPr>
        <w:t>sens</w:t>
      </w:r>
      <w:r>
        <w:rPr>
          <w:color w:val="231F20"/>
          <w:spacing w:val="17"/>
        </w:rPr>
        <w:t> </w:t>
      </w:r>
      <w:r>
        <w:rPr>
          <w:color w:val="231F20"/>
        </w:rPr>
        <w:t>de</w:t>
      </w:r>
      <w:r>
        <w:rPr>
          <w:color w:val="231F20"/>
          <w:spacing w:val="17"/>
        </w:rPr>
        <w:t> </w:t>
      </w:r>
      <w:r>
        <w:rPr>
          <w:color w:val="231F20"/>
        </w:rPr>
        <w:t>l’alinéa</w:t>
      </w:r>
      <w:r>
        <w:rPr>
          <w:color w:val="231F20"/>
          <w:spacing w:val="18"/>
        </w:rPr>
        <w:t> </w:t>
      </w:r>
      <w:r>
        <w:rPr>
          <w:color w:val="231F20"/>
        </w:rPr>
        <w:t>1</w:t>
      </w:r>
      <w:r>
        <w:rPr>
          <w:color w:val="231F20"/>
          <w:position w:val="7"/>
          <w:sz w:val="11"/>
        </w:rPr>
        <w:t>er</w:t>
      </w:r>
      <w:r>
        <w:rPr>
          <w:color w:val="231F20"/>
        </w:rPr>
        <w:t>.</w:t>
      </w:r>
    </w:p>
    <w:p>
      <w:pPr>
        <w:pStyle w:val="BodyText"/>
        <w:spacing w:before="8"/>
        <w:ind w:left="0" w:right="0" w:firstLine="0"/>
        <w:jc w:val="left"/>
        <w:rPr>
          <w:sz w:val="23"/>
        </w:rPr>
      </w:pPr>
    </w:p>
    <w:p>
      <w:pPr>
        <w:pStyle w:val="BodyText"/>
        <w:spacing w:line="218" w:lineRule="auto" w:before="1"/>
        <w:ind w:right="38"/>
      </w:pPr>
      <w:r>
        <w:rPr>
          <w:color w:val="231F20"/>
        </w:rPr>
        <w:t>Un administrateur indépendant qui cesse de remplir les conditions précitées en informe immédiatement le conseil d’administration, par l’intermédiaire de son président.</w:t>
      </w:r>
    </w:p>
    <w:p>
      <w:pPr>
        <w:pStyle w:val="BodyText"/>
        <w:spacing w:line="218" w:lineRule="auto" w:before="96"/>
        <w:ind w:right="38"/>
      </w:pPr>
      <w:r>
        <w:rPr>
          <w:color w:val="231F20"/>
        </w:rPr>
        <w:t>§ 2. Dans les entreprises où un conseil d’entreprise a été institué en exécution de la loi du 20 septembre 1948 portant organisation de l’économie, les noms des administrateurs indépendants présentés sont communiqués au conseil d’entreprise préalablement à leur nomination par l’assemblée générale. La même procédure est applicable en cas de renouvellement de mandat.</w:t>
      </w:r>
    </w:p>
    <w:p>
      <w:pPr>
        <w:pStyle w:val="BodyText"/>
        <w:spacing w:before="7"/>
        <w:ind w:left="0" w:right="0" w:firstLine="0"/>
        <w:jc w:val="left"/>
        <w:rPr>
          <w:sz w:val="22"/>
        </w:rPr>
      </w:pPr>
    </w:p>
    <w:p>
      <w:pPr>
        <w:pStyle w:val="BodyText"/>
        <w:spacing w:line="218" w:lineRule="auto"/>
        <w:ind w:right="38"/>
      </w:pPr>
      <w:r>
        <w:rPr>
          <w:color w:val="231F20"/>
        </w:rPr>
        <w:t>Art. 7:88. § 1</w:t>
      </w:r>
      <w:r>
        <w:rPr>
          <w:color w:val="231F20"/>
          <w:position w:val="7"/>
          <w:sz w:val="11"/>
        </w:rPr>
        <w:t>er</w:t>
      </w:r>
      <w:r>
        <w:rPr>
          <w:color w:val="231F20"/>
        </w:rPr>
        <w:t>. En cas de vacance d’une place d’administrateur, les administrateurs restants ont le droit de coopter un nouvel administra- teur, sauf si les statuts l’excluent.</w:t>
      </w:r>
    </w:p>
    <w:p>
      <w:pPr>
        <w:pStyle w:val="BodyText"/>
        <w:spacing w:line="218" w:lineRule="auto" w:before="96"/>
        <w:ind w:right="38"/>
      </w:pPr>
      <w:r>
        <w:rPr>
          <w:color w:val="231F20"/>
        </w:rPr>
        <w:t>La première assemblée générale qui suit doit confirmer le mandat de l’administrateur</w:t>
      </w:r>
      <w:r>
        <w:rPr>
          <w:color w:val="231F20"/>
          <w:spacing w:val="-5"/>
        </w:rPr>
        <w:t> </w:t>
      </w:r>
      <w:r>
        <w:rPr>
          <w:color w:val="231F20"/>
        </w:rPr>
        <w:t>coopté;</w:t>
      </w:r>
      <w:r>
        <w:rPr>
          <w:color w:val="231F20"/>
          <w:spacing w:val="-4"/>
        </w:rPr>
        <w:t> </w:t>
      </w:r>
      <w:r>
        <w:rPr>
          <w:color w:val="231F20"/>
        </w:rPr>
        <w:t>en</w:t>
      </w:r>
      <w:r>
        <w:rPr>
          <w:color w:val="231F20"/>
          <w:spacing w:val="-5"/>
        </w:rPr>
        <w:t> </w:t>
      </w:r>
      <w:r>
        <w:rPr>
          <w:color w:val="231F20"/>
        </w:rPr>
        <w:t>cas</w:t>
      </w:r>
      <w:r>
        <w:rPr>
          <w:color w:val="231F20"/>
          <w:spacing w:val="-4"/>
        </w:rPr>
        <w:t> </w:t>
      </w:r>
      <w:r>
        <w:rPr>
          <w:color w:val="231F20"/>
        </w:rPr>
        <w:t>de</w:t>
      </w:r>
      <w:r>
        <w:rPr>
          <w:color w:val="231F20"/>
          <w:spacing w:val="-4"/>
        </w:rPr>
        <w:t> </w:t>
      </w:r>
      <w:r>
        <w:rPr>
          <w:color w:val="231F20"/>
        </w:rPr>
        <w:t>confirmation,</w:t>
      </w:r>
      <w:r>
        <w:rPr>
          <w:color w:val="231F20"/>
          <w:spacing w:val="-5"/>
        </w:rPr>
        <w:t> </w:t>
      </w:r>
      <w:r>
        <w:rPr>
          <w:color w:val="231F20"/>
        </w:rPr>
        <w:t>l’administrateur</w:t>
      </w:r>
      <w:r>
        <w:rPr>
          <w:color w:val="231F20"/>
          <w:spacing w:val="-4"/>
        </w:rPr>
        <w:t> </w:t>
      </w:r>
      <w:r>
        <w:rPr>
          <w:color w:val="231F20"/>
        </w:rPr>
        <w:t>coopté termine le mandat de son prédécesseur, sauf si l’assemblée générale en décide autrement. À défaut de confirmation, le mandat de l’adminis- trateur coopté prend fin après l’assemblée générale, sans que cela puisse porter préjudice à la régularité de la composition du</w:t>
      </w:r>
      <w:r>
        <w:rPr>
          <w:color w:val="231F20"/>
          <w:spacing w:val="20"/>
        </w:rPr>
        <w:t> </w:t>
      </w:r>
      <w:r>
        <w:rPr>
          <w:color w:val="231F20"/>
        </w:rPr>
        <w:t>conseil d’administration jusqu’à cette</w:t>
      </w:r>
      <w:r>
        <w:rPr>
          <w:color w:val="231F20"/>
          <w:spacing w:val="4"/>
        </w:rPr>
        <w:t> </w:t>
      </w:r>
      <w:r>
        <w:rPr>
          <w:color w:val="231F20"/>
        </w:rPr>
        <w:t>date.</w:t>
      </w:r>
    </w:p>
    <w:p>
      <w:pPr>
        <w:pStyle w:val="BodyText"/>
        <w:spacing w:line="211" w:lineRule="auto" w:before="101"/>
        <w:ind w:right="38"/>
      </w:pPr>
      <w:r>
        <w:rPr>
          <w:color w:val="231F20"/>
        </w:rPr>
        <w:t>§ 2. Si la composition du conseil d’administration d’une société cotée ne</w:t>
      </w:r>
      <w:r>
        <w:rPr>
          <w:color w:val="231F20"/>
          <w:spacing w:val="-5"/>
        </w:rPr>
        <w:t> </w:t>
      </w:r>
      <w:r>
        <w:rPr>
          <w:color w:val="231F20"/>
        </w:rPr>
        <w:t>satisfait</w:t>
      </w:r>
      <w:r>
        <w:rPr>
          <w:color w:val="231F20"/>
          <w:spacing w:val="-4"/>
        </w:rPr>
        <w:t> </w:t>
      </w:r>
      <w:r>
        <w:rPr>
          <w:color w:val="231F20"/>
        </w:rPr>
        <w:t>plus</w:t>
      </w:r>
      <w:r>
        <w:rPr>
          <w:color w:val="231F20"/>
          <w:spacing w:val="-5"/>
        </w:rPr>
        <w:t> </w:t>
      </w:r>
      <w:r>
        <w:rPr>
          <w:color w:val="231F20"/>
        </w:rPr>
        <w:t>aux</w:t>
      </w:r>
      <w:r>
        <w:rPr>
          <w:color w:val="231F20"/>
          <w:spacing w:val="-4"/>
        </w:rPr>
        <w:t> </w:t>
      </w:r>
      <w:r>
        <w:rPr>
          <w:color w:val="231F20"/>
        </w:rPr>
        <w:t>conditions</w:t>
      </w:r>
      <w:r>
        <w:rPr>
          <w:color w:val="231F20"/>
          <w:spacing w:val="-4"/>
        </w:rPr>
        <w:t> </w:t>
      </w:r>
      <w:r>
        <w:rPr>
          <w:color w:val="231F20"/>
        </w:rPr>
        <w:t>fixées</w:t>
      </w:r>
      <w:r>
        <w:rPr>
          <w:color w:val="231F20"/>
          <w:spacing w:val="-5"/>
        </w:rPr>
        <w:t> </w:t>
      </w:r>
      <w:r>
        <w:rPr>
          <w:color w:val="231F20"/>
        </w:rPr>
        <w:t>à</w:t>
      </w:r>
      <w:r>
        <w:rPr>
          <w:color w:val="231F20"/>
          <w:spacing w:val="-4"/>
        </w:rPr>
        <w:t> </w:t>
      </w:r>
      <w:r>
        <w:rPr>
          <w:color w:val="231F20"/>
        </w:rPr>
        <w:t>l’article</w:t>
      </w:r>
      <w:r>
        <w:rPr>
          <w:color w:val="231F20"/>
          <w:spacing w:val="-5"/>
        </w:rPr>
        <w:t> </w:t>
      </w:r>
      <w:r>
        <w:rPr>
          <w:color w:val="231F20"/>
        </w:rPr>
        <w:t>7:86,</w:t>
      </w:r>
      <w:r>
        <w:rPr>
          <w:color w:val="231F20"/>
          <w:spacing w:val="-4"/>
        </w:rPr>
        <w:t> </w:t>
      </w:r>
      <w:r>
        <w:rPr>
          <w:color w:val="231F20"/>
        </w:rPr>
        <w:t>alinéa</w:t>
      </w:r>
      <w:r>
        <w:rPr>
          <w:color w:val="231F20"/>
          <w:spacing w:val="-4"/>
        </w:rPr>
        <w:t> </w:t>
      </w:r>
      <w:r>
        <w:rPr>
          <w:color w:val="231F20"/>
        </w:rPr>
        <w:t>1</w:t>
      </w:r>
      <w:r>
        <w:rPr>
          <w:color w:val="231F20"/>
          <w:position w:val="7"/>
          <w:sz w:val="11"/>
        </w:rPr>
        <w:t>er</w:t>
      </w:r>
      <w:r>
        <w:rPr>
          <w:color w:val="231F20"/>
        </w:rPr>
        <w:t>,</w:t>
      </w:r>
      <w:r>
        <w:rPr>
          <w:color w:val="231F20"/>
          <w:spacing w:val="-5"/>
        </w:rPr>
        <w:t> </w:t>
      </w:r>
      <w:r>
        <w:rPr>
          <w:color w:val="231F20"/>
        </w:rPr>
        <w:t>en</w:t>
      </w:r>
      <w:r>
        <w:rPr>
          <w:color w:val="231F20"/>
          <w:spacing w:val="-4"/>
        </w:rPr>
        <w:t> </w:t>
      </w:r>
      <w:r>
        <w:rPr>
          <w:color w:val="231F20"/>
        </w:rPr>
        <w:t>raison de</w:t>
      </w:r>
      <w:r>
        <w:rPr>
          <w:color w:val="231F20"/>
          <w:spacing w:val="13"/>
        </w:rPr>
        <w:t> </w:t>
      </w:r>
      <w:r>
        <w:rPr>
          <w:color w:val="231F20"/>
        </w:rPr>
        <w:t>la</w:t>
      </w:r>
      <w:r>
        <w:rPr>
          <w:color w:val="231F20"/>
          <w:spacing w:val="13"/>
        </w:rPr>
        <w:t> </w:t>
      </w:r>
      <w:r>
        <w:rPr>
          <w:color w:val="231F20"/>
        </w:rPr>
        <w:t>vacance</w:t>
      </w:r>
      <w:r>
        <w:rPr>
          <w:color w:val="231F20"/>
          <w:spacing w:val="13"/>
        </w:rPr>
        <w:t> </w:t>
      </w:r>
      <w:r>
        <w:rPr>
          <w:color w:val="231F20"/>
        </w:rPr>
        <w:t>d’une</w:t>
      </w:r>
      <w:r>
        <w:rPr>
          <w:color w:val="231F20"/>
          <w:spacing w:val="13"/>
        </w:rPr>
        <w:t> </w:t>
      </w:r>
      <w:r>
        <w:rPr>
          <w:color w:val="231F20"/>
        </w:rPr>
        <w:t>place</w:t>
      </w:r>
      <w:r>
        <w:rPr>
          <w:color w:val="231F20"/>
          <w:spacing w:val="13"/>
        </w:rPr>
        <w:t> </w:t>
      </w:r>
      <w:r>
        <w:rPr>
          <w:color w:val="231F20"/>
        </w:rPr>
        <w:t>d’administrateur,</w:t>
      </w:r>
      <w:r>
        <w:rPr>
          <w:color w:val="231F20"/>
          <w:spacing w:val="13"/>
        </w:rPr>
        <w:t> </w:t>
      </w:r>
      <w:r>
        <w:rPr>
          <w:color w:val="231F20"/>
        </w:rPr>
        <w:t>le</w:t>
      </w:r>
      <w:r>
        <w:rPr>
          <w:color w:val="231F20"/>
          <w:spacing w:val="13"/>
        </w:rPr>
        <w:t> </w:t>
      </w:r>
      <w:r>
        <w:rPr>
          <w:color w:val="231F20"/>
        </w:rPr>
        <w:t>conseil</w:t>
      </w:r>
      <w:r>
        <w:rPr>
          <w:color w:val="231F20"/>
          <w:spacing w:val="13"/>
        </w:rPr>
        <w:t> </w:t>
      </w:r>
      <w:r>
        <w:rPr>
          <w:color w:val="231F20"/>
        </w:rPr>
        <w:t>d’administration</w:t>
      </w:r>
    </w:p>
    <w:p>
      <w:pPr>
        <w:pStyle w:val="BodyText"/>
        <w:spacing w:line="218" w:lineRule="auto" w:before="119"/>
      </w:pPr>
      <w:r>
        <w:rPr/>
        <w:br w:type="column"/>
      </w:r>
      <w:r>
        <w:rPr>
          <w:color w:val="231F20"/>
        </w:rPr>
        <w:t>In afwijking van het eerste lid kunnen de statuten bepalen dat het mandaat van een bestuurder enkel kan worden beëindigd mits inachtneming van een opzeggingstermijn of toekenning van een vertrekvergoeding.</w:t>
      </w:r>
    </w:p>
    <w:p>
      <w:pPr>
        <w:pStyle w:val="BodyText"/>
        <w:spacing w:line="218" w:lineRule="auto" w:before="86"/>
      </w:pPr>
      <w:r>
        <w:rPr>
          <w:color w:val="231F20"/>
        </w:rPr>
        <w:t>Niettemin kan de algemene vergadering het mandaat van een </w:t>
      </w:r>
      <w:r>
        <w:rPr>
          <w:color w:val="231F20"/>
          <w:spacing w:val="-3"/>
        </w:rPr>
        <w:t>bestuurder </w:t>
      </w:r>
      <w:r>
        <w:rPr>
          <w:color w:val="231F20"/>
        </w:rPr>
        <w:t>steeds beëindigen wegens wettige </w:t>
      </w:r>
      <w:r>
        <w:rPr>
          <w:color w:val="231F20"/>
          <w:spacing w:val="-3"/>
        </w:rPr>
        <w:t>reden, </w:t>
      </w:r>
      <w:r>
        <w:rPr>
          <w:color w:val="231F20"/>
        </w:rPr>
        <w:t>zonder opzeggings- termijn of vertrekvergoeding.</w:t>
      </w:r>
    </w:p>
    <w:p>
      <w:pPr>
        <w:pStyle w:val="BodyText"/>
        <w:spacing w:line="218" w:lineRule="auto" w:before="86"/>
      </w:pPr>
      <w:r>
        <w:rPr>
          <w:color w:val="231F20"/>
        </w:rPr>
        <w:t>§ 4. Elke bestuurder kan ontslag nemen door loutere kennisgeving aan de raad van bestuur. Op verzoek van de vennootschap blijft hij in functie totdat de vennootschap redelijkerwijze in zijn vervanging kan voorzien. Hij kan zelf het nodige doen om de beëindiging van zijn mandaat aan derden tegen te werpen onder de voorwaarden bepaald in artikel 2:18.</w:t>
      </w:r>
    </w:p>
    <w:p>
      <w:pPr>
        <w:pStyle w:val="BodyText"/>
        <w:spacing w:line="218" w:lineRule="auto" w:before="85"/>
      </w:pPr>
      <w:r>
        <w:rPr>
          <w:color w:val="231F20"/>
        </w:rPr>
        <w:t>Art. 7:86. In genoteerde vennootschappen en de organisaties van openbaar belang bedoeld in artikel 1:12, 2°, is ten minste één derde van de leden van de raad van bestuur van een ander geslacht dan de  overige leden, waarbij het vereiste minimum aantal wordt afgerond naar het dichtstbijzijnde gehele getal. Is de bestuurder een rechtsper- soon, dan wordt zijn geslacht bepaald door dat van zijn vaste vertegenwoordiger.</w:t>
      </w:r>
    </w:p>
    <w:p>
      <w:pPr>
        <w:pStyle w:val="BodyText"/>
        <w:spacing w:line="218" w:lineRule="auto" w:before="86"/>
      </w:pPr>
      <w:r>
        <w:rPr>
          <w:color w:val="231F20"/>
          <w:spacing w:val="-3"/>
        </w:rPr>
        <w:t>Voldoet </w:t>
      </w:r>
      <w:r>
        <w:rPr>
          <w:color w:val="231F20"/>
        </w:rPr>
        <w:t>de samenstelling van de raad van bestuur om welke reden dan ook niet of niet langer aan de vereisten gesteld in het eerste lid, dan stelt de eerstvolgende algemene vergadering een raad van bestuur samen die wel aan deze vereisten voldoet, zonder dat dit afbreuk doet aan de regelmatigheid van de samenstelling van de raad van bestuur  tot</w:t>
      </w:r>
      <w:r>
        <w:rPr>
          <w:color w:val="231F20"/>
          <w:spacing w:val="15"/>
        </w:rPr>
        <w:t> </w:t>
      </w:r>
      <w:r>
        <w:rPr>
          <w:color w:val="231F20"/>
        </w:rPr>
        <w:t>op</w:t>
      </w:r>
      <w:r>
        <w:rPr>
          <w:color w:val="231F20"/>
          <w:spacing w:val="15"/>
        </w:rPr>
        <w:t> </w:t>
      </w:r>
      <w:r>
        <w:rPr>
          <w:color w:val="231F20"/>
        </w:rPr>
        <w:t>dat</w:t>
      </w:r>
      <w:r>
        <w:rPr>
          <w:color w:val="231F20"/>
          <w:spacing w:val="16"/>
        </w:rPr>
        <w:t> </w:t>
      </w:r>
      <w:r>
        <w:rPr>
          <w:color w:val="231F20"/>
        </w:rPr>
        <w:t>ogenblik.</w:t>
      </w:r>
      <w:r>
        <w:rPr>
          <w:color w:val="231F20"/>
          <w:spacing w:val="15"/>
        </w:rPr>
        <w:t> </w:t>
      </w:r>
      <w:r>
        <w:rPr>
          <w:color w:val="231F20"/>
        </w:rPr>
        <w:t>Elke</w:t>
      </w:r>
      <w:r>
        <w:rPr>
          <w:color w:val="231F20"/>
          <w:spacing w:val="16"/>
        </w:rPr>
        <w:t> </w:t>
      </w:r>
      <w:r>
        <w:rPr>
          <w:color w:val="231F20"/>
        </w:rPr>
        <w:t>andere</w:t>
      </w:r>
      <w:r>
        <w:rPr>
          <w:color w:val="231F20"/>
          <w:spacing w:val="15"/>
        </w:rPr>
        <w:t> </w:t>
      </w:r>
      <w:r>
        <w:rPr>
          <w:color w:val="231F20"/>
        </w:rPr>
        <w:t>benoeming</w:t>
      </w:r>
      <w:r>
        <w:rPr>
          <w:color w:val="231F20"/>
          <w:spacing w:val="16"/>
        </w:rPr>
        <w:t> </w:t>
      </w:r>
      <w:r>
        <w:rPr>
          <w:color w:val="231F20"/>
        </w:rPr>
        <w:t>is</w:t>
      </w:r>
      <w:r>
        <w:rPr>
          <w:color w:val="231F20"/>
          <w:spacing w:val="15"/>
        </w:rPr>
        <w:t> </w:t>
      </w:r>
      <w:r>
        <w:rPr>
          <w:color w:val="231F20"/>
        </w:rPr>
        <w:t>nietig.</w:t>
      </w:r>
    </w:p>
    <w:p>
      <w:pPr>
        <w:pStyle w:val="BodyText"/>
        <w:spacing w:line="218" w:lineRule="auto" w:before="86"/>
      </w:pPr>
      <w:r>
        <w:rPr>
          <w:color w:val="231F20"/>
        </w:rPr>
        <w:t>Ingeval de raad van bestuur na de algemene vergadering bedoeld in het tweede lid niet is samengesteld overeenkomstig het eerste en het tweede lid, dan wordt elk financieel of ander voordeel dat aan de bestuurders toekomt op grond van hun mandaat vanaf dat ogenblik geschorst, tot op het ogenblik waarop terug ten minste één derde van de leden van de raad van bestuur van een ander geslacht is dan de overige</w:t>
      </w:r>
      <w:r>
        <w:rPr>
          <w:color w:val="231F20"/>
          <w:spacing w:val="15"/>
        </w:rPr>
        <w:t> </w:t>
      </w:r>
      <w:r>
        <w:rPr>
          <w:color w:val="231F20"/>
        </w:rPr>
        <w:t>leden.</w:t>
      </w:r>
    </w:p>
    <w:p>
      <w:pPr>
        <w:pStyle w:val="BodyText"/>
        <w:spacing w:line="218" w:lineRule="auto" w:before="97"/>
      </w:pPr>
      <w:r>
        <w:rPr>
          <w:color w:val="231F20"/>
        </w:rPr>
        <w:t>De raad van bestuur van vennootschappen waarvan de aandelen  voor het eerst worden genoteerd, moet zijn samengesteld overeenkom- stig het eerste lid met ingang van de eerste dag van het zesde</w:t>
      </w:r>
      <w:r>
        <w:rPr>
          <w:color w:val="231F20"/>
          <w:spacing w:val="4"/>
        </w:rPr>
        <w:t> </w:t>
      </w:r>
      <w:r>
        <w:rPr>
          <w:color w:val="231F20"/>
        </w:rPr>
        <w:t>jaar volgend op de</w:t>
      </w:r>
      <w:r>
        <w:rPr>
          <w:color w:val="231F20"/>
          <w:spacing w:val="5"/>
        </w:rPr>
        <w:t> </w:t>
      </w:r>
      <w:r>
        <w:rPr>
          <w:color w:val="231F20"/>
        </w:rPr>
        <w:t>notering.</w:t>
      </w:r>
    </w:p>
    <w:p>
      <w:pPr>
        <w:pStyle w:val="BodyText"/>
        <w:spacing w:line="218" w:lineRule="auto" w:before="96"/>
        <w:ind w:right="123"/>
      </w:pPr>
      <w:r>
        <w:rPr>
          <w:color w:val="231F20"/>
        </w:rPr>
        <w:t>Art. 7:87. § 1. Een bestuurder in een genoteerde vennootschap wordt als onafhankelijk beschouwd indien hij met de vennootschap of met een belangrijke aandeelhouder ervan geen relatie onderhoudt die zijn onafhankelijkheid in het gedrang brengt. Is de bestuurder een rechts- persoon, dan moet de onafhankelijkheid worden beoordeeld zowel in hoofde</w:t>
      </w:r>
      <w:r>
        <w:rPr>
          <w:color w:val="231F20"/>
          <w:spacing w:val="19"/>
        </w:rPr>
        <w:t> </w:t>
      </w:r>
      <w:r>
        <w:rPr>
          <w:color w:val="231F20"/>
        </w:rPr>
        <w:t>van</w:t>
      </w:r>
      <w:r>
        <w:rPr>
          <w:color w:val="231F20"/>
          <w:spacing w:val="19"/>
        </w:rPr>
        <w:t> </w:t>
      </w:r>
      <w:r>
        <w:rPr>
          <w:color w:val="231F20"/>
        </w:rPr>
        <w:t>de</w:t>
      </w:r>
      <w:r>
        <w:rPr>
          <w:color w:val="231F20"/>
          <w:spacing w:val="20"/>
        </w:rPr>
        <w:t> </w:t>
      </w:r>
      <w:r>
        <w:rPr>
          <w:color w:val="231F20"/>
        </w:rPr>
        <w:t>rechtspersoon</w:t>
      </w:r>
      <w:r>
        <w:rPr>
          <w:color w:val="231F20"/>
          <w:spacing w:val="19"/>
        </w:rPr>
        <w:t> </w:t>
      </w:r>
      <w:r>
        <w:rPr>
          <w:color w:val="231F20"/>
        </w:rPr>
        <w:t>als</w:t>
      </w:r>
      <w:r>
        <w:rPr>
          <w:color w:val="231F20"/>
          <w:spacing w:val="20"/>
        </w:rPr>
        <w:t> </w:t>
      </w:r>
      <w:r>
        <w:rPr>
          <w:color w:val="231F20"/>
        </w:rPr>
        <w:t>van</w:t>
      </w:r>
      <w:r>
        <w:rPr>
          <w:color w:val="231F20"/>
          <w:spacing w:val="19"/>
        </w:rPr>
        <w:t> </w:t>
      </w:r>
      <w:r>
        <w:rPr>
          <w:color w:val="231F20"/>
        </w:rPr>
        <w:t>zijn</w:t>
      </w:r>
      <w:r>
        <w:rPr>
          <w:color w:val="231F20"/>
          <w:spacing w:val="20"/>
        </w:rPr>
        <w:t> </w:t>
      </w:r>
      <w:r>
        <w:rPr>
          <w:color w:val="231F20"/>
        </w:rPr>
        <w:t>vaste</w:t>
      </w:r>
      <w:r>
        <w:rPr>
          <w:color w:val="231F20"/>
          <w:spacing w:val="19"/>
        </w:rPr>
        <w:t> </w:t>
      </w:r>
      <w:r>
        <w:rPr>
          <w:color w:val="231F20"/>
        </w:rPr>
        <w:t>vertegenwoordiger.</w:t>
      </w:r>
    </w:p>
    <w:p>
      <w:pPr>
        <w:pStyle w:val="BodyText"/>
        <w:spacing w:line="218" w:lineRule="auto" w:before="97"/>
      </w:pPr>
      <w:r>
        <w:rPr>
          <w:color w:val="231F20"/>
        </w:rPr>
        <w:t>Om na te gaan of een kandidaat bestuurder aan deze voorwaarde voldoet, worden de criteria toegepast uit de code voor deugdelijk bestuur die de Koning overeenkomstig artikel 3:6, § 2, vierde lid, aanduidt. De Koning waakt erover dat deze code een lijst van gepaste criteria bevat. Een kandidaat bestuurder die aan deze criteria beant- woordt, wordt, tot bewijs van het tegendeel, vermoed onafhankelijk te zijn.</w:t>
      </w:r>
    </w:p>
    <w:p>
      <w:pPr>
        <w:pStyle w:val="BodyText"/>
        <w:spacing w:line="218" w:lineRule="auto" w:before="96"/>
      </w:pPr>
      <w:r>
        <w:rPr>
          <w:color w:val="231F20"/>
        </w:rPr>
        <w:t>Wanneer de raad van bestuur de kandidaatstelling van een onafhan- kelijke bestuurder die aan deze criteria niet voldoet voorlegt aan de algemene vergadering, zet hij de redenen uiteen waarom hij aanneemt dat de kandidaat daadwerkelijk onafhankelijk is als bedoeld in het eerste lid.</w:t>
      </w:r>
    </w:p>
    <w:p>
      <w:pPr>
        <w:pStyle w:val="BodyText"/>
        <w:spacing w:line="218" w:lineRule="auto" w:before="96"/>
      </w:pPr>
      <w:r>
        <w:rPr>
          <w:color w:val="231F20"/>
        </w:rPr>
        <w:t>Een onafhankelijke bestuurder die niet langer aan voornoemde voorwaarden voldoet, stelt de raad van bestuur daarvan onverwijld in kennis via de voorzitter.</w:t>
      </w:r>
    </w:p>
    <w:p>
      <w:pPr>
        <w:pStyle w:val="BodyText"/>
        <w:spacing w:line="218" w:lineRule="auto" w:before="97"/>
      </w:pPr>
      <w:r>
        <w:rPr>
          <w:color w:val="231F20"/>
        </w:rPr>
        <w:t>§ 2. In de ondernemingen waar een ondernemingsraad werd ingesteld in uitvoering van de wet van 20 september 1948 houdende organisatie van het bedrijfsleven, worden de namen van de voorgedra- gen onafhankelijke bestuurders voorafgaand aan de benoeming door  de algemene vergadering, ter kennisgeving aan de ondernemingsraad medegedeeld. Eenzelfde procedure is vereist bij hernieuwing van het mandaat.</w:t>
      </w:r>
    </w:p>
    <w:p>
      <w:pPr>
        <w:pStyle w:val="BodyText"/>
        <w:spacing w:line="218" w:lineRule="auto" w:before="96"/>
      </w:pPr>
      <w:r>
        <w:rPr>
          <w:color w:val="231F20"/>
        </w:rPr>
        <w:t>Art.</w:t>
      </w:r>
      <w:r>
        <w:rPr>
          <w:color w:val="231F20"/>
          <w:spacing w:val="-4"/>
        </w:rPr>
        <w:t> </w:t>
      </w:r>
      <w:r>
        <w:rPr>
          <w:color w:val="231F20"/>
        </w:rPr>
        <w:t>7:88.</w:t>
      </w:r>
      <w:r>
        <w:rPr>
          <w:color w:val="231F20"/>
          <w:spacing w:val="-4"/>
        </w:rPr>
        <w:t> </w:t>
      </w:r>
      <w:r>
        <w:rPr>
          <w:color w:val="231F20"/>
        </w:rPr>
        <w:t>§</w:t>
      </w:r>
      <w:r>
        <w:rPr>
          <w:color w:val="231F20"/>
          <w:spacing w:val="-4"/>
        </w:rPr>
        <w:t> </w:t>
      </w:r>
      <w:r>
        <w:rPr>
          <w:color w:val="231F20"/>
        </w:rPr>
        <w:t>1.</w:t>
      </w:r>
      <w:r>
        <w:rPr>
          <w:color w:val="231F20"/>
          <w:spacing w:val="-4"/>
        </w:rPr>
        <w:t> </w:t>
      </w:r>
      <w:r>
        <w:rPr>
          <w:color w:val="231F20"/>
          <w:spacing w:val="-3"/>
        </w:rPr>
        <w:t>Wanneer</w:t>
      </w:r>
      <w:r>
        <w:rPr>
          <w:color w:val="231F20"/>
          <w:spacing w:val="-4"/>
        </w:rPr>
        <w:t> </w:t>
      </w:r>
      <w:r>
        <w:rPr>
          <w:color w:val="231F20"/>
        </w:rPr>
        <w:t>de</w:t>
      </w:r>
      <w:r>
        <w:rPr>
          <w:color w:val="231F20"/>
          <w:spacing w:val="-3"/>
        </w:rPr>
        <w:t> </w:t>
      </w:r>
      <w:r>
        <w:rPr>
          <w:color w:val="231F20"/>
        </w:rPr>
        <w:t>plaats</w:t>
      </w:r>
      <w:r>
        <w:rPr>
          <w:color w:val="231F20"/>
          <w:spacing w:val="-4"/>
        </w:rPr>
        <w:t> </w:t>
      </w:r>
      <w:r>
        <w:rPr>
          <w:color w:val="231F20"/>
        </w:rPr>
        <w:t>van</w:t>
      </w:r>
      <w:r>
        <w:rPr>
          <w:color w:val="231F20"/>
          <w:spacing w:val="-4"/>
        </w:rPr>
        <w:t> </w:t>
      </w:r>
      <w:r>
        <w:rPr>
          <w:color w:val="231F20"/>
        </w:rPr>
        <w:t>een</w:t>
      </w:r>
      <w:r>
        <w:rPr>
          <w:color w:val="231F20"/>
          <w:spacing w:val="-4"/>
        </w:rPr>
        <w:t> </w:t>
      </w:r>
      <w:r>
        <w:rPr>
          <w:color w:val="231F20"/>
        </w:rPr>
        <w:t>bestuurder</w:t>
      </w:r>
      <w:r>
        <w:rPr>
          <w:color w:val="231F20"/>
          <w:spacing w:val="-4"/>
        </w:rPr>
        <w:t> </w:t>
      </w:r>
      <w:r>
        <w:rPr>
          <w:color w:val="231F20"/>
        </w:rPr>
        <w:t>openvalt,</w:t>
      </w:r>
      <w:r>
        <w:rPr>
          <w:color w:val="231F20"/>
          <w:spacing w:val="-3"/>
        </w:rPr>
        <w:t> </w:t>
      </w:r>
      <w:r>
        <w:rPr>
          <w:color w:val="231F20"/>
        </w:rPr>
        <w:t>hebben de overblijvende bestuurders het recht een nieuwe bestuurder te coöpteren,</w:t>
      </w:r>
      <w:r>
        <w:rPr>
          <w:color w:val="231F20"/>
          <w:spacing w:val="14"/>
        </w:rPr>
        <w:t> </w:t>
      </w:r>
      <w:r>
        <w:rPr>
          <w:color w:val="231F20"/>
        </w:rPr>
        <w:t>tenzij</w:t>
      </w:r>
      <w:r>
        <w:rPr>
          <w:color w:val="231F20"/>
          <w:spacing w:val="15"/>
        </w:rPr>
        <w:t> </w:t>
      </w:r>
      <w:r>
        <w:rPr>
          <w:color w:val="231F20"/>
        </w:rPr>
        <w:t>de</w:t>
      </w:r>
      <w:r>
        <w:rPr>
          <w:color w:val="231F20"/>
          <w:spacing w:val="15"/>
        </w:rPr>
        <w:t> </w:t>
      </w:r>
      <w:r>
        <w:rPr>
          <w:color w:val="231F20"/>
        </w:rPr>
        <w:t>statuten</w:t>
      </w:r>
      <w:r>
        <w:rPr>
          <w:color w:val="231F20"/>
          <w:spacing w:val="14"/>
        </w:rPr>
        <w:t> </w:t>
      </w:r>
      <w:r>
        <w:rPr>
          <w:color w:val="231F20"/>
        </w:rPr>
        <w:t>dit</w:t>
      </w:r>
      <w:r>
        <w:rPr>
          <w:color w:val="231F20"/>
          <w:spacing w:val="15"/>
        </w:rPr>
        <w:t> </w:t>
      </w:r>
      <w:r>
        <w:rPr>
          <w:color w:val="231F20"/>
        </w:rPr>
        <w:t>uitsluiten.</w:t>
      </w:r>
    </w:p>
    <w:p>
      <w:pPr>
        <w:pStyle w:val="BodyText"/>
        <w:spacing w:line="218" w:lineRule="auto" w:before="96"/>
      </w:pPr>
      <w:r>
        <w:rPr>
          <w:color w:val="231F20"/>
        </w:rPr>
        <w:t>De eerstvolgende algemene vergadering moet het mandaat van de gecoöpteerde bestuurder bevestigen; bij bevestiging volbrengt de gecoöpteerde bestuurder het mandaat van zijn voorganger, tenzij de algemene vergadering er anders over beslist. Bij gebrek aan bevestiging eindigt het mandaat van de gecoöpteerde bestuurder na afloop van de algemene vergadering, zonder dat dit afbreuk doet aan de regelmatig- heid</w:t>
      </w:r>
      <w:r>
        <w:rPr>
          <w:color w:val="231F20"/>
          <w:spacing w:val="7"/>
        </w:rPr>
        <w:t> </w:t>
      </w:r>
      <w:r>
        <w:rPr>
          <w:color w:val="231F20"/>
        </w:rPr>
        <w:t>van</w:t>
      </w:r>
      <w:r>
        <w:rPr>
          <w:color w:val="231F20"/>
          <w:spacing w:val="8"/>
        </w:rPr>
        <w:t> </w:t>
      </w:r>
      <w:r>
        <w:rPr>
          <w:color w:val="231F20"/>
        </w:rPr>
        <w:t>de</w:t>
      </w:r>
      <w:r>
        <w:rPr>
          <w:color w:val="231F20"/>
          <w:spacing w:val="8"/>
        </w:rPr>
        <w:t> </w:t>
      </w:r>
      <w:r>
        <w:rPr>
          <w:color w:val="231F20"/>
        </w:rPr>
        <w:t>samenstelling</w:t>
      </w:r>
      <w:r>
        <w:rPr>
          <w:color w:val="231F20"/>
          <w:spacing w:val="8"/>
        </w:rPr>
        <w:t> </w:t>
      </w:r>
      <w:r>
        <w:rPr>
          <w:color w:val="231F20"/>
        </w:rPr>
        <w:t>van</w:t>
      </w:r>
      <w:r>
        <w:rPr>
          <w:color w:val="231F20"/>
          <w:spacing w:val="8"/>
        </w:rPr>
        <w:t> </w:t>
      </w:r>
      <w:r>
        <w:rPr>
          <w:color w:val="231F20"/>
        </w:rPr>
        <w:t>de</w:t>
      </w:r>
      <w:r>
        <w:rPr>
          <w:color w:val="231F20"/>
          <w:spacing w:val="8"/>
        </w:rPr>
        <w:t> </w:t>
      </w:r>
      <w:r>
        <w:rPr>
          <w:color w:val="231F20"/>
        </w:rPr>
        <w:t>raad</w:t>
      </w:r>
      <w:r>
        <w:rPr>
          <w:color w:val="231F20"/>
          <w:spacing w:val="8"/>
        </w:rPr>
        <w:t> </w:t>
      </w:r>
      <w:r>
        <w:rPr>
          <w:color w:val="231F20"/>
        </w:rPr>
        <w:t>van</w:t>
      </w:r>
      <w:r>
        <w:rPr>
          <w:color w:val="231F20"/>
          <w:spacing w:val="7"/>
        </w:rPr>
        <w:t> </w:t>
      </w:r>
      <w:r>
        <w:rPr>
          <w:color w:val="231F20"/>
        </w:rPr>
        <w:t>bestuur</w:t>
      </w:r>
      <w:r>
        <w:rPr>
          <w:color w:val="231F20"/>
          <w:spacing w:val="8"/>
        </w:rPr>
        <w:t> </w:t>
      </w:r>
      <w:r>
        <w:rPr>
          <w:color w:val="231F20"/>
        </w:rPr>
        <w:t>tot</w:t>
      </w:r>
      <w:r>
        <w:rPr>
          <w:color w:val="231F20"/>
          <w:spacing w:val="8"/>
        </w:rPr>
        <w:t> </w:t>
      </w:r>
      <w:r>
        <w:rPr>
          <w:color w:val="231F20"/>
        </w:rPr>
        <w:t>op</w:t>
      </w:r>
      <w:r>
        <w:rPr>
          <w:color w:val="231F20"/>
          <w:spacing w:val="8"/>
        </w:rPr>
        <w:t> </w:t>
      </w:r>
      <w:r>
        <w:rPr>
          <w:color w:val="231F20"/>
        </w:rPr>
        <w:t>dat</w:t>
      </w:r>
      <w:r>
        <w:rPr>
          <w:color w:val="231F20"/>
          <w:spacing w:val="8"/>
        </w:rPr>
        <w:t> </w:t>
      </w:r>
      <w:r>
        <w:rPr>
          <w:color w:val="231F20"/>
        </w:rPr>
        <w:t>ogenblik.</w:t>
      </w:r>
    </w:p>
    <w:p>
      <w:pPr>
        <w:pStyle w:val="BodyText"/>
        <w:spacing w:line="218" w:lineRule="auto" w:before="97"/>
      </w:pPr>
      <w:r>
        <w:rPr>
          <w:color w:val="231F20"/>
        </w:rPr>
        <w:t>§ 2. </w:t>
      </w:r>
      <w:r>
        <w:rPr>
          <w:color w:val="231F20"/>
          <w:spacing w:val="-3"/>
        </w:rPr>
        <w:t>Voldoet </w:t>
      </w:r>
      <w:r>
        <w:rPr>
          <w:color w:val="231F20"/>
        </w:rPr>
        <w:t>de samenstelling van de raad van bestuur van een genoteerde vennootschap ten gevolge van de opengevallen bestuurs- plaats niet langer aan de vereisten gesteld in artikel 7:86, eerste lid,</w:t>
      </w:r>
      <w:r>
        <w:rPr>
          <w:color w:val="231F20"/>
          <w:spacing w:val="7"/>
        </w:rPr>
        <w:t> </w:t>
      </w:r>
      <w:r>
        <w:rPr>
          <w:color w:val="231F20"/>
        </w:rPr>
        <w:t>dan</w:t>
      </w:r>
    </w:p>
    <w:p>
      <w:pPr>
        <w:spacing w:after="0" w:line="218" w:lineRule="auto"/>
        <w:sectPr>
          <w:headerReference w:type="even" r:id="rId73"/>
          <w:headerReference w:type="default" r:id="rId74"/>
          <w:pgSz w:w="11940" w:h="16880"/>
          <w:pgMar w:header="666" w:footer="0" w:top="1140" w:bottom="280" w:left="340" w:right="360"/>
          <w:pgNumType w:start="33402"/>
          <w:cols w:num="2" w:equalWidth="0">
            <w:col w:w="5527" w:space="101"/>
            <w:col w:w="5612"/>
          </w:cols>
        </w:sectPr>
      </w:pPr>
    </w:p>
    <w:p>
      <w:pPr>
        <w:pStyle w:val="BodyText"/>
        <w:spacing w:line="218" w:lineRule="auto" w:before="120"/>
        <w:ind w:right="72" w:firstLine="0"/>
      </w:pPr>
      <w:r>
        <w:rPr/>
        <w:pict>
          <v:line style="position:absolute;mso-position-horizontal-relative:page;mso-position-vertical-relative:page;z-index:4960" from="298.170502pt,64.473pt" to="298.170502pt,812.819pt" stroked="true" strokeweight=".533pt" strokecolor="#231f20">
            <v:stroke dashstyle="solid"/>
            <w10:wrap type="none"/>
          </v:line>
        </w:pict>
      </w:r>
      <w:bookmarkStart w:name="_bookmark164" w:id="169"/>
      <w:bookmarkEnd w:id="169"/>
      <w:r>
        <w:rPr/>
      </w:r>
      <w:r>
        <w:rPr>
          <w:color w:val="231F20"/>
        </w:rPr>
        <w:t>qui fait usage de son pouvoir de cooptation veille à ce que sa composition réponde à nouveau à ces exigences, sans que cela puisse porter préjudice à la régularité de la composition du conseil d’admi- nistration jusqu’à ce moment. Toute autre nomination est nulle.</w:t>
      </w:r>
    </w:p>
    <w:p>
      <w:pPr>
        <w:pStyle w:val="BodyText"/>
        <w:ind w:left="0" w:right="0" w:firstLine="0"/>
        <w:jc w:val="left"/>
        <w:rPr>
          <w:sz w:val="29"/>
        </w:rPr>
      </w:pPr>
    </w:p>
    <w:p>
      <w:pPr>
        <w:pStyle w:val="BodyText"/>
        <w:spacing w:line="211" w:lineRule="auto"/>
        <w:ind w:right="72"/>
      </w:pPr>
      <w:r>
        <w:rPr>
          <w:color w:val="231F20"/>
        </w:rPr>
        <w:t>L’article 7:86, alinéa 3, s’applique par analogie à compter du moment où le conseil d’administration a usé de son pouvoir de cooptation sans mettre sa composition en conformité avec l’article 7:86, alinéa 1</w:t>
      </w:r>
      <w:r>
        <w:rPr>
          <w:color w:val="231F20"/>
          <w:position w:val="7"/>
          <w:sz w:val="11"/>
        </w:rPr>
        <w:t>er</w:t>
      </w:r>
      <w:r>
        <w:rPr>
          <w:color w:val="231F20"/>
        </w:rPr>
        <w:t>.</w:t>
      </w:r>
    </w:p>
    <w:p>
      <w:pPr>
        <w:pStyle w:val="BodyText"/>
        <w:spacing w:before="2"/>
        <w:ind w:left="0" w:right="0" w:firstLine="0"/>
        <w:jc w:val="left"/>
        <w:rPr>
          <w:sz w:val="27"/>
        </w:rPr>
      </w:pPr>
    </w:p>
    <w:p>
      <w:pPr>
        <w:pStyle w:val="BodyText"/>
        <w:ind w:left="283" w:right="0" w:firstLine="0"/>
        <w:jc w:val="left"/>
      </w:pPr>
      <w:r>
        <w:rPr>
          <w:color w:val="231F20"/>
        </w:rPr>
        <w:t>Sous-section 2. Rémunération.</w:t>
      </w:r>
    </w:p>
    <w:p>
      <w:pPr>
        <w:pStyle w:val="BodyText"/>
        <w:spacing w:line="218" w:lineRule="auto" w:before="146"/>
        <w:ind w:right="72"/>
      </w:pPr>
      <w:r>
        <w:rPr>
          <w:color w:val="231F20"/>
        </w:rPr>
        <w:t>Art. 7:89. Sauf disposition statutaire contraire ou à moins que l’assemblée générale n’en décide autrement lors de leur nomination, les administrateurs sont rémunérés pour l’exercice de leur mandat.</w:t>
      </w:r>
    </w:p>
    <w:p>
      <w:pPr>
        <w:pStyle w:val="BodyText"/>
        <w:spacing w:line="218" w:lineRule="auto" w:before="150"/>
        <w:ind w:right="72"/>
      </w:pPr>
      <w:r>
        <w:rPr>
          <w:color w:val="231F20"/>
        </w:rPr>
        <w:t>Art. 7:90. Dans une société cotée, les critères qui rendent variable l’attribution d’une rémunération à un administrateur exécutif sont fixés dans les dispositions qui régissent la relation juridique concernée.</w:t>
      </w:r>
    </w:p>
    <w:p>
      <w:pPr>
        <w:pStyle w:val="BodyText"/>
        <w:spacing w:before="7"/>
        <w:ind w:left="0" w:right="0" w:firstLine="0"/>
        <w:jc w:val="left"/>
        <w:rPr>
          <w:sz w:val="28"/>
        </w:rPr>
      </w:pPr>
    </w:p>
    <w:p>
      <w:pPr>
        <w:pStyle w:val="BodyText"/>
        <w:spacing w:line="218" w:lineRule="auto"/>
        <w:ind w:right="72"/>
      </w:pPr>
      <w:r>
        <w:rPr>
          <w:color w:val="231F20"/>
        </w:rPr>
        <w:t>Le paiement de cette rémunération variable ne peut être effectué que s’il a été satisfait aux critères pour la période indiquée.</w:t>
      </w:r>
    </w:p>
    <w:p>
      <w:pPr>
        <w:pStyle w:val="BodyText"/>
        <w:spacing w:line="218" w:lineRule="auto" w:before="149"/>
        <w:ind w:right="72"/>
      </w:pPr>
      <w:r>
        <w:rPr>
          <w:color w:val="231F20"/>
        </w:rPr>
        <w:t>Si les critères ne sont pas fixés ou si le paiement n’est pas lié au respect des critères établis, il n’est pas tenu compte de ces rémunéra- tions variables dans le calcul de l’indemnité de départ de l’administra- teur exécutif concerné.</w:t>
      </w:r>
    </w:p>
    <w:p>
      <w:pPr>
        <w:pStyle w:val="BodyText"/>
        <w:spacing w:line="218" w:lineRule="auto" w:before="150"/>
        <w:ind w:right="72"/>
      </w:pPr>
      <w:r>
        <w:rPr>
          <w:color w:val="231F20"/>
        </w:rPr>
        <w:t>Art. 7:91. Dans une société cotée, sauf disposition statutaire contraire ou approbation expresse par l’assemblée générale, un administrateur ne peut, à titre de rémunération, acquérir définitivement des actions ou exercer des options sur actions ou tous les autres droits à l’acquisition d’actions qu’après une période de trois ans au moins après leur attribution.</w:t>
      </w:r>
    </w:p>
    <w:p>
      <w:pPr>
        <w:pStyle w:val="BodyText"/>
        <w:spacing w:line="218" w:lineRule="auto" w:before="150"/>
        <w:ind w:right="72"/>
      </w:pPr>
      <w:r>
        <w:rPr>
          <w:color w:val="231F20"/>
        </w:rPr>
        <w:t>Sauf disposition statutaire contraire ou approbation expresse par l’assemblée générale, au moins un quart de la rémunération variable d’un administrateur exécutif dans une société cotée doit être basé sur des critères de prestation prédéterminés et objectivement mesurables sur une durée d’au moins deux ans, et un autre quart doit au moins être basé sur des critères prédéterminés et objectivement mesurables sur une durée d’au moins trois ans.</w:t>
      </w:r>
    </w:p>
    <w:p>
      <w:pPr>
        <w:pStyle w:val="BodyText"/>
        <w:spacing w:before="6"/>
        <w:ind w:left="0" w:right="0" w:firstLine="0"/>
        <w:jc w:val="left"/>
        <w:rPr>
          <w:sz w:val="29"/>
        </w:rPr>
      </w:pPr>
    </w:p>
    <w:p>
      <w:pPr>
        <w:pStyle w:val="BodyText"/>
        <w:spacing w:line="218" w:lineRule="auto" w:before="1"/>
        <w:ind w:right="72"/>
      </w:pPr>
      <w:r>
        <w:rPr>
          <w:color w:val="231F20"/>
        </w:rPr>
        <w:t>L’obligation établie à l’alinéa 2 ne s’applique pas si la rémunération variable est égale ou inférieure à un quart de la rémunération annuelle.</w:t>
      </w:r>
    </w:p>
    <w:p>
      <w:pPr>
        <w:pStyle w:val="BodyText"/>
        <w:spacing w:before="6"/>
        <w:ind w:left="0" w:right="0" w:firstLine="0"/>
        <w:jc w:val="left"/>
        <w:rPr>
          <w:sz w:val="29"/>
        </w:rPr>
      </w:pPr>
    </w:p>
    <w:p>
      <w:pPr>
        <w:pStyle w:val="BodyText"/>
        <w:spacing w:line="218" w:lineRule="auto"/>
        <w:ind w:right="72"/>
      </w:pPr>
      <w:r>
        <w:rPr>
          <w:color w:val="231F20"/>
        </w:rPr>
        <w:t>Pour l’application de cette disposition, on entend par “rémunération annuelle” tous les éléments dont la publication dans le rapport de gestion est exigée en vertu de l’article 3:6, § 3, alinéa 2, 6° et 7°.</w:t>
      </w:r>
    </w:p>
    <w:p>
      <w:pPr>
        <w:pStyle w:val="BodyText"/>
        <w:spacing w:line="218" w:lineRule="auto" w:before="160"/>
        <w:ind w:right="122"/>
        <w:jc w:val="left"/>
      </w:pPr>
      <w:r>
        <w:rPr>
          <w:color w:val="231F20"/>
        </w:rPr>
        <w:t>Art. 7:92. Si une convention conclue avec un administrateur exécutif ou un autre dirigeant </w:t>
      </w:r>
      <w:r>
        <w:rPr>
          <w:color w:val="231F20"/>
          <w:spacing w:val="3"/>
        </w:rPr>
        <w:t>visé </w:t>
      </w:r>
      <w:r>
        <w:rPr>
          <w:color w:val="231F20"/>
        </w:rPr>
        <w:t>à l’article 3:6, § 3, alinéa 3, ou un délégué à   la gestion journalière d’une société cotée prévoit une indemnité de départ supérieure à  12  mois  de  rémunération  tels  que  visée  à l’article 3:6, § 3, alinéa 2, 6°, elle est, nonobstant toute disposition statutaire ou clause contractuelle contraire, toujours conclue sous la condition suspensive de son approbation par l’assemblée générale. Si l’indemnité de départ est supérieure à 18 mois de rémunération telle que visée à l’article 3:6, § 3, alinéa 2, 6°, l’assemblée générale ne peut l’approuver que sur la base d’un avis conforme et motivé du comité de rémunération.</w:t>
      </w:r>
    </w:p>
    <w:p>
      <w:pPr>
        <w:pStyle w:val="BodyText"/>
        <w:spacing w:before="9"/>
        <w:ind w:left="0" w:right="0" w:firstLine="0"/>
        <w:jc w:val="left"/>
        <w:rPr>
          <w:sz w:val="29"/>
        </w:rPr>
      </w:pPr>
    </w:p>
    <w:p>
      <w:pPr>
        <w:pStyle w:val="BodyText"/>
        <w:spacing w:line="216" w:lineRule="auto"/>
        <w:ind w:right="72"/>
      </w:pPr>
      <w:r>
        <w:rPr>
          <w:color w:val="231F20"/>
        </w:rPr>
        <w:t>La demande d’approbation par l’assemblée générale d’une indem- nité de départ visée à l’alinéa 1</w:t>
      </w:r>
      <w:r>
        <w:rPr>
          <w:color w:val="231F20"/>
          <w:position w:val="7"/>
          <w:sz w:val="11"/>
        </w:rPr>
        <w:t>er  </w:t>
      </w:r>
      <w:r>
        <w:rPr>
          <w:color w:val="231F20"/>
        </w:rPr>
        <w:t>est communiquée, trente jours avant  la date de la publication de la convocation de la première assemblée générale qui suit, au conseil d’entreprise ou, à défaut, aux représentants des travailleurs au comité pour la prévention et la protection au travail ou, à défaut, à la délégation syndicale. À la demande, selon le cas, d’une des parties au conseil d’entreprise, de la délégation syndicale ou des représentants des travailleurs au comité pour la prévention et la protection au travail, celui-ci rend son avis à l’assemblée générale. La demande d’avis doit être introduite au moins vingt jours avant la date de publication de la convocation. </w:t>
      </w:r>
      <w:r>
        <w:rPr>
          <w:color w:val="231F20"/>
          <w:spacing w:val="-3"/>
        </w:rPr>
        <w:t>L’avis </w:t>
      </w:r>
      <w:r>
        <w:rPr>
          <w:color w:val="231F20"/>
        </w:rPr>
        <w:t>est rendu et publié sur le site internet de la société au plus tard le jour de la publication de la convocation.</w:t>
      </w:r>
    </w:p>
    <w:p>
      <w:pPr>
        <w:pStyle w:val="BodyText"/>
        <w:ind w:left="0" w:right="0" w:firstLine="0"/>
        <w:jc w:val="left"/>
        <w:rPr>
          <w:sz w:val="20"/>
        </w:rPr>
      </w:pPr>
    </w:p>
    <w:p>
      <w:pPr>
        <w:pStyle w:val="BodyText"/>
        <w:spacing w:line="218" w:lineRule="auto" w:before="118"/>
        <w:ind w:right="0"/>
        <w:jc w:val="left"/>
      </w:pPr>
      <w:r>
        <w:rPr>
          <w:color w:val="231F20"/>
        </w:rPr>
        <w:t>Le conseil d’entreprise, la délégation syndicale ou les représentants des travailleurs au comité pour la prévention et la protection au travail ne peuvent divulguer les données à caractère personnel qui leur sont transmises qu’aux seules fins de l’avis à l’assemblée générale visé à l’alinéa 2.</w:t>
      </w:r>
    </w:p>
    <w:p>
      <w:pPr>
        <w:pStyle w:val="BodyText"/>
        <w:spacing w:line="218" w:lineRule="auto" w:before="119"/>
        <w:ind w:firstLine="0"/>
      </w:pPr>
      <w:r>
        <w:rPr/>
        <w:br w:type="column"/>
      </w:r>
      <w:r>
        <w:rPr>
          <w:color w:val="231F20"/>
        </w:rPr>
        <w:t>draagt de raad van bestuur die van zijn coöptatiebevoegdheid gebruik maakt er zorg voor dat zijn samenstelling opnieuw aan deze vereisten voldoet, zonder dat dit afbreuk doet aan de regelmatigheid van de samenstelling van de raad van bestuur tot op dat ogenblik. Elke andere benoeming is nietig.</w:t>
      </w:r>
    </w:p>
    <w:p>
      <w:pPr>
        <w:pStyle w:val="BodyText"/>
        <w:spacing w:line="218" w:lineRule="auto" w:before="150"/>
      </w:pPr>
      <w:r>
        <w:rPr>
          <w:color w:val="231F20"/>
        </w:rPr>
        <w:t>Artikel 7:86, derde lid, is van overeenkomstige toepassing vanaf het ogenblik dat de raad van bestuur van zijn coöptatiebevoegdheid gebruik maakt zonder zijn samenstelling in overeenstemming te brengen</w:t>
      </w:r>
      <w:r>
        <w:rPr>
          <w:color w:val="231F20"/>
          <w:spacing w:val="14"/>
        </w:rPr>
        <w:t> </w:t>
      </w:r>
      <w:r>
        <w:rPr>
          <w:color w:val="231F20"/>
        </w:rPr>
        <w:t>met</w:t>
      </w:r>
      <w:r>
        <w:rPr>
          <w:color w:val="231F20"/>
          <w:spacing w:val="14"/>
        </w:rPr>
        <w:t> </w:t>
      </w:r>
      <w:r>
        <w:rPr>
          <w:color w:val="231F20"/>
        </w:rPr>
        <w:t>artikel</w:t>
      </w:r>
      <w:r>
        <w:rPr>
          <w:color w:val="231F20"/>
          <w:spacing w:val="14"/>
        </w:rPr>
        <w:t> </w:t>
      </w:r>
      <w:r>
        <w:rPr>
          <w:color w:val="231F20"/>
        </w:rPr>
        <w:t>7:86,</w:t>
      </w:r>
      <w:r>
        <w:rPr>
          <w:color w:val="231F20"/>
          <w:spacing w:val="14"/>
        </w:rPr>
        <w:t> </w:t>
      </w:r>
      <w:r>
        <w:rPr>
          <w:color w:val="231F20"/>
        </w:rPr>
        <w:t>eerste</w:t>
      </w:r>
      <w:r>
        <w:rPr>
          <w:color w:val="231F20"/>
          <w:spacing w:val="14"/>
        </w:rPr>
        <w:t> </w:t>
      </w:r>
      <w:r>
        <w:rPr>
          <w:color w:val="231F20"/>
        </w:rPr>
        <w:t>lid.</w:t>
      </w:r>
    </w:p>
    <w:p>
      <w:pPr>
        <w:pStyle w:val="BodyText"/>
        <w:spacing w:before="136"/>
        <w:ind w:left="283" w:right="0" w:firstLine="0"/>
        <w:jc w:val="left"/>
      </w:pPr>
      <w:r>
        <w:rPr>
          <w:color w:val="231F20"/>
        </w:rPr>
        <w:t>Onderafdeling 2. Remuneratie.</w:t>
      </w:r>
    </w:p>
    <w:p>
      <w:pPr>
        <w:pStyle w:val="BodyText"/>
        <w:spacing w:line="218" w:lineRule="auto" w:before="146"/>
      </w:pPr>
      <w:r>
        <w:rPr>
          <w:color w:val="231F20"/>
        </w:rPr>
        <w:t>Art. 7:89. Tenzij de statuten anders bepalen of de algemene vergade- ring bij hun benoeming anders besluit, worden de bestuurders bezoldigd voor de uitoefening van hun mandaat.</w:t>
      </w:r>
    </w:p>
    <w:p>
      <w:pPr>
        <w:pStyle w:val="BodyText"/>
        <w:spacing w:line="218" w:lineRule="auto" w:before="149"/>
      </w:pPr>
      <w:r>
        <w:rPr>
          <w:color w:val="231F20"/>
        </w:rPr>
        <w:t>Art. 7:90. In een genoteerde vennootschap worden de criteria die de toekenning van een vergoeding aan een uitvoerend bestuurder variabel maken, vastgelegd in de bepalingen die de betrokken rechtsverhouding beheersen.</w:t>
      </w:r>
    </w:p>
    <w:p>
      <w:pPr>
        <w:pStyle w:val="BodyText"/>
        <w:spacing w:line="218" w:lineRule="auto" w:before="150"/>
        <w:ind w:right="123"/>
      </w:pPr>
      <w:r>
        <w:rPr>
          <w:color w:val="231F20"/>
        </w:rPr>
        <w:t>De uitbetaling van deze variabele remuneratie kan enkel gebeuren indien aan de criteria over de aangeduide periode werd voldaan.</w:t>
      </w:r>
    </w:p>
    <w:p>
      <w:pPr>
        <w:pStyle w:val="BodyText"/>
        <w:spacing w:line="218" w:lineRule="auto" w:before="149"/>
      </w:pPr>
      <w:r>
        <w:rPr>
          <w:color w:val="231F20"/>
        </w:rPr>
        <w:t>Zijn deze criteria niet vastgelegd, of is de uitbetaling niet verbonden aan de vervulling van de vastgelegde criteria, wordt met deze variabele vergoedingen geen rekening gehouden bij de berekening van de vertrekvergoeding van de betrokken uitvoerend bestuurder.</w:t>
      </w:r>
    </w:p>
    <w:p>
      <w:pPr>
        <w:pStyle w:val="BodyText"/>
        <w:spacing w:line="218" w:lineRule="auto" w:before="150"/>
      </w:pPr>
      <w:r>
        <w:rPr>
          <w:color w:val="231F20"/>
        </w:rPr>
        <w:t>Art. 7:91. In een genoteerde vennootschap kan, behoudens anders- luidende statutaire bepaling of uitdrukkelijke goedkeuring door de algemene vergadering, een bestuurder, bij wijze van vergoeding, aandelen pas definitief verwerven, dan wel aandelenopties of alle andere rechten om aandelen te verwerven pas uitoefenen na een periode van ten minste drie jaar na de toekenning ervan.</w:t>
      </w:r>
    </w:p>
    <w:p>
      <w:pPr>
        <w:pStyle w:val="BodyText"/>
        <w:spacing w:line="218" w:lineRule="auto" w:before="149"/>
      </w:pPr>
      <w:r>
        <w:rPr>
          <w:color w:val="231F20"/>
        </w:rPr>
        <w:t>Behoudens andersluidende statutaire bepaling of uitdrukkelijke goedkeuring door de algemene vergadering, dient ten minste een  vierde van de variabele remuneratie voor een uitvoerend bestuurder in een genoteerde vennootschap te zijn gebaseerd op vooraf vastgelegde en objectief meetbare prestatiecriteria over een periode van minstens twee </w:t>
      </w:r>
      <w:r>
        <w:rPr>
          <w:color w:val="231F20"/>
          <w:spacing w:val="-3"/>
        </w:rPr>
        <w:t>jaar, </w:t>
      </w:r>
      <w:r>
        <w:rPr>
          <w:color w:val="231F20"/>
        </w:rPr>
        <w:t>en dient ten minste een ander vierde te zijn gebaseerd op vooraf vastgelegde en objectief meetbare prestatiecriteria over een periode van minstens drie</w:t>
      </w:r>
      <w:r>
        <w:rPr>
          <w:color w:val="231F20"/>
          <w:spacing w:val="19"/>
        </w:rPr>
        <w:t> </w:t>
      </w:r>
      <w:r>
        <w:rPr>
          <w:color w:val="231F20"/>
          <w:spacing w:val="-3"/>
        </w:rPr>
        <w:t>jaar.</w:t>
      </w:r>
    </w:p>
    <w:p>
      <w:pPr>
        <w:pStyle w:val="BodyText"/>
        <w:spacing w:line="218" w:lineRule="auto" w:before="161"/>
      </w:pPr>
      <w:r>
        <w:rPr>
          <w:color w:val="231F20"/>
        </w:rPr>
        <w:t>De in het tweede lid vermelde verplichting geldt niet indien de variabele remuneratie een vierde of minder van de jaarlijkse remune- ratie betreft.</w:t>
      </w:r>
    </w:p>
    <w:p>
      <w:pPr>
        <w:pStyle w:val="BodyText"/>
        <w:spacing w:line="218" w:lineRule="auto" w:before="160"/>
      </w:pPr>
      <w:r>
        <w:rPr>
          <w:color w:val="231F20"/>
        </w:rPr>
        <w:t>Voor de toepassing van deze bepaling verwijst “jaarlijkse remunera- tie” naar alle elementen waarvan de publicatie in het jaarverslag is vereist krachtens artikel 3:6, § 3, tweede lid, 6° en 7°.</w:t>
      </w:r>
    </w:p>
    <w:p>
      <w:pPr>
        <w:pStyle w:val="BodyText"/>
        <w:spacing w:line="218" w:lineRule="auto" w:before="160"/>
      </w:pPr>
      <w:r>
        <w:rPr>
          <w:color w:val="231F20"/>
        </w:rPr>
        <w:t>Art. 7:92. Een overeenkomst met een uitvoerend bestuurder of een andere persoon belast met de leiding bedoeld in artikel 3:6, § 3, derde lid, of een persoon belast met het dagelijks bestuur van een genoteerde vennootschap die voorziet in een vertrekvergoeding die hoger is dan   12 maanden remuneratie als bedoeld in artikel 3:6, § 3, tweede lid, 6°, wordt, niettegenstaande andersluidende statutaire of contractuele bepaling, steeds overeengekomen onder opschortende voorwaarde van goedkeuring door de algemene vergadering. Is de vertrekvergoeding hoger dan 18 maanden remuneratie als bedoeld in artikel 3:6, § 3, tweede lid, 6°, dan kan de algemene vergadering haar slechts goedkeuren op eensluidend en gemotiveerd advies van het remunera- tiecomité.</w:t>
      </w:r>
    </w:p>
    <w:p>
      <w:pPr>
        <w:pStyle w:val="BodyText"/>
        <w:spacing w:line="218" w:lineRule="auto" w:before="161"/>
        <w:ind w:right="123"/>
      </w:pPr>
      <w:r>
        <w:rPr>
          <w:color w:val="231F20"/>
        </w:rPr>
        <w:t>Het aan de algemene vergadering voorgelegde verzoek om een vertrekvergoeding goed te keuren overeenkomstig het eerste lid, wordt dertig dagen voor de datum voor de publicatie van de oproeping tot de eerstvolgende algemene </w:t>
      </w:r>
      <w:r>
        <w:rPr>
          <w:color w:val="231F20"/>
          <w:spacing w:val="-3"/>
        </w:rPr>
        <w:t>vergadering </w:t>
      </w:r>
      <w:r>
        <w:rPr>
          <w:color w:val="231F20"/>
        </w:rPr>
        <w:t>meegedeeld aan de ondernemings- raad, of, zo er geen is, aan de werknemersafgevaardigden in het comité voor preventie en bescherming op het werk of, zo er geen is, aan de syndicale afvaardiging. Op vraag, naargelang het geval, van een van de partijen in de ondernemingsraad, van de syndicale afvaardiging of van de werknemersafgevaardigden in het comité voor preventie en bescher- ming op het werk, brengt deze een advies uit aan de algemene vergadering. De vraag om een advies moet tenminste twintig dagen voor de datum voor de publicatie van de oproeping worden ingediend. Het advies wordt uiterlijk op de dag van de publicatie van  de  oproeping</w:t>
      </w:r>
      <w:r>
        <w:rPr>
          <w:color w:val="231F20"/>
          <w:spacing w:val="22"/>
        </w:rPr>
        <w:t> </w:t>
      </w:r>
      <w:r>
        <w:rPr>
          <w:color w:val="231F20"/>
        </w:rPr>
        <w:t>gegeven</w:t>
      </w:r>
      <w:r>
        <w:rPr>
          <w:color w:val="231F20"/>
          <w:spacing w:val="22"/>
        </w:rPr>
        <w:t> </w:t>
      </w:r>
      <w:r>
        <w:rPr>
          <w:color w:val="231F20"/>
        </w:rPr>
        <w:t>en</w:t>
      </w:r>
      <w:r>
        <w:rPr>
          <w:color w:val="231F20"/>
          <w:spacing w:val="22"/>
        </w:rPr>
        <w:t> </w:t>
      </w:r>
      <w:r>
        <w:rPr>
          <w:color w:val="231F20"/>
        </w:rPr>
        <w:t>op</w:t>
      </w:r>
      <w:r>
        <w:rPr>
          <w:color w:val="231F20"/>
          <w:spacing w:val="21"/>
        </w:rPr>
        <w:t> </w:t>
      </w:r>
      <w:r>
        <w:rPr>
          <w:color w:val="231F20"/>
        </w:rPr>
        <w:t>de</w:t>
      </w:r>
      <w:r>
        <w:rPr>
          <w:color w:val="231F20"/>
          <w:spacing w:val="22"/>
        </w:rPr>
        <w:t> </w:t>
      </w:r>
      <w:r>
        <w:rPr>
          <w:color w:val="231F20"/>
        </w:rPr>
        <w:t>vennootschapswebsite</w:t>
      </w:r>
      <w:r>
        <w:rPr>
          <w:color w:val="231F20"/>
          <w:spacing w:val="22"/>
        </w:rPr>
        <w:t> </w:t>
      </w:r>
      <w:r>
        <w:rPr>
          <w:color w:val="231F20"/>
        </w:rPr>
        <w:t>gepubliceerd.</w:t>
      </w:r>
    </w:p>
    <w:p>
      <w:pPr>
        <w:pStyle w:val="BodyText"/>
        <w:spacing w:line="218" w:lineRule="auto" w:before="161"/>
      </w:pPr>
      <w:r>
        <w:rPr>
          <w:color w:val="231F20"/>
        </w:rPr>
        <w:t>De ondernemingsraad, de syndicale afvaardiging of de werknemers- afgevaardigden in het comité voor preventie en bescherming op het werk mogen de aan hen overgemaakte persoonsgegevens enkel bekendmaken voor doeleinden van het in het tweede lid  bedoeld  advies aan de algemene</w:t>
      </w:r>
      <w:r>
        <w:rPr>
          <w:color w:val="231F20"/>
          <w:spacing w:val="22"/>
        </w:rPr>
        <w:t> </w:t>
      </w:r>
      <w:r>
        <w:rPr>
          <w:color w:val="231F20"/>
        </w:rPr>
        <w:t>vergadering.</w:t>
      </w:r>
    </w:p>
    <w:p>
      <w:pPr>
        <w:spacing w:after="0" w:line="218" w:lineRule="auto"/>
        <w:sectPr>
          <w:pgSz w:w="11940" w:h="16880"/>
          <w:pgMar w:header="666" w:footer="0" w:top="1140" w:bottom="280" w:left="340" w:right="360"/>
          <w:cols w:num="2" w:equalWidth="0">
            <w:col w:w="5561" w:space="67"/>
            <w:col w:w="5612"/>
          </w:cols>
        </w:sectPr>
      </w:pPr>
    </w:p>
    <w:p>
      <w:pPr>
        <w:pStyle w:val="BodyText"/>
        <w:spacing w:line="218" w:lineRule="auto" w:before="119"/>
        <w:ind w:right="87"/>
      </w:pPr>
      <w:r>
        <w:rPr/>
        <w:pict>
          <v:line style="position:absolute;mso-position-horizontal-relative:page;mso-position-vertical-relative:page;z-index:4984" from="298.170502pt,64.473pt" to="298.170502pt,812.819pt" stroked="true" strokeweight=".533pt" strokecolor="#231f20">
            <v:stroke dashstyle="solid"/>
            <w10:wrap type="none"/>
          </v:line>
        </w:pict>
      </w:r>
      <w:bookmarkStart w:name="_bookmark165" w:id="170"/>
      <w:bookmarkEnd w:id="170"/>
      <w:r>
        <w:rPr/>
      </w:r>
      <w:r>
        <w:rPr>
          <w:color w:val="231F20"/>
        </w:rPr>
        <w:t>Une convention avec un administrateur non exécutif d’une société cotée qui n’est pas indépendant prévoyant une rémunération variable est toujours conclue, nonobstant toute disposition statutaire ou clause contractuelle contraire, sous la condition suspensive de l’approbation par l’assemblée générale. Aucune rémunération variable ne peut être allouée à un administrateur indépendant.</w:t>
      </w:r>
    </w:p>
    <w:p>
      <w:pPr>
        <w:pStyle w:val="BodyText"/>
        <w:spacing w:before="7"/>
        <w:ind w:left="0" w:right="0" w:firstLine="0"/>
        <w:jc w:val="left"/>
        <w:rPr>
          <w:sz w:val="24"/>
        </w:rPr>
      </w:pPr>
    </w:p>
    <w:p>
      <w:pPr>
        <w:pStyle w:val="BodyText"/>
        <w:ind w:left="283" w:right="0" w:firstLine="0"/>
        <w:jc w:val="left"/>
      </w:pPr>
      <w:r>
        <w:rPr>
          <w:color w:val="231F20"/>
        </w:rPr>
        <w:t>Les alinéas 2 et 3 sont applicables par analogie à l’alinéa 4.</w:t>
      </w:r>
    </w:p>
    <w:p>
      <w:pPr>
        <w:pStyle w:val="BodyText"/>
        <w:spacing w:before="6"/>
        <w:ind w:left="0" w:right="0" w:firstLine="0"/>
        <w:jc w:val="left"/>
        <w:rPr>
          <w:sz w:val="25"/>
        </w:rPr>
      </w:pPr>
    </w:p>
    <w:p>
      <w:pPr>
        <w:pStyle w:val="BodyText"/>
        <w:spacing w:line="218" w:lineRule="auto"/>
        <w:ind w:right="87"/>
      </w:pPr>
      <w:r>
        <w:rPr>
          <w:color w:val="231F20"/>
        </w:rPr>
        <w:t>Sous-section 3. Pouvoirs et fonctionnement du conseil d’administra- tion.</w:t>
      </w:r>
    </w:p>
    <w:p>
      <w:pPr>
        <w:pStyle w:val="BodyText"/>
        <w:spacing w:line="218" w:lineRule="auto" w:before="113"/>
        <w:ind w:right="87"/>
      </w:pPr>
      <w:r>
        <w:rPr>
          <w:color w:val="231F20"/>
        </w:rPr>
        <w:t>Art. 7:93. § 1</w:t>
      </w:r>
      <w:r>
        <w:rPr>
          <w:color w:val="231F20"/>
          <w:position w:val="7"/>
          <w:sz w:val="11"/>
        </w:rPr>
        <w:t>er</w:t>
      </w:r>
      <w:r>
        <w:rPr>
          <w:color w:val="231F20"/>
        </w:rPr>
        <w:t>. Le conseil d’administration a le pouvoir d’accomplir tous</w:t>
      </w:r>
      <w:r>
        <w:rPr>
          <w:color w:val="231F20"/>
          <w:spacing w:val="-5"/>
        </w:rPr>
        <w:t> </w:t>
      </w:r>
      <w:r>
        <w:rPr>
          <w:color w:val="231F20"/>
        </w:rPr>
        <w:t>les</w:t>
      </w:r>
      <w:r>
        <w:rPr>
          <w:color w:val="231F20"/>
          <w:spacing w:val="-5"/>
        </w:rPr>
        <w:t> </w:t>
      </w:r>
      <w:r>
        <w:rPr>
          <w:color w:val="231F20"/>
        </w:rPr>
        <w:t>actes</w:t>
      </w:r>
      <w:r>
        <w:rPr>
          <w:color w:val="231F20"/>
          <w:spacing w:val="-4"/>
        </w:rPr>
        <w:t> </w:t>
      </w:r>
      <w:r>
        <w:rPr>
          <w:color w:val="231F20"/>
        </w:rPr>
        <w:t>nécessaires</w:t>
      </w:r>
      <w:r>
        <w:rPr>
          <w:color w:val="231F20"/>
          <w:spacing w:val="-5"/>
        </w:rPr>
        <w:t> </w:t>
      </w:r>
      <w:r>
        <w:rPr>
          <w:color w:val="231F20"/>
        </w:rPr>
        <w:t>ou</w:t>
      </w:r>
      <w:r>
        <w:rPr>
          <w:color w:val="231F20"/>
          <w:spacing w:val="-4"/>
        </w:rPr>
        <w:t> </w:t>
      </w:r>
      <w:r>
        <w:rPr>
          <w:color w:val="231F20"/>
        </w:rPr>
        <w:t>utiles</w:t>
      </w:r>
      <w:r>
        <w:rPr>
          <w:color w:val="231F20"/>
          <w:spacing w:val="-5"/>
        </w:rPr>
        <w:t> </w:t>
      </w:r>
      <w:r>
        <w:rPr>
          <w:color w:val="231F20"/>
        </w:rPr>
        <w:t>à</w:t>
      </w:r>
      <w:r>
        <w:rPr>
          <w:color w:val="231F20"/>
          <w:spacing w:val="-4"/>
        </w:rPr>
        <w:t> </w:t>
      </w:r>
      <w:r>
        <w:rPr>
          <w:color w:val="231F20"/>
        </w:rPr>
        <w:t>la</w:t>
      </w:r>
      <w:r>
        <w:rPr>
          <w:color w:val="231F20"/>
          <w:spacing w:val="-5"/>
        </w:rPr>
        <w:t> </w:t>
      </w:r>
      <w:r>
        <w:rPr>
          <w:color w:val="231F20"/>
        </w:rPr>
        <w:t>réalisation</w:t>
      </w:r>
      <w:r>
        <w:rPr>
          <w:color w:val="231F20"/>
          <w:spacing w:val="-4"/>
        </w:rPr>
        <w:t> </w:t>
      </w:r>
      <w:r>
        <w:rPr>
          <w:color w:val="231F20"/>
        </w:rPr>
        <w:t>de</w:t>
      </w:r>
      <w:r>
        <w:rPr>
          <w:color w:val="231F20"/>
          <w:spacing w:val="-5"/>
        </w:rPr>
        <w:t> </w:t>
      </w:r>
      <w:r>
        <w:rPr>
          <w:color w:val="231F20"/>
        </w:rPr>
        <w:t>l’objet</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société, à</w:t>
      </w:r>
      <w:r>
        <w:rPr>
          <w:color w:val="231F20"/>
          <w:spacing w:val="16"/>
        </w:rPr>
        <w:t> </w:t>
      </w:r>
      <w:r>
        <w:rPr>
          <w:color w:val="231F20"/>
        </w:rPr>
        <w:t>l’exception</w:t>
      </w:r>
      <w:r>
        <w:rPr>
          <w:color w:val="231F20"/>
          <w:spacing w:val="17"/>
        </w:rPr>
        <w:t> </w:t>
      </w:r>
      <w:r>
        <w:rPr>
          <w:color w:val="231F20"/>
        </w:rPr>
        <w:t>de</w:t>
      </w:r>
      <w:r>
        <w:rPr>
          <w:color w:val="231F20"/>
          <w:spacing w:val="17"/>
        </w:rPr>
        <w:t> </w:t>
      </w:r>
      <w:r>
        <w:rPr>
          <w:color w:val="231F20"/>
        </w:rPr>
        <w:t>ceux</w:t>
      </w:r>
      <w:r>
        <w:rPr>
          <w:color w:val="231F20"/>
          <w:spacing w:val="17"/>
        </w:rPr>
        <w:t> </w:t>
      </w:r>
      <w:r>
        <w:rPr>
          <w:color w:val="231F20"/>
        </w:rPr>
        <w:t>que</w:t>
      </w:r>
      <w:r>
        <w:rPr>
          <w:color w:val="231F20"/>
          <w:spacing w:val="17"/>
        </w:rPr>
        <w:t> </w:t>
      </w:r>
      <w:r>
        <w:rPr>
          <w:color w:val="231F20"/>
        </w:rPr>
        <w:t>la</w:t>
      </w:r>
      <w:r>
        <w:rPr>
          <w:color w:val="231F20"/>
          <w:spacing w:val="17"/>
        </w:rPr>
        <w:t> </w:t>
      </w:r>
      <w:r>
        <w:rPr>
          <w:color w:val="231F20"/>
        </w:rPr>
        <w:t>loi</w:t>
      </w:r>
      <w:r>
        <w:rPr>
          <w:color w:val="231F20"/>
          <w:spacing w:val="17"/>
        </w:rPr>
        <w:t> </w:t>
      </w:r>
      <w:r>
        <w:rPr>
          <w:color w:val="231F20"/>
        </w:rPr>
        <w:t>réserve</w:t>
      </w:r>
      <w:r>
        <w:rPr>
          <w:color w:val="231F20"/>
          <w:spacing w:val="17"/>
        </w:rPr>
        <w:t> </w:t>
      </w:r>
      <w:r>
        <w:rPr>
          <w:color w:val="231F20"/>
        </w:rPr>
        <w:t>à</w:t>
      </w:r>
      <w:r>
        <w:rPr>
          <w:color w:val="231F20"/>
          <w:spacing w:val="17"/>
        </w:rPr>
        <w:t> </w:t>
      </w:r>
      <w:r>
        <w:rPr>
          <w:color w:val="231F20"/>
        </w:rPr>
        <w:t>l’assemblée</w:t>
      </w:r>
      <w:r>
        <w:rPr>
          <w:color w:val="231F20"/>
          <w:spacing w:val="17"/>
        </w:rPr>
        <w:t> </w:t>
      </w:r>
      <w:r>
        <w:rPr>
          <w:color w:val="231F20"/>
        </w:rPr>
        <w:t>générale.</w:t>
      </w:r>
    </w:p>
    <w:p>
      <w:pPr>
        <w:pStyle w:val="BodyText"/>
        <w:spacing w:before="9"/>
        <w:ind w:left="0" w:right="0" w:firstLine="0"/>
        <w:jc w:val="left"/>
        <w:rPr>
          <w:sz w:val="26"/>
        </w:rPr>
      </w:pPr>
    </w:p>
    <w:p>
      <w:pPr>
        <w:pStyle w:val="BodyText"/>
        <w:spacing w:line="218" w:lineRule="auto"/>
        <w:ind w:right="87"/>
      </w:pPr>
      <w:r>
        <w:rPr>
          <w:color w:val="231F20"/>
        </w:rPr>
        <w:t>Les statuts peuvent apporter des restrictions aux pouvoirs du conseil d’administration. Ces restrictions ne sont pas opposables aux tiers, même si elles sont publiées. Il en va de même pour une répartition des tâches entre les administrateurs.</w:t>
      </w:r>
    </w:p>
    <w:p>
      <w:pPr>
        <w:pStyle w:val="BodyText"/>
        <w:spacing w:line="216" w:lineRule="auto" w:before="130"/>
        <w:ind w:right="87"/>
      </w:pPr>
      <w:r>
        <w:rPr>
          <w:color w:val="231F20"/>
        </w:rPr>
        <w:t>§ 2. Le conseil d’administration représente la société à l’égard des tiers, en ce compris la représentation en justice. Sans préjudice de l’article 7:85, § 1</w:t>
      </w:r>
      <w:r>
        <w:rPr>
          <w:color w:val="231F20"/>
          <w:position w:val="7"/>
          <w:sz w:val="11"/>
        </w:rPr>
        <w:t>er</w:t>
      </w:r>
      <w:r>
        <w:rPr>
          <w:color w:val="231F20"/>
        </w:rPr>
        <w:t>, alinéa 1</w:t>
      </w:r>
      <w:r>
        <w:rPr>
          <w:color w:val="231F20"/>
          <w:position w:val="7"/>
          <w:sz w:val="11"/>
        </w:rPr>
        <w:t>er</w:t>
      </w:r>
      <w:r>
        <w:rPr>
          <w:color w:val="231F20"/>
        </w:rPr>
        <w:t>, les statuts peuvent donner qualité à un ou plusieurs administrateurs pour représenter la société, soit seuls, soit conjointement. Cette clause de représentation est opposable aux tiers aux conditions fixées à l’article 2:18.</w:t>
      </w:r>
    </w:p>
    <w:p>
      <w:pPr>
        <w:pStyle w:val="BodyText"/>
        <w:spacing w:before="3"/>
        <w:ind w:left="0" w:right="0" w:firstLine="0"/>
        <w:jc w:val="left"/>
        <w:rPr>
          <w:sz w:val="26"/>
        </w:rPr>
      </w:pPr>
    </w:p>
    <w:p>
      <w:pPr>
        <w:pStyle w:val="BodyText"/>
        <w:spacing w:line="218" w:lineRule="auto" w:before="1"/>
        <w:ind w:right="87"/>
      </w:pPr>
      <w:r>
        <w:rPr>
          <w:color w:val="231F20"/>
        </w:rPr>
        <w:t>Les statuts peuvent apporter des restrictions à ce pouvoir de représentation. Ces restrictions ne sont pas opposables aux tiers, même si elles sont publiées. Il en va de même pour une répartition des tâches entre les administrateurs ayant le pouvoir de représentation.</w:t>
      </w:r>
    </w:p>
    <w:p>
      <w:pPr>
        <w:pStyle w:val="BodyText"/>
        <w:spacing w:before="8"/>
        <w:ind w:left="0" w:right="0" w:firstLine="0"/>
        <w:jc w:val="left"/>
        <w:rPr>
          <w:sz w:val="26"/>
        </w:rPr>
      </w:pPr>
    </w:p>
    <w:p>
      <w:pPr>
        <w:pStyle w:val="BodyText"/>
        <w:spacing w:line="218" w:lineRule="auto"/>
        <w:ind w:right="87"/>
      </w:pPr>
      <w:r>
        <w:rPr>
          <w:color w:val="231F20"/>
        </w:rPr>
        <w:t>Art. 7:94. La société est liée par les actes accomplis par le conseil d’administration, par les administrateurs et par les délégués à la gestion</w:t>
      </w:r>
      <w:r>
        <w:rPr>
          <w:color w:val="231F20"/>
          <w:spacing w:val="-6"/>
        </w:rPr>
        <w:t> </w:t>
      </w:r>
      <w:r>
        <w:rPr>
          <w:color w:val="231F20"/>
        </w:rPr>
        <w:t>journalière</w:t>
      </w:r>
      <w:r>
        <w:rPr>
          <w:color w:val="231F20"/>
          <w:spacing w:val="-5"/>
        </w:rPr>
        <w:t> </w:t>
      </w:r>
      <w:r>
        <w:rPr>
          <w:color w:val="231F20"/>
        </w:rPr>
        <w:t>qui,</w:t>
      </w:r>
      <w:r>
        <w:rPr>
          <w:color w:val="231F20"/>
          <w:spacing w:val="-5"/>
        </w:rPr>
        <w:t> </w:t>
      </w:r>
      <w:r>
        <w:rPr>
          <w:color w:val="231F20"/>
        </w:rPr>
        <w:t>conformément</w:t>
      </w:r>
      <w:r>
        <w:rPr>
          <w:color w:val="231F20"/>
          <w:spacing w:val="-6"/>
        </w:rPr>
        <w:t> </w:t>
      </w:r>
      <w:r>
        <w:rPr>
          <w:color w:val="231F20"/>
        </w:rPr>
        <w:t>à</w:t>
      </w:r>
      <w:r>
        <w:rPr>
          <w:color w:val="231F20"/>
          <w:spacing w:val="-5"/>
        </w:rPr>
        <w:t> </w:t>
      </w:r>
      <w:r>
        <w:rPr>
          <w:color w:val="231F20"/>
        </w:rPr>
        <w:t>l’article</w:t>
      </w:r>
      <w:r>
        <w:rPr>
          <w:color w:val="231F20"/>
          <w:spacing w:val="-5"/>
        </w:rPr>
        <w:t> </w:t>
      </w:r>
      <w:r>
        <w:rPr>
          <w:color w:val="231F20"/>
        </w:rPr>
        <w:t>7:93,</w:t>
      </w:r>
      <w:r>
        <w:rPr>
          <w:color w:val="231F20"/>
          <w:spacing w:val="-6"/>
        </w:rPr>
        <w:t> </w:t>
      </w:r>
      <w:r>
        <w:rPr>
          <w:color w:val="231F20"/>
        </w:rPr>
        <w:t>§</w:t>
      </w:r>
      <w:r>
        <w:rPr>
          <w:color w:val="231F20"/>
          <w:spacing w:val="-5"/>
        </w:rPr>
        <w:t> </w:t>
      </w:r>
      <w:r>
        <w:rPr>
          <w:color w:val="231F20"/>
        </w:rPr>
        <w:t>2,</w:t>
      </w:r>
      <w:r>
        <w:rPr>
          <w:color w:val="231F20"/>
          <w:spacing w:val="-5"/>
        </w:rPr>
        <w:t> </w:t>
      </w:r>
      <w:r>
        <w:rPr>
          <w:color w:val="231F20"/>
        </w:rPr>
        <w:t>ont</w:t>
      </w:r>
      <w:r>
        <w:rPr>
          <w:color w:val="231F20"/>
          <w:spacing w:val="-5"/>
        </w:rPr>
        <w:t> </w:t>
      </w:r>
      <w:r>
        <w:rPr>
          <w:color w:val="231F20"/>
        </w:rPr>
        <w:t>le</w:t>
      </w:r>
      <w:r>
        <w:rPr>
          <w:color w:val="231F20"/>
          <w:spacing w:val="-6"/>
        </w:rPr>
        <w:t> </w:t>
      </w:r>
      <w:r>
        <w:rPr>
          <w:color w:val="231F20"/>
        </w:rPr>
        <w:t>pouvoir de la représenter même si ces actes excèdent son objet, à moins que la société ne prouve que le tiers en avait connaissance ou qu’il ne pouvait l’ignorer, compte tenu des circonstances, sans que la seule publication des statuts </w:t>
      </w:r>
      <w:r>
        <w:rPr>
          <w:color w:val="231F20"/>
          <w:spacing w:val="-4"/>
        </w:rPr>
        <w:t>suffise </w:t>
      </w:r>
      <w:r>
        <w:rPr>
          <w:color w:val="231F20"/>
        </w:rPr>
        <w:t>à constituer cette</w:t>
      </w:r>
      <w:r>
        <w:rPr>
          <w:color w:val="231F20"/>
          <w:spacing w:val="16"/>
        </w:rPr>
        <w:t> </w:t>
      </w:r>
      <w:r>
        <w:rPr>
          <w:color w:val="231F20"/>
        </w:rPr>
        <w:t>preuve.</w:t>
      </w:r>
    </w:p>
    <w:p>
      <w:pPr>
        <w:pStyle w:val="BodyText"/>
        <w:spacing w:before="9"/>
        <w:ind w:left="0" w:right="0" w:firstLine="0"/>
        <w:jc w:val="left"/>
        <w:rPr>
          <w:sz w:val="26"/>
        </w:rPr>
      </w:pPr>
    </w:p>
    <w:p>
      <w:pPr>
        <w:pStyle w:val="BodyText"/>
        <w:spacing w:line="218" w:lineRule="auto"/>
        <w:ind w:right="87"/>
      </w:pPr>
      <w:r>
        <w:rPr>
          <w:color w:val="231F20"/>
        </w:rPr>
        <w:t>Art. 7:95. Le procès-verbal des réunions du conseil d’administration est signé par le président et les administrateurs qui le souhaitent; les copies à délivrer aux tiers sont signées par un ou plusieurs adminis- trateurs</w:t>
      </w:r>
      <w:r>
        <w:rPr>
          <w:color w:val="231F20"/>
          <w:spacing w:val="15"/>
        </w:rPr>
        <w:t> </w:t>
      </w:r>
      <w:r>
        <w:rPr>
          <w:color w:val="231F20"/>
        </w:rPr>
        <w:t>ayant</w:t>
      </w:r>
      <w:r>
        <w:rPr>
          <w:color w:val="231F20"/>
          <w:spacing w:val="15"/>
        </w:rPr>
        <w:t> </w:t>
      </w:r>
      <w:r>
        <w:rPr>
          <w:color w:val="231F20"/>
        </w:rPr>
        <w:t>le</w:t>
      </w:r>
      <w:r>
        <w:rPr>
          <w:color w:val="231F20"/>
          <w:spacing w:val="15"/>
        </w:rPr>
        <w:t> </w:t>
      </w:r>
      <w:r>
        <w:rPr>
          <w:color w:val="231F20"/>
        </w:rPr>
        <w:t>pouvoir</w:t>
      </w:r>
      <w:r>
        <w:rPr>
          <w:color w:val="231F20"/>
          <w:spacing w:val="15"/>
        </w:rPr>
        <w:t> </w:t>
      </w:r>
      <w:r>
        <w:rPr>
          <w:color w:val="231F20"/>
        </w:rPr>
        <w:t>de</w:t>
      </w:r>
      <w:r>
        <w:rPr>
          <w:color w:val="231F20"/>
          <w:spacing w:val="16"/>
        </w:rPr>
        <w:t> </w:t>
      </w:r>
      <w:r>
        <w:rPr>
          <w:color w:val="231F20"/>
        </w:rPr>
        <w:t>représentation.</w:t>
      </w:r>
    </w:p>
    <w:p>
      <w:pPr>
        <w:pStyle w:val="BodyText"/>
        <w:spacing w:line="218" w:lineRule="auto" w:before="128"/>
        <w:ind w:right="87"/>
      </w:pPr>
      <w:r>
        <w:rPr>
          <w:color w:val="231F20"/>
        </w:rPr>
        <w:t>Les décisions du conseil d’administration peuvent être prises par décision unanime de tous les administrateurs, exprimée par écrit, à l’exception des décisions pour lesquelles les statuts excluent cette possibilité.</w:t>
      </w:r>
    </w:p>
    <w:p>
      <w:pPr>
        <w:pStyle w:val="BodyText"/>
        <w:spacing w:line="218" w:lineRule="auto" w:before="114"/>
        <w:ind w:right="99"/>
        <w:jc w:val="left"/>
      </w:pPr>
      <w:r>
        <w:rPr>
          <w:color w:val="231F20"/>
        </w:rPr>
        <w:t>Art. 7:96. § 1</w:t>
      </w:r>
      <w:r>
        <w:rPr>
          <w:color w:val="231F20"/>
          <w:position w:val="7"/>
          <w:sz w:val="11"/>
        </w:rPr>
        <w:t>er</w:t>
      </w:r>
      <w:r>
        <w:rPr>
          <w:color w:val="231F20"/>
        </w:rPr>
        <w:t>. Lorsque le conseil d’administration est appelé à prendre une décision ou à se prononcer sur une opération relevant de   sa compétence à propos de laquelle un administrateur a un  intérêt direct ou indirect de nature patrimoniale qui est opposé à l’intérêt de la société, cet administrateur doit en informer les autres administrateurs avant que le conseil d’administration ne prenne une décision. Sa déclaration et ses explications sur la nature de cet intérêt opposé  doivent figurer dans le procès-verbal de la réunion du conseil d’administration qui doit prendre cette décision. Le conseil d’adminis- tration</w:t>
      </w:r>
      <w:r>
        <w:rPr>
          <w:color w:val="231F20"/>
          <w:spacing w:val="15"/>
        </w:rPr>
        <w:t> </w:t>
      </w:r>
      <w:r>
        <w:rPr>
          <w:color w:val="231F20"/>
        </w:rPr>
        <w:t>ne</w:t>
      </w:r>
      <w:r>
        <w:rPr>
          <w:color w:val="231F20"/>
          <w:spacing w:val="15"/>
        </w:rPr>
        <w:t> </w:t>
      </w:r>
      <w:r>
        <w:rPr>
          <w:color w:val="231F20"/>
        </w:rPr>
        <w:t>peut</w:t>
      </w:r>
      <w:r>
        <w:rPr>
          <w:color w:val="231F20"/>
          <w:spacing w:val="15"/>
        </w:rPr>
        <w:t> </w:t>
      </w:r>
      <w:r>
        <w:rPr>
          <w:color w:val="231F20"/>
        </w:rPr>
        <w:t>déléguer</w:t>
      </w:r>
      <w:r>
        <w:rPr>
          <w:color w:val="231F20"/>
          <w:spacing w:val="15"/>
        </w:rPr>
        <w:t> </w:t>
      </w:r>
      <w:r>
        <w:rPr>
          <w:color w:val="231F20"/>
        </w:rPr>
        <w:t>sa</w:t>
      </w:r>
      <w:r>
        <w:rPr>
          <w:color w:val="231F20"/>
          <w:spacing w:val="15"/>
        </w:rPr>
        <w:t> </w:t>
      </w:r>
      <w:r>
        <w:rPr>
          <w:color w:val="231F20"/>
        </w:rPr>
        <w:t>décision.</w:t>
      </w:r>
    </w:p>
    <w:p>
      <w:pPr>
        <w:pStyle w:val="BodyText"/>
        <w:spacing w:line="216" w:lineRule="auto" w:before="130"/>
        <w:ind w:right="87"/>
      </w:pPr>
      <w:r>
        <w:rPr>
          <w:color w:val="231F20"/>
        </w:rPr>
        <w:t>Le conseil d’administration décrit, dans le procès-verbal, la nature de la décision ou de l’opération visée à l’alinéa 1</w:t>
      </w:r>
      <w:r>
        <w:rPr>
          <w:color w:val="231F20"/>
          <w:position w:val="7"/>
          <w:sz w:val="11"/>
        </w:rPr>
        <w:t>er </w:t>
      </w:r>
      <w:r>
        <w:rPr>
          <w:color w:val="231F20"/>
        </w:rPr>
        <w:t>et les conséquences patrimoniales pour la société et justifie la décision qui a été prise. Cette partie du procès-verbal figure dans son intégralité dans le rapport de gestion ou dans une pièce qui est déposée en même temps que les comptes annuels.</w:t>
      </w:r>
    </w:p>
    <w:p>
      <w:pPr>
        <w:pStyle w:val="BodyText"/>
        <w:spacing w:line="216" w:lineRule="auto" w:before="125"/>
        <w:ind w:right="87"/>
      </w:pPr>
      <w:r>
        <w:rPr>
          <w:color w:val="231F20"/>
        </w:rPr>
        <w:t>Si la société a nommé un commissaire, le procès-verbal de la réunion lui est communiqué. Dans son rapport visé à l’article 3:74, le commissaire évalue dans une section séparée, les conséquences patri- moniales pour la société des décisions du conseil d’administration, telles que décrites par celui-ci, pour lesquelles il existe un intérêt opposé tel que </w:t>
      </w:r>
      <w:r>
        <w:rPr>
          <w:color w:val="231F20"/>
          <w:spacing w:val="3"/>
        </w:rPr>
        <w:t>visé</w:t>
      </w:r>
      <w:r>
        <w:rPr>
          <w:color w:val="231F20"/>
          <w:spacing w:val="36"/>
        </w:rPr>
        <w:t> </w:t>
      </w:r>
      <w:r>
        <w:rPr>
          <w:color w:val="231F20"/>
        </w:rPr>
        <w:t>à l’alinéa 1</w:t>
      </w:r>
      <w:r>
        <w:rPr>
          <w:color w:val="231F20"/>
          <w:position w:val="7"/>
          <w:sz w:val="11"/>
        </w:rPr>
        <w:t>er</w:t>
      </w:r>
      <w:r>
        <w:rPr>
          <w:color w:val="231F20"/>
        </w:rPr>
        <w:t>.</w:t>
      </w:r>
    </w:p>
    <w:p>
      <w:pPr>
        <w:pStyle w:val="BodyText"/>
        <w:spacing w:line="218" w:lineRule="auto" w:before="108"/>
        <w:ind w:right="87"/>
      </w:pPr>
      <w:r>
        <w:rPr>
          <w:color w:val="231F20"/>
        </w:rPr>
        <w:t>L’administrateur ayant un conflit d’intérêts tel que </w:t>
      </w:r>
      <w:r>
        <w:rPr>
          <w:color w:val="231F20"/>
          <w:spacing w:val="2"/>
        </w:rPr>
        <w:t>visé </w:t>
      </w:r>
      <w:r>
        <w:rPr>
          <w:color w:val="231F20"/>
        </w:rPr>
        <w:t>à l’alinéa 1</w:t>
      </w:r>
      <w:r>
        <w:rPr>
          <w:color w:val="231F20"/>
          <w:position w:val="7"/>
          <w:sz w:val="11"/>
        </w:rPr>
        <w:t>er </w:t>
      </w:r>
      <w:r>
        <w:rPr>
          <w:color w:val="231F20"/>
        </w:rPr>
        <w:t>ne peut prendre part aux délibérations du conseil d’administration concernant ces opérations ou ces décisions, ni prendre part au vote sur ce point. Lorsque tous les administrateurs ont un conflit d’intérêts, la décision ou l’opération est soumise à l’assemblée générale; en cas d’approbation de la décision ou de l’opération par celle-ci, l’organe d’administration peut</w:t>
      </w:r>
      <w:r>
        <w:rPr>
          <w:color w:val="231F20"/>
          <w:spacing w:val="-11"/>
        </w:rPr>
        <w:t> </w:t>
      </w:r>
      <w:r>
        <w:rPr>
          <w:color w:val="231F20"/>
        </w:rPr>
        <w:t>l’exécuter.</w:t>
      </w:r>
    </w:p>
    <w:p>
      <w:pPr>
        <w:pStyle w:val="BodyText"/>
        <w:spacing w:line="218" w:lineRule="auto" w:before="119"/>
      </w:pPr>
      <w:r>
        <w:rPr/>
        <w:br w:type="column"/>
      </w:r>
      <w:r>
        <w:rPr>
          <w:color w:val="231F20"/>
        </w:rPr>
        <w:t>Een overeenkomst met een niet-uitvoerende bestuurder van een genoteerde vennootschap die niet onafhankelijk is die voorziet in een variabele vergoeding, wordt, niettegenstaande andersluidende statu- taire of contractuele bepaling, steeds overeengekomen onder opschor- tende voorwaarde van goedkeuring door de algemene  vergadering.  Aan een onafhankelijke bestuurder kan geen variabele vergoeding worden</w:t>
      </w:r>
      <w:r>
        <w:rPr>
          <w:color w:val="231F20"/>
          <w:spacing w:val="15"/>
        </w:rPr>
        <w:t> </w:t>
      </w:r>
      <w:r>
        <w:rPr>
          <w:color w:val="231F20"/>
        </w:rPr>
        <w:t>toegekend.</w:t>
      </w:r>
    </w:p>
    <w:p>
      <w:pPr>
        <w:pStyle w:val="BodyText"/>
        <w:spacing w:line="218" w:lineRule="auto" w:before="118"/>
      </w:pPr>
      <w:r>
        <w:rPr>
          <w:color w:val="231F20"/>
        </w:rPr>
        <w:t>Het tweede en het derde lid zijn van overeenkomstige toepassing op het vierde lid.</w:t>
      </w:r>
    </w:p>
    <w:p>
      <w:pPr>
        <w:pStyle w:val="BodyText"/>
        <w:spacing w:before="104"/>
        <w:ind w:left="283" w:right="0" w:firstLine="0"/>
        <w:jc w:val="left"/>
      </w:pPr>
      <w:r>
        <w:rPr>
          <w:color w:val="231F20"/>
        </w:rPr>
        <w:t>Onderafdeling 3. Bevoegdheid en werking van de raad van bestuur.</w:t>
      </w:r>
    </w:p>
    <w:p>
      <w:pPr>
        <w:pStyle w:val="BodyText"/>
        <w:spacing w:before="5"/>
        <w:ind w:left="0" w:right="0" w:firstLine="0"/>
        <w:jc w:val="left"/>
        <w:rPr>
          <w:sz w:val="26"/>
        </w:rPr>
      </w:pPr>
    </w:p>
    <w:p>
      <w:pPr>
        <w:pStyle w:val="BodyText"/>
        <w:spacing w:line="218" w:lineRule="auto"/>
      </w:pPr>
      <w:r>
        <w:rPr>
          <w:color w:val="231F20"/>
          <w:w w:val="105"/>
        </w:rPr>
        <w:t>Art.</w:t>
      </w:r>
      <w:r>
        <w:rPr>
          <w:color w:val="231F20"/>
          <w:spacing w:val="-14"/>
          <w:w w:val="105"/>
        </w:rPr>
        <w:t> </w:t>
      </w:r>
      <w:r>
        <w:rPr>
          <w:color w:val="231F20"/>
          <w:w w:val="105"/>
        </w:rPr>
        <w:t>7:93.</w:t>
      </w:r>
      <w:r>
        <w:rPr>
          <w:color w:val="231F20"/>
          <w:spacing w:val="-13"/>
          <w:w w:val="105"/>
        </w:rPr>
        <w:t> </w:t>
      </w:r>
      <w:r>
        <w:rPr>
          <w:color w:val="231F20"/>
          <w:w w:val="105"/>
        </w:rPr>
        <w:t>§</w:t>
      </w:r>
      <w:r>
        <w:rPr>
          <w:color w:val="231F20"/>
          <w:spacing w:val="-13"/>
          <w:w w:val="105"/>
        </w:rPr>
        <w:t> </w:t>
      </w:r>
      <w:r>
        <w:rPr>
          <w:color w:val="231F20"/>
          <w:w w:val="105"/>
        </w:rPr>
        <w:t>1.</w:t>
      </w:r>
      <w:r>
        <w:rPr>
          <w:color w:val="231F20"/>
          <w:spacing w:val="-13"/>
          <w:w w:val="105"/>
        </w:rPr>
        <w:t> </w:t>
      </w:r>
      <w:r>
        <w:rPr>
          <w:color w:val="231F20"/>
          <w:w w:val="105"/>
        </w:rPr>
        <w:t>De</w:t>
      </w:r>
      <w:r>
        <w:rPr>
          <w:color w:val="231F20"/>
          <w:spacing w:val="-14"/>
          <w:w w:val="105"/>
        </w:rPr>
        <w:t> </w:t>
      </w:r>
      <w:r>
        <w:rPr>
          <w:color w:val="231F20"/>
          <w:w w:val="105"/>
        </w:rPr>
        <w:t>raad</w:t>
      </w:r>
      <w:r>
        <w:rPr>
          <w:color w:val="231F20"/>
          <w:spacing w:val="-13"/>
          <w:w w:val="105"/>
        </w:rPr>
        <w:t> </w:t>
      </w:r>
      <w:r>
        <w:rPr>
          <w:color w:val="231F20"/>
          <w:w w:val="105"/>
        </w:rPr>
        <w:t>van</w:t>
      </w:r>
      <w:r>
        <w:rPr>
          <w:color w:val="231F20"/>
          <w:spacing w:val="-13"/>
          <w:w w:val="105"/>
        </w:rPr>
        <w:t> </w:t>
      </w:r>
      <w:r>
        <w:rPr>
          <w:color w:val="231F20"/>
          <w:w w:val="105"/>
        </w:rPr>
        <w:t>bestuur</w:t>
      </w:r>
      <w:r>
        <w:rPr>
          <w:color w:val="231F20"/>
          <w:spacing w:val="-13"/>
          <w:w w:val="105"/>
        </w:rPr>
        <w:t> </w:t>
      </w:r>
      <w:r>
        <w:rPr>
          <w:color w:val="231F20"/>
          <w:w w:val="105"/>
        </w:rPr>
        <w:t>is</w:t>
      </w:r>
      <w:r>
        <w:rPr>
          <w:color w:val="231F20"/>
          <w:spacing w:val="-14"/>
          <w:w w:val="105"/>
        </w:rPr>
        <w:t> </w:t>
      </w:r>
      <w:r>
        <w:rPr>
          <w:color w:val="231F20"/>
          <w:w w:val="105"/>
        </w:rPr>
        <w:t>bevoegd</w:t>
      </w:r>
      <w:r>
        <w:rPr>
          <w:color w:val="231F20"/>
          <w:spacing w:val="-13"/>
          <w:w w:val="105"/>
        </w:rPr>
        <w:t> </w:t>
      </w:r>
      <w:r>
        <w:rPr>
          <w:color w:val="231F20"/>
          <w:w w:val="105"/>
        </w:rPr>
        <w:t>om</w:t>
      </w:r>
      <w:r>
        <w:rPr>
          <w:color w:val="231F20"/>
          <w:spacing w:val="-13"/>
          <w:w w:val="105"/>
        </w:rPr>
        <w:t> </w:t>
      </w:r>
      <w:r>
        <w:rPr>
          <w:color w:val="231F20"/>
          <w:w w:val="105"/>
        </w:rPr>
        <w:t>alle</w:t>
      </w:r>
      <w:r>
        <w:rPr>
          <w:color w:val="231F20"/>
          <w:spacing w:val="-13"/>
          <w:w w:val="105"/>
        </w:rPr>
        <w:t> </w:t>
      </w:r>
      <w:r>
        <w:rPr>
          <w:color w:val="231F20"/>
          <w:w w:val="105"/>
        </w:rPr>
        <w:t>handelingen</w:t>
      </w:r>
      <w:r>
        <w:rPr>
          <w:color w:val="231F20"/>
          <w:spacing w:val="-14"/>
          <w:w w:val="105"/>
        </w:rPr>
        <w:t> </w:t>
      </w:r>
      <w:r>
        <w:rPr>
          <w:color w:val="231F20"/>
          <w:w w:val="105"/>
        </w:rPr>
        <w:t>te verrichten die nodig of dienstig zijn tot verwezenlijking van het voorwerp van de vennootschap, behoudens die waarvoor volgens de wet de algemene vergadering bevoegd</w:t>
      </w:r>
      <w:r>
        <w:rPr>
          <w:color w:val="231F20"/>
          <w:spacing w:val="13"/>
          <w:w w:val="105"/>
        </w:rPr>
        <w:t> </w:t>
      </w:r>
      <w:r>
        <w:rPr>
          <w:color w:val="231F20"/>
          <w:w w:val="105"/>
        </w:rPr>
        <w:t>is.</w:t>
      </w:r>
    </w:p>
    <w:p>
      <w:pPr>
        <w:pStyle w:val="BodyText"/>
        <w:spacing w:line="218" w:lineRule="auto" w:before="128"/>
      </w:pPr>
      <w:r>
        <w:rPr>
          <w:color w:val="231F20"/>
        </w:rPr>
        <w:t>De statuten kunnen de bevoegdheden van de raad van bestuur beperken. Zodanige beperking kan niet aan derden worden tegenge- worpen, ook al is ze openbaar gemaakt. Hetzelfde geldt voor een onderlinge taakverdeling onder de bestuurders.</w:t>
      </w:r>
    </w:p>
    <w:p>
      <w:pPr>
        <w:pStyle w:val="BodyText"/>
        <w:spacing w:line="218" w:lineRule="auto" w:before="128"/>
        <w:ind w:right="123"/>
      </w:pPr>
      <w:r>
        <w:rPr>
          <w:color w:val="231F20"/>
        </w:rPr>
        <w:t>§ 2. De raad van bestuur vertegenwoordigt de vennootschap jegens derden, met inbegrip van de vertegenwoordiging in rechte. Onvermin- derd artikel 7:85, § 1, eerste lid, kunnen de statuten aan een of meer bestuurders de bevoegdheid verlenen om de vennootschap alleen of gezamenlijk te vertegenwoordigen. Zodanige vertegenwoordigingsclau- sule kan aan derden worden tegengeworpen onder de voorwaarden bepaald in artikel 2:18.</w:t>
      </w:r>
    </w:p>
    <w:p>
      <w:pPr>
        <w:pStyle w:val="BodyText"/>
        <w:spacing w:line="218" w:lineRule="auto" w:before="129"/>
      </w:pPr>
      <w:r>
        <w:rPr>
          <w:color w:val="231F20"/>
        </w:rPr>
        <w:t>De statuten kunnen aan deze vertegenwoordigingsbevoegdheid beperkingen aanbrengen. Zodanige beperking kan niet aan derden worden tegengeworpen, ook al is ze openbaar gemaakt. Hetzelfde geldt voor een onderlinge taakverdeling onder de vertegenwoordigingsbe- voegde bestuurders.</w:t>
      </w:r>
    </w:p>
    <w:p>
      <w:pPr>
        <w:pStyle w:val="BodyText"/>
        <w:spacing w:line="218" w:lineRule="auto" w:before="128"/>
      </w:pPr>
      <w:r>
        <w:rPr>
          <w:color w:val="231F20"/>
        </w:rPr>
        <w:t>Art. 7:94. De vennootschap is verbonden door de handelingen van de raad van bestuur, van de bestuurders en van de personen aan wie het dagelijks bestuur is opgedragen die overeenkomstig artikel 7:93, § 2, de bevoegdheid hebben om haar te vertegenwoordigen, zelfs indien die handelingen buiten haar voorwerp liggen, tenzij de vennootschap bewijst dat de derde daarvan op de hoogte was of er, gezien de omstandigheden, niet onkundig van kon zijn; bekendmaking van de statuten alleen is echter geen voldoende bewijs.</w:t>
      </w:r>
    </w:p>
    <w:p>
      <w:pPr>
        <w:pStyle w:val="BodyText"/>
        <w:spacing w:line="218" w:lineRule="auto" w:before="129"/>
      </w:pPr>
      <w:r>
        <w:rPr>
          <w:color w:val="231F20"/>
          <w:w w:val="105"/>
        </w:rPr>
        <w:t>Art.</w:t>
      </w:r>
      <w:r>
        <w:rPr>
          <w:color w:val="231F20"/>
          <w:spacing w:val="-11"/>
          <w:w w:val="105"/>
        </w:rPr>
        <w:t> </w:t>
      </w:r>
      <w:r>
        <w:rPr>
          <w:color w:val="231F20"/>
          <w:w w:val="105"/>
        </w:rPr>
        <w:t>7:95.</w:t>
      </w:r>
      <w:r>
        <w:rPr>
          <w:color w:val="231F20"/>
          <w:spacing w:val="-10"/>
          <w:w w:val="105"/>
        </w:rPr>
        <w:t> </w:t>
      </w:r>
      <w:r>
        <w:rPr>
          <w:color w:val="231F20"/>
          <w:w w:val="105"/>
        </w:rPr>
        <w:t>De</w:t>
      </w:r>
      <w:r>
        <w:rPr>
          <w:color w:val="231F20"/>
          <w:spacing w:val="-11"/>
          <w:w w:val="105"/>
        </w:rPr>
        <w:t> </w:t>
      </w:r>
      <w:r>
        <w:rPr>
          <w:color w:val="231F20"/>
          <w:w w:val="105"/>
        </w:rPr>
        <w:t>notulen</w:t>
      </w:r>
      <w:r>
        <w:rPr>
          <w:color w:val="231F20"/>
          <w:spacing w:val="-10"/>
          <w:w w:val="105"/>
        </w:rPr>
        <w:t> </w:t>
      </w:r>
      <w:r>
        <w:rPr>
          <w:color w:val="231F20"/>
          <w:w w:val="105"/>
        </w:rPr>
        <w:t>van</w:t>
      </w:r>
      <w:r>
        <w:rPr>
          <w:color w:val="231F20"/>
          <w:spacing w:val="-11"/>
          <w:w w:val="105"/>
        </w:rPr>
        <w:t> </w:t>
      </w:r>
      <w:r>
        <w:rPr>
          <w:color w:val="231F20"/>
          <w:w w:val="105"/>
        </w:rPr>
        <w:t>de</w:t>
      </w:r>
      <w:r>
        <w:rPr>
          <w:color w:val="231F20"/>
          <w:spacing w:val="-10"/>
          <w:w w:val="105"/>
        </w:rPr>
        <w:t> </w:t>
      </w:r>
      <w:r>
        <w:rPr>
          <w:color w:val="231F20"/>
          <w:w w:val="105"/>
        </w:rPr>
        <w:t>vergaderingen</w:t>
      </w:r>
      <w:r>
        <w:rPr>
          <w:color w:val="231F20"/>
          <w:spacing w:val="-11"/>
          <w:w w:val="105"/>
        </w:rPr>
        <w:t> </w:t>
      </w:r>
      <w:r>
        <w:rPr>
          <w:color w:val="231F20"/>
          <w:w w:val="105"/>
        </w:rPr>
        <w:t>van</w:t>
      </w:r>
      <w:r>
        <w:rPr>
          <w:color w:val="231F20"/>
          <w:spacing w:val="-10"/>
          <w:w w:val="105"/>
        </w:rPr>
        <w:t> </w:t>
      </w:r>
      <w:r>
        <w:rPr>
          <w:color w:val="231F20"/>
          <w:w w:val="105"/>
        </w:rPr>
        <w:t>de</w:t>
      </w:r>
      <w:r>
        <w:rPr>
          <w:color w:val="231F20"/>
          <w:spacing w:val="-11"/>
          <w:w w:val="105"/>
        </w:rPr>
        <w:t> </w:t>
      </w:r>
      <w:r>
        <w:rPr>
          <w:color w:val="231F20"/>
          <w:w w:val="105"/>
        </w:rPr>
        <w:t>raad</w:t>
      </w:r>
      <w:r>
        <w:rPr>
          <w:color w:val="231F20"/>
          <w:spacing w:val="-10"/>
          <w:w w:val="105"/>
        </w:rPr>
        <w:t> </w:t>
      </w:r>
      <w:r>
        <w:rPr>
          <w:color w:val="231F20"/>
          <w:w w:val="105"/>
        </w:rPr>
        <w:t>van</w:t>
      </w:r>
      <w:r>
        <w:rPr>
          <w:color w:val="231F20"/>
          <w:spacing w:val="-11"/>
          <w:w w:val="105"/>
        </w:rPr>
        <w:t> </w:t>
      </w:r>
      <w:r>
        <w:rPr>
          <w:color w:val="231F20"/>
          <w:w w:val="105"/>
        </w:rPr>
        <w:t>bestuur worden ondertekend door de voorzitter en de bestuurders die erom verzoeken;</w:t>
      </w:r>
      <w:r>
        <w:rPr>
          <w:color w:val="231F20"/>
          <w:spacing w:val="-23"/>
          <w:w w:val="105"/>
        </w:rPr>
        <w:t> </w:t>
      </w:r>
      <w:r>
        <w:rPr>
          <w:color w:val="231F20"/>
          <w:w w:val="105"/>
        </w:rPr>
        <w:t>kopieën</w:t>
      </w:r>
      <w:r>
        <w:rPr>
          <w:color w:val="231F20"/>
          <w:spacing w:val="-23"/>
          <w:w w:val="105"/>
        </w:rPr>
        <w:t> </w:t>
      </w:r>
      <w:r>
        <w:rPr>
          <w:color w:val="231F20"/>
          <w:w w:val="105"/>
        </w:rPr>
        <w:t>voor</w:t>
      </w:r>
      <w:r>
        <w:rPr>
          <w:color w:val="231F20"/>
          <w:spacing w:val="-22"/>
          <w:w w:val="105"/>
        </w:rPr>
        <w:t> </w:t>
      </w:r>
      <w:r>
        <w:rPr>
          <w:color w:val="231F20"/>
          <w:w w:val="105"/>
        </w:rPr>
        <w:t>derden</w:t>
      </w:r>
      <w:r>
        <w:rPr>
          <w:color w:val="231F20"/>
          <w:spacing w:val="-23"/>
          <w:w w:val="105"/>
        </w:rPr>
        <w:t> </w:t>
      </w:r>
      <w:r>
        <w:rPr>
          <w:color w:val="231F20"/>
          <w:w w:val="105"/>
        </w:rPr>
        <w:t>worden</w:t>
      </w:r>
      <w:r>
        <w:rPr>
          <w:color w:val="231F20"/>
          <w:spacing w:val="-22"/>
          <w:w w:val="105"/>
        </w:rPr>
        <w:t> </w:t>
      </w:r>
      <w:r>
        <w:rPr>
          <w:color w:val="231F20"/>
          <w:w w:val="105"/>
        </w:rPr>
        <w:t>ondertekend</w:t>
      </w:r>
      <w:r>
        <w:rPr>
          <w:color w:val="231F20"/>
          <w:spacing w:val="-23"/>
          <w:w w:val="105"/>
        </w:rPr>
        <w:t> </w:t>
      </w:r>
      <w:r>
        <w:rPr>
          <w:color w:val="231F20"/>
          <w:w w:val="105"/>
        </w:rPr>
        <w:t>door</w:t>
      </w:r>
      <w:r>
        <w:rPr>
          <w:color w:val="231F20"/>
          <w:spacing w:val="-22"/>
          <w:w w:val="105"/>
        </w:rPr>
        <w:t> </w:t>
      </w:r>
      <w:r>
        <w:rPr>
          <w:color w:val="231F20"/>
          <w:w w:val="105"/>
        </w:rPr>
        <w:t>één</w:t>
      </w:r>
      <w:r>
        <w:rPr>
          <w:color w:val="231F20"/>
          <w:spacing w:val="-23"/>
          <w:w w:val="105"/>
        </w:rPr>
        <w:t> </w:t>
      </w:r>
      <w:r>
        <w:rPr>
          <w:color w:val="231F20"/>
          <w:w w:val="105"/>
        </w:rPr>
        <w:t>of</w:t>
      </w:r>
      <w:r>
        <w:rPr>
          <w:color w:val="231F20"/>
          <w:spacing w:val="-22"/>
          <w:w w:val="105"/>
        </w:rPr>
        <w:t> </w:t>
      </w:r>
      <w:r>
        <w:rPr>
          <w:color w:val="231F20"/>
          <w:w w:val="105"/>
        </w:rPr>
        <w:t>meer bestuurders met</w:t>
      </w:r>
      <w:r>
        <w:rPr>
          <w:color w:val="231F20"/>
          <w:spacing w:val="17"/>
          <w:w w:val="105"/>
        </w:rPr>
        <w:t> </w:t>
      </w:r>
      <w:r>
        <w:rPr>
          <w:color w:val="231F20"/>
          <w:w w:val="105"/>
        </w:rPr>
        <w:t>vertegenwoordigingsbevoegdheid.</w:t>
      </w:r>
    </w:p>
    <w:p>
      <w:pPr>
        <w:pStyle w:val="BodyText"/>
        <w:spacing w:line="218" w:lineRule="auto" w:before="128"/>
      </w:pPr>
      <w:r>
        <w:rPr>
          <w:color w:val="231F20"/>
        </w:rPr>
        <w:t>De besluiten van de raad van bestuur kunnen bij eenparig schriftelijk besluit van alle bestuurders worden genomen, met uitzondering van de besluiten waarvoor de statuten deze mogelijkheid uitsluiten.</w:t>
      </w:r>
    </w:p>
    <w:p>
      <w:pPr>
        <w:pStyle w:val="BodyText"/>
        <w:spacing w:before="8"/>
        <w:ind w:left="0" w:right="0" w:firstLine="0"/>
        <w:jc w:val="left"/>
        <w:rPr>
          <w:sz w:val="26"/>
        </w:rPr>
      </w:pPr>
    </w:p>
    <w:p>
      <w:pPr>
        <w:pStyle w:val="BodyText"/>
        <w:spacing w:line="218" w:lineRule="auto" w:before="1"/>
      </w:pPr>
      <w:r>
        <w:rPr>
          <w:color w:val="231F20"/>
        </w:rPr>
        <w:t>Art. 7:96. § 1. </w:t>
      </w:r>
      <w:r>
        <w:rPr>
          <w:color w:val="231F20"/>
          <w:spacing w:val="-3"/>
        </w:rPr>
        <w:t>Wanneer </w:t>
      </w:r>
      <w:r>
        <w:rPr>
          <w:color w:val="231F20"/>
        </w:rPr>
        <w:t>een bestuurder een rechtstreeks of onrecht- streeks belang van vermogensrechtelijke aard heeft dat strijdig is met het belang van de vennootschap naar aanleiding van een beslissing of een verrichting die tot de bevoegdheid behoort van de raad van  bestuur, moet de betrokken bestuurder dit mededelen aan de andere bestuurders vóór de raad van bestuur een besluit neemt. Zijn verkla- ring en toelichting over de aard van dit strijdig belang worden opgenomen in de notulen van de vergadering van de raad van bestuur die de beslissing moet nemen. De raad van bestuur mag deze beslissing niet</w:t>
      </w:r>
      <w:r>
        <w:rPr>
          <w:color w:val="231F20"/>
          <w:spacing w:val="14"/>
        </w:rPr>
        <w:t> </w:t>
      </w:r>
      <w:r>
        <w:rPr>
          <w:color w:val="231F20"/>
        </w:rPr>
        <w:t>delegeren.</w:t>
      </w:r>
    </w:p>
    <w:p>
      <w:pPr>
        <w:pStyle w:val="BodyText"/>
        <w:spacing w:line="218" w:lineRule="auto" w:before="128"/>
      </w:pPr>
      <w:r>
        <w:rPr>
          <w:color w:val="231F20"/>
        </w:rPr>
        <w:t>De raad van bestuur omschrijft in de notulen de aard van de in het eerste lid bedoelde beslissing of verrichting en de vermogensrechtelijke gevolgen ervan voor de vennootschap en verantwoordt het genomen besluit. Dit deel van de notulen wordt in zijn geheel opgenomen in het jaarverslag of in een stuk dat samen met de jaarrekening wordt neergelegd.</w:t>
      </w:r>
    </w:p>
    <w:p>
      <w:pPr>
        <w:pStyle w:val="BodyText"/>
        <w:spacing w:line="218" w:lineRule="auto" w:before="129"/>
        <w:ind w:right="123"/>
      </w:pPr>
      <w:r>
        <w:rPr>
          <w:color w:val="231F20"/>
        </w:rPr>
        <w:t>Ingeval de vennootschap een commissaris heeft benoemd, worden de notulen van de vergadering  aan  hem  meegedeeld.  In  zijn  in  arti-  kel 3:74 bedoelde verslag beoordeelt de commissaris, in een afzonder- lijke sectie, de vermogensrechtelijke gevolgen voor de</w:t>
      </w:r>
      <w:r>
        <w:rPr>
          <w:color w:val="231F20"/>
          <w:spacing w:val="33"/>
        </w:rPr>
        <w:t> </w:t>
      </w:r>
      <w:r>
        <w:rPr>
          <w:color w:val="231F20"/>
        </w:rPr>
        <w:t>vennootschap van de besluiten van de raad van bestuur, zoals door hem omschreven, waarvoor</w:t>
      </w:r>
      <w:r>
        <w:rPr>
          <w:color w:val="231F20"/>
          <w:spacing w:val="16"/>
        </w:rPr>
        <w:t> </w:t>
      </w:r>
      <w:r>
        <w:rPr>
          <w:color w:val="231F20"/>
        </w:rPr>
        <w:t>een</w:t>
      </w:r>
      <w:r>
        <w:rPr>
          <w:color w:val="231F20"/>
          <w:spacing w:val="16"/>
        </w:rPr>
        <w:t> </w:t>
      </w:r>
      <w:r>
        <w:rPr>
          <w:color w:val="231F20"/>
        </w:rPr>
        <w:t>strijdig</w:t>
      </w:r>
      <w:r>
        <w:rPr>
          <w:color w:val="231F20"/>
          <w:spacing w:val="17"/>
        </w:rPr>
        <w:t> </w:t>
      </w:r>
      <w:r>
        <w:rPr>
          <w:color w:val="231F20"/>
        </w:rPr>
        <w:t>belang</w:t>
      </w:r>
      <w:r>
        <w:rPr>
          <w:color w:val="231F20"/>
          <w:spacing w:val="16"/>
        </w:rPr>
        <w:t> </w:t>
      </w:r>
      <w:r>
        <w:rPr>
          <w:color w:val="231F20"/>
        </w:rPr>
        <w:t>als</w:t>
      </w:r>
      <w:r>
        <w:rPr>
          <w:color w:val="231F20"/>
          <w:spacing w:val="17"/>
        </w:rPr>
        <w:t> </w:t>
      </w:r>
      <w:r>
        <w:rPr>
          <w:color w:val="231F20"/>
        </w:rPr>
        <w:t>bedoeld</w:t>
      </w:r>
      <w:r>
        <w:rPr>
          <w:color w:val="231F20"/>
          <w:spacing w:val="16"/>
        </w:rPr>
        <w:t> </w:t>
      </w:r>
      <w:r>
        <w:rPr>
          <w:color w:val="231F20"/>
        </w:rPr>
        <w:t>in</w:t>
      </w:r>
      <w:r>
        <w:rPr>
          <w:color w:val="231F20"/>
          <w:spacing w:val="17"/>
        </w:rPr>
        <w:t> </w:t>
      </w:r>
      <w:r>
        <w:rPr>
          <w:color w:val="231F20"/>
        </w:rPr>
        <w:t>het</w:t>
      </w:r>
      <w:r>
        <w:rPr>
          <w:color w:val="231F20"/>
          <w:spacing w:val="16"/>
        </w:rPr>
        <w:t> </w:t>
      </w:r>
      <w:r>
        <w:rPr>
          <w:color w:val="231F20"/>
        </w:rPr>
        <w:t>eerste</w:t>
      </w:r>
      <w:r>
        <w:rPr>
          <w:color w:val="231F20"/>
          <w:spacing w:val="16"/>
        </w:rPr>
        <w:t> </w:t>
      </w:r>
      <w:r>
        <w:rPr>
          <w:color w:val="231F20"/>
        </w:rPr>
        <w:t>lid</w:t>
      </w:r>
      <w:r>
        <w:rPr>
          <w:color w:val="231F20"/>
          <w:spacing w:val="17"/>
        </w:rPr>
        <w:t> </w:t>
      </w:r>
      <w:r>
        <w:rPr>
          <w:color w:val="231F20"/>
        </w:rPr>
        <w:t>bestaat.</w:t>
      </w:r>
    </w:p>
    <w:p>
      <w:pPr>
        <w:pStyle w:val="BodyText"/>
        <w:spacing w:line="218" w:lineRule="auto" w:before="128"/>
      </w:pPr>
      <w:r>
        <w:rPr>
          <w:color w:val="231F20"/>
        </w:rPr>
        <w:t>De bestuurder met een belangenconflict als bedoeld in het eerste lid mag niet deelnemen aan de beraadslagingen van de raad van bestuur over deze verrichtingen of beslissingen, noch aan de stemming in dat verband. Wanneer alle bestuurders een belangenconflict hebben, wordt de beslissing of de verrichting aan de algemene vergadering voorge- legd; ingeval de algemene vergadering de beslissing of de verrichting goedkeurt, kan het bestuursorgaan ze uitvoeren.</w:t>
      </w:r>
    </w:p>
    <w:p>
      <w:pPr>
        <w:spacing w:after="0" w:line="218" w:lineRule="auto"/>
        <w:sectPr>
          <w:pgSz w:w="11940" w:h="16880"/>
          <w:pgMar w:header="666" w:footer="0" w:top="1140" w:bottom="280" w:left="340" w:right="360"/>
          <w:cols w:num="2" w:equalWidth="0">
            <w:col w:w="5576" w:space="51"/>
            <w:col w:w="5613"/>
          </w:cols>
        </w:sectPr>
      </w:pPr>
    </w:p>
    <w:p>
      <w:pPr>
        <w:pStyle w:val="BodyText"/>
        <w:spacing w:line="218" w:lineRule="auto" w:before="120"/>
        <w:ind w:right="38"/>
      </w:pPr>
      <w:r>
        <w:rPr/>
        <w:pict>
          <v:line style="position:absolute;mso-position-horizontal-relative:page;mso-position-vertical-relative:page;z-index:5008" from="298.170502pt,64.473pt" to="298.170502pt,812.819pt" stroked="true" strokeweight=".533pt" strokecolor="#231f20">
            <v:stroke dashstyle="solid"/>
            <w10:wrap type="none"/>
          </v:line>
        </w:pict>
      </w:r>
      <w:bookmarkStart w:name="_bookmark166" w:id="171"/>
      <w:bookmarkEnd w:id="171"/>
      <w:r>
        <w:rPr/>
      </w: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 société peut demander la nullité des décisions prises ou des opérations accomplies en violation du présent article, si l’autre partie à ces décisions ou opérations avait ou devait</w:t>
      </w:r>
      <w:r>
        <w:rPr>
          <w:color w:val="231F20"/>
          <w:spacing w:val="15"/>
        </w:rPr>
        <w:t> </w:t>
      </w:r>
      <w:r>
        <w:rPr>
          <w:color w:val="231F20"/>
        </w:rPr>
        <w:t>avoir</w:t>
      </w:r>
      <w:r>
        <w:rPr>
          <w:color w:val="231F20"/>
          <w:spacing w:val="16"/>
        </w:rPr>
        <w:t> </w:t>
      </w:r>
      <w:r>
        <w:rPr>
          <w:color w:val="231F20"/>
        </w:rPr>
        <w:t>connaissance</w:t>
      </w:r>
      <w:r>
        <w:rPr>
          <w:color w:val="231F20"/>
          <w:spacing w:val="15"/>
        </w:rPr>
        <w:t> </w:t>
      </w:r>
      <w:r>
        <w:rPr>
          <w:color w:val="231F20"/>
        </w:rPr>
        <w:t>de</w:t>
      </w:r>
      <w:r>
        <w:rPr>
          <w:color w:val="231F20"/>
          <w:spacing w:val="16"/>
        </w:rPr>
        <w:t> </w:t>
      </w:r>
      <w:r>
        <w:rPr>
          <w:color w:val="231F20"/>
        </w:rPr>
        <w:t>cette</w:t>
      </w:r>
      <w:r>
        <w:rPr>
          <w:color w:val="231F20"/>
          <w:spacing w:val="15"/>
        </w:rPr>
        <w:t> </w:t>
      </w:r>
      <w:r>
        <w:rPr>
          <w:color w:val="231F20"/>
        </w:rPr>
        <w:t>violation.</w:t>
      </w:r>
    </w:p>
    <w:p>
      <w:pPr>
        <w:pStyle w:val="BodyText"/>
        <w:spacing w:before="8"/>
        <w:ind w:left="0" w:right="0" w:firstLine="0"/>
        <w:jc w:val="left"/>
        <w:rPr>
          <w:sz w:val="21"/>
        </w:rPr>
      </w:pPr>
    </w:p>
    <w:p>
      <w:pPr>
        <w:pStyle w:val="BodyText"/>
        <w:spacing w:line="218" w:lineRule="auto"/>
        <w:ind w:right="38"/>
      </w:pPr>
      <w:r>
        <w:rPr>
          <w:color w:val="231F20"/>
        </w:rPr>
        <w:t>§ 3. Le paragraphe 1</w:t>
      </w:r>
      <w:r>
        <w:rPr>
          <w:color w:val="231F20"/>
          <w:position w:val="7"/>
          <w:sz w:val="11"/>
        </w:rPr>
        <w:t>er </w:t>
      </w:r>
      <w:r>
        <w:rPr>
          <w:color w:val="231F20"/>
        </w:rPr>
        <w:t>n’est pas applicable lorsque les décisions ou les opérations relevant du conseil d’administration concernent des déci- sions ou des opérations conclues entre sociétés dont l’une détient directement ou indirectement 95 % au moins des voix attachées à l’ensemble des titres émis par l’autre ou entre sociétés dont 95 % au moins des voix attachées à l’ensemble des titres émis par chacune d’elles</w:t>
      </w:r>
      <w:r>
        <w:rPr>
          <w:color w:val="231F20"/>
          <w:spacing w:val="15"/>
        </w:rPr>
        <w:t> </w:t>
      </w:r>
      <w:r>
        <w:rPr>
          <w:color w:val="231F20"/>
        </w:rPr>
        <w:t>sont</w:t>
      </w:r>
      <w:r>
        <w:rPr>
          <w:color w:val="231F20"/>
          <w:spacing w:val="15"/>
        </w:rPr>
        <w:t> </w:t>
      </w:r>
      <w:r>
        <w:rPr>
          <w:color w:val="231F20"/>
        </w:rPr>
        <w:t>détenus</w:t>
      </w:r>
      <w:r>
        <w:rPr>
          <w:color w:val="231F20"/>
          <w:spacing w:val="15"/>
        </w:rPr>
        <w:t> </w:t>
      </w:r>
      <w:r>
        <w:rPr>
          <w:color w:val="231F20"/>
        </w:rPr>
        <w:t>par</w:t>
      </w:r>
      <w:r>
        <w:rPr>
          <w:color w:val="231F20"/>
          <w:spacing w:val="15"/>
        </w:rPr>
        <w:t> </w:t>
      </w:r>
      <w:r>
        <w:rPr>
          <w:color w:val="231F20"/>
        </w:rPr>
        <w:t>une</w:t>
      </w:r>
      <w:r>
        <w:rPr>
          <w:color w:val="231F20"/>
          <w:spacing w:val="15"/>
        </w:rPr>
        <w:t> </w:t>
      </w:r>
      <w:r>
        <w:rPr>
          <w:color w:val="231F20"/>
        </w:rPr>
        <w:t>autre</w:t>
      </w:r>
      <w:r>
        <w:rPr>
          <w:color w:val="231F20"/>
          <w:spacing w:val="15"/>
        </w:rPr>
        <w:t> </w:t>
      </w:r>
      <w:r>
        <w:rPr>
          <w:color w:val="231F20"/>
        </w:rPr>
        <w:t>société.</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rPr>
        <w:t>De même, le paragraphe 1</w:t>
      </w:r>
      <w:r>
        <w:rPr>
          <w:color w:val="231F20"/>
          <w:position w:val="7"/>
          <w:sz w:val="11"/>
        </w:rPr>
        <w:t>er </w:t>
      </w:r>
      <w:r>
        <w:rPr>
          <w:color w:val="231F20"/>
        </w:rPr>
        <w:t>ne s’applique pas lorsque les décisions  du conseil d’administration concernent des opérations habituelles conclues dans des conditions et sous les garanties normales du marché pour</w:t>
      </w:r>
      <w:r>
        <w:rPr>
          <w:color w:val="231F20"/>
          <w:spacing w:val="15"/>
        </w:rPr>
        <w:t> </w:t>
      </w:r>
      <w:r>
        <w:rPr>
          <w:color w:val="231F20"/>
        </w:rPr>
        <w:t>des</w:t>
      </w:r>
      <w:r>
        <w:rPr>
          <w:color w:val="231F20"/>
          <w:spacing w:val="15"/>
        </w:rPr>
        <w:t> </w:t>
      </w:r>
      <w:r>
        <w:rPr>
          <w:color w:val="231F20"/>
        </w:rPr>
        <w:t>opérations</w:t>
      </w:r>
      <w:r>
        <w:rPr>
          <w:color w:val="231F20"/>
          <w:spacing w:val="15"/>
        </w:rPr>
        <w:t> </w:t>
      </w:r>
      <w:r>
        <w:rPr>
          <w:color w:val="231F20"/>
        </w:rPr>
        <w:t>de</w:t>
      </w:r>
      <w:r>
        <w:rPr>
          <w:color w:val="231F20"/>
          <w:spacing w:val="15"/>
        </w:rPr>
        <w:t> </w:t>
      </w:r>
      <w:r>
        <w:rPr>
          <w:color w:val="231F20"/>
        </w:rPr>
        <w:t>même</w:t>
      </w:r>
      <w:r>
        <w:rPr>
          <w:color w:val="231F20"/>
          <w:spacing w:val="15"/>
        </w:rPr>
        <w:t> </w:t>
      </w:r>
      <w:r>
        <w:rPr>
          <w:color w:val="231F20"/>
        </w:rPr>
        <w:t>nature.</w:t>
      </w:r>
    </w:p>
    <w:p>
      <w:pPr>
        <w:pStyle w:val="BodyText"/>
        <w:spacing w:before="7"/>
        <w:ind w:left="0" w:right="0" w:firstLine="0"/>
        <w:jc w:val="left"/>
        <w:rPr>
          <w:sz w:val="21"/>
        </w:rPr>
      </w:pPr>
    </w:p>
    <w:p>
      <w:pPr>
        <w:pStyle w:val="BodyText"/>
        <w:spacing w:line="218" w:lineRule="auto" w:before="1"/>
        <w:ind w:right="38"/>
      </w:pPr>
      <w:r>
        <w:rPr>
          <w:color w:val="231F20"/>
        </w:rPr>
        <w:t>Art. 7:97. § 1</w:t>
      </w:r>
      <w:r>
        <w:rPr>
          <w:color w:val="231F20"/>
          <w:position w:val="7"/>
          <w:sz w:val="11"/>
        </w:rPr>
        <w:t>er</w:t>
      </w:r>
      <w:r>
        <w:rPr>
          <w:color w:val="231F20"/>
        </w:rPr>
        <w:t>. Pour toute décision ou opération en exécution d’une décision relevant du conseil d’administration d’une société cotée et concernant une personne physique ou une personne morale liée à cette société cotée, mais qui n’est pas une des filiales de celle-ci, le conseil d’administration applique la procédure qui est établie aux paragra- </w:t>
      </w:r>
      <w:r>
        <w:rPr>
          <w:color w:val="231F20"/>
          <w:spacing w:val="3"/>
        </w:rPr>
        <w:t>phes </w:t>
      </w:r>
      <w:r>
        <w:rPr>
          <w:color w:val="231F20"/>
        </w:rPr>
        <w:t>3 et</w:t>
      </w:r>
      <w:r>
        <w:rPr>
          <w:color w:val="231F20"/>
          <w:spacing w:val="-15"/>
        </w:rPr>
        <w:t> </w:t>
      </w:r>
      <w:r>
        <w:rPr>
          <w:color w:val="231F20"/>
        </w:rPr>
        <w:t>4.</w:t>
      </w:r>
    </w:p>
    <w:p>
      <w:pPr>
        <w:pStyle w:val="BodyText"/>
        <w:spacing w:before="1"/>
        <w:ind w:left="0" w:right="0" w:firstLine="0"/>
        <w:jc w:val="left"/>
        <w:rPr>
          <w:sz w:val="23"/>
        </w:rPr>
      </w:pPr>
    </w:p>
    <w:p>
      <w:pPr>
        <w:pStyle w:val="BodyText"/>
        <w:spacing w:line="216" w:lineRule="auto"/>
        <w:ind w:right="38"/>
      </w:pPr>
      <w:r>
        <w:rPr>
          <w:color w:val="231F20"/>
        </w:rPr>
        <w:t>Sont toutefois également soumises à la procédure établie par les paragraphes 3 et 4 les décisions ou opérations visées à l’alinéa 1</w:t>
      </w:r>
      <w:r>
        <w:rPr>
          <w:color w:val="231F20"/>
          <w:position w:val="7"/>
          <w:sz w:val="11"/>
        </w:rPr>
        <w:t>er </w:t>
      </w:r>
      <w:r>
        <w:rPr>
          <w:color w:val="231F20"/>
        </w:rPr>
        <w:t>qui concernent une ou plusieurs filiales de la société cotée dans lesquelles la personne physique ou morale qui détient le contrôle direct ou indirect de la société cotée, détient directement ou indirectement, au travers d’autres personnes physiques ou morales que la société cotée, une participation représentant au moins 25 % du capital de la filiale concernée ou lui donnant droit, en cas de distribution de bénéfices par cette</w:t>
      </w:r>
      <w:r>
        <w:rPr>
          <w:color w:val="231F20"/>
          <w:spacing w:val="14"/>
        </w:rPr>
        <w:t> </w:t>
      </w:r>
      <w:r>
        <w:rPr>
          <w:color w:val="231F20"/>
        </w:rPr>
        <w:t>filiale,</w:t>
      </w:r>
      <w:r>
        <w:rPr>
          <w:color w:val="231F20"/>
          <w:spacing w:val="14"/>
        </w:rPr>
        <w:t> </w:t>
      </w:r>
      <w:r>
        <w:rPr>
          <w:color w:val="231F20"/>
        </w:rPr>
        <w:t>à</w:t>
      </w:r>
      <w:r>
        <w:rPr>
          <w:color w:val="231F20"/>
          <w:spacing w:val="15"/>
        </w:rPr>
        <w:t> </w:t>
      </w:r>
      <w:r>
        <w:rPr>
          <w:color w:val="231F20"/>
        </w:rPr>
        <w:t>au</w:t>
      </w:r>
      <w:r>
        <w:rPr>
          <w:color w:val="231F20"/>
          <w:spacing w:val="14"/>
        </w:rPr>
        <w:t> </w:t>
      </w:r>
      <w:r>
        <w:rPr>
          <w:color w:val="231F20"/>
        </w:rPr>
        <w:t>moins</w:t>
      </w:r>
      <w:r>
        <w:rPr>
          <w:color w:val="231F20"/>
          <w:spacing w:val="14"/>
        </w:rPr>
        <w:t> </w:t>
      </w:r>
      <w:r>
        <w:rPr>
          <w:color w:val="231F20"/>
        </w:rPr>
        <w:t>25</w:t>
      </w:r>
      <w:r>
        <w:rPr>
          <w:color w:val="231F20"/>
          <w:spacing w:val="15"/>
        </w:rPr>
        <w:t> </w:t>
      </w:r>
      <w:r>
        <w:rPr>
          <w:color w:val="231F20"/>
        </w:rPr>
        <w:t>%</w:t>
      </w:r>
      <w:r>
        <w:rPr>
          <w:color w:val="231F20"/>
          <w:spacing w:val="14"/>
        </w:rPr>
        <w:t> </w:t>
      </w:r>
      <w:r>
        <w:rPr>
          <w:color w:val="231F20"/>
        </w:rPr>
        <w:t>de</w:t>
      </w:r>
      <w:r>
        <w:rPr>
          <w:color w:val="231F20"/>
          <w:spacing w:val="14"/>
        </w:rPr>
        <w:t> </w:t>
      </w:r>
      <w:r>
        <w:rPr>
          <w:color w:val="231F20"/>
        </w:rPr>
        <w:t>ces</w:t>
      </w:r>
      <w:r>
        <w:rPr>
          <w:color w:val="231F20"/>
          <w:spacing w:val="15"/>
        </w:rPr>
        <w:t> </w:t>
      </w:r>
      <w:r>
        <w:rPr>
          <w:color w:val="231F20"/>
        </w:rPr>
        <w:t>bénéfices.</w:t>
      </w:r>
    </w:p>
    <w:p>
      <w:pPr>
        <w:pStyle w:val="BodyText"/>
        <w:ind w:left="0" w:right="0" w:firstLine="0"/>
        <w:jc w:val="left"/>
        <w:rPr>
          <w:sz w:val="20"/>
        </w:rPr>
      </w:pPr>
    </w:p>
    <w:p>
      <w:pPr>
        <w:pStyle w:val="BodyText"/>
        <w:spacing w:before="4"/>
        <w:ind w:left="0" w:right="0" w:firstLine="0"/>
        <w:jc w:val="left"/>
      </w:pPr>
    </w:p>
    <w:p>
      <w:pPr>
        <w:pStyle w:val="BodyText"/>
        <w:spacing w:line="218" w:lineRule="auto"/>
        <w:ind w:right="38"/>
      </w:pPr>
      <w:r>
        <w:rPr>
          <w:color w:val="231F20"/>
        </w:rPr>
        <w:t>Les filiales belges non cotées de la société cotée visée à l’alinéa 1</w:t>
      </w:r>
      <w:r>
        <w:rPr>
          <w:color w:val="231F20"/>
          <w:position w:val="7"/>
          <w:sz w:val="11"/>
        </w:rPr>
        <w:t>er </w:t>
      </w:r>
      <w:r>
        <w:rPr>
          <w:color w:val="231F20"/>
        </w:rPr>
        <w:t>ne peuvent, sans l’accord préalable du conseil d’administration de cette société cotée, prendre de décisions ou réaliser des opérations qui concernent leurs relations avec une société à laquelle elles sont liées et qui n’est ni ladite société cotée ni une de ses filiales non visées à  l’alinéa</w:t>
      </w:r>
      <w:r>
        <w:rPr>
          <w:color w:val="231F20"/>
          <w:spacing w:val="14"/>
        </w:rPr>
        <w:t> </w:t>
      </w:r>
      <w:r>
        <w:rPr>
          <w:color w:val="231F20"/>
        </w:rPr>
        <w:t>2.</w:t>
      </w:r>
    </w:p>
    <w:p>
      <w:pPr>
        <w:pStyle w:val="BodyText"/>
        <w:ind w:left="0" w:right="0" w:firstLine="0"/>
        <w:jc w:val="left"/>
        <w:rPr>
          <w:sz w:val="20"/>
        </w:rPr>
      </w:pPr>
    </w:p>
    <w:p>
      <w:pPr>
        <w:pStyle w:val="BodyText"/>
        <w:spacing w:before="3"/>
        <w:ind w:left="0" w:right="0" w:firstLine="0"/>
        <w:jc w:val="left"/>
      </w:pPr>
    </w:p>
    <w:p>
      <w:pPr>
        <w:pStyle w:val="BodyText"/>
        <w:ind w:left="283" w:right="0" w:firstLine="0"/>
        <w:jc w:val="left"/>
      </w:pPr>
      <w:r>
        <w:rPr>
          <w:color w:val="231F20"/>
        </w:rPr>
        <w:t>Ce paragraphe n’est pas applicable:</w:t>
      </w:r>
    </w:p>
    <w:p>
      <w:pPr>
        <w:pStyle w:val="BodyText"/>
        <w:spacing w:line="218" w:lineRule="auto" w:before="82"/>
        <w:ind w:right="38"/>
      </w:pPr>
      <w:r>
        <w:rPr>
          <w:color w:val="231F20"/>
        </w:rPr>
        <w:t>1° aux décisions et aux opérations habituelles pour la société cotée ou ses filiales, intervenant dans des conditions et sous les garanties normales du marché pour des opérations de même nature;</w:t>
      </w:r>
    </w:p>
    <w:p>
      <w:pPr>
        <w:pStyle w:val="BodyText"/>
        <w:spacing w:line="218" w:lineRule="auto" w:before="85"/>
        <w:ind w:right="38"/>
      </w:pPr>
      <w:r>
        <w:rPr>
          <w:color w:val="231F20"/>
        </w:rPr>
        <w:t>2° aux décisions et aux opérations représentant moins d’1 % de l’actif net de la société cotée, tel qu’il résulte des comptes consolidés.</w:t>
      </w:r>
    </w:p>
    <w:p>
      <w:pPr>
        <w:pStyle w:val="BodyText"/>
        <w:ind w:left="0" w:right="0" w:firstLine="0"/>
        <w:jc w:val="left"/>
        <w:rPr>
          <w:sz w:val="23"/>
        </w:rPr>
      </w:pPr>
    </w:p>
    <w:p>
      <w:pPr>
        <w:pStyle w:val="BodyText"/>
        <w:spacing w:line="218" w:lineRule="auto"/>
        <w:ind w:right="38"/>
      </w:pPr>
      <w:r>
        <w:rPr>
          <w:color w:val="231F20"/>
        </w:rPr>
        <w:t>§ 2. Est également soumise à la procédure établie par les paragraphes 3 et 4, la décision du conseil d‘administration d’une société cotée de soumettre à l’assemblée générale pour approbation:</w:t>
      </w:r>
    </w:p>
    <w:p>
      <w:pPr>
        <w:pStyle w:val="BodyText"/>
        <w:ind w:left="0" w:right="0" w:firstLine="0"/>
        <w:jc w:val="left"/>
        <w:rPr>
          <w:sz w:val="23"/>
        </w:rPr>
      </w:pPr>
    </w:p>
    <w:p>
      <w:pPr>
        <w:pStyle w:val="BodyText"/>
        <w:spacing w:line="218" w:lineRule="auto"/>
        <w:ind w:right="38"/>
      </w:pPr>
      <w:r>
        <w:rPr>
          <w:color w:val="231F20"/>
          <w:w w:val="105"/>
        </w:rPr>
        <w:t>1° une proposition d’apport en nature, y compris un apport d’universalité</w:t>
      </w:r>
      <w:r>
        <w:rPr>
          <w:color w:val="231F20"/>
          <w:spacing w:val="-10"/>
          <w:w w:val="105"/>
        </w:rPr>
        <w:t> </w:t>
      </w:r>
      <w:r>
        <w:rPr>
          <w:color w:val="231F20"/>
          <w:w w:val="105"/>
        </w:rPr>
        <w:t>ou</w:t>
      </w:r>
      <w:r>
        <w:rPr>
          <w:color w:val="231F20"/>
          <w:spacing w:val="-9"/>
          <w:w w:val="105"/>
        </w:rPr>
        <w:t> </w:t>
      </w:r>
      <w:r>
        <w:rPr>
          <w:color w:val="231F20"/>
          <w:w w:val="105"/>
        </w:rPr>
        <w:t>de</w:t>
      </w:r>
      <w:r>
        <w:rPr>
          <w:color w:val="231F20"/>
          <w:spacing w:val="-9"/>
          <w:w w:val="105"/>
        </w:rPr>
        <w:t> </w:t>
      </w:r>
      <w:r>
        <w:rPr>
          <w:color w:val="231F20"/>
          <w:w w:val="105"/>
        </w:rPr>
        <w:t>branche</w:t>
      </w:r>
      <w:r>
        <w:rPr>
          <w:color w:val="231F20"/>
          <w:spacing w:val="-9"/>
          <w:w w:val="105"/>
        </w:rPr>
        <w:t> </w:t>
      </w:r>
      <w:r>
        <w:rPr>
          <w:color w:val="231F20"/>
          <w:w w:val="105"/>
        </w:rPr>
        <w:t>d’activité,</w:t>
      </w:r>
      <w:r>
        <w:rPr>
          <w:color w:val="231F20"/>
          <w:spacing w:val="-9"/>
          <w:w w:val="105"/>
        </w:rPr>
        <w:t> </w:t>
      </w:r>
      <w:r>
        <w:rPr>
          <w:color w:val="231F20"/>
          <w:w w:val="105"/>
        </w:rPr>
        <w:t>par</w:t>
      </w:r>
      <w:r>
        <w:rPr>
          <w:color w:val="231F20"/>
          <w:spacing w:val="-9"/>
          <w:w w:val="105"/>
        </w:rPr>
        <w:t> </w:t>
      </w:r>
      <w:r>
        <w:rPr>
          <w:color w:val="231F20"/>
          <w:w w:val="105"/>
        </w:rPr>
        <w:t>une</w:t>
      </w:r>
      <w:r>
        <w:rPr>
          <w:color w:val="231F20"/>
          <w:spacing w:val="-9"/>
          <w:w w:val="105"/>
        </w:rPr>
        <w:t> </w:t>
      </w:r>
      <w:r>
        <w:rPr>
          <w:color w:val="231F20"/>
          <w:w w:val="105"/>
        </w:rPr>
        <w:t>personne</w:t>
      </w:r>
      <w:r>
        <w:rPr>
          <w:color w:val="231F20"/>
          <w:spacing w:val="-9"/>
          <w:w w:val="105"/>
        </w:rPr>
        <w:t> </w:t>
      </w:r>
      <w:r>
        <w:rPr>
          <w:color w:val="231F20"/>
          <w:w w:val="105"/>
        </w:rPr>
        <w:t>physique</w:t>
      </w:r>
      <w:r>
        <w:rPr>
          <w:color w:val="231F20"/>
          <w:spacing w:val="-9"/>
          <w:w w:val="105"/>
        </w:rPr>
        <w:t> </w:t>
      </w:r>
      <w:r>
        <w:rPr>
          <w:color w:val="231F20"/>
          <w:w w:val="105"/>
        </w:rPr>
        <w:t>ou une personne morale liée à cette société</w:t>
      </w:r>
      <w:r>
        <w:rPr>
          <w:color w:val="231F20"/>
          <w:spacing w:val="14"/>
          <w:w w:val="105"/>
        </w:rPr>
        <w:t> </w:t>
      </w:r>
      <w:r>
        <w:rPr>
          <w:color w:val="231F20"/>
          <w:w w:val="105"/>
        </w:rPr>
        <w:t>cotée;</w:t>
      </w:r>
    </w:p>
    <w:p>
      <w:pPr>
        <w:pStyle w:val="BodyText"/>
        <w:spacing w:line="218" w:lineRule="auto" w:before="86"/>
        <w:ind w:right="38"/>
      </w:pPr>
      <w:r>
        <w:rPr>
          <w:color w:val="231F20"/>
        </w:rPr>
        <w:t>2° un projet de fusion, de scission, d’opération assimilée au sens de l’article 12:7 avec, ou l’apport d’une universalité à, une société liée à cette société cotée.</w:t>
      </w:r>
    </w:p>
    <w:p>
      <w:pPr>
        <w:pStyle w:val="BodyText"/>
        <w:spacing w:line="218" w:lineRule="auto" w:before="70"/>
        <w:ind w:right="38"/>
      </w:pPr>
      <w:r>
        <w:rPr>
          <w:color w:val="231F20"/>
        </w:rPr>
        <w:t>L’alinéa 1</w:t>
      </w:r>
      <w:r>
        <w:rPr>
          <w:color w:val="231F20"/>
          <w:position w:val="7"/>
          <w:sz w:val="11"/>
        </w:rPr>
        <w:t>er </w:t>
      </w:r>
      <w:r>
        <w:rPr>
          <w:color w:val="231F20"/>
        </w:rPr>
        <w:t>n’est pas applicable lorsque la société liée à la société cotée est une filiale de celle-ci à moins qu’il ne s’agisse d’une filiale dans laquelle la personne physique ou morale qui détient le contrôle ultime de la société cotée détient directement ou indirectement, au travers d’autres personnes physiques ou morales que la société cotée, une participation représentant au moins 25 % du capital de cette filiale ou lui donnant droit, en cas de distribution de bénéfices par cette filiale, à au</w:t>
      </w:r>
      <w:r>
        <w:rPr>
          <w:color w:val="231F20"/>
          <w:spacing w:val="14"/>
        </w:rPr>
        <w:t> </w:t>
      </w:r>
      <w:r>
        <w:rPr>
          <w:color w:val="231F20"/>
        </w:rPr>
        <w:t>moins</w:t>
      </w:r>
      <w:r>
        <w:rPr>
          <w:color w:val="231F20"/>
          <w:spacing w:val="15"/>
        </w:rPr>
        <w:t> </w:t>
      </w:r>
      <w:r>
        <w:rPr>
          <w:color w:val="231F20"/>
        </w:rPr>
        <w:t>25</w:t>
      </w:r>
      <w:r>
        <w:rPr>
          <w:color w:val="231F20"/>
          <w:spacing w:val="15"/>
        </w:rPr>
        <w:t> </w:t>
      </w:r>
      <w:r>
        <w:rPr>
          <w:color w:val="231F20"/>
        </w:rPr>
        <w:t>%</w:t>
      </w:r>
      <w:r>
        <w:rPr>
          <w:color w:val="231F20"/>
          <w:spacing w:val="14"/>
        </w:rPr>
        <w:t> </w:t>
      </w:r>
      <w:r>
        <w:rPr>
          <w:color w:val="231F20"/>
        </w:rPr>
        <w:t>de</w:t>
      </w:r>
      <w:r>
        <w:rPr>
          <w:color w:val="231F20"/>
          <w:spacing w:val="15"/>
        </w:rPr>
        <w:t> </w:t>
      </w:r>
      <w:r>
        <w:rPr>
          <w:color w:val="231F20"/>
        </w:rPr>
        <w:t>ces</w:t>
      </w:r>
      <w:r>
        <w:rPr>
          <w:color w:val="231F20"/>
          <w:spacing w:val="15"/>
        </w:rPr>
        <w:t> </w:t>
      </w:r>
      <w:r>
        <w:rPr>
          <w:color w:val="231F20"/>
        </w:rPr>
        <w:t>bénéfices.</w:t>
      </w:r>
    </w:p>
    <w:p>
      <w:pPr>
        <w:pStyle w:val="BodyText"/>
        <w:ind w:left="0" w:right="0" w:firstLine="0"/>
        <w:jc w:val="left"/>
        <w:rPr>
          <w:sz w:val="20"/>
        </w:rPr>
      </w:pPr>
    </w:p>
    <w:p>
      <w:pPr>
        <w:pStyle w:val="BodyText"/>
        <w:spacing w:before="2"/>
        <w:ind w:left="0" w:right="0" w:firstLine="0"/>
        <w:jc w:val="left"/>
        <w:rPr>
          <w:sz w:val="18"/>
        </w:rPr>
      </w:pPr>
    </w:p>
    <w:p>
      <w:pPr>
        <w:pStyle w:val="BodyText"/>
        <w:spacing w:line="218" w:lineRule="auto"/>
        <w:ind w:right="38"/>
      </w:pPr>
      <w:r>
        <w:rPr>
          <w:color w:val="231F20"/>
        </w:rPr>
        <w:t>§ 3. </w:t>
      </w:r>
      <w:r>
        <w:rPr>
          <w:color w:val="231F20"/>
          <w:spacing w:val="-3"/>
        </w:rPr>
        <w:t>Toutes  </w:t>
      </w:r>
      <w:r>
        <w:rPr>
          <w:color w:val="231F20"/>
        </w:rPr>
        <w:t>les décisions ou opérations visées aux paragraphes 1</w:t>
      </w:r>
      <w:r>
        <w:rPr>
          <w:color w:val="231F20"/>
          <w:position w:val="7"/>
          <w:sz w:val="11"/>
        </w:rPr>
        <w:t>er  </w:t>
      </w:r>
      <w:r>
        <w:rPr>
          <w:color w:val="231F20"/>
        </w:rPr>
        <w:t>et  2 doivent préalablement être soumises à l’appréciation d’un comité composé de trois administrateurs indépendants, qui se fait assister par un ou plusieurs experts indépendants de son choix. L’expert est rémunéré par la</w:t>
      </w:r>
      <w:r>
        <w:rPr>
          <w:color w:val="231F20"/>
          <w:spacing w:val="3"/>
        </w:rPr>
        <w:t> </w:t>
      </w:r>
      <w:r>
        <w:rPr>
          <w:color w:val="231F20"/>
        </w:rPr>
        <w:t>société.</w:t>
      </w:r>
    </w:p>
    <w:p>
      <w:pPr>
        <w:pStyle w:val="BodyText"/>
        <w:spacing w:line="218" w:lineRule="auto" w:before="119"/>
      </w:pPr>
      <w:r>
        <w:rPr/>
        <w:br w:type="column"/>
      </w:r>
      <w:r>
        <w:rPr>
          <w:color w:val="231F20"/>
        </w:rPr>
        <w:t>§ 2.  Onverminderd  het  recht  voor  de  in  de  artikelen  2:44  en  2:46 genoemde personen om de nietigheid of opschorting van het bestuursbesluit te vorderen, kan de vennootschap de nietigheid vorderen van besluiten of verrichtingen die hebben  plaatsgevonden met overtreding van dit artikel, indien de wederpartij bij die besluiten of verrichtingen van die overtreding op de hoogte was of had moeten zijn.</w:t>
      </w:r>
    </w:p>
    <w:p>
      <w:pPr>
        <w:pStyle w:val="BodyText"/>
        <w:spacing w:line="218" w:lineRule="auto" w:before="86"/>
      </w:pPr>
      <w:r>
        <w:rPr>
          <w:color w:val="231F20"/>
        </w:rPr>
        <w:t>§ 3. Paragraaf 1 is niet van toepassing wanneer de beslissingen of verrichtingen die tot de bevoegdheid behoren van de raad van bestuur, betrekking hebben op beslissingen of verrichtingen die tot stand zijn gekomen tussen vennootschappen waarvan de ene rechtstreeks of onrechtstreeks ten minste 95 % bezit van de stemmen verbonden aan het geheel van de door de andere uitgegeven effecten, dan wel tussen vennootschappen waarvan ten minste 95 % van de stemmen verbonden aan het geheel van de door elk van hen uitgegeven effecten in het bezit zijn van een andere vennootschap.</w:t>
      </w:r>
    </w:p>
    <w:p>
      <w:pPr>
        <w:pStyle w:val="BodyText"/>
        <w:spacing w:line="218" w:lineRule="auto" w:before="86"/>
      </w:pPr>
      <w:r>
        <w:rPr>
          <w:color w:val="231F20"/>
        </w:rPr>
        <w:t>Bovendien is paragraaf 1 niet van toepassing wanneer de beslissin- gen van de raad van bestuur betrekking hebben op gebruikelijke verrichtingen die plaatshebben onder de voorwaarden en tegen de zekerheden die op de markt gewoonlijk gelden voor soortgelijke verrichtingen.</w:t>
      </w:r>
    </w:p>
    <w:p>
      <w:pPr>
        <w:pStyle w:val="BodyText"/>
        <w:spacing w:line="218" w:lineRule="auto" w:before="86"/>
      </w:pPr>
      <w:r>
        <w:rPr>
          <w:color w:val="231F20"/>
        </w:rPr>
        <w:t>Art. 7:97. § 1. Voor elke beslissing of voor elke verrichting ter uitvoering van een beslissing die tot de bevoegdheid behoort van de raad van bestuur van een genoteerde vennootschap, en die verband houdt met een natuurlijke of rechtspersoon die met die genoteerde vennootschap is verbonden maar die er geen dochtervennootschap van is, past de raad van bestuur de procedure toe die is vastgelegd in de paragrafen 3 en 4.</w:t>
      </w:r>
    </w:p>
    <w:p>
      <w:pPr>
        <w:pStyle w:val="BodyText"/>
        <w:spacing w:line="218" w:lineRule="auto" w:before="86"/>
        <w:ind w:right="123"/>
      </w:pPr>
      <w:r>
        <w:rPr>
          <w:color w:val="231F20"/>
          <w:spacing w:val="-3"/>
        </w:rPr>
        <w:t>Vallen </w:t>
      </w:r>
      <w:r>
        <w:rPr>
          <w:color w:val="231F20"/>
        </w:rPr>
        <w:t>evenwel ook onder de procedure die is vastgelegd in de paragrafen 3 en 4, de beslissingen of verrichtingen bedoeld in het eerste lid die verband houden met een of meer dochtervennootschappen van de genoteerde vennootschap waarin de natuurlijke of rechtspersoon die de rechtstreekse of onrechtstreekse controle over de genoteerde ven- nootschap</w:t>
      </w:r>
      <w:r>
        <w:rPr>
          <w:color w:val="231F20"/>
          <w:spacing w:val="-6"/>
        </w:rPr>
        <w:t> </w:t>
      </w:r>
      <w:r>
        <w:rPr>
          <w:color w:val="231F20"/>
        </w:rPr>
        <w:t>heeft,</w:t>
      </w:r>
      <w:r>
        <w:rPr>
          <w:color w:val="231F20"/>
          <w:spacing w:val="-6"/>
        </w:rPr>
        <w:t> </w:t>
      </w:r>
      <w:r>
        <w:rPr>
          <w:color w:val="231F20"/>
        </w:rPr>
        <w:t>rechtstreeks</w:t>
      </w:r>
      <w:r>
        <w:rPr>
          <w:color w:val="231F20"/>
          <w:spacing w:val="-6"/>
        </w:rPr>
        <w:t> </w:t>
      </w:r>
      <w:r>
        <w:rPr>
          <w:color w:val="231F20"/>
        </w:rPr>
        <w:t>of</w:t>
      </w:r>
      <w:r>
        <w:rPr>
          <w:color w:val="231F20"/>
          <w:spacing w:val="-6"/>
        </w:rPr>
        <w:t> </w:t>
      </w:r>
      <w:r>
        <w:rPr>
          <w:color w:val="231F20"/>
        </w:rPr>
        <w:t>onrechtstreeks</w:t>
      </w:r>
      <w:r>
        <w:rPr>
          <w:color w:val="231F20"/>
          <w:spacing w:val="-6"/>
        </w:rPr>
        <w:t> </w:t>
      </w:r>
      <w:r>
        <w:rPr>
          <w:color w:val="231F20"/>
        </w:rPr>
        <w:t>via</w:t>
      </w:r>
      <w:r>
        <w:rPr>
          <w:color w:val="231F20"/>
          <w:spacing w:val="-5"/>
        </w:rPr>
        <w:t> </w:t>
      </w:r>
      <w:r>
        <w:rPr>
          <w:color w:val="231F20"/>
        </w:rPr>
        <w:t>andere</w:t>
      </w:r>
      <w:r>
        <w:rPr>
          <w:color w:val="231F20"/>
          <w:spacing w:val="-6"/>
        </w:rPr>
        <w:t> </w:t>
      </w:r>
      <w:r>
        <w:rPr>
          <w:color w:val="231F20"/>
        </w:rPr>
        <w:t>natuurlijke</w:t>
      </w:r>
      <w:r>
        <w:rPr>
          <w:color w:val="231F20"/>
          <w:spacing w:val="-6"/>
        </w:rPr>
        <w:t> </w:t>
      </w:r>
      <w:r>
        <w:rPr>
          <w:color w:val="231F20"/>
        </w:rPr>
        <w:t>of rechtspersonen dan de genoteerde vennootschap, een deelneming aanhoudt die minstens 25 % van het kapitaal van de betrokken dochtervennootschap </w:t>
      </w:r>
      <w:r>
        <w:rPr>
          <w:color w:val="231F20"/>
          <w:spacing w:val="-3"/>
        </w:rPr>
        <w:t>vertegenwoordigt </w:t>
      </w:r>
      <w:r>
        <w:rPr>
          <w:color w:val="231F20"/>
        </w:rPr>
        <w:t>of die hem ingeval van winstuit- kering door die dochtervennootschap recht geeft op minstens 25 % daarvan.</w:t>
      </w:r>
    </w:p>
    <w:p>
      <w:pPr>
        <w:pStyle w:val="BodyText"/>
        <w:spacing w:line="218" w:lineRule="auto" w:before="86"/>
        <w:ind w:right="123"/>
      </w:pPr>
      <w:r>
        <w:rPr>
          <w:color w:val="231F20"/>
        </w:rPr>
        <w:t>De niet genoteerde Belgische dochtervennootschappen van de geno- teerde vennootschap bedoeld in het eerste lid kunnen zonder vooraf- gaand akkoord van de raad van bestuur van deze genoteerde vennootschap geen beslissingen nemen of verrichtingen uitvoeren die verband houden met hun betrekkingen met een vennootschap waar- mee zij zijn verbonden en die noch de genoteerde vennootschap</w:t>
      </w:r>
      <w:r>
        <w:rPr>
          <w:color w:val="231F20"/>
          <w:spacing w:val="12"/>
        </w:rPr>
        <w:t> </w:t>
      </w:r>
      <w:r>
        <w:rPr>
          <w:color w:val="231F20"/>
        </w:rPr>
        <w:t>is, noch een dochtervennootschap ervan die niet is bedoeld in het tweede lid.</w:t>
      </w:r>
    </w:p>
    <w:p>
      <w:pPr>
        <w:pStyle w:val="BodyText"/>
        <w:spacing w:before="72"/>
        <w:ind w:left="283" w:right="0" w:firstLine="0"/>
        <w:jc w:val="left"/>
      </w:pPr>
      <w:r>
        <w:rPr>
          <w:color w:val="231F20"/>
        </w:rPr>
        <w:t>Deze paragraaf vindt geen toepassing op:</w:t>
      </w:r>
    </w:p>
    <w:p>
      <w:pPr>
        <w:pStyle w:val="BodyText"/>
        <w:spacing w:line="218" w:lineRule="auto" w:before="82"/>
      </w:pPr>
      <w:r>
        <w:rPr>
          <w:color w:val="231F20"/>
        </w:rPr>
        <w:t>1° beslissingen en verrichtingen die voor de genoteerde vennoot- schap of voor haar dochtervennootschappen gebruikelijk zijn, onder de voorwaarden en tegen de zekerheden die op de markt gebruikelijk zijn;</w:t>
      </w:r>
    </w:p>
    <w:p>
      <w:pPr>
        <w:pStyle w:val="BodyText"/>
        <w:spacing w:line="218" w:lineRule="auto" w:before="86"/>
      </w:pPr>
      <w:r>
        <w:rPr>
          <w:color w:val="231F20"/>
        </w:rPr>
        <w:t>2° beslissingen en verrichtingen waarvan de waarde minder dan 1 % van het nettoactief van de genoteerde vennootschap op geconsoli- deerde basis bedraagt.</w:t>
      </w:r>
    </w:p>
    <w:p>
      <w:pPr>
        <w:pStyle w:val="BodyText"/>
        <w:spacing w:line="218" w:lineRule="auto" w:before="86"/>
      </w:pPr>
      <w:r>
        <w:rPr>
          <w:color w:val="231F20"/>
        </w:rPr>
        <w:t>§ 2. </w:t>
      </w:r>
      <w:r>
        <w:rPr>
          <w:color w:val="231F20"/>
          <w:spacing w:val="-4"/>
        </w:rPr>
        <w:t>Valt </w:t>
      </w:r>
      <w:r>
        <w:rPr>
          <w:color w:val="231F20"/>
        </w:rPr>
        <w:t>eveneens onder de procedure vastgelegd in paragrafen 3 en 4, elke beslissing van de raad van bestuur van een genoteerde vennootschap om aan de algemene vergadering ter goedkeuring voor  te</w:t>
      </w:r>
      <w:r>
        <w:rPr>
          <w:color w:val="231F20"/>
          <w:spacing w:val="15"/>
        </w:rPr>
        <w:t> </w:t>
      </w:r>
      <w:r>
        <w:rPr>
          <w:color w:val="231F20"/>
        </w:rPr>
        <w:t>leggen:</w:t>
      </w:r>
    </w:p>
    <w:p>
      <w:pPr>
        <w:pStyle w:val="BodyText"/>
        <w:spacing w:line="218" w:lineRule="auto" w:before="85"/>
      </w:pPr>
      <w:r>
        <w:rPr>
          <w:color w:val="231F20"/>
        </w:rPr>
        <w:t>1° een voorstel tot inbreng in natura, met inbegrip van een inbreng van algemeenheid of van bedrijfstak, door een natuurlijke of rechtsper- soon die met die genoteerde vennootschap is verbonden;</w:t>
      </w:r>
    </w:p>
    <w:p>
      <w:pPr>
        <w:pStyle w:val="BodyText"/>
        <w:spacing w:line="218" w:lineRule="auto" w:before="86"/>
      </w:pPr>
      <w:r>
        <w:rPr>
          <w:color w:val="231F20"/>
        </w:rPr>
        <w:t>2° een voorstel tot fusie, splitsing, gelijkgestelde verrichting als bedoeld in artikel 12:7 met, of een inbreng van algemeenheid in, een vennootschap die met die genoteerde vennootschap is verbonden.</w:t>
      </w:r>
    </w:p>
    <w:p>
      <w:pPr>
        <w:pStyle w:val="BodyText"/>
        <w:spacing w:line="218" w:lineRule="auto" w:before="85"/>
        <w:ind w:right="123"/>
      </w:pPr>
      <w:r>
        <w:rPr>
          <w:color w:val="231F20"/>
        </w:rPr>
        <w:t>Het eerste lid is niet van toepassing wanneer de vennootschap die met die genoteerde vennootschap is verbonden er een dochtervennoot- schap van is, tenzij het een dochtervennootschap betreft waarin de natuurlijke of rechtspersoon die de ultieme controle over de genoteerde vennootschap heeft, rechtstreeks of onrechtstreeks via andere natuur- lijke of rechtspersonen dan de genoteerde vennootschap, een deelne- ming aanhoudt die minstens 25 % van het kapitaal van de betrokken dochtervennootschap </w:t>
      </w:r>
      <w:r>
        <w:rPr>
          <w:color w:val="231F20"/>
          <w:spacing w:val="-3"/>
        </w:rPr>
        <w:t>vertegenwoordigt </w:t>
      </w:r>
      <w:r>
        <w:rPr>
          <w:color w:val="231F20"/>
        </w:rPr>
        <w:t>of die hem ingeval van winstuit- kering door die dochtervennootschap recht geeft op minstens 25 % daarvan.</w:t>
      </w:r>
    </w:p>
    <w:p>
      <w:pPr>
        <w:pStyle w:val="BodyText"/>
        <w:spacing w:line="218" w:lineRule="auto" w:before="97"/>
      </w:pPr>
      <w:r>
        <w:rPr>
          <w:color w:val="231F20"/>
        </w:rPr>
        <w:t>§ 3. Alle beslissingen of verrichtingen, bepaald in paragrafen 1 en 2, moeten voorafgaandelijk worden onderworpen aan de beoordeling van een comité van drie onafhankelijke bestuurders, dat zich laat bijstaan door één of meerdere onafhankelijke experts van zijn keuze. De expert wordt door de vennootschap vergoed.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5032" from="298.170502pt,64.473pt" to="298.170502pt,812.819pt" stroked="true" strokeweight=".533pt" strokecolor="#231f20">
            <v:stroke dashstyle="solid"/>
            <w10:wrap type="none"/>
          </v:line>
        </w:pict>
      </w:r>
      <w:bookmarkStart w:name="_bookmark167" w:id="172"/>
      <w:bookmarkEnd w:id="172"/>
      <w:r>
        <w:rPr/>
      </w:r>
      <w:r>
        <w:rPr>
          <w:color w:val="231F20"/>
        </w:rPr>
        <w:t>Le comité rend à l’organe d’administration un avis écrit circonstancié et motivé sur la décision ou l’opération envisagée qui traite au moins des éléments suivants: la nature de la décision ou de l’opération, une description et une estimation des conséquences patrimoniales, une description des éventuelles autres conséquences, les avantages et inconvénients qui en découlent pour la société, le cas échéant, à terme. Le comité place la décision ou l’opération proposée dans le contexte de la stratégie de la société et indique si elle porte préjudice à la société, si elle est compensée par d’autres éléments de cette stratégie, ou est manifestement abusive. Les remarques de l’expert sont intégrées dans l’avis du comité ou y sont ajoutées en annexe.</w:t>
      </w:r>
    </w:p>
    <w:p>
      <w:pPr>
        <w:pStyle w:val="BodyText"/>
        <w:ind w:left="0" w:right="0" w:firstLine="0"/>
        <w:jc w:val="left"/>
        <w:rPr>
          <w:sz w:val="23"/>
        </w:rPr>
      </w:pPr>
    </w:p>
    <w:p>
      <w:pPr>
        <w:pStyle w:val="BodyText"/>
        <w:spacing w:line="218" w:lineRule="auto" w:before="1"/>
        <w:ind w:right="39"/>
      </w:pPr>
      <w:r>
        <w:rPr>
          <w:color w:val="231F20"/>
        </w:rPr>
        <w:t>§ 4. Après avoir pris connaissance de l’avis du comité visé au paragraphe 3, et sans préjudice de l’article 7:96, le conseil d’adminis- tration délibère sur la décision ou l’opération envisagée.</w:t>
      </w:r>
    </w:p>
    <w:p>
      <w:pPr>
        <w:pStyle w:val="BodyText"/>
        <w:spacing w:line="218" w:lineRule="auto" w:before="85"/>
        <w:ind w:right="38"/>
      </w:pPr>
      <w:r>
        <w:rPr>
          <w:color w:val="231F20"/>
        </w:rPr>
        <w:t>Le conseil d’administration confirme dans le procès-verbal de la réunion que la procédure décrite ci-dessus a été respectée, et le cas échéant la raison pour laquelle il déroge à l’avis du comité.</w:t>
      </w:r>
    </w:p>
    <w:p>
      <w:pPr>
        <w:pStyle w:val="BodyText"/>
        <w:spacing w:line="218" w:lineRule="auto" w:before="86"/>
        <w:ind w:right="38"/>
      </w:pPr>
      <w:r>
        <w:rPr>
          <w:color w:val="231F20"/>
        </w:rPr>
        <w:t>Le commissaire évalue si les données financières et comptables figurant dans le procès-verbal de l’organe d’administration et dans l’avis du comité ne contiennent pas d’incohérences significatives par rapport à l’information dont il dispose dans le cadre de sa mission. Cette appréciation est jointe au procès-verbal de l’organe d’administra- tion.</w:t>
      </w:r>
    </w:p>
    <w:p>
      <w:pPr>
        <w:pStyle w:val="BodyText"/>
        <w:spacing w:line="218" w:lineRule="auto" w:before="85"/>
        <w:ind w:right="38"/>
      </w:pPr>
      <w:r>
        <w:rPr>
          <w:color w:val="231F20"/>
        </w:rPr>
        <w:t>La décision du comité, l’intégralité de la partie pertinente du procès-verbal du conseil d’administration et l’appréciation du commis- saire sont intégralement mentionnés dans le rapport de gestion.</w:t>
      </w:r>
    </w:p>
    <w:p>
      <w:pPr>
        <w:pStyle w:val="BodyText"/>
        <w:spacing w:line="218" w:lineRule="auto" w:before="86"/>
        <w:ind w:right="38"/>
      </w:pPr>
      <w:r>
        <w:rPr>
          <w:color w:val="231F20"/>
        </w:rPr>
        <w:t>§ 5. Sans préjudice du droit  des  personnes  mentionnées </w:t>
      </w:r>
      <w:r>
        <w:rPr>
          <w:color w:val="231F20"/>
          <w:spacing w:val="20"/>
        </w:rPr>
        <w:t> </w:t>
      </w:r>
      <w:r>
        <w:rPr>
          <w:color w:val="231F20"/>
        </w:rPr>
        <w:t>aux articles 2:44 et 2:46 de demander la nullité ou la suspension de</w:t>
      </w:r>
      <w:r>
        <w:rPr>
          <w:color w:val="231F20"/>
          <w:spacing w:val="18"/>
        </w:rPr>
        <w:t> </w:t>
      </w:r>
      <w:r>
        <w:rPr>
          <w:color w:val="231F20"/>
        </w:rPr>
        <w:t>la décision du conseil d’administration, la société peut demander la nullité des décisions prises ou des opérations accomplies en violation du présent article si l’autre partie à ces décisions ou opérations avait ou devait</w:t>
      </w:r>
      <w:r>
        <w:rPr>
          <w:color w:val="231F20"/>
          <w:spacing w:val="15"/>
        </w:rPr>
        <w:t> </w:t>
      </w:r>
      <w:r>
        <w:rPr>
          <w:color w:val="231F20"/>
        </w:rPr>
        <w:t>avoir</w:t>
      </w:r>
      <w:r>
        <w:rPr>
          <w:color w:val="231F20"/>
          <w:spacing w:val="16"/>
        </w:rPr>
        <w:t> </w:t>
      </w:r>
      <w:r>
        <w:rPr>
          <w:color w:val="231F20"/>
        </w:rPr>
        <w:t>connaissance</w:t>
      </w:r>
      <w:r>
        <w:rPr>
          <w:color w:val="231F20"/>
          <w:spacing w:val="15"/>
        </w:rPr>
        <w:t> </w:t>
      </w:r>
      <w:r>
        <w:rPr>
          <w:color w:val="231F20"/>
        </w:rPr>
        <w:t>de</w:t>
      </w:r>
      <w:r>
        <w:rPr>
          <w:color w:val="231F20"/>
          <w:spacing w:val="16"/>
        </w:rPr>
        <w:t> </w:t>
      </w:r>
      <w:r>
        <w:rPr>
          <w:color w:val="231F20"/>
        </w:rPr>
        <w:t>cette</w:t>
      </w:r>
      <w:r>
        <w:rPr>
          <w:color w:val="231F20"/>
          <w:spacing w:val="15"/>
        </w:rPr>
        <w:t> </w:t>
      </w:r>
      <w:r>
        <w:rPr>
          <w:color w:val="231F20"/>
        </w:rPr>
        <w:t>violation.</w:t>
      </w:r>
    </w:p>
    <w:p>
      <w:pPr>
        <w:pStyle w:val="BodyText"/>
        <w:ind w:left="0" w:right="0" w:firstLine="0"/>
        <w:jc w:val="left"/>
        <w:rPr>
          <w:sz w:val="23"/>
        </w:rPr>
      </w:pPr>
    </w:p>
    <w:p>
      <w:pPr>
        <w:pStyle w:val="BodyText"/>
        <w:spacing w:line="218" w:lineRule="auto"/>
        <w:ind w:right="38"/>
      </w:pPr>
      <w:r>
        <w:rPr>
          <w:color w:val="231F20"/>
        </w:rPr>
        <w:t>§ 6. La société cotée indique dans son rapport de gestion les limitations substantielles ou charges que l’actionnaire de contrôle lui a imposées durant l’année en question, ou dont il a demandé le maintien.</w:t>
      </w:r>
    </w:p>
    <w:p>
      <w:pPr>
        <w:pStyle w:val="BodyText"/>
        <w:spacing w:before="9"/>
        <w:ind w:left="0" w:right="0" w:firstLine="0"/>
        <w:jc w:val="left"/>
        <w:rPr>
          <w:sz w:val="21"/>
        </w:rPr>
      </w:pPr>
    </w:p>
    <w:p>
      <w:pPr>
        <w:pStyle w:val="BodyText"/>
        <w:ind w:left="284" w:right="0" w:firstLine="0"/>
        <w:jc w:val="left"/>
      </w:pPr>
      <w:r>
        <w:rPr>
          <w:color w:val="231F20"/>
        </w:rPr>
        <w:t>Sous-section 4. Comités au sein du conseil d’administration.</w:t>
      </w:r>
    </w:p>
    <w:p>
      <w:pPr>
        <w:pStyle w:val="BodyText"/>
        <w:spacing w:line="218" w:lineRule="auto" w:before="82"/>
        <w:ind w:right="38"/>
      </w:pPr>
      <w:r>
        <w:rPr>
          <w:color w:val="231F20"/>
        </w:rPr>
        <w:t>Art.</w:t>
      </w:r>
      <w:r>
        <w:rPr>
          <w:color w:val="231F20"/>
          <w:spacing w:val="-4"/>
        </w:rPr>
        <w:t> </w:t>
      </w:r>
      <w:r>
        <w:rPr>
          <w:color w:val="231F20"/>
        </w:rPr>
        <w:t>7:98.</w:t>
      </w:r>
      <w:r>
        <w:rPr>
          <w:color w:val="231F20"/>
          <w:spacing w:val="-3"/>
        </w:rPr>
        <w:t> </w:t>
      </w:r>
      <w:r>
        <w:rPr>
          <w:color w:val="231F20"/>
        </w:rPr>
        <w:t>Le</w:t>
      </w:r>
      <w:r>
        <w:rPr>
          <w:color w:val="231F20"/>
          <w:spacing w:val="-4"/>
        </w:rPr>
        <w:t> </w:t>
      </w:r>
      <w:r>
        <w:rPr>
          <w:color w:val="231F20"/>
        </w:rPr>
        <w:t>conseil</w:t>
      </w:r>
      <w:r>
        <w:rPr>
          <w:color w:val="231F20"/>
          <w:spacing w:val="-3"/>
        </w:rPr>
        <w:t> </w:t>
      </w:r>
      <w:r>
        <w:rPr>
          <w:color w:val="231F20"/>
        </w:rPr>
        <w:t>d’administration</w:t>
      </w:r>
      <w:r>
        <w:rPr>
          <w:color w:val="231F20"/>
          <w:spacing w:val="-3"/>
        </w:rPr>
        <w:t> </w:t>
      </w:r>
      <w:r>
        <w:rPr>
          <w:color w:val="231F20"/>
        </w:rPr>
        <w:t>peut</w:t>
      </w:r>
      <w:r>
        <w:rPr>
          <w:color w:val="231F20"/>
          <w:spacing w:val="-4"/>
        </w:rPr>
        <w:t> </w:t>
      </w:r>
      <w:r>
        <w:rPr>
          <w:color w:val="231F20"/>
        </w:rPr>
        <w:t>créer</w:t>
      </w:r>
      <w:r>
        <w:rPr>
          <w:color w:val="231F20"/>
          <w:spacing w:val="-3"/>
        </w:rPr>
        <w:t> </w:t>
      </w:r>
      <w:r>
        <w:rPr>
          <w:color w:val="231F20"/>
        </w:rPr>
        <w:t>en</w:t>
      </w:r>
      <w:r>
        <w:rPr>
          <w:color w:val="231F20"/>
          <w:spacing w:val="-4"/>
        </w:rPr>
        <w:t> </w:t>
      </w:r>
      <w:r>
        <w:rPr>
          <w:color w:val="231F20"/>
        </w:rPr>
        <w:t>son</w:t>
      </w:r>
      <w:r>
        <w:rPr>
          <w:color w:val="231F20"/>
          <w:spacing w:val="-3"/>
        </w:rPr>
        <w:t> </w:t>
      </w:r>
      <w:r>
        <w:rPr>
          <w:color w:val="231F20"/>
        </w:rPr>
        <w:t>sein</w:t>
      </w:r>
      <w:r>
        <w:rPr>
          <w:color w:val="231F20"/>
          <w:spacing w:val="-3"/>
        </w:rPr>
        <w:t> </w:t>
      </w:r>
      <w:r>
        <w:rPr>
          <w:color w:val="231F20"/>
        </w:rPr>
        <w:t>et</w:t>
      </w:r>
      <w:r>
        <w:rPr>
          <w:color w:val="231F20"/>
          <w:spacing w:val="-4"/>
        </w:rPr>
        <w:t> </w:t>
      </w:r>
      <w:r>
        <w:rPr>
          <w:color w:val="231F20"/>
        </w:rPr>
        <w:t>sous</w:t>
      </w:r>
      <w:r>
        <w:rPr>
          <w:color w:val="231F20"/>
          <w:spacing w:val="-3"/>
        </w:rPr>
        <w:t> </w:t>
      </w:r>
      <w:r>
        <w:rPr>
          <w:color w:val="231F20"/>
        </w:rPr>
        <w:t>sa responsabilité un ou plusieurs comités consultatifs. Il définit leur composition et leur</w:t>
      </w:r>
      <w:r>
        <w:rPr>
          <w:color w:val="231F20"/>
          <w:spacing w:val="3"/>
        </w:rPr>
        <w:t> </w:t>
      </w:r>
      <w:r>
        <w:rPr>
          <w:color w:val="231F20"/>
        </w:rPr>
        <w:t>mission.</w:t>
      </w:r>
    </w:p>
    <w:p>
      <w:pPr>
        <w:pStyle w:val="BodyText"/>
        <w:spacing w:line="218" w:lineRule="auto" w:before="71"/>
        <w:ind w:right="38"/>
      </w:pPr>
      <w:r>
        <w:rPr>
          <w:color w:val="231F20"/>
        </w:rPr>
        <w:t>Art. 7:99. § 1</w:t>
      </w:r>
      <w:r>
        <w:rPr>
          <w:color w:val="231F20"/>
          <w:position w:val="7"/>
          <w:sz w:val="11"/>
        </w:rPr>
        <w:t>er</w:t>
      </w:r>
      <w:r>
        <w:rPr>
          <w:color w:val="231F20"/>
        </w:rPr>
        <w:t>. Les sociétés cotées et les entités d’intérêt public visées à l’article 1:12, 2°, constituent un comité d’audit au sein de leur conseil d’administration.</w:t>
      </w:r>
    </w:p>
    <w:p>
      <w:pPr>
        <w:pStyle w:val="BodyText"/>
        <w:spacing w:line="218" w:lineRule="auto" w:before="95"/>
        <w:ind w:right="38"/>
      </w:pPr>
      <w:r>
        <w:rPr>
          <w:color w:val="231F20"/>
        </w:rPr>
        <w:t>§ 2. Le comité d’audit est composé de membres non exécutifs du conseil d’administration. Au moins un membre du comité d’audit est un administrateur</w:t>
      </w:r>
      <w:r>
        <w:rPr>
          <w:color w:val="231F20"/>
          <w:spacing w:val="-11"/>
        </w:rPr>
        <w:t> </w:t>
      </w:r>
      <w:r>
        <w:rPr>
          <w:color w:val="231F20"/>
        </w:rPr>
        <w:t>indépendant.</w:t>
      </w:r>
    </w:p>
    <w:p>
      <w:pPr>
        <w:pStyle w:val="BodyText"/>
        <w:spacing w:line="218" w:lineRule="auto" w:before="97"/>
        <w:ind w:right="39"/>
      </w:pPr>
      <w:r>
        <w:rPr>
          <w:color w:val="231F20"/>
        </w:rPr>
        <w:t>Le président du comité d’audit est désigné par les membres du comité.</w:t>
      </w:r>
    </w:p>
    <w:p>
      <w:pPr>
        <w:pStyle w:val="BodyText"/>
        <w:spacing w:line="218" w:lineRule="auto" w:before="96"/>
        <w:ind w:right="38"/>
      </w:pPr>
      <w:r>
        <w:rPr>
          <w:color w:val="231F20"/>
        </w:rPr>
        <w:t>Les membres du comité d’audit disposent d’une compétence collec- tive dans le domaine d’activités de la société contrôlée. Au moins un membre du comité d’audit justifie de la compétence nécessaire en matière de comptabilité et d’audit.</w:t>
      </w:r>
    </w:p>
    <w:p>
      <w:pPr>
        <w:pStyle w:val="BodyText"/>
        <w:spacing w:line="218" w:lineRule="auto" w:before="96"/>
        <w:ind w:right="38"/>
      </w:pPr>
      <w:r>
        <w:rPr>
          <w:color w:val="231F20"/>
        </w:rPr>
        <w:t>§ 3. Dans les sociétés répondant, sur une base consolidée, à au moins deux des trois critères suivants:</w:t>
      </w:r>
    </w:p>
    <w:p>
      <w:pPr>
        <w:pStyle w:val="ListParagraph"/>
        <w:numPr>
          <w:ilvl w:val="0"/>
          <w:numId w:val="110"/>
        </w:numPr>
        <w:tabs>
          <w:tab w:pos="457" w:val="left" w:leader="none"/>
        </w:tabs>
        <w:spacing w:line="218" w:lineRule="auto" w:before="93" w:after="0"/>
        <w:ind w:left="113" w:right="38" w:firstLine="170"/>
        <w:jc w:val="both"/>
        <w:rPr>
          <w:sz w:val="17"/>
        </w:rPr>
      </w:pPr>
      <w:r>
        <w:rPr>
          <w:color w:val="231F20"/>
          <w:sz w:val="17"/>
        </w:rPr>
        <w:t>nombre</w:t>
      </w:r>
      <w:r>
        <w:rPr>
          <w:color w:val="231F20"/>
          <w:spacing w:val="-4"/>
          <w:sz w:val="17"/>
        </w:rPr>
        <w:t> </w:t>
      </w:r>
      <w:r>
        <w:rPr>
          <w:color w:val="231F20"/>
          <w:sz w:val="17"/>
        </w:rPr>
        <w:t>moyen</w:t>
      </w:r>
      <w:r>
        <w:rPr>
          <w:color w:val="231F20"/>
          <w:spacing w:val="-4"/>
          <w:sz w:val="17"/>
        </w:rPr>
        <w:t> </w:t>
      </w:r>
      <w:r>
        <w:rPr>
          <w:color w:val="231F20"/>
          <w:sz w:val="17"/>
        </w:rPr>
        <w:t>de</w:t>
      </w:r>
      <w:r>
        <w:rPr>
          <w:color w:val="231F20"/>
          <w:spacing w:val="-3"/>
          <w:sz w:val="17"/>
        </w:rPr>
        <w:t> </w:t>
      </w:r>
      <w:r>
        <w:rPr>
          <w:color w:val="231F20"/>
          <w:sz w:val="17"/>
        </w:rPr>
        <w:t>salariés</w:t>
      </w:r>
      <w:r>
        <w:rPr>
          <w:color w:val="231F20"/>
          <w:spacing w:val="-4"/>
          <w:sz w:val="17"/>
        </w:rPr>
        <w:t> </w:t>
      </w:r>
      <w:r>
        <w:rPr>
          <w:color w:val="231F20"/>
          <w:sz w:val="17"/>
        </w:rPr>
        <w:t>inférieur</w:t>
      </w:r>
      <w:r>
        <w:rPr>
          <w:color w:val="231F20"/>
          <w:spacing w:val="-3"/>
          <w:sz w:val="17"/>
        </w:rPr>
        <w:t> </w:t>
      </w:r>
      <w:r>
        <w:rPr>
          <w:color w:val="231F20"/>
          <w:sz w:val="17"/>
        </w:rPr>
        <w:t>à</w:t>
      </w:r>
      <w:r>
        <w:rPr>
          <w:color w:val="231F20"/>
          <w:spacing w:val="-4"/>
          <w:sz w:val="17"/>
        </w:rPr>
        <w:t> </w:t>
      </w:r>
      <w:r>
        <w:rPr>
          <w:color w:val="231F20"/>
          <w:sz w:val="17"/>
        </w:rPr>
        <w:t>250</w:t>
      </w:r>
      <w:r>
        <w:rPr>
          <w:color w:val="231F20"/>
          <w:spacing w:val="-3"/>
          <w:sz w:val="17"/>
        </w:rPr>
        <w:t> </w:t>
      </w:r>
      <w:r>
        <w:rPr>
          <w:color w:val="231F20"/>
          <w:sz w:val="17"/>
        </w:rPr>
        <w:t>personnes</w:t>
      </w:r>
      <w:r>
        <w:rPr>
          <w:color w:val="231F20"/>
          <w:spacing w:val="-4"/>
          <w:sz w:val="17"/>
        </w:rPr>
        <w:t> </w:t>
      </w:r>
      <w:r>
        <w:rPr>
          <w:color w:val="231F20"/>
          <w:sz w:val="17"/>
        </w:rPr>
        <w:t>sur</w:t>
      </w:r>
      <w:r>
        <w:rPr>
          <w:color w:val="231F20"/>
          <w:spacing w:val="-4"/>
          <w:sz w:val="17"/>
        </w:rPr>
        <w:t> </w:t>
      </w:r>
      <w:r>
        <w:rPr>
          <w:color w:val="231F20"/>
          <w:sz w:val="17"/>
        </w:rPr>
        <w:t>l’ensemble de l’exercice</w:t>
      </w:r>
      <w:r>
        <w:rPr>
          <w:color w:val="231F20"/>
          <w:spacing w:val="-12"/>
          <w:sz w:val="17"/>
        </w:rPr>
        <w:t> </w:t>
      </w:r>
      <w:r>
        <w:rPr>
          <w:color w:val="231F20"/>
          <w:sz w:val="17"/>
        </w:rPr>
        <w:t>concerné;</w:t>
      </w:r>
    </w:p>
    <w:p>
      <w:pPr>
        <w:pStyle w:val="ListParagraph"/>
        <w:numPr>
          <w:ilvl w:val="0"/>
          <w:numId w:val="110"/>
        </w:numPr>
        <w:tabs>
          <w:tab w:pos="477" w:val="left" w:leader="none"/>
        </w:tabs>
        <w:spacing w:line="240" w:lineRule="auto" w:before="80" w:after="0"/>
        <w:ind w:left="476" w:right="0" w:hanging="193"/>
        <w:jc w:val="left"/>
        <w:rPr>
          <w:sz w:val="17"/>
        </w:rPr>
      </w:pPr>
      <w:r>
        <w:rPr>
          <w:color w:val="231F20"/>
          <w:sz w:val="17"/>
        </w:rPr>
        <w:t>total</w:t>
      </w:r>
      <w:r>
        <w:rPr>
          <w:color w:val="231F20"/>
          <w:spacing w:val="10"/>
          <w:sz w:val="17"/>
        </w:rPr>
        <w:t> </w:t>
      </w:r>
      <w:r>
        <w:rPr>
          <w:color w:val="231F20"/>
          <w:sz w:val="17"/>
        </w:rPr>
        <w:t>du</w:t>
      </w:r>
      <w:r>
        <w:rPr>
          <w:color w:val="231F20"/>
          <w:spacing w:val="11"/>
          <w:sz w:val="17"/>
        </w:rPr>
        <w:t> </w:t>
      </w:r>
      <w:r>
        <w:rPr>
          <w:color w:val="231F20"/>
          <w:sz w:val="17"/>
        </w:rPr>
        <w:t>bilan</w:t>
      </w:r>
      <w:r>
        <w:rPr>
          <w:color w:val="231F20"/>
          <w:spacing w:val="11"/>
          <w:sz w:val="17"/>
        </w:rPr>
        <w:t> </w:t>
      </w:r>
      <w:r>
        <w:rPr>
          <w:color w:val="231F20"/>
          <w:sz w:val="17"/>
        </w:rPr>
        <w:t>inférieur</w:t>
      </w:r>
      <w:r>
        <w:rPr>
          <w:color w:val="231F20"/>
          <w:spacing w:val="11"/>
          <w:sz w:val="17"/>
        </w:rPr>
        <w:t> </w:t>
      </w:r>
      <w:r>
        <w:rPr>
          <w:color w:val="231F20"/>
          <w:sz w:val="17"/>
        </w:rPr>
        <w:t>ou</w:t>
      </w:r>
      <w:r>
        <w:rPr>
          <w:color w:val="231F20"/>
          <w:spacing w:val="11"/>
          <w:sz w:val="17"/>
        </w:rPr>
        <w:t> </w:t>
      </w:r>
      <w:r>
        <w:rPr>
          <w:color w:val="231F20"/>
          <w:sz w:val="17"/>
        </w:rPr>
        <w:t>égal</w:t>
      </w:r>
      <w:r>
        <w:rPr>
          <w:color w:val="231F20"/>
          <w:spacing w:val="11"/>
          <w:sz w:val="17"/>
        </w:rPr>
        <w:t> </w:t>
      </w:r>
      <w:r>
        <w:rPr>
          <w:color w:val="231F20"/>
          <w:sz w:val="17"/>
        </w:rPr>
        <w:t>à</w:t>
      </w:r>
      <w:r>
        <w:rPr>
          <w:color w:val="231F20"/>
          <w:spacing w:val="11"/>
          <w:sz w:val="17"/>
        </w:rPr>
        <w:t> </w:t>
      </w:r>
      <w:r>
        <w:rPr>
          <w:color w:val="231F20"/>
          <w:sz w:val="17"/>
        </w:rPr>
        <w:t>43</w:t>
      </w:r>
      <w:r>
        <w:rPr>
          <w:color w:val="231F20"/>
          <w:spacing w:val="11"/>
          <w:sz w:val="17"/>
        </w:rPr>
        <w:t> </w:t>
      </w:r>
      <w:r>
        <w:rPr>
          <w:color w:val="231F20"/>
          <w:sz w:val="17"/>
        </w:rPr>
        <w:t>000</w:t>
      </w:r>
      <w:r>
        <w:rPr>
          <w:color w:val="231F20"/>
          <w:spacing w:val="11"/>
          <w:sz w:val="17"/>
        </w:rPr>
        <w:t> </w:t>
      </w:r>
      <w:r>
        <w:rPr>
          <w:color w:val="231F20"/>
          <w:sz w:val="17"/>
        </w:rPr>
        <w:t>000</w:t>
      </w:r>
      <w:r>
        <w:rPr>
          <w:color w:val="231F20"/>
          <w:spacing w:val="11"/>
          <w:sz w:val="17"/>
        </w:rPr>
        <w:t> </w:t>
      </w:r>
      <w:r>
        <w:rPr>
          <w:color w:val="231F20"/>
          <w:sz w:val="17"/>
        </w:rPr>
        <w:t>euros;</w:t>
      </w:r>
    </w:p>
    <w:p>
      <w:pPr>
        <w:pStyle w:val="ListParagraph"/>
        <w:numPr>
          <w:ilvl w:val="0"/>
          <w:numId w:val="110"/>
        </w:numPr>
        <w:tabs>
          <w:tab w:pos="467" w:val="left" w:leader="none"/>
        </w:tabs>
        <w:spacing w:line="270" w:lineRule="atLeast" w:before="1" w:after="0"/>
        <w:ind w:left="283" w:right="38" w:firstLine="0"/>
        <w:jc w:val="left"/>
        <w:rPr>
          <w:sz w:val="17"/>
        </w:rPr>
      </w:pPr>
      <w:r>
        <w:rPr>
          <w:color w:val="231F20"/>
          <w:spacing w:val="-3"/>
          <w:sz w:val="17"/>
        </w:rPr>
        <w:t>chiffre </w:t>
      </w:r>
      <w:r>
        <w:rPr>
          <w:color w:val="231F20"/>
          <w:sz w:val="17"/>
        </w:rPr>
        <w:t>d’affaires net annuel inférieur ou égal à 50 000 000 euros; la</w:t>
      </w:r>
      <w:r>
        <w:rPr>
          <w:color w:val="231F20"/>
          <w:spacing w:val="20"/>
          <w:sz w:val="17"/>
        </w:rPr>
        <w:t> </w:t>
      </w:r>
      <w:r>
        <w:rPr>
          <w:color w:val="231F20"/>
          <w:sz w:val="17"/>
        </w:rPr>
        <w:t>constitution</w:t>
      </w:r>
      <w:r>
        <w:rPr>
          <w:color w:val="231F20"/>
          <w:spacing w:val="20"/>
          <w:sz w:val="17"/>
        </w:rPr>
        <w:t> </w:t>
      </w:r>
      <w:r>
        <w:rPr>
          <w:color w:val="231F20"/>
          <w:sz w:val="17"/>
        </w:rPr>
        <w:t>d’un</w:t>
      </w:r>
      <w:r>
        <w:rPr>
          <w:color w:val="231F20"/>
          <w:spacing w:val="20"/>
          <w:sz w:val="17"/>
        </w:rPr>
        <w:t> </w:t>
      </w:r>
      <w:r>
        <w:rPr>
          <w:color w:val="231F20"/>
          <w:sz w:val="17"/>
        </w:rPr>
        <w:t>comité</w:t>
      </w:r>
      <w:r>
        <w:rPr>
          <w:color w:val="231F20"/>
          <w:spacing w:val="21"/>
          <w:sz w:val="17"/>
        </w:rPr>
        <w:t> </w:t>
      </w:r>
      <w:r>
        <w:rPr>
          <w:color w:val="231F20"/>
          <w:sz w:val="17"/>
        </w:rPr>
        <w:t>d’audit</w:t>
      </w:r>
      <w:r>
        <w:rPr>
          <w:color w:val="231F20"/>
          <w:spacing w:val="20"/>
          <w:sz w:val="17"/>
        </w:rPr>
        <w:t> </w:t>
      </w:r>
      <w:r>
        <w:rPr>
          <w:color w:val="231F20"/>
          <w:sz w:val="17"/>
        </w:rPr>
        <w:t>au</w:t>
      </w:r>
      <w:r>
        <w:rPr>
          <w:color w:val="231F20"/>
          <w:spacing w:val="20"/>
          <w:sz w:val="17"/>
        </w:rPr>
        <w:t> </w:t>
      </w:r>
      <w:r>
        <w:rPr>
          <w:color w:val="231F20"/>
          <w:sz w:val="17"/>
        </w:rPr>
        <w:t>sein</w:t>
      </w:r>
      <w:r>
        <w:rPr>
          <w:color w:val="231F20"/>
          <w:spacing w:val="21"/>
          <w:sz w:val="17"/>
        </w:rPr>
        <w:t> </w:t>
      </w:r>
      <w:r>
        <w:rPr>
          <w:color w:val="231F20"/>
          <w:sz w:val="17"/>
        </w:rPr>
        <w:t>du</w:t>
      </w:r>
      <w:r>
        <w:rPr>
          <w:color w:val="231F20"/>
          <w:spacing w:val="20"/>
          <w:sz w:val="17"/>
        </w:rPr>
        <w:t> </w:t>
      </w:r>
      <w:r>
        <w:rPr>
          <w:color w:val="231F20"/>
          <w:sz w:val="17"/>
        </w:rPr>
        <w:t>conseil</w:t>
      </w:r>
      <w:r>
        <w:rPr>
          <w:color w:val="231F20"/>
          <w:spacing w:val="20"/>
          <w:sz w:val="17"/>
        </w:rPr>
        <w:t> </w:t>
      </w:r>
      <w:r>
        <w:rPr>
          <w:color w:val="231F20"/>
          <w:sz w:val="17"/>
        </w:rPr>
        <w:t>d’administra-</w:t>
      </w:r>
    </w:p>
    <w:p>
      <w:pPr>
        <w:pStyle w:val="BodyText"/>
        <w:spacing w:line="218" w:lineRule="auto"/>
        <w:ind w:right="38" w:firstLine="0"/>
      </w:pPr>
      <w:r>
        <w:rPr>
          <w:color w:val="231F20"/>
        </w:rPr>
        <w:t>tion n’est pas obligatoire. Dans ce cas, le conseil d’administration dans son ensemble doit exercer les fonctions attribuées au comité d’audit, à condition qu’il compte au moins un administrateur indépendant et que, si son président est un membre exécutif, il n’exerce pas les fonctions de président tant que le conseil d’administration exerce les fonctions de comité d’audit.</w:t>
      </w:r>
    </w:p>
    <w:p>
      <w:pPr>
        <w:pStyle w:val="BodyText"/>
        <w:spacing w:line="218" w:lineRule="auto" w:before="95"/>
        <w:ind w:right="38"/>
      </w:pPr>
      <w:r>
        <w:rPr>
          <w:color w:val="231F20"/>
          <w:spacing w:val="-4"/>
        </w:rPr>
        <w:t>Tout </w:t>
      </w:r>
      <w:r>
        <w:rPr>
          <w:color w:val="231F20"/>
        </w:rPr>
        <w:t>administrateur qui s’est vu déléguer la gestion journalière visée à l’article 7:121 est dans tous les cas présumé être un membre exécutif du conseil</w:t>
      </w:r>
      <w:r>
        <w:rPr>
          <w:color w:val="231F20"/>
          <w:spacing w:val="-11"/>
        </w:rPr>
        <w:t> </w:t>
      </w:r>
      <w:r>
        <w:rPr>
          <w:color w:val="231F20"/>
        </w:rPr>
        <w:t>d’administration.</w:t>
      </w:r>
    </w:p>
    <w:p>
      <w:pPr>
        <w:pStyle w:val="BodyText"/>
        <w:spacing w:line="218" w:lineRule="auto" w:before="97"/>
        <w:ind w:right="38"/>
      </w:pPr>
      <w:r>
        <w:rPr>
          <w:color w:val="231F20"/>
        </w:rPr>
        <w:t>§ 4. Sans préjudice des missions légales du conseil d’administration, le comité d’audit est au moins chargé des missions suivantes:</w:t>
      </w:r>
    </w:p>
    <w:p>
      <w:pPr>
        <w:pStyle w:val="BodyText"/>
        <w:spacing w:line="218" w:lineRule="auto" w:before="96"/>
        <w:ind w:right="38"/>
      </w:pPr>
      <w:r>
        <w:rPr>
          <w:color w:val="231F20"/>
        </w:rPr>
        <w:t>1° communication au conseil d’administration des résultats du contrôle légal des comptes annuels et, le cas échéant, des comptes consolidés et explications sur la façon dont le contrôle légal des</w:t>
      </w:r>
    </w:p>
    <w:p>
      <w:pPr>
        <w:pStyle w:val="BodyText"/>
        <w:spacing w:line="218" w:lineRule="auto" w:before="119"/>
        <w:ind w:right="123"/>
      </w:pPr>
      <w:r>
        <w:rPr/>
        <w:br w:type="column"/>
      </w:r>
      <w:r>
        <w:rPr>
          <w:color w:val="231F20"/>
        </w:rPr>
        <w:t>Het comité brengt over de voorgenomen beslissing of verrichting een schriftelijk en omstandig gemotiveerd advies uit bij het bestuursorgaan, waarin het minstens volgende elementen behandelt: de aard van de beslissing of verrichting, een beschrijving en een begroting van de vermogensrechtelijke gevolgen, een beschrijving van eventuele andere gevolgen, de voor- en de nadelen ervan voor de vennootschap, in voorkomend geval op termijn. Het comité kadert de voorgestelde beslissing of verrichting in het beleid dat de vennootschap voert, en geeft aan of zij, als zij aan de vennootschap nadelen berokkent, wordt gecompenseerd door andere elementen in dat beleid, dan wel kennelijk onrechtmatig is. De opmerkingen van de expert worden in het advies van het comité verwerkt of er als bijlage aan toegevoegd.</w:t>
      </w:r>
    </w:p>
    <w:p>
      <w:pPr>
        <w:pStyle w:val="BodyText"/>
        <w:spacing w:line="218" w:lineRule="auto" w:before="87"/>
      </w:pPr>
      <w:r>
        <w:rPr>
          <w:color w:val="231F20"/>
        </w:rPr>
        <w:t>§ 4. Na kennis te hebben genomen van het advies van het comité bepaald in paragraaf 3, en onverminderd artikel 7:96, beraadslaagt de raad van bestuur over de voorgenomen beslissing of verrichting.</w:t>
      </w:r>
    </w:p>
    <w:p>
      <w:pPr>
        <w:pStyle w:val="BodyText"/>
        <w:spacing w:line="218" w:lineRule="auto" w:before="85"/>
      </w:pPr>
      <w:r>
        <w:rPr>
          <w:color w:val="231F20"/>
        </w:rPr>
        <w:t>De raad van bestuur bevestigt in de notulen van de vergadering dat de hiervoor omschreven procedure werd nageleefd, en motiveert in voorkomend</w:t>
      </w:r>
      <w:r>
        <w:rPr>
          <w:color w:val="231F20"/>
          <w:spacing w:val="22"/>
        </w:rPr>
        <w:t> </w:t>
      </w:r>
      <w:r>
        <w:rPr>
          <w:color w:val="231F20"/>
        </w:rPr>
        <w:t>geval</w:t>
      </w:r>
      <w:r>
        <w:rPr>
          <w:color w:val="231F20"/>
          <w:spacing w:val="22"/>
        </w:rPr>
        <w:t> </w:t>
      </w:r>
      <w:r>
        <w:rPr>
          <w:color w:val="231F20"/>
        </w:rPr>
        <w:t>waarom</w:t>
      </w:r>
      <w:r>
        <w:rPr>
          <w:color w:val="231F20"/>
          <w:spacing w:val="23"/>
        </w:rPr>
        <w:t> </w:t>
      </w:r>
      <w:r>
        <w:rPr>
          <w:color w:val="231F20"/>
        </w:rPr>
        <w:t>hij</w:t>
      </w:r>
      <w:r>
        <w:rPr>
          <w:color w:val="231F20"/>
          <w:spacing w:val="22"/>
        </w:rPr>
        <w:t> </w:t>
      </w:r>
      <w:r>
        <w:rPr>
          <w:color w:val="231F20"/>
        </w:rPr>
        <w:t>afwijkt</w:t>
      </w:r>
      <w:r>
        <w:rPr>
          <w:color w:val="231F20"/>
          <w:spacing w:val="23"/>
        </w:rPr>
        <w:t> </w:t>
      </w:r>
      <w:r>
        <w:rPr>
          <w:color w:val="231F20"/>
        </w:rPr>
        <w:t>van</w:t>
      </w:r>
      <w:r>
        <w:rPr>
          <w:color w:val="231F20"/>
          <w:spacing w:val="22"/>
        </w:rPr>
        <w:t> </w:t>
      </w:r>
      <w:r>
        <w:rPr>
          <w:color w:val="231F20"/>
        </w:rPr>
        <w:t>het</w:t>
      </w:r>
      <w:r>
        <w:rPr>
          <w:color w:val="231F20"/>
          <w:spacing w:val="23"/>
        </w:rPr>
        <w:t> </w:t>
      </w:r>
      <w:r>
        <w:rPr>
          <w:color w:val="231F20"/>
        </w:rPr>
        <w:t>advies</w:t>
      </w:r>
      <w:r>
        <w:rPr>
          <w:color w:val="231F20"/>
          <w:spacing w:val="22"/>
        </w:rPr>
        <w:t> </w:t>
      </w:r>
      <w:r>
        <w:rPr>
          <w:color w:val="231F20"/>
        </w:rPr>
        <w:t>van</w:t>
      </w:r>
      <w:r>
        <w:rPr>
          <w:color w:val="231F20"/>
          <w:spacing w:val="22"/>
        </w:rPr>
        <w:t> </w:t>
      </w:r>
      <w:r>
        <w:rPr>
          <w:color w:val="231F20"/>
        </w:rPr>
        <w:t>het</w:t>
      </w:r>
      <w:r>
        <w:rPr>
          <w:color w:val="231F20"/>
          <w:spacing w:val="23"/>
        </w:rPr>
        <w:t> </w:t>
      </w:r>
      <w:r>
        <w:rPr>
          <w:color w:val="231F20"/>
        </w:rPr>
        <w:t>comité.</w:t>
      </w:r>
    </w:p>
    <w:p>
      <w:pPr>
        <w:pStyle w:val="BodyText"/>
        <w:spacing w:line="218" w:lineRule="auto" w:before="86"/>
      </w:pPr>
      <w:r>
        <w:rPr>
          <w:color w:val="231F20"/>
        </w:rPr>
        <w:t>De commissaris beoordeelt of er geen van materieel belang zijnde inconsistenties zijn in de financiële en boekhoudkundige gegevens die vermeld staan in de notulen van het bestuursorgaan en in het advies van het comité ten opzichte van de informatie waarover hij beschikt in het kader van zijn opdracht. Dit oordeel wordt aan de notulen van het bestuursorgaan</w:t>
      </w:r>
      <w:r>
        <w:rPr>
          <w:color w:val="231F20"/>
          <w:spacing w:val="15"/>
        </w:rPr>
        <w:t> </w:t>
      </w:r>
      <w:r>
        <w:rPr>
          <w:color w:val="231F20"/>
        </w:rPr>
        <w:t>gehecht.</w:t>
      </w:r>
    </w:p>
    <w:p>
      <w:pPr>
        <w:pStyle w:val="BodyText"/>
        <w:spacing w:line="218" w:lineRule="auto" w:before="86"/>
      </w:pPr>
      <w:r>
        <w:rPr>
          <w:color w:val="231F20"/>
        </w:rPr>
        <w:t>Het besluit van het comité, het volledige relevante deel van de notulen van de raad van bestuur en het oordeel van de commissaris worden in hun geheel opgenomen in het jaarverslag.</w:t>
      </w:r>
    </w:p>
    <w:p>
      <w:pPr>
        <w:pStyle w:val="BodyText"/>
        <w:spacing w:line="218" w:lineRule="auto" w:before="85"/>
      </w:pPr>
      <w:r>
        <w:rPr>
          <w:color w:val="231F20"/>
        </w:rPr>
        <w:t>§ 5.  Onverminderd  het  recht  voor  de  in  de  artikelen  2:44  en  2:46 genoemde personen om de nietigheid of opschorting van het besluit van de raad van bestuur te vorderen, kan de vennootschap de nietigheid vorderen van besluiten of verrichtingen die hebben plaats- gevonden met overtreding van dit artikel, indien de wederpartij bij die besluiten of verrichtingen van die overtreding op de hoogte was of had moeten</w:t>
      </w:r>
      <w:r>
        <w:rPr>
          <w:color w:val="231F20"/>
          <w:spacing w:val="14"/>
        </w:rPr>
        <w:t> </w:t>
      </w:r>
      <w:r>
        <w:rPr>
          <w:color w:val="231F20"/>
        </w:rPr>
        <w:t>zijn.</w:t>
      </w:r>
    </w:p>
    <w:p>
      <w:pPr>
        <w:pStyle w:val="BodyText"/>
        <w:spacing w:line="218" w:lineRule="auto" w:before="86"/>
      </w:pPr>
      <w:r>
        <w:rPr>
          <w:color w:val="231F20"/>
        </w:rPr>
        <w:t>§ 6. De genoteerde vennootschap vermeldt in het jaarverslag de wezenlijke beperkingen of lasten die haar controlerende aandeelhouder haar tijdens het besproken jaar heeft opgelegd, of waarvan hij de instandhouding heeft verlangd.</w:t>
      </w:r>
    </w:p>
    <w:p>
      <w:pPr>
        <w:pStyle w:val="BodyText"/>
        <w:spacing w:before="72"/>
        <w:ind w:left="283" w:right="0" w:firstLine="0"/>
        <w:jc w:val="left"/>
      </w:pPr>
      <w:r>
        <w:rPr>
          <w:color w:val="231F20"/>
        </w:rPr>
        <w:t>Onderafdeling 4. Comités binnen de raad van bestuur.</w:t>
      </w:r>
    </w:p>
    <w:p>
      <w:pPr>
        <w:pStyle w:val="BodyText"/>
        <w:spacing w:line="218" w:lineRule="auto" w:before="82"/>
      </w:pPr>
      <w:r>
        <w:rPr>
          <w:color w:val="231F20"/>
        </w:rPr>
        <w:t>Art. 7:98. De raad van bestuur kan in zijn midden en onder zijn aansprakelijkheid een of meer adviserende comités oprichten. Hij omschrijft hun samenstelling en hun opdracht.</w:t>
      </w:r>
    </w:p>
    <w:p>
      <w:pPr>
        <w:pStyle w:val="BodyText"/>
        <w:spacing w:line="218" w:lineRule="auto" w:before="85"/>
      </w:pPr>
      <w:r>
        <w:rPr>
          <w:color w:val="231F20"/>
        </w:rPr>
        <w:t>Art. 7:99. § 1. De genoteerde vennootschappen en de organisaties van openbaar belang als bedoeld in artikel 1:12, 2°, richten een auditcomité op binnen hun raad van bestuur.</w:t>
      </w:r>
    </w:p>
    <w:p>
      <w:pPr>
        <w:pStyle w:val="BodyText"/>
        <w:spacing w:line="218" w:lineRule="auto" w:before="97"/>
      </w:pPr>
      <w:r>
        <w:rPr>
          <w:color w:val="231F20"/>
        </w:rPr>
        <w:t>§ 2. Het auditcomité is samengesteld uit niet-uitvoerende leden van de raad van bestuur. Ten minste één lid van het auditcomité is een onafhankelijk bestuurder.</w:t>
      </w:r>
    </w:p>
    <w:p>
      <w:pPr>
        <w:pStyle w:val="BodyText"/>
        <w:spacing w:line="218" w:lineRule="auto" w:before="96"/>
      </w:pPr>
      <w:r>
        <w:rPr>
          <w:color w:val="231F20"/>
        </w:rPr>
        <w:t>De voorzitter van het auditcomité wordt benoemd door de leden van het comité.</w:t>
      </w:r>
    </w:p>
    <w:p>
      <w:pPr>
        <w:pStyle w:val="BodyText"/>
        <w:spacing w:line="218" w:lineRule="auto" w:before="96"/>
      </w:pPr>
      <w:r>
        <w:rPr>
          <w:color w:val="231F20"/>
        </w:rPr>
        <w:t>De leden van het auditcomité beschikken over een collectieve deskundigheid op het gebied van de activiteiten van de gecontroleerde vennootschap. Ten minste één lid van het auditcomité beschikt over de nodige deskundigheid op het gebied van boekhouding en audit.</w:t>
      </w:r>
    </w:p>
    <w:p>
      <w:pPr>
        <w:pStyle w:val="BodyText"/>
        <w:spacing w:line="218" w:lineRule="auto" w:before="96"/>
      </w:pPr>
      <w:r>
        <w:rPr>
          <w:color w:val="231F20"/>
        </w:rPr>
        <w:t>§ 3. Vennootschappen die op geconsolideerde basis aan ten minste twee van de volgende drie criteria voldoen:</w:t>
      </w:r>
    </w:p>
    <w:p>
      <w:pPr>
        <w:pStyle w:val="ListParagraph"/>
        <w:numPr>
          <w:ilvl w:val="0"/>
          <w:numId w:val="111"/>
        </w:numPr>
        <w:tabs>
          <w:tab w:pos="474" w:val="left" w:leader="none"/>
        </w:tabs>
        <w:spacing w:line="218" w:lineRule="auto" w:before="94" w:after="0"/>
        <w:ind w:left="113" w:right="124" w:firstLine="170"/>
        <w:jc w:val="both"/>
        <w:rPr>
          <w:sz w:val="17"/>
        </w:rPr>
      </w:pPr>
      <w:r>
        <w:rPr>
          <w:color w:val="231F20"/>
          <w:sz w:val="17"/>
        </w:rPr>
        <w:t>gemiddeld aantal werknemers gedurende het betrokken boekjaar van minder dan 250</w:t>
      </w:r>
      <w:r>
        <w:rPr>
          <w:color w:val="231F20"/>
          <w:spacing w:val="17"/>
          <w:sz w:val="17"/>
        </w:rPr>
        <w:t> </w:t>
      </w:r>
      <w:r>
        <w:rPr>
          <w:color w:val="231F20"/>
          <w:sz w:val="17"/>
        </w:rPr>
        <w:t>personen;</w:t>
      </w:r>
    </w:p>
    <w:p>
      <w:pPr>
        <w:pStyle w:val="ListParagraph"/>
        <w:numPr>
          <w:ilvl w:val="0"/>
          <w:numId w:val="111"/>
        </w:numPr>
        <w:tabs>
          <w:tab w:pos="477" w:val="left" w:leader="none"/>
        </w:tabs>
        <w:spacing w:line="240" w:lineRule="auto" w:before="79" w:after="0"/>
        <w:ind w:left="476" w:right="0" w:hanging="193"/>
        <w:jc w:val="left"/>
        <w:rPr>
          <w:sz w:val="17"/>
        </w:rPr>
      </w:pPr>
      <w:r>
        <w:rPr>
          <w:color w:val="231F20"/>
          <w:sz w:val="17"/>
        </w:rPr>
        <w:t>balanstotaal van minder dan of gelijk aan 43 000</w:t>
      </w:r>
      <w:r>
        <w:rPr>
          <w:color w:val="231F20"/>
          <w:spacing w:val="23"/>
          <w:sz w:val="17"/>
        </w:rPr>
        <w:t> </w:t>
      </w:r>
      <w:r>
        <w:rPr>
          <w:color w:val="231F20"/>
          <w:sz w:val="17"/>
        </w:rPr>
        <w:t>000 euro;</w:t>
      </w:r>
    </w:p>
    <w:p>
      <w:pPr>
        <w:pStyle w:val="ListParagraph"/>
        <w:numPr>
          <w:ilvl w:val="0"/>
          <w:numId w:val="111"/>
        </w:numPr>
        <w:tabs>
          <w:tab w:pos="450" w:val="left" w:leader="none"/>
        </w:tabs>
        <w:spacing w:line="240" w:lineRule="auto" w:before="76" w:after="0"/>
        <w:ind w:left="449" w:right="0" w:hanging="166"/>
        <w:jc w:val="left"/>
        <w:rPr>
          <w:sz w:val="17"/>
        </w:rPr>
      </w:pPr>
      <w:r>
        <w:rPr>
          <w:color w:val="231F20"/>
          <w:sz w:val="17"/>
        </w:rPr>
        <w:t>jaarlijkse</w:t>
      </w:r>
      <w:r>
        <w:rPr>
          <w:color w:val="231F20"/>
          <w:spacing w:val="-13"/>
          <w:sz w:val="17"/>
        </w:rPr>
        <w:t> </w:t>
      </w:r>
      <w:r>
        <w:rPr>
          <w:color w:val="231F20"/>
          <w:sz w:val="17"/>
        </w:rPr>
        <w:t>netto-omzet</w:t>
      </w:r>
      <w:r>
        <w:rPr>
          <w:color w:val="231F20"/>
          <w:spacing w:val="-12"/>
          <w:sz w:val="17"/>
        </w:rPr>
        <w:t> </w:t>
      </w:r>
      <w:r>
        <w:rPr>
          <w:color w:val="231F20"/>
          <w:sz w:val="17"/>
        </w:rPr>
        <w:t>van</w:t>
      </w:r>
      <w:r>
        <w:rPr>
          <w:color w:val="231F20"/>
          <w:spacing w:val="-12"/>
          <w:sz w:val="17"/>
        </w:rPr>
        <w:t> </w:t>
      </w:r>
      <w:r>
        <w:rPr>
          <w:color w:val="231F20"/>
          <w:sz w:val="17"/>
        </w:rPr>
        <w:t>minder</w:t>
      </w:r>
      <w:r>
        <w:rPr>
          <w:color w:val="231F20"/>
          <w:spacing w:val="-13"/>
          <w:sz w:val="17"/>
        </w:rPr>
        <w:t> </w:t>
      </w:r>
      <w:r>
        <w:rPr>
          <w:color w:val="231F20"/>
          <w:sz w:val="17"/>
        </w:rPr>
        <w:t>dan</w:t>
      </w:r>
      <w:r>
        <w:rPr>
          <w:color w:val="231F20"/>
          <w:spacing w:val="-12"/>
          <w:sz w:val="17"/>
        </w:rPr>
        <w:t> </w:t>
      </w:r>
      <w:r>
        <w:rPr>
          <w:color w:val="231F20"/>
          <w:sz w:val="17"/>
        </w:rPr>
        <w:t>of</w:t>
      </w:r>
      <w:r>
        <w:rPr>
          <w:color w:val="231F20"/>
          <w:spacing w:val="-12"/>
          <w:sz w:val="17"/>
        </w:rPr>
        <w:t> </w:t>
      </w:r>
      <w:r>
        <w:rPr>
          <w:color w:val="231F20"/>
          <w:sz w:val="17"/>
        </w:rPr>
        <w:t>gelijk</w:t>
      </w:r>
      <w:r>
        <w:rPr>
          <w:color w:val="231F20"/>
          <w:spacing w:val="-13"/>
          <w:sz w:val="17"/>
        </w:rPr>
        <w:t> </w:t>
      </w:r>
      <w:r>
        <w:rPr>
          <w:color w:val="231F20"/>
          <w:sz w:val="17"/>
        </w:rPr>
        <w:t>aan</w:t>
      </w:r>
      <w:r>
        <w:rPr>
          <w:color w:val="231F20"/>
          <w:spacing w:val="-12"/>
          <w:sz w:val="17"/>
        </w:rPr>
        <w:t> </w:t>
      </w:r>
      <w:r>
        <w:rPr>
          <w:color w:val="231F20"/>
          <w:sz w:val="17"/>
        </w:rPr>
        <w:t>50</w:t>
      </w:r>
      <w:r>
        <w:rPr>
          <w:color w:val="231F20"/>
          <w:spacing w:val="-10"/>
          <w:sz w:val="17"/>
        </w:rPr>
        <w:t> </w:t>
      </w:r>
      <w:r>
        <w:rPr>
          <w:color w:val="231F20"/>
          <w:sz w:val="17"/>
        </w:rPr>
        <w:t>000</w:t>
      </w:r>
      <w:r>
        <w:rPr>
          <w:color w:val="231F20"/>
          <w:spacing w:val="-10"/>
          <w:sz w:val="17"/>
        </w:rPr>
        <w:t> </w:t>
      </w:r>
      <w:r>
        <w:rPr>
          <w:color w:val="231F20"/>
          <w:sz w:val="17"/>
        </w:rPr>
        <w:t>000</w:t>
      </w:r>
      <w:r>
        <w:rPr>
          <w:color w:val="231F20"/>
          <w:spacing w:val="-12"/>
          <w:sz w:val="17"/>
        </w:rPr>
        <w:t> </w:t>
      </w:r>
      <w:r>
        <w:rPr>
          <w:color w:val="231F20"/>
          <w:sz w:val="17"/>
        </w:rPr>
        <w:t>euro;</w:t>
      </w:r>
    </w:p>
    <w:p>
      <w:pPr>
        <w:pStyle w:val="BodyText"/>
        <w:spacing w:line="218" w:lineRule="auto" w:before="92"/>
      </w:pPr>
      <w:r>
        <w:rPr>
          <w:color w:val="231F20"/>
        </w:rPr>
        <w:t>zijn niet verplicht om een auditcomité op te richten binnen hun raad van bestuur. In dat geval moet de raad van bestuur als geheel de aan het auditcomité toegewezen taken uitvoeren, op voorwaarde dat hij ten minste één onafhankelijk bestuurder telt en dat, als zijn voorzitter een uitvoerend lid is, hij niet optreedt als voorzitter wanneer de raad van bestuur</w:t>
      </w:r>
      <w:r>
        <w:rPr>
          <w:color w:val="231F20"/>
          <w:spacing w:val="15"/>
        </w:rPr>
        <w:t> </w:t>
      </w:r>
      <w:r>
        <w:rPr>
          <w:color w:val="231F20"/>
        </w:rPr>
        <w:t>de</w:t>
      </w:r>
      <w:r>
        <w:rPr>
          <w:color w:val="231F20"/>
          <w:spacing w:val="15"/>
        </w:rPr>
        <w:t> </w:t>
      </w:r>
      <w:r>
        <w:rPr>
          <w:color w:val="231F20"/>
        </w:rPr>
        <w:t>functies</w:t>
      </w:r>
      <w:r>
        <w:rPr>
          <w:color w:val="231F20"/>
          <w:spacing w:val="16"/>
        </w:rPr>
        <w:t> </w:t>
      </w:r>
      <w:r>
        <w:rPr>
          <w:color w:val="231F20"/>
        </w:rPr>
        <w:t>van</w:t>
      </w:r>
      <w:r>
        <w:rPr>
          <w:color w:val="231F20"/>
          <w:spacing w:val="15"/>
        </w:rPr>
        <w:t> </w:t>
      </w:r>
      <w:r>
        <w:rPr>
          <w:color w:val="231F20"/>
        </w:rPr>
        <w:t>auditcomité</w:t>
      </w:r>
      <w:r>
        <w:rPr>
          <w:color w:val="231F20"/>
          <w:spacing w:val="16"/>
        </w:rPr>
        <w:t> </w:t>
      </w:r>
      <w:r>
        <w:rPr>
          <w:color w:val="231F20"/>
        </w:rPr>
        <w:t>uitoefent.</w:t>
      </w:r>
    </w:p>
    <w:p>
      <w:pPr>
        <w:pStyle w:val="BodyText"/>
        <w:ind w:left="0" w:right="0" w:firstLine="0"/>
        <w:jc w:val="left"/>
        <w:rPr>
          <w:sz w:val="24"/>
        </w:rPr>
      </w:pPr>
    </w:p>
    <w:p>
      <w:pPr>
        <w:pStyle w:val="BodyText"/>
        <w:spacing w:line="218" w:lineRule="auto"/>
      </w:pPr>
      <w:r>
        <w:rPr>
          <w:color w:val="231F20"/>
        </w:rPr>
        <w:t>Elke bestuurder aan wie het dagelijks  bestuur  als  bedoeld  in  artikel 7:121 is opgedragen wordt in elk geval beschouwd als uitvoe- rend</w:t>
      </w:r>
      <w:r>
        <w:rPr>
          <w:color w:val="231F20"/>
          <w:spacing w:val="15"/>
        </w:rPr>
        <w:t> </w:t>
      </w:r>
      <w:r>
        <w:rPr>
          <w:color w:val="231F20"/>
        </w:rPr>
        <w:t>lid</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raad</w:t>
      </w:r>
      <w:r>
        <w:rPr>
          <w:color w:val="231F20"/>
          <w:spacing w:val="16"/>
        </w:rPr>
        <w:t> </w:t>
      </w:r>
      <w:r>
        <w:rPr>
          <w:color w:val="231F20"/>
        </w:rPr>
        <w:t>van</w:t>
      </w:r>
      <w:r>
        <w:rPr>
          <w:color w:val="231F20"/>
          <w:spacing w:val="15"/>
        </w:rPr>
        <w:t> </w:t>
      </w:r>
      <w:r>
        <w:rPr>
          <w:color w:val="231F20"/>
        </w:rPr>
        <w:t>bestuur.</w:t>
      </w:r>
    </w:p>
    <w:p>
      <w:pPr>
        <w:pStyle w:val="BodyText"/>
        <w:spacing w:line="218" w:lineRule="auto" w:before="96"/>
      </w:pPr>
      <w:r>
        <w:rPr>
          <w:color w:val="231F20"/>
        </w:rPr>
        <w:t>§ 4. Onverminderd de wettelijke opdrachten van de raad van bestuur heeft het auditcomité minstens de volgende taken:</w:t>
      </w:r>
    </w:p>
    <w:p>
      <w:pPr>
        <w:pStyle w:val="BodyText"/>
        <w:spacing w:line="218" w:lineRule="auto" w:before="96"/>
      </w:pPr>
      <w:r>
        <w:rPr>
          <w:color w:val="231F20"/>
        </w:rPr>
        <w:t>1° de raad van bestuur in kennis stellen van het resultaat van de wettelijke controle van de jaarrekening en, in voorkomend geval, van  de geconsolideerde jaarrekening en toelichten op welke wijze</w:t>
      </w:r>
      <w:r>
        <w:rPr>
          <w:color w:val="231F20"/>
          <w:spacing w:val="11"/>
        </w:rPr>
        <w:t> </w:t>
      </w:r>
      <w:r>
        <w:rPr>
          <w:color w:val="231F20"/>
        </w:rPr>
        <w:t>de</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hanging="1"/>
      </w:pPr>
      <w:r>
        <w:rPr/>
        <w:pict>
          <v:line style="position:absolute;mso-position-horizontal-relative:page;mso-position-vertical-relative:page;z-index:5056" from="298.170502pt,64.473pt" to="298.170502pt,812.819pt" stroked="true" strokeweight=".533pt" strokecolor="#231f20">
            <v:stroke dashstyle="solid"/>
            <w10:wrap type="none"/>
          </v:line>
        </w:pict>
      </w:r>
      <w:bookmarkStart w:name="_bookmark168" w:id="173"/>
      <w:bookmarkEnd w:id="173"/>
      <w:r>
        <w:rPr/>
      </w:r>
      <w:r>
        <w:rPr>
          <w:color w:val="231F20"/>
        </w:rPr>
        <w:t>comptes annuels et, le cas échéant, des comptes consolidés ont contribué à l’intégrité de l’information financière et sur le rôle que le comité d’audit a joué dans ce processus;</w:t>
      </w:r>
    </w:p>
    <w:p>
      <w:pPr>
        <w:pStyle w:val="BodyText"/>
        <w:spacing w:before="9"/>
        <w:ind w:left="0" w:right="0" w:firstLine="0"/>
        <w:jc w:val="left"/>
        <w:rPr>
          <w:sz w:val="24"/>
        </w:rPr>
      </w:pPr>
    </w:p>
    <w:p>
      <w:pPr>
        <w:pStyle w:val="BodyText"/>
        <w:spacing w:line="218" w:lineRule="auto" w:before="1"/>
        <w:ind w:right="38"/>
      </w:pPr>
      <w:r>
        <w:rPr>
          <w:color w:val="231F20"/>
        </w:rPr>
        <w:t>2° suivi du processus d’élaboration de l’information financière et présentation de recommandations ou de propositions pour en garantir l’intégrité;</w:t>
      </w:r>
    </w:p>
    <w:p>
      <w:pPr>
        <w:pStyle w:val="BodyText"/>
        <w:spacing w:line="218" w:lineRule="auto" w:before="106"/>
        <w:ind w:right="38"/>
      </w:pPr>
      <w:r>
        <w:rPr>
          <w:color w:val="231F20"/>
        </w:rPr>
        <w:t>3° suivi de l’efficacité des systèmes de contrôle interne et de gestion des risques de la société ainsi que, s’il existe un audit interne, suivi de celui-ci et de son efficacité;</w:t>
      </w:r>
    </w:p>
    <w:p>
      <w:pPr>
        <w:pStyle w:val="BodyText"/>
        <w:spacing w:before="10"/>
        <w:ind w:left="0" w:right="0" w:firstLine="0"/>
        <w:jc w:val="left"/>
        <w:rPr>
          <w:sz w:val="24"/>
        </w:rPr>
      </w:pPr>
    </w:p>
    <w:p>
      <w:pPr>
        <w:pStyle w:val="BodyText"/>
        <w:spacing w:line="218" w:lineRule="auto"/>
        <w:ind w:right="38"/>
      </w:pPr>
      <w:r>
        <w:rPr>
          <w:color w:val="231F20"/>
        </w:rPr>
        <w:t>4° suivi du contrôle légal des comptes annuels et des comptes consolidés, en ce compris le suivi des questions et recommandations formulées par le commissaire et le cas échéant par le réviseur d’entreprises chargé du contrôle des comptes consolidés;</w:t>
      </w:r>
    </w:p>
    <w:p>
      <w:pPr>
        <w:pStyle w:val="BodyText"/>
        <w:spacing w:before="10"/>
        <w:ind w:left="0" w:right="0" w:firstLine="0"/>
        <w:jc w:val="left"/>
        <w:rPr>
          <w:sz w:val="24"/>
        </w:rPr>
      </w:pPr>
    </w:p>
    <w:p>
      <w:pPr>
        <w:pStyle w:val="BodyText"/>
        <w:spacing w:line="218" w:lineRule="auto" w:before="1"/>
        <w:ind w:right="38"/>
      </w:pPr>
      <w:r>
        <w:rPr>
          <w:color w:val="231F20"/>
        </w:rPr>
        <w:t>5° examen et suivi de l’indépendance du commissaire et le cas échéant du réviseur d’entreprises chargé du contrôle des comptes consolidés, en particulier pour ce qui concerne le bien-fondé de la fourniture de services complémentaires à la société. En particulier, il analyse avec le commissaire les risques pesant sur l’indépendance de celui-ci et les mesures de sauvegarde appliquées pour atténuer ces risques, lorsque les honoraires totaux relatifs à une entité d’intérêt public visée à l’article 1:12 dépassent les critères fixés par l’article 4, § 3, du règlement (UE) n° 537/2014;</w:t>
      </w:r>
    </w:p>
    <w:p>
      <w:pPr>
        <w:pStyle w:val="BodyText"/>
        <w:spacing w:before="10"/>
        <w:ind w:left="0" w:right="0" w:firstLine="0"/>
        <w:jc w:val="left"/>
        <w:rPr>
          <w:sz w:val="24"/>
        </w:rPr>
      </w:pPr>
    </w:p>
    <w:p>
      <w:pPr>
        <w:pStyle w:val="BodyText"/>
        <w:spacing w:line="218" w:lineRule="auto"/>
        <w:ind w:right="38"/>
      </w:pPr>
      <w:r>
        <w:rPr>
          <w:color w:val="231F20"/>
        </w:rPr>
        <w:t>6° recommandation au conseil d’administration de la société pour la désignation du commissaire et, le cas échéant, du réviseur d’entreprises chargé du contrôle des comptes consolidés, conformément à l’article 16,</w:t>
      </w:r>
    </w:p>
    <w:p>
      <w:pPr>
        <w:pStyle w:val="BodyText"/>
        <w:spacing w:line="179" w:lineRule="exact"/>
        <w:ind w:right="0" w:firstLine="0"/>
        <w:jc w:val="left"/>
      </w:pPr>
      <w:r>
        <w:rPr>
          <w:color w:val="231F20"/>
        </w:rPr>
        <w:t>§ 2, du règlement (UE) n° 537/2014.</w:t>
      </w:r>
    </w:p>
    <w:p>
      <w:pPr>
        <w:pStyle w:val="BodyText"/>
        <w:spacing w:before="6"/>
        <w:ind w:left="0" w:right="0" w:firstLine="0"/>
        <w:jc w:val="left"/>
        <w:rPr>
          <w:sz w:val="25"/>
        </w:rPr>
      </w:pPr>
    </w:p>
    <w:p>
      <w:pPr>
        <w:pStyle w:val="BodyText"/>
        <w:spacing w:line="218" w:lineRule="auto"/>
        <w:ind w:right="38"/>
      </w:pPr>
      <w:r>
        <w:rPr>
          <w:color w:val="231F20"/>
        </w:rPr>
        <w:t>Si</w:t>
      </w:r>
      <w:r>
        <w:rPr>
          <w:color w:val="231F20"/>
          <w:spacing w:val="-8"/>
        </w:rPr>
        <w:t> </w:t>
      </w:r>
      <w:r>
        <w:rPr>
          <w:color w:val="231F20"/>
        </w:rPr>
        <w:t>le</w:t>
      </w:r>
      <w:r>
        <w:rPr>
          <w:color w:val="231F20"/>
          <w:spacing w:val="-7"/>
        </w:rPr>
        <w:t> </w:t>
      </w:r>
      <w:r>
        <w:rPr>
          <w:color w:val="231F20"/>
        </w:rPr>
        <w:t>renouvellement</w:t>
      </w:r>
      <w:r>
        <w:rPr>
          <w:color w:val="231F20"/>
          <w:spacing w:val="-7"/>
        </w:rPr>
        <w:t> </w:t>
      </w:r>
      <w:r>
        <w:rPr>
          <w:color w:val="231F20"/>
        </w:rPr>
        <w:t>du</w:t>
      </w:r>
      <w:r>
        <w:rPr>
          <w:color w:val="231F20"/>
          <w:spacing w:val="-7"/>
        </w:rPr>
        <w:t> </w:t>
      </w:r>
      <w:r>
        <w:rPr>
          <w:color w:val="231F20"/>
        </w:rPr>
        <w:t>mandat</w:t>
      </w:r>
      <w:r>
        <w:rPr>
          <w:color w:val="231F20"/>
          <w:spacing w:val="-7"/>
        </w:rPr>
        <w:t> </w:t>
      </w:r>
      <w:r>
        <w:rPr>
          <w:color w:val="231F20"/>
        </w:rPr>
        <w:t>est</w:t>
      </w:r>
      <w:r>
        <w:rPr>
          <w:color w:val="231F20"/>
          <w:spacing w:val="-7"/>
        </w:rPr>
        <w:t> </w:t>
      </w:r>
      <w:r>
        <w:rPr>
          <w:color w:val="231F20"/>
          <w:spacing w:val="7"/>
        </w:rPr>
        <w:t>viséà</w:t>
      </w:r>
      <w:r>
        <w:rPr>
          <w:color w:val="231F20"/>
          <w:spacing w:val="-7"/>
        </w:rPr>
        <w:t> </w:t>
      </w:r>
      <w:r>
        <w:rPr>
          <w:color w:val="231F20"/>
        </w:rPr>
        <w:t>l’article</w:t>
      </w:r>
      <w:r>
        <w:rPr>
          <w:color w:val="231F20"/>
          <w:spacing w:val="-8"/>
        </w:rPr>
        <w:t> </w:t>
      </w:r>
      <w:r>
        <w:rPr>
          <w:color w:val="231F20"/>
        </w:rPr>
        <w:t>3:58,</w:t>
      </w:r>
      <w:r>
        <w:rPr>
          <w:color w:val="231F20"/>
          <w:spacing w:val="-7"/>
        </w:rPr>
        <w:t> </w:t>
      </w:r>
      <w:r>
        <w:rPr>
          <w:color w:val="231F20"/>
        </w:rPr>
        <w:t>§§</w:t>
      </w:r>
      <w:r>
        <w:rPr>
          <w:color w:val="231F20"/>
          <w:spacing w:val="-7"/>
        </w:rPr>
        <w:t> </w:t>
      </w:r>
      <w:r>
        <w:rPr>
          <w:color w:val="231F20"/>
        </w:rPr>
        <w:t>3</w:t>
      </w:r>
      <w:r>
        <w:rPr>
          <w:color w:val="231F20"/>
          <w:spacing w:val="-7"/>
        </w:rPr>
        <w:t> </w:t>
      </w:r>
      <w:r>
        <w:rPr>
          <w:color w:val="231F20"/>
        </w:rPr>
        <w:t>ou</w:t>
      </w:r>
      <w:r>
        <w:rPr>
          <w:color w:val="231F20"/>
          <w:spacing w:val="-7"/>
        </w:rPr>
        <w:t> </w:t>
      </w:r>
      <w:r>
        <w:rPr>
          <w:color w:val="231F20"/>
        </w:rPr>
        <w:t>4,</w:t>
      </w:r>
      <w:r>
        <w:rPr>
          <w:color w:val="231F20"/>
          <w:spacing w:val="-7"/>
        </w:rPr>
        <w:t> </w:t>
      </w:r>
      <w:r>
        <w:rPr>
          <w:color w:val="231F20"/>
        </w:rPr>
        <w:t>cette recommandation au conseil d’administration sera élaborée à l’issue d’une procédure de sélection visée à l’article 16, § 3, du règlement (UE) n°</w:t>
      </w:r>
      <w:r>
        <w:rPr>
          <w:color w:val="231F20"/>
          <w:spacing w:val="14"/>
        </w:rPr>
        <w:t> </w:t>
      </w:r>
      <w:r>
        <w:rPr>
          <w:color w:val="231F20"/>
        </w:rPr>
        <w:t>537/2014.</w:t>
      </w:r>
    </w:p>
    <w:p>
      <w:pPr>
        <w:pStyle w:val="BodyText"/>
        <w:spacing w:line="218" w:lineRule="auto" w:before="118"/>
        <w:ind w:right="38"/>
      </w:pPr>
      <w:r>
        <w:rPr>
          <w:color w:val="231F20"/>
        </w:rPr>
        <w:t>§ 5. Le comité d’audit se réunit chaque fois qu’il le juge nécessaire pour remplir correctement ses tâches et au moins quatre fois par an.</w:t>
      </w:r>
    </w:p>
    <w:p>
      <w:pPr>
        <w:pStyle w:val="BodyText"/>
        <w:spacing w:before="9"/>
        <w:ind w:left="0" w:right="0" w:firstLine="0"/>
        <w:jc w:val="left"/>
        <w:rPr>
          <w:sz w:val="25"/>
        </w:rPr>
      </w:pPr>
    </w:p>
    <w:p>
      <w:pPr>
        <w:pStyle w:val="BodyText"/>
        <w:spacing w:line="218" w:lineRule="auto"/>
        <w:ind w:right="38"/>
      </w:pPr>
      <w:r>
        <w:rPr>
          <w:color w:val="231F20"/>
        </w:rPr>
        <w:t>Le comité d’audit fait régulièrement rapport au conseil d’adminis- tration sur l’exercice de ses missions, et dans tous les cas lorsque le conseil d’administration établit les comptes annuels, les comptes consolidés et, le cas échéant, les états financiers résumés destinés à la publication.</w:t>
      </w:r>
    </w:p>
    <w:p>
      <w:pPr>
        <w:pStyle w:val="BodyText"/>
        <w:spacing w:line="218" w:lineRule="auto" w:before="117"/>
        <w:ind w:right="38"/>
      </w:pPr>
      <w:r>
        <w:rPr>
          <w:color w:val="231F20"/>
        </w:rPr>
        <w:t>§ 6. Sans préjudice des dispositions légales prévoyant la remise des rapports ou les avertissements du commissaire aux organes de la société, à la demande du commissaire et, le cas échéant, du réviseur d’entreprises chargé du contrôle des comptes consolidés ou à la demande du comité d’audit ou du conseil d’administration, le commis- saire et, le cas échéant, le réviseur d’entreprises chargé du contrôle des comptes consolidés examinent avec le comité d’audit, ou même avec le conseil d’administration, les questions essentielles apparues lors de l’exercice de leur mission de contrôle légal des comptes annuels, qui sont mentionnés dans le rapport complémentaire destiné au comité d’audit, en particulier les carences significatives détectées le cas</w:t>
      </w:r>
      <w:r>
        <w:rPr>
          <w:color w:val="231F20"/>
          <w:spacing w:val="-20"/>
        </w:rPr>
        <w:t> </w:t>
      </w:r>
      <w:r>
        <w:rPr>
          <w:color w:val="231F20"/>
        </w:rPr>
        <w:t>échéant dans le système de contrôle financier interne de la société ou, dans le cas de comptes consolidés, dans celui de la société mère ou dans son système</w:t>
      </w:r>
      <w:r>
        <w:rPr>
          <w:color w:val="231F20"/>
          <w:spacing w:val="15"/>
        </w:rPr>
        <w:t> </w:t>
      </w:r>
      <w:r>
        <w:rPr>
          <w:color w:val="231F20"/>
        </w:rPr>
        <w:t>comptable.</w:t>
      </w:r>
    </w:p>
    <w:p>
      <w:pPr>
        <w:pStyle w:val="BodyText"/>
        <w:spacing w:before="11"/>
        <w:ind w:left="0" w:right="0" w:firstLine="0"/>
        <w:jc w:val="left"/>
        <w:rPr>
          <w:sz w:val="25"/>
        </w:rPr>
      </w:pPr>
    </w:p>
    <w:p>
      <w:pPr>
        <w:pStyle w:val="BodyText"/>
        <w:spacing w:line="218" w:lineRule="auto"/>
        <w:ind w:right="38"/>
      </w:pPr>
      <w:r>
        <w:rPr>
          <w:color w:val="231F20"/>
        </w:rPr>
        <w:t>§ 7. Le commissaire et, le cas échéant, le réviseur d’entreprises chargé du contrôle des comptes consolidés ou le cabinet d’audit enregistré:</w:t>
      </w:r>
    </w:p>
    <w:p>
      <w:pPr>
        <w:pStyle w:val="BodyText"/>
        <w:spacing w:before="9"/>
        <w:ind w:left="0" w:right="0" w:firstLine="0"/>
        <w:jc w:val="left"/>
        <w:rPr>
          <w:sz w:val="25"/>
        </w:rPr>
      </w:pPr>
    </w:p>
    <w:p>
      <w:pPr>
        <w:pStyle w:val="BodyText"/>
        <w:spacing w:line="218" w:lineRule="auto"/>
        <w:ind w:right="38"/>
      </w:pPr>
      <w:r>
        <w:rPr>
          <w:color w:val="231F20"/>
        </w:rPr>
        <w:t>1° confirment chaque année par écrit au comité d’audit, selon le cas, que le commissaire ou le réviseur d’entreprises chargé du contrôle des comptes consolidés et ses associés ainsi que les membres des instances dirigeantes et les gestionnaires qui effectuent le contrôle légal des comptes sont indépendants par rapport à la société;</w:t>
      </w:r>
    </w:p>
    <w:p>
      <w:pPr>
        <w:pStyle w:val="BodyText"/>
        <w:spacing w:line="218" w:lineRule="auto" w:before="118"/>
        <w:ind w:right="38"/>
      </w:pPr>
      <w:r>
        <w:rPr>
          <w:color w:val="231F20"/>
        </w:rPr>
        <w:t>2° communiquent chaque année au comité d’audit les services additionnels fournis à la société;</w:t>
      </w:r>
    </w:p>
    <w:p>
      <w:pPr>
        <w:pStyle w:val="BodyText"/>
        <w:spacing w:line="218" w:lineRule="auto" w:before="117"/>
        <w:ind w:right="38"/>
      </w:pPr>
      <w:r>
        <w:rPr>
          <w:color w:val="231F20"/>
        </w:rPr>
        <w:t>3° examinent avec le comité d’audit les risques pesant sur leur indépendance et les mesures de sauvegarde appliquées pour atténuer ces risques, consignées par eux. En particulier, ils informent et analysent avec le comité d’audit les risques pesant sur leur indépen- dance et les mesures de sauvegarde appliquées pour atténuer ces risques, lorsque les honoraires totaux, relatifs à une entité d’intérêt public visée à l’article 1:12 qu’ils perçoivent, dépassent les critères fixés par l’article 4, § 3, du règlement (UE) n° 537/2014;</w:t>
      </w:r>
    </w:p>
    <w:p>
      <w:pPr>
        <w:pStyle w:val="BodyText"/>
        <w:spacing w:line="218" w:lineRule="auto" w:before="119"/>
        <w:ind w:right="123" w:firstLine="0"/>
      </w:pPr>
      <w:r>
        <w:rPr/>
        <w:br w:type="column"/>
      </w:r>
      <w:r>
        <w:rPr>
          <w:color w:val="231F20"/>
        </w:rPr>
        <w:t>wettelijke controle van de jaarrekening en, in voorkomend geval, van  de geconsolideerde jaarrekening heeft bijgedragen tot de integriteit van de financiële verslaglegging en welke rol het auditcomité in dat proces heeft</w:t>
      </w:r>
      <w:r>
        <w:rPr>
          <w:color w:val="231F20"/>
          <w:spacing w:val="15"/>
        </w:rPr>
        <w:t> </w:t>
      </w:r>
      <w:r>
        <w:rPr>
          <w:color w:val="231F20"/>
        </w:rPr>
        <w:t>gespeeld;</w:t>
      </w:r>
    </w:p>
    <w:p>
      <w:pPr>
        <w:pStyle w:val="BodyText"/>
        <w:spacing w:line="218" w:lineRule="auto" w:before="107"/>
      </w:pPr>
      <w:r>
        <w:rPr>
          <w:color w:val="231F20"/>
        </w:rPr>
        <w:t>2° monitoring van het financiële verslaggevingsproces en aanbeve- lingen of voorstellen doen om de integriteit van het proces te waarborgen;</w:t>
      </w:r>
    </w:p>
    <w:p>
      <w:pPr>
        <w:pStyle w:val="BodyText"/>
        <w:spacing w:line="218" w:lineRule="auto" w:before="107"/>
      </w:pPr>
      <w:r>
        <w:rPr>
          <w:color w:val="231F20"/>
        </w:rPr>
        <w:t>3° monitoring van de doeltreffendheid van de systemen voor interne controle en risicobeheer van de vennootschap alsook, indien er een interne audit bestaat, monitoring van de interne audit en van zijn doeltreffendheid;</w:t>
      </w:r>
    </w:p>
    <w:p>
      <w:pPr>
        <w:pStyle w:val="BodyText"/>
        <w:spacing w:line="218" w:lineRule="auto" w:before="107"/>
      </w:pPr>
      <w:r>
        <w:rPr>
          <w:color w:val="231F20"/>
        </w:rPr>
        <w:t>4° monitoring van de wettelijke controle van de jaarrekening en de geconsolideerde jaarrekening, inclusief opvolging van de vragen en aanbevelingen geformuleerd door de commissaris en, in voorkomend geval, door de bedrijfsrevisor die instaat voor de controle van de geconsolideerde jaarrekening;</w:t>
      </w:r>
    </w:p>
    <w:p>
      <w:pPr>
        <w:pStyle w:val="BodyText"/>
        <w:spacing w:line="218" w:lineRule="auto" w:before="107"/>
      </w:pPr>
      <w:r>
        <w:rPr>
          <w:color w:val="231F20"/>
        </w:rPr>
        <w:t>5° beoordeling en monitoring van de onafhankelijkheid van de commissaris en, in voorkomend geval, van de bedrijfsrevisor die instaat voor de controle van de geconsolideerde jaarrekening, waarbij met name wordt nagegaan of de verlening van bijkomende diensten aan de vennootschap passend is. Meer in het bijzonder analyseert het audit- comité met de commissaris de bedreigingen voor zijn onafhankelijk- heid en de veiligheidsmaatregelen die genomen zijn om deze bedrei- gingen in te perken, wanneer de totale honoraria bij een organisatie van openbaar belang, bedoeld in artikel 1:12, meer bedragen dan de criteria bepaald in artikel 4, lid 3, van de verordening (EU) nr. 537/2014;</w:t>
      </w:r>
    </w:p>
    <w:p>
      <w:pPr>
        <w:pStyle w:val="BodyText"/>
        <w:spacing w:line="218" w:lineRule="auto" w:before="108"/>
      </w:pPr>
      <w:r>
        <w:rPr>
          <w:color w:val="231F20"/>
        </w:rPr>
        <w:t>6° aanbeveling aan de raad van bestuur van de vennootschap voor de benoeming van de commissaris en, in voorkomend geval, van de bedrijfsrevisor die instaat voor de wettelijke controle van de geconso- lideerde jaarrekening, overeenkomstig artikel 16, lid 2, van verordening (EU) nr. 537/2014.</w:t>
      </w:r>
    </w:p>
    <w:p>
      <w:pPr>
        <w:pStyle w:val="BodyText"/>
        <w:spacing w:line="185" w:lineRule="exact" w:before="103"/>
        <w:ind w:left="283" w:right="0" w:firstLine="0"/>
        <w:jc w:val="left"/>
      </w:pPr>
      <w:r>
        <w:rPr>
          <w:color w:val="231F20"/>
        </w:rPr>
        <w:t>Indien de hernieuwing van het mandaat valt onder artikel 3:58,</w:t>
      </w:r>
    </w:p>
    <w:p>
      <w:pPr>
        <w:pStyle w:val="BodyText"/>
        <w:spacing w:line="218" w:lineRule="auto" w:before="6"/>
        <w:ind w:firstLine="0"/>
      </w:pPr>
      <w:r>
        <w:rPr>
          <w:color w:val="231F20"/>
        </w:rPr>
        <w:t>§§ 3 of 4, zal deze aanbeveling aan de raad van bestuur worden uitgewerkt aansluitend op de selectieprocedure bedoeld in artikel 16, lid 3, van verordening (EU)</w:t>
      </w:r>
      <w:r>
        <w:rPr>
          <w:color w:val="231F20"/>
          <w:spacing w:val="14"/>
        </w:rPr>
        <w:t> </w:t>
      </w:r>
      <w:r>
        <w:rPr>
          <w:color w:val="231F20"/>
          <w:spacing w:val="-5"/>
        </w:rPr>
        <w:t>nr. </w:t>
      </w:r>
      <w:r>
        <w:rPr>
          <w:color w:val="231F20"/>
        </w:rPr>
        <w:t>537/2014.</w:t>
      </w:r>
    </w:p>
    <w:p>
      <w:pPr>
        <w:pStyle w:val="BodyText"/>
        <w:spacing w:line="218" w:lineRule="auto" w:before="117"/>
      </w:pPr>
      <w:r>
        <w:rPr>
          <w:color w:val="231F20"/>
        </w:rPr>
        <w:t>§ 5. Het auditcomité komt samen telkens wanneer het dit noodzake- lijk acht om zijn taken naar behoren te vervullen en ten minste</w:t>
      </w:r>
      <w:r>
        <w:rPr>
          <w:color w:val="231F20"/>
          <w:spacing w:val="-13"/>
        </w:rPr>
        <w:t> </w:t>
      </w:r>
      <w:r>
        <w:rPr>
          <w:color w:val="231F20"/>
        </w:rPr>
        <w:t>viermaal per</w:t>
      </w:r>
      <w:r>
        <w:rPr>
          <w:color w:val="231F20"/>
          <w:spacing w:val="14"/>
        </w:rPr>
        <w:t> </w:t>
      </w:r>
      <w:r>
        <w:rPr>
          <w:color w:val="231F20"/>
          <w:spacing w:val="-3"/>
        </w:rPr>
        <w:t>jaar.</w:t>
      </w:r>
    </w:p>
    <w:p>
      <w:pPr>
        <w:pStyle w:val="BodyText"/>
        <w:spacing w:line="218" w:lineRule="auto" w:before="118"/>
      </w:pPr>
      <w:r>
        <w:rPr>
          <w:color w:val="231F20"/>
        </w:rPr>
        <w:t>Het auditcomité brengt bij de raad van bestuur geregeld verslag uit over de uitoefening van zijn taken, en in ieder geval wanneer de raad van bestuur de jaarrekening, de geconsolideerde jaarrekening en, in voorkomend geval, de voor publicatie bestemde verkorte financiële overzichten opstelt.</w:t>
      </w:r>
    </w:p>
    <w:p>
      <w:pPr>
        <w:pStyle w:val="BodyText"/>
        <w:spacing w:line="218" w:lineRule="auto" w:before="118"/>
        <w:ind w:right="123"/>
      </w:pPr>
      <w:r>
        <w:rPr>
          <w:color w:val="231F20"/>
        </w:rPr>
        <w:t>§ 6. Onverminderd de wettelijke bepalingen die erin voorzien dat de commissaris verslagen of waarschuwingen richt aan organen van de vennootschap, bespreken, op vraag van de commissaris en, in voorko- mend geval, van de bedrijfsrevisor die instaat voor de controle van de geconsolideerde jaarrekening of op vraag van het auditcomité of van de raad van bestuur, de commissaris en, in voorkomend geval, de bedrijfsrevisor die instaat voor de controle van de geconsolideerde jaarrekening, met het auditcomité of zelfs met de raad van bestuur essentiële zaken die bij de uitoefening van hun wettelijke controle van de jaarrekeningen aan het licht zijn gekomen, die zijn opgenomen in de aanvullende verklaring aan het auditcomité, en meer bepaald de betekenisvolle tekortkomingen desgevallend ontdekt in het interne financiële controlesysteem van de vennootschap of, in het geval van geconsolideerde jaarrekening, van de moedervennootschap of in haar boekhoudsysteem.</w:t>
      </w:r>
    </w:p>
    <w:p>
      <w:pPr>
        <w:pStyle w:val="BodyText"/>
        <w:spacing w:line="218" w:lineRule="auto" w:before="118"/>
      </w:pPr>
      <w:r>
        <w:rPr>
          <w:color w:val="231F20"/>
        </w:rPr>
        <w:t>§ 7. De commissaris en, in voorkomend geval, de bedrijfsrevisor die instaat voor de controle van de geconsolideerde jaarrekening of het geregistreerd auditkantoor:</w:t>
      </w:r>
    </w:p>
    <w:p>
      <w:pPr>
        <w:pStyle w:val="BodyText"/>
        <w:spacing w:line="218" w:lineRule="auto" w:before="118"/>
        <w:ind w:right="123"/>
      </w:pPr>
      <w:r>
        <w:rPr>
          <w:color w:val="231F20"/>
        </w:rPr>
        <w:t>1° bevestigen jaarlijks schriftelijk aan het auditcomité dat, naargelang van het geval, de commissaris of de bedrijfsrevisor die instaat voor de controle van de geconsolideerde jaarrekening, en zijn vennoten, alsook de hogere leidinggevenden en leidinggevenden die de wettelijke controle uitvoeren, onafhankelijk zijn van de vennootschap;</w:t>
      </w:r>
    </w:p>
    <w:p>
      <w:pPr>
        <w:pStyle w:val="BodyText"/>
        <w:spacing w:line="218" w:lineRule="auto" w:before="117"/>
      </w:pPr>
      <w:r>
        <w:rPr>
          <w:color w:val="231F20"/>
        </w:rPr>
        <w:t>2° melden jaarlijks alle voor de vennootschap verrichte bijkomende diensten aan het auditcomité;</w:t>
      </w:r>
    </w:p>
    <w:p>
      <w:pPr>
        <w:pStyle w:val="BodyText"/>
        <w:spacing w:line="218" w:lineRule="auto" w:before="118"/>
        <w:ind w:right="123"/>
      </w:pPr>
      <w:r>
        <w:rPr>
          <w:color w:val="231F20"/>
        </w:rPr>
        <w:t>3° voeren overleg met het auditcomité over de  bedreigingen</w:t>
      </w:r>
      <w:r>
        <w:rPr>
          <w:color w:val="231F20"/>
          <w:spacing w:val="19"/>
        </w:rPr>
        <w:t> </w:t>
      </w:r>
      <w:r>
        <w:rPr>
          <w:color w:val="231F20"/>
        </w:rPr>
        <w:t>voor hun onafhankelijkheid en de veiligheidsmaatregelen genomen om deze bedreigingen in te perken, zoals door hen onderbouwd. Meer in het bijzonder informeren zij en analyseren zij met het auditcomité de bedreigingen voor hun onafhankelijkheid en de veiligheidsmaatregelen die genomen zijn om deze bedreigingen in te perken, wanneer de totale honoraria die zij van een organisatie van openbaar belang, bedoeld in artikel 1:12, ontvangen meer bedragen dan de criteria bepaald in  artikel</w:t>
      </w:r>
      <w:r>
        <w:rPr>
          <w:color w:val="231F20"/>
          <w:spacing w:val="13"/>
        </w:rPr>
        <w:t> </w:t>
      </w:r>
      <w:r>
        <w:rPr>
          <w:color w:val="231F20"/>
        </w:rPr>
        <w:t>4,</w:t>
      </w:r>
      <w:r>
        <w:rPr>
          <w:color w:val="231F20"/>
          <w:spacing w:val="14"/>
        </w:rPr>
        <w:t> </w:t>
      </w:r>
      <w:r>
        <w:rPr>
          <w:color w:val="231F20"/>
        </w:rPr>
        <w:t>lid</w:t>
      </w:r>
      <w:r>
        <w:rPr>
          <w:color w:val="231F20"/>
          <w:spacing w:val="14"/>
        </w:rPr>
        <w:t> </w:t>
      </w:r>
      <w:r>
        <w:rPr>
          <w:color w:val="231F20"/>
        </w:rPr>
        <w:t>3,</w:t>
      </w:r>
      <w:r>
        <w:rPr>
          <w:color w:val="231F20"/>
          <w:spacing w:val="13"/>
        </w:rPr>
        <w:t> </w:t>
      </w:r>
      <w:r>
        <w:rPr>
          <w:color w:val="231F20"/>
        </w:rPr>
        <w:t>van</w:t>
      </w:r>
      <w:r>
        <w:rPr>
          <w:color w:val="231F20"/>
          <w:spacing w:val="14"/>
        </w:rPr>
        <w:t> </w:t>
      </w:r>
      <w:r>
        <w:rPr>
          <w:color w:val="231F20"/>
        </w:rPr>
        <w:t>de</w:t>
      </w:r>
      <w:r>
        <w:rPr>
          <w:color w:val="231F20"/>
          <w:spacing w:val="14"/>
        </w:rPr>
        <w:t> </w:t>
      </w:r>
      <w:r>
        <w:rPr>
          <w:color w:val="231F20"/>
        </w:rPr>
        <w:t>verordening</w:t>
      </w:r>
      <w:r>
        <w:rPr>
          <w:color w:val="231F20"/>
          <w:spacing w:val="14"/>
        </w:rPr>
        <w:t> </w:t>
      </w:r>
      <w:r>
        <w:rPr>
          <w:color w:val="231F20"/>
        </w:rPr>
        <w:t>(EU)</w:t>
      </w:r>
      <w:r>
        <w:rPr>
          <w:color w:val="231F20"/>
          <w:spacing w:val="13"/>
        </w:rPr>
        <w:t> </w:t>
      </w:r>
      <w:r>
        <w:rPr>
          <w:color w:val="231F20"/>
          <w:spacing w:val="-5"/>
        </w:rPr>
        <w:t>nr.</w:t>
      </w:r>
      <w:r>
        <w:rPr>
          <w:color w:val="231F20"/>
          <w:spacing w:val="14"/>
        </w:rPr>
        <w:t> </w:t>
      </w:r>
      <w:r>
        <w:rPr>
          <w:color w:val="231F20"/>
        </w:rPr>
        <w:t>537/2014;</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5080" from="298.170502pt,64.473pt" to="298.170502pt,812.819pt" stroked="true" strokeweight=".533pt" strokecolor="#231f20">
            <v:stroke dashstyle="solid"/>
            <w10:wrap type="none"/>
          </v:line>
        </w:pict>
      </w:r>
      <w:bookmarkStart w:name="_bookmark169" w:id="174"/>
      <w:bookmarkEnd w:id="174"/>
      <w:r>
        <w:rPr/>
      </w:r>
      <w:r>
        <w:rPr>
          <w:color w:val="231F20"/>
        </w:rPr>
        <w:t>4° établissent un rapport complémentaire visé à l’article </w:t>
      </w:r>
      <w:r>
        <w:rPr>
          <w:color w:val="231F20"/>
          <w:spacing w:val="-5"/>
        </w:rPr>
        <w:t>11 </w:t>
      </w:r>
      <w:r>
        <w:rPr>
          <w:color w:val="231F20"/>
        </w:rPr>
        <w:t>du règlement (UE) n°</w:t>
      </w:r>
      <w:r>
        <w:rPr>
          <w:color w:val="231F20"/>
          <w:spacing w:val="1"/>
        </w:rPr>
        <w:t> </w:t>
      </w:r>
      <w:r>
        <w:rPr>
          <w:color w:val="231F20"/>
        </w:rPr>
        <w:t>537/2014;</w:t>
      </w:r>
    </w:p>
    <w:p>
      <w:pPr>
        <w:pStyle w:val="BodyText"/>
        <w:spacing w:line="218" w:lineRule="auto" w:before="96"/>
        <w:ind w:right="38"/>
      </w:pPr>
      <w:r>
        <w:rPr>
          <w:color w:val="231F20"/>
        </w:rPr>
        <w:t>5° confirment que le rapport d’audit est conforme au contenu du rapport complémentaire destiné au comité d’audit visé à l’article </w:t>
      </w:r>
      <w:r>
        <w:rPr>
          <w:color w:val="231F20"/>
          <w:spacing w:val="-5"/>
        </w:rPr>
        <w:t>11 </w:t>
      </w:r>
      <w:r>
        <w:rPr>
          <w:color w:val="231F20"/>
        </w:rPr>
        <w:t>du règlement (UE) n°</w:t>
      </w:r>
      <w:r>
        <w:rPr>
          <w:color w:val="231F20"/>
          <w:spacing w:val="1"/>
        </w:rPr>
        <w:t> </w:t>
      </w:r>
      <w:r>
        <w:rPr>
          <w:color w:val="231F20"/>
        </w:rPr>
        <w:t>537/2014.</w:t>
      </w:r>
    </w:p>
    <w:p>
      <w:pPr>
        <w:pStyle w:val="BodyText"/>
        <w:spacing w:line="218" w:lineRule="auto" w:before="96"/>
        <w:ind w:right="38"/>
      </w:pPr>
      <w:r>
        <w:rPr>
          <w:color w:val="231F20"/>
        </w:rPr>
        <w:t>Dans les sociétés répondant aux critères définis au paragraphe 3 qui ne constituent pas un comité d’audit, les missions du commissaire et, le cas échéant, du réviseur d’entreprises chargé du contrôle des comptes consolidés, mentionnés au paragraphe 7 restent applicables mais sont exercées à l’égard du conseil d’administration.</w:t>
      </w:r>
    </w:p>
    <w:p>
      <w:pPr>
        <w:pStyle w:val="BodyText"/>
        <w:spacing w:before="11"/>
        <w:ind w:left="0" w:right="0" w:firstLine="0"/>
        <w:jc w:val="left"/>
        <w:rPr>
          <w:sz w:val="23"/>
        </w:rPr>
      </w:pPr>
    </w:p>
    <w:p>
      <w:pPr>
        <w:pStyle w:val="BodyText"/>
        <w:spacing w:line="218" w:lineRule="auto"/>
        <w:ind w:right="38"/>
      </w:pPr>
      <w:r>
        <w:rPr>
          <w:color w:val="231F20"/>
        </w:rPr>
        <w:t>Le commissaire et, le cas échéant, le réviseur d’entreprises chargé du contrôle des comptes consolidés adressent sur une base annuelle au comité d’audit, d’une part, si un tel comité a été constitué, et au conseil d’administration, d’autre part, le rapport complémentaire visé à l’article </w:t>
      </w:r>
      <w:r>
        <w:rPr>
          <w:color w:val="231F20"/>
          <w:spacing w:val="-5"/>
        </w:rPr>
        <w:t>11 </w:t>
      </w:r>
      <w:r>
        <w:rPr>
          <w:color w:val="231F20"/>
        </w:rPr>
        <w:t>du règlement (UE) n° 537/2014. Ce rapport complémentaire est adressé au plus tard à la date de présentation du rapport d’audit visé aux  articles  3:75  et  3:80  et  à  l’article  10  du  règlement  (UE)  n°</w:t>
      </w:r>
      <w:r>
        <w:rPr>
          <w:color w:val="231F20"/>
          <w:spacing w:val="14"/>
        </w:rPr>
        <w:t> </w:t>
      </w:r>
      <w:r>
        <w:rPr>
          <w:color w:val="231F20"/>
        </w:rPr>
        <w:t>537/2014.</w:t>
      </w:r>
    </w:p>
    <w:p>
      <w:pPr>
        <w:pStyle w:val="BodyText"/>
        <w:spacing w:before="11"/>
        <w:ind w:left="0" w:right="0" w:firstLine="0"/>
        <w:jc w:val="left"/>
        <w:rPr>
          <w:sz w:val="23"/>
        </w:rPr>
      </w:pPr>
    </w:p>
    <w:p>
      <w:pPr>
        <w:pStyle w:val="BodyText"/>
        <w:spacing w:line="218" w:lineRule="auto"/>
        <w:ind w:right="38"/>
      </w:pPr>
      <w:r>
        <w:rPr>
          <w:color w:val="231F20"/>
        </w:rPr>
        <w:t>Sur demande motivée de l’Autorité des services et marchés finan- ciers, le comité d’audit ou, le cas échéant, le conseil d’administration, transmettent le rapport complémentaire visé à l’article 11 du règlement (UE) n° 537/2014.</w:t>
      </w:r>
    </w:p>
    <w:p>
      <w:pPr>
        <w:pStyle w:val="BodyText"/>
        <w:spacing w:line="201" w:lineRule="auto" w:before="107"/>
        <w:ind w:right="38"/>
      </w:pPr>
      <w:r>
        <w:rPr>
          <w:color w:val="231F20"/>
        </w:rPr>
        <w:t>§ 8. Sont exemptées de l’obligation d’avoir un comité d’audit visé aux paragraphes 1</w:t>
      </w:r>
      <w:r>
        <w:rPr>
          <w:color w:val="231F20"/>
          <w:position w:val="7"/>
          <w:sz w:val="11"/>
        </w:rPr>
        <w:t>er </w:t>
      </w:r>
      <w:r>
        <w:rPr>
          <w:color w:val="231F20"/>
        </w:rPr>
        <w:t>à 6:</w:t>
      </w:r>
    </w:p>
    <w:p>
      <w:pPr>
        <w:pStyle w:val="BodyText"/>
        <w:spacing w:line="218" w:lineRule="auto" w:before="97"/>
        <w:ind w:right="38"/>
      </w:pPr>
      <w:r>
        <w:rPr>
          <w:color w:val="231F20"/>
        </w:rPr>
        <w:t>1° les sociétés qui sont des organismes de placement collectif en </w:t>
      </w:r>
      <w:r>
        <w:rPr>
          <w:color w:val="231F20"/>
          <w:spacing w:val="-3"/>
        </w:rPr>
        <w:t>valeurs</w:t>
      </w:r>
      <w:r>
        <w:rPr>
          <w:color w:val="231F20"/>
          <w:spacing w:val="-8"/>
        </w:rPr>
        <w:t> </w:t>
      </w:r>
      <w:r>
        <w:rPr>
          <w:color w:val="231F20"/>
          <w:spacing w:val="-3"/>
        </w:rPr>
        <w:t>mobilières</w:t>
      </w:r>
      <w:r>
        <w:rPr>
          <w:color w:val="231F20"/>
          <w:spacing w:val="-8"/>
        </w:rPr>
        <w:t> </w:t>
      </w:r>
      <w:r>
        <w:rPr>
          <w:color w:val="231F20"/>
          <w:spacing w:val="-3"/>
        </w:rPr>
        <w:t>(OPCVM)</w:t>
      </w:r>
      <w:r>
        <w:rPr>
          <w:color w:val="231F20"/>
          <w:spacing w:val="-7"/>
        </w:rPr>
        <w:t> </w:t>
      </w:r>
      <w:r>
        <w:rPr>
          <w:color w:val="231F20"/>
          <w:spacing w:val="-3"/>
        </w:rPr>
        <w:t>tels</w:t>
      </w:r>
      <w:r>
        <w:rPr>
          <w:color w:val="231F20"/>
          <w:spacing w:val="-8"/>
        </w:rPr>
        <w:t> </w:t>
      </w:r>
      <w:r>
        <w:rPr>
          <w:color w:val="231F20"/>
        </w:rPr>
        <w:t>que</w:t>
      </w:r>
      <w:r>
        <w:rPr>
          <w:color w:val="231F20"/>
          <w:spacing w:val="-7"/>
        </w:rPr>
        <w:t> </w:t>
      </w:r>
      <w:r>
        <w:rPr>
          <w:color w:val="231F20"/>
          <w:spacing w:val="-3"/>
        </w:rPr>
        <w:t>définis</w:t>
      </w:r>
      <w:r>
        <w:rPr>
          <w:color w:val="231F20"/>
          <w:spacing w:val="-8"/>
        </w:rPr>
        <w:t> </w:t>
      </w:r>
      <w:r>
        <w:rPr>
          <w:color w:val="231F20"/>
        </w:rPr>
        <w:t>par</w:t>
      </w:r>
      <w:r>
        <w:rPr>
          <w:color w:val="231F20"/>
          <w:spacing w:val="-7"/>
        </w:rPr>
        <w:t> </w:t>
      </w:r>
      <w:r>
        <w:rPr>
          <w:color w:val="231F20"/>
        </w:rPr>
        <w:t>la</w:t>
      </w:r>
      <w:r>
        <w:rPr>
          <w:color w:val="231F20"/>
          <w:spacing w:val="-8"/>
        </w:rPr>
        <w:t> </w:t>
      </w:r>
      <w:r>
        <w:rPr>
          <w:color w:val="231F20"/>
        </w:rPr>
        <w:t>loi</w:t>
      </w:r>
      <w:r>
        <w:rPr>
          <w:color w:val="231F20"/>
          <w:spacing w:val="-7"/>
        </w:rPr>
        <w:t> </w:t>
      </w:r>
      <w:r>
        <w:rPr>
          <w:color w:val="231F20"/>
        </w:rPr>
        <w:t>du</w:t>
      </w:r>
      <w:r>
        <w:rPr>
          <w:color w:val="231F20"/>
          <w:spacing w:val="-8"/>
        </w:rPr>
        <w:t> </w:t>
      </w:r>
      <w:r>
        <w:rPr>
          <w:color w:val="231F20"/>
        </w:rPr>
        <w:t>3</w:t>
      </w:r>
      <w:r>
        <w:rPr>
          <w:color w:val="231F20"/>
          <w:spacing w:val="-7"/>
        </w:rPr>
        <w:t> </w:t>
      </w:r>
      <w:r>
        <w:rPr>
          <w:color w:val="231F20"/>
          <w:spacing w:val="-3"/>
        </w:rPr>
        <w:t>août</w:t>
      </w:r>
      <w:r>
        <w:rPr>
          <w:color w:val="231F20"/>
          <w:spacing w:val="-8"/>
        </w:rPr>
        <w:t> </w:t>
      </w:r>
      <w:r>
        <w:rPr>
          <w:color w:val="231F20"/>
          <w:spacing w:val="-3"/>
        </w:rPr>
        <w:t>2012</w:t>
      </w:r>
      <w:r>
        <w:rPr>
          <w:color w:val="231F20"/>
          <w:spacing w:val="-8"/>
        </w:rPr>
        <w:t> </w:t>
      </w:r>
      <w:r>
        <w:rPr>
          <w:color w:val="231F20"/>
          <w:spacing w:val="-4"/>
        </w:rPr>
        <w:t>rela- </w:t>
      </w:r>
      <w:r>
        <w:rPr>
          <w:color w:val="231F20"/>
        </w:rPr>
        <w:t>tive aux organismes de placement collectif qui répondent aux condi- tions de la directive 2009/65/CE et aux organismes de placement en créances ou des organismes de placement collectif alternatif (OPCA) tels que définis par la loi du 19 avril 2014 relative aux organismes de placement</w:t>
      </w:r>
      <w:r>
        <w:rPr>
          <w:color w:val="231F20"/>
          <w:spacing w:val="13"/>
        </w:rPr>
        <w:t> </w:t>
      </w:r>
      <w:r>
        <w:rPr>
          <w:color w:val="231F20"/>
        </w:rPr>
        <w:t>collectif</w:t>
      </w:r>
      <w:r>
        <w:rPr>
          <w:color w:val="231F20"/>
          <w:spacing w:val="14"/>
        </w:rPr>
        <w:t> </w:t>
      </w:r>
      <w:r>
        <w:rPr>
          <w:color w:val="231F20"/>
        </w:rPr>
        <w:t>alternatifs</w:t>
      </w:r>
      <w:r>
        <w:rPr>
          <w:color w:val="231F20"/>
          <w:spacing w:val="14"/>
        </w:rPr>
        <w:t> </w:t>
      </w:r>
      <w:r>
        <w:rPr>
          <w:color w:val="231F20"/>
        </w:rPr>
        <w:t>et</w:t>
      </w:r>
      <w:r>
        <w:rPr>
          <w:color w:val="231F20"/>
          <w:spacing w:val="14"/>
        </w:rPr>
        <w:t> </w:t>
      </w:r>
      <w:r>
        <w:rPr>
          <w:color w:val="231F20"/>
        </w:rPr>
        <w:t>à</w:t>
      </w:r>
      <w:r>
        <w:rPr>
          <w:color w:val="231F20"/>
          <w:spacing w:val="14"/>
        </w:rPr>
        <w:t> </w:t>
      </w:r>
      <w:r>
        <w:rPr>
          <w:color w:val="231F20"/>
        </w:rPr>
        <w:t>leurs</w:t>
      </w:r>
      <w:r>
        <w:rPr>
          <w:color w:val="231F20"/>
          <w:spacing w:val="14"/>
        </w:rPr>
        <w:t> </w:t>
      </w:r>
      <w:r>
        <w:rPr>
          <w:color w:val="231F20"/>
        </w:rPr>
        <w:t>gestionnaires;</w:t>
      </w:r>
    </w:p>
    <w:p>
      <w:pPr>
        <w:pStyle w:val="BodyText"/>
        <w:ind w:left="0" w:right="0" w:firstLine="0"/>
        <w:jc w:val="left"/>
        <w:rPr>
          <w:sz w:val="24"/>
        </w:rPr>
      </w:pPr>
    </w:p>
    <w:p>
      <w:pPr>
        <w:pStyle w:val="BodyText"/>
        <w:spacing w:line="218" w:lineRule="auto"/>
        <w:ind w:right="38"/>
      </w:pPr>
      <w:r>
        <w:rPr>
          <w:color w:val="231F20"/>
        </w:rPr>
        <w:t>2° les sociétés dont la seule activité consiste à émettre des titres adossés à des actifs au  sens  de  l’article  2,  §  5,  du  règlement  (CE)  n° 809/2004 de la Commission européenne; dans ce cas, la société divulgue les raisons pour lesquelles elle ne juge pas opportun de disposer d’un comité d’audit ou que le conseil d’administration soit chargé</w:t>
      </w:r>
      <w:r>
        <w:rPr>
          <w:color w:val="231F20"/>
          <w:spacing w:val="15"/>
        </w:rPr>
        <w:t> </w:t>
      </w:r>
      <w:r>
        <w:rPr>
          <w:color w:val="231F20"/>
        </w:rPr>
        <w:t>d’exercer</w:t>
      </w:r>
      <w:r>
        <w:rPr>
          <w:color w:val="231F20"/>
          <w:spacing w:val="16"/>
        </w:rPr>
        <w:t> </w:t>
      </w:r>
      <w:r>
        <w:rPr>
          <w:color w:val="231F20"/>
        </w:rPr>
        <w:t>les</w:t>
      </w:r>
      <w:r>
        <w:rPr>
          <w:color w:val="231F20"/>
          <w:spacing w:val="16"/>
        </w:rPr>
        <w:t> </w:t>
      </w:r>
      <w:r>
        <w:rPr>
          <w:color w:val="231F20"/>
        </w:rPr>
        <w:t>fonctions</w:t>
      </w:r>
      <w:r>
        <w:rPr>
          <w:color w:val="231F20"/>
          <w:spacing w:val="16"/>
        </w:rPr>
        <w:t> </w:t>
      </w:r>
      <w:r>
        <w:rPr>
          <w:color w:val="231F20"/>
        </w:rPr>
        <w:t>du</w:t>
      </w:r>
      <w:r>
        <w:rPr>
          <w:color w:val="231F20"/>
          <w:spacing w:val="16"/>
        </w:rPr>
        <w:t> </w:t>
      </w:r>
      <w:r>
        <w:rPr>
          <w:color w:val="231F20"/>
        </w:rPr>
        <w:t>comité</w:t>
      </w:r>
      <w:r>
        <w:rPr>
          <w:color w:val="231F20"/>
          <w:spacing w:val="15"/>
        </w:rPr>
        <w:t> </w:t>
      </w:r>
      <w:r>
        <w:rPr>
          <w:color w:val="231F20"/>
        </w:rPr>
        <w:t>d’audit.</w:t>
      </w:r>
    </w:p>
    <w:p>
      <w:pPr>
        <w:pStyle w:val="BodyText"/>
        <w:spacing w:before="11"/>
        <w:ind w:left="0" w:right="0" w:firstLine="0"/>
        <w:jc w:val="left"/>
        <w:rPr>
          <w:sz w:val="23"/>
        </w:rPr>
      </w:pPr>
    </w:p>
    <w:p>
      <w:pPr>
        <w:pStyle w:val="BodyText"/>
        <w:spacing w:line="218" w:lineRule="auto"/>
        <w:ind w:right="38"/>
      </w:pPr>
      <w:r>
        <w:rPr>
          <w:color w:val="231F20"/>
        </w:rPr>
        <w:t>Les missions du commissaire et, le cas échéant, du réviseur d’entreprises chargé du contrôle des comptes consolidés reprises sous le paragraphe 7 restent applicables mais sont exercées à l’égard du conseil</w:t>
      </w:r>
      <w:r>
        <w:rPr>
          <w:color w:val="231F20"/>
          <w:spacing w:val="15"/>
        </w:rPr>
        <w:t> </w:t>
      </w:r>
      <w:r>
        <w:rPr>
          <w:color w:val="231F20"/>
        </w:rPr>
        <w:t>d’administration.</w:t>
      </w:r>
    </w:p>
    <w:p>
      <w:pPr>
        <w:pStyle w:val="BodyText"/>
        <w:spacing w:line="218" w:lineRule="auto" w:before="81"/>
        <w:ind w:right="38"/>
      </w:pPr>
      <w:r>
        <w:rPr>
          <w:color w:val="231F20"/>
        </w:rPr>
        <w:t>Art. 7:100. § 1</w:t>
      </w:r>
      <w:r>
        <w:rPr>
          <w:color w:val="231F20"/>
          <w:position w:val="7"/>
          <w:sz w:val="11"/>
        </w:rPr>
        <w:t>er</w:t>
      </w:r>
      <w:r>
        <w:rPr>
          <w:color w:val="231F20"/>
        </w:rPr>
        <w:t>. Les sociétés cotées constituent un comité de rémunération au sein de leur conseil d’administration.</w:t>
      </w:r>
    </w:p>
    <w:p>
      <w:pPr>
        <w:pStyle w:val="BodyText"/>
        <w:spacing w:line="218" w:lineRule="auto" w:before="96"/>
        <w:ind w:right="38"/>
      </w:pPr>
      <w:r>
        <w:rPr>
          <w:color w:val="231F20"/>
        </w:rPr>
        <w:t>§ 2. Le comité de rémunération est composé de membres non exécutifs du conseil d’administration. Tout administrateur qui s’est vu déléguer la gestion journalière visée à l’article 7:121 est dans tous les cas présumé être un membre exécutif du conseil d’administration.</w:t>
      </w:r>
    </w:p>
    <w:p>
      <w:pPr>
        <w:pStyle w:val="BodyText"/>
        <w:spacing w:line="218" w:lineRule="auto" w:before="97"/>
        <w:ind w:right="38"/>
      </w:pPr>
      <w:r>
        <w:rPr>
          <w:color w:val="231F20"/>
        </w:rPr>
        <w:t>Le comité de rémunération est composé d’une majorité d’adminis- trateurs indépendants et est compétent en matière de politique de rémunération.</w:t>
      </w:r>
    </w:p>
    <w:p>
      <w:pPr>
        <w:pStyle w:val="BodyText"/>
        <w:spacing w:line="218" w:lineRule="auto" w:before="96"/>
        <w:ind w:right="38"/>
      </w:pPr>
      <w:r>
        <w:rPr>
          <w:color w:val="231F20"/>
        </w:rPr>
        <w:t>§ 3. Sans préjudice du paragraphe 2, le président du conseil d’administration ou un autre administrateur non exécutif préside le comité.</w:t>
      </w:r>
    </w:p>
    <w:p>
      <w:pPr>
        <w:pStyle w:val="BodyText"/>
        <w:spacing w:line="218" w:lineRule="auto" w:before="96"/>
        <w:ind w:right="38"/>
      </w:pPr>
      <w:r>
        <w:rPr>
          <w:color w:val="231F20"/>
        </w:rPr>
        <w:t>§ 4. Dans les sociétés répondant, sur une base consolidée, à au moins deux des trois critères suivants:</w:t>
      </w:r>
    </w:p>
    <w:p>
      <w:pPr>
        <w:pStyle w:val="BodyText"/>
        <w:spacing w:line="218" w:lineRule="auto" w:before="96"/>
        <w:ind w:right="38"/>
      </w:pPr>
      <w:r>
        <w:rPr>
          <w:color w:val="231F20"/>
        </w:rPr>
        <w:t>1°</w:t>
      </w:r>
      <w:r>
        <w:rPr>
          <w:color w:val="231F20"/>
          <w:spacing w:val="-6"/>
        </w:rPr>
        <w:t> </w:t>
      </w:r>
      <w:r>
        <w:rPr>
          <w:color w:val="231F20"/>
        </w:rPr>
        <w:t>nombre</w:t>
      </w:r>
      <w:r>
        <w:rPr>
          <w:color w:val="231F20"/>
          <w:spacing w:val="-5"/>
        </w:rPr>
        <w:t> </w:t>
      </w:r>
      <w:r>
        <w:rPr>
          <w:color w:val="231F20"/>
        </w:rPr>
        <w:t>moyen</w:t>
      </w:r>
      <w:r>
        <w:rPr>
          <w:color w:val="231F20"/>
          <w:spacing w:val="-6"/>
        </w:rPr>
        <w:t> </w:t>
      </w:r>
      <w:r>
        <w:rPr>
          <w:color w:val="231F20"/>
        </w:rPr>
        <w:t>de</w:t>
      </w:r>
      <w:r>
        <w:rPr>
          <w:color w:val="231F20"/>
          <w:spacing w:val="-5"/>
        </w:rPr>
        <w:t> </w:t>
      </w:r>
      <w:r>
        <w:rPr>
          <w:color w:val="231F20"/>
        </w:rPr>
        <w:t>salariés</w:t>
      </w:r>
      <w:r>
        <w:rPr>
          <w:color w:val="231F20"/>
          <w:spacing w:val="-5"/>
        </w:rPr>
        <w:t> </w:t>
      </w:r>
      <w:r>
        <w:rPr>
          <w:color w:val="231F20"/>
        </w:rPr>
        <w:t>inférieur</w:t>
      </w:r>
      <w:r>
        <w:rPr>
          <w:color w:val="231F20"/>
          <w:spacing w:val="-6"/>
        </w:rPr>
        <w:t> </w:t>
      </w:r>
      <w:r>
        <w:rPr>
          <w:color w:val="231F20"/>
        </w:rPr>
        <w:t>à</w:t>
      </w:r>
      <w:r>
        <w:rPr>
          <w:color w:val="231F20"/>
          <w:spacing w:val="-5"/>
        </w:rPr>
        <w:t> </w:t>
      </w:r>
      <w:r>
        <w:rPr>
          <w:color w:val="231F20"/>
        </w:rPr>
        <w:t>250</w:t>
      </w:r>
      <w:r>
        <w:rPr>
          <w:color w:val="231F20"/>
          <w:spacing w:val="-6"/>
        </w:rPr>
        <w:t> </w:t>
      </w:r>
      <w:r>
        <w:rPr>
          <w:color w:val="231F20"/>
        </w:rPr>
        <w:t>personnes</w:t>
      </w:r>
      <w:r>
        <w:rPr>
          <w:color w:val="231F20"/>
          <w:spacing w:val="-5"/>
        </w:rPr>
        <w:t> </w:t>
      </w:r>
      <w:r>
        <w:rPr>
          <w:color w:val="231F20"/>
        </w:rPr>
        <w:t>sur</w:t>
      </w:r>
      <w:r>
        <w:rPr>
          <w:color w:val="231F20"/>
          <w:spacing w:val="-5"/>
        </w:rPr>
        <w:t> </w:t>
      </w:r>
      <w:r>
        <w:rPr>
          <w:color w:val="231F20"/>
        </w:rPr>
        <w:t>l’ensemble de l’exercice</w:t>
      </w:r>
      <w:r>
        <w:rPr>
          <w:color w:val="231F20"/>
          <w:spacing w:val="-12"/>
        </w:rPr>
        <w:t> </w:t>
      </w:r>
      <w:r>
        <w:rPr>
          <w:color w:val="231F20"/>
        </w:rPr>
        <w:t>concerné;</w:t>
      </w:r>
    </w:p>
    <w:p>
      <w:pPr>
        <w:pStyle w:val="BodyText"/>
        <w:spacing w:before="82"/>
        <w:ind w:left="283" w:right="0" w:firstLine="0"/>
        <w:jc w:val="left"/>
      </w:pPr>
      <w:r>
        <w:rPr>
          <w:color w:val="231F20"/>
        </w:rPr>
        <w:t>2° total du bilan inférieur ou égal à 43 000 000 euros;</w:t>
      </w:r>
    </w:p>
    <w:p>
      <w:pPr>
        <w:pStyle w:val="BodyText"/>
        <w:spacing w:before="79"/>
        <w:ind w:left="283" w:right="0" w:firstLine="0"/>
        <w:jc w:val="left"/>
      </w:pPr>
      <w:r>
        <w:rPr>
          <w:color w:val="231F20"/>
        </w:rPr>
        <w:t>3° chiffre d’affaires net annuel inférieur ou égal à 50 000 000 euros;</w:t>
      </w:r>
    </w:p>
    <w:p>
      <w:pPr>
        <w:pStyle w:val="BodyText"/>
        <w:spacing w:line="218" w:lineRule="auto" w:before="92"/>
        <w:ind w:right="38"/>
      </w:pPr>
      <w:r>
        <w:rPr>
          <w:color w:val="231F20"/>
        </w:rPr>
        <w:t>— la constitution d’un comité de rémunération au sein du conseil d’administration n’est pas obligatoire. Dans ce cas, le conseil d’admi- nistration dans son ensemble doit exercer les fonctions attribuées au comité de rémunération, à condition qu’il compte au moins un administrateur indépendant et que, si son président est un membre exécutif, il n’assure pas la présidence du conseil d’administration lorsque celui-ci agit en qualité de comité de rémunération.</w:t>
      </w:r>
    </w:p>
    <w:p>
      <w:pPr>
        <w:pStyle w:val="BodyText"/>
        <w:spacing w:line="218" w:lineRule="auto" w:before="97"/>
        <w:ind w:right="38"/>
      </w:pPr>
      <w:r>
        <w:rPr>
          <w:color w:val="231F20"/>
        </w:rPr>
        <w:t>§ 5. Sans préjudice des missions légales du conseil d’administration, le</w:t>
      </w:r>
      <w:r>
        <w:rPr>
          <w:color w:val="231F20"/>
          <w:spacing w:val="5"/>
        </w:rPr>
        <w:t> </w:t>
      </w:r>
      <w:r>
        <w:rPr>
          <w:color w:val="231F20"/>
        </w:rPr>
        <w:t>comité</w:t>
      </w:r>
      <w:r>
        <w:rPr>
          <w:color w:val="231F20"/>
          <w:spacing w:val="6"/>
        </w:rPr>
        <w:t> </w:t>
      </w:r>
      <w:r>
        <w:rPr>
          <w:color w:val="231F20"/>
        </w:rPr>
        <w:t>de</w:t>
      </w:r>
      <w:r>
        <w:rPr>
          <w:color w:val="231F20"/>
          <w:spacing w:val="6"/>
        </w:rPr>
        <w:t> </w:t>
      </w:r>
      <w:r>
        <w:rPr>
          <w:color w:val="231F20"/>
        </w:rPr>
        <w:t>rémunération</w:t>
      </w:r>
      <w:r>
        <w:rPr>
          <w:color w:val="231F20"/>
          <w:spacing w:val="5"/>
        </w:rPr>
        <w:t> </w:t>
      </w:r>
      <w:r>
        <w:rPr>
          <w:color w:val="231F20"/>
        </w:rPr>
        <w:t>est</w:t>
      </w:r>
      <w:r>
        <w:rPr>
          <w:color w:val="231F20"/>
          <w:spacing w:val="6"/>
        </w:rPr>
        <w:t> </w:t>
      </w:r>
      <w:r>
        <w:rPr>
          <w:color w:val="231F20"/>
        </w:rPr>
        <w:t>au</w:t>
      </w:r>
      <w:r>
        <w:rPr>
          <w:color w:val="231F20"/>
          <w:spacing w:val="6"/>
        </w:rPr>
        <w:t> </w:t>
      </w:r>
      <w:r>
        <w:rPr>
          <w:color w:val="231F20"/>
        </w:rPr>
        <w:t>moins</w:t>
      </w:r>
      <w:r>
        <w:rPr>
          <w:color w:val="231F20"/>
          <w:spacing w:val="5"/>
        </w:rPr>
        <w:t> </w:t>
      </w:r>
      <w:r>
        <w:rPr>
          <w:color w:val="231F20"/>
        </w:rPr>
        <w:t>chargé</w:t>
      </w:r>
      <w:r>
        <w:rPr>
          <w:color w:val="231F20"/>
          <w:spacing w:val="6"/>
        </w:rPr>
        <w:t> </w:t>
      </w:r>
      <w:r>
        <w:rPr>
          <w:color w:val="231F20"/>
        </w:rPr>
        <w:t>des</w:t>
      </w:r>
      <w:r>
        <w:rPr>
          <w:color w:val="231F20"/>
          <w:spacing w:val="6"/>
        </w:rPr>
        <w:t> </w:t>
      </w:r>
      <w:r>
        <w:rPr>
          <w:color w:val="231F20"/>
        </w:rPr>
        <w:t>missions</w:t>
      </w:r>
      <w:r>
        <w:rPr>
          <w:color w:val="231F20"/>
          <w:spacing w:val="5"/>
        </w:rPr>
        <w:t> </w:t>
      </w:r>
      <w:r>
        <w:rPr>
          <w:color w:val="231F20"/>
        </w:rPr>
        <w:t>suivantes:</w:t>
      </w:r>
    </w:p>
    <w:p>
      <w:pPr>
        <w:pStyle w:val="BodyText"/>
        <w:spacing w:line="218" w:lineRule="auto" w:before="96"/>
        <w:ind w:right="38"/>
      </w:pPr>
      <w:r>
        <w:rPr>
          <w:color w:val="231F20"/>
        </w:rPr>
        <w:t>1° il formule des propositions au conseil d’administration sur la politique de rémunération des administrateurs, des autres dirigeants visés</w:t>
      </w:r>
      <w:r>
        <w:rPr>
          <w:color w:val="231F20"/>
          <w:spacing w:val="34"/>
        </w:rPr>
        <w:t> </w:t>
      </w:r>
      <w:r>
        <w:rPr>
          <w:color w:val="231F20"/>
        </w:rPr>
        <w:t>à</w:t>
      </w:r>
      <w:r>
        <w:rPr>
          <w:color w:val="231F20"/>
          <w:spacing w:val="35"/>
        </w:rPr>
        <w:t> </w:t>
      </w:r>
      <w:r>
        <w:rPr>
          <w:color w:val="231F20"/>
        </w:rPr>
        <w:t>l’article</w:t>
      </w:r>
      <w:r>
        <w:rPr>
          <w:color w:val="231F20"/>
          <w:spacing w:val="35"/>
        </w:rPr>
        <w:t> </w:t>
      </w:r>
      <w:r>
        <w:rPr>
          <w:color w:val="231F20"/>
        </w:rPr>
        <w:t>3:6,</w:t>
      </w:r>
      <w:r>
        <w:rPr>
          <w:color w:val="231F20"/>
          <w:spacing w:val="34"/>
        </w:rPr>
        <w:t> </w:t>
      </w:r>
      <w:r>
        <w:rPr>
          <w:color w:val="231F20"/>
        </w:rPr>
        <w:t>§</w:t>
      </w:r>
      <w:r>
        <w:rPr>
          <w:color w:val="231F20"/>
          <w:spacing w:val="35"/>
        </w:rPr>
        <w:t> </w:t>
      </w:r>
      <w:r>
        <w:rPr>
          <w:color w:val="231F20"/>
        </w:rPr>
        <w:t>3,</w:t>
      </w:r>
      <w:r>
        <w:rPr>
          <w:color w:val="231F20"/>
          <w:spacing w:val="35"/>
        </w:rPr>
        <w:t> </w:t>
      </w:r>
      <w:r>
        <w:rPr>
          <w:color w:val="231F20"/>
        </w:rPr>
        <w:t>dernier</w:t>
      </w:r>
      <w:r>
        <w:rPr>
          <w:color w:val="231F20"/>
          <w:spacing w:val="34"/>
        </w:rPr>
        <w:t> </w:t>
      </w:r>
      <w:r>
        <w:rPr>
          <w:color w:val="231F20"/>
        </w:rPr>
        <w:t>alinéa,</w:t>
      </w:r>
      <w:r>
        <w:rPr>
          <w:color w:val="231F20"/>
          <w:spacing w:val="35"/>
        </w:rPr>
        <w:t> </w:t>
      </w:r>
      <w:r>
        <w:rPr>
          <w:color w:val="231F20"/>
        </w:rPr>
        <w:t>et</w:t>
      </w:r>
      <w:r>
        <w:rPr>
          <w:color w:val="231F20"/>
          <w:spacing w:val="35"/>
        </w:rPr>
        <w:t> </w:t>
      </w:r>
      <w:r>
        <w:rPr>
          <w:color w:val="231F20"/>
        </w:rPr>
        <w:t>des</w:t>
      </w:r>
      <w:r>
        <w:rPr>
          <w:color w:val="231F20"/>
          <w:spacing w:val="34"/>
        </w:rPr>
        <w:t> </w:t>
      </w:r>
      <w:r>
        <w:rPr>
          <w:color w:val="231F20"/>
        </w:rPr>
        <w:t>délégués</w:t>
      </w:r>
      <w:r>
        <w:rPr>
          <w:color w:val="231F20"/>
          <w:spacing w:val="35"/>
        </w:rPr>
        <w:t> </w:t>
      </w:r>
      <w:r>
        <w:rPr>
          <w:color w:val="231F20"/>
        </w:rPr>
        <w:t>à</w:t>
      </w:r>
      <w:r>
        <w:rPr>
          <w:color w:val="231F20"/>
          <w:spacing w:val="35"/>
        </w:rPr>
        <w:t> </w:t>
      </w:r>
      <w:r>
        <w:rPr>
          <w:color w:val="231F20"/>
        </w:rPr>
        <w:t>la</w:t>
      </w:r>
      <w:r>
        <w:rPr>
          <w:color w:val="231F20"/>
          <w:spacing w:val="35"/>
        </w:rPr>
        <w:t> </w:t>
      </w:r>
      <w:r>
        <w:rPr>
          <w:color w:val="231F20"/>
        </w:rPr>
        <w:t>gestion</w:t>
      </w:r>
    </w:p>
    <w:p>
      <w:pPr>
        <w:pStyle w:val="BodyText"/>
        <w:spacing w:line="218" w:lineRule="auto" w:before="119"/>
      </w:pPr>
      <w:r>
        <w:rPr/>
        <w:br w:type="column"/>
      </w:r>
      <w:r>
        <w:rPr>
          <w:color w:val="231F20"/>
        </w:rPr>
        <w:t>4° stellen een aanvullende verklaring op bedoeld in artikel </w:t>
      </w:r>
      <w:r>
        <w:rPr>
          <w:color w:val="231F20"/>
          <w:spacing w:val="-5"/>
        </w:rPr>
        <w:t>11 </w:t>
      </w:r>
      <w:r>
        <w:rPr>
          <w:color w:val="231F20"/>
        </w:rPr>
        <w:t>van de verordening (EU) </w:t>
      </w:r>
      <w:r>
        <w:rPr>
          <w:color w:val="231F20"/>
          <w:spacing w:val="-5"/>
        </w:rPr>
        <w:t>nr.</w:t>
      </w:r>
      <w:r>
        <w:rPr>
          <w:color w:val="231F20"/>
          <w:spacing w:val="7"/>
        </w:rPr>
        <w:t> </w:t>
      </w:r>
      <w:r>
        <w:rPr>
          <w:color w:val="231F20"/>
        </w:rPr>
        <w:t>537/2014;</w:t>
      </w:r>
    </w:p>
    <w:p>
      <w:pPr>
        <w:pStyle w:val="BodyText"/>
        <w:spacing w:line="218" w:lineRule="auto" w:before="97"/>
      </w:pPr>
      <w:r>
        <w:rPr>
          <w:color w:val="231F20"/>
        </w:rPr>
        <w:t>5° bevestigen dat het controleverslag consistent is met de aanvul- lende verklaring aan het auditcomité bedoeld in artikel </w:t>
      </w:r>
      <w:r>
        <w:rPr>
          <w:color w:val="231F20"/>
          <w:spacing w:val="-5"/>
        </w:rPr>
        <w:t>11 </w:t>
      </w:r>
      <w:r>
        <w:rPr>
          <w:color w:val="231F20"/>
        </w:rPr>
        <w:t>van de verordening (EU) </w:t>
      </w:r>
      <w:r>
        <w:rPr>
          <w:color w:val="231F20"/>
          <w:spacing w:val="-5"/>
        </w:rPr>
        <w:t>nr.</w:t>
      </w:r>
      <w:r>
        <w:rPr>
          <w:color w:val="231F20"/>
          <w:spacing w:val="7"/>
        </w:rPr>
        <w:t> </w:t>
      </w:r>
      <w:r>
        <w:rPr>
          <w:color w:val="231F20"/>
        </w:rPr>
        <w:t>537/2014.</w:t>
      </w:r>
    </w:p>
    <w:p>
      <w:pPr>
        <w:pStyle w:val="BodyText"/>
        <w:spacing w:line="218" w:lineRule="auto" w:before="96"/>
      </w:pPr>
      <w:r>
        <w:rPr>
          <w:color w:val="231F20"/>
        </w:rPr>
        <w:t>In de vennootschappen die voldoen aan de criteria omschreven in paragraaf 3 die geen auditcomité inrichten, blijven de opdrachten van de commissaris en, in voorkomend geval, van de bedrijfsrevisor die instaat voor de controle van de geconsolideerde jaarrekening, zoals opgenomen onder paragraaf 7, van toepassing, maar worden zij uitgeoefend ten aanzien van de raad van bestuur.</w:t>
      </w:r>
    </w:p>
    <w:p>
      <w:pPr>
        <w:pStyle w:val="BodyText"/>
        <w:spacing w:line="218" w:lineRule="auto" w:before="96"/>
        <w:ind w:right="119"/>
      </w:pPr>
      <w:r>
        <w:rPr>
          <w:color w:val="231F20"/>
        </w:rPr>
        <w:t>De commissaris en, in voorkomend geval de bedrijfsrevisor die instaat voor de controle van de geconsolideerde jaarrekening, maken jaarlijks aan het auditcomité, enerzijds, indien dergelijk comité is ingericht, en aan de raad van bestuur, anderzijds, de aanvullende </w:t>
      </w:r>
      <w:r>
        <w:rPr>
          <w:color w:val="231F20"/>
          <w:spacing w:val="6"/>
        </w:rPr>
        <w:t>verklaring  bedoeld   </w:t>
      </w:r>
      <w:r>
        <w:rPr>
          <w:color w:val="231F20"/>
          <w:spacing w:val="3"/>
        </w:rPr>
        <w:t>in   </w:t>
      </w:r>
      <w:r>
        <w:rPr>
          <w:color w:val="231F20"/>
          <w:spacing w:val="6"/>
        </w:rPr>
        <w:t>artikel   </w:t>
      </w:r>
      <w:r>
        <w:rPr>
          <w:color w:val="231F20"/>
        </w:rPr>
        <w:t>11   </w:t>
      </w:r>
      <w:r>
        <w:rPr>
          <w:color w:val="231F20"/>
          <w:spacing w:val="4"/>
        </w:rPr>
        <w:t>van   </w:t>
      </w:r>
      <w:r>
        <w:rPr>
          <w:color w:val="231F20"/>
          <w:spacing w:val="3"/>
        </w:rPr>
        <w:t>de   </w:t>
      </w:r>
      <w:r>
        <w:rPr>
          <w:color w:val="231F20"/>
          <w:spacing w:val="5"/>
        </w:rPr>
        <w:t>verordening   </w:t>
      </w:r>
      <w:r>
        <w:rPr>
          <w:color w:val="231F20"/>
          <w:spacing w:val="7"/>
        </w:rPr>
        <w:t>(EU) </w:t>
      </w:r>
      <w:r>
        <w:rPr>
          <w:color w:val="231F20"/>
          <w:spacing w:val="-5"/>
        </w:rPr>
        <w:t>nr. </w:t>
      </w:r>
      <w:r>
        <w:rPr>
          <w:color w:val="231F20"/>
        </w:rPr>
        <w:t>537/2014 </w:t>
      </w:r>
      <w:r>
        <w:rPr>
          <w:color w:val="231F20"/>
          <w:spacing w:val="-3"/>
        </w:rPr>
        <w:t>over. </w:t>
      </w:r>
      <w:r>
        <w:rPr>
          <w:color w:val="231F20"/>
        </w:rPr>
        <w:t>Deze aanvullende verklaring wordt overgemaakt uiterlijk op de datum van indiening van het controleverslag bedoeld in de artikelen 3:75 en 3:80 en in artikel 10 van de verordening (EU)       </w:t>
      </w:r>
      <w:r>
        <w:rPr>
          <w:color w:val="231F20"/>
          <w:spacing w:val="-5"/>
        </w:rPr>
        <w:t>nr.</w:t>
      </w:r>
      <w:r>
        <w:rPr>
          <w:color w:val="231F20"/>
          <w:spacing w:val="14"/>
        </w:rPr>
        <w:t> </w:t>
      </w:r>
      <w:r>
        <w:rPr>
          <w:color w:val="231F20"/>
        </w:rPr>
        <w:t>537/2014.</w:t>
      </w:r>
    </w:p>
    <w:p>
      <w:pPr>
        <w:pStyle w:val="BodyText"/>
        <w:spacing w:line="218" w:lineRule="auto" w:before="97"/>
      </w:pPr>
      <w:r>
        <w:rPr>
          <w:color w:val="231F20"/>
        </w:rPr>
        <w:t>Op gemotiveerd verzoek van de Autoriteit voor Financiële Diensten en Markten, maken het auditcomité of, in voorkomend geval, de raad van bestuur, de aanvullende verklaring bedoeld in artikel 11 van de verordening (EU) nr. 537/2014 over.</w:t>
      </w:r>
    </w:p>
    <w:p>
      <w:pPr>
        <w:pStyle w:val="BodyText"/>
        <w:spacing w:line="218" w:lineRule="auto" w:before="96"/>
      </w:pPr>
      <w:r>
        <w:rPr>
          <w:color w:val="231F20"/>
        </w:rPr>
        <w:t>§ 8. Zijn vrijgesteld van de verplichting tot instelling van een auditcomité als bedoeld in de paragrafen 1 tot 6:</w:t>
      </w:r>
    </w:p>
    <w:p>
      <w:pPr>
        <w:pStyle w:val="BodyText"/>
        <w:spacing w:line="218" w:lineRule="auto" w:before="96"/>
        <w:ind w:right="123"/>
      </w:pPr>
      <w:r>
        <w:rPr>
          <w:color w:val="231F20"/>
        </w:rPr>
        <w:t>1° elke vennootschap die een instelling voor collectieve belegging in effecten (ICBE’s) is  zoals  gedefinieerd  door  de  wet  van  3  augus-  tus 2012 betreffende de instellingen voor collectieve belegging die voldoen aan de voorwaarden van richtlijn 2009/65/EG en de instellin- gen voor belegging in schuldvorderingen of de alternatieve instellingen voor collectieve belegging (AICB) zoals gedefinieerd door de wet van   19 april 2014 betreffende de alternatieve instellingen voor collectieve belegging en hun</w:t>
      </w:r>
      <w:r>
        <w:rPr>
          <w:color w:val="231F20"/>
          <w:spacing w:val="4"/>
        </w:rPr>
        <w:t> </w:t>
      </w:r>
      <w:r>
        <w:rPr>
          <w:color w:val="231F20"/>
        </w:rPr>
        <w:t>beheerders;</w:t>
      </w:r>
    </w:p>
    <w:p>
      <w:pPr>
        <w:pStyle w:val="BodyText"/>
        <w:spacing w:line="218" w:lineRule="auto" w:before="97"/>
      </w:pPr>
      <w:r>
        <w:rPr>
          <w:color w:val="231F20"/>
        </w:rPr>
        <w:t>2° elke vennootschap waarvan de enige zakelijke activiteit bestaat in de uitgifte van door activa gedekte waardepapieren, zoals gedefinieerd in artikel 2, lid 5, van verordening (EG) nr. 809/2004 van de Europese Commissie; in dat geval zet de vennootschap aan het publiek uiteen waarom zij het niet dienstig acht hetzij een auditcomité in te stellen, hetzij het bestuursorgaan te belasten met de uitvoering van de taken van een auditcomité.</w:t>
      </w:r>
    </w:p>
    <w:p>
      <w:pPr>
        <w:pStyle w:val="BodyText"/>
        <w:spacing w:line="218" w:lineRule="auto" w:before="97"/>
      </w:pPr>
      <w:r>
        <w:rPr>
          <w:color w:val="231F20"/>
        </w:rPr>
        <w:t>De opdrachten van de commissaris en, in voorkomend geval, van de bedrijfsrevisor die instaat voor de controle van de geconsolideerde jaarrekening, zoals opgenomen onder paragraaf 7, blijven van toepas- sing, maar worden uitgeoefend ten aanzien van de raad van bestuur.</w:t>
      </w:r>
    </w:p>
    <w:p>
      <w:pPr>
        <w:pStyle w:val="BodyText"/>
        <w:spacing w:line="218" w:lineRule="auto" w:before="96"/>
      </w:pPr>
      <w:r>
        <w:rPr>
          <w:color w:val="231F20"/>
        </w:rPr>
        <w:t>Art. 7:100. § 1. De genoteerde vennootschappen richten een remune- ratiecomité op binnen hun raad van bestuur.</w:t>
      </w:r>
    </w:p>
    <w:p>
      <w:pPr>
        <w:pStyle w:val="BodyText"/>
        <w:spacing w:line="218" w:lineRule="auto" w:before="96"/>
      </w:pPr>
      <w:r>
        <w:rPr>
          <w:color w:val="231F20"/>
        </w:rPr>
        <w:t>§ 2. Het remuneratiecomité is samengesteld uit niet-uitvoerende leden van de raad van bestuur. Elke bestuurder aan wie het dagelijks bestuur als bedoeld in artikel 7:121 is opgedragen, wordt in elk geval beschouwd als uitvoerend lid van de raad van bestuur.</w:t>
      </w:r>
    </w:p>
    <w:p>
      <w:pPr>
        <w:pStyle w:val="BodyText"/>
        <w:spacing w:line="218" w:lineRule="auto" w:before="96"/>
      </w:pPr>
      <w:r>
        <w:rPr>
          <w:color w:val="231F20"/>
        </w:rPr>
        <w:t>Het remuneratiecomité is samengesteld uit een meerderheid van onafhankelijke bestuurders, en beschikt over de nodige deskundigheid op het gebied van remuneratiebeleid.</w:t>
      </w:r>
    </w:p>
    <w:p>
      <w:pPr>
        <w:pStyle w:val="BodyText"/>
        <w:spacing w:line="218" w:lineRule="auto" w:before="96"/>
        <w:ind w:right="125"/>
      </w:pPr>
      <w:r>
        <w:rPr>
          <w:color w:val="231F20"/>
        </w:rPr>
        <w:t>§ 3. Onverminderd paragraaf 2, zit de voorzitter van de raad van bestuur of een andere niet-uitvoerend bestuurder dit comité voor.</w:t>
      </w:r>
    </w:p>
    <w:p>
      <w:pPr>
        <w:pStyle w:val="BodyText"/>
        <w:spacing w:before="11"/>
        <w:ind w:left="0" w:right="0" w:firstLine="0"/>
        <w:jc w:val="left"/>
        <w:rPr>
          <w:sz w:val="23"/>
        </w:rPr>
      </w:pPr>
    </w:p>
    <w:p>
      <w:pPr>
        <w:pStyle w:val="BodyText"/>
        <w:spacing w:line="218" w:lineRule="auto"/>
      </w:pPr>
      <w:r>
        <w:rPr>
          <w:color w:val="231F20"/>
        </w:rPr>
        <w:t>§ 4. Vennootschappen die op geconsolideerde basis aan ten minste twee van de volgende drie criteria voldoen:</w:t>
      </w:r>
    </w:p>
    <w:p>
      <w:pPr>
        <w:pStyle w:val="BodyText"/>
        <w:spacing w:line="218" w:lineRule="auto" w:before="96"/>
      </w:pPr>
      <w:r>
        <w:rPr>
          <w:color w:val="231F20"/>
        </w:rPr>
        <w:t>1° gemiddeld aantal werknemers gedurende het betrokken boekjaar van minder dan 250 personen;</w:t>
      </w:r>
    </w:p>
    <w:p>
      <w:pPr>
        <w:pStyle w:val="BodyText"/>
        <w:spacing w:before="82"/>
        <w:ind w:left="283" w:right="0" w:firstLine="0"/>
        <w:jc w:val="left"/>
      </w:pPr>
      <w:r>
        <w:rPr>
          <w:color w:val="231F20"/>
        </w:rPr>
        <w:t>2° balanstotaal van minder dan of gelijk aan 43 000 000 euro;</w:t>
      </w:r>
    </w:p>
    <w:p>
      <w:pPr>
        <w:pStyle w:val="BodyText"/>
        <w:spacing w:before="79"/>
        <w:ind w:left="283" w:right="0" w:firstLine="0"/>
        <w:jc w:val="left"/>
      </w:pPr>
      <w:r>
        <w:rPr>
          <w:color w:val="231F20"/>
        </w:rPr>
        <w:t>3°</w:t>
      </w:r>
      <w:r>
        <w:rPr>
          <w:color w:val="231F20"/>
          <w:spacing w:val="-15"/>
        </w:rPr>
        <w:t> </w:t>
      </w:r>
      <w:r>
        <w:rPr>
          <w:color w:val="231F20"/>
        </w:rPr>
        <w:t>jaarlijkse</w:t>
      </w:r>
      <w:r>
        <w:rPr>
          <w:color w:val="231F20"/>
          <w:spacing w:val="-14"/>
        </w:rPr>
        <w:t> </w:t>
      </w:r>
      <w:r>
        <w:rPr>
          <w:color w:val="231F20"/>
        </w:rPr>
        <w:t>netto-omzet</w:t>
      </w:r>
      <w:r>
        <w:rPr>
          <w:color w:val="231F20"/>
          <w:spacing w:val="-14"/>
        </w:rPr>
        <w:t> </w:t>
      </w:r>
      <w:r>
        <w:rPr>
          <w:color w:val="231F20"/>
        </w:rPr>
        <w:t>van</w:t>
      </w:r>
      <w:r>
        <w:rPr>
          <w:color w:val="231F20"/>
          <w:spacing w:val="-15"/>
        </w:rPr>
        <w:t> </w:t>
      </w:r>
      <w:r>
        <w:rPr>
          <w:color w:val="231F20"/>
        </w:rPr>
        <w:t>minder</w:t>
      </w:r>
      <w:r>
        <w:rPr>
          <w:color w:val="231F20"/>
          <w:spacing w:val="-14"/>
        </w:rPr>
        <w:t> </w:t>
      </w:r>
      <w:r>
        <w:rPr>
          <w:color w:val="231F20"/>
        </w:rPr>
        <w:t>dan</w:t>
      </w:r>
      <w:r>
        <w:rPr>
          <w:color w:val="231F20"/>
          <w:spacing w:val="-14"/>
        </w:rPr>
        <w:t> </w:t>
      </w:r>
      <w:r>
        <w:rPr>
          <w:color w:val="231F20"/>
        </w:rPr>
        <w:t>of</w:t>
      </w:r>
      <w:r>
        <w:rPr>
          <w:color w:val="231F20"/>
          <w:spacing w:val="-15"/>
        </w:rPr>
        <w:t> </w:t>
      </w:r>
      <w:r>
        <w:rPr>
          <w:color w:val="231F20"/>
        </w:rPr>
        <w:t>gelijk</w:t>
      </w:r>
      <w:r>
        <w:rPr>
          <w:color w:val="231F20"/>
          <w:spacing w:val="-14"/>
        </w:rPr>
        <w:t> </w:t>
      </w:r>
      <w:r>
        <w:rPr>
          <w:color w:val="231F20"/>
        </w:rPr>
        <w:t>aan</w:t>
      </w:r>
      <w:r>
        <w:rPr>
          <w:color w:val="231F20"/>
          <w:spacing w:val="-14"/>
        </w:rPr>
        <w:t> </w:t>
      </w:r>
      <w:r>
        <w:rPr>
          <w:color w:val="231F20"/>
        </w:rPr>
        <w:t>50</w:t>
      </w:r>
      <w:r>
        <w:rPr>
          <w:color w:val="231F20"/>
          <w:spacing w:val="-11"/>
        </w:rPr>
        <w:t> </w:t>
      </w:r>
      <w:r>
        <w:rPr>
          <w:color w:val="231F20"/>
        </w:rPr>
        <w:t>000</w:t>
      </w:r>
      <w:r>
        <w:rPr>
          <w:color w:val="231F20"/>
          <w:spacing w:val="-11"/>
        </w:rPr>
        <w:t> </w:t>
      </w:r>
      <w:r>
        <w:rPr>
          <w:color w:val="231F20"/>
        </w:rPr>
        <w:t>000</w:t>
      </w:r>
      <w:r>
        <w:rPr>
          <w:color w:val="231F20"/>
          <w:spacing w:val="-14"/>
        </w:rPr>
        <w:t> </w:t>
      </w:r>
      <w:r>
        <w:rPr>
          <w:color w:val="231F20"/>
        </w:rPr>
        <w:t>euro;</w:t>
      </w:r>
    </w:p>
    <w:p>
      <w:pPr>
        <w:pStyle w:val="BodyText"/>
        <w:spacing w:line="218" w:lineRule="auto" w:before="92"/>
      </w:pPr>
      <w:r>
        <w:rPr>
          <w:color w:val="231F20"/>
        </w:rPr>
        <w:t>— zijn niet verplicht om een remuneratiecomité op te richten binnen hun raad van bestuur. In dat geval moet de raad van bestuur als geheel de aan het remuneratiecomité toegewezen taken uitvoeren, op voor- waarde dat hij ten minste één onafhankelijk bestuurder telt en dat, als zijn voorzitter een uitvoerend lid is, hij het voorzitterschap van de raad van bestuur niet waarneemt als deze laatste optreedt in de hoedanig- heid van remuneratiecomité.</w:t>
      </w:r>
    </w:p>
    <w:p>
      <w:pPr>
        <w:pStyle w:val="BodyText"/>
        <w:spacing w:line="218" w:lineRule="auto" w:before="97"/>
      </w:pPr>
      <w:r>
        <w:rPr>
          <w:color w:val="231F20"/>
        </w:rPr>
        <w:t>§ 5. Onverminderd de wettelijke opdrachten van de raad van bestuur heeft het remuneratiecomité minstens de volgende taken:</w:t>
      </w:r>
    </w:p>
    <w:p>
      <w:pPr>
        <w:pStyle w:val="BodyText"/>
        <w:spacing w:line="218" w:lineRule="auto" w:before="96"/>
      </w:pPr>
      <w:r>
        <w:rPr>
          <w:color w:val="231F20"/>
        </w:rPr>
        <w:t>1° het doet voorstellen aan de raad van bestuur over het remunera- tiebeleid van bestuurders, de personen belast met de leiding bedoeld in artikel 3:6, § 3, laatste lid, en de personen belast met het dagelijks</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0" w:hanging="1"/>
        <w:jc w:val="left"/>
      </w:pPr>
      <w:r>
        <w:rPr/>
        <w:pict>
          <v:line style="position:absolute;mso-position-horizontal-relative:page;mso-position-vertical-relative:page;z-index:5104" from="298.170502pt,64.473pt" to="298.170502pt,812.819pt" stroked="true" strokeweight=".533pt" strokecolor="#231f20">
            <v:stroke dashstyle="solid"/>
            <w10:wrap type="none"/>
          </v:line>
        </w:pict>
      </w:r>
      <w:bookmarkStart w:name="_bookmark170" w:id="175"/>
      <w:bookmarkEnd w:id="175"/>
      <w:r>
        <w:rPr/>
      </w:r>
      <w:r>
        <w:rPr>
          <w:color w:val="231F20"/>
        </w:rPr>
        <w:t>journalière et, s’il y a lieu, sur les propositions qui en découlent que le conseil d’administration doit soumettre à l’assemblée générale;</w:t>
      </w:r>
    </w:p>
    <w:p>
      <w:pPr>
        <w:pStyle w:val="BodyText"/>
        <w:spacing w:before="10"/>
        <w:ind w:left="0" w:right="0" w:firstLine="0"/>
        <w:jc w:val="left"/>
        <w:rPr>
          <w:sz w:val="23"/>
        </w:rPr>
      </w:pPr>
    </w:p>
    <w:p>
      <w:pPr>
        <w:pStyle w:val="BodyText"/>
        <w:spacing w:line="218" w:lineRule="auto"/>
        <w:ind w:right="38"/>
      </w:pPr>
      <w:r>
        <w:rPr>
          <w:color w:val="231F20"/>
        </w:rPr>
        <w:t>2° il formule des propositions au conseil d’administration sur la rémunération individuelle des administrateurs, des autres dirigeants visés à l’article 3:6, § 3, dernier alinéa, et des délégués à la gestion journalière, y compris la rémunération variable et les primes de prestations à long terme, liées ou non à des actions, sous forme d’options sur actions ou autres instruments financiers, et d’indemnités de départ, et, s’il y a lieu, sur les propositions qui en découlent et que   le</w:t>
      </w:r>
      <w:r>
        <w:rPr>
          <w:color w:val="231F20"/>
          <w:spacing w:val="15"/>
        </w:rPr>
        <w:t> </w:t>
      </w:r>
      <w:r>
        <w:rPr>
          <w:color w:val="231F20"/>
        </w:rPr>
        <w:t>conseil</w:t>
      </w:r>
      <w:r>
        <w:rPr>
          <w:color w:val="231F20"/>
          <w:spacing w:val="15"/>
        </w:rPr>
        <w:t> </w:t>
      </w:r>
      <w:r>
        <w:rPr>
          <w:color w:val="231F20"/>
        </w:rPr>
        <w:t>d’administration</w:t>
      </w:r>
      <w:r>
        <w:rPr>
          <w:color w:val="231F20"/>
          <w:spacing w:val="15"/>
        </w:rPr>
        <w:t> </w:t>
      </w:r>
      <w:r>
        <w:rPr>
          <w:color w:val="231F20"/>
        </w:rPr>
        <w:t>doit</w:t>
      </w:r>
      <w:r>
        <w:rPr>
          <w:color w:val="231F20"/>
          <w:spacing w:val="16"/>
        </w:rPr>
        <w:t> </w:t>
      </w:r>
      <w:r>
        <w:rPr>
          <w:color w:val="231F20"/>
        </w:rPr>
        <w:t>soumettre</w:t>
      </w:r>
      <w:r>
        <w:rPr>
          <w:color w:val="231F20"/>
          <w:spacing w:val="15"/>
        </w:rPr>
        <w:t> </w:t>
      </w:r>
      <w:r>
        <w:rPr>
          <w:color w:val="231F20"/>
        </w:rPr>
        <w:t>à</w:t>
      </w:r>
      <w:r>
        <w:rPr>
          <w:color w:val="231F20"/>
          <w:spacing w:val="15"/>
        </w:rPr>
        <w:t> </w:t>
      </w:r>
      <w:r>
        <w:rPr>
          <w:color w:val="231F20"/>
        </w:rPr>
        <w:t>l’assemblée</w:t>
      </w:r>
      <w:r>
        <w:rPr>
          <w:color w:val="231F20"/>
          <w:spacing w:val="15"/>
        </w:rPr>
        <w:t> </w:t>
      </w:r>
      <w:r>
        <w:rPr>
          <w:color w:val="231F20"/>
        </w:rPr>
        <w:t>générale;</w:t>
      </w:r>
    </w:p>
    <w:p>
      <w:pPr>
        <w:pStyle w:val="BodyText"/>
        <w:ind w:left="0" w:right="0" w:firstLine="0"/>
        <w:jc w:val="left"/>
        <w:rPr>
          <w:sz w:val="24"/>
        </w:rPr>
      </w:pPr>
    </w:p>
    <w:p>
      <w:pPr>
        <w:pStyle w:val="BodyText"/>
        <w:spacing w:line="218" w:lineRule="auto"/>
        <w:ind w:right="38"/>
      </w:pPr>
      <w:r>
        <w:rPr>
          <w:color w:val="231F20"/>
        </w:rPr>
        <w:t>3° il prépare le rapport de rémunération que le conseil d’administra- tion joint à la déclaration visée à l’article 3:6, § 2;</w:t>
      </w:r>
    </w:p>
    <w:p>
      <w:pPr>
        <w:pStyle w:val="BodyText"/>
        <w:spacing w:line="218" w:lineRule="auto" w:before="96"/>
        <w:ind w:right="38"/>
      </w:pPr>
      <w:r>
        <w:rPr>
          <w:color w:val="231F20"/>
        </w:rPr>
        <w:t>4° il commente le rapport de rémunération lors de l’assemblée générale annuelle des actionnaires.</w:t>
      </w:r>
    </w:p>
    <w:p>
      <w:pPr>
        <w:pStyle w:val="BodyText"/>
        <w:spacing w:line="218" w:lineRule="auto" w:before="96"/>
        <w:ind w:right="38"/>
      </w:pPr>
      <w:r>
        <w:rPr>
          <w:color w:val="231F20"/>
        </w:rPr>
        <w:t>§ 6. Le comité de rémunération se réunit chaque fois qu’il l’estime nécessaire pour remplir correctement ses tâches et au moins deux fois par an.</w:t>
      </w:r>
    </w:p>
    <w:p>
      <w:pPr>
        <w:pStyle w:val="BodyText"/>
        <w:spacing w:line="218" w:lineRule="auto" w:before="97"/>
        <w:ind w:right="38"/>
      </w:pPr>
      <w:r>
        <w:rPr>
          <w:color w:val="231F20"/>
        </w:rPr>
        <w:t>Le comité de rémunération fait régulièrement rapport au conseil d’administration sur l’exercice de ses missions.</w:t>
      </w:r>
    </w:p>
    <w:p>
      <w:pPr>
        <w:pStyle w:val="BodyText"/>
        <w:spacing w:line="218" w:lineRule="auto" w:before="96"/>
        <w:ind w:right="38"/>
      </w:pPr>
      <w:r>
        <w:rPr>
          <w:color w:val="231F20"/>
        </w:rPr>
        <w:t>Le conseil d’administration communique le rapport de rémunération visé au paragraphe 5, 3°, au conseil d’entreprise ou, s’il n’y en a pas, aux représentants des travailleurs au comité pour la prévention et la protection au travail ou, s’il n’y en a pas, à la délégation syndicale.</w:t>
      </w:r>
    </w:p>
    <w:p>
      <w:pPr>
        <w:pStyle w:val="BodyText"/>
        <w:spacing w:line="218" w:lineRule="auto" w:before="96"/>
        <w:ind w:right="38"/>
      </w:pPr>
      <w:r>
        <w:rPr>
          <w:color w:val="231F20"/>
        </w:rPr>
        <w:t>§ 7. Le représentant principal des administrateurs exécutifs, le représentant principal des autres dirigeants visés à l’article 3:6, § 3, dernier alinéa, ou le représentant principal des délégués à la gestion journalière participe avec voix consultative aux réunions du comité de rémunération lorsque celui-ci traite de la rémunération des autres administrateurs exécutifs, des autres dirigeants visés à l’article 3:6, § 3, dernier alinéa, ou des délégués à la gestion journalière.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 8. Les sociétés suivantes sont exemptées de l’obligation d’avoir un comité de rémunération visé aux paragraphes 1 à 7:</w:t>
      </w:r>
    </w:p>
    <w:p>
      <w:pPr>
        <w:pStyle w:val="BodyText"/>
        <w:spacing w:before="11"/>
        <w:ind w:left="0" w:right="0" w:firstLine="0"/>
        <w:jc w:val="left"/>
        <w:rPr>
          <w:sz w:val="23"/>
        </w:rPr>
      </w:pPr>
    </w:p>
    <w:p>
      <w:pPr>
        <w:pStyle w:val="BodyText"/>
        <w:spacing w:line="218" w:lineRule="auto"/>
        <w:ind w:right="38"/>
      </w:pPr>
      <w:r>
        <w:rPr>
          <w:color w:val="231F20"/>
        </w:rPr>
        <w:t>1° les sociétés qui sont un organisme public de placement collectif à nombre variable de parts tel que défini à l’article 10 de la loi du</w:t>
      </w:r>
    </w:p>
    <w:p>
      <w:pPr>
        <w:pStyle w:val="BodyText"/>
        <w:spacing w:line="218" w:lineRule="auto"/>
        <w:ind w:right="0" w:firstLine="0"/>
        <w:jc w:val="left"/>
      </w:pPr>
      <w:r>
        <w:rPr>
          <w:color w:val="231F20"/>
        </w:rPr>
        <w:t>20 juillet 2004 relative à certaines formes de gestion collective de portefeuilles d’investissement;</w:t>
      </w:r>
    </w:p>
    <w:p>
      <w:pPr>
        <w:pStyle w:val="BodyText"/>
        <w:spacing w:line="218" w:lineRule="auto" w:before="107"/>
        <w:ind w:right="38"/>
      </w:pPr>
      <w:r>
        <w:rPr>
          <w:color w:val="231F20"/>
        </w:rPr>
        <w:t>2° les sociétés dont la seule activité consiste à émettre des titres adossés à des actifs au  sens  de  l’article  2,  §  5,  du  règlement  (CE)  n° 809/2004 de la Commission européenne; dans ce cas, la société divulgue les raisons pour lesquelles elle ne juge pas opportun soit de mettre sur pied un comité de rémunération soit de charger l’organe d’administration</w:t>
      </w:r>
      <w:r>
        <w:rPr>
          <w:color w:val="231F20"/>
          <w:spacing w:val="18"/>
        </w:rPr>
        <w:t> </w:t>
      </w:r>
      <w:r>
        <w:rPr>
          <w:color w:val="231F20"/>
        </w:rPr>
        <w:t>d’exercer</w:t>
      </w:r>
      <w:r>
        <w:rPr>
          <w:color w:val="231F20"/>
          <w:spacing w:val="18"/>
        </w:rPr>
        <w:t> </w:t>
      </w:r>
      <w:r>
        <w:rPr>
          <w:color w:val="231F20"/>
        </w:rPr>
        <w:t>les</w:t>
      </w:r>
      <w:r>
        <w:rPr>
          <w:color w:val="231F20"/>
          <w:spacing w:val="18"/>
        </w:rPr>
        <w:t> </w:t>
      </w:r>
      <w:r>
        <w:rPr>
          <w:color w:val="231F20"/>
        </w:rPr>
        <w:t>fonctions</w:t>
      </w:r>
      <w:r>
        <w:rPr>
          <w:color w:val="231F20"/>
          <w:spacing w:val="19"/>
        </w:rPr>
        <w:t> </w:t>
      </w:r>
      <w:r>
        <w:rPr>
          <w:color w:val="231F20"/>
        </w:rPr>
        <w:t>d’un</w:t>
      </w:r>
      <w:r>
        <w:rPr>
          <w:color w:val="231F20"/>
          <w:spacing w:val="18"/>
        </w:rPr>
        <w:t> </w:t>
      </w:r>
      <w:r>
        <w:rPr>
          <w:color w:val="231F20"/>
        </w:rPr>
        <w:t>comité</w:t>
      </w:r>
      <w:r>
        <w:rPr>
          <w:color w:val="231F20"/>
          <w:spacing w:val="18"/>
        </w:rPr>
        <w:t> </w:t>
      </w:r>
      <w:r>
        <w:rPr>
          <w:color w:val="231F20"/>
        </w:rPr>
        <w:t>de</w:t>
      </w:r>
      <w:r>
        <w:rPr>
          <w:color w:val="231F20"/>
          <w:spacing w:val="19"/>
        </w:rPr>
        <w:t> </w:t>
      </w:r>
      <w:r>
        <w:rPr>
          <w:color w:val="231F20"/>
        </w:rPr>
        <w:t>rémunération.</w:t>
      </w:r>
    </w:p>
    <w:p>
      <w:pPr>
        <w:pStyle w:val="BodyText"/>
        <w:spacing w:before="7"/>
        <w:ind w:left="0" w:right="0" w:firstLine="0"/>
        <w:jc w:val="left"/>
        <w:rPr>
          <w:sz w:val="23"/>
        </w:rPr>
      </w:pPr>
    </w:p>
    <w:p>
      <w:pPr>
        <w:pStyle w:val="BodyText"/>
        <w:ind w:left="284" w:right="0" w:firstLine="0"/>
        <w:jc w:val="left"/>
      </w:pPr>
      <w:r>
        <w:rPr>
          <w:color w:val="231F20"/>
        </w:rPr>
        <w:t>Section 2. L’administrateur unique.</w:t>
      </w:r>
    </w:p>
    <w:p>
      <w:pPr>
        <w:pStyle w:val="BodyText"/>
        <w:spacing w:line="218" w:lineRule="auto" w:before="89"/>
        <w:ind w:right="38" w:firstLine="171"/>
      </w:pPr>
      <w:r>
        <w:rPr>
          <w:color w:val="231F20"/>
        </w:rPr>
        <w:t>Art. 7:101. § 1</w:t>
      </w:r>
      <w:r>
        <w:rPr>
          <w:color w:val="231F20"/>
          <w:position w:val="7"/>
          <w:sz w:val="11"/>
        </w:rPr>
        <w:t>er</w:t>
      </w:r>
      <w:r>
        <w:rPr>
          <w:color w:val="231F20"/>
        </w:rPr>
        <w:t>. Les statuts peuvent prévoir que la société est administrée par un administrateur unique, qui peut être nommé dans les statuts.</w:t>
      </w:r>
    </w:p>
    <w:p>
      <w:pPr>
        <w:pStyle w:val="BodyText"/>
        <w:spacing w:line="213" w:lineRule="auto" w:before="109"/>
        <w:ind w:right="38"/>
      </w:pPr>
      <w:r>
        <w:rPr>
          <w:color w:val="231F20"/>
        </w:rPr>
        <w:t>Dans une société cotée ou lorsqu’une disposition légale impose une administration collégiale, l’administrateur unique doit être une société anonyme administrée par un organe collégial. Dans ce cas, la section 1</w:t>
      </w:r>
      <w:r>
        <w:rPr>
          <w:color w:val="231F20"/>
          <w:position w:val="7"/>
          <w:sz w:val="11"/>
        </w:rPr>
        <w:t>re </w:t>
      </w:r>
      <w:r>
        <w:rPr>
          <w:color w:val="231F20"/>
        </w:rPr>
        <w:t>s’applique par analogie tant à l’ administrateur unique qu’à son organe d’administration et aux membres de celui-ci.</w:t>
      </w:r>
    </w:p>
    <w:p>
      <w:pPr>
        <w:pStyle w:val="BodyText"/>
        <w:spacing w:line="218" w:lineRule="auto" w:before="108"/>
        <w:ind w:right="38"/>
      </w:pPr>
      <w:r>
        <w:rPr>
          <w:color w:val="231F20"/>
        </w:rPr>
        <w:t>Si l’administrateur unique est une société anonyme avec une administration duale, les dispositions de la section 3 sont d’application par analogie tant à l’administrateur unique qu’à son conseil de surveillance et à son conseil de direction et à leurs membres.</w:t>
      </w:r>
    </w:p>
    <w:p>
      <w:pPr>
        <w:pStyle w:val="BodyText"/>
        <w:spacing w:line="218" w:lineRule="auto" w:before="107"/>
        <w:ind w:right="38"/>
      </w:pPr>
      <w:r>
        <w:rPr>
          <w:color w:val="231F20"/>
        </w:rPr>
        <w:t>Les statuts peuvent nommer un successeur de l’administrateur unique.</w:t>
      </w:r>
    </w:p>
    <w:p>
      <w:pPr>
        <w:pStyle w:val="BodyText"/>
        <w:spacing w:line="218" w:lineRule="auto" w:before="107"/>
        <w:ind w:right="38"/>
      </w:pPr>
      <w:r>
        <w:rPr>
          <w:color w:val="231F20"/>
        </w:rPr>
        <w:t>§ 2. Les statuts peuvent prévoir que l’administrateur unique est solidairement et indéfiniment responsable des obligations de la société. Dans ce cas, l’administrateur ne peut être personnellement condamné en raison des obligations de la société tant que cette dernière n’a pas été elle-même condamnée.</w:t>
      </w:r>
    </w:p>
    <w:p>
      <w:pPr>
        <w:pStyle w:val="BodyText"/>
        <w:spacing w:line="218" w:lineRule="auto" w:before="107"/>
        <w:ind w:right="38"/>
      </w:pPr>
      <w:r>
        <w:rPr>
          <w:color w:val="231F20"/>
        </w:rPr>
        <w:t>§ 3. Les statuts peuvent prévoir que le consentement de l’adminis- trateur unique est exigé pour toute modification de statuts, toute distribution aux actionnaires ou pour sa révocation.</w:t>
      </w:r>
    </w:p>
    <w:p>
      <w:pPr>
        <w:pStyle w:val="BodyText"/>
        <w:spacing w:line="218" w:lineRule="auto" w:before="107"/>
        <w:ind w:right="38"/>
      </w:pPr>
      <w:r>
        <w:rPr>
          <w:color w:val="231F20"/>
        </w:rPr>
        <w:t>§ 4. Le décès, l’interdiction, la déconfiture, la faillite et la liquidation de l’administrateur unique et toute autre cause mentionnée dans les statuts emportent de plein droit la cessation de ses fonctions.</w:t>
      </w:r>
    </w:p>
    <w:p>
      <w:pPr>
        <w:pStyle w:val="BodyText"/>
        <w:spacing w:line="218" w:lineRule="auto" w:before="119"/>
        <w:ind w:firstLine="0"/>
      </w:pPr>
      <w:r>
        <w:rPr/>
        <w:br w:type="column"/>
      </w:r>
      <w:r>
        <w:rPr>
          <w:color w:val="231F20"/>
        </w:rPr>
        <w:t>bestuur, alsook, waar toepasselijk, over de daaruit voortvloeiende voorstellen die de raad van bestuur moet voorleggen aan de algemene vergadering;</w:t>
      </w:r>
    </w:p>
    <w:p>
      <w:pPr>
        <w:pStyle w:val="BodyText"/>
        <w:spacing w:line="218" w:lineRule="auto" w:before="97"/>
      </w:pPr>
      <w:r>
        <w:rPr>
          <w:color w:val="231F20"/>
        </w:rPr>
        <w:t>2° het doet voorstellen aan de raad van bestuur over de individuele remuneratie van de bestuurders, de andere personen belast met de leiding bedoeld in artikel 3:6, § 3, laatste lid, en de personen belast met het dagelijks bestuur, met inbegrip van variabele remuneratie en lange termijn</w:t>
      </w:r>
      <w:r>
        <w:rPr>
          <w:color w:val="231F20"/>
          <w:spacing w:val="-5"/>
        </w:rPr>
        <w:t> </w:t>
      </w:r>
      <w:r>
        <w:rPr>
          <w:color w:val="231F20"/>
        </w:rPr>
        <w:t>prestatiepremies</w:t>
      </w:r>
      <w:r>
        <w:rPr>
          <w:color w:val="231F20"/>
          <w:spacing w:val="-4"/>
        </w:rPr>
        <w:t> </w:t>
      </w:r>
      <w:r>
        <w:rPr>
          <w:color w:val="231F20"/>
        </w:rPr>
        <w:t>al</w:t>
      </w:r>
      <w:r>
        <w:rPr>
          <w:color w:val="231F20"/>
          <w:spacing w:val="-4"/>
        </w:rPr>
        <w:t> </w:t>
      </w:r>
      <w:r>
        <w:rPr>
          <w:color w:val="231F20"/>
        </w:rPr>
        <w:t>dan</w:t>
      </w:r>
      <w:r>
        <w:rPr>
          <w:color w:val="231F20"/>
          <w:spacing w:val="-4"/>
        </w:rPr>
        <w:t> </w:t>
      </w:r>
      <w:r>
        <w:rPr>
          <w:color w:val="231F20"/>
        </w:rPr>
        <w:t>niet</w:t>
      </w:r>
      <w:r>
        <w:rPr>
          <w:color w:val="231F20"/>
          <w:spacing w:val="-4"/>
        </w:rPr>
        <w:t> </w:t>
      </w:r>
      <w:r>
        <w:rPr>
          <w:color w:val="231F20"/>
        </w:rPr>
        <w:t>gebonden</w:t>
      </w:r>
      <w:r>
        <w:rPr>
          <w:color w:val="231F20"/>
          <w:spacing w:val="-4"/>
        </w:rPr>
        <w:t> </w:t>
      </w:r>
      <w:r>
        <w:rPr>
          <w:color w:val="231F20"/>
        </w:rPr>
        <w:t>aan</w:t>
      </w:r>
      <w:r>
        <w:rPr>
          <w:color w:val="231F20"/>
          <w:spacing w:val="-4"/>
        </w:rPr>
        <w:t> </w:t>
      </w:r>
      <w:r>
        <w:rPr>
          <w:color w:val="231F20"/>
        </w:rPr>
        <w:t>aandelen,</w:t>
      </w:r>
      <w:r>
        <w:rPr>
          <w:color w:val="231F20"/>
          <w:spacing w:val="-4"/>
        </w:rPr>
        <w:t> </w:t>
      </w:r>
      <w:r>
        <w:rPr>
          <w:color w:val="231F20"/>
        </w:rPr>
        <w:t>in</w:t>
      </w:r>
      <w:r>
        <w:rPr>
          <w:color w:val="231F20"/>
          <w:spacing w:val="-4"/>
        </w:rPr>
        <w:t> </w:t>
      </w:r>
      <w:r>
        <w:rPr>
          <w:color w:val="231F20"/>
        </w:rPr>
        <w:t>de</w:t>
      </w:r>
      <w:r>
        <w:rPr>
          <w:color w:val="231F20"/>
          <w:spacing w:val="-4"/>
        </w:rPr>
        <w:t> </w:t>
      </w:r>
      <w:r>
        <w:rPr>
          <w:color w:val="231F20"/>
        </w:rPr>
        <w:t>vorm van aandelenopties of andere financiële instrumenten, en van vertrek- vergoedingen, en waar toepasselijk, de daaruit voortvloeiende voor- stellen die de raad van bestuur moet voorleggen aan de algemene vergadering;</w:t>
      </w:r>
    </w:p>
    <w:p>
      <w:pPr>
        <w:pStyle w:val="BodyText"/>
        <w:spacing w:line="218" w:lineRule="auto" w:before="96"/>
      </w:pPr>
      <w:r>
        <w:rPr>
          <w:color w:val="231F20"/>
        </w:rPr>
        <w:t>3° het bereidt het remuneratieverslag voor dat de raad van bestuur toevoegt in de verklaring bedoeld in artikel 3:6, § 2;</w:t>
      </w:r>
    </w:p>
    <w:p>
      <w:pPr>
        <w:pStyle w:val="BodyText"/>
        <w:spacing w:line="218" w:lineRule="auto" w:before="96"/>
      </w:pPr>
      <w:r>
        <w:rPr>
          <w:color w:val="231F20"/>
        </w:rPr>
        <w:t>4° het licht het remuneratieverslag toe op de jaarlijkse algemene vergadering van aandeelhouders.</w:t>
      </w:r>
    </w:p>
    <w:p>
      <w:pPr>
        <w:pStyle w:val="BodyText"/>
        <w:spacing w:line="218" w:lineRule="auto" w:before="97"/>
      </w:pPr>
      <w:r>
        <w:rPr>
          <w:color w:val="231F20"/>
        </w:rPr>
        <w:t>§ 6. Het remuneratiecomité komt samen telkens wanneer het dit noodzakelijk</w:t>
      </w:r>
      <w:r>
        <w:rPr>
          <w:color w:val="231F20"/>
          <w:spacing w:val="-4"/>
        </w:rPr>
        <w:t> </w:t>
      </w:r>
      <w:r>
        <w:rPr>
          <w:color w:val="231F20"/>
        </w:rPr>
        <w:t>acht</w:t>
      </w:r>
      <w:r>
        <w:rPr>
          <w:color w:val="231F20"/>
          <w:spacing w:val="-3"/>
        </w:rPr>
        <w:t> </w:t>
      </w:r>
      <w:r>
        <w:rPr>
          <w:color w:val="231F20"/>
        </w:rPr>
        <w:t>om</w:t>
      </w:r>
      <w:r>
        <w:rPr>
          <w:color w:val="231F20"/>
          <w:spacing w:val="-3"/>
        </w:rPr>
        <w:t> </w:t>
      </w:r>
      <w:r>
        <w:rPr>
          <w:color w:val="231F20"/>
        </w:rPr>
        <w:t>zijn</w:t>
      </w:r>
      <w:r>
        <w:rPr>
          <w:color w:val="231F20"/>
          <w:spacing w:val="-3"/>
        </w:rPr>
        <w:t> </w:t>
      </w:r>
      <w:r>
        <w:rPr>
          <w:color w:val="231F20"/>
        </w:rPr>
        <w:t>taken</w:t>
      </w:r>
      <w:r>
        <w:rPr>
          <w:color w:val="231F20"/>
          <w:spacing w:val="-3"/>
        </w:rPr>
        <w:t> </w:t>
      </w:r>
      <w:r>
        <w:rPr>
          <w:color w:val="231F20"/>
        </w:rPr>
        <w:t>naar</w:t>
      </w:r>
      <w:r>
        <w:rPr>
          <w:color w:val="231F20"/>
          <w:spacing w:val="-3"/>
        </w:rPr>
        <w:t> </w:t>
      </w:r>
      <w:r>
        <w:rPr>
          <w:color w:val="231F20"/>
        </w:rPr>
        <w:t>behoren</w:t>
      </w:r>
      <w:r>
        <w:rPr>
          <w:color w:val="231F20"/>
          <w:spacing w:val="-3"/>
        </w:rPr>
        <w:t> </w:t>
      </w:r>
      <w:r>
        <w:rPr>
          <w:color w:val="231F20"/>
        </w:rPr>
        <w:t>te</w:t>
      </w:r>
      <w:r>
        <w:rPr>
          <w:color w:val="231F20"/>
          <w:spacing w:val="-3"/>
        </w:rPr>
        <w:t> </w:t>
      </w:r>
      <w:r>
        <w:rPr>
          <w:color w:val="231F20"/>
        </w:rPr>
        <w:t>vervullen</w:t>
      </w:r>
      <w:r>
        <w:rPr>
          <w:color w:val="231F20"/>
          <w:spacing w:val="-3"/>
        </w:rPr>
        <w:t> </w:t>
      </w:r>
      <w:r>
        <w:rPr>
          <w:color w:val="231F20"/>
        </w:rPr>
        <w:t>en</w:t>
      </w:r>
      <w:r>
        <w:rPr>
          <w:color w:val="231F20"/>
          <w:spacing w:val="-4"/>
        </w:rPr>
        <w:t> </w:t>
      </w:r>
      <w:r>
        <w:rPr>
          <w:color w:val="231F20"/>
        </w:rPr>
        <w:t>ten</w:t>
      </w:r>
      <w:r>
        <w:rPr>
          <w:color w:val="231F20"/>
          <w:spacing w:val="-3"/>
        </w:rPr>
        <w:t> </w:t>
      </w:r>
      <w:r>
        <w:rPr>
          <w:color w:val="231F20"/>
        </w:rPr>
        <w:t>minste tweemaal per</w:t>
      </w:r>
      <w:r>
        <w:rPr>
          <w:color w:val="231F20"/>
          <w:spacing w:val="-11"/>
        </w:rPr>
        <w:t> </w:t>
      </w:r>
      <w:r>
        <w:rPr>
          <w:color w:val="231F20"/>
          <w:spacing w:val="-3"/>
        </w:rPr>
        <w:t>jaar.</w:t>
      </w:r>
    </w:p>
    <w:p>
      <w:pPr>
        <w:pStyle w:val="BodyText"/>
        <w:spacing w:line="218" w:lineRule="auto" w:before="96"/>
      </w:pPr>
      <w:r>
        <w:rPr>
          <w:color w:val="231F20"/>
        </w:rPr>
        <w:t>Het remuneratiecomité brengt bij de raad van bestuur geregeld verslag uit over de uitoefening van zijn taken.</w:t>
      </w:r>
    </w:p>
    <w:p>
      <w:pPr>
        <w:pStyle w:val="BodyText"/>
        <w:spacing w:line="218" w:lineRule="auto" w:before="96"/>
      </w:pPr>
      <w:r>
        <w:rPr>
          <w:color w:val="231F20"/>
        </w:rPr>
        <w:t>De raad van bestuur deelt het remuneratieverslag bedoeld in paragraaf 5, 3°, mee aan de ondernemingsraad, of, als die er niet is, aan de werknemersafgevaardigden in het comité voor preventie en bescher- ming op het werk of, als die er niet zijn, aan de syndicale afvaardiging.</w:t>
      </w:r>
    </w:p>
    <w:p>
      <w:pPr>
        <w:pStyle w:val="BodyText"/>
        <w:spacing w:line="218" w:lineRule="auto" w:before="96"/>
      </w:pPr>
      <w:r>
        <w:rPr>
          <w:color w:val="231F20"/>
        </w:rPr>
        <w:t>§ 7. De belangrijkste vertegenwoordiger van de uitvoerende bestuur- ders, de belangrijkste vertegenwoordiger van de personen belast met  de leiding bedoeld in artikel 3:6, § 3, laatste lid, of de belangrijkste vertegenwoordiger van de personen belast met het dagelijks bestuur neemt met raadgevende stem deel aan de vergaderingen van het remuneratiecomité wanneer dit de remuneratie van de andere uitvoe- rende bestuurders, de personen belast met de leiding bedoeld  in  artikel 3:6, § 3, laatste lid, of de personen belast met het</w:t>
      </w:r>
      <w:r>
        <w:rPr>
          <w:color w:val="231F20"/>
          <w:spacing w:val="21"/>
        </w:rPr>
        <w:t> </w:t>
      </w:r>
      <w:r>
        <w:rPr>
          <w:color w:val="231F20"/>
        </w:rPr>
        <w:t>dagelijks bestuur</w:t>
      </w:r>
      <w:r>
        <w:rPr>
          <w:color w:val="231F20"/>
          <w:spacing w:val="15"/>
        </w:rPr>
        <w:t> </w:t>
      </w:r>
      <w:r>
        <w:rPr>
          <w:color w:val="231F20"/>
        </w:rPr>
        <w:t>behandelt.</w:t>
      </w:r>
    </w:p>
    <w:p>
      <w:pPr>
        <w:pStyle w:val="BodyText"/>
        <w:spacing w:line="218" w:lineRule="auto" w:before="97"/>
      </w:pPr>
      <w:r>
        <w:rPr>
          <w:color w:val="231F20"/>
        </w:rPr>
        <w:t>§ 8. De volgende vennootschappen zijn vrijgesteld van de verplich- ting tot instelling van een remuneratiecomité als bedoeld in de paragrafen 1 tot</w:t>
      </w:r>
      <w:r>
        <w:rPr>
          <w:color w:val="231F20"/>
          <w:spacing w:val="4"/>
        </w:rPr>
        <w:t> </w:t>
      </w:r>
      <w:r>
        <w:rPr>
          <w:color w:val="231F20"/>
        </w:rPr>
        <w:t>7:</w:t>
      </w:r>
    </w:p>
    <w:p>
      <w:pPr>
        <w:pStyle w:val="BodyText"/>
        <w:spacing w:line="218" w:lineRule="auto" w:before="96"/>
      </w:pPr>
      <w:r>
        <w:rPr>
          <w:color w:val="231F20"/>
        </w:rPr>
        <w:t>1° de vennootschappen die een openbare instelling voor collectieve belegging met een veranderlijk aantal rechten van deelneming zijn als omschreven in artikel 10 van de wet van 20 juli 2004 betreffende bepaalde vormen van collectief beheer van beleggingsportefeuilles;</w:t>
      </w:r>
    </w:p>
    <w:p>
      <w:pPr>
        <w:pStyle w:val="BodyText"/>
        <w:spacing w:line="218" w:lineRule="auto" w:before="107"/>
        <w:ind w:right="123"/>
      </w:pPr>
      <w:r>
        <w:rPr>
          <w:color w:val="231F20"/>
        </w:rPr>
        <w:t>2° de vennootschappen waarvan de enige zakelijke activiteit bestaat in de uitgifte van door activa gedekte waardepapieren, zoals gedefini- eerd in artikel 2, lid 5, van verordening (EG) </w:t>
      </w:r>
      <w:r>
        <w:rPr>
          <w:color w:val="231F20"/>
          <w:spacing w:val="-5"/>
        </w:rPr>
        <w:t>nr. </w:t>
      </w:r>
      <w:r>
        <w:rPr>
          <w:color w:val="231F20"/>
        </w:rPr>
        <w:t>809/2004 van de Europese Commissie; in dat geval zet de vennootschap aan het publiek uiteen waarom zij het niet dienstig acht hetzij een remuneratiecomité</w:t>
      </w:r>
      <w:r>
        <w:rPr>
          <w:color w:val="231F20"/>
          <w:spacing w:val="-13"/>
        </w:rPr>
        <w:t> </w:t>
      </w:r>
      <w:r>
        <w:rPr>
          <w:color w:val="231F20"/>
        </w:rPr>
        <w:t>in te stellen, hetzij het bestuursorgaan te belasten met de uitvoering van de taken van een</w:t>
      </w:r>
      <w:r>
        <w:rPr>
          <w:color w:val="231F20"/>
          <w:spacing w:val="18"/>
        </w:rPr>
        <w:t> </w:t>
      </w:r>
      <w:r>
        <w:rPr>
          <w:color w:val="231F20"/>
        </w:rPr>
        <w:t>remuneratiecomité.</w:t>
      </w:r>
    </w:p>
    <w:p>
      <w:pPr>
        <w:pStyle w:val="BodyText"/>
        <w:spacing w:before="93"/>
        <w:ind w:left="283" w:right="0" w:firstLine="0"/>
        <w:jc w:val="left"/>
      </w:pPr>
      <w:r>
        <w:rPr>
          <w:color w:val="231F20"/>
        </w:rPr>
        <w:t>Afdeling 2. De enige bestuurder.</w:t>
      </w:r>
    </w:p>
    <w:p>
      <w:pPr>
        <w:pStyle w:val="BodyText"/>
        <w:spacing w:line="218" w:lineRule="auto" w:before="103"/>
      </w:pPr>
      <w:r>
        <w:rPr>
          <w:color w:val="231F20"/>
        </w:rPr>
        <w:t>Art. 7:101. § 1. De statuten kunnen bepalen dat de naamloze vennootschap wordt bestuurd door één enkele bestuurder, al dan niet in de statuten</w:t>
      </w:r>
      <w:r>
        <w:rPr>
          <w:color w:val="231F20"/>
          <w:spacing w:val="3"/>
        </w:rPr>
        <w:t> </w:t>
      </w:r>
      <w:r>
        <w:rPr>
          <w:color w:val="231F20"/>
        </w:rPr>
        <w:t>benoemd.</w:t>
      </w:r>
    </w:p>
    <w:p>
      <w:pPr>
        <w:pStyle w:val="BodyText"/>
        <w:spacing w:line="218" w:lineRule="auto" w:before="107"/>
        <w:ind w:right="125"/>
      </w:pPr>
      <w:r>
        <w:rPr>
          <w:color w:val="231F20"/>
        </w:rPr>
        <w:t>In een genoteerde vennootschap of wanneer een wettelijke bepaling een collegiaal bestuur vereist, moet de enige bestuurder een naamloze vennootschap zijn met collegiaal bestuur. In dat geval is afdeling 1 van overeenkomstige toepassing op zowel de enige bestuurder als op zijn bestuursorgaan en de leden ervan.</w:t>
      </w:r>
    </w:p>
    <w:p>
      <w:pPr>
        <w:pStyle w:val="BodyText"/>
        <w:spacing w:line="218" w:lineRule="auto" w:before="107"/>
      </w:pPr>
      <w:r>
        <w:rPr>
          <w:color w:val="231F20"/>
        </w:rPr>
        <w:t>Als de enige bestuurder een naamloze vennootschap is met een duaal bestuur, zijn de bepalingen van afdeling 3 van overeenkomstige toepassing op zowel de enige bestuurder als op zijn raad van toezicht  en</w:t>
      </w:r>
      <w:r>
        <w:rPr>
          <w:color w:val="231F20"/>
          <w:spacing w:val="15"/>
        </w:rPr>
        <w:t> </w:t>
      </w:r>
      <w:r>
        <w:rPr>
          <w:color w:val="231F20"/>
        </w:rPr>
        <w:t>zijn</w:t>
      </w:r>
      <w:r>
        <w:rPr>
          <w:color w:val="231F20"/>
          <w:spacing w:val="14"/>
        </w:rPr>
        <w:t> </w:t>
      </w:r>
      <w:r>
        <w:rPr>
          <w:color w:val="231F20"/>
        </w:rPr>
        <w:t>directieraad</w:t>
      </w:r>
      <w:r>
        <w:rPr>
          <w:color w:val="231F20"/>
          <w:spacing w:val="15"/>
        </w:rPr>
        <w:t> </w:t>
      </w:r>
      <w:r>
        <w:rPr>
          <w:color w:val="231F20"/>
        </w:rPr>
        <w:t>en</w:t>
      </w:r>
      <w:r>
        <w:rPr>
          <w:color w:val="231F20"/>
          <w:spacing w:val="15"/>
        </w:rPr>
        <w:t> </w:t>
      </w:r>
      <w:r>
        <w:rPr>
          <w:color w:val="231F20"/>
        </w:rPr>
        <w:t>hun</w:t>
      </w:r>
      <w:r>
        <w:rPr>
          <w:color w:val="231F20"/>
          <w:spacing w:val="15"/>
        </w:rPr>
        <w:t> </w:t>
      </w:r>
      <w:r>
        <w:rPr>
          <w:color w:val="231F20"/>
        </w:rPr>
        <w:t>leden.</w:t>
      </w:r>
    </w:p>
    <w:p>
      <w:pPr>
        <w:pStyle w:val="BodyText"/>
        <w:spacing w:line="218" w:lineRule="auto" w:before="107"/>
      </w:pPr>
      <w:r>
        <w:rPr>
          <w:color w:val="231F20"/>
        </w:rPr>
        <w:t>De statuten kunnen een opvolger voor de enige bestuurder benoe- men.</w:t>
      </w:r>
    </w:p>
    <w:p>
      <w:pPr>
        <w:pStyle w:val="BodyText"/>
        <w:spacing w:line="218" w:lineRule="auto" w:before="107"/>
      </w:pPr>
      <w:r>
        <w:rPr>
          <w:color w:val="231F20"/>
        </w:rPr>
        <w:t>§ 2. De statuten kunnen bepalen dat de enige bestuurder hoofdelijk en onbeperkt aansprakelijk is voor de verbintenissen van de vennoot- schap. In dat geval kan de enige bestuurder niet persoonlijk worden veroordeeld op grond van verbintenissen van de vennootschap zolang deze laatste zelf niet is veroordeeld.</w:t>
      </w:r>
    </w:p>
    <w:p>
      <w:pPr>
        <w:pStyle w:val="BodyText"/>
        <w:spacing w:line="218" w:lineRule="auto" w:before="107"/>
      </w:pPr>
      <w:r>
        <w:rPr>
          <w:color w:val="231F20"/>
        </w:rPr>
        <w:t>§ 3. De statuten kunnen bepalen dat de instemming van de enige bestuurder is vereist voor elke statutenwijziging, voor elke uitkering aan</w:t>
      </w:r>
      <w:r>
        <w:rPr>
          <w:color w:val="231F20"/>
          <w:spacing w:val="15"/>
        </w:rPr>
        <w:t> </w:t>
      </w:r>
      <w:r>
        <w:rPr>
          <w:color w:val="231F20"/>
        </w:rPr>
        <w:t>de</w:t>
      </w:r>
      <w:r>
        <w:rPr>
          <w:color w:val="231F20"/>
          <w:spacing w:val="16"/>
        </w:rPr>
        <w:t> </w:t>
      </w:r>
      <w:r>
        <w:rPr>
          <w:color w:val="231F20"/>
        </w:rPr>
        <w:t>aandeelhouders,</w:t>
      </w:r>
      <w:r>
        <w:rPr>
          <w:color w:val="231F20"/>
          <w:spacing w:val="16"/>
        </w:rPr>
        <w:t> </w:t>
      </w:r>
      <w:r>
        <w:rPr>
          <w:color w:val="231F20"/>
        </w:rPr>
        <w:t>of</w:t>
      </w:r>
      <w:r>
        <w:rPr>
          <w:color w:val="231F20"/>
          <w:spacing w:val="16"/>
        </w:rPr>
        <w:t> </w:t>
      </w:r>
      <w:r>
        <w:rPr>
          <w:color w:val="231F20"/>
        </w:rPr>
        <w:t>voor</w:t>
      </w:r>
      <w:r>
        <w:rPr>
          <w:color w:val="231F20"/>
          <w:spacing w:val="15"/>
        </w:rPr>
        <w:t> </w:t>
      </w:r>
      <w:r>
        <w:rPr>
          <w:color w:val="231F20"/>
        </w:rPr>
        <w:t>zijn</w:t>
      </w:r>
      <w:r>
        <w:rPr>
          <w:color w:val="231F20"/>
          <w:spacing w:val="16"/>
        </w:rPr>
        <w:t> </w:t>
      </w:r>
      <w:r>
        <w:rPr>
          <w:color w:val="231F20"/>
        </w:rPr>
        <w:t>ontslag.</w:t>
      </w:r>
    </w:p>
    <w:p>
      <w:pPr>
        <w:pStyle w:val="BodyText"/>
        <w:spacing w:line="218" w:lineRule="auto" w:before="107"/>
      </w:pPr>
      <w:r>
        <w:rPr>
          <w:color w:val="231F20"/>
        </w:rPr>
        <w:t>§ 4. De dood, de onbekwaamverklaring, het kennelijk onvermogen, het faillissement en de vereffening van de enige bestuurder en elke andere in de statuten vermelde reden hebben van rechtswege zijn ontslag tot gevolg.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73"/>
      </w:pPr>
      <w:r>
        <w:rPr/>
        <w:pict>
          <v:line style="position:absolute;mso-position-horizontal-relative:page;mso-position-vertical-relative:page;z-index:5128" from="298.170502pt,64.473pt" to="298.170502pt,812.819pt" stroked="true" strokeweight=".533pt" strokecolor="#231f20">
            <v:stroke dashstyle="solid"/>
            <w10:wrap type="none"/>
          </v:line>
        </w:pict>
      </w:r>
      <w:bookmarkStart w:name="_bookmark171" w:id="176"/>
      <w:bookmarkEnd w:id="176"/>
      <w:r>
        <w:rPr/>
      </w:r>
      <w:r>
        <w:rPr>
          <w:color w:val="231F20"/>
        </w:rPr>
        <w:t>Même si le consentement de l’administrateur unique est nécessaire à sa révocation en vertu d’une disposition statutaire, l’assemblée géné- rale peut mettre fin à son mandat sans son consentement, aux conditions de quorum et de majorité requises pour la modification des statuts, pour de justes motifs.</w:t>
      </w:r>
    </w:p>
    <w:p>
      <w:pPr>
        <w:pStyle w:val="BodyText"/>
        <w:spacing w:line="218" w:lineRule="auto" w:before="107"/>
        <w:ind w:right="73"/>
      </w:pPr>
      <w:r>
        <w:rPr>
          <w:color w:val="231F20"/>
        </w:rPr>
        <w:t>Les titulaires d’actions avec droit de vote qui représentent au moins 10 % ou, pour une société cotée, 3 % du capital peuvent néanmoins désigner à l’unanimité un mandataire spécial, actionnaire ou non, chargé d’introduire une demande de révocation de l’administrateur unique pour de justes motifs. Cette demande est portée devant le président du tribunal de l’entreprise du siège de la société siégeant comme en référé. L’exploit introductif d’instance mentionne l’identité du mandataire spécial chez qui il est fait élection de domicile.</w:t>
      </w:r>
    </w:p>
    <w:p>
      <w:pPr>
        <w:pStyle w:val="BodyText"/>
        <w:spacing w:before="7"/>
        <w:ind w:left="0" w:right="0" w:firstLine="0"/>
        <w:jc w:val="left"/>
        <w:rPr>
          <w:sz w:val="23"/>
        </w:rPr>
      </w:pPr>
    </w:p>
    <w:p>
      <w:pPr>
        <w:pStyle w:val="BodyText"/>
        <w:ind w:left="283" w:right="0" w:firstLine="0"/>
        <w:jc w:val="left"/>
      </w:pPr>
      <w:r>
        <w:rPr>
          <w:color w:val="231F20"/>
        </w:rPr>
        <w:t>La société doit être citée en déclaration de jugement commun.</w:t>
      </w:r>
    </w:p>
    <w:p>
      <w:pPr>
        <w:pStyle w:val="BodyText"/>
        <w:spacing w:before="7"/>
        <w:ind w:left="0" w:right="0" w:firstLine="0"/>
        <w:jc w:val="left"/>
        <w:rPr>
          <w:sz w:val="24"/>
        </w:rPr>
      </w:pPr>
    </w:p>
    <w:p>
      <w:pPr>
        <w:pStyle w:val="BodyText"/>
        <w:spacing w:line="218" w:lineRule="auto"/>
        <w:ind w:right="73"/>
      </w:pPr>
      <w:r>
        <w:rPr>
          <w:color w:val="231F20"/>
        </w:rPr>
        <w:t>À défaut, le président remet la cause à une date rapprochée à laquelle la société sera citée. Les frais de procédure sont à charge de la société,  à</w:t>
      </w:r>
      <w:r>
        <w:rPr>
          <w:color w:val="231F20"/>
          <w:spacing w:val="14"/>
        </w:rPr>
        <w:t> </w:t>
      </w:r>
      <w:r>
        <w:rPr>
          <w:color w:val="231F20"/>
        </w:rPr>
        <w:t>moins</w:t>
      </w:r>
      <w:r>
        <w:rPr>
          <w:color w:val="231F20"/>
          <w:spacing w:val="15"/>
        </w:rPr>
        <w:t> </w:t>
      </w:r>
      <w:r>
        <w:rPr>
          <w:color w:val="231F20"/>
        </w:rPr>
        <w:t>que</w:t>
      </w:r>
      <w:r>
        <w:rPr>
          <w:color w:val="231F20"/>
          <w:spacing w:val="15"/>
        </w:rPr>
        <w:t> </w:t>
      </w:r>
      <w:r>
        <w:rPr>
          <w:color w:val="231F20"/>
        </w:rPr>
        <w:t>le</w:t>
      </w:r>
      <w:r>
        <w:rPr>
          <w:color w:val="231F20"/>
          <w:spacing w:val="15"/>
        </w:rPr>
        <w:t> </w:t>
      </w:r>
      <w:r>
        <w:rPr>
          <w:color w:val="231F20"/>
        </w:rPr>
        <w:t>juge</w:t>
      </w:r>
      <w:r>
        <w:rPr>
          <w:color w:val="231F20"/>
          <w:spacing w:val="15"/>
        </w:rPr>
        <w:t> </w:t>
      </w:r>
      <w:r>
        <w:rPr>
          <w:color w:val="231F20"/>
        </w:rPr>
        <w:t>en</w:t>
      </w:r>
      <w:r>
        <w:rPr>
          <w:color w:val="231F20"/>
          <w:spacing w:val="15"/>
        </w:rPr>
        <w:t> </w:t>
      </w:r>
      <w:r>
        <w:rPr>
          <w:color w:val="231F20"/>
        </w:rPr>
        <w:t>décide</w:t>
      </w:r>
      <w:r>
        <w:rPr>
          <w:color w:val="231F20"/>
          <w:spacing w:val="14"/>
        </w:rPr>
        <w:t> </w:t>
      </w:r>
      <w:r>
        <w:rPr>
          <w:color w:val="231F20"/>
        </w:rPr>
        <w:t>expressément</w:t>
      </w:r>
      <w:r>
        <w:rPr>
          <w:color w:val="231F20"/>
          <w:spacing w:val="15"/>
        </w:rPr>
        <w:t> </w:t>
      </w:r>
      <w:r>
        <w:rPr>
          <w:color w:val="231F20"/>
        </w:rPr>
        <w:t>autrement.</w:t>
      </w:r>
    </w:p>
    <w:p>
      <w:pPr>
        <w:pStyle w:val="BodyText"/>
        <w:spacing w:line="218" w:lineRule="auto" w:before="92"/>
        <w:ind w:right="73"/>
      </w:pPr>
      <w:r>
        <w:rPr>
          <w:color w:val="231F20"/>
        </w:rPr>
        <w:t>Art. 7:102. § 1</w:t>
      </w:r>
      <w:r>
        <w:rPr>
          <w:color w:val="231F20"/>
          <w:position w:val="7"/>
          <w:sz w:val="11"/>
        </w:rPr>
        <w:t>er</w:t>
      </w:r>
      <w:r>
        <w:rPr>
          <w:color w:val="231F20"/>
        </w:rPr>
        <w:t>. Lorsque l’administrateur unique est </w:t>
      </w:r>
      <w:r>
        <w:rPr>
          <w:color w:val="231F20"/>
          <w:spacing w:val="5"/>
        </w:rPr>
        <w:t>appeléà </w:t>
      </w:r>
      <w:r>
        <w:rPr>
          <w:color w:val="231F20"/>
        </w:rPr>
        <w:t>prendre une décision ou à se prononcer sur une opération relevant de sa compétence à propos de laquelle il a un intérêt direct ou indirect de nature patrimoniale qui est opposé à celui de la société, il soumet cette décision ou cette opération à l’assemblée générale; en cas</w:t>
      </w:r>
      <w:r>
        <w:rPr>
          <w:color w:val="231F20"/>
          <w:spacing w:val="-17"/>
        </w:rPr>
        <w:t> </w:t>
      </w:r>
      <w:r>
        <w:rPr>
          <w:color w:val="231F20"/>
        </w:rPr>
        <w:t>d’approbation de la décision ou de l’opération par celle-ci, l’organe d’administration peut</w:t>
      </w:r>
      <w:r>
        <w:rPr>
          <w:color w:val="231F20"/>
          <w:spacing w:val="14"/>
        </w:rPr>
        <w:t> </w:t>
      </w:r>
      <w:r>
        <w:rPr>
          <w:color w:val="231F20"/>
        </w:rPr>
        <w:t>l’exécuter.</w:t>
      </w:r>
    </w:p>
    <w:p>
      <w:pPr>
        <w:pStyle w:val="BodyText"/>
        <w:spacing w:before="10"/>
        <w:ind w:left="0" w:right="0" w:firstLine="0"/>
        <w:jc w:val="left"/>
        <w:rPr>
          <w:sz w:val="24"/>
        </w:rPr>
      </w:pPr>
    </w:p>
    <w:p>
      <w:pPr>
        <w:pStyle w:val="BodyText"/>
        <w:spacing w:line="218" w:lineRule="auto"/>
        <w:ind w:right="72"/>
      </w:pPr>
      <w:r>
        <w:rPr>
          <w:color w:val="231F20"/>
        </w:rPr>
        <w:t>Lorsque l’administrateur unique, personne morale, est doté d’un organe d’administration collégial et est appelé à prendre une décision ou se prononcer sur une opération à propos de laquelle un membre de cet organe d’adminstration a un intérêt direct ou indirect de nature patrimoniale qui est opposé à l’intérêt de la société, l’article 7:96 est d’application. Lorsque tous les administrateurs de l’organe d’adminis- tration de l’administrateur unique ont un intérêt opposé, la décision ou l’opération est soumise à l’assemblée générale; en cas d’approbation de la décision ou de l’opération par celle-ci, l’organe d’administration peut l’exécuter.</w:t>
      </w:r>
    </w:p>
    <w:p>
      <w:pPr>
        <w:pStyle w:val="BodyText"/>
        <w:spacing w:line="218" w:lineRule="auto" w:before="107"/>
        <w:ind w:right="72"/>
      </w:pPr>
      <w:r>
        <w:rPr>
          <w:color w:val="231F20"/>
        </w:rPr>
        <w:t>Si l’administrateur unique est également l’actionnaire unique, il peut prendre la décision ou réaliser l’opération lui-même.</w:t>
      </w:r>
    </w:p>
    <w:p>
      <w:pPr>
        <w:pStyle w:val="BodyText"/>
        <w:spacing w:line="216" w:lineRule="auto" w:before="109"/>
        <w:ind w:right="72"/>
      </w:pPr>
      <w:r>
        <w:rPr>
          <w:color w:val="231F20"/>
        </w:rPr>
        <w:t>§ 2. À moins que l’administrateur unique soit également l’actionnaire unique, le paragraphe 1</w:t>
      </w:r>
      <w:r>
        <w:rPr>
          <w:color w:val="231F20"/>
          <w:position w:val="7"/>
          <w:sz w:val="11"/>
        </w:rPr>
        <w:t>er </w:t>
      </w:r>
      <w:r>
        <w:rPr>
          <w:color w:val="231F20"/>
        </w:rPr>
        <w:t>n’est pas applicable lorsque les décisions ou opérations visées ci-dessus ont été conclues entre sociétés dont l’une détient directement ou indirectement 95 % au moins des voix attachées à l’ensemble des titres émis par l’autre ou entre sociétés dont 95 % au moins des voix attachées à l’ensemble des titres émis par chacune d’elles</w:t>
      </w:r>
      <w:r>
        <w:rPr>
          <w:color w:val="231F20"/>
          <w:spacing w:val="15"/>
        </w:rPr>
        <w:t> </w:t>
      </w:r>
      <w:r>
        <w:rPr>
          <w:color w:val="231F20"/>
        </w:rPr>
        <w:t>sont</w:t>
      </w:r>
      <w:r>
        <w:rPr>
          <w:color w:val="231F20"/>
          <w:spacing w:val="15"/>
        </w:rPr>
        <w:t> </w:t>
      </w:r>
      <w:r>
        <w:rPr>
          <w:color w:val="231F20"/>
        </w:rPr>
        <w:t>détenus</w:t>
      </w:r>
      <w:r>
        <w:rPr>
          <w:color w:val="231F20"/>
          <w:spacing w:val="15"/>
        </w:rPr>
        <w:t> </w:t>
      </w:r>
      <w:r>
        <w:rPr>
          <w:color w:val="231F20"/>
        </w:rPr>
        <w:t>par</w:t>
      </w:r>
      <w:r>
        <w:rPr>
          <w:color w:val="231F20"/>
          <w:spacing w:val="15"/>
        </w:rPr>
        <w:t> </w:t>
      </w:r>
      <w:r>
        <w:rPr>
          <w:color w:val="231F20"/>
        </w:rPr>
        <w:t>une</w:t>
      </w:r>
      <w:r>
        <w:rPr>
          <w:color w:val="231F20"/>
          <w:spacing w:val="15"/>
        </w:rPr>
        <w:t> </w:t>
      </w:r>
      <w:r>
        <w:rPr>
          <w:color w:val="231F20"/>
        </w:rPr>
        <w:t>autre</w:t>
      </w:r>
      <w:r>
        <w:rPr>
          <w:color w:val="231F20"/>
          <w:spacing w:val="15"/>
        </w:rPr>
        <w:t> </w:t>
      </w:r>
      <w:r>
        <w:rPr>
          <w:color w:val="231F20"/>
        </w:rPr>
        <w:t>société.</w:t>
      </w:r>
    </w:p>
    <w:p>
      <w:pPr>
        <w:pStyle w:val="BodyText"/>
        <w:ind w:left="0" w:right="0" w:firstLine="0"/>
        <w:jc w:val="left"/>
        <w:rPr>
          <w:sz w:val="20"/>
        </w:rPr>
      </w:pPr>
    </w:p>
    <w:p>
      <w:pPr>
        <w:pStyle w:val="BodyText"/>
        <w:spacing w:before="9"/>
        <w:ind w:left="0" w:right="0" w:firstLine="0"/>
        <w:jc w:val="left"/>
        <w:rPr>
          <w:sz w:val="18"/>
        </w:rPr>
      </w:pPr>
    </w:p>
    <w:p>
      <w:pPr>
        <w:pStyle w:val="BodyText"/>
        <w:spacing w:line="218" w:lineRule="auto"/>
        <w:ind w:right="72"/>
      </w:pPr>
      <w:r>
        <w:rPr>
          <w:color w:val="231F20"/>
        </w:rPr>
        <w:t>En outre, le paragraphe 1</w:t>
      </w:r>
      <w:r>
        <w:rPr>
          <w:color w:val="231F20"/>
          <w:position w:val="7"/>
          <w:sz w:val="11"/>
        </w:rPr>
        <w:t>er </w:t>
      </w:r>
      <w:r>
        <w:rPr>
          <w:color w:val="231F20"/>
        </w:rPr>
        <w:t>n’est pas applicable lorsque les décisions de</w:t>
      </w:r>
      <w:r>
        <w:rPr>
          <w:color w:val="231F20"/>
          <w:spacing w:val="-22"/>
        </w:rPr>
        <w:t> </w:t>
      </w:r>
      <w:r>
        <w:rPr>
          <w:color w:val="231F20"/>
        </w:rPr>
        <w:t>l’administrateur</w:t>
      </w:r>
      <w:r>
        <w:rPr>
          <w:color w:val="231F20"/>
          <w:spacing w:val="-21"/>
        </w:rPr>
        <w:t> </w:t>
      </w:r>
      <w:r>
        <w:rPr>
          <w:color w:val="231F20"/>
        </w:rPr>
        <w:t>unque</w:t>
      </w:r>
      <w:r>
        <w:rPr>
          <w:color w:val="231F20"/>
          <w:spacing w:val="-22"/>
        </w:rPr>
        <w:t> </w:t>
      </w:r>
      <w:r>
        <w:rPr>
          <w:color w:val="231F20"/>
        </w:rPr>
        <w:t>concernent</w:t>
      </w:r>
      <w:r>
        <w:rPr>
          <w:color w:val="231F20"/>
          <w:spacing w:val="-21"/>
        </w:rPr>
        <w:t> </w:t>
      </w:r>
      <w:r>
        <w:rPr>
          <w:color w:val="231F20"/>
        </w:rPr>
        <w:t>des</w:t>
      </w:r>
      <w:r>
        <w:rPr>
          <w:color w:val="231F20"/>
          <w:spacing w:val="-22"/>
        </w:rPr>
        <w:t> </w:t>
      </w:r>
      <w:r>
        <w:rPr>
          <w:color w:val="231F20"/>
        </w:rPr>
        <w:t>opérations</w:t>
      </w:r>
      <w:r>
        <w:rPr>
          <w:color w:val="231F20"/>
          <w:spacing w:val="-21"/>
        </w:rPr>
        <w:t> </w:t>
      </w:r>
      <w:r>
        <w:rPr>
          <w:color w:val="231F20"/>
        </w:rPr>
        <w:t>habituelles</w:t>
      </w:r>
      <w:r>
        <w:rPr>
          <w:color w:val="231F20"/>
          <w:spacing w:val="-22"/>
        </w:rPr>
        <w:t> </w:t>
      </w:r>
      <w:r>
        <w:rPr>
          <w:color w:val="231F20"/>
        </w:rPr>
        <w:t>conclues dans des conditions et sous les garanties normales du marché pour des opérations de même</w:t>
      </w:r>
      <w:r>
        <w:rPr>
          <w:color w:val="231F20"/>
          <w:spacing w:val="3"/>
        </w:rPr>
        <w:t> </w:t>
      </w:r>
      <w:r>
        <w:rPr>
          <w:color w:val="231F20"/>
        </w:rPr>
        <w:t>nature.</w:t>
      </w:r>
    </w:p>
    <w:p>
      <w:pPr>
        <w:pStyle w:val="BodyText"/>
        <w:spacing w:before="6"/>
        <w:ind w:left="0" w:right="0" w:firstLine="0"/>
        <w:jc w:val="left"/>
        <w:rPr>
          <w:sz w:val="23"/>
        </w:rPr>
      </w:pPr>
    </w:p>
    <w:p>
      <w:pPr>
        <w:pStyle w:val="BodyText"/>
        <w:spacing w:line="218" w:lineRule="auto"/>
        <w:ind w:right="73"/>
      </w:pPr>
      <w:r>
        <w:rPr>
          <w:color w:val="231F20"/>
        </w:rPr>
        <w:t>Art. 7:103. § 1</w:t>
      </w:r>
      <w:r>
        <w:rPr>
          <w:color w:val="231F20"/>
          <w:position w:val="7"/>
          <w:sz w:val="11"/>
        </w:rPr>
        <w:t>er</w:t>
      </w:r>
      <w:r>
        <w:rPr>
          <w:color w:val="231F20"/>
        </w:rPr>
        <w:t>. Selon le cas, l’assemblée générale, les autres administrateurs, ou l’administrateur unique qui est également l’action- naire unique décrivent, dans le procès-verbal ou dans un rapport spécial, la nature de la décision ou de l’opération visée à l’article 7:102,</w:t>
      </w:r>
    </w:p>
    <w:p>
      <w:pPr>
        <w:pStyle w:val="BodyText"/>
        <w:spacing w:line="176" w:lineRule="exact" w:before="2"/>
        <w:ind w:right="72" w:firstLine="0"/>
      </w:pPr>
      <w:r>
        <w:rPr>
          <w:color w:val="231F20"/>
        </w:rPr>
        <w:t>§ 1</w:t>
      </w:r>
      <w:r>
        <w:rPr>
          <w:color w:val="231F20"/>
          <w:position w:val="7"/>
          <w:sz w:val="11"/>
        </w:rPr>
        <w:t>er</w:t>
      </w:r>
      <w:r>
        <w:rPr>
          <w:color w:val="231F20"/>
        </w:rPr>
        <w:t>, ainsi que les conséquences patrimoniales de celle-ci pour la</w:t>
      </w:r>
      <w:r>
        <w:rPr>
          <w:color w:val="231F20"/>
          <w:spacing w:val="-24"/>
        </w:rPr>
        <w:t> </w:t>
      </w:r>
      <w:r>
        <w:rPr>
          <w:color w:val="231F20"/>
        </w:rPr>
        <w:t>société et justifient la décision qui a été prise. Lorsque l’administrateur unique est également l’actionnaire unique, il inscrit également dans son rapport</w:t>
      </w:r>
      <w:r>
        <w:rPr>
          <w:color w:val="231F20"/>
          <w:spacing w:val="14"/>
        </w:rPr>
        <w:t> </w:t>
      </w:r>
      <w:r>
        <w:rPr>
          <w:color w:val="231F20"/>
        </w:rPr>
        <w:t>spécial</w:t>
      </w:r>
      <w:r>
        <w:rPr>
          <w:color w:val="231F20"/>
          <w:spacing w:val="14"/>
        </w:rPr>
        <w:t> </w:t>
      </w:r>
      <w:r>
        <w:rPr>
          <w:color w:val="231F20"/>
        </w:rPr>
        <w:t>les</w:t>
      </w:r>
      <w:r>
        <w:rPr>
          <w:color w:val="231F20"/>
          <w:spacing w:val="14"/>
        </w:rPr>
        <w:t> </w:t>
      </w:r>
      <w:r>
        <w:rPr>
          <w:color w:val="231F20"/>
        </w:rPr>
        <w:t>contrats</w:t>
      </w:r>
      <w:r>
        <w:rPr>
          <w:color w:val="231F20"/>
          <w:spacing w:val="14"/>
        </w:rPr>
        <w:t> </w:t>
      </w:r>
      <w:r>
        <w:rPr>
          <w:color w:val="231F20"/>
        </w:rPr>
        <w:t>conclus</w:t>
      </w:r>
      <w:r>
        <w:rPr>
          <w:color w:val="231F20"/>
          <w:spacing w:val="14"/>
        </w:rPr>
        <w:t> </w:t>
      </w:r>
      <w:r>
        <w:rPr>
          <w:color w:val="231F20"/>
        </w:rPr>
        <w:t>entre</w:t>
      </w:r>
      <w:r>
        <w:rPr>
          <w:color w:val="231F20"/>
          <w:spacing w:val="15"/>
        </w:rPr>
        <w:t> </w:t>
      </w:r>
      <w:r>
        <w:rPr>
          <w:color w:val="231F20"/>
        </w:rPr>
        <w:t>lui</w:t>
      </w:r>
      <w:r>
        <w:rPr>
          <w:color w:val="231F20"/>
          <w:spacing w:val="14"/>
        </w:rPr>
        <w:t> </w:t>
      </w:r>
      <w:r>
        <w:rPr>
          <w:color w:val="231F20"/>
        </w:rPr>
        <w:t>et</w:t>
      </w:r>
      <w:r>
        <w:rPr>
          <w:color w:val="231F20"/>
          <w:spacing w:val="14"/>
        </w:rPr>
        <w:t> </w:t>
      </w:r>
      <w:r>
        <w:rPr>
          <w:color w:val="231F20"/>
        </w:rPr>
        <w:t>la</w:t>
      </w:r>
      <w:r>
        <w:rPr>
          <w:color w:val="231F20"/>
          <w:spacing w:val="14"/>
        </w:rPr>
        <w:t> </w:t>
      </w:r>
      <w:r>
        <w:rPr>
          <w:color w:val="231F20"/>
        </w:rPr>
        <w:t>société.</w:t>
      </w:r>
    </w:p>
    <w:p>
      <w:pPr>
        <w:pStyle w:val="BodyText"/>
        <w:spacing w:line="218" w:lineRule="auto" w:before="105"/>
        <w:ind w:right="73"/>
      </w:pPr>
      <w:r>
        <w:rPr>
          <w:color w:val="231F20"/>
        </w:rPr>
        <w:t>Cette partie du procès-verbal ou ce rapport figure dans son intégralité dans le rapport de gestion ou dans une pièce qui est déposée en</w:t>
      </w:r>
      <w:r>
        <w:rPr>
          <w:color w:val="231F20"/>
          <w:spacing w:val="15"/>
        </w:rPr>
        <w:t> </w:t>
      </w:r>
      <w:r>
        <w:rPr>
          <w:color w:val="231F20"/>
        </w:rPr>
        <w:t>même</w:t>
      </w:r>
      <w:r>
        <w:rPr>
          <w:color w:val="231F20"/>
          <w:spacing w:val="15"/>
        </w:rPr>
        <w:t> </w:t>
      </w:r>
      <w:r>
        <w:rPr>
          <w:color w:val="231F20"/>
        </w:rPr>
        <w:t>temps</w:t>
      </w:r>
      <w:r>
        <w:rPr>
          <w:color w:val="231F20"/>
          <w:spacing w:val="15"/>
        </w:rPr>
        <w:t> </w:t>
      </w:r>
      <w:r>
        <w:rPr>
          <w:color w:val="231F20"/>
        </w:rPr>
        <w:t>que</w:t>
      </w:r>
      <w:r>
        <w:rPr>
          <w:color w:val="231F20"/>
          <w:spacing w:val="15"/>
        </w:rPr>
        <w:t> </w:t>
      </w:r>
      <w:r>
        <w:rPr>
          <w:color w:val="231F20"/>
        </w:rPr>
        <w:t>les</w:t>
      </w:r>
      <w:r>
        <w:rPr>
          <w:color w:val="231F20"/>
          <w:spacing w:val="15"/>
        </w:rPr>
        <w:t> </w:t>
      </w:r>
      <w:r>
        <w:rPr>
          <w:color w:val="231F20"/>
        </w:rPr>
        <w:t>comptes</w:t>
      </w:r>
      <w:r>
        <w:rPr>
          <w:color w:val="231F20"/>
          <w:spacing w:val="15"/>
        </w:rPr>
        <w:t> </w:t>
      </w:r>
      <w:r>
        <w:rPr>
          <w:color w:val="231F20"/>
        </w:rPr>
        <w:t>annuels.</w:t>
      </w:r>
    </w:p>
    <w:p>
      <w:pPr>
        <w:pStyle w:val="BodyText"/>
        <w:spacing w:line="218" w:lineRule="auto" w:before="107"/>
        <w:ind w:right="17"/>
        <w:jc w:val="left"/>
      </w:pPr>
      <w:r>
        <w:rPr>
          <w:color w:val="231F20"/>
        </w:rPr>
        <w:t>Si la société a nommé un commissaire, le procès-verbal ou le rapport lui est communiqué. Dans son rapport visé à l’article 3:74, le commissaire évalue dans une section séparée les conséquences patri- moniales pour la société des décisions de l’assemblée générale ou de l’administrateur unique ou, telles que décrites dans le procès-verbal ou le rapport, pour lesquelles il existe un intérêt opposé tel que </w:t>
      </w:r>
      <w:r>
        <w:rPr>
          <w:color w:val="231F20"/>
          <w:spacing w:val="8"/>
        </w:rPr>
        <w:t>visé </w:t>
      </w:r>
      <w:r>
        <w:rPr>
          <w:color w:val="231F20"/>
        </w:rPr>
        <w:t>à l’article</w:t>
      </w:r>
      <w:r>
        <w:rPr>
          <w:color w:val="231F20"/>
          <w:spacing w:val="14"/>
        </w:rPr>
        <w:t> </w:t>
      </w:r>
      <w:r>
        <w:rPr>
          <w:color w:val="231F20"/>
        </w:rPr>
        <w:t>7:102.</w:t>
      </w:r>
    </w:p>
    <w:p>
      <w:pPr>
        <w:pStyle w:val="BodyText"/>
        <w:spacing w:line="218" w:lineRule="auto" w:before="117"/>
        <w:ind w:right="73"/>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 société peut demander la nullité des décisions prises ou des opérations accomplies en violation de l’article 7:102 ou du présent article si l’autre partie à ces décisions ou opérations</w:t>
      </w:r>
      <w:r>
        <w:rPr>
          <w:color w:val="231F20"/>
          <w:spacing w:val="17"/>
        </w:rPr>
        <w:t> </w:t>
      </w:r>
      <w:r>
        <w:rPr>
          <w:color w:val="231F20"/>
        </w:rPr>
        <w:t>avait</w:t>
      </w:r>
      <w:r>
        <w:rPr>
          <w:color w:val="231F20"/>
          <w:spacing w:val="17"/>
        </w:rPr>
        <w:t> </w:t>
      </w:r>
      <w:r>
        <w:rPr>
          <w:color w:val="231F20"/>
        </w:rPr>
        <w:t>ou</w:t>
      </w:r>
      <w:r>
        <w:rPr>
          <w:color w:val="231F20"/>
          <w:spacing w:val="17"/>
        </w:rPr>
        <w:t> </w:t>
      </w:r>
      <w:r>
        <w:rPr>
          <w:color w:val="231F20"/>
        </w:rPr>
        <w:t>devait</w:t>
      </w:r>
      <w:r>
        <w:rPr>
          <w:color w:val="231F20"/>
          <w:spacing w:val="17"/>
        </w:rPr>
        <w:t> </w:t>
      </w:r>
      <w:r>
        <w:rPr>
          <w:color w:val="231F20"/>
        </w:rPr>
        <w:t>avoir</w:t>
      </w:r>
      <w:r>
        <w:rPr>
          <w:color w:val="231F20"/>
          <w:spacing w:val="17"/>
        </w:rPr>
        <w:t> </w:t>
      </w:r>
      <w:r>
        <w:rPr>
          <w:color w:val="231F20"/>
        </w:rPr>
        <w:t>connaissance</w:t>
      </w:r>
      <w:r>
        <w:rPr>
          <w:color w:val="231F20"/>
          <w:spacing w:val="18"/>
        </w:rPr>
        <w:t> </w:t>
      </w:r>
      <w:r>
        <w:rPr>
          <w:color w:val="231F20"/>
        </w:rPr>
        <w:t>de</w:t>
      </w:r>
      <w:r>
        <w:rPr>
          <w:color w:val="231F20"/>
          <w:spacing w:val="17"/>
        </w:rPr>
        <w:t> </w:t>
      </w:r>
      <w:r>
        <w:rPr>
          <w:color w:val="231F20"/>
        </w:rPr>
        <w:t>cette</w:t>
      </w:r>
      <w:r>
        <w:rPr>
          <w:color w:val="231F20"/>
          <w:spacing w:val="17"/>
        </w:rPr>
        <w:t> </w:t>
      </w:r>
      <w:r>
        <w:rPr>
          <w:color w:val="231F20"/>
        </w:rPr>
        <w:t>violation.</w:t>
      </w:r>
    </w:p>
    <w:p>
      <w:pPr>
        <w:pStyle w:val="BodyText"/>
        <w:spacing w:line="218" w:lineRule="auto" w:before="119"/>
      </w:pPr>
      <w:r>
        <w:rPr/>
        <w:br w:type="column"/>
      </w:r>
      <w:r>
        <w:rPr>
          <w:color w:val="231F20"/>
        </w:rPr>
        <w:t>Zelfs indien de enige bestuurder krachtens een statutaire bepaling moet instemmen met zijn ontslag, kan de algemene vergadering zonder zijn instemming een einde stellen aan zijn mandaat met naleving van de aanwezigheids- en meerderheidsvereisten voor een statutenwijzi- ging</w:t>
      </w:r>
      <w:r>
        <w:rPr>
          <w:color w:val="231F20"/>
          <w:spacing w:val="16"/>
        </w:rPr>
        <w:t> </w:t>
      </w:r>
      <w:r>
        <w:rPr>
          <w:color w:val="231F20"/>
        </w:rPr>
        <w:t>ingeval</w:t>
      </w:r>
      <w:r>
        <w:rPr>
          <w:color w:val="231F20"/>
          <w:spacing w:val="16"/>
        </w:rPr>
        <w:t> </w:t>
      </w:r>
      <w:r>
        <w:rPr>
          <w:color w:val="231F20"/>
        </w:rPr>
        <w:t>daartoe</w:t>
      </w:r>
      <w:r>
        <w:rPr>
          <w:color w:val="231F20"/>
          <w:spacing w:val="16"/>
        </w:rPr>
        <w:t> </w:t>
      </w:r>
      <w:r>
        <w:rPr>
          <w:color w:val="231F20"/>
        </w:rPr>
        <w:t>wettige</w:t>
      </w:r>
      <w:r>
        <w:rPr>
          <w:color w:val="231F20"/>
          <w:spacing w:val="16"/>
        </w:rPr>
        <w:t> </w:t>
      </w:r>
      <w:r>
        <w:rPr>
          <w:color w:val="231F20"/>
        </w:rPr>
        <w:t>redenen</w:t>
      </w:r>
      <w:r>
        <w:rPr>
          <w:color w:val="231F20"/>
          <w:spacing w:val="16"/>
        </w:rPr>
        <w:t> </w:t>
      </w:r>
      <w:r>
        <w:rPr>
          <w:color w:val="231F20"/>
        </w:rPr>
        <w:t>bestaan.</w:t>
      </w:r>
    </w:p>
    <w:p>
      <w:pPr>
        <w:pStyle w:val="BodyText"/>
        <w:spacing w:line="218" w:lineRule="auto" w:before="107"/>
      </w:pPr>
      <w:r>
        <w:rPr>
          <w:color w:val="231F20"/>
        </w:rPr>
        <w:t>Houders van aandelen met stemrecht die minstens 10 % of, voor een genoteerde vennootschap, 3 % van het kapitaal vertegenwoordigen, kunnen evenwel éénparig een bijzondere lasthebber aanstellen, al dan niet aandeelhouder, die ermee wordt belast een vordering tot afzetting van de enige bestuurder wegens wettige redenen in te stellen. De vordering wordt gebracht voor de voorzitter van de ondernemings- rechtbank van de zetel van de vennootschap, zitting houdend zoals in kort geding. Het exploot van rechtsingang vermeldt de identiteit van de bijzondere lasthebber bij wie keuze van woonplaats wordt gedaan.</w:t>
      </w:r>
    </w:p>
    <w:p>
      <w:pPr>
        <w:pStyle w:val="BodyText"/>
        <w:spacing w:line="218" w:lineRule="auto" w:before="108"/>
      </w:pPr>
      <w:r>
        <w:rPr>
          <w:color w:val="231F20"/>
        </w:rPr>
        <w:t>De vennootschap moet worden gedagvaard tot gemeenverklaring  van</w:t>
      </w:r>
      <w:r>
        <w:rPr>
          <w:color w:val="231F20"/>
          <w:spacing w:val="15"/>
        </w:rPr>
        <w:t> </w:t>
      </w:r>
      <w:r>
        <w:rPr>
          <w:color w:val="231F20"/>
        </w:rPr>
        <w:t>vonnis.</w:t>
      </w:r>
    </w:p>
    <w:p>
      <w:pPr>
        <w:pStyle w:val="BodyText"/>
        <w:spacing w:line="218" w:lineRule="auto" w:before="107"/>
      </w:pPr>
      <w:r>
        <w:rPr>
          <w:color w:val="231F20"/>
        </w:rPr>
        <w:t>Indien dat niet is gebeurd, verdaagt de voorzitter de zaak naar een nabije datum. De kosten van de procedure vallen ten laste van de vennootschap, tenzij de voorzitter er uitdrukkelijk anders over beslist.</w:t>
      </w:r>
    </w:p>
    <w:p>
      <w:pPr>
        <w:pStyle w:val="BodyText"/>
        <w:spacing w:line="218" w:lineRule="auto" w:before="106"/>
      </w:pPr>
      <w:r>
        <w:rPr>
          <w:color w:val="231F20"/>
        </w:rPr>
        <w:t>Art. 7:102. § 1. </w:t>
      </w:r>
      <w:r>
        <w:rPr>
          <w:color w:val="231F20"/>
          <w:spacing w:val="-3"/>
        </w:rPr>
        <w:t>Wanneer </w:t>
      </w:r>
      <w:r>
        <w:rPr>
          <w:color w:val="231F20"/>
        </w:rPr>
        <w:t>de enige bestuurder een beslissing</w:t>
      </w:r>
      <w:r>
        <w:rPr>
          <w:color w:val="231F20"/>
          <w:spacing w:val="22"/>
        </w:rPr>
        <w:t> </w:t>
      </w:r>
      <w:r>
        <w:rPr>
          <w:color w:val="231F20"/>
        </w:rPr>
        <w:t>moet nemen of zich over een verrichting moet uitspreken die onder zijn bevoegdheid valt en waarbij hij een rechtstreeks of onrechtstreeks belang van vermogensrechtelijke aard heeft dat strijdig is met het belang van de vennootschap, dan legt hij die beslissing of verrichting voor aan de algemene vergadering; ingeval de algemene vergadering   de beslissing of de verrichting goedkeurt, kan het bestuursorgaan ze uitvoeren.</w:t>
      </w:r>
    </w:p>
    <w:p>
      <w:pPr>
        <w:pStyle w:val="BodyText"/>
        <w:spacing w:line="218" w:lineRule="auto" w:before="108"/>
        <w:ind w:right="123"/>
      </w:pPr>
      <w:r>
        <w:rPr>
          <w:color w:val="231F20"/>
          <w:spacing w:val="-3"/>
        </w:rPr>
        <w:t>Wanneer </w:t>
      </w:r>
      <w:r>
        <w:rPr>
          <w:color w:val="231F20"/>
        </w:rPr>
        <w:t>de enige bestuurder-rechtspersoon beschikt over een colle- giaal bestuursorgaan en een beslissing moet nemen of zich over een verrichting moet uitspreken waarbij een lid van dat bestuursorgaan een rechtstreeks of onrechtstreeks belang van vermogensrechtelijke aard heeft dat strijdig is  met  het  belang  van  de  vennootschap,  is  arti-  kel 7:96 van toepassing. </w:t>
      </w:r>
      <w:r>
        <w:rPr>
          <w:color w:val="231F20"/>
          <w:spacing w:val="-3"/>
        </w:rPr>
        <w:t>Wanneer </w:t>
      </w:r>
      <w:r>
        <w:rPr>
          <w:color w:val="231F20"/>
        </w:rPr>
        <w:t>alle bestuurders van het bestuursor- gaan van de enige bestuurder een strijdig belang hebben, dan wordt de beslissing of de verrichting aan de algemene vergadering voorgelegd; ingeval de algemene vergadering de beslissing of de</w:t>
      </w:r>
      <w:r>
        <w:rPr>
          <w:color w:val="231F20"/>
          <w:spacing w:val="27"/>
        </w:rPr>
        <w:t> </w:t>
      </w:r>
      <w:r>
        <w:rPr>
          <w:color w:val="231F20"/>
        </w:rPr>
        <w:t>verrichting goedkeurt,</w:t>
      </w:r>
      <w:r>
        <w:rPr>
          <w:color w:val="231F20"/>
          <w:spacing w:val="15"/>
        </w:rPr>
        <w:t> </w:t>
      </w:r>
      <w:r>
        <w:rPr>
          <w:color w:val="231F20"/>
        </w:rPr>
        <w:t>kan</w:t>
      </w:r>
      <w:r>
        <w:rPr>
          <w:color w:val="231F20"/>
          <w:spacing w:val="16"/>
        </w:rPr>
        <w:t> </w:t>
      </w:r>
      <w:r>
        <w:rPr>
          <w:color w:val="231F20"/>
        </w:rPr>
        <w:t>het</w:t>
      </w:r>
      <w:r>
        <w:rPr>
          <w:color w:val="231F20"/>
          <w:spacing w:val="16"/>
        </w:rPr>
        <w:t> </w:t>
      </w:r>
      <w:r>
        <w:rPr>
          <w:color w:val="231F20"/>
        </w:rPr>
        <w:t>bestuursorgaan</w:t>
      </w:r>
      <w:r>
        <w:rPr>
          <w:color w:val="231F20"/>
          <w:spacing w:val="16"/>
        </w:rPr>
        <w:t> </w:t>
      </w:r>
      <w:r>
        <w:rPr>
          <w:color w:val="231F20"/>
        </w:rPr>
        <w:t>ze</w:t>
      </w:r>
      <w:r>
        <w:rPr>
          <w:color w:val="231F20"/>
          <w:spacing w:val="16"/>
        </w:rPr>
        <w:t> </w:t>
      </w:r>
      <w:r>
        <w:rPr>
          <w:color w:val="231F20"/>
        </w:rPr>
        <w:t>uitvoeren.</w:t>
      </w:r>
    </w:p>
    <w:p>
      <w:pPr>
        <w:pStyle w:val="BodyText"/>
        <w:spacing w:line="218" w:lineRule="auto" w:before="107"/>
      </w:pPr>
      <w:r>
        <w:rPr>
          <w:color w:val="231F20"/>
        </w:rPr>
        <w:t>Is de enige bestuurder ook de enige aandeelhouder, mag hij de beslissing zelf nemen of de verrichting uitvoeren.</w:t>
      </w:r>
    </w:p>
    <w:p>
      <w:pPr>
        <w:pStyle w:val="BodyText"/>
        <w:spacing w:line="218" w:lineRule="auto" w:before="107"/>
        <w:ind w:right="123"/>
      </w:pPr>
      <w:r>
        <w:rPr>
          <w:color w:val="231F20"/>
        </w:rPr>
        <w:t>§ 2. </w:t>
      </w:r>
      <w:r>
        <w:rPr>
          <w:color w:val="231F20"/>
          <w:spacing w:val="-3"/>
        </w:rPr>
        <w:t>Tenzij </w:t>
      </w:r>
      <w:r>
        <w:rPr>
          <w:color w:val="231F20"/>
        </w:rPr>
        <w:t>de enige bestuurder ook de enige aandeelhouder is, is paragraaf 1 niet van toepassing wanneer de hierboven bedoelde beslissingen of verrichtingen tot stand zijn gekomen tussen vennoot- schappen waarvan de ene rechtstreeks  of  onrechtstreeks  ten</w:t>
      </w:r>
      <w:r>
        <w:rPr>
          <w:color w:val="231F20"/>
          <w:spacing w:val="28"/>
        </w:rPr>
        <w:t> </w:t>
      </w:r>
      <w:r>
        <w:rPr>
          <w:color w:val="231F20"/>
        </w:rPr>
        <w:t>minste 95 % bezit van de stemmen verbonden aan het geheel van de door de andere uitgegeven effecten, dan wel tussen vennootschappen waarvan ten minste 95 % van de stemmen verbonden aan het geheel van de door elk van hen uitgegeven effecten in het bezit zijn van een andere vennootschap.</w:t>
      </w:r>
    </w:p>
    <w:p>
      <w:pPr>
        <w:pStyle w:val="BodyText"/>
        <w:spacing w:line="218" w:lineRule="auto" w:before="107"/>
      </w:pPr>
      <w:r>
        <w:rPr>
          <w:color w:val="231F20"/>
        </w:rPr>
        <w:t>Bovendien is paragraaf 1 niet van toepassing wanneer de beslissin- gen van de enige bestuurder betrekking hebben op gebruikelijke verrichtingen die plaatshebben onder de voorwaarden en tegen de zekerheden die op de markt gewoonlijk gelden voor soortgelijke verrichtingen.</w:t>
      </w:r>
    </w:p>
    <w:p>
      <w:pPr>
        <w:pStyle w:val="BodyText"/>
        <w:spacing w:line="218" w:lineRule="auto" w:before="108"/>
      </w:pPr>
      <w:r>
        <w:rPr>
          <w:color w:val="231F20"/>
        </w:rPr>
        <w:t>Art. 7:103. § 1. Naargelang het geval, omschrijven de algemene vergadering, de andere bestuurders, of de enige bestuurder die tevens de enige aandeelhouder is in de notulen of in een bijzonder verslag de aard van de in artikel 7:102, § 1, bedoelde beslissing of verrichting en de vermogensrechtelijke gevolgen ervan voor de vennootschap en verant- woorden zij het genomen besluit. In geval de enige bestuurder tevens de enige aandeelhouder is, neemt hij in zijn bijzonder verslag eveneens de</w:t>
      </w:r>
      <w:r>
        <w:rPr>
          <w:color w:val="231F20"/>
          <w:spacing w:val="18"/>
        </w:rPr>
        <w:t> </w:t>
      </w:r>
      <w:r>
        <w:rPr>
          <w:color w:val="231F20"/>
        </w:rPr>
        <w:t>tussen</w:t>
      </w:r>
      <w:r>
        <w:rPr>
          <w:color w:val="231F20"/>
          <w:spacing w:val="18"/>
        </w:rPr>
        <w:t> </w:t>
      </w:r>
      <w:r>
        <w:rPr>
          <w:color w:val="231F20"/>
        </w:rPr>
        <w:t>hem</w:t>
      </w:r>
      <w:r>
        <w:rPr>
          <w:color w:val="231F20"/>
          <w:spacing w:val="19"/>
        </w:rPr>
        <w:t> </w:t>
      </w:r>
      <w:r>
        <w:rPr>
          <w:color w:val="231F20"/>
        </w:rPr>
        <w:t>en</w:t>
      </w:r>
      <w:r>
        <w:rPr>
          <w:color w:val="231F20"/>
          <w:spacing w:val="18"/>
        </w:rPr>
        <w:t> </w:t>
      </w:r>
      <w:r>
        <w:rPr>
          <w:color w:val="231F20"/>
        </w:rPr>
        <w:t>de</w:t>
      </w:r>
      <w:r>
        <w:rPr>
          <w:color w:val="231F20"/>
          <w:spacing w:val="18"/>
        </w:rPr>
        <w:t> </w:t>
      </w:r>
      <w:r>
        <w:rPr>
          <w:color w:val="231F20"/>
        </w:rPr>
        <w:t>de</w:t>
      </w:r>
      <w:r>
        <w:rPr>
          <w:color w:val="231F20"/>
          <w:spacing w:val="19"/>
        </w:rPr>
        <w:t> </w:t>
      </w:r>
      <w:r>
        <w:rPr>
          <w:color w:val="231F20"/>
        </w:rPr>
        <w:t>vennootschap</w:t>
      </w:r>
      <w:r>
        <w:rPr>
          <w:color w:val="231F20"/>
          <w:spacing w:val="18"/>
        </w:rPr>
        <w:t> </w:t>
      </w:r>
      <w:r>
        <w:rPr>
          <w:color w:val="231F20"/>
        </w:rPr>
        <w:t>gesloten</w:t>
      </w:r>
      <w:r>
        <w:rPr>
          <w:color w:val="231F20"/>
          <w:spacing w:val="18"/>
        </w:rPr>
        <w:t> </w:t>
      </w:r>
      <w:r>
        <w:rPr>
          <w:color w:val="231F20"/>
        </w:rPr>
        <w:t>overeenkomsten</w:t>
      </w:r>
      <w:r>
        <w:rPr>
          <w:color w:val="231F20"/>
          <w:spacing w:val="19"/>
        </w:rPr>
        <w:t> </w:t>
      </w:r>
      <w:r>
        <w:rPr>
          <w:color w:val="231F20"/>
        </w:rPr>
        <w:t>op.</w:t>
      </w:r>
    </w:p>
    <w:p>
      <w:pPr>
        <w:pStyle w:val="BodyText"/>
        <w:spacing w:line="218" w:lineRule="auto" w:before="107"/>
      </w:pPr>
      <w:r>
        <w:rPr>
          <w:color w:val="231F20"/>
        </w:rPr>
        <w:t>Dit deel van de notulen of dit verslag wordt in zijn  geheel opgenomen in het jaarverslag of in een stuk dat samen met de jaarrekening wordt</w:t>
      </w:r>
      <w:r>
        <w:rPr>
          <w:color w:val="231F20"/>
          <w:spacing w:val="-11"/>
        </w:rPr>
        <w:t> </w:t>
      </w:r>
      <w:r>
        <w:rPr>
          <w:color w:val="231F20"/>
        </w:rPr>
        <w:t>neergelegd.</w:t>
      </w:r>
    </w:p>
    <w:p>
      <w:pPr>
        <w:pStyle w:val="BodyText"/>
        <w:spacing w:line="218" w:lineRule="auto" w:before="107"/>
        <w:ind w:right="123"/>
      </w:pPr>
      <w:r>
        <w:rPr>
          <w:color w:val="231F20"/>
        </w:rPr>
        <w:t>Ingeval de vennootschap een commissaris heeft benoemd, worden de notulen  of  het  verslag   aan   hem   meegedeeld.   In   zijn   in   arti-   kel 3:74 bedoelde verslag beoordeelt de commissaris, in een afzonder- lijke sectie, de vermogensrechtelijke gevolgen voor de</w:t>
      </w:r>
      <w:r>
        <w:rPr>
          <w:color w:val="231F20"/>
          <w:spacing w:val="33"/>
        </w:rPr>
        <w:t> </w:t>
      </w:r>
      <w:r>
        <w:rPr>
          <w:color w:val="231F20"/>
        </w:rPr>
        <w:t>vennootschap van de besluiten van de algemene vergadering of van de enige bestuurder, zoals in de notulen of het verslag omschreven, waarvoor een</w:t>
      </w:r>
      <w:r>
        <w:rPr>
          <w:color w:val="231F20"/>
          <w:spacing w:val="14"/>
        </w:rPr>
        <w:t> </w:t>
      </w:r>
      <w:r>
        <w:rPr>
          <w:color w:val="231F20"/>
        </w:rPr>
        <w:t>strijdig</w:t>
      </w:r>
      <w:r>
        <w:rPr>
          <w:color w:val="231F20"/>
          <w:spacing w:val="14"/>
        </w:rPr>
        <w:t> </w:t>
      </w:r>
      <w:r>
        <w:rPr>
          <w:color w:val="231F20"/>
        </w:rPr>
        <w:t>belang</w:t>
      </w:r>
      <w:r>
        <w:rPr>
          <w:color w:val="231F20"/>
          <w:spacing w:val="15"/>
        </w:rPr>
        <w:t> </w:t>
      </w:r>
      <w:r>
        <w:rPr>
          <w:color w:val="231F20"/>
        </w:rPr>
        <w:t>zoals</w:t>
      </w:r>
      <w:r>
        <w:rPr>
          <w:color w:val="231F20"/>
          <w:spacing w:val="14"/>
        </w:rPr>
        <w:t> </w:t>
      </w:r>
      <w:r>
        <w:rPr>
          <w:color w:val="231F20"/>
        </w:rPr>
        <w:t>bedoeld</w:t>
      </w:r>
      <w:r>
        <w:rPr>
          <w:color w:val="231F20"/>
          <w:spacing w:val="14"/>
        </w:rPr>
        <w:t> </w:t>
      </w:r>
      <w:r>
        <w:rPr>
          <w:color w:val="231F20"/>
        </w:rPr>
        <w:t>in</w:t>
      </w:r>
      <w:r>
        <w:rPr>
          <w:color w:val="231F20"/>
          <w:spacing w:val="15"/>
        </w:rPr>
        <w:t> </w:t>
      </w:r>
      <w:r>
        <w:rPr>
          <w:color w:val="231F20"/>
        </w:rPr>
        <w:t>artikel</w:t>
      </w:r>
      <w:r>
        <w:rPr>
          <w:color w:val="231F20"/>
          <w:spacing w:val="14"/>
        </w:rPr>
        <w:t> </w:t>
      </w:r>
      <w:r>
        <w:rPr>
          <w:color w:val="231F20"/>
        </w:rPr>
        <w:t>7:102</w:t>
      </w:r>
      <w:r>
        <w:rPr>
          <w:color w:val="231F20"/>
          <w:spacing w:val="15"/>
        </w:rPr>
        <w:t> </w:t>
      </w:r>
      <w:r>
        <w:rPr>
          <w:color w:val="231F20"/>
        </w:rPr>
        <w:t>bestaat.</w:t>
      </w:r>
    </w:p>
    <w:p>
      <w:pPr>
        <w:pStyle w:val="BodyText"/>
        <w:spacing w:line="218" w:lineRule="auto" w:before="117"/>
      </w:pPr>
      <w:r>
        <w:rPr>
          <w:color w:val="231F20"/>
        </w:rPr>
        <w:t>§ 2.  Onverminderd  het  recht  voor  de  in  de  artikelen  2:44  en  2:46 genoemde personen om de nietigheid of opschorting van het bestuursbesluit te vorderen, kan de vennootschap de nietigheid vorderen van besluiten of verrichtingen die hebben  plaatsgevonden met overtreding van de in artikel 7:102 of dit artikel bepaalde regels, indien de wederpartij bij die besluiten of verrichtingen van die overtreding</w:t>
      </w:r>
      <w:r>
        <w:rPr>
          <w:color w:val="231F20"/>
          <w:spacing w:val="16"/>
        </w:rPr>
        <w:t> </w:t>
      </w:r>
      <w:r>
        <w:rPr>
          <w:color w:val="231F20"/>
        </w:rPr>
        <w:t>op</w:t>
      </w:r>
      <w:r>
        <w:rPr>
          <w:color w:val="231F20"/>
          <w:spacing w:val="16"/>
        </w:rPr>
        <w:t> </w:t>
      </w:r>
      <w:r>
        <w:rPr>
          <w:color w:val="231F20"/>
        </w:rPr>
        <w:t>de</w:t>
      </w:r>
      <w:r>
        <w:rPr>
          <w:color w:val="231F20"/>
          <w:spacing w:val="17"/>
        </w:rPr>
        <w:t> </w:t>
      </w:r>
      <w:r>
        <w:rPr>
          <w:color w:val="231F20"/>
        </w:rPr>
        <w:t>hoogte</w:t>
      </w:r>
      <w:r>
        <w:rPr>
          <w:color w:val="231F20"/>
          <w:spacing w:val="16"/>
        </w:rPr>
        <w:t> </w:t>
      </w:r>
      <w:r>
        <w:rPr>
          <w:color w:val="231F20"/>
        </w:rPr>
        <w:t>was</w:t>
      </w:r>
      <w:r>
        <w:rPr>
          <w:color w:val="231F20"/>
          <w:spacing w:val="17"/>
        </w:rPr>
        <w:t> </w:t>
      </w:r>
      <w:r>
        <w:rPr>
          <w:color w:val="231F20"/>
        </w:rPr>
        <w:t>of</w:t>
      </w:r>
      <w:r>
        <w:rPr>
          <w:color w:val="231F20"/>
          <w:spacing w:val="16"/>
        </w:rPr>
        <w:t> </w:t>
      </w:r>
      <w:r>
        <w:rPr>
          <w:color w:val="231F20"/>
        </w:rPr>
        <w:t>had</w:t>
      </w:r>
      <w:r>
        <w:rPr>
          <w:color w:val="231F20"/>
          <w:spacing w:val="17"/>
        </w:rPr>
        <w:t> </w:t>
      </w:r>
      <w:r>
        <w:rPr>
          <w:color w:val="231F20"/>
        </w:rPr>
        <w:t>moeten</w:t>
      </w:r>
      <w:r>
        <w:rPr>
          <w:color w:val="231F20"/>
          <w:spacing w:val="16"/>
        </w:rPr>
        <w:t> </w:t>
      </w:r>
      <w:r>
        <w:rPr>
          <w:color w:val="231F20"/>
        </w:rPr>
        <w:t>zijn.</w:t>
      </w:r>
    </w:p>
    <w:p>
      <w:pPr>
        <w:spacing w:after="0" w:line="218" w:lineRule="auto"/>
        <w:sectPr>
          <w:headerReference w:type="even" r:id="rId75"/>
          <w:headerReference w:type="default" r:id="rId76"/>
          <w:pgSz w:w="11940" w:h="16880"/>
          <w:pgMar w:header="666" w:footer="0" w:top="1140" w:bottom="280" w:left="340" w:right="360"/>
          <w:cols w:num="2" w:equalWidth="0">
            <w:col w:w="5562" w:space="66"/>
            <w:col w:w="5612"/>
          </w:cols>
        </w:sectPr>
      </w:pPr>
    </w:p>
    <w:p>
      <w:pPr>
        <w:pStyle w:val="BodyText"/>
        <w:spacing w:before="106"/>
        <w:ind w:left="283" w:right="0" w:firstLine="0"/>
        <w:jc w:val="left"/>
      </w:pPr>
      <w:r>
        <w:rPr/>
        <w:pict>
          <v:line style="position:absolute;mso-position-horizontal-relative:page;mso-position-vertical-relative:page;z-index:5152" from="298.170502pt,64.473pt" to="298.170502pt,812.819pt" stroked="true" strokeweight=".533pt" strokecolor="#231f20">
            <v:stroke dashstyle="solid"/>
            <w10:wrap type="none"/>
          </v:line>
        </w:pict>
      </w:r>
      <w:bookmarkStart w:name="_bookmark172" w:id="177"/>
      <w:bookmarkEnd w:id="177"/>
      <w:r>
        <w:rPr/>
      </w:r>
      <w:r>
        <w:rPr>
          <w:color w:val="231F20"/>
        </w:rPr>
        <w:t>Section 3. Administration duale.</w:t>
      </w:r>
    </w:p>
    <w:p>
      <w:pPr>
        <w:pStyle w:val="BodyText"/>
        <w:spacing w:before="85"/>
        <w:ind w:left="283" w:right="0" w:firstLine="0"/>
        <w:jc w:val="left"/>
      </w:pPr>
      <w:r>
        <w:rPr>
          <w:color w:val="231F20"/>
        </w:rPr>
        <w:t>Sous-section 1</w:t>
      </w:r>
      <w:r>
        <w:rPr>
          <w:color w:val="231F20"/>
          <w:position w:val="7"/>
          <w:sz w:val="11"/>
        </w:rPr>
        <w:t>re</w:t>
      </w:r>
      <w:r>
        <w:rPr>
          <w:color w:val="231F20"/>
        </w:rPr>
        <w:t>. Organes et composition.</w:t>
      </w:r>
    </w:p>
    <w:p>
      <w:pPr>
        <w:pStyle w:val="BodyText"/>
        <w:spacing w:line="218" w:lineRule="auto" w:before="113"/>
        <w:ind w:right="38"/>
      </w:pPr>
      <w:r>
        <w:rPr>
          <w:color w:val="231F20"/>
        </w:rPr>
        <w:t>Art. 7:104. Les statuts peuvent prévoir que l’administration de la société est assurée par un conseil de surveillance et un conseil de direction, chacun dans les limites des pouvoirs qui lui sont attribués.</w:t>
      </w:r>
    </w:p>
    <w:p>
      <w:pPr>
        <w:pStyle w:val="BodyText"/>
        <w:spacing w:before="6"/>
        <w:ind w:left="0" w:right="0" w:firstLine="0"/>
        <w:jc w:val="left"/>
        <w:rPr>
          <w:sz w:val="24"/>
        </w:rPr>
      </w:pPr>
    </w:p>
    <w:p>
      <w:pPr>
        <w:pStyle w:val="BodyText"/>
        <w:spacing w:line="218" w:lineRule="auto"/>
        <w:ind w:right="38"/>
      </w:pPr>
      <w:r>
        <w:rPr>
          <w:color w:val="231F20"/>
        </w:rPr>
        <w:t>Art. 7:105. § 1</w:t>
      </w:r>
      <w:r>
        <w:rPr>
          <w:color w:val="231F20"/>
          <w:position w:val="7"/>
          <w:sz w:val="11"/>
        </w:rPr>
        <w:t>er</w:t>
      </w:r>
      <w:r>
        <w:rPr>
          <w:color w:val="231F20"/>
        </w:rPr>
        <w:t>. Le conseil de surveillance est un organe collégial qui compte au moins trois membres, personnes physiques ou morales. Les membres du conseil de surveillance ne peuvent être en même temps membres du conseil de direction.</w:t>
      </w:r>
    </w:p>
    <w:p>
      <w:pPr>
        <w:pStyle w:val="BodyText"/>
        <w:spacing w:line="218" w:lineRule="auto" w:before="118"/>
        <w:ind w:right="38"/>
      </w:pPr>
      <w:r>
        <w:rPr>
          <w:color w:val="231F20"/>
        </w:rPr>
        <w:t>§ 2. Les membres du conseil de surveillance ne peuvent, en cette qualité, être liés à la société par un contrat de travail.</w:t>
      </w:r>
    </w:p>
    <w:p>
      <w:pPr>
        <w:pStyle w:val="BodyText"/>
        <w:spacing w:before="9"/>
        <w:ind w:left="0" w:right="0" w:firstLine="0"/>
        <w:jc w:val="left"/>
        <w:rPr>
          <w:sz w:val="25"/>
        </w:rPr>
      </w:pPr>
    </w:p>
    <w:p>
      <w:pPr>
        <w:pStyle w:val="BodyText"/>
        <w:spacing w:line="218" w:lineRule="auto"/>
        <w:ind w:right="38"/>
      </w:pPr>
      <w:r>
        <w:rPr>
          <w:color w:val="231F20"/>
        </w:rPr>
        <w:t>§ 3. Les membres du conseil de surveillance sont nommés par l’assemblée générale des actionnaires; ils peuvent être désignés pour la première fois dans l’acte constitutif. Ils sont nommés pour six ans au maximum, mais leur mandat est renouvelable de manière illimitée.</w:t>
      </w:r>
    </w:p>
    <w:p>
      <w:pPr>
        <w:pStyle w:val="BodyText"/>
        <w:spacing w:before="9"/>
        <w:ind w:left="0" w:right="0" w:firstLine="0"/>
        <w:jc w:val="left"/>
        <w:rPr>
          <w:sz w:val="25"/>
        </w:rPr>
      </w:pPr>
    </w:p>
    <w:p>
      <w:pPr>
        <w:pStyle w:val="BodyText"/>
        <w:spacing w:line="218" w:lineRule="auto"/>
        <w:ind w:right="38"/>
      </w:pPr>
      <w:r>
        <w:rPr>
          <w:color w:val="231F20"/>
        </w:rPr>
        <w:t>Sauf disposition contraire dans les statuts ou à moins que l’assemblée générale n’en décide autrement lors de leur nomination, leur mandat court de l’assemblée générale qui les a nommés jusqu’à l’assemblée générale ordinaire ayant lieu dans l’année comptable durant laquelle leur mandat prend fin selon la décision de nomination.</w:t>
      </w:r>
    </w:p>
    <w:p>
      <w:pPr>
        <w:pStyle w:val="BodyText"/>
        <w:spacing w:line="218" w:lineRule="auto" w:before="118"/>
        <w:ind w:right="38"/>
      </w:pPr>
      <w:r>
        <w:rPr>
          <w:color w:val="231F20"/>
        </w:rPr>
        <w:t>§ 4. L’assemblée générale peut mettre un terme à tout moment, avec </w:t>
      </w:r>
      <w:r>
        <w:rPr>
          <w:color w:val="231F20"/>
          <w:spacing w:val="-3"/>
        </w:rPr>
        <w:t>effet </w:t>
      </w:r>
      <w:r>
        <w:rPr>
          <w:color w:val="231F20"/>
        </w:rPr>
        <w:t>immédiat et sans motif au mandat de chaque membre du conseil de surveillance. Toutefois, sauf disposition statutaire contraire,</w:t>
      </w:r>
      <w:r>
        <w:rPr>
          <w:color w:val="231F20"/>
          <w:spacing w:val="-12"/>
        </w:rPr>
        <w:t> </w:t>
      </w:r>
      <w:r>
        <w:rPr>
          <w:color w:val="231F20"/>
        </w:rPr>
        <w:t>l’assem- blée générale peut au moment de la révocation fixer la date à laquelle  le</w:t>
      </w:r>
      <w:r>
        <w:rPr>
          <w:color w:val="231F20"/>
          <w:spacing w:val="15"/>
        </w:rPr>
        <w:t> </w:t>
      </w:r>
      <w:r>
        <w:rPr>
          <w:color w:val="231F20"/>
        </w:rPr>
        <w:t>mandat</w:t>
      </w:r>
      <w:r>
        <w:rPr>
          <w:color w:val="231F20"/>
          <w:spacing w:val="16"/>
        </w:rPr>
        <w:t> </w:t>
      </w:r>
      <w:r>
        <w:rPr>
          <w:color w:val="231F20"/>
        </w:rPr>
        <w:t>prendra</w:t>
      </w:r>
      <w:r>
        <w:rPr>
          <w:color w:val="231F20"/>
          <w:spacing w:val="16"/>
        </w:rPr>
        <w:t> </w:t>
      </w:r>
      <w:r>
        <w:rPr>
          <w:color w:val="231F20"/>
        </w:rPr>
        <w:t>fin</w:t>
      </w:r>
      <w:r>
        <w:rPr>
          <w:color w:val="231F20"/>
          <w:spacing w:val="16"/>
        </w:rPr>
        <w:t> </w:t>
      </w:r>
      <w:r>
        <w:rPr>
          <w:color w:val="231F20"/>
        </w:rPr>
        <w:t>ou</w:t>
      </w:r>
      <w:r>
        <w:rPr>
          <w:color w:val="231F20"/>
          <w:spacing w:val="16"/>
        </w:rPr>
        <w:t> </w:t>
      </w:r>
      <w:r>
        <w:rPr>
          <w:color w:val="231F20"/>
        </w:rPr>
        <w:t>octroyer</w:t>
      </w:r>
      <w:r>
        <w:rPr>
          <w:color w:val="231F20"/>
          <w:spacing w:val="15"/>
        </w:rPr>
        <w:t> </w:t>
      </w:r>
      <w:r>
        <w:rPr>
          <w:color w:val="231F20"/>
        </w:rPr>
        <w:t>une</w:t>
      </w:r>
      <w:r>
        <w:rPr>
          <w:color w:val="231F20"/>
          <w:spacing w:val="16"/>
        </w:rPr>
        <w:t> </w:t>
      </w:r>
      <w:r>
        <w:rPr>
          <w:color w:val="231F20"/>
        </w:rPr>
        <w:t>indemnité</w:t>
      </w:r>
      <w:r>
        <w:rPr>
          <w:color w:val="231F20"/>
          <w:spacing w:val="16"/>
        </w:rPr>
        <w:t> </w:t>
      </w:r>
      <w:r>
        <w:rPr>
          <w:color w:val="231F20"/>
        </w:rPr>
        <w:t>de</w:t>
      </w:r>
      <w:r>
        <w:rPr>
          <w:color w:val="231F20"/>
          <w:spacing w:val="16"/>
        </w:rPr>
        <w:t> </w:t>
      </w:r>
      <w:r>
        <w:rPr>
          <w:color w:val="231F20"/>
        </w:rPr>
        <w:t>départ.</w:t>
      </w:r>
    </w:p>
    <w:p>
      <w:pPr>
        <w:pStyle w:val="BodyText"/>
        <w:spacing w:before="6"/>
        <w:ind w:left="0" w:right="0" w:firstLine="0"/>
        <w:jc w:val="left"/>
        <w:rPr>
          <w:sz w:val="24"/>
        </w:rPr>
      </w:pPr>
    </w:p>
    <w:p>
      <w:pPr>
        <w:pStyle w:val="BodyText"/>
        <w:spacing w:line="218" w:lineRule="auto"/>
        <w:ind w:right="38"/>
      </w:pPr>
      <w:r>
        <w:rPr>
          <w:color w:val="231F20"/>
        </w:rPr>
        <w:t>Par dérogation à l’alinéa 1</w:t>
      </w:r>
      <w:r>
        <w:rPr>
          <w:color w:val="231F20"/>
          <w:position w:val="7"/>
          <w:sz w:val="11"/>
        </w:rPr>
        <w:t>er</w:t>
      </w:r>
      <w:r>
        <w:rPr>
          <w:color w:val="231F20"/>
        </w:rPr>
        <w:t>, les statuts peuvent prévoir qu’il ne peut être mis fin au mandat d’un membre du conseil de surveillance que moyennant le respect d’un délai de préavis ou l’octroi d’une indemnité de départ.</w:t>
      </w:r>
    </w:p>
    <w:p>
      <w:pPr>
        <w:pStyle w:val="BodyText"/>
        <w:spacing w:line="218" w:lineRule="auto" w:before="117"/>
        <w:ind w:right="38"/>
      </w:pPr>
      <w:r>
        <w:rPr>
          <w:color w:val="231F20"/>
        </w:rPr>
        <w:t>L’assemblée générale peut en toute hypothèse mettre fin au mandat d’un membre du conseil de surveillance pour de justes motifs, sans préavis ni indemnité.</w:t>
      </w:r>
    </w:p>
    <w:p>
      <w:pPr>
        <w:pStyle w:val="BodyText"/>
        <w:spacing w:line="218" w:lineRule="auto" w:before="118"/>
        <w:ind w:right="38"/>
      </w:pPr>
      <w:r>
        <w:rPr>
          <w:color w:val="231F20"/>
        </w:rPr>
        <w:t>§ 5. Chaque membre du conseil de surveillance peut démissionner par simple notification au conseil. A la demande de la société, il reste</w:t>
      </w:r>
      <w:r>
        <w:rPr>
          <w:color w:val="231F20"/>
          <w:spacing w:val="-17"/>
        </w:rPr>
        <w:t> </w:t>
      </w:r>
      <w:r>
        <w:rPr>
          <w:color w:val="231F20"/>
        </w:rPr>
        <w:t>en fonction jusqu’à ce que la société puisse raisonnablement pourvoir à son</w:t>
      </w:r>
      <w:r>
        <w:rPr>
          <w:color w:val="231F20"/>
          <w:spacing w:val="-6"/>
        </w:rPr>
        <w:t> </w:t>
      </w:r>
      <w:r>
        <w:rPr>
          <w:color w:val="231F20"/>
        </w:rPr>
        <w:t>remplacement.</w:t>
      </w:r>
      <w:r>
        <w:rPr>
          <w:color w:val="231F20"/>
          <w:spacing w:val="-5"/>
        </w:rPr>
        <w:t> </w:t>
      </w:r>
      <w:r>
        <w:rPr>
          <w:color w:val="231F20"/>
        </w:rPr>
        <w:t>Il</w:t>
      </w:r>
      <w:r>
        <w:rPr>
          <w:color w:val="231F20"/>
          <w:spacing w:val="-5"/>
        </w:rPr>
        <w:t> </w:t>
      </w:r>
      <w:r>
        <w:rPr>
          <w:color w:val="231F20"/>
        </w:rPr>
        <w:t>peut</w:t>
      </w:r>
      <w:r>
        <w:rPr>
          <w:color w:val="231F20"/>
          <w:spacing w:val="-5"/>
        </w:rPr>
        <w:t> </w:t>
      </w:r>
      <w:r>
        <w:rPr>
          <w:color w:val="231F20"/>
        </w:rPr>
        <w:t>lui-même</w:t>
      </w:r>
      <w:r>
        <w:rPr>
          <w:color w:val="231F20"/>
          <w:spacing w:val="-5"/>
        </w:rPr>
        <w:t> </w:t>
      </w:r>
      <w:r>
        <w:rPr>
          <w:color w:val="231F20"/>
        </w:rPr>
        <w:t>faire</w:t>
      </w:r>
      <w:r>
        <w:rPr>
          <w:color w:val="231F20"/>
          <w:spacing w:val="-5"/>
        </w:rPr>
        <w:t> </w:t>
      </w:r>
      <w:r>
        <w:rPr>
          <w:color w:val="231F20"/>
        </w:rPr>
        <w:t>tout</w:t>
      </w:r>
      <w:r>
        <w:rPr>
          <w:color w:val="231F20"/>
          <w:spacing w:val="-5"/>
        </w:rPr>
        <w:t> </w:t>
      </w:r>
      <w:r>
        <w:rPr>
          <w:color w:val="231F20"/>
        </w:rPr>
        <w:t>ce</w:t>
      </w:r>
      <w:r>
        <w:rPr>
          <w:color w:val="231F20"/>
          <w:spacing w:val="-5"/>
        </w:rPr>
        <w:t> </w:t>
      </w:r>
      <w:r>
        <w:rPr>
          <w:color w:val="231F20"/>
        </w:rPr>
        <w:t>qui</w:t>
      </w:r>
      <w:r>
        <w:rPr>
          <w:color w:val="231F20"/>
          <w:spacing w:val="-5"/>
        </w:rPr>
        <w:t> </w:t>
      </w:r>
      <w:r>
        <w:rPr>
          <w:color w:val="231F20"/>
        </w:rPr>
        <w:t>est</w:t>
      </w:r>
      <w:r>
        <w:rPr>
          <w:color w:val="231F20"/>
          <w:spacing w:val="-5"/>
        </w:rPr>
        <w:t> </w:t>
      </w:r>
      <w:r>
        <w:rPr>
          <w:color w:val="231F20"/>
        </w:rPr>
        <w:t>nécessaire</w:t>
      </w:r>
      <w:r>
        <w:rPr>
          <w:color w:val="231F20"/>
          <w:spacing w:val="-6"/>
        </w:rPr>
        <w:t> </w:t>
      </w:r>
      <w:r>
        <w:rPr>
          <w:color w:val="231F20"/>
        </w:rPr>
        <w:t>pour rendre la fin de son mandat opposable aux tiers aux conditions prévues à l’article</w:t>
      </w:r>
      <w:r>
        <w:rPr>
          <w:color w:val="231F20"/>
          <w:spacing w:val="-12"/>
        </w:rPr>
        <w:t> </w:t>
      </w:r>
      <w:r>
        <w:rPr>
          <w:color w:val="231F20"/>
        </w:rPr>
        <w:t>2:18.</w:t>
      </w:r>
    </w:p>
    <w:p>
      <w:pPr>
        <w:pStyle w:val="BodyText"/>
        <w:spacing w:line="218" w:lineRule="auto" w:before="118"/>
        <w:ind w:right="39"/>
      </w:pPr>
      <w:r>
        <w:rPr>
          <w:color w:val="231F20"/>
        </w:rPr>
        <w:t>Art. 7:106. Les articles 7:86, 7:87 et 7:88 s’appliquent par analogie au conseil de surveillance.</w:t>
      </w:r>
    </w:p>
    <w:p>
      <w:pPr>
        <w:pStyle w:val="BodyText"/>
        <w:spacing w:line="218" w:lineRule="auto" w:before="117"/>
        <w:ind w:right="38"/>
      </w:pPr>
      <w:r>
        <w:rPr>
          <w:color w:val="231F20"/>
        </w:rPr>
        <w:t>Art. 7:107. Le conseil de direction est un organe collégial qui compte au moins trois membres, personnes physiques ou morales. Les membres du conseil de direction ne peuvent être en même temps membres du conseil de surveillance.</w:t>
      </w:r>
    </w:p>
    <w:p>
      <w:pPr>
        <w:pStyle w:val="BodyText"/>
        <w:spacing w:line="218" w:lineRule="auto" w:before="118"/>
        <w:ind w:right="38"/>
      </w:pPr>
      <w:r>
        <w:rPr>
          <w:color w:val="231F20"/>
        </w:rPr>
        <w:t>Les membres du conseil de direction ne peuvent, en cette qualité,</w:t>
      </w:r>
      <w:r>
        <w:rPr>
          <w:color w:val="231F20"/>
          <w:spacing w:val="-19"/>
        </w:rPr>
        <w:t> </w:t>
      </w:r>
      <w:r>
        <w:rPr>
          <w:color w:val="231F20"/>
        </w:rPr>
        <w:t>être liés</w:t>
      </w:r>
      <w:r>
        <w:rPr>
          <w:color w:val="231F20"/>
          <w:spacing w:val="14"/>
        </w:rPr>
        <w:t> </w:t>
      </w:r>
      <w:r>
        <w:rPr>
          <w:color w:val="231F20"/>
        </w:rPr>
        <w:t>à</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par</w:t>
      </w:r>
      <w:r>
        <w:rPr>
          <w:color w:val="231F20"/>
          <w:spacing w:val="15"/>
        </w:rPr>
        <w:t> </w:t>
      </w:r>
      <w:r>
        <w:rPr>
          <w:color w:val="231F20"/>
        </w:rPr>
        <w:t>un</w:t>
      </w:r>
      <w:r>
        <w:rPr>
          <w:color w:val="231F20"/>
          <w:spacing w:val="15"/>
        </w:rPr>
        <w:t> </w:t>
      </w:r>
      <w:r>
        <w:rPr>
          <w:color w:val="231F20"/>
        </w:rPr>
        <w:t>contrat</w:t>
      </w:r>
      <w:r>
        <w:rPr>
          <w:color w:val="231F20"/>
          <w:spacing w:val="15"/>
        </w:rPr>
        <w:t> </w:t>
      </w:r>
      <w:r>
        <w:rPr>
          <w:color w:val="231F20"/>
        </w:rPr>
        <w:t>de</w:t>
      </w:r>
      <w:r>
        <w:rPr>
          <w:color w:val="231F20"/>
          <w:spacing w:val="15"/>
        </w:rPr>
        <w:t> </w:t>
      </w:r>
      <w:r>
        <w:rPr>
          <w:color w:val="231F20"/>
        </w:rPr>
        <w:t>travail.</w:t>
      </w:r>
    </w:p>
    <w:p>
      <w:pPr>
        <w:pStyle w:val="BodyText"/>
        <w:spacing w:line="218" w:lineRule="auto" w:before="117"/>
        <w:ind w:right="38"/>
      </w:pPr>
      <w:r>
        <w:rPr>
          <w:color w:val="231F20"/>
        </w:rPr>
        <w:t>Les membres du conseil de direction sont désignés et révoqués par le conseil de surveillance.</w:t>
      </w:r>
    </w:p>
    <w:p>
      <w:pPr>
        <w:pStyle w:val="BodyText"/>
        <w:spacing w:before="103"/>
        <w:ind w:left="283" w:right="0" w:firstLine="0"/>
        <w:jc w:val="left"/>
      </w:pPr>
      <w:r>
        <w:rPr>
          <w:color w:val="231F20"/>
        </w:rPr>
        <w:t>Sous-section 2. Rémunération.</w:t>
      </w:r>
    </w:p>
    <w:p>
      <w:pPr>
        <w:pStyle w:val="BodyText"/>
        <w:spacing w:line="218" w:lineRule="auto" w:before="114"/>
        <w:ind w:right="38"/>
      </w:pPr>
      <w:r>
        <w:rPr>
          <w:color w:val="231F20"/>
        </w:rPr>
        <w:t>Art. 7:108. Sauf disposition statutaire contraire ou à moins que l’assemblée générale n’en décide autrement lors de leur nomination, les membres du conseil de surveillance sont rémunérés pour l’exercice de leur mandat.</w:t>
      </w:r>
    </w:p>
    <w:p>
      <w:pPr>
        <w:pStyle w:val="BodyText"/>
        <w:spacing w:line="218" w:lineRule="auto" w:before="118"/>
        <w:ind w:right="38"/>
      </w:pPr>
      <w:r>
        <w:rPr>
          <w:color w:val="231F20"/>
        </w:rPr>
        <w:t>Sans préjudice de dispositions légales plus restrictives, le conseil de surveillance fixe la rémunération des membres du conseil de direction. Il en fait rapport dans le rapport de gestion.</w:t>
      </w:r>
    </w:p>
    <w:p>
      <w:pPr>
        <w:pStyle w:val="BodyText"/>
        <w:spacing w:line="218" w:lineRule="auto" w:before="118"/>
        <w:ind w:right="38"/>
      </w:pPr>
      <w:r>
        <w:rPr>
          <w:color w:val="231F20"/>
        </w:rPr>
        <w:t>Les articles 7:90, 7:91 et 7:92 s’appliquent par analogie aux membres du conseil de surveillance et du conseil de direction d’une société cotée.</w:t>
      </w:r>
    </w:p>
    <w:p>
      <w:pPr>
        <w:pStyle w:val="BodyText"/>
        <w:spacing w:before="6"/>
        <w:ind w:left="0" w:right="0" w:firstLine="0"/>
        <w:jc w:val="left"/>
        <w:rPr>
          <w:sz w:val="24"/>
        </w:rPr>
      </w:pPr>
    </w:p>
    <w:p>
      <w:pPr>
        <w:pStyle w:val="BodyText"/>
        <w:ind w:left="283" w:right="0" w:firstLine="0"/>
        <w:jc w:val="left"/>
      </w:pPr>
      <w:r>
        <w:rPr>
          <w:color w:val="231F20"/>
        </w:rPr>
        <w:t>Sous-section 3. Pouvoirs et fonctionnement.</w:t>
      </w:r>
    </w:p>
    <w:p>
      <w:pPr>
        <w:pStyle w:val="BodyText"/>
        <w:spacing w:line="216" w:lineRule="auto" w:before="101"/>
        <w:ind w:right="38"/>
      </w:pPr>
      <w:r>
        <w:rPr>
          <w:color w:val="231F20"/>
        </w:rPr>
        <w:t>Art. 7:109. § 1</w:t>
      </w:r>
      <w:r>
        <w:rPr>
          <w:color w:val="231F20"/>
          <w:position w:val="7"/>
          <w:sz w:val="11"/>
        </w:rPr>
        <w:t>er</w:t>
      </w:r>
      <w:r>
        <w:rPr>
          <w:color w:val="231F20"/>
        </w:rPr>
        <w:t>. Le conseil de surveillance est chargé de la politique générale et la stratégie de la société et de tous les actes qui sont réservés spécifiquement au conseil d’administration au sens de la section 1</w:t>
      </w:r>
      <w:r>
        <w:rPr>
          <w:color w:val="231F20"/>
          <w:position w:val="7"/>
          <w:sz w:val="11"/>
        </w:rPr>
        <w:t>re </w:t>
      </w:r>
      <w:r>
        <w:rPr>
          <w:color w:val="231F20"/>
        </w:rPr>
        <w:t>par d’autres dispositions du présent code. Il rédige tous les rapports prévus par le code ainsi que tous les projets prescrits par les livres 12 et 14. Il exerce la surveillance du conseil de direction. Les membres du conseil de surveillance peuvent se partager entre eux les tâches du conseil de surveillance.</w:t>
      </w:r>
    </w:p>
    <w:p>
      <w:pPr>
        <w:pStyle w:val="BodyText"/>
        <w:spacing w:before="105"/>
        <w:ind w:left="283" w:right="0" w:firstLine="0"/>
        <w:jc w:val="left"/>
      </w:pPr>
      <w:r>
        <w:rPr/>
        <w:br w:type="column"/>
      </w:r>
      <w:r>
        <w:rPr>
          <w:color w:val="231F20"/>
        </w:rPr>
        <w:t>Afdeling 3. Duaal bestuur.</w:t>
      </w:r>
    </w:p>
    <w:p>
      <w:pPr>
        <w:pStyle w:val="BodyText"/>
        <w:spacing w:before="100"/>
        <w:ind w:left="283" w:right="0" w:firstLine="0"/>
        <w:jc w:val="left"/>
      </w:pPr>
      <w:r>
        <w:rPr>
          <w:color w:val="231F20"/>
        </w:rPr>
        <w:t>Onderafdeling 1. Organen en samenstelling.</w:t>
      </w:r>
    </w:p>
    <w:p>
      <w:pPr>
        <w:pStyle w:val="BodyText"/>
        <w:spacing w:line="218" w:lineRule="auto" w:before="114"/>
        <w:ind w:right="123"/>
      </w:pPr>
      <w:r>
        <w:rPr>
          <w:color w:val="231F20"/>
        </w:rPr>
        <w:t>Art. 7:104. De statuten kunnen bepalen dat het bestuur van de vennootschap wordt waargenomen door een raad van toezicht en een directieraad, ieder binnen de grenzen van de hem toegewezen bevoegd- heden.</w:t>
      </w:r>
    </w:p>
    <w:p>
      <w:pPr>
        <w:pStyle w:val="BodyText"/>
        <w:spacing w:line="218" w:lineRule="auto" w:before="118"/>
      </w:pPr>
      <w:r>
        <w:rPr>
          <w:color w:val="231F20"/>
        </w:rPr>
        <w:t>Art. 7:105. § 1. De raad van toezicht is een collegiaal orgaan dat minstens drie leden telt, die natuurlijke of rechtspersonen zijn. Leden van de raad van toezicht kunnen niet tevens ook lid zijn van de directieraad.</w:t>
      </w:r>
    </w:p>
    <w:p>
      <w:pPr>
        <w:pStyle w:val="BodyText"/>
        <w:spacing w:line="218" w:lineRule="auto" w:before="118"/>
      </w:pPr>
      <w:r>
        <w:rPr>
          <w:color w:val="231F20"/>
        </w:rPr>
        <w:t>§ 2. Leden van de raad van toezicht kunnen in deze hoedanigheid  niet door een arbeidsovereenkomst met de vennootschap zijn verbon- den.</w:t>
      </w:r>
    </w:p>
    <w:p>
      <w:pPr>
        <w:pStyle w:val="BodyText"/>
        <w:spacing w:line="218" w:lineRule="auto" w:before="117"/>
      </w:pPr>
      <w:r>
        <w:rPr>
          <w:color w:val="231F20"/>
        </w:rPr>
        <w:t>§ 3. De leden van de raad van toezicht worden door de algemene vergadering van aandeelhouders benoemd; zij kunnen voor de eerste maal worden aangeduid in de oprichtingsakte. Zij worden benoemd voor ten hoogste zes </w:t>
      </w:r>
      <w:r>
        <w:rPr>
          <w:color w:val="231F20"/>
          <w:spacing w:val="-3"/>
        </w:rPr>
        <w:t>jaar, </w:t>
      </w:r>
      <w:r>
        <w:rPr>
          <w:color w:val="231F20"/>
        </w:rPr>
        <w:t>maar hun mandaat is onbeperkt hernieuw- </w:t>
      </w:r>
      <w:r>
        <w:rPr>
          <w:color w:val="231F20"/>
          <w:spacing w:val="-3"/>
        </w:rPr>
        <w:t>baar.</w:t>
      </w:r>
    </w:p>
    <w:p>
      <w:pPr>
        <w:pStyle w:val="BodyText"/>
        <w:spacing w:line="218" w:lineRule="auto" w:before="118"/>
      </w:pPr>
      <w:r>
        <w:rPr>
          <w:color w:val="231F20"/>
        </w:rPr>
        <w:t>Tenzij de statuten of het benoemingsbesluit van de algemene vergadering anders bepalen, loopt hun mandaat van de algemene vergadering waarop zij worden benoemd tot de gewone algemene vergadering in het boekjaar waarin hun mandaat volgens het benoe- mingsbesluit verstrijkt.</w:t>
      </w:r>
    </w:p>
    <w:p>
      <w:pPr>
        <w:pStyle w:val="BodyText"/>
        <w:spacing w:line="218" w:lineRule="auto" w:before="118"/>
      </w:pPr>
      <w:r>
        <w:rPr>
          <w:color w:val="231F20"/>
        </w:rPr>
        <w:t>§ 4. De algemene vergadering kan het mandaat van elk lid van de raad van toezicht te allen tijde en zonder opgave van redenen met onmiddelijke ingang beeïndigen. </w:t>
      </w:r>
      <w:r>
        <w:rPr>
          <w:color w:val="231F20"/>
          <w:spacing w:val="-3"/>
        </w:rPr>
        <w:t>Tenzij </w:t>
      </w:r>
      <w:r>
        <w:rPr>
          <w:color w:val="231F20"/>
        </w:rPr>
        <w:t>de statuten anders bepalen, kan de algemene vergadering op het moment van de opzegging evenwel de datum bepalen waarop het mandaat eindigt of een vertrekvergoeding toekennen.</w:t>
      </w:r>
    </w:p>
    <w:p>
      <w:pPr>
        <w:pStyle w:val="BodyText"/>
        <w:spacing w:line="218" w:lineRule="auto" w:before="117"/>
      </w:pPr>
      <w:r>
        <w:rPr>
          <w:color w:val="231F20"/>
        </w:rPr>
        <w:t>In afwijking van het eerste lid kunnen de statuten bepalen dat het mandaat van een lid van de raad van toezicht enkel kan worden beëindigd mits inachtneming van een opzeggingstermijn of toekenning van een vertrekvergoeding.</w:t>
      </w:r>
    </w:p>
    <w:p>
      <w:pPr>
        <w:pStyle w:val="BodyText"/>
        <w:spacing w:line="218" w:lineRule="auto" w:before="118"/>
      </w:pPr>
      <w:r>
        <w:rPr>
          <w:color w:val="231F20"/>
        </w:rPr>
        <w:t>Niettemin kan de algemene vergadering het mandaat van een lid van de raad van toezicht steeds beëindigen wegens wettige reden, zonder opzeggingstermijn of vertrekvergoeding.</w:t>
      </w:r>
    </w:p>
    <w:p>
      <w:pPr>
        <w:pStyle w:val="BodyText"/>
        <w:spacing w:line="218" w:lineRule="auto" w:before="117"/>
      </w:pPr>
      <w:r>
        <w:rPr>
          <w:color w:val="231F20"/>
        </w:rPr>
        <w:t>§ 5. Elk lid van de raad van toezicht kan ontslag nemen door loutere kennisgeving aan de raad. Op verzoek van de vennootschap blijft hij in functie totdat de vennootschap redelijkerwijze in zijn vervanging kan voorzien. Hij kan zelf het nodige doen om de beëindiging van zijn mandaat aan derden tegen te werpen onder de voorwaarden bepaald in artikel 2:18.</w:t>
      </w:r>
    </w:p>
    <w:p>
      <w:pPr>
        <w:pStyle w:val="BodyText"/>
        <w:spacing w:line="218" w:lineRule="auto" w:before="118"/>
      </w:pPr>
      <w:r>
        <w:rPr>
          <w:color w:val="231F20"/>
        </w:rPr>
        <w:t>Art. 7:106. De artikelen 7:86, 7:87 en 7:88 zijn van overeenkomstige toepassing op de raad van toezicht.</w:t>
      </w:r>
    </w:p>
    <w:p>
      <w:pPr>
        <w:pStyle w:val="BodyText"/>
        <w:spacing w:line="218" w:lineRule="auto" w:before="118"/>
      </w:pPr>
      <w:r>
        <w:rPr>
          <w:color w:val="231F20"/>
        </w:rPr>
        <w:t>Art. 7:107. De directieraad is een collegiaal orgaan dat minstens drie leden telt, die natuurlijke of rechtspersonen zijn. Leden van de directieraad kunnen niet tevens ook lid zijn van de raad van toezicht.</w:t>
      </w:r>
    </w:p>
    <w:p>
      <w:pPr>
        <w:pStyle w:val="BodyText"/>
        <w:spacing w:before="9"/>
        <w:ind w:left="0" w:right="0" w:firstLine="0"/>
        <w:jc w:val="left"/>
        <w:rPr>
          <w:sz w:val="25"/>
        </w:rPr>
      </w:pPr>
    </w:p>
    <w:p>
      <w:pPr>
        <w:pStyle w:val="BodyText"/>
        <w:spacing w:line="218" w:lineRule="auto"/>
      </w:pPr>
      <w:r>
        <w:rPr>
          <w:color w:val="231F20"/>
        </w:rPr>
        <w:t>Leden van de directieraad kunnen in deze hoedanigheid niet door een</w:t>
      </w:r>
      <w:r>
        <w:rPr>
          <w:color w:val="231F20"/>
          <w:spacing w:val="16"/>
        </w:rPr>
        <w:t> </w:t>
      </w:r>
      <w:r>
        <w:rPr>
          <w:color w:val="231F20"/>
        </w:rPr>
        <w:t>arbeidsovereenkomst</w:t>
      </w:r>
      <w:r>
        <w:rPr>
          <w:color w:val="231F20"/>
          <w:spacing w:val="17"/>
        </w:rPr>
        <w:t> </w:t>
      </w:r>
      <w:r>
        <w:rPr>
          <w:color w:val="231F20"/>
        </w:rPr>
        <w:t>met</w:t>
      </w:r>
      <w:r>
        <w:rPr>
          <w:color w:val="231F20"/>
          <w:spacing w:val="17"/>
        </w:rPr>
        <w:t> </w:t>
      </w:r>
      <w:r>
        <w:rPr>
          <w:color w:val="231F20"/>
        </w:rPr>
        <w:t>de</w:t>
      </w:r>
      <w:r>
        <w:rPr>
          <w:color w:val="231F20"/>
          <w:spacing w:val="17"/>
        </w:rPr>
        <w:t> </w:t>
      </w:r>
      <w:r>
        <w:rPr>
          <w:color w:val="231F20"/>
        </w:rPr>
        <w:t>vennootschap</w:t>
      </w:r>
      <w:r>
        <w:rPr>
          <w:color w:val="231F20"/>
          <w:spacing w:val="17"/>
        </w:rPr>
        <w:t> </w:t>
      </w:r>
      <w:r>
        <w:rPr>
          <w:color w:val="231F20"/>
        </w:rPr>
        <w:t>zijn</w:t>
      </w:r>
      <w:r>
        <w:rPr>
          <w:color w:val="231F20"/>
          <w:spacing w:val="17"/>
        </w:rPr>
        <w:t> </w:t>
      </w:r>
      <w:r>
        <w:rPr>
          <w:color w:val="231F20"/>
        </w:rPr>
        <w:t>verbonden.</w:t>
      </w:r>
    </w:p>
    <w:p>
      <w:pPr>
        <w:pStyle w:val="BodyText"/>
        <w:spacing w:line="218" w:lineRule="auto" w:before="117"/>
      </w:pPr>
      <w:r>
        <w:rPr>
          <w:color w:val="231F20"/>
        </w:rPr>
        <w:t>De leden van de directieraad worden aangesteld en ontslagen door  de raad van</w:t>
      </w:r>
      <w:r>
        <w:rPr>
          <w:color w:val="231F20"/>
          <w:spacing w:val="4"/>
        </w:rPr>
        <w:t> </w:t>
      </w:r>
      <w:r>
        <w:rPr>
          <w:color w:val="231F20"/>
        </w:rPr>
        <w:t>toezicht.</w:t>
      </w:r>
    </w:p>
    <w:p>
      <w:pPr>
        <w:pStyle w:val="BodyText"/>
        <w:spacing w:before="104"/>
        <w:ind w:left="283" w:right="0" w:firstLine="0"/>
        <w:jc w:val="left"/>
      </w:pPr>
      <w:r>
        <w:rPr>
          <w:color w:val="231F20"/>
        </w:rPr>
        <w:t>Onderafdeling 2. Bezoldiging.</w:t>
      </w:r>
    </w:p>
    <w:p>
      <w:pPr>
        <w:pStyle w:val="BodyText"/>
        <w:spacing w:line="218" w:lineRule="auto" w:before="114"/>
      </w:pPr>
      <w:r>
        <w:rPr>
          <w:color w:val="231F20"/>
        </w:rPr>
        <w:t>Art. 7:108. Tenzij de statuten anders bepalen of de algemene vergadering bij hun benoeming anders besluit, worden de leden van de raad van toezicht bezoldigd voor de uitoefening van hun mandaat.</w:t>
      </w:r>
    </w:p>
    <w:p>
      <w:pPr>
        <w:pStyle w:val="BodyText"/>
        <w:spacing w:before="9"/>
        <w:ind w:left="0" w:right="0" w:firstLine="0"/>
        <w:jc w:val="left"/>
        <w:rPr>
          <w:sz w:val="25"/>
        </w:rPr>
      </w:pPr>
    </w:p>
    <w:p>
      <w:pPr>
        <w:pStyle w:val="BodyText"/>
        <w:spacing w:line="218" w:lineRule="auto"/>
      </w:pPr>
      <w:r>
        <w:rPr>
          <w:color w:val="231F20"/>
        </w:rPr>
        <w:t>Onverminderd strengere wettelijke bepalingen stelt de raad van toezicht de bezoldiging vast van de leden van de directieraad. Hij brengt</w:t>
      </w:r>
      <w:r>
        <w:rPr>
          <w:color w:val="231F20"/>
          <w:spacing w:val="15"/>
        </w:rPr>
        <w:t> </w:t>
      </w:r>
      <w:r>
        <w:rPr>
          <w:color w:val="231F20"/>
        </w:rPr>
        <w:t>daarover</w:t>
      </w:r>
      <w:r>
        <w:rPr>
          <w:color w:val="231F20"/>
          <w:spacing w:val="16"/>
        </w:rPr>
        <w:t> </w:t>
      </w:r>
      <w:r>
        <w:rPr>
          <w:color w:val="231F20"/>
        </w:rPr>
        <w:t>verslag</w:t>
      </w:r>
      <w:r>
        <w:rPr>
          <w:color w:val="231F20"/>
          <w:spacing w:val="15"/>
        </w:rPr>
        <w:t> </w:t>
      </w:r>
      <w:r>
        <w:rPr>
          <w:color w:val="231F20"/>
        </w:rPr>
        <w:t>uit</w:t>
      </w:r>
      <w:r>
        <w:rPr>
          <w:color w:val="231F20"/>
          <w:spacing w:val="16"/>
        </w:rPr>
        <w:t> </w:t>
      </w:r>
      <w:r>
        <w:rPr>
          <w:color w:val="231F20"/>
        </w:rPr>
        <w:t>in</w:t>
      </w:r>
      <w:r>
        <w:rPr>
          <w:color w:val="231F20"/>
          <w:spacing w:val="15"/>
        </w:rPr>
        <w:t> </w:t>
      </w:r>
      <w:r>
        <w:rPr>
          <w:color w:val="231F20"/>
        </w:rPr>
        <w:t>het</w:t>
      </w:r>
      <w:r>
        <w:rPr>
          <w:color w:val="231F20"/>
          <w:spacing w:val="16"/>
        </w:rPr>
        <w:t> </w:t>
      </w:r>
      <w:r>
        <w:rPr>
          <w:color w:val="231F20"/>
        </w:rPr>
        <w:t>jaarverslag.</w:t>
      </w:r>
    </w:p>
    <w:p>
      <w:pPr>
        <w:pStyle w:val="BodyText"/>
        <w:spacing w:line="218" w:lineRule="auto" w:before="118"/>
      </w:pPr>
      <w:r>
        <w:rPr>
          <w:color w:val="231F20"/>
        </w:rPr>
        <w:t>De artikelen 7:90, 7:91 en 7:92 zijn van overeenkomstige toepassing op de leden van de raad van toezicht en van de directieraad van een genoteerde vennootschap.</w:t>
      </w:r>
    </w:p>
    <w:p>
      <w:pPr>
        <w:pStyle w:val="BodyText"/>
        <w:spacing w:before="103"/>
        <w:ind w:left="283" w:right="0" w:firstLine="0"/>
        <w:jc w:val="left"/>
      </w:pPr>
      <w:r>
        <w:rPr>
          <w:color w:val="231F20"/>
        </w:rPr>
        <w:t>Onderafdeling 3. Bevoegdheden en werking.</w:t>
      </w:r>
    </w:p>
    <w:p>
      <w:pPr>
        <w:pStyle w:val="BodyText"/>
        <w:spacing w:line="218" w:lineRule="auto" w:before="114"/>
      </w:pPr>
      <w:r>
        <w:rPr>
          <w:color w:val="231F20"/>
        </w:rPr>
        <w:t>Art. 7:109. § 1. De raad van toezicht is bevoegd voor het algemeen beleid en de strategie van de vennootschap en voor alle handelingen  die op grond van andere bepalingen van het wetboek specifiek aan de raad van bestuur zoals bedoeld in afdeling 1 zijn voorbehouden. Hij stelt alle door dit wetboek opgelegde verslagen op en alle voorstellen voorgeschreven in de boeken 12 en 14. Hij houdt toezicht op de directieraad. De leden van de raad van toezicht kunnen de taken van de raad van toezicht onderling</w:t>
      </w:r>
      <w:r>
        <w:rPr>
          <w:color w:val="231F20"/>
          <w:spacing w:val="22"/>
        </w:rPr>
        <w:t> </w:t>
      </w:r>
      <w:r>
        <w:rPr>
          <w:color w:val="231F20"/>
        </w:rPr>
        <w:t>verdelen.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6" w:lineRule="auto" w:before="121"/>
        <w:ind w:right="38"/>
      </w:pPr>
      <w:r>
        <w:rPr/>
        <w:pict>
          <v:line style="position:absolute;mso-position-horizontal-relative:page;mso-position-vertical-relative:page;z-index:5176" from="298.170502pt,64.473pt" to="298.170502pt,812.819pt" stroked="true" strokeweight=".533pt" strokecolor="#231f20">
            <v:stroke dashstyle="solid"/>
            <w10:wrap type="none"/>
          </v:line>
        </w:pict>
      </w:r>
      <w:bookmarkStart w:name="_bookmark173" w:id="178"/>
      <w:bookmarkEnd w:id="178"/>
      <w:r>
        <w:rPr/>
      </w:r>
      <w:r>
        <w:rPr>
          <w:color w:val="231F20"/>
        </w:rPr>
        <w:t>§ 2. Sans préjudice de l’article 7:110, alinéa 2, le conseil de surveillance représente la société envers les tiers dans toutes les matières pour lesquelles il est exclusivement compétent conformément au paragraphe 1</w:t>
      </w:r>
      <w:r>
        <w:rPr>
          <w:color w:val="231F20"/>
          <w:position w:val="7"/>
          <w:sz w:val="11"/>
        </w:rPr>
        <w:t>er</w:t>
      </w:r>
      <w:r>
        <w:rPr>
          <w:color w:val="231F20"/>
        </w:rPr>
        <w:t>. Sans préjudice de l’article 7:105, § 1</w:t>
      </w:r>
      <w:r>
        <w:rPr>
          <w:color w:val="231F20"/>
          <w:position w:val="7"/>
          <w:sz w:val="11"/>
        </w:rPr>
        <w:t>er</w:t>
      </w:r>
      <w:r>
        <w:rPr>
          <w:color w:val="231F20"/>
        </w:rPr>
        <w:t>, les statuts peuvent donner </w:t>
      </w:r>
      <w:r>
        <w:rPr>
          <w:color w:val="231F20"/>
          <w:spacing w:val="4"/>
        </w:rPr>
        <w:t>qualité </w:t>
      </w:r>
      <w:r>
        <w:rPr>
          <w:color w:val="231F20"/>
        </w:rPr>
        <w:t>à un ou à plusieurs membres du conseil de surveillance pour représenter la société dans ces matières, soit seuls, soit</w:t>
      </w:r>
      <w:r>
        <w:rPr>
          <w:color w:val="231F20"/>
          <w:spacing w:val="-4"/>
        </w:rPr>
        <w:t> </w:t>
      </w:r>
      <w:r>
        <w:rPr>
          <w:color w:val="231F20"/>
        </w:rPr>
        <w:t>conjointement.</w:t>
      </w:r>
      <w:r>
        <w:rPr>
          <w:color w:val="231F20"/>
          <w:spacing w:val="-4"/>
        </w:rPr>
        <w:t> </w:t>
      </w:r>
      <w:r>
        <w:rPr>
          <w:color w:val="231F20"/>
        </w:rPr>
        <w:t>Une</w:t>
      </w:r>
      <w:r>
        <w:rPr>
          <w:color w:val="231F20"/>
          <w:spacing w:val="-4"/>
        </w:rPr>
        <w:t> </w:t>
      </w:r>
      <w:r>
        <w:rPr>
          <w:color w:val="231F20"/>
        </w:rPr>
        <w:t>telle</w:t>
      </w:r>
      <w:r>
        <w:rPr>
          <w:color w:val="231F20"/>
          <w:spacing w:val="-4"/>
        </w:rPr>
        <w:t> </w:t>
      </w:r>
      <w:r>
        <w:rPr>
          <w:color w:val="231F20"/>
        </w:rPr>
        <w:t>clause</w:t>
      </w:r>
      <w:r>
        <w:rPr>
          <w:color w:val="231F20"/>
          <w:spacing w:val="-3"/>
        </w:rPr>
        <w:t> </w:t>
      </w:r>
      <w:r>
        <w:rPr>
          <w:color w:val="231F20"/>
        </w:rPr>
        <w:t>de</w:t>
      </w:r>
      <w:r>
        <w:rPr>
          <w:color w:val="231F20"/>
          <w:spacing w:val="-4"/>
        </w:rPr>
        <w:t> </w:t>
      </w:r>
      <w:r>
        <w:rPr>
          <w:color w:val="231F20"/>
        </w:rPr>
        <w:t>représentation</w:t>
      </w:r>
      <w:r>
        <w:rPr>
          <w:color w:val="231F20"/>
          <w:spacing w:val="-4"/>
        </w:rPr>
        <w:t> </w:t>
      </w:r>
      <w:r>
        <w:rPr>
          <w:color w:val="231F20"/>
        </w:rPr>
        <w:t>est</w:t>
      </w:r>
      <w:r>
        <w:rPr>
          <w:color w:val="231F20"/>
          <w:spacing w:val="-4"/>
        </w:rPr>
        <w:t> </w:t>
      </w:r>
      <w:r>
        <w:rPr>
          <w:color w:val="231F20"/>
        </w:rPr>
        <w:t>opposable</w:t>
      </w:r>
      <w:r>
        <w:rPr>
          <w:color w:val="231F20"/>
          <w:spacing w:val="-4"/>
        </w:rPr>
        <w:t> </w:t>
      </w:r>
      <w:r>
        <w:rPr>
          <w:color w:val="231F20"/>
        </w:rPr>
        <w:t>aux tiers</w:t>
      </w:r>
      <w:r>
        <w:rPr>
          <w:color w:val="231F20"/>
          <w:spacing w:val="14"/>
        </w:rPr>
        <w:t> </w:t>
      </w:r>
      <w:r>
        <w:rPr>
          <w:color w:val="231F20"/>
        </w:rPr>
        <w:t>aux</w:t>
      </w:r>
      <w:r>
        <w:rPr>
          <w:color w:val="231F20"/>
          <w:spacing w:val="14"/>
        </w:rPr>
        <w:t> </w:t>
      </w:r>
      <w:r>
        <w:rPr>
          <w:color w:val="231F20"/>
        </w:rPr>
        <w:t>conditions</w:t>
      </w:r>
      <w:r>
        <w:rPr>
          <w:color w:val="231F20"/>
          <w:spacing w:val="15"/>
        </w:rPr>
        <w:t> </w:t>
      </w:r>
      <w:r>
        <w:rPr>
          <w:color w:val="231F20"/>
        </w:rPr>
        <w:t>fixées</w:t>
      </w:r>
      <w:r>
        <w:rPr>
          <w:color w:val="231F20"/>
          <w:spacing w:val="14"/>
        </w:rPr>
        <w:t> </w:t>
      </w:r>
      <w:r>
        <w:rPr>
          <w:color w:val="231F20"/>
        </w:rPr>
        <w:t>à</w:t>
      </w:r>
      <w:r>
        <w:rPr>
          <w:color w:val="231F20"/>
          <w:spacing w:val="15"/>
        </w:rPr>
        <w:t> </w:t>
      </w:r>
      <w:r>
        <w:rPr>
          <w:color w:val="231F20"/>
        </w:rPr>
        <w:t>l’article</w:t>
      </w:r>
      <w:r>
        <w:rPr>
          <w:color w:val="231F20"/>
          <w:spacing w:val="14"/>
        </w:rPr>
        <w:t> </w:t>
      </w:r>
      <w:r>
        <w:rPr>
          <w:color w:val="231F20"/>
        </w:rPr>
        <w:t>2:18.</w:t>
      </w:r>
    </w:p>
    <w:p>
      <w:pPr>
        <w:pStyle w:val="BodyText"/>
        <w:spacing w:line="218" w:lineRule="auto" w:before="128"/>
        <w:ind w:right="38"/>
      </w:pPr>
      <w:r>
        <w:rPr>
          <w:color w:val="231F20"/>
        </w:rPr>
        <w:t>Les statuts peuvent apporter des restrictions à ce pouvoir de représentation. Une telle limitation n’est pas opposable aux tiers, même si elle est publiée. Il en va de même pour une répartition des tâches entre les membres du conseil de surveillance ayant le pouvoir de représentation.</w:t>
      </w:r>
    </w:p>
    <w:p>
      <w:pPr>
        <w:pStyle w:val="BodyText"/>
        <w:spacing w:line="218" w:lineRule="auto" w:before="128"/>
        <w:ind w:right="38"/>
      </w:pPr>
      <w:r>
        <w:rPr>
          <w:color w:val="231F20"/>
        </w:rPr>
        <w:t>§ 3. Après l’arrêt des comptes annuels, le conseil de surveillance se prononce par un vote spécial sur la décharge des membres du conseil de direction. Cette décharge n’est valable que lorsque l’information qui est à la base du projet de comptes annuels ne comprend pas d’omissions ni de mentions erronées qui sont de nature à donner une image de la situation de la société qui ne correspond pas à la réalité, et, pour les violations des statuts ou du présent code, lorsque le conseil de direction a expressément communiqué ces violations au conseil de surveillance.</w:t>
      </w:r>
    </w:p>
    <w:p>
      <w:pPr>
        <w:pStyle w:val="BodyText"/>
        <w:spacing w:before="10"/>
        <w:ind w:left="0" w:right="0" w:firstLine="0"/>
        <w:jc w:val="left"/>
        <w:rPr>
          <w:sz w:val="26"/>
        </w:rPr>
      </w:pPr>
    </w:p>
    <w:p>
      <w:pPr>
        <w:pStyle w:val="BodyText"/>
        <w:spacing w:line="216" w:lineRule="auto" w:before="1"/>
        <w:ind w:right="38"/>
      </w:pPr>
      <w:r>
        <w:rPr>
          <w:color w:val="231F20"/>
        </w:rPr>
        <w:t>Art. 7:110. Le conseil de direction exerce tous les pouvoirs d’admi- nistration visés à l’article 7:93, § 1</w:t>
      </w:r>
      <w:r>
        <w:rPr>
          <w:color w:val="231F20"/>
          <w:position w:val="7"/>
          <w:sz w:val="11"/>
        </w:rPr>
        <w:t>er</w:t>
      </w:r>
      <w:r>
        <w:rPr>
          <w:color w:val="231F20"/>
        </w:rPr>
        <w:t>, qui ne sont pas réservés au conseil de surveillance conformément à l’article 7:109. Les statuts peuvent apporter des restrictions aux pouvoirs du conseil de direction. Une telle restriction n’est pas opposable aux tiers, même si elle est publiée. Il en va de même pour une répartition des tâches entre les membres du conseil de direction.</w:t>
      </w:r>
    </w:p>
    <w:p>
      <w:pPr>
        <w:pStyle w:val="BodyText"/>
        <w:spacing w:line="216" w:lineRule="auto" w:before="127"/>
        <w:ind w:right="38"/>
      </w:pPr>
      <w:r>
        <w:rPr>
          <w:color w:val="231F20"/>
        </w:rPr>
        <w:t>Le conseil de direction représente la </w:t>
      </w:r>
      <w:r>
        <w:rPr>
          <w:color w:val="231F20"/>
          <w:spacing w:val="5"/>
        </w:rPr>
        <w:t>société </w:t>
      </w:r>
      <w:r>
        <w:rPr>
          <w:color w:val="231F20"/>
        </w:rPr>
        <w:t>à l’égard des tiers, y compris</w:t>
      </w:r>
      <w:r>
        <w:rPr>
          <w:color w:val="231F20"/>
          <w:spacing w:val="-4"/>
        </w:rPr>
        <w:t> </w:t>
      </w:r>
      <w:r>
        <w:rPr>
          <w:color w:val="231F20"/>
        </w:rPr>
        <w:t>en</w:t>
      </w:r>
      <w:r>
        <w:rPr>
          <w:color w:val="231F20"/>
          <w:spacing w:val="-4"/>
        </w:rPr>
        <w:t> </w:t>
      </w:r>
      <w:r>
        <w:rPr>
          <w:color w:val="231F20"/>
        </w:rPr>
        <w:t>justice.</w:t>
      </w:r>
      <w:r>
        <w:rPr>
          <w:color w:val="231F20"/>
          <w:spacing w:val="-4"/>
        </w:rPr>
        <w:t> </w:t>
      </w:r>
      <w:r>
        <w:rPr>
          <w:color w:val="231F20"/>
        </w:rPr>
        <w:t>Sans</w:t>
      </w:r>
      <w:r>
        <w:rPr>
          <w:color w:val="231F20"/>
          <w:spacing w:val="-4"/>
        </w:rPr>
        <w:t> </w:t>
      </w:r>
      <w:r>
        <w:rPr>
          <w:color w:val="231F20"/>
        </w:rPr>
        <w:t>préjudice</w:t>
      </w:r>
      <w:r>
        <w:rPr>
          <w:color w:val="231F20"/>
          <w:spacing w:val="-3"/>
        </w:rPr>
        <w:t> </w:t>
      </w:r>
      <w:r>
        <w:rPr>
          <w:color w:val="231F20"/>
        </w:rPr>
        <w:t>de</w:t>
      </w:r>
      <w:r>
        <w:rPr>
          <w:color w:val="231F20"/>
          <w:spacing w:val="-4"/>
        </w:rPr>
        <w:t> </w:t>
      </w:r>
      <w:r>
        <w:rPr>
          <w:color w:val="231F20"/>
        </w:rPr>
        <w:t>l’article</w:t>
      </w:r>
      <w:r>
        <w:rPr>
          <w:color w:val="231F20"/>
          <w:spacing w:val="-4"/>
        </w:rPr>
        <w:t> </w:t>
      </w:r>
      <w:r>
        <w:rPr>
          <w:color w:val="231F20"/>
        </w:rPr>
        <w:t>7:107,</w:t>
      </w:r>
      <w:r>
        <w:rPr>
          <w:color w:val="231F20"/>
          <w:spacing w:val="-4"/>
        </w:rPr>
        <w:t> </w:t>
      </w:r>
      <w:r>
        <w:rPr>
          <w:color w:val="231F20"/>
        </w:rPr>
        <w:t>alinéa</w:t>
      </w:r>
      <w:r>
        <w:rPr>
          <w:color w:val="231F20"/>
          <w:spacing w:val="-4"/>
        </w:rPr>
        <w:t> </w:t>
      </w:r>
      <w:r>
        <w:rPr>
          <w:color w:val="231F20"/>
        </w:rPr>
        <w:t>1</w:t>
      </w:r>
      <w:r>
        <w:rPr>
          <w:color w:val="231F20"/>
          <w:position w:val="7"/>
          <w:sz w:val="11"/>
        </w:rPr>
        <w:t>er</w:t>
      </w:r>
      <w:r>
        <w:rPr>
          <w:color w:val="231F20"/>
        </w:rPr>
        <w:t>,</w:t>
      </w:r>
      <w:r>
        <w:rPr>
          <w:color w:val="231F20"/>
          <w:spacing w:val="-3"/>
        </w:rPr>
        <w:t> </w:t>
      </w:r>
      <w:r>
        <w:rPr>
          <w:color w:val="231F20"/>
        </w:rPr>
        <w:t>les</w:t>
      </w:r>
      <w:r>
        <w:rPr>
          <w:color w:val="231F20"/>
          <w:spacing w:val="-4"/>
        </w:rPr>
        <w:t> </w:t>
      </w:r>
      <w:r>
        <w:rPr>
          <w:color w:val="231F20"/>
        </w:rPr>
        <w:t>statuts peuvent donner </w:t>
      </w:r>
      <w:r>
        <w:rPr>
          <w:color w:val="231F20"/>
          <w:spacing w:val="4"/>
        </w:rPr>
        <w:t>qualité </w:t>
      </w:r>
      <w:r>
        <w:rPr>
          <w:color w:val="231F20"/>
        </w:rPr>
        <w:t>à un ou à plusieurs membres du conseil de direction pour représenter la société, soit seuls, soit conjointement. Cette clause de représentation est opposable aux tiers aux conditions fixées à l’article 2:18. Les statuts peuvent apporter des restrictions à ce pouvoir de représentation. Une telle restriction n’est pas opposable aux tiers, même si elle est publiée. Il en va de même pour une répartition des tâches entre les membres du conseil de direction ayant le pouvoir de</w:t>
      </w:r>
      <w:r>
        <w:rPr>
          <w:color w:val="231F20"/>
          <w:spacing w:val="14"/>
        </w:rPr>
        <w:t> </w:t>
      </w:r>
      <w:r>
        <w:rPr>
          <w:color w:val="231F20"/>
        </w:rPr>
        <w:t>représentation.</w:t>
      </w:r>
    </w:p>
    <w:p>
      <w:pPr>
        <w:pStyle w:val="BodyText"/>
        <w:ind w:left="0" w:right="0" w:firstLine="0"/>
        <w:jc w:val="left"/>
        <w:rPr>
          <w:sz w:val="27"/>
        </w:rPr>
      </w:pPr>
    </w:p>
    <w:p>
      <w:pPr>
        <w:pStyle w:val="BodyText"/>
        <w:spacing w:line="218" w:lineRule="auto"/>
        <w:ind w:right="38"/>
      </w:pPr>
      <w:r>
        <w:rPr>
          <w:color w:val="231F20"/>
        </w:rPr>
        <w:t>Art. </w:t>
      </w:r>
      <w:r>
        <w:rPr>
          <w:color w:val="231F20"/>
          <w:spacing w:val="-4"/>
        </w:rPr>
        <w:t>7:111. </w:t>
      </w:r>
      <w:r>
        <w:rPr>
          <w:color w:val="231F20"/>
        </w:rPr>
        <w:t>Le conseil de direction fournit régulièrement au conseil de surveillance les données nécessaires à l’accomplissement de sa tâche.</w:t>
      </w:r>
      <w:r>
        <w:rPr>
          <w:color w:val="231F20"/>
          <w:spacing w:val="-25"/>
        </w:rPr>
        <w:t> </w:t>
      </w:r>
      <w:r>
        <w:rPr>
          <w:color w:val="231F20"/>
        </w:rPr>
        <w:t>Le conseil de surveillance peut demander au conseil de direction toute information</w:t>
      </w:r>
      <w:r>
        <w:rPr>
          <w:color w:val="231F20"/>
          <w:spacing w:val="16"/>
        </w:rPr>
        <w:t> </w:t>
      </w:r>
      <w:r>
        <w:rPr>
          <w:color w:val="231F20"/>
        </w:rPr>
        <w:t>qu’il</w:t>
      </w:r>
      <w:r>
        <w:rPr>
          <w:color w:val="231F20"/>
          <w:spacing w:val="16"/>
        </w:rPr>
        <w:t> </w:t>
      </w:r>
      <w:r>
        <w:rPr>
          <w:color w:val="231F20"/>
        </w:rPr>
        <w:t>estime</w:t>
      </w:r>
      <w:r>
        <w:rPr>
          <w:color w:val="231F20"/>
          <w:spacing w:val="16"/>
        </w:rPr>
        <w:t> </w:t>
      </w:r>
      <w:r>
        <w:rPr>
          <w:color w:val="231F20"/>
        </w:rPr>
        <w:t>utile</w:t>
      </w:r>
      <w:r>
        <w:rPr>
          <w:color w:val="231F20"/>
          <w:spacing w:val="16"/>
        </w:rPr>
        <w:t> </w:t>
      </w:r>
      <w:r>
        <w:rPr>
          <w:color w:val="231F20"/>
        </w:rPr>
        <w:t>à</w:t>
      </w:r>
      <w:r>
        <w:rPr>
          <w:color w:val="231F20"/>
          <w:spacing w:val="16"/>
        </w:rPr>
        <w:t> </w:t>
      </w:r>
      <w:r>
        <w:rPr>
          <w:color w:val="231F20"/>
        </w:rPr>
        <w:t>l’exercice</w:t>
      </w:r>
      <w:r>
        <w:rPr>
          <w:color w:val="231F20"/>
          <w:spacing w:val="16"/>
        </w:rPr>
        <w:t> </w:t>
      </w:r>
      <w:r>
        <w:rPr>
          <w:color w:val="231F20"/>
        </w:rPr>
        <w:t>de</w:t>
      </w:r>
      <w:r>
        <w:rPr>
          <w:color w:val="231F20"/>
          <w:spacing w:val="16"/>
        </w:rPr>
        <w:t> </w:t>
      </w:r>
      <w:r>
        <w:rPr>
          <w:color w:val="231F20"/>
        </w:rPr>
        <w:t>sa</w:t>
      </w:r>
      <w:r>
        <w:rPr>
          <w:color w:val="231F20"/>
          <w:spacing w:val="16"/>
        </w:rPr>
        <w:t> </w:t>
      </w:r>
      <w:r>
        <w:rPr>
          <w:color w:val="231F20"/>
        </w:rPr>
        <w:t>surveillance.</w:t>
      </w:r>
    </w:p>
    <w:p>
      <w:pPr>
        <w:pStyle w:val="BodyText"/>
        <w:spacing w:before="8"/>
        <w:ind w:left="0" w:right="0" w:firstLine="0"/>
        <w:jc w:val="left"/>
        <w:rPr>
          <w:sz w:val="27"/>
        </w:rPr>
      </w:pPr>
    </w:p>
    <w:p>
      <w:pPr>
        <w:pStyle w:val="BodyText"/>
        <w:spacing w:line="218" w:lineRule="auto"/>
        <w:ind w:right="38"/>
      </w:pPr>
      <w:r>
        <w:rPr>
          <w:color w:val="231F20"/>
        </w:rPr>
        <w:t>Le conseil de direction fait rapport écrit au conseil de surveillance au moins une fois par an sur les lignes directrices de la politique stratégique générale, les risques généraux et financiers ainsi que les systèmes de gestion et de contrôle de la société. En outre, le conseil de direction transmet en temps utile au conseil de surveillance les informations nécessaires sur les données que le conseil de surveillance doit inclure dans le rapport de gestion.</w:t>
      </w:r>
    </w:p>
    <w:p>
      <w:pPr>
        <w:pStyle w:val="BodyText"/>
        <w:spacing w:line="218" w:lineRule="auto" w:before="139"/>
        <w:ind w:right="38"/>
      </w:pPr>
      <w:r>
        <w:rPr>
          <w:color w:val="231F20"/>
        </w:rPr>
        <w:t>Art. 7:112. La société est liée par les actes du conseil de surveillance, du conseil de direction et de leurs membres qui ont, conformément à l’article 7:110, alinéa 2, le pouvoir de la représenter, chacun pour les pouvoirs de représentation qui lui sont attribués, même si ces actes excèdent son objet, à moins que la société ne prouve que le tiers savait que l’acte dépassait cet objet ou qu’il ne pouvait l’ignorer, compte tenu des circonstances, sans que la seule publication des statuts suffise à constituer cette preuve.</w:t>
      </w:r>
    </w:p>
    <w:p>
      <w:pPr>
        <w:pStyle w:val="BodyText"/>
        <w:spacing w:before="9"/>
        <w:ind w:left="0" w:right="0" w:firstLine="0"/>
        <w:jc w:val="left"/>
        <w:rPr>
          <w:sz w:val="27"/>
        </w:rPr>
      </w:pPr>
    </w:p>
    <w:p>
      <w:pPr>
        <w:pStyle w:val="BodyText"/>
        <w:spacing w:line="218" w:lineRule="auto"/>
        <w:ind w:right="38"/>
      </w:pPr>
      <w:r>
        <w:rPr>
          <w:color w:val="231F20"/>
        </w:rPr>
        <w:t>Art. 7:113. Le procès-verbal des réunions du conseil de surveillance est signé par le président et les membres qui le souhaitent; les copies à délivrer aux tiers sont signées par son président, ou à défaut, par le membre ayant la plus grande ancienneté.</w:t>
      </w:r>
    </w:p>
    <w:p>
      <w:pPr>
        <w:pStyle w:val="BodyText"/>
        <w:spacing w:before="8"/>
        <w:ind w:left="0" w:right="0" w:firstLine="0"/>
        <w:jc w:val="left"/>
        <w:rPr>
          <w:sz w:val="27"/>
        </w:rPr>
      </w:pPr>
    </w:p>
    <w:p>
      <w:pPr>
        <w:pStyle w:val="BodyText"/>
        <w:spacing w:line="218" w:lineRule="auto"/>
        <w:ind w:right="38"/>
      </w:pPr>
      <w:r>
        <w:rPr>
          <w:color w:val="231F20"/>
        </w:rPr>
        <w:t>Les décisions du conseil de surveillance peuvent être prises par décision unanime de l’ensemble des membres, exprimée par écrit, à l’exception des seules décisions exclues par les statuts.</w:t>
      </w:r>
    </w:p>
    <w:p>
      <w:pPr>
        <w:pStyle w:val="BodyText"/>
        <w:spacing w:line="218" w:lineRule="auto" w:before="139"/>
        <w:ind w:right="38"/>
      </w:pPr>
      <w:r>
        <w:rPr>
          <w:color w:val="231F20"/>
        </w:rPr>
        <w:t>Art. 7:114. Le procès-verbal des réunions du conseil de direction est signé par tous ses membres; les copies à délivrer aux tiers sont signées par un ou plusieurs membres ayant le pouvoir de représentation.</w:t>
      </w:r>
    </w:p>
    <w:p>
      <w:pPr>
        <w:pStyle w:val="BodyText"/>
        <w:spacing w:before="7"/>
        <w:ind w:left="0" w:right="0" w:firstLine="0"/>
        <w:jc w:val="left"/>
        <w:rPr>
          <w:sz w:val="27"/>
        </w:rPr>
      </w:pPr>
    </w:p>
    <w:p>
      <w:pPr>
        <w:pStyle w:val="BodyText"/>
        <w:spacing w:line="218" w:lineRule="auto"/>
        <w:ind w:right="38"/>
      </w:pPr>
      <w:r>
        <w:rPr>
          <w:color w:val="231F20"/>
        </w:rPr>
        <w:t>Les décisions du conseil de direction peuvent être prises par décision unanime de l’ensemble des membres, exprimée par écrit, à l’exception de toute décision exclue par les statuts.</w:t>
      </w:r>
    </w:p>
    <w:p>
      <w:pPr>
        <w:pStyle w:val="BodyText"/>
        <w:spacing w:line="218" w:lineRule="auto" w:before="119"/>
      </w:pPr>
      <w:r>
        <w:rPr/>
        <w:br w:type="column"/>
      </w:r>
      <w:r>
        <w:rPr>
          <w:color w:val="231F20"/>
        </w:rPr>
        <w:t>§ 2. Onverminderd artikel 7:110, tweede lid, vertegenwoordigt de raad van toezicht de vennootschap jegens derden in alle materies waarvoor hij overeenkomstig paragraaf 1 exclusief bevoegd is. Onver- minderd artikel 7:105, § 1, kunnen de statuten aan een of meer leden van de raad van toezicht de bevoegdheid verlenen om de vennootschap in die materies alleen of gezamenlijk te vertegenwoordigen. Zodanige vertegenwoordigingsclausule kan aan derden worden tegengeworpen onder</w:t>
      </w:r>
      <w:r>
        <w:rPr>
          <w:color w:val="231F20"/>
          <w:spacing w:val="15"/>
        </w:rPr>
        <w:t> </w:t>
      </w:r>
      <w:r>
        <w:rPr>
          <w:color w:val="231F20"/>
        </w:rPr>
        <w:t>de</w:t>
      </w:r>
      <w:r>
        <w:rPr>
          <w:color w:val="231F20"/>
          <w:spacing w:val="15"/>
        </w:rPr>
        <w:t> </w:t>
      </w:r>
      <w:r>
        <w:rPr>
          <w:color w:val="231F20"/>
        </w:rPr>
        <w:t>voorwaarden</w:t>
      </w:r>
      <w:r>
        <w:rPr>
          <w:color w:val="231F20"/>
          <w:spacing w:val="16"/>
        </w:rPr>
        <w:t> </w:t>
      </w:r>
      <w:r>
        <w:rPr>
          <w:color w:val="231F20"/>
        </w:rPr>
        <w:t>bepaald</w:t>
      </w:r>
      <w:r>
        <w:rPr>
          <w:color w:val="231F20"/>
          <w:spacing w:val="15"/>
        </w:rPr>
        <w:t> </w:t>
      </w:r>
      <w:r>
        <w:rPr>
          <w:color w:val="231F20"/>
        </w:rPr>
        <w:t>in</w:t>
      </w:r>
      <w:r>
        <w:rPr>
          <w:color w:val="231F20"/>
          <w:spacing w:val="16"/>
        </w:rPr>
        <w:t> </w:t>
      </w:r>
      <w:r>
        <w:rPr>
          <w:color w:val="231F20"/>
        </w:rPr>
        <w:t>artikel</w:t>
      </w:r>
      <w:r>
        <w:rPr>
          <w:color w:val="231F20"/>
          <w:spacing w:val="15"/>
        </w:rPr>
        <w:t> </w:t>
      </w:r>
      <w:r>
        <w:rPr>
          <w:color w:val="231F20"/>
        </w:rPr>
        <w:t>2:18.</w:t>
      </w:r>
    </w:p>
    <w:p>
      <w:pPr>
        <w:pStyle w:val="BodyText"/>
        <w:spacing w:line="218" w:lineRule="auto" w:before="129"/>
      </w:pPr>
      <w:r>
        <w:rPr>
          <w:color w:val="231F20"/>
        </w:rPr>
        <w:t>De statuten kunnen aan deze vertegenwoordigingsbevoegdheid beperkingen aanbrengen. Zodanige beperking kan niet aan derden worden tegengeworpen, ook al is ze openbaar gemaakt. Hetzelfde geldt voor een onderlinge taakverdeling onder de vertegenwoordigingsbe- voegde leden van de raad van toezicht.</w:t>
      </w:r>
    </w:p>
    <w:p>
      <w:pPr>
        <w:pStyle w:val="BodyText"/>
        <w:spacing w:line="218" w:lineRule="auto" w:before="128"/>
      </w:pPr>
      <w:r>
        <w:rPr>
          <w:color w:val="231F20"/>
        </w:rPr>
        <w:t>§ 3. Na de vaststelling van de jaarrekening beslist de raad van toezicht bij afzonderlijke stemming over de aan de leden van de directieraad te verlenen kwijting. Deze kwijting is alleen  geldig wanneer de informatie die aan de ontwerpjaarrekening ten grondslag ligt geen weglatingen of onjuiste vermeldingen bevat die tot gevolg hebben dat de toestand van de vennootschap wordt weergegeven op een wijze die niet met de werkelijkheid overeenstemt, en,</w:t>
      </w:r>
      <w:r>
        <w:rPr>
          <w:color w:val="231F20"/>
          <w:spacing w:val="16"/>
        </w:rPr>
        <w:t> </w:t>
      </w:r>
      <w:r>
        <w:rPr>
          <w:color w:val="231F20"/>
        </w:rPr>
        <w:t>voor schendingen van de statuten of dit wetboek, wanneer de directieraad deze schendingen uitdrukkelijk heeft meegedeeld aan de raad van toezicht.</w:t>
      </w:r>
    </w:p>
    <w:p>
      <w:pPr>
        <w:pStyle w:val="BodyText"/>
        <w:spacing w:line="218" w:lineRule="auto" w:before="129"/>
      </w:pPr>
      <w:r>
        <w:rPr>
          <w:color w:val="231F20"/>
        </w:rPr>
        <w:t>Art. 7:110. De directieraad oefent alle bestuursbevoegdheden bedoeld in artikel 7:93, § 1, uit die niet aan de raad van toezicht zijn voorbehouden overeenkomstig artikel 7:109. De statuten kunnen de bevoegdheden van de directieraad beperken. Zodanige beperking kan niet aan derden worden tegengeworpen, ook al is ze openbaar gemaakt. Hetzelfde geldt voor een onderlinge taakverdeling onder de leden van de directieraad.</w:t>
      </w:r>
    </w:p>
    <w:p>
      <w:pPr>
        <w:pStyle w:val="BodyText"/>
        <w:spacing w:line="218" w:lineRule="auto" w:before="129"/>
        <w:ind w:right="123"/>
      </w:pPr>
      <w:r>
        <w:rPr>
          <w:color w:val="231F20"/>
          <w:w w:val="105"/>
        </w:rPr>
        <w:t>De directieraad vertegenwoordigt de vennootschap jegens derden, met inbegrip van de vertegenwoordiging in rechte. Onverminderd artikel</w:t>
      </w:r>
      <w:r>
        <w:rPr>
          <w:color w:val="231F20"/>
          <w:spacing w:val="-11"/>
          <w:w w:val="105"/>
        </w:rPr>
        <w:t> </w:t>
      </w:r>
      <w:r>
        <w:rPr>
          <w:color w:val="231F20"/>
          <w:w w:val="105"/>
        </w:rPr>
        <w:t>7:107,</w:t>
      </w:r>
      <w:r>
        <w:rPr>
          <w:color w:val="231F20"/>
          <w:spacing w:val="-10"/>
          <w:w w:val="105"/>
        </w:rPr>
        <w:t> </w:t>
      </w:r>
      <w:r>
        <w:rPr>
          <w:color w:val="231F20"/>
          <w:w w:val="105"/>
        </w:rPr>
        <w:t>eerste</w:t>
      </w:r>
      <w:r>
        <w:rPr>
          <w:color w:val="231F20"/>
          <w:spacing w:val="-11"/>
          <w:w w:val="105"/>
        </w:rPr>
        <w:t> </w:t>
      </w:r>
      <w:r>
        <w:rPr>
          <w:color w:val="231F20"/>
          <w:w w:val="105"/>
        </w:rPr>
        <w:t>lid,</w:t>
      </w:r>
      <w:r>
        <w:rPr>
          <w:color w:val="231F20"/>
          <w:spacing w:val="-10"/>
          <w:w w:val="105"/>
        </w:rPr>
        <w:t> </w:t>
      </w:r>
      <w:r>
        <w:rPr>
          <w:color w:val="231F20"/>
          <w:w w:val="105"/>
        </w:rPr>
        <w:t>kunnen</w:t>
      </w:r>
      <w:r>
        <w:rPr>
          <w:color w:val="231F20"/>
          <w:spacing w:val="-10"/>
          <w:w w:val="105"/>
        </w:rPr>
        <w:t> </w:t>
      </w:r>
      <w:r>
        <w:rPr>
          <w:color w:val="231F20"/>
          <w:w w:val="105"/>
        </w:rPr>
        <w:t>de</w:t>
      </w:r>
      <w:r>
        <w:rPr>
          <w:color w:val="231F20"/>
          <w:spacing w:val="-11"/>
          <w:w w:val="105"/>
        </w:rPr>
        <w:t> </w:t>
      </w:r>
      <w:r>
        <w:rPr>
          <w:color w:val="231F20"/>
          <w:w w:val="105"/>
        </w:rPr>
        <w:t>statuten</w:t>
      </w:r>
      <w:r>
        <w:rPr>
          <w:color w:val="231F20"/>
          <w:spacing w:val="-10"/>
          <w:w w:val="105"/>
        </w:rPr>
        <w:t> </w:t>
      </w:r>
      <w:r>
        <w:rPr>
          <w:color w:val="231F20"/>
          <w:w w:val="105"/>
        </w:rPr>
        <w:t>aan</w:t>
      </w:r>
      <w:r>
        <w:rPr>
          <w:color w:val="231F20"/>
          <w:spacing w:val="-10"/>
          <w:w w:val="105"/>
        </w:rPr>
        <w:t> </w:t>
      </w:r>
      <w:r>
        <w:rPr>
          <w:color w:val="231F20"/>
          <w:w w:val="105"/>
        </w:rPr>
        <w:t>een</w:t>
      </w:r>
      <w:r>
        <w:rPr>
          <w:color w:val="231F20"/>
          <w:spacing w:val="-11"/>
          <w:w w:val="105"/>
        </w:rPr>
        <w:t> </w:t>
      </w:r>
      <w:r>
        <w:rPr>
          <w:color w:val="231F20"/>
          <w:w w:val="105"/>
        </w:rPr>
        <w:t>of</w:t>
      </w:r>
      <w:r>
        <w:rPr>
          <w:color w:val="231F20"/>
          <w:spacing w:val="-10"/>
          <w:w w:val="105"/>
        </w:rPr>
        <w:t> </w:t>
      </w:r>
      <w:r>
        <w:rPr>
          <w:color w:val="231F20"/>
          <w:w w:val="105"/>
        </w:rPr>
        <w:t>meer</w:t>
      </w:r>
      <w:r>
        <w:rPr>
          <w:color w:val="231F20"/>
          <w:spacing w:val="-10"/>
          <w:w w:val="105"/>
        </w:rPr>
        <w:t> </w:t>
      </w:r>
      <w:r>
        <w:rPr>
          <w:color w:val="231F20"/>
          <w:w w:val="105"/>
        </w:rPr>
        <w:t>leden</w:t>
      </w:r>
      <w:r>
        <w:rPr>
          <w:color w:val="231F20"/>
          <w:spacing w:val="-11"/>
          <w:w w:val="105"/>
        </w:rPr>
        <w:t> </w:t>
      </w:r>
      <w:r>
        <w:rPr>
          <w:color w:val="231F20"/>
          <w:w w:val="105"/>
        </w:rPr>
        <w:t>van de</w:t>
      </w:r>
      <w:r>
        <w:rPr>
          <w:color w:val="231F20"/>
          <w:spacing w:val="-21"/>
          <w:w w:val="105"/>
        </w:rPr>
        <w:t> </w:t>
      </w:r>
      <w:r>
        <w:rPr>
          <w:color w:val="231F20"/>
          <w:w w:val="105"/>
        </w:rPr>
        <w:t>directieraad</w:t>
      </w:r>
      <w:r>
        <w:rPr>
          <w:color w:val="231F20"/>
          <w:spacing w:val="-20"/>
          <w:w w:val="105"/>
        </w:rPr>
        <w:t> </w:t>
      </w:r>
      <w:r>
        <w:rPr>
          <w:color w:val="231F20"/>
          <w:w w:val="105"/>
        </w:rPr>
        <w:t>de</w:t>
      </w:r>
      <w:r>
        <w:rPr>
          <w:color w:val="231F20"/>
          <w:spacing w:val="-20"/>
          <w:w w:val="105"/>
        </w:rPr>
        <w:t> </w:t>
      </w:r>
      <w:r>
        <w:rPr>
          <w:color w:val="231F20"/>
          <w:w w:val="105"/>
        </w:rPr>
        <w:t>bevoegdheid</w:t>
      </w:r>
      <w:r>
        <w:rPr>
          <w:color w:val="231F20"/>
          <w:spacing w:val="-20"/>
          <w:w w:val="105"/>
        </w:rPr>
        <w:t> </w:t>
      </w:r>
      <w:r>
        <w:rPr>
          <w:color w:val="231F20"/>
          <w:w w:val="105"/>
        </w:rPr>
        <w:t>verlenen</w:t>
      </w:r>
      <w:r>
        <w:rPr>
          <w:color w:val="231F20"/>
          <w:spacing w:val="-20"/>
          <w:w w:val="105"/>
        </w:rPr>
        <w:t> </w:t>
      </w:r>
      <w:r>
        <w:rPr>
          <w:color w:val="231F20"/>
          <w:w w:val="105"/>
        </w:rPr>
        <w:t>om</w:t>
      </w:r>
      <w:r>
        <w:rPr>
          <w:color w:val="231F20"/>
          <w:spacing w:val="-21"/>
          <w:w w:val="105"/>
        </w:rPr>
        <w:t> </w:t>
      </w:r>
      <w:r>
        <w:rPr>
          <w:color w:val="231F20"/>
          <w:w w:val="105"/>
        </w:rPr>
        <w:t>de</w:t>
      </w:r>
      <w:r>
        <w:rPr>
          <w:color w:val="231F20"/>
          <w:spacing w:val="-20"/>
          <w:w w:val="105"/>
        </w:rPr>
        <w:t> </w:t>
      </w:r>
      <w:r>
        <w:rPr>
          <w:color w:val="231F20"/>
          <w:w w:val="105"/>
        </w:rPr>
        <w:t>vennootschap</w:t>
      </w:r>
      <w:r>
        <w:rPr>
          <w:color w:val="231F20"/>
          <w:spacing w:val="-20"/>
          <w:w w:val="105"/>
        </w:rPr>
        <w:t> </w:t>
      </w:r>
      <w:r>
        <w:rPr>
          <w:color w:val="231F20"/>
          <w:w w:val="105"/>
        </w:rPr>
        <w:t>alleen</w:t>
      </w:r>
      <w:r>
        <w:rPr>
          <w:color w:val="231F20"/>
          <w:spacing w:val="-20"/>
          <w:w w:val="105"/>
        </w:rPr>
        <w:t> </w:t>
      </w:r>
      <w:r>
        <w:rPr>
          <w:color w:val="231F20"/>
          <w:w w:val="105"/>
        </w:rPr>
        <w:t>of gezamenlijk te vertegenwoordigen. Dergelijke vertegenwoordigings- clausule kan aan derden worden tegengeworpen onder de</w:t>
      </w:r>
      <w:r>
        <w:rPr>
          <w:color w:val="231F20"/>
          <w:spacing w:val="-6"/>
          <w:w w:val="105"/>
        </w:rPr>
        <w:t> </w:t>
      </w:r>
      <w:r>
        <w:rPr>
          <w:color w:val="231F20"/>
          <w:w w:val="105"/>
        </w:rPr>
        <w:t>voorwaar- den</w:t>
      </w:r>
      <w:r>
        <w:rPr>
          <w:color w:val="231F20"/>
          <w:spacing w:val="-28"/>
          <w:w w:val="105"/>
        </w:rPr>
        <w:t> </w:t>
      </w:r>
      <w:r>
        <w:rPr>
          <w:color w:val="231F20"/>
          <w:w w:val="105"/>
        </w:rPr>
        <w:t>bepaald</w:t>
      </w:r>
      <w:r>
        <w:rPr>
          <w:color w:val="231F20"/>
          <w:spacing w:val="-28"/>
          <w:w w:val="105"/>
        </w:rPr>
        <w:t> </w:t>
      </w:r>
      <w:r>
        <w:rPr>
          <w:color w:val="231F20"/>
          <w:w w:val="105"/>
        </w:rPr>
        <w:t>in</w:t>
      </w:r>
      <w:r>
        <w:rPr>
          <w:color w:val="231F20"/>
          <w:spacing w:val="-28"/>
          <w:w w:val="105"/>
        </w:rPr>
        <w:t> </w:t>
      </w:r>
      <w:r>
        <w:rPr>
          <w:color w:val="231F20"/>
          <w:w w:val="105"/>
        </w:rPr>
        <w:t>artikel</w:t>
      </w:r>
      <w:r>
        <w:rPr>
          <w:color w:val="231F20"/>
          <w:spacing w:val="-27"/>
          <w:w w:val="105"/>
        </w:rPr>
        <w:t> </w:t>
      </w:r>
      <w:r>
        <w:rPr>
          <w:color w:val="231F20"/>
          <w:w w:val="105"/>
        </w:rPr>
        <w:t>2:18.</w:t>
      </w:r>
      <w:r>
        <w:rPr>
          <w:color w:val="231F20"/>
          <w:spacing w:val="-28"/>
          <w:w w:val="105"/>
        </w:rPr>
        <w:t> </w:t>
      </w:r>
      <w:r>
        <w:rPr>
          <w:color w:val="231F20"/>
          <w:w w:val="105"/>
        </w:rPr>
        <w:t>De</w:t>
      </w:r>
      <w:r>
        <w:rPr>
          <w:color w:val="231F20"/>
          <w:spacing w:val="-28"/>
          <w:w w:val="105"/>
        </w:rPr>
        <w:t> </w:t>
      </w:r>
      <w:r>
        <w:rPr>
          <w:color w:val="231F20"/>
          <w:w w:val="105"/>
        </w:rPr>
        <w:t>statuten</w:t>
      </w:r>
      <w:r>
        <w:rPr>
          <w:color w:val="231F20"/>
          <w:spacing w:val="-27"/>
          <w:w w:val="105"/>
        </w:rPr>
        <w:t> </w:t>
      </w:r>
      <w:r>
        <w:rPr>
          <w:color w:val="231F20"/>
          <w:w w:val="105"/>
        </w:rPr>
        <w:t>kunnen</w:t>
      </w:r>
      <w:r>
        <w:rPr>
          <w:color w:val="231F20"/>
          <w:spacing w:val="-28"/>
          <w:w w:val="105"/>
        </w:rPr>
        <w:t> </w:t>
      </w:r>
      <w:r>
        <w:rPr>
          <w:color w:val="231F20"/>
          <w:w w:val="105"/>
        </w:rPr>
        <w:t>aan</w:t>
      </w:r>
      <w:r>
        <w:rPr>
          <w:color w:val="231F20"/>
          <w:spacing w:val="-28"/>
          <w:w w:val="105"/>
        </w:rPr>
        <w:t> </w:t>
      </w:r>
      <w:r>
        <w:rPr>
          <w:color w:val="231F20"/>
          <w:w w:val="105"/>
        </w:rPr>
        <w:t>deze</w:t>
      </w:r>
      <w:r>
        <w:rPr>
          <w:color w:val="231F20"/>
          <w:spacing w:val="-27"/>
          <w:w w:val="105"/>
        </w:rPr>
        <w:t> </w:t>
      </w:r>
      <w:r>
        <w:rPr>
          <w:color w:val="231F20"/>
          <w:w w:val="105"/>
        </w:rPr>
        <w:t>vertegenwoor- digingsbevoegdheid beperkingen aanbrengen. Zodanige beperking kan niet aan derden worden tegengeworpen, ook al is ze openbaar gemaakt.</w:t>
      </w:r>
      <w:r>
        <w:rPr>
          <w:color w:val="231F20"/>
          <w:spacing w:val="-7"/>
          <w:w w:val="105"/>
        </w:rPr>
        <w:t> </w:t>
      </w:r>
      <w:r>
        <w:rPr>
          <w:color w:val="231F20"/>
          <w:w w:val="105"/>
        </w:rPr>
        <w:t>Hetzelfde</w:t>
      </w:r>
      <w:r>
        <w:rPr>
          <w:color w:val="231F20"/>
          <w:spacing w:val="-6"/>
          <w:w w:val="105"/>
        </w:rPr>
        <w:t> </w:t>
      </w:r>
      <w:r>
        <w:rPr>
          <w:color w:val="231F20"/>
          <w:w w:val="105"/>
        </w:rPr>
        <w:t>geldt</w:t>
      </w:r>
      <w:r>
        <w:rPr>
          <w:color w:val="231F20"/>
          <w:spacing w:val="-6"/>
          <w:w w:val="105"/>
        </w:rPr>
        <w:t> </w:t>
      </w:r>
      <w:r>
        <w:rPr>
          <w:color w:val="231F20"/>
          <w:w w:val="105"/>
        </w:rPr>
        <w:t>voor</w:t>
      </w:r>
      <w:r>
        <w:rPr>
          <w:color w:val="231F20"/>
          <w:spacing w:val="-6"/>
          <w:w w:val="105"/>
        </w:rPr>
        <w:t> </w:t>
      </w:r>
      <w:r>
        <w:rPr>
          <w:color w:val="231F20"/>
          <w:w w:val="105"/>
        </w:rPr>
        <w:t>een</w:t>
      </w:r>
      <w:r>
        <w:rPr>
          <w:color w:val="231F20"/>
          <w:spacing w:val="-7"/>
          <w:w w:val="105"/>
        </w:rPr>
        <w:t> </w:t>
      </w:r>
      <w:r>
        <w:rPr>
          <w:color w:val="231F20"/>
          <w:w w:val="105"/>
        </w:rPr>
        <w:t>onderlinge</w:t>
      </w:r>
      <w:r>
        <w:rPr>
          <w:color w:val="231F20"/>
          <w:spacing w:val="-6"/>
          <w:w w:val="105"/>
        </w:rPr>
        <w:t> </w:t>
      </w:r>
      <w:r>
        <w:rPr>
          <w:color w:val="231F20"/>
          <w:w w:val="105"/>
        </w:rPr>
        <w:t>taakverdeling</w:t>
      </w:r>
      <w:r>
        <w:rPr>
          <w:color w:val="231F20"/>
          <w:spacing w:val="-6"/>
          <w:w w:val="105"/>
        </w:rPr>
        <w:t> </w:t>
      </w:r>
      <w:r>
        <w:rPr>
          <w:color w:val="231F20"/>
          <w:w w:val="105"/>
        </w:rPr>
        <w:t>onder</w:t>
      </w:r>
      <w:r>
        <w:rPr>
          <w:color w:val="231F20"/>
          <w:spacing w:val="-6"/>
          <w:w w:val="105"/>
        </w:rPr>
        <w:t> </w:t>
      </w:r>
      <w:r>
        <w:rPr>
          <w:color w:val="231F20"/>
          <w:w w:val="105"/>
        </w:rPr>
        <w:t>de vertegenwoordigingsbevoegde leden van de</w:t>
      </w:r>
      <w:r>
        <w:rPr>
          <w:color w:val="231F20"/>
          <w:spacing w:val="30"/>
          <w:w w:val="105"/>
        </w:rPr>
        <w:t> </w:t>
      </w:r>
      <w:r>
        <w:rPr>
          <w:color w:val="231F20"/>
          <w:w w:val="105"/>
        </w:rPr>
        <w:t>directieraad.</w:t>
      </w:r>
    </w:p>
    <w:p>
      <w:pPr>
        <w:pStyle w:val="BodyText"/>
        <w:spacing w:line="218" w:lineRule="auto" w:before="129"/>
      </w:pPr>
      <w:r>
        <w:rPr>
          <w:color w:val="231F20"/>
        </w:rPr>
        <w:t>Art. 7:111. De directieraad verschaft de raad van toezicht op regelmatige tijdstippen de voor de uitoefening van zijn taak noodza- kelijke gegevens. De raad van toezicht kan aan de directieraad alle gegevens opvragen die hij nodig acht om zijn toezicht te kunnen uitoefenen.</w:t>
      </w:r>
    </w:p>
    <w:p>
      <w:pPr>
        <w:pStyle w:val="BodyText"/>
        <w:spacing w:line="218" w:lineRule="auto" w:before="139"/>
      </w:pPr>
      <w:r>
        <w:rPr>
          <w:color w:val="231F20"/>
        </w:rPr>
        <w:t>De directieraad brengt ten minste een keer per jaar aan de raad van toezicht schriftelijk verslag uit over de hoofdlijnen van het algemeen strategisch beleid, de algemene en de financiële risico’s en de beheers- en controlesystemen van de vennootschap. Daarnaast levert de direc- tieraad aan de raad van toezicht tijdig de nodige informatie aan over de gegevens die de raad van toezicht moet opnemen in het jaarverslag.</w:t>
      </w:r>
    </w:p>
    <w:p>
      <w:pPr>
        <w:pStyle w:val="BodyText"/>
        <w:spacing w:before="8"/>
        <w:ind w:left="0" w:right="0" w:firstLine="0"/>
        <w:jc w:val="left"/>
        <w:rPr>
          <w:sz w:val="27"/>
        </w:rPr>
      </w:pPr>
    </w:p>
    <w:p>
      <w:pPr>
        <w:pStyle w:val="BodyText"/>
        <w:spacing w:line="218" w:lineRule="auto"/>
      </w:pPr>
      <w:r>
        <w:rPr>
          <w:color w:val="231F20"/>
        </w:rPr>
        <w:t>Art. 7:112. De vennootschap is verbonden door de handelingen van de raad van toezicht, van de directieraad en van hun leden die overeenkomstig artikel 7:110, tweede lid, de bevoegdheid hebben om haar te </w:t>
      </w:r>
      <w:r>
        <w:rPr>
          <w:color w:val="231F20"/>
          <w:spacing w:val="-3"/>
        </w:rPr>
        <w:t>vertegenwoordigen, </w:t>
      </w:r>
      <w:r>
        <w:rPr>
          <w:color w:val="231F20"/>
        </w:rPr>
        <w:t>ieder voor de </w:t>
      </w:r>
      <w:r>
        <w:rPr>
          <w:color w:val="231F20"/>
          <w:spacing w:val="-3"/>
        </w:rPr>
        <w:t>vertegenwoordigingsbevoegd- </w:t>
      </w:r>
      <w:r>
        <w:rPr>
          <w:color w:val="231F20"/>
        </w:rPr>
        <w:t>heid die hem toekomt, zelfs indien die handelingen buiten haar voorwerp liggen, tenzij de vennootschap bewijst dat de derde daarvan op de hoogte was of </w:t>
      </w:r>
      <w:r>
        <w:rPr>
          <w:color w:val="231F20"/>
          <w:spacing w:val="-5"/>
        </w:rPr>
        <w:t>er, </w:t>
      </w:r>
      <w:r>
        <w:rPr>
          <w:color w:val="231F20"/>
        </w:rPr>
        <w:t>gezien de omstandigheden, niet onkundig van kon zijn; bekendmaking van de statuten alleen is echter geen vol- doende</w:t>
      </w:r>
      <w:r>
        <w:rPr>
          <w:color w:val="231F20"/>
          <w:spacing w:val="15"/>
        </w:rPr>
        <w:t> </w:t>
      </w:r>
      <w:r>
        <w:rPr>
          <w:color w:val="231F20"/>
        </w:rPr>
        <w:t>bewijs.</w:t>
      </w:r>
    </w:p>
    <w:p>
      <w:pPr>
        <w:pStyle w:val="BodyText"/>
        <w:spacing w:line="218" w:lineRule="auto" w:before="139"/>
      </w:pPr>
      <w:r>
        <w:rPr>
          <w:color w:val="231F20"/>
        </w:rPr>
        <w:t>Art. 7:113. De notulen van de vergaderingen van de raad van toezicht worden ondertekend door de voorzitter en de leden die erom verzoeken; kopieën voor derden worden ondertekend door zijn voorzitter, of bij gebrek daaraan, door het lid met de hoogste anciënniteit.</w:t>
      </w:r>
    </w:p>
    <w:p>
      <w:pPr>
        <w:pStyle w:val="BodyText"/>
        <w:spacing w:line="218" w:lineRule="auto" w:before="139"/>
        <w:ind w:right="123"/>
      </w:pPr>
      <w:r>
        <w:rPr>
          <w:color w:val="231F20"/>
        </w:rPr>
        <w:t>De besluiten van de raad van toezicht kunnen bij eenparig schriftelijk akkoord van alle leden worden genomen, met uitzondering van enig statutair uitgesloten besluit.</w:t>
      </w:r>
    </w:p>
    <w:p>
      <w:pPr>
        <w:pStyle w:val="BodyText"/>
        <w:spacing w:line="218" w:lineRule="auto" w:before="139"/>
      </w:pPr>
      <w:r>
        <w:rPr>
          <w:color w:val="231F20"/>
        </w:rPr>
        <w:t>Art. 7:114. De notulen van de vergaderingen van de directieraad worden ondertekend door al zijn aanwezige of vertegenwoordigde leden; kopieën voor derden worden ondertekend door één of meer leden met</w:t>
      </w:r>
      <w:r>
        <w:rPr>
          <w:color w:val="231F20"/>
          <w:spacing w:val="-7"/>
        </w:rPr>
        <w:t> </w:t>
      </w:r>
      <w:r>
        <w:rPr>
          <w:color w:val="231F20"/>
        </w:rPr>
        <w:t>vertegenwoordigingsbevoegdheid.</w:t>
      </w:r>
    </w:p>
    <w:p>
      <w:pPr>
        <w:pStyle w:val="BodyText"/>
        <w:spacing w:line="218" w:lineRule="auto" w:before="139"/>
      </w:pPr>
      <w:r>
        <w:rPr>
          <w:color w:val="231F20"/>
        </w:rPr>
        <w:t>De besluiten van de directieraad kunnen bij eenparig schriftelijk akkoord van alle leden worden genomen, met uitzondering van enig statutair uitgesloten besluit.</w:t>
      </w:r>
    </w:p>
    <w:p>
      <w:pPr>
        <w:spacing w:after="0" w:line="218" w:lineRule="auto"/>
        <w:sectPr>
          <w:headerReference w:type="even" r:id="rId77"/>
          <w:headerReference w:type="default" r:id="rId78"/>
          <w:pgSz w:w="11940" w:h="16880"/>
          <w:pgMar w:header="666" w:footer="0" w:top="1140" w:bottom="280" w:left="340" w:right="360"/>
          <w:pgNumType w:start="33412"/>
          <w:cols w:num="2" w:equalWidth="0">
            <w:col w:w="5527" w:space="101"/>
            <w:col w:w="5612"/>
          </w:cols>
        </w:sectPr>
      </w:pPr>
    </w:p>
    <w:p>
      <w:pPr>
        <w:pStyle w:val="BodyText"/>
        <w:spacing w:line="218" w:lineRule="auto" w:before="105"/>
        <w:ind w:right="0"/>
        <w:jc w:val="left"/>
      </w:pPr>
      <w:r>
        <w:rPr/>
        <w:pict>
          <v:line style="position:absolute;mso-position-horizontal-relative:page;mso-position-vertical-relative:page;z-index:5200" from="298.170502pt,64.473pt" to="298.170502pt,812.819pt" stroked="true" strokeweight=".533pt" strokecolor="#231f20">
            <v:stroke dashstyle="solid"/>
            <w10:wrap type="none"/>
          </v:line>
        </w:pict>
      </w:r>
      <w:bookmarkStart w:name="_bookmark174" w:id="179"/>
      <w:bookmarkEnd w:id="179"/>
      <w:r>
        <w:rPr/>
      </w:r>
      <w:r>
        <w:rPr>
          <w:color w:val="231F20"/>
        </w:rPr>
        <w:t>Art. 7:115. § 1</w:t>
      </w:r>
      <w:r>
        <w:rPr>
          <w:color w:val="231F20"/>
          <w:position w:val="7"/>
          <w:sz w:val="11"/>
        </w:rPr>
        <w:t>er</w:t>
      </w:r>
      <w:r>
        <w:rPr>
          <w:color w:val="231F20"/>
        </w:rPr>
        <w:t>. Lorsque le conseil de surveillance est appelé  à  prendre une décision ou se prononcer sur une opération relevant de ses pouvoirs à propos de laquelle un membre du conseil a un intérêt direct ou indirect de nature patrimoniale qui est opposé à l’intérêt de la  société, ce membre doit en informer les autres membres avant que le conseil de surveillance ne prenne une décision. Sa déclaration et ses explications sur la nature de cet intérêt opposé doivent figurer dans le procès-verbal de la réunion du conseil de surveillance qui doit prendre cette décision. Le conseil de surveillance ne peut pas déléguer cette décision.</w:t>
      </w:r>
    </w:p>
    <w:p>
      <w:pPr>
        <w:pStyle w:val="BodyText"/>
        <w:spacing w:line="216" w:lineRule="auto" w:before="119"/>
        <w:ind w:right="87"/>
      </w:pPr>
      <w:r>
        <w:rPr>
          <w:color w:val="231F20"/>
        </w:rPr>
        <w:t>Le conseil de surveillance décrit, dans le procès-verbal, la nature de la décision ou de l’opération visée à l’alinéa 1</w:t>
      </w:r>
      <w:r>
        <w:rPr>
          <w:color w:val="231F20"/>
          <w:position w:val="7"/>
          <w:sz w:val="11"/>
        </w:rPr>
        <w:t>er </w:t>
      </w:r>
      <w:r>
        <w:rPr>
          <w:color w:val="231F20"/>
        </w:rPr>
        <w:t>ainsi que les conséquences patrimoniales pour la société et justifie la décision qui a été prise. Cette partie du procès-verbal est reprise intégralement dans</w:t>
      </w:r>
      <w:r>
        <w:rPr>
          <w:color w:val="231F20"/>
          <w:spacing w:val="-23"/>
        </w:rPr>
        <w:t> </w:t>
      </w:r>
      <w:r>
        <w:rPr>
          <w:color w:val="231F20"/>
        </w:rPr>
        <w:t>le rapport de gestion ou dans une pièce qui est déposée en même temps que les comptes</w:t>
      </w:r>
      <w:r>
        <w:rPr>
          <w:color w:val="231F20"/>
          <w:spacing w:val="4"/>
        </w:rPr>
        <w:t> </w:t>
      </w:r>
      <w:r>
        <w:rPr>
          <w:color w:val="231F20"/>
        </w:rPr>
        <w:t>annuels.</w:t>
      </w:r>
    </w:p>
    <w:p>
      <w:pPr>
        <w:pStyle w:val="BodyText"/>
        <w:spacing w:line="216" w:lineRule="auto" w:before="115"/>
        <w:ind w:right="87"/>
      </w:pPr>
      <w:r>
        <w:rPr>
          <w:color w:val="231F20"/>
        </w:rPr>
        <w:t>Si la société a nommé un commissaire, le procès-verbal de la réunion lui est communiqué. Dans son rapport visé à l’article 3:74, le commissaire évalue dans une section séparée, les conséquences patri- moniales pour la société des décisions du conseil de surveillance, telles que décrites par celui-ci, pour lesquelles il existe un intérêt opposé tel que visé à l’alinéa 1</w:t>
      </w:r>
      <w:r>
        <w:rPr>
          <w:color w:val="231F20"/>
          <w:position w:val="7"/>
          <w:sz w:val="11"/>
        </w:rPr>
        <w:t>er</w:t>
      </w:r>
      <w:r>
        <w:rPr>
          <w:color w:val="231F20"/>
        </w:rPr>
        <w:t>.</w:t>
      </w:r>
    </w:p>
    <w:p>
      <w:pPr>
        <w:pStyle w:val="BodyText"/>
        <w:spacing w:line="218" w:lineRule="auto" w:before="97"/>
        <w:ind w:right="87"/>
      </w:pPr>
      <w:r>
        <w:rPr>
          <w:color w:val="231F20"/>
        </w:rPr>
        <w:t>Le membre ayant un conflit d’intérêts au sens de l’alinéa 1</w:t>
      </w:r>
      <w:r>
        <w:rPr>
          <w:color w:val="231F20"/>
          <w:position w:val="7"/>
          <w:sz w:val="11"/>
        </w:rPr>
        <w:t>er </w:t>
      </w:r>
      <w:r>
        <w:rPr>
          <w:color w:val="231F20"/>
        </w:rPr>
        <w:t>ne peut prendre part aux délibérations du conseil de surveillance concernant ces opérations ou ces décisions, ni prendre part au vote sur ce point. Lorsque tous les membres ont un conflit d’intérêts, la décision ou l’opération est soumise à l’assemblée générale; en cas d’approbation de la décision ou de l’opération par celle-ci, le conseil de surveillance peut l’exécuter.</w:t>
      </w:r>
    </w:p>
    <w:p>
      <w:pPr>
        <w:pStyle w:val="BodyText"/>
        <w:spacing w:line="218" w:lineRule="auto" w:before="118"/>
        <w:ind w:right="87"/>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du conseil de surveillance, la société peut demander la nullité des décisions prises ou des opérations accomplies en violation des règles prévues au présent article, si l’autre partie à ces décisions ou opérations</w:t>
      </w:r>
      <w:r>
        <w:rPr>
          <w:color w:val="231F20"/>
          <w:spacing w:val="17"/>
        </w:rPr>
        <w:t> </w:t>
      </w:r>
      <w:r>
        <w:rPr>
          <w:color w:val="231F20"/>
        </w:rPr>
        <w:t>avait</w:t>
      </w:r>
      <w:r>
        <w:rPr>
          <w:color w:val="231F20"/>
          <w:spacing w:val="17"/>
        </w:rPr>
        <w:t> </w:t>
      </w:r>
      <w:r>
        <w:rPr>
          <w:color w:val="231F20"/>
        </w:rPr>
        <w:t>ou</w:t>
      </w:r>
      <w:r>
        <w:rPr>
          <w:color w:val="231F20"/>
          <w:spacing w:val="17"/>
        </w:rPr>
        <w:t> </w:t>
      </w:r>
      <w:r>
        <w:rPr>
          <w:color w:val="231F20"/>
        </w:rPr>
        <w:t>devait</w:t>
      </w:r>
      <w:r>
        <w:rPr>
          <w:color w:val="231F20"/>
          <w:spacing w:val="17"/>
        </w:rPr>
        <w:t> </w:t>
      </w:r>
      <w:r>
        <w:rPr>
          <w:color w:val="231F20"/>
        </w:rPr>
        <w:t>avoir</w:t>
      </w:r>
      <w:r>
        <w:rPr>
          <w:color w:val="231F20"/>
          <w:spacing w:val="17"/>
        </w:rPr>
        <w:t> </w:t>
      </w:r>
      <w:r>
        <w:rPr>
          <w:color w:val="231F20"/>
        </w:rPr>
        <w:t>connaissance</w:t>
      </w:r>
      <w:r>
        <w:rPr>
          <w:color w:val="231F20"/>
          <w:spacing w:val="18"/>
        </w:rPr>
        <w:t> </w:t>
      </w:r>
      <w:r>
        <w:rPr>
          <w:color w:val="231F20"/>
        </w:rPr>
        <w:t>de</w:t>
      </w:r>
      <w:r>
        <w:rPr>
          <w:color w:val="231F20"/>
          <w:spacing w:val="17"/>
        </w:rPr>
        <w:t> </w:t>
      </w:r>
      <w:r>
        <w:rPr>
          <w:color w:val="231F20"/>
        </w:rPr>
        <w:t>cette</w:t>
      </w:r>
      <w:r>
        <w:rPr>
          <w:color w:val="231F20"/>
          <w:spacing w:val="17"/>
        </w:rPr>
        <w:t> </w:t>
      </w:r>
      <w:r>
        <w:rPr>
          <w:color w:val="231F20"/>
        </w:rPr>
        <w:t>violation.</w:t>
      </w:r>
    </w:p>
    <w:p>
      <w:pPr>
        <w:pStyle w:val="BodyText"/>
        <w:spacing w:before="6"/>
        <w:ind w:left="0" w:right="0" w:firstLine="0"/>
        <w:jc w:val="left"/>
        <w:rPr>
          <w:sz w:val="24"/>
        </w:rPr>
      </w:pPr>
    </w:p>
    <w:p>
      <w:pPr>
        <w:pStyle w:val="BodyText"/>
        <w:spacing w:line="218" w:lineRule="auto"/>
        <w:ind w:right="87"/>
      </w:pPr>
      <w:r>
        <w:rPr>
          <w:color w:val="231F20"/>
        </w:rPr>
        <w:t>§ 3. Le paragraphe 1</w:t>
      </w:r>
      <w:r>
        <w:rPr>
          <w:color w:val="231F20"/>
          <w:position w:val="7"/>
          <w:sz w:val="11"/>
        </w:rPr>
        <w:t>er </w:t>
      </w:r>
      <w:r>
        <w:rPr>
          <w:color w:val="231F20"/>
        </w:rPr>
        <w:t>n’est pas applicable lorsque les décisions ou les opérations relevant du conseil de surveillance concernent des décisions ou</w:t>
      </w:r>
      <w:r>
        <w:rPr>
          <w:color w:val="231F20"/>
          <w:spacing w:val="-4"/>
        </w:rPr>
        <w:t> </w:t>
      </w:r>
      <w:r>
        <w:rPr>
          <w:color w:val="231F20"/>
        </w:rPr>
        <w:t>des</w:t>
      </w:r>
      <w:r>
        <w:rPr>
          <w:color w:val="231F20"/>
          <w:spacing w:val="-3"/>
        </w:rPr>
        <w:t> </w:t>
      </w:r>
      <w:r>
        <w:rPr>
          <w:color w:val="231F20"/>
        </w:rPr>
        <w:t>opérations</w:t>
      </w:r>
      <w:r>
        <w:rPr>
          <w:color w:val="231F20"/>
          <w:spacing w:val="-4"/>
        </w:rPr>
        <w:t> </w:t>
      </w:r>
      <w:r>
        <w:rPr>
          <w:color w:val="231F20"/>
        </w:rPr>
        <w:t>conclues</w:t>
      </w:r>
      <w:r>
        <w:rPr>
          <w:color w:val="231F20"/>
          <w:spacing w:val="-3"/>
        </w:rPr>
        <w:t> </w:t>
      </w:r>
      <w:r>
        <w:rPr>
          <w:color w:val="231F20"/>
        </w:rPr>
        <w:t>entre</w:t>
      </w:r>
      <w:r>
        <w:rPr>
          <w:color w:val="231F20"/>
          <w:spacing w:val="-4"/>
        </w:rPr>
        <w:t> </w:t>
      </w:r>
      <w:r>
        <w:rPr>
          <w:color w:val="231F20"/>
        </w:rPr>
        <w:t>sociétés</w:t>
      </w:r>
      <w:r>
        <w:rPr>
          <w:color w:val="231F20"/>
          <w:spacing w:val="-3"/>
        </w:rPr>
        <w:t> </w:t>
      </w:r>
      <w:r>
        <w:rPr>
          <w:color w:val="231F20"/>
        </w:rPr>
        <w:t>dont</w:t>
      </w:r>
      <w:r>
        <w:rPr>
          <w:color w:val="231F20"/>
          <w:spacing w:val="-3"/>
        </w:rPr>
        <w:t> </w:t>
      </w:r>
      <w:r>
        <w:rPr>
          <w:color w:val="231F20"/>
        </w:rPr>
        <w:t>l’une</w:t>
      </w:r>
      <w:r>
        <w:rPr>
          <w:color w:val="231F20"/>
          <w:spacing w:val="-4"/>
        </w:rPr>
        <w:t> </w:t>
      </w:r>
      <w:r>
        <w:rPr>
          <w:color w:val="231F20"/>
        </w:rPr>
        <w:t>détient</w:t>
      </w:r>
      <w:r>
        <w:rPr>
          <w:color w:val="231F20"/>
          <w:spacing w:val="-3"/>
        </w:rPr>
        <w:t> </w:t>
      </w:r>
      <w:r>
        <w:rPr>
          <w:color w:val="231F20"/>
        </w:rPr>
        <w:t>directement ou indirectement 95 % au moins des voix attachées à l’ensemble des titres émis par l’autre ou entre sociétés dont 95 % au moins des voix attachées à l’ensemble des titres émis par chacune d’elles sont détenus par une autre</w:t>
      </w:r>
      <w:r>
        <w:rPr>
          <w:color w:val="231F20"/>
          <w:spacing w:val="3"/>
        </w:rPr>
        <w:t> </w:t>
      </w:r>
      <w:r>
        <w:rPr>
          <w:color w:val="231F20"/>
        </w:rPr>
        <w:t>société.</w:t>
      </w:r>
    </w:p>
    <w:p>
      <w:pPr>
        <w:pStyle w:val="BodyText"/>
        <w:ind w:left="0" w:right="0" w:firstLine="0"/>
        <w:jc w:val="left"/>
        <w:rPr>
          <w:sz w:val="20"/>
        </w:rPr>
      </w:pPr>
    </w:p>
    <w:p>
      <w:pPr>
        <w:pStyle w:val="BodyText"/>
        <w:ind w:left="0" w:right="0" w:firstLine="0"/>
        <w:jc w:val="left"/>
        <w:rPr>
          <w:sz w:val="20"/>
        </w:rPr>
      </w:pPr>
    </w:p>
    <w:p>
      <w:pPr>
        <w:pStyle w:val="BodyText"/>
        <w:spacing w:line="218" w:lineRule="auto"/>
        <w:ind w:right="87"/>
      </w:pPr>
      <w:r>
        <w:rPr>
          <w:color w:val="231F20"/>
          <w:w w:val="105"/>
        </w:rPr>
        <w:t>De même, le paragraphe 1</w:t>
      </w:r>
      <w:r>
        <w:rPr>
          <w:color w:val="231F20"/>
          <w:w w:val="105"/>
          <w:position w:val="7"/>
          <w:sz w:val="11"/>
        </w:rPr>
        <w:t>er </w:t>
      </w:r>
      <w:r>
        <w:rPr>
          <w:color w:val="231F20"/>
          <w:w w:val="105"/>
        </w:rPr>
        <w:t>n’est pas d’application lorsque les décisions du conseil de surveillance concernent des opérations habi- tuelles</w:t>
      </w:r>
      <w:r>
        <w:rPr>
          <w:color w:val="231F20"/>
          <w:spacing w:val="-12"/>
          <w:w w:val="105"/>
        </w:rPr>
        <w:t> </w:t>
      </w:r>
      <w:r>
        <w:rPr>
          <w:color w:val="231F20"/>
          <w:w w:val="105"/>
        </w:rPr>
        <w:t>conclues</w:t>
      </w:r>
      <w:r>
        <w:rPr>
          <w:color w:val="231F20"/>
          <w:spacing w:val="-11"/>
          <w:w w:val="105"/>
        </w:rPr>
        <w:t> </w:t>
      </w:r>
      <w:r>
        <w:rPr>
          <w:color w:val="231F20"/>
          <w:w w:val="105"/>
        </w:rPr>
        <w:t>dans</w:t>
      </w:r>
      <w:r>
        <w:rPr>
          <w:color w:val="231F20"/>
          <w:spacing w:val="-12"/>
          <w:w w:val="105"/>
        </w:rPr>
        <w:t> </w:t>
      </w:r>
      <w:r>
        <w:rPr>
          <w:color w:val="231F20"/>
          <w:w w:val="105"/>
        </w:rPr>
        <w:t>des</w:t>
      </w:r>
      <w:r>
        <w:rPr>
          <w:color w:val="231F20"/>
          <w:spacing w:val="-11"/>
          <w:w w:val="105"/>
        </w:rPr>
        <w:t> </w:t>
      </w:r>
      <w:r>
        <w:rPr>
          <w:color w:val="231F20"/>
          <w:w w:val="105"/>
        </w:rPr>
        <w:t>conditions</w:t>
      </w:r>
      <w:r>
        <w:rPr>
          <w:color w:val="231F20"/>
          <w:spacing w:val="-12"/>
          <w:w w:val="105"/>
        </w:rPr>
        <w:t> </w:t>
      </w:r>
      <w:r>
        <w:rPr>
          <w:color w:val="231F20"/>
          <w:w w:val="105"/>
        </w:rPr>
        <w:t>et</w:t>
      </w:r>
      <w:r>
        <w:rPr>
          <w:color w:val="231F20"/>
          <w:spacing w:val="-11"/>
          <w:w w:val="105"/>
        </w:rPr>
        <w:t> </w:t>
      </w:r>
      <w:r>
        <w:rPr>
          <w:color w:val="231F20"/>
          <w:w w:val="105"/>
        </w:rPr>
        <w:t>sous</w:t>
      </w:r>
      <w:r>
        <w:rPr>
          <w:color w:val="231F20"/>
          <w:spacing w:val="-12"/>
          <w:w w:val="105"/>
        </w:rPr>
        <w:t> </w:t>
      </w:r>
      <w:r>
        <w:rPr>
          <w:color w:val="231F20"/>
          <w:w w:val="105"/>
        </w:rPr>
        <w:t>les</w:t>
      </w:r>
      <w:r>
        <w:rPr>
          <w:color w:val="231F20"/>
          <w:spacing w:val="-11"/>
          <w:w w:val="105"/>
        </w:rPr>
        <w:t> </w:t>
      </w:r>
      <w:r>
        <w:rPr>
          <w:color w:val="231F20"/>
          <w:w w:val="105"/>
        </w:rPr>
        <w:t>garanties</w:t>
      </w:r>
      <w:r>
        <w:rPr>
          <w:color w:val="231F20"/>
          <w:spacing w:val="-11"/>
          <w:w w:val="105"/>
        </w:rPr>
        <w:t> </w:t>
      </w:r>
      <w:r>
        <w:rPr>
          <w:color w:val="231F20"/>
          <w:w w:val="105"/>
        </w:rPr>
        <w:t>normales</w:t>
      </w:r>
      <w:r>
        <w:rPr>
          <w:color w:val="231F20"/>
          <w:spacing w:val="-12"/>
          <w:w w:val="105"/>
        </w:rPr>
        <w:t> </w:t>
      </w:r>
      <w:r>
        <w:rPr>
          <w:color w:val="231F20"/>
          <w:w w:val="105"/>
        </w:rPr>
        <w:t>du marché pour des opérations de même</w:t>
      </w:r>
      <w:r>
        <w:rPr>
          <w:color w:val="231F20"/>
          <w:spacing w:val="10"/>
          <w:w w:val="105"/>
        </w:rPr>
        <w:t> </w:t>
      </w:r>
      <w:r>
        <w:rPr>
          <w:color w:val="231F20"/>
          <w:w w:val="105"/>
        </w:rPr>
        <w:t>nature.</w:t>
      </w:r>
    </w:p>
    <w:p>
      <w:pPr>
        <w:pStyle w:val="BodyText"/>
        <w:spacing w:before="6"/>
        <w:ind w:left="0" w:right="0" w:firstLine="0"/>
        <w:jc w:val="left"/>
        <w:rPr>
          <w:sz w:val="24"/>
        </w:rPr>
      </w:pPr>
    </w:p>
    <w:p>
      <w:pPr>
        <w:pStyle w:val="BodyText"/>
        <w:spacing w:line="218" w:lineRule="auto"/>
        <w:ind w:right="87"/>
      </w:pPr>
      <w:r>
        <w:rPr>
          <w:color w:val="231F20"/>
        </w:rPr>
        <w:t>Art. 7:116. § 1</w:t>
      </w:r>
      <w:r>
        <w:rPr>
          <w:color w:val="231F20"/>
          <w:position w:val="7"/>
          <w:sz w:val="11"/>
        </w:rPr>
        <w:t>er</w:t>
      </w:r>
      <w:r>
        <w:rPr>
          <w:color w:val="231F20"/>
        </w:rPr>
        <w:t>. Pour toute décision prise ou opération accomplie en exécution d’une décision qui relève du conseil de surveillance d’une société cotée, et qui concerne une personne physique ou morale qui est liée à cette société cotée mais qui n’en est pas une filiale, le conseil de surveillance applique la procédure établie par les paragraphes 3 et 4.</w:t>
      </w:r>
    </w:p>
    <w:p>
      <w:pPr>
        <w:pStyle w:val="BodyText"/>
        <w:ind w:left="0" w:right="0" w:firstLine="0"/>
        <w:jc w:val="left"/>
        <w:rPr>
          <w:sz w:val="20"/>
        </w:rPr>
      </w:pPr>
    </w:p>
    <w:p>
      <w:pPr>
        <w:pStyle w:val="BodyText"/>
        <w:spacing w:before="5"/>
        <w:ind w:left="0" w:right="0" w:firstLine="0"/>
        <w:jc w:val="left"/>
        <w:rPr>
          <w:sz w:val="21"/>
        </w:rPr>
      </w:pPr>
    </w:p>
    <w:p>
      <w:pPr>
        <w:pStyle w:val="BodyText"/>
        <w:spacing w:line="216" w:lineRule="auto"/>
        <w:ind w:right="87"/>
      </w:pPr>
      <w:r>
        <w:rPr>
          <w:color w:val="231F20"/>
        </w:rPr>
        <w:t>Sont toutefois également soumises à la procédure établie par les paragraphes 3 et 4 les décisions ou opérations visées à l’alinéa 1</w:t>
      </w:r>
      <w:r>
        <w:rPr>
          <w:color w:val="231F20"/>
          <w:position w:val="7"/>
          <w:sz w:val="11"/>
        </w:rPr>
        <w:t>er </w:t>
      </w:r>
      <w:r>
        <w:rPr>
          <w:color w:val="231F20"/>
        </w:rPr>
        <w:t>qui concernent une ou plusieurs filiales de la société cotée dans lesquelles la personne physique ou morale qui détient le contrôle ultime de la société cotée détient directement ou indirectement au travers de personnes physiques ou morales autres que la société cotée une participation représentant au moins 25 % du capital de la filiale concernée ou lui donnant droit, en cas de distribution de bénéfices par cette</w:t>
      </w:r>
      <w:r>
        <w:rPr>
          <w:color w:val="231F20"/>
          <w:spacing w:val="14"/>
        </w:rPr>
        <w:t> </w:t>
      </w:r>
      <w:r>
        <w:rPr>
          <w:color w:val="231F20"/>
        </w:rPr>
        <w:t>filiale,</w:t>
      </w:r>
      <w:r>
        <w:rPr>
          <w:color w:val="231F20"/>
          <w:spacing w:val="14"/>
        </w:rPr>
        <w:t> </w:t>
      </w:r>
      <w:r>
        <w:rPr>
          <w:color w:val="231F20"/>
        </w:rPr>
        <w:t>à</w:t>
      </w:r>
      <w:r>
        <w:rPr>
          <w:color w:val="231F20"/>
          <w:spacing w:val="15"/>
        </w:rPr>
        <w:t> </w:t>
      </w:r>
      <w:r>
        <w:rPr>
          <w:color w:val="231F20"/>
        </w:rPr>
        <w:t>au</w:t>
      </w:r>
      <w:r>
        <w:rPr>
          <w:color w:val="231F20"/>
          <w:spacing w:val="14"/>
        </w:rPr>
        <w:t> </w:t>
      </w:r>
      <w:r>
        <w:rPr>
          <w:color w:val="231F20"/>
        </w:rPr>
        <w:t>moins</w:t>
      </w:r>
      <w:r>
        <w:rPr>
          <w:color w:val="231F20"/>
          <w:spacing w:val="14"/>
        </w:rPr>
        <w:t> </w:t>
      </w:r>
      <w:r>
        <w:rPr>
          <w:color w:val="231F20"/>
        </w:rPr>
        <w:t>25</w:t>
      </w:r>
      <w:r>
        <w:rPr>
          <w:color w:val="231F20"/>
          <w:spacing w:val="15"/>
        </w:rPr>
        <w:t> </w:t>
      </w:r>
      <w:r>
        <w:rPr>
          <w:color w:val="231F20"/>
        </w:rPr>
        <w:t>%</w:t>
      </w:r>
      <w:r>
        <w:rPr>
          <w:color w:val="231F20"/>
          <w:spacing w:val="14"/>
        </w:rPr>
        <w:t> </w:t>
      </w:r>
      <w:r>
        <w:rPr>
          <w:color w:val="231F20"/>
        </w:rPr>
        <w:t>de</w:t>
      </w:r>
      <w:r>
        <w:rPr>
          <w:color w:val="231F20"/>
          <w:spacing w:val="14"/>
        </w:rPr>
        <w:t> </w:t>
      </w:r>
      <w:r>
        <w:rPr>
          <w:color w:val="231F20"/>
        </w:rPr>
        <w:t>ces</w:t>
      </w:r>
      <w:r>
        <w:rPr>
          <w:color w:val="231F20"/>
          <w:spacing w:val="15"/>
        </w:rPr>
        <w:t> </w:t>
      </w:r>
      <w:r>
        <w:rPr>
          <w:color w:val="231F20"/>
        </w:rPr>
        <w:t>bénéfices.</w:t>
      </w:r>
    </w:p>
    <w:p>
      <w:pPr>
        <w:pStyle w:val="BodyText"/>
        <w:spacing w:before="7"/>
        <w:ind w:left="0" w:right="0" w:firstLine="0"/>
        <w:jc w:val="left"/>
        <w:rPr>
          <w:sz w:val="24"/>
        </w:rPr>
      </w:pPr>
    </w:p>
    <w:p>
      <w:pPr>
        <w:pStyle w:val="BodyText"/>
        <w:spacing w:line="218" w:lineRule="auto"/>
        <w:ind w:right="87"/>
      </w:pPr>
      <w:r>
        <w:rPr>
          <w:color w:val="231F20"/>
        </w:rPr>
        <w:t>Les filiales belges non cotées de la société cotée visée à l’alinéa 1</w:t>
      </w:r>
      <w:r>
        <w:rPr>
          <w:color w:val="231F20"/>
          <w:position w:val="7"/>
          <w:sz w:val="11"/>
        </w:rPr>
        <w:t>er </w:t>
      </w:r>
      <w:r>
        <w:rPr>
          <w:color w:val="231F20"/>
        </w:rPr>
        <w:t>ne peuvent, sans l’accord préalable du conseil de surveillance de cette société cotée, prendre de décisions ou réaliser des opérations qui concernent leurs relations avec une société à laquelle elles sont liées et qui n’est ni ladite société cotée ni une de ses filiales non visées à  l’alinéa</w:t>
      </w:r>
      <w:r>
        <w:rPr>
          <w:color w:val="231F20"/>
          <w:spacing w:val="14"/>
        </w:rPr>
        <w:t> </w:t>
      </w:r>
      <w:r>
        <w:rPr>
          <w:color w:val="231F20"/>
        </w:rPr>
        <w:t>2.</w:t>
      </w:r>
    </w:p>
    <w:p>
      <w:pPr>
        <w:pStyle w:val="BodyText"/>
        <w:spacing w:before="7"/>
        <w:ind w:left="0" w:right="0" w:firstLine="0"/>
        <w:jc w:val="left"/>
        <w:rPr>
          <w:sz w:val="24"/>
        </w:rPr>
      </w:pPr>
    </w:p>
    <w:p>
      <w:pPr>
        <w:pStyle w:val="BodyText"/>
        <w:ind w:left="283" w:right="0" w:firstLine="0"/>
        <w:jc w:val="left"/>
      </w:pPr>
      <w:r>
        <w:rPr>
          <w:color w:val="231F20"/>
        </w:rPr>
        <w:t>Ce paragraphe n’est pas applicable:</w:t>
      </w:r>
    </w:p>
    <w:p>
      <w:pPr>
        <w:pStyle w:val="BodyText"/>
        <w:spacing w:line="218" w:lineRule="auto" w:before="114"/>
        <w:ind w:right="87"/>
      </w:pPr>
      <w:r>
        <w:rPr>
          <w:color w:val="231F20"/>
        </w:rPr>
        <w:t>1° aux décisions et aux opérations habituelles pour la société cotée ou ses filiales intervenant dans des conditions et sous les garanties normales du marché pour des opérations de même nature;</w:t>
      </w:r>
    </w:p>
    <w:p>
      <w:pPr>
        <w:pStyle w:val="BodyText"/>
        <w:spacing w:line="218" w:lineRule="auto" w:before="119"/>
        <w:ind w:right="123"/>
      </w:pPr>
      <w:r>
        <w:rPr/>
        <w:br w:type="column"/>
      </w:r>
      <w:r>
        <w:rPr>
          <w:color w:val="231F20"/>
        </w:rPr>
        <w:t>Art. 7:115. § 1. </w:t>
      </w:r>
      <w:r>
        <w:rPr>
          <w:color w:val="231F20"/>
          <w:spacing w:val="-3"/>
        </w:rPr>
        <w:t>Wanneer </w:t>
      </w:r>
      <w:r>
        <w:rPr>
          <w:color w:val="231F20"/>
        </w:rPr>
        <w:t>de raad van toezicht een beslissing moet nemen of zich over een verrichting moet uitspreken die onder zijn bevoegdheid vallen, waarbij een lid van de raad een rechtstreeks of onrechtstreeks belang van vermogensrechtelijke aard heeft dat strijdig is met het belang van de vennootschap, moet het betrokken lid</w:t>
      </w:r>
      <w:r>
        <w:rPr>
          <w:color w:val="231F20"/>
          <w:spacing w:val="22"/>
        </w:rPr>
        <w:t> </w:t>
      </w:r>
      <w:r>
        <w:rPr>
          <w:color w:val="231F20"/>
        </w:rPr>
        <w:t>dit meedelen aan de andere leden vóór de raad van toezicht een besluit neemt. Zijn verklaring en toelichting over de aard van dit strijdig belang worden opgenomen in de notulen van de vergadering van de raad van toezicht die de beslissing moet nemen. De raad van toezicht mag deze beslissing niet</w:t>
      </w:r>
      <w:r>
        <w:rPr>
          <w:color w:val="231F20"/>
          <w:spacing w:val="20"/>
        </w:rPr>
        <w:t> </w:t>
      </w:r>
      <w:r>
        <w:rPr>
          <w:color w:val="231F20"/>
        </w:rPr>
        <w:t>delegeren.</w:t>
      </w:r>
    </w:p>
    <w:p>
      <w:pPr>
        <w:pStyle w:val="BodyText"/>
        <w:spacing w:line="218" w:lineRule="auto" w:before="119"/>
      </w:pPr>
      <w:r>
        <w:rPr>
          <w:color w:val="231F20"/>
        </w:rPr>
        <w:t>De raad van toezicht omschrijft in de notulen de aard van de in het eerste lid bedoelde beslissing of verrichting en de vermogensrechtelijke gevolgen ervan voor de vennootschap en verantwoordt het genomen besluit. Dit deel van de notulen wordt in zijn geheel in het jaarverslag opgenomen of in een stuk dat samen met de jaarrekening wordt neergelegd.</w:t>
      </w:r>
    </w:p>
    <w:p>
      <w:pPr>
        <w:pStyle w:val="BodyText"/>
        <w:spacing w:line="218" w:lineRule="auto" w:before="117"/>
      </w:pPr>
      <w:r>
        <w:rPr>
          <w:color w:val="231F20"/>
        </w:rPr>
        <w:t>Ingeval de vennootschap een commissaris heeft benoemd, worden de notulen van de vergadering aan hem meegedeeld. In zijn in artikel 3:74 bedoelde verslag beoordeelt de commissaris, in een afzonderlijke sectie, de vermogensrechtelijke gevolgen voor de vennootschap van de besluiten van de raad van toezicht, zoals door hem omschreven, waarvoor een strijdig belang als bedoeld in het eerste lid bestaat.</w:t>
      </w:r>
    </w:p>
    <w:p>
      <w:pPr>
        <w:pStyle w:val="BodyText"/>
        <w:spacing w:line="218" w:lineRule="auto" w:before="118"/>
      </w:pPr>
      <w:r>
        <w:rPr>
          <w:color w:val="231F20"/>
        </w:rPr>
        <w:t>Het lid met een belangenconflict als bedoeld in het eerste lid mag</w:t>
      </w:r>
      <w:r>
        <w:rPr>
          <w:color w:val="231F20"/>
          <w:spacing w:val="-13"/>
        </w:rPr>
        <w:t> </w:t>
      </w:r>
      <w:r>
        <w:rPr>
          <w:color w:val="231F20"/>
        </w:rPr>
        <w:t>niet deelnemen aan de beraadslagingen van de raad van toezicht over deze beslissingen of verrichtingen, noch aan de stemming in dat verband. </w:t>
      </w:r>
      <w:r>
        <w:rPr>
          <w:color w:val="231F20"/>
          <w:spacing w:val="-3"/>
        </w:rPr>
        <w:t>Wanneer </w:t>
      </w:r>
      <w:r>
        <w:rPr>
          <w:color w:val="231F20"/>
        </w:rPr>
        <w:t>alle leden een belangenconflict hebben, dan wordt de beslissing of de verrichting aan de algemene vergadering voorgelegd; ingeval de algemene vergadering de beslissing of de</w:t>
      </w:r>
      <w:r>
        <w:rPr>
          <w:color w:val="231F20"/>
          <w:spacing w:val="27"/>
        </w:rPr>
        <w:t> </w:t>
      </w:r>
      <w:r>
        <w:rPr>
          <w:color w:val="231F20"/>
        </w:rPr>
        <w:t>verrichting goedkeurt,</w:t>
      </w:r>
      <w:r>
        <w:rPr>
          <w:color w:val="231F20"/>
          <w:spacing w:val="16"/>
        </w:rPr>
        <w:t> </w:t>
      </w:r>
      <w:r>
        <w:rPr>
          <w:color w:val="231F20"/>
        </w:rPr>
        <w:t>kan</w:t>
      </w:r>
      <w:r>
        <w:rPr>
          <w:color w:val="231F20"/>
          <w:spacing w:val="17"/>
        </w:rPr>
        <w:t> </w:t>
      </w:r>
      <w:r>
        <w:rPr>
          <w:color w:val="231F20"/>
        </w:rPr>
        <w:t>de</w:t>
      </w:r>
      <w:r>
        <w:rPr>
          <w:color w:val="231F20"/>
          <w:spacing w:val="16"/>
        </w:rPr>
        <w:t> </w:t>
      </w:r>
      <w:r>
        <w:rPr>
          <w:color w:val="231F20"/>
        </w:rPr>
        <w:t>raad</w:t>
      </w:r>
      <w:r>
        <w:rPr>
          <w:color w:val="231F20"/>
          <w:spacing w:val="17"/>
        </w:rPr>
        <w:t> </w:t>
      </w:r>
      <w:r>
        <w:rPr>
          <w:color w:val="231F20"/>
        </w:rPr>
        <w:t>van</w:t>
      </w:r>
      <w:r>
        <w:rPr>
          <w:color w:val="231F20"/>
          <w:spacing w:val="16"/>
        </w:rPr>
        <w:t> </w:t>
      </w:r>
      <w:r>
        <w:rPr>
          <w:color w:val="231F20"/>
        </w:rPr>
        <w:t>toezicht</w:t>
      </w:r>
      <w:r>
        <w:rPr>
          <w:color w:val="231F20"/>
          <w:spacing w:val="17"/>
        </w:rPr>
        <w:t> </w:t>
      </w:r>
      <w:r>
        <w:rPr>
          <w:color w:val="231F20"/>
        </w:rPr>
        <w:t>ze</w:t>
      </w:r>
      <w:r>
        <w:rPr>
          <w:color w:val="231F20"/>
          <w:spacing w:val="16"/>
        </w:rPr>
        <w:t> </w:t>
      </w:r>
      <w:r>
        <w:rPr>
          <w:color w:val="231F20"/>
        </w:rPr>
        <w:t>uitvoeren.</w:t>
      </w:r>
    </w:p>
    <w:p>
      <w:pPr>
        <w:pStyle w:val="BodyText"/>
        <w:spacing w:line="218" w:lineRule="auto" w:before="118"/>
      </w:pPr>
      <w:r>
        <w:rPr>
          <w:color w:val="231F20"/>
        </w:rPr>
        <w:t>§ 2.  Onverminderd  het  recht  voor  de  in  de  artikelen  2:44  en  2:46 genoemde personen om de nietigheid of opschorting van het besluit van de raad van toezicht te vorderen, kan de vennootschap de nietigheid vorderen van besluiten of verrichtingen die hebben plaats- gevonden met overtreding van de in dit artikel bepaalde regels, indien de wederpartij bij die beslissingen of verrichtingen van die overtreding op</w:t>
      </w:r>
      <w:r>
        <w:rPr>
          <w:color w:val="231F20"/>
          <w:spacing w:val="15"/>
        </w:rPr>
        <w:t> </w:t>
      </w:r>
      <w:r>
        <w:rPr>
          <w:color w:val="231F20"/>
        </w:rPr>
        <w:t>de</w:t>
      </w:r>
      <w:r>
        <w:rPr>
          <w:color w:val="231F20"/>
          <w:spacing w:val="16"/>
        </w:rPr>
        <w:t> </w:t>
      </w:r>
      <w:r>
        <w:rPr>
          <w:color w:val="231F20"/>
        </w:rPr>
        <w:t>hoogte</w:t>
      </w:r>
      <w:r>
        <w:rPr>
          <w:color w:val="231F20"/>
          <w:spacing w:val="16"/>
        </w:rPr>
        <w:t> </w:t>
      </w:r>
      <w:r>
        <w:rPr>
          <w:color w:val="231F20"/>
        </w:rPr>
        <w:t>was</w:t>
      </w:r>
      <w:r>
        <w:rPr>
          <w:color w:val="231F20"/>
          <w:spacing w:val="15"/>
        </w:rPr>
        <w:t> </w:t>
      </w:r>
      <w:r>
        <w:rPr>
          <w:color w:val="231F20"/>
        </w:rPr>
        <w:t>of</w:t>
      </w:r>
      <w:r>
        <w:rPr>
          <w:color w:val="231F20"/>
          <w:spacing w:val="16"/>
        </w:rPr>
        <w:t> </w:t>
      </w:r>
      <w:r>
        <w:rPr>
          <w:color w:val="231F20"/>
        </w:rPr>
        <w:t>had</w:t>
      </w:r>
      <w:r>
        <w:rPr>
          <w:color w:val="231F20"/>
          <w:spacing w:val="16"/>
        </w:rPr>
        <w:t> </w:t>
      </w:r>
      <w:r>
        <w:rPr>
          <w:color w:val="231F20"/>
        </w:rPr>
        <w:t>moeten</w:t>
      </w:r>
      <w:r>
        <w:rPr>
          <w:color w:val="231F20"/>
          <w:spacing w:val="16"/>
        </w:rPr>
        <w:t> </w:t>
      </w:r>
      <w:r>
        <w:rPr>
          <w:color w:val="231F20"/>
        </w:rPr>
        <w:t>zijn.</w:t>
      </w:r>
    </w:p>
    <w:p>
      <w:pPr>
        <w:pStyle w:val="BodyText"/>
        <w:spacing w:line="218" w:lineRule="auto" w:before="118"/>
      </w:pPr>
      <w:r>
        <w:rPr>
          <w:color w:val="231F20"/>
        </w:rPr>
        <w:t>§ 3. Paragraaf 1 is niet van toepassing wanneer de beslissingen of verrichtingen die tot de bevoegdheid behoren van de raad van toezicht, betrekking hebben op beslissingen of verrichtingen die tot stand zijn gekomen tussen vennootschappen waarvan de ene rechtstreeks of onrechtstreeks ten minste 95 % bezit van de stemmen verbonden aan het geheel van de door de andere uitgegeven effecten, dan wel tussen vennootschappen waarvan ten minste 95 % van de stemmen verbonden aan het geheel van de door elk van hen uitgegeven effecten in het bezit zijn van een andere vennootschap.</w:t>
      </w:r>
    </w:p>
    <w:p>
      <w:pPr>
        <w:pStyle w:val="BodyText"/>
        <w:spacing w:line="218" w:lineRule="auto" w:before="118"/>
      </w:pPr>
      <w:r>
        <w:rPr>
          <w:color w:val="231F20"/>
        </w:rPr>
        <w:t>Bovendien is paragraaf 1 niet van toepassing wanneer de beslissin- gen van de raad van toezicht betrekking hebben op gebruikelijke verrichtingen die plaatshebben onder de voorwaarden en tegen de zekerheden die op de markt gewoonlijk gelden voor soortgelijke verrichtingen.</w:t>
      </w:r>
    </w:p>
    <w:p>
      <w:pPr>
        <w:pStyle w:val="BodyText"/>
        <w:spacing w:line="218" w:lineRule="auto" w:before="118"/>
      </w:pPr>
      <w:r>
        <w:rPr>
          <w:color w:val="231F20"/>
        </w:rPr>
        <w:t>Art. 7:116. § 1. Voor elke beslissing of voor elke verrichting ter uitvoering van een beslissing die tot de bevoegdheid behoort van de raad van toezicht van een genoteerde vennootschap, en die verband houdt met een natuurlijke of rechtspersoon die met die genoteerde vennootschap is verbonden maar die er geen dochtervennootschap van is, past de raad van toezicht de procedure toe die is vastgelegd in de paragrafen 3 en 4.</w:t>
      </w:r>
    </w:p>
    <w:p>
      <w:pPr>
        <w:pStyle w:val="BodyText"/>
        <w:spacing w:line="218" w:lineRule="auto" w:before="117"/>
      </w:pPr>
      <w:r>
        <w:rPr>
          <w:color w:val="231F20"/>
          <w:spacing w:val="-3"/>
        </w:rPr>
        <w:t>Vallen </w:t>
      </w:r>
      <w:r>
        <w:rPr>
          <w:color w:val="231F20"/>
        </w:rPr>
        <w:t>evenwel ook onder de procedure die is vastgelegd in de paragrafen 3 en 4, de beslissingen of verrichtingen bedoeld in het eerste lid die verband houden met een of meer dochtervennootschappen van de genoteerde vennootschap waarin de natuurlijke of rechtspersoon die de ultieme controle over de genoteerde vennootschap heeft, recht- streeks of onrechtstreeks via andere natuurlijke of rechtspersonen dan de genoteerde vennootschap, een deelneming aanhoudt die minstens 25 % van het kapitaal van de betrokken dochtervennootschap verte- genwoordigt of ingeval van winstuitkering door die dochtervennoot- schap</w:t>
      </w:r>
      <w:r>
        <w:rPr>
          <w:color w:val="231F20"/>
          <w:spacing w:val="14"/>
        </w:rPr>
        <w:t> </w:t>
      </w:r>
      <w:r>
        <w:rPr>
          <w:color w:val="231F20"/>
        </w:rPr>
        <w:t>recht</w:t>
      </w:r>
      <w:r>
        <w:rPr>
          <w:color w:val="231F20"/>
          <w:spacing w:val="15"/>
        </w:rPr>
        <w:t> </w:t>
      </w:r>
      <w:r>
        <w:rPr>
          <w:color w:val="231F20"/>
        </w:rPr>
        <w:t>geeft</w:t>
      </w:r>
      <w:r>
        <w:rPr>
          <w:color w:val="231F20"/>
          <w:spacing w:val="15"/>
        </w:rPr>
        <w:t> </w:t>
      </w:r>
      <w:r>
        <w:rPr>
          <w:color w:val="231F20"/>
        </w:rPr>
        <w:t>op</w:t>
      </w:r>
      <w:r>
        <w:rPr>
          <w:color w:val="231F20"/>
          <w:spacing w:val="15"/>
        </w:rPr>
        <w:t> </w:t>
      </w:r>
      <w:r>
        <w:rPr>
          <w:color w:val="231F20"/>
        </w:rPr>
        <w:t>minstens</w:t>
      </w:r>
      <w:r>
        <w:rPr>
          <w:color w:val="231F20"/>
          <w:spacing w:val="15"/>
        </w:rPr>
        <w:t> </w:t>
      </w:r>
      <w:r>
        <w:rPr>
          <w:color w:val="231F20"/>
        </w:rPr>
        <w:t>25</w:t>
      </w:r>
      <w:r>
        <w:rPr>
          <w:color w:val="231F20"/>
          <w:spacing w:val="15"/>
        </w:rPr>
        <w:t> </w:t>
      </w:r>
      <w:r>
        <w:rPr>
          <w:color w:val="231F20"/>
        </w:rPr>
        <w:t>%</w:t>
      </w:r>
      <w:r>
        <w:rPr>
          <w:color w:val="231F20"/>
          <w:spacing w:val="15"/>
        </w:rPr>
        <w:t> </w:t>
      </w:r>
      <w:r>
        <w:rPr>
          <w:color w:val="231F20"/>
        </w:rPr>
        <w:t>daarvan.</w:t>
      </w:r>
    </w:p>
    <w:p>
      <w:pPr>
        <w:pStyle w:val="BodyText"/>
        <w:spacing w:line="218" w:lineRule="auto" w:before="119"/>
        <w:ind w:right="123"/>
      </w:pPr>
      <w:r>
        <w:rPr>
          <w:color w:val="231F20"/>
        </w:rPr>
        <w:t>De niet genoteerde Belgische dochtervennootschappen van de geno- teerde vennootschap bedoeld in het eerste lid kunnen zonder vooraf- gaand akkoord van de raad van toezicht van deze genoteerde vennootschap geen beslissingen nemen of verrichtingen uitvoeren die verband houden met hun betrekkingen met de vennootschap waarmee zij zijn verbonden en die noch de genoteerde vennootschap is, noch een dochtervennootschap ervan die niet is bedoeld in het tweede lid.</w:t>
      </w:r>
    </w:p>
    <w:p>
      <w:pPr>
        <w:pStyle w:val="BodyText"/>
        <w:spacing w:before="103"/>
        <w:ind w:left="283" w:right="0" w:firstLine="0"/>
        <w:jc w:val="left"/>
      </w:pPr>
      <w:r>
        <w:rPr>
          <w:color w:val="231F20"/>
        </w:rPr>
        <w:t>Deze paragraaf vindt geen toepassing op:</w:t>
      </w:r>
    </w:p>
    <w:p>
      <w:pPr>
        <w:pStyle w:val="BodyText"/>
        <w:spacing w:line="218" w:lineRule="auto" w:before="114"/>
      </w:pPr>
      <w:r>
        <w:rPr>
          <w:color w:val="231F20"/>
        </w:rPr>
        <w:t>1° beslissingen en verrichtingen die voor de genoteerde vennoot- schap of voor haar dochtervennootschappen gebruikelijk zijn, onder de voorwaarden en tegen de zekerheden die op de markt gebruikelijk zijn;</w:t>
      </w:r>
    </w:p>
    <w:p>
      <w:pPr>
        <w:spacing w:after="0" w:line="218" w:lineRule="auto"/>
        <w:sectPr>
          <w:pgSz w:w="11940" w:h="16880"/>
          <w:pgMar w:header="666" w:footer="0" w:top="1140" w:bottom="280" w:left="340" w:right="360"/>
          <w:cols w:num="2" w:equalWidth="0">
            <w:col w:w="5576" w:space="51"/>
            <w:col w:w="5613"/>
          </w:cols>
        </w:sectPr>
      </w:pPr>
    </w:p>
    <w:p>
      <w:pPr>
        <w:pStyle w:val="BodyText"/>
        <w:spacing w:line="218" w:lineRule="auto" w:before="120"/>
        <w:ind w:right="38"/>
      </w:pPr>
      <w:r>
        <w:rPr/>
        <w:pict>
          <v:line style="position:absolute;mso-position-horizontal-relative:page;mso-position-vertical-relative:page;z-index:5224" from="298.170502pt,64.473pt" to="298.170502pt,812.819pt" stroked="true" strokeweight=".533pt" strokecolor="#231f20">
            <v:stroke dashstyle="solid"/>
            <w10:wrap type="none"/>
          </v:line>
        </w:pict>
      </w:r>
      <w:bookmarkStart w:name="_bookmark175" w:id="180"/>
      <w:bookmarkEnd w:id="180"/>
      <w:r>
        <w:rPr/>
      </w:r>
      <w:r>
        <w:rPr>
          <w:color w:val="231F20"/>
        </w:rPr>
        <w:t>2° aux décisions et aux opérations représentant moins d’un pour cent de l’actif net de la société cotée, tel qu’il résulte des comptes consolidés.</w:t>
      </w:r>
    </w:p>
    <w:p>
      <w:pPr>
        <w:pStyle w:val="BodyText"/>
        <w:spacing w:before="10"/>
        <w:ind w:left="0" w:right="0" w:firstLine="0"/>
        <w:jc w:val="left"/>
        <w:rPr>
          <w:sz w:val="23"/>
        </w:rPr>
      </w:pPr>
    </w:p>
    <w:p>
      <w:pPr>
        <w:pStyle w:val="BodyText"/>
        <w:spacing w:line="218" w:lineRule="auto"/>
        <w:ind w:right="38"/>
      </w:pPr>
      <w:r>
        <w:rPr>
          <w:color w:val="231F20"/>
        </w:rPr>
        <w:t>§ 2. Est également soumise à la procédure établie par les paragraphes 3 et 4, toute décision du conseil de surveillance d’une société cotée de soumettre à l’assemblée générale pour approbation:</w:t>
      </w:r>
    </w:p>
    <w:p>
      <w:pPr>
        <w:pStyle w:val="BodyText"/>
        <w:ind w:left="0" w:right="0" w:firstLine="0"/>
        <w:jc w:val="left"/>
        <w:rPr>
          <w:sz w:val="24"/>
        </w:rPr>
      </w:pPr>
    </w:p>
    <w:p>
      <w:pPr>
        <w:pStyle w:val="BodyText"/>
        <w:spacing w:line="218" w:lineRule="auto"/>
        <w:ind w:right="38"/>
      </w:pPr>
      <w:r>
        <w:rPr>
          <w:color w:val="231F20"/>
          <w:w w:val="105"/>
        </w:rPr>
        <w:t>1° une proposition d’apport en nature, y compris un apport d’universalité</w:t>
      </w:r>
      <w:r>
        <w:rPr>
          <w:color w:val="231F20"/>
          <w:spacing w:val="-10"/>
          <w:w w:val="105"/>
        </w:rPr>
        <w:t> </w:t>
      </w:r>
      <w:r>
        <w:rPr>
          <w:color w:val="231F20"/>
          <w:w w:val="105"/>
        </w:rPr>
        <w:t>ou</w:t>
      </w:r>
      <w:r>
        <w:rPr>
          <w:color w:val="231F20"/>
          <w:spacing w:val="-9"/>
          <w:w w:val="105"/>
        </w:rPr>
        <w:t> </w:t>
      </w:r>
      <w:r>
        <w:rPr>
          <w:color w:val="231F20"/>
          <w:w w:val="105"/>
        </w:rPr>
        <w:t>de</w:t>
      </w:r>
      <w:r>
        <w:rPr>
          <w:color w:val="231F20"/>
          <w:spacing w:val="-9"/>
          <w:w w:val="105"/>
        </w:rPr>
        <w:t> </w:t>
      </w:r>
      <w:r>
        <w:rPr>
          <w:color w:val="231F20"/>
          <w:w w:val="105"/>
        </w:rPr>
        <w:t>branche</w:t>
      </w:r>
      <w:r>
        <w:rPr>
          <w:color w:val="231F20"/>
          <w:spacing w:val="-9"/>
          <w:w w:val="105"/>
        </w:rPr>
        <w:t> </w:t>
      </w:r>
      <w:r>
        <w:rPr>
          <w:color w:val="231F20"/>
          <w:w w:val="105"/>
        </w:rPr>
        <w:t>d’activité,</w:t>
      </w:r>
      <w:r>
        <w:rPr>
          <w:color w:val="231F20"/>
          <w:spacing w:val="-9"/>
          <w:w w:val="105"/>
        </w:rPr>
        <w:t> </w:t>
      </w:r>
      <w:r>
        <w:rPr>
          <w:color w:val="231F20"/>
          <w:w w:val="105"/>
        </w:rPr>
        <w:t>par</w:t>
      </w:r>
      <w:r>
        <w:rPr>
          <w:color w:val="231F20"/>
          <w:spacing w:val="-9"/>
          <w:w w:val="105"/>
        </w:rPr>
        <w:t> </w:t>
      </w:r>
      <w:r>
        <w:rPr>
          <w:color w:val="231F20"/>
          <w:w w:val="105"/>
        </w:rPr>
        <w:t>une</w:t>
      </w:r>
      <w:r>
        <w:rPr>
          <w:color w:val="231F20"/>
          <w:spacing w:val="-9"/>
          <w:w w:val="105"/>
        </w:rPr>
        <w:t> </w:t>
      </w:r>
      <w:r>
        <w:rPr>
          <w:color w:val="231F20"/>
          <w:w w:val="105"/>
        </w:rPr>
        <w:t>personne</w:t>
      </w:r>
      <w:r>
        <w:rPr>
          <w:color w:val="231F20"/>
          <w:spacing w:val="-9"/>
          <w:w w:val="105"/>
        </w:rPr>
        <w:t> </w:t>
      </w:r>
      <w:r>
        <w:rPr>
          <w:color w:val="231F20"/>
          <w:w w:val="105"/>
        </w:rPr>
        <w:t>physique</w:t>
      </w:r>
      <w:r>
        <w:rPr>
          <w:color w:val="231F20"/>
          <w:spacing w:val="-9"/>
          <w:w w:val="105"/>
        </w:rPr>
        <w:t> </w:t>
      </w:r>
      <w:r>
        <w:rPr>
          <w:color w:val="231F20"/>
          <w:w w:val="105"/>
        </w:rPr>
        <w:t>ou une personne morale liée à cette société</w:t>
      </w:r>
      <w:r>
        <w:rPr>
          <w:color w:val="231F20"/>
          <w:spacing w:val="14"/>
          <w:w w:val="105"/>
        </w:rPr>
        <w:t> </w:t>
      </w:r>
      <w:r>
        <w:rPr>
          <w:color w:val="231F20"/>
          <w:w w:val="105"/>
        </w:rPr>
        <w:t>cotée;</w:t>
      </w:r>
    </w:p>
    <w:p>
      <w:pPr>
        <w:pStyle w:val="BodyText"/>
        <w:spacing w:line="218" w:lineRule="auto" w:before="107"/>
        <w:ind w:right="38"/>
      </w:pPr>
      <w:r>
        <w:rPr>
          <w:color w:val="231F20"/>
        </w:rPr>
        <w:t>2° un projet de fusion, de scission, d’opération assimilée au sens de l’article 12:7 avec, ou l’apport d’une universalité à, une société liée à cette société cotée.</w:t>
      </w:r>
    </w:p>
    <w:p>
      <w:pPr>
        <w:pStyle w:val="BodyText"/>
        <w:spacing w:line="218" w:lineRule="auto" w:before="92"/>
        <w:ind w:right="38"/>
      </w:pPr>
      <w:r>
        <w:rPr>
          <w:color w:val="231F20"/>
        </w:rPr>
        <w:t>L’alinéa 1</w:t>
      </w:r>
      <w:r>
        <w:rPr>
          <w:color w:val="231F20"/>
          <w:position w:val="7"/>
          <w:sz w:val="11"/>
        </w:rPr>
        <w:t>er </w:t>
      </w:r>
      <w:r>
        <w:rPr>
          <w:color w:val="231F20"/>
        </w:rPr>
        <w:t>n’est pas applicable lorsque la société liée à la société cotée est une filiale de celle-ci à moins qu’il ne s’agisse d’une filiale dans laquelle la personne physique ou morale qui détient le contrôle ultime de la société cotée détient directement ou indirectement, au travers d’autres personnes physiques ou morales que la société cotée, une participation représentant au moins 25 % du capital de la filiale concernée ou lui donnant droit, en cas de distribution de bénéfices par cette</w:t>
      </w:r>
      <w:r>
        <w:rPr>
          <w:color w:val="231F20"/>
          <w:spacing w:val="14"/>
        </w:rPr>
        <w:t> </w:t>
      </w:r>
      <w:r>
        <w:rPr>
          <w:color w:val="231F20"/>
        </w:rPr>
        <w:t>filiale,</w:t>
      </w:r>
      <w:r>
        <w:rPr>
          <w:color w:val="231F20"/>
          <w:spacing w:val="14"/>
        </w:rPr>
        <w:t> </w:t>
      </w:r>
      <w:r>
        <w:rPr>
          <w:color w:val="231F20"/>
        </w:rPr>
        <w:t>à</w:t>
      </w:r>
      <w:r>
        <w:rPr>
          <w:color w:val="231F20"/>
          <w:spacing w:val="15"/>
        </w:rPr>
        <w:t> </w:t>
      </w:r>
      <w:r>
        <w:rPr>
          <w:color w:val="231F20"/>
        </w:rPr>
        <w:t>au</w:t>
      </w:r>
      <w:r>
        <w:rPr>
          <w:color w:val="231F20"/>
          <w:spacing w:val="14"/>
        </w:rPr>
        <w:t> </w:t>
      </w:r>
      <w:r>
        <w:rPr>
          <w:color w:val="231F20"/>
        </w:rPr>
        <w:t>moins</w:t>
      </w:r>
      <w:r>
        <w:rPr>
          <w:color w:val="231F20"/>
          <w:spacing w:val="14"/>
        </w:rPr>
        <w:t> </w:t>
      </w:r>
      <w:r>
        <w:rPr>
          <w:color w:val="231F20"/>
        </w:rPr>
        <w:t>25</w:t>
      </w:r>
      <w:r>
        <w:rPr>
          <w:color w:val="231F20"/>
          <w:spacing w:val="15"/>
        </w:rPr>
        <w:t> </w:t>
      </w:r>
      <w:r>
        <w:rPr>
          <w:color w:val="231F20"/>
        </w:rPr>
        <w:t>%</w:t>
      </w:r>
      <w:r>
        <w:rPr>
          <w:color w:val="231F20"/>
          <w:spacing w:val="14"/>
        </w:rPr>
        <w:t> </w:t>
      </w:r>
      <w:r>
        <w:rPr>
          <w:color w:val="231F20"/>
        </w:rPr>
        <w:t>de</w:t>
      </w:r>
      <w:r>
        <w:rPr>
          <w:color w:val="231F20"/>
          <w:spacing w:val="14"/>
        </w:rPr>
        <w:t> </w:t>
      </w:r>
      <w:r>
        <w:rPr>
          <w:color w:val="231F20"/>
        </w:rPr>
        <w:t>ces</w:t>
      </w:r>
      <w:r>
        <w:rPr>
          <w:color w:val="231F20"/>
          <w:spacing w:val="15"/>
        </w:rPr>
        <w:t> </w:t>
      </w:r>
      <w:r>
        <w:rPr>
          <w:color w:val="231F20"/>
        </w:rPr>
        <w:t>bénéfices.</w:t>
      </w:r>
    </w:p>
    <w:p>
      <w:pPr>
        <w:pStyle w:val="BodyText"/>
        <w:ind w:left="0" w:right="0" w:firstLine="0"/>
        <w:jc w:val="left"/>
        <w:rPr>
          <w:sz w:val="20"/>
        </w:rPr>
      </w:pPr>
    </w:p>
    <w:p>
      <w:pPr>
        <w:pStyle w:val="BodyText"/>
        <w:ind w:left="0" w:right="0" w:firstLine="0"/>
        <w:jc w:val="left"/>
        <w:rPr>
          <w:sz w:val="19"/>
        </w:rPr>
      </w:pPr>
    </w:p>
    <w:p>
      <w:pPr>
        <w:pStyle w:val="BodyText"/>
        <w:spacing w:line="218" w:lineRule="auto"/>
        <w:ind w:right="38"/>
      </w:pPr>
      <w:r>
        <w:rPr>
          <w:color w:val="231F20"/>
        </w:rPr>
        <w:t>§ 3. </w:t>
      </w:r>
      <w:r>
        <w:rPr>
          <w:color w:val="231F20"/>
          <w:spacing w:val="-3"/>
        </w:rPr>
        <w:t>Toutes  </w:t>
      </w:r>
      <w:r>
        <w:rPr>
          <w:color w:val="231F20"/>
        </w:rPr>
        <w:t>les décisions ou opérations visées aux paragraphes 1</w:t>
      </w:r>
      <w:r>
        <w:rPr>
          <w:color w:val="231F20"/>
          <w:position w:val="7"/>
          <w:sz w:val="11"/>
        </w:rPr>
        <w:t>er        </w:t>
      </w:r>
      <w:r>
        <w:rPr>
          <w:color w:val="231F20"/>
        </w:rPr>
        <w:t>et 2, doivent être préalablement soumises à l’appréciation d’un comité composé de trois membres indépendants du conseil de surveillance, qui se fait assister d’un ou de plusieurs experts indépendants de son choix. L’expert</w:t>
      </w:r>
      <w:r>
        <w:rPr>
          <w:color w:val="231F20"/>
          <w:spacing w:val="14"/>
        </w:rPr>
        <w:t> </w:t>
      </w:r>
      <w:r>
        <w:rPr>
          <w:color w:val="231F20"/>
        </w:rPr>
        <w:t>est</w:t>
      </w:r>
      <w:r>
        <w:rPr>
          <w:color w:val="231F20"/>
          <w:spacing w:val="15"/>
        </w:rPr>
        <w:t> </w:t>
      </w:r>
      <w:r>
        <w:rPr>
          <w:color w:val="231F20"/>
        </w:rPr>
        <w:t>rémunéré</w:t>
      </w:r>
      <w:r>
        <w:rPr>
          <w:color w:val="231F20"/>
          <w:spacing w:val="15"/>
        </w:rPr>
        <w:t> </w:t>
      </w:r>
      <w:r>
        <w:rPr>
          <w:color w:val="231F20"/>
        </w:rPr>
        <w:t>par</w:t>
      </w:r>
      <w:r>
        <w:rPr>
          <w:color w:val="231F20"/>
          <w:spacing w:val="14"/>
        </w:rPr>
        <w:t> </w:t>
      </w:r>
      <w:r>
        <w:rPr>
          <w:color w:val="231F20"/>
        </w:rPr>
        <w:t>la</w:t>
      </w:r>
      <w:r>
        <w:rPr>
          <w:color w:val="231F20"/>
          <w:spacing w:val="15"/>
        </w:rPr>
        <w:t> </w:t>
      </w:r>
      <w:r>
        <w:rPr>
          <w:color w:val="231F20"/>
        </w:rPr>
        <w:t>société.</w:t>
      </w:r>
    </w:p>
    <w:p>
      <w:pPr>
        <w:pStyle w:val="BodyText"/>
        <w:spacing w:before="10"/>
        <w:ind w:left="0" w:right="0" w:firstLine="0"/>
        <w:jc w:val="left"/>
        <w:rPr>
          <w:sz w:val="24"/>
        </w:rPr>
      </w:pPr>
    </w:p>
    <w:p>
      <w:pPr>
        <w:pStyle w:val="BodyText"/>
        <w:spacing w:line="218" w:lineRule="auto"/>
        <w:ind w:right="38"/>
      </w:pPr>
      <w:r>
        <w:rPr>
          <w:color w:val="231F20"/>
        </w:rPr>
        <w:t>Le comité rend au conseil de surveillance un avis écrit circonstancié et motivé sur la décision ou l’opération envisagée qui traite au moins des éléments suivants: la nature de la décision ou de l’opération, une description et une estimation des conséquences patrimoniales, une description d’autres conséquences éventuelles, les avantages et incon- vénients qui en découlent pour la société, à terme le cas échéant. Le comité place la décision ou l’opération proposée dans le contexte de la stratégie</w:t>
      </w:r>
      <w:r>
        <w:rPr>
          <w:color w:val="231F20"/>
          <w:spacing w:val="-5"/>
        </w:rPr>
        <w:t> </w:t>
      </w:r>
      <w:r>
        <w:rPr>
          <w:color w:val="231F20"/>
        </w:rPr>
        <w:t>de</w:t>
      </w:r>
      <w:r>
        <w:rPr>
          <w:color w:val="231F20"/>
          <w:spacing w:val="-4"/>
        </w:rPr>
        <w:t> </w:t>
      </w:r>
      <w:r>
        <w:rPr>
          <w:color w:val="231F20"/>
        </w:rPr>
        <w:t>la</w:t>
      </w:r>
      <w:r>
        <w:rPr>
          <w:color w:val="231F20"/>
          <w:spacing w:val="-5"/>
        </w:rPr>
        <w:t> </w:t>
      </w:r>
      <w:r>
        <w:rPr>
          <w:color w:val="231F20"/>
        </w:rPr>
        <w:t>société</w:t>
      </w:r>
      <w:r>
        <w:rPr>
          <w:color w:val="231F20"/>
          <w:spacing w:val="-4"/>
        </w:rPr>
        <w:t> </w:t>
      </w:r>
      <w:r>
        <w:rPr>
          <w:color w:val="231F20"/>
        </w:rPr>
        <w:t>et</w:t>
      </w:r>
      <w:r>
        <w:rPr>
          <w:color w:val="231F20"/>
          <w:spacing w:val="-4"/>
        </w:rPr>
        <w:t> </w:t>
      </w:r>
      <w:r>
        <w:rPr>
          <w:color w:val="231F20"/>
        </w:rPr>
        <w:t>indique</w:t>
      </w:r>
      <w:r>
        <w:rPr>
          <w:color w:val="231F20"/>
          <w:spacing w:val="-5"/>
        </w:rPr>
        <w:t> </w:t>
      </w:r>
      <w:r>
        <w:rPr>
          <w:color w:val="231F20"/>
        </w:rPr>
        <w:t>si</w:t>
      </w:r>
      <w:r>
        <w:rPr>
          <w:color w:val="231F20"/>
          <w:spacing w:val="-4"/>
        </w:rPr>
        <w:t> </w:t>
      </w:r>
      <w:r>
        <w:rPr>
          <w:color w:val="231F20"/>
        </w:rPr>
        <w:t>elle</w:t>
      </w:r>
      <w:r>
        <w:rPr>
          <w:color w:val="231F20"/>
          <w:spacing w:val="-4"/>
        </w:rPr>
        <w:t> </w:t>
      </w:r>
      <w:r>
        <w:rPr>
          <w:color w:val="231F20"/>
        </w:rPr>
        <w:t>porte</w:t>
      </w:r>
      <w:r>
        <w:rPr>
          <w:color w:val="231F20"/>
          <w:spacing w:val="-5"/>
        </w:rPr>
        <w:t> </w:t>
      </w:r>
      <w:r>
        <w:rPr>
          <w:color w:val="231F20"/>
        </w:rPr>
        <w:t>préjudice</w:t>
      </w:r>
      <w:r>
        <w:rPr>
          <w:color w:val="231F20"/>
          <w:spacing w:val="-4"/>
        </w:rPr>
        <w:t> </w:t>
      </w:r>
      <w:r>
        <w:rPr>
          <w:color w:val="231F20"/>
        </w:rPr>
        <w:t>à</w:t>
      </w:r>
      <w:r>
        <w:rPr>
          <w:color w:val="231F20"/>
          <w:spacing w:val="-4"/>
        </w:rPr>
        <w:t> </w:t>
      </w:r>
      <w:r>
        <w:rPr>
          <w:color w:val="231F20"/>
        </w:rPr>
        <w:t>la</w:t>
      </w:r>
      <w:r>
        <w:rPr>
          <w:color w:val="231F20"/>
          <w:spacing w:val="-5"/>
        </w:rPr>
        <w:t> </w:t>
      </w:r>
      <w:r>
        <w:rPr>
          <w:color w:val="231F20"/>
        </w:rPr>
        <w:t>société,</w:t>
      </w:r>
      <w:r>
        <w:rPr>
          <w:color w:val="231F20"/>
          <w:spacing w:val="-4"/>
        </w:rPr>
        <w:t> </w:t>
      </w:r>
      <w:r>
        <w:rPr>
          <w:color w:val="231F20"/>
        </w:rPr>
        <w:t>si</w:t>
      </w:r>
      <w:r>
        <w:rPr>
          <w:color w:val="231F20"/>
          <w:spacing w:val="-4"/>
        </w:rPr>
        <w:t> </w:t>
      </w:r>
      <w:r>
        <w:rPr>
          <w:color w:val="231F20"/>
        </w:rPr>
        <w:t>elle est compensée par d’autres éléments de cette stratégie, ou est manifes- tement abusive. Les observations de l’expert sont intégrées dans l’avis du</w:t>
      </w:r>
      <w:r>
        <w:rPr>
          <w:color w:val="231F20"/>
          <w:spacing w:val="15"/>
        </w:rPr>
        <w:t> </w:t>
      </w:r>
      <w:r>
        <w:rPr>
          <w:color w:val="231F20"/>
        </w:rPr>
        <w:t>comité</w:t>
      </w:r>
      <w:r>
        <w:rPr>
          <w:color w:val="231F20"/>
          <w:spacing w:val="15"/>
        </w:rPr>
        <w:t> </w:t>
      </w:r>
      <w:r>
        <w:rPr>
          <w:color w:val="231F20"/>
        </w:rPr>
        <w:t>ou</w:t>
      </w:r>
      <w:r>
        <w:rPr>
          <w:color w:val="231F20"/>
          <w:spacing w:val="15"/>
        </w:rPr>
        <w:t> </w:t>
      </w:r>
      <w:r>
        <w:rPr>
          <w:color w:val="231F20"/>
        </w:rPr>
        <w:t>y</w:t>
      </w:r>
      <w:r>
        <w:rPr>
          <w:color w:val="231F20"/>
          <w:spacing w:val="15"/>
        </w:rPr>
        <w:t> </w:t>
      </w:r>
      <w:r>
        <w:rPr>
          <w:color w:val="231F20"/>
        </w:rPr>
        <w:t>sont</w:t>
      </w:r>
      <w:r>
        <w:rPr>
          <w:color w:val="231F20"/>
          <w:spacing w:val="15"/>
        </w:rPr>
        <w:t> </w:t>
      </w:r>
      <w:r>
        <w:rPr>
          <w:color w:val="231F20"/>
        </w:rPr>
        <w:t>jointes</w:t>
      </w:r>
      <w:r>
        <w:rPr>
          <w:color w:val="231F20"/>
          <w:spacing w:val="15"/>
        </w:rPr>
        <w:t> </w:t>
      </w:r>
      <w:r>
        <w:rPr>
          <w:color w:val="231F20"/>
        </w:rPr>
        <w:t>en</w:t>
      </w:r>
      <w:r>
        <w:rPr>
          <w:color w:val="231F20"/>
          <w:spacing w:val="15"/>
        </w:rPr>
        <w:t> </w:t>
      </w:r>
      <w:r>
        <w:rPr>
          <w:color w:val="231F20"/>
        </w:rPr>
        <w:t>annexe.</w:t>
      </w:r>
    </w:p>
    <w:p>
      <w:pPr>
        <w:pStyle w:val="BodyText"/>
        <w:spacing w:before="11"/>
        <w:ind w:left="0" w:right="0" w:firstLine="0"/>
        <w:jc w:val="left"/>
        <w:rPr>
          <w:sz w:val="24"/>
        </w:rPr>
      </w:pPr>
    </w:p>
    <w:p>
      <w:pPr>
        <w:pStyle w:val="BodyText"/>
        <w:spacing w:line="218" w:lineRule="auto"/>
        <w:ind w:right="38"/>
      </w:pPr>
      <w:r>
        <w:rPr>
          <w:color w:val="231F20"/>
        </w:rPr>
        <w:t>§ 4. Après avoir pris connaissance de l’avis du comité visé au paragraphe 3, et sans préjudice de l’article 7:115, le conseil de surveillance délibère quant aux décisions et opérations prévues.</w:t>
      </w:r>
    </w:p>
    <w:p>
      <w:pPr>
        <w:pStyle w:val="BodyText"/>
        <w:spacing w:line="218" w:lineRule="auto" w:before="107"/>
        <w:ind w:right="38"/>
      </w:pPr>
      <w:r>
        <w:rPr>
          <w:color w:val="231F20"/>
        </w:rPr>
        <w:t>Le conseil de surveillance confirme dans le procès-verbal de la réunion que la procédure décrite ci-dessus a été respectée et précise, le cas échéant, les motifs sur la base desquels il déroge à l’avis du comité.</w:t>
      </w:r>
    </w:p>
    <w:p>
      <w:pPr>
        <w:pStyle w:val="BodyText"/>
        <w:spacing w:line="218" w:lineRule="auto" w:before="107"/>
        <w:ind w:right="38"/>
      </w:pPr>
      <w:r>
        <w:rPr>
          <w:color w:val="231F20"/>
        </w:rPr>
        <w:t>Le commissaire apprécie la fidélité des données figurant dans l’avis du comité et dans le procès-verbal de l’organe d’administration. Cette appréciation est jointe au procès-verbal du conseil de surveillance.</w:t>
      </w:r>
    </w:p>
    <w:p>
      <w:pPr>
        <w:pStyle w:val="BodyText"/>
        <w:spacing w:line="218" w:lineRule="auto" w:before="106"/>
        <w:ind w:right="38"/>
      </w:pPr>
      <w:r>
        <w:rPr>
          <w:color w:val="231F20"/>
        </w:rPr>
        <w:t>La décision du comité, l’intégralité de la partie pertinente du procès-verbal du conseil de surveillance et l’appréciation du commis- saire sont intégralement mentionnés dans le rapport de gestion.</w:t>
      </w:r>
    </w:p>
    <w:p>
      <w:pPr>
        <w:pStyle w:val="BodyText"/>
        <w:spacing w:line="218" w:lineRule="auto" w:before="107"/>
        <w:ind w:right="38"/>
      </w:pPr>
      <w:r>
        <w:rPr>
          <w:color w:val="231F20"/>
        </w:rPr>
        <w:t>§ 5. Sans préjudice du droit  des  personnes  mentionnées </w:t>
      </w:r>
      <w:r>
        <w:rPr>
          <w:color w:val="231F20"/>
          <w:spacing w:val="20"/>
        </w:rPr>
        <w:t> </w:t>
      </w:r>
      <w:r>
        <w:rPr>
          <w:color w:val="231F20"/>
        </w:rPr>
        <w:t>aux articles 2:44 et 2:46 de demander la nullité ou la suspension de</w:t>
      </w:r>
      <w:r>
        <w:rPr>
          <w:color w:val="231F20"/>
          <w:spacing w:val="18"/>
        </w:rPr>
        <w:t> </w:t>
      </w:r>
      <w:r>
        <w:rPr>
          <w:color w:val="231F20"/>
        </w:rPr>
        <w:t>la décision du conseil de surveillance, la société peut demander la nullité des décisions prises ou des opérations accomplies en violation du présent article, si l’autre partie à ces décisions ou opérations avait ou devait</w:t>
      </w:r>
      <w:r>
        <w:rPr>
          <w:color w:val="231F20"/>
          <w:spacing w:val="15"/>
        </w:rPr>
        <w:t> </w:t>
      </w:r>
      <w:r>
        <w:rPr>
          <w:color w:val="231F20"/>
        </w:rPr>
        <w:t>avoir</w:t>
      </w:r>
      <w:r>
        <w:rPr>
          <w:color w:val="231F20"/>
          <w:spacing w:val="16"/>
        </w:rPr>
        <w:t> </w:t>
      </w:r>
      <w:r>
        <w:rPr>
          <w:color w:val="231F20"/>
        </w:rPr>
        <w:t>connaissance</w:t>
      </w:r>
      <w:r>
        <w:rPr>
          <w:color w:val="231F20"/>
          <w:spacing w:val="15"/>
        </w:rPr>
        <w:t> </w:t>
      </w:r>
      <w:r>
        <w:rPr>
          <w:color w:val="231F20"/>
        </w:rPr>
        <w:t>de</w:t>
      </w:r>
      <w:r>
        <w:rPr>
          <w:color w:val="231F20"/>
          <w:spacing w:val="16"/>
        </w:rPr>
        <w:t> </w:t>
      </w:r>
      <w:r>
        <w:rPr>
          <w:color w:val="231F20"/>
        </w:rPr>
        <w:t>cette</w:t>
      </w:r>
      <w:r>
        <w:rPr>
          <w:color w:val="231F20"/>
          <w:spacing w:val="15"/>
        </w:rPr>
        <w:t> </w:t>
      </w:r>
      <w:r>
        <w:rPr>
          <w:color w:val="231F20"/>
        </w:rPr>
        <w:t>violation.</w:t>
      </w:r>
    </w:p>
    <w:p>
      <w:pPr>
        <w:pStyle w:val="BodyText"/>
        <w:spacing w:before="10"/>
        <w:ind w:left="0" w:right="0" w:firstLine="0"/>
        <w:jc w:val="left"/>
        <w:rPr>
          <w:sz w:val="24"/>
        </w:rPr>
      </w:pPr>
    </w:p>
    <w:p>
      <w:pPr>
        <w:pStyle w:val="BodyText"/>
        <w:spacing w:line="218" w:lineRule="auto" w:before="1"/>
        <w:ind w:right="38"/>
      </w:pPr>
      <w:r>
        <w:rPr>
          <w:color w:val="231F20"/>
        </w:rPr>
        <w:t>§ 6. La société cotée indique dans le rapport de gestion les limitations substantielles ou charges que son actionnaire de contrôle lui a imposées durant l’année en question, ou dont il a demandé le maintien.</w:t>
      </w:r>
    </w:p>
    <w:p>
      <w:pPr>
        <w:pStyle w:val="BodyText"/>
        <w:spacing w:before="6"/>
        <w:ind w:left="0" w:right="0" w:firstLine="0"/>
        <w:jc w:val="left"/>
        <w:rPr>
          <w:sz w:val="23"/>
        </w:rPr>
      </w:pPr>
    </w:p>
    <w:p>
      <w:pPr>
        <w:pStyle w:val="BodyText"/>
        <w:spacing w:line="218" w:lineRule="auto"/>
        <w:ind w:right="38"/>
      </w:pPr>
      <w:r>
        <w:rPr>
          <w:color w:val="231F20"/>
        </w:rPr>
        <w:t>Art. 7:117. § 1</w:t>
      </w:r>
      <w:r>
        <w:rPr>
          <w:color w:val="231F20"/>
          <w:position w:val="7"/>
          <w:sz w:val="11"/>
        </w:rPr>
        <w:t>er </w:t>
      </w:r>
      <w:r>
        <w:rPr>
          <w:color w:val="231F20"/>
        </w:rPr>
        <w:t>Lorsque le conseil de direction est appelé à prendre une décision ou à se prononcer sur une opération relevant de sa compétence à propos de laquelle un membre du conseil a un intérêt direct ou indirect de nature patrimoniale qui est opposé à l’intérêt de la société, le conseil de direction renvoie cette décision au conseil de surveillance, qui procède conformément à l’article 7:115.</w:t>
      </w:r>
    </w:p>
    <w:p>
      <w:pPr>
        <w:pStyle w:val="BodyText"/>
        <w:spacing w:line="218" w:lineRule="auto" w:before="107"/>
        <w:ind w:right="38"/>
      </w:pPr>
      <w:r>
        <w:rPr>
          <w:color w:val="231F20"/>
        </w:rPr>
        <w:t>§ 2. Toute décision prise ou opération accomplie en exécution d’une décision qui relève du conseil de direction d’une société cotée, et qui concerne une personne physique ou morale qui est liée à cette société cotée mais qui n’en est pas une filiale, est renvoyée par le conseil de direction au conseil de surveillance, qui procède conformément à l’article 7:116, §§ 3 et 4.</w:t>
      </w:r>
    </w:p>
    <w:p>
      <w:pPr>
        <w:pStyle w:val="BodyText"/>
        <w:spacing w:line="218" w:lineRule="auto" w:before="119"/>
      </w:pPr>
      <w:r>
        <w:rPr/>
        <w:br w:type="column"/>
      </w:r>
      <w:r>
        <w:rPr>
          <w:color w:val="231F20"/>
        </w:rPr>
        <w:t>2° beslissingen en verrichtingen waarvan de waarde minder dan 1 % van het nettoactief van de genoteerde vennootschap op geconsoli- deerde basis bedraagt.</w:t>
      </w:r>
    </w:p>
    <w:p>
      <w:pPr>
        <w:pStyle w:val="BodyText"/>
        <w:spacing w:line="218" w:lineRule="auto" w:before="97"/>
      </w:pPr>
      <w:r>
        <w:rPr>
          <w:color w:val="231F20"/>
        </w:rPr>
        <w:t>§ 2. </w:t>
      </w:r>
      <w:r>
        <w:rPr>
          <w:color w:val="231F20"/>
          <w:spacing w:val="-4"/>
        </w:rPr>
        <w:t>Valt </w:t>
      </w:r>
      <w:r>
        <w:rPr>
          <w:color w:val="231F20"/>
        </w:rPr>
        <w:t>eveneens onder de procedure vastgelegd in paragrafen 3 en 4, elke beslissing van de raad van toezicht van een genoteerde vennootschap om aan de algemene vergadering ter goedkeuring voor  te</w:t>
      </w:r>
      <w:r>
        <w:rPr>
          <w:color w:val="231F20"/>
          <w:spacing w:val="15"/>
        </w:rPr>
        <w:t> </w:t>
      </w:r>
      <w:r>
        <w:rPr>
          <w:color w:val="231F20"/>
        </w:rPr>
        <w:t>leggen:</w:t>
      </w:r>
    </w:p>
    <w:p>
      <w:pPr>
        <w:pStyle w:val="BodyText"/>
        <w:spacing w:line="218" w:lineRule="auto" w:before="96"/>
      </w:pPr>
      <w:r>
        <w:rPr>
          <w:color w:val="231F20"/>
        </w:rPr>
        <w:t>1° een voorstel tot inbreng in natura, met inbegrip van een inbreng van algemeenheid of van bedrijfstak, door een natuurlijke of rechtsper- soon die met die genoteerde vennootschap is verbonden;</w:t>
      </w:r>
    </w:p>
    <w:p>
      <w:pPr>
        <w:pStyle w:val="BodyText"/>
        <w:spacing w:line="218" w:lineRule="auto" w:before="107"/>
      </w:pPr>
      <w:r>
        <w:rPr>
          <w:color w:val="231F20"/>
        </w:rPr>
        <w:t>2° een voorstel tot fusie, splitsing, gelijkgestelde verrichting als bedoeld in artikel 12:7 met, of een inbreng van algemeenheid in, een vennootschap die met die genoteerde vennootschap is verbonden.</w:t>
      </w:r>
    </w:p>
    <w:p>
      <w:pPr>
        <w:pStyle w:val="BodyText"/>
        <w:spacing w:line="218" w:lineRule="auto" w:before="107"/>
        <w:ind w:right="123"/>
      </w:pPr>
      <w:r>
        <w:rPr>
          <w:color w:val="231F20"/>
        </w:rPr>
        <w:t>Het eerste lid is niet van toepassing wanneer de vennootschap die met die genoteerde vennootschap is verbonden er een dochtervennoot- schap van is, tenzij het een dochtervennootschap betreft waarin de natuurlijke of rechtspersoon die de ultieme controle over de genoteerde vennootschap heeft, rechtstreeks of onrechtstreeks via andere natuur- lijke of rechtspersonen dan de genoteerde vennootschap, een deelne- ming aanhoudt die minstens 25 % van het kapitaal van de betrokken dochtervennootschap </w:t>
      </w:r>
      <w:r>
        <w:rPr>
          <w:color w:val="231F20"/>
          <w:spacing w:val="-3"/>
        </w:rPr>
        <w:t>vertegenwoordigt </w:t>
      </w:r>
      <w:r>
        <w:rPr>
          <w:color w:val="231F20"/>
        </w:rPr>
        <w:t>of die hem ingeval van winstuit- kering door die dochtervennootschap recht geeft op minstens 25 % daarvan.</w:t>
      </w:r>
    </w:p>
    <w:p>
      <w:pPr>
        <w:pStyle w:val="BodyText"/>
        <w:spacing w:line="218" w:lineRule="auto" w:before="107"/>
      </w:pPr>
      <w:r>
        <w:rPr>
          <w:color w:val="231F20"/>
        </w:rPr>
        <w:t>§ 3. Alle beslissingen of verrichtingen, bepaald in paragrafen 1 en 2, moeten voorafgaandelijk worden onderworpen aan de beoordeling van een comité van drie onafhankelijke leden van de raad van toezicht, dat zich laat bijstaan door één of meerdere door hem aangestelde onafhankelijke experten van zijn keuze. De expert wordt door de vennootschap vergoed.</w:t>
      </w:r>
    </w:p>
    <w:p>
      <w:pPr>
        <w:pStyle w:val="BodyText"/>
        <w:spacing w:line="218" w:lineRule="auto" w:before="107"/>
      </w:pPr>
      <w:r>
        <w:rPr>
          <w:color w:val="231F20"/>
        </w:rPr>
        <w:t>Het comité brengt over de voorgenomen beslissing of verrichting een schriftelijk en omstandig gemotiveerd advies uit bij de raad van toezicht, waarin het minstens de volgende elementen behandelt: de aard van de beslissing of verrichting, een beschrijving en een begroting van de vermogensrechtelijke gevolgen, een beschrijving van eventuele andere gevolgen, de voor- en de nadelen ervan voor de vennootschap, in voorkomend geval op termijn. Het comité kadert de voorgestelde beslissing of verrichting in het beleid dat de vennootschap voert, en geeft aan of zij, als zij aan de vennootschap nadelen berokkent, wordt gecompenseerd door andere elementen in dat beleid, dan wel kennelijk onrechtmatig is. De opmerkingen van de expert worden in het advies van</w:t>
      </w:r>
      <w:r>
        <w:rPr>
          <w:color w:val="231F20"/>
          <w:spacing w:val="16"/>
        </w:rPr>
        <w:t> </w:t>
      </w:r>
      <w:r>
        <w:rPr>
          <w:color w:val="231F20"/>
        </w:rPr>
        <w:t>het</w:t>
      </w:r>
      <w:r>
        <w:rPr>
          <w:color w:val="231F20"/>
          <w:spacing w:val="17"/>
        </w:rPr>
        <w:t> </w:t>
      </w:r>
      <w:r>
        <w:rPr>
          <w:color w:val="231F20"/>
        </w:rPr>
        <w:t>comité</w:t>
      </w:r>
      <w:r>
        <w:rPr>
          <w:color w:val="231F20"/>
          <w:spacing w:val="17"/>
        </w:rPr>
        <w:t> </w:t>
      </w:r>
      <w:r>
        <w:rPr>
          <w:color w:val="231F20"/>
        </w:rPr>
        <w:t>verwerkt</w:t>
      </w:r>
      <w:r>
        <w:rPr>
          <w:color w:val="231F20"/>
          <w:spacing w:val="17"/>
        </w:rPr>
        <w:t> </w:t>
      </w:r>
      <w:r>
        <w:rPr>
          <w:color w:val="231F20"/>
        </w:rPr>
        <w:t>of</w:t>
      </w:r>
      <w:r>
        <w:rPr>
          <w:color w:val="231F20"/>
          <w:spacing w:val="17"/>
        </w:rPr>
        <w:t> </w:t>
      </w:r>
      <w:r>
        <w:rPr>
          <w:color w:val="231F20"/>
        </w:rPr>
        <w:t>er</w:t>
      </w:r>
      <w:r>
        <w:rPr>
          <w:color w:val="231F20"/>
          <w:spacing w:val="17"/>
        </w:rPr>
        <w:t> </w:t>
      </w:r>
      <w:r>
        <w:rPr>
          <w:color w:val="231F20"/>
        </w:rPr>
        <w:t>als</w:t>
      </w:r>
      <w:r>
        <w:rPr>
          <w:color w:val="231F20"/>
          <w:spacing w:val="17"/>
        </w:rPr>
        <w:t> </w:t>
      </w:r>
      <w:r>
        <w:rPr>
          <w:color w:val="231F20"/>
        </w:rPr>
        <w:t>bijlage</w:t>
      </w:r>
      <w:r>
        <w:rPr>
          <w:color w:val="231F20"/>
          <w:spacing w:val="17"/>
        </w:rPr>
        <w:t> </w:t>
      </w:r>
      <w:r>
        <w:rPr>
          <w:color w:val="231F20"/>
        </w:rPr>
        <w:t>aan</w:t>
      </w:r>
      <w:r>
        <w:rPr>
          <w:color w:val="231F20"/>
          <w:spacing w:val="17"/>
        </w:rPr>
        <w:t> </w:t>
      </w:r>
      <w:r>
        <w:rPr>
          <w:color w:val="231F20"/>
        </w:rPr>
        <w:t>toegevoegd.</w:t>
      </w:r>
    </w:p>
    <w:p>
      <w:pPr>
        <w:pStyle w:val="BodyText"/>
        <w:spacing w:line="218" w:lineRule="auto" w:before="108"/>
      </w:pPr>
      <w:r>
        <w:rPr>
          <w:color w:val="231F20"/>
        </w:rPr>
        <w:t>§ 4. Na kennis te hebben genomen van het advies van het comité bepaald in paragraaf 3, en onverminderd artikel 7:115, beraadslaagt de raad van toezicht over de voorgenomen beslissing of verrichting.</w:t>
      </w:r>
    </w:p>
    <w:p>
      <w:pPr>
        <w:pStyle w:val="BodyText"/>
        <w:spacing w:line="218" w:lineRule="auto" w:before="107"/>
      </w:pPr>
      <w:r>
        <w:rPr>
          <w:color w:val="231F20"/>
        </w:rPr>
        <w:t>De raad van toezicht bevestigt in de notulen van de vergadering dat de hiervoor omschreven procedure werd nageleefd, en motiveert in voorkomend geval waarom hij afwijkt van het advies van het comité.</w:t>
      </w:r>
    </w:p>
    <w:p>
      <w:pPr>
        <w:pStyle w:val="BodyText"/>
        <w:spacing w:line="218" w:lineRule="auto" w:before="107"/>
      </w:pPr>
      <w:r>
        <w:rPr>
          <w:color w:val="231F20"/>
        </w:rPr>
        <w:t>De commissaris beoordeelt de getrouwheid van de gegevens in het advies van het comité en in de notulen van het bestuursorgaan. Dit oordeel wordt aan de notulen van de raad van toezicht gehecht.</w:t>
      </w:r>
    </w:p>
    <w:p>
      <w:pPr>
        <w:pStyle w:val="BodyText"/>
        <w:spacing w:line="218" w:lineRule="auto" w:before="106"/>
      </w:pPr>
      <w:r>
        <w:rPr>
          <w:color w:val="231F20"/>
        </w:rPr>
        <w:t>Het besluit van het comité, het volledige relevante deel van de notulen van de raad van toezicht en het oordeel van de commissaris worden in hun geheel opgenomen in het jaarverslag.</w:t>
      </w:r>
    </w:p>
    <w:p>
      <w:pPr>
        <w:pStyle w:val="BodyText"/>
        <w:spacing w:line="218" w:lineRule="auto" w:before="107"/>
      </w:pPr>
      <w:r>
        <w:rPr>
          <w:color w:val="231F20"/>
        </w:rPr>
        <w:t>§ 5.  Onverminderd  het  recht  voor  de  in  de  artikelen  2:44  en  2:46 genoemde personen om de nietigheid of opschorting van het besluit van de raad van toezicht te vorderen, kan de vennootschap de nietigheid vorderen van besluiten of verrichtingen die hebben plaats- gevonden met overtreding van dit artikel, indien de wederpartij bij die besluiten of verrichtingen van die overtreding op de hoogte was of had moeten</w:t>
      </w:r>
      <w:r>
        <w:rPr>
          <w:color w:val="231F20"/>
          <w:spacing w:val="14"/>
        </w:rPr>
        <w:t> </w:t>
      </w:r>
      <w:r>
        <w:rPr>
          <w:color w:val="231F20"/>
        </w:rPr>
        <w:t>zijn.</w:t>
      </w:r>
    </w:p>
    <w:p>
      <w:pPr>
        <w:pStyle w:val="BodyText"/>
        <w:spacing w:line="218" w:lineRule="auto" w:before="108"/>
      </w:pPr>
      <w:r>
        <w:rPr>
          <w:color w:val="231F20"/>
        </w:rPr>
        <w:t>§ 6. De genoteerde vennootschap vermeldt in het jaarverslag de wezenlijke beperkingen of lasten die haar controlerende aandeelhouder haar tijdens het besproken jaar heeft opgelegd, of waarvan hij de instandhouding heeft verlangd.</w:t>
      </w:r>
    </w:p>
    <w:p>
      <w:pPr>
        <w:pStyle w:val="BodyText"/>
        <w:spacing w:line="218" w:lineRule="auto" w:before="107"/>
      </w:pPr>
      <w:r>
        <w:rPr>
          <w:color w:val="231F20"/>
        </w:rPr>
        <w:t>Art. 7:117. § 1. Wanneer de directieraad een beslissing moet nemen of zich over een verrichting moet uitspreken die onder zijn bevoegdheid vallen, waarbij een lid van de raad een rechtstreeks of onrechtstreeks belang van vermogensrechtelijke aard heeft dat strijdig is met het belang van de vennootschap, verwijst de directieraad deze beslissing naar de raad van toezicht, die handelt overeenkomstig artikel 7:115.</w:t>
      </w:r>
    </w:p>
    <w:p>
      <w:pPr>
        <w:pStyle w:val="BodyText"/>
        <w:spacing w:line="218" w:lineRule="auto" w:before="107"/>
      </w:pPr>
      <w:r>
        <w:rPr>
          <w:color w:val="231F20"/>
        </w:rPr>
        <w:t>§ 2. Elke beslissing of elke verrichting ter uitvoering van een beslissing die tot de bevoegdheid behoort van de directieraad van een genoteerde vennootschap, en die verband houdt met een natuurlijke of rechtspersoon die met die genoteerde vennootschap is verbonden maar die er geen dochtervennootschap van is, verwijst de directieraad naar de</w:t>
      </w:r>
      <w:r>
        <w:rPr>
          <w:color w:val="231F20"/>
          <w:spacing w:val="5"/>
        </w:rPr>
        <w:t> </w:t>
      </w:r>
      <w:r>
        <w:rPr>
          <w:color w:val="231F20"/>
        </w:rPr>
        <w:t>raad</w:t>
      </w:r>
      <w:r>
        <w:rPr>
          <w:color w:val="231F20"/>
          <w:spacing w:val="6"/>
        </w:rPr>
        <w:t> </w:t>
      </w:r>
      <w:r>
        <w:rPr>
          <w:color w:val="231F20"/>
        </w:rPr>
        <w:t>van</w:t>
      </w:r>
      <w:r>
        <w:rPr>
          <w:color w:val="231F20"/>
          <w:spacing w:val="6"/>
        </w:rPr>
        <w:t> </w:t>
      </w:r>
      <w:r>
        <w:rPr>
          <w:color w:val="231F20"/>
        </w:rPr>
        <w:t>toezicht,</w:t>
      </w:r>
      <w:r>
        <w:rPr>
          <w:color w:val="231F20"/>
          <w:spacing w:val="6"/>
        </w:rPr>
        <w:t> </w:t>
      </w:r>
      <w:r>
        <w:rPr>
          <w:color w:val="231F20"/>
        </w:rPr>
        <w:t>die</w:t>
      </w:r>
      <w:r>
        <w:rPr>
          <w:color w:val="231F20"/>
          <w:spacing w:val="6"/>
        </w:rPr>
        <w:t> </w:t>
      </w:r>
      <w:r>
        <w:rPr>
          <w:color w:val="231F20"/>
        </w:rPr>
        <w:t>handelt</w:t>
      </w:r>
      <w:r>
        <w:rPr>
          <w:color w:val="231F20"/>
          <w:spacing w:val="5"/>
        </w:rPr>
        <w:t> </w:t>
      </w:r>
      <w:r>
        <w:rPr>
          <w:color w:val="231F20"/>
        </w:rPr>
        <w:t>overeenkomstig</w:t>
      </w:r>
      <w:r>
        <w:rPr>
          <w:color w:val="231F20"/>
          <w:spacing w:val="6"/>
        </w:rPr>
        <w:t> </w:t>
      </w:r>
      <w:r>
        <w:rPr>
          <w:color w:val="231F20"/>
        </w:rPr>
        <w:t>artikel</w:t>
      </w:r>
      <w:r>
        <w:rPr>
          <w:color w:val="231F20"/>
          <w:spacing w:val="6"/>
        </w:rPr>
        <w:t> </w:t>
      </w:r>
      <w:r>
        <w:rPr>
          <w:color w:val="231F20"/>
        </w:rPr>
        <w:t>7:116,</w:t>
      </w:r>
    </w:p>
    <w:p>
      <w:pPr>
        <w:pStyle w:val="BodyText"/>
        <w:spacing w:line="180" w:lineRule="exact"/>
        <w:ind w:right="0" w:firstLine="0"/>
        <w:jc w:val="left"/>
      </w:pPr>
      <w:r>
        <w:rPr>
          <w:color w:val="231F20"/>
        </w:rPr>
        <w:t>§§ 3 en 4.</w:t>
      </w:r>
    </w:p>
    <w:p>
      <w:pPr>
        <w:spacing w:after="0" w:line="180" w:lineRule="exact"/>
        <w:jc w:val="left"/>
        <w:sectPr>
          <w:pgSz w:w="11940" w:h="16880"/>
          <w:pgMar w:header="666" w:footer="0" w:top="1140" w:bottom="280" w:left="340" w:right="360"/>
          <w:cols w:num="2" w:equalWidth="0">
            <w:col w:w="5527" w:space="101"/>
            <w:col w:w="5612"/>
          </w:cols>
        </w:sectPr>
      </w:pPr>
    </w:p>
    <w:p>
      <w:pPr>
        <w:pStyle w:val="BodyText"/>
        <w:spacing w:line="218" w:lineRule="auto" w:before="105"/>
        <w:ind w:right="38"/>
      </w:pPr>
      <w:r>
        <w:rPr/>
        <w:pict>
          <v:line style="position:absolute;mso-position-horizontal-relative:page;mso-position-vertical-relative:page;z-index:5248" from="298.170502pt,64.473pt" to="298.170502pt,812.819pt" stroked="true" strokeweight=".533pt" strokecolor="#231f20">
            <v:stroke dashstyle="solid"/>
            <w10:wrap type="none"/>
          </v:line>
        </w:pict>
      </w:r>
      <w:bookmarkStart w:name="_bookmark176" w:id="181"/>
      <w:bookmarkEnd w:id="181"/>
      <w:r>
        <w:rPr/>
      </w:r>
      <w:r>
        <w:rPr>
          <w:color w:val="231F20"/>
        </w:rPr>
        <w:t>Il en va de même pour les décisions ou opérations visées à l’alinéa 1</w:t>
      </w:r>
      <w:r>
        <w:rPr>
          <w:color w:val="231F20"/>
          <w:position w:val="7"/>
          <w:sz w:val="11"/>
        </w:rPr>
        <w:t>er </w:t>
      </w:r>
      <w:r>
        <w:rPr>
          <w:color w:val="231F20"/>
        </w:rPr>
        <w:t>qui concernent une ou plusieurs filiales de la société cotée dans lesquelles la personne physique ou morale qui détient le contrôle ultime de la société cotée détient directement ou indirectement au travers de personnes physiques ou morales autres que la société cotée une participation représentant au moins 25 % du capital de la filiale concernée ou lui donnant droit, en cas de distribution de bénéfices par cette</w:t>
      </w:r>
      <w:r>
        <w:rPr>
          <w:color w:val="231F20"/>
          <w:spacing w:val="14"/>
        </w:rPr>
        <w:t> </w:t>
      </w:r>
      <w:r>
        <w:rPr>
          <w:color w:val="231F20"/>
        </w:rPr>
        <w:t>filiale,</w:t>
      </w:r>
      <w:r>
        <w:rPr>
          <w:color w:val="231F20"/>
          <w:spacing w:val="14"/>
        </w:rPr>
        <w:t> </w:t>
      </w:r>
      <w:r>
        <w:rPr>
          <w:color w:val="231F20"/>
        </w:rPr>
        <w:t>à</w:t>
      </w:r>
      <w:r>
        <w:rPr>
          <w:color w:val="231F20"/>
          <w:spacing w:val="15"/>
        </w:rPr>
        <w:t> </w:t>
      </w:r>
      <w:r>
        <w:rPr>
          <w:color w:val="231F20"/>
        </w:rPr>
        <w:t>au</w:t>
      </w:r>
      <w:r>
        <w:rPr>
          <w:color w:val="231F20"/>
          <w:spacing w:val="14"/>
        </w:rPr>
        <w:t> </w:t>
      </w:r>
      <w:r>
        <w:rPr>
          <w:color w:val="231F20"/>
        </w:rPr>
        <w:t>moins</w:t>
      </w:r>
      <w:r>
        <w:rPr>
          <w:color w:val="231F20"/>
          <w:spacing w:val="14"/>
        </w:rPr>
        <w:t> </w:t>
      </w:r>
      <w:r>
        <w:rPr>
          <w:color w:val="231F20"/>
        </w:rPr>
        <w:t>25</w:t>
      </w:r>
      <w:r>
        <w:rPr>
          <w:color w:val="231F20"/>
          <w:spacing w:val="15"/>
        </w:rPr>
        <w:t> </w:t>
      </w:r>
      <w:r>
        <w:rPr>
          <w:color w:val="231F20"/>
        </w:rPr>
        <w:t>%</w:t>
      </w:r>
      <w:r>
        <w:rPr>
          <w:color w:val="231F20"/>
          <w:spacing w:val="14"/>
        </w:rPr>
        <w:t> </w:t>
      </w:r>
      <w:r>
        <w:rPr>
          <w:color w:val="231F20"/>
        </w:rPr>
        <w:t>de</w:t>
      </w:r>
      <w:r>
        <w:rPr>
          <w:color w:val="231F20"/>
          <w:spacing w:val="14"/>
        </w:rPr>
        <w:t> </w:t>
      </w:r>
      <w:r>
        <w:rPr>
          <w:color w:val="231F20"/>
        </w:rPr>
        <w:t>ces</w:t>
      </w:r>
      <w:r>
        <w:rPr>
          <w:color w:val="231F20"/>
          <w:spacing w:val="15"/>
        </w:rPr>
        <w:t> </w:t>
      </w:r>
      <w:r>
        <w:rPr>
          <w:color w:val="231F20"/>
        </w:rPr>
        <w:t>bénéfices.</w:t>
      </w:r>
    </w:p>
    <w:p>
      <w:pPr>
        <w:pStyle w:val="BodyText"/>
        <w:spacing w:before="5"/>
        <w:ind w:left="0" w:right="0" w:firstLine="0"/>
        <w:jc w:val="left"/>
        <w:rPr>
          <w:sz w:val="24"/>
        </w:rPr>
      </w:pPr>
    </w:p>
    <w:p>
      <w:pPr>
        <w:pStyle w:val="BodyText"/>
        <w:spacing w:line="218" w:lineRule="auto" w:before="1"/>
        <w:ind w:right="38"/>
      </w:pPr>
      <w:r>
        <w:rPr>
          <w:color w:val="231F20"/>
        </w:rPr>
        <w:t>Les filiales belges non cotées de la société cotée visée à l’alinéa 1</w:t>
      </w:r>
      <w:r>
        <w:rPr>
          <w:color w:val="231F20"/>
          <w:position w:val="7"/>
          <w:sz w:val="11"/>
        </w:rPr>
        <w:t>er </w:t>
      </w:r>
      <w:r>
        <w:rPr>
          <w:color w:val="231F20"/>
        </w:rPr>
        <w:t>ne peuvent, sans l’accord préalable du conseil de surveillance de cette société cotée, prendre de décisions ou réaliser des opérations qui concernent leurs relations avec la </w:t>
      </w:r>
      <w:r>
        <w:rPr>
          <w:color w:val="231F20"/>
          <w:spacing w:val="4"/>
        </w:rPr>
        <w:t>sociétéà </w:t>
      </w:r>
      <w:r>
        <w:rPr>
          <w:color w:val="231F20"/>
        </w:rPr>
        <w:t>laquelle elles sont liées et</w:t>
      </w:r>
      <w:r>
        <w:rPr>
          <w:color w:val="231F20"/>
          <w:spacing w:val="-22"/>
        </w:rPr>
        <w:t> </w:t>
      </w:r>
      <w:r>
        <w:rPr>
          <w:color w:val="231F20"/>
        </w:rPr>
        <w:t>qui ne sont ni ladite société cotée ni une de ses filiales non  visées  à  l’alinéa</w:t>
      </w:r>
      <w:r>
        <w:rPr>
          <w:color w:val="231F20"/>
          <w:spacing w:val="14"/>
        </w:rPr>
        <w:t> </w:t>
      </w:r>
      <w:r>
        <w:rPr>
          <w:color w:val="231F20"/>
        </w:rPr>
        <w:t>2.</w:t>
      </w:r>
    </w:p>
    <w:p>
      <w:pPr>
        <w:pStyle w:val="BodyText"/>
        <w:spacing w:before="6"/>
        <w:ind w:left="0" w:right="0" w:firstLine="0"/>
        <w:jc w:val="left"/>
        <w:rPr>
          <w:sz w:val="24"/>
        </w:rPr>
      </w:pPr>
    </w:p>
    <w:p>
      <w:pPr>
        <w:pStyle w:val="BodyText"/>
        <w:ind w:left="283" w:right="0" w:firstLine="0"/>
        <w:jc w:val="left"/>
      </w:pPr>
      <w:r>
        <w:rPr>
          <w:color w:val="231F20"/>
        </w:rPr>
        <w:t>Sous-section 4. Comités au sein du conseil de surveillance.</w:t>
      </w:r>
    </w:p>
    <w:p>
      <w:pPr>
        <w:pStyle w:val="BodyText"/>
        <w:spacing w:line="218" w:lineRule="auto" w:before="114"/>
        <w:ind w:right="38"/>
      </w:pPr>
      <w:r>
        <w:rPr>
          <w:color w:val="231F20"/>
        </w:rPr>
        <w:t>Art. 7:118. Le conseil de surveillance peut créer en son sein et sous sa responsabilité un ou plusieurs comités consultatifs. Il définit leur composition et leurs mandats.</w:t>
      </w:r>
    </w:p>
    <w:p>
      <w:pPr>
        <w:pStyle w:val="BodyText"/>
        <w:spacing w:line="218" w:lineRule="auto" w:before="103"/>
        <w:ind w:right="38"/>
      </w:pPr>
      <w:r>
        <w:rPr>
          <w:color w:val="231F20"/>
        </w:rPr>
        <w:t>Art.</w:t>
      </w:r>
      <w:r>
        <w:rPr>
          <w:color w:val="231F20"/>
          <w:spacing w:val="-3"/>
        </w:rPr>
        <w:t> </w:t>
      </w:r>
      <w:r>
        <w:rPr>
          <w:color w:val="231F20"/>
        </w:rPr>
        <w:t>7:119.</w:t>
      </w:r>
      <w:r>
        <w:rPr>
          <w:color w:val="231F20"/>
          <w:spacing w:val="-3"/>
        </w:rPr>
        <w:t> </w:t>
      </w:r>
      <w:r>
        <w:rPr>
          <w:color w:val="231F20"/>
        </w:rPr>
        <w:t>§</w:t>
      </w:r>
      <w:r>
        <w:rPr>
          <w:color w:val="231F20"/>
          <w:spacing w:val="-3"/>
        </w:rPr>
        <w:t> </w:t>
      </w:r>
      <w:r>
        <w:rPr>
          <w:color w:val="231F20"/>
        </w:rPr>
        <w:t>1</w:t>
      </w:r>
      <w:r>
        <w:rPr>
          <w:color w:val="231F20"/>
          <w:position w:val="7"/>
          <w:sz w:val="11"/>
        </w:rPr>
        <w:t>er</w:t>
      </w:r>
      <w:r>
        <w:rPr>
          <w:color w:val="231F20"/>
        </w:rPr>
        <w:t>.</w:t>
      </w:r>
      <w:r>
        <w:rPr>
          <w:color w:val="231F20"/>
          <w:spacing w:val="-3"/>
        </w:rPr>
        <w:t> </w:t>
      </w:r>
      <w:r>
        <w:rPr>
          <w:color w:val="231F20"/>
        </w:rPr>
        <w:t>Les</w:t>
      </w:r>
      <w:r>
        <w:rPr>
          <w:color w:val="231F20"/>
          <w:spacing w:val="-2"/>
        </w:rPr>
        <w:t> </w:t>
      </w:r>
      <w:r>
        <w:rPr>
          <w:color w:val="231F20"/>
        </w:rPr>
        <w:t>sociétés</w:t>
      </w:r>
      <w:r>
        <w:rPr>
          <w:color w:val="231F20"/>
          <w:spacing w:val="-3"/>
        </w:rPr>
        <w:t> </w:t>
      </w:r>
      <w:r>
        <w:rPr>
          <w:color w:val="231F20"/>
        </w:rPr>
        <w:t>cotées</w:t>
      </w:r>
      <w:r>
        <w:rPr>
          <w:color w:val="231F20"/>
          <w:spacing w:val="-3"/>
        </w:rPr>
        <w:t> </w:t>
      </w:r>
      <w:r>
        <w:rPr>
          <w:color w:val="231F20"/>
        </w:rPr>
        <w:t>et</w:t>
      </w:r>
      <w:r>
        <w:rPr>
          <w:color w:val="231F20"/>
          <w:spacing w:val="-3"/>
        </w:rPr>
        <w:t> </w:t>
      </w:r>
      <w:r>
        <w:rPr>
          <w:color w:val="231F20"/>
        </w:rPr>
        <w:t>les</w:t>
      </w:r>
      <w:r>
        <w:rPr>
          <w:color w:val="231F20"/>
          <w:spacing w:val="-2"/>
        </w:rPr>
        <w:t> </w:t>
      </w:r>
      <w:r>
        <w:rPr>
          <w:color w:val="231F20"/>
        </w:rPr>
        <w:t>entités</w:t>
      </w:r>
      <w:r>
        <w:rPr>
          <w:color w:val="231F20"/>
          <w:spacing w:val="-3"/>
        </w:rPr>
        <w:t> </w:t>
      </w:r>
      <w:r>
        <w:rPr>
          <w:color w:val="231F20"/>
        </w:rPr>
        <w:t>d’intérêt</w:t>
      </w:r>
      <w:r>
        <w:rPr>
          <w:color w:val="231F20"/>
          <w:spacing w:val="-3"/>
        </w:rPr>
        <w:t> </w:t>
      </w:r>
      <w:r>
        <w:rPr>
          <w:color w:val="231F20"/>
        </w:rPr>
        <w:t>public</w:t>
      </w:r>
      <w:r>
        <w:rPr>
          <w:color w:val="231F20"/>
          <w:spacing w:val="-3"/>
        </w:rPr>
        <w:t> </w:t>
      </w:r>
      <w:r>
        <w:rPr>
          <w:color w:val="231F20"/>
        </w:rPr>
        <w:t>visées à l’article 1:12, 2°, constituent un comité d’audit au sein de leur conseil de</w:t>
      </w:r>
      <w:r>
        <w:rPr>
          <w:color w:val="231F20"/>
          <w:spacing w:val="15"/>
        </w:rPr>
        <w:t> </w:t>
      </w:r>
      <w:r>
        <w:rPr>
          <w:color w:val="231F20"/>
        </w:rPr>
        <w:t>surveillance.</w:t>
      </w:r>
    </w:p>
    <w:p>
      <w:pPr>
        <w:pStyle w:val="BodyText"/>
        <w:spacing w:line="218" w:lineRule="auto" w:before="117"/>
        <w:ind w:right="39"/>
      </w:pPr>
      <w:r>
        <w:rPr>
          <w:color w:val="231F20"/>
        </w:rPr>
        <w:t>§ 2. Au moins un membre du comité d’audit est un membre indépendant du conseil de surveillance.</w:t>
      </w:r>
    </w:p>
    <w:p>
      <w:pPr>
        <w:pStyle w:val="BodyText"/>
        <w:spacing w:line="218" w:lineRule="auto" w:before="118"/>
        <w:ind w:right="39"/>
      </w:pPr>
      <w:r>
        <w:rPr>
          <w:color w:val="231F20"/>
        </w:rPr>
        <w:t>Le président du comité d’audit est désigné par les membres du comité.</w:t>
      </w:r>
    </w:p>
    <w:p>
      <w:pPr>
        <w:pStyle w:val="BodyText"/>
        <w:spacing w:line="218" w:lineRule="auto" w:before="117"/>
        <w:ind w:right="38"/>
      </w:pPr>
      <w:r>
        <w:rPr>
          <w:color w:val="231F20"/>
        </w:rPr>
        <w:t>Les membres du comité d’audit disposent d’une compétence collec- tive dans le domaine d’activités de la société contrôlée. Au moins un membre du comité d’audit justifie de la compétence nécessaire en matière de comptabilité et d’audit.</w:t>
      </w:r>
    </w:p>
    <w:p>
      <w:pPr>
        <w:pStyle w:val="BodyText"/>
        <w:spacing w:line="218" w:lineRule="auto" w:before="118"/>
        <w:ind w:right="38"/>
      </w:pPr>
      <w:r>
        <w:rPr>
          <w:color w:val="231F20"/>
        </w:rPr>
        <w:t>§ 3. Dans les sociétés répondant, sur une base consolidée, à au moins deux des trois critères suivants:</w:t>
      </w:r>
    </w:p>
    <w:p>
      <w:pPr>
        <w:pStyle w:val="ListParagraph"/>
        <w:numPr>
          <w:ilvl w:val="0"/>
          <w:numId w:val="112"/>
        </w:numPr>
        <w:tabs>
          <w:tab w:pos="457" w:val="left" w:leader="none"/>
        </w:tabs>
        <w:spacing w:line="218" w:lineRule="auto" w:before="115" w:after="0"/>
        <w:ind w:left="113" w:right="38" w:firstLine="170"/>
        <w:jc w:val="both"/>
        <w:rPr>
          <w:sz w:val="17"/>
        </w:rPr>
      </w:pPr>
      <w:r>
        <w:rPr>
          <w:color w:val="231F20"/>
          <w:sz w:val="17"/>
        </w:rPr>
        <w:t>nombre</w:t>
      </w:r>
      <w:r>
        <w:rPr>
          <w:color w:val="231F20"/>
          <w:spacing w:val="-4"/>
          <w:sz w:val="17"/>
        </w:rPr>
        <w:t> </w:t>
      </w:r>
      <w:r>
        <w:rPr>
          <w:color w:val="231F20"/>
          <w:sz w:val="17"/>
        </w:rPr>
        <w:t>moyen</w:t>
      </w:r>
      <w:r>
        <w:rPr>
          <w:color w:val="231F20"/>
          <w:spacing w:val="-4"/>
          <w:sz w:val="17"/>
        </w:rPr>
        <w:t> </w:t>
      </w:r>
      <w:r>
        <w:rPr>
          <w:color w:val="231F20"/>
          <w:sz w:val="17"/>
        </w:rPr>
        <w:t>de</w:t>
      </w:r>
      <w:r>
        <w:rPr>
          <w:color w:val="231F20"/>
          <w:spacing w:val="-3"/>
          <w:sz w:val="17"/>
        </w:rPr>
        <w:t> </w:t>
      </w:r>
      <w:r>
        <w:rPr>
          <w:color w:val="231F20"/>
          <w:sz w:val="17"/>
        </w:rPr>
        <w:t>salariés</w:t>
      </w:r>
      <w:r>
        <w:rPr>
          <w:color w:val="231F20"/>
          <w:spacing w:val="-4"/>
          <w:sz w:val="17"/>
        </w:rPr>
        <w:t> </w:t>
      </w:r>
      <w:r>
        <w:rPr>
          <w:color w:val="231F20"/>
          <w:sz w:val="17"/>
        </w:rPr>
        <w:t>inférieur</w:t>
      </w:r>
      <w:r>
        <w:rPr>
          <w:color w:val="231F20"/>
          <w:spacing w:val="-3"/>
          <w:sz w:val="17"/>
        </w:rPr>
        <w:t> </w:t>
      </w:r>
      <w:r>
        <w:rPr>
          <w:color w:val="231F20"/>
          <w:sz w:val="17"/>
        </w:rPr>
        <w:t>à</w:t>
      </w:r>
      <w:r>
        <w:rPr>
          <w:color w:val="231F20"/>
          <w:spacing w:val="-4"/>
          <w:sz w:val="17"/>
        </w:rPr>
        <w:t> </w:t>
      </w:r>
      <w:r>
        <w:rPr>
          <w:color w:val="231F20"/>
          <w:sz w:val="17"/>
        </w:rPr>
        <w:t>250</w:t>
      </w:r>
      <w:r>
        <w:rPr>
          <w:color w:val="231F20"/>
          <w:spacing w:val="-3"/>
          <w:sz w:val="17"/>
        </w:rPr>
        <w:t> </w:t>
      </w:r>
      <w:r>
        <w:rPr>
          <w:color w:val="231F20"/>
          <w:sz w:val="17"/>
        </w:rPr>
        <w:t>personnes</w:t>
      </w:r>
      <w:r>
        <w:rPr>
          <w:color w:val="231F20"/>
          <w:spacing w:val="-4"/>
          <w:sz w:val="17"/>
        </w:rPr>
        <w:t> </w:t>
      </w:r>
      <w:r>
        <w:rPr>
          <w:color w:val="231F20"/>
          <w:sz w:val="17"/>
        </w:rPr>
        <w:t>sur</w:t>
      </w:r>
      <w:r>
        <w:rPr>
          <w:color w:val="231F20"/>
          <w:spacing w:val="-4"/>
          <w:sz w:val="17"/>
        </w:rPr>
        <w:t> </w:t>
      </w:r>
      <w:r>
        <w:rPr>
          <w:color w:val="231F20"/>
          <w:sz w:val="17"/>
        </w:rPr>
        <w:t>l’ensemble de l’exercice</w:t>
      </w:r>
      <w:r>
        <w:rPr>
          <w:color w:val="231F20"/>
          <w:spacing w:val="-12"/>
          <w:sz w:val="17"/>
        </w:rPr>
        <w:t> </w:t>
      </w:r>
      <w:r>
        <w:rPr>
          <w:color w:val="231F20"/>
          <w:sz w:val="17"/>
        </w:rPr>
        <w:t>concerné,</w:t>
      </w:r>
    </w:p>
    <w:p>
      <w:pPr>
        <w:pStyle w:val="ListParagraph"/>
        <w:numPr>
          <w:ilvl w:val="0"/>
          <w:numId w:val="112"/>
        </w:numPr>
        <w:tabs>
          <w:tab w:pos="477" w:val="left" w:leader="none"/>
        </w:tabs>
        <w:spacing w:line="240" w:lineRule="auto" w:before="100" w:after="0"/>
        <w:ind w:left="476" w:right="0" w:hanging="193"/>
        <w:jc w:val="left"/>
        <w:rPr>
          <w:sz w:val="17"/>
        </w:rPr>
      </w:pPr>
      <w:r>
        <w:rPr>
          <w:color w:val="231F20"/>
          <w:sz w:val="17"/>
        </w:rPr>
        <w:t>total</w:t>
      </w:r>
      <w:r>
        <w:rPr>
          <w:color w:val="231F20"/>
          <w:spacing w:val="11"/>
          <w:sz w:val="17"/>
        </w:rPr>
        <w:t> </w:t>
      </w:r>
      <w:r>
        <w:rPr>
          <w:color w:val="231F20"/>
          <w:sz w:val="17"/>
        </w:rPr>
        <w:t>du</w:t>
      </w:r>
      <w:r>
        <w:rPr>
          <w:color w:val="231F20"/>
          <w:spacing w:val="11"/>
          <w:sz w:val="17"/>
        </w:rPr>
        <w:t> </w:t>
      </w:r>
      <w:r>
        <w:rPr>
          <w:color w:val="231F20"/>
          <w:sz w:val="17"/>
        </w:rPr>
        <w:t>bilan</w:t>
      </w:r>
      <w:r>
        <w:rPr>
          <w:color w:val="231F20"/>
          <w:spacing w:val="11"/>
          <w:sz w:val="17"/>
        </w:rPr>
        <w:t> </w:t>
      </w:r>
      <w:r>
        <w:rPr>
          <w:color w:val="231F20"/>
          <w:sz w:val="17"/>
        </w:rPr>
        <w:t>inférieur</w:t>
      </w:r>
      <w:r>
        <w:rPr>
          <w:color w:val="231F20"/>
          <w:spacing w:val="11"/>
          <w:sz w:val="17"/>
        </w:rPr>
        <w:t> </w:t>
      </w:r>
      <w:r>
        <w:rPr>
          <w:color w:val="231F20"/>
          <w:sz w:val="17"/>
        </w:rPr>
        <w:t>ou</w:t>
      </w:r>
      <w:r>
        <w:rPr>
          <w:color w:val="231F20"/>
          <w:spacing w:val="11"/>
          <w:sz w:val="17"/>
        </w:rPr>
        <w:t> </w:t>
      </w:r>
      <w:r>
        <w:rPr>
          <w:color w:val="231F20"/>
          <w:sz w:val="17"/>
        </w:rPr>
        <w:t>égal</w:t>
      </w:r>
      <w:r>
        <w:rPr>
          <w:color w:val="231F20"/>
          <w:spacing w:val="11"/>
          <w:sz w:val="17"/>
        </w:rPr>
        <w:t> </w:t>
      </w:r>
      <w:r>
        <w:rPr>
          <w:color w:val="231F20"/>
          <w:sz w:val="17"/>
        </w:rPr>
        <w:t>à</w:t>
      </w:r>
      <w:r>
        <w:rPr>
          <w:color w:val="231F20"/>
          <w:spacing w:val="12"/>
          <w:sz w:val="17"/>
        </w:rPr>
        <w:t> </w:t>
      </w:r>
      <w:r>
        <w:rPr>
          <w:color w:val="231F20"/>
          <w:sz w:val="17"/>
        </w:rPr>
        <w:t>43</w:t>
      </w:r>
      <w:r>
        <w:rPr>
          <w:color w:val="231F20"/>
          <w:spacing w:val="11"/>
          <w:sz w:val="17"/>
        </w:rPr>
        <w:t> </w:t>
      </w:r>
      <w:r>
        <w:rPr>
          <w:color w:val="231F20"/>
          <w:sz w:val="17"/>
        </w:rPr>
        <w:t>000</w:t>
      </w:r>
      <w:r>
        <w:rPr>
          <w:color w:val="231F20"/>
          <w:spacing w:val="11"/>
          <w:sz w:val="17"/>
        </w:rPr>
        <w:t> </w:t>
      </w:r>
      <w:r>
        <w:rPr>
          <w:color w:val="231F20"/>
          <w:sz w:val="17"/>
        </w:rPr>
        <w:t>000</w:t>
      </w:r>
      <w:r>
        <w:rPr>
          <w:color w:val="231F20"/>
          <w:spacing w:val="11"/>
          <w:sz w:val="17"/>
        </w:rPr>
        <w:t> </w:t>
      </w:r>
      <w:r>
        <w:rPr>
          <w:color w:val="231F20"/>
          <w:sz w:val="17"/>
        </w:rPr>
        <w:t>euros,</w:t>
      </w:r>
    </w:p>
    <w:p>
      <w:pPr>
        <w:pStyle w:val="ListParagraph"/>
        <w:numPr>
          <w:ilvl w:val="0"/>
          <w:numId w:val="112"/>
        </w:numPr>
        <w:tabs>
          <w:tab w:pos="467" w:val="left" w:leader="none"/>
        </w:tabs>
        <w:spacing w:line="290" w:lineRule="atLeast" w:before="3" w:after="0"/>
        <w:ind w:left="283" w:right="38" w:firstLine="0"/>
        <w:jc w:val="left"/>
        <w:rPr>
          <w:sz w:val="17"/>
        </w:rPr>
      </w:pPr>
      <w:r>
        <w:rPr>
          <w:color w:val="231F20"/>
          <w:spacing w:val="-3"/>
          <w:sz w:val="17"/>
        </w:rPr>
        <w:t>chiffre </w:t>
      </w:r>
      <w:r>
        <w:rPr>
          <w:color w:val="231F20"/>
          <w:sz w:val="17"/>
        </w:rPr>
        <w:t>d’affaires net annuel inférieur ou égal à 50 000 000 euros, la</w:t>
      </w:r>
      <w:r>
        <w:rPr>
          <w:color w:val="231F20"/>
          <w:spacing w:val="29"/>
          <w:sz w:val="17"/>
        </w:rPr>
        <w:t> </w:t>
      </w:r>
      <w:r>
        <w:rPr>
          <w:color w:val="231F20"/>
          <w:sz w:val="17"/>
        </w:rPr>
        <w:t>constitution</w:t>
      </w:r>
      <w:r>
        <w:rPr>
          <w:color w:val="231F20"/>
          <w:spacing w:val="30"/>
          <w:sz w:val="17"/>
        </w:rPr>
        <w:t> </w:t>
      </w:r>
      <w:r>
        <w:rPr>
          <w:color w:val="231F20"/>
          <w:sz w:val="17"/>
        </w:rPr>
        <w:t>d’un</w:t>
      </w:r>
      <w:r>
        <w:rPr>
          <w:color w:val="231F20"/>
          <w:spacing w:val="29"/>
          <w:sz w:val="17"/>
        </w:rPr>
        <w:t> </w:t>
      </w:r>
      <w:r>
        <w:rPr>
          <w:color w:val="231F20"/>
          <w:sz w:val="17"/>
        </w:rPr>
        <w:t>comité</w:t>
      </w:r>
      <w:r>
        <w:rPr>
          <w:color w:val="231F20"/>
          <w:spacing w:val="30"/>
          <w:sz w:val="17"/>
        </w:rPr>
        <w:t> </w:t>
      </w:r>
      <w:r>
        <w:rPr>
          <w:color w:val="231F20"/>
          <w:sz w:val="17"/>
        </w:rPr>
        <w:t>d’audit</w:t>
      </w:r>
      <w:r>
        <w:rPr>
          <w:color w:val="231F20"/>
          <w:spacing w:val="30"/>
          <w:sz w:val="17"/>
        </w:rPr>
        <w:t> </w:t>
      </w:r>
      <w:r>
        <w:rPr>
          <w:color w:val="231F20"/>
          <w:sz w:val="17"/>
        </w:rPr>
        <w:t>au</w:t>
      </w:r>
      <w:r>
        <w:rPr>
          <w:color w:val="231F20"/>
          <w:spacing w:val="29"/>
          <w:sz w:val="17"/>
        </w:rPr>
        <w:t> </w:t>
      </w:r>
      <w:r>
        <w:rPr>
          <w:color w:val="231F20"/>
          <w:sz w:val="17"/>
        </w:rPr>
        <w:t>sein</w:t>
      </w:r>
      <w:r>
        <w:rPr>
          <w:color w:val="231F20"/>
          <w:spacing w:val="30"/>
          <w:sz w:val="17"/>
        </w:rPr>
        <w:t> </w:t>
      </w:r>
      <w:r>
        <w:rPr>
          <w:color w:val="231F20"/>
          <w:sz w:val="17"/>
        </w:rPr>
        <w:t>de</w:t>
      </w:r>
      <w:r>
        <w:rPr>
          <w:color w:val="231F20"/>
          <w:spacing w:val="30"/>
          <w:sz w:val="17"/>
        </w:rPr>
        <w:t> </w:t>
      </w:r>
      <w:r>
        <w:rPr>
          <w:color w:val="231F20"/>
          <w:sz w:val="17"/>
        </w:rPr>
        <w:t>leur</w:t>
      </w:r>
      <w:r>
        <w:rPr>
          <w:color w:val="231F20"/>
          <w:spacing w:val="29"/>
          <w:sz w:val="17"/>
        </w:rPr>
        <w:t> </w:t>
      </w:r>
      <w:r>
        <w:rPr>
          <w:color w:val="231F20"/>
          <w:sz w:val="17"/>
        </w:rPr>
        <w:t>conseil</w:t>
      </w:r>
      <w:r>
        <w:rPr>
          <w:color w:val="231F20"/>
          <w:spacing w:val="30"/>
          <w:sz w:val="17"/>
        </w:rPr>
        <w:t> </w:t>
      </w:r>
      <w:r>
        <w:rPr>
          <w:color w:val="231F20"/>
          <w:sz w:val="17"/>
        </w:rPr>
        <w:t>de</w:t>
      </w:r>
    </w:p>
    <w:p>
      <w:pPr>
        <w:pStyle w:val="BodyText"/>
        <w:spacing w:line="218" w:lineRule="auto"/>
        <w:ind w:right="38" w:firstLine="0"/>
      </w:pPr>
      <w:r>
        <w:rPr>
          <w:color w:val="231F20"/>
        </w:rPr>
        <w:t>surveillance n’est pas obligatoire. Dans ce cas, le conseil de surveillance dans son ensemble doit exercer les fonctions attribuées au comité d’audit, à condition qu’il compte au moins un administrateur indépen- dant.</w:t>
      </w:r>
    </w:p>
    <w:p>
      <w:pPr>
        <w:pStyle w:val="BodyText"/>
        <w:spacing w:line="218" w:lineRule="auto" w:before="129"/>
        <w:ind w:right="38"/>
      </w:pPr>
      <w:r>
        <w:rPr>
          <w:color w:val="231F20"/>
        </w:rPr>
        <w:t>§ 4. Sans préjudice des missions légales du conseil de surveillance, le comité d’audit est au moins chargé des missions suivantes:</w:t>
      </w:r>
    </w:p>
    <w:p>
      <w:pPr>
        <w:pStyle w:val="BodyText"/>
        <w:spacing w:line="218" w:lineRule="auto" w:before="128"/>
        <w:ind w:right="38"/>
      </w:pPr>
      <w:r>
        <w:rPr>
          <w:color w:val="231F20"/>
        </w:rPr>
        <w:t>1° communication au conseil de surveillance d’informations sur les résultats du contrôle légal des comptes annuels et, le cas échéant, des comptes consolidés et d’explications sur la façon dont le contrôle légal des comptes annuels et, le cas échéant, des comptes consolidés ont contribué à l’intégrité de l’information financière et sur le rôle que le comité d’audit a joué dans ce processus;</w:t>
      </w:r>
    </w:p>
    <w:p>
      <w:pPr>
        <w:pStyle w:val="BodyText"/>
        <w:spacing w:before="8"/>
        <w:ind w:left="0" w:right="0" w:firstLine="0"/>
        <w:jc w:val="left"/>
        <w:rPr>
          <w:sz w:val="26"/>
        </w:rPr>
      </w:pPr>
    </w:p>
    <w:p>
      <w:pPr>
        <w:pStyle w:val="BodyText"/>
        <w:spacing w:line="218" w:lineRule="auto"/>
        <w:ind w:right="38"/>
      </w:pPr>
      <w:r>
        <w:rPr>
          <w:color w:val="231F20"/>
        </w:rPr>
        <w:t>2° suivi du processus d’élaboration de l’information financière et présentation de recommandations ou de propositions pour en garantir l’intégrité;</w:t>
      </w:r>
    </w:p>
    <w:p>
      <w:pPr>
        <w:pStyle w:val="BodyText"/>
        <w:spacing w:line="218" w:lineRule="auto" w:before="129"/>
        <w:ind w:right="38"/>
      </w:pPr>
      <w:r>
        <w:rPr>
          <w:color w:val="231F20"/>
        </w:rPr>
        <w:t>3° suivi de l’efficacité des systèmes de contrôle interne et de gestion des risques de la société ainsi que, s’il existe un audit interne, suivi de celui-ci et de son efficacité;</w:t>
      </w:r>
    </w:p>
    <w:p>
      <w:pPr>
        <w:pStyle w:val="BodyText"/>
        <w:spacing w:before="8"/>
        <w:ind w:left="0" w:right="0" w:firstLine="0"/>
        <w:jc w:val="left"/>
        <w:rPr>
          <w:sz w:val="26"/>
        </w:rPr>
      </w:pPr>
    </w:p>
    <w:p>
      <w:pPr>
        <w:pStyle w:val="BodyText"/>
        <w:spacing w:line="218" w:lineRule="auto"/>
        <w:ind w:right="38"/>
      </w:pPr>
      <w:r>
        <w:rPr>
          <w:color w:val="231F20"/>
        </w:rPr>
        <w:t>4° suivi du contrôle légal des comptes annuels et des comptes consolidés, en ce compris le suivi des questions et recommandations formulées par le commissaire et, le cas échéant, par le réviseur d’entreprises chargé du contrôle des comptes consolidés;</w:t>
      </w:r>
    </w:p>
    <w:p>
      <w:pPr>
        <w:pStyle w:val="BodyText"/>
        <w:spacing w:before="9"/>
        <w:ind w:left="0" w:right="0" w:firstLine="0"/>
        <w:jc w:val="left"/>
        <w:rPr>
          <w:sz w:val="26"/>
        </w:rPr>
      </w:pPr>
    </w:p>
    <w:p>
      <w:pPr>
        <w:pStyle w:val="BodyText"/>
        <w:spacing w:line="218" w:lineRule="auto"/>
        <w:ind w:right="38"/>
      </w:pPr>
      <w:r>
        <w:rPr>
          <w:color w:val="231F20"/>
        </w:rPr>
        <w:t>5° examen et suivi de l’indépendance du commissaire et le cas échéant du réviseur d’entreprises chargé du contrôle des comptes consolidés, en particulier pour ce qui concerne la fourniture de services complémentaires à la société. En particulier, il analyse avec le commissaire les risques pesant sur l’indépendance de celui-ci et</w:t>
      </w:r>
      <w:r>
        <w:rPr>
          <w:color w:val="231F20"/>
          <w:spacing w:val="22"/>
        </w:rPr>
        <w:t> </w:t>
      </w:r>
      <w:r>
        <w:rPr>
          <w:color w:val="231F20"/>
        </w:rPr>
        <w:t>les mesures de sauvegarde appliquées pour atténuer ces risques, lorsque les honoraires totaux relatifs à une entité d’intérêt public visée à l’article 1:12 dépassent les critères fixés par l’article 4, § 3, du règlement (UE) n°</w:t>
      </w:r>
      <w:r>
        <w:rPr>
          <w:color w:val="231F20"/>
          <w:spacing w:val="-13"/>
        </w:rPr>
        <w:t> </w:t>
      </w:r>
      <w:r>
        <w:rPr>
          <w:color w:val="231F20"/>
        </w:rPr>
        <w:t>537/2014;</w:t>
      </w:r>
    </w:p>
    <w:p>
      <w:pPr>
        <w:pStyle w:val="BodyText"/>
        <w:spacing w:line="218" w:lineRule="auto" w:before="119"/>
        <w:ind w:right="125"/>
      </w:pPr>
      <w:r>
        <w:rPr/>
        <w:br w:type="column"/>
      </w:r>
      <w:r>
        <w:rPr>
          <w:color w:val="231F20"/>
        </w:rPr>
        <w:t>Hetzelfde geldt voor de beslissingen of verrichtingen bedoeld in het eerste lid die verband houden met een of meer dochtervennootschap- pen van de genoteerde vennootschap waarin de natuurlijke of rechts- persoon die de ultieme controle over de genoteerde vennootschap  heeft,</w:t>
      </w:r>
      <w:r>
        <w:rPr>
          <w:color w:val="231F20"/>
          <w:spacing w:val="-7"/>
        </w:rPr>
        <w:t> </w:t>
      </w:r>
      <w:r>
        <w:rPr>
          <w:color w:val="231F20"/>
        </w:rPr>
        <w:t>rechtstreeks</w:t>
      </w:r>
      <w:r>
        <w:rPr>
          <w:color w:val="231F20"/>
          <w:spacing w:val="-6"/>
        </w:rPr>
        <w:t> </w:t>
      </w:r>
      <w:r>
        <w:rPr>
          <w:color w:val="231F20"/>
        </w:rPr>
        <w:t>of</w:t>
      </w:r>
      <w:r>
        <w:rPr>
          <w:color w:val="231F20"/>
          <w:spacing w:val="-7"/>
        </w:rPr>
        <w:t> </w:t>
      </w:r>
      <w:r>
        <w:rPr>
          <w:color w:val="231F20"/>
        </w:rPr>
        <w:t>onrechtstreeks</w:t>
      </w:r>
      <w:r>
        <w:rPr>
          <w:color w:val="231F20"/>
          <w:spacing w:val="-6"/>
        </w:rPr>
        <w:t> </w:t>
      </w:r>
      <w:r>
        <w:rPr>
          <w:color w:val="231F20"/>
        </w:rPr>
        <w:t>via</w:t>
      </w:r>
      <w:r>
        <w:rPr>
          <w:color w:val="231F20"/>
          <w:spacing w:val="-6"/>
        </w:rPr>
        <w:t> </w:t>
      </w:r>
      <w:r>
        <w:rPr>
          <w:color w:val="231F20"/>
        </w:rPr>
        <w:t>andere</w:t>
      </w:r>
      <w:r>
        <w:rPr>
          <w:color w:val="231F20"/>
          <w:spacing w:val="-7"/>
        </w:rPr>
        <w:t> </w:t>
      </w:r>
      <w:r>
        <w:rPr>
          <w:color w:val="231F20"/>
        </w:rPr>
        <w:t>natuurlijke</w:t>
      </w:r>
      <w:r>
        <w:rPr>
          <w:color w:val="231F20"/>
          <w:spacing w:val="-6"/>
        </w:rPr>
        <w:t> </w:t>
      </w:r>
      <w:r>
        <w:rPr>
          <w:color w:val="231F20"/>
        </w:rPr>
        <w:t>of</w:t>
      </w:r>
      <w:r>
        <w:rPr>
          <w:color w:val="231F20"/>
          <w:spacing w:val="-6"/>
        </w:rPr>
        <w:t> </w:t>
      </w:r>
      <w:r>
        <w:rPr>
          <w:color w:val="231F20"/>
        </w:rPr>
        <w:t>rechtsper- sonen dan de genoteerde vennootschap, een deelneming aanhoudt die minstens 25 % van het kapitaal van de betrokken dochtervennootschap vertegenwoordigt of die hem ingeval van winstuitkering door die dochtervennootschap</w:t>
      </w:r>
      <w:r>
        <w:rPr>
          <w:color w:val="231F20"/>
          <w:spacing w:val="15"/>
        </w:rPr>
        <w:t> </w:t>
      </w:r>
      <w:r>
        <w:rPr>
          <w:color w:val="231F20"/>
        </w:rPr>
        <w:t>recht</w:t>
      </w:r>
      <w:r>
        <w:rPr>
          <w:color w:val="231F20"/>
          <w:spacing w:val="15"/>
        </w:rPr>
        <w:t> </w:t>
      </w:r>
      <w:r>
        <w:rPr>
          <w:color w:val="231F20"/>
        </w:rPr>
        <w:t>geeft</w:t>
      </w:r>
      <w:r>
        <w:rPr>
          <w:color w:val="231F20"/>
          <w:spacing w:val="16"/>
        </w:rPr>
        <w:t> </w:t>
      </w:r>
      <w:r>
        <w:rPr>
          <w:color w:val="231F20"/>
        </w:rPr>
        <w:t>op</w:t>
      </w:r>
      <w:r>
        <w:rPr>
          <w:color w:val="231F20"/>
          <w:spacing w:val="15"/>
        </w:rPr>
        <w:t> </w:t>
      </w:r>
      <w:r>
        <w:rPr>
          <w:color w:val="231F20"/>
        </w:rPr>
        <w:t>minstens</w:t>
      </w:r>
      <w:r>
        <w:rPr>
          <w:color w:val="231F20"/>
          <w:spacing w:val="15"/>
        </w:rPr>
        <w:t> </w:t>
      </w:r>
      <w:r>
        <w:rPr>
          <w:color w:val="231F20"/>
        </w:rPr>
        <w:t>25</w:t>
      </w:r>
      <w:r>
        <w:rPr>
          <w:color w:val="231F20"/>
          <w:spacing w:val="16"/>
        </w:rPr>
        <w:t> </w:t>
      </w:r>
      <w:r>
        <w:rPr>
          <w:color w:val="231F20"/>
        </w:rPr>
        <w:t>%</w:t>
      </w:r>
      <w:r>
        <w:rPr>
          <w:color w:val="231F20"/>
          <w:spacing w:val="15"/>
        </w:rPr>
        <w:t> </w:t>
      </w:r>
      <w:r>
        <w:rPr>
          <w:color w:val="231F20"/>
        </w:rPr>
        <w:t>daarvan.</w:t>
      </w:r>
    </w:p>
    <w:p>
      <w:pPr>
        <w:pStyle w:val="BodyText"/>
        <w:spacing w:line="218" w:lineRule="auto" w:before="119"/>
        <w:ind w:right="123"/>
      </w:pPr>
      <w:r>
        <w:rPr>
          <w:color w:val="231F20"/>
        </w:rPr>
        <w:t>De niet genoteerde Belgische dochtervennootschappen van de geno- teerde vennootschap bedoeld in het eerste lid kunnen zonder vooraf- gaand akkoord van de raad van toezicht van deze genoteerde vennootschap geen beslissingen nemen of verrichtingen uitvoeren die verband houden met hun betrekkingen met de vennootschap waarmee zij zijn verbonden en die noch de genoteerde vennootschap is, noch een dochtervennootschap ervan die niet is bedoeld in het tweede lid.</w:t>
      </w:r>
    </w:p>
    <w:p>
      <w:pPr>
        <w:pStyle w:val="BodyText"/>
        <w:spacing w:before="103"/>
        <w:ind w:left="283" w:right="0" w:firstLine="0"/>
        <w:jc w:val="left"/>
      </w:pPr>
      <w:r>
        <w:rPr>
          <w:color w:val="231F20"/>
        </w:rPr>
        <w:t>Onderafdeling 4. Comités binnen de raad van toezicht.</w:t>
      </w:r>
    </w:p>
    <w:p>
      <w:pPr>
        <w:pStyle w:val="BodyText"/>
        <w:spacing w:line="218" w:lineRule="auto" w:before="114"/>
      </w:pPr>
      <w:r>
        <w:rPr>
          <w:color w:val="231F20"/>
        </w:rPr>
        <w:t>Art. 7:118. De raad van toezicht kan in zijn midden en onder zijn aansprakelijkheid een of meer adviserende comités oprichten. Hij omschrijft hun samenstelling en hun mandaten.</w:t>
      </w:r>
    </w:p>
    <w:p>
      <w:pPr>
        <w:pStyle w:val="BodyText"/>
        <w:spacing w:line="218" w:lineRule="auto" w:before="118"/>
      </w:pPr>
      <w:r>
        <w:rPr>
          <w:color w:val="231F20"/>
        </w:rPr>
        <w:t>Art. 7:119. § 1. De genoteerde vennootschappen en de organisaties van openbaar belang bedoeld in artikel 1:12, 2°, richten een auditcomité op</w:t>
      </w:r>
      <w:r>
        <w:rPr>
          <w:color w:val="231F20"/>
          <w:spacing w:val="15"/>
        </w:rPr>
        <w:t> </w:t>
      </w:r>
      <w:r>
        <w:rPr>
          <w:color w:val="231F20"/>
        </w:rPr>
        <w:t>binnen</w:t>
      </w:r>
      <w:r>
        <w:rPr>
          <w:color w:val="231F20"/>
          <w:spacing w:val="15"/>
        </w:rPr>
        <w:t> </w:t>
      </w:r>
      <w:r>
        <w:rPr>
          <w:color w:val="231F20"/>
        </w:rPr>
        <w:t>hun</w:t>
      </w:r>
      <w:r>
        <w:rPr>
          <w:color w:val="231F20"/>
          <w:spacing w:val="16"/>
        </w:rPr>
        <w:t> </w:t>
      </w:r>
      <w:r>
        <w:rPr>
          <w:color w:val="231F20"/>
        </w:rPr>
        <w:t>raad</w:t>
      </w:r>
      <w:r>
        <w:rPr>
          <w:color w:val="231F20"/>
          <w:spacing w:val="15"/>
        </w:rPr>
        <w:t> </w:t>
      </w:r>
      <w:r>
        <w:rPr>
          <w:color w:val="231F20"/>
        </w:rPr>
        <w:t>van</w:t>
      </w:r>
      <w:r>
        <w:rPr>
          <w:color w:val="231F20"/>
          <w:spacing w:val="15"/>
        </w:rPr>
        <w:t> </w:t>
      </w:r>
      <w:r>
        <w:rPr>
          <w:color w:val="231F20"/>
        </w:rPr>
        <w:t>toezicht.</w:t>
      </w:r>
    </w:p>
    <w:p>
      <w:pPr>
        <w:pStyle w:val="BodyText"/>
        <w:spacing w:line="218" w:lineRule="auto" w:before="117"/>
      </w:pPr>
      <w:r>
        <w:rPr>
          <w:color w:val="231F20"/>
        </w:rPr>
        <w:t>§ 2. Ten minste één lid van het auditcomité is een onafhankelijk lid van de raad van toezicht.</w:t>
      </w:r>
    </w:p>
    <w:p>
      <w:pPr>
        <w:pStyle w:val="BodyText"/>
        <w:spacing w:line="218" w:lineRule="auto" w:before="118"/>
      </w:pPr>
      <w:r>
        <w:rPr>
          <w:color w:val="231F20"/>
        </w:rPr>
        <w:t>De voorzitter van het auditcomité wordt benoemd door de leden van het comité.</w:t>
      </w:r>
    </w:p>
    <w:p>
      <w:pPr>
        <w:pStyle w:val="BodyText"/>
        <w:spacing w:line="218" w:lineRule="auto" w:before="117"/>
      </w:pPr>
      <w:r>
        <w:rPr>
          <w:color w:val="231F20"/>
        </w:rPr>
        <w:t>De leden van het auditcomité beschikken over een collectieve deskundigheid op het gebied van de activiteiten van de gecontroleerde vennootschap. Ten minste één lid van het auditcomité beschikt over de nodige deskundigheid op het gebied van boekhouding en audit.</w:t>
      </w:r>
    </w:p>
    <w:p>
      <w:pPr>
        <w:pStyle w:val="BodyText"/>
        <w:spacing w:line="218" w:lineRule="auto" w:before="118"/>
      </w:pPr>
      <w:r>
        <w:rPr>
          <w:color w:val="231F20"/>
        </w:rPr>
        <w:t>§ 3. Vennootschappen die op geconsolideerde basis aan ten minste twee van de volgende drie criteria voldoen:</w:t>
      </w:r>
    </w:p>
    <w:p>
      <w:pPr>
        <w:pStyle w:val="ListParagraph"/>
        <w:numPr>
          <w:ilvl w:val="0"/>
          <w:numId w:val="113"/>
        </w:numPr>
        <w:tabs>
          <w:tab w:pos="474" w:val="left" w:leader="none"/>
        </w:tabs>
        <w:spacing w:line="218" w:lineRule="auto" w:before="115" w:after="0"/>
        <w:ind w:left="113" w:right="124" w:firstLine="170"/>
        <w:jc w:val="both"/>
        <w:rPr>
          <w:sz w:val="17"/>
        </w:rPr>
      </w:pPr>
      <w:r>
        <w:rPr>
          <w:color w:val="231F20"/>
          <w:sz w:val="17"/>
        </w:rPr>
        <w:t>gemiddeld aantal werknemers gedurende het betrokken boekjaar van minder dan 250</w:t>
      </w:r>
      <w:r>
        <w:rPr>
          <w:color w:val="231F20"/>
          <w:spacing w:val="17"/>
          <w:sz w:val="17"/>
        </w:rPr>
        <w:t> </w:t>
      </w:r>
      <w:r>
        <w:rPr>
          <w:color w:val="231F20"/>
          <w:sz w:val="17"/>
        </w:rPr>
        <w:t>personen,</w:t>
      </w:r>
    </w:p>
    <w:p>
      <w:pPr>
        <w:pStyle w:val="ListParagraph"/>
        <w:numPr>
          <w:ilvl w:val="0"/>
          <w:numId w:val="113"/>
        </w:numPr>
        <w:tabs>
          <w:tab w:pos="477" w:val="left" w:leader="none"/>
        </w:tabs>
        <w:spacing w:line="240" w:lineRule="auto" w:before="100" w:after="0"/>
        <w:ind w:left="476" w:right="0" w:hanging="193"/>
        <w:jc w:val="left"/>
        <w:rPr>
          <w:sz w:val="17"/>
        </w:rPr>
      </w:pPr>
      <w:r>
        <w:rPr>
          <w:color w:val="231F20"/>
          <w:sz w:val="17"/>
        </w:rPr>
        <w:t>balanstotaal van minder dan of gelijk aan 43 000</w:t>
      </w:r>
      <w:r>
        <w:rPr>
          <w:color w:val="231F20"/>
          <w:spacing w:val="27"/>
          <w:sz w:val="17"/>
        </w:rPr>
        <w:t> </w:t>
      </w:r>
      <w:r>
        <w:rPr>
          <w:color w:val="231F20"/>
          <w:sz w:val="17"/>
        </w:rPr>
        <w:t>000 euro,</w:t>
      </w:r>
    </w:p>
    <w:p>
      <w:pPr>
        <w:pStyle w:val="ListParagraph"/>
        <w:numPr>
          <w:ilvl w:val="0"/>
          <w:numId w:val="113"/>
        </w:numPr>
        <w:tabs>
          <w:tab w:pos="450" w:val="left" w:leader="none"/>
        </w:tabs>
        <w:spacing w:line="240" w:lineRule="auto" w:before="97" w:after="0"/>
        <w:ind w:left="449" w:right="0" w:hanging="166"/>
        <w:jc w:val="left"/>
        <w:rPr>
          <w:sz w:val="17"/>
        </w:rPr>
      </w:pPr>
      <w:r>
        <w:rPr>
          <w:color w:val="231F20"/>
          <w:sz w:val="17"/>
        </w:rPr>
        <w:t>jaarlijkse</w:t>
      </w:r>
      <w:r>
        <w:rPr>
          <w:color w:val="231F20"/>
          <w:spacing w:val="-12"/>
          <w:sz w:val="17"/>
        </w:rPr>
        <w:t> </w:t>
      </w:r>
      <w:r>
        <w:rPr>
          <w:color w:val="231F20"/>
          <w:sz w:val="17"/>
        </w:rPr>
        <w:t>netto-omzet</w:t>
      </w:r>
      <w:r>
        <w:rPr>
          <w:color w:val="231F20"/>
          <w:spacing w:val="-12"/>
          <w:sz w:val="17"/>
        </w:rPr>
        <w:t> </w:t>
      </w:r>
      <w:r>
        <w:rPr>
          <w:color w:val="231F20"/>
          <w:sz w:val="17"/>
        </w:rPr>
        <w:t>van</w:t>
      </w:r>
      <w:r>
        <w:rPr>
          <w:color w:val="231F20"/>
          <w:spacing w:val="-12"/>
          <w:sz w:val="17"/>
        </w:rPr>
        <w:t> </w:t>
      </w:r>
      <w:r>
        <w:rPr>
          <w:color w:val="231F20"/>
          <w:sz w:val="17"/>
        </w:rPr>
        <w:t>minder</w:t>
      </w:r>
      <w:r>
        <w:rPr>
          <w:color w:val="231F20"/>
          <w:spacing w:val="-12"/>
          <w:sz w:val="17"/>
        </w:rPr>
        <w:t> </w:t>
      </w:r>
      <w:r>
        <w:rPr>
          <w:color w:val="231F20"/>
          <w:sz w:val="17"/>
        </w:rPr>
        <w:t>dan</w:t>
      </w:r>
      <w:r>
        <w:rPr>
          <w:color w:val="231F20"/>
          <w:spacing w:val="-11"/>
          <w:sz w:val="17"/>
        </w:rPr>
        <w:t> </w:t>
      </w:r>
      <w:r>
        <w:rPr>
          <w:color w:val="231F20"/>
          <w:sz w:val="17"/>
        </w:rPr>
        <w:t>of</w:t>
      </w:r>
      <w:r>
        <w:rPr>
          <w:color w:val="231F20"/>
          <w:spacing w:val="-12"/>
          <w:sz w:val="17"/>
        </w:rPr>
        <w:t> </w:t>
      </w:r>
      <w:r>
        <w:rPr>
          <w:color w:val="231F20"/>
          <w:sz w:val="17"/>
        </w:rPr>
        <w:t>gelijk</w:t>
      </w:r>
      <w:r>
        <w:rPr>
          <w:color w:val="231F20"/>
          <w:spacing w:val="-12"/>
          <w:sz w:val="17"/>
        </w:rPr>
        <w:t> </w:t>
      </w:r>
      <w:r>
        <w:rPr>
          <w:color w:val="231F20"/>
          <w:sz w:val="17"/>
        </w:rPr>
        <w:t>aan</w:t>
      </w:r>
      <w:r>
        <w:rPr>
          <w:color w:val="231F20"/>
          <w:spacing w:val="-12"/>
          <w:sz w:val="17"/>
        </w:rPr>
        <w:t> </w:t>
      </w:r>
      <w:r>
        <w:rPr>
          <w:color w:val="231F20"/>
          <w:sz w:val="17"/>
        </w:rPr>
        <w:t>50</w:t>
      </w:r>
      <w:r>
        <w:rPr>
          <w:color w:val="231F20"/>
          <w:spacing w:val="-9"/>
          <w:sz w:val="17"/>
        </w:rPr>
        <w:t> </w:t>
      </w:r>
      <w:r>
        <w:rPr>
          <w:color w:val="231F20"/>
          <w:sz w:val="17"/>
        </w:rPr>
        <w:t>000</w:t>
      </w:r>
      <w:r>
        <w:rPr>
          <w:color w:val="231F20"/>
          <w:spacing w:val="-10"/>
          <w:sz w:val="17"/>
        </w:rPr>
        <w:t> </w:t>
      </w:r>
      <w:r>
        <w:rPr>
          <w:color w:val="231F20"/>
          <w:sz w:val="17"/>
        </w:rPr>
        <w:t>000</w:t>
      </w:r>
      <w:r>
        <w:rPr>
          <w:color w:val="231F20"/>
          <w:spacing w:val="-12"/>
          <w:sz w:val="17"/>
        </w:rPr>
        <w:t> </w:t>
      </w:r>
      <w:r>
        <w:rPr>
          <w:color w:val="231F20"/>
          <w:sz w:val="17"/>
        </w:rPr>
        <w:t>euro,</w:t>
      </w:r>
    </w:p>
    <w:p>
      <w:pPr>
        <w:pStyle w:val="BodyText"/>
        <w:spacing w:line="218" w:lineRule="auto" w:before="114"/>
      </w:pPr>
      <w:r>
        <w:rPr>
          <w:color w:val="231F20"/>
        </w:rPr>
        <w:t>zijn niet verplicht om een auditcomité op te richten binnen hun raad van toezicht. In dat geval moet de raad van toezicht als geheel de aan het auditcomité toegewezen taken uitvoeren, op voorwaarde dat hij ten minste één onafhankelijk bestuurder telt.</w:t>
      </w:r>
    </w:p>
    <w:p>
      <w:pPr>
        <w:pStyle w:val="BodyText"/>
        <w:spacing w:before="9"/>
        <w:ind w:left="0" w:right="0" w:firstLine="0"/>
        <w:jc w:val="left"/>
        <w:rPr>
          <w:sz w:val="26"/>
        </w:rPr>
      </w:pPr>
    </w:p>
    <w:p>
      <w:pPr>
        <w:pStyle w:val="BodyText"/>
        <w:spacing w:line="218" w:lineRule="auto"/>
      </w:pPr>
      <w:r>
        <w:rPr>
          <w:color w:val="231F20"/>
        </w:rPr>
        <w:t>§ 4. Onverminderd de wettelijke opdrachten van de raad van toezicht heeft het auditcomité minstens de volgende taken:</w:t>
      </w:r>
    </w:p>
    <w:p>
      <w:pPr>
        <w:pStyle w:val="BodyText"/>
        <w:spacing w:line="218" w:lineRule="auto" w:before="128"/>
        <w:ind w:right="123"/>
      </w:pPr>
      <w:r>
        <w:rPr>
          <w:color w:val="231F20"/>
        </w:rPr>
        <w:t>1° de raad van toezicht in kennis stellen van het resultaat van de wettelijke controle van de jaarrekening en, in voorkomend geval, van  de geconsolideerde jaarrekening en toelichten op welke wijze de wettelijke controle van de jaarrekening en, in voorkomend geval, van  de geconsolideerde jaarrekening heeft bijgedragen tot de integriteit van de financiële verslaglegging en welke rol het auditcomité in dat proces heeft</w:t>
      </w:r>
      <w:r>
        <w:rPr>
          <w:color w:val="231F20"/>
          <w:spacing w:val="15"/>
        </w:rPr>
        <w:t> </w:t>
      </w:r>
      <w:r>
        <w:rPr>
          <w:color w:val="231F20"/>
        </w:rPr>
        <w:t>gespeeld;</w:t>
      </w:r>
    </w:p>
    <w:p>
      <w:pPr>
        <w:pStyle w:val="BodyText"/>
        <w:spacing w:line="218" w:lineRule="auto" w:before="129"/>
      </w:pPr>
      <w:r>
        <w:rPr>
          <w:color w:val="231F20"/>
        </w:rPr>
        <w:t>2° monitoring van het financiële verslaggevingsproces en aanbeve- lingen of voorstellen te doen om de integriteit van het proces te waarborgen;</w:t>
      </w:r>
    </w:p>
    <w:p>
      <w:pPr>
        <w:pStyle w:val="BodyText"/>
        <w:spacing w:line="218" w:lineRule="auto" w:before="128"/>
        <w:ind w:right="123"/>
      </w:pPr>
      <w:r>
        <w:rPr>
          <w:color w:val="231F20"/>
        </w:rPr>
        <w:t>3° monitoring van de doeltreffendheid van de systemen voor interne controle en risicobeheer van de vennootschap alsook, indien er een interne audit bestaat, monitoring van de interne audit en van zijn doeltreffendheid;</w:t>
      </w:r>
    </w:p>
    <w:p>
      <w:pPr>
        <w:pStyle w:val="BodyText"/>
        <w:spacing w:line="218" w:lineRule="auto" w:before="128"/>
      </w:pPr>
      <w:r>
        <w:rPr>
          <w:color w:val="231F20"/>
        </w:rPr>
        <w:t>4° monitoring van de wettelijke controle van de jaarrekening en de geconsolideerde jaarrekening, inclusief opvolging van de vragen en aanbevelingen geformuleerd door de commissaris en, in voorkomend geval, door de bedrijfsrevisor die instaat voor de controle van de geconsolideerde jaarrekening;</w:t>
      </w:r>
    </w:p>
    <w:p>
      <w:pPr>
        <w:pStyle w:val="BodyText"/>
        <w:spacing w:line="218" w:lineRule="auto" w:before="128"/>
      </w:pPr>
      <w:r>
        <w:rPr>
          <w:color w:val="231F20"/>
        </w:rPr>
        <w:t>5° beoordeling en monitoring van de onafhankelijkheid van de commissaris en, in voorkomend geval, van de bedrijfsrevisor die instaat voor de controle van de geconsolideerde jaarrekening, waarbij met name de verlening van bijkomende diensten aan de vennootschap wordt nagegaan. Meer in het bijzonder analyseert het auditcomité met de commissaris de bedreigingen voor zijn onafhankelijkheid en de veiligheidsmaatregelen die genomen zijn om deze bedreigingen in te perken, wanneer de totale honoraria bij een organisatie van openbaar belang, bedoeld in artikel 1:12, meer bedragen dan de criteria bepaald in</w:t>
      </w:r>
      <w:r>
        <w:rPr>
          <w:color w:val="231F20"/>
          <w:spacing w:val="13"/>
        </w:rPr>
        <w:t> </w:t>
      </w:r>
      <w:r>
        <w:rPr>
          <w:color w:val="231F20"/>
        </w:rPr>
        <w:t>artikel</w:t>
      </w:r>
      <w:r>
        <w:rPr>
          <w:color w:val="231F20"/>
          <w:spacing w:val="14"/>
        </w:rPr>
        <w:t> </w:t>
      </w:r>
      <w:r>
        <w:rPr>
          <w:color w:val="231F20"/>
        </w:rPr>
        <w:t>4,</w:t>
      </w:r>
      <w:r>
        <w:rPr>
          <w:color w:val="231F20"/>
          <w:spacing w:val="13"/>
        </w:rPr>
        <w:t> </w:t>
      </w:r>
      <w:r>
        <w:rPr>
          <w:color w:val="231F20"/>
        </w:rPr>
        <w:t>lid</w:t>
      </w:r>
      <w:r>
        <w:rPr>
          <w:color w:val="231F20"/>
          <w:spacing w:val="14"/>
        </w:rPr>
        <w:t> </w:t>
      </w:r>
      <w:r>
        <w:rPr>
          <w:color w:val="231F20"/>
        </w:rPr>
        <w:t>3,</w:t>
      </w:r>
      <w:r>
        <w:rPr>
          <w:color w:val="231F20"/>
          <w:spacing w:val="13"/>
        </w:rPr>
        <w:t> </w:t>
      </w:r>
      <w:r>
        <w:rPr>
          <w:color w:val="231F20"/>
        </w:rPr>
        <w:t>van</w:t>
      </w:r>
      <w:r>
        <w:rPr>
          <w:color w:val="231F20"/>
          <w:spacing w:val="14"/>
        </w:rPr>
        <w:t> </w:t>
      </w:r>
      <w:r>
        <w:rPr>
          <w:color w:val="231F20"/>
        </w:rPr>
        <w:t>de</w:t>
      </w:r>
      <w:r>
        <w:rPr>
          <w:color w:val="231F20"/>
          <w:spacing w:val="13"/>
        </w:rPr>
        <w:t> </w:t>
      </w:r>
      <w:r>
        <w:rPr>
          <w:color w:val="231F20"/>
        </w:rPr>
        <w:t>verordening</w:t>
      </w:r>
      <w:r>
        <w:rPr>
          <w:color w:val="231F20"/>
          <w:spacing w:val="14"/>
        </w:rPr>
        <w:t> </w:t>
      </w:r>
      <w:r>
        <w:rPr>
          <w:color w:val="231F20"/>
        </w:rPr>
        <w:t>(EU)</w:t>
      </w:r>
      <w:r>
        <w:rPr>
          <w:color w:val="231F20"/>
          <w:spacing w:val="13"/>
        </w:rPr>
        <w:t> </w:t>
      </w:r>
      <w:r>
        <w:rPr>
          <w:color w:val="231F20"/>
          <w:spacing w:val="-5"/>
        </w:rPr>
        <w:t>nr.</w:t>
      </w:r>
      <w:r>
        <w:rPr>
          <w:color w:val="231F20"/>
          <w:spacing w:val="14"/>
        </w:rPr>
        <w:t> </w:t>
      </w:r>
      <w:r>
        <w:rPr>
          <w:color w:val="231F20"/>
        </w:rPr>
        <w:t>537/2014;</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98"/>
      </w:pPr>
      <w:r>
        <w:rPr/>
        <w:pict>
          <v:line style="position:absolute;mso-position-horizontal-relative:page;mso-position-vertical-relative:page;z-index:5272" from="298.170502pt,64.473pt" to="298.170502pt,812.819pt" stroked="true" strokeweight=".533pt" strokecolor="#231f20">
            <v:stroke dashstyle="solid"/>
            <w10:wrap type="none"/>
          </v:line>
        </w:pict>
      </w:r>
      <w:bookmarkStart w:name="_bookmark177" w:id="182"/>
      <w:bookmarkEnd w:id="182"/>
      <w:r>
        <w:rPr/>
      </w:r>
      <w:r>
        <w:rPr>
          <w:color w:val="231F20"/>
        </w:rPr>
        <w:t>6° recommandation au conseil de suveillance de la société pour la désignation du commissaire et le cas échéant du réviseur d’entreprises chargé du contrôle des comptes consolidés, conformément à l’article 16,</w:t>
      </w:r>
    </w:p>
    <w:p>
      <w:pPr>
        <w:pStyle w:val="BodyText"/>
        <w:spacing w:line="179" w:lineRule="exact"/>
        <w:ind w:right="0" w:firstLine="0"/>
        <w:jc w:val="left"/>
      </w:pPr>
      <w:r>
        <w:rPr>
          <w:color w:val="231F20"/>
        </w:rPr>
        <w:t>§ 2, du règlement (UE) n° 537/2014.</w:t>
      </w:r>
    </w:p>
    <w:p>
      <w:pPr>
        <w:pStyle w:val="BodyText"/>
        <w:spacing w:before="5"/>
        <w:ind w:left="0" w:right="0" w:firstLine="0"/>
        <w:jc w:val="left"/>
        <w:rPr>
          <w:sz w:val="27"/>
        </w:rPr>
      </w:pPr>
    </w:p>
    <w:p>
      <w:pPr>
        <w:pStyle w:val="BodyText"/>
        <w:spacing w:line="218" w:lineRule="auto"/>
        <w:ind w:right="98"/>
      </w:pPr>
      <w:r>
        <w:rPr>
          <w:color w:val="231F20"/>
        </w:rPr>
        <w:t>Si</w:t>
      </w:r>
      <w:r>
        <w:rPr>
          <w:color w:val="231F20"/>
          <w:spacing w:val="-8"/>
        </w:rPr>
        <w:t> </w:t>
      </w:r>
      <w:r>
        <w:rPr>
          <w:color w:val="231F20"/>
        </w:rPr>
        <w:t>le</w:t>
      </w:r>
      <w:r>
        <w:rPr>
          <w:color w:val="231F20"/>
          <w:spacing w:val="-7"/>
        </w:rPr>
        <w:t> </w:t>
      </w:r>
      <w:r>
        <w:rPr>
          <w:color w:val="231F20"/>
        </w:rPr>
        <w:t>renouvellement</w:t>
      </w:r>
      <w:r>
        <w:rPr>
          <w:color w:val="231F20"/>
          <w:spacing w:val="-7"/>
        </w:rPr>
        <w:t> </w:t>
      </w:r>
      <w:r>
        <w:rPr>
          <w:color w:val="231F20"/>
        </w:rPr>
        <w:t>du</w:t>
      </w:r>
      <w:r>
        <w:rPr>
          <w:color w:val="231F20"/>
          <w:spacing w:val="-7"/>
        </w:rPr>
        <w:t> </w:t>
      </w:r>
      <w:r>
        <w:rPr>
          <w:color w:val="231F20"/>
        </w:rPr>
        <w:t>mandat</w:t>
      </w:r>
      <w:r>
        <w:rPr>
          <w:color w:val="231F20"/>
          <w:spacing w:val="-7"/>
        </w:rPr>
        <w:t> </w:t>
      </w:r>
      <w:r>
        <w:rPr>
          <w:color w:val="231F20"/>
        </w:rPr>
        <w:t>est</w:t>
      </w:r>
      <w:r>
        <w:rPr>
          <w:color w:val="231F20"/>
          <w:spacing w:val="-7"/>
        </w:rPr>
        <w:t> </w:t>
      </w:r>
      <w:r>
        <w:rPr>
          <w:color w:val="231F20"/>
          <w:spacing w:val="7"/>
        </w:rPr>
        <w:t>viséà</w:t>
      </w:r>
      <w:r>
        <w:rPr>
          <w:color w:val="231F20"/>
          <w:spacing w:val="-7"/>
        </w:rPr>
        <w:t> </w:t>
      </w:r>
      <w:r>
        <w:rPr>
          <w:color w:val="231F20"/>
        </w:rPr>
        <w:t>l’article</w:t>
      </w:r>
      <w:r>
        <w:rPr>
          <w:color w:val="231F20"/>
          <w:spacing w:val="-8"/>
        </w:rPr>
        <w:t> </w:t>
      </w:r>
      <w:r>
        <w:rPr>
          <w:color w:val="231F20"/>
        </w:rPr>
        <w:t>3:58,</w:t>
      </w:r>
      <w:r>
        <w:rPr>
          <w:color w:val="231F20"/>
          <w:spacing w:val="-7"/>
        </w:rPr>
        <w:t> </w:t>
      </w:r>
      <w:r>
        <w:rPr>
          <w:color w:val="231F20"/>
        </w:rPr>
        <w:t>§§</w:t>
      </w:r>
      <w:r>
        <w:rPr>
          <w:color w:val="231F20"/>
          <w:spacing w:val="-7"/>
        </w:rPr>
        <w:t> </w:t>
      </w:r>
      <w:r>
        <w:rPr>
          <w:color w:val="231F20"/>
        </w:rPr>
        <w:t>3</w:t>
      </w:r>
      <w:r>
        <w:rPr>
          <w:color w:val="231F20"/>
          <w:spacing w:val="-7"/>
        </w:rPr>
        <w:t> </w:t>
      </w:r>
      <w:r>
        <w:rPr>
          <w:color w:val="231F20"/>
        </w:rPr>
        <w:t>ou</w:t>
      </w:r>
      <w:r>
        <w:rPr>
          <w:color w:val="231F20"/>
          <w:spacing w:val="-7"/>
        </w:rPr>
        <w:t> </w:t>
      </w:r>
      <w:r>
        <w:rPr>
          <w:color w:val="231F20"/>
        </w:rPr>
        <w:t>4,</w:t>
      </w:r>
      <w:r>
        <w:rPr>
          <w:color w:val="231F20"/>
          <w:spacing w:val="-7"/>
        </w:rPr>
        <w:t> </w:t>
      </w:r>
      <w:r>
        <w:rPr>
          <w:color w:val="231F20"/>
        </w:rPr>
        <w:t>cette recommandation au conseil de surveillance sera élaborée à l’issue d’une procédure de sélection visée  à  l’article  16,  §  3,  du  règlement  (UE)  n°</w:t>
      </w:r>
      <w:r>
        <w:rPr>
          <w:color w:val="231F20"/>
          <w:spacing w:val="14"/>
        </w:rPr>
        <w:t> </w:t>
      </w:r>
      <w:r>
        <w:rPr>
          <w:color w:val="231F20"/>
        </w:rPr>
        <w:t>537/2014.</w:t>
      </w:r>
    </w:p>
    <w:p>
      <w:pPr>
        <w:pStyle w:val="BodyText"/>
        <w:spacing w:line="218" w:lineRule="auto" w:before="139"/>
        <w:ind w:right="99"/>
      </w:pPr>
      <w:r>
        <w:rPr>
          <w:color w:val="231F20"/>
        </w:rPr>
        <w:t>§ 5. Le comité d’audit se réunit chaque fois qu’il le juge nécessaire pour remplir correctement ses tâches et au moins quatre fois par an.</w:t>
      </w:r>
    </w:p>
    <w:p>
      <w:pPr>
        <w:pStyle w:val="BodyText"/>
        <w:spacing w:before="7"/>
        <w:ind w:left="0" w:right="0" w:firstLine="0"/>
        <w:jc w:val="left"/>
        <w:rPr>
          <w:sz w:val="27"/>
        </w:rPr>
      </w:pPr>
    </w:p>
    <w:p>
      <w:pPr>
        <w:pStyle w:val="BodyText"/>
        <w:spacing w:line="218" w:lineRule="auto" w:before="1"/>
        <w:ind w:right="98"/>
      </w:pPr>
      <w:r>
        <w:rPr>
          <w:color w:val="231F20"/>
        </w:rPr>
        <w:t>Le comité d’audit fait régulièrement rapport au conseil de sur- veillance sur l’exercice de ses missions, et dans tous les cas lorsque le conseil de surveillance établit les comptes annuels, des comptes consolidés et, le cas échéant, les états financiers résumés destinés à la publication.</w:t>
      </w:r>
    </w:p>
    <w:p>
      <w:pPr>
        <w:pStyle w:val="BodyText"/>
        <w:spacing w:line="218" w:lineRule="auto" w:before="139"/>
        <w:ind w:right="62"/>
        <w:jc w:val="left"/>
      </w:pPr>
      <w:r>
        <w:rPr>
          <w:color w:val="231F20"/>
        </w:rPr>
        <w:t>§ 6. Sans préjudice des dispositions légales prévoyant des rapports ou avertissements du commissaire à des organes de la société, à la demande du commissaire et, le cas échéant, du réviseur d’entreprises chargé du contrôle des comptes consolidés ou à la demande du comité d’audit ou du conseil de surveillance, le commissaire et, le cas échéant, le réviseur d’entreprises chargé du contrôle des comptes consolidés examinent avec le comité d’audit, voire avec le conseil de surveillance, des questions essentielles apparues dans l’exercice de leur mission de contrôle légal des comptes, qui sont mentionnées dans le rapport complémentaire destiné au comité d’audit. En particulier les carences significatives détectées le cas échéant dans le système de contrôle financier interne de la société ou, dans le cas de comptes consolidés , dans</w:t>
      </w:r>
      <w:r>
        <w:rPr>
          <w:color w:val="231F20"/>
          <w:spacing w:val="16"/>
        </w:rPr>
        <w:t> </w:t>
      </w:r>
      <w:r>
        <w:rPr>
          <w:color w:val="231F20"/>
        </w:rPr>
        <w:t>celui</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société</w:t>
      </w:r>
      <w:r>
        <w:rPr>
          <w:color w:val="231F20"/>
          <w:spacing w:val="17"/>
        </w:rPr>
        <w:t> </w:t>
      </w:r>
      <w:r>
        <w:rPr>
          <w:color w:val="231F20"/>
        </w:rPr>
        <w:t>mère</w:t>
      </w:r>
      <w:r>
        <w:rPr>
          <w:color w:val="231F20"/>
          <w:spacing w:val="17"/>
        </w:rPr>
        <w:t> </w:t>
      </w:r>
      <w:r>
        <w:rPr>
          <w:color w:val="231F20"/>
        </w:rPr>
        <w:t>et/ou</w:t>
      </w:r>
      <w:r>
        <w:rPr>
          <w:color w:val="231F20"/>
          <w:spacing w:val="17"/>
        </w:rPr>
        <w:t> </w:t>
      </w:r>
      <w:r>
        <w:rPr>
          <w:color w:val="231F20"/>
        </w:rPr>
        <w:t>dans</w:t>
      </w:r>
      <w:r>
        <w:rPr>
          <w:color w:val="231F20"/>
          <w:spacing w:val="17"/>
        </w:rPr>
        <w:t> </w:t>
      </w:r>
      <w:r>
        <w:rPr>
          <w:color w:val="231F20"/>
        </w:rPr>
        <w:t>son</w:t>
      </w:r>
      <w:r>
        <w:rPr>
          <w:color w:val="231F20"/>
          <w:spacing w:val="17"/>
        </w:rPr>
        <w:t> </w:t>
      </w:r>
      <w:r>
        <w:rPr>
          <w:color w:val="231F20"/>
        </w:rPr>
        <w:t>système</w:t>
      </w:r>
      <w:r>
        <w:rPr>
          <w:color w:val="231F20"/>
          <w:spacing w:val="17"/>
        </w:rPr>
        <w:t> </w:t>
      </w:r>
      <w:r>
        <w:rPr>
          <w:color w:val="231F20"/>
        </w:rPr>
        <w:t>comptable.</w:t>
      </w:r>
    </w:p>
    <w:p>
      <w:pPr>
        <w:pStyle w:val="BodyText"/>
        <w:ind w:left="0" w:right="0" w:firstLine="0"/>
        <w:jc w:val="left"/>
        <w:rPr>
          <w:sz w:val="20"/>
        </w:rPr>
      </w:pPr>
    </w:p>
    <w:p>
      <w:pPr>
        <w:pStyle w:val="BodyText"/>
        <w:spacing w:before="2"/>
        <w:ind w:left="0" w:right="0" w:firstLine="0"/>
        <w:jc w:val="left"/>
        <w:rPr>
          <w:sz w:val="23"/>
        </w:rPr>
      </w:pPr>
    </w:p>
    <w:p>
      <w:pPr>
        <w:pStyle w:val="BodyText"/>
        <w:spacing w:line="218" w:lineRule="auto"/>
        <w:ind w:right="98"/>
      </w:pPr>
      <w:r>
        <w:rPr>
          <w:color w:val="231F20"/>
        </w:rPr>
        <w:t>§ 7. Le commissaire et, le cas échéant, le réviseur d’entreprises chargé du contrôle des comptes consolidés ou le cabinet d’audit enregistré:</w:t>
      </w:r>
    </w:p>
    <w:p>
      <w:pPr>
        <w:pStyle w:val="BodyText"/>
        <w:spacing w:before="8"/>
        <w:ind w:left="0" w:right="0" w:firstLine="0"/>
        <w:jc w:val="left"/>
        <w:rPr>
          <w:sz w:val="27"/>
        </w:rPr>
      </w:pPr>
    </w:p>
    <w:p>
      <w:pPr>
        <w:pStyle w:val="BodyText"/>
        <w:spacing w:line="218" w:lineRule="auto"/>
        <w:ind w:right="98"/>
      </w:pPr>
      <w:r>
        <w:rPr>
          <w:color w:val="231F20"/>
        </w:rPr>
        <w:t>1° confirment chaque année par écrit au comité d’audit, selon le cas, que le commissaire ou le réviseur d’entreprises chargé du contrôle des comptes consolidés et ses associés ainsi que les membres des instances dirigeantes et les gestionnaires qui effectuent le contrôle légal des comptes sont indépendants par rapport à la société;</w:t>
      </w:r>
    </w:p>
    <w:p>
      <w:pPr>
        <w:pStyle w:val="BodyText"/>
        <w:spacing w:before="8"/>
        <w:ind w:left="0" w:right="0" w:firstLine="0"/>
        <w:jc w:val="left"/>
        <w:rPr>
          <w:sz w:val="27"/>
        </w:rPr>
      </w:pPr>
    </w:p>
    <w:p>
      <w:pPr>
        <w:pStyle w:val="BodyText"/>
        <w:spacing w:line="218" w:lineRule="auto"/>
        <w:ind w:right="98"/>
      </w:pPr>
      <w:r>
        <w:rPr>
          <w:color w:val="231F20"/>
        </w:rPr>
        <w:t>2° communiquent chaque année au comité d’audit tous les services additionnels fournis à la société;</w:t>
      </w:r>
    </w:p>
    <w:p>
      <w:pPr>
        <w:pStyle w:val="BodyText"/>
        <w:spacing w:line="218" w:lineRule="auto" w:before="139"/>
        <w:ind w:right="98"/>
      </w:pPr>
      <w:r>
        <w:rPr>
          <w:color w:val="231F20"/>
        </w:rPr>
        <w:t>3° examinent avec le comité d’audit les risques pesant sur leur indépendance et les mesures de sauvegarde appliquées pour atténuer ces risques, consignées par eux.</w:t>
      </w:r>
    </w:p>
    <w:p>
      <w:pPr>
        <w:pStyle w:val="BodyText"/>
        <w:spacing w:line="218" w:lineRule="auto" w:before="139"/>
        <w:ind w:right="98"/>
      </w:pPr>
      <w:r>
        <w:rPr>
          <w:color w:val="231F20"/>
        </w:rPr>
        <w:t>4° établissent un rapport complémentaire visé à l’article </w:t>
      </w:r>
      <w:r>
        <w:rPr>
          <w:color w:val="231F20"/>
          <w:spacing w:val="-5"/>
        </w:rPr>
        <w:t>11 </w:t>
      </w:r>
      <w:r>
        <w:rPr>
          <w:color w:val="231F20"/>
        </w:rPr>
        <w:t>du règlement (UE) n°</w:t>
      </w:r>
      <w:r>
        <w:rPr>
          <w:color w:val="231F20"/>
          <w:spacing w:val="1"/>
        </w:rPr>
        <w:t> </w:t>
      </w:r>
      <w:r>
        <w:rPr>
          <w:color w:val="231F20"/>
        </w:rPr>
        <w:t>537/2014;</w:t>
      </w:r>
    </w:p>
    <w:p>
      <w:pPr>
        <w:pStyle w:val="BodyText"/>
        <w:spacing w:line="218" w:lineRule="auto" w:before="139"/>
        <w:ind w:right="98"/>
      </w:pPr>
      <w:r>
        <w:rPr>
          <w:color w:val="231F20"/>
        </w:rPr>
        <w:t>5° confirment que le rapport d’audit est conforme au contenu du rapport complémentaire destiné au comité d’audit visé à l’article </w:t>
      </w:r>
      <w:r>
        <w:rPr>
          <w:color w:val="231F20"/>
          <w:spacing w:val="-5"/>
        </w:rPr>
        <w:t>11 </w:t>
      </w:r>
      <w:r>
        <w:rPr>
          <w:color w:val="231F20"/>
        </w:rPr>
        <w:t>du règlement (UE) n°</w:t>
      </w:r>
      <w:r>
        <w:rPr>
          <w:color w:val="231F20"/>
          <w:spacing w:val="1"/>
        </w:rPr>
        <w:t> </w:t>
      </w:r>
      <w:r>
        <w:rPr>
          <w:color w:val="231F20"/>
        </w:rPr>
        <w:t>537/2014.</w:t>
      </w:r>
    </w:p>
    <w:p>
      <w:pPr>
        <w:pStyle w:val="BodyText"/>
        <w:spacing w:line="218" w:lineRule="auto" w:before="124"/>
        <w:ind w:right="98"/>
      </w:pPr>
      <w:r>
        <w:rPr>
          <w:color w:val="231F20"/>
        </w:rPr>
        <w:t>Lors de l’examen des risques visés à l’alinéa 1</w:t>
      </w:r>
      <w:r>
        <w:rPr>
          <w:color w:val="231F20"/>
          <w:position w:val="7"/>
          <w:sz w:val="11"/>
        </w:rPr>
        <w:t>er</w:t>
      </w:r>
      <w:r>
        <w:rPr>
          <w:color w:val="231F20"/>
        </w:rPr>
        <w:t>, 3°, le commissaire et, le cas échéant, le réviseur d’entreprises chargé du contrôle des comptes consolidés ou le cabinet d’audit enregistré informent et analysent avec le comité d’audit les risques pesant sur leur indépendance et les mesures de sauvegarde appliquées pour atténuer ces risques, lorsque les honoraires totaux relatifs à une entité d’intérêt public visée à l’article</w:t>
      </w:r>
      <w:r>
        <w:rPr>
          <w:color w:val="231F20"/>
          <w:spacing w:val="8"/>
        </w:rPr>
        <w:t> </w:t>
      </w:r>
      <w:r>
        <w:rPr>
          <w:color w:val="231F20"/>
        </w:rPr>
        <w:t>1:12</w:t>
      </w:r>
      <w:r>
        <w:rPr>
          <w:color w:val="231F20"/>
          <w:spacing w:val="9"/>
        </w:rPr>
        <w:t> </w:t>
      </w:r>
      <w:r>
        <w:rPr>
          <w:color w:val="231F20"/>
        </w:rPr>
        <w:t>qu’ils</w:t>
      </w:r>
      <w:r>
        <w:rPr>
          <w:color w:val="231F20"/>
          <w:spacing w:val="8"/>
        </w:rPr>
        <w:t> </w:t>
      </w:r>
      <w:r>
        <w:rPr>
          <w:color w:val="231F20"/>
        </w:rPr>
        <w:t>perçoivent</w:t>
      </w:r>
      <w:r>
        <w:rPr>
          <w:color w:val="231F20"/>
          <w:spacing w:val="9"/>
        </w:rPr>
        <w:t> </w:t>
      </w:r>
      <w:r>
        <w:rPr>
          <w:color w:val="231F20"/>
        </w:rPr>
        <w:t>dépassent</w:t>
      </w:r>
      <w:r>
        <w:rPr>
          <w:color w:val="231F20"/>
          <w:spacing w:val="8"/>
        </w:rPr>
        <w:t> </w:t>
      </w:r>
      <w:r>
        <w:rPr>
          <w:color w:val="231F20"/>
        </w:rPr>
        <w:t>les</w:t>
      </w:r>
      <w:r>
        <w:rPr>
          <w:color w:val="231F20"/>
          <w:spacing w:val="9"/>
        </w:rPr>
        <w:t> </w:t>
      </w:r>
      <w:r>
        <w:rPr>
          <w:color w:val="231F20"/>
        </w:rPr>
        <w:t>critères</w:t>
      </w:r>
      <w:r>
        <w:rPr>
          <w:color w:val="231F20"/>
          <w:spacing w:val="8"/>
        </w:rPr>
        <w:t> </w:t>
      </w:r>
      <w:r>
        <w:rPr>
          <w:color w:val="231F20"/>
        </w:rPr>
        <w:t>fixés</w:t>
      </w:r>
      <w:r>
        <w:rPr>
          <w:color w:val="231F20"/>
          <w:spacing w:val="9"/>
        </w:rPr>
        <w:t> </w:t>
      </w:r>
      <w:r>
        <w:rPr>
          <w:color w:val="231F20"/>
        </w:rPr>
        <w:t>par</w:t>
      </w:r>
      <w:r>
        <w:rPr>
          <w:color w:val="231F20"/>
          <w:spacing w:val="9"/>
        </w:rPr>
        <w:t> </w:t>
      </w:r>
      <w:r>
        <w:rPr>
          <w:color w:val="231F20"/>
        </w:rPr>
        <w:t>l’article</w:t>
      </w:r>
      <w:r>
        <w:rPr>
          <w:color w:val="231F20"/>
          <w:spacing w:val="8"/>
        </w:rPr>
        <w:t> </w:t>
      </w:r>
      <w:r>
        <w:rPr>
          <w:color w:val="231F20"/>
        </w:rPr>
        <w:t>4,</w:t>
      </w:r>
    </w:p>
    <w:p>
      <w:pPr>
        <w:pStyle w:val="BodyText"/>
        <w:spacing w:line="180" w:lineRule="exact"/>
        <w:ind w:right="0" w:firstLine="0"/>
        <w:jc w:val="left"/>
      </w:pPr>
      <w:r>
        <w:rPr>
          <w:color w:val="231F20"/>
        </w:rPr>
        <w:t>§ 3, du règlement (UE) n° 537/2014.</w:t>
      </w:r>
    </w:p>
    <w:p>
      <w:pPr>
        <w:pStyle w:val="BodyText"/>
        <w:spacing w:before="3"/>
        <w:ind w:left="0" w:right="0" w:firstLine="0"/>
        <w:jc w:val="left"/>
        <w:rPr>
          <w:sz w:val="28"/>
        </w:rPr>
      </w:pPr>
    </w:p>
    <w:p>
      <w:pPr>
        <w:pStyle w:val="BodyText"/>
        <w:spacing w:line="218" w:lineRule="auto"/>
        <w:ind w:right="98"/>
      </w:pPr>
      <w:r>
        <w:rPr>
          <w:color w:val="231F20"/>
        </w:rPr>
        <w:t>Dans les sociétés répondant aux critères décrits sous  le  paragra-  phe 3 qui ne constituent pas un comité d’audit, les missions du commissaire et, le cas échéant, du réviseur d’entreprises chargé du contrôle des comptes consolidés reprises, sous le paragraphe 7 restent applicables</w:t>
      </w:r>
      <w:r>
        <w:rPr>
          <w:color w:val="231F20"/>
          <w:spacing w:val="17"/>
        </w:rPr>
        <w:t> </w:t>
      </w:r>
      <w:r>
        <w:rPr>
          <w:color w:val="231F20"/>
        </w:rPr>
        <w:t>mais</w:t>
      </w:r>
      <w:r>
        <w:rPr>
          <w:color w:val="231F20"/>
          <w:spacing w:val="17"/>
        </w:rPr>
        <w:t> </w:t>
      </w:r>
      <w:r>
        <w:rPr>
          <w:color w:val="231F20"/>
        </w:rPr>
        <w:t>le</w:t>
      </w:r>
      <w:r>
        <w:rPr>
          <w:color w:val="231F20"/>
          <w:spacing w:val="17"/>
        </w:rPr>
        <w:t> </w:t>
      </w:r>
      <w:r>
        <w:rPr>
          <w:color w:val="231F20"/>
        </w:rPr>
        <w:t>sont</w:t>
      </w:r>
      <w:r>
        <w:rPr>
          <w:color w:val="231F20"/>
          <w:spacing w:val="16"/>
        </w:rPr>
        <w:t> </w:t>
      </w:r>
      <w:r>
        <w:rPr>
          <w:color w:val="231F20"/>
        </w:rPr>
        <w:t>à</w:t>
      </w:r>
      <w:r>
        <w:rPr>
          <w:color w:val="231F20"/>
          <w:spacing w:val="17"/>
        </w:rPr>
        <w:t> </w:t>
      </w:r>
      <w:r>
        <w:rPr>
          <w:color w:val="231F20"/>
        </w:rPr>
        <w:t>l’égard</w:t>
      </w:r>
      <w:r>
        <w:rPr>
          <w:color w:val="231F20"/>
          <w:spacing w:val="17"/>
        </w:rPr>
        <w:t> </w:t>
      </w:r>
      <w:r>
        <w:rPr>
          <w:color w:val="231F20"/>
        </w:rPr>
        <w:t>du</w:t>
      </w:r>
      <w:r>
        <w:rPr>
          <w:color w:val="231F20"/>
          <w:spacing w:val="17"/>
        </w:rPr>
        <w:t> </w:t>
      </w:r>
      <w:r>
        <w:rPr>
          <w:color w:val="231F20"/>
        </w:rPr>
        <w:t>conseil</w:t>
      </w:r>
      <w:r>
        <w:rPr>
          <w:color w:val="231F20"/>
          <w:spacing w:val="17"/>
        </w:rPr>
        <w:t> </w:t>
      </w:r>
      <w:r>
        <w:rPr>
          <w:color w:val="231F20"/>
        </w:rPr>
        <w:t>de</w:t>
      </w:r>
      <w:r>
        <w:rPr>
          <w:color w:val="231F20"/>
          <w:spacing w:val="17"/>
        </w:rPr>
        <w:t> </w:t>
      </w:r>
      <w:r>
        <w:rPr>
          <w:color w:val="231F20"/>
        </w:rPr>
        <w:t>surveillance.</w:t>
      </w:r>
    </w:p>
    <w:p>
      <w:pPr>
        <w:pStyle w:val="BodyText"/>
        <w:spacing w:before="7"/>
        <w:ind w:left="0" w:right="0" w:firstLine="0"/>
        <w:jc w:val="left"/>
        <w:rPr>
          <w:sz w:val="28"/>
        </w:rPr>
      </w:pPr>
    </w:p>
    <w:p>
      <w:pPr>
        <w:pStyle w:val="BodyText"/>
        <w:spacing w:line="218" w:lineRule="auto" w:before="1"/>
        <w:ind w:right="98"/>
      </w:pPr>
      <w:r>
        <w:rPr>
          <w:color w:val="231F20"/>
        </w:rPr>
        <w:t>Le commissaire et, le cas échéant, le réviseur d’entreprises chargé du contrôle des comptes consolidés adressent sur une base annuelle au comité d’audit, d’une part, si un tel comité a été constitué, et au conseil de surveillance, d’autre part, le rapport complémentaire </w:t>
      </w:r>
      <w:r>
        <w:rPr>
          <w:color w:val="231F20"/>
          <w:spacing w:val="6"/>
        </w:rPr>
        <w:t>visé </w:t>
      </w:r>
      <w:r>
        <w:rPr>
          <w:color w:val="231F20"/>
        </w:rPr>
        <w:t>à l’arti-  cle </w:t>
      </w:r>
      <w:r>
        <w:rPr>
          <w:color w:val="231F20"/>
          <w:spacing w:val="-5"/>
        </w:rPr>
        <w:t>11 </w:t>
      </w:r>
      <w:r>
        <w:rPr>
          <w:color w:val="231F20"/>
        </w:rPr>
        <w:t>du règlement (UE) n° 537/2014. Ce rapport complémentaire est adressé au plus tard à la date de présentation du rapport d’audit visé aux articles 3:75 et 3:80 et à l’article 10 du règlement (UE) n°</w:t>
      </w:r>
      <w:r>
        <w:rPr>
          <w:color w:val="231F20"/>
          <w:spacing w:val="-15"/>
        </w:rPr>
        <w:t> </w:t>
      </w:r>
      <w:r>
        <w:rPr>
          <w:color w:val="231F20"/>
        </w:rPr>
        <w:t>537/2014.</w:t>
      </w:r>
    </w:p>
    <w:p>
      <w:pPr>
        <w:pStyle w:val="BodyText"/>
        <w:spacing w:line="218" w:lineRule="auto" w:before="119"/>
      </w:pPr>
      <w:r>
        <w:rPr/>
        <w:br w:type="column"/>
      </w:r>
      <w:r>
        <w:rPr>
          <w:color w:val="231F20"/>
        </w:rPr>
        <w:t>6° aanbeveling aan de raad van toezicht van de vennootschap voor  de benoeming van de commissaris en, in voorkomend geval, van de bedrijfsrevisor die instaat voor de wettelijke controle van de geconso- lideerde jaarrekening, overeenkomstig artikel 16, lid 2, van de verorde- ning (EU) </w:t>
      </w:r>
      <w:r>
        <w:rPr>
          <w:color w:val="231F20"/>
          <w:spacing w:val="-5"/>
        </w:rPr>
        <w:t>nr.</w:t>
      </w:r>
      <w:r>
        <w:rPr>
          <w:color w:val="231F20"/>
          <w:spacing w:val="7"/>
        </w:rPr>
        <w:t> </w:t>
      </w:r>
      <w:r>
        <w:rPr>
          <w:color w:val="231F20"/>
        </w:rPr>
        <w:t>537/2014.</w:t>
      </w:r>
    </w:p>
    <w:p>
      <w:pPr>
        <w:pStyle w:val="BodyText"/>
        <w:spacing w:line="218" w:lineRule="auto" w:before="139"/>
      </w:pPr>
      <w:r>
        <w:rPr>
          <w:color w:val="231F20"/>
        </w:rPr>
        <w:t>Indien de hernieuwing van  het  mandaat  bedoeld  wordt  in  arti-  kel 3:58, §§ 3 of 4, zal deze aanbeveling aan de raad van toezicht worden uitgewerkt aansluitend op de selectieprocedure bedoeld in artikel</w:t>
      </w:r>
      <w:r>
        <w:rPr>
          <w:color w:val="231F20"/>
          <w:spacing w:val="14"/>
        </w:rPr>
        <w:t> </w:t>
      </w:r>
      <w:r>
        <w:rPr>
          <w:color w:val="231F20"/>
        </w:rPr>
        <w:t>16,</w:t>
      </w:r>
      <w:r>
        <w:rPr>
          <w:color w:val="231F20"/>
          <w:spacing w:val="14"/>
        </w:rPr>
        <w:t> </w:t>
      </w:r>
      <w:r>
        <w:rPr>
          <w:color w:val="231F20"/>
        </w:rPr>
        <w:t>lid</w:t>
      </w:r>
      <w:r>
        <w:rPr>
          <w:color w:val="231F20"/>
          <w:spacing w:val="14"/>
        </w:rPr>
        <w:t> </w:t>
      </w:r>
      <w:r>
        <w:rPr>
          <w:color w:val="231F20"/>
        </w:rPr>
        <w:t>3,</w:t>
      </w:r>
      <w:r>
        <w:rPr>
          <w:color w:val="231F20"/>
          <w:spacing w:val="14"/>
        </w:rPr>
        <w:t> </w:t>
      </w:r>
      <w:r>
        <w:rPr>
          <w:color w:val="231F20"/>
        </w:rPr>
        <w:t>van</w:t>
      </w:r>
      <w:r>
        <w:rPr>
          <w:color w:val="231F20"/>
          <w:spacing w:val="14"/>
        </w:rPr>
        <w:t> </w:t>
      </w:r>
      <w:r>
        <w:rPr>
          <w:color w:val="231F20"/>
        </w:rPr>
        <w:t>verordening</w:t>
      </w:r>
      <w:r>
        <w:rPr>
          <w:color w:val="231F20"/>
          <w:spacing w:val="15"/>
        </w:rPr>
        <w:t> </w:t>
      </w:r>
      <w:r>
        <w:rPr>
          <w:color w:val="231F20"/>
        </w:rPr>
        <w:t>(EU)</w:t>
      </w:r>
      <w:r>
        <w:rPr>
          <w:color w:val="231F20"/>
          <w:spacing w:val="14"/>
        </w:rPr>
        <w:t> </w:t>
      </w:r>
      <w:r>
        <w:rPr>
          <w:color w:val="231F20"/>
          <w:spacing w:val="-5"/>
        </w:rPr>
        <w:t>nr.</w:t>
      </w:r>
      <w:r>
        <w:rPr>
          <w:color w:val="231F20"/>
          <w:spacing w:val="14"/>
        </w:rPr>
        <w:t> </w:t>
      </w:r>
      <w:r>
        <w:rPr>
          <w:color w:val="231F20"/>
        </w:rPr>
        <w:t>537/2014.</w:t>
      </w:r>
    </w:p>
    <w:p>
      <w:pPr>
        <w:pStyle w:val="BodyText"/>
        <w:spacing w:line="218" w:lineRule="auto" w:before="139"/>
      </w:pPr>
      <w:r>
        <w:rPr>
          <w:color w:val="231F20"/>
        </w:rPr>
        <w:t>§ 5. Het auditcomité komt samen telkens wanneer het dit noodzake- lijk acht om zijn taken naar behoren te vervullen en ten minste</w:t>
      </w:r>
      <w:r>
        <w:rPr>
          <w:color w:val="231F20"/>
          <w:spacing w:val="-13"/>
        </w:rPr>
        <w:t> </w:t>
      </w:r>
      <w:r>
        <w:rPr>
          <w:color w:val="231F20"/>
        </w:rPr>
        <w:t>viermaal per</w:t>
      </w:r>
      <w:r>
        <w:rPr>
          <w:color w:val="231F20"/>
          <w:spacing w:val="14"/>
        </w:rPr>
        <w:t> </w:t>
      </w:r>
      <w:r>
        <w:rPr>
          <w:color w:val="231F20"/>
          <w:spacing w:val="-3"/>
        </w:rPr>
        <w:t>jaar.</w:t>
      </w:r>
    </w:p>
    <w:p>
      <w:pPr>
        <w:pStyle w:val="BodyText"/>
        <w:spacing w:line="218" w:lineRule="auto" w:before="139"/>
      </w:pPr>
      <w:r>
        <w:rPr>
          <w:color w:val="231F20"/>
        </w:rPr>
        <w:t>Het auditcomité brengt bij de raad van toezicht geregeld verslag uit over de uitoefening van zijn taken, en in ieder geval wanneer de raad van toezicht de jaarrekening, de geconsolideerde jaarrekening en, in voorkomend geval, de voor publicatie bestemde verkorte financiële overzichten opstelt.</w:t>
      </w:r>
    </w:p>
    <w:p>
      <w:pPr>
        <w:pStyle w:val="BodyText"/>
        <w:spacing w:line="218" w:lineRule="auto" w:before="139"/>
        <w:ind w:right="123"/>
      </w:pPr>
      <w:r>
        <w:rPr>
          <w:color w:val="231F20"/>
        </w:rPr>
        <w:t>§ 6. Onverminderd de wettelijke bepalingen die erin voorzien dat de commissaris verslagen of waarschuwingen richt aan organen van de vennootschap, bespreken, op vraag van de commissaris en, in voorko- mend geval, van de bedrijfsrevisor die instaat voor de controle van de geconsolideerde jaarrekening of op vraag van het auditcomité of van de raad van toezicht, de commissaris en, in voorkomend geval, de bedrijfsrevisor die instaat voor de controle van de geconsolideerde jaarrekening, met het auditcomité of zelfs met de raad van toezicht essentiële zaken die bij de uitoefening van hun wettelijke controle van de jaarrekeningen aan het licht zijn gekomen, die zijn opgenomen in de aanvullende verklaring aan het auditcomité, en meer bepaald de betekenisvolle tekortkomingen desgevallend ontdekt in het interne financiële controlesysteem van de vennootschap of, in het geval van geconsolideerde jaarrekening, van de moedervennootschap en/of in haar boekhoudsysteem.</w:t>
      </w:r>
    </w:p>
    <w:p>
      <w:pPr>
        <w:pStyle w:val="BodyText"/>
        <w:spacing w:line="218" w:lineRule="auto" w:before="140"/>
      </w:pPr>
      <w:r>
        <w:rPr>
          <w:color w:val="231F20"/>
        </w:rPr>
        <w:t>§ 7. De commissaris en, in voorkomend geval, de bedrijfsrevisor die instaat voor de controle van de geconsolideerde jaarrekening of het geregistreerd auditkantoor:</w:t>
      </w:r>
    </w:p>
    <w:p>
      <w:pPr>
        <w:pStyle w:val="BodyText"/>
        <w:spacing w:line="218" w:lineRule="auto" w:before="139"/>
        <w:ind w:right="125"/>
      </w:pPr>
      <w:r>
        <w:rPr>
          <w:color w:val="231F20"/>
        </w:rPr>
        <w:t>1° bevestigen jaarlijks schriftelijk aan het auditcomité dat, naargelang van het geval, de commissaris of de bedrijfsrevisor die instaat voor de controle van de geconsolideerde jaarrekening, en zijn vennoten, alsook de hogere leidinggevenden en leidinggevenden die de wettelijke controle van de rekeningen uitvoeren, onafhankelijk zijn van de vennootschap;</w:t>
      </w:r>
    </w:p>
    <w:p>
      <w:pPr>
        <w:pStyle w:val="BodyText"/>
        <w:spacing w:line="218" w:lineRule="auto" w:before="139"/>
      </w:pPr>
      <w:r>
        <w:rPr>
          <w:color w:val="231F20"/>
        </w:rPr>
        <w:t>2° melden jaarlijks alle voor de vennootschap verrichte bijkomende diensten aan het auditcomité;</w:t>
      </w:r>
    </w:p>
    <w:p>
      <w:pPr>
        <w:pStyle w:val="BodyText"/>
        <w:spacing w:line="218" w:lineRule="auto" w:before="139"/>
      </w:pPr>
      <w:r>
        <w:rPr>
          <w:color w:val="231F20"/>
        </w:rPr>
        <w:t>3° voeren overleg met het auditcomité over de  bedreigingen</w:t>
      </w:r>
      <w:r>
        <w:rPr>
          <w:color w:val="231F20"/>
          <w:spacing w:val="19"/>
        </w:rPr>
        <w:t> </w:t>
      </w:r>
      <w:r>
        <w:rPr>
          <w:color w:val="231F20"/>
        </w:rPr>
        <w:t>voor hun onafhankelijkheid en de veiligheidsmaatregelen genomen om deze bedreigingen</w:t>
      </w:r>
      <w:r>
        <w:rPr>
          <w:color w:val="231F20"/>
          <w:spacing w:val="17"/>
        </w:rPr>
        <w:t> </w:t>
      </w:r>
      <w:r>
        <w:rPr>
          <w:color w:val="231F20"/>
        </w:rPr>
        <w:t>in</w:t>
      </w:r>
      <w:r>
        <w:rPr>
          <w:color w:val="231F20"/>
          <w:spacing w:val="17"/>
        </w:rPr>
        <w:t> </w:t>
      </w:r>
      <w:r>
        <w:rPr>
          <w:color w:val="231F20"/>
        </w:rPr>
        <w:t>te</w:t>
      </w:r>
      <w:r>
        <w:rPr>
          <w:color w:val="231F20"/>
          <w:spacing w:val="17"/>
        </w:rPr>
        <w:t> </w:t>
      </w:r>
      <w:r>
        <w:rPr>
          <w:color w:val="231F20"/>
        </w:rPr>
        <w:t>perken,</w:t>
      </w:r>
      <w:r>
        <w:rPr>
          <w:color w:val="231F20"/>
          <w:spacing w:val="17"/>
        </w:rPr>
        <w:t> </w:t>
      </w:r>
      <w:r>
        <w:rPr>
          <w:color w:val="231F20"/>
        </w:rPr>
        <w:t>zoals</w:t>
      </w:r>
      <w:r>
        <w:rPr>
          <w:color w:val="231F20"/>
          <w:spacing w:val="17"/>
        </w:rPr>
        <w:t> </w:t>
      </w:r>
      <w:r>
        <w:rPr>
          <w:color w:val="231F20"/>
        </w:rPr>
        <w:t>door</w:t>
      </w:r>
      <w:r>
        <w:rPr>
          <w:color w:val="231F20"/>
          <w:spacing w:val="17"/>
        </w:rPr>
        <w:t> </w:t>
      </w:r>
      <w:r>
        <w:rPr>
          <w:color w:val="231F20"/>
        </w:rPr>
        <w:t>hen</w:t>
      </w:r>
      <w:r>
        <w:rPr>
          <w:color w:val="231F20"/>
          <w:spacing w:val="17"/>
        </w:rPr>
        <w:t> </w:t>
      </w:r>
      <w:r>
        <w:rPr>
          <w:color w:val="231F20"/>
        </w:rPr>
        <w:t>onderbouwd.</w:t>
      </w:r>
    </w:p>
    <w:p>
      <w:pPr>
        <w:pStyle w:val="BodyText"/>
        <w:spacing w:line="218" w:lineRule="auto" w:before="139"/>
      </w:pPr>
      <w:r>
        <w:rPr>
          <w:color w:val="231F20"/>
        </w:rPr>
        <w:t>4° stellen een aanvullende verklaring op bedoeld in artikel </w:t>
      </w:r>
      <w:r>
        <w:rPr>
          <w:color w:val="231F20"/>
          <w:spacing w:val="-5"/>
        </w:rPr>
        <w:t>11 </w:t>
      </w:r>
      <w:r>
        <w:rPr>
          <w:color w:val="231F20"/>
        </w:rPr>
        <w:t>van de verordening (EU) </w:t>
      </w:r>
      <w:r>
        <w:rPr>
          <w:color w:val="231F20"/>
          <w:spacing w:val="-5"/>
        </w:rPr>
        <w:t>nr.</w:t>
      </w:r>
      <w:r>
        <w:rPr>
          <w:color w:val="231F20"/>
          <w:spacing w:val="7"/>
        </w:rPr>
        <w:t> </w:t>
      </w:r>
      <w:r>
        <w:rPr>
          <w:color w:val="231F20"/>
        </w:rPr>
        <w:t>537/2014;</w:t>
      </w:r>
    </w:p>
    <w:p>
      <w:pPr>
        <w:pStyle w:val="BodyText"/>
        <w:spacing w:line="218" w:lineRule="auto" w:before="138"/>
      </w:pPr>
      <w:r>
        <w:rPr>
          <w:color w:val="231F20"/>
        </w:rPr>
        <w:t>5° bevestigen dat het controleverslag consistent is met de aanvul- lende verklaring aan het auditcomité bedoeld in artikel </w:t>
      </w:r>
      <w:r>
        <w:rPr>
          <w:color w:val="231F20"/>
          <w:spacing w:val="-5"/>
        </w:rPr>
        <w:t>11 </w:t>
      </w:r>
      <w:r>
        <w:rPr>
          <w:color w:val="231F20"/>
        </w:rPr>
        <w:t>van de verordening (EU) </w:t>
      </w:r>
      <w:r>
        <w:rPr>
          <w:color w:val="231F20"/>
          <w:spacing w:val="-5"/>
        </w:rPr>
        <w:t>nr.</w:t>
      </w:r>
      <w:r>
        <w:rPr>
          <w:color w:val="231F20"/>
          <w:spacing w:val="7"/>
        </w:rPr>
        <w:t> </w:t>
      </w:r>
      <w:r>
        <w:rPr>
          <w:color w:val="231F20"/>
        </w:rPr>
        <w:t>537/2014.</w:t>
      </w:r>
    </w:p>
    <w:p>
      <w:pPr>
        <w:pStyle w:val="BodyText"/>
        <w:spacing w:line="218" w:lineRule="auto" w:before="139"/>
      </w:pPr>
      <w:r>
        <w:rPr>
          <w:color w:val="231F20"/>
        </w:rPr>
        <w:t>Bij het onderzoek van de bedreigingen bedoeld in het eerste lid, 3°, de commissaris en, in voorkomend geval, de bedrijfsrevisor die instaat voor de controle van de geconsolideerde jaarrekening of het geregis- treerd auditkantoor informeren en analyseren met het auditcomité de bedreigingen voor hun onafhankelijkheid en de veiligheidsmaatregelen die genomen zijn om deze bedreigingen in te perken, wanneer de totale honoraria die zij van een organisatie van openbaar belang, bedoeld in artikel 1:12, ontvangen meer bedragen dan de criteria bepaald in  artikel</w:t>
      </w:r>
      <w:r>
        <w:rPr>
          <w:color w:val="231F20"/>
          <w:spacing w:val="13"/>
        </w:rPr>
        <w:t> </w:t>
      </w:r>
      <w:r>
        <w:rPr>
          <w:color w:val="231F20"/>
        </w:rPr>
        <w:t>4,</w:t>
      </w:r>
      <w:r>
        <w:rPr>
          <w:color w:val="231F20"/>
          <w:spacing w:val="14"/>
        </w:rPr>
        <w:t> </w:t>
      </w:r>
      <w:r>
        <w:rPr>
          <w:color w:val="231F20"/>
        </w:rPr>
        <w:t>lid</w:t>
      </w:r>
      <w:r>
        <w:rPr>
          <w:color w:val="231F20"/>
          <w:spacing w:val="14"/>
        </w:rPr>
        <w:t> </w:t>
      </w:r>
      <w:r>
        <w:rPr>
          <w:color w:val="231F20"/>
        </w:rPr>
        <w:t>3,</w:t>
      </w:r>
      <w:r>
        <w:rPr>
          <w:color w:val="231F20"/>
          <w:spacing w:val="14"/>
        </w:rPr>
        <w:t> </w:t>
      </w:r>
      <w:r>
        <w:rPr>
          <w:color w:val="231F20"/>
        </w:rPr>
        <w:t>van</w:t>
      </w:r>
      <w:r>
        <w:rPr>
          <w:color w:val="231F20"/>
          <w:spacing w:val="14"/>
        </w:rPr>
        <w:t> </w:t>
      </w:r>
      <w:r>
        <w:rPr>
          <w:color w:val="231F20"/>
        </w:rPr>
        <w:t>de</w:t>
      </w:r>
      <w:r>
        <w:rPr>
          <w:color w:val="231F20"/>
          <w:spacing w:val="14"/>
        </w:rPr>
        <w:t> </w:t>
      </w:r>
      <w:r>
        <w:rPr>
          <w:color w:val="231F20"/>
        </w:rPr>
        <w:t>verordening</w:t>
      </w:r>
      <w:r>
        <w:rPr>
          <w:color w:val="231F20"/>
          <w:spacing w:val="14"/>
        </w:rPr>
        <w:t> </w:t>
      </w:r>
      <w:r>
        <w:rPr>
          <w:color w:val="231F20"/>
        </w:rPr>
        <w:t>(EU)</w:t>
      </w:r>
      <w:r>
        <w:rPr>
          <w:color w:val="231F20"/>
          <w:spacing w:val="14"/>
        </w:rPr>
        <w:t> </w:t>
      </w:r>
      <w:r>
        <w:rPr>
          <w:color w:val="231F20"/>
          <w:spacing w:val="-5"/>
        </w:rPr>
        <w:t>nr.</w:t>
      </w:r>
      <w:r>
        <w:rPr>
          <w:color w:val="231F20"/>
          <w:spacing w:val="14"/>
        </w:rPr>
        <w:t> </w:t>
      </w:r>
      <w:r>
        <w:rPr>
          <w:color w:val="231F20"/>
        </w:rPr>
        <w:t>537/2014.</w:t>
      </w:r>
    </w:p>
    <w:p>
      <w:pPr>
        <w:pStyle w:val="BodyText"/>
        <w:spacing w:line="218" w:lineRule="auto" w:before="150"/>
      </w:pPr>
      <w:r>
        <w:rPr>
          <w:color w:val="231F20"/>
        </w:rPr>
        <w:t>In de vennootschappen die voldoen aan de criteria omschreven in paragraaf 3 die geen auditcomité inrichten, blijven de opdrachten van de commissaris en, in voorkomend geval, van de bedrijfsrevisor die instaat voor de controle van de geconsolideerde jaarrekening, zoals opgenomen onder paragraaf 7, van toepassing, maar worden zij uitgeoefend ten aanzien van de raad van toezicht.</w:t>
      </w:r>
    </w:p>
    <w:p>
      <w:pPr>
        <w:pStyle w:val="BodyText"/>
        <w:spacing w:line="218" w:lineRule="auto" w:before="150"/>
        <w:ind w:right="119"/>
      </w:pPr>
      <w:r>
        <w:rPr>
          <w:color w:val="231F20"/>
        </w:rPr>
        <w:t>De commissaris en, in voorkomend geval, de bedrijfsrevisor die instaat voor de controle van de geconsolideerde jaarrekening, maken jaarlijks aan het auditcomité, enerzijds, indien dergelijk comité is ingericht, en aan de raad van toezicht, anderzijds, de aanvullende </w:t>
      </w:r>
      <w:r>
        <w:rPr>
          <w:color w:val="231F20"/>
          <w:spacing w:val="6"/>
        </w:rPr>
        <w:t>verklaring  bedoeld   </w:t>
      </w:r>
      <w:r>
        <w:rPr>
          <w:color w:val="231F20"/>
          <w:spacing w:val="3"/>
        </w:rPr>
        <w:t>in   </w:t>
      </w:r>
      <w:r>
        <w:rPr>
          <w:color w:val="231F20"/>
          <w:spacing w:val="6"/>
        </w:rPr>
        <w:t>artikel   </w:t>
      </w:r>
      <w:r>
        <w:rPr>
          <w:color w:val="231F20"/>
        </w:rPr>
        <w:t>11   </w:t>
      </w:r>
      <w:r>
        <w:rPr>
          <w:color w:val="231F20"/>
          <w:spacing w:val="4"/>
        </w:rPr>
        <w:t>van   </w:t>
      </w:r>
      <w:r>
        <w:rPr>
          <w:color w:val="231F20"/>
          <w:spacing w:val="3"/>
        </w:rPr>
        <w:t>de   </w:t>
      </w:r>
      <w:r>
        <w:rPr>
          <w:color w:val="231F20"/>
          <w:spacing w:val="5"/>
        </w:rPr>
        <w:t>verordening   </w:t>
      </w:r>
      <w:r>
        <w:rPr>
          <w:color w:val="231F20"/>
          <w:spacing w:val="7"/>
        </w:rPr>
        <w:t>(EU) </w:t>
      </w:r>
      <w:r>
        <w:rPr>
          <w:color w:val="231F20"/>
          <w:spacing w:val="-5"/>
        </w:rPr>
        <w:t>nr. </w:t>
      </w:r>
      <w:r>
        <w:rPr>
          <w:color w:val="231F20"/>
        </w:rPr>
        <w:t>537/2014 </w:t>
      </w:r>
      <w:r>
        <w:rPr>
          <w:color w:val="231F20"/>
          <w:spacing w:val="-3"/>
        </w:rPr>
        <w:t>over. </w:t>
      </w:r>
      <w:r>
        <w:rPr>
          <w:color w:val="231F20"/>
        </w:rPr>
        <w:t>Deze aanvullende verklaring wordt overgemaakt uiterlijk op de datum van indiening van het controleverslag bedoeld in de artikelen 3:75 en 3:80 en in artikel 10 van de verordening (EU)       </w:t>
      </w:r>
      <w:r>
        <w:rPr>
          <w:color w:val="231F20"/>
          <w:spacing w:val="-5"/>
        </w:rPr>
        <w:t>nr.</w:t>
      </w:r>
      <w:r>
        <w:rPr>
          <w:color w:val="231F20"/>
          <w:spacing w:val="14"/>
        </w:rPr>
        <w:t> </w:t>
      </w:r>
      <w:r>
        <w:rPr>
          <w:color w:val="231F20"/>
        </w:rPr>
        <w:t>537/2014.</w:t>
      </w:r>
    </w:p>
    <w:p>
      <w:pPr>
        <w:spacing w:after="0" w:line="218" w:lineRule="auto"/>
        <w:sectPr>
          <w:pgSz w:w="11940" w:h="16880"/>
          <w:pgMar w:header="666" w:footer="0" w:top="1140" w:bottom="280" w:left="340" w:right="360"/>
          <w:cols w:num="2" w:equalWidth="0">
            <w:col w:w="5587" w:space="40"/>
            <w:col w:w="5613"/>
          </w:cols>
        </w:sectPr>
      </w:pPr>
    </w:p>
    <w:p>
      <w:pPr>
        <w:pStyle w:val="BodyText"/>
        <w:spacing w:line="218" w:lineRule="auto" w:before="120"/>
        <w:ind w:right="38"/>
      </w:pPr>
      <w:r>
        <w:rPr/>
        <w:pict>
          <v:line style="position:absolute;mso-position-horizontal-relative:page;mso-position-vertical-relative:page;z-index:5296" from="298.170502pt,64.473pt" to="298.170502pt,812.819pt" stroked="true" strokeweight=".533pt" strokecolor="#231f20">
            <v:stroke dashstyle="solid"/>
            <w10:wrap type="none"/>
          </v:line>
        </w:pict>
      </w:r>
      <w:bookmarkStart w:name="_bookmark178" w:id="183"/>
      <w:bookmarkEnd w:id="183"/>
      <w:r>
        <w:rPr/>
      </w:r>
      <w:r>
        <w:rPr>
          <w:color w:val="231F20"/>
        </w:rPr>
        <w:t>Sur demande motivée de l’Autorité des services et marchés finan- ciers, le comité d’audit ou, le cas échéant, le conseil de surveillance, transmettent le rapport complémentaire visé à l’article 11 du règlement (UE) n° 537/2014.</w:t>
      </w:r>
    </w:p>
    <w:p>
      <w:pPr>
        <w:pStyle w:val="BodyText"/>
        <w:spacing w:line="201" w:lineRule="auto" w:before="107"/>
        <w:ind w:right="38"/>
      </w:pPr>
      <w:r>
        <w:rPr>
          <w:color w:val="231F20"/>
        </w:rPr>
        <w:t>§ 8. Sont exemptées de l’obligation d’avoir un comité d’audit visé aux paragraphes 1</w:t>
      </w:r>
      <w:r>
        <w:rPr>
          <w:color w:val="231F20"/>
          <w:position w:val="7"/>
          <w:sz w:val="11"/>
        </w:rPr>
        <w:t>er </w:t>
      </w:r>
      <w:r>
        <w:rPr>
          <w:color w:val="231F20"/>
        </w:rPr>
        <w:t>à 6:</w:t>
      </w:r>
    </w:p>
    <w:p>
      <w:pPr>
        <w:pStyle w:val="BodyText"/>
        <w:spacing w:line="218" w:lineRule="auto" w:before="97"/>
        <w:ind w:right="38"/>
      </w:pPr>
      <w:r>
        <w:rPr>
          <w:color w:val="231F20"/>
        </w:rPr>
        <w:t>1° les sociétés qui sont un organisme de placement collectif en  </w:t>
      </w:r>
      <w:r>
        <w:rPr>
          <w:color w:val="231F20"/>
          <w:spacing w:val="-3"/>
        </w:rPr>
        <w:t>valeurs</w:t>
      </w:r>
      <w:r>
        <w:rPr>
          <w:color w:val="231F20"/>
          <w:spacing w:val="-8"/>
        </w:rPr>
        <w:t> </w:t>
      </w:r>
      <w:r>
        <w:rPr>
          <w:color w:val="231F20"/>
          <w:spacing w:val="-3"/>
        </w:rPr>
        <w:t>mobilières</w:t>
      </w:r>
      <w:r>
        <w:rPr>
          <w:color w:val="231F20"/>
          <w:spacing w:val="-8"/>
        </w:rPr>
        <w:t> </w:t>
      </w:r>
      <w:r>
        <w:rPr>
          <w:color w:val="231F20"/>
          <w:spacing w:val="-3"/>
        </w:rPr>
        <w:t>(OPCVM)</w:t>
      </w:r>
      <w:r>
        <w:rPr>
          <w:color w:val="231F20"/>
          <w:spacing w:val="-7"/>
        </w:rPr>
        <w:t> </w:t>
      </w:r>
      <w:r>
        <w:rPr>
          <w:color w:val="231F20"/>
          <w:spacing w:val="-3"/>
        </w:rPr>
        <w:t>tels</w:t>
      </w:r>
      <w:r>
        <w:rPr>
          <w:color w:val="231F20"/>
          <w:spacing w:val="-8"/>
        </w:rPr>
        <w:t> </w:t>
      </w:r>
      <w:r>
        <w:rPr>
          <w:color w:val="231F20"/>
        </w:rPr>
        <w:t>que</w:t>
      </w:r>
      <w:r>
        <w:rPr>
          <w:color w:val="231F20"/>
          <w:spacing w:val="-7"/>
        </w:rPr>
        <w:t> </w:t>
      </w:r>
      <w:r>
        <w:rPr>
          <w:color w:val="231F20"/>
          <w:spacing w:val="-3"/>
        </w:rPr>
        <w:t>définis</w:t>
      </w:r>
      <w:r>
        <w:rPr>
          <w:color w:val="231F20"/>
          <w:spacing w:val="-8"/>
        </w:rPr>
        <w:t> </w:t>
      </w:r>
      <w:r>
        <w:rPr>
          <w:color w:val="231F20"/>
        </w:rPr>
        <w:t>par</w:t>
      </w:r>
      <w:r>
        <w:rPr>
          <w:color w:val="231F20"/>
          <w:spacing w:val="-7"/>
        </w:rPr>
        <w:t> </w:t>
      </w:r>
      <w:r>
        <w:rPr>
          <w:color w:val="231F20"/>
        </w:rPr>
        <w:t>la</w:t>
      </w:r>
      <w:r>
        <w:rPr>
          <w:color w:val="231F20"/>
          <w:spacing w:val="-8"/>
        </w:rPr>
        <w:t> </w:t>
      </w:r>
      <w:r>
        <w:rPr>
          <w:color w:val="231F20"/>
        </w:rPr>
        <w:t>loi</w:t>
      </w:r>
      <w:r>
        <w:rPr>
          <w:color w:val="231F20"/>
          <w:spacing w:val="-7"/>
        </w:rPr>
        <w:t> </w:t>
      </w:r>
      <w:r>
        <w:rPr>
          <w:color w:val="231F20"/>
        </w:rPr>
        <w:t>du</w:t>
      </w:r>
      <w:r>
        <w:rPr>
          <w:color w:val="231F20"/>
          <w:spacing w:val="-8"/>
        </w:rPr>
        <w:t> </w:t>
      </w:r>
      <w:r>
        <w:rPr>
          <w:color w:val="231F20"/>
        </w:rPr>
        <w:t>3</w:t>
      </w:r>
      <w:r>
        <w:rPr>
          <w:color w:val="231F20"/>
          <w:spacing w:val="-7"/>
        </w:rPr>
        <w:t> </w:t>
      </w:r>
      <w:r>
        <w:rPr>
          <w:color w:val="231F20"/>
          <w:spacing w:val="-3"/>
        </w:rPr>
        <w:t>août</w:t>
      </w:r>
      <w:r>
        <w:rPr>
          <w:color w:val="231F20"/>
          <w:spacing w:val="-8"/>
        </w:rPr>
        <w:t> </w:t>
      </w:r>
      <w:r>
        <w:rPr>
          <w:color w:val="231F20"/>
          <w:spacing w:val="-3"/>
        </w:rPr>
        <w:t>2012</w:t>
      </w:r>
      <w:r>
        <w:rPr>
          <w:color w:val="231F20"/>
          <w:spacing w:val="-8"/>
        </w:rPr>
        <w:t> </w:t>
      </w:r>
      <w:r>
        <w:rPr>
          <w:color w:val="231F20"/>
          <w:spacing w:val="-4"/>
        </w:rPr>
        <w:t>rela- </w:t>
      </w:r>
      <w:r>
        <w:rPr>
          <w:color w:val="231F20"/>
        </w:rPr>
        <w:t>tive aux organismes de placement collectif qui répondent aux condi- tions de la directive 2009/65/CE et aux organismes de placement en créances ou des organismes de placement collectif alternatif (OPCA) tels que définis par la loi du 19 avril 2014 relative aux organismes de placement</w:t>
      </w:r>
      <w:r>
        <w:rPr>
          <w:color w:val="231F20"/>
          <w:spacing w:val="13"/>
        </w:rPr>
        <w:t> </w:t>
      </w:r>
      <w:r>
        <w:rPr>
          <w:color w:val="231F20"/>
        </w:rPr>
        <w:t>collectif</w:t>
      </w:r>
      <w:r>
        <w:rPr>
          <w:color w:val="231F20"/>
          <w:spacing w:val="14"/>
        </w:rPr>
        <w:t> </w:t>
      </w:r>
      <w:r>
        <w:rPr>
          <w:color w:val="231F20"/>
        </w:rPr>
        <w:t>alternatifs</w:t>
      </w:r>
      <w:r>
        <w:rPr>
          <w:color w:val="231F20"/>
          <w:spacing w:val="14"/>
        </w:rPr>
        <w:t> </w:t>
      </w:r>
      <w:r>
        <w:rPr>
          <w:color w:val="231F20"/>
        </w:rPr>
        <w:t>et</w:t>
      </w:r>
      <w:r>
        <w:rPr>
          <w:color w:val="231F20"/>
          <w:spacing w:val="14"/>
        </w:rPr>
        <w:t> </w:t>
      </w:r>
      <w:r>
        <w:rPr>
          <w:color w:val="231F20"/>
        </w:rPr>
        <w:t>à</w:t>
      </w:r>
      <w:r>
        <w:rPr>
          <w:color w:val="231F20"/>
          <w:spacing w:val="14"/>
        </w:rPr>
        <w:t> </w:t>
      </w:r>
      <w:r>
        <w:rPr>
          <w:color w:val="231F20"/>
        </w:rPr>
        <w:t>leurs</w:t>
      </w:r>
      <w:r>
        <w:rPr>
          <w:color w:val="231F20"/>
          <w:spacing w:val="14"/>
        </w:rPr>
        <w:t> </w:t>
      </w:r>
      <w:r>
        <w:rPr>
          <w:color w:val="231F20"/>
        </w:rPr>
        <w:t>gestionnaires;</w:t>
      </w:r>
    </w:p>
    <w:p>
      <w:pPr>
        <w:pStyle w:val="BodyText"/>
        <w:spacing w:before="11"/>
        <w:ind w:left="0" w:right="0" w:firstLine="0"/>
        <w:jc w:val="left"/>
        <w:rPr>
          <w:sz w:val="23"/>
        </w:rPr>
      </w:pPr>
    </w:p>
    <w:p>
      <w:pPr>
        <w:pStyle w:val="BodyText"/>
        <w:spacing w:line="218" w:lineRule="auto"/>
        <w:ind w:right="38"/>
      </w:pPr>
      <w:r>
        <w:rPr>
          <w:color w:val="231F20"/>
        </w:rPr>
        <w:t>2° les sociétés dont la seule activité consiste à émettre des titres adossés à des actifs au  sens  de  l’article  2,  §  5,  du  règlement  (CE)  n° 809/2004 de la Commission européenne; dans ce cas, la société divulgue les raisons pour lesquelles elle ne juge pas opportun de disposer d’un comité d’audit ou que le conseil de surveillance soit chargé</w:t>
      </w:r>
      <w:r>
        <w:rPr>
          <w:color w:val="231F20"/>
          <w:spacing w:val="15"/>
        </w:rPr>
        <w:t> </w:t>
      </w:r>
      <w:r>
        <w:rPr>
          <w:color w:val="231F20"/>
        </w:rPr>
        <w:t>d’exercer</w:t>
      </w:r>
      <w:r>
        <w:rPr>
          <w:color w:val="231F20"/>
          <w:spacing w:val="16"/>
        </w:rPr>
        <w:t> </w:t>
      </w:r>
      <w:r>
        <w:rPr>
          <w:color w:val="231F20"/>
        </w:rPr>
        <w:t>les</w:t>
      </w:r>
      <w:r>
        <w:rPr>
          <w:color w:val="231F20"/>
          <w:spacing w:val="16"/>
        </w:rPr>
        <w:t> </w:t>
      </w:r>
      <w:r>
        <w:rPr>
          <w:color w:val="231F20"/>
        </w:rPr>
        <w:t>fonctions</w:t>
      </w:r>
      <w:r>
        <w:rPr>
          <w:color w:val="231F20"/>
          <w:spacing w:val="16"/>
        </w:rPr>
        <w:t> </w:t>
      </w:r>
      <w:r>
        <w:rPr>
          <w:color w:val="231F20"/>
        </w:rPr>
        <w:t>du</w:t>
      </w:r>
      <w:r>
        <w:rPr>
          <w:color w:val="231F20"/>
          <w:spacing w:val="16"/>
        </w:rPr>
        <w:t> </w:t>
      </w:r>
      <w:r>
        <w:rPr>
          <w:color w:val="231F20"/>
        </w:rPr>
        <w:t>comité</w:t>
      </w:r>
      <w:r>
        <w:rPr>
          <w:color w:val="231F20"/>
          <w:spacing w:val="15"/>
        </w:rPr>
        <w:t> </w:t>
      </w:r>
      <w:r>
        <w:rPr>
          <w:color w:val="231F20"/>
        </w:rPr>
        <w:t>d’audit.</w:t>
      </w:r>
    </w:p>
    <w:p>
      <w:pPr>
        <w:pStyle w:val="BodyText"/>
        <w:spacing w:before="11"/>
        <w:ind w:left="0" w:right="0" w:firstLine="0"/>
        <w:jc w:val="left"/>
        <w:rPr>
          <w:sz w:val="23"/>
        </w:rPr>
      </w:pPr>
    </w:p>
    <w:p>
      <w:pPr>
        <w:pStyle w:val="BodyText"/>
        <w:spacing w:line="218" w:lineRule="auto"/>
        <w:ind w:right="38"/>
      </w:pPr>
      <w:r>
        <w:rPr>
          <w:color w:val="231F20"/>
        </w:rPr>
        <w:t>Les missions du commissaire et, le cas échéant, du réviseur d’entreprises chargé du contrôle des comptes consolidés reprises sous le paragraphe 7 restent applicables mais sont exercées à l’égard du conseil de</w:t>
      </w:r>
      <w:r>
        <w:rPr>
          <w:color w:val="231F20"/>
          <w:spacing w:val="-11"/>
        </w:rPr>
        <w:t> </w:t>
      </w:r>
      <w:r>
        <w:rPr>
          <w:color w:val="231F20"/>
        </w:rPr>
        <w:t>surveillance.</w:t>
      </w:r>
    </w:p>
    <w:p>
      <w:pPr>
        <w:pStyle w:val="BodyText"/>
        <w:spacing w:line="218" w:lineRule="auto" w:before="81"/>
        <w:ind w:right="38"/>
      </w:pPr>
      <w:r>
        <w:rPr>
          <w:color w:val="231F20"/>
        </w:rPr>
        <w:t>Art. 7:120. § 1</w:t>
      </w:r>
      <w:r>
        <w:rPr>
          <w:color w:val="231F20"/>
          <w:position w:val="7"/>
          <w:sz w:val="11"/>
        </w:rPr>
        <w:t>er</w:t>
      </w:r>
      <w:r>
        <w:rPr>
          <w:color w:val="231F20"/>
        </w:rPr>
        <w:t>. Les sociétés cotées constituent un comité de rémunération au sein de leur conseil de surveillance.</w:t>
      </w:r>
    </w:p>
    <w:p>
      <w:pPr>
        <w:pStyle w:val="BodyText"/>
        <w:spacing w:line="218" w:lineRule="auto" w:before="96"/>
        <w:ind w:right="38"/>
      </w:pPr>
      <w:r>
        <w:rPr>
          <w:color w:val="231F20"/>
        </w:rPr>
        <w:t>§ 2. Le comité de rémunération est composé d’une majorité de membres indépendants du conseil de surveillance et est compétent en matière de politique de rémunération.</w:t>
      </w:r>
    </w:p>
    <w:p>
      <w:pPr>
        <w:pStyle w:val="BodyText"/>
        <w:spacing w:line="218" w:lineRule="auto" w:before="96"/>
        <w:ind w:right="38"/>
      </w:pPr>
      <w:r>
        <w:rPr>
          <w:color w:val="231F20"/>
        </w:rPr>
        <w:t>§ 3. Le président ou un autre membre du conseil de surveillance préside ce comité.</w:t>
      </w:r>
    </w:p>
    <w:p>
      <w:pPr>
        <w:pStyle w:val="BodyText"/>
        <w:spacing w:line="218" w:lineRule="auto" w:before="97"/>
        <w:ind w:right="38"/>
      </w:pPr>
      <w:r>
        <w:rPr>
          <w:color w:val="231F20"/>
        </w:rPr>
        <w:t>§ 4. Dans les sociétés répondant, sur une base consolidée, à au moins deux des trois critères suivants:</w:t>
      </w:r>
    </w:p>
    <w:p>
      <w:pPr>
        <w:pStyle w:val="BodyText"/>
        <w:spacing w:line="218" w:lineRule="auto" w:before="96"/>
        <w:ind w:right="38"/>
      </w:pPr>
      <w:r>
        <w:rPr>
          <w:color w:val="231F20"/>
        </w:rPr>
        <w:t>1°</w:t>
      </w:r>
      <w:r>
        <w:rPr>
          <w:color w:val="231F20"/>
          <w:spacing w:val="-6"/>
        </w:rPr>
        <w:t> </w:t>
      </w:r>
      <w:r>
        <w:rPr>
          <w:color w:val="231F20"/>
        </w:rPr>
        <w:t>nombre</w:t>
      </w:r>
      <w:r>
        <w:rPr>
          <w:color w:val="231F20"/>
          <w:spacing w:val="-5"/>
        </w:rPr>
        <w:t> </w:t>
      </w:r>
      <w:r>
        <w:rPr>
          <w:color w:val="231F20"/>
        </w:rPr>
        <w:t>moyen</w:t>
      </w:r>
      <w:r>
        <w:rPr>
          <w:color w:val="231F20"/>
          <w:spacing w:val="-6"/>
        </w:rPr>
        <w:t> </w:t>
      </w:r>
      <w:r>
        <w:rPr>
          <w:color w:val="231F20"/>
        </w:rPr>
        <w:t>de</w:t>
      </w:r>
      <w:r>
        <w:rPr>
          <w:color w:val="231F20"/>
          <w:spacing w:val="-5"/>
        </w:rPr>
        <w:t> </w:t>
      </w:r>
      <w:r>
        <w:rPr>
          <w:color w:val="231F20"/>
        </w:rPr>
        <w:t>salariés</w:t>
      </w:r>
      <w:r>
        <w:rPr>
          <w:color w:val="231F20"/>
          <w:spacing w:val="-5"/>
        </w:rPr>
        <w:t> </w:t>
      </w:r>
      <w:r>
        <w:rPr>
          <w:color w:val="231F20"/>
        </w:rPr>
        <w:t>inférieur</w:t>
      </w:r>
      <w:r>
        <w:rPr>
          <w:color w:val="231F20"/>
          <w:spacing w:val="-6"/>
        </w:rPr>
        <w:t> </w:t>
      </w:r>
      <w:r>
        <w:rPr>
          <w:color w:val="231F20"/>
        </w:rPr>
        <w:t>à</w:t>
      </w:r>
      <w:r>
        <w:rPr>
          <w:color w:val="231F20"/>
          <w:spacing w:val="-5"/>
        </w:rPr>
        <w:t> </w:t>
      </w:r>
      <w:r>
        <w:rPr>
          <w:color w:val="231F20"/>
        </w:rPr>
        <w:t>250</w:t>
      </w:r>
      <w:r>
        <w:rPr>
          <w:color w:val="231F20"/>
          <w:spacing w:val="-6"/>
        </w:rPr>
        <w:t> </w:t>
      </w:r>
      <w:r>
        <w:rPr>
          <w:color w:val="231F20"/>
        </w:rPr>
        <w:t>personnes</w:t>
      </w:r>
      <w:r>
        <w:rPr>
          <w:color w:val="231F20"/>
          <w:spacing w:val="-5"/>
        </w:rPr>
        <w:t> </w:t>
      </w:r>
      <w:r>
        <w:rPr>
          <w:color w:val="231F20"/>
        </w:rPr>
        <w:t>sur</w:t>
      </w:r>
      <w:r>
        <w:rPr>
          <w:color w:val="231F20"/>
          <w:spacing w:val="-5"/>
        </w:rPr>
        <w:t> </w:t>
      </w:r>
      <w:r>
        <w:rPr>
          <w:color w:val="231F20"/>
        </w:rPr>
        <w:t>l’ensemble de l’exercice</w:t>
      </w:r>
      <w:r>
        <w:rPr>
          <w:color w:val="231F20"/>
          <w:spacing w:val="-12"/>
        </w:rPr>
        <w:t> </w:t>
      </w:r>
      <w:r>
        <w:rPr>
          <w:color w:val="231F20"/>
        </w:rPr>
        <w:t>concerné;</w:t>
      </w:r>
    </w:p>
    <w:p>
      <w:pPr>
        <w:pStyle w:val="BodyText"/>
        <w:spacing w:before="82"/>
        <w:ind w:left="283" w:right="0" w:firstLine="0"/>
        <w:jc w:val="left"/>
      </w:pPr>
      <w:r>
        <w:rPr>
          <w:color w:val="231F20"/>
        </w:rPr>
        <w:t>2° total du bilan inférieur ou égal à 43 000 000 euros;</w:t>
      </w:r>
    </w:p>
    <w:p>
      <w:pPr>
        <w:pStyle w:val="BodyText"/>
        <w:spacing w:before="78"/>
        <w:ind w:left="283" w:right="0" w:firstLine="0"/>
        <w:jc w:val="left"/>
      </w:pPr>
      <w:r>
        <w:rPr>
          <w:color w:val="231F20"/>
        </w:rPr>
        <w:t>3° chiffre d’affaires net annuel inférieur ou égal à 50 000 000 euros;</w:t>
      </w:r>
    </w:p>
    <w:p>
      <w:pPr>
        <w:pStyle w:val="BodyText"/>
        <w:spacing w:line="218" w:lineRule="auto" w:before="93"/>
        <w:ind w:right="38"/>
      </w:pPr>
      <w:r>
        <w:rPr>
          <w:color w:val="231F20"/>
        </w:rPr>
        <w:t>— la constitution d’un comité de rémunération au sein de leur conseil de surveillance n’est pas obligatoire. Dans ce cas, le conseil de surveillance dans son ensemble doit exercer les fonctions attribuées au comité de rémunération, à condition qu’il compte au moins un administrateur indépendant.</w:t>
      </w:r>
    </w:p>
    <w:p>
      <w:pPr>
        <w:pStyle w:val="BodyText"/>
        <w:spacing w:line="218" w:lineRule="auto" w:before="96"/>
        <w:ind w:right="38"/>
      </w:pPr>
      <w:r>
        <w:rPr>
          <w:color w:val="231F20"/>
        </w:rPr>
        <w:t>§ 5. Sans préjudice des mandats légaux du conseil de surveillance, le comité de rémunération est au moins chargé des missions suivantes:</w:t>
      </w:r>
    </w:p>
    <w:p>
      <w:pPr>
        <w:pStyle w:val="BodyText"/>
        <w:spacing w:line="218" w:lineRule="auto" w:before="107"/>
        <w:ind w:right="38"/>
      </w:pPr>
      <w:r>
        <w:rPr>
          <w:color w:val="231F20"/>
        </w:rPr>
        <w:t>1° il formule des propositions au conseil de surveillance sur la politique de rémunération des membres du conseil de surveillance, des membres du conseil de direction, des  autres  dirigeants  visés  à l’article 3:6, § 3, dernier alinéa, et des délégués à la gestion journalière et, s’il y a lieu, sur les propositions qui en découlent et que le conseil de surveillance</w:t>
      </w:r>
      <w:r>
        <w:rPr>
          <w:color w:val="231F20"/>
          <w:spacing w:val="15"/>
        </w:rPr>
        <w:t> </w:t>
      </w:r>
      <w:r>
        <w:rPr>
          <w:color w:val="231F20"/>
        </w:rPr>
        <w:t>doit</w:t>
      </w:r>
      <w:r>
        <w:rPr>
          <w:color w:val="231F20"/>
          <w:spacing w:val="15"/>
        </w:rPr>
        <w:t> </w:t>
      </w:r>
      <w:r>
        <w:rPr>
          <w:color w:val="231F20"/>
        </w:rPr>
        <w:t>soumettre</w:t>
      </w:r>
      <w:r>
        <w:rPr>
          <w:color w:val="231F20"/>
          <w:spacing w:val="15"/>
        </w:rPr>
        <w:t> </w:t>
      </w:r>
      <w:r>
        <w:rPr>
          <w:color w:val="231F20"/>
        </w:rPr>
        <w:t>à</w:t>
      </w:r>
      <w:r>
        <w:rPr>
          <w:color w:val="231F20"/>
          <w:spacing w:val="15"/>
        </w:rPr>
        <w:t> </w:t>
      </w:r>
      <w:r>
        <w:rPr>
          <w:color w:val="231F20"/>
        </w:rPr>
        <w:t>l’assemblée</w:t>
      </w:r>
      <w:r>
        <w:rPr>
          <w:color w:val="231F20"/>
          <w:spacing w:val="16"/>
        </w:rPr>
        <w:t> </w:t>
      </w:r>
      <w:r>
        <w:rPr>
          <w:color w:val="231F20"/>
        </w:rPr>
        <w:t>générale;</w:t>
      </w:r>
    </w:p>
    <w:p>
      <w:pPr>
        <w:pStyle w:val="BodyText"/>
        <w:spacing w:line="218" w:lineRule="auto" w:before="107"/>
        <w:ind w:right="38"/>
      </w:pPr>
      <w:r>
        <w:rPr>
          <w:color w:val="231F20"/>
        </w:rPr>
        <w:t>2° il formule des propositions au conseil de surveillance sur la rémunération individuelle des membres du conseil de surveillance, des membres du conseil de direction, des  autres  dirigeants  visés  à l’article 3:6, § 3, dernier alinéa, et des délégués à la gestion journalière, y compris la rémunération variable et les primes de prestations à long terme, liées ou non à des actions, sous forme d’options sur actions ou autres instruments financiers, et d’indemnités de départ, et, s’il y a lieu, sur les propositions qui en découlent et que le conseil de surveillance doit soumettre à l’assemblée</w:t>
      </w:r>
      <w:r>
        <w:rPr>
          <w:color w:val="231F20"/>
          <w:spacing w:val="18"/>
        </w:rPr>
        <w:t> </w:t>
      </w:r>
      <w:r>
        <w:rPr>
          <w:color w:val="231F20"/>
        </w:rPr>
        <w:t>générale;</w:t>
      </w:r>
    </w:p>
    <w:p>
      <w:pPr>
        <w:pStyle w:val="BodyText"/>
        <w:spacing w:before="11"/>
        <w:ind w:left="0" w:right="0" w:firstLine="0"/>
        <w:jc w:val="left"/>
        <w:rPr>
          <w:sz w:val="24"/>
        </w:rPr>
      </w:pPr>
    </w:p>
    <w:p>
      <w:pPr>
        <w:pStyle w:val="BodyText"/>
        <w:spacing w:line="218" w:lineRule="auto"/>
        <w:ind w:right="38"/>
      </w:pPr>
      <w:r>
        <w:rPr>
          <w:color w:val="231F20"/>
        </w:rPr>
        <w:t>3° il prépare le rapport de rémunération que le conseil de sur- veillance joint à la déclaration visée à l’article 3:6, § 2;</w:t>
      </w:r>
    </w:p>
    <w:p>
      <w:pPr>
        <w:pStyle w:val="BodyText"/>
        <w:spacing w:line="218" w:lineRule="auto" w:before="107"/>
        <w:ind w:right="38"/>
      </w:pPr>
      <w:r>
        <w:rPr>
          <w:color w:val="231F20"/>
        </w:rPr>
        <w:t>4° il commente le rapport de rémunération lors de l’assemblée générale annuelle des actionnaires.</w:t>
      </w:r>
    </w:p>
    <w:p>
      <w:pPr>
        <w:pStyle w:val="BodyText"/>
        <w:spacing w:line="218" w:lineRule="auto" w:before="106"/>
        <w:ind w:right="38"/>
      </w:pPr>
      <w:r>
        <w:rPr>
          <w:color w:val="231F20"/>
        </w:rPr>
        <w:t>§ 6. Le comité de rémunération se réunit chaque fois qu’il l’estime nécessaire pour remplir correctement ses tâches et au moins deux fois par an.</w:t>
      </w:r>
    </w:p>
    <w:p>
      <w:pPr>
        <w:pStyle w:val="BodyText"/>
        <w:spacing w:line="218" w:lineRule="auto" w:before="107"/>
        <w:ind w:right="38"/>
      </w:pPr>
      <w:r>
        <w:rPr>
          <w:color w:val="231F20"/>
        </w:rPr>
        <w:t>Le comité de rémunération fait régulièrement rapport au conseil de surveillance sur l’exercice de ses missions.</w:t>
      </w:r>
    </w:p>
    <w:p>
      <w:pPr>
        <w:pStyle w:val="BodyText"/>
        <w:spacing w:line="218" w:lineRule="auto" w:before="107"/>
        <w:ind w:right="38"/>
      </w:pPr>
      <w:r>
        <w:rPr>
          <w:color w:val="231F20"/>
        </w:rPr>
        <w:t>Le conseil de surveillance communique le rapport de rémunération visé au paragraphe 5, 3°, au conseil d’entreprise ou, s’il n’y en a pas, aux représentants des travailleurs au comité pour la prévention et la protection au travail ou, s’il n’y en a pas, à la délégation syndicale.</w:t>
      </w:r>
    </w:p>
    <w:p>
      <w:pPr>
        <w:pStyle w:val="BodyText"/>
        <w:spacing w:line="218" w:lineRule="auto" w:before="119"/>
      </w:pPr>
      <w:r>
        <w:rPr/>
        <w:br w:type="column"/>
      </w:r>
      <w:r>
        <w:rPr>
          <w:color w:val="231F20"/>
        </w:rPr>
        <w:t>Op gemotiveerd verzoek van de Autoriteit voor Financiële Diensten en Markten, maken het auditcomité of, in voorkomend geval, de raad van toezicht, de aanvullende verklaring bedoeld in artikel 11 van de verordening (EU) nr. 537/2014 over.</w:t>
      </w:r>
    </w:p>
    <w:p>
      <w:pPr>
        <w:pStyle w:val="BodyText"/>
        <w:spacing w:line="218" w:lineRule="auto" w:before="97"/>
      </w:pPr>
      <w:r>
        <w:rPr>
          <w:color w:val="231F20"/>
        </w:rPr>
        <w:t>§ 8. Zijn vrijgesteld van de verplichting tot instelling van een auditcomité als bedoeld in de paragrafen 1 tot 6:</w:t>
      </w:r>
    </w:p>
    <w:p>
      <w:pPr>
        <w:pStyle w:val="BodyText"/>
        <w:spacing w:line="218" w:lineRule="auto" w:before="96"/>
        <w:ind w:right="123"/>
      </w:pPr>
      <w:r>
        <w:rPr>
          <w:color w:val="231F20"/>
        </w:rPr>
        <w:t>1° elke vennootschap die een instelling voor collectieve belegging in effecten (ICBE’s) is  zoals  gedefinieerd  door  de  wet  van  3  augus-  tus 2012 betreffende de instellingen voor collectieve belegging die voldoen aan de voorwaarden van richtlijn 2009/65/EG en de instellin- gen voor belegging in schuldvorderingen of de alternatieve instellingen voor collectieve belegging (AICB) zoals gedefinieerd door de wet van   19 april 2014 betreffende de alternatieve instellingen voor collectieve belegging en hun</w:t>
      </w:r>
      <w:r>
        <w:rPr>
          <w:color w:val="231F20"/>
          <w:spacing w:val="4"/>
        </w:rPr>
        <w:t> </w:t>
      </w:r>
      <w:r>
        <w:rPr>
          <w:color w:val="231F20"/>
        </w:rPr>
        <w:t>beheerders;</w:t>
      </w:r>
    </w:p>
    <w:p>
      <w:pPr>
        <w:pStyle w:val="BodyText"/>
        <w:spacing w:line="218" w:lineRule="auto" w:before="96"/>
      </w:pPr>
      <w:r>
        <w:rPr>
          <w:color w:val="231F20"/>
        </w:rPr>
        <w:t>2° elke vennootschap waarvan de enige zakelijke activiteit bestaat in de uitgifte van door activa gedekte waardepapieren, zoals gedefinieerd in artikel 2, lid 5, van verordening (EG) nr. 809/2004 van de Europese Commissie; in dat geval zet de vennootschap aan het publiek uiteen waarom zij het niet dienstig acht hetzij een auditcomité in te stellen, hetzij de raad van toezicht te belasten met de uitvoering van de taken van een auditcomité.</w:t>
      </w:r>
    </w:p>
    <w:p>
      <w:pPr>
        <w:pStyle w:val="BodyText"/>
        <w:spacing w:line="218" w:lineRule="auto" w:before="97"/>
      </w:pPr>
      <w:r>
        <w:rPr>
          <w:color w:val="231F20"/>
        </w:rPr>
        <w:t>De opdrachten van de commissaris en, in voorkomend geval, van de bedrijfsrevisor die instaat voor de controle van de geconsolideerde jaarrekening, zoals opgenomen onder paragraaf 7, blijven van toepas- sing, maar worden uitgeoefend ten aanzien van de raad van toezicht.</w:t>
      </w:r>
    </w:p>
    <w:p>
      <w:pPr>
        <w:pStyle w:val="BodyText"/>
        <w:spacing w:line="218" w:lineRule="auto" w:before="96"/>
      </w:pPr>
      <w:r>
        <w:rPr>
          <w:color w:val="231F20"/>
        </w:rPr>
        <w:t>Art. 7:120. § 1. De genoteerde vennootschappen richten een remune- ratiecomité op binnen hun raad van toezicht.</w:t>
      </w:r>
    </w:p>
    <w:p>
      <w:pPr>
        <w:pStyle w:val="BodyText"/>
        <w:spacing w:line="218" w:lineRule="auto" w:before="96"/>
      </w:pPr>
      <w:r>
        <w:rPr>
          <w:color w:val="231F20"/>
        </w:rPr>
        <w:t>§ 2. Het remuneratiecomité is samengesteld uit een meerderheid van onafhankelijke leden van de raad van toezicht, en beschikt over de nodige deskundigheid op het gebied van remuneratiebeleid.</w:t>
      </w:r>
    </w:p>
    <w:p>
      <w:pPr>
        <w:pStyle w:val="BodyText"/>
        <w:spacing w:line="218" w:lineRule="auto" w:before="97"/>
      </w:pPr>
      <w:r>
        <w:rPr>
          <w:color w:val="231F20"/>
        </w:rPr>
        <w:t>§ 3. De voorzitter of een ander lid van de raad van toezicht zit dit comité voor.</w:t>
      </w:r>
    </w:p>
    <w:p>
      <w:pPr>
        <w:pStyle w:val="BodyText"/>
        <w:spacing w:line="218" w:lineRule="auto" w:before="96"/>
      </w:pPr>
      <w:r>
        <w:rPr>
          <w:color w:val="231F20"/>
        </w:rPr>
        <w:t>§ 4. Vennootschappen die op geconsolideerde basis aan ten minste twee van de volgende drie criteria voldoen:</w:t>
      </w:r>
    </w:p>
    <w:p>
      <w:pPr>
        <w:pStyle w:val="BodyText"/>
        <w:spacing w:line="218" w:lineRule="auto" w:before="96"/>
      </w:pPr>
      <w:r>
        <w:rPr>
          <w:color w:val="231F20"/>
        </w:rPr>
        <w:t>1° gemiddeld aantal werknemers gedurende het betrokken boekjaar van minder dan 250 personen;</w:t>
      </w:r>
    </w:p>
    <w:p>
      <w:pPr>
        <w:pStyle w:val="BodyText"/>
        <w:spacing w:before="82"/>
        <w:ind w:left="283" w:right="0" w:firstLine="0"/>
        <w:jc w:val="left"/>
      </w:pPr>
      <w:r>
        <w:rPr>
          <w:color w:val="231F20"/>
        </w:rPr>
        <w:t>2° balanstotaal van minder dan of gelijk aan 43 000 000 euro;</w:t>
      </w:r>
    </w:p>
    <w:p>
      <w:pPr>
        <w:pStyle w:val="BodyText"/>
        <w:spacing w:before="79"/>
        <w:ind w:left="283" w:right="0" w:firstLine="0"/>
        <w:jc w:val="left"/>
      </w:pPr>
      <w:r>
        <w:rPr>
          <w:color w:val="231F20"/>
        </w:rPr>
        <w:t>3° jaarlijks netto-omzet van minder dan of gelijk aan 50 000 000 euro;</w:t>
      </w:r>
    </w:p>
    <w:p>
      <w:pPr>
        <w:pStyle w:val="BodyText"/>
        <w:spacing w:line="218" w:lineRule="auto" w:before="92"/>
      </w:pPr>
      <w:r>
        <w:rPr>
          <w:color w:val="231F20"/>
        </w:rPr>
        <w:t>— zijn niet verplicht om een remuneratiecomité op te richten binnen hun raad van toezicht. In dat geval moet de raad van toezicht als geheel de aan het remuneratiecomité toegewezen taken uitvoeren, op voor- waarde dat hij ten minste één onafhankelijk bestuurder telt.</w:t>
      </w:r>
    </w:p>
    <w:p>
      <w:pPr>
        <w:pStyle w:val="BodyText"/>
        <w:spacing w:before="11"/>
        <w:ind w:left="0" w:right="0" w:firstLine="0"/>
        <w:jc w:val="left"/>
        <w:rPr>
          <w:sz w:val="23"/>
        </w:rPr>
      </w:pPr>
    </w:p>
    <w:p>
      <w:pPr>
        <w:pStyle w:val="BodyText"/>
        <w:spacing w:line="218" w:lineRule="auto"/>
      </w:pPr>
      <w:r>
        <w:rPr>
          <w:color w:val="231F20"/>
        </w:rPr>
        <w:t>§ 5. Onverminderd de wettelijke mandaten van de raad van toezicht heeft het remuneratiecomité minstens de volgende taken:</w:t>
      </w:r>
    </w:p>
    <w:p>
      <w:pPr>
        <w:pStyle w:val="BodyText"/>
        <w:spacing w:line="218" w:lineRule="auto" w:before="107"/>
      </w:pPr>
      <w:r>
        <w:rPr>
          <w:color w:val="231F20"/>
        </w:rPr>
        <w:t>1° het doet voorstellen aan de raad van toezicht over het remunera- tiebeleid van de leden van de raad van toezicht, de leden van de directieraad, de personen belast met de leiding bedoeld in artikel 3:6,</w:t>
      </w:r>
    </w:p>
    <w:p>
      <w:pPr>
        <w:pStyle w:val="BodyText"/>
        <w:spacing w:line="218" w:lineRule="auto"/>
        <w:ind w:firstLine="0"/>
      </w:pPr>
      <w:r>
        <w:rPr>
          <w:color w:val="231F20"/>
        </w:rPr>
        <w:t>§ 3, laatste lid, en de personen belast met het dagelijks bestuur, alsook, waar toepasselijk, over de daaruit voortvloeiende voorstellen die de raad</w:t>
      </w:r>
      <w:r>
        <w:rPr>
          <w:color w:val="231F20"/>
          <w:spacing w:val="19"/>
        </w:rPr>
        <w:t> </w:t>
      </w:r>
      <w:r>
        <w:rPr>
          <w:color w:val="231F20"/>
        </w:rPr>
        <w:t>van</w:t>
      </w:r>
      <w:r>
        <w:rPr>
          <w:color w:val="231F20"/>
          <w:spacing w:val="20"/>
        </w:rPr>
        <w:t> </w:t>
      </w:r>
      <w:r>
        <w:rPr>
          <w:color w:val="231F20"/>
        </w:rPr>
        <w:t>toezicht</w:t>
      </w:r>
      <w:r>
        <w:rPr>
          <w:color w:val="231F20"/>
          <w:spacing w:val="20"/>
        </w:rPr>
        <w:t> </w:t>
      </w:r>
      <w:r>
        <w:rPr>
          <w:color w:val="231F20"/>
        </w:rPr>
        <w:t>moet</w:t>
      </w:r>
      <w:r>
        <w:rPr>
          <w:color w:val="231F20"/>
          <w:spacing w:val="20"/>
        </w:rPr>
        <w:t> </w:t>
      </w:r>
      <w:r>
        <w:rPr>
          <w:color w:val="231F20"/>
        </w:rPr>
        <w:t>voorleggen</w:t>
      </w:r>
      <w:r>
        <w:rPr>
          <w:color w:val="231F20"/>
          <w:spacing w:val="20"/>
        </w:rPr>
        <w:t> </w:t>
      </w:r>
      <w:r>
        <w:rPr>
          <w:color w:val="231F20"/>
        </w:rPr>
        <w:t>aan</w:t>
      </w:r>
      <w:r>
        <w:rPr>
          <w:color w:val="231F20"/>
          <w:spacing w:val="20"/>
        </w:rPr>
        <w:t> </w:t>
      </w:r>
      <w:r>
        <w:rPr>
          <w:color w:val="231F20"/>
        </w:rPr>
        <w:t>de</w:t>
      </w:r>
      <w:r>
        <w:rPr>
          <w:color w:val="231F20"/>
          <w:spacing w:val="20"/>
        </w:rPr>
        <w:t> </w:t>
      </w:r>
      <w:r>
        <w:rPr>
          <w:color w:val="231F20"/>
        </w:rPr>
        <w:t>algemene</w:t>
      </w:r>
      <w:r>
        <w:rPr>
          <w:color w:val="231F20"/>
          <w:spacing w:val="19"/>
        </w:rPr>
        <w:t> </w:t>
      </w:r>
      <w:r>
        <w:rPr>
          <w:color w:val="231F20"/>
        </w:rPr>
        <w:t>vergadering;</w:t>
      </w:r>
    </w:p>
    <w:p>
      <w:pPr>
        <w:pStyle w:val="BodyText"/>
        <w:spacing w:line="218" w:lineRule="auto" w:before="107"/>
      </w:pPr>
      <w:r>
        <w:rPr>
          <w:color w:val="231F20"/>
        </w:rPr>
        <w:t>2° het doet voorstellen aan de raad van toezicht over de individuele remuneratie van de leden van de raad van toezicht, de leden van de directieraad, de andere personen belast met de leiding bedoeld in artikel 3:6, § 3, laatste lid, en de personen belast met het dagelijks bestuur, met inbegrip van variabele remuneratie en lange termijn prestatiepremies al dan niet gebonden aan aandelen, in de vorm van aandelenopties of andere financiële instrumenten, en van vertrekver- goedingen, en waar toepasselijk, de daaruit voortvloeiende voorstellen die de raad van toezicht moet voorleggen aan de algemene vergade- ring;</w:t>
      </w:r>
    </w:p>
    <w:p>
      <w:pPr>
        <w:pStyle w:val="BodyText"/>
        <w:spacing w:line="218" w:lineRule="auto" w:before="107"/>
      </w:pPr>
      <w:r>
        <w:rPr>
          <w:color w:val="231F20"/>
        </w:rPr>
        <w:t>3° het bereidt het remuneratieverslag voor dat de raad van toezicht toevoegt in de verklaring bedoeld in artikel 3:6, § 2;</w:t>
      </w:r>
    </w:p>
    <w:p>
      <w:pPr>
        <w:pStyle w:val="BodyText"/>
        <w:spacing w:line="218" w:lineRule="auto" w:before="107"/>
      </w:pPr>
      <w:r>
        <w:rPr>
          <w:color w:val="231F20"/>
        </w:rPr>
        <w:t>4° het licht het remuneratieverslag toe op de jaarlijkse algemene vergadering van aandeelhouders.</w:t>
      </w:r>
    </w:p>
    <w:p>
      <w:pPr>
        <w:pStyle w:val="BodyText"/>
        <w:spacing w:line="218" w:lineRule="auto" w:before="107"/>
      </w:pPr>
      <w:r>
        <w:rPr>
          <w:color w:val="231F20"/>
        </w:rPr>
        <w:t>§ 6. Het remuneratiecomité komt samen telkens wanneer het dit noodzakelijk</w:t>
      </w:r>
      <w:r>
        <w:rPr>
          <w:color w:val="231F20"/>
          <w:spacing w:val="-4"/>
        </w:rPr>
        <w:t> </w:t>
      </w:r>
      <w:r>
        <w:rPr>
          <w:color w:val="231F20"/>
        </w:rPr>
        <w:t>acht</w:t>
      </w:r>
      <w:r>
        <w:rPr>
          <w:color w:val="231F20"/>
          <w:spacing w:val="-3"/>
        </w:rPr>
        <w:t> </w:t>
      </w:r>
      <w:r>
        <w:rPr>
          <w:color w:val="231F20"/>
        </w:rPr>
        <w:t>om</w:t>
      </w:r>
      <w:r>
        <w:rPr>
          <w:color w:val="231F20"/>
          <w:spacing w:val="-3"/>
        </w:rPr>
        <w:t> </w:t>
      </w:r>
      <w:r>
        <w:rPr>
          <w:color w:val="231F20"/>
        </w:rPr>
        <w:t>zijn</w:t>
      </w:r>
      <w:r>
        <w:rPr>
          <w:color w:val="231F20"/>
          <w:spacing w:val="-3"/>
        </w:rPr>
        <w:t> </w:t>
      </w:r>
      <w:r>
        <w:rPr>
          <w:color w:val="231F20"/>
        </w:rPr>
        <w:t>taken</w:t>
      </w:r>
      <w:r>
        <w:rPr>
          <w:color w:val="231F20"/>
          <w:spacing w:val="-3"/>
        </w:rPr>
        <w:t> </w:t>
      </w:r>
      <w:r>
        <w:rPr>
          <w:color w:val="231F20"/>
        </w:rPr>
        <w:t>naar</w:t>
      </w:r>
      <w:r>
        <w:rPr>
          <w:color w:val="231F20"/>
          <w:spacing w:val="-3"/>
        </w:rPr>
        <w:t> </w:t>
      </w:r>
      <w:r>
        <w:rPr>
          <w:color w:val="231F20"/>
        </w:rPr>
        <w:t>behoren</w:t>
      </w:r>
      <w:r>
        <w:rPr>
          <w:color w:val="231F20"/>
          <w:spacing w:val="-3"/>
        </w:rPr>
        <w:t> </w:t>
      </w:r>
      <w:r>
        <w:rPr>
          <w:color w:val="231F20"/>
        </w:rPr>
        <w:t>te</w:t>
      </w:r>
      <w:r>
        <w:rPr>
          <w:color w:val="231F20"/>
          <w:spacing w:val="-3"/>
        </w:rPr>
        <w:t> </w:t>
      </w:r>
      <w:r>
        <w:rPr>
          <w:color w:val="231F20"/>
        </w:rPr>
        <w:t>vervullen</w:t>
      </w:r>
      <w:r>
        <w:rPr>
          <w:color w:val="231F20"/>
          <w:spacing w:val="-3"/>
        </w:rPr>
        <w:t> </w:t>
      </w:r>
      <w:r>
        <w:rPr>
          <w:color w:val="231F20"/>
        </w:rPr>
        <w:t>en</w:t>
      </w:r>
      <w:r>
        <w:rPr>
          <w:color w:val="231F20"/>
          <w:spacing w:val="-4"/>
        </w:rPr>
        <w:t> </w:t>
      </w:r>
      <w:r>
        <w:rPr>
          <w:color w:val="231F20"/>
        </w:rPr>
        <w:t>ten</w:t>
      </w:r>
      <w:r>
        <w:rPr>
          <w:color w:val="231F20"/>
          <w:spacing w:val="-3"/>
        </w:rPr>
        <w:t> </w:t>
      </w:r>
      <w:r>
        <w:rPr>
          <w:color w:val="231F20"/>
        </w:rPr>
        <w:t>minste tweemaal per</w:t>
      </w:r>
      <w:r>
        <w:rPr>
          <w:color w:val="231F20"/>
          <w:spacing w:val="-11"/>
        </w:rPr>
        <w:t> </w:t>
      </w:r>
      <w:r>
        <w:rPr>
          <w:color w:val="231F20"/>
          <w:spacing w:val="-3"/>
        </w:rPr>
        <w:t>jaar.</w:t>
      </w:r>
    </w:p>
    <w:p>
      <w:pPr>
        <w:pStyle w:val="BodyText"/>
        <w:spacing w:line="218" w:lineRule="auto" w:before="107"/>
      </w:pPr>
      <w:r>
        <w:rPr>
          <w:color w:val="231F20"/>
        </w:rPr>
        <w:t>Het remuneratiecomité brengt bij de raad van toezicht geregeld verslag uit over de uitoefening van zijn taken.</w:t>
      </w:r>
    </w:p>
    <w:p>
      <w:pPr>
        <w:pStyle w:val="BodyText"/>
        <w:spacing w:line="218" w:lineRule="auto" w:before="106"/>
      </w:pPr>
      <w:r>
        <w:rPr>
          <w:color w:val="231F20"/>
        </w:rPr>
        <w:t>De raad van toezicht deelt het remuneratieverslag, bedoeld in paragraaf 5, 3°, mee aan de ondernemingsraad, of, als die er niet is, aan de werknemersafgevaardigden in het comité voor preventie en bescher- ming op het werk of, als die er niet zijn, aan de syndicale afvaardiging.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41"/>
      </w:pPr>
      <w:r>
        <w:rPr/>
        <w:pict>
          <v:line style="position:absolute;mso-position-horizontal-relative:page;mso-position-vertical-relative:page;z-index:5320" from="298.170502pt,64.473pt" to="298.170502pt,812.819pt" stroked="true" strokeweight=".533pt" strokecolor="#231f20">
            <v:stroke dashstyle="solid"/>
            <w10:wrap type="none"/>
          </v:line>
        </w:pict>
      </w:r>
      <w:bookmarkStart w:name="_bookmark179" w:id="184"/>
      <w:bookmarkEnd w:id="184"/>
      <w:r>
        <w:rPr/>
      </w:r>
      <w:r>
        <w:rPr>
          <w:color w:val="231F20"/>
        </w:rPr>
        <w:t>§ 7. Le président ou le représentant principal du conseil de direction, le président du comité de direction, le représentant principal des autres dirigeants visés à l’article 3:6, § 3, alinéa 3, ou le représentant principal des délégués à la gestion journalière participe avec voix consultative aux réunions du comité de rémunération lorsque celui-ci traite de la rémunération des autres membres du conseil de direction, des autres dirigeants visés à l’article 3:6, § 3, alinéa 3, ou des délégués à la gestion journalière.</w:t>
      </w:r>
    </w:p>
    <w:p>
      <w:pPr>
        <w:pStyle w:val="BodyText"/>
        <w:ind w:left="0" w:right="0" w:firstLine="0"/>
        <w:jc w:val="left"/>
        <w:rPr>
          <w:sz w:val="20"/>
        </w:rPr>
      </w:pPr>
    </w:p>
    <w:p>
      <w:pPr>
        <w:pStyle w:val="BodyText"/>
        <w:spacing w:line="201" w:lineRule="auto" w:before="131"/>
        <w:ind w:right="42"/>
      </w:pPr>
      <w:r>
        <w:rPr>
          <w:color w:val="231F20"/>
        </w:rPr>
        <w:t>§ 8. Les sociétés suivantes sont exemptées de l’obligation d’avoir un comité de rémunération visé aux paragraphes 1</w:t>
      </w:r>
      <w:r>
        <w:rPr>
          <w:color w:val="231F20"/>
          <w:position w:val="7"/>
          <w:sz w:val="11"/>
        </w:rPr>
        <w:t>er </w:t>
      </w:r>
      <w:r>
        <w:rPr>
          <w:color w:val="231F20"/>
        </w:rPr>
        <w:t>à 7:</w:t>
      </w:r>
    </w:p>
    <w:p>
      <w:pPr>
        <w:pStyle w:val="BodyText"/>
        <w:spacing w:before="5"/>
        <w:ind w:left="0" w:right="0" w:firstLine="0"/>
        <w:jc w:val="left"/>
        <w:rPr>
          <w:sz w:val="31"/>
        </w:rPr>
      </w:pPr>
    </w:p>
    <w:p>
      <w:pPr>
        <w:pStyle w:val="BodyText"/>
        <w:spacing w:line="218" w:lineRule="auto"/>
        <w:ind w:right="41"/>
      </w:pPr>
      <w:r>
        <w:rPr>
          <w:color w:val="231F20"/>
        </w:rPr>
        <w:t>1° les sociétés qui sont un organisme public de placement collectif à nombre variable de parts tel que défini à l’article 10 de la loi du</w:t>
      </w:r>
    </w:p>
    <w:p>
      <w:pPr>
        <w:pStyle w:val="BodyText"/>
        <w:spacing w:line="218" w:lineRule="auto" w:before="1"/>
        <w:ind w:right="0" w:firstLine="0"/>
        <w:jc w:val="left"/>
      </w:pPr>
      <w:r>
        <w:rPr>
          <w:color w:val="231F20"/>
        </w:rPr>
        <w:t>20 juillet 2004 relative à certaines formes de gestion collective de portefeuilles d’investissement;</w:t>
      </w:r>
    </w:p>
    <w:p>
      <w:pPr>
        <w:pStyle w:val="BodyText"/>
        <w:spacing w:before="10"/>
        <w:ind w:left="0" w:right="0" w:firstLine="0"/>
        <w:jc w:val="left"/>
        <w:rPr>
          <w:sz w:val="15"/>
        </w:rPr>
      </w:pPr>
    </w:p>
    <w:p>
      <w:pPr>
        <w:pStyle w:val="BodyText"/>
        <w:spacing w:line="218" w:lineRule="auto"/>
        <w:ind w:right="41"/>
      </w:pPr>
      <w:r>
        <w:rPr>
          <w:color w:val="231F20"/>
        </w:rPr>
        <w:t>2° les sociétés dont la seule activité consiste à émettre des titres adossés à des actifs au  sens  de  l’article  2,  §  5,  du  règlement  (CE)  n° 809/2004 de la Commission européenne; dans ce cas, la société divulgue les raisons pour lesquelles elle ne juge pas opportun soit de mettre sur pied un comité de rémunération, soit de charger le conseil</w:t>
      </w:r>
      <w:r>
        <w:rPr>
          <w:color w:val="231F20"/>
          <w:spacing w:val="-22"/>
        </w:rPr>
        <w:t> </w:t>
      </w:r>
      <w:r>
        <w:rPr>
          <w:color w:val="231F20"/>
        </w:rPr>
        <w:t>de surveillance</w:t>
      </w:r>
      <w:r>
        <w:rPr>
          <w:color w:val="231F20"/>
          <w:spacing w:val="16"/>
        </w:rPr>
        <w:t> </w:t>
      </w:r>
      <w:r>
        <w:rPr>
          <w:color w:val="231F20"/>
        </w:rPr>
        <w:t>d’exercer</w:t>
      </w:r>
      <w:r>
        <w:rPr>
          <w:color w:val="231F20"/>
          <w:spacing w:val="17"/>
        </w:rPr>
        <w:t> </w:t>
      </w:r>
      <w:r>
        <w:rPr>
          <w:color w:val="231F20"/>
        </w:rPr>
        <w:t>les</w:t>
      </w:r>
      <w:r>
        <w:rPr>
          <w:color w:val="231F20"/>
          <w:spacing w:val="17"/>
        </w:rPr>
        <w:t> </w:t>
      </w:r>
      <w:r>
        <w:rPr>
          <w:color w:val="231F20"/>
        </w:rPr>
        <w:t>fonctions</w:t>
      </w:r>
      <w:r>
        <w:rPr>
          <w:color w:val="231F20"/>
          <w:spacing w:val="16"/>
        </w:rPr>
        <w:t> </w:t>
      </w:r>
      <w:r>
        <w:rPr>
          <w:color w:val="231F20"/>
        </w:rPr>
        <w:t>d’un</w:t>
      </w:r>
      <w:r>
        <w:rPr>
          <w:color w:val="231F20"/>
          <w:spacing w:val="17"/>
        </w:rPr>
        <w:t> </w:t>
      </w:r>
      <w:r>
        <w:rPr>
          <w:color w:val="231F20"/>
        </w:rPr>
        <w:t>comité</w:t>
      </w:r>
      <w:r>
        <w:rPr>
          <w:color w:val="231F20"/>
          <w:spacing w:val="17"/>
        </w:rPr>
        <w:t> </w:t>
      </w:r>
      <w:r>
        <w:rPr>
          <w:color w:val="231F20"/>
        </w:rPr>
        <w:t>de</w:t>
      </w:r>
      <w:r>
        <w:rPr>
          <w:color w:val="231F20"/>
          <w:spacing w:val="16"/>
        </w:rPr>
        <w:t> </w:t>
      </w:r>
      <w:r>
        <w:rPr>
          <w:color w:val="231F20"/>
        </w:rPr>
        <w:t>rémunération.</w:t>
      </w:r>
    </w:p>
    <w:p>
      <w:pPr>
        <w:pStyle w:val="BodyText"/>
        <w:ind w:left="0" w:right="0" w:firstLine="0"/>
        <w:jc w:val="left"/>
        <w:rPr>
          <w:sz w:val="20"/>
        </w:rPr>
      </w:pPr>
    </w:p>
    <w:p>
      <w:pPr>
        <w:pStyle w:val="BodyText"/>
        <w:spacing w:before="117"/>
        <w:ind w:left="283" w:right="0" w:firstLine="0"/>
        <w:jc w:val="left"/>
      </w:pPr>
      <w:r>
        <w:rPr>
          <w:color w:val="231F20"/>
        </w:rPr>
        <w:t>Section 4. Gestion journalière.</w:t>
      </w:r>
    </w:p>
    <w:p>
      <w:pPr>
        <w:pStyle w:val="BodyText"/>
        <w:spacing w:line="218" w:lineRule="auto" w:before="178"/>
        <w:ind w:right="41"/>
      </w:pPr>
      <w:r>
        <w:rPr>
          <w:color w:val="231F20"/>
        </w:rPr>
        <w:t>Art. 7:121. Le conseil d’administration, l’administrateur unique ou, dans la structure duale le conseil de direction, peut charger une ou plusieurs personnes, qui agissent chacune individuellement, conjointe- ment ou collégialement, de la gestion journalière de la société, ainsi que de la représentation de la société en ce qui concerne cette gestion. L’organe d’administration qui a désigné l’organe de gestion journalière est chargé de la surveillance de celui-ci.</w:t>
      </w:r>
    </w:p>
    <w:p>
      <w:pPr>
        <w:pStyle w:val="BodyText"/>
        <w:ind w:left="0" w:right="0" w:firstLine="0"/>
        <w:jc w:val="left"/>
        <w:rPr>
          <w:sz w:val="16"/>
        </w:rPr>
      </w:pPr>
    </w:p>
    <w:p>
      <w:pPr>
        <w:pStyle w:val="BodyText"/>
        <w:spacing w:line="218" w:lineRule="auto"/>
        <w:ind w:right="41"/>
      </w:pPr>
      <w:r>
        <w:rPr>
          <w:color w:val="231F20"/>
        </w:rPr>
        <w:t>La gestion journalière de la société comprend tous les actes et les décisions qui n’excèdent pas les besoins de la vie quotidienne de la société ainsi que les actes et les décisions qui en raison de l’intérêt mineur qu’ils représentent ou en raison de leur caractère urgent ne justifient pas l’intervention du conseil d’administration, de l’adminis- trateur unique ou du conseil de direction.</w:t>
      </w:r>
    </w:p>
    <w:p>
      <w:pPr>
        <w:pStyle w:val="BodyText"/>
        <w:ind w:left="0" w:right="0" w:firstLine="0"/>
        <w:jc w:val="left"/>
        <w:rPr>
          <w:sz w:val="16"/>
        </w:rPr>
      </w:pPr>
    </w:p>
    <w:p>
      <w:pPr>
        <w:pStyle w:val="BodyText"/>
        <w:spacing w:line="218" w:lineRule="auto"/>
        <w:ind w:right="38"/>
      </w:pPr>
      <w:r>
        <w:rPr>
          <w:color w:val="231F20"/>
        </w:rPr>
        <w:t>La disposition selon laquelle la gestion journalière est confiée à une ou</w:t>
      </w:r>
      <w:r>
        <w:rPr>
          <w:color w:val="231F20"/>
          <w:spacing w:val="-10"/>
        </w:rPr>
        <w:t> </w:t>
      </w:r>
      <w:r>
        <w:rPr>
          <w:color w:val="231F20"/>
        </w:rPr>
        <w:t>plusieurs</w:t>
      </w:r>
      <w:r>
        <w:rPr>
          <w:color w:val="231F20"/>
          <w:spacing w:val="-9"/>
        </w:rPr>
        <w:t> </w:t>
      </w:r>
      <w:r>
        <w:rPr>
          <w:color w:val="231F20"/>
        </w:rPr>
        <w:t>personnes,</w:t>
      </w:r>
      <w:r>
        <w:rPr>
          <w:color w:val="231F20"/>
          <w:spacing w:val="-9"/>
        </w:rPr>
        <w:t> </w:t>
      </w:r>
      <w:r>
        <w:rPr>
          <w:color w:val="231F20"/>
        </w:rPr>
        <w:t>qui</w:t>
      </w:r>
      <w:r>
        <w:rPr>
          <w:color w:val="231F20"/>
          <w:spacing w:val="-9"/>
        </w:rPr>
        <w:t> </w:t>
      </w:r>
      <w:r>
        <w:rPr>
          <w:color w:val="231F20"/>
        </w:rPr>
        <w:t>agissent</w:t>
      </w:r>
      <w:r>
        <w:rPr>
          <w:color w:val="231F20"/>
          <w:spacing w:val="-9"/>
        </w:rPr>
        <w:t> </w:t>
      </w:r>
      <w:r>
        <w:rPr>
          <w:color w:val="231F20"/>
        </w:rPr>
        <w:t>chacune</w:t>
      </w:r>
      <w:r>
        <w:rPr>
          <w:color w:val="231F20"/>
          <w:spacing w:val="-9"/>
        </w:rPr>
        <w:t> </w:t>
      </w:r>
      <w:r>
        <w:rPr>
          <w:color w:val="231F20"/>
        </w:rPr>
        <w:t>individuellement,</w:t>
      </w:r>
      <w:r>
        <w:rPr>
          <w:color w:val="231F20"/>
          <w:spacing w:val="-9"/>
        </w:rPr>
        <w:t> </w:t>
      </w:r>
      <w:r>
        <w:rPr>
          <w:color w:val="231F20"/>
        </w:rPr>
        <w:t>conjoin- tement ou collégialement, est opposable aux tiers aux conditions fixées à l’article 2:18. Les restrictions apportées au pouvoir de représentation de l’organe de gestion journalière ne sont toutefois pas opposables aux tiers,</w:t>
      </w:r>
      <w:r>
        <w:rPr>
          <w:color w:val="231F20"/>
          <w:spacing w:val="14"/>
        </w:rPr>
        <w:t> </w:t>
      </w:r>
      <w:r>
        <w:rPr>
          <w:color w:val="231F20"/>
        </w:rPr>
        <w:t>même</w:t>
      </w:r>
      <w:r>
        <w:rPr>
          <w:color w:val="231F20"/>
          <w:spacing w:val="15"/>
        </w:rPr>
        <w:t> </w:t>
      </w:r>
      <w:r>
        <w:rPr>
          <w:color w:val="231F20"/>
        </w:rPr>
        <w:t>si</w:t>
      </w:r>
      <w:r>
        <w:rPr>
          <w:color w:val="231F20"/>
          <w:spacing w:val="15"/>
        </w:rPr>
        <w:t> </w:t>
      </w:r>
      <w:r>
        <w:rPr>
          <w:color w:val="231F20"/>
        </w:rPr>
        <w:t>elles</w:t>
      </w:r>
      <w:r>
        <w:rPr>
          <w:color w:val="231F20"/>
          <w:spacing w:val="15"/>
        </w:rPr>
        <w:t> </w:t>
      </w:r>
      <w:r>
        <w:rPr>
          <w:color w:val="231F20"/>
        </w:rPr>
        <w:t>sont</w:t>
      </w:r>
      <w:r>
        <w:rPr>
          <w:color w:val="231F20"/>
          <w:spacing w:val="14"/>
        </w:rPr>
        <w:t> </w:t>
      </w:r>
      <w:r>
        <w:rPr>
          <w:color w:val="231F20"/>
        </w:rPr>
        <w:t>publiées.</w:t>
      </w:r>
    </w:p>
    <w:p>
      <w:pPr>
        <w:pStyle w:val="BodyText"/>
        <w:spacing w:before="11"/>
        <w:ind w:left="0" w:right="0" w:firstLine="0"/>
        <w:jc w:val="left"/>
        <w:rPr>
          <w:sz w:val="15"/>
        </w:rPr>
      </w:pPr>
    </w:p>
    <w:p>
      <w:pPr>
        <w:pStyle w:val="BodyText"/>
        <w:spacing w:line="218" w:lineRule="auto"/>
        <w:ind w:right="41"/>
      </w:pPr>
      <w:r>
        <w:rPr>
          <w:color w:val="231F20"/>
        </w:rPr>
        <w:t>Dans une société cotée, les articles 7:90, 7:91 et 7:92 s’appliquent par analogie à chaque membre de l’organe de gestion journalière et aux autres dirigeants visés à l’article 3:6, § 3, alinéa 3.</w:t>
      </w:r>
    </w:p>
    <w:p>
      <w:pPr>
        <w:pStyle w:val="BodyText"/>
        <w:ind w:left="0" w:right="0" w:firstLine="0"/>
        <w:jc w:val="left"/>
        <w:rPr>
          <w:sz w:val="20"/>
        </w:rPr>
      </w:pPr>
    </w:p>
    <w:p>
      <w:pPr>
        <w:pStyle w:val="BodyText"/>
        <w:spacing w:before="116"/>
        <w:ind w:left="284" w:right="0" w:firstLine="0"/>
        <w:jc w:val="left"/>
      </w:pPr>
      <w:r>
        <w:rPr>
          <w:color w:val="231F20"/>
        </w:rPr>
        <w:t>Section 5. Responsabilités.</w:t>
      </w:r>
    </w:p>
    <w:p>
      <w:pPr>
        <w:pStyle w:val="BodyText"/>
        <w:spacing w:line="218" w:lineRule="auto" w:before="178"/>
        <w:ind w:right="41"/>
      </w:pPr>
      <w:r>
        <w:rPr>
          <w:color w:val="231F20"/>
        </w:rPr>
        <w:t>Art. 7:122. Sans préjudice de l’article 2:56, les membres du conseil d’administration, l’administrateur unique, les membres de l’organe de gestion de l’administrateur unique ou les membres du conseil de surveillance sont, selon le cas, personnellement et solidairement responsables du préjudice subi par la société ou des tiers à la suite de décisions prises ou d’opérations accomplies conformément aux arti- cles 7:96, 7:102 ou 7:115 si cette décision ou opération leur a procuré ou a procuré à l’un d’eux un avantage financier abusif au détriment de la société.</w:t>
      </w:r>
    </w:p>
    <w:p>
      <w:pPr>
        <w:pStyle w:val="BodyText"/>
        <w:ind w:left="0" w:right="0" w:firstLine="0"/>
        <w:jc w:val="left"/>
        <w:rPr>
          <w:sz w:val="16"/>
        </w:rPr>
      </w:pPr>
    </w:p>
    <w:p>
      <w:pPr>
        <w:pStyle w:val="BodyText"/>
        <w:spacing w:line="218" w:lineRule="auto"/>
        <w:ind w:right="41"/>
      </w:pPr>
      <w:r>
        <w:rPr>
          <w:color w:val="231F20"/>
        </w:rPr>
        <w:t>Les membres du conseil d’administration, l’administrateur unique, les membres de l’organe d’administration de l’administrateur unique ou les membres du conseil de surveillance sont personnellement et solidairement responsables du préjudice subi par la société ou des tiers à la suite de décisions ou d’opérations approuvées par eux, même dans le</w:t>
      </w:r>
      <w:r>
        <w:rPr>
          <w:color w:val="231F20"/>
          <w:spacing w:val="-4"/>
        </w:rPr>
        <w:t> </w:t>
      </w:r>
      <w:r>
        <w:rPr>
          <w:color w:val="231F20"/>
        </w:rPr>
        <w:t>respect</w:t>
      </w:r>
      <w:r>
        <w:rPr>
          <w:color w:val="231F20"/>
          <w:spacing w:val="-3"/>
        </w:rPr>
        <w:t> </w:t>
      </w:r>
      <w:r>
        <w:rPr>
          <w:color w:val="231F20"/>
        </w:rPr>
        <w:t>des</w:t>
      </w:r>
      <w:r>
        <w:rPr>
          <w:color w:val="231F20"/>
          <w:spacing w:val="-3"/>
        </w:rPr>
        <w:t> </w:t>
      </w:r>
      <w:r>
        <w:rPr>
          <w:color w:val="231F20"/>
        </w:rPr>
        <w:t>dispositions</w:t>
      </w:r>
      <w:r>
        <w:rPr>
          <w:color w:val="231F20"/>
          <w:spacing w:val="-4"/>
        </w:rPr>
        <w:t> </w:t>
      </w:r>
      <w:r>
        <w:rPr>
          <w:color w:val="231F20"/>
        </w:rPr>
        <w:t>des</w:t>
      </w:r>
      <w:r>
        <w:rPr>
          <w:color w:val="231F20"/>
          <w:spacing w:val="-3"/>
        </w:rPr>
        <w:t> </w:t>
      </w:r>
      <w:r>
        <w:rPr>
          <w:color w:val="231F20"/>
        </w:rPr>
        <w:t>articles</w:t>
      </w:r>
      <w:r>
        <w:rPr>
          <w:color w:val="231F20"/>
          <w:spacing w:val="-3"/>
        </w:rPr>
        <w:t> </w:t>
      </w:r>
      <w:r>
        <w:rPr>
          <w:color w:val="231F20"/>
        </w:rPr>
        <w:t>7:97</w:t>
      </w:r>
      <w:r>
        <w:rPr>
          <w:color w:val="231F20"/>
          <w:spacing w:val="-4"/>
        </w:rPr>
        <w:t> </w:t>
      </w:r>
      <w:r>
        <w:rPr>
          <w:color w:val="231F20"/>
        </w:rPr>
        <w:t>ou</w:t>
      </w:r>
      <w:r>
        <w:rPr>
          <w:color w:val="231F20"/>
          <w:spacing w:val="-3"/>
        </w:rPr>
        <w:t> </w:t>
      </w:r>
      <w:r>
        <w:rPr>
          <w:color w:val="231F20"/>
        </w:rPr>
        <w:t>7:116,</w:t>
      </w:r>
      <w:r>
        <w:rPr>
          <w:color w:val="231F20"/>
          <w:spacing w:val="-3"/>
        </w:rPr>
        <w:t> </w:t>
      </w:r>
      <w:r>
        <w:rPr>
          <w:color w:val="231F20"/>
        </w:rPr>
        <w:t>pour</w:t>
      </w:r>
      <w:r>
        <w:rPr>
          <w:color w:val="231F20"/>
          <w:spacing w:val="-4"/>
        </w:rPr>
        <w:t> </w:t>
      </w:r>
      <w:r>
        <w:rPr>
          <w:color w:val="231F20"/>
        </w:rPr>
        <w:t>autant</w:t>
      </w:r>
      <w:r>
        <w:rPr>
          <w:color w:val="231F20"/>
          <w:spacing w:val="-3"/>
        </w:rPr>
        <w:t> </w:t>
      </w:r>
      <w:r>
        <w:rPr>
          <w:color w:val="231F20"/>
        </w:rPr>
        <w:t>que</w:t>
      </w:r>
      <w:r>
        <w:rPr>
          <w:color w:val="231F20"/>
          <w:spacing w:val="-3"/>
        </w:rPr>
        <w:t> </w:t>
      </w:r>
      <w:r>
        <w:rPr>
          <w:color w:val="231F20"/>
        </w:rPr>
        <w:t>ces décisions ou opérations aient </w:t>
      </w:r>
      <w:r>
        <w:rPr>
          <w:color w:val="231F20"/>
          <w:spacing w:val="3"/>
        </w:rPr>
        <w:t>causé </w:t>
      </w:r>
      <w:r>
        <w:rPr>
          <w:color w:val="231F20"/>
        </w:rPr>
        <w:t>à la société un préjudice financier abusif</w:t>
      </w:r>
      <w:r>
        <w:rPr>
          <w:color w:val="231F20"/>
          <w:spacing w:val="15"/>
        </w:rPr>
        <w:t> </w:t>
      </w:r>
      <w:r>
        <w:rPr>
          <w:color w:val="231F20"/>
        </w:rPr>
        <w:t>au</w:t>
      </w:r>
      <w:r>
        <w:rPr>
          <w:color w:val="231F20"/>
          <w:spacing w:val="16"/>
        </w:rPr>
        <w:t> </w:t>
      </w:r>
      <w:r>
        <w:rPr>
          <w:color w:val="231F20"/>
        </w:rPr>
        <w:t>bénéfice</w:t>
      </w:r>
      <w:r>
        <w:rPr>
          <w:color w:val="231F20"/>
          <w:spacing w:val="16"/>
        </w:rPr>
        <w:t> </w:t>
      </w:r>
      <w:r>
        <w:rPr>
          <w:color w:val="231F20"/>
        </w:rPr>
        <w:t>d’une</w:t>
      </w:r>
      <w:r>
        <w:rPr>
          <w:color w:val="231F20"/>
          <w:spacing w:val="16"/>
        </w:rPr>
        <w:t> </w:t>
      </w:r>
      <w:r>
        <w:rPr>
          <w:color w:val="231F20"/>
        </w:rPr>
        <w:t>société</w:t>
      </w:r>
      <w:r>
        <w:rPr>
          <w:color w:val="231F20"/>
          <w:spacing w:val="15"/>
        </w:rPr>
        <w:t> </w:t>
      </w:r>
      <w:r>
        <w:rPr>
          <w:color w:val="231F20"/>
        </w:rPr>
        <w:t>du</w:t>
      </w:r>
      <w:r>
        <w:rPr>
          <w:color w:val="231F20"/>
          <w:spacing w:val="16"/>
        </w:rPr>
        <w:t> </w:t>
      </w:r>
      <w:r>
        <w:rPr>
          <w:color w:val="231F20"/>
        </w:rPr>
        <w:t>groupe.</w:t>
      </w:r>
    </w:p>
    <w:p>
      <w:pPr>
        <w:pStyle w:val="BodyText"/>
        <w:ind w:left="0" w:right="0" w:firstLine="0"/>
        <w:jc w:val="left"/>
        <w:rPr>
          <w:sz w:val="20"/>
        </w:rPr>
      </w:pPr>
    </w:p>
    <w:p>
      <w:pPr>
        <w:pStyle w:val="BodyText"/>
        <w:spacing w:line="211" w:lineRule="auto" w:before="120"/>
        <w:ind w:right="41" w:firstLine="171"/>
      </w:pPr>
      <w:r>
        <w:rPr>
          <w:color w:val="231F20"/>
        </w:rPr>
        <w:t>L’alinéa 1</w:t>
      </w:r>
      <w:r>
        <w:rPr>
          <w:color w:val="231F20"/>
          <w:position w:val="7"/>
          <w:sz w:val="11"/>
        </w:rPr>
        <w:t>er </w:t>
      </w:r>
      <w:r>
        <w:rPr>
          <w:color w:val="231F20"/>
        </w:rPr>
        <w:t>est applicable aux membres du conseil de direction qui ont omis de renvoyer une décision ou une opération au conseil de surveillance</w:t>
      </w:r>
      <w:r>
        <w:rPr>
          <w:color w:val="231F20"/>
          <w:spacing w:val="16"/>
        </w:rPr>
        <w:t> </w:t>
      </w:r>
      <w:r>
        <w:rPr>
          <w:color w:val="231F20"/>
        </w:rPr>
        <w:t>comme</w:t>
      </w:r>
      <w:r>
        <w:rPr>
          <w:color w:val="231F20"/>
          <w:spacing w:val="17"/>
        </w:rPr>
        <w:t> </w:t>
      </w:r>
      <w:r>
        <w:rPr>
          <w:color w:val="231F20"/>
        </w:rPr>
        <w:t>le</w:t>
      </w:r>
      <w:r>
        <w:rPr>
          <w:color w:val="231F20"/>
          <w:spacing w:val="16"/>
        </w:rPr>
        <w:t> </w:t>
      </w:r>
      <w:r>
        <w:rPr>
          <w:color w:val="231F20"/>
        </w:rPr>
        <w:t>leur</w:t>
      </w:r>
      <w:r>
        <w:rPr>
          <w:color w:val="231F20"/>
          <w:spacing w:val="17"/>
        </w:rPr>
        <w:t> </w:t>
      </w:r>
      <w:r>
        <w:rPr>
          <w:color w:val="231F20"/>
        </w:rPr>
        <w:t>impose</w:t>
      </w:r>
      <w:r>
        <w:rPr>
          <w:color w:val="231F20"/>
          <w:spacing w:val="17"/>
        </w:rPr>
        <w:t> </w:t>
      </w:r>
      <w:r>
        <w:rPr>
          <w:color w:val="231F20"/>
        </w:rPr>
        <w:t>l’article</w:t>
      </w:r>
      <w:r>
        <w:rPr>
          <w:color w:val="231F20"/>
          <w:spacing w:val="16"/>
        </w:rPr>
        <w:t> </w:t>
      </w:r>
      <w:r>
        <w:rPr>
          <w:color w:val="231F20"/>
        </w:rPr>
        <w:t>7:117,</w:t>
      </w:r>
      <w:r>
        <w:rPr>
          <w:color w:val="231F20"/>
          <w:spacing w:val="17"/>
        </w:rPr>
        <w:t> </w:t>
      </w:r>
      <w:r>
        <w:rPr>
          <w:color w:val="231F20"/>
        </w:rPr>
        <w:t>§</w:t>
      </w:r>
      <w:r>
        <w:rPr>
          <w:color w:val="231F20"/>
          <w:spacing w:val="17"/>
        </w:rPr>
        <w:t> </w:t>
      </w:r>
      <w:r>
        <w:rPr>
          <w:color w:val="231F20"/>
        </w:rPr>
        <w:t>1</w:t>
      </w:r>
      <w:r>
        <w:rPr>
          <w:color w:val="231F20"/>
          <w:position w:val="7"/>
          <w:sz w:val="11"/>
        </w:rPr>
        <w:t>er</w:t>
      </w:r>
      <w:r>
        <w:rPr>
          <w:color w:val="231F20"/>
        </w:rPr>
        <w:t>.</w:t>
      </w:r>
    </w:p>
    <w:p>
      <w:pPr>
        <w:pStyle w:val="BodyText"/>
        <w:spacing w:line="218" w:lineRule="auto" w:before="179"/>
        <w:ind w:right="41"/>
      </w:pPr>
      <w:r>
        <w:rPr>
          <w:color w:val="231F20"/>
        </w:rPr>
        <w:t>L’alinéa 2 est applicable aux membres du conseil de direction qui ont omis de renvoyer une décision ou une opération au conseil de surveillance comme le leur impose l’article 7:117, § 2.</w:t>
      </w:r>
    </w:p>
    <w:p>
      <w:pPr>
        <w:pStyle w:val="BodyText"/>
        <w:spacing w:line="218" w:lineRule="auto" w:before="119"/>
      </w:pPr>
      <w:r>
        <w:rPr/>
        <w:br w:type="column"/>
      </w:r>
      <w:r>
        <w:rPr>
          <w:color w:val="231F20"/>
        </w:rPr>
        <w:t>§ 7. De voorzitter of de belangrijkste vertegenwoordiger van de directieraad, de belangrijkste vertegenwoordiger van de personen belast met de leiding bedoeld in artikel 3:6, § 3, derde lid, of de belangrijkste vertegenwoordiger van de personen belast met het dagelijks bestuur neemt met raadgevende stem deel aan de vergade- ringen van het remuneratiecomité wanneer dit de remuneratie van de andere leden van de directieraad, de personen belast met de leiding bedoeld in artikel 3:6, § 3, derde lid, of de personen belast met het dagelijks bestuur</w:t>
      </w:r>
      <w:r>
        <w:rPr>
          <w:color w:val="231F20"/>
          <w:spacing w:val="-11"/>
        </w:rPr>
        <w:t> </w:t>
      </w:r>
      <w:r>
        <w:rPr>
          <w:color w:val="231F20"/>
        </w:rPr>
        <w:t>behandelt.</w:t>
      </w:r>
    </w:p>
    <w:p>
      <w:pPr>
        <w:pStyle w:val="BodyText"/>
        <w:spacing w:line="218" w:lineRule="auto" w:before="172"/>
      </w:pPr>
      <w:r>
        <w:rPr>
          <w:color w:val="231F20"/>
        </w:rPr>
        <w:t>§ 8. De volgende vennootschappen zijn vrijgesteld van de verplich- ting tot instelling van een remuneratiecomité als bedoeld in de paragrafen 1 tot 7:</w:t>
      </w:r>
    </w:p>
    <w:p>
      <w:pPr>
        <w:pStyle w:val="BodyText"/>
        <w:spacing w:before="11"/>
        <w:ind w:left="0" w:right="0" w:firstLine="0"/>
        <w:jc w:val="left"/>
        <w:rPr>
          <w:sz w:val="15"/>
        </w:rPr>
      </w:pPr>
    </w:p>
    <w:p>
      <w:pPr>
        <w:pStyle w:val="BodyText"/>
        <w:spacing w:line="218" w:lineRule="auto"/>
      </w:pPr>
      <w:r>
        <w:rPr>
          <w:color w:val="231F20"/>
        </w:rPr>
        <w:t>1° de vennootschappen die een openbare instelling voor collectieve belegging met een veranderlijk aantal rechten van deelneming zijn als omschreven in artikel 10 van de wet van 20 juli 2004 betreffende bepaalde vormen van collectief beheer van beleggingsportefeuilles;</w:t>
      </w:r>
    </w:p>
    <w:p>
      <w:pPr>
        <w:pStyle w:val="BodyText"/>
        <w:spacing w:before="11"/>
        <w:ind w:left="0" w:right="0" w:firstLine="0"/>
        <w:jc w:val="left"/>
        <w:rPr>
          <w:sz w:val="15"/>
        </w:rPr>
      </w:pPr>
    </w:p>
    <w:p>
      <w:pPr>
        <w:pStyle w:val="BodyText"/>
        <w:spacing w:line="218" w:lineRule="auto"/>
        <w:ind w:right="125"/>
      </w:pPr>
      <w:r>
        <w:rPr>
          <w:color w:val="231F20"/>
        </w:rPr>
        <w:t>2° de vennootschappen waarvan de enige zakelijke activiteit bestaat in de uitgifte van door activa gedekte waardepapieren, zoals gedefini- eerd in artikel 2, lid 5, van verordening (EG) </w:t>
      </w:r>
      <w:r>
        <w:rPr>
          <w:color w:val="231F20"/>
          <w:spacing w:val="-5"/>
        </w:rPr>
        <w:t>nr. </w:t>
      </w:r>
      <w:r>
        <w:rPr>
          <w:color w:val="231F20"/>
        </w:rPr>
        <w:t>809/2004 van de Europese Commissie; in dat geval zet de vennootschap aan het publiek uiteen waarom zij het niet dienstig acht hetzij een remuneratiecomité</w:t>
      </w:r>
      <w:r>
        <w:rPr>
          <w:color w:val="231F20"/>
          <w:spacing w:val="-13"/>
        </w:rPr>
        <w:t> </w:t>
      </w:r>
      <w:r>
        <w:rPr>
          <w:color w:val="231F20"/>
        </w:rPr>
        <w:t>in te stellen, hetzij de raad van toezicht te belasten met de uitvoering van de taken van een</w:t>
      </w:r>
      <w:r>
        <w:rPr>
          <w:color w:val="231F20"/>
          <w:spacing w:val="18"/>
        </w:rPr>
        <w:t> </w:t>
      </w:r>
      <w:r>
        <w:rPr>
          <w:color w:val="231F20"/>
        </w:rPr>
        <w:t>remuneratiecomité.</w:t>
      </w:r>
    </w:p>
    <w:p>
      <w:pPr>
        <w:pStyle w:val="BodyText"/>
        <w:spacing w:before="168"/>
        <w:ind w:left="283" w:right="0" w:firstLine="0"/>
        <w:jc w:val="left"/>
      </w:pPr>
      <w:r>
        <w:rPr>
          <w:color w:val="231F20"/>
        </w:rPr>
        <w:t>Afdeling 4. Dagelijks bestuur.</w:t>
      </w:r>
    </w:p>
    <w:p>
      <w:pPr>
        <w:pStyle w:val="BodyText"/>
        <w:spacing w:line="218" w:lineRule="auto" w:before="178"/>
      </w:pPr>
      <w:r>
        <w:rPr>
          <w:color w:val="231F20"/>
        </w:rPr>
        <w:t>Art. 7:121. De raad van bestuur, de enige bestuurder, of, in een duale structuur de directieraad, kan het dagelijks bestuur van de vennoot- schap, alsook de vertegenwoordiging van de vennootschap wat dat bestuur aangaat, opdragen aan een of meer personen, die elk alleen, gezamenlijk of als college optreden. Het bestuursorgaan dat het orgaan van dagelijks bestuur heeft aangesteld is belast met het toezicht op dit orgaan.</w:t>
      </w:r>
    </w:p>
    <w:p>
      <w:pPr>
        <w:pStyle w:val="BodyText"/>
        <w:spacing w:before="11"/>
        <w:ind w:left="0" w:right="0" w:firstLine="0"/>
        <w:jc w:val="left"/>
        <w:rPr>
          <w:sz w:val="15"/>
        </w:rPr>
      </w:pPr>
    </w:p>
    <w:p>
      <w:pPr>
        <w:pStyle w:val="BodyText"/>
        <w:spacing w:line="218" w:lineRule="auto"/>
      </w:pPr>
      <w:r>
        <w:rPr>
          <w:color w:val="231F20"/>
        </w:rPr>
        <w:t>Het dagelijks bestuur omvat alle handelingen en de beslissingen die niet verder reiken dan de behoeften van het dagelijks leven van de vennootschap, evenals de handelingen en de beslissingen die om reden van het minder belang dat ze vertonen of omwille van hun spoedeisend karakter de tussenkomst van de raad van bestuur, de enige bestuurder of de directieraad niet rechtvaardigen.</w:t>
      </w:r>
    </w:p>
    <w:p>
      <w:pPr>
        <w:pStyle w:val="BodyText"/>
        <w:ind w:left="0" w:right="0" w:firstLine="0"/>
        <w:jc w:val="left"/>
        <w:rPr>
          <w:sz w:val="16"/>
        </w:rPr>
      </w:pPr>
    </w:p>
    <w:p>
      <w:pPr>
        <w:pStyle w:val="BodyText"/>
        <w:spacing w:line="218" w:lineRule="auto"/>
      </w:pPr>
      <w:r>
        <w:rPr>
          <w:color w:val="231F20"/>
        </w:rPr>
        <w:t>De bepaling dat het dagelijks bestuur wordt opgedragen aan een of meer personen die elk alleen, gezamenlijk of als college optreden, kan aan derden worden tegengeworpen onder de voorwaarden bepaald in artikel 2:18. De beperkingen aan de vertegenwoordigingsbevoegdheid van het orgaan van dagelijks bestuur kunnen aan derden echter niet worden tegengeworpen, ook al zijn ze openbaar gemaakt.</w:t>
      </w:r>
    </w:p>
    <w:p>
      <w:pPr>
        <w:pStyle w:val="BodyText"/>
        <w:ind w:left="0" w:right="0" w:firstLine="0"/>
        <w:jc w:val="left"/>
        <w:rPr>
          <w:sz w:val="16"/>
        </w:rPr>
      </w:pPr>
    </w:p>
    <w:p>
      <w:pPr>
        <w:pStyle w:val="BodyText"/>
        <w:spacing w:line="218" w:lineRule="auto"/>
      </w:pPr>
      <w:r>
        <w:rPr>
          <w:color w:val="231F20"/>
        </w:rPr>
        <w:t>In een genoteerde vennootschap zijn de  artikelen  7:90,  7:91  en  7:92 van overeenkomstige toepassing op elk lid van het orgaan van dagelijks bestuur, en op de personen belast met de leiding bedoeld in artikel</w:t>
      </w:r>
      <w:r>
        <w:rPr>
          <w:color w:val="231F20"/>
          <w:spacing w:val="14"/>
        </w:rPr>
        <w:t> </w:t>
      </w:r>
      <w:r>
        <w:rPr>
          <w:color w:val="231F20"/>
        </w:rPr>
        <w:t>3:6,</w:t>
      </w:r>
      <w:r>
        <w:rPr>
          <w:color w:val="231F20"/>
          <w:spacing w:val="14"/>
        </w:rPr>
        <w:t> </w:t>
      </w:r>
      <w:r>
        <w:rPr>
          <w:color w:val="231F20"/>
        </w:rPr>
        <w:t>§</w:t>
      </w:r>
      <w:r>
        <w:rPr>
          <w:color w:val="231F20"/>
          <w:spacing w:val="15"/>
        </w:rPr>
        <w:t> </w:t>
      </w:r>
      <w:r>
        <w:rPr>
          <w:color w:val="231F20"/>
        </w:rPr>
        <w:t>3,</w:t>
      </w:r>
      <w:r>
        <w:rPr>
          <w:color w:val="231F20"/>
          <w:spacing w:val="14"/>
        </w:rPr>
        <w:t> </w:t>
      </w:r>
      <w:r>
        <w:rPr>
          <w:color w:val="231F20"/>
        </w:rPr>
        <w:t>derde</w:t>
      </w:r>
      <w:r>
        <w:rPr>
          <w:color w:val="231F20"/>
          <w:spacing w:val="15"/>
        </w:rPr>
        <w:t> </w:t>
      </w:r>
      <w:r>
        <w:rPr>
          <w:color w:val="231F20"/>
        </w:rPr>
        <w:t>lid.</w:t>
      </w:r>
    </w:p>
    <w:p>
      <w:pPr>
        <w:pStyle w:val="BodyText"/>
        <w:spacing w:before="167"/>
        <w:ind w:left="283" w:right="0" w:firstLine="0"/>
        <w:jc w:val="left"/>
      </w:pPr>
      <w:r>
        <w:rPr>
          <w:color w:val="231F20"/>
        </w:rPr>
        <w:t>Afdeling 5. Aansprakelijkheid.</w:t>
      </w:r>
    </w:p>
    <w:p>
      <w:pPr>
        <w:pStyle w:val="BodyText"/>
        <w:spacing w:line="218" w:lineRule="auto" w:before="178"/>
      </w:pPr>
      <w:r>
        <w:rPr>
          <w:color w:val="231F20"/>
        </w:rPr>
        <w:t>Art. 7:122. Onverminderd artikel 2:56 zijn, naargelang van het geval, de leden van de raad van bestuur, de enige bestuurder, de leden van het bestuursorgaan van de enige bestuurder of de leden van de raad van toezicht, persoonlijk en hoofdelijk aansprakelijk voor de schade  geleden door de vennootschap of door derden ten gevolge van beslissingen of verrichtingen die hebben plaatsgevonden overeenkom- stig de artikelen 7:96, 7:102 of 7:115, indien die beslissing of verrichting aan hen of aan een van hen een onrechtmatig financieel voordeel heeft bezorgd</w:t>
      </w:r>
      <w:r>
        <w:rPr>
          <w:color w:val="231F20"/>
          <w:spacing w:val="15"/>
        </w:rPr>
        <w:t> </w:t>
      </w:r>
      <w:r>
        <w:rPr>
          <w:color w:val="231F20"/>
        </w:rPr>
        <w:t>ten</w:t>
      </w:r>
      <w:r>
        <w:rPr>
          <w:color w:val="231F20"/>
          <w:spacing w:val="16"/>
        </w:rPr>
        <w:t> </w:t>
      </w:r>
      <w:r>
        <w:rPr>
          <w:color w:val="231F20"/>
        </w:rPr>
        <w:t>nadele</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vennootschap.</w:t>
      </w:r>
    </w:p>
    <w:p>
      <w:pPr>
        <w:pStyle w:val="BodyText"/>
        <w:ind w:left="0" w:right="0" w:firstLine="0"/>
        <w:jc w:val="left"/>
        <w:rPr>
          <w:sz w:val="16"/>
        </w:rPr>
      </w:pPr>
    </w:p>
    <w:p>
      <w:pPr>
        <w:pStyle w:val="BodyText"/>
        <w:spacing w:line="218" w:lineRule="auto" w:before="1"/>
      </w:pPr>
      <w:r>
        <w:rPr>
          <w:color w:val="231F20"/>
        </w:rPr>
        <w:t>De leden van de raad van bestuur, de enige bestuurder, de leden van het bestuursorgaan van de enige bestuurder of de leden van de raad  van toezicht zijn persoonlijk en hoofdelijk aansprakelijk voor de schade geleden door de vennootschap of door derden ten gevolge van beslissingen of verrichtingen waarmede zij hebben ingestemd, zelfs met inachtneming van de bepalingen van de artikelen 7:97 of 7:116, voor zover deze beslissingen of verrichtingen een onrechtmatig financieel nadeel hebben bezorgd aan de vennootschap ten voordele van een vennootschap van de</w:t>
      </w:r>
      <w:r>
        <w:rPr>
          <w:color w:val="231F20"/>
          <w:spacing w:val="5"/>
        </w:rPr>
        <w:t> </w:t>
      </w:r>
      <w:r>
        <w:rPr>
          <w:color w:val="231F20"/>
        </w:rPr>
        <w:t>groep.</w:t>
      </w:r>
    </w:p>
    <w:p>
      <w:pPr>
        <w:pStyle w:val="BodyText"/>
        <w:ind w:left="0" w:right="0" w:firstLine="0"/>
        <w:jc w:val="left"/>
        <w:rPr>
          <w:sz w:val="16"/>
        </w:rPr>
      </w:pPr>
    </w:p>
    <w:p>
      <w:pPr>
        <w:pStyle w:val="BodyText"/>
        <w:spacing w:line="218" w:lineRule="auto"/>
        <w:ind w:right="123"/>
      </w:pPr>
      <w:r>
        <w:rPr>
          <w:color w:val="231F20"/>
        </w:rPr>
        <w:t>Het eerste lid is van toepassing op de leden van de directieraad die hebben verzuimd een beslissing of een verrichting door te verwijzen naar</w:t>
      </w:r>
      <w:r>
        <w:rPr>
          <w:color w:val="231F20"/>
          <w:spacing w:val="18"/>
        </w:rPr>
        <w:t> </w:t>
      </w:r>
      <w:r>
        <w:rPr>
          <w:color w:val="231F20"/>
        </w:rPr>
        <w:t>de</w:t>
      </w:r>
      <w:r>
        <w:rPr>
          <w:color w:val="231F20"/>
          <w:spacing w:val="19"/>
        </w:rPr>
        <w:t> </w:t>
      </w:r>
      <w:r>
        <w:rPr>
          <w:color w:val="231F20"/>
        </w:rPr>
        <w:t>raad</w:t>
      </w:r>
      <w:r>
        <w:rPr>
          <w:color w:val="231F20"/>
          <w:spacing w:val="19"/>
        </w:rPr>
        <w:t> </w:t>
      </w:r>
      <w:r>
        <w:rPr>
          <w:color w:val="231F20"/>
        </w:rPr>
        <w:t>van</w:t>
      </w:r>
      <w:r>
        <w:rPr>
          <w:color w:val="231F20"/>
          <w:spacing w:val="19"/>
        </w:rPr>
        <w:t> </w:t>
      </w:r>
      <w:r>
        <w:rPr>
          <w:color w:val="231F20"/>
        </w:rPr>
        <w:t>toezicht,</w:t>
      </w:r>
      <w:r>
        <w:rPr>
          <w:color w:val="231F20"/>
          <w:spacing w:val="19"/>
        </w:rPr>
        <w:t> </w:t>
      </w:r>
      <w:r>
        <w:rPr>
          <w:color w:val="231F20"/>
        </w:rPr>
        <w:t>zoals</w:t>
      </w:r>
      <w:r>
        <w:rPr>
          <w:color w:val="231F20"/>
          <w:spacing w:val="19"/>
        </w:rPr>
        <w:t> </w:t>
      </w:r>
      <w:r>
        <w:rPr>
          <w:color w:val="231F20"/>
        </w:rPr>
        <w:t>opgelegd</w:t>
      </w:r>
      <w:r>
        <w:rPr>
          <w:color w:val="231F20"/>
          <w:spacing w:val="19"/>
        </w:rPr>
        <w:t> </w:t>
      </w:r>
      <w:r>
        <w:rPr>
          <w:color w:val="231F20"/>
        </w:rPr>
        <w:t>door</w:t>
      </w:r>
      <w:r>
        <w:rPr>
          <w:color w:val="231F20"/>
          <w:spacing w:val="19"/>
        </w:rPr>
        <w:t> </w:t>
      </w:r>
      <w:r>
        <w:rPr>
          <w:color w:val="231F20"/>
        </w:rPr>
        <w:t>artikel</w:t>
      </w:r>
      <w:r>
        <w:rPr>
          <w:color w:val="231F20"/>
          <w:spacing w:val="18"/>
        </w:rPr>
        <w:t> </w:t>
      </w:r>
      <w:r>
        <w:rPr>
          <w:color w:val="231F20"/>
        </w:rPr>
        <w:t>7:117,</w:t>
      </w:r>
      <w:r>
        <w:rPr>
          <w:color w:val="231F20"/>
          <w:spacing w:val="19"/>
        </w:rPr>
        <w:t> </w:t>
      </w:r>
      <w:r>
        <w:rPr>
          <w:color w:val="231F20"/>
        </w:rPr>
        <w:t>§</w:t>
      </w:r>
      <w:r>
        <w:rPr>
          <w:color w:val="231F20"/>
          <w:spacing w:val="19"/>
        </w:rPr>
        <w:t> </w:t>
      </w:r>
      <w:r>
        <w:rPr>
          <w:color w:val="231F20"/>
        </w:rPr>
        <w:t>1.</w:t>
      </w:r>
    </w:p>
    <w:p>
      <w:pPr>
        <w:pStyle w:val="BodyText"/>
        <w:spacing w:before="11"/>
        <w:ind w:left="0" w:right="0" w:firstLine="0"/>
        <w:jc w:val="left"/>
        <w:rPr>
          <w:sz w:val="15"/>
        </w:rPr>
      </w:pPr>
    </w:p>
    <w:p>
      <w:pPr>
        <w:pStyle w:val="BodyText"/>
        <w:spacing w:line="218" w:lineRule="auto"/>
        <w:ind w:right="123"/>
      </w:pPr>
      <w:r>
        <w:rPr>
          <w:color w:val="231F20"/>
        </w:rPr>
        <w:t>Het tweede lid is van toepassing op de leden van de directieraad die hebben verzuimd een beslissing of een verrichting door te verwijzen naar</w:t>
      </w:r>
      <w:r>
        <w:rPr>
          <w:color w:val="231F20"/>
          <w:spacing w:val="17"/>
        </w:rPr>
        <w:t> </w:t>
      </w:r>
      <w:r>
        <w:rPr>
          <w:color w:val="231F20"/>
        </w:rPr>
        <w:t>de</w:t>
      </w:r>
      <w:r>
        <w:rPr>
          <w:color w:val="231F20"/>
          <w:spacing w:val="18"/>
        </w:rPr>
        <w:t> </w:t>
      </w:r>
      <w:r>
        <w:rPr>
          <w:color w:val="231F20"/>
        </w:rPr>
        <w:t>raad</w:t>
      </w:r>
      <w:r>
        <w:rPr>
          <w:color w:val="231F20"/>
          <w:spacing w:val="18"/>
        </w:rPr>
        <w:t> </w:t>
      </w:r>
      <w:r>
        <w:rPr>
          <w:color w:val="231F20"/>
        </w:rPr>
        <w:t>van</w:t>
      </w:r>
      <w:r>
        <w:rPr>
          <w:color w:val="231F20"/>
          <w:spacing w:val="17"/>
        </w:rPr>
        <w:t> </w:t>
      </w:r>
      <w:r>
        <w:rPr>
          <w:color w:val="231F20"/>
        </w:rPr>
        <w:t>toezicht,</w:t>
      </w:r>
      <w:r>
        <w:rPr>
          <w:color w:val="231F20"/>
          <w:spacing w:val="18"/>
        </w:rPr>
        <w:t> </w:t>
      </w:r>
      <w:r>
        <w:rPr>
          <w:color w:val="231F20"/>
        </w:rPr>
        <w:t>zoals</w:t>
      </w:r>
      <w:r>
        <w:rPr>
          <w:color w:val="231F20"/>
          <w:spacing w:val="18"/>
        </w:rPr>
        <w:t> </w:t>
      </w:r>
      <w:r>
        <w:rPr>
          <w:color w:val="231F20"/>
        </w:rPr>
        <w:t>opgelegd</w:t>
      </w:r>
      <w:r>
        <w:rPr>
          <w:color w:val="231F20"/>
          <w:spacing w:val="17"/>
        </w:rPr>
        <w:t> </w:t>
      </w:r>
      <w:r>
        <w:rPr>
          <w:color w:val="231F20"/>
        </w:rPr>
        <w:t>door</w:t>
      </w:r>
      <w:r>
        <w:rPr>
          <w:color w:val="231F20"/>
          <w:spacing w:val="18"/>
        </w:rPr>
        <w:t> </w:t>
      </w:r>
      <w:r>
        <w:rPr>
          <w:color w:val="231F20"/>
        </w:rPr>
        <w:t>artikel</w:t>
      </w:r>
      <w:r>
        <w:rPr>
          <w:color w:val="231F20"/>
          <w:spacing w:val="18"/>
        </w:rPr>
        <w:t> </w:t>
      </w:r>
      <w:r>
        <w:rPr>
          <w:color w:val="231F20"/>
        </w:rPr>
        <w:t>7:117,</w:t>
      </w:r>
      <w:r>
        <w:rPr>
          <w:color w:val="231F20"/>
          <w:spacing w:val="17"/>
        </w:rPr>
        <w:t> </w:t>
      </w:r>
      <w:r>
        <w:rPr>
          <w:color w:val="231F20"/>
        </w:rPr>
        <w:t>§</w:t>
      </w:r>
      <w:r>
        <w:rPr>
          <w:color w:val="231F20"/>
          <w:spacing w:val="18"/>
        </w:rPr>
        <w:t> </w:t>
      </w:r>
      <w:r>
        <w:rPr>
          <w:color w:val="231F20"/>
        </w:rPr>
        <w:t>2.</w:t>
      </w:r>
    </w:p>
    <w:p>
      <w:pPr>
        <w:spacing w:after="0" w:line="218" w:lineRule="auto"/>
        <w:sectPr>
          <w:pgSz w:w="11940" w:h="16880"/>
          <w:pgMar w:header="666" w:footer="0" w:top="1140" w:bottom="280" w:left="340" w:right="360"/>
          <w:cols w:num="2" w:equalWidth="0">
            <w:col w:w="5530" w:space="97"/>
            <w:col w:w="5613"/>
          </w:cols>
        </w:sectPr>
      </w:pPr>
    </w:p>
    <w:p>
      <w:pPr>
        <w:pStyle w:val="BodyText"/>
        <w:spacing w:line="304" w:lineRule="auto" w:before="106"/>
        <w:ind w:left="283" w:right="835" w:firstLine="0"/>
        <w:jc w:val="left"/>
      </w:pPr>
      <w:r>
        <w:rPr/>
        <w:pict>
          <v:line style="position:absolute;mso-position-horizontal-relative:page;mso-position-vertical-relative:page;z-index:5344" from="298.170502pt,64.473pt" to="298.170502pt,812.819pt" stroked="true" strokeweight=".533pt" strokecolor="#231f20">
            <v:stroke dashstyle="solid"/>
            <w10:wrap type="none"/>
          </v:line>
        </w:pict>
      </w:r>
      <w:bookmarkStart w:name="_bookmark180" w:id="185"/>
      <w:bookmarkEnd w:id="185"/>
      <w:r>
        <w:rPr/>
      </w:r>
      <w:r>
        <w:rPr>
          <w:color w:val="231F20"/>
        </w:rPr>
        <w:t>CHAPITRE 2. Assemblée générale des actionnaires. Section 1</w:t>
      </w:r>
      <w:r>
        <w:rPr>
          <w:color w:val="231F20"/>
          <w:position w:val="7"/>
          <w:sz w:val="11"/>
        </w:rPr>
        <w:t>re</w:t>
      </w:r>
      <w:r>
        <w:rPr>
          <w:color w:val="231F20"/>
        </w:rPr>
        <w:t>. Dispositions communes.</w:t>
      </w:r>
    </w:p>
    <w:p>
      <w:pPr>
        <w:pStyle w:val="BodyText"/>
        <w:spacing w:before="1"/>
        <w:ind w:left="283" w:right="0" w:firstLine="0"/>
        <w:jc w:val="left"/>
      </w:pPr>
      <w:r>
        <w:rPr>
          <w:color w:val="231F20"/>
        </w:rPr>
        <w:t>Sous-section 1</w:t>
      </w:r>
      <w:r>
        <w:rPr>
          <w:color w:val="231F20"/>
          <w:position w:val="7"/>
          <w:sz w:val="11"/>
        </w:rPr>
        <w:t>re</w:t>
      </w:r>
      <w:r>
        <w:rPr>
          <w:color w:val="231F20"/>
        </w:rPr>
        <w:t>. Égalité de traitement.</w:t>
      </w:r>
    </w:p>
    <w:p>
      <w:pPr>
        <w:pStyle w:val="BodyText"/>
        <w:spacing w:line="218" w:lineRule="auto" w:before="82"/>
        <w:ind w:right="40"/>
      </w:pPr>
      <w:r>
        <w:rPr>
          <w:color w:val="231F20"/>
        </w:rPr>
        <w:t>Art. 7:123. Dans l’application du présent chapitre, la société veille à assurer l’égalité de traitement de tous les titulaires d’actions, de parts bénéficiaires, d’obligations convertibles, de droits de souscription, ou de certificats émis avec la collaboration de la société, qui se trouvent dans une situation</w:t>
      </w:r>
      <w:r>
        <w:rPr>
          <w:color w:val="231F20"/>
          <w:spacing w:val="4"/>
        </w:rPr>
        <w:t> </w:t>
      </w:r>
      <w:r>
        <w:rPr>
          <w:color w:val="231F20"/>
        </w:rPr>
        <w:t>identique.</w:t>
      </w:r>
    </w:p>
    <w:p>
      <w:pPr>
        <w:pStyle w:val="BodyText"/>
        <w:spacing w:before="72"/>
        <w:ind w:left="283" w:right="0" w:firstLine="0"/>
        <w:jc w:val="left"/>
      </w:pPr>
      <w:r>
        <w:rPr>
          <w:color w:val="231F20"/>
        </w:rPr>
        <w:t>Sous-section 2. Pouvoirs.</w:t>
      </w:r>
    </w:p>
    <w:p>
      <w:pPr>
        <w:pStyle w:val="BodyText"/>
        <w:spacing w:line="218" w:lineRule="auto" w:before="82"/>
        <w:ind w:right="40"/>
      </w:pPr>
      <w:r>
        <w:rPr>
          <w:color w:val="231F20"/>
        </w:rPr>
        <w:t>Art. 7:124. L’assemblée générale des actionnaires exerce les pouvoirs que lui confère le présent code.</w:t>
      </w:r>
    </w:p>
    <w:p>
      <w:pPr>
        <w:pStyle w:val="BodyText"/>
        <w:spacing w:line="218" w:lineRule="auto" w:before="85"/>
        <w:ind w:right="39"/>
      </w:pPr>
      <w:r>
        <w:rPr>
          <w:color w:val="231F20"/>
        </w:rPr>
        <w:t>Les statuts peuvent étendre les pouvoirs de l’assemblée  générale. Une telle extension n’est pas opposable aux tiers, à moins que la société ne prouve que le tiers en avait connaissance ou ne pouvait l’ignorer compte tenu des circonstances, sans que la seule publication des statuts </w:t>
      </w:r>
      <w:r>
        <w:rPr>
          <w:color w:val="231F20"/>
          <w:spacing w:val="-4"/>
        </w:rPr>
        <w:t>suffise </w:t>
      </w:r>
      <w:r>
        <w:rPr>
          <w:color w:val="231F20"/>
        </w:rPr>
        <w:t>à constituer cette</w:t>
      </w:r>
      <w:r>
        <w:rPr>
          <w:color w:val="231F20"/>
          <w:spacing w:val="27"/>
        </w:rPr>
        <w:t> </w:t>
      </w:r>
      <w:r>
        <w:rPr>
          <w:color w:val="231F20"/>
        </w:rPr>
        <w:t>preuve.</w:t>
      </w:r>
    </w:p>
    <w:p>
      <w:pPr>
        <w:pStyle w:val="BodyText"/>
        <w:ind w:left="0" w:right="0" w:firstLine="0"/>
        <w:jc w:val="left"/>
        <w:rPr>
          <w:sz w:val="23"/>
        </w:rPr>
      </w:pPr>
    </w:p>
    <w:p>
      <w:pPr>
        <w:pStyle w:val="BodyText"/>
        <w:spacing w:line="218" w:lineRule="auto"/>
        <w:ind w:right="40"/>
      </w:pPr>
      <w:r>
        <w:rPr>
          <w:color w:val="231F20"/>
        </w:rPr>
        <w:t>Art. 7:125. Lorsque la société ne compte qu’un seul actionnaire, il exerce les pouvoirs dévolus à l’assemblée générale. Il ne peut les déléguer.</w:t>
      </w:r>
    </w:p>
    <w:p>
      <w:pPr>
        <w:pStyle w:val="BodyText"/>
        <w:spacing w:before="72"/>
        <w:ind w:left="283" w:right="0" w:firstLine="0"/>
        <w:jc w:val="left"/>
      </w:pPr>
      <w:r>
        <w:rPr>
          <w:color w:val="231F20"/>
        </w:rPr>
        <w:t>Sous-section 3. Convocation de l’assemblée générale.</w:t>
      </w:r>
    </w:p>
    <w:p>
      <w:pPr>
        <w:pStyle w:val="BodyText"/>
        <w:spacing w:line="218" w:lineRule="auto" w:before="82"/>
        <w:ind w:right="39"/>
      </w:pPr>
      <w:r>
        <w:rPr>
          <w:color w:val="231F20"/>
        </w:rPr>
        <w:t>Art. 7:126. Le conseil d’administration, ou, dans l’administration duale, le conseil de surveillance, et, le cas échéant, le commissaire, convoquent l’assemblée générale et fixent son ordre du jour. Ils sont tenus de convoquer l’assemblée générale dans un délai de trois semaines lorsque des actionnaires qui représentent un dixième du capital le demandent, avec au moins les points de l’ordre du jour proposés par ces actionnaires.</w:t>
      </w:r>
    </w:p>
    <w:p>
      <w:pPr>
        <w:pStyle w:val="BodyText"/>
        <w:spacing w:line="218" w:lineRule="auto" w:before="71"/>
        <w:ind w:right="40"/>
      </w:pPr>
      <w:r>
        <w:rPr>
          <w:color w:val="231F20"/>
        </w:rPr>
        <w:t>Art. 7:127. § 1</w:t>
      </w:r>
      <w:r>
        <w:rPr>
          <w:color w:val="231F20"/>
          <w:position w:val="7"/>
          <w:sz w:val="11"/>
        </w:rPr>
        <w:t>er</w:t>
      </w:r>
      <w:r>
        <w:rPr>
          <w:color w:val="231F20"/>
        </w:rPr>
        <w:t>. Dans une société non cotée, la convocation est faite par une annonce insérée au moins quinze jours avant l’assemblée:</w:t>
      </w:r>
    </w:p>
    <w:p>
      <w:pPr>
        <w:pStyle w:val="BodyText"/>
        <w:spacing w:before="5"/>
        <w:ind w:left="0" w:right="0" w:firstLine="0"/>
        <w:jc w:val="left"/>
        <w:rPr>
          <w:sz w:val="21"/>
        </w:rPr>
      </w:pPr>
    </w:p>
    <w:p>
      <w:pPr>
        <w:spacing w:before="1"/>
        <w:ind w:left="283" w:right="0" w:firstLine="0"/>
        <w:jc w:val="left"/>
        <w:rPr>
          <w:sz w:val="17"/>
        </w:rPr>
      </w:pPr>
      <w:r>
        <w:rPr>
          <w:color w:val="231F20"/>
          <w:w w:val="105"/>
          <w:sz w:val="17"/>
        </w:rPr>
        <w:t>1° dans le </w:t>
      </w:r>
      <w:r>
        <w:rPr>
          <w:rFonts w:ascii="Times New Roman" w:hAnsi="Times New Roman"/>
          <w:i/>
          <w:color w:val="231F20"/>
          <w:w w:val="105"/>
          <w:sz w:val="17"/>
        </w:rPr>
        <w:t>Moniteur belge</w:t>
      </w:r>
      <w:r>
        <w:rPr>
          <w:color w:val="231F20"/>
          <w:w w:val="105"/>
          <w:sz w:val="17"/>
        </w:rPr>
        <w:t>;</w:t>
      </w:r>
    </w:p>
    <w:p>
      <w:pPr>
        <w:pStyle w:val="BodyText"/>
        <w:spacing w:line="218" w:lineRule="auto" w:before="82"/>
        <w:ind w:right="39"/>
      </w:pPr>
      <w:r>
        <w:rPr>
          <w:color w:val="231F20"/>
        </w:rPr>
        <w:t>2° dans un organe de presse de diffusion nationale, papier ou électronique, sauf pour les assemblées générales ordinaires qui se tiennent dans la commune aux lieu, jour et heure indiqués dans l’acte constitutif et dont l’ordre du jour se limite à la discussion et l’approbation des comptes annuels, du rapport de gestion et, le cas échéant, du rapport du commissaire et au vote sur la décharge des membres de l’organe d’administration et, le cas échéant, du commis- saire;</w:t>
      </w:r>
    </w:p>
    <w:p>
      <w:pPr>
        <w:pStyle w:val="BodyText"/>
        <w:spacing w:line="218" w:lineRule="auto" w:before="86"/>
        <w:ind w:right="40"/>
      </w:pPr>
      <w:r>
        <w:rPr>
          <w:color w:val="231F20"/>
        </w:rPr>
        <w:t>3° lorsque la société dispose d’un site internet visé à l’article 2:31, sur le site internet de la société.</w:t>
      </w:r>
    </w:p>
    <w:p>
      <w:pPr>
        <w:pStyle w:val="BodyText"/>
        <w:spacing w:line="216" w:lineRule="auto" w:before="87"/>
        <w:ind w:right="39"/>
      </w:pPr>
      <w:r>
        <w:rPr>
          <w:color w:val="231F20"/>
        </w:rPr>
        <w:t>Si une nouvelle convocation est nécessaire en raison du fait que le quorum de présence requis n’a pas été atteint lors de la première assemblée convoquée et pour autant que la date de la deuxième assemblée ait été indiquée dans la première convocation et qu’aucun nouveau point n’ait été mis à l’ordre du </w:t>
      </w:r>
      <w:r>
        <w:rPr>
          <w:color w:val="231F20"/>
          <w:spacing w:val="-3"/>
        </w:rPr>
        <w:t>jour, </w:t>
      </w:r>
      <w:r>
        <w:rPr>
          <w:color w:val="231F20"/>
        </w:rPr>
        <w:t>le délai </w:t>
      </w:r>
      <w:r>
        <w:rPr>
          <w:color w:val="231F20"/>
          <w:spacing w:val="2"/>
        </w:rPr>
        <w:t>visé </w:t>
      </w:r>
      <w:r>
        <w:rPr>
          <w:color w:val="231F20"/>
        </w:rPr>
        <w:t>à l’alinéa 1</w:t>
      </w:r>
      <w:r>
        <w:rPr>
          <w:color w:val="231F20"/>
          <w:position w:val="7"/>
          <w:sz w:val="11"/>
        </w:rPr>
        <w:t>er </w:t>
      </w:r>
      <w:r>
        <w:rPr>
          <w:color w:val="231F20"/>
        </w:rPr>
        <w:t>est</w:t>
      </w:r>
      <w:r>
        <w:rPr>
          <w:color w:val="231F20"/>
          <w:spacing w:val="15"/>
        </w:rPr>
        <w:t> </w:t>
      </w:r>
      <w:r>
        <w:rPr>
          <w:color w:val="231F20"/>
          <w:spacing w:val="2"/>
        </w:rPr>
        <w:t>porté</w:t>
      </w:r>
      <w:r>
        <w:rPr>
          <w:color w:val="231F20"/>
        </w:rPr>
        <w:t> à</w:t>
      </w:r>
      <w:r>
        <w:rPr>
          <w:color w:val="231F20"/>
          <w:spacing w:val="16"/>
        </w:rPr>
        <w:t> </w:t>
      </w:r>
      <w:r>
        <w:rPr>
          <w:color w:val="231F20"/>
        </w:rPr>
        <w:t>dix</w:t>
      </w:r>
      <w:r>
        <w:rPr>
          <w:color w:val="231F20"/>
          <w:spacing w:val="15"/>
        </w:rPr>
        <w:t> </w:t>
      </w:r>
      <w:r>
        <w:rPr>
          <w:color w:val="231F20"/>
        </w:rPr>
        <w:t>jours</w:t>
      </w:r>
      <w:r>
        <w:rPr>
          <w:color w:val="231F20"/>
          <w:spacing w:val="15"/>
        </w:rPr>
        <w:t> </w:t>
      </w:r>
      <w:r>
        <w:rPr>
          <w:color w:val="231F20"/>
        </w:rPr>
        <w:t>au</w:t>
      </w:r>
      <w:r>
        <w:rPr>
          <w:color w:val="231F20"/>
          <w:spacing w:val="16"/>
        </w:rPr>
        <w:t> </w:t>
      </w:r>
      <w:r>
        <w:rPr>
          <w:color w:val="231F20"/>
        </w:rPr>
        <w:t>moins</w:t>
      </w:r>
      <w:r>
        <w:rPr>
          <w:color w:val="231F20"/>
          <w:spacing w:val="15"/>
        </w:rPr>
        <w:t> </w:t>
      </w:r>
      <w:r>
        <w:rPr>
          <w:color w:val="231F20"/>
        </w:rPr>
        <w:t>avant</w:t>
      </w:r>
      <w:r>
        <w:rPr>
          <w:color w:val="231F20"/>
          <w:spacing w:val="16"/>
        </w:rPr>
        <w:t> </w:t>
      </w:r>
      <w:r>
        <w:rPr>
          <w:color w:val="231F20"/>
        </w:rPr>
        <w:t>l’assemblée.</w:t>
      </w:r>
    </w:p>
    <w:p>
      <w:pPr>
        <w:pStyle w:val="BodyText"/>
        <w:spacing w:line="216" w:lineRule="auto" w:before="82"/>
        <w:ind w:right="38"/>
      </w:pPr>
      <w:r>
        <w:rPr>
          <w:color w:val="231F20"/>
        </w:rPr>
        <w:t>La convocation est communiquée conformément à l’article 2:32 dans le délai de convocation visé à l’alinéa 1</w:t>
      </w:r>
      <w:r>
        <w:rPr>
          <w:color w:val="231F20"/>
          <w:position w:val="7"/>
          <w:sz w:val="11"/>
        </w:rPr>
        <w:t>er </w:t>
      </w:r>
      <w:r>
        <w:rPr>
          <w:color w:val="231F20"/>
        </w:rPr>
        <w:t>ou à l’alinéa 2, aux titulaires d’actions nominatives, d’obligations convertibles nominatives, de droits de souscription nominatifs et de certificats nominatifs émis avec la collaboration de la société, aux membres de l’organe d’administration et, le cas échéant, au commissaire. Quand l’ensemble des actions, obligations convertibles, droits de souscription ou certificats émis avec la collaboration de la société est nominatif, la société peut se limiter à cette communication.</w:t>
      </w:r>
    </w:p>
    <w:p>
      <w:pPr>
        <w:pStyle w:val="BodyText"/>
        <w:spacing w:line="218" w:lineRule="auto" w:before="87"/>
        <w:ind w:right="39"/>
      </w:pPr>
      <w:r>
        <w:rPr>
          <w:color w:val="231F20"/>
        </w:rPr>
        <w:t>§ 2. Pour l’application de la loi du 25 avril 2014 relative au statut et au contrôle des établissements de crédit et des sociétés de bourse, en ce qui concerne le redressement des établissements de crédit et des sociétés de bourse, l’assemblée générale peut, à la majorité des deux tiers des votes valablement exprimés, décider, ou modifier les statuts de manière à ce qu’ils prescrivent que la convocation à une</w:t>
      </w:r>
      <w:r>
        <w:rPr>
          <w:color w:val="231F20"/>
          <w:spacing w:val="14"/>
        </w:rPr>
        <w:t> </w:t>
      </w:r>
      <w:r>
        <w:rPr>
          <w:color w:val="231F20"/>
        </w:rPr>
        <w:t>assemblée générale pour décider de procéder à une augmentation de capital intervient entre dix à quinze jours avant cette assemblée, pour autant que:</w:t>
      </w:r>
    </w:p>
    <w:p>
      <w:pPr>
        <w:pStyle w:val="BodyText"/>
        <w:spacing w:line="218" w:lineRule="auto" w:before="86"/>
        <w:ind w:right="40"/>
      </w:pPr>
      <w:r>
        <w:rPr>
          <w:color w:val="231F20"/>
        </w:rPr>
        <w:t>1° les conditions de l’article 234, 235 ou 236 de la loi précitée du      25</w:t>
      </w:r>
      <w:r>
        <w:rPr>
          <w:color w:val="231F20"/>
          <w:spacing w:val="14"/>
        </w:rPr>
        <w:t> </w:t>
      </w:r>
      <w:r>
        <w:rPr>
          <w:color w:val="231F20"/>
        </w:rPr>
        <w:t>avril</w:t>
      </w:r>
      <w:r>
        <w:rPr>
          <w:color w:val="231F20"/>
          <w:spacing w:val="14"/>
        </w:rPr>
        <w:t> </w:t>
      </w:r>
      <w:r>
        <w:rPr>
          <w:color w:val="231F20"/>
        </w:rPr>
        <w:t>2014</w:t>
      </w:r>
      <w:r>
        <w:rPr>
          <w:color w:val="231F20"/>
          <w:spacing w:val="14"/>
        </w:rPr>
        <w:t> </w:t>
      </w:r>
      <w:r>
        <w:rPr>
          <w:color w:val="231F20"/>
        </w:rPr>
        <w:t>soient</w:t>
      </w:r>
      <w:r>
        <w:rPr>
          <w:color w:val="231F20"/>
          <w:spacing w:val="14"/>
        </w:rPr>
        <w:t> </w:t>
      </w:r>
      <w:r>
        <w:rPr>
          <w:color w:val="231F20"/>
        </w:rPr>
        <w:t>remplies,</w:t>
      </w:r>
      <w:r>
        <w:rPr>
          <w:color w:val="231F20"/>
          <w:spacing w:val="15"/>
        </w:rPr>
        <w:t> </w:t>
      </w:r>
      <w:r>
        <w:rPr>
          <w:color w:val="231F20"/>
        </w:rPr>
        <w:t>et</w:t>
      </w:r>
    </w:p>
    <w:p>
      <w:pPr>
        <w:pStyle w:val="BodyText"/>
        <w:spacing w:line="218" w:lineRule="auto" w:before="96"/>
        <w:ind w:right="39"/>
      </w:pPr>
      <w:r>
        <w:rPr>
          <w:color w:val="231F20"/>
        </w:rPr>
        <w:t>2° l’augmentation de capital soit nécessaire pour éviter le déclenche- ment d’une procédure de résolution dans les conditions énoncées aux articles 244 et 454 de la loi précitée du 25 avril 2014.</w:t>
      </w:r>
    </w:p>
    <w:p>
      <w:pPr>
        <w:pStyle w:val="BodyText"/>
        <w:spacing w:before="2"/>
        <w:ind w:left="0" w:right="0" w:firstLine="0"/>
        <w:jc w:val="left"/>
        <w:rPr>
          <w:sz w:val="24"/>
        </w:rPr>
      </w:pPr>
    </w:p>
    <w:p>
      <w:pPr>
        <w:pStyle w:val="BodyText"/>
        <w:spacing w:line="213" w:lineRule="auto"/>
        <w:ind w:right="40"/>
      </w:pPr>
      <w:r>
        <w:rPr>
          <w:color w:val="231F20"/>
        </w:rPr>
        <w:t>Dans ce cas, les actionnaires ne peuvent pas exercer le droit</w:t>
      </w:r>
      <w:r>
        <w:rPr>
          <w:color w:val="231F20"/>
          <w:spacing w:val="-12"/>
        </w:rPr>
        <w:t> </w:t>
      </w:r>
      <w:r>
        <w:rPr>
          <w:color w:val="231F20"/>
        </w:rPr>
        <w:t>d’inscrire d’autres points à l’ordre du jour de l’assemblée générale, il ne peut pas  y avoir une révision de l’agenda et les dispositions du paragraphe 1</w:t>
      </w:r>
      <w:r>
        <w:rPr>
          <w:color w:val="231F20"/>
          <w:position w:val="7"/>
          <w:sz w:val="11"/>
        </w:rPr>
        <w:t>er     </w:t>
      </w:r>
      <w:r>
        <w:rPr>
          <w:color w:val="231F20"/>
        </w:rPr>
        <w:t>ne sont pas</w:t>
      </w:r>
      <w:r>
        <w:rPr>
          <w:color w:val="231F20"/>
          <w:spacing w:val="4"/>
        </w:rPr>
        <w:t> </w:t>
      </w:r>
      <w:r>
        <w:rPr>
          <w:color w:val="231F20"/>
        </w:rPr>
        <w:t>d’application.</w:t>
      </w:r>
    </w:p>
    <w:p>
      <w:pPr>
        <w:pStyle w:val="BodyText"/>
        <w:spacing w:line="324" w:lineRule="auto" w:before="105"/>
        <w:ind w:left="283" w:right="183" w:firstLine="0"/>
        <w:jc w:val="left"/>
      </w:pPr>
      <w:r>
        <w:rPr/>
        <w:br w:type="column"/>
      </w:r>
      <w:r>
        <w:rPr>
          <w:color w:val="231F20"/>
        </w:rPr>
        <w:t>HOOFDSTUK 2. Algemene vergadering van aandeelhouders. Afdeling 1. Gemeenschappelijke bepalingen.</w:t>
      </w:r>
    </w:p>
    <w:p>
      <w:pPr>
        <w:pStyle w:val="BodyText"/>
        <w:spacing w:before="1"/>
        <w:ind w:left="283" w:right="0" w:firstLine="0"/>
        <w:jc w:val="left"/>
      </w:pPr>
      <w:r>
        <w:rPr>
          <w:color w:val="231F20"/>
          <w:w w:val="105"/>
        </w:rPr>
        <w:t>Onderafdeling 1. Gelijke behandeling.</w:t>
      </w:r>
    </w:p>
    <w:p>
      <w:pPr>
        <w:pStyle w:val="BodyText"/>
        <w:spacing w:line="218" w:lineRule="auto" w:before="82"/>
        <w:ind w:right="123"/>
      </w:pPr>
      <w:r>
        <w:rPr>
          <w:color w:val="231F20"/>
        </w:rPr>
        <w:t>Art. 7:123. Bij de toepassing van dit hoofdstuk draagt de vennoot- schap zorg voor een gelijke behandeling van alle houders van aandelen, winstbewijzen, converteerbare obligaties of inschrijvingsrechten, of van certificaten die met medewerking van de vennootschap zijn uitgege- ven, die zich in gelijke omstandigheden bevinden.</w:t>
      </w:r>
    </w:p>
    <w:p>
      <w:pPr>
        <w:pStyle w:val="BodyText"/>
        <w:spacing w:before="72"/>
        <w:ind w:left="283" w:right="0" w:firstLine="0"/>
        <w:jc w:val="left"/>
      </w:pPr>
      <w:r>
        <w:rPr>
          <w:color w:val="231F20"/>
        </w:rPr>
        <w:t>Onderafdeling 2. Bevoegdheden.</w:t>
      </w:r>
    </w:p>
    <w:p>
      <w:pPr>
        <w:pStyle w:val="BodyText"/>
        <w:spacing w:line="218" w:lineRule="auto" w:before="82"/>
      </w:pPr>
      <w:r>
        <w:rPr>
          <w:color w:val="231F20"/>
        </w:rPr>
        <w:t>Art. 7:124. De algemene vergadering van aandeelhouders oefent de bevoegdheden uit die dit wetboek haar toewijst.</w:t>
      </w:r>
    </w:p>
    <w:p>
      <w:pPr>
        <w:pStyle w:val="BodyText"/>
        <w:spacing w:line="218" w:lineRule="auto" w:before="85"/>
      </w:pPr>
      <w:r>
        <w:rPr>
          <w:color w:val="231F20"/>
        </w:rPr>
        <w:t>De statuten kunnen de bevoegdheden van de algemene vergadering uitbreiden. Zodanige uitbreiding kan niet aan derden worden tegenge- worpen, tenzij de vennootschap bewijst dat de derde daarvan op de hoogte was of </w:t>
      </w:r>
      <w:r>
        <w:rPr>
          <w:color w:val="231F20"/>
          <w:spacing w:val="-5"/>
        </w:rPr>
        <w:t>er, </w:t>
      </w:r>
      <w:r>
        <w:rPr>
          <w:color w:val="231F20"/>
        </w:rPr>
        <w:t>gezien de omstandigheden, niet onkundig van kon zijn; bekendmaking van de statuten alleen is echter geen voldoende bewijs.</w:t>
      </w:r>
    </w:p>
    <w:p>
      <w:pPr>
        <w:pStyle w:val="BodyText"/>
        <w:spacing w:line="218" w:lineRule="auto" w:before="86"/>
      </w:pPr>
      <w:r>
        <w:rPr>
          <w:color w:val="231F20"/>
        </w:rPr>
        <w:t>Art. 7:125. Wanneer de vennootschap slechts één aandeelhouder telt, oefent hij de bevoegdheden uit die aan de algemene vergadering zijn toegekend. Hij kan die niet overdragen.</w:t>
      </w:r>
    </w:p>
    <w:p>
      <w:pPr>
        <w:pStyle w:val="BodyText"/>
        <w:spacing w:before="72"/>
        <w:ind w:left="283" w:right="0" w:firstLine="0"/>
        <w:jc w:val="left"/>
      </w:pPr>
      <w:r>
        <w:rPr>
          <w:color w:val="231F20"/>
        </w:rPr>
        <w:t>Onderafdeling 3. Bijeenroeping van de algemene vergadering.</w:t>
      </w:r>
    </w:p>
    <w:p>
      <w:pPr>
        <w:pStyle w:val="BodyText"/>
        <w:spacing w:line="218" w:lineRule="auto" w:before="82"/>
      </w:pPr>
      <w:r>
        <w:rPr>
          <w:color w:val="231F20"/>
        </w:rPr>
        <w:t>Art. 7:126. De raad van bestuur, of, in een duaal bestuur, de raad van toezicht, en, in voorkomend geval, de commissaris, roepen de algemene vergadering bijeen en bepalen haar agenda. Zij zijn verplicht de algemene vergadering binnen drie weken bijeen te roepen wanneer aandeelhouders die een tiende van het kapitaal vertegenwoordigen, het vragen, met ten minste de door de betrokken aandeelhouders voorge- stelde agendapunten.</w:t>
      </w:r>
    </w:p>
    <w:p>
      <w:pPr>
        <w:pStyle w:val="BodyText"/>
        <w:spacing w:line="218" w:lineRule="auto" w:before="86"/>
      </w:pPr>
      <w:r>
        <w:rPr>
          <w:color w:val="231F20"/>
        </w:rPr>
        <w:t>Art. 7:127. § 1. In een niet genoteerde vennootschap, gebeurt de oproeping door middel van een aankondiging die ten minste vijftien dagen vóór de vergadering wordt geplaatst:</w:t>
      </w:r>
    </w:p>
    <w:p>
      <w:pPr>
        <w:spacing w:before="68"/>
        <w:ind w:left="283" w:right="0" w:firstLine="0"/>
        <w:jc w:val="left"/>
        <w:rPr>
          <w:sz w:val="17"/>
        </w:rPr>
      </w:pPr>
      <w:r>
        <w:rPr>
          <w:color w:val="231F20"/>
          <w:sz w:val="17"/>
        </w:rPr>
        <w:t>1° in het </w:t>
      </w:r>
      <w:r>
        <w:rPr>
          <w:rFonts w:ascii="Times New Roman" w:hAnsi="Times New Roman"/>
          <w:i/>
          <w:color w:val="231F20"/>
          <w:sz w:val="17"/>
        </w:rPr>
        <w:t>Belgisch Staatsblad</w:t>
      </w:r>
      <w:r>
        <w:rPr>
          <w:color w:val="231F20"/>
          <w:sz w:val="17"/>
        </w:rPr>
        <w:t>;</w:t>
      </w:r>
    </w:p>
    <w:p>
      <w:pPr>
        <w:pStyle w:val="BodyText"/>
        <w:spacing w:line="218" w:lineRule="auto" w:before="82"/>
        <w:ind w:right="121"/>
      </w:pPr>
      <w:r>
        <w:rPr>
          <w:color w:val="231F20"/>
        </w:rPr>
        <w:t>2° in een nationaal verspreid blad, op papier of elektronisch, behalve voor gewone algemene vergaderingen die plaatsvinden in de gemeente, op de plaats, de dag en het uur aangeduid in de oprichtingsakte met  een agenda die zich beperkt tot de behandeling van en goedkeuring over de jaarrekening, het jaarverslag en, in voorkomend geval, het verslag van de commissaris en de stemming over de kwijting te verlenen aan de leden van het bestuursorgaan en, in voorkomend  geval, de</w:t>
      </w:r>
      <w:r>
        <w:rPr>
          <w:color w:val="231F20"/>
          <w:spacing w:val="-11"/>
        </w:rPr>
        <w:t> </w:t>
      </w:r>
      <w:r>
        <w:rPr>
          <w:color w:val="231F20"/>
        </w:rPr>
        <w:t>commissaris;</w:t>
      </w:r>
    </w:p>
    <w:p>
      <w:pPr>
        <w:pStyle w:val="BodyText"/>
        <w:spacing w:line="218" w:lineRule="auto" w:before="86"/>
      </w:pPr>
      <w:r>
        <w:rPr>
          <w:color w:val="231F20"/>
        </w:rPr>
        <w:t>3° als de vennootschap een vennootschapswebsite heeft als bedoeld in</w:t>
      </w:r>
      <w:r>
        <w:rPr>
          <w:color w:val="231F20"/>
          <w:spacing w:val="15"/>
        </w:rPr>
        <w:t> </w:t>
      </w:r>
      <w:r>
        <w:rPr>
          <w:color w:val="231F20"/>
        </w:rPr>
        <w:t>artikel</w:t>
      </w:r>
      <w:r>
        <w:rPr>
          <w:color w:val="231F20"/>
          <w:spacing w:val="15"/>
        </w:rPr>
        <w:t> </w:t>
      </w:r>
      <w:r>
        <w:rPr>
          <w:color w:val="231F20"/>
        </w:rPr>
        <w:t>2:31,</w:t>
      </w:r>
      <w:r>
        <w:rPr>
          <w:color w:val="231F20"/>
          <w:spacing w:val="15"/>
        </w:rPr>
        <w:t> </w:t>
      </w:r>
      <w:r>
        <w:rPr>
          <w:color w:val="231F20"/>
        </w:rPr>
        <w:t>op</w:t>
      </w:r>
      <w:r>
        <w:rPr>
          <w:color w:val="231F20"/>
          <w:spacing w:val="15"/>
        </w:rPr>
        <w:t> </w:t>
      </w:r>
      <w:r>
        <w:rPr>
          <w:color w:val="231F20"/>
        </w:rPr>
        <w:t>de</w:t>
      </w:r>
      <w:r>
        <w:rPr>
          <w:color w:val="231F20"/>
          <w:spacing w:val="15"/>
        </w:rPr>
        <w:t> </w:t>
      </w:r>
      <w:r>
        <w:rPr>
          <w:color w:val="231F20"/>
        </w:rPr>
        <w:t>vennootschapswebsite.</w:t>
      </w:r>
    </w:p>
    <w:p>
      <w:pPr>
        <w:pStyle w:val="BodyText"/>
        <w:spacing w:line="218" w:lineRule="auto" w:before="86"/>
      </w:pPr>
      <w:r>
        <w:rPr>
          <w:color w:val="231F20"/>
        </w:rPr>
        <w:t>Indien een nieuwe oproeping nodig is omdat het bij de eerste oproeping vereiste aanwezigheidsquorum niet is gehaald en mits de datum van de tweede vergadering in de eerste oproeping is vermeld en er geen nieuw punt op de agenda is geplaatst, wordt de in het eerste lid bedoelde termijn op minstens tien dagen vóór de vergadering gebracht.</w:t>
      </w:r>
    </w:p>
    <w:p>
      <w:pPr>
        <w:pStyle w:val="BodyText"/>
        <w:ind w:left="0" w:right="0" w:firstLine="0"/>
        <w:jc w:val="left"/>
        <w:rPr>
          <w:sz w:val="23"/>
        </w:rPr>
      </w:pPr>
    </w:p>
    <w:p>
      <w:pPr>
        <w:pStyle w:val="BodyText"/>
        <w:spacing w:line="218" w:lineRule="auto"/>
      </w:pPr>
      <w:r>
        <w:rPr>
          <w:color w:val="231F20"/>
        </w:rPr>
        <w:t>De oproeping wordt binnen de in het eerste of tweede lid bedoelde oproepingstermijn meegedeeld overeenkomstig artikel 2:32 aan de houders van de aandelen op naam, van converteerbare obligaties op naam, van inschrijvingsrechten op naam en met de medewerking van de vennootschap uitgegeven certificaten op naam, de leden van</w:t>
      </w:r>
      <w:r>
        <w:rPr>
          <w:color w:val="231F20"/>
          <w:spacing w:val="35"/>
        </w:rPr>
        <w:t> </w:t>
      </w:r>
      <w:r>
        <w:rPr>
          <w:color w:val="231F20"/>
        </w:rPr>
        <w:t>het bestuursorgaan, en, in voorkomend geval, de commissaris.</w:t>
      </w:r>
      <w:r>
        <w:rPr>
          <w:color w:val="231F20"/>
          <w:spacing w:val="27"/>
        </w:rPr>
        <w:t> </w:t>
      </w:r>
      <w:r>
        <w:rPr>
          <w:color w:val="231F20"/>
          <w:spacing w:val="-3"/>
        </w:rPr>
        <w:t>Wanneer </w:t>
      </w:r>
      <w:r>
        <w:rPr>
          <w:color w:val="231F20"/>
        </w:rPr>
        <w:t>alle aandelen, converteerbare obligaties, inschrijvingsrechten of met medewerking van de vennootschap uitgegeven certificaten op naam zijn,</w:t>
      </w:r>
      <w:r>
        <w:rPr>
          <w:color w:val="231F20"/>
          <w:spacing w:val="17"/>
        </w:rPr>
        <w:t> </w:t>
      </w:r>
      <w:r>
        <w:rPr>
          <w:color w:val="231F20"/>
        </w:rPr>
        <w:t>kan</w:t>
      </w:r>
      <w:r>
        <w:rPr>
          <w:color w:val="231F20"/>
          <w:spacing w:val="18"/>
        </w:rPr>
        <w:t> </w:t>
      </w:r>
      <w:r>
        <w:rPr>
          <w:color w:val="231F20"/>
        </w:rPr>
        <w:t>de</w:t>
      </w:r>
      <w:r>
        <w:rPr>
          <w:color w:val="231F20"/>
          <w:spacing w:val="18"/>
        </w:rPr>
        <w:t> </w:t>
      </w:r>
      <w:r>
        <w:rPr>
          <w:color w:val="231F20"/>
        </w:rPr>
        <w:t>vennootschap</w:t>
      </w:r>
      <w:r>
        <w:rPr>
          <w:color w:val="231F20"/>
          <w:spacing w:val="18"/>
        </w:rPr>
        <w:t> </w:t>
      </w:r>
      <w:r>
        <w:rPr>
          <w:color w:val="231F20"/>
        </w:rPr>
        <w:t>zich</w:t>
      </w:r>
      <w:r>
        <w:rPr>
          <w:color w:val="231F20"/>
          <w:spacing w:val="18"/>
        </w:rPr>
        <w:t> </w:t>
      </w:r>
      <w:r>
        <w:rPr>
          <w:color w:val="231F20"/>
        </w:rPr>
        <w:t>beperken</w:t>
      </w:r>
      <w:r>
        <w:rPr>
          <w:color w:val="231F20"/>
          <w:spacing w:val="18"/>
        </w:rPr>
        <w:t> </w:t>
      </w:r>
      <w:r>
        <w:rPr>
          <w:color w:val="231F20"/>
        </w:rPr>
        <w:t>tot</w:t>
      </w:r>
      <w:r>
        <w:rPr>
          <w:color w:val="231F20"/>
          <w:spacing w:val="18"/>
        </w:rPr>
        <w:t> </w:t>
      </w:r>
      <w:r>
        <w:rPr>
          <w:color w:val="231F20"/>
        </w:rPr>
        <w:t>deze</w:t>
      </w:r>
      <w:r>
        <w:rPr>
          <w:color w:val="231F20"/>
          <w:spacing w:val="18"/>
        </w:rPr>
        <w:t> </w:t>
      </w:r>
      <w:r>
        <w:rPr>
          <w:color w:val="231F20"/>
        </w:rPr>
        <w:t>mededeling.</w:t>
      </w:r>
    </w:p>
    <w:p>
      <w:pPr>
        <w:pStyle w:val="BodyText"/>
        <w:spacing w:line="218" w:lineRule="auto" w:before="86"/>
        <w:ind w:right="123"/>
      </w:pPr>
      <w:r>
        <w:rPr>
          <w:color w:val="231F20"/>
        </w:rPr>
        <w:t>§ 2. </w:t>
      </w:r>
      <w:r>
        <w:rPr>
          <w:color w:val="231F20"/>
          <w:spacing w:val="-5"/>
        </w:rPr>
        <w:t>Voor </w:t>
      </w:r>
      <w:r>
        <w:rPr>
          <w:color w:val="231F20"/>
        </w:rPr>
        <w:t>de toepassing van de wet van 25 april 2014 op het statuut van en het toezicht op kredietinstellingen en beursvennootschappen, wat het herstel van kredietinstellingen en beursvennootschappen betreft, kan de algemene vergadering met twee derde van het aantal geldig uitgebrachte stemmen bepalen dat de statuten voorschrijven, of de statuten in die zin wijzigen dat zij voorschrijven, dat de oproeping tot de algemene vergadering om een besluit te nemen over een kapitaalverhoging plaatsvindt binnen tien tot vijftien dagen vóór</w:t>
      </w:r>
      <w:r>
        <w:rPr>
          <w:color w:val="231F20"/>
          <w:spacing w:val="33"/>
        </w:rPr>
        <w:t> </w:t>
      </w:r>
      <w:r>
        <w:rPr>
          <w:color w:val="231F20"/>
        </w:rPr>
        <w:t>de vergadering,</w:t>
      </w:r>
      <w:r>
        <w:rPr>
          <w:color w:val="231F20"/>
          <w:spacing w:val="15"/>
        </w:rPr>
        <w:t> </w:t>
      </w:r>
      <w:r>
        <w:rPr>
          <w:color w:val="231F20"/>
        </w:rPr>
        <w:t>mits:</w:t>
      </w:r>
    </w:p>
    <w:p>
      <w:pPr>
        <w:pStyle w:val="BodyText"/>
        <w:spacing w:line="218" w:lineRule="auto" w:before="86"/>
        <w:ind w:right="125"/>
      </w:pPr>
      <w:r>
        <w:rPr>
          <w:color w:val="231F20"/>
        </w:rPr>
        <w:t>1° aan de voorwaarden van artikel 234, 235 of 236 van voornoemde wet van 25 april 2014 is voldaan, en</w:t>
      </w:r>
    </w:p>
    <w:p>
      <w:pPr>
        <w:pStyle w:val="BodyText"/>
        <w:spacing w:line="218" w:lineRule="auto" w:before="96"/>
      </w:pPr>
      <w:r>
        <w:rPr>
          <w:color w:val="231F20"/>
        </w:rPr>
        <w:t>2° de kapitaalverhoging noodzakelijk is om te vermijden dat een afwikkelingsprocedure op basis van de in de artikelen 244 en 454 van voornoemde wet van 25 april 2014 bedoelde afwikkelingsvoorwaarden een aanvang neemt.</w:t>
      </w:r>
    </w:p>
    <w:p>
      <w:pPr>
        <w:pStyle w:val="BodyText"/>
        <w:spacing w:line="218" w:lineRule="auto" w:before="96"/>
      </w:pPr>
      <w:r>
        <w:rPr>
          <w:color w:val="231F20"/>
        </w:rPr>
        <w:t>In dat geval hebben de aandeelhouders geen recht om andere punten op de agenda van die algemene vergadering te plaatsen, kan geen herziening van de agenda plaatsvinden en is het bepaalde in  para- graaf 1 niet van</w:t>
      </w:r>
      <w:r>
        <w:rPr>
          <w:color w:val="231F20"/>
          <w:spacing w:val="20"/>
        </w:rPr>
        <w:t> </w:t>
      </w:r>
      <w:r>
        <w:rPr>
          <w:color w:val="231F20"/>
        </w:rPr>
        <w:t>toepassing.</w:t>
      </w:r>
    </w:p>
    <w:p>
      <w:pPr>
        <w:spacing w:after="0" w:line="218" w:lineRule="auto"/>
        <w:sectPr>
          <w:pgSz w:w="11940" w:h="16880"/>
          <w:pgMar w:header="666" w:footer="0" w:top="1140" w:bottom="280" w:left="340" w:right="360"/>
          <w:cols w:num="2" w:equalWidth="0">
            <w:col w:w="5529" w:space="99"/>
            <w:col w:w="5612"/>
          </w:cols>
        </w:sectPr>
      </w:pPr>
    </w:p>
    <w:p>
      <w:pPr>
        <w:pStyle w:val="BodyText"/>
        <w:spacing w:line="218" w:lineRule="auto" w:before="105"/>
        <w:ind w:right="38"/>
      </w:pPr>
      <w:r>
        <w:rPr/>
        <w:pict>
          <v:line style="position:absolute;mso-position-horizontal-relative:page;mso-position-vertical-relative:page;z-index:5368" from="298.170502pt,64.473pt" to="298.170502pt,812.819pt" stroked="true" strokeweight=".533pt" strokecolor="#231f20">
            <v:stroke dashstyle="solid"/>
            <w10:wrap type="none"/>
          </v:line>
        </w:pict>
      </w:r>
      <w:bookmarkStart w:name="_bookmark181" w:id="186"/>
      <w:bookmarkEnd w:id="186"/>
      <w:r>
        <w:rPr/>
      </w:r>
      <w:r>
        <w:rPr>
          <w:color w:val="231F20"/>
        </w:rPr>
        <w:t>Art. 7:128. § 1</w:t>
      </w:r>
      <w:r>
        <w:rPr>
          <w:color w:val="231F20"/>
          <w:position w:val="7"/>
          <w:sz w:val="11"/>
        </w:rPr>
        <w:t>er</w:t>
      </w:r>
      <w:r>
        <w:rPr>
          <w:color w:val="231F20"/>
        </w:rPr>
        <w:t>. Dans une société cotée, la convocation est faite par une annonce insérée au moins trente jours avant l’assemblée:</w:t>
      </w:r>
    </w:p>
    <w:p>
      <w:pPr>
        <w:pStyle w:val="BodyText"/>
        <w:spacing w:before="5"/>
        <w:ind w:left="0" w:right="0" w:firstLine="0"/>
        <w:jc w:val="left"/>
        <w:rPr>
          <w:sz w:val="21"/>
        </w:rPr>
      </w:pPr>
    </w:p>
    <w:p>
      <w:pPr>
        <w:spacing w:before="0"/>
        <w:ind w:left="283" w:right="0" w:firstLine="0"/>
        <w:jc w:val="left"/>
        <w:rPr>
          <w:sz w:val="17"/>
        </w:rPr>
      </w:pPr>
      <w:r>
        <w:rPr>
          <w:color w:val="231F20"/>
          <w:w w:val="105"/>
          <w:sz w:val="17"/>
        </w:rPr>
        <w:t>1° dans le </w:t>
      </w:r>
      <w:r>
        <w:rPr>
          <w:rFonts w:ascii="Times New Roman" w:hAnsi="Times New Roman"/>
          <w:i/>
          <w:color w:val="231F20"/>
          <w:w w:val="105"/>
          <w:sz w:val="17"/>
        </w:rPr>
        <w:t>Moniteur belge</w:t>
      </w:r>
      <w:r>
        <w:rPr>
          <w:color w:val="231F20"/>
          <w:w w:val="105"/>
          <w:sz w:val="17"/>
        </w:rPr>
        <w:t>;</w:t>
      </w:r>
    </w:p>
    <w:p>
      <w:pPr>
        <w:pStyle w:val="BodyText"/>
        <w:spacing w:line="216" w:lineRule="auto" w:before="84"/>
        <w:ind w:right="38"/>
      </w:pPr>
      <w:r>
        <w:rPr>
          <w:color w:val="231F20"/>
        </w:rPr>
        <w:t>2° dans un organe de presse de diffusion nationale, papier ou électronique sauf pour les assemblées générales ordinaires qui se tiennent dans la commune aux lieu, jour et heure indiqués dans l’acte constitutif et dont l’ordre du jour se limite à la discussion et l’approbation des comptes annuels, du rapport de gestion et du rapport du commissaire, du rapport de rémunération et de l’indemnité de départ des administrateurs exécutifs visée à l’article 7:92, alinéa 1</w:t>
      </w:r>
      <w:r>
        <w:rPr>
          <w:color w:val="231F20"/>
          <w:position w:val="7"/>
          <w:sz w:val="11"/>
        </w:rPr>
        <w:t>er</w:t>
      </w:r>
      <w:r>
        <w:rPr>
          <w:color w:val="231F20"/>
        </w:rPr>
        <w:t>, et le</w:t>
      </w:r>
      <w:r>
        <w:rPr>
          <w:color w:val="231F20"/>
          <w:spacing w:val="15"/>
        </w:rPr>
        <w:t> </w:t>
      </w:r>
      <w:r>
        <w:rPr>
          <w:color w:val="231F20"/>
        </w:rPr>
        <w:t>vote</w:t>
      </w:r>
      <w:r>
        <w:rPr>
          <w:color w:val="231F20"/>
          <w:spacing w:val="15"/>
        </w:rPr>
        <w:t> </w:t>
      </w:r>
      <w:r>
        <w:rPr>
          <w:color w:val="231F20"/>
        </w:rPr>
        <w:t>sur</w:t>
      </w:r>
      <w:r>
        <w:rPr>
          <w:color w:val="231F20"/>
          <w:spacing w:val="16"/>
        </w:rPr>
        <w:t> </w:t>
      </w:r>
      <w:r>
        <w:rPr>
          <w:color w:val="231F20"/>
        </w:rPr>
        <w:t>la</w:t>
      </w:r>
      <w:r>
        <w:rPr>
          <w:color w:val="231F20"/>
          <w:spacing w:val="15"/>
        </w:rPr>
        <w:t> </w:t>
      </w:r>
      <w:r>
        <w:rPr>
          <w:color w:val="231F20"/>
        </w:rPr>
        <w:t>décharge</w:t>
      </w:r>
      <w:r>
        <w:rPr>
          <w:color w:val="231F20"/>
          <w:spacing w:val="16"/>
        </w:rPr>
        <w:t> </w:t>
      </w:r>
      <w:r>
        <w:rPr>
          <w:color w:val="231F20"/>
        </w:rPr>
        <w:t>des</w:t>
      </w:r>
      <w:r>
        <w:rPr>
          <w:color w:val="231F20"/>
          <w:spacing w:val="15"/>
        </w:rPr>
        <w:t> </w:t>
      </w:r>
      <w:r>
        <w:rPr>
          <w:color w:val="231F20"/>
        </w:rPr>
        <w:t>administrateurs</w:t>
      </w:r>
      <w:r>
        <w:rPr>
          <w:color w:val="231F20"/>
          <w:spacing w:val="16"/>
        </w:rPr>
        <w:t> </w:t>
      </w:r>
      <w:r>
        <w:rPr>
          <w:color w:val="231F20"/>
        </w:rPr>
        <w:t>et</w:t>
      </w:r>
      <w:r>
        <w:rPr>
          <w:color w:val="231F20"/>
          <w:spacing w:val="15"/>
        </w:rPr>
        <w:t> </w:t>
      </w:r>
      <w:r>
        <w:rPr>
          <w:color w:val="231F20"/>
        </w:rPr>
        <w:t>du</w:t>
      </w:r>
      <w:r>
        <w:rPr>
          <w:color w:val="231F20"/>
          <w:spacing w:val="15"/>
        </w:rPr>
        <w:t> </w:t>
      </w:r>
      <w:r>
        <w:rPr>
          <w:color w:val="231F20"/>
        </w:rPr>
        <w:t>commissaire;</w:t>
      </w:r>
    </w:p>
    <w:p>
      <w:pPr>
        <w:pStyle w:val="BodyText"/>
        <w:spacing w:line="218" w:lineRule="auto" w:before="85"/>
        <w:ind w:right="38"/>
      </w:pPr>
      <w:r>
        <w:rPr>
          <w:color w:val="231F20"/>
        </w:rPr>
        <w:t>3° dans des médias dont on peut raisonnablement attendre une diffusion efficace des informations auprès du public dans l’ensemble de l’Espace économique européen et qui sont accessibles rapidement et de manière non discriminatoire;</w:t>
      </w:r>
    </w:p>
    <w:p>
      <w:pPr>
        <w:pStyle w:val="BodyText"/>
        <w:spacing w:before="71"/>
        <w:ind w:left="283" w:right="0" w:firstLine="0"/>
        <w:jc w:val="left"/>
      </w:pPr>
      <w:r>
        <w:rPr>
          <w:color w:val="231F20"/>
        </w:rPr>
        <w:t>4° sur le site internet de la société.</w:t>
      </w:r>
    </w:p>
    <w:p>
      <w:pPr>
        <w:pStyle w:val="BodyText"/>
        <w:spacing w:line="216" w:lineRule="auto" w:before="84"/>
        <w:ind w:right="38"/>
      </w:pPr>
      <w:r>
        <w:rPr>
          <w:color w:val="231F20"/>
        </w:rPr>
        <w:t>Si une nouvelle convocation est nécessaire en raison du fait que le quorum de présence requis n’a pas été atteint lors de la première assemblée convoquée et pour autant que la date de la deuxième assemblée ait été indiquée dans la première convocation et qu’aucun nouveau point n’ait été mis à l’ordre du </w:t>
      </w:r>
      <w:r>
        <w:rPr>
          <w:color w:val="231F20"/>
          <w:spacing w:val="-3"/>
        </w:rPr>
        <w:t>jour, </w:t>
      </w:r>
      <w:r>
        <w:rPr>
          <w:color w:val="231F20"/>
        </w:rPr>
        <w:t>le délai </w:t>
      </w:r>
      <w:r>
        <w:rPr>
          <w:color w:val="231F20"/>
          <w:spacing w:val="2"/>
        </w:rPr>
        <w:t>visé </w:t>
      </w:r>
      <w:r>
        <w:rPr>
          <w:color w:val="231F20"/>
        </w:rPr>
        <w:t>à l’alinéa 1</w:t>
      </w:r>
      <w:r>
        <w:rPr>
          <w:color w:val="231F20"/>
          <w:position w:val="7"/>
          <w:sz w:val="11"/>
        </w:rPr>
        <w:t>er </w:t>
      </w:r>
      <w:r>
        <w:rPr>
          <w:color w:val="231F20"/>
        </w:rPr>
        <w:t>est</w:t>
      </w:r>
      <w:r>
        <w:rPr>
          <w:color w:val="231F20"/>
          <w:spacing w:val="15"/>
        </w:rPr>
        <w:t> </w:t>
      </w:r>
      <w:r>
        <w:rPr>
          <w:color w:val="231F20"/>
          <w:spacing w:val="2"/>
        </w:rPr>
        <w:t>porté</w:t>
      </w:r>
      <w:r>
        <w:rPr>
          <w:color w:val="231F20"/>
        </w:rPr>
        <w:t> à</w:t>
      </w:r>
      <w:r>
        <w:rPr>
          <w:color w:val="231F20"/>
          <w:spacing w:val="16"/>
        </w:rPr>
        <w:t> </w:t>
      </w:r>
      <w:r>
        <w:rPr>
          <w:color w:val="231F20"/>
        </w:rPr>
        <w:t>dix</w:t>
      </w:r>
      <w:r>
        <w:rPr>
          <w:color w:val="231F20"/>
          <w:spacing w:val="15"/>
        </w:rPr>
        <w:t> </w:t>
      </w:r>
      <w:r>
        <w:rPr>
          <w:color w:val="231F20"/>
        </w:rPr>
        <w:t>sept</w:t>
      </w:r>
      <w:r>
        <w:rPr>
          <w:color w:val="231F20"/>
          <w:spacing w:val="16"/>
        </w:rPr>
        <w:t> </w:t>
      </w:r>
      <w:r>
        <w:rPr>
          <w:color w:val="231F20"/>
        </w:rPr>
        <w:t>jours</w:t>
      </w:r>
      <w:r>
        <w:rPr>
          <w:color w:val="231F20"/>
          <w:spacing w:val="15"/>
        </w:rPr>
        <w:t> </w:t>
      </w:r>
      <w:r>
        <w:rPr>
          <w:color w:val="231F20"/>
        </w:rPr>
        <w:t>au</w:t>
      </w:r>
      <w:r>
        <w:rPr>
          <w:color w:val="231F20"/>
          <w:spacing w:val="16"/>
        </w:rPr>
        <w:t> </w:t>
      </w:r>
      <w:r>
        <w:rPr>
          <w:color w:val="231F20"/>
        </w:rPr>
        <w:t>moins</w:t>
      </w:r>
      <w:r>
        <w:rPr>
          <w:color w:val="231F20"/>
          <w:spacing w:val="15"/>
        </w:rPr>
        <w:t> </w:t>
      </w:r>
      <w:r>
        <w:rPr>
          <w:color w:val="231F20"/>
        </w:rPr>
        <w:t>avant</w:t>
      </w:r>
      <w:r>
        <w:rPr>
          <w:color w:val="231F20"/>
          <w:spacing w:val="16"/>
        </w:rPr>
        <w:t> </w:t>
      </w:r>
      <w:r>
        <w:rPr>
          <w:color w:val="231F20"/>
        </w:rPr>
        <w:t>l’assemblée.</w:t>
      </w:r>
    </w:p>
    <w:p>
      <w:pPr>
        <w:pStyle w:val="BodyText"/>
        <w:spacing w:line="216" w:lineRule="auto" w:before="82"/>
        <w:ind w:right="38"/>
      </w:pPr>
      <w:r>
        <w:rPr>
          <w:color w:val="231F20"/>
        </w:rPr>
        <w:t>Conformément</w:t>
      </w:r>
      <w:r>
        <w:rPr>
          <w:color w:val="231F20"/>
          <w:spacing w:val="-5"/>
        </w:rPr>
        <w:t> </w:t>
      </w:r>
      <w:r>
        <w:rPr>
          <w:color w:val="231F20"/>
        </w:rPr>
        <w:t>à</w:t>
      </w:r>
      <w:r>
        <w:rPr>
          <w:color w:val="231F20"/>
          <w:spacing w:val="-4"/>
        </w:rPr>
        <w:t> </w:t>
      </w:r>
      <w:r>
        <w:rPr>
          <w:color w:val="231F20"/>
        </w:rPr>
        <w:t>l’article</w:t>
      </w:r>
      <w:r>
        <w:rPr>
          <w:color w:val="231F20"/>
          <w:spacing w:val="-4"/>
        </w:rPr>
        <w:t> </w:t>
      </w:r>
      <w:r>
        <w:rPr>
          <w:color w:val="231F20"/>
        </w:rPr>
        <w:t>2:32,</w:t>
      </w:r>
      <w:r>
        <w:rPr>
          <w:color w:val="231F20"/>
          <w:spacing w:val="-4"/>
        </w:rPr>
        <w:t> </w:t>
      </w:r>
      <w:r>
        <w:rPr>
          <w:color w:val="231F20"/>
        </w:rPr>
        <w:t>la</w:t>
      </w:r>
      <w:r>
        <w:rPr>
          <w:color w:val="231F20"/>
          <w:spacing w:val="-5"/>
        </w:rPr>
        <w:t> </w:t>
      </w:r>
      <w:r>
        <w:rPr>
          <w:color w:val="231F20"/>
        </w:rPr>
        <w:t>convocation</w:t>
      </w:r>
      <w:r>
        <w:rPr>
          <w:color w:val="231F20"/>
          <w:spacing w:val="-4"/>
        </w:rPr>
        <w:t> </w:t>
      </w:r>
      <w:r>
        <w:rPr>
          <w:color w:val="231F20"/>
        </w:rPr>
        <w:t>est</w:t>
      </w:r>
      <w:r>
        <w:rPr>
          <w:color w:val="231F20"/>
          <w:spacing w:val="-4"/>
        </w:rPr>
        <w:t> </w:t>
      </w:r>
      <w:r>
        <w:rPr>
          <w:color w:val="231F20"/>
        </w:rPr>
        <w:t>communiquée,</w:t>
      </w:r>
      <w:r>
        <w:rPr>
          <w:color w:val="231F20"/>
          <w:spacing w:val="-4"/>
        </w:rPr>
        <w:t> </w:t>
      </w:r>
      <w:r>
        <w:rPr>
          <w:color w:val="231F20"/>
        </w:rPr>
        <w:t>dans le délai de convocation </w:t>
      </w:r>
      <w:r>
        <w:rPr>
          <w:color w:val="231F20"/>
          <w:spacing w:val="3"/>
        </w:rPr>
        <w:t>visé </w:t>
      </w:r>
      <w:r>
        <w:rPr>
          <w:color w:val="231F20"/>
        </w:rPr>
        <w:t>à l’alinéa 1</w:t>
      </w:r>
      <w:r>
        <w:rPr>
          <w:color w:val="231F20"/>
          <w:position w:val="7"/>
          <w:sz w:val="11"/>
        </w:rPr>
        <w:t>er </w:t>
      </w:r>
      <w:r>
        <w:rPr>
          <w:color w:val="231F20"/>
        </w:rPr>
        <w:t>ou à l’alinéa 2, aux titulaires d’actions nominatives, d’obligations convertibles nominatives ou de droits de souscription nominatifs, aux titulaires de certificats nomina- tifs émis avec la collaboration de la société, aux administrateurs et au commissaire.</w:t>
      </w:r>
    </w:p>
    <w:p>
      <w:pPr>
        <w:pStyle w:val="BodyText"/>
        <w:spacing w:line="218" w:lineRule="auto" w:before="81"/>
        <w:ind w:right="38"/>
      </w:pPr>
      <w:r>
        <w:rPr>
          <w:color w:val="231F20"/>
        </w:rPr>
        <w:t>La société ne peut pas facturer de frais particuliers aux actionnaires pour la convocation de l’assemblée générale.</w:t>
      </w:r>
    </w:p>
    <w:p>
      <w:pPr>
        <w:pStyle w:val="BodyText"/>
        <w:spacing w:line="218" w:lineRule="auto" w:before="86"/>
        <w:ind w:right="38"/>
      </w:pPr>
      <w:r>
        <w:rPr>
          <w:color w:val="231F20"/>
        </w:rPr>
        <w:t>§ 2. Pour l’application de la loi du 25 avril 2014 relative au statut et au contrôle des établissements de crédit et des sociétés de bourse, en ce qui concerne le redressement des établissements de crédit et des sociétés de bourse, l’assemblée générale peut, à la majorité des deux tiers des votes valablement exprimés, décider, ou modifier les statuts de manière à ce qu’ils prescrivent que la convocation à une</w:t>
      </w:r>
      <w:r>
        <w:rPr>
          <w:color w:val="231F20"/>
          <w:spacing w:val="14"/>
        </w:rPr>
        <w:t> </w:t>
      </w:r>
      <w:r>
        <w:rPr>
          <w:color w:val="231F20"/>
        </w:rPr>
        <w:t>assemblée générale pour décider de procéder à une augmentation de capital intervient entre dix à quinze jours avant cette assemblée, pour autant que:</w:t>
      </w:r>
    </w:p>
    <w:p>
      <w:pPr>
        <w:pStyle w:val="BodyText"/>
        <w:spacing w:line="218" w:lineRule="auto" w:before="96"/>
        <w:ind w:right="39"/>
      </w:pPr>
      <w:r>
        <w:rPr>
          <w:color w:val="231F20"/>
        </w:rPr>
        <w:t>1° les conditions de l’article 234, 235 ou 236 de la loi précitée du      25</w:t>
      </w:r>
      <w:r>
        <w:rPr>
          <w:color w:val="231F20"/>
          <w:spacing w:val="14"/>
        </w:rPr>
        <w:t> </w:t>
      </w:r>
      <w:r>
        <w:rPr>
          <w:color w:val="231F20"/>
        </w:rPr>
        <w:t>avril</w:t>
      </w:r>
      <w:r>
        <w:rPr>
          <w:color w:val="231F20"/>
          <w:spacing w:val="14"/>
        </w:rPr>
        <w:t> </w:t>
      </w:r>
      <w:r>
        <w:rPr>
          <w:color w:val="231F20"/>
        </w:rPr>
        <w:t>2014</w:t>
      </w:r>
      <w:r>
        <w:rPr>
          <w:color w:val="231F20"/>
          <w:spacing w:val="14"/>
        </w:rPr>
        <w:t> </w:t>
      </w:r>
      <w:r>
        <w:rPr>
          <w:color w:val="231F20"/>
        </w:rPr>
        <w:t>soient</w:t>
      </w:r>
      <w:r>
        <w:rPr>
          <w:color w:val="231F20"/>
          <w:spacing w:val="14"/>
        </w:rPr>
        <w:t> </w:t>
      </w:r>
      <w:r>
        <w:rPr>
          <w:color w:val="231F20"/>
        </w:rPr>
        <w:t>remplies,</w:t>
      </w:r>
      <w:r>
        <w:rPr>
          <w:color w:val="231F20"/>
          <w:spacing w:val="15"/>
        </w:rPr>
        <w:t> </w:t>
      </w:r>
      <w:r>
        <w:rPr>
          <w:color w:val="231F20"/>
        </w:rPr>
        <w:t>et</w:t>
      </w:r>
    </w:p>
    <w:p>
      <w:pPr>
        <w:pStyle w:val="BodyText"/>
        <w:spacing w:line="218" w:lineRule="auto" w:before="96"/>
        <w:ind w:right="38"/>
      </w:pPr>
      <w:r>
        <w:rPr>
          <w:color w:val="231F20"/>
        </w:rPr>
        <w:t>2° l’augmentation de capital soit nécessaire pour éviter le déclenche- ment d’une procédure de résolution dans les conditions énoncées aux articles 244 et 454 de la loi précitée du 25 avril 2014.</w:t>
      </w:r>
    </w:p>
    <w:p>
      <w:pPr>
        <w:pStyle w:val="BodyText"/>
        <w:spacing w:before="3"/>
        <w:ind w:left="0" w:right="0" w:firstLine="0"/>
        <w:jc w:val="left"/>
        <w:rPr>
          <w:sz w:val="24"/>
        </w:rPr>
      </w:pPr>
    </w:p>
    <w:p>
      <w:pPr>
        <w:pStyle w:val="BodyText"/>
        <w:spacing w:line="213" w:lineRule="auto"/>
        <w:ind w:right="38"/>
      </w:pPr>
      <w:r>
        <w:rPr>
          <w:color w:val="231F20"/>
        </w:rPr>
        <w:t>Dans ce cas, les actionnaires ne peuvent pas exercer le droit</w:t>
      </w:r>
      <w:r>
        <w:rPr>
          <w:color w:val="231F20"/>
          <w:spacing w:val="-12"/>
        </w:rPr>
        <w:t> </w:t>
      </w:r>
      <w:r>
        <w:rPr>
          <w:color w:val="231F20"/>
        </w:rPr>
        <w:t>d’inscrire d’autres points à l’ordre du jour de l’assemblée générale, il ne peut pas  y avoir de révision de l’agenda et les dispositions du paragraphe 1</w:t>
      </w:r>
      <w:r>
        <w:rPr>
          <w:color w:val="231F20"/>
          <w:position w:val="7"/>
          <w:sz w:val="11"/>
        </w:rPr>
        <w:t>er </w:t>
      </w:r>
      <w:r>
        <w:rPr>
          <w:color w:val="231F20"/>
        </w:rPr>
        <w:t>ne sont pas</w:t>
      </w:r>
      <w:r>
        <w:rPr>
          <w:color w:val="231F20"/>
          <w:spacing w:val="-11"/>
        </w:rPr>
        <w:t> </w:t>
      </w:r>
      <w:r>
        <w:rPr>
          <w:color w:val="231F20"/>
        </w:rPr>
        <w:t>d’application.</w:t>
      </w:r>
    </w:p>
    <w:p>
      <w:pPr>
        <w:pStyle w:val="BodyText"/>
        <w:spacing w:line="218" w:lineRule="auto" w:before="78"/>
        <w:ind w:right="38"/>
      </w:pPr>
      <w:r>
        <w:rPr>
          <w:color w:val="231F20"/>
        </w:rPr>
        <w:t>Art. 7:129. § 1</w:t>
      </w:r>
      <w:r>
        <w:rPr>
          <w:color w:val="231F20"/>
          <w:position w:val="7"/>
          <w:sz w:val="11"/>
        </w:rPr>
        <w:t>er</w:t>
      </w:r>
      <w:r>
        <w:rPr>
          <w:color w:val="231F20"/>
        </w:rPr>
        <w:t>. La convocation de toute assemblée générale d’une société non cotée mentionne le lieu, la date et l’heure de l’assemblée générale, ainsi que l’ordre du jour contenant l’indication des sujets à traiter.</w:t>
      </w:r>
    </w:p>
    <w:p>
      <w:pPr>
        <w:pStyle w:val="BodyText"/>
        <w:spacing w:line="218" w:lineRule="auto" w:before="97"/>
        <w:ind w:right="38"/>
      </w:pPr>
      <w:r>
        <w:rPr>
          <w:color w:val="231F20"/>
        </w:rPr>
        <w:t>§ 2. La convocation de toute assemblée générale d’une société cotée contient au moins les éléments d’information suivants:</w:t>
      </w:r>
    </w:p>
    <w:p>
      <w:pPr>
        <w:pStyle w:val="BodyText"/>
        <w:spacing w:line="218" w:lineRule="auto" w:before="96"/>
        <w:ind w:right="39"/>
      </w:pPr>
      <w:r>
        <w:rPr>
          <w:color w:val="231F20"/>
        </w:rPr>
        <w:t>1° l’indication de la date, de l’heure et du lieu de l’assemblée  générale;</w:t>
      </w:r>
    </w:p>
    <w:p>
      <w:pPr>
        <w:pStyle w:val="BodyText"/>
        <w:spacing w:line="218" w:lineRule="auto" w:before="96"/>
        <w:ind w:right="38"/>
      </w:pPr>
      <w:r>
        <w:rPr>
          <w:color w:val="231F20"/>
        </w:rPr>
        <w:t>2° l’ordre du jour contenant l’indication des sujets à traiter ainsi que les propositions de décision;</w:t>
      </w:r>
    </w:p>
    <w:p>
      <w:pPr>
        <w:pStyle w:val="BodyText"/>
        <w:spacing w:line="218" w:lineRule="auto" w:before="96"/>
        <w:ind w:right="38"/>
      </w:pPr>
      <w:r>
        <w:rPr>
          <w:color w:val="231F20"/>
        </w:rPr>
        <w:t>3° le cas échéant, la proposition du comité d’audit relative à la nomination d’un commissaire ou d’un réviseur d’entreprises chargé du contrôle des comptes consolidés;</w:t>
      </w:r>
    </w:p>
    <w:p>
      <w:pPr>
        <w:pStyle w:val="BodyText"/>
        <w:spacing w:line="218" w:lineRule="auto" w:before="96"/>
        <w:ind w:right="38"/>
      </w:pPr>
      <w:r>
        <w:rPr>
          <w:color w:val="231F20"/>
        </w:rPr>
        <w:t>4° une description claire et précise des formalités à accomplir par les titulaires d’actions, de parts bénéficiaires, d’obligations convertibles, de droits de souscription ou de certificats émis avec la collaboration de la société, pour être admis à l’assemblée générale et y exercer leur droit de vote, spécialement le délai dans lequel ces titulaires de titres doivent indiquer leur intention de participer à l’assemblée, ainsi que des informations concernant:</w:t>
      </w:r>
    </w:p>
    <w:p>
      <w:pPr>
        <w:pStyle w:val="BodyText"/>
        <w:spacing w:before="8"/>
        <w:ind w:left="0" w:right="0" w:firstLine="0"/>
        <w:jc w:val="left"/>
        <w:rPr>
          <w:sz w:val="23"/>
        </w:rPr>
      </w:pPr>
    </w:p>
    <w:p>
      <w:pPr>
        <w:pStyle w:val="BodyText"/>
        <w:spacing w:line="218" w:lineRule="auto" w:before="1"/>
        <w:ind w:right="38"/>
      </w:pPr>
      <w:r>
        <w:rPr>
          <w:rFonts w:ascii="Times New Roman" w:hAnsi="Times New Roman"/>
          <w:i/>
          <w:color w:val="231F20"/>
        </w:rPr>
        <w:t>a) </w:t>
      </w:r>
      <w:r>
        <w:rPr>
          <w:color w:val="231F20"/>
        </w:rPr>
        <w:t>le droit des actionnaires de faire porter des sujets à l’ordre du jour de l’assemblée générale conformément à l’article 7:130, le droit des actionnaires de poser des questions lors d’une assemblée générale et de poser ces questions préalablement par écrit à l’adresse électronique de la société ou à une adresse électronique spécifique indiquée à cet effet</w:t>
      </w:r>
    </w:p>
    <w:p>
      <w:pPr>
        <w:pStyle w:val="BodyText"/>
        <w:spacing w:line="218" w:lineRule="auto" w:before="119"/>
      </w:pPr>
      <w:r>
        <w:rPr/>
        <w:br w:type="column"/>
      </w:r>
      <w:r>
        <w:rPr>
          <w:color w:val="231F20"/>
        </w:rPr>
        <w:t>Art. 7:128. § 1. In een genoteerde vennootschap gebeurt de oproeping door middel van een aankondiging die ten minste dertig dagen vóór de vergadering wordt geplaatst:</w:t>
      </w:r>
    </w:p>
    <w:p>
      <w:pPr>
        <w:spacing w:before="69"/>
        <w:ind w:left="283" w:right="0" w:firstLine="0"/>
        <w:jc w:val="left"/>
        <w:rPr>
          <w:sz w:val="17"/>
        </w:rPr>
      </w:pPr>
      <w:r>
        <w:rPr>
          <w:color w:val="231F20"/>
          <w:sz w:val="17"/>
        </w:rPr>
        <w:t>1° in het </w:t>
      </w:r>
      <w:r>
        <w:rPr>
          <w:rFonts w:ascii="Times New Roman" w:hAnsi="Times New Roman"/>
          <w:i/>
          <w:color w:val="231F20"/>
          <w:sz w:val="17"/>
        </w:rPr>
        <w:t>Belgisch Staatsblad</w:t>
      </w:r>
      <w:r>
        <w:rPr>
          <w:color w:val="231F20"/>
          <w:sz w:val="17"/>
        </w:rPr>
        <w:t>;</w:t>
      </w:r>
    </w:p>
    <w:p>
      <w:pPr>
        <w:pStyle w:val="BodyText"/>
        <w:spacing w:line="218" w:lineRule="auto" w:before="82"/>
      </w:pPr>
      <w:r>
        <w:rPr>
          <w:color w:val="231F20"/>
        </w:rPr>
        <w:t>2° in een nationaal verspreid blad, op papier of elektronisch, behalve voor de gewone algemene vergaderingen die plaatsvinden in de gemeente, op de plaats, de dag en het uur aangeduid in de oprichtings- akte en met een agenda die zich beperkt tot de behandeling en goedkeuring van de jaarrekening, het jaarverslag en het verslag van de commissaris, het remuneratieverslag en de vertrekvergoeding voor uitvoerende bestuurders bedoeld in 7:92, eerste lid, en de stemming over de aan de bestuurders en aan de commissaris te verlenen kwijting;</w:t>
      </w:r>
    </w:p>
    <w:p>
      <w:pPr>
        <w:pStyle w:val="BodyText"/>
        <w:spacing w:line="218" w:lineRule="auto" w:before="86"/>
      </w:pPr>
      <w:r>
        <w:rPr>
          <w:color w:val="231F20"/>
        </w:rPr>
        <w:t>3° in media waarvan redelijkerwijze mag worden aangenomen dat zij kunnen zorgen voor een doeltreffende verspreiding van de informatie bij het publiek in de Europese Economische Ruimte en die snel en op niet-discriminerende wijze toegankelijk is;</w:t>
      </w:r>
    </w:p>
    <w:p>
      <w:pPr>
        <w:pStyle w:val="BodyText"/>
        <w:spacing w:before="72"/>
        <w:ind w:left="283" w:right="0" w:firstLine="0"/>
        <w:jc w:val="left"/>
      </w:pPr>
      <w:r>
        <w:rPr>
          <w:color w:val="231F20"/>
        </w:rPr>
        <w:t>4° op de vennootschapswebsite.</w:t>
      </w:r>
    </w:p>
    <w:p>
      <w:pPr>
        <w:pStyle w:val="BodyText"/>
        <w:spacing w:line="218" w:lineRule="auto" w:before="82"/>
      </w:pPr>
      <w:r>
        <w:rPr>
          <w:color w:val="231F20"/>
        </w:rPr>
        <w:t>Ingeval een nieuwe oproeping nodig is omdat het bij de eerste oproeping vereiste aanwezigheidsquorum niet is gehaald en mits de datum van de tweede vergadering in de eerste oproeping is vermeld en er geen nieuw punt op de agenda is geplaatst, wordt de in het eerste lid bedoelde termijn op minstens zeventien dagen vóór de vergadering gebracht.</w:t>
      </w:r>
    </w:p>
    <w:p>
      <w:pPr>
        <w:pStyle w:val="BodyText"/>
        <w:spacing w:line="218" w:lineRule="auto" w:before="86"/>
      </w:pPr>
      <w:r>
        <w:rPr>
          <w:color w:val="231F20"/>
        </w:rPr>
        <w:t>De oproeping wordt binnen de in het eerste of tweede lid bedoelde oproepingstermijn meegedeeld overeenkomstig artikel 2:32 aan de houders van aandelen op naam, van converteerbare obligaties op naam of van inschrijvingsrechten op naam, aan de houders van certificaten</w:t>
      </w:r>
      <w:r>
        <w:rPr>
          <w:color w:val="231F20"/>
          <w:spacing w:val="-23"/>
        </w:rPr>
        <w:t> </w:t>
      </w:r>
      <w:r>
        <w:rPr>
          <w:color w:val="231F20"/>
        </w:rPr>
        <w:t>op naam die met medewerking van de vennootschap zijn uitgegeven, aan de</w:t>
      </w:r>
      <w:r>
        <w:rPr>
          <w:color w:val="231F20"/>
          <w:spacing w:val="15"/>
        </w:rPr>
        <w:t> </w:t>
      </w:r>
      <w:r>
        <w:rPr>
          <w:color w:val="231F20"/>
        </w:rPr>
        <w:t>bestuurders</w:t>
      </w:r>
      <w:r>
        <w:rPr>
          <w:color w:val="231F20"/>
          <w:spacing w:val="15"/>
        </w:rPr>
        <w:t> </w:t>
      </w:r>
      <w:r>
        <w:rPr>
          <w:color w:val="231F20"/>
        </w:rPr>
        <w:t>en</w:t>
      </w:r>
      <w:r>
        <w:rPr>
          <w:color w:val="231F20"/>
          <w:spacing w:val="15"/>
        </w:rPr>
        <w:t> </w:t>
      </w:r>
      <w:r>
        <w:rPr>
          <w:color w:val="231F20"/>
        </w:rPr>
        <w:t>aan</w:t>
      </w:r>
      <w:r>
        <w:rPr>
          <w:color w:val="231F20"/>
          <w:spacing w:val="15"/>
        </w:rPr>
        <w:t> </w:t>
      </w:r>
      <w:r>
        <w:rPr>
          <w:color w:val="231F20"/>
        </w:rPr>
        <w:t>de</w:t>
      </w:r>
      <w:r>
        <w:rPr>
          <w:color w:val="231F20"/>
          <w:spacing w:val="15"/>
        </w:rPr>
        <w:t> </w:t>
      </w:r>
      <w:r>
        <w:rPr>
          <w:color w:val="231F20"/>
        </w:rPr>
        <w:t>commissaris.</w:t>
      </w:r>
    </w:p>
    <w:p>
      <w:pPr>
        <w:pStyle w:val="BodyText"/>
        <w:spacing w:line="218" w:lineRule="auto" w:before="85"/>
      </w:pPr>
      <w:r>
        <w:rPr>
          <w:color w:val="231F20"/>
        </w:rPr>
        <w:t>De vennootschap mag de aandeelhouders geen bijzondere kosten aanrekenen voor de bijeenroeping van de algemene vergadering.</w:t>
      </w:r>
    </w:p>
    <w:p>
      <w:pPr>
        <w:pStyle w:val="BodyText"/>
        <w:spacing w:line="218" w:lineRule="auto" w:before="86"/>
        <w:ind w:right="123"/>
      </w:pPr>
      <w:r>
        <w:rPr>
          <w:color w:val="231F20"/>
        </w:rPr>
        <w:t>§ 2. </w:t>
      </w:r>
      <w:r>
        <w:rPr>
          <w:color w:val="231F20"/>
          <w:spacing w:val="-5"/>
        </w:rPr>
        <w:t>Voor </w:t>
      </w:r>
      <w:r>
        <w:rPr>
          <w:color w:val="231F20"/>
        </w:rPr>
        <w:t>de toepassing van de wet van 25 april 2014 op het statuut van en het toezicht op kredietinstellingen en beursvennootschappen, wat het herstel van kredietinstellingen en beursvennootschappen betreft, kan de algemene vergadering met twee derde van het aantal geldig uitgebrachte stemmen bepalen dat de statuten voorschrijven, of de statuten in die zin wijzigen dat zij voorschrijven, dat de oproeping tot de algemene vergadering om een besluit te nemen over een kapitaalverhoging plaatsvindt binnen tien tot vijftien dagen vóór</w:t>
      </w:r>
      <w:r>
        <w:rPr>
          <w:color w:val="231F20"/>
          <w:spacing w:val="33"/>
        </w:rPr>
        <w:t> </w:t>
      </w:r>
      <w:r>
        <w:rPr>
          <w:color w:val="231F20"/>
        </w:rPr>
        <w:t>de vergadering,</w:t>
      </w:r>
      <w:r>
        <w:rPr>
          <w:color w:val="231F20"/>
          <w:spacing w:val="15"/>
        </w:rPr>
        <w:t> </w:t>
      </w:r>
      <w:r>
        <w:rPr>
          <w:color w:val="231F20"/>
        </w:rPr>
        <w:t>mits:</w:t>
      </w:r>
    </w:p>
    <w:p>
      <w:pPr>
        <w:pStyle w:val="BodyText"/>
        <w:spacing w:line="218" w:lineRule="auto" w:before="97"/>
        <w:ind w:right="125"/>
      </w:pPr>
      <w:r>
        <w:rPr>
          <w:color w:val="231F20"/>
        </w:rPr>
        <w:t>1° aan de voorwaarden van artikel 234, 235 of 236 van voornoemde wet van 25 april 2014 is voldaan, en</w:t>
      </w:r>
    </w:p>
    <w:p>
      <w:pPr>
        <w:pStyle w:val="BodyText"/>
        <w:spacing w:line="218" w:lineRule="auto" w:before="96"/>
      </w:pPr>
      <w:r>
        <w:rPr>
          <w:color w:val="231F20"/>
        </w:rPr>
        <w:t>2° de kapitaalverhoging noodzakelijk is om te vermijden dat een afwikkelingsprocedure op basis van de in de artikelen 244 en 454 van voornoemde wet van 25 april 2014 bedoelde afwikkelingsvoorwaarden een aanvang neemt.</w:t>
      </w:r>
    </w:p>
    <w:p>
      <w:pPr>
        <w:pStyle w:val="BodyText"/>
        <w:spacing w:line="218" w:lineRule="auto" w:before="96"/>
      </w:pPr>
      <w:r>
        <w:rPr>
          <w:color w:val="231F20"/>
        </w:rPr>
        <w:t>In dat geval hebben de aandeelhouders geen recht om andere punten op de agenda van die algemene vergadering te plaatsen, kan geen herziening van de agenda plaatsvinden en is het bepaalde in  para- graaf 1 niet van</w:t>
      </w:r>
      <w:r>
        <w:rPr>
          <w:color w:val="231F20"/>
          <w:spacing w:val="20"/>
        </w:rPr>
        <w:t> </w:t>
      </w:r>
      <w:r>
        <w:rPr>
          <w:color w:val="231F20"/>
        </w:rPr>
        <w:t>toepassing.</w:t>
      </w:r>
    </w:p>
    <w:p>
      <w:pPr>
        <w:pStyle w:val="BodyText"/>
        <w:spacing w:line="218" w:lineRule="auto" w:before="96"/>
      </w:pPr>
      <w:r>
        <w:rPr>
          <w:color w:val="231F20"/>
        </w:rPr>
        <w:t>Art. 7:129. § 1. De oproeping tot een algemene vergadering van een niet genoteerde vennootschap vermeldt de plaats waar en de datum en het uur waarop de algemene vergadering plaatsvindt, en  de</w:t>
      </w:r>
      <w:r>
        <w:rPr>
          <w:color w:val="231F20"/>
          <w:spacing w:val="27"/>
        </w:rPr>
        <w:t> </w:t>
      </w:r>
      <w:r>
        <w:rPr>
          <w:color w:val="231F20"/>
        </w:rPr>
        <w:t>agenda met</w:t>
      </w:r>
      <w:r>
        <w:rPr>
          <w:color w:val="231F20"/>
          <w:spacing w:val="16"/>
        </w:rPr>
        <w:t> </w:t>
      </w:r>
      <w:r>
        <w:rPr>
          <w:color w:val="231F20"/>
        </w:rPr>
        <w:t>opgave</w:t>
      </w:r>
      <w:r>
        <w:rPr>
          <w:color w:val="231F20"/>
          <w:spacing w:val="16"/>
        </w:rPr>
        <w:t> </w:t>
      </w:r>
      <w:r>
        <w:rPr>
          <w:color w:val="231F20"/>
        </w:rPr>
        <w:t>van</w:t>
      </w:r>
      <w:r>
        <w:rPr>
          <w:color w:val="231F20"/>
          <w:spacing w:val="16"/>
        </w:rPr>
        <w:t> </w:t>
      </w:r>
      <w:r>
        <w:rPr>
          <w:color w:val="231F20"/>
        </w:rPr>
        <w:t>te</w:t>
      </w:r>
      <w:r>
        <w:rPr>
          <w:color w:val="231F20"/>
          <w:spacing w:val="17"/>
        </w:rPr>
        <w:t> </w:t>
      </w:r>
      <w:r>
        <w:rPr>
          <w:color w:val="231F20"/>
        </w:rPr>
        <w:t>behandelen</w:t>
      </w:r>
      <w:r>
        <w:rPr>
          <w:color w:val="231F20"/>
          <w:spacing w:val="16"/>
        </w:rPr>
        <w:t> </w:t>
      </w:r>
      <w:r>
        <w:rPr>
          <w:color w:val="231F20"/>
        </w:rPr>
        <w:t>onderwerpen.</w:t>
      </w:r>
    </w:p>
    <w:p>
      <w:pPr>
        <w:pStyle w:val="BodyText"/>
        <w:spacing w:line="218" w:lineRule="auto" w:before="97"/>
      </w:pPr>
      <w:r>
        <w:rPr>
          <w:color w:val="231F20"/>
        </w:rPr>
        <w:t>§ 2. De oproeping tot een algemene vergadering van een genoteerde vennootschap bevat ten minste de volgende gegevens:</w:t>
      </w:r>
    </w:p>
    <w:p>
      <w:pPr>
        <w:pStyle w:val="BodyText"/>
        <w:spacing w:line="218" w:lineRule="auto" w:before="96"/>
      </w:pPr>
      <w:r>
        <w:rPr>
          <w:color w:val="231F20"/>
        </w:rPr>
        <w:t>1° de vermelding van de plaats waar en de datum en het uur waarop de algemene vergadering plaatsvindt;</w:t>
      </w:r>
    </w:p>
    <w:p>
      <w:pPr>
        <w:pStyle w:val="BodyText"/>
        <w:spacing w:line="218" w:lineRule="auto" w:before="96"/>
      </w:pPr>
      <w:r>
        <w:rPr>
          <w:color w:val="231F20"/>
        </w:rPr>
        <w:t>2° de agenda, met opgave van te behandelen onderwerpen en de voorstellen tot besluit;</w:t>
      </w:r>
    </w:p>
    <w:p>
      <w:pPr>
        <w:pStyle w:val="BodyText"/>
        <w:spacing w:line="218" w:lineRule="auto" w:before="96"/>
      </w:pPr>
      <w:r>
        <w:rPr>
          <w:color w:val="231F20"/>
        </w:rPr>
        <w:t>3° in voorkomend geval, het voorstel van het auditcomité over de benoeming van een commissaris of van een bedrijfsrevisor belast met de controle van de geconsolideerde jaarrekening;</w:t>
      </w:r>
    </w:p>
    <w:p>
      <w:pPr>
        <w:pStyle w:val="BodyText"/>
        <w:spacing w:line="218" w:lineRule="auto" w:before="96"/>
        <w:ind w:right="123"/>
      </w:pPr>
      <w:r>
        <w:rPr>
          <w:color w:val="231F20"/>
        </w:rPr>
        <w:t>4° een heldere en nauwkeurige beschrijving van de formaliteiten die de houders van aandelen, winstbewijzen, converteerbare obligaties, inschrijvingsrechten of met medewerking van de vennootschap uitge- geven certificaten moeten vervullen om te worden toegelaten tot de algemene vergadering en er hun stemrecht uit te oefenen, met name de termijn waarbinnen deze effectenhouders hun voornemen om deel te nemen aan de vergadering kenbaar moeten maken, evenals informatie over:</w:t>
      </w:r>
    </w:p>
    <w:p>
      <w:pPr>
        <w:pStyle w:val="ListParagraph"/>
        <w:numPr>
          <w:ilvl w:val="0"/>
          <w:numId w:val="114"/>
        </w:numPr>
        <w:tabs>
          <w:tab w:pos="475" w:val="left" w:leader="none"/>
        </w:tabs>
        <w:spacing w:line="218" w:lineRule="auto" w:before="94" w:after="0"/>
        <w:ind w:left="113" w:right="124" w:firstLine="170"/>
        <w:jc w:val="both"/>
        <w:rPr>
          <w:sz w:val="17"/>
        </w:rPr>
      </w:pPr>
      <w:r>
        <w:rPr>
          <w:color w:val="231F20"/>
          <w:sz w:val="17"/>
        </w:rPr>
        <w:t>het recht van de aandeelhouders om onderwerpen op de agenda van een algemene vergadering te laten  plaatsen  overeenkomstig artikel 7:130, het recht van de aandeelhouders om vragen te stellen op een algemene vergadering en om deze vragen vooraf schriftelijk te stellen op het e-mailadres van de vennootschap of op een</w:t>
      </w:r>
      <w:r>
        <w:rPr>
          <w:color w:val="231F20"/>
          <w:spacing w:val="19"/>
          <w:sz w:val="17"/>
        </w:rPr>
        <w:t> </w:t>
      </w:r>
      <w:r>
        <w:rPr>
          <w:color w:val="231F20"/>
          <w:sz w:val="17"/>
        </w:rPr>
        <w:t>specifiek</w:t>
      </w:r>
    </w:p>
    <w:p>
      <w:pPr>
        <w:spacing w:after="0" w:line="218" w:lineRule="auto"/>
        <w:jc w:val="both"/>
        <w:rPr>
          <w:sz w:val="17"/>
        </w:rPr>
        <w:sectPr>
          <w:headerReference w:type="even" r:id="rId79"/>
          <w:headerReference w:type="default" r:id="rId80"/>
          <w:pgSz w:w="11940" w:h="16880"/>
          <w:pgMar w:header="666" w:footer="0" w:top="1140" w:bottom="280" w:left="340" w:right="360"/>
          <w:cols w:num="2" w:equalWidth="0">
            <w:col w:w="5527" w:space="100"/>
            <w:col w:w="5613"/>
          </w:cols>
        </w:sectPr>
      </w:pPr>
    </w:p>
    <w:p>
      <w:pPr>
        <w:pStyle w:val="BodyText"/>
        <w:spacing w:line="216" w:lineRule="auto" w:before="121"/>
        <w:ind w:right="38" w:firstLine="0"/>
      </w:pPr>
      <w:r>
        <w:rPr/>
        <w:pict>
          <v:line style="position:absolute;mso-position-horizontal-relative:page;mso-position-vertical-relative:page;z-index:5392" from="298.170502pt,64.473pt" to="298.170502pt,812.819pt" stroked="true" strokeweight=".533pt" strokecolor="#231f20">
            <v:stroke dashstyle="solid"/>
            <w10:wrap type="none"/>
          </v:line>
        </w:pict>
      </w:r>
      <w:bookmarkStart w:name="_bookmark182" w:id="187"/>
      <w:bookmarkEnd w:id="187"/>
      <w:r>
        <w:rPr/>
      </w:r>
      <w:r>
        <w:rPr>
          <w:color w:val="231F20"/>
        </w:rPr>
        <w:t>dans la convocation conformément à l’article 7:139, le délai dans lequel les actionnaires peuvent exercer ces droits et la date à laquelle un ordre du jour complété est, le cas  échéant,  publié  conformément  à  l’arti- cle 7:130, § 3, alinéa 1</w:t>
      </w:r>
      <w:r>
        <w:rPr>
          <w:color w:val="231F20"/>
          <w:position w:val="7"/>
          <w:sz w:val="11"/>
        </w:rPr>
        <w:t>er</w:t>
      </w:r>
      <w:r>
        <w:rPr>
          <w:color w:val="231F20"/>
        </w:rPr>
        <w:t>. La convocation peut être limitée à l’indication de ces délais et de l’adresse électronique à laquelle les questions écrites doivent être adressées, à condition de mentionner que des informations plus détaillées sur ces droits sont disponibles sur le site internet de la société;</w:t>
      </w:r>
    </w:p>
    <w:p>
      <w:pPr>
        <w:pStyle w:val="BodyText"/>
        <w:spacing w:before="8"/>
        <w:ind w:left="0" w:right="0" w:firstLine="0"/>
        <w:jc w:val="left"/>
        <w:rPr>
          <w:sz w:val="22"/>
        </w:rPr>
      </w:pPr>
    </w:p>
    <w:p>
      <w:pPr>
        <w:pStyle w:val="ListParagraph"/>
        <w:numPr>
          <w:ilvl w:val="0"/>
          <w:numId w:val="114"/>
        </w:numPr>
        <w:tabs>
          <w:tab w:pos="479" w:val="left" w:leader="none"/>
        </w:tabs>
        <w:spacing w:line="218" w:lineRule="auto" w:before="0" w:after="0"/>
        <w:ind w:left="113" w:right="38" w:firstLine="170"/>
        <w:jc w:val="both"/>
        <w:rPr>
          <w:sz w:val="17"/>
        </w:rPr>
      </w:pPr>
      <w:r>
        <w:rPr>
          <w:color w:val="231F20"/>
          <w:sz w:val="17"/>
        </w:rPr>
        <w:t>la procédure à suivre pour voter par procuration, notamment un modèle de procuration, les modalités selon lesquelles la société est prête à accepter une notification par voie électronique de désignation d’un mandataire ainsi que le délai dans lequel la procuration doit être communiquée à la société;</w:t>
      </w:r>
      <w:r>
        <w:rPr>
          <w:color w:val="231F20"/>
          <w:spacing w:val="18"/>
          <w:sz w:val="17"/>
        </w:rPr>
        <w:t> </w:t>
      </w:r>
      <w:r>
        <w:rPr>
          <w:color w:val="231F20"/>
          <w:sz w:val="17"/>
        </w:rPr>
        <w:t>et,</w:t>
      </w:r>
    </w:p>
    <w:p>
      <w:pPr>
        <w:pStyle w:val="ListParagraph"/>
        <w:numPr>
          <w:ilvl w:val="0"/>
          <w:numId w:val="114"/>
        </w:numPr>
        <w:tabs>
          <w:tab w:pos="463" w:val="left" w:leader="none"/>
        </w:tabs>
        <w:spacing w:line="218" w:lineRule="auto" w:before="83" w:after="0"/>
        <w:ind w:left="113" w:right="38" w:firstLine="170"/>
        <w:jc w:val="both"/>
        <w:rPr>
          <w:sz w:val="17"/>
        </w:rPr>
      </w:pPr>
      <w:r>
        <w:rPr>
          <w:color w:val="231F20"/>
          <w:sz w:val="17"/>
        </w:rPr>
        <w:t>le cas échéant, les procédures et délais établis par ou en vertu des statuts, permettant de participer à distance à l’assemblée générale conformément à l’article 7:137, et de voter à distance avant l’assemblée conformément à l’article</w:t>
      </w:r>
      <w:r>
        <w:rPr>
          <w:color w:val="231F20"/>
          <w:spacing w:val="2"/>
          <w:sz w:val="17"/>
        </w:rPr>
        <w:t> </w:t>
      </w:r>
      <w:r>
        <w:rPr>
          <w:color w:val="231F20"/>
          <w:sz w:val="17"/>
        </w:rPr>
        <w:t>7:146;</w:t>
      </w:r>
    </w:p>
    <w:p>
      <w:pPr>
        <w:pStyle w:val="BodyText"/>
        <w:spacing w:line="218" w:lineRule="auto" w:before="86"/>
        <w:ind w:right="38"/>
      </w:pPr>
      <w:r>
        <w:rPr>
          <w:color w:val="231F20"/>
        </w:rPr>
        <w:t>5° l’indication de la date d’enregistrement telle que  définie  à  l’article 7:134, § 2, ainsi que l’indication que seules les personnes qui sont actionnaires à cette date auront le droit de participer et de voter à l’assemblée</w:t>
      </w:r>
      <w:r>
        <w:rPr>
          <w:color w:val="231F20"/>
          <w:spacing w:val="14"/>
        </w:rPr>
        <w:t> </w:t>
      </w:r>
      <w:r>
        <w:rPr>
          <w:color w:val="231F20"/>
        </w:rPr>
        <w:t>générale;</w:t>
      </w:r>
    </w:p>
    <w:p>
      <w:pPr>
        <w:pStyle w:val="BodyText"/>
        <w:spacing w:line="218" w:lineRule="auto" w:before="86"/>
        <w:ind w:right="38"/>
      </w:pPr>
      <w:r>
        <w:rPr>
          <w:color w:val="231F20"/>
        </w:rPr>
        <w:t>6° l’indication de l’adresse où il est possible d’obtenir, conformément à l’article 7:132, alinéa 3, le texte intégral des documents et des propositions de décision visés au paragraphe 3, </w:t>
      </w:r>
      <w:r>
        <w:rPr>
          <w:rFonts w:ascii="Times New Roman" w:hAnsi="Times New Roman"/>
          <w:i/>
          <w:color w:val="231F20"/>
        </w:rPr>
        <w:t>c)</w:t>
      </w:r>
      <w:r>
        <w:rPr>
          <w:color w:val="231F20"/>
        </w:rPr>
        <w:t>, </w:t>
      </w:r>
      <w:r>
        <w:rPr>
          <w:rFonts w:ascii="Times New Roman" w:hAnsi="Times New Roman"/>
          <w:i/>
          <w:color w:val="231F20"/>
        </w:rPr>
        <w:t>d) </w:t>
      </w:r>
      <w:r>
        <w:rPr>
          <w:color w:val="231F20"/>
        </w:rPr>
        <w:t>et </w:t>
      </w:r>
      <w:r>
        <w:rPr>
          <w:rFonts w:ascii="Times New Roman" w:hAnsi="Times New Roman"/>
          <w:i/>
          <w:color w:val="231F20"/>
        </w:rPr>
        <w:t>e)</w:t>
      </w:r>
      <w:r>
        <w:rPr>
          <w:color w:val="231F20"/>
        </w:rPr>
        <w:t>, ainsi que des démarches à effectuer à cet effet;</w:t>
      </w:r>
    </w:p>
    <w:p>
      <w:pPr>
        <w:pStyle w:val="BodyText"/>
        <w:spacing w:line="218" w:lineRule="auto" w:before="83"/>
        <w:ind w:right="41"/>
      </w:pPr>
      <w:r>
        <w:rPr>
          <w:color w:val="231F20"/>
        </w:rPr>
        <w:t>7° l’indication du site internet de la société, sur lequel cette dernière met les informations visées au paragraphe 3 à disposition.</w:t>
      </w:r>
    </w:p>
    <w:p>
      <w:pPr>
        <w:pStyle w:val="BodyText"/>
        <w:spacing w:line="218" w:lineRule="auto" w:before="85"/>
        <w:ind w:right="38"/>
      </w:pPr>
      <w:r>
        <w:rPr>
          <w:color w:val="231F20"/>
        </w:rPr>
        <w:t>§ 3. À compter du jour de la publication de la convocation à l’assemblée générale jusqu’au jour de l’assemblée générale, une société cotée met à disposition, sur le site internet de la société, au moins les informations suivantes:</w:t>
      </w:r>
    </w:p>
    <w:p>
      <w:pPr>
        <w:pStyle w:val="BodyText"/>
        <w:spacing w:line="218" w:lineRule="auto" w:before="96"/>
        <w:ind w:right="38"/>
      </w:pPr>
      <w:r>
        <w:rPr>
          <w:color w:val="231F20"/>
        </w:rPr>
        <w:t>1° la convocation visée au paragraphe 2, ainsi que, le cas échéant, l’ordre du jour publié conformément à l’article 7:130, § 3;</w:t>
      </w:r>
    </w:p>
    <w:p>
      <w:pPr>
        <w:pStyle w:val="BodyText"/>
        <w:spacing w:line="218" w:lineRule="auto" w:before="96"/>
        <w:ind w:right="38"/>
      </w:pPr>
      <w:r>
        <w:rPr>
          <w:color w:val="231F20"/>
        </w:rPr>
        <w:t>2° le nombre total d’actions et de droits de vote à la date de la convocation, y compris des totaux distincts pour chaque classe d’actions, lorsque le capital de la société est divisé en deux classes d’actions ou plus;</w:t>
      </w:r>
    </w:p>
    <w:p>
      <w:pPr>
        <w:pStyle w:val="BodyText"/>
        <w:spacing w:line="270" w:lineRule="atLeast" w:before="6"/>
        <w:ind w:left="283" w:right="38" w:hanging="1"/>
        <w:jc w:val="left"/>
      </w:pPr>
      <w:r>
        <w:rPr>
          <w:color w:val="231F20"/>
        </w:rPr>
        <w:t>3° les documents destinés à être présentés à l’assemblée générale;    4°</w:t>
      </w:r>
      <w:r>
        <w:rPr>
          <w:color w:val="231F20"/>
          <w:spacing w:val="9"/>
        </w:rPr>
        <w:t> </w:t>
      </w:r>
      <w:r>
        <w:rPr>
          <w:color w:val="231F20"/>
        </w:rPr>
        <w:t>pour</w:t>
      </w:r>
      <w:r>
        <w:rPr>
          <w:color w:val="231F20"/>
          <w:spacing w:val="9"/>
        </w:rPr>
        <w:t> </w:t>
      </w:r>
      <w:r>
        <w:rPr>
          <w:color w:val="231F20"/>
        </w:rPr>
        <w:t>chaque</w:t>
      </w:r>
      <w:r>
        <w:rPr>
          <w:color w:val="231F20"/>
          <w:spacing w:val="9"/>
        </w:rPr>
        <w:t> </w:t>
      </w:r>
      <w:r>
        <w:rPr>
          <w:color w:val="231F20"/>
        </w:rPr>
        <w:t>sujet</w:t>
      </w:r>
      <w:r>
        <w:rPr>
          <w:color w:val="231F20"/>
          <w:spacing w:val="9"/>
        </w:rPr>
        <w:t> </w:t>
      </w:r>
      <w:r>
        <w:rPr>
          <w:color w:val="231F20"/>
        </w:rPr>
        <w:t>à</w:t>
      </w:r>
      <w:r>
        <w:rPr>
          <w:color w:val="231F20"/>
          <w:spacing w:val="9"/>
        </w:rPr>
        <w:t> </w:t>
      </w:r>
      <w:r>
        <w:rPr>
          <w:color w:val="231F20"/>
        </w:rPr>
        <w:t>traiter</w:t>
      </w:r>
      <w:r>
        <w:rPr>
          <w:color w:val="231F20"/>
          <w:spacing w:val="9"/>
        </w:rPr>
        <w:t> </w:t>
      </w:r>
      <w:r>
        <w:rPr>
          <w:color w:val="231F20"/>
        </w:rPr>
        <w:t>inscrit</w:t>
      </w:r>
      <w:r>
        <w:rPr>
          <w:color w:val="231F20"/>
          <w:spacing w:val="9"/>
        </w:rPr>
        <w:t> </w:t>
      </w:r>
      <w:r>
        <w:rPr>
          <w:color w:val="231F20"/>
        </w:rPr>
        <w:t>à</w:t>
      </w:r>
      <w:r>
        <w:rPr>
          <w:color w:val="231F20"/>
          <w:spacing w:val="9"/>
        </w:rPr>
        <w:t> </w:t>
      </w:r>
      <w:r>
        <w:rPr>
          <w:color w:val="231F20"/>
        </w:rPr>
        <w:t>l’ordre</w:t>
      </w:r>
      <w:r>
        <w:rPr>
          <w:color w:val="231F20"/>
          <w:spacing w:val="10"/>
        </w:rPr>
        <w:t> </w:t>
      </w:r>
      <w:r>
        <w:rPr>
          <w:color w:val="231F20"/>
        </w:rPr>
        <w:t>du</w:t>
      </w:r>
      <w:r>
        <w:rPr>
          <w:color w:val="231F20"/>
          <w:spacing w:val="9"/>
        </w:rPr>
        <w:t> </w:t>
      </w:r>
      <w:r>
        <w:rPr>
          <w:color w:val="231F20"/>
        </w:rPr>
        <w:t>jour</w:t>
      </w:r>
      <w:r>
        <w:rPr>
          <w:color w:val="231F20"/>
          <w:spacing w:val="9"/>
        </w:rPr>
        <w:t> </w:t>
      </w:r>
      <w:r>
        <w:rPr>
          <w:color w:val="231F20"/>
        </w:rPr>
        <w:t>de</w:t>
      </w:r>
      <w:r>
        <w:rPr>
          <w:color w:val="231F20"/>
          <w:spacing w:val="9"/>
        </w:rPr>
        <w:t> </w:t>
      </w:r>
      <w:r>
        <w:rPr>
          <w:color w:val="231F20"/>
        </w:rPr>
        <w:t>l’assemblée</w:t>
      </w:r>
    </w:p>
    <w:p>
      <w:pPr>
        <w:pStyle w:val="BodyText"/>
        <w:spacing w:line="218" w:lineRule="auto"/>
        <w:ind w:right="38" w:hanging="1"/>
      </w:pPr>
      <w:r>
        <w:rPr>
          <w:color w:val="231F20"/>
        </w:rPr>
        <w:t>générale, une proposition de décision ou, lorsque le sujet à traiter ne requiert pas l’adoption d’une décision, un commentaire émanant de l’organe d’administration;</w:t>
      </w:r>
    </w:p>
    <w:p>
      <w:pPr>
        <w:pStyle w:val="BodyText"/>
        <w:spacing w:line="218" w:lineRule="auto" w:before="95"/>
        <w:ind w:right="38"/>
      </w:pPr>
      <w:r>
        <w:rPr>
          <w:color w:val="231F20"/>
        </w:rPr>
        <w:t>5° les formulaires permettant de voter par procuration et, le cas échéant, de voter par correspondance, sauf si la société adresse ces formulaires directement à chaque actionnaire.</w:t>
      </w:r>
    </w:p>
    <w:p>
      <w:pPr>
        <w:pStyle w:val="BodyText"/>
        <w:spacing w:line="218" w:lineRule="auto" w:before="81"/>
        <w:ind w:right="38"/>
      </w:pPr>
      <w:r>
        <w:rPr>
          <w:color w:val="231F20"/>
        </w:rPr>
        <w:t>Pour</w:t>
      </w:r>
      <w:r>
        <w:rPr>
          <w:color w:val="231F20"/>
          <w:spacing w:val="-4"/>
        </w:rPr>
        <w:t> </w:t>
      </w:r>
      <w:r>
        <w:rPr>
          <w:color w:val="231F20"/>
        </w:rPr>
        <w:t>les</w:t>
      </w:r>
      <w:r>
        <w:rPr>
          <w:color w:val="231F20"/>
          <w:spacing w:val="-3"/>
        </w:rPr>
        <w:t> </w:t>
      </w:r>
      <w:r>
        <w:rPr>
          <w:color w:val="231F20"/>
        </w:rPr>
        <w:t>informations</w:t>
      </w:r>
      <w:r>
        <w:rPr>
          <w:color w:val="231F20"/>
          <w:spacing w:val="-3"/>
        </w:rPr>
        <w:t> </w:t>
      </w:r>
      <w:r>
        <w:rPr>
          <w:color w:val="231F20"/>
        </w:rPr>
        <w:t>visées</w:t>
      </w:r>
      <w:r>
        <w:rPr>
          <w:color w:val="231F20"/>
          <w:spacing w:val="-3"/>
        </w:rPr>
        <w:t> </w:t>
      </w:r>
      <w:r>
        <w:rPr>
          <w:color w:val="231F20"/>
        </w:rPr>
        <w:t>à</w:t>
      </w:r>
      <w:r>
        <w:rPr>
          <w:color w:val="231F20"/>
          <w:spacing w:val="-3"/>
        </w:rPr>
        <w:t> </w:t>
      </w:r>
      <w:r>
        <w:rPr>
          <w:color w:val="231F20"/>
        </w:rPr>
        <w:t>l’alinéa</w:t>
      </w:r>
      <w:r>
        <w:rPr>
          <w:color w:val="231F20"/>
          <w:spacing w:val="-3"/>
        </w:rPr>
        <w:t> </w:t>
      </w:r>
      <w:r>
        <w:rPr>
          <w:color w:val="231F20"/>
        </w:rPr>
        <w:t>1</w:t>
      </w:r>
      <w:r>
        <w:rPr>
          <w:color w:val="231F20"/>
          <w:position w:val="7"/>
          <w:sz w:val="11"/>
        </w:rPr>
        <w:t>er</w:t>
      </w:r>
      <w:r>
        <w:rPr>
          <w:color w:val="231F20"/>
        </w:rPr>
        <w:t>,</w:t>
      </w:r>
      <w:r>
        <w:rPr>
          <w:color w:val="231F20"/>
          <w:spacing w:val="-3"/>
        </w:rPr>
        <w:t> </w:t>
      </w:r>
      <w:r>
        <w:rPr>
          <w:color w:val="231F20"/>
        </w:rPr>
        <w:t>4°,</w:t>
      </w:r>
      <w:r>
        <w:rPr>
          <w:color w:val="231F20"/>
          <w:spacing w:val="-3"/>
        </w:rPr>
        <w:t> </w:t>
      </w:r>
      <w:r>
        <w:rPr>
          <w:color w:val="231F20"/>
        </w:rPr>
        <w:t>la</w:t>
      </w:r>
      <w:r>
        <w:rPr>
          <w:color w:val="231F20"/>
          <w:spacing w:val="-3"/>
        </w:rPr>
        <w:t> </w:t>
      </w:r>
      <w:r>
        <w:rPr>
          <w:color w:val="231F20"/>
        </w:rPr>
        <w:t>société</w:t>
      </w:r>
      <w:r>
        <w:rPr>
          <w:color w:val="231F20"/>
          <w:spacing w:val="-3"/>
        </w:rPr>
        <w:t> </w:t>
      </w:r>
      <w:r>
        <w:rPr>
          <w:color w:val="231F20"/>
        </w:rPr>
        <w:t>ajoute,</w:t>
      </w:r>
      <w:r>
        <w:rPr>
          <w:color w:val="231F20"/>
          <w:spacing w:val="-3"/>
        </w:rPr>
        <w:t> </w:t>
      </w:r>
      <w:r>
        <w:rPr>
          <w:color w:val="231F20"/>
        </w:rPr>
        <w:t>dès</w:t>
      </w:r>
      <w:r>
        <w:rPr>
          <w:color w:val="231F20"/>
          <w:spacing w:val="-3"/>
        </w:rPr>
        <w:t> </w:t>
      </w:r>
      <w:r>
        <w:rPr>
          <w:color w:val="231F20"/>
        </w:rPr>
        <w:t>que possible après leur réception, les éventuelles propositions de décision introduites par les actionnaires en application de l’article 7:130, aux informations</w:t>
      </w:r>
      <w:r>
        <w:rPr>
          <w:color w:val="231F20"/>
          <w:spacing w:val="14"/>
        </w:rPr>
        <w:t> </w:t>
      </w:r>
      <w:r>
        <w:rPr>
          <w:color w:val="231F20"/>
        </w:rPr>
        <w:t>figurant</w:t>
      </w:r>
      <w:r>
        <w:rPr>
          <w:color w:val="231F20"/>
          <w:spacing w:val="15"/>
        </w:rPr>
        <w:t> </w:t>
      </w:r>
      <w:r>
        <w:rPr>
          <w:color w:val="231F20"/>
        </w:rPr>
        <w:t>sur</w:t>
      </w:r>
      <w:r>
        <w:rPr>
          <w:color w:val="231F20"/>
          <w:spacing w:val="14"/>
        </w:rPr>
        <w:t> </w:t>
      </w:r>
      <w:r>
        <w:rPr>
          <w:color w:val="231F20"/>
        </w:rPr>
        <w:t>son</w:t>
      </w:r>
      <w:r>
        <w:rPr>
          <w:color w:val="231F20"/>
          <w:spacing w:val="15"/>
        </w:rPr>
        <w:t> </w:t>
      </w:r>
      <w:r>
        <w:rPr>
          <w:color w:val="231F20"/>
        </w:rPr>
        <w:t>site</w:t>
      </w:r>
      <w:r>
        <w:rPr>
          <w:color w:val="231F20"/>
          <w:spacing w:val="14"/>
        </w:rPr>
        <w:t> </w:t>
      </w:r>
      <w:r>
        <w:rPr>
          <w:color w:val="231F20"/>
        </w:rPr>
        <w:t>internet.</w:t>
      </w:r>
    </w:p>
    <w:p>
      <w:pPr>
        <w:pStyle w:val="BodyText"/>
        <w:spacing w:line="218" w:lineRule="auto" w:before="81"/>
        <w:ind w:right="38"/>
      </w:pPr>
      <w:r>
        <w:rPr>
          <w:color w:val="231F20"/>
        </w:rPr>
        <w:t>Lorsque la société ne peut rendre les formulaires visés à l’alinéa 1</w:t>
      </w:r>
      <w:r>
        <w:rPr>
          <w:color w:val="231F20"/>
          <w:position w:val="7"/>
          <w:sz w:val="11"/>
        </w:rPr>
        <w:t>er</w:t>
      </w:r>
      <w:r>
        <w:rPr>
          <w:color w:val="231F20"/>
        </w:rPr>
        <w:t>, 5°, accessibles sur son site internet pour des raisons techniques, elle indique sur ledit site internet comment les actionnaires peuvent</w:t>
      </w:r>
      <w:r>
        <w:rPr>
          <w:color w:val="231F20"/>
          <w:spacing w:val="-10"/>
        </w:rPr>
        <w:t> </w:t>
      </w:r>
      <w:r>
        <w:rPr>
          <w:color w:val="231F20"/>
        </w:rPr>
        <w:t>obtenir ces formulaires sur papier ou par voie électronique. Dans ce cas,</w:t>
      </w:r>
      <w:r>
        <w:rPr>
          <w:color w:val="231F20"/>
          <w:spacing w:val="-8"/>
        </w:rPr>
        <w:t> </w:t>
      </w:r>
      <w:r>
        <w:rPr>
          <w:color w:val="231F20"/>
        </w:rPr>
        <w:t>chaque actionnaire qui en fait la demande reçoit, sans délai, le formulaire demandé.</w:t>
      </w:r>
    </w:p>
    <w:p>
      <w:pPr>
        <w:pStyle w:val="BodyText"/>
        <w:spacing w:line="218" w:lineRule="auto" w:before="96"/>
        <w:ind w:right="38"/>
      </w:pPr>
      <w:r>
        <w:rPr>
          <w:color w:val="231F20"/>
        </w:rPr>
        <w:t>Les informations visées au présent paragraphe restent accessibles sur le site internet de la société pendant une période de cinq années à compter de la date de l’assemblée générale à laquelle elles se rapportent.</w:t>
      </w:r>
    </w:p>
    <w:p>
      <w:pPr>
        <w:pStyle w:val="BodyText"/>
        <w:spacing w:line="216" w:lineRule="auto" w:before="83"/>
        <w:ind w:right="38"/>
      </w:pPr>
      <w:r>
        <w:rPr>
          <w:color w:val="231F20"/>
        </w:rPr>
        <w:t>Art. 7:130. § 1</w:t>
      </w:r>
      <w:r>
        <w:rPr>
          <w:color w:val="231F20"/>
          <w:position w:val="7"/>
          <w:sz w:val="11"/>
        </w:rPr>
        <w:t>er</w:t>
      </w:r>
      <w:r>
        <w:rPr>
          <w:color w:val="231F20"/>
        </w:rPr>
        <w:t>. Un ou plusieurs actionnaires possédant ensemble au moins 3 % du capital d’une société cotée, peuvent requérir l’inscription de sujets à traiter à l’ordre du jour de toute assemblée générale, ainsi que déposer des propositions de décision concernant des sujets à traiter inscrits ou à inscrire à l’ordre du jour. Les actionnaires ne disposent pas de ce droit pour une assemblée générale convoquée en application de l’article 7:128, § 1</w:t>
      </w:r>
      <w:r>
        <w:rPr>
          <w:color w:val="231F20"/>
          <w:position w:val="7"/>
          <w:sz w:val="11"/>
        </w:rPr>
        <w:t>er</w:t>
      </w:r>
      <w:r>
        <w:rPr>
          <w:color w:val="231F20"/>
        </w:rPr>
        <w:t>, alinéa 2.</w:t>
      </w:r>
    </w:p>
    <w:p>
      <w:pPr>
        <w:pStyle w:val="BodyText"/>
        <w:spacing w:before="10"/>
        <w:ind w:left="0" w:right="0" w:firstLine="0"/>
        <w:jc w:val="left"/>
        <w:rPr>
          <w:sz w:val="23"/>
        </w:rPr>
      </w:pPr>
    </w:p>
    <w:p>
      <w:pPr>
        <w:pStyle w:val="BodyText"/>
        <w:spacing w:line="216" w:lineRule="auto"/>
        <w:ind w:right="38"/>
      </w:pPr>
      <w:r>
        <w:rPr>
          <w:color w:val="231F20"/>
        </w:rPr>
        <w:t>Les actionnaires établissent, à la date à laquelle ils déposent un point à l’ordre du jour ou une proposition de décision, la possession de la fraction de capital exigée par l’alinéa 1</w:t>
      </w:r>
      <w:r>
        <w:rPr>
          <w:color w:val="231F20"/>
          <w:position w:val="7"/>
          <w:sz w:val="11"/>
        </w:rPr>
        <w:t>er </w:t>
      </w:r>
      <w:r>
        <w:rPr>
          <w:color w:val="231F20"/>
        </w:rPr>
        <w:t>soit par un certificat constatant l’inscription des actions correspondantes sur le registre des actions nominatives de la société, soit par une attestation, établie par le teneur de comptes agréé ou l’organisme de liquidation, certifiant l’inscription en compte, à leur nom, du nombre d’actions dématérialisées correspon- dantes.</w:t>
      </w:r>
    </w:p>
    <w:p>
      <w:pPr>
        <w:pStyle w:val="BodyText"/>
        <w:spacing w:line="218" w:lineRule="auto" w:before="119"/>
        <w:ind w:firstLine="0"/>
      </w:pPr>
      <w:r>
        <w:rPr/>
        <w:br w:type="column"/>
      </w:r>
      <w:r>
        <w:rPr>
          <w:color w:val="231F20"/>
        </w:rPr>
        <w:t>daartoe in de oproeping aangegeven e-mailadres, overeenkomstig artikel 7:139, de termijn waarbinnen de aandeelhouders deze rechten kunnen uitoefenen, en de datum waarop, in voorkomend</w:t>
      </w:r>
      <w:r>
        <w:rPr>
          <w:color w:val="231F20"/>
          <w:spacing w:val="21"/>
        </w:rPr>
        <w:t> </w:t>
      </w:r>
      <w:r>
        <w:rPr>
          <w:color w:val="231F20"/>
        </w:rPr>
        <w:t>geval, overeenkomstig artikel 7:130, § 3, eerste lid, een aangevulde agenda wordt bekendgemaakt. De oproeping kan beperkt blijven tot</w:t>
      </w:r>
      <w:r>
        <w:rPr>
          <w:color w:val="231F20"/>
          <w:spacing w:val="20"/>
        </w:rPr>
        <w:t> </w:t>
      </w:r>
      <w:r>
        <w:rPr>
          <w:color w:val="231F20"/>
        </w:rPr>
        <w:t>de vermelding van deze termijnen en van het e-mailadres waarop schriftelijke vragen moeten toekomen, mits zij een verwijzing bevat naar meer gedetailleerde informatie over dergelijke rechten op de vennootschapswebsite;</w:t>
      </w:r>
    </w:p>
    <w:p>
      <w:pPr>
        <w:pStyle w:val="ListParagraph"/>
        <w:numPr>
          <w:ilvl w:val="0"/>
          <w:numId w:val="115"/>
        </w:numPr>
        <w:tabs>
          <w:tab w:pos="534" w:val="left" w:leader="none"/>
        </w:tabs>
        <w:spacing w:line="218" w:lineRule="auto" w:before="84" w:after="0"/>
        <w:ind w:left="113" w:right="124" w:firstLine="170"/>
        <w:jc w:val="both"/>
        <w:rPr>
          <w:sz w:val="17"/>
        </w:rPr>
      </w:pPr>
      <w:r>
        <w:rPr>
          <w:color w:val="231F20"/>
          <w:sz w:val="17"/>
        </w:rPr>
        <w:t>de procedure om te stemmen bij volmacht, met name een model-volmacht, de voorwaarden waaronder de vennootschap bereid  is een elektronische kennisgeving van de aanwijzing van een volmacht- drager te aanvaarden, evenals de termijn waarbinnen de volmacht aan de</w:t>
      </w:r>
      <w:r>
        <w:rPr>
          <w:color w:val="231F20"/>
          <w:spacing w:val="15"/>
          <w:sz w:val="17"/>
        </w:rPr>
        <w:t> </w:t>
      </w:r>
      <w:r>
        <w:rPr>
          <w:color w:val="231F20"/>
          <w:sz w:val="17"/>
        </w:rPr>
        <w:t>vennootschap</w:t>
      </w:r>
      <w:r>
        <w:rPr>
          <w:color w:val="231F20"/>
          <w:spacing w:val="16"/>
          <w:sz w:val="17"/>
        </w:rPr>
        <w:t> </w:t>
      </w:r>
      <w:r>
        <w:rPr>
          <w:color w:val="231F20"/>
          <w:sz w:val="17"/>
        </w:rPr>
        <w:t>moet</w:t>
      </w:r>
      <w:r>
        <w:rPr>
          <w:color w:val="231F20"/>
          <w:spacing w:val="15"/>
          <w:sz w:val="17"/>
        </w:rPr>
        <w:t> </w:t>
      </w:r>
      <w:r>
        <w:rPr>
          <w:color w:val="231F20"/>
          <w:sz w:val="17"/>
        </w:rPr>
        <w:t>zijn</w:t>
      </w:r>
      <w:r>
        <w:rPr>
          <w:color w:val="231F20"/>
          <w:spacing w:val="15"/>
          <w:sz w:val="17"/>
        </w:rPr>
        <w:t> </w:t>
      </w:r>
      <w:r>
        <w:rPr>
          <w:color w:val="231F20"/>
          <w:sz w:val="17"/>
        </w:rPr>
        <w:t>meegedeeld;</w:t>
      </w:r>
      <w:r>
        <w:rPr>
          <w:color w:val="231F20"/>
          <w:spacing w:val="16"/>
          <w:sz w:val="17"/>
        </w:rPr>
        <w:t> </w:t>
      </w:r>
      <w:r>
        <w:rPr>
          <w:color w:val="231F20"/>
          <w:sz w:val="17"/>
        </w:rPr>
        <w:t>en,</w:t>
      </w:r>
    </w:p>
    <w:p>
      <w:pPr>
        <w:pStyle w:val="ListParagraph"/>
        <w:numPr>
          <w:ilvl w:val="0"/>
          <w:numId w:val="115"/>
        </w:numPr>
        <w:tabs>
          <w:tab w:pos="463" w:val="left" w:leader="none"/>
        </w:tabs>
        <w:spacing w:line="218" w:lineRule="auto" w:before="83" w:after="0"/>
        <w:ind w:left="113" w:right="124" w:firstLine="170"/>
        <w:jc w:val="both"/>
        <w:rPr>
          <w:sz w:val="17"/>
        </w:rPr>
      </w:pPr>
      <w:r>
        <w:rPr>
          <w:color w:val="231F20"/>
          <w:sz w:val="17"/>
        </w:rPr>
        <w:t>in voorkomend geval, de bij of krachtens de statuten vastgestelde procedures en termijnen voor de deelname op afstand aan de algemene vergadering, conform artikel 7:137, en om te stemmen op afstand vóór de vergadering, conform artikel</w:t>
      </w:r>
      <w:r>
        <w:rPr>
          <w:color w:val="231F20"/>
          <w:spacing w:val="18"/>
          <w:sz w:val="17"/>
        </w:rPr>
        <w:t> </w:t>
      </w:r>
      <w:r>
        <w:rPr>
          <w:color w:val="231F20"/>
          <w:sz w:val="17"/>
        </w:rPr>
        <w:t>7:146;</w:t>
      </w:r>
    </w:p>
    <w:p>
      <w:pPr>
        <w:pStyle w:val="BodyText"/>
        <w:spacing w:line="218" w:lineRule="auto" w:before="86"/>
      </w:pPr>
      <w:r>
        <w:rPr>
          <w:color w:val="231F20"/>
        </w:rPr>
        <w:t>5° de vermelding van de in artikel 7:134, § 2, bepaalde registratieda- tum evenals de mededeling dat alleen personen die op die datum aandeelhouder zijn, gerechtigd zijn deel te nemen aan en te stemmen op de algemene</w:t>
      </w:r>
      <w:r>
        <w:rPr>
          <w:color w:val="231F20"/>
          <w:spacing w:val="5"/>
        </w:rPr>
        <w:t> </w:t>
      </w:r>
      <w:r>
        <w:rPr>
          <w:color w:val="231F20"/>
        </w:rPr>
        <w:t>vergadering;</w:t>
      </w:r>
    </w:p>
    <w:p>
      <w:pPr>
        <w:pStyle w:val="BodyText"/>
        <w:spacing w:line="216" w:lineRule="auto" w:before="87"/>
      </w:pPr>
      <w:r>
        <w:rPr>
          <w:color w:val="231F20"/>
        </w:rPr>
        <w:t>6° de vermelding van de plaats waar en de wijze waarop de volledige tekst kan worden verkregen, conform artikel 7:132, derde lid, van de in paragraaf 3, </w:t>
      </w:r>
      <w:r>
        <w:rPr>
          <w:rFonts w:ascii="Times New Roman" w:hAnsi="Times New Roman"/>
          <w:i/>
          <w:color w:val="231F20"/>
        </w:rPr>
        <w:t>c)</w:t>
      </w:r>
      <w:r>
        <w:rPr>
          <w:color w:val="231F20"/>
        </w:rPr>
        <w:t>, </w:t>
      </w:r>
      <w:r>
        <w:rPr>
          <w:rFonts w:ascii="Times New Roman" w:hAnsi="Times New Roman"/>
          <w:i/>
          <w:color w:val="231F20"/>
        </w:rPr>
        <w:t>d) </w:t>
      </w:r>
      <w:r>
        <w:rPr>
          <w:color w:val="231F20"/>
        </w:rPr>
        <w:t>en </w:t>
      </w:r>
      <w:r>
        <w:rPr>
          <w:rFonts w:ascii="Times New Roman" w:hAnsi="Times New Roman"/>
          <w:i/>
          <w:color w:val="231F20"/>
        </w:rPr>
        <w:t>e)</w:t>
      </w:r>
      <w:r>
        <w:rPr>
          <w:color w:val="231F20"/>
        </w:rPr>
        <w:t>, bedoelde stukken en voorstellen tot besluit;</w:t>
      </w:r>
    </w:p>
    <w:p>
      <w:pPr>
        <w:pStyle w:val="BodyText"/>
        <w:spacing w:before="1"/>
        <w:ind w:left="0" w:right="0" w:firstLine="0"/>
        <w:jc w:val="left"/>
        <w:rPr>
          <w:sz w:val="23"/>
        </w:rPr>
      </w:pPr>
    </w:p>
    <w:p>
      <w:pPr>
        <w:pStyle w:val="BodyText"/>
        <w:spacing w:line="218" w:lineRule="auto" w:before="1"/>
      </w:pPr>
      <w:r>
        <w:rPr>
          <w:color w:val="231F20"/>
        </w:rPr>
        <w:t>7° de vermelding van de vennootschapswebsite, waarop zij de in paragraaf 3 bedoelde informatie ter beschikking stelt.</w:t>
      </w:r>
    </w:p>
    <w:p>
      <w:pPr>
        <w:pStyle w:val="BodyText"/>
        <w:spacing w:line="218" w:lineRule="auto" w:before="85"/>
      </w:pPr>
      <w:r>
        <w:rPr>
          <w:color w:val="231F20"/>
        </w:rPr>
        <w:t>§ 3. Vanaf de dag van de publicatie van de oproeping tot de algemene vergadering tot op de dag van de algemene vergadering stelt een genoteerde vennootschap op haar vennootschapswebsite ten minste de volgende informatie ter beschikking:</w:t>
      </w:r>
    </w:p>
    <w:p>
      <w:pPr>
        <w:pStyle w:val="BodyText"/>
        <w:spacing w:line="218" w:lineRule="auto" w:before="96"/>
      </w:pPr>
      <w:r>
        <w:rPr>
          <w:color w:val="231F20"/>
        </w:rPr>
        <w:t>1° de in paragraaf 2 bedoelde oproeping, evenals, in voorkomend geval, de conform artikel 7:130, § 3, bekendgemaakte agenda;</w:t>
      </w:r>
    </w:p>
    <w:p>
      <w:pPr>
        <w:pStyle w:val="BodyText"/>
        <w:spacing w:line="218" w:lineRule="auto" w:before="96"/>
      </w:pPr>
      <w:r>
        <w:rPr>
          <w:color w:val="231F20"/>
        </w:rPr>
        <w:t>2° het totale aantal aandelen en stemrechten op de datum van de oproeping, met inbegrip van afzonderlijke totaalaantallen voor elke soort van aandelen, indien het kapitaal van de vennootschap is verdeeld</w:t>
      </w:r>
      <w:r>
        <w:rPr>
          <w:color w:val="231F20"/>
          <w:spacing w:val="15"/>
        </w:rPr>
        <w:t> </w:t>
      </w:r>
      <w:r>
        <w:rPr>
          <w:color w:val="231F20"/>
        </w:rPr>
        <w:t>over</w:t>
      </w:r>
      <w:r>
        <w:rPr>
          <w:color w:val="231F20"/>
          <w:spacing w:val="16"/>
        </w:rPr>
        <w:t> </w:t>
      </w:r>
      <w:r>
        <w:rPr>
          <w:color w:val="231F20"/>
        </w:rPr>
        <w:t>twee</w:t>
      </w:r>
      <w:r>
        <w:rPr>
          <w:color w:val="231F20"/>
          <w:spacing w:val="16"/>
        </w:rPr>
        <w:t> </w:t>
      </w:r>
      <w:r>
        <w:rPr>
          <w:color w:val="231F20"/>
        </w:rPr>
        <w:t>of</w:t>
      </w:r>
      <w:r>
        <w:rPr>
          <w:color w:val="231F20"/>
          <w:spacing w:val="16"/>
        </w:rPr>
        <w:t> </w:t>
      </w:r>
      <w:r>
        <w:rPr>
          <w:color w:val="231F20"/>
        </w:rPr>
        <w:t>meer</w:t>
      </w:r>
      <w:r>
        <w:rPr>
          <w:color w:val="231F20"/>
          <w:spacing w:val="15"/>
        </w:rPr>
        <w:t> </w:t>
      </w:r>
      <w:r>
        <w:rPr>
          <w:color w:val="231F20"/>
        </w:rPr>
        <w:t>soorten</w:t>
      </w:r>
      <w:r>
        <w:rPr>
          <w:color w:val="231F20"/>
          <w:spacing w:val="16"/>
        </w:rPr>
        <w:t> </w:t>
      </w:r>
      <w:r>
        <w:rPr>
          <w:color w:val="231F20"/>
        </w:rPr>
        <w:t>aandelen;</w:t>
      </w:r>
    </w:p>
    <w:p>
      <w:pPr>
        <w:pStyle w:val="BodyText"/>
        <w:spacing w:before="83"/>
        <w:ind w:left="283" w:right="0" w:firstLine="0"/>
        <w:jc w:val="left"/>
      </w:pPr>
      <w:r>
        <w:rPr>
          <w:color w:val="231F20"/>
        </w:rPr>
        <w:t>3° de aan de algemene vergadering voor te leggen stukken;</w:t>
      </w:r>
    </w:p>
    <w:p>
      <w:pPr>
        <w:pStyle w:val="BodyText"/>
        <w:spacing w:line="218" w:lineRule="auto" w:before="92"/>
      </w:pPr>
      <w:r>
        <w:rPr>
          <w:color w:val="231F20"/>
        </w:rPr>
        <w:t>4° voor elk te behandelen onderwerp op de agenda van de algemene vergadering, een voorstel tot besluit of, indien het te behandelen onderwerp geen besluit vereist, commentaar van het bestuursorgaan;</w:t>
      </w:r>
    </w:p>
    <w:p>
      <w:pPr>
        <w:pStyle w:val="BodyText"/>
        <w:ind w:left="0" w:right="0" w:firstLine="0"/>
        <w:jc w:val="left"/>
        <w:rPr>
          <w:sz w:val="24"/>
        </w:rPr>
      </w:pPr>
    </w:p>
    <w:p>
      <w:pPr>
        <w:pStyle w:val="BodyText"/>
        <w:spacing w:line="218" w:lineRule="auto"/>
      </w:pPr>
      <w:r>
        <w:rPr>
          <w:color w:val="231F20"/>
        </w:rPr>
        <w:t>5° de formulieren om te stemmen bij volmacht en, in voorkomend geval, om te stemmen per brief, tenzij de vennootschap deze formulie- ren rechtstreeks aan elke aandeelhouder meedeelt.</w:t>
      </w:r>
    </w:p>
    <w:p>
      <w:pPr>
        <w:pStyle w:val="BodyText"/>
        <w:spacing w:line="218" w:lineRule="auto" w:before="96"/>
        <w:ind w:right="123"/>
      </w:pPr>
      <w:r>
        <w:rPr>
          <w:color w:val="231F20"/>
        </w:rPr>
        <w:t>Voor de informatie bedoeld in het eerste lid, 4°, voegt de vennoot- schap eventuele voorstellen tot besluit die aandeelhouders hebben ingediend met toepassing van artikel 7:130, zo spoedig mogelijk na hun ontvangst toe aan de informatie op de vennootschapswebsite.</w:t>
      </w:r>
    </w:p>
    <w:p>
      <w:pPr>
        <w:pStyle w:val="BodyText"/>
        <w:spacing w:line="218" w:lineRule="auto" w:before="96"/>
        <w:ind w:right="123"/>
      </w:pPr>
      <w:r>
        <w:rPr>
          <w:color w:val="231F20"/>
        </w:rPr>
        <w:t>Indien de vennootschap de onder het eerste lid, 5°, bedoelde formulieren om technische redenen niet op haar vennootschapswebsite beschikbaar kan maken, geeft zij op die website aan hoe de aandeel- houders deze formulieren op papier of op elektronische wijze kunnen verkrijgen. In dat geval krijgt elke aandeelhouder die daarom verzoekt onverwijld het gevraagde formulier.</w:t>
      </w:r>
    </w:p>
    <w:p>
      <w:pPr>
        <w:pStyle w:val="BodyText"/>
        <w:spacing w:line="218" w:lineRule="auto" w:before="97"/>
      </w:pPr>
      <w:r>
        <w:rPr>
          <w:color w:val="231F20"/>
        </w:rPr>
        <w:t>De in deze paragraaf bedoelde informatie blijft toegankelijk op de vennootschapswebsite gedurende een periode van vijf jaar te rekenen vanaf de datum van de algemene vergadering waarop zij betrekking heeft.</w:t>
      </w:r>
    </w:p>
    <w:p>
      <w:pPr>
        <w:pStyle w:val="BodyText"/>
        <w:spacing w:line="218" w:lineRule="auto" w:before="96"/>
        <w:ind w:right="125"/>
      </w:pPr>
      <w:r>
        <w:rPr>
          <w:color w:val="231F20"/>
        </w:rPr>
        <w:t>Art. 7:130. § 1. Eén of meer aandeelhouders die samen minstens 3 % bezitten van het kapitaal van een genoteerde vennootschap, kunnen te behandelen onderwerpen op de agenda van de algemene vergadering laten plaatsen en voorstellen tot besluit indienen over op de agenda opgenomen of daarin op te nemen te behandelen onderwerpen. Aandeelhouders hebben dit recht niet voor een algemene vergadering die met toepassing van artikel 7:128, § 1, tweede lid, wordt bijeenge- roepen.</w:t>
      </w:r>
    </w:p>
    <w:p>
      <w:pPr>
        <w:pStyle w:val="BodyText"/>
        <w:spacing w:line="218" w:lineRule="auto" w:before="96"/>
      </w:pPr>
      <w:r>
        <w:rPr>
          <w:color w:val="231F20"/>
        </w:rPr>
        <w:t>De aandeelhouders bewijzen op de datum dat zij een agendapunt of voorstel tot besluit indienen dat zij in het bezit zijn van het krachtens het eerste lid vereiste aandeel in het kapitaal, hetzij op grond van een certificaat van inschrijving van de desbetreffende aandelen in het register van de aandelen op naam van de vennootschap, hetzij aan de hand van een door de erkende rekeninghouder of de vereffeningsin- stelling opgesteld attest waaruit blijkt dat het desbetreffende aantal gedematerialiseerde aandelen op hun naam op rekening is ingeschre- ven.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3" w:lineRule="auto" w:before="123"/>
        <w:ind w:right="0"/>
        <w:jc w:val="left"/>
      </w:pPr>
      <w:r>
        <w:rPr/>
        <w:pict>
          <v:line style="position:absolute;mso-position-horizontal-relative:page;mso-position-vertical-relative:page;z-index:5416" from="298.170502pt,64.473pt" to="298.170502pt,812.819pt" stroked="true" strokeweight=".533pt" strokecolor="#231f20">
            <v:stroke dashstyle="solid"/>
            <w10:wrap type="none"/>
          </v:line>
        </w:pict>
      </w:r>
      <w:bookmarkStart w:name="_bookmark183" w:id="188"/>
      <w:bookmarkEnd w:id="188"/>
      <w:r>
        <w:rPr/>
      </w:r>
      <w:r>
        <w:rPr>
          <w:color w:val="231F20"/>
        </w:rPr>
        <w:t>L’examen des sujets à traiter et des propositions de décision portés à l’ordre du jour en application du présent article, est subordonné à l’enregistrement, conformément à l’article 7:134, § 2, de la fraction du capital visée à l’alinéa 1</w:t>
      </w:r>
      <w:r>
        <w:rPr>
          <w:color w:val="231F20"/>
          <w:position w:val="7"/>
          <w:sz w:val="11"/>
        </w:rPr>
        <w:t>er</w:t>
      </w:r>
      <w:r>
        <w:rPr>
          <w:color w:val="231F20"/>
        </w:rPr>
        <w:t>.</w:t>
      </w:r>
    </w:p>
    <w:p>
      <w:pPr>
        <w:pStyle w:val="BodyText"/>
        <w:spacing w:line="211" w:lineRule="auto" w:before="119"/>
        <w:ind w:right="83"/>
      </w:pPr>
      <w:r>
        <w:rPr>
          <w:color w:val="231F20"/>
        </w:rPr>
        <w:t>§ 2. Les actionnaires formulent par écrit les demandes visées au paragraphe 1</w:t>
      </w:r>
      <w:r>
        <w:rPr>
          <w:color w:val="231F20"/>
          <w:position w:val="7"/>
          <w:sz w:val="11"/>
        </w:rPr>
        <w:t>er </w:t>
      </w:r>
      <w:r>
        <w:rPr>
          <w:color w:val="231F20"/>
        </w:rPr>
        <w:t>et ajoutent, selon le cas, le texte des sujets à traiter et les propositions de décision y afférentes, ou le texte des propositions de décision à porter à l’ordre du jour et la preuve visée au paragraphe 1</w:t>
      </w:r>
      <w:r>
        <w:rPr>
          <w:color w:val="231F20"/>
          <w:position w:val="7"/>
          <w:sz w:val="11"/>
        </w:rPr>
        <w:t>er</w:t>
      </w:r>
      <w:r>
        <w:rPr>
          <w:color w:val="231F20"/>
        </w:rPr>
        <w:t>, alinéa 2.</w:t>
      </w:r>
    </w:p>
    <w:p>
      <w:pPr>
        <w:pStyle w:val="BodyText"/>
        <w:spacing w:line="218" w:lineRule="auto" w:before="112"/>
        <w:ind w:right="83"/>
      </w:pPr>
      <w:r>
        <w:rPr>
          <w:color w:val="231F20"/>
        </w:rPr>
        <w:t>Elles doivent parvenir à la société au plus tard le vingt-deuxième jour qui précède la date de l’assemblée générale. La société accuse réception de ces demandes à l’adresse postale ou électronique indiquée par les actionnaires, dans un délai de quarante-huit heures à compter de ladite réception.</w:t>
      </w:r>
    </w:p>
    <w:p>
      <w:pPr>
        <w:pStyle w:val="BodyText"/>
        <w:spacing w:line="218" w:lineRule="auto" w:before="114"/>
        <w:ind w:right="83"/>
      </w:pPr>
      <w:r>
        <w:rPr>
          <w:color w:val="231F20"/>
        </w:rPr>
        <w:t>§ 3. Sans préjudice de l’article 7:129, § 3, alinéa 1</w:t>
      </w:r>
      <w:r>
        <w:rPr>
          <w:color w:val="231F20"/>
          <w:position w:val="7"/>
          <w:sz w:val="11"/>
        </w:rPr>
        <w:t>er</w:t>
      </w:r>
      <w:r>
        <w:rPr>
          <w:color w:val="231F20"/>
        </w:rPr>
        <w:t>, </w:t>
      </w:r>
      <w:r>
        <w:rPr>
          <w:rFonts w:ascii="Times New Roman" w:hAnsi="Times New Roman"/>
          <w:i/>
          <w:color w:val="231F20"/>
        </w:rPr>
        <w:t>d)</w:t>
      </w:r>
      <w:r>
        <w:rPr>
          <w:color w:val="231F20"/>
        </w:rPr>
        <w:t>, la société publie, conformément à l’article 7:128 un ordre du jour complété, au plus tard le quinzième jour qui précède la date de l’assemblée générale.</w:t>
      </w:r>
    </w:p>
    <w:p>
      <w:pPr>
        <w:pStyle w:val="BodyText"/>
        <w:spacing w:before="8"/>
        <w:ind w:left="0" w:right="0" w:firstLine="0"/>
        <w:jc w:val="left"/>
        <w:rPr>
          <w:sz w:val="26"/>
        </w:rPr>
      </w:pPr>
    </w:p>
    <w:p>
      <w:pPr>
        <w:pStyle w:val="BodyText"/>
        <w:spacing w:line="218" w:lineRule="auto"/>
        <w:ind w:right="83"/>
      </w:pPr>
      <w:r>
        <w:rPr>
          <w:color w:val="231F20"/>
        </w:rPr>
        <w:t>Simultanément,</w:t>
      </w:r>
      <w:r>
        <w:rPr>
          <w:color w:val="231F20"/>
          <w:spacing w:val="-4"/>
        </w:rPr>
        <w:t> </w:t>
      </w:r>
      <w:r>
        <w:rPr>
          <w:color w:val="231F20"/>
        </w:rPr>
        <w:t>la</w:t>
      </w:r>
      <w:r>
        <w:rPr>
          <w:color w:val="231F20"/>
          <w:spacing w:val="-4"/>
        </w:rPr>
        <w:t> </w:t>
      </w:r>
      <w:r>
        <w:rPr>
          <w:color w:val="231F20"/>
        </w:rPr>
        <w:t>société</w:t>
      </w:r>
      <w:r>
        <w:rPr>
          <w:color w:val="231F20"/>
          <w:spacing w:val="-3"/>
        </w:rPr>
        <w:t> </w:t>
      </w:r>
      <w:r>
        <w:rPr>
          <w:color w:val="231F20"/>
        </w:rPr>
        <w:t>met</w:t>
      </w:r>
      <w:r>
        <w:rPr>
          <w:color w:val="231F20"/>
          <w:spacing w:val="-4"/>
        </w:rPr>
        <w:t> </w:t>
      </w:r>
      <w:r>
        <w:rPr>
          <w:color w:val="231F20"/>
        </w:rPr>
        <w:t>à</w:t>
      </w:r>
      <w:r>
        <w:rPr>
          <w:color w:val="231F20"/>
          <w:spacing w:val="-3"/>
        </w:rPr>
        <w:t> </w:t>
      </w:r>
      <w:r>
        <w:rPr>
          <w:color w:val="231F20"/>
        </w:rPr>
        <w:t>la</w:t>
      </w:r>
      <w:r>
        <w:rPr>
          <w:color w:val="231F20"/>
          <w:spacing w:val="-4"/>
        </w:rPr>
        <w:t> </w:t>
      </w:r>
      <w:r>
        <w:rPr>
          <w:color w:val="231F20"/>
        </w:rPr>
        <w:t>disposition</w:t>
      </w:r>
      <w:r>
        <w:rPr>
          <w:color w:val="231F20"/>
          <w:spacing w:val="-3"/>
        </w:rPr>
        <w:t> </w:t>
      </w:r>
      <w:r>
        <w:rPr>
          <w:color w:val="231F20"/>
        </w:rPr>
        <w:t>de</w:t>
      </w:r>
      <w:r>
        <w:rPr>
          <w:color w:val="231F20"/>
          <w:spacing w:val="-4"/>
        </w:rPr>
        <w:t> </w:t>
      </w:r>
      <w:r>
        <w:rPr>
          <w:color w:val="231F20"/>
        </w:rPr>
        <w:t>ses</w:t>
      </w:r>
      <w:r>
        <w:rPr>
          <w:color w:val="231F20"/>
          <w:spacing w:val="-3"/>
        </w:rPr>
        <w:t> </w:t>
      </w:r>
      <w:r>
        <w:rPr>
          <w:color w:val="231F20"/>
        </w:rPr>
        <w:t>actionnaires,</w:t>
      </w:r>
      <w:r>
        <w:rPr>
          <w:color w:val="231F20"/>
          <w:spacing w:val="-4"/>
        </w:rPr>
        <w:t> </w:t>
      </w:r>
      <w:r>
        <w:rPr>
          <w:color w:val="231F20"/>
        </w:rPr>
        <w:t>sur le site internet de la société, les formulaires adaptés à l’ordre du jour complété permettant de voter par procuration et, le cas échéant, de voter par correspondance. La société ne doit pas communiquer de formulaires</w:t>
      </w:r>
      <w:r>
        <w:rPr>
          <w:color w:val="231F20"/>
          <w:spacing w:val="-8"/>
        </w:rPr>
        <w:t> </w:t>
      </w:r>
      <w:r>
        <w:rPr>
          <w:color w:val="231F20"/>
        </w:rPr>
        <w:t>adaptés</w:t>
      </w:r>
      <w:r>
        <w:rPr>
          <w:color w:val="231F20"/>
          <w:spacing w:val="-8"/>
        </w:rPr>
        <w:t> </w:t>
      </w:r>
      <w:r>
        <w:rPr>
          <w:color w:val="231F20"/>
        </w:rPr>
        <w:t>directement</w:t>
      </w:r>
      <w:r>
        <w:rPr>
          <w:color w:val="231F20"/>
          <w:spacing w:val="-7"/>
        </w:rPr>
        <w:t> </w:t>
      </w:r>
      <w:r>
        <w:rPr>
          <w:color w:val="231F20"/>
        </w:rPr>
        <w:t>aux</w:t>
      </w:r>
      <w:r>
        <w:rPr>
          <w:color w:val="231F20"/>
          <w:spacing w:val="-8"/>
        </w:rPr>
        <w:t> </w:t>
      </w:r>
      <w:r>
        <w:rPr>
          <w:color w:val="231F20"/>
        </w:rPr>
        <w:t>actionnaires.</w:t>
      </w:r>
      <w:r>
        <w:rPr>
          <w:color w:val="231F20"/>
          <w:spacing w:val="-8"/>
        </w:rPr>
        <w:t> </w:t>
      </w:r>
      <w:r>
        <w:rPr>
          <w:color w:val="231F20"/>
        </w:rPr>
        <w:t>L’article</w:t>
      </w:r>
      <w:r>
        <w:rPr>
          <w:color w:val="231F20"/>
          <w:spacing w:val="-7"/>
        </w:rPr>
        <w:t> </w:t>
      </w:r>
      <w:r>
        <w:rPr>
          <w:color w:val="231F20"/>
        </w:rPr>
        <w:t>7:129,</w:t>
      </w:r>
      <w:r>
        <w:rPr>
          <w:color w:val="231F20"/>
          <w:spacing w:val="-8"/>
        </w:rPr>
        <w:t> </w:t>
      </w:r>
      <w:r>
        <w:rPr>
          <w:color w:val="231F20"/>
        </w:rPr>
        <w:t>§</w:t>
      </w:r>
      <w:r>
        <w:rPr>
          <w:color w:val="231F20"/>
          <w:spacing w:val="-8"/>
        </w:rPr>
        <w:t> </w:t>
      </w:r>
      <w:r>
        <w:rPr>
          <w:color w:val="231F20"/>
        </w:rPr>
        <w:t>3,</w:t>
      </w:r>
      <w:r>
        <w:rPr>
          <w:color w:val="231F20"/>
          <w:spacing w:val="-7"/>
        </w:rPr>
        <w:t> </w:t>
      </w:r>
      <w:r>
        <w:rPr>
          <w:rFonts w:ascii="Times New Roman" w:hAnsi="Times New Roman"/>
          <w:i/>
          <w:color w:val="231F20"/>
        </w:rPr>
        <w:t>e)</w:t>
      </w:r>
      <w:r>
        <w:rPr>
          <w:color w:val="231F20"/>
        </w:rPr>
        <w:t>, alinéa 2, est</w:t>
      </w:r>
      <w:r>
        <w:rPr>
          <w:color w:val="231F20"/>
          <w:spacing w:val="3"/>
        </w:rPr>
        <w:t> </w:t>
      </w:r>
      <w:r>
        <w:rPr>
          <w:color w:val="231F20"/>
        </w:rPr>
        <w:t>applicable.</w:t>
      </w:r>
    </w:p>
    <w:p>
      <w:pPr>
        <w:pStyle w:val="BodyText"/>
        <w:spacing w:line="218" w:lineRule="auto" w:before="126"/>
        <w:ind w:right="83"/>
      </w:pPr>
      <w:r>
        <w:rPr>
          <w:color w:val="231F20"/>
        </w:rPr>
        <w:t>§ 4. Les procurations de vote notifiées à la société antérieurement à la publication d’un ordre du jour complété restent valables pour les sujets à traiter inscrits à l’ordre du jour qu’elles couvrent.</w:t>
      </w:r>
    </w:p>
    <w:p>
      <w:pPr>
        <w:pStyle w:val="BodyText"/>
        <w:spacing w:before="5"/>
        <w:ind w:left="0" w:right="0" w:firstLine="0"/>
        <w:jc w:val="left"/>
        <w:rPr>
          <w:sz w:val="25"/>
        </w:rPr>
      </w:pPr>
    </w:p>
    <w:p>
      <w:pPr>
        <w:pStyle w:val="BodyText"/>
        <w:spacing w:line="218" w:lineRule="auto"/>
        <w:ind w:right="83"/>
      </w:pPr>
      <w:r>
        <w:rPr>
          <w:color w:val="231F20"/>
        </w:rPr>
        <w:t>Par dérogation à l’alinéa 1</w:t>
      </w:r>
      <w:r>
        <w:rPr>
          <w:color w:val="231F20"/>
          <w:position w:val="7"/>
          <w:sz w:val="11"/>
        </w:rPr>
        <w:t>er</w:t>
      </w:r>
      <w:r>
        <w:rPr>
          <w:color w:val="231F20"/>
        </w:rPr>
        <w:t>, pour les sujets à traiter inscrits à l’ordre du jour qui font l’objet de nouvelles propositions de décision déposées en application de la présente disposition, le mandataire peut, en assemblée, s’écarter des éventuelles instructions données par son mandant si l’exécution de ces instructions risquait de compromettre les intérêts de son mandant. Il doit en informer son mandant.</w:t>
      </w:r>
    </w:p>
    <w:p>
      <w:pPr>
        <w:pStyle w:val="BodyText"/>
        <w:spacing w:before="9"/>
        <w:ind w:left="0" w:right="0" w:firstLine="0"/>
        <w:jc w:val="left"/>
        <w:rPr>
          <w:sz w:val="26"/>
        </w:rPr>
      </w:pPr>
    </w:p>
    <w:p>
      <w:pPr>
        <w:pStyle w:val="BodyText"/>
        <w:spacing w:line="218" w:lineRule="auto"/>
        <w:ind w:right="83"/>
      </w:pPr>
      <w:r>
        <w:rPr>
          <w:color w:val="231F20"/>
        </w:rPr>
        <w:t>La procuration doit indiquer si le mandataire est autorisé à voter sur les nouveaux sujets à traiter inscrits à l’ordre du jour ou s’il doit s’abstenir.</w:t>
      </w:r>
    </w:p>
    <w:p>
      <w:pPr>
        <w:pStyle w:val="BodyText"/>
        <w:spacing w:line="218" w:lineRule="auto" w:before="128"/>
        <w:ind w:right="84"/>
      </w:pPr>
      <w:r>
        <w:rPr>
          <w:color w:val="231F20"/>
        </w:rPr>
        <w:t>Art. 7:131. Lorsque, dans les vingt jours précédant la date pour laquelle une assemblée générale a été convoquée, une société reçoit une déclaration ou a connaissance du fait qu’une déclaration aurait dû ou doit</w:t>
      </w:r>
      <w:r>
        <w:rPr>
          <w:color w:val="231F20"/>
          <w:spacing w:val="-6"/>
        </w:rPr>
        <w:t> </w:t>
      </w:r>
      <w:r>
        <w:rPr>
          <w:color w:val="231F20"/>
        </w:rPr>
        <w:t>être</w:t>
      </w:r>
      <w:r>
        <w:rPr>
          <w:color w:val="231F20"/>
          <w:spacing w:val="-5"/>
        </w:rPr>
        <w:t> </w:t>
      </w:r>
      <w:r>
        <w:rPr>
          <w:color w:val="231F20"/>
        </w:rPr>
        <w:t>faite</w:t>
      </w:r>
      <w:r>
        <w:rPr>
          <w:color w:val="231F20"/>
          <w:spacing w:val="-5"/>
        </w:rPr>
        <w:t> </w:t>
      </w:r>
      <w:r>
        <w:rPr>
          <w:color w:val="231F20"/>
        </w:rPr>
        <w:t>en</w:t>
      </w:r>
      <w:r>
        <w:rPr>
          <w:color w:val="231F20"/>
          <w:spacing w:val="-6"/>
        </w:rPr>
        <w:t> </w:t>
      </w:r>
      <w:r>
        <w:rPr>
          <w:color w:val="231F20"/>
        </w:rPr>
        <w:t>vertu</w:t>
      </w:r>
      <w:r>
        <w:rPr>
          <w:color w:val="231F20"/>
          <w:spacing w:val="-5"/>
        </w:rPr>
        <w:t> </w:t>
      </w:r>
      <w:r>
        <w:rPr>
          <w:color w:val="231F20"/>
        </w:rPr>
        <w:t>de</w:t>
      </w:r>
      <w:r>
        <w:rPr>
          <w:color w:val="231F20"/>
          <w:spacing w:val="-5"/>
        </w:rPr>
        <w:t> </w:t>
      </w:r>
      <w:r>
        <w:rPr>
          <w:color w:val="231F20"/>
        </w:rPr>
        <w:t>l’article</w:t>
      </w:r>
      <w:r>
        <w:rPr>
          <w:color w:val="231F20"/>
          <w:spacing w:val="-6"/>
        </w:rPr>
        <w:t> </w:t>
      </w:r>
      <w:r>
        <w:rPr>
          <w:color w:val="231F20"/>
        </w:rPr>
        <w:t>7:83</w:t>
      </w:r>
      <w:r>
        <w:rPr>
          <w:color w:val="231F20"/>
          <w:spacing w:val="-5"/>
        </w:rPr>
        <w:t> </w:t>
      </w:r>
      <w:r>
        <w:rPr>
          <w:color w:val="231F20"/>
        </w:rPr>
        <w:t>ou</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loi</w:t>
      </w:r>
      <w:r>
        <w:rPr>
          <w:color w:val="231F20"/>
          <w:spacing w:val="-5"/>
        </w:rPr>
        <w:t> </w:t>
      </w:r>
      <w:r>
        <w:rPr>
          <w:color w:val="231F20"/>
        </w:rPr>
        <w:t>du</w:t>
      </w:r>
      <w:r>
        <w:rPr>
          <w:color w:val="231F20"/>
          <w:spacing w:val="-6"/>
        </w:rPr>
        <w:t> </w:t>
      </w:r>
      <w:r>
        <w:rPr>
          <w:color w:val="231F20"/>
        </w:rPr>
        <w:t>2</w:t>
      </w:r>
      <w:r>
        <w:rPr>
          <w:color w:val="231F20"/>
          <w:spacing w:val="-5"/>
        </w:rPr>
        <w:t> </w:t>
      </w:r>
      <w:r>
        <w:rPr>
          <w:color w:val="231F20"/>
        </w:rPr>
        <w:t>mai</w:t>
      </w:r>
      <w:r>
        <w:rPr>
          <w:color w:val="231F20"/>
          <w:spacing w:val="-5"/>
        </w:rPr>
        <w:t> </w:t>
      </w:r>
      <w:r>
        <w:rPr>
          <w:color w:val="231F20"/>
        </w:rPr>
        <w:t>2007</w:t>
      </w:r>
      <w:r>
        <w:rPr>
          <w:color w:val="231F20"/>
          <w:spacing w:val="-6"/>
        </w:rPr>
        <w:t> </w:t>
      </w:r>
      <w:r>
        <w:rPr>
          <w:color w:val="231F20"/>
        </w:rPr>
        <w:t>relative à la publicité des participations importantes dans des émetteurs dont les actions sont admises à la négociation sur un marché réglementé et portant des dispositions diverses, l’organe d’administration peut reporter l’assemblée à cinq semaines. L’assemblée générale reportée est convoquée dans les formes habituelles. Son ordre du jour peut être complété ou</w:t>
      </w:r>
      <w:r>
        <w:rPr>
          <w:color w:val="231F20"/>
          <w:spacing w:val="-11"/>
        </w:rPr>
        <w:t> </w:t>
      </w:r>
      <w:r>
        <w:rPr>
          <w:color w:val="231F20"/>
        </w:rPr>
        <w:t>amendé.</w:t>
      </w:r>
    </w:p>
    <w:p>
      <w:pPr>
        <w:pStyle w:val="BodyText"/>
        <w:spacing w:line="218" w:lineRule="auto" w:before="129"/>
        <w:ind w:right="83"/>
      </w:pPr>
      <w:r>
        <w:rPr>
          <w:color w:val="231F20"/>
        </w:rPr>
        <w:t>Art. 7:132. Une copie des documents qui doivent être mis à la disposition des titulaires d’actions nominatives, d’obligations conver- tibles nominatives, de droits de souscription nominatifs et de certificats nominatifs émis avec la collaboration de la société, des administrateurs et du commissaire en vertu du présent code leur est adressée en même temps que la convocation et selon les mêmes modalités.</w:t>
      </w:r>
    </w:p>
    <w:p>
      <w:pPr>
        <w:pStyle w:val="BodyText"/>
        <w:spacing w:before="9"/>
        <w:ind w:left="0" w:right="0" w:firstLine="0"/>
        <w:jc w:val="left"/>
        <w:rPr>
          <w:sz w:val="26"/>
        </w:rPr>
      </w:pPr>
    </w:p>
    <w:p>
      <w:pPr>
        <w:pStyle w:val="BodyText"/>
        <w:spacing w:line="218" w:lineRule="auto"/>
        <w:ind w:right="82"/>
      </w:pPr>
      <w:r>
        <w:rPr>
          <w:color w:val="231F20"/>
        </w:rPr>
        <w:t>Dans</w:t>
      </w:r>
      <w:r>
        <w:rPr>
          <w:color w:val="231F20"/>
          <w:spacing w:val="-7"/>
        </w:rPr>
        <w:t> </w:t>
      </w:r>
      <w:r>
        <w:rPr>
          <w:color w:val="231F20"/>
        </w:rPr>
        <w:t>les</w:t>
      </w:r>
      <w:r>
        <w:rPr>
          <w:color w:val="231F20"/>
          <w:spacing w:val="-6"/>
        </w:rPr>
        <w:t> </w:t>
      </w:r>
      <w:r>
        <w:rPr>
          <w:color w:val="231F20"/>
        </w:rPr>
        <w:t>sociétés</w:t>
      </w:r>
      <w:r>
        <w:rPr>
          <w:color w:val="231F20"/>
          <w:spacing w:val="-6"/>
        </w:rPr>
        <w:t> </w:t>
      </w:r>
      <w:r>
        <w:rPr>
          <w:color w:val="231F20"/>
        </w:rPr>
        <w:t>non</w:t>
      </w:r>
      <w:r>
        <w:rPr>
          <w:color w:val="231F20"/>
          <w:spacing w:val="-7"/>
        </w:rPr>
        <w:t> </w:t>
      </w:r>
      <w:r>
        <w:rPr>
          <w:color w:val="231F20"/>
        </w:rPr>
        <w:t>cotées,</w:t>
      </w:r>
      <w:r>
        <w:rPr>
          <w:color w:val="231F20"/>
          <w:spacing w:val="-6"/>
        </w:rPr>
        <w:t> </w:t>
      </w:r>
      <w:r>
        <w:rPr>
          <w:color w:val="231F20"/>
        </w:rPr>
        <w:t>les</w:t>
      </w:r>
      <w:r>
        <w:rPr>
          <w:color w:val="231F20"/>
          <w:spacing w:val="-6"/>
        </w:rPr>
        <w:t> </w:t>
      </w:r>
      <w:r>
        <w:rPr>
          <w:color w:val="231F20"/>
        </w:rPr>
        <w:t>titulaires</w:t>
      </w:r>
      <w:r>
        <w:rPr>
          <w:color w:val="231F20"/>
          <w:spacing w:val="-6"/>
        </w:rPr>
        <w:t> </w:t>
      </w:r>
      <w:r>
        <w:rPr>
          <w:color w:val="231F20"/>
        </w:rPr>
        <w:t>d’autres</w:t>
      </w:r>
      <w:r>
        <w:rPr>
          <w:color w:val="231F20"/>
          <w:spacing w:val="-7"/>
        </w:rPr>
        <w:t> </w:t>
      </w:r>
      <w:r>
        <w:rPr>
          <w:color w:val="231F20"/>
        </w:rPr>
        <w:t>actions,</w:t>
      </w:r>
      <w:r>
        <w:rPr>
          <w:color w:val="231F20"/>
          <w:spacing w:val="-6"/>
        </w:rPr>
        <w:t> </w:t>
      </w:r>
      <w:r>
        <w:rPr>
          <w:color w:val="231F20"/>
        </w:rPr>
        <w:t>obligations convertibles, droits de souscription et certificats émis avec la collabo- ration</w:t>
      </w:r>
      <w:r>
        <w:rPr>
          <w:color w:val="231F20"/>
          <w:spacing w:val="-3"/>
        </w:rPr>
        <w:t> </w:t>
      </w:r>
      <w:r>
        <w:rPr>
          <w:color w:val="231F20"/>
        </w:rPr>
        <w:t>de</w:t>
      </w:r>
      <w:r>
        <w:rPr>
          <w:color w:val="231F20"/>
          <w:spacing w:val="-3"/>
        </w:rPr>
        <w:t> </w:t>
      </w:r>
      <w:r>
        <w:rPr>
          <w:color w:val="231F20"/>
        </w:rPr>
        <w:t>la</w:t>
      </w:r>
      <w:r>
        <w:rPr>
          <w:color w:val="231F20"/>
          <w:spacing w:val="-2"/>
        </w:rPr>
        <w:t> </w:t>
      </w:r>
      <w:r>
        <w:rPr>
          <w:color w:val="231F20"/>
        </w:rPr>
        <w:t>société</w:t>
      </w:r>
      <w:r>
        <w:rPr>
          <w:color w:val="231F20"/>
          <w:spacing w:val="-3"/>
        </w:rPr>
        <w:t> </w:t>
      </w:r>
      <w:r>
        <w:rPr>
          <w:color w:val="231F20"/>
        </w:rPr>
        <w:t>peuvent,</w:t>
      </w:r>
      <w:r>
        <w:rPr>
          <w:color w:val="231F20"/>
          <w:spacing w:val="-2"/>
        </w:rPr>
        <w:t> </w:t>
      </w:r>
      <w:r>
        <w:rPr>
          <w:color w:val="231F20"/>
        </w:rPr>
        <w:t>à</w:t>
      </w:r>
      <w:r>
        <w:rPr>
          <w:color w:val="231F20"/>
          <w:spacing w:val="-3"/>
        </w:rPr>
        <w:t> </w:t>
      </w:r>
      <w:r>
        <w:rPr>
          <w:color w:val="231F20"/>
        </w:rPr>
        <w:t>partir</w:t>
      </w:r>
      <w:r>
        <w:rPr>
          <w:color w:val="231F20"/>
          <w:spacing w:val="-2"/>
        </w:rPr>
        <w:t> </w:t>
      </w:r>
      <w:r>
        <w:rPr>
          <w:color w:val="231F20"/>
        </w:rPr>
        <w:t>de</w:t>
      </w:r>
      <w:r>
        <w:rPr>
          <w:color w:val="231F20"/>
          <w:spacing w:val="-3"/>
        </w:rPr>
        <w:t> </w:t>
      </w:r>
      <w:r>
        <w:rPr>
          <w:color w:val="231F20"/>
        </w:rPr>
        <w:t>ce</w:t>
      </w:r>
      <w:r>
        <w:rPr>
          <w:color w:val="231F20"/>
          <w:spacing w:val="-2"/>
        </w:rPr>
        <w:t> </w:t>
      </w:r>
      <w:r>
        <w:rPr>
          <w:color w:val="231F20"/>
        </w:rPr>
        <w:t>moment,</w:t>
      </w:r>
      <w:r>
        <w:rPr>
          <w:color w:val="231F20"/>
          <w:spacing w:val="-3"/>
        </w:rPr>
        <w:t> </w:t>
      </w:r>
      <w:r>
        <w:rPr>
          <w:color w:val="231F20"/>
        </w:rPr>
        <w:t>recevoir,</w:t>
      </w:r>
      <w:r>
        <w:rPr>
          <w:color w:val="231F20"/>
          <w:spacing w:val="-3"/>
        </w:rPr>
        <w:t> </w:t>
      </w:r>
      <w:r>
        <w:rPr>
          <w:color w:val="231F20"/>
        </w:rPr>
        <w:t>au</w:t>
      </w:r>
      <w:r>
        <w:rPr>
          <w:color w:val="231F20"/>
          <w:spacing w:val="-2"/>
        </w:rPr>
        <w:t> </w:t>
      </w:r>
      <w:r>
        <w:rPr>
          <w:color w:val="231F20"/>
        </w:rPr>
        <w:t>siège</w:t>
      </w:r>
      <w:r>
        <w:rPr>
          <w:color w:val="231F20"/>
          <w:spacing w:val="-3"/>
        </w:rPr>
        <w:t> </w:t>
      </w:r>
      <w:r>
        <w:rPr>
          <w:color w:val="231F20"/>
        </w:rPr>
        <w:t>de celle-ci,</w:t>
      </w:r>
      <w:r>
        <w:rPr>
          <w:color w:val="231F20"/>
          <w:spacing w:val="15"/>
        </w:rPr>
        <w:t> </w:t>
      </w:r>
      <w:r>
        <w:rPr>
          <w:color w:val="231F20"/>
        </w:rPr>
        <w:t>une</w:t>
      </w:r>
      <w:r>
        <w:rPr>
          <w:color w:val="231F20"/>
          <w:spacing w:val="15"/>
        </w:rPr>
        <w:t> </w:t>
      </w:r>
      <w:r>
        <w:rPr>
          <w:color w:val="231F20"/>
        </w:rPr>
        <w:t>copie</w:t>
      </w:r>
      <w:r>
        <w:rPr>
          <w:color w:val="231F20"/>
          <w:spacing w:val="15"/>
        </w:rPr>
        <w:t> </w:t>
      </w:r>
      <w:r>
        <w:rPr>
          <w:color w:val="231F20"/>
        </w:rPr>
        <w:t>de</w:t>
      </w:r>
      <w:r>
        <w:rPr>
          <w:color w:val="231F20"/>
          <w:spacing w:val="15"/>
        </w:rPr>
        <w:t> </w:t>
      </w:r>
      <w:r>
        <w:rPr>
          <w:color w:val="231F20"/>
        </w:rPr>
        <w:t>ces</w:t>
      </w:r>
      <w:r>
        <w:rPr>
          <w:color w:val="231F20"/>
          <w:spacing w:val="15"/>
        </w:rPr>
        <w:t> </w:t>
      </w:r>
      <w:r>
        <w:rPr>
          <w:color w:val="231F20"/>
        </w:rPr>
        <w:t>documents.</w:t>
      </w:r>
    </w:p>
    <w:p>
      <w:pPr>
        <w:pStyle w:val="BodyText"/>
        <w:spacing w:before="8"/>
        <w:ind w:left="0" w:right="0" w:firstLine="0"/>
        <w:jc w:val="left"/>
        <w:rPr>
          <w:sz w:val="26"/>
        </w:rPr>
      </w:pPr>
    </w:p>
    <w:p>
      <w:pPr>
        <w:pStyle w:val="BodyText"/>
        <w:spacing w:line="218" w:lineRule="auto" w:before="1"/>
        <w:ind w:right="82"/>
      </w:pPr>
      <w:r>
        <w:rPr>
          <w:color w:val="231F20"/>
        </w:rPr>
        <w:t>Dans ces sociétés, une copie de ces documents est également et sans délai adressée aux personnes qui, au plus tard sept jours avant l’assemblée générale, ont rempli les formalités requises par les statuts pour être admises à l’assemblée. Les personnes qui ont rempli ces formalités après ce délai reçoivent une copie de ces documents à l’assemblée générale.</w:t>
      </w:r>
    </w:p>
    <w:p>
      <w:pPr>
        <w:pStyle w:val="BodyText"/>
        <w:spacing w:before="114"/>
        <w:ind w:left="284" w:right="0" w:firstLine="0"/>
        <w:jc w:val="left"/>
      </w:pPr>
      <w:r>
        <w:rPr>
          <w:color w:val="231F20"/>
        </w:rPr>
        <w:t>Sous-section 4. Assemblée générale écrite.</w:t>
      </w:r>
    </w:p>
    <w:p>
      <w:pPr>
        <w:pStyle w:val="BodyText"/>
        <w:spacing w:line="218" w:lineRule="auto" w:before="125"/>
        <w:ind w:right="82"/>
      </w:pPr>
      <w:r>
        <w:rPr>
          <w:color w:val="231F20"/>
        </w:rPr>
        <w:t>Art. 7:133. Les actionnaires peuvent, à l’unanimité, prendre par écrit toutes les décisions qui relèvent du pouvoir de l’assemblée générale, à l’exception de celles qui doivent être reçues par acte authentique. Dans ce cas, les formalités de convocation ne doivent pas être accomplies.</w:t>
      </w:r>
      <w:r>
        <w:rPr>
          <w:color w:val="231F20"/>
          <w:spacing w:val="-15"/>
        </w:rPr>
        <w:t> </w:t>
      </w:r>
      <w:r>
        <w:rPr>
          <w:color w:val="231F20"/>
        </w:rPr>
        <w:t>Les membres de l’organe d’administration, le commissaire et les titulaires d’obligations convertibles, de droits de souscription ou de certificats émis avec la collaboration de la société peuvent, à leur demande, prendre connaissance de ces</w:t>
      </w:r>
      <w:r>
        <w:rPr>
          <w:color w:val="231F20"/>
          <w:spacing w:val="18"/>
        </w:rPr>
        <w:t> </w:t>
      </w:r>
      <w:r>
        <w:rPr>
          <w:color w:val="231F20"/>
        </w:rPr>
        <w:t>décisions.</w:t>
      </w:r>
    </w:p>
    <w:p>
      <w:pPr>
        <w:pStyle w:val="BodyText"/>
        <w:spacing w:line="218" w:lineRule="auto" w:before="119"/>
      </w:pPr>
      <w:r>
        <w:rPr/>
        <w:br w:type="column"/>
      </w:r>
      <w:r>
        <w:rPr>
          <w:color w:val="231F20"/>
        </w:rPr>
        <w:t>De te behandelen onderwerpen en de voorstellen tot besluit die met toepassing van dit artikel op de agenda zijn geplaatst, worden slechts besproken indien het in het eerste lid bedoelde aandeel van het kapitaal is geregistreerd overeenkomstig artikel 7:134, § 2.</w:t>
      </w:r>
    </w:p>
    <w:p>
      <w:pPr>
        <w:pStyle w:val="BodyText"/>
        <w:spacing w:line="218" w:lineRule="auto" w:before="118"/>
      </w:pPr>
      <w:r>
        <w:rPr>
          <w:color w:val="231F20"/>
        </w:rPr>
        <w:t>§ 2. De aandeelhouders formuleren de in paragraaf 1 bedoelde verzoeken schriftelijk, en voegen naargelang van het geval de tekst van de te behandelen onderwerpen en de bijbehorende voorstellen tot besluit, of van de tekst van de op de agenda te plaatsen voorstellen tot besluit bij en het bewijs bedoeld in paragraaf 1, tweede lid.</w:t>
      </w:r>
    </w:p>
    <w:p>
      <w:pPr>
        <w:pStyle w:val="BodyText"/>
        <w:spacing w:line="218" w:lineRule="auto" w:before="118"/>
      </w:pPr>
      <w:r>
        <w:rPr>
          <w:color w:val="231F20"/>
        </w:rPr>
        <w:t>De vennootschap moet deze verzoeken uiterlijk op de tweeëntwin- tigste dag vóór de datum van de algemene vergadering ontvangen. De vennootschap bevestigt ontvangst van deze verzoeken op het door de aandeelhouders opgegeven post- of e-mailadres binnen een termijn van achtenveertig uur te rekenen vanaf die ontvangst.</w:t>
      </w:r>
    </w:p>
    <w:p>
      <w:pPr>
        <w:pStyle w:val="BodyText"/>
        <w:spacing w:line="218" w:lineRule="auto" w:before="125"/>
      </w:pPr>
      <w:r>
        <w:rPr>
          <w:color w:val="231F20"/>
        </w:rPr>
        <w:t>§ 3. Onverminderd artikel 7:129, § 3, eerste lid, </w:t>
      </w:r>
      <w:r>
        <w:rPr>
          <w:rFonts w:ascii="Times New Roman" w:hAnsi="Times New Roman"/>
          <w:i/>
          <w:color w:val="231F20"/>
        </w:rPr>
        <w:t>d)</w:t>
      </w:r>
      <w:r>
        <w:rPr>
          <w:color w:val="231F20"/>
        </w:rPr>
        <w:t>, maakt de vennootschap uiterlijk op de vijftiende dag vóór de datum van de algemene vergadering, conform artikel 7:128 een aangevulde agenda bekend.</w:t>
      </w:r>
    </w:p>
    <w:p>
      <w:pPr>
        <w:pStyle w:val="BodyText"/>
        <w:spacing w:line="218" w:lineRule="auto" w:before="129"/>
      </w:pPr>
      <w:r>
        <w:rPr>
          <w:color w:val="231F20"/>
        </w:rPr>
        <w:t>Tegelijkertijd stelt de vennootschap, op de vennootschapswebsite, aan haar aandeelhouders de aan de aangevulde agenda aangepaste formulieren ter beschikking om te stemmen bij volmacht en, in voorkomend geval, om te stemmen per brief. De vennootschap moet geen aangepaste formulieren rechtstreeks aan de aandeelhouders meedelen. Artikel 7:129, § 3, </w:t>
      </w:r>
      <w:r>
        <w:rPr>
          <w:rFonts w:ascii="Times New Roman" w:hAnsi="Times New Roman"/>
          <w:i/>
          <w:color w:val="231F20"/>
        </w:rPr>
        <w:t>e)</w:t>
      </w:r>
      <w:r>
        <w:rPr>
          <w:color w:val="231F20"/>
        </w:rPr>
        <w:t>, tweede lid, is van toepassing.</w:t>
      </w:r>
    </w:p>
    <w:p>
      <w:pPr>
        <w:pStyle w:val="BodyText"/>
        <w:spacing w:line="218" w:lineRule="auto" w:before="126"/>
      </w:pPr>
      <w:r>
        <w:rPr>
          <w:color w:val="231F20"/>
        </w:rPr>
        <w:t>§ 4. De volmachten die ter kennis worden gebracht van de vennootschap vóór de bekendmaking van een aangevulde agenda, blijven geldig voor de op de agenda opgenomen te</w:t>
      </w:r>
      <w:r>
        <w:rPr>
          <w:color w:val="231F20"/>
          <w:spacing w:val="22"/>
        </w:rPr>
        <w:t> </w:t>
      </w:r>
      <w:r>
        <w:rPr>
          <w:color w:val="231F20"/>
        </w:rPr>
        <w:t>behandelen onderwerpen waarvoor zij werden</w:t>
      </w:r>
      <w:r>
        <w:rPr>
          <w:color w:val="231F20"/>
          <w:spacing w:val="26"/>
        </w:rPr>
        <w:t> </w:t>
      </w:r>
      <w:r>
        <w:rPr>
          <w:color w:val="231F20"/>
        </w:rPr>
        <w:t>verleend.</w:t>
      </w:r>
    </w:p>
    <w:p>
      <w:pPr>
        <w:pStyle w:val="BodyText"/>
        <w:spacing w:line="218" w:lineRule="auto" w:before="128"/>
      </w:pPr>
      <w:r>
        <w:rPr>
          <w:color w:val="231F20"/>
        </w:rPr>
        <w:t>In afwijking van het eerste lid kan de volmachtdrager, voor de op de agenda opgenomen te behandelen onderwerpen waarvoor met toepas- sing van deze bepaling nieuwe voorstellen tot besluit zijn ingediend, tijdens de vergadering afwijken van de eventuele instructies van</w:t>
      </w:r>
      <w:r>
        <w:rPr>
          <w:color w:val="231F20"/>
          <w:spacing w:val="32"/>
        </w:rPr>
        <w:t> </w:t>
      </w:r>
      <w:r>
        <w:rPr>
          <w:color w:val="231F20"/>
        </w:rPr>
        <w:t>de volmachtgever, indien de uitvoering van die instructies de</w:t>
      </w:r>
      <w:r>
        <w:rPr>
          <w:color w:val="231F20"/>
          <w:spacing w:val="24"/>
        </w:rPr>
        <w:t> </w:t>
      </w:r>
      <w:r>
        <w:rPr>
          <w:color w:val="231F20"/>
        </w:rPr>
        <w:t>belangen van de volmachtgever zou kunnen schaden. De volmachtdrager moet de</w:t>
      </w:r>
      <w:r>
        <w:rPr>
          <w:color w:val="231F20"/>
          <w:spacing w:val="15"/>
        </w:rPr>
        <w:t> </w:t>
      </w:r>
      <w:r>
        <w:rPr>
          <w:color w:val="231F20"/>
        </w:rPr>
        <w:t>volmachtgever</w:t>
      </w:r>
      <w:r>
        <w:rPr>
          <w:color w:val="231F20"/>
          <w:spacing w:val="16"/>
        </w:rPr>
        <w:t> </w:t>
      </w:r>
      <w:r>
        <w:rPr>
          <w:color w:val="231F20"/>
        </w:rPr>
        <w:t>daarvan</w:t>
      </w:r>
      <w:r>
        <w:rPr>
          <w:color w:val="231F20"/>
          <w:spacing w:val="16"/>
        </w:rPr>
        <w:t> </w:t>
      </w:r>
      <w:r>
        <w:rPr>
          <w:color w:val="231F20"/>
        </w:rPr>
        <w:t>in</w:t>
      </w:r>
      <w:r>
        <w:rPr>
          <w:color w:val="231F20"/>
          <w:spacing w:val="16"/>
        </w:rPr>
        <w:t> </w:t>
      </w:r>
      <w:r>
        <w:rPr>
          <w:color w:val="231F20"/>
        </w:rPr>
        <w:t>kennis</w:t>
      </w:r>
      <w:r>
        <w:rPr>
          <w:color w:val="231F20"/>
          <w:spacing w:val="16"/>
        </w:rPr>
        <w:t> </w:t>
      </w:r>
      <w:r>
        <w:rPr>
          <w:color w:val="231F20"/>
        </w:rPr>
        <w:t>stellen.</w:t>
      </w:r>
    </w:p>
    <w:p>
      <w:pPr>
        <w:pStyle w:val="BodyText"/>
        <w:spacing w:line="218" w:lineRule="auto" w:before="128"/>
      </w:pPr>
      <w:r>
        <w:rPr>
          <w:color w:val="231F20"/>
        </w:rPr>
        <w:t>De volmacht moet vermelden of de volmachtdrager gemachtigd is  om te stemmen over de nieuw te behandelen onderwerpen die op de agenda</w:t>
      </w:r>
      <w:r>
        <w:rPr>
          <w:color w:val="231F20"/>
          <w:spacing w:val="17"/>
        </w:rPr>
        <w:t> </w:t>
      </w:r>
      <w:r>
        <w:rPr>
          <w:color w:val="231F20"/>
        </w:rPr>
        <w:t>zijn</w:t>
      </w:r>
      <w:r>
        <w:rPr>
          <w:color w:val="231F20"/>
          <w:spacing w:val="17"/>
        </w:rPr>
        <w:t> </w:t>
      </w:r>
      <w:r>
        <w:rPr>
          <w:color w:val="231F20"/>
        </w:rPr>
        <w:t>opgenomen,</w:t>
      </w:r>
      <w:r>
        <w:rPr>
          <w:color w:val="231F20"/>
          <w:spacing w:val="18"/>
        </w:rPr>
        <w:t> </w:t>
      </w:r>
      <w:r>
        <w:rPr>
          <w:color w:val="231F20"/>
        </w:rPr>
        <w:t>dan</w:t>
      </w:r>
      <w:r>
        <w:rPr>
          <w:color w:val="231F20"/>
          <w:spacing w:val="17"/>
        </w:rPr>
        <w:t> </w:t>
      </w:r>
      <w:r>
        <w:rPr>
          <w:color w:val="231F20"/>
        </w:rPr>
        <w:t>wel</w:t>
      </w:r>
      <w:r>
        <w:rPr>
          <w:color w:val="231F20"/>
          <w:spacing w:val="18"/>
        </w:rPr>
        <w:t> </w:t>
      </w:r>
      <w:r>
        <w:rPr>
          <w:color w:val="231F20"/>
        </w:rPr>
        <w:t>of</w:t>
      </w:r>
      <w:r>
        <w:rPr>
          <w:color w:val="231F20"/>
          <w:spacing w:val="17"/>
        </w:rPr>
        <w:t> </w:t>
      </w:r>
      <w:r>
        <w:rPr>
          <w:color w:val="231F20"/>
        </w:rPr>
        <w:t>hij</w:t>
      </w:r>
      <w:r>
        <w:rPr>
          <w:color w:val="231F20"/>
          <w:spacing w:val="18"/>
        </w:rPr>
        <w:t> </w:t>
      </w:r>
      <w:r>
        <w:rPr>
          <w:color w:val="231F20"/>
        </w:rPr>
        <w:t>zich</w:t>
      </w:r>
      <w:r>
        <w:rPr>
          <w:color w:val="231F20"/>
          <w:spacing w:val="17"/>
        </w:rPr>
        <w:t> </w:t>
      </w:r>
      <w:r>
        <w:rPr>
          <w:color w:val="231F20"/>
        </w:rPr>
        <w:t>moet</w:t>
      </w:r>
      <w:r>
        <w:rPr>
          <w:color w:val="231F20"/>
          <w:spacing w:val="18"/>
        </w:rPr>
        <w:t> </w:t>
      </w:r>
      <w:r>
        <w:rPr>
          <w:color w:val="231F20"/>
        </w:rPr>
        <w:t>onthouden.</w:t>
      </w:r>
    </w:p>
    <w:p>
      <w:pPr>
        <w:pStyle w:val="BodyText"/>
        <w:spacing w:line="218" w:lineRule="auto" w:before="128"/>
      </w:pPr>
      <w:r>
        <w:rPr>
          <w:color w:val="231F20"/>
        </w:rPr>
        <w:t>Art. 7:131. </w:t>
      </w:r>
      <w:r>
        <w:rPr>
          <w:color w:val="231F20"/>
          <w:spacing w:val="-4"/>
        </w:rPr>
        <w:t>Wanneer,  </w:t>
      </w:r>
      <w:r>
        <w:rPr>
          <w:color w:val="231F20"/>
        </w:rPr>
        <w:t>binnen twintig dagen vóór de datum waarop  een algemene vergadering is samengeroepen, een vennootschap</w:t>
      </w:r>
      <w:r>
        <w:rPr>
          <w:color w:val="231F20"/>
          <w:spacing w:val="33"/>
        </w:rPr>
        <w:t> </w:t>
      </w:r>
      <w:r>
        <w:rPr>
          <w:color w:val="231F20"/>
        </w:rPr>
        <w:t>een kennisgeving ontvangt of weet dat een kennisgeving had  moeten</w:t>
      </w:r>
      <w:r>
        <w:rPr>
          <w:color w:val="231F20"/>
          <w:spacing w:val="28"/>
        </w:rPr>
        <w:t> </w:t>
      </w:r>
      <w:r>
        <w:rPr>
          <w:color w:val="231F20"/>
        </w:rPr>
        <w:t>of nog moet worden verricht op grond van artikel 7:83 of van de wet van  2 mei 2007 op de openbaarmaking van belangrijke deelnemingen in emittenten waarvan aandelen zijn toegelaten tot de verhandeling op een gereglementeerde markt en houdende diverse bepalingen, kan het bestuursorgaan de vergadering tot vijf weken verdagen. De verdaagde algemene vergadering wordt op de gewone wijze  samengeroepen.  Haar</w:t>
      </w:r>
      <w:r>
        <w:rPr>
          <w:color w:val="231F20"/>
          <w:spacing w:val="18"/>
        </w:rPr>
        <w:t> </w:t>
      </w:r>
      <w:r>
        <w:rPr>
          <w:color w:val="231F20"/>
        </w:rPr>
        <w:t>agenda</w:t>
      </w:r>
      <w:r>
        <w:rPr>
          <w:color w:val="231F20"/>
          <w:spacing w:val="18"/>
        </w:rPr>
        <w:t> </w:t>
      </w:r>
      <w:r>
        <w:rPr>
          <w:color w:val="231F20"/>
        </w:rPr>
        <w:t>mag</w:t>
      </w:r>
      <w:r>
        <w:rPr>
          <w:color w:val="231F20"/>
          <w:spacing w:val="19"/>
        </w:rPr>
        <w:t> </w:t>
      </w:r>
      <w:r>
        <w:rPr>
          <w:color w:val="231F20"/>
        </w:rPr>
        <w:t>worden</w:t>
      </w:r>
      <w:r>
        <w:rPr>
          <w:color w:val="231F20"/>
          <w:spacing w:val="18"/>
        </w:rPr>
        <w:t> </w:t>
      </w:r>
      <w:r>
        <w:rPr>
          <w:color w:val="231F20"/>
        </w:rPr>
        <w:t>aangevuld</w:t>
      </w:r>
      <w:r>
        <w:rPr>
          <w:color w:val="231F20"/>
          <w:spacing w:val="18"/>
        </w:rPr>
        <w:t> </w:t>
      </w:r>
      <w:r>
        <w:rPr>
          <w:color w:val="231F20"/>
        </w:rPr>
        <w:t>of</w:t>
      </w:r>
      <w:r>
        <w:rPr>
          <w:color w:val="231F20"/>
          <w:spacing w:val="19"/>
        </w:rPr>
        <w:t> </w:t>
      </w:r>
      <w:r>
        <w:rPr>
          <w:color w:val="231F20"/>
        </w:rPr>
        <w:t>gewijzigd.</w:t>
      </w:r>
    </w:p>
    <w:p>
      <w:pPr>
        <w:pStyle w:val="BodyText"/>
        <w:spacing w:line="218" w:lineRule="auto" w:before="129"/>
      </w:pPr>
      <w:r>
        <w:rPr>
          <w:color w:val="231F20"/>
        </w:rPr>
        <w:t>Art. 7:132. Samen met de oproepingsbrief en volgens dezelfde modaliteiten, wordt aan de houders van aandelen op naam, conver- teerbare obligaties op naam, inschrijvingsrechten op naam en certifica- ten op naam die met medewerking van de vennootschap werden uitgegeven, aan de bestuurders en aan de commissaris een kopie toegezonden van de stukken, die hen krachtens dit wetboek moeten worden ter beschikking gesteld.</w:t>
      </w:r>
    </w:p>
    <w:p>
      <w:pPr>
        <w:pStyle w:val="BodyText"/>
        <w:spacing w:line="218" w:lineRule="auto" w:before="129"/>
      </w:pPr>
      <w:r>
        <w:rPr>
          <w:color w:val="231F20"/>
        </w:rPr>
        <w:t>In niet genoteerde vennootschappen kunnen, vanaf dat ogenblik, de houders van andere aandelen, converteerbare obligaties, inschrijvings- rechten en certificaten die met medewerking van de vennootschap werden uitgegeven, ter zetel van de vennootschap een kopie krijgen  van deze</w:t>
      </w:r>
      <w:r>
        <w:rPr>
          <w:color w:val="231F20"/>
          <w:spacing w:val="-11"/>
        </w:rPr>
        <w:t> </w:t>
      </w:r>
      <w:r>
        <w:rPr>
          <w:color w:val="231F20"/>
        </w:rPr>
        <w:t>stukken.</w:t>
      </w:r>
    </w:p>
    <w:p>
      <w:pPr>
        <w:pStyle w:val="BodyText"/>
        <w:spacing w:line="218" w:lineRule="auto" w:before="128"/>
      </w:pPr>
      <w:r>
        <w:rPr>
          <w:color w:val="231F20"/>
        </w:rPr>
        <w:t>In deze vennootschappen wordt ook onverwijld een kopie van deze stukken toegezonden aan degenen die, uiterlijk zeven dagen vóór de algemene vergadering, hebben voldaan aan de statutair voorgeschre- ven formaliteiten om tot de vergadering te worden toegelaten. De personen die deze formaliteiten na dit tijdstip hebben vervuld, krijgen een kopie van deze stukken op de algemene vergadering.</w:t>
      </w:r>
    </w:p>
    <w:p>
      <w:pPr>
        <w:pStyle w:val="BodyText"/>
        <w:spacing w:before="114"/>
        <w:ind w:left="283" w:right="0" w:firstLine="0"/>
        <w:jc w:val="left"/>
      </w:pPr>
      <w:r>
        <w:rPr>
          <w:color w:val="231F20"/>
        </w:rPr>
        <w:t>Onderafdeling 4. Schriftelijke algemene vergadering.</w:t>
      </w:r>
    </w:p>
    <w:p>
      <w:pPr>
        <w:pStyle w:val="BodyText"/>
        <w:spacing w:line="218" w:lineRule="auto" w:before="125"/>
      </w:pPr>
      <w:r>
        <w:rPr>
          <w:color w:val="231F20"/>
        </w:rPr>
        <w:t>Art. 7:133. De aandeelhouders kunnen eenparig en schriftelijk alle besluiten nemen die tot de bevoegdheid van de algemene vergadering behoren, met uitzondering van diegene die bij authentieke akte moeten worden verleden. In dat geval dienen de formaliteiten van bijeenroe- ping niet te worden vervuld. De leden van het bestuursorgaan, de commissaris</w:t>
      </w:r>
      <w:r>
        <w:rPr>
          <w:color w:val="231F20"/>
          <w:spacing w:val="-10"/>
        </w:rPr>
        <w:t> </w:t>
      </w:r>
      <w:r>
        <w:rPr>
          <w:color w:val="231F20"/>
        </w:rPr>
        <w:t>en</w:t>
      </w:r>
      <w:r>
        <w:rPr>
          <w:color w:val="231F20"/>
          <w:spacing w:val="-10"/>
        </w:rPr>
        <w:t> </w:t>
      </w:r>
      <w:r>
        <w:rPr>
          <w:color w:val="231F20"/>
        </w:rPr>
        <w:t>de</w:t>
      </w:r>
      <w:r>
        <w:rPr>
          <w:color w:val="231F20"/>
          <w:spacing w:val="-9"/>
        </w:rPr>
        <w:t> </w:t>
      </w:r>
      <w:r>
        <w:rPr>
          <w:color w:val="231F20"/>
        </w:rPr>
        <w:t>houders</w:t>
      </w:r>
      <w:r>
        <w:rPr>
          <w:color w:val="231F20"/>
          <w:spacing w:val="-10"/>
        </w:rPr>
        <w:t> </w:t>
      </w:r>
      <w:r>
        <w:rPr>
          <w:color w:val="231F20"/>
        </w:rPr>
        <w:t>van</w:t>
      </w:r>
      <w:r>
        <w:rPr>
          <w:color w:val="231F20"/>
          <w:spacing w:val="-10"/>
        </w:rPr>
        <w:t> </w:t>
      </w:r>
      <w:r>
        <w:rPr>
          <w:color w:val="231F20"/>
        </w:rPr>
        <w:t>converteerbare</w:t>
      </w:r>
      <w:r>
        <w:rPr>
          <w:color w:val="231F20"/>
          <w:spacing w:val="-9"/>
        </w:rPr>
        <w:t> </w:t>
      </w:r>
      <w:r>
        <w:rPr>
          <w:color w:val="231F20"/>
        </w:rPr>
        <w:t>obligaties,</w:t>
      </w:r>
      <w:r>
        <w:rPr>
          <w:color w:val="231F20"/>
          <w:spacing w:val="-10"/>
        </w:rPr>
        <w:t> </w:t>
      </w:r>
      <w:r>
        <w:rPr>
          <w:color w:val="231F20"/>
        </w:rPr>
        <w:t>inschrijvings- rechten of certificaten die met medewerking van de vennootschap werden uitgegeven, mogen op hun verzoek van die besluiten kennis nemen.</w:t>
      </w:r>
    </w:p>
    <w:p>
      <w:pPr>
        <w:spacing w:after="0" w:line="218" w:lineRule="auto"/>
        <w:sectPr>
          <w:headerReference w:type="even" r:id="rId81"/>
          <w:headerReference w:type="default" r:id="rId82"/>
          <w:pgSz w:w="11940" w:h="16880"/>
          <w:pgMar w:header="666" w:footer="0" w:top="1140" w:bottom="280" w:left="340" w:right="360"/>
          <w:pgNumType w:start="33422"/>
          <w:cols w:num="2" w:equalWidth="0">
            <w:col w:w="5572" w:space="56"/>
            <w:col w:w="5612"/>
          </w:cols>
        </w:sectPr>
      </w:pPr>
    </w:p>
    <w:p>
      <w:pPr>
        <w:pStyle w:val="BodyText"/>
        <w:spacing w:before="106"/>
        <w:ind w:left="283" w:right="0" w:firstLine="0"/>
        <w:jc w:val="left"/>
      </w:pPr>
      <w:r>
        <w:rPr/>
        <w:pict>
          <v:line style="position:absolute;mso-position-horizontal-relative:page;mso-position-vertical-relative:page;z-index:5440" from="298.170502pt,64.473pt" to="298.170502pt,812.819pt" stroked="true" strokeweight=".533pt" strokecolor="#231f20">
            <v:stroke dashstyle="solid"/>
            <w10:wrap type="none"/>
          </v:line>
        </w:pict>
      </w:r>
      <w:bookmarkStart w:name="_bookmark184" w:id="189"/>
      <w:bookmarkEnd w:id="189"/>
      <w:r>
        <w:rPr/>
      </w:r>
      <w:r>
        <w:rPr>
          <w:color w:val="231F20"/>
        </w:rPr>
        <w:t>Sous-section 5. Participation à l’assemblée générale.</w:t>
      </w:r>
    </w:p>
    <w:p>
      <w:pPr>
        <w:pStyle w:val="BodyText"/>
        <w:spacing w:line="218" w:lineRule="auto" w:before="88"/>
        <w:ind w:right="38"/>
      </w:pPr>
      <w:r>
        <w:rPr>
          <w:color w:val="231F20"/>
        </w:rPr>
        <w:t>Art. 7:134. § 1</w:t>
      </w:r>
      <w:r>
        <w:rPr>
          <w:color w:val="231F20"/>
          <w:position w:val="7"/>
          <w:sz w:val="11"/>
        </w:rPr>
        <w:t>er</w:t>
      </w:r>
      <w:r>
        <w:rPr>
          <w:color w:val="231F20"/>
        </w:rPr>
        <w:t>. Les statuts déterminent les formalités que les actionnaires doivent accomplir pour être admis à l’assemblée générale.</w:t>
      </w:r>
    </w:p>
    <w:p>
      <w:pPr>
        <w:pStyle w:val="BodyText"/>
        <w:spacing w:before="9"/>
        <w:ind w:left="0" w:right="0" w:firstLine="0"/>
        <w:jc w:val="left"/>
        <w:rPr>
          <w:sz w:val="24"/>
        </w:rPr>
      </w:pPr>
    </w:p>
    <w:p>
      <w:pPr>
        <w:pStyle w:val="BodyText"/>
        <w:spacing w:line="218" w:lineRule="auto" w:before="1"/>
        <w:ind w:right="38"/>
      </w:pPr>
      <w:r>
        <w:rPr>
          <w:color w:val="231F20"/>
        </w:rPr>
        <w:t>§ 2. Le droit de participer à une assemblée générale d’une société cotée et d’y exercer le droit de vote est subordonné à l’enregistrement comptable des actions au nom de l’actionnaire le quatorzième jour qui précède l’assemblée générale, à vingt-quatre heures (heure belge), soit par leur inscription dans le registre des actions nominatives de la société, soit par leur inscription dans les comptes d’un teneur de comptes agréé ou d’un organisme de liquidation, sans qu’il soit tenu compte du nombre d’actions détenues par l’actionnaire au jour de l’assemblée générale.</w:t>
      </w:r>
    </w:p>
    <w:p>
      <w:pPr>
        <w:pStyle w:val="BodyText"/>
        <w:spacing w:before="6"/>
        <w:ind w:left="0" w:right="0" w:firstLine="0"/>
        <w:jc w:val="left"/>
        <w:rPr>
          <w:sz w:val="23"/>
        </w:rPr>
      </w:pPr>
    </w:p>
    <w:p>
      <w:pPr>
        <w:pStyle w:val="BodyText"/>
        <w:spacing w:line="218" w:lineRule="auto" w:before="1"/>
        <w:ind w:right="38"/>
      </w:pPr>
      <w:r>
        <w:rPr>
          <w:color w:val="231F20"/>
        </w:rPr>
        <w:t>Les jour et heure visés à l’alinéa 1</w:t>
      </w:r>
      <w:r>
        <w:rPr>
          <w:color w:val="231F20"/>
          <w:position w:val="7"/>
          <w:sz w:val="11"/>
        </w:rPr>
        <w:t>er </w:t>
      </w:r>
      <w:r>
        <w:rPr>
          <w:color w:val="231F20"/>
        </w:rPr>
        <w:t>constituent la date d’enregistre- ment.</w:t>
      </w:r>
    </w:p>
    <w:p>
      <w:pPr>
        <w:pStyle w:val="BodyText"/>
        <w:spacing w:line="218" w:lineRule="auto" w:before="106"/>
        <w:ind w:right="38"/>
      </w:pPr>
      <w:r>
        <w:rPr>
          <w:color w:val="231F20"/>
        </w:rPr>
        <w:t>L’actionnaire communique à la société, ou à la personne qu’elle a désignée à cette fin, sa volonté de participer à l’assemblée générale, au plus tard le sixième jour qui précède la date de l’assemblée, par le biais de l’adresse électronique de la société ou à l’adresse électronique spécifique indiquée dans la convocation à l’assemblée générale, le cas échéant, au moyen de la procuration visée à l’article 7:143.</w:t>
      </w:r>
    </w:p>
    <w:p>
      <w:pPr>
        <w:pStyle w:val="BodyText"/>
        <w:spacing w:before="10"/>
        <w:ind w:left="0" w:right="0" w:firstLine="0"/>
        <w:jc w:val="left"/>
        <w:rPr>
          <w:sz w:val="24"/>
        </w:rPr>
      </w:pPr>
    </w:p>
    <w:p>
      <w:pPr>
        <w:pStyle w:val="BodyText"/>
        <w:spacing w:line="218" w:lineRule="auto" w:before="1"/>
        <w:ind w:right="38"/>
      </w:pPr>
      <w:r>
        <w:rPr>
          <w:color w:val="231F20"/>
        </w:rPr>
        <w:t>Une attestation est délivrée à l’actionnaire par le teneur de comptes agréé ou par l’organisme de liquidation certifiant le nombre d’actions dématérialisées inscrites à son nom dans ses comptes à la date d’enregistrement, pour lequel l’actionnaire a déclaré vouloir participer à l’assemblée</w:t>
      </w:r>
      <w:r>
        <w:rPr>
          <w:color w:val="231F20"/>
          <w:spacing w:val="-11"/>
        </w:rPr>
        <w:t> </w:t>
      </w:r>
      <w:r>
        <w:rPr>
          <w:color w:val="231F20"/>
        </w:rPr>
        <w:t>générale.</w:t>
      </w:r>
    </w:p>
    <w:p>
      <w:pPr>
        <w:pStyle w:val="BodyText"/>
        <w:spacing w:line="218" w:lineRule="auto" w:before="107"/>
        <w:ind w:right="38"/>
      </w:pPr>
      <w:r>
        <w:rPr>
          <w:color w:val="231F20"/>
        </w:rPr>
        <w:t>Il est indiqué, dans un registre désigné par l’organe d’administration, pour chaque actionnaire qui a signalé sa volonté de participer à l’assemblée générale, ses nom ou dénomination et adresse ou siège, le nombre d’actions qu’il possédait à la date d’enregistrement et pour lequel il a déclaré vouloir participer à l’assemblée générale, ainsi que la description des documents qui établissent qu’il était en possession de ces actions à la date d’enregistrement.</w:t>
      </w:r>
    </w:p>
    <w:p>
      <w:pPr>
        <w:pStyle w:val="BodyText"/>
        <w:spacing w:line="218" w:lineRule="auto" w:before="107"/>
        <w:ind w:right="38"/>
      </w:pPr>
      <w:r>
        <w:rPr>
          <w:color w:val="231F20"/>
        </w:rPr>
        <w:t>Art. 7:135. Les titulaires d’actions sans droit de vote, de parts bénéficiaires sans droit de vote, d’obligations convertibles, de droits de souscription ou de certificats émis en collaboration avec la société peuvent assister aux assemblées générales, mais seulement avec voix consultative. Les statuts déterminent les formalités que ceux-ci doivent accomplir pour être admis à l’assemblée générale.</w:t>
      </w:r>
    </w:p>
    <w:p>
      <w:pPr>
        <w:pStyle w:val="BodyText"/>
        <w:spacing w:before="10"/>
        <w:ind w:left="0" w:right="0" w:firstLine="0"/>
        <w:jc w:val="left"/>
        <w:rPr>
          <w:sz w:val="24"/>
        </w:rPr>
      </w:pPr>
    </w:p>
    <w:p>
      <w:pPr>
        <w:pStyle w:val="BodyText"/>
        <w:spacing w:line="218" w:lineRule="auto"/>
        <w:ind w:right="38"/>
      </w:pPr>
      <w:r>
        <w:rPr>
          <w:color w:val="231F20"/>
        </w:rPr>
        <w:t>Art. 7:136. Le commissaire assiste à l’assemblée générale lorsqu’elle est appelée à délibérer sur la base d’un rapport qu’il a établi.</w:t>
      </w:r>
    </w:p>
    <w:p>
      <w:pPr>
        <w:pStyle w:val="BodyText"/>
        <w:spacing w:before="6"/>
        <w:ind w:left="0" w:right="0" w:firstLine="0"/>
        <w:jc w:val="left"/>
        <w:rPr>
          <w:sz w:val="23"/>
        </w:rPr>
      </w:pPr>
    </w:p>
    <w:p>
      <w:pPr>
        <w:pStyle w:val="BodyText"/>
        <w:spacing w:line="218" w:lineRule="auto"/>
        <w:ind w:right="38"/>
      </w:pPr>
      <w:r>
        <w:rPr>
          <w:color w:val="231F20"/>
        </w:rPr>
        <w:t>Art. 7:137. § 1</w:t>
      </w:r>
      <w:r>
        <w:rPr>
          <w:color w:val="231F20"/>
          <w:position w:val="7"/>
          <w:sz w:val="11"/>
        </w:rPr>
        <w:t>er</w:t>
      </w:r>
      <w:r>
        <w:rPr>
          <w:color w:val="231F20"/>
        </w:rPr>
        <w:t>. Les statuts peuvent prévoir la possibilité pour les titulaires d’actions, d’obligations convertibles, de droits de souscription ou de certificats émis en collaboration avec la société de participer à distance à l’assemblée générale par l’intermédiaire d’un moyen de communication électronique mis à la disposition par la société. Les actionnaires qui participent par cette voie à l’assemblée générale sont réputés présents à l’endroit où l’assemblée générale se tient pour le respect des conditions de quorum et de majorité.</w:t>
      </w:r>
    </w:p>
    <w:p>
      <w:pPr>
        <w:pStyle w:val="BodyText"/>
        <w:ind w:left="0" w:right="0" w:firstLine="0"/>
        <w:jc w:val="left"/>
        <w:rPr>
          <w:sz w:val="20"/>
        </w:rPr>
      </w:pPr>
    </w:p>
    <w:p>
      <w:pPr>
        <w:pStyle w:val="BodyText"/>
        <w:spacing w:before="1"/>
        <w:ind w:left="0" w:right="0" w:firstLine="0"/>
        <w:jc w:val="left"/>
        <w:rPr>
          <w:sz w:val="19"/>
        </w:rPr>
      </w:pPr>
    </w:p>
    <w:p>
      <w:pPr>
        <w:pStyle w:val="BodyText"/>
        <w:spacing w:line="218" w:lineRule="auto"/>
        <w:ind w:right="38"/>
      </w:pPr>
      <w:r>
        <w:rPr>
          <w:color w:val="231F20"/>
        </w:rPr>
        <w:t>Pour l’application de l’alinéa 1</w:t>
      </w:r>
      <w:r>
        <w:rPr>
          <w:color w:val="231F20"/>
          <w:position w:val="7"/>
          <w:sz w:val="11"/>
        </w:rPr>
        <w:t>er</w:t>
      </w:r>
      <w:r>
        <w:rPr>
          <w:color w:val="231F20"/>
        </w:rPr>
        <w:t>, la société doit être en mesure de contrôler, grâce au moyen de communication électronique utilisé, la qualité et l’identité de l’actionnaire de la manière définie par les statuts ou en vertu de ces derniers. Des conditions supplémentaires peuvent être associées à l’utilisation du moyen de communication électronique par les statuts ou en vertu de ces derniers, avec pour seul objectif la garantie de la sécurité du moyen de communication électronique.</w:t>
      </w:r>
    </w:p>
    <w:p>
      <w:pPr>
        <w:pStyle w:val="BodyText"/>
        <w:spacing w:before="8"/>
        <w:ind w:left="0" w:right="0" w:firstLine="0"/>
        <w:jc w:val="left"/>
        <w:rPr>
          <w:sz w:val="23"/>
        </w:rPr>
      </w:pPr>
    </w:p>
    <w:p>
      <w:pPr>
        <w:pStyle w:val="BodyText"/>
        <w:spacing w:line="216" w:lineRule="auto" w:before="1"/>
        <w:ind w:right="38"/>
      </w:pPr>
      <w:r>
        <w:rPr>
          <w:color w:val="231F20"/>
        </w:rPr>
        <w:t>Pour l’application de l’alinéa 1</w:t>
      </w:r>
      <w:r>
        <w:rPr>
          <w:color w:val="231F20"/>
          <w:position w:val="7"/>
          <w:sz w:val="11"/>
        </w:rPr>
        <w:t>er</w:t>
      </w:r>
      <w:r>
        <w:rPr>
          <w:color w:val="231F20"/>
        </w:rPr>
        <w:t>, sans préjudice de toute restriction imposée par ou en vertu de la loi, le moyen de communication électronique doit au moins permettre aux titulaires de titres visés à l’alinéa 1</w:t>
      </w:r>
      <w:r>
        <w:rPr>
          <w:color w:val="231F20"/>
          <w:position w:val="7"/>
          <w:sz w:val="11"/>
        </w:rPr>
        <w:t>er</w:t>
      </w:r>
      <w:r>
        <w:rPr>
          <w:color w:val="231F20"/>
        </w:rPr>
        <w:t>, de prendre connaissance de manière directe, simultanée et continue, des discussions au sein de l’assemblée et, en ce qui concerne les actionnaires, d’exercer le droit de vote sur tous les points sur lesquels l’assemblée est appelée à se prononcer. Les statuts peuvent prévoir que le moyen de communication électronique doit en outre permettre aux titulaires de titres visés à l’alinéa 1</w:t>
      </w:r>
      <w:r>
        <w:rPr>
          <w:color w:val="231F20"/>
          <w:position w:val="7"/>
          <w:sz w:val="11"/>
        </w:rPr>
        <w:t>er </w:t>
      </w:r>
      <w:r>
        <w:rPr>
          <w:color w:val="231F20"/>
        </w:rPr>
        <w:t>de participer aux délibérations et d’exercer leur droit de poser des questions.</w:t>
      </w:r>
    </w:p>
    <w:p>
      <w:pPr>
        <w:pStyle w:val="BodyText"/>
        <w:spacing w:before="6"/>
        <w:ind w:left="0" w:right="0" w:firstLine="0"/>
        <w:jc w:val="left"/>
        <w:rPr>
          <w:sz w:val="24"/>
        </w:rPr>
      </w:pPr>
    </w:p>
    <w:p>
      <w:pPr>
        <w:pStyle w:val="BodyText"/>
        <w:spacing w:line="218" w:lineRule="auto"/>
        <w:ind w:right="38"/>
      </w:pPr>
      <w:r>
        <w:rPr>
          <w:color w:val="231F20"/>
        </w:rPr>
        <w:t>Sans préjudice de l’article 7:129, § 2, 4°, </w:t>
      </w:r>
      <w:r>
        <w:rPr>
          <w:rFonts w:ascii="Times New Roman" w:hAnsi="Times New Roman"/>
          <w:i/>
          <w:color w:val="231F20"/>
        </w:rPr>
        <w:t>c)</w:t>
      </w:r>
      <w:r>
        <w:rPr>
          <w:color w:val="231F20"/>
        </w:rPr>
        <w:t>, la convocation à l’assemblée générale contient une description claire et précise des procédures statutaires ou établies en vertu des statuts relatives à la participation à distance à l’assemblée générale. Le cas échéant, ces</w:t>
      </w:r>
    </w:p>
    <w:p>
      <w:pPr>
        <w:pStyle w:val="BodyText"/>
        <w:spacing w:before="105"/>
        <w:ind w:left="283" w:right="0" w:firstLine="0"/>
        <w:jc w:val="left"/>
      </w:pPr>
      <w:r>
        <w:rPr/>
        <w:br w:type="column"/>
      </w:r>
      <w:r>
        <w:rPr>
          <w:color w:val="231F20"/>
        </w:rPr>
        <w:t>Onderafdeling 5. Deelneming aan de algemene vergadering.</w:t>
      </w:r>
    </w:p>
    <w:p>
      <w:pPr>
        <w:pStyle w:val="BodyText"/>
        <w:spacing w:line="218" w:lineRule="auto" w:before="104"/>
      </w:pPr>
      <w:r>
        <w:rPr>
          <w:color w:val="231F20"/>
        </w:rPr>
        <w:t>Art. 7:134. § 1. De statuten bepalen de formaliteiten die de aandeelhouders moeten vervullen om tot de algemene vergadering te worden toegelaten.</w:t>
      </w:r>
    </w:p>
    <w:p>
      <w:pPr>
        <w:pStyle w:val="BodyText"/>
        <w:spacing w:line="218" w:lineRule="auto" w:before="107"/>
        <w:ind w:right="123"/>
      </w:pPr>
      <w:r>
        <w:rPr>
          <w:color w:val="231F20"/>
        </w:rPr>
        <w:t>§ 2. Het recht om deel te nemen aan een algemene vergadering van een genoteerde vennootschap en om er het stemrecht uit te oefenen wordt slechts verleend op grond van de boekhoudkundige registratie van de aandelen op naam van de aandeelhouder, op de veertiende dag vóór de algemene vergadering, om vierentwintig uur (Belgisch uur), hetzij door hun inschrijving in het register van de aandelen op naam van de vennootschap, hetzij door hun inschrijving op de rekeningen van een erkende rekeninghouder of van een vereffeningsinstelling, ongeacht het aantal aandelen dat de aandeelhouder bezit op de dag van de algemene</w:t>
      </w:r>
      <w:r>
        <w:rPr>
          <w:color w:val="231F20"/>
          <w:spacing w:val="-10"/>
        </w:rPr>
        <w:t> </w:t>
      </w:r>
      <w:r>
        <w:rPr>
          <w:color w:val="231F20"/>
        </w:rPr>
        <w:t>vergadering.</w:t>
      </w:r>
    </w:p>
    <w:p>
      <w:pPr>
        <w:pStyle w:val="BodyText"/>
        <w:spacing w:line="218" w:lineRule="auto" w:before="107"/>
      </w:pPr>
      <w:r>
        <w:rPr>
          <w:color w:val="231F20"/>
        </w:rPr>
        <w:t>De dag en het uur bedoeld in het eerste lid vormen de registratieda- tum.</w:t>
      </w:r>
    </w:p>
    <w:p>
      <w:pPr>
        <w:pStyle w:val="BodyText"/>
        <w:spacing w:line="218" w:lineRule="auto" w:before="107"/>
        <w:ind w:right="122"/>
      </w:pPr>
      <w:r>
        <w:rPr>
          <w:color w:val="231F20"/>
        </w:rPr>
        <w:t>De aandeelhouder meldt, uiterlijk op de zesde dag vóór de datum  van de vergadering, aan de vennootschap, of aan de daartoe door haar aangestelde persoon, dat hij deel wil nemen aan de algemene vergadering via het e-mailadres van de vennootschap of het in de </w:t>
      </w:r>
      <w:r>
        <w:rPr>
          <w:color w:val="231F20"/>
          <w:spacing w:val="-3"/>
        </w:rPr>
        <w:t>oproeping </w:t>
      </w:r>
      <w:r>
        <w:rPr>
          <w:color w:val="231F20"/>
        </w:rPr>
        <w:t>tot de algemene </w:t>
      </w:r>
      <w:r>
        <w:rPr>
          <w:color w:val="231F20"/>
          <w:spacing w:val="-3"/>
        </w:rPr>
        <w:t>vergadering </w:t>
      </w:r>
      <w:r>
        <w:rPr>
          <w:color w:val="231F20"/>
        </w:rPr>
        <w:t>vermelde specifieke </w:t>
      </w:r>
      <w:r>
        <w:rPr>
          <w:color w:val="231F20"/>
          <w:spacing w:val="-3"/>
        </w:rPr>
        <w:t>e-mailadres, </w:t>
      </w:r>
      <w:r>
        <w:rPr>
          <w:color w:val="231F20"/>
        </w:rPr>
        <w:t>in voorkomend geval, door middel van  de  volmacht  bedoeld  in  artikel</w:t>
      </w:r>
      <w:r>
        <w:rPr>
          <w:color w:val="231F20"/>
          <w:spacing w:val="14"/>
        </w:rPr>
        <w:t> </w:t>
      </w:r>
      <w:r>
        <w:rPr>
          <w:color w:val="231F20"/>
        </w:rPr>
        <w:t>7:143.</w:t>
      </w:r>
    </w:p>
    <w:p>
      <w:pPr>
        <w:pStyle w:val="BodyText"/>
        <w:spacing w:line="218" w:lineRule="auto" w:before="107"/>
      </w:pPr>
      <w:r>
        <w:rPr>
          <w:color w:val="231F20"/>
        </w:rPr>
        <w:t>De erkende rekeninghouder of de vereffeningsinstelling bezorgt de aandeelhouder een attest waaruit blijkt met hoeveel gedemateriali- seerde aandelen die op zijn naam op zijn rekeningen zijn ingeschreven op de registratiedatum, de aandeelhouder heeft aangegeven te willen deelnemen aan de algemene vergadering.</w:t>
      </w:r>
    </w:p>
    <w:p>
      <w:pPr>
        <w:pStyle w:val="BodyText"/>
        <w:spacing w:line="218" w:lineRule="auto" w:before="107"/>
      </w:pPr>
      <w:r>
        <w:rPr>
          <w:color w:val="231F20"/>
        </w:rPr>
        <w:t>In een door het bestuursorgaan aangewezen register wordt voor elke aandeelhouder die zijn wens om deel te nemen aan de algemene vergadering kenbaar heeft gemaakt, zijn naam en adres of zetel opgenomen, het aantal aandelen dat hij bezat op de registratiedatum en waarmee hij heeft aangegeven te willen deelnemen aan de algemene vergadering, alsook de beschrijving van de stukken die aantonen dat hij op de registratiedatum in het bezit was van die aandelen.</w:t>
      </w:r>
    </w:p>
    <w:p>
      <w:pPr>
        <w:pStyle w:val="BodyText"/>
        <w:spacing w:line="218" w:lineRule="auto" w:before="107"/>
        <w:ind w:right="125"/>
      </w:pPr>
      <w:r>
        <w:rPr>
          <w:color w:val="231F20"/>
        </w:rPr>
        <w:t>Art. 7:135. De houders van aandelen zonder stemrecht, winstbewij- zen zonder stemrecht, converteerbare obligaties, inschrijvingsrechten</w:t>
      </w:r>
      <w:r>
        <w:rPr>
          <w:color w:val="231F20"/>
          <w:spacing w:val="-28"/>
        </w:rPr>
        <w:t> </w:t>
      </w:r>
      <w:r>
        <w:rPr>
          <w:color w:val="231F20"/>
        </w:rPr>
        <w:t>of certificaten die met medewerking van de vennootschap werden uitgegeven, mogen de algemene vergadering bijwonen, doch slechts met raadgevende stem. De statuten bepalen de formaliteiten die</w:t>
      </w:r>
      <w:r>
        <w:rPr>
          <w:color w:val="231F20"/>
          <w:spacing w:val="36"/>
        </w:rPr>
        <w:t> </w:t>
      </w:r>
      <w:r>
        <w:rPr>
          <w:color w:val="231F20"/>
        </w:rPr>
        <w:t>zij moeten vervullen om tot de algemene vergadering te worden toegela- ten.</w:t>
      </w:r>
    </w:p>
    <w:p>
      <w:pPr>
        <w:pStyle w:val="BodyText"/>
        <w:spacing w:line="218" w:lineRule="auto" w:before="108"/>
      </w:pPr>
      <w:r>
        <w:rPr>
          <w:color w:val="231F20"/>
        </w:rPr>
        <w:t>Art. 7:136. De commissaris woont de algemene vergadering bij wanneer deze te beraadslagen heeft op grond van een door hem opgemaakt verslag.</w:t>
      </w:r>
    </w:p>
    <w:p>
      <w:pPr>
        <w:pStyle w:val="BodyText"/>
        <w:spacing w:line="218" w:lineRule="auto" w:before="106"/>
      </w:pPr>
      <w:r>
        <w:rPr>
          <w:color w:val="231F20"/>
        </w:rPr>
        <w:t>Art. 7:137. § 1. De statuten kunnen de houders van aandelen, converteerbare obligaties, inschrijvingsrechten of met medewerking van de vennootschap uitgegeven certificaten de mogelijkheid</w:t>
      </w:r>
      <w:r>
        <w:rPr>
          <w:color w:val="231F20"/>
          <w:spacing w:val="22"/>
        </w:rPr>
        <w:t> </w:t>
      </w:r>
      <w:r>
        <w:rPr>
          <w:color w:val="231F20"/>
        </w:rPr>
        <w:t>bieden om op afstand deel te nemen aan de algemene vergadering door  middel van een door de vennootschap ter beschikking gesteld elektro- nisch communicatiemiddel. </w:t>
      </w:r>
      <w:r>
        <w:rPr>
          <w:color w:val="231F20"/>
          <w:spacing w:val="-6"/>
        </w:rPr>
        <w:t>Wat </w:t>
      </w:r>
      <w:r>
        <w:rPr>
          <w:color w:val="231F20"/>
        </w:rPr>
        <w:t>de naleving van de voorwaarden inzake aanwezigheid en meerderheid betreft, worden de aandeelhou- ders die op die manier aan de algemene vergadering deelnemen, geacht aanwezig te zijn op de plaats waar de algemene vergadering wordt gehouden.</w:t>
      </w:r>
    </w:p>
    <w:p>
      <w:pPr>
        <w:pStyle w:val="BodyText"/>
        <w:spacing w:line="218" w:lineRule="auto" w:before="108"/>
      </w:pPr>
      <w:r>
        <w:rPr>
          <w:color w:val="231F20"/>
        </w:rPr>
        <w:t>Voor de toepassing van het eerste lid moet de vennootschap de hoedanigheid en de identiteit van de aandeelhouder kunnen controle- ren aan de hand van het gebruikte elektronische communicatiemiddel, op de bij of krachtens de statuten bepaalde wijze. Aan het gebruik van het elektronische communicatiemiddel kunnen bij of krachtens de statuten bijkomende voorwaarden worden gesteld, met als enige doelstelling de veiligheid van het elektronische communicatiemiddel te waarborgen.</w:t>
      </w:r>
    </w:p>
    <w:p>
      <w:pPr>
        <w:pStyle w:val="BodyText"/>
        <w:spacing w:line="218" w:lineRule="auto" w:before="107"/>
        <w:ind w:right="125"/>
      </w:pPr>
      <w:r>
        <w:rPr>
          <w:color w:val="231F20"/>
          <w:spacing w:val="-5"/>
        </w:rPr>
        <w:t>Voor </w:t>
      </w:r>
      <w:r>
        <w:rPr>
          <w:color w:val="231F20"/>
        </w:rPr>
        <w:t>de toepassing van het eerste lid moet het elektronische communicatiemiddel de in het eerste lid bedoelde effectenhouders, onverminderd enige bij of krachtens de wet opgelegde beperking, ten minste in staat stellen om rechtstreeks, gelijktijdig en ononderbroken kennis te nemen van de besprekingen tijdens de vergadering en, wat de aandeelhouders betreft, om het stemrecht uit te oefenen met</w:t>
      </w:r>
      <w:r>
        <w:rPr>
          <w:color w:val="231F20"/>
          <w:spacing w:val="-12"/>
        </w:rPr>
        <w:t> </w:t>
      </w:r>
      <w:r>
        <w:rPr>
          <w:color w:val="231F20"/>
        </w:rPr>
        <w:t>betrekking tot alle punten waarover de vergadering zich dient uit te spreken. De statuten kunnen bepalen dat het elektronische communicatiemiddel de in het eerste lid bedoelde effectenhouders bovendien in staat moet stellen om deel te nemen aan de beraadslagingen en om het recht uit te oefenen om vragen te</w:t>
      </w:r>
      <w:r>
        <w:rPr>
          <w:color w:val="231F20"/>
          <w:spacing w:val="19"/>
        </w:rPr>
        <w:t> </w:t>
      </w:r>
      <w:r>
        <w:rPr>
          <w:color w:val="231F20"/>
        </w:rPr>
        <w:t>stellen.</w:t>
      </w:r>
    </w:p>
    <w:p>
      <w:pPr>
        <w:pStyle w:val="BodyText"/>
        <w:spacing w:line="218" w:lineRule="auto" w:before="116"/>
      </w:pPr>
      <w:r>
        <w:rPr>
          <w:color w:val="231F20"/>
        </w:rPr>
        <w:t>Onverminderd artikel 7:129, § 2, 4°, </w:t>
      </w:r>
      <w:r>
        <w:rPr>
          <w:rFonts w:ascii="Times New Roman" w:hAnsi="Times New Roman"/>
          <w:i/>
          <w:color w:val="231F20"/>
        </w:rPr>
        <w:t>c)</w:t>
      </w:r>
      <w:r>
        <w:rPr>
          <w:color w:val="231F20"/>
        </w:rPr>
        <w:t>, omvat de oproeping tot de algemene vergadering een heldere en nauwkeurige beschrijving van de statutaire of krachtens de statuten vastgestelde procedures met betrek- king tot de deelname op afstand aan de algemene vergadering. In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0" w:firstLine="0"/>
        <w:jc w:val="left"/>
      </w:pPr>
      <w:r>
        <w:rPr/>
        <w:pict>
          <v:line style="position:absolute;mso-position-horizontal-relative:page;mso-position-vertical-relative:page;z-index:5464" from="298.170502pt,64.473pt" to="298.170502pt,812.819pt" stroked="true" strokeweight=".533pt" strokecolor="#231f20">
            <v:stroke dashstyle="solid"/>
            <w10:wrap type="none"/>
          </v:line>
        </w:pict>
      </w:r>
      <w:bookmarkStart w:name="_bookmark185" w:id="190"/>
      <w:bookmarkEnd w:id="190"/>
      <w:r>
        <w:rPr/>
      </w:r>
      <w:r>
        <w:rPr>
          <w:color w:val="231F20"/>
        </w:rPr>
        <w:t>procédures sont rendues accessibles à tous sur le site internet de la société.</w:t>
      </w:r>
    </w:p>
    <w:p>
      <w:pPr>
        <w:pStyle w:val="BodyText"/>
        <w:spacing w:line="213" w:lineRule="auto" w:before="88"/>
        <w:ind w:right="38"/>
      </w:pPr>
      <w:r>
        <w:rPr>
          <w:color w:val="231F20"/>
        </w:rPr>
        <w:t>Les modalités suivant lesquelles il est constaté qu’un titulaire de titres visé à l’alinéa 1</w:t>
      </w:r>
      <w:r>
        <w:rPr>
          <w:color w:val="231F20"/>
          <w:position w:val="7"/>
          <w:sz w:val="11"/>
        </w:rPr>
        <w:t>er </w:t>
      </w:r>
      <w:r>
        <w:rPr>
          <w:color w:val="231F20"/>
        </w:rPr>
        <w:t>participe à l’assemblée générale grâce au moyen de communication électronique et peut dès lors être considéré comme présent,</w:t>
      </w:r>
      <w:r>
        <w:rPr>
          <w:color w:val="231F20"/>
          <w:spacing w:val="15"/>
        </w:rPr>
        <w:t> </w:t>
      </w:r>
      <w:r>
        <w:rPr>
          <w:color w:val="231F20"/>
        </w:rPr>
        <w:t>sont</w:t>
      </w:r>
      <w:r>
        <w:rPr>
          <w:color w:val="231F20"/>
          <w:spacing w:val="15"/>
        </w:rPr>
        <w:t> </w:t>
      </w:r>
      <w:r>
        <w:rPr>
          <w:color w:val="231F20"/>
        </w:rPr>
        <w:t>définies</w:t>
      </w:r>
      <w:r>
        <w:rPr>
          <w:color w:val="231F20"/>
          <w:spacing w:val="15"/>
        </w:rPr>
        <w:t> </w:t>
      </w:r>
      <w:r>
        <w:rPr>
          <w:color w:val="231F20"/>
        </w:rPr>
        <w:t>par</w:t>
      </w:r>
      <w:r>
        <w:rPr>
          <w:color w:val="231F20"/>
          <w:spacing w:val="15"/>
        </w:rPr>
        <w:t> </w:t>
      </w:r>
      <w:r>
        <w:rPr>
          <w:color w:val="231F20"/>
        </w:rPr>
        <w:t>les</w:t>
      </w:r>
      <w:r>
        <w:rPr>
          <w:color w:val="231F20"/>
          <w:spacing w:val="15"/>
        </w:rPr>
        <w:t> </w:t>
      </w:r>
      <w:r>
        <w:rPr>
          <w:color w:val="231F20"/>
        </w:rPr>
        <w:t>statuts</w:t>
      </w:r>
      <w:r>
        <w:rPr>
          <w:color w:val="231F20"/>
          <w:spacing w:val="15"/>
        </w:rPr>
        <w:t> </w:t>
      </w:r>
      <w:r>
        <w:rPr>
          <w:color w:val="231F20"/>
        </w:rPr>
        <w:t>ou</w:t>
      </w:r>
      <w:r>
        <w:rPr>
          <w:color w:val="231F20"/>
          <w:spacing w:val="15"/>
        </w:rPr>
        <w:t> </w:t>
      </w:r>
      <w:r>
        <w:rPr>
          <w:color w:val="231F20"/>
        </w:rPr>
        <w:t>en</w:t>
      </w:r>
      <w:r>
        <w:rPr>
          <w:color w:val="231F20"/>
          <w:spacing w:val="15"/>
        </w:rPr>
        <w:t> </w:t>
      </w:r>
      <w:r>
        <w:rPr>
          <w:color w:val="231F20"/>
        </w:rPr>
        <w:t>vertu</w:t>
      </w:r>
      <w:r>
        <w:rPr>
          <w:color w:val="231F20"/>
          <w:spacing w:val="15"/>
        </w:rPr>
        <w:t> </w:t>
      </w:r>
      <w:r>
        <w:rPr>
          <w:color w:val="231F20"/>
        </w:rPr>
        <w:t>de</w:t>
      </w:r>
      <w:r>
        <w:rPr>
          <w:color w:val="231F20"/>
          <w:spacing w:val="15"/>
        </w:rPr>
        <w:t> </w:t>
      </w:r>
      <w:r>
        <w:rPr>
          <w:color w:val="231F20"/>
        </w:rPr>
        <w:t>ceux-ci.</w:t>
      </w:r>
    </w:p>
    <w:p>
      <w:pPr>
        <w:pStyle w:val="BodyText"/>
        <w:spacing w:line="218" w:lineRule="auto" w:before="83"/>
        <w:ind w:right="38"/>
      </w:pPr>
      <w:r>
        <w:rPr>
          <w:color w:val="231F20"/>
        </w:rPr>
        <w:t>Le procès-verbal de l’assemblée générale mentionne les éventuels problèmes et incidents techniques qui ont empêché ou perturbé la participation par voie électronique à l’assemblée générale ou au vote.</w:t>
      </w:r>
    </w:p>
    <w:p>
      <w:pPr>
        <w:pStyle w:val="BodyText"/>
        <w:ind w:left="0" w:right="0" w:firstLine="0"/>
        <w:jc w:val="left"/>
        <w:rPr>
          <w:sz w:val="23"/>
        </w:rPr>
      </w:pPr>
    </w:p>
    <w:p>
      <w:pPr>
        <w:pStyle w:val="BodyText"/>
        <w:spacing w:line="218" w:lineRule="auto"/>
        <w:ind w:right="38"/>
      </w:pPr>
      <w:r>
        <w:rPr>
          <w:color w:val="231F20"/>
        </w:rPr>
        <w:t>Les membres du bureau de l’assemblée générale, les administrateurs et le commissaire ne peuvent pas assister par voie électronique à l’assemblée générale.</w:t>
      </w:r>
    </w:p>
    <w:p>
      <w:pPr>
        <w:pStyle w:val="BodyText"/>
        <w:spacing w:line="218" w:lineRule="auto" w:before="86"/>
        <w:ind w:right="39"/>
      </w:pPr>
      <w:r>
        <w:rPr>
          <w:color w:val="231F20"/>
        </w:rPr>
        <w:t>§ 2. L’article 7:134 est applicable lorsque la société permet la participation à distance à l’assemblée générale.</w:t>
      </w:r>
    </w:p>
    <w:p>
      <w:pPr>
        <w:pStyle w:val="BodyText"/>
        <w:spacing w:line="201" w:lineRule="auto" w:before="96"/>
        <w:ind w:right="39"/>
      </w:pPr>
      <w:r>
        <w:rPr>
          <w:color w:val="231F20"/>
        </w:rPr>
        <w:t>§ 3. Le Roi peut préciser la nature et les conditions d’application des moyens de communication électronique visés au paragraphe 1</w:t>
      </w:r>
      <w:r>
        <w:rPr>
          <w:color w:val="231F20"/>
          <w:position w:val="7"/>
          <w:sz w:val="11"/>
        </w:rPr>
        <w:t>er</w:t>
      </w:r>
      <w:r>
        <w:rPr>
          <w:color w:val="231F20"/>
        </w:rPr>
        <w:t>.</w:t>
      </w:r>
    </w:p>
    <w:p>
      <w:pPr>
        <w:pStyle w:val="BodyText"/>
        <w:spacing w:before="9"/>
        <w:ind w:left="0" w:right="0" w:firstLine="0"/>
        <w:jc w:val="left"/>
        <w:rPr>
          <w:sz w:val="22"/>
        </w:rPr>
      </w:pPr>
    </w:p>
    <w:p>
      <w:pPr>
        <w:pStyle w:val="BodyText"/>
        <w:ind w:left="283" w:right="0" w:firstLine="0"/>
        <w:jc w:val="left"/>
      </w:pPr>
      <w:r>
        <w:rPr>
          <w:color w:val="231F20"/>
        </w:rPr>
        <w:t>Sous-section 6. Tenue de l’assemblée générale.</w:t>
      </w:r>
    </w:p>
    <w:p>
      <w:pPr>
        <w:pStyle w:val="BodyText"/>
        <w:spacing w:line="218" w:lineRule="auto" w:before="93"/>
        <w:ind w:right="38"/>
      </w:pPr>
      <w:r>
        <w:rPr>
          <w:color w:val="231F20"/>
        </w:rPr>
        <w:t>Art. 7:138. Il est tenu à chaque assemblée générale une liste des présences. Ceux qui ont participé à l’assemblée générale ou qui y étaient représentés peuvent consulter cette liste pour autant que les statuts le</w:t>
      </w:r>
      <w:r>
        <w:rPr>
          <w:color w:val="231F20"/>
          <w:spacing w:val="-11"/>
        </w:rPr>
        <w:t> </w:t>
      </w:r>
      <w:r>
        <w:rPr>
          <w:color w:val="231F20"/>
        </w:rPr>
        <w:t>prévoient.</w:t>
      </w:r>
    </w:p>
    <w:p>
      <w:pPr>
        <w:pStyle w:val="BodyText"/>
        <w:spacing w:line="218" w:lineRule="auto" w:before="96"/>
        <w:ind w:right="38"/>
      </w:pPr>
      <w:r>
        <w:rPr>
          <w:color w:val="231F20"/>
        </w:rPr>
        <w:t>Art. 7:139. Les membres de l’organe d’administration répondent aux questions qui leur sont posées oralement ou par écrit avant ou pendant l’assemblée générale par les titulaires d’actions, d’obligations converti- bles ou de droits de souscription nominatifs ou de certificats nominatifs émis avec la collaboration de la société et qui portent sur des points à l’ordre du </w:t>
      </w:r>
      <w:r>
        <w:rPr>
          <w:color w:val="231F20"/>
          <w:spacing w:val="-3"/>
        </w:rPr>
        <w:t>jour. </w:t>
      </w:r>
      <w:r>
        <w:rPr>
          <w:color w:val="231F20"/>
        </w:rPr>
        <w:t>Les membres de l’organe d’administration peuvent, dans l’intérêt de la société, refuser de répondre aux questions lorsque la communication de certaines données ou de certains faits peut porter préjudice à la société ou qu’elle viole les engagements de confidentialité souscrits</w:t>
      </w:r>
      <w:r>
        <w:rPr>
          <w:color w:val="231F20"/>
          <w:spacing w:val="15"/>
        </w:rPr>
        <w:t> </w:t>
      </w:r>
      <w:r>
        <w:rPr>
          <w:color w:val="231F20"/>
        </w:rPr>
        <w:t>par</w:t>
      </w:r>
      <w:r>
        <w:rPr>
          <w:color w:val="231F20"/>
          <w:spacing w:val="15"/>
        </w:rPr>
        <w:t> </w:t>
      </w:r>
      <w:r>
        <w:rPr>
          <w:color w:val="231F20"/>
        </w:rPr>
        <w:t>eux</w:t>
      </w:r>
      <w:r>
        <w:rPr>
          <w:color w:val="231F20"/>
          <w:spacing w:val="15"/>
        </w:rPr>
        <w:t> </w:t>
      </w:r>
      <w:r>
        <w:rPr>
          <w:color w:val="231F20"/>
        </w:rPr>
        <w:t>ou</w:t>
      </w:r>
      <w:r>
        <w:rPr>
          <w:color w:val="231F20"/>
          <w:spacing w:val="15"/>
        </w:rPr>
        <w:t> </w:t>
      </w:r>
      <w:r>
        <w:rPr>
          <w:color w:val="231F20"/>
        </w:rPr>
        <w:t>par</w:t>
      </w:r>
      <w:r>
        <w:rPr>
          <w:color w:val="231F20"/>
          <w:spacing w:val="15"/>
        </w:rPr>
        <w:t> </w:t>
      </w:r>
      <w:r>
        <w:rPr>
          <w:color w:val="231F20"/>
        </w:rPr>
        <w:t>la</w:t>
      </w:r>
      <w:r>
        <w:rPr>
          <w:color w:val="231F20"/>
          <w:spacing w:val="15"/>
        </w:rPr>
        <w:t> </w:t>
      </w:r>
      <w:r>
        <w:rPr>
          <w:color w:val="231F20"/>
        </w:rPr>
        <w:t>société.</w:t>
      </w:r>
    </w:p>
    <w:p>
      <w:pPr>
        <w:pStyle w:val="BodyText"/>
        <w:ind w:left="0" w:right="0" w:firstLine="0"/>
        <w:jc w:val="left"/>
        <w:rPr>
          <w:sz w:val="24"/>
        </w:rPr>
      </w:pPr>
    </w:p>
    <w:p>
      <w:pPr>
        <w:pStyle w:val="BodyText"/>
        <w:spacing w:line="218" w:lineRule="auto"/>
        <w:ind w:right="38"/>
      </w:pPr>
      <w:r>
        <w:rPr>
          <w:color w:val="231F20"/>
        </w:rPr>
        <w:t>Le commissaire répond aux questions qui lui sont posées oralement ou par écrit avant ou pendant l’assemblée générale par les titulaires d’actions, d’obligations convertibles ou de droits de</w:t>
      </w:r>
      <w:r>
        <w:rPr>
          <w:color w:val="231F20"/>
          <w:spacing w:val="24"/>
        </w:rPr>
        <w:t> </w:t>
      </w:r>
      <w:r>
        <w:rPr>
          <w:color w:val="231F20"/>
        </w:rPr>
        <w:t>souscription nominatifs ou de certificats nominatifs émis avec la collaboration de la société et qui portent sur les points à l’ordre du jour à propos desquels il fait rapport. Les questions écrites adressées au commissaire doivent dans le même temps être transmises à la société. Il peut, dans l’intérêt de la société, refuser de répondre aux questions lorsque la communi- cation de certaines données ou de certains faits peut porter préjudice à la société ou qu’elle viole le secret professionnel auquel il est tenu ou les engagements de confidentialité souscrits par la société. </w:t>
      </w:r>
      <w:r>
        <w:rPr>
          <w:color w:val="231F20"/>
          <w:spacing w:val="7"/>
        </w:rPr>
        <w:t>Il </w:t>
      </w:r>
      <w:r>
        <w:rPr>
          <w:color w:val="231F20"/>
        </w:rPr>
        <w:t>a le droit de prendre la parole à l’assemblée générale en relation avec l’accomplis- sement de sa</w:t>
      </w:r>
      <w:r>
        <w:rPr>
          <w:color w:val="231F20"/>
          <w:spacing w:val="3"/>
        </w:rPr>
        <w:t> </w:t>
      </w:r>
      <w:r>
        <w:rPr>
          <w:color w:val="231F20"/>
        </w:rPr>
        <w:t>mission.</w:t>
      </w:r>
    </w:p>
    <w:p>
      <w:pPr>
        <w:pStyle w:val="BodyText"/>
        <w:ind w:left="0" w:right="0" w:firstLine="0"/>
        <w:jc w:val="left"/>
        <w:rPr>
          <w:sz w:val="24"/>
        </w:rPr>
      </w:pPr>
    </w:p>
    <w:p>
      <w:pPr>
        <w:pStyle w:val="BodyText"/>
        <w:spacing w:line="218" w:lineRule="auto"/>
        <w:ind w:right="38"/>
      </w:pPr>
      <w:r>
        <w:rPr>
          <w:color w:val="231F20"/>
        </w:rPr>
        <w:t>Les membres de l’organe d’administration et le commissaire peuvent donner une réponse groupée à différentes questions portant sur le même sujet.</w:t>
      </w:r>
    </w:p>
    <w:p>
      <w:pPr>
        <w:pStyle w:val="BodyText"/>
        <w:spacing w:line="218" w:lineRule="auto" w:before="96"/>
        <w:ind w:right="38"/>
      </w:pPr>
      <w:r>
        <w:rPr>
          <w:color w:val="231F20"/>
        </w:rPr>
        <w:t>Dès le moment où l’assemblée générale est convoquée, les actionnai- res et les titulaires d’obligations convertibles, de droits de souscription nominatifs et de certificats nominatifs émis avec la collaboration de la société peuvent, dans les délais définis par les statuts, poser des questions par écrit à l’adresse communiquée dans la convocation à l’assemblée ou à l’adresse électronique visée à l’article 2:31. Une société cotée doit toutefois recevoir les questions écrites au plus tard le sixième jour qui précède l’assemblée. Si les titulaires des titres concernés ont rempli les formalités pour être admis à l’assemblée, il sera répondu à ces questions pendant la réunion.</w:t>
      </w:r>
    </w:p>
    <w:p>
      <w:pPr>
        <w:pStyle w:val="BodyText"/>
        <w:ind w:left="0" w:right="0" w:firstLine="0"/>
        <w:jc w:val="left"/>
        <w:rPr>
          <w:sz w:val="20"/>
        </w:rPr>
      </w:pPr>
    </w:p>
    <w:p>
      <w:pPr>
        <w:pStyle w:val="BodyText"/>
        <w:spacing w:before="6"/>
        <w:ind w:left="0" w:right="0" w:firstLine="0"/>
        <w:jc w:val="left"/>
        <w:rPr>
          <w:sz w:val="19"/>
        </w:rPr>
      </w:pPr>
    </w:p>
    <w:p>
      <w:pPr>
        <w:pStyle w:val="BodyText"/>
        <w:spacing w:line="218" w:lineRule="auto"/>
        <w:ind w:right="38"/>
      </w:pPr>
      <w:r>
        <w:rPr>
          <w:color w:val="231F20"/>
        </w:rPr>
        <w:t>Art. 7:140. Hormis les cas où un droit de vote leur est reconnu en vertu de la loi ou des statuts, il n’est tenu compte ni des actions ou parts bénéficiaires sans droit de vote ni des actions dont le droit de vote a été suspendu pour la détermination des conditions de quorum et de majorité à observer dans les assemblées générales.</w:t>
      </w:r>
    </w:p>
    <w:p>
      <w:pPr>
        <w:pStyle w:val="BodyText"/>
        <w:spacing w:before="10"/>
        <w:ind w:left="0" w:right="0" w:firstLine="0"/>
        <w:jc w:val="left"/>
        <w:rPr>
          <w:sz w:val="23"/>
        </w:rPr>
      </w:pPr>
    </w:p>
    <w:p>
      <w:pPr>
        <w:pStyle w:val="BodyText"/>
        <w:spacing w:line="218" w:lineRule="auto" w:before="1"/>
        <w:ind w:right="38"/>
      </w:pPr>
      <w:r>
        <w:rPr>
          <w:color w:val="231F20"/>
        </w:rPr>
        <w:t>Art. 7:141. Les procès-verbaux de l’assemblée générale sont signés par les membres du bureau et par les actionnaires qui le demandent;</w:t>
      </w:r>
      <w:r>
        <w:rPr>
          <w:color w:val="231F20"/>
          <w:spacing w:val="-19"/>
        </w:rPr>
        <w:t> </w:t>
      </w:r>
      <w:r>
        <w:rPr>
          <w:color w:val="231F20"/>
        </w:rPr>
        <w:t>les copies à délivrer aux tiers sont signées par un ou plusieurs membres de l’organe</w:t>
      </w:r>
      <w:r>
        <w:rPr>
          <w:color w:val="231F20"/>
          <w:spacing w:val="17"/>
        </w:rPr>
        <w:t> </w:t>
      </w:r>
      <w:r>
        <w:rPr>
          <w:color w:val="231F20"/>
        </w:rPr>
        <w:t>d’administration</w:t>
      </w:r>
      <w:r>
        <w:rPr>
          <w:color w:val="231F20"/>
          <w:spacing w:val="17"/>
        </w:rPr>
        <w:t> </w:t>
      </w:r>
      <w:r>
        <w:rPr>
          <w:color w:val="231F20"/>
        </w:rPr>
        <w:t>ayant</w:t>
      </w:r>
      <w:r>
        <w:rPr>
          <w:color w:val="231F20"/>
          <w:spacing w:val="17"/>
        </w:rPr>
        <w:t> </w:t>
      </w:r>
      <w:r>
        <w:rPr>
          <w:color w:val="231F20"/>
        </w:rPr>
        <w:t>le</w:t>
      </w:r>
      <w:r>
        <w:rPr>
          <w:color w:val="231F20"/>
          <w:spacing w:val="17"/>
        </w:rPr>
        <w:t> </w:t>
      </w:r>
      <w:r>
        <w:rPr>
          <w:color w:val="231F20"/>
        </w:rPr>
        <w:t>pouvoir</w:t>
      </w:r>
      <w:r>
        <w:rPr>
          <w:color w:val="231F20"/>
          <w:spacing w:val="17"/>
        </w:rPr>
        <w:t> </w:t>
      </w:r>
      <w:r>
        <w:rPr>
          <w:color w:val="231F20"/>
        </w:rPr>
        <w:t>de</w:t>
      </w:r>
      <w:r>
        <w:rPr>
          <w:color w:val="231F20"/>
          <w:spacing w:val="17"/>
        </w:rPr>
        <w:t> </w:t>
      </w:r>
      <w:r>
        <w:rPr>
          <w:color w:val="231F20"/>
        </w:rPr>
        <w:t>représentation.</w:t>
      </w:r>
    </w:p>
    <w:p>
      <w:pPr>
        <w:pStyle w:val="BodyText"/>
        <w:spacing w:before="10"/>
        <w:ind w:left="0" w:right="0" w:firstLine="0"/>
        <w:jc w:val="left"/>
        <w:rPr>
          <w:sz w:val="23"/>
        </w:rPr>
      </w:pPr>
    </w:p>
    <w:p>
      <w:pPr>
        <w:pStyle w:val="BodyText"/>
        <w:spacing w:line="218" w:lineRule="auto"/>
        <w:ind w:right="38"/>
      </w:pPr>
      <w:r>
        <w:rPr>
          <w:color w:val="231F20"/>
        </w:rPr>
        <w:t>Les procès-verbaux des assemblées générales d’une société cotée mentionnent, pour chaque décision, le nombre d’actions pour lesquel- les des votes ont été valablement exprimés, la proportion du capital représentée par ces actions, le nombre total de votes valablement</w:t>
      </w:r>
    </w:p>
    <w:p>
      <w:pPr>
        <w:pStyle w:val="BodyText"/>
        <w:spacing w:line="218" w:lineRule="auto" w:before="119"/>
        <w:ind w:right="0" w:firstLine="0"/>
        <w:jc w:val="left"/>
      </w:pPr>
      <w:r>
        <w:rPr/>
        <w:br w:type="column"/>
      </w:r>
      <w:r>
        <w:rPr>
          <w:color w:val="231F20"/>
        </w:rPr>
        <w:t>voorkomend geval kunnen die procedures voor eenieder toegankelijk worden gemaakt op de vennootschapswebsite.</w:t>
      </w:r>
    </w:p>
    <w:p>
      <w:pPr>
        <w:pStyle w:val="BodyText"/>
        <w:spacing w:line="218" w:lineRule="auto" w:before="86"/>
      </w:pPr>
      <w:r>
        <w:rPr>
          <w:color w:val="231F20"/>
        </w:rPr>
        <w:t>Bij of krachtens de statuten wordt bepaald hoe wordt vastgesteld dat een in het eerste lid bedoelde effectenhouder via het elektronische communicatiemiddel aan de algemene vergadering deelneemt en bijgevolg als aanwezig kan worden beschouwd.</w:t>
      </w:r>
    </w:p>
    <w:p>
      <w:pPr>
        <w:pStyle w:val="BodyText"/>
        <w:spacing w:line="218" w:lineRule="auto" w:before="86"/>
      </w:pPr>
      <w:r>
        <w:rPr>
          <w:color w:val="231F20"/>
        </w:rPr>
        <w:t>De notulen van de algemene vergadering vermelden de</w:t>
      </w:r>
      <w:r>
        <w:rPr>
          <w:color w:val="231F20"/>
          <w:spacing w:val="38"/>
        </w:rPr>
        <w:t> </w:t>
      </w:r>
      <w:r>
        <w:rPr>
          <w:color w:val="231F20"/>
        </w:rPr>
        <w:t>eventuele technische problemen en incidenten die de deelname langs elektroni- sche weg aan de algemene vergadering of aan de stemming hebben belet of</w:t>
      </w:r>
      <w:r>
        <w:rPr>
          <w:color w:val="231F20"/>
          <w:spacing w:val="-11"/>
        </w:rPr>
        <w:t> </w:t>
      </w:r>
      <w:r>
        <w:rPr>
          <w:color w:val="231F20"/>
        </w:rPr>
        <w:t>verstoord.</w:t>
      </w:r>
    </w:p>
    <w:p>
      <w:pPr>
        <w:pStyle w:val="BodyText"/>
        <w:spacing w:line="218" w:lineRule="auto" w:before="85"/>
      </w:pPr>
      <w:r>
        <w:rPr>
          <w:color w:val="231F20"/>
        </w:rPr>
        <w:t>De leden van het bureau van de algemene vergadering, de bestuur- ders en de commissaris kunnen de algemene vergadering niet bijwonen langs elektronische weg.</w:t>
      </w:r>
    </w:p>
    <w:p>
      <w:pPr>
        <w:pStyle w:val="BodyText"/>
        <w:spacing w:line="218" w:lineRule="auto" w:before="86"/>
      </w:pPr>
      <w:r>
        <w:rPr>
          <w:color w:val="231F20"/>
        </w:rPr>
        <w:t>§ 2. Artikel 7:134 is van toepassing wanneer de vennootschap</w:t>
      </w:r>
      <w:r>
        <w:rPr>
          <w:color w:val="231F20"/>
          <w:spacing w:val="-6"/>
        </w:rPr>
        <w:t> </w:t>
      </w:r>
      <w:r>
        <w:rPr>
          <w:color w:val="231F20"/>
        </w:rPr>
        <w:t>toestaat dat</w:t>
      </w:r>
      <w:r>
        <w:rPr>
          <w:color w:val="231F20"/>
          <w:spacing w:val="20"/>
        </w:rPr>
        <w:t> </w:t>
      </w:r>
      <w:r>
        <w:rPr>
          <w:color w:val="231F20"/>
        </w:rPr>
        <w:t>op</w:t>
      </w:r>
      <w:r>
        <w:rPr>
          <w:color w:val="231F20"/>
          <w:spacing w:val="20"/>
        </w:rPr>
        <w:t> </w:t>
      </w:r>
      <w:r>
        <w:rPr>
          <w:color w:val="231F20"/>
        </w:rPr>
        <w:t>afstand</w:t>
      </w:r>
      <w:r>
        <w:rPr>
          <w:color w:val="231F20"/>
          <w:spacing w:val="21"/>
        </w:rPr>
        <w:t> </w:t>
      </w:r>
      <w:r>
        <w:rPr>
          <w:color w:val="231F20"/>
        </w:rPr>
        <w:t>aan</w:t>
      </w:r>
      <w:r>
        <w:rPr>
          <w:color w:val="231F20"/>
          <w:spacing w:val="20"/>
        </w:rPr>
        <w:t> </w:t>
      </w:r>
      <w:r>
        <w:rPr>
          <w:color w:val="231F20"/>
        </w:rPr>
        <w:t>de</w:t>
      </w:r>
      <w:r>
        <w:rPr>
          <w:color w:val="231F20"/>
          <w:spacing w:val="20"/>
        </w:rPr>
        <w:t> </w:t>
      </w:r>
      <w:r>
        <w:rPr>
          <w:color w:val="231F20"/>
        </w:rPr>
        <w:t>algemene</w:t>
      </w:r>
      <w:r>
        <w:rPr>
          <w:color w:val="231F20"/>
          <w:spacing w:val="21"/>
        </w:rPr>
        <w:t> </w:t>
      </w:r>
      <w:r>
        <w:rPr>
          <w:color w:val="231F20"/>
        </w:rPr>
        <w:t>vergadering</w:t>
      </w:r>
      <w:r>
        <w:rPr>
          <w:color w:val="231F20"/>
          <w:spacing w:val="20"/>
        </w:rPr>
        <w:t> </w:t>
      </w:r>
      <w:r>
        <w:rPr>
          <w:color w:val="231F20"/>
        </w:rPr>
        <w:t>wordt</w:t>
      </w:r>
      <w:r>
        <w:rPr>
          <w:color w:val="231F20"/>
          <w:spacing w:val="20"/>
        </w:rPr>
        <w:t> </w:t>
      </w:r>
      <w:r>
        <w:rPr>
          <w:color w:val="231F20"/>
        </w:rPr>
        <w:t>deelgenomen.</w:t>
      </w:r>
    </w:p>
    <w:p>
      <w:pPr>
        <w:pStyle w:val="BodyText"/>
        <w:spacing w:line="218" w:lineRule="auto" w:before="85"/>
      </w:pPr>
      <w:r>
        <w:rPr>
          <w:color w:val="231F20"/>
        </w:rPr>
        <w:t>§ 3. De Koning kan de aard en de toepassingsvoorwaarden van de in paragraaf 1 bedoelde elektronische communicatiemiddelen verduide- lijken.</w:t>
      </w:r>
    </w:p>
    <w:p>
      <w:pPr>
        <w:pStyle w:val="BodyText"/>
        <w:spacing w:before="82"/>
        <w:ind w:left="283" w:right="0" w:firstLine="0"/>
        <w:jc w:val="left"/>
      </w:pPr>
      <w:r>
        <w:rPr>
          <w:color w:val="231F20"/>
        </w:rPr>
        <w:t>Onderafdeling 6. Verloop van de algemene vergadering.</w:t>
      </w:r>
    </w:p>
    <w:p>
      <w:pPr>
        <w:pStyle w:val="BodyText"/>
        <w:spacing w:line="218" w:lineRule="auto" w:before="93"/>
      </w:pPr>
      <w:r>
        <w:rPr>
          <w:color w:val="231F20"/>
        </w:rPr>
        <w:t>Art. 7:138. Op elke algemene vergadering wordt een aanwezigheids- lijst bijgehouden. Zij die aan de algemene vergadering hebben deelge- nomen of er waren vertegenwoordigd kunnen inzage krijgen in deze lijst</w:t>
      </w:r>
      <w:r>
        <w:rPr>
          <w:color w:val="231F20"/>
          <w:spacing w:val="14"/>
        </w:rPr>
        <w:t> </w:t>
      </w:r>
      <w:r>
        <w:rPr>
          <w:color w:val="231F20"/>
        </w:rPr>
        <w:t>in</w:t>
      </w:r>
      <w:r>
        <w:rPr>
          <w:color w:val="231F20"/>
          <w:spacing w:val="15"/>
        </w:rPr>
        <w:t> </w:t>
      </w:r>
      <w:r>
        <w:rPr>
          <w:color w:val="231F20"/>
        </w:rPr>
        <w:t>zoverre</w:t>
      </w:r>
      <w:r>
        <w:rPr>
          <w:color w:val="231F20"/>
          <w:spacing w:val="15"/>
        </w:rPr>
        <w:t> </w:t>
      </w:r>
      <w:r>
        <w:rPr>
          <w:color w:val="231F20"/>
        </w:rPr>
        <w:t>de</w:t>
      </w:r>
      <w:r>
        <w:rPr>
          <w:color w:val="231F20"/>
          <w:spacing w:val="15"/>
        </w:rPr>
        <w:t> </w:t>
      </w:r>
      <w:r>
        <w:rPr>
          <w:color w:val="231F20"/>
        </w:rPr>
        <w:t>statuten</w:t>
      </w:r>
      <w:r>
        <w:rPr>
          <w:color w:val="231F20"/>
          <w:spacing w:val="15"/>
        </w:rPr>
        <w:t> </w:t>
      </w:r>
      <w:r>
        <w:rPr>
          <w:color w:val="231F20"/>
        </w:rPr>
        <w:t>dit</w:t>
      </w:r>
      <w:r>
        <w:rPr>
          <w:color w:val="231F20"/>
          <w:spacing w:val="14"/>
        </w:rPr>
        <w:t> </w:t>
      </w:r>
      <w:r>
        <w:rPr>
          <w:color w:val="231F20"/>
        </w:rPr>
        <w:t>toelaten.</w:t>
      </w:r>
    </w:p>
    <w:p>
      <w:pPr>
        <w:pStyle w:val="BodyText"/>
        <w:spacing w:line="218" w:lineRule="auto" w:before="96"/>
      </w:pPr>
      <w:r>
        <w:rPr>
          <w:color w:val="231F20"/>
        </w:rPr>
        <w:t>Art. 7:139. De leden van het bestuursorgaan geven antwoord op de vragen die hun door de houders van aandelen, converteerbare obligaties of inschrijvingsrechten op naam, of van certificaten op naam die met medewerking van de vennootschap zijn uitgegeven, vooraf of tijdens de vergadering, mondeling of schriftelijk worden gesteld en die verband houden met de agendapunten. De leden van het bestuursor- gaan kunnen, in het belang van de vennootschap, weigeren op vragen  te antwoorden wanneer de mededeling van bepaalde gegevens  of  feiten de vennootschap schade kan berokkenen of in strijd is met de door hen of door de vennootschap aangegane vertrouwelijkheidsver- bintenissen.</w:t>
      </w:r>
    </w:p>
    <w:p>
      <w:pPr>
        <w:pStyle w:val="BodyText"/>
        <w:spacing w:line="218" w:lineRule="auto" w:before="97"/>
      </w:pPr>
      <w:r>
        <w:rPr>
          <w:color w:val="231F20"/>
        </w:rPr>
        <w:t>De commissaris geeft antwoord op de vragen die hem door de houders van aandelen, converteerbare obligaties of inschrijvingsrech- ten op naam, of de houders van certificaten op naam die met medewerking van de vennootschap zijn uitgegeven, vooraf of tijdens   de vergadering, mondeling of schriftelijk worden gesteld en  die verband houden met de agendapunten waarover hij verslag uitbrengt. Schriftelijke vragen aan de commissaris moeten tegelijkertijd aan de vennootschap worden bezorgd. Hij kan, in het belang van de vennoot- schap, weigeren op vragen te antwoorden wanneer de mededeling van bepaalde gegevens of feiten de vennootschap schade kan berokkenen of in strijd is met zijn beroepsgeheim of met door de vennootschap aangegane vertrouwelijkheidsverbintenissen. Hij heeft het recht ter algemene vergadering het woord te voeren in verband met de vervulling van zijn</w:t>
      </w:r>
      <w:r>
        <w:rPr>
          <w:color w:val="231F20"/>
          <w:spacing w:val="5"/>
        </w:rPr>
        <w:t> </w:t>
      </w:r>
      <w:r>
        <w:rPr>
          <w:color w:val="231F20"/>
        </w:rPr>
        <w:t>taak.</w:t>
      </w:r>
    </w:p>
    <w:p>
      <w:pPr>
        <w:pStyle w:val="BodyText"/>
        <w:spacing w:line="218" w:lineRule="auto" w:before="97"/>
      </w:pPr>
      <w:r>
        <w:rPr>
          <w:color w:val="231F20"/>
        </w:rPr>
        <w:t>De leden van het bestuursorgaan en de commissaris kunnen hun antwoord op verschillende vragen over hetzelfde onderwerp groepe- ren.</w:t>
      </w:r>
    </w:p>
    <w:p>
      <w:pPr>
        <w:pStyle w:val="BodyText"/>
        <w:spacing w:line="218" w:lineRule="auto" w:before="97"/>
      </w:pPr>
      <w:r>
        <w:rPr>
          <w:color w:val="231F20"/>
        </w:rPr>
        <w:t>De aandeelhouders en de houders van converteerbare obligaties, inschrijvingsrechten op naam, en de houders van certificaten op naam die met medewerking van de vennootschap zijn uitgegeven kunnen vanaf het ogenblik waarop de algemene vergadering wordt bijeenge- roepen schriftelijke vragen stellen via het in de oproeping tot de vergadering vermelde adres of op het in artikel 2:31 bedoelde e-mailadres en binnen de in de statuten bepaalde termijn. Een genoteerde vennootschap moet de schriftelijke vragen evenwel uiterlijk op de zesde dag vóór de vergadering ontvangen. Indien de betrokken effectenhouders de formaliteiten om tot de vergadering te worden toegelaten hebben vervuld, worden deze vragen tijdens de vergadering beantwoord.</w:t>
      </w:r>
    </w:p>
    <w:p>
      <w:pPr>
        <w:pStyle w:val="BodyText"/>
        <w:spacing w:line="218" w:lineRule="auto" w:before="97"/>
      </w:pPr>
      <w:r>
        <w:rPr>
          <w:color w:val="231F20"/>
        </w:rPr>
        <w:t>Art. 7:140. Behalve in de gevallen waarin hun krachtens de wet of de statuten stemrecht is toegekend, wordt voor de vaststelling van de voorschriften inzake aanwezigheid en meerderheid die in de algemene vergadering moeten worden nageleefd, geen rekening gehouden met aandelen of winstbewijzen zonder stemrecht, noch met de aandelen waarvan het stemrecht is geschorst.</w:t>
      </w:r>
    </w:p>
    <w:p>
      <w:pPr>
        <w:pStyle w:val="BodyText"/>
        <w:spacing w:line="218" w:lineRule="auto" w:before="96"/>
      </w:pPr>
      <w:r>
        <w:rPr>
          <w:color w:val="231F20"/>
        </w:rPr>
        <w:t>Art. 7:141. De notulen van een algemene vergadering worden ondertekend door de leden van het bureau en door de aandeelhouders die erom verzoeken; kopieën voor derden worden ondertekend door één of meer vertegenwoordigingsbevoegde leden van het bestuursor- gaan.</w:t>
      </w:r>
    </w:p>
    <w:p>
      <w:pPr>
        <w:pStyle w:val="BodyText"/>
        <w:spacing w:line="218" w:lineRule="auto" w:before="96"/>
      </w:pPr>
      <w:r>
        <w:rPr>
          <w:color w:val="231F20"/>
        </w:rPr>
        <w:t>In de notulen van de algemene vergaderingen van een genoteerde vennootschap, wordt voor elk besluit het aantal aandelen vermeld waarvoor geldige stemmen zijn uitgebracht, het percentage dat deze aandelen in het kapitaal vertegenwoordigen, het totale aantal geldig</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19"/>
        <w:ind w:right="40" w:firstLine="0"/>
      </w:pPr>
      <w:r>
        <w:rPr/>
        <w:pict>
          <v:line style="position:absolute;mso-position-horizontal-relative:page;mso-position-vertical-relative:page;z-index:5488" from="298.170502pt,64.473pt" to="298.170502pt,812.819pt" stroked="true" strokeweight=".533pt" strokecolor="#231f20">
            <v:stroke dashstyle="solid"/>
            <w10:wrap type="none"/>
          </v:line>
        </w:pict>
      </w:r>
      <w:bookmarkStart w:name="_bookmark186" w:id="191"/>
      <w:bookmarkEnd w:id="191"/>
      <w:r>
        <w:rPr/>
      </w:r>
      <w:r>
        <w:rPr>
          <w:color w:val="231F20"/>
        </w:rPr>
        <w:t>exprimés, le nombre de votes exprimés pour et contre chaque décision et, le cas échéant, le nombre d’abstentions. La société publie cette information par le biais du site internet de la société dans les quinze jours qui suivent l’assemblée générale.</w:t>
      </w:r>
    </w:p>
    <w:p>
      <w:pPr>
        <w:pStyle w:val="BodyText"/>
        <w:spacing w:before="83"/>
        <w:ind w:left="283" w:right="0" w:firstLine="0"/>
        <w:jc w:val="left"/>
      </w:pPr>
      <w:r>
        <w:rPr>
          <w:color w:val="231F20"/>
        </w:rPr>
        <w:t>Sous-section 7. Modalités d’exercice du droit de vote.</w:t>
      </w:r>
    </w:p>
    <w:p>
      <w:pPr>
        <w:pStyle w:val="BodyText"/>
        <w:spacing w:line="218" w:lineRule="auto" w:before="92"/>
        <w:ind w:right="41"/>
      </w:pPr>
      <w:r>
        <w:rPr>
          <w:color w:val="231F20"/>
        </w:rPr>
        <w:t>Art. 7:142. Tous les actionnaires ayant droit de vote peuvent voter eux-mêmes ou par procuration.</w:t>
      </w:r>
    </w:p>
    <w:p>
      <w:pPr>
        <w:pStyle w:val="BodyText"/>
        <w:spacing w:line="218" w:lineRule="auto" w:before="96"/>
        <w:ind w:right="41"/>
      </w:pPr>
      <w:r>
        <w:rPr>
          <w:color w:val="231F20"/>
        </w:rPr>
        <w:t>Par procuration, il faut entendre le pouvoir donné par un actionnaire à une personne physique ou morale pour exercer au nom de cet actionnaire tout ou partie de ses droits lors de l’assemblée générale.</w:t>
      </w:r>
    </w:p>
    <w:p>
      <w:pPr>
        <w:pStyle w:val="BodyText"/>
        <w:spacing w:before="7"/>
        <w:ind w:left="0" w:right="0" w:firstLine="0"/>
        <w:jc w:val="left"/>
        <w:rPr>
          <w:sz w:val="23"/>
        </w:rPr>
      </w:pPr>
    </w:p>
    <w:p>
      <w:pPr>
        <w:pStyle w:val="BodyText"/>
        <w:spacing w:line="218" w:lineRule="auto"/>
        <w:ind w:right="40"/>
      </w:pPr>
      <w:r>
        <w:rPr>
          <w:color w:val="231F20"/>
        </w:rPr>
        <w:t>Sans préjudice de l’article 7:145, alinéa 1</w:t>
      </w:r>
      <w:r>
        <w:rPr>
          <w:color w:val="231F20"/>
          <w:position w:val="7"/>
          <w:sz w:val="11"/>
        </w:rPr>
        <w:t>er</w:t>
      </w:r>
      <w:r>
        <w:rPr>
          <w:color w:val="231F20"/>
        </w:rPr>
        <w:t>, 1°, ce pouvoir peut être donné pour une ou plusieurs assemblées déterminées ou pour les assemblées</w:t>
      </w:r>
      <w:r>
        <w:rPr>
          <w:color w:val="231F20"/>
          <w:spacing w:val="15"/>
        </w:rPr>
        <w:t> </w:t>
      </w:r>
      <w:r>
        <w:rPr>
          <w:color w:val="231F20"/>
        </w:rPr>
        <w:t>tenues</w:t>
      </w:r>
      <w:r>
        <w:rPr>
          <w:color w:val="231F20"/>
          <w:spacing w:val="15"/>
        </w:rPr>
        <w:t> </w:t>
      </w:r>
      <w:r>
        <w:rPr>
          <w:color w:val="231F20"/>
        </w:rPr>
        <w:t>pendant</w:t>
      </w:r>
      <w:r>
        <w:rPr>
          <w:color w:val="231F20"/>
          <w:spacing w:val="15"/>
        </w:rPr>
        <w:t> </w:t>
      </w:r>
      <w:r>
        <w:rPr>
          <w:color w:val="231F20"/>
        </w:rPr>
        <w:t>une</w:t>
      </w:r>
      <w:r>
        <w:rPr>
          <w:color w:val="231F20"/>
          <w:spacing w:val="15"/>
        </w:rPr>
        <w:t> </w:t>
      </w:r>
      <w:r>
        <w:rPr>
          <w:color w:val="231F20"/>
        </w:rPr>
        <w:t>période</w:t>
      </w:r>
      <w:r>
        <w:rPr>
          <w:color w:val="231F20"/>
          <w:spacing w:val="15"/>
        </w:rPr>
        <w:t> </w:t>
      </w:r>
      <w:r>
        <w:rPr>
          <w:color w:val="231F20"/>
        </w:rPr>
        <w:t>déterminée.</w:t>
      </w:r>
    </w:p>
    <w:p>
      <w:pPr>
        <w:pStyle w:val="BodyText"/>
        <w:spacing w:line="218" w:lineRule="auto" w:before="107"/>
        <w:ind w:right="40"/>
      </w:pPr>
      <w:r>
        <w:rPr>
          <w:color w:val="231F20"/>
        </w:rPr>
        <w:t>La procuration donnée pour une assemblée vaut pour les assemblées successives</w:t>
      </w:r>
      <w:r>
        <w:rPr>
          <w:color w:val="231F20"/>
          <w:spacing w:val="16"/>
        </w:rPr>
        <w:t> </w:t>
      </w:r>
      <w:r>
        <w:rPr>
          <w:color w:val="231F20"/>
        </w:rPr>
        <w:t>convoquées</w:t>
      </w:r>
      <w:r>
        <w:rPr>
          <w:color w:val="231F20"/>
          <w:spacing w:val="16"/>
        </w:rPr>
        <w:t> </w:t>
      </w:r>
      <w:r>
        <w:rPr>
          <w:color w:val="231F20"/>
        </w:rPr>
        <w:t>avec</w:t>
      </w:r>
      <w:r>
        <w:rPr>
          <w:color w:val="231F20"/>
          <w:spacing w:val="16"/>
        </w:rPr>
        <w:t> </w:t>
      </w:r>
      <w:r>
        <w:rPr>
          <w:color w:val="231F20"/>
        </w:rPr>
        <w:t>le</w:t>
      </w:r>
      <w:r>
        <w:rPr>
          <w:color w:val="231F20"/>
          <w:spacing w:val="16"/>
        </w:rPr>
        <w:t> </w:t>
      </w:r>
      <w:r>
        <w:rPr>
          <w:color w:val="231F20"/>
        </w:rPr>
        <w:t>même</w:t>
      </w:r>
      <w:r>
        <w:rPr>
          <w:color w:val="231F20"/>
          <w:spacing w:val="16"/>
        </w:rPr>
        <w:t> </w:t>
      </w:r>
      <w:r>
        <w:rPr>
          <w:color w:val="231F20"/>
        </w:rPr>
        <w:t>ordre</w:t>
      </w:r>
      <w:r>
        <w:rPr>
          <w:color w:val="231F20"/>
          <w:spacing w:val="16"/>
        </w:rPr>
        <w:t> </w:t>
      </w:r>
      <w:r>
        <w:rPr>
          <w:color w:val="231F20"/>
        </w:rPr>
        <w:t>du</w:t>
      </w:r>
      <w:r>
        <w:rPr>
          <w:color w:val="231F20"/>
          <w:spacing w:val="16"/>
        </w:rPr>
        <w:t> </w:t>
      </w:r>
      <w:r>
        <w:rPr>
          <w:color w:val="231F20"/>
          <w:spacing w:val="-3"/>
        </w:rPr>
        <w:t>jour.</w:t>
      </w:r>
    </w:p>
    <w:p>
      <w:pPr>
        <w:pStyle w:val="BodyText"/>
        <w:spacing w:line="218" w:lineRule="auto" w:before="106"/>
        <w:ind w:right="40"/>
      </w:pPr>
      <w:r>
        <w:rPr>
          <w:color w:val="231F20"/>
        </w:rPr>
        <w:t>Le mandataire bénéficie des mêmes droits que l’actionnaire ainsi représenté et, en particulier, du droit de prendre la parole, de poser des questions lors de l’assemblée générale et d’y exercer le droit de vote.</w:t>
      </w:r>
    </w:p>
    <w:p>
      <w:pPr>
        <w:pStyle w:val="BodyText"/>
        <w:spacing w:before="7"/>
        <w:ind w:left="0" w:right="0" w:firstLine="0"/>
        <w:jc w:val="left"/>
        <w:rPr>
          <w:sz w:val="23"/>
        </w:rPr>
      </w:pPr>
    </w:p>
    <w:p>
      <w:pPr>
        <w:pStyle w:val="BodyText"/>
        <w:spacing w:line="218" w:lineRule="auto"/>
        <w:ind w:right="40"/>
      </w:pPr>
      <w:r>
        <w:rPr>
          <w:color w:val="231F20"/>
        </w:rPr>
        <w:t>Art. 7:143. § 1</w:t>
      </w:r>
      <w:r>
        <w:rPr>
          <w:color w:val="231F20"/>
          <w:position w:val="7"/>
          <w:sz w:val="11"/>
        </w:rPr>
        <w:t>er</w:t>
      </w:r>
      <w:r>
        <w:rPr>
          <w:color w:val="231F20"/>
        </w:rPr>
        <w:t>. L’actionnaire d’une société cotée ne peut désigner, pour une assemblée générale donnée, qu’une seule personne comme mandataire.</w:t>
      </w:r>
    </w:p>
    <w:p>
      <w:pPr>
        <w:pStyle w:val="BodyText"/>
        <w:spacing w:before="78"/>
        <w:ind w:left="283" w:right="0" w:firstLine="0"/>
        <w:jc w:val="left"/>
      </w:pPr>
      <w:r>
        <w:rPr>
          <w:color w:val="231F20"/>
        </w:rPr>
        <w:t>Par dérogation à l’alinéa 1</w:t>
      </w:r>
      <w:r>
        <w:rPr>
          <w:color w:val="231F20"/>
          <w:position w:val="7"/>
          <w:sz w:val="11"/>
        </w:rPr>
        <w:t>er</w:t>
      </w:r>
      <w:r>
        <w:rPr>
          <w:color w:val="231F20"/>
        </w:rPr>
        <w:t>,</w:t>
      </w:r>
    </w:p>
    <w:p>
      <w:pPr>
        <w:pStyle w:val="ListParagraph"/>
        <w:numPr>
          <w:ilvl w:val="0"/>
          <w:numId w:val="116"/>
        </w:numPr>
        <w:tabs>
          <w:tab w:pos="518" w:val="left" w:leader="none"/>
        </w:tabs>
        <w:spacing w:line="218" w:lineRule="auto" w:before="100" w:after="0"/>
        <w:ind w:left="113" w:right="40" w:firstLine="170"/>
        <w:jc w:val="both"/>
        <w:rPr>
          <w:sz w:val="17"/>
        </w:rPr>
      </w:pPr>
      <w:r>
        <w:rPr>
          <w:color w:val="231F20"/>
          <w:sz w:val="17"/>
        </w:rPr>
        <w:t>l’actionnaire peut désigner un mandataire distinct par forme d’actions qu’il détient, ainsi que par compte-titres s’il détient des actions</w:t>
      </w:r>
      <w:r>
        <w:rPr>
          <w:color w:val="231F20"/>
          <w:spacing w:val="15"/>
          <w:sz w:val="17"/>
        </w:rPr>
        <w:t> </w:t>
      </w:r>
      <w:r>
        <w:rPr>
          <w:color w:val="231F20"/>
          <w:sz w:val="17"/>
        </w:rPr>
        <w:t>d’une</w:t>
      </w:r>
      <w:r>
        <w:rPr>
          <w:color w:val="231F20"/>
          <w:spacing w:val="15"/>
          <w:sz w:val="17"/>
        </w:rPr>
        <w:t> </w:t>
      </w:r>
      <w:r>
        <w:rPr>
          <w:color w:val="231F20"/>
          <w:sz w:val="17"/>
        </w:rPr>
        <w:t>société</w:t>
      </w:r>
      <w:r>
        <w:rPr>
          <w:color w:val="231F20"/>
          <w:spacing w:val="15"/>
          <w:sz w:val="17"/>
        </w:rPr>
        <w:t> </w:t>
      </w:r>
      <w:r>
        <w:rPr>
          <w:color w:val="231F20"/>
          <w:sz w:val="17"/>
        </w:rPr>
        <w:t>cotée</w:t>
      </w:r>
      <w:r>
        <w:rPr>
          <w:color w:val="231F20"/>
          <w:spacing w:val="15"/>
          <w:sz w:val="17"/>
        </w:rPr>
        <w:t> </w:t>
      </w:r>
      <w:r>
        <w:rPr>
          <w:color w:val="231F20"/>
          <w:sz w:val="17"/>
        </w:rPr>
        <w:t>sur</w:t>
      </w:r>
      <w:r>
        <w:rPr>
          <w:color w:val="231F20"/>
          <w:spacing w:val="15"/>
          <w:sz w:val="17"/>
        </w:rPr>
        <w:t> </w:t>
      </w:r>
      <w:r>
        <w:rPr>
          <w:color w:val="231F20"/>
          <w:sz w:val="17"/>
        </w:rPr>
        <w:t>plus</w:t>
      </w:r>
      <w:r>
        <w:rPr>
          <w:color w:val="231F20"/>
          <w:spacing w:val="15"/>
          <w:sz w:val="17"/>
        </w:rPr>
        <w:t> </w:t>
      </w:r>
      <w:r>
        <w:rPr>
          <w:color w:val="231F20"/>
          <w:sz w:val="17"/>
        </w:rPr>
        <w:t>d’un</w:t>
      </w:r>
      <w:r>
        <w:rPr>
          <w:color w:val="231F20"/>
          <w:spacing w:val="15"/>
          <w:sz w:val="17"/>
        </w:rPr>
        <w:t> </w:t>
      </w:r>
      <w:r>
        <w:rPr>
          <w:color w:val="231F20"/>
          <w:sz w:val="17"/>
        </w:rPr>
        <w:t>compte-titres;</w:t>
      </w:r>
    </w:p>
    <w:p>
      <w:pPr>
        <w:pStyle w:val="BodyText"/>
        <w:spacing w:before="8"/>
        <w:ind w:left="0" w:right="0" w:firstLine="0"/>
        <w:jc w:val="left"/>
        <w:rPr>
          <w:sz w:val="24"/>
        </w:rPr>
      </w:pPr>
    </w:p>
    <w:p>
      <w:pPr>
        <w:pStyle w:val="ListParagraph"/>
        <w:numPr>
          <w:ilvl w:val="0"/>
          <w:numId w:val="116"/>
        </w:numPr>
        <w:tabs>
          <w:tab w:pos="463" w:val="left" w:leader="none"/>
        </w:tabs>
        <w:spacing w:line="218" w:lineRule="auto" w:before="0" w:after="0"/>
        <w:ind w:left="113" w:right="40" w:firstLine="170"/>
        <w:jc w:val="both"/>
        <w:rPr>
          <w:sz w:val="17"/>
        </w:rPr>
      </w:pPr>
      <w:r>
        <w:rPr>
          <w:color w:val="231F20"/>
          <w:sz w:val="17"/>
        </w:rPr>
        <w:t>la personne qualifiée d’actionnaire, mais qui agit à titre profession- nel pour le compte d’autres personnes physiques ou morales, peut donner procuration à chacune de ces autres personnes physiques ou morales</w:t>
      </w:r>
      <w:r>
        <w:rPr>
          <w:color w:val="231F20"/>
          <w:spacing w:val="14"/>
          <w:sz w:val="17"/>
        </w:rPr>
        <w:t> </w:t>
      </w:r>
      <w:r>
        <w:rPr>
          <w:color w:val="231F20"/>
          <w:sz w:val="17"/>
        </w:rPr>
        <w:t>ou</w:t>
      </w:r>
      <w:r>
        <w:rPr>
          <w:color w:val="231F20"/>
          <w:spacing w:val="15"/>
          <w:sz w:val="17"/>
        </w:rPr>
        <w:t> </w:t>
      </w:r>
      <w:r>
        <w:rPr>
          <w:color w:val="231F20"/>
          <w:sz w:val="17"/>
        </w:rPr>
        <w:t>à</w:t>
      </w:r>
      <w:r>
        <w:rPr>
          <w:color w:val="231F20"/>
          <w:spacing w:val="15"/>
          <w:sz w:val="17"/>
        </w:rPr>
        <w:t> </w:t>
      </w:r>
      <w:r>
        <w:rPr>
          <w:color w:val="231F20"/>
          <w:sz w:val="17"/>
        </w:rPr>
        <w:t>une</w:t>
      </w:r>
      <w:r>
        <w:rPr>
          <w:color w:val="231F20"/>
          <w:spacing w:val="15"/>
          <w:sz w:val="17"/>
        </w:rPr>
        <w:t> </w:t>
      </w:r>
      <w:r>
        <w:rPr>
          <w:color w:val="231F20"/>
          <w:sz w:val="17"/>
        </w:rPr>
        <w:t>tierce</w:t>
      </w:r>
      <w:r>
        <w:rPr>
          <w:color w:val="231F20"/>
          <w:spacing w:val="15"/>
          <w:sz w:val="17"/>
        </w:rPr>
        <w:t> </w:t>
      </w:r>
      <w:r>
        <w:rPr>
          <w:color w:val="231F20"/>
          <w:sz w:val="17"/>
        </w:rPr>
        <w:t>personne</w:t>
      </w:r>
      <w:r>
        <w:rPr>
          <w:color w:val="231F20"/>
          <w:spacing w:val="14"/>
          <w:sz w:val="17"/>
        </w:rPr>
        <w:t> </w:t>
      </w:r>
      <w:r>
        <w:rPr>
          <w:color w:val="231F20"/>
          <w:sz w:val="17"/>
        </w:rPr>
        <w:t>désignée</w:t>
      </w:r>
      <w:r>
        <w:rPr>
          <w:color w:val="231F20"/>
          <w:spacing w:val="15"/>
          <w:sz w:val="17"/>
        </w:rPr>
        <w:t> </w:t>
      </w:r>
      <w:r>
        <w:rPr>
          <w:color w:val="231F20"/>
          <w:sz w:val="17"/>
        </w:rPr>
        <w:t>par</w:t>
      </w:r>
      <w:r>
        <w:rPr>
          <w:color w:val="231F20"/>
          <w:spacing w:val="15"/>
          <w:sz w:val="17"/>
        </w:rPr>
        <w:t> </w:t>
      </w:r>
      <w:r>
        <w:rPr>
          <w:color w:val="231F20"/>
          <w:sz w:val="17"/>
        </w:rPr>
        <w:t>celles-ci.</w:t>
      </w:r>
    </w:p>
    <w:p>
      <w:pPr>
        <w:pStyle w:val="BodyText"/>
        <w:spacing w:line="218" w:lineRule="auto" w:before="107"/>
        <w:ind w:right="41"/>
      </w:pPr>
      <w:r>
        <w:rPr>
          <w:color w:val="231F20"/>
        </w:rPr>
        <w:t>Les dispositions statutaires limitant la possibilité pour des personnes d’être désignées comme mandataires sont réputées non écrites.</w:t>
      </w:r>
    </w:p>
    <w:p>
      <w:pPr>
        <w:pStyle w:val="BodyText"/>
        <w:spacing w:before="9"/>
        <w:ind w:left="0" w:right="0" w:firstLine="0"/>
        <w:jc w:val="left"/>
        <w:rPr>
          <w:sz w:val="24"/>
        </w:rPr>
      </w:pPr>
    </w:p>
    <w:p>
      <w:pPr>
        <w:pStyle w:val="BodyText"/>
        <w:spacing w:line="218" w:lineRule="auto" w:before="1"/>
        <w:ind w:right="40"/>
      </w:pPr>
      <w:r>
        <w:rPr>
          <w:color w:val="231F20"/>
        </w:rPr>
        <w:t>Une personne agissant en qualité de mandataire peut représenter plus d’un actionnaire d’une société cotée. Si un mandataire est porteur des procurations de plusieurs actionnaires, il peut exprimer au nom d’un actionnaire déterminé un vote en sens différent de celui exprimé au nom d’un autre actionnaire.</w:t>
      </w:r>
    </w:p>
    <w:p>
      <w:pPr>
        <w:pStyle w:val="BodyText"/>
        <w:spacing w:line="218" w:lineRule="auto" w:before="107"/>
        <w:ind w:right="38"/>
      </w:pPr>
      <w:r>
        <w:rPr>
          <w:color w:val="231F20"/>
        </w:rPr>
        <w:t>§ 2. La désignation d’un mandataire par un actionnaire d’une société cotée est signée par cet actionnaire, sous forme manuscrite ou par un procédé de signature électronique au sens de l’article 3.10 du règlement (UE) n° 910/2014 du Parlement européen et du Conseil du</w:t>
      </w:r>
    </w:p>
    <w:p>
      <w:pPr>
        <w:pStyle w:val="BodyText"/>
        <w:spacing w:line="218" w:lineRule="auto"/>
        <w:ind w:right="40" w:firstLine="0"/>
      </w:pPr>
      <w:r>
        <w:rPr>
          <w:color w:val="231F20"/>
        </w:rPr>
        <w:t>23 juillet 2014 sur l’identification électronique et les services de confiance pour les transactions électroniques au sein du marché intérieur et abrogeant la directive 1999/93/CE ou d’une signature électronique qualifiée au sens de l’article 3.12 de ce même règlement. Elle est communiquée à la société par la biais de l’adresse électronique de la société ou l’adresse électronique spécifique indiquée dans la convocation à l’assemblée générale.</w:t>
      </w:r>
    </w:p>
    <w:p>
      <w:pPr>
        <w:pStyle w:val="BodyText"/>
        <w:spacing w:line="218" w:lineRule="auto" w:before="107"/>
        <w:ind w:right="41"/>
      </w:pPr>
      <w:r>
        <w:rPr>
          <w:color w:val="231F20"/>
        </w:rPr>
        <w:t>La procuration doit parvenir à la société au plus tard le sixième jour qui précède la date de l’assemblée.</w:t>
      </w:r>
    </w:p>
    <w:p>
      <w:pPr>
        <w:pStyle w:val="BodyText"/>
        <w:spacing w:line="218" w:lineRule="auto" w:before="107"/>
        <w:ind w:right="40"/>
      </w:pPr>
      <w:r>
        <w:rPr>
          <w:color w:val="231F20"/>
        </w:rPr>
        <w:t>Pour le calcul des règles de quorum et de majorité, seules sont prises en compte les procurations communiquées par des actionnaires</w:t>
      </w:r>
      <w:r>
        <w:rPr>
          <w:color w:val="231F20"/>
          <w:spacing w:val="28"/>
        </w:rPr>
        <w:t> </w:t>
      </w:r>
      <w:r>
        <w:rPr>
          <w:color w:val="231F20"/>
        </w:rPr>
        <w:t>qui satisfont aux  formalités  d’admission  à  l’assemblée  visées  à  l’arti-  cle 7:134, §</w:t>
      </w:r>
      <w:r>
        <w:rPr>
          <w:color w:val="231F20"/>
          <w:spacing w:val="2"/>
        </w:rPr>
        <w:t> </w:t>
      </w:r>
      <w:r>
        <w:rPr>
          <w:color w:val="231F20"/>
        </w:rPr>
        <w:t>2.</w:t>
      </w:r>
    </w:p>
    <w:p>
      <w:pPr>
        <w:pStyle w:val="BodyText"/>
        <w:spacing w:before="10"/>
        <w:ind w:left="0" w:right="0" w:firstLine="0"/>
        <w:jc w:val="left"/>
        <w:rPr>
          <w:sz w:val="24"/>
        </w:rPr>
      </w:pPr>
    </w:p>
    <w:p>
      <w:pPr>
        <w:pStyle w:val="BodyText"/>
        <w:spacing w:line="218" w:lineRule="auto"/>
        <w:ind w:right="40"/>
      </w:pPr>
      <w:r>
        <w:rPr>
          <w:color w:val="231F20"/>
        </w:rPr>
        <w:t>§ 3. Sans préjudice de l’article 7:145, alinéa 2, le mandataire vote conformément aux instructions de vote qui auraient été données par l’actionnaire d’une société cotée qui l’a désigné. Il doit conserver un registre des instructions de vote pendant une période d’une année au moins et confirmer, sur demande de l’actionnaire, qu’il a suivi ces instructions de vote.</w:t>
      </w:r>
    </w:p>
    <w:p>
      <w:pPr>
        <w:pStyle w:val="BodyText"/>
        <w:spacing w:line="201" w:lineRule="auto" w:before="118"/>
        <w:ind w:right="40"/>
      </w:pPr>
      <w:r>
        <w:rPr>
          <w:color w:val="231F20"/>
        </w:rPr>
        <w:t>§ 4. En cas de conflits d’intérêts potentiels entre l’actionnaire d’une société</w:t>
      </w:r>
      <w:r>
        <w:rPr>
          <w:color w:val="231F20"/>
          <w:spacing w:val="18"/>
        </w:rPr>
        <w:t> </w:t>
      </w:r>
      <w:r>
        <w:rPr>
          <w:color w:val="231F20"/>
        </w:rPr>
        <w:t>visée</w:t>
      </w:r>
      <w:r>
        <w:rPr>
          <w:color w:val="231F20"/>
          <w:spacing w:val="18"/>
        </w:rPr>
        <w:t> </w:t>
      </w:r>
      <w:r>
        <w:rPr>
          <w:color w:val="231F20"/>
        </w:rPr>
        <w:t>au</w:t>
      </w:r>
      <w:r>
        <w:rPr>
          <w:color w:val="231F20"/>
          <w:spacing w:val="18"/>
        </w:rPr>
        <w:t> </w:t>
      </w:r>
      <w:r>
        <w:rPr>
          <w:color w:val="231F20"/>
        </w:rPr>
        <w:t>paragraphe</w:t>
      </w:r>
      <w:r>
        <w:rPr>
          <w:color w:val="231F20"/>
          <w:spacing w:val="18"/>
        </w:rPr>
        <w:t> </w:t>
      </w:r>
      <w:r>
        <w:rPr>
          <w:color w:val="231F20"/>
        </w:rPr>
        <w:t>1</w:t>
      </w:r>
      <w:r>
        <w:rPr>
          <w:color w:val="231F20"/>
          <w:position w:val="7"/>
          <w:sz w:val="11"/>
        </w:rPr>
        <w:t>er</w:t>
      </w:r>
      <w:r>
        <w:rPr>
          <w:color w:val="231F20"/>
          <w:spacing w:val="19"/>
          <w:position w:val="7"/>
          <w:sz w:val="11"/>
        </w:rPr>
        <w:t> </w:t>
      </w:r>
      <w:r>
        <w:rPr>
          <w:color w:val="231F20"/>
        </w:rPr>
        <w:t>et</w:t>
      </w:r>
      <w:r>
        <w:rPr>
          <w:color w:val="231F20"/>
          <w:spacing w:val="18"/>
        </w:rPr>
        <w:t> </w:t>
      </w:r>
      <w:r>
        <w:rPr>
          <w:color w:val="231F20"/>
        </w:rPr>
        <w:t>le</w:t>
      </w:r>
      <w:r>
        <w:rPr>
          <w:color w:val="231F20"/>
          <w:spacing w:val="18"/>
        </w:rPr>
        <w:t> </w:t>
      </w:r>
      <w:r>
        <w:rPr>
          <w:color w:val="231F20"/>
        </w:rPr>
        <w:t>mandataire</w:t>
      </w:r>
      <w:r>
        <w:rPr>
          <w:color w:val="231F20"/>
          <w:spacing w:val="18"/>
        </w:rPr>
        <w:t> </w:t>
      </w:r>
      <w:r>
        <w:rPr>
          <w:color w:val="231F20"/>
          <w:spacing w:val="2"/>
        </w:rPr>
        <w:t>qu’il </w:t>
      </w:r>
      <w:r>
        <w:rPr>
          <w:color w:val="231F20"/>
        </w:rPr>
        <w:t>a</w:t>
      </w:r>
      <w:r>
        <w:rPr>
          <w:color w:val="231F20"/>
          <w:spacing w:val="18"/>
        </w:rPr>
        <w:t> </w:t>
      </w:r>
      <w:r>
        <w:rPr>
          <w:color w:val="231F20"/>
        </w:rPr>
        <w:t>désigné:</w:t>
      </w:r>
    </w:p>
    <w:p>
      <w:pPr>
        <w:pStyle w:val="BodyText"/>
        <w:ind w:left="0" w:right="0" w:firstLine="0"/>
        <w:jc w:val="left"/>
        <w:rPr>
          <w:sz w:val="25"/>
        </w:rPr>
      </w:pPr>
    </w:p>
    <w:p>
      <w:pPr>
        <w:pStyle w:val="BodyText"/>
        <w:spacing w:line="218" w:lineRule="auto"/>
        <w:ind w:right="41"/>
      </w:pPr>
      <w:r>
        <w:rPr>
          <w:color w:val="231F20"/>
        </w:rPr>
        <w:t>1° le mandataire doit divulguer les faits précis qui sont pertinents pour permettre à l’actionnaire d’évaluer le risque que le mandataire puisse</w:t>
      </w:r>
      <w:r>
        <w:rPr>
          <w:color w:val="231F20"/>
          <w:spacing w:val="15"/>
        </w:rPr>
        <w:t> </w:t>
      </w:r>
      <w:r>
        <w:rPr>
          <w:color w:val="231F20"/>
        </w:rPr>
        <w:t>poursuivre</w:t>
      </w:r>
      <w:r>
        <w:rPr>
          <w:color w:val="231F20"/>
          <w:spacing w:val="15"/>
        </w:rPr>
        <w:t> </w:t>
      </w:r>
      <w:r>
        <w:rPr>
          <w:color w:val="231F20"/>
        </w:rPr>
        <w:t>un</w:t>
      </w:r>
      <w:r>
        <w:rPr>
          <w:color w:val="231F20"/>
          <w:spacing w:val="16"/>
        </w:rPr>
        <w:t> </w:t>
      </w:r>
      <w:r>
        <w:rPr>
          <w:color w:val="231F20"/>
        </w:rPr>
        <w:t>intérêt</w:t>
      </w:r>
      <w:r>
        <w:rPr>
          <w:color w:val="231F20"/>
          <w:spacing w:val="15"/>
        </w:rPr>
        <w:t> </w:t>
      </w:r>
      <w:r>
        <w:rPr>
          <w:color w:val="231F20"/>
        </w:rPr>
        <w:t>autre</w:t>
      </w:r>
      <w:r>
        <w:rPr>
          <w:color w:val="231F20"/>
          <w:spacing w:val="15"/>
        </w:rPr>
        <w:t> </w:t>
      </w:r>
      <w:r>
        <w:rPr>
          <w:color w:val="231F20"/>
        </w:rPr>
        <w:t>que</w:t>
      </w:r>
      <w:r>
        <w:rPr>
          <w:color w:val="231F20"/>
          <w:spacing w:val="16"/>
        </w:rPr>
        <w:t> </w:t>
      </w:r>
      <w:r>
        <w:rPr>
          <w:color w:val="231F20"/>
        </w:rPr>
        <w:t>l’intérêt</w:t>
      </w:r>
      <w:r>
        <w:rPr>
          <w:color w:val="231F20"/>
          <w:spacing w:val="15"/>
        </w:rPr>
        <w:t> </w:t>
      </w:r>
      <w:r>
        <w:rPr>
          <w:color w:val="231F20"/>
        </w:rPr>
        <w:t>de</w:t>
      </w:r>
      <w:r>
        <w:rPr>
          <w:color w:val="231F20"/>
          <w:spacing w:val="16"/>
        </w:rPr>
        <w:t> </w:t>
      </w:r>
      <w:r>
        <w:rPr>
          <w:color w:val="231F20"/>
        </w:rPr>
        <w:t>l’actionnaire;</w:t>
      </w:r>
    </w:p>
    <w:p>
      <w:pPr>
        <w:pStyle w:val="BodyText"/>
        <w:spacing w:before="10"/>
        <w:ind w:left="0" w:right="0" w:firstLine="0"/>
        <w:jc w:val="left"/>
        <w:rPr>
          <w:sz w:val="24"/>
        </w:rPr>
      </w:pPr>
    </w:p>
    <w:p>
      <w:pPr>
        <w:pStyle w:val="BodyText"/>
        <w:spacing w:line="218" w:lineRule="auto"/>
        <w:ind w:right="40"/>
      </w:pPr>
      <w:r>
        <w:rPr>
          <w:color w:val="231F20"/>
        </w:rPr>
        <w:t>2° le mandataire n’est autorisé à exercer le droit de vote pour compte de l’actionnaire qu’à la condition qu’il dispose d’instructions de vote spécifiques pour chaque sujet figurant à l’ordre du jour.</w:t>
      </w:r>
    </w:p>
    <w:p>
      <w:pPr>
        <w:pStyle w:val="BodyText"/>
        <w:spacing w:line="218" w:lineRule="auto" w:before="119"/>
        <w:ind w:right="123" w:firstLine="0"/>
      </w:pPr>
      <w:r>
        <w:rPr/>
        <w:br w:type="column"/>
      </w:r>
      <w:r>
        <w:rPr>
          <w:color w:val="231F20"/>
        </w:rPr>
        <w:t>uitgebrachte stemmen, en het aantal stemmen dat voor of tegen elk besluit is uitgebracht, evenals het eventuele aantal onthoudingen. De vennootschap maakt deze informatie binnen vijftien dagen na de algemene</w:t>
      </w:r>
      <w:r>
        <w:rPr>
          <w:color w:val="231F20"/>
          <w:spacing w:val="19"/>
        </w:rPr>
        <w:t> </w:t>
      </w:r>
      <w:r>
        <w:rPr>
          <w:color w:val="231F20"/>
        </w:rPr>
        <w:t>vergadering</w:t>
      </w:r>
      <w:r>
        <w:rPr>
          <w:color w:val="231F20"/>
          <w:spacing w:val="19"/>
        </w:rPr>
        <w:t> </w:t>
      </w:r>
      <w:r>
        <w:rPr>
          <w:color w:val="231F20"/>
        </w:rPr>
        <w:t>bekend</w:t>
      </w:r>
      <w:r>
        <w:rPr>
          <w:color w:val="231F20"/>
          <w:spacing w:val="19"/>
        </w:rPr>
        <w:t> </w:t>
      </w:r>
      <w:r>
        <w:rPr>
          <w:color w:val="231F20"/>
        </w:rPr>
        <w:t>via</w:t>
      </w:r>
      <w:r>
        <w:rPr>
          <w:color w:val="231F20"/>
          <w:spacing w:val="19"/>
        </w:rPr>
        <w:t> </w:t>
      </w:r>
      <w:r>
        <w:rPr>
          <w:color w:val="231F20"/>
        </w:rPr>
        <w:t>de</w:t>
      </w:r>
      <w:r>
        <w:rPr>
          <w:color w:val="231F20"/>
          <w:spacing w:val="19"/>
        </w:rPr>
        <w:t> </w:t>
      </w:r>
      <w:r>
        <w:rPr>
          <w:color w:val="231F20"/>
        </w:rPr>
        <w:t>vennootschapswebsite.</w:t>
      </w:r>
    </w:p>
    <w:p>
      <w:pPr>
        <w:pStyle w:val="BodyText"/>
        <w:spacing w:before="83"/>
        <w:ind w:left="283" w:right="0" w:firstLine="0"/>
        <w:jc w:val="left"/>
      </w:pPr>
      <w:r>
        <w:rPr>
          <w:color w:val="231F20"/>
        </w:rPr>
        <w:t>Onderafdeling</w:t>
      </w:r>
      <w:r>
        <w:rPr>
          <w:color w:val="231F20"/>
          <w:spacing w:val="18"/>
        </w:rPr>
        <w:t> </w:t>
      </w:r>
      <w:r>
        <w:rPr>
          <w:color w:val="231F20"/>
        </w:rPr>
        <w:t>7.</w:t>
      </w:r>
      <w:r>
        <w:rPr>
          <w:color w:val="231F20"/>
          <w:spacing w:val="19"/>
        </w:rPr>
        <w:t> </w:t>
      </w:r>
      <w:r>
        <w:rPr>
          <w:color w:val="231F20"/>
        </w:rPr>
        <w:t>Wijze</w:t>
      </w:r>
      <w:r>
        <w:rPr>
          <w:color w:val="231F20"/>
          <w:spacing w:val="18"/>
        </w:rPr>
        <w:t> </w:t>
      </w:r>
      <w:r>
        <w:rPr>
          <w:color w:val="231F20"/>
        </w:rPr>
        <w:t>van</w:t>
      </w:r>
      <w:r>
        <w:rPr>
          <w:color w:val="231F20"/>
          <w:spacing w:val="19"/>
        </w:rPr>
        <w:t> </w:t>
      </w:r>
      <w:r>
        <w:rPr>
          <w:color w:val="231F20"/>
        </w:rPr>
        <w:t>uitoefening</w:t>
      </w:r>
      <w:r>
        <w:rPr>
          <w:color w:val="231F20"/>
          <w:spacing w:val="18"/>
        </w:rPr>
        <w:t> </w:t>
      </w:r>
      <w:r>
        <w:rPr>
          <w:color w:val="231F20"/>
        </w:rPr>
        <w:t>van</w:t>
      </w:r>
      <w:r>
        <w:rPr>
          <w:color w:val="231F20"/>
          <w:spacing w:val="19"/>
        </w:rPr>
        <w:t> </w:t>
      </w:r>
      <w:r>
        <w:rPr>
          <w:color w:val="231F20"/>
        </w:rPr>
        <w:t>het</w:t>
      </w:r>
      <w:r>
        <w:rPr>
          <w:color w:val="231F20"/>
          <w:spacing w:val="18"/>
        </w:rPr>
        <w:t> </w:t>
      </w:r>
      <w:r>
        <w:rPr>
          <w:color w:val="231F20"/>
        </w:rPr>
        <w:t>stemrecht.</w:t>
      </w:r>
    </w:p>
    <w:p>
      <w:pPr>
        <w:pStyle w:val="BodyText"/>
        <w:spacing w:line="218" w:lineRule="auto" w:before="92"/>
      </w:pPr>
      <w:r>
        <w:rPr>
          <w:color w:val="231F20"/>
        </w:rPr>
        <w:t>Art. 7:142. Alle stemgerechtigde aandeelhouders kunnen in persoon of bij volmacht stemmen.</w:t>
      </w:r>
    </w:p>
    <w:p>
      <w:pPr>
        <w:pStyle w:val="BodyText"/>
        <w:spacing w:line="218" w:lineRule="auto" w:before="96"/>
      </w:pPr>
      <w:r>
        <w:rPr>
          <w:color w:val="231F20"/>
        </w:rPr>
        <w:t>Onder volmacht moet worden verstaan de door een aandeelhouder aan een natuurlijke of rechtspersoon verleende machtiging om som- mige of alle rechten van die aandeelhouder in de algemene vergadering in zijn naam uit te oefenen.</w:t>
      </w:r>
    </w:p>
    <w:p>
      <w:pPr>
        <w:pStyle w:val="BodyText"/>
        <w:spacing w:line="218" w:lineRule="auto" w:before="107"/>
      </w:pPr>
      <w:r>
        <w:rPr>
          <w:color w:val="231F20"/>
        </w:rPr>
        <w:t>Onverminderd artikel 7:145, eerste lid, 1°, kan deze machtiging worden gegeven voor een of meer specifieke vergaderingen of voor de vergaderingen die gedurende een bepaalde periode worden gehouden.</w:t>
      </w:r>
    </w:p>
    <w:p>
      <w:pPr>
        <w:pStyle w:val="BodyText"/>
        <w:spacing w:line="218" w:lineRule="auto" w:before="107"/>
      </w:pPr>
      <w:r>
        <w:rPr>
          <w:color w:val="231F20"/>
        </w:rPr>
        <w:t>De volmacht die voor een bepaalde vergadering wordt  gegeven,  geldt</w:t>
      </w:r>
      <w:r>
        <w:rPr>
          <w:color w:val="231F20"/>
          <w:spacing w:val="24"/>
        </w:rPr>
        <w:t> </w:t>
      </w:r>
      <w:r>
        <w:rPr>
          <w:color w:val="231F20"/>
        </w:rPr>
        <w:t>voor</w:t>
      </w:r>
      <w:r>
        <w:rPr>
          <w:color w:val="231F20"/>
          <w:spacing w:val="25"/>
        </w:rPr>
        <w:t> </w:t>
      </w:r>
      <w:r>
        <w:rPr>
          <w:color w:val="231F20"/>
        </w:rPr>
        <w:t>de</w:t>
      </w:r>
      <w:r>
        <w:rPr>
          <w:color w:val="231F20"/>
          <w:spacing w:val="24"/>
        </w:rPr>
        <w:t> </w:t>
      </w:r>
      <w:r>
        <w:rPr>
          <w:color w:val="231F20"/>
        </w:rPr>
        <w:t>opeenvolgende</w:t>
      </w:r>
      <w:r>
        <w:rPr>
          <w:color w:val="231F20"/>
          <w:spacing w:val="25"/>
        </w:rPr>
        <w:t> </w:t>
      </w:r>
      <w:r>
        <w:rPr>
          <w:color w:val="231F20"/>
        </w:rPr>
        <w:t>vergaderingen</w:t>
      </w:r>
      <w:r>
        <w:rPr>
          <w:color w:val="231F20"/>
          <w:spacing w:val="25"/>
        </w:rPr>
        <w:t> </w:t>
      </w:r>
      <w:r>
        <w:rPr>
          <w:color w:val="231F20"/>
        </w:rPr>
        <w:t>met</w:t>
      </w:r>
      <w:r>
        <w:rPr>
          <w:color w:val="231F20"/>
          <w:spacing w:val="24"/>
        </w:rPr>
        <w:t> </w:t>
      </w:r>
      <w:r>
        <w:rPr>
          <w:color w:val="231F20"/>
        </w:rPr>
        <w:t>dezelfde</w:t>
      </w:r>
      <w:r>
        <w:rPr>
          <w:color w:val="231F20"/>
          <w:spacing w:val="25"/>
        </w:rPr>
        <w:t> </w:t>
      </w:r>
      <w:r>
        <w:rPr>
          <w:color w:val="231F20"/>
        </w:rPr>
        <w:t>agenda.</w:t>
      </w:r>
    </w:p>
    <w:p>
      <w:pPr>
        <w:pStyle w:val="BodyText"/>
        <w:spacing w:line="218" w:lineRule="auto" w:before="107"/>
      </w:pPr>
      <w:r>
        <w:rPr>
          <w:color w:val="231F20"/>
        </w:rPr>
        <w:t>De volmachtdrager geniet dezelfde rechten als de aldus vertegen- woordigde aandeelhouder, en inzonderheid het recht om het woord te voeren, om vragen te stellen tijdens de algemene vergadering en om er het stemrecht uit te oefenen.</w:t>
      </w:r>
    </w:p>
    <w:p>
      <w:pPr>
        <w:pStyle w:val="BodyText"/>
        <w:spacing w:line="218" w:lineRule="auto" w:before="107"/>
      </w:pPr>
      <w:r>
        <w:rPr>
          <w:color w:val="231F20"/>
        </w:rPr>
        <w:t>Art. 7:143. § 1. De aandeelhouder van een genoteerde vennootschap mag voor een bepaalde algemene vergadering slechts één persoon aanwijzen als volmachtdrager.</w:t>
      </w:r>
    </w:p>
    <w:p>
      <w:pPr>
        <w:pStyle w:val="BodyText"/>
        <w:spacing w:before="93"/>
        <w:ind w:left="283" w:right="0" w:firstLine="0"/>
        <w:jc w:val="left"/>
      </w:pPr>
      <w:r>
        <w:rPr>
          <w:color w:val="231F20"/>
        </w:rPr>
        <w:t>In afwijking van het eerste lid,</w:t>
      </w:r>
    </w:p>
    <w:p>
      <w:pPr>
        <w:pStyle w:val="ListParagraph"/>
        <w:numPr>
          <w:ilvl w:val="0"/>
          <w:numId w:val="117"/>
        </w:numPr>
        <w:tabs>
          <w:tab w:pos="478" w:val="left" w:leader="none"/>
        </w:tabs>
        <w:spacing w:line="218" w:lineRule="auto" w:before="101" w:after="0"/>
        <w:ind w:left="113" w:right="123" w:firstLine="170"/>
        <w:jc w:val="both"/>
        <w:rPr>
          <w:sz w:val="17"/>
        </w:rPr>
      </w:pPr>
      <w:r>
        <w:rPr>
          <w:color w:val="231F20"/>
          <w:sz w:val="17"/>
        </w:rPr>
        <w:t>kan de aandeelhouder een afzonderlijke volmachtdrager aanstel- len voor elke vorm van aandelen die hij bezit, alsook voor elk van zijn effectenrekeningen indien hij aandelen van een genoteerde vennoot- schap</w:t>
      </w:r>
      <w:r>
        <w:rPr>
          <w:color w:val="231F20"/>
          <w:spacing w:val="14"/>
          <w:sz w:val="17"/>
        </w:rPr>
        <w:t> </w:t>
      </w:r>
      <w:r>
        <w:rPr>
          <w:color w:val="231F20"/>
          <w:sz w:val="17"/>
        </w:rPr>
        <w:t>heeft</w:t>
      </w:r>
      <w:r>
        <w:rPr>
          <w:color w:val="231F20"/>
          <w:spacing w:val="15"/>
          <w:sz w:val="17"/>
        </w:rPr>
        <w:t> </w:t>
      </w:r>
      <w:r>
        <w:rPr>
          <w:color w:val="231F20"/>
          <w:sz w:val="17"/>
        </w:rPr>
        <w:t>op</w:t>
      </w:r>
      <w:r>
        <w:rPr>
          <w:color w:val="231F20"/>
          <w:spacing w:val="14"/>
          <w:sz w:val="17"/>
        </w:rPr>
        <w:t> </w:t>
      </w:r>
      <w:r>
        <w:rPr>
          <w:color w:val="231F20"/>
          <w:sz w:val="17"/>
        </w:rPr>
        <w:t>meer</w:t>
      </w:r>
      <w:r>
        <w:rPr>
          <w:color w:val="231F20"/>
          <w:spacing w:val="15"/>
          <w:sz w:val="17"/>
        </w:rPr>
        <w:t> </w:t>
      </w:r>
      <w:r>
        <w:rPr>
          <w:color w:val="231F20"/>
          <w:sz w:val="17"/>
        </w:rPr>
        <w:t>dan</w:t>
      </w:r>
      <w:r>
        <w:rPr>
          <w:color w:val="231F20"/>
          <w:spacing w:val="14"/>
          <w:sz w:val="17"/>
        </w:rPr>
        <w:t> </w:t>
      </w:r>
      <w:r>
        <w:rPr>
          <w:color w:val="231F20"/>
          <w:sz w:val="17"/>
        </w:rPr>
        <w:t>één</w:t>
      </w:r>
      <w:r>
        <w:rPr>
          <w:color w:val="231F20"/>
          <w:spacing w:val="15"/>
          <w:sz w:val="17"/>
        </w:rPr>
        <w:t> </w:t>
      </w:r>
      <w:r>
        <w:rPr>
          <w:color w:val="231F20"/>
          <w:sz w:val="17"/>
        </w:rPr>
        <w:t>effectenrekening;</w:t>
      </w:r>
    </w:p>
    <w:p>
      <w:pPr>
        <w:pStyle w:val="ListParagraph"/>
        <w:numPr>
          <w:ilvl w:val="0"/>
          <w:numId w:val="117"/>
        </w:numPr>
        <w:tabs>
          <w:tab w:pos="494" w:val="left" w:leader="none"/>
        </w:tabs>
        <w:spacing w:line="218" w:lineRule="auto" w:before="104" w:after="0"/>
        <w:ind w:left="113" w:right="124" w:firstLine="170"/>
        <w:jc w:val="both"/>
        <w:rPr>
          <w:sz w:val="17"/>
        </w:rPr>
      </w:pPr>
      <w:r>
        <w:rPr>
          <w:color w:val="231F20"/>
          <w:sz w:val="17"/>
        </w:rPr>
        <w:t>kan een als aandeelhouder gekwalificeerd persoon die evenwel beroepshalve optreedt voor rekening van andere natuurlijke of rechts- personen, volmacht geven aan elk van die andere natuurlijke of rechtspersonen</w:t>
      </w:r>
      <w:r>
        <w:rPr>
          <w:color w:val="231F20"/>
          <w:spacing w:val="15"/>
          <w:sz w:val="17"/>
        </w:rPr>
        <w:t> </w:t>
      </w:r>
      <w:r>
        <w:rPr>
          <w:color w:val="231F20"/>
          <w:sz w:val="17"/>
        </w:rPr>
        <w:t>of</w:t>
      </w:r>
      <w:r>
        <w:rPr>
          <w:color w:val="231F20"/>
          <w:spacing w:val="16"/>
          <w:sz w:val="17"/>
        </w:rPr>
        <w:t> </w:t>
      </w:r>
      <w:r>
        <w:rPr>
          <w:color w:val="231F20"/>
          <w:sz w:val="17"/>
        </w:rPr>
        <w:t>aan</w:t>
      </w:r>
      <w:r>
        <w:rPr>
          <w:color w:val="231F20"/>
          <w:spacing w:val="16"/>
          <w:sz w:val="17"/>
        </w:rPr>
        <w:t> </w:t>
      </w:r>
      <w:r>
        <w:rPr>
          <w:color w:val="231F20"/>
          <w:sz w:val="17"/>
        </w:rPr>
        <w:t>een</w:t>
      </w:r>
      <w:r>
        <w:rPr>
          <w:color w:val="231F20"/>
          <w:spacing w:val="15"/>
          <w:sz w:val="17"/>
        </w:rPr>
        <w:t> </w:t>
      </w:r>
      <w:r>
        <w:rPr>
          <w:color w:val="231F20"/>
          <w:sz w:val="17"/>
        </w:rPr>
        <w:t>door</w:t>
      </w:r>
      <w:r>
        <w:rPr>
          <w:color w:val="231F20"/>
          <w:spacing w:val="16"/>
          <w:sz w:val="17"/>
        </w:rPr>
        <w:t> </w:t>
      </w:r>
      <w:r>
        <w:rPr>
          <w:color w:val="231F20"/>
          <w:sz w:val="17"/>
        </w:rPr>
        <w:t>hen</w:t>
      </w:r>
      <w:r>
        <w:rPr>
          <w:color w:val="231F20"/>
          <w:spacing w:val="16"/>
          <w:sz w:val="17"/>
        </w:rPr>
        <w:t> </w:t>
      </w:r>
      <w:r>
        <w:rPr>
          <w:color w:val="231F20"/>
          <w:sz w:val="17"/>
        </w:rPr>
        <w:t>aangeduide</w:t>
      </w:r>
      <w:r>
        <w:rPr>
          <w:color w:val="231F20"/>
          <w:spacing w:val="15"/>
          <w:sz w:val="17"/>
        </w:rPr>
        <w:t> </w:t>
      </w:r>
      <w:r>
        <w:rPr>
          <w:color w:val="231F20"/>
          <w:sz w:val="17"/>
        </w:rPr>
        <w:t>derde.</w:t>
      </w:r>
    </w:p>
    <w:p>
      <w:pPr>
        <w:pStyle w:val="BodyText"/>
        <w:spacing w:line="218" w:lineRule="auto" w:before="107"/>
      </w:pPr>
      <w:r>
        <w:rPr>
          <w:color w:val="231F20"/>
        </w:rPr>
        <w:t>De statutaire bepalingen die de mogelijkheid voor personen om als volmachtdrager te worden aangewezen beperken, worden voor niet geschreven gehouden.</w:t>
      </w:r>
    </w:p>
    <w:p>
      <w:pPr>
        <w:pStyle w:val="BodyText"/>
        <w:spacing w:line="218" w:lineRule="auto" w:before="107"/>
      </w:pPr>
      <w:r>
        <w:rPr>
          <w:color w:val="231F20"/>
        </w:rPr>
        <w:t>Een persoon die als volmachtdrager optreedt, mag een volmacht van meer dan één aandeelhouder van een genoteerde vennootschap bezitten. Ingeval een volmachtdrager volmachten van meerdere aan- deelhouders bezit, kan hij namens een bepaalde aandeelhouder anders stemmen dan namens een andere aandeelhouder.</w:t>
      </w:r>
    </w:p>
    <w:p>
      <w:pPr>
        <w:pStyle w:val="BodyText"/>
        <w:spacing w:line="218" w:lineRule="auto" w:before="107"/>
        <w:ind w:right="122"/>
      </w:pPr>
      <w:r>
        <w:rPr>
          <w:color w:val="231F20"/>
        </w:rPr>
        <w:t>§ 2. De aanwijzing van een volmachtdrager door een aandeelhouder van een genoteerde vennootschap wordt ondertekend door die</w:t>
      </w:r>
      <w:r>
        <w:rPr>
          <w:color w:val="231F20"/>
          <w:spacing w:val="28"/>
        </w:rPr>
        <w:t> </w:t>
      </w:r>
      <w:r>
        <w:rPr>
          <w:color w:val="231F20"/>
        </w:rPr>
        <w:t>aan- deelhouder, handgeschreven of met een elektronische handtekening in de zin van artikel 3.10 van verordening (EU) </w:t>
      </w:r>
      <w:r>
        <w:rPr>
          <w:color w:val="231F20"/>
          <w:spacing w:val="-5"/>
        </w:rPr>
        <w:t>nr. </w:t>
      </w:r>
      <w:r>
        <w:rPr>
          <w:color w:val="231F20"/>
        </w:rPr>
        <w:t>910/2014 van het Europees Parlement en de Raad van 23 juli 2014 betreffende elektroni- sche identificatie en vertrouwensdiensten voor elektronische transac- ties in de interne markt en tot intrekking van richtlijn 1999/93/EG of een gekwalificeerde elektronische handtekening in de  zin  van  arti-  kel 3.12 van dezelfde verordening. Zij wordt aan de vennootschap meegedeeld via het e-mailadres van de vennootschap of het in de </w:t>
      </w:r>
      <w:r>
        <w:rPr>
          <w:color w:val="231F20"/>
          <w:spacing w:val="-3"/>
        </w:rPr>
        <w:t>oproeping </w:t>
      </w:r>
      <w:r>
        <w:rPr>
          <w:color w:val="231F20"/>
        </w:rPr>
        <w:t>tot de algemene </w:t>
      </w:r>
      <w:r>
        <w:rPr>
          <w:color w:val="231F20"/>
          <w:spacing w:val="-3"/>
        </w:rPr>
        <w:t>vergadering </w:t>
      </w:r>
      <w:r>
        <w:rPr>
          <w:color w:val="231F20"/>
        </w:rPr>
        <w:t>vermelde specifieke </w:t>
      </w:r>
      <w:r>
        <w:rPr>
          <w:color w:val="231F20"/>
          <w:spacing w:val="-3"/>
        </w:rPr>
        <w:t>e-mailadres.</w:t>
      </w:r>
    </w:p>
    <w:p>
      <w:pPr>
        <w:pStyle w:val="BodyText"/>
        <w:spacing w:line="218" w:lineRule="auto" w:before="107"/>
      </w:pPr>
      <w:r>
        <w:rPr>
          <w:color w:val="231F20"/>
        </w:rPr>
        <w:t>De vennootschap moet de volmacht uiterlijk op de zesde dag vóór de datum van de vergadering ontvangen.</w:t>
      </w:r>
    </w:p>
    <w:p>
      <w:pPr>
        <w:pStyle w:val="BodyText"/>
        <w:spacing w:line="218" w:lineRule="auto" w:before="107"/>
      </w:pPr>
      <w:r>
        <w:rPr>
          <w:color w:val="231F20"/>
        </w:rPr>
        <w:t>Voor de berekening van de regels inzake quorum en meerderheid wordt uitsluitend rekening gehouden met de volmachten die zijn ingediend door de aandeelhouders die voldoen aan de in artikel 7:134,</w:t>
      </w:r>
    </w:p>
    <w:p>
      <w:pPr>
        <w:pStyle w:val="BodyText"/>
        <w:spacing w:line="218" w:lineRule="auto"/>
        <w:ind w:firstLine="0"/>
      </w:pPr>
      <w:r>
        <w:rPr>
          <w:color w:val="231F20"/>
        </w:rPr>
        <w:t>§ 2, bedoelde formaliteiten die moeten worden vervuld om tot de vergadering te worden toegelaten.</w:t>
      </w:r>
    </w:p>
    <w:p>
      <w:pPr>
        <w:pStyle w:val="BodyText"/>
        <w:spacing w:line="218" w:lineRule="auto" w:before="107"/>
      </w:pPr>
      <w:r>
        <w:rPr>
          <w:color w:val="231F20"/>
        </w:rPr>
        <w:t>§ 3. Onverminderd artikel 7:145, tweede lid, brengt de volmachtdra- ger zijn stem uit overeenkomstig de mogelijke instructies van de aandeelhouder van een genoteerde vennootschap die hem heeft aangewezen. Hij moet gedurende ten minste een jaar een register van de steminstructies bijhouden en op verzoek van de aandeelhouder bevestigen dat hij zich aan de steminstructies heeft gehouden.</w:t>
      </w:r>
    </w:p>
    <w:p>
      <w:pPr>
        <w:pStyle w:val="BodyText"/>
        <w:spacing w:line="218" w:lineRule="auto" w:before="107"/>
      </w:pPr>
      <w:r>
        <w:rPr>
          <w:color w:val="231F20"/>
        </w:rPr>
        <w:t>§ 4. In geval van een potentieel belangenconflict tussen de aandeel- houder van een in paragraaf 1 bedoelde vennootschap en de volmacht- drager die hij heeft aangewezen:</w:t>
      </w:r>
    </w:p>
    <w:p>
      <w:pPr>
        <w:pStyle w:val="BodyText"/>
        <w:spacing w:line="218" w:lineRule="auto" w:before="107"/>
      </w:pPr>
      <w:r>
        <w:rPr>
          <w:color w:val="231F20"/>
        </w:rPr>
        <w:t>1° moet de volmachtdrager de precieze feiten bekendmaken die voor de aandeelhouder van belang zijn om te beoordelen of er gevaar bestaat dat de volmachtdrager enig ander belang dan het belang van de aandeelhouder nastreeft;</w:t>
      </w:r>
    </w:p>
    <w:p>
      <w:pPr>
        <w:pStyle w:val="BodyText"/>
        <w:spacing w:line="218" w:lineRule="auto" w:before="107"/>
      </w:pPr>
      <w:r>
        <w:rPr>
          <w:color w:val="231F20"/>
        </w:rPr>
        <w:t>2° mag de volmachtdrager slechts namens de aandeelhouder stem- men op voorwaarde dat hij voor ieder onderwerp op de agenda over specifieke steminstructies beschikt;</w:t>
      </w:r>
    </w:p>
    <w:p>
      <w:pPr>
        <w:spacing w:after="0" w:line="218" w:lineRule="auto"/>
        <w:sectPr>
          <w:pgSz w:w="11940" w:h="16880"/>
          <w:pgMar w:header="666" w:footer="0" w:top="1140" w:bottom="280" w:left="340" w:right="360"/>
          <w:cols w:num="2" w:equalWidth="0">
            <w:col w:w="5529" w:space="98"/>
            <w:col w:w="5613"/>
          </w:cols>
        </w:sectPr>
      </w:pPr>
    </w:p>
    <w:p>
      <w:pPr>
        <w:pStyle w:val="BodyText"/>
        <w:spacing w:line="218" w:lineRule="auto" w:before="120"/>
        <w:ind w:right="38"/>
      </w:pPr>
      <w:r>
        <w:rPr/>
        <w:pict>
          <v:line style="position:absolute;mso-position-horizontal-relative:page;mso-position-vertical-relative:page;z-index:5512" from="298.170502pt,64.473pt" to="298.170502pt,812.819pt" stroked="true" strokeweight=".533pt" strokecolor="#231f20">
            <v:stroke dashstyle="solid"/>
            <w10:wrap type="none"/>
          </v:line>
        </w:pict>
      </w:r>
      <w:bookmarkStart w:name="_bookmark187" w:id="192"/>
      <w:bookmarkEnd w:id="192"/>
      <w:r>
        <w:rPr/>
      </w:r>
      <w:r>
        <w:rPr>
          <w:color w:val="231F20"/>
        </w:rPr>
        <w:t>Pour l’application du présent paragraphe, il y a conflit d’intérêts lorsque, notamment, le mandataire:</w:t>
      </w:r>
    </w:p>
    <w:p>
      <w:pPr>
        <w:pStyle w:val="BodyText"/>
        <w:spacing w:line="218" w:lineRule="auto" w:before="96"/>
        <w:ind w:right="38"/>
      </w:pPr>
      <w:r>
        <w:rPr>
          <w:color w:val="231F20"/>
        </w:rPr>
        <w:t>1° est la société elle-même ou une entité contrôlée par elle, un actionnaire qui contrôle la société ou est une autre entité contrôlée par un tel actionnaire;</w:t>
      </w:r>
    </w:p>
    <w:p>
      <w:pPr>
        <w:pStyle w:val="BodyText"/>
        <w:spacing w:before="10"/>
        <w:ind w:left="0" w:right="0" w:firstLine="0"/>
        <w:jc w:val="left"/>
        <w:rPr>
          <w:sz w:val="23"/>
        </w:rPr>
      </w:pPr>
    </w:p>
    <w:p>
      <w:pPr>
        <w:pStyle w:val="BodyText"/>
        <w:spacing w:line="218" w:lineRule="auto"/>
        <w:ind w:right="38"/>
      </w:pPr>
      <w:r>
        <w:rPr>
          <w:color w:val="231F20"/>
        </w:rPr>
        <w:t>2° est un membre d’un organe d’administration de la société ou d’un actionnaire qui la contrôle ou d’une entité contrôlée visée au 1°;</w:t>
      </w:r>
    </w:p>
    <w:p>
      <w:pPr>
        <w:pStyle w:val="BodyText"/>
        <w:ind w:left="0" w:right="0" w:firstLine="0"/>
        <w:jc w:val="left"/>
        <w:rPr>
          <w:sz w:val="24"/>
        </w:rPr>
      </w:pPr>
    </w:p>
    <w:p>
      <w:pPr>
        <w:pStyle w:val="BodyText"/>
        <w:spacing w:line="218" w:lineRule="auto"/>
        <w:ind w:right="38"/>
      </w:pPr>
      <w:r>
        <w:rPr>
          <w:color w:val="231F20"/>
        </w:rPr>
        <w:t>3°</w:t>
      </w:r>
      <w:r>
        <w:rPr>
          <w:color w:val="231F20"/>
          <w:spacing w:val="-3"/>
        </w:rPr>
        <w:t> </w:t>
      </w:r>
      <w:r>
        <w:rPr>
          <w:color w:val="231F20"/>
        </w:rPr>
        <w:t>est</w:t>
      </w:r>
      <w:r>
        <w:rPr>
          <w:color w:val="231F20"/>
          <w:spacing w:val="-3"/>
        </w:rPr>
        <w:t> </w:t>
      </w:r>
      <w:r>
        <w:rPr>
          <w:color w:val="231F20"/>
        </w:rPr>
        <w:t>un</w:t>
      </w:r>
      <w:r>
        <w:rPr>
          <w:color w:val="231F20"/>
          <w:spacing w:val="-3"/>
        </w:rPr>
        <w:t> </w:t>
      </w:r>
      <w:r>
        <w:rPr>
          <w:color w:val="231F20"/>
        </w:rPr>
        <w:t>employé</w:t>
      </w:r>
      <w:r>
        <w:rPr>
          <w:color w:val="231F20"/>
          <w:spacing w:val="-3"/>
        </w:rPr>
        <w:t> </w:t>
      </w:r>
      <w:r>
        <w:rPr>
          <w:color w:val="231F20"/>
        </w:rPr>
        <w:t>ou</w:t>
      </w:r>
      <w:r>
        <w:rPr>
          <w:color w:val="231F20"/>
          <w:spacing w:val="-3"/>
        </w:rPr>
        <w:t> </w:t>
      </w:r>
      <w:r>
        <w:rPr>
          <w:color w:val="231F20"/>
        </w:rPr>
        <w:t>un</w:t>
      </w:r>
      <w:r>
        <w:rPr>
          <w:color w:val="231F20"/>
          <w:spacing w:val="-3"/>
        </w:rPr>
        <w:t> </w:t>
      </w:r>
      <w:r>
        <w:rPr>
          <w:color w:val="231F20"/>
        </w:rPr>
        <w:t>commissaire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2"/>
        </w:rPr>
        <w:t> </w:t>
      </w:r>
      <w:r>
        <w:rPr>
          <w:color w:val="231F20"/>
        </w:rPr>
        <w:t>ou</w:t>
      </w:r>
      <w:r>
        <w:rPr>
          <w:color w:val="231F20"/>
          <w:spacing w:val="-3"/>
        </w:rPr>
        <w:t> </w:t>
      </w:r>
      <w:r>
        <w:rPr>
          <w:color w:val="231F20"/>
        </w:rPr>
        <w:t>de</w:t>
      </w:r>
      <w:r>
        <w:rPr>
          <w:color w:val="231F20"/>
          <w:spacing w:val="-3"/>
        </w:rPr>
        <w:t> </w:t>
      </w:r>
      <w:r>
        <w:rPr>
          <w:color w:val="231F20"/>
        </w:rPr>
        <w:t>l’actionnaire qui</w:t>
      </w:r>
      <w:r>
        <w:rPr>
          <w:color w:val="231F20"/>
          <w:spacing w:val="15"/>
        </w:rPr>
        <w:t> </w:t>
      </w:r>
      <w:r>
        <w:rPr>
          <w:color w:val="231F20"/>
        </w:rPr>
        <w:t>la</w:t>
      </w:r>
      <w:r>
        <w:rPr>
          <w:color w:val="231F20"/>
          <w:spacing w:val="16"/>
        </w:rPr>
        <w:t> </w:t>
      </w:r>
      <w:r>
        <w:rPr>
          <w:color w:val="231F20"/>
        </w:rPr>
        <w:t>contrôle</w:t>
      </w:r>
      <w:r>
        <w:rPr>
          <w:color w:val="231F20"/>
          <w:spacing w:val="15"/>
        </w:rPr>
        <w:t> </w:t>
      </w:r>
      <w:r>
        <w:rPr>
          <w:color w:val="231F20"/>
        </w:rPr>
        <w:t>ou</w:t>
      </w:r>
      <w:r>
        <w:rPr>
          <w:color w:val="231F20"/>
          <w:spacing w:val="16"/>
        </w:rPr>
        <w:t> </w:t>
      </w:r>
      <w:r>
        <w:rPr>
          <w:color w:val="231F20"/>
        </w:rPr>
        <w:t>d’une</w:t>
      </w:r>
      <w:r>
        <w:rPr>
          <w:color w:val="231F20"/>
          <w:spacing w:val="15"/>
        </w:rPr>
        <w:t> </w:t>
      </w:r>
      <w:r>
        <w:rPr>
          <w:color w:val="231F20"/>
        </w:rPr>
        <w:t>entité</w:t>
      </w:r>
      <w:r>
        <w:rPr>
          <w:color w:val="231F20"/>
          <w:spacing w:val="16"/>
        </w:rPr>
        <w:t> </w:t>
      </w:r>
      <w:r>
        <w:rPr>
          <w:color w:val="231F20"/>
        </w:rPr>
        <w:t>contrôlée</w:t>
      </w:r>
      <w:r>
        <w:rPr>
          <w:color w:val="231F20"/>
          <w:spacing w:val="16"/>
        </w:rPr>
        <w:t> </w:t>
      </w:r>
      <w:r>
        <w:rPr>
          <w:color w:val="231F20"/>
        </w:rPr>
        <w:t>visée</w:t>
      </w:r>
      <w:r>
        <w:rPr>
          <w:color w:val="231F20"/>
          <w:spacing w:val="15"/>
        </w:rPr>
        <w:t> </w:t>
      </w:r>
      <w:r>
        <w:rPr>
          <w:color w:val="231F20"/>
        </w:rPr>
        <w:t>au</w:t>
      </w:r>
      <w:r>
        <w:rPr>
          <w:color w:val="231F20"/>
          <w:spacing w:val="16"/>
        </w:rPr>
        <w:t> </w:t>
      </w:r>
      <w:r>
        <w:rPr>
          <w:color w:val="231F20"/>
        </w:rPr>
        <w:t>1°;</w:t>
      </w:r>
    </w:p>
    <w:p>
      <w:pPr>
        <w:pStyle w:val="BodyText"/>
        <w:spacing w:before="9"/>
        <w:ind w:left="0" w:right="0" w:firstLine="0"/>
        <w:jc w:val="left"/>
        <w:rPr>
          <w:sz w:val="24"/>
        </w:rPr>
      </w:pPr>
    </w:p>
    <w:p>
      <w:pPr>
        <w:pStyle w:val="BodyText"/>
        <w:spacing w:line="218" w:lineRule="auto" w:before="1"/>
        <w:ind w:right="38"/>
      </w:pPr>
      <w:r>
        <w:rPr>
          <w:color w:val="231F20"/>
        </w:rPr>
        <w:t>4° a un lien parental avec une personne physique visée aux 1° à 3° ou est le conjoint ou le cohabitant légal d’une telle personne ou d’un</w:t>
      </w:r>
      <w:r>
        <w:rPr>
          <w:color w:val="231F20"/>
          <w:spacing w:val="-14"/>
        </w:rPr>
        <w:t> </w:t>
      </w:r>
      <w:r>
        <w:rPr>
          <w:color w:val="231F20"/>
        </w:rPr>
        <w:t>parent d’une telle</w:t>
      </w:r>
      <w:r>
        <w:rPr>
          <w:color w:val="231F20"/>
          <w:spacing w:val="-11"/>
        </w:rPr>
        <w:t> </w:t>
      </w:r>
      <w:r>
        <w:rPr>
          <w:color w:val="231F20"/>
        </w:rPr>
        <w:t>personne.</w:t>
      </w:r>
    </w:p>
    <w:p>
      <w:pPr>
        <w:pStyle w:val="BodyText"/>
        <w:spacing w:before="6"/>
        <w:ind w:left="0" w:right="0" w:firstLine="0"/>
        <w:jc w:val="left"/>
        <w:rPr>
          <w:sz w:val="23"/>
        </w:rPr>
      </w:pPr>
    </w:p>
    <w:p>
      <w:pPr>
        <w:pStyle w:val="BodyText"/>
        <w:spacing w:line="218" w:lineRule="auto"/>
        <w:ind w:right="38"/>
      </w:pPr>
      <w:r>
        <w:rPr>
          <w:color w:val="231F20"/>
        </w:rPr>
        <w:t>§ 5. Le paragraphe 2, alinéas 1</w:t>
      </w:r>
      <w:r>
        <w:rPr>
          <w:color w:val="231F20"/>
          <w:position w:val="7"/>
          <w:sz w:val="11"/>
        </w:rPr>
        <w:t>er </w:t>
      </w:r>
      <w:r>
        <w:rPr>
          <w:color w:val="231F20"/>
        </w:rPr>
        <w:t>et 2, est d’application en cas de révocation de la procuration.</w:t>
      </w:r>
    </w:p>
    <w:p>
      <w:pPr>
        <w:pStyle w:val="BodyText"/>
        <w:spacing w:line="218" w:lineRule="auto" w:before="107"/>
        <w:ind w:right="38"/>
      </w:pPr>
      <w:r>
        <w:rPr>
          <w:color w:val="231F20"/>
        </w:rPr>
        <w:t>Art. 7:144. Pour les sociétés cotées, toute demande de procuration doit contenir au moins, à peine de nullité, les mentions suivantes:</w:t>
      </w:r>
    </w:p>
    <w:p>
      <w:pPr>
        <w:pStyle w:val="BodyText"/>
        <w:spacing w:before="9"/>
        <w:ind w:left="0" w:right="0" w:firstLine="0"/>
        <w:jc w:val="left"/>
        <w:rPr>
          <w:sz w:val="24"/>
        </w:rPr>
      </w:pPr>
    </w:p>
    <w:p>
      <w:pPr>
        <w:pStyle w:val="BodyText"/>
        <w:spacing w:line="218" w:lineRule="auto" w:before="1"/>
        <w:ind w:right="38"/>
      </w:pPr>
      <w:r>
        <w:rPr>
          <w:color w:val="231F20"/>
        </w:rPr>
        <w:t>1° l’ordre du jour avec une indication des sujets à traiter ainsi que les propositions de décisions;</w:t>
      </w:r>
    </w:p>
    <w:p>
      <w:pPr>
        <w:pStyle w:val="BodyText"/>
        <w:spacing w:line="218" w:lineRule="auto" w:before="106"/>
        <w:ind w:right="38"/>
      </w:pPr>
      <w:r>
        <w:rPr>
          <w:color w:val="231F20"/>
        </w:rPr>
        <w:t>2° la demande d’instruction pour l’exercice du droit de vote sur chacun des sujets à l’ordre du jour;</w:t>
      </w:r>
    </w:p>
    <w:p>
      <w:pPr>
        <w:pStyle w:val="BodyText"/>
        <w:spacing w:line="218" w:lineRule="auto" w:before="107"/>
        <w:ind w:right="38"/>
      </w:pPr>
      <w:r>
        <w:rPr>
          <w:color w:val="231F20"/>
        </w:rPr>
        <w:t>3° l’indication du sens dans lequel le mandataire exercera son droit de</w:t>
      </w:r>
      <w:r>
        <w:rPr>
          <w:color w:val="231F20"/>
          <w:spacing w:val="15"/>
        </w:rPr>
        <w:t> </w:t>
      </w:r>
      <w:r>
        <w:rPr>
          <w:color w:val="231F20"/>
        </w:rPr>
        <w:t>vote</w:t>
      </w:r>
      <w:r>
        <w:rPr>
          <w:color w:val="231F20"/>
          <w:spacing w:val="16"/>
        </w:rPr>
        <w:t> </w:t>
      </w:r>
      <w:r>
        <w:rPr>
          <w:color w:val="231F20"/>
        </w:rPr>
        <w:t>en</w:t>
      </w:r>
      <w:r>
        <w:rPr>
          <w:color w:val="231F20"/>
          <w:spacing w:val="15"/>
        </w:rPr>
        <w:t> </w:t>
      </w:r>
      <w:r>
        <w:rPr>
          <w:color w:val="231F20"/>
        </w:rPr>
        <w:t>l’absence</w:t>
      </w:r>
      <w:r>
        <w:rPr>
          <w:color w:val="231F20"/>
          <w:spacing w:val="16"/>
        </w:rPr>
        <w:t> </w:t>
      </w:r>
      <w:r>
        <w:rPr>
          <w:color w:val="231F20"/>
        </w:rPr>
        <w:t>d’instructions</w:t>
      </w:r>
      <w:r>
        <w:rPr>
          <w:color w:val="231F20"/>
          <w:spacing w:val="16"/>
        </w:rPr>
        <w:t> </w:t>
      </w:r>
      <w:r>
        <w:rPr>
          <w:color w:val="231F20"/>
        </w:rPr>
        <w:t>de</w:t>
      </w:r>
      <w:r>
        <w:rPr>
          <w:color w:val="231F20"/>
          <w:spacing w:val="15"/>
        </w:rPr>
        <w:t> </w:t>
      </w:r>
      <w:r>
        <w:rPr>
          <w:color w:val="231F20"/>
        </w:rPr>
        <w:t>l’actionnaire.</w:t>
      </w:r>
    </w:p>
    <w:p>
      <w:pPr>
        <w:pStyle w:val="BodyText"/>
        <w:spacing w:line="218" w:lineRule="auto" w:before="107"/>
        <w:ind w:right="38"/>
      </w:pPr>
      <w:r>
        <w:rPr>
          <w:color w:val="231F20"/>
        </w:rPr>
        <w:t>Art. 7:145. La sollicitation publique de procuration est subordonnée aux conditions suivantes:</w:t>
      </w:r>
    </w:p>
    <w:p>
      <w:pPr>
        <w:pStyle w:val="BodyText"/>
        <w:spacing w:line="218" w:lineRule="auto" w:before="107"/>
        <w:ind w:right="38"/>
      </w:pPr>
      <w:r>
        <w:rPr>
          <w:color w:val="231F20"/>
        </w:rPr>
        <w:t>1° la procuration n’est sollicitée que pour une seule assemblée, mais elle vaut pour les assemblées successives avec le même ordre du jour;</w:t>
      </w:r>
    </w:p>
    <w:p>
      <w:pPr>
        <w:pStyle w:val="BodyText"/>
        <w:spacing w:before="7"/>
        <w:ind w:left="0" w:right="0" w:firstLine="0"/>
        <w:jc w:val="left"/>
        <w:rPr>
          <w:sz w:val="23"/>
        </w:rPr>
      </w:pPr>
    </w:p>
    <w:p>
      <w:pPr>
        <w:pStyle w:val="BodyText"/>
        <w:ind w:left="283" w:right="0" w:firstLine="0"/>
        <w:jc w:val="left"/>
      </w:pPr>
      <w:r>
        <w:rPr>
          <w:color w:val="231F20"/>
        </w:rPr>
        <w:t>2° la procuration est révocable;</w:t>
      </w:r>
    </w:p>
    <w:p>
      <w:pPr>
        <w:pStyle w:val="BodyText"/>
        <w:spacing w:line="218" w:lineRule="auto" w:before="103"/>
        <w:ind w:right="38"/>
      </w:pPr>
      <w:r>
        <w:rPr>
          <w:color w:val="231F20"/>
        </w:rPr>
        <w:t>3° la demande de procuration contient, au moins, les mentions suivantes:</w:t>
      </w:r>
    </w:p>
    <w:p>
      <w:pPr>
        <w:pStyle w:val="ListParagraph"/>
        <w:numPr>
          <w:ilvl w:val="0"/>
          <w:numId w:val="118"/>
        </w:numPr>
        <w:tabs>
          <w:tab w:pos="463" w:val="left" w:leader="none"/>
        </w:tabs>
        <w:spacing w:line="218" w:lineRule="auto" w:before="104" w:after="0"/>
        <w:ind w:left="113" w:right="38" w:firstLine="170"/>
        <w:jc w:val="both"/>
        <w:rPr>
          <w:sz w:val="17"/>
        </w:rPr>
      </w:pPr>
      <w:r>
        <w:rPr>
          <w:color w:val="231F20"/>
          <w:sz w:val="17"/>
        </w:rPr>
        <w:t>l’ordre du jour avec une indication des sujets à traiter ainsi que les propositions de</w:t>
      </w:r>
      <w:r>
        <w:rPr>
          <w:color w:val="231F20"/>
          <w:spacing w:val="-11"/>
          <w:sz w:val="17"/>
        </w:rPr>
        <w:t> </w:t>
      </w:r>
      <w:r>
        <w:rPr>
          <w:color w:val="231F20"/>
          <w:sz w:val="17"/>
        </w:rPr>
        <w:t>décision;</w:t>
      </w:r>
    </w:p>
    <w:p>
      <w:pPr>
        <w:pStyle w:val="ListParagraph"/>
        <w:numPr>
          <w:ilvl w:val="0"/>
          <w:numId w:val="118"/>
        </w:numPr>
        <w:tabs>
          <w:tab w:pos="495" w:val="left" w:leader="none"/>
        </w:tabs>
        <w:spacing w:line="218" w:lineRule="auto" w:before="104" w:after="0"/>
        <w:ind w:left="113" w:right="38" w:firstLine="170"/>
        <w:jc w:val="both"/>
        <w:rPr>
          <w:sz w:val="17"/>
        </w:rPr>
      </w:pPr>
      <w:r>
        <w:rPr>
          <w:color w:val="231F20"/>
          <w:sz w:val="17"/>
        </w:rPr>
        <w:t>l’indication que les documents sociaux sont à la disposition de l’actionnaire qui les</w:t>
      </w:r>
      <w:r>
        <w:rPr>
          <w:color w:val="231F20"/>
          <w:spacing w:val="4"/>
          <w:sz w:val="17"/>
        </w:rPr>
        <w:t> </w:t>
      </w:r>
      <w:r>
        <w:rPr>
          <w:color w:val="231F20"/>
          <w:sz w:val="17"/>
        </w:rPr>
        <w:t>demande;</w:t>
      </w:r>
    </w:p>
    <w:p>
      <w:pPr>
        <w:pStyle w:val="ListParagraph"/>
        <w:numPr>
          <w:ilvl w:val="0"/>
          <w:numId w:val="118"/>
        </w:numPr>
        <w:tabs>
          <w:tab w:pos="449" w:val="left" w:leader="none"/>
        </w:tabs>
        <w:spacing w:line="218" w:lineRule="auto" w:before="105" w:after="0"/>
        <w:ind w:left="113" w:right="38" w:firstLine="170"/>
        <w:jc w:val="both"/>
        <w:rPr>
          <w:sz w:val="17"/>
        </w:rPr>
      </w:pPr>
      <w:r>
        <w:rPr>
          <w:color w:val="231F20"/>
          <w:sz w:val="17"/>
        </w:rPr>
        <w:t>l’indication du sens dans lequel le mandataire exercera son droit de vote;</w:t>
      </w:r>
    </w:p>
    <w:p>
      <w:pPr>
        <w:pStyle w:val="ListParagraph"/>
        <w:numPr>
          <w:ilvl w:val="0"/>
          <w:numId w:val="118"/>
        </w:numPr>
        <w:tabs>
          <w:tab w:pos="487" w:val="left" w:leader="none"/>
        </w:tabs>
        <w:spacing w:line="218" w:lineRule="auto" w:before="104" w:after="0"/>
        <w:ind w:left="113" w:right="38" w:firstLine="170"/>
        <w:jc w:val="both"/>
        <w:rPr>
          <w:sz w:val="17"/>
        </w:rPr>
      </w:pPr>
      <w:r>
        <w:rPr>
          <w:color w:val="231F20"/>
          <w:sz w:val="17"/>
        </w:rPr>
        <w:t>une description détaillée et une justification de l’objectif de celui qui sollicite la</w:t>
      </w:r>
      <w:r>
        <w:rPr>
          <w:color w:val="231F20"/>
          <w:spacing w:val="3"/>
          <w:sz w:val="17"/>
        </w:rPr>
        <w:t> </w:t>
      </w:r>
      <w:r>
        <w:rPr>
          <w:color w:val="231F20"/>
          <w:sz w:val="17"/>
        </w:rPr>
        <w:t>procuration.</w:t>
      </w:r>
    </w:p>
    <w:p>
      <w:pPr>
        <w:pStyle w:val="BodyText"/>
        <w:spacing w:line="218" w:lineRule="auto" w:before="107"/>
        <w:ind w:right="38"/>
      </w:pPr>
      <w:r>
        <w:rPr>
          <w:color w:val="231F20"/>
        </w:rPr>
        <w:t>Le mandataire peut s’écarter des instructions données par son mandant, soit en raison de circonstances inconnues au moment où les instructions ont été données, soit lorsque leur exécution risquerait de compromettre les intérêts du mandant. Le mandataire doit en informer son mandant.</w:t>
      </w:r>
    </w:p>
    <w:p>
      <w:pPr>
        <w:pStyle w:val="BodyText"/>
        <w:spacing w:line="218" w:lineRule="auto" w:before="107"/>
        <w:ind w:right="38"/>
      </w:pPr>
      <w:r>
        <w:rPr>
          <w:color w:val="231F20"/>
        </w:rPr>
        <w:t>Lorsque la demande de procuration est relative à une société cotée, copie de la demande précitée est communiquée à l’Autorité des services et marchés financiers trois jours avant de rendre publique la sollicita- tion.</w:t>
      </w:r>
    </w:p>
    <w:p>
      <w:pPr>
        <w:pStyle w:val="BodyText"/>
        <w:spacing w:line="218" w:lineRule="auto" w:before="106"/>
        <w:ind w:right="38"/>
      </w:pPr>
      <w:r>
        <w:rPr>
          <w:color w:val="231F20"/>
        </w:rPr>
        <w:t>Lorsque l’Autorité des services et marchés financiers estime que la demande éclaire insuffisamment les actionnaires ou qu’elle est de nature à les induire en erreur, elle en informe le demandeur de procurations.</w:t>
      </w:r>
    </w:p>
    <w:p>
      <w:pPr>
        <w:pStyle w:val="BodyText"/>
        <w:spacing w:line="218" w:lineRule="auto" w:before="107"/>
        <w:ind w:right="38"/>
      </w:pPr>
      <w:r>
        <w:rPr>
          <w:color w:val="231F20"/>
        </w:rPr>
        <w:t>S’il n’est pas tenu compte des observations formulées, l’Autorité des services et marchés financiers peut rendre son avis public.</w:t>
      </w:r>
    </w:p>
    <w:p>
      <w:pPr>
        <w:pStyle w:val="BodyText"/>
        <w:spacing w:before="10"/>
        <w:ind w:left="0" w:right="0" w:firstLine="0"/>
        <w:jc w:val="left"/>
        <w:rPr>
          <w:sz w:val="24"/>
        </w:rPr>
      </w:pPr>
    </w:p>
    <w:p>
      <w:pPr>
        <w:pStyle w:val="BodyText"/>
        <w:spacing w:line="218" w:lineRule="auto"/>
        <w:ind w:right="38"/>
      </w:pPr>
      <w:r>
        <w:rPr>
          <w:color w:val="231F20"/>
        </w:rPr>
        <w:t>Aucune mention de l’intervention de l’Autorité des services et marchés financiers ne peut être faite dans la sollicitation publique de procurations  conformément  à  l’article  25,  alinéa  2,  de  la  loi  du    16</w:t>
      </w:r>
      <w:r>
        <w:rPr>
          <w:color w:val="231F20"/>
          <w:spacing w:val="-5"/>
        </w:rPr>
        <w:t> </w:t>
      </w:r>
      <w:r>
        <w:rPr>
          <w:color w:val="231F20"/>
        </w:rPr>
        <w:t>juin</w:t>
      </w:r>
      <w:r>
        <w:rPr>
          <w:color w:val="231F20"/>
          <w:spacing w:val="-4"/>
        </w:rPr>
        <w:t> </w:t>
      </w:r>
      <w:r>
        <w:rPr>
          <w:color w:val="231F20"/>
        </w:rPr>
        <w:t>2006</w:t>
      </w:r>
      <w:r>
        <w:rPr>
          <w:color w:val="231F20"/>
          <w:spacing w:val="-4"/>
        </w:rPr>
        <w:t> </w:t>
      </w:r>
      <w:r>
        <w:rPr>
          <w:color w:val="231F20"/>
        </w:rPr>
        <w:t>relative</w:t>
      </w:r>
      <w:r>
        <w:rPr>
          <w:color w:val="231F20"/>
          <w:spacing w:val="-4"/>
        </w:rPr>
        <w:t> </w:t>
      </w:r>
      <w:r>
        <w:rPr>
          <w:color w:val="231F20"/>
        </w:rPr>
        <w:t>aux</w:t>
      </w:r>
      <w:r>
        <w:rPr>
          <w:color w:val="231F20"/>
          <w:spacing w:val="-4"/>
        </w:rPr>
        <w:t> </w:t>
      </w:r>
      <w:r>
        <w:rPr>
          <w:color w:val="231F20"/>
          <w:spacing w:val="-3"/>
        </w:rPr>
        <w:t>offres</w:t>
      </w:r>
      <w:r>
        <w:rPr>
          <w:color w:val="231F20"/>
          <w:spacing w:val="-4"/>
        </w:rPr>
        <w:t> </w:t>
      </w:r>
      <w:r>
        <w:rPr>
          <w:color w:val="231F20"/>
        </w:rPr>
        <w:t>publiques</w:t>
      </w:r>
      <w:r>
        <w:rPr>
          <w:color w:val="231F20"/>
          <w:spacing w:val="-4"/>
        </w:rPr>
        <w:t> </w:t>
      </w:r>
      <w:r>
        <w:rPr>
          <w:color w:val="231F20"/>
        </w:rPr>
        <w:t>d’instruments</w:t>
      </w:r>
      <w:r>
        <w:rPr>
          <w:color w:val="231F20"/>
          <w:spacing w:val="-4"/>
        </w:rPr>
        <w:t> </w:t>
      </w:r>
      <w:r>
        <w:rPr>
          <w:color w:val="231F20"/>
        </w:rPr>
        <w:t>de</w:t>
      </w:r>
      <w:r>
        <w:rPr>
          <w:color w:val="231F20"/>
          <w:spacing w:val="-4"/>
        </w:rPr>
        <w:t> </w:t>
      </w:r>
      <w:r>
        <w:rPr>
          <w:color w:val="231F20"/>
        </w:rPr>
        <w:t>placement</w:t>
      </w:r>
      <w:r>
        <w:rPr>
          <w:color w:val="231F20"/>
          <w:spacing w:val="-4"/>
        </w:rPr>
        <w:t> </w:t>
      </w:r>
      <w:r>
        <w:rPr>
          <w:color w:val="231F20"/>
        </w:rPr>
        <w:t>et aux admissions d’instruments de placement à la négociation sur des marchés</w:t>
      </w:r>
      <w:r>
        <w:rPr>
          <w:color w:val="231F20"/>
          <w:spacing w:val="14"/>
        </w:rPr>
        <w:t> </w:t>
      </w:r>
      <w:r>
        <w:rPr>
          <w:color w:val="231F20"/>
        </w:rPr>
        <w:t>réglementés.</w:t>
      </w:r>
    </w:p>
    <w:p>
      <w:pPr>
        <w:pStyle w:val="BodyText"/>
        <w:spacing w:line="218" w:lineRule="auto" w:before="107"/>
        <w:ind w:right="38"/>
      </w:pPr>
      <w:r>
        <w:rPr>
          <w:color w:val="231F20"/>
        </w:rPr>
        <w:t>Le Roi détermine le caractère public d’une sollicitation de procura- tions.</w:t>
      </w:r>
    </w:p>
    <w:p>
      <w:pPr>
        <w:pStyle w:val="BodyText"/>
        <w:spacing w:line="218" w:lineRule="auto" w:before="92"/>
        <w:ind w:right="38"/>
      </w:pPr>
      <w:r>
        <w:rPr>
          <w:color w:val="231F20"/>
        </w:rPr>
        <w:t>Art. 7:146. § 1</w:t>
      </w:r>
      <w:r>
        <w:rPr>
          <w:color w:val="231F20"/>
          <w:position w:val="7"/>
          <w:sz w:val="11"/>
        </w:rPr>
        <w:t>er</w:t>
      </w:r>
      <w:r>
        <w:rPr>
          <w:color w:val="231F20"/>
        </w:rPr>
        <w:t>. Les statuts peuvent autoriser tout actionnaire à voter à distance avant l’assemblée générale, par correspondance ou par le site internet de la société, au moyen d’un formulaire mis à disposition par  la</w:t>
      </w:r>
      <w:r>
        <w:rPr>
          <w:color w:val="231F20"/>
          <w:spacing w:val="14"/>
        </w:rPr>
        <w:t> </w:t>
      </w:r>
      <w:r>
        <w:rPr>
          <w:color w:val="231F20"/>
        </w:rPr>
        <w:t>société.</w:t>
      </w:r>
    </w:p>
    <w:p>
      <w:pPr>
        <w:pStyle w:val="BodyText"/>
        <w:spacing w:line="218" w:lineRule="auto" w:before="119"/>
      </w:pPr>
      <w:r>
        <w:rPr/>
        <w:br w:type="column"/>
      </w:r>
      <w:r>
        <w:rPr>
          <w:color w:val="231F20"/>
        </w:rPr>
        <w:t>Voor de toepassing van deze paragraaf is er met name sprake van een belangenconflict wanneer de volmachtdrager:</w:t>
      </w:r>
    </w:p>
    <w:p>
      <w:pPr>
        <w:pStyle w:val="BodyText"/>
        <w:spacing w:line="218" w:lineRule="auto" w:before="97"/>
      </w:pPr>
      <w:r>
        <w:rPr>
          <w:color w:val="231F20"/>
        </w:rPr>
        <w:t>1° de vennootschap zelf of een door haar gecontroleerde entiteit is, dan wel een aandeelhouder die de vennootschap controleert, of een andere entiteit die door een dergelijke aandeelhouder wordt gecontro- leerd;</w:t>
      </w:r>
    </w:p>
    <w:p>
      <w:pPr>
        <w:pStyle w:val="BodyText"/>
        <w:spacing w:line="218" w:lineRule="auto" w:before="96"/>
      </w:pPr>
      <w:r>
        <w:rPr>
          <w:color w:val="231F20"/>
        </w:rPr>
        <w:t>2° een lid is van een bestuursorgaan van de vennootschap, van een aandeelhouder die de vennootschap controleert, of van een gecontro- leerde</w:t>
      </w:r>
      <w:r>
        <w:rPr>
          <w:color w:val="231F20"/>
          <w:spacing w:val="14"/>
        </w:rPr>
        <w:t> </w:t>
      </w:r>
      <w:r>
        <w:rPr>
          <w:color w:val="231F20"/>
        </w:rPr>
        <w:t>entiteit</w:t>
      </w:r>
      <w:r>
        <w:rPr>
          <w:color w:val="231F20"/>
          <w:spacing w:val="15"/>
        </w:rPr>
        <w:t> </w:t>
      </w:r>
      <w:r>
        <w:rPr>
          <w:color w:val="231F20"/>
        </w:rPr>
        <w:t>als</w:t>
      </w:r>
      <w:r>
        <w:rPr>
          <w:color w:val="231F20"/>
          <w:spacing w:val="15"/>
        </w:rPr>
        <w:t> </w:t>
      </w:r>
      <w:r>
        <w:rPr>
          <w:color w:val="231F20"/>
        </w:rPr>
        <w:t>bedoeld</w:t>
      </w:r>
      <w:r>
        <w:rPr>
          <w:color w:val="231F20"/>
          <w:spacing w:val="15"/>
        </w:rPr>
        <w:t> </w:t>
      </w:r>
      <w:r>
        <w:rPr>
          <w:color w:val="231F20"/>
        </w:rPr>
        <w:t>in</w:t>
      </w:r>
      <w:r>
        <w:rPr>
          <w:color w:val="231F20"/>
          <w:spacing w:val="15"/>
        </w:rPr>
        <w:t> </w:t>
      </w:r>
      <w:r>
        <w:rPr>
          <w:color w:val="231F20"/>
        </w:rPr>
        <w:t>1°;</w:t>
      </w:r>
    </w:p>
    <w:p>
      <w:pPr>
        <w:pStyle w:val="BodyText"/>
        <w:spacing w:line="218" w:lineRule="auto" w:before="96"/>
      </w:pPr>
      <w:r>
        <w:rPr>
          <w:color w:val="231F20"/>
        </w:rPr>
        <w:t>3° een werknemer of een commissaris is van de vennootschap, van de aandeelhouder die de vennootschap controleert, of van een gecontro- leerde</w:t>
      </w:r>
      <w:r>
        <w:rPr>
          <w:color w:val="231F20"/>
          <w:spacing w:val="14"/>
        </w:rPr>
        <w:t> </w:t>
      </w:r>
      <w:r>
        <w:rPr>
          <w:color w:val="231F20"/>
        </w:rPr>
        <w:t>entiteit</w:t>
      </w:r>
      <w:r>
        <w:rPr>
          <w:color w:val="231F20"/>
          <w:spacing w:val="15"/>
        </w:rPr>
        <w:t> </w:t>
      </w:r>
      <w:r>
        <w:rPr>
          <w:color w:val="231F20"/>
        </w:rPr>
        <w:t>als</w:t>
      </w:r>
      <w:r>
        <w:rPr>
          <w:color w:val="231F20"/>
          <w:spacing w:val="15"/>
        </w:rPr>
        <w:t> </w:t>
      </w:r>
      <w:r>
        <w:rPr>
          <w:color w:val="231F20"/>
        </w:rPr>
        <w:t>bedoeld</w:t>
      </w:r>
      <w:r>
        <w:rPr>
          <w:color w:val="231F20"/>
          <w:spacing w:val="15"/>
        </w:rPr>
        <w:t> </w:t>
      </w:r>
      <w:r>
        <w:rPr>
          <w:color w:val="231F20"/>
        </w:rPr>
        <w:t>in</w:t>
      </w:r>
      <w:r>
        <w:rPr>
          <w:color w:val="231F20"/>
          <w:spacing w:val="15"/>
        </w:rPr>
        <w:t> </w:t>
      </w:r>
      <w:r>
        <w:rPr>
          <w:color w:val="231F20"/>
        </w:rPr>
        <w:t>1°;</w:t>
      </w:r>
    </w:p>
    <w:p>
      <w:pPr>
        <w:pStyle w:val="BodyText"/>
        <w:spacing w:line="218" w:lineRule="auto" w:before="107"/>
      </w:pPr>
      <w:r>
        <w:rPr>
          <w:color w:val="231F20"/>
        </w:rPr>
        <w:t>4° een ouderband heeft met een natuurlijke persoon als bedoeld in 1° tot 3°, dan wel de echtgenoot of de wettelijk samenwonende partner van een dergelijke persoon of van een verwant van een dergelijke persoon</w:t>
      </w:r>
      <w:r>
        <w:rPr>
          <w:color w:val="231F20"/>
          <w:spacing w:val="14"/>
        </w:rPr>
        <w:t> </w:t>
      </w:r>
      <w:r>
        <w:rPr>
          <w:color w:val="231F20"/>
        </w:rPr>
        <w:t>is.</w:t>
      </w:r>
    </w:p>
    <w:p>
      <w:pPr>
        <w:pStyle w:val="BodyText"/>
        <w:spacing w:line="218" w:lineRule="auto" w:before="107"/>
        <w:ind w:right="125"/>
      </w:pPr>
      <w:r>
        <w:rPr>
          <w:color w:val="231F20"/>
        </w:rPr>
        <w:t>§ 5. Paragraaf 2, eerste en tweede lid, is van toepassing in geval van intrekking van de volmacht.</w:t>
      </w:r>
    </w:p>
    <w:p>
      <w:pPr>
        <w:pStyle w:val="BodyText"/>
        <w:spacing w:line="218" w:lineRule="auto" w:before="107"/>
      </w:pPr>
      <w:r>
        <w:rPr>
          <w:color w:val="231F20"/>
        </w:rPr>
        <w:t>Art. 7:144. Voor genoteerde vennootschappen moet elk verzoek tot verlening van een volmacht, op straffe van nietigheid, ten minste de volgende vermeldingen bevatten:</w:t>
      </w:r>
    </w:p>
    <w:p>
      <w:pPr>
        <w:pStyle w:val="BodyText"/>
        <w:spacing w:line="218" w:lineRule="auto" w:before="106"/>
      </w:pPr>
      <w:r>
        <w:rPr>
          <w:color w:val="231F20"/>
        </w:rPr>
        <w:t>1° de agenda, met opgave van de te behandelen onderwerpen en de voorstellen tot besluit;</w:t>
      </w:r>
    </w:p>
    <w:p>
      <w:pPr>
        <w:pStyle w:val="BodyText"/>
        <w:spacing w:line="218" w:lineRule="auto" w:before="107"/>
      </w:pPr>
      <w:r>
        <w:rPr>
          <w:color w:val="231F20"/>
        </w:rPr>
        <w:t>2° het verzoek om instructies voor de uitoefening van het stemrecht ten aanzien van de verschillende onderwerpen van de agenda;</w:t>
      </w:r>
    </w:p>
    <w:p>
      <w:pPr>
        <w:pStyle w:val="BodyText"/>
        <w:spacing w:line="218" w:lineRule="auto" w:before="107"/>
      </w:pPr>
      <w:r>
        <w:rPr>
          <w:color w:val="231F20"/>
        </w:rPr>
        <w:t>3° de mededeling hoe de gemachtigde zijn stemrecht zal uitoefenen bij gebrek aan instructies van de aandeelhouder.</w:t>
      </w:r>
    </w:p>
    <w:p>
      <w:pPr>
        <w:pStyle w:val="BodyText"/>
        <w:spacing w:line="218" w:lineRule="auto" w:before="107"/>
      </w:pPr>
      <w:r>
        <w:rPr>
          <w:color w:val="231F20"/>
        </w:rPr>
        <w:t>Art. 7:145. Het openbaar verzoek tot verlening van volmachten is aan de volgende voorwaarden onderworpen:</w:t>
      </w:r>
    </w:p>
    <w:p>
      <w:pPr>
        <w:pStyle w:val="BodyText"/>
        <w:spacing w:line="218" w:lineRule="auto" w:before="107"/>
      </w:pPr>
      <w:r>
        <w:rPr>
          <w:color w:val="231F20"/>
        </w:rPr>
        <w:t>1° de volmacht wordt slechts gevraagd voor één algemene vergade- ring; zij geldt evenwel voor opeenvolgende algemene vergaderingen met dezelfde</w:t>
      </w:r>
      <w:r>
        <w:rPr>
          <w:color w:val="231F20"/>
          <w:spacing w:val="-11"/>
        </w:rPr>
        <w:t> </w:t>
      </w:r>
      <w:r>
        <w:rPr>
          <w:color w:val="231F20"/>
        </w:rPr>
        <w:t>agenda;</w:t>
      </w:r>
    </w:p>
    <w:p>
      <w:pPr>
        <w:pStyle w:val="BodyText"/>
        <w:spacing w:before="92"/>
        <w:ind w:left="283" w:right="0" w:firstLine="0"/>
        <w:jc w:val="left"/>
      </w:pPr>
      <w:r>
        <w:rPr>
          <w:color w:val="231F20"/>
        </w:rPr>
        <w:t>2° de volmacht kan worden herroepen;</w:t>
      </w:r>
    </w:p>
    <w:p>
      <w:pPr>
        <w:pStyle w:val="BodyText"/>
        <w:spacing w:line="218" w:lineRule="auto" w:before="104"/>
      </w:pPr>
      <w:r>
        <w:rPr>
          <w:color w:val="231F20"/>
        </w:rPr>
        <w:t>3° het verzoek tot verlening van een volmacht bevat ten minste de volgende gegevens:</w:t>
      </w:r>
    </w:p>
    <w:p>
      <w:pPr>
        <w:pStyle w:val="ListParagraph"/>
        <w:numPr>
          <w:ilvl w:val="0"/>
          <w:numId w:val="119"/>
        </w:numPr>
        <w:tabs>
          <w:tab w:pos="470" w:val="left" w:leader="none"/>
        </w:tabs>
        <w:spacing w:line="218" w:lineRule="auto" w:before="104" w:after="0"/>
        <w:ind w:left="113" w:right="124" w:firstLine="170"/>
        <w:jc w:val="both"/>
        <w:rPr>
          <w:sz w:val="17"/>
        </w:rPr>
      </w:pPr>
      <w:r>
        <w:rPr>
          <w:color w:val="231F20"/>
          <w:sz w:val="17"/>
        </w:rPr>
        <w:t>de agenda, met opgave van de te behandelen onderwerpen en de voorstellen tot</w:t>
      </w:r>
      <w:r>
        <w:rPr>
          <w:color w:val="231F20"/>
          <w:spacing w:val="-12"/>
          <w:sz w:val="17"/>
        </w:rPr>
        <w:t> </w:t>
      </w:r>
      <w:r>
        <w:rPr>
          <w:color w:val="231F20"/>
          <w:sz w:val="17"/>
        </w:rPr>
        <w:t>besluit;</w:t>
      </w:r>
    </w:p>
    <w:p>
      <w:pPr>
        <w:pStyle w:val="ListParagraph"/>
        <w:numPr>
          <w:ilvl w:val="0"/>
          <w:numId w:val="119"/>
        </w:numPr>
        <w:tabs>
          <w:tab w:pos="518" w:val="left" w:leader="none"/>
        </w:tabs>
        <w:spacing w:line="218" w:lineRule="auto" w:before="104" w:after="0"/>
        <w:ind w:left="113" w:right="124" w:firstLine="170"/>
        <w:jc w:val="both"/>
        <w:rPr>
          <w:sz w:val="17"/>
        </w:rPr>
      </w:pPr>
      <w:r>
        <w:rPr>
          <w:color w:val="231F20"/>
          <w:sz w:val="17"/>
        </w:rPr>
        <w:t>de mededeling dat de documenten van de vennootschap ter beschikking</w:t>
      </w:r>
      <w:r>
        <w:rPr>
          <w:color w:val="231F20"/>
          <w:spacing w:val="17"/>
          <w:sz w:val="17"/>
        </w:rPr>
        <w:t> </w:t>
      </w:r>
      <w:r>
        <w:rPr>
          <w:color w:val="231F20"/>
          <w:sz w:val="17"/>
        </w:rPr>
        <w:t>staan</w:t>
      </w:r>
      <w:r>
        <w:rPr>
          <w:color w:val="231F20"/>
          <w:spacing w:val="17"/>
          <w:sz w:val="17"/>
        </w:rPr>
        <w:t> </w:t>
      </w:r>
      <w:r>
        <w:rPr>
          <w:color w:val="231F20"/>
          <w:sz w:val="17"/>
        </w:rPr>
        <w:t>van</w:t>
      </w:r>
      <w:r>
        <w:rPr>
          <w:color w:val="231F20"/>
          <w:spacing w:val="17"/>
          <w:sz w:val="17"/>
        </w:rPr>
        <w:t> </w:t>
      </w:r>
      <w:r>
        <w:rPr>
          <w:color w:val="231F20"/>
          <w:sz w:val="17"/>
        </w:rPr>
        <w:t>de</w:t>
      </w:r>
      <w:r>
        <w:rPr>
          <w:color w:val="231F20"/>
          <w:spacing w:val="18"/>
          <w:sz w:val="17"/>
        </w:rPr>
        <w:t> </w:t>
      </w:r>
      <w:r>
        <w:rPr>
          <w:color w:val="231F20"/>
          <w:sz w:val="17"/>
        </w:rPr>
        <w:t>aandeelhouder</w:t>
      </w:r>
      <w:r>
        <w:rPr>
          <w:color w:val="231F20"/>
          <w:spacing w:val="17"/>
          <w:sz w:val="17"/>
        </w:rPr>
        <w:t> </w:t>
      </w:r>
      <w:r>
        <w:rPr>
          <w:color w:val="231F20"/>
          <w:sz w:val="17"/>
        </w:rPr>
        <w:t>die</w:t>
      </w:r>
      <w:r>
        <w:rPr>
          <w:color w:val="231F20"/>
          <w:spacing w:val="17"/>
          <w:sz w:val="17"/>
        </w:rPr>
        <w:t> </w:t>
      </w:r>
      <w:r>
        <w:rPr>
          <w:color w:val="231F20"/>
          <w:sz w:val="17"/>
        </w:rPr>
        <w:t>erom</w:t>
      </w:r>
      <w:r>
        <w:rPr>
          <w:color w:val="231F20"/>
          <w:spacing w:val="18"/>
          <w:sz w:val="17"/>
        </w:rPr>
        <w:t> </w:t>
      </w:r>
      <w:r>
        <w:rPr>
          <w:color w:val="231F20"/>
          <w:sz w:val="17"/>
        </w:rPr>
        <w:t>verzoekt;</w:t>
      </w:r>
    </w:p>
    <w:p>
      <w:pPr>
        <w:pStyle w:val="ListParagraph"/>
        <w:numPr>
          <w:ilvl w:val="0"/>
          <w:numId w:val="119"/>
        </w:numPr>
        <w:tabs>
          <w:tab w:pos="490" w:val="left" w:leader="none"/>
        </w:tabs>
        <w:spacing w:line="218" w:lineRule="auto" w:before="104" w:after="0"/>
        <w:ind w:left="113" w:right="124" w:firstLine="170"/>
        <w:jc w:val="both"/>
        <w:rPr>
          <w:sz w:val="17"/>
        </w:rPr>
      </w:pPr>
      <w:r>
        <w:rPr>
          <w:color w:val="231F20"/>
          <w:sz w:val="17"/>
        </w:rPr>
        <w:t>de vermelding in welke zin de gemachtigde zijn stemrecht zal uitoefenen;</w:t>
      </w:r>
    </w:p>
    <w:p>
      <w:pPr>
        <w:pStyle w:val="ListParagraph"/>
        <w:numPr>
          <w:ilvl w:val="0"/>
          <w:numId w:val="119"/>
        </w:numPr>
        <w:tabs>
          <w:tab w:pos="477" w:val="left" w:leader="none"/>
        </w:tabs>
        <w:spacing w:line="218" w:lineRule="auto" w:before="104" w:after="0"/>
        <w:ind w:left="113" w:right="124" w:firstLine="170"/>
        <w:jc w:val="both"/>
        <w:rPr>
          <w:sz w:val="17"/>
        </w:rPr>
      </w:pPr>
      <w:r>
        <w:rPr>
          <w:color w:val="231F20"/>
          <w:sz w:val="17"/>
        </w:rPr>
        <w:t>een omstandige omschrijving en verantwoording van de doelstel- ling</w:t>
      </w:r>
      <w:r>
        <w:rPr>
          <w:color w:val="231F20"/>
          <w:spacing w:val="16"/>
          <w:sz w:val="17"/>
        </w:rPr>
        <w:t> </w:t>
      </w:r>
      <w:r>
        <w:rPr>
          <w:color w:val="231F20"/>
          <w:sz w:val="17"/>
        </w:rPr>
        <w:t>van</w:t>
      </w:r>
      <w:r>
        <w:rPr>
          <w:color w:val="231F20"/>
          <w:spacing w:val="17"/>
          <w:sz w:val="17"/>
        </w:rPr>
        <w:t> </w:t>
      </w:r>
      <w:r>
        <w:rPr>
          <w:color w:val="231F20"/>
          <w:sz w:val="17"/>
        </w:rPr>
        <w:t>degene</w:t>
      </w:r>
      <w:r>
        <w:rPr>
          <w:color w:val="231F20"/>
          <w:spacing w:val="17"/>
          <w:sz w:val="17"/>
        </w:rPr>
        <w:t> </w:t>
      </w:r>
      <w:r>
        <w:rPr>
          <w:color w:val="231F20"/>
          <w:sz w:val="17"/>
        </w:rPr>
        <w:t>die</w:t>
      </w:r>
      <w:r>
        <w:rPr>
          <w:color w:val="231F20"/>
          <w:spacing w:val="16"/>
          <w:sz w:val="17"/>
        </w:rPr>
        <w:t> </w:t>
      </w:r>
      <w:r>
        <w:rPr>
          <w:color w:val="231F20"/>
          <w:sz w:val="17"/>
        </w:rPr>
        <w:t>om</w:t>
      </w:r>
      <w:r>
        <w:rPr>
          <w:color w:val="231F20"/>
          <w:spacing w:val="17"/>
          <w:sz w:val="17"/>
        </w:rPr>
        <w:t> </w:t>
      </w:r>
      <w:r>
        <w:rPr>
          <w:color w:val="231F20"/>
          <w:sz w:val="17"/>
        </w:rPr>
        <w:t>een</w:t>
      </w:r>
      <w:r>
        <w:rPr>
          <w:color w:val="231F20"/>
          <w:spacing w:val="17"/>
          <w:sz w:val="17"/>
        </w:rPr>
        <w:t> </w:t>
      </w:r>
      <w:r>
        <w:rPr>
          <w:color w:val="231F20"/>
          <w:sz w:val="17"/>
        </w:rPr>
        <w:t>volmacht</w:t>
      </w:r>
      <w:r>
        <w:rPr>
          <w:color w:val="231F20"/>
          <w:spacing w:val="16"/>
          <w:sz w:val="17"/>
        </w:rPr>
        <w:t> </w:t>
      </w:r>
      <w:r>
        <w:rPr>
          <w:color w:val="231F20"/>
          <w:sz w:val="17"/>
        </w:rPr>
        <w:t>verzoekt.</w:t>
      </w:r>
    </w:p>
    <w:p>
      <w:pPr>
        <w:pStyle w:val="BodyText"/>
        <w:spacing w:line="218" w:lineRule="auto" w:before="107"/>
      </w:pPr>
      <w:r>
        <w:rPr>
          <w:color w:val="231F20"/>
        </w:rPr>
        <w:t>De gemachtigde kan van de instructies van zijn lastgever afwijken, hetzij wegens omstandigheden die op het tijdstip dat de instructies zijn gegeven niet bekend waren, hetzij wanneer de uitvoering van die instructies de belangen van de lastgever zou kunnen schaden. De gemachtigde moet zijn lastgever daarvan in kennis stellen.</w:t>
      </w:r>
    </w:p>
    <w:p>
      <w:pPr>
        <w:pStyle w:val="BodyText"/>
        <w:spacing w:line="218" w:lineRule="auto" w:before="107"/>
      </w:pPr>
      <w:r>
        <w:rPr>
          <w:color w:val="231F20"/>
          <w:spacing w:val="-3"/>
        </w:rPr>
        <w:t>Wanneer </w:t>
      </w:r>
      <w:r>
        <w:rPr>
          <w:color w:val="231F20"/>
        </w:rPr>
        <w:t>het verzoek tot verlening van een volmacht een genoteerde vennootschap betreft, wordt drie dagen voor de openbaarmaking van het verzoek tot verlening van de volmacht een kopie van dat verzoek aan</w:t>
      </w:r>
      <w:r>
        <w:rPr>
          <w:color w:val="231F20"/>
          <w:spacing w:val="19"/>
        </w:rPr>
        <w:t> </w:t>
      </w:r>
      <w:r>
        <w:rPr>
          <w:color w:val="231F20"/>
        </w:rPr>
        <w:t>de</w:t>
      </w:r>
      <w:r>
        <w:rPr>
          <w:color w:val="231F20"/>
          <w:spacing w:val="12"/>
        </w:rPr>
        <w:t> </w:t>
      </w:r>
      <w:r>
        <w:rPr>
          <w:color w:val="231F20"/>
        </w:rPr>
        <w:t>Autoriteit</w:t>
      </w:r>
      <w:r>
        <w:rPr>
          <w:color w:val="231F20"/>
          <w:spacing w:val="19"/>
        </w:rPr>
        <w:t> </w:t>
      </w:r>
      <w:r>
        <w:rPr>
          <w:color w:val="231F20"/>
        </w:rPr>
        <w:t>voor</w:t>
      </w:r>
      <w:r>
        <w:rPr>
          <w:color w:val="231F20"/>
          <w:spacing w:val="19"/>
        </w:rPr>
        <w:t> </w:t>
      </w:r>
      <w:r>
        <w:rPr>
          <w:color w:val="231F20"/>
        </w:rPr>
        <w:t>Financiële</w:t>
      </w:r>
      <w:r>
        <w:rPr>
          <w:color w:val="231F20"/>
          <w:spacing w:val="19"/>
        </w:rPr>
        <w:t> </w:t>
      </w:r>
      <w:r>
        <w:rPr>
          <w:color w:val="231F20"/>
        </w:rPr>
        <w:t>Diensten</w:t>
      </w:r>
      <w:r>
        <w:rPr>
          <w:color w:val="231F20"/>
          <w:spacing w:val="19"/>
        </w:rPr>
        <w:t> </w:t>
      </w:r>
      <w:r>
        <w:rPr>
          <w:color w:val="231F20"/>
        </w:rPr>
        <w:t>en</w:t>
      </w:r>
      <w:r>
        <w:rPr>
          <w:color w:val="231F20"/>
          <w:spacing w:val="19"/>
        </w:rPr>
        <w:t> </w:t>
      </w:r>
      <w:r>
        <w:rPr>
          <w:color w:val="231F20"/>
        </w:rPr>
        <w:t>Markten</w:t>
      </w:r>
      <w:r>
        <w:rPr>
          <w:color w:val="231F20"/>
          <w:spacing w:val="19"/>
        </w:rPr>
        <w:t> </w:t>
      </w:r>
      <w:r>
        <w:rPr>
          <w:color w:val="231F20"/>
        </w:rPr>
        <w:t>medegedeeld.</w:t>
      </w:r>
    </w:p>
    <w:p>
      <w:pPr>
        <w:pStyle w:val="BodyText"/>
        <w:spacing w:line="218" w:lineRule="auto" w:before="107"/>
      </w:pPr>
      <w:r>
        <w:rPr>
          <w:color w:val="231F20"/>
        </w:rPr>
        <w:t>Oordeelt de Autoriteit voor Financiële Diensten en Markten dat het verzoek de aandeelhouders onvoldoende voorlicht of dat het hen in dwaling kan brengen, dan verwittigt zij degene die om de volmachten verzoekt.</w:t>
      </w:r>
    </w:p>
    <w:p>
      <w:pPr>
        <w:pStyle w:val="BodyText"/>
        <w:spacing w:line="218" w:lineRule="auto" w:before="107"/>
      </w:pPr>
      <w:r>
        <w:rPr>
          <w:color w:val="231F20"/>
        </w:rPr>
        <w:t>Wordt met de gemaakte opmerkingen geen rekening gehouden, dan kan de Autoriteit voor Financiële Diensten en Markten haar advies bekendmaken.</w:t>
      </w:r>
    </w:p>
    <w:p>
      <w:pPr>
        <w:pStyle w:val="BodyText"/>
        <w:spacing w:line="218" w:lineRule="auto" w:before="107"/>
        <w:ind w:right="123"/>
      </w:pPr>
      <w:r>
        <w:rPr>
          <w:color w:val="231F20"/>
        </w:rPr>
        <w:t>In het openbaar verzoek tot verlening van volmachten mag overeen- komstig artikel 25, tweede lid, van de wet van 16 juni 2006 op de openbare aanbieding van beleggingsinstrumenten en de toelating van beleggingsinstrumenten tot de verhandeling op een gereglementeerde markt geen gewag worden gemaakt van het optreden van de Autoriteit voor Financiële Diensten en Markten.</w:t>
      </w:r>
    </w:p>
    <w:p>
      <w:pPr>
        <w:pStyle w:val="BodyText"/>
        <w:spacing w:line="218" w:lineRule="auto" w:before="107"/>
      </w:pPr>
      <w:r>
        <w:rPr>
          <w:color w:val="231F20"/>
        </w:rPr>
        <w:t>De Koning bepaalt het openbaar karakter van een verzoek tot verlening van volmachten.</w:t>
      </w:r>
    </w:p>
    <w:p>
      <w:pPr>
        <w:pStyle w:val="BodyText"/>
        <w:spacing w:line="218" w:lineRule="auto" w:before="107"/>
      </w:pPr>
      <w:r>
        <w:rPr>
          <w:color w:val="231F20"/>
        </w:rPr>
        <w:t>Art. 7:146. § 1. De statuten kunnen iedere aandeelhouder toestaan op afstand te stemmen vóór de algemene vergadering, per brief of via de vennootschapswebsite, door middel van een door de vennootschap ter beschikking gesteld formulier.</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40"/>
      </w:pPr>
      <w:r>
        <w:rPr/>
        <w:pict>
          <v:line style="position:absolute;mso-position-horizontal-relative:page;mso-position-vertical-relative:page;z-index:5536" from="298.170502pt,64.473pt" to="298.170502pt,812.819pt" stroked="true" strokeweight=".533pt" strokecolor="#231f20">
            <v:stroke dashstyle="solid"/>
            <w10:wrap type="none"/>
          </v:line>
        </w:pict>
      </w:r>
      <w:bookmarkStart w:name="_bookmark188" w:id="193"/>
      <w:bookmarkEnd w:id="193"/>
      <w:r>
        <w:rPr/>
      </w:r>
      <w:r>
        <w:rPr>
          <w:color w:val="231F20"/>
        </w:rPr>
        <w:t>Lorsque la société autorise le vote à distance par un site internet, elle doit être en mesure de contrôler la qualité et l’identité de l’actionnaire, de la manière définie par les statuts ou en vertu de ces derniers.</w:t>
      </w:r>
    </w:p>
    <w:p>
      <w:pPr>
        <w:pStyle w:val="BodyText"/>
        <w:spacing w:line="218" w:lineRule="auto" w:before="85"/>
        <w:ind w:right="40"/>
      </w:pPr>
      <w:r>
        <w:rPr>
          <w:color w:val="231F20"/>
        </w:rPr>
        <w:t>§ 2. Sans préjudice d’autres mentions exigées par ou en vertu des statuts, le formulaire de vote à distance doit reprendre au moins les mentions suivantes:</w:t>
      </w:r>
    </w:p>
    <w:p>
      <w:pPr>
        <w:pStyle w:val="BodyText"/>
        <w:spacing w:line="218" w:lineRule="auto" w:before="86"/>
        <w:ind w:right="41"/>
      </w:pPr>
      <w:r>
        <w:rPr>
          <w:color w:val="231F20"/>
        </w:rPr>
        <w:t>1° le nom ou la dénomination de l’actionnaire et son domicile ou siège;</w:t>
      </w:r>
    </w:p>
    <w:p>
      <w:pPr>
        <w:pStyle w:val="BodyText"/>
        <w:spacing w:line="218" w:lineRule="auto" w:before="85"/>
        <w:ind w:right="40"/>
      </w:pPr>
      <w:r>
        <w:rPr>
          <w:color w:val="231F20"/>
        </w:rPr>
        <w:t>2° le nombre de voix que l’actionnaire souhaite exprimer à l’assem- blée générale;</w:t>
      </w:r>
    </w:p>
    <w:p>
      <w:pPr>
        <w:pStyle w:val="BodyText"/>
        <w:spacing w:before="72"/>
        <w:ind w:left="283" w:right="0" w:firstLine="0"/>
        <w:jc w:val="left"/>
      </w:pPr>
      <w:r>
        <w:rPr>
          <w:color w:val="231F20"/>
        </w:rPr>
        <w:t>3° la forme des actions détenues;</w:t>
      </w:r>
    </w:p>
    <w:p>
      <w:pPr>
        <w:pStyle w:val="BodyText"/>
        <w:spacing w:line="218" w:lineRule="auto" w:before="82"/>
        <w:ind w:right="41"/>
      </w:pPr>
      <w:r>
        <w:rPr>
          <w:color w:val="231F20"/>
        </w:rPr>
        <w:t>4° l’ordre du jour de l’assemblée, en ce compris les propositions de décision;</w:t>
      </w:r>
    </w:p>
    <w:p>
      <w:pPr>
        <w:pStyle w:val="BodyText"/>
        <w:spacing w:line="218" w:lineRule="auto" w:before="85"/>
        <w:ind w:right="41"/>
      </w:pPr>
      <w:r>
        <w:rPr>
          <w:color w:val="231F20"/>
        </w:rPr>
        <w:t>5° le délai dans lequel le formulaire de vote à distance doit parvenir   à la</w:t>
      </w:r>
      <w:r>
        <w:rPr>
          <w:color w:val="231F20"/>
          <w:spacing w:val="-12"/>
        </w:rPr>
        <w:t> </w:t>
      </w:r>
      <w:r>
        <w:rPr>
          <w:color w:val="231F20"/>
        </w:rPr>
        <w:t>société;</w:t>
      </w:r>
    </w:p>
    <w:p>
      <w:pPr>
        <w:pStyle w:val="BodyText"/>
        <w:spacing w:line="218" w:lineRule="auto" w:before="86"/>
        <w:ind w:right="38"/>
      </w:pPr>
      <w:r>
        <w:rPr>
          <w:color w:val="231F20"/>
        </w:rPr>
        <w:t>6° la signature de l’actionnaire sous forme manuscrite ou par un procédé de signature électronique au sens de l’article 3.10 du règlement (UE) n° 910/2014 du Parlement européen et du Conseil du</w:t>
      </w:r>
    </w:p>
    <w:p>
      <w:pPr>
        <w:pStyle w:val="BodyText"/>
        <w:spacing w:line="218" w:lineRule="auto"/>
        <w:ind w:right="40" w:firstLine="0"/>
      </w:pPr>
      <w:r>
        <w:rPr>
          <w:color w:val="231F20"/>
        </w:rPr>
        <w:t>23 juillet 2014 sur l’identification électronique et les services de confiance pour les transactions électroniques au sein du marché intérieur et abrogeant la directive 1999/93/CE ou d’une signature électronique qualifiée au sens de l’article 3.12 de ce même règlement.</w:t>
      </w:r>
    </w:p>
    <w:p>
      <w:pPr>
        <w:pStyle w:val="BodyText"/>
        <w:spacing w:line="218" w:lineRule="auto" w:before="86"/>
        <w:ind w:right="40"/>
      </w:pPr>
      <w:r>
        <w:rPr>
          <w:color w:val="231F20"/>
        </w:rPr>
        <w:t>Les formulaires dans lesquels ne seraient mentionnés ni le sens d’un vote ni l’abstention, sont nuls. En cas de modification, en assemblée, d’une proposition de décision sur laquelle un vote a été exprimé, le vote exprimé à distance n’est pas pris en considération.</w:t>
      </w:r>
    </w:p>
    <w:p>
      <w:pPr>
        <w:pStyle w:val="BodyText"/>
        <w:spacing w:line="218" w:lineRule="auto" w:before="85"/>
        <w:ind w:right="40"/>
      </w:pPr>
      <w:r>
        <w:rPr>
          <w:color w:val="231F20"/>
        </w:rPr>
        <w:t>§ 3. Le formulaire de vote par correspondance doit parvenir à</w:t>
      </w:r>
      <w:r>
        <w:rPr>
          <w:color w:val="231F20"/>
          <w:spacing w:val="18"/>
        </w:rPr>
        <w:t> </w:t>
      </w:r>
      <w:r>
        <w:rPr>
          <w:color w:val="231F20"/>
        </w:rPr>
        <w:t>la société dans le délai fixé par ou en vertu des statuts ou, pour les</w:t>
      </w:r>
      <w:r>
        <w:rPr>
          <w:color w:val="231F20"/>
          <w:spacing w:val="-18"/>
        </w:rPr>
        <w:t> </w:t>
      </w:r>
      <w:r>
        <w:rPr>
          <w:color w:val="231F20"/>
        </w:rPr>
        <w:t>sociétés cotées, au plus tard le sixième jour qui précède la date de l’assemblée générale. Le vote sous forme électronique peut être exprimé jusqu’au jour qui précède l’assemblée. Ce formulaire, tant pour une signature sous forme manuscrite que par un procédé de signature électronique au sens de l’article 3.10  du  règlement  (UE)  n°  910/2014  du  Parle-  ment européen et du Conseil du 23 juillet 2014 sur l’identification électronique et les services de confiance pour les transactions électro- niques</w:t>
      </w:r>
      <w:r>
        <w:rPr>
          <w:color w:val="231F20"/>
          <w:spacing w:val="-9"/>
        </w:rPr>
        <w:t> </w:t>
      </w:r>
      <w:r>
        <w:rPr>
          <w:color w:val="231F20"/>
        </w:rPr>
        <w:t>au</w:t>
      </w:r>
      <w:r>
        <w:rPr>
          <w:color w:val="231F20"/>
          <w:spacing w:val="-8"/>
        </w:rPr>
        <w:t> </w:t>
      </w:r>
      <w:r>
        <w:rPr>
          <w:color w:val="231F20"/>
        </w:rPr>
        <w:t>sein</w:t>
      </w:r>
      <w:r>
        <w:rPr>
          <w:color w:val="231F20"/>
          <w:spacing w:val="-8"/>
        </w:rPr>
        <w:t> </w:t>
      </w:r>
      <w:r>
        <w:rPr>
          <w:color w:val="231F20"/>
        </w:rPr>
        <w:t>du</w:t>
      </w:r>
      <w:r>
        <w:rPr>
          <w:color w:val="231F20"/>
          <w:spacing w:val="-8"/>
        </w:rPr>
        <w:t> </w:t>
      </w:r>
      <w:r>
        <w:rPr>
          <w:color w:val="231F20"/>
        </w:rPr>
        <w:t>marché</w:t>
      </w:r>
      <w:r>
        <w:rPr>
          <w:color w:val="231F20"/>
          <w:spacing w:val="-8"/>
        </w:rPr>
        <w:t> </w:t>
      </w:r>
      <w:r>
        <w:rPr>
          <w:color w:val="231F20"/>
        </w:rPr>
        <w:t>intérieur</w:t>
      </w:r>
      <w:r>
        <w:rPr>
          <w:color w:val="231F20"/>
          <w:spacing w:val="-8"/>
        </w:rPr>
        <w:t> </w:t>
      </w:r>
      <w:r>
        <w:rPr>
          <w:color w:val="231F20"/>
        </w:rPr>
        <w:t>et</w:t>
      </w:r>
      <w:r>
        <w:rPr>
          <w:color w:val="231F20"/>
          <w:spacing w:val="-8"/>
        </w:rPr>
        <w:t> </w:t>
      </w:r>
      <w:r>
        <w:rPr>
          <w:color w:val="231F20"/>
        </w:rPr>
        <w:t>abrogeant</w:t>
      </w:r>
      <w:r>
        <w:rPr>
          <w:color w:val="231F20"/>
          <w:spacing w:val="-8"/>
        </w:rPr>
        <w:t> </w:t>
      </w:r>
      <w:r>
        <w:rPr>
          <w:color w:val="231F20"/>
        </w:rPr>
        <w:t>la</w:t>
      </w:r>
      <w:r>
        <w:rPr>
          <w:color w:val="231F20"/>
          <w:spacing w:val="-8"/>
        </w:rPr>
        <w:t> </w:t>
      </w:r>
      <w:r>
        <w:rPr>
          <w:color w:val="231F20"/>
        </w:rPr>
        <w:t>directive</w:t>
      </w:r>
      <w:r>
        <w:rPr>
          <w:color w:val="231F20"/>
          <w:spacing w:val="-8"/>
        </w:rPr>
        <w:t> </w:t>
      </w:r>
      <w:r>
        <w:rPr>
          <w:color w:val="231F20"/>
        </w:rPr>
        <w:t>1999/93/CE ou d’une signature électronique qualifiée au sens de l’article 3.12 de ce même règlement, peut être adressé à la société à l’adresse électronique de celle-ci ou à l’adresse électronique spécifique indiquée dans la convocation à l’assemblée générale. Le vote par un site internet conformément au paragraphe 1</w:t>
      </w:r>
      <w:r>
        <w:rPr>
          <w:color w:val="231F20"/>
          <w:position w:val="7"/>
          <w:sz w:val="11"/>
        </w:rPr>
        <w:t>er </w:t>
      </w:r>
      <w:r>
        <w:rPr>
          <w:color w:val="231F20"/>
        </w:rPr>
        <w:t>du présent article peut être exprimé jusqu’au jour qui précède</w:t>
      </w:r>
      <w:r>
        <w:rPr>
          <w:color w:val="231F20"/>
          <w:spacing w:val="20"/>
        </w:rPr>
        <w:t> </w:t>
      </w:r>
      <w:r>
        <w:rPr>
          <w:color w:val="231F20"/>
        </w:rPr>
        <w:t>l’assemblée.</w:t>
      </w:r>
    </w:p>
    <w:p>
      <w:pPr>
        <w:pStyle w:val="BodyText"/>
        <w:spacing w:line="218" w:lineRule="auto" w:before="71"/>
        <w:ind w:right="41"/>
      </w:pPr>
      <w:r>
        <w:rPr>
          <w:color w:val="231F20"/>
        </w:rPr>
        <w:t>Le formulaire de vote à distance adressé à la société pour une assemblée vaut pour les assemblées successives avec le même ordre du jour.</w:t>
      </w:r>
    </w:p>
    <w:p>
      <w:pPr>
        <w:pStyle w:val="BodyText"/>
        <w:spacing w:line="218" w:lineRule="auto" w:before="86"/>
        <w:ind w:right="41"/>
      </w:pPr>
      <w:r>
        <w:rPr>
          <w:color w:val="231F20"/>
        </w:rPr>
        <w:t>Pour le calcul des règles de quorum et de majorité, seuls sont prises en compte les votes à distance exprimés par des actionnaires qui satisfont aux  formalités  d’admission  à  l’assemblée  visées  à  l’arti-  cle 7:134, §</w:t>
      </w:r>
      <w:r>
        <w:rPr>
          <w:color w:val="231F20"/>
          <w:spacing w:val="2"/>
        </w:rPr>
        <w:t> </w:t>
      </w:r>
      <w:r>
        <w:rPr>
          <w:color w:val="231F20"/>
        </w:rPr>
        <w:t>2.</w:t>
      </w:r>
    </w:p>
    <w:p>
      <w:pPr>
        <w:pStyle w:val="BodyText"/>
        <w:ind w:left="0" w:right="0" w:firstLine="0"/>
        <w:jc w:val="left"/>
        <w:rPr>
          <w:sz w:val="23"/>
        </w:rPr>
      </w:pPr>
    </w:p>
    <w:p>
      <w:pPr>
        <w:pStyle w:val="BodyText"/>
        <w:spacing w:line="218" w:lineRule="auto"/>
        <w:ind w:right="40"/>
      </w:pPr>
      <w:r>
        <w:rPr>
          <w:color w:val="231F20"/>
        </w:rPr>
        <w:t>Dans une société non cotée, est considéré comme nul le vote à distance exprimé par un actionnaire qui a cédé ses actions à la date de l’assemblée</w:t>
      </w:r>
      <w:r>
        <w:rPr>
          <w:color w:val="231F20"/>
          <w:spacing w:val="15"/>
        </w:rPr>
        <w:t> </w:t>
      </w:r>
      <w:r>
        <w:rPr>
          <w:color w:val="231F20"/>
        </w:rPr>
        <w:t>générale.</w:t>
      </w:r>
    </w:p>
    <w:p>
      <w:pPr>
        <w:pStyle w:val="BodyText"/>
        <w:spacing w:line="218" w:lineRule="auto" w:before="86"/>
        <w:ind w:right="40"/>
      </w:pPr>
      <w:r>
        <w:rPr>
          <w:color w:val="231F20"/>
        </w:rPr>
        <w:t>L’actionnaire qui a exprimé son vote à distance, que ce soit par correspondance ou sous forme électronique, ne peut plus choisir un autre mode de participation à l’assemblée pour le nombre de voix exprimées à</w:t>
      </w:r>
      <w:r>
        <w:rPr>
          <w:color w:val="231F20"/>
          <w:spacing w:val="-12"/>
        </w:rPr>
        <w:t> </w:t>
      </w:r>
      <w:r>
        <w:rPr>
          <w:color w:val="231F20"/>
        </w:rPr>
        <w:t>distance.</w:t>
      </w:r>
    </w:p>
    <w:p>
      <w:pPr>
        <w:pStyle w:val="BodyText"/>
        <w:spacing w:line="213" w:lineRule="auto" w:before="88"/>
        <w:ind w:right="40"/>
      </w:pPr>
      <w:r>
        <w:rPr>
          <w:color w:val="231F20"/>
        </w:rPr>
        <w:t>§</w:t>
      </w:r>
      <w:r>
        <w:rPr>
          <w:color w:val="231F20"/>
          <w:spacing w:val="-6"/>
        </w:rPr>
        <w:t> </w:t>
      </w:r>
      <w:r>
        <w:rPr>
          <w:color w:val="231F20"/>
        </w:rPr>
        <w:t>4.</w:t>
      </w:r>
      <w:r>
        <w:rPr>
          <w:color w:val="231F20"/>
          <w:spacing w:val="-5"/>
        </w:rPr>
        <w:t> </w:t>
      </w:r>
      <w:r>
        <w:rPr>
          <w:color w:val="231F20"/>
        </w:rPr>
        <w:t>Dans</w:t>
      </w:r>
      <w:r>
        <w:rPr>
          <w:color w:val="231F20"/>
          <w:spacing w:val="-6"/>
        </w:rPr>
        <w:t> </w:t>
      </w:r>
      <w:r>
        <w:rPr>
          <w:color w:val="231F20"/>
        </w:rPr>
        <w:t>les</w:t>
      </w:r>
      <w:r>
        <w:rPr>
          <w:color w:val="231F20"/>
          <w:spacing w:val="-5"/>
        </w:rPr>
        <w:t> </w:t>
      </w:r>
      <w:r>
        <w:rPr>
          <w:color w:val="231F20"/>
        </w:rPr>
        <w:t>sociétés</w:t>
      </w:r>
      <w:r>
        <w:rPr>
          <w:color w:val="231F20"/>
          <w:spacing w:val="-6"/>
        </w:rPr>
        <w:t> </w:t>
      </w:r>
      <w:r>
        <w:rPr>
          <w:color w:val="231F20"/>
        </w:rPr>
        <w:t>cotées,</w:t>
      </w:r>
      <w:r>
        <w:rPr>
          <w:color w:val="231F20"/>
          <w:spacing w:val="-5"/>
        </w:rPr>
        <w:t> </w:t>
      </w:r>
      <w:r>
        <w:rPr>
          <w:color w:val="231F20"/>
        </w:rPr>
        <w:t>en</w:t>
      </w:r>
      <w:r>
        <w:rPr>
          <w:color w:val="231F20"/>
          <w:spacing w:val="-6"/>
        </w:rPr>
        <w:t> </w:t>
      </w:r>
      <w:r>
        <w:rPr>
          <w:color w:val="231F20"/>
        </w:rPr>
        <w:t>cas</w:t>
      </w:r>
      <w:r>
        <w:rPr>
          <w:color w:val="231F20"/>
          <w:spacing w:val="-5"/>
        </w:rPr>
        <w:t> </w:t>
      </w:r>
      <w:r>
        <w:rPr>
          <w:color w:val="231F20"/>
        </w:rPr>
        <w:t>d’application</w:t>
      </w:r>
      <w:r>
        <w:rPr>
          <w:color w:val="231F20"/>
          <w:spacing w:val="-6"/>
        </w:rPr>
        <w:t> </w:t>
      </w:r>
      <w:r>
        <w:rPr>
          <w:color w:val="231F20"/>
        </w:rPr>
        <w:t>de</w:t>
      </w:r>
      <w:r>
        <w:rPr>
          <w:color w:val="231F20"/>
          <w:spacing w:val="-5"/>
        </w:rPr>
        <w:t> </w:t>
      </w:r>
      <w:r>
        <w:rPr>
          <w:color w:val="231F20"/>
        </w:rPr>
        <w:t>l’article</w:t>
      </w:r>
      <w:r>
        <w:rPr>
          <w:color w:val="231F20"/>
          <w:spacing w:val="-6"/>
        </w:rPr>
        <w:t> </w:t>
      </w:r>
      <w:r>
        <w:rPr>
          <w:color w:val="231F20"/>
        </w:rPr>
        <w:t>7:130,</w:t>
      </w:r>
      <w:r>
        <w:rPr>
          <w:color w:val="231F20"/>
          <w:spacing w:val="-5"/>
        </w:rPr>
        <w:t> </w:t>
      </w:r>
      <w:r>
        <w:rPr>
          <w:color w:val="231F20"/>
        </w:rPr>
        <w:t>§</w:t>
      </w:r>
      <w:r>
        <w:rPr>
          <w:color w:val="231F20"/>
          <w:spacing w:val="-5"/>
        </w:rPr>
        <w:t> </w:t>
      </w:r>
      <w:r>
        <w:rPr>
          <w:color w:val="231F20"/>
        </w:rPr>
        <w:t>3, alinéa 1</w:t>
      </w:r>
      <w:r>
        <w:rPr>
          <w:color w:val="231F20"/>
          <w:position w:val="7"/>
          <w:sz w:val="11"/>
        </w:rPr>
        <w:t>er</w:t>
      </w:r>
      <w:r>
        <w:rPr>
          <w:color w:val="231F20"/>
        </w:rPr>
        <w:t>, les formulaires de vote à distance, par correspondance ou sous forme électronique, qui sont parvenus à la société antérieurement à la publication d’un ordre du jour complété restent valables pour les sujets</w:t>
      </w:r>
      <w:r>
        <w:rPr>
          <w:color w:val="231F20"/>
          <w:spacing w:val="14"/>
        </w:rPr>
        <w:t> </w:t>
      </w:r>
      <w:r>
        <w:rPr>
          <w:color w:val="231F20"/>
        </w:rPr>
        <w:t>à</w:t>
      </w:r>
      <w:r>
        <w:rPr>
          <w:color w:val="231F20"/>
          <w:spacing w:val="15"/>
        </w:rPr>
        <w:t> </w:t>
      </w:r>
      <w:r>
        <w:rPr>
          <w:color w:val="231F20"/>
        </w:rPr>
        <w:t>traiter</w:t>
      </w:r>
      <w:r>
        <w:rPr>
          <w:color w:val="231F20"/>
          <w:spacing w:val="15"/>
        </w:rPr>
        <w:t> </w:t>
      </w:r>
      <w:r>
        <w:rPr>
          <w:color w:val="231F20"/>
        </w:rPr>
        <w:t>inscrits</w:t>
      </w:r>
      <w:r>
        <w:rPr>
          <w:color w:val="231F20"/>
          <w:spacing w:val="15"/>
        </w:rPr>
        <w:t> </w:t>
      </w:r>
      <w:r>
        <w:rPr>
          <w:color w:val="231F20"/>
        </w:rPr>
        <w:t>à</w:t>
      </w:r>
      <w:r>
        <w:rPr>
          <w:color w:val="231F20"/>
          <w:spacing w:val="14"/>
        </w:rPr>
        <w:t> </w:t>
      </w:r>
      <w:r>
        <w:rPr>
          <w:color w:val="231F20"/>
        </w:rPr>
        <w:t>l’ordre</w:t>
      </w:r>
      <w:r>
        <w:rPr>
          <w:color w:val="231F20"/>
          <w:spacing w:val="15"/>
        </w:rPr>
        <w:t> </w:t>
      </w:r>
      <w:r>
        <w:rPr>
          <w:color w:val="231F20"/>
        </w:rPr>
        <w:t>du</w:t>
      </w:r>
      <w:r>
        <w:rPr>
          <w:color w:val="231F20"/>
          <w:spacing w:val="15"/>
        </w:rPr>
        <w:t> </w:t>
      </w:r>
      <w:r>
        <w:rPr>
          <w:color w:val="231F20"/>
        </w:rPr>
        <w:t>jour</w:t>
      </w:r>
      <w:r>
        <w:rPr>
          <w:color w:val="231F20"/>
          <w:spacing w:val="15"/>
        </w:rPr>
        <w:t> </w:t>
      </w:r>
      <w:r>
        <w:rPr>
          <w:color w:val="231F20"/>
        </w:rPr>
        <w:t>qu’ils</w:t>
      </w:r>
      <w:r>
        <w:rPr>
          <w:color w:val="231F20"/>
          <w:spacing w:val="14"/>
        </w:rPr>
        <w:t> </w:t>
      </w:r>
      <w:r>
        <w:rPr>
          <w:color w:val="231F20"/>
        </w:rPr>
        <w:t>couvrent.</w:t>
      </w:r>
    </w:p>
    <w:p>
      <w:pPr>
        <w:pStyle w:val="BodyText"/>
        <w:spacing w:before="9"/>
        <w:ind w:left="0" w:right="0" w:firstLine="0"/>
        <w:jc w:val="left"/>
        <w:rPr>
          <w:sz w:val="21"/>
        </w:rPr>
      </w:pPr>
    </w:p>
    <w:p>
      <w:pPr>
        <w:pStyle w:val="BodyText"/>
        <w:spacing w:line="218" w:lineRule="auto"/>
        <w:ind w:right="41"/>
      </w:pPr>
      <w:r>
        <w:rPr>
          <w:color w:val="231F20"/>
        </w:rPr>
        <w:t>Par dérogation à l’alinéa 1</w:t>
      </w:r>
      <w:r>
        <w:rPr>
          <w:color w:val="231F20"/>
          <w:position w:val="7"/>
          <w:sz w:val="11"/>
        </w:rPr>
        <w:t>er</w:t>
      </w:r>
      <w:r>
        <w:rPr>
          <w:color w:val="231F20"/>
        </w:rPr>
        <w:t>, le vote exprimé à distance sur un sujet    à traiter inscrit à l’ordre du jour qui fait l’objet d’une proposition de décision nouvelle en application de l’article 7:130, n’est pas pris</w:t>
      </w:r>
      <w:r>
        <w:rPr>
          <w:color w:val="231F20"/>
          <w:spacing w:val="31"/>
        </w:rPr>
        <w:t> </w:t>
      </w:r>
      <w:r>
        <w:rPr>
          <w:color w:val="231F20"/>
        </w:rPr>
        <w:t>en considération.</w:t>
      </w:r>
    </w:p>
    <w:p>
      <w:pPr>
        <w:pStyle w:val="BodyText"/>
        <w:spacing w:before="72"/>
        <w:ind w:left="283" w:right="0" w:firstLine="0"/>
        <w:jc w:val="left"/>
      </w:pPr>
      <w:r>
        <w:rPr>
          <w:color w:val="231F20"/>
        </w:rPr>
        <w:t>Section 2. Assemblée générale ordinaire.</w:t>
      </w:r>
    </w:p>
    <w:p>
      <w:pPr>
        <w:pStyle w:val="BodyText"/>
        <w:spacing w:line="218" w:lineRule="auto" w:before="82"/>
        <w:ind w:right="41"/>
      </w:pPr>
      <w:r>
        <w:rPr>
          <w:color w:val="231F20"/>
        </w:rPr>
        <w:t>Art. 7:147. Il doit être tenu, chaque année, au moins une assemblée générale dans la commune, aux jour et heure indiqués par les statuts.</w:t>
      </w:r>
    </w:p>
    <w:p>
      <w:pPr>
        <w:pStyle w:val="BodyText"/>
        <w:spacing w:before="11"/>
        <w:ind w:left="0" w:right="0" w:firstLine="0"/>
        <w:jc w:val="left"/>
        <w:rPr>
          <w:sz w:val="23"/>
        </w:rPr>
      </w:pPr>
    </w:p>
    <w:p>
      <w:pPr>
        <w:pStyle w:val="BodyText"/>
        <w:spacing w:line="218" w:lineRule="auto"/>
        <w:ind w:right="40"/>
      </w:pPr>
      <w:r>
        <w:rPr>
          <w:color w:val="231F20"/>
        </w:rPr>
        <w:t>Art. 7:148. Les titulaires d’actions, d’obligations convertibles, de droits de souscription et de certificats émis avec la collaboration de la société</w:t>
      </w:r>
      <w:r>
        <w:rPr>
          <w:color w:val="231F20"/>
          <w:spacing w:val="-8"/>
        </w:rPr>
        <w:t> </w:t>
      </w:r>
      <w:r>
        <w:rPr>
          <w:color w:val="231F20"/>
        </w:rPr>
        <w:t>peuvent,</w:t>
      </w:r>
      <w:r>
        <w:rPr>
          <w:color w:val="231F20"/>
          <w:spacing w:val="-7"/>
        </w:rPr>
        <w:t> </w:t>
      </w:r>
      <w:r>
        <w:rPr>
          <w:color w:val="231F20"/>
        </w:rPr>
        <w:t>conformément</w:t>
      </w:r>
      <w:r>
        <w:rPr>
          <w:color w:val="231F20"/>
          <w:spacing w:val="-7"/>
        </w:rPr>
        <w:t> </w:t>
      </w:r>
      <w:r>
        <w:rPr>
          <w:color w:val="231F20"/>
        </w:rPr>
        <w:t>l’article</w:t>
      </w:r>
      <w:r>
        <w:rPr>
          <w:color w:val="231F20"/>
          <w:spacing w:val="-7"/>
        </w:rPr>
        <w:t> </w:t>
      </w:r>
      <w:r>
        <w:rPr>
          <w:color w:val="231F20"/>
        </w:rPr>
        <w:t>7:132,</w:t>
      </w:r>
      <w:r>
        <w:rPr>
          <w:color w:val="231F20"/>
          <w:spacing w:val="-7"/>
        </w:rPr>
        <w:t> </w:t>
      </w:r>
      <w:r>
        <w:rPr>
          <w:color w:val="231F20"/>
        </w:rPr>
        <w:t>prendre</w:t>
      </w:r>
      <w:r>
        <w:rPr>
          <w:color w:val="231F20"/>
          <w:spacing w:val="-7"/>
        </w:rPr>
        <w:t> </w:t>
      </w:r>
      <w:r>
        <w:rPr>
          <w:color w:val="231F20"/>
        </w:rPr>
        <w:t>connaissance</w:t>
      </w:r>
      <w:r>
        <w:rPr>
          <w:color w:val="231F20"/>
          <w:spacing w:val="-7"/>
        </w:rPr>
        <w:t> </w:t>
      </w:r>
      <w:r>
        <w:rPr>
          <w:color w:val="231F20"/>
        </w:rPr>
        <w:t>des pièces</w:t>
      </w:r>
      <w:r>
        <w:rPr>
          <w:color w:val="231F20"/>
          <w:spacing w:val="15"/>
        </w:rPr>
        <w:t> </w:t>
      </w:r>
      <w:r>
        <w:rPr>
          <w:color w:val="231F20"/>
        </w:rPr>
        <w:t>suivantes:</w:t>
      </w:r>
    </w:p>
    <w:p>
      <w:pPr>
        <w:pStyle w:val="BodyText"/>
        <w:spacing w:before="82"/>
        <w:ind w:left="283" w:right="0" w:firstLine="0"/>
        <w:jc w:val="left"/>
      </w:pPr>
      <w:r>
        <w:rPr>
          <w:color w:val="231F20"/>
        </w:rPr>
        <w:t>1° les comptes annuels;</w:t>
      </w:r>
    </w:p>
    <w:p>
      <w:pPr>
        <w:pStyle w:val="BodyText"/>
        <w:spacing w:line="218" w:lineRule="auto" w:before="119"/>
      </w:pPr>
      <w:r>
        <w:rPr/>
        <w:br w:type="column"/>
      </w:r>
      <w:r>
        <w:rPr>
          <w:color w:val="231F20"/>
        </w:rPr>
        <w:t>Als de vennootschap stemmen op afstand via een website toestaat, moet zij op de bij of krachtens de statuten bepaalde wijze in staat zijn de</w:t>
      </w:r>
      <w:r>
        <w:rPr>
          <w:color w:val="231F20"/>
          <w:spacing w:val="12"/>
        </w:rPr>
        <w:t> </w:t>
      </w:r>
      <w:r>
        <w:rPr>
          <w:color w:val="231F20"/>
        </w:rPr>
        <w:t>hoedanigheid</w:t>
      </w:r>
      <w:r>
        <w:rPr>
          <w:color w:val="231F20"/>
          <w:spacing w:val="13"/>
        </w:rPr>
        <w:t> </w:t>
      </w:r>
      <w:r>
        <w:rPr>
          <w:color w:val="231F20"/>
        </w:rPr>
        <w:t>en</w:t>
      </w:r>
      <w:r>
        <w:rPr>
          <w:color w:val="231F20"/>
          <w:spacing w:val="13"/>
        </w:rPr>
        <w:t> </w:t>
      </w:r>
      <w:r>
        <w:rPr>
          <w:color w:val="231F20"/>
        </w:rPr>
        <w:t>de</w:t>
      </w:r>
      <w:r>
        <w:rPr>
          <w:color w:val="231F20"/>
          <w:spacing w:val="12"/>
        </w:rPr>
        <w:t> </w:t>
      </w:r>
      <w:r>
        <w:rPr>
          <w:color w:val="231F20"/>
        </w:rPr>
        <w:t>identiteit</w:t>
      </w:r>
      <w:r>
        <w:rPr>
          <w:color w:val="231F20"/>
          <w:spacing w:val="13"/>
        </w:rPr>
        <w:t> </w:t>
      </w:r>
      <w:r>
        <w:rPr>
          <w:color w:val="231F20"/>
        </w:rPr>
        <w:t>van</w:t>
      </w:r>
      <w:r>
        <w:rPr>
          <w:color w:val="231F20"/>
          <w:spacing w:val="13"/>
        </w:rPr>
        <w:t> </w:t>
      </w:r>
      <w:r>
        <w:rPr>
          <w:color w:val="231F20"/>
        </w:rPr>
        <w:t>de</w:t>
      </w:r>
      <w:r>
        <w:rPr>
          <w:color w:val="231F20"/>
          <w:spacing w:val="12"/>
        </w:rPr>
        <w:t> </w:t>
      </w:r>
      <w:r>
        <w:rPr>
          <w:color w:val="231F20"/>
        </w:rPr>
        <w:t>aandeelhouder</w:t>
      </w:r>
      <w:r>
        <w:rPr>
          <w:color w:val="231F20"/>
          <w:spacing w:val="13"/>
        </w:rPr>
        <w:t> </w:t>
      </w:r>
      <w:r>
        <w:rPr>
          <w:color w:val="231F20"/>
        </w:rPr>
        <w:t>te</w:t>
      </w:r>
      <w:r>
        <w:rPr>
          <w:color w:val="231F20"/>
          <w:spacing w:val="13"/>
        </w:rPr>
        <w:t> </w:t>
      </w:r>
      <w:r>
        <w:rPr>
          <w:color w:val="231F20"/>
        </w:rPr>
        <w:t>controleren.</w:t>
      </w:r>
    </w:p>
    <w:p>
      <w:pPr>
        <w:pStyle w:val="BodyText"/>
        <w:spacing w:line="218" w:lineRule="auto" w:before="86"/>
      </w:pPr>
      <w:r>
        <w:rPr>
          <w:color w:val="231F20"/>
        </w:rPr>
        <w:t>§ 2. Onverminderd andere, bij of krachtens de statuten vereiste vermeldingen dient het formulier om te stemmen op afstand minstens de volgende vermeldingen te bevatten:</w:t>
      </w:r>
    </w:p>
    <w:p>
      <w:pPr>
        <w:pStyle w:val="BodyText"/>
        <w:spacing w:before="71"/>
        <w:ind w:left="283" w:right="0" w:firstLine="0"/>
        <w:jc w:val="left"/>
      </w:pPr>
      <w:r>
        <w:rPr>
          <w:color w:val="231F20"/>
        </w:rPr>
        <w:t>1° de naam van de aandeelhouder en zijn woonplaats of zetel;</w:t>
      </w:r>
    </w:p>
    <w:p>
      <w:pPr>
        <w:pStyle w:val="BodyText"/>
        <w:spacing w:before="8"/>
        <w:ind w:left="0" w:right="0" w:firstLine="0"/>
        <w:jc w:val="left"/>
        <w:rPr>
          <w:sz w:val="22"/>
        </w:rPr>
      </w:pPr>
    </w:p>
    <w:p>
      <w:pPr>
        <w:pStyle w:val="BodyText"/>
        <w:spacing w:line="218" w:lineRule="auto"/>
      </w:pPr>
      <w:r>
        <w:rPr>
          <w:color w:val="231F20"/>
        </w:rPr>
        <w:t>2° het aantal stemmen dat de aandeelhouder tijdens de algemene vergadering wenst uit te brengen;</w:t>
      </w:r>
    </w:p>
    <w:p>
      <w:pPr>
        <w:pStyle w:val="BodyText"/>
        <w:spacing w:before="72"/>
        <w:ind w:left="283" w:right="0" w:firstLine="0"/>
        <w:jc w:val="left"/>
      </w:pPr>
      <w:r>
        <w:rPr>
          <w:color w:val="231F20"/>
        </w:rPr>
        <w:t>3° de vorm van de gehouden aandelen;</w:t>
      </w:r>
    </w:p>
    <w:p>
      <w:pPr>
        <w:pStyle w:val="BodyText"/>
        <w:spacing w:before="68"/>
        <w:ind w:left="283" w:right="0" w:firstLine="0"/>
        <w:jc w:val="left"/>
      </w:pPr>
      <w:r>
        <w:rPr>
          <w:color w:val="231F20"/>
        </w:rPr>
        <w:t>4° de agenda van de vergadering, inclusief de voorstellen tot besluit;</w:t>
      </w:r>
    </w:p>
    <w:p>
      <w:pPr>
        <w:pStyle w:val="BodyText"/>
        <w:spacing w:before="7"/>
        <w:ind w:left="0" w:right="0" w:firstLine="0"/>
        <w:jc w:val="left"/>
        <w:rPr>
          <w:sz w:val="22"/>
        </w:rPr>
      </w:pPr>
    </w:p>
    <w:p>
      <w:pPr>
        <w:pStyle w:val="BodyText"/>
        <w:spacing w:line="218" w:lineRule="auto" w:before="1"/>
      </w:pPr>
      <w:r>
        <w:rPr>
          <w:color w:val="231F20"/>
        </w:rPr>
        <w:t>5° de termijn waarbinnen de vennootschap het formulier om te stemmen op afstand dient te ontvangen;</w:t>
      </w:r>
    </w:p>
    <w:p>
      <w:pPr>
        <w:pStyle w:val="BodyText"/>
        <w:spacing w:line="218" w:lineRule="auto" w:before="85"/>
      </w:pPr>
      <w:r>
        <w:rPr>
          <w:color w:val="231F20"/>
        </w:rPr>
        <w:t>6° de handtekening van de aandeelhouder, handgeschreven of met een elektronische handtekening in de zin van artikel 3.10 van verorde- ning (EU) </w:t>
      </w:r>
      <w:r>
        <w:rPr>
          <w:color w:val="231F20"/>
          <w:spacing w:val="-5"/>
        </w:rPr>
        <w:t>nr.  </w:t>
      </w:r>
      <w:r>
        <w:rPr>
          <w:color w:val="231F20"/>
        </w:rPr>
        <w:t>910/2014 van het Europees Parlement en de Raad van  23 juli 2014 betreffende elektronische identificatie en vertrouwensdien- sten voor elektronische transacties in de interne markt en tot</w:t>
      </w:r>
      <w:r>
        <w:rPr>
          <w:color w:val="231F20"/>
          <w:spacing w:val="-15"/>
        </w:rPr>
        <w:t> </w:t>
      </w:r>
      <w:r>
        <w:rPr>
          <w:color w:val="231F20"/>
        </w:rPr>
        <w:t>intrekking van richtlijn 1999/93/EG of een gekwalificeerde elektronische handte- kening</w:t>
      </w:r>
      <w:r>
        <w:rPr>
          <w:color w:val="231F20"/>
          <w:spacing w:val="17"/>
        </w:rPr>
        <w:t> </w:t>
      </w:r>
      <w:r>
        <w:rPr>
          <w:color w:val="231F20"/>
        </w:rPr>
        <w:t>in</w:t>
      </w:r>
      <w:r>
        <w:rPr>
          <w:color w:val="231F20"/>
          <w:spacing w:val="18"/>
        </w:rPr>
        <w:t> </w:t>
      </w:r>
      <w:r>
        <w:rPr>
          <w:color w:val="231F20"/>
        </w:rPr>
        <w:t>de</w:t>
      </w:r>
      <w:r>
        <w:rPr>
          <w:color w:val="231F20"/>
          <w:spacing w:val="18"/>
        </w:rPr>
        <w:t> </w:t>
      </w:r>
      <w:r>
        <w:rPr>
          <w:color w:val="231F20"/>
        </w:rPr>
        <w:t>zin</w:t>
      </w:r>
      <w:r>
        <w:rPr>
          <w:color w:val="231F20"/>
          <w:spacing w:val="17"/>
        </w:rPr>
        <w:t> </w:t>
      </w:r>
      <w:r>
        <w:rPr>
          <w:color w:val="231F20"/>
        </w:rPr>
        <w:t>van</w:t>
      </w:r>
      <w:r>
        <w:rPr>
          <w:color w:val="231F20"/>
          <w:spacing w:val="18"/>
        </w:rPr>
        <w:t> </w:t>
      </w:r>
      <w:r>
        <w:rPr>
          <w:color w:val="231F20"/>
        </w:rPr>
        <w:t>artikel</w:t>
      </w:r>
      <w:r>
        <w:rPr>
          <w:color w:val="231F20"/>
          <w:spacing w:val="18"/>
        </w:rPr>
        <w:t> </w:t>
      </w:r>
      <w:r>
        <w:rPr>
          <w:color w:val="231F20"/>
        </w:rPr>
        <w:t>3.12</w:t>
      </w:r>
      <w:r>
        <w:rPr>
          <w:color w:val="231F20"/>
          <w:spacing w:val="18"/>
        </w:rPr>
        <w:t> </w:t>
      </w:r>
      <w:r>
        <w:rPr>
          <w:color w:val="231F20"/>
        </w:rPr>
        <w:t>van</w:t>
      </w:r>
      <w:r>
        <w:rPr>
          <w:color w:val="231F20"/>
          <w:spacing w:val="17"/>
        </w:rPr>
        <w:t> </w:t>
      </w:r>
      <w:r>
        <w:rPr>
          <w:color w:val="231F20"/>
        </w:rPr>
        <w:t>dezelfde</w:t>
      </w:r>
      <w:r>
        <w:rPr>
          <w:color w:val="231F20"/>
          <w:spacing w:val="18"/>
        </w:rPr>
        <w:t> </w:t>
      </w:r>
      <w:r>
        <w:rPr>
          <w:color w:val="231F20"/>
        </w:rPr>
        <w:t>verordening.</w:t>
      </w:r>
    </w:p>
    <w:p>
      <w:pPr>
        <w:pStyle w:val="BodyText"/>
        <w:spacing w:line="218" w:lineRule="auto" w:before="86"/>
      </w:pPr>
      <w:r>
        <w:rPr>
          <w:color w:val="231F20"/>
        </w:rPr>
        <w:t>De formulieren waarin noch de stemwijze, noch de onthouding zijn vermeld, zijn nietig. Indien, tijdens de vergadering, een voorstel tot besluit wordt gewijzigd waarover al is gestemd, wordt de op afstand uitgebrachte stem buiten beschouwing gelaten.</w:t>
      </w:r>
    </w:p>
    <w:p>
      <w:pPr>
        <w:pStyle w:val="BodyText"/>
        <w:spacing w:line="218" w:lineRule="auto" w:before="86"/>
        <w:ind w:right="123"/>
      </w:pPr>
      <w:r>
        <w:rPr>
          <w:color w:val="231F20"/>
        </w:rPr>
        <w:t>§ 3. De vennootschap moet het formulier voor de stemming per brief ontvangen binnen de bij of krachtens de statuten vastgestelde termijn of, voor genoteerde vennootschappen, uiterlijk op de zesde dag vóór de datum van de algemene vergadering. Er kan elektronisch worden gestemd tot de dag vóór de vergadering. Dat formulier, zij het met een handgeschreven handtekening dan wel met een elektronische handte- kening in de zin van artikel 3.10 van verordening (EU) </w:t>
      </w:r>
      <w:r>
        <w:rPr>
          <w:color w:val="231F20"/>
          <w:spacing w:val="-5"/>
        </w:rPr>
        <w:t>nr. </w:t>
      </w:r>
      <w:r>
        <w:rPr>
          <w:color w:val="231F20"/>
        </w:rPr>
        <w:t>910/2014 van het Europees Parlement en de Raad van 23 juli 2014 betreffende elektronische identificatie en vertrouwensdiensten voor elektronische transacties</w:t>
      </w:r>
      <w:r>
        <w:rPr>
          <w:color w:val="231F20"/>
          <w:spacing w:val="-17"/>
        </w:rPr>
        <w:t> </w:t>
      </w:r>
      <w:r>
        <w:rPr>
          <w:color w:val="231F20"/>
        </w:rPr>
        <w:t>in</w:t>
      </w:r>
      <w:r>
        <w:rPr>
          <w:color w:val="231F20"/>
          <w:spacing w:val="-16"/>
        </w:rPr>
        <w:t> </w:t>
      </w:r>
      <w:r>
        <w:rPr>
          <w:color w:val="231F20"/>
        </w:rPr>
        <w:t>de</w:t>
      </w:r>
      <w:r>
        <w:rPr>
          <w:color w:val="231F20"/>
          <w:spacing w:val="-16"/>
        </w:rPr>
        <w:t> </w:t>
      </w:r>
      <w:r>
        <w:rPr>
          <w:color w:val="231F20"/>
        </w:rPr>
        <w:t>interne</w:t>
      </w:r>
      <w:r>
        <w:rPr>
          <w:color w:val="231F20"/>
          <w:spacing w:val="-16"/>
        </w:rPr>
        <w:t> </w:t>
      </w:r>
      <w:r>
        <w:rPr>
          <w:color w:val="231F20"/>
        </w:rPr>
        <w:t>markt</w:t>
      </w:r>
      <w:r>
        <w:rPr>
          <w:color w:val="231F20"/>
          <w:spacing w:val="-16"/>
        </w:rPr>
        <w:t> </w:t>
      </w:r>
      <w:r>
        <w:rPr>
          <w:color w:val="231F20"/>
        </w:rPr>
        <w:t>en</w:t>
      </w:r>
      <w:r>
        <w:rPr>
          <w:color w:val="231F20"/>
          <w:spacing w:val="-16"/>
        </w:rPr>
        <w:t> </w:t>
      </w:r>
      <w:r>
        <w:rPr>
          <w:color w:val="231F20"/>
        </w:rPr>
        <w:t>tot</w:t>
      </w:r>
      <w:r>
        <w:rPr>
          <w:color w:val="231F20"/>
          <w:spacing w:val="-16"/>
        </w:rPr>
        <w:t> </w:t>
      </w:r>
      <w:r>
        <w:rPr>
          <w:color w:val="231F20"/>
          <w:spacing w:val="-3"/>
        </w:rPr>
        <w:t>intrekking</w:t>
      </w:r>
      <w:r>
        <w:rPr>
          <w:color w:val="231F20"/>
          <w:spacing w:val="-16"/>
        </w:rPr>
        <w:t> </w:t>
      </w:r>
      <w:r>
        <w:rPr>
          <w:color w:val="231F20"/>
        </w:rPr>
        <w:t>van</w:t>
      </w:r>
      <w:r>
        <w:rPr>
          <w:color w:val="231F20"/>
          <w:spacing w:val="-16"/>
        </w:rPr>
        <w:t> </w:t>
      </w:r>
      <w:r>
        <w:rPr>
          <w:color w:val="231F20"/>
        </w:rPr>
        <w:t>richtlijn</w:t>
      </w:r>
      <w:r>
        <w:rPr>
          <w:color w:val="231F20"/>
          <w:spacing w:val="-17"/>
        </w:rPr>
        <w:t> </w:t>
      </w:r>
      <w:r>
        <w:rPr>
          <w:color w:val="231F20"/>
        </w:rPr>
        <w:t>1999/93/EG of een gekwalificeerde elektronische handtekening in de zin  van  artikel 3.12 van dezelfde verordening, kan tot de vennootschap worden gericht via het e-mailadres van de vennootschap of het in de oproeping tot de algemene vergadering vermelde specifieke e-mailadres. Stem- men via een website zoals bepaald in paragraaf 1 van dit artikel is mogelijk</w:t>
      </w:r>
      <w:r>
        <w:rPr>
          <w:color w:val="231F20"/>
          <w:spacing w:val="16"/>
        </w:rPr>
        <w:t> </w:t>
      </w:r>
      <w:r>
        <w:rPr>
          <w:color w:val="231F20"/>
        </w:rPr>
        <w:t>tot</w:t>
      </w:r>
      <w:r>
        <w:rPr>
          <w:color w:val="231F20"/>
          <w:spacing w:val="16"/>
        </w:rPr>
        <w:t> </w:t>
      </w:r>
      <w:r>
        <w:rPr>
          <w:color w:val="231F20"/>
        </w:rPr>
        <w:t>de</w:t>
      </w:r>
      <w:r>
        <w:rPr>
          <w:color w:val="231F20"/>
          <w:spacing w:val="16"/>
        </w:rPr>
        <w:t> </w:t>
      </w:r>
      <w:r>
        <w:rPr>
          <w:color w:val="231F20"/>
        </w:rPr>
        <w:t>dag</w:t>
      </w:r>
      <w:r>
        <w:rPr>
          <w:color w:val="231F20"/>
          <w:spacing w:val="17"/>
        </w:rPr>
        <w:t> </w:t>
      </w:r>
      <w:r>
        <w:rPr>
          <w:color w:val="231F20"/>
        </w:rPr>
        <w:t>vóór</w:t>
      </w:r>
      <w:r>
        <w:rPr>
          <w:color w:val="231F20"/>
          <w:spacing w:val="16"/>
        </w:rPr>
        <w:t> </w:t>
      </w:r>
      <w:r>
        <w:rPr>
          <w:color w:val="231F20"/>
        </w:rPr>
        <w:t>de</w:t>
      </w:r>
      <w:r>
        <w:rPr>
          <w:color w:val="231F20"/>
          <w:spacing w:val="16"/>
        </w:rPr>
        <w:t> </w:t>
      </w:r>
      <w:r>
        <w:rPr>
          <w:color w:val="231F20"/>
        </w:rPr>
        <w:t>vergadering.</w:t>
      </w:r>
    </w:p>
    <w:p>
      <w:pPr>
        <w:pStyle w:val="BodyText"/>
        <w:spacing w:line="218" w:lineRule="auto" w:before="86"/>
      </w:pPr>
      <w:r>
        <w:rPr>
          <w:color w:val="231F20"/>
        </w:rPr>
        <w:t>Het formulier om te stemmen op afstand dat naar de vennootschap wordt verstuurd voor een bepaalde vergadering, geldt voor de opeenvolgende vergaderingen met dezelfde agenda.</w:t>
      </w:r>
    </w:p>
    <w:p>
      <w:pPr>
        <w:pStyle w:val="BodyText"/>
        <w:spacing w:line="218" w:lineRule="auto" w:before="86"/>
      </w:pPr>
      <w:r>
        <w:rPr>
          <w:color w:val="231F20"/>
          <w:spacing w:val="-5"/>
        </w:rPr>
        <w:t>Voor </w:t>
      </w:r>
      <w:r>
        <w:rPr>
          <w:color w:val="231F20"/>
        </w:rPr>
        <w:t>de berekening van de regels inzake quorum en meerderheid wordt uitsluitend rekening gehouden met de stemmen die op afstand zijn uitgebracht door de aandeelhouders  die  voldoen  aan  de </w:t>
      </w:r>
      <w:r>
        <w:rPr>
          <w:color w:val="231F20"/>
          <w:spacing w:val="16"/>
        </w:rPr>
        <w:t> </w:t>
      </w:r>
      <w:r>
        <w:rPr>
          <w:color w:val="231F20"/>
        </w:rPr>
        <w:t>in artikel 7:134, § 2, bedoelde formaliteiten die moeten worden vervuld om</w:t>
      </w:r>
      <w:r>
        <w:rPr>
          <w:color w:val="231F20"/>
          <w:spacing w:val="15"/>
        </w:rPr>
        <w:t> </w:t>
      </w:r>
      <w:r>
        <w:rPr>
          <w:color w:val="231F20"/>
        </w:rPr>
        <w:t>tot</w:t>
      </w:r>
      <w:r>
        <w:rPr>
          <w:color w:val="231F20"/>
          <w:spacing w:val="16"/>
        </w:rPr>
        <w:t> </w:t>
      </w:r>
      <w:r>
        <w:rPr>
          <w:color w:val="231F20"/>
        </w:rPr>
        <w:t>de</w:t>
      </w:r>
      <w:r>
        <w:rPr>
          <w:color w:val="231F20"/>
          <w:spacing w:val="16"/>
        </w:rPr>
        <w:t> </w:t>
      </w:r>
      <w:r>
        <w:rPr>
          <w:color w:val="231F20"/>
        </w:rPr>
        <w:t>vergadering</w:t>
      </w:r>
      <w:r>
        <w:rPr>
          <w:color w:val="231F20"/>
          <w:spacing w:val="16"/>
        </w:rPr>
        <w:t> </w:t>
      </w:r>
      <w:r>
        <w:rPr>
          <w:color w:val="231F20"/>
        </w:rPr>
        <w:t>te</w:t>
      </w:r>
      <w:r>
        <w:rPr>
          <w:color w:val="231F20"/>
          <w:spacing w:val="16"/>
        </w:rPr>
        <w:t> </w:t>
      </w:r>
      <w:r>
        <w:rPr>
          <w:color w:val="231F20"/>
        </w:rPr>
        <w:t>worden</w:t>
      </w:r>
      <w:r>
        <w:rPr>
          <w:color w:val="231F20"/>
          <w:spacing w:val="16"/>
        </w:rPr>
        <w:t> </w:t>
      </w:r>
      <w:r>
        <w:rPr>
          <w:color w:val="231F20"/>
        </w:rPr>
        <w:t>toegelaten.</w:t>
      </w:r>
    </w:p>
    <w:p>
      <w:pPr>
        <w:pStyle w:val="BodyText"/>
        <w:spacing w:line="218" w:lineRule="auto" w:before="86"/>
      </w:pPr>
      <w:r>
        <w:rPr>
          <w:color w:val="231F20"/>
        </w:rPr>
        <w:t>In een niet-genoteerde vennootschap wordt de stemming op afstand door een aandeelhouder die zijn aandelen heeft overgedragen op de datum van de algemene vergadering, nietig geacht.</w:t>
      </w:r>
    </w:p>
    <w:p>
      <w:pPr>
        <w:pStyle w:val="BodyText"/>
        <w:spacing w:line="218" w:lineRule="auto" w:before="85"/>
      </w:pPr>
      <w:r>
        <w:rPr>
          <w:color w:val="231F20"/>
        </w:rPr>
        <w:t>Een aandeelhouder die, per brief of langs elektronische weg, op afstand heeft gestemd, mag geen andere wijze van deelname aan de vergadering meer kiezen voor het aantal op afstand uitgebrachte stemmen.</w:t>
      </w:r>
    </w:p>
    <w:p>
      <w:pPr>
        <w:pStyle w:val="BodyText"/>
        <w:spacing w:line="218" w:lineRule="auto" w:before="86"/>
      </w:pPr>
      <w:r>
        <w:rPr>
          <w:color w:val="231F20"/>
        </w:rPr>
        <w:t>§ 4. Bij de genoteerde vennootschappen blijven, bij toepassing van artikel 7:130, § 3, eerste lid, de formulieren om te stemmen op afstand, per brief of langs elektronische weg die de vennootschap heeft ontvangen vóór de bekendmaking van een aangevulde agenda, geldig voor de op de agenda opgenomen te behandelen onderwerpen waarop zij betrekking hebben.</w:t>
      </w:r>
    </w:p>
    <w:p>
      <w:pPr>
        <w:pStyle w:val="BodyText"/>
        <w:spacing w:line="218" w:lineRule="auto" w:before="86"/>
      </w:pPr>
      <w:r>
        <w:rPr>
          <w:color w:val="231F20"/>
        </w:rPr>
        <w:t>In afwijking van het eerste lid wordt de op afstand uitgebrachte stem over een op de agenda opgenomen te behandelen onderwerp waarvoor met toepassing van artikel 7:130 een nieuw voorstel tot besluit is ingediend, buiten beschouwing gelaten.</w:t>
      </w:r>
    </w:p>
    <w:p>
      <w:pPr>
        <w:pStyle w:val="BodyText"/>
        <w:spacing w:before="71"/>
        <w:ind w:left="283" w:right="0" w:firstLine="0"/>
        <w:jc w:val="left"/>
      </w:pPr>
      <w:r>
        <w:rPr>
          <w:color w:val="231F20"/>
        </w:rPr>
        <w:t>Afdeling 2. Gewone algemene vergadering.</w:t>
      </w:r>
    </w:p>
    <w:p>
      <w:pPr>
        <w:pStyle w:val="BodyText"/>
        <w:spacing w:line="218" w:lineRule="auto" w:before="82"/>
        <w:ind w:right="125"/>
      </w:pPr>
      <w:r>
        <w:rPr>
          <w:color w:val="231F20"/>
        </w:rPr>
        <w:t>Art. 7:147. Ieder jaar moet ten minste één algemene vergadering worden gehouden in de gemeente, op de dag en het uur bij de statuten bepaald.</w:t>
      </w:r>
    </w:p>
    <w:p>
      <w:pPr>
        <w:pStyle w:val="BodyText"/>
        <w:spacing w:line="218" w:lineRule="auto" w:before="96"/>
        <w:ind w:right="122"/>
      </w:pPr>
      <w:r>
        <w:rPr>
          <w:color w:val="231F20"/>
        </w:rPr>
        <w:t>Art. 7:148. De houders van aandelen, converteerbare obligaties, inschrijvingsrechten en certificaten die met medewerking van de vennootschap   werden   uitgegeven   kunnen   overeenkomstig   arti- kel 7:132 kennis nemen</w:t>
      </w:r>
      <w:r>
        <w:rPr>
          <w:color w:val="231F20"/>
          <w:spacing w:val="17"/>
        </w:rPr>
        <w:t> </w:t>
      </w:r>
      <w:r>
        <w:rPr>
          <w:color w:val="231F20"/>
        </w:rPr>
        <w:t>van:</w:t>
      </w:r>
    </w:p>
    <w:p>
      <w:pPr>
        <w:pStyle w:val="BodyText"/>
        <w:spacing w:before="83"/>
        <w:ind w:left="283" w:right="0" w:firstLine="0"/>
        <w:jc w:val="left"/>
      </w:pPr>
      <w:r>
        <w:rPr>
          <w:color w:val="231F20"/>
        </w:rPr>
        <w:t>1° de jaarrekening;</w:t>
      </w:r>
    </w:p>
    <w:p>
      <w:pPr>
        <w:spacing w:after="0"/>
        <w:jc w:val="left"/>
        <w:sectPr>
          <w:pgSz w:w="11940" w:h="16880"/>
          <w:pgMar w:header="666" w:footer="0" w:top="1140" w:bottom="280" w:left="340" w:right="360"/>
          <w:cols w:num="2" w:equalWidth="0">
            <w:col w:w="5530" w:space="98"/>
            <w:col w:w="5612"/>
          </w:cols>
        </w:sectPr>
      </w:pPr>
    </w:p>
    <w:p>
      <w:pPr>
        <w:pStyle w:val="BodyText"/>
        <w:spacing w:before="105"/>
        <w:ind w:left="283" w:right="0" w:firstLine="0"/>
        <w:jc w:val="left"/>
      </w:pPr>
      <w:r>
        <w:rPr/>
        <w:pict>
          <v:line style="position:absolute;mso-position-horizontal-relative:page;mso-position-vertical-relative:page;z-index:5560" from="298.170502pt,64.473pt" to="298.170502pt,812.819pt" stroked="true" strokeweight=".533pt" strokecolor="#231f20">
            <v:stroke dashstyle="solid"/>
            <w10:wrap type="none"/>
          </v:line>
        </w:pict>
      </w:r>
      <w:bookmarkStart w:name="_bookmark189" w:id="194"/>
      <w:bookmarkEnd w:id="194"/>
      <w:r>
        <w:rPr/>
      </w:r>
      <w:r>
        <w:rPr>
          <w:color w:val="231F20"/>
        </w:rPr>
        <w:t>2° le cas échéant, les comptes consolidés;</w:t>
      </w:r>
    </w:p>
    <w:p>
      <w:pPr>
        <w:pStyle w:val="BodyText"/>
        <w:spacing w:line="218" w:lineRule="auto" w:before="93"/>
        <w:ind w:right="41"/>
      </w:pPr>
      <w:r>
        <w:rPr>
          <w:color w:val="231F20"/>
        </w:rPr>
        <w:t>3° la liste des actionnaires qui n’ont pas libéré leurs actions, avec l’indication du nombre d’actions non libérées et celle de leur domicile;</w:t>
      </w:r>
    </w:p>
    <w:p>
      <w:pPr>
        <w:pStyle w:val="BodyText"/>
        <w:spacing w:before="10"/>
        <w:ind w:left="0" w:right="0" w:firstLine="0"/>
        <w:jc w:val="left"/>
        <w:rPr>
          <w:sz w:val="23"/>
        </w:rPr>
      </w:pPr>
    </w:p>
    <w:p>
      <w:pPr>
        <w:pStyle w:val="BodyText"/>
        <w:spacing w:line="218" w:lineRule="auto" w:before="1"/>
        <w:ind w:right="41"/>
      </w:pPr>
      <w:r>
        <w:rPr>
          <w:color w:val="231F20"/>
        </w:rPr>
        <w:t>4° le cas échéant, le rapport de gestion, le rapport de gestion sur les comptes consolidés, le rapport des commissaires et les autres rapports prescrits par le présent code.</w:t>
      </w:r>
    </w:p>
    <w:p>
      <w:pPr>
        <w:pStyle w:val="BodyText"/>
        <w:spacing w:line="218" w:lineRule="auto" w:before="96"/>
        <w:ind w:right="41"/>
      </w:pPr>
      <w:r>
        <w:rPr>
          <w:color w:val="231F20"/>
        </w:rPr>
        <w:t>Une société cotée met ces pièces à disposition à son siège dès la publication de la convocation à l’assemblée.</w:t>
      </w:r>
    </w:p>
    <w:p>
      <w:pPr>
        <w:pStyle w:val="BodyText"/>
        <w:spacing w:line="218" w:lineRule="auto" w:before="96"/>
        <w:ind w:right="42"/>
      </w:pPr>
      <w:r>
        <w:rPr>
          <w:color w:val="231F20"/>
        </w:rPr>
        <w:t>Ces informations, ainsi que les informations qui sont déposées auprès de la Banque nationale  de  Belgique  conformément  à  l’arti-  cle</w:t>
      </w:r>
      <w:r>
        <w:rPr>
          <w:color w:val="231F20"/>
          <w:spacing w:val="12"/>
        </w:rPr>
        <w:t> </w:t>
      </w:r>
      <w:r>
        <w:rPr>
          <w:color w:val="231F20"/>
        </w:rPr>
        <w:t>3:12,</w:t>
      </w:r>
      <w:r>
        <w:rPr>
          <w:color w:val="231F20"/>
          <w:spacing w:val="13"/>
        </w:rPr>
        <w:t> </w:t>
      </w:r>
      <w:r>
        <w:rPr>
          <w:color w:val="231F20"/>
        </w:rPr>
        <w:t>sont</w:t>
      </w:r>
      <w:r>
        <w:rPr>
          <w:color w:val="231F20"/>
          <w:spacing w:val="12"/>
        </w:rPr>
        <w:t> </w:t>
      </w:r>
      <w:r>
        <w:rPr>
          <w:color w:val="231F20"/>
        </w:rPr>
        <w:t>mises</w:t>
      </w:r>
      <w:r>
        <w:rPr>
          <w:color w:val="231F20"/>
          <w:spacing w:val="13"/>
        </w:rPr>
        <w:t> </w:t>
      </w:r>
      <w:r>
        <w:rPr>
          <w:color w:val="231F20"/>
        </w:rPr>
        <w:t>à</w:t>
      </w:r>
      <w:r>
        <w:rPr>
          <w:color w:val="231F20"/>
          <w:spacing w:val="13"/>
        </w:rPr>
        <w:t> </w:t>
      </w:r>
      <w:r>
        <w:rPr>
          <w:color w:val="231F20"/>
        </w:rPr>
        <w:t>disposition</w:t>
      </w:r>
      <w:r>
        <w:rPr>
          <w:color w:val="231F20"/>
          <w:spacing w:val="12"/>
        </w:rPr>
        <w:t> </w:t>
      </w:r>
      <w:r>
        <w:rPr>
          <w:color w:val="231F20"/>
        </w:rPr>
        <w:t>conformément</w:t>
      </w:r>
      <w:r>
        <w:rPr>
          <w:color w:val="231F20"/>
          <w:spacing w:val="13"/>
        </w:rPr>
        <w:t> </w:t>
      </w:r>
      <w:r>
        <w:rPr>
          <w:color w:val="231F20"/>
        </w:rPr>
        <w:t>à</w:t>
      </w:r>
      <w:r>
        <w:rPr>
          <w:color w:val="231F20"/>
          <w:spacing w:val="12"/>
        </w:rPr>
        <w:t> </w:t>
      </w:r>
      <w:r>
        <w:rPr>
          <w:color w:val="231F20"/>
        </w:rPr>
        <w:t>l’article</w:t>
      </w:r>
      <w:r>
        <w:rPr>
          <w:color w:val="231F20"/>
          <w:spacing w:val="13"/>
        </w:rPr>
        <w:t> </w:t>
      </w:r>
      <w:r>
        <w:rPr>
          <w:color w:val="231F20"/>
        </w:rPr>
        <w:t>7:132.</w:t>
      </w:r>
    </w:p>
    <w:p>
      <w:pPr>
        <w:pStyle w:val="BodyText"/>
        <w:spacing w:line="218" w:lineRule="auto" w:before="96"/>
        <w:ind w:right="41"/>
      </w:pPr>
      <w:r>
        <w:rPr>
          <w:color w:val="231F20"/>
        </w:rPr>
        <w:t>Art. 7:149. L’assemblée générale entend, le cas échéant, le rapport de gestion, le rapport de gestion sur les comptes consolidés, le rapport des commissaires et les autres rapports prescrits par le code et discute les comptes annuels.</w:t>
      </w:r>
    </w:p>
    <w:p>
      <w:pPr>
        <w:pStyle w:val="BodyText"/>
        <w:spacing w:line="218" w:lineRule="auto" w:before="96"/>
        <w:ind w:right="41"/>
      </w:pPr>
      <w:r>
        <w:rPr>
          <w:color w:val="231F20"/>
        </w:rPr>
        <w:t>Après l’approbation des comptes annuels, l’assemblée générale se prononce par un vote séparé sur la décharge des administrateurs ou des membres du conseil de surveillance et des commissaires. Cette décharge n’est valable que lorsque les comptes annuels ne contiennent pas d’omissions ou de mentions erronées qui sont de nature à donner une image de la société qui ne correspond pas à la réalité, et, pour les violations des statuts ou du présent code, lorsque les administrateurs ou les membres du conseil de surveillance ont expressément mentionné ces</w:t>
      </w:r>
      <w:r>
        <w:rPr>
          <w:color w:val="231F20"/>
          <w:spacing w:val="16"/>
        </w:rPr>
        <w:t> </w:t>
      </w:r>
      <w:r>
        <w:rPr>
          <w:color w:val="231F20"/>
        </w:rPr>
        <w:t>violations</w:t>
      </w:r>
      <w:r>
        <w:rPr>
          <w:color w:val="231F20"/>
          <w:spacing w:val="16"/>
        </w:rPr>
        <w:t> </w:t>
      </w:r>
      <w:r>
        <w:rPr>
          <w:color w:val="231F20"/>
        </w:rPr>
        <w:t>dans</w:t>
      </w:r>
      <w:r>
        <w:rPr>
          <w:color w:val="231F20"/>
          <w:spacing w:val="16"/>
        </w:rPr>
        <w:t> </w:t>
      </w:r>
      <w:r>
        <w:rPr>
          <w:color w:val="231F20"/>
        </w:rPr>
        <w:t>l’ordre</w:t>
      </w:r>
      <w:r>
        <w:rPr>
          <w:color w:val="231F20"/>
          <w:spacing w:val="17"/>
        </w:rPr>
        <w:t> </w:t>
      </w:r>
      <w:r>
        <w:rPr>
          <w:color w:val="231F20"/>
        </w:rPr>
        <w:t>du</w:t>
      </w:r>
      <w:r>
        <w:rPr>
          <w:color w:val="231F20"/>
          <w:spacing w:val="16"/>
        </w:rPr>
        <w:t> </w:t>
      </w:r>
      <w:r>
        <w:rPr>
          <w:color w:val="231F20"/>
        </w:rPr>
        <w:t>jour</w:t>
      </w:r>
      <w:r>
        <w:rPr>
          <w:color w:val="231F20"/>
          <w:spacing w:val="16"/>
        </w:rPr>
        <w:t> </w:t>
      </w:r>
      <w:r>
        <w:rPr>
          <w:color w:val="231F20"/>
        </w:rPr>
        <w:t>de</w:t>
      </w:r>
      <w:r>
        <w:rPr>
          <w:color w:val="231F20"/>
          <w:spacing w:val="17"/>
        </w:rPr>
        <w:t> </w:t>
      </w:r>
      <w:r>
        <w:rPr>
          <w:color w:val="231F20"/>
        </w:rPr>
        <w:t>l’assemblée</w:t>
      </w:r>
      <w:r>
        <w:rPr>
          <w:color w:val="231F20"/>
          <w:spacing w:val="16"/>
        </w:rPr>
        <w:t> </w:t>
      </w:r>
      <w:r>
        <w:rPr>
          <w:color w:val="231F20"/>
        </w:rPr>
        <w:t>générale.</w:t>
      </w:r>
    </w:p>
    <w:p>
      <w:pPr>
        <w:pStyle w:val="BodyText"/>
        <w:ind w:left="0" w:right="0" w:firstLine="0"/>
        <w:jc w:val="left"/>
        <w:rPr>
          <w:sz w:val="24"/>
        </w:rPr>
      </w:pPr>
    </w:p>
    <w:p>
      <w:pPr>
        <w:pStyle w:val="BodyText"/>
        <w:spacing w:line="218" w:lineRule="auto"/>
        <w:ind w:right="41"/>
      </w:pPr>
      <w:r>
        <w:rPr>
          <w:color w:val="231F20"/>
        </w:rPr>
        <w:t>L’assemblée générale de la société cotée se prononce également sur le rapport de rémunération par vote séparé.</w:t>
      </w:r>
    </w:p>
    <w:p>
      <w:pPr>
        <w:pStyle w:val="BodyText"/>
        <w:spacing w:line="218" w:lineRule="auto" w:before="96"/>
        <w:ind w:right="41"/>
      </w:pPr>
      <w:r>
        <w:rPr>
          <w:color w:val="231F20"/>
        </w:rPr>
        <w:t>Art. 7:150. L’organe d’administration a le droit de proroger, séance tenante, la décision relative à l’approbation des comptes annuels à trois semaines. Dans une société cotée, ce délai est porté à cinq semaines. Cette prorogation n’annule pas les autres décisions prises, sauf si l’assemblée générale en décide autrement. La seconde assemblée a le droit d’arrêter définitivement les comptes annuels.</w:t>
      </w:r>
    </w:p>
    <w:p>
      <w:pPr>
        <w:pStyle w:val="BodyText"/>
        <w:spacing w:before="9"/>
        <w:ind w:left="0" w:right="0" w:firstLine="0"/>
        <w:jc w:val="left"/>
        <w:rPr>
          <w:sz w:val="22"/>
        </w:rPr>
      </w:pPr>
    </w:p>
    <w:p>
      <w:pPr>
        <w:pStyle w:val="BodyText"/>
        <w:ind w:left="283" w:right="0" w:firstLine="0"/>
        <w:jc w:val="left"/>
      </w:pPr>
      <w:r>
        <w:rPr>
          <w:color w:val="231F20"/>
        </w:rPr>
        <w:t>Section 3. Assemblée générale spéciale.</w:t>
      </w:r>
    </w:p>
    <w:p>
      <w:pPr>
        <w:pStyle w:val="BodyText"/>
        <w:spacing w:line="218" w:lineRule="auto" w:before="103"/>
        <w:ind w:right="41"/>
      </w:pPr>
      <w:r>
        <w:rPr>
          <w:color w:val="231F20"/>
        </w:rPr>
        <w:t>Art. 7:151. Dans les sociétés cotées, seule l’assemblée générale peut conférer à des tiers des droits affectant substantiellement le patrimoine de la société ou donnant naissance à une dette ou à un engagement substantiel à sa charge, lorsque l’exercice de ces droits dépend du lancement d’une </w:t>
      </w:r>
      <w:r>
        <w:rPr>
          <w:color w:val="231F20"/>
          <w:spacing w:val="-4"/>
        </w:rPr>
        <w:t>offre </w:t>
      </w:r>
      <w:r>
        <w:rPr>
          <w:color w:val="231F20"/>
        </w:rPr>
        <w:t>publique d’acquisition sur les actions de la  société</w:t>
      </w:r>
      <w:r>
        <w:rPr>
          <w:color w:val="231F20"/>
          <w:spacing w:val="15"/>
        </w:rPr>
        <w:t> </w:t>
      </w:r>
      <w:r>
        <w:rPr>
          <w:color w:val="231F20"/>
        </w:rPr>
        <w:t>ou</w:t>
      </w:r>
      <w:r>
        <w:rPr>
          <w:color w:val="231F20"/>
          <w:spacing w:val="16"/>
        </w:rPr>
        <w:t> </w:t>
      </w:r>
      <w:r>
        <w:rPr>
          <w:color w:val="231F20"/>
        </w:rPr>
        <w:t>d’un</w:t>
      </w:r>
      <w:r>
        <w:rPr>
          <w:color w:val="231F20"/>
          <w:spacing w:val="15"/>
        </w:rPr>
        <w:t> </w:t>
      </w:r>
      <w:r>
        <w:rPr>
          <w:color w:val="231F20"/>
        </w:rPr>
        <w:t>changement</w:t>
      </w:r>
      <w:r>
        <w:rPr>
          <w:color w:val="231F20"/>
          <w:spacing w:val="16"/>
        </w:rPr>
        <w:t> </w:t>
      </w:r>
      <w:r>
        <w:rPr>
          <w:color w:val="231F20"/>
        </w:rPr>
        <w:t>du</w:t>
      </w:r>
      <w:r>
        <w:rPr>
          <w:color w:val="231F20"/>
          <w:spacing w:val="16"/>
        </w:rPr>
        <w:t> </w:t>
      </w:r>
      <w:r>
        <w:rPr>
          <w:color w:val="231F20"/>
        </w:rPr>
        <w:t>contrôle</w:t>
      </w:r>
      <w:r>
        <w:rPr>
          <w:color w:val="231F20"/>
          <w:spacing w:val="15"/>
        </w:rPr>
        <w:t> </w:t>
      </w:r>
      <w:r>
        <w:rPr>
          <w:color w:val="231F20"/>
        </w:rPr>
        <w:t>exercé</w:t>
      </w:r>
      <w:r>
        <w:rPr>
          <w:color w:val="231F20"/>
          <w:spacing w:val="16"/>
        </w:rPr>
        <w:t> </w:t>
      </w:r>
      <w:r>
        <w:rPr>
          <w:color w:val="231F20"/>
        </w:rPr>
        <w:t>sur</w:t>
      </w:r>
      <w:r>
        <w:rPr>
          <w:color w:val="231F20"/>
          <w:spacing w:val="15"/>
        </w:rPr>
        <w:t> </w:t>
      </w:r>
      <w:r>
        <w:rPr>
          <w:color w:val="231F20"/>
        </w:rPr>
        <w:t>elle.</w:t>
      </w:r>
    </w:p>
    <w:p>
      <w:pPr>
        <w:pStyle w:val="BodyText"/>
        <w:spacing w:before="10"/>
        <w:ind w:left="0" w:right="0" w:firstLine="0"/>
        <w:jc w:val="left"/>
        <w:rPr>
          <w:sz w:val="24"/>
        </w:rPr>
      </w:pPr>
    </w:p>
    <w:p>
      <w:pPr>
        <w:pStyle w:val="BodyText"/>
        <w:spacing w:line="218" w:lineRule="auto"/>
        <w:ind w:right="38"/>
      </w:pPr>
      <w:r>
        <w:rPr>
          <w:color w:val="231F20"/>
        </w:rPr>
        <w:t>À peine de nullité, la décision est déposée préalablement à la </w:t>
      </w:r>
      <w:r>
        <w:rPr>
          <w:color w:val="231F20"/>
          <w:spacing w:val="3"/>
        </w:rPr>
        <w:t>réception</w:t>
      </w:r>
      <w:r>
        <w:rPr>
          <w:color w:val="231F20"/>
          <w:spacing w:val="47"/>
        </w:rPr>
        <w:t> </w:t>
      </w:r>
      <w:r>
        <w:rPr>
          <w:color w:val="231F20"/>
          <w:spacing w:val="2"/>
        </w:rPr>
        <w:t>par  </w:t>
      </w:r>
      <w:r>
        <w:rPr>
          <w:color w:val="231F20"/>
        </w:rPr>
        <w:t>la  </w:t>
      </w:r>
      <w:r>
        <w:rPr>
          <w:color w:val="231F20"/>
          <w:spacing w:val="3"/>
        </w:rPr>
        <w:t>société  </w:t>
      </w:r>
      <w:r>
        <w:rPr>
          <w:color w:val="231F20"/>
        </w:rPr>
        <w:t>de  la   </w:t>
      </w:r>
      <w:r>
        <w:rPr>
          <w:color w:val="231F20"/>
          <w:spacing w:val="3"/>
        </w:rPr>
        <w:t>communication   visée   </w:t>
      </w:r>
      <w:r>
        <w:rPr>
          <w:color w:val="231F20"/>
        </w:rPr>
        <w:t>à   </w:t>
      </w:r>
      <w:r>
        <w:rPr>
          <w:color w:val="231F20"/>
          <w:spacing w:val="4"/>
        </w:rPr>
        <w:t>l’arti-   </w:t>
      </w:r>
      <w:r>
        <w:rPr>
          <w:color w:val="231F20"/>
        </w:rPr>
        <w:t>cle 7:152 conformément à l’article 2:8, et est publiée conformément à l’article 2:14,</w:t>
      </w:r>
      <w:r>
        <w:rPr>
          <w:color w:val="231F20"/>
          <w:spacing w:val="-12"/>
        </w:rPr>
        <w:t> </w:t>
      </w:r>
      <w:r>
        <w:rPr>
          <w:color w:val="231F20"/>
        </w:rPr>
        <w:t>4°.</w:t>
      </w:r>
    </w:p>
    <w:p>
      <w:pPr>
        <w:pStyle w:val="BodyText"/>
        <w:spacing w:line="218" w:lineRule="auto" w:before="107"/>
        <w:ind w:right="41"/>
      </w:pPr>
      <w:r>
        <w:rPr>
          <w:color w:val="231F20"/>
        </w:rPr>
        <w:t>Art. 7:152. Dès la réception par la société de la communication faite par l’Autorité des services et marchés financiers selon laquelle elle a été saisie d’un avis </w:t>
      </w:r>
      <w:r>
        <w:rPr>
          <w:color w:val="231F20"/>
          <w:spacing w:val="-3"/>
        </w:rPr>
        <w:t>d’offre </w:t>
      </w:r>
      <w:r>
        <w:rPr>
          <w:color w:val="231F20"/>
        </w:rPr>
        <w:t>publique d’acquisition la visant et jusqu’à la clôture de l’offre, seule l’assemblée générale peut prendre des décisions ou procéder à des opérations qui auraient pour </w:t>
      </w:r>
      <w:r>
        <w:rPr>
          <w:color w:val="231F20"/>
          <w:spacing w:val="-3"/>
        </w:rPr>
        <w:t>effet </w:t>
      </w:r>
      <w:r>
        <w:rPr>
          <w:color w:val="231F20"/>
        </w:rPr>
        <w:t>de modifier de manière substantielle la composition de l’actif ou du passif de la</w:t>
      </w:r>
      <w:r>
        <w:rPr>
          <w:color w:val="231F20"/>
          <w:spacing w:val="-14"/>
        </w:rPr>
        <w:t> </w:t>
      </w:r>
      <w:r>
        <w:rPr>
          <w:color w:val="231F20"/>
        </w:rPr>
        <w:t>société, ou assumer des engagements sans contrepartie effective. Ces décisions ou opérations ne peuvent être prises ou exécutées sous condition de la réussite</w:t>
      </w:r>
      <w:r>
        <w:rPr>
          <w:color w:val="231F20"/>
          <w:spacing w:val="17"/>
        </w:rPr>
        <w:t> </w:t>
      </w:r>
      <w:r>
        <w:rPr>
          <w:color w:val="231F20"/>
        </w:rPr>
        <w:t>ou</w:t>
      </w:r>
      <w:r>
        <w:rPr>
          <w:color w:val="231F20"/>
          <w:spacing w:val="17"/>
        </w:rPr>
        <w:t> </w:t>
      </w:r>
      <w:r>
        <w:rPr>
          <w:color w:val="231F20"/>
        </w:rPr>
        <w:t>de</w:t>
      </w:r>
      <w:r>
        <w:rPr>
          <w:color w:val="231F20"/>
          <w:spacing w:val="17"/>
        </w:rPr>
        <w:t> </w:t>
      </w:r>
      <w:r>
        <w:rPr>
          <w:color w:val="231F20"/>
        </w:rPr>
        <w:t>l’échec</w:t>
      </w:r>
      <w:r>
        <w:rPr>
          <w:color w:val="231F20"/>
          <w:spacing w:val="17"/>
        </w:rPr>
        <w:t> </w:t>
      </w:r>
      <w:r>
        <w:rPr>
          <w:color w:val="231F20"/>
        </w:rPr>
        <w:t>de</w:t>
      </w:r>
      <w:r>
        <w:rPr>
          <w:color w:val="231F20"/>
          <w:spacing w:val="17"/>
        </w:rPr>
        <w:t> </w:t>
      </w:r>
      <w:r>
        <w:rPr>
          <w:color w:val="231F20"/>
          <w:spacing w:val="-3"/>
        </w:rPr>
        <w:t>l’offre</w:t>
      </w:r>
      <w:r>
        <w:rPr>
          <w:color w:val="231F20"/>
          <w:spacing w:val="18"/>
        </w:rPr>
        <w:t> </w:t>
      </w:r>
      <w:r>
        <w:rPr>
          <w:color w:val="231F20"/>
        </w:rPr>
        <w:t>publique</w:t>
      </w:r>
      <w:r>
        <w:rPr>
          <w:color w:val="231F20"/>
          <w:spacing w:val="17"/>
        </w:rPr>
        <w:t> </w:t>
      </w:r>
      <w:r>
        <w:rPr>
          <w:color w:val="231F20"/>
        </w:rPr>
        <w:t>d’acquisition.</w:t>
      </w:r>
    </w:p>
    <w:p>
      <w:pPr>
        <w:pStyle w:val="BodyText"/>
        <w:spacing w:before="2"/>
        <w:ind w:left="0" w:right="0" w:firstLine="0"/>
        <w:jc w:val="left"/>
        <w:rPr>
          <w:sz w:val="25"/>
        </w:rPr>
      </w:pPr>
    </w:p>
    <w:p>
      <w:pPr>
        <w:pStyle w:val="BodyText"/>
        <w:spacing w:line="213" w:lineRule="auto" w:before="1"/>
        <w:ind w:right="41"/>
      </w:pPr>
      <w:r>
        <w:rPr>
          <w:color w:val="231F20"/>
        </w:rPr>
        <w:t>L’organe d’administration a toutefois la faculté de mener à terme les opérations suffisamment engagées avant la réception de la communi- cation de l’Autorité des services et marchés financiers, ainsi que d’acquérir des actions, des parts bénéficiaires et des certificats s’y rapportant conformément à l’article 7:215, § 1</w:t>
      </w:r>
      <w:r>
        <w:rPr>
          <w:color w:val="231F20"/>
          <w:position w:val="7"/>
          <w:sz w:val="11"/>
        </w:rPr>
        <w:t>er</w:t>
      </w:r>
      <w:r>
        <w:rPr>
          <w:color w:val="231F20"/>
        </w:rPr>
        <w:t>, alinéa 4.</w:t>
      </w:r>
    </w:p>
    <w:p>
      <w:pPr>
        <w:pStyle w:val="BodyText"/>
        <w:spacing w:line="218" w:lineRule="auto" w:before="108"/>
        <w:ind w:right="41"/>
      </w:pPr>
      <w:r>
        <w:rPr>
          <w:color w:val="231F20"/>
        </w:rPr>
        <w:t>Les décisions visées par cet article sont immédiatement portées à la connaissance de l’offrant et de l’Autorité des services et marchés financiers par l’organe d’administration. Elles sont également rendues publiques.</w:t>
      </w:r>
    </w:p>
    <w:p>
      <w:pPr>
        <w:pStyle w:val="BodyText"/>
        <w:spacing w:before="93"/>
        <w:ind w:left="283" w:right="0" w:firstLine="0"/>
        <w:jc w:val="left"/>
      </w:pPr>
      <w:r>
        <w:rPr>
          <w:color w:val="231F20"/>
        </w:rPr>
        <w:t>Section 4. Assemblée générale extraordinaire.</w:t>
      </w:r>
    </w:p>
    <w:p>
      <w:pPr>
        <w:pStyle w:val="BodyText"/>
        <w:spacing w:before="74"/>
        <w:ind w:left="283" w:right="0" w:firstLine="0"/>
        <w:jc w:val="left"/>
      </w:pPr>
      <w:r>
        <w:rPr>
          <w:color w:val="231F20"/>
        </w:rPr>
        <w:t>Sous-section 1</w:t>
      </w:r>
      <w:r>
        <w:rPr>
          <w:color w:val="231F20"/>
          <w:position w:val="7"/>
          <w:sz w:val="11"/>
        </w:rPr>
        <w:t>re</w:t>
      </w:r>
      <w:r>
        <w:rPr>
          <w:color w:val="231F20"/>
        </w:rPr>
        <w:t>. Modification des statuts: généralités.</w:t>
      </w:r>
    </w:p>
    <w:p>
      <w:pPr>
        <w:pStyle w:val="BodyText"/>
        <w:spacing w:line="218" w:lineRule="auto" w:before="103"/>
        <w:ind w:right="42"/>
      </w:pPr>
      <w:r>
        <w:rPr>
          <w:color w:val="231F20"/>
        </w:rPr>
        <w:t>Art. 7:153. L’assemblée générale a le droit d’apporter des modifica- tions aux statuts.</w:t>
      </w:r>
    </w:p>
    <w:p>
      <w:pPr>
        <w:pStyle w:val="BodyText"/>
        <w:spacing w:line="218" w:lineRule="auto" w:before="107"/>
        <w:ind w:right="41"/>
      </w:pPr>
      <w:r>
        <w:rPr>
          <w:color w:val="231F20"/>
        </w:rPr>
        <w:t>L’assemblée générale ne peut valablement délibérer et statuer sur les modifications aux statuts que lorsque les modifications proposées ont été indiquées de manière précise dans la convocation, et lorsque les actionnaires</w:t>
      </w:r>
      <w:r>
        <w:rPr>
          <w:color w:val="231F20"/>
          <w:spacing w:val="-6"/>
        </w:rPr>
        <w:t> </w:t>
      </w:r>
      <w:r>
        <w:rPr>
          <w:color w:val="231F20"/>
        </w:rPr>
        <w:t>présents</w:t>
      </w:r>
      <w:r>
        <w:rPr>
          <w:color w:val="231F20"/>
          <w:spacing w:val="-5"/>
        </w:rPr>
        <w:t> </w:t>
      </w:r>
      <w:r>
        <w:rPr>
          <w:color w:val="231F20"/>
        </w:rPr>
        <w:t>ou</w:t>
      </w:r>
      <w:r>
        <w:rPr>
          <w:color w:val="231F20"/>
          <w:spacing w:val="-5"/>
        </w:rPr>
        <w:t> </w:t>
      </w:r>
      <w:r>
        <w:rPr>
          <w:color w:val="231F20"/>
        </w:rPr>
        <w:t>représentés</w:t>
      </w:r>
      <w:r>
        <w:rPr>
          <w:color w:val="231F20"/>
          <w:spacing w:val="-5"/>
        </w:rPr>
        <w:t> </w:t>
      </w:r>
      <w:r>
        <w:rPr>
          <w:color w:val="231F20"/>
        </w:rPr>
        <w:t>représentent</w:t>
      </w:r>
      <w:r>
        <w:rPr>
          <w:color w:val="231F20"/>
          <w:spacing w:val="-5"/>
        </w:rPr>
        <w:t> </w:t>
      </w:r>
      <w:r>
        <w:rPr>
          <w:color w:val="231F20"/>
        </w:rPr>
        <w:t>la</w:t>
      </w:r>
      <w:r>
        <w:rPr>
          <w:color w:val="231F20"/>
          <w:spacing w:val="-5"/>
        </w:rPr>
        <w:t> </w:t>
      </w:r>
      <w:r>
        <w:rPr>
          <w:color w:val="231F20"/>
        </w:rPr>
        <w:t>moitié</w:t>
      </w:r>
      <w:r>
        <w:rPr>
          <w:color w:val="231F20"/>
          <w:spacing w:val="-5"/>
        </w:rPr>
        <w:t> </w:t>
      </w:r>
      <w:r>
        <w:rPr>
          <w:color w:val="231F20"/>
        </w:rPr>
        <w:t>au</w:t>
      </w:r>
      <w:r>
        <w:rPr>
          <w:color w:val="231F20"/>
          <w:spacing w:val="-5"/>
        </w:rPr>
        <w:t> </w:t>
      </w:r>
      <w:r>
        <w:rPr>
          <w:color w:val="231F20"/>
        </w:rPr>
        <w:t>moins</w:t>
      </w:r>
      <w:r>
        <w:rPr>
          <w:color w:val="231F20"/>
          <w:spacing w:val="-6"/>
        </w:rPr>
        <w:t> </w:t>
      </w:r>
      <w:r>
        <w:rPr>
          <w:color w:val="231F20"/>
        </w:rPr>
        <w:t>du capital.</w:t>
      </w:r>
    </w:p>
    <w:p>
      <w:pPr>
        <w:pStyle w:val="BodyText"/>
        <w:spacing w:before="105"/>
        <w:ind w:left="283" w:right="0" w:firstLine="0"/>
        <w:jc w:val="left"/>
      </w:pPr>
      <w:r>
        <w:rPr/>
        <w:br w:type="column"/>
      </w:r>
      <w:r>
        <w:rPr>
          <w:color w:val="231F20"/>
        </w:rPr>
        <w:t>2° in voorkomend geval, de geconsolideerde jaarrekening;</w:t>
      </w:r>
    </w:p>
    <w:p>
      <w:pPr>
        <w:pStyle w:val="BodyText"/>
        <w:spacing w:line="218" w:lineRule="auto" w:before="93"/>
      </w:pPr>
      <w:r>
        <w:rPr>
          <w:color w:val="231F20"/>
        </w:rPr>
        <w:t>3° de lijst van de aandeelhouders die hun aandelen niet hebben volgestort, met vermelding van het aantal niet volgestorte aandelen en van hun woonplaats;</w:t>
      </w:r>
    </w:p>
    <w:p>
      <w:pPr>
        <w:pStyle w:val="BodyText"/>
        <w:spacing w:line="218" w:lineRule="auto" w:before="96"/>
      </w:pPr>
      <w:r>
        <w:rPr>
          <w:color w:val="231F20"/>
        </w:rPr>
        <w:t>4° in voorkomend geval, het jaarverslag, het jaarverslag over de geconsolideerde jaarrekening, het verslag van de commissaris en de andere verslagen die dit wetboek voorschrijft.</w:t>
      </w:r>
    </w:p>
    <w:p>
      <w:pPr>
        <w:pStyle w:val="BodyText"/>
        <w:spacing w:line="218" w:lineRule="auto" w:before="96"/>
      </w:pPr>
      <w:r>
        <w:rPr>
          <w:color w:val="231F20"/>
        </w:rPr>
        <w:t>Een genoteerde vennootschap stelt deze stukken op haar zetel ter beschikking zodra de oproeping tot de vergadering is bekendgemaakt.</w:t>
      </w:r>
    </w:p>
    <w:p>
      <w:pPr>
        <w:pStyle w:val="BodyText"/>
        <w:spacing w:line="218" w:lineRule="auto" w:before="97"/>
      </w:pPr>
      <w:r>
        <w:rPr>
          <w:color w:val="231F20"/>
        </w:rPr>
        <w:t>Deze informatie, evenals de  informatie  die  overeenkomstig  arti-  kel 3:12 wordt neergelegd bij de Nationale Bank van België, worden ter beschikking gesteld overeenkomstig artikel</w:t>
      </w:r>
      <w:r>
        <w:rPr>
          <w:color w:val="231F20"/>
          <w:spacing w:val="20"/>
        </w:rPr>
        <w:t> </w:t>
      </w:r>
      <w:r>
        <w:rPr>
          <w:color w:val="231F20"/>
        </w:rPr>
        <w:t>7:132.</w:t>
      </w:r>
    </w:p>
    <w:p>
      <w:pPr>
        <w:pStyle w:val="BodyText"/>
        <w:spacing w:line="218" w:lineRule="auto" w:before="96"/>
      </w:pPr>
      <w:r>
        <w:rPr>
          <w:color w:val="231F20"/>
        </w:rPr>
        <w:t>Art. 7:149. De algemene vergadering hoort, in voorkomend geval, het jaarverslag, het jaarverslag over de geconsolideerde jaarrekening, het verslag van de commissaris en de andere verslagen die het wetboek voorschrijft en behandelt de jaarrekening.</w:t>
      </w:r>
    </w:p>
    <w:p>
      <w:pPr>
        <w:pStyle w:val="BodyText"/>
        <w:spacing w:line="218" w:lineRule="auto" w:before="96"/>
      </w:pPr>
      <w:r>
        <w:rPr>
          <w:color w:val="231F20"/>
        </w:rPr>
        <w:t>Na de goedkeuring van de jaarrekening beslist de algemene verga- dering bij afzonderlijke stemming over de aan de bestuurders of de leden van de raad van toezicht en commissarissen te verlenen kwijting. Deze kwijting is alleen geldig wanneer de jaarrekening geen weglatin- gen of onjuiste vermeldingen bevat die tot gevolg hebben dat de toestand van de vennootschap wordt weergegeven op een  wijze  die niet met de werkelijkheid overeenstemt, en, voor schendingen van de statuten of dit wetboek, wanneer de bestuurders of de leden van de raad van toezicht deze schendingen uitdrukkelijk hebben opgenomen in</w:t>
      </w:r>
      <w:r>
        <w:rPr>
          <w:color w:val="231F20"/>
          <w:spacing w:val="16"/>
        </w:rPr>
        <w:t> </w:t>
      </w:r>
      <w:r>
        <w:rPr>
          <w:color w:val="231F20"/>
        </w:rPr>
        <w:t>de</w:t>
      </w:r>
      <w:r>
        <w:rPr>
          <w:color w:val="231F20"/>
          <w:spacing w:val="16"/>
        </w:rPr>
        <w:t> </w:t>
      </w:r>
      <w:r>
        <w:rPr>
          <w:color w:val="231F20"/>
        </w:rPr>
        <w:t>agenda</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algemene</w:t>
      </w:r>
      <w:r>
        <w:rPr>
          <w:color w:val="231F20"/>
          <w:spacing w:val="16"/>
        </w:rPr>
        <w:t> </w:t>
      </w:r>
      <w:r>
        <w:rPr>
          <w:color w:val="231F20"/>
        </w:rPr>
        <w:t>vergadering.</w:t>
      </w:r>
    </w:p>
    <w:p>
      <w:pPr>
        <w:pStyle w:val="BodyText"/>
        <w:spacing w:line="218" w:lineRule="auto" w:before="97"/>
      </w:pPr>
      <w:r>
        <w:rPr>
          <w:color w:val="231F20"/>
        </w:rPr>
        <w:t>De algemene vergadering van de genoteerde vennootschap beslist eveneens, bij afzonderlijke stemming, over het remuneratieverslag.</w:t>
      </w:r>
    </w:p>
    <w:p>
      <w:pPr>
        <w:pStyle w:val="BodyText"/>
        <w:spacing w:line="218" w:lineRule="auto" w:before="96"/>
      </w:pPr>
      <w:r>
        <w:rPr>
          <w:color w:val="231F20"/>
        </w:rPr>
        <w:t>Art. 7:150. Het bestuursorgaan heeft het recht, tijdens de zitting, de beslissing met betrekking tot de goedkeuring van de jaarrekening drie weken uit te stellen. Bij een genoteerde vennootschap bedraagt deze termijn vijf weken. Deze verdaging doet geen afbreuk aan de andere genomen besluiten, tenzij andersluidende beslissing van de algemene vergadering hieromtrent. De volgende vergadering heeft het recht de jaarrekening definitief vast te stellen.</w:t>
      </w:r>
    </w:p>
    <w:p>
      <w:pPr>
        <w:pStyle w:val="BodyText"/>
        <w:spacing w:before="82"/>
        <w:ind w:left="283" w:right="0" w:firstLine="0"/>
        <w:jc w:val="left"/>
      </w:pPr>
      <w:r>
        <w:rPr>
          <w:color w:val="231F20"/>
        </w:rPr>
        <w:t>Afdeling 3. Bijzondere algemene vergadering.</w:t>
      </w:r>
    </w:p>
    <w:p>
      <w:pPr>
        <w:pStyle w:val="BodyText"/>
        <w:spacing w:line="218" w:lineRule="auto" w:before="104"/>
        <w:ind w:right="123"/>
      </w:pPr>
      <w:r>
        <w:rPr>
          <w:color w:val="231F20"/>
        </w:rPr>
        <w:t>Art. 7:151. In genoteerde vennootschappen kan enkel de algemene vergadering aan derden rechten toekennen die een aanzienlijke invloed hebben op het vermogen van de vennootschap, dan wel een aanzien- lijke schuld of verplichting te haren laste doen ontstaan, wanneer de uitoefening van deze rechten afhankelijk is van het uitbrengen van een openbaar overnamebod op de aandelen van de vennootschap of van  een</w:t>
      </w:r>
      <w:r>
        <w:rPr>
          <w:color w:val="231F20"/>
          <w:spacing w:val="18"/>
        </w:rPr>
        <w:t> </w:t>
      </w:r>
      <w:r>
        <w:rPr>
          <w:color w:val="231F20"/>
        </w:rPr>
        <w:t>wijziging</w:t>
      </w:r>
      <w:r>
        <w:rPr>
          <w:color w:val="231F20"/>
          <w:spacing w:val="19"/>
        </w:rPr>
        <w:t> </w:t>
      </w:r>
      <w:r>
        <w:rPr>
          <w:color w:val="231F20"/>
        </w:rPr>
        <w:t>van</w:t>
      </w:r>
      <w:r>
        <w:rPr>
          <w:color w:val="231F20"/>
          <w:spacing w:val="19"/>
        </w:rPr>
        <w:t> </w:t>
      </w:r>
      <w:r>
        <w:rPr>
          <w:color w:val="231F20"/>
        </w:rPr>
        <w:t>de</w:t>
      </w:r>
      <w:r>
        <w:rPr>
          <w:color w:val="231F20"/>
          <w:spacing w:val="18"/>
        </w:rPr>
        <w:t> </w:t>
      </w:r>
      <w:r>
        <w:rPr>
          <w:color w:val="231F20"/>
        </w:rPr>
        <w:t>controle</w:t>
      </w:r>
      <w:r>
        <w:rPr>
          <w:color w:val="231F20"/>
          <w:spacing w:val="19"/>
        </w:rPr>
        <w:t> </w:t>
      </w:r>
      <w:r>
        <w:rPr>
          <w:color w:val="231F20"/>
        </w:rPr>
        <w:t>die</w:t>
      </w:r>
      <w:r>
        <w:rPr>
          <w:color w:val="231F20"/>
          <w:spacing w:val="19"/>
        </w:rPr>
        <w:t> </w:t>
      </w:r>
      <w:r>
        <w:rPr>
          <w:color w:val="231F20"/>
        </w:rPr>
        <w:t>op</w:t>
      </w:r>
      <w:r>
        <w:rPr>
          <w:color w:val="231F20"/>
          <w:spacing w:val="18"/>
        </w:rPr>
        <w:t> </w:t>
      </w:r>
      <w:r>
        <w:rPr>
          <w:color w:val="231F20"/>
        </w:rPr>
        <w:t>haar</w:t>
      </w:r>
      <w:r>
        <w:rPr>
          <w:color w:val="231F20"/>
          <w:spacing w:val="19"/>
        </w:rPr>
        <w:t> </w:t>
      </w:r>
      <w:r>
        <w:rPr>
          <w:color w:val="231F20"/>
        </w:rPr>
        <w:t>wordt</w:t>
      </w:r>
      <w:r>
        <w:rPr>
          <w:color w:val="231F20"/>
          <w:spacing w:val="19"/>
        </w:rPr>
        <w:t> </w:t>
      </w:r>
      <w:r>
        <w:rPr>
          <w:color w:val="231F20"/>
        </w:rPr>
        <w:t>uitgeoefend.</w:t>
      </w:r>
    </w:p>
    <w:p>
      <w:pPr>
        <w:pStyle w:val="BodyText"/>
        <w:spacing w:line="218" w:lineRule="auto" w:before="107"/>
      </w:pPr>
      <w:r>
        <w:rPr>
          <w:color w:val="231F20"/>
        </w:rPr>
        <w:t>Op straffe van nietigheid wordt dit besluit neergelegd overeenkom- stig artikel 2:8 vóór het tijdstip waarop de vennootschap de mededeling ontvangt bedoeld in artikel 7:152, en bekendgemaakt overeenkomstig artikel 2:14, 4°.</w:t>
      </w:r>
    </w:p>
    <w:p>
      <w:pPr>
        <w:pStyle w:val="BodyText"/>
        <w:spacing w:line="218" w:lineRule="auto" w:before="107"/>
        <w:ind w:right="123"/>
      </w:pPr>
      <w:r>
        <w:rPr>
          <w:color w:val="231F20"/>
        </w:rPr>
        <w:t>Art. 7:152. Vanaf het tijdstip dat de vennootschap de mededeling van de Autoriteit voor Financiële Diensten en Markten ontvangt dat haar kennis is gegeven van een openbaar overnamebod op haar effecten en tot aan de sluiting van het bod, mag enkel de algemene vergadering beslissingen nemen of verrichtingen uitvoeren die een aanzienlijke wijziging in de samenstelling van de activa of de passiva van de vennootschap tot gevolg zouden hebben, of verplichtingen aangaan zonder werkelijke tegenprestatie. Deze beslissingen of verrichtingen mogen niet worden genomen of uitgevoerd onder voorwaarde van welslagen of mislukken van het openbaar overnamebod.</w:t>
      </w:r>
    </w:p>
    <w:p>
      <w:pPr>
        <w:pStyle w:val="BodyText"/>
        <w:spacing w:line="218" w:lineRule="auto" w:before="107"/>
      </w:pPr>
      <w:r>
        <w:rPr>
          <w:color w:val="231F20"/>
        </w:rPr>
        <w:t>Het bestuursorgaan mag evenwel verrichtingen ten einde brengen die vóór de ontvangst van de mededeling van de Autoriteit voor Financiële Diensten en Markten voldoende zijn gevorderd, evenals eigen aandelen, winstbewijzen en certificaten die daarop betrekking hebben</w:t>
      </w:r>
      <w:r>
        <w:rPr>
          <w:color w:val="231F20"/>
          <w:spacing w:val="16"/>
        </w:rPr>
        <w:t> </w:t>
      </w:r>
      <w:r>
        <w:rPr>
          <w:color w:val="231F20"/>
        </w:rPr>
        <w:t>verkrijgen</w:t>
      </w:r>
      <w:r>
        <w:rPr>
          <w:color w:val="231F20"/>
          <w:spacing w:val="16"/>
        </w:rPr>
        <w:t> </w:t>
      </w:r>
      <w:r>
        <w:rPr>
          <w:color w:val="231F20"/>
        </w:rPr>
        <w:t>overeenkomstig</w:t>
      </w:r>
      <w:r>
        <w:rPr>
          <w:color w:val="231F20"/>
          <w:spacing w:val="17"/>
        </w:rPr>
        <w:t> </w:t>
      </w:r>
      <w:r>
        <w:rPr>
          <w:color w:val="231F20"/>
        </w:rPr>
        <w:t>artikel</w:t>
      </w:r>
      <w:r>
        <w:rPr>
          <w:color w:val="231F20"/>
          <w:spacing w:val="16"/>
        </w:rPr>
        <w:t> </w:t>
      </w:r>
      <w:r>
        <w:rPr>
          <w:color w:val="231F20"/>
        </w:rPr>
        <w:t>7:215,</w:t>
      </w:r>
      <w:r>
        <w:rPr>
          <w:color w:val="231F20"/>
          <w:spacing w:val="16"/>
        </w:rPr>
        <w:t> </w:t>
      </w:r>
      <w:r>
        <w:rPr>
          <w:color w:val="231F20"/>
        </w:rPr>
        <w:t>§</w:t>
      </w:r>
      <w:r>
        <w:rPr>
          <w:color w:val="231F20"/>
          <w:spacing w:val="17"/>
        </w:rPr>
        <w:t> </w:t>
      </w:r>
      <w:r>
        <w:rPr>
          <w:color w:val="231F20"/>
        </w:rPr>
        <w:t>1,</w:t>
      </w:r>
      <w:r>
        <w:rPr>
          <w:color w:val="231F20"/>
          <w:spacing w:val="16"/>
        </w:rPr>
        <w:t> </w:t>
      </w:r>
      <w:r>
        <w:rPr>
          <w:color w:val="231F20"/>
        </w:rPr>
        <w:t>vierde</w:t>
      </w:r>
      <w:r>
        <w:rPr>
          <w:color w:val="231F20"/>
          <w:spacing w:val="17"/>
        </w:rPr>
        <w:t> </w:t>
      </w:r>
      <w:r>
        <w:rPr>
          <w:color w:val="231F20"/>
        </w:rPr>
        <w:t>lid.</w:t>
      </w:r>
    </w:p>
    <w:p>
      <w:pPr>
        <w:pStyle w:val="BodyText"/>
        <w:spacing w:line="218" w:lineRule="auto" w:before="107"/>
      </w:pPr>
      <w:r>
        <w:rPr>
          <w:color w:val="231F20"/>
        </w:rPr>
        <w:t>De in dit artikel bedoelde beslissingen worden onmiddellijk ter kennis gebracht van de bieder en van de Autoriteit voor Financiële Diensten en Markten door het bestuursorgaan. Zij worden tevens openbaar</w:t>
      </w:r>
      <w:r>
        <w:rPr>
          <w:color w:val="231F20"/>
          <w:spacing w:val="15"/>
        </w:rPr>
        <w:t> </w:t>
      </w:r>
      <w:r>
        <w:rPr>
          <w:color w:val="231F20"/>
        </w:rPr>
        <w:t>gemaakt.</w:t>
      </w:r>
    </w:p>
    <w:p>
      <w:pPr>
        <w:pStyle w:val="BodyText"/>
        <w:spacing w:line="350" w:lineRule="auto" w:before="93"/>
        <w:ind w:left="283" w:right="1262" w:firstLine="0"/>
        <w:jc w:val="left"/>
      </w:pPr>
      <w:r>
        <w:rPr>
          <w:color w:val="231F20"/>
        </w:rPr>
        <w:t>Afdeling 4. Buitengewone algemene vergadering. Onderafdeling 1. Statutenwijziging: algemeen.</w:t>
      </w:r>
    </w:p>
    <w:p>
      <w:pPr>
        <w:pStyle w:val="BodyText"/>
        <w:spacing w:line="218" w:lineRule="auto" w:before="15"/>
      </w:pPr>
      <w:r>
        <w:rPr>
          <w:color w:val="231F20"/>
        </w:rPr>
        <w:t>Art. 7:153. De algemene vergadering heeft het recht om wijzigingen aan te brengen in de statuten.</w:t>
      </w:r>
    </w:p>
    <w:p>
      <w:pPr>
        <w:pStyle w:val="BodyText"/>
        <w:spacing w:line="218" w:lineRule="auto" w:before="107"/>
      </w:pPr>
      <w:r>
        <w:rPr>
          <w:color w:val="231F20"/>
        </w:rPr>
        <w:t>De algemene vergadering kan over wijzigingen in de statuten alleen dan op geldige wijze beraadslagen en besluiten, wanneer de voorge- stelde wijzigingen nauwkeurig zijn aangegeven in de oproeping en wanneer de aanwezige of vertegenwoordigde aandeelhouders ten minste de helft van het kapitaal vertegenwoordigen.</w:t>
      </w:r>
    </w:p>
    <w:p>
      <w:pPr>
        <w:spacing w:after="0" w:line="218" w:lineRule="auto"/>
        <w:sectPr>
          <w:pgSz w:w="11940" w:h="16880"/>
          <w:pgMar w:header="666" w:footer="0" w:top="1140" w:bottom="280" w:left="340" w:right="360"/>
          <w:cols w:num="2" w:equalWidth="0">
            <w:col w:w="5530" w:space="97"/>
            <w:col w:w="5613"/>
          </w:cols>
        </w:sectPr>
      </w:pPr>
    </w:p>
    <w:p>
      <w:pPr>
        <w:pStyle w:val="BodyText"/>
        <w:spacing w:line="218" w:lineRule="auto" w:before="120"/>
        <w:ind w:right="38"/>
      </w:pPr>
      <w:r>
        <w:rPr/>
        <w:pict>
          <v:line style="position:absolute;mso-position-horizontal-relative:page;mso-position-vertical-relative:page;z-index:5584" from="298.170502pt,64.473pt" to="298.170502pt,812.819pt" stroked="true" strokeweight=".533pt" strokecolor="#231f20">
            <v:stroke dashstyle="solid"/>
            <w10:wrap type="none"/>
          </v:line>
        </w:pict>
      </w:r>
      <w:bookmarkStart w:name="_bookmark190" w:id="195"/>
      <w:bookmarkEnd w:id="195"/>
      <w:r>
        <w:rPr/>
      </w:r>
      <w:r>
        <w:rPr>
          <w:color w:val="231F20"/>
        </w:rPr>
        <w:t>Si cette dernière condition n’est pas remplie, une nouvelle convoca- tion sera nécessaire et la deuxième assemblée délibérera et statuera valablement, quelle que soit la portion du capital représentée par les actionnaires présents ou représentés.</w:t>
      </w:r>
    </w:p>
    <w:p>
      <w:pPr>
        <w:pStyle w:val="BodyText"/>
        <w:spacing w:line="218" w:lineRule="auto" w:before="171"/>
        <w:ind w:right="38"/>
      </w:pPr>
      <w:r>
        <w:rPr>
          <w:color w:val="231F20"/>
        </w:rPr>
        <w:t>La modification n’est admise que lorsqu’elle réunit les trois quarts des voix exprimées, sans qu’il soit tenu compte des abstentions dans le numérateur ou dans le</w:t>
      </w:r>
      <w:r>
        <w:rPr>
          <w:color w:val="231F20"/>
          <w:spacing w:val="18"/>
        </w:rPr>
        <w:t> </w:t>
      </w:r>
      <w:r>
        <w:rPr>
          <w:color w:val="231F20"/>
        </w:rPr>
        <w:t>dénominateur.</w:t>
      </w:r>
    </w:p>
    <w:p>
      <w:pPr>
        <w:pStyle w:val="BodyText"/>
        <w:spacing w:before="167"/>
        <w:ind w:left="283" w:right="0" w:firstLine="0"/>
        <w:jc w:val="left"/>
      </w:pPr>
      <w:r>
        <w:rPr>
          <w:color w:val="231F20"/>
        </w:rPr>
        <w:t>Sous-section 2. Modification de l’objet et des buts.</w:t>
      </w:r>
    </w:p>
    <w:p>
      <w:pPr>
        <w:pStyle w:val="BodyText"/>
        <w:spacing w:line="218" w:lineRule="auto" w:before="178"/>
        <w:ind w:right="38"/>
      </w:pPr>
      <w:r>
        <w:rPr>
          <w:color w:val="231F20"/>
        </w:rPr>
        <w:t>Art. 7:154. S’il est proposé de modifier l’objet ou les buts de la société, tels que décrits dans ses statuts, l’organe d’administration justifie la modification proposée dans un rapport circonstancié, mentionné dans l’ordre du jour.</w:t>
      </w:r>
    </w:p>
    <w:p>
      <w:pPr>
        <w:pStyle w:val="BodyText"/>
        <w:ind w:left="0" w:right="0" w:firstLine="0"/>
        <w:jc w:val="left"/>
        <w:rPr>
          <w:sz w:val="16"/>
        </w:rPr>
      </w:pPr>
    </w:p>
    <w:p>
      <w:pPr>
        <w:pStyle w:val="BodyText"/>
        <w:spacing w:line="218" w:lineRule="auto"/>
        <w:ind w:right="38"/>
      </w:pPr>
      <w:r>
        <w:rPr>
          <w:color w:val="231F20"/>
        </w:rPr>
        <w:t>Une copie de ce rapport est mise à disposition des titulaires d’actions, de parts bénéficiaires, d’obligations convertibles, de droits de souscrip- tion ou de certificats émis avec la collaboration de la société, confor- mément à l’article 7:132.</w:t>
      </w:r>
    </w:p>
    <w:p>
      <w:pPr>
        <w:pStyle w:val="BodyText"/>
        <w:spacing w:before="11"/>
        <w:ind w:left="0" w:right="0" w:firstLine="0"/>
        <w:jc w:val="left"/>
        <w:rPr>
          <w:sz w:val="15"/>
        </w:rPr>
      </w:pPr>
    </w:p>
    <w:p>
      <w:pPr>
        <w:pStyle w:val="BodyText"/>
        <w:spacing w:line="218" w:lineRule="auto"/>
        <w:ind w:right="38"/>
      </w:pPr>
      <w:r>
        <w:rPr>
          <w:color w:val="231F20"/>
        </w:rPr>
        <w:t>L’absence de ce rapport entraîne la nullité de la décision de l’assemblée générale.</w:t>
      </w:r>
    </w:p>
    <w:p>
      <w:pPr>
        <w:pStyle w:val="BodyText"/>
        <w:spacing w:before="11"/>
        <w:ind w:left="0" w:right="0" w:firstLine="0"/>
        <w:jc w:val="left"/>
        <w:rPr>
          <w:sz w:val="15"/>
        </w:rPr>
      </w:pPr>
    </w:p>
    <w:p>
      <w:pPr>
        <w:pStyle w:val="BodyText"/>
        <w:spacing w:line="218" w:lineRule="auto"/>
        <w:ind w:right="38"/>
      </w:pPr>
      <w:r>
        <w:rPr>
          <w:color w:val="231F20"/>
        </w:rPr>
        <w:t>L’assemblée générale ne peut valablement délibérer et statuer sur la modification de l’objet et des buts que si ceux qui assistent à la réunion représentent non seulement la moitié du capital, mais également, s’il en existe, la moitié du nombre total des parts bénéficiaires.</w:t>
      </w:r>
    </w:p>
    <w:p>
      <w:pPr>
        <w:pStyle w:val="BodyText"/>
        <w:ind w:left="0" w:right="0" w:firstLine="0"/>
        <w:jc w:val="left"/>
        <w:rPr>
          <w:sz w:val="20"/>
        </w:rPr>
      </w:pPr>
    </w:p>
    <w:p>
      <w:pPr>
        <w:pStyle w:val="BodyText"/>
        <w:spacing w:line="218" w:lineRule="auto" w:before="130"/>
        <w:ind w:right="38"/>
      </w:pPr>
      <w:r>
        <w:rPr>
          <w:color w:val="231F20"/>
        </w:rPr>
        <w:t>Si cette condition n’est pas remplie, une nouvelle convocation est nécessaire et la nouvelle assemblée délibère et statue valablement dès que le capital y est représenté.</w:t>
      </w:r>
    </w:p>
    <w:p>
      <w:pPr>
        <w:pStyle w:val="BodyText"/>
        <w:spacing w:before="11"/>
        <w:ind w:left="0" w:right="0" w:firstLine="0"/>
        <w:jc w:val="left"/>
        <w:rPr>
          <w:sz w:val="15"/>
        </w:rPr>
      </w:pPr>
    </w:p>
    <w:p>
      <w:pPr>
        <w:pStyle w:val="BodyText"/>
        <w:spacing w:line="218" w:lineRule="auto"/>
        <w:ind w:right="38"/>
      </w:pPr>
      <w:r>
        <w:rPr>
          <w:color w:val="231F20"/>
        </w:rPr>
        <w:t>Une modification n’est admise que lorsqu’elle réunit les quatre cinquièmes au moins des voix exprimées, sans qu’il soit tenu compte des abstentions dans le numérateur ou dans le dénominateur.</w:t>
      </w:r>
    </w:p>
    <w:p>
      <w:pPr>
        <w:pStyle w:val="BodyText"/>
        <w:spacing w:before="11"/>
        <w:ind w:left="0" w:right="0" w:firstLine="0"/>
        <w:jc w:val="left"/>
        <w:rPr>
          <w:sz w:val="15"/>
        </w:rPr>
      </w:pPr>
    </w:p>
    <w:p>
      <w:pPr>
        <w:pStyle w:val="BodyText"/>
        <w:spacing w:line="218" w:lineRule="auto"/>
        <w:ind w:right="38"/>
      </w:pPr>
      <w:r>
        <w:rPr>
          <w:color w:val="231F20"/>
        </w:rPr>
        <w:t>Nonobstant toute disposition statutaire contraire, les parts</w:t>
      </w:r>
      <w:r>
        <w:rPr>
          <w:color w:val="231F20"/>
          <w:spacing w:val="-29"/>
        </w:rPr>
        <w:t> </w:t>
      </w:r>
      <w:r>
        <w:rPr>
          <w:color w:val="231F20"/>
        </w:rPr>
        <w:t>bénéficiai- res donnent droit à une voix par titre. Ces titres ne peuvent se voir attribuer dans l’ensemble un nombre de voix supérieur à la moitié de celui </w:t>
      </w:r>
      <w:r>
        <w:rPr>
          <w:color w:val="231F20"/>
          <w:spacing w:val="3"/>
        </w:rPr>
        <w:t>attribué </w:t>
      </w:r>
      <w:r>
        <w:rPr>
          <w:color w:val="231F20"/>
        </w:rPr>
        <w:t>à l’ensemble des actions, ni être comptés dans le vote pour un nombre de voix supérieur aux deux tiers du nombre des voix émises par les actions. Si les votes soumis à la limitation sont émis en sens différents, la réduction s’opère proportionnellement; il n’est pas tenu</w:t>
      </w:r>
      <w:r>
        <w:rPr>
          <w:color w:val="231F20"/>
          <w:spacing w:val="15"/>
        </w:rPr>
        <w:t> </w:t>
      </w:r>
      <w:r>
        <w:rPr>
          <w:color w:val="231F20"/>
        </w:rPr>
        <w:t>compte</w:t>
      </w:r>
      <w:r>
        <w:rPr>
          <w:color w:val="231F20"/>
          <w:spacing w:val="15"/>
        </w:rPr>
        <w:t> </w:t>
      </w:r>
      <w:r>
        <w:rPr>
          <w:color w:val="231F20"/>
        </w:rPr>
        <w:t>des</w:t>
      </w:r>
      <w:r>
        <w:rPr>
          <w:color w:val="231F20"/>
          <w:spacing w:val="16"/>
        </w:rPr>
        <w:t> </w:t>
      </w:r>
      <w:r>
        <w:rPr>
          <w:color w:val="231F20"/>
        </w:rPr>
        <w:t>fractions</w:t>
      </w:r>
      <w:r>
        <w:rPr>
          <w:color w:val="231F20"/>
          <w:spacing w:val="15"/>
        </w:rPr>
        <w:t> </w:t>
      </w:r>
      <w:r>
        <w:rPr>
          <w:color w:val="231F20"/>
        </w:rPr>
        <w:t>de</w:t>
      </w:r>
      <w:r>
        <w:rPr>
          <w:color w:val="231F20"/>
          <w:spacing w:val="15"/>
        </w:rPr>
        <w:t> </w:t>
      </w:r>
      <w:r>
        <w:rPr>
          <w:color w:val="231F20"/>
        </w:rPr>
        <w:t>voix.</w:t>
      </w:r>
    </w:p>
    <w:p>
      <w:pPr>
        <w:pStyle w:val="BodyText"/>
        <w:ind w:left="0" w:right="0" w:firstLine="0"/>
        <w:jc w:val="left"/>
        <w:rPr>
          <w:sz w:val="20"/>
        </w:rPr>
      </w:pPr>
    </w:p>
    <w:p>
      <w:pPr>
        <w:pStyle w:val="BodyText"/>
        <w:spacing w:line="218" w:lineRule="auto" w:before="131"/>
        <w:ind w:right="38"/>
      </w:pPr>
      <w:r>
        <w:rPr>
          <w:color w:val="231F20"/>
        </w:rPr>
        <w:t>Sous-section 3. Modification des droits attachés à des</w:t>
      </w:r>
      <w:r>
        <w:rPr>
          <w:color w:val="231F20"/>
          <w:spacing w:val="27"/>
        </w:rPr>
        <w:t> </w:t>
      </w:r>
      <w:r>
        <w:rPr>
          <w:color w:val="231F20"/>
        </w:rPr>
        <w:t>classes d’actions ou de parts</w:t>
      </w:r>
      <w:r>
        <w:rPr>
          <w:color w:val="231F20"/>
          <w:spacing w:val="19"/>
        </w:rPr>
        <w:t> </w:t>
      </w:r>
      <w:r>
        <w:rPr>
          <w:color w:val="231F20"/>
        </w:rPr>
        <w:t>bénéficiaires.</w:t>
      </w:r>
    </w:p>
    <w:p>
      <w:pPr>
        <w:pStyle w:val="BodyText"/>
        <w:spacing w:before="10"/>
        <w:ind w:left="0" w:right="0" w:firstLine="0"/>
        <w:jc w:val="left"/>
        <w:rPr>
          <w:sz w:val="15"/>
        </w:rPr>
      </w:pPr>
    </w:p>
    <w:p>
      <w:pPr>
        <w:pStyle w:val="BodyText"/>
        <w:spacing w:line="218" w:lineRule="auto"/>
        <w:ind w:right="38"/>
      </w:pPr>
      <w:r>
        <w:rPr>
          <w:color w:val="231F20"/>
        </w:rPr>
        <w:t>Art. 7:155. L’assemblée générale peut, nonobstant toute disposition statutaire contraire, approuver l’émission de nouvelles classes d’actions ou de parts bénéficiaires, supprimer une ou plusieurs classes, assimiler les droits attachés à une classe et ceux attachés à une autre classe ou modifier directement ou indirectement les droits respectifs attachés à une classe de titres. L’émission de nouvelles actions ou parts bénéfi- ciaires qui ne s’effectue pas proportionnellement au nombre d’actions ou de parts bénéficiaires émises dans chaque classe, constitue une modification des droits attachés à chacune des classes.</w:t>
      </w:r>
    </w:p>
    <w:p>
      <w:pPr>
        <w:pStyle w:val="BodyText"/>
        <w:ind w:left="0" w:right="0" w:firstLine="0"/>
        <w:jc w:val="left"/>
        <w:rPr>
          <w:sz w:val="16"/>
        </w:rPr>
      </w:pPr>
    </w:p>
    <w:p>
      <w:pPr>
        <w:pStyle w:val="BodyText"/>
        <w:spacing w:line="218" w:lineRule="auto" w:before="1"/>
        <w:ind w:right="38"/>
      </w:pPr>
      <w:r>
        <w:rPr>
          <w:color w:val="231F20"/>
          <w:spacing w:val="-3"/>
        </w:rPr>
        <w:t>L’organe </w:t>
      </w:r>
      <w:r>
        <w:rPr>
          <w:color w:val="231F20"/>
        </w:rPr>
        <w:t>d’administration justifie les modifications proposées et leurs conséquences sur les droits des classes existantes. Si des données financières</w:t>
      </w:r>
      <w:r>
        <w:rPr>
          <w:color w:val="231F20"/>
          <w:spacing w:val="-4"/>
        </w:rPr>
        <w:t> </w:t>
      </w:r>
      <w:r>
        <w:rPr>
          <w:color w:val="231F20"/>
        </w:rPr>
        <w:t>et</w:t>
      </w:r>
      <w:r>
        <w:rPr>
          <w:color w:val="231F20"/>
          <w:spacing w:val="-4"/>
        </w:rPr>
        <w:t> </w:t>
      </w:r>
      <w:r>
        <w:rPr>
          <w:color w:val="231F20"/>
        </w:rPr>
        <w:t>comptables</w:t>
      </w:r>
      <w:r>
        <w:rPr>
          <w:color w:val="231F20"/>
          <w:spacing w:val="-4"/>
        </w:rPr>
        <w:t> </w:t>
      </w:r>
      <w:r>
        <w:rPr>
          <w:color w:val="231F20"/>
        </w:rPr>
        <w:t>sous-tendent</w:t>
      </w:r>
      <w:r>
        <w:rPr>
          <w:color w:val="231F20"/>
          <w:spacing w:val="-4"/>
        </w:rPr>
        <w:t> </w:t>
      </w:r>
      <w:r>
        <w:rPr>
          <w:color w:val="231F20"/>
        </w:rPr>
        <w:t>également</w:t>
      </w:r>
      <w:r>
        <w:rPr>
          <w:color w:val="231F20"/>
          <w:spacing w:val="-4"/>
        </w:rPr>
        <w:t> </w:t>
      </w:r>
      <w:r>
        <w:rPr>
          <w:color w:val="231F20"/>
        </w:rPr>
        <w:t>le</w:t>
      </w:r>
      <w:r>
        <w:rPr>
          <w:color w:val="231F20"/>
          <w:spacing w:val="-4"/>
        </w:rPr>
        <w:t> </w:t>
      </w:r>
      <w:r>
        <w:rPr>
          <w:color w:val="231F20"/>
        </w:rPr>
        <w:t>rapport</w:t>
      </w:r>
      <w:r>
        <w:rPr>
          <w:color w:val="231F20"/>
          <w:spacing w:val="-4"/>
        </w:rPr>
        <w:t> </w:t>
      </w:r>
      <w:r>
        <w:rPr>
          <w:color w:val="231F20"/>
        </w:rPr>
        <w:t>de</w:t>
      </w:r>
      <w:r>
        <w:rPr>
          <w:color w:val="231F20"/>
          <w:spacing w:val="-4"/>
        </w:rPr>
        <w:t> </w:t>
      </w:r>
      <w:r>
        <w:rPr>
          <w:color w:val="231F20"/>
        </w:rPr>
        <w:t>l’organe d’administration, le commissaire ou, à défaut de commissaire, un réviseur d’entreprises ou un expert-comptable externe désigné par l’organe d’administration, évalue si les données financières et compta- bles figurant dans le rapport de l’organe d’administration sont fidèles et </w:t>
      </w:r>
      <w:r>
        <w:rPr>
          <w:color w:val="231F20"/>
          <w:spacing w:val="-3"/>
        </w:rPr>
        <w:t>suffisantes </w:t>
      </w:r>
      <w:r>
        <w:rPr>
          <w:color w:val="231F20"/>
        </w:rPr>
        <w:t>dans tous leurs aspects significatifs pour éclairer l’assemblée générale appelée à voter cette proposition. Les deux rapports sont annoncés dans l’ordre du jour et mis à la disposition des actionnaires conformément à l’article 7:132. En l’absence de ces rapports, la décision de l’assemblée générale est nulle. Ces rapports sont déposés et publiés conformément</w:t>
      </w:r>
      <w:r>
        <w:rPr>
          <w:color w:val="231F20"/>
          <w:spacing w:val="13"/>
        </w:rPr>
        <w:t> </w:t>
      </w:r>
      <w:r>
        <w:rPr>
          <w:color w:val="231F20"/>
        </w:rPr>
        <w:t>aux</w:t>
      </w:r>
      <w:r>
        <w:rPr>
          <w:color w:val="231F20"/>
          <w:spacing w:val="13"/>
        </w:rPr>
        <w:t> </w:t>
      </w:r>
      <w:r>
        <w:rPr>
          <w:color w:val="231F20"/>
        </w:rPr>
        <w:t>articles</w:t>
      </w:r>
      <w:r>
        <w:rPr>
          <w:color w:val="231F20"/>
          <w:spacing w:val="13"/>
        </w:rPr>
        <w:t> </w:t>
      </w:r>
      <w:r>
        <w:rPr>
          <w:color w:val="231F20"/>
        </w:rPr>
        <w:t>2:8</w:t>
      </w:r>
      <w:r>
        <w:rPr>
          <w:color w:val="231F20"/>
          <w:spacing w:val="13"/>
        </w:rPr>
        <w:t> </w:t>
      </w:r>
      <w:r>
        <w:rPr>
          <w:color w:val="231F20"/>
        </w:rPr>
        <w:t>et</w:t>
      </w:r>
      <w:r>
        <w:rPr>
          <w:color w:val="231F20"/>
          <w:spacing w:val="13"/>
        </w:rPr>
        <w:t> </w:t>
      </w:r>
      <w:r>
        <w:rPr>
          <w:color w:val="231F20"/>
        </w:rPr>
        <w:t>2:14,</w:t>
      </w:r>
      <w:r>
        <w:rPr>
          <w:color w:val="231F20"/>
          <w:spacing w:val="13"/>
        </w:rPr>
        <w:t> </w:t>
      </w:r>
      <w:r>
        <w:rPr>
          <w:color w:val="231F20"/>
        </w:rPr>
        <w:t>4°.</w:t>
      </w:r>
    </w:p>
    <w:p>
      <w:pPr>
        <w:pStyle w:val="BodyText"/>
        <w:ind w:left="0" w:right="0" w:firstLine="0"/>
        <w:jc w:val="left"/>
        <w:rPr>
          <w:sz w:val="20"/>
        </w:rPr>
      </w:pPr>
    </w:p>
    <w:p>
      <w:pPr>
        <w:pStyle w:val="BodyText"/>
        <w:spacing w:line="218" w:lineRule="auto" w:before="131"/>
        <w:ind w:right="38"/>
      </w:pPr>
      <w:r>
        <w:rPr>
          <w:color w:val="231F20"/>
        </w:rPr>
        <w:t>Toute modification des droits attachés à une ou plusieurs classes nécessite une modification des statuts, pour laquelle la décision doit être prise dans chaque catégorie dans le respect des conditions de quorum et de majorité requises pour la modification des statuts, et chaque porteur de coupures de titres doit être admis à la délibération et au vote dans la classe concernée, les voix étant comptées sur la base d’une voix à la coupure la plus faible. Nonobstant toute disposition statutaire contraire, les parts bénéficiaires donneront droit à une voix par titre.</w:t>
      </w:r>
    </w:p>
    <w:p>
      <w:pPr>
        <w:pStyle w:val="BodyText"/>
        <w:spacing w:line="218" w:lineRule="auto" w:before="119"/>
      </w:pPr>
      <w:r>
        <w:rPr/>
        <w:br w:type="column"/>
      </w:r>
      <w:r>
        <w:rPr>
          <w:color w:val="231F20"/>
          <w:w w:val="105"/>
        </w:rPr>
        <w:t>Is de laatste voorwaarde niet vervuld, dan is een tweede</w:t>
      </w:r>
      <w:r>
        <w:rPr>
          <w:color w:val="231F20"/>
          <w:spacing w:val="-27"/>
          <w:w w:val="105"/>
        </w:rPr>
        <w:t> </w:t>
      </w:r>
      <w:r>
        <w:rPr>
          <w:color w:val="231F20"/>
          <w:w w:val="105"/>
        </w:rPr>
        <w:t>bijeenroe- ping nodig en de nieuwe vergadering beraadslaagt en besluit</w:t>
      </w:r>
      <w:r>
        <w:rPr>
          <w:color w:val="231F20"/>
          <w:spacing w:val="27"/>
          <w:w w:val="105"/>
        </w:rPr>
        <w:t> </w:t>
      </w:r>
      <w:r>
        <w:rPr>
          <w:color w:val="231F20"/>
          <w:w w:val="105"/>
        </w:rPr>
        <w:t>op geldige wijze, ongeacht het door de aanwezige of vertegenwoordigde aandeelhouders vertegenwoordigde deel van het</w:t>
      </w:r>
      <w:r>
        <w:rPr>
          <w:color w:val="231F20"/>
          <w:spacing w:val="34"/>
          <w:w w:val="105"/>
        </w:rPr>
        <w:t> </w:t>
      </w:r>
      <w:r>
        <w:rPr>
          <w:color w:val="231F20"/>
          <w:w w:val="105"/>
        </w:rPr>
        <w:t>kapitaal.</w:t>
      </w:r>
    </w:p>
    <w:p>
      <w:pPr>
        <w:pStyle w:val="BodyText"/>
        <w:spacing w:line="218" w:lineRule="auto" w:before="171"/>
      </w:pPr>
      <w:r>
        <w:rPr>
          <w:color w:val="231F20"/>
        </w:rPr>
        <w:t>Een wijziging is alleen dan aangenomen, wanneer zij drie vierden  van de uitgebrachte stemmen heeft verkregen, waarbij onthoudingen in de</w:t>
      </w:r>
      <w:r>
        <w:rPr>
          <w:color w:val="231F20"/>
          <w:spacing w:val="15"/>
        </w:rPr>
        <w:t> </w:t>
      </w:r>
      <w:r>
        <w:rPr>
          <w:color w:val="231F20"/>
        </w:rPr>
        <w:t>teller</w:t>
      </w:r>
      <w:r>
        <w:rPr>
          <w:color w:val="231F20"/>
          <w:spacing w:val="16"/>
        </w:rPr>
        <w:t> </w:t>
      </w:r>
      <w:r>
        <w:rPr>
          <w:color w:val="231F20"/>
        </w:rPr>
        <w:t>noch</w:t>
      </w:r>
      <w:r>
        <w:rPr>
          <w:color w:val="231F20"/>
          <w:spacing w:val="16"/>
        </w:rPr>
        <w:t> </w:t>
      </w:r>
      <w:r>
        <w:rPr>
          <w:color w:val="231F20"/>
        </w:rPr>
        <w:t>in</w:t>
      </w:r>
      <w:r>
        <w:rPr>
          <w:color w:val="231F20"/>
          <w:spacing w:val="16"/>
        </w:rPr>
        <w:t> </w:t>
      </w:r>
      <w:r>
        <w:rPr>
          <w:color w:val="231F20"/>
        </w:rPr>
        <w:t>de</w:t>
      </w:r>
      <w:r>
        <w:rPr>
          <w:color w:val="231F20"/>
          <w:spacing w:val="15"/>
        </w:rPr>
        <w:t> </w:t>
      </w:r>
      <w:r>
        <w:rPr>
          <w:color w:val="231F20"/>
        </w:rPr>
        <w:t>noemer</w:t>
      </w:r>
      <w:r>
        <w:rPr>
          <w:color w:val="231F20"/>
          <w:spacing w:val="16"/>
        </w:rPr>
        <w:t> </w:t>
      </w:r>
      <w:r>
        <w:rPr>
          <w:color w:val="231F20"/>
        </w:rPr>
        <w:t>worden</w:t>
      </w:r>
      <w:r>
        <w:rPr>
          <w:color w:val="231F20"/>
          <w:spacing w:val="16"/>
        </w:rPr>
        <w:t> </w:t>
      </w:r>
      <w:r>
        <w:rPr>
          <w:color w:val="231F20"/>
        </w:rPr>
        <w:t>meegerekend.</w:t>
      </w:r>
    </w:p>
    <w:p>
      <w:pPr>
        <w:pStyle w:val="BodyText"/>
        <w:spacing w:before="168"/>
        <w:ind w:left="283" w:right="0" w:firstLine="0"/>
        <w:jc w:val="left"/>
      </w:pPr>
      <w:r>
        <w:rPr>
          <w:color w:val="231F20"/>
        </w:rPr>
        <w:t>Onderafdeling 2. Wijziging van het voorwerp en van de doelen.</w:t>
      </w:r>
    </w:p>
    <w:p>
      <w:pPr>
        <w:pStyle w:val="BodyText"/>
        <w:spacing w:line="218" w:lineRule="auto" w:before="178"/>
      </w:pPr>
      <w:r>
        <w:rPr>
          <w:color w:val="231F20"/>
        </w:rPr>
        <w:t>Art. 7:154. Indien wordt voorgesteld het voorwerp of de doelen van de vennootschap, zoals omschreven in de statuten te wijzigen, verant- woordt het bestuursorgaan de voorgestelde wijziging in een omstandig verslag</w:t>
      </w:r>
      <w:r>
        <w:rPr>
          <w:color w:val="231F20"/>
          <w:spacing w:val="16"/>
        </w:rPr>
        <w:t> </w:t>
      </w:r>
      <w:r>
        <w:rPr>
          <w:color w:val="231F20"/>
        </w:rPr>
        <w:t>dat</w:t>
      </w:r>
      <w:r>
        <w:rPr>
          <w:color w:val="231F20"/>
          <w:spacing w:val="16"/>
        </w:rPr>
        <w:t> </w:t>
      </w:r>
      <w:r>
        <w:rPr>
          <w:color w:val="231F20"/>
        </w:rPr>
        <w:t>in</w:t>
      </w:r>
      <w:r>
        <w:rPr>
          <w:color w:val="231F20"/>
          <w:spacing w:val="17"/>
        </w:rPr>
        <w:t> </w:t>
      </w:r>
      <w:r>
        <w:rPr>
          <w:color w:val="231F20"/>
        </w:rPr>
        <w:t>de</w:t>
      </w:r>
      <w:r>
        <w:rPr>
          <w:color w:val="231F20"/>
          <w:spacing w:val="16"/>
        </w:rPr>
        <w:t> </w:t>
      </w:r>
      <w:r>
        <w:rPr>
          <w:color w:val="231F20"/>
        </w:rPr>
        <w:t>agenda</w:t>
      </w:r>
      <w:r>
        <w:rPr>
          <w:color w:val="231F20"/>
          <w:spacing w:val="17"/>
        </w:rPr>
        <w:t> </w:t>
      </w:r>
      <w:r>
        <w:rPr>
          <w:color w:val="231F20"/>
        </w:rPr>
        <w:t>wordt</w:t>
      </w:r>
      <w:r>
        <w:rPr>
          <w:color w:val="231F20"/>
          <w:spacing w:val="16"/>
        </w:rPr>
        <w:t> </w:t>
      </w:r>
      <w:r>
        <w:rPr>
          <w:color w:val="231F20"/>
        </w:rPr>
        <w:t>vermeld.</w:t>
      </w:r>
    </w:p>
    <w:p>
      <w:pPr>
        <w:pStyle w:val="BodyText"/>
        <w:spacing w:before="11"/>
        <w:ind w:left="0" w:right="0" w:firstLine="0"/>
        <w:jc w:val="left"/>
        <w:rPr>
          <w:sz w:val="15"/>
        </w:rPr>
      </w:pPr>
    </w:p>
    <w:p>
      <w:pPr>
        <w:pStyle w:val="BodyText"/>
        <w:spacing w:line="218" w:lineRule="auto"/>
      </w:pPr>
      <w:r>
        <w:rPr>
          <w:color w:val="231F20"/>
        </w:rPr>
        <w:t>Een kopie van dit verslag wordt aan de houders van aandelen, winstbewijzen, converteerbare obligaties, inschrijvingsrechten of met medewerking van de vennootschap uitgegeven certificaten ter beschik- king gesteld overeenkomstig artikel 7:132.</w:t>
      </w:r>
    </w:p>
    <w:p>
      <w:pPr>
        <w:pStyle w:val="BodyText"/>
        <w:spacing w:before="11"/>
        <w:ind w:left="0" w:right="0" w:firstLine="0"/>
        <w:jc w:val="left"/>
        <w:rPr>
          <w:sz w:val="15"/>
        </w:rPr>
      </w:pPr>
    </w:p>
    <w:p>
      <w:pPr>
        <w:pStyle w:val="BodyText"/>
        <w:spacing w:line="218" w:lineRule="auto"/>
      </w:pPr>
      <w:r>
        <w:rPr>
          <w:color w:val="231F20"/>
        </w:rPr>
        <w:t>Ontbreekt dit verslag, dan is het besluit van de algemene vergadering nietig.</w:t>
      </w:r>
    </w:p>
    <w:p>
      <w:pPr>
        <w:pStyle w:val="BodyText"/>
        <w:spacing w:before="11"/>
        <w:ind w:left="0" w:right="0" w:firstLine="0"/>
        <w:jc w:val="left"/>
        <w:rPr>
          <w:sz w:val="15"/>
        </w:rPr>
      </w:pPr>
    </w:p>
    <w:p>
      <w:pPr>
        <w:pStyle w:val="BodyText"/>
        <w:spacing w:line="218" w:lineRule="auto"/>
      </w:pPr>
      <w:r>
        <w:rPr>
          <w:color w:val="231F20"/>
        </w:rPr>
        <w:t>De algemene vergadering kan over een wijziging van het voorwerp  en de doelen van de vennootschap alleen dan geldig beraadslagen en besluiten, wanneer de aanwezigen niet alleen de helft van het kapitaal vertegenwoordigen, maar ook, in voorkomend geval, de helft van het totale aantal</w:t>
      </w:r>
      <w:r>
        <w:rPr>
          <w:color w:val="231F20"/>
          <w:spacing w:val="-11"/>
        </w:rPr>
        <w:t> </w:t>
      </w:r>
      <w:r>
        <w:rPr>
          <w:color w:val="231F20"/>
        </w:rPr>
        <w:t>winstbewijzen.</w:t>
      </w:r>
    </w:p>
    <w:p>
      <w:pPr>
        <w:pStyle w:val="BodyText"/>
        <w:spacing w:before="11"/>
        <w:ind w:left="0" w:right="0" w:firstLine="0"/>
        <w:jc w:val="left"/>
        <w:rPr>
          <w:sz w:val="15"/>
        </w:rPr>
      </w:pPr>
    </w:p>
    <w:p>
      <w:pPr>
        <w:pStyle w:val="BodyText"/>
        <w:spacing w:line="218" w:lineRule="auto"/>
      </w:pPr>
      <w:r>
        <w:rPr>
          <w:color w:val="231F20"/>
          <w:w w:val="105"/>
        </w:rPr>
        <w:t>Is deze voorwaarde niet vervuld, dan is een nieuwe bijeenroeping nodig, en de nieuwe vergadering beraadslaagt en besluit op geldige wijze zodra het kapitaal er is vertegenwoordigd.</w:t>
      </w:r>
    </w:p>
    <w:p>
      <w:pPr>
        <w:pStyle w:val="BodyText"/>
        <w:ind w:left="0" w:right="0" w:firstLine="0"/>
        <w:jc w:val="left"/>
        <w:rPr>
          <w:sz w:val="16"/>
        </w:rPr>
      </w:pPr>
    </w:p>
    <w:p>
      <w:pPr>
        <w:pStyle w:val="BodyText"/>
        <w:spacing w:line="218" w:lineRule="auto"/>
      </w:pPr>
      <w:r>
        <w:rPr>
          <w:color w:val="231F20"/>
        </w:rPr>
        <w:t>Een wijziging is alleen dan aangenomen, wanneer zij ten minste vier vijfde van de uitgebrachte stemmen heeft verkregen, waarbij onthou- dingen in de teller noch in de noemer worden meegerekend.</w:t>
      </w:r>
    </w:p>
    <w:p>
      <w:pPr>
        <w:pStyle w:val="BodyText"/>
        <w:spacing w:before="11"/>
        <w:ind w:left="0" w:right="0" w:firstLine="0"/>
        <w:jc w:val="left"/>
        <w:rPr>
          <w:sz w:val="15"/>
        </w:rPr>
      </w:pPr>
    </w:p>
    <w:p>
      <w:pPr>
        <w:pStyle w:val="BodyText"/>
        <w:spacing w:line="218" w:lineRule="auto"/>
      </w:pPr>
      <w:r>
        <w:rPr>
          <w:color w:val="231F20"/>
        </w:rPr>
        <w:t>De winstbewijzen geven recht op één stem per effect, niettegen- staande andersluidende statutaire bepaling. In het geheel kunnen aan die effecten niet meer stemmen worden toegekend dan de helft van het aantal dat is toegekend aan de gezamenlijke aandelen; bij de stemming kunnen zij niet worden aangerekend voor meer dan twee derde van het aantal stemmen uitgebracht door de aandelen. Worden de aan de beperking onderworpen stemmen in verschillende zin uitgebracht, dan wordt de vermindering evenredig toegepast; gedeelten van stemmen worden verwaarloosd.</w:t>
      </w:r>
    </w:p>
    <w:p>
      <w:pPr>
        <w:pStyle w:val="BodyText"/>
        <w:ind w:left="0" w:right="0" w:firstLine="0"/>
        <w:jc w:val="left"/>
        <w:rPr>
          <w:sz w:val="16"/>
        </w:rPr>
      </w:pPr>
    </w:p>
    <w:p>
      <w:pPr>
        <w:pStyle w:val="BodyText"/>
        <w:spacing w:line="218" w:lineRule="auto"/>
      </w:pPr>
      <w:r>
        <w:rPr>
          <w:color w:val="231F20"/>
        </w:rPr>
        <w:t>Onderafdeling 3. Wijziging van de rechten verbonden aan soorten van aandelen of</w:t>
      </w:r>
      <w:r>
        <w:rPr>
          <w:color w:val="231F20"/>
          <w:spacing w:val="6"/>
        </w:rPr>
        <w:t> </w:t>
      </w:r>
      <w:r>
        <w:rPr>
          <w:color w:val="231F20"/>
        </w:rPr>
        <w:t>winstbewijzen.</w:t>
      </w:r>
    </w:p>
    <w:p>
      <w:pPr>
        <w:pStyle w:val="BodyText"/>
        <w:spacing w:before="11"/>
        <w:ind w:left="0" w:right="0" w:firstLine="0"/>
        <w:jc w:val="left"/>
        <w:rPr>
          <w:sz w:val="15"/>
        </w:rPr>
      </w:pPr>
    </w:p>
    <w:p>
      <w:pPr>
        <w:pStyle w:val="BodyText"/>
        <w:spacing w:line="218" w:lineRule="auto"/>
        <w:ind w:right="123"/>
      </w:pPr>
      <w:r>
        <w:rPr>
          <w:color w:val="231F20"/>
        </w:rPr>
        <w:t>Art. 7:155. De algemene vergadering kan, niettegenstaande anders- luidende statutaire bepaling, de uitgifte van nieuwe soorten van aandelen of winstbewijzen goedkeuren, één of meer soorten afschaffen, de</w:t>
      </w:r>
      <w:r>
        <w:rPr>
          <w:color w:val="231F20"/>
          <w:spacing w:val="-4"/>
        </w:rPr>
        <w:t> </w:t>
      </w:r>
      <w:r>
        <w:rPr>
          <w:color w:val="231F20"/>
        </w:rPr>
        <w:t>rechten</w:t>
      </w:r>
      <w:r>
        <w:rPr>
          <w:color w:val="231F20"/>
          <w:spacing w:val="-3"/>
        </w:rPr>
        <w:t> </w:t>
      </w:r>
      <w:r>
        <w:rPr>
          <w:color w:val="231F20"/>
        </w:rPr>
        <w:t>verbonden</w:t>
      </w:r>
      <w:r>
        <w:rPr>
          <w:color w:val="231F20"/>
          <w:spacing w:val="-4"/>
        </w:rPr>
        <w:t> </w:t>
      </w:r>
      <w:r>
        <w:rPr>
          <w:color w:val="231F20"/>
        </w:rPr>
        <w:t>aan</w:t>
      </w:r>
      <w:r>
        <w:rPr>
          <w:color w:val="231F20"/>
          <w:spacing w:val="-3"/>
        </w:rPr>
        <w:t> </w:t>
      </w:r>
      <w:r>
        <w:rPr>
          <w:color w:val="231F20"/>
        </w:rPr>
        <w:t>een</w:t>
      </w:r>
      <w:r>
        <w:rPr>
          <w:color w:val="231F20"/>
          <w:spacing w:val="-3"/>
        </w:rPr>
        <w:t> </w:t>
      </w:r>
      <w:r>
        <w:rPr>
          <w:color w:val="231F20"/>
        </w:rPr>
        <w:t>soort</w:t>
      </w:r>
      <w:r>
        <w:rPr>
          <w:color w:val="231F20"/>
          <w:spacing w:val="-4"/>
        </w:rPr>
        <w:t> </w:t>
      </w:r>
      <w:r>
        <w:rPr>
          <w:color w:val="231F20"/>
        </w:rPr>
        <w:t>gelijkstellen</w:t>
      </w:r>
      <w:r>
        <w:rPr>
          <w:color w:val="231F20"/>
          <w:spacing w:val="-3"/>
        </w:rPr>
        <w:t> </w:t>
      </w:r>
      <w:r>
        <w:rPr>
          <w:color w:val="231F20"/>
        </w:rPr>
        <w:t>met</w:t>
      </w:r>
      <w:r>
        <w:rPr>
          <w:color w:val="231F20"/>
          <w:spacing w:val="-3"/>
        </w:rPr>
        <w:t> </w:t>
      </w:r>
      <w:r>
        <w:rPr>
          <w:color w:val="231F20"/>
        </w:rPr>
        <w:t>de</w:t>
      </w:r>
      <w:r>
        <w:rPr>
          <w:color w:val="231F20"/>
          <w:spacing w:val="-4"/>
        </w:rPr>
        <w:t> </w:t>
      </w:r>
      <w:r>
        <w:rPr>
          <w:color w:val="231F20"/>
        </w:rPr>
        <w:t>rechten</w:t>
      </w:r>
      <w:r>
        <w:rPr>
          <w:color w:val="231F20"/>
          <w:spacing w:val="-3"/>
        </w:rPr>
        <w:t> </w:t>
      </w:r>
      <w:r>
        <w:rPr>
          <w:color w:val="231F20"/>
        </w:rPr>
        <w:t>van</w:t>
      </w:r>
      <w:r>
        <w:rPr>
          <w:color w:val="231F20"/>
          <w:spacing w:val="-3"/>
        </w:rPr>
        <w:t> </w:t>
      </w:r>
      <w:r>
        <w:rPr>
          <w:color w:val="231F20"/>
        </w:rPr>
        <w:t>een andere soort, of de respectieve rechten verbonden aan een soort van effecten rechtstreeks of onrechtstreeks wijzigen. De uitgifte van nieuwe aandelen of winstbewijzen die niet evenredig aan het aantal uitgegeven aandelen of winstbewijzen binnen elke soort gebeurt, is een wijziging van</w:t>
      </w:r>
      <w:r>
        <w:rPr>
          <w:color w:val="231F20"/>
          <w:spacing w:val="15"/>
        </w:rPr>
        <w:t> </w:t>
      </w:r>
      <w:r>
        <w:rPr>
          <w:color w:val="231F20"/>
        </w:rPr>
        <w:t>de</w:t>
      </w:r>
      <w:r>
        <w:rPr>
          <w:color w:val="231F20"/>
          <w:spacing w:val="15"/>
        </w:rPr>
        <w:t> </w:t>
      </w:r>
      <w:r>
        <w:rPr>
          <w:color w:val="231F20"/>
        </w:rPr>
        <w:t>rechten</w:t>
      </w:r>
      <w:r>
        <w:rPr>
          <w:color w:val="231F20"/>
          <w:spacing w:val="15"/>
        </w:rPr>
        <w:t> </w:t>
      </w:r>
      <w:r>
        <w:rPr>
          <w:color w:val="231F20"/>
        </w:rPr>
        <w:t>verbonden</w:t>
      </w:r>
      <w:r>
        <w:rPr>
          <w:color w:val="231F20"/>
          <w:spacing w:val="16"/>
        </w:rPr>
        <w:t> </w:t>
      </w:r>
      <w:r>
        <w:rPr>
          <w:color w:val="231F20"/>
        </w:rPr>
        <w:t>aan</w:t>
      </w:r>
      <w:r>
        <w:rPr>
          <w:color w:val="231F20"/>
          <w:spacing w:val="15"/>
        </w:rPr>
        <w:t> </w:t>
      </w:r>
      <w:r>
        <w:rPr>
          <w:color w:val="231F20"/>
        </w:rPr>
        <w:t>elke</w:t>
      </w:r>
      <w:r>
        <w:rPr>
          <w:color w:val="231F20"/>
          <w:spacing w:val="15"/>
        </w:rPr>
        <w:t> </w:t>
      </w:r>
      <w:r>
        <w:rPr>
          <w:color w:val="231F20"/>
        </w:rPr>
        <w:t>soort.</w:t>
      </w:r>
    </w:p>
    <w:p>
      <w:pPr>
        <w:pStyle w:val="BodyText"/>
        <w:ind w:left="0" w:right="0" w:firstLine="0"/>
        <w:jc w:val="left"/>
        <w:rPr>
          <w:sz w:val="16"/>
        </w:rPr>
      </w:pPr>
    </w:p>
    <w:p>
      <w:pPr>
        <w:pStyle w:val="BodyText"/>
        <w:spacing w:line="218" w:lineRule="auto"/>
      </w:pPr>
      <w:r>
        <w:rPr>
          <w:color w:val="231F20"/>
        </w:rPr>
        <w:t>Het bestuursorgaan verantwoordt de voorgestelde wijzingen en de gevolgen daarvan op de rechten van de bestaande soorten. Als aan het verslag van het bestuursorgaan ook financiële en boekhoudkundige gegevens ten grondslag liggen, beoordeelt de commissaris, of, als er geen commissaris is, een bedrijfsrevisor of een externe accountant aangewezen door het bestuursorgaan, of deze in het verslag van het bestuursorgaan opgenomen financiële en boekhoudkundige gegevens in alle materieel belang zijnde opzichten getrouw en voldoende zijn om de algemene vergadering die over het voorstel moet stemmen voor te lichten. Beide verslagen worden in de agenda vermeld en aan de aandeelhouders ter beschikking gesteld overeenkomstig artikel 7:132. </w:t>
      </w:r>
      <w:r>
        <w:rPr>
          <w:color w:val="231F20"/>
          <w:spacing w:val="-3"/>
        </w:rPr>
        <w:t>Wanneer </w:t>
      </w:r>
      <w:r>
        <w:rPr>
          <w:color w:val="231F20"/>
        </w:rPr>
        <w:t>deze verslagen ontbreken is het besluit van de algemene vergadering nietig. Deze verslagen worden neergelegd en bekendge- maakt</w:t>
      </w:r>
      <w:r>
        <w:rPr>
          <w:color w:val="231F20"/>
          <w:spacing w:val="13"/>
        </w:rPr>
        <w:t> </w:t>
      </w:r>
      <w:r>
        <w:rPr>
          <w:color w:val="231F20"/>
        </w:rPr>
        <w:t>overeenkomstig</w:t>
      </w:r>
      <w:r>
        <w:rPr>
          <w:color w:val="231F20"/>
          <w:spacing w:val="13"/>
        </w:rPr>
        <w:t> </w:t>
      </w:r>
      <w:r>
        <w:rPr>
          <w:color w:val="231F20"/>
        </w:rPr>
        <w:t>de</w:t>
      </w:r>
      <w:r>
        <w:rPr>
          <w:color w:val="231F20"/>
          <w:spacing w:val="13"/>
        </w:rPr>
        <w:t> </w:t>
      </w:r>
      <w:r>
        <w:rPr>
          <w:color w:val="231F20"/>
        </w:rPr>
        <w:t>artikelen</w:t>
      </w:r>
      <w:r>
        <w:rPr>
          <w:color w:val="231F20"/>
          <w:spacing w:val="13"/>
        </w:rPr>
        <w:t> </w:t>
      </w:r>
      <w:r>
        <w:rPr>
          <w:color w:val="231F20"/>
        </w:rPr>
        <w:t>2:8</w:t>
      </w:r>
      <w:r>
        <w:rPr>
          <w:color w:val="231F20"/>
          <w:spacing w:val="14"/>
        </w:rPr>
        <w:t> </w:t>
      </w:r>
      <w:r>
        <w:rPr>
          <w:color w:val="231F20"/>
        </w:rPr>
        <w:t>en</w:t>
      </w:r>
      <w:r>
        <w:rPr>
          <w:color w:val="231F20"/>
          <w:spacing w:val="13"/>
        </w:rPr>
        <w:t> </w:t>
      </w:r>
      <w:r>
        <w:rPr>
          <w:color w:val="231F20"/>
        </w:rPr>
        <w:t>2:14,</w:t>
      </w:r>
      <w:r>
        <w:rPr>
          <w:color w:val="231F20"/>
          <w:spacing w:val="13"/>
        </w:rPr>
        <w:t> </w:t>
      </w:r>
      <w:r>
        <w:rPr>
          <w:color w:val="231F20"/>
        </w:rPr>
        <w:t>4°.</w:t>
      </w:r>
    </w:p>
    <w:p>
      <w:pPr>
        <w:pStyle w:val="BodyText"/>
        <w:spacing w:before="1"/>
        <w:ind w:left="0" w:right="0" w:firstLine="0"/>
        <w:jc w:val="left"/>
        <w:rPr>
          <w:sz w:val="16"/>
        </w:rPr>
      </w:pPr>
    </w:p>
    <w:p>
      <w:pPr>
        <w:pStyle w:val="BodyText"/>
        <w:spacing w:line="218" w:lineRule="auto"/>
        <w:ind w:right="123"/>
      </w:pPr>
      <w:r>
        <w:rPr>
          <w:color w:val="231F20"/>
        </w:rPr>
        <w:t>Elke wijziging van de rechten verbonden aan één of meerdere  soorten vereist een statutenwijziging, waarbij het besluit binnen elke soort moet worden genomen met naleving van de aanwezigheids- en meerderheidsvereisten voorgeschreven voor een statutenwijziging, en moet elke houder van ondereffecten worden toegelaten tot de besluit- vorming en de stemming in de betrokken soort, waarbij de stemmen worden geteld op basis van één stem voor het kleinste ondereffect. De winstbewijzen geven recht op één stem per effect, niettegenstaande andersluidende statutaire</w:t>
      </w:r>
      <w:r>
        <w:rPr>
          <w:color w:val="231F20"/>
          <w:spacing w:val="-11"/>
        </w:rPr>
        <w:t> </w:t>
      </w:r>
      <w:r>
        <w:rPr>
          <w:color w:val="231F20"/>
        </w:rPr>
        <w:t>bepaling.</w:t>
      </w:r>
    </w:p>
    <w:p>
      <w:pPr>
        <w:spacing w:after="0" w:line="218" w:lineRule="auto"/>
        <w:sectPr>
          <w:pgSz w:w="11940" w:h="16880"/>
          <w:pgMar w:header="666" w:footer="0" w:top="1140" w:bottom="280" w:left="340" w:right="360"/>
          <w:cols w:num="2" w:equalWidth="0">
            <w:col w:w="5527" w:space="100"/>
            <w:col w:w="5613"/>
          </w:cols>
        </w:sectPr>
      </w:pPr>
    </w:p>
    <w:p>
      <w:pPr>
        <w:pStyle w:val="BodyText"/>
        <w:spacing w:line="304" w:lineRule="auto" w:before="106"/>
        <w:ind w:left="283" w:right="473" w:firstLine="0"/>
        <w:jc w:val="left"/>
      </w:pPr>
      <w:r>
        <w:rPr/>
        <w:pict>
          <v:line style="position:absolute;mso-position-horizontal-relative:page;mso-position-vertical-relative:page;z-index:5608" from="298.170502pt,64.473pt" to="298.170502pt,812.819pt" stroked="true" strokeweight=".533pt" strokecolor="#231f20">
            <v:stroke dashstyle="solid"/>
            <w10:wrap type="none"/>
          </v:line>
        </w:pict>
      </w:r>
      <w:bookmarkStart w:name="_bookmark191" w:id="196"/>
      <w:bookmarkEnd w:id="196"/>
      <w:r>
        <w:rPr/>
      </w:r>
      <w:r>
        <w:rPr>
          <w:color w:val="231F20"/>
        </w:rPr>
        <w:t>CHAPITRE 3. De l’action sociale et de l’action minoritaire. Section 1</w:t>
      </w:r>
      <w:r>
        <w:rPr>
          <w:color w:val="231F20"/>
          <w:position w:val="7"/>
          <w:sz w:val="11"/>
        </w:rPr>
        <w:t>re</w:t>
      </w:r>
      <w:r>
        <w:rPr>
          <w:color w:val="231F20"/>
        </w:rPr>
        <w:t>. De l’action sociale.</w:t>
      </w:r>
    </w:p>
    <w:p>
      <w:pPr>
        <w:pStyle w:val="BodyText"/>
        <w:spacing w:line="218" w:lineRule="auto" w:before="30"/>
        <w:ind w:right="38"/>
      </w:pPr>
      <w:r>
        <w:rPr>
          <w:color w:val="231F20"/>
        </w:rPr>
        <w:t>Art. 7:156. L’assemblée générale décide s’il y a lieu d’exercer l’action sociale contre les administrateurs, les membres du conseil de sur- veillance ou les commissaires. Elle peut charger un ou plusieurs mandataires de l’exécution de cette décision.</w:t>
      </w:r>
    </w:p>
    <w:p>
      <w:pPr>
        <w:pStyle w:val="BodyText"/>
        <w:spacing w:line="218" w:lineRule="auto" w:before="71"/>
        <w:ind w:right="38"/>
      </w:pPr>
      <w:r>
        <w:rPr>
          <w:color w:val="231F20"/>
        </w:rPr>
        <w:t>Dans l’administration duale visée au chapitre 1</w:t>
      </w:r>
      <w:r>
        <w:rPr>
          <w:color w:val="231F20"/>
          <w:position w:val="7"/>
          <w:sz w:val="11"/>
        </w:rPr>
        <w:t>er</w:t>
      </w:r>
      <w:r>
        <w:rPr>
          <w:color w:val="231F20"/>
        </w:rPr>
        <w:t>, section 3, le conseil de surveillance décide si l’action sociale est exercée contre les membres du conseil de direction. Nonobstant l’article 7:110, alinéa 2, le conseil</w:t>
      </w:r>
      <w:r>
        <w:rPr>
          <w:color w:val="231F20"/>
          <w:spacing w:val="-17"/>
        </w:rPr>
        <w:t> </w:t>
      </w:r>
      <w:r>
        <w:rPr>
          <w:color w:val="231F20"/>
        </w:rPr>
        <w:t>de surveillance a le pouvoir de faire tout ce qui est nécessaire pour l’exercice</w:t>
      </w:r>
      <w:r>
        <w:rPr>
          <w:color w:val="231F20"/>
          <w:spacing w:val="14"/>
        </w:rPr>
        <w:t> </w:t>
      </w:r>
      <w:r>
        <w:rPr>
          <w:color w:val="231F20"/>
        </w:rPr>
        <w:t>de</w:t>
      </w:r>
      <w:r>
        <w:rPr>
          <w:color w:val="231F20"/>
          <w:spacing w:val="15"/>
        </w:rPr>
        <w:t> </w:t>
      </w:r>
      <w:r>
        <w:rPr>
          <w:color w:val="231F20"/>
        </w:rPr>
        <w:t>cette</w:t>
      </w:r>
      <w:r>
        <w:rPr>
          <w:color w:val="231F20"/>
          <w:spacing w:val="15"/>
        </w:rPr>
        <w:t> </w:t>
      </w:r>
      <w:r>
        <w:rPr>
          <w:color w:val="231F20"/>
        </w:rPr>
        <w:t>action</w:t>
      </w:r>
      <w:r>
        <w:rPr>
          <w:color w:val="231F20"/>
          <w:spacing w:val="15"/>
        </w:rPr>
        <w:t> </w:t>
      </w:r>
      <w:r>
        <w:rPr>
          <w:color w:val="231F20"/>
        </w:rPr>
        <w:t>sociale</w:t>
      </w:r>
      <w:r>
        <w:rPr>
          <w:color w:val="231F20"/>
          <w:spacing w:val="15"/>
        </w:rPr>
        <w:t> </w:t>
      </w:r>
      <w:r>
        <w:rPr>
          <w:color w:val="231F20"/>
        </w:rPr>
        <w:t>au</w:t>
      </w:r>
      <w:r>
        <w:rPr>
          <w:color w:val="231F20"/>
          <w:spacing w:val="15"/>
        </w:rPr>
        <w:t> </w:t>
      </w:r>
      <w:r>
        <w:rPr>
          <w:color w:val="231F20"/>
        </w:rPr>
        <w:t>nom</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before="71"/>
        <w:ind w:left="283" w:right="0" w:firstLine="0"/>
        <w:jc w:val="left"/>
      </w:pPr>
      <w:r>
        <w:rPr>
          <w:color w:val="231F20"/>
        </w:rPr>
        <w:t>Section 2. De l’action minoritaire.</w:t>
      </w:r>
    </w:p>
    <w:p>
      <w:pPr>
        <w:pStyle w:val="BodyText"/>
        <w:spacing w:line="218" w:lineRule="auto" w:before="67"/>
        <w:ind w:right="38"/>
      </w:pPr>
      <w:r>
        <w:rPr>
          <w:color w:val="231F20"/>
        </w:rPr>
        <w:t>Art. 7:157. § 1</w:t>
      </w:r>
      <w:r>
        <w:rPr>
          <w:color w:val="231F20"/>
          <w:position w:val="7"/>
          <w:sz w:val="11"/>
        </w:rPr>
        <w:t>er</w:t>
      </w:r>
      <w:r>
        <w:rPr>
          <w:color w:val="231F20"/>
        </w:rPr>
        <w:t>. Les actionnaires minoritaires peuvent intenter pour le compte de la société une action contre les administrateurs ou les membres du conseil de</w:t>
      </w:r>
      <w:r>
        <w:rPr>
          <w:color w:val="231F20"/>
          <w:spacing w:val="20"/>
        </w:rPr>
        <w:t> </w:t>
      </w:r>
      <w:r>
        <w:rPr>
          <w:color w:val="231F20"/>
        </w:rPr>
        <w:t>surveillance.</w:t>
      </w:r>
    </w:p>
    <w:p>
      <w:pPr>
        <w:pStyle w:val="BodyText"/>
        <w:spacing w:line="218" w:lineRule="auto" w:before="86"/>
        <w:ind w:right="38"/>
      </w:pPr>
      <w:r>
        <w:rPr>
          <w:color w:val="231F20"/>
        </w:rPr>
        <w:t>Ces actionnaires minoritaires doivent, au jour de l’assemblée géné- rale qui s’est prononcée sur la décharge des administrateurs, posséder des titres qui représentent au moins 1 % des voix attachées à l’ensemble des titres existant à ce jour ou possédant à ce même jour des titres représentant</w:t>
      </w:r>
      <w:r>
        <w:rPr>
          <w:color w:val="231F20"/>
          <w:spacing w:val="7"/>
        </w:rPr>
        <w:t> </w:t>
      </w:r>
      <w:r>
        <w:rPr>
          <w:color w:val="231F20"/>
        </w:rPr>
        <w:t>une</w:t>
      </w:r>
      <w:r>
        <w:rPr>
          <w:color w:val="231F20"/>
          <w:spacing w:val="8"/>
        </w:rPr>
        <w:t> </w:t>
      </w:r>
      <w:r>
        <w:rPr>
          <w:color w:val="231F20"/>
        </w:rPr>
        <w:t>fraction</w:t>
      </w:r>
      <w:r>
        <w:rPr>
          <w:color w:val="231F20"/>
          <w:spacing w:val="8"/>
        </w:rPr>
        <w:t> </w:t>
      </w:r>
      <w:r>
        <w:rPr>
          <w:color w:val="231F20"/>
        </w:rPr>
        <w:t>du</w:t>
      </w:r>
      <w:r>
        <w:rPr>
          <w:color w:val="231F20"/>
          <w:spacing w:val="7"/>
        </w:rPr>
        <w:t> </w:t>
      </w:r>
      <w:r>
        <w:rPr>
          <w:color w:val="231F20"/>
        </w:rPr>
        <w:t>capital</w:t>
      </w:r>
      <w:r>
        <w:rPr>
          <w:color w:val="231F20"/>
          <w:spacing w:val="8"/>
        </w:rPr>
        <w:t> </w:t>
      </w:r>
      <w:r>
        <w:rPr>
          <w:color w:val="231F20"/>
        </w:rPr>
        <w:t>égale</w:t>
      </w:r>
      <w:r>
        <w:rPr>
          <w:color w:val="231F20"/>
          <w:spacing w:val="8"/>
        </w:rPr>
        <w:t> </w:t>
      </w:r>
      <w:r>
        <w:rPr>
          <w:color w:val="231F20"/>
        </w:rPr>
        <w:t>à</w:t>
      </w:r>
      <w:r>
        <w:rPr>
          <w:color w:val="231F20"/>
          <w:spacing w:val="7"/>
        </w:rPr>
        <w:t> </w:t>
      </w:r>
      <w:r>
        <w:rPr>
          <w:color w:val="231F20"/>
        </w:rPr>
        <w:t>1</w:t>
      </w:r>
      <w:r>
        <w:rPr>
          <w:color w:val="231F20"/>
          <w:spacing w:val="8"/>
        </w:rPr>
        <w:t> </w:t>
      </w:r>
      <w:r>
        <w:rPr>
          <w:color w:val="231F20"/>
        </w:rPr>
        <w:t>250</w:t>
      </w:r>
      <w:r>
        <w:rPr>
          <w:color w:val="231F20"/>
          <w:spacing w:val="8"/>
        </w:rPr>
        <w:t> </w:t>
      </w:r>
      <w:r>
        <w:rPr>
          <w:color w:val="231F20"/>
        </w:rPr>
        <w:t>000</w:t>
      </w:r>
      <w:r>
        <w:rPr>
          <w:color w:val="231F20"/>
          <w:spacing w:val="7"/>
        </w:rPr>
        <w:t> </w:t>
      </w:r>
      <w:r>
        <w:rPr>
          <w:color w:val="231F20"/>
        </w:rPr>
        <w:t>euros</w:t>
      </w:r>
      <w:r>
        <w:rPr>
          <w:color w:val="231F20"/>
          <w:spacing w:val="8"/>
        </w:rPr>
        <w:t> </w:t>
      </w:r>
      <w:r>
        <w:rPr>
          <w:color w:val="231F20"/>
        </w:rPr>
        <w:t>au</w:t>
      </w:r>
      <w:r>
        <w:rPr>
          <w:color w:val="231F20"/>
          <w:spacing w:val="8"/>
        </w:rPr>
        <w:t> </w:t>
      </w:r>
      <w:r>
        <w:rPr>
          <w:color w:val="231F20"/>
        </w:rPr>
        <w:t>moins.</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before="1"/>
        <w:ind w:right="38"/>
      </w:pPr>
      <w:r>
        <w:rPr>
          <w:color w:val="231F20"/>
        </w:rPr>
        <w:t>Les actionnaires ayant droit de vote ne peuvent intenter l’action que s’ils</w:t>
      </w:r>
      <w:r>
        <w:rPr>
          <w:color w:val="231F20"/>
          <w:spacing w:val="16"/>
        </w:rPr>
        <w:t> </w:t>
      </w:r>
      <w:r>
        <w:rPr>
          <w:color w:val="231F20"/>
        </w:rPr>
        <w:t>n’ont</w:t>
      </w:r>
      <w:r>
        <w:rPr>
          <w:color w:val="231F20"/>
          <w:spacing w:val="17"/>
        </w:rPr>
        <w:t> </w:t>
      </w:r>
      <w:r>
        <w:rPr>
          <w:color w:val="231F20"/>
        </w:rPr>
        <w:t>pas</w:t>
      </w:r>
      <w:r>
        <w:rPr>
          <w:color w:val="231F20"/>
          <w:spacing w:val="16"/>
        </w:rPr>
        <w:t> </w:t>
      </w:r>
      <w:r>
        <w:rPr>
          <w:color w:val="231F20"/>
        </w:rPr>
        <w:t>voté</w:t>
      </w:r>
      <w:r>
        <w:rPr>
          <w:color w:val="231F20"/>
          <w:spacing w:val="17"/>
        </w:rPr>
        <w:t> </w:t>
      </w:r>
      <w:r>
        <w:rPr>
          <w:color w:val="231F20"/>
        </w:rPr>
        <w:t>la</w:t>
      </w:r>
      <w:r>
        <w:rPr>
          <w:color w:val="231F20"/>
          <w:spacing w:val="16"/>
        </w:rPr>
        <w:t> </w:t>
      </w:r>
      <w:r>
        <w:rPr>
          <w:color w:val="231F20"/>
        </w:rPr>
        <w:t>décharge</w:t>
      </w:r>
      <w:r>
        <w:rPr>
          <w:color w:val="231F20"/>
          <w:spacing w:val="17"/>
        </w:rPr>
        <w:t> </w:t>
      </w:r>
      <w:r>
        <w:rPr>
          <w:color w:val="231F20"/>
        </w:rPr>
        <w:t>ou</w:t>
      </w:r>
      <w:r>
        <w:rPr>
          <w:color w:val="231F20"/>
          <w:spacing w:val="16"/>
        </w:rPr>
        <w:t> </w:t>
      </w:r>
      <w:r>
        <w:rPr>
          <w:color w:val="231F20"/>
        </w:rPr>
        <w:t>s’ils</w:t>
      </w:r>
      <w:r>
        <w:rPr>
          <w:color w:val="231F20"/>
          <w:spacing w:val="17"/>
        </w:rPr>
        <w:t> </w:t>
      </w:r>
      <w:r>
        <w:rPr>
          <w:color w:val="231F20"/>
        </w:rPr>
        <w:t>ne</w:t>
      </w:r>
      <w:r>
        <w:rPr>
          <w:color w:val="231F20"/>
          <w:spacing w:val="16"/>
        </w:rPr>
        <w:t> </w:t>
      </w:r>
      <w:r>
        <w:rPr>
          <w:color w:val="231F20"/>
        </w:rPr>
        <w:t>l’ont</w:t>
      </w:r>
      <w:r>
        <w:rPr>
          <w:color w:val="231F20"/>
          <w:spacing w:val="17"/>
        </w:rPr>
        <w:t> </w:t>
      </w:r>
      <w:r>
        <w:rPr>
          <w:color w:val="231F20"/>
        </w:rPr>
        <w:t>pas</w:t>
      </w:r>
      <w:r>
        <w:rPr>
          <w:color w:val="231F20"/>
          <w:spacing w:val="16"/>
        </w:rPr>
        <w:t> </w:t>
      </w:r>
      <w:r>
        <w:rPr>
          <w:color w:val="231F20"/>
        </w:rPr>
        <w:t>valablement</w:t>
      </w:r>
      <w:r>
        <w:rPr>
          <w:color w:val="231F20"/>
          <w:spacing w:val="17"/>
        </w:rPr>
        <w:t> </w:t>
      </w:r>
      <w:r>
        <w:rPr>
          <w:color w:val="231F20"/>
        </w:rPr>
        <w:t>votée.</w:t>
      </w:r>
    </w:p>
    <w:p>
      <w:pPr>
        <w:pStyle w:val="BodyText"/>
        <w:spacing w:before="11"/>
        <w:ind w:left="0" w:right="0" w:firstLine="0"/>
        <w:jc w:val="left"/>
        <w:rPr>
          <w:sz w:val="22"/>
        </w:rPr>
      </w:pPr>
    </w:p>
    <w:p>
      <w:pPr>
        <w:pStyle w:val="BodyText"/>
        <w:spacing w:line="218" w:lineRule="auto"/>
        <w:ind w:right="38"/>
      </w:pPr>
      <w:r>
        <w:rPr>
          <w:color w:val="231F20"/>
        </w:rPr>
        <w:t>Les actionnaires sans droit de vote ne peuvent intenter l’action que dans les cas où ils ont exercé leur droit de vote conformément à  l’article</w:t>
      </w:r>
      <w:r>
        <w:rPr>
          <w:color w:val="231F20"/>
          <w:spacing w:val="-6"/>
        </w:rPr>
        <w:t> </w:t>
      </w:r>
      <w:r>
        <w:rPr>
          <w:color w:val="231F20"/>
        </w:rPr>
        <w:t>7:57</w:t>
      </w:r>
      <w:r>
        <w:rPr>
          <w:color w:val="231F20"/>
          <w:spacing w:val="-5"/>
        </w:rPr>
        <w:t> </w:t>
      </w:r>
      <w:r>
        <w:rPr>
          <w:color w:val="231F20"/>
        </w:rPr>
        <w:t>et</w:t>
      </w:r>
      <w:r>
        <w:rPr>
          <w:color w:val="231F20"/>
          <w:spacing w:val="-5"/>
        </w:rPr>
        <w:t> </w:t>
      </w:r>
      <w:r>
        <w:rPr>
          <w:color w:val="231F20"/>
        </w:rPr>
        <w:t>uniquement</w:t>
      </w:r>
      <w:r>
        <w:rPr>
          <w:color w:val="231F20"/>
          <w:spacing w:val="-5"/>
        </w:rPr>
        <w:t> </w:t>
      </w:r>
      <w:r>
        <w:rPr>
          <w:color w:val="231F20"/>
        </w:rPr>
        <w:t>pour</w:t>
      </w:r>
      <w:r>
        <w:rPr>
          <w:color w:val="231F20"/>
          <w:spacing w:val="-5"/>
        </w:rPr>
        <w:t> </w:t>
      </w:r>
      <w:r>
        <w:rPr>
          <w:color w:val="231F20"/>
        </w:rPr>
        <w:t>les</w:t>
      </w:r>
      <w:r>
        <w:rPr>
          <w:color w:val="231F20"/>
          <w:spacing w:val="-5"/>
        </w:rPr>
        <w:t> </w:t>
      </w:r>
      <w:r>
        <w:rPr>
          <w:color w:val="231F20"/>
        </w:rPr>
        <w:t>actes</w:t>
      </w:r>
      <w:r>
        <w:rPr>
          <w:color w:val="231F20"/>
          <w:spacing w:val="-5"/>
        </w:rPr>
        <w:t> </w:t>
      </w:r>
      <w:r>
        <w:rPr>
          <w:color w:val="231F20"/>
        </w:rPr>
        <w:t>d’administration</w:t>
      </w:r>
      <w:r>
        <w:rPr>
          <w:color w:val="231F20"/>
          <w:spacing w:val="-5"/>
        </w:rPr>
        <w:t> </w:t>
      </w:r>
      <w:r>
        <w:rPr>
          <w:color w:val="231F20"/>
        </w:rPr>
        <w:t>afférents</w:t>
      </w:r>
      <w:r>
        <w:rPr>
          <w:color w:val="231F20"/>
          <w:spacing w:val="-6"/>
        </w:rPr>
        <w:t> </w:t>
      </w:r>
      <w:r>
        <w:rPr>
          <w:color w:val="231F20"/>
        </w:rPr>
        <w:t>à</w:t>
      </w:r>
      <w:r>
        <w:rPr>
          <w:color w:val="231F20"/>
          <w:spacing w:val="-5"/>
        </w:rPr>
        <w:t> </w:t>
      </w:r>
      <w:r>
        <w:rPr>
          <w:color w:val="231F20"/>
        </w:rPr>
        <w:t>la décision</w:t>
      </w:r>
      <w:r>
        <w:rPr>
          <w:color w:val="231F20"/>
          <w:spacing w:val="15"/>
        </w:rPr>
        <w:t> </w:t>
      </w:r>
      <w:r>
        <w:rPr>
          <w:color w:val="231F20"/>
        </w:rPr>
        <w:t>prise</w:t>
      </w:r>
      <w:r>
        <w:rPr>
          <w:color w:val="231F20"/>
          <w:spacing w:val="15"/>
        </w:rPr>
        <w:t> </w:t>
      </w:r>
      <w:r>
        <w:rPr>
          <w:color w:val="231F20"/>
        </w:rPr>
        <w:t>en</w:t>
      </w:r>
      <w:r>
        <w:rPr>
          <w:color w:val="231F20"/>
          <w:spacing w:val="15"/>
        </w:rPr>
        <w:t> </w:t>
      </w:r>
      <w:r>
        <w:rPr>
          <w:color w:val="231F20"/>
        </w:rPr>
        <w:t>application</w:t>
      </w:r>
      <w:r>
        <w:rPr>
          <w:color w:val="231F20"/>
          <w:spacing w:val="16"/>
        </w:rPr>
        <w:t> </w:t>
      </w:r>
      <w:r>
        <w:rPr>
          <w:color w:val="231F20"/>
        </w:rPr>
        <w:t>du</w:t>
      </w:r>
      <w:r>
        <w:rPr>
          <w:color w:val="231F20"/>
          <w:spacing w:val="15"/>
        </w:rPr>
        <w:t> </w:t>
      </w:r>
      <w:r>
        <w:rPr>
          <w:color w:val="231F20"/>
        </w:rPr>
        <w:t>même</w:t>
      </w:r>
      <w:r>
        <w:rPr>
          <w:color w:val="231F20"/>
          <w:spacing w:val="15"/>
        </w:rPr>
        <w:t> </w:t>
      </w:r>
      <w:r>
        <w:rPr>
          <w:color w:val="231F20"/>
        </w:rPr>
        <w:t>article.</w:t>
      </w:r>
    </w:p>
    <w:p>
      <w:pPr>
        <w:pStyle w:val="BodyText"/>
        <w:ind w:left="0" w:right="0" w:firstLine="0"/>
        <w:jc w:val="left"/>
        <w:rPr>
          <w:sz w:val="23"/>
        </w:rPr>
      </w:pPr>
    </w:p>
    <w:p>
      <w:pPr>
        <w:pStyle w:val="BodyText"/>
        <w:spacing w:line="218" w:lineRule="auto"/>
        <w:ind w:right="38"/>
      </w:pPr>
      <w:r>
        <w:rPr>
          <w:color w:val="231F20"/>
        </w:rPr>
        <w:t>§ 2. Le fait qu’en cours d’instance, un ou plusieurs actionnaires cessent de faire partie du groupe d’actionnaires minoritaires, soit parce qu’ils ne possèdent plus d’actions, soit parce qu’ils renoncent à participer à l’action, est sans effet sur la poursuite de ladite instance ou sur l’exercice des voies de recours.</w:t>
      </w:r>
    </w:p>
    <w:p>
      <w:pPr>
        <w:pStyle w:val="BodyText"/>
        <w:spacing w:line="218" w:lineRule="auto" w:before="86"/>
        <w:ind w:right="38"/>
      </w:pPr>
      <w:r>
        <w:rPr>
          <w:color w:val="231F20"/>
        </w:rPr>
        <w:t>§ 3. Si tant les représentants légaux de la société qu’un ou plusieurs titulaires de titres intentent l’action contre un ou plusieurs administra- teurs ou membres du conseil de surveillance, les demandes sont jointes pour connexité.</w:t>
      </w:r>
    </w:p>
    <w:p>
      <w:pPr>
        <w:pStyle w:val="BodyText"/>
        <w:spacing w:line="213" w:lineRule="auto" w:before="89"/>
        <w:ind w:right="38"/>
      </w:pPr>
      <w:r>
        <w:rPr>
          <w:color w:val="231F20"/>
        </w:rPr>
        <w:t>§ 4. Toute transaction conclue avant que l’action n’ait été intentée peut être annulée à la demande des titulaires de titres réunissant les conditions prévues au paragraphe 1</w:t>
      </w:r>
      <w:r>
        <w:rPr>
          <w:color w:val="231F20"/>
          <w:position w:val="7"/>
          <w:sz w:val="11"/>
        </w:rPr>
        <w:t>er </w:t>
      </w:r>
      <w:r>
        <w:rPr>
          <w:color w:val="231F20"/>
        </w:rPr>
        <w:t>si elle n’a point été faite à l’avantage de tous les titulaires de titres.</w:t>
      </w:r>
    </w:p>
    <w:p>
      <w:pPr>
        <w:pStyle w:val="BodyText"/>
        <w:spacing w:line="218" w:lineRule="auto" w:before="82"/>
        <w:ind w:right="38"/>
      </w:pPr>
      <w:r>
        <w:rPr>
          <w:color w:val="231F20"/>
        </w:rPr>
        <w:t>Dès que l’action est intentée, la société ne peut plus transiger avec les administrateurs ou les membres du conseil de surveillance assignés sans le consentement unanime de ceux qui demeurent demandeurs de l’action.</w:t>
      </w:r>
    </w:p>
    <w:p>
      <w:pPr>
        <w:pStyle w:val="BodyText"/>
        <w:spacing w:line="218" w:lineRule="auto" w:before="86"/>
        <w:ind w:right="38"/>
      </w:pPr>
      <w:r>
        <w:rPr>
          <w:color w:val="231F20"/>
        </w:rPr>
        <w:t>Art. 7:158. Les demandeurs doivent désigner, à l’unanimité, un mandataire spécial, actionnaire ou non, chargé de conduire le procès, dont le nom doit être indiqué dans l’exploit introductif d’instance et chez qui il doit être fait élection de domicile.</w:t>
      </w:r>
    </w:p>
    <w:p>
      <w:pPr>
        <w:pStyle w:val="BodyText"/>
        <w:spacing w:line="218" w:lineRule="auto" w:before="86"/>
        <w:ind w:right="38"/>
      </w:pPr>
      <w:r>
        <w:rPr>
          <w:color w:val="231F20"/>
        </w:rPr>
        <w:t>Les demandeurs peuvent, à l’unanimité, révoquer le mandataire spécial. La révocation peut aussi être poursuivie pour cause légitime par tout titulaire de titres, devant le président du tribunal de l’entreprise statuant comme en</w:t>
      </w:r>
      <w:r>
        <w:rPr>
          <w:color w:val="231F20"/>
          <w:spacing w:val="17"/>
        </w:rPr>
        <w:t> </w:t>
      </w:r>
      <w:r>
        <w:rPr>
          <w:color w:val="231F20"/>
        </w:rPr>
        <w:t>référé.</w:t>
      </w:r>
    </w:p>
    <w:p>
      <w:pPr>
        <w:pStyle w:val="BodyText"/>
        <w:spacing w:line="218" w:lineRule="auto" w:before="85"/>
        <w:ind w:right="38"/>
      </w:pPr>
      <w:r>
        <w:rPr>
          <w:color w:val="231F20"/>
        </w:rPr>
        <w:t>En cas de décès, de démission, d’incapacité, de déconfiture, de faillite ou de révocation du mandataire spécial, et à défaut d’accord entre tous les demandeurs sur la personne de son remplaçant, celui-ci est désigné par le président du tribunal de l’entreprise, sur requête du demandeur le plus diligent.</w:t>
      </w:r>
    </w:p>
    <w:p>
      <w:pPr>
        <w:pStyle w:val="BodyText"/>
        <w:spacing w:line="218" w:lineRule="auto" w:before="86"/>
        <w:ind w:right="38"/>
      </w:pPr>
      <w:r>
        <w:rPr>
          <w:color w:val="231F20"/>
        </w:rPr>
        <w:t>Art. 7:159. Si la demande minoritaire est rejetée, les demandeurs peuvent être condamnés personnellement aux dépens et, s’il y a lieu, aux dommages-intérêts envers les défendeurs.</w:t>
      </w:r>
    </w:p>
    <w:p>
      <w:pPr>
        <w:pStyle w:val="BodyText"/>
        <w:spacing w:line="218" w:lineRule="auto" w:before="86"/>
        <w:ind w:right="38"/>
      </w:pPr>
      <w:r>
        <w:rPr>
          <w:color w:val="231F20"/>
        </w:rPr>
        <w:t>Si la demande est accueillie, la société rembourse les sommes dont</w:t>
      </w:r>
      <w:r>
        <w:rPr>
          <w:color w:val="231F20"/>
          <w:spacing w:val="-29"/>
        </w:rPr>
        <w:t> </w:t>
      </w:r>
      <w:r>
        <w:rPr>
          <w:color w:val="231F20"/>
        </w:rPr>
        <w:t>les demandeurs ont fait l’avance et qui ne sont point comprises dans les dépens</w:t>
      </w:r>
      <w:r>
        <w:rPr>
          <w:color w:val="231F20"/>
          <w:spacing w:val="15"/>
        </w:rPr>
        <w:t> </w:t>
      </w:r>
      <w:r>
        <w:rPr>
          <w:color w:val="231F20"/>
        </w:rPr>
        <w:t>mis</w:t>
      </w:r>
      <w:r>
        <w:rPr>
          <w:color w:val="231F20"/>
          <w:spacing w:val="15"/>
        </w:rPr>
        <w:t> </w:t>
      </w:r>
      <w:r>
        <w:rPr>
          <w:color w:val="231F20"/>
        </w:rPr>
        <w:t>à</w:t>
      </w:r>
      <w:r>
        <w:rPr>
          <w:color w:val="231F20"/>
          <w:spacing w:val="16"/>
        </w:rPr>
        <w:t> </w:t>
      </w:r>
      <w:r>
        <w:rPr>
          <w:color w:val="231F20"/>
        </w:rPr>
        <w:t>charge</w:t>
      </w:r>
      <w:r>
        <w:rPr>
          <w:color w:val="231F20"/>
          <w:spacing w:val="15"/>
        </w:rPr>
        <w:t> </w:t>
      </w:r>
      <w:r>
        <w:rPr>
          <w:color w:val="231F20"/>
        </w:rPr>
        <w:t>des</w:t>
      </w:r>
      <w:r>
        <w:rPr>
          <w:color w:val="231F20"/>
          <w:spacing w:val="16"/>
        </w:rPr>
        <w:t> </w:t>
      </w:r>
      <w:r>
        <w:rPr>
          <w:color w:val="231F20"/>
        </w:rPr>
        <w:t>défendeurs.</w:t>
      </w:r>
    </w:p>
    <w:p>
      <w:pPr>
        <w:pStyle w:val="BodyText"/>
        <w:spacing w:before="82"/>
        <w:ind w:left="283" w:right="0" w:firstLine="0"/>
        <w:jc w:val="left"/>
      </w:pPr>
      <w:r>
        <w:rPr>
          <w:color w:val="231F20"/>
        </w:rPr>
        <w:t>Section 3. Experts.</w:t>
      </w:r>
    </w:p>
    <w:p>
      <w:pPr>
        <w:pStyle w:val="BodyText"/>
        <w:spacing w:line="218" w:lineRule="auto" w:before="92"/>
        <w:ind w:right="38"/>
      </w:pPr>
      <w:r>
        <w:rPr>
          <w:color w:val="231F20"/>
        </w:rPr>
        <w:t>Art. 7:160. S’il existe des indices d’atteinte grave ou de risque d’atteinte grave aux intérêts de la société, le président du tribunal de l’entreprise siégeant en référé peut, à la requête d’un ou de plusieurs actionnaires possédant au moins 1 % des voix attachées à l’ensemble des titres existants, ou possédant des titres représentant une fraction</w:t>
      </w:r>
      <w:r>
        <w:rPr>
          <w:color w:val="231F20"/>
          <w:spacing w:val="-25"/>
        </w:rPr>
        <w:t> </w:t>
      </w:r>
      <w:r>
        <w:rPr>
          <w:color w:val="231F20"/>
        </w:rPr>
        <w:t>du capital égale à 1 250 000 euros au moins, nommer un ou plusieurs experts ayant pour mission de vérifier les livres et les comptes de la société</w:t>
      </w:r>
      <w:r>
        <w:rPr>
          <w:color w:val="231F20"/>
          <w:spacing w:val="14"/>
        </w:rPr>
        <w:t> </w:t>
      </w:r>
      <w:r>
        <w:rPr>
          <w:color w:val="231F20"/>
        </w:rPr>
        <w:t>ainsi</w:t>
      </w:r>
      <w:r>
        <w:rPr>
          <w:color w:val="231F20"/>
          <w:spacing w:val="15"/>
        </w:rPr>
        <w:t> </w:t>
      </w:r>
      <w:r>
        <w:rPr>
          <w:color w:val="231F20"/>
        </w:rPr>
        <w:t>que</w:t>
      </w:r>
      <w:r>
        <w:rPr>
          <w:color w:val="231F20"/>
          <w:spacing w:val="15"/>
        </w:rPr>
        <w:t> </w:t>
      </w:r>
      <w:r>
        <w:rPr>
          <w:color w:val="231F20"/>
        </w:rPr>
        <w:t>les</w:t>
      </w:r>
      <w:r>
        <w:rPr>
          <w:color w:val="231F20"/>
          <w:spacing w:val="14"/>
        </w:rPr>
        <w:t> </w:t>
      </w:r>
      <w:r>
        <w:rPr>
          <w:color w:val="231F20"/>
        </w:rPr>
        <w:t>opérations</w:t>
      </w:r>
      <w:r>
        <w:rPr>
          <w:color w:val="231F20"/>
          <w:spacing w:val="15"/>
        </w:rPr>
        <w:t> </w:t>
      </w:r>
      <w:r>
        <w:rPr>
          <w:color w:val="231F20"/>
        </w:rPr>
        <w:t>accomplies</w:t>
      </w:r>
      <w:r>
        <w:rPr>
          <w:color w:val="231F20"/>
          <w:spacing w:val="15"/>
        </w:rPr>
        <w:t> </w:t>
      </w:r>
      <w:r>
        <w:rPr>
          <w:color w:val="231F20"/>
        </w:rPr>
        <w:t>par</w:t>
      </w:r>
      <w:r>
        <w:rPr>
          <w:color w:val="231F20"/>
          <w:spacing w:val="15"/>
        </w:rPr>
        <w:t> </w:t>
      </w:r>
      <w:r>
        <w:rPr>
          <w:color w:val="231F20"/>
        </w:rPr>
        <w:t>ses</w:t>
      </w:r>
      <w:r>
        <w:rPr>
          <w:color w:val="231F20"/>
          <w:spacing w:val="14"/>
        </w:rPr>
        <w:t> </w:t>
      </w:r>
      <w:r>
        <w:rPr>
          <w:color w:val="231F20"/>
        </w:rPr>
        <w:t>organes.</w:t>
      </w:r>
    </w:p>
    <w:p>
      <w:pPr>
        <w:pStyle w:val="BodyText"/>
        <w:spacing w:line="324" w:lineRule="auto" w:before="105"/>
        <w:ind w:left="283" w:right="0" w:firstLine="0"/>
        <w:jc w:val="left"/>
      </w:pPr>
      <w:r>
        <w:rPr/>
        <w:br w:type="column"/>
      </w:r>
      <w:r>
        <w:rPr>
          <w:color w:val="231F20"/>
        </w:rPr>
        <w:t>HOOFDSTUK 3. Vennootschapsvordering en minderheidsvordering. Afdeling 1. Vennootschapsvordering.</w:t>
      </w:r>
    </w:p>
    <w:p>
      <w:pPr>
        <w:pStyle w:val="BodyText"/>
        <w:spacing w:line="218" w:lineRule="auto" w:before="15"/>
      </w:pPr>
      <w:r>
        <w:rPr>
          <w:color w:val="231F20"/>
        </w:rPr>
        <w:t>Art. 7:156. De algemene vergadering beslist of tegen de bestuurders, de leden van de raad van toezicht of de commissarissen een vennoot- schapsvordering moet worden ingesteld. Zij kan één of meer lastheb- bers aanstellen voor de uitvoering van dat besluit.</w:t>
      </w:r>
    </w:p>
    <w:p>
      <w:pPr>
        <w:pStyle w:val="BodyText"/>
        <w:spacing w:line="218" w:lineRule="auto" w:before="86"/>
        <w:ind w:right="123"/>
      </w:pPr>
      <w:r>
        <w:rPr>
          <w:color w:val="231F20"/>
        </w:rPr>
        <w:t>In een duaal bestuur als bedoeld in hoofdstuk 1, afdeling 3, beslist de raad van toezicht of tegen de leden van de directieraad een vennoot- </w:t>
      </w:r>
      <w:r>
        <w:rPr>
          <w:color w:val="231F20"/>
          <w:spacing w:val="-3"/>
        </w:rPr>
        <w:t>schapsvordering wordt </w:t>
      </w:r>
      <w:r>
        <w:rPr>
          <w:color w:val="231F20"/>
        </w:rPr>
        <w:t>ingesteld. Niettegenstaande artikel </w:t>
      </w:r>
      <w:r>
        <w:rPr>
          <w:color w:val="231F20"/>
          <w:spacing w:val="-4"/>
        </w:rPr>
        <w:t>7:110, </w:t>
      </w:r>
      <w:r>
        <w:rPr>
          <w:color w:val="231F20"/>
          <w:spacing w:val="-2"/>
        </w:rPr>
        <w:t>tweede </w:t>
      </w:r>
      <w:r>
        <w:rPr>
          <w:color w:val="231F20"/>
        </w:rPr>
        <w:t>lid, is de raad van toezicht bevoegd om al het nodige te doen om namens</w:t>
      </w:r>
      <w:r>
        <w:rPr>
          <w:color w:val="231F20"/>
          <w:spacing w:val="20"/>
        </w:rPr>
        <w:t> </w:t>
      </w:r>
      <w:r>
        <w:rPr>
          <w:color w:val="231F20"/>
        </w:rPr>
        <w:t>de</w:t>
      </w:r>
      <w:r>
        <w:rPr>
          <w:color w:val="231F20"/>
          <w:spacing w:val="20"/>
        </w:rPr>
        <w:t> </w:t>
      </w:r>
      <w:r>
        <w:rPr>
          <w:color w:val="231F20"/>
        </w:rPr>
        <w:t>vennootschap</w:t>
      </w:r>
      <w:r>
        <w:rPr>
          <w:color w:val="231F20"/>
          <w:spacing w:val="20"/>
        </w:rPr>
        <w:t> </w:t>
      </w:r>
      <w:r>
        <w:rPr>
          <w:color w:val="231F20"/>
        </w:rPr>
        <w:t>deze</w:t>
      </w:r>
      <w:r>
        <w:rPr>
          <w:color w:val="231F20"/>
          <w:spacing w:val="20"/>
        </w:rPr>
        <w:t> </w:t>
      </w:r>
      <w:r>
        <w:rPr>
          <w:color w:val="231F20"/>
        </w:rPr>
        <w:t>vennootschapsvordering</w:t>
      </w:r>
      <w:r>
        <w:rPr>
          <w:color w:val="231F20"/>
          <w:spacing w:val="20"/>
        </w:rPr>
        <w:t> </w:t>
      </w:r>
      <w:r>
        <w:rPr>
          <w:color w:val="231F20"/>
        </w:rPr>
        <w:t>in</w:t>
      </w:r>
      <w:r>
        <w:rPr>
          <w:color w:val="231F20"/>
          <w:spacing w:val="20"/>
        </w:rPr>
        <w:t> </w:t>
      </w:r>
      <w:r>
        <w:rPr>
          <w:color w:val="231F20"/>
        </w:rPr>
        <w:t>te</w:t>
      </w:r>
      <w:r>
        <w:rPr>
          <w:color w:val="231F20"/>
          <w:spacing w:val="20"/>
        </w:rPr>
        <w:t> </w:t>
      </w:r>
      <w:r>
        <w:rPr>
          <w:color w:val="231F20"/>
        </w:rPr>
        <w:t>stellen.</w:t>
      </w:r>
    </w:p>
    <w:p>
      <w:pPr>
        <w:pStyle w:val="BodyText"/>
        <w:spacing w:before="72"/>
        <w:ind w:left="283" w:right="0" w:firstLine="0"/>
        <w:jc w:val="left"/>
      </w:pPr>
      <w:r>
        <w:rPr>
          <w:color w:val="231F20"/>
        </w:rPr>
        <w:t>Afdeling 2. Minderheidsvordering.</w:t>
      </w:r>
    </w:p>
    <w:p>
      <w:pPr>
        <w:pStyle w:val="BodyText"/>
        <w:spacing w:line="218" w:lineRule="auto" w:before="82"/>
      </w:pPr>
      <w:r>
        <w:rPr>
          <w:color w:val="231F20"/>
        </w:rPr>
        <w:t>Art. 7:157. § 1. Minderheidsaandeelhouders kunnen voor rekening van de vennootschap een vordering tegen de bestuurders of de leden van de raad van toezicht instellen.</w:t>
      </w:r>
    </w:p>
    <w:p>
      <w:pPr>
        <w:pStyle w:val="BodyText"/>
        <w:spacing w:line="218" w:lineRule="auto" w:before="85"/>
        <w:ind w:right="123"/>
      </w:pPr>
      <w:r>
        <w:rPr>
          <w:color w:val="231F20"/>
        </w:rPr>
        <w:t>Deze minderheidsaandeelhouders moeten, op de dag waarop de algemene vergadering zich uitspreekt over de aan de bestuurders te verlenen kwijting, effecten bezitten die ten minste 1 % vertegenwoor- digen van de stemmen verbonden aan het geheel van de op die dag bestaande effecten, of op diezelfde dag effecten bezitten die een gedeelte van het kapitaal vertegenwoordigen ter waarde van ten minste 1 250 000 euro.</w:t>
      </w:r>
    </w:p>
    <w:p>
      <w:pPr>
        <w:pStyle w:val="BodyText"/>
        <w:spacing w:line="218" w:lineRule="auto" w:before="86"/>
      </w:pPr>
      <w:r>
        <w:rPr>
          <w:color w:val="231F20"/>
        </w:rPr>
        <w:t>Aandeelhouders met stemrecht kunnen de vordering slechts instellen indien ze de kwijting niet of op een ongeldige wijze hebben goedge- keurd.</w:t>
      </w:r>
    </w:p>
    <w:p>
      <w:pPr>
        <w:pStyle w:val="BodyText"/>
        <w:spacing w:line="218" w:lineRule="auto" w:before="85"/>
      </w:pPr>
      <w:r>
        <w:rPr>
          <w:color w:val="231F20"/>
        </w:rPr>
        <w:t>Aandeelhouders zonder stemrecht kunnen de vordering slechts instellen in de gevallen waarin zij overeenkomstig artikel 7:57, hun stemrecht hebben uitgeoefend, en slechts met betrekking tot de daden van bestuur die betrekking hebben op de met toepassing van hetzelfde artikel genomen beslissing.</w:t>
      </w:r>
    </w:p>
    <w:p>
      <w:pPr>
        <w:pStyle w:val="BodyText"/>
        <w:spacing w:line="218" w:lineRule="auto" w:before="86"/>
      </w:pPr>
      <w:r>
        <w:rPr>
          <w:color w:val="231F20"/>
        </w:rPr>
        <w:t>§ 2. Het feit dat tijdens de procedure één of meer aandeelhouders ophouden deel uit te maken van de groep van minderheidsaandeel- houders, hetzij omdat zij geen aandelen meer bezitten, hetzij omdat zij afzien van de vordering, heeft geen invloed op de voortzetting van bedoelde procedure noch op de aanwending van de rechtsmiddelen.</w:t>
      </w:r>
    </w:p>
    <w:p>
      <w:pPr>
        <w:pStyle w:val="BodyText"/>
        <w:spacing w:line="218" w:lineRule="auto" w:before="86"/>
      </w:pPr>
      <w:r>
        <w:rPr>
          <w:color w:val="231F20"/>
        </w:rPr>
        <w:t>§ 3. Indien zowel de wettelijke vertegenwoordigers van de vennoot- schap als één of meer houders van effecten een vordering instellen tegen één of meerdere bestuurders of leden van de raad van toezicht worden</w:t>
      </w:r>
      <w:r>
        <w:rPr>
          <w:color w:val="231F20"/>
          <w:spacing w:val="22"/>
        </w:rPr>
        <w:t> </w:t>
      </w:r>
      <w:r>
        <w:rPr>
          <w:color w:val="231F20"/>
        </w:rPr>
        <w:t>de</w:t>
      </w:r>
      <w:r>
        <w:rPr>
          <w:color w:val="231F20"/>
          <w:spacing w:val="22"/>
        </w:rPr>
        <w:t> </w:t>
      </w:r>
      <w:r>
        <w:rPr>
          <w:color w:val="231F20"/>
        </w:rPr>
        <w:t>vorderingen</w:t>
      </w:r>
      <w:r>
        <w:rPr>
          <w:color w:val="231F20"/>
          <w:spacing w:val="23"/>
        </w:rPr>
        <w:t> </w:t>
      </w:r>
      <w:r>
        <w:rPr>
          <w:color w:val="231F20"/>
        </w:rPr>
        <w:t>wegens</w:t>
      </w:r>
      <w:r>
        <w:rPr>
          <w:color w:val="231F20"/>
          <w:spacing w:val="22"/>
        </w:rPr>
        <w:t> </w:t>
      </w:r>
      <w:r>
        <w:rPr>
          <w:color w:val="231F20"/>
        </w:rPr>
        <w:t>hun</w:t>
      </w:r>
      <w:r>
        <w:rPr>
          <w:color w:val="231F20"/>
          <w:spacing w:val="22"/>
        </w:rPr>
        <w:t> </w:t>
      </w:r>
      <w:r>
        <w:rPr>
          <w:color w:val="231F20"/>
        </w:rPr>
        <w:t>samenhang</w:t>
      </w:r>
      <w:r>
        <w:rPr>
          <w:color w:val="231F20"/>
          <w:spacing w:val="23"/>
        </w:rPr>
        <w:t> </w:t>
      </w:r>
      <w:r>
        <w:rPr>
          <w:color w:val="231F20"/>
        </w:rPr>
        <w:t>samengevoegd.</w:t>
      </w:r>
    </w:p>
    <w:p>
      <w:pPr>
        <w:pStyle w:val="BodyText"/>
        <w:spacing w:line="218" w:lineRule="auto" w:before="86"/>
      </w:pPr>
      <w:r>
        <w:rPr>
          <w:color w:val="231F20"/>
        </w:rPr>
        <w:t>§ 4. Een dading aangegaan voordat de vordering is ingesteld kan nietig worden verklaard op verzoek van de  effectenhouders  die voldoen aan de voorwaarden bepaald in paragraaf 1, indien de dading niet</w:t>
      </w:r>
      <w:r>
        <w:rPr>
          <w:color w:val="231F20"/>
          <w:spacing w:val="16"/>
        </w:rPr>
        <w:t> </w:t>
      </w:r>
      <w:r>
        <w:rPr>
          <w:color w:val="231F20"/>
        </w:rPr>
        <w:t>in</w:t>
      </w:r>
      <w:r>
        <w:rPr>
          <w:color w:val="231F20"/>
          <w:spacing w:val="17"/>
        </w:rPr>
        <w:t> </w:t>
      </w:r>
      <w:r>
        <w:rPr>
          <w:color w:val="231F20"/>
        </w:rPr>
        <w:t>het</w:t>
      </w:r>
      <w:r>
        <w:rPr>
          <w:color w:val="231F20"/>
          <w:spacing w:val="17"/>
        </w:rPr>
        <w:t> </w:t>
      </w:r>
      <w:r>
        <w:rPr>
          <w:color w:val="231F20"/>
        </w:rPr>
        <w:t>voordeel</w:t>
      </w:r>
      <w:r>
        <w:rPr>
          <w:color w:val="231F20"/>
          <w:spacing w:val="17"/>
        </w:rPr>
        <w:t> </w:t>
      </w:r>
      <w:r>
        <w:rPr>
          <w:color w:val="231F20"/>
        </w:rPr>
        <w:t>van</w:t>
      </w:r>
      <w:r>
        <w:rPr>
          <w:color w:val="231F20"/>
          <w:spacing w:val="17"/>
        </w:rPr>
        <w:t> </w:t>
      </w:r>
      <w:r>
        <w:rPr>
          <w:color w:val="231F20"/>
        </w:rPr>
        <w:t>alle</w:t>
      </w:r>
      <w:r>
        <w:rPr>
          <w:color w:val="231F20"/>
          <w:spacing w:val="17"/>
        </w:rPr>
        <w:t> </w:t>
      </w:r>
      <w:r>
        <w:rPr>
          <w:color w:val="231F20"/>
        </w:rPr>
        <w:t>effectenhouders</w:t>
      </w:r>
      <w:r>
        <w:rPr>
          <w:color w:val="231F20"/>
          <w:spacing w:val="17"/>
        </w:rPr>
        <w:t> </w:t>
      </w:r>
      <w:r>
        <w:rPr>
          <w:color w:val="231F20"/>
        </w:rPr>
        <w:t>werd</w:t>
      </w:r>
      <w:r>
        <w:rPr>
          <w:color w:val="231F20"/>
          <w:spacing w:val="17"/>
        </w:rPr>
        <w:t> </w:t>
      </w:r>
      <w:r>
        <w:rPr>
          <w:color w:val="231F20"/>
        </w:rPr>
        <w:t>aangegaan.</w:t>
      </w:r>
    </w:p>
    <w:p>
      <w:pPr>
        <w:pStyle w:val="BodyText"/>
        <w:spacing w:line="218" w:lineRule="auto" w:before="85"/>
      </w:pPr>
      <w:r>
        <w:rPr>
          <w:color w:val="231F20"/>
        </w:rPr>
        <w:t>Is de vordering ingesteld, dan kan de vennootschap geen dading meer aangaan met de gedaagde bestuurders of leden van de raad van toezicht zonder de eenparige instemming van degenen die eisers  blijven van de</w:t>
      </w:r>
      <w:r>
        <w:rPr>
          <w:color w:val="231F20"/>
          <w:spacing w:val="5"/>
        </w:rPr>
        <w:t> </w:t>
      </w:r>
      <w:r>
        <w:rPr>
          <w:color w:val="231F20"/>
        </w:rPr>
        <w:t>vordering.</w:t>
      </w:r>
    </w:p>
    <w:p>
      <w:pPr>
        <w:pStyle w:val="BodyText"/>
        <w:spacing w:line="218" w:lineRule="auto" w:before="86"/>
      </w:pPr>
      <w:r>
        <w:rPr>
          <w:color w:val="231F20"/>
        </w:rPr>
        <w:t>Art. 7:158. De eisers moeten eenparig een bijzondere lasthebber aanstellen, al dan niet aandeelhouder, belast met het voeren van het rechtsgeding, wiens naam in het exploot van rechtsingang wordt vermeld en bij wie keuze van woonplaats wordt gedaan.</w:t>
      </w:r>
    </w:p>
    <w:p>
      <w:pPr>
        <w:pStyle w:val="BodyText"/>
        <w:spacing w:line="218" w:lineRule="auto" w:before="85"/>
      </w:pPr>
      <w:r>
        <w:rPr>
          <w:color w:val="231F20"/>
        </w:rPr>
        <w:t>De eisers kunnen eenparig de bijzondere lasthebber ontslaan. Het ontslag kan om wettige redenen ook door iedere effectenhouder worden gevorderd bij de voorzitter van de ondernemingsrechtbank, die uitspraak</w:t>
      </w:r>
      <w:r>
        <w:rPr>
          <w:color w:val="231F20"/>
          <w:spacing w:val="15"/>
        </w:rPr>
        <w:t> </w:t>
      </w:r>
      <w:r>
        <w:rPr>
          <w:color w:val="231F20"/>
        </w:rPr>
        <w:t>doet</w:t>
      </w:r>
      <w:r>
        <w:rPr>
          <w:color w:val="231F20"/>
          <w:spacing w:val="15"/>
        </w:rPr>
        <w:t> </w:t>
      </w:r>
      <w:r>
        <w:rPr>
          <w:color w:val="231F20"/>
        </w:rPr>
        <w:t>als</w:t>
      </w:r>
      <w:r>
        <w:rPr>
          <w:color w:val="231F20"/>
          <w:spacing w:val="16"/>
        </w:rPr>
        <w:t> </w:t>
      </w:r>
      <w:r>
        <w:rPr>
          <w:color w:val="231F20"/>
        </w:rPr>
        <w:t>in</w:t>
      </w:r>
      <w:r>
        <w:rPr>
          <w:color w:val="231F20"/>
          <w:spacing w:val="15"/>
        </w:rPr>
        <w:t> </w:t>
      </w:r>
      <w:r>
        <w:rPr>
          <w:color w:val="231F20"/>
        </w:rPr>
        <w:t>kort</w:t>
      </w:r>
      <w:r>
        <w:rPr>
          <w:color w:val="231F20"/>
          <w:spacing w:val="16"/>
        </w:rPr>
        <w:t> </w:t>
      </w:r>
      <w:r>
        <w:rPr>
          <w:color w:val="231F20"/>
        </w:rPr>
        <w:t>geding.</w:t>
      </w:r>
    </w:p>
    <w:p>
      <w:pPr>
        <w:pStyle w:val="BodyText"/>
        <w:spacing w:line="218" w:lineRule="auto" w:before="86"/>
        <w:ind w:right="123"/>
      </w:pPr>
      <w:r>
        <w:rPr>
          <w:color w:val="231F20"/>
        </w:rPr>
        <w:t>Indien bij overlijden, ontslagneming, onbekwaamheid, kennelijk onvermogen, faillissement of ontslag van de bijzondere lasthebber, de eisers geen overeenstemming kunnen bereiken omtrent de aanwijzing van diens plaatsvervanger, wordt deze benoemd door de voorzitter van de ondernemingsrechtbank, op verzoek van de meest gerede eiser.</w:t>
      </w:r>
    </w:p>
    <w:p>
      <w:pPr>
        <w:pStyle w:val="BodyText"/>
        <w:spacing w:line="218" w:lineRule="auto" w:before="86"/>
      </w:pPr>
      <w:r>
        <w:rPr>
          <w:color w:val="231F20"/>
        </w:rPr>
        <w:t>Art. 7:159. Indien de minderheidsvordering wordt afgewezen, kun- nen de eisers persoonlijk in de kosten worden veroordeeld en, indien daartoe grond bestaat, tot schadevergoeding jegens de verweerders.</w:t>
      </w:r>
    </w:p>
    <w:p>
      <w:pPr>
        <w:pStyle w:val="BodyText"/>
        <w:spacing w:line="218" w:lineRule="auto" w:before="85"/>
      </w:pPr>
      <w:r>
        <w:rPr>
          <w:color w:val="231F20"/>
        </w:rPr>
        <w:t>Wordt de vordering toegewezen, dan betaalt de vennootschap de bedragen terug die de eisers hebben voorgeschoten en die niet zijn begrepen in de kosten waartoe de verweerders zijn veroordeeld.</w:t>
      </w:r>
    </w:p>
    <w:p>
      <w:pPr>
        <w:pStyle w:val="BodyText"/>
        <w:spacing w:before="83"/>
        <w:ind w:left="283" w:right="0" w:firstLine="0"/>
        <w:jc w:val="left"/>
      </w:pPr>
      <w:r>
        <w:rPr>
          <w:color w:val="231F20"/>
        </w:rPr>
        <w:t>Afdeling 3. Deskundigen.</w:t>
      </w:r>
    </w:p>
    <w:p>
      <w:pPr>
        <w:pStyle w:val="BodyText"/>
        <w:spacing w:line="218" w:lineRule="auto" w:before="92"/>
      </w:pPr>
      <w:r>
        <w:rPr>
          <w:color w:val="231F20"/>
        </w:rPr>
        <w:t>Art. 7:160. Op verzoek van één of meer aandeelhouders die ten minste 1 % hebben van het geheel aantal stemmen, of die effecten bezitten die een gedeelte van het kapitaal vertegenwoordigen ter waarde van ten minste 1 250 000 euro, kan de voorzitter van de ondernemingsrechtbank, in kort geding één of meer deskundigen aanstellen om de boeken en de rekeningen van de vennootschap na te zien en ook de verrichtingen die haar organen hebben gedaan, indien er aanwijzingen zijn dat de belangen van de vennootschap op</w:t>
      </w:r>
      <w:r>
        <w:rPr>
          <w:color w:val="231F20"/>
          <w:spacing w:val="16"/>
        </w:rPr>
        <w:t> </w:t>
      </w:r>
      <w:r>
        <w:rPr>
          <w:color w:val="231F20"/>
        </w:rPr>
        <w:t>ernstige wijze</w:t>
      </w:r>
      <w:r>
        <w:rPr>
          <w:color w:val="231F20"/>
          <w:spacing w:val="16"/>
        </w:rPr>
        <w:t> </w:t>
      </w:r>
      <w:r>
        <w:rPr>
          <w:color w:val="231F20"/>
        </w:rPr>
        <w:t>in</w:t>
      </w:r>
      <w:r>
        <w:rPr>
          <w:color w:val="231F20"/>
          <w:spacing w:val="16"/>
        </w:rPr>
        <w:t> </w:t>
      </w:r>
      <w:r>
        <w:rPr>
          <w:color w:val="231F20"/>
        </w:rPr>
        <w:t>gevaar</w:t>
      </w:r>
      <w:r>
        <w:rPr>
          <w:color w:val="231F20"/>
          <w:spacing w:val="16"/>
        </w:rPr>
        <w:t> </w:t>
      </w:r>
      <w:r>
        <w:rPr>
          <w:color w:val="231F20"/>
        </w:rPr>
        <w:t>komen</w:t>
      </w:r>
      <w:r>
        <w:rPr>
          <w:color w:val="231F20"/>
          <w:spacing w:val="16"/>
        </w:rPr>
        <w:t> </w:t>
      </w:r>
      <w:r>
        <w:rPr>
          <w:color w:val="231F20"/>
        </w:rPr>
        <w:t>of</w:t>
      </w:r>
      <w:r>
        <w:rPr>
          <w:color w:val="231F20"/>
          <w:spacing w:val="16"/>
        </w:rPr>
        <w:t> </w:t>
      </w:r>
      <w:r>
        <w:rPr>
          <w:color w:val="231F20"/>
        </w:rPr>
        <w:t>dreigen</w:t>
      </w:r>
      <w:r>
        <w:rPr>
          <w:color w:val="231F20"/>
          <w:spacing w:val="16"/>
        </w:rPr>
        <w:t> </w:t>
      </w:r>
      <w:r>
        <w:rPr>
          <w:color w:val="231F20"/>
        </w:rPr>
        <w:t>te</w:t>
      </w:r>
      <w:r>
        <w:rPr>
          <w:color w:val="231F20"/>
          <w:spacing w:val="16"/>
        </w:rPr>
        <w:t> </w:t>
      </w:r>
      <w:r>
        <w:rPr>
          <w:color w:val="231F20"/>
        </w:rPr>
        <w:t>komen.</w:t>
      </w:r>
    </w:p>
    <w:p>
      <w:pPr>
        <w:spacing w:after="0" w:line="218" w:lineRule="auto"/>
        <w:sectPr>
          <w:headerReference w:type="even" r:id="rId83"/>
          <w:headerReference w:type="default" r:id="rId84"/>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5632" from="298.170502pt,64.473pt" to="298.170502pt,812.819pt" stroked="true" strokeweight=".533pt" strokecolor="#231f20">
            <v:stroke dashstyle="solid"/>
            <w10:wrap type="none"/>
          </v:line>
        </w:pict>
      </w:r>
      <w:bookmarkStart w:name="_bookmark192" w:id="197"/>
      <w:bookmarkEnd w:id="197"/>
      <w:r>
        <w:rPr/>
      </w:r>
      <w:r>
        <w:rPr>
          <w:color w:val="231F20"/>
        </w:rPr>
        <w:t>Le président détermine si le rapport de l’expert doit faire l’objet d’une publicité. Il peut notamment en imposer la publication, aux frais 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selon</w:t>
      </w:r>
      <w:r>
        <w:rPr>
          <w:color w:val="231F20"/>
          <w:spacing w:val="15"/>
        </w:rPr>
        <w:t> </w:t>
      </w:r>
      <w:r>
        <w:rPr>
          <w:color w:val="231F20"/>
        </w:rPr>
        <w:t>les</w:t>
      </w:r>
      <w:r>
        <w:rPr>
          <w:color w:val="231F20"/>
          <w:spacing w:val="16"/>
        </w:rPr>
        <w:t> </w:t>
      </w:r>
      <w:r>
        <w:rPr>
          <w:color w:val="231F20"/>
        </w:rPr>
        <w:t>modalités</w:t>
      </w:r>
      <w:r>
        <w:rPr>
          <w:color w:val="231F20"/>
          <w:spacing w:val="15"/>
        </w:rPr>
        <w:t> </w:t>
      </w:r>
      <w:r>
        <w:rPr>
          <w:color w:val="231F20"/>
        </w:rPr>
        <w:t>qu’il</w:t>
      </w:r>
      <w:r>
        <w:rPr>
          <w:color w:val="231F20"/>
          <w:spacing w:val="15"/>
        </w:rPr>
        <w:t> </w:t>
      </w:r>
      <w:r>
        <w:rPr>
          <w:color w:val="231F20"/>
        </w:rPr>
        <w:t>fixe.</w:t>
      </w:r>
    </w:p>
    <w:p>
      <w:pPr>
        <w:pStyle w:val="BodyText"/>
        <w:spacing w:before="8"/>
        <w:ind w:left="0" w:right="0" w:firstLine="0"/>
        <w:jc w:val="left"/>
        <w:rPr>
          <w:sz w:val="22"/>
        </w:rPr>
      </w:pPr>
    </w:p>
    <w:p>
      <w:pPr>
        <w:pStyle w:val="BodyText"/>
        <w:spacing w:line="319" w:lineRule="auto"/>
        <w:ind w:left="283" w:right="1150" w:firstLine="0"/>
        <w:jc w:val="left"/>
      </w:pPr>
      <w:r>
        <w:rPr>
          <w:color w:val="231F20"/>
        </w:rPr>
        <w:t>CHAPITRE 4. Assemblée générale des obligataires. Section 1</w:t>
      </w:r>
      <w:r>
        <w:rPr>
          <w:color w:val="231F20"/>
          <w:position w:val="7"/>
          <w:sz w:val="11"/>
        </w:rPr>
        <w:t>re</w:t>
      </w:r>
      <w:r>
        <w:rPr>
          <w:color w:val="231F20"/>
        </w:rPr>
        <w:t>. Champ d’application.</w:t>
      </w:r>
    </w:p>
    <w:p>
      <w:pPr>
        <w:pStyle w:val="BodyText"/>
        <w:spacing w:line="218" w:lineRule="auto" w:before="29"/>
        <w:ind w:right="38"/>
      </w:pPr>
      <w:r>
        <w:rPr>
          <w:color w:val="231F20"/>
        </w:rPr>
        <w:t>Art. 7:161. Les dispositions des sections 2 à 6 du présent chapitre s’appliquent uniquement aux obligations dans la mesure où les conditions  d’émission  n’y  dérogent  pas,  à  l’exception   des   arti-   cles</w:t>
      </w:r>
      <w:r>
        <w:rPr>
          <w:color w:val="231F20"/>
          <w:spacing w:val="14"/>
        </w:rPr>
        <w:t> </w:t>
      </w:r>
      <w:r>
        <w:rPr>
          <w:color w:val="231F20"/>
        </w:rPr>
        <w:t>7:175</w:t>
      </w:r>
      <w:r>
        <w:rPr>
          <w:color w:val="231F20"/>
          <w:spacing w:val="15"/>
        </w:rPr>
        <w:t> </w:t>
      </w:r>
      <w:r>
        <w:rPr>
          <w:color w:val="231F20"/>
        </w:rPr>
        <w:t>et</w:t>
      </w:r>
      <w:r>
        <w:rPr>
          <w:color w:val="231F20"/>
          <w:spacing w:val="15"/>
        </w:rPr>
        <w:t> </w:t>
      </w:r>
      <w:r>
        <w:rPr>
          <w:color w:val="231F20"/>
        </w:rPr>
        <w:t>7:176</w:t>
      </w:r>
      <w:r>
        <w:rPr>
          <w:color w:val="231F20"/>
          <w:spacing w:val="15"/>
        </w:rPr>
        <w:t> </w:t>
      </w:r>
      <w:r>
        <w:rPr>
          <w:color w:val="231F20"/>
        </w:rPr>
        <w:t>auxquels</w:t>
      </w:r>
      <w:r>
        <w:rPr>
          <w:color w:val="231F20"/>
          <w:spacing w:val="15"/>
        </w:rPr>
        <w:t> </w:t>
      </w:r>
      <w:r>
        <w:rPr>
          <w:color w:val="231F20"/>
        </w:rPr>
        <w:t>il</w:t>
      </w:r>
      <w:r>
        <w:rPr>
          <w:color w:val="231F20"/>
          <w:spacing w:val="15"/>
        </w:rPr>
        <w:t> </w:t>
      </w:r>
      <w:r>
        <w:rPr>
          <w:color w:val="231F20"/>
        </w:rPr>
        <w:t>ne</w:t>
      </w:r>
      <w:r>
        <w:rPr>
          <w:color w:val="231F20"/>
          <w:spacing w:val="14"/>
        </w:rPr>
        <w:t> </w:t>
      </w:r>
      <w:r>
        <w:rPr>
          <w:color w:val="231F20"/>
        </w:rPr>
        <w:t>peut</w:t>
      </w:r>
      <w:r>
        <w:rPr>
          <w:color w:val="231F20"/>
          <w:spacing w:val="15"/>
        </w:rPr>
        <w:t> </w:t>
      </w:r>
      <w:r>
        <w:rPr>
          <w:color w:val="231F20"/>
        </w:rPr>
        <w:t>être</w:t>
      </w:r>
      <w:r>
        <w:rPr>
          <w:color w:val="231F20"/>
          <w:spacing w:val="15"/>
        </w:rPr>
        <w:t> </w:t>
      </w:r>
      <w:r>
        <w:rPr>
          <w:color w:val="231F20"/>
        </w:rPr>
        <w:t>dérogé.</w:t>
      </w:r>
    </w:p>
    <w:p>
      <w:pPr>
        <w:pStyle w:val="BodyText"/>
        <w:spacing w:before="83"/>
        <w:ind w:left="283" w:right="0" w:firstLine="0"/>
        <w:jc w:val="left"/>
      </w:pPr>
      <w:r>
        <w:rPr>
          <w:color w:val="231F20"/>
        </w:rPr>
        <w:t>Section 2. Pouvoirs.</w:t>
      </w:r>
    </w:p>
    <w:p>
      <w:pPr>
        <w:pStyle w:val="BodyText"/>
        <w:spacing w:line="218" w:lineRule="auto" w:before="92"/>
        <w:ind w:right="38"/>
      </w:pPr>
      <w:r>
        <w:rPr>
          <w:color w:val="231F20"/>
        </w:rPr>
        <w:t>Art. 7:162. L’assemblée générale des obligataires a le pouvoir de modifier les conditions d’émission. Elle a notamment le pouvoir:</w:t>
      </w:r>
    </w:p>
    <w:p>
      <w:pPr>
        <w:pStyle w:val="BodyText"/>
        <w:spacing w:line="218" w:lineRule="auto" w:before="96"/>
        <w:ind w:right="38"/>
      </w:pPr>
      <w:r>
        <w:rPr>
          <w:color w:val="231F20"/>
        </w:rPr>
        <w:t>1° de proroger une ou plusieurs échéances d’intérêts, de consentir à la réduction du taux de l’intérêt ou d’en modifier les conditions</w:t>
      </w:r>
      <w:r>
        <w:rPr>
          <w:color w:val="231F20"/>
          <w:spacing w:val="28"/>
        </w:rPr>
        <w:t> </w:t>
      </w:r>
      <w:r>
        <w:rPr>
          <w:color w:val="231F20"/>
        </w:rPr>
        <w:t>de paiement;</w:t>
      </w:r>
    </w:p>
    <w:p>
      <w:pPr>
        <w:pStyle w:val="BodyText"/>
        <w:spacing w:line="218" w:lineRule="auto" w:before="97"/>
        <w:ind w:right="38"/>
      </w:pPr>
      <w:r>
        <w:rPr>
          <w:color w:val="231F20"/>
        </w:rPr>
        <w:t>2° de prolonger la durée du remboursement, de le suspendre et de consentir des modifications aux conditions dans lesquelles il doit avoir lieu;</w:t>
      </w:r>
    </w:p>
    <w:p>
      <w:pPr>
        <w:pStyle w:val="BodyText"/>
        <w:spacing w:line="218" w:lineRule="auto" w:before="96"/>
        <w:ind w:right="38"/>
      </w:pPr>
      <w:r>
        <w:rPr>
          <w:color w:val="231F20"/>
        </w:rPr>
        <w:t>3° d’accepter la substitution d’actions aux créances des obligataires; les décisions resteront sans effet lorsqu’elles n’ont pas été acceptées par une modification des statuts, dans les trois mois, à moins que l’assemblée générale des actionnaires n’ait antérieurement donné son consentement dans les formes prescrites pour une modification des statuts;</w:t>
      </w:r>
    </w:p>
    <w:p>
      <w:pPr>
        <w:pStyle w:val="BodyText"/>
        <w:spacing w:line="218" w:lineRule="auto" w:before="96"/>
        <w:ind w:right="38"/>
      </w:pPr>
      <w:r>
        <w:rPr>
          <w:color w:val="231F20"/>
        </w:rPr>
        <w:t>4° d’accepter des dispositions ayant pour objet, soit d’accorder des sûretés particulières au profit des obligataires, soit de modifier ou de supprimer les sûretés déjà attribuées.</w:t>
      </w:r>
    </w:p>
    <w:p>
      <w:pPr>
        <w:pStyle w:val="BodyText"/>
        <w:spacing w:line="218" w:lineRule="auto" w:before="96"/>
        <w:ind w:right="38"/>
      </w:pPr>
      <w:r>
        <w:rPr>
          <w:color w:val="231F20"/>
        </w:rPr>
        <w:t>Art. 7:163. Aucune décision de l’assemblée générale des obligataires modifiant les conditions d’émission ne produit ses effets sans l’accord exprès de la société.</w:t>
      </w:r>
    </w:p>
    <w:p>
      <w:pPr>
        <w:pStyle w:val="BodyText"/>
        <w:spacing w:line="218" w:lineRule="auto" w:before="97"/>
        <w:ind w:right="38"/>
      </w:pPr>
      <w:r>
        <w:rPr>
          <w:color w:val="231F20"/>
        </w:rPr>
        <w:t>L’assemblée générale des obligataires peut, sans l’autorisation de la société, prendre des mesures conservatoires à la majorité simple des voix.</w:t>
      </w:r>
    </w:p>
    <w:p>
      <w:pPr>
        <w:pStyle w:val="BodyText"/>
        <w:spacing w:before="82"/>
        <w:ind w:left="283" w:right="0" w:firstLine="0"/>
        <w:jc w:val="left"/>
      </w:pPr>
      <w:r>
        <w:rPr>
          <w:color w:val="231F20"/>
        </w:rPr>
        <w:t>Section 3. Convocation de l’assemblée générale des obligataires.</w:t>
      </w:r>
    </w:p>
    <w:p>
      <w:pPr>
        <w:pStyle w:val="BodyText"/>
        <w:spacing w:before="7"/>
        <w:ind w:left="0" w:right="0" w:firstLine="0"/>
        <w:jc w:val="left"/>
        <w:rPr>
          <w:sz w:val="23"/>
        </w:rPr>
      </w:pPr>
    </w:p>
    <w:p>
      <w:pPr>
        <w:pStyle w:val="BodyText"/>
        <w:spacing w:line="218" w:lineRule="auto"/>
        <w:ind w:right="38"/>
      </w:pPr>
      <w:r>
        <w:rPr>
          <w:color w:val="231F20"/>
        </w:rPr>
        <w:t>Art. 7:164. Le conseil d’administration, ou, dans l’administration duale, le conseil de surveillance et, le cas échéant, le commissaire, peuvent convoquer les obligataires en assemblée générale et fixer son ordre du jour.</w:t>
      </w:r>
    </w:p>
    <w:p>
      <w:pPr>
        <w:pStyle w:val="BodyText"/>
        <w:spacing w:line="218" w:lineRule="auto" w:before="96"/>
        <w:ind w:right="38"/>
      </w:pPr>
      <w:r>
        <w:rPr>
          <w:color w:val="231F20"/>
        </w:rPr>
        <w:t>Ils sont obligés de convoquer l’assemblée générale des obligataires dans les trois semaines sur la demande d’obligataires représentant le cinquième</w:t>
      </w:r>
      <w:r>
        <w:rPr>
          <w:color w:val="231F20"/>
          <w:spacing w:val="-5"/>
        </w:rPr>
        <w:t> </w:t>
      </w:r>
      <w:r>
        <w:rPr>
          <w:color w:val="231F20"/>
        </w:rPr>
        <w:t>du</w:t>
      </w:r>
      <w:r>
        <w:rPr>
          <w:color w:val="231F20"/>
          <w:spacing w:val="-4"/>
        </w:rPr>
        <w:t> </w:t>
      </w:r>
      <w:r>
        <w:rPr>
          <w:color w:val="231F20"/>
        </w:rPr>
        <w:t>montant</w:t>
      </w:r>
      <w:r>
        <w:rPr>
          <w:color w:val="231F20"/>
          <w:spacing w:val="-4"/>
        </w:rPr>
        <w:t> </w:t>
      </w:r>
      <w:r>
        <w:rPr>
          <w:color w:val="231F20"/>
        </w:rPr>
        <w:t>des</w:t>
      </w:r>
      <w:r>
        <w:rPr>
          <w:color w:val="231F20"/>
          <w:spacing w:val="-4"/>
        </w:rPr>
        <w:t> </w:t>
      </w:r>
      <w:r>
        <w:rPr>
          <w:color w:val="231F20"/>
        </w:rPr>
        <w:t>titres</w:t>
      </w:r>
      <w:r>
        <w:rPr>
          <w:color w:val="231F20"/>
          <w:spacing w:val="-4"/>
        </w:rPr>
        <w:t> </w:t>
      </w:r>
      <w:r>
        <w:rPr>
          <w:color w:val="231F20"/>
        </w:rPr>
        <w:t>en</w:t>
      </w:r>
      <w:r>
        <w:rPr>
          <w:color w:val="231F20"/>
          <w:spacing w:val="-4"/>
        </w:rPr>
        <w:t> </w:t>
      </w:r>
      <w:r>
        <w:rPr>
          <w:color w:val="231F20"/>
        </w:rPr>
        <w:t>circulation,</w:t>
      </w:r>
      <w:r>
        <w:rPr>
          <w:color w:val="231F20"/>
          <w:spacing w:val="-4"/>
        </w:rPr>
        <w:t> </w:t>
      </w:r>
      <w:r>
        <w:rPr>
          <w:color w:val="231F20"/>
        </w:rPr>
        <w:t>avec</w:t>
      </w:r>
      <w:r>
        <w:rPr>
          <w:color w:val="231F20"/>
          <w:spacing w:val="-4"/>
        </w:rPr>
        <w:t> </w:t>
      </w:r>
      <w:r>
        <w:rPr>
          <w:color w:val="231F20"/>
        </w:rPr>
        <w:t>au</w:t>
      </w:r>
      <w:r>
        <w:rPr>
          <w:color w:val="231F20"/>
          <w:spacing w:val="-4"/>
        </w:rPr>
        <w:t> </w:t>
      </w:r>
      <w:r>
        <w:rPr>
          <w:color w:val="231F20"/>
        </w:rPr>
        <w:t>moins</w:t>
      </w:r>
      <w:r>
        <w:rPr>
          <w:color w:val="231F20"/>
          <w:spacing w:val="-4"/>
        </w:rPr>
        <w:t> </w:t>
      </w:r>
      <w:r>
        <w:rPr>
          <w:color w:val="231F20"/>
        </w:rPr>
        <w:t>les</w:t>
      </w:r>
      <w:r>
        <w:rPr>
          <w:color w:val="231F20"/>
          <w:spacing w:val="-4"/>
        </w:rPr>
        <w:t> </w:t>
      </w:r>
      <w:r>
        <w:rPr>
          <w:color w:val="231F20"/>
        </w:rPr>
        <w:t>points de</w:t>
      </w:r>
      <w:r>
        <w:rPr>
          <w:color w:val="231F20"/>
          <w:spacing w:val="15"/>
        </w:rPr>
        <w:t> </w:t>
      </w:r>
      <w:r>
        <w:rPr>
          <w:color w:val="231F20"/>
        </w:rPr>
        <w:t>l’ordre</w:t>
      </w:r>
      <w:r>
        <w:rPr>
          <w:color w:val="231F20"/>
          <w:spacing w:val="16"/>
        </w:rPr>
        <w:t> </w:t>
      </w:r>
      <w:r>
        <w:rPr>
          <w:color w:val="231F20"/>
        </w:rPr>
        <w:t>du</w:t>
      </w:r>
      <w:r>
        <w:rPr>
          <w:color w:val="231F20"/>
          <w:spacing w:val="15"/>
        </w:rPr>
        <w:t> </w:t>
      </w:r>
      <w:r>
        <w:rPr>
          <w:color w:val="231F20"/>
        </w:rPr>
        <w:t>jour</w:t>
      </w:r>
      <w:r>
        <w:rPr>
          <w:color w:val="231F20"/>
          <w:spacing w:val="16"/>
        </w:rPr>
        <w:t> </w:t>
      </w:r>
      <w:r>
        <w:rPr>
          <w:color w:val="231F20"/>
        </w:rPr>
        <w:t>proposés</w:t>
      </w:r>
      <w:r>
        <w:rPr>
          <w:color w:val="231F20"/>
          <w:spacing w:val="16"/>
        </w:rPr>
        <w:t> </w:t>
      </w:r>
      <w:r>
        <w:rPr>
          <w:color w:val="231F20"/>
        </w:rPr>
        <w:t>par</w:t>
      </w:r>
      <w:r>
        <w:rPr>
          <w:color w:val="231F20"/>
          <w:spacing w:val="15"/>
        </w:rPr>
        <w:t> </w:t>
      </w:r>
      <w:r>
        <w:rPr>
          <w:color w:val="231F20"/>
        </w:rPr>
        <w:t>les</w:t>
      </w:r>
      <w:r>
        <w:rPr>
          <w:color w:val="231F20"/>
          <w:spacing w:val="16"/>
        </w:rPr>
        <w:t> </w:t>
      </w:r>
      <w:r>
        <w:rPr>
          <w:color w:val="231F20"/>
        </w:rPr>
        <w:t>obligataires</w:t>
      </w:r>
      <w:r>
        <w:rPr>
          <w:color w:val="231F20"/>
          <w:spacing w:val="16"/>
        </w:rPr>
        <w:t> </w:t>
      </w:r>
      <w:r>
        <w:rPr>
          <w:color w:val="231F20"/>
        </w:rPr>
        <w:t>en</w:t>
      </w:r>
      <w:r>
        <w:rPr>
          <w:color w:val="231F20"/>
          <w:spacing w:val="15"/>
        </w:rPr>
        <w:t> </w:t>
      </w:r>
      <w:r>
        <w:rPr>
          <w:color w:val="231F20"/>
        </w:rPr>
        <w:t>question.</w:t>
      </w:r>
    </w:p>
    <w:p>
      <w:pPr>
        <w:pStyle w:val="BodyText"/>
        <w:ind w:left="0" w:right="0" w:firstLine="0"/>
        <w:jc w:val="left"/>
        <w:rPr>
          <w:sz w:val="24"/>
        </w:rPr>
      </w:pPr>
    </w:p>
    <w:p>
      <w:pPr>
        <w:pStyle w:val="BodyText"/>
        <w:spacing w:line="218" w:lineRule="auto"/>
        <w:ind w:right="38"/>
      </w:pPr>
      <w:r>
        <w:rPr>
          <w:color w:val="231F20"/>
        </w:rPr>
        <w:t>Art. 7:165. La convocation à l’assemblée générale des obligataires contient l’ordre du jour et est faite par annonce insérée dans le </w:t>
      </w:r>
      <w:r>
        <w:rPr>
          <w:rFonts w:ascii="Times New Roman" w:hAnsi="Times New Roman"/>
          <w:i/>
          <w:color w:val="231F20"/>
        </w:rPr>
        <w:t>Moniteur </w:t>
      </w:r>
      <w:r>
        <w:rPr>
          <w:rFonts w:ascii="Times New Roman" w:hAnsi="Times New Roman"/>
          <w:i/>
          <w:color w:val="231F20"/>
        </w:rPr>
        <w:t>belge </w:t>
      </w:r>
      <w:r>
        <w:rPr>
          <w:color w:val="231F20"/>
        </w:rPr>
        <w:t>et dans un organe de presse de diffusion nationale, papier ou électronique, au moins quinze jours avant l’assemblée, ou trente jours s’il s’agit d’obligations admises à la négociation sur un marché réglementé. Ces convocations seront communiquées quinze jours avant l’assemblée aux obligataires nominatifs; cette communication se fait conformément l’article 2:32. Quand toutes les obligations sont nomina- tives, la société peut se limiter à cette communication. Lorsque la société dispose d’un site internet visé à l’article 2:31, l’annonce est également insérée sur le site internet de la société. L’ordre du jour contient l’indication des sujets à traiter ainsi que les propositions de décisions qui seront soumises à l’assemblée.</w:t>
      </w:r>
    </w:p>
    <w:p>
      <w:pPr>
        <w:pStyle w:val="BodyText"/>
        <w:spacing w:before="3"/>
        <w:ind w:left="0" w:right="0" w:firstLine="0"/>
        <w:jc w:val="left"/>
        <w:rPr>
          <w:sz w:val="22"/>
        </w:rPr>
      </w:pPr>
    </w:p>
    <w:p>
      <w:pPr>
        <w:pStyle w:val="BodyText"/>
        <w:ind w:left="284" w:right="0" w:firstLine="0"/>
        <w:jc w:val="left"/>
      </w:pPr>
      <w:r>
        <w:rPr>
          <w:color w:val="231F20"/>
        </w:rPr>
        <w:t>Section 4. Participation à l’assemblée générale des obligataires.</w:t>
      </w:r>
    </w:p>
    <w:p>
      <w:pPr>
        <w:pStyle w:val="BodyText"/>
        <w:spacing w:before="7"/>
        <w:ind w:left="0" w:right="0" w:firstLine="0"/>
        <w:jc w:val="left"/>
        <w:rPr>
          <w:sz w:val="24"/>
        </w:rPr>
      </w:pPr>
    </w:p>
    <w:p>
      <w:pPr>
        <w:pStyle w:val="BodyText"/>
        <w:spacing w:line="218" w:lineRule="auto"/>
        <w:ind w:right="38"/>
      </w:pPr>
      <w:r>
        <w:rPr>
          <w:color w:val="231F20"/>
        </w:rPr>
        <w:t>Art. 7:166. Sauf disposition contraire dans les statuts ou dans les conditions d’émission, le droit de participer à l’assemblée générale des obligataires est subordonné, soit à l’inscription de l’obligataire dans le registre des obligations nominatives de la société, soit au dépôt d’une attestation, établie par le teneur de comptes agréé ou l’organisme de liquidation constatant l’indisponibilité, jusqu’à la date de l’assemblée générale des obligataires, des obligations dématérialisées, aux lieux indiqués par l’avis de convocation, dans le délai fixé par les statuts sans que celui-ci puisse être supérieur à six jours ni inférieur à trois jours ouvrables avant la date fixée pour la réunion de l’assemblée générale des obligataires. En cas de silence des statuts, ce délai expirera le troisième jour avant la date fixée pour la réunion de l’assemblée générale des obligataires.</w:t>
      </w:r>
    </w:p>
    <w:p>
      <w:pPr>
        <w:pStyle w:val="BodyText"/>
        <w:spacing w:line="218" w:lineRule="auto" w:before="119"/>
      </w:pPr>
      <w:r>
        <w:rPr/>
        <w:br w:type="column"/>
      </w:r>
      <w:r>
        <w:rPr>
          <w:color w:val="231F20"/>
        </w:rPr>
        <w:t>De voorzitter beslist of het verslag van de deskundige moet worden bekendgemaakt. Hij kan onder meer beslissen dat het verslag op kosten van de vennootschap moet worden bekendgemaakt volgens de regels die hij bepaalt.</w:t>
      </w:r>
    </w:p>
    <w:p>
      <w:pPr>
        <w:pStyle w:val="BodyText"/>
        <w:spacing w:line="338" w:lineRule="auto" w:before="83"/>
        <w:ind w:left="283" w:right="169" w:firstLine="0"/>
        <w:jc w:val="left"/>
      </w:pPr>
      <w:r>
        <w:rPr>
          <w:color w:val="231F20"/>
        </w:rPr>
        <w:t>HOOFDSTUK 4. Algemene vergadering van obligatiehouders. Afdeling 1. Toepassingsgebied.</w:t>
      </w:r>
    </w:p>
    <w:p>
      <w:pPr>
        <w:pStyle w:val="BodyText"/>
        <w:spacing w:line="218" w:lineRule="auto" w:before="13"/>
      </w:pPr>
      <w:r>
        <w:rPr>
          <w:color w:val="231F20"/>
        </w:rPr>
        <w:t>Art. 7:161. De bepalingen van afdeling 2 tot afdeling 6 van dit hoofdstuk zijn slechts van toepassing op de obligaties in zoverre de uitgiftevoorwaarden daarvan niet afwijken. De uitgiftevoorwaarden kunnen evenwel niet afwijken van de artikelen 7:175 en 7:176.</w:t>
      </w:r>
    </w:p>
    <w:p>
      <w:pPr>
        <w:pStyle w:val="BodyText"/>
        <w:spacing w:before="82"/>
        <w:ind w:left="283" w:right="0" w:firstLine="0"/>
        <w:jc w:val="left"/>
      </w:pPr>
      <w:r>
        <w:rPr>
          <w:color w:val="231F20"/>
        </w:rPr>
        <w:t>Afdeling 2. Bevoegdheid.</w:t>
      </w:r>
    </w:p>
    <w:p>
      <w:pPr>
        <w:pStyle w:val="BodyText"/>
        <w:spacing w:line="218" w:lineRule="auto" w:before="93"/>
        <w:ind w:right="121"/>
      </w:pPr>
      <w:r>
        <w:rPr>
          <w:color w:val="231F20"/>
        </w:rPr>
        <w:t>Art. 7:162. De algemene vergadering van obligatiehouders is bevoegd om de uitgiftevoorwaarden te wijzigen. Zij is onder meer bevoegd om:</w:t>
      </w:r>
    </w:p>
    <w:p>
      <w:pPr>
        <w:pStyle w:val="BodyText"/>
        <w:spacing w:line="218" w:lineRule="auto" w:before="96"/>
      </w:pPr>
      <w:r>
        <w:rPr>
          <w:color w:val="231F20"/>
        </w:rPr>
        <w:t>1° één of meer rentetermijnen te verlengen, in de verlaging van de rentevoet toe te stemmen of de voorwaarden van betaling van de rente te wijzigen;</w:t>
      </w:r>
    </w:p>
    <w:p>
      <w:pPr>
        <w:pStyle w:val="BodyText"/>
        <w:spacing w:line="218" w:lineRule="auto" w:before="96"/>
      </w:pPr>
      <w:r>
        <w:rPr>
          <w:color w:val="231F20"/>
        </w:rPr>
        <w:t>2° de aflossing te verlengen, de aflossing te schorsen en toe te stemmen in een wijziging van de voorwaarden waaronder zij moeten gebeuren;</w:t>
      </w:r>
    </w:p>
    <w:p>
      <w:pPr>
        <w:pStyle w:val="BodyText"/>
        <w:spacing w:line="218" w:lineRule="auto" w:before="96"/>
      </w:pPr>
      <w:r>
        <w:rPr>
          <w:color w:val="231F20"/>
        </w:rPr>
        <w:t>3° te aanvaarden dat de schuldvorderingen van de obligatiehouders worden vervangen door aandelen; dergelijk besluit blijft zonder gevolg, wanneer het niet binnen drie maanden door een statutenwijziging is goedgekeurd, tenzij de algemene vergadering van aandeelhouders vooraf haar toestemming heeft gegeven met inachtneming van de voorschriften voor statutenwijziging;</w:t>
      </w:r>
    </w:p>
    <w:p>
      <w:pPr>
        <w:pStyle w:val="BodyText"/>
        <w:spacing w:line="218" w:lineRule="auto" w:before="97"/>
      </w:pPr>
      <w:r>
        <w:rPr>
          <w:color w:val="231F20"/>
        </w:rPr>
        <w:t>4° regelingen te aanvaarden om bijzondere zekerheden te stellen ten gunste van de obligatiehouders of de reeds gestelde zekerheden te wijzigen of op te heffen.</w:t>
      </w:r>
    </w:p>
    <w:p>
      <w:pPr>
        <w:pStyle w:val="BodyText"/>
        <w:spacing w:line="218" w:lineRule="auto" w:before="96"/>
      </w:pPr>
      <w:r>
        <w:rPr>
          <w:color w:val="231F20"/>
        </w:rPr>
        <w:t>Art. 7:163. Geen enkel besluit van de algemene vergadering van obligatiehouders tot wijziging van de uitgiftevoorwaarden heeft uit- werking zonder de uitdrukkelijke toestemming van de vennootschap.</w:t>
      </w:r>
    </w:p>
    <w:p>
      <w:pPr>
        <w:pStyle w:val="BodyText"/>
        <w:spacing w:line="218" w:lineRule="auto" w:before="96"/>
      </w:pPr>
      <w:r>
        <w:rPr>
          <w:color w:val="231F20"/>
        </w:rPr>
        <w:t>De algemene vergadering van obligatiehouders kan, zonder toestem- ming van de vennootschap, met gewone meerderheid van stemmen bewarende maatregelen nemen.</w:t>
      </w:r>
    </w:p>
    <w:p>
      <w:pPr>
        <w:pStyle w:val="BodyText"/>
        <w:spacing w:line="218" w:lineRule="auto" w:before="96"/>
      </w:pPr>
      <w:r>
        <w:rPr>
          <w:color w:val="231F20"/>
        </w:rPr>
        <w:t>Afdeling 3. Bijeenroeping van de algemene vergadering van obliga- tiehouders.</w:t>
      </w:r>
    </w:p>
    <w:p>
      <w:pPr>
        <w:pStyle w:val="BodyText"/>
        <w:spacing w:line="218" w:lineRule="auto" w:before="96"/>
      </w:pPr>
      <w:r>
        <w:rPr>
          <w:color w:val="231F20"/>
        </w:rPr>
        <w:t>Art. 7:164. De raad van bestuur, of, in een duaal bestuur, de raad van toezicht en, in voorkomend geval, de commissaris, kunnen een algemene vergadering van de obligatiehouders bijeenroepen en bepa- len haar agenda.</w:t>
      </w:r>
    </w:p>
    <w:p>
      <w:pPr>
        <w:pStyle w:val="BodyText"/>
        <w:spacing w:line="218" w:lineRule="auto" w:before="96"/>
      </w:pPr>
      <w:r>
        <w:rPr>
          <w:color w:val="231F20"/>
        </w:rPr>
        <w:t>Zij zijn verplicht de algemene vergadering van aandeelhouders binnen drie weken bijeen te roepen wanneer obligatiehouders die een vijfde van het bedrag van de in omloop zijnde effecten vertegenwoor- digen, dat vragen, met ten minste de door de betrokken obligatiehou- ders voorgestelde agendapunten.</w:t>
      </w:r>
    </w:p>
    <w:p>
      <w:pPr>
        <w:pStyle w:val="BodyText"/>
        <w:spacing w:line="218" w:lineRule="auto" w:before="97"/>
      </w:pPr>
      <w:r>
        <w:rPr>
          <w:color w:val="231F20"/>
        </w:rPr>
        <w:t>Art. 7:165. De oproeping tot de algemene vergadering van obligatie- houders bevat de agenda en wordt gedaan door middel van een aankondiging geplaatst in het </w:t>
      </w:r>
      <w:r>
        <w:rPr>
          <w:rFonts w:ascii="Times New Roman"/>
          <w:i/>
          <w:color w:val="231F20"/>
        </w:rPr>
        <w:t>Belgisch Staatsblad </w:t>
      </w:r>
      <w:r>
        <w:rPr>
          <w:color w:val="231F20"/>
        </w:rPr>
        <w:t>en in een nationaal uitgegeven blad, op papier of elektronisch, ten minste vijftien dagen voor de vergadering, of dertig dagen indien de obligaties zijn  toegelaten tot de verhandeling op een gereglementeerde markt. Aan de obligatiehouders op naam worden de oproepingen vijftien dagen voor de vergadering meegedeeld; deze mededeling gebeurt overeenkomstig artikel 2:32. </w:t>
      </w:r>
      <w:r>
        <w:rPr>
          <w:color w:val="231F20"/>
          <w:spacing w:val="-3"/>
        </w:rPr>
        <w:t>Wanneer </w:t>
      </w:r>
      <w:r>
        <w:rPr>
          <w:color w:val="231F20"/>
        </w:rPr>
        <w:t>alle obligaties op naam zijn, volstaat deze mededeling. Als de vennootschap een vennootschapswebsite heeft als bedoeld in artikel 2:31, wordt de aankondiging ook geplaatst op</w:t>
      </w:r>
      <w:r>
        <w:rPr>
          <w:color w:val="231F20"/>
          <w:spacing w:val="21"/>
        </w:rPr>
        <w:t> </w:t>
      </w:r>
      <w:r>
        <w:rPr>
          <w:color w:val="231F20"/>
        </w:rPr>
        <w:t>de vennootschapswebsite. De agenda bevat de te behandelen onderwer- pen en de voorstellen van besluiten, die aan de vergadering worden voorgelegd.</w:t>
      </w:r>
    </w:p>
    <w:p>
      <w:pPr>
        <w:pStyle w:val="BodyText"/>
        <w:spacing w:line="218" w:lineRule="auto" w:before="94"/>
      </w:pPr>
      <w:r>
        <w:rPr>
          <w:color w:val="231F20"/>
        </w:rPr>
        <w:t>Afdeling 4. Deelneming aan de algemene vergadering van obligatie- houders.</w:t>
      </w:r>
    </w:p>
    <w:p>
      <w:pPr>
        <w:pStyle w:val="BodyText"/>
        <w:spacing w:line="218" w:lineRule="auto" w:before="107"/>
      </w:pPr>
      <w:r>
        <w:rPr>
          <w:color w:val="231F20"/>
        </w:rPr>
        <w:t>Art. 7:166. </w:t>
      </w:r>
      <w:r>
        <w:rPr>
          <w:color w:val="231F20"/>
          <w:spacing w:val="-3"/>
        </w:rPr>
        <w:t>Tenzij </w:t>
      </w:r>
      <w:r>
        <w:rPr>
          <w:color w:val="231F20"/>
        </w:rPr>
        <w:t>de statuten of de uitgiftevoorwaarden anders bepalen wordt het recht deel te nemen aan de algemene vergadering van obligatiehouders verleend, hetzij op grond van de inschrijving van de obligatiehouder in het register van de obligaties op naam van de vennootschap, hetzij op grond van de neerlegging van een door de erkende rekeninghouder of door de vereffeningsinstelling opgesteld attest waarbij de onbeschikbaarheid van de gedematerialiseerde obli- gaties tot op de datum van de algemene vergadering van obligatiehou- ders wordt vastgesteld, op de plaatsen aangegeven in de oproepings- brief, zulks binnen de statutair vastgestelde termijn, maar ten minste drie werkdagen en ten hoogste zes werkdagen vóór de datum bepaald voor de bijeenkomst van de algemene vergadering van obligatiehou- ders. Bij gebrek aan enige vermelding terzake in de statuten verstrijkt de termijn op de derde dag voor de datum bepaald voor de bijeenkomst van</w:t>
      </w:r>
      <w:r>
        <w:rPr>
          <w:color w:val="231F20"/>
          <w:spacing w:val="17"/>
        </w:rPr>
        <w:t> </w:t>
      </w:r>
      <w:r>
        <w:rPr>
          <w:color w:val="231F20"/>
        </w:rPr>
        <w:t>de</w:t>
      </w:r>
      <w:r>
        <w:rPr>
          <w:color w:val="231F20"/>
          <w:spacing w:val="17"/>
        </w:rPr>
        <w:t> </w:t>
      </w:r>
      <w:r>
        <w:rPr>
          <w:color w:val="231F20"/>
        </w:rPr>
        <w:t>algemene</w:t>
      </w:r>
      <w:r>
        <w:rPr>
          <w:color w:val="231F20"/>
          <w:spacing w:val="17"/>
        </w:rPr>
        <w:t> </w:t>
      </w:r>
      <w:r>
        <w:rPr>
          <w:color w:val="231F20"/>
        </w:rPr>
        <w:t>vergadering</w:t>
      </w:r>
      <w:r>
        <w:rPr>
          <w:color w:val="231F20"/>
          <w:spacing w:val="18"/>
        </w:rPr>
        <w:t> </w:t>
      </w:r>
      <w:r>
        <w:rPr>
          <w:color w:val="231F20"/>
        </w:rPr>
        <w:t>van</w:t>
      </w:r>
      <w:r>
        <w:rPr>
          <w:color w:val="231F20"/>
          <w:spacing w:val="17"/>
        </w:rPr>
        <w:t> </w:t>
      </w:r>
      <w:r>
        <w:rPr>
          <w:color w:val="231F20"/>
        </w:rPr>
        <w:t>obligatiehouders.</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5656" from="298.170502pt,64.473pt" to="298.170502pt,812.819pt" stroked="true" strokeweight=".533pt" strokecolor="#231f20">
            <v:stroke dashstyle="solid"/>
            <w10:wrap type="none"/>
          </v:line>
        </w:pict>
      </w:r>
      <w:bookmarkStart w:name="_bookmark193" w:id="198"/>
      <w:bookmarkEnd w:id="198"/>
      <w:r>
        <w:rPr/>
      </w:r>
      <w:r>
        <w:rPr>
          <w:color w:val="231F20"/>
        </w:rPr>
        <w:t>Art. 7:167. Les statuts peuvent étendre le régime de participation à distance visé à l’article 7:137, aux mêmes conditions, à l’assemblée générale des obligataires.</w:t>
      </w:r>
    </w:p>
    <w:p>
      <w:pPr>
        <w:pStyle w:val="BodyText"/>
        <w:spacing w:before="71"/>
        <w:ind w:left="283" w:right="0" w:firstLine="0"/>
        <w:jc w:val="left"/>
      </w:pPr>
      <w:r>
        <w:rPr>
          <w:color w:val="231F20"/>
        </w:rPr>
        <w:t>Section 5. Tenue de l’assemblée générale des obligataires.</w:t>
      </w:r>
    </w:p>
    <w:p>
      <w:pPr>
        <w:pStyle w:val="BodyText"/>
        <w:spacing w:before="8"/>
        <w:ind w:left="0" w:right="0" w:firstLine="0"/>
        <w:jc w:val="left"/>
        <w:rPr>
          <w:sz w:val="22"/>
        </w:rPr>
      </w:pPr>
    </w:p>
    <w:p>
      <w:pPr>
        <w:pStyle w:val="BodyText"/>
        <w:spacing w:line="218" w:lineRule="auto"/>
        <w:ind w:right="38"/>
      </w:pPr>
      <w:r>
        <w:rPr>
          <w:color w:val="231F20"/>
        </w:rPr>
        <w:t>Art. 7:168. Il est tenu à chaque assemblée générale des obligataires une liste des présences.</w:t>
      </w:r>
    </w:p>
    <w:p>
      <w:pPr>
        <w:pStyle w:val="BodyText"/>
        <w:spacing w:line="218" w:lineRule="auto" w:before="86"/>
        <w:ind w:right="38"/>
      </w:pPr>
      <w:r>
        <w:rPr>
          <w:color w:val="231F20"/>
        </w:rPr>
        <w:t>Art. 7:169. La société doit mettre à la disposition des obligataires, au début de la réunion, une liste des obligations en circulation.</w:t>
      </w:r>
    </w:p>
    <w:p>
      <w:pPr>
        <w:pStyle w:val="BodyText"/>
        <w:spacing w:before="10"/>
        <w:ind w:left="0" w:right="0" w:firstLine="0"/>
        <w:jc w:val="left"/>
        <w:rPr>
          <w:sz w:val="23"/>
        </w:rPr>
      </w:pPr>
    </w:p>
    <w:p>
      <w:pPr>
        <w:pStyle w:val="BodyText"/>
        <w:spacing w:line="218" w:lineRule="auto"/>
        <w:ind w:right="38"/>
      </w:pPr>
      <w:r>
        <w:rPr>
          <w:color w:val="231F20"/>
        </w:rPr>
        <w:t>Art. 7:170. L’assemblée générale des obligataires ne peut valablement délibérer et statuer que lorsque ses membres représentent la moitié au moins du montant des titres en circulation.</w:t>
      </w:r>
    </w:p>
    <w:p>
      <w:pPr>
        <w:pStyle w:val="BodyText"/>
        <w:spacing w:before="11"/>
        <w:ind w:left="0" w:right="0" w:firstLine="0"/>
        <w:jc w:val="left"/>
        <w:rPr>
          <w:sz w:val="23"/>
        </w:rPr>
      </w:pPr>
    </w:p>
    <w:p>
      <w:pPr>
        <w:pStyle w:val="BodyText"/>
        <w:spacing w:line="218" w:lineRule="auto"/>
        <w:ind w:right="38"/>
      </w:pPr>
      <w:r>
        <w:rPr>
          <w:color w:val="231F20"/>
        </w:rPr>
        <w:t>Si cette condition n’est pas remplie, une nouvelle convocation est nécessaire et la deuxième assemblée délibère et statue valablement, quel que soit le montant représenté des titres en circulation.</w:t>
      </w:r>
    </w:p>
    <w:p>
      <w:pPr>
        <w:pStyle w:val="BodyText"/>
        <w:spacing w:before="11"/>
        <w:ind w:left="0" w:right="0" w:firstLine="0"/>
        <w:jc w:val="left"/>
        <w:rPr>
          <w:sz w:val="23"/>
        </w:rPr>
      </w:pPr>
    </w:p>
    <w:p>
      <w:pPr>
        <w:pStyle w:val="BodyText"/>
        <w:spacing w:line="218" w:lineRule="auto"/>
        <w:ind w:right="38"/>
      </w:pPr>
      <w:r>
        <w:rPr>
          <w:color w:val="231F20"/>
        </w:rPr>
        <w:t>Une proposition n’est approuvée que lorsqu’elle est votée par des obligataires présents ou représentés dont les voix représentent les trois quarts au moins du montant des obligations pour lesquelles il est pris part au vote.</w:t>
      </w:r>
    </w:p>
    <w:p>
      <w:pPr>
        <w:pStyle w:val="BodyText"/>
        <w:spacing w:line="216" w:lineRule="auto" w:before="98"/>
        <w:ind w:right="38"/>
      </w:pPr>
      <w:r>
        <w:rPr>
          <w:color w:val="231F20"/>
        </w:rPr>
        <w:t>Sauf si toutes les obligations sont nominatives, les décisions prises sont publiées, dans les quinze jours, aux Annexes du </w:t>
      </w:r>
      <w:r>
        <w:rPr>
          <w:rFonts w:ascii="Times New Roman" w:hAnsi="Times New Roman"/>
          <w:i/>
          <w:color w:val="231F20"/>
        </w:rPr>
        <w:t>Moniteur belge </w:t>
      </w:r>
      <w:r>
        <w:rPr>
          <w:color w:val="231F20"/>
        </w:rPr>
        <w:t>ou, pour les sociétés cotées, sur le site internet de la société.</w:t>
      </w:r>
    </w:p>
    <w:p>
      <w:pPr>
        <w:pStyle w:val="BodyText"/>
        <w:ind w:left="0" w:right="0" w:firstLine="0"/>
        <w:jc w:val="left"/>
        <w:rPr>
          <w:sz w:val="24"/>
        </w:rPr>
      </w:pPr>
    </w:p>
    <w:p>
      <w:pPr>
        <w:pStyle w:val="BodyText"/>
        <w:spacing w:line="218" w:lineRule="auto" w:before="1"/>
        <w:ind w:right="38"/>
      </w:pPr>
      <w:r>
        <w:rPr>
          <w:color w:val="231F20"/>
        </w:rPr>
        <w:t>Art. 7:171. Lorsqu’il existe plusieurs classes d’obligations et que la décision de l’assemblée générale des obligataires est de nature à modifier leurs droits respectifs, les obligataires de chacune des classes doivent être convoqués en assemblée spéciale et il convient de réunir dans chaque classe les conditions de quorum et de majorité requises</w:t>
      </w:r>
      <w:r>
        <w:rPr>
          <w:color w:val="231F20"/>
          <w:spacing w:val="-29"/>
        </w:rPr>
        <w:t> </w:t>
      </w:r>
      <w:r>
        <w:rPr>
          <w:color w:val="231F20"/>
        </w:rPr>
        <w:t>par l’article</w:t>
      </w:r>
      <w:r>
        <w:rPr>
          <w:color w:val="231F20"/>
          <w:spacing w:val="14"/>
        </w:rPr>
        <w:t> </w:t>
      </w:r>
      <w:r>
        <w:rPr>
          <w:color w:val="231F20"/>
        </w:rPr>
        <w:t>7:170.</w:t>
      </w:r>
    </w:p>
    <w:p>
      <w:pPr>
        <w:pStyle w:val="BodyText"/>
        <w:spacing w:before="10"/>
        <w:ind w:left="0" w:right="0" w:firstLine="0"/>
        <w:jc w:val="left"/>
        <w:rPr>
          <w:sz w:val="23"/>
        </w:rPr>
      </w:pPr>
    </w:p>
    <w:p>
      <w:pPr>
        <w:pStyle w:val="BodyText"/>
        <w:spacing w:line="218" w:lineRule="auto" w:before="1"/>
        <w:ind w:right="38"/>
      </w:pPr>
      <w:r>
        <w:rPr>
          <w:color w:val="231F20"/>
        </w:rPr>
        <w:t>Art. 7:172. Les procès-verbaux des assemblées générales des obliga- taires sont signés par les membres du bureau et par les obligataires qui le demandent; les copies à délivrer aux tiers sont signées par les administrateurs ayant le pouvoir de représentation.</w:t>
      </w:r>
    </w:p>
    <w:p>
      <w:pPr>
        <w:pStyle w:val="BodyText"/>
        <w:spacing w:before="10"/>
        <w:ind w:left="0" w:right="0" w:firstLine="0"/>
        <w:jc w:val="left"/>
        <w:rPr>
          <w:sz w:val="23"/>
        </w:rPr>
      </w:pPr>
    </w:p>
    <w:p>
      <w:pPr>
        <w:pStyle w:val="BodyText"/>
        <w:spacing w:line="218" w:lineRule="auto"/>
        <w:ind w:right="38"/>
      </w:pPr>
      <w:r>
        <w:rPr>
          <w:color w:val="231F20"/>
        </w:rPr>
        <w:t>Art. 7:173. Moyennant le respect des formalités de convocation prévues aux articles 7:164 et 7:165, toutes les décisions qui relèvent du pouvoir de l’assemblée générale des obligataires peuvent être prises par voie électronique ou par accord écrit. Aucune décision n’est admise dans ce cas que lorsque l’accord est obtenu, par voie électronique ou par accord écrit, d’obligataires représentant les trois quarts au moins</w:t>
      </w:r>
      <w:r>
        <w:rPr>
          <w:color w:val="231F20"/>
          <w:spacing w:val="-28"/>
        </w:rPr>
        <w:t> </w:t>
      </w:r>
      <w:r>
        <w:rPr>
          <w:color w:val="231F20"/>
        </w:rPr>
        <w:t>du montant des obligations</w:t>
      </w:r>
      <w:r>
        <w:rPr>
          <w:color w:val="231F20"/>
          <w:spacing w:val="3"/>
        </w:rPr>
        <w:t> </w:t>
      </w:r>
      <w:r>
        <w:rPr>
          <w:color w:val="231F20"/>
        </w:rPr>
        <w:t>existantes.</w:t>
      </w:r>
    </w:p>
    <w:p>
      <w:pPr>
        <w:pStyle w:val="BodyText"/>
        <w:spacing w:before="11"/>
        <w:ind w:left="0" w:right="0" w:firstLine="0"/>
        <w:jc w:val="left"/>
        <w:rPr>
          <w:sz w:val="24"/>
        </w:rPr>
      </w:pPr>
    </w:p>
    <w:p>
      <w:pPr>
        <w:pStyle w:val="BodyText"/>
        <w:spacing w:line="201" w:lineRule="auto"/>
        <w:ind w:right="38"/>
      </w:pPr>
      <w:r>
        <w:rPr>
          <w:color w:val="231F20"/>
        </w:rPr>
        <w:t>Le Roi peut préciser la nature et les conditions d’application de la voie</w:t>
      </w:r>
      <w:r>
        <w:rPr>
          <w:color w:val="231F20"/>
          <w:spacing w:val="17"/>
        </w:rPr>
        <w:t> </w:t>
      </w:r>
      <w:r>
        <w:rPr>
          <w:color w:val="231F20"/>
        </w:rPr>
        <w:t>électronique</w:t>
      </w:r>
      <w:r>
        <w:rPr>
          <w:color w:val="231F20"/>
          <w:spacing w:val="17"/>
        </w:rPr>
        <w:t> </w:t>
      </w:r>
      <w:r>
        <w:rPr>
          <w:color w:val="231F20"/>
        </w:rPr>
        <w:t>et</w:t>
      </w:r>
      <w:r>
        <w:rPr>
          <w:color w:val="231F20"/>
          <w:spacing w:val="17"/>
        </w:rPr>
        <w:t> </w:t>
      </w:r>
      <w:r>
        <w:rPr>
          <w:color w:val="231F20"/>
        </w:rPr>
        <w:t>de</w:t>
      </w:r>
      <w:r>
        <w:rPr>
          <w:color w:val="231F20"/>
          <w:spacing w:val="17"/>
        </w:rPr>
        <w:t> </w:t>
      </w:r>
      <w:r>
        <w:rPr>
          <w:color w:val="231F20"/>
        </w:rPr>
        <w:t>l’accord</w:t>
      </w:r>
      <w:r>
        <w:rPr>
          <w:color w:val="231F20"/>
          <w:spacing w:val="18"/>
        </w:rPr>
        <w:t> </w:t>
      </w:r>
      <w:r>
        <w:rPr>
          <w:color w:val="231F20"/>
        </w:rPr>
        <w:t>écrit</w:t>
      </w:r>
      <w:r>
        <w:rPr>
          <w:color w:val="231F20"/>
          <w:spacing w:val="17"/>
        </w:rPr>
        <w:t> </w:t>
      </w:r>
      <w:r>
        <w:rPr>
          <w:color w:val="231F20"/>
        </w:rPr>
        <w:t>à</w:t>
      </w:r>
      <w:r>
        <w:rPr>
          <w:color w:val="231F20"/>
          <w:spacing w:val="17"/>
        </w:rPr>
        <w:t> </w:t>
      </w:r>
      <w:r>
        <w:rPr>
          <w:color w:val="231F20"/>
        </w:rPr>
        <w:t>obtenir</w:t>
      </w:r>
      <w:r>
        <w:rPr>
          <w:color w:val="231F20"/>
          <w:spacing w:val="17"/>
        </w:rPr>
        <w:t> </w:t>
      </w:r>
      <w:r>
        <w:rPr>
          <w:color w:val="231F20"/>
        </w:rPr>
        <w:t>visés</w:t>
      </w:r>
      <w:r>
        <w:rPr>
          <w:color w:val="231F20"/>
          <w:spacing w:val="17"/>
        </w:rPr>
        <w:t> </w:t>
      </w:r>
      <w:r>
        <w:rPr>
          <w:color w:val="231F20"/>
        </w:rPr>
        <w:t>à</w:t>
      </w:r>
      <w:r>
        <w:rPr>
          <w:color w:val="231F20"/>
          <w:spacing w:val="18"/>
        </w:rPr>
        <w:t> </w:t>
      </w:r>
      <w:r>
        <w:rPr>
          <w:color w:val="231F20"/>
        </w:rPr>
        <w:t>l’alinéa</w:t>
      </w:r>
      <w:r>
        <w:rPr>
          <w:color w:val="231F20"/>
          <w:spacing w:val="17"/>
        </w:rPr>
        <w:t> </w:t>
      </w:r>
      <w:r>
        <w:rPr>
          <w:color w:val="231F20"/>
        </w:rPr>
        <w:t>1</w:t>
      </w:r>
      <w:r>
        <w:rPr>
          <w:color w:val="231F20"/>
          <w:position w:val="7"/>
          <w:sz w:val="11"/>
        </w:rPr>
        <w:t>er</w:t>
      </w:r>
      <w:r>
        <w:rPr>
          <w:color w:val="231F20"/>
        </w:rPr>
        <w:t>.</w:t>
      </w:r>
    </w:p>
    <w:p>
      <w:pPr>
        <w:pStyle w:val="BodyText"/>
        <w:spacing w:before="8"/>
        <w:ind w:left="0" w:right="0" w:firstLine="0"/>
        <w:jc w:val="left"/>
        <w:rPr>
          <w:sz w:val="22"/>
        </w:rPr>
      </w:pPr>
    </w:p>
    <w:p>
      <w:pPr>
        <w:pStyle w:val="BodyText"/>
        <w:spacing w:before="1"/>
        <w:ind w:left="283" w:right="0" w:firstLine="0"/>
        <w:jc w:val="left"/>
      </w:pPr>
      <w:r>
        <w:rPr>
          <w:color w:val="231F20"/>
        </w:rPr>
        <w:t>Section 6. Modalités d’exercice du droit de vote.</w:t>
      </w:r>
    </w:p>
    <w:p>
      <w:pPr>
        <w:pStyle w:val="BodyText"/>
        <w:spacing w:line="218" w:lineRule="auto" w:before="92"/>
        <w:ind w:right="38"/>
      </w:pPr>
      <w:r>
        <w:rPr>
          <w:color w:val="231F20"/>
        </w:rPr>
        <w:t>Art. 7:174. Tous les obligataires peuvent voter en personne ou par procuration.</w:t>
      </w:r>
    </w:p>
    <w:p>
      <w:pPr>
        <w:pStyle w:val="BodyText"/>
        <w:spacing w:line="218" w:lineRule="auto" w:before="96"/>
        <w:ind w:right="38"/>
      </w:pPr>
      <w:r>
        <w:rPr>
          <w:color w:val="231F20"/>
        </w:rPr>
        <w:t>Art. 7:175. Pour les sociétés cotées, toute demande de procuration doit contenir au moins, à peine de nullité, les mentions suivantes:</w:t>
      </w:r>
    </w:p>
    <w:p>
      <w:pPr>
        <w:pStyle w:val="BodyText"/>
        <w:spacing w:before="11"/>
        <w:ind w:left="0" w:right="0" w:firstLine="0"/>
        <w:jc w:val="left"/>
        <w:rPr>
          <w:sz w:val="23"/>
        </w:rPr>
      </w:pPr>
    </w:p>
    <w:p>
      <w:pPr>
        <w:pStyle w:val="BodyText"/>
        <w:spacing w:line="218" w:lineRule="auto"/>
        <w:ind w:right="38"/>
      </w:pPr>
      <w:r>
        <w:rPr>
          <w:color w:val="231F20"/>
        </w:rPr>
        <w:t>1° l’ordre du jour avec une indication des sujets à traiter ainsi que les propositions de décisions;</w:t>
      </w:r>
    </w:p>
    <w:p>
      <w:pPr>
        <w:pStyle w:val="BodyText"/>
        <w:spacing w:line="218" w:lineRule="auto" w:before="96"/>
        <w:ind w:right="38"/>
      </w:pPr>
      <w:r>
        <w:rPr>
          <w:color w:val="231F20"/>
        </w:rPr>
        <w:t>2° la demande d’instruction pour l’exercice du droit de vote sur chacun des sujets à l’ordre du jour;</w:t>
      </w:r>
    </w:p>
    <w:p>
      <w:pPr>
        <w:pStyle w:val="BodyText"/>
        <w:spacing w:line="218" w:lineRule="auto" w:before="96"/>
        <w:ind w:right="39"/>
      </w:pPr>
      <w:r>
        <w:rPr>
          <w:color w:val="231F20"/>
        </w:rPr>
        <w:t>3° l’indication du sens dans lequel le mandataire exercera son droit de</w:t>
      </w:r>
      <w:r>
        <w:rPr>
          <w:color w:val="231F20"/>
          <w:spacing w:val="15"/>
        </w:rPr>
        <w:t> </w:t>
      </w:r>
      <w:r>
        <w:rPr>
          <w:color w:val="231F20"/>
        </w:rPr>
        <w:t>vote</w:t>
      </w:r>
      <w:r>
        <w:rPr>
          <w:color w:val="231F20"/>
          <w:spacing w:val="16"/>
        </w:rPr>
        <w:t> </w:t>
      </w:r>
      <w:r>
        <w:rPr>
          <w:color w:val="231F20"/>
        </w:rPr>
        <w:t>en</w:t>
      </w:r>
      <w:r>
        <w:rPr>
          <w:color w:val="231F20"/>
          <w:spacing w:val="16"/>
        </w:rPr>
        <w:t> </w:t>
      </w:r>
      <w:r>
        <w:rPr>
          <w:color w:val="231F20"/>
        </w:rPr>
        <w:t>l’absence</w:t>
      </w:r>
      <w:r>
        <w:rPr>
          <w:color w:val="231F20"/>
          <w:spacing w:val="16"/>
        </w:rPr>
        <w:t> </w:t>
      </w:r>
      <w:r>
        <w:rPr>
          <w:color w:val="231F20"/>
        </w:rPr>
        <w:t>d’instructions</w:t>
      </w:r>
      <w:r>
        <w:rPr>
          <w:color w:val="231F20"/>
          <w:spacing w:val="16"/>
        </w:rPr>
        <w:t> </w:t>
      </w:r>
      <w:r>
        <w:rPr>
          <w:color w:val="231F20"/>
        </w:rPr>
        <w:t>de</w:t>
      </w:r>
      <w:r>
        <w:rPr>
          <w:color w:val="231F20"/>
          <w:spacing w:val="16"/>
        </w:rPr>
        <w:t> </w:t>
      </w:r>
      <w:r>
        <w:rPr>
          <w:color w:val="231F20"/>
        </w:rPr>
        <w:t>l’obligataire.</w:t>
      </w:r>
    </w:p>
    <w:p>
      <w:pPr>
        <w:pStyle w:val="BodyText"/>
        <w:spacing w:line="218" w:lineRule="auto" w:before="96"/>
        <w:ind w:right="38"/>
      </w:pPr>
      <w:r>
        <w:rPr>
          <w:color w:val="231F20"/>
        </w:rPr>
        <w:t>Art. 7:176. La sollicitation publique de procurations est subordonnée aux conditions suivantes:</w:t>
      </w:r>
    </w:p>
    <w:p>
      <w:pPr>
        <w:pStyle w:val="BodyText"/>
        <w:spacing w:line="218" w:lineRule="auto" w:before="96"/>
        <w:ind w:right="38"/>
      </w:pPr>
      <w:r>
        <w:rPr>
          <w:color w:val="231F20"/>
        </w:rPr>
        <w:t>1° la procuration n’est sollicitée que pour une seule assemblée, mais elle vaut pour les assemblées successives avec le même ordre du jour;</w:t>
      </w:r>
    </w:p>
    <w:p>
      <w:pPr>
        <w:pStyle w:val="BodyText"/>
        <w:spacing w:before="8"/>
        <w:ind w:left="0" w:right="0" w:firstLine="0"/>
        <w:jc w:val="left"/>
        <w:rPr>
          <w:sz w:val="22"/>
        </w:rPr>
      </w:pPr>
    </w:p>
    <w:p>
      <w:pPr>
        <w:pStyle w:val="BodyText"/>
        <w:ind w:left="283" w:right="0" w:firstLine="0"/>
        <w:jc w:val="left"/>
      </w:pPr>
      <w:r>
        <w:rPr>
          <w:color w:val="231F20"/>
        </w:rPr>
        <w:t>2° la procuration est révocable;</w:t>
      </w:r>
    </w:p>
    <w:p>
      <w:pPr>
        <w:pStyle w:val="BodyText"/>
        <w:spacing w:line="218" w:lineRule="auto" w:before="93"/>
        <w:ind w:right="38"/>
      </w:pPr>
      <w:r>
        <w:rPr>
          <w:color w:val="231F20"/>
        </w:rPr>
        <w:t>3° la demande de procuration doit contenir, au moins, les mentions suivantes:</w:t>
      </w:r>
    </w:p>
    <w:p>
      <w:pPr>
        <w:pStyle w:val="ListParagraph"/>
        <w:numPr>
          <w:ilvl w:val="0"/>
          <w:numId w:val="120"/>
        </w:numPr>
        <w:tabs>
          <w:tab w:pos="463" w:val="left" w:leader="none"/>
        </w:tabs>
        <w:spacing w:line="218" w:lineRule="auto" w:before="94" w:after="0"/>
        <w:ind w:left="113" w:right="38" w:firstLine="170"/>
        <w:jc w:val="both"/>
        <w:rPr>
          <w:sz w:val="17"/>
        </w:rPr>
      </w:pPr>
      <w:r>
        <w:rPr>
          <w:color w:val="231F20"/>
          <w:sz w:val="17"/>
        </w:rPr>
        <w:t>l’ordre du jour avec une indication des sujets à traiter ainsi que les propositions de</w:t>
      </w:r>
      <w:r>
        <w:rPr>
          <w:color w:val="231F20"/>
          <w:spacing w:val="-12"/>
          <w:sz w:val="17"/>
        </w:rPr>
        <w:t> </w:t>
      </w:r>
      <w:r>
        <w:rPr>
          <w:color w:val="231F20"/>
          <w:sz w:val="17"/>
        </w:rPr>
        <w:t>décisions;</w:t>
      </w:r>
    </w:p>
    <w:p>
      <w:pPr>
        <w:pStyle w:val="ListParagraph"/>
        <w:numPr>
          <w:ilvl w:val="0"/>
          <w:numId w:val="120"/>
        </w:numPr>
        <w:tabs>
          <w:tab w:pos="495" w:val="left" w:leader="none"/>
        </w:tabs>
        <w:spacing w:line="218" w:lineRule="auto" w:before="93" w:after="0"/>
        <w:ind w:left="113" w:right="38" w:firstLine="170"/>
        <w:jc w:val="both"/>
        <w:rPr>
          <w:sz w:val="17"/>
        </w:rPr>
      </w:pPr>
      <w:r>
        <w:rPr>
          <w:color w:val="231F20"/>
          <w:sz w:val="17"/>
        </w:rPr>
        <w:t>l’indication que les documents sociaux sont à la disposition de l’obligataire qui les</w:t>
      </w:r>
      <w:r>
        <w:rPr>
          <w:color w:val="231F20"/>
          <w:spacing w:val="4"/>
          <w:sz w:val="17"/>
        </w:rPr>
        <w:t> </w:t>
      </w:r>
      <w:r>
        <w:rPr>
          <w:color w:val="231F20"/>
          <w:sz w:val="17"/>
        </w:rPr>
        <w:t>demande;</w:t>
      </w:r>
    </w:p>
    <w:p>
      <w:pPr>
        <w:pStyle w:val="BodyText"/>
        <w:spacing w:line="218" w:lineRule="auto" w:before="119"/>
      </w:pPr>
      <w:r>
        <w:rPr/>
        <w:br w:type="column"/>
      </w:r>
      <w:r>
        <w:rPr>
          <w:color w:val="231F20"/>
        </w:rPr>
        <w:t>Art. 7:167. De statuten kunnen de in artikel 7:137 bedoelde regeling voor deelname op afstand, onder dezelfde voorwaarden, uitbreiden tot de algemene vergadering van obligatiehouders.</w:t>
      </w:r>
    </w:p>
    <w:p>
      <w:pPr>
        <w:pStyle w:val="BodyText"/>
        <w:spacing w:line="218" w:lineRule="auto" w:before="86"/>
      </w:pPr>
      <w:r>
        <w:rPr>
          <w:color w:val="231F20"/>
        </w:rPr>
        <w:t>Afdeling 5. Verloop van de algemene vergadering van obligatiehou- ders.</w:t>
      </w:r>
    </w:p>
    <w:p>
      <w:pPr>
        <w:pStyle w:val="BodyText"/>
        <w:spacing w:line="218" w:lineRule="auto" w:before="85"/>
      </w:pPr>
      <w:r>
        <w:rPr>
          <w:color w:val="231F20"/>
        </w:rPr>
        <w:t>Art. 7:168. Op elke algemene vergadering van obligatiehouders  wordt een aanwezigheidslijst</w:t>
      </w:r>
      <w:r>
        <w:rPr>
          <w:color w:val="231F20"/>
          <w:spacing w:val="7"/>
        </w:rPr>
        <w:t> </w:t>
      </w:r>
      <w:r>
        <w:rPr>
          <w:color w:val="231F20"/>
        </w:rPr>
        <w:t>bijgehouden.</w:t>
      </w:r>
    </w:p>
    <w:p>
      <w:pPr>
        <w:pStyle w:val="BodyText"/>
        <w:spacing w:line="218" w:lineRule="auto" w:before="86"/>
      </w:pPr>
      <w:r>
        <w:rPr>
          <w:color w:val="231F20"/>
        </w:rPr>
        <w:t>Art. 7:169. De vennootschap moet bij de aanvang van de vergadering een lijst van de in omloop zijnde obligaties ter beschikking stellen van de obligatiehouders.</w:t>
      </w:r>
    </w:p>
    <w:p>
      <w:pPr>
        <w:pStyle w:val="BodyText"/>
        <w:spacing w:line="218" w:lineRule="auto" w:before="96"/>
      </w:pPr>
      <w:r>
        <w:rPr>
          <w:color w:val="231F20"/>
        </w:rPr>
        <w:t>Art. 7:170. De algemene vergadering van obligatiehouders kan alleen dan op geldige wijze beraadslagen en besluiten wanneer de aanwezige leden ten minste de helft van het bedrag van de in omloop zijnde effecten vertegenwoordigen.</w:t>
      </w:r>
    </w:p>
    <w:p>
      <w:pPr>
        <w:pStyle w:val="BodyText"/>
        <w:spacing w:line="218" w:lineRule="auto" w:before="96"/>
      </w:pPr>
      <w:r>
        <w:rPr>
          <w:color w:val="231F20"/>
          <w:w w:val="105"/>
        </w:rPr>
        <w:t>Is deze voorwaarde niet vervuld, dan is een nieuwe bijeenroeping nodig en de tweede vergadering beraadslaagt en besluit op geldige wijze, ongeacht het vertegenwoordigde bedrag van de effecten in omloop.</w:t>
      </w:r>
    </w:p>
    <w:p>
      <w:pPr>
        <w:pStyle w:val="BodyText"/>
        <w:spacing w:line="218" w:lineRule="auto" w:before="97"/>
      </w:pPr>
      <w:r>
        <w:rPr>
          <w:color w:val="231F20"/>
        </w:rPr>
        <w:t>Een voorstel is alleen dan aangenomen wanneer het is goedgekeurd door aanwezige of vertegenwoordigde obligatiehouders wier stemmen ten minste drie vierde van het bedrag van de obligaties waarvoor aan  de stemming is deelgenomen,</w:t>
      </w:r>
      <w:r>
        <w:rPr>
          <w:color w:val="231F20"/>
          <w:spacing w:val="26"/>
        </w:rPr>
        <w:t> </w:t>
      </w:r>
      <w:r>
        <w:rPr>
          <w:color w:val="231F20"/>
        </w:rPr>
        <w:t>vertegenwoordigen.</w:t>
      </w:r>
    </w:p>
    <w:p>
      <w:pPr>
        <w:pStyle w:val="BodyText"/>
        <w:spacing w:line="216" w:lineRule="auto" w:before="98"/>
      </w:pPr>
      <w:r>
        <w:rPr>
          <w:color w:val="231F20"/>
        </w:rPr>
        <w:t>Tenzij alle obligaties op naam zijn worden de genomen besluiten binnen vijftien dagen bekendgemaakt in de Bijlagen bij het </w:t>
      </w:r>
      <w:r>
        <w:rPr>
          <w:rFonts w:ascii="Times New Roman"/>
          <w:i/>
          <w:color w:val="231F20"/>
        </w:rPr>
        <w:t>Belgisch </w:t>
      </w:r>
      <w:r>
        <w:rPr>
          <w:rFonts w:ascii="Times New Roman"/>
          <w:i/>
          <w:color w:val="231F20"/>
        </w:rPr>
        <w:t>Staatsblad </w:t>
      </w:r>
      <w:r>
        <w:rPr>
          <w:color w:val="231F20"/>
        </w:rPr>
        <w:t>of, voor genoteerde vennootschappen, op de vennootschaps- website.</w:t>
      </w:r>
    </w:p>
    <w:p>
      <w:pPr>
        <w:pStyle w:val="BodyText"/>
        <w:spacing w:line="218" w:lineRule="auto" w:before="97"/>
      </w:pPr>
      <w:r>
        <w:rPr>
          <w:color w:val="231F20"/>
        </w:rPr>
        <w:t>Art. 7:171. Indien er verschillende soorten van obligaties zijn en het besluit van de algemene vergadering van obligatiehouders een wijzi- ging van de respectievelijke daaraan verbonden rechten voor</w:t>
      </w:r>
      <w:r>
        <w:rPr>
          <w:color w:val="231F20"/>
          <w:spacing w:val="18"/>
        </w:rPr>
        <w:t> </w:t>
      </w:r>
      <w:r>
        <w:rPr>
          <w:color w:val="231F20"/>
        </w:rPr>
        <w:t>gevolg kan hebben, dienen de houders van elke soort van obligaties afzonder- lijk te worden bijeengeroepen in een bijzondere vergadering en moet er voor elke soort worden voldaan aan de voorwaarden van</w:t>
      </w:r>
      <w:r>
        <w:rPr>
          <w:color w:val="231F20"/>
          <w:spacing w:val="20"/>
        </w:rPr>
        <w:t> </w:t>
      </w:r>
      <w:r>
        <w:rPr>
          <w:color w:val="231F20"/>
        </w:rPr>
        <w:t>aanwezig- heid</w:t>
      </w:r>
      <w:r>
        <w:rPr>
          <w:color w:val="231F20"/>
          <w:spacing w:val="15"/>
        </w:rPr>
        <w:t> </w:t>
      </w:r>
      <w:r>
        <w:rPr>
          <w:color w:val="231F20"/>
        </w:rPr>
        <w:t>en</w:t>
      </w:r>
      <w:r>
        <w:rPr>
          <w:color w:val="231F20"/>
          <w:spacing w:val="15"/>
        </w:rPr>
        <w:t> </w:t>
      </w:r>
      <w:r>
        <w:rPr>
          <w:color w:val="231F20"/>
        </w:rPr>
        <w:t>van</w:t>
      </w:r>
      <w:r>
        <w:rPr>
          <w:color w:val="231F20"/>
          <w:spacing w:val="15"/>
        </w:rPr>
        <w:t> </w:t>
      </w:r>
      <w:r>
        <w:rPr>
          <w:color w:val="231F20"/>
        </w:rPr>
        <w:t>meerderheid</w:t>
      </w:r>
      <w:r>
        <w:rPr>
          <w:color w:val="231F20"/>
          <w:spacing w:val="15"/>
        </w:rPr>
        <w:t> </w:t>
      </w:r>
      <w:r>
        <w:rPr>
          <w:color w:val="231F20"/>
        </w:rPr>
        <w:t>bepaald</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7:170.</w:t>
      </w:r>
    </w:p>
    <w:p>
      <w:pPr>
        <w:pStyle w:val="BodyText"/>
        <w:spacing w:line="218" w:lineRule="auto" w:before="96"/>
      </w:pPr>
      <w:r>
        <w:rPr>
          <w:color w:val="231F20"/>
        </w:rPr>
        <w:t>Art. 7:172. De notulen van de algemene vergaderingen van obliga- tiehouders worden ondertekend door de leden van het bureau en door de obligatiehouders die erom verzoeken; kopieën voor derden worden ondertekend door de bestuurders met vertegenwoordigingsbevoegd- heid.</w:t>
      </w:r>
    </w:p>
    <w:p>
      <w:pPr>
        <w:pStyle w:val="BodyText"/>
        <w:spacing w:line="218" w:lineRule="auto" w:before="97"/>
        <w:ind w:right="120"/>
      </w:pPr>
      <w:r>
        <w:rPr>
          <w:color w:val="231F20"/>
        </w:rPr>
        <w:t>Art. 7:173. Mits inachtneming van de oproepingsformaliteiten voor- geschreven in de artikelen 7:164 en 7:165, kunnen alle besluiten die tot de bevoegdheid van de algemene vergadering van obligatiehouders behoren via elektronische weg of via schriftelijk akkoord worden genomen. Een besluit is in dat geval alleen dan aangenomen wanneer het akkoord wordt verkregen, via elektronische weg of via schriftelijk akkoord, van obligatiehouders die ten minste drie vierde vertegenwoor- digen van het bedrag van de bestaande obligaties.</w:t>
      </w:r>
    </w:p>
    <w:p>
      <w:pPr>
        <w:pStyle w:val="BodyText"/>
        <w:spacing w:line="218" w:lineRule="auto" w:before="96"/>
        <w:ind w:right="123"/>
      </w:pPr>
      <w:r>
        <w:rPr>
          <w:color w:val="231F20"/>
        </w:rPr>
        <w:t>De Koning kan de aard en de toepassingsvoorwaarden van de in het eerste lid bedoelde elektronische weg en het te verkrijgen schriftelijk akkoord verduidelijken.</w:t>
      </w:r>
    </w:p>
    <w:p>
      <w:pPr>
        <w:pStyle w:val="BodyText"/>
        <w:spacing w:before="83"/>
        <w:ind w:left="283" w:right="0" w:firstLine="0"/>
        <w:jc w:val="left"/>
      </w:pPr>
      <w:r>
        <w:rPr>
          <w:color w:val="231F20"/>
        </w:rPr>
        <w:t>Afdeling 6. Wijze van uitoefening van het stemrecht.</w:t>
      </w:r>
    </w:p>
    <w:p>
      <w:pPr>
        <w:pStyle w:val="BodyText"/>
        <w:spacing w:line="218" w:lineRule="auto" w:before="92"/>
      </w:pPr>
      <w:r>
        <w:rPr>
          <w:color w:val="231F20"/>
        </w:rPr>
        <w:t>Art. 7:174. Alle obligatiehouders kunnen in persoon of bij volmacht stemmen.</w:t>
      </w:r>
    </w:p>
    <w:p>
      <w:pPr>
        <w:pStyle w:val="BodyText"/>
        <w:spacing w:line="218" w:lineRule="auto" w:before="96"/>
      </w:pPr>
      <w:r>
        <w:rPr>
          <w:color w:val="231F20"/>
        </w:rPr>
        <w:t>Art. 7:175. Voor de genoteerde vennootschappen moet elk verzoek tot verlening van een volmacht, op straffe van nietigheid, ten minste de volgende vermeldingen bevatten:</w:t>
      </w:r>
    </w:p>
    <w:p>
      <w:pPr>
        <w:pStyle w:val="BodyText"/>
        <w:spacing w:line="218" w:lineRule="auto" w:before="97"/>
      </w:pPr>
      <w:r>
        <w:rPr>
          <w:color w:val="231F20"/>
        </w:rPr>
        <w:t>1° de agenda, met opgave van de te behandelen onderwerpen en de voorstellen tot besluit;</w:t>
      </w:r>
    </w:p>
    <w:p>
      <w:pPr>
        <w:pStyle w:val="BodyText"/>
        <w:spacing w:line="218" w:lineRule="auto" w:before="96"/>
      </w:pPr>
      <w:r>
        <w:rPr>
          <w:color w:val="231F20"/>
        </w:rPr>
        <w:t>2° het verzoek om instructies voor de uitoefening van het stemrecht ten aanzien van de verschillende onderwerpen van de agenda;</w:t>
      </w:r>
    </w:p>
    <w:p>
      <w:pPr>
        <w:pStyle w:val="BodyText"/>
        <w:spacing w:line="218" w:lineRule="auto" w:before="96"/>
      </w:pPr>
      <w:r>
        <w:rPr>
          <w:color w:val="231F20"/>
        </w:rPr>
        <w:t>3° de mededeling hoe de gemachtigde zijn stemrecht zal uitoefenen bij gebrek aan instructies van de obligatiehouder.</w:t>
      </w:r>
    </w:p>
    <w:p>
      <w:pPr>
        <w:pStyle w:val="BodyText"/>
        <w:spacing w:line="218" w:lineRule="auto" w:before="96"/>
      </w:pPr>
      <w:r>
        <w:rPr>
          <w:color w:val="231F20"/>
        </w:rPr>
        <w:t>Art. 7:176. Het openbaar verzoek tot verlening van volmachten is aan de volgende voorwaarden onderworpen:</w:t>
      </w:r>
    </w:p>
    <w:p>
      <w:pPr>
        <w:pStyle w:val="BodyText"/>
        <w:spacing w:line="218" w:lineRule="auto" w:before="96"/>
      </w:pPr>
      <w:r>
        <w:rPr>
          <w:color w:val="231F20"/>
        </w:rPr>
        <w:t>1° de volmacht wordt slechts gevraagd voor één algemene vergade- ring; zij geldt evenwel voor opeenvolgende algemene vergaderingen indien deze dezelfde agenda hebben;</w:t>
      </w:r>
    </w:p>
    <w:p>
      <w:pPr>
        <w:pStyle w:val="BodyText"/>
        <w:spacing w:before="82"/>
        <w:ind w:left="283" w:right="0" w:firstLine="0"/>
        <w:jc w:val="left"/>
      </w:pPr>
      <w:r>
        <w:rPr>
          <w:color w:val="231F20"/>
        </w:rPr>
        <w:t>2° de volmacht kan worden herroepen;</w:t>
      </w:r>
    </w:p>
    <w:p>
      <w:pPr>
        <w:pStyle w:val="BodyText"/>
        <w:spacing w:line="218" w:lineRule="auto" w:before="93"/>
      </w:pPr>
      <w:r>
        <w:rPr>
          <w:color w:val="231F20"/>
        </w:rPr>
        <w:t>3° het verzoek tot verlening van een volmacht bevat ten minste de volgende gegevens:</w:t>
      </w:r>
    </w:p>
    <w:p>
      <w:pPr>
        <w:pStyle w:val="ListParagraph"/>
        <w:numPr>
          <w:ilvl w:val="0"/>
          <w:numId w:val="121"/>
        </w:numPr>
        <w:tabs>
          <w:tab w:pos="470" w:val="left" w:leader="none"/>
        </w:tabs>
        <w:spacing w:line="218" w:lineRule="auto" w:before="93" w:after="0"/>
        <w:ind w:left="113" w:right="124" w:firstLine="170"/>
        <w:jc w:val="both"/>
        <w:rPr>
          <w:sz w:val="17"/>
        </w:rPr>
      </w:pPr>
      <w:r>
        <w:rPr>
          <w:color w:val="231F20"/>
          <w:sz w:val="17"/>
        </w:rPr>
        <w:t>de agenda, met opgave van de te behandelen onderwerpen en de voorstellen tot</w:t>
      </w:r>
      <w:r>
        <w:rPr>
          <w:color w:val="231F20"/>
          <w:spacing w:val="-12"/>
          <w:sz w:val="17"/>
        </w:rPr>
        <w:t> </w:t>
      </w:r>
      <w:r>
        <w:rPr>
          <w:color w:val="231F20"/>
          <w:sz w:val="17"/>
        </w:rPr>
        <w:t>besluit;</w:t>
      </w:r>
    </w:p>
    <w:p>
      <w:pPr>
        <w:pStyle w:val="ListParagraph"/>
        <w:numPr>
          <w:ilvl w:val="0"/>
          <w:numId w:val="121"/>
        </w:numPr>
        <w:tabs>
          <w:tab w:pos="518" w:val="left" w:leader="none"/>
        </w:tabs>
        <w:spacing w:line="218" w:lineRule="auto" w:before="94" w:after="0"/>
        <w:ind w:left="113" w:right="124" w:firstLine="170"/>
        <w:jc w:val="both"/>
        <w:rPr>
          <w:sz w:val="17"/>
        </w:rPr>
      </w:pPr>
      <w:r>
        <w:rPr>
          <w:color w:val="231F20"/>
          <w:sz w:val="17"/>
        </w:rPr>
        <w:t>de mededeling dat de documenten van de vennootschap ter beschikking</w:t>
      </w:r>
      <w:r>
        <w:rPr>
          <w:color w:val="231F20"/>
          <w:spacing w:val="17"/>
          <w:sz w:val="17"/>
        </w:rPr>
        <w:t> </w:t>
      </w:r>
      <w:r>
        <w:rPr>
          <w:color w:val="231F20"/>
          <w:sz w:val="17"/>
        </w:rPr>
        <w:t>staan</w:t>
      </w:r>
      <w:r>
        <w:rPr>
          <w:color w:val="231F20"/>
          <w:spacing w:val="18"/>
          <w:sz w:val="17"/>
        </w:rPr>
        <w:t> </w:t>
      </w:r>
      <w:r>
        <w:rPr>
          <w:color w:val="231F20"/>
          <w:sz w:val="17"/>
        </w:rPr>
        <w:t>van</w:t>
      </w:r>
      <w:r>
        <w:rPr>
          <w:color w:val="231F20"/>
          <w:spacing w:val="17"/>
          <w:sz w:val="17"/>
        </w:rPr>
        <w:t> </w:t>
      </w:r>
      <w:r>
        <w:rPr>
          <w:color w:val="231F20"/>
          <w:sz w:val="17"/>
        </w:rPr>
        <w:t>de</w:t>
      </w:r>
      <w:r>
        <w:rPr>
          <w:color w:val="231F20"/>
          <w:spacing w:val="18"/>
          <w:sz w:val="17"/>
        </w:rPr>
        <w:t> </w:t>
      </w:r>
      <w:r>
        <w:rPr>
          <w:color w:val="231F20"/>
          <w:sz w:val="17"/>
        </w:rPr>
        <w:t>obligatiehouder</w:t>
      </w:r>
      <w:r>
        <w:rPr>
          <w:color w:val="231F20"/>
          <w:spacing w:val="17"/>
          <w:sz w:val="17"/>
        </w:rPr>
        <w:t> </w:t>
      </w:r>
      <w:r>
        <w:rPr>
          <w:color w:val="231F20"/>
          <w:sz w:val="17"/>
        </w:rPr>
        <w:t>die</w:t>
      </w:r>
      <w:r>
        <w:rPr>
          <w:color w:val="231F20"/>
          <w:spacing w:val="18"/>
          <w:sz w:val="17"/>
        </w:rPr>
        <w:t> </w:t>
      </w:r>
      <w:r>
        <w:rPr>
          <w:color w:val="231F20"/>
          <w:sz w:val="17"/>
        </w:rPr>
        <w:t>erom</w:t>
      </w:r>
      <w:r>
        <w:rPr>
          <w:color w:val="231F20"/>
          <w:spacing w:val="17"/>
          <w:sz w:val="17"/>
        </w:rPr>
        <w:t> </w:t>
      </w:r>
      <w:r>
        <w:rPr>
          <w:color w:val="231F20"/>
          <w:sz w:val="17"/>
        </w:rPr>
        <w:t>verzoekt;</w:t>
      </w:r>
    </w:p>
    <w:p>
      <w:pPr>
        <w:spacing w:after="0" w:line="218" w:lineRule="auto"/>
        <w:jc w:val="both"/>
        <w:rPr>
          <w:sz w:val="17"/>
        </w:rPr>
        <w:sectPr>
          <w:headerReference w:type="even" r:id="rId85"/>
          <w:headerReference w:type="default" r:id="rId86"/>
          <w:pgSz w:w="11940" w:h="16880"/>
          <w:pgMar w:header="666" w:footer="0" w:top="1140" w:bottom="280" w:left="340" w:right="360"/>
          <w:pgNumType w:start="33432"/>
          <w:cols w:num="2" w:equalWidth="0">
            <w:col w:w="5527" w:space="101"/>
            <w:col w:w="5612"/>
          </w:cols>
        </w:sectPr>
      </w:pPr>
    </w:p>
    <w:p>
      <w:pPr>
        <w:pStyle w:val="ListParagraph"/>
        <w:numPr>
          <w:ilvl w:val="0"/>
          <w:numId w:val="121"/>
        </w:numPr>
        <w:tabs>
          <w:tab w:pos="449" w:val="left" w:leader="none"/>
        </w:tabs>
        <w:spacing w:line="218" w:lineRule="auto" w:before="117" w:after="0"/>
        <w:ind w:left="113" w:right="39" w:firstLine="170"/>
        <w:jc w:val="both"/>
        <w:rPr>
          <w:sz w:val="17"/>
        </w:rPr>
      </w:pPr>
      <w:r>
        <w:rPr/>
        <w:pict>
          <v:line style="position:absolute;mso-position-horizontal-relative:page;mso-position-vertical-relative:page;z-index:5680" from="298.170502pt,64.473pt" to="298.170502pt,812.819pt" stroked="true" strokeweight=".533pt" strokecolor="#231f20">
            <v:stroke dashstyle="solid"/>
            <w10:wrap type="none"/>
          </v:line>
        </w:pict>
      </w:r>
      <w:bookmarkStart w:name="_bookmark194" w:id="199"/>
      <w:bookmarkEnd w:id="199"/>
      <w:r>
        <w:rPr/>
      </w:r>
      <w:bookmarkStart w:name="_bookmark194" w:id="200"/>
      <w:bookmarkEnd w:id="200"/>
      <w:r>
        <w:rPr>
          <w:color w:val="231F20"/>
          <w:sz w:val="17"/>
        </w:rPr>
        <w:t>l</w:t>
      </w:r>
      <w:r>
        <w:rPr>
          <w:color w:val="231F20"/>
          <w:sz w:val="17"/>
        </w:rPr>
        <w:t>’indication du sens dans lequel le mandataire exercera son droit de vote;</w:t>
      </w:r>
    </w:p>
    <w:p>
      <w:pPr>
        <w:pStyle w:val="ListParagraph"/>
        <w:numPr>
          <w:ilvl w:val="0"/>
          <w:numId w:val="121"/>
        </w:numPr>
        <w:tabs>
          <w:tab w:pos="487" w:val="left" w:leader="none"/>
        </w:tabs>
        <w:spacing w:line="218" w:lineRule="auto" w:before="115" w:after="0"/>
        <w:ind w:left="113" w:right="39" w:firstLine="170"/>
        <w:jc w:val="both"/>
        <w:rPr>
          <w:sz w:val="17"/>
        </w:rPr>
      </w:pPr>
      <w:r>
        <w:rPr>
          <w:color w:val="231F20"/>
          <w:sz w:val="17"/>
        </w:rPr>
        <w:t>une description détaillée et une justification de l’objectif de celui qui sollicite la</w:t>
      </w:r>
      <w:r>
        <w:rPr>
          <w:color w:val="231F20"/>
          <w:spacing w:val="3"/>
          <w:sz w:val="17"/>
        </w:rPr>
        <w:t> </w:t>
      </w:r>
      <w:r>
        <w:rPr>
          <w:color w:val="231F20"/>
          <w:sz w:val="17"/>
        </w:rPr>
        <w:t>procuration.</w:t>
      </w:r>
    </w:p>
    <w:p>
      <w:pPr>
        <w:pStyle w:val="BodyText"/>
        <w:spacing w:line="218" w:lineRule="auto" w:before="117"/>
        <w:ind w:right="39"/>
      </w:pPr>
      <w:r>
        <w:rPr>
          <w:color w:val="231F20"/>
        </w:rPr>
        <w:t>Le mandataire peut s’écarter des instructions données par son mandant, soit en raison de circonstances inconnues au moment ou les instructions ont été données, soit lorsque leur exécution risquerait de compromettre les intérêts du mandant. Le mandataire doit en informer son mandant.</w:t>
      </w:r>
    </w:p>
    <w:p>
      <w:pPr>
        <w:pStyle w:val="BodyText"/>
        <w:spacing w:line="218" w:lineRule="auto" w:before="118"/>
        <w:ind w:right="39"/>
      </w:pPr>
      <w:r>
        <w:rPr>
          <w:color w:val="231F20"/>
        </w:rPr>
        <w:t>Lorsque la demande de procuration est relative à une société cotée, copie de la demande précitée est communiquée à l’Autorité des services et marchés financiers trois jours avant de rendre publique la sollicita- tion.</w:t>
      </w:r>
    </w:p>
    <w:p>
      <w:pPr>
        <w:pStyle w:val="BodyText"/>
        <w:spacing w:line="218" w:lineRule="auto" w:before="118"/>
        <w:ind w:right="39"/>
      </w:pPr>
      <w:r>
        <w:rPr>
          <w:color w:val="231F20"/>
        </w:rPr>
        <w:t>Lorsque l’Autorité des services et marchés financiers estime que la demande</w:t>
      </w:r>
      <w:r>
        <w:rPr>
          <w:color w:val="231F20"/>
          <w:spacing w:val="-4"/>
        </w:rPr>
        <w:t> </w:t>
      </w:r>
      <w:r>
        <w:rPr>
          <w:color w:val="231F20"/>
        </w:rPr>
        <w:t>éclaire</w:t>
      </w:r>
      <w:r>
        <w:rPr>
          <w:color w:val="231F20"/>
          <w:spacing w:val="-4"/>
        </w:rPr>
        <w:t> </w:t>
      </w:r>
      <w:r>
        <w:rPr>
          <w:color w:val="231F20"/>
        </w:rPr>
        <w:t>insuffisamment</w:t>
      </w:r>
      <w:r>
        <w:rPr>
          <w:color w:val="231F20"/>
          <w:spacing w:val="-4"/>
        </w:rPr>
        <w:t> </w:t>
      </w:r>
      <w:r>
        <w:rPr>
          <w:color w:val="231F20"/>
        </w:rPr>
        <w:t>les</w:t>
      </w:r>
      <w:r>
        <w:rPr>
          <w:color w:val="231F20"/>
          <w:spacing w:val="-4"/>
        </w:rPr>
        <w:t> </w:t>
      </w:r>
      <w:r>
        <w:rPr>
          <w:color w:val="231F20"/>
        </w:rPr>
        <w:t>obligataires</w:t>
      </w:r>
      <w:r>
        <w:rPr>
          <w:color w:val="231F20"/>
          <w:spacing w:val="-3"/>
        </w:rPr>
        <w:t> </w:t>
      </w:r>
      <w:r>
        <w:rPr>
          <w:color w:val="231F20"/>
        </w:rPr>
        <w:t>ou</w:t>
      </w:r>
      <w:r>
        <w:rPr>
          <w:color w:val="231F20"/>
          <w:spacing w:val="-4"/>
        </w:rPr>
        <w:t> </w:t>
      </w:r>
      <w:r>
        <w:rPr>
          <w:color w:val="231F20"/>
        </w:rPr>
        <w:t>qu’elle</w:t>
      </w:r>
      <w:r>
        <w:rPr>
          <w:color w:val="231F20"/>
          <w:spacing w:val="-4"/>
        </w:rPr>
        <w:t> </w:t>
      </w:r>
      <w:r>
        <w:rPr>
          <w:color w:val="231F20"/>
        </w:rPr>
        <w:t>est</w:t>
      </w:r>
      <w:r>
        <w:rPr>
          <w:color w:val="231F20"/>
          <w:spacing w:val="-4"/>
        </w:rPr>
        <w:t> </w:t>
      </w:r>
      <w:r>
        <w:rPr>
          <w:color w:val="231F20"/>
        </w:rPr>
        <w:t>de</w:t>
      </w:r>
      <w:r>
        <w:rPr>
          <w:color w:val="231F20"/>
          <w:spacing w:val="-4"/>
        </w:rPr>
        <w:t> </w:t>
      </w:r>
      <w:r>
        <w:rPr>
          <w:color w:val="231F20"/>
        </w:rPr>
        <w:t>nature à</w:t>
      </w:r>
      <w:r>
        <w:rPr>
          <w:color w:val="231F20"/>
          <w:spacing w:val="16"/>
        </w:rPr>
        <w:t> </w:t>
      </w:r>
      <w:r>
        <w:rPr>
          <w:color w:val="231F20"/>
        </w:rPr>
        <w:t>les</w:t>
      </w:r>
      <w:r>
        <w:rPr>
          <w:color w:val="231F20"/>
          <w:spacing w:val="16"/>
        </w:rPr>
        <w:t> </w:t>
      </w:r>
      <w:r>
        <w:rPr>
          <w:color w:val="231F20"/>
        </w:rPr>
        <w:t>induire</w:t>
      </w:r>
      <w:r>
        <w:rPr>
          <w:color w:val="231F20"/>
          <w:spacing w:val="16"/>
        </w:rPr>
        <w:t> </w:t>
      </w:r>
      <w:r>
        <w:rPr>
          <w:color w:val="231F20"/>
        </w:rPr>
        <w:t>en</w:t>
      </w:r>
      <w:r>
        <w:rPr>
          <w:color w:val="231F20"/>
          <w:spacing w:val="16"/>
        </w:rPr>
        <w:t> </w:t>
      </w:r>
      <w:r>
        <w:rPr>
          <w:color w:val="231F20"/>
          <w:spacing w:val="-3"/>
        </w:rPr>
        <w:t>erreur,</w:t>
      </w:r>
      <w:r>
        <w:rPr>
          <w:color w:val="231F20"/>
          <w:spacing w:val="16"/>
        </w:rPr>
        <w:t> </w:t>
      </w:r>
      <w:r>
        <w:rPr>
          <w:color w:val="231F20"/>
        </w:rPr>
        <w:t>elle</w:t>
      </w:r>
      <w:r>
        <w:rPr>
          <w:color w:val="231F20"/>
          <w:spacing w:val="16"/>
        </w:rPr>
        <w:t> </w:t>
      </w:r>
      <w:r>
        <w:rPr>
          <w:color w:val="231F20"/>
        </w:rPr>
        <w:t>en</w:t>
      </w:r>
      <w:r>
        <w:rPr>
          <w:color w:val="231F20"/>
          <w:spacing w:val="16"/>
        </w:rPr>
        <w:t> </w:t>
      </w:r>
      <w:r>
        <w:rPr>
          <w:color w:val="231F20"/>
        </w:rPr>
        <w:t>informe</w:t>
      </w:r>
      <w:r>
        <w:rPr>
          <w:color w:val="231F20"/>
          <w:spacing w:val="16"/>
        </w:rPr>
        <w:t> </w:t>
      </w:r>
      <w:r>
        <w:rPr>
          <w:color w:val="231F20"/>
        </w:rPr>
        <w:t>le</w:t>
      </w:r>
      <w:r>
        <w:rPr>
          <w:color w:val="231F20"/>
          <w:spacing w:val="17"/>
        </w:rPr>
        <w:t> </w:t>
      </w:r>
      <w:r>
        <w:rPr>
          <w:color w:val="231F20"/>
        </w:rPr>
        <w:t>demandeur</w:t>
      </w:r>
      <w:r>
        <w:rPr>
          <w:color w:val="231F20"/>
          <w:spacing w:val="16"/>
        </w:rPr>
        <w:t> </w:t>
      </w:r>
      <w:r>
        <w:rPr>
          <w:color w:val="231F20"/>
        </w:rPr>
        <w:t>de</w:t>
      </w:r>
      <w:r>
        <w:rPr>
          <w:color w:val="231F20"/>
          <w:spacing w:val="16"/>
        </w:rPr>
        <w:t> </w:t>
      </w:r>
      <w:r>
        <w:rPr>
          <w:color w:val="231F20"/>
        </w:rPr>
        <w:t>procurations.</w:t>
      </w:r>
    </w:p>
    <w:p>
      <w:pPr>
        <w:pStyle w:val="BodyText"/>
        <w:spacing w:before="9"/>
        <w:ind w:left="0" w:right="0" w:firstLine="0"/>
        <w:jc w:val="left"/>
        <w:rPr>
          <w:sz w:val="25"/>
        </w:rPr>
      </w:pPr>
    </w:p>
    <w:p>
      <w:pPr>
        <w:pStyle w:val="BodyText"/>
        <w:spacing w:line="218" w:lineRule="auto"/>
        <w:ind w:right="39"/>
      </w:pPr>
      <w:r>
        <w:rPr>
          <w:color w:val="231F20"/>
        </w:rPr>
        <w:t>S’il n’est pas tenu compte des observations formulées, l’Autorité des services et marchés financiers peut rendre son avis public.</w:t>
      </w:r>
    </w:p>
    <w:p>
      <w:pPr>
        <w:pStyle w:val="BodyText"/>
        <w:spacing w:before="9"/>
        <w:ind w:left="0" w:right="0" w:firstLine="0"/>
        <w:jc w:val="left"/>
        <w:rPr>
          <w:sz w:val="25"/>
        </w:rPr>
      </w:pPr>
    </w:p>
    <w:p>
      <w:pPr>
        <w:pStyle w:val="BodyText"/>
        <w:spacing w:line="218" w:lineRule="auto"/>
        <w:ind w:right="39"/>
      </w:pPr>
      <w:r>
        <w:rPr>
          <w:color w:val="231F20"/>
        </w:rPr>
        <w:t>Aucune mention de l’intervention de l’Autorité des services et marchés financiers ne peut être faite dans la sollicitation publique de procuration  conformément  à  l’article  25,  alinéa  2,  de  la  loi  du      16</w:t>
      </w:r>
      <w:r>
        <w:rPr>
          <w:color w:val="231F20"/>
          <w:spacing w:val="-5"/>
        </w:rPr>
        <w:t> </w:t>
      </w:r>
      <w:r>
        <w:rPr>
          <w:color w:val="231F20"/>
        </w:rPr>
        <w:t>juin</w:t>
      </w:r>
      <w:r>
        <w:rPr>
          <w:color w:val="231F20"/>
          <w:spacing w:val="-4"/>
        </w:rPr>
        <w:t> </w:t>
      </w:r>
      <w:r>
        <w:rPr>
          <w:color w:val="231F20"/>
        </w:rPr>
        <w:t>2006</w:t>
      </w:r>
      <w:r>
        <w:rPr>
          <w:color w:val="231F20"/>
          <w:spacing w:val="-4"/>
        </w:rPr>
        <w:t> </w:t>
      </w:r>
      <w:r>
        <w:rPr>
          <w:color w:val="231F20"/>
        </w:rPr>
        <w:t>relative</w:t>
      </w:r>
      <w:r>
        <w:rPr>
          <w:color w:val="231F20"/>
          <w:spacing w:val="-4"/>
        </w:rPr>
        <w:t> </w:t>
      </w:r>
      <w:r>
        <w:rPr>
          <w:color w:val="231F20"/>
        </w:rPr>
        <w:t>aux</w:t>
      </w:r>
      <w:r>
        <w:rPr>
          <w:color w:val="231F20"/>
          <w:spacing w:val="-4"/>
        </w:rPr>
        <w:t> </w:t>
      </w:r>
      <w:r>
        <w:rPr>
          <w:color w:val="231F20"/>
          <w:spacing w:val="-3"/>
        </w:rPr>
        <w:t>offres</w:t>
      </w:r>
      <w:r>
        <w:rPr>
          <w:color w:val="231F20"/>
          <w:spacing w:val="-4"/>
        </w:rPr>
        <w:t> </w:t>
      </w:r>
      <w:r>
        <w:rPr>
          <w:color w:val="231F20"/>
        </w:rPr>
        <w:t>publiques</w:t>
      </w:r>
      <w:r>
        <w:rPr>
          <w:color w:val="231F20"/>
          <w:spacing w:val="-4"/>
        </w:rPr>
        <w:t> </w:t>
      </w:r>
      <w:r>
        <w:rPr>
          <w:color w:val="231F20"/>
        </w:rPr>
        <w:t>d’instruments</w:t>
      </w:r>
      <w:r>
        <w:rPr>
          <w:color w:val="231F20"/>
          <w:spacing w:val="-4"/>
        </w:rPr>
        <w:t> </w:t>
      </w:r>
      <w:r>
        <w:rPr>
          <w:color w:val="231F20"/>
        </w:rPr>
        <w:t>de</w:t>
      </w:r>
      <w:r>
        <w:rPr>
          <w:color w:val="231F20"/>
          <w:spacing w:val="-4"/>
        </w:rPr>
        <w:t> </w:t>
      </w:r>
      <w:r>
        <w:rPr>
          <w:color w:val="231F20"/>
        </w:rPr>
        <w:t>placement</w:t>
      </w:r>
      <w:r>
        <w:rPr>
          <w:color w:val="231F20"/>
          <w:spacing w:val="-4"/>
        </w:rPr>
        <w:t> </w:t>
      </w:r>
      <w:r>
        <w:rPr>
          <w:color w:val="231F20"/>
        </w:rPr>
        <w:t>et aux admissions d’instruments de placement à la négociation sur des marchés</w:t>
      </w:r>
      <w:r>
        <w:rPr>
          <w:color w:val="231F20"/>
          <w:spacing w:val="14"/>
        </w:rPr>
        <w:t> </w:t>
      </w:r>
      <w:r>
        <w:rPr>
          <w:color w:val="231F20"/>
        </w:rPr>
        <w:t>réglementés.</w:t>
      </w:r>
    </w:p>
    <w:p>
      <w:pPr>
        <w:pStyle w:val="BodyText"/>
        <w:spacing w:line="218" w:lineRule="auto" w:before="118"/>
        <w:ind w:right="39"/>
      </w:pPr>
      <w:r>
        <w:rPr>
          <w:color w:val="231F20"/>
        </w:rPr>
        <w:t>Le Roi détermine le caractère public d’une sollicitation de procura- tion.</w:t>
      </w:r>
    </w:p>
    <w:p>
      <w:pPr>
        <w:pStyle w:val="BodyText"/>
        <w:spacing w:before="103"/>
        <w:ind w:left="283" w:right="0" w:firstLine="0"/>
        <w:jc w:val="left"/>
      </w:pPr>
      <w:r>
        <w:rPr>
          <w:color w:val="231F20"/>
        </w:rPr>
        <w:t>TITRE 5. Du capital.</w:t>
      </w:r>
    </w:p>
    <w:p>
      <w:pPr>
        <w:pStyle w:val="BodyText"/>
        <w:spacing w:line="345" w:lineRule="auto" w:before="85"/>
        <w:ind w:left="283" w:right="1641" w:firstLine="0"/>
        <w:jc w:val="left"/>
      </w:pPr>
      <w:r>
        <w:rPr>
          <w:color w:val="231F20"/>
        </w:rPr>
        <w:t>CHAPITRE 1</w:t>
      </w:r>
      <w:r>
        <w:rPr>
          <w:color w:val="231F20"/>
          <w:position w:val="7"/>
          <w:sz w:val="11"/>
        </w:rPr>
        <w:t>er</w:t>
      </w:r>
      <w:r>
        <w:rPr>
          <w:color w:val="231F20"/>
        </w:rPr>
        <w:t>. Augmentation du capital. Section 1</w:t>
      </w:r>
      <w:r>
        <w:rPr>
          <w:color w:val="231F20"/>
          <w:position w:val="7"/>
          <w:sz w:val="11"/>
        </w:rPr>
        <w:t>re</w:t>
      </w:r>
      <w:r>
        <w:rPr>
          <w:color w:val="231F20"/>
        </w:rPr>
        <w:t>. Dispositions communes.</w:t>
      </w:r>
    </w:p>
    <w:p>
      <w:pPr>
        <w:pStyle w:val="BodyText"/>
        <w:spacing w:line="218" w:lineRule="auto" w:before="29"/>
        <w:ind w:right="39"/>
      </w:pPr>
      <w:r>
        <w:rPr>
          <w:color w:val="231F20"/>
        </w:rPr>
        <w:t>Art. 7:177. L’augmentation du capital nécessite une modification des statuts, le cas échéant, en application de l’article 7:155. Une augmenta- tion de capital peut également être décidée par l’organe d’administra- tion dans les limites du capital autorisé.</w:t>
      </w:r>
    </w:p>
    <w:p>
      <w:pPr>
        <w:pStyle w:val="BodyText"/>
        <w:spacing w:line="218" w:lineRule="auto" w:before="117"/>
        <w:ind w:right="39"/>
      </w:pPr>
      <w:r>
        <w:rPr>
          <w:color w:val="231F20"/>
        </w:rPr>
        <w:t>Il en est de même pour l’émission d’obligations convertibles ou de droits de souscription.</w:t>
      </w:r>
    </w:p>
    <w:p>
      <w:pPr>
        <w:pStyle w:val="BodyText"/>
        <w:spacing w:line="218" w:lineRule="auto" w:before="118"/>
        <w:ind w:right="39"/>
      </w:pPr>
      <w:r>
        <w:rPr>
          <w:color w:val="231F20"/>
        </w:rPr>
        <w:t>Les actions émises doivent être intégralement et, nonobstant toute disposition contraire, inconditionnellement souscrites.</w:t>
      </w:r>
    </w:p>
    <w:p>
      <w:pPr>
        <w:pStyle w:val="BodyText"/>
        <w:spacing w:line="218" w:lineRule="auto" w:before="117"/>
        <w:ind w:right="39"/>
      </w:pPr>
      <w:r>
        <w:rPr>
          <w:color w:val="231F20"/>
        </w:rPr>
        <w:t>Art. 7:178. Des actions peuvent être émises en dessous ou au-dessus du pair comptable, ou au pair comptable des actions existantes de la même catégorie, avec ou sans prime d’émission.</w:t>
      </w:r>
    </w:p>
    <w:p>
      <w:pPr>
        <w:pStyle w:val="BodyText"/>
        <w:spacing w:line="218" w:lineRule="auto" w:before="118"/>
        <w:ind w:right="39"/>
      </w:pPr>
      <w:r>
        <w:rPr>
          <w:color w:val="231F20"/>
        </w:rPr>
        <w:t>Sauf si les statuts ou la décision d’émission d’actions en disposent autrement, le pair comptable de toutes les actions sans valeur nominale de la même classe est égal, qu’elles soient émises au-dessus, en-dessous ou au pair comptable des actions de la même classe.</w:t>
      </w:r>
    </w:p>
    <w:p>
      <w:pPr>
        <w:pStyle w:val="BodyText"/>
        <w:spacing w:before="5"/>
        <w:ind w:left="0" w:right="0" w:firstLine="0"/>
        <w:jc w:val="left"/>
        <w:rPr>
          <w:sz w:val="25"/>
        </w:rPr>
      </w:pPr>
    </w:p>
    <w:p>
      <w:pPr>
        <w:pStyle w:val="BodyText"/>
        <w:spacing w:line="218" w:lineRule="auto"/>
        <w:ind w:right="39"/>
      </w:pPr>
      <w:r>
        <w:rPr>
          <w:color w:val="231F20"/>
        </w:rPr>
        <w:t>Art. 7:179. § 1</w:t>
      </w:r>
      <w:r>
        <w:rPr>
          <w:color w:val="231F20"/>
          <w:position w:val="7"/>
          <w:sz w:val="11"/>
        </w:rPr>
        <w:t>er</w:t>
      </w:r>
      <w:r>
        <w:rPr>
          <w:color w:val="231F20"/>
        </w:rPr>
        <w:t>. L’organe d’administration rédige un rapport sur l’opération, qui justifie spécialement le prix d’émission et décrit les conséquences de l’opération sur les droits patrimoniaux et les droits sociaux des actionnaires.</w:t>
      </w:r>
    </w:p>
    <w:p>
      <w:pPr>
        <w:pStyle w:val="BodyText"/>
        <w:spacing w:line="218" w:lineRule="auto" w:before="128"/>
        <w:ind w:right="38"/>
      </w:pPr>
      <w:r>
        <w:rPr>
          <w:color w:val="231F20"/>
        </w:rPr>
        <w:t>Le commissaire ou, lorsqu’il n’y a pas de commissaire, le réviseur </w:t>
      </w:r>
      <w:r>
        <w:rPr>
          <w:color w:val="231F20"/>
          <w:spacing w:val="-3"/>
        </w:rPr>
        <w:t>d’entreprises </w:t>
      </w:r>
      <w:r>
        <w:rPr>
          <w:color w:val="231F20"/>
        </w:rPr>
        <w:t>ou l’expert-comptable externe désigné par </w:t>
      </w:r>
      <w:r>
        <w:rPr>
          <w:color w:val="231F20"/>
          <w:spacing w:val="-3"/>
        </w:rPr>
        <w:t>l’organe </w:t>
      </w:r>
      <w:r>
        <w:rPr>
          <w:color w:val="231F20"/>
        </w:rPr>
        <w:t>d’admi- nistration, établit un rapport dans lequel il évalue si les données financières et comptables contenues dans le rapport de l’organe d’administration sont fidèles et </w:t>
      </w:r>
      <w:r>
        <w:rPr>
          <w:color w:val="231F20"/>
          <w:spacing w:val="-3"/>
        </w:rPr>
        <w:t>suffisantes </w:t>
      </w:r>
      <w:r>
        <w:rPr>
          <w:color w:val="231F20"/>
        </w:rPr>
        <w:t>dans tous leurs aspects significatifs pour éclairer l’assemblée générale appelée à voter sur cette proposition.</w:t>
      </w:r>
    </w:p>
    <w:p>
      <w:pPr>
        <w:pStyle w:val="BodyText"/>
        <w:spacing w:line="218" w:lineRule="auto" w:before="129"/>
        <w:ind w:right="39"/>
      </w:pPr>
      <w:r>
        <w:rPr>
          <w:color w:val="231F20"/>
        </w:rPr>
        <w:t>Ces</w:t>
      </w:r>
      <w:r>
        <w:rPr>
          <w:color w:val="231F20"/>
          <w:spacing w:val="-5"/>
        </w:rPr>
        <w:t> </w:t>
      </w:r>
      <w:r>
        <w:rPr>
          <w:color w:val="231F20"/>
        </w:rPr>
        <w:t>rapports</w:t>
      </w:r>
      <w:r>
        <w:rPr>
          <w:color w:val="231F20"/>
          <w:spacing w:val="-4"/>
        </w:rPr>
        <w:t> </w:t>
      </w:r>
      <w:r>
        <w:rPr>
          <w:color w:val="231F20"/>
        </w:rPr>
        <w:t>sont</w:t>
      </w:r>
      <w:r>
        <w:rPr>
          <w:color w:val="231F20"/>
          <w:spacing w:val="-5"/>
        </w:rPr>
        <w:t> </w:t>
      </w:r>
      <w:r>
        <w:rPr>
          <w:color w:val="231F20"/>
        </w:rPr>
        <w:t>déposés</w:t>
      </w:r>
      <w:r>
        <w:rPr>
          <w:color w:val="231F20"/>
          <w:spacing w:val="-4"/>
        </w:rPr>
        <w:t> </w:t>
      </w:r>
      <w:r>
        <w:rPr>
          <w:color w:val="231F20"/>
        </w:rPr>
        <w:t>et</w:t>
      </w:r>
      <w:r>
        <w:rPr>
          <w:color w:val="231F20"/>
          <w:spacing w:val="-5"/>
        </w:rPr>
        <w:t> </w:t>
      </w:r>
      <w:r>
        <w:rPr>
          <w:color w:val="231F20"/>
        </w:rPr>
        <w:t>publiés</w:t>
      </w:r>
      <w:r>
        <w:rPr>
          <w:color w:val="231F20"/>
          <w:spacing w:val="-4"/>
        </w:rPr>
        <w:t> </w:t>
      </w:r>
      <w:r>
        <w:rPr>
          <w:color w:val="231F20"/>
        </w:rPr>
        <w:t>conformément</w:t>
      </w:r>
      <w:r>
        <w:rPr>
          <w:color w:val="231F20"/>
          <w:spacing w:val="-4"/>
        </w:rPr>
        <w:t> </w:t>
      </w:r>
      <w:r>
        <w:rPr>
          <w:color w:val="231F20"/>
        </w:rPr>
        <w:t>aux</w:t>
      </w:r>
      <w:r>
        <w:rPr>
          <w:color w:val="231F20"/>
          <w:spacing w:val="-5"/>
        </w:rPr>
        <w:t> </w:t>
      </w:r>
      <w:r>
        <w:rPr>
          <w:color w:val="231F20"/>
        </w:rPr>
        <w:t>articles</w:t>
      </w:r>
      <w:r>
        <w:rPr>
          <w:color w:val="231F20"/>
          <w:spacing w:val="-4"/>
        </w:rPr>
        <w:t> </w:t>
      </w:r>
      <w:r>
        <w:rPr>
          <w:color w:val="231F20"/>
        </w:rPr>
        <w:t>2:8</w:t>
      </w:r>
      <w:r>
        <w:rPr>
          <w:color w:val="231F20"/>
          <w:spacing w:val="-5"/>
        </w:rPr>
        <w:t> </w:t>
      </w:r>
      <w:r>
        <w:rPr>
          <w:color w:val="231F20"/>
        </w:rPr>
        <w:t>et 2:14, 4°. Ils sont annoncés dans l’ordre du </w:t>
      </w:r>
      <w:r>
        <w:rPr>
          <w:color w:val="231F20"/>
          <w:spacing w:val="-3"/>
        </w:rPr>
        <w:t>jour. </w:t>
      </w:r>
      <w:r>
        <w:rPr>
          <w:color w:val="231F20"/>
        </w:rPr>
        <w:t>Une copie peut en être obtenue conformément à l’article</w:t>
      </w:r>
      <w:r>
        <w:rPr>
          <w:color w:val="231F20"/>
          <w:spacing w:val="17"/>
        </w:rPr>
        <w:t> </w:t>
      </w:r>
      <w:r>
        <w:rPr>
          <w:color w:val="231F20"/>
        </w:rPr>
        <w:t>7:132.</w:t>
      </w:r>
    </w:p>
    <w:p>
      <w:pPr>
        <w:pStyle w:val="BodyText"/>
        <w:spacing w:line="218" w:lineRule="auto" w:before="128"/>
        <w:ind w:right="39"/>
      </w:pPr>
      <w:r>
        <w:rPr>
          <w:color w:val="231F20"/>
        </w:rPr>
        <w:t>En l’absence de rapport de l’organe d’administration ou de rapport du commissaire, du réviseur d’entreprises ou de l’expert-comptable externe contenant l’évaluation visée à l’alinéa 3, la décision de l’assemblée générale est</w:t>
      </w:r>
      <w:r>
        <w:rPr>
          <w:color w:val="231F20"/>
          <w:spacing w:val="4"/>
        </w:rPr>
        <w:t> </w:t>
      </w:r>
      <w:r>
        <w:rPr>
          <w:color w:val="231F20"/>
        </w:rPr>
        <w:t>nulle.</w:t>
      </w:r>
    </w:p>
    <w:p>
      <w:pPr>
        <w:pStyle w:val="BodyText"/>
        <w:spacing w:line="218" w:lineRule="auto" w:before="113"/>
        <w:ind w:right="39"/>
      </w:pPr>
      <w:r>
        <w:rPr>
          <w:color w:val="231F20"/>
        </w:rPr>
        <w:t>§ 2. Le paragraphe 1</w:t>
      </w:r>
      <w:r>
        <w:rPr>
          <w:color w:val="231F20"/>
          <w:position w:val="7"/>
          <w:sz w:val="11"/>
        </w:rPr>
        <w:t>er </w:t>
      </w:r>
      <w:r>
        <w:rPr>
          <w:color w:val="231F20"/>
        </w:rPr>
        <w:t>n’est pas applicable aux augmentations de capital par incorporation de</w:t>
      </w:r>
      <w:r>
        <w:rPr>
          <w:color w:val="231F20"/>
          <w:spacing w:val="19"/>
        </w:rPr>
        <w:t> </w:t>
      </w:r>
      <w:r>
        <w:rPr>
          <w:color w:val="231F20"/>
        </w:rPr>
        <w:t>réserves.</w:t>
      </w:r>
    </w:p>
    <w:p>
      <w:pPr>
        <w:pStyle w:val="BodyText"/>
        <w:spacing w:line="213" w:lineRule="auto" w:before="131"/>
        <w:ind w:right="39"/>
      </w:pPr>
      <w:r>
        <w:rPr>
          <w:color w:val="231F20"/>
        </w:rPr>
        <w:t>§</w:t>
      </w:r>
      <w:r>
        <w:rPr>
          <w:color w:val="231F20"/>
          <w:spacing w:val="-5"/>
        </w:rPr>
        <w:t> </w:t>
      </w:r>
      <w:r>
        <w:rPr>
          <w:color w:val="231F20"/>
        </w:rPr>
        <w:t>3.</w:t>
      </w:r>
      <w:r>
        <w:rPr>
          <w:color w:val="231F20"/>
          <w:spacing w:val="-4"/>
        </w:rPr>
        <w:t> </w:t>
      </w:r>
      <w:r>
        <w:rPr>
          <w:color w:val="231F20"/>
        </w:rPr>
        <w:t>Sauf</w:t>
      </w:r>
      <w:r>
        <w:rPr>
          <w:color w:val="231F20"/>
          <w:spacing w:val="-4"/>
        </w:rPr>
        <w:t> </w:t>
      </w:r>
      <w:r>
        <w:rPr>
          <w:color w:val="231F20"/>
        </w:rPr>
        <w:t>si</w:t>
      </w:r>
      <w:r>
        <w:rPr>
          <w:color w:val="231F20"/>
          <w:spacing w:val="-4"/>
        </w:rPr>
        <w:t> </w:t>
      </w:r>
      <w:r>
        <w:rPr>
          <w:color w:val="231F20"/>
        </w:rPr>
        <w:t>les</w:t>
      </w:r>
      <w:r>
        <w:rPr>
          <w:color w:val="231F20"/>
          <w:spacing w:val="-4"/>
        </w:rPr>
        <w:t> </w:t>
      </w:r>
      <w:r>
        <w:rPr>
          <w:color w:val="231F20"/>
        </w:rPr>
        <w:t>actions</w:t>
      </w:r>
      <w:r>
        <w:rPr>
          <w:color w:val="231F20"/>
          <w:spacing w:val="-4"/>
        </w:rPr>
        <w:t> </w:t>
      </w:r>
      <w:r>
        <w:rPr>
          <w:color w:val="231F20"/>
        </w:rPr>
        <w:t>sont</w:t>
      </w:r>
      <w:r>
        <w:rPr>
          <w:color w:val="231F20"/>
          <w:spacing w:val="-4"/>
        </w:rPr>
        <w:t> </w:t>
      </w:r>
      <w:r>
        <w:rPr>
          <w:color w:val="231F20"/>
        </w:rPr>
        <w:t>émises</w:t>
      </w:r>
      <w:r>
        <w:rPr>
          <w:color w:val="231F20"/>
          <w:spacing w:val="-4"/>
        </w:rPr>
        <w:t> </w:t>
      </w:r>
      <w:r>
        <w:rPr>
          <w:color w:val="231F20"/>
        </w:rPr>
        <w:t>à</w:t>
      </w:r>
      <w:r>
        <w:rPr>
          <w:color w:val="231F20"/>
          <w:spacing w:val="-4"/>
        </w:rPr>
        <w:t> </w:t>
      </w:r>
      <w:r>
        <w:rPr>
          <w:color w:val="231F20"/>
        </w:rPr>
        <w:t>titre</w:t>
      </w:r>
      <w:r>
        <w:rPr>
          <w:color w:val="231F20"/>
          <w:spacing w:val="-4"/>
        </w:rPr>
        <w:t> </w:t>
      </w:r>
      <w:r>
        <w:rPr>
          <w:color w:val="231F20"/>
        </w:rPr>
        <w:t>de</w:t>
      </w:r>
      <w:r>
        <w:rPr>
          <w:color w:val="231F20"/>
          <w:spacing w:val="-4"/>
        </w:rPr>
        <w:t> </w:t>
      </w:r>
      <w:r>
        <w:rPr>
          <w:color w:val="231F20"/>
        </w:rPr>
        <w:t>rémunération</w:t>
      </w:r>
      <w:r>
        <w:rPr>
          <w:color w:val="231F20"/>
          <w:spacing w:val="-4"/>
        </w:rPr>
        <w:t> </w:t>
      </w:r>
      <w:r>
        <w:rPr>
          <w:color w:val="231F20"/>
        </w:rPr>
        <w:t>d’un</w:t>
      </w:r>
      <w:r>
        <w:rPr>
          <w:color w:val="231F20"/>
          <w:spacing w:val="-4"/>
        </w:rPr>
        <w:t> </w:t>
      </w:r>
      <w:r>
        <w:rPr>
          <w:color w:val="231F20"/>
        </w:rPr>
        <w:t>apport en nature, l’assemblée générale, à laquelle l’ensemble des actionnaires sont présents ou représentés, peut renoncer par une décision unanime aux</w:t>
      </w:r>
      <w:r>
        <w:rPr>
          <w:color w:val="231F20"/>
          <w:spacing w:val="16"/>
        </w:rPr>
        <w:t> </w:t>
      </w:r>
      <w:r>
        <w:rPr>
          <w:color w:val="231F20"/>
        </w:rPr>
        <w:t>rapports</w:t>
      </w:r>
      <w:r>
        <w:rPr>
          <w:color w:val="231F20"/>
          <w:spacing w:val="16"/>
        </w:rPr>
        <w:t> </w:t>
      </w:r>
      <w:r>
        <w:rPr>
          <w:color w:val="231F20"/>
        </w:rPr>
        <w:t>visés</w:t>
      </w:r>
      <w:r>
        <w:rPr>
          <w:color w:val="231F20"/>
          <w:spacing w:val="16"/>
        </w:rPr>
        <w:t> </w:t>
      </w:r>
      <w:r>
        <w:rPr>
          <w:color w:val="231F20"/>
        </w:rPr>
        <w:t>au</w:t>
      </w:r>
      <w:r>
        <w:rPr>
          <w:color w:val="231F20"/>
          <w:spacing w:val="16"/>
        </w:rPr>
        <w:t> </w:t>
      </w:r>
      <w:r>
        <w:rPr>
          <w:color w:val="231F20"/>
        </w:rPr>
        <w:t>paragraphe</w:t>
      </w:r>
      <w:r>
        <w:rPr>
          <w:color w:val="231F20"/>
          <w:spacing w:val="16"/>
        </w:rPr>
        <w:t> </w:t>
      </w:r>
      <w:r>
        <w:rPr>
          <w:color w:val="231F20"/>
        </w:rPr>
        <w:t>1</w:t>
      </w:r>
      <w:r>
        <w:rPr>
          <w:color w:val="231F20"/>
          <w:position w:val="7"/>
          <w:sz w:val="11"/>
        </w:rPr>
        <w:t>er</w:t>
      </w:r>
      <w:r>
        <w:rPr>
          <w:color w:val="231F20"/>
        </w:rPr>
        <w:t>.</w:t>
      </w:r>
    </w:p>
    <w:p>
      <w:pPr>
        <w:pStyle w:val="ListParagraph"/>
        <w:numPr>
          <w:ilvl w:val="0"/>
          <w:numId w:val="122"/>
        </w:numPr>
        <w:tabs>
          <w:tab w:pos="487" w:val="left" w:leader="none"/>
        </w:tabs>
        <w:spacing w:line="218" w:lineRule="auto" w:before="117" w:after="0"/>
        <w:ind w:left="113" w:right="124" w:firstLine="170"/>
        <w:jc w:val="both"/>
        <w:rPr>
          <w:sz w:val="17"/>
        </w:rPr>
      </w:pPr>
      <w:r>
        <w:rPr>
          <w:color w:val="231F20"/>
          <w:w w:val="103"/>
          <w:sz w:val="17"/>
        </w:rPr>
        <w:br w:type="column"/>
      </w:r>
      <w:r>
        <w:rPr>
          <w:color w:val="231F20"/>
          <w:sz w:val="17"/>
        </w:rPr>
        <w:t>de mededeling in welke zin de gemachtigde zijn stemrecht zal uitoefenen;</w:t>
      </w:r>
    </w:p>
    <w:p>
      <w:pPr>
        <w:pStyle w:val="ListParagraph"/>
        <w:numPr>
          <w:ilvl w:val="0"/>
          <w:numId w:val="122"/>
        </w:numPr>
        <w:tabs>
          <w:tab w:pos="477" w:val="left" w:leader="none"/>
        </w:tabs>
        <w:spacing w:line="218" w:lineRule="auto" w:before="115" w:after="0"/>
        <w:ind w:left="113" w:right="124" w:firstLine="170"/>
        <w:jc w:val="both"/>
        <w:rPr>
          <w:sz w:val="17"/>
        </w:rPr>
      </w:pPr>
      <w:r>
        <w:rPr>
          <w:color w:val="231F20"/>
          <w:sz w:val="17"/>
        </w:rPr>
        <w:t>een omstandige omschrijving en verantwoording van de doelstel- ling</w:t>
      </w:r>
      <w:r>
        <w:rPr>
          <w:color w:val="231F20"/>
          <w:spacing w:val="16"/>
          <w:sz w:val="17"/>
        </w:rPr>
        <w:t> </w:t>
      </w:r>
      <w:r>
        <w:rPr>
          <w:color w:val="231F20"/>
          <w:sz w:val="17"/>
        </w:rPr>
        <w:t>van</w:t>
      </w:r>
      <w:r>
        <w:rPr>
          <w:color w:val="231F20"/>
          <w:spacing w:val="17"/>
          <w:sz w:val="17"/>
        </w:rPr>
        <w:t> </w:t>
      </w:r>
      <w:r>
        <w:rPr>
          <w:color w:val="231F20"/>
          <w:sz w:val="17"/>
        </w:rPr>
        <w:t>degene</w:t>
      </w:r>
      <w:r>
        <w:rPr>
          <w:color w:val="231F20"/>
          <w:spacing w:val="17"/>
          <w:sz w:val="17"/>
        </w:rPr>
        <w:t> </w:t>
      </w:r>
      <w:r>
        <w:rPr>
          <w:color w:val="231F20"/>
          <w:sz w:val="17"/>
        </w:rPr>
        <w:t>die</w:t>
      </w:r>
      <w:r>
        <w:rPr>
          <w:color w:val="231F20"/>
          <w:spacing w:val="16"/>
          <w:sz w:val="17"/>
        </w:rPr>
        <w:t> </w:t>
      </w:r>
      <w:r>
        <w:rPr>
          <w:color w:val="231F20"/>
          <w:sz w:val="17"/>
        </w:rPr>
        <w:t>om</w:t>
      </w:r>
      <w:r>
        <w:rPr>
          <w:color w:val="231F20"/>
          <w:spacing w:val="17"/>
          <w:sz w:val="17"/>
        </w:rPr>
        <w:t> </w:t>
      </w:r>
      <w:r>
        <w:rPr>
          <w:color w:val="231F20"/>
          <w:sz w:val="17"/>
        </w:rPr>
        <w:t>een</w:t>
      </w:r>
      <w:r>
        <w:rPr>
          <w:color w:val="231F20"/>
          <w:spacing w:val="17"/>
          <w:sz w:val="17"/>
        </w:rPr>
        <w:t> </w:t>
      </w:r>
      <w:r>
        <w:rPr>
          <w:color w:val="231F20"/>
          <w:sz w:val="17"/>
        </w:rPr>
        <w:t>volmacht</w:t>
      </w:r>
      <w:r>
        <w:rPr>
          <w:color w:val="231F20"/>
          <w:spacing w:val="16"/>
          <w:sz w:val="17"/>
        </w:rPr>
        <w:t> </w:t>
      </w:r>
      <w:r>
        <w:rPr>
          <w:color w:val="231F20"/>
          <w:sz w:val="17"/>
        </w:rPr>
        <w:t>verzoekt.</w:t>
      </w:r>
    </w:p>
    <w:p>
      <w:pPr>
        <w:pStyle w:val="BodyText"/>
        <w:spacing w:line="218" w:lineRule="auto" w:before="117"/>
      </w:pPr>
      <w:r>
        <w:rPr>
          <w:color w:val="231F20"/>
        </w:rPr>
        <w:t>De gemachtigde kan van de instructies van zijn lastgever afwijken, hetzij wegens omstandigheden die op het tijdstip dat de instructies zijn gegeven niet bekend waren, hetzij wanneer de uitvoering van die instructies de belangen van de lastgever zou kunnen schaden. De gemachtigde moet zijn lastgever daarvan in kennis stellen.</w:t>
      </w:r>
    </w:p>
    <w:p>
      <w:pPr>
        <w:pStyle w:val="BodyText"/>
        <w:spacing w:line="218" w:lineRule="auto" w:before="118"/>
      </w:pPr>
      <w:r>
        <w:rPr>
          <w:color w:val="231F20"/>
          <w:spacing w:val="-3"/>
        </w:rPr>
        <w:t>Wanneer </w:t>
      </w:r>
      <w:r>
        <w:rPr>
          <w:color w:val="231F20"/>
        </w:rPr>
        <w:t>het verzoek tot verlening van een volmacht een genoteerde vennootschap betreft, wordt drie dagen vóór de openbaarmaking van het verzoek tot verlening van de volmacht een kopie van dat verzoek aan</w:t>
      </w:r>
      <w:r>
        <w:rPr>
          <w:color w:val="231F20"/>
          <w:spacing w:val="19"/>
        </w:rPr>
        <w:t> </w:t>
      </w:r>
      <w:r>
        <w:rPr>
          <w:color w:val="231F20"/>
        </w:rPr>
        <w:t>de</w:t>
      </w:r>
      <w:r>
        <w:rPr>
          <w:color w:val="231F20"/>
          <w:spacing w:val="12"/>
        </w:rPr>
        <w:t> </w:t>
      </w:r>
      <w:r>
        <w:rPr>
          <w:color w:val="231F20"/>
        </w:rPr>
        <w:t>Autoriteit</w:t>
      </w:r>
      <w:r>
        <w:rPr>
          <w:color w:val="231F20"/>
          <w:spacing w:val="19"/>
        </w:rPr>
        <w:t> </w:t>
      </w:r>
      <w:r>
        <w:rPr>
          <w:color w:val="231F20"/>
        </w:rPr>
        <w:t>voor</w:t>
      </w:r>
      <w:r>
        <w:rPr>
          <w:color w:val="231F20"/>
          <w:spacing w:val="19"/>
        </w:rPr>
        <w:t> </w:t>
      </w:r>
      <w:r>
        <w:rPr>
          <w:color w:val="231F20"/>
        </w:rPr>
        <w:t>Financiële</w:t>
      </w:r>
      <w:r>
        <w:rPr>
          <w:color w:val="231F20"/>
          <w:spacing w:val="19"/>
        </w:rPr>
        <w:t> </w:t>
      </w:r>
      <w:r>
        <w:rPr>
          <w:color w:val="231F20"/>
        </w:rPr>
        <w:t>Diensten</w:t>
      </w:r>
      <w:r>
        <w:rPr>
          <w:color w:val="231F20"/>
          <w:spacing w:val="19"/>
        </w:rPr>
        <w:t> </w:t>
      </w:r>
      <w:r>
        <w:rPr>
          <w:color w:val="231F20"/>
        </w:rPr>
        <w:t>en</w:t>
      </w:r>
      <w:r>
        <w:rPr>
          <w:color w:val="231F20"/>
          <w:spacing w:val="19"/>
        </w:rPr>
        <w:t> </w:t>
      </w:r>
      <w:r>
        <w:rPr>
          <w:color w:val="231F20"/>
        </w:rPr>
        <w:t>Markten</w:t>
      </w:r>
      <w:r>
        <w:rPr>
          <w:color w:val="231F20"/>
          <w:spacing w:val="19"/>
        </w:rPr>
        <w:t> </w:t>
      </w:r>
      <w:r>
        <w:rPr>
          <w:color w:val="231F20"/>
        </w:rPr>
        <w:t>medegedeeld.</w:t>
      </w:r>
    </w:p>
    <w:p>
      <w:pPr>
        <w:pStyle w:val="BodyText"/>
        <w:spacing w:line="218" w:lineRule="auto" w:before="117"/>
      </w:pPr>
      <w:r>
        <w:rPr>
          <w:color w:val="231F20"/>
        </w:rPr>
        <w:t>Oordeelt de Autoriteit voor Financiële Diensten en Markten dat het verzoek de obligatiehouders onvoldoende voorlicht of dat het hen in dwaling kan brengen, dan verwittigt zij degene die om de volmachten verzoekt.</w:t>
      </w:r>
    </w:p>
    <w:p>
      <w:pPr>
        <w:pStyle w:val="BodyText"/>
        <w:spacing w:line="218" w:lineRule="auto" w:before="118"/>
      </w:pPr>
      <w:r>
        <w:rPr>
          <w:color w:val="231F20"/>
        </w:rPr>
        <w:t>Wordt met de gemaakte opmerkingen geen rekening gehouden, dan kan de Autoriteit voor Financiële Diensten en Markten haar advies bekendmaken.</w:t>
      </w:r>
    </w:p>
    <w:p>
      <w:pPr>
        <w:pStyle w:val="BodyText"/>
        <w:spacing w:line="218" w:lineRule="auto" w:before="117"/>
        <w:ind w:right="123"/>
      </w:pPr>
      <w:r>
        <w:rPr>
          <w:color w:val="231F20"/>
        </w:rPr>
        <w:t>In het openbaar verzoek tot verlening van volmachten mag overeen- komstig artikel 25, tweede lid, van de wet van 16 juni 2006 op de openbare aanbieding van beleggingsinstrumenten en de toelating van beleggingsinstrumenten tot de verhandeling op een gereglementeerde markt geen gewag worden gemaakt van het optreden van de Autoriteit voor Financiële Diensten en Markten.</w:t>
      </w:r>
    </w:p>
    <w:p>
      <w:pPr>
        <w:pStyle w:val="BodyText"/>
        <w:spacing w:line="218" w:lineRule="auto" w:before="118"/>
      </w:pPr>
      <w:r>
        <w:rPr>
          <w:color w:val="231F20"/>
        </w:rPr>
        <w:t>De Koning bepaalt het openbare karakter van een verzoek tot verlening van volmachten.</w:t>
      </w:r>
    </w:p>
    <w:p>
      <w:pPr>
        <w:pStyle w:val="BodyText"/>
        <w:spacing w:before="104"/>
        <w:ind w:left="283" w:right="0" w:firstLine="0"/>
        <w:jc w:val="left"/>
      </w:pPr>
      <w:r>
        <w:rPr>
          <w:color w:val="231F20"/>
        </w:rPr>
        <w:t>TITEL 5. Kapitaal.</w:t>
      </w:r>
    </w:p>
    <w:p>
      <w:pPr>
        <w:pStyle w:val="BodyText"/>
        <w:spacing w:line="364" w:lineRule="auto" w:before="100"/>
        <w:ind w:left="283" w:right="1840" w:firstLine="0"/>
        <w:jc w:val="left"/>
      </w:pPr>
      <w:r>
        <w:rPr>
          <w:color w:val="231F20"/>
          <w:w w:val="105"/>
        </w:rPr>
        <w:t>HOOFDSTUK 1. Kapitaalverhoging. Afdeling 1. Gemeenschappelijke bepalingen.</w:t>
      </w:r>
    </w:p>
    <w:p>
      <w:pPr>
        <w:pStyle w:val="BodyText"/>
        <w:spacing w:line="218" w:lineRule="auto" w:before="13"/>
      </w:pPr>
      <w:r>
        <w:rPr>
          <w:color w:val="231F20"/>
        </w:rPr>
        <w:t>Art. 7:177. De verhoging van het kapitaal vereist een statutenwijzi- ging, in voorkomend geval met toepassing van artikel 7:155. Tot verhoging van het kapitaal kan ook door het bestuursorgaan worden besloten binnen de grenzen van het toegestane kapitaal.</w:t>
      </w:r>
    </w:p>
    <w:p>
      <w:pPr>
        <w:pStyle w:val="BodyText"/>
        <w:spacing w:line="218" w:lineRule="auto" w:before="117"/>
      </w:pPr>
      <w:r>
        <w:rPr>
          <w:color w:val="231F20"/>
        </w:rPr>
        <w:t>Hetzelfde geldt voor de uitgifte van converteerbare obligaties of van inschrijvingsrechten.</w:t>
      </w:r>
    </w:p>
    <w:p>
      <w:pPr>
        <w:pStyle w:val="BodyText"/>
        <w:spacing w:line="218" w:lineRule="auto" w:before="118"/>
        <w:ind w:right="121"/>
      </w:pPr>
      <w:r>
        <w:rPr>
          <w:color w:val="231F20"/>
        </w:rPr>
        <w:t>De</w:t>
      </w:r>
      <w:r>
        <w:rPr>
          <w:color w:val="231F20"/>
          <w:spacing w:val="-7"/>
        </w:rPr>
        <w:t> </w:t>
      </w:r>
      <w:r>
        <w:rPr>
          <w:color w:val="231F20"/>
        </w:rPr>
        <w:t>uitgegeven</w:t>
      </w:r>
      <w:r>
        <w:rPr>
          <w:color w:val="231F20"/>
          <w:spacing w:val="-7"/>
        </w:rPr>
        <w:t> </w:t>
      </w:r>
      <w:r>
        <w:rPr>
          <w:color w:val="231F20"/>
        </w:rPr>
        <w:t>aandelen</w:t>
      </w:r>
      <w:r>
        <w:rPr>
          <w:color w:val="231F20"/>
          <w:spacing w:val="-6"/>
        </w:rPr>
        <w:t> </w:t>
      </w:r>
      <w:r>
        <w:rPr>
          <w:color w:val="231F20"/>
        </w:rPr>
        <w:t>moeten</w:t>
      </w:r>
      <w:r>
        <w:rPr>
          <w:color w:val="231F20"/>
          <w:spacing w:val="-7"/>
        </w:rPr>
        <w:t> </w:t>
      </w:r>
      <w:r>
        <w:rPr>
          <w:color w:val="231F20"/>
        </w:rPr>
        <w:t>volledig</w:t>
      </w:r>
      <w:r>
        <w:rPr>
          <w:color w:val="231F20"/>
          <w:spacing w:val="-6"/>
        </w:rPr>
        <w:t> </w:t>
      </w:r>
      <w:r>
        <w:rPr>
          <w:color w:val="231F20"/>
        </w:rPr>
        <w:t>en,</w:t>
      </w:r>
      <w:r>
        <w:rPr>
          <w:color w:val="231F20"/>
          <w:spacing w:val="-7"/>
        </w:rPr>
        <w:t> </w:t>
      </w:r>
      <w:r>
        <w:rPr>
          <w:color w:val="231F20"/>
        </w:rPr>
        <w:t>niettegenstaande</w:t>
      </w:r>
      <w:r>
        <w:rPr>
          <w:color w:val="231F20"/>
          <w:spacing w:val="-6"/>
        </w:rPr>
        <w:t> </w:t>
      </w:r>
      <w:r>
        <w:rPr>
          <w:color w:val="231F20"/>
        </w:rPr>
        <w:t>anders- luidende bepaling, onvoorwaardelijk zijn</w:t>
      </w:r>
      <w:r>
        <w:rPr>
          <w:color w:val="231F20"/>
          <w:spacing w:val="25"/>
        </w:rPr>
        <w:t> </w:t>
      </w:r>
      <w:r>
        <w:rPr>
          <w:color w:val="231F20"/>
        </w:rPr>
        <w:t>geplaatst.</w:t>
      </w:r>
    </w:p>
    <w:p>
      <w:pPr>
        <w:pStyle w:val="BodyText"/>
        <w:spacing w:line="218" w:lineRule="auto" w:before="117"/>
      </w:pPr>
      <w:r>
        <w:rPr>
          <w:color w:val="231F20"/>
        </w:rPr>
        <w:t>Art. 7:178. Aandelen kunnen worden uitgegeven onder, boven of met de fractiewaarde van de bestaande aandelen van dezelfde soort, met of zonder uitgiftepremie.</w:t>
      </w:r>
    </w:p>
    <w:p>
      <w:pPr>
        <w:pStyle w:val="BodyText"/>
        <w:spacing w:line="218" w:lineRule="auto" w:before="118"/>
      </w:pPr>
      <w:r>
        <w:rPr>
          <w:color w:val="231F20"/>
        </w:rPr>
        <w:t>Tenzij de statuten of het besluit tot uitgifte van aandelen anders bepalen, is de fractiewaarde van alle uitgegeven aandelen zonder nominale waarde van dezelfde soort gelijk, ongeacht of zij boven, onder of met de fractiewaarde van aandelen van dezelfde soort worden uitgegeven.</w:t>
      </w:r>
    </w:p>
    <w:p>
      <w:pPr>
        <w:pStyle w:val="BodyText"/>
        <w:spacing w:line="218" w:lineRule="auto" w:before="128"/>
      </w:pPr>
      <w:r>
        <w:rPr>
          <w:color w:val="231F20"/>
        </w:rPr>
        <w:t>Art. 7:179. § 1. Het bestuursorgaan stelt een verslag op over de verrichting, dat inzonderheid de uitgifteprijs verantwoordt en de gevolgen van de verrichting voor de vermogens- en lidmaatschapsrech- ten van de aandeelhouders beschrijft.</w:t>
      </w:r>
    </w:p>
    <w:p>
      <w:pPr>
        <w:pStyle w:val="BodyText"/>
        <w:spacing w:line="218" w:lineRule="auto" w:before="128"/>
        <w:ind w:right="125"/>
      </w:pPr>
      <w:r>
        <w:rPr>
          <w:color w:val="231F20"/>
        </w:rPr>
        <w:t>De commissaris of, als er geen commissaris is, een bedrijfsrevisor of een externe accountant aangewezen door het bestuursorgaan, beoor- deelt in een verslag of de in het verslag van het bestuursorgaan opgenomen financiële en boekhoudkundige gegevens in alle</w:t>
      </w:r>
      <w:r>
        <w:rPr>
          <w:color w:val="231F20"/>
          <w:spacing w:val="34"/>
        </w:rPr>
        <w:t> </w:t>
      </w:r>
      <w:r>
        <w:rPr>
          <w:color w:val="231F20"/>
        </w:rPr>
        <w:t>van materieel belang zijnde opzichten getrouw zijn en voldoende zijn om  de algemene vergadering die over het voorstel moet stemmen, voor te lichten.</w:t>
      </w:r>
    </w:p>
    <w:p>
      <w:pPr>
        <w:pStyle w:val="BodyText"/>
        <w:spacing w:line="218" w:lineRule="auto" w:before="129"/>
      </w:pPr>
      <w:r>
        <w:rPr>
          <w:color w:val="231F20"/>
        </w:rPr>
        <w:t>Die verslagen worden neergelegd en bekendgemaakt overeenkom- stig de artikelen 2:8 en 2:14, 4°. Zij worden in de agenda vermeld. Een kopie ervan kan worden verkregen overeenkomstig artikel 7:132.</w:t>
      </w:r>
    </w:p>
    <w:p>
      <w:pPr>
        <w:pStyle w:val="BodyText"/>
        <w:spacing w:line="218" w:lineRule="auto" w:before="128"/>
      </w:pPr>
      <w:r>
        <w:rPr>
          <w:color w:val="231F20"/>
        </w:rPr>
        <w:t>Wanneer het verslag van het bestuursorgaan of het verslag van de commissaris, bedrijfsrevisor of externe accountant dat de in het derde lid bedoelde beoordeling bevat ontbreekt, is het besluit van de algemene vergadering nietig.</w:t>
      </w:r>
    </w:p>
    <w:p>
      <w:pPr>
        <w:pStyle w:val="BodyText"/>
        <w:spacing w:line="218" w:lineRule="auto" w:before="128"/>
      </w:pPr>
      <w:r>
        <w:rPr>
          <w:color w:val="231F20"/>
        </w:rPr>
        <w:t>§ 2. Paragraaf 1 vindt geen toepassing op kapitaalverhogingen door omzetting van reserves.</w:t>
      </w:r>
    </w:p>
    <w:p>
      <w:pPr>
        <w:pStyle w:val="BodyText"/>
        <w:spacing w:line="218" w:lineRule="auto" w:before="128"/>
      </w:pPr>
      <w:r>
        <w:rPr>
          <w:color w:val="231F20"/>
          <w:w w:val="105"/>
        </w:rPr>
        <w:t>§ 3. </w:t>
      </w:r>
      <w:r>
        <w:rPr>
          <w:color w:val="231F20"/>
          <w:spacing w:val="-3"/>
          <w:w w:val="105"/>
        </w:rPr>
        <w:t>Tenzij </w:t>
      </w:r>
      <w:r>
        <w:rPr>
          <w:color w:val="231F20"/>
          <w:w w:val="105"/>
        </w:rPr>
        <w:t>de aandelen worden uitgegeven ter vergoeding van een inbreng</w:t>
      </w:r>
      <w:r>
        <w:rPr>
          <w:color w:val="231F20"/>
          <w:spacing w:val="-14"/>
          <w:w w:val="105"/>
        </w:rPr>
        <w:t> </w:t>
      </w:r>
      <w:r>
        <w:rPr>
          <w:color w:val="231F20"/>
          <w:w w:val="105"/>
        </w:rPr>
        <w:t>in</w:t>
      </w:r>
      <w:r>
        <w:rPr>
          <w:color w:val="231F20"/>
          <w:spacing w:val="-14"/>
          <w:w w:val="105"/>
        </w:rPr>
        <w:t> </w:t>
      </w:r>
      <w:r>
        <w:rPr>
          <w:color w:val="231F20"/>
          <w:w w:val="105"/>
        </w:rPr>
        <w:t>natura,</w:t>
      </w:r>
      <w:r>
        <w:rPr>
          <w:color w:val="231F20"/>
          <w:spacing w:val="-14"/>
          <w:w w:val="105"/>
        </w:rPr>
        <w:t> </w:t>
      </w:r>
      <w:r>
        <w:rPr>
          <w:color w:val="231F20"/>
          <w:w w:val="105"/>
        </w:rPr>
        <w:t>kan</w:t>
      </w:r>
      <w:r>
        <w:rPr>
          <w:color w:val="231F20"/>
          <w:spacing w:val="-13"/>
          <w:w w:val="105"/>
        </w:rPr>
        <w:t> </w:t>
      </w:r>
      <w:r>
        <w:rPr>
          <w:color w:val="231F20"/>
          <w:w w:val="105"/>
        </w:rPr>
        <w:t>de</w:t>
      </w:r>
      <w:r>
        <w:rPr>
          <w:color w:val="231F20"/>
          <w:spacing w:val="-14"/>
          <w:w w:val="105"/>
        </w:rPr>
        <w:t> </w:t>
      </w:r>
      <w:r>
        <w:rPr>
          <w:color w:val="231F20"/>
          <w:w w:val="105"/>
        </w:rPr>
        <w:t>algemene</w:t>
      </w:r>
      <w:r>
        <w:rPr>
          <w:color w:val="231F20"/>
          <w:spacing w:val="-14"/>
          <w:w w:val="105"/>
        </w:rPr>
        <w:t> </w:t>
      </w:r>
      <w:r>
        <w:rPr>
          <w:color w:val="231F20"/>
          <w:w w:val="105"/>
        </w:rPr>
        <w:t>vergadering,</w:t>
      </w:r>
      <w:r>
        <w:rPr>
          <w:color w:val="231F20"/>
          <w:spacing w:val="-13"/>
          <w:w w:val="105"/>
        </w:rPr>
        <w:t> </w:t>
      </w:r>
      <w:r>
        <w:rPr>
          <w:color w:val="231F20"/>
          <w:w w:val="105"/>
        </w:rPr>
        <w:t>waarop</w:t>
      </w:r>
      <w:r>
        <w:rPr>
          <w:color w:val="231F20"/>
          <w:spacing w:val="-14"/>
          <w:w w:val="105"/>
        </w:rPr>
        <w:t> </w:t>
      </w:r>
      <w:r>
        <w:rPr>
          <w:color w:val="231F20"/>
          <w:w w:val="105"/>
        </w:rPr>
        <w:t>alle</w:t>
      </w:r>
      <w:r>
        <w:rPr>
          <w:color w:val="231F20"/>
          <w:spacing w:val="-14"/>
          <w:w w:val="105"/>
        </w:rPr>
        <w:t> </w:t>
      </w:r>
      <w:r>
        <w:rPr>
          <w:color w:val="231F20"/>
          <w:w w:val="105"/>
        </w:rPr>
        <w:t>aandeel- houders</w:t>
      </w:r>
      <w:r>
        <w:rPr>
          <w:color w:val="231F20"/>
          <w:spacing w:val="-15"/>
          <w:w w:val="105"/>
        </w:rPr>
        <w:t> </w:t>
      </w:r>
      <w:r>
        <w:rPr>
          <w:color w:val="231F20"/>
          <w:w w:val="105"/>
        </w:rPr>
        <w:t>aanwezig</w:t>
      </w:r>
      <w:r>
        <w:rPr>
          <w:color w:val="231F20"/>
          <w:spacing w:val="-15"/>
          <w:w w:val="105"/>
        </w:rPr>
        <w:t> </w:t>
      </w:r>
      <w:r>
        <w:rPr>
          <w:color w:val="231F20"/>
          <w:w w:val="105"/>
        </w:rPr>
        <w:t>of</w:t>
      </w:r>
      <w:r>
        <w:rPr>
          <w:color w:val="231F20"/>
          <w:spacing w:val="-15"/>
          <w:w w:val="105"/>
        </w:rPr>
        <w:t> </w:t>
      </w:r>
      <w:r>
        <w:rPr>
          <w:color w:val="231F20"/>
          <w:w w:val="105"/>
        </w:rPr>
        <w:t>vertegenwoordigd</w:t>
      </w:r>
      <w:r>
        <w:rPr>
          <w:color w:val="231F20"/>
          <w:spacing w:val="-15"/>
          <w:w w:val="105"/>
        </w:rPr>
        <w:t> </w:t>
      </w:r>
      <w:r>
        <w:rPr>
          <w:color w:val="231F20"/>
          <w:w w:val="105"/>
        </w:rPr>
        <w:t>zijn,</w:t>
      </w:r>
      <w:r>
        <w:rPr>
          <w:color w:val="231F20"/>
          <w:spacing w:val="-15"/>
          <w:w w:val="105"/>
        </w:rPr>
        <w:t> </w:t>
      </w:r>
      <w:r>
        <w:rPr>
          <w:color w:val="231F20"/>
          <w:w w:val="105"/>
        </w:rPr>
        <w:t>door</w:t>
      </w:r>
      <w:r>
        <w:rPr>
          <w:color w:val="231F20"/>
          <w:spacing w:val="-15"/>
          <w:w w:val="105"/>
        </w:rPr>
        <w:t> </w:t>
      </w:r>
      <w:r>
        <w:rPr>
          <w:color w:val="231F20"/>
          <w:w w:val="105"/>
        </w:rPr>
        <w:t>een</w:t>
      </w:r>
      <w:r>
        <w:rPr>
          <w:color w:val="231F20"/>
          <w:spacing w:val="-14"/>
          <w:w w:val="105"/>
        </w:rPr>
        <w:t> </w:t>
      </w:r>
      <w:r>
        <w:rPr>
          <w:color w:val="231F20"/>
          <w:w w:val="105"/>
        </w:rPr>
        <w:t>eenparig</w:t>
      </w:r>
      <w:r>
        <w:rPr>
          <w:color w:val="231F20"/>
          <w:spacing w:val="-15"/>
          <w:w w:val="105"/>
        </w:rPr>
        <w:t> </w:t>
      </w:r>
      <w:r>
        <w:rPr>
          <w:color w:val="231F20"/>
          <w:w w:val="105"/>
        </w:rPr>
        <w:t>besluit van</w:t>
      </w:r>
      <w:r>
        <w:rPr>
          <w:color w:val="231F20"/>
          <w:spacing w:val="8"/>
          <w:w w:val="105"/>
        </w:rPr>
        <w:t> </w:t>
      </w:r>
      <w:r>
        <w:rPr>
          <w:color w:val="231F20"/>
          <w:w w:val="105"/>
        </w:rPr>
        <w:t>de</w:t>
      </w:r>
      <w:r>
        <w:rPr>
          <w:color w:val="231F20"/>
          <w:spacing w:val="9"/>
          <w:w w:val="105"/>
        </w:rPr>
        <w:t> </w:t>
      </w:r>
      <w:r>
        <w:rPr>
          <w:color w:val="231F20"/>
          <w:w w:val="105"/>
        </w:rPr>
        <w:t>in</w:t>
      </w:r>
      <w:r>
        <w:rPr>
          <w:color w:val="231F20"/>
          <w:spacing w:val="8"/>
          <w:w w:val="105"/>
        </w:rPr>
        <w:t> </w:t>
      </w:r>
      <w:r>
        <w:rPr>
          <w:color w:val="231F20"/>
          <w:w w:val="105"/>
        </w:rPr>
        <w:t>paragraaf</w:t>
      </w:r>
      <w:r>
        <w:rPr>
          <w:color w:val="231F20"/>
          <w:spacing w:val="9"/>
          <w:w w:val="105"/>
        </w:rPr>
        <w:t> </w:t>
      </w:r>
      <w:r>
        <w:rPr>
          <w:color w:val="231F20"/>
          <w:w w:val="105"/>
        </w:rPr>
        <w:t>1</w:t>
      </w:r>
      <w:r>
        <w:rPr>
          <w:color w:val="231F20"/>
          <w:spacing w:val="9"/>
          <w:w w:val="105"/>
        </w:rPr>
        <w:t> </w:t>
      </w:r>
      <w:r>
        <w:rPr>
          <w:color w:val="231F20"/>
          <w:w w:val="105"/>
        </w:rPr>
        <w:t>bedoelde</w:t>
      </w:r>
      <w:r>
        <w:rPr>
          <w:color w:val="231F20"/>
          <w:spacing w:val="8"/>
          <w:w w:val="105"/>
        </w:rPr>
        <w:t> </w:t>
      </w:r>
      <w:r>
        <w:rPr>
          <w:color w:val="231F20"/>
          <w:w w:val="105"/>
        </w:rPr>
        <w:t>verslagen</w:t>
      </w:r>
      <w:r>
        <w:rPr>
          <w:color w:val="231F20"/>
          <w:spacing w:val="9"/>
          <w:w w:val="105"/>
        </w:rPr>
        <w:t> </w:t>
      </w:r>
      <w:r>
        <w:rPr>
          <w:color w:val="231F20"/>
          <w:w w:val="105"/>
        </w:rPr>
        <w:t>afstand</w:t>
      </w:r>
      <w:r>
        <w:rPr>
          <w:color w:val="231F20"/>
          <w:spacing w:val="9"/>
          <w:w w:val="105"/>
        </w:rPr>
        <w:t> </w:t>
      </w:r>
      <w:r>
        <w:rPr>
          <w:color w:val="231F20"/>
          <w:w w:val="105"/>
        </w:rPr>
        <w:t>doen.</w:t>
      </w:r>
    </w:p>
    <w:p>
      <w:pPr>
        <w:spacing w:after="0" w:line="218" w:lineRule="auto"/>
        <w:sectPr>
          <w:pgSz w:w="11940" w:h="16880"/>
          <w:pgMar w:header="666" w:footer="0" w:top="1140" w:bottom="280" w:left="340" w:right="360"/>
          <w:cols w:num="2" w:equalWidth="0">
            <w:col w:w="5528" w:space="100"/>
            <w:col w:w="5612"/>
          </w:cols>
        </w:sectPr>
      </w:pPr>
    </w:p>
    <w:p>
      <w:pPr>
        <w:pStyle w:val="BodyText"/>
        <w:spacing w:line="218" w:lineRule="auto" w:before="119"/>
        <w:ind w:right="38"/>
      </w:pPr>
      <w:r>
        <w:rPr/>
        <w:pict>
          <v:line style="position:absolute;mso-position-horizontal-relative:page;mso-position-vertical-relative:page;z-index:5704" from="298.170502pt,64.473pt" to="298.170502pt,812.819pt" stroked="true" strokeweight=".533pt" strokecolor="#231f20">
            <v:stroke dashstyle="solid"/>
            <w10:wrap type="none"/>
          </v:line>
        </w:pict>
      </w:r>
      <w:bookmarkStart w:name="_bookmark195" w:id="201"/>
      <w:bookmarkEnd w:id="201"/>
      <w:r>
        <w:rPr/>
      </w:r>
      <w:r>
        <w:rPr>
          <w:color w:val="231F20"/>
        </w:rPr>
        <w:t>Art. 7:180. En cas d’émission d’obligations convertibles ou de droits de souscription, l’organe d’administration justifie l’opération proposée dans un rapport. Ce rapport justifie aussi le prix d’émission et décrit les conséquences de l’opération sur les droits patrimoniaux et les droits sociaux des actionnaires.</w:t>
      </w:r>
    </w:p>
    <w:p>
      <w:pPr>
        <w:pStyle w:val="BodyText"/>
        <w:spacing w:line="218" w:lineRule="auto" w:before="86"/>
        <w:ind w:right="38"/>
      </w:pPr>
      <w:r>
        <w:rPr>
          <w:color w:val="231F20"/>
        </w:rPr>
        <w:t>Le commissaire, ou, lorsqu’il n’y a pas de commissaire, un réviseur d’entreprises ou un expert-comptable externe désigné par l’organe d’administration, rédige un rapport dans lequel il évalue si les données financières et comptables contenues dans le rapport de l’organe d’administration sont fidèles et suffisantes dans tous leurs aspects significatifs pour éclairer l’assemblée générale appelée à voter sur cette proposition.</w:t>
      </w:r>
    </w:p>
    <w:p>
      <w:pPr>
        <w:pStyle w:val="BodyText"/>
        <w:spacing w:line="218" w:lineRule="auto" w:before="86"/>
        <w:ind w:right="38"/>
      </w:pPr>
      <w:r>
        <w:rPr>
          <w:color w:val="231F20"/>
        </w:rPr>
        <w:t>Ces</w:t>
      </w:r>
      <w:r>
        <w:rPr>
          <w:color w:val="231F20"/>
          <w:spacing w:val="-5"/>
        </w:rPr>
        <w:t> </w:t>
      </w:r>
      <w:r>
        <w:rPr>
          <w:color w:val="231F20"/>
        </w:rPr>
        <w:t>rapports</w:t>
      </w:r>
      <w:r>
        <w:rPr>
          <w:color w:val="231F20"/>
          <w:spacing w:val="-4"/>
        </w:rPr>
        <w:t> </w:t>
      </w:r>
      <w:r>
        <w:rPr>
          <w:color w:val="231F20"/>
        </w:rPr>
        <w:t>sont</w:t>
      </w:r>
      <w:r>
        <w:rPr>
          <w:color w:val="231F20"/>
          <w:spacing w:val="-5"/>
        </w:rPr>
        <w:t> </w:t>
      </w:r>
      <w:r>
        <w:rPr>
          <w:color w:val="231F20"/>
        </w:rPr>
        <w:t>déposés</w:t>
      </w:r>
      <w:r>
        <w:rPr>
          <w:color w:val="231F20"/>
          <w:spacing w:val="-4"/>
        </w:rPr>
        <w:t> </w:t>
      </w:r>
      <w:r>
        <w:rPr>
          <w:color w:val="231F20"/>
        </w:rPr>
        <w:t>et</w:t>
      </w:r>
      <w:r>
        <w:rPr>
          <w:color w:val="231F20"/>
          <w:spacing w:val="-5"/>
        </w:rPr>
        <w:t> </w:t>
      </w:r>
      <w:r>
        <w:rPr>
          <w:color w:val="231F20"/>
        </w:rPr>
        <w:t>publiés</w:t>
      </w:r>
      <w:r>
        <w:rPr>
          <w:color w:val="231F20"/>
          <w:spacing w:val="-4"/>
        </w:rPr>
        <w:t> </w:t>
      </w:r>
      <w:r>
        <w:rPr>
          <w:color w:val="231F20"/>
        </w:rPr>
        <w:t>conformément</w:t>
      </w:r>
      <w:r>
        <w:rPr>
          <w:color w:val="231F20"/>
          <w:spacing w:val="-4"/>
        </w:rPr>
        <w:t> </w:t>
      </w:r>
      <w:r>
        <w:rPr>
          <w:color w:val="231F20"/>
        </w:rPr>
        <w:t>aux</w:t>
      </w:r>
      <w:r>
        <w:rPr>
          <w:color w:val="231F20"/>
          <w:spacing w:val="-5"/>
        </w:rPr>
        <w:t> </w:t>
      </w:r>
      <w:r>
        <w:rPr>
          <w:color w:val="231F20"/>
        </w:rPr>
        <w:t>articles</w:t>
      </w:r>
      <w:r>
        <w:rPr>
          <w:color w:val="231F20"/>
          <w:spacing w:val="-4"/>
        </w:rPr>
        <w:t> </w:t>
      </w:r>
      <w:r>
        <w:rPr>
          <w:color w:val="231F20"/>
        </w:rPr>
        <w:t>2:8</w:t>
      </w:r>
      <w:r>
        <w:rPr>
          <w:color w:val="231F20"/>
          <w:spacing w:val="-5"/>
        </w:rPr>
        <w:t> </w:t>
      </w:r>
      <w:r>
        <w:rPr>
          <w:color w:val="231F20"/>
        </w:rPr>
        <w:t>et 2:14, 4°. Ils sont annoncés dans l’ordre du </w:t>
      </w:r>
      <w:r>
        <w:rPr>
          <w:color w:val="231F20"/>
          <w:spacing w:val="-3"/>
        </w:rPr>
        <w:t>jour. </w:t>
      </w:r>
      <w:r>
        <w:rPr>
          <w:color w:val="231F20"/>
        </w:rPr>
        <w:t>Une copie peut en être obtenue conformément à l’article</w:t>
      </w:r>
      <w:r>
        <w:rPr>
          <w:color w:val="231F20"/>
          <w:spacing w:val="17"/>
        </w:rPr>
        <w:t> </w:t>
      </w:r>
      <w:r>
        <w:rPr>
          <w:color w:val="231F20"/>
        </w:rPr>
        <w:t>7:132.</w:t>
      </w:r>
    </w:p>
    <w:p>
      <w:pPr>
        <w:pStyle w:val="BodyText"/>
        <w:spacing w:line="218" w:lineRule="auto" w:before="86"/>
        <w:ind w:right="38"/>
      </w:pPr>
      <w:r>
        <w:rPr>
          <w:color w:val="231F20"/>
        </w:rPr>
        <w:t>En l’absence du rapport de l’organe d’administration ou du rapport du commissaire contenant l’évaluation prévue par l’alinéa 2, la décision de l’assemblée générale est nulle.</w:t>
      </w:r>
    </w:p>
    <w:p>
      <w:pPr>
        <w:pStyle w:val="BodyText"/>
        <w:spacing w:line="218" w:lineRule="auto" w:before="85"/>
        <w:ind w:right="38"/>
      </w:pPr>
      <w:r>
        <w:rPr>
          <w:color w:val="231F20"/>
        </w:rPr>
        <w:t>Art. 7:181. Si l’augmentation de capital annoncée n’est pas entière- ment souscrite, le capital n’est </w:t>
      </w:r>
      <w:r>
        <w:rPr>
          <w:color w:val="231F20"/>
          <w:spacing w:val="2"/>
        </w:rPr>
        <w:t>augmenté </w:t>
      </w:r>
      <w:r>
        <w:rPr>
          <w:color w:val="231F20"/>
        </w:rPr>
        <w:t>à concurrence des souscrip- tions recueillies que si les conditions de l’émission ont expressément prévu cette</w:t>
      </w:r>
      <w:r>
        <w:rPr>
          <w:color w:val="231F20"/>
          <w:spacing w:val="-11"/>
        </w:rPr>
        <w:t> </w:t>
      </w:r>
      <w:r>
        <w:rPr>
          <w:color w:val="231F20"/>
        </w:rPr>
        <w:t>possibilité.</w:t>
      </w:r>
    </w:p>
    <w:p>
      <w:pPr>
        <w:pStyle w:val="BodyText"/>
        <w:spacing w:line="218" w:lineRule="auto" w:before="71"/>
        <w:ind w:right="38"/>
      </w:pPr>
      <w:r>
        <w:rPr>
          <w:color w:val="231F20"/>
        </w:rPr>
        <w:t>Art. 7:182. § 1</w:t>
      </w:r>
      <w:r>
        <w:rPr>
          <w:color w:val="231F20"/>
          <w:position w:val="7"/>
          <w:sz w:val="11"/>
        </w:rPr>
        <w:t>er</w:t>
      </w:r>
      <w:r>
        <w:rPr>
          <w:color w:val="231F20"/>
        </w:rPr>
        <w:t>. La société ne peut souscrire ses propres actions ou des</w:t>
      </w:r>
      <w:r>
        <w:rPr>
          <w:color w:val="231F20"/>
          <w:spacing w:val="-6"/>
        </w:rPr>
        <w:t> </w:t>
      </w:r>
      <w:r>
        <w:rPr>
          <w:color w:val="231F20"/>
        </w:rPr>
        <w:t>certificats</w:t>
      </w:r>
      <w:r>
        <w:rPr>
          <w:color w:val="231F20"/>
          <w:spacing w:val="-5"/>
        </w:rPr>
        <w:t> </w:t>
      </w:r>
      <w:r>
        <w:rPr>
          <w:color w:val="231F20"/>
        </w:rPr>
        <w:t>afférents</w:t>
      </w:r>
      <w:r>
        <w:rPr>
          <w:color w:val="231F20"/>
          <w:spacing w:val="-5"/>
        </w:rPr>
        <w:t> </w:t>
      </w:r>
      <w:r>
        <w:rPr>
          <w:color w:val="231F20"/>
        </w:rPr>
        <w:t>à</w:t>
      </w:r>
      <w:r>
        <w:rPr>
          <w:color w:val="231F20"/>
          <w:spacing w:val="-5"/>
        </w:rPr>
        <w:t> </w:t>
      </w:r>
      <w:r>
        <w:rPr>
          <w:color w:val="231F20"/>
        </w:rPr>
        <w:t>ces</w:t>
      </w:r>
      <w:r>
        <w:rPr>
          <w:color w:val="231F20"/>
          <w:spacing w:val="-5"/>
        </w:rPr>
        <w:t> </w:t>
      </w:r>
      <w:r>
        <w:rPr>
          <w:color w:val="231F20"/>
        </w:rPr>
        <w:t>actions</w:t>
      </w:r>
      <w:r>
        <w:rPr>
          <w:color w:val="231F20"/>
          <w:spacing w:val="-6"/>
        </w:rPr>
        <w:t> </w:t>
      </w:r>
      <w:r>
        <w:rPr>
          <w:color w:val="231F20"/>
        </w:rPr>
        <w:t>et</w:t>
      </w:r>
      <w:r>
        <w:rPr>
          <w:color w:val="231F20"/>
          <w:spacing w:val="-6"/>
        </w:rPr>
        <w:t> </w:t>
      </w:r>
      <w:r>
        <w:rPr>
          <w:color w:val="231F20"/>
        </w:rPr>
        <w:t>émis</w:t>
      </w:r>
      <w:r>
        <w:rPr>
          <w:color w:val="231F20"/>
          <w:spacing w:val="-5"/>
        </w:rPr>
        <w:t> </w:t>
      </w:r>
      <w:r>
        <w:rPr>
          <w:color w:val="231F20"/>
        </w:rPr>
        <w:t>au</w:t>
      </w:r>
      <w:r>
        <w:rPr>
          <w:color w:val="231F20"/>
          <w:spacing w:val="-5"/>
        </w:rPr>
        <w:t> </w:t>
      </w:r>
      <w:r>
        <w:rPr>
          <w:color w:val="231F20"/>
        </w:rPr>
        <w:t>moment</w:t>
      </w:r>
      <w:r>
        <w:rPr>
          <w:color w:val="231F20"/>
          <w:spacing w:val="-5"/>
        </w:rPr>
        <w:t> </w:t>
      </w:r>
      <w:r>
        <w:rPr>
          <w:color w:val="231F20"/>
        </w:rPr>
        <w:t>de</w:t>
      </w:r>
      <w:r>
        <w:rPr>
          <w:color w:val="231F20"/>
          <w:spacing w:val="-6"/>
        </w:rPr>
        <w:t> </w:t>
      </w:r>
      <w:r>
        <w:rPr>
          <w:color w:val="231F20"/>
        </w:rPr>
        <w:t>l’émission</w:t>
      </w:r>
      <w:r>
        <w:rPr>
          <w:color w:val="231F20"/>
          <w:spacing w:val="-5"/>
        </w:rPr>
        <w:t> </w:t>
      </w:r>
      <w:r>
        <w:rPr>
          <w:color w:val="231F20"/>
        </w:rPr>
        <w:t>de ces actions, ni directement, ni par une société filiale, ni par une personne agissant en son nom propre mais pour le compte de la société ou de la société</w:t>
      </w:r>
      <w:r>
        <w:rPr>
          <w:color w:val="231F20"/>
          <w:spacing w:val="19"/>
        </w:rPr>
        <w:t> </w:t>
      </w:r>
      <w:r>
        <w:rPr>
          <w:color w:val="231F20"/>
        </w:rPr>
        <w:t>filiale.</w:t>
      </w:r>
    </w:p>
    <w:p>
      <w:pPr>
        <w:pStyle w:val="BodyText"/>
        <w:spacing w:before="3"/>
        <w:ind w:left="0" w:right="0" w:firstLine="0"/>
        <w:jc w:val="left"/>
        <w:rPr>
          <w:sz w:val="23"/>
        </w:rPr>
      </w:pPr>
    </w:p>
    <w:p>
      <w:pPr>
        <w:pStyle w:val="BodyText"/>
        <w:spacing w:line="213" w:lineRule="auto"/>
        <w:ind w:right="38"/>
      </w:pPr>
      <w:r>
        <w:rPr>
          <w:color w:val="231F20"/>
        </w:rPr>
        <w:t>La personne qui a souscrit des actions ou des certificats visés à l’alinéa 1</w:t>
      </w:r>
      <w:r>
        <w:rPr>
          <w:color w:val="231F20"/>
          <w:position w:val="7"/>
          <w:sz w:val="11"/>
        </w:rPr>
        <w:t>er </w:t>
      </w:r>
      <w:r>
        <w:rPr>
          <w:color w:val="231F20"/>
        </w:rPr>
        <w:t>en son nom propre mais pour le compte de la société ou de  la société filiale est considérée comme ayant souscrit pour son propre compte.</w:t>
      </w:r>
    </w:p>
    <w:p>
      <w:pPr>
        <w:pStyle w:val="BodyText"/>
        <w:spacing w:line="211" w:lineRule="auto" w:before="88"/>
        <w:ind w:right="38"/>
      </w:pPr>
      <w:r>
        <w:rPr>
          <w:color w:val="231F20"/>
          <w:spacing w:val="-4"/>
        </w:rPr>
        <w:t>Tous </w:t>
      </w:r>
      <w:r>
        <w:rPr>
          <w:color w:val="231F20"/>
        </w:rPr>
        <w:t>les droits afférents aux actions ou aux certificats  visés  à  l’alinéa 1</w:t>
      </w:r>
      <w:r>
        <w:rPr>
          <w:color w:val="231F20"/>
          <w:position w:val="7"/>
          <w:sz w:val="11"/>
        </w:rPr>
        <w:t>er </w:t>
      </w:r>
      <w:r>
        <w:rPr>
          <w:color w:val="231F20"/>
        </w:rPr>
        <w:t>souscrits par la société ou sa filiale sont suspendus, tant que ces</w:t>
      </w:r>
      <w:r>
        <w:rPr>
          <w:color w:val="231F20"/>
          <w:spacing w:val="14"/>
        </w:rPr>
        <w:t> </w:t>
      </w:r>
      <w:r>
        <w:rPr>
          <w:color w:val="231F20"/>
        </w:rPr>
        <w:t>actions</w:t>
      </w:r>
      <w:r>
        <w:rPr>
          <w:color w:val="231F20"/>
          <w:spacing w:val="14"/>
        </w:rPr>
        <w:t> </w:t>
      </w:r>
      <w:r>
        <w:rPr>
          <w:color w:val="231F20"/>
        </w:rPr>
        <w:t>ou</w:t>
      </w:r>
      <w:r>
        <w:rPr>
          <w:color w:val="231F20"/>
          <w:spacing w:val="14"/>
        </w:rPr>
        <w:t> </w:t>
      </w:r>
      <w:r>
        <w:rPr>
          <w:color w:val="231F20"/>
        </w:rPr>
        <w:t>ces</w:t>
      </w:r>
      <w:r>
        <w:rPr>
          <w:color w:val="231F20"/>
          <w:spacing w:val="15"/>
        </w:rPr>
        <w:t> </w:t>
      </w:r>
      <w:r>
        <w:rPr>
          <w:color w:val="231F20"/>
        </w:rPr>
        <w:t>certificats</w:t>
      </w:r>
      <w:r>
        <w:rPr>
          <w:color w:val="231F20"/>
          <w:spacing w:val="14"/>
        </w:rPr>
        <w:t> </w:t>
      </w:r>
      <w:r>
        <w:rPr>
          <w:color w:val="231F20"/>
        </w:rPr>
        <w:t>n’ont</w:t>
      </w:r>
      <w:r>
        <w:rPr>
          <w:color w:val="231F20"/>
          <w:spacing w:val="14"/>
        </w:rPr>
        <w:t> </w:t>
      </w:r>
      <w:r>
        <w:rPr>
          <w:color w:val="231F20"/>
        </w:rPr>
        <w:t>pas</w:t>
      </w:r>
      <w:r>
        <w:rPr>
          <w:color w:val="231F20"/>
          <w:spacing w:val="15"/>
        </w:rPr>
        <w:t> </w:t>
      </w:r>
      <w:r>
        <w:rPr>
          <w:color w:val="231F20"/>
        </w:rPr>
        <w:t>été</w:t>
      </w:r>
      <w:r>
        <w:rPr>
          <w:color w:val="231F20"/>
          <w:spacing w:val="14"/>
        </w:rPr>
        <w:t> </w:t>
      </w:r>
      <w:r>
        <w:rPr>
          <w:color w:val="231F20"/>
        </w:rPr>
        <w:t>aliénés.</w:t>
      </w:r>
    </w:p>
    <w:p>
      <w:pPr>
        <w:pStyle w:val="BodyText"/>
        <w:spacing w:before="8"/>
        <w:ind w:left="0" w:right="0" w:firstLine="0"/>
        <w:jc w:val="left"/>
        <w:rPr>
          <w:sz w:val="21"/>
        </w:rPr>
      </w:pPr>
    </w:p>
    <w:p>
      <w:pPr>
        <w:pStyle w:val="BodyText"/>
        <w:spacing w:line="213" w:lineRule="auto"/>
        <w:ind w:right="38"/>
      </w:pPr>
      <w:r>
        <w:rPr>
          <w:color w:val="231F20"/>
        </w:rPr>
        <w:t>§ 2. Le paragraphe 1</w:t>
      </w:r>
      <w:r>
        <w:rPr>
          <w:color w:val="231F20"/>
          <w:position w:val="7"/>
          <w:sz w:val="11"/>
        </w:rPr>
        <w:t>er </w:t>
      </w:r>
      <w:r>
        <w:rPr>
          <w:color w:val="231F20"/>
        </w:rPr>
        <w:t>n’est pas applicable à la souscription d’actions ou de certificats visés au paragraphe 1</w:t>
      </w:r>
      <w:r>
        <w:rPr>
          <w:color w:val="231F20"/>
          <w:position w:val="7"/>
          <w:sz w:val="11"/>
        </w:rPr>
        <w:t>er </w:t>
      </w:r>
      <w:r>
        <w:rPr>
          <w:color w:val="231F20"/>
        </w:rPr>
        <w:t>d’une société par une société filiale qui est, en sa qualité d’opérateur professionnel sur titres, une société de bourse ou un établissement de crédit.</w:t>
      </w:r>
    </w:p>
    <w:p>
      <w:pPr>
        <w:pStyle w:val="BodyText"/>
        <w:spacing w:line="218" w:lineRule="auto" w:before="83"/>
        <w:ind w:right="38"/>
      </w:pPr>
      <w:r>
        <w:rPr>
          <w:color w:val="231F20"/>
        </w:rPr>
        <w:t>Art. 7:183. Chaque action correspondant à un apport en numéraire et chaque action correspondant en tout ou en partie à un apport en nature doit être libérée d’un quart.</w:t>
      </w:r>
    </w:p>
    <w:p>
      <w:pPr>
        <w:pStyle w:val="BodyText"/>
        <w:spacing w:line="218" w:lineRule="auto" w:before="71"/>
        <w:ind w:right="38"/>
      </w:pPr>
      <w:r>
        <w:rPr>
          <w:color w:val="231F20"/>
        </w:rPr>
        <w:t>Sans préjudice de l’alinéa 1</w:t>
      </w:r>
      <w:r>
        <w:rPr>
          <w:color w:val="231F20"/>
          <w:position w:val="7"/>
          <w:sz w:val="11"/>
        </w:rPr>
        <w:t>er </w:t>
      </w:r>
      <w:r>
        <w:rPr>
          <w:color w:val="231F20"/>
        </w:rPr>
        <w:t>les actions correspondant en tout ou en partie</w:t>
      </w:r>
      <w:r>
        <w:rPr>
          <w:color w:val="231F20"/>
          <w:spacing w:val="-3"/>
        </w:rPr>
        <w:t> </w:t>
      </w:r>
      <w:r>
        <w:rPr>
          <w:color w:val="231F20"/>
        </w:rPr>
        <w:t>à</w:t>
      </w:r>
      <w:r>
        <w:rPr>
          <w:color w:val="231F20"/>
          <w:spacing w:val="-3"/>
        </w:rPr>
        <w:t> </w:t>
      </w:r>
      <w:r>
        <w:rPr>
          <w:color w:val="231F20"/>
        </w:rPr>
        <w:t>des</w:t>
      </w:r>
      <w:r>
        <w:rPr>
          <w:color w:val="231F20"/>
          <w:spacing w:val="-3"/>
        </w:rPr>
        <w:t> </w:t>
      </w:r>
      <w:r>
        <w:rPr>
          <w:color w:val="231F20"/>
        </w:rPr>
        <w:t>apports</w:t>
      </w:r>
      <w:r>
        <w:rPr>
          <w:color w:val="231F20"/>
          <w:spacing w:val="-3"/>
        </w:rPr>
        <w:t> </w:t>
      </w:r>
      <w:r>
        <w:rPr>
          <w:color w:val="231F20"/>
        </w:rPr>
        <w:t>en</w:t>
      </w:r>
      <w:r>
        <w:rPr>
          <w:color w:val="231F20"/>
          <w:spacing w:val="-3"/>
        </w:rPr>
        <w:t> </w:t>
      </w:r>
      <w:r>
        <w:rPr>
          <w:color w:val="231F20"/>
        </w:rPr>
        <w:t>nature</w:t>
      </w:r>
      <w:r>
        <w:rPr>
          <w:color w:val="231F20"/>
          <w:spacing w:val="-2"/>
        </w:rPr>
        <w:t> </w:t>
      </w:r>
      <w:r>
        <w:rPr>
          <w:color w:val="231F20"/>
        </w:rPr>
        <w:t>doivent</w:t>
      </w:r>
      <w:r>
        <w:rPr>
          <w:color w:val="231F20"/>
          <w:spacing w:val="-3"/>
        </w:rPr>
        <w:t> </w:t>
      </w:r>
      <w:r>
        <w:rPr>
          <w:color w:val="231F20"/>
        </w:rPr>
        <w:t>être</w:t>
      </w:r>
      <w:r>
        <w:rPr>
          <w:color w:val="231F20"/>
          <w:spacing w:val="-3"/>
        </w:rPr>
        <w:t> </w:t>
      </w:r>
      <w:r>
        <w:rPr>
          <w:color w:val="231F20"/>
        </w:rPr>
        <w:t>entièrement</w:t>
      </w:r>
      <w:r>
        <w:rPr>
          <w:color w:val="231F20"/>
          <w:spacing w:val="-3"/>
        </w:rPr>
        <w:t> </w:t>
      </w:r>
      <w:r>
        <w:rPr>
          <w:color w:val="231F20"/>
        </w:rPr>
        <w:t>libérées</w:t>
      </w:r>
      <w:r>
        <w:rPr>
          <w:color w:val="231F20"/>
          <w:spacing w:val="-3"/>
        </w:rPr>
        <w:t> </w:t>
      </w:r>
      <w:r>
        <w:rPr>
          <w:color w:val="231F20"/>
        </w:rPr>
        <w:t>dans</w:t>
      </w:r>
      <w:r>
        <w:rPr>
          <w:color w:val="231F20"/>
          <w:spacing w:val="-2"/>
        </w:rPr>
        <w:t> </w:t>
      </w:r>
      <w:r>
        <w:rPr>
          <w:color w:val="231F20"/>
        </w:rPr>
        <w:t>un délai</w:t>
      </w:r>
      <w:r>
        <w:rPr>
          <w:color w:val="231F20"/>
          <w:spacing w:val="16"/>
        </w:rPr>
        <w:t> </w:t>
      </w:r>
      <w:r>
        <w:rPr>
          <w:color w:val="231F20"/>
        </w:rPr>
        <w:t>de</w:t>
      </w:r>
      <w:r>
        <w:rPr>
          <w:color w:val="231F20"/>
          <w:spacing w:val="17"/>
        </w:rPr>
        <w:t> </w:t>
      </w:r>
      <w:r>
        <w:rPr>
          <w:color w:val="231F20"/>
        </w:rPr>
        <w:t>cinq</w:t>
      </w:r>
      <w:r>
        <w:rPr>
          <w:color w:val="231F20"/>
          <w:spacing w:val="17"/>
        </w:rPr>
        <w:t> </w:t>
      </w:r>
      <w:r>
        <w:rPr>
          <w:color w:val="231F20"/>
        </w:rPr>
        <w:t>ans</w:t>
      </w:r>
      <w:r>
        <w:rPr>
          <w:color w:val="231F20"/>
          <w:spacing w:val="16"/>
        </w:rPr>
        <w:t> </w:t>
      </w:r>
      <w:r>
        <w:rPr>
          <w:color w:val="231F20"/>
        </w:rPr>
        <w:t>à</w:t>
      </w:r>
      <w:r>
        <w:rPr>
          <w:color w:val="231F20"/>
          <w:spacing w:val="17"/>
        </w:rPr>
        <w:t> </w:t>
      </w:r>
      <w:r>
        <w:rPr>
          <w:color w:val="231F20"/>
        </w:rPr>
        <w:t>dater</w:t>
      </w:r>
      <w:r>
        <w:rPr>
          <w:color w:val="231F20"/>
          <w:spacing w:val="17"/>
        </w:rPr>
        <w:t> </w:t>
      </w:r>
      <w:r>
        <w:rPr>
          <w:color w:val="231F20"/>
        </w:rPr>
        <w:t>de</w:t>
      </w:r>
      <w:r>
        <w:rPr>
          <w:color w:val="231F20"/>
          <w:spacing w:val="16"/>
        </w:rPr>
        <w:t> </w:t>
      </w:r>
      <w:r>
        <w:rPr>
          <w:color w:val="231F20"/>
        </w:rPr>
        <w:t>la</w:t>
      </w:r>
      <w:r>
        <w:rPr>
          <w:color w:val="231F20"/>
          <w:spacing w:val="17"/>
        </w:rPr>
        <w:t> </w:t>
      </w:r>
      <w:r>
        <w:rPr>
          <w:color w:val="231F20"/>
        </w:rPr>
        <w:t>décision</w:t>
      </w:r>
      <w:r>
        <w:rPr>
          <w:color w:val="231F20"/>
          <w:spacing w:val="17"/>
        </w:rPr>
        <w:t> </w:t>
      </w:r>
      <w:r>
        <w:rPr>
          <w:color w:val="231F20"/>
        </w:rPr>
        <w:t>d’augmenter</w:t>
      </w:r>
      <w:r>
        <w:rPr>
          <w:color w:val="231F20"/>
          <w:spacing w:val="16"/>
        </w:rPr>
        <w:t> </w:t>
      </w:r>
      <w:r>
        <w:rPr>
          <w:color w:val="231F20"/>
        </w:rPr>
        <w:t>le</w:t>
      </w:r>
      <w:r>
        <w:rPr>
          <w:color w:val="231F20"/>
          <w:spacing w:val="17"/>
        </w:rPr>
        <w:t> </w:t>
      </w:r>
      <w:r>
        <w:rPr>
          <w:color w:val="231F20"/>
        </w:rPr>
        <w:t>capital.</w:t>
      </w:r>
    </w:p>
    <w:p>
      <w:pPr>
        <w:pStyle w:val="BodyText"/>
        <w:spacing w:line="218" w:lineRule="auto" w:before="85"/>
        <w:ind w:right="38"/>
      </w:pPr>
      <w:r>
        <w:rPr>
          <w:color w:val="231F20"/>
        </w:rPr>
        <w:t>Art. 7:184. Lorsqu’une prime d’émission des actions nouvelles est prévue, le montant de cette prime d’émission doit être intégralement libéré dès la souscription.</w:t>
      </w:r>
    </w:p>
    <w:p>
      <w:pPr>
        <w:pStyle w:val="BodyText"/>
        <w:spacing w:line="218" w:lineRule="auto" w:before="86"/>
        <w:ind w:right="38"/>
      </w:pPr>
      <w:r>
        <w:rPr>
          <w:color w:val="231F20"/>
        </w:rPr>
        <w:t>Art. 7:185. La décision d’augmentation du capital prise par l’assem- blée générale ou l’organe d’administration doit être constatée par un acte authentique, qui est déposé et publié  conformément  aux  arti-  cles 2:8 et 2:14,</w:t>
      </w:r>
      <w:r>
        <w:rPr>
          <w:color w:val="231F20"/>
          <w:spacing w:val="14"/>
        </w:rPr>
        <w:t> </w:t>
      </w:r>
      <w:r>
        <w:rPr>
          <w:color w:val="231F20"/>
        </w:rPr>
        <w:t>4°.</w:t>
      </w:r>
    </w:p>
    <w:p>
      <w:pPr>
        <w:pStyle w:val="BodyText"/>
        <w:spacing w:line="218" w:lineRule="auto" w:before="86"/>
        <w:ind w:right="38"/>
      </w:pPr>
      <w:r>
        <w:rPr>
          <w:color w:val="231F20"/>
        </w:rPr>
        <w:t>Si la réalisation de l’augmentation du capital est constatée en même temps, l’acte mentionne également le respect des conditions légales relatives à la souscription et à la libération du capital.</w:t>
      </w:r>
    </w:p>
    <w:p>
      <w:pPr>
        <w:pStyle w:val="BodyText"/>
        <w:spacing w:line="218" w:lineRule="auto" w:before="85"/>
        <w:ind w:right="38"/>
      </w:pPr>
      <w:r>
        <w:rPr>
          <w:color w:val="231F20"/>
        </w:rPr>
        <w:t>Art. 7:186. Si la réalisation de l’augmentation n’est pas concomitante à la décision d’augmenter le capital, elle est constatée par un acte authentique, </w:t>
      </w:r>
      <w:r>
        <w:rPr>
          <w:color w:val="231F20"/>
          <w:spacing w:val="2"/>
        </w:rPr>
        <w:t>dressé </w:t>
      </w:r>
      <w:r>
        <w:rPr>
          <w:color w:val="231F20"/>
        </w:rPr>
        <w:t>à la requête de l’organe d’administration ou d’un ou de plusieurs administrateurs ou mandataires spécialement délégués à cet effet, sur présentation des documents justificatifs de l’opération. Cet acte mentionne également le respect des conditions légales relatives à la souscription et à la libération du capital. Cet acte est déposé et publié</w:t>
      </w:r>
      <w:r>
        <w:rPr>
          <w:color w:val="231F20"/>
          <w:spacing w:val="12"/>
        </w:rPr>
        <w:t> </w:t>
      </w:r>
      <w:r>
        <w:rPr>
          <w:color w:val="231F20"/>
        </w:rPr>
        <w:t>conformément</w:t>
      </w:r>
      <w:r>
        <w:rPr>
          <w:color w:val="231F20"/>
          <w:spacing w:val="13"/>
        </w:rPr>
        <w:t> </w:t>
      </w:r>
      <w:r>
        <w:rPr>
          <w:color w:val="231F20"/>
        </w:rPr>
        <w:t>aux</w:t>
      </w:r>
      <w:r>
        <w:rPr>
          <w:color w:val="231F20"/>
          <w:spacing w:val="13"/>
        </w:rPr>
        <w:t> </w:t>
      </w:r>
      <w:r>
        <w:rPr>
          <w:color w:val="231F20"/>
        </w:rPr>
        <w:t>articles</w:t>
      </w:r>
      <w:r>
        <w:rPr>
          <w:color w:val="231F20"/>
          <w:spacing w:val="13"/>
        </w:rPr>
        <w:t> </w:t>
      </w:r>
      <w:r>
        <w:rPr>
          <w:color w:val="231F20"/>
        </w:rPr>
        <w:t>2:8</w:t>
      </w:r>
      <w:r>
        <w:rPr>
          <w:color w:val="231F20"/>
          <w:spacing w:val="13"/>
        </w:rPr>
        <w:t> </w:t>
      </w:r>
      <w:r>
        <w:rPr>
          <w:color w:val="231F20"/>
        </w:rPr>
        <w:t>et</w:t>
      </w:r>
      <w:r>
        <w:rPr>
          <w:color w:val="231F20"/>
          <w:spacing w:val="13"/>
        </w:rPr>
        <w:t> </w:t>
      </w:r>
      <w:r>
        <w:rPr>
          <w:color w:val="231F20"/>
        </w:rPr>
        <w:t>2:14,</w:t>
      </w:r>
      <w:r>
        <w:rPr>
          <w:color w:val="231F20"/>
          <w:spacing w:val="13"/>
        </w:rPr>
        <w:t> </w:t>
      </w:r>
      <w:r>
        <w:rPr>
          <w:color w:val="231F20"/>
        </w:rPr>
        <w:t>4°.</w:t>
      </w:r>
    </w:p>
    <w:p>
      <w:pPr>
        <w:pStyle w:val="BodyText"/>
        <w:ind w:left="0" w:right="0" w:firstLine="0"/>
        <w:jc w:val="left"/>
        <w:rPr>
          <w:sz w:val="24"/>
        </w:rPr>
      </w:pPr>
    </w:p>
    <w:p>
      <w:pPr>
        <w:pStyle w:val="BodyText"/>
        <w:spacing w:line="218" w:lineRule="auto"/>
        <w:ind w:right="38"/>
      </w:pPr>
      <w:r>
        <w:rPr>
          <w:color w:val="231F20"/>
        </w:rPr>
        <w:t>Art. 7:187. Lorsque le capital est </w:t>
      </w:r>
      <w:r>
        <w:rPr>
          <w:color w:val="231F20"/>
          <w:spacing w:val="4"/>
        </w:rPr>
        <w:t>augmentéà </w:t>
      </w:r>
      <w:r>
        <w:rPr>
          <w:color w:val="231F20"/>
        </w:rPr>
        <w:t>la suite d’une</w:t>
      </w:r>
      <w:r>
        <w:rPr>
          <w:color w:val="231F20"/>
          <w:spacing w:val="-7"/>
        </w:rPr>
        <w:t> </w:t>
      </w:r>
      <w:r>
        <w:rPr>
          <w:color w:val="231F20"/>
        </w:rPr>
        <w:t>conversion d’obligations convertibles en actions, d’une substitution d’actions à des obligations conformément à l’article 7:162, 3°, ou d’une souscription d’actions en cas d’exercice d’un droit de souscription, la conversion, la substitution ou la souscription, l’augmentation corrélative du capital et le</w:t>
      </w:r>
      <w:r>
        <w:rPr>
          <w:color w:val="231F20"/>
          <w:spacing w:val="-4"/>
        </w:rPr>
        <w:t> </w:t>
      </w:r>
      <w:r>
        <w:rPr>
          <w:color w:val="231F20"/>
        </w:rPr>
        <w:t>nombre</w:t>
      </w:r>
      <w:r>
        <w:rPr>
          <w:color w:val="231F20"/>
          <w:spacing w:val="-4"/>
        </w:rPr>
        <w:t> </w:t>
      </w:r>
      <w:r>
        <w:rPr>
          <w:color w:val="231F20"/>
        </w:rPr>
        <w:t>d’actions</w:t>
      </w:r>
      <w:r>
        <w:rPr>
          <w:color w:val="231F20"/>
          <w:spacing w:val="-3"/>
        </w:rPr>
        <w:t> </w:t>
      </w:r>
      <w:r>
        <w:rPr>
          <w:color w:val="231F20"/>
        </w:rPr>
        <w:t>nouvelles</w:t>
      </w:r>
      <w:r>
        <w:rPr>
          <w:color w:val="231F20"/>
          <w:spacing w:val="-4"/>
        </w:rPr>
        <w:t> </w:t>
      </w:r>
      <w:r>
        <w:rPr>
          <w:color w:val="231F20"/>
        </w:rPr>
        <w:t>créées</w:t>
      </w:r>
      <w:r>
        <w:rPr>
          <w:color w:val="231F20"/>
          <w:spacing w:val="-3"/>
        </w:rPr>
        <w:t> </w:t>
      </w:r>
      <w:r>
        <w:rPr>
          <w:color w:val="231F20"/>
        </w:rPr>
        <w:t>en</w:t>
      </w:r>
      <w:r>
        <w:rPr>
          <w:color w:val="231F20"/>
          <w:spacing w:val="-4"/>
        </w:rPr>
        <w:t> </w:t>
      </w:r>
      <w:r>
        <w:rPr>
          <w:color w:val="231F20"/>
        </w:rPr>
        <w:t>représentation</w:t>
      </w:r>
      <w:r>
        <w:rPr>
          <w:color w:val="231F20"/>
          <w:spacing w:val="-3"/>
        </w:rPr>
        <w:t> </w:t>
      </w:r>
      <w:r>
        <w:rPr>
          <w:color w:val="231F20"/>
        </w:rPr>
        <w:t>de</w:t>
      </w:r>
      <w:r>
        <w:rPr>
          <w:color w:val="231F20"/>
          <w:spacing w:val="-4"/>
        </w:rPr>
        <w:t> </w:t>
      </w:r>
      <w:r>
        <w:rPr>
          <w:color w:val="231F20"/>
        </w:rPr>
        <w:t>cette</w:t>
      </w:r>
      <w:r>
        <w:rPr>
          <w:color w:val="231F20"/>
          <w:spacing w:val="-3"/>
        </w:rPr>
        <w:t> </w:t>
      </w:r>
      <w:r>
        <w:rPr>
          <w:color w:val="231F20"/>
        </w:rPr>
        <w:t>dernière sont</w:t>
      </w:r>
      <w:r>
        <w:rPr>
          <w:color w:val="231F20"/>
          <w:spacing w:val="-5"/>
        </w:rPr>
        <w:t> </w:t>
      </w:r>
      <w:r>
        <w:rPr>
          <w:color w:val="231F20"/>
        </w:rPr>
        <w:t>constatés</w:t>
      </w:r>
      <w:r>
        <w:rPr>
          <w:color w:val="231F20"/>
          <w:spacing w:val="-5"/>
        </w:rPr>
        <w:t> </w:t>
      </w:r>
      <w:r>
        <w:rPr>
          <w:color w:val="231F20"/>
        </w:rPr>
        <w:t>par</w:t>
      </w:r>
      <w:r>
        <w:rPr>
          <w:color w:val="231F20"/>
          <w:spacing w:val="-4"/>
        </w:rPr>
        <w:t> </w:t>
      </w:r>
      <w:r>
        <w:rPr>
          <w:color w:val="231F20"/>
        </w:rPr>
        <w:t>un</w:t>
      </w:r>
      <w:r>
        <w:rPr>
          <w:color w:val="231F20"/>
          <w:spacing w:val="-5"/>
        </w:rPr>
        <w:t> </w:t>
      </w:r>
      <w:r>
        <w:rPr>
          <w:color w:val="231F20"/>
        </w:rPr>
        <w:t>acte</w:t>
      </w:r>
      <w:r>
        <w:rPr>
          <w:color w:val="231F20"/>
          <w:spacing w:val="-4"/>
        </w:rPr>
        <w:t> </w:t>
      </w:r>
      <w:r>
        <w:rPr>
          <w:color w:val="231F20"/>
        </w:rPr>
        <w:t>authentique.</w:t>
      </w:r>
      <w:r>
        <w:rPr>
          <w:color w:val="231F20"/>
          <w:spacing w:val="-5"/>
        </w:rPr>
        <w:t> </w:t>
      </w:r>
      <w:r>
        <w:rPr>
          <w:color w:val="231F20"/>
        </w:rPr>
        <w:t>Cet</w:t>
      </w:r>
      <w:r>
        <w:rPr>
          <w:color w:val="231F20"/>
          <w:spacing w:val="-5"/>
        </w:rPr>
        <w:t> </w:t>
      </w:r>
      <w:r>
        <w:rPr>
          <w:color w:val="231F20"/>
        </w:rPr>
        <w:t>acte</w:t>
      </w:r>
      <w:r>
        <w:rPr>
          <w:color w:val="231F20"/>
          <w:spacing w:val="-4"/>
        </w:rPr>
        <w:t> </w:t>
      </w:r>
      <w:r>
        <w:rPr>
          <w:color w:val="231F20"/>
        </w:rPr>
        <w:t>est</w:t>
      </w:r>
      <w:r>
        <w:rPr>
          <w:color w:val="231F20"/>
          <w:spacing w:val="-5"/>
        </w:rPr>
        <w:t> </w:t>
      </w:r>
      <w:r>
        <w:rPr>
          <w:color w:val="231F20"/>
        </w:rPr>
        <w:t>établi</w:t>
      </w:r>
      <w:r>
        <w:rPr>
          <w:color w:val="231F20"/>
          <w:spacing w:val="-4"/>
        </w:rPr>
        <w:t> </w:t>
      </w:r>
      <w:r>
        <w:rPr>
          <w:color w:val="231F20"/>
        </w:rPr>
        <w:t>à</w:t>
      </w:r>
      <w:r>
        <w:rPr>
          <w:color w:val="231F20"/>
          <w:spacing w:val="-5"/>
        </w:rPr>
        <w:t> </w:t>
      </w:r>
      <w:r>
        <w:rPr>
          <w:color w:val="231F20"/>
        </w:rPr>
        <w:t>la</w:t>
      </w:r>
      <w:r>
        <w:rPr>
          <w:color w:val="231F20"/>
          <w:spacing w:val="-4"/>
        </w:rPr>
        <w:t> </w:t>
      </w:r>
      <w:r>
        <w:rPr>
          <w:color w:val="231F20"/>
        </w:rPr>
        <w:t>requête</w:t>
      </w:r>
      <w:r>
        <w:rPr>
          <w:color w:val="231F20"/>
          <w:spacing w:val="-5"/>
        </w:rPr>
        <w:t> </w:t>
      </w:r>
      <w:r>
        <w:rPr>
          <w:color w:val="231F20"/>
        </w:rPr>
        <w:t>de l’organe d’administration ou d’un ou plusieurs administrateurs ou mandataires spécialement délégués à cet </w:t>
      </w:r>
      <w:r>
        <w:rPr>
          <w:color w:val="231F20"/>
          <w:spacing w:val="-3"/>
        </w:rPr>
        <w:t>effet </w:t>
      </w:r>
      <w:r>
        <w:rPr>
          <w:color w:val="231F20"/>
        </w:rPr>
        <w:t>moyennant la production d’un relevé des conversions ou substitutions demandées ou des droits de souscription exercés. Cette constatation confère la qualité d’action- naire à l’obligataire qui a demandé la conversion de son titre, à l’obligataire</w:t>
      </w:r>
      <w:r>
        <w:rPr>
          <w:color w:val="231F20"/>
          <w:spacing w:val="17"/>
        </w:rPr>
        <w:t> </w:t>
      </w:r>
      <w:r>
        <w:rPr>
          <w:color w:val="231F20"/>
        </w:rPr>
        <w:t>dont</w:t>
      </w:r>
      <w:r>
        <w:rPr>
          <w:color w:val="231F20"/>
          <w:spacing w:val="17"/>
        </w:rPr>
        <w:t> </w:t>
      </w:r>
      <w:r>
        <w:rPr>
          <w:color w:val="231F20"/>
        </w:rPr>
        <w:t>les</w:t>
      </w:r>
      <w:r>
        <w:rPr>
          <w:color w:val="231F20"/>
          <w:spacing w:val="17"/>
        </w:rPr>
        <w:t> </w:t>
      </w:r>
      <w:r>
        <w:rPr>
          <w:color w:val="231F20"/>
        </w:rPr>
        <w:t>obligations</w:t>
      </w:r>
      <w:r>
        <w:rPr>
          <w:color w:val="231F20"/>
          <w:spacing w:val="18"/>
        </w:rPr>
        <w:t> </w:t>
      </w:r>
      <w:r>
        <w:rPr>
          <w:color w:val="231F20"/>
        </w:rPr>
        <w:t>ont</w:t>
      </w:r>
      <w:r>
        <w:rPr>
          <w:color w:val="231F20"/>
          <w:spacing w:val="17"/>
        </w:rPr>
        <w:t> </w:t>
      </w:r>
      <w:r>
        <w:rPr>
          <w:color w:val="231F20"/>
        </w:rPr>
        <w:t>été</w:t>
      </w:r>
      <w:r>
        <w:rPr>
          <w:color w:val="231F20"/>
          <w:spacing w:val="17"/>
        </w:rPr>
        <w:t> </w:t>
      </w:r>
      <w:r>
        <w:rPr>
          <w:color w:val="231F20"/>
        </w:rPr>
        <w:t>remplacées</w:t>
      </w:r>
      <w:r>
        <w:rPr>
          <w:color w:val="231F20"/>
          <w:spacing w:val="18"/>
        </w:rPr>
        <w:t> </w:t>
      </w:r>
      <w:r>
        <w:rPr>
          <w:color w:val="231F20"/>
        </w:rPr>
        <w:t>par</w:t>
      </w:r>
      <w:r>
        <w:rPr>
          <w:color w:val="231F20"/>
          <w:spacing w:val="17"/>
        </w:rPr>
        <w:t> </w:t>
      </w:r>
      <w:r>
        <w:rPr>
          <w:color w:val="231F20"/>
        </w:rPr>
        <w:t>des</w:t>
      </w:r>
      <w:r>
        <w:rPr>
          <w:color w:val="231F20"/>
          <w:spacing w:val="17"/>
        </w:rPr>
        <w:t> </w:t>
      </w:r>
      <w:r>
        <w:rPr>
          <w:color w:val="231F20"/>
        </w:rPr>
        <w:t>actions</w:t>
      </w:r>
      <w:r>
        <w:rPr>
          <w:color w:val="231F20"/>
          <w:spacing w:val="18"/>
        </w:rPr>
        <w:t> </w:t>
      </w:r>
      <w:r>
        <w:rPr>
          <w:color w:val="231F20"/>
        </w:rPr>
        <w:t>et</w:t>
      </w:r>
    </w:p>
    <w:p>
      <w:pPr>
        <w:pStyle w:val="BodyText"/>
        <w:spacing w:line="218" w:lineRule="auto" w:before="119"/>
      </w:pPr>
      <w:r>
        <w:rPr/>
        <w:br w:type="column"/>
      </w:r>
      <w:r>
        <w:rPr>
          <w:color w:val="231F20"/>
        </w:rPr>
        <w:t>Art. 7:180. In geval van uitgifte van converteerbare obligaties of van inschrijvingsrechten verantwoordt het bestuursorgaan de voorgestelde verrichting in een verslag. Dat verslag verantwoordt ook de uitgifte- prijs en beschrijft de gevolgen van de verrichting voor de vermogens- en lidmaatschapsrechten van de</w:t>
      </w:r>
      <w:r>
        <w:rPr>
          <w:color w:val="231F20"/>
          <w:spacing w:val="21"/>
        </w:rPr>
        <w:t> </w:t>
      </w:r>
      <w:r>
        <w:rPr>
          <w:color w:val="231F20"/>
        </w:rPr>
        <w:t>aandeelhouders.</w:t>
      </w:r>
    </w:p>
    <w:p>
      <w:pPr>
        <w:pStyle w:val="BodyText"/>
        <w:spacing w:line="218" w:lineRule="auto" w:before="86"/>
      </w:pPr>
      <w:r>
        <w:rPr>
          <w:color w:val="231F20"/>
        </w:rPr>
        <w:t>De commissaris, of, als er geen commissaris is, een bedrijfsrevisor of een externe accountant aangewezen door het bestuursorgaan, stelt een verslag op waarin hij beoordeelt of de in het verslag van het bestuursorgaan opgenomen financiële en boekhoudkundige gegevens in alle van materieel belang zijnde opzichten getrouw zijn en voldoende om de algemene vergadering die over het voorstel moet stemmen, voor te</w:t>
      </w:r>
      <w:r>
        <w:rPr>
          <w:color w:val="231F20"/>
          <w:spacing w:val="14"/>
        </w:rPr>
        <w:t> </w:t>
      </w:r>
      <w:r>
        <w:rPr>
          <w:color w:val="231F20"/>
        </w:rPr>
        <w:t>lichten.</w:t>
      </w:r>
    </w:p>
    <w:p>
      <w:pPr>
        <w:pStyle w:val="BodyText"/>
        <w:spacing w:line="218" w:lineRule="auto" w:before="86"/>
      </w:pPr>
      <w:r>
        <w:rPr>
          <w:color w:val="231F20"/>
        </w:rPr>
        <w:t>Die verslagen worden neergelegd en bekendgemaakt overeenkom- stig de artikelen 2:8 en 2:14, 4°. Zij worden in de agenda vermeld. Een kopie ervan kan worden verkregen overeenkomstig artikel 7:132.</w:t>
      </w:r>
    </w:p>
    <w:p>
      <w:pPr>
        <w:pStyle w:val="BodyText"/>
        <w:spacing w:line="218" w:lineRule="auto" w:before="86"/>
      </w:pPr>
      <w:r>
        <w:rPr>
          <w:color w:val="231F20"/>
        </w:rPr>
        <w:t>Wanneer het verslag van het bestuursorgaan of het verslag van de commissaris dat de in het tweede lid bedoelde beoordeling bevat ontbreekt, is het besluit van de algemene vergadering nietig.</w:t>
      </w:r>
    </w:p>
    <w:p>
      <w:pPr>
        <w:pStyle w:val="BodyText"/>
        <w:spacing w:line="218" w:lineRule="auto" w:before="85"/>
      </w:pPr>
      <w:r>
        <w:rPr>
          <w:color w:val="231F20"/>
        </w:rPr>
        <w:t>Art. 7:181. Indien de kapitaalverhoging niet volledig is geplaatst, wordt het kapitaal slechts verhoogd met het bedrag van de geplaatste inschrijvingen indien de emissievoorwaarden dat uitdrukkelijk bepa- len.</w:t>
      </w:r>
    </w:p>
    <w:p>
      <w:pPr>
        <w:pStyle w:val="BodyText"/>
        <w:spacing w:line="218" w:lineRule="auto" w:before="86"/>
      </w:pPr>
      <w:r>
        <w:rPr>
          <w:color w:val="231F20"/>
        </w:rPr>
        <w:t>Art. 7:182. § 1. De vennootschap mag niet inschrijven op haar eigen aandelen of op certificaten die betrekking hebben op die aandelen en worden uitgegeven op het tijdstip van uitgifte van die aandelen, noch rechtstreeks, noch door een dochtervennootschap, noch door een persoon die handelt in eigen naam maar voor rekening van de vennootschap of de dochtervennootschap.</w:t>
      </w:r>
    </w:p>
    <w:p>
      <w:pPr>
        <w:pStyle w:val="BodyText"/>
        <w:spacing w:line="218" w:lineRule="auto" w:before="86"/>
      </w:pPr>
      <w:r>
        <w:rPr>
          <w:color w:val="231F20"/>
        </w:rPr>
        <w:t>De persoon die in eigen naam maar voor rekening van de vennoot- schap of van de dochtervennootschap op aandelen of op certificaten bedoeld in het eerste lid heeft ingeschreven, wordt geacht voor eigen rekening te hebben gehandeld.</w:t>
      </w:r>
    </w:p>
    <w:p>
      <w:pPr>
        <w:pStyle w:val="BodyText"/>
        <w:spacing w:line="218" w:lineRule="auto" w:before="85"/>
      </w:pPr>
      <w:r>
        <w:rPr>
          <w:color w:val="231F20"/>
        </w:rPr>
        <w:t>Alle rechten verbonden aan aandelen of aan certificaten bedoeld in het eerste lid waarop de vennootschap of haar dochtervennootschap heeft ingeschreven, blijven geschorst zolang die aandelen of die certificaten niet zijn vervreemd.</w:t>
      </w:r>
    </w:p>
    <w:p>
      <w:pPr>
        <w:pStyle w:val="BodyText"/>
        <w:spacing w:line="218" w:lineRule="auto" w:before="86"/>
      </w:pPr>
      <w:r>
        <w:rPr>
          <w:color w:val="231F20"/>
        </w:rPr>
        <w:t>§ 2. Paragraaf 1 is niet van toepassing op de inschrijving op aandelen of op certificaten bedoeld in paragraaf 1 van een vennootschap door  een dochtervennootschap die in haar hoedanigheid van professionele effectenhandelaar,</w:t>
      </w:r>
      <w:r>
        <w:rPr>
          <w:color w:val="231F20"/>
          <w:spacing w:val="12"/>
        </w:rPr>
        <w:t> </w:t>
      </w:r>
      <w:r>
        <w:rPr>
          <w:color w:val="231F20"/>
        </w:rPr>
        <w:t>een</w:t>
      </w:r>
      <w:r>
        <w:rPr>
          <w:color w:val="231F20"/>
          <w:spacing w:val="12"/>
        </w:rPr>
        <w:t> </w:t>
      </w:r>
      <w:r>
        <w:rPr>
          <w:color w:val="231F20"/>
        </w:rPr>
        <w:t>beursvennootschap</w:t>
      </w:r>
      <w:r>
        <w:rPr>
          <w:color w:val="231F20"/>
          <w:spacing w:val="13"/>
        </w:rPr>
        <w:t> </w:t>
      </w:r>
      <w:r>
        <w:rPr>
          <w:color w:val="231F20"/>
        </w:rPr>
        <w:t>of</w:t>
      </w:r>
      <w:r>
        <w:rPr>
          <w:color w:val="231F20"/>
          <w:spacing w:val="12"/>
        </w:rPr>
        <w:t> </w:t>
      </w:r>
      <w:r>
        <w:rPr>
          <w:color w:val="231F20"/>
        </w:rPr>
        <w:t>een</w:t>
      </w:r>
      <w:r>
        <w:rPr>
          <w:color w:val="231F20"/>
          <w:spacing w:val="13"/>
        </w:rPr>
        <w:t> </w:t>
      </w:r>
      <w:r>
        <w:rPr>
          <w:color w:val="231F20"/>
        </w:rPr>
        <w:t>kredietinstelling</w:t>
      </w:r>
      <w:r>
        <w:rPr>
          <w:color w:val="231F20"/>
          <w:spacing w:val="12"/>
        </w:rPr>
        <w:t> </w:t>
      </w:r>
      <w:r>
        <w:rPr>
          <w:color w:val="231F20"/>
        </w:rPr>
        <w:t>is.</w:t>
      </w:r>
    </w:p>
    <w:p>
      <w:pPr>
        <w:pStyle w:val="BodyText"/>
        <w:spacing w:line="218" w:lineRule="auto" w:before="85"/>
      </w:pPr>
      <w:r>
        <w:rPr>
          <w:color w:val="231F20"/>
        </w:rPr>
        <w:t>Art. 7:183. Op ieder aandeel dat overeenstemt met inbreng in geld en op ieder aandeel dat geheel of ten dele overeenstemt met inbreng in natura moet een vierde worden gestort.</w:t>
      </w:r>
    </w:p>
    <w:p>
      <w:pPr>
        <w:pStyle w:val="BodyText"/>
        <w:spacing w:line="218" w:lineRule="auto" w:before="86"/>
      </w:pPr>
      <w:r>
        <w:rPr>
          <w:color w:val="231F20"/>
        </w:rPr>
        <w:t>Onverminderd het bepaalde in het eerste lid, moeten de aandelen die geheel of ten dele overeenstemmen met inbreng in natura volgestort zijn</w:t>
      </w:r>
      <w:r>
        <w:rPr>
          <w:color w:val="231F20"/>
          <w:spacing w:val="-5"/>
        </w:rPr>
        <w:t> </w:t>
      </w:r>
      <w:r>
        <w:rPr>
          <w:color w:val="231F20"/>
        </w:rPr>
        <w:t>binnen</w:t>
      </w:r>
      <w:r>
        <w:rPr>
          <w:color w:val="231F20"/>
          <w:spacing w:val="-5"/>
        </w:rPr>
        <w:t> </w:t>
      </w:r>
      <w:r>
        <w:rPr>
          <w:color w:val="231F20"/>
        </w:rPr>
        <w:t>een</w:t>
      </w:r>
      <w:r>
        <w:rPr>
          <w:color w:val="231F20"/>
          <w:spacing w:val="-5"/>
        </w:rPr>
        <w:t> </w:t>
      </w:r>
      <w:r>
        <w:rPr>
          <w:color w:val="231F20"/>
        </w:rPr>
        <w:t>termijn</w:t>
      </w:r>
      <w:r>
        <w:rPr>
          <w:color w:val="231F20"/>
          <w:spacing w:val="-5"/>
        </w:rPr>
        <w:t> </w:t>
      </w:r>
      <w:r>
        <w:rPr>
          <w:color w:val="231F20"/>
        </w:rPr>
        <w:t>van</w:t>
      </w:r>
      <w:r>
        <w:rPr>
          <w:color w:val="231F20"/>
          <w:spacing w:val="-4"/>
        </w:rPr>
        <w:t> </w:t>
      </w:r>
      <w:r>
        <w:rPr>
          <w:color w:val="231F20"/>
        </w:rPr>
        <w:t>vijf</w:t>
      </w:r>
      <w:r>
        <w:rPr>
          <w:color w:val="231F20"/>
          <w:spacing w:val="-5"/>
        </w:rPr>
        <w:t> </w:t>
      </w:r>
      <w:r>
        <w:rPr>
          <w:color w:val="231F20"/>
        </w:rPr>
        <w:t>jaar</w:t>
      </w:r>
      <w:r>
        <w:rPr>
          <w:color w:val="231F20"/>
          <w:spacing w:val="-5"/>
        </w:rPr>
        <w:t> </w:t>
      </w:r>
      <w:r>
        <w:rPr>
          <w:color w:val="231F20"/>
        </w:rPr>
        <w:t>na</w:t>
      </w:r>
      <w:r>
        <w:rPr>
          <w:color w:val="231F20"/>
          <w:spacing w:val="-5"/>
        </w:rPr>
        <w:t> </w:t>
      </w:r>
      <w:r>
        <w:rPr>
          <w:color w:val="231F20"/>
        </w:rPr>
        <w:t>het</w:t>
      </w:r>
      <w:r>
        <w:rPr>
          <w:color w:val="231F20"/>
          <w:spacing w:val="-4"/>
        </w:rPr>
        <w:t> </w:t>
      </w:r>
      <w:r>
        <w:rPr>
          <w:color w:val="231F20"/>
        </w:rPr>
        <w:t>besluit</w:t>
      </w:r>
      <w:r>
        <w:rPr>
          <w:color w:val="231F20"/>
          <w:spacing w:val="-5"/>
        </w:rPr>
        <w:t> </w:t>
      </w:r>
      <w:r>
        <w:rPr>
          <w:color w:val="231F20"/>
        </w:rPr>
        <w:t>tot</w:t>
      </w:r>
      <w:r>
        <w:rPr>
          <w:color w:val="231F20"/>
          <w:spacing w:val="-5"/>
        </w:rPr>
        <w:t> </w:t>
      </w:r>
      <w:r>
        <w:rPr>
          <w:color w:val="231F20"/>
        </w:rPr>
        <w:t>kapitaalverhoging.</w:t>
      </w:r>
    </w:p>
    <w:p>
      <w:pPr>
        <w:pStyle w:val="BodyText"/>
        <w:spacing w:line="218" w:lineRule="auto" w:before="85"/>
      </w:pPr>
      <w:r>
        <w:rPr>
          <w:color w:val="231F20"/>
        </w:rPr>
        <w:t>Art. 7:184. Indien een uitgiftepremie op de nieuwe aandelen wordt gevraagd, moet het bedrag van deze premie volledig worden gestort bij de inschrijving.</w:t>
      </w:r>
    </w:p>
    <w:p>
      <w:pPr>
        <w:pStyle w:val="BodyText"/>
        <w:spacing w:line="218" w:lineRule="auto" w:before="86"/>
      </w:pPr>
      <w:r>
        <w:rPr>
          <w:color w:val="231F20"/>
        </w:rPr>
        <w:t>Art. 7:185. Het besluit tot kapitaalverhoging door de algemene vergadering of het bestuursorgaan genomen, moet worden vastgesteld bij een authentieke akte die moet worden neergelegd en bekendge- maakt overeenkomstig de artikelen 2:8 en 2:14, 4°.</w:t>
      </w:r>
    </w:p>
    <w:p>
      <w:pPr>
        <w:pStyle w:val="BodyText"/>
        <w:spacing w:line="218" w:lineRule="auto" w:before="86"/>
      </w:pPr>
      <w:r>
        <w:rPr>
          <w:color w:val="231F20"/>
        </w:rPr>
        <w:t>Indien terzelfder tijd de totstandkoming van de verhoging wordt vastgesteld, vermeldt de akte tevens de naleving van de wettelijke vereisten aangaande de inschrijving en de volstorting van het kapitaal.</w:t>
      </w:r>
    </w:p>
    <w:p>
      <w:pPr>
        <w:pStyle w:val="BodyText"/>
        <w:spacing w:line="218" w:lineRule="auto" w:before="85"/>
      </w:pPr>
      <w:r>
        <w:rPr>
          <w:color w:val="231F20"/>
        </w:rPr>
        <w:t>Art. 7:186. Indien de totstandkoming van de verhoging niet gelijktij- dig gebeurt met het besluit tot kapitaalverhoging, wordt zij vastgesteld bij een authentieke akte die op verzoek van het bestuursorgaan of van één of meer daarvoor speciaal gemachtigde bestuurders of lasthebbers wordt opgesteld op overlegging van de stukken tot staving van de verrichting. De akte vermeldt tevens de naleving van de wettelijke vereisten aangaande de inschrijving en de volstorting van het kapitaal. Die akte wordt neergelegd en bekendgemaakt overeenkomstig de artikelen 2:8 en 2:14, 4°.</w:t>
      </w:r>
    </w:p>
    <w:p>
      <w:pPr>
        <w:pStyle w:val="BodyText"/>
        <w:spacing w:line="218" w:lineRule="auto" w:before="97"/>
        <w:ind w:right="123"/>
      </w:pPr>
      <w:r>
        <w:rPr>
          <w:color w:val="231F20"/>
        </w:rPr>
        <w:t>Art. 7:187. </w:t>
      </w:r>
      <w:r>
        <w:rPr>
          <w:color w:val="231F20"/>
          <w:spacing w:val="-3"/>
        </w:rPr>
        <w:t>Wanneer </w:t>
      </w:r>
      <w:r>
        <w:rPr>
          <w:color w:val="231F20"/>
        </w:rPr>
        <w:t>het kapitaal wordt verhoogd ten gevolge van een conversie van converteerbare obligaties in aandelen, van een vervan- ging van obligaties door aandelen overeenkomstig artikel 7:162, 3°, of van een inschrijving op aandelen in geval van uitoefening van het inschrijvingsrecht worden de conversie, de vervanging of de inschrij- ving, de daaruit voortvloeiende verhoging van het kapitaal en het  aantal ter vertegenwoordiging van die verhoging uitgegeven nieuwe aandelen vastgesteld bij een authentieke akte. Deze akte wordt op verzoek van het bestuursorgaan of van één of meer daarvoor speciaal gemachtigde bestuurders of lasthebbers opgemaakt onder overlegging van een lijst van de gevraagde conversies of vervangingen of van de uitgeoefende inschrijvingsrechten. Deze vaststelling verleent de hoeda- nigheid van aandeelhouder aan de obligatiehouder die de</w:t>
      </w:r>
      <w:r>
        <w:rPr>
          <w:color w:val="231F20"/>
          <w:spacing w:val="36"/>
        </w:rPr>
        <w:t> </w:t>
      </w:r>
      <w:r>
        <w:rPr>
          <w:color w:val="231F20"/>
        </w:rPr>
        <w:t>conversie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5728" from="298.170502pt,64.473pt" to="298.170502pt,812.819pt" stroked="true" strokeweight=".533pt" strokecolor="#231f20">
            <v:stroke dashstyle="solid"/>
            <w10:wrap type="none"/>
          </v:line>
        </w:pict>
      </w:r>
      <w:bookmarkStart w:name="_bookmark196" w:id="202"/>
      <w:bookmarkEnd w:id="202"/>
      <w:r>
        <w:rPr/>
      </w:r>
      <w:r>
        <w:rPr>
          <w:color w:val="231F20"/>
        </w:rPr>
        <w:t>au titulaire d’un droit de souscription qui a exercé son droit. Le montant du capital et le nombre des actions sont adaptés dans les statuts.</w:t>
      </w:r>
    </w:p>
    <w:p>
      <w:pPr>
        <w:pStyle w:val="BodyText"/>
        <w:spacing w:before="8"/>
        <w:ind w:left="0" w:right="0" w:firstLine="0"/>
        <w:jc w:val="left"/>
        <w:rPr>
          <w:sz w:val="21"/>
        </w:rPr>
      </w:pPr>
    </w:p>
    <w:p>
      <w:pPr>
        <w:pStyle w:val="BodyText"/>
        <w:spacing w:line="304" w:lineRule="auto"/>
        <w:ind w:left="283" w:right="491" w:firstLine="0"/>
        <w:jc w:val="left"/>
      </w:pPr>
      <w:r>
        <w:rPr>
          <w:color w:val="231F20"/>
        </w:rPr>
        <w:t>Section 2. Augmentation de capital par apports en numéraire. Sous-section 1</w:t>
      </w:r>
      <w:r>
        <w:rPr>
          <w:color w:val="231F20"/>
          <w:position w:val="7"/>
          <w:sz w:val="11"/>
        </w:rPr>
        <w:t>re</w:t>
      </w:r>
      <w:r>
        <w:rPr>
          <w:color w:val="231F20"/>
        </w:rPr>
        <w:t>. Droit de préférence.</w:t>
      </w:r>
    </w:p>
    <w:p>
      <w:pPr>
        <w:pStyle w:val="BodyText"/>
        <w:spacing w:line="218" w:lineRule="auto" w:before="31"/>
        <w:ind w:right="38"/>
      </w:pPr>
      <w:r>
        <w:rPr>
          <w:color w:val="231F20"/>
        </w:rPr>
        <w:t>Art. 7:188. Les actions à souscrire en numéraire, les obligations convertibles et les droits de souscription doivent être offerts par préférence aux actionnaires existants proportionnellement à la partie du capital représentée par leurs actions.</w:t>
      </w:r>
    </w:p>
    <w:p>
      <w:pPr>
        <w:pStyle w:val="BodyText"/>
        <w:ind w:left="0" w:right="0" w:firstLine="0"/>
        <w:jc w:val="left"/>
        <w:rPr>
          <w:sz w:val="23"/>
        </w:rPr>
      </w:pPr>
    </w:p>
    <w:p>
      <w:pPr>
        <w:pStyle w:val="BodyText"/>
        <w:spacing w:line="218" w:lineRule="auto"/>
        <w:ind w:right="38"/>
      </w:pPr>
      <w:r>
        <w:rPr>
          <w:color w:val="231F20"/>
        </w:rPr>
        <w:t>S’il y a plusieurs classes d’actions, le droit de préférence revient tout d’abord aux titulaires d’actions de la classe à émettre. L’émission a lieu dans le respect de l’article 7:155, à moins que l’émission ne se fasse</w:t>
      </w:r>
      <w:r>
        <w:rPr>
          <w:color w:val="231F20"/>
          <w:spacing w:val="-22"/>
        </w:rPr>
        <w:t> </w:t>
      </w:r>
      <w:r>
        <w:rPr>
          <w:color w:val="231F20"/>
        </w:rPr>
        <w:t>dans chaque classe proportionnellement au nombre d’actions détenues par les actionnaires dans chaque classe. Un droit de préférence ne revient aux titulaires d’actions d’une autre classe d’actions que celle des actions à émettre que dans la mesure où les titulaires d’actions de la classe</w:t>
      </w:r>
      <w:r>
        <w:rPr>
          <w:color w:val="231F20"/>
          <w:spacing w:val="-9"/>
        </w:rPr>
        <w:t> </w:t>
      </w:r>
      <w:r>
        <w:rPr>
          <w:color w:val="231F20"/>
        </w:rPr>
        <w:t>dans laquelle</w:t>
      </w:r>
      <w:r>
        <w:rPr>
          <w:color w:val="231F20"/>
          <w:spacing w:val="16"/>
        </w:rPr>
        <w:t> </w:t>
      </w:r>
      <w:r>
        <w:rPr>
          <w:color w:val="231F20"/>
        </w:rPr>
        <w:t>de</w:t>
      </w:r>
      <w:r>
        <w:rPr>
          <w:color w:val="231F20"/>
          <w:spacing w:val="17"/>
        </w:rPr>
        <w:t> </w:t>
      </w:r>
      <w:r>
        <w:rPr>
          <w:color w:val="231F20"/>
        </w:rPr>
        <w:t>nouvelles</w:t>
      </w:r>
      <w:r>
        <w:rPr>
          <w:color w:val="231F20"/>
          <w:spacing w:val="17"/>
        </w:rPr>
        <w:t> </w:t>
      </w:r>
      <w:r>
        <w:rPr>
          <w:color w:val="231F20"/>
        </w:rPr>
        <w:t>actions</w:t>
      </w:r>
      <w:r>
        <w:rPr>
          <w:color w:val="231F20"/>
          <w:spacing w:val="16"/>
        </w:rPr>
        <w:t> </w:t>
      </w:r>
      <w:r>
        <w:rPr>
          <w:color w:val="231F20"/>
        </w:rPr>
        <w:t>sont</w:t>
      </w:r>
      <w:r>
        <w:rPr>
          <w:color w:val="231F20"/>
          <w:spacing w:val="17"/>
        </w:rPr>
        <w:t> </w:t>
      </w:r>
      <w:r>
        <w:rPr>
          <w:color w:val="231F20"/>
        </w:rPr>
        <w:t>émises</w:t>
      </w:r>
      <w:r>
        <w:rPr>
          <w:color w:val="231F20"/>
          <w:spacing w:val="17"/>
        </w:rPr>
        <w:t> </w:t>
      </w:r>
      <w:r>
        <w:rPr>
          <w:color w:val="231F20"/>
        </w:rPr>
        <w:t>n’en</w:t>
      </w:r>
      <w:r>
        <w:rPr>
          <w:color w:val="231F20"/>
          <w:spacing w:val="17"/>
        </w:rPr>
        <w:t> </w:t>
      </w:r>
      <w:r>
        <w:rPr>
          <w:color w:val="231F20"/>
        </w:rPr>
        <w:t>ont</w:t>
      </w:r>
      <w:r>
        <w:rPr>
          <w:color w:val="231F20"/>
          <w:spacing w:val="16"/>
        </w:rPr>
        <w:t> </w:t>
      </w:r>
      <w:r>
        <w:rPr>
          <w:color w:val="231F20"/>
        </w:rPr>
        <w:t>pas</w:t>
      </w:r>
      <w:r>
        <w:rPr>
          <w:color w:val="231F20"/>
          <w:spacing w:val="17"/>
        </w:rPr>
        <w:t> </w:t>
      </w:r>
      <w:r>
        <w:rPr>
          <w:color w:val="231F20"/>
        </w:rPr>
        <w:t>fait</w:t>
      </w:r>
      <w:r>
        <w:rPr>
          <w:color w:val="231F20"/>
          <w:spacing w:val="17"/>
        </w:rPr>
        <w:t> </w:t>
      </w:r>
      <w:r>
        <w:rPr>
          <w:color w:val="231F20"/>
        </w:rPr>
        <w:t>usage.</w:t>
      </w:r>
    </w:p>
    <w:p>
      <w:pPr>
        <w:pStyle w:val="BodyText"/>
        <w:spacing w:before="8"/>
        <w:ind w:left="0" w:right="0" w:firstLine="0"/>
        <w:jc w:val="left"/>
        <w:rPr>
          <w:sz w:val="21"/>
        </w:rPr>
      </w:pPr>
    </w:p>
    <w:p>
      <w:pPr>
        <w:pStyle w:val="BodyText"/>
        <w:spacing w:line="218" w:lineRule="auto"/>
        <w:ind w:right="38"/>
      </w:pPr>
      <w:r>
        <w:rPr>
          <w:color w:val="231F20"/>
        </w:rPr>
        <w:t>Le droit de préférence </w:t>
      </w:r>
      <w:r>
        <w:rPr>
          <w:color w:val="231F20"/>
          <w:spacing w:val="5"/>
        </w:rPr>
        <w:t>visé </w:t>
      </w:r>
      <w:r>
        <w:rPr>
          <w:color w:val="231F20"/>
        </w:rPr>
        <w:t>à l’alinéa 1</w:t>
      </w:r>
      <w:r>
        <w:rPr>
          <w:color w:val="231F20"/>
          <w:position w:val="7"/>
          <w:sz w:val="11"/>
        </w:rPr>
        <w:t>er </w:t>
      </w:r>
      <w:r>
        <w:rPr>
          <w:color w:val="231F20"/>
        </w:rPr>
        <w:t>s’applique sans restriction lors de l’émission d’actions d’une nouvelle classe, qu’il existe différen- tes classes d’actions ou</w:t>
      </w:r>
      <w:r>
        <w:rPr>
          <w:color w:val="231F20"/>
          <w:spacing w:val="19"/>
        </w:rPr>
        <w:t> </w:t>
      </w:r>
      <w:r>
        <w:rPr>
          <w:color w:val="231F20"/>
        </w:rPr>
        <w:t>non.</w:t>
      </w:r>
    </w:p>
    <w:p>
      <w:pPr>
        <w:pStyle w:val="BodyText"/>
        <w:spacing w:line="218" w:lineRule="auto" w:before="96"/>
        <w:ind w:right="38"/>
      </w:pPr>
      <w:r>
        <w:rPr>
          <w:color w:val="231F20"/>
        </w:rPr>
        <w:t>Art. 7:189. Le droit de préférence peut être exercé pendant un délai qui ne peut être inférieur à quinze jours à dater de l’ouverture de la souscription. Ce délai est fixé par l’assemblée générale ou, lorsque l’augmentation est décidée dans le cadre du capital autorisé, par l’organe d’administration.</w:t>
      </w:r>
    </w:p>
    <w:p>
      <w:pPr>
        <w:pStyle w:val="BodyText"/>
        <w:spacing w:line="218" w:lineRule="auto" w:before="97"/>
        <w:ind w:right="38"/>
      </w:pPr>
      <w:r>
        <w:rPr>
          <w:color w:val="231F20"/>
        </w:rPr>
        <w:t>L’ouverture de la souscription ainsi que son délai d’exercice sont annoncés par un avis publié huit jours au moins avant cette ouverture, aux Annexes du </w:t>
      </w:r>
      <w:r>
        <w:rPr>
          <w:rFonts w:ascii="Times New Roman" w:hAnsi="Times New Roman"/>
          <w:i/>
          <w:color w:val="231F20"/>
        </w:rPr>
        <w:t>Moniteur belge</w:t>
      </w:r>
      <w:r>
        <w:rPr>
          <w:color w:val="231F20"/>
        </w:rPr>
        <w:t>, dans un organe de presse de diffusion nationale, papier ou électronique, ainsi que, lorsque la société dispose d’un site internet </w:t>
      </w:r>
      <w:r>
        <w:rPr>
          <w:color w:val="231F20"/>
          <w:spacing w:val="4"/>
        </w:rPr>
        <w:t>visé </w:t>
      </w:r>
      <w:r>
        <w:rPr>
          <w:color w:val="231F20"/>
        </w:rPr>
        <w:t>à l’article 2:31, sur le site internet de la société. Lorsque l’ensemble des actions, des obligations convertibles, des droits de souscription et des certificats émis avec la collaboration de la société est nominatif, la société peut se limiter à la communication de cet avis  à</w:t>
      </w:r>
      <w:r>
        <w:rPr>
          <w:color w:val="231F20"/>
          <w:spacing w:val="13"/>
        </w:rPr>
        <w:t> </w:t>
      </w:r>
      <w:r>
        <w:rPr>
          <w:color w:val="231F20"/>
        </w:rPr>
        <w:t>tous</w:t>
      </w:r>
      <w:r>
        <w:rPr>
          <w:color w:val="231F20"/>
          <w:spacing w:val="13"/>
        </w:rPr>
        <w:t> </w:t>
      </w:r>
      <w:r>
        <w:rPr>
          <w:color w:val="231F20"/>
        </w:rPr>
        <w:t>les</w:t>
      </w:r>
      <w:r>
        <w:rPr>
          <w:color w:val="231F20"/>
          <w:spacing w:val="13"/>
        </w:rPr>
        <w:t> </w:t>
      </w:r>
      <w:r>
        <w:rPr>
          <w:color w:val="231F20"/>
        </w:rPr>
        <w:t>actionnaires</w:t>
      </w:r>
      <w:r>
        <w:rPr>
          <w:color w:val="231F20"/>
          <w:spacing w:val="13"/>
        </w:rPr>
        <w:t> </w:t>
      </w:r>
      <w:r>
        <w:rPr>
          <w:color w:val="231F20"/>
        </w:rPr>
        <w:t>conformément</w:t>
      </w:r>
      <w:r>
        <w:rPr>
          <w:color w:val="231F20"/>
          <w:spacing w:val="13"/>
        </w:rPr>
        <w:t> </w:t>
      </w:r>
      <w:r>
        <w:rPr>
          <w:color w:val="231F20"/>
        </w:rPr>
        <w:t>à</w:t>
      </w:r>
      <w:r>
        <w:rPr>
          <w:color w:val="231F20"/>
          <w:spacing w:val="14"/>
        </w:rPr>
        <w:t> </w:t>
      </w:r>
      <w:r>
        <w:rPr>
          <w:color w:val="231F20"/>
        </w:rPr>
        <w:t>l’article</w:t>
      </w:r>
      <w:r>
        <w:rPr>
          <w:color w:val="231F20"/>
          <w:spacing w:val="13"/>
        </w:rPr>
        <w:t> </w:t>
      </w:r>
      <w:r>
        <w:rPr>
          <w:color w:val="231F20"/>
        </w:rPr>
        <w:t>2:32.</w:t>
      </w:r>
    </w:p>
    <w:p>
      <w:pPr>
        <w:pStyle w:val="BodyText"/>
        <w:spacing w:before="8"/>
        <w:ind w:left="0" w:right="0" w:firstLine="0"/>
        <w:jc w:val="left"/>
        <w:rPr>
          <w:sz w:val="23"/>
        </w:rPr>
      </w:pPr>
    </w:p>
    <w:p>
      <w:pPr>
        <w:pStyle w:val="BodyText"/>
        <w:spacing w:line="218" w:lineRule="auto"/>
        <w:ind w:right="38"/>
      </w:pPr>
      <w:r>
        <w:rPr>
          <w:color w:val="231F20"/>
        </w:rPr>
        <w:t>La publication de cet avis ou la communication de son contenu aux actionnaires en nom ne constituent pas, par elles-mêmes, une offre publique.</w:t>
      </w:r>
    </w:p>
    <w:p>
      <w:pPr>
        <w:pStyle w:val="BodyText"/>
        <w:spacing w:line="218" w:lineRule="auto" w:before="97"/>
        <w:ind w:right="38"/>
      </w:pPr>
      <w:r>
        <w:rPr>
          <w:color w:val="231F20"/>
        </w:rPr>
        <w:t>Le droit de préférence est négociable pendant toute la durée de la souscription, sans qu’il puisse être </w:t>
      </w:r>
      <w:r>
        <w:rPr>
          <w:color w:val="231F20"/>
          <w:spacing w:val="4"/>
        </w:rPr>
        <w:t>apportéà </w:t>
      </w:r>
      <w:r>
        <w:rPr>
          <w:color w:val="231F20"/>
        </w:rPr>
        <w:t>cette négociabilité d’autres restrictions que celles applicables au titre auquel le droit est attaché. Si le droit de préférence est admis aux négociations sur un marché réglementé  au  sens  de  l’article  3,  7°,   de   la   loi   du   21   novem- bre 2017 relative aux infrastructures des marchés d’instruments finan- ciers et portant transposition de la directive 2014/65/UE, la négociabi- lité des droits de préférence peut toutefois être restreinte pour autant que cela soit nécessaire afin d’éviter que, tenant compte des standards de marché internationaux pour le règlement des opérations sur titres, des personnes acquièrent des droits de préférence à un moment où</w:t>
      </w:r>
      <w:r>
        <w:rPr>
          <w:color w:val="231F20"/>
          <w:spacing w:val="-20"/>
        </w:rPr>
        <w:t> </w:t>
      </w:r>
      <w:r>
        <w:rPr>
          <w:color w:val="231F20"/>
        </w:rPr>
        <w:t>elles ne</w:t>
      </w:r>
      <w:r>
        <w:rPr>
          <w:color w:val="231F20"/>
          <w:spacing w:val="14"/>
        </w:rPr>
        <w:t> </w:t>
      </w:r>
      <w:r>
        <w:rPr>
          <w:color w:val="231F20"/>
        </w:rPr>
        <w:t>pourront</w:t>
      </w:r>
      <w:r>
        <w:rPr>
          <w:color w:val="231F20"/>
          <w:spacing w:val="14"/>
        </w:rPr>
        <w:t> </w:t>
      </w:r>
      <w:r>
        <w:rPr>
          <w:color w:val="231F20"/>
        </w:rPr>
        <w:t>raisonnablement</w:t>
      </w:r>
      <w:r>
        <w:rPr>
          <w:color w:val="231F20"/>
          <w:spacing w:val="15"/>
        </w:rPr>
        <w:t> </w:t>
      </w:r>
      <w:r>
        <w:rPr>
          <w:color w:val="231F20"/>
        </w:rPr>
        <w:t>plus</w:t>
      </w:r>
      <w:r>
        <w:rPr>
          <w:color w:val="231F20"/>
          <w:spacing w:val="14"/>
        </w:rPr>
        <w:t> </w:t>
      </w:r>
      <w:r>
        <w:rPr>
          <w:color w:val="231F20"/>
        </w:rPr>
        <w:t>les</w:t>
      </w:r>
      <w:r>
        <w:rPr>
          <w:color w:val="231F20"/>
          <w:spacing w:val="15"/>
        </w:rPr>
        <w:t> </w:t>
      </w:r>
      <w:r>
        <w:rPr>
          <w:color w:val="231F20"/>
        </w:rPr>
        <w:t>exercer</w:t>
      </w:r>
      <w:r>
        <w:rPr>
          <w:color w:val="231F20"/>
          <w:spacing w:val="14"/>
        </w:rPr>
        <w:t> </w:t>
      </w:r>
      <w:r>
        <w:rPr>
          <w:color w:val="231F20"/>
        </w:rPr>
        <w:t>en</w:t>
      </w:r>
      <w:r>
        <w:rPr>
          <w:color w:val="231F20"/>
          <w:spacing w:val="15"/>
        </w:rPr>
        <w:t> </w:t>
      </w:r>
      <w:r>
        <w:rPr>
          <w:color w:val="231F20"/>
        </w:rPr>
        <w:t>temps</w:t>
      </w:r>
      <w:r>
        <w:rPr>
          <w:color w:val="231F20"/>
          <w:spacing w:val="14"/>
        </w:rPr>
        <w:t> </w:t>
      </w:r>
      <w:r>
        <w:rPr>
          <w:color w:val="231F20"/>
        </w:rPr>
        <w:t>utile.</w:t>
      </w:r>
    </w:p>
    <w:p>
      <w:pPr>
        <w:pStyle w:val="BodyText"/>
        <w:spacing w:before="8"/>
        <w:ind w:left="0" w:right="0" w:firstLine="0"/>
        <w:jc w:val="left"/>
        <w:rPr>
          <w:sz w:val="22"/>
        </w:rPr>
      </w:pPr>
    </w:p>
    <w:p>
      <w:pPr>
        <w:pStyle w:val="BodyText"/>
        <w:ind w:left="283" w:right="0" w:firstLine="0"/>
        <w:jc w:val="left"/>
      </w:pPr>
      <w:r>
        <w:rPr>
          <w:color w:val="231F20"/>
        </w:rPr>
        <w:t>Sous-section 2. Limitation du droit de préférence.</w:t>
      </w:r>
    </w:p>
    <w:p>
      <w:pPr>
        <w:pStyle w:val="BodyText"/>
        <w:spacing w:line="218" w:lineRule="auto" w:before="93"/>
        <w:ind w:right="38"/>
      </w:pPr>
      <w:r>
        <w:rPr>
          <w:color w:val="231F20"/>
        </w:rPr>
        <w:t>Art. 7:190. Les statuts ne peuvent ni limiter ni supprimer le droit de préférence.</w:t>
      </w:r>
    </w:p>
    <w:p>
      <w:pPr>
        <w:pStyle w:val="BodyText"/>
        <w:spacing w:line="218" w:lineRule="auto" w:before="96"/>
        <w:ind w:right="38"/>
      </w:pPr>
      <w:r>
        <w:rPr>
          <w:color w:val="231F20"/>
        </w:rPr>
        <w:t>Art. 7:191. L’assemblée générale appelée à délibérer et à statuer sur l’augmentation du capital, sur l’émission d’obligations convertibles ou sur l’émission de droits de souscription peut, dans l’intérêt social, dans le respect des conditions de quorum et de majorité requises pour la modification des statuts, limiter ou supprimer le droit de préférence. Cette proposition doit être spécialement annoncée dans la convocation.</w:t>
      </w:r>
    </w:p>
    <w:p>
      <w:pPr>
        <w:pStyle w:val="BodyText"/>
        <w:spacing w:before="4"/>
        <w:ind w:left="0" w:right="0" w:firstLine="0"/>
        <w:jc w:val="left"/>
        <w:rPr>
          <w:sz w:val="24"/>
        </w:rPr>
      </w:pPr>
    </w:p>
    <w:p>
      <w:pPr>
        <w:pStyle w:val="BodyText"/>
        <w:spacing w:line="211" w:lineRule="auto" w:before="1"/>
        <w:ind w:right="38"/>
      </w:pPr>
      <w:r>
        <w:rPr>
          <w:color w:val="231F20"/>
        </w:rPr>
        <w:t>Dans ce cas l’organe d’administration justifie dans le rapport rédigé conformément à l’article 7:179, § 1</w:t>
      </w:r>
      <w:r>
        <w:rPr>
          <w:color w:val="231F20"/>
          <w:position w:val="7"/>
          <w:sz w:val="11"/>
        </w:rPr>
        <w:t>er</w:t>
      </w:r>
      <w:r>
        <w:rPr>
          <w:color w:val="231F20"/>
        </w:rPr>
        <w:t>, alinéa 1</w:t>
      </w:r>
      <w:r>
        <w:rPr>
          <w:color w:val="231F20"/>
          <w:position w:val="7"/>
          <w:sz w:val="11"/>
        </w:rPr>
        <w:t>er</w:t>
      </w:r>
      <w:r>
        <w:rPr>
          <w:color w:val="231F20"/>
        </w:rPr>
        <w:t>, ou à l’article 7:180, alinéa 1</w:t>
      </w:r>
      <w:r>
        <w:rPr>
          <w:color w:val="231F20"/>
          <w:position w:val="7"/>
          <w:sz w:val="11"/>
        </w:rPr>
        <w:t>er</w:t>
      </w:r>
      <w:r>
        <w:rPr>
          <w:color w:val="231F20"/>
        </w:rPr>
        <w:t>, explicitement les raisons de la limitation ou de la suppression du droit de préférence et indique quelles en sont les conséquences pour les</w:t>
      </w:r>
      <w:r>
        <w:rPr>
          <w:color w:val="231F20"/>
          <w:spacing w:val="14"/>
        </w:rPr>
        <w:t> </w:t>
      </w:r>
      <w:r>
        <w:rPr>
          <w:color w:val="231F20"/>
        </w:rPr>
        <w:t>droits</w:t>
      </w:r>
      <w:r>
        <w:rPr>
          <w:color w:val="231F20"/>
          <w:spacing w:val="14"/>
        </w:rPr>
        <w:t> </w:t>
      </w:r>
      <w:r>
        <w:rPr>
          <w:color w:val="231F20"/>
        </w:rPr>
        <w:t>patrimoniaux</w:t>
      </w:r>
      <w:r>
        <w:rPr>
          <w:color w:val="231F20"/>
          <w:spacing w:val="15"/>
        </w:rPr>
        <w:t> </w:t>
      </w:r>
      <w:r>
        <w:rPr>
          <w:color w:val="231F20"/>
        </w:rPr>
        <w:t>et</w:t>
      </w:r>
      <w:r>
        <w:rPr>
          <w:color w:val="231F20"/>
          <w:spacing w:val="14"/>
        </w:rPr>
        <w:t> </w:t>
      </w:r>
      <w:r>
        <w:rPr>
          <w:color w:val="231F20"/>
        </w:rPr>
        <w:t>les</w:t>
      </w:r>
      <w:r>
        <w:rPr>
          <w:color w:val="231F20"/>
          <w:spacing w:val="15"/>
        </w:rPr>
        <w:t> </w:t>
      </w:r>
      <w:r>
        <w:rPr>
          <w:color w:val="231F20"/>
        </w:rPr>
        <w:t>droits</w:t>
      </w:r>
      <w:r>
        <w:rPr>
          <w:color w:val="231F20"/>
          <w:spacing w:val="14"/>
        </w:rPr>
        <w:t> </w:t>
      </w:r>
      <w:r>
        <w:rPr>
          <w:color w:val="231F20"/>
        </w:rPr>
        <w:t>sociaux</w:t>
      </w:r>
      <w:r>
        <w:rPr>
          <w:color w:val="231F20"/>
          <w:spacing w:val="15"/>
        </w:rPr>
        <w:t> </w:t>
      </w:r>
      <w:r>
        <w:rPr>
          <w:color w:val="231F20"/>
        </w:rPr>
        <w:t>des</w:t>
      </w:r>
      <w:r>
        <w:rPr>
          <w:color w:val="231F20"/>
          <w:spacing w:val="14"/>
        </w:rPr>
        <w:t> </w:t>
      </w:r>
      <w:r>
        <w:rPr>
          <w:color w:val="231F20"/>
        </w:rPr>
        <w:t>actionnaires.</w:t>
      </w:r>
    </w:p>
    <w:p>
      <w:pPr>
        <w:pStyle w:val="BodyText"/>
        <w:spacing w:line="218" w:lineRule="auto" w:before="75"/>
        <w:ind w:right="38"/>
      </w:pPr>
      <w:r>
        <w:rPr>
          <w:color w:val="231F20"/>
        </w:rPr>
        <w:t>Le commissaire évalue dans le rapport visé à l’article 7:179, § 1</w:t>
      </w:r>
      <w:r>
        <w:rPr>
          <w:color w:val="231F20"/>
          <w:position w:val="7"/>
          <w:sz w:val="11"/>
        </w:rPr>
        <w:t>er</w:t>
      </w:r>
      <w:r>
        <w:rPr>
          <w:color w:val="231F20"/>
        </w:rPr>
        <w:t>, alinéa 2, ou à l’article 7:180, alinéa 2, si les données financières et comptables contenues dans le rapport que l’organe d’administration a établi conformément à l’alinéa 2 sont fidèles et suffisantes dans tous leurs aspects significatifs pour éclairer l’assemblée générale appelée à voter sur cette proposition. Lorsqu’il n’y a pas de commissaire, cette évaluation est faite par un réviseur d’entreprises ou un expert- comptable externe désigné par l’organe d’administration.</w:t>
      </w:r>
    </w:p>
    <w:p>
      <w:pPr>
        <w:pStyle w:val="BodyText"/>
        <w:spacing w:line="218" w:lineRule="auto" w:before="119"/>
        <w:ind w:firstLine="0"/>
      </w:pPr>
      <w:r>
        <w:rPr/>
        <w:br w:type="column"/>
      </w:r>
      <w:r>
        <w:rPr>
          <w:color w:val="231F20"/>
        </w:rPr>
        <w:t>van zijn effect heeft gevraagd, aan de obligatiehouder wiens obligaties werden vervangen door aandelen, en aan de houder van het inschrij- vingsrecht die zijn recht heeft uitgeoefend. In de statuten worden het bedrag van het kapitaal en het aantal aandelen aangepast.</w:t>
      </w:r>
    </w:p>
    <w:p>
      <w:pPr>
        <w:pStyle w:val="BodyText"/>
        <w:spacing w:line="324" w:lineRule="auto" w:before="72"/>
        <w:ind w:left="283" w:right="0" w:firstLine="0"/>
        <w:jc w:val="left"/>
      </w:pPr>
      <w:r>
        <w:rPr>
          <w:color w:val="231F20"/>
        </w:rPr>
        <w:t>Afdeling 2. Kapitaalverhoging bij wijze van inbreng in geld. Onderafdeling 1. Voorkeurrecht.</w:t>
      </w:r>
    </w:p>
    <w:p>
      <w:pPr>
        <w:pStyle w:val="BodyText"/>
        <w:spacing w:line="218" w:lineRule="auto" w:before="15"/>
      </w:pPr>
      <w:r>
        <w:rPr>
          <w:color w:val="231F20"/>
        </w:rPr>
        <w:t>Art. 7:188. De aandelen waarop in geld wordt ingeschreven, de converteerbare obligaties en de inschrijvingsrechten, moeten eerst worden aangeboden aan de bestaande aandeelhouders, naar evenre- digheid van het deel van het kapitaal door hun aandelen vertegenwoor- digd.</w:t>
      </w:r>
    </w:p>
    <w:p>
      <w:pPr>
        <w:pStyle w:val="BodyText"/>
        <w:spacing w:line="218" w:lineRule="auto" w:before="86"/>
      </w:pPr>
      <w:r>
        <w:rPr>
          <w:color w:val="231F20"/>
        </w:rPr>
        <w:t>Zijn er verschillende soorten van aandelen, dan komt het voorkeur- recht eerst aan de houders van aandelen van de uit te geven soort toe. De uitgifte gebeurt met naleving van artikel 7:155, tenzij de uitgifte binnen elke soort plaatsvindt naar evenredigheid met het aantal aandelen dat de aandeelhouders binnen elke soort bezitten. Aan de houders van aandelen van een andere soort dan de uit te geven aandelen komt slechts een voorkeurrecht toe inzoverre de houders van aandelen van de soort waarin nieuwe aandelen  worden  uitgegeven, van</w:t>
      </w:r>
      <w:r>
        <w:rPr>
          <w:color w:val="231F20"/>
          <w:spacing w:val="15"/>
        </w:rPr>
        <w:t> </w:t>
      </w:r>
      <w:r>
        <w:rPr>
          <w:color w:val="231F20"/>
        </w:rPr>
        <w:t>dit</w:t>
      </w:r>
      <w:r>
        <w:rPr>
          <w:color w:val="231F20"/>
          <w:spacing w:val="16"/>
        </w:rPr>
        <w:t> </w:t>
      </w:r>
      <w:r>
        <w:rPr>
          <w:color w:val="231F20"/>
        </w:rPr>
        <w:t>recht</w:t>
      </w:r>
      <w:r>
        <w:rPr>
          <w:color w:val="231F20"/>
          <w:spacing w:val="15"/>
        </w:rPr>
        <w:t> </w:t>
      </w:r>
      <w:r>
        <w:rPr>
          <w:color w:val="231F20"/>
        </w:rPr>
        <w:t>geen</w:t>
      </w:r>
      <w:r>
        <w:rPr>
          <w:color w:val="231F20"/>
          <w:spacing w:val="16"/>
        </w:rPr>
        <w:t> </w:t>
      </w:r>
      <w:r>
        <w:rPr>
          <w:color w:val="231F20"/>
        </w:rPr>
        <w:t>gebruik</w:t>
      </w:r>
      <w:r>
        <w:rPr>
          <w:color w:val="231F20"/>
          <w:spacing w:val="15"/>
        </w:rPr>
        <w:t> </w:t>
      </w:r>
      <w:r>
        <w:rPr>
          <w:color w:val="231F20"/>
        </w:rPr>
        <w:t>hebben</w:t>
      </w:r>
      <w:r>
        <w:rPr>
          <w:color w:val="231F20"/>
          <w:spacing w:val="16"/>
        </w:rPr>
        <w:t> </w:t>
      </w:r>
      <w:r>
        <w:rPr>
          <w:color w:val="231F20"/>
        </w:rPr>
        <w:t>gemaakt.</w:t>
      </w:r>
    </w:p>
    <w:p>
      <w:pPr>
        <w:pStyle w:val="BodyText"/>
        <w:spacing w:line="218" w:lineRule="auto" w:before="86"/>
      </w:pPr>
      <w:r>
        <w:rPr>
          <w:color w:val="231F20"/>
        </w:rPr>
        <w:t>Het voorkeurrecht bedoeld in het eerste lid geldt onverkort bij de uitgifte van aandelen van een nieuwe soort, ongeacht het bestaan van verschillende soorten van aandelen.</w:t>
      </w:r>
    </w:p>
    <w:p>
      <w:pPr>
        <w:pStyle w:val="BodyText"/>
        <w:spacing w:line="218" w:lineRule="auto" w:before="96"/>
      </w:pPr>
      <w:r>
        <w:rPr>
          <w:color w:val="231F20"/>
        </w:rPr>
        <w:t>Art. 7:189. Het voorkeurrecht kan worden uitgeoefend  gedurende een termijn van ten minste vijftien dagen te rekenen van de dag van de openstelling van de inschrijving. Die termijn wordt bepaald door de algemene vergadering of, wanneer tot verhoging wordt besloten in het kader</w:t>
      </w:r>
      <w:r>
        <w:rPr>
          <w:color w:val="231F20"/>
          <w:spacing w:val="15"/>
        </w:rPr>
        <w:t> </w:t>
      </w:r>
      <w:r>
        <w:rPr>
          <w:color w:val="231F20"/>
        </w:rPr>
        <w:t>van</w:t>
      </w:r>
      <w:r>
        <w:rPr>
          <w:color w:val="231F20"/>
          <w:spacing w:val="16"/>
        </w:rPr>
        <w:t> </w:t>
      </w:r>
      <w:r>
        <w:rPr>
          <w:color w:val="231F20"/>
        </w:rPr>
        <w:t>het</w:t>
      </w:r>
      <w:r>
        <w:rPr>
          <w:color w:val="231F20"/>
          <w:spacing w:val="16"/>
        </w:rPr>
        <w:t> </w:t>
      </w:r>
      <w:r>
        <w:rPr>
          <w:color w:val="231F20"/>
        </w:rPr>
        <w:t>toegestane</w:t>
      </w:r>
      <w:r>
        <w:rPr>
          <w:color w:val="231F20"/>
          <w:spacing w:val="16"/>
        </w:rPr>
        <w:t> </w:t>
      </w:r>
      <w:r>
        <w:rPr>
          <w:color w:val="231F20"/>
        </w:rPr>
        <w:t>kapitaal,</w:t>
      </w:r>
      <w:r>
        <w:rPr>
          <w:color w:val="231F20"/>
          <w:spacing w:val="16"/>
        </w:rPr>
        <w:t> </w:t>
      </w:r>
      <w:r>
        <w:rPr>
          <w:color w:val="231F20"/>
        </w:rPr>
        <w:t>door</w:t>
      </w:r>
      <w:r>
        <w:rPr>
          <w:color w:val="231F20"/>
          <w:spacing w:val="16"/>
        </w:rPr>
        <w:t> </w:t>
      </w:r>
      <w:r>
        <w:rPr>
          <w:color w:val="231F20"/>
        </w:rPr>
        <w:t>het</w:t>
      </w:r>
      <w:r>
        <w:rPr>
          <w:color w:val="231F20"/>
          <w:spacing w:val="16"/>
        </w:rPr>
        <w:t> </w:t>
      </w:r>
      <w:r>
        <w:rPr>
          <w:color w:val="231F20"/>
        </w:rPr>
        <w:t>bestuursorgaan.</w:t>
      </w:r>
    </w:p>
    <w:p>
      <w:pPr>
        <w:pStyle w:val="BodyText"/>
        <w:spacing w:line="218" w:lineRule="auto" w:before="96"/>
        <w:ind w:right="123"/>
      </w:pPr>
      <w:r>
        <w:rPr>
          <w:color w:val="231F20"/>
        </w:rPr>
        <w:t>De uitgifte met voorkeurrecht en het tijdvak waarin dat kan worden uitgeoefend, worden aangekondigd in een bericht dat, ten minste acht dagen vóór de openstelling, in de Bijlagen bij het </w:t>
      </w:r>
      <w:r>
        <w:rPr>
          <w:rFonts w:ascii="Times New Roman" w:hAnsi="Times New Roman"/>
          <w:i/>
          <w:color w:val="231F20"/>
        </w:rPr>
        <w:t>Belgisch Staatsblad </w:t>
      </w:r>
      <w:r>
        <w:rPr>
          <w:color w:val="231F20"/>
        </w:rPr>
        <w:t>wordt geplaatst, in een nationaal verspreid blad, op papier of elektronisch, evenals, als de vennootschap een vennootschapswebsite heeft als bedoeld in artikel 2:31, op de vennootschapswebsite. </w:t>
      </w:r>
      <w:r>
        <w:rPr>
          <w:color w:val="231F20"/>
          <w:spacing w:val="-3"/>
        </w:rPr>
        <w:t>Wanneer </w:t>
      </w:r>
      <w:r>
        <w:rPr>
          <w:color w:val="231F20"/>
        </w:rPr>
        <w:t>alle</w:t>
      </w:r>
      <w:r>
        <w:rPr>
          <w:color w:val="231F20"/>
          <w:spacing w:val="-4"/>
        </w:rPr>
        <w:t> </w:t>
      </w:r>
      <w:r>
        <w:rPr>
          <w:color w:val="231F20"/>
        </w:rPr>
        <w:t>aandelen,</w:t>
      </w:r>
      <w:r>
        <w:rPr>
          <w:color w:val="231F20"/>
          <w:spacing w:val="-4"/>
        </w:rPr>
        <w:t> </w:t>
      </w:r>
      <w:r>
        <w:rPr>
          <w:color w:val="231F20"/>
        </w:rPr>
        <w:t>de</w:t>
      </w:r>
      <w:r>
        <w:rPr>
          <w:color w:val="231F20"/>
          <w:spacing w:val="-4"/>
        </w:rPr>
        <w:t> </w:t>
      </w:r>
      <w:r>
        <w:rPr>
          <w:color w:val="231F20"/>
        </w:rPr>
        <w:t>converteerbare</w:t>
      </w:r>
      <w:r>
        <w:rPr>
          <w:color w:val="231F20"/>
          <w:spacing w:val="-4"/>
        </w:rPr>
        <w:t> </w:t>
      </w:r>
      <w:r>
        <w:rPr>
          <w:color w:val="231F20"/>
        </w:rPr>
        <w:t>obligaties</w:t>
      </w:r>
      <w:r>
        <w:rPr>
          <w:color w:val="231F20"/>
          <w:spacing w:val="-4"/>
        </w:rPr>
        <w:t> </w:t>
      </w:r>
      <w:r>
        <w:rPr>
          <w:color w:val="231F20"/>
        </w:rPr>
        <w:t>en</w:t>
      </w:r>
      <w:r>
        <w:rPr>
          <w:color w:val="231F20"/>
          <w:spacing w:val="-3"/>
        </w:rPr>
        <w:t> </w:t>
      </w:r>
      <w:r>
        <w:rPr>
          <w:color w:val="231F20"/>
        </w:rPr>
        <w:t>de</w:t>
      </w:r>
      <w:r>
        <w:rPr>
          <w:color w:val="231F20"/>
          <w:spacing w:val="-4"/>
        </w:rPr>
        <w:t> </w:t>
      </w:r>
      <w:r>
        <w:rPr>
          <w:color w:val="231F20"/>
        </w:rPr>
        <w:t>inschrijvingsrechten</w:t>
      </w:r>
      <w:r>
        <w:rPr>
          <w:color w:val="231F20"/>
          <w:spacing w:val="-4"/>
        </w:rPr>
        <w:t> </w:t>
      </w:r>
      <w:r>
        <w:rPr>
          <w:color w:val="231F20"/>
        </w:rPr>
        <w:t>of certificaten die met medewerking van de vennootschap zijn uitgege- ven, op naam zijn, kan de vennootschap volstaan met een mededeling van</w:t>
      </w:r>
      <w:r>
        <w:rPr>
          <w:color w:val="231F20"/>
          <w:spacing w:val="13"/>
        </w:rPr>
        <w:t> </w:t>
      </w:r>
      <w:r>
        <w:rPr>
          <w:color w:val="231F20"/>
        </w:rPr>
        <w:t>het</w:t>
      </w:r>
      <w:r>
        <w:rPr>
          <w:color w:val="231F20"/>
          <w:spacing w:val="13"/>
        </w:rPr>
        <w:t> </w:t>
      </w:r>
      <w:r>
        <w:rPr>
          <w:color w:val="231F20"/>
        </w:rPr>
        <w:t>bericht</w:t>
      </w:r>
      <w:r>
        <w:rPr>
          <w:color w:val="231F20"/>
          <w:spacing w:val="13"/>
        </w:rPr>
        <w:t> </w:t>
      </w:r>
      <w:r>
        <w:rPr>
          <w:color w:val="231F20"/>
        </w:rPr>
        <w:t>aan</w:t>
      </w:r>
      <w:r>
        <w:rPr>
          <w:color w:val="231F20"/>
          <w:spacing w:val="14"/>
        </w:rPr>
        <w:t> </w:t>
      </w:r>
      <w:r>
        <w:rPr>
          <w:color w:val="231F20"/>
        </w:rPr>
        <w:t>alle</w:t>
      </w:r>
      <w:r>
        <w:rPr>
          <w:color w:val="231F20"/>
          <w:spacing w:val="13"/>
        </w:rPr>
        <w:t> </w:t>
      </w:r>
      <w:r>
        <w:rPr>
          <w:color w:val="231F20"/>
        </w:rPr>
        <w:t>aandeelhouders</w:t>
      </w:r>
      <w:r>
        <w:rPr>
          <w:color w:val="231F20"/>
          <w:spacing w:val="13"/>
        </w:rPr>
        <w:t> </w:t>
      </w:r>
      <w:r>
        <w:rPr>
          <w:color w:val="231F20"/>
        </w:rPr>
        <w:t>overeenkomstig</w:t>
      </w:r>
      <w:r>
        <w:rPr>
          <w:color w:val="231F20"/>
          <w:spacing w:val="14"/>
        </w:rPr>
        <w:t> </w:t>
      </w:r>
      <w:r>
        <w:rPr>
          <w:color w:val="231F20"/>
        </w:rPr>
        <w:t>artikel</w:t>
      </w:r>
      <w:r>
        <w:rPr>
          <w:color w:val="231F20"/>
          <w:spacing w:val="13"/>
        </w:rPr>
        <w:t> </w:t>
      </w:r>
      <w:r>
        <w:rPr>
          <w:color w:val="231F20"/>
        </w:rPr>
        <w:t>2:32.</w:t>
      </w:r>
    </w:p>
    <w:p>
      <w:pPr>
        <w:pStyle w:val="BodyText"/>
        <w:spacing w:line="218" w:lineRule="auto" w:before="94"/>
      </w:pPr>
      <w:r>
        <w:rPr>
          <w:color w:val="231F20"/>
        </w:rPr>
        <w:t>De bekendmaking van dat bericht of de mededeling van de inhoud ervan aan de houders van aandelen op naam houden op zichzelf geen openbare aanbieding in.</w:t>
      </w:r>
    </w:p>
    <w:p>
      <w:pPr>
        <w:pStyle w:val="BodyText"/>
        <w:spacing w:line="218" w:lineRule="auto" w:before="97"/>
      </w:pPr>
      <w:r>
        <w:rPr>
          <w:color w:val="231F20"/>
        </w:rPr>
        <w:t>Het voorkeurrecht is verhandelbaar gedurende de gehele inschrij- vingstijd, zonder dat aan die verhandelbaarheid andere beperkingen kunnen worden gesteld dan diegene die van toepassing zijn op het effect waaraan het recht is verbonden. Indien het voorkeurrecht is toegelaten tot de verhandeling op een gereglementeerde markt als bedoeld in artikel 3, 7°, van de wet van 21 november 2017 over de infrastructuren voor de markten voor financiële instrumenten en houdende omzetting van richtlijn 2014/65/EU, kan de verhandelbaar- heid van de voorkeurrechten evenwel toch worden beperkt voor zover dit nodig is om te vermijden dat, rekening houdend met de internatio- nale marktstandaarden voor de afwikkeling van effectentransacties, personen voorkeurrechten verwerven op een tijdstip waarop zij deze redelijkerwijs</w:t>
      </w:r>
      <w:r>
        <w:rPr>
          <w:color w:val="231F20"/>
          <w:spacing w:val="14"/>
        </w:rPr>
        <w:t> </w:t>
      </w:r>
      <w:r>
        <w:rPr>
          <w:color w:val="231F20"/>
        </w:rPr>
        <w:t>niet</w:t>
      </w:r>
      <w:r>
        <w:rPr>
          <w:color w:val="231F20"/>
          <w:spacing w:val="15"/>
        </w:rPr>
        <w:t> </w:t>
      </w:r>
      <w:r>
        <w:rPr>
          <w:color w:val="231F20"/>
        </w:rPr>
        <w:t>meer</w:t>
      </w:r>
      <w:r>
        <w:rPr>
          <w:color w:val="231F20"/>
          <w:spacing w:val="15"/>
        </w:rPr>
        <w:t> </w:t>
      </w:r>
      <w:r>
        <w:rPr>
          <w:color w:val="231F20"/>
        </w:rPr>
        <w:t>tijdig</w:t>
      </w:r>
      <w:r>
        <w:rPr>
          <w:color w:val="231F20"/>
          <w:spacing w:val="15"/>
        </w:rPr>
        <w:t> </w:t>
      </w:r>
      <w:r>
        <w:rPr>
          <w:color w:val="231F20"/>
        </w:rPr>
        <w:t>kunnen</w:t>
      </w:r>
      <w:r>
        <w:rPr>
          <w:color w:val="231F20"/>
          <w:spacing w:val="15"/>
        </w:rPr>
        <w:t> </w:t>
      </w:r>
      <w:r>
        <w:rPr>
          <w:color w:val="231F20"/>
        </w:rPr>
        <w:t>uitoefenen.</w:t>
      </w:r>
    </w:p>
    <w:p>
      <w:pPr>
        <w:pStyle w:val="BodyText"/>
        <w:spacing w:before="82"/>
        <w:ind w:left="283" w:right="0" w:firstLine="0"/>
        <w:jc w:val="left"/>
      </w:pPr>
      <w:r>
        <w:rPr>
          <w:color w:val="231F20"/>
        </w:rPr>
        <w:t>Onderafdeling 2. Beperking van het voorkeurrecht.</w:t>
      </w:r>
    </w:p>
    <w:p>
      <w:pPr>
        <w:pStyle w:val="BodyText"/>
        <w:spacing w:line="218" w:lineRule="auto" w:before="93"/>
      </w:pPr>
      <w:r>
        <w:rPr>
          <w:color w:val="231F20"/>
        </w:rPr>
        <w:t>Art. 7:190. Het voorkeurrecht kan niet door de statuten worden beperkt of opgeheven.</w:t>
      </w:r>
    </w:p>
    <w:p>
      <w:pPr>
        <w:pStyle w:val="BodyText"/>
        <w:spacing w:line="218" w:lineRule="auto" w:before="96"/>
        <w:ind w:right="121"/>
      </w:pPr>
      <w:r>
        <w:rPr>
          <w:color w:val="231F20"/>
        </w:rPr>
        <w:t>Art. 7:191. De algemene vergadering die moet beraadslagen en besluiten over de kapitaalverhoging, over de uitgifte van converteer- bare obligaties of over de uitgifte van inschrijvingsrechten, kan met naleving van de aanwezigheids- en meerderheidsvereisten voorgeschre- ven voor een statutenwijziging, in het belang van de vennootschap het voorkeurrecht beperken of opheffen. Het voorstel daartoe moet</w:t>
      </w:r>
      <w:r>
        <w:rPr>
          <w:color w:val="231F20"/>
          <w:spacing w:val="-16"/>
        </w:rPr>
        <w:t> </w:t>
      </w:r>
      <w:r>
        <w:rPr>
          <w:color w:val="231F20"/>
        </w:rPr>
        <w:t>speciaal in de oproeping worden</w:t>
      </w:r>
      <w:r>
        <w:rPr>
          <w:color w:val="231F20"/>
          <w:spacing w:val="22"/>
        </w:rPr>
        <w:t> </w:t>
      </w:r>
      <w:r>
        <w:rPr>
          <w:color w:val="231F20"/>
        </w:rPr>
        <w:t>vermeld.</w:t>
      </w:r>
    </w:p>
    <w:p>
      <w:pPr>
        <w:pStyle w:val="BodyText"/>
        <w:spacing w:line="185" w:lineRule="exact" w:before="83"/>
        <w:ind w:left="283" w:right="0" w:firstLine="0"/>
        <w:jc w:val="left"/>
      </w:pPr>
      <w:r>
        <w:rPr>
          <w:color w:val="231F20"/>
        </w:rPr>
        <w:t>In dat geval verantwoordt het bestuursorgaan in het in artikel 7:179,</w:t>
      </w:r>
    </w:p>
    <w:p>
      <w:pPr>
        <w:pStyle w:val="BodyText"/>
        <w:spacing w:line="218" w:lineRule="auto" w:before="5"/>
        <w:ind w:firstLine="0"/>
      </w:pPr>
      <w:r>
        <w:rPr>
          <w:color w:val="231F20"/>
        </w:rPr>
        <w:t>§ 1, eerste lid, of in artikel 7:180, eerste lid, bedoelde verslag uitdrukkelijk de redenen voor de beperking of opheffing van het voorkeurrecht en geeft het aan welke de gevolgen daarvan zijn op de vermogens- en lidmaatschapsrechten van de aandeelhouders.</w:t>
      </w:r>
    </w:p>
    <w:p>
      <w:pPr>
        <w:pStyle w:val="BodyText"/>
        <w:spacing w:line="218" w:lineRule="auto" w:before="96"/>
        <w:ind w:right="123"/>
      </w:pPr>
      <w:r>
        <w:rPr>
          <w:color w:val="231F20"/>
        </w:rPr>
        <w:t>In het in artikel 7:179, § 1, tweede lid, of in artikel 7:180, tweede lid, bedoelde verslag beoordeelt de commissaris of de in het verslag, dat het bestuursorgaan overeenkomstig het tweede lid heeft opgesteld, opge- nomen financiële en boekhoudkundige gegevens in alle van materieel belang zijnde opzichten getrouw zijn en voldoende om de algemene vergadering die over het voorstel moet stemmen voor te lichten. Als er geen commissaris is, wordt deze beoordeling verstrekt door een bedrijfsrevisor</w:t>
      </w:r>
      <w:r>
        <w:rPr>
          <w:color w:val="231F20"/>
          <w:spacing w:val="-10"/>
        </w:rPr>
        <w:t> </w:t>
      </w:r>
      <w:r>
        <w:rPr>
          <w:color w:val="231F20"/>
        </w:rPr>
        <w:t>of</w:t>
      </w:r>
      <w:r>
        <w:rPr>
          <w:color w:val="231F20"/>
          <w:spacing w:val="-10"/>
        </w:rPr>
        <w:t> </w:t>
      </w:r>
      <w:r>
        <w:rPr>
          <w:color w:val="231F20"/>
        </w:rPr>
        <w:t>een</w:t>
      </w:r>
      <w:r>
        <w:rPr>
          <w:color w:val="231F20"/>
          <w:spacing w:val="-10"/>
        </w:rPr>
        <w:t> </w:t>
      </w:r>
      <w:r>
        <w:rPr>
          <w:color w:val="231F20"/>
        </w:rPr>
        <w:t>externe</w:t>
      </w:r>
      <w:r>
        <w:rPr>
          <w:color w:val="231F20"/>
          <w:spacing w:val="-9"/>
        </w:rPr>
        <w:t> </w:t>
      </w:r>
      <w:r>
        <w:rPr>
          <w:color w:val="231F20"/>
        </w:rPr>
        <w:t>accountant</w:t>
      </w:r>
      <w:r>
        <w:rPr>
          <w:color w:val="231F20"/>
          <w:spacing w:val="-10"/>
        </w:rPr>
        <w:t> </w:t>
      </w:r>
      <w:r>
        <w:rPr>
          <w:color w:val="231F20"/>
        </w:rPr>
        <w:t>aangewezen</w:t>
      </w:r>
      <w:r>
        <w:rPr>
          <w:color w:val="231F20"/>
          <w:spacing w:val="-10"/>
        </w:rPr>
        <w:t> </w:t>
      </w:r>
      <w:r>
        <w:rPr>
          <w:color w:val="231F20"/>
        </w:rPr>
        <w:t>door</w:t>
      </w:r>
      <w:r>
        <w:rPr>
          <w:color w:val="231F20"/>
          <w:spacing w:val="-9"/>
        </w:rPr>
        <w:t> </w:t>
      </w:r>
      <w:r>
        <w:rPr>
          <w:color w:val="231F20"/>
        </w:rPr>
        <w:t>het</w:t>
      </w:r>
      <w:r>
        <w:rPr>
          <w:color w:val="231F20"/>
          <w:spacing w:val="-10"/>
        </w:rPr>
        <w:t> </w:t>
      </w:r>
      <w:r>
        <w:rPr>
          <w:color w:val="231F20"/>
        </w:rPr>
        <w:t>bestuurs- orgaan.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5752" from="298.170502pt,64.473pt" to="298.170502pt,812.819pt" stroked="true" strokeweight=".533pt" strokecolor="#231f20">
            <v:stroke dashstyle="solid"/>
            <w10:wrap type="none"/>
          </v:line>
        </w:pict>
      </w:r>
      <w:bookmarkStart w:name="_bookmark197" w:id="203"/>
      <w:bookmarkEnd w:id="203"/>
      <w:r>
        <w:rPr/>
      </w:r>
      <w:r>
        <w:rPr>
          <w:color w:val="231F20"/>
        </w:rPr>
        <w:t>En l’absence de la justification prévue à l’alinéa 2, ou de l’évaluation prévue à l’alinéa 3, la décision de l’assemblée générale est nulle.</w:t>
      </w:r>
    </w:p>
    <w:p>
      <w:pPr>
        <w:pStyle w:val="BodyText"/>
        <w:ind w:left="0" w:right="0" w:firstLine="0"/>
        <w:jc w:val="left"/>
        <w:rPr>
          <w:sz w:val="23"/>
        </w:rPr>
      </w:pPr>
    </w:p>
    <w:p>
      <w:pPr>
        <w:pStyle w:val="BodyText"/>
        <w:spacing w:line="218" w:lineRule="auto"/>
        <w:ind w:right="38"/>
      </w:pPr>
      <w:r>
        <w:rPr>
          <w:color w:val="231F20"/>
        </w:rPr>
        <w:t>La décision de l’assemblée générale de limiter ou de supprimer le droit de préférence doit être déposée et publiée conformément aux articles 2:8 et 2:14, 4°.</w:t>
      </w:r>
    </w:p>
    <w:p>
      <w:pPr>
        <w:pStyle w:val="BodyText"/>
        <w:spacing w:line="218" w:lineRule="auto" w:before="85"/>
        <w:ind w:right="38"/>
      </w:pPr>
      <w:r>
        <w:rPr>
          <w:color w:val="231F20"/>
        </w:rPr>
        <w:t>Art. 7:192. Il n’y a pas suppression ou limitation du droit de préférence lorsque, selon la décision relative à l’augmentation du capital, les actions sont souscrites par des banques ou d’autres établissements financiers en vue d’être offertes aux actionnaires confor- mément aux articles 7:188 et 7:189.</w:t>
      </w:r>
    </w:p>
    <w:p>
      <w:pPr>
        <w:pStyle w:val="BodyText"/>
        <w:spacing w:line="218" w:lineRule="auto" w:before="86"/>
        <w:ind w:right="38"/>
      </w:pPr>
      <w:r>
        <w:rPr>
          <w:color w:val="231F20"/>
        </w:rPr>
        <w:t>Il n’y a pas non plus suppression ou limitation du droit de préférence lorsque chaque actionnaire renonce à son droit de préférence lors de la décision de l’assemblée générale d’augmenter le capital.  L’ensemble des actionnaires de la société doit être présent ou </w:t>
      </w:r>
      <w:r>
        <w:rPr>
          <w:color w:val="231F20"/>
          <w:spacing w:val="2"/>
        </w:rPr>
        <w:t>représenté </w:t>
      </w:r>
      <w:r>
        <w:rPr>
          <w:color w:val="231F20"/>
        </w:rPr>
        <w:t>à cette assemblée et renoncer au droit de préférence. Pour les actionnaires représentés, la renonciation doit être faite dans la procuration. La renonciation</w:t>
      </w:r>
      <w:r>
        <w:rPr>
          <w:color w:val="231F20"/>
          <w:spacing w:val="-7"/>
        </w:rPr>
        <w:t> </w:t>
      </w:r>
      <w:r>
        <w:rPr>
          <w:color w:val="231F20"/>
        </w:rPr>
        <w:t>au</w:t>
      </w:r>
      <w:r>
        <w:rPr>
          <w:color w:val="231F20"/>
          <w:spacing w:val="-6"/>
        </w:rPr>
        <w:t> </w:t>
      </w:r>
      <w:r>
        <w:rPr>
          <w:color w:val="231F20"/>
        </w:rPr>
        <w:t>droit</w:t>
      </w:r>
      <w:r>
        <w:rPr>
          <w:color w:val="231F20"/>
          <w:spacing w:val="-6"/>
        </w:rPr>
        <w:t> </w:t>
      </w:r>
      <w:r>
        <w:rPr>
          <w:color w:val="231F20"/>
        </w:rPr>
        <w:t>de</w:t>
      </w:r>
      <w:r>
        <w:rPr>
          <w:color w:val="231F20"/>
          <w:spacing w:val="-6"/>
        </w:rPr>
        <w:t> </w:t>
      </w:r>
      <w:r>
        <w:rPr>
          <w:color w:val="231F20"/>
        </w:rPr>
        <w:t>préférence</w:t>
      </w:r>
      <w:r>
        <w:rPr>
          <w:color w:val="231F20"/>
          <w:spacing w:val="-6"/>
        </w:rPr>
        <w:t> </w:t>
      </w:r>
      <w:r>
        <w:rPr>
          <w:color w:val="231F20"/>
        </w:rPr>
        <w:t>de</w:t>
      </w:r>
      <w:r>
        <w:rPr>
          <w:color w:val="231F20"/>
          <w:spacing w:val="-7"/>
        </w:rPr>
        <w:t> </w:t>
      </w:r>
      <w:r>
        <w:rPr>
          <w:color w:val="231F20"/>
        </w:rPr>
        <w:t>chaque</w:t>
      </w:r>
      <w:r>
        <w:rPr>
          <w:color w:val="231F20"/>
          <w:spacing w:val="-6"/>
        </w:rPr>
        <w:t> </w:t>
      </w:r>
      <w:r>
        <w:rPr>
          <w:color w:val="231F20"/>
        </w:rPr>
        <w:t>actionnaire</w:t>
      </w:r>
      <w:r>
        <w:rPr>
          <w:color w:val="231F20"/>
          <w:spacing w:val="-6"/>
        </w:rPr>
        <w:t> </w:t>
      </w:r>
      <w:r>
        <w:rPr>
          <w:color w:val="231F20"/>
        </w:rPr>
        <w:t>est</w:t>
      </w:r>
      <w:r>
        <w:rPr>
          <w:color w:val="231F20"/>
          <w:spacing w:val="-6"/>
        </w:rPr>
        <w:t> </w:t>
      </w:r>
      <w:r>
        <w:rPr>
          <w:color w:val="231F20"/>
        </w:rPr>
        <w:t>actée</w:t>
      </w:r>
      <w:r>
        <w:rPr>
          <w:color w:val="231F20"/>
          <w:spacing w:val="-6"/>
        </w:rPr>
        <w:t> </w:t>
      </w:r>
      <w:r>
        <w:rPr>
          <w:color w:val="231F20"/>
        </w:rPr>
        <w:t>dans l’acte</w:t>
      </w:r>
      <w:r>
        <w:rPr>
          <w:color w:val="231F20"/>
          <w:spacing w:val="17"/>
        </w:rPr>
        <w:t> </w:t>
      </w:r>
      <w:r>
        <w:rPr>
          <w:color w:val="231F20"/>
        </w:rPr>
        <w:t>authentique</w:t>
      </w:r>
      <w:r>
        <w:rPr>
          <w:color w:val="231F20"/>
          <w:spacing w:val="17"/>
        </w:rPr>
        <w:t> </w:t>
      </w:r>
      <w:r>
        <w:rPr>
          <w:color w:val="231F20"/>
        </w:rPr>
        <w:t>relatif</w:t>
      </w:r>
      <w:r>
        <w:rPr>
          <w:color w:val="231F20"/>
          <w:spacing w:val="17"/>
        </w:rPr>
        <w:t> </w:t>
      </w:r>
      <w:r>
        <w:rPr>
          <w:color w:val="231F20"/>
        </w:rPr>
        <w:t>à</w:t>
      </w:r>
      <w:r>
        <w:rPr>
          <w:color w:val="231F20"/>
          <w:spacing w:val="17"/>
        </w:rPr>
        <w:t> </w:t>
      </w:r>
      <w:r>
        <w:rPr>
          <w:color w:val="231F20"/>
        </w:rPr>
        <w:t>la</w:t>
      </w:r>
      <w:r>
        <w:rPr>
          <w:color w:val="231F20"/>
          <w:spacing w:val="17"/>
        </w:rPr>
        <w:t> </w:t>
      </w:r>
      <w:r>
        <w:rPr>
          <w:color w:val="231F20"/>
        </w:rPr>
        <w:t>décision</w:t>
      </w:r>
      <w:r>
        <w:rPr>
          <w:color w:val="231F20"/>
          <w:spacing w:val="17"/>
        </w:rPr>
        <w:t> </w:t>
      </w:r>
      <w:r>
        <w:rPr>
          <w:color w:val="231F20"/>
        </w:rPr>
        <w:t>d’augmentation</w:t>
      </w:r>
      <w:r>
        <w:rPr>
          <w:color w:val="231F20"/>
          <w:spacing w:val="17"/>
        </w:rPr>
        <w:t> </w:t>
      </w:r>
      <w:r>
        <w:rPr>
          <w:color w:val="231F20"/>
        </w:rPr>
        <w:t>du</w:t>
      </w:r>
      <w:r>
        <w:rPr>
          <w:color w:val="231F20"/>
          <w:spacing w:val="17"/>
        </w:rPr>
        <w:t> </w:t>
      </w:r>
      <w:r>
        <w:rPr>
          <w:color w:val="231F20"/>
        </w:rPr>
        <w:t>capital.</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rPr>
        <w:t>Art. 7:193. § 1</w:t>
      </w:r>
      <w:r>
        <w:rPr>
          <w:color w:val="231F20"/>
          <w:position w:val="7"/>
          <w:sz w:val="11"/>
        </w:rPr>
        <w:t>er</w:t>
      </w:r>
      <w:r>
        <w:rPr>
          <w:color w:val="231F20"/>
        </w:rPr>
        <w:t>. Quand le droit de préférence est limité ou supprimé en faveur d’une ou plusieurs personnes déterminées qui ne sont pas membres du personnel, l’identité du ou des bénéficiaire(s) de la limitation ou de la suppression du droit de préférence doit être mentionnée dans le rapport établi par l’organe d’administration ainsi que dans la convocation.</w:t>
      </w:r>
    </w:p>
    <w:p>
      <w:pPr>
        <w:pStyle w:val="BodyText"/>
        <w:spacing w:line="218" w:lineRule="auto" w:before="86"/>
        <w:ind w:right="38"/>
      </w:pPr>
      <w:r>
        <w:rPr>
          <w:color w:val="231F20"/>
        </w:rPr>
        <w:t>Le rapport établi par l’organe d’administration conformément à l’article 7:191, alinéa 2, justifie en détail l’opération et le prix d’émission au regard de l’intérêt social, en tenant compte en particulier de la situation financière de la société, de l’identité des bénéficiaires, de la nature et de l’importance de leur apport.</w:t>
      </w:r>
    </w:p>
    <w:p>
      <w:pPr>
        <w:pStyle w:val="BodyText"/>
        <w:spacing w:line="218" w:lineRule="auto" w:before="85"/>
        <w:ind w:right="38"/>
      </w:pPr>
      <w:r>
        <w:rPr>
          <w:color w:val="231F20"/>
        </w:rPr>
        <w:t>Le commissaire donne dans le rapport visé à l’article 7:191, alinéa 3, une évaluation circonstanciée de la justification du prix d’émission. Lorsqu’il n’y a pas de commissaire, cette évaluation est faite par un réviseur d’entreprises ou un expert-comptable externe désigné par l’organe d’administration.</w:t>
      </w:r>
    </w:p>
    <w:p>
      <w:pPr>
        <w:pStyle w:val="BodyText"/>
        <w:spacing w:line="218" w:lineRule="auto" w:before="86"/>
        <w:ind w:right="38"/>
      </w:pPr>
      <w:r>
        <w:rPr>
          <w:color w:val="231F20"/>
        </w:rPr>
        <w:t>En l’absence de la justification visée à l’alinéa 2, ou de l’évaluation visée à l’alinéa 3, la décision de l’assemblée générale est nulle.</w:t>
      </w:r>
    </w:p>
    <w:p>
      <w:pPr>
        <w:pStyle w:val="BodyText"/>
        <w:ind w:left="0" w:right="0" w:firstLine="0"/>
        <w:jc w:val="left"/>
        <w:rPr>
          <w:sz w:val="23"/>
        </w:rPr>
      </w:pPr>
    </w:p>
    <w:p>
      <w:pPr>
        <w:pStyle w:val="BodyText"/>
        <w:spacing w:line="218" w:lineRule="auto"/>
        <w:ind w:right="38"/>
      </w:pPr>
      <w:r>
        <w:rPr>
          <w:color w:val="231F20"/>
        </w:rPr>
        <w:t>Si un bénéficiaire détient des titres de la société auxquels sont attachés plus de 10 % des droits de vote, il ne peut participer au vote lors de l’assemblée générale qui se prononce sur l’opération.</w:t>
      </w:r>
    </w:p>
    <w:p>
      <w:pPr>
        <w:pStyle w:val="BodyText"/>
        <w:spacing w:line="440" w:lineRule="atLeast" w:before="11"/>
        <w:ind w:left="283" w:right="0" w:firstLine="0"/>
        <w:jc w:val="left"/>
      </w:pPr>
      <w:r>
        <w:rPr>
          <w:color w:val="231F20"/>
        </w:rPr>
        <w:t>Aux titres détenus par cet actionnaire, sont ajoutés les titres détenus: 1° par un tiers agissant en son nom propre, mais pour le compte de</w:t>
      </w:r>
    </w:p>
    <w:p>
      <w:pPr>
        <w:pStyle w:val="BodyText"/>
        <w:spacing w:line="183" w:lineRule="exact"/>
        <w:ind w:right="0" w:firstLine="0"/>
        <w:jc w:val="left"/>
      </w:pPr>
      <w:r>
        <w:rPr>
          <w:color w:val="231F20"/>
        </w:rPr>
        <w:t>l’actionnaire visé;</w:t>
      </w:r>
    </w:p>
    <w:p>
      <w:pPr>
        <w:pStyle w:val="BodyText"/>
        <w:spacing w:before="79"/>
        <w:ind w:left="283" w:right="0" w:firstLine="0"/>
        <w:jc w:val="left"/>
      </w:pPr>
      <w:r>
        <w:rPr>
          <w:color w:val="231F20"/>
        </w:rPr>
        <w:t>2° par une personne physique ou morale liée à l’actionnaire visé;</w:t>
      </w:r>
    </w:p>
    <w:p>
      <w:pPr>
        <w:pStyle w:val="BodyText"/>
        <w:spacing w:before="7"/>
        <w:ind w:left="0" w:right="0" w:firstLine="0"/>
        <w:jc w:val="left"/>
        <w:rPr>
          <w:sz w:val="23"/>
        </w:rPr>
      </w:pPr>
    </w:p>
    <w:p>
      <w:pPr>
        <w:pStyle w:val="BodyText"/>
        <w:spacing w:line="218" w:lineRule="auto"/>
        <w:ind w:right="38"/>
      </w:pPr>
      <w:r>
        <w:rPr>
          <w:color w:val="231F20"/>
        </w:rPr>
        <w:t>3° par un tiers agissant en son nom propre, mais pour le compte d’une personne physique ou morale liée à l’actionnaire visé;</w:t>
      </w:r>
    </w:p>
    <w:p>
      <w:pPr>
        <w:pStyle w:val="BodyText"/>
        <w:spacing w:before="8"/>
        <w:ind w:left="0" w:right="0" w:firstLine="0"/>
        <w:jc w:val="left"/>
        <w:rPr>
          <w:sz w:val="22"/>
        </w:rPr>
      </w:pPr>
    </w:p>
    <w:p>
      <w:pPr>
        <w:pStyle w:val="BodyText"/>
        <w:ind w:left="283" w:right="0" w:firstLine="0"/>
        <w:jc w:val="left"/>
      </w:pPr>
      <w:r>
        <w:rPr>
          <w:color w:val="231F20"/>
        </w:rPr>
        <w:t>4° par des personnes agissant de concert.</w:t>
      </w:r>
    </w:p>
    <w:p>
      <w:pPr>
        <w:pStyle w:val="BodyText"/>
        <w:spacing w:before="79"/>
        <w:ind w:left="284" w:right="0" w:firstLine="0"/>
        <w:jc w:val="left"/>
      </w:pPr>
      <w:r>
        <w:rPr>
          <w:color w:val="231F20"/>
        </w:rPr>
        <w:t>Par personnes agissant de concert, il faut entendre:</w:t>
      </w:r>
    </w:p>
    <w:p>
      <w:pPr>
        <w:pStyle w:val="ListParagraph"/>
        <w:numPr>
          <w:ilvl w:val="0"/>
          <w:numId w:val="123"/>
        </w:numPr>
        <w:tabs>
          <w:tab w:pos="468" w:val="left" w:leader="none"/>
        </w:tabs>
        <w:spacing w:line="218" w:lineRule="auto" w:before="90" w:after="0"/>
        <w:ind w:left="113" w:right="38" w:firstLine="171"/>
        <w:jc w:val="both"/>
        <w:rPr>
          <w:sz w:val="17"/>
        </w:rPr>
      </w:pPr>
      <w:r>
        <w:rPr>
          <w:color w:val="231F20"/>
          <w:sz w:val="17"/>
        </w:rPr>
        <w:t>les personnes physiques ou morales qui, dans le cadre d’une </w:t>
      </w:r>
      <w:r>
        <w:rPr>
          <w:color w:val="231F20"/>
          <w:spacing w:val="-4"/>
          <w:sz w:val="17"/>
        </w:rPr>
        <w:t>offre </w:t>
      </w:r>
      <w:r>
        <w:rPr>
          <w:color w:val="231F20"/>
          <w:sz w:val="17"/>
        </w:rPr>
        <w:t>publique d’acquisition, coopèrent avec l’offrant, avec la société visée ou avec d’autres personnes, sur la base d’un accord, formel ou tacite, oral ou écrit, visant à obtenir le contrôle de la société visée, à faire échouer une</w:t>
      </w:r>
      <w:r>
        <w:rPr>
          <w:color w:val="231F20"/>
          <w:spacing w:val="15"/>
          <w:sz w:val="17"/>
        </w:rPr>
        <w:t> </w:t>
      </w:r>
      <w:r>
        <w:rPr>
          <w:color w:val="231F20"/>
          <w:spacing w:val="-4"/>
          <w:sz w:val="17"/>
        </w:rPr>
        <w:t>offre</w:t>
      </w:r>
      <w:r>
        <w:rPr>
          <w:color w:val="231F20"/>
          <w:spacing w:val="15"/>
          <w:sz w:val="17"/>
        </w:rPr>
        <w:t> </w:t>
      </w:r>
      <w:r>
        <w:rPr>
          <w:color w:val="231F20"/>
          <w:sz w:val="17"/>
        </w:rPr>
        <w:t>ou</w:t>
      </w:r>
      <w:r>
        <w:rPr>
          <w:color w:val="231F20"/>
          <w:spacing w:val="15"/>
          <w:sz w:val="17"/>
        </w:rPr>
        <w:t> </w:t>
      </w:r>
      <w:r>
        <w:rPr>
          <w:color w:val="231F20"/>
          <w:sz w:val="17"/>
        </w:rPr>
        <w:t>à</w:t>
      </w:r>
      <w:r>
        <w:rPr>
          <w:color w:val="231F20"/>
          <w:spacing w:val="15"/>
          <w:sz w:val="17"/>
        </w:rPr>
        <w:t> </w:t>
      </w:r>
      <w:r>
        <w:rPr>
          <w:color w:val="231F20"/>
          <w:sz w:val="17"/>
        </w:rPr>
        <w:t>maintenir</w:t>
      </w:r>
      <w:r>
        <w:rPr>
          <w:color w:val="231F20"/>
          <w:spacing w:val="15"/>
          <w:sz w:val="17"/>
        </w:rPr>
        <w:t> </w:t>
      </w:r>
      <w:r>
        <w:rPr>
          <w:color w:val="231F20"/>
          <w:sz w:val="17"/>
        </w:rPr>
        <w:t>le</w:t>
      </w:r>
      <w:r>
        <w:rPr>
          <w:color w:val="231F20"/>
          <w:spacing w:val="15"/>
          <w:sz w:val="17"/>
        </w:rPr>
        <w:t> </w:t>
      </w:r>
      <w:r>
        <w:rPr>
          <w:color w:val="231F20"/>
          <w:sz w:val="17"/>
        </w:rPr>
        <w:t>contrôle</w:t>
      </w:r>
      <w:r>
        <w:rPr>
          <w:color w:val="231F20"/>
          <w:spacing w:val="15"/>
          <w:sz w:val="17"/>
        </w:rPr>
        <w:t> </w:t>
      </w:r>
      <w:r>
        <w:rPr>
          <w:color w:val="231F20"/>
          <w:sz w:val="17"/>
        </w:rPr>
        <w:t>de</w:t>
      </w:r>
      <w:r>
        <w:rPr>
          <w:color w:val="231F20"/>
          <w:spacing w:val="15"/>
          <w:sz w:val="17"/>
        </w:rPr>
        <w:t> </w:t>
      </w:r>
      <w:r>
        <w:rPr>
          <w:color w:val="231F20"/>
          <w:sz w:val="17"/>
        </w:rPr>
        <w:t>la</w:t>
      </w:r>
      <w:r>
        <w:rPr>
          <w:color w:val="231F20"/>
          <w:spacing w:val="15"/>
          <w:sz w:val="17"/>
        </w:rPr>
        <w:t> </w:t>
      </w:r>
      <w:r>
        <w:rPr>
          <w:color w:val="231F20"/>
          <w:sz w:val="17"/>
        </w:rPr>
        <w:t>société</w:t>
      </w:r>
      <w:r>
        <w:rPr>
          <w:color w:val="231F20"/>
          <w:spacing w:val="15"/>
          <w:sz w:val="17"/>
        </w:rPr>
        <w:t> </w:t>
      </w:r>
      <w:r>
        <w:rPr>
          <w:color w:val="231F20"/>
          <w:sz w:val="17"/>
        </w:rPr>
        <w:t>visée;</w:t>
      </w:r>
    </w:p>
    <w:p>
      <w:pPr>
        <w:pStyle w:val="BodyText"/>
        <w:ind w:left="0" w:right="0" w:firstLine="0"/>
        <w:jc w:val="left"/>
        <w:rPr>
          <w:sz w:val="20"/>
        </w:rPr>
      </w:pPr>
    </w:p>
    <w:p>
      <w:pPr>
        <w:pStyle w:val="BodyText"/>
        <w:spacing w:before="2"/>
        <w:ind w:left="0" w:right="0" w:firstLine="0"/>
        <w:jc w:val="left"/>
        <w:rPr>
          <w:sz w:val="19"/>
        </w:rPr>
      </w:pPr>
    </w:p>
    <w:p>
      <w:pPr>
        <w:pStyle w:val="ListParagraph"/>
        <w:numPr>
          <w:ilvl w:val="0"/>
          <w:numId w:val="123"/>
        </w:numPr>
        <w:tabs>
          <w:tab w:pos="504" w:val="left" w:leader="none"/>
        </w:tabs>
        <w:spacing w:line="218" w:lineRule="auto" w:before="0" w:after="0"/>
        <w:ind w:left="113" w:right="38" w:firstLine="171"/>
        <w:jc w:val="both"/>
        <w:rPr>
          <w:sz w:val="17"/>
        </w:rPr>
      </w:pPr>
      <w:r>
        <w:rPr>
          <w:color w:val="231F20"/>
          <w:sz w:val="17"/>
        </w:rPr>
        <w:t>les personnes physiques ou morales qui ont conclu un accord portant sur l’exercice concerté de leurs droits de vote, en vue de mener une</w:t>
      </w:r>
      <w:r>
        <w:rPr>
          <w:color w:val="231F20"/>
          <w:spacing w:val="16"/>
          <w:sz w:val="17"/>
        </w:rPr>
        <w:t> </w:t>
      </w:r>
      <w:r>
        <w:rPr>
          <w:color w:val="231F20"/>
          <w:sz w:val="17"/>
        </w:rPr>
        <w:t>politique</w:t>
      </w:r>
      <w:r>
        <w:rPr>
          <w:color w:val="231F20"/>
          <w:spacing w:val="16"/>
          <w:sz w:val="17"/>
        </w:rPr>
        <w:t> </w:t>
      </w:r>
      <w:r>
        <w:rPr>
          <w:color w:val="231F20"/>
          <w:sz w:val="17"/>
        </w:rPr>
        <w:t>commune</w:t>
      </w:r>
      <w:r>
        <w:rPr>
          <w:color w:val="231F20"/>
          <w:spacing w:val="17"/>
          <w:sz w:val="17"/>
        </w:rPr>
        <w:t> </w:t>
      </w:r>
      <w:r>
        <w:rPr>
          <w:color w:val="231F20"/>
          <w:sz w:val="17"/>
        </w:rPr>
        <w:t>durable</w:t>
      </w:r>
      <w:r>
        <w:rPr>
          <w:color w:val="231F20"/>
          <w:spacing w:val="16"/>
          <w:sz w:val="17"/>
        </w:rPr>
        <w:t> </w:t>
      </w:r>
      <w:r>
        <w:rPr>
          <w:color w:val="231F20"/>
          <w:sz w:val="17"/>
        </w:rPr>
        <w:t>vis-à-vis</w:t>
      </w:r>
      <w:r>
        <w:rPr>
          <w:color w:val="231F20"/>
          <w:spacing w:val="17"/>
          <w:sz w:val="17"/>
        </w:rPr>
        <w:t> </w:t>
      </w:r>
      <w:r>
        <w:rPr>
          <w:color w:val="231F20"/>
          <w:sz w:val="17"/>
        </w:rPr>
        <w:t>de</w:t>
      </w:r>
      <w:r>
        <w:rPr>
          <w:color w:val="231F20"/>
          <w:spacing w:val="16"/>
          <w:sz w:val="17"/>
        </w:rPr>
        <w:t> </w:t>
      </w:r>
      <w:r>
        <w:rPr>
          <w:color w:val="231F20"/>
          <w:sz w:val="17"/>
        </w:rPr>
        <w:t>la</w:t>
      </w:r>
      <w:r>
        <w:rPr>
          <w:color w:val="231F20"/>
          <w:spacing w:val="17"/>
          <w:sz w:val="17"/>
        </w:rPr>
        <w:t> </w:t>
      </w:r>
      <w:r>
        <w:rPr>
          <w:color w:val="231F20"/>
          <w:sz w:val="17"/>
        </w:rPr>
        <w:t>société</w:t>
      </w:r>
      <w:r>
        <w:rPr>
          <w:color w:val="231F20"/>
          <w:spacing w:val="16"/>
          <w:sz w:val="17"/>
        </w:rPr>
        <w:t> </w:t>
      </w:r>
      <w:r>
        <w:rPr>
          <w:color w:val="231F20"/>
          <w:sz w:val="17"/>
        </w:rPr>
        <w:t>concernée.</w:t>
      </w:r>
    </w:p>
    <w:p>
      <w:pPr>
        <w:pStyle w:val="BodyText"/>
        <w:spacing w:before="11"/>
        <w:ind w:left="0" w:right="0" w:firstLine="0"/>
        <w:jc w:val="left"/>
        <w:rPr>
          <w:sz w:val="23"/>
        </w:rPr>
      </w:pPr>
    </w:p>
    <w:p>
      <w:pPr>
        <w:pStyle w:val="BodyText"/>
        <w:spacing w:line="218" w:lineRule="auto"/>
        <w:ind w:right="38"/>
      </w:pPr>
      <w:r>
        <w:rPr>
          <w:color w:val="231F20"/>
        </w:rPr>
        <w:t>Les détenteurs des titres visés à l’alinéa 6 ne peuvent davantage participer au vote. Le quorum de présence et la majorité se calculent après déduction des voix attachées aux titres que possèdent le bénéficiaire et les personnes visées à l’alinéa 6.</w:t>
      </w:r>
    </w:p>
    <w:p>
      <w:pPr>
        <w:pStyle w:val="BodyText"/>
        <w:spacing w:before="2"/>
        <w:ind w:left="0" w:right="0" w:firstLine="0"/>
        <w:jc w:val="left"/>
        <w:rPr>
          <w:sz w:val="24"/>
        </w:rPr>
      </w:pPr>
    </w:p>
    <w:p>
      <w:pPr>
        <w:pStyle w:val="BodyText"/>
        <w:spacing w:line="213" w:lineRule="auto"/>
        <w:ind w:right="38"/>
      </w:pPr>
      <w:r>
        <w:rPr>
          <w:color w:val="231F20"/>
        </w:rPr>
        <w:t>§ 2. Lorsque le droit de préférence est limité ou supprimé en faveur d’une ou plusieurs personnes déterminées qui ne sont pas membres du personnel lors d’une émission d’obligations convertibles ou de droits  de souscription par des sociétés cotées, l’organe d’administration communique une copie des rapports visés au paragraphe</w:t>
      </w:r>
      <w:r>
        <w:rPr>
          <w:color w:val="231F20"/>
          <w:spacing w:val="18"/>
        </w:rPr>
        <w:t> </w:t>
      </w:r>
      <w:r>
        <w:rPr>
          <w:color w:val="231F20"/>
        </w:rPr>
        <w:t>1</w:t>
      </w:r>
      <w:r>
        <w:rPr>
          <w:color w:val="231F20"/>
          <w:position w:val="7"/>
          <w:sz w:val="11"/>
        </w:rPr>
        <w:t>er </w:t>
      </w:r>
      <w:r>
        <w:rPr>
          <w:color w:val="231F20"/>
        </w:rPr>
        <w:t>à</w:t>
      </w:r>
    </w:p>
    <w:p>
      <w:pPr>
        <w:pStyle w:val="BodyText"/>
        <w:spacing w:line="218" w:lineRule="auto" w:before="119"/>
      </w:pPr>
      <w:r>
        <w:rPr/>
        <w:br w:type="column"/>
      </w:r>
      <w:r>
        <w:rPr>
          <w:color w:val="231F20"/>
        </w:rPr>
        <w:t>Wanneer de verantwoording bedoeld in het tweede lid, of de beoordeling bedoeld in het derde lid ontbreken, is het besluit van de algemene vergadering nietig.</w:t>
      </w:r>
    </w:p>
    <w:p>
      <w:pPr>
        <w:pStyle w:val="BodyText"/>
        <w:spacing w:line="218" w:lineRule="auto" w:before="86"/>
      </w:pPr>
      <w:r>
        <w:rPr>
          <w:color w:val="231F20"/>
        </w:rPr>
        <w:t>Het besluit van de algemene vergadering om het voorkeurrecht te beperken of op te heffen moet worden neergelegd en bekendgemaakt overeenkomstig de artikelen 2:8 en 2:14, 4°.</w:t>
      </w:r>
    </w:p>
    <w:p>
      <w:pPr>
        <w:pStyle w:val="BodyText"/>
        <w:spacing w:line="218" w:lineRule="auto" w:before="86"/>
      </w:pPr>
      <w:r>
        <w:rPr>
          <w:color w:val="231F20"/>
        </w:rPr>
        <w:t>Art. 7:192. Er is geen opheffing of beperking van het voorkeurrecht wanneer de aandelen, overeenkomstig het besluit betreffende de kapitaalverhoging, bij kredietinstellingen of andere financiële instellin- gen worden geplaatst om aan de aandeelhouders te worden aangebo- den overeenkomstig de artikelen 7:188 en 7:189.</w:t>
      </w:r>
    </w:p>
    <w:p>
      <w:pPr>
        <w:pStyle w:val="BodyText"/>
        <w:spacing w:line="218" w:lineRule="auto" w:before="85"/>
      </w:pPr>
      <w:r>
        <w:rPr>
          <w:color w:val="231F20"/>
        </w:rPr>
        <w:t>Er is evenmin sprake van een </w:t>
      </w:r>
      <w:r>
        <w:rPr>
          <w:color w:val="231F20"/>
          <w:spacing w:val="-3"/>
        </w:rPr>
        <w:t>opheffing </w:t>
      </w:r>
      <w:r>
        <w:rPr>
          <w:color w:val="231F20"/>
        </w:rPr>
        <w:t>of beperking van het voorkeurrecht wanneer alle aandeelhouders afstand doen van hun voorkeurrecht bij het besluit van de algemene vergadering om het kapitaal te verhogen. Alle aandeelhouders van de vennootschap  moeten tijdens die vergadering aanwezig of vertegenwoordigd zijn en afstand doen van het voorkeurrecht. De vertegenwoordigde aandeel- houders moeten in de volmacht afstand doen van dat voorkeurrecht.  De afstand van het voorkeurrecht van iedere aandeelhouder wordt opgenomen</w:t>
      </w:r>
      <w:r>
        <w:rPr>
          <w:color w:val="231F20"/>
          <w:spacing w:val="-4"/>
        </w:rPr>
        <w:t> </w:t>
      </w:r>
      <w:r>
        <w:rPr>
          <w:color w:val="231F20"/>
        </w:rPr>
        <w:t>in</w:t>
      </w:r>
      <w:r>
        <w:rPr>
          <w:color w:val="231F20"/>
          <w:spacing w:val="-3"/>
        </w:rPr>
        <w:t> </w:t>
      </w:r>
      <w:r>
        <w:rPr>
          <w:color w:val="231F20"/>
        </w:rPr>
        <w:t>de</w:t>
      </w:r>
      <w:r>
        <w:rPr>
          <w:color w:val="231F20"/>
          <w:spacing w:val="-3"/>
        </w:rPr>
        <w:t> </w:t>
      </w:r>
      <w:r>
        <w:rPr>
          <w:color w:val="231F20"/>
        </w:rPr>
        <w:t>authentieke</w:t>
      </w:r>
      <w:r>
        <w:rPr>
          <w:color w:val="231F20"/>
          <w:spacing w:val="-3"/>
        </w:rPr>
        <w:t> </w:t>
      </w:r>
      <w:r>
        <w:rPr>
          <w:color w:val="231F20"/>
        </w:rPr>
        <w:t>akte</w:t>
      </w:r>
      <w:r>
        <w:rPr>
          <w:color w:val="231F20"/>
          <w:spacing w:val="-3"/>
        </w:rPr>
        <w:t> </w:t>
      </w:r>
      <w:r>
        <w:rPr>
          <w:color w:val="231F20"/>
        </w:rPr>
        <w:t>met</w:t>
      </w:r>
      <w:r>
        <w:rPr>
          <w:color w:val="231F20"/>
          <w:spacing w:val="-3"/>
        </w:rPr>
        <w:t> </w:t>
      </w:r>
      <w:r>
        <w:rPr>
          <w:color w:val="231F20"/>
        </w:rPr>
        <w:t>betrekking</w:t>
      </w:r>
      <w:r>
        <w:rPr>
          <w:color w:val="231F20"/>
          <w:spacing w:val="-3"/>
        </w:rPr>
        <w:t> </w:t>
      </w:r>
      <w:r>
        <w:rPr>
          <w:color w:val="231F20"/>
        </w:rPr>
        <w:t>tot</w:t>
      </w:r>
      <w:r>
        <w:rPr>
          <w:color w:val="231F20"/>
          <w:spacing w:val="-4"/>
        </w:rPr>
        <w:t> </w:t>
      </w:r>
      <w:r>
        <w:rPr>
          <w:color w:val="231F20"/>
        </w:rPr>
        <w:t>het</w:t>
      </w:r>
      <w:r>
        <w:rPr>
          <w:color w:val="231F20"/>
          <w:spacing w:val="-3"/>
        </w:rPr>
        <w:t> </w:t>
      </w:r>
      <w:r>
        <w:rPr>
          <w:color w:val="231F20"/>
        </w:rPr>
        <w:t>besluit</w:t>
      </w:r>
      <w:r>
        <w:rPr>
          <w:color w:val="231F20"/>
          <w:spacing w:val="-3"/>
        </w:rPr>
        <w:t> </w:t>
      </w:r>
      <w:r>
        <w:rPr>
          <w:color w:val="231F20"/>
        </w:rPr>
        <w:t>om</w:t>
      </w:r>
      <w:r>
        <w:rPr>
          <w:color w:val="231F20"/>
          <w:spacing w:val="-3"/>
        </w:rPr>
        <w:t> </w:t>
      </w:r>
      <w:r>
        <w:rPr>
          <w:color w:val="231F20"/>
        </w:rPr>
        <w:t>het kapitaal te</w:t>
      </w:r>
      <w:r>
        <w:rPr>
          <w:color w:val="231F20"/>
          <w:spacing w:val="-11"/>
        </w:rPr>
        <w:t> </w:t>
      </w:r>
      <w:r>
        <w:rPr>
          <w:color w:val="231F20"/>
        </w:rPr>
        <w:t>verhogen.</w:t>
      </w:r>
    </w:p>
    <w:p>
      <w:pPr>
        <w:pStyle w:val="BodyText"/>
        <w:spacing w:line="218" w:lineRule="auto" w:before="86"/>
      </w:pPr>
      <w:r>
        <w:rPr>
          <w:color w:val="231F20"/>
        </w:rPr>
        <w:t>Art. 7:193. § 1. Wanneer het voorkeurrecht wordt beperkt of opgeheven ten gunste van een of meer bepaalde personen die niet behoren tot het personeel, moet de identiteit van de begunstigde of de begunstigden van de beperking of de opheffing van het voorkeurrecht worden vermeld in het door het bestuursorgaan op te stellen verslag, alsook in de oproeping.</w:t>
      </w:r>
    </w:p>
    <w:p>
      <w:pPr>
        <w:pStyle w:val="BodyText"/>
        <w:spacing w:line="218" w:lineRule="auto" w:before="86"/>
      </w:pPr>
      <w:r>
        <w:rPr>
          <w:color w:val="231F20"/>
        </w:rPr>
        <w:t>Het door het bestuursorgaan overeenkomstig het artikel 7:191, tweede lid, opgestelde verslag verantwoordt de verrichting en de uitgifteprijs omstandig in het vennootschapsbelang, gelet in het bijzonder op de financiële toestand van de vennootschap, de identiteit van</w:t>
      </w:r>
      <w:r>
        <w:rPr>
          <w:color w:val="231F20"/>
          <w:spacing w:val="18"/>
        </w:rPr>
        <w:t> </w:t>
      </w:r>
      <w:r>
        <w:rPr>
          <w:color w:val="231F20"/>
        </w:rPr>
        <w:t>de</w:t>
      </w:r>
      <w:r>
        <w:rPr>
          <w:color w:val="231F20"/>
          <w:spacing w:val="19"/>
        </w:rPr>
        <w:t> </w:t>
      </w:r>
      <w:r>
        <w:rPr>
          <w:color w:val="231F20"/>
        </w:rPr>
        <w:t>begunstigden,</w:t>
      </w:r>
      <w:r>
        <w:rPr>
          <w:color w:val="231F20"/>
          <w:spacing w:val="18"/>
        </w:rPr>
        <w:t> </w:t>
      </w:r>
      <w:r>
        <w:rPr>
          <w:color w:val="231F20"/>
        </w:rPr>
        <w:t>de</w:t>
      </w:r>
      <w:r>
        <w:rPr>
          <w:color w:val="231F20"/>
          <w:spacing w:val="19"/>
        </w:rPr>
        <w:t> </w:t>
      </w:r>
      <w:r>
        <w:rPr>
          <w:color w:val="231F20"/>
        </w:rPr>
        <w:t>aard</w:t>
      </w:r>
      <w:r>
        <w:rPr>
          <w:color w:val="231F20"/>
          <w:spacing w:val="19"/>
        </w:rPr>
        <w:t> </w:t>
      </w:r>
      <w:r>
        <w:rPr>
          <w:color w:val="231F20"/>
        </w:rPr>
        <w:t>en</w:t>
      </w:r>
      <w:r>
        <w:rPr>
          <w:color w:val="231F20"/>
          <w:spacing w:val="18"/>
        </w:rPr>
        <w:t> </w:t>
      </w:r>
      <w:r>
        <w:rPr>
          <w:color w:val="231F20"/>
        </w:rPr>
        <w:t>de</w:t>
      </w:r>
      <w:r>
        <w:rPr>
          <w:color w:val="231F20"/>
          <w:spacing w:val="19"/>
        </w:rPr>
        <w:t> </w:t>
      </w:r>
      <w:r>
        <w:rPr>
          <w:color w:val="231F20"/>
        </w:rPr>
        <w:t>omvang</w:t>
      </w:r>
      <w:r>
        <w:rPr>
          <w:color w:val="231F20"/>
          <w:spacing w:val="19"/>
        </w:rPr>
        <w:t> </w:t>
      </w:r>
      <w:r>
        <w:rPr>
          <w:color w:val="231F20"/>
        </w:rPr>
        <w:t>van</w:t>
      </w:r>
      <w:r>
        <w:rPr>
          <w:color w:val="231F20"/>
          <w:spacing w:val="18"/>
        </w:rPr>
        <w:t> </w:t>
      </w:r>
      <w:r>
        <w:rPr>
          <w:color w:val="231F20"/>
        </w:rPr>
        <w:t>hun</w:t>
      </w:r>
      <w:r>
        <w:rPr>
          <w:color w:val="231F20"/>
          <w:spacing w:val="19"/>
        </w:rPr>
        <w:t> </w:t>
      </w:r>
      <w:r>
        <w:rPr>
          <w:color w:val="231F20"/>
        </w:rPr>
        <w:t>inbreng.</w:t>
      </w:r>
    </w:p>
    <w:p>
      <w:pPr>
        <w:pStyle w:val="BodyText"/>
        <w:spacing w:line="218" w:lineRule="auto" w:before="86"/>
      </w:pPr>
      <w:r>
        <w:rPr>
          <w:color w:val="231F20"/>
        </w:rPr>
        <w:t>In het in artikel 7:191, derde lid, bedoelde verslag verstrekt de commissaris een omstandige beoordeling over de verantwoording van de uitgifteprijs. Als er geen commissaris is, wordt deze beoordeling verstrekt door een bedrijfsrevisor of een externe accountant aangewe- zen door het</w:t>
      </w:r>
      <w:r>
        <w:rPr>
          <w:color w:val="231F20"/>
          <w:spacing w:val="4"/>
        </w:rPr>
        <w:t> </w:t>
      </w:r>
      <w:r>
        <w:rPr>
          <w:color w:val="231F20"/>
        </w:rPr>
        <w:t>bestuursorgaan.</w:t>
      </w:r>
    </w:p>
    <w:p>
      <w:pPr>
        <w:pStyle w:val="BodyText"/>
        <w:spacing w:line="218" w:lineRule="auto" w:before="86"/>
      </w:pPr>
      <w:r>
        <w:rPr>
          <w:color w:val="231F20"/>
          <w:spacing w:val="-3"/>
        </w:rPr>
        <w:t>Wanneer </w:t>
      </w:r>
      <w:r>
        <w:rPr>
          <w:color w:val="231F20"/>
        </w:rPr>
        <w:t>de verantwoording bedoeld in het tweede lid, of de beoordeling bedoeld in het derde lid, ontbreekt, is het besluit van de algemene vergadering</w:t>
      </w:r>
      <w:r>
        <w:rPr>
          <w:color w:val="231F20"/>
          <w:spacing w:val="-10"/>
        </w:rPr>
        <w:t> </w:t>
      </w:r>
      <w:r>
        <w:rPr>
          <w:color w:val="231F20"/>
        </w:rPr>
        <w:t>nietig.</w:t>
      </w:r>
    </w:p>
    <w:p>
      <w:pPr>
        <w:pStyle w:val="BodyText"/>
        <w:spacing w:line="218" w:lineRule="auto" w:before="85"/>
      </w:pPr>
      <w:r>
        <w:rPr>
          <w:color w:val="231F20"/>
        </w:rPr>
        <w:t>Indien een begunstigde effecten van de vennootschap in zijn bezit houdt waaraan meer dan 10 % van de stemrechten zijn verbonden mag hij niet deelnemen aan de stemming op de algemene vergadering die tot de verrichting</w:t>
      </w:r>
      <w:r>
        <w:rPr>
          <w:color w:val="231F20"/>
          <w:spacing w:val="4"/>
        </w:rPr>
        <w:t> </w:t>
      </w:r>
      <w:r>
        <w:rPr>
          <w:color w:val="231F20"/>
        </w:rPr>
        <w:t>besluit.</w:t>
      </w:r>
    </w:p>
    <w:p>
      <w:pPr>
        <w:pStyle w:val="BodyText"/>
        <w:spacing w:line="218" w:lineRule="auto" w:before="97"/>
      </w:pPr>
      <w:r>
        <w:rPr>
          <w:color w:val="231F20"/>
        </w:rPr>
        <w:t>Bij de door deze aandeelhouder in bezit gehouden effecten, worden de</w:t>
      </w:r>
      <w:r>
        <w:rPr>
          <w:color w:val="231F20"/>
          <w:spacing w:val="17"/>
        </w:rPr>
        <w:t> </w:t>
      </w:r>
      <w:r>
        <w:rPr>
          <w:color w:val="231F20"/>
        </w:rPr>
        <w:t>effecten</w:t>
      </w:r>
      <w:r>
        <w:rPr>
          <w:color w:val="231F20"/>
          <w:spacing w:val="18"/>
        </w:rPr>
        <w:t> </w:t>
      </w:r>
      <w:r>
        <w:rPr>
          <w:color w:val="231F20"/>
        </w:rPr>
        <w:t>gevoegd</w:t>
      </w:r>
      <w:r>
        <w:rPr>
          <w:color w:val="231F20"/>
          <w:spacing w:val="17"/>
        </w:rPr>
        <w:t> </w:t>
      </w:r>
      <w:r>
        <w:rPr>
          <w:color w:val="231F20"/>
        </w:rPr>
        <w:t>die</w:t>
      </w:r>
      <w:r>
        <w:rPr>
          <w:color w:val="231F20"/>
          <w:spacing w:val="18"/>
        </w:rPr>
        <w:t> </w:t>
      </w:r>
      <w:r>
        <w:rPr>
          <w:color w:val="231F20"/>
        </w:rPr>
        <w:t>in</w:t>
      </w:r>
      <w:r>
        <w:rPr>
          <w:color w:val="231F20"/>
          <w:spacing w:val="17"/>
        </w:rPr>
        <w:t> </w:t>
      </w:r>
      <w:r>
        <w:rPr>
          <w:color w:val="231F20"/>
        </w:rPr>
        <w:t>bezit</w:t>
      </w:r>
      <w:r>
        <w:rPr>
          <w:color w:val="231F20"/>
          <w:spacing w:val="18"/>
        </w:rPr>
        <w:t> </w:t>
      </w:r>
      <w:r>
        <w:rPr>
          <w:color w:val="231F20"/>
        </w:rPr>
        <w:t>worden</w:t>
      </w:r>
      <w:r>
        <w:rPr>
          <w:color w:val="231F20"/>
          <w:spacing w:val="18"/>
        </w:rPr>
        <w:t> </w:t>
      </w:r>
      <w:r>
        <w:rPr>
          <w:color w:val="231F20"/>
        </w:rPr>
        <w:t>gehouden</w:t>
      </w:r>
      <w:r>
        <w:rPr>
          <w:color w:val="231F20"/>
          <w:spacing w:val="17"/>
        </w:rPr>
        <w:t> </w:t>
      </w:r>
      <w:r>
        <w:rPr>
          <w:color w:val="231F20"/>
        </w:rPr>
        <w:t>door:</w:t>
      </w:r>
    </w:p>
    <w:p>
      <w:pPr>
        <w:pStyle w:val="BodyText"/>
        <w:spacing w:line="218" w:lineRule="auto" w:before="96"/>
      </w:pPr>
      <w:r>
        <w:rPr>
          <w:color w:val="231F20"/>
        </w:rPr>
        <w:t>1° een derde die handelt in eigen naam maar voor rekening van de bedoelde aandeelhouder;</w:t>
      </w:r>
    </w:p>
    <w:p>
      <w:pPr>
        <w:pStyle w:val="BodyText"/>
        <w:spacing w:line="218" w:lineRule="auto" w:before="96"/>
      </w:pPr>
      <w:r>
        <w:rPr>
          <w:color w:val="231F20"/>
        </w:rPr>
        <w:t>2° een met de bedoelde aandeelhouder verbonden natuurlijke persoon of rechtspersoon;</w:t>
      </w:r>
    </w:p>
    <w:p>
      <w:pPr>
        <w:pStyle w:val="BodyText"/>
        <w:spacing w:line="218" w:lineRule="auto" w:before="96"/>
      </w:pPr>
      <w:r>
        <w:rPr>
          <w:color w:val="231F20"/>
        </w:rPr>
        <w:t>3° een derde die optreedt in eigen naam maar voor rekening van een met de bedoelde aandeelhouder verbonden natuurlijke persoon of rechtspersoon;</w:t>
      </w:r>
    </w:p>
    <w:p>
      <w:pPr>
        <w:pStyle w:val="BodyText"/>
        <w:spacing w:before="82"/>
        <w:ind w:left="283" w:right="0" w:firstLine="0"/>
        <w:jc w:val="left"/>
      </w:pPr>
      <w:r>
        <w:rPr>
          <w:color w:val="231F20"/>
        </w:rPr>
        <w:t>4° personen die in onderling overleg handelen.</w:t>
      </w:r>
    </w:p>
    <w:p>
      <w:pPr>
        <w:pStyle w:val="BodyText"/>
        <w:spacing w:before="79"/>
        <w:ind w:left="283" w:right="0" w:firstLine="0"/>
        <w:jc w:val="left"/>
      </w:pPr>
      <w:r>
        <w:rPr>
          <w:color w:val="231F20"/>
        </w:rPr>
        <w:t>Onder personen die in onderling overleg handelen wordt verstaan:</w:t>
      </w:r>
    </w:p>
    <w:p>
      <w:pPr>
        <w:pStyle w:val="ListParagraph"/>
        <w:numPr>
          <w:ilvl w:val="0"/>
          <w:numId w:val="124"/>
        </w:numPr>
        <w:tabs>
          <w:tab w:pos="459" w:val="left" w:leader="none"/>
        </w:tabs>
        <w:spacing w:line="218" w:lineRule="auto" w:before="90" w:after="0"/>
        <w:ind w:left="113" w:right="124" w:firstLine="170"/>
        <w:jc w:val="both"/>
        <w:rPr>
          <w:sz w:val="17"/>
        </w:rPr>
      </w:pPr>
      <w:r>
        <w:rPr>
          <w:color w:val="231F20"/>
          <w:sz w:val="17"/>
        </w:rPr>
        <w:t>de natuurlijke personen of rechtspersonen die in het kader van een openbaar overnamebod met de bieder, met de doelvennootschap of met andere personen samenwerken op grond van een uitdrukkelijk of stilzwijgend, mondeling of schriftelijk akkoord dat ertoe strekt de controle over de doelvennootschap te verkrijgen, het welslagen van een bod te dwarsbomen dan wel de controle over de doelvennootschap te handhaven;</w:t>
      </w:r>
    </w:p>
    <w:p>
      <w:pPr>
        <w:pStyle w:val="ListParagraph"/>
        <w:numPr>
          <w:ilvl w:val="0"/>
          <w:numId w:val="124"/>
        </w:numPr>
        <w:tabs>
          <w:tab w:pos="462" w:val="left" w:leader="none"/>
        </w:tabs>
        <w:spacing w:line="218" w:lineRule="auto" w:before="94" w:after="0"/>
        <w:ind w:left="113" w:right="124" w:firstLine="170"/>
        <w:jc w:val="both"/>
        <w:rPr>
          <w:sz w:val="17"/>
        </w:rPr>
      </w:pPr>
      <w:r>
        <w:rPr>
          <w:color w:val="231F20"/>
          <w:sz w:val="17"/>
        </w:rPr>
        <w:t>de natuurlijke personen of rechtspersonen die een akkoord hebben gesloten aangaande de onderling afgestemde uitoefening van hun stemrechten, om een duurzaam gemeenschappelijk beleid ten aanzien van</w:t>
      </w:r>
      <w:r>
        <w:rPr>
          <w:color w:val="231F20"/>
          <w:spacing w:val="15"/>
          <w:sz w:val="17"/>
        </w:rPr>
        <w:t> </w:t>
      </w:r>
      <w:r>
        <w:rPr>
          <w:color w:val="231F20"/>
          <w:sz w:val="17"/>
        </w:rPr>
        <w:t>de</w:t>
      </w:r>
      <w:r>
        <w:rPr>
          <w:color w:val="231F20"/>
          <w:spacing w:val="16"/>
          <w:sz w:val="17"/>
        </w:rPr>
        <w:t> </w:t>
      </w:r>
      <w:r>
        <w:rPr>
          <w:color w:val="231F20"/>
          <w:sz w:val="17"/>
        </w:rPr>
        <w:t>betrokken</w:t>
      </w:r>
      <w:r>
        <w:rPr>
          <w:color w:val="231F20"/>
          <w:spacing w:val="15"/>
          <w:sz w:val="17"/>
        </w:rPr>
        <w:t> </w:t>
      </w:r>
      <w:r>
        <w:rPr>
          <w:color w:val="231F20"/>
          <w:sz w:val="17"/>
        </w:rPr>
        <w:t>vennootschap</w:t>
      </w:r>
      <w:r>
        <w:rPr>
          <w:color w:val="231F20"/>
          <w:spacing w:val="16"/>
          <w:sz w:val="17"/>
        </w:rPr>
        <w:t> </w:t>
      </w:r>
      <w:r>
        <w:rPr>
          <w:color w:val="231F20"/>
          <w:sz w:val="17"/>
        </w:rPr>
        <w:t>te</w:t>
      </w:r>
      <w:r>
        <w:rPr>
          <w:color w:val="231F20"/>
          <w:spacing w:val="15"/>
          <w:sz w:val="17"/>
        </w:rPr>
        <w:t> </w:t>
      </w:r>
      <w:r>
        <w:rPr>
          <w:color w:val="231F20"/>
          <w:sz w:val="17"/>
        </w:rPr>
        <w:t>voeren.</w:t>
      </w:r>
    </w:p>
    <w:p>
      <w:pPr>
        <w:pStyle w:val="BodyText"/>
        <w:spacing w:line="218" w:lineRule="auto" w:before="96"/>
      </w:pPr>
      <w:r>
        <w:rPr>
          <w:color w:val="231F20"/>
        </w:rPr>
        <w:t>De houders van de in het zesde lid bedoelde effecten mogen evenmin aan de stemming deelnemen. Het aanwezigheidsquorum en de meer- derheid worden berekend na aftrek van de stemmen verbonden aan de effecten waarvan de begunstigde en de in het zesde lid bedoelde personen houder zijn.</w:t>
      </w:r>
    </w:p>
    <w:p>
      <w:pPr>
        <w:pStyle w:val="BodyText"/>
        <w:spacing w:line="218" w:lineRule="auto" w:before="96"/>
      </w:pPr>
      <w:r>
        <w:rPr>
          <w:color w:val="231F20"/>
        </w:rPr>
        <w:t>§ 2. Wanneer het voorkeurrecht wordt beperkt of opgeheven ten gunste van een of meer bepaalde personen die niet behoren tot het personeel bij uitgifte van converteerbare obligaties of inschrijvingsrech- ten door genoteerde vennootschappen zendt het bestuursorgaan een kopie van de in paragraaf 1 bedoelde verslagen aan de Autoriteit voor</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firstLine="0"/>
      </w:pPr>
      <w:r>
        <w:rPr/>
        <w:pict>
          <v:line style="position:absolute;mso-position-horizontal-relative:page;mso-position-vertical-relative:page;z-index:5776" from="298.170502pt,64.473pt" to="298.170502pt,812.819pt" stroked="true" strokeweight=".533pt" strokecolor="#231f20">
            <v:stroke dashstyle="solid"/>
            <w10:wrap type="none"/>
          </v:line>
        </w:pict>
      </w:r>
      <w:bookmarkStart w:name="_bookmark198" w:id="204"/>
      <w:bookmarkEnd w:id="204"/>
      <w:r>
        <w:rPr/>
      </w:r>
      <w:r>
        <w:rPr>
          <w:color w:val="231F20"/>
        </w:rPr>
        <w:t>l’Autorité des services et marchés financiers quinze jours avant la convocation de l’assemblée générale ou, selon le cas, de l’organe d’administration, appelées à délibérer sur l’émission. A ces rapports est joint un dossier établi conformément aux prescriptions de l’Autorité des services et marchés</w:t>
      </w:r>
      <w:r>
        <w:rPr>
          <w:color w:val="231F20"/>
          <w:spacing w:val="17"/>
        </w:rPr>
        <w:t> </w:t>
      </w:r>
      <w:r>
        <w:rPr>
          <w:color w:val="231F20"/>
        </w:rPr>
        <w:t>financiers.</w:t>
      </w:r>
    </w:p>
    <w:p>
      <w:pPr>
        <w:pStyle w:val="BodyText"/>
        <w:spacing w:line="218" w:lineRule="auto" w:before="118"/>
        <w:ind w:right="38"/>
      </w:pPr>
      <w:r>
        <w:rPr>
          <w:color w:val="231F20"/>
        </w:rPr>
        <w:t>Le Roi détermine la rémunération à percevoir par l’Autorité des services et marchés financiers pour l’examen du dossier.</w:t>
      </w:r>
    </w:p>
    <w:p>
      <w:pPr>
        <w:pStyle w:val="BodyText"/>
        <w:spacing w:before="9"/>
        <w:ind w:left="0" w:right="0" w:firstLine="0"/>
        <w:jc w:val="left"/>
        <w:rPr>
          <w:sz w:val="25"/>
        </w:rPr>
      </w:pPr>
    </w:p>
    <w:p>
      <w:pPr>
        <w:pStyle w:val="BodyText"/>
        <w:spacing w:line="218" w:lineRule="auto"/>
        <w:ind w:right="38"/>
      </w:pPr>
      <w:r>
        <w:rPr>
          <w:color w:val="231F20"/>
        </w:rPr>
        <w:t>Lorsque l’Autorité des services et marchés finanicers estime que ce rapport éclaire insuffisamment les actionnaires ou qu’il est de nature à les induire en </w:t>
      </w:r>
      <w:r>
        <w:rPr>
          <w:color w:val="231F20"/>
          <w:spacing w:val="-3"/>
        </w:rPr>
        <w:t>erreur, </w:t>
      </w:r>
      <w:r>
        <w:rPr>
          <w:color w:val="231F20"/>
        </w:rPr>
        <w:t>elle informe immédiatement la société et chacun des membres de l’organe d’administration. S’il n’est pas tenu compte des observations formulées, l’Autorité des services et marchés finan- ciers peut, par décision motivée et notifiée à la société par lettre recommandée, suspendre la convocation, la délibération ou l’émission projetée, pendant trois mois au plus. Ce délai court à partir du jour de la notification par lettre recommandée de la décision de l’Autorité des services et marchés financiers. L’Autorité peut rendre sa décision publique.</w:t>
      </w:r>
    </w:p>
    <w:p>
      <w:pPr>
        <w:pStyle w:val="BodyText"/>
        <w:spacing w:before="1"/>
        <w:ind w:left="0" w:right="0" w:firstLine="0"/>
        <w:jc w:val="left"/>
        <w:rPr>
          <w:sz w:val="27"/>
        </w:rPr>
      </w:pPr>
    </w:p>
    <w:p>
      <w:pPr>
        <w:pStyle w:val="BodyText"/>
        <w:spacing w:line="213" w:lineRule="auto"/>
        <w:ind w:right="38"/>
      </w:pPr>
      <w:r>
        <w:rPr>
          <w:color w:val="231F20"/>
        </w:rPr>
        <w:t>Aucune mention de l’intervention de l’Autorité des services et marchés financiers ne peut être faite sous quelque forme que ce soit dans la publicité ou les documents relatifs aux opérations visées à l’alinéa 1</w:t>
      </w:r>
      <w:r>
        <w:rPr>
          <w:color w:val="231F20"/>
          <w:position w:val="7"/>
          <w:sz w:val="11"/>
        </w:rPr>
        <w:t>er</w:t>
      </w:r>
      <w:r>
        <w:rPr>
          <w:color w:val="231F20"/>
        </w:rPr>
        <w:t>.</w:t>
      </w:r>
    </w:p>
    <w:p>
      <w:pPr>
        <w:pStyle w:val="BodyText"/>
        <w:spacing w:line="218" w:lineRule="auto" w:before="126"/>
        <w:ind w:right="38"/>
      </w:pPr>
      <w:r>
        <w:rPr>
          <w:color w:val="231F20"/>
        </w:rPr>
        <w:t>Art. 7:194. En cas de limitation ou de suppression du droit de préférence, l’assemblée générale peut prévoir qu’une priorité sera donnée aux anciens actionnaires lors de l’attribution des nouveaux titres. Dans ce cas, la période de souscription doit avoir une durée de dix</w:t>
      </w:r>
      <w:r>
        <w:rPr>
          <w:color w:val="231F20"/>
          <w:spacing w:val="14"/>
        </w:rPr>
        <w:t> </w:t>
      </w:r>
      <w:r>
        <w:rPr>
          <w:color w:val="231F20"/>
        </w:rPr>
        <w:t>jours.</w:t>
      </w:r>
    </w:p>
    <w:p>
      <w:pPr>
        <w:pStyle w:val="BodyText"/>
        <w:spacing w:before="114"/>
        <w:ind w:left="283" w:right="0" w:firstLine="0"/>
        <w:jc w:val="left"/>
      </w:pPr>
      <w:r>
        <w:rPr>
          <w:color w:val="231F20"/>
        </w:rPr>
        <w:t>Sous-section 3. Libération des apports en numéraire.</w:t>
      </w:r>
    </w:p>
    <w:p>
      <w:pPr>
        <w:pStyle w:val="BodyText"/>
        <w:spacing w:line="216" w:lineRule="auto" w:before="126"/>
        <w:ind w:right="38"/>
      </w:pPr>
      <w:r>
        <w:rPr>
          <w:color w:val="231F20"/>
        </w:rPr>
        <w:t>Art.</w:t>
      </w:r>
      <w:r>
        <w:rPr>
          <w:color w:val="231F20"/>
          <w:spacing w:val="-5"/>
        </w:rPr>
        <w:t> </w:t>
      </w:r>
      <w:r>
        <w:rPr>
          <w:color w:val="231F20"/>
        </w:rPr>
        <w:t>7:195.</w:t>
      </w:r>
      <w:r>
        <w:rPr>
          <w:color w:val="231F20"/>
          <w:spacing w:val="-4"/>
        </w:rPr>
        <w:t> </w:t>
      </w:r>
      <w:r>
        <w:rPr>
          <w:color w:val="231F20"/>
        </w:rPr>
        <w:t>En</w:t>
      </w:r>
      <w:r>
        <w:rPr>
          <w:color w:val="231F20"/>
          <w:spacing w:val="-4"/>
        </w:rPr>
        <w:t> </w:t>
      </w:r>
      <w:r>
        <w:rPr>
          <w:color w:val="231F20"/>
        </w:rPr>
        <w:t>cas</w:t>
      </w:r>
      <w:r>
        <w:rPr>
          <w:color w:val="231F20"/>
          <w:spacing w:val="-4"/>
        </w:rPr>
        <w:t> </w:t>
      </w:r>
      <w:r>
        <w:rPr>
          <w:color w:val="231F20"/>
        </w:rPr>
        <w:t>d’apports</w:t>
      </w:r>
      <w:r>
        <w:rPr>
          <w:color w:val="231F20"/>
          <w:spacing w:val="-4"/>
        </w:rPr>
        <w:t> </w:t>
      </w:r>
      <w:r>
        <w:rPr>
          <w:color w:val="231F20"/>
        </w:rPr>
        <w:t>en</w:t>
      </w:r>
      <w:r>
        <w:rPr>
          <w:color w:val="231F20"/>
          <w:spacing w:val="-4"/>
        </w:rPr>
        <w:t> </w:t>
      </w:r>
      <w:r>
        <w:rPr>
          <w:color w:val="231F20"/>
        </w:rPr>
        <w:t>numéraire</w:t>
      </w:r>
      <w:r>
        <w:rPr>
          <w:color w:val="231F20"/>
          <w:spacing w:val="-5"/>
        </w:rPr>
        <w:t> </w:t>
      </w:r>
      <w:r>
        <w:rPr>
          <w:color w:val="231F20"/>
        </w:rPr>
        <w:t>à</w:t>
      </w:r>
      <w:r>
        <w:rPr>
          <w:color w:val="231F20"/>
          <w:spacing w:val="-4"/>
        </w:rPr>
        <w:t> </w:t>
      </w:r>
      <w:r>
        <w:rPr>
          <w:color w:val="231F20"/>
        </w:rPr>
        <w:t>libérer</w:t>
      </w:r>
      <w:r>
        <w:rPr>
          <w:color w:val="231F20"/>
          <w:spacing w:val="-4"/>
        </w:rPr>
        <w:t> </w:t>
      </w:r>
      <w:r>
        <w:rPr>
          <w:color w:val="231F20"/>
        </w:rPr>
        <w:t>lors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réception de l’acte constatant l’augmentation de capital, les fonds sont préalable- ment déposés par versement ou virement sur un compte spécial ouvert au nom de la société auprès d’un établissement de crédit établi dans l’Espace économique européen au sens de l’article 4, paragraphe 1</w:t>
      </w:r>
      <w:r>
        <w:rPr>
          <w:color w:val="231F20"/>
          <w:position w:val="7"/>
          <w:sz w:val="11"/>
        </w:rPr>
        <w:t>er</w:t>
      </w:r>
      <w:r>
        <w:rPr>
          <w:color w:val="231F20"/>
        </w:rPr>
        <w:t>, point 1), du règlement (UE) </w:t>
      </w:r>
      <w:r>
        <w:rPr>
          <w:color w:val="231F20"/>
          <w:spacing w:val="-5"/>
        </w:rPr>
        <w:t>nr. </w:t>
      </w:r>
      <w:r>
        <w:rPr>
          <w:color w:val="231F20"/>
        </w:rPr>
        <w:t>575/2013. Une preuve de ce dépôt est remise au notaire</w:t>
      </w:r>
      <w:r>
        <w:rPr>
          <w:color w:val="231F20"/>
          <w:spacing w:val="2"/>
        </w:rPr>
        <w:t> </w:t>
      </w:r>
      <w:r>
        <w:rPr>
          <w:color w:val="231F20"/>
        </w:rPr>
        <w:t>instrumentant.</w:t>
      </w:r>
    </w:p>
    <w:p>
      <w:pPr>
        <w:pStyle w:val="BodyText"/>
        <w:spacing w:line="218" w:lineRule="auto" w:before="126"/>
        <w:ind w:right="38"/>
      </w:pPr>
      <w:r>
        <w:rPr>
          <w:color w:val="231F20"/>
        </w:rPr>
        <w:t>Le compte spécial est à la disposition exclusive de la société. Il ne peut en être disposé que par les personnes habilitées à engager la société</w:t>
      </w:r>
      <w:r>
        <w:rPr>
          <w:color w:val="231F20"/>
          <w:spacing w:val="-8"/>
        </w:rPr>
        <w:t> </w:t>
      </w:r>
      <w:r>
        <w:rPr>
          <w:color w:val="231F20"/>
        </w:rPr>
        <w:t>et</w:t>
      </w:r>
      <w:r>
        <w:rPr>
          <w:color w:val="231F20"/>
          <w:spacing w:val="-7"/>
        </w:rPr>
        <w:t> </w:t>
      </w:r>
      <w:r>
        <w:rPr>
          <w:color w:val="231F20"/>
        </w:rPr>
        <w:t>après</w:t>
      </w:r>
      <w:r>
        <w:rPr>
          <w:color w:val="231F20"/>
          <w:spacing w:val="-7"/>
        </w:rPr>
        <w:t> </w:t>
      </w:r>
      <w:r>
        <w:rPr>
          <w:color w:val="231F20"/>
        </w:rPr>
        <w:t>que</w:t>
      </w:r>
      <w:r>
        <w:rPr>
          <w:color w:val="231F20"/>
          <w:spacing w:val="-7"/>
        </w:rPr>
        <w:t> </w:t>
      </w:r>
      <w:r>
        <w:rPr>
          <w:color w:val="231F20"/>
        </w:rPr>
        <w:t>le</w:t>
      </w:r>
      <w:r>
        <w:rPr>
          <w:color w:val="231F20"/>
          <w:spacing w:val="-7"/>
        </w:rPr>
        <w:t> </w:t>
      </w:r>
      <w:r>
        <w:rPr>
          <w:color w:val="231F20"/>
        </w:rPr>
        <w:t>notaire</w:t>
      </w:r>
      <w:r>
        <w:rPr>
          <w:color w:val="231F20"/>
          <w:spacing w:val="-8"/>
        </w:rPr>
        <w:t> </w:t>
      </w:r>
      <w:r>
        <w:rPr>
          <w:color w:val="231F20"/>
        </w:rPr>
        <w:t>instrumentant</w:t>
      </w:r>
      <w:r>
        <w:rPr>
          <w:color w:val="231F20"/>
          <w:spacing w:val="-7"/>
        </w:rPr>
        <w:t> </w:t>
      </w:r>
      <w:r>
        <w:rPr>
          <w:color w:val="231F20"/>
        </w:rPr>
        <w:t>eût</w:t>
      </w:r>
      <w:r>
        <w:rPr>
          <w:color w:val="231F20"/>
          <w:spacing w:val="-7"/>
        </w:rPr>
        <w:t> </w:t>
      </w:r>
      <w:r>
        <w:rPr>
          <w:color w:val="231F20"/>
        </w:rPr>
        <w:t>informé</w:t>
      </w:r>
      <w:r>
        <w:rPr>
          <w:color w:val="231F20"/>
          <w:spacing w:val="-7"/>
        </w:rPr>
        <w:t> </w:t>
      </w:r>
      <w:r>
        <w:rPr>
          <w:color w:val="231F20"/>
        </w:rPr>
        <w:t>l’établissement de la passation de</w:t>
      </w:r>
      <w:r>
        <w:rPr>
          <w:color w:val="231F20"/>
          <w:spacing w:val="19"/>
        </w:rPr>
        <w:t> </w:t>
      </w:r>
      <w:r>
        <w:rPr>
          <w:color w:val="231F20"/>
        </w:rPr>
        <w:t>l’acte.</w:t>
      </w:r>
    </w:p>
    <w:p>
      <w:pPr>
        <w:pStyle w:val="BodyText"/>
        <w:spacing w:before="8"/>
        <w:ind w:left="0" w:right="0" w:firstLine="0"/>
        <w:jc w:val="left"/>
        <w:rPr>
          <w:sz w:val="26"/>
        </w:rPr>
      </w:pPr>
    </w:p>
    <w:p>
      <w:pPr>
        <w:pStyle w:val="BodyText"/>
        <w:spacing w:line="218" w:lineRule="auto" w:before="1"/>
        <w:ind w:right="38"/>
      </w:pPr>
      <w:r>
        <w:rPr>
          <w:color w:val="231F20"/>
        </w:rPr>
        <w:t>Si l’augmentation n’est pas réalisée dans le mois de l’ouverture du compte spécial, les fonds sont restitués à leur demande, à ceux qui les ont déposés.</w:t>
      </w:r>
    </w:p>
    <w:p>
      <w:pPr>
        <w:pStyle w:val="BodyText"/>
        <w:spacing w:before="114"/>
        <w:ind w:left="283" w:right="0" w:firstLine="0"/>
        <w:jc w:val="left"/>
      </w:pPr>
      <w:r>
        <w:rPr>
          <w:color w:val="231F20"/>
        </w:rPr>
        <w:t>Section 3. Augmentation de capital par apports en nature.</w:t>
      </w:r>
    </w:p>
    <w:p>
      <w:pPr>
        <w:pStyle w:val="BodyText"/>
        <w:spacing w:line="218" w:lineRule="auto" w:before="124"/>
        <w:ind w:right="38"/>
      </w:pPr>
      <w:r>
        <w:rPr>
          <w:color w:val="231F20"/>
        </w:rPr>
        <w:t>Art. 7:196. Les apports en nature ne peuvent être rémunérés par des actions que s’ils consistent en éléments d’actif susceptibles d’évaluation économique, à l’exclusion des actifs constitués par des engagements concernant l’exécution de travaux ou de prestations de services.</w:t>
      </w:r>
    </w:p>
    <w:p>
      <w:pPr>
        <w:pStyle w:val="BodyText"/>
        <w:spacing w:before="7"/>
        <w:ind w:left="0" w:right="0" w:firstLine="0"/>
        <w:jc w:val="left"/>
        <w:rPr>
          <w:sz w:val="25"/>
        </w:rPr>
      </w:pPr>
    </w:p>
    <w:p>
      <w:pPr>
        <w:pStyle w:val="BodyText"/>
        <w:spacing w:line="216" w:lineRule="auto"/>
        <w:ind w:right="38"/>
      </w:pPr>
      <w:r>
        <w:rPr>
          <w:color w:val="231F20"/>
        </w:rPr>
        <w:t>Art. 7:197. § 1</w:t>
      </w:r>
      <w:r>
        <w:rPr>
          <w:color w:val="231F20"/>
          <w:position w:val="7"/>
          <w:sz w:val="11"/>
        </w:rPr>
        <w:t>er</w:t>
      </w:r>
      <w:r>
        <w:rPr>
          <w:color w:val="231F20"/>
        </w:rPr>
        <w:t>. Au cas où l’augmentation de capital comporte des apports en nature, l’organe d’administration expose dans le</w:t>
      </w:r>
      <w:r>
        <w:rPr>
          <w:color w:val="231F20"/>
          <w:spacing w:val="22"/>
        </w:rPr>
        <w:t> </w:t>
      </w:r>
      <w:r>
        <w:rPr>
          <w:color w:val="231F20"/>
        </w:rPr>
        <w:t>rapport visé à l’article 7:179, § 1</w:t>
      </w:r>
      <w:r>
        <w:rPr>
          <w:color w:val="231F20"/>
          <w:position w:val="7"/>
          <w:sz w:val="11"/>
        </w:rPr>
        <w:t>er</w:t>
      </w:r>
      <w:r>
        <w:rPr>
          <w:color w:val="231F20"/>
        </w:rPr>
        <w:t>, alinéa 1</w:t>
      </w:r>
      <w:r>
        <w:rPr>
          <w:color w:val="231F20"/>
          <w:position w:val="7"/>
          <w:sz w:val="11"/>
        </w:rPr>
        <w:t>er</w:t>
      </w:r>
      <w:r>
        <w:rPr>
          <w:color w:val="231F20"/>
        </w:rPr>
        <w:t>, l’intérêt que l’apport présente pour la société. Le rapport comporte une description de chaque apport et en donne une évaluation motivée. Il indique quelle est la rémunération attribuée en contrepartie de l’apport. </w:t>
      </w:r>
      <w:r>
        <w:rPr>
          <w:color w:val="231F20"/>
          <w:spacing w:val="-3"/>
        </w:rPr>
        <w:t>L’organe </w:t>
      </w:r>
      <w:r>
        <w:rPr>
          <w:color w:val="231F20"/>
        </w:rPr>
        <w:t>d’administration com- munique ce rapport en projet au commissaire ou, lorsqu’il n’y a pas de commissaire, au réviseur d’entreprises désigné par l’organe d’adminis- tration.</w:t>
      </w:r>
    </w:p>
    <w:p>
      <w:pPr>
        <w:pStyle w:val="BodyText"/>
        <w:spacing w:line="216" w:lineRule="auto" w:before="131"/>
        <w:ind w:right="38"/>
      </w:pPr>
      <w:r>
        <w:rPr>
          <w:color w:val="231F20"/>
        </w:rPr>
        <w:t>Le commissaire ou, lorsqu’il n’y a pas de commissaire, un réviseur d’entreprises désigné par l’organe d’administration, examine dans le rapport </w:t>
      </w:r>
      <w:r>
        <w:rPr>
          <w:color w:val="231F20"/>
          <w:spacing w:val="9"/>
        </w:rPr>
        <w:t>visé </w:t>
      </w:r>
      <w:r>
        <w:rPr>
          <w:color w:val="231F20"/>
        </w:rPr>
        <w:t>à l’article 7:179, § 1</w:t>
      </w:r>
      <w:r>
        <w:rPr>
          <w:color w:val="231F20"/>
          <w:position w:val="7"/>
          <w:sz w:val="11"/>
        </w:rPr>
        <w:t>er</w:t>
      </w:r>
      <w:r>
        <w:rPr>
          <w:color w:val="231F20"/>
        </w:rPr>
        <w:t>, alinéa 2, la description faite</w:t>
      </w:r>
      <w:r>
        <w:rPr>
          <w:color w:val="231F20"/>
          <w:spacing w:val="16"/>
        </w:rPr>
        <w:t> </w:t>
      </w:r>
      <w:r>
        <w:rPr>
          <w:color w:val="231F20"/>
        </w:rPr>
        <w:t>par l’organe d’administration de chaque apport en nature, l’évaluation adoptée et les modes d’évaluation appliqués. Le rapport indique si les valeurs auxquelles conduisent ces modes d’évaluation correspondent au moins au nombre et à la valeur nominale ou, à défaut de valeur nominale, au pair comptable et, le cas échéant, à la prime d’émission des actions à émettre en contrepartie. Le rapport indique quelle est la rémunération</w:t>
      </w:r>
      <w:r>
        <w:rPr>
          <w:color w:val="231F20"/>
          <w:spacing w:val="14"/>
        </w:rPr>
        <w:t> </w:t>
      </w:r>
      <w:r>
        <w:rPr>
          <w:color w:val="231F20"/>
        </w:rPr>
        <w:t>réelle</w:t>
      </w:r>
      <w:r>
        <w:rPr>
          <w:color w:val="231F20"/>
          <w:spacing w:val="14"/>
        </w:rPr>
        <w:t> </w:t>
      </w:r>
      <w:r>
        <w:rPr>
          <w:color w:val="231F20"/>
        </w:rPr>
        <w:t>attribuée</w:t>
      </w:r>
      <w:r>
        <w:rPr>
          <w:color w:val="231F20"/>
          <w:spacing w:val="14"/>
        </w:rPr>
        <w:t> </w:t>
      </w:r>
      <w:r>
        <w:rPr>
          <w:color w:val="231F20"/>
        </w:rPr>
        <w:t>en</w:t>
      </w:r>
      <w:r>
        <w:rPr>
          <w:color w:val="231F20"/>
          <w:spacing w:val="14"/>
        </w:rPr>
        <w:t> </w:t>
      </w:r>
      <w:r>
        <w:rPr>
          <w:color w:val="231F20"/>
        </w:rPr>
        <w:t>contrepartie</w:t>
      </w:r>
      <w:r>
        <w:rPr>
          <w:color w:val="231F20"/>
          <w:spacing w:val="14"/>
        </w:rPr>
        <w:t> </w:t>
      </w:r>
      <w:r>
        <w:rPr>
          <w:color w:val="231F20"/>
        </w:rPr>
        <w:t>des</w:t>
      </w:r>
      <w:r>
        <w:rPr>
          <w:color w:val="231F20"/>
          <w:spacing w:val="14"/>
        </w:rPr>
        <w:t> </w:t>
      </w:r>
      <w:r>
        <w:rPr>
          <w:color w:val="231F20"/>
        </w:rPr>
        <w:t>apports.</w:t>
      </w:r>
    </w:p>
    <w:p>
      <w:pPr>
        <w:pStyle w:val="BodyText"/>
        <w:ind w:left="0" w:right="0" w:firstLine="0"/>
        <w:jc w:val="left"/>
        <w:rPr>
          <w:sz w:val="20"/>
        </w:rPr>
      </w:pPr>
    </w:p>
    <w:p>
      <w:pPr>
        <w:pStyle w:val="BodyText"/>
        <w:spacing w:before="6"/>
        <w:ind w:left="0" w:right="0" w:firstLine="0"/>
        <w:jc w:val="left"/>
        <w:rPr>
          <w:sz w:val="22"/>
        </w:rPr>
      </w:pPr>
    </w:p>
    <w:p>
      <w:pPr>
        <w:pStyle w:val="BodyText"/>
        <w:spacing w:line="218" w:lineRule="auto"/>
        <w:ind w:right="38"/>
      </w:pPr>
      <w:r>
        <w:rPr>
          <w:color w:val="231F20"/>
        </w:rPr>
        <w:t>Dans son rapport, auquel est joint le rapport du commissaire ou du réviseur</w:t>
      </w:r>
      <w:r>
        <w:rPr>
          <w:color w:val="231F20"/>
          <w:spacing w:val="-9"/>
        </w:rPr>
        <w:t> </w:t>
      </w:r>
      <w:r>
        <w:rPr>
          <w:color w:val="231F20"/>
        </w:rPr>
        <w:t>d’entreprises,</w:t>
      </w:r>
      <w:r>
        <w:rPr>
          <w:color w:val="231F20"/>
          <w:spacing w:val="-9"/>
        </w:rPr>
        <w:t> </w:t>
      </w:r>
      <w:r>
        <w:rPr>
          <w:color w:val="231F20"/>
        </w:rPr>
        <w:t>l’organe</w:t>
      </w:r>
      <w:r>
        <w:rPr>
          <w:color w:val="231F20"/>
          <w:spacing w:val="-9"/>
        </w:rPr>
        <w:t> </w:t>
      </w:r>
      <w:r>
        <w:rPr>
          <w:color w:val="231F20"/>
        </w:rPr>
        <w:t>d’administration</w:t>
      </w:r>
      <w:r>
        <w:rPr>
          <w:color w:val="231F20"/>
          <w:spacing w:val="-8"/>
        </w:rPr>
        <w:t> </w:t>
      </w:r>
      <w:r>
        <w:rPr>
          <w:color w:val="231F20"/>
        </w:rPr>
        <w:t>indique,</w:t>
      </w:r>
      <w:r>
        <w:rPr>
          <w:color w:val="231F20"/>
          <w:spacing w:val="-9"/>
        </w:rPr>
        <w:t> </w:t>
      </w:r>
      <w:r>
        <w:rPr>
          <w:color w:val="231F20"/>
        </w:rPr>
        <w:t>le</w:t>
      </w:r>
      <w:r>
        <w:rPr>
          <w:color w:val="231F20"/>
          <w:spacing w:val="-9"/>
        </w:rPr>
        <w:t> </w:t>
      </w:r>
      <w:r>
        <w:rPr>
          <w:color w:val="231F20"/>
        </w:rPr>
        <w:t>cas</w:t>
      </w:r>
      <w:r>
        <w:rPr>
          <w:color w:val="231F20"/>
          <w:spacing w:val="-8"/>
        </w:rPr>
        <w:t> </w:t>
      </w:r>
      <w:r>
        <w:rPr>
          <w:color w:val="231F20"/>
        </w:rPr>
        <w:t>échéant, les raisons pour lesquelles il s’écarte des conclusions de ce dernier rapport.</w:t>
      </w:r>
    </w:p>
    <w:p>
      <w:pPr>
        <w:pStyle w:val="BodyText"/>
        <w:spacing w:line="218" w:lineRule="auto" w:before="119"/>
        <w:ind w:hanging="1"/>
      </w:pPr>
      <w:r>
        <w:rPr/>
        <w:br w:type="column"/>
      </w:r>
      <w:r>
        <w:rPr>
          <w:color w:val="231F20"/>
        </w:rPr>
        <w:t>Financiële Diensten en Markten, vijftien dagen vóór de bijeenroeping van de algemene vergadering of, naargelang van het geval, van het bestuurorgaan, die over de uitgifte moeten beslissen. Bij deze verslagen wordt een overeenkomstig de voorschriften van de Autoriteit voor Financiële Diensten en Markten samengesteld dossier gevoegd.</w:t>
      </w:r>
    </w:p>
    <w:p>
      <w:pPr>
        <w:pStyle w:val="BodyText"/>
        <w:spacing w:line="218" w:lineRule="auto" w:before="118"/>
      </w:pPr>
      <w:r>
        <w:rPr>
          <w:color w:val="231F20"/>
        </w:rPr>
        <w:t>De Koning bepaalt de vergoeding die door de Autoriteit voor Financiële Diensten en Markten wordt ingevorderd voor het onderzoek van het dossier.</w:t>
      </w:r>
    </w:p>
    <w:p>
      <w:pPr>
        <w:pStyle w:val="BodyText"/>
        <w:spacing w:line="218" w:lineRule="auto" w:before="118"/>
        <w:ind w:right="123"/>
      </w:pPr>
      <w:r>
        <w:rPr>
          <w:color w:val="231F20"/>
        </w:rPr>
        <w:t>Oordeelt de Autoriteit voor Financiële Diensten en Markten dat deze verslagen de aandeelhouders onvoldoende voorlicht of dat het hen in dwaling kan brengen, dan verwittigt zij onmiddellijk de vennootschap en elk van de leden van het bestuursorgaan. </w:t>
      </w:r>
      <w:r>
        <w:rPr>
          <w:color w:val="231F20"/>
          <w:spacing w:val="-4"/>
        </w:rPr>
        <w:t>Wordt </w:t>
      </w:r>
      <w:r>
        <w:rPr>
          <w:color w:val="231F20"/>
        </w:rPr>
        <w:t>met de gemaakte opmerkingen geen rekenschap gehouden, dan kan de Autoriteit voor Financiële</w:t>
      </w:r>
      <w:r>
        <w:rPr>
          <w:color w:val="231F20"/>
          <w:spacing w:val="-13"/>
        </w:rPr>
        <w:t> </w:t>
      </w:r>
      <w:r>
        <w:rPr>
          <w:color w:val="231F20"/>
        </w:rPr>
        <w:t>Diensten</w:t>
      </w:r>
      <w:r>
        <w:rPr>
          <w:color w:val="231F20"/>
          <w:spacing w:val="-13"/>
        </w:rPr>
        <w:t> </w:t>
      </w:r>
      <w:r>
        <w:rPr>
          <w:color w:val="231F20"/>
        </w:rPr>
        <w:t>en</w:t>
      </w:r>
      <w:r>
        <w:rPr>
          <w:color w:val="231F20"/>
          <w:spacing w:val="-12"/>
        </w:rPr>
        <w:t> </w:t>
      </w:r>
      <w:r>
        <w:rPr>
          <w:color w:val="231F20"/>
        </w:rPr>
        <w:t>Markten</w:t>
      </w:r>
      <w:r>
        <w:rPr>
          <w:color w:val="231F20"/>
          <w:spacing w:val="-13"/>
        </w:rPr>
        <w:t> </w:t>
      </w:r>
      <w:r>
        <w:rPr>
          <w:color w:val="231F20"/>
        </w:rPr>
        <w:t>de</w:t>
      </w:r>
      <w:r>
        <w:rPr>
          <w:color w:val="231F20"/>
          <w:spacing w:val="-13"/>
        </w:rPr>
        <w:t> </w:t>
      </w:r>
      <w:r>
        <w:rPr>
          <w:color w:val="231F20"/>
        </w:rPr>
        <w:t>voorgenomen</w:t>
      </w:r>
      <w:r>
        <w:rPr>
          <w:color w:val="231F20"/>
          <w:spacing w:val="-13"/>
        </w:rPr>
        <w:t> </w:t>
      </w:r>
      <w:r>
        <w:rPr>
          <w:color w:val="231F20"/>
        </w:rPr>
        <w:t>bijeenroeping,</w:t>
      </w:r>
      <w:r>
        <w:rPr>
          <w:color w:val="231F20"/>
          <w:spacing w:val="-12"/>
        </w:rPr>
        <w:t> </w:t>
      </w:r>
      <w:r>
        <w:rPr>
          <w:color w:val="231F20"/>
        </w:rPr>
        <w:t>beraad- slaging of uitgifte gedurende ten hoogste drie maanden opschorten bij een met redenen omklede beslissing, die bij aangetekende brief ter kennis van de vennootschap wordt gebracht. Die termijn gaat in op de dag waarop bij aangetekende brief kennis is gegeven van de beslissing van de Autoriteit voor Financiële Diensten en Markten. De Commissie mag haar beslissing openbaar</w:t>
      </w:r>
      <w:r>
        <w:rPr>
          <w:color w:val="231F20"/>
          <w:spacing w:val="19"/>
        </w:rPr>
        <w:t> </w:t>
      </w:r>
      <w:r>
        <w:rPr>
          <w:color w:val="231F20"/>
        </w:rPr>
        <w:t>maken.</w:t>
      </w:r>
    </w:p>
    <w:p>
      <w:pPr>
        <w:pStyle w:val="BodyText"/>
        <w:spacing w:line="218" w:lineRule="auto" w:before="129"/>
      </w:pPr>
      <w:r>
        <w:rPr>
          <w:color w:val="231F20"/>
        </w:rPr>
        <w:t>In de bekendmaking of de stukken betreffende de verrichtingen bedoeld in het eerste lid mag van het optreden van de Autoriteit voor Financiële Diensten en Markten in geen enkele vorm melding worden gemaakt.</w:t>
      </w:r>
    </w:p>
    <w:p>
      <w:pPr>
        <w:pStyle w:val="BodyText"/>
        <w:spacing w:line="218" w:lineRule="auto" w:before="128"/>
      </w:pPr>
      <w:r>
        <w:rPr>
          <w:color w:val="231F20"/>
        </w:rPr>
        <w:t>Art. 7:194. Bij beperking of opheffing van het voorkeurrecht kan de algemene vergadering bepalen dat bij de toekenning van nieuwe effecten voorrang wordt gegeven aan de vroegere aandeelhouders. In dat geval moet de inschrijvingstermijn tien dagen bedragen.</w:t>
      </w:r>
    </w:p>
    <w:p>
      <w:pPr>
        <w:pStyle w:val="BodyText"/>
        <w:spacing w:before="6"/>
        <w:ind w:left="0" w:right="0" w:firstLine="0"/>
        <w:jc w:val="left"/>
        <w:rPr>
          <w:sz w:val="25"/>
        </w:rPr>
      </w:pPr>
    </w:p>
    <w:p>
      <w:pPr>
        <w:pStyle w:val="BodyText"/>
        <w:ind w:left="283" w:right="0" w:firstLine="0"/>
        <w:jc w:val="left"/>
      </w:pPr>
      <w:r>
        <w:rPr>
          <w:color w:val="231F20"/>
        </w:rPr>
        <w:t>Onderafdeling 3. Storting van de inbreng in geld.</w:t>
      </w:r>
    </w:p>
    <w:p>
      <w:pPr>
        <w:pStyle w:val="BodyText"/>
        <w:spacing w:line="218" w:lineRule="auto" w:before="125"/>
      </w:pPr>
      <w:r>
        <w:rPr>
          <w:color w:val="231F20"/>
        </w:rPr>
        <w:t>Art. 7:195. In geval van inbreng in geld, te storten bij het verlijden</w:t>
      </w:r>
      <w:r>
        <w:rPr>
          <w:color w:val="231F20"/>
          <w:spacing w:val="-29"/>
        </w:rPr>
        <w:t> </w:t>
      </w:r>
      <w:r>
        <w:rPr>
          <w:color w:val="231F20"/>
        </w:rPr>
        <w:t>van de akte die de kapitaalverhoging vaststelt, wordt dat geld tevoren bij storting of overschrijving gedeponeerd op een bijzondere rekening, ten name van de vennootschap geopend bij een in de Europese Economi- sche Ruimte gevestigde kredietinstelling als bedoeld in artikel 4, lid 1, punt 1), van verordening (EU) </w:t>
      </w:r>
      <w:r>
        <w:rPr>
          <w:color w:val="231F20"/>
          <w:spacing w:val="-5"/>
        </w:rPr>
        <w:t>nr. </w:t>
      </w:r>
      <w:r>
        <w:rPr>
          <w:color w:val="231F20"/>
        </w:rPr>
        <w:t>575/2013. Een bewijs van die deponering</w:t>
      </w:r>
      <w:r>
        <w:rPr>
          <w:color w:val="231F20"/>
          <w:spacing w:val="18"/>
        </w:rPr>
        <w:t> </w:t>
      </w:r>
      <w:r>
        <w:rPr>
          <w:color w:val="231F20"/>
        </w:rPr>
        <w:t>wordt</w:t>
      </w:r>
      <w:r>
        <w:rPr>
          <w:color w:val="231F20"/>
          <w:spacing w:val="18"/>
        </w:rPr>
        <w:t> </w:t>
      </w:r>
      <w:r>
        <w:rPr>
          <w:color w:val="231F20"/>
        </w:rPr>
        <w:t>overhandigd</w:t>
      </w:r>
      <w:r>
        <w:rPr>
          <w:color w:val="231F20"/>
          <w:spacing w:val="18"/>
        </w:rPr>
        <w:t> </w:t>
      </w:r>
      <w:r>
        <w:rPr>
          <w:color w:val="231F20"/>
        </w:rPr>
        <w:t>aan</w:t>
      </w:r>
      <w:r>
        <w:rPr>
          <w:color w:val="231F20"/>
          <w:spacing w:val="18"/>
        </w:rPr>
        <w:t> </w:t>
      </w:r>
      <w:r>
        <w:rPr>
          <w:color w:val="231F20"/>
        </w:rPr>
        <w:t>de</w:t>
      </w:r>
      <w:r>
        <w:rPr>
          <w:color w:val="231F20"/>
          <w:spacing w:val="19"/>
        </w:rPr>
        <w:t> </w:t>
      </w:r>
      <w:r>
        <w:rPr>
          <w:color w:val="231F20"/>
        </w:rPr>
        <w:t>instrumenterende</w:t>
      </w:r>
      <w:r>
        <w:rPr>
          <w:color w:val="231F20"/>
          <w:spacing w:val="18"/>
        </w:rPr>
        <w:t> </w:t>
      </w:r>
      <w:r>
        <w:rPr>
          <w:color w:val="231F20"/>
        </w:rPr>
        <w:t>notaris.</w:t>
      </w:r>
    </w:p>
    <w:p>
      <w:pPr>
        <w:pStyle w:val="BodyText"/>
        <w:spacing w:line="218" w:lineRule="auto" w:before="128"/>
        <w:ind w:right="123"/>
      </w:pPr>
      <w:r>
        <w:rPr>
          <w:color w:val="231F20"/>
        </w:rPr>
        <w:t>De bijzondere rekening wordt uitsluitend ter beschikking gehouden van de vennootschap. Over die rekening kan alleen worden beschikt door personen die bevoegd zijn om de vennootschap te verbinden, en eerst nadat de optredende notaris aan de instelling bericht heeft gegeven van het verlijden van de akte.</w:t>
      </w:r>
    </w:p>
    <w:p>
      <w:pPr>
        <w:pStyle w:val="BodyText"/>
        <w:spacing w:line="218" w:lineRule="auto" w:before="128"/>
      </w:pPr>
      <w:r>
        <w:rPr>
          <w:color w:val="231F20"/>
        </w:rPr>
        <w:t>Indien de verhoging niet tot stand is gekomen binnen één maand na de opening van de bijzondere rekening, worden de gelden teruggege- ven aan de deposanten die erom verzoeken.</w:t>
      </w:r>
    </w:p>
    <w:p>
      <w:pPr>
        <w:pStyle w:val="BodyText"/>
        <w:spacing w:before="114"/>
        <w:ind w:left="283" w:right="0" w:firstLine="0"/>
        <w:jc w:val="left"/>
      </w:pPr>
      <w:r>
        <w:rPr>
          <w:color w:val="231F20"/>
        </w:rPr>
        <w:t>Afdeling 3. Kapitaalverhoging bij wijze van inbreng in natura.</w:t>
      </w:r>
    </w:p>
    <w:p>
      <w:pPr>
        <w:pStyle w:val="BodyText"/>
        <w:spacing w:line="218" w:lineRule="auto" w:before="125"/>
      </w:pPr>
      <w:r>
        <w:rPr>
          <w:color w:val="231F20"/>
        </w:rPr>
        <w:t>Art. 7:196. Inbreng in natura komt slechts in aanmerking voor vergoeding door aandelen, indien hij bestaat uit vermogensbestandde- len die naar economische maatstaven kunnen worden gewaardeerd, met uitsluiting van verplichtingen tot het verrichten van werk of van diensten.</w:t>
      </w:r>
    </w:p>
    <w:p>
      <w:pPr>
        <w:pStyle w:val="BodyText"/>
        <w:spacing w:line="218" w:lineRule="auto" w:before="128"/>
      </w:pPr>
      <w:r>
        <w:rPr>
          <w:color w:val="231F20"/>
        </w:rPr>
        <w:t>Art. 7:197. § 1. Ingeval een kapitaalverhoging een inbreng in natura omvat, zet het bestuursorgaan in het in artikel 7:179, § 1, eerste lid, bedoelde verslag uiteen waarom de inbreng van belang is voor de vennootschap. Het verslag bevat een beschrijving van elke inbreng in natura en bevat daarvan een gemotiveerde waardering. Het geeft aan welke vergoeding als tegenprestatie voor de inbreng wordt verstrekt. Het bestuursorgaan deelt dit verslag in ontwerp mee aan de commis- saris of, als er geen commissaris is, een door het bestuursorgaan aangestelde bedrijfsrevisor.</w:t>
      </w:r>
    </w:p>
    <w:p>
      <w:pPr>
        <w:pStyle w:val="BodyText"/>
        <w:spacing w:line="218" w:lineRule="auto" w:before="129"/>
      </w:pPr>
      <w:r>
        <w:rPr>
          <w:color w:val="231F20"/>
        </w:rPr>
        <w:t>De commissaris of, als er geen commissaris is, een bedrijfsrevisor aangewezen door het bestuursorgaan onderzoekt in het in artikel 7:179,</w:t>
      </w:r>
    </w:p>
    <w:p>
      <w:pPr>
        <w:pStyle w:val="BodyText"/>
        <w:spacing w:line="218" w:lineRule="auto"/>
        <w:ind w:firstLine="0"/>
      </w:pPr>
      <w:r>
        <w:rPr>
          <w:color w:val="231F20"/>
        </w:rPr>
        <w:t>§ 1, tweede lid, bedoelde verslag de door het bestuursorgaan toege- paste waardering en de daartoe aangewende waarderingsmethoden. Dat verslag heeft inzonderheid betrekking op de beschrijving van elke inbreng in natura en op de toegepaste methodes van waardering. Het verslag geeft aan of de waardebepalingen waartoe deze methodes leiden,</w:t>
      </w:r>
      <w:r>
        <w:rPr>
          <w:color w:val="231F20"/>
          <w:spacing w:val="-3"/>
        </w:rPr>
        <w:t> </w:t>
      </w:r>
      <w:r>
        <w:rPr>
          <w:color w:val="231F20"/>
        </w:rPr>
        <w:t>ten</w:t>
      </w:r>
      <w:r>
        <w:rPr>
          <w:color w:val="231F20"/>
          <w:spacing w:val="-3"/>
        </w:rPr>
        <w:t> </w:t>
      </w:r>
      <w:r>
        <w:rPr>
          <w:color w:val="231F20"/>
        </w:rPr>
        <w:t>minste</w:t>
      </w:r>
      <w:r>
        <w:rPr>
          <w:color w:val="231F20"/>
          <w:spacing w:val="-3"/>
        </w:rPr>
        <w:t> </w:t>
      </w:r>
      <w:r>
        <w:rPr>
          <w:color w:val="231F20"/>
        </w:rPr>
        <w:t>overeenkomen</w:t>
      </w:r>
      <w:r>
        <w:rPr>
          <w:color w:val="231F20"/>
          <w:spacing w:val="-3"/>
        </w:rPr>
        <w:t> </w:t>
      </w:r>
      <w:r>
        <w:rPr>
          <w:color w:val="231F20"/>
        </w:rPr>
        <w:t>met</w:t>
      </w:r>
      <w:r>
        <w:rPr>
          <w:color w:val="231F20"/>
          <w:spacing w:val="-3"/>
        </w:rPr>
        <w:t> </w:t>
      </w:r>
      <w:r>
        <w:rPr>
          <w:color w:val="231F20"/>
        </w:rPr>
        <w:t>het</w:t>
      </w:r>
      <w:r>
        <w:rPr>
          <w:color w:val="231F20"/>
          <w:spacing w:val="-3"/>
        </w:rPr>
        <w:t> </w:t>
      </w:r>
      <w:r>
        <w:rPr>
          <w:color w:val="231F20"/>
        </w:rPr>
        <w:t>aantal</w:t>
      </w:r>
      <w:r>
        <w:rPr>
          <w:color w:val="231F20"/>
          <w:spacing w:val="-3"/>
        </w:rPr>
        <w:t> </w:t>
      </w:r>
      <w:r>
        <w:rPr>
          <w:color w:val="231F20"/>
        </w:rPr>
        <w:t>en</w:t>
      </w:r>
      <w:r>
        <w:rPr>
          <w:color w:val="231F20"/>
          <w:spacing w:val="-3"/>
        </w:rPr>
        <w:t> </w:t>
      </w:r>
      <w:r>
        <w:rPr>
          <w:color w:val="231F20"/>
        </w:rPr>
        <w:t>de</w:t>
      </w:r>
      <w:r>
        <w:rPr>
          <w:color w:val="231F20"/>
          <w:spacing w:val="-3"/>
        </w:rPr>
        <w:t> </w:t>
      </w:r>
      <w:r>
        <w:rPr>
          <w:color w:val="231F20"/>
        </w:rPr>
        <w:t>nominale</w:t>
      </w:r>
      <w:r>
        <w:rPr>
          <w:color w:val="231F20"/>
          <w:spacing w:val="-3"/>
        </w:rPr>
        <w:t> </w:t>
      </w:r>
      <w:r>
        <w:rPr>
          <w:color w:val="231F20"/>
        </w:rPr>
        <w:t>waarde of, bij gebrek aan een nominale waarde, de fractiewaarde en, in voorkomend geval, met de uitgiftepremie van de tegen de inbreng uit  te geven aandelen. Het verslag vermeldt welke werkelijke vergoeding als</w:t>
      </w:r>
      <w:r>
        <w:rPr>
          <w:color w:val="231F20"/>
          <w:spacing w:val="15"/>
        </w:rPr>
        <w:t> </w:t>
      </w:r>
      <w:r>
        <w:rPr>
          <w:color w:val="231F20"/>
        </w:rPr>
        <w:t>tegenprestatie</w:t>
      </w:r>
      <w:r>
        <w:rPr>
          <w:color w:val="231F20"/>
          <w:spacing w:val="16"/>
        </w:rPr>
        <w:t> </w:t>
      </w:r>
      <w:r>
        <w:rPr>
          <w:color w:val="231F20"/>
        </w:rPr>
        <w:t>voor</w:t>
      </w:r>
      <w:r>
        <w:rPr>
          <w:color w:val="231F20"/>
          <w:spacing w:val="15"/>
        </w:rPr>
        <w:t> </w:t>
      </w:r>
      <w:r>
        <w:rPr>
          <w:color w:val="231F20"/>
        </w:rPr>
        <w:t>de</w:t>
      </w:r>
      <w:r>
        <w:rPr>
          <w:color w:val="231F20"/>
          <w:spacing w:val="16"/>
        </w:rPr>
        <w:t> </w:t>
      </w:r>
      <w:r>
        <w:rPr>
          <w:color w:val="231F20"/>
        </w:rPr>
        <w:t>inbreng</w:t>
      </w:r>
      <w:r>
        <w:rPr>
          <w:color w:val="231F20"/>
          <w:spacing w:val="16"/>
        </w:rPr>
        <w:t> </w:t>
      </w:r>
      <w:r>
        <w:rPr>
          <w:color w:val="231F20"/>
        </w:rPr>
        <w:t>wordt</w:t>
      </w:r>
      <w:r>
        <w:rPr>
          <w:color w:val="231F20"/>
          <w:spacing w:val="15"/>
        </w:rPr>
        <w:t> </w:t>
      </w:r>
      <w:r>
        <w:rPr>
          <w:color w:val="231F20"/>
        </w:rPr>
        <w:t>verstrekt.</w:t>
      </w:r>
    </w:p>
    <w:p>
      <w:pPr>
        <w:pStyle w:val="BodyText"/>
        <w:spacing w:line="218" w:lineRule="auto" w:before="129"/>
      </w:pPr>
      <w:r>
        <w:rPr>
          <w:color w:val="231F20"/>
        </w:rPr>
        <w:t>In zijn verslag, waarbij het verslag van de commissaris of van de bedrijfsrevisor wordt gevoegd, geeft het bestuursorgaan in voorko- mend geval aan waarom het van de conclusies van dit laatste verslag afwijkt.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38"/>
      </w:pPr>
      <w:r>
        <w:rPr/>
        <w:pict>
          <v:line style="position:absolute;mso-position-horizontal-relative:page;mso-position-vertical-relative:page;z-index:5800" from="298.170502pt,64.473pt" to="298.170502pt,812.819pt" stroked="true" strokeweight=".533pt" strokecolor="#231f20">
            <v:stroke dashstyle="solid"/>
            <w10:wrap type="none"/>
          </v:line>
        </w:pict>
      </w:r>
      <w:bookmarkStart w:name="_bookmark199" w:id="205"/>
      <w:bookmarkEnd w:id="205"/>
      <w:r>
        <w:rPr/>
      </w:r>
      <w:r>
        <w:rPr>
          <w:color w:val="231F20"/>
        </w:rPr>
        <w:t>Les rapports précités sont déposés et publiés conformément aux articles 2:8 et 2:14, 4°. Ils sont annoncés dans l’ordre du </w:t>
      </w:r>
      <w:r>
        <w:rPr>
          <w:color w:val="231F20"/>
          <w:spacing w:val="-3"/>
        </w:rPr>
        <w:t>jour. </w:t>
      </w:r>
      <w:r>
        <w:rPr>
          <w:color w:val="231F20"/>
        </w:rPr>
        <w:t>Une copie peut en être obtenue conformément à l’article 7:132.</w:t>
      </w:r>
    </w:p>
    <w:p>
      <w:pPr>
        <w:pStyle w:val="BodyText"/>
        <w:spacing w:before="3"/>
        <w:ind w:left="0" w:right="0" w:firstLine="0"/>
        <w:jc w:val="left"/>
        <w:rPr>
          <w:sz w:val="24"/>
        </w:rPr>
      </w:pPr>
    </w:p>
    <w:p>
      <w:pPr>
        <w:pStyle w:val="BodyText"/>
        <w:spacing w:line="213" w:lineRule="auto"/>
        <w:ind w:right="38"/>
      </w:pPr>
      <w:r>
        <w:rPr>
          <w:color w:val="231F20"/>
        </w:rPr>
        <w:t>En cas d’absence de la description et de la justification par l’organe d’administration, visée à l’alinéa 1</w:t>
      </w:r>
      <w:r>
        <w:rPr>
          <w:color w:val="231F20"/>
          <w:position w:val="7"/>
          <w:sz w:val="11"/>
        </w:rPr>
        <w:t>er</w:t>
      </w:r>
      <w:r>
        <w:rPr>
          <w:color w:val="231F20"/>
        </w:rPr>
        <w:t>, ou de l’évaluation et de la déclaration par le commissaire ou le réviseur d’entreprises, visée à l’alinéa 2, la décision de l’assemblée générale est nulle.</w:t>
      </w:r>
    </w:p>
    <w:p>
      <w:pPr>
        <w:pStyle w:val="BodyText"/>
        <w:spacing w:line="218" w:lineRule="auto" w:before="79"/>
        <w:ind w:right="39"/>
      </w:pPr>
      <w:r>
        <w:rPr>
          <w:color w:val="231F20"/>
        </w:rPr>
        <w:t>§ 2. Le paragraphe 1</w:t>
      </w:r>
      <w:r>
        <w:rPr>
          <w:color w:val="231F20"/>
          <w:position w:val="7"/>
          <w:sz w:val="11"/>
        </w:rPr>
        <w:t>er </w:t>
      </w:r>
      <w:r>
        <w:rPr>
          <w:color w:val="231F20"/>
        </w:rPr>
        <w:t>n’est pas applicable lorsqu’un apport en nature est constitué:</w:t>
      </w:r>
    </w:p>
    <w:p>
      <w:pPr>
        <w:pStyle w:val="BodyText"/>
        <w:spacing w:line="218" w:lineRule="auto" w:before="96"/>
        <w:ind w:right="38"/>
      </w:pPr>
      <w:r>
        <w:rPr>
          <w:color w:val="231F20"/>
        </w:rPr>
        <w:t>1° de valeurs mobilières ou d’instruments du marché monétaire visés à l’article 2, 31° et 32°, de la loi </w:t>
      </w:r>
      <w:r>
        <w:rPr>
          <w:color w:val="231F20"/>
          <w:spacing w:val="3"/>
        </w:rPr>
        <w:t>du </w:t>
      </w:r>
      <w:r>
        <w:rPr>
          <w:color w:val="231F20"/>
        </w:rPr>
        <w:t>2 août 2002 relative à la surveillance du secteur financier et aux services financiers, évalués au cours moyen pondéré auquel ils ont été négociés sur un ou plusieurs marchés réglementés visés à l’article 3, 7°, 8°  et  9°,  de  la  loi  du  21</w:t>
      </w:r>
      <w:r>
        <w:rPr>
          <w:color w:val="231F20"/>
          <w:spacing w:val="21"/>
        </w:rPr>
        <w:t> </w:t>
      </w:r>
      <w:r>
        <w:rPr>
          <w:color w:val="231F20"/>
        </w:rPr>
        <w:t>novem- bre 2017 relative aux infrastructures des marchés d’instruments finan- ciers et portant transposition de la directive 2014/65/UE durant les trois mois précédant la date effective de la réalisation de l’apport en nature;</w:t>
      </w:r>
    </w:p>
    <w:p>
      <w:pPr>
        <w:pStyle w:val="BodyText"/>
        <w:spacing w:before="11"/>
        <w:ind w:left="0" w:right="0" w:firstLine="0"/>
        <w:jc w:val="left"/>
        <w:rPr>
          <w:sz w:val="23"/>
        </w:rPr>
      </w:pPr>
    </w:p>
    <w:p>
      <w:pPr>
        <w:pStyle w:val="BodyText"/>
        <w:spacing w:line="218" w:lineRule="auto"/>
        <w:ind w:right="38"/>
      </w:pPr>
      <w:r>
        <w:rPr>
          <w:color w:val="231F20"/>
        </w:rPr>
        <w:t>2° d’éléments d’actif autres que les valeurs mobilières et instruments du marché monétaire visés au 1°, qui ont déjà été évalués par un réviseur d’entreprises et pour autant qu’il soit satisfait aux conditions suivantes:</w:t>
      </w:r>
    </w:p>
    <w:p>
      <w:pPr>
        <w:pStyle w:val="ListParagraph"/>
        <w:numPr>
          <w:ilvl w:val="0"/>
          <w:numId w:val="125"/>
        </w:numPr>
        <w:tabs>
          <w:tab w:pos="472" w:val="left" w:leader="none"/>
        </w:tabs>
        <w:spacing w:line="218" w:lineRule="auto" w:before="94" w:after="0"/>
        <w:ind w:left="113" w:right="38" w:firstLine="170"/>
        <w:jc w:val="both"/>
        <w:rPr>
          <w:sz w:val="17"/>
        </w:rPr>
      </w:pPr>
      <w:r>
        <w:rPr>
          <w:color w:val="231F20"/>
          <w:sz w:val="17"/>
        </w:rPr>
        <w:t>la juste valeur est déterminée à une date qui ne peut précéder de plus</w:t>
      </w:r>
      <w:r>
        <w:rPr>
          <w:color w:val="231F20"/>
          <w:spacing w:val="15"/>
          <w:sz w:val="17"/>
        </w:rPr>
        <w:t> </w:t>
      </w:r>
      <w:r>
        <w:rPr>
          <w:color w:val="231F20"/>
          <w:sz w:val="17"/>
        </w:rPr>
        <w:t>de</w:t>
      </w:r>
      <w:r>
        <w:rPr>
          <w:color w:val="231F20"/>
          <w:spacing w:val="16"/>
          <w:sz w:val="17"/>
        </w:rPr>
        <w:t> </w:t>
      </w:r>
      <w:r>
        <w:rPr>
          <w:color w:val="231F20"/>
          <w:sz w:val="17"/>
        </w:rPr>
        <w:t>six</w:t>
      </w:r>
      <w:r>
        <w:rPr>
          <w:color w:val="231F20"/>
          <w:spacing w:val="15"/>
          <w:sz w:val="17"/>
        </w:rPr>
        <w:t> </w:t>
      </w:r>
      <w:r>
        <w:rPr>
          <w:color w:val="231F20"/>
          <w:sz w:val="17"/>
        </w:rPr>
        <w:t>mois</w:t>
      </w:r>
      <w:r>
        <w:rPr>
          <w:color w:val="231F20"/>
          <w:spacing w:val="16"/>
          <w:sz w:val="17"/>
        </w:rPr>
        <w:t> </w:t>
      </w:r>
      <w:r>
        <w:rPr>
          <w:color w:val="231F20"/>
          <w:sz w:val="17"/>
        </w:rPr>
        <w:t>la</w:t>
      </w:r>
      <w:r>
        <w:rPr>
          <w:color w:val="231F20"/>
          <w:spacing w:val="15"/>
          <w:sz w:val="17"/>
        </w:rPr>
        <w:t> </w:t>
      </w:r>
      <w:r>
        <w:rPr>
          <w:color w:val="231F20"/>
          <w:sz w:val="17"/>
        </w:rPr>
        <w:t>réalisation</w:t>
      </w:r>
      <w:r>
        <w:rPr>
          <w:color w:val="231F20"/>
          <w:spacing w:val="16"/>
          <w:sz w:val="17"/>
        </w:rPr>
        <w:t> </w:t>
      </w:r>
      <w:r>
        <w:rPr>
          <w:color w:val="231F20"/>
          <w:sz w:val="17"/>
        </w:rPr>
        <w:t>effective</w:t>
      </w:r>
      <w:r>
        <w:rPr>
          <w:color w:val="231F20"/>
          <w:spacing w:val="15"/>
          <w:sz w:val="17"/>
        </w:rPr>
        <w:t> </w:t>
      </w:r>
      <w:r>
        <w:rPr>
          <w:color w:val="231F20"/>
          <w:sz w:val="17"/>
        </w:rPr>
        <w:t>de</w:t>
      </w:r>
      <w:r>
        <w:rPr>
          <w:color w:val="231F20"/>
          <w:spacing w:val="16"/>
          <w:sz w:val="17"/>
        </w:rPr>
        <w:t> </w:t>
      </w:r>
      <w:r>
        <w:rPr>
          <w:color w:val="231F20"/>
          <w:sz w:val="17"/>
        </w:rPr>
        <w:t>l’apport;</w:t>
      </w:r>
    </w:p>
    <w:p>
      <w:pPr>
        <w:pStyle w:val="BodyText"/>
        <w:spacing w:before="7"/>
        <w:ind w:left="0" w:right="0" w:firstLine="0"/>
        <w:jc w:val="left"/>
        <w:rPr>
          <w:sz w:val="23"/>
        </w:rPr>
      </w:pPr>
    </w:p>
    <w:p>
      <w:pPr>
        <w:pStyle w:val="ListParagraph"/>
        <w:numPr>
          <w:ilvl w:val="0"/>
          <w:numId w:val="125"/>
        </w:numPr>
        <w:tabs>
          <w:tab w:pos="509" w:val="left" w:leader="none"/>
        </w:tabs>
        <w:spacing w:line="218" w:lineRule="auto" w:before="1" w:after="0"/>
        <w:ind w:left="113" w:right="38" w:firstLine="170"/>
        <w:jc w:val="both"/>
        <w:rPr>
          <w:sz w:val="17"/>
        </w:rPr>
      </w:pPr>
      <w:r>
        <w:rPr>
          <w:color w:val="231F20"/>
          <w:sz w:val="17"/>
        </w:rPr>
        <w:t>l’évaluation a été réalisée conformément aux principes et aux normes d’évaluation généralement reconnus pour le type d’élément d’actif constituant</w:t>
      </w:r>
      <w:r>
        <w:rPr>
          <w:color w:val="231F20"/>
          <w:spacing w:val="-11"/>
          <w:sz w:val="17"/>
        </w:rPr>
        <w:t> </w:t>
      </w:r>
      <w:r>
        <w:rPr>
          <w:color w:val="231F20"/>
          <w:sz w:val="17"/>
        </w:rPr>
        <w:t>l’apport;</w:t>
      </w:r>
    </w:p>
    <w:p>
      <w:pPr>
        <w:pStyle w:val="BodyText"/>
        <w:spacing w:line="218" w:lineRule="auto" w:before="96"/>
        <w:ind w:right="38"/>
      </w:pPr>
      <w:r>
        <w:rPr>
          <w:color w:val="231F20"/>
        </w:rPr>
        <w:t>3° d’éléments d’actif autres que les valeurs mobilières et instruments du marché monétaire visés au 1° dont la juste valeur est tirée, pour chaque élément d’actif, des comptes annuels de l’exercice financier précédent, à condition que les comptes annuels aient été contrôlés par le commissaire ou par la personne chargée du contrôle des comptes annuels et à condition que le rapport de cette personne comprenne une attestation sans réserve.</w:t>
      </w:r>
    </w:p>
    <w:p>
      <w:pPr>
        <w:pStyle w:val="BodyText"/>
        <w:spacing w:line="218" w:lineRule="auto" w:before="81"/>
        <w:ind w:right="38"/>
      </w:pPr>
      <w:r>
        <w:rPr>
          <w:color w:val="231F20"/>
        </w:rPr>
        <w:t>Le paragraphe 1</w:t>
      </w:r>
      <w:r>
        <w:rPr>
          <w:color w:val="231F20"/>
          <w:position w:val="7"/>
          <w:sz w:val="11"/>
        </w:rPr>
        <w:t>er </w:t>
      </w:r>
      <w:r>
        <w:rPr>
          <w:color w:val="231F20"/>
        </w:rPr>
        <w:t>s’applique toutefois à la réévaluation effectuée à l’initiative et sous la responsabilité de l’organe d’administration:</w:t>
      </w:r>
    </w:p>
    <w:p>
      <w:pPr>
        <w:pStyle w:val="BodyText"/>
        <w:spacing w:before="7"/>
        <w:ind w:left="0" w:right="0" w:firstLine="0"/>
        <w:jc w:val="left"/>
        <w:rPr>
          <w:sz w:val="22"/>
        </w:rPr>
      </w:pPr>
    </w:p>
    <w:p>
      <w:pPr>
        <w:pStyle w:val="BodyText"/>
        <w:spacing w:line="218" w:lineRule="auto"/>
        <w:ind w:right="38"/>
      </w:pPr>
      <w:r>
        <w:rPr>
          <w:color w:val="231F20"/>
        </w:rPr>
        <w:t>1° dans le cas prévu au paragraphe 2, alinéa 1</w:t>
      </w:r>
      <w:r>
        <w:rPr>
          <w:color w:val="231F20"/>
          <w:position w:val="7"/>
          <w:sz w:val="11"/>
        </w:rPr>
        <w:t>er</w:t>
      </w:r>
      <w:r>
        <w:rPr>
          <w:color w:val="231F20"/>
        </w:rPr>
        <w:t>, 1°, si le prix a été affecté par des circonstances exceptionnelles pouvant modifier sensi- blement la valeur de l’élément d’actif à la date effective de son apport, notamment dans les cas où le marché de ces valeurs mobilières ou de ces instruments du marché monétaire n’est plus liquide;</w:t>
      </w:r>
    </w:p>
    <w:p>
      <w:pPr>
        <w:pStyle w:val="BodyText"/>
        <w:spacing w:before="7"/>
        <w:ind w:left="0" w:right="0" w:firstLine="0"/>
        <w:jc w:val="left"/>
        <w:rPr>
          <w:sz w:val="23"/>
        </w:rPr>
      </w:pPr>
    </w:p>
    <w:p>
      <w:pPr>
        <w:pStyle w:val="BodyText"/>
        <w:spacing w:line="218" w:lineRule="auto"/>
        <w:ind w:right="38"/>
      </w:pPr>
      <w:r>
        <w:rPr>
          <w:color w:val="231F20"/>
        </w:rPr>
        <w:t>2° dans les cas prévus au paragraphe 2, alinéa 1</w:t>
      </w:r>
      <w:r>
        <w:rPr>
          <w:color w:val="231F20"/>
          <w:position w:val="7"/>
          <w:sz w:val="11"/>
        </w:rPr>
        <w:t>er</w:t>
      </w:r>
      <w:r>
        <w:rPr>
          <w:color w:val="231F20"/>
        </w:rPr>
        <w:t>, 2° et 3°, si des circonstances particulières nouvelles peuvent modifier sensiblement la juste valeur de l’élément d’actif à la date effective de son apport.</w:t>
      </w:r>
    </w:p>
    <w:p>
      <w:pPr>
        <w:pStyle w:val="BodyText"/>
        <w:spacing w:before="1"/>
        <w:ind w:left="0" w:right="0" w:firstLine="0"/>
        <w:jc w:val="left"/>
        <w:rPr>
          <w:sz w:val="25"/>
        </w:rPr>
      </w:pPr>
    </w:p>
    <w:p>
      <w:pPr>
        <w:pStyle w:val="BodyText"/>
        <w:spacing w:line="213" w:lineRule="auto" w:before="1"/>
        <w:ind w:right="38"/>
      </w:pPr>
      <w:r>
        <w:rPr>
          <w:color w:val="231F20"/>
        </w:rPr>
        <w:t>Faute d’une réévaluation telle que visée au paragraphe 2, alinéa 2, 2°, un ou plusieurs actionnaires détenant un pourcentage total d’au moins 5 % du capital souscrit de la société au jour de la décision d’augmenter le capital peuvent demander une évaluation par un réviseur d’entre- prises conformément au paragraphe 1</w:t>
      </w:r>
      <w:r>
        <w:rPr>
          <w:color w:val="231F20"/>
          <w:position w:val="7"/>
          <w:sz w:val="11"/>
        </w:rPr>
        <w:t>er</w:t>
      </w:r>
      <w:r>
        <w:rPr>
          <w:color w:val="231F20"/>
        </w:rPr>
        <w:t>.</w:t>
      </w:r>
    </w:p>
    <w:p>
      <w:pPr>
        <w:pStyle w:val="BodyText"/>
        <w:spacing w:line="218" w:lineRule="auto" w:before="108"/>
        <w:ind w:right="38"/>
      </w:pPr>
      <w:r>
        <w:rPr>
          <w:color w:val="231F20"/>
        </w:rPr>
        <w:t>Cette demande peut être faite jusqu’à la date effective de l’apport de l’élément d’actif, à condition qu’à la date de la demande, le ou les actionnaires en question détiennent toujours un pourcentage total d’au moins 5 % du capital souscrit au jour de l’augmentation du capital.</w:t>
      </w:r>
    </w:p>
    <w:p>
      <w:pPr>
        <w:pStyle w:val="BodyText"/>
        <w:spacing w:before="7"/>
        <w:ind w:left="0" w:right="0" w:firstLine="0"/>
        <w:jc w:val="left"/>
        <w:rPr>
          <w:sz w:val="23"/>
        </w:rPr>
      </w:pPr>
    </w:p>
    <w:p>
      <w:pPr>
        <w:pStyle w:val="BodyText"/>
        <w:ind w:left="283" w:right="0" w:firstLine="0"/>
        <w:jc w:val="left"/>
      </w:pPr>
      <w:r>
        <w:rPr>
          <w:color w:val="231F20"/>
        </w:rPr>
        <w:t>Les frais de cette réévaluation sont à charge de la société.</w:t>
      </w:r>
    </w:p>
    <w:p>
      <w:pPr>
        <w:pStyle w:val="BodyText"/>
        <w:spacing w:before="10"/>
        <w:ind w:left="0" w:right="0" w:firstLine="0"/>
        <w:jc w:val="left"/>
        <w:rPr>
          <w:sz w:val="24"/>
        </w:rPr>
      </w:pPr>
    </w:p>
    <w:p>
      <w:pPr>
        <w:pStyle w:val="BodyText"/>
        <w:spacing w:line="213" w:lineRule="auto"/>
        <w:ind w:right="38"/>
      </w:pPr>
      <w:r>
        <w:rPr>
          <w:color w:val="231F20"/>
        </w:rPr>
        <w:t>§ 3. Dans les cas visés au paragraphe 2 où l’apport a lieu sans application du paragraphe 1</w:t>
      </w:r>
      <w:r>
        <w:rPr>
          <w:color w:val="231F20"/>
          <w:position w:val="7"/>
          <w:sz w:val="11"/>
        </w:rPr>
        <w:t>er</w:t>
      </w:r>
      <w:r>
        <w:rPr>
          <w:color w:val="231F20"/>
        </w:rPr>
        <w:t>, l’organe d’administration dépose une déclaration et la publie conformément aux articles 2:8 et 2:14, 4°, dans le délai d’un mois suivant la date effective de l’apport de l’élément d’actif. Cette déclaration contient les éléments suivants:</w:t>
      </w:r>
    </w:p>
    <w:p>
      <w:pPr>
        <w:pStyle w:val="BodyText"/>
        <w:spacing w:before="8"/>
        <w:ind w:left="0" w:right="0" w:firstLine="0"/>
        <w:jc w:val="left"/>
        <w:rPr>
          <w:sz w:val="23"/>
        </w:rPr>
      </w:pPr>
    </w:p>
    <w:p>
      <w:pPr>
        <w:pStyle w:val="BodyText"/>
        <w:spacing w:line="350" w:lineRule="auto" w:before="1"/>
        <w:ind w:left="283" w:right="1360" w:firstLine="0"/>
        <w:jc w:val="left"/>
      </w:pPr>
      <w:r>
        <w:rPr>
          <w:color w:val="231F20"/>
        </w:rPr>
        <w:t>1° une description de l’apport en nature concerné; 2° le nom de l’apporteur;</w:t>
      </w:r>
    </w:p>
    <w:p>
      <w:pPr>
        <w:pStyle w:val="BodyText"/>
        <w:spacing w:line="218" w:lineRule="auto" w:before="14"/>
        <w:ind w:right="38"/>
      </w:pPr>
      <w:r>
        <w:rPr>
          <w:color w:val="231F20"/>
        </w:rPr>
        <w:t>3° la valeur de cet apport, l’origine de cette évaluation et, le cas échéant, le mode d’évaluation;</w:t>
      </w:r>
    </w:p>
    <w:p>
      <w:pPr>
        <w:pStyle w:val="BodyText"/>
        <w:spacing w:line="218" w:lineRule="auto" w:before="107"/>
        <w:ind w:right="38"/>
      </w:pPr>
      <w:r>
        <w:rPr>
          <w:color w:val="231F20"/>
        </w:rPr>
        <w:t>4° la valeur nominale des actions ou, à défaut de valeur nominale, le nombre d’actions émises en contrepartie de chaque apport en nature;</w:t>
      </w:r>
    </w:p>
    <w:p>
      <w:pPr>
        <w:pStyle w:val="BodyText"/>
        <w:spacing w:line="218" w:lineRule="auto" w:before="119"/>
      </w:pPr>
      <w:r>
        <w:rPr/>
        <w:br w:type="column"/>
      </w:r>
      <w:r>
        <w:rPr>
          <w:color w:val="231F20"/>
        </w:rPr>
        <w:t>De hierboven bedoelde verslagen worden neergelegd en bekendge- maakt overeenkomstig de artikelen 2:8 en 2:14, 4°. Zij worden in de agenda vermeld. Een kopie ervan kan worden verkregen overeenkom- stig artikel 7:132.</w:t>
      </w:r>
    </w:p>
    <w:p>
      <w:pPr>
        <w:pStyle w:val="BodyText"/>
        <w:spacing w:line="218" w:lineRule="auto" w:before="97"/>
      </w:pPr>
      <w:r>
        <w:rPr>
          <w:color w:val="231F20"/>
        </w:rPr>
        <w:t>Wanneer de in het eerste lid bedoelde beschrijving en verantwoor- ding door het bestuursorgaan, of van de in het tweede lid bedoelde waardering en verklaring van de commissaris of van de bedrijfsrevisor ontbreekt, is het besluit van de algemene vergadering nietig.</w:t>
      </w:r>
    </w:p>
    <w:p>
      <w:pPr>
        <w:pStyle w:val="BodyText"/>
        <w:spacing w:line="218" w:lineRule="auto" w:before="96"/>
      </w:pPr>
      <w:r>
        <w:rPr>
          <w:color w:val="231F20"/>
        </w:rPr>
        <w:t>§ 2. Paragraaf 1 is niet van toepassing wanneer een inbreng in natura plaatsvindt:</w:t>
      </w:r>
    </w:p>
    <w:p>
      <w:pPr>
        <w:pStyle w:val="BodyText"/>
        <w:spacing w:line="218" w:lineRule="auto" w:before="96"/>
      </w:pPr>
      <w:r>
        <w:rPr>
          <w:color w:val="231F20"/>
        </w:rPr>
        <w:t>1° in de vorm van effecten of geldmarktinstrumenten zoals bepaald  in artikel 2, 31° en 32°, van de wet van 2 augustus 2002 betreffende het toezicht op de financiële sector en de financiële diensten, die worden gewaardeerd tegen de gewogen gemiddelde koers waartegen zij gedurende de drie maanden voorafgaand aan  de  daadwerkelijke datum van de verwezenlijking van de inbreng in natura op een of meer gereglementeerde markten zoals bepaald in artikel 3, 7°, 8° en 9°, van de wet van 21 november 2017 over de infrastructuren voor de markten voor financiële instrumenten en houdende omzetting van richtlijn 2014/65/EU zijn</w:t>
      </w:r>
      <w:r>
        <w:rPr>
          <w:color w:val="231F20"/>
          <w:spacing w:val="-12"/>
        </w:rPr>
        <w:t> </w:t>
      </w:r>
      <w:r>
        <w:rPr>
          <w:color w:val="231F20"/>
        </w:rPr>
        <w:t>toegelaten;</w:t>
      </w:r>
    </w:p>
    <w:p>
      <w:pPr>
        <w:pStyle w:val="BodyText"/>
        <w:spacing w:line="218" w:lineRule="auto" w:before="97"/>
      </w:pPr>
      <w:r>
        <w:rPr>
          <w:color w:val="231F20"/>
        </w:rPr>
        <w:t>2° in de vorm van andere vermogensbestanddelen dan de in het 1°, bedoelde effecten en geldmarktinstrumenten, die reeds door een bedrijfsrevisor zijn gewaardeerd en wanneer aan de volgende voor- waarden is voldaan:</w:t>
      </w:r>
    </w:p>
    <w:p>
      <w:pPr>
        <w:pStyle w:val="ListParagraph"/>
        <w:numPr>
          <w:ilvl w:val="0"/>
          <w:numId w:val="126"/>
        </w:numPr>
        <w:tabs>
          <w:tab w:pos="464" w:val="left" w:leader="none"/>
        </w:tabs>
        <w:spacing w:line="218" w:lineRule="auto" w:before="94" w:after="0"/>
        <w:ind w:left="113" w:right="124" w:firstLine="170"/>
        <w:jc w:val="both"/>
        <w:rPr>
          <w:sz w:val="17"/>
        </w:rPr>
      </w:pPr>
      <w:r>
        <w:rPr>
          <w:color w:val="231F20"/>
          <w:sz w:val="17"/>
        </w:rPr>
        <w:t>de waarde in het economisch verkeer werd bepaald op een datum die niet meer dan zes maanden aan de effectieve datum van de inbreng voorafgaat;</w:t>
      </w:r>
    </w:p>
    <w:p>
      <w:pPr>
        <w:pStyle w:val="ListParagraph"/>
        <w:numPr>
          <w:ilvl w:val="0"/>
          <w:numId w:val="126"/>
        </w:numPr>
        <w:tabs>
          <w:tab w:pos="480" w:val="left" w:leader="none"/>
        </w:tabs>
        <w:spacing w:line="218" w:lineRule="auto" w:before="93" w:after="0"/>
        <w:ind w:left="113" w:right="124" w:firstLine="170"/>
        <w:jc w:val="both"/>
        <w:rPr>
          <w:sz w:val="17"/>
        </w:rPr>
      </w:pPr>
      <w:r>
        <w:rPr>
          <w:color w:val="231F20"/>
          <w:sz w:val="17"/>
        </w:rPr>
        <w:t>de waardering is uitgevoerd met inachtneming van de algemeen aanvaarde normen en beginselen voor de waardering van de categorie vermogensbestanddelen die de inbreng</w:t>
      </w:r>
      <w:r>
        <w:rPr>
          <w:color w:val="231F20"/>
          <w:spacing w:val="22"/>
          <w:sz w:val="17"/>
        </w:rPr>
        <w:t> </w:t>
      </w:r>
      <w:r>
        <w:rPr>
          <w:color w:val="231F20"/>
          <w:sz w:val="17"/>
        </w:rPr>
        <w:t>vormen;</w:t>
      </w:r>
    </w:p>
    <w:p>
      <w:pPr>
        <w:pStyle w:val="BodyText"/>
        <w:spacing w:line="218" w:lineRule="auto" w:before="96"/>
      </w:pPr>
      <w:r>
        <w:rPr>
          <w:color w:val="231F20"/>
        </w:rPr>
        <w:t>3° in de vorm van andere vermogensbestanddelen dan de in het 1°, bedoelde effecten en geldmarktinstrumenten, waarbij de waarde in het economisch verkeer van elk vermogensbestanddeel is afgeleid uit de jaarrekening van het voorgaande boekjaar, mits de jaarrekening door</w:t>
      </w:r>
      <w:r>
        <w:rPr>
          <w:color w:val="231F20"/>
          <w:spacing w:val="-30"/>
        </w:rPr>
        <w:t> </w:t>
      </w:r>
      <w:r>
        <w:rPr>
          <w:color w:val="231F20"/>
        </w:rPr>
        <w:t>de commissaris of door de met de controle van de jaarrekening belaste persoon werd gecontroleerd en mits het verslag van die persoon een verklaring zonder voorbehoud</w:t>
      </w:r>
      <w:r>
        <w:rPr>
          <w:color w:val="231F20"/>
          <w:spacing w:val="7"/>
        </w:rPr>
        <w:t> </w:t>
      </w:r>
      <w:r>
        <w:rPr>
          <w:color w:val="231F20"/>
        </w:rPr>
        <w:t>bevat.</w:t>
      </w:r>
    </w:p>
    <w:p>
      <w:pPr>
        <w:pStyle w:val="BodyText"/>
        <w:spacing w:line="218" w:lineRule="auto" w:before="97"/>
      </w:pPr>
      <w:r>
        <w:rPr>
          <w:color w:val="231F20"/>
        </w:rPr>
        <w:t>Paragraaf 1 is evenwel van toepassing op de herwaardering waartoe wordt overgegaan op initiatief en onder de verantwoordelijkheid van het</w:t>
      </w:r>
      <w:r>
        <w:rPr>
          <w:color w:val="231F20"/>
          <w:spacing w:val="14"/>
        </w:rPr>
        <w:t> </w:t>
      </w:r>
      <w:r>
        <w:rPr>
          <w:color w:val="231F20"/>
        </w:rPr>
        <w:t>bestuursorgaan:</w:t>
      </w:r>
    </w:p>
    <w:p>
      <w:pPr>
        <w:pStyle w:val="BodyText"/>
        <w:spacing w:line="218" w:lineRule="auto" w:before="96"/>
      </w:pPr>
      <w:r>
        <w:rPr>
          <w:color w:val="231F20"/>
        </w:rPr>
        <w:t>1° op het in paragraaf 2, eerste lid, 1°, bepaalde geval indien de koers is beïnvloed door uitzonderlijke omstandigheden die zouden leiden tot een aanzienlijke wijziging van de waarde van het vermogensbestand- deel op de effectieve datum van de inbreng ervan, met inbegrip van situaties waarin de markt voor die effecten of geldmarktinstrumenten niet meer liquide</w:t>
      </w:r>
      <w:r>
        <w:rPr>
          <w:color w:val="231F20"/>
          <w:spacing w:val="3"/>
        </w:rPr>
        <w:t> </w:t>
      </w:r>
      <w:r>
        <w:rPr>
          <w:color w:val="231F20"/>
        </w:rPr>
        <w:t>is;</w:t>
      </w:r>
    </w:p>
    <w:p>
      <w:pPr>
        <w:pStyle w:val="BodyText"/>
        <w:spacing w:line="218" w:lineRule="auto" w:before="107"/>
      </w:pPr>
      <w:r>
        <w:rPr>
          <w:color w:val="231F20"/>
        </w:rPr>
        <w:t>2° op de in paragraaf 2, eerste lid, 2° en 3°, bepaalde gevallen indien nieuwe bijzondere omstandigheden zouden leiden tot een aanzienlijke wijziging van de waarde in het economisch verkeer van het</w:t>
      </w:r>
      <w:r>
        <w:rPr>
          <w:color w:val="231F20"/>
          <w:spacing w:val="18"/>
        </w:rPr>
        <w:t> </w:t>
      </w:r>
      <w:r>
        <w:rPr>
          <w:color w:val="231F20"/>
        </w:rPr>
        <w:t>vermo- gensbestanddeel</w:t>
      </w:r>
      <w:r>
        <w:rPr>
          <w:color w:val="231F20"/>
          <w:spacing w:val="17"/>
        </w:rPr>
        <w:t> </w:t>
      </w:r>
      <w:r>
        <w:rPr>
          <w:color w:val="231F20"/>
        </w:rPr>
        <w:t>op</w:t>
      </w:r>
      <w:r>
        <w:rPr>
          <w:color w:val="231F20"/>
          <w:spacing w:val="18"/>
        </w:rPr>
        <w:t> </w:t>
      </w:r>
      <w:r>
        <w:rPr>
          <w:color w:val="231F20"/>
        </w:rPr>
        <w:t>de</w:t>
      </w:r>
      <w:r>
        <w:rPr>
          <w:color w:val="231F20"/>
          <w:spacing w:val="18"/>
        </w:rPr>
        <w:t> </w:t>
      </w:r>
      <w:r>
        <w:rPr>
          <w:color w:val="231F20"/>
        </w:rPr>
        <w:t>effectieve</w:t>
      </w:r>
      <w:r>
        <w:rPr>
          <w:color w:val="231F20"/>
          <w:spacing w:val="17"/>
        </w:rPr>
        <w:t> </w:t>
      </w:r>
      <w:r>
        <w:rPr>
          <w:color w:val="231F20"/>
        </w:rPr>
        <w:t>datum</w:t>
      </w:r>
      <w:r>
        <w:rPr>
          <w:color w:val="231F20"/>
          <w:spacing w:val="18"/>
        </w:rPr>
        <w:t> </w:t>
      </w:r>
      <w:r>
        <w:rPr>
          <w:color w:val="231F20"/>
        </w:rPr>
        <w:t>van</w:t>
      </w:r>
      <w:r>
        <w:rPr>
          <w:color w:val="231F20"/>
          <w:spacing w:val="18"/>
        </w:rPr>
        <w:t> </w:t>
      </w:r>
      <w:r>
        <w:rPr>
          <w:color w:val="231F20"/>
        </w:rPr>
        <w:t>de</w:t>
      </w:r>
      <w:r>
        <w:rPr>
          <w:color w:val="231F20"/>
          <w:spacing w:val="17"/>
        </w:rPr>
        <w:t> </w:t>
      </w:r>
      <w:r>
        <w:rPr>
          <w:color w:val="231F20"/>
        </w:rPr>
        <w:t>inbreng</w:t>
      </w:r>
      <w:r>
        <w:rPr>
          <w:color w:val="231F20"/>
          <w:spacing w:val="18"/>
        </w:rPr>
        <w:t> </w:t>
      </w:r>
      <w:r>
        <w:rPr>
          <w:color w:val="231F20"/>
        </w:rPr>
        <w:t>ervan.</w:t>
      </w:r>
    </w:p>
    <w:p>
      <w:pPr>
        <w:pStyle w:val="BodyText"/>
        <w:spacing w:line="218" w:lineRule="auto" w:before="107"/>
      </w:pPr>
      <w:r>
        <w:rPr>
          <w:color w:val="231F20"/>
        </w:rPr>
        <w:t>Bij het ontbreken van een herwaardering zoals bedoeld in para-  graaf 2, tweede lid, 2°, kunnen één of meer aandeelhouders die op de dag dat het besluit tot kapitaalverhoging wordt genomen gezamenlijk ten minste 5 % van het geplaatste kapitaal in hun bezit hebben, een waardering</w:t>
      </w:r>
      <w:r>
        <w:rPr>
          <w:color w:val="231F20"/>
          <w:spacing w:val="18"/>
        </w:rPr>
        <w:t> </w:t>
      </w:r>
      <w:r>
        <w:rPr>
          <w:color w:val="231F20"/>
        </w:rPr>
        <w:t>volgens</w:t>
      </w:r>
      <w:r>
        <w:rPr>
          <w:color w:val="231F20"/>
          <w:spacing w:val="18"/>
        </w:rPr>
        <w:t> </w:t>
      </w:r>
      <w:r>
        <w:rPr>
          <w:color w:val="231F20"/>
        </w:rPr>
        <w:t>paragraaf</w:t>
      </w:r>
      <w:r>
        <w:rPr>
          <w:color w:val="231F20"/>
          <w:spacing w:val="18"/>
        </w:rPr>
        <w:t> </w:t>
      </w:r>
      <w:r>
        <w:rPr>
          <w:color w:val="231F20"/>
        </w:rPr>
        <w:t>1</w:t>
      </w:r>
      <w:r>
        <w:rPr>
          <w:color w:val="231F20"/>
          <w:spacing w:val="19"/>
        </w:rPr>
        <w:t> </w:t>
      </w:r>
      <w:r>
        <w:rPr>
          <w:color w:val="231F20"/>
        </w:rPr>
        <w:t>door</w:t>
      </w:r>
      <w:r>
        <w:rPr>
          <w:color w:val="231F20"/>
          <w:spacing w:val="18"/>
        </w:rPr>
        <w:t> </w:t>
      </w:r>
      <w:r>
        <w:rPr>
          <w:color w:val="231F20"/>
        </w:rPr>
        <w:t>een</w:t>
      </w:r>
      <w:r>
        <w:rPr>
          <w:color w:val="231F20"/>
          <w:spacing w:val="18"/>
        </w:rPr>
        <w:t> </w:t>
      </w:r>
      <w:r>
        <w:rPr>
          <w:color w:val="231F20"/>
        </w:rPr>
        <w:t>bedrijfsrevisor</w:t>
      </w:r>
      <w:r>
        <w:rPr>
          <w:color w:val="231F20"/>
          <w:spacing w:val="18"/>
        </w:rPr>
        <w:t> </w:t>
      </w:r>
      <w:r>
        <w:rPr>
          <w:color w:val="231F20"/>
        </w:rPr>
        <w:t>eisen.</w:t>
      </w:r>
    </w:p>
    <w:p>
      <w:pPr>
        <w:pStyle w:val="BodyText"/>
        <w:spacing w:line="218" w:lineRule="auto" w:before="107"/>
      </w:pPr>
      <w:r>
        <w:rPr>
          <w:color w:val="231F20"/>
        </w:rPr>
        <w:t>Deze eis kan worden ingediend tot de effectieve datum van de inbreng van het vermogensbestanddeel, op voorwaarde dat zij op datum van de eis nog steeds gezamenlijk ten minste 5 % van het geplaatste kapitaal op de dag van de kapitaalverhoging, in hun bezit hebben.</w:t>
      </w:r>
    </w:p>
    <w:p>
      <w:pPr>
        <w:pStyle w:val="BodyText"/>
        <w:spacing w:line="218" w:lineRule="auto" w:before="107"/>
      </w:pPr>
      <w:r>
        <w:rPr>
          <w:color w:val="231F20"/>
        </w:rPr>
        <w:t>De kosten van deze herwaardering komen ten laste van de vennoot- schap.</w:t>
      </w:r>
    </w:p>
    <w:p>
      <w:pPr>
        <w:pStyle w:val="BodyText"/>
        <w:spacing w:line="218" w:lineRule="auto" w:before="107"/>
      </w:pPr>
      <w:r>
        <w:rPr>
          <w:color w:val="231F20"/>
        </w:rPr>
        <w:t>§ 3. In de gevallen bepaald in paragraaf 2 waarin de inbreng plaatsvindt zonder toepassing van paragraaf 1, legt het bestuursorgaan binnen één maand na de effectieve datum van de inbreng van het vermogensbestanddeel een verklaring neer en maakt deze bekend overeenkomstig de artikelen 2:8 en 2:14, 4°, waarin de volgende inlichtingen worden vermeld:</w:t>
      </w:r>
    </w:p>
    <w:p>
      <w:pPr>
        <w:pStyle w:val="BodyText"/>
        <w:spacing w:line="350" w:lineRule="auto" w:before="93"/>
        <w:ind w:left="283" w:right="679" w:hanging="1"/>
        <w:jc w:val="left"/>
      </w:pPr>
      <w:r>
        <w:rPr>
          <w:color w:val="231F20"/>
        </w:rPr>
        <w:t>1° een beschrijving van de desbetreffende inbreng in natura; 2° de naam van de inbrenger;</w:t>
      </w:r>
    </w:p>
    <w:p>
      <w:pPr>
        <w:pStyle w:val="BodyText"/>
        <w:spacing w:line="218" w:lineRule="auto" w:before="15"/>
      </w:pPr>
      <w:r>
        <w:rPr>
          <w:color w:val="231F20"/>
        </w:rPr>
        <w:t>3° de waarde van deze inbreng, de herkomst van deze waardering,   en</w:t>
      </w:r>
      <w:r>
        <w:rPr>
          <w:color w:val="231F20"/>
          <w:spacing w:val="16"/>
        </w:rPr>
        <w:t> </w:t>
      </w:r>
      <w:r>
        <w:rPr>
          <w:color w:val="231F20"/>
        </w:rPr>
        <w:t>in</w:t>
      </w:r>
      <w:r>
        <w:rPr>
          <w:color w:val="231F20"/>
          <w:spacing w:val="17"/>
        </w:rPr>
        <w:t> </w:t>
      </w:r>
      <w:r>
        <w:rPr>
          <w:color w:val="231F20"/>
        </w:rPr>
        <w:t>voorkomend</w:t>
      </w:r>
      <w:r>
        <w:rPr>
          <w:color w:val="231F20"/>
          <w:spacing w:val="17"/>
        </w:rPr>
        <w:t> </w:t>
      </w:r>
      <w:r>
        <w:rPr>
          <w:color w:val="231F20"/>
        </w:rPr>
        <w:t>geval,</w:t>
      </w:r>
      <w:r>
        <w:rPr>
          <w:color w:val="231F20"/>
          <w:spacing w:val="17"/>
        </w:rPr>
        <w:t> </w:t>
      </w:r>
      <w:r>
        <w:rPr>
          <w:color w:val="231F20"/>
        </w:rPr>
        <w:t>de</w:t>
      </w:r>
      <w:r>
        <w:rPr>
          <w:color w:val="231F20"/>
          <w:spacing w:val="17"/>
        </w:rPr>
        <w:t> </w:t>
      </w:r>
      <w:r>
        <w:rPr>
          <w:color w:val="231F20"/>
        </w:rPr>
        <w:t>waarderingsmethode;</w:t>
      </w:r>
    </w:p>
    <w:p>
      <w:pPr>
        <w:pStyle w:val="BodyText"/>
        <w:spacing w:line="218" w:lineRule="auto" w:before="107"/>
      </w:pPr>
      <w:r>
        <w:rPr>
          <w:color w:val="231F20"/>
        </w:rPr>
        <w:t>4° de nominale waarde van de aandelen of, bij gebrek aan een nominale waarde, het aantal aandelen die tegen elke inbreng in natura zijn uitgegeven;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5824" from="298.170502pt,64.473pt" to="298.170502pt,812.819pt" stroked="true" strokeweight=".533pt" strokecolor="#231f20">
            <v:stroke dashstyle="solid"/>
            <w10:wrap type="none"/>
          </v:line>
        </w:pict>
      </w:r>
      <w:bookmarkStart w:name="_bookmark200" w:id="206"/>
      <w:bookmarkEnd w:id="206"/>
      <w:r>
        <w:rPr/>
      </w:r>
      <w:r>
        <w:rPr>
          <w:color w:val="231F20"/>
        </w:rPr>
        <w:t>5° une attestation précisant si les valeurs obtenues correspondent au moins au nombre et à la valeur nominale ou, à défaut de valeur nominale, au pair comptable et, le cas échéant, à la prime d’émission des actions à émettre en contrepartie de cet apport;</w:t>
      </w:r>
    </w:p>
    <w:p>
      <w:pPr>
        <w:pStyle w:val="BodyText"/>
        <w:spacing w:line="218" w:lineRule="auto" w:before="96"/>
        <w:ind w:right="41"/>
      </w:pPr>
      <w:r>
        <w:rPr>
          <w:color w:val="231F20"/>
        </w:rPr>
        <w:t>6° une attestation selon laquelle aucune circonstance particulière nouvelle susceptible d’influencer l’évaluation initiale n’est survenue.</w:t>
      </w:r>
    </w:p>
    <w:p>
      <w:pPr>
        <w:pStyle w:val="BodyText"/>
        <w:spacing w:before="8"/>
        <w:ind w:left="0" w:right="0" w:firstLine="0"/>
        <w:jc w:val="left"/>
        <w:rPr>
          <w:sz w:val="22"/>
        </w:rPr>
      </w:pPr>
    </w:p>
    <w:p>
      <w:pPr>
        <w:pStyle w:val="BodyText"/>
        <w:spacing w:line="319" w:lineRule="auto"/>
        <w:ind w:left="283" w:right="3001" w:firstLine="0"/>
        <w:jc w:val="left"/>
      </w:pPr>
      <w:r>
        <w:rPr>
          <w:color w:val="231F20"/>
        </w:rPr>
        <w:t>Section 4. Le capital autorisé. Sous-section 1</w:t>
      </w:r>
      <w:r>
        <w:rPr>
          <w:color w:val="231F20"/>
          <w:position w:val="7"/>
          <w:sz w:val="11"/>
        </w:rPr>
        <w:t>re</w:t>
      </w:r>
      <w:r>
        <w:rPr>
          <w:color w:val="231F20"/>
        </w:rPr>
        <w:t>. Principes.</w:t>
      </w:r>
    </w:p>
    <w:p>
      <w:pPr>
        <w:pStyle w:val="BodyText"/>
        <w:spacing w:line="218" w:lineRule="auto" w:before="28"/>
        <w:ind w:right="38"/>
      </w:pPr>
      <w:r>
        <w:rPr>
          <w:color w:val="231F20"/>
        </w:rPr>
        <w:t>Art. 7:198. Les statuts peuvent conférer à l’organe d’administration ou au conseil de surveillance le pouvoir d’augmenter en une ou plusieurs fois le capital souscrit à concurrence d’un montant déterminé qui, pour les sociétés cotées, ne peut être supérieur au montant dudit capital.</w:t>
      </w:r>
    </w:p>
    <w:p>
      <w:pPr>
        <w:pStyle w:val="BodyText"/>
        <w:spacing w:line="218" w:lineRule="auto" w:before="97"/>
        <w:ind w:right="38"/>
      </w:pPr>
      <w:r>
        <w:rPr>
          <w:color w:val="231F20"/>
        </w:rPr>
        <w:t>Dans les mêmes conditions, les statuts peuvent conférer à l’organe d’administration le pouvoir d’émettre des obligations convertibles ou des droits de souscription.</w:t>
      </w:r>
    </w:p>
    <w:p>
      <w:pPr>
        <w:pStyle w:val="BodyText"/>
        <w:spacing w:line="218" w:lineRule="auto" w:before="96"/>
        <w:ind w:right="39"/>
      </w:pPr>
      <w:r>
        <w:rPr>
          <w:color w:val="231F20"/>
        </w:rPr>
        <w:t>Les</w:t>
      </w:r>
      <w:r>
        <w:rPr>
          <w:color w:val="231F20"/>
          <w:spacing w:val="-4"/>
        </w:rPr>
        <w:t> </w:t>
      </w:r>
      <w:r>
        <w:rPr>
          <w:color w:val="231F20"/>
        </w:rPr>
        <w:t>articles</w:t>
      </w:r>
      <w:r>
        <w:rPr>
          <w:color w:val="231F20"/>
          <w:spacing w:val="-4"/>
        </w:rPr>
        <w:t> </w:t>
      </w:r>
      <w:r>
        <w:rPr>
          <w:color w:val="231F20"/>
        </w:rPr>
        <w:t>7:177,</w:t>
      </w:r>
      <w:r>
        <w:rPr>
          <w:color w:val="231F20"/>
          <w:spacing w:val="-3"/>
        </w:rPr>
        <w:t> </w:t>
      </w:r>
      <w:r>
        <w:rPr>
          <w:color w:val="231F20"/>
        </w:rPr>
        <w:t>alinéa</w:t>
      </w:r>
      <w:r>
        <w:rPr>
          <w:color w:val="231F20"/>
          <w:spacing w:val="-4"/>
        </w:rPr>
        <w:t> </w:t>
      </w:r>
      <w:r>
        <w:rPr>
          <w:color w:val="231F20"/>
        </w:rPr>
        <w:t>3,</w:t>
      </w:r>
      <w:r>
        <w:rPr>
          <w:color w:val="231F20"/>
          <w:spacing w:val="-3"/>
        </w:rPr>
        <w:t> </w:t>
      </w:r>
      <w:r>
        <w:rPr>
          <w:color w:val="231F20"/>
        </w:rPr>
        <w:t>7:178,</w:t>
      </w:r>
      <w:r>
        <w:rPr>
          <w:color w:val="231F20"/>
          <w:spacing w:val="-4"/>
        </w:rPr>
        <w:t> </w:t>
      </w:r>
      <w:r>
        <w:rPr>
          <w:color w:val="231F20"/>
        </w:rPr>
        <w:t>7:180,</w:t>
      </w:r>
      <w:r>
        <w:rPr>
          <w:color w:val="231F20"/>
          <w:spacing w:val="-4"/>
        </w:rPr>
        <w:t> </w:t>
      </w:r>
      <w:r>
        <w:rPr>
          <w:color w:val="231F20"/>
        </w:rPr>
        <w:t>7:188</w:t>
      </w:r>
      <w:r>
        <w:rPr>
          <w:color w:val="231F20"/>
          <w:spacing w:val="-3"/>
        </w:rPr>
        <w:t> </w:t>
      </w:r>
      <w:r>
        <w:rPr>
          <w:color w:val="231F20"/>
        </w:rPr>
        <w:t>à</w:t>
      </w:r>
      <w:r>
        <w:rPr>
          <w:color w:val="231F20"/>
          <w:spacing w:val="-4"/>
        </w:rPr>
        <w:t> </w:t>
      </w:r>
      <w:r>
        <w:rPr>
          <w:color w:val="231F20"/>
        </w:rPr>
        <w:t>7:197,</w:t>
      </w:r>
      <w:r>
        <w:rPr>
          <w:color w:val="231F20"/>
          <w:spacing w:val="-3"/>
        </w:rPr>
        <w:t> </w:t>
      </w:r>
      <w:r>
        <w:rPr>
          <w:color w:val="231F20"/>
        </w:rPr>
        <w:t>à</w:t>
      </w:r>
      <w:r>
        <w:rPr>
          <w:color w:val="231F20"/>
          <w:spacing w:val="-4"/>
        </w:rPr>
        <w:t> </w:t>
      </w:r>
      <w:r>
        <w:rPr>
          <w:color w:val="231F20"/>
        </w:rPr>
        <w:t>l’exception</w:t>
      </w:r>
      <w:r>
        <w:rPr>
          <w:color w:val="231F20"/>
          <w:spacing w:val="-4"/>
        </w:rPr>
        <w:t> </w:t>
      </w:r>
      <w:r>
        <w:rPr>
          <w:color w:val="231F20"/>
        </w:rPr>
        <w:t>de l’article</w:t>
      </w:r>
      <w:r>
        <w:rPr>
          <w:color w:val="231F20"/>
          <w:spacing w:val="13"/>
        </w:rPr>
        <w:t> </w:t>
      </w:r>
      <w:r>
        <w:rPr>
          <w:color w:val="231F20"/>
        </w:rPr>
        <w:t>7:192,</w:t>
      </w:r>
      <w:r>
        <w:rPr>
          <w:color w:val="231F20"/>
          <w:spacing w:val="13"/>
        </w:rPr>
        <w:t> </w:t>
      </w:r>
      <w:r>
        <w:rPr>
          <w:color w:val="231F20"/>
        </w:rPr>
        <w:t>alinéa</w:t>
      </w:r>
      <w:r>
        <w:rPr>
          <w:color w:val="231F20"/>
          <w:spacing w:val="14"/>
        </w:rPr>
        <w:t> </w:t>
      </w:r>
      <w:r>
        <w:rPr>
          <w:color w:val="231F20"/>
        </w:rPr>
        <w:t>2,</w:t>
      </w:r>
      <w:r>
        <w:rPr>
          <w:color w:val="231F20"/>
          <w:spacing w:val="13"/>
        </w:rPr>
        <w:t> </w:t>
      </w:r>
      <w:r>
        <w:rPr>
          <w:color w:val="231F20"/>
        </w:rPr>
        <w:t>sont</w:t>
      </w:r>
      <w:r>
        <w:rPr>
          <w:color w:val="231F20"/>
          <w:spacing w:val="13"/>
        </w:rPr>
        <w:t> </w:t>
      </w:r>
      <w:r>
        <w:rPr>
          <w:color w:val="231F20"/>
        </w:rPr>
        <w:t>applicables</w:t>
      </w:r>
      <w:r>
        <w:rPr>
          <w:color w:val="231F20"/>
          <w:spacing w:val="14"/>
        </w:rPr>
        <w:t> </w:t>
      </w:r>
      <w:r>
        <w:rPr>
          <w:color w:val="231F20"/>
        </w:rPr>
        <w:t>au</w:t>
      </w:r>
      <w:r>
        <w:rPr>
          <w:color w:val="231F20"/>
          <w:spacing w:val="13"/>
        </w:rPr>
        <w:t> </w:t>
      </w:r>
      <w:r>
        <w:rPr>
          <w:color w:val="231F20"/>
        </w:rPr>
        <w:t>présent</w:t>
      </w:r>
      <w:r>
        <w:rPr>
          <w:color w:val="231F20"/>
          <w:spacing w:val="13"/>
        </w:rPr>
        <w:t> </w:t>
      </w:r>
      <w:r>
        <w:rPr>
          <w:color w:val="231F20"/>
        </w:rPr>
        <w:t>article.</w:t>
      </w:r>
    </w:p>
    <w:p>
      <w:pPr>
        <w:pStyle w:val="BodyText"/>
        <w:spacing w:before="11"/>
        <w:ind w:left="0" w:right="0" w:firstLine="0"/>
        <w:jc w:val="left"/>
        <w:rPr>
          <w:sz w:val="23"/>
        </w:rPr>
      </w:pPr>
    </w:p>
    <w:p>
      <w:pPr>
        <w:pStyle w:val="BodyText"/>
        <w:spacing w:line="218" w:lineRule="auto"/>
        <w:ind w:right="38"/>
      </w:pPr>
      <w:r>
        <w:rPr>
          <w:color w:val="231F20"/>
        </w:rPr>
        <w:t>Si l’augmentation de capital par apport en nature a lieu en application de la procédure prévue à l’article 7:197, § 2, un avis indiquant la date à laquelle la décision d’augmenter le capital a été prise et contenant les éléments mentionnés dans l’article 7:197, § 3, est déposé et publié conformément aux articles 2:8 et 2:14, 4°, avant la réalisation de l’apport en nature. Dans ce cas, la déclaration visée à l’article 7:197, § 3, doit uniquement attester qu’aucune</w:t>
      </w:r>
      <w:r>
        <w:rPr>
          <w:color w:val="231F20"/>
          <w:spacing w:val="34"/>
        </w:rPr>
        <w:t> </w:t>
      </w:r>
      <w:r>
        <w:rPr>
          <w:color w:val="231F20"/>
        </w:rPr>
        <w:t>circonstance particulière nouvelle n’est survenue depuis la publication de l’avis mentionné</w:t>
      </w:r>
      <w:r>
        <w:rPr>
          <w:color w:val="231F20"/>
          <w:spacing w:val="14"/>
        </w:rPr>
        <w:t> </w:t>
      </w:r>
      <w:r>
        <w:rPr>
          <w:color w:val="231F20"/>
        </w:rPr>
        <w:t>ci-dessus.</w:t>
      </w:r>
    </w:p>
    <w:p>
      <w:pPr>
        <w:pStyle w:val="BodyText"/>
        <w:spacing w:line="218" w:lineRule="auto" w:before="96"/>
        <w:ind w:right="38"/>
      </w:pPr>
      <w:r>
        <w:rPr>
          <w:color w:val="231F20"/>
        </w:rPr>
        <w:t>Art. 7:199. Le pouvoir </w:t>
      </w:r>
      <w:r>
        <w:rPr>
          <w:color w:val="231F20"/>
          <w:spacing w:val="7"/>
        </w:rPr>
        <w:t>viséà </w:t>
      </w:r>
      <w:r>
        <w:rPr>
          <w:color w:val="231F20"/>
        </w:rPr>
        <w:t>l’article 7:198 n’est valable que pour cinq ans à dater de la publication de l’acte constitutif ou de la modification des statuts. L’assemblée générale peut toutefois, par décision prise selon les régles pour la modification des statuts, le cas échéant en respectant l’article 7:155, la renouveler une ou plusieurs fois pour une durée n’excédant pas cinq</w:t>
      </w:r>
      <w:r>
        <w:rPr>
          <w:color w:val="231F20"/>
          <w:spacing w:val="19"/>
        </w:rPr>
        <w:t> </w:t>
      </w:r>
      <w:r>
        <w:rPr>
          <w:color w:val="231F20"/>
        </w:rPr>
        <w:t>ans.</w:t>
      </w:r>
    </w:p>
    <w:p>
      <w:pPr>
        <w:pStyle w:val="BodyText"/>
        <w:spacing w:before="1"/>
        <w:ind w:left="0" w:right="0" w:firstLine="0"/>
        <w:jc w:val="left"/>
        <w:rPr>
          <w:sz w:val="24"/>
        </w:rPr>
      </w:pPr>
    </w:p>
    <w:p>
      <w:pPr>
        <w:pStyle w:val="BodyText"/>
        <w:spacing w:line="216" w:lineRule="auto" w:before="1"/>
        <w:ind w:right="38"/>
      </w:pPr>
      <w:r>
        <w:rPr>
          <w:color w:val="231F20"/>
        </w:rPr>
        <w:t>Lorsque les fondateurs ou l’assemblée générale décident d’accorder l’autorisation prévue à l’alinéa 1</w:t>
      </w:r>
      <w:r>
        <w:rPr>
          <w:color w:val="231F20"/>
          <w:position w:val="7"/>
          <w:sz w:val="11"/>
        </w:rPr>
        <w:t>er </w:t>
      </w:r>
      <w:r>
        <w:rPr>
          <w:color w:val="231F20"/>
        </w:rPr>
        <w:t>ou de la renouveler, ils indiquent les circonstances spécifiques dans lesquelles le capital autorisé pourra être utilisé et les objectifs poursuivis dans un rapport spécial. Le cas échéant, ce rapport est annoncé dans l’ordre du </w:t>
      </w:r>
      <w:r>
        <w:rPr>
          <w:color w:val="231F20"/>
          <w:spacing w:val="-3"/>
        </w:rPr>
        <w:t>jour. </w:t>
      </w:r>
      <w:r>
        <w:rPr>
          <w:color w:val="231F20"/>
        </w:rPr>
        <w:t>Une copie peut en être</w:t>
      </w:r>
      <w:r>
        <w:rPr>
          <w:color w:val="231F20"/>
          <w:spacing w:val="14"/>
        </w:rPr>
        <w:t> </w:t>
      </w:r>
      <w:r>
        <w:rPr>
          <w:color w:val="231F20"/>
        </w:rPr>
        <w:t>obtenue</w:t>
      </w:r>
      <w:r>
        <w:rPr>
          <w:color w:val="231F20"/>
          <w:spacing w:val="14"/>
        </w:rPr>
        <w:t> </w:t>
      </w:r>
      <w:r>
        <w:rPr>
          <w:color w:val="231F20"/>
        </w:rPr>
        <w:t>conformément</w:t>
      </w:r>
      <w:r>
        <w:rPr>
          <w:color w:val="231F20"/>
          <w:spacing w:val="14"/>
        </w:rPr>
        <w:t> </w:t>
      </w:r>
      <w:r>
        <w:rPr>
          <w:color w:val="231F20"/>
        </w:rPr>
        <w:t>à</w:t>
      </w:r>
      <w:r>
        <w:rPr>
          <w:color w:val="231F20"/>
          <w:spacing w:val="14"/>
        </w:rPr>
        <w:t> </w:t>
      </w:r>
      <w:r>
        <w:rPr>
          <w:color w:val="231F20"/>
        </w:rPr>
        <w:t>l’article</w:t>
      </w:r>
      <w:r>
        <w:rPr>
          <w:color w:val="231F20"/>
          <w:spacing w:val="15"/>
        </w:rPr>
        <w:t> </w:t>
      </w:r>
      <w:r>
        <w:rPr>
          <w:color w:val="231F20"/>
        </w:rPr>
        <w:t>7:132.</w:t>
      </w:r>
    </w:p>
    <w:p>
      <w:pPr>
        <w:pStyle w:val="BodyText"/>
        <w:spacing w:before="5"/>
        <w:ind w:left="0" w:right="0" w:firstLine="0"/>
        <w:jc w:val="left"/>
        <w:rPr>
          <w:sz w:val="23"/>
        </w:rPr>
      </w:pPr>
    </w:p>
    <w:p>
      <w:pPr>
        <w:pStyle w:val="BodyText"/>
        <w:spacing w:line="218" w:lineRule="auto" w:before="1"/>
        <w:ind w:right="38"/>
      </w:pPr>
      <w:r>
        <w:rPr>
          <w:color w:val="231F20"/>
        </w:rPr>
        <w:t>L’absence du rapport prévu à l’alinéa 2 entraîne la nullité de la décision de l’assemblée générale.</w:t>
      </w:r>
    </w:p>
    <w:p>
      <w:pPr>
        <w:pStyle w:val="BodyText"/>
        <w:spacing w:before="82"/>
        <w:ind w:left="283" w:right="0" w:firstLine="0"/>
        <w:jc w:val="left"/>
      </w:pPr>
      <w:r>
        <w:rPr>
          <w:color w:val="231F20"/>
        </w:rPr>
        <w:t>Sous-section 2. Limitations.</w:t>
      </w:r>
    </w:p>
    <w:p>
      <w:pPr>
        <w:pStyle w:val="BodyText"/>
        <w:spacing w:line="218" w:lineRule="auto" w:before="92"/>
        <w:ind w:right="38"/>
      </w:pPr>
      <w:r>
        <w:rPr>
          <w:color w:val="231F20"/>
        </w:rPr>
        <w:t>Art. 7:200. </w:t>
      </w:r>
      <w:r>
        <w:rPr>
          <w:color w:val="231F20"/>
          <w:spacing w:val="-3"/>
        </w:rPr>
        <w:t>L’organe </w:t>
      </w:r>
      <w:r>
        <w:rPr>
          <w:color w:val="231F20"/>
        </w:rPr>
        <w:t>d’administration ne peut utiliser le pouvoir visé à</w:t>
      </w:r>
      <w:r>
        <w:rPr>
          <w:color w:val="231F20"/>
          <w:spacing w:val="-5"/>
        </w:rPr>
        <w:t> </w:t>
      </w:r>
      <w:r>
        <w:rPr>
          <w:color w:val="231F20"/>
        </w:rPr>
        <w:t>l’article</w:t>
      </w:r>
      <w:r>
        <w:rPr>
          <w:color w:val="231F20"/>
          <w:spacing w:val="-4"/>
        </w:rPr>
        <w:t> </w:t>
      </w:r>
      <w:r>
        <w:rPr>
          <w:color w:val="231F20"/>
        </w:rPr>
        <w:t>7:198</w:t>
      </w:r>
      <w:r>
        <w:rPr>
          <w:color w:val="231F20"/>
          <w:spacing w:val="-4"/>
        </w:rPr>
        <w:t> </w:t>
      </w:r>
      <w:r>
        <w:rPr>
          <w:color w:val="231F20"/>
        </w:rPr>
        <w:t>pour</w:t>
      </w:r>
      <w:r>
        <w:rPr>
          <w:color w:val="231F20"/>
          <w:spacing w:val="-4"/>
        </w:rPr>
        <w:t> </w:t>
      </w:r>
      <w:r>
        <w:rPr>
          <w:color w:val="231F20"/>
        </w:rPr>
        <w:t>les</w:t>
      </w:r>
      <w:r>
        <w:rPr>
          <w:color w:val="231F20"/>
          <w:spacing w:val="-4"/>
        </w:rPr>
        <w:t> </w:t>
      </w:r>
      <w:r>
        <w:rPr>
          <w:color w:val="231F20"/>
        </w:rPr>
        <w:t>opérations</w:t>
      </w:r>
      <w:r>
        <w:rPr>
          <w:color w:val="231F20"/>
          <w:spacing w:val="-4"/>
        </w:rPr>
        <w:t> </w:t>
      </w:r>
      <w:r>
        <w:rPr>
          <w:color w:val="231F20"/>
        </w:rPr>
        <w:t>suivantes,</w:t>
      </w:r>
      <w:r>
        <w:rPr>
          <w:color w:val="231F20"/>
          <w:spacing w:val="-4"/>
        </w:rPr>
        <w:t> </w:t>
      </w:r>
      <w:r>
        <w:rPr>
          <w:color w:val="231F20"/>
        </w:rPr>
        <w:t>à</w:t>
      </w:r>
      <w:r>
        <w:rPr>
          <w:color w:val="231F20"/>
          <w:spacing w:val="-4"/>
        </w:rPr>
        <w:t> </w:t>
      </w:r>
      <w:r>
        <w:rPr>
          <w:color w:val="231F20"/>
        </w:rPr>
        <w:t>moins</w:t>
      </w:r>
      <w:r>
        <w:rPr>
          <w:color w:val="231F20"/>
          <w:spacing w:val="-4"/>
        </w:rPr>
        <w:t> </w:t>
      </w:r>
      <w:r>
        <w:rPr>
          <w:color w:val="231F20"/>
        </w:rPr>
        <w:t>que</w:t>
      </w:r>
      <w:r>
        <w:rPr>
          <w:color w:val="231F20"/>
          <w:spacing w:val="-4"/>
        </w:rPr>
        <w:t> </w:t>
      </w:r>
      <w:r>
        <w:rPr>
          <w:color w:val="231F20"/>
        </w:rPr>
        <w:t>l’autorisation ne les prévoie</w:t>
      </w:r>
      <w:r>
        <w:rPr>
          <w:color w:val="231F20"/>
          <w:spacing w:val="3"/>
        </w:rPr>
        <w:t> </w:t>
      </w:r>
      <w:r>
        <w:rPr>
          <w:color w:val="231F20"/>
        </w:rPr>
        <w:t>expressément:</w:t>
      </w:r>
    </w:p>
    <w:p>
      <w:pPr>
        <w:pStyle w:val="BodyText"/>
        <w:spacing w:line="218" w:lineRule="auto" w:before="97"/>
        <w:ind w:right="38"/>
      </w:pPr>
      <w:r>
        <w:rPr>
          <w:color w:val="231F20"/>
        </w:rPr>
        <w:t>1° les augmentations de capital ou les émissions d’obligations convertibles ou de droits de souscription à l’occasion desquelles le droit de préférence des actionnaires est limité ou supprimé;</w:t>
      </w:r>
    </w:p>
    <w:p>
      <w:pPr>
        <w:pStyle w:val="BodyText"/>
        <w:spacing w:line="216" w:lineRule="auto" w:before="97"/>
        <w:ind w:right="38"/>
      </w:pPr>
      <w:r>
        <w:rPr>
          <w:color w:val="231F20"/>
        </w:rPr>
        <w:t>2° les augmentations de capital ou les émissions d’obligations convertibles ou de droits de souscription à l’occasion desquelles le droit de préférence des actionnaires est limité ou supprimé en faveur d’une ou plusieurs personnes déterminées, autres que les membres du personnel; dans ce cas, les administrateurs qui représentent en fait le bénéficiaire de l’exclusion du droit de préférence ou une personne liée au bénéficiaire au sens de l’article 7:193, § 1</w:t>
      </w:r>
      <w:r>
        <w:rPr>
          <w:color w:val="231F20"/>
          <w:position w:val="7"/>
          <w:sz w:val="11"/>
        </w:rPr>
        <w:t>er</w:t>
      </w:r>
      <w:r>
        <w:rPr>
          <w:color w:val="231F20"/>
        </w:rPr>
        <w:t>, alinéa 6, ne peuvent participer au vote;</w:t>
      </w:r>
    </w:p>
    <w:p>
      <w:pPr>
        <w:pStyle w:val="BodyText"/>
        <w:spacing w:line="218" w:lineRule="auto" w:before="96"/>
        <w:ind w:right="38"/>
      </w:pPr>
      <w:r>
        <w:rPr>
          <w:color w:val="231F20"/>
        </w:rPr>
        <w:t>3° les augmentations de capital effectuées par incorporation de réserves.</w:t>
      </w:r>
    </w:p>
    <w:p>
      <w:pPr>
        <w:pStyle w:val="BodyText"/>
        <w:spacing w:line="218" w:lineRule="auto" w:before="96"/>
        <w:ind w:right="38"/>
      </w:pPr>
      <w:r>
        <w:rPr>
          <w:color w:val="231F20"/>
        </w:rPr>
        <w:t>Art. 7:201. L’organe d’administration ne peut pas utiliser le pouvoir visé à l’article 7:198 pour les opérations suivantes:</w:t>
      </w:r>
    </w:p>
    <w:p>
      <w:pPr>
        <w:pStyle w:val="BodyText"/>
        <w:spacing w:line="218" w:lineRule="auto" w:before="96"/>
        <w:ind w:right="38"/>
      </w:pPr>
      <w:r>
        <w:rPr>
          <w:color w:val="231F20"/>
        </w:rPr>
        <w:t>1° l’émission de droits de souscription réservée à titre principal à une ou plusieurs personnes déterminées autres que des membres du personnel;</w:t>
      </w:r>
    </w:p>
    <w:p>
      <w:pPr>
        <w:pStyle w:val="BodyText"/>
        <w:spacing w:line="218" w:lineRule="auto" w:before="96"/>
        <w:ind w:right="38"/>
      </w:pPr>
      <w:r>
        <w:rPr>
          <w:color w:val="231F20"/>
        </w:rPr>
        <w:t>2° l’émission d’actions à droit de vote multiple ou de titres donnant droit à l’émission de ou à la conversion en actions à droit de vote multiple;</w:t>
      </w:r>
    </w:p>
    <w:p>
      <w:pPr>
        <w:pStyle w:val="BodyText"/>
        <w:spacing w:line="218" w:lineRule="auto" w:before="96"/>
        <w:ind w:right="38"/>
      </w:pPr>
      <w:r>
        <w:rPr>
          <w:color w:val="231F20"/>
        </w:rPr>
        <w:t>3° les augmentations de capital à réaliser principalement par</w:t>
      </w:r>
      <w:r>
        <w:rPr>
          <w:color w:val="231F20"/>
          <w:spacing w:val="24"/>
        </w:rPr>
        <w:t> </w:t>
      </w:r>
      <w:r>
        <w:rPr>
          <w:color w:val="231F20"/>
        </w:rPr>
        <w:t>des apports en nature réservées exclusivement à un actionnaire de la</w:t>
      </w:r>
      <w:r>
        <w:rPr>
          <w:color w:val="231F20"/>
          <w:spacing w:val="-30"/>
        </w:rPr>
        <w:t> </w:t>
      </w:r>
      <w:r>
        <w:rPr>
          <w:color w:val="231F20"/>
        </w:rPr>
        <w:t>société détenant des titres de cette société auxquels sont attachés plus de 10 % des droits de</w:t>
      </w:r>
      <w:r>
        <w:rPr>
          <w:color w:val="231F20"/>
          <w:spacing w:val="4"/>
        </w:rPr>
        <w:t> </w:t>
      </w:r>
      <w:r>
        <w:rPr>
          <w:color w:val="231F20"/>
        </w:rPr>
        <w:t>vote.</w:t>
      </w:r>
    </w:p>
    <w:p>
      <w:pPr>
        <w:pStyle w:val="BodyText"/>
        <w:spacing w:line="218" w:lineRule="auto" w:before="119"/>
      </w:pPr>
      <w:r>
        <w:rPr/>
        <w:br w:type="column"/>
      </w:r>
      <w:r>
        <w:rPr>
          <w:color w:val="231F20"/>
        </w:rPr>
        <w:t>5° een attest dat bepaalt of de verkregen waarde ten minste met het aantal en de nominale waarde of, bij gebrek aan een nominale waarde, de fractiewaarde en, in voorkomend geval, met de uitgiftepremie van  de</w:t>
      </w:r>
      <w:r>
        <w:rPr>
          <w:color w:val="231F20"/>
          <w:spacing w:val="16"/>
        </w:rPr>
        <w:t> </w:t>
      </w:r>
      <w:r>
        <w:rPr>
          <w:color w:val="231F20"/>
        </w:rPr>
        <w:t>tegen</w:t>
      </w:r>
      <w:r>
        <w:rPr>
          <w:color w:val="231F20"/>
          <w:spacing w:val="16"/>
        </w:rPr>
        <w:t> </w:t>
      </w:r>
      <w:r>
        <w:rPr>
          <w:color w:val="231F20"/>
        </w:rPr>
        <w:t>de</w:t>
      </w:r>
      <w:r>
        <w:rPr>
          <w:color w:val="231F20"/>
          <w:spacing w:val="16"/>
        </w:rPr>
        <w:t> </w:t>
      </w:r>
      <w:r>
        <w:rPr>
          <w:color w:val="231F20"/>
        </w:rPr>
        <w:t>inbreng</w:t>
      </w:r>
      <w:r>
        <w:rPr>
          <w:color w:val="231F20"/>
          <w:spacing w:val="16"/>
        </w:rPr>
        <w:t> </w:t>
      </w:r>
      <w:r>
        <w:rPr>
          <w:color w:val="231F20"/>
        </w:rPr>
        <w:t>uit</w:t>
      </w:r>
      <w:r>
        <w:rPr>
          <w:color w:val="231F20"/>
          <w:spacing w:val="16"/>
        </w:rPr>
        <w:t> </w:t>
      </w:r>
      <w:r>
        <w:rPr>
          <w:color w:val="231F20"/>
        </w:rPr>
        <w:t>te</w:t>
      </w:r>
      <w:r>
        <w:rPr>
          <w:color w:val="231F20"/>
          <w:spacing w:val="16"/>
        </w:rPr>
        <w:t> </w:t>
      </w:r>
      <w:r>
        <w:rPr>
          <w:color w:val="231F20"/>
        </w:rPr>
        <w:t>geven</w:t>
      </w:r>
      <w:r>
        <w:rPr>
          <w:color w:val="231F20"/>
          <w:spacing w:val="16"/>
        </w:rPr>
        <w:t> </w:t>
      </w:r>
      <w:r>
        <w:rPr>
          <w:color w:val="231F20"/>
        </w:rPr>
        <w:t>aandelen</w:t>
      </w:r>
      <w:r>
        <w:rPr>
          <w:color w:val="231F20"/>
          <w:spacing w:val="16"/>
        </w:rPr>
        <w:t> </w:t>
      </w:r>
      <w:r>
        <w:rPr>
          <w:color w:val="231F20"/>
        </w:rPr>
        <w:t>overeenkomt;</w:t>
      </w:r>
    </w:p>
    <w:p>
      <w:pPr>
        <w:pStyle w:val="BodyText"/>
        <w:spacing w:line="218" w:lineRule="auto" w:before="97"/>
      </w:pPr>
      <w:r>
        <w:rPr>
          <w:color w:val="231F20"/>
        </w:rPr>
        <w:t>6° een attest dat er zich geen nieuwe bijzondere</w:t>
      </w:r>
      <w:r>
        <w:rPr>
          <w:color w:val="231F20"/>
          <w:spacing w:val="17"/>
        </w:rPr>
        <w:t> </w:t>
      </w:r>
      <w:r>
        <w:rPr>
          <w:color w:val="231F20"/>
        </w:rPr>
        <w:t>omstandigheden hebben voorgedaan ten opzichte van de oorspronkelijke  waardering die deze kunnen</w:t>
      </w:r>
      <w:r>
        <w:rPr>
          <w:color w:val="231F20"/>
          <w:spacing w:val="5"/>
        </w:rPr>
        <w:t> </w:t>
      </w:r>
      <w:r>
        <w:rPr>
          <w:color w:val="231F20"/>
        </w:rPr>
        <w:t>beïnvloeden.</w:t>
      </w:r>
    </w:p>
    <w:p>
      <w:pPr>
        <w:pStyle w:val="BodyText"/>
        <w:spacing w:line="338" w:lineRule="auto" w:before="82"/>
        <w:ind w:left="283" w:right="2162" w:firstLine="0"/>
        <w:jc w:val="left"/>
      </w:pPr>
      <w:r>
        <w:rPr>
          <w:color w:val="231F20"/>
        </w:rPr>
        <w:t>Afdeling 4. Het toegestane kapitaal. Onderafdeling 1. Beginselen.</w:t>
      </w:r>
    </w:p>
    <w:p>
      <w:pPr>
        <w:pStyle w:val="BodyText"/>
        <w:spacing w:line="218" w:lineRule="auto" w:before="13"/>
      </w:pPr>
      <w:r>
        <w:rPr>
          <w:color w:val="231F20"/>
        </w:rPr>
        <w:t>Art. 7:198. De statuten kunnen aan het bestuursorgaan of aan de</w:t>
      </w:r>
      <w:r>
        <w:rPr>
          <w:color w:val="231F20"/>
          <w:spacing w:val="-10"/>
        </w:rPr>
        <w:t> </w:t>
      </w:r>
      <w:r>
        <w:rPr>
          <w:color w:val="231F20"/>
        </w:rPr>
        <w:t>raad van toezicht de bevoegdheid toekennen om het geplaatste kapitaal in één of meer malen tot een bepaald bedrag te verhogen, dat, voor genoteerde vennootschappen, niet hoger mag zijn dan het bedrag van dat</w:t>
      </w:r>
      <w:r>
        <w:rPr>
          <w:color w:val="231F20"/>
          <w:spacing w:val="15"/>
        </w:rPr>
        <w:t> </w:t>
      </w:r>
      <w:r>
        <w:rPr>
          <w:color w:val="231F20"/>
        </w:rPr>
        <w:t>kapitaal.</w:t>
      </w:r>
    </w:p>
    <w:p>
      <w:pPr>
        <w:pStyle w:val="BodyText"/>
        <w:spacing w:line="218" w:lineRule="auto" w:before="96"/>
      </w:pPr>
      <w:r>
        <w:rPr>
          <w:color w:val="231F20"/>
        </w:rPr>
        <w:t>Onder dezelfde voorwaarden kunnen de statuten het bestuursorgaan de bevoegdheid toekennen om converteerbare obligaties of inschrij- vingsrechten uit te geven.</w:t>
      </w:r>
    </w:p>
    <w:p>
      <w:pPr>
        <w:pStyle w:val="BodyText"/>
        <w:spacing w:line="218" w:lineRule="auto" w:before="96"/>
      </w:pPr>
      <w:r>
        <w:rPr>
          <w:color w:val="231F20"/>
        </w:rPr>
        <w:t>De artikelen 7:177, derde lid, 7:178, 7:180, 7:188 tot 7:197, met uitzondering van artikel 7:192, tweede lid, zijn van toepassing op dit artikel.</w:t>
      </w:r>
    </w:p>
    <w:p>
      <w:pPr>
        <w:pStyle w:val="BodyText"/>
        <w:spacing w:line="218" w:lineRule="auto" w:before="97"/>
      </w:pPr>
      <w:r>
        <w:rPr>
          <w:color w:val="231F20"/>
        </w:rPr>
        <w:t>Indien de kapitaalverhoging bij wijze van inbreng in natura plaats- vindt met toepassing van artikel 7:197, § 2, wordt, vóór de inbreng in natura is verwezenlijkt, een aankondiging neergelegd en bekendge- maakt</w:t>
      </w:r>
      <w:r>
        <w:rPr>
          <w:color w:val="231F20"/>
          <w:spacing w:val="-5"/>
        </w:rPr>
        <w:t> </w:t>
      </w:r>
      <w:r>
        <w:rPr>
          <w:color w:val="231F20"/>
        </w:rPr>
        <w:t>overeenkomstig</w:t>
      </w:r>
      <w:r>
        <w:rPr>
          <w:color w:val="231F20"/>
          <w:spacing w:val="-5"/>
        </w:rPr>
        <w:t> </w:t>
      </w:r>
      <w:r>
        <w:rPr>
          <w:color w:val="231F20"/>
        </w:rPr>
        <w:t>de</w:t>
      </w:r>
      <w:r>
        <w:rPr>
          <w:color w:val="231F20"/>
          <w:spacing w:val="-4"/>
        </w:rPr>
        <w:t> </w:t>
      </w:r>
      <w:r>
        <w:rPr>
          <w:color w:val="231F20"/>
        </w:rPr>
        <w:t>artikelen</w:t>
      </w:r>
      <w:r>
        <w:rPr>
          <w:color w:val="231F20"/>
          <w:spacing w:val="-5"/>
        </w:rPr>
        <w:t> </w:t>
      </w:r>
      <w:r>
        <w:rPr>
          <w:color w:val="231F20"/>
        </w:rPr>
        <w:t>2:8</w:t>
      </w:r>
      <w:r>
        <w:rPr>
          <w:color w:val="231F20"/>
          <w:spacing w:val="-5"/>
        </w:rPr>
        <w:t> </w:t>
      </w:r>
      <w:r>
        <w:rPr>
          <w:color w:val="231F20"/>
        </w:rPr>
        <w:t>en</w:t>
      </w:r>
      <w:r>
        <w:rPr>
          <w:color w:val="231F20"/>
          <w:spacing w:val="-4"/>
        </w:rPr>
        <w:t> </w:t>
      </w:r>
      <w:r>
        <w:rPr>
          <w:color w:val="231F20"/>
        </w:rPr>
        <w:t>2:14,</w:t>
      </w:r>
      <w:r>
        <w:rPr>
          <w:color w:val="231F20"/>
          <w:spacing w:val="-5"/>
        </w:rPr>
        <w:t> </w:t>
      </w:r>
      <w:r>
        <w:rPr>
          <w:color w:val="231F20"/>
        </w:rPr>
        <w:t>4°,</w:t>
      </w:r>
      <w:r>
        <w:rPr>
          <w:color w:val="231F20"/>
          <w:spacing w:val="-5"/>
        </w:rPr>
        <w:t> </w:t>
      </w:r>
      <w:r>
        <w:rPr>
          <w:color w:val="231F20"/>
        </w:rPr>
        <w:t>die</w:t>
      </w:r>
      <w:r>
        <w:rPr>
          <w:color w:val="231F20"/>
          <w:spacing w:val="-4"/>
        </w:rPr>
        <w:t> </w:t>
      </w:r>
      <w:r>
        <w:rPr>
          <w:color w:val="231F20"/>
        </w:rPr>
        <w:t>de</w:t>
      </w:r>
      <w:r>
        <w:rPr>
          <w:color w:val="231F20"/>
          <w:spacing w:val="-5"/>
        </w:rPr>
        <w:t> </w:t>
      </w:r>
      <w:r>
        <w:rPr>
          <w:color w:val="231F20"/>
        </w:rPr>
        <w:t>datum</w:t>
      </w:r>
      <w:r>
        <w:rPr>
          <w:color w:val="231F20"/>
          <w:spacing w:val="-4"/>
        </w:rPr>
        <w:t> </w:t>
      </w:r>
      <w:r>
        <w:rPr>
          <w:color w:val="231F20"/>
        </w:rPr>
        <w:t>van</w:t>
      </w:r>
      <w:r>
        <w:rPr>
          <w:color w:val="231F20"/>
          <w:spacing w:val="-5"/>
        </w:rPr>
        <w:t> </w:t>
      </w:r>
      <w:r>
        <w:rPr>
          <w:color w:val="231F20"/>
        </w:rPr>
        <w:t>het besluit tot kapitaalverhoging alsook de in artikel 7:197, § 3, bedoelde informatie bevat. In dat geval houdt de in artikel 7:197, § 3, bedoelde verklaring enkel in dat zich sinds de openbaarmaking van de eerder genoemde aankondiging geen nieuwe bijzondere omstandigheden hebben</w:t>
      </w:r>
      <w:r>
        <w:rPr>
          <w:color w:val="231F20"/>
          <w:spacing w:val="15"/>
        </w:rPr>
        <w:t> </w:t>
      </w:r>
      <w:r>
        <w:rPr>
          <w:color w:val="231F20"/>
        </w:rPr>
        <w:t>voorgedaan.</w:t>
      </w:r>
    </w:p>
    <w:p>
      <w:pPr>
        <w:pStyle w:val="BodyText"/>
        <w:spacing w:line="218" w:lineRule="auto" w:before="96"/>
      </w:pPr>
      <w:r>
        <w:rPr>
          <w:color w:val="231F20"/>
        </w:rPr>
        <w:t>Art. 7:199. De bevoegdheid bedoeld in artikel 7:198 kan slechts worden uitgeoefend gedurende vijf </w:t>
      </w:r>
      <w:r>
        <w:rPr>
          <w:color w:val="231F20"/>
          <w:spacing w:val="-3"/>
        </w:rPr>
        <w:t>jaar, </w:t>
      </w:r>
      <w:r>
        <w:rPr>
          <w:color w:val="231F20"/>
        </w:rPr>
        <w:t>te rekenen van de bekendma- king van de oprichtingsakte of van de statuten. De algemene vergade- ring kan haar echter, bij een besluit genomen volgens de regels die gelden voor de statutenwijziging, in voorkomend geval met naleving van artikel 7:155, een of meer malen hernieuwen voor een termijn die niet</w:t>
      </w:r>
      <w:r>
        <w:rPr>
          <w:color w:val="231F20"/>
          <w:spacing w:val="15"/>
        </w:rPr>
        <w:t> </w:t>
      </w:r>
      <w:r>
        <w:rPr>
          <w:color w:val="231F20"/>
        </w:rPr>
        <w:t>langer</w:t>
      </w:r>
      <w:r>
        <w:rPr>
          <w:color w:val="231F20"/>
          <w:spacing w:val="15"/>
        </w:rPr>
        <w:t> </w:t>
      </w:r>
      <w:r>
        <w:rPr>
          <w:color w:val="231F20"/>
        </w:rPr>
        <w:t>mag</w:t>
      </w:r>
      <w:r>
        <w:rPr>
          <w:color w:val="231F20"/>
          <w:spacing w:val="15"/>
        </w:rPr>
        <w:t> </w:t>
      </w:r>
      <w:r>
        <w:rPr>
          <w:color w:val="231F20"/>
        </w:rPr>
        <w:t>zijn</w:t>
      </w:r>
      <w:r>
        <w:rPr>
          <w:color w:val="231F20"/>
          <w:spacing w:val="15"/>
        </w:rPr>
        <w:t> </w:t>
      </w:r>
      <w:r>
        <w:rPr>
          <w:color w:val="231F20"/>
        </w:rPr>
        <w:t>dan</w:t>
      </w:r>
      <w:r>
        <w:rPr>
          <w:color w:val="231F20"/>
          <w:spacing w:val="15"/>
        </w:rPr>
        <w:t> </w:t>
      </w:r>
      <w:r>
        <w:rPr>
          <w:color w:val="231F20"/>
        </w:rPr>
        <w:t>vijf</w:t>
      </w:r>
      <w:r>
        <w:rPr>
          <w:color w:val="231F20"/>
          <w:spacing w:val="15"/>
        </w:rPr>
        <w:t> </w:t>
      </w:r>
      <w:r>
        <w:rPr>
          <w:color w:val="231F20"/>
          <w:spacing w:val="-3"/>
        </w:rPr>
        <w:t>jaar.</w:t>
      </w:r>
    </w:p>
    <w:p>
      <w:pPr>
        <w:pStyle w:val="BodyText"/>
        <w:spacing w:line="218" w:lineRule="auto" w:before="97"/>
      </w:pPr>
      <w:r>
        <w:rPr>
          <w:color w:val="231F20"/>
          <w:spacing w:val="-3"/>
        </w:rPr>
        <w:t>Wanneer </w:t>
      </w:r>
      <w:r>
        <w:rPr>
          <w:color w:val="231F20"/>
        </w:rPr>
        <w:t>de oprichters of de algemene vergadering besluiten de in het eerste lid bedoelde bevoegdheid toe te kennen of te vernieuwen, zetten zij de bijzondere omstandigheden waarin van het toegestane kapitaal kan worden gebruik gemaakt en de hierbij nagestreefde doeleinden in een bijzonder verslag uiteen. In voorkomend geval wordt dit verslag in de agenda vermeld. Een kopie ervan kan worden verkregen overeenkomstig artikel</w:t>
      </w:r>
      <w:r>
        <w:rPr>
          <w:color w:val="231F20"/>
          <w:spacing w:val="4"/>
        </w:rPr>
        <w:t> </w:t>
      </w:r>
      <w:r>
        <w:rPr>
          <w:color w:val="231F20"/>
        </w:rPr>
        <w:t>7:132.</w:t>
      </w:r>
    </w:p>
    <w:p>
      <w:pPr>
        <w:pStyle w:val="BodyText"/>
        <w:spacing w:line="218" w:lineRule="auto" w:before="96"/>
      </w:pPr>
      <w:r>
        <w:rPr>
          <w:color w:val="231F20"/>
        </w:rPr>
        <w:t>Het ontbreken van het verslag bedoeld in het tweede lid heeft de nietigheid van het besluit van de algemene vergadering tot gevolg.</w:t>
      </w:r>
    </w:p>
    <w:p>
      <w:pPr>
        <w:pStyle w:val="BodyText"/>
        <w:spacing w:before="82"/>
        <w:ind w:left="283" w:right="0" w:firstLine="0"/>
        <w:jc w:val="left"/>
      </w:pPr>
      <w:r>
        <w:rPr>
          <w:color w:val="231F20"/>
        </w:rPr>
        <w:t>Onderafdeling 2. Beperkingen.</w:t>
      </w:r>
    </w:p>
    <w:p>
      <w:pPr>
        <w:pStyle w:val="BodyText"/>
        <w:spacing w:line="218" w:lineRule="auto" w:before="93"/>
      </w:pPr>
      <w:r>
        <w:rPr>
          <w:color w:val="231F20"/>
        </w:rPr>
        <w:t>Art. 7:200. </w:t>
      </w:r>
      <w:r>
        <w:rPr>
          <w:color w:val="231F20"/>
          <w:spacing w:val="-3"/>
        </w:rPr>
        <w:t>Tenzij </w:t>
      </w:r>
      <w:r>
        <w:rPr>
          <w:color w:val="231F20"/>
        </w:rPr>
        <w:t>de machtiging daarin uitdrukkelijk voorziet, kan het bestuursorgaan de bevoegdheid bedoeld in artikel 7:198 niet gebruiken voor de volgende</w:t>
      </w:r>
      <w:r>
        <w:rPr>
          <w:color w:val="231F20"/>
          <w:spacing w:val="24"/>
        </w:rPr>
        <w:t> </w:t>
      </w:r>
      <w:r>
        <w:rPr>
          <w:color w:val="231F20"/>
        </w:rPr>
        <w:t>verrichtingen:</w:t>
      </w:r>
    </w:p>
    <w:p>
      <w:pPr>
        <w:pStyle w:val="BodyText"/>
        <w:spacing w:line="218" w:lineRule="auto" w:before="96"/>
      </w:pPr>
      <w:r>
        <w:rPr>
          <w:color w:val="231F20"/>
        </w:rPr>
        <w:t>1° de kapitaalverhogingen of de uitgiften van converteerbare obliga- ties of van inschrijvingsrechten waarbij het voorkeurrecht van de aandeelhouders is beperkt of uitgesloten;</w:t>
      </w:r>
    </w:p>
    <w:p>
      <w:pPr>
        <w:pStyle w:val="BodyText"/>
        <w:spacing w:line="218" w:lineRule="auto" w:before="97"/>
      </w:pPr>
      <w:r>
        <w:rPr>
          <w:color w:val="231F20"/>
        </w:rPr>
        <w:t>2° de kapitaalverhogingen of de uitgiften van converteerbare obliga- ties of van inschrijvingsrechten waarbij het voorkeurrecht van de aandeelhouders is beperkt of uitgesloten ten gunste van één of meer bepaalde personen, andere dan leden van het personeel; in dat geval mogen de bestuurders die de begunstigde van de opheffing van het voorkeurrecht of een met de begunstigde verbonden persoon zoals omschreven in artikel 7:193, § 1, zesde lid, in feite vertegenwoordigen, niet aan de stemming deelnemen;</w:t>
      </w:r>
    </w:p>
    <w:p>
      <w:pPr>
        <w:pStyle w:val="BodyText"/>
        <w:spacing w:before="82"/>
        <w:ind w:left="283" w:right="0" w:firstLine="0"/>
        <w:jc w:val="left"/>
      </w:pPr>
      <w:r>
        <w:rPr>
          <w:color w:val="231F20"/>
        </w:rPr>
        <w:t>3° de kapitaalverhogingen door omzetting van de reserves.</w:t>
      </w:r>
    </w:p>
    <w:p>
      <w:pPr>
        <w:pStyle w:val="BodyText"/>
        <w:spacing w:before="7"/>
        <w:ind w:left="0" w:right="0" w:firstLine="0"/>
        <w:jc w:val="left"/>
        <w:rPr>
          <w:sz w:val="23"/>
        </w:rPr>
      </w:pPr>
    </w:p>
    <w:p>
      <w:pPr>
        <w:pStyle w:val="BodyText"/>
        <w:spacing w:line="218" w:lineRule="auto"/>
      </w:pPr>
      <w:r>
        <w:rPr>
          <w:color w:val="231F20"/>
        </w:rPr>
        <w:t>Art. 7:201. Het bestuursorgaan mag de bevoegdheid bedoeld in artikel</w:t>
      </w:r>
      <w:r>
        <w:rPr>
          <w:color w:val="231F20"/>
          <w:spacing w:val="15"/>
        </w:rPr>
        <w:t> </w:t>
      </w:r>
      <w:r>
        <w:rPr>
          <w:color w:val="231F20"/>
        </w:rPr>
        <w:t>7:198</w:t>
      </w:r>
      <w:r>
        <w:rPr>
          <w:color w:val="231F20"/>
          <w:spacing w:val="16"/>
        </w:rPr>
        <w:t> </w:t>
      </w:r>
      <w:r>
        <w:rPr>
          <w:color w:val="231F20"/>
        </w:rPr>
        <w:t>niet</w:t>
      </w:r>
      <w:r>
        <w:rPr>
          <w:color w:val="231F20"/>
          <w:spacing w:val="16"/>
        </w:rPr>
        <w:t> </w:t>
      </w:r>
      <w:r>
        <w:rPr>
          <w:color w:val="231F20"/>
        </w:rPr>
        <w:t>gebruiken</w:t>
      </w:r>
      <w:r>
        <w:rPr>
          <w:color w:val="231F20"/>
          <w:spacing w:val="16"/>
        </w:rPr>
        <w:t> </w:t>
      </w:r>
      <w:r>
        <w:rPr>
          <w:color w:val="231F20"/>
        </w:rPr>
        <w:t>voor</w:t>
      </w:r>
      <w:r>
        <w:rPr>
          <w:color w:val="231F20"/>
          <w:spacing w:val="16"/>
        </w:rPr>
        <w:t> </w:t>
      </w:r>
      <w:r>
        <w:rPr>
          <w:color w:val="231F20"/>
        </w:rPr>
        <w:t>de</w:t>
      </w:r>
      <w:r>
        <w:rPr>
          <w:color w:val="231F20"/>
          <w:spacing w:val="16"/>
        </w:rPr>
        <w:t> </w:t>
      </w:r>
      <w:r>
        <w:rPr>
          <w:color w:val="231F20"/>
        </w:rPr>
        <w:t>volgende</w:t>
      </w:r>
      <w:r>
        <w:rPr>
          <w:color w:val="231F20"/>
          <w:spacing w:val="16"/>
        </w:rPr>
        <w:t> </w:t>
      </w:r>
      <w:r>
        <w:rPr>
          <w:color w:val="231F20"/>
        </w:rPr>
        <w:t>verrichtingen:</w:t>
      </w:r>
    </w:p>
    <w:p>
      <w:pPr>
        <w:pStyle w:val="BodyText"/>
        <w:spacing w:line="218" w:lineRule="auto" w:before="96"/>
      </w:pPr>
      <w:r>
        <w:rPr>
          <w:color w:val="231F20"/>
        </w:rPr>
        <w:t>1° de uitgifte van inschrijvingsrechten die in hoofdzaak is bestemd voor één of meer bepaalde personen, andere dan de leden van het personeel;</w:t>
      </w:r>
    </w:p>
    <w:p>
      <w:pPr>
        <w:pStyle w:val="BodyText"/>
        <w:spacing w:line="218" w:lineRule="auto" w:before="97"/>
      </w:pPr>
      <w:r>
        <w:rPr>
          <w:color w:val="231F20"/>
          <w:w w:val="105"/>
        </w:rPr>
        <w:t>2°</w:t>
      </w:r>
      <w:r>
        <w:rPr>
          <w:color w:val="231F20"/>
          <w:spacing w:val="-26"/>
          <w:w w:val="105"/>
        </w:rPr>
        <w:t> </w:t>
      </w:r>
      <w:r>
        <w:rPr>
          <w:color w:val="231F20"/>
          <w:w w:val="105"/>
        </w:rPr>
        <w:t>de</w:t>
      </w:r>
      <w:r>
        <w:rPr>
          <w:color w:val="231F20"/>
          <w:spacing w:val="-25"/>
          <w:w w:val="105"/>
        </w:rPr>
        <w:t> </w:t>
      </w:r>
      <w:r>
        <w:rPr>
          <w:color w:val="231F20"/>
          <w:w w:val="105"/>
        </w:rPr>
        <w:t>uitgifte</w:t>
      </w:r>
      <w:r>
        <w:rPr>
          <w:color w:val="231F20"/>
          <w:spacing w:val="-25"/>
          <w:w w:val="105"/>
        </w:rPr>
        <w:t> </w:t>
      </w:r>
      <w:r>
        <w:rPr>
          <w:color w:val="231F20"/>
          <w:w w:val="105"/>
        </w:rPr>
        <w:t>van</w:t>
      </w:r>
      <w:r>
        <w:rPr>
          <w:color w:val="231F20"/>
          <w:spacing w:val="-25"/>
          <w:w w:val="105"/>
        </w:rPr>
        <w:t> </w:t>
      </w:r>
      <w:r>
        <w:rPr>
          <w:color w:val="231F20"/>
          <w:w w:val="105"/>
        </w:rPr>
        <w:t>aandelen</w:t>
      </w:r>
      <w:r>
        <w:rPr>
          <w:color w:val="231F20"/>
          <w:spacing w:val="-25"/>
          <w:w w:val="105"/>
        </w:rPr>
        <w:t> </w:t>
      </w:r>
      <w:r>
        <w:rPr>
          <w:color w:val="231F20"/>
          <w:w w:val="105"/>
        </w:rPr>
        <w:t>met</w:t>
      </w:r>
      <w:r>
        <w:rPr>
          <w:color w:val="231F20"/>
          <w:spacing w:val="-25"/>
          <w:w w:val="105"/>
        </w:rPr>
        <w:t> </w:t>
      </w:r>
      <w:r>
        <w:rPr>
          <w:color w:val="231F20"/>
          <w:w w:val="105"/>
        </w:rPr>
        <w:t>meervoudig</w:t>
      </w:r>
      <w:r>
        <w:rPr>
          <w:color w:val="231F20"/>
          <w:spacing w:val="-25"/>
          <w:w w:val="105"/>
        </w:rPr>
        <w:t> </w:t>
      </w:r>
      <w:r>
        <w:rPr>
          <w:color w:val="231F20"/>
          <w:w w:val="105"/>
        </w:rPr>
        <w:t>stemrecht</w:t>
      </w:r>
      <w:r>
        <w:rPr>
          <w:color w:val="231F20"/>
          <w:spacing w:val="-25"/>
          <w:w w:val="105"/>
        </w:rPr>
        <w:t> </w:t>
      </w:r>
      <w:r>
        <w:rPr>
          <w:color w:val="231F20"/>
          <w:w w:val="105"/>
        </w:rPr>
        <w:t>of</w:t>
      </w:r>
      <w:r>
        <w:rPr>
          <w:color w:val="231F20"/>
          <w:spacing w:val="-25"/>
          <w:w w:val="105"/>
        </w:rPr>
        <w:t> </w:t>
      </w:r>
      <w:r>
        <w:rPr>
          <w:color w:val="231F20"/>
          <w:w w:val="105"/>
        </w:rPr>
        <w:t>van</w:t>
      </w:r>
      <w:r>
        <w:rPr>
          <w:color w:val="231F20"/>
          <w:spacing w:val="-25"/>
          <w:w w:val="105"/>
        </w:rPr>
        <w:t> </w:t>
      </w:r>
      <w:r>
        <w:rPr>
          <w:color w:val="231F20"/>
          <w:w w:val="105"/>
        </w:rPr>
        <w:t>effecten die recht geven op de uitgifte van of de conversie in aandelen met meervoudig</w:t>
      </w:r>
      <w:r>
        <w:rPr>
          <w:color w:val="231F20"/>
          <w:spacing w:val="11"/>
          <w:w w:val="105"/>
        </w:rPr>
        <w:t> </w:t>
      </w:r>
      <w:r>
        <w:rPr>
          <w:color w:val="231F20"/>
          <w:w w:val="105"/>
        </w:rPr>
        <w:t>stemrecht;</w:t>
      </w:r>
    </w:p>
    <w:p>
      <w:pPr>
        <w:pStyle w:val="BodyText"/>
        <w:spacing w:line="218" w:lineRule="auto" w:before="96"/>
      </w:pPr>
      <w:r>
        <w:rPr>
          <w:color w:val="231F20"/>
        </w:rPr>
        <w:t>3° kapitaalverhogingen die voornamelijk tot stand worden gebracht door een inbreng in natura uitsluitend voorbehouden aan een aandeel- houder van de vennootschap die effecten van deze vennootschap in zijn bezit houdt waaraan meer dan 10 % van de stemrechten verbonden zijn.</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5848" from="298.170502pt,64.473pt" to="298.170502pt,812.819pt" stroked="true" strokeweight=".533pt" strokecolor="#231f20">
            <v:stroke dashstyle="solid"/>
            <w10:wrap type="none"/>
          </v:line>
        </w:pict>
      </w:r>
      <w:bookmarkStart w:name="_bookmark201" w:id="207"/>
      <w:bookmarkEnd w:id="207"/>
      <w:r>
        <w:rPr/>
      </w:r>
      <w:r>
        <w:rPr>
          <w:color w:val="231F20"/>
        </w:rPr>
        <w:t>4° l’émission d’une nouvelle classe de titres.</w:t>
      </w:r>
    </w:p>
    <w:p>
      <w:pPr>
        <w:pStyle w:val="BodyText"/>
        <w:spacing w:line="211" w:lineRule="auto" w:before="71"/>
        <w:ind w:right="39"/>
      </w:pPr>
      <w:r>
        <w:rPr>
          <w:color w:val="231F20"/>
        </w:rPr>
        <w:t>Pour le calcul du seuil des droits de vote </w:t>
      </w:r>
      <w:r>
        <w:rPr>
          <w:color w:val="231F20"/>
          <w:spacing w:val="5"/>
        </w:rPr>
        <w:t>visé </w:t>
      </w:r>
      <w:r>
        <w:rPr>
          <w:color w:val="231F20"/>
        </w:rPr>
        <w:t>à l’alinéa 1</w:t>
      </w:r>
      <w:r>
        <w:rPr>
          <w:color w:val="231F20"/>
          <w:position w:val="7"/>
          <w:sz w:val="11"/>
        </w:rPr>
        <w:t>er</w:t>
      </w:r>
      <w:r>
        <w:rPr>
          <w:color w:val="231F20"/>
        </w:rPr>
        <w:t>, 3°, les titres visés à l’article 7:139, § 1</w:t>
      </w:r>
      <w:r>
        <w:rPr>
          <w:color w:val="231F20"/>
          <w:position w:val="7"/>
          <w:sz w:val="11"/>
        </w:rPr>
        <w:t>er</w:t>
      </w:r>
      <w:r>
        <w:rPr>
          <w:color w:val="231F20"/>
        </w:rPr>
        <w:t>, alinéas 6 et 7, sont ajoutés aux titres détenus par un</w:t>
      </w:r>
      <w:r>
        <w:rPr>
          <w:color w:val="231F20"/>
          <w:spacing w:val="3"/>
        </w:rPr>
        <w:t> </w:t>
      </w:r>
      <w:r>
        <w:rPr>
          <w:color w:val="231F20"/>
        </w:rPr>
        <w:t>actionnaire.</w:t>
      </w:r>
    </w:p>
    <w:p>
      <w:pPr>
        <w:pStyle w:val="BodyText"/>
        <w:spacing w:before="9"/>
        <w:ind w:left="0" w:right="0" w:firstLine="0"/>
        <w:jc w:val="left"/>
        <w:rPr>
          <w:sz w:val="22"/>
        </w:rPr>
      </w:pPr>
    </w:p>
    <w:p>
      <w:pPr>
        <w:pStyle w:val="BodyText"/>
        <w:spacing w:line="218" w:lineRule="auto"/>
        <w:ind w:right="40"/>
      </w:pPr>
      <w:r>
        <w:rPr>
          <w:color w:val="231F20"/>
        </w:rPr>
        <w:t>Art. 7:202. Dès la réception par la société de la communication faite par l’Autorité des services et marchés financiers selon laquelle elle a été saisie d’un avis d’offre publique d’acquisition la visant et jusqu’à la clôture de l’offre, son organe d’administration ne peut plus:</w:t>
      </w:r>
    </w:p>
    <w:p>
      <w:pPr>
        <w:pStyle w:val="BodyText"/>
        <w:ind w:left="0" w:right="0" w:firstLine="0"/>
        <w:jc w:val="left"/>
        <w:rPr>
          <w:sz w:val="23"/>
        </w:rPr>
      </w:pPr>
    </w:p>
    <w:p>
      <w:pPr>
        <w:pStyle w:val="BodyText"/>
        <w:spacing w:line="218" w:lineRule="auto"/>
        <w:ind w:right="39"/>
      </w:pPr>
      <w:r>
        <w:rPr>
          <w:color w:val="231F20"/>
        </w:rPr>
        <w:t>1° procéder à une augmentation de capital par apports en nature ou par apports en numéraire en limitant ou supprimant le droit de préférence des actionnaires;</w:t>
      </w:r>
    </w:p>
    <w:p>
      <w:pPr>
        <w:pStyle w:val="BodyText"/>
        <w:spacing w:line="218" w:lineRule="auto" w:before="86"/>
        <w:ind w:right="39"/>
      </w:pPr>
      <w:r>
        <w:rPr>
          <w:color w:val="231F20"/>
        </w:rPr>
        <w:t>2° créer des titres représentatifs ou non du capital, conférant le droit de vote, ainsi que des titres donnant droit à la souscription de tels titres ou à l’acquisition de tels titres, si ces titres ou droits ne sont pas offerts par préférence aux actionnaires proportionnellement à la partie du capital que représentent leurs actions.</w:t>
      </w:r>
    </w:p>
    <w:p>
      <w:pPr>
        <w:pStyle w:val="BodyText"/>
        <w:spacing w:before="9"/>
        <w:ind w:left="0" w:right="0" w:firstLine="0"/>
        <w:jc w:val="left"/>
        <w:rPr>
          <w:sz w:val="21"/>
        </w:rPr>
      </w:pPr>
    </w:p>
    <w:p>
      <w:pPr>
        <w:pStyle w:val="BodyText"/>
        <w:ind w:left="283" w:right="0" w:firstLine="0"/>
        <w:jc w:val="left"/>
      </w:pPr>
      <w:r>
        <w:rPr>
          <w:color w:val="231F20"/>
        </w:rPr>
        <w:t>Toutefois, cette interdiction ne vaut pas pour:</w:t>
      </w:r>
    </w:p>
    <w:p>
      <w:pPr>
        <w:pStyle w:val="BodyText"/>
        <w:spacing w:line="218" w:lineRule="auto" w:before="82"/>
        <w:ind w:right="39"/>
      </w:pPr>
      <w:r>
        <w:rPr>
          <w:color w:val="231F20"/>
        </w:rPr>
        <w:t>1° les engagements valablement pris avant la réception de la communication visée au présent article;</w:t>
      </w:r>
    </w:p>
    <w:p>
      <w:pPr>
        <w:pStyle w:val="BodyText"/>
        <w:spacing w:line="218" w:lineRule="auto" w:before="85"/>
        <w:ind w:right="39"/>
      </w:pPr>
      <w:r>
        <w:rPr>
          <w:color w:val="231F20"/>
        </w:rPr>
        <w:t>2° les augmentations de capital pour lesquelles l’organe d’adminis- tration a été expressément et préalablement habilité par une assemblée générale, statuant comme en matière de modification des statuts, tenue trois ans au maximum avant la réception de la communication</w:t>
      </w:r>
      <w:r>
        <w:rPr>
          <w:color w:val="231F20"/>
          <w:spacing w:val="-20"/>
        </w:rPr>
        <w:t> </w:t>
      </w:r>
      <w:r>
        <w:rPr>
          <w:color w:val="231F20"/>
        </w:rPr>
        <w:t>susvisée, pour autant</w:t>
      </w:r>
      <w:r>
        <w:rPr>
          <w:color w:val="231F20"/>
          <w:spacing w:val="-11"/>
        </w:rPr>
        <w:t> </w:t>
      </w:r>
      <w:r>
        <w:rPr>
          <w:color w:val="231F20"/>
        </w:rPr>
        <w:t>que:</w:t>
      </w:r>
    </w:p>
    <w:p>
      <w:pPr>
        <w:pStyle w:val="ListParagraph"/>
        <w:numPr>
          <w:ilvl w:val="0"/>
          <w:numId w:val="127"/>
        </w:numPr>
        <w:tabs>
          <w:tab w:pos="467" w:val="left" w:leader="none"/>
        </w:tabs>
        <w:spacing w:line="218" w:lineRule="auto" w:before="83" w:after="0"/>
        <w:ind w:left="113" w:right="40" w:firstLine="170"/>
        <w:jc w:val="both"/>
        <w:rPr>
          <w:sz w:val="17"/>
        </w:rPr>
      </w:pPr>
      <w:r>
        <w:rPr>
          <w:color w:val="231F20"/>
          <w:sz w:val="17"/>
        </w:rPr>
        <w:t>les actions créées en vertu de l’augmentation de capital soient dès leur émission intégralement</w:t>
      </w:r>
      <w:r>
        <w:rPr>
          <w:color w:val="231F20"/>
          <w:spacing w:val="2"/>
          <w:sz w:val="17"/>
        </w:rPr>
        <w:t> </w:t>
      </w:r>
      <w:r>
        <w:rPr>
          <w:color w:val="231F20"/>
          <w:sz w:val="17"/>
        </w:rPr>
        <w:t>libérées;</w:t>
      </w:r>
    </w:p>
    <w:p>
      <w:pPr>
        <w:pStyle w:val="ListParagraph"/>
        <w:numPr>
          <w:ilvl w:val="0"/>
          <w:numId w:val="127"/>
        </w:numPr>
        <w:tabs>
          <w:tab w:pos="459" w:val="left" w:leader="none"/>
        </w:tabs>
        <w:spacing w:line="218" w:lineRule="auto" w:before="83" w:after="0"/>
        <w:ind w:left="113" w:right="39" w:firstLine="170"/>
        <w:jc w:val="both"/>
        <w:rPr>
          <w:sz w:val="17"/>
        </w:rPr>
      </w:pPr>
      <w:r>
        <w:rPr>
          <w:color w:val="231F20"/>
          <w:sz w:val="17"/>
        </w:rPr>
        <w:t>le prix d’émission des actions créées en vertu de l’augmentation du capital</w:t>
      </w:r>
      <w:r>
        <w:rPr>
          <w:color w:val="231F20"/>
          <w:spacing w:val="15"/>
          <w:sz w:val="17"/>
        </w:rPr>
        <w:t> </w:t>
      </w:r>
      <w:r>
        <w:rPr>
          <w:color w:val="231F20"/>
          <w:sz w:val="17"/>
        </w:rPr>
        <w:t>ne</w:t>
      </w:r>
      <w:r>
        <w:rPr>
          <w:color w:val="231F20"/>
          <w:spacing w:val="16"/>
          <w:sz w:val="17"/>
        </w:rPr>
        <w:t> </w:t>
      </w:r>
      <w:r>
        <w:rPr>
          <w:color w:val="231F20"/>
          <w:sz w:val="17"/>
        </w:rPr>
        <w:t>soit</w:t>
      </w:r>
      <w:r>
        <w:rPr>
          <w:color w:val="231F20"/>
          <w:spacing w:val="15"/>
          <w:sz w:val="17"/>
        </w:rPr>
        <w:t> </w:t>
      </w:r>
      <w:r>
        <w:rPr>
          <w:color w:val="231F20"/>
          <w:sz w:val="17"/>
        </w:rPr>
        <w:t>pas</w:t>
      </w:r>
      <w:r>
        <w:rPr>
          <w:color w:val="231F20"/>
          <w:spacing w:val="16"/>
          <w:sz w:val="17"/>
        </w:rPr>
        <w:t> </w:t>
      </w:r>
      <w:r>
        <w:rPr>
          <w:color w:val="231F20"/>
          <w:sz w:val="17"/>
        </w:rPr>
        <w:t>inférieur</w:t>
      </w:r>
      <w:r>
        <w:rPr>
          <w:color w:val="231F20"/>
          <w:spacing w:val="15"/>
          <w:sz w:val="17"/>
        </w:rPr>
        <w:t> </w:t>
      </w:r>
      <w:r>
        <w:rPr>
          <w:color w:val="231F20"/>
          <w:sz w:val="17"/>
        </w:rPr>
        <w:t>au</w:t>
      </w:r>
      <w:r>
        <w:rPr>
          <w:color w:val="231F20"/>
          <w:spacing w:val="16"/>
          <w:sz w:val="17"/>
        </w:rPr>
        <w:t> </w:t>
      </w:r>
      <w:r>
        <w:rPr>
          <w:color w:val="231F20"/>
          <w:sz w:val="17"/>
        </w:rPr>
        <w:t>prix</w:t>
      </w:r>
      <w:r>
        <w:rPr>
          <w:color w:val="231F20"/>
          <w:spacing w:val="15"/>
          <w:sz w:val="17"/>
        </w:rPr>
        <w:t> </w:t>
      </w:r>
      <w:r>
        <w:rPr>
          <w:color w:val="231F20"/>
          <w:sz w:val="17"/>
        </w:rPr>
        <w:t>de</w:t>
      </w:r>
      <w:r>
        <w:rPr>
          <w:color w:val="231F20"/>
          <w:spacing w:val="16"/>
          <w:sz w:val="17"/>
        </w:rPr>
        <w:t> </w:t>
      </w:r>
      <w:r>
        <w:rPr>
          <w:color w:val="231F20"/>
          <w:spacing w:val="-3"/>
          <w:sz w:val="17"/>
        </w:rPr>
        <w:t>l’offre;</w:t>
      </w:r>
    </w:p>
    <w:p>
      <w:pPr>
        <w:pStyle w:val="ListParagraph"/>
        <w:numPr>
          <w:ilvl w:val="0"/>
          <w:numId w:val="127"/>
        </w:numPr>
        <w:tabs>
          <w:tab w:pos="449" w:val="left" w:leader="none"/>
        </w:tabs>
        <w:spacing w:line="218" w:lineRule="auto" w:before="83" w:after="0"/>
        <w:ind w:left="113" w:right="39" w:firstLine="170"/>
        <w:jc w:val="both"/>
        <w:rPr>
          <w:sz w:val="17"/>
        </w:rPr>
      </w:pPr>
      <w:r>
        <w:rPr>
          <w:color w:val="231F20"/>
          <w:sz w:val="17"/>
        </w:rPr>
        <w:t>le nombre d’actions créées en vertu de l’augmentation de capital ne dépasse pas un dixième des actions représentatives du capital émises antérieurement à l’augmentation de capital. Dans ce cas, l’article 7:200, 2°,</w:t>
      </w:r>
      <w:r>
        <w:rPr>
          <w:color w:val="231F20"/>
          <w:spacing w:val="15"/>
          <w:sz w:val="17"/>
        </w:rPr>
        <w:t> </w:t>
      </w:r>
      <w:r>
        <w:rPr>
          <w:color w:val="231F20"/>
          <w:sz w:val="17"/>
        </w:rPr>
        <w:t>deuxième</w:t>
      </w:r>
      <w:r>
        <w:rPr>
          <w:color w:val="231F20"/>
          <w:spacing w:val="15"/>
          <w:sz w:val="17"/>
        </w:rPr>
        <w:t> </w:t>
      </w:r>
      <w:r>
        <w:rPr>
          <w:color w:val="231F20"/>
          <w:sz w:val="17"/>
        </w:rPr>
        <w:t>phrase,</w:t>
      </w:r>
      <w:r>
        <w:rPr>
          <w:color w:val="231F20"/>
          <w:spacing w:val="16"/>
          <w:sz w:val="17"/>
        </w:rPr>
        <w:t> </w:t>
      </w:r>
      <w:r>
        <w:rPr>
          <w:color w:val="231F20"/>
          <w:sz w:val="17"/>
        </w:rPr>
        <w:t>n’est</w:t>
      </w:r>
      <w:r>
        <w:rPr>
          <w:color w:val="231F20"/>
          <w:spacing w:val="15"/>
          <w:sz w:val="17"/>
        </w:rPr>
        <w:t> </w:t>
      </w:r>
      <w:r>
        <w:rPr>
          <w:color w:val="231F20"/>
          <w:sz w:val="17"/>
        </w:rPr>
        <w:t>pas</w:t>
      </w:r>
      <w:r>
        <w:rPr>
          <w:color w:val="231F20"/>
          <w:spacing w:val="16"/>
          <w:sz w:val="17"/>
        </w:rPr>
        <w:t> </w:t>
      </w:r>
      <w:r>
        <w:rPr>
          <w:color w:val="231F20"/>
          <w:sz w:val="17"/>
        </w:rPr>
        <w:t>d’application.</w:t>
      </w:r>
    </w:p>
    <w:p>
      <w:pPr>
        <w:pStyle w:val="BodyText"/>
        <w:spacing w:line="218" w:lineRule="auto" w:before="86"/>
        <w:ind w:right="39"/>
      </w:pPr>
      <w:r>
        <w:rPr>
          <w:color w:val="231F20"/>
        </w:rPr>
        <w:t>Les décisions visées par le présent article sont immédiatement et de manière circonstanciée portées à la connaissance de l’offrant et de l’Autorité des services et marchés financiers. Elles sont également rendues publiques.</w:t>
      </w:r>
    </w:p>
    <w:p>
      <w:pPr>
        <w:pStyle w:val="BodyText"/>
        <w:spacing w:before="71"/>
        <w:ind w:left="283" w:right="0" w:firstLine="0"/>
        <w:jc w:val="left"/>
      </w:pPr>
      <w:r>
        <w:rPr>
          <w:color w:val="231F20"/>
        </w:rPr>
        <w:t>Sous-section 3. Mentions dans le rapport de gestion.</w:t>
      </w:r>
    </w:p>
    <w:p>
      <w:pPr>
        <w:pStyle w:val="BodyText"/>
        <w:spacing w:line="218" w:lineRule="auto" w:before="82"/>
        <w:ind w:right="39"/>
      </w:pPr>
      <w:r>
        <w:rPr>
          <w:color w:val="231F20"/>
        </w:rPr>
        <w:t>Art. 7:203. Lorsque l’organe d’administration décide d’une augmen- tation du capital, d’une émission d’obligations convertibles ou d’une émission de droits de souscription au cours de l’exercice social, le rapport de gestion comporte un exposé à leur sujet. Il comporte également, le cas échéant, un commentaire approprié portant sur les conditions et les conséquences effectives des augmentations de capital ou des émissions d’obligations convertibles ou de droits de souscrip- tion à l’occasion desquelles l’organe d’administration a limité ou supprimé le droit de préférence des actionnaires.</w:t>
      </w:r>
    </w:p>
    <w:p>
      <w:pPr>
        <w:pStyle w:val="BodyText"/>
        <w:spacing w:line="324" w:lineRule="auto" w:before="72"/>
        <w:ind w:left="283" w:right="785" w:hanging="1"/>
        <w:jc w:val="left"/>
      </w:pPr>
      <w:r>
        <w:rPr>
          <w:color w:val="231F20"/>
        </w:rPr>
        <w:t>Cet article n’est pas applicable  aux  petites  sociétés. Section 5. Augmentation de capital destinée au personnel.</w:t>
      </w:r>
    </w:p>
    <w:p>
      <w:pPr>
        <w:pStyle w:val="BodyText"/>
        <w:spacing w:line="218" w:lineRule="auto"/>
        <w:ind w:right="40"/>
      </w:pPr>
      <w:r>
        <w:rPr>
          <w:color w:val="231F20"/>
        </w:rPr>
        <w:t>Art. 7:204. § 1</w:t>
      </w:r>
      <w:r>
        <w:rPr>
          <w:color w:val="231F20"/>
          <w:position w:val="7"/>
          <w:sz w:val="11"/>
        </w:rPr>
        <w:t>er</w:t>
      </w:r>
      <w:r>
        <w:rPr>
          <w:color w:val="231F20"/>
        </w:rPr>
        <w:t>. Une société peut, lorsqu’elle a distribué au moins deux dividendes au cours des trois derniers exercices, procéder à des augmentations de capital par l’émission d’actions avec droit de vote, destinées en tout ou en partie, au personnel.</w:t>
      </w:r>
    </w:p>
    <w:p>
      <w:pPr>
        <w:pStyle w:val="BodyText"/>
        <w:spacing w:line="218" w:lineRule="auto" w:before="71"/>
        <w:ind w:right="39"/>
      </w:pPr>
      <w:r>
        <w:rPr>
          <w:color w:val="231F20"/>
        </w:rPr>
        <w:t>Le principe du recours à l’opération prévue à l’alinéa 1</w:t>
      </w:r>
      <w:r>
        <w:rPr>
          <w:color w:val="231F20"/>
          <w:position w:val="7"/>
          <w:sz w:val="11"/>
        </w:rPr>
        <w:t>er </w:t>
      </w:r>
      <w:r>
        <w:rPr>
          <w:color w:val="231F20"/>
        </w:rPr>
        <w:t>fait l’objet d’une concertation au sein du conseil d’entreprise central de la société. Les modalités sociales font l’objet d’un avis du même conseil d’entre- prise.</w:t>
      </w:r>
    </w:p>
    <w:p>
      <w:pPr>
        <w:pStyle w:val="BodyText"/>
        <w:ind w:left="0" w:right="0" w:firstLine="0"/>
        <w:jc w:val="left"/>
        <w:rPr>
          <w:sz w:val="23"/>
        </w:rPr>
      </w:pPr>
    </w:p>
    <w:p>
      <w:pPr>
        <w:pStyle w:val="BodyText"/>
        <w:spacing w:line="218" w:lineRule="auto"/>
        <w:ind w:right="39"/>
      </w:pPr>
      <w:r>
        <w:rPr>
          <w:color w:val="231F20"/>
        </w:rPr>
        <w:t>Le montant maximal de ce type d’augmentation de capital réalisée pendant un exercice en cours et les quatre exercices antérieurs ne peut excéder 20 % du capital, en ce compris l’augmentation envisagée.</w:t>
      </w:r>
    </w:p>
    <w:p>
      <w:pPr>
        <w:pStyle w:val="BodyText"/>
        <w:spacing w:before="10"/>
        <w:ind w:left="0" w:right="0" w:firstLine="0"/>
        <w:jc w:val="left"/>
        <w:rPr>
          <w:sz w:val="23"/>
        </w:rPr>
      </w:pPr>
    </w:p>
    <w:p>
      <w:pPr>
        <w:pStyle w:val="BodyText"/>
        <w:spacing w:line="218" w:lineRule="auto"/>
        <w:ind w:right="38"/>
      </w:pPr>
      <w:r>
        <w:rPr>
          <w:color w:val="231F20"/>
        </w:rPr>
        <w:t>Les actions souscrites dans le cadre de cette opération par les membres du personnel dans les conditions visées au paragraphe 2 sont obligatoirement</w:t>
      </w:r>
      <w:r>
        <w:rPr>
          <w:color w:val="231F20"/>
          <w:spacing w:val="-12"/>
        </w:rPr>
        <w:t> </w:t>
      </w:r>
      <w:r>
        <w:rPr>
          <w:color w:val="231F20"/>
        </w:rPr>
        <w:t>nominatives.</w:t>
      </w:r>
      <w:r>
        <w:rPr>
          <w:color w:val="231F20"/>
          <w:spacing w:val="-12"/>
        </w:rPr>
        <w:t> </w:t>
      </w:r>
      <w:r>
        <w:rPr>
          <w:color w:val="231F20"/>
        </w:rPr>
        <w:t>Elles</w:t>
      </w:r>
      <w:r>
        <w:rPr>
          <w:color w:val="231F20"/>
          <w:spacing w:val="-12"/>
        </w:rPr>
        <w:t> </w:t>
      </w:r>
      <w:r>
        <w:rPr>
          <w:color w:val="231F20"/>
        </w:rPr>
        <w:t>sont</w:t>
      </w:r>
      <w:r>
        <w:rPr>
          <w:color w:val="231F20"/>
          <w:spacing w:val="-12"/>
        </w:rPr>
        <w:t> </w:t>
      </w:r>
      <w:r>
        <w:rPr>
          <w:color w:val="231F20"/>
        </w:rPr>
        <w:t>incessibles</w:t>
      </w:r>
      <w:r>
        <w:rPr>
          <w:color w:val="231F20"/>
          <w:spacing w:val="-11"/>
        </w:rPr>
        <w:t> </w:t>
      </w:r>
      <w:r>
        <w:rPr>
          <w:color w:val="231F20"/>
        </w:rPr>
        <w:t>pendant</w:t>
      </w:r>
      <w:r>
        <w:rPr>
          <w:color w:val="231F20"/>
          <w:spacing w:val="-12"/>
        </w:rPr>
        <w:t> </w:t>
      </w:r>
      <w:r>
        <w:rPr>
          <w:color w:val="231F20"/>
        </w:rPr>
        <w:t>une</w:t>
      </w:r>
      <w:r>
        <w:rPr>
          <w:color w:val="231F20"/>
          <w:spacing w:val="-12"/>
        </w:rPr>
        <w:t> </w:t>
      </w:r>
      <w:r>
        <w:rPr>
          <w:color w:val="231F20"/>
        </w:rPr>
        <w:t>période de</w:t>
      </w:r>
      <w:r>
        <w:rPr>
          <w:color w:val="231F20"/>
          <w:spacing w:val="15"/>
        </w:rPr>
        <w:t> </w:t>
      </w:r>
      <w:r>
        <w:rPr>
          <w:color w:val="231F20"/>
        </w:rPr>
        <w:t>cinq</w:t>
      </w:r>
      <w:r>
        <w:rPr>
          <w:color w:val="231F20"/>
          <w:spacing w:val="15"/>
        </w:rPr>
        <w:t> </w:t>
      </w:r>
      <w:r>
        <w:rPr>
          <w:color w:val="231F20"/>
        </w:rPr>
        <w:t>ans</w:t>
      </w:r>
      <w:r>
        <w:rPr>
          <w:color w:val="231F20"/>
          <w:spacing w:val="15"/>
        </w:rPr>
        <w:t> </w:t>
      </w:r>
      <w:r>
        <w:rPr>
          <w:color w:val="231F20"/>
        </w:rPr>
        <w:t>à</w:t>
      </w:r>
      <w:r>
        <w:rPr>
          <w:color w:val="231F20"/>
          <w:spacing w:val="15"/>
        </w:rPr>
        <w:t> </w:t>
      </w:r>
      <w:r>
        <w:rPr>
          <w:color w:val="231F20"/>
        </w:rPr>
        <w:t>partir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souscription.</w:t>
      </w:r>
    </w:p>
    <w:p>
      <w:pPr>
        <w:pStyle w:val="BodyText"/>
        <w:spacing w:line="218" w:lineRule="auto" w:before="97"/>
        <w:ind w:right="39"/>
      </w:pPr>
      <w:r>
        <w:rPr>
          <w:color w:val="231F20"/>
        </w:rPr>
        <w:t>§ 2. Dans le respect des conditions requises pour les augmentations de capital, l’assemblée générale ou l’organe d’administration selon le cas</w:t>
      </w:r>
      <w:r>
        <w:rPr>
          <w:color w:val="231F20"/>
          <w:spacing w:val="14"/>
        </w:rPr>
        <w:t> </w:t>
      </w:r>
      <w:r>
        <w:rPr>
          <w:color w:val="231F20"/>
        </w:rPr>
        <w:t>fixe</w:t>
      </w:r>
      <w:r>
        <w:rPr>
          <w:color w:val="231F20"/>
          <w:spacing w:val="15"/>
        </w:rPr>
        <w:t> </w:t>
      </w:r>
      <w:r>
        <w:rPr>
          <w:color w:val="231F20"/>
        </w:rPr>
        <w:t>les</w:t>
      </w:r>
      <w:r>
        <w:rPr>
          <w:color w:val="231F20"/>
          <w:spacing w:val="15"/>
        </w:rPr>
        <w:t> </w:t>
      </w:r>
      <w:r>
        <w:rPr>
          <w:color w:val="231F20"/>
        </w:rPr>
        <w:t>conditions</w:t>
      </w:r>
      <w:r>
        <w:rPr>
          <w:color w:val="231F20"/>
          <w:spacing w:val="15"/>
        </w:rPr>
        <w:t> </w:t>
      </w:r>
      <w:r>
        <w:rPr>
          <w:color w:val="231F20"/>
        </w:rPr>
        <w:t>propres</w:t>
      </w:r>
      <w:r>
        <w:rPr>
          <w:color w:val="231F20"/>
          <w:spacing w:val="15"/>
        </w:rPr>
        <w:t> </w:t>
      </w:r>
      <w:r>
        <w:rPr>
          <w:color w:val="231F20"/>
        </w:rPr>
        <w:t>à</w:t>
      </w:r>
      <w:r>
        <w:rPr>
          <w:color w:val="231F20"/>
          <w:spacing w:val="15"/>
        </w:rPr>
        <w:t> </w:t>
      </w:r>
      <w:r>
        <w:rPr>
          <w:color w:val="231F20"/>
        </w:rPr>
        <w:t>l’opération:</w:t>
      </w:r>
    </w:p>
    <w:p>
      <w:pPr>
        <w:pStyle w:val="BodyText"/>
        <w:spacing w:line="218" w:lineRule="auto" w:before="96"/>
        <w:ind w:right="39"/>
      </w:pPr>
      <w:r>
        <w:rPr>
          <w:color w:val="231F20"/>
        </w:rPr>
        <w:t>1° l’ancienneté qui sera exigée à la date de l’ouverture de la souscription des membres du personnel pour bénéficier de l’émission, laquelle ne peut être ni inférieure à six mois ni supérieure à trois ans;</w:t>
      </w:r>
    </w:p>
    <w:p>
      <w:pPr>
        <w:pStyle w:val="BodyText"/>
        <w:spacing w:before="105"/>
        <w:ind w:left="283" w:right="0" w:firstLine="0"/>
        <w:jc w:val="left"/>
      </w:pPr>
      <w:r>
        <w:rPr/>
        <w:br w:type="column"/>
      </w:r>
      <w:r>
        <w:rPr>
          <w:color w:val="231F20"/>
        </w:rPr>
        <w:t>4° de uitgifte van een nieuwe soort van effecten.</w:t>
      </w:r>
    </w:p>
    <w:p>
      <w:pPr>
        <w:pStyle w:val="BodyText"/>
        <w:spacing w:line="218" w:lineRule="auto" w:before="82"/>
      </w:pPr>
      <w:r>
        <w:rPr>
          <w:color w:val="231F20"/>
        </w:rPr>
        <w:t>Voor de berekening van de drempel voor de stemrechten bedoeld in het eerste lid, 3°, worden de effecten bedoeld in artikel 7:139, § 1, zesde en zevende lid, gevoegd bij de effecten in bezit gehouden door een aandeelhouder.</w:t>
      </w:r>
    </w:p>
    <w:p>
      <w:pPr>
        <w:pStyle w:val="BodyText"/>
        <w:spacing w:line="218" w:lineRule="auto" w:before="86"/>
      </w:pPr>
      <w:r>
        <w:rPr>
          <w:color w:val="231F20"/>
        </w:rPr>
        <w:t>Art. 7:202. </w:t>
      </w:r>
      <w:r>
        <w:rPr>
          <w:color w:val="231F20"/>
          <w:spacing w:val="-4"/>
        </w:rPr>
        <w:t>Vanaf </w:t>
      </w:r>
      <w:r>
        <w:rPr>
          <w:color w:val="231F20"/>
        </w:rPr>
        <w:t>het tijdstip dat de vennootschap de mededeling van de Autoriteit voor Financiële Diensten en Markten ontvangt dat haar kennis is gegeven van een openbaar overnamebod op de effecten van die vennootschap, mag het bestuursorgaan van deze laatste tot aan het einde van het</w:t>
      </w:r>
      <w:r>
        <w:rPr>
          <w:color w:val="231F20"/>
          <w:spacing w:val="4"/>
        </w:rPr>
        <w:t> </w:t>
      </w:r>
      <w:r>
        <w:rPr>
          <w:color w:val="231F20"/>
        </w:rPr>
        <w:t>bod:</w:t>
      </w:r>
    </w:p>
    <w:p>
      <w:pPr>
        <w:pStyle w:val="BodyText"/>
        <w:spacing w:line="218" w:lineRule="auto" w:before="86"/>
      </w:pPr>
      <w:r>
        <w:rPr>
          <w:color w:val="231F20"/>
        </w:rPr>
        <w:t>1° haar kapitaal niet meer verhogen door inbreng in natura of in geld met beperking of opheffing van het voorkeurrecht van de aandeelhou- ders;</w:t>
      </w:r>
    </w:p>
    <w:p>
      <w:pPr>
        <w:pStyle w:val="BodyText"/>
        <w:spacing w:line="218" w:lineRule="auto" w:before="85"/>
        <w:ind w:right="123"/>
      </w:pPr>
      <w:r>
        <w:rPr>
          <w:color w:val="231F20"/>
        </w:rPr>
        <w:t>2° geen stemrechtverlenende effecten meer uitgeven die al dan niet het kapitaal vertegenwoordigen, noch effecten die recht geven op inschrijving op of op verkrijging van dergelijke effecten, indien deze effecten of rechten niet bij voorkeur worden aangeboden aan de aandeelhouders naar evenredigheid van het kapitaal dat door hun aandelen wordt vertegenwoordigd.</w:t>
      </w:r>
    </w:p>
    <w:p>
      <w:pPr>
        <w:pStyle w:val="BodyText"/>
        <w:spacing w:before="72"/>
        <w:ind w:left="283" w:right="0" w:firstLine="0"/>
        <w:jc w:val="left"/>
      </w:pPr>
      <w:r>
        <w:rPr>
          <w:color w:val="231F20"/>
        </w:rPr>
        <w:t>Dit verbod geldt echter niet voor:</w:t>
      </w:r>
    </w:p>
    <w:p>
      <w:pPr>
        <w:pStyle w:val="BodyText"/>
        <w:spacing w:line="218" w:lineRule="auto" w:before="82"/>
      </w:pPr>
      <w:r>
        <w:rPr>
          <w:color w:val="231F20"/>
        </w:rPr>
        <w:t>1° de verplichtingen die op geldige wijze zijn aangegaan voor de ontvangst van de mededeling bedoeld in dit artikel;</w:t>
      </w:r>
    </w:p>
    <w:p>
      <w:pPr>
        <w:pStyle w:val="BodyText"/>
        <w:spacing w:line="218" w:lineRule="auto" w:before="86"/>
      </w:pPr>
      <w:r>
        <w:rPr>
          <w:color w:val="231F20"/>
        </w:rPr>
        <w:t>2° de kapitaalverhogingen waartoe het bestuursorgaan uitdrukkelijk en vooraf werd gemachtigd door een algemene vergadering die beslist als inzake statutenwijzigingen en die ten hoogste drie jaar vóór de ontvangst van voornoemde mededeling plaatsheeft, voorzover:</w:t>
      </w:r>
    </w:p>
    <w:p>
      <w:pPr>
        <w:pStyle w:val="BodyText"/>
        <w:spacing w:before="8"/>
        <w:ind w:left="0" w:right="0" w:firstLine="0"/>
        <w:jc w:val="left"/>
        <w:rPr>
          <w:sz w:val="22"/>
        </w:rPr>
      </w:pPr>
    </w:p>
    <w:p>
      <w:pPr>
        <w:pStyle w:val="ListParagraph"/>
        <w:numPr>
          <w:ilvl w:val="0"/>
          <w:numId w:val="128"/>
        </w:numPr>
        <w:tabs>
          <w:tab w:pos="465" w:val="left" w:leader="none"/>
        </w:tabs>
        <w:spacing w:line="218" w:lineRule="auto" w:before="1" w:after="0"/>
        <w:ind w:left="113" w:right="124" w:firstLine="170"/>
        <w:jc w:val="both"/>
        <w:rPr>
          <w:sz w:val="17"/>
        </w:rPr>
      </w:pPr>
      <w:r>
        <w:rPr>
          <w:color w:val="231F20"/>
          <w:sz w:val="17"/>
        </w:rPr>
        <w:t>de aandelen uitgegeven op grond van de kapitaalverhoging vanaf hun uitgifte volledig zijn</w:t>
      </w:r>
      <w:r>
        <w:rPr>
          <w:color w:val="231F20"/>
          <w:spacing w:val="21"/>
          <w:sz w:val="17"/>
        </w:rPr>
        <w:t> </w:t>
      </w:r>
      <w:r>
        <w:rPr>
          <w:color w:val="231F20"/>
          <w:sz w:val="17"/>
        </w:rPr>
        <w:t>gestort;</w:t>
      </w:r>
    </w:p>
    <w:p>
      <w:pPr>
        <w:pStyle w:val="ListParagraph"/>
        <w:numPr>
          <w:ilvl w:val="0"/>
          <w:numId w:val="128"/>
        </w:numPr>
        <w:tabs>
          <w:tab w:pos="509" w:val="left" w:leader="none"/>
        </w:tabs>
        <w:spacing w:line="218" w:lineRule="auto" w:before="82" w:after="0"/>
        <w:ind w:left="113" w:right="124" w:firstLine="170"/>
        <w:jc w:val="both"/>
        <w:rPr>
          <w:sz w:val="17"/>
        </w:rPr>
      </w:pPr>
      <w:r>
        <w:rPr>
          <w:color w:val="231F20"/>
          <w:sz w:val="17"/>
        </w:rPr>
        <w:t>de uitgifteprijs van de aandelen uitgegeven op grond van de kapitaalverhoging</w:t>
      </w:r>
      <w:r>
        <w:rPr>
          <w:color w:val="231F20"/>
          <w:spacing w:val="17"/>
          <w:sz w:val="17"/>
        </w:rPr>
        <w:t> </w:t>
      </w:r>
      <w:r>
        <w:rPr>
          <w:color w:val="231F20"/>
          <w:sz w:val="17"/>
        </w:rPr>
        <w:t>niet</w:t>
      </w:r>
      <w:r>
        <w:rPr>
          <w:color w:val="231F20"/>
          <w:spacing w:val="18"/>
          <w:sz w:val="17"/>
        </w:rPr>
        <w:t> </w:t>
      </w:r>
      <w:r>
        <w:rPr>
          <w:color w:val="231F20"/>
          <w:sz w:val="17"/>
        </w:rPr>
        <w:t>minder</w:t>
      </w:r>
      <w:r>
        <w:rPr>
          <w:color w:val="231F20"/>
          <w:spacing w:val="18"/>
          <w:sz w:val="17"/>
        </w:rPr>
        <w:t> </w:t>
      </w:r>
      <w:r>
        <w:rPr>
          <w:color w:val="231F20"/>
          <w:sz w:val="17"/>
        </w:rPr>
        <w:t>bedraagt</w:t>
      </w:r>
      <w:r>
        <w:rPr>
          <w:color w:val="231F20"/>
          <w:spacing w:val="17"/>
          <w:sz w:val="17"/>
        </w:rPr>
        <w:t> </w:t>
      </w:r>
      <w:r>
        <w:rPr>
          <w:color w:val="231F20"/>
          <w:sz w:val="17"/>
        </w:rPr>
        <w:t>dan</w:t>
      </w:r>
      <w:r>
        <w:rPr>
          <w:color w:val="231F20"/>
          <w:spacing w:val="18"/>
          <w:sz w:val="17"/>
        </w:rPr>
        <w:t> </w:t>
      </w:r>
      <w:r>
        <w:rPr>
          <w:color w:val="231F20"/>
          <w:sz w:val="17"/>
        </w:rPr>
        <w:t>de</w:t>
      </w:r>
      <w:r>
        <w:rPr>
          <w:color w:val="231F20"/>
          <w:spacing w:val="18"/>
          <w:sz w:val="17"/>
        </w:rPr>
        <w:t> </w:t>
      </w:r>
      <w:r>
        <w:rPr>
          <w:color w:val="231F20"/>
          <w:sz w:val="17"/>
        </w:rPr>
        <w:t>prijs</w:t>
      </w:r>
      <w:r>
        <w:rPr>
          <w:color w:val="231F20"/>
          <w:spacing w:val="17"/>
          <w:sz w:val="17"/>
        </w:rPr>
        <w:t> </w:t>
      </w:r>
      <w:r>
        <w:rPr>
          <w:color w:val="231F20"/>
          <w:sz w:val="17"/>
        </w:rPr>
        <w:t>van</w:t>
      </w:r>
      <w:r>
        <w:rPr>
          <w:color w:val="231F20"/>
          <w:spacing w:val="18"/>
          <w:sz w:val="17"/>
        </w:rPr>
        <w:t> </w:t>
      </w:r>
      <w:r>
        <w:rPr>
          <w:color w:val="231F20"/>
          <w:sz w:val="17"/>
        </w:rPr>
        <w:t>het</w:t>
      </w:r>
      <w:r>
        <w:rPr>
          <w:color w:val="231F20"/>
          <w:spacing w:val="18"/>
          <w:sz w:val="17"/>
        </w:rPr>
        <w:t> </w:t>
      </w:r>
      <w:r>
        <w:rPr>
          <w:color w:val="231F20"/>
          <w:sz w:val="17"/>
        </w:rPr>
        <w:t>bod;</w:t>
      </w:r>
    </w:p>
    <w:p>
      <w:pPr>
        <w:pStyle w:val="ListParagraph"/>
        <w:numPr>
          <w:ilvl w:val="0"/>
          <w:numId w:val="128"/>
        </w:numPr>
        <w:tabs>
          <w:tab w:pos="450" w:val="left" w:leader="none"/>
        </w:tabs>
        <w:spacing w:line="218" w:lineRule="auto" w:before="83" w:after="0"/>
        <w:ind w:left="113" w:right="124" w:firstLine="170"/>
        <w:jc w:val="both"/>
        <w:rPr>
          <w:sz w:val="17"/>
        </w:rPr>
      </w:pPr>
      <w:r>
        <w:rPr>
          <w:color w:val="231F20"/>
          <w:sz w:val="17"/>
        </w:rPr>
        <w:t>het aantal aandelen uitgegeven op grond van de kapitaalverhoging niet meer bedraagt dan een tiende van de voor de kapitaalverhoging uitgegeven aandelen die het kapitaal vertegenwoordigen. In dat geval  is</w:t>
      </w:r>
      <w:r>
        <w:rPr>
          <w:color w:val="231F20"/>
          <w:spacing w:val="13"/>
          <w:sz w:val="17"/>
        </w:rPr>
        <w:t> </w:t>
      </w:r>
      <w:r>
        <w:rPr>
          <w:color w:val="231F20"/>
          <w:sz w:val="17"/>
        </w:rPr>
        <w:t>artikel</w:t>
      </w:r>
      <w:r>
        <w:rPr>
          <w:color w:val="231F20"/>
          <w:spacing w:val="14"/>
          <w:sz w:val="17"/>
        </w:rPr>
        <w:t> </w:t>
      </w:r>
      <w:r>
        <w:rPr>
          <w:color w:val="231F20"/>
          <w:sz w:val="17"/>
        </w:rPr>
        <w:t>7:200,</w:t>
      </w:r>
      <w:r>
        <w:rPr>
          <w:color w:val="231F20"/>
          <w:spacing w:val="13"/>
          <w:sz w:val="17"/>
        </w:rPr>
        <w:t> </w:t>
      </w:r>
      <w:r>
        <w:rPr>
          <w:color w:val="231F20"/>
          <w:sz w:val="17"/>
        </w:rPr>
        <w:t>2°,</w:t>
      </w:r>
      <w:r>
        <w:rPr>
          <w:color w:val="231F20"/>
          <w:spacing w:val="14"/>
          <w:sz w:val="17"/>
        </w:rPr>
        <w:t> </w:t>
      </w:r>
      <w:r>
        <w:rPr>
          <w:color w:val="231F20"/>
          <w:sz w:val="17"/>
        </w:rPr>
        <w:t>tweede</w:t>
      </w:r>
      <w:r>
        <w:rPr>
          <w:color w:val="231F20"/>
          <w:spacing w:val="13"/>
          <w:sz w:val="17"/>
        </w:rPr>
        <w:t> </w:t>
      </w:r>
      <w:r>
        <w:rPr>
          <w:color w:val="231F20"/>
          <w:sz w:val="17"/>
        </w:rPr>
        <w:t>zin,</w:t>
      </w:r>
      <w:r>
        <w:rPr>
          <w:color w:val="231F20"/>
          <w:spacing w:val="14"/>
          <w:sz w:val="17"/>
        </w:rPr>
        <w:t> </w:t>
      </w:r>
      <w:r>
        <w:rPr>
          <w:color w:val="231F20"/>
          <w:sz w:val="17"/>
        </w:rPr>
        <w:t>niet</w:t>
      </w:r>
      <w:r>
        <w:rPr>
          <w:color w:val="231F20"/>
          <w:spacing w:val="14"/>
          <w:sz w:val="17"/>
        </w:rPr>
        <w:t> </w:t>
      </w:r>
      <w:r>
        <w:rPr>
          <w:color w:val="231F20"/>
          <w:sz w:val="17"/>
        </w:rPr>
        <w:t>van</w:t>
      </w:r>
      <w:r>
        <w:rPr>
          <w:color w:val="231F20"/>
          <w:spacing w:val="13"/>
          <w:sz w:val="17"/>
        </w:rPr>
        <w:t> </w:t>
      </w:r>
      <w:r>
        <w:rPr>
          <w:color w:val="231F20"/>
          <w:sz w:val="17"/>
        </w:rPr>
        <w:t>toepassing.</w:t>
      </w:r>
    </w:p>
    <w:p>
      <w:pPr>
        <w:pStyle w:val="BodyText"/>
        <w:spacing w:line="218" w:lineRule="auto" w:before="86"/>
      </w:pPr>
      <w:r>
        <w:rPr>
          <w:color w:val="231F20"/>
        </w:rPr>
        <w:t>De in dit artikel bedoelde besluiten worden onmiddellijk en op omstandige wijze ter kennis gebracht van de bieder en van de  Autoriteit voor Financiële Diensten en Markten. Zij worden tevens openbaar</w:t>
      </w:r>
      <w:r>
        <w:rPr>
          <w:color w:val="231F20"/>
          <w:spacing w:val="15"/>
        </w:rPr>
        <w:t> </w:t>
      </w:r>
      <w:r>
        <w:rPr>
          <w:color w:val="231F20"/>
        </w:rPr>
        <w:t>gemaakt.</w:t>
      </w:r>
    </w:p>
    <w:p>
      <w:pPr>
        <w:pStyle w:val="BodyText"/>
        <w:spacing w:before="71"/>
        <w:ind w:left="283" w:right="0" w:firstLine="0"/>
        <w:jc w:val="left"/>
      </w:pPr>
      <w:r>
        <w:rPr>
          <w:color w:val="231F20"/>
        </w:rPr>
        <w:t>Onderafdeling 3. Vermeldingen in het jaarverslag.</w:t>
      </w:r>
    </w:p>
    <w:p>
      <w:pPr>
        <w:pStyle w:val="BodyText"/>
        <w:spacing w:line="218" w:lineRule="auto" w:before="82"/>
        <w:ind w:right="123"/>
      </w:pPr>
      <w:r>
        <w:rPr>
          <w:color w:val="231F20"/>
        </w:rPr>
        <w:t>Art. 7:203. </w:t>
      </w:r>
      <w:r>
        <w:rPr>
          <w:color w:val="231F20"/>
          <w:spacing w:val="-3"/>
        </w:rPr>
        <w:t>Wanneer </w:t>
      </w:r>
      <w:r>
        <w:rPr>
          <w:color w:val="231F20"/>
        </w:rPr>
        <w:t>het bestuursorgaan besluit tot een kapitaalver- hoging, een uitgifte van converteerbare obligaties of een uitgifte van inschrijvingsrechten in de loop van het boekjaar, dan moet het jaarverslag hierover een uiteenzetting bevatten. Dat verslag bevat ook, in voorkomend geval, een passende toelichting over de voorwaarden   en de werkelijke gevolgen van de kapitaalverhogingen of van de uitgiften van converteerbare obligaties of van inschrijvingsrechten waarbij het bestuursorgaan het voorkeurrecht van de aandeelhouders heeft beperkt of</w:t>
      </w:r>
      <w:r>
        <w:rPr>
          <w:color w:val="231F20"/>
          <w:spacing w:val="4"/>
        </w:rPr>
        <w:t> </w:t>
      </w:r>
      <w:r>
        <w:rPr>
          <w:color w:val="231F20"/>
        </w:rPr>
        <w:t>uitgesloten.</w:t>
      </w:r>
    </w:p>
    <w:p>
      <w:pPr>
        <w:pStyle w:val="BodyText"/>
        <w:spacing w:line="324" w:lineRule="auto" w:before="72"/>
        <w:ind w:left="283" w:right="0" w:firstLine="0"/>
        <w:jc w:val="left"/>
      </w:pPr>
      <w:r>
        <w:rPr>
          <w:color w:val="231F20"/>
        </w:rPr>
        <w:t>Dit artikel is niet van toepassing op de kleine vennootschappen. Afdeling 5. Kapitaalverhoging ten gunste van het personeel.</w:t>
      </w:r>
    </w:p>
    <w:p>
      <w:pPr>
        <w:pStyle w:val="BodyText"/>
        <w:spacing w:line="218" w:lineRule="auto" w:before="15"/>
      </w:pPr>
      <w:r>
        <w:rPr>
          <w:color w:val="231F20"/>
        </w:rPr>
        <w:t>Art. 7:204. § 1. Een vennootschap die in de loop van de laatste drie boekjaren ten minste twee dividenden heeft uitgekeerd, kan tot kapitaalverhoging overgaan door de uitgifte van aandelen met stem- recht, die geheel of gedeeltelijk zijn bestemd voor het personeel.</w:t>
      </w:r>
    </w:p>
    <w:p>
      <w:pPr>
        <w:pStyle w:val="BodyText"/>
        <w:spacing w:line="218" w:lineRule="auto" w:before="86"/>
        <w:ind w:right="121"/>
      </w:pPr>
      <w:r>
        <w:rPr>
          <w:color w:val="231F20"/>
        </w:rPr>
        <w:t>Over het beginsel om over te gaan tot de in het eerste lid bedoelde verrichting</w:t>
      </w:r>
      <w:r>
        <w:rPr>
          <w:color w:val="231F20"/>
          <w:spacing w:val="-4"/>
        </w:rPr>
        <w:t> </w:t>
      </w:r>
      <w:r>
        <w:rPr>
          <w:color w:val="231F20"/>
        </w:rPr>
        <w:t>moet</w:t>
      </w:r>
      <w:r>
        <w:rPr>
          <w:color w:val="231F20"/>
          <w:spacing w:val="-4"/>
        </w:rPr>
        <w:t> </w:t>
      </w:r>
      <w:r>
        <w:rPr>
          <w:color w:val="231F20"/>
        </w:rPr>
        <w:t>overleg</w:t>
      </w:r>
      <w:r>
        <w:rPr>
          <w:color w:val="231F20"/>
          <w:spacing w:val="-4"/>
        </w:rPr>
        <w:t> </w:t>
      </w:r>
      <w:r>
        <w:rPr>
          <w:color w:val="231F20"/>
        </w:rPr>
        <w:t>worden</w:t>
      </w:r>
      <w:r>
        <w:rPr>
          <w:color w:val="231F20"/>
          <w:spacing w:val="-4"/>
        </w:rPr>
        <w:t> </w:t>
      </w:r>
      <w:r>
        <w:rPr>
          <w:color w:val="231F20"/>
        </w:rPr>
        <w:t>gepleegd</w:t>
      </w:r>
      <w:r>
        <w:rPr>
          <w:color w:val="231F20"/>
          <w:spacing w:val="-3"/>
        </w:rPr>
        <w:t> </w:t>
      </w:r>
      <w:r>
        <w:rPr>
          <w:color w:val="231F20"/>
        </w:rPr>
        <w:t>in</w:t>
      </w:r>
      <w:r>
        <w:rPr>
          <w:color w:val="231F20"/>
          <w:spacing w:val="-4"/>
        </w:rPr>
        <w:t> </w:t>
      </w:r>
      <w:r>
        <w:rPr>
          <w:color w:val="231F20"/>
        </w:rPr>
        <w:t>de</w:t>
      </w:r>
      <w:r>
        <w:rPr>
          <w:color w:val="231F20"/>
          <w:spacing w:val="-4"/>
        </w:rPr>
        <w:t> </w:t>
      </w:r>
      <w:r>
        <w:rPr>
          <w:color w:val="231F20"/>
        </w:rPr>
        <w:t>centrale</w:t>
      </w:r>
      <w:r>
        <w:rPr>
          <w:color w:val="231F20"/>
          <w:spacing w:val="-4"/>
        </w:rPr>
        <w:t> </w:t>
      </w:r>
      <w:r>
        <w:rPr>
          <w:color w:val="231F20"/>
        </w:rPr>
        <w:t>ondernemings- raad van de vennootschap. Over de wijze waarop de vennootschap die ten uitvoer brengt moet dezelfde ondernemingsraad een advies uitbrengen.</w:t>
      </w:r>
    </w:p>
    <w:p>
      <w:pPr>
        <w:pStyle w:val="BodyText"/>
        <w:spacing w:line="218" w:lineRule="auto" w:before="85"/>
      </w:pPr>
      <w:r>
        <w:rPr>
          <w:color w:val="231F20"/>
        </w:rPr>
        <w:t>Het maximumbedrag van een dergelijke kapitaalverhoging die tijdens een lopend boekjaar en de vier voorgaande boekjaren heeft plaatsgehad, mag niet meer bedragen dan 20 % van het kapitaal, de voorgenomen kapitaalverhoging</w:t>
      </w:r>
      <w:r>
        <w:rPr>
          <w:color w:val="231F20"/>
          <w:spacing w:val="-9"/>
        </w:rPr>
        <w:t> </w:t>
      </w:r>
      <w:r>
        <w:rPr>
          <w:color w:val="231F20"/>
        </w:rPr>
        <w:t>inbegrepen.</w:t>
      </w:r>
    </w:p>
    <w:p>
      <w:pPr>
        <w:pStyle w:val="BodyText"/>
        <w:spacing w:line="218" w:lineRule="auto" w:before="97"/>
      </w:pPr>
      <w:r>
        <w:rPr>
          <w:color w:val="231F20"/>
        </w:rPr>
        <w:t>De aandelen waarop het personeel in het kader van deze verrichting onder de in paragraaf 2 gestelde voorwaarden inschrijft, moeten op naam zijn gesteld. Zij kunnen niet worden overgedragen</w:t>
      </w:r>
      <w:r>
        <w:rPr>
          <w:color w:val="231F20"/>
          <w:spacing w:val="33"/>
        </w:rPr>
        <w:t> </w:t>
      </w:r>
      <w:r>
        <w:rPr>
          <w:color w:val="231F20"/>
        </w:rPr>
        <w:t>gedurende een</w:t>
      </w:r>
      <w:r>
        <w:rPr>
          <w:color w:val="231F20"/>
          <w:spacing w:val="15"/>
        </w:rPr>
        <w:t> </w:t>
      </w:r>
      <w:r>
        <w:rPr>
          <w:color w:val="231F20"/>
        </w:rPr>
        <w:t>periode</w:t>
      </w:r>
      <w:r>
        <w:rPr>
          <w:color w:val="231F20"/>
          <w:spacing w:val="16"/>
        </w:rPr>
        <w:t> </w:t>
      </w:r>
      <w:r>
        <w:rPr>
          <w:color w:val="231F20"/>
        </w:rPr>
        <w:t>van</w:t>
      </w:r>
      <w:r>
        <w:rPr>
          <w:color w:val="231F20"/>
          <w:spacing w:val="15"/>
        </w:rPr>
        <w:t> </w:t>
      </w:r>
      <w:r>
        <w:rPr>
          <w:color w:val="231F20"/>
        </w:rPr>
        <w:t>vijf</w:t>
      </w:r>
      <w:r>
        <w:rPr>
          <w:color w:val="231F20"/>
          <w:spacing w:val="16"/>
        </w:rPr>
        <w:t> </w:t>
      </w:r>
      <w:r>
        <w:rPr>
          <w:color w:val="231F20"/>
        </w:rPr>
        <w:t>jaar</w:t>
      </w:r>
      <w:r>
        <w:rPr>
          <w:color w:val="231F20"/>
          <w:spacing w:val="15"/>
        </w:rPr>
        <w:t> </w:t>
      </w:r>
      <w:r>
        <w:rPr>
          <w:color w:val="231F20"/>
        </w:rPr>
        <w:t>te</w:t>
      </w:r>
      <w:r>
        <w:rPr>
          <w:color w:val="231F20"/>
          <w:spacing w:val="16"/>
        </w:rPr>
        <w:t> </w:t>
      </w:r>
      <w:r>
        <w:rPr>
          <w:color w:val="231F20"/>
        </w:rPr>
        <w:t>rekenen</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inschrijving.</w:t>
      </w:r>
    </w:p>
    <w:p>
      <w:pPr>
        <w:pStyle w:val="BodyText"/>
        <w:spacing w:line="218" w:lineRule="auto" w:before="96"/>
      </w:pPr>
      <w:r>
        <w:rPr>
          <w:color w:val="231F20"/>
        </w:rPr>
        <w:t>§ 2. Met inachtneming van de vereisten voor kapitaalverhoging stelt de algemene vergadering of het bestuursorgaan, naargelang van het geval, de voorwaarden met betrekking tot die verrichting vast:</w:t>
      </w:r>
    </w:p>
    <w:p>
      <w:pPr>
        <w:pStyle w:val="BodyText"/>
        <w:spacing w:line="218" w:lineRule="auto" w:before="96"/>
      </w:pPr>
      <w:r>
        <w:rPr>
          <w:color w:val="231F20"/>
        </w:rPr>
        <w:t>1° de anciënniteit die de leden van het personeel op de datum van de opening van de inschrijving moeten hebben om voor de uitgifte in aanmerking te komen, en die niet lager mag zijn dan zes maanden en niet hoger dan drie jaar;</w:t>
      </w:r>
    </w:p>
    <w:p>
      <w:pPr>
        <w:spacing w:after="0" w:line="218" w:lineRule="auto"/>
        <w:sectPr>
          <w:headerReference w:type="even" r:id="rId87"/>
          <w:headerReference w:type="default" r:id="rId88"/>
          <w:pgSz w:w="11940" w:h="16880"/>
          <w:pgMar w:header="666" w:footer="0" w:top="1140" w:bottom="280" w:left="340" w:right="360"/>
          <w:cols w:num="2" w:equalWidth="0">
            <w:col w:w="5528" w:space="99"/>
            <w:col w:w="5613"/>
          </w:cols>
        </w:sectPr>
      </w:pPr>
    </w:p>
    <w:p>
      <w:pPr>
        <w:pStyle w:val="BodyText"/>
        <w:spacing w:line="218" w:lineRule="auto" w:before="120"/>
        <w:ind w:right="38"/>
      </w:pPr>
      <w:r>
        <w:rPr/>
        <w:pict>
          <v:line style="position:absolute;mso-position-horizontal-relative:page;mso-position-vertical-relative:page;z-index:5872" from="298.170502pt,64.473pt" to="298.170502pt,812.819pt" stroked="true" strokeweight=".533pt" strokecolor="#231f20">
            <v:stroke dashstyle="solid"/>
            <w10:wrap type="none"/>
          </v:line>
        </w:pict>
      </w:r>
      <w:bookmarkStart w:name="_bookmark202" w:id="208"/>
      <w:bookmarkEnd w:id="208"/>
      <w:r>
        <w:rPr/>
      </w:r>
      <w:r>
        <w:rPr>
          <w:color w:val="231F20"/>
        </w:rPr>
        <w:t>2° le délai accordé aux membres du personnel pour l’exercice de</w:t>
      </w:r>
      <w:r>
        <w:rPr>
          <w:color w:val="231F20"/>
          <w:spacing w:val="-14"/>
        </w:rPr>
        <w:t> </w:t>
      </w:r>
      <w:r>
        <w:rPr>
          <w:color w:val="231F20"/>
        </w:rPr>
        <w:t>leurs droits, lequel ne peut être inférieur à trente jours, ni supérieur à trois mois</w:t>
      </w:r>
      <w:r>
        <w:rPr>
          <w:color w:val="231F20"/>
          <w:spacing w:val="15"/>
        </w:rPr>
        <w:t> </w:t>
      </w:r>
      <w:r>
        <w:rPr>
          <w:color w:val="231F20"/>
        </w:rPr>
        <w:t>à</w:t>
      </w:r>
      <w:r>
        <w:rPr>
          <w:color w:val="231F20"/>
          <w:spacing w:val="16"/>
        </w:rPr>
        <w:t> </w:t>
      </w:r>
      <w:r>
        <w:rPr>
          <w:color w:val="231F20"/>
        </w:rPr>
        <w:t>dater</w:t>
      </w:r>
      <w:r>
        <w:rPr>
          <w:color w:val="231F20"/>
          <w:spacing w:val="15"/>
        </w:rPr>
        <w:t> </w:t>
      </w:r>
      <w:r>
        <w:rPr>
          <w:color w:val="231F20"/>
        </w:rPr>
        <w:t>de</w:t>
      </w:r>
      <w:r>
        <w:rPr>
          <w:color w:val="231F20"/>
          <w:spacing w:val="16"/>
        </w:rPr>
        <w:t> </w:t>
      </w:r>
      <w:r>
        <w:rPr>
          <w:color w:val="231F20"/>
        </w:rPr>
        <w:t>l’ouverture</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rPr>
        <w:t>souscription;</w:t>
      </w:r>
    </w:p>
    <w:p>
      <w:pPr>
        <w:pStyle w:val="BodyText"/>
        <w:spacing w:before="11"/>
        <w:ind w:left="0" w:right="0" w:firstLine="0"/>
        <w:jc w:val="left"/>
        <w:rPr>
          <w:sz w:val="22"/>
        </w:rPr>
      </w:pPr>
    </w:p>
    <w:p>
      <w:pPr>
        <w:pStyle w:val="BodyText"/>
        <w:spacing w:line="218" w:lineRule="auto"/>
        <w:ind w:right="38"/>
      </w:pPr>
      <w:r>
        <w:rPr>
          <w:color w:val="231F20"/>
        </w:rPr>
        <w:t>3° le délai susceptible d’être accordé aux souscripteurs pour la libération de leurs titres, lequel ne peut être supérieur à trois ans à compter de l’expiration du délai accordé aux membres du personnel pour l’exercice de leurs droits;</w:t>
      </w:r>
    </w:p>
    <w:p>
      <w:pPr>
        <w:pStyle w:val="BodyText"/>
        <w:spacing w:line="218" w:lineRule="auto" w:before="86"/>
        <w:ind w:right="38"/>
      </w:pPr>
      <w:r>
        <w:rPr>
          <w:color w:val="231F20"/>
        </w:rPr>
        <w:t>4° le prix d’émission de ces actions, qui ne peut être inférieur à 80 % du prix justifié par le rapport de l’organe d’administration et par le rapport du commissaire, du réviseur ou de l’expert-comptable externe, prévus par l’article 7:191.</w:t>
      </w:r>
    </w:p>
    <w:p>
      <w:pPr>
        <w:pStyle w:val="BodyText"/>
        <w:spacing w:line="218" w:lineRule="auto" w:before="85"/>
        <w:ind w:right="38"/>
      </w:pPr>
      <w:r>
        <w:rPr>
          <w:color w:val="231F20"/>
        </w:rPr>
        <w:t>Dix jours au moins avant l’ouverture de la souscription, tous les membres du personnel susceptibles de souscrire doivent être informés des conditions proposées. Ils peuvent obtenir communication des documents sociaux visés aux articles 3:10 et 3:12.</w:t>
      </w:r>
    </w:p>
    <w:p>
      <w:pPr>
        <w:pStyle w:val="BodyText"/>
        <w:spacing w:before="8"/>
        <w:ind w:left="0" w:right="0" w:firstLine="0"/>
        <w:jc w:val="left"/>
        <w:rPr>
          <w:sz w:val="21"/>
        </w:rPr>
      </w:pPr>
    </w:p>
    <w:p>
      <w:pPr>
        <w:pStyle w:val="BodyText"/>
        <w:spacing w:line="218" w:lineRule="auto"/>
        <w:ind w:right="38"/>
      </w:pPr>
      <w:r>
        <w:rPr>
          <w:color w:val="231F20"/>
        </w:rPr>
        <w:t>§ 3. Un membre du personnel visé aux paragraphes 1</w:t>
      </w:r>
      <w:r>
        <w:rPr>
          <w:color w:val="231F20"/>
          <w:position w:val="7"/>
          <w:sz w:val="11"/>
        </w:rPr>
        <w:t>er </w:t>
      </w:r>
      <w:r>
        <w:rPr>
          <w:color w:val="231F20"/>
        </w:rPr>
        <w:t>et 2 peut néanmoins transférer ses actions en cas de licenciement, de mise à la retraite de l’intéressé, de décès ou d’invalidité du bénéficiaire ou du conjoint.</w:t>
      </w:r>
    </w:p>
    <w:p>
      <w:pPr>
        <w:pStyle w:val="BodyText"/>
        <w:spacing w:before="72"/>
        <w:ind w:left="283" w:right="0" w:firstLine="0"/>
        <w:jc w:val="left"/>
      </w:pPr>
      <w:r>
        <w:rPr>
          <w:color w:val="231F20"/>
        </w:rPr>
        <w:t>Section 6. Garantie et responsabilités.</w:t>
      </w:r>
    </w:p>
    <w:p>
      <w:pPr>
        <w:pStyle w:val="BodyText"/>
        <w:spacing w:line="218" w:lineRule="auto" w:before="82"/>
        <w:ind w:right="38"/>
      </w:pPr>
      <w:r>
        <w:rPr>
          <w:color w:val="231F20"/>
        </w:rPr>
        <w:t>Art. 7:205. Nonobstant toute disposition contraire, les membres du conseil d’administration ou du conseil de surveillance sont tenus solidairement</w:t>
      </w:r>
      <w:r>
        <w:rPr>
          <w:color w:val="231F20"/>
          <w:spacing w:val="8"/>
        </w:rPr>
        <w:t> </w:t>
      </w:r>
      <w:r>
        <w:rPr>
          <w:color w:val="231F20"/>
        </w:rPr>
        <w:t>et</w:t>
      </w:r>
      <w:r>
        <w:rPr>
          <w:color w:val="231F20"/>
          <w:spacing w:val="9"/>
        </w:rPr>
        <w:t> </w:t>
      </w:r>
      <w:r>
        <w:rPr>
          <w:color w:val="231F20"/>
        </w:rPr>
        <w:t>l’administrateur</w:t>
      </w:r>
      <w:r>
        <w:rPr>
          <w:color w:val="231F20"/>
          <w:spacing w:val="9"/>
        </w:rPr>
        <w:t> </w:t>
      </w:r>
      <w:r>
        <w:rPr>
          <w:color w:val="231F20"/>
        </w:rPr>
        <w:t>unique</w:t>
      </w:r>
      <w:r>
        <w:rPr>
          <w:color w:val="231F20"/>
          <w:spacing w:val="9"/>
        </w:rPr>
        <w:t> </w:t>
      </w:r>
      <w:r>
        <w:rPr>
          <w:color w:val="231F20"/>
        </w:rPr>
        <w:t>est</w:t>
      </w:r>
      <w:r>
        <w:rPr>
          <w:color w:val="231F20"/>
          <w:spacing w:val="8"/>
        </w:rPr>
        <w:t> </w:t>
      </w:r>
      <w:r>
        <w:rPr>
          <w:color w:val="231F20"/>
        </w:rPr>
        <w:t>tenu</w:t>
      </w:r>
      <w:r>
        <w:rPr>
          <w:color w:val="231F20"/>
          <w:spacing w:val="9"/>
        </w:rPr>
        <w:t> </w:t>
      </w:r>
      <w:r>
        <w:rPr>
          <w:color w:val="231F20"/>
        </w:rPr>
        <w:t>envers</w:t>
      </w:r>
      <w:r>
        <w:rPr>
          <w:color w:val="231F20"/>
          <w:spacing w:val="9"/>
        </w:rPr>
        <w:t> </w:t>
      </w:r>
      <w:r>
        <w:rPr>
          <w:color w:val="231F20"/>
        </w:rPr>
        <w:t>les</w:t>
      </w:r>
      <w:r>
        <w:rPr>
          <w:color w:val="231F20"/>
          <w:spacing w:val="8"/>
        </w:rPr>
        <w:t> </w:t>
      </w:r>
      <w:r>
        <w:rPr>
          <w:color w:val="231F20"/>
        </w:rPr>
        <w:t>intéressés:</w:t>
      </w:r>
    </w:p>
    <w:p>
      <w:pPr>
        <w:pStyle w:val="BodyText"/>
        <w:spacing w:line="218" w:lineRule="auto" w:before="85"/>
        <w:ind w:right="38"/>
      </w:pPr>
      <w:r>
        <w:rPr>
          <w:color w:val="231F20"/>
        </w:rPr>
        <w:t>1° de toute la partie de l’augmentation du capital qui ne serait pas valablement</w:t>
      </w:r>
      <w:r>
        <w:rPr>
          <w:color w:val="231F20"/>
          <w:spacing w:val="13"/>
        </w:rPr>
        <w:t> </w:t>
      </w:r>
      <w:r>
        <w:rPr>
          <w:color w:val="231F20"/>
        </w:rPr>
        <w:t>souscrite;</w:t>
      </w:r>
      <w:r>
        <w:rPr>
          <w:color w:val="231F20"/>
          <w:spacing w:val="13"/>
        </w:rPr>
        <w:t> </w:t>
      </w:r>
      <w:r>
        <w:rPr>
          <w:color w:val="231F20"/>
        </w:rPr>
        <w:t>ils</w:t>
      </w:r>
      <w:r>
        <w:rPr>
          <w:color w:val="231F20"/>
          <w:spacing w:val="13"/>
        </w:rPr>
        <w:t> </w:t>
      </w:r>
      <w:r>
        <w:rPr>
          <w:color w:val="231F20"/>
        </w:rPr>
        <w:t>en</w:t>
      </w:r>
      <w:r>
        <w:rPr>
          <w:color w:val="231F20"/>
          <w:spacing w:val="13"/>
        </w:rPr>
        <w:t> </w:t>
      </w:r>
      <w:r>
        <w:rPr>
          <w:color w:val="231F20"/>
        </w:rPr>
        <w:t>sont</w:t>
      </w:r>
      <w:r>
        <w:rPr>
          <w:color w:val="231F20"/>
          <w:spacing w:val="13"/>
        </w:rPr>
        <w:t> </w:t>
      </w:r>
      <w:r>
        <w:rPr>
          <w:color w:val="231F20"/>
        </w:rPr>
        <w:t>de</w:t>
      </w:r>
      <w:r>
        <w:rPr>
          <w:color w:val="231F20"/>
          <w:spacing w:val="13"/>
        </w:rPr>
        <w:t> </w:t>
      </w:r>
      <w:r>
        <w:rPr>
          <w:color w:val="231F20"/>
        </w:rPr>
        <w:t>plein</w:t>
      </w:r>
      <w:r>
        <w:rPr>
          <w:color w:val="231F20"/>
          <w:spacing w:val="13"/>
        </w:rPr>
        <w:t> </w:t>
      </w:r>
      <w:r>
        <w:rPr>
          <w:color w:val="231F20"/>
        </w:rPr>
        <w:t>droit</w:t>
      </w:r>
      <w:r>
        <w:rPr>
          <w:color w:val="231F20"/>
          <w:spacing w:val="13"/>
        </w:rPr>
        <w:t> </w:t>
      </w:r>
      <w:r>
        <w:rPr>
          <w:color w:val="231F20"/>
        </w:rPr>
        <w:t>réputés</w:t>
      </w:r>
      <w:r>
        <w:rPr>
          <w:color w:val="231F20"/>
          <w:spacing w:val="13"/>
        </w:rPr>
        <w:t> </w:t>
      </w:r>
      <w:r>
        <w:rPr>
          <w:color w:val="231F20"/>
        </w:rPr>
        <w:t>souscripteurs;</w:t>
      </w:r>
    </w:p>
    <w:p>
      <w:pPr>
        <w:pStyle w:val="BodyText"/>
        <w:ind w:left="0" w:right="0" w:firstLine="0"/>
        <w:jc w:val="left"/>
        <w:rPr>
          <w:sz w:val="23"/>
        </w:rPr>
      </w:pPr>
    </w:p>
    <w:p>
      <w:pPr>
        <w:pStyle w:val="BodyText"/>
        <w:spacing w:line="218" w:lineRule="auto"/>
        <w:ind w:right="38"/>
      </w:pPr>
      <w:r>
        <w:rPr>
          <w:color w:val="231F20"/>
        </w:rPr>
        <w:t>2° de la libération effective jusqu’à concurrence d’un quart des actions, de la libération effective dans un délai de cinq ans des actions correspondant en tout ou en partie à des apports en nature, ainsi que</w:t>
      </w:r>
      <w:r>
        <w:rPr>
          <w:color w:val="231F20"/>
          <w:spacing w:val="-20"/>
        </w:rPr>
        <w:t> </w:t>
      </w:r>
      <w:r>
        <w:rPr>
          <w:color w:val="231F20"/>
        </w:rPr>
        <w:t>de la libération effective de la part du capital dont ils sont réputés souscripteurs en vertu du</w:t>
      </w:r>
      <w:r>
        <w:rPr>
          <w:color w:val="231F20"/>
          <w:spacing w:val="20"/>
        </w:rPr>
        <w:t> </w:t>
      </w:r>
      <w:r>
        <w:rPr>
          <w:color w:val="231F20"/>
        </w:rPr>
        <w:t>1°;</w:t>
      </w:r>
    </w:p>
    <w:p>
      <w:pPr>
        <w:pStyle w:val="BodyText"/>
        <w:spacing w:line="218" w:lineRule="auto" w:before="96"/>
        <w:ind w:right="38"/>
      </w:pPr>
      <w:r>
        <w:rPr>
          <w:color w:val="231F20"/>
        </w:rPr>
        <w:t>3° de la libération des actions souscrites, directement ou au moyen</w:t>
      </w:r>
      <w:r>
        <w:rPr>
          <w:color w:val="231F20"/>
          <w:spacing w:val="-23"/>
        </w:rPr>
        <w:t> </w:t>
      </w:r>
      <w:r>
        <w:rPr>
          <w:color w:val="231F20"/>
        </w:rPr>
        <w:t>de certificats</w:t>
      </w:r>
      <w:r>
        <w:rPr>
          <w:color w:val="231F20"/>
          <w:spacing w:val="14"/>
        </w:rPr>
        <w:t> </w:t>
      </w:r>
      <w:r>
        <w:rPr>
          <w:color w:val="231F20"/>
        </w:rPr>
        <w:t>en</w:t>
      </w:r>
      <w:r>
        <w:rPr>
          <w:color w:val="231F20"/>
          <w:spacing w:val="14"/>
        </w:rPr>
        <w:t> </w:t>
      </w:r>
      <w:r>
        <w:rPr>
          <w:color w:val="231F20"/>
        </w:rPr>
        <w:t>violation</w:t>
      </w:r>
      <w:r>
        <w:rPr>
          <w:color w:val="231F20"/>
          <w:spacing w:val="15"/>
        </w:rPr>
        <w:t> </w:t>
      </w:r>
      <w:r>
        <w:rPr>
          <w:color w:val="231F20"/>
        </w:rPr>
        <w:t>de</w:t>
      </w:r>
      <w:r>
        <w:rPr>
          <w:color w:val="231F20"/>
          <w:spacing w:val="14"/>
        </w:rPr>
        <w:t> </w:t>
      </w:r>
      <w:r>
        <w:rPr>
          <w:color w:val="231F20"/>
        </w:rPr>
        <w:t>l’article</w:t>
      </w:r>
      <w:r>
        <w:rPr>
          <w:color w:val="231F20"/>
          <w:spacing w:val="15"/>
        </w:rPr>
        <w:t> </w:t>
      </w:r>
      <w:r>
        <w:rPr>
          <w:color w:val="231F20"/>
        </w:rPr>
        <w:t>7:182.</w:t>
      </w:r>
    </w:p>
    <w:p>
      <w:pPr>
        <w:pStyle w:val="BodyText"/>
        <w:spacing w:line="218" w:lineRule="auto" w:before="97"/>
        <w:ind w:right="38"/>
      </w:pPr>
      <w:r>
        <w:rPr>
          <w:color w:val="231F20"/>
        </w:rPr>
        <w:t>Art. 7:206. Nonobstant toute disposition contraire, les membres du conseil d’administration ou du conseil de surveillance sont responsa- bles solidairement et l’administrateur unique est responsable envers les intéressés du préjudice qui est la suite immédiate et directe de la surévaluation manifeste des apports en nature.</w:t>
      </w:r>
    </w:p>
    <w:p>
      <w:pPr>
        <w:pStyle w:val="BodyText"/>
        <w:spacing w:line="218" w:lineRule="auto" w:before="96"/>
        <w:ind w:right="38"/>
      </w:pPr>
      <w:r>
        <w:rPr>
          <w:color w:val="231F20"/>
        </w:rPr>
        <w:t>Art. 7:207. Ceux qui ont pris un engagement pour des tiers, soit comme mandataire, soit en se portant fort, sont réputés personnelle- ment obligés, s’il n’y a pas mandat valable ou si l’engagement n’est pas ratifié dans les deux mois de la stipulation; ce délai est réduit à quinze jours si les noms des personnes pour lesquelles la stipulation a été faite ne sont pas indiqués.</w:t>
      </w:r>
    </w:p>
    <w:p>
      <w:pPr>
        <w:pStyle w:val="BodyText"/>
        <w:spacing w:before="8"/>
        <w:ind w:left="0" w:right="0" w:firstLine="0"/>
        <w:jc w:val="left"/>
        <w:rPr>
          <w:sz w:val="22"/>
        </w:rPr>
      </w:pPr>
    </w:p>
    <w:p>
      <w:pPr>
        <w:pStyle w:val="BodyText"/>
        <w:ind w:left="283" w:right="0" w:firstLine="0"/>
        <w:jc w:val="left"/>
      </w:pPr>
      <w:r>
        <w:rPr>
          <w:color w:val="231F20"/>
        </w:rPr>
        <w:t>CHAPITRE 2. Réduction du capital.</w:t>
      </w:r>
    </w:p>
    <w:p>
      <w:pPr>
        <w:pStyle w:val="BodyText"/>
        <w:spacing w:line="218" w:lineRule="auto" w:before="93"/>
        <w:ind w:right="38"/>
      </w:pPr>
      <w:r>
        <w:rPr>
          <w:color w:val="231F20"/>
        </w:rPr>
        <w:t>Art. 7:208. Toute réduction du capital requiert une modification des statuts qui ne peut être décidée que dans le respect de l’égalité de traitement des actionnaires qui se trouvent dans des conditions identiques. Le cas échéant, il est fait application de l’article 7:155.</w:t>
      </w:r>
    </w:p>
    <w:p>
      <w:pPr>
        <w:pStyle w:val="BodyText"/>
        <w:spacing w:line="218" w:lineRule="auto" w:before="96"/>
        <w:ind w:right="38"/>
      </w:pPr>
      <w:r>
        <w:rPr>
          <w:color w:val="231F20"/>
        </w:rPr>
        <w:t>La convocation à l’assemblée générale indique la manière dont la réduction proposée sera opérée ainsi que le but de cette réduction.</w:t>
      </w:r>
    </w:p>
    <w:p>
      <w:pPr>
        <w:pStyle w:val="BodyText"/>
        <w:spacing w:before="11"/>
        <w:ind w:left="0" w:right="0" w:firstLine="0"/>
        <w:jc w:val="left"/>
        <w:rPr>
          <w:sz w:val="23"/>
        </w:rPr>
      </w:pPr>
    </w:p>
    <w:p>
      <w:pPr>
        <w:pStyle w:val="BodyText"/>
        <w:spacing w:line="218" w:lineRule="auto"/>
        <w:ind w:right="38"/>
      </w:pPr>
      <w:r>
        <w:rPr>
          <w:color w:val="231F20"/>
        </w:rPr>
        <w:t>Lorsque une plus-value de réévaluation a été incorporée au capital, celui-ci ne peut être réduit à un montant inférieur à celui du capital minimum,</w:t>
      </w:r>
    </w:p>
    <w:p>
      <w:pPr>
        <w:pStyle w:val="BodyText"/>
        <w:spacing w:line="218" w:lineRule="auto" w:before="96"/>
        <w:ind w:right="38"/>
      </w:pPr>
      <w:r>
        <w:rPr>
          <w:color w:val="231F20"/>
        </w:rPr>
        <w:t>1° augmenté du montant de la plus-value de réévaluation incorpo- rée, et</w:t>
      </w:r>
    </w:p>
    <w:p>
      <w:pPr>
        <w:pStyle w:val="BodyText"/>
        <w:spacing w:line="218" w:lineRule="auto" w:before="96"/>
        <w:ind w:right="38"/>
      </w:pPr>
      <w:r>
        <w:rPr>
          <w:color w:val="231F20"/>
        </w:rPr>
        <w:t>2° diminué, le cas échéant, du montant de la plus-value réalisée dans l’intervalle résultant de la cession de l’actif concerné.</w:t>
      </w:r>
    </w:p>
    <w:p>
      <w:pPr>
        <w:pStyle w:val="BodyText"/>
        <w:spacing w:before="11"/>
        <w:ind w:left="0" w:right="0" w:firstLine="0"/>
        <w:jc w:val="left"/>
        <w:rPr>
          <w:sz w:val="23"/>
        </w:rPr>
      </w:pPr>
    </w:p>
    <w:p>
      <w:pPr>
        <w:pStyle w:val="BodyText"/>
        <w:spacing w:line="218" w:lineRule="auto"/>
        <w:ind w:right="38"/>
      </w:pPr>
      <w:r>
        <w:rPr>
          <w:color w:val="231F20"/>
        </w:rPr>
        <w:t>Art. 7:209. Si la réduction du capital s’opère par un remboursement aux actionnaires ou par dispense totale ou partielle du versement du solde des apports, les créanciers ont, dans les deux mois de la publication aux Annexes du </w:t>
      </w:r>
      <w:r>
        <w:rPr>
          <w:rFonts w:ascii="Times New Roman" w:hAnsi="Times New Roman"/>
          <w:i/>
          <w:color w:val="231F20"/>
        </w:rPr>
        <w:t>Moniteur belge </w:t>
      </w:r>
      <w:r>
        <w:rPr>
          <w:color w:val="231F20"/>
        </w:rPr>
        <w:t>de la décision de réduction du capital, nonobstant toute disposition contraire, le droit d’exiger une sûreté pour les créances nées et non encore échues au moment de cette publication et pour les créances faisant l’objet d’une action introduite en justice ou par voie d’arbitrage avant l’assemblée générale appelée à se prononcer sur la réduction de capital. La société peut écarter cette demande en payant la créance à sa valeur, après déduction de l’escompte.</w:t>
      </w:r>
    </w:p>
    <w:p>
      <w:pPr>
        <w:pStyle w:val="BodyText"/>
        <w:spacing w:line="218" w:lineRule="auto" w:before="119"/>
      </w:pPr>
      <w:r>
        <w:rPr/>
        <w:br w:type="column"/>
      </w:r>
      <w:r>
        <w:rPr>
          <w:color w:val="231F20"/>
        </w:rPr>
        <w:t>2° de termijn toegekend aan de leden van het personeel voor de uitoefening van hun rechten, die niet minder mag bedragen dan dertig dagen, en niet meer dan drie maanden te rekenen van de opening van de inschrijving;</w:t>
      </w:r>
    </w:p>
    <w:p>
      <w:pPr>
        <w:pStyle w:val="BodyText"/>
        <w:spacing w:line="218" w:lineRule="auto" w:before="86"/>
      </w:pPr>
      <w:r>
        <w:rPr>
          <w:color w:val="231F20"/>
        </w:rPr>
        <w:t>3° de termijn die aan de inschrijvers kan worden toegekend voor de volstorting van hun effecten en die niet meer mag bedragen dan drie jaar te rekenen van het verstrijken van de termijn die aan de leden van het personeel voor de uitoefening van hun rechten is toegekend;</w:t>
      </w:r>
    </w:p>
    <w:p>
      <w:pPr>
        <w:pStyle w:val="BodyText"/>
        <w:spacing w:line="218" w:lineRule="auto" w:before="86"/>
      </w:pPr>
      <w:r>
        <w:rPr>
          <w:color w:val="231F20"/>
        </w:rPr>
        <w:t>4° de uitgifteprijs van die aandelen die niet lager mag zijn dan 80 % van de prijs die in het verslag van het bestuursorgaan en door het verslag van de commissaris, bedrijfsrevisor of externe accountant, bedoeld in artikel 7:191, wordt gerechtvaardigd.</w:t>
      </w:r>
    </w:p>
    <w:p>
      <w:pPr>
        <w:pStyle w:val="BodyText"/>
        <w:spacing w:line="218" w:lineRule="auto" w:before="85"/>
      </w:pPr>
      <w:r>
        <w:rPr>
          <w:color w:val="231F20"/>
          <w:spacing w:val="-6"/>
        </w:rPr>
        <w:t>Ten </w:t>
      </w:r>
      <w:r>
        <w:rPr>
          <w:color w:val="231F20"/>
        </w:rPr>
        <w:t>minste tien dagen voor de opening van de inschrijving moeten alle leden van het personeel die voor inschrijving in aanmerking komen, worden ingelicht over de voorgestelde voorwaarden. Zij  kunnen de in de artikelen 3:10 en 3:12 bedoelde documenten van de vennootschap</w:t>
      </w:r>
      <w:r>
        <w:rPr>
          <w:color w:val="231F20"/>
          <w:spacing w:val="15"/>
        </w:rPr>
        <w:t> </w:t>
      </w:r>
      <w:r>
        <w:rPr>
          <w:color w:val="231F20"/>
        </w:rPr>
        <w:t>verkrijgen.</w:t>
      </w:r>
    </w:p>
    <w:p>
      <w:pPr>
        <w:pStyle w:val="BodyText"/>
        <w:spacing w:line="218" w:lineRule="auto" w:before="86"/>
      </w:pPr>
      <w:r>
        <w:rPr>
          <w:color w:val="231F20"/>
        </w:rPr>
        <w:t>§ 3. Een lid van het personeel bedoeld in paragrafen 1 en 2 kan zijn aandelen toch overdragen in geval van ontslag of pensionering, zijn overlijden of dat van zijn echtgenoot, zijn invaliditeit van de betrokkene of van zijn echtgenoot.</w:t>
      </w:r>
    </w:p>
    <w:p>
      <w:pPr>
        <w:pStyle w:val="BodyText"/>
        <w:spacing w:before="72"/>
        <w:ind w:left="283" w:right="0" w:firstLine="0"/>
        <w:jc w:val="left"/>
      </w:pPr>
      <w:r>
        <w:rPr>
          <w:color w:val="231F20"/>
        </w:rPr>
        <w:t>Afdeling 6. Garantie en aansprakelijkheid.</w:t>
      </w:r>
    </w:p>
    <w:p>
      <w:pPr>
        <w:pStyle w:val="BodyText"/>
        <w:spacing w:line="218" w:lineRule="auto" w:before="82"/>
      </w:pPr>
      <w:r>
        <w:rPr>
          <w:color w:val="231F20"/>
        </w:rPr>
        <w:t>Art. 7:205. Niettegenstaande andersluidende bepaling, zijn de leden van de raad van bestuur of de raad van toezicht hoofdelijk gehouden en is de enige bestuurder gehouden jegens de belanghebbenden:</w:t>
      </w:r>
    </w:p>
    <w:p>
      <w:pPr>
        <w:pStyle w:val="BodyText"/>
        <w:spacing w:line="218" w:lineRule="auto" w:before="85"/>
      </w:pPr>
      <w:r>
        <w:rPr>
          <w:color w:val="231F20"/>
        </w:rPr>
        <w:t>1° voor het volle gedeelte van de kapitaalverhoging waarvoor niet op geldige wijze is ingeschreven; zij worden van rechtswege als inschrij- vers ervan beschouwd;</w:t>
      </w:r>
    </w:p>
    <w:p>
      <w:pPr>
        <w:pStyle w:val="BodyText"/>
        <w:spacing w:line="218" w:lineRule="auto" w:before="86"/>
        <w:ind w:right="123"/>
      </w:pPr>
      <w:r>
        <w:rPr>
          <w:color w:val="231F20"/>
        </w:rPr>
        <w:t>2° tot werkelijke volstorting van een vierde op de aandelen, tot werkelijke volstorting binnen vijf jaar van de aandelen die geheel of ten dele overeenstemmen met inbreng in natura, evenals tot werkelijke volstorting van het kapitaal waarvoor zij overeenkomstig 1° als inschrijvers worden beschouwd;</w:t>
      </w:r>
    </w:p>
    <w:p>
      <w:pPr>
        <w:pStyle w:val="BodyText"/>
        <w:spacing w:line="218" w:lineRule="auto" w:before="96"/>
      </w:pPr>
      <w:r>
        <w:rPr>
          <w:color w:val="231F20"/>
        </w:rPr>
        <w:t>3° tot volstorting van de aandelen waarop rechtstreeks of middels certificaten is ingeschreven in strijd met artikel 7:182.</w:t>
      </w:r>
    </w:p>
    <w:p>
      <w:pPr>
        <w:pStyle w:val="BodyText"/>
        <w:spacing w:line="218" w:lineRule="auto" w:before="96"/>
      </w:pPr>
      <w:r>
        <w:rPr>
          <w:color w:val="231F20"/>
        </w:rPr>
        <w:t>Art. 7:206. Niettegenstaande andersluidende bepaling, zijn de leden van de raad van bestuur of de raad van toezicht hoofdelijk aansprake- lijk en is de enige bestuurder aansprakelijk jegens de belanghebbenden voor de schade die het onmiddellijke en rechtstreekse gevolg is van de kennelijke overwaardering van de inbrengen in natura.</w:t>
      </w:r>
    </w:p>
    <w:p>
      <w:pPr>
        <w:pStyle w:val="BodyText"/>
        <w:spacing w:line="218" w:lineRule="auto" w:before="97"/>
      </w:pPr>
      <w:r>
        <w:rPr>
          <w:color w:val="231F20"/>
        </w:rPr>
        <w:t>Art. 7:207. Zij die een verbintenis voor derden hebben aangegaan, hetzij als lasthebber, hetzij door zich voor hen sterk te maken, worden geacht persoonlijk verbonden te zijn, indien er geen geldige lastgeving bestaat of indien de verbintenis niet is bekrachtigd binnen twee maanden nadat ze is aangegaan; deze termijn wordt verminderd tot vijftien dagen, indien de namen van de personen voor wie de verbintenis is aangegaan, niet zijn aangegeven.</w:t>
      </w:r>
    </w:p>
    <w:p>
      <w:pPr>
        <w:pStyle w:val="BodyText"/>
        <w:spacing w:before="82"/>
        <w:ind w:left="283" w:right="0" w:firstLine="0"/>
        <w:jc w:val="left"/>
      </w:pPr>
      <w:r>
        <w:rPr>
          <w:color w:val="231F20"/>
        </w:rPr>
        <w:t>HOOFDSTUK 2. Kapitaalvermindering.</w:t>
      </w:r>
    </w:p>
    <w:p>
      <w:pPr>
        <w:pStyle w:val="BodyText"/>
        <w:spacing w:line="218" w:lineRule="auto" w:before="93"/>
      </w:pPr>
      <w:r>
        <w:rPr>
          <w:color w:val="231F20"/>
        </w:rPr>
        <w:t>Art. 7:208. Een vermindering van het kapitaal vereist een statuten- wijziging, waarbij de aandeelhouders die zich in gelijke omstandighe- den bevinden gelijk worden behandeld. In voorkomend geval wordt toepassing gemaakt van artikel 7:155.</w:t>
      </w:r>
    </w:p>
    <w:p>
      <w:pPr>
        <w:pStyle w:val="BodyText"/>
        <w:spacing w:line="218" w:lineRule="auto" w:before="96"/>
      </w:pPr>
      <w:r>
        <w:rPr>
          <w:color w:val="231F20"/>
        </w:rPr>
        <w:t>De oproeping tot de algemene vergadering vermeldt het doel van de vermindering en de voor de verwezenlijking ervan te volgen werk- wijze.</w:t>
      </w:r>
    </w:p>
    <w:p>
      <w:pPr>
        <w:pStyle w:val="BodyText"/>
        <w:spacing w:line="218" w:lineRule="auto" w:before="96"/>
      </w:pPr>
      <w:r>
        <w:rPr>
          <w:color w:val="231F20"/>
        </w:rPr>
        <w:t>Wanneer een herwaarderingsmeerwaarde in het kapitaal is omgezet mag het kapitaal niet worden verminderd tot een bedrag lager dan het minimumkapitaal,</w:t>
      </w:r>
    </w:p>
    <w:p>
      <w:pPr>
        <w:pStyle w:val="BodyText"/>
        <w:spacing w:line="218" w:lineRule="auto" w:before="96"/>
      </w:pPr>
      <w:r>
        <w:rPr>
          <w:color w:val="231F20"/>
        </w:rPr>
        <w:t>1° verhoogd met het bedrag van de omgezette herwaarderingsmeer- waarde, en</w:t>
      </w:r>
    </w:p>
    <w:p>
      <w:pPr>
        <w:pStyle w:val="BodyText"/>
        <w:spacing w:line="218" w:lineRule="auto" w:before="97"/>
      </w:pPr>
      <w:r>
        <w:rPr>
          <w:color w:val="231F20"/>
        </w:rPr>
        <w:t>2° in voorkomend geval, verminderd met het bedrag van de inmiddels gerealiseerde meerwaarde ingevolge overdracht van het betrokken</w:t>
      </w:r>
      <w:r>
        <w:rPr>
          <w:color w:val="231F20"/>
          <w:spacing w:val="14"/>
        </w:rPr>
        <w:t> </w:t>
      </w:r>
      <w:r>
        <w:rPr>
          <w:color w:val="231F20"/>
        </w:rPr>
        <w:t>actiefbestanddeel.</w:t>
      </w:r>
    </w:p>
    <w:p>
      <w:pPr>
        <w:pStyle w:val="BodyText"/>
        <w:spacing w:line="218" w:lineRule="auto" w:before="96"/>
        <w:ind w:right="123"/>
      </w:pPr>
      <w:r>
        <w:rPr>
          <w:color w:val="231F20"/>
        </w:rPr>
        <w:t>Art. 7:209. Indien het kapitaal wordt verminderd door een terugbe- taling aan de aandeelhouders of door gehele of gedeeltelijke vrijstelling van de storting van het saldo van de inbreng, hebben de schuldeisers binnen twee maanden na de bekendmaking van het besluit tot vermindering van het kapitaal in de Bijlagen bij het </w:t>
      </w:r>
      <w:r>
        <w:rPr>
          <w:rFonts w:ascii="Times New Roman" w:hAnsi="Times New Roman"/>
          <w:i/>
          <w:color w:val="231F20"/>
        </w:rPr>
        <w:t>Belgisch Staatsblad</w:t>
      </w:r>
      <w:r>
        <w:rPr>
          <w:color w:val="231F20"/>
        </w:rPr>
        <w:t>, het recht om, niettegenstaande andersluidende bepaling, een zekerheid te eisen voor de vorderingen die op het tijdstip van die bekendmaking vaststaand maar nog niet opeisbaar zijn evenals voor de schuldvorde- ringen waarvoor in rechte of via arbitrage een vordering werd ingesteld vóór de algemene vergadering die zich over de kapitaalvermindering moet uitspreken. De vennootschap kan deze vordering afweren door de schuldvordering te betalen tegen haar waarde, na aftrek van het disconto.</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5896" from="298.170502pt,64.473pt" to="298.170502pt,812.819pt" stroked="true" strokeweight=".533pt" strokecolor="#231f20">
            <v:stroke dashstyle="solid"/>
            <w10:wrap type="none"/>
          </v:line>
        </w:pict>
      </w:r>
      <w:bookmarkStart w:name="_bookmark203" w:id="209"/>
      <w:bookmarkEnd w:id="209"/>
      <w:r>
        <w:rPr/>
      </w:r>
      <w:r>
        <w:rPr>
          <w:color w:val="231F20"/>
        </w:rPr>
        <w:t>A défaut d’accord ou si le créancier n’est pas payé, la partie la plus diligente soumet la contestation au président du tribunal de l’entreprise du siège de la société, siégeant en référé.</w:t>
      </w:r>
    </w:p>
    <w:p>
      <w:pPr>
        <w:pStyle w:val="BodyText"/>
        <w:spacing w:before="10"/>
        <w:ind w:left="0" w:right="0" w:firstLine="0"/>
        <w:jc w:val="left"/>
        <w:rPr>
          <w:sz w:val="23"/>
        </w:rPr>
      </w:pPr>
    </w:p>
    <w:p>
      <w:pPr>
        <w:pStyle w:val="BodyText"/>
        <w:spacing w:line="218" w:lineRule="auto"/>
        <w:ind w:right="38"/>
      </w:pPr>
      <w:r>
        <w:rPr>
          <w:color w:val="231F20"/>
          <w:spacing w:val="-4"/>
        </w:rPr>
        <w:t>Tous </w:t>
      </w:r>
      <w:r>
        <w:rPr>
          <w:color w:val="231F20"/>
        </w:rPr>
        <w:t>droits saufs au fond, le président détermine la sûreté à fournir par</w:t>
      </w:r>
      <w:r>
        <w:rPr>
          <w:color w:val="231F20"/>
          <w:spacing w:val="-5"/>
        </w:rPr>
        <w:t> </w:t>
      </w:r>
      <w:r>
        <w:rPr>
          <w:color w:val="231F20"/>
        </w:rPr>
        <w:t>la</w:t>
      </w:r>
      <w:r>
        <w:rPr>
          <w:color w:val="231F20"/>
          <w:spacing w:val="-4"/>
        </w:rPr>
        <w:t> </w:t>
      </w:r>
      <w:r>
        <w:rPr>
          <w:color w:val="231F20"/>
        </w:rPr>
        <w:t>société</w:t>
      </w:r>
      <w:r>
        <w:rPr>
          <w:color w:val="231F20"/>
          <w:spacing w:val="-4"/>
        </w:rPr>
        <w:t> </w:t>
      </w:r>
      <w:r>
        <w:rPr>
          <w:color w:val="231F20"/>
        </w:rPr>
        <w:t>et</w:t>
      </w:r>
      <w:r>
        <w:rPr>
          <w:color w:val="231F20"/>
          <w:spacing w:val="-5"/>
        </w:rPr>
        <w:t> </w:t>
      </w:r>
      <w:r>
        <w:rPr>
          <w:color w:val="231F20"/>
        </w:rPr>
        <w:t>fixe</w:t>
      </w:r>
      <w:r>
        <w:rPr>
          <w:color w:val="231F20"/>
          <w:spacing w:val="-4"/>
        </w:rPr>
        <w:t> </w:t>
      </w:r>
      <w:r>
        <w:rPr>
          <w:color w:val="231F20"/>
        </w:rPr>
        <w:t>le</w:t>
      </w:r>
      <w:r>
        <w:rPr>
          <w:color w:val="231F20"/>
          <w:spacing w:val="-4"/>
        </w:rPr>
        <w:t> </w:t>
      </w:r>
      <w:r>
        <w:rPr>
          <w:color w:val="231F20"/>
        </w:rPr>
        <w:t>délai</w:t>
      </w:r>
      <w:r>
        <w:rPr>
          <w:color w:val="231F20"/>
          <w:spacing w:val="-5"/>
        </w:rPr>
        <w:t> </w:t>
      </w:r>
      <w:r>
        <w:rPr>
          <w:color w:val="231F20"/>
        </w:rPr>
        <w:t>dans</w:t>
      </w:r>
      <w:r>
        <w:rPr>
          <w:color w:val="231F20"/>
          <w:spacing w:val="-4"/>
        </w:rPr>
        <w:t> </w:t>
      </w:r>
      <w:r>
        <w:rPr>
          <w:color w:val="231F20"/>
        </w:rPr>
        <w:t>lequel</w:t>
      </w:r>
      <w:r>
        <w:rPr>
          <w:color w:val="231F20"/>
          <w:spacing w:val="-5"/>
        </w:rPr>
        <w:t> </w:t>
      </w:r>
      <w:r>
        <w:rPr>
          <w:color w:val="231F20"/>
        </w:rPr>
        <w:t>elle</w:t>
      </w:r>
      <w:r>
        <w:rPr>
          <w:color w:val="231F20"/>
          <w:spacing w:val="-4"/>
        </w:rPr>
        <w:t> </w:t>
      </w:r>
      <w:r>
        <w:rPr>
          <w:color w:val="231F20"/>
        </w:rPr>
        <w:t>doit</w:t>
      </w:r>
      <w:r>
        <w:rPr>
          <w:color w:val="231F20"/>
          <w:spacing w:val="-4"/>
        </w:rPr>
        <w:t> </w:t>
      </w:r>
      <w:r>
        <w:rPr>
          <w:color w:val="231F20"/>
        </w:rPr>
        <w:t>être</w:t>
      </w:r>
      <w:r>
        <w:rPr>
          <w:color w:val="231F20"/>
          <w:spacing w:val="-5"/>
        </w:rPr>
        <w:t> </w:t>
      </w:r>
      <w:r>
        <w:rPr>
          <w:color w:val="231F20"/>
        </w:rPr>
        <w:t>constituée,</w:t>
      </w:r>
      <w:r>
        <w:rPr>
          <w:color w:val="231F20"/>
          <w:spacing w:val="-4"/>
        </w:rPr>
        <w:t> </w:t>
      </w:r>
      <w:r>
        <w:rPr>
          <w:color w:val="231F20"/>
        </w:rPr>
        <w:t>à</w:t>
      </w:r>
      <w:r>
        <w:rPr>
          <w:color w:val="231F20"/>
          <w:spacing w:val="-4"/>
        </w:rPr>
        <w:t> </w:t>
      </w:r>
      <w:r>
        <w:rPr>
          <w:color w:val="231F20"/>
        </w:rPr>
        <w:t>moins qu’il ne décide qu’aucune sûreté ne sera fournie eu égard soit aux garanties et privilèges dont jouit le créancier, soit à la solvabilité de la société.</w:t>
      </w:r>
    </w:p>
    <w:p>
      <w:pPr>
        <w:pStyle w:val="BodyText"/>
        <w:spacing w:before="1"/>
        <w:ind w:left="0" w:right="0" w:firstLine="0"/>
        <w:jc w:val="left"/>
        <w:rPr>
          <w:sz w:val="24"/>
        </w:rPr>
      </w:pPr>
    </w:p>
    <w:p>
      <w:pPr>
        <w:pStyle w:val="BodyText"/>
        <w:spacing w:line="216" w:lineRule="auto" w:before="1"/>
        <w:ind w:right="38"/>
      </w:pPr>
      <w:r>
        <w:rPr>
          <w:color w:val="231F20"/>
        </w:rPr>
        <w:t>Aucun remboursement ou paiement aux actionnaires ne pourra être effectué et aucune dispense du versement du solde des apports ne pourra être réalisée aussi longtemps que les créanciers, ayant fait valoir leurs droits dans le délai de deux mois visé à l’alinéa 1</w:t>
      </w:r>
      <w:r>
        <w:rPr>
          <w:color w:val="231F20"/>
          <w:position w:val="7"/>
          <w:sz w:val="11"/>
        </w:rPr>
        <w:t>er</w:t>
      </w:r>
      <w:r>
        <w:rPr>
          <w:color w:val="231F20"/>
        </w:rPr>
        <w:t>, n’auront pas obtenu satisfaction, à moins qu’une décision judiciaire exécutoire n’ait rejeté leurs prétentions à obtenir une garantie.</w:t>
      </w:r>
    </w:p>
    <w:p>
      <w:pPr>
        <w:pStyle w:val="BodyText"/>
        <w:spacing w:line="218" w:lineRule="auto" w:before="91"/>
        <w:ind w:right="38"/>
      </w:pPr>
      <w:r>
        <w:rPr>
          <w:color w:val="231F20"/>
        </w:rPr>
        <w:t>Art. 7:210. L’article 7:209 n’est pas applicable aux réductions du capital en vue d’apurer une perte subie ou en vue de constituer une réserve pour couvrir une perte prévisible ou en vue de constituer une réserve indisponible, conformément à l’article 7:216, § 2.</w:t>
      </w:r>
    </w:p>
    <w:p>
      <w:pPr>
        <w:pStyle w:val="BodyText"/>
        <w:spacing w:line="218" w:lineRule="auto" w:before="96"/>
        <w:ind w:right="38"/>
      </w:pPr>
      <w:r>
        <w:rPr>
          <w:color w:val="231F20"/>
        </w:rPr>
        <w:t>La réserve constituée pour couvrir une perte prévisible ne peut excéder 10 % du capital souscrit après réduction. Cette réserve ne peut, sauf en cas de réduction ultérieure du capital, être distribuée aux actionnaires; elle ne peut être utilisée que pour compenser des pertes subies ou pour augmenter le capital par incorporation de réserves.</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Dans les cas visés au présent article, le capital peut être réduit en dessous du montant fixé à l’article 7:2. Cependant, la réduction en dessous de ce montant ne sort ses effets qu’à partir du moment où intervient une augmentation portant le montant du capital à un niveau au moins égal au montant fixé à l’article 7:2.</w:t>
      </w:r>
    </w:p>
    <w:p>
      <w:pPr>
        <w:pStyle w:val="BodyText"/>
        <w:spacing w:line="319" w:lineRule="auto" w:before="82"/>
        <w:ind w:left="283" w:right="2109" w:firstLine="0"/>
        <w:jc w:val="left"/>
      </w:pPr>
      <w:r>
        <w:rPr>
          <w:color w:val="231F20"/>
        </w:rPr>
        <w:t>CHAPITRE 3. Maintien du capital. Section 1</w:t>
      </w:r>
      <w:r>
        <w:rPr>
          <w:color w:val="231F20"/>
          <w:position w:val="7"/>
          <w:sz w:val="11"/>
        </w:rPr>
        <w:t>re</w:t>
      </w:r>
      <w:r>
        <w:rPr>
          <w:color w:val="231F20"/>
        </w:rPr>
        <w:t>. De la répartition bénéficiaire.</w:t>
      </w:r>
    </w:p>
    <w:p>
      <w:pPr>
        <w:pStyle w:val="BodyText"/>
        <w:spacing w:line="208" w:lineRule="exact"/>
        <w:ind w:left="283" w:right="0" w:firstLine="0"/>
        <w:jc w:val="left"/>
      </w:pPr>
      <w:r>
        <w:rPr>
          <w:color w:val="231F20"/>
        </w:rPr>
        <w:t>Sous-section 1</w:t>
      </w:r>
      <w:r>
        <w:rPr>
          <w:color w:val="231F20"/>
          <w:position w:val="7"/>
          <w:sz w:val="11"/>
        </w:rPr>
        <w:t>re</w:t>
      </w:r>
      <w:r>
        <w:rPr>
          <w:color w:val="231F20"/>
        </w:rPr>
        <w:t>. Constitution d’un fonds de réserve.</w:t>
      </w:r>
    </w:p>
    <w:p>
      <w:pPr>
        <w:pStyle w:val="BodyText"/>
        <w:spacing w:line="218" w:lineRule="auto" w:before="93"/>
        <w:ind w:right="38"/>
      </w:pPr>
      <w:r>
        <w:rPr>
          <w:color w:val="231F20"/>
        </w:rPr>
        <w:t>Art. 7:211. L’assemblée générale fait annuellement, sur les bénéfices nets, un prélèvement d’un vingtième au moins, affecté à la formation d’un fonds de réserve; ce prélèvement cesse d’être obligatoire lorsque le fonds de réserve atteint le dixième du capital.</w:t>
      </w:r>
    </w:p>
    <w:p>
      <w:pPr>
        <w:pStyle w:val="BodyText"/>
        <w:spacing w:before="93"/>
        <w:ind w:left="283" w:right="0" w:firstLine="0"/>
        <w:jc w:val="left"/>
      </w:pPr>
      <w:r>
        <w:rPr>
          <w:color w:val="231F20"/>
        </w:rPr>
        <w:t>Sous-section 2. Bénéfices distribuables.</w:t>
      </w:r>
    </w:p>
    <w:p>
      <w:pPr>
        <w:pStyle w:val="BodyText"/>
        <w:spacing w:line="218" w:lineRule="auto" w:before="103"/>
        <w:ind w:right="38"/>
      </w:pPr>
      <w:r>
        <w:rPr>
          <w:color w:val="231F20"/>
        </w:rPr>
        <w:t>Art.</w:t>
      </w:r>
      <w:r>
        <w:rPr>
          <w:color w:val="231F20"/>
          <w:spacing w:val="-4"/>
        </w:rPr>
        <w:t> </w:t>
      </w:r>
      <w:r>
        <w:rPr>
          <w:color w:val="231F20"/>
        </w:rPr>
        <w:t>7:212.</w:t>
      </w:r>
      <w:r>
        <w:rPr>
          <w:color w:val="231F20"/>
          <w:spacing w:val="-9"/>
        </w:rPr>
        <w:t> </w:t>
      </w:r>
      <w:r>
        <w:rPr>
          <w:color w:val="231F20"/>
        </w:rPr>
        <w:t>Aucune</w:t>
      </w:r>
      <w:r>
        <w:rPr>
          <w:color w:val="231F20"/>
          <w:spacing w:val="-4"/>
        </w:rPr>
        <w:t> </w:t>
      </w:r>
      <w:r>
        <w:rPr>
          <w:color w:val="231F20"/>
        </w:rPr>
        <w:t>distribution</w:t>
      </w:r>
      <w:r>
        <w:rPr>
          <w:color w:val="231F20"/>
          <w:spacing w:val="-3"/>
        </w:rPr>
        <w:t> </w:t>
      </w:r>
      <w:r>
        <w:rPr>
          <w:color w:val="231F20"/>
        </w:rPr>
        <w:t>ne</w:t>
      </w:r>
      <w:r>
        <w:rPr>
          <w:color w:val="231F20"/>
          <w:spacing w:val="-4"/>
        </w:rPr>
        <w:t> </w:t>
      </w:r>
      <w:r>
        <w:rPr>
          <w:color w:val="231F20"/>
        </w:rPr>
        <w:t>peut</w:t>
      </w:r>
      <w:r>
        <w:rPr>
          <w:color w:val="231F20"/>
          <w:spacing w:val="-3"/>
        </w:rPr>
        <w:t> </w:t>
      </w:r>
      <w:r>
        <w:rPr>
          <w:color w:val="231F20"/>
        </w:rPr>
        <w:t>être</w:t>
      </w:r>
      <w:r>
        <w:rPr>
          <w:color w:val="231F20"/>
          <w:spacing w:val="-4"/>
        </w:rPr>
        <w:t> </w:t>
      </w:r>
      <w:r>
        <w:rPr>
          <w:color w:val="231F20"/>
        </w:rPr>
        <w:t>faite</w:t>
      </w:r>
      <w:r>
        <w:rPr>
          <w:color w:val="231F20"/>
          <w:spacing w:val="-3"/>
        </w:rPr>
        <w:t> </w:t>
      </w:r>
      <w:r>
        <w:rPr>
          <w:color w:val="231F20"/>
        </w:rPr>
        <w:t>lorsque</w:t>
      </w:r>
      <w:r>
        <w:rPr>
          <w:color w:val="231F20"/>
          <w:spacing w:val="-4"/>
        </w:rPr>
        <w:t> </w:t>
      </w:r>
      <w:r>
        <w:rPr>
          <w:color w:val="231F20"/>
        </w:rPr>
        <w:t>l’actif</w:t>
      </w:r>
      <w:r>
        <w:rPr>
          <w:color w:val="231F20"/>
          <w:spacing w:val="-3"/>
        </w:rPr>
        <w:t> </w:t>
      </w:r>
      <w:r>
        <w:rPr>
          <w:color w:val="231F20"/>
        </w:rPr>
        <w:t>net,</w:t>
      </w:r>
      <w:r>
        <w:rPr>
          <w:color w:val="231F20"/>
          <w:spacing w:val="-3"/>
        </w:rPr>
        <w:t> </w:t>
      </w:r>
      <w:r>
        <w:rPr>
          <w:color w:val="231F20"/>
        </w:rPr>
        <w:t>tel qu’il résulte des comptes annuels, est, ou deviendrait, à la suite d’une telle distribution, inférieur au montant du capital libéré ou, si ce montant est supérieur, du capital appelé, augmenté de toutes les réserves que la loi ou les statuts ne permettent pas de distribuer. Pour l’application de cette disposition, la partie non-amortie de la plus-value de</w:t>
      </w:r>
      <w:r>
        <w:rPr>
          <w:color w:val="231F20"/>
          <w:spacing w:val="17"/>
        </w:rPr>
        <w:t> </w:t>
      </w:r>
      <w:r>
        <w:rPr>
          <w:color w:val="231F20"/>
        </w:rPr>
        <w:t>réévaluation</w:t>
      </w:r>
      <w:r>
        <w:rPr>
          <w:color w:val="231F20"/>
          <w:spacing w:val="17"/>
        </w:rPr>
        <w:t> </w:t>
      </w:r>
      <w:r>
        <w:rPr>
          <w:color w:val="231F20"/>
        </w:rPr>
        <w:t>est</w:t>
      </w:r>
      <w:r>
        <w:rPr>
          <w:color w:val="231F20"/>
          <w:spacing w:val="17"/>
        </w:rPr>
        <w:t> </w:t>
      </w:r>
      <w:r>
        <w:rPr>
          <w:color w:val="231F20"/>
        </w:rPr>
        <w:t>assimilée</w:t>
      </w:r>
      <w:r>
        <w:rPr>
          <w:color w:val="231F20"/>
          <w:spacing w:val="17"/>
        </w:rPr>
        <w:t> </w:t>
      </w:r>
      <w:r>
        <w:rPr>
          <w:color w:val="231F20"/>
        </w:rPr>
        <w:t>à</w:t>
      </w:r>
      <w:r>
        <w:rPr>
          <w:color w:val="231F20"/>
          <w:spacing w:val="18"/>
        </w:rPr>
        <w:t> </w:t>
      </w:r>
      <w:r>
        <w:rPr>
          <w:color w:val="231F20"/>
        </w:rPr>
        <w:t>une</w:t>
      </w:r>
      <w:r>
        <w:rPr>
          <w:color w:val="231F20"/>
          <w:spacing w:val="17"/>
        </w:rPr>
        <w:t> </w:t>
      </w:r>
      <w:r>
        <w:rPr>
          <w:color w:val="231F20"/>
        </w:rPr>
        <w:t>réserve</w:t>
      </w:r>
      <w:r>
        <w:rPr>
          <w:color w:val="231F20"/>
          <w:spacing w:val="17"/>
        </w:rPr>
        <w:t> </w:t>
      </w:r>
      <w:r>
        <w:rPr>
          <w:color w:val="231F20"/>
        </w:rPr>
        <w:t>légalement</w:t>
      </w:r>
      <w:r>
        <w:rPr>
          <w:color w:val="231F20"/>
          <w:spacing w:val="17"/>
        </w:rPr>
        <w:t> </w:t>
      </w:r>
      <w:r>
        <w:rPr>
          <w:color w:val="231F20"/>
        </w:rPr>
        <w:t>indisponible.</w:t>
      </w:r>
    </w:p>
    <w:p>
      <w:pPr>
        <w:pStyle w:val="BodyText"/>
        <w:spacing w:before="10"/>
        <w:ind w:left="0" w:right="0" w:firstLine="0"/>
        <w:jc w:val="left"/>
        <w:rPr>
          <w:sz w:val="24"/>
        </w:rPr>
      </w:pPr>
    </w:p>
    <w:p>
      <w:pPr>
        <w:pStyle w:val="BodyText"/>
        <w:spacing w:line="218" w:lineRule="auto" w:before="1"/>
        <w:ind w:right="38"/>
      </w:pPr>
      <w:r>
        <w:rPr>
          <w:color w:val="231F20"/>
        </w:rPr>
        <w:t>Par actif net, il faut entendre le total de l’actif, déduction faite des provisions, des dettes et, sauf cas exceptionnels à mentionner et à justifier dans l’annexe aux comptes annuels, des montants non encore amortis des frais d’établissement et des frais de recherche et de développement.</w:t>
      </w:r>
    </w:p>
    <w:p>
      <w:pPr>
        <w:pStyle w:val="BodyText"/>
        <w:spacing w:before="7"/>
        <w:ind w:left="0" w:right="0" w:firstLine="0"/>
        <w:jc w:val="left"/>
        <w:rPr>
          <w:sz w:val="23"/>
        </w:rPr>
      </w:pPr>
    </w:p>
    <w:p>
      <w:pPr>
        <w:pStyle w:val="BodyText"/>
        <w:ind w:left="283" w:right="0" w:firstLine="0"/>
        <w:jc w:val="left"/>
      </w:pPr>
      <w:r>
        <w:rPr>
          <w:color w:val="231F20"/>
        </w:rPr>
        <w:t>Sous-section 3. Acompte sur dividendes.</w:t>
      </w:r>
    </w:p>
    <w:p>
      <w:pPr>
        <w:pStyle w:val="BodyText"/>
        <w:spacing w:line="218" w:lineRule="auto" w:before="103"/>
        <w:ind w:right="38"/>
      </w:pPr>
      <w:r>
        <w:rPr>
          <w:color w:val="231F20"/>
        </w:rPr>
        <w:t>Art. 7:213. Les statuts peuvent donner à l’organe d’administration le pouvoir de distribuer un acompte à imputer sur le dividende qui sera distribué sur les résultats de l’exercice.</w:t>
      </w:r>
    </w:p>
    <w:p>
      <w:pPr>
        <w:pStyle w:val="BodyText"/>
        <w:spacing w:line="218" w:lineRule="auto" w:before="107"/>
        <w:ind w:right="38"/>
      </w:pPr>
      <w:r>
        <w:rPr>
          <w:color w:val="231F20"/>
        </w:rPr>
        <w:t>Cette distribution ne peut avoir lieu que par prélèvement sur le bénéfice de l’exercice en cours, ou sur le bénéfice de l’exercice</w:t>
      </w:r>
      <w:r>
        <w:rPr>
          <w:color w:val="231F20"/>
          <w:spacing w:val="-27"/>
        </w:rPr>
        <w:t> </w:t>
      </w:r>
      <w:r>
        <w:rPr>
          <w:color w:val="231F20"/>
        </w:rPr>
        <w:t>précédent si les comptes annuels de cet exercice n’ont pas encore été approuvés,  le cas échéant réduit de la perte reportée ou majoré du bénéfice reporté, à l’exclusion de tout prélèvement sur des réserves existantes et en tenant compte des réserves à constituer en vertu de la loi ou des statuts.</w:t>
      </w:r>
    </w:p>
    <w:p>
      <w:pPr>
        <w:pStyle w:val="BodyText"/>
        <w:spacing w:before="10"/>
        <w:ind w:left="0" w:right="0" w:firstLine="0"/>
        <w:jc w:val="left"/>
        <w:rPr>
          <w:sz w:val="24"/>
        </w:rPr>
      </w:pPr>
    </w:p>
    <w:p>
      <w:pPr>
        <w:pStyle w:val="BodyText"/>
        <w:spacing w:line="218" w:lineRule="auto" w:before="1"/>
        <w:ind w:right="38"/>
      </w:pPr>
      <w:r>
        <w:rPr>
          <w:color w:val="231F20"/>
        </w:rPr>
        <w:t>Elle</w:t>
      </w:r>
      <w:r>
        <w:rPr>
          <w:color w:val="231F20"/>
          <w:spacing w:val="-3"/>
        </w:rPr>
        <w:t> </w:t>
      </w:r>
      <w:r>
        <w:rPr>
          <w:color w:val="231F20"/>
        </w:rPr>
        <w:t>ne</w:t>
      </w:r>
      <w:r>
        <w:rPr>
          <w:color w:val="231F20"/>
          <w:spacing w:val="-3"/>
        </w:rPr>
        <w:t> </w:t>
      </w:r>
      <w:r>
        <w:rPr>
          <w:color w:val="231F20"/>
        </w:rPr>
        <w:t>peut</w:t>
      </w:r>
      <w:r>
        <w:rPr>
          <w:color w:val="231F20"/>
          <w:spacing w:val="-2"/>
        </w:rPr>
        <w:t> </w:t>
      </w:r>
      <w:r>
        <w:rPr>
          <w:color w:val="231F20"/>
        </w:rPr>
        <w:t>en</w:t>
      </w:r>
      <w:r>
        <w:rPr>
          <w:color w:val="231F20"/>
          <w:spacing w:val="-3"/>
        </w:rPr>
        <w:t> </w:t>
      </w:r>
      <w:r>
        <w:rPr>
          <w:color w:val="231F20"/>
        </w:rPr>
        <w:t>outre</w:t>
      </w:r>
      <w:r>
        <w:rPr>
          <w:color w:val="231F20"/>
          <w:spacing w:val="-2"/>
        </w:rPr>
        <w:t> </w:t>
      </w:r>
      <w:r>
        <w:rPr>
          <w:color w:val="231F20"/>
        </w:rPr>
        <w:t>être</w:t>
      </w:r>
      <w:r>
        <w:rPr>
          <w:color w:val="231F20"/>
          <w:spacing w:val="-3"/>
        </w:rPr>
        <w:t> </w:t>
      </w:r>
      <w:r>
        <w:rPr>
          <w:color w:val="231F20"/>
        </w:rPr>
        <w:t>effectuée</w:t>
      </w:r>
      <w:r>
        <w:rPr>
          <w:color w:val="231F20"/>
          <w:spacing w:val="-2"/>
        </w:rPr>
        <w:t> </w:t>
      </w:r>
      <w:r>
        <w:rPr>
          <w:color w:val="231F20"/>
        </w:rPr>
        <w:t>que</w:t>
      </w:r>
      <w:r>
        <w:rPr>
          <w:color w:val="231F20"/>
          <w:spacing w:val="-3"/>
        </w:rPr>
        <w:t> </w:t>
      </w:r>
      <w:r>
        <w:rPr>
          <w:color w:val="231F20"/>
        </w:rPr>
        <w:t>si,</w:t>
      </w:r>
      <w:r>
        <w:rPr>
          <w:color w:val="231F20"/>
          <w:spacing w:val="-3"/>
        </w:rPr>
        <w:t> </w:t>
      </w:r>
      <w:r>
        <w:rPr>
          <w:color w:val="231F20"/>
        </w:rPr>
        <w:t>au</w:t>
      </w:r>
      <w:r>
        <w:rPr>
          <w:color w:val="231F20"/>
          <w:spacing w:val="-2"/>
        </w:rPr>
        <w:t> </w:t>
      </w:r>
      <w:r>
        <w:rPr>
          <w:color w:val="231F20"/>
        </w:rPr>
        <w:t>vu</w:t>
      </w:r>
      <w:r>
        <w:rPr>
          <w:color w:val="231F20"/>
          <w:spacing w:val="-3"/>
        </w:rPr>
        <w:t> </w:t>
      </w:r>
      <w:r>
        <w:rPr>
          <w:color w:val="231F20"/>
        </w:rPr>
        <w:t>d’un</w:t>
      </w:r>
      <w:r>
        <w:rPr>
          <w:color w:val="231F20"/>
          <w:spacing w:val="-2"/>
        </w:rPr>
        <w:t> </w:t>
      </w:r>
      <w:r>
        <w:rPr>
          <w:color w:val="231F20"/>
        </w:rPr>
        <w:t>état,</w:t>
      </w:r>
      <w:r>
        <w:rPr>
          <w:color w:val="231F20"/>
          <w:spacing w:val="-3"/>
        </w:rPr>
        <w:t> </w:t>
      </w:r>
      <w:r>
        <w:rPr>
          <w:color w:val="231F20"/>
        </w:rPr>
        <w:t>évaluée</w:t>
      </w:r>
      <w:r>
        <w:rPr>
          <w:color w:val="231F20"/>
          <w:spacing w:val="-3"/>
        </w:rPr>
        <w:t> </w:t>
      </w:r>
      <w:r>
        <w:rPr>
          <w:color w:val="231F20"/>
        </w:rPr>
        <w:t>par le commissaire et résumant la situation active et passive, l’organe d’administration constate que le bénéfice calculé conformément à l’alinéa</w:t>
      </w:r>
      <w:r>
        <w:rPr>
          <w:color w:val="231F20"/>
          <w:spacing w:val="16"/>
        </w:rPr>
        <w:t> </w:t>
      </w:r>
      <w:r>
        <w:rPr>
          <w:color w:val="231F20"/>
        </w:rPr>
        <w:t>2</w:t>
      </w:r>
      <w:r>
        <w:rPr>
          <w:color w:val="231F20"/>
          <w:spacing w:val="16"/>
        </w:rPr>
        <w:t> </w:t>
      </w:r>
      <w:r>
        <w:rPr>
          <w:color w:val="231F20"/>
        </w:rPr>
        <w:t>est</w:t>
      </w:r>
      <w:r>
        <w:rPr>
          <w:color w:val="231F20"/>
          <w:spacing w:val="16"/>
        </w:rPr>
        <w:t> </w:t>
      </w:r>
      <w:r>
        <w:rPr>
          <w:color w:val="231F20"/>
          <w:spacing w:val="-3"/>
        </w:rPr>
        <w:t>suffisant</w:t>
      </w:r>
      <w:r>
        <w:rPr>
          <w:color w:val="231F20"/>
          <w:spacing w:val="16"/>
        </w:rPr>
        <w:t> </w:t>
      </w:r>
      <w:r>
        <w:rPr>
          <w:color w:val="231F20"/>
        </w:rPr>
        <w:t>pour</w:t>
      </w:r>
      <w:r>
        <w:rPr>
          <w:color w:val="231F20"/>
          <w:spacing w:val="16"/>
        </w:rPr>
        <w:t> </w:t>
      </w:r>
      <w:r>
        <w:rPr>
          <w:color w:val="231F20"/>
        </w:rPr>
        <w:t>permettre</w:t>
      </w:r>
      <w:r>
        <w:rPr>
          <w:color w:val="231F20"/>
          <w:spacing w:val="16"/>
        </w:rPr>
        <w:t> </w:t>
      </w:r>
      <w:r>
        <w:rPr>
          <w:color w:val="231F20"/>
        </w:rPr>
        <w:t>la</w:t>
      </w:r>
      <w:r>
        <w:rPr>
          <w:color w:val="231F20"/>
          <w:spacing w:val="17"/>
        </w:rPr>
        <w:t> </w:t>
      </w:r>
      <w:r>
        <w:rPr>
          <w:color w:val="231F20"/>
        </w:rPr>
        <w:t>distribution</w:t>
      </w:r>
      <w:r>
        <w:rPr>
          <w:color w:val="231F20"/>
          <w:spacing w:val="16"/>
        </w:rPr>
        <w:t> </w:t>
      </w:r>
      <w:r>
        <w:rPr>
          <w:color w:val="231F20"/>
        </w:rPr>
        <w:t>d’un</w:t>
      </w:r>
      <w:r>
        <w:rPr>
          <w:color w:val="231F20"/>
          <w:spacing w:val="16"/>
        </w:rPr>
        <w:t> </w:t>
      </w:r>
      <w:r>
        <w:rPr>
          <w:color w:val="231F20"/>
        </w:rPr>
        <w:t>acompte.</w:t>
      </w:r>
    </w:p>
    <w:p>
      <w:pPr>
        <w:pStyle w:val="BodyText"/>
        <w:spacing w:before="9"/>
        <w:ind w:left="0" w:right="0" w:firstLine="0"/>
        <w:jc w:val="left"/>
        <w:rPr>
          <w:sz w:val="24"/>
        </w:rPr>
      </w:pPr>
    </w:p>
    <w:p>
      <w:pPr>
        <w:pStyle w:val="BodyText"/>
        <w:spacing w:line="218" w:lineRule="auto" w:before="1"/>
        <w:ind w:right="38"/>
      </w:pPr>
      <w:r>
        <w:rPr>
          <w:color w:val="231F20"/>
        </w:rPr>
        <w:t>Le rapport d’examen limité du commissaire est annexé à son rapport de contrôle.</w:t>
      </w:r>
    </w:p>
    <w:p>
      <w:pPr>
        <w:pStyle w:val="BodyText"/>
        <w:spacing w:line="218" w:lineRule="auto" w:before="106"/>
        <w:ind w:right="38"/>
      </w:pPr>
      <w:r>
        <w:rPr>
          <w:color w:val="231F20"/>
        </w:rPr>
        <w:t>La décision de l’organe d’administration de distribuer un acompte ne peut être prise plus de deux mois après la date à laquelle a été arrêtée  la situation active et</w:t>
      </w:r>
      <w:r>
        <w:rPr>
          <w:color w:val="231F20"/>
          <w:spacing w:val="19"/>
        </w:rPr>
        <w:t> </w:t>
      </w:r>
      <w:r>
        <w:rPr>
          <w:color w:val="231F20"/>
        </w:rPr>
        <w:t>passive.</w:t>
      </w:r>
    </w:p>
    <w:p>
      <w:pPr>
        <w:pStyle w:val="BodyText"/>
        <w:spacing w:line="218" w:lineRule="auto" w:before="119"/>
      </w:pPr>
      <w:r>
        <w:rPr/>
        <w:br w:type="column"/>
      </w:r>
      <w:r>
        <w:rPr>
          <w:color w:val="231F20"/>
        </w:rPr>
        <w:t>Indien geen overeenstemming wordt bereikt of indien de schuldeiser geen voldoening heeft gekregen, legt de meest gerede partij het geschil voor aan de voorzitter van de ondernemingsrechtbank van de zetel van de vennootschap, zitting houdend in kort geding.</w:t>
      </w:r>
    </w:p>
    <w:p>
      <w:pPr>
        <w:pStyle w:val="BodyText"/>
        <w:spacing w:line="218" w:lineRule="auto" w:before="97"/>
      </w:pPr>
      <w:r>
        <w:rPr>
          <w:color w:val="231F20"/>
        </w:rPr>
        <w:t>Zonder afbreuk te doen aan de grond van de zaak bepaalt de voorzitter de zekerheid die de vennootschap moet stellen en de termijn waarbinnen zulks moet gebeuren, tenzij hij beslist dat geen zekerheid behoeft te worden gesteld gelet op de waarborgen en voorrechten waarover de schuldeiser beschikt of op de solvabiliteit van de vennootschap.</w:t>
      </w:r>
    </w:p>
    <w:p>
      <w:pPr>
        <w:pStyle w:val="BodyText"/>
        <w:spacing w:line="218" w:lineRule="auto" w:before="96"/>
      </w:pPr>
      <w:r>
        <w:rPr>
          <w:color w:val="231F20"/>
        </w:rPr>
        <w:t>Aan de aandeelhouders mag geen uitkering of terugbetaling worden gedaan en geen vrijstelling van de storting van het saldo van de inbreng is mogelijk zolang de schuldeisers die binnen de in het eerste lid bedoelde termijn van twee maanden hun rechten hebben doen gelden, geen voldoening hebben gekregen, tenzij hun aanspraak om zekerheid te verkrijgen bij een uitvoerbare rechterlijke beslissing is afgewezen.</w:t>
      </w:r>
    </w:p>
    <w:p>
      <w:pPr>
        <w:pStyle w:val="BodyText"/>
        <w:spacing w:line="218" w:lineRule="auto" w:before="97"/>
      </w:pPr>
      <w:r>
        <w:rPr>
          <w:color w:val="231F20"/>
        </w:rPr>
        <w:t>Art. 7:210. Artikel 7:209 is niet van toepassing op de kapitaalvermin- deringen ter aanzuivering van een geleden verlies of om een reserve te vormen tot dekking van een voorzienbaar verlies of om een onbeschik- bare reserve aan te leggen overeenkomstig artikel 7:216, § 2.</w:t>
      </w:r>
    </w:p>
    <w:p>
      <w:pPr>
        <w:pStyle w:val="BodyText"/>
        <w:spacing w:line="218" w:lineRule="auto" w:before="96"/>
      </w:pPr>
      <w:r>
        <w:rPr>
          <w:color w:val="231F20"/>
        </w:rPr>
        <w:t>De reserve die wordt gevormd om een voorzienbaar verlies te dekken, mag niet hoger zijn dan 10 % van het geplaatste kapitaal, na de vermindering daarvan. Deze reserve mag, behoudens in geval van een latere vermindering van het kapitaal, niet aan de aandeelhouders worden uitgekeerd; ze mag slechts worden aangewend voor de aanzuivering van geleden verlies of tot verhoging van het kapitaal door omzetting van</w:t>
      </w:r>
      <w:r>
        <w:rPr>
          <w:color w:val="231F20"/>
          <w:spacing w:val="-11"/>
        </w:rPr>
        <w:t> </w:t>
      </w:r>
      <w:r>
        <w:rPr>
          <w:color w:val="231F20"/>
        </w:rPr>
        <w:t>reserves.</w:t>
      </w:r>
    </w:p>
    <w:p>
      <w:pPr>
        <w:pStyle w:val="BodyText"/>
        <w:spacing w:line="218" w:lineRule="auto" w:before="97"/>
      </w:pPr>
      <w:r>
        <w:rPr>
          <w:color w:val="231F20"/>
        </w:rPr>
        <w:t>In de in dit artikel bedoelde gevallen mag het kapitaal worden verminderd tot beneden het in artikel 7:2 vastgestelde bedrag. Zoda- nige vermindering heeft pas gevolg op het ogenblik dat het kapitaal wordt verhoogd tot een niveau dat ten minste even hoog is als het in artikel 7:2 vastgestelde bedrag.</w:t>
      </w:r>
    </w:p>
    <w:p>
      <w:pPr>
        <w:pStyle w:val="BodyText"/>
        <w:spacing w:line="338" w:lineRule="auto" w:before="82"/>
        <w:ind w:left="283" w:right="1262" w:firstLine="0"/>
        <w:jc w:val="left"/>
      </w:pPr>
      <w:r>
        <w:rPr>
          <w:color w:val="231F20"/>
        </w:rPr>
        <w:t>HOOFDSTUK 3. Instandhouding van het kapitaal. Afdeling 1. Winstverdeling.</w:t>
      </w:r>
    </w:p>
    <w:p>
      <w:pPr>
        <w:pStyle w:val="BodyText"/>
        <w:spacing w:line="192" w:lineRule="exact"/>
        <w:ind w:left="283" w:right="0" w:firstLine="0"/>
        <w:jc w:val="left"/>
      </w:pPr>
      <w:r>
        <w:rPr>
          <w:color w:val="231F20"/>
        </w:rPr>
        <w:t>Onderafdeling 1. Vorming van een reservefonds.</w:t>
      </w:r>
    </w:p>
    <w:p>
      <w:pPr>
        <w:pStyle w:val="BodyText"/>
        <w:spacing w:line="218" w:lineRule="auto" w:before="93"/>
      </w:pPr>
      <w:r>
        <w:rPr>
          <w:color w:val="231F20"/>
        </w:rPr>
        <w:t>Art. 7:211. Jaarlijks houdt de algemene vergadering een bedrag in van ten minste een twintigste van de nettowinst voor de vorming van een reservefonds; de verplichting tot deze afneming houdt op wanneer het reservefonds een tiende van het kapitaal heeft bereikt.</w:t>
      </w:r>
    </w:p>
    <w:p>
      <w:pPr>
        <w:pStyle w:val="BodyText"/>
        <w:spacing w:before="92"/>
        <w:ind w:left="283" w:right="0" w:firstLine="0"/>
        <w:jc w:val="left"/>
      </w:pPr>
      <w:r>
        <w:rPr>
          <w:color w:val="231F20"/>
        </w:rPr>
        <w:t>Onderafdeling 2. Uitkeerbare winsten.</w:t>
      </w:r>
    </w:p>
    <w:p>
      <w:pPr>
        <w:pStyle w:val="BodyText"/>
        <w:spacing w:line="218" w:lineRule="auto" w:before="104"/>
      </w:pPr>
      <w:r>
        <w:rPr>
          <w:color w:val="231F20"/>
        </w:rPr>
        <w:t>Art. 7:212. Geen uitkering mag gebeuren indien het nettoactief, zoals dat blijkt uit de jaarrekening, is gedaald of tengevolge van de uitkering zou dalen beneden het bedrag van het gestorte of, indien dit hoger is, van het opgevraagde kapitaal, vermeerderd met alle reserves die volgens de wet of de statuten niet mogen worden uitgekeerd. </w:t>
      </w:r>
      <w:r>
        <w:rPr>
          <w:color w:val="231F20"/>
          <w:spacing w:val="-5"/>
        </w:rPr>
        <w:t>Voor </w:t>
      </w:r>
      <w:r>
        <w:rPr>
          <w:color w:val="231F20"/>
        </w:rPr>
        <w:t>de toepassing van deze bepaling wordt het niet afgeschreven gedeelte van de herwaarderingsmeerwaarden gelijkgesteld met een krachtens de  wet als onbeschikbaar gestelde</w:t>
      </w:r>
      <w:r>
        <w:rPr>
          <w:color w:val="231F20"/>
          <w:spacing w:val="20"/>
        </w:rPr>
        <w:t> </w:t>
      </w:r>
      <w:r>
        <w:rPr>
          <w:color w:val="231F20"/>
        </w:rPr>
        <w:t>reserve.</w:t>
      </w:r>
    </w:p>
    <w:p>
      <w:pPr>
        <w:pStyle w:val="BodyText"/>
        <w:spacing w:line="218" w:lineRule="auto" w:before="107"/>
      </w:pPr>
      <w:r>
        <w:rPr>
          <w:color w:val="231F20"/>
        </w:rPr>
        <w:t>Onder nettoactief moet worden verstaan het totaalbedrag van de activa, verminderd met de voorzieningen, de schulden en, behoudens  in uitzonderlijke gevallen te vermelden en te motiveren in de toelich- ting bij de jaarrekening, de nog niet afgeschreven bedragen van de oprichtings- en uitbreidingskosten en de kosten voor onderzoek en ontwikkeling.</w:t>
      </w:r>
    </w:p>
    <w:p>
      <w:pPr>
        <w:pStyle w:val="BodyText"/>
        <w:spacing w:before="93"/>
        <w:ind w:left="283" w:right="0" w:firstLine="0"/>
        <w:jc w:val="left"/>
      </w:pPr>
      <w:r>
        <w:rPr>
          <w:color w:val="231F20"/>
        </w:rPr>
        <w:t>Onderafdeling 3. Interimdividenden.</w:t>
      </w:r>
    </w:p>
    <w:p>
      <w:pPr>
        <w:pStyle w:val="BodyText"/>
        <w:spacing w:line="218" w:lineRule="auto" w:before="104"/>
      </w:pPr>
      <w:r>
        <w:rPr>
          <w:color w:val="231F20"/>
        </w:rPr>
        <w:t>Art. 7:213. De statuten kunnen aan het bestuursorgaan de bevoegd- heid verlenen om uit het resultaat van het boekjaar een</w:t>
      </w:r>
      <w:r>
        <w:rPr>
          <w:color w:val="231F20"/>
          <w:spacing w:val="-17"/>
        </w:rPr>
        <w:t> </w:t>
      </w:r>
      <w:r>
        <w:rPr>
          <w:color w:val="231F20"/>
        </w:rPr>
        <w:t>interimdividend uit te</w:t>
      </w:r>
      <w:r>
        <w:rPr>
          <w:color w:val="231F20"/>
          <w:spacing w:val="-12"/>
        </w:rPr>
        <w:t> </w:t>
      </w:r>
      <w:r>
        <w:rPr>
          <w:color w:val="231F20"/>
        </w:rPr>
        <w:t>keren.</w:t>
      </w:r>
    </w:p>
    <w:p>
      <w:pPr>
        <w:pStyle w:val="BodyText"/>
        <w:spacing w:line="218" w:lineRule="auto" w:before="106"/>
      </w:pPr>
      <w:r>
        <w:rPr>
          <w:color w:val="231F20"/>
        </w:rPr>
        <w:t>Deze uitkering mag alleen gebeuren uit de winst van het lopende boekjaar of uit de winst van het voorgaande boekjaar zolang de jaarrekening van dat boekjaar nog niet is goedgekeurd, in voorkomend geval verminderd met het overgedragen verlies of vermeerderd met de overgedragen winst, zonder onttrekking aan de bestaande reserves en rekening houdend met de reserves die volgens een wettelijke of statutaire bepaling moeten worden gevormd.</w:t>
      </w:r>
    </w:p>
    <w:p>
      <w:pPr>
        <w:pStyle w:val="BodyText"/>
        <w:spacing w:line="218" w:lineRule="auto" w:before="108"/>
      </w:pPr>
      <w:r>
        <w:rPr>
          <w:color w:val="231F20"/>
        </w:rPr>
        <w:t>Daarenboven mag tot deze uitkering slechts worden overgegaan nadat het bestuursorgaan aan de hand van een staat van activa en passiva die de commissaris beoordeelt, heeft vastgesteld dat de winst, bepaald overeenkomstig het tweede lid, volstaat om een interimdivi- dend uit te keren.</w:t>
      </w:r>
    </w:p>
    <w:p>
      <w:pPr>
        <w:pStyle w:val="BodyText"/>
        <w:spacing w:line="218" w:lineRule="auto" w:before="107"/>
      </w:pPr>
      <w:r>
        <w:rPr>
          <w:color w:val="231F20"/>
        </w:rPr>
        <w:t>Het beoordelingsverslag van de commissaris wordt gevoegd bij zijn controleverslag.</w:t>
      </w:r>
    </w:p>
    <w:p>
      <w:pPr>
        <w:pStyle w:val="BodyText"/>
        <w:spacing w:line="218" w:lineRule="auto" w:before="106"/>
      </w:pPr>
      <w:r>
        <w:rPr>
          <w:color w:val="231F20"/>
        </w:rPr>
        <w:t>Het besluit van het bestuursorgaan om een interimdividend uit te keren, mag niet later worden genomen dan twee maanden na de dag waarop de staat van activa en passiva is afgesloten.</w:t>
      </w:r>
    </w:p>
    <w:p>
      <w:pPr>
        <w:spacing w:after="0" w:line="218" w:lineRule="auto"/>
        <w:sectPr>
          <w:headerReference w:type="even" r:id="rId89"/>
          <w:headerReference w:type="default" r:id="rId90"/>
          <w:pgSz w:w="11940" w:h="16880"/>
          <w:pgMar w:header="666" w:footer="0" w:top="1140" w:bottom="280" w:left="340" w:right="360"/>
          <w:pgNumType w:start="33442"/>
          <w:cols w:num="2" w:equalWidth="0">
            <w:col w:w="5527" w:space="100"/>
            <w:col w:w="5613"/>
          </w:cols>
        </w:sectPr>
      </w:pPr>
    </w:p>
    <w:p>
      <w:pPr>
        <w:pStyle w:val="BodyText"/>
        <w:spacing w:line="218" w:lineRule="auto" w:before="120"/>
        <w:ind w:right="40"/>
      </w:pPr>
      <w:r>
        <w:rPr/>
        <w:pict>
          <v:line style="position:absolute;mso-position-horizontal-relative:page;mso-position-vertical-relative:page;z-index:5920" from="298.170502pt,64.473pt" to="298.170502pt,812.819pt" stroked="true" strokeweight=".533pt" strokecolor="#231f20">
            <v:stroke dashstyle="solid"/>
            <w10:wrap type="none"/>
          </v:line>
        </w:pict>
      </w:r>
      <w:bookmarkStart w:name="_bookmark204" w:id="210"/>
      <w:bookmarkEnd w:id="210"/>
      <w:r>
        <w:rPr/>
      </w:r>
      <w:r>
        <w:rPr>
          <w:color w:val="231F20"/>
        </w:rPr>
        <w:t>Lorsque l’acompte excède le montant du dividende arrêté ultérieu- rement par l’assemblée générale, il est, dans cette mesure, considéré comme un acompte à valoir sur le dividende suivant.</w:t>
      </w:r>
    </w:p>
    <w:p>
      <w:pPr>
        <w:pStyle w:val="BodyText"/>
        <w:spacing w:before="103"/>
        <w:ind w:left="283" w:right="0" w:firstLine="0"/>
        <w:jc w:val="left"/>
      </w:pPr>
      <w:r>
        <w:rPr>
          <w:color w:val="231F20"/>
        </w:rPr>
        <w:t>Sous-section 4. Sanction.</w:t>
      </w:r>
    </w:p>
    <w:p>
      <w:pPr>
        <w:pStyle w:val="BodyText"/>
        <w:spacing w:line="218" w:lineRule="auto" w:before="114"/>
        <w:ind w:right="40"/>
      </w:pPr>
      <w:r>
        <w:rPr>
          <w:color w:val="231F20"/>
        </w:rPr>
        <w:t>Art. 7:214. Les actionnaires doivent restituer toute distribution reçue en contravention des articles 7:212 et 7:213 si la société prouve qu’ils étaient informés de l’irrégularité ou ne pouvaient l’ignorer compte tenu des circonstances.</w:t>
      </w:r>
    </w:p>
    <w:p>
      <w:pPr>
        <w:pStyle w:val="BodyText"/>
        <w:spacing w:before="9"/>
        <w:ind w:left="0" w:right="0" w:firstLine="0"/>
        <w:jc w:val="left"/>
        <w:rPr>
          <w:sz w:val="25"/>
        </w:rPr>
      </w:pPr>
    </w:p>
    <w:p>
      <w:pPr>
        <w:pStyle w:val="BodyText"/>
        <w:spacing w:line="218" w:lineRule="auto" w:before="1"/>
        <w:ind w:right="40"/>
      </w:pPr>
      <w:r>
        <w:rPr>
          <w:color w:val="231F20"/>
        </w:rPr>
        <w:t>Section 2. De l’acquisition d’actions, de parts bénéficiaires ou de certificats propres.</w:t>
      </w:r>
    </w:p>
    <w:p>
      <w:pPr>
        <w:pStyle w:val="BodyText"/>
        <w:spacing w:line="218" w:lineRule="auto" w:before="102"/>
        <w:ind w:right="40"/>
      </w:pPr>
      <w:r>
        <w:rPr>
          <w:color w:val="231F20"/>
        </w:rPr>
        <w:t>Sous-section 1</w:t>
      </w:r>
      <w:r>
        <w:rPr>
          <w:color w:val="231F20"/>
          <w:position w:val="7"/>
          <w:sz w:val="11"/>
        </w:rPr>
        <w:t>re</w:t>
      </w:r>
      <w:r>
        <w:rPr>
          <w:color w:val="231F20"/>
        </w:rPr>
        <w:t>. De l’acquisition d’actions, de parts bénéficiaires ou de certificats propres par la société elle-même.</w:t>
      </w:r>
    </w:p>
    <w:p>
      <w:pPr>
        <w:pStyle w:val="BodyText"/>
        <w:spacing w:line="218" w:lineRule="auto" w:before="102"/>
        <w:ind w:right="38"/>
      </w:pPr>
      <w:r>
        <w:rPr>
          <w:color w:val="231F20"/>
        </w:rPr>
        <w:t>Art. 7:215. § 1</w:t>
      </w:r>
      <w:r>
        <w:rPr>
          <w:color w:val="231F20"/>
          <w:position w:val="7"/>
          <w:sz w:val="11"/>
        </w:rPr>
        <w:t>er</w:t>
      </w:r>
      <w:r>
        <w:rPr>
          <w:color w:val="231F20"/>
        </w:rPr>
        <w:t>. La société ne peut acquérir ses propres actions, parts bénéficiaires</w:t>
      </w:r>
      <w:r>
        <w:rPr>
          <w:color w:val="231F20"/>
          <w:spacing w:val="-7"/>
        </w:rPr>
        <w:t> </w:t>
      </w:r>
      <w:r>
        <w:rPr>
          <w:color w:val="231F20"/>
        </w:rPr>
        <w:t>ou</w:t>
      </w:r>
      <w:r>
        <w:rPr>
          <w:color w:val="231F20"/>
          <w:spacing w:val="-6"/>
        </w:rPr>
        <w:t> </w:t>
      </w:r>
      <w:r>
        <w:rPr>
          <w:color w:val="231F20"/>
        </w:rPr>
        <w:t>certificats</w:t>
      </w:r>
      <w:r>
        <w:rPr>
          <w:color w:val="231F20"/>
          <w:spacing w:val="-7"/>
        </w:rPr>
        <w:t> </w:t>
      </w:r>
      <w:r>
        <w:rPr>
          <w:color w:val="231F20"/>
        </w:rPr>
        <w:t>s’y</w:t>
      </w:r>
      <w:r>
        <w:rPr>
          <w:color w:val="231F20"/>
          <w:spacing w:val="-6"/>
        </w:rPr>
        <w:t> </w:t>
      </w:r>
      <w:r>
        <w:rPr>
          <w:color w:val="231F20"/>
        </w:rPr>
        <w:t>rapportant,</w:t>
      </w:r>
      <w:r>
        <w:rPr>
          <w:color w:val="231F20"/>
          <w:spacing w:val="-7"/>
        </w:rPr>
        <w:t> </w:t>
      </w:r>
      <w:r>
        <w:rPr>
          <w:color w:val="231F20"/>
        </w:rPr>
        <w:t>par</w:t>
      </w:r>
      <w:r>
        <w:rPr>
          <w:color w:val="231F20"/>
          <w:spacing w:val="-6"/>
        </w:rPr>
        <w:t> </w:t>
      </w:r>
      <w:r>
        <w:rPr>
          <w:color w:val="231F20"/>
        </w:rPr>
        <w:t>voie</w:t>
      </w:r>
      <w:r>
        <w:rPr>
          <w:color w:val="231F20"/>
          <w:spacing w:val="-7"/>
        </w:rPr>
        <w:t> </w:t>
      </w:r>
      <w:r>
        <w:rPr>
          <w:color w:val="231F20"/>
        </w:rPr>
        <w:t>d’achat</w:t>
      </w:r>
      <w:r>
        <w:rPr>
          <w:color w:val="231F20"/>
          <w:spacing w:val="-6"/>
        </w:rPr>
        <w:t> </w:t>
      </w:r>
      <w:r>
        <w:rPr>
          <w:color w:val="231F20"/>
        </w:rPr>
        <w:t>ou</w:t>
      </w:r>
      <w:r>
        <w:rPr>
          <w:color w:val="231F20"/>
          <w:spacing w:val="-7"/>
        </w:rPr>
        <w:t> </w:t>
      </w:r>
      <w:r>
        <w:rPr>
          <w:color w:val="231F20"/>
        </w:rPr>
        <w:t>d’échange, directement ou par personne agissant en son nom propre mais pour le compte de la société, ainsi que souscrire à des certificats postérieure- ment à l’émission des actions ou parts bénéficiaires, que sous les conditions</w:t>
      </w:r>
      <w:r>
        <w:rPr>
          <w:color w:val="231F20"/>
          <w:spacing w:val="15"/>
        </w:rPr>
        <w:t> </w:t>
      </w:r>
      <w:r>
        <w:rPr>
          <w:color w:val="231F20"/>
        </w:rPr>
        <w:t>suivantes:</w:t>
      </w:r>
    </w:p>
    <w:p>
      <w:pPr>
        <w:pStyle w:val="BodyText"/>
        <w:spacing w:line="218" w:lineRule="auto" w:before="118"/>
        <w:ind w:right="41"/>
      </w:pPr>
      <w:r>
        <w:rPr>
          <w:color w:val="231F20"/>
        </w:rPr>
        <w:t>1° l’acquisition est autorisée par une décision préalable de l’assem- blée générale, prise dans le respect des conditions de quorum et de majorité requises pour la modification des statuts;</w:t>
      </w:r>
    </w:p>
    <w:p>
      <w:pPr>
        <w:pStyle w:val="BodyText"/>
        <w:spacing w:line="218" w:lineRule="auto" w:before="117"/>
        <w:ind w:right="40"/>
      </w:pPr>
      <w:r>
        <w:rPr>
          <w:color w:val="231F20"/>
        </w:rPr>
        <w:t>2° les sommes affectées à cette acquisition sont susceptibles d’être distribuées conformément à l’article 7:212;</w:t>
      </w:r>
    </w:p>
    <w:p>
      <w:pPr>
        <w:pStyle w:val="BodyText"/>
        <w:spacing w:line="218" w:lineRule="auto" w:before="118"/>
        <w:ind w:right="40"/>
      </w:pPr>
      <w:r>
        <w:rPr>
          <w:color w:val="231F20"/>
        </w:rPr>
        <w:t>3° l’opération porte sur des actions entièrement libérées ou sur des certificats s’y rapportant;</w:t>
      </w:r>
    </w:p>
    <w:p>
      <w:pPr>
        <w:pStyle w:val="BodyText"/>
        <w:spacing w:line="218" w:lineRule="auto" w:before="117"/>
        <w:ind w:right="40"/>
      </w:pPr>
      <w:r>
        <w:rPr>
          <w:color w:val="231F20"/>
        </w:rPr>
        <w:t>4° </w:t>
      </w:r>
      <w:r>
        <w:rPr>
          <w:color w:val="231F20"/>
          <w:spacing w:val="-3"/>
        </w:rPr>
        <w:t>l’offre </w:t>
      </w:r>
      <w:r>
        <w:rPr>
          <w:color w:val="231F20"/>
        </w:rPr>
        <w:t>d’acquisition est faite aux mêmes conditions à tous les actionnaires,</w:t>
      </w:r>
      <w:r>
        <w:rPr>
          <w:color w:val="231F20"/>
          <w:spacing w:val="-4"/>
        </w:rPr>
        <w:t> </w:t>
      </w:r>
      <w:r>
        <w:rPr>
          <w:color w:val="231F20"/>
        </w:rPr>
        <w:t>et,</w:t>
      </w:r>
      <w:r>
        <w:rPr>
          <w:color w:val="231F20"/>
          <w:spacing w:val="-4"/>
        </w:rPr>
        <w:t> </w:t>
      </w:r>
      <w:r>
        <w:rPr>
          <w:color w:val="231F20"/>
        </w:rPr>
        <w:t>le</w:t>
      </w:r>
      <w:r>
        <w:rPr>
          <w:color w:val="231F20"/>
          <w:spacing w:val="-4"/>
        </w:rPr>
        <w:t> </w:t>
      </w:r>
      <w:r>
        <w:rPr>
          <w:color w:val="231F20"/>
        </w:rPr>
        <w:t>cas</w:t>
      </w:r>
      <w:r>
        <w:rPr>
          <w:color w:val="231F20"/>
          <w:spacing w:val="-4"/>
        </w:rPr>
        <w:t> </w:t>
      </w:r>
      <w:r>
        <w:rPr>
          <w:color w:val="231F20"/>
        </w:rPr>
        <w:t>échéant,</w:t>
      </w:r>
      <w:r>
        <w:rPr>
          <w:color w:val="231F20"/>
          <w:spacing w:val="-4"/>
        </w:rPr>
        <w:t> </w:t>
      </w:r>
      <w:r>
        <w:rPr>
          <w:color w:val="231F20"/>
        </w:rPr>
        <w:t>à</w:t>
      </w:r>
      <w:r>
        <w:rPr>
          <w:color w:val="231F20"/>
          <w:spacing w:val="-4"/>
        </w:rPr>
        <w:t> </w:t>
      </w:r>
      <w:r>
        <w:rPr>
          <w:color w:val="231F20"/>
        </w:rPr>
        <w:t>tous</w:t>
      </w:r>
      <w:r>
        <w:rPr>
          <w:color w:val="231F20"/>
          <w:spacing w:val="-4"/>
        </w:rPr>
        <w:t> </w:t>
      </w:r>
      <w:r>
        <w:rPr>
          <w:color w:val="231F20"/>
        </w:rPr>
        <w:t>les</w:t>
      </w:r>
      <w:r>
        <w:rPr>
          <w:color w:val="231F20"/>
          <w:spacing w:val="-4"/>
        </w:rPr>
        <w:t> </w:t>
      </w:r>
      <w:r>
        <w:rPr>
          <w:color w:val="231F20"/>
        </w:rPr>
        <w:t>titulaires</w:t>
      </w:r>
      <w:r>
        <w:rPr>
          <w:color w:val="231F20"/>
          <w:spacing w:val="-4"/>
        </w:rPr>
        <w:t> </w:t>
      </w:r>
      <w:r>
        <w:rPr>
          <w:color w:val="231F20"/>
        </w:rPr>
        <w:t>de</w:t>
      </w:r>
      <w:r>
        <w:rPr>
          <w:color w:val="231F20"/>
          <w:spacing w:val="-4"/>
        </w:rPr>
        <w:t> </w:t>
      </w:r>
      <w:r>
        <w:rPr>
          <w:color w:val="231F20"/>
        </w:rPr>
        <w:t>parts</w:t>
      </w:r>
      <w:r>
        <w:rPr>
          <w:color w:val="231F20"/>
          <w:spacing w:val="-4"/>
        </w:rPr>
        <w:t> </w:t>
      </w:r>
      <w:r>
        <w:rPr>
          <w:color w:val="231F20"/>
        </w:rPr>
        <w:t>bénéficiaires ou titulaires de certificats aux mêmes conditions par classe ou par catégorie, sauf si une assemblée générale à laquelle tous les actionnai- res, et les cas échéant, les titulaires de parts bénéficiaires ou de certificats, étaient présents ou représentés décide de l’acquisition à l’unanimité; de même, les sociétés cotées et les sociétés dont les</w:t>
      </w:r>
      <w:r>
        <w:rPr>
          <w:color w:val="231F20"/>
          <w:spacing w:val="-21"/>
        </w:rPr>
        <w:t> </w:t>
      </w:r>
      <w:r>
        <w:rPr>
          <w:color w:val="231F20"/>
        </w:rPr>
        <w:t>actions, les parts bénéficiaires ou les certificats se rapportant à ces actions sont admis aux négociations sur une MTF visée à l’article 3, 10°, de la loi du 21 novembre 2017 relative aux infrastructures des marchés d’instru- ments financiers et portant transposition de la directive 2014/65/UE, dans la mesure où cette MTF fonctionne sur la base d’une négociation quotidienne au minimum et d’un carnet d’ordres central, peuvent acheter leurs propres actions, parts bénéficiaires ou certificats, sans qu’une </w:t>
      </w:r>
      <w:r>
        <w:rPr>
          <w:color w:val="231F20"/>
          <w:spacing w:val="-4"/>
        </w:rPr>
        <w:t>offre </w:t>
      </w:r>
      <w:r>
        <w:rPr>
          <w:color w:val="231F20"/>
        </w:rPr>
        <w:t>d’acquisition doive être faite aux actionnaires, titulaires de parts bénéficiaires ou titulaires de certificats, à condition qu’elles garantissent l’égalité de traitement des actionnaires, titulaires de parts bénéficiaires ou titulaires de certificats qui se trouvent dans les mêmes conditions,</w:t>
      </w:r>
      <w:r>
        <w:rPr>
          <w:color w:val="231F20"/>
          <w:spacing w:val="15"/>
        </w:rPr>
        <w:t> </w:t>
      </w:r>
      <w:r>
        <w:rPr>
          <w:color w:val="231F20"/>
        </w:rPr>
        <w:t>moyennant</w:t>
      </w:r>
      <w:r>
        <w:rPr>
          <w:color w:val="231F20"/>
          <w:spacing w:val="16"/>
        </w:rPr>
        <w:t> </w:t>
      </w:r>
      <w:r>
        <w:rPr>
          <w:color w:val="231F20"/>
        </w:rPr>
        <w:t>l’équivalence</w:t>
      </w:r>
      <w:r>
        <w:rPr>
          <w:color w:val="231F20"/>
          <w:spacing w:val="16"/>
        </w:rPr>
        <w:t> </w:t>
      </w:r>
      <w:r>
        <w:rPr>
          <w:color w:val="231F20"/>
        </w:rPr>
        <w:t>du</w:t>
      </w:r>
      <w:r>
        <w:rPr>
          <w:color w:val="231F20"/>
          <w:spacing w:val="16"/>
        </w:rPr>
        <w:t> </w:t>
      </w:r>
      <w:r>
        <w:rPr>
          <w:color w:val="231F20"/>
        </w:rPr>
        <w:t>prix</w:t>
      </w:r>
      <w:r>
        <w:rPr>
          <w:color w:val="231F20"/>
          <w:spacing w:val="16"/>
        </w:rPr>
        <w:t> </w:t>
      </w:r>
      <w:r>
        <w:rPr>
          <w:color w:val="231F20"/>
        </w:rPr>
        <w:t>offert.</w:t>
      </w:r>
    </w:p>
    <w:p>
      <w:pPr>
        <w:pStyle w:val="BodyText"/>
        <w:spacing w:before="11"/>
        <w:ind w:left="0" w:right="0" w:firstLine="0"/>
        <w:jc w:val="left"/>
        <w:rPr>
          <w:sz w:val="25"/>
        </w:rPr>
      </w:pPr>
    </w:p>
    <w:p>
      <w:pPr>
        <w:pStyle w:val="BodyText"/>
        <w:spacing w:line="218" w:lineRule="auto"/>
        <w:ind w:right="40"/>
      </w:pPr>
      <w:r>
        <w:rPr>
          <w:color w:val="231F20"/>
        </w:rPr>
        <w:t>L’assemblée générale ou les statuts fixent notamment le nombre maximum</w:t>
      </w:r>
      <w:r>
        <w:rPr>
          <w:color w:val="231F20"/>
          <w:spacing w:val="-5"/>
        </w:rPr>
        <w:t> </w:t>
      </w:r>
      <w:r>
        <w:rPr>
          <w:color w:val="231F20"/>
        </w:rPr>
        <w:t>d’actions,</w:t>
      </w:r>
      <w:r>
        <w:rPr>
          <w:color w:val="231F20"/>
          <w:spacing w:val="-5"/>
        </w:rPr>
        <w:t> </w:t>
      </w:r>
      <w:r>
        <w:rPr>
          <w:color w:val="231F20"/>
        </w:rPr>
        <w:t>de</w:t>
      </w:r>
      <w:r>
        <w:rPr>
          <w:color w:val="231F20"/>
          <w:spacing w:val="-5"/>
        </w:rPr>
        <w:t> </w:t>
      </w:r>
      <w:r>
        <w:rPr>
          <w:color w:val="231F20"/>
        </w:rPr>
        <w:t>parts</w:t>
      </w:r>
      <w:r>
        <w:rPr>
          <w:color w:val="231F20"/>
          <w:spacing w:val="-5"/>
        </w:rPr>
        <w:t> </w:t>
      </w:r>
      <w:r>
        <w:rPr>
          <w:color w:val="231F20"/>
        </w:rPr>
        <w:t>bénéficiaires</w:t>
      </w:r>
      <w:r>
        <w:rPr>
          <w:color w:val="231F20"/>
          <w:spacing w:val="-5"/>
        </w:rPr>
        <w:t> </w:t>
      </w:r>
      <w:r>
        <w:rPr>
          <w:color w:val="231F20"/>
        </w:rPr>
        <w:t>ou</w:t>
      </w:r>
      <w:r>
        <w:rPr>
          <w:color w:val="231F20"/>
          <w:spacing w:val="-5"/>
        </w:rPr>
        <w:t> </w:t>
      </w:r>
      <w:r>
        <w:rPr>
          <w:color w:val="231F20"/>
        </w:rPr>
        <w:t>de</w:t>
      </w:r>
      <w:r>
        <w:rPr>
          <w:color w:val="231F20"/>
          <w:spacing w:val="-5"/>
        </w:rPr>
        <w:t> </w:t>
      </w:r>
      <w:r>
        <w:rPr>
          <w:color w:val="231F20"/>
        </w:rPr>
        <w:t>certificats</w:t>
      </w:r>
      <w:r>
        <w:rPr>
          <w:color w:val="231F20"/>
          <w:spacing w:val="-5"/>
        </w:rPr>
        <w:t> </w:t>
      </w:r>
      <w:r>
        <w:rPr>
          <w:color w:val="231F20"/>
        </w:rPr>
        <w:t>à</w:t>
      </w:r>
      <w:r>
        <w:rPr>
          <w:color w:val="231F20"/>
          <w:spacing w:val="-5"/>
        </w:rPr>
        <w:t> </w:t>
      </w:r>
      <w:r>
        <w:rPr>
          <w:color w:val="231F20"/>
        </w:rPr>
        <w:t>acquérir,</w:t>
      </w:r>
      <w:r>
        <w:rPr>
          <w:color w:val="231F20"/>
          <w:spacing w:val="-5"/>
        </w:rPr>
        <w:t> </w:t>
      </w:r>
      <w:r>
        <w:rPr>
          <w:color w:val="231F20"/>
        </w:rPr>
        <w:t>la durée pour laquelle l’autorisation d’acquérir est accordée et qui ne peut excéder cinq ans à dater de la publication de l’acte constitutif ou de la modification des statuts, ainsi que les contre-valeurs minimales et maximales.</w:t>
      </w:r>
    </w:p>
    <w:p>
      <w:pPr>
        <w:pStyle w:val="BodyText"/>
        <w:spacing w:line="218" w:lineRule="auto" w:before="103"/>
        <w:ind w:right="40"/>
      </w:pPr>
      <w:r>
        <w:rPr>
          <w:color w:val="231F20"/>
        </w:rPr>
        <w:t>La décision de l’assemblée générale visée à l’alinéa 1</w:t>
      </w:r>
      <w:r>
        <w:rPr>
          <w:color w:val="231F20"/>
          <w:position w:val="7"/>
          <w:sz w:val="11"/>
        </w:rPr>
        <w:t>er</w:t>
      </w:r>
      <w:r>
        <w:rPr>
          <w:color w:val="231F20"/>
        </w:rPr>
        <w:t>, 1°, n’est pas requise lorsque la société ou une personne agissant en son nom propre mais pour le compte de la société acquiert ses actions, parts bénéficiai- res ou certificats afin de les distribuer à son personnel ou au personnel des sociétés liées à celle-ci; ces titres doivent être transférés au personnel dans un délai de douze moins à compter de leur acquisition.</w:t>
      </w:r>
    </w:p>
    <w:p>
      <w:pPr>
        <w:pStyle w:val="BodyText"/>
        <w:ind w:left="0" w:right="0" w:firstLine="0"/>
        <w:jc w:val="left"/>
        <w:rPr>
          <w:sz w:val="20"/>
        </w:rPr>
      </w:pPr>
    </w:p>
    <w:p>
      <w:pPr>
        <w:pStyle w:val="BodyText"/>
        <w:spacing w:before="3"/>
        <w:ind w:left="0" w:right="0" w:firstLine="0"/>
        <w:jc w:val="left"/>
        <w:rPr>
          <w:sz w:val="21"/>
        </w:rPr>
      </w:pPr>
    </w:p>
    <w:p>
      <w:pPr>
        <w:pStyle w:val="BodyText"/>
        <w:spacing w:line="218" w:lineRule="auto"/>
        <w:ind w:right="40"/>
      </w:pPr>
      <w:r>
        <w:rPr>
          <w:color w:val="231F20"/>
        </w:rPr>
        <w:t>Les statuts peuvent prévoir que la décision de l’assemblée générale n’est pas requise lorsque l’acquisition est nécessaire pour éviter à la société un dommage grave et imminent.</w:t>
      </w:r>
    </w:p>
    <w:p>
      <w:pPr>
        <w:pStyle w:val="BodyText"/>
        <w:spacing w:line="218" w:lineRule="auto" w:before="118"/>
        <w:ind w:right="40"/>
      </w:pPr>
      <w:r>
        <w:rPr>
          <w:color w:val="231F20"/>
        </w:rPr>
        <w:t>Cette faculté n’est valable que pour une période de trois ans à dater de la publication de l’acte constitutif ou de l’acte d’autorisation; elle est prorogeable pour des termes identiques par l’assemblée générale statuant dans le respect des conditions de quorum et de majorité requises pour une modification des statuts. </w:t>
      </w:r>
      <w:r>
        <w:rPr>
          <w:color w:val="231F20"/>
          <w:spacing w:val="-3"/>
        </w:rPr>
        <w:t>L’organe </w:t>
      </w:r>
      <w:r>
        <w:rPr>
          <w:color w:val="231F20"/>
        </w:rPr>
        <w:t>d’administration communique à la première assemblée générale qui suit l’acquisition les raisons et les buts des acquisitions effectuées, le nombre et, le cas échéant, la valeur nominale, ou, à défaut de valeur nominale, le pair comptable des titres acquis, la fraction du capital souscrit qu’ils représentent, et la contrepartie</w:t>
      </w:r>
      <w:r>
        <w:rPr>
          <w:color w:val="231F20"/>
          <w:spacing w:val="17"/>
        </w:rPr>
        <w:t> </w:t>
      </w:r>
      <w:r>
        <w:rPr>
          <w:color w:val="231F20"/>
        </w:rPr>
        <w:t>payée.</w:t>
      </w:r>
    </w:p>
    <w:p>
      <w:pPr>
        <w:pStyle w:val="BodyText"/>
        <w:spacing w:line="218" w:lineRule="auto" w:before="103"/>
        <w:ind w:right="40"/>
      </w:pPr>
      <w:r>
        <w:rPr>
          <w:color w:val="231F20"/>
        </w:rPr>
        <w:t>Les décisions de l’assemblée générale prises sur la base de l’alinéa 1</w:t>
      </w:r>
      <w:r>
        <w:rPr>
          <w:color w:val="231F20"/>
          <w:position w:val="7"/>
          <w:sz w:val="11"/>
        </w:rPr>
        <w:t>er</w:t>
      </w:r>
      <w:r>
        <w:rPr>
          <w:color w:val="231F20"/>
        </w:rPr>
        <w:t>, 1°, de l’alinéa2 et de l’alinéa 4, sont publiées et déposées conformément aux articles 2:8 et 2:14, 1°.</w:t>
      </w:r>
    </w:p>
    <w:p>
      <w:pPr>
        <w:pStyle w:val="BodyText"/>
        <w:spacing w:line="218" w:lineRule="auto" w:before="119"/>
      </w:pPr>
      <w:r>
        <w:rPr/>
        <w:br w:type="column"/>
      </w:r>
      <w:r>
        <w:rPr>
          <w:color w:val="231F20"/>
        </w:rPr>
        <w:t>Indien het interimdividend het bedrag te boven gaat van het later door de algemene vergadering vastgestelde jaardividend, wordt het meerdere beschouwd als een voorschot op het volgende dividend.</w:t>
      </w:r>
    </w:p>
    <w:p>
      <w:pPr>
        <w:pStyle w:val="BodyText"/>
        <w:spacing w:before="104"/>
        <w:ind w:left="283" w:right="0" w:firstLine="0"/>
        <w:jc w:val="left"/>
      </w:pPr>
      <w:r>
        <w:rPr>
          <w:color w:val="231F20"/>
        </w:rPr>
        <w:t>Onderafdeling 4. Sanctie.</w:t>
      </w:r>
    </w:p>
    <w:p>
      <w:pPr>
        <w:pStyle w:val="BodyText"/>
        <w:spacing w:line="218" w:lineRule="auto" w:before="114"/>
      </w:pPr>
      <w:r>
        <w:rPr>
          <w:color w:val="231F20"/>
        </w:rPr>
        <w:t>Art. 7:214. De aandeelhouders moeten elke uitkering die zij in strijd met de artikelen 7:212 en 7:213 hebben ontvangen, terugstorten indien de vennootschap bewijst dat de aandeelhouders van de onregelmatig- heid op de hoogte waren of daarvan, gezien de omstandigheden, niet onkundig konden zijn.</w:t>
      </w:r>
    </w:p>
    <w:p>
      <w:pPr>
        <w:pStyle w:val="BodyText"/>
        <w:spacing w:line="218" w:lineRule="auto" w:before="118"/>
      </w:pPr>
      <w:r>
        <w:rPr>
          <w:color w:val="231F20"/>
        </w:rPr>
        <w:t>Afdeling 2. Verkrijging van eigen aandelen, winstbewijzen of certifi- caten.</w:t>
      </w:r>
    </w:p>
    <w:p>
      <w:pPr>
        <w:pStyle w:val="BodyText"/>
        <w:spacing w:line="218" w:lineRule="auto" w:before="117"/>
      </w:pPr>
      <w:r>
        <w:rPr>
          <w:color w:val="231F20"/>
        </w:rPr>
        <w:t>Onderafdeling 1. Verkrijging van eigen aandelen, winstbewijzen of certificaten door de vennootschap zelf.</w:t>
      </w:r>
    </w:p>
    <w:p>
      <w:pPr>
        <w:pStyle w:val="BodyText"/>
        <w:spacing w:line="218" w:lineRule="auto" w:before="117"/>
      </w:pPr>
      <w:r>
        <w:rPr>
          <w:color w:val="231F20"/>
        </w:rPr>
        <w:t>Art. 7:215. § 1. De vennootschap mag slechts, hetzij zelf, hetzij door personen die handelen in eigen naam maar voor rekening van de vennootschap, door aankoop of ruil eigen aandelen of winstbewijzen of certificaten die daarop betrekking hebben, verkrijgen of inschrijven op certificaten na de uitgifte van de daarmee overeenstemmende aandelen of winstbewijzen, onder de volgende voorwaarden:</w:t>
      </w:r>
    </w:p>
    <w:p>
      <w:pPr>
        <w:pStyle w:val="BodyText"/>
        <w:spacing w:line="218" w:lineRule="auto" w:before="118"/>
      </w:pPr>
      <w:r>
        <w:rPr>
          <w:color w:val="231F20"/>
        </w:rPr>
        <w:t>1° de verkrijging is toegelaten door een voorafgaand besluit van de algemene vergadering, genomen met naleving van de aanwezigheids- en</w:t>
      </w:r>
      <w:r>
        <w:rPr>
          <w:color w:val="231F20"/>
          <w:spacing w:val="21"/>
        </w:rPr>
        <w:t> </w:t>
      </w:r>
      <w:r>
        <w:rPr>
          <w:color w:val="231F20"/>
        </w:rPr>
        <w:t>meerderheidsvereisten</w:t>
      </w:r>
      <w:r>
        <w:rPr>
          <w:color w:val="231F20"/>
          <w:spacing w:val="21"/>
        </w:rPr>
        <w:t> </w:t>
      </w:r>
      <w:r>
        <w:rPr>
          <w:color w:val="231F20"/>
        </w:rPr>
        <w:t>voorgeschreven</w:t>
      </w:r>
      <w:r>
        <w:rPr>
          <w:color w:val="231F20"/>
          <w:spacing w:val="22"/>
        </w:rPr>
        <w:t> </w:t>
      </w:r>
      <w:r>
        <w:rPr>
          <w:color w:val="231F20"/>
        </w:rPr>
        <w:t>voor</w:t>
      </w:r>
      <w:r>
        <w:rPr>
          <w:color w:val="231F20"/>
          <w:spacing w:val="21"/>
        </w:rPr>
        <w:t> </w:t>
      </w:r>
      <w:r>
        <w:rPr>
          <w:color w:val="231F20"/>
        </w:rPr>
        <w:t>een</w:t>
      </w:r>
      <w:r>
        <w:rPr>
          <w:color w:val="231F20"/>
          <w:spacing w:val="22"/>
        </w:rPr>
        <w:t> </w:t>
      </w:r>
      <w:r>
        <w:rPr>
          <w:color w:val="231F20"/>
        </w:rPr>
        <w:t>statutenwijziging;</w:t>
      </w:r>
    </w:p>
    <w:p>
      <w:pPr>
        <w:pStyle w:val="BodyText"/>
        <w:spacing w:line="218" w:lineRule="auto" w:before="118"/>
      </w:pPr>
      <w:r>
        <w:rPr>
          <w:color w:val="231F20"/>
        </w:rPr>
        <w:t>2° het voor die verkrijging uitgetrokken bedrag is overeenkomstig artikel 7:212 voor uitkering vatbaar;</w:t>
      </w:r>
    </w:p>
    <w:p>
      <w:pPr>
        <w:pStyle w:val="BodyText"/>
        <w:spacing w:line="218" w:lineRule="auto" w:before="117"/>
      </w:pPr>
      <w:r>
        <w:rPr>
          <w:color w:val="231F20"/>
        </w:rPr>
        <w:t>3° de verrichting betreft volgestorte aandelen of certificaten die betrekking hebben op volgestorte aandelen;</w:t>
      </w:r>
    </w:p>
    <w:p>
      <w:pPr>
        <w:pStyle w:val="BodyText"/>
        <w:spacing w:line="218" w:lineRule="auto" w:before="118"/>
      </w:pPr>
      <w:r>
        <w:rPr>
          <w:color w:val="231F20"/>
        </w:rPr>
        <w:t>4° het aanbod tot verkrijging wordt gericht tot alle aandeelhouders en, in voorkomend geval, alle houders van winstbewijzen of certifica- ten, onder dezelfde voorwaarden per soort of per categorie, tenzij een algemene vergadering waarop alle aandeelhouders en, in voorkomend geval, de winstbewijshouders of de certificaathouders, aanwezig of vertegenwoordigd waren eenparig tot de verkrijgingen besluit; evenzo kunnen genoteerde vennootschappen en vennootschappen waarvan de aandelen, winstbewijzen of certificaten die betrekking hebben op deze aandelen zijn toegelaten tot de verhandeling op een MTF als bedoeld in artikel 3, 10°, van de wet van 21 november 2017 over de infrastructuren voor de markten voor financiële instrumenten en houdende omzetting van richtlijn 2014/65/EU, voor zover deze werkt met minstens één dagelijkse verhandeling en met een centraal orderboek, hun eigen aandelen, winstbewijzen, of certificaten kopen, zonder dat aan de aandeelhouders, winstbewijshouders of certificaathouders een aanbod tot verkrijging moet worden gedaan, op voorwaarde dat zij de gelijke behandeling van de aandeelhouders, winstbewijshouders of certificaat- houders die zich in gelijke omstandigheden bevinden waarborgen door middel van gelijkwaardigheid van de geboden prijs.</w:t>
      </w:r>
    </w:p>
    <w:p>
      <w:pPr>
        <w:pStyle w:val="BodyText"/>
        <w:spacing w:before="10"/>
        <w:ind w:left="0" w:right="0" w:firstLine="0"/>
        <w:jc w:val="left"/>
        <w:rPr>
          <w:sz w:val="25"/>
        </w:rPr>
      </w:pPr>
    </w:p>
    <w:p>
      <w:pPr>
        <w:pStyle w:val="BodyText"/>
        <w:spacing w:line="218" w:lineRule="auto"/>
      </w:pPr>
      <w:r>
        <w:rPr>
          <w:color w:val="231F20"/>
        </w:rPr>
        <w:t>De algemene vergadering of de statuten bepalen inzonderheid het maximumaantal te verkrijgen aandelen, winstbewijzen of certificaten, de duur waarvoor de toestemming tot verkrijging is verleend en die vijf jaar niet mag te boven gaan te rekenen van de bekendmaking van de oprichtingsakte of van de statutenwijziging, alsook de minimum- en maximumwaarde van de vergoeding.</w:t>
      </w:r>
    </w:p>
    <w:p>
      <w:pPr>
        <w:pStyle w:val="BodyText"/>
        <w:spacing w:line="218" w:lineRule="auto" w:before="118"/>
      </w:pPr>
      <w:r>
        <w:rPr>
          <w:color w:val="231F20"/>
        </w:rPr>
        <w:t>Het besluit van de algemene vergadering bedoeld in het eerste lid, 1°, is niet vereist wanneer de vennootschap of een persoon die handelt in eigen naam maar voor rekening van de vennootschap, haar aandelen, winstbewijzen of certificaten verkrijgt om deze aan te bieden aan haar personeel of aan het personeel van de met haar verbonden vennoot- schappen; deze effecten moeten aan het personeel worden overgedra- gen binnen een termijn van twaalf maanden te rekenen van hun verkrijging.</w:t>
      </w:r>
    </w:p>
    <w:p>
      <w:pPr>
        <w:pStyle w:val="BodyText"/>
        <w:spacing w:line="218" w:lineRule="auto" w:before="118"/>
      </w:pPr>
      <w:r>
        <w:rPr>
          <w:color w:val="231F20"/>
        </w:rPr>
        <w:t>De statuten kunnen bepalen dat geen besluit van de algemene vergadering is vereist wanneer de verkrijging noodzakelijk is ter voorkoming van een dreigend ernstig nadeel voor de vennootschap.</w:t>
      </w:r>
    </w:p>
    <w:p>
      <w:pPr>
        <w:pStyle w:val="BodyText"/>
        <w:spacing w:line="218" w:lineRule="auto" w:before="118"/>
      </w:pPr>
      <w:r>
        <w:rPr>
          <w:color w:val="231F20"/>
        </w:rPr>
        <w:t>Deze mogelijkheid is slechts drie jaar geldig te rekenen van de bekendmaking van de oprichtingsakte of van de machtigingsakte; ze kan door de algemene vergadering met dezelfde termijnen worden verlengd met naleving van de aanwezigheids- en meerderheidsvereis- ten voorgeschreven voor een statutenwijziging. Op de eerstvolgende algemene vergadering na de verkrijging, deelt het bestuursorgaan de redenen en de doeleinden van de verkrijgingen mee, het aantal en, in voorkomend geval, de nominale waarde of, bij gebrek daaraan, de fractiewaarde van de verkregen effecten, het aandeel van het geplaatste kapitaal dat zij vertegenwoordigen, en de betaalde vergoeding.</w:t>
      </w:r>
    </w:p>
    <w:p>
      <w:pPr>
        <w:pStyle w:val="BodyText"/>
        <w:spacing w:line="218" w:lineRule="auto" w:before="118"/>
      </w:pPr>
      <w:r>
        <w:rPr>
          <w:color w:val="231F20"/>
        </w:rPr>
        <w:t>De besluiten van de algemene vergadering genomen op grond van  het eerste lid, 1°, het tweede lid en het vierde lid, worden neergelegd en bekendgemaakt</w:t>
      </w:r>
      <w:r>
        <w:rPr>
          <w:color w:val="231F20"/>
          <w:spacing w:val="13"/>
        </w:rPr>
        <w:t> </w:t>
      </w:r>
      <w:r>
        <w:rPr>
          <w:color w:val="231F20"/>
        </w:rPr>
        <w:t>overeenkomstig</w:t>
      </w:r>
      <w:r>
        <w:rPr>
          <w:color w:val="231F20"/>
          <w:spacing w:val="14"/>
        </w:rPr>
        <w:t> </w:t>
      </w:r>
      <w:r>
        <w:rPr>
          <w:color w:val="231F20"/>
        </w:rPr>
        <w:t>de</w:t>
      </w:r>
      <w:r>
        <w:rPr>
          <w:color w:val="231F20"/>
          <w:spacing w:val="14"/>
        </w:rPr>
        <w:t> </w:t>
      </w:r>
      <w:r>
        <w:rPr>
          <w:color w:val="231F20"/>
        </w:rPr>
        <w:t>artikelen</w:t>
      </w:r>
      <w:r>
        <w:rPr>
          <w:color w:val="231F20"/>
          <w:spacing w:val="14"/>
        </w:rPr>
        <w:t> </w:t>
      </w:r>
      <w:r>
        <w:rPr>
          <w:color w:val="231F20"/>
        </w:rPr>
        <w:t>2:8</w:t>
      </w:r>
      <w:r>
        <w:rPr>
          <w:color w:val="231F20"/>
          <w:spacing w:val="14"/>
        </w:rPr>
        <w:t> </w:t>
      </w:r>
      <w:r>
        <w:rPr>
          <w:color w:val="231F20"/>
        </w:rPr>
        <w:t>en</w:t>
      </w:r>
      <w:r>
        <w:rPr>
          <w:color w:val="231F20"/>
          <w:spacing w:val="14"/>
        </w:rPr>
        <w:t> </w:t>
      </w:r>
      <w:r>
        <w:rPr>
          <w:color w:val="231F20"/>
        </w:rPr>
        <w:t>2:14,</w:t>
      </w:r>
      <w:r>
        <w:rPr>
          <w:color w:val="231F20"/>
          <w:spacing w:val="14"/>
        </w:rPr>
        <w:t> </w:t>
      </w:r>
      <w:r>
        <w:rPr>
          <w:color w:val="231F20"/>
        </w:rPr>
        <w:t>1°.</w:t>
      </w:r>
    </w:p>
    <w:p>
      <w:pPr>
        <w:spacing w:after="0" w:line="218" w:lineRule="auto"/>
        <w:sectPr>
          <w:pgSz w:w="11940" w:h="16880"/>
          <w:pgMar w:header="666" w:footer="0" w:top="1140" w:bottom="280" w:left="340" w:right="360"/>
          <w:cols w:num="2" w:equalWidth="0">
            <w:col w:w="5529" w:space="98"/>
            <w:col w:w="5613"/>
          </w:cols>
        </w:sectPr>
      </w:pPr>
    </w:p>
    <w:p>
      <w:pPr>
        <w:pStyle w:val="BodyText"/>
        <w:spacing w:line="216" w:lineRule="auto" w:before="121"/>
        <w:ind w:right="82"/>
      </w:pPr>
      <w:r>
        <w:rPr/>
        <w:pict>
          <v:line style="position:absolute;mso-position-horizontal-relative:page;mso-position-vertical-relative:page;z-index:5944" from="298.170502pt,64.473pt" to="298.170502pt,812.819pt" stroked="true" strokeweight=".533pt" strokecolor="#231f20">
            <v:stroke dashstyle="solid"/>
            <w10:wrap type="none"/>
          </v:line>
        </w:pict>
      </w:r>
      <w:bookmarkStart w:name="_bookmark205" w:id="211"/>
      <w:bookmarkEnd w:id="211"/>
      <w:r>
        <w:rPr/>
      </w:r>
      <w:r>
        <w:rPr>
          <w:color w:val="231F20"/>
        </w:rPr>
        <w:t>§ 2. Les sociétés cotées et les sociétés dont les actions, les parts bénéficiaires</w:t>
      </w:r>
      <w:r>
        <w:rPr>
          <w:color w:val="231F20"/>
          <w:spacing w:val="-4"/>
        </w:rPr>
        <w:t> </w:t>
      </w:r>
      <w:r>
        <w:rPr>
          <w:color w:val="231F20"/>
        </w:rPr>
        <w:t>ou</w:t>
      </w:r>
      <w:r>
        <w:rPr>
          <w:color w:val="231F20"/>
          <w:spacing w:val="-4"/>
        </w:rPr>
        <w:t> </w:t>
      </w:r>
      <w:r>
        <w:rPr>
          <w:color w:val="231F20"/>
        </w:rPr>
        <w:t>les</w:t>
      </w:r>
      <w:r>
        <w:rPr>
          <w:color w:val="231F20"/>
          <w:spacing w:val="-3"/>
        </w:rPr>
        <w:t> </w:t>
      </w:r>
      <w:r>
        <w:rPr>
          <w:color w:val="231F20"/>
        </w:rPr>
        <w:t>certificats</w:t>
      </w:r>
      <w:r>
        <w:rPr>
          <w:color w:val="231F20"/>
          <w:spacing w:val="-4"/>
        </w:rPr>
        <w:t> </w:t>
      </w:r>
      <w:r>
        <w:rPr>
          <w:color w:val="231F20"/>
        </w:rPr>
        <w:t>se</w:t>
      </w:r>
      <w:r>
        <w:rPr>
          <w:color w:val="231F20"/>
          <w:spacing w:val="-4"/>
        </w:rPr>
        <w:t> </w:t>
      </w:r>
      <w:r>
        <w:rPr>
          <w:color w:val="231F20"/>
        </w:rPr>
        <w:t>rapportant</w:t>
      </w:r>
      <w:r>
        <w:rPr>
          <w:color w:val="231F20"/>
          <w:spacing w:val="-3"/>
        </w:rPr>
        <w:t> </w:t>
      </w:r>
      <w:r>
        <w:rPr>
          <w:color w:val="231F20"/>
        </w:rPr>
        <w:t>à</w:t>
      </w:r>
      <w:r>
        <w:rPr>
          <w:color w:val="231F20"/>
          <w:spacing w:val="-4"/>
        </w:rPr>
        <w:t> </w:t>
      </w:r>
      <w:r>
        <w:rPr>
          <w:color w:val="231F20"/>
        </w:rPr>
        <w:t>ces</w:t>
      </w:r>
      <w:r>
        <w:rPr>
          <w:color w:val="231F20"/>
          <w:spacing w:val="-3"/>
        </w:rPr>
        <w:t> </w:t>
      </w:r>
      <w:r>
        <w:rPr>
          <w:color w:val="231F20"/>
        </w:rPr>
        <w:t>actions</w:t>
      </w:r>
      <w:r>
        <w:rPr>
          <w:color w:val="231F20"/>
          <w:spacing w:val="-4"/>
        </w:rPr>
        <w:t> </w:t>
      </w:r>
      <w:r>
        <w:rPr>
          <w:color w:val="231F20"/>
        </w:rPr>
        <w:t>sont</w:t>
      </w:r>
      <w:r>
        <w:rPr>
          <w:color w:val="231F20"/>
          <w:spacing w:val="-4"/>
        </w:rPr>
        <w:t> </w:t>
      </w:r>
      <w:r>
        <w:rPr>
          <w:color w:val="231F20"/>
        </w:rPr>
        <w:t>admis</w:t>
      </w:r>
      <w:r>
        <w:rPr>
          <w:color w:val="231F20"/>
          <w:spacing w:val="-3"/>
        </w:rPr>
        <w:t> </w:t>
      </w:r>
      <w:r>
        <w:rPr>
          <w:color w:val="231F20"/>
        </w:rPr>
        <w:t>aux négociations sur un MTF </w:t>
      </w:r>
      <w:r>
        <w:rPr>
          <w:color w:val="231F20"/>
          <w:spacing w:val="3"/>
        </w:rPr>
        <w:t>visé </w:t>
      </w:r>
      <w:r>
        <w:rPr>
          <w:color w:val="231F20"/>
        </w:rPr>
        <w:t>à l’article 3, 10°, de la loi du 21 novem- bre 2017 relative aux infrastructures des marchés d’instruments finan- ciers et portant transposition de la directive 2014/65/UE, dans la mesure où cette MTF fonctionne sur la base d’une</w:t>
      </w:r>
      <w:r>
        <w:rPr>
          <w:color w:val="231F20"/>
          <w:spacing w:val="20"/>
        </w:rPr>
        <w:t> </w:t>
      </w:r>
      <w:r>
        <w:rPr>
          <w:color w:val="231F20"/>
        </w:rPr>
        <w:t>négociation quotidienne au minimum et d’un carnet d’ordres central, doivent déclarer à l’Autorité des services et marchés financiers les opérations qu’elles</w:t>
      </w:r>
      <w:r>
        <w:rPr>
          <w:color w:val="231F20"/>
          <w:spacing w:val="20"/>
        </w:rPr>
        <w:t> </w:t>
      </w:r>
      <w:r>
        <w:rPr>
          <w:color w:val="231F20"/>
        </w:rPr>
        <w:t>envisagent</w:t>
      </w:r>
      <w:r>
        <w:rPr>
          <w:color w:val="231F20"/>
          <w:spacing w:val="20"/>
        </w:rPr>
        <w:t> </w:t>
      </w:r>
      <w:r>
        <w:rPr>
          <w:color w:val="231F20"/>
        </w:rPr>
        <w:t>d’effectuer</w:t>
      </w:r>
      <w:r>
        <w:rPr>
          <w:color w:val="231F20"/>
          <w:spacing w:val="21"/>
        </w:rPr>
        <w:t> </w:t>
      </w:r>
      <w:r>
        <w:rPr>
          <w:color w:val="231F20"/>
        </w:rPr>
        <w:t>en</w:t>
      </w:r>
      <w:r>
        <w:rPr>
          <w:color w:val="231F20"/>
          <w:spacing w:val="20"/>
        </w:rPr>
        <w:t> </w:t>
      </w:r>
      <w:r>
        <w:rPr>
          <w:color w:val="231F20"/>
        </w:rPr>
        <w:t>application</w:t>
      </w:r>
      <w:r>
        <w:rPr>
          <w:color w:val="231F20"/>
          <w:spacing w:val="21"/>
        </w:rPr>
        <w:t> </w:t>
      </w:r>
      <w:r>
        <w:rPr>
          <w:color w:val="231F20"/>
        </w:rPr>
        <w:t>du</w:t>
      </w:r>
      <w:r>
        <w:rPr>
          <w:color w:val="231F20"/>
          <w:spacing w:val="20"/>
        </w:rPr>
        <w:t> </w:t>
      </w:r>
      <w:r>
        <w:rPr>
          <w:color w:val="231F20"/>
        </w:rPr>
        <w:t>paragraphe</w:t>
      </w:r>
      <w:r>
        <w:rPr>
          <w:color w:val="231F20"/>
          <w:spacing w:val="20"/>
        </w:rPr>
        <w:t> </w:t>
      </w:r>
      <w:r>
        <w:rPr>
          <w:color w:val="231F20"/>
        </w:rPr>
        <w:t>1</w:t>
      </w:r>
      <w:r>
        <w:rPr>
          <w:color w:val="231F20"/>
          <w:position w:val="7"/>
          <w:sz w:val="11"/>
        </w:rPr>
        <w:t>er</w:t>
      </w:r>
      <w:r>
        <w:rPr>
          <w:color w:val="231F20"/>
        </w:rPr>
        <w:t>.</w:t>
      </w:r>
    </w:p>
    <w:p>
      <w:pPr>
        <w:pStyle w:val="BodyText"/>
        <w:ind w:left="0" w:right="0" w:firstLine="0"/>
        <w:jc w:val="left"/>
        <w:rPr>
          <w:sz w:val="25"/>
        </w:rPr>
      </w:pPr>
    </w:p>
    <w:p>
      <w:pPr>
        <w:pStyle w:val="BodyText"/>
        <w:spacing w:line="218" w:lineRule="auto"/>
        <w:ind w:right="82"/>
      </w:pPr>
      <w:r>
        <w:rPr>
          <w:color w:val="231F20"/>
        </w:rPr>
        <w:t>L’Autorité des services et marchés financiers vérifie la conformité des opérations de rachat avec la décision de l’assemblée générale ou, le cas échéant, de l’organe d’administration; elle rend son avis public si elle estime que ces opérations n’y sont pas conformes.</w:t>
      </w:r>
    </w:p>
    <w:p>
      <w:pPr>
        <w:pStyle w:val="BodyText"/>
        <w:spacing w:before="10"/>
        <w:ind w:left="0" w:right="0" w:firstLine="0"/>
        <w:jc w:val="left"/>
        <w:rPr>
          <w:sz w:val="24"/>
        </w:rPr>
      </w:pPr>
    </w:p>
    <w:p>
      <w:pPr>
        <w:pStyle w:val="BodyText"/>
        <w:spacing w:line="218" w:lineRule="auto"/>
        <w:ind w:right="82"/>
      </w:pPr>
      <w:r>
        <w:rPr>
          <w:color w:val="231F20"/>
        </w:rPr>
        <w:t>Le Roi détermine les modalités de la procédure prescrite au présent paragraphe, et les obligations incombant aux sociétés visées au présent paragraphe en matière d’information du public relative aux opérations de rachat.</w:t>
      </w:r>
    </w:p>
    <w:p>
      <w:pPr>
        <w:pStyle w:val="BodyText"/>
        <w:spacing w:line="218" w:lineRule="auto" w:before="107"/>
        <w:ind w:right="82"/>
      </w:pPr>
      <w:r>
        <w:rPr>
          <w:color w:val="231F20"/>
        </w:rPr>
        <w:t>Le Roi définit les règles selon lesquelles l’Autorité des services et marchés financiers exerce le contrôle du respect des obligations en matière d’information au public arrêtées en application de l’alinéa 3, et notamment les conditions dans lesquelles, en cas de manquement des sociétés visées au présent paragraphe, l’Autorité des services et marchés financiers</w:t>
      </w:r>
      <w:r>
        <w:rPr>
          <w:color w:val="231F20"/>
          <w:spacing w:val="-12"/>
        </w:rPr>
        <w:t> </w:t>
      </w:r>
      <w:r>
        <w:rPr>
          <w:color w:val="231F20"/>
        </w:rPr>
        <w:t>peut:</w:t>
      </w:r>
    </w:p>
    <w:p>
      <w:pPr>
        <w:pStyle w:val="BodyText"/>
        <w:spacing w:before="10"/>
        <w:ind w:left="0" w:right="0" w:firstLine="0"/>
        <w:jc w:val="left"/>
        <w:rPr>
          <w:sz w:val="24"/>
        </w:rPr>
      </w:pPr>
    </w:p>
    <w:p>
      <w:pPr>
        <w:pStyle w:val="BodyText"/>
        <w:spacing w:line="218" w:lineRule="auto"/>
        <w:ind w:right="82"/>
      </w:pPr>
      <w:r>
        <w:rPr>
          <w:color w:val="231F20"/>
        </w:rPr>
        <w:t>1° elle-même procéder, aux frais de la société visée, à la publication de certaines</w:t>
      </w:r>
      <w:r>
        <w:rPr>
          <w:color w:val="231F20"/>
          <w:spacing w:val="-12"/>
        </w:rPr>
        <w:t> </w:t>
      </w:r>
      <w:r>
        <w:rPr>
          <w:color w:val="231F20"/>
        </w:rPr>
        <w:t>informations;</w:t>
      </w:r>
    </w:p>
    <w:p>
      <w:pPr>
        <w:pStyle w:val="BodyText"/>
        <w:spacing w:line="218" w:lineRule="auto" w:before="107"/>
        <w:ind w:right="82"/>
      </w:pPr>
      <w:r>
        <w:rPr>
          <w:color w:val="231F20"/>
        </w:rPr>
        <w:t>2° elle-même rendre public que la société visée ne remplit pas ses obligations.</w:t>
      </w:r>
    </w:p>
    <w:p>
      <w:pPr>
        <w:pStyle w:val="BodyText"/>
        <w:spacing w:line="211" w:lineRule="auto" w:before="122"/>
        <w:ind w:right="82"/>
      </w:pPr>
      <w:r>
        <w:rPr>
          <w:color w:val="231F20"/>
        </w:rPr>
        <w:t>§ 3. Le Roi détermine les modalités visant à garantir l’égalité de traitement moyennant l’équivalence du prix offert, telle que visée au paragraphe 1</w:t>
      </w:r>
      <w:r>
        <w:rPr>
          <w:color w:val="231F20"/>
          <w:position w:val="7"/>
          <w:sz w:val="11"/>
        </w:rPr>
        <w:t>er</w:t>
      </w:r>
      <w:r>
        <w:rPr>
          <w:color w:val="231F20"/>
        </w:rPr>
        <w:t>, alinéa 1</w:t>
      </w:r>
      <w:r>
        <w:rPr>
          <w:color w:val="231F20"/>
          <w:position w:val="7"/>
          <w:sz w:val="11"/>
        </w:rPr>
        <w:t>er</w:t>
      </w:r>
      <w:r>
        <w:rPr>
          <w:color w:val="231F20"/>
        </w:rPr>
        <w:t>, 4°.</w:t>
      </w:r>
    </w:p>
    <w:p>
      <w:pPr>
        <w:pStyle w:val="BodyText"/>
        <w:spacing w:before="101"/>
        <w:ind w:left="283" w:right="0" w:firstLine="0"/>
        <w:jc w:val="left"/>
      </w:pPr>
      <w:r>
        <w:rPr>
          <w:color w:val="231F20"/>
        </w:rPr>
        <w:t>Art. 7:216. L’article 7:215 n’est pas applicable:</w:t>
      </w:r>
    </w:p>
    <w:p>
      <w:pPr>
        <w:pStyle w:val="BodyText"/>
        <w:spacing w:line="218" w:lineRule="auto" w:before="114"/>
        <w:ind w:right="82"/>
      </w:pPr>
      <w:r>
        <w:rPr>
          <w:color w:val="231F20"/>
        </w:rPr>
        <w:t>1° aux actions acquises en vue de leur destruction immédiate, en exécution d’une décision de l’assemblée générale de réduire le capital conformément à l’article 7:208;</w:t>
      </w:r>
    </w:p>
    <w:p>
      <w:pPr>
        <w:pStyle w:val="BodyText"/>
        <w:spacing w:line="218" w:lineRule="auto" w:before="118"/>
        <w:ind w:right="38"/>
      </w:pPr>
      <w:r>
        <w:rPr>
          <w:color w:val="231F20"/>
        </w:rPr>
        <w:t>2° aux actions, parts bénéficiaires ou certificats acquis par la société à la suite d’une transmission de patrimoine à titre universel;</w:t>
      </w:r>
    </w:p>
    <w:p>
      <w:pPr>
        <w:pStyle w:val="BodyText"/>
        <w:spacing w:line="218" w:lineRule="auto" w:before="117"/>
        <w:ind w:right="82"/>
      </w:pPr>
      <w:r>
        <w:rPr>
          <w:color w:val="231F20"/>
        </w:rPr>
        <w:t>3° aux actions entièrement libérées ou non, parts bénéficiaires ou certificats se rapportant à des actions entièrement libérées ou non et parts bénéficiaires acquis lors d’une vente conformément  aux  arti-  cles 1494 et suivants du Code judiciaire en vue de recouvrer une créance de la société sur le propriétaire de ces actions, parts bénéficiai- res ou</w:t>
      </w:r>
      <w:r>
        <w:rPr>
          <w:color w:val="231F20"/>
          <w:spacing w:val="-12"/>
        </w:rPr>
        <w:t> </w:t>
      </w:r>
      <w:r>
        <w:rPr>
          <w:color w:val="231F20"/>
        </w:rPr>
        <w:t>certificats.</w:t>
      </w:r>
    </w:p>
    <w:p>
      <w:pPr>
        <w:pStyle w:val="BodyText"/>
        <w:spacing w:line="216" w:lineRule="auto" w:before="105"/>
        <w:ind w:right="82"/>
        <w:rPr>
          <w:rFonts w:ascii="Times New Roman" w:hAnsi="Times New Roman"/>
          <w:b/>
          <w:i/>
        </w:rPr>
      </w:pPr>
      <w:r>
        <w:rPr>
          <w:color w:val="231F20"/>
        </w:rPr>
        <w:t>Art. 7:217. § 1</w:t>
      </w:r>
      <w:r>
        <w:rPr>
          <w:color w:val="231F20"/>
          <w:position w:val="7"/>
          <w:sz w:val="11"/>
        </w:rPr>
        <w:t>er</w:t>
      </w:r>
      <w:r>
        <w:rPr>
          <w:color w:val="231F20"/>
        </w:rPr>
        <w:t>. Les actions, parts bénéficiaires ou certificats acquis peuvent être annulés ou détenus en portefeuille</w:t>
      </w:r>
      <w:r>
        <w:rPr>
          <w:rFonts w:ascii="Times New Roman" w:hAnsi="Times New Roman"/>
          <w:b/>
          <w:i/>
          <w:color w:val="231F20"/>
        </w:rPr>
        <w:t>.</w:t>
      </w:r>
    </w:p>
    <w:p>
      <w:pPr>
        <w:pStyle w:val="BodyText"/>
        <w:spacing w:line="218" w:lineRule="auto" w:before="117"/>
        <w:ind w:right="82"/>
      </w:pPr>
      <w:r>
        <w:rPr>
          <w:color w:val="231F20"/>
        </w:rPr>
        <w:t>Les droits de vote afférents aux actions ou parts bénéficiaires détenues par la société ou une personne agissant en son nom mais pour le compte de la société, ou dont la société ou une personne agissant en son nom mais pour le compte de la société détient les certificats émis avec sa collaboration, sont suspendus.</w:t>
      </w:r>
    </w:p>
    <w:p>
      <w:pPr>
        <w:pStyle w:val="BodyText"/>
        <w:spacing w:before="9"/>
        <w:ind w:left="0" w:right="0" w:firstLine="0"/>
        <w:jc w:val="left"/>
        <w:rPr>
          <w:sz w:val="25"/>
        </w:rPr>
      </w:pPr>
    </w:p>
    <w:p>
      <w:pPr>
        <w:pStyle w:val="BodyText"/>
        <w:spacing w:line="218" w:lineRule="auto"/>
        <w:ind w:right="82"/>
      </w:pPr>
      <w:r>
        <w:rPr>
          <w:color w:val="231F20"/>
        </w:rPr>
        <w:t>§ 2. Aussi longtemps que les actions, parts bénéficiaires ou certificats sont comptabilisées à l’actif du bilande la société, d’une personne agissant en son nom mais pour le compte de la société, ou par une société filiale contrôlée directement visé à l’article 7:221, la société doit constituer une réserve indisponible, dont le montant est égal à la valeur à laquelle les actions, parts bénéficiaires ou certificats qu’elle a personnellement acquis sont portés à l’inventaire, augmenté de la valeur d’acquisition des actions, parts bénéficiaires ou certificats détenus par la personne ou la filiale mentionnée ci-avant.</w:t>
      </w:r>
    </w:p>
    <w:p>
      <w:pPr>
        <w:pStyle w:val="BodyText"/>
        <w:spacing w:line="218" w:lineRule="auto" w:before="118"/>
        <w:ind w:right="82"/>
      </w:pPr>
      <w:r>
        <w:rPr>
          <w:color w:val="231F20"/>
        </w:rPr>
        <w:t>§ 3. Le droit aux dividendes attachés aux actions, parts bénéficiaires ou certificats détenus par la société ou une personne agissant en son nom mais pour le compte de la société, ou dont la société ou une personne agissant en son nom mais pour le compte de la société détient les certificats émis avec sa collaboration, est frappé de caducité.</w:t>
      </w:r>
    </w:p>
    <w:p>
      <w:pPr>
        <w:pStyle w:val="BodyText"/>
        <w:spacing w:before="11"/>
        <w:ind w:left="0" w:right="0" w:firstLine="0"/>
        <w:jc w:val="left"/>
        <w:rPr>
          <w:sz w:val="24"/>
        </w:rPr>
      </w:pPr>
    </w:p>
    <w:p>
      <w:pPr>
        <w:pStyle w:val="BodyText"/>
        <w:spacing w:line="211" w:lineRule="auto"/>
        <w:ind w:right="82"/>
      </w:pPr>
      <w:r>
        <w:rPr>
          <w:color w:val="231F20"/>
        </w:rPr>
        <w:t>Art. 7:218. § 1</w:t>
      </w:r>
      <w:r>
        <w:rPr>
          <w:color w:val="231F20"/>
          <w:position w:val="7"/>
          <w:sz w:val="11"/>
        </w:rPr>
        <w:t>er</w:t>
      </w:r>
      <w:r>
        <w:rPr>
          <w:color w:val="231F20"/>
        </w:rPr>
        <w:t>. La société ne peut aliéner les actions, parts bénéficiaires ou certificats acquis en vertu de l’article 7:215, § 1</w:t>
      </w:r>
      <w:r>
        <w:rPr>
          <w:color w:val="231F20"/>
          <w:position w:val="7"/>
          <w:sz w:val="11"/>
        </w:rPr>
        <w:t>er</w:t>
      </w:r>
      <w:r>
        <w:rPr>
          <w:color w:val="231F20"/>
        </w:rPr>
        <w:t>, que dans les cas suivants:</w:t>
      </w:r>
    </w:p>
    <w:p>
      <w:pPr>
        <w:pStyle w:val="BodyText"/>
        <w:spacing w:line="218" w:lineRule="auto" w:before="115"/>
        <w:ind w:right="82"/>
      </w:pPr>
      <w:r>
        <w:rPr>
          <w:color w:val="231F20"/>
          <w:spacing w:val="6"/>
        </w:rPr>
        <w:t>1° </w:t>
      </w:r>
      <w:r>
        <w:rPr>
          <w:color w:val="231F20"/>
        </w:rPr>
        <w:t>à la suite d’une </w:t>
      </w:r>
      <w:r>
        <w:rPr>
          <w:color w:val="231F20"/>
          <w:spacing w:val="-4"/>
        </w:rPr>
        <w:t>offre </w:t>
      </w:r>
      <w:r>
        <w:rPr>
          <w:color w:val="231F20"/>
        </w:rPr>
        <w:t>de vente, adressée à tous les actionnaires, et  le</w:t>
      </w:r>
      <w:r>
        <w:rPr>
          <w:color w:val="231F20"/>
          <w:spacing w:val="-3"/>
        </w:rPr>
        <w:t> </w:t>
      </w:r>
      <w:r>
        <w:rPr>
          <w:color w:val="231F20"/>
        </w:rPr>
        <w:t>cas</w:t>
      </w:r>
      <w:r>
        <w:rPr>
          <w:color w:val="231F20"/>
          <w:spacing w:val="-3"/>
        </w:rPr>
        <w:t> </w:t>
      </w:r>
      <w:r>
        <w:rPr>
          <w:color w:val="231F20"/>
        </w:rPr>
        <w:t>échéant</w:t>
      </w:r>
      <w:r>
        <w:rPr>
          <w:color w:val="231F20"/>
          <w:spacing w:val="-3"/>
        </w:rPr>
        <w:t> </w:t>
      </w:r>
      <w:r>
        <w:rPr>
          <w:color w:val="231F20"/>
        </w:rPr>
        <w:t>à</w:t>
      </w:r>
      <w:r>
        <w:rPr>
          <w:color w:val="231F20"/>
          <w:spacing w:val="-3"/>
        </w:rPr>
        <w:t> </w:t>
      </w:r>
      <w:r>
        <w:rPr>
          <w:color w:val="231F20"/>
        </w:rPr>
        <w:t>tous</w:t>
      </w:r>
      <w:r>
        <w:rPr>
          <w:color w:val="231F20"/>
          <w:spacing w:val="-3"/>
        </w:rPr>
        <w:t> </w:t>
      </w:r>
      <w:r>
        <w:rPr>
          <w:color w:val="231F20"/>
        </w:rPr>
        <w:t>les</w:t>
      </w:r>
      <w:r>
        <w:rPr>
          <w:color w:val="231F20"/>
          <w:spacing w:val="-3"/>
        </w:rPr>
        <w:t> </w:t>
      </w:r>
      <w:r>
        <w:rPr>
          <w:color w:val="231F20"/>
        </w:rPr>
        <w:t>titulaires</w:t>
      </w:r>
      <w:r>
        <w:rPr>
          <w:color w:val="231F20"/>
          <w:spacing w:val="-3"/>
        </w:rPr>
        <w:t> </w:t>
      </w:r>
      <w:r>
        <w:rPr>
          <w:color w:val="231F20"/>
        </w:rPr>
        <w:t>de</w:t>
      </w:r>
      <w:r>
        <w:rPr>
          <w:color w:val="231F20"/>
          <w:spacing w:val="-3"/>
        </w:rPr>
        <w:t> </w:t>
      </w:r>
      <w:r>
        <w:rPr>
          <w:color w:val="231F20"/>
        </w:rPr>
        <w:t>parts</w:t>
      </w:r>
      <w:r>
        <w:rPr>
          <w:color w:val="231F20"/>
          <w:spacing w:val="-3"/>
        </w:rPr>
        <w:t> </w:t>
      </w:r>
      <w:r>
        <w:rPr>
          <w:color w:val="231F20"/>
        </w:rPr>
        <w:t>bénéficiaires</w:t>
      </w:r>
      <w:r>
        <w:rPr>
          <w:color w:val="231F20"/>
          <w:spacing w:val="-3"/>
        </w:rPr>
        <w:t> </w:t>
      </w:r>
      <w:r>
        <w:rPr>
          <w:color w:val="231F20"/>
        </w:rPr>
        <w:t>ou</w:t>
      </w:r>
      <w:r>
        <w:rPr>
          <w:color w:val="231F20"/>
          <w:spacing w:val="-3"/>
        </w:rPr>
        <w:t> </w:t>
      </w:r>
      <w:r>
        <w:rPr>
          <w:color w:val="231F20"/>
        </w:rPr>
        <w:t>de</w:t>
      </w:r>
      <w:r>
        <w:rPr>
          <w:color w:val="231F20"/>
          <w:spacing w:val="-3"/>
        </w:rPr>
        <w:t> </w:t>
      </w:r>
      <w:r>
        <w:rPr>
          <w:color w:val="231F20"/>
        </w:rPr>
        <w:t>certificats, aux</w:t>
      </w:r>
      <w:r>
        <w:rPr>
          <w:color w:val="231F20"/>
          <w:spacing w:val="15"/>
        </w:rPr>
        <w:t> </w:t>
      </w:r>
      <w:r>
        <w:rPr>
          <w:color w:val="231F20"/>
        </w:rPr>
        <w:t>mêmes</w:t>
      </w:r>
      <w:r>
        <w:rPr>
          <w:color w:val="231F20"/>
          <w:spacing w:val="15"/>
        </w:rPr>
        <w:t> </w:t>
      </w:r>
      <w:r>
        <w:rPr>
          <w:color w:val="231F20"/>
        </w:rPr>
        <w:t>conditions</w:t>
      </w:r>
      <w:r>
        <w:rPr>
          <w:color w:val="231F20"/>
          <w:spacing w:val="15"/>
        </w:rPr>
        <w:t> </w:t>
      </w:r>
      <w:r>
        <w:rPr>
          <w:color w:val="231F20"/>
        </w:rPr>
        <w:t>par</w:t>
      </w:r>
      <w:r>
        <w:rPr>
          <w:color w:val="231F20"/>
          <w:spacing w:val="15"/>
        </w:rPr>
        <w:t> </w:t>
      </w:r>
      <w:r>
        <w:rPr>
          <w:color w:val="231F20"/>
        </w:rPr>
        <w:t>classe</w:t>
      </w:r>
      <w:r>
        <w:rPr>
          <w:color w:val="231F20"/>
          <w:spacing w:val="15"/>
        </w:rPr>
        <w:t> </w:t>
      </w:r>
      <w:r>
        <w:rPr>
          <w:color w:val="231F20"/>
        </w:rPr>
        <w:t>ou</w:t>
      </w:r>
      <w:r>
        <w:rPr>
          <w:color w:val="231F20"/>
          <w:spacing w:val="15"/>
        </w:rPr>
        <w:t> </w:t>
      </w:r>
      <w:r>
        <w:rPr>
          <w:color w:val="231F20"/>
        </w:rPr>
        <w:t>par</w:t>
      </w:r>
      <w:r>
        <w:rPr>
          <w:color w:val="231F20"/>
          <w:spacing w:val="15"/>
        </w:rPr>
        <w:t> </w:t>
      </w:r>
      <w:r>
        <w:rPr>
          <w:color w:val="231F20"/>
        </w:rPr>
        <w:t>catégorie;</w:t>
      </w:r>
    </w:p>
    <w:p>
      <w:pPr>
        <w:pStyle w:val="BodyText"/>
        <w:spacing w:line="218" w:lineRule="auto" w:before="119"/>
        <w:ind w:right="123"/>
      </w:pPr>
      <w:r>
        <w:rPr/>
        <w:br w:type="column"/>
      </w:r>
      <w:r>
        <w:rPr>
          <w:color w:val="231F20"/>
        </w:rPr>
        <w:t>§ 2. De genoteerde vennootschappen en vennootschappen waarvan de aandelen, winstbewijzen of certificaten die betrekking hebben op deze aandelen zijn toegelaten tot de verhandeling op een MTF zoals bedoeld in artikel 3, 10°, van de wet van 21 november 2017 over de infrastructuren voor de markten voor financiële instrumenten en houdende omzetting van richtlijn 2014/65/EU, voor zover deze werkt met minstens één dagelijkse verhandeling en met een centraal order- boek, moeten de Autoriteit voor Financiële Diensten en Markten kennis geven  van  de  verrichtingen  die  zij  met  toepassing   van   para-   graaf 1</w:t>
      </w:r>
      <w:r>
        <w:rPr>
          <w:color w:val="231F20"/>
          <w:spacing w:val="-10"/>
        </w:rPr>
        <w:t> </w:t>
      </w:r>
      <w:r>
        <w:rPr>
          <w:color w:val="231F20"/>
        </w:rPr>
        <w:t>overwegen.</w:t>
      </w:r>
    </w:p>
    <w:p>
      <w:pPr>
        <w:pStyle w:val="BodyText"/>
        <w:spacing w:line="218" w:lineRule="auto" w:before="108"/>
      </w:pPr>
      <w:r>
        <w:rPr>
          <w:color w:val="231F20"/>
        </w:rPr>
        <w:t>De Autoriteit voor Financiële Diensten en Markten gaat na of de verrichtingen tot wederinkoop in overeenstemming zijn met het besluit van de algemene vergadering of, in voorkomend geval, van het bestuursorgaan; indien zij van oordeel is dat deze verrichtingen daarmee niet in overeenstemming zijn, maakt zij haar advies openbaar.</w:t>
      </w:r>
    </w:p>
    <w:p>
      <w:pPr>
        <w:pStyle w:val="BodyText"/>
        <w:spacing w:line="218" w:lineRule="auto" w:before="107"/>
      </w:pPr>
      <w:r>
        <w:rPr>
          <w:color w:val="231F20"/>
        </w:rPr>
        <w:t>De Koning bepaalt de nadere regels voor de in deze paragraaf voorgeschreven procedure, en de verplichtingen van de in deze paragraaf bedoelde vennootschappen op het gebied van informatiever- strekking aan het publiek betreffende verrichtingen tot inkoop.</w:t>
      </w:r>
    </w:p>
    <w:p>
      <w:pPr>
        <w:pStyle w:val="BodyText"/>
        <w:spacing w:line="218" w:lineRule="auto" w:before="107"/>
      </w:pPr>
      <w:r>
        <w:rPr>
          <w:color w:val="231F20"/>
        </w:rPr>
        <w:t>De Koning bepaalt de regels voor het toezicht door de Autoriteit voor Financiële Diensten en Markten op de naleving van de met toepassing van het derde lid vastgestelde verplichtingen met betrekking tot de informatieverstrekking aan het publiek, en inzonderheid de voorwaar- den waaronder de Autoriteit voor Financiële Diensten en Markten, in geval van tekortkoming van de in deze paragraaf bedoelde vennoot- schappen:</w:t>
      </w:r>
    </w:p>
    <w:p>
      <w:pPr>
        <w:pStyle w:val="BodyText"/>
        <w:spacing w:line="218" w:lineRule="auto" w:before="107"/>
      </w:pPr>
      <w:r>
        <w:rPr>
          <w:color w:val="231F20"/>
        </w:rPr>
        <w:t>1° zelf, op kosten van de betrokken vennootschap, kan overgaan tot de publicatie van bepaalde</w:t>
      </w:r>
      <w:r>
        <w:rPr>
          <w:color w:val="231F20"/>
          <w:spacing w:val="20"/>
        </w:rPr>
        <w:t> </w:t>
      </w:r>
      <w:r>
        <w:rPr>
          <w:color w:val="231F20"/>
        </w:rPr>
        <w:t>informatie;</w:t>
      </w:r>
    </w:p>
    <w:p>
      <w:pPr>
        <w:pStyle w:val="BodyText"/>
        <w:spacing w:line="218" w:lineRule="auto" w:before="107"/>
      </w:pPr>
      <w:r>
        <w:rPr>
          <w:color w:val="231F20"/>
        </w:rPr>
        <w:t>2° zelf openbaar kan maken dat de betrokken vennootschap haar verplichtingen niet nakomt.</w:t>
      </w:r>
    </w:p>
    <w:p>
      <w:pPr>
        <w:pStyle w:val="BodyText"/>
        <w:spacing w:line="218" w:lineRule="auto" w:before="117"/>
      </w:pPr>
      <w:r>
        <w:rPr>
          <w:color w:val="231F20"/>
        </w:rPr>
        <w:t>§ 3. De Koning bepaalt de nadere regels om de gelijke behandeling te verzekeren door middel van gelijkwaardigheid van de geboden prijs zoals bedoeld in paragraaf 1, eerste lid, 4°.</w:t>
      </w:r>
    </w:p>
    <w:p>
      <w:pPr>
        <w:pStyle w:val="BodyText"/>
        <w:spacing w:before="104"/>
        <w:ind w:left="283" w:right="0" w:firstLine="0"/>
        <w:jc w:val="left"/>
      </w:pPr>
      <w:r>
        <w:rPr>
          <w:color w:val="231F20"/>
        </w:rPr>
        <w:t>Art. 7:216. Artikel 7:215 is niet van toepassing:</w:t>
      </w:r>
    </w:p>
    <w:p>
      <w:pPr>
        <w:pStyle w:val="BodyText"/>
        <w:spacing w:line="218" w:lineRule="auto" w:before="114"/>
      </w:pPr>
      <w:r>
        <w:rPr>
          <w:color w:val="231F20"/>
        </w:rPr>
        <w:t>1° op aandelen verkregen met het oog op hun onmiddellijke vernietiging ter uitvoering van een besluit van de algemene vergade- ring tot kapitaalvermindering overeenkomstig artikel 7:208;</w:t>
      </w:r>
    </w:p>
    <w:p>
      <w:pPr>
        <w:pStyle w:val="BodyText"/>
        <w:spacing w:line="218" w:lineRule="auto" w:before="117"/>
      </w:pPr>
      <w:r>
        <w:rPr>
          <w:color w:val="231F20"/>
        </w:rPr>
        <w:t>2° op aandelen, winstbewijzen of certificaten die op de vennootschap overgaan ingevolge een vermogensovergang onder algemene titel;</w:t>
      </w:r>
    </w:p>
    <w:p>
      <w:pPr>
        <w:pStyle w:val="BodyText"/>
        <w:spacing w:line="218" w:lineRule="auto" w:before="118"/>
      </w:pPr>
      <w:r>
        <w:rPr>
          <w:color w:val="231F20"/>
        </w:rPr>
        <w:t>3° op al dan niet volgestorte aandelen, winstbewijzen of certificaten die betrekking hebben op al dan niet volgestorte aandelen en winstbe- wijzen,  verkregen  bij  een  verkoop  die  overeenkomstig  de  artike-  len 1494 en volgende van het Gerechtelijk </w:t>
      </w:r>
      <w:r>
        <w:rPr>
          <w:color w:val="231F20"/>
          <w:spacing w:val="-3"/>
        </w:rPr>
        <w:t>Wetboek </w:t>
      </w:r>
      <w:r>
        <w:rPr>
          <w:color w:val="231F20"/>
        </w:rPr>
        <w:t>plaatsvindt ter voldoening van een schuld van de eigenaar van die aandelen, winstbewijzen</w:t>
      </w:r>
      <w:r>
        <w:rPr>
          <w:color w:val="231F20"/>
          <w:spacing w:val="15"/>
        </w:rPr>
        <w:t> </w:t>
      </w:r>
      <w:r>
        <w:rPr>
          <w:color w:val="231F20"/>
        </w:rPr>
        <w:t>of</w:t>
      </w:r>
      <w:r>
        <w:rPr>
          <w:color w:val="231F20"/>
          <w:spacing w:val="16"/>
        </w:rPr>
        <w:t> </w:t>
      </w:r>
      <w:r>
        <w:rPr>
          <w:color w:val="231F20"/>
        </w:rPr>
        <w:t>certificaten</w:t>
      </w:r>
      <w:r>
        <w:rPr>
          <w:color w:val="231F20"/>
          <w:spacing w:val="16"/>
        </w:rPr>
        <w:t> </w:t>
      </w:r>
      <w:r>
        <w:rPr>
          <w:color w:val="231F20"/>
        </w:rPr>
        <w:t>aan</w:t>
      </w:r>
      <w:r>
        <w:rPr>
          <w:color w:val="231F20"/>
          <w:spacing w:val="15"/>
        </w:rPr>
        <w:t> </w:t>
      </w:r>
      <w:r>
        <w:rPr>
          <w:color w:val="231F20"/>
        </w:rPr>
        <w:t>de</w:t>
      </w:r>
      <w:r>
        <w:rPr>
          <w:color w:val="231F20"/>
          <w:spacing w:val="16"/>
        </w:rPr>
        <w:t> </w:t>
      </w:r>
      <w:r>
        <w:rPr>
          <w:color w:val="231F20"/>
        </w:rPr>
        <w:t>vennootschap.</w:t>
      </w:r>
    </w:p>
    <w:p>
      <w:pPr>
        <w:pStyle w:val="BodyText"/>
        <w:spacing w:line="218" w:lineRule="auto" w:before="118"/>
      </w:pPr>
      <w:r>
        <w:rPr>
          <w:color w:val="231F20"/>
        </w:rPr>
        <w:t>Art. 7:217. § 1. De verkregen aandelen, winstbewijzen of certificaten kunnen worden vernietigd of in portefeuille worden gehouden.</w:t>
      </w:r>
    </w:p>
    <w:p>
      <w:pPr>
        <w:pStyle w:val="BodyText"/>
        <w:spacing w:line="218" w:lineRule="auto" w:before="117"/>
      </w:pPr>
      <w:r>
        <w:rPr>
          <w:color w:val="231F20"/>
        </w:rPr>
        <w:t>De stemrechten verbonden aan de aandelen of winstbewijzen die de vennootschap of een persoon die handelt in eigen naam maar</w:t>
      </w:r>
      <w:r>
        <w:rPr>
          <w:color w:val="231F20"/>
          <w:spacing w:val="28"/>
        </w:rPr>
        <w:t> </w:t>
      </w:r>
      <w:r>
        <w:rPr>
          <w:color w:val="231F20"/>
        </w:rPr>
        <w:t>voor rekening van de vennootschap bezit, of waarvan de vennootschap of een persoon die handelt in eigen naam maar voor rekening van</w:t>
      </w:r>
      <w:r>
        <w:rPr>
          <w:color w:val="231F20"/>
          <w:spacing w:val="16"/>
        </w:rPr>
        <w:t> </w:t>
      </w:r>
      <w:r>
        <w:rPr>
          <w:color w:val="231F20"/>
        </w:rPr>
        <w:t>de vennootschap de certificaten bezit die met haar medewerking werden uitgegeven, worden</w:t>
      </w:r>
      <w:r>
        <w:rPr>
          <w:color w:val="231F20"/>
          <w:spacing w:val="-10"/>
        </w:rPr>
        <w:t> </w:t>
      </w:r>
      <w:r>
        <w:rPr>
          <w:color w:val="231F20"/>
        </w:rPr>
        <w:t>geschorst.</w:t>
      </w:r>
    </w:p>
    <w:p>
      <w:pPr>
        <w:pStyle w:val="BodyText"/>
        <w:spacing w:line="218" w:lineRule="auto" w:before="118"/>
        <w:ind w:right="123"/>
      </w:pPr>
      <w:r>
        <w:rPr>
          <w:color w:val="231F20"/>
        </w:rPr>
        <w:t>§ 2. Zolang de aandelen, winstbewijzen of certificaten opgenomen zijn in de activa van de balans van de vennootschap, van een persoon die handelt in eigen naam maar voor rekening van de vennootschap of van een rechtstreeks gecontroleerde dochtervennootschap als bedoeld in artikel 7:221 moet de vennootschap een onbeschikbare reserve aanleggen, gelijk aan de waarde waarvoor de aandelen en winstbewij- zen die zij zelf verkreeg in haar inventaris zijn ingeschreven, verhoogd met de aanschaffingswaarde van de aandelen en winstbewijzen in bezit van bovenvermelde persoon of</w:t>
      </w:r>
      <w:r>
        <w:rPr>
          <w:color w:val="231F20"/>
          <w:spacing w:val="27"/>
        </w:rPr>
        <w:t> </w:t>
      </w:r>
      <w:r>
        <w:rPr>
          <w:color w:val="231F20"/>
        </w:rPr>
        <w:t>dochtervennootschap.</w:t>
      </w:r>
    </w:p>
    <w:p>
      <w:pPr>
        <w:pStyle w:val="BodyText"/>
        <w:spacing w:line="218" w:lineRule="auto" w:before="118"/>
      </w:pPr>
      <w:r>
        <w:rPr>
          <w:color w:val="231F20"/>
        </w:rPr>
        <w:t>§ 3. De dividendrechten verbonden aan de aandelen, winstbewijzen of certificaten die de vennootschap of een persoon die handelt in eigen naam maar voor rekening van de vennootschap bezit, of waarvan de vennootschap of een persoon die handelt in eigen naam maar</w:t>
      </w:r>
      <w:r>
        <w:rPr>
          <w:color w:val="231F20"/>
          <w:spacing w:val="28"/>
        </w:rPr>
        <w:t> </w:t>
      </w:r>
      <w:r>
        <w:rPr>
          <w:color w:val="231F20"/>
        </w:rPr>
        <w:t>voor rekening van de vennootschap de certificaten bezit die met haar medewerking</w:t>
      </w:r>
      <w:r>
        <w:rPr>
          <w:color w:val="231F20"/>
          <w:spacing w:val="18"/>
        </w:rPr>
        <w:t> </w:t>
      </w:r>
      <w:r>
        <w:rPr>
          <w:color w:val="231F20"/>
        </w:rPr>
        <w:t>werden</w:t>
      </w:r>
      <w:r>
        <w:rPr>
          <w:color w:val="231F20"/>
          <w:spacing w:val="18"/>
        </w:rPr>
        <w:t> </w:t>
      </w:r>
      <w:r>
        <w:rPr>
          <w:color w:val="231F20"/>
        </w:rPr>
        <w:t>uitgegeven</w:t>
      </w:r>
      <w:r>
        <w:rPr>
          <w:color w:val="231F20"/>
          <w:spacing w:val="19"/>
        </w:rPr>
        <w:t> </w:t>
      </w:r>
      <w:r>
        <w:rPr>
          <w:color w:val="231F20"/>
        </w:rPr>
        <w:t>komen</w:t>
      </w:r>
      <w:r>
        <w:rPr>
          <w:color w:val="231F20"/>
          <w:spacing w:val="18"/>
        </w:rPr>
        <w:t> </w:t>
      </w:r>
      <w:r>
        <w:rPr>
          <w:color w:val="231F20"/>
        </w:rPr>
        <w:t>te</w:t>
      </w:r>
      <w:r>
        <w:rPr>
          <w:color w:val="231F20"/>
          <w:spacing w:val="19"/>
        </w:rPr>
        <w:t> </w:t>
      </w:r>
      <w:r>
        <w:rPr>
          <w:color w:val="231F20"/>
        </w:rPr>
        <w:t>vervallen.</w:t>
      </w:r>
    </w:p>
    <w:p>
      <w:pPr>
        <w:pStyle w:val="BodyText"/>
        <w:spacing w:line="218" w:lineRule="auto" w:before="118"/>
      </w:pPr>
      <w:r>
        <w:rPr>
          <w:color w:val="231F20"/>
        </w:rPr>
        <w:t>Art. 7:218. § 1. De vennootschap kan de krachtens artikel 7:215, § 1, verkregen aandelen, winstbewijzen of certificaten slechts vervreemden:</w:t>
      </w:r>
    </w:p>
    <w:p>
      <w:pPr>
        <w:pStyle w:val="BodyText"/>
        <w:spacing w:before="9"/>
        <w:ind w:left="0" w:right="0" w:firstLine="0"/>
        <w:jc w:val="left"/>
        <w:rPr>
          <w:sz w:val="25"/>
        </w:rPr>
      </w:pPr>
    </w:p>
    <w:p>
      <w:pPr>
        <w:pStyle w:val="BodyText"/>
        <w:spacing w:line="218" w:lineRule="auto"/>
      </w:pPr>
      <w:r>
        <w:rPr>
          <w:color w:val="231F20"/>
        </w:rPr>
        <w:t>1° als gevolg van een aanbod tot verkoop, gericht aan alle aandeel- houders, en in voorkomend geval, houders van winstbewijzen of certificaathouders, tegen dezelfde voorwaarden per soort of per categorie;</w:t>
      </w:r>
    </w:p>
    <w:p>
      <w:pPr>
        <w:spacing w:after="0" w:line="218" w:lineRule="auto"/>
        <w:sectPr>
          <w:pgSz w:w="11940" w:h="16880"/>
          <w:pgMar w:header="666" w:footer="0" w:top="1140" w:bottom="280" w:left="340" w:right="360"/>
          <w:cols w:num="2" w:equalWidth="0">
            <w:col w:w="5571" w:space="56"/>
            <w:col w:w="5613"/>
          </w:cols>
        </w:sectPr>
      </w:pPr>
    </w:p>
    <w:p>
      <w:pPr>
        <w:pStyle w:val="BodyText"/>
        <w:spacing w:line="218" w:lineRule="auto" w:before="119"/>
        <w:ind w:right="38"/>
      </w:pPr>
      <w:r>
        <w:rPr/>
        <w:pict>
          <v:line style="position:absolute;mso-position-horizontal-relative:page;mso-position-vertical-relative:page;z-index:5968" from="298.170502pt,64.473pt" to="298.170502pt,812.819pt" stroked="true" strokeweight=".533pt" strokecolor="#231f20">
            <v:stroke dashstyle="solid"/>
            <w10:wrap type="none"/>
          </v:line>
        </w:pict>
      </w:r>
      <w:bookmarkStart w:name="_bookmark206" w:id="212"/>
      <w:bookmarkEnd w:id="212"/>
      <w:r>
        <w:rPr/>
      </w:r>
      <w:r>
        <w:rPr>
          <w:color w:val="231F20"/>
        </w:rPr>
        <w:t>2° s’agissant d’actions, parts bénéficiaires ou certificats cotés sur un marché réglementé ou sur une MTF visée à l’article 3, 10°, de la loi du 21 novembre 2017 relative aux infrastructures des marchés d’instru- ments financiers et portant transposition de la directive 2014/65/UE, sur ce marché réglementé ou cette MTF dans la mesure où</w:t>
      </w:r>
      <w:r>
        <w:rPr>
          <w:color w:val="231F20"/>
          <w:spacing w:val="14"/>
        </w:rPr>
        <w:t> </w:t>
      </w:r>
      <w:r>
        <w:rPr>
          <w:color w:val="231F20"/>
        </w:rPr>
        <w:t>celle-ci fonctionne sur la base d’une négociation quotidienne au minimum et d’un carnet d’ordres central; de même, ces sociétés, peuvent vendre leurs propres actions, parts bénéficiaires ou certificats en dehors de ce marché réglementé ou cette MTF à condition qu’elles garantissent l’égalité de traitement des actionnaires, titulaires de parts bénéficiaires ou titulaires de certificats qui se trouvent dans les mêmes conditions, moyennant l’équivalence du prix</w:t>
      </w:r>
      <w:r>
        <w:rPr>
          <w:color w:val="231F20"/>
          <w:spacing w:val="23"/>
        </w:rPr>
        <w:t> </w:t>
      </w:r>
      <w:r>
        <w:rPr>
          <w:color w:val="231F20"/>
        </w:rPr>
        <w:t>demandé;</w:t>
      </w:r>
    </w:p>
    <w:p>
      <w:pPr>
        <w:pStyle w:val="BodyText"/>
        <w:spacing w:line="211" w:lineRule="auto" w:before="102"/>
        <w:ind w:right="38"/>
      </w:pPr>
      <w:r>
        <w:rPr>
          <w:color w:val="231F20"/>
        </w:rPr>
        <w:t>3° aux fins d’éviter un dommage grave et imminent pour la société, en vertu d’une autorisation statutaire approuvée aux conditions visées  à</w:t>
      </w:r>
      <w:r>
        <w:rPr>
          <w:color w:val="231F20"/>
          <w:spacing w:val="14"/>
        </w:rPr>
        <w:t> </w:t>
      </w:r>
      <w:r>
        <w:rPr>
          <w:color w:val="231F20"/>
        </w:rPr>
        <w:t>l’article</w:t>
      </w:r>
      <w:r>
        <w:rPr>
          <w:color w:val="231F20"/>
          <w:spacing w:val="15"/>
        </w:rPr>
        <w:t> </w:t>
      </w:r>
      <w:r>
        <w:rPr>
          <w:color w:val="231F20"/>
        </w:rPr>
        <w:t>7:215,</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rPr>
        <w:t>alinéa</w:t>
      </w:r>
      <w:r>
        <w:rPr>
          <w:color w:val="231F20"/>
          <w:spacing w:val="15"/>
        </w:rPr>
        <w:t> </w:t>
      </w:r>
      <w:r>
        <w:rPr>
          <w:color w:val="231F20"/>
        </w:rPr>
        <w:t>5;</w:t>
      </w:r>
    </w:p>
    <w:p>
      <w:pPr>
        <w:pStyle w:val="BodyText"/>
        <w:spacing w:line="218" w:lineRule="auto" w:before="94"/>
        <w:ind w:right="38"/>
      </w:pPr>
      <w:r>
        <w:rPr>
          <w:color w:val="231F20"/>
        </w:rPr>
        <w:t>4° en vertu d’une autorisation statutaire explicite, à une ou plusieurs personnes déterminées autres que le personnel; dans ce cas, les administrateurs</w:t>
      </w:r>
      <w:r>
        <w:rPr>
          <w:color w:val="231F20"/>
          <w:spacing w:val="-7"/>
        </w:rPr>
        <w:t> </w:t>
      </w:r>
      <w:r>
        <w:rPr>
          <w:color w:val="231F20"/>
        </w:rPr>
        <w:t>qui</w:t>
      </w:r>
      <w:r>
        <w:rPr>
          <w:color w:val="231F20"/>
          <w:spacing w:val="-6"/>
        </w:rPr>
        <w:t> </w:t>
      </w:r>
      <w:r>
        <w:rPr>
          <w:color w:val="231F20"/>
        </w:rPr>
        <w:t>représentent</w:t>
      </w:r>
      <w:r>
        <w:rPr>
          <w:color w:val="231F20"/>
          <w:spacing w:val="-7"/>
        </w:rPr>
        <w:t> </w:t>
      </w:r>
      <w:r>
        <w:rPr>
          <w:color w:val="231F20"/>
        </w:rPr>
        <w:t>en</w:t>
      </w:r>
      <w:r>
        <w:rPr>
          <w:color w:val="231F20"/>
          <w:spacing w:val="-6"/>
        </w:rPr>
        <w:t> </w:t>
      </w:r>
      <w:r>
        <w:rPr>
          <w:color w:val="231F20"/>
        </w:rPr>
        <w:t>fait</w:t>
      </w:r>
      <w:r>
        <w:rPr>
          <w:color w:val="231F20"/>
          <w:spacing w:val="-6"/>
        </w:rPr>
        <w:t> </w:t>
      </w:r>
      <w:r>
        <w:rPr>
          <w:color w:val="231F20"/>
        </w:rPr>
        <w:t>cette</w:t>
      </w:r>
      <w:r>
        <w:rPr>
          <w:color w:val="231F20"/>
          <w:spacing w:val="-7"/>
        </w:rPr>
        <w:t> </w:t>
      </w:r>
      <w:r>
        <w:rPr>
          <w:color w:val="231F20"/>
        </w:rPr>
        <w:t>personne</w:t>
      </w:r>
      <w:r>
        <w:rPr>
          <w:color w:val="231F20"/>
          <w:spacing w:val="-6"/>
        </w:rPr>
        <w:t> </w:t>
      </w:r>
      <w:r>
        <w:rPr>
          <w:color w:val="231F20"/>
        </w:rPr>
        <w:t>ou</w:t>
      </w:r>
      <w:r>
        <w:rPr>
          <w:color w:val="231F20"/>
          <w:spacing w:val="-6"/>
        </w:rPr>
        <w:t> </w:t>
      </w:r>
      <w:r>
        <w:rPr>
          <w:color w:val="231F20"/>
        </w:rPr>
        <w:t>les</w:t>
      </w:r>
      <w:r>
        <w:rPr>
          <w:color w:val="231F20"/>
          <w:spacing w:val="-7"/>
        </w:rPr>
        <w:t> </w:t>
      </w:r>
      <w:r>
        <w:rPr>
          <w:color w:val="231F20"/>
        </w:rPr>
        <w:t>personnes qui lui sont liées ne peuvent participer au vote dans l’organe d’administration;</w:t>
      </w:r>
    </w:p>
    <w:p>
      <w:pPr>
        <w:pStyle w:val="BodyText"/>
        <w:spacing w:before="67"/>
        <w:ind w:left="283" w:right="0" w:firstLine="0"/>
        <w:jc w:val="left"/>
      </w:pPr>
      <w:r>
        <w:rPr>
          <w:color w:val="231F20"/>
        </w:rPr>
        <w:t>5° sans préjudice de l’article 7:215, § 1</w:t>
      </w:r>
      <w:r>
        <w:rPr>
          <w:color w:val="231F20"/>
          <w:position w:val="7"/>
          <w:sz w:val="11"/>
        </w:rPr>
        <w:t>er</w:t>
      </w:r>
      <w:r>
        <w:rPr>
          <w:color w:val="231F20"/>
        </w:rPr>
        <w:t>, alinéa 3, au personnel;</w:t>
      </w:r>
    </w:p>
    <w:p>
      <w:pPr>
        <w:pStyle w:val="BodyText"/>
        <w:spacing w:line="218" w:lineRule="auto" w:before="93"/>
        <w:ind w:right="38"/>
      </w:pPr>
      <w:r>
        <w:rPr>
          <w:color w:val="231F20"/>
        </w:rPr>
        <w:t>6° l’aliénation porte sur des actions, parts bénéficiaires ou certificats acquis en vertu de l’article 7:216, 2° et 3°, qui doivent être aliénés dans un délai de douze mois à compter de leur acquisition, dans la mesure où la société ne dispose pas de réserves disponibles </w:t>
      </w:r>
      <w:r>
        <w:rPr>
          <w:color w:val="231F20"/>
          <w:spacing w:val="-3"/>
        </w:rPr>
        <w:t>suffisantes </w:t>
      </w:r>
      <w:r>
        <w:rPr>
          <w:color w:val="231F20"/>
        </w:rPr>
        <w:t>pour constituer la réserve indisponible visée à l’article 7:217, § 3, à l’expiration</w:t>
      </w:r>
      <w:r>
        <w:rPr>
          <w:color w:val="231F20"/>
          <w:spacing w:val="15"/>
        </w:rPr>
        <w:t> </w:t>
      </w:r>
      <w:r>
        <w:rPr>
          <w:color w:val="231F20"/>
        </w:rPr>
        <w:t>de</w:t>
      </w:r>
      <w:r>
        <w:rPr>
          <w:color w:val="231F20"/>
          <w:spacing w:val="16"/>
        </w:rPr>
        <w:t> </w:t>
      </w:r>
      <w:r>
        <w:rPr>
          <w:color w:val="231F20"/>
        </w:rPr>
        <w:t>ce</w:t>
      </w:r>
      <w:r>
        <w:rPr>
          <w:color w:val="231F20"/>
          <w:spacing w:val="16"/>
        </w:rPr>
        <w:t> </w:t>
      </w:r>
      <w:r>
        <w:rPr>
          <w:color w:val="231F20"/>
        </w:rPr>
        <w:t>délai</w:t>
      </w:r>
      <w:r>
        <w:rPr>
          <w:color w:val="231F20"/>
          <w:spacing w:val="16"/>
        </w:rPr>
        <w:t> </w:t>
      </w:r>
      <w:r>
        <w:rPr>
          <w:color w:val="231F20"/>
        </w:rPr>
        <w:t>de</w:t>
      </w:r>
      <w:r>
        <w:rPr>
          <w:color w:val="231F20"/>
          <w:spacing w:val="16"/>
        </w:rPr>
        <w:t> </w:t>
      </w:r>
      <w:r>
        <w:rPr>
          <w:color w:val="231F20"/>
        </w:rPr>
        <w:t>douze</w:t>
      </w:r>
      <w:r>
        <w:rPr>
          <w:color w:val="231F20"/>
          <w:spacing w:val="16"/>
        </w:rPr>
        <w:t> </w:t>
      </w:r>
      <w:r>
        <w:rPr>
          <w:color w:val="231F20"/>
        </w:rPr>
        <w:t>mois.</w:t>
      </w:r>
    </w:p>
    <w:p>
      <w:pPr>
        <w:pStyle w:val="BodyText"/>
        <w:spacing w:before="3"/>
        <w:ind w:left="0" w:right="0" w:firstLine="0"/>
        <w:jc w:val="left"/>
        <w:rPr>
          <w:sz w:val="24"/>
        </w:rPr>
      </w:pPr>
    </w:p>
    <w:p>
      <w:pPr>
        <w:pStyle w:val="BodyText"/>
        <w:spacing w:line="213" w:lineRule="auto"/>
        <w:ind w:right="38"/>
      </w:pPr>
      <w:r>
        <w:rPr>
          <w:color w:val="231F20"/>
        </w:rPr>
        <w:t>Le Roi détermine les obligations incombant aux sociétés visées au paragraphe 1</w:t>
      </w:r>
      <w:r>
        <w:rPr>
          <w:color w:val="231F20"/>
          <w:position w:val="7"/>
          <w:sz w:val="11"/>
        </w:rPr>
        <w:t>er </w:t>
      </w:r>
      <w:r>
        <w:rPr>
          <w:color w:val="231F20"/>
        </w:rPr>
        <w:t>en matière d’information du public relative aux opérations de rachat. L’article 7:215, § 2, alinéa 4, s’applique par analogie.</w:t>
      </w:r>
    </w:p>
    <w:p>
      <w:pPr>
        <w:pStyle w:val="BodyText"/>
        <w:spacing w:line="211" w:lineRule="auto" w:before="98"/>
        <w:ind w:right="38"/>
      </w:pPr>
      <w:r>
        <w:rPr>
          <w:color w:val="231F20"/>
        </w:rPr>
        <w:t>§ 2. Le Roi détermine les modalités visant à garantir l’égalité de traitement moyennant l’équivalence du prix offert, telle que visée au paragraphe 1</w:t>
      </w:r>
      <w:r>
        <w:rPr>
          <w:color w:val="231F20"/>
          <w:position w:val="7"/>
          <w:sz w:val="11"/>
        </w:rPr>
        <w:t>er</w:t>
      </w:r>
      <w:r>
        <w:rPr>
          <w:color w:val="231F20"/>
        </w:rPr>
        <w:t>, 2°.</w:t>
      </w:r>
    </w:p>
    <w:p>
      <w:pPr>
        <w:pStyle w:val="BodyText"/>
        <w:spacing w:line="213" w:lineRule="auto" w:before="93"/>
        <w:ind w:right="38"/>
      </w:pPr>
      <w:r>
        <w:rPr>
          <w:color w:val="231F20"/>
        </w:rPr>
        <w:t>Art.</w:t>
      </w:r>
      <w:r>
        <w:rPr>
          <w:color w:val="231F20"/>
          <w:spacing w:val="-7"/>
        </w:rPr>
        <w:t> </w:t>
      </w:r>
      <w:r>
        <w:rPr>
          <w:color w:val="231F20"/>
        </w:rPr>
        <w:t>7:219.</w:t>
      </w:r>
      <w:r>
        <w:rPr>
          <w:color w:val="231F20"/>
          <w:spacing w:val="-6"/>
        </w:rPr>
        <w:t> </w:t>
      </w:r>
      <w:r>
        <w:rPr>
          <w:color w:val="231F20"/>
        </w:rPr>
        <w:t>§</w:t>
      </w:r>
      <w:r>
        <w:rPr>
          <w:color w:val="231F20"/>
          <w:spacing w:val="-6"/>
        </w:rPr>
        <w:t> </w:t>
      </w:r>
      <w:r>
        <w:rPr>
          <w:color w:val="231F20"/>
        </w:rPr>
        <w:t>1</w:t>
      </w:r>
      <w:r>
        <w:rPr>
          <w:color w:val="231F20"/>
          <w:position w:val="7"/>
          <w:sz w:val="11"/>
        </w:rPr>
        <w:t>er</w:t>
      </w:r>
      <w:r>
        <w:rPr>
          <w:color w:val="231F20"/>
        </w:rPr>
        <w:t>.</w:t>
      </w:r>
      <w:r>
        <w:rPr>
          <w:color w:val="231F20"/>
          <w:spacing w:val="-6"/>
        </w:rPr>
        <w:t> </w:t>
      </w:r>
      <w:r>
        <w:rPr>
          <w:color w:val="231F20"/>
        </w:rPr>
        <w:t>Les</w:t>
      </w:r>
      <w:r>
        <w:rPr>
          <w:color w:val="231F20"/>
          <w:spacing w:val="-6"/>
        </w:rPr>
        <w:t> </w:t>
      </w:r>
      <w:r>
        <w:rPr>
          <w:color w:val="231F20"/>
        </w:rPr>
        <w:t>actions,</w:t>
      </w:r>
      <w:r>
        <w:rPr>
          <w:color w:val="231F20"/>
          <w:spacing w:val="-6"/>
        </w:rPr>
        <w:t> </w:t>
      </w:r>
      <w:r>
        <w:rPr>
          <w:color w:val="231F20"/>
        </w:rPr>
        <w:t>parts</w:t>
      </w:r>
      <w:r>
        <w:rPr>
          <w:color w:val="231F20"/>
          <w:spacing w:val="-6"/>
        </w:rPr>
        <w:t> </w:t>
      </w:r>
      <w:r>
        <w:rPr>
          <w:color w:val="231F20"/>
        </w:rPr>
        <w:t>bénéficiaires</w:t>
      </w:r>
      <w:r>
        <w:rPr>
          <w:color w:val="231F20"/>
          <w:spacing w:val="-6"/>
        </w:rPr>
        <w:t> </w:t>
      </w:r>
      <w:r>
        <w:rPr>
          <w:color w:val="231F20"/>
        </w:rPr>
        <w:t>ou</w:t>
      </w:r>
      <w:r>
        <w:rPr>
          <w:color w:val="231F20"/>
          <w:spacing w:val="-7"/>
        </w:rPr>
        <w:t> </w:t>
      </w:r>
      <w:r>
        <w:rPr>
          <w:color w:val="231F20"/>
        </w:rPr>
        <w:t>certificats</w:t>
      </w:r>
      <w:r>
        <w:rPr>
          <w:color w:val="231F20"/>
          <w:spacing w:val="-6"/>
        </w:rPr>
        <w:t> </w:t>
      </w:r>
      <w:r>
        <w:rPr>
          <w:color w:val="231F20"/>
        </w:rPr>
        <w:t>acquis</w:t>
      </w:r>
      <w:r>
        <w:rPr>
          <w:color w:val="231F20"/>
          <w:spacing w:val="-6"/>
        </w:rPr>
        <w:t> </w:t>
      </w:r>
      <w:r>
        <w:rPr>
          <w:color w:val="231F20"/>
        </w:rPr>
        <w:t>en violation de l’article 7:215, § 1</w:t>
      </w:r>
      <w:r>
        <w:rPr>
          <w:color w:val="231F20"/>
          <w:position w:val="7"/>
          <w:sz w:val="11"/>
        </w:rPr>
        <w:t>er</w:t>
      </w:r>
      <w:r>
        <w:rPr>
          <w:color w:val="231F20"/>
        </w:rPr>
        <w:t>, ainsi que ceux qui n’ont pas été aliénés dans les délais prescrits par l’article 7:218, 5° et 6°, sont nuls de plein droit.</w:t>
      </w:r>
    </w:p>
    <w:p>
      <w:pPr>
        <w:pStyle w:val="BodyText"/>
        <w:spacing w:line="218" w:lineRule="auto" w:before="104"/>
        <w:ind w:right="38"/>
      </w:pPr>
      <w:r>
        <w:rPr>
          <w:color w:val="231F20"/>
        </w:rPr>
        <w:t>Lorsqu’un certificat est nul de plein droit, l’action ou la part bénéficiaire sous-jacente dont la société acquiert de ce fait la propriété est simultanément frappée de nullité de plein droit.</w:t>
      </w:r>
    </w:p>
    <w:p>
      <w:pPr>
        <w:pStyle w:val="BodyText"/>
        <w:spacing w:line="218" w:lineRule="auto" w:before="107"/>
        <w:ind w:right="38"/>
      </w:pPr>
      <w:r>
        <w:rPr>
          <w:color w:val="231F20"/>
        </w:rPr>
        <w:t>L’organe d’administration détruit les titres nuls précités, en fait le cas échéant mention expresse dans le registre concerné et en dépose la liste au greffe du tribunal de l’entreprise.</w:t>
      </w:r>
    </w:p>
    <w:p>
      <w:pPr>
        <w:pStyle w:val="BodyText"/>
        <w:spacing w:before="6"/>
        <w:ind w:left="0" w:right="0" w:firstLine="0"/>
        <w:jc w:val="left"/>
        <w:rPr>
          <w:sz w:val="23"/>
        </w:rPr>
      </w:pPr>
    </w:p>
    <w:p>
      <w:pPr>
        <w:pStyle w:val="BodyText"/>
        <w:spacing w:line="218" w:lineRule="auto"/>
        <w:ind w:right="38"/>
      </w:pPr>
      <w:r>
        <w:rPr>
          <w:color w:val="231F20"/>
        </w:rPr>
        <w:t>L’alinéa 1</w:t>
      </w:r>
      <w:r>
        <w:rPr>
          <w:color w:val="231F20"/>
          <w:position w:val="7"/>
          <w:sz w:val="11"/>
        </w:rPr>
        <w:t>er </w:t>
      </w:r>
      <w:r>
        <w:rPr>
          <w:color w:val="231F20"/>
        </w:rPr>
        <w:t>est applicable proportionnellement au nombre d’actions ou de parts bénéficiaires et certificats de la même classe que la société détient.</w:t>
      </w:r>
    </w:p>
    <w:p>
      <w:pPr>
        <w:pStyle w:val="BodyText"/>
        <w:spacing w:line="218" w:lineRule="auto" w:before="92"/>
        <w:ind w:right="38"/>
      </w:pPr>
      <w:r>
        <w:rPr>
          <w:color w:val="231F20"/>
        </w:rPr>
        <w:t>§ 2. Le paragraphe 1</w:t>
      </w:r>
      <w:r>
        <w:rPr>
          <w:color w:val="231F20"/>
          <w:position w:val="7"/>
          <w:sz w:val="11"/>
        </w:rPr>
        <w:t>er </w:t>
      </w:r>
      <w:r>
        <w:rPr>
          <w:color w:val="231F20"/>
        </w:rPr>
        <w:t>est également applicable lorsque la société devient propriétaire à titre gratuit de ses propres actions, parts bénéficiaires ou certificats.</w:t>
      </w:r>
    </w:p>
    <w:p>
      <w:pPr>
        <w:pStyle w:val="BodyText"/>
        <w:spacing w:line="218" w:lineRule="auto" w:before="107"/>
        <w:ind w:right="38"/>
      </w:pPr>
      <w:r>
        <w:rPr>
          <w:color w:val="231F20"/>
        </w:rPr>
        <w:t>§ 3. En cas de nullité des actions ou parts bénéficiaires la réserve indisponible visée à l’article 7:217, § 3, est supprimée. Si cette réserve n’a pas été constituée ou n’est pas suffisante, les réserves disponibles doivent être diminuées à due concurrence et, à défaut de pareilles réserves, une assemblée générale convoquée au plus tard avant la clôture de l’exercice en cours prend acte d’une réduction de capital à hauteur du déficit.</w:t>
      </w:r>
    </w:p>
    <w:p>
      <w:pPr>
        <w:pStyle w:val="BodyText"/>
        <w:spacing w:before="7"/>
        <w:ind w:left="0" w:right="0" w:firstLine="0"/>
        <w:jc w:val="left"/>
        <w:rPr>
          <w:sz w:val="23"/>
        </w:rPr>
      </w:pPr>
    </w:p>
    <w:p>
      <w:pPr>
        <w:pStyle w:val="BodyText"/>
        <w:spacing w:line="218" w:lineRule="auto"/>
        <w:ind w:right="38"/>
      </w:pPr>
      <w:r>
        <w:rPr>
          <w:color w:val="231F20"/>
        </w:rPr>
        <w:t>§ 4. Les paragraphes 1</w:t>
      </w:r>
      <w:r>
        <w:rPr>
          <w:color w:val="231F20"/>
          <w:position w:val="7"/>
          <w:sz w:val="11"/>
        </w:rPr>
        <w:t>er</w:t>
      </w:r>
      <w:r>
        <w:rPr>
          <w:color w:val="231F20"/>
        </w:rPr>
        <w:t>, alinéa 3, et 3 sont applicables en cas d’annulation volontaire des actions, des parts bénéficiaires ou des certificats qui sont été régulièrement acquis par la société.</w:t>
      </w:r>
    </w:p>
    <w:p>
      <w:pPr>
        <w:pStyle w:val="BodyText"/>
        <w:spacing w:line="218" w:lineRule="auto" w:before="92"/>
        <w:ind w:right="38"/>
      </w:pPr>
      <w:r>
        <w:rPr>
          <w:color w:val="231F20"/>
        </w:rPr>
        <w:t>Art. 7:220. § 1</w:t>
      </w:r>
      <w:r>
        <w:rPr>
          <w:color w:val="231F20"/>
          <w:position w:val="7"/>
          <w:sz w:val="11"/>
        </w:rPr>
        <w:t>er</w:t>
      </w:r>
      <w:r>
        <w:rPr>
          <w:color w:val="231F20"/>
        </w:rPr>
        <w:t>. Le rapport de gestion de la société qui a acquis ses propres actions, parts bénéficiaires ou certificats, par elle-même ou par une personne agissant en son nom propre mais pour compte de</w:t>
      </w:r>
      <w:r>
        <w:rPr>
          <w:color w:val="231F20"/>
          <w:spacing w:val="27"/>
        </w:rPr>
        <w:t> </w:t>
      </w:r>
      <w:r>
        <w:rPr>
          <w:color w:val="231F20"/>
        </w:rPr>
        <w:t>la société ou par une société filiale  contrôlée  directement  </w:t>
      </w:r>
      <w:r>
        <w:rPr>
          <w:color w:val="231F20"/>
          <w:spacing w:val="9"/>
        </w:rPr>
        <w:t>visé </w:t>
      </w:r>
      <w:r>
        <w:rPr>
          <w:color w:val="231F20"/>
        </w:rPr>
        <w:t>à</w:t>
      </w:r>
      <w:r>
        <w:rPr>
          <w:color w:val="231F20"/>
          <w:spacing w:val="6"/>
        </w:rPr>
        <w:t> </w:t>
      </w:r>
      <w:r>
        <w:rPr>
          <w:color w:val="231F20"/>
        </w:rPr>
        <w:t>l’arti- cle</w:t>
      </w:r>
      <w:r>
        <w:rPr>
          <w:color w:val="231F20"/>
          <w:spacing w:val="-5"/>
        </w:rPr>
        <w:t> </w:t>
      </w:r>
      <w:r>
        <w:rPr>
          <w:color w:val="231F20"/>
        </w:rPr>
        <w:t>7:221,</w:t>
      </w:r>
      <w:r>
        <w:rPr>
          <w:color w:val="231F20"/>
          <w:spacing w:val="-4"/>
        </w:rPr>
        <w:t> </w:t>
      </w:r>
      <w:r>
        <w:rPr>
          <w:color w:val="231F20"/>
        </w:rPr>
        <w:t>soit</w:t>
      </w:r>
      <w:r>
        <w:rPr>
          <w:color w:val="231F20"/>
          <w:spacing w:val="-5"/>
        </w:rPr>
        <w:t> </w:t>
      </w:r>
      <w:r>
        <w:rPr>
          <w:color w:val="231F20"/>
        </w:rPr>
        <w:t>par</w:t>
      </w:r>
      <w:r>
        <w:rPr>
          <w:color w:val="231F20"/>
          <w:spacing w:val="-4"/>
        </w:rPr>
        <w:t> </w:t>
      </w:r>
      <w:r>
        <w:rPr>
          <w:color w:val="231F20"/>
        </w:rPr>
        <w:t>elle-même,</w:t>
      </w:r>
      <w:r>
        <w:rPr>
          <w:color w:val="231F20"/>
          <w:spacing w:val="-4"/>
        </w:rPr>
        <w:t> </w:t>
      </w:r>
      <w:r>
        <w:rPr>
          <w:color w:val="231F20"/>
        </w:rPr>
        <w:t>soit</w:t>
      </w:r>
      <w:r>
        <w:rPr>
          <w:color w:val="231F20"/>
          <w:spacing w:val="-5"/>
        </w:rPr>
        <w:t> </w:t>
      </w:r>
      <w:r>
        <w:rPr>
          <w:color w:val="231F20"/>
        </w:rPr>
        <w:t>par</w:t>
      </w:r>
      <w:r>
        <w:rPr>
          <w:color w:val="231F20"/>
          <w:spacing w:val="-4"/>
        </w:rPr>
        <w:t> </w:t>
      </w:r>
      <w:r>
        <w:rPr>
          <w:color w:val="231F20"/>
        </w:rPr>
        <w:t>une</w:t>
      </w:r>
      <w:r>
        <w:rPr>
          <w:color w:val="231F20"/>
          <w:spacing w:val="-4"/>
        </w:rPr>
        <w:t> </w:t>
      </w:r>
      <w:r>
        <w:rPr>
          <w:color w:val="231F20"/>
        </w:rPr>
        <w:t>personne</w:t>
      </w:r>
      <w:r>
        <w:rPr>
          <w:color w:val="231F20"/>
          <w:spacing w:val="-5"/>
        </w:rPr>
        <w:t> </w:t>
      </w:r>
      <w:r>
        <w:rPr>
          <w:color w:val="231F20"/>
        </w:rPr>
        <w:t>agissant</w:t>
      </w:r>
      <w:r>
        <w:rPr>
          <w:color w:val="231F20"/>
          <w:spacing w:val="-4"/>
        </w:rPr>
        <w:t> </w:t>
      </w:r>
      <w:r>
        <w:rPr>
          <w:color w:val="231F20"/>
        </w:rPr>
        <w:t>en</w:t>
      </w:r>
      <w:r>
        <w:rPr>
          <w:color w:val="231F20"/>
          <w:spacing w:val="-5"/>
        </w:rPr>
        <w:t> </w:t>
      </w:r>
      <w:r>
        <w:rPr>
          <w:color w:val="231F20"/>
        </w:rPr>
        <w:t>son</w:t>
      </w:r>
      <w:r>
        <w:rPr>
          <w:color w:val="231F20"/>
          <w:spacing w:val="-4"/>
        </w:rPr>
        <w:t> </w:t>
      </w:r>
      <w:r>
        <w:rPr>
          <w:color w:val="231F20"/>
        </w:rPr>
        <w:t>nom propre mais pour compte de la filiale, est complété au moins par les indications</w:t>
      </w:r>
      <w:r>
        <w:rPr>
          <w:color w:val="231F20"/>
          <w:spacing w:val="14"/>
        </w:rPr>
        <w:t> </w:t>
      </w:r>
      <w:r>
        <w:rPr>
          <w:color w:val="231F20"/>
        </w:rPr>
        <w:t>suivantes:</w:t>
      </w:r>
    </w:p>
    <w:p>
      <w:pPr>
        <w:pStyle w:val="BodyText"/>
        <w:spacing w:before="93"/>
        <w:ind w:left="283" w:right="0" w:firstLine="0"/>
        <w:jc w:val="left"/>
      </w:pPr>
      <w:r>
        <w:rPr>
          <w:color w:val="231F20"/>
        </w:rPr>
        <w:t>1° les raisons des acquisitions;</w:t>
      </w:r>
    </w:p>
    <w:p>
      <w:pPr>
        <w:pStyle w:val="BodyText"/>
        <w:spacing w:line="218" w:lineRule="auto" w:before="103"/>
        <w:ind w:right="38"/>
      </w:pPr>
      <w:r>
        <w:rPr>
          <w:color w:val="231F20"/>
        </w:rPr>
        <w:t>2° le nombre de titres acquis, et la valeur nominale ou, à défaut de valeur nominale, le pair comptable des actions acquises ou cédées pendant l’exercice et des actions auxquelles se rapportent les certificats acquis ou cédés, ainsi que la fraction du capital souscrit qu’elles représentent;</w:t>
      </w:r>
    </w:p>
    <w:p>
      <w:pPr>
        <w:pStyle w:val="BodyText"/>
        <w:spacing w:line="218" w:lineRule="auto" w:before="119"/>
      </w:pPr>
      <w:r>
        <w:rPr/>
        <w:br w:type="column"/>
      </w:r>
      <w:r>
        <w:rPr>
          <w:color w:val="231F20"/>
        </w:rPr>
        <w:t>2° voor wat betreft aandelen, winstbewijzen of certificaten die zijn genoteerd op een gereglementeerde markt of op een MTF als bedoeld in artikel 3, 10°, van de wet van 21 november over de infrastructuren voor de markten voor financiële instrumenten en houdende omzetting van richtlijn 2014/65/EU, op die gereglementeerde markt of die MTF voor zover deze werkt met minstens één dagelijkse verhandeling en met een centraal orderboek; evenzo kunnen deze vennootschappen hun eigen aandelen, winstbewijzen, of certificaten verkopen buiten die geregle- menteerde markt of die MTF, op voorwaarde dat zij de gelijke behandeling van de aandeelhouders, winstbewijshouders of certificaat- houders die zich in gelijke omstandigheden bevinden waarborgen door middel van gelijkwaardigheid van de gevraagde prijs;</w:t>
      </w:r>
    </w:p>
    <w:p>
      <w:pPr>
        <w:pStyle w:val="BodyText"/>
        <w:spacing w:line="218" w:lineRule="auto" w:before="97"/>
      </w:pPr>
      <w:r>
        <w:rPr>
          <w:color w:val="231F20"/>
        </w:rPr>
        <w:t>3° ter vermijding van ernstig dreigend nadeel voor de vennootschap, krachtens een statutaire machtiging goedgekeurd onder  de  in  arti-  kel</w:t>
      </w:r>
      <w:r>
        <w:rPr>
          <w:color w:val="231F20"/>
          <w:spacing w:val="16"/>
        </w:rPr>
        <w:t> </w:t>
      </w:r>
      <w:r>
        <w:rPr>
          <w:color w:val="231F20"/>
        </w:rPr>
        <w:t>7:215,</w:t>
      </w:r>
      <w:r>
        <w:rPr>
          <w:color w:val="231F20"/>
          <w:spacing w:val="16"/>
        </w:rPr>
        <w:t> </w:t>
      </w:r>
      <w:r>
        <w:rPr>
          <w:color w:val="231F20"/>
        </w:rPr>
        <w:t>§</w:t>
      </w:r>
      <w:r>
        <w:rPr>
          <w:color w:val="231F20"/>
          <w:spacing w:val="16"/>
        </w:rPr>
        <w:t> </w:t>
      </w:r>
      <w:r>
        <w:rPr>
          <w:color w:val="231F20"/>
        </w:rPr>
        <w:t>1,</w:t>
      </w:r>
      <w:r>
        <w:rPr>
          <w:color w:val="231F20"/>
          <w:spacing w:val="16"/>
        </w:rPr>
        <w:t> </w:t>
      </w:r>
      <w:r>
        <w:rPr>
          <w:color w:val="231F20"/>
        </w:rPr>
        <w:t>vijfde</w:t>
      </w:r>
      <w:r>
        <w:rPr>
          <w:color w:val="231F20"/>
          <w:spacing w:val="16"/>
        </w:rPr>
        <w:t> </w:t>
      </w:r>
      <w:r>
        <w:rPr>
          <w:color w:val="231F20"/>
        </w:rPr>
        <w:t>lid,</w:t>
      </w:r>
      <w:r>
        <w:rPr>
          <w:color w:val="231F20"/>
          <w:spacing w:val="16"/>
        </w:rPr>
        <w:t> </w:t>
      </w:r>
      <w:r>
        <w:rPr>
          <w:color w:val="231F20"/>
        </w:rPr>
        <w:t>bedoelde</w:t>
      </w:r>
      <w:r>
        <w:rPr>
          <w:color w:val="231F20"/>
          <w:spacing w:val="16"/>
        </w:rPr>
        <w:t> </w:t>
      </w:r>
      <w:r>
        <w:rPr>
          <w:color w:val="231F20"/>
        </w:rPr>
        <w:t>voorwaarden;</w:t>
      </w:r>
    </w:p>
    <w:p>
      <w:pPr>
        <w:pStyle w:val="BodyText"/>
        <w:spacing w:line="218" w:lineRule="auto" w:before="97"/>
      </w:pPr>
      <w:r>
        <w:rPr>
          <w:color w:val="231F20"/>
        </w:rPr>
        <w:t>4° krachtens uitdrukkelijke statutaire machtiging, aan één of meer bepaalde personen andere dan het personeel; in dit geval mogen de bestuurders die deze persoon of de met hem verbonden personen in feite vertegenwoordigen, niet aan de stemming in het bestuursorgaan deelnemen;</w:t>
      </w:r>
    </w:p>
    <w:p>
      <w:pPr>
        <w:pStyle w:val="BodyText"/>
        <w:spacing w:before="82"/>
        <w:ind w:left="283" w:right="0" w:firstLine="0"/>
        <w:jc w:val="left"/>
      </w:pPr>
      <w:r>
        <w:rPr>
          <w:color w:val="231F20"/>
        </w:rPr>
        <w:t>5° onverminderd artikel 7:215, § 1, derde lid, aan het personeel;</w:t>
      </w:r>
    </w:p>
    <w:p>
      <w:pPr>
        <w:pStyle w:val="BodyText"/>
        <w:spacing w:line="218" w:lineRule="auto" w:before="93"/>
        <w:ind w:right="123"/>
      </w:pPr>
      <w:r>
        <w:rPr>
          <w:color w:val="231F20"/>
        </w:rPr>
        <w:t>6° voor wat betreft de aandelen, winstbewijzen of certificaten, verkregen krachtens artikel 7:216, 2° en 3°, die moeten worden vervreemd binnen een termijn van twaalf maanden te rekenen van hun verkrijging, in zoverre de vennootschap niet over voldoende beschik- bare reserves beschikt om de in artikel 7:217, § 3, bedoelde onbeschik- bare reserve aan te leggen bij het verstrijken van die termijn van twaalf maanden.</w:t>
      </w:r>
    </w:p>
    <w:p>
      <w:pPr>
        <w:pStyle w:val="BodyText"/>
        <w:spacing w:line="218" w:lineRule="auto" w:before="96"/>
      </w:pPr>
      <w:r>
        <w:rPr>
          <w:color w:val="231F20"/>
        </w:rPr>
        <w:t>De Koning bepaalt de verplichtingen van de in paragraaf 1 bedoelde vennootschappen op het gebied van informatieverstrekking aan het publiek betreffende verrichtingen tot vervreemding. Artikel 7:215, § 2, vierde lid, is van overeenkomstige toepassing.</w:t>
      </w:r>
    </w:p>
    <w:p>
      <w:pPr>
        <w:pStyle w:val="BodyText"/>
        <w:spacing w:line="218" w:lineRule="auto" w:before="97"/>
      </w:pPr>
      <w:r>
        <w:rPr>
          <w:color w:val="231F20"/>
        </w:rPr>
        <w:t>§ 2. De Koning bepaalt de nadere regels om de gelijke behandeling te verzekeren door middel van gelijkwaardigheid van de geboden prijs zoals bedoeld in paragraaf 1, 2°.</w:t>
      </w:r>
    </w:p>
    <w:p>
      <w:pPr>
        <w:pStyle w:val="BodyText"/>
        <w:spacing w:line="218" w:lineRule="auto" w:before="106"/>
      </w:pPr>
      <w:r>
        <w:rPr>
          <w:color w:val="231F20"/>
        </w:rPr>
        <w:t>Art. 7:219. § 1. De aandelen, winstbewijzen of certificaten verkregen met overtreding van artikel 7:215, § 1, alsook diegene die niet zijn vervreemd binnen de termijnen gesteld in artikel 7:218, 5° en 6°, zijn van rechtswege nietig.</w:t>
      </w:r>
    </w:p>
    <w:p>
      <w:pPr>
        <w:pStyle w:val="BodyText"/>
        <w:spacing w:line="218" w:lineRule="auto" w:before="107"/>
      </w:pPr>
      <w:r>
        <w:rPr>
          <w:color w:val="231F20"/>
        </w:rPr>
        <w:t>Indien een certificaat van rechtswege nietig wordt, wordt het aandeel of winstbewijs dat daardoor eigendom van de vennootschap is geworden, tegelijkertijd van rechtswege nietig.</w:t>
      </w:r>
    </w:p>
    <w:p>
      <w:pPr>
        <w:pStyle w:val="BodyText"/>
        <w:spacing w:line="218" w:lineRule="auto" w:before="107"/>
      </w:pPr>
      <w:r>
        <w:rPr>
          <w:color w:val="231F20"/>
        </w:rPr>
        <w:t>Het bestuursorgaan vernietigt voornoemde nietige effecten, maakt in voorkomend geval uitdrukkelijk melding ervan in het betrokken register en legt de lijst ervan neer op de </w:t>
      </w:r>
      <w:r>
        <w:rPr>
          <w:color w:val="231F20"/>
          <w:spacing w:val="-4"/>
        </w:rPr>
        <w:t>griffie </w:t>
      </w:r>
      <w:r>
        <w:rPr>
          <w:color w:val="231F20"/>
        </w:rPr>
        <w:t>van de ondernemings- rechtbank.</w:t>
      </w:r>
    </w:p>
    <w:p>
      <w:pPr>
        <w:pStyle w:val="BodyText"/>
        <w:spacing w:line="218" w:lineRule="auto" w:before="107"/>
      </w:pPr>
      <w:r>
        <w:rPr>
          <w:color w:val="231F20"/>
        </w:rPr>
        <w:t>Het eerste lid is van toepassing naar evenredigheid van de aandelen of winstbewijzen en de certificaten van dezelfde soort die de vennoot- schap in haar bezit houdt.</w:t>
      </w:r>
    </w:p>
    <w:p>
      <w:pPr>
        <w:pStyle w:val="BodyText"/>
        <w:spacing w:line="218" w:lineRule="auto" w:before="107"/>
      </w:pPr>
      <w:r>
        <w:rPr>
          <w:color w:val="231F20"/>
        </w:rPr>
        <w:t>§ 2. Paragraaf 1 is eveneens van toepassing indien de vennootschap om niet eigenaar wordt van haar eigen aandelen, winstbewijzen of certificaten.</w:t>
      </w:r>
    </w:p>
    <w:p>
      <w:pPr>
        <w:pStyle w:val="BodyText"/>
        <w:spacing w:line="218" w:lineRule="auto" w:before="107"/>
        <w:ind w:right="123"/>
      </w:pPr>
      <w:r>
        <w:rPr>
          <w:color w:val="231F20"/>
        </w:rPr>
        <w:t>§ 3. In geval van nietigheid van aandelen of winstbewijzen wordt de in artikel 7:217, § 3, bedoelde onbeschikbare reserve opgeheven. Indien geen of een onvoldoende onbeschikbare reserve is aangelegd, moeten de beschikbare reserves ten belope van dat bedrag worden verminderd en, bij gebrek aan dergelijke reserves, neemt een algemene vergadering die uiterlijk vóór de afsluiting van het lopende boekjaar wordt bijeengeroepen akte van een kapitaalvermindering ten belope van het tekort.</w:t>
      </w:r>
    </w:p>
    <w:p>
      <w:pPr>
        <w:pStyle w:val="BodyText"/>
        <w:spacing w:line="218" w:lineRule="auto" w:before="107"/>
        <w:ind w:right="123"/>
      </w:pPr>
      <w:r>
        <w:rPr>
          <w:color w:val="231F20"/>
        </w:rPr>
        <w:t>§ 4. In geval van vrijwillige vernietiging van door de vennootschap regelmatig verkregen aandelen, winstbewijzen of certificaten vinden paragraaf 1, derde lid, en paragraaf 3 toepassing.</w:t>
      </w:r>
    </w:p>
    <w:p>
      <w:pPr>
        <w:pStyle w:val="BodyText"/>
        <w:spacing w:line="218" w:lineRule="auto" w:before="107"/>
        <w:ind w:right="123"/>
      </w:pPr>
      <w:r>
        <w:rPr>
          <w:color w:val="231F20"/>
        </w:rPr>
        <w:t>Art. 7:220. § 1. Het jaarverslag van de vennootschap die zelf of door een persoon die in eigen naam maar voor rekening van de vennoot- schap handelt of door een rechtstreeks gecontroleerde dochtervennoot- schap als bedoeld in artikel 7:221, hetzij zelf, hetzij door de persoon die in eigen naam maar voor rekening van de dochtervennootschap handelt, eigen aandelen, winstbewijzen of certificaten heeft verkregen, vermeldt ten minste de volgende bijkomende gegevens:</w:t>
      </w:r>
    </w:p>
    <w:p>
      <w:pPr>
        <w:pStyle w:val="BodyText"/>
        <w:spacing w:before="93"/>
        <w:ind w:left="283" w:right="0" w:firstLine="0"/>
        <w:jc w:val="left"/>
      </w:pPr>
      <w:r>
        <w:rPr>
          <w:color w:val="231F20"/>
          <w:w w:val="105"/>
        </w:rPr>
        <w:t>1° de redenen van de verkrijgingen;</w:t>
      </w:r>
    </w:p>
    <w:p>
      <w:pPr>
        <w:pStyle w:val="BodyText"/>
        <w:spacing w:line="218" w:lineRule="auto" w:before="103"/>
        <w:ind w:right="123"/>
      </w:pPr>
      <w:r>
        <w:rPr>
          <w:color w:val="231F20"/>
        </w:rPr>
        <w:t>2° het aantal verkregen effecten en de nominale waarde of, bij gebrek daaraan, de fractiewaarde van de gedurende het boekjaar verkregen of vervreemde aandelen en van de aandelen waarop de verkregen of vervreemde certificaten betrekking hebben, evenals het gedeelte van het</w:t>
      </w:r>
      <w:r>
        <w:rPr>
          <w:color w:val="231F20"/>
          <w:spacing w:val="16"/>
        </w:rPr>
        <w:t> </w:t>
      </w:r>
      <w:r>
        <w:rPr>
          <w:color w:val="231F20"/>
        </w:rPr>
        <w:t>geplaatste</w:t>
      </w:r>
      <w:r>
        <w:rPr>
          <w:color w:val="231F20"/>
          <w:spacing w:val="17"/>
        </w:rPr>
        <w:t> </w:t>
      </w:r>
      <w:r>
        <w:rPr>
          <w:color w:val="231F20"/>
        </w:rPr>
        <w:t>kapitaal</w:t>
      </w:r>
      <w:r>
        <w:rPr>
          <w:color w:val="231F20"/>
          <w:spacing w:val="17"/>
        </w:rPr>
        <w:t> </w:t>
      </w:r>
      <w:r>
        <w:rPr>
          <w:color w:val="231F20"/>
        </w:rPr>
        <w:t>dat</w:t>
      </w:r>
      <w:r>
        <w:rPr>
          <w:color w:val="231F20"/>
          <w:spacing w:val="17"/>
        </w:rPr>
        <w:t> </w:t>
      </w:r>
      <w:r>
        <w:rPr>
          <w:color w:val="231F20"/>
        </w:rPr>
        <w:t>deze</w:t>
      </w:r>
      <w:r>
        <w:rPr>
          <w:color w:val="231F20"/>
          <w:spacing w:val="17"/>
        </w:rPr>
        <w:t> </w:t>
      </w:r>
      <w:r>
        <w:rPr>
          <w:color w:val="231F20"/>
        </w:rPr>
        <w:t>vertegenwoordigen;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5992" from="298.170502pt,64.473pt" to="298.170502pt,812.819pt" stroked="true" strokeweight=".533pt" strokecolor="#231f20">
            <v:stroke dashstyle="solid"/>
            <w10:wrap type="none"/>
          </v:line>
        </w:pict>
      </w:r>
      <w:bookmarkStart w:name="_bookmark207" w:id="213"/>
      <w:bookmarkEnd w:id="213"/>
      <w:r>
        <w:rPr/>
      </w:r>
      <w:r>
        <w:rPr>
          <w:color w:val="231F20"/>
        </w:rPr>
        <w:t>3° la contrepartie des actions, parts bénéficiaires ou certificats acquis ou cédés;</w:t>
      </w:r>
    </w:p>
    <w:p>
      <w:pPr>
        <w:pStyle w:val="BodyText"/>
        <w:spacing w:line="218" w:lineRule="auto" w:before="107"/>
        <w:ind w:right="38"/>
      </w:pPr>
      <w:r>
        <w:rPr>
          <w:color w:val="231F20"/>
        </w:rPr>
        <w:t>4° le nombre de titres et la valeur nominale, ou à défaut de valeur nominale, le pair comptable de l’ensemble des actions acquises et détenues en portefeuille par la société, la personne agissant en son nom mais pour le compte de la société ou une société filiale contrôlée directement, visée à l’article 7:221, ou la personne agissant en son nom mais pour le compte de la société filiale, et des actions auxquelles se rapportent les certificats acquis et détenus en portefeuille, ainsi que la fraction du capital souscrit que celles-ci représentent.</w:t>
      </w:r>
    </w:p>
    <w:p>
      <w:pPr>
        <w:pStyle w:val="BodyText"/>
        <w:spacing w:before="4"/>
        <w:ind w:left="0" w:right="0" w:firstLine="0"/>
        <w:jc w:val="left"/>
        <w:rPr>
          <w:sz w:val="25"/>
        </w:rPr>
      </w:pPr>
    </w:p>
    <w:p>
      <w:pPr>
        <w:pStyle w:val="BodyText"/>
        <w:spacing w:line="211" w:lineRule="auto"/>
        <w:ind w:right="38"/>
      </w:pPr>
      <w:r>
        <w:rPr>
          <w:color w:val="231F20"/>
        </w:rPr>
        <w:t>Lorsque la société n’est pas tenue de rédiger un rapport de gestion, les indications visées à l’alinéa 1</w:t>
      </w:r>
      <w:r>
        <w:rPr>
          <w:color w:val="231F20"/>
          <w:position w:val="7"/>
          <w:sz w:val="11"/>
        </w:rPr>
        <w:t>er </w:t>
      </w:r>
      <w:r>
        <w:rPr>
          <w:color w:val="231F20"/>
        </w:rPr>
        <w:t>doivent être mentionnées dans l’annexe aux comptes</w:t>
      </w:r>
      <w:r>
        <w:rPr>
          <w:color w:val="231F20"/>
          <w:spacing w:val="4"/>
        </w:rPr>
        <w:t> </w:t>
      </w:r>
      <w:r>
        <w:rPr>
          <w:color w:val="231F20"/>
        </w:rPr>
        <w:t>annuels.</w:t>
      </w:r>
    </w:p>
    <w:p>
      <w:pPr>
        <w:pStyle w:val="BodyText"/>
        <w:spacing w:line="218" w:lineRule="auto" w:before="90"/>
        <w:ind w:right="38"/>
      </w:pPr>
      <w:r>
        <w:rPr>
          <w:color w:val="231F20"/>
        </w:rPr>
        <w:t>§ 2. Le rapport de gestion des sociétés visées au paragraphe 1</w:t>
      </w:r>
      <w:r>
        <w:rPr>
          <w:color w:val="231F20"/>
          <w:position w:val="7"/>
          <w:sz w:val="11"/>
        </w:rPr>
        <w:t>er </w:t>
      </w:r>
      <w:r>
        <w:rPr>
          <w:color w:val="231F20"/>
        </w:rPr>
        <w:t>mentionne pour chaque aliénation d’actions, parts bénéficiaires ou certificats propres par la société, la personne agissant en son nom propre mais pour le compte de la société ou une société filiale contrôlée directement, visée à l’article 7:221, ou la personne agissant en son nom propre mais pour le compte de la société filiale:</w:t>
      </w:r>
    </w:p>
    <w:p>
      <w:pPr>
        <w:pStyle w:val="BodyText"/>
        <w:spacing w:before="10"/>
        <w:ind w:left="0" w:right="0" w:firstLine="0"/>
        <w:jc w:val="left"/>
        <w:rPr>
          <w:sz w:val="24"/>
        </w:rPr>
      </w:pPr>
    </w:p>
    <w:p>
      <w:pPr>
        <w:pStyle w:val="BodyText"/>
        <w:spacing w:line="218" w:lineRule="auto"/>
        <w:ind w:right="38"/>
      </w:pPr>
      <w:r>
        <w:rPr>
          <w:color w:val="231F20"/>
        </w:rPr>
        <w:t>1° le nombre de titres aliénés, le cas échéant la valeur nominale ou, à défaut de valeur nominale, leur pair comptable et la fraction du capital souscrit qu’ils représentent;</w:t>
      </w:r>
    </w:p>
    <w:p>
      <w:pPr>
        <w:pStyle w:val="BodyText"/>
        <w:spacing w:before="93"/>
        <w:ind w:left="283" w:right="0" w:firstLine="0"/>
        <w:jc w:val="left"/>
      </w:pPr>
      <w:r>
        <w:rPr>
          <w:color w:val="231F20"/>
        </w:rPr>
        <w:t>2° la contrevaleur obtenue;</w:t>
      </w:r>
    </w:p>
    <w:p>
      <w:pPr>
        <w:pStyle w:val="BodyText"/>
        <w:spacing w:line="218" w:lineRule="auto" w:before="103"/>
        <w:ind w:right="38"/>
      </w:pPr>
      <w:r>
        <w:rPr>
          <w:color w:val="231F20"/>
        </w:rPr>
        <w:t>3° l’identité de l’acquéreur, pour autant qu’elle soit connue de la société; pour le personnel, des détails individuels sur les acquéreurs ne doivent pas être communiqués, sous réserve de dispositions légales plus</w:t>
      </w:r>
      <w:r>
        <w:rPr>
          <w:color w:val="231F20"/>
          <w:spacing w:val="14"/>
        </w:rPr>
        <w:t> </w:t>
      </w:r>
      <w:r>
        <w:rPr>
          <w:color w:val="231F20"/>
        </w:rPr>
        <w:t>strictes;</w:t>
      </w:r>
    </w:p>
    <w:p>
      <w:pPr>
        <w:pStyle w:val="BodyText"/>
        <w:spacing w:line="218" w:lineRule="auto" w:before="92"/>
        <w:ind w:right="38"/>
      </w:pPr>
      <w:r>
        <w:rPr>
          <w:color w:val="231F20"/>
        </w:rPr>
        <w:t>4° dans le cas visé à l’article 7:218, § 1</w:t>
      </w:r>
      <w:r>
        <w:rPr>
          <w:color w:val="231F20"/>
          <w:position w:val="7"/>
          <w:sz w:val="11"/>
        </w:rPr>
        <w:t>er</w:t>
      </w:r>
      <w:r>
        <w:rPr>
          <w:color w:val="231F20"/>
        </w:rPr>
        <w:t>, 3°, les raisons et les buts des aliénations.</w:t>
      </w:r>
    </w:p>
    <w:p>
      <w:pPr>
        <w:pStyle w:val="BodyText"/>
        <w:spacing w:line="218" w:lineRule="auto" w:before="107"/>
        <w:ind w:right="38"/>
      </w:pPr>
      <w:r>
        <w:rPr>
          <w:color w:val="231F20"/>
        </w:rPr>
        <w:t>Sous-section 2. Acquisition d’actions, de parts bénéficiaires ou de certificats</w:t>
      </w:r>
      <w:r>
        <w:rPr>
          <w:color w:val="231F20"/>
          <w:spacing w:val="14"/>
        </w:rPr>
        <w:t> </w:t>
      </w:r>
      <w:r>
        <w:rPr>
          <w:color w:val="231F20"/>
        </w:rPr>
        <w:t>de</w:t>
      </w:r>
      <w:r>
        <w:rPr>
          <w:color w:val="231F20"/>
          <w:spacing w:val="14"/>
        </w:rPr>
        <w:t> </w:t>
      </w:r>
      <w:r>
        <w:rPr>
          <w:color w:val="231F20"/>
        </w:rPr>
        <w:t>la</w:t>
      </w:r>
      <w:r>
        <w:rPr>
          <w:color w:val="231F20"/>
          <w:spacing w:val="15"/>
        </w:rPr>
        <w:t> </w:t>
      </w:r>
      <w:r>
        <w:rPr>
          <w:color w:val="231F20"/>
        </w:rPr>
        <w:t>société</w:t>
      </w:r>
      <w:r>
        <w:rPr>
          <w:color w:val="231F20"/>
          <w:spacing w:val="14"/>
        </w:rPr>
        <w:t> </w:t>
      </w:r>
      <w:r>
        <w:rPr>
          <w:color w:val="231F20"/>
        </w:rPr>
        <w:t>par</w:t>
      </w:r>
      <w:r>
        <w:rPr>
          <w:color w:val="231F20"/>
          <w:spacing w:val="15"/>
        </w:rPr>
        <w:t> </w:t>
      </w:r>
      <w:r>
        <w:rPr>
          <w:color w:val="231F20"/>
        </w:rPr>
        <w:t>une</w:t>
      </w:r>
      <w:r>
        <w:rPr>
          <w:color w:val="231F20"/>
          <w:spacing w:val="14"/>
        </w:rPr>
        <w:t> </w:t>
      </w:r>
      <w:r>
        <w:rPr>
          <w:color w:val="231F20"/>
        </w:rPr>
        <w:t>société</w:t>
      </w:r>
      <w:r>
        <w:rPr>
          <w:color w:val="231F20"/>
          <w:spacing w:val="15"/>
        </w:rPr>
        <w:t> </w:t>
      </w:r>
      <w:r>
        <w:rPr>
          <w:color w:val="231F20"/>
        </w:rPr>
        <w:t>filiale.</w:t>
      </w:r>
    </w:p>
    <w:p>
      <w:pPr>
        <w:pStyle w:val="BodyText"/>
        <w:spacing w:line="218" w:lineRule="auto" w:before="106"/>
        <w:ind w:right="38"/>
      </w:pPr>
      <w:r>
        <w:rPr>
          <w:color w:val="231F20"/>
        </w:rPr>
        <w:t>Art. 7:221. L’acquisition, la possession et l’aliénation d’actions, de parts bénéficiaires, ou de certificats se rapportant à ces actions ou parts bénéficiaires de la société par une société filiale de cette société contrôlée directement visé au sens de 1:14, § 2, 1°, 2° et 4°, ainsi que par une personne agissant en son nom propre, mais pour le compte de cette société</w:t>
      </w:r>
      <w:r>
        <w:rPr>
          <w:color w:val="231F20"/>
          <w:spacing w:val="-6"/>
        </w:rPr>
        <w:t> </w:t>
      </w:r>
      <w:r>
        <w:rPr>
          <w:color w:val="231F20"/>
        </w:rPr>
        <w:t>filiale,</w:t>
      </w:r>
      <w:r>
        <w:rPr>
          <w:color w:val="231F20"/>
          <w:spacing w:val="-5"/>
        </w:rPr>
        <w:t> </w:t>
      </w:r>
      <w:r>
        <w:rPr>
          <w:color w:val="231F20"/>
        </w:rPr>
        <w:t>sont</w:t>
      </w:r>
      <w:r>
        <w:rPr>
          <w:color w:val="231F20"/>
          <w:spacing w:val="-5"/>
        </w:rPr>
        <w:t> </w:t>
      </w:r>
      <w:r>
        <w:rPr>
          <w:color w:val="231F20"/>
        </w:rPr>
        <w:t>assimilées</w:t>
      </w:r>
      <w:r>
        <w:rPr>
          <w:color w:val="231F20"/>
          <w:spacing w:val="-5"/>
        </w:rPr>
        <w:t> </w:t>
      </w:r>
      <w:r>
        <w:rPr>
          <w:color w:val="231F20"/>
        </w:rPr>
        <w:t>à</w:t>
      </w:r>
      <w:r>
        <w:rPr>
          <w:color w:val="231F20"/>
          <w:spacing w:val="-5"/>
        </w:rPr>
        <w:t> </w:t>
      </w:r>
      <w:r>
        <w:rPr>
          <w:color w:val="231F20"/>
        </w:rPr>
        <w:t>l’acquisition,</w:t>
      </w:r>
      <w:r>
        <w:rPr>
          <w:color w:val="231F20"/>
          <w:spacing w:val="-5"/>
        </w:rPr>
        <w:t> </w:t>
      </w:r>
      <w:r>
        <w:rPr>
          <w:color w:val="231F20"/>
        </w:rPr>
        <w:t>la</w:t>
      </w:r>
      <w:r>
        <w:rPr>
          <w:color w:val="231F20"/>
          <w:spacing w:val="-6"/>
        </w:rPr>
        <w:t> </w:t>
      </w:r>
      <w:r>
        <w:rPr>
          <w:color w:val="231F20"/>
        </w:rPr>
        <w:t>possession</w:t>
      </w:r>
      <w:r>
        <w:rPr>
          <w:color w:val="231F20"/>
          <w:spacing w:val="-5"/>
        </w:rPr>
        <w:t> </w:t>
      </w:r>
      <w:r>
        <w:rPr>
          <w:color w:val="231F20"/>
        </w:rPr>
        <w:t>et</w:t>
      </w:r>
      <w:r>
        <w:rPr>
          <w:color w:val="231F20"/>
          <w:spacing w:val="-5"/>
        </w:rPr>
        <w:t> </w:t>
      </w:r>
      <w:r>
        <w:rPr>
          <w:color w:val="231F20"/>
        </w:rPr>
        <w:t>l’aliénation par la société anonyme elle-même. Les dividendes attachés aux actions, parts bénéficiaires, ou certificats que possèdent la société filiale ou la personne agissant en son nom propre, mais pour le compte de la</w:t>
      </w:r>
      <w:r>
        <w:rPr>
          <w:color w:val="231F20"/>
          <w:spacing w:val="-17"/>
        </w:rPr>
        <w:t> </w:t>
      </w:r>
      <w:r>
        <w:rPr>
          <w:color w:val="231F20"/>
        </w:rPr>
        <w:t>société filiale,</w:t>
      </w:r>
      <w:r>
        <w:rPr>
          <w:color w:val="231F20"/>
          <w:spacing w:val="14"/>
        </w:rPr>
        <w:t> </w:t>
      </w:r>
      <w:r>
        <w:rPr>
          <w:color w:val="231F20"/>
        </w:rPr>
        <w:t>reviennent</w:t>
      </w:r>
      <w:r>
        <w:rPr>
          <w:color w:val="231F20"/>
          <w:spacing w:val="15"/>
        </w:rPr>
        <w:t> </w:t>
      </w:r>
      <w:r>
        <w:rPr>
          <w:color w:val="231F20"/>
        </w:rPr>
        <w:t>toutefois</w:t>
      </w:r>
      <w:r>
        <w:rPr>
          <w:color w:val="231F20"/>
          <w:spacing w:val="14"/>
        </w:rPr>
        <w:t> </w:t>
      </w:r>
      <w:r>
        <w:rPr>
          <w:color w:val="231F20"/>
        </w:rPr>
        <w:t>à</w:t>
      </w:r>
      <w:r>
        <w:rPr>
          <w:color w:val="231F20"/>
          <w:spacing w:val="15"/>
        </w:rPr>
        <w:t> </w:t>
      </w:r>
      <w:r>
        <w:rPr>
          <w:color w:val="231F20"/>
        </w:rPr>
        <w:t>la</w:t>
      </w:r>
      <w:r>
        <w:rPr>
          <w:color w:val="231F20"/>
          <w:spacing w:val="14"/>
        </w:rPr>
        <w:t> </w:t>
      </w:r>
      <w:r>
        <w:rPr>
          <w:color w:val="231F20"/>
        </w:rPr>
        <w:t>société</w:t>
      </w:r>
      <w:r>
        <w:rPr>
          <w:color w:val="231F20"/>
          <w:spacing w:val="15"/>
        </w:rPr>
        <w:t> </w:t>
      </w:r>
      <w:r>
        <w:rPr>
          <w:color w:val="231F20"/>
        </w:rPr>
        <w:t>filiale.</w:t>
      </w:r>
    </w:p>
    <w:p>
      <w:pPr>
        <w:pStyle w:val="BodyText"/>
        <w:ind w:left="0" w:right="0" w:firstLine="0"/>
        <w:jc w:val="left"/>
        <w:rPr>
          <w:sz w:val="20"/>
        </w:rPr>
      </w:pPr>
    </w:p>
    <w:p>
      <w:pPr>
        <w:pStyle w:val="BodyText"/>
        <w:spacing w:before="1"/>
        <w:ind w:left="0" w:right="0" w:firstLine="0"/>
        <w:jc w:val="left"/>
        <w:rPr>
          <w:sz w:val="19"/>
        </w:rPr>
      </w:pPr>
    </w:p>
    <w:p>
      <w:pPr>
        <w:pStyle w:val="BodyText"/>
        <w:spacing w:line="218" w:lineRule="auto"/>
        <w:ind w:right="38"/>
      </w:pPr>
      <w:r>
        <w:rPr>
          <w:color w:val="231F20"/>
        </w:rPr>
        <w:t>L’alinéa 1</w:t>
      </w:r>
      <w:r>
        <w:rPr>
          <w:color w:val="231F20"/>
          <w:position w:val="7"/>
          <w:sz w:val="11"/>
        </w:rPr>
        <w:t>er </w:t>
      </w:r>
      <w:r>
        <w:rPr>
          <w:color w:val="231F20"/>
        </w:rPr>
        <w:t>n’est pas applicable lorsque les actions ou parts bénéficiaires de la société mère ou les certificats se rapportant à ces actions ou parts bénéficiaires sont détenues par une société filiale qui est, en sa qualité d’opérateur professionnel sur titres, une société de bourse ou un établissement de crédit.</w:t>
      </w:r>
    </w:p>
    <w:p>
      <w:pPr>
        <w:pStyle w:val="BodyText"/>
        <w:spacing w:line="218" w:lineRule="auto" w:before="93"/>
        <w:ind w:right="38"/>
      </w:pPr>
      <w:r>
        <w:rPr>
          <w:color w:val="231F20"/>
        </w:rPr>
        <w:t>Art. 7:222. Les articles 7:215, § 1</w:t>
      </w:r>
      <w:r>
        <w:rPr>
          <w:color w:val="231F20"/>
          <w:position w:val="7"/>
          <w:sz w:val="11"/>
        </w:rPr>
        <w:t>er</w:t>
      </w:r>
      <w:r>
        <w:rPr>
          <w:color w:val="231F20"/>
        </w:rPr>
        <w:t>, 4°, et 7:218, § 1</w:t>
      </w:r>
      <w:r>
        <w:rPr>
          <w:color w:val="231F20"/>
          <w:position w:val="7"/>
          <w:sz w:val="11"/>
        </w:rPr>
        <w:t>er</w:t>
      </w:r>
      <w:r>
        <w:rPr>
          <w:color w:val="231F20"/>
        </w:rPr>
        <w:t>, 1°, 2° et 4°, sont applicables aux acquisitions et aux ventes par les filiales indirectes d’actions et de parts bénéficiaires de leur société mère cotée.</w:t>
      </w:r>
    </w:p>
    <w:p>
      <w:pPr>
        <w:pStyle w:val="BodyText"/>
        <w:spacing w:before="5"/>
        <w:ind w:left="0" w:right="0" w:firstLine="0"/>
        <w:jc w:val="left"/>
        <w:rPr>
          <w:sz w:val="24"/>
        </w:rPr>
      </w:pPr>
    </w:p>
    <w:p>
      <w:pPr>
        <w:pStyle w:val="BodyText"/>
        <w:spacing w:line="218" w:lineRule="auto"/>
        <w:ind w:right="38"/>
      </w:pPr>
      <w:r>
        <w:rPr>
          <w:color w:val="231F20"/>
        </w:rPr>
        <w:t>L’alinéa 1</w:t>
      </w:r>
      <w:r>
        <w:rPr>
          <w:color w:val="231F20"/>
          <w:position w:val="7"/>
          <w:sz w:val="11"/>
        </w:rPr>
        <w:t>er </w:t>
      </w:r>
      <w:r>
        <w:rPr>
          <w:color w:val="231F20"/>
        </w:rPr>
        <w:t>n’est pas applicable lorsque les actions ou parts bénéficiaires de la société mère ou les certificats se rapportant à ces actions ou parts bénéficiaires sont détenues par une société filiale indirecte qui est, en sa qualité d’opérateur professionnel sur titres, une société de bourse ou un établissement de crédit.</w:t>
      </w:r>
    </w:p>
    <w:p>
      <w:pPr>
        <w:pStyle w:val="BodyText"/>
        <w:spacing w:before="9"/>
        <w:ind w:left="0" w:right="0" w:firstLine="0"/>
        <w:jc w:val="left"/>
        <w:rPr>
          <w:sz w:val="25"/>
        </w:rPr>
      </w:pPr>
    </w:p>
    <w:p>
      <w:pPr>
        <w:pStyle w:val="BodyText"/>
        <w:spacing w:line="218" w:lineRule="auto" w:before="1"/>
        <w:ind w:right="38"/>
      </w:pPr>
      <w:r>
        <w:rPr>
          <w:color w:val="231F20"/>
        </w:rPr>
        <w:t>Art. 7:223. Les actions, parts bénéficiaires ou certificats détenus en méconnaissance de l’article 7:221 sont nuls de plein droit, conformé- ment à l’article 7:219. Les titres nuls sont remis à la société mère en vue de leur destruction; celle-ci en restitue la contre-valeur.</w:t>
      </w:r>
    </w:p>
    <w:p>
      <w:pPr>
        <w:pStyle w:val="BodyText"/>
        <w:spacing w:line="218" w:lineRule="auto" w:before="117"/>
        <w:ind w:right="38"/>
      </w:pPr>
      <w:r>
        <w:rPr>
          <w:color w:val="231F20"/>
        </w:rPr>
        <w:t>Art. 7:224. Les droits de vote attachés aux actions ou parts bénéficiaires de la société que détient une société filiale sont suspendus. Il en va de même pour les droits de vote attachés aux actions ou parts bénéficiaires dont cette filiale ou une personne agissant en son nom propre mais pour le compte de cette filiale détient les certificats qui ont été émis avec la collaboration de la société.</w:t>
      </w:r>
    </w:p>
    <w:p>
      <w:pPr>
        <w:pStyle w:val="BodyText"/>
        <w:spacing w:before="10"/>
        <w:ind w:left="0" w:right="0" w:firstLine="0"/>
        <w:jc w:val="left"/>
        <w:rPr>
          <w:sz w:val="25"/>
        </w:rPr>
      </w:pPr>
    </w:p>
    <w:p>
      <w:pPr>
        <w:pStyle w:val="BodyText"/>
        <w:spacing w:line="218" w:lineRule="auto"/>
        <w:ind w:right="38"/>
      </w:pPr>
      <w:r>
        <w:rPr>
          <w:color w:val="231F20"/>
        </w:rPr>
        <w:t>Art. 7:225. Chaque filiale notifie à sa société mère le nombre et la nature des titres avec droit de vote émis par cette dernière société et</w:t>
      </w:r>
      <w:r>
        <w:rPr>
          <w:color w:val="231F20"/>
          <w:spacing w:val="-11"/>
        </w:rPr>
        <w:t> </w:t>
      </w:r>
      <w:r>
        <w:rPr>
          <w:color w:val="231F20"/>
        </w:rPr>
        <w:t>des certificats se rapportant à ces titres avec droit de vote, qui sont en sa possession ainsi que toute modification intervenant dans son porte- feuille de</w:t>
      </w:r>
      <w:r>
        <w:rPr>
          <w:color w:val="231F20"/>
          <w:spacing w:val="-12"/>
        </w:rPr>
        <w:t> </w:t>
      </w:r>
      <w:r>
        <w:rPr>
          <w:color w:val="231F20"/>
        </w:rPr>
        <w:t>titres.</w:t>
      </w:r>
    </w:p>
    <w:p>
      <w:pPr>
        <w:pStyle w:val="BodyText"/>
        <w:spacing w:line="218" w:lineRule="auto" w:before="119"/>
      </w:pPr>
      <w:r>
        <w:rPr/>
        <w:br w:type="column"/>
      </w:r>
      <w:r>
        <w:rPr>
          <w:color w:val="231F20"/>
        </w:rPr>
        <w:t>3° de vergoeding voor de verkregen of overgedragen aandelen, winstbewijzen of certificaten;</w:t>
      </w:r>
    </w:p>
    <w:p>
      <w:pPr>
        <w:pStyle w:val="BodyText"/>
        <w:spacing w:line="218" w:lineRule="auto" w:before="107"/>
      </w:pPr>
      <w:r>
        <w:rPr>
          <w:color w:val="231F20"/>
        </w:rPr>
        <w:t>4° het aantal effecten en de nominale waarde of, bij gebrek daaraan, de fractiewaarde van alle aandelen die de vennootschap, de persoon  die in eigen naam maar voor rekening van de vennootschap handelt of een rechtstreeks gecontroleerde dochtervennootschap als bedoeld in artikel 7:221, of de persoon die in eigen naam maar voor rekening van de dochtervennootschap handelt, heeft verkregen en in portefeuille houdt, en van de aandelen waarop de verkregen en in portefeuille gehouden certificaten betrekking hebben, evenals het gedeelte van het geplaatste kapitaal dat deze</w:t>
      </w:r>
      <w:r>
        <w:rPr>
          <w:color w:val="231F20"/>
          <w:spacing w:val="26"/>
        </w:rPr>
        <w:t> </w:t>
      </w:r>
      <w:r>
        <w:rPr>
          <w:color w:val="231F20"/>
        </w:rPr>
        <w:t>vertegenwoordigen.</w:t>
      </w:r>
    </w:p>
    <w:p>
      <w:pPr>
        <w:pStyle w:val="BodyText"/>
        <w:spacing w:line="218" w:lineRule="auto" w:before="108"/>
      </w:pPr>
      <w:r>
        <w:rPr>
          <w:color w:val="231F20"/>
        </w:rPr>
        <w:t>Indien de vennootschap geen jaarverslag moet opstellen, worden de gegevens bedoeld in het eerste lid vermeld in de toelichting bij de jaarrekening.</w:t>
      </w:r>
    </w:p>
    <w:p>
      <w:pPr>
        <w:pStyle w:val="BodyText"/>
        <w:spacing w:line="218" w:lineRule="auto" w:before="107"/>
      </w:pPr>
      <w:r>
        <w:rPr>
          <w:color w:val="231F20"/>
        </w:rPr>
        <w:t>§ 2. Het jaarverslag van de in paragraaf 1 bedoelde vennootschappen vermeldt over elke vervreemding van eigen aandelen, winstbewijzen of certificaten door de vennootschap, door de persoon die in eigen naam maar voor rekening van de vennootschap handelt of een rechtstreeks gecontroleerde dochtervennootschap als bedoeld in artikel 7:221, of de persoon die in eigen naam maar voor rekening van de dochtervennoot- schap handelt:</w:t>
      </w:r>
    </w:p>
    <w:p>
      <w:pPr>
        <w:pStyle w:val="BodyText"/>
        <w:spacing w:line="218" w:lineRule="auto" w:before="107"/>
      </w:pPr>
      <w:r>
        <w:rPr>
          <w:color w:val="231F20"/>
        </w:rPr>
        <w:t>1° het aantal vervreemde effecten, in voorkomend geval de nominale waarde of, bij gebrek daaraan, hun fractiewaarde en het aandeel van het</w:t>
      </w:r>
      <w:r>
        <w:rPr>
          <w:color w:val="231F20"/>
          <w:spacing w:val="16"/>
        </w:rPr>
        <w:t> </w:t>
      </w:r>
      <w:r>
        <w:rPr>
          <w:color w:val="231F20"/>
        </w:rPr>
        <w:t>geplaatste</w:t>
      </w:r>
      <w:r>
        <w:rPr>
          <w:color w:val="231F20"/>
          <w:spacing w:val="16"/>
        </w:rPr>
        <w:t> </w:t>
      </w:r>
      <w:r>
        <w:rPr>
          <w:color w:val="231F20"/>
        </w:rPr>
        <w:t>kapitaal</w:t>
      </w:r>
      <w:r>
        <w:rPr>
          <w:color w:val="231F20"/>
          <w:spacing w:val="16"/>
        </w:rPr>
        <w:t> </w:t>
      </w:r>
      <w:r>
        <w:rPr>
          <w:color w:val="231F20"/>
        </w:rPr>
        <w:t>dat</w:t>
      </w:r>
      <w:r>
        <w:rPr>
          <w:color w:val="231F20"/>
          <w:spacing w:val="16"/>
        </w:rPr>
        <w:t> </w:t>
      </w:r>
      <w:r>
        <w:rPr>
          <w:color w:val="231F20"/>
        </w:rPr>
        <w:t>zij</w:t>
      </w:r>
      <w:r>
        <w:rPr>
          <w:color w:val="231F20"/>
          <w:spacing w:val="16"/>
        </w:rPr>
        <w:t> </w:t>
      </w:r>
      <w:r>
        <w:rPr>
          <w:color w:val="231F20"/>
        </w:rPr>
        <w:t>vertegenwoordigen;</w:t>
      </w:r>
    </w:p>
    <w:p>
      <w:pPr>
        <w:pStyle w:val="BodyText"/>
        <w:spacing w:before="92"/>
        <w:ind w:left="283" w:right="0" w:firstLine="0"/>
        <w:jc w:val="left"/>
      </w:pPr>
      <w:r>
        <w:rPr>
          <w:color w:val="231F20"/>
        </w:rPr>
        <w:t>2° de ontvangen vergoeding;</w:t>
      </w:r>
    </w:p>
    <w:p>
      <w:pPr>
        <w:pStyle w:val="BodyText"/>
        <w:spacing w:line="218" w:lineRule="auto" w:before="104"/>
      </w:pPr>
      <w:r>
        <w:rPr>
          <w:color w:val="231F20"/>
        </w:rPr>
        <w:t>3° de identiteit van de verkrijger, voor zover die aan de vennootschap bekend is; voor personeel moeten, onverminderd strengere wettelijke bepalingen, geen individuele details over verkrijgers worden meege- geven;</w:t>
      </w:r>
    </w:p>
    <w:p>
      <w:pPr>
        <w:pStyle w:val="BodyText"/>
        <w:spacing w:line="218" w:lineRule="auto" w:before="107"/>
      </w:pPr>
      <w:r>
        <w:rPr>
          <w:color w:val="231F20"/>
        </w:rPr>
        <w:t>4° in het geval bedoeld in artikel 7:218, § 1, 3°, de redenen en de doeleinden van de vervreemdingen.</w:t>
      </w:r>
    </w:p>
    <w:p>
      <w:pPr>
        <w:pStyle w:val="BodyText"/>
        <w:spacing w:line="218" w:lineRule="auto" w:before="106"/>
      </w:pPr>
      <w:r>
        <w:rPr>
          <w:color w:val="231F20"/>
        </w:rPr>
        <w:t>Onderafdeling 2. Verkrijging van aandelen, winstbewijzen of certifi- caten van de vennootschap door een dochtervennootschap.</w:t>
      </w:r>
    </w:p>
    <w:p>
      <w:pPr>
        <w:pStyle w:val="BodyText"/>
        <w:spacing w:line="218" w:lineRule="auto" w:before="107"/>
      </w:pPr>
      <w:r>
        <w:rPr>
          <w:color w:val="231F20"/>
        </w:rPr>
        <w:t>Art. 7:221. De verwerving, het bezit en de vervreemding</w:t>
      </w:r>
      <w:r>
        <w:rPr>
          <w:color w:val="231F20"/>
          <w:spacing w:val="26"/>
        </w:rPr>
        <w:t> </w:t>
      </w:r>
      <w:r>
        <w:rPr>
          <w:color w:val="231F20"/>
        </w:rPr>
        <w:t>van aandelen en winstbewijzen van de vennootschap, en van certificaten  die betrekking hebben op deze aandelen of winstbewijzen, door een dochtervennootschap van deze vennootschap die rechtstreeks wordt gecontroleerd, als bedoeld in artikel 1:14, § 2, 1°, 2° en 4°, of door een persoon die handelt in eigen naam, maar voor rekening van die dochtervennootschap, worden gelijkgesteld met de verwerving, het bezit en de vervreemding door de naamloze vennootschap zelf. De dividenden verbonden aan de aandelen, winstbewijzen of certificaten die de dochtervennootschap of de persoon die handelt in eigen naam, maar voor rekening van de dochtervennootschap bezit, komen evenwel toe aan de</w:t>
      </w:r>
      <w:r>
        <w:rPr>
          <w:color w:val="231F20"/>
          <w:spacing w:val="4"/>
        </w:rPr>
        <w:t> </w:t>
      </w:r>
      <w:r>
        <w:rPr>
          <w:color w:val="231F20"/>
        </w:rPr>
        <w:t>dochtervennootschap.</w:t>
      </w:r>
    </w:p>
    <w:p>
      <w:pPr>
        <w:pStyle w:val="BodyText"/>
        <w:spacing w:line="218" w:lineRule="auto" w:before="108"/>
      </w:pPr>
      <w:r>
        <w:rPr>
          <w:color w:val="231F20"/>
        </w:rPr>
        <w:t>Het eerste lid geldt evenwel niet wanneer de aandelen of winstbe- wijzen van de moedervennootschap of de certificaten die betrekking hebben op deze aandelen of winstbewijzen, in het bezit zijn van een dochtervennootschap die in haar hoedanigheid van professionele effectenhandelaar een beursvennootschap of een kredietinstelling is.</w:t>
      </w:r>
    </w:p>
    <w:p>
      <w:pPr>
        <w:pStyle w:val="BodyText"/>
        <w:spacing w:line="218" w:lineRule="auto" w:before="107"/>
      </w:pPr>
      <w:r>
        <w:rPr>
          <w:color w:val="231F20"/>
        </w:rPr>
        <w:t>Art.</w:t>
      </w:r>
      <w:r>
        <w:rPr>
          <w:color w:val="231F20"/>
          <w:spacing w:val="-6"/>
        </w:rPr>
        <w:t> </w:t>
      </w:r>
      <w:r>
        <w:rPr>
          <w:color w:val="231F20"/>
        </w:rPr>
        <w:t>7:222.</w:t>
      </w:r>
      <w:r>
        <w:rPr>
          <w:color w:val="231F20"/>
          <w:spacing w:val="-6"/>
        </w:rPr>
        <w:t> </w:t>
      </w:r>
      <w:r>
        <w:rPr>
          <w:color w:val="231F20"/>
          <w:spacing w:val="-3"/>
        </w:rPr>
        <w:t>Wanneer</w:t>
      </w:r>
      <w:r>
        <w:rPr>
          <w:color w:val="231F20"/>
          <w:spacing w:val="-6"/>
        </w:rPr>
        <w:t> </w:t>
      </w:r>
      <w:r>
        <w:rPr>
          <w:color w:val="231F20"/>
        </w:rPr>
        <w:t>de</w:t>
      </w:r>
      <w:r>
        <w:rPr>
          <w:color w:val="231F20"/>
          <w:spacing w:val="-6"/>
        </w:rPr>
        <w:t> </w:t>
      </w:r>
      <w:r>
        <w:rPr>
          <w:color w:val="231F20"/>
        </w:rPr>
        <w:t>andere</w:t>
      </w:r>
      <w:r>
        <w:rPr>
          <w:color w:val="231F20"/>
          <w:spacing w:val="-5"/>
        </w:rPr>
        <w:t> </w:t>
      </w:r>
      <w:r>
        <w:rPr>
          <w:color w:val="231F20"/>
        </w:rPr>
        <w:t>dan</w:t>
      </w:r>
      <w:r>
        <w:rPr>
          <w:color w:val="231F20"/>
          <w:spacing w:val="-6"/>
        </w:rPr>
        <w:t> </w:t>
      </w:r>
      <w:r>
        <w:rPr>
          <w:color w:val="231F20"/>
        </w:rPr>
        <w:t>rechtstreekse</w:t>
      </w:r>
      <w:r>
        <w:rPr>
          <w:color w:val="231F20"/>
          <w:spacing w:val="-6"/>
        </w:rPr>
        <w:t> </w:t>
      </w:r>
      <w:r>
        <w:rPr>
          <w:color w:val="231F20"/>
        </w:rPr>
        <w:t>dochters</w:t>
      </w:r>
      <w:r>
        <w:rPr>
          <w:color w:val="231F20"/>
          <w:spacing w:val="-6"/>
        </w:rPr>
        <w:t> </w:t>
      </w:r>
      <w:r>
        <w:rPr>
          <w:color w:val="231F20"/>
        </w:rPr>
        <w:t>aandelen</w:t>
      </w:r>
      <w:r>
        <w:rPr>
          <w:color w:val="231F20"/>
          <w:spacing w:val="-6"/>
        </w:rPr>
        <w:t> </w:t>
      </w:r>
      <w:r>
        <w:rPr>
          <w:color w:val="231F20"/>
        </w:rPr>
        <w:t>of winstbewijzen van hun genoteerde moedervennootschap aan- of verkopen, dienen zij de artikelen 7:215, § 1, 4°, en 7:218, § 1, 1°, 2° en</w:t>
      </w:r>
      <w:r>
        <w:rPr>
          <w:color w:val="231F20"/>
          <w:spacing w:val="-19"/>
        </w:rPr>
        <w:t> </w:t>
      </w:r>
      <w:r>
        <w:rPr>
          <w:color w:val="231F20"/>
        </w:rPr>
        <w:t>4°, in acht te</w:t>
      </w:r>
      <w:r>
        <w:rPr>
          <w:color w:val="231F20"/>
          <w:spacing w:val="3"/>
        </w:rPr>
        <w:t> </w:t>
      </w:r>
      <w:r>
        <w:rPr>
          <w:color w:val="231F20"/>
        </w:rPr>
        <w:t>nemen.</w:t>
      </w:r>
    </w:p>
    <w:p>
      <w:pPr>
        <w:pStyle w:val="BodyText"/>
        <w:spacing w:line="218" w:lineRule="auto" w:before="117"/>
      </w:pPr>
      <w:r>
        <w:rPr>
          <w:color w:val="231F20"/>
        </w:rPr>
        <w:t>Het eerste lid geldt evenwel niet wanneer de aandelen of winstbe- wijzen van de moedervennootschap of de certificaten die betrekking hebben op deze aandelen of winstbewijzen, in het bezit zijn van een onrechtstreekse dochtervennootschap die in haar hoedanigheid van professionele effectenhandelaar een beursvennootschap of een krediet- instelling is.</w:t>
      </w:r>
    </w:p>
    <w:p>
      <w:pPr>
        <w:pStyle w:val="BodyText"/>
        <w:spacing w:line="218" w:lineRule="auto" w:before="118"/>
      </w:pPr>
      <w:r>
        <w:rPr>
          <w:color w:val="231F20"/>
        </w:rPr>
        <w:t>Art. 7:223. De aandelen, winstbewijzen of certificaten die met overtreding van artikel 7:221 in bezit worden gehouden, zijn overeen- komstig artikel 7:219 nietig. Die effecten worden ter vernietiging aan de moedervennootschap bezorgd, die de tegenwaarde ervan terugbetaalt.</w:t>
      </w:r>
    </w:p>
    <w:p>
      <w:pPr>
        <w:pStyle w:val="BodyText"/>
        <w:spacing w:line="218" w:lineRule="auto" w:before="118"/>
      </w:pPr>
      <w:r>
        <w:rPr>
          <w:color w:val="231F20"/>
        </w:rPr>
        <w:t>Art. 7:224. De stemrechten verbonden aan de aandelen of winstbe- wijzen van de vennootschap die een dochtervennootschap bezit, worden geschorst. Hetzelfde geldt voor de stemrechten verbonden aan de aandelen of winstbewijzen waarvan die dochtervennootschap of een persoon die handelt in eigen naam maar voor rekening van die dochtervennootschap de certificaten bezit die met medewerking van de vennootschap werden</w:t>
      </w:r>
      <w:r>
        <w:rPr>
          <w:color w:val="231F20"/>
          <w:spacing w:val="-10"/>
        </w:rPr>
        <w:t> </w:t>
      </w:r>
      <w:r>
        <w:rPr>
          <w:color w:val="231F20"/>
        </w:rPr>
        <w:t>uitgegeven.</w:t>
      </w:r>
    </w:p>
    <w:p>
      <w:pPr>
        <w:pStyle w:val="BodyText"/>
        <w:spacing w:line="218" w:lineRule="auto" w:before="118"/>
        <w:ind w:right="123"/>
      </w:pPr>
      <w:r>
        <w:rPr>
          <w:color w:val="231F20"/>
        </w:rPr>
        <w:t>Art. 7:225. Elke dochtervennootschap geeft haar moedervennoot- schap kennis van het aantal en de aard van de door deze laatste uitgegeven effecten met stemrecht en van de certificaten met</w:t>
      </w:r>
      <w:r>
        <w:rPr>
          <w:color w:val="231F20"/>
          <w:spacing w:val="-27"/>
        </w:rPr>
        <w:t> </w:t>
      </w:r>
      <w:r>
        <w:rPr>
          <w:color w:val="231F20"/>
        </w:rPr>
        <w:t>betrekking tot deze effecten met stemrecht die zij in bezit heeft en ook van elke wijziging in haar</w:t>
      </w:r>
      <w:r>
        <w:rPr>
          <w:color w:val="231F20"/>
          <w:spacing w:val="5"/>
        </w:rPr>
        <w:t> </w:t>
      </w:r>
      <w:r>
        <w:rPr>
          <w:color w:val="231F20"/>
        </w:rPr>
        <w:t>effectenportefeuille.</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016" from="298.170502pt,64.473pt" to="298.170502pt,812.819pt" stroked="true" strokeweight=".533pt" strokecolor="#231f20">
            <v:stroke dashstyle="solid"/>
            <w10:wrap type="none"/>
          </v:line>
        </w:pict>
      </w:r>
      <w:bookmarkStart w:name="_bookmark208" w:id="214"/>
      <w:bookmarkEnd w:id="214"/>
      <w:r>
        <w:rPr/>
      </w:r>
      <w:r>
        <w:rPr>
          <w:color w:val="231F20"/>
        </w:rPr>
        <w:t>Ces notifications sont faites dans un délai de deux jours à compter soit du jour où la prise de contrôle a été connue de la société nouvellement contrôlée pour les titres qu’elle détenait avant cette date, soit du jour de l’opération pour les acquisitions ou les aliénations ultérieures.</w:t>
      </w:r>
    </w:p>
    <w:p>
      <w:pPr>
        <w:pStyle w:val="BodyText"/>
        <w:ind w:left="0" w:right="0" w:firstLine="0"/>
        <w:jc w:val="left"/>
        <w:rPr>
          <w:sz w:val="20"/>
        </w:rPr>
      </w:pPr>
    </w:p>
    <w:p>
      <w:pPr>
        <w:pStyle w:val="BodyText"/>
        <w:spacing w:line="218" w:lineRule="auto" w:before="130"/>
        <w:ind w:right="38"/>
      </w:pPr>
      <w:r>
        <w:rPr>
          <w:color w:val="231F20"/>
          <w:spacing w:val="-4"/>
        </w:rPr>
        <w:t>Toute </w:t>
      </w:r>
      <w:r>
        <w:rPr>
          <w:color w:val="231F20"/>
        </w:rPr>
        <w:t>société mentionne, dans l’annexe à ses comptes annuels relative à l’état du capital, la structure de son actionnariat à la date de clôture de ses comptes, telle qu’elle résulte des déclarations qu’elle a reçues.</w:t>
      </w:r>
    </w:p>
    <w:p>
      <w:pPr>
        <w:pStyle w:val="BodyText"/>
        <w:ind w:left="0" w:right="0" w:firstLine="0"/>
        <w:jc w:val="left"/>
        <w:rPr>
          <w:sz w:val="16"/>
        </w:rPr>
      </w:pPr>
    </w:p>
    <w:p>
      <w:pPr>
        <w:pStyle w:val="BodyText"/>
        <w:spacing w:line="218" w:lineRule="auto"/>
        <w:ind w:right="38"/>
      </w:pPr>
      <w:r>
        <w:rPr>
          <w:color w:val="231F20"/>
        </w:rPr>
        <w:t>Sous-section 3. Prise en gage d’actions, de parts bénéficiaires ou de certificats propres.</w:t>
      </w:r>
    </w:p>
    <w:p>
      <w:pPr>
        <w:pStyle w:val="BodyText"/>
        <w:spacing w:line="216" w:lineRule="auto" w:before="168"/>
        <w:ind w:right="38"/>
      </w:pPr>
      <w:r>
        <w:rPr>
          <w:color w:val="231F20"/>
        </w:rPr>
        <w:t>Art. 7:226. § 1</w:t>
      </w:r>
      <w:r>
        <w:rPr>
          <w:color w:val="231F20"/>
          <w:position w:val="7"/>
          <w:sz w:val="11"/>
        </w:rPr>
        <w:t>er</w:t>
      </w:r>
      <w:r>
        <w:rPr>
          <w:color w:val="231F20"/>
        </w:rPr>
        <w:t>. La prise en gage par une société de ses propres actions ou parts bénéficiaires ou certificats se rapportant à de telles actions ou parts bénéficiaires, soit par elle-même, soit par une société filiale contrôlée directement visé à l’article 7:221, soit par une personne agissant en son nom propre mais pour compte de la société ou cette filiale directe, est assimilée à une acquisition pour l’application des articles 7:215, § 1</w:t>
      </w:r>
      <w:r>
        <w:rPr>
          <w:color w:val="231F20"/>
          <w:position w:val="7"/>
          <w:sz w:val="11"/>
        </w:rPr>
        <w:t>er</w:t>
      </w:r>
      <w:r>
        <w:rPr>
          <w:color w:val="231F20"/>
        </w:rPr>
        <w:t>, 7:216, 2°, et 7:220.</w:t>
      </w:r>
    </w:p>
    <w:p>
      <w:pPr>
        <w:pStyle w:val="BodyText"/>
        <w:spacing w:before="2"/>
        <w:ind w:left="0" w:right="0" w:firstLine="0"/>
        <w:jc w:val="left"/>
        <w:rPr>
          <w:sz w:val="31"/>
        </w:rPr>
      </w:pPr>
    </w:p>
    <w:p>
      <w:pPr>
        <w:pStyle w:val="BodyText"/>
        <w:spacing w:line="218" w:lineRule="auto"/>
        <w:ind w:right="38"/>
      </w:pPr>
      <w:r>
        <w:rPr>
          <w:color w:val="231F20"/>
        </w:rPr>
        <w:t>Nonobstant toute disposition contraire, la société ou la personne agissant en son nom propre mais pour compte de la société ne peuvent exercer le droit de vote attaché aux titres qui leur ont été remis en gage.</w:t>
      </w:r>
    </w:p>
    <w:p>
      <w:pPr>
        <w:pStyle w:val="BodyText"/>
        <w:ind w:left="0" w:right="0" w:firstLine="0"/>
        <w:jc w:val="left"/>
        <w:rPr>
          <w:sz w:val="20"/>
        </w:rPr>
      </w:pPr>
    </w:p>
    <w:p>
      <w:pPr>
        <w:pStyle w:val="BodyText"/>
        <w:spacing w:line="218" w:lineRule="auto" w:before="115"/>
        <w:ind w:right="38"/>
      </w:pPr>
      <w:r>
        <w:rPr>
          <w:color w:val="231F20"/>
        </w:rPr>
        <w:t>§ 2. Le paragraphe 1</w:t>
      </w:r>
      <w:r>
        <w:rPr>
          <w:color w:val="231F20"/>
          <w:position w:val="7"/>
          <w:sz w:val="11"/>
        </w:rPr>
        <w:t>er</w:t>
      </w:r>
      <w:r>
        <w:rPr>
          <w:color w:val="231F20"/>
        </w:rPr>
        <w:t>, alinéa 1</w:t>
      </w:r>
      <w:r>
        <w:rPr>
          <w:color w:val="231F20"/>
          <w:position w:val="7"/>
          <w:sz w:val="11"/>
        </w:rPr>
        <w:t>er</w:t>
      </w:r>
      <w:r>
        <w:rPr>
          <w:color w:val="231F20"/>
        </w:rPr>
        <w:t>, n’est pas applicable aux opérations courantes conclues aux conditions et sous les garanties normalement exigées, pour des opérations de la même espèce, des établissements de crédit régis par la loi du 25 avril 2014 relative au statut et au contrôle des établissements de crédit et des sociétés de bourse.</w:t>
      </w:r>
    </w:p>
    <w:p>
      <w:pPr>
        <w:pStyle w:val="BodyText"/>
        <w:ind w:left="0" w:right="0" w:firstLine="0"/>
        <w:jc w:val="left"/>
        <w:rPr>
          <w:sz w:val="20"/>
        </w:rPr>
      </w:pPr>
    </w:p>
    <w:p>
      <w:pPr>
        <w:pStyle w:val="BodyText"/>
        <w:spacing w:line="218" w:lineRule="auto" w:before="130"/>
        <w:ind w:right="38"/>
      </w:pPr>
      <w:r>
        <w:rPr>
          <w:color w:val="231F20"/>
        </w:rPr>
        <w:t>Section 3. Financement de l’acquisition des actions, des parts bénéficiaires ou des certificats de la société par un tiers.</w:t>
      </w:r>
    </w:p>
    <w:p>
      <w:pPr>
        <w:pStyle w:val="BodyText"/>
        <w:spacing w:line="218" w:lineRule="auto" w:before="167"/>
        <w:ind w:right="38"/>
      </w:pPr>
      <w:r>
        <w:rPr>
          <w:color w:val="231F20"/>
        </w:rPr>
        <w:t>Art. 7:227. § 1</w:t>
      </w:r>
      <w:r>
        <w:rPr>
          <w:color w:val="231F20"/>
          <w:position w:val="7"/>
          <w:sz w:val="11"/>
        </w:rPr>
        <w:t>er</w:t>
      </w:r>
      <w:r>
        <w:rPr>
          <w:color w:val="231F20"/>
        </w:rPr>
        <w:t>. La société ne peut avancer des fonds ou accorder des prêts ou des sûretés en vue de l’acquisition de ses actions ou de ses parts bénéficiaires ou en vue de l’acquisition ou de la souscription par un tiers de certificats se rapportant à des actions ou des parts bénéficiaires qu’aux conditions</w:t>
      </w:r>
      <w:r>
        <w:rPr>
          <w:color w:val="231F20"/>
          <w:spacing w:val="4"/>
        </w:rPr>
        <w:t> </w:t>
      </w:r>
      <w:r>
        <w:rPr>
          <w:color w:val="231F20"/>
        </w:rPr>
        <w:t>suivantes:</w:t>
      </w:r>
    </w:p>
    <w:p>
      <w:pPr>
        <w:pStyle w:val="BodyText"/>
        <w:ind w:left="0" w:right="0" w:firstLine="0"/>
        <w:jc w:val="left"/>
        <w:rPr>
          <w:sz w:val="20"/>
        </w:rPr>
      </w:pPr>
    </w:p>
    <w:p>
      <w:pPr>
        <w:pStyle w:val="BodyText"/>
        <w:spacing w:line="218" w:lineRule="auto" w:before="130"/>
        <w:ind w:right="38"/>
      </w:pPr>
      <w:r>
        <w:rPr>
          <w:color w:val="231F20"/>
        </w:rPr>
        <w:t>1° l’opération a lieu sous la responsabilité de l’organe d’administra- tion</w:t>
      </w:r>
      <w:r>
        <w:rPr>
          <w:color w:val="231F20"/>
          <w:spacing w:val="-5"/>
        </w:rPr>
        <w:t> </w:t>
      </w:r>
      <w:r>
        <w:rPr>
          <w:color w:val="231F20"/>
        </w:rPr>
        <w:t>à</w:t>
      </w:r>
      <w:r>
        <w:rPr>
          <w:color w:val="231F20"/>
          <w:spacing w:val="-5"/>
        </w:rPr>
        <w:t> </w:t>
      </w:r>
      <w:r>
        <w:rPr>
          <w:color w:val="231F20"/>
        </w:rPr>
        <w:t>de</w:t>
      </w:r>
      <w:r>
        <w:rPr>
          <w:color w:val="231F20"/>
          <w:spacing w:val="-5"/>
        </w:rPr>
        <w:t> </w:t>
      </w:r>
      <w:r>
        <w:rPr>
          <w:color w:val="231F20"/>
        </w:rPr>
        <w:t>justes</w:t>
      </w:r>
      <w:r>
        <w:rPr>
          <w:color w:val="231F20"/>
          <w:spacing w:val="-5"/>
        </w:rPr>
        <w:t> </w:t>
      </w:r>
      <w:r>
        <w:rPr>
          <w:color w:val="231F20"/>
        </w:rPr>
        <w:t>conditions</w:t>
      </w:r>
      <w:r>
        <w:rPr>
          <w:color w:val="231F20"/>
          <w:spacing w:val="-5"/>
        </w:rPr>
        <w:t> </w:t>
      </w:r>
      <w:r>
        <w:rPr>
          <w:color w:val="231F20"/>
        </w:rPr>
        <w:t>de</w:t>
      </w:r>
      <w:r>
        <w:rPr>
          <w:color w:val="231F20"/>
          <w:spacing w:val="-4"/>
        </w:rPr>
        <w:t> </w:t>
      </w:r>
      <w:r>
        <w:rPr>
          <w:color w:val="231F20"/>
        </w:rPr>
        <w:t>marché,</w:t>
      </w:r>
      <w:r>
        <w:rPr>
          <w:color w:val="231F20"/>
          <w:spacing w:val="-5"/>
        </w:rPr>
        <w:t> </w:t>
      </w:r>
      <w:r>
        <w:rPr>
          <w:color w:val="231F20"/>
        </w:rPr>
        <w:t>notamment</w:t>
      </w:r>
      <w:r>
        <w:rPr>
          <w:color w:val="231F20"/>
          <w:spacing w:val="-5"/>
        </w:rPr>
        <w:t> </w:t>
      </w:r>
      <w:r>
        <w:rPr>
          <w:color w:val="231F20"/>
        </w:rPr>
        <w:t>au</w:t>
      </w:r>
      <w:r>
        <w:rPr>
          <w:color w:val="231F20"/>
          <w:spacing w:val="-5"/>
        </w:rPr>
        <w:t> </w:t>
      </w:r>
      <w:r>
        <w:rPr>
          <w:color w:val="231F20"/>
        </w:rPr>
        <w:t>regard</w:t>
      </w:r>
      <w:r>
        <w:rPr>
          <w:color w:val="231F20"/>
          <w:spacing w:val="-5"/>
        </w:rPr>
        <w:t> </w:t>
      </w:r>
      <w:r>
        <w:rPr>
          <w:color w:val="231F20"/>
        </w:rPr>
        <w:t>des</w:t>
      </w:r>
      <w:r>
        <w:rPr>
          <w:color w:val="231F20"/>
          <w:spacing w:val="-4"/>
        </w:rPr>
        <w:t> </w:t>
      </w:r>
      <w:r>
        <w:rPr>
          <w:color w:val="231F20"/>
        </w:rPr>
        <w:t>intérêts perçus par la société et des sûretés qui lui sont données, et la situation financière</w:t>
      </w:r>
      <w:r>
        <w:rPr>
          <w:color w:val="231F20"/>
          <w:spacing w:val="12"/>
        </w:rPr>
        <w:t> </w:t>
      </w:r>
      <w:r>
        <w:rPr>
          <w:color w:val="231F20"/>
        </w:rPr>
        <w:t>de</w:t>
      </w:r>
      <w:r>
        <w:rPr>
          <w:color w:val="231F20"/>
          <w:spacing w:val="12"/>
        </w:rPr>
        <w:t> </w:t>
      </w:r>
      <w:r>
        <w:rPr>
          <w:color w:val="231F20"/>
        </w:rPr>
        <w:t>chaque</w:t>
      </w:r>
      <w:r>
        <w:rPr>
          <w:color w:val="231F20"/>
          <w:spacing w:val="12"/>
        </w:rPr>
        <w:t> </w:t>
      </w:r>
      <w:r>
        <w:rPr>
          <w:color w:val="231F20"/>
        </w:rPr>
        <w:t>contrepartie</w:t>
      </w:r>
      <w:r>
        <w:rPr>
          <w:color w:val="231F20"/>
          <w:spacing w:val="12"/>
        </w:rPr>
        <w:t> </w:t>
      </w:r>
      <w:r>
        <w:rPr>
          <w:color w:val="231F20"/>
        </w:rPr>
        <w:t>concernée</w:t>
      </w:r>
      <w:r>
        <w:rPr>
          <w:color w:val="231F20"/>
          <w:spacing w:val="12"/>
        </w:rPr>
        <w:t> </w:t>
      </w:r>
      <w:r>
        <w:rPr>
          <w:color w:val="231F20"/>
        </w:rPr>
        <w:t>est</w:t>
      </w:r>
      <w:r>
        <w:rPr>
          <w:color w:val="231F20"/>
          <w:spacing w:val="12"/>
        </w:rPr>
        <w:t> </w:t>
      </w:r>
      <w:r>
        <w:rPr>
          <w:color w:val="231F20"/>
        </w:rPr>
        <w:t>dûment</w:t>
      </w:r>
      <w:r>
        <w:rPr>
          <w:color w:val="231F20"/>
          <w:spacing w:val="12"/>
        </w:rPr>
        <w:t> </w:t>
      </w:r>
      <w:r>
        <w:rPr>
          <w:color w:val="231F20"/>
        </w:rPr>
        <w:t>examinée;</w:t>
      </w:r>
    </w:p>
    <w:p>
      <w:pPr>
        <w:pStyle w:val="BodyText"/>
        <w:ind w:left="0" w:right="0" w:firstLine="0"/>
        <w:jc w:val="left"/>
        <w:rPr>
          <w:sz w:val="20"/>
        </w:rPr>
      </w:pPr>
    </w:p>
    <w:p>
      <w:pPr>
        <w:pStyle w:val="BodyText"/>
        <w:spacing w:line="218" w:lineRule="auto" w:before="130"/>
        <w:ind w:right="38"/>
      </w:pPr>
      <w:r>
        <w:rPr>
          <w:color w:val="231F20"/>
        </w:rPr>
        <w:t>2° l’opération est autorisée par une décision préalable de l’assemblée générale, prise dans le respect des conditions de quorum et de majorité requises pour la modification des statuts;</w:t>
      </w:r>
    </w:p>
    <w:p>
      <w:pPr>
        <w:pStyle w:val="BodyText"/>
        <w:spacing w:before="11"/>
        <w:ind w:left="0" w:right="0" w:firstLine="0"/>
        <w:jc w:val="left"/>
        <w:rPr>
          <w:sz w:val="15"/>
        </w:rPr>
      </w:pPr>
    </w:p>
    <w:p>
      <w:pPr>
        <w:pStyle w:val="BodyText"/>
        <w:spacing w:line="218" w:lineRule="auto"/>
        <w:ind w:right="38"/>
      </w:pPr>
      <w:r>
        <w:rPr>
          <w:color w:val="231F20"/>
        </w:rPr>
        <w:t>3° le montant des avances ou du prêt, soit la contrevaleur de la sûreté doivent être susceptibles  d’être  distribuées  conformément  à  l’arti-  cle 7:212. La société inscrit au passif du bilan une réserve indisponible d’un montant correspondant à l’aide financière totale. Cette</w:t>
      </w:r>
      <w:r>
        <w:rPr>
          <w:color w:val="231F20"/>
          <w:spacing w:val="28"/>
        </w:rPr>
        <w:t> </w:t>
      </w:r>
      <w:r>
        <w:rPr>
          <w:color w:val="231F20"/>
        </w:rPr>
        <w:t>réserve peut être retirée proportionnellement à la diminution de l’aide apportée;</w:t>
      </w:r>
    </w:p>
    <w:p>
      <w:pPr>
        <w:pStyle w:val="BodyText"/>
        <w:spacing w:before="3"/>
        <w:ind w:left="0" w:right="0" w:firstLine="0"/>
        <w:jc w:val="left"/>
        <w:rPr>
          <w:sz w:val="16"/>
        </w:rPr>
      </w:pPr>
    </w:p>
    <w:p>
      <w:pPr>
        <w:pStyle w:val="BodyText"/>
        <w:spacing w:line="213" w:lineRule="auto"/>
        <w:ind w:right="38"/>
      </w:pPr>
      <w:r>
        <w:rPr>
          <w:color w:val="231F20"/>
        </w:rPr>
        <w:t>4°</w:t>
      </w:r>
      <w:r>
        <w:rPr>
          <w:color w:val="231F20"/>
          <w:spacing w:val="-6"/>
        </w:rPr>
        <w:t> </w:t>
      </w:r>
      <w:r>
        <w:rPr>
          <w:color w:val="231F20"/>
        </w:rPr>
        <w:t>lorsqu’un</w:t>
      </w:r>
      <w:r>
        <w:rPr>
          <w:color w:val="231F20"/>
          <w:spacing w:val="-5"/>
        </w:rPr>
        <w:t> </w:t>
      </w:r>
      <w:r>
        <w:rPr>
          <w:color w:val="231F20"/>
        </w:rPr>
        <w:t>tiers</w:t>
      </w:r>
      <w:r>
        <w:rPr>
          <w:color w:val="231F20"/>
          <w:spacing w:val="-5"/>
        </w:rPr>
        <w:t> </w:t>
      </w:r>
      <w:r>
        <w:rPr>
          <w:color w:val="231F20"/>
        </w:rPr>
        <w:t>bénéficiant</w:t>
      </w:r>
      <w:r>
        <w:rPr>
          <w:color w:val="231F20"/>
          <w:spacing w:val="-6"/>
        </w:rPr>
        <w:t> </w:t>
      </w:r>
      <w:r>
        <w:rPr>
          <w:color w:val="231F20"/>
        </w:rPr>
        <w:t>de</w:t>
      </w:r>
      <w:r>
        <w:rPr>
          <w:color w:val="231F20"/>
          <w:spacing w:val="-5"/>
        </w:rPr>
        <w:t> </w:t>
      </w:r>
      <w:r>
        <w:rPr>
          <w:color w:val="231F20"/>
        </w:rPr>
        <w:t>l’aide</w:t>
      </w:r>
      <w:r>
        <w:rPr>
          <w:color w:val="231F20"/>
          <w:spacing w:val="-5"/>
        </w:rPr>
        <w:t> </w:t>
      </w:r>
      <w:r>
        <w:rPr>
          <w:color w:val="231F20"/>
        </w:rPr>
        <w:t>financière</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société</w:t>
      </w:r>
      <w:r>
        <w:rPr>
          <w:color w:val="231F20"/>
          <w:spacing w:val="-5"/>
        </w:rPr>
        <w:t> </w:t>
      </w:r>
      <w:r>
        <w:rPr>
          <w:color w:val="231F20"/>
        </w:rPr>
        <w:t>acquiert des actions aliénées par la société conformément à l’article 7:218, § 1</w:t>
      </w:r>
      <w:r>
        <w:rPr>
          <w:color w:val="231F20"/>
          <w:position w:val="7"/>
          <w:sz w:val="11"/>
        </w:rPr>
        <w:t>er</w:t>
      </w:r>
      <w:r>
        <w:rPr>
          <w:color w:val="231F20"/>
        </w:rPr>
        <w:t>, ou souscrit des actions émises dans le cadre d’une augmentation du capital souscrit, cette acquisition ou cette souscription est effectuée à</w:t>
      </w:r>
      <w:r>
        <w:rPr>
          <w:color w:val="231F20"/>
          <w:spacing w:val="-27"/>
        </w:rPr>
        <w:t> </w:t>
      </w:r>
      <w:r>
        <w:rPr>
          <w:color w:val="231F20"/>
        </w:rPr>
        <w:t>un juste</w:t>
      </w:r>
      <w:r>
        <w:rPr>
          <w:color w:val="231F20"/>
          <w:spacing w:val="14"/>
        </w:rPr>
        <w:t> </w:t>
      </w:r>
      <w:r>
        <w:rPr>
          <w:color w:val="231F20"/>
        </w:rPr>
        <w:t>prix.</w:t>
      </w:r>
    </w:p>
    <w:p>
      <w:pPr>
        <w:pStyle w:val="BodyText"/>
        <w:spacing w:line="218" w:lineRule="auto" w:before="168"/>
        <w:ind w:right="38"/>
      </w:pPr>
      <w:r>
        <w:rPr>
          <w:color w:val="231F20"/>
        </w:rPr>
        <w:t>En vue de l’opération visée à l’alinéa 1</w:t>
      </w:r>
      <w:r>
        <w:rPr>
          <w:color w:val="231F20"/>
          <w:position w:val="7"/>
          <w:sz w:val="11"/>
        </w:rPr>
        <w:t>er</w:t>
      </w:r>
      <w:r>
        <w:rPr>
          <w:color w:val="231F20"/>
        </w:rPr>
        <w:t>, 2°, l’organe d’administra- tion rédige un rapport indiquant les motifs de l’opération, son intérêt pour la société, ses conditions, les risques pour la liquidité, la</w:t>
      </w:r>
      <w:r>
        <w:rPr>
          <w:color w:val="231F20"/>
          <w:spacing w:val="-15"/>
        </w:rPr>
        <w:t> </w:t>
      </w:r>
      <w:r>
        <w:rPr>
          <w:color w:val="231F20"/>
        </w:rPr>
        <w:t>solvabilité de la société et le prix auquel le tiers acquerra les actions. Si un membre de l’organe d’administration de la société mère ou la société mère elle-même est bénéficiaire de l’opération, le rapport de</w:t>
      </w:r>
      <w:r>
        <w:rPr>
          <w:color w:val="231F20"/>
          <w:spacing w:val="18"/>
        </w:rPr>
        <w:t> </w:t>
      </w:r>
      <w:r>
        <w:rPr>
          <w:color w:val="231F20"/>
        </w:rPr>
        <w:t>l’organe d’administration doit en outre spécialement justifier la décision prise compte tenu de la qualité du bénéficiaire et des conséquences patrimoniales de cette opération pour la société. Ce rapport est</w:t>
      </w:r>
      <w:r>
        <w:rPr>
          <w:color w:val="231F20"/>
          <w:spacing w:val="-18"/>
        </w:rPr>
        <w:t> </w:t>
      </w:r>
      <w:r>
        <w:rPr>
          <w:color w:val="231F20"/>
        </w:rPr>
        <w:t>annoncé dans l’ordre du jour de l’assemblée générale visée au 1°. Une copie peut en</w:t>
      </w:r>
      <w:r>
        <w:rPr>
          <w:color w:val="231F20"/>
          <w:spacing w:val="-4"/>
        </w:rPr>
        <w:t> </w:t>
      </w:r>
      <w:r>
        <w:rPr>
          <w:color w:val="231F20"/>
        </w:rPr>
        <w:t>être</w:t>
      </w:r>
      <w:r>
        <w:rPr>
          <w:color w:val="231F20"/>
          <w:spacing w:val="-3"/>
        </w:rPr>
        <w:t> </w:t>
      </w:r>
      <w:r>
        <w:rPr>
          <w:color w:val="231F20"/>
        </w:rPr>
        <w:t>obtenue</w:t>
      </w:r>
      <w:r>
        <w:rPr>
          <w:color w:val="231F20"/>
          <w:spacing w:val="-4"/>
        </w:rPr>
        <w:t> </w:t>
      </w:r>
      <w:r>
        <w:rPr>
          <w:color w:val="231F20"/>
        </w:rPr>
        <w:t>conformément</w:t>
      </w:r>
      <w:r>
        <w:rPr>
          <w:color w:val="231F20"/>
          <w:spacing w:val="-3"/>
        </w:rPr>
        <w:t> </w:t>
      </w:r>
      <w:r>
        <w:rPr>
          <w:color w:val="231F20"/>
        </w:rPr>
        <w:t>à</w:t>
      </w:r>
      <w:r>
        <w:rPr>
          <w:color w:val="231F20"/>
          <w:spacing w:val="-3"/>
        </w:rPr>
        <w:t> </w:t>
      </w:r>
      <w:r>
        <w:rPr>
          <w:color w:val="231F20"/>
        </w:rPr>
        <w:t>l’article</w:t>
      </w:r>
      <w:r>
        <w:rPr>
          <w:color w:val="231F20"/>
          <w:spacing w:val="-4"/>
        </w:rPr>
        <w:t> </w:t>
      </w:r>
      <w:r>
        <w:rPr>
          <w:color w:val="231F20"/>
        </w:rPr>
        <w:t>7:132.</w:t>
      </w:r>
      <w:r>
        <w:rPr>
          <w:color w:val="231F20"/>
          <w:spacing w:val="-3"/>
        </w:rPr>
        <w:t> </w:t>
      </w:r>
      <w:r>
        <w:rPr>
          <w:color w:val="231F20"/>
        </w:rPr>
        <w:t>Une</w:t>
      </w:r>
      <w:r>
        <w:rPr>
          <w:color w:val="231F20"/>
          <w:spacing w:val="-3"/>
        </w:rPr>
        <w:t> </w:t>
      </w:r>
      <w:r>
        <w:rPr>
          <w:color w:val="231F20"/>
        </w:rPr>
        <w:t>copie</w:t>
      </w:r>
      <w:r>
        <w:rPr>
          <w:color w:val="231F20"/>
          <w:spacing w:val="-4"/>
        </w:rPr>
        <w:t> </w:t>
      </w:r>
      <w:r>
        <w:rPr>
          <w:color w:val="231F20"/>
        </w:rPr>
        <w:t>est</w:t>
      </w:r>
      <w:r>
        <w:rPr>
          <w:color w:val="231F20"/>
          <w:spacing w:val="-3"/>
        </w:rPr>
        <w:t> </w:t>
      </w:r>
      <w:r>
        <w:rPr>
          <w:color w:val="231F20"/>
        </w:rPr>
        <w:t>déposée</w:t>
      </w:r>
      <w:r>
        <w:rPr>
          <w:color w:val="231F20"/>
          <w:spacing w:val="-4"/>
        </w:rPr>
        <w:t> </w:t>
      </w:r>
      <w:r>
        <w:rPr>
          <w:color w:val="231F20"/>
        </w:rPr>
        <w:t>et publiée</w:t>
      </w:r>
      <w:r>
        <w:rPr>
          <w:color w:val="231F20"/>
          <w:spacing w:val="-8"/>
        </w:rPr>
        <w:t> </w:t>
      </w:r>
      <w:r>
        <w:rPr>
          <w:color w:val="231F20"/>
        </w:rPr>
        <w:t>conformément</w:t>
      </w:r>
      <w:r>
        <w:rPr>
          <w:color w:val="231F20"/>
          <w:spacing w:val="-7"/>
        </w:rPr>
        <w:t> </w:t>
      </w:r>
      <w:r>
        <w:rPr>
          <w:color w:val="231F20"/>
        </w:rPr>
        <w:t>aux</w:t>
      </w:r>
      <w:r>
        <w:rPr>
          <w:color w:val="231F20"/>
          <w:spacing w:val="-7"/>
        </w:rPr>
        <w:t> </w:t>
      </w:r>
      <w:r>
        <w:rPr>
          <w:color w:val="231F20"/>
        </w:rPr>
        <w:t>articles</w:t>
      </w:r>
      <w:r>
        <w:rPr>
          <w:color w:val="231F20"/>
          <w:spacing w:val="-7"/>
        </w:rPr>
        <w:t> </w:t>
      </w:r>
      <w:r>
        <w:rPr>
          <w:color w:val="231F20"/>
        </w:rPr>
        <w:t>2:8</w:t>
      </w:r>
      <w:r>
        <w:rPr>
          <w:color w:val="231F20"/>
          <w:spacing w:val="-7"/>
        </w:rPr>
        <w:t> </w:t>
      </w:r>
      <w:r>
        <w:rPr>
          <w:color w:val="231F20"/>
        </w:rPr>
        <w:t>et</w:t>
      </w:r>
      <w:r>
        <w:rPr>
          <w:color w:val="231F20"/>
          <w:spacing w:val="-8"/>
        </w:rPr>
        <w:t> </w:t>
      </w:r>
      <w:r>
        <w:rPr>
          <w:color w:val="231F20"/>
        </w:rPr>
        <w:t>2:14,</w:t>
      </w:r>
      <w:r>
        <w:rPr>
          <w:color w:val="231F20"/>
          <w:spacing w:val="-7"/>
        </w:rPr>
        <w:t> </w:t>
      </w:r>
      <w:r>
        <w:rPr>
          <w:color w:val="231F20"/>
        </w:rPr>
        <w:t>4°.</w:t>
      </w:r>
      <w:r>
        <w:rPr>
          <w:color w:val="231F20"/>
          <w:spacing w:val="-7"/>
        </w:rPr>
        <w:t> </w:t>
      </w:r>
      <w:r>
        <w:rPr>
          <w:color w:val="231F20"/>
        </w:rPr>
        <w:t>En</w:t>
      </w:r>
      <w:r>
        <w:rPr>
          <w:color w:val="231F20"/>
          <w:spacing w:val="-7"/>
        </w:rPr>
        <w:t> </w:t>
      </w:r>
      <w:r>
        <w:rPr>
          <w:color w:val="231F20"/>
        </w:rPr>
        <w:t>cas</w:t>
      </w:r>
      <w:r>
        <w:rPr>
          <w:color w:val="231F20"/>
          <w:spacing w:val="-7"/>
        </w:rPr>
        <w:t> </w:t>
      </w:r>
      <w:r>
        <w:rPr>
          <w:color w:val="231F20"/>
        </w:rPr>
        <w:t>d’absence</w:t>
      </w:r>
      <w:r>
        <w:rPr>
          <w:color w:val="231F20"/>
          <w:spacing w:val="-7"/>
        </w:rPr>
        <w:t> </w:t>
      </w:r>
      <w:r>
        <w:rPr>
          <w:color w:val="231F20"/>
        </w:rPr>
        <w:t>de</w:t>
      </w:r>
      <w:r>
        <w:rPr>
          <w:color w:val="231F20"/>
          <w:spacing w:val="-8"/>
        </w:rPr>
        <w:t> </w:t>
      </w:r>
      <w:r>
        <w:rPr>
          <w:color w:val="231F20"/>
        </w:rPr>
        <w:t>ce rapport,</w:t>
      </w:r>
      <w:r>
        <w:rPr>
          <w:color w:val="231F20"/>
          <w:spacing w:val="15"/>
        </w:rPr>
        <w:t> </w:t>
      </w:r>
      <w:r>
        <w:rPr>
          <w:color w:val="231F20"/>
        </w:rPr>
        <w:t>la</w:t>
      </w:r>
      <w:r>
        <w:rPr>
          <w:color w:val="231F20"/>
          <w:spacing w:val="16"/>
        </w:rPr>
        <w:t> </w:t>
      </w:r>
      <w:r>
        <w:rPr>
          <w:color w:val="231F20"/>
        </w:rPr>
        <w:t>décision</w:t>
      </w:r>
      <w:r>
        <w:rPr>
          <w:color w:val="231F20"/>
          <w:spacing w:val="15"/>
        </w:rPr>
        <w:t> </w:t>
      </w:r>
      <w:r>
        <w:rPr>
          <w:color w:val="231F20"/>
        </w:rPr>
        <w:t>de</w:t>
      </w:r>
      <w:r>
        <w:rPr>
          <w:color w:val="231F20"/>
          <w:spacing w:val="15"/>
        </w:rPr>
        <w:t> </w:t>
      </w:r>
      <w:r>
        <w:rPr>
          <w:color w:val="231F20"/>
        </w:rPr>
        <w:t>l’assemblée</w:t>
      </w:r>
      <w:r>
        <w:rPr>
          <w:color w:val="231F20"/>
          <w:spacing w:val="16"/>
        </w:rPr>
        <w:t> </w:t>
      </w:r>
      <w:r>
        <w:rPr>
          <w:color w:val="231F20"/>
        </w:rPr>
        <w:t>générale</w:t>
      </w:r>
      <w:r>
        <w:rPr>
          <w:color w:val="231F20"/>
          <w:spacing w:val="15"/>
        </w:rPr>
        <w:t> </w:t>
      </w:r>
      <w:r>
        <w:rPr>
          <w:color w:val="231F20"/>
        </w:rPr>
        <w:t>est</w:t>
      </w:r>
      <w:r>
        <w:rPr>
          <w:color w:val="231F20"/>
          <w:spacing w:val="16"/>
        </w:rPr>
        <w:t> </w:t>
      </w:r>
      <w:r>
        <w:rPr>
          <w:color w:val="231F20"/>
        </w:rPr>
        <w:t>nulle.</w:t>
      </w:r>
    </w:p>
    <w:p>
      <w:pPr>
        <w:pStyle w:val="BodyText"/>
        <w:spacing w:line="218" w:lineRule="auto" w:before="119"/>
        <w:ind w:right="123"/>
      </w:pPr>
      <w:r>
        <w:rPr/>
        <w:br w:type="column"/>
      </w:r>
      <w:r>
        <w:rPr>
          <w:color w:val="231F20"/>
        </w:rPr>
        <w:t>Die kennisgevingen gebeuren binnen twee dagen te rekenen, hetzij van de dag waarop de nieuw gecontroleerde vennootschap in kennis is gesteld van de verkrijging van de controle, met betrekking tot de effecten die zij voor die datum in haar bezit had, hetzij van de dag van de verrichting, met betrekking tot latere verkrijgingen of vervreemdin- gen.</w:t>
      </w:r>
    </w:p>
    <w:p>
      <w:pPr>
        <w:pStyle w:val="BodyText"/>
        <w:ind w:left="0" w:right="0" w:firstLine="0"/>
        <w:jc w:val="left"/>
        <w:rPr>
          <w:sz w:val="16"/>
        </w:rPr>
      </w:pPr>
    </w:p>
    <w:p>
      <w:pPr>
        <w:pStyle w:val="BodyText"/>
        <w:spacing w:line="218" w:lineRule="auto"/>
      </w:pPr>
      <w:r>
        <w:rPr>
          <w:color w:val="231F20"/>
        </w:rPr>
        <w:t>Iedere vennootschap vermeldt, in de toelichting bij de jaarrekening met betrekking tot de stand van haar kapitaal, de structuur van haar aandeelhouderschap op de dag van de jaarafsluiting, zoals die blijkt uit de kennisgevingen die zij heeft ontvangen.</w:t>
      </w:r>
    </w:p>
    <w:p>
      <w:pPr>
        <w:pStyle w:val="BodyText"/>
        <w:ind w:left="0" w:right="0" w:firstLine="0"/>
        <w:jc w:val="left"/>
        <w:rPr>
          <w:sz w:val="16"/>
        </w:rPr>
      </w:pPr>
    </w:p>
    <w:p>
      <w:pPr>
        <w:pStyle w:val="BodyText"/>
        <w:spacing w:line="218" w:lineRule="auto"/>
      </w:pPr>
      <w:r>
        <w:rPr>
          <w:color w:val="231F20"/>
        </w:rPr>
        <w:t>Onderafdeling 3. Inpandneming van eigen aandelen, winstbewijzen of</w:t>
      </w:r>
      <w:r>
        <w:rPr>
          <w:color w:val="231F20"/>
          <w:spacing w:val="14"/>
        </w:rPr>
        <w:t> </w:t>
      </w:r>
      <w:r>
        <w:rPr>
          <w:color w:val="231F20"/>
        </w:rPr>
        <w:t>certificaten.</w:t>
      </w:r>
    </w:p>
    <w:p>
      <w:pPr>
        <w:pStyle w:val="BodyText"/>
        <w:ind w:left="0" w:right="0" w:firstLine="0"/>
        <w:jc w:val="left"/>
        <w:rPr>
          <w:sz w:val="16"/>
        </w:rPr>
      </w:pPr>
    </w:p>
    <w:p>
      <w:pPr>
        <w:pStyle w:val="BodyText"/>
        <w:spacing w:line="218" w:lineRule="auto"/>
      </w:pPr>
      <w:r>
        <w:rPr>
          <w:color w:val="231F20"/>
        </w:rPr>
        <w:t>Art. 7:226. § 1. De inpandneming van eigen aandelen of winstbewij- zen of van certificaten die betrekking hebben op zodanige aandelen of winstbewijzen door de vennootschap zelf, door een rechtstreeks gecontroleerde dochtervennootschap als bedoeld in artikel 7:221 of door een persoon die handelt in eigen naam maar voor rekening van de vennootschap of van haar rechtstreekse dochtervennootschap wordt met een verkrijging gelijkgesteld voor de toepassing  van  de  artike-  len</w:t>
      </w:r>
      <w:r>
        <w:rPr>
          <w:color w:val="231F20"/>
          <w:spacing w:val="13"/>
        </w:rPr>
        <w:t> </w:t>
      </w:r>
      <w:r>
        <w:rPr>
          <w:color w:val="231F20"/>
        </w:rPr>
        <w:t>7:215,</w:t>
      </w:r>
      <w:r>
        <w:rPr>
          <w:color w:val="231F20"/>
          <w:spacing w:val="13"/>
        </w:rPr>
        <w:t> </w:t>
      </w:r>
      <w:r>
        <w:rPr>
          <w:color w:val="231F20"/>
        </w:rPr>
        <w:t>§</w:t>
      </w:r>
      <w:r>
        <w:rPr>
          <w:color w:val="231F20"/>
          <w:spacing w:val="13"/>
        </w:rPr>
        <w:t> </w:t>
      </w:r>
      <w:r>
        <w:rPr>
          <w:color w:val="231F20"/>
        </w:rPr>
        <w:t>1,</w:t>
      </w:r>
      <w:r>
        <w:rPr>
          <w:color w:val="231F20"/>
          <w:spacing w:val="14"/>
        </w:rPr>
        <w:t> </w:t>
      </w:r>
      <w:r>
        <w:rPr>
          <w:color w:val="231F20"/>
        </w:rPr>
        <w:t>7:216,</w:t>
      </w:r>
      <w:r>
        <w:rPr>
          <w:color w:val="231F20"/>
          <w:spacing w:val="13"/>
        </w:rPr>
        <w:t> </w:t>
      </w:r>
      <w:r>
        <w:rPr>
          <w:color w:val="231F20"/>
        </w:rPr>
        <w:t>2°,</w:t>
      </w:r>
      <w:r>
        <w:rPr>
          <w:color w:val="231F20"/>
          <w:spacing w:val="13"/>
        </w:rPr>
        <w:t> </w:t>
      </w:r>
      <w:r>
        <w:rPr>
          <w:color w:val="231F20"/>
        </w:rPr>
        <w:t>en</w:t>
      </w:r>
      <w:r>
        <w:rPr>
          <w:color w:val="231F20"/>
          <w:spacing w:val="13"/>
        </w:rPr>
        <w:t> </w:t>
      </w:r>
      <w:r>
        <w:rPr>
          <w:color w:val="231F20"/>
        </w:rPr>
        <w:t>7:220.</w:t>
      </w:r>
    </w:p>
    <w:p>
      <w:pPr>
        <w:pStyle w:val="BodyText"/>
        <w:ind w:left="0" w:right="0" w:firstLine="0"/>
        <w:jc w:val="left"/>
        <w:rPr>
          <w:sz w:val="16"/>
        </w:rPr>
      </w:pPr>
    </w:p>
    <w:p>
      <w:pPr>
        <w:pStyle w:val="BodyText"/>
        <w:spacing w:line="218" w:lineRule="auto"/>
      </w:pPr>
      <w:r>
        <w:rPr>
          <w:color w:val="231F20"/>
        </w:rPr>
        <w:t>Niettegenstaande andersluidende bepaling kunnen noch de vennoot- schap noch de in eigen naam maar voor rekening van de vennootschap optredende persoon het stemrecht uitoefenen dat is verbonden aan de hun in pand gegeven effecten.</w:t>
      </w:r>
    </w:p>
    <w:p>
      <w:pPr>
        <w:pStyle w:val="BodyText"/>
        <w:spacing w:before="11"/>
        <w:ind w:left="0" w:right="0" w:firstLine="0"/>
        <w:jc w:val="left"/>
        <w:rPr>
          <w:sz w:val="15"/>
        </w:rPr>
      </w:pPr>
    </w:p>
    <w:p>
      <w:pPr>
        <w:pStyle w:val="BodyText"/>
        <w:spacing w:line="218" w:lineRule="auto"/>
      </w:pPr>
      <w:r>
        <w:rPr>
          <w:color w:val="231F20"/>
        </w:rPr>
        <w:t>§ 2. Paragraaf 1, eerste lid, is niet van toepassing op verrichtingen in de gewone bedrijfsuitoefening die plaatshebben onder de voorwaarden en tegen de zekerheden die normaal voor soortgelijke verrichtingen worden geëist, van kredietinstellingen die  vallen  onder  de  wet  van  25</w:t>
      </w:r>
      <w:r>
        <w:rPr>
          <w:color w:val="231F20"/>
          <w:spacing w:val="-5"/>
        </w:rPr>
        <w:t> </w:t>
      </w:r>
      <w:r>
        <w:rPr>
          <w:color w:val="231F20"/>
        </w:rPr>
        <w:t>april</w:t>
      </w:r>
      <w:r>
        <w:rPr>
          <w:color w:val="231F20"/>
          <w:spacing w:val="-5"/>
        </w:rPr>
        <w:t> </w:t>
      </w:r>
      <w:r>
        <w:rPr>
          <w:color w:val="231F20"/>
        </w:rPr>
        <w:t>2014</w:t>
      </w:r>
      <w:r>
        <w:rPr>
          <w:color w:val="231F20"/>
          <w:spacing w:val="-5"/>
        </w:rPr>
        <w:t> </w:t>
      </w:r>
      <w:r>
        <w:rPr>
          <w:color w:val="231F20"/>
        </w:rPr>
        <w:t>op</w:t>
      </w:r>
      <w:r>
        <w:rPr>
          <w:color w:val="231F20"/>
          <w:spacing w:val="-4"/>
        </w:rPr>
        <w:t> </w:t>
      </w:r>
      <w:r>
        <w:rPr>
          <w:color w:val="231F20"/>
        </w:rPr>
        <w:t>het</w:t>
      </w:r>
      <w:r>
        <w:rPr>
          <w:color w:val="231F20"/>
          <w:spacing w:val="-5"/>
        </w:rPr>
        <w:t> </w:t>
      </w:r>
      <w:r>
        <w:rPr>
          <w:color w:val="231F20"/>
        </w:rPr>
        <w:t>statuut</w:t>
      </w:r>
      <w:r>
        <w:rPr>
          <w:color w:val="231F20"/>
          <w:spacing w:val="-5"/>
        </w:rPr>
        <w:t> </w:t>
      </w:r>
      <w:r>
        <w:rPr>
          <w:color w:val="231F20"/>
        </w:rPr>
        <w:t>van</w:t>
      </w:r>
      <w:r>
        <w:rPr>
          <w:color w:val="231F20"/>
          <w:spacing w:val="-4"/>
        </w:rPr>
        <w:t> </w:t>
      </w:r>
      <w:r>
        <w:rPr>
          <w:color w:val="231F20"/>
        </w:rPr>
        <w:t>en</w:t>
      </w:r>
      <w:r>
        <w:rPr>
          <w:color w:val="231F20"/>
          <w:spacing w:val="-5"/>
        </w:rPr>
        <w:t> </w:t>
      </w:r>
      <w:r>
        <w:rPr>
          <w:color w:val="231F20"/>
        </w:rPr>
        <w:t>het</w:t>
      </w:r>
      <w:r>
        <w:rPr>
          <w:color w:val="231F20"/>
          <w:spacing w:val="-5"/>
        </w:rPr>
        <w:t> </w:t>
      </w:r>
      <w:r>
        <w:rPr>
          <w:color w:val="231F20"/>
        </w:rPr>
        <w:t>toezicht</w:t>
      </w:r>
      <w:r>
        <w:rPr>
          <w:color w:val="231F20"/>
          <w:spacing w:val="-4"/>
        </w:rPr>
        <w:t> </w:t>
      </w:r>
      <w:r>
        <w:rPr>
          <w:color w:val="231F20"/>
        </w:rPr>
        <w:t>op</w:t>
      </w:r>
      <w:r>
        <w:rPr>
          <w:color w:val="231F20"/>
          <w:spacing w:val="-5"/>
        </w:rPr>
        <w:t> </w:t>
      </w:r>
      <w:r>
        <w:rPr>
          <w:color w:val="231F20"/>
        </w:rPr>
        <w:t>kredietinstellingen</w:t>
      </w:r>
      <w:r>
        <w:rPr>
          <w:color w:val="231F20"/>
          <w:spacing w:val="-5"/>
        </w:rPr>
        <w:t> </w:t>
      </w:r>
      <w:r>
        <w:rPr>
          <w:color w:val="231F20"/>
        </w:rPr>
        <w:t>en beursvennootschappen.</w:t>
      </w:r>
    </w:p>
    <w:p>
      <w:pPr>
        <w:pStyle w:val="BodyText"/>
        <w:ind w:left="0" w:right="0" w:firstLine="0"/>
        <w:jc w:val="left"/>
        <w:rPr>
          <w:sz w:val="16"/>
        </w:rPr>
      </w:pPr>
    </w:p>
    <w:p>
      <w:pPr>
        <w:pStyle w:val="BodyText"/>
        <w:spacing w:line="218" w:lineRule="auto"/>
      </w:pPr>
      <w:r>
        <w:rPr>
          <w:color w:val="231F20"/>
        </w:rPr>
        <w:t>Afdeling 3. Financiering van de verkrijging van de aandelen, winstbewijzen of certificaten van de vennootschap door een derde.</w:t>
      </w:r>
    </w:p>
    <w:p>
      <w:pPr>
        <w:pStyle w:val="BodyText"/>
        <w:spacing w:before="11"/>
        <w:ind w:left="0" w:right="0" w:firstLine="0"/>
        <w:jc w:val="left"/>
        <w:rPr>
          <w:sz w:val="15"/>
        </w:rPr>
      </w:pPr>
    </w:p>
    <w:p>
      <w:pPr>
        <w:pStyle w:val="BodyText"/>
        <w:spacing w:line="218" w:lineRule="auto"/>
      </w:pPr>
      <w:r>
        <w:rPr>
          <w:color w:val="231F20"/>
        </w:rPr>
        <w:t>Art. 7:227. § 1. De vennootschap mag slechts middelen voorschieten, leningen toestaan of zekerheden stellen met het oog op de verkrijging van haar aandelen of van haar winstbewijzen of met het oog op de verkrijging of de inschrijving door een derde van certificaten die betrekking hebben op aandelen of winstbewijzen, onder de volgende voorwaarden:</w:t>
      </w:r>
    </w:p>
    <w:p>
      <w:pPr>
        <w:pStyle w:val="BodyText"/>
        <w:ind w:left="0" w:right="0" w:firstLine="0"/>
        <w:jc w:val="left"/>
        <w:rPr>
          <w:sz w:val="16"/>
        </w:rPr>
      </w:pPr>
    </w:p>
    <w:p>
      <w:pPr>
        <w:pStyle w:val="BodyText"/>
        <w:spacing w:line="218" w:lineRule="auto"/>
      </w:pPr>
      <w:r>
        <w:rPr>
          <w:color w:val="231F20"/>
        </w:rPr>
        <w:t>1° de verrichting gebeurt onder de verantwoordelijkheid van het bestuursorgaan en tegen billijke marktvoorwaarden, met name wat betreft de rente die de vennootschap ontvangt en de zekerheid die aan de vennootschap wordt verstrekt, en de kredietwaardigheid van iedere betrokken tegenpartij wordt nauwgezet onderzocht;</w:t>
      </w:r>
    </w:p>
    <w:p>
      <w:pPr>
        <w:pStyle w:val="BodyText"/>
        <w:spacing w:before="11"/>
        <w:ind w:left="0" w:right="0" w:firstLine="0"/>
        <w:jc w:val="left"/>
        <w:rPr>
          <w:sz w:val="15"/>
        </w:rPr>
      </w:pPr>
    </w:p>
    <w:p>
      <w:pPr>
        <w:pStyle w:val="BodyText"/>
        <w:spacing w:line="218" w:lineRule="auto"/>
      </w:pPr>
      <w:r>
        <w:rPr>
          <w:color w:val="231F20"/>
        </w:rPr>
        <w:t>2° de verrichting is toegelaten door een voorafgaand besluit van de algemene vergadering, genomen met naleving van de aanwezigheids- en</w:t>
      </w:r>
      <w:r>
        <w:rPr>
          <w:color w:val="231F20"/>
          <w:spacing w:val="21"/>
        </w:rPr>
        <w:t> </w:t>
      </w:r>
      <w:r>
        <w:rPr>
          <w:color w:val="231F20"/>
        </w:rPr>
        <w:t>meerderheidsvereisten</w:t>
      </w:r>
      <w:r>
        <w:rPr>
          <w:color w:val="231F20"/>
          <w:spacing w:val="21"/>
        </w:rPr>
        <w:t> </w:t>
      </w:r>
      <w:r>
        <w:rPr>
          <w:color w:val="231F20"/>
        </w:rPr>
        <w:t>voorgeschreven</w:t>
      </w:r>
      <w:r>
        <w:rPr>
          <w:color w:val="231F20"/>
          <w:spacing w:val="22"/>
        </w:rPr>
        <w:t> </w:t>
      </w:r>
      <w:r>
        <w:rPr>
          <w:color w:val="231F20"/>
        </w:rPr>
        <w:t>voor</w:t>
      </w:r>
      <w:r>
        <w:rPr>
          <w:color w:val="231F20"/>
          <w:spacing w:val="21"/>
        </w:rPr>
        <w:t> </w:t>
      </w:r>
      <w:r>
        <w:rPr>
          <w:color w:val="231F20"/>
        </w:rPr>
        <w:t>een</w:t>
      </w:r>
      <w:r>
        <w:rPr>
          <w:color w:val="231F20"/>
          <w:spacing w:val="22"/>
        </w:rPr>
        <w:t> </w:t>
      </w:r>
      <w:r>
        <w:rPr>
          <w:color w:val="231F20"/>
        </w:rPr>
        <w:t>statutenwijziging;</w:t>
      </w:r>
    </w:p>
    <w:p>
      <w:pPr>
        <w:pStyle w:val="BodyText"/>
        <w:spacing w:before="11"/>
        <w:ind w:left="0" w:right="0" w:firstLine="0"/>
        <w:jc w:val="left"/>
        <w:rPr>
          <w:sz w:val="15"/>
        </w:rPr>
      </w:pPr>
    </w:p>
    <w:p>
      <w:pPr>
        <w:pStyle w:val="BodyText"/>
        <w:spacing w:line="218" w:lineRule="auto"/>
      </w:pPr>
      <w:r>
        <w:rPr>
          <w:color w:val="231F20"/>
        </w:rPr>
        <w:t>3° het bedrag van het voorschot of de lening, dan wel de tegen- waarde van de zekerheid moet overeenkomstig artikel 7:212 voor uitkering vatbaar zijn. De vennootschap neemt aan de passiefzijde van haar balans een onbeschikbare reserve op, ten bedrage van de totale financiële bijstand. Deze reserve mag worden teruggenomen evenredig met de vermindering van de verleende steun;</w:t>
      </w:r>
    </w:p>
    <w:p>
      <w:pPr>
        <w:pStyle w:val="BodyText"/>
        <w:ind w:left="0" w:right="0" w:firstLine="0"/>
        <w:jc w:val="left"/>
        <w:rPr>
          <w:sz w:val="16"/>
        </w:rPr>
      </w:pPr>
    </w:p>
    <w:p>
      <w:pPr>
        <w:pStyle w:val="BodyText"/>
        <w:spacing w:line="218" w:lineRule="auto"/>
      </w:pPr>
      <w:r>
        <w:rPr>
          <w:color w:val="231F20"/>
        </w:rPr>
        <w:t>4° wanneer een derde met financiële bijstand van de vennootschap overeenkomstig artikel 7:218, § 1, door de vennootschap vervreemde aandelen verkrijgt, of op in het kader van een verhoging van het geplaatst kapitaal uitgegeven aandelen inschrijft, vindt die verkrijging of</w:t>
      </w:r>
      <w:r>
        <w:rPr>
          <w:color w:val="231F20"/>
          <w:spacing w:val="14"/>
        </w:rPr>
        <w:t> </w:t>
      </w:r>
      <w:r>
        <w:rPr>
          <w:color w:val="231F20"/>
        </w:rPr>
        <w:t>inschrijving</w:t>
      </w:r>
      <w:r>
        <w:rPr>
          <w:color w:val="231F20"/>
          <w:spacing w:val="15"/>
        </w:rPr>
        <w:t> </w:t>
      </w:r>
      <w:r>
        <w:rPr>
          <w:color w:val="231F20"/>
        </w:rPr>
        <w:t>plaats</w:t>
      </w:r>
      <w:r>
        <w:rPr>
          <w:color w:val="231F20"/>
          <w:spacing w:val="15"/>
        </w:rPr>
        <w:t> </w:t>
      </w:r>
      <w:r>
        <w:rPr>
          <w:color w:val="231F20"/>
        </w:rPr>
        <w:t>tegen</w:t>
      </w:r>
      <w:r>
        <w:rPr>
          <w:color w:val="231F20"/>
          <w:spacing w:val="15"/>
        </w:rPr>
        <w:t> </w:t>
      </w:r>
      <w:r>
        <w:rPr>
          <w:color w:val="231F20"/>
        </w:rPr>
        <w:t>een</w:t>
      </w:r>
      <w:r>
        <w:rPr>
          <w:color w:val="231F20"/>
          <w:spacing w:val="14"/>
        </w:rPr>
        <w:t> </w:t>
      </w:r>
      <w:r>
        <w:rPr>
          <w:color w:val="231F20"/>
        </w:rPr>
        <w:t>billijke</w:t>
      </w:r>
      <w:r>
        <w:rPr>
          <w:color w:val="231F20"/>
          <w:spacing w:val="15"/>
        </w:rPr>
        <w:t> </w:t>
      </w:r>
      <w:r>
        <w:rPr>
          <w:color w:val="231F20"/>
        </w:rPr>
        <w:t>prijs.</w:t>
      </w:r>
    </w:p>
    <w:p>
      <w:pPr>
        <w:pStyle w:val="BodyText"/>
        <w:ind w:left="0" w:right="0" w:firstLine="0"/>
        <w:jc w:val="left"/>
        <w:rPr>
          <w:sz w:val="16"/>
        </w:rPr>
      </w:pPr>
    </w:p>
    <w:p>
      <w:pPr>
        <w:pStyle w:val="BodyText"/>
        <w:spacing w:line="218" w:lineRule="auto"/>
      </w:pPr>
      <w:r>
        <w:rPr>
          <w:color w:val="231F20"/>
        </w:rPr>
        <w:t>Met het oog op de verrichting bedoeld in het eerste lid, 2°, stelt het bestuursorgaan een verslag op waarin het de redenen voor de verrichting, haar belang voor de vennootschap, de voorwaarden, de eraan verbonden risico’s voor de liquiditeit, de solvabiliteit van de vennootschap en de prijs waartegen de derde wordt geacht de aandelen te verkrijgen, toelicht. </w:t>
      </w:r>
      <w:r>
        <w:rPr>
          <w:color w:val="231F20"/>
          <w:spacing w:val="-3"/>
        </w:rPr>
        <w:t>Wanneer </w:t>
      </w:r>
      <w:r>
        <w:rPr>
          <w:color w:val="231F20"/>
        </w:rPr>
        <w:t>een lid van het bestuursorgaan van de moedervennootschap of de moedervennootschap zelf de begunstigde   is van de verrichting, dan bevat het verslag van het bestuursorgaan bovendien een specifieke verantwoording van de genomen beslissing, rekening houdend met de hoedanigheid van de begunstigde,  alsook met de vermogensrechtelijke gevolgen van de verrichting voor de vennootschap. Dit verslag wordt vermeld in de agenda van  de algemene vergadering bedoeld in 1°. Een kopie kan worden verkregen overeenkomstig artikel 7:132. Een kopie ervan wordt neergelegd en bekendgemaakt overeenkomstig de artikelen 2:8 en 2:14, 4°. </w:t>
      </w:r>
      <w:r>
        <w:rPr>
          <w:color w:val="231F20"/>
          <w:spacing w:val="-3"/>
        </w:rPr>
        <w:t>Wanneer </w:t>
      </w:r>
      <w:r>
        <w:rPr>
          <w:color w:val="231F20"/>
        </w:rPr>
        <w:t>dit verslag ontbreekt, is het besluit van de algemene vergadering</w:t>
      </w:r>
      <w:r>
        <w:rPr>
          <w:color w:val="231F20"/>
          <w:spacing w:val="38"/>
        </w:rPr>
        <w:t> </w:t>
      </w:r>
      <w:r>
        <w:rPr>
          <w:color w:val="231F20"/>
        </w:rPr>
        <w:t>nietig.</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05"/>
        <w:ind w:right="39"/>
      </w:pPr>
      <w:r>
        <w:rPr/>
        <w:pict>
          <v:line style="position:absolute;mso-position-horizontal-relative:page;mso-position-vertical-relative:page;z-index:6040" from="298.170502pt,64.473pt" to="298.170502pt,812.819pt" stroked="true" strokeweight=".533pt" strokecolor="#231f20">
            <v:stroke dashstyle="solid"/>
            <w10:wrap type="none"/>
          </v:line>
        </w:pict>
      </w:r>
      <w:bookmarkStart w:name="_bookmark209" w:id="215"/>
      <w:bookmarkEnd w:id="215"/>
      <w:r>
        <w:rPr/>
      </w:r>
      <w:r>
        <w:rPr>
          <w:color w:val="231F20"/>
          <w:w w:val="105"/>
        </w:rPr>
        <w:t>§ 2. A l’exception de l’alinéa 1</w:t>
      </w:r>
      <w:r>
        <w:rPr>
          <w:color w:val="231F20"/>
          <w:w w:val="105"/>
          <w:position w:val="7"/>
          <w:sz w:val="11"/>
        </w:rPr>
        <w:t>er</w:t>
      </w:r>
      <w:r>
        <w:rPr>
          <w:color w:val="231F20"/>
          <w:w w:val="105"/>
        </w:rPr>
        <w:t>, 3°, le paragraphe 1</w:t>
      </w:r>
      <w:r>
        <w:rPr>
          <w:color w:val="231F20"/>
          <w:w w:val="105"/>
          <w:position w:val="7"/>
          <w:sz w:val="11"/>
        </w:rPr>
        <w:t>er </w:t>
      </w:r>
      <w:r>
        <w:rPr>
          <w:color w:val="231F20"/>
          <w:w w:val="105"/>
        </w:rPr>
        <w:t>ne s’applique pas:</w:t>
      </w:r>
    </w:p>
    <w:p>
      <w:pPr>
        <w:pStyle w:val="BodyText"/>
        <w:spacing w:line="218" w:lineRule="auto" w:before="149"/>
        <w:ind w:right="39"/>
      </w:pPr>
      <w:r>
        <w:rPr>
          <w:color w:val="231F20"/>
        </w:rPr>
        <w:t>1° aux opérations visant l’acquisition d’actions de ces sociétés, ou de certificats se rapportant aux actions de ces dernières, par ou pour des membres du personnel de la société ou d’une société liée à celle-ci;</w:t>
      </w:r>
    </w:p>
    <w:p>
      <w:pPr>
        <w:pStyle w:val="BodyText"/>
        <w:spacing w:before="7"/>
        <w:ind w:left="0" w:right="0" w:firstLine="0"/>
        <w:jc w:val="left"/>
        <w:rPr>
          <w:sz w:val="28"/>
        </w:rPr>
      </w:pPr>
    </w:p>
    <w:p>
      <w:pPr>
        <w:pStyle w:val="BodyText"/>
        <w:spacing w:line="218" w:lineRule="auto"/>
        <w:ind w:right="38"/>
      </w:pPr>
      <w:r>
        <w:rPr>
          <w:color w:val="231F20"/>
        </w:rPr>
        <w:t>2° aux avances, prêts et sûretés consentis à des sociétés dont la</w:t>
      </w:r>
      <w:r>
        <w:rPr>
          <w:color w:val="231F20"/>
          <w:spacing w:val="-26"/>
        </w:rPr>
        <w:t> </w:t>
      </w:r>
      <w:r>
        <w:rPr>
          <w:color w:val="231F20"/>
        </w:rPr>
        <w:t>moitié au moins des droits de vote est détenue par les membres du personnel de la société ou d’une société liée à celle-ci, pour l’acquisition par ces sociétés, d’actions de cette société ou de certificats se rapportant aux actions de cette société, auxquels est attachée la moitié au moins des droits de</w:t>
      </w:r>
      <w:r>
        <w:rPr>
          <w:color w:val="231F20"/>
          <w:spacing w:val="-11"/>
        </w:rPr>
        <w:t> </w:t>
      </w:r>
      <w:r>
        <w:rPr>
          <w:color w:val="231F20"/>
        </w:rPr>
        <w:t>vote.</w:t>
      </w:r>
    </w:p>
    <w:p>
      <w:pPr>
        <w:pStyle w:val="BodyText"/>
        <w:spacing w:before="5"/>
        <w:ind w:left="0" w:right="0" w:firstLine="0"/>
        <w:jc w:val="left"/>
        <w:rPr>
          <w:sz w:val="27"/>
        </w:rPr>
      </w:pPr>
    </w:p>
    <w:p>
      <w:pPr>
        <w:pStyle w:val="BodyText"/>
        <w:ind w:left="283" w:right="0" w:firstLine="0"/>
        <w:jc w:val="left"/>
      </w:pPr>
      <w:r>
        <w:rPr>
          <w:color w:val="231F20"/>
        </w:rPr>
        <w:t>Section 4. Procédure de sonnette d’alarme.</w:t>
      </w:r>
    </w:p>
    <w:p>
      <w:pPr>
        <w:pStyle w:val="BodyText"/>
        <w:spacing w:line="218" w:lineRule="auto" w:before="156"/>
        <w:ind w:right="38"/>
      </w:pPr>
      <w:r>
        <w:rPr>
          <w:color w:val="231F20"/>
        </w:rPr>
        <w:t>Art. 7:228. Lorsque, par suite de perte, l’actif net est réduit à un montant inférieur à la moitié du capital, l’organe d’administration doit, sauf dispositions plus rigoureuses dans les statuts, convoquer l’assem- blée générale à une réunion à tenir dans les deux mois à dater</w:t>
      </w:r>
      <w:r>
        <w:rPr>
          <w:color w:val="231F20"/>
          <w:spacing w:val="30"/>
        </w:rPr>
        <w:t> </w:t>
      </w:r>
      <w:r>
        <w:rPr>
          <w:color w:val="231F20"/>
        </w:rPr>
        <w:t>du moment où la perte a été constatée ou aurait dû l’être en vertu des dispositions légales ou statutaires, en vue de décider de la dissolution de la société ou de mesures annoncées dans l’ordre du jour afin d’assurer</w:t>
      </w:r>
      <w:r>
        <w:rPr>
          <w:color w:val="231F20"/>
          <w:spacing w:val="15"/>
        </w:rPr>
        <w:t> </w:t>
      </w:r>
      <w:r>
        <w:rPr>
          <w:color w:val="231F20"/>
        </w:rPr>
        <w:t>la</w:t>
      </w:r>
      <w:r>
        <w:rPr>
          <w:color w:val="231F20"/>
          <w:spacing w:val="15"/>
        </w:rPr>
        <w:t> </w:t>
      </w:r>
      <w:r>
        <w:rPr>
          <w:color w:val="231F20"/>
        </w:rPr>
        <w:t>continuité</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before="7"/>
        <w:ind w:left="0" w:right="0" w:firstLine="0"/>
        <w:jc w:val="left"/>
        <w:rPr>
          <w:sz w:val="29"/>
        </w:rPr>
      </w:pPr>
    </w:p>
    <w:p>
      <w:pPr>
        <w:pStyle w:val="BodyText"/>
        <w:spacing w:line="218" w:lineRule="auto"/>
        <w:ind w:right="38"/>
      </w:pPr>
      <w:r>
        <w:rPr>
          <w:color w:val="231F20"/>
        </w:rPr>
        <w:t>À moins que l’organe d’administration propose la dissolution de la société conformément à l’article 7:230, il expose dans un rapport spécial, tenu à la disposition des actionnaires au siège de la société quinze jours avant l’assemblée générale, les mesures qu’il propose pour assurer la continuité de la société. Ce rapport est annoncé dans l’ordre du jour. Une copie peut en être obtenue conformément à l’article 7:132. Une copie est également transmise sans délai aux personnes qui ont accompli les formalités requises par les statuts pour être admises à l’assemblée générale.</w:t>
      </w:r>
    </w:p>
    <w:p>
      <w:pPr>
        <w:pStyle w:val="BodyText"/>
        <w:spacing w:before="7"/>
        <w:ind w:left="0" w:right="0" w:firstLine="0"/>
        <w:jc w:val="left"/>
        <w:rPr>
          <w:sz w:val="29"/>
        </w:rPr>
      </w:pPr>
    </w:p>
    <w:p>
      <w:pPr>
        <w:pStyle w:val="BodyText"/>
        <w:spacing w:line="218" w:lineRule="auto"/>
        <w:ind w:right="39"/>
      </w:pPr>
      <w:r>
        <w:rPr>
          <w:color w:val="231F20"/>
        </w:rPr>
        <w:t>En cas d’absence du rapport prévu à l’alinéa 2 la décision de l’assemblée générale est nulle.</w:t>
      </w:r>
    </w:p>
    <w:p>
      <w:pPr>
        <w:pStyle w:val="BodyText"/>
        <w:spacing w:line="218" w:lineRule="auto" w:before="160"/>
        <w:ind w:right="38"/>
      </w:pPr>
      <w:r>
        <w:rPr>
          <w:color w:val="231F20"/>
        </w:rPr>
        <w:t>Les mêmes règles sont observées lorsque, par suite de perte, l’actif net est réduit à un montant inférieur au quart du capital mais, en ce</w:t>
      </w:r>
      <w:r>
        <w:rPr>
          <w:color w:val="231F20"/>
          <w:spacing w:val="-20"/>
        </w:rPr>
        <w:t> </w:t>
      </w:r>
      <w:r>
        <w:rPr>
          <w:color w:val="231F20"/>
        </w:rPr>
        <w:t>cas, la dissolution aura lieu lorsqu’elle est approuvée par le quart des voix émises à l’assemblée, sans qu’il soit tenu compte des abstentions dans le</w:t>
      </w:r>
      <w:r>
        <w:rPr>
          <w:color w:val="231F20"/>
          <w:spacing w:val="14"/>
        </w:rPr>
        <w:t> </w:t>
      </w:r>
      <w:r>
        <w:rPr>
          <w:color w:val="231F20"/>
        </w:rPr>
        <w:t>numérateur</w:t>
      </w:r>
      <w:r>
        <w:rPr>
          <w:color w:val="231F20"/>
          <w:spacing w:val="15"/>
        </w:rPr>
        <w:t> </w:t>
      </w:r>
      <w:r>
        <w:rPr>
          <w:color w:val="231F20"/>
        </w:rPr>
        <w:t>ou</w:t>
      </w:r>
      <w:r>
        <w:rPr>
          <w:color w:val="231F20"/>
          <w:spacing w:val="15"/>
        </w:rPr>
        <w:t> </w:t>
      </w:r>
      <w:r>
        <w:rPr>
          <w:color w:val="231F20"/>
        </w:rPr>
        <w:t>dans</w:t>
      </w:r>
      <w:r>
        <w:rPr>
          <w:color w:val="231F20"/>
          <w:spacing w:val="15"/>
        </w:rPr>
        <w:t> </w:t>
      </w:r>
      <w:r>
        <w:rPr>
          <w:color w:val="231F20"/>
        </w:rPr>
        <w:t>le</w:t>
      </w:r>
      <w:r>
        <w:rPr>
          <w:color w:val="231F20"/>
          <w:spacing w:val="15"/>
        </w:rPr>
        <w:t> </w:t>
      </w:r>
      <w:r>
        <w:rPr>
          <w:color w:val="231F20"/>
        </w:rPr>
        <w:t>dénominateur.</w:t>
      </w:r>
    </w:p>
    <w:p>
      <w:pPr>
        <w:pStyle w:val="BodyText"/>
        <w:spacing w:before="7"/>
        <w:ind w:left="0" w:right="0" w:firstLine="0"/>
        <w:jc w:val="left"/>
        <w:rPr>
          <w:sz w:val="29"/>
        </w:rPr>
      </w:pPr>
    </w:p>
    <w:p>
      <w:pPr>
        <w:pStyle w:val="BodyText"/>
        <w:spacing w:line="218" w:lineRule="auto"/>
        <w:ind w:right="38"/>
      </w:pPr>
      <w:r>
        <w:rPr>
          <w:color w:val="231F20"/>
        </w:rPr>
        <w:t>Lorsque l’assemblée générale n’a pas été convoquée conformément au présent article, le dommage subi par les tiers est, sauf preuve contraire,</w:t>
      </w:r>
      <w:r>
        <w:rPr>
          <w:color w:val="231F20"/>
          <w:spacing w:val="14"/>
        </w:rPr>
        <w:t> </w:t>
      </w:r>
      <w:r>
        <w:rPr>
          <w:color w:val="231F20"/>
        </w:rPr>
        <w:t>présumé</w:t>
      </w:r>
      <w:r>
        <w:rPr>
          <w:color w:val="231F20"/>
          <w:spacing w:val="14"/>
        </w:rPr>
        <w:t> </w:t>
      </w:r>
      <w:r>
        <w:rPr>
          <w:color w:val="231F20"/>
        </w:rPr>
        <w:t>résulter</w:t>
      </w:r>
      <w:r>
        <w:rPr>
          <w:color w:val="231F20"/>
          <w:spacing w:val="14"/>
        </w:rPr>
        <w:t> </w:t>
      </w:r>
      <w:r>
        <w:rPr>
          <w:color w:val="231F20"/>
        </w:rPr>
        <w:t>de</w:t>
      </w:r>
      <w:r>
        <w:rPr>
          <w:color w:val="231F20"/>
          <w:spacing w:val="15"/>
        </w:rPr>
        <w:t> </w:t>
      </w:r>
      <w:r>
        <w:rPr>
          <w:color w:val="231F20"/>
        </w:rPr>
        <w:t>cette</w:t>
      </w:r>
      <w:r>
        <w:rPr>
          <w:color w:val="231F20"/>
          <w:spacing w:val="14"/>
        </w:rPr>
        <w:t> </w:t>
      </w:r>
      <w:r>
        <w:rPr>
          <w:color w:val="231F20"/>
        </w:rPr>
        <w:t>absence</w:t>
      </w:r>
      <w:r>
        <w:rPr>
          <w:color w:val="231F20"/>
          <w:spacing w:val="14"/>
        </w:rPr>
        <w:t> </w:t>
      </w:r>
      <w:r>
        <w:rPr>
          <w:color w:val="231F20"/>
        </w:rPr>
        <w:t>de</w:t>
      </w:r>
      <w:r>
        <w:rPr>
          <w:color w:val="231F20"/>
          <w:spacing w:val="15"/>
        </w:rPr>
        <w:t> </w:t>
      </w:r>
      <w:r>
        <w:rPr>
          <w:color w:val="231F20"/>
        </w:rPr>
        <w:t>convocation.</w:t>
      </w:r>
    </w:p>
    <w:p>
      <w:pPr>
        <w:pStyle w:val="BodyText"/>
        <w:spacing w:before="6"/>
        <w:ind w:left="0" w:right="0" w:firstLine="0"/>
        <w:jc w:val="left"/>
        <w:rPr>
          <w:sz w:val="29"/>
        </w:rPr>
      </w:pPr>
    </w:p>
    <w:p>
      <w:pPr>
        <w:pStyle w:val="BodyText"/>
        <w:spacing w:line="218" w:lineRule="auto" w:before="1"/>
        <w:ind w:right="38"/>
      </w:pPr>
      <w:r>
        <w:rPr>
          <w:color w:val="231F20"/>
        </w:rPr>
        <w:t>Art. 7:229. Lorsque l’actif net est réduit à un montant inférieur à      61 500 euros, tout intéressé ou le ministère public peut demander au tribunal la dissolution de la société. Le tribunal peut, le cas échéant, accorder à la société un délai contraignant en vue de régulariser sa situation.</w:t>
      </w:r>
    </w:p>
    <w:p>
      <w:pPr>
        <w:pStyle w:val="BodyText"/>
        <w:spacing w:before="146"/>
        <w:ind w:left="284" w:right="0" w:firstLine="0"/>
        <w:jc w:val="left"/>
      </w:pPr>
      <w:r>
        <w:rPr>
          <w:color w:val="231F20"/>
        </w:rPr>
        <w:t>TITRE 6. Durée et dissolution.</w:t>
      </w:r>
    </w:p>
    <w:p>
      <w:pPr>
        <w:pStyle w:val="BodyText"/>
        <w:spacing w:line="218" w:lineRule="auto" w:before="157"/>
        <w:ind w:right="38"/>
      </w:pPr>
      <w:r>
        <w:rPr>
          <w:color w:val="231F20"/>
        </w:rPr>
        <w:t>Art. 7:230. Sauf disposition staturaitre contraire, les sociétés anony- mes sont constituées pour une durée indéterminée.</w:t>
      </w:r>
    </w:p>
    <w:p>
      <w:pPr>
        <w:pStyle w:val="BodyText"/>
        <w:spacing w:line="218" w:lineRule="auto" w:before="160"/>
        <w:ind w:right="38"/>
      </w:pPr>
      <w:r>
        <w:rPr>
          <w:color w:val="231F20"/>
        </w:rPr>
        <w:t>Lorsque la durée est déterminée, l’assemblée générale peut décider, dans les formes prescrites pour la modification des statuts, la proroga- tion pour une durée déterminée ou indéterminée.</w:t>
      </w:r>
    </w:p>
    <w:p>
      <w:pPr>
        <w:pStyle w:val="BodyText"/>
        <w:spacing w:line="218" w:lineRule="auto" w:before="160"/>
        <w:ind w:right="38"/>
      </w:pPr>
      <w:r>
        <w:rPr>
          <w:color w:val="231F20"/>
        </w:rPr>
        <w:t>Sans préjudice de la dissolution pour de justes motifs précisés à l’article 2:73, la société ne peut être dissoute que par une décision de l’assemblée générale. Cette décision requiert une modification des statuts.</w:t>
      </w:r>
    </w:p>
    <w:p>
      <w:pPr>
        <w:pStyle w:val="BodyText"/>
        <w:spacing w:line="218" w:lineRule="auto" w:before="160"/>
        <w:ind w:right="38"/>
      </w:pPr>
      <w:r>
        <w:rPr>
          <w:color w:val="231F20"/>
        </w:rPr>
        <w:t>Art. 7:231. La réunion de toutes les actions entre les mains d’une personne ainsi que l’identité de cette personne doivent être déposées dans le dossier visé à l’article 2:8.</w:t>
      </w:r>
    </w:p>
    <w:p>
      <w:pPr>
        <w:pStyle w:val="BodyText"/>
        <w:spacing w:line="218" w:lineRule="auto" w:before="160"/>
        <w:ind w:right="38"/>
      </w:pPr>
      <w:r>
        <w:rPr>
          <w:color w:val="231F20"/>
        </w:rPr>
        <w:t>Les décisions de l’actionnaire unique agissant en lieu et place de l’assemblée générale conformément à l’article 7:125 sont consignées dans un registre tenu au siège de la société.</w:t>
      </w:r>
    </w:p>
    <w:p>
      <w:pPr>
        <w:pStyle w:val="BodyText"/>
        <w:spacing w:before="6"/>
        <w:ind w:left="0" w:right="0" w:firstLine="0"/>
        <w:jc w:val="left"/>
        <w:rPr>
          <w:sz w:val="29"/>
        </w:rPr>
      </w:pPr>
    </w:p>
    <w:p>
      <w:pPr>
        <w:pStyle w:val="BodyText"/>
        <w:spacing w:line="218" w:lineRule="auto" w:before="1"/>
        <w:ind w:right="38"/>
      </w:pPr>
      <w:r>
        <w:rPr>
          <w:color w:val="231F20"/>
        </w:rPr>
        <w:t>Les contrats conclus entre l’actionnaire unique et la société sont, sauf en ce qui concerne les opérations courantes conclues dans des conditions normales, inscrits dans un document à déposer en même temps que les comptes annuels.</w:t>
      </w:r>
    </w:p>
    <w:p>
      <w:pPr>
        <w:pStyle w:val="BodyText"/>
        <w:spacing w:line="218" w:lineRule="auto" w:before="119"/>
      </w:pPr>
      <w:r>
        <w:rPr/>
        <w:br w:type="column"/>
      </w:r>
      <w:r>
        <w:rPr>
          <w:color w:val="231F20"/>
        </w:rPr>
        <w:t>§ 2. Met uitzondering van het eerste lid, 3°, is paragraaf 1 niet van toepassing:</w:t>
      </w:r>
    </w:p>
    <w:p>
      <w:pPr>
        <w:pStyle w:val="BodyText"/>
        <w:spacing w:line="218" w:lineRule="auto" w:before="150"/>
      </w:pPr>
      <w:r>
        <w:rPr>
          <w:color w:val="231F20"/>
        </w:rPr>
        <w:t>1° op verrichtingen ter verkrijging van aandelen van de vennoot- schap of van certificaten die betrekking hebben op aandelen van die vennootschap door of voor leden van het personeel of van het  personeel</w:t>
      </w:r>
      <w:r>
        <w:rPr>
          <w:color w:val="231F20"/>
          <w:spacing w:val="15"/>
        </w:rPr>
        <w:t> </w:t>
      </w:r>
      <w:r>
        <w:rPr>
          <w:color w:val="231F20"/>
        </w:rPr>
        <w:t>van</w:t>
      </w:r>
      <w:r>
        <w:rPr>
          <w:color w:val="231F20"/>
          <w:spacing w:val="16"/>
        </w:rPr>
        <w:t> </w:t>
      </w:r>
      <w:r>
        <w:rPr>
          <w:color w:val="231F20"/>
        </w:rPr>
        <w:t>een</w:t>
      </w:r>
      <w:r>
        <w:rPr>
          <w:color w:val="231F20"/>
          <w:spacing w:val="16"/>
        </w:rPr>
        <w:t> </w:t>
      </w:r>
      <w:r>
        <w:rPr>
          <w:color w:val="231F20"/>
        </w:rPr>
        <w:t>met</w:t>
      </w:r>
      <w:r>
        <w:rPr>
          <w:color w:val="231F20"/>
          <w:spacing w:val="15"/>
        </w:rPr>
        <w:t> </w:t>
      </w:r>
      <w:r>
        <w:rPr>
          <w:color w:val="231F20"/>
        </w:rPr>
        <w:t>haar</w:t>
      </w:r>
      <w:r>
        <w:rPr>
          <w:color w:val="231F20"/>
          <w:spacing w:val="16"/>
        </w:rPr>
        <w:t> </w:t>
      </w:r>
      <w:r>
        <w:rPr>
          <w:color w:val="231F20"/>
        </w:rPr>
        <w:t>verbonden</w:t>
      </w:r>
      <w:r>
        <w:rPr>
          <w:color w:val="231F20"/>
          <w:spacing w:val="16"/>
        </w:rPr>
        <w:t> </w:t>
      </w:r>
      <w:r>
        <w:rPr>
          <w:color w:val="231F20"/>
        </w:rPr>
        <w:t>vennootschap;</w:t>
      </w:r>
    </w:p>
    <w:p>
      <w:pPr>
        <w:pStyle w:val="BodyText"/>
        <w:spacing w:line="218" w:lineRule="auto" w:before="149"/>
      </w:pPr>
      <w:r>
        <w:rPr>
          <w:color w:val="231F20"/>
        </w:rPr>
        <w:t>2° op de voorschotten, leningen en zekerheden toegekend aan vennootschappen waarvan ten minste de helft van de stemrechten in het bezit is van leden van het personeel, of van het personeel van een met haar verbonden vennootschap, voor de verkrijging door die vennootschappen van aandelen van de vennootschap of van certifica- ten die betrekking hebben op aandelen van die vennootschap, waaraan ten minste de helft van de stemrechten is verbonden.</w:t>
      </w:r>
    </w:p>
    <w:p>
      <w:pPr>
        <w:pStyle w:val="BodyText"/>
        <w:spacing w:before="136"/>
        <w:ind w:left="283" w:right="0" w:firstLine="0"/>
        <w:jc w:val="left"/>
      </w:pPr>
      <w:r>
        <w:rPr>
          <w:color w:val="231F20"/>
        </w:rPr>
        <w:t>Afdeling 4. Alarmbelprocedure.</w:t>
      </w:r>
    </w:p>
    <w:p>
      <w:pPr>
        <w:pStyle w:val="BodyText"/>
        <w:spacing w:line="218" w:lineRule="auto" w:before="157"/>
      </w:pPr>
      <w:r>
        <w:rPr>
          <w:color w:val="231F20"/>
        </w:rPr>
        <w:t>Art. 7:228. </w:t>
      </w:r>
      <w:r>
        <w:rPr>
          <w:color w:val="231F20"/>
          <w:spacing w:val="-3"/>
        </w:rPr>
        <w:t>Wanneer </w:t>
      </w:r>
      <w:r>
        <w:rPr>
          <w:color w:val="231F20"/>
        </w:rPr>
        <w:t>ten gevolge van geleden verlies het nettoactief gedaald is tot minder dan de helft van het kapitaal, moet het bestuursorgaan de algemene vergadering, tenzij strengere bepalingen in de statuten, oproepen tot een vergadering, te houden binnen twee maanden nadat het verlies is vastgesteld of krachtens wettelijke of statutaire bepalingen had moeten worden vastgesteld om te besluiten over de ontbinding van de vennootschap of over in de agenda aangekondigde maatregelen om de continuïteit van de vennootschap te vrijwaren.</w:t>
      </w:r>
    </w:p>
    <w:p>
      <w:pPr>
        <w:pStyle w:val="BodyText"/>
        <w:spacing w:line="218" w:lineRule="auto" w:before="161"/>
      </w:pPr>
      <w:r>
        <w:rPr>
          <w:color w:val="231F20"/>
          <w:spacing w:val="-3"/>
        </w:rPr>
        <w:t>Tenzij </w:t>
      </w:r>
      <w:r>
        <w:rPr>
          <w:color w:val="231F20"/>
        </w:rPr>
        <w:t>het bestuursorgaan de ontbinding van de vennootschap voorstelt overeenkomstig artikel 7:230, zet het in een bijzonder verslag, dat vijftien dagen vóór de algemene vergadering op de zetel van de vennootschap ter beschikking van de aandeelhouders wordt</w:t>
      </w:r>
      <w:r>
        <w:rPr>
          <w:color w:val="231F20"/>
          <w:spacing w:val="25"/>
        </w:rPr>
        <w:t> </w:t>
      </w:r>
      <w:r>
        <w:rPr>
          <w:color w:val="231F20"/>
        </w:rPr>
        <w:t>gesteld, uiteen welke maatregelen het voorstelt om de continuïteit van de vennootschap te vrijwaren. Dat verslag wordt in de agenda vermeld. Een kopie ervan kan worden verkregen overeenkomstig artikel 7:132. Een kopie wordt ook overgemaakt aan diegenen die voldaan hebben aan de formaliteiten die door de statuten voor de toelating tot de algemene vergadering zijn</w:t>
      </w:r>
      <w:r>
        <w:rPr>
          <w:color w:val="231F20"/>
          <w:spacing w:val="7"/>
        </w:rPr>
        <w:t> </w:t>
      </w:r>
      <w:r>
        <w:rPr>
          <w:color w:val="231F20"/>
        </w:rPr>
        <w:t>voorgeschreven.</w:t>
      </w:r>
    </w:p>
    <w:p>
      <w:pPr>
        <w:pStyle w:val="BodyText"/>
        <w:spacing w:line="218" w:lineRule="auto" w:before="160"/>
      </w:pPr>
      <w:r>
        <w:rPr>
          <w:color w:val="231F20"/>
          <w:spacing w:val="-3"/>
        </w:rPr>
        <w:t>Wanneer </w:t>
      </w:r>
      <w:r>
        <w:rPr>
          <w:color w:val="231F20"/>
        </w:rPr>
        <w:t>het verslag bedoeld in het tweede lid ontbreekt is het besluit van de algemene vergadering nietig.</w:t>
      </w:r>
    </w:p>
    <w:p>
      <w:pPr>
        <w:pStyle w:val="BodyText"/>
        <w:spacing w:line="218" w:lineRule="auto" w:before="160"/>
      </w:pPr>
      <w:r>
        <w:rPr>
          <w:color w:val="231F20"/>
        </w:rPr>
        <w:t>Op dezelfde wijze wordt gehandeld wanneer het nettoactief ten gevolge van geleden verlies gedaald is tot minder dan een vierde van het kapitaal, met dien verstande dat de ontbinding plaatsheeft wanneer zij wordt goedgekeurd door een vierde van de uitgebrachte stemmen, waarbij onthoudingen in teller noch in de noemer worden meegere- kend.</w:t>
      </w:r>
    </w:p>
    <w:p>
      <w:pPr>
        <w:pStyle w:val="BodyText"/>
        <w:spacing w:line="218" w:lineRule="auto" w:before="161"/>
      </w:pPr>
      <w:r>
        <w:rPr>
          <w:color w:val="231F20"/>
          <w:spacing w:val="2"/>
        </w:rPr>
        <w:t>Is  de  </w:t>
      </w:r>
      <w:r>
        <w:rPr>
          <w:color w:val="231F20"/>
          <w:spacing w:val="4"/>
        </w:rPr>
        <w:t>algemene   vergadering   </w:t>
      </w:r>
      <w:r>
        <w:rPr>
          <w:color w:val="231F20"/>
          <w:spacing w:val="3"/>
        </w:rPr>
        <w:t>niet   </w:t>
      </w:r>
      <w:r>
        <w:rPr>
          <w:color w:val="231F20"/>
          <w:spacing w:val="4"/>
        </w:rPr>
        <w:t>overeenkomstig   </w:t>
      </w:r>
      <w:r>
        <w:rPr>
          <w:color w:val="231F20"/>
          <w:spacing w:val="3"/>
        </w:rPr>
        <w:t>dit   </w:t>
      </w:r>
      <w:r>
        <w:rPr>
          <w:color w:val="231F20"/>
          <w:spacing w:val="5"/>
        </w:rPr>
        <w:t>arti- </w:t>
      </w:r>
      <w:r>
        <w:rPr>
          <w:color w:val="231F20"/>
        </w:rPr>
        <w:t>kel bijeengeroepen, dan wordt de door derden geleden schade, behoudens tegenbewijs, geacht uit het ontbreken van de bijeenroeping voort te</w:t>
      </w:r>
      <w:r>
        <w:rPr>
          <w:color w:val="231F20"/>
          <w:spacing w:val="-11"/>
        </w:rPr>
        <w:t> </w:t>
      </w:r>
      <w:r>
        <w:rPr>
          <w:color w:val="231F20"/>
        </w:rPr>
        <w:t>vloeien.</w:t>
      </w:r>
    </w:p>
    <w:p>
      <w:pPr>
        <w:pStyle w:val="BodyText"/>
        <w:spacing w:line="218" w:lineRule="auto" w:before="160"/>
        <w:ind w:right="122"/>
      </w:pPr>
      <w:r>
        <w:rPr>
          <w:color w:val="231F20"/>
        </w:rPr>
        <w:t>Art.</w:t>
      </w:r>
      <w:r>
        <w:rPr>
          <w:color w:val="231F20"/>
          <w:spacing w:val="-14"/>
        </w:rPr>
        <w:t> </w:t>
      </w:r>
      <w:r>
        <w:rPr>
          <w:color w:val="231F20"/>
        </w:rPr>
        <w:t>7:229.</w:t>
      </w:r>
      <w:r>
        <w:rPr>
          <w:color w:val="231F20"/>
          <w:spacing w:val="-14"/>
        </w:rPr>
        <w:t> </w:t>
      </w:r>
      <w:r>
        <w:rPr>
          <w:color w:val="231F20"/>
          <w:spacing w:val="-3"/>
        </w:rPr>
        <w:t>Wanneer</w:t>
      </w:r>
      <w:r>
        <w:rPr>
          <w:color w:val="231F20"/>
          <w:spacing w:val="-14"/>
        </w:rPr>
        <w:t> </w:t>
      </w:r>
      <w:r>
        <w:rPr>
          <w:color w:val="231F20"/>
        </w:rPr>
        <w:t>het</w:t>
      </w:r>
      <w:r>
        <w:rPr>
          <w:color w:val="231F20"/>
          <w:spacing w:val="-14"/>
        </w:rPr>
        <w:t> </w:t>
      </w:r>
      <w:r>
        <w:rPr>
          <w:color w:val="231F20"/>
        </w:rPr>
        <w:t>nettoactief</w:t>
      </w:r>
      <w:r>
        <w:rPr>
          <w:color w:val="231F20"/>
          <w:spacing w:val="-13"/>
        </w:rPr>
        <w:t> </w:t>
      </w:r>
      <w:r>
        <w:rPr>
          <w:color w:val="231F20"/>
        </w:rPr>
        <w:t>is</w:t>
      </w:r>
      <w:r>
        <w:rPr>
          <w:color w:val="231F20"/>
          <w:spacing w:val="-14"/>
        </w:rPr>
        <w:t> </w:t>
      </w:r>
      <w:r>
        <w:rPr>
          <w:color w:val="231F20"/>
        </w:rPr>
        <w:t>gedaald</w:t>
      </w:r>
      <w:r>
        <w:rPr>
          <w:color w:val="231F20"/>
          <w:spacing w:val="-14"/>
        </w:rPr>
        <w:t> </w:t>
      </w:r>
      <w:r>
        <w:rPr>
          <w:color w:val="231F20"/>
        </w:rPr>
        <w:t>tot</w:t>
      </w:r>
      <w:r>
        <w:rPr>
          <w:color w:val="231F20"/>
          <w:spacing w:val="-14"/>
        </w:rPr>
        <w:t> </w:t>
      </w:r>
      <w:r>
        <w:rPr>
          <w:color w:val="231F20"/>
        </w:rPr>
        <w:t>beneden</w:t>
      </w:r>
      <w:r>
        <w:rPr>
          <w:color w:val="231F20"/>
          <w:spacing w:val="-13"/>
        </w:rPr>
        <w:t> </w:t>
      </w:r>
      <w:r>
        <w:rPr>
          <w:color w:val="231F20"/>
        </w:rPr>
        <w:t>61</w:t>
      </w:r>
      <w:r>
        <w:rPr>
          <w:color w:val="231F20"/>
          <w:spacing w:val="-14"/>
        </w:rPr>
        <w:t> </w:t>
      </w:r>
      <w:r>
        <w:rPr>
          <w:color w:val="231F20"/>
        </w:rPr>
        <w:t>500</w:t>
      </w:r>
      <w:r>
        <w:rPr>
          <w:color w:val="231F20"/>
          <w:spacing w:val="-14"/>
        </w:rPr>
        <w:t> </w:t>
      </w:r>
      <w:r>
        <w:rPr>
          <w:color w:val="231F20"/>
        </w:rPr>
        <w:t>euro, kan iedere belanghebbende of het openbaar ministerie de ontbinding van de vennootschap voor de rechtbank vorderen. In voorkomend  geval kan de rechtbank aan de vennootschap een bindende termijn toestaan</w:t>
      </w:r>
      <w:r>
        <w:rPr>
          <w:color w:val="231F20"/>
          <w:spacing w:val="14"/>
        </w:rPr>
        <w:t> </w:t>
      </w:r>
      <w:r>
        <w:rPr>
          <w:color w:val="231F20"/>
        </w:rPr>
        <w:t>om</w:t>
      </w:r>
      <w:r>
        <w:rPr>
          <w:color w:val="231F20"/>
          <w:spacing w:val="14"/>
        </w:rPr>
        <w:t> </w:t>
      </w:r>
      <w:r>
        <w:rPr>
          <w:color w:val="231F20"/>
        </w:rPr>
        <w:t>haar</w:t>
      </w:r>
      <w:r>
        <w:rPr>
          <w:color w:val="231F20"/>
          <w:spacing w:val="15"/>
        </w:rPr>
        <w:t> </w:t>
      </w:r>
      <w:r>
        <w:rPr>
          <w:color w:val="231F20"/>
        </w:rPr>
        <w:t>toestand</w:t>
      </w:r>
      <w:r>
        <w:rPr>
          <w:color w:val="231F20"/>
          <w:spacing w:val="14"/>
        </w:rPr>
        <w:t> </w:t>
      </w:r>
      <w:r>
        <w:rPr>
          <w:color w:val="231F20"/>
        </w:rPr>
        <w:t>te</w:t>
      </w:r>
      <w:r>
        <w:rPr>
          <w:color w:val="231F20"/>
          <w:spacing w:val="15"/>
        </w:rPr>
        <w:t> </w:t>
      </w:r>
      <w:r>
        <w:rPr>
          <w:color w:val="231F20"/>
        </w:rPr>
        <w:t>regulariseren.</w:t>
      </w:r>
    </w:p>
    <w:p>
      <w:pPr>
        <w:pStyle w:val="BodyText"/>
        <w:spacing w:before="146"/>
        <w:ind w:left="283" w:right="0" w:firstLine="0"/>
        <w:jc w:val="left"/>
      </w:pPr>
      <w:r>
        <w:rPr>
          <w:color w:val="231F20"/>
        </w:rPr>
        <w:t>TITEL 6. Duur en ontbinding.</w:t>
      </w:r>
    </w:p>
    <w:p>
      <w:pPr>
        <w:pStyle w:val="BodyText"/>
        <w:spacing w:line="218" w:lineRule="auto" w:before="157"/>
      </w:pPr>
      <w:r>
        <w:rPr>
          <w:color w:val="231F20"/>
        </w:rPr>
        <w:t>Art. 7:230. Tenzij de statuten anders bepalen, zijn de naamloze vennootschappen voor onbepaalde duur aangegaan.</w:t>
      </w:r>
    </w:p>
    <w:p>
      <w:pPr>
        <w:pStyle w:val="BodyText"/>
        <w:spacing w:line="218" w:lineRule="auto" w:before="160"/>
      </w:pPr>
      <w:r>
        <w:rPr>
          <w:color w:val="231F20"/>
        </w:rPr>
        <w:t>Wanneer de duur bepaald is, kan voor verlenging tot een bepaalde of onbepaalde duur worden besloten door de algemene vergadering volgens de regels die voor de statutenwijziging zijn gesteld.</w:t>
      </w:r>
    </w:p>
    <w:p>
      <w:pPr>
        <w:pStyle w:val="BodyText"/>
        <w:spacing w:line="218" w:lineRule="auto" w:before="160"/>
      </w:pPr>
      <w:r>
        <w:rPr>
          <w:color w:val="231F20"/>
        </w:rPr>
        <w:t>Onverminderd de ontbinding om wettige redenen zoals bepaald in artikel 2:73, kan de vennootschap slechts worden ontbonden door een besluit van de algemene vergadering. Dit besluit vereist een statuten- wijziging.</w:t>
      </w:r>
    </w:p>
    <w:p>
      <w:pPr>
        <w:pStyle w:val="BodyText"/>
        <w:spacing w:line="218" w:lineRule="auto" w:before="160"/>
      </w:pPr>
      <w:r>
        <w:rPr>
          <w:color w:val="231F20"/>
        </w:rPr>
        <w:t>Art. 7:231. Het gegeven dat alle aandelen in één hand zijn verenigd, evenals de identiteit van de enige aandeelhouder moeten worden neergelegd in het dossier bedoeld in artikel 2:8.</w:t>
      </w:r>
    </w:p>
    <w:p>
      <w:pPr>
        <w:pStyle w:val="BodyText"/>
        <w:spacing w:line="218" w:lineRule="auto" w:before="161"/>
      </w:pPr>
      <w:r>
        <w:rPr>
          <w:color w:val="231F20"/>
        </w:rPr>
        <w:t>De beslissingen van de enige aandeelhouder die handelt in de plaats van de algemene vergadering overeenkomstig artikel 7:125, worden vermeld in een register dat op de zetel van de vennootschap wordt bijgehouden.</w:t>
      </w:r>
    </w:p>
    <w:p>
      <w:pPr>
        <w:pStyle w:val="BodyText"/>
        <w:spacing w:line="218" w:lineRule="auto" w:before="160"/>
      </w:pPr>
      <w:r>
        <w:rPr>
          <w:color w:val="231F20"/>
        </w:rPr>
        <w:t>De tussen de enige aandeelhouder en de vennootschap gesloten overeenkomsten worden, tenzij het courante verrichtingen betreft die onder normale omstandigheden plaatsvinden, ingeschreven in een document dat tegelijk met de jaarrekening moet worden neergelegd.</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6064" from="298.170502pt,64.473pt" to="298.170502pt,812.819pt" stroked="true" strokeweight=".533pt" strokecolor="#231f20">
            <v:stroke dashstyle="solid"/>
            <w10:wrap type="none"/>
          </v:line>
        </w:pict>
      </w:r>
      <w:bookmarkStart w:name="_bookmark210" w:id="216"/>
      <w:bookmarkEnd w:id="216"/>
      <w:r>
        <w:rPr/>
      </w:r>
      <w:r>
        <w:rPr>
          <w:color w:val="231F20"/>
        </w:rPr>
        <w:t>TITRE 7. Dispositions pénales.</w:t>
      </w:r>
    </w:p>
    <w:p>
      <w:pPr>
        <w:pStyle w:val="BodyText"/>
        <w:spacing w:line="218" w:lineRule="auto" w:before="82"/>
        <w:ind w:right="38"/>
      </w:pPr>
      <w:r>
        <w:rPr>
          <w:color w:val="231F20"/>
        </w:rPr>
        <w:t>Art. 7:232. Seront punis d’une amende de cinquante à dix mille euros et pourront en outre être punis d’un emprisonnement d’un mois à un an:</w:t>
      </w:r>
    </w:p>
    <w:p>
      <w:pPr>
        <w:pStyle w:val="BodyText"/>
        <w:spacing w:line="218" w:lineRule="auto" w:before="85"/>
        <w:ind w:right="38"/>
      </w:pPr>
      <w:r>
        <w:rPr>
          <w:color w:val="231F20"/>
        </w:rPr>
        <w:t>1° les administrateurs au sens de l’article 2:51 qui n’ont pas présenté le rapport spécial accompagné du rapport du commissaire ou du réviseur  d’entreprises,  ainsi  que  le  prévoient  les  articles  7:7,  7:10  et</w:t>
      </w:r>
      <w:r>
        <w:rPr>
          <w:color w:val="231F20"/>
          <w:spacing w:val="14"/>
        </w:rPr>
        <w:t> </w:t>
      </w:r>
      <w:r>
        <w:rPr>
          <w:color w:val="231F20"/>
        </w:rPr>
        <w:t>7:197;</w:t>
      </w:r>
    </w:p>
    <w:p>
      <w:pPr>
        <w:pStyle w:val="BodyText"/>
        <w:spacing w:line="218" w:lineRule="auto" w:before="86"/>
        <w:ind w:right="38"/>
      </w:pPr>
      <w:r>
        <w:rPr>
          <w:color w:val="231F20"/>
        </w:rPr>
        <w:t>2° les administrateurs au sens de l’article 2:51 qui ont contrevenu à l’article 7:212 ou à l’article 7:213;</w:t>
      </w:r>
    </w:p>
    <w:p>
      <w:pPr>
        <w:pStyle w:val="BodyText"/>
        <w:spacing w:line="218" w:lineRule="auto" w:before="85"/>
        <w:ind w:right="38"/>
      </w:pPr>
      <w:r>
        <w:rPr>
          <w:color w:val="231F20"/>
        </w:rPr>
        <w:t>3° tous ceux qui, comme administrateurs au sens de l’article 2:51 ou commissaire, auront fait, par un usage quelconque, aux frais de la société, des versements sur les actions ou admis comme faits des versements qui ne sont pas effectués réellement de la manière et aux époques prescrites;</w:t>
      </w:r>
    </w:p>
    <w:p>
      <w:pPr>
        <w:pStyle w:val="BodyText"/>
        <w:spacing w:line="218" w:lineRule="auto" w:before="86"/>
        <w:ind w:right="38"/>
      </w:pPr>
      <w:r>
        <w:rPr>
          <w:color w:val="231F20"/>
        </w:rPr>
        <w:t>4° ceux qui transmettent sciemment à l’Autorité des services et marchés financiers des renseignements inexacts ou incomplets dans le dossier visé à l’article 7:193, § 2.</w:t>
      </w:r>
    </w:p>
    <w:p>
      <w:pPr>
        <w:pStyle w:val="BodyText"/>
        <w:spacing w:before="72"/>
        <w:ind w:left="283" w:right="0" w:firstLine="0"/>
        <w:jc w:val="left"/>
      </w:pPr>
      <w:r>
        <w:rPr>
          <w:color w:val="231F20"/>
        </w:rPr>
        <w:t>LIVRE 8. Agrément de sociétés.</w:t>
      </w:r>
    </w:p>
    <w:p>
      <w:pPr>
        <w:pStyle w:val="BodyText"/>
        <w:spacing w:before="53"/>
        <w:ind w:left="283" w:right="0" w:firstLine="0"/>
        <w:jc w:val="left"/>
      </w:pPr>
      <w:r>
        <w:rPr>
          <w:color w:val="231F20"/>
        </w:rPr>
        <w:t>TITRE 1</w:t>
      </w:r>
      <w:r>
        <w:rPr>
          <w:color w:val="231F20"/>
          <w:position w:val="7"/>
          <w:sz w:val="11"/>
        </w:rPr>
        <w:t>er</w:t>
      </w:r>
      <w:r>
        <w:rPr>
          <w:color w:val="231F20"/>
        </w:rPr>
        <w:t>. L’agrément comme groupement forestier.</w:t>
      </w:r>
    </w:p>
    <w:p>
      <w:pPr>
        <w:pStyle w:val="BodyText"/>
        <w:spacing w:line="218" w:lineRule="auto" w:before="81"/>
        <w:ind w:right="38"/>
      </w:pPr>
      <w:r>
        <w:rPr>
          <w:color w:val="231F20"/>
        </w:rPr>
        <w:t>Art. 8:1. Une société dotée de la personnalité juridique ayant exclusivement pour objet la production forestière sur des terrains dont elle est propriétaire, ainsi que toutes les opérations quelconques se rattachant à cet objet ou en dérivant normalement, à l’exclusion de l’abattage des arbres et de la transformation des produits forestiers, peut sur avis du ministre de la région concernée qui a les forêts dans</w:t>
      </w:r>
      <w:r>
        <w:rPr>
          <w:color w:val="231F20"/>
          <w:spacing w:val="-22"/>
        </w:rPr>
        <w:t> </w:t>
      </w:r>
      <w:r>
        <w:rPr>
          <w:color w:val="231F20"/>
        </w:rPr>
        <w:t>ses attributions, être agréée par le ministre des Finances, comme groupe- ment forestier. Dans ce cas elle ajoute à la dénomination de sa forme légale</w:t>
      </w:r>
      <w:r>
        <w:rPr>
          <w:color w:val="231F20"/>
          <w:spacing w:val="15"/>
        </w:rPr>
        <w:t> </w:t>
      </w:r>
      <w:r>
        <w:rPr>
          <w:color w:val="231F20"/>
        </w:rPr>
        <w:t>les</w:t>
      </w:r>
      <w:r>
        <w:rPr>
          <w:color w:val="231F20"/>
          <w:spacing w:val="16"/>
        </w:rPr>
        <w:t> </w:t>
      </w:r>
      <w:r>
        <w:rPr>
          <w:color w:val="231F20"/>
        </w:rPr>
        <w:t>termes</w:t>
      </w:r>
      <w:r>
        <w:rPr>
          <w:color w:val="231F20"/>
          <w:spacing w:val="16"/>
        </w:rPr>
        <w:t> </w:t>
      </w:r>
      <w:r>
        <w:rPr>
          <w:color w:val="231F20"/>
        </w:rPr>
        <w:t>“groupement</w:t>
      </w:r>
      <w:r>
        <w:rPr>
          <w:color w:val="231F20"/>
          <w:spacing w:val="16"/>
        </w:rPr>
        <w:t> </w:t>
      </w:r>
      <w:r>
        <w:rPr>
          <w:color w:val="231F20"/>
        </w:rPr>
        <w:t>forestier”,</w:t>
      </w:r>
      <w:r>
        <w:rPr>
          <w:color w:val="231F20"/>
          <w:spacing w:val="16"/>
        </w:rPr>
        <w:t> </w:t>
      </w:r>
      <w:r>
        <w:rPr>
          <w:color w:val="231F20"/>
        </w:rPr>
        <w:t>en</w:t>
      </w:r>
      <w:r>
        <w:rPr>
          <w:color w:val="231F20"/>
          <w:spacing w:val="16"/>
        </w:rPr>
        <w:t> </w:t>
      </w:r>
      <w:r>
        <w:rPr>
          <w:color w:val="231F20"/>
        </w:rPr>
        <w:t>abrégé</w:t>
      </w:r>
      <w:r>
        <w:rPr>
          <w:color w:val="231F20"/>
          <w:spacing w:val="16"/>
        </w:rPr>
        <w:t> </w:t>
      </w:r>
      <w:r>
        <w:rPr>
          <w:color w:val="231F20"/>
          <w:spacing w:val="-6"/>
        </w:rPr>
        <w:t>GF.</w:t>
      </w:r>
    </w:p>
    <w:p>
      <w:pPr>
        <w:pStyle w:val="BodyText"/>
        <w:spacing w:before="83"/>
        <w:ind w:left="283" w:right="0" w:firstLine="0"/>
        <w:jc w:val="left"/>
      </w:pPr>
      <w:r>
        <w:rPr>
          <w:color w:val="231F20"/>
        </w:rPr>
        <w:t>TITRE 2. L’agrément comme entreprise agricole.</w:t>
      </w:r>
    </w:p>
    <w:p>
      <w:pPr>
        <w:pStyle w:val="BodyText"/>
        <w:spacing w:line="218" w:lineRule="auto" w:before="93"/>
        <w:ind w:right="38"/>
      </w:pPr>
      <w:r>
        <w:rPr>
          <w:color w:val="231F20"/>
        </w:rPr>
        <w:t>Art. 8:2. Une société en nom collectif peut être reconnue comme une entreprise agricole dans les conditions à déterminer par le Roi. Dans ce cas elle ajoute à la dénomination de sa forme légale les termes “entreprise agricole”, celle-ci étant désignée en abrégé SNCEA.</w:t>
      </w:r>
    </w:p>
    <w:p>
      <w:pPr>
        <w:pStyle w:val="BodyText"/>
        <w:spacing w:before="10"/>
        <w:ind w:left="0" w:right="0" w:firstLine="0"/>
        <w:jc w:val="left"/>
        <w:rPr>
          <w:sz w:val="23"/>
        </w:rPr>
      </w:pPr>
    </w:p>
    <w:p>
      <w:pPr>
        <w:pStyle w:val="BodyText"/>
        <w:spacing w:line="218" w:lineRule="auto"/>
        <w:ind w:right="38"/>
      </w:pPr>
      <w:r>
        <w:rPr>
          <w:color w:val="231F20"/>
        </w:rPr>
        <w:t>Une</w:t>
      </w:r>
      <w:r>
        <w:rPr>
          <w:color w:val="231F20"/>
          <w:spacing w:val="-6"/>
        </w:rPr>
        <w:t> </w:t>
      </w:r>
      <w:r>
        <w:rPr>
          <w:color w:val="231F20"/>
        </w:rPr>
        <w:t>société</w:t>
      </w:r>
      <w:r>
        <w:rPr>
          <w:color w:val="231F20"/>
          <w:spacing w:val="-6"/>
        </w:rPr>
        <w:t> </w:t>
      </w:r>
      <w:r>
        <w:rPr>
          <w:color w:val="231F20"/>
        </w:rPr>
        <w:t>en</w:t>
      </w:r>
      <w:r>
        <w:rPr>
          <w:color w:val="231F20"/>
          <w:spacing w:val="-6"/>
        </w:rPr>
        <w:t> </w:t>
      </w:r>
      <w:r>
        <w:rPr>
          <w:color w:val="231F20"/>
        </w:rPr>
        <w:t>commandite</w:t>
      </w:r>
      <w:r>
        <w:rPr>
          <w:color w:val="231F20"/>
          <w:spacing w:val="-6"/>
        </w:rPr>
        <w:t> </w:t>
      </w:r>
      <w:r>
        <w:rPr>
          <w:color w:val="231F20"/>
        </w:rPr>
        <w:t>peut</w:t>
      </w:r>
      <w:r>
        <w:rPr>
          <w:color w:val="231F20"/>
          <w:spacing w:val="-5"/>
        </w:rPr>
        <w:t> </w:t>
      </w:r>
      <w:r>
        <w:rPr>
          <w:color w:val="231F20"/>
        </w:rPr>
        <w:t>être</w:t>
      </w:r>
      <w:r>
        <w:rPr>
          <w:color w:val="231F20"/>
          <w:spacing w:val="-6"/>
        </w:rPr>
        <w:t> </w:t>
      </w:r>
      <w:r>
        <w:rPr>
          <w:color w:val="231F20"/>
        </w:rPr>
        <w:t>reconnue</w:t>
      </w:r>
      <w:r>
        <w:rPr>
          <w:color w:val="231F20"/>
          <w:spacing w:val="-6"/>
        </w:rPr>
        <w:t> </w:t>
      </w:r>
      <w:r>
        <w:rPr>
          <w:color w:val="231F20"/>
        </w:rPr>
        <w:t>comme</w:t>
      </w:r>
      <w:r>
        <w:rPr>
          <w:color w:val="231F20"/>
          <w:spacing w:val="-6"/>
        </w:rPr>
        <w:t> </w:t>
      </w:r>
      <w:r>
        <w:rPr>
          <w:color w:val="231F20"/>
        </w:rPr>
        <w:t>une</w:t>
      </w:r>
      <w:r>
        <w:rPr>
          <w:color w:val="231F20"/>
          <w:spacing w:val="-6"/>
        </w:rPr>
        <w:t> </w:t>
      </w:r>
      <w:r>
        <w:rPr>
          <w:color w:val="231F20"/>
        </w:rPr>
        <w:t>entreprise agricole dans les conditions à déterminer par le Roi. Dans ce cas elle ajoute à la dénomination de sa forme légale les termes “entreprise agricole”,</w:t>
      </w:r>
      <w:r>
        <w:rPr>
          <w:color w:val="231F20"/>
          <w:spacing w:val="16"/>
        </w:rPr>
        <w:t> </w:t>
      </w:r>
      <w:r>
        <w:rPr>
          <w:color w:val="231F20"/>
        </w:rPr>
        <w:t>et</w:t>
      </w:r>
      <w:r>
        <w:rPr>
          <w:color w:val="231F20"/>
          <w:spacing w:val="17"/>
        </w:rPr>
        <w:t> </w:t>
      </w:r>
      <w:r>
        <w:rPr>
          <w:color w:val="231F20"/>
        </w:rPr>
        <w:t>est</w:t>
      </w:r>
      <w:r>
        <w:rPr>
          <w:color w:val="231F20"/>
          <w:spacing w:val="17"/>
        </w:rPr>
        <w:t> </w:t>
      </w:r>
      <w:r>
        <w:rPr>
          <w:color w:val="231F20"/>
        </w:rPr>
        <w:t>désignée</w:t>
      </w:r>
      <w:r>
        <w:rPr>
          <w:color w:val="231F20"/>
          <w:spacing w:val="17"/>
        </w:rPr>
        <w:t> </w:t>
      </w:r>
      <w:r>
        <w:rPr>
          <w:color w:val="231F20"/>
        </w:rPr>
        <w:t>en</w:t>
      </w:r>
      <w:r>
        <w:rPr>
          <w:color w:val="231F20"/>
          <w:spacing w:val="17"/>
        </w:rPr>
        <w:t> </w:t>
      </w:r>
      <w:r>
        <w:rPr>
          <w:color w:val="231F20"/>
        </w:rPr>
        <w:t>abrégé</w:t>
      </w:r>
      <w:r>
        <w:rPr>
          <w:color w:val="231F20"/>
          <w:spacing w:val="17"/>
        </w:rPr>
        <w:t> </w:t>
      </w:r>
      <w:r>
        <w:rPr>
          <w:color w:val="231F20"/>
        </w:rPr>
        <w:t>“SCommEA”.</w:t>
      </w:r>
    </w:p>
    <w:p>
      <w:pPr>
        <w:pStyle w:val="BodyText"/>
        <w:ind w:left="0" w:right="0" w:firstLine="0"/>
        <w:jc w:val="left"/>
        <w:rPr>
          <w:sz w:val="24"/>
        </w:rPr>
      </w:pPr>
    </w:p>
    <w:p>
      <w:pPr>
        <w:pStyle w:val="BodyText"/>
        <w:spacing w:line="218" w:lineRule="auto"/>
        <w:ind w:right="38"/>
      </w:pPr>
      <w:r>
        <w:rPr>
          <w:color w:val="231F20"/>
        </w:rPr>
        <w:t>Une société à responsabilité limitée peut être reconnue comme une entreprise agricole dans les conditions à déterminer par le Roi. Dans ce cas elle ajoute à la dénomination de sa forme légale les termes “entreprise agricole”, et est désignée en abrégé “SRLEA”.</w:t>
      </w:r>
    </w:p>
    <w:p>
      <w:pPr>
        <w:pStyle w:val="BodyText"/>
        <w:spacing w:line="218" w:lineRule="auto" w:before="96"/>
        <w:ind w:right="38"/>
      </w:pPr>
      <w:r>
        <w:rPr>
          <w:color w:val="231F20"/>
        </w:rPr>
        <w:t>Une société coopérative peut être reconnue comme une entreprise agricole dans les conditions à déterminer par le Roi. Dans ce cas elle ajoute à la dénomination de sa forme légale les termes “entreprise agricole”, et est désignée en abrégé “SCEA”.</w:t>
      </w:r>
    </w:p>
    <w:p>
      <w:pPr>
        <w:pStyle w:val="BodyText"/>
        <w:spacing w:line="218" w:lineRule="auto" w:before="96"/>
        <w:ind w:right="38"/>
      </w:pPr>
      <w:r>
        <w:rPr>
          <w:color w:val="231F20"/>
        </w:rPr>
        <w:t>Art. 8:3. Pour l’application de la loi sur le bail à ferme, l’exploitation  à titre d’associé gérant d’une SNCEA, d’associé commandité d’une SCommEA, d’administrateur d’une SRLEA ou d’administrateur d’une SCEA, est assimilée à l’exploitation personnelle. Cette règle s’applique tant au preneur qu’au bailleur, dont les droits et obligations subsistent intégralement.</w:t>
      </w:r>
    </w:p>
    <w:p>
      <w:pPr>
        <w:pStyle w:val="BodyText"/>
        <w:spacing w:line="218" w:lineRule="auto" w:before="97"/>
        <w:ind w:right="38"/>
      </w:pPr>
      <w:r>
        <w:rPr>
          <w:color w:val="231F20"/>
        </w:rPr>
        <w:t>En cas d’apport de la propriété, du droit d’usage ou du droit de jouissance du bien loué par le bailleur dans une SNCEA, une SCommEA, d’une SRLEA ou d’une SCEA, cette société ne peut donner le congé que si le bailleur-apporteur, son conjoint, ses descendants ou enfants adoptifs ou ceux de son conjoint, ont, selon le cas, le statut d’associé gérant, d’associé commandité ou d’administrateur dans la société.</w:t>
      </w:r>
    </w:p>
    <w:p>
      <w:pPr>
        <w:pStyle w:val="BodyText"/>
        <w:spacing w:before="11"/>
        <w:ind w:left="0" w:right="0" w:firstLine="0"/>
        <w:jc w:val="left"/>
        <w:rPr>
          <w:sz w:val="23"/>
        </w:rPr>
      </w:pPr>
    </w:p>
    <w:p>
      <w:pPr>
        <w:pStyle w:val="BodyText"/>
        <w:spacing w:line="218" w:lineRule="auto"/>
        <w:ind w:right="38"/>
      </w:pPr>
      <w:r>
        <w:rPr>
          <w:color w:val="231F20"/>
        </w:rPr>
        <w:t>TITRE 3. L’agrément de la société coopérative, comme entreprise sociale ou non.</w:t>
      </w:r>
    </w:p>
    <w:p>
      <w:pPr>
        <w:pStyle w:val="BodyText"/>
        <w:spacing w:line="218" w:lineRule="auto" w:before="96"/>
        <w:ind w:right="38"/>
      </w:pPr>
      <w:r>
        <w:rPr>
          <w:color w:val="231F20"/>
        </w:rPr>
        <w:t>Art. 8:4. Une société coopérative dont le but principal consiste à procurer à ses actionnaires un avantage économique ou social, pour la satisfaction de leurs besoins professionnels ou privés, peut être agréée en application de la loi du 20 juillet 1955 portant institution d’un Conseil national de la Coopération, de l’Entrepreneuriat social et de l’entreprise Agricole et de ses arrêtés d’exécution. Elle ajoute à la dénomination de sa forme légale le terme “agréée” et est désignée en abrégé “SC agréée”.</w:t>
      </w:r>
    </w:p>
    <w:p>
      <w:pPr>
        <w:pStyle w:val="BodyText"/>
        <w:ind w:left="0" w:right="0" w:firstLine="0"/>
        <w:jc w:val="left"/>
        <w:rPr>
          <w:sz w:val="24"/>
        </w:rPr>
      </w:pPr>
    </w:p>
    <w:p>
      <w:pPr>
        <w:pStyle w:val="BodyText"/>
        <w:spacing w:line="218" w:lineRule="auto"/>
        <w:ind w:right="38"/>
      </w:pPr>
      <w:r>
        <w:rPr>
          <w:color w:val="231F20"/>
        </w:rPr>
        <w:t>Si elle ne respecte pas les limites apportées par la loi précitée aux distributions, ces distributions sont frappées de nullité.</w:t>
      </w:r>
    </w:p>
    <w:p>
      <w:pPr>
        <w:pStyle w:val="BodyText"/>
        <w:spacing w:before="105"/>
        <w:ind w:left="283" w:right="0" w:firstLine="0"/>
        <w:jc w:val="left"/>
      </w:pPr>
      <w:r>
        <w:rPr/>
        <w:br w:type="column"/>
      </w:r>
      <w:r>
        <w:rPr>
          <w:color w:val="231F20"/>
        </w:rPr>
        <w:t>TITEL 7. Strafbepalingen.</w:t>
      </w:r>
    </w:p>
    <w:p>
      <w:pPr>
        <w:pStyle w:val="BodyText"/>
        <w:spacing w:line="218" w:lineRule="auto" w:before="82"/>
      </w:pPr>
      <w:r>
        <w:rPr>
          <w:color w:val="231F20"/>
        </w:rPr>
        <w:t>Art. 7:232. Met geldboete van vijftig euro tot tienduizend euro worden gestraft en bovendien met gevangenisstraf van één maand tot een jaar kunnen worden</w:t>
      </w:r>
      <w:r>
        <w:rPr>
          <w:color w:val="231F20"/>
          <w:spacing w:val="18"/>
        </w:rPr>
        <w:t> </w:t>
      </w:r>
      <w:r>
        <w:rPr>
          <w:color w:val="231F20"/>
        </w:rPr>
        <w:t>gestraft:</w:t>
      </w:r>
    </w:p>
    <w:p>
      <w:pPr>
        <w:pStyle w:val="BodyText"/>
        <w:spacing w:line="218" w:lineRule="auto" w:before="86"/>
      </w:pPr>
      <w:r>
        <w:rPr>
          <w:color w:val="231F20"/>
        </w:rPr>
        <w:t>1° de bestuurders als bedoeld in artikel 2:51 die het bijzonder verslag samen met het verslag van de commissaris of van de bedrijfsrevisor, niet  voorleggen  zoals  voorgeschreven  door  de  artikelen  7:7,  7:10   en</w:t>
      </w:r>
      <w:r>
        <w:rPr>
          <w:color w:val="231F20"/>
          <w:spacing w:val="14"/>
        </w:rPr>
        <w:t> </w:t>
      </w:r>
      <w:r>
        <w:rPr>
          <w:color w:val="231F20"/>
        </w:rPr>
        <w:t>7:197;</w:t>
      </w:r>
    </w:p>
    <w:p>
      <w:pPr>
        <w:pStyle w:val="BodyText"/>
        <w:spacing w:line="218" w:lineRule="auto" w:before="86"/>
      </w:pPr>
      <w:r>
        <w:rPr>
          <w:color w:val="231F20"/>
        </w:rPr>
        <w:t>2° de bestuurders als bedoeld in artikel 2:51 die het voorschrift van artikel 7:212 of artikel 7:213 overtreden;</w:t>
      </w:r>
    </w:p>
    <w:p>
      <w:pPr>
        <w:pStyle w:val="BodyText"/>
        <w:spacing w:line="218" w:lineRule="auto" w:before="85"/>
        <w:ind w:right="125"/>
      </w:pPr>
      <w:r>
        <w:rPr>
          <w:color w:val="231F20"/>
        </w:rPr>
        <w:t>3° zij die als bestuurder als bedoeld in artikel 2:51 of commissaris door enig middel op kosten van de vennootschap geldstortingen op de aandelen doen of geldstortingen als gedaan erkennen die niet werkelijk gedaan zijn op de voorgeschreven wijze en tijdstippen;</w:t>
      </w:r>
    </w:p>
    <w:p>
      <w:pPr>
        <w:pStyle w:val="BodyText"/>
        <w:ind w:left="0" w:right="0" w:firstLine="0"/>
        <w:jc w:val="left"/>
        <w:rPr>
          <w:sz w:val="23"/>
        </w:rPr>
      </w:pPr>
    </w:p>
    <w:p>
      <w:pPr>
        <w:pStyle w:val="BodyText"/>
        <w:spacing w:line="218" w:lineRule="auto"/>
      </w:pPr>
      <w:r>
        <w:rPr>
          <w:color w:val="231F20"/>
        </w:rPr>
        <w:t>4° zij die aan de Autoriteit voor Financiële Diensten en Markten in het in artikel 7:193, § 2, bedoelde dossier, gegevens mededelen waarvan zij weten dat ze onjuist of onvolledig zijn.</w:t>
      </w:r>
    </w:p>
    <w:p>
      <w:pPr>
        <w:pStyle w:val="BodyText"/>
        <w:spacing w:before="72"/>
        <w:ind w:left="283" w:right="0" w:firstLine="0"/>
        <w:jc w:val="left"/>
      </w:pPr>
      <w:r>
        <w:rPr>
          <w:color w:val="231F20"/>
        </w:rPr>
        <w:t>BOEK 8. Erkenning van vennootschappen.</w:t>
      </w:r>
    </w:p>
    <w:p>
      <w:pPr>
        <w:pStyle w:val="BodyText"/>
        <w:spacing w:before="68"/>
        <w:ind w:left="283" w:right="0" w:firstLine="0"/>
        <w:jc w:val="left"/>
      </w:pPr>
      <w:r>
        <w:rPr>
          <w:color w:val="231F20"/>
        </w:rPr>
        <w:t>TITEL 1. De erkenning als bosgroeperingsvennootschap.</w:t>
      </w:r>
    </w:p>
    <w:p>
      <w:pPr>
        <w:pStyle w:val="BodyText"/>
        <w:spacing w:line="218" w:lineRule="auto" w:before="82"/>
      </w:pPr>
      <w:r>
        <w:rPr>
          <w:color w:val="231F20"/>
        </w:rPr>
        <w:t>Art. 8:1. Een vennootschap met rechtspersoonlijkheid met als uitslui- tend voorwerp de bosbouw op gronden waarvan ze eigenaar is, evenals alle verrichtingen die met dat voorwerp verband houden of er normaal uit voortvloeien, met uitsluiting van de kapping van bomen en de verwerking van bosproducten, kan op advies van de minister van het betrokken gewest die de bossen onder zijn bevoegdheid heeft, door de minister van Financiën worden erkend als bosgroeperingsvennoot- schap. In dat geval voegt zij aan de benaming van haar rechtsvorm de woorden “bosgroepering” toe, afgekort als BG.</w:t>
      </w:r>
    </w:p>
    <w:p>
      <w:pPr>
        <w:pStyle w:val="BodyText"/>
        <w:spacing w:before="82"/>
        <w:ind w:left="283" w:right="0" w:firstLine="0"/>
        <w:jc w:val="left"/>
      </w:pPr>
      <w:r>
        <w:rPr>
          <w:color w:val="231F20"/>
        </w:rPr>
        <w:t>TITEL 2. De erkenning als landbouwonderneming.</w:t>
      </w:r>
    </w:p>
    <w:p>
      <w:pPr>
        <w:pStyle w:val="BodyText"/>
        <w:spacing w:line="218" w:lineRule="auto" w:before="93"/>
      </w:pPr>
      <w:r>
        <w:rPr>
          <w:color w:val="231F20"/>
        </w:rPr>
        <w:t>Art. 8:2. Een vennootschap onder firma kan onder door de Koning te bepalen voorwaarden worden erkend als een landbouwonderneming. In dat geval voegt zij aan de benaming van haar rechtsvorm de  woorden “landbouwonderneming” toe, en wordt zij afgekort als “VOFLO”.</w:t>
      </w:r>
    </w:p>
    <w:p>
      <w:pPr>
        <w:pStyle w:val="BodyText"/>
        <w:spacing w:line="218" w:lineRule="auto" w:before="96"/>
      </w:pPr>
      <w:r>
        <w:rPr>
          <w:color w:val="231F20"/>
        </w:rPr>
        <w:t>Een commanditaire vennootschap kan onder door de Koning te bepalen voorwaarden worden erkend als een landbouwonderneming. In dat geval voegt zij aan de benaming van haar rechtsvorm de  woorden “landbouwonderneming” toe, en wordt zij afgekort als “CommVLO”.</w:t>
      </w:r>
    </w:p>
    <w:p>
      <w:pPr>
        <w:pStyle w:val="BodyText"/>
        <w:spacing w:line="218" w:lineRule="auto" w:before="97"/>
      </w:pPr>
      <w:r>
        <w:rPr>
          <w:color w:val="231F20"/>
          <w:w w:val="105"/>
        </w:rPr>
        <w:t>Een besloten vennootschap kan worden erkend als een landbouw- onderneming onder door de Koning te bepalen voorwaarden. In dat geval voegt zij aan de benaming van haar rechtsvorm de woorden “landbouwonderneming” toe, en wordt zij afgekort als “BVLO”.</w:t>
      </w:r>
    </w:p>
    <w:p>
      <w:pPr>
        <w:pStyle w:val="BodyText"/>
        <w:spacing w:line="218" w:lineRule="auto" w:before="96"/>
      </w:pPr>
      <w:r>
        <w:rPr>
          <w:color w:val="231F20"/>
          <w:w w:val="105"/>
        </w:rPr>
        <w:t>Een coöperatieve vennootschap kan worden erkend als een land- bouwonderneming</w:t>
      </w:r>
      <w:r>
        <w:rPr>
          <w:color w:val="231F20"/>
          <w:spacing w:val="-11"/>
          <w:w w:val="105"/>
        </w:rPr>
        <w:t> </w:t>
      </w:r>
      <w:r>
        <w:rPr>
          <w:color w:val="231F20"/>
          <w:w w:val="105"/>
        </w:rPr>
        <w:t>onder</w:t>
      </w:r>
      <w:r>
        <w:rPr>
          <w:color w:val="231F20"/>
          <w:spacing w:val="-11"/>
          <w:w w:val="105"/>
        </w:rPr>
        <w:t> </w:t>
      </w:r>
      <w:r>
        <w:rPr>
          <w:color w:val="231F20"/>
          <w:w w:val="105"/>
        </w:rPr>
        <w:t>door</w:t>
      </w:r>
      <w:r>
        <w:rPr>
          <w:color w:val="231F20"/>
          <w:spacing w:val="-10"/>
          <w:w w:val="105"/>
        </w:rPr>
        <w:t> </w:t>
      </w:r>
      <w:r>
        <w:rPr>
          <w:color w:val="231F20"/>
          <w:w w:val="105"/>
        </w:rPr>
        <w:t>de</w:t>
      </w:r>
      <w:r>
        <w:rPr>
          <w:color w:val="231F20"/>
          <w:spacing w:val="-11"/>
          <w:w w:val="105"/>
        </w:rPr>
        <w:t> </w:t>
      </w:r>
      <w:r>
        <w:rPr>
          <w:color w:val="231F20"/>
          <w:w w:val="105"/>
        </w:rPr>
        <w:t>Koning</w:t>
      </w:r>
      <w:r>
        <w:rPr>
          <w:color w:val="231F20"/>
          <w:spacing w:val="-11"/>
          <w:w w:val="105"/>
        </w:rPr>
        <w:t> </w:t>
      </w:r>
      <w:r>
        <w:rPr>
          <w:color w:val="231F20"/>
          <w:w w:val="105"/>
        </w:rPr>
        <w:t>te</w:t>
      </w:r>
      <w:r>
        <w:rPr>
          <w:color w:val="231F20"/>
          <w:spacing w:val="-10"/>
          <w:w w:val="105"/>
        </w:rPr>
        <w:t> </w:t>
      </w:r>
      <w:r>
        <w:rPr>
          <w:color w:val="231F20"/>
          <w:w w:val="105"/>
        </w:rPr>
        <w:t>bepalen</w:t>
      </w:r>
      <w:r>
        <w:rPr>
          <w:color w:val="231F20"/>
          <w:spacing w:val="-11"/>
          <w:w w:val="105"/>
        </w:rPr>
        <w:t> </w:t>
      </w:r>
      <w:r>
        <w:rPr>
          <w:color w:val="231F20"/>
          <w:w w:val="105"/>
        </w:rPr>
        <w:t>voorwaarden.</w:t>
      </w:r>
      <w:r>
        <w:rPr>
          <w:color w:val="231F20"/>
          <w:spacing w:val="-10"/>
          <w:w w:val="105"/>
        </w:rPr>
        <w:t> </w:t>
      </w:r>
      <w:r>
        <w:rPr>
          <w:color w:val="231F20"/>
          <w:w w:val="105"/>
        </w:rPr>
        <w:t>In dat</w:t>
      </w:r>
      <w:r>
        <w:rPr>
          <w:color w:val="231F20"/>
          <w:spacing w:val="-5"/>
          <w:w w:val="105"/>
        </w:rPr>
        <w:t> </w:t>
      </w:r>
      <w:r>
        <w:rPr>
          <w:color w:val="231F20"/>
          <w:w w:val="105"/>
        </w:rPr>
        <w:t>geval</w:t>
      </w:r>
      <w:r>
        <w:rPr>
          <w:color w:val="231F20"/>
          <w:spacing w:val="-5"/>
          <w:w w:val="105"/>
        </w:rPr>
        <w:t> </w:t>
      </w:r>
      <w:r>
        <w:rPr>
          <w:color w:val="231F20"/>
          <w:w w:val="105"/>
        </w:rPr>
        <w:t>voegt</w:t>
      </w:r>
      <w:r>
        <w:rPr>
          <w:color w:val="231F20"/>
          <w:spacing w:val="-5"/>
          <w:w w:val="105"/>
        </w:rPr>
        <w:t> </w:t>
      </w:r>
      <w:r>
        <w:rPr>
          <w:color w:val="231F20"/>
          <w:w w:val="105"/>
        </w:rPr>
        <w:t>zij</w:t>
      </w:r>
      <w:r>
        <w:rPr>
          <w:color w:val="231F20"/>
          <w:spacing w:val="-5"/>
          <w:w w:val="105"/>
        </w:rPr>
        <w:t> </w:t>
      </w:r>
      <w:r>
        <w:rPr>
          <w:color w:val="231F20"/>
          <w:w w:val="105"/>
        </w:rPr>
        <w:t>aan</w:t>
      </w:r>
      <w:r>
        <w:rPr>
          <w:color w:val="231F20"/>
          <w:spacing w:val="-5"/>
          <w:w w:val="105"/>
        </w:rPr>
        <w:t> </w:t>
      </w:r>
      <w:r>
        <w:rPr>
          <w:color w:val="231F20"/>
          <w:w w:val="105"/>
        </w:rPr>
        <w:t>de</w:t>
      </w:r>
      <w:r>
        <w:rPr>
          <w:color w:val="231F20"/>
          <w:spacing w:val="-5"/>
          <w:w w:val="105"/>
        </w:rPr>
        <w:t> </w:t>
      </w:r>
      <w:r>
        <w:rPr>
          <w:color w:val="231F20"/>
          <w:w w:val="105"/>
        </w:rPr>
        <w:t>benaming</w:t>
      </w:r>
      <w:r>
        <w:rPr>
          <w:color w:val="231F20"/>
          <w:spacing w:val="-4"/>
          <w:w w:val="105"/>
        </w:rPr>
        <w:t> </w:t>
      </w:r>
      <w:r>
        <w:rPr>
          <w:color w:val="231F20"/>
          <w:w w:val="105"/>
        </w:rPr>
        <w:t>van</w:t>
      </w:r>
      <w:r>
        <w:rPr>
          <w:color w:val="231F20"/>
          <w:spacing w:val="-5"/>
          <w:w w:val="105"/>
        </w:rPr>
        <w:t> </w:t>
      </w:r>
      <w:r>
        <w:rPr>
          <w:color w:val="231F20"/>
          <w:w w:val="105"/>
        </w:rPr>
        <w:t>haar</w:t>
      </w:r>
      <w:r>
        <w:rPr>
          <w:color w:val="231F20"/>
          <w:spacing w:val="-5"/>
          <w:w w:val="105"/>
        </w:rPr>
        <w:t> </w:t>
      </w:r>
      <w:r>
        <w:rPr>
          <w:color w:val="231F20"/>
          <w:w w:val="105"/>
        </w:rPr>
        <w:t>rechtsvorm</w:t>
      </w:r>
      <w:r>
        <w:rPr>
          <w:color w:val="231F20"/>
          <w:spacing w:val="-5"/>
          <w:w w:val="105"/>
        </w:rPr>
        <w:t> </w:t>
      </w:r>
      <w:r>
        <w:rPr>
          <w:color w:val="231F20"/>
          <w:w w:val="105"/>
        </w:rPr>
        <w:t>de</w:t>
      </w:r>
      <w:r>
        <w:rPr>
          <w:color w:val="231F20"/>
          <w:spacing w:val="-5"/>
          <w:w w:val="105"/>
        </w:rPr>
        <w:t> </w:t>
      </w:r>
      <w:r>
        <w:rPr>
          <w:color w:val="231F20"/>
          <w:w w:val="105"/>
        </w:rPr>
        <w:t>woorden “landbouwonderneming” toe, en wordt zij afgekort als</w:t>
      </w:r>
      <w:r>
        <w:rPr>
          <w:color w:val="231F20"/>
          <w:spacing w:val="8"/>
          <w:w w:val="105"/>
        </w:rPr>
        <w:t> </w:t>
      </w:r>
      <w:r>
        <w:rPr>
          <w:color w:val="231F20"/>
          <w:w w:val="105"/>
        </w:rPr>
        <w:t>“CVLO”.</w:t>
      </w:r>
    </w:p>
    <w:p>
      <w:pPr>
        <w:pStyle w:val="BodyText"/>
        <w:spacing w:line="218" w:lineRule="auto" w:before="96"/>
        <w:ind w:right="123"/>
      </w:pPr>
      <w:r>
        <w:rPr>
          <w:color w:val="231F20"/>
        </w:rPr>
        <w:t>Art. 8:3. </w:t>
      </w:r>
      <w:r>
        <w:rPr>
          <w:color w:val="231F20"/>
          <w:spacing w:val="-5"/>
        </w:rPr>
        <w:t>Voor </w:t>
      </w:r>
      <w:r>
        <w:rPr>
          <w:color w:val="231F20"/>
        </w:rPr>
        <w:t>de toepassing van de pachtwet wordt de uitbating als werkende vennoot in een VOFLO, als gecommanditeerde vennoot in een CommVLO, of als bestuurder in een BVLO of een CVLO, gelijkgesteld met diens persoonlijke uitbating. Dit geldt zowel ten aanzien van de pachter als de verpachter, wier rechten en plichten onverkort blijven</w:t>
      </w:r>
      <w:r>
        <w:rPr>
          <w:color w:val="231F20"/>
          <w:spacing w:val="-11"/>
        </w:rPr>
        <w:t> </w:t>
      </w:r>
      <w:r>
        <w:rPr>
          <w:color w:val="231F20"/>
        </w:rPr>
        <w:t>voortbestaan.</w:t>
      </w:r>
    </w:p>
    <w:p>
      <w:pPr>
        <w:pStyle w:val="BodyText"/>
        <w:spacing w:line="218" w:lineRule="auto" w:before="97"/>
        <w:ind w:right="125"/>
      </w:pPr>
      <w:r>
        <w:rPr>
          <w:color w:val="231F20"/>
        </w:rPr>
        <w:t>Bij de inbreng van de eigendom, het gebruiksrecht of het genotsrecht van het verpachte goed door de verpachter in een VOFLO, een CommVLO, een BVLO of een CVLO, kan die vennootschap de pacht slechts opzeggen wanneer de verpachter die het goed inbracht, diens echtgenoot, afstammelingen of aangenomen kinderen of die van zijn echtgenoot het statuut van, naargelang van het geval, werkende vennoot, gecommanditeerde vennoot of bestuurder in de vennootschap hebben.</w:t>
      </w:r>
    </w:p>
    <w:p>
      <w:pPr>
        <w:pStyle w:val="BodyText"/>
        <w:spacing w:line="218" w:lineRule="auto" w:before="97"/>
      </w:pPr>
      <w:r>
        <w:rPr>
          <w:color w:val="231F20"/>
        </w:rPr>
        <w:t>TITEL 3. De erkenning van de coöperatieve vennootschap, al dan</w:t>
      </w:r>
      <w:r>
        <w:rPr>
          <w:color w:val="231F20"/>
          <w:spacing w:val="-19"/>
        </w:rPr>
        <w:t> </w:t>
      </w:r>
      <w:r>
        <w:rPr>
          <w:color w:val="231F20"/>
        </w:rPr>
        <w:t>niet als sociale</w:t>
      </w:r>
      <w:r>
        <w:rPr>
          <w:color w:val="231F20"/>
          <w:spacing w:val="-11"/>
        </w:rPr>
        <w:t> </w:t>
      </w:r>
      <w:r>
        <w:rPr>
          <w:color w:val="231F20"/>
        </w:rPr>
        <w:t>onderneming.</w:t>
      </w:r>
    </w:p>
    <w:p>
      <w:pPr>
        <w:pStyle w:val="BodyText"/>
        <w:spacing w:line="218" w:lineRule="auto" w:before="96"/>
      </w:pPr>
      <w:r>
        <w:rPr>
          <w:color w:val="231F20"/>
        </w:rPr>
        <w:t>Art. 8:4. Een coöperatieve vennootschap wiens voornaamste doel erin bestaat om haar aandeelhouders een economisch of sociaal voordeel te verschaffen ter bevrediging van hun beroeps- of persoon- lijke</w:t>
      </w:r>
      <w:r>
        <w:rPr>
          <w:color w:val="231F20"/>
          <w:spacing w:val="17"/>
        </w:rPr>
        <w:t> </w:t>
      </w:r>
      <w:r>
        <w:rPr>
          <w:color w:val="231F20"/>
        </w:rPr>
        <w:t>behoeften</w:t>
      </w:r>
      <w:r>
        <w:rPr>
          <w:color w:val="231F20"/>
          <w:spacing w:val="17"/>
        </w:rPr>
        <w:t> </w:t>
      </w:r>
      <w:r>
        <w:rPr>
          <w:color w:val="231F20"/>
        </w:rPr>
        <w:t>kan</w:t>
      </w:r>
      <w:r>
        <w:rPr>
          <w:color w:val="231F20"/>
          <w:spacing w:val="17"/>
        </w:rPr>
        <w:t> </w:t>
      </w:r>
      <w:r>
        <w:rPr>
          <w:color w:val="231F20"/>
        </w:rPr>
        <w:t>worden</w:t>
      </w:r>
      <w:r>
        <w:rPr>
          <w:color w:val="231F20"/>
          <w:spacing w:val="17"/>
        </w:rPr>
        <w:t> </w:t>
      </w:r>
      <w:r>
        <w:rPr>
          <w:color w:val="231F20"/>
        </w:rPr>
        <w:t>erkend</w:t>
      </w:r>
      <w:r>
        <w:rPr>
          <w:color w:val="231F20"/>
          <w:spacing w:val="17"/>
        </w:rPr>
        <w:t> </w:t>
      </w:r>
      <w:r>
        <w:rPr>
          <w:color w:val="231F20"/>
        </w:rPr>
        <w:t>in</w:t>
      </w:r>
      <w:r>
        <w:rPr>
          <w:color w:val="231F20"/>
          <w:spacing w:val="17"/>
        </w:rPr>
        <w:t> </w:t>
      </w:r>
      <w:r>
        <w:rPr>
          <w:color w:val="231F20"/>
        </w:rPr>
        <w:t>toepassing</w:t>
      </w:r>
      <w:r>
        <w:rPr>
          <w:color w:val="231F20"/>
          <w:spacing w:val="17"/>
        </w:rPr>
        <w:t> </w:t>
      </w:r>
      <w:r>
        <w:rPr>
          <w:color w:val="231F20"/>
        </w:rPr>
        <w:t>van</w:t>
      </w:r>
      <w:r>
        <w:rPr>
          <w:color w:val="231F20"/>
          <w:spacing w:val="18"/>
        </w:rPr>
        <w:t> </w:t>
      </w:r>
      <w:r>
        <w:rPr>
          <w:color w:val="231F20"/>
        </w:rPr>
        <w:t>de</w:t>
      </w:r>
      <w:r>
        <w:rPr>
          <w:color w:val="231F20"/>
          <w:spacing w:val="17"/>
        </w:rPr>
        <w:t> </w:t>
      </w:r>
      <w:r>
        <w:rPr>
          <w:color w:val="231F20"/>
        </w:rPr>
        <w:t>wet</w:t>
      </w:r>
      <w:r>
        <w:rPr>
          <w:color w:val="231F20"/>
          <w:spacing w:val="17"/>
        </w:rPr>
        <w:t> </w:t>
      </w:r>
      <w:r>
        <w:rPr>
          <w:color w:val="231F20"/>
        </w:rPr>
        <w:t>van</w:t>
      </w:r>
    </w:p>
    <w:p>
      <w:pPr>
        <w:pStyle w:val="BodyText"/>
        <w:spacing w:line="218" w:lineRule="auto"/>
        <w:ind w:firstLine="0"/>
      </w:pPr>
      <w:r>
        <w:rPr>
          <w:color w:val="231F20"/>
        </w:rPr>
        <w:t>20 juli 1955 houdende instelling van een Nationale Raad voor Coöperatie, het Sociaal Ondernemerschap en de Landbouwonderne- ming en haar uitvoeringsbesluiten. Zij voegt aan de benaming van haar rechtsvorm het woord “erkend” toe, en wordt afgekort als</w:t>
      </w:r>
      <w:r>
        <w:rPr>
          <w:color w:val="231F20"/>
          <w:spacing w:val="21"/>
        </w:rPr>
        <w:t> </w:t>
      </w:r>
      <w:r>
        <w:rPr>
          <w:color w:val="231F20"/>
        </w:rPr>
        <w:t>“erkende CV”.</w:t>
      </w:r>
    </w:p>
    <w:p>
      <w:pPr>
        <w:pStyle w:val="BodyText"/>
        <w:spacing w:line="218" w:lineRule="auto" w:before="96"/>
        <w:ind w:right="123"/>
      </w:pPr>
      <w:r>
        <w:rPr>
          <w:color w:val="231F20"/>
        </w:rPr>
        <w:t>Indien zij de in toepassing van voornoemde wet opgelegde beper- kingen inzake uitkeringen aan de aandeelhouders niet naleeft, zijn deze uitkeringen nietig.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088" from="298.170502pt,64.473pt" to="298.170502pt,812.819pt" stroked="true" strokeweight=".533pt" strokecolor="#231f20">
            <v:stroke dashstyle="solid"/>
            <w10:wrap type="none"/>
          </v:line>
        </w:pict>
      </w:r>
      <w:bookmarkStart w:name="_bookmark211" w:id="217"/>
      <w:bookmarkEnd w:id="217"/>
      <w:r>
        <w:rPr/>
      </w:r>
      <w:r>
        <w:rPr>
          <w:color w:val="231F20"/>
        </w:rPr>
        <w:t>Les statuts d’une société cooperative agréée peuvent prévoir que le patrimoine subsistant lors de la liquidation après apurement du passif et remboursement de l’apport versé par les actionnaires et non encore remboursé est affecté à des activités économiques ou sociales qu’elle entend promouvoir.</w:t>
      </w:r>
    </w:p>
    <w:p>
      <w:pPr>
        <w:pStyle w:val="BodyText"/>
        <w:spacing w:line="218" w:lineRule="auto" w:before="70"/>
        <w:ind w:right="38"/>
      </w:pPr>
      <w:r>
        <w:rPr>
          <w:color w:val="231F20"/>
        </w:rPr>
        <w:t>Art. 8:5. § 1</w:t>
      </w:r>
      <w:r>
        <w:rPr>
          <w:color w:val="231F20"/>
          <w:position w:val="7"/>
          <w:sz w:val="11"/>
        </w:rPr>
        <w:t>er</w:t>
      </w:r>
      <w:r>
        <w:rPr>
          <w:color w:val="231F20"/>
        </w:rPr>
        <w:t>. Une société coopérative peut, être agréée en</w:t>
      </w:r>
      <w:r>
        <w:rPr>
          <w:color w:val="231F20"/>
          <w:spacing w:val="-27"/>
        </w:rPr>
        <w:t> </w:t>
      </w:r>
      <w:r>
        <w:rPr>
          <w:color w:val="231F20"/>
        </w:rPr>
        <w:t>application de la loi du 20 juillet 1955 portant institution d’un Conseil national de la Coopération, de l’Entreprenariat social et de l’entreprise Agricole en tant</w:t>
      </w:r>
      <w:r>
        <w:rPr>
          <w:color w:val="231F20"/>
          <w:spacing w:val="14"/>
        </w:rPr>
        <w:t> </w:t>
      </w:r>
      <w:r>
        <w:rPr>
          <w:color w:val="231F20"/>
        </w:rPr>
        <w:t>qu’entreprise</w:t>
      </w:r>
      <w:r>
        <w:rPr>
          <w:color w:val="231F20"/>
          <w:spacing w:val="14"/>
        </w:rPr>
        <w:t> </w:t>
      </w:r>
      <w:r>
        <w:rPr>
          <w:color w:val="231F20"/>
        </w:rPr>
        <w:t>sociale</w:t>
      </w:r>
      <w:r>
        <w:rPr>
          <w:color w:val="231F20"/>
          <w:spacing w:val="15"/>
        </w:rPr>
        <w:t> </w:t>
      </w:r>
      <w:r>
        <w:rPr>
          <w:color w:val="231F20"/>
        </w:rPr>
        <w:t>si</w:t>
      </w:r>
      <w:r>
        <w:rPr>
          <w:color w:val="231F20"/>
          <w:spacing w:val="14"/>
        </w:rPr>
        <w:t> </w:t>
      </w:r>
      <w:r>
        <w:rPr>
          <w:color w:val="231F20"/>
        </w:rPr>
        <w:t>elle</w:t>
      </w:r>
      <w:r>
        <w:rPr>
          <w:color w:val="231F20"/>
          <w:spacing w:val="14"/>
        </w:rPr>
        <w:t> </w:t>
      </w:r>
      <w:r>
        <w:rPr>
          <w:color w:val="231F20"/>
        </w:rPr>
        <w:t>remplit</w:t>
      </w:r>
      <w:r>
        <w:rPr>
          <w:color w:val="231F20"/>
          <w:spacing w:val="15"/>
        </w:rPr>
        <w:t> </w:t>
      </w:r>
      <w:r>
        <w:rPr>
          <w:color w:val="231F20"/>
        </w:rPr>
        <w:t>les</w:t>
      </w:r>
      <w:r>
        <w:rPr>
          <w:color w:val="231F20"/>
          <w:spacing w:val="14"/>
        </w:rPr>
        <w:t> </w:t>
      </w:r>
      <w:r>
        <w:rPr>
          <w:color w:val="231F20"/>
        </w:rPr>
        <w:t>conditions</w:t>
      </w:r>
      <w:r>
        <w:rPr>
          <w:color w:val="231F20"/>
          <w:spacing w:val="14"/>
        </w:rPr>
        <w:t> </w:t>
      </w:r>
      <w:r>
        <w:rPr>
          <w:color w:val="231F20"/>
        </w:rPr>
        <w:t>suivantes:</w:t>
      </w:r>
    </w:p>
    <w:p>
      <w:pPr>
        <w:pStyle w:val="BodyText"/>
        <w:ind w:left="0" w:right="0" w:firstLine="0"/>
        <w:jc w:val="left"/>
        <w:rPr>
          <w:sz w:val="23"/>
        </w:rPr>
      </w:pPr>
    </w:p>
    <w:p>
      <w:pPr>
        <w:pStyle w:val="BodyText"/>
        <w:spacing w:line="218" w:lineRule="auto"/>
        <w:ind w:right="38"/>
      </w:pPr>
      <w:r>
        <w:rPr>
          <w:color w:val="231F20"/>
        </w:rPr>
        <w:t>1° elle a pour but principal, dans l’intérêt général, de générer un impact sociétal positif pour l’homme, l’environnement ou la société;</w:t>
      </w:r>
    </w:p>
    <w:p>
      <w:pPr>
        <w:pStyle w:val="BodyText"/>
        <w:ind w:left="0" w:right="0" w:firstLine="0"/>
        <w:jc w:val="left"/>
        <w:rPr>
          <w:sz w:val="23"/>
        </w:rPr>
      </w:pPr>
    </w:p>
    <w:p>
      <w:pPr>
        <w:pStyle w:val="BodyText"/>
        <w:spacing w:line="218" w:lineRule="auto"/>
        <w:ind w:right="38"/>
      </w:pPr>
      <w:r>
        <w:rPr>
          <w:color w:val="231F20"/>
        </w:rPr>
        <w:t>2° tout avantage patrimonial qu’elle distribue à ses actionnaires, sous quelque forme que ce soit, ne peut, à peine de nullité, excéder le taux d’intérêt fixé par le Roi en exécution de la loi du 20 juillet 1955 portant institution d’un Conseil national de la Coopération, de l’Entrepreneu- riat social et de l’entreprise Agricole, appliqué au montant réellement versé par les actionnaires sur les actions;</w:t>
      </w:r>
    </w:p>
    <w:p>
      <w:pPr>
        <w:pStyle w:val="BodyText"/>
        <w:ind w:left="0" w:right="0" w:firstLine="0"/>
        <w:jc w:val="left"/>
        <w:rPr>
          <w:sz w:val="23"/>
        </w:rPr>
      </w:pPr>
    </w:p>
    <w:p>
      <w:pPr>
        <w:pStyle w:val="BodyText"/>
        <w:spacing w:line="218" w:lineRule="auto" w:before="1"/>
        <w:ind w:right="38"/>
      </w:pPr>
      <w:r>
        <w:rPr>
          <w:color w:val="231F20"/>
        </w:rPr>
        <w:t>3° lors de la liquidation, il est donné au patrimoine subsistant après apurement du passif et remboursement de l’apport versé par les actionnaires</w:t>
      </w:r>
      <w:r>
        <w:rPr>
          <w:color w:val="231F20"/>
          <w:spacing w:val="-6"/>
        </w:rPr>
        <w:t> </w:t>
      </w:r>
      <w:r>
        <w:rPr>
          <w:color w:val="231F20"/>
        </w:rPr>
        <w:t>et</w:t>
      </w:r>
      <w:r>
        <w:rPr>
          <w:color w:val="231F20"/>
          <w:spacing w:val="-5"/>
        </w:rPr>
        <w:t> </w:t>
      </w:r>
      <w:r>
        <w:rPr>
          <w:color w:val="231F20"/>
        </w:rPr>
        <w:t>non</w:t>
      </w:r>
      <w:r>
        <w:rPr>
          <w:color w:val="231F20"/>
          <w:spacing w:val="-5"/>
        </w:rPr>
        <w:t> </w:t>
      </w:r>
      <w:r>
        <w:rPr>
          <w:color w:val="231F20"/>
        </w:rPr>
        <w:t>encore</w:t>
      </w:r>
      <w:r>
        <w:rPr>
          <w:color w:val="231F20"/>
          <w:spacing w:val="-6"/>
        </w:rPr>
        <w:t> </w:t>
      </w:r>
      <w:r>
        <w:rPr>
          <w:color w:val="231F20"/>
        </w:rPr>
        <w:t>remboursé,</w:t>
      </w:r>
      <w:r>
        <w:rPr>
          <w:color w:val="231F20"/>
          <w:spacing w:val="-5"/>
        </w:rPr>
        <w:t> </w:t>
      </w:r>
      <w:r>
        <w:rPr>
          <w:color w:val="231F20"/>
        </w:rPr>
        <w:t>à</w:t>
      </w:r>
      <w:r>
        <w:rPr>
          <w:color w:val="231F20"/>
          <w:spacing w:val="-5"/>
        </w:rPr>
        <w:t> </w:t>
      </w:r>
      <w:r>
        <w:rPr>
          <w:color w:val="231F20"/>
        </w:rPr>
        <w:t>peine</w:t>
      </w:r>
      <w:r>
        <w:rPr>
          <w:color w:val="231F20"/>
          <w:spacing w:val="-5"/>
        </w:rPr>
        <w:t> </w:t>
      </w:r>
      <w:r>
        <w:rPr>
          <w:color w:val="231F20"/>
        </w:rPr>
        <w:t>de</w:t>
      </w:r>
      <w:r>
        <w:rPr>
          <w:color w:val="231F20"/>
          <w:spacing w:val="-6"/>
        </w:rPr>
        <w:t> </w:t>
      </w:r>
      <w:r>
        <w:rPr>
          <w:color w:val="231F20"/>
        </w:rPr>
        <w:t>nullité,</w:t>
      </w:r>
      <w:r>
        <w:rPr>
          <w:color w:val="231F20"/>
          <w:spacing w:val="-5"/>
        </w:rPr>
        <w:t> </w:t>
      </w:r>
      <w:r>
        <w:rPr>
          <w:color w:val="231F20"/>
        </w:rPr>
        <w:t>une</w:t>
      </w:r>
      <w:r>
        <w:rPr>
          <w:color w:val="231F20"/>
          <w:spacing w:val="-5"/>
        </w:rPr>
        <w:t> </w:t>
      </w:r>
      <w:r>
        <w:rPr>
          <w:color w:val="231F20"/>
        </w:rPr>
        <w:t>affectation qui correspond le plus possible à son objet comme entreprise sociale agréée.</w:t>
      </w:r>
    </w:p>
    <w:p>
      <w:pPr>
        <w:pStyle w:val="BodyText"/>
        <w:spacing w:before="71"/>
        <w:ind w:left="283" w:right="0" w:firstLine="0"/>
        <w:jc w:val="left"/>
      </w:pPr>
      <w:r>
        <w:rPr>
          <w:color w:val="231F20"/>
        </w:rPr>
        <w:t>Le Roi fixe les conditions d’un agrément comme entreprise sociale.</w:t>
      </w:r>
    </w:p>
    <w:p>
      <w:pPr>
        <w:pStyle w:val="BodyText"/>
        <w:spacing w:before="5"/>
        <w:ind w:left="0" w:right="0" w:firstLine="0"/>
        <w:jc w:val="left"/>
        <w:rPr>
          <w:sz w:val="21"/>
        </w:rPr>
      </w:pPr>
    </w:p>
    <w:p>
      <w:pPr>
        <w:pStyle w:val="BodyText"/>
        <w:spacing w:before="1"/>
        <w:ind w:left="283" w:right="0" w:firstLine="0"/>
        <w:jc w:val="left"/>
      </w:pPr>
      <w:r>
        <w:rPr>
          <w:color w:val="231F20"/>
        </w:rPr>
        <w:t>Ses statuts mentionnent ces conditions.</w:t>
      </w:r>
    </w:p>
    <w:p>
      <w:pPr>
        <w:pStyle w:val="BodyText"/>
        <w:spacing w:line="216" w:lineRule="auto" w:before="83"/>
        <w:ind w:right="38"/>
      </w:pPr>
      <w:r>
        <w:rPr>
          <w:color w:val="231F20"/>
        </w:rPr>
        <w:t>Une société coopérative dont le but principal ne consiste pas à procurer à ses actionnaires un avantage économique ou social, pour la satisfaction de leurs besoins professionnels ou privés, mais qui est agréée en tant qu’entreprise sociale visée au paragraphe 1</w:t>
      </w:r>
      <w:r>
        <w:rPr>
          <w:color w:val="231F20"/>
          <w:position w:val="7"/>
          <w:sz w:val="11"/>
        </w:rPr>
        <w:t>er</w:t>
      </w:r>
      <w:r>
        <w:rPr>
          <w:color w:val="231F20"/>
        </w:rPr>
        <w:t>, ajoute à la dénomination de sa forme légale les termes “agréée comme entreprise sociale” et est désignée en abrégé “SC agréée comme ES”.</w:t>
      </w:r>
    </w:p>
    <w:p>
      <w:pPr>
        <w:pStyle w:val="BodyText"/>
        <w:spacing w:line="216" w:lineRule="auto" w:before="82"/>
        <w:ind w:right="38"/>
      </w:pPr>
      <w:r>
        <w:rPr>
          <w:color w:val="231F20"/>
        </w:rPr>
        <w:t>§ 2. Une société coopérative dont le but principal ne consiste pas à procurer à ses actionnaires un avantage économique ou social, pour la satisfaction de leurs besoins professionnels ou privés, et qui est tant</w:t>
      </w:r>
      <w:r>
        <w:rPr>
          <w:color w:val="231F20"/>
          <w:spacing w:val="-22"/>
        </w:rPr>
        <w:t> </w:t>
      </w:r>
      <w:r>
        <w:rPr>
          <w:color w:val="231F20"/>
        </w:rPr>
        <w:t>une société coopérative agréée visée à l’article 8:4 qu’une société agréée en tant qu’entreprise sociale visée au paragraphe 1</w:t>
      </w:r>
      <w:r>
        <w:rPr>
          <w:color w:val="231F20"/>
          <w:position w:val="7"/>
          <w:sz w:val="11"/>
        </w:rPr>
        <w:t>er</w:t>
      </w:r>
      <w:r>
        <w:rPr>
          <w:color w:val="231F20"/>
        </w:rPr>
        <w:t>, ajoute à la dénomi- nation de sa forme légale les termes “agréée” et “entreprise sociale” et est</w:t>
      </w:r>
      <w:r>
        <w:rPr>
          <w:color w:val="231F20"/>
          <w:spacing w:val="15"/>
        </w:rPr>
        <w:t> </w:t>
      </w:r>
      <w:r>
        <w:rPr>
          <w:color w:val="231F20"/>
        </w:rPr>
        <w:t>désignée</w:t>
      </w:r>
      <w:r>
        <w:rPr>
          <w:color w:val="231F20"/>
          <w:spacing w:val="16"/>
        </w:rPr>
        <w:t> </w:t>
      </w:r>
      <w:r>
        <w:rPr>
          <w:color w:val="231F20"/>
        </w:rPr>
        <w:t>en</w:t>
      </w:r>
      <w:r>
        <w:rPr>
          <w:color w:val="231F20"/>
          <w:spacing w:val="15"/>
        </w:rPr>
        <w:t> </w:t>
      </w:r>
      <w:r>
        <w:rPr>
          <w:color w:val="231F20"/>
        </w:rPr>
        <w:t>abrégé</w:t>
      </w:r>
      <w:r>
        <w:rPr>
          <w:color w:val="231F20"/>
          <w:spacing w:val="16"/>
        </w:rPr>
        <w:t> </w:t>
      </w:r>
      <w:r>
        <w:rPr>
          <w:color w:val="231F20"/>
        </w:rPr>
        <w:t>“SCES</w:t>
      </w:r>
      <w:r>
        <w:rPr>
          <w:color w:val="231F20"/>
          <w:spacing w:val="15"/>
        </w:rPr>
        <w:t> </w:t>
      </w:r>
      <w:r>
        <w:rPr>
          <w:color w:val="231F20"/>
        </w:rPr>
        <w:t>agréée”.</w:t>
      </w:r>
    </w:p>
    <w:p>
      <w:pPr>
        <w:pStyle w:val="BodyText"/>
        <w:spacing w:before="6"/>
        <w:ind w:left="0" w:right="0" w:firstLine="0"/>
        <w:jc w:val="left"/>
        <w:rPr>
          <w:sz w:val="21"/>
        </w:rPr>
      </w:pPr>
    </w:p>
    <w:p>
      <w:pPr>
        <w:pStyle w:val="BodyText"/>
        <w:spacing w:before="1"/>
        <w:ind w:left="283" w:right="0" w:firstLine="0"/>
        <w:jc w:val="left"/>
      </w:pPr>
      <w:r>
        <w:rPr>
          <w:color w:val="231F20"/>
        </w:rPr>
        <w:t>TITRE 4. Dissolution judiciaire.</w:t>
      </w:r>
    </w:p>
    <w:p>
      <w:pPr>
        <w:pStyle w:val="BodyText"/>
        <w:spacing w:line="218" w:lineRule="auto" w:before="82"/>
        <w:ind w:right="38"/>
      </w:pPr>
      <w:r>
        <w:rPr>
          <w:color w:val="231F20"/>
        </w:rPr>
        <w:t>Art. 8:6 Le tribunal de l’entreprise peut, à la requête du ministre qui a l’Economie dans ses attributions, du ministère public ou de tout intéressé, prononcer la dissolution d’une société qui se présente comme une</w:t>
      </w:r>
      <w:r>
        <w:rPr>
          <w:color w:val="231F20"/>
          <w:spacing w:val="15"/>
        </w:rPr>
        <w:t> </w:t>
      </w:r>
      <w:r>
        <w:rPr>
          <w:color w:val="231F20"/>
        </w:rPr>
        <w:t>entreprise</w:t>
      </w:r>
      <w:r>
        <w:rPr>
          <w:color w:val="231F20"/>
          <w:spacing w:val="15"/>
        </w:rPr>
        <w:t> </w:t>
      </w:r>
      <w:r>
        <w:rPr>
          <w:color w:val="231F20"/>
        </w:rPr>
        <w:t>agricole</w:t>
      </w:r>
      <w:r>
        <w:rPr>
          <w:color w:val="231F20"/>
          <w:spacing w:val="15"/>
        </w:rPr>
        <w:t> </w:t>
      </w:r>
      <w:r>
        <w:rPr>
          <w:color w:val="231F20"/>
        </w:rPr>
        <w:t>bien</w:t>
      </w:r>
      <w:r>
        <w:rPr>
          <w:color w:val="231F20"/>
          <w:spacing w:val="16"/>
        </w:rPr>
        <w:t> </w:t>
      </w:r>
      <w:r>
        <w:rPr>
          <w:color w:val="231F20"/>
        </w:rPr>
        <w:t>qu’elle</w:t>
      </w:r>
      <w:r>
        <w:rPr>
          <w:color w:val="231F20"/>
          <w:spacing w:val="15"/>
        </w:rPr>
        <w:t> </w:t>
      </w:r>
      <w:r>
        <w:rPr>
          <w:color w:val="231F20"/>
        </w:rPr>
        <w:t>ne</w:t>
      </w:r>
      <w:r>
        <w:rPr>
          <w:color w:val="231F20"/>
          <w:spacing w:val="15"/>
        </w:rPr>
        <w:t> </w:t>
      </w:r>
      <w:r>
        <w:rPr>
          <w:color w:val="231F20"/>
        </w:rPr>
        <w:t>soit</w:t>
      </w:r>
      <w:r>
        <w:rPr>
          <w:color w:val="231F20"/>
          <w:spacing w:val="16"/>
        </w:rPr>
        <w:t> </w:t>
      </w:r>
      <w:r>
        <w:rPr>
          <w:color w:val="231F20"/>
        </w:rPr>
        <w:t>pas</w:t>
      </w:r>
      <w:r>
        <w:rPr>
          <w:color w:val="231F20"/>
          <w:spacing w:val="15"/>
        </w:rPr>
        <w:t> </w:t>
      </w:r>
      <w:r>
        <w:rPr>
          <w:color w:val="231F20"/>
        </w:rPr>
        <w:t>agrée.</w:t>
      </w:r>
    </w:p>
    <w:p>
      <w:pPr>
        <w:pStyle w:val="BodyText"/>
        <w:spacing w:line="218" w:lineRule="auto" w:before="85"/>
        <w:ind w:right="38"/>
      </w:pPr>
      <w:r>
        <w:rPr>
          <w:color w:val="231F20"/>
        </w:rPr>
        <w:t>Le tribunal peut, le cas échéant, accorder à la société un délai en vue de régulariser sa situation.</w:t>
      </w:r>
    </w:p>
    <w:p>
      <w:pPr>
        <w:pStyle w:val="BodyText"/>
        <w:spacing w:line="218" w:lineRule="auto" w:before="96"/>
        <w:ind w:right="38"/>
      </w:pPr>
      <w:r>
        <w:rPr>
          <w:color w:val="231F20"/>
        </w:rPr>
        <w:t>Art. 8:7. Le tribunal de l’entreprise peut, à la requête du ministre qui a l’Economie dans ses attributions, du ministère public ou de tout intéressé, prononcer la dissolution d’une société qui se présente comme une société coopérative agréée, bien qu’elle ne soit pas agrée.</w:t>
      </w:r>
    </w:p>
    <w:p>
      <w:pPr>
        <w:pStyle w:val="BodyText"/>
        <w:spacing w:before="11"/>
        <w:ind w:left="0" w:right="0" w:firstLine="0"/>
        <w:jc w:val="left"/>
        <w:rPr>
          <w:sz w:val="23"/>
        </w:rPr>
      </w:pPr>
    </w:p>
    <w:p>
      <w:pPr>
        <w:pStyle w:val="BodyText"/>
        <w:spacing w:line="218" w:lineRule="auto"/>
        <w:ind w:right="38"/>
      </w:pPr>
      <w:r>
        <w:rPr>
          <w:color w:val="231F20"/>
        </w:rPr>
        <w:t>Le tribunal de l’entreprise peut, à la requête du ministre qui a l’Economie dans ses attributions, du ministère public ou de tout intéressé, prononcer la dissolution d’une société qui se présente comme une société coopérative agréée comme entreprise sociale, bien qu’elle ne soit pas</w:t>
      </w:r>
      <w:r>
        <w:rPr>
          <w:color w:val="231F20"/>
          <w:spacing w:val="3"/>
        </w:rPr>
        <w:t> </w:t>
      </w:r>
      <w:r>
        <w:rPr>
          <w:color w:val="231F20"/>
        </w:rPr>
        <w:t>agréée.</w:t>
      </w:r>
    </w:p>
    <w:p>
      <w:pPr>
        <w:pStyle w:val="BodyText"/>
        <w:spacing w:line="218" w:lineRule="auto" w:before="96"/>
        <w:ind w:right="38"/>
      </w:pPr>
      <w:r>
        <w:rPr>
          <w:color w:val="231F20"/>
        </w:rPr>
        <w:t>Le tribunal peut, le cas échéant, accorder à la société un délai en vue de régulariser sa situation.</w:t>
      </w:r>
    </w:p>
    <w:p>
      <w:pPr>
        <w:pStyle w:val="BodyText"/>
        <w:spacing w:line="338" w:lineRule="auto" w:before="82"/>
        <w:ind w:left="283" w:right="1760" w:firstLine="0"/>
        <w:jc w:val="left"/>
      </w:pPr>
      <w:r>
        <w:rPr>
          <w:color w:val="231F20"/>
        </w:rPr>
        <w:t>PARTIE 3. Les associations et les fondations. LIVRE 9. ASBL.</w:t>
      </w:r>
    </w:p>
    <w:p>
      <w:pPr>
        <w:pStyle w:val="BodyText"/>
        <w:spacing w:line="192" w:lineRule="exact"/>
        <w:ind w:left="283" w:right="0" w:firstLine="0"/>
        <w:jc w:val="left"/>
      </w:pPr>
      <w:r>
        <w:rPr>
          <w:color w:val="231F20"/>
        </w:rPr>
        <w:t>TITRE 1</w:t>
      </w:r>
      <w:r>
        <w:rPr>
          <w:color w:val="231F20"/>
          <w:position w:val="7"/>
          <w:sz w:val="11"/>
        </w:rPr>
        <w:t>er</w:t>
      </w:r>
      <w:r>
        <w:rPr>
          <w:color w:val="231F20"/>
        </w:rPr>
        <w:t>. Dispositions générales.</w:t>
      </w:r>
    </w:p>
    <w:p>
      <w:pPr>
        <w:pStyle w:val="BodyText"/>
        <w:spacing w:before="64"/>
        <w:ind w:left="283" w:right="0" w:firstLine="0"/>
        <w:jc w:val="left"/>
      </w:pPr>
      <w:r>
        <w:rPr>
          <w:color w:val="231F20"/>
        </w:rPr>
        <w:t>CHAPITRE 1</w:t>
      </w:r>
      <w:r>
        <w:rPr>
          <w:color w:val="231F20"/>
          <w:position w:val="7"/>
          <w:sz w:val="11"/>
        </w:rPr>
        <w:t>er</w:t>
      </w:r>
      <w:r>
        <w:rPr>
          <w:color w:val="231F20"/>
        </w:rPr>
        <w:t>. Dispositions introductives.</w:t>
      </w:r>
    </w:p>
    <w:p>
      <w:pPr>
        <w:pStyle w:val="BodyText"/>
        <w:spacing w:line="218" w:lineRule="auto" w:before="93"/>
        <w:ind w:right="38"/>
      </w:pPr>
      <w:r>
        <w:rPr>
          <w:color w:val="231F20"/>
        </w:rPr>
        <w:t>Art. 9:1. </w:t>
      </w:r>
      <w:r>
        <w:rPr>
          <w:color w:val="231F20"/>
          <w:spacing w:val="-3"/>
        </w:rPr>
        <w:t>L’ASBL </w:t>
      </w:r>
      <w:r>
        <w:rPr>
          <w:color w:val="231F20"/>
        </w:rPr>
        <w:t>est une association dotée de la personnalité juridique dont les membres ne sont en cette qualité pas responsables pour les engagements conclus par l’association.</w:t>
      </w:r>
    </w:p>
    <w:p>
      <w:pPr>
        <w:pStyle w:val="BodyText"/>
        <w:spacing w:line="218" w:lineRule="auto" w:before="96"/>
        <w:ind w:right="38"/>
      </w:pPr>
      <w:r>
        <w:rPr>
          <w:color w:val="231F20"/>
        </w:rPr>
        <w:t>Art. 9:2. </w:t>
      </w:r>
      <w:r>
        <w:rPr>
          <w:color w:val="231F20"/>
          <w:spacing w:val="-3"/>
        </w:rPr>
        <w:t>L’acte </w:t>
      </w:r>
      <w:r>
        <w:rPr>
          <w:color w:val="231F20"/>
        </w:rPr>
        <w:t>constitutif contient au moins les données</w:t>
      </w:r>
      <w:r>
        <w:rPr>
          <w:color w:val="231F20"/>
          <w:spacing w:val="-18"/>
        </w:rPr>
        <w:t> </w:t>
      </w:r>
      <w:r>
        <w:rPr>
          <w:color w:val="231F20"/>
        </w:rPr>
        <w:t>mentionnées dans</w:t>
      </w:r>
      <w:r>
        <w:rPr>
          <w:color w:val="231F20"/>
          <w:spacing w:val="14"/>
        </w:rPr>
        <w:t> </w:t>
      </w:r>
      <w:r>
        <w:rPr>
          <w:color w:val="231F20"/>
        </w:rPr>
        <w:t>l’extrait</w:t>
      </w:r>
      <w:r>
        <w:rPr>
          <w:color w:val="231F20"/>
          <w:spacing w:val="15"/>
        </w:rPr>
        <w:t> </w:t>
      </w:r>
      <w:r>
        <w:rPr>
          <w:color w:val="231F20"/>
          <w:spacing w:val="3"/>
        </w:rPr>
        <w:t>visé</w:t>
      </w:r>
      <w:r>
        <w:rPr>
          <w:color w:val="231F20"/>
          <w:spacing w:val="-1"/>
        </w:rPr>
        <w:t> </w:t>
      </w:r>
      <w:r>
        <w:rPr>
          <w:color w:val="231F20"/>
        </w:rPr>
        <w:t>à</w:t>
      </w:r>
      <w:r>
        <w:rPr>
          <w:color w:val="231F20"/>
          <w:spacing w:val="15"/>
        </w:rPr>
        <w:t> </w:t>
      </w:r>
      <w:r>
        <w:rPr>
          <w:color w:val="231F20"/>
        </w:rPr>
        <w:t>l’article</w:t>
      </w:r>
      <w:r>
        <w:rPr>
          <w:color w:val="231F20"/>
          <w:spacing w:val="14"/>
        </w:rPr>
        <w:t> </w:t>
      </w:r>
      <w:r>
        <w:rPr>
          <w:color w:val="231F20"/>
        </w:rPr>
        <w:t>2:9,</w:t>
      </w:r>
      <w:r>
        <w:rPr>
          <w:color w:val="231F20"/>
          <w:spacing w:val="15"/>
        </w:rPr>
        <w:t> </w:t>
      </w:r>
      <w:r>
        <w:rPr>
          <w:color w:val="231F20"/>
        </w:rPr>
        <w:t>§</w:t>
      </w:r>
      <w:r>
        <w:rPr>
          <w:color w:val="231F20"/>
          <w:spacing w:val="14"/>
        </w:rPr>
        <w:t> </w:t>
      </w:r>
      <w:r>
        <w:rPr>
          <w:color w:val="231F20"/>
        </w:rPr>
        <w:t>2.</w:t>
      </w:r>
    </w:p>
    <w:p>
      <w:pPr>
        <w:pStyle w:val="BodyText"/>
        <w:spacing w:before="82"/>
        <w:ind w:left="283" w:right="0" w:firstLine="0"/>
        <w:jc w:val="left"/>
      </w:pPr>
      <w:r>
        <w:rPr>
          <w:color w:val="231F20"/>
        </w:rPr>
        <w:t>CHAPITRE 2. Membres et registre des membres.</w:t>
      </w:r>
    </w:p>
    <w:p>
      <w:pPr>
        <w:pStyle w:val="BodyText"/>
        <w:spacing w:line="218" w:lineRule="auto" w:before="78"/>
        <w:ind w:right="38"/>
      </w:pPr>
      <w:r>
        <w:rPr>
          <w:color w:val="231F20"/>
        </w:rPr>
        <w:t>Art. 9:3. § 1</w:t>
      </w:r>
      <w:r>
        <w:rPr>
          <w:color w:val="231F20"/>
          <w:position w:val="7"/>
          <w:sz w:val="11"/>
        </w:rPr>
        <w:t>er</w:t>
      </w:r>
      <w:r>
        <w:rPr>
          <w:color w:val="231F20"/>
        </w:rPr>
        <w:t>. L’organe d’administration tient au siège de l’associa- tion un registre des membres. Ce registre reprend les nom, prénom et domicile des membres, ou lorsqu’il s’agit d’une personne morale, la</w:t>
      </w:r>
    </w:p>
    <w:p>
      <w:pPr>
        <w:pStyle w:val="BodyText"/>
        <w:spacing w:line="218" w:lineRule="auto" w:before="119"/>
      </w:pPr>
      <w:r>
        <w:rPr/>
        <w:br w:type="column"/>
      </w:r>
      <w:r>
        <w:rPr>
          <w:color w:val="231F20"/>
        </w:rPr>
        <w:t>De statuten van een erkende coöperatieve vennootschap kunnen bepalen dat het vermogen dat bij vereffening overblijft na aanzuivering van het passief en terugbetaling van de door de aandeelhouders gestorte en nog niet terugbetaalde inbreng wordt bestemd</w:t>
      </w:r>
      <w:r>
        <w:rPr>
          <w:color w:val="231F20"/>
          <w:spacing w:val="36"/>
        </w:rPr>
        <w:t> </w:t>
      </w:r>
      <w:r>
        <w:rPr>
          <w:color w:val="231F20"/>
        </w:rPr>
        <w:t>voor economische</w:t>
      </w:r>
      <w:r>
        <w:rPr>
          <w:color w:val="231F20"/>
          <w:spacing w:val="15"/>
        </w:rPr>
        <w:t> </w:t>
      </w:r>
      <w:r>
        <w:rPr>
          <w:color w:val="231F20"/>
        </w:rPr>
        <w:t>of</w:t>
      </w:r>
      <w:r>
        <w:rPr>
          <w:color w:val="231F20"/>
          <w:spacing w:val="15"/>
        </w:rPr>
        <w:t> </w:t>
      </w:r>
      <w:r>
        <w:rPr>
          <w:color w:val="231F20"/>
        </w:rPr>
        <w:t>sociale</w:t>
      </w:r>
      <w:r>
        <w:rPr>
          <w:color w:val="231F20"/>
          <w:spacing w:val="16"/>
        </w:rPr>
        <w:t> </w:t>
      </w:r>
      <w:r>
        <w:rPr>
          <w:color w:val="231F20"/>
        </w:rPr>
        <w:t>activiteiten</w:t>
      </w:r>
      <w:r>
        <w:rPr>
          <w:color w:val="231F20"/>
          <w:spacing w:val="15"/>
        </w:rPr>
        <w:t> </w:t>
      </w:r>
      <w:r>
        <w:rPr>
          <w:color w:val="231F20"/>
        </w:rPr>
        <w:t>die</w:t>
      </w:r>
      <w:r>
        <w:rPr>
          <w:color w:val="231F20"/>
          <w:spacing w:val="16"/>
        </w:rPr>
        <w:t> </w:t>
      </w:r>
      <w:r>
        <w:rPr>
          <w:color w:val="231F20"/>
        </w:rPr>
        <w:t>zij</w:t>
      </w:r>
      <w:r>
        <w:rPr>
          <w:color w:val="231F20"/>
          <w:spacing w:val="15"/>
        </w:rPr>
        <w:t> </w:t>
      </w:r>
      <w:r>
        <w:rPr>
          <w:color w:val="231F20"/>
        </w:rPr>
        <w:t>beoogt</w:t>
      </w:r>
      <w:r>
        <w:rPr>
          <w:color w:val="231F20"/>
          <w:spacing w:val="15"/>
        </w:rPr>
        <w:t> </w:t>
      </w:r>
      <w:r>
        <w:rPr>
          <w:color w:val="231F20"/>
        </w:rPr>
        <w:t>te</w:t>
      </w:r>
      <w:r>
        <w:rPr>
          <w:color w:val="231F20"/>
          <w:spacing w:val="16"/>
        </w:rPr>
        <w:t> </w:t>
      </w:r>
      <w:r>
        <w:rPr>
          <w:color w:val="231F20"/>
        </w:rPr>
        <w:t>bevorderen.</w:t>
      </w:r>
    </w:p>
    <w:p>
      <w:pPr>
        <w:pStyle w:val="BodyText"/>
        <w:spacing w:line="218" w:lineRule="auto" w:before="86"/>
      </w:pPr>
      <w:r>
        <w:rPr>
          <w:color w:val="231F20"/>
        </w:rPr>
        <w:t>Art. 8:5. § 1. Een coöperatieve vennootschap kan, in toepassing van de wet van 20 juli 1955 houdende instelling van een Nationale Raad voor Coöperatie, het Sociaal Ondernemerschap en de Landbouwonder- neming worden erkend als sociale onderneming wanneer zij aan de volgende voorwaarden</w:t>
      </w:r>
      <w:r>
        <w:rPr>
          <w:color w:val="231F20"/>
          <w:spacing w:val="-9"/>
        </w:rPr>
        <w:t> </w:t>
      </w:r>
      <w:r>
        <w:rPr>
          <w:color w:val="231F20"/>
        </w:rPr>
        <w:t>voldoet:</w:t>
      </w:r>
    </w:p>
    <w:p>
      <w:pPr>
        <w:pStyle w:val="BodyText"/>
        <w:spacing w:line="218" w:lineRule="auto" w:before="86"/>
      </w:pPr>
      <w:r>
        <w:rPr>
          <w:color w:val="231F20"/>
        </w:rPr>
        <w:t>1° zij heeft hoofdzakelijk tot doel, in het algemeen belang, een positieve maatschappelijke impact te bewerkstelligen op de mens, het milieu of de samenleving;</w:t>
      </w:r>
    </w:p>
    <w:p>
      <w:pPr>
        <w:pStyle w:val="BodyText"/>
        <w:spacing w:line="218" w:lineRule="auto" w:before="85"/>
      </w:pPr>
      <w:r>
        <w:rPr>
          <w:color w:val="231F20"/>
        </w:rPr>
        <w:t>2° enig vermogensvoordeel dat zij aan haar aandeelhouders uitkeert, onder welke vorm dan ook, mag, op straffe van nietigheid, niet hoger zijn dan de rentevoet vastgesteld door de Koning ter uitvoering van de wet van 20 juli 1955 houdende instelling van een Nationale Raad voor de Coöperatie, het Sociaal Ondernemerschap en de Landbouwonder- neming, toegepast op het door de aandeelhouders werkelijk gestorte bedrag op de aandelen;</w:t>
      </w:r>
    </w:p>
    <w:p>
      <w:pPr>
        <w:pStyle w:val="BodyText"/>
        <w:spacing w:line="218" w:lineRule="auto" w:before="86"/>
      </w:pPr>
      <w:r>
        <w:rPr>
          <w:color w:val="231F20"/>
        </w:rPr>
        <w:t>3° bij vereffening wordt aan het vermogen dat overblijft na aanzui- vering van het passief en terugbetaling van de door de aandeelhouders gestorte en nog niet terugbetaalde inbreng, op straffe van nietigheid, een bestemming gegeven die zo nauw mogelijk aansluit bij haar voorwerp als erkende sociale onderneming.</w:t>
      </w:r>
    </w:p>
    <w:p>
      <w:pPr>
        <w:pStyle w:val="BodyText"/>
        <w:spacing w:line="218" w:lineRule="auto" w:before="86"/>
      </w:pPr>
      <w:r>
        <w:rPr>
          <w:color w:val="231F20"/>
        </w:rPr>
        <w:t>De Koning bepaalt de voorwaarden voor een erkenning als sociale onderneming.</w:t>
      </w:r>
    </w:p>
    <w:p>
      <w:pPr>
        <w:pStyle w:val="BodyText"/>
        <w:spacing w:before="71"/>
        <w:ind w:left="283" w:right="0" w:firstLine="0"/>
        <w:jc w:val="left"/>
      </w:pPr>
      <w:r>
        <w:rPr>
          <w:color w:val="231F20"/>
        </w:rPr>
        <w:t>Haar statuten vermelden deze voorwaarden.</w:t>
      </w:r>
    </w:p>
    <w:p>
      <w:pPr>
        <w:pStyle w:val="BodyText"/>
        <w:spacing w:line="218" w:lineRule="auto" w:before="82"/>
        <w:ind w:right="123"/>
      </w:pPr>
      <w:r>
        <w:rPr>
          <w:color w:val="231F20"/>
        </w:rPr>
        <w:t>Een coöperatieve vennootschap wiens voornaamste doel er niet in bestaat om haar aandeelhouders een economisch of sociaal voordeel te verschaffen ter bevrediging van hun beroeps- of persoonlijke</w:t>
      </w:r>
      <w:r>
        <w:rPr>
          <w:color w:val="231F20"/>
          <w:spacing w:val="-11"/>
        </w:rPr>
        <w:t> </w:t>
      </w:r>
      <w:r>
        <w:rPr>
          <w:color w:val="231F20"/>
        </w:rPr>
        <w:t>behoeften, maar is erkend als een sociale onderneming als bedoeld in paragraaf 1, voegt aan de benaming van haar rechtsvorm de woorden “erkend als sociale</w:t>
      </w:r>
      <w:r>
        <w:rPr>
          <w:color w:val="231F20"/>
          <w:spacing w:val="23"/>
        </w:rPr>
        <w:t> </w:t>
      </w:r>
      <w:r>
        <w:rPr>
          <w:color w:val="231F20"/>
        </w:rPr>
        <w:t>onderneming”</w:t>
      </w:r>
      <w:r>
        <w:rPr>
          <w:color w:val="231F20"/>
          <w:spacing w:val="24"/>
        </w:rPr>
        <w:t> </w:t>
      </w:r>
      <w:r>
        <w:rPr>
          <w:color w:val="231F20"/>
        </w:rPr>
        <w:t>toe</w:t>
      </w:r>
      <w:r>
        <w:rPr>
          <w:color w:val="231F20"/>
          <w:spacing w:val="23"/>
        </w:rPr>
        <w:t> </w:t>
      </w:r>
      <w:r>
        <w:rPr>
          <w:color w:val="231F20"/>
        </w:rPr>
        <w:t>en</w:t>
      </w:r>
      <w:r>
        <w:rPr>
          <w:color w:val="231F20"/>
          <w:spacing w:val="24"/>
        </w:rPr>
        <w:t> </w:t>
      </w:r>
      <w:r>
        <w:rPr>
          <w:color w:val="231F20"/>
        </w:rPr>
        <w:t>wordt</w:t>
      </w:r>
      <w:r>
        <w:rPr>
          <w:color w:val="231F20"/>
          <w:spacing w:val="24"/>
        </w:rPr>
        <w:t> </w:t>
      </w:r>
      <w:r>
        <w:rPr>
          <w:color w:val="231F20"/>
        </w:rPr>
        <w:t>afgekort</w:t>
      </w:r>
      <w:r>
        <w:rPr>
          <w:color w:val="231F20"/>
          <w:spacing w:val="23"/>
        </w:rPr>
        <w:t> </w:t>
      </w:r>
      <w:r>
        <w:rPr>
          <w:color w:val="231F20"/>
        </w:rPr>
        <w:t>als</w:t>
      </w:r>
      <w:r>
        <w:rPr>
          <w:color w:val="231F20"/>
          <w:spacing w:val="24"/>
        </w:rPr>
        <w:t> </w:t>
      </w:r>
      <w:r>
        <w:rPr>
          <w:color w:val="231F20"/>
        </w:rPr>
        <w:t>“CV</w:t>
      </w:r>
      <w:r>
        <w:rPr>
          <w:color w:val="231F20"/>
          <w:spacing w:val="23"/>
        </w:rPr>
        <w:t> </w:t>
      </w:r>
      <w:r>
        <w:rPr>
          <w:color w:val="231F20"/>
        </w:rPr>
        <w:t>erkend</w:t>
      </w:r>
      <w:r>
        <w:rPr>
          <w:color w:val="231F20"/>
          <w:spacing w:val="24"/>
        </w:rPr>
        <w:t> </w:t>
      </w:r>
      <w:r>
        <w:rPr>
          <w:color w:val="231F20"/>
        </w:rPr>
        <w:t>als</w:t>
      </w:r>
      <w:r>
        <w:rPr>
          <w:color w:val="231F20"/>
          <w:spacing w:val="24"/>
        </w:rPr>
        <w:t> </w:t>
      </w:r>
      <w:r>
        <w:rPr>
          <w:color w:val="231F20"/>
        </w:rPr>
        <w:t>SO”.</w:t>
      </w:r>
    </w:p>
    <w:p>
      <w:pPr>
        <w:pStyle w:val="BodyText"/>
        <w:spacing w:line="218" w:lineRule="auto" w:before="86"/>
      </w:pPr>
      <w:r>
        <w:rPr>
          <w:color w:val="231F20"/>
        </w:rPr>
        <w:t>§ 2. Een coöperatieve vennootschap wiens voornaamste doel er niet in bestaat om haar aandeelhouders een economisch of sociaal voordeel te verschaffen ter bevrediging van hun beroeps- of</w:t>
      </w:r>
      <w:r>
        <w:rPr>
          <w:color w:val="231F20"/>
          <w:spacing w:val="26"/>
        </w:rPr>
        <w:t> </w:t>
      </w:r>
      <w:r>
        <w:rPr>
          <w:color w:val="231F20"/>
        </w:rPr>
        <w:t>persoonlijke behoeften, en die zowel een erkende coöperatieve vennootschap is als bedoeld in artikel 8:4, als erkend als een sociale onderneming als bedoeld in paragraaf 1, voegt aan de benaming van haar rechtsvorm de woorden “erkend” en “sociale onderneming” toe en wordt afgekort als “erkende</w:t>
      </w:r>
      <w:r>
        <w:rPr>
          <w:color w:val="231F20"/>
          <w:spacing w:val="15"/>
        </w:rPr>
        <w:t> </w:t>
      </w:r>
      <w:r>
        <w:rPr>
          <w:color w:val="231F20"/>
        </w:rPr>
        <w:t>CVSO”.</w:t>
      </w:r>
    </w:p>
    <w:p>
      <w:pPr>
        <w:pStyle w:val="BodyText"/>
        <w:spacing w:before="72"/>
        <w:ind w:left="283" w:right="0" w:firstLine="0"/>
        <w:jc w:val="left"/>
      </w:pPr>
      <w:r>
        <w:rPr>
          <w:color w:val="231F20"/>
        </w:rPr>
        <w:t>TITEL 4. Gerechtelijke ontbinding.</w:t>
      </w:r>
    </w:p>
    <w:p>
      <w:pPr>
        <w:pStyle w:val="BodyText"/>
        <w:spacing w:line="218" w:lineRule="auto" w:before="82"/>
      </w:pPr>
      <w:r>
        <w:rPr>
          <w:color w:val="231F20"/>
        </w:rPr>
        <w:t>Art. 8:6. De ondernemingsrechtbank kan op verzoek van de minister bevoegd voor Economie, het openbaar ministerie of elke belangheb- bende de ontbinding uitspreken van een vennootschap die zich voordoet</w:t>
      </w:r>
      <w:r>
        <w:rPr>
          <w:color w:val="231F20"/>
          <w:spacing w:val="19"/>
        </w:rPr>
        <w:t> </w:t>
      </w:r>
      <w:r>
        <w:rPr>
          <w:color w:val="231F20"/>
        </w:rPr>
        <w:t>als</w:t>
      </w:r>
      <w:r>
        <w:rPr>
          <w:color w:val="231F20"/>
          <w:spacing w:val="20"/>
        </w:rPr>
        <w:t> </w:t>
      </w:r>
      <w:r>
        <w:rPr>
          <w:color w:val="231F20"/>
        </w:rPr>
        <w:t>een</w:t>
      </w:r>
      <w:r>
        <w:rPr>
          <w:color w:val="231F20"/>
          <w:spacing w:val="20"/>
        </w:rPr>
        <w:t> </w:t>
      </w:r>
      <w:r>
        <w:rPr>
          <w:color w:val="231F20"/>
        </w:rPr>
        <w:t>landbouwonderneming</w:t>
      </w:r>
      <w:r>
        <w:rPr>
          <w:color w:val="231F20"/>
          <w:spacing w:val="20"/>
        </w:rPr>
        <w:t> </w:t>
      </w:r>
      <w:r>
        <w:rPr>
          <w:color w:val="231F20"/>
        </w:rPr>
        <w:t>hoewel</w:t>
      </w:r>
      <w:r>
        <w:rPr>
          <w:color w:val="231F20"/>
          <w:spacing w:val="20"/>
        </w:rPr>
        <w:t> </w:t>
      </w:r>
      <w:r>
        <w:rPr>
          <w:color w:val="231F20"/>
        </w:rPr>
        <w:t>zij</w:t>
      </w:r>
      <w:r>
        <w:rPr>
          <w:color w:val="231F20"/>
          <w:spacing w:val="20"/>
        </w:rPr>
        <w:t> </w:t>
      </w:r>
      <w:r>
        <w:rPr>
          <w:color w:val="231F20"/>
        </w:rPr>
        <w:t>niet</w:t>
      </w:r>
      <w:r>
        <w:rPr>
          <w:color w:val="231F20"/>
          <w:spacing w:val="20"/>
        </w:rPr>
        <w:t> </w:t>
      </w:r>
      <w:r>
        <w:rPr>
          <w:color w:val="231F20"/>
        </w:rPr>
        <w:t>is</w:t>
      </w:r>
      <w:r>
        <w:rPr>
          <w:color w:val="231F20"/>
          <w:spacing w:val="20"/>
        </w:rPr>
        <w:t> </w:t>
      </w:r>
      <w:r>
        <w:rPr>
          <w:color w:val="231F20"/>
        </w:rPr>
        <w:t>erkend.</w:t>
      </w:r>
    </w:p>
    <w:p>
      <w:pPr>
        <w:pStyle w:val="BodyText"/>
        <w:spacing w:line="218" w:lineRule="auto" w:before="86"/>
      </w:pPr>
      <w:r>
        <w:rPr>
          <w:color w:val="231F20"/>
        </w:rPr>
        <w:t>In voorkomend geval kan de rechtbank een termijn aan de vennoot- schap toestaan om haar toestand te regulariseren.</w:t>
      </w:r>
    </w:p>
    <w:p>
      <w:pPr>
        <w:pStyle w:val="BodyText"/>
        <w:spacing w:line="218" w:lineRule="auto" w:before="96"/>
      </w:pPr>
      <w:r>
        <w:rPr>
          <w:color w:val="231F20"/>
        </w:rPr>
        <w:t>Art. 8:7. De ondernemingsrechtbank kan op verzoek van de minister bevoegd voor Economie, het openbaar ministerie of elke belangheb- bende de ontbinding uitspreken van een vennootschap die zich voordoet als een erkende coöperatieve vennootschap, hoewel zij niet is erkend.</w:t>
      </w:r>
    </w:p>
    <w:p>
      <w:pPr>
        <w:pStyle w:val="BodyText"/>
        <w:spacing w:line="218" w:lineRule="auto" w:before="96"/>
      </w:pPr>
      <w:r>
        <w:rPr>
          <w:color w:val="231F20"/>
        </w:rPr>
        <w:t>De ondernemingsrechtbank kan op verzoek van de minister bevoegd voor Economie, het openbaar ministerie of elke belanghebbende de ontbinding uitspreken van een vennootschap die zich voordoet als een coöperatieve vennootschap erkend als sociale onderneming, hoewel zij niet is erkend.</w:t>
      </w:r>
    </w:p>
    <w:p>
      <w:pPr>
        <w:pStyle w:val="BodyText"/>
        <w:spacing w:line="218" w:lineRule="auto" w:before="97"/>
      </w:pPr>
      <w:r>
        <w:rPr>
          <w:color w:val="231F20"/>
        </w:rPr>
        <w:t>In voorkomend geval kan de rechtbank een termijn aan de vennoot- schap toestaan om haar toestand te regulariseren.</w:t>
      </w:r>
    </w:p>
    <w:p>
      <w:pPr>
        <w:pStyle w:val="BodyText"/>
        <w:spacing w:line="338" w:lineRule="auto" w:before="82"/>
        <w:ind w:left="283" w:right="2162" w:firstLine="0"/>
        <w:jc w:val="left"/>
      </w:pPr>
      <w:r>
        <w:rPr>
          <w:color w:val="231F20"/>
        </w:rPr>
        <w:t>DEEL 3. De verenigingen en stichtingen. BOEK 9. VZW.</w:t>
      </w:r>
    </w:p>
    <w:p>
      <w:pPr>
        <w:pStyle w:val="BodyText"/>
        <w:spacing w:line="338" w:lineRule="auto"/>
        <w:ind w:left="283" w:right="2162" w:firstLine="0"/>
        <w:jc w:val="left"/>
      </w:pPr>
      <w:r>
        <w:rPr>
          <w:color w:val="231F20"/>
        </w:rPr>
        <w:t>TITEL 1. Algemene bepalingen. HOOFDSTUK 1. Inleidende bepalingen.</w:t>
      </w:r>
    </w:p>
    <w:p>
      <w:pPr>
        <w:pStyle w:val="BodyText"/>
        <w:spacing w:line="218" w:lineRule="auto" w:before="11"/>
      </w:pPr>
      <w:r>
        <w:rPr>
          <w:color w:val="231F20"/>
        </w:rPr>
        <w:t>Art. 9:1. De VZW is een vereniging met rechtspersoonlijkheid waarvan de leden in die hoedanigheid niet aansprakelijk zijn voor de verbintenissen die de vereniging aangaat.</w:t>
      </w:r>
    </w:p>
    <w:p>
      <w:pPr>
        <w:pStyle w:val="BodyText"/>
        <w:spacing w:line="218" w:lineRule="auto" w:before="97"/>
      </w:pPr>
      <w:r>
        <w:rPr>
          <w:color w:val="231F20"/>
        </w:rPr>
        <w:t>Art. 9:2. De oprichtingsakte bevat ten minste de gegevens die vermeld</w:t>
      </w:r>
      <w:r>
        <w:rPr>
          <w:color w:val="231F20"/>
          <w:spacing w:val="13"/>
        </w:rPr>
        <w:t> </w:t>
      </w:r>
      <w:r>
        <w:rPr>
          <w:color w:val="231F20"/>
        </w:rPr>
        <w:t>zijn</w:t>
      </w:r>
      <w:r>
        <w:rPr>
          <w:color w:val="231F20"/>
          <w:spacing w:val="14"/>
        </w:rPr>
        <w:t> </w:t>
      </w:r>
      <w:r>
        <w:rPr>
          <w:color w:val="231F20"/>
        </w:rPr>
        <w:t>in</w:t>
      </w:r>
      <w:r>
        <w:rPr>
          <w:color w:val="231F20"/>
          <w:spacing w:val="14"/>
        </w:rPr>
        <w:t> </w:t>
      </w:r>
      <w:r>
        <w:rPr>
          <w:color w:val="231F20"/>
        </w:rPr>
        <w:t>het</w:t>
      </w:r>
      <w:r>
        <w:rPr>
          <w:color w:val="231F20"/>
          <w:spacing w:val="14"/>
        </w:rPr>
        <w:t> </w:t>
      </w:r>
      <w:r>
        <w:rPr>
          <w:color w:val="231F20"/>
        </w:rPr>
        <w:t>in</w:t>
      </w:r>
      <w:r>
        <w:rPr>
          <w:color w:val="231F20"/>
          <w:spacing w:val="13"/>
        </w:rPr>
        <w:t> </w:t>
      </w:r>
      <w:r>
        <w:rPr>
          <w:color w:val="231F20"/>
        </w:rPr>
        <w:t>artikel</w:t>
      </w:r>
      <w:r>
        <w:rPr>
          <w:color w:val="231F20"/>
          <w:spacing w:val="14"/>
        </w:rPr>
        <w:t> </w:t>
      </w:r>
      <w:r>
        <w:rPr>
          <w:color w:val="231F20"/>
        </w:rPr>
        <w:t>2:9,</w:t>
      </w:r>
      <w:r>
        <w:rPr>
          <w:color w:val="231F20"/>
          <w:spacing w:val="14"/>
        </w:rPr>
        <w:t> </w:t>
      </w:r>
      <w:r>
        <w:rPr>
          <w:color w:val="231F20"/>
        </w:rPr>
        <w:t>§</w:t>
      </w:r>
      <w:r>
        <w:rPr>
          <w:color w:val="231F20"/>
          <w:spacing w:val="14"/>
        </w:rPr>
        <w:t> </w:t>
      </w:r>
      <w:r>
        <w:rPr>
          <w:color w:val="231F20"/>
        </w:rPr>
        <w:t>2,</w:t>
      </w:r>
      <w:r>
        <w:rPr>
          <w:color w:val="231F20"/>
          <w:spacing w:val="13"/>
        </w:rPr>
        <w:t> </w:t>
      </w:r>
      <w:r>
        <w:rPr>
          <w:color w:val="231F20"/>
        </w:rPr>
        <w:t>bedoelde</w:t>
      </w:r>
      <w:r>
        <w:rPr>
          <w:color w:val="231F20"/>
          <w:spacing w:val="14"/>
        </w:rPr>
        <w:t> </w:t>
      </w:r>
      <w:r>
        <w:rPr>
          <w:color w:val="231F20"/>
        </w:rPr>
        <w:t>uittreksel.</w:t>
      </w:r>
    </w:p>
    <w:p>
      <w:pPr>
        <w:pStyle w:val="BodyText"/>
        <w:spacing w:before="82"/>
        <w:ind w:left="283" w:right="0" w:firstLine="0"/>
        <w:jc w:val="left"/>
      </w:pPr>
      <w:r>
        <w:rPr>
          <w:color w:val="231F20"/>
        </w:rPr>
        <w:t>HOOFDSTUK 2. Leden en ledenregister.</w:t>
      </w:r>
    </w:p>
    <w:p>
      <w:pPr>
        <w:pStyle w:val="BodyText"/>
        <w:spacing w:line="218" w:lineRule="auto" w:before="92"/>
      </w:pPr>
      <w:r>
        <w:rPr>
          <w:color w:val="231F20"/>
        </w:rPr>
        <w:t>Art. 9:3. § 1. Het bestuursorgaan houdt op de zetel van de vereniging een register van de leden. Dit register vermeldt de naam, voornaam en woonplaats van de leden of, ingeval het een rechtspersoon betreft, de</w:t>
      </w:r>
    </w:p>
    <w:p>
      <w:pPr>
        <w:spacing w:after="0" w:line="218" w:lineRule="auto"/>
        <w:sectPr>
          <w:headerReference w:type="even" r:id="rId91"/>
          <w:headerReference w:type="default" r:id="rId92"/>
          <w:pgSz w:w="11940" w:h="16880"/>
          <w:pgMar w:header="666" w:footer="0" w:top="1140" w:bottom="280" w:left="340" w:right="360"/>
          <w:cols w:num="2" w:equalWidth="0">
            <w:col w:w="5527" w:space="101"/>
            <w:col w:w="5612"/>
          </w:cols>
        </w:sectPr>
      </w:pPr>
    </w:p>
    <w:p>
      <w:pPr>
        <w:pStyle w:val="BodyText"/>
        <w:spacing w:line="218" w:lineRule="auto" w:before="120"/>
        <w:ind w:right="38" w:firstLine="0"/>
      </w:pPr>
      <w:r>
        <w:rPr/>
        <w:pict>
          <v:line style="position:absolute;mso-position-horizontal-relative:page;mso-position-vertical-relative:page;z-index:6112" from="298.170502pt,64.473pt" to="298.170502pt,812.819pt" stroked="true" strokeweight=".533pt" strokecolor="#231f20">
            <v:stroke dashstyle="solid"/>
            <w10:wrap type="none"/>
          </v:line>
        </w:pict>
      </w:r>
      <w:bookmarkStart w:name="_bookmark212" w:id="218"/>
      <w:bookmarkEnd w:id="218"/>
      <w:r>
        <w:rPr/>
      </w:r>
      <w:r>
        <w:rPr>
          <w:color w:val="231F20"/>
        </w:rPr>
        <w:t>dénomination, la forme légale et l’adresse du siège. L’organe d’admi- nistration inscrit toutes les décisions d’admission, de démission ou d’exclusion des membres dans ce registre endéans les huit jours de la connaissance qu’il a eu de la décision. L’organe d’administration peut décider que le registre sera tenu sous la forme électronique. Le Roi peut déterminer les conditions auxquelles le registre électronique doit satisfaire.</w:t>
      </w:r>
    </w:p>
    <w:p>
      <w:pPr>
        <w:pStyle w:val="BodyText"/>
        <w:spacing w:line="218" w:lineRule="auto" w:before="86"/>
        <w:ind w:right="38"/>
      </w:pPr>
      <w:r>
        <w:rPr>
          <w:color w:val="231F20"/>
          <w:spacing w:val="-4"/>
        </w:rPr>
        <w:t>Tous </w:t>
      </w:r>
      <w:r>
        <w:rPr>
          <w:color w:val="231F20"/>
        </w:rPr>
        <w:t>les membres peuvent consulter au siège de l’association le registre des membres. A cette fin, ils adressent une demande écrite à l’organe d’administration, avec lequel ils conviennent d’une date et d’une heure de consultation du registre. Ce registre ne peut être déplacé.</w:t>
      </w:r>
    </w:p>
    <w:p>
      <w:pPr>
        <w:pStyle w:val="BodyText"/>
        <w:spacing w:line="218" w:lineRule="auto" w:before="85"/>
        <w:ind w:right="38"/>
      </w:pPr>
      <w:r>
        <w:rPr>
          <w:color w:val="231F20"/>
        </w:rPr>
        <w:t>L’association doit, en cas de requête orale ou écrite, accorder sans délai l’accès au registre des membres aux autorités, administrations et services, en ce compris les parquets, les greffes et les cours, les tribunaux et toutes les juridictions et les fonctionnaires légalement habilités à cet effet et doit en outre fournir à ces instances les copies ou extraits de ce registre que ces dernières estiment nécessaires.</w:t>
      </w:r>
    </w:p>
    <w:p>
      <w:pPr>
        <w:pStyle w:val="BodyText"/>
        <w:ind w:left="0" w:right="0" w:firstLine="0"/>
        <w:jc w:val="left"/>
        <w:rPr>
          <w:sz w:val="24"/>
        </w:rPr>
      </w:pPr>
    </w:p>
    <w:p>
      <w:pPr>
        <w:pStyle w:val="BodyText"/>
        <w:spacing w:line="218" w:lineRule="auto"/>
        <w:ind w:right="38"/>
      </w:pPr>
      <w:r>
        <w:rPr>
          <w:color w:val="231F20"/>
        </w:rPr>
        <w:t>§ 2. Les statuts de l’association fixent les conditions auxquelles des tiers qui ont un lien avec l’association peuvent être considérés comme membres adhérents de l’association. Les droits et obligations des membres adhérents sont exclusivement déterminés par les statuts.</w:t>
      </w:r>
    </w:p>
    <w:p>
      <w:pPr>
        <w:pStyle w:val="BodyText"/>
        <w:spacing w:before="82"/>
        <w:ind w:left="283" w:right="0" w:firstLine="0"/>
        <w:jc w:val="left"/>
      </w:pPr>
      <w:r>
        <w:rPr>
          <w:color w:val="231F20"/>
        </w:rPr>
        <w:t>CHAPITRE 3. Nullité.</w:t>
      </w:r>
    </w:p>
    <w:p>
      <w:pPr>
        <w:pStyle w:val="BodyText"/>
        <w:spacing w:line="218" w:lineRule="auto" w:before="93"/>
        <w:ind w:right="38"/>
      </w:pPr>
      <w:r>
        <w:rPr>
          <w:color w:val="231F20"/>
        </w:rPr>
        <w:t>Art. 9:4. La nullité de l’association ne peut être prononcée que dans les cas suivants:</w:t>
      </w:r>
    </w:p>
    <w:p>
      <w:pPr>
        <w:pStyle w:val="BodyText"/>
        <w:spacing w:line="218" w:lineRule="auto" w:before="96"/>
        <w:ind w:right="38"/>
      </w:pPr>
      <w:r>
        <w:rPr>
          <w:color w:val="231F20"/>
        </w:rPr>
        <w:t>1° lorsque le nombre de fondateurs valablement engagés est inférieur à deux;</w:t>
      </w:r>
    </w:p>
    <w:p>
      <w:pPr>
        <w:pStyle w:val="BodyText"/>
        <w:spacing w:line="218" w:lineRule="auto" w:before="96"/>
        <w:ind w:right="38"/>
      </w:pPr>
      <w:r>
        <w:rPr>
          <w:color w:val="231F20"/>
        </w:rPr>
        <w:t>2° lorsque la constitution n’a pas eu lieu par acte authentique ou par acte sous seing privé;</w:t>
      </w:r>
    </w:p>
    <w:p>
      <w:pPr>
        <w:pStyle w:val="BodyText"/>
        <w:spacing w:line="218" w:lineRule="auto" w:before="96"/>
        <w:ind w:right="38"/>
      </w:pPr>
      <w:r>
        <w:rPr>
          <w:color w:val="231F20"/>
        </w:rPr>
        <w:t>3° lorsque les statuts ne contiennent pas les mentions visées à l’article</w:t>
      </w:r>
      <w:r>
        <w:rPr>
          <w:color w:val="231F20"/>
          <w:spacing w:val="13"/>
        </w:rPr>
        <w:t> </w:t>
      </w:r>
      <w:r>
        <w:rPr>
          <w:color w:val="231F20"/>
        </w:rPr>
        <w:t>2:9,</w:t>
      </w:r>
      <w:r>
        <w:rPr>
          <w:color w:val="231F20"/>
          <w:spacing w:val="14"/>
        </w:rPr>
        <w:t> </w:t>
      </w:r>
      <w:r>
        <w:rPr>
          <w:color w:val="231F20"/>
        </w:rPr>
        <w:t>§</w:t>
      </w:r>
      <w:r>
        <w:rPr>
          <w:color w:val="231F20"/>
          <w:spacing w:val="14"/>
        </w:rPr>
        <w:t> </w:t>
      </w:r>
      <w:r>
        <w:rPr>
          <w:color w:val="231F20"/>
        </w:rPr>
        <w:t>2,</w:t>
      </w:r>
      <w:r>
        <w:rPr>
          <w:color w:val="231F20"/>
          <w:spacing w:val="13"/>
        </w:rPr>
        <w:t> </w:t>
      </w:r>
      <w:r>
        <w:rPr>
          <w:color w:val="231F20"/>
        </w:rPr>
        <w:t>2°</w:t>
      </w:r>
      <w:r>
        <w:rPr>
          <w:color w:val="231F20"/>
          <w:spacing w:val="14"/>
        </w:rPr>
        <w:t> </w:t>
      </w:r>
      <w:r>
        <w:rPr>
          <w:color w:val="231F20"/>
        </w:rPr>
        <w:t>et</w:t>
      </w:r>
      <w:r>
        <w:rPr>
          <w:color w:val="231F20"/>
          <w:spacing w:val="14"/>
        </w:rPr>
        <w:t> </w:t>
      </w:r>
      <w:r>
        <w:rPr>
          <w:color w:val="231F20"/>
        </w:rPr>
        <w:t>4°;</w:t>
      </w:r>
    </w:p>
    <w:p>
      <w:pPr>
        <w:pStyle w:val="BodyText"/>
        <w:spacing w:line="218" w:lineRule="auto" w:before="96"/>
        <w:ind w:right="38"/>
      </w:pPr>
      <w:r>
        <w:rPr>
          <w:color w:val="231F20"/>
        </w:rPr>
        <w:t>4° lorsque le but ou l’objet en vue duquel elle est constituée, ou son but ou objet réel, contrevient à la loi ou à l’ordre public;</w:t>
      </w:r>
    </w:p>
    <w:p>
      <w:pPr>
        <w:pStyle w:val="BodyText"/>
        <w:spacing w:before="11"/>
        <w:ind w:left="0" w:right="0" w:firstLine="0"/>
        <w:jc w:val="left"/>
        <w:rPr>
          <w:sz w:val="23"/>
        </w:rPr>
      </w:pPr>
    </w:p>
    <w:p>
      <w:pPr>
        <w:pStyle w:val="BodyText"/>
        <w:spacing w:line="218" w:lineRule="auto"/>
        <w:ind w:right="38"/>
      </w:pPr>
      <w:r>
        <w:rPr>
          <w:color w:val="231F20"/>
        </w:rPr>
        <w:t>5° lorsqu’elle a été constituée dans le but de fournir à ses membres,   à ses membres adhérents, aux membres de son organe d’administration ou à toute autre personne, sauf dans le but désintéressé déterminé par les statuts, des avantages patrimoniaux directs ou indirects tels que visés à l’article</w:t>
      </w:r>
      <w:r>
        <w:rPr>
          <w:color w:val="231F20"/>
          <w:spacing w:val="3"/>
        </w:rPr>
        <w:t> </w:t>
      </w:r>
      <w:r>
        <w:rPr>
          <w:color w:val="231F20"/>
        </w:rPr>
        <w:t>1:4.</w:t>
      </w:r>
    </w:p>
    <w:p>
      <w:pPr>
        <w:pStyle w:val="BodyText"/>
        <w:spacing w:before="82"/>
        <w:ind w:left="284" w:right="0" w:firstLine="0"/>
        <w:jc w:val="left"/>
      </w:pPr>
      <w:r>
        <w:rPr>
          <w:color w:val="231F20"/>
        </w:rPr>
        <w:t>TITRE 2. Organes.</w:t>
      </w:r>
    </w:p>
    <w:p>
      <w:pPr>
        <w:pStyle w:val="BodyText"/>
        <w:spacing w:line="319" w:lineRule="auto" w:before="64"/>
        <w:ind w:left="283" w:right="2573" w:firstLine="0"/>
        <w:jc w:val="left"/>
      </w:pPr>
      <w:r>
        <w:rPr>
          <w:color w:val="231F20"/>
        </w:rPr>
        <w:t>CHAPITRE 1</w:t>
      </w:r>
      <w:r>
        <w:rPr>
          <w:color w:val="231F20"/>
          <w:position w:val="7"/>
          <w:sz w:val="11"/>
        </w:rPr>
        <w:t>er</w:t>
      </w:r>
      <w:r>
        <w:rPr>
          <w:color w:val="231F20"/>
        </w:rPr>
        <w:t>. Administration. Section 1</w:t>
      </w:r>
      <w:r>
        <w:rPr>
          <w:color w:val="231F20"/>
          <w:position w:val="7"/>
          <w:sz w:val="11"/>
        </w:rPr>
        <w:t>re</w:t>
      </w:r>
      <w:r>
        <w:rPr>
          <w:color w:val="231F20"/>
        </w:rPr>
        <w:t>. Composition.</w:t>
      </w:r>
    </w:p>
    <w:p>
      <w:pPr>
        <w:pStyle w:val="BodyText"/>
        <w:spacing w:line="218" w:lineRule="auto" w:before="28"/>
        <w:ind w:right="38"/>
      </w:pPr>
      <w:r>
        <w:rPr>
          <w:color w:val="231F20"/>
        </w:rPr>
        <w:t>Art. 9:5. L’association est administrée par un organe</w:t>
      </w:r>
      <w:r>
        <w:rPr>
          <w:color w:val="231F20"/>
          <w:spacing w:val="-26"/>
        </w:rPr>
        <w:t> </w:t>
      </w:r>
      <w:r>
        <w:rPr>
          <w:color w:val="231F20"/>
        </w:rPr>
        <w:t>d’administration collégial qui compte au moins trois administrateurs, qui sont des personnes physiques ou</w:t>
      </w:r>
      <w:r>
        <w:rPr>
          <w:color w:val="231F20"/>
          <w:spacing w:val="5"/>
        </w:rPr>
        <w:t> </w:t>
      </w:r>
      <w:r>
        <w:rPr>
          <w:color w:val="231F20"/>
        </w:rPr>
        <w:t>morales.</w:t>
      </w:r>
    </w:p>
    <w:p>
      <w:pPr>
        <w:pStyle w:val="BodyText"/>
        <w:spacing w:line="218" w:lineRule="auto" w:before="97"/>
        <w:ind w:right="38"/>
      </w:pPr>
      <w:r>
        <w:rPr>
          <w:color w:val="231F20"/>
        </w:rPr>
        <w:t>Si et aussi longtemps que l’association compte moins de trois membres, l’organe d’administration peut être constitué de deux administrateurs. Tant que l’organe d’administration ne compte que deux membres, toute disposition qui octroie à un membre de l’organe d’administration une voix prépondérante perd de plein droit ses effets.</w:t>
      </w:r>
    </w:p>
    <w:p>
      <w:pPr>
        <w:pStyle w:val="BodyText"/>
        <w:spacing w:line="218" w:lineRule="auto" w:before="81"/>
        <w:ind w:right="38"/>
      </w:pPr>
      <w:r>
        <w:rPr>
          <w:color w:val="231F20"/>
        </w:rPr>
        <w:t>Art. 9:6. § 1</w:t>
      </w:r>
      <w:r>
        <w:rPr>
          <w:color w:val="231F20"/>
          <w:position w:val="7"/>
          <w:sz w:val="11"/>
        </w:rPr>
        <w:t>er</w:t>
      </w:r>
      <w:r>
        <w:rPr>
          <w:color w:val="231F20"/>
        </w:rPr>
        <w:t>. Les administrateurs sont nommés par l’assemblée générale des membres, soit pour une durée déterminée, soit pour une durée indéterminée; ils peuvent être désignés pour la première fois dans l’acte constitutif.</w:t>
      </w:r>
    </w:p>
    <w:p>
      <w:pPr>
        <w:pStyle w:val="BodyText"/>
        <w:spacing w:line="218" w:lineRule="auto" w:before="96"/>
        <w:ind w:right="38"/>
      </w:pPr>
      <w:r>
        <w:rPr>
          <w:color w:val="231F20"/>
        </w:rPr>
        <w:t>§ 2. En cas de vacance de la place d’un administrateur avant la fin de son mandat, les administrateurs restants ont le droit de coopter un nouvel administrateur, sauf si les statuts l’excluent.</w:t>
      </w:r>
    </w:p>
    <w:p>
      <w:pPr>
        <w:pStyle w:val="BodyText"/>
        <w:spacing w:line="218" w:lineRule="auto" w:before="96"/>
        <w:ind w:right="38"/>
      </w:pPr>
      <w:r>
        <w:rPr>
          <w:color w:val="231F20"/>
        </w:rPr>
        <w:t>La première assemblée générale qui suit doit confirmer le mandat de l’administrateur</w:t>
      </w:r>
      <w:r>
        <w:rPr>
          <w:color w:val="231F20"/>
          <w:spacing w:val="-5"/>
        </w:rPr>
        <w:t> </w:t>
      </w:r>
      <w:r>
        <w:rPr>
          <w:color w:val="231F20"/>
        </w:rPr>
        <w:t>coopté;</w:t>
      </w:r>
      <w:r>
        <w:rPr>
          <w:color w:val="231F20"/>
          <w:spacing w:val="-4"/>
        </w:rPr>
        <w:t> </w:t>
      </w:r>
      <w:r>
        <w:rPr>
          <w:color w:val="231F20"/>
        </w:rPr>
        <w:t>en</w:t>
      </w:r>
      <w:r>
        <w:rPr>
          <w:color w:val="231F20"/>
          <w:spacing w:val="-5"/>
        </w:rPr>
        <w:t> </w:t>
      </w:r>
      <w:r>
        <w:rPr>
          <w:color w:val="231F20"/>
        </w:rPr>
        <w:t>cas</w:t>
      </w:r>
      <w:r>
        <w:rPr>
          <w:color w:val="231F20"/>
          <w:spacing w:val="-4"/>
        </w:rPr>
        <w:t> </w:t>
      </w:r>
      <w:r>
        <w:rPr>
          <w:color w:val="231F20"/>
        </w:rPr>
        <w:t>de</w:t>
      </w:r>
      <w:r>
        <w:rPr>
          <w:color w:val="231F20"/>
          <w:spacing w:val="-4"/>
        </w:rPr>
        <w:t> </w:t>
      </w:r>
      <w:r>
        <w:rPr>
          <w:color w:val="231F20"/>
        </w:rPr>
        <w:t>confirmation,</w:t>
      </w:r>
      <w:r>
        <w:rPr>
          <w:color w:val="231F20"/>
          <w:spacing w:val="-5"/>
        </w:rPr>
        <w:t> </w:t>
      </w:r>
      <w:r>
        <w:rPr>
          <w:color w:val="231F20"/>
        </w:rPr>
        <w:t>l’administrateur</w:t>
      </w:r>
      <w:r>
        <w:rPr>
          <w:color w:val="231F20"/>
          <w:spacing w:val="-4"/>
        </w:rPr>
        <w:t> </w:t>
      </w:r>
      <w:r>
        <w:rPr>
          <w:color w:val="231F20"/>
        </w:rPr>
        <w:t>coopté termine le mandat de son prédécesseur, sauf si l’assemblée générale en décide autrement. S’il n’y a pas de confirmation, le mandat de l’administrateur coopté prend fin à l’issue de l’assemblée générale, sans porter préjudice à la régularité de la composition de l’organe d’admi- nistration jusqu’à ce</w:t>
      </w:r>
      <w:r>
        <w:rPr>
          <w:color w:val="231F20"/>
          <w:spacing w:val="3"/>
        </w:rPr>
        <w:t> </w:t>
      </w:r>
      <w:r>
        <w:rPr>
          <w:color w:val="231F20"/>
        </w:rPr>
        <w:t>moment.</w:t>
      </w:r>
    </w:p>
    <w:p>
      <w:pPr>
        <w:pStyle w:val="BodyText"/>
        <w:spacing w:before="83"/>
        <w:ind w:left="283" w:right="0" w:firstLine="0"/>
        <w:jc w:val="left"/>
      </w:pPr>
      <w:r>
        <w:rPr>
          <w:color w:val="231F20"/>
        </w:rPr>
        <w:t>Section 2. Pouvoirs et fonctionnement.</w:t>
      </w:r>
    </w:p>
    <w:p>
      <w:pPr>
        <w:pStyle w:val="BodyText"/>
        <w:spacing w:line="218" w:lineRule="auto" w:before="78"/>
        <w:ind w:right="38"/>
      </w:pPr>
      <w:r>
        <w:rPr>
          <w:color w:val="231F20"/>
        </w:rPr>
        <w:t>Art. 9:7. § 1</w:t>
      </w:r>
      <w:r>
        <w:rPr>
          <w:color w:val="231F20"/>
          <w:position w:val="7"/>
          <w:sz w:val="11"/>
        </w:rPr>
        <w:t>er</w:t>
      </w:r>
      <w:r>
        <w:rPr>
          <w:color w:val="231F20"/>
        </w:rPr>
        <w:t>. </w:t>
      </w:r>
      <w:r>
        <w:rPr>
          <w:color w:val="231F20"/>
          <w:spacing w:val="-3"/>
        </w:rPr>
        <w:t>L’organe </w:t>
      </w:r>
      <w:r>
        <w:rPr>
          <w:color w:val="231F20"/>
        </w:rPr>
        <w:t>d’administration a le pouvoir  d’accomplir tous les actes nécessaires ou utiles à la réalisation de l’objet de l’association, à l’exception de ceux que la loi réserve à l’assemblée générale.</w:t>
      </w:r>
    </w:p>
    <w:p>
      <w:pPr>
        <w:pStyle w:val="BodyText"/>
        <w:spacing w:line="218" w:lineRule="auto" w:before="96"/>
        <w:ind w:right="38"/>
      </w:pPr>
      <w:r>
        <w:rPr>
          <w:color w:val="231F20"/>
        </w:rPr>
        <w:t>Les statuts peuvent apporter des restrictions aux pouvoirs</w:t>
      </w:r>
      <w:r>
        <w:rPr>
          <w:color w:val="231F20"/>
          <w:spacing w:val="18"/>
        </w:rPr>
        <w:t> </w:t>
      </w:r>
      <w:r>
        <w:rPr>
          <w:color w:val="231F20"/>
        </w:rPr>
        <w:t>de l’organe d’administration. Une telle limitation n’est pas opposable aux tiers, même si elle est publiée. Il en va de même pour une répartition des tâches entre les</w:t>
      </w:r>
      <w:r>
        <w:rPr>
          <w:color w:val="231F20"/>
          <w:spacing w:val="17"/>
        </w:rPr>
        <w:t> </w:t>
      </w:r>
      <w:r>
        <w:rPr>
          <w:color w:val="231F20"/>
        </w:rPr>
        <w:t>administrateurs.</w:t>
      </w:r>
    </w:p>
    <w:p>
      <w:pPr>
        <w:pStyle w:val="BodyText"/>
        <w:spacing w:line="218" w:lineRule="auto" w:before="119"/>
        <w:ind w:right="123" w:firstLine="0"/>
      </w:pPr>
      <w:r>
        <w:rPr/>
        <w:br w:type="column"/>
      </w:r>
      <w:r>
        <w:rPr>
          <w:color w:val="231F20"/>
        </w:rPr>
        <w:t>naam, rechtsvorm en het adres van de zetel. Het bestuursorgaan</w:t>
      </w:r>
      <w:r>
        <w:rPr>
          <w:color w:val="231F20"/>
          <w:spacing w:val="-26"/>
        </w:rPr>
        <w:t> </w:t>
      </w:r>
      <w:r>
        <w:rPr>
          <w:color w:val="231F20"/>
        </w:rPr>
        <w:t>schrijft alle beslissingen over de toetreding, uittreding of uitsluiting van leden in dat register in binnen acht dagen nadat het van de beslissing in kennis is gesteld. Het bestuursorgaan kan beslissen dat het register wordt aangehouden in elektronische vorm. De Koning kan voorwaar- den</w:t>
      </w:r>
      <w:r>
        <w:rPr>
          <w:color w:val="231F20"/>
          <w:spacing w:val="17"/>
        </w:rPr>
        <w:t> </w:t>
      </w:r>
      <w:r>
        <w:rPr>
          <w:color w:val="231F20"/>
        </w:rPr>
        <w:t>opleggen</w:t>
      </w:r>
      <w:r>
        <w:rPr>
          <w:color w:val="231F20"/>
          <w:spacing w:val="18"/>
        </w:rPr>
        <w:t> </w:t>
      </w:r>
      <w:r>
        <w:rPr>
          <w:color w:val="231F20"/>
        </w:rPr>
        <w:t>waaraan</w:t>
      </w:r>
      <w:r>
        <w:rPr>
          <w:color w:val="231F20"/>
          <w:spacing w:val="18"/>
        </w:rPr>
        <w:t> </w:t>
      </w:r>
      <w:r>
        <w:rPr>
          <w:color w:val="231F20"/>
        </w:rPr>
        <w:t>het</w:t>
      </w:r>
      <w:r>
        <w:rPr>
          <w:color w:val="231F20"/>
          <w:spacing w:val="18"/>
        </w:rPr>
        <w:t> </w:t>
      </w:r>
      <w:r>
        <w:rPr>
          <w:color w:val="231F20"/>
        </w:rPr>
        <w:t>elektronische</w:t>
      </w:r>
      <w:r>
        <w:rPr>
          <w:color w:val="231F20"/>
          <w:spacing w:val="17"/>
        </w:rPr>
        <w:t> </w:t>
      </w:r>
      <w:r>
        <w:rPr>
          <w:color w:val="231F20"/>
        </w:rPr>
        <w:t>register</w:t>
      </w:r>
      <w:r>
        <w:rPr>
          <w:color w:val="231F20"/>
          <w:spacing w:val="18"/>
        </w:rPr>
        <w:t> </w:t>
      </w:r>
      <w:r>
        <w:rPr>
          <w:color w:val="231F20"/>
        </w:rPr>
        <w:t>dient</w:t>
      </w:r>
      <w:r>
        <w:rPr>
          <w:color w:val="231F20"/>
          <w:spacing w:val="18"/>
        </w:rPr>
        <w:t> </w:t>
      </w:r>
      <w:r>
        <w:rPr>
          <w:color w:val="231F20"/>
        </w:rPr>
        <w:t>te</w:t>
      </w:r>
      <w:r>
        <w:rPr>
          <w:color w:val="231F20"/>
          <w:spacing w:val="17"/>
        </w:rPr>
        <w:t> </w:t>
      </w:r>
      <w:r>
        <w:rPr>
          <w:color w:val="231F20"/>
        </w:rPr>
        <w:t>voldoen.</w:t>
      </w:r>
    </w:p>
    <w:p>
      <w:pPr>
        <w:pStyle w:val="BodyText"/>
        <w:spacing w:before="1"/>
        <w:ind w:left="0" w:right="0" w:firstLine="0"/>
        <w:jc w:val="left"/>
        <w:rPr>
          <w:sz w:val="23"/>
        </w:rPr>
      </w:pPr>
    </w:p>
    <w:p>
      <w:pPr>
        <w:pStyle w:val="BodyText"/>
        <w:spacing w:line="218" w:lineRule="auto"/>
      </w:pPr>
      <w:r>
        <w:rPr>
          <w:color w:val="231F20"/>
        </w:rPr>
        <w:t>Alle leden kunnen op de zetel van de vereniging het register van de leden raadplegen. Daartoe richten zij een schriftelijk verzoek aan het bestuursorgaan met wie zij een datum en het uur van de raadpleging van het register overeenkomen. Dit register kan niet worden verplaatst.</w:t>
      </w:r>
    </w:p>
    <w:p>
      <w:pPr>
        <w:pStyle w:val="BodyText"/>
        <w:ind w:left="0" w:right="0" w:firstLine="0"/>
        <w:jc w:val="left"/>
        <w:rPr>
          <w:sz w:val="23"/>
        </w:rPr>
      </w:pPr>
    </w:p>
    <w:p>
      <w:pPr>
        <w:pStyle w:val="BodyText"/>
        <w:spacing w:line="218" w:lineRule="auto"/>
        <w:ind w:right="123"/>
      </w:pPr>
      <w:r>
        <w:rPr>
          <w:color w:val="231F20"/>
        </w:rPr>
        <w:t>De vereniging moet, op mondeling of schriftelijk verzoek, aan de overheden, de administraties en de diensten, met inbegrip van de parketten, de griffies en de hoven, de rechtbanken en alle rechtscolleges en de daartoe wettelijk gemachtigde ambtenaren, onverwijld toegang verlenen tot het register van de leden en deze instanties bovendien de kopieën of uittreksels uit dit register verstrekken die deze instanties nodig achten.</w:t>
      </w:r>
    </w:p>
    <w:p>
      <w:pPr>
        <w:pStyle w:val="BodyText"/>
        <w:spacing w:line="218" w:lineRule="auto" w:before="97"/>
      </w:pPr>
      <w:r>
        <w:rPr>
          <w:color w:val="231F20"/>
          <w:w w:val="105"/>
        </w:rPr>
        <w:t>§</w:t>
      </w:r>
      <w:r>
        <w:rPr>
          <w:color w:val="231F20"/>
          <w:spacing w:val="-21"/>
          <w:w w:val="105"/>
        </w:rPr>
        <w:t> </w:t>
      </w:r>
      <w:r>
        <w:rPr>
          <w:color w:val="231F20"/>
          <w:w w:val="105"/>
        </w:rPr>
        <w:t>2.</w:t>
      </w:r>
      <w:r>
        <w:rPr>
          <w:color w:val="231F20"/>
          <w:spacing w:val="-21"/>
          <w:w w:val="105"/>
        </w:rPr>
        <w:t> </w:t>
      </w:r>
      <w:r>
        <w:rPr>
          <w:color w:val="231F20"/>
          <w:w w:val="105"/>
        </w:rPr>
        <w:t>De</w:t>
      </w:r>
      <w:r>
        <w:rPr>
          <w:color w:val="231F20"/>
          <w:spacing w:val="-21"/>
          <w:w w:val="105"/>
        </w:rPr>
        <w:t> </w:t>
      </w:r>
      <w:r>
        <w:rPr>
          <w:color w:val="231F20"/>
          <w:w w:val="105"/>
        </w:rPr>
        <w:t>statuten</w:t>
      </w:r>
      <w:r>
        <w:rPr>
          <w:color w:val="231F20"/>
          <w:spacing w:val="-21"/>
          <w:w w:val="105"/>
        </w:rPr>
        <w:t> </w:t>
      </w:r>
      <w:r>
        <w:rPr>
          <w:color w:val="231F20"/>
          <w:w w:val="105"/>
        </w:rPr>
        <w:t>van</w:t>
      </w:r>
      <w:r>
        <w:rPr>
          <w:color w:val="231F20"/>
          <w:spacing w:val="-21"/>
          <w:w w:val="105"/>
        </w:rPr>
        <w:t> </w:t>
      </w:r>
      <w:r>
        <w:rPr>
          <w:color w:val="231F20"/>
          <w:w w:val="105"/>
        </w:rPr>
        <w:t>de</w:t>
      </w:r>
      <w:r>
        <w:rPr>
          <w:color w:val="231F20"/>
          <w:spacing w:val="-21"/>
          <w:w w:val="105"/>
        </w:rPr>
        <w:t> </w:t>
      </w:r>
      <w:r>
        <w:rPr>
          <w:color w:val="231F20"/>
          <w:w w:val="105"/>
        </w:rPr>
        <w:t>vereniging</w:t>
      </w:r>
      <w:r>
        <w:rPr>
          <w:color w:val="231F20"/>
          <w:spacing w:val="-21"/>
          <w:w w:val="105"/>
        </w:rPr>
        <w:t> </w:t>
      </w:r>
      <w:r>
        <w:rPr>
          <w:color w:val="231F20"/>
          <w:w w:val="105"/>
        </w:rPr>
        <w:t>bepalen</w:t>
      </w:r>
      <w:r>
        <w:rPr>
          <w:color w:val="231F20"/>
          <w:spacing w:val="-21"/>
          <w:w w:val="105"/>
        </w:rPr>
        <w:t> </w:t>
      </w:r>
      <w:r>
        <w:rPr>
          <w:color w:val="231F20"/>
          <w:w w:val="105"/>
        </w:rPr>
        <w:t>onder</w:t>
      </w:r>
      <w:r>
        <w:rPr>
          <w:color w:val="231F20"/>
          <w:spacing w:val="-20"/>
          <w:w w:val="105"/>
        </w:rPr>
        <w:t> </w:t>
      </w:r>
      <w:r>
        <w:rPr>
          <w:color w:val="231F20"/>
          <w:w w:val="105"/>
        </w:rPr>
        <w:t>welke</w:t>
      </w:r>
      <w:r>
        <w:rPr>
          <w:color w:val="231F20"/>
          <w:spacing w:val="-21"/>
          <w:w w:val="105"/>
        </w:rPr>
        <w:t> </w:t>
      </w:r>
      <w:r>
        <w:rPr>
          <w:color w:val="231F20"/>
          <w:w w:val="105"/>
        </w:rPr>
        <w:t>voorwaarden derden</w:t>
      </w:r>
      <w:r>
        <w:rPr>
          <w:color w:val="231F20"/>
          <w:spacing w:val="-12"/>
          <w:w w:val="105"/>
        </w:rPr>
        <w:t> </w:t>
      </w:r>
      <w:r>
        <w:rPr>
          <w:color w:val="231F20"/>
          <w:w w:val="105"/>
        </w:rPr>
        <w:t>die</w:t>
      </w:r>
      <w:r>
        <w:rPr>
          <w:color w:val="231F20"/>
          <w:spacing w:val="-12"/>
          <w:w w:val="105"/>
        </w:rPr>
        <w:t> </w:t>
      </w:r>
      <w:r>
        <w:rPr>
          <w:color w:val="231F20"/>
          <w:w w:val="105"/>
        </w:rPr>
        <w:t>een</w:t>
      </w:r>
      <w:r>
        <w:rPr>
          <w:color w:val="231F20"/>
          <w:spacing w:val="-13"/>
          <w:w w:val="105"/>
        </w:rPr>
        <w:t> </w:t>
      </w:r>
      <w:r>
        <w:rPr>
          <w:color w:val="231F20"/>
          <w:w w:val="105"/>
        </w:rPr>
        <w:t>band</w:t>
      </w:r>
      <w:r>
        <w:rPr>
          <w:color w:val="231F20"/>
          <w:spacing w:val="-12"/>
          <w:w w:val="105"/>
        </w:rPr>
        <w:t> </w:t>
      </w:r>
      <w:r>
        <w:rPr>
          <w:color w:val="231F20"/>
          <w:w w:val="105"/>
        </w:rPr>
        <w:t>hebben</w:t>
      </w:r>
      <w:r>
        <w:rPr>
          <w:color w:val="231F20"/>
          <w:spacing w:val="-12"/>
          <w:w w:val="105"/>
        </w:rPr>
        <w:t> </w:t>
      </w:r>
      <w:r>
        <w:rPr>
          <w:color w:val="231F20"/>
          <w:w w:val="105"/>
        </w:rPr>
        <w:t>met</w:t>
      </w:r>
      <w:r>
        <w:rPr>
          <w:color w:val="231F20"/>
          <w:spacing w:val="-12"/>
          <w:w w:val="105"/>
        </w:rPr>
        <w:t> </w:t>
      </w:r>
      <w:r>
        <w:rPr>
          <w:color w:val="231F20"/>
          <w:w w:val="105"/>
        </w:rPr>
        <w:t>de</w:t>
      </w:r>
      <w:r>
        <w:rPr>
          <w:color w:val="231F20"/>
          <w:spacing w:val="-12"/>
          <w:w w:val="105"/>
        </w:rPr>
        <w:t> </w:t>
      </w:r>
      <w:r>
        <w:rPr>
          <w:color w:val="231F20"/>
          <w:w w:val="105"/>
        </w:rPr>
        <w:t>vereniging</w:t>
      </w:r>
      <w:r>
        <w:rPr>
          <w:color w:val="231F20"/>
          <w:spacing w:val="-12"/>
          <w:w w:val="105"/>
        </w:rPr>
        <w:t> </w:t>
      </w:r>
      <w:r>
        <w:rPr>
          <w:color w:val="231F20"/>
          <w:w w:val="105"/>
        </w:rPr>
        <w:t>als</w:t>
      </w:r>
      <w:r>
        <w:rPr>
          <w:color w:val="231F20"/>
          <w:spacing w:val="-12"/>
          <w:w w:val="105"/>
        </w:rPr>
        <w:t> </w:t>
      </w:r>
      <w:r>
        <w:rPr>
          <w:color w:val="231F20"/>
          <w:w w:val="105"/>
        </w:rPr>
        <w:t>toegetreden</w:t>
      </w:r>
      <w:r>
        <w:rPr>
          <w:color w:val="231F20"/>
          <w:spacing w:val="-12"/>
          <w:w w:val="105"/>
        </w:rPr>
        <w:t> </w:t>
      </w:r>
      <w:r>
        <w:rPr>
          <w:color w:val="231F20"/>
          <w:w w:val="105"/>
        </w:rPr>
        <w:t>lid</w:t>
      </w:r>
      <w:r>
        <w:rPr>
          <w:color w:val="231F20"/>
          <w:spacing w:val="-12"/>
          <w:w w:val="105"/>
        </w:rPr>
        <w:t> </w:t>
      </w:r>
      <w:r>
        <w:rPr>
          <w:color w:val="231F20"/>
          <w:w w:val="105"/>
        </w:rPr>
        <w:t>van de</w:t>
      </w:r>
      <w:r>
        <w:rPr>
          <w:color w:val="231F20"/>
          <w:spacing w:val="-11"/>
          <w:w w:val="105"/>
        </w:rPr>
        <w:t> </w:t>
      </w:r>
      <w:r>
        <w:rPr>
          <w:color w:val="231F20"/>
          <w:w w:val="105"/>
        </w:rPr>
        <w:t>vereniging</w:t>
      </w:r>
      <w:r>
        <w:rPr>
          <w:color w:val="231F20"/>
          <w:spacing w:val="-11"/>
          <w:w w:val="105"/>
        </w:rPr>
        <w:t> </w:t>
      </w:r>
      <w:r>
        <w:rPr>
          <w:color w:val="231F20"/>
          <w:w w:val="105"/>
        </w:rPr>
        <w:t>kunnen</w:t>
      </w:r>
      <w:r>
        <w:rPr>
          <w:color w:val="231F20"/>
          <w:spacing w:val="-11"/>
          <w:w w:val="105"/>
        </w:rPr>
        <w:t> </w:t>
      </w:r>
      <w:r>
        <w:rPr>
          <w:color w:val="231F20"/>
          <w:w w:val="105"/>
        </w:rPr>
        <w:t>worden</w:t>
      </w:r>
      <w:r>
        <w:rPr>
          <w:color w:val="231F20"/>
          <w:spacing w:val="-11"/>
          <w:w w:val="105"/>
        </w:rPr>
        <w:t> </w:t>
      </w:r>
      <w:r>
        <w:rPr>
          <w:color w:val="231F20"/>
          <w:w w:val="105"/>
        </w:rPr>
        <w:t>beschouwd.</w:t>
      </w:r>
      <w:r>
        <w:rPr>
          <w:color w:val="231F20"/>
          <w:spacing w:val="-11"/>
          <w:w w:val="105"/>
        </w:rPr>
        <w:t> </w:t>
      </w:r>
      <w:r>
        <w:rPr>
          <w:color w:val="231F20"/>
          <w:w w:val="105"/>
        </w:rPr>
        <w:t>De</w:t>
      </w:r>
      <w:r>
        <w:rPr>
          <w:color w:val="231F20"/>
          <w:spacing w:val="-11"/>
          <w:w w:val="105"/>
        </w:rPr>
        <w:t> </w:t>
      </w:r>
      <w:r>
        <w:rPr>
          <w:color w:val="231F20"/>
          <w:w w:val="105"/>
        </w:rPr>
        <w:t>rechten</w:t>
      </w:r>
      <w:r>
        <w:rPr>
          <w:color w:val="231F20"/>
          <w:spacing w:val="-12"/>
          <w:w w:val="105"/>
        </w:rPr>
        <w:t> </w:t>
      </w:r>
      <w:r>
        <w:rPr>
          <w:color w:val="231F20"/>
          <w:w w:val="105"/>
        </w:rPr>
        <w:t>en</w:t>
      </w:r>
      <w:r>
        <w:rPr>
          <w:color w:val="231F20"/>
          <w:spacing w:val="-11"/>
          <w:w w:val="105"/>
        </w:rPr>
        <w:t> </w:t>
      </w:r>
      <w:r>
        <w:rPr>
          <w:color w:val="231F20"/>
          <w:w w:val="105"/>
        </w:rPr>
        <w:t>plichten</w:t>
      </w:r>
      <w:r>
        <w:rPr>
          <w:color w:val="231F20"/>
          <w:spacing w:val="-11"/>
          <w:w w:val="105"/>
        </w:rPr>
        <w:t> </w:t>
      </w:r>
      <w:r>
        <w:rPr>
          <w:color w:val="231F20"/>
          <w:w w:val="105"/>
        </w:rPr>
        <w:t>van de toegetreden leden worden uitsluitend door de statuten</w:t>
      </w:r>
      <w:r>
        <w:rPr>
          <w:color w:val="231F20"/>
          <w:spacing w:val="-17"/>
          <w:w w:val="105"/>
        </w:rPr>
        <w:t> </w:t>
      </w:r>
      <w:r>
        <w:rPr>
          <w:color w:val="231F20"/>
          <w:w w:val="105"/>
        </w:rPr>
        <w:t>bepaald.</w:t>
      </w:r>
    </w:p>
    <w:p>
      <w:pPr>
        <w:pStyle w:val="BodyText"/>
        <w:spacing w:before="82"/>
        <w:ind w:left="283" w:right="0" w:firstLine="0"/>
        <w:jc w:val="left"/>
      </w:pPr>
      <w:r>
        <w:rPr>
          <w:color w:val="231F20"/>
        </w:rPr>
        <w:t>HOOFDSTUK 3. Nietigheid.</w:t>
      </w:r>
    </w:p>
    <w:p>
      <w:pPr>
        <w:pStyle w:val="BodyText"/>
        <w:spacing w:line="218" w:lineRule="auto" w:before="92"/>
      </w:pPr>
      <w:r>
        <w:rPr>
          <w:color w:val="231F20"/>
        </w:rPr>
        <w:t>Art. 9:4. De nietigheid van de vereniging kan alleen in de hiernavol- gende gevallen worden uitgesproken:</w:t>
      </w:r>
    </w:p>
    <w:p>
      <w:pPr>
        <w:pStyle w:val="BodyText"/>
        <w:spacing w:line="218" w:lineRule="auto" w:before="97"/>
      </w:pPr>
      <w:r>
        <w:rPr>
          <w:color w:val="231F20"/>
        </w:rPr>
        <w:t>1° wanneer het aantal geldig verbonden oprichters minder dan twee bedraagt;</w:t>
      </w:r>
    </w:p>
    <w:p>
      <w:pPr>
        <w:pStyle w:val="BodyText"/>
        <w:spacing w:line="218" w:lineRule="auto" w:before="96"/>
      </w:pPr>
      <w:r>
        <w:rPr>
          <w:color w:val="231F20"/>
        </w:rPr>
        <w:t>2° wanneer de oprichting niet heeft plaatsgehad bij authentieke of onderhandse akte;</w:t>
      </w:r>
    </w:p>
    <w:p>
      <w:pPr>
        <w:pStyle w:val="BodyText"/>
        <w:spacing w:line="218" w:lineRule="auto" w:before="96"/>
      </w:pPr>
      <w:r>
        <w:rPr>
          <w:color w:val="231F20"/>
        </w:rPr>
        <w:t>3°</w:t>
      </w:r>
      <w:r>
        <w:rPr>
          <w:color w:val="231F20"/>
          <w:spacing w:val="-3"/>
        </w:rPr>
        <w:t> </w:t>
      </w:r>
      <w:r>
        <w:rPr>
          <w:color w:val="231F20"/>
        </w:rPr>
        <w:t>wanneer</w:t>
      </w:r>
      <w:r>
        <w:rPr>
          <w:color w:val="231F20"/>
          <w:spacing w:val="-3"/>
        </w:rPr>
        <w:t> </w:t>
      </w:r>
      <w:r>
        <w:rPr>
          <w:color w:val="231F20"/>
        </w:rPr>
        <w:t>de</w:t>
      </w:r>
      <w:r>
        <w:rPr>
          <w:color w:val="231F20"/>
          <w:spacing w:val="-3"/>
        </w:rPr>
        <w:t> </w:t>
      </w:r>
      <w:r>
        <w:rPr>
          <w:color w:val="231F20"/>
        </w:rPr>
        <w:t>statuten</w:t>
      </w:r>
      <w:r>
        <w:rPr>
          <w:color w:val="231F20"/>
          <w:spacing w:val="-3"/>
        </w:rPr>
        <w:t> </w:t>
      </w:r>
      <w:r>
        <w:rPr>
          <w:color w:val="231F20"/>
        </w:rPr>
        <w:t>de</w:t>
      </w:r>
      <w:r>
        <w:rPr>
          <w:color w:val="231F20"/>
          <w:spacing w:val="-3"/>
        </w:rPr>
        <w:t> </w:t>
      </w:r>
      <w:r>
        <w:rPr>
          <w:color w:val="231F20"/>
        </w:rPr>
        <w:t>vermeldingen</w:t>
      </w:r>
      <w:r>
        <w:rPr>
          <w:color w:val="231F20"/>
          <w:spacing w:val="-3"/>
        </w:rPr>
        <w:t> </w:t>
      </w:r>
      <w:r>
        <w:rPr>
          <w:color w:val="231F20"/>
        </w:rPr>
        <w:t>bedoeld</w:t>
      </w:r>
      <w:r>
        <w:rPr>
          <w:color w:val="231F20"/>
          <w:spacing w:val="-2"/>
        </w:rPr>
        <w:t> </w:t>
      </w:r>
      <w:r>
        <w:rPr>
          <w:color w:val="231F20"/>
        </w:rPr>
        <w:t>in</w:t>
      </w:r>
      <w:r>
        <w:rPr>
          <w:color w:val="231F20"/>
          <w:spacing w:val="-3"/>
        </w:rPr>
        <w:t> </w:t>
      </w:r>
      <w:r>
        <w:rPr>
          <w:color w:val="231F20"/>
        </w:rPr>
        <w:t>artikel</w:t>
      </w:r>
      <w:r>
        <w:rPr>
          <w:color w:val="231F20"/>
          <w:spacing w:val="-3"/>
        </w:rPr>
        <w:t> </w:t>
      </w:r>
      <w:r>
        <w:rPr>
          <w:color w:val="231F20"/>
        </w:rPr>
        <w:t>2:9,</w:t>
      </w:r>
      <w:r>
        <w:rPr>
          <w:color w:val="231F20"/>
          <w:spacing w:val="-3"/>
        </w:rPr>
        <w:t> </w:t>
      </w:r>
      <w:r>
        <w:rPr>
          <w:color w:val="231F20"/>
        </w:rPr>
        <w:t>§</w:t>
      </w:r>
      <w:r>
        <w:rPr>
          <w:color w:val="231F20"/>
          <w:spacing w:val="-2"/>
        </w:rPr>
        <w:t> </w:t>
      </w:r>
      <w:r>
        <w:rPr>
          <w:color w:val="231F20"/>
        </w:rPr>
        <w:t>2,</w:t>
      </w:r>
      <w:r>
        <w:rPr>
          <w:color w:val="231F20"/>
          <w:spacing w:val="-3"/>
        </w:rPr>
        <w:t> </w:t>
      </w:r>
      <w:r>
        <w:rPr>
          <w:color w:val="231F20"/>
        </w:rPr>
        <w:t>2° en 4°, niet</w:t>
      </w:r>
      <w:r>
        <w:rPr>
          <w:color w:val="231F20"/>
          <w:spacing w:val="2"/>
        </w:rPr>
        <w:t> </w:t>
      </w:r>
      <w:r>
        <w:rPr>
          <w:color w:val="231F20"/>
        </w:rPr>
        <w:t>bevatten;</w:t>
      </w:r>
    </w:p>
    <w:p>
      <w:pPr>
        <w:pStyle w:val="BodyText"/>
        <w:spacing w:line="218" w:lineRule="auto" w:before="96"/>
      </w:pPr>
      <w:r>
        <w:rPr>
          <w:color w:val="231F20"/>
        </w:rPr>
        <w:t>4° wanneer het doel of het voorwerp waarvoor zij is opgericht, of haar werkelijk doel of voorwerp, strijdig is met de wet of met de openbare</w:t>
      </w:r>
      <w:r>
        <w:rPr>
          <w:color w:val="231F20"/>
          <w:spacing w:val="14"/>
        </w:rPr>
        <w:t> </w:t>
      </w:r>
      <w:r>
        <w:rPr>
          <w:color w:val="231F20"/>
        </w:rPr>
        <w:t>orde;</w:t>
      </w:r>
    </w:p>
    <w:p>
      <w:pPr>
        <w:pStyle w:val="BodyText"/>
        <w:spacing w:line="218" w:lineRule="auto" w:before="96"/>
      </w:pPr>
      <w:r>
        <w:rPr>
          <w:color w:val="231F20"/>
        </w:rPr>
        <w:t>5° wanneer zij is opgericht met als doel rechtstreekse of onrecht- streekse vermogensvoordelen als bedoeld in artikel 1:4 te verschaffen aan haar leden, haar toegetreden leden, aan de leden van haar bestuursorgaan of aan enig andere persoon, behalve voor het in de statuten bepaald belangeloos doel.</w:t>
      </w:r>
    </w:p>
    <w:p>
      <w:pPr>
        <w:pStyle w:val="BodyText"/>
        <w:spacing w:before="82"/>
        <w:ind w:left="283" w:right="0" w:firstLine="0"/>
        <w:jc w:val="left"/>
      </w:pPr>
      <w:r>
        <w:rPr>
          <w:color w:val="231F20"/>
        </w:rPr>
        <w:t>TITEL 2. Organen.</w:t>
      </w:r>
    </w:p>
    <w:p>
      <w:pPr>
        <w:pStyle w:val="BodyText"/>
        <w:spacing w:before="79"/>
        <w:ind w:left="283" w:right="0" w:firstLine="0"/>
        <w:jc w:val="left"/>
      </w:pPr>
      <w:r>
        <w:rPr>
          <w:color w:val="231F20"/>
        </w:rPr>
        <w:t>HOOFDSTUK 1. Bestuur.</w:t>
      </w:r>
    </w:p>
    <w:p>
      <w:pPr>
        <w:pStyle w:val="BodyText"/>
        <w:spacing w:before="79"/>
        <w:ind w:left="283" w:right="0" w:firstLine="0"/>
        <w:jc w:val="left"/>
      </w:pPr>
      <w:r>
        <w:rPr>
          <w:color w:val="231F20"/>
          <w:w w:val="105"/>
        </w:rPr>
        <w:t>Afdeling 1. Samenstelling.</w:t>
      </w:r>
    </w:p>
    <w:p>
      <w:pPr>
        <w:pStyle w:val="BodyText"/>
        <w:spacing w:line="218" w:lineRule="auto" w:before="92"/>
      </w:pPr>
      <w:r>
        <w:rPr>
          <w:color w:val="231F20"/>
        </w:rPr>
        <w:t>Art. 9:5. De vereniging wordt bestuurd door een collegiaal bestuurs- orgaan, dat minstens drie bestuurders telt, die natuurlijke of rechtsper- sonen zijn.</w:t>
      </w:r>
    </w:p>
    <w:p>
      <w:pPr>
        <w:pStyle w:val="BodyText"/>
        <w:spacing w:line="218" w:lineRule="auto" w:before="97"/>
      </w:pPr>
      <w:r>
        <w:rPr>
          <w:color w:val="231F20"/>
        </w:rPr>
        <w:t>Indien en zolang de vereniging minder dan drie leden heeft, mag het bestuursorgaan bestaan uit twee bestuurders. Zolang het bestuursor- gaan tweehoofdig is, verliest elke bepaling die aan een lid van het bestuursorgaan een doorslaggevende stem toekent, van rechtswege haar</w:t>
      </w:r>
      <w:r>
        <w:rPr>
          <w:color w:val="231F20"/>
          <w:spacing w:val="15"/>
        </w:rPr>
        <w:t> </w:t>
      </w:r>
      <w:r>
        <w:rPr>
          <w:color w:val="231F20"/>
        </w:rPr>
        <w:t>werking.</w:t>
      </w:r>
    </w:p>
    <w:p>
      <w:pPr>
        <w:pStyle w:val="BodyText"/>
        <w:spacing w:line="218" w:lineRule="auto" w:before="96"/>
      </w:pPr>
      <w:r>
        <w:rPr>
          <w:color w:val="231F20"/>
        </w:rPr>
        <w:t>Art. 9:6. § 1. De bestuurders worden door de algemene vergadering van leden benoemd, hetzij voor een bepaalde, hetzij voor een onbe- paalde termijn; zij kunnen voor de eerste maal worden aangeduid in de oprichtingsakte.</w:t>
      </w:r>
    </w:p>
    <w:p>
      <w:pPr>
        <w:pStyle w:val="BodyText"/>
        <w:spacing w:line="218" w:lineRule="auto" w:before="96"/>
      </w:pPr>
      <w:r>
        <w:rPr>
          <w:color w:val="231F20"/>
        </w:rPr>
        <w:t>§ 2. Wanneer de plaats van een bestuurder openvalt vóór het einde van zijn mandaat, hebben de overblijvende bestuurders het recht een nieuwe bestuurder te coöpteren, tenzij de statuten dit uitsluiten.</w:t>
      </w:r>
    </w:p>
    <w:p>
      <w:pPr>
        <w:pStyle w:val="BodyText"/>
        <w:spacing w:line="218" w:lineRule="auto" w:before="96"/>
      </w:pPr>
      <w:r>
        <w:rPr>
          <w:color w:val="231F20"/>
        </w:rPr>
        <w:t>De eerstvolgende algemene vergadering moet het mandaat van de gecoöpteerde bestuurder bevestigen; bij bevestiging volbrengt de gecoöpteerde bestuurder het mandaat van zijn voorganger, tenzij de algemene vergadering er anders over beslist. Bij gebrek aan bevestiging eindigt het mandaat van de gecoöpteerde bestuurder na afloop van de algemene vergadering, zonder dat dit afbreuk doet aan de regelmatig- heid van de samenstelling van het bestuursorgaan tot op dat ogenblik.</w:t>
      </w:r>
    </w:p>
    <w:p>
      <w:pPr>
        <w:pStyle w:val="BodyText"/>
        <w:spacing w:before="83"/>
        <w:ind w:left="283" w:right="0" w:firstLine="0"/>
        <w:jc w:val="left"/>
      </w:pPr>
      <w:r>
        <w:rPr>
          <w:color w:val="231F20"/>
        </w:rPr>
        <w:t>Afdeling 2. Bevoegdheid en werkwijze.</w:t>
      </w:r>
    </w:p>
    <w:p>
      <w:pPr>
        <w:pStyle w:val="BodyText"/>
        <w:spacing w:line="218" w:lineRule="auto" w:before="93"/>
      </w:pPr>
      <w:r>
        <w:rPr>
          <w:color w:val="231F20"/>
          <w:w w:val="105"/>
        </w:rPr>
        <w:t>Art.</w:t>
      </w:r>
      <w:r>
        <w:rPr>
          <w:color w:val="231F20"/>
          <w:spacing w:val="-5"/>
          <w:w w:val="105"/>
        </w:rPr>
        <w:t> </w:t>
      </w:r>
      <w:r>
        <w:rPr>
          <w:color w:val="231F20"/>
          <w:w w:val="105"/>
        </w:rPr>
        <w:t>9:7.</w:t>
      </w:r>
      <w:r>
        <w:rPr>
          <w:color w:val="231F20"/>
          <w:spacing w:val="-4"/>
          <w:w w:val="105"/>
        </w:rPr>
        <w:t> </w:t>
      </w:r>
      <w:r>
        <w:rPr>
          <w:color w:val="231F20"/>
          <w:w w:val="105"/>
        </w:rPr>
        <w:t>§</w:t>
      </w:r>
      <w:r>
        <w:rPr>
          <w:color w:val="231F20"/>
          <w:spacing w:val="-5"/>
          <w:w w:val="105"/>
        </w:rPr>
        <w:t> </w:t>
      </w:r>
      <w:r>
        <w:rPr>
          <w:color w:val="231F20"/>
          <w:w w:val="105"/>
        </w:rPr>
        <w:t>1.</w:t>
      </w:r>
      <w:r>
        <w:rPr>
          <w:color w:val="231F20"/>
          <w:spacing w:val="-4"/>
          <w:w w:val="105"/>
        </w:rPr>
        <w:t> </w:t>
      </w:r>
      <w:r>
        <w:rPr>
          <w:color w:val="231F20"/>
          <w:w w:val="105"/>
        </w:rPr>
        <w:t>Het</w:t>
      </w:r>
      <w:r>
        <w:rPr>
          <w:color w:val="231F20"/>
          <w:spacing w:val="-4"/>
          <w:w w:val="105"/>
        </w:rPr>
        <w:t> </w:t>
      </w:r>
      <w:r>
        <w:rPr>
          <w:color w:val="231F20"/>
          <w:w w:val="105"/>
        </w:rPr>
        <w:t>bestuursorgaan</w:t>
      </w:r>
      <w:r>
        <w:rPr>
          <w:color w:val="231F20"/>
          <w:spacing w:val="-5"/>
          <w:w w:val="105"/>
        </w:rPr>
        <w:t> </w:t>
      </w:r>
      <w:r>
        <w:rPr>
          <w:color w:val="231F20"/>
          <w:w w:val="105"/>
        </w:rPr>
        <w:t>is</w:t>
      </w:r>
      <w:r>
        <w:rPr>
          <w:color w:val="231F20"/>
          <w:spacing w:val="-4"/>
          <w:w w:val="105"/>
        </w:rPr>
        <w:t> </w:t>
      </w:r>
      <w:r>
        <w:rPr>
          <w:color w:val="231F20"/>
          <w:w w:val="105"/>
        </w:rPr>
        <w:t>bevoegd</w:t>
      </w:r>
      <w:r>
        <w:rPr>
          <w:color w:val="231F20"/>
          <w:spacing w:val="-4"/>
          <w:w w:val="105"/>
        </w:rPr>
        <w:t> </w:t>
      </w:r>
      <w:r>
        <w:rPr>
          <w:color w:val="231F20"/>
          <w:w w:val="105"/>
        </w:rPr>
        <w:t>om</w:t>
      </w:r>
      <w:r>
        <w:rPr>
          <w:color w:val="231F20"/>
          <w:spacing w:val="-5"/>
          <w:w w:val="105"/>
        </w:rPr>
        <w:t> </w:t>
      </w:r>
      <w:r>
        <w:rPr>
          <w:color w:val="231F20"/>
          <w:w w:val="105"/>
        </w:rPr>
        <w:t>alle</w:t>
      </w:r>
      <w:r>
        <w:rPr>
          <w:color w:val="231F20"/>
          <w:spacing w:val="-4"/>
          <w:w w:val="105"/>
        </w:rPr>
        <w:t> </w:t>
      </w:r>
      <w:r>
        <w:rPr>
          <w:color w:val="231F20"/>
          <w:w w:val="105"/>
        </w:rPr>
        <w:t>handelingen</w:t>
      </w:r>
      <w:r>
        <w:rPr>
          <w:color w:val="231F20"/>
          <w:spacing w:val="-5"/>
          <w:w w:val="105"/>
        </w:rPr>
        <w:t> </w:t>
      </w:r>
      <w:r>
        <w:rPr>
          <w:color w:val="231F20"/>
          <w:w w:val="105"/>
        </w:rPr>
        <w:t>te verrichten die nodig of dienstig zijn tot verwezenlijking van het voorwerp van de vereniging, met uitzondering van die waarvoor volgens</w:t>
      </w:r>
      <w:r>
        <w:rPr>
          <w:color w:val="231F20"/>
          <w:spacing w:val="10"/>
          <w:w w:val="105"/>
        </w:rPr>
        <w:t> </w:t>
      </w:r>
      <w:r>
        <w:rPr>
          <w:color w:val="231F20"/>
          <w:w w:val="105"/>
        </w:rPr>
        <w:t>de</w:t>
      </w:r>
      <w:r>
        <w:rPr>
          <w:color w:val="231F20"/>
          <w:spacing w:val="10"/>
          <w:w w:val="105"/>
        </w:rPr>
        <w:t> </w:t>
      </w:r>
      <w:r>
        <w:rPr>
          <w:color w:val="231F20"/>
          <w:w w:val="105"/>
        </w:rPr>
        <w:t>wet</w:t>
      </w:r>
      <w:r>
        <w:rPr>
          <w:color w:val="231F20"/>
          <w:spacing w:val="10"/>
          <w:w w:val="105"/>
        </w:rPr>
        <w:t> </w:t>
      </w:r>
      <w:r>
        <w:rPr>
          <w:color w:val="231F20"/>
          <w:w w:val="105"/>
        </w:rPr>
        <w:t>de</w:t>
      </w:r>
      <w:r>
        <w:rPr>
          <w:color w:val="231F20"/>
          <w:spacing w:val="10"/>
          <w:w w:val="105"/>
        </w:rPr>
        <w:t> </w:t>
      </w:r>
      <w:r>
        <w:rPr>
          <w:color w:val="231F20"/>
          <w:w w:val="105"/>
        </w:rPr>
        <w:t>algemene</w:t>
      </w:r>
      <w:r>
        <w:rPr>
          <w:color w:val="231F20"/>
          <w:spacing w:val="11"/>
          <w:w w:val="105"/>
        </w:rPr>
        <w:t> </w:t>
      </w:r>
      <w:r>
        <w:rPr>
          <w:color w:val="231F20"/>
          <w:w w:val="105"/>
        </w:rPr>
        <w:t>vergadering</w:t>
      </w:r>
      <w:r>
        <w:rPr>
          <w:color w:val="231F20"/>
          <w:spacing w:val="10"/>
          <w:w w:val="105"/>
        </w:rPr>
        <w:t> </w:t>
      </w:r>
      <w:r>
        <w:rPr>
          <w:color w:val="231F20"/>
          <w:w w:val="105"/>
        </w:rPr>
        <w:t>bevoegd</w:t>
      </w:r>
      <w:r>
        <w:rPr>
          <w:color w:val="231F20"/>
          <w:spacing w:val="10"/>
          <w:w w:val="105"/>
        </w:rPr>
        <w:t> </w:t>
      </w:r>
      <w:r>
        <w:rPr>
          <w:color w:val="231F20"/>
          <w:w w:val="105"/>
        </w:rPr>
        <w:t>is.</w:t>
      </w:r>
    </w:p>
    <w:p>
      <w:pPr>
        <w:pStyle w:val="BodyText"/>
        <w:spacing w:line="218" w:lineRule="auto" w:before="96"/>
      </w:pPr>
      <w:r>
        <w:rPr>
          <w:color w:val="231F20"/>
        </w:rPr>
        <w:t>De statuten kunnen de bevoegdheden van het bestuursorgaan beperken. Zodanige beperking kan niet aan derden worden tegenge- worpen, ook al is ze openbaar gemaakt. Hetzelfde geldt voor een onderlinge taakverdeling onder de bestuurders.</w:t>
      </w:r>
    </w:p>
    <w:p>
      <w:pPr>
        <w:spacing w:after="0" w:line="218" w:lineRule="auto"/>
        <w:sectPr>
          <w:pgSz w:w="11940" w:h="16880"/>
          <w:pgMar w:header="666" w:footer="0" w:top="1140" w:bottom="280" w:left="340" w:right="360"/>
          <w:cols w:num="2" w:equalWidth="0">
            <w:col w:w="5527" w:space="101"/>
            <w:col w:w="5612"/>
          </w:cols>
        </w:sectPr>
      </w:pPr>
    </w:p>
    <w:p>
      <w:pPr>
        <w:pStyle w:val="BodyText"/>
        <w:spacing w:line="216" w:lineRule="auto" w:before="121"/>
        <w:ind w:right="38"/>
      </w:pPr>
      <w:r>
        <w:rPr/>
        <w:pict>
          <v:line style="position:absolute;mso-position-horizontal-relative:page;mso-position-vertical-relative:page;z-index:6136" from="298.170502pt,64.473pt" to="298.170502pt,812.819pt" stroked="true" strokeweight=".533pt" strokecolor="#231f20">
            <v:stroke dashstyle="solid"/>
            <w10:wrap type="none"/>
          </v:line>
        </w:pict>
      </w:r>
      <w:bookmarkStart w:name="_bookmark213" w:id="219"/>
      <w:bookmarkEnd w:id="219"/>
      <w:r>
        <w:rPr/>
      </w:r>
      <w:r>
        <w:rPr>
          <w:color w:val="231F20"/>
        </w:rPr>
        <w:t>§ 2. L’organe d’administration représente l’association, en ce compris la représentation en justice. Sans préjudice de l’article 9:5, alinéa 1</w:t>
      </w:r>
      <w:r>
        <w:rPr>
          <w:color w:val="231F20"/>
          <w:position w:val="7"/>
          <w:sz w:val="11"/>
        </w:rPr>
        <w:t>er</w:t>
      </w:r>
      <w:r>
        <w:rPr>
          <w:color w:val="231F20"/>
        </w:rPr>
        <w:t>, les statuts peuvent octroyer le pouvoir de représentation à un ou plusieurs administrateurs pour représenter l’association individuellement ou conjointement. Une telle clause de représentation est opposable aux tiers aux conditions fixées à l’article 2:18.</w:t>
      </w:r>
    </w:p>
    <w:p>
      <w:pPr>
        <w:pStyle w:val="BodyText"/>
        <w:spacing w:before="5"/>
        <w:ind w:left="0" w:right="0" w:firstLine="0"/>
        <w:jc w:val="left"/>
        <w:rPr>
          <w:sz w:val="24"/>
        </w:rPr>
      </w:pPr>
    </w:p>
    <w:p>
      <w:pPr>
        <w:pStyle w:val="BodyText"/>
        <w:spacing w:line="218" w:lineRule="auto"/>
        <w:ind w:right="38"/>
      </w:pPr>
      <w:r>
        <w:rPr>
          <w:color w:val="231F20"/>
        </w:rPr>
        <w:t>Les statuts peuvent apporter des restrictions à ce pouvoir de représentation. Une telle limitation n’est pas opposable aux tiers, même si elle est publiée. Il en va de même pour une répartition des tâches entre les administrateurs ayant le pouvoir de représentation.</w:t>
      </w:r>
    </w:p>
    <w:p>
      <w:pPr>
        <w:pStyle w:val="BodyText"/>
        <w:spacing w:before="7"/>
        <w:ind w:left="0" w:right="0" w:firstLine="0"/>
        <w:jc w:val="left"/>
        <w:rPr>
          <w:sz w:val="23"/>
        </w:rPr>
      </w:pPr>
    </w:p>
    <w:p>
      <w:pPr>
        <w:pStyle w:val="BodyText"/>
        <w:spacing w:line="218" w:lineRule="auto"/>
        <w:ind w:right="38"/>
      </w:pPr>
      <w:r>
        <w:rPr>
          <w:color w:val="231F20"/>
        </w:rPr>
        <w:t>Art. 9:8. § 1</w:t>
      </w:r>
      <w:r>
        <w:rPr>
          <w:color w:val="231F20"/>
          <w:position w:val="7"/>
          <w:sz w:val="11"/>
        </w:rPr>
        <w:t>er</w:t>
      </w:r>
      <w:r>
        <w:rPr>
          <w:color w:val="231F20"/>
        </w:rPr>
        <w:t>. Lorsque l’organe d’administration est appelé à prendre une décision ou à se prononcer sur une opération relevant de sa compétence à propos de laquelle un administrateur a un intérêt direct ou indirect de nature patrimoniale qui est opposé à l’intérêt de l’association, cet administrateur doit en informer les autres administra- teurs avant que l’organe d’administration ne prenne une décision. Sa déclaration et ses explications sur la nature de cet intérêt opposé doivent figurer dans le procès-verbal de la réunion de l’organe d’administration qui doit prendre cette décision. Il n’est pas permis à l’organe d’administration de déléguer cette décision.</w:t>
      </w:r>
    </w:p>
    <w:p>
      <w:pPr>
        <w:pStyle w:val="BodyText"/>
        <w:spacing w:line="216" w:lineRule="auto" w:before="109"/>
        <w:ind w:right="38"/>
      </w:pPr>
      <w:r>
        <w:rPr>
          <w:color w:val="231F20"/>
        </w:rPr>
        <w:t>Dans l’association qui à la date du bilan du dernier exercice clôturé dépasse plus d’un des critères visés à l’article 3:47, § 2, l’organe d’administration décrit dans le procès-verbal la nature de la décision ou de l’opération visée à l’alinéa 1</w:t>
      </w:r>
      <w:r>
        <w:rPr>
          <w:color w:val="231F20"/>
          <w:position w:val="7"/>
          <w:sz w:val="11"/>
        </w:rPr>
        <w:t>er </w:t>
      </w:r>
      <w:r>
        <w:rPr>
          <w:color w:val="231F20"/>
        </w:rPr>
        <w:t>et les conséquences patrimoniales de celle-ci pour l’association et justifie la décision qui a été prise. Cette partie du procès-verbal est reprise dans son intégralité dans le rapport de gestion ou dans le document déposé en même temps que les comptes</w:t>
      </w:r>
      <w:r>
        <w:rPr>
          <w:color w:val="231F20"/>
          <w:spacing w:val="15"/>
        </w:rPr>
        <w:t> </w:t>
      </w:r>
      <w:r>
        <w:rPr>
          <w:color w:val="231F20"/>
        </w:rPr>
        <w:t>annuels.</w:t>
      </w:r>
    </w:p>
    <w:p>
      <w:pPr>
        <w:pStyle w:val="BodyText"/>
        <w:spacing w:line="213" w:lineRule="auto" w:before="109"/>
        <w:ind w:right="38"/>
      </w:pPr>
      <w:r>
        <w:rPr>
          <w:color w:val="231F20"/>
        </w:rPr>
        <w:t>Si l’association a nommé un commissaire, le procès-verbal de la réunion lui est communiqué. Dans son rapport visé à l’article 3:74, le commissaire évalue dans une section séparée, les conséquences patri- moniales pour l’association des décisions de l’organe d’administration pour lesquelles il existe un intérêt opposé visé à l’alinéa 1</w:t>
      </w:r>
      <w:r>
        <w:rPr>
          <w:color w:val="231F20"/>
          <w:position w:val="7"/>
          <w:sz w:val="11"/>
        </w:rPr>
        <w:t>er</w:t>
      </w:r>
      <w:r>
        <w:rPr>
          <w:color w:val="231F20"/>
        </w:rPr>
        <w:t>.</w:t>
      </w:r>
    </w:p>
    <w:p>
      <w:pPr>
        <w:pStyle w:val="BodyText"/>
        <w:spacing w:before="2"/>
        <w:ind w:left="0" w:right="0" w:firstLine="0"/>
        <w:jc w:val="left"/>
        <w:rPr>
          <w:sz w:val="25"/>
        </w:rPr>
      </w:pPr>
    </w:p>
    <w:p>
      <w:pPr>
        <w:pStyle w:val="BodyText"/>
        <w:spacing w:line="216" w:lineRule="auto"/>
        <w:ind w:right="38"/>
      </w:pPr>
      <w:r>
        <w:rPr>
          <w:color w:val="231F20"/>
        </w:rPr>
        <w:t>Dans aucune association, l’administrateur ayant un conflit d’intérêts visé à l’alinéa 1</w:t>
      </w:r>
      <w:r>
        <w:rPr>
          <w:color w:val="231F20"/>
          <w:position w:val="7"/>
          <w:sz w:val="11"/>
        </w:rPr>
        <w:t>er </w:t>
      </w:r>
      <w:r>
        <w:rPr>
          <w:color w:val="231F20"/>
        </w:rPr>
        <w:t>ne peut prendre part aux délibérations de l’organe d’administration concernant ces décisions ou ces opérations, ni prendre part au vote sur ce point. Si la majorité des administrateurs présents ou représentésa un conflit d’intérêts, la décision ou l’opération est soumise à l’assemblée générale; en cas d’approbation de la décision ou de l’opération par celle-ci, l’organe d’administration peut les exécuter.</w:t>
      </w:r>
    </w:p>
    <w:p>
      <w:pPr>
        <w:pStyle w:val="BodyText"/>
        <w:spacing w:before="6"/>
        <w:ind w:left="0" w:right="0" w:firstLine="0"/>
        <w:jc w:val="left"/>
        <w:rPr>
          <w:sz w:val="25"/>
        </w:rPr>
      </w:pPr>
    </w:p>
    <w:p>
      <w:pPr>
        <w:pStyle w:val="BodyText"/>
        <w:spacing w:line="218" w:lineRule="auto"/>
        <w:ind w:right="38"/>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l’association peut demander la nullité des décisions prises ou des opérations accomplies en violation des règles prévues au présent article, si l’autre partie à ces décisions ou opérations</w:t>
      </w:r>
      <w:r>
        <w:rPr>
          <w:color w:val="231F20"/>
          <w:spacing w:val="17"/>
        </w:rPr>
        <w:t> </w:t>
      </w:r>
      <w:r>
        <w:rPr>
          <w:color w:val="231F20"/>
        </w:rPr>
        <w:t>avait</w:t>
      </w:r>
      <w:r>
        <w:rPr>
          <w:color w:val="231F20"/>
          <w:spacing w:val="17"/>
        </w:rPr>
        <w:t> </w:t>
      </w:r>
      <w:r>
        <w:rPr>
          <w:color w:val="231F20"/>
        </w:rPr>
        <w:t>ou</w:t>
      </w:r>
      <w:r>
        <w:rPr>
          <w:color w:val="231F20"/>
          <w:spacing w:val="17"/>
        </w:rPr>
        <w:t> </w:t>
      </w:r>
      <w:r>
        <w:rPr>
          <w:color w:val="231F20"/>
        </w:rPr>
        <w:t>devait</w:t>
      </w:r>
      <w:r>
        <w:rPr>
          <w:color w:val="231F20"/>
          <w:spacing w:val="17"/>
        </w:rPr>
        <w:t> </w:t>
      </w:r>
      <w:r>
        <w:rPr>
          <w:color w:val="231F20"/>
        </w:rPr>
        <w:t>avoir</w:t>
      </w:r>
      <w:r>
        <w:rPr>
          <w:color w:val="231F20"/>
          <w:spacing w:val="17"/>
        </w:rPr>
        <w:t> </w:t>
      </w:r>
      <w:r>
        <w:rPr>
          <w:color w:val="231F20"/>
        </w:rPr>
        <w:t>connaissance</w:t>
      </w:r>
      <w:r>
        <w:rPr>
          <w:color w:val="231F20"/>
          <w:spacing w:val="18"/>
        </w:rPr>
        <w:t> </w:t>
      </w:r>
      <w:r>
        <w:rPr>
          <w:color w:val="231F20"/>
        </w:rPr>
        <w:t>de</w:t>
      </w:r>
      <w:r>
        <w:rPr>
          <w:color w:val="231F20"/>
          <w:spacing w:val="17"/>
        </w:rPr>
        <w:t> </w:t>
      </w:r>
      <w:r>
        <w:rPr>
          <w:color w:val="231F20"/>
        </w:rPr>
        <w:t>cette</w:t>
      </w:r>
      <w:r>
        <w:rPr>
          <w:color w:val="231F20"/>
          <w:spacing w:val="17"/>
        </w:rPr>
        <w:t> </w:t>
      </w:r>
      <w:r>
        <w:rPr>
          <w:color w:val="231F20"/>
        </w:rPr>
        <w:t>violation.</w:t>
      </w:r>
    </w:p>
    <w:p>
      <w:pPr>
        <w:pStyle w:val="BodyText"/>
        <w:spacing w:before="6"/>
        <w:ind w:left="0" w:right="0" w:firstLine="0"/>
        <w:jc w:val="left"/>
        <w:rPr>
          <w:sz w:val="24"/>
        </w:rPr>
      </w:pPr>
    </w:p>
    <w:p>
      <w:pPr>
        <w:pStyle w:val="BodyText"/>
        <w:spacing w:line="218" w:lineRule="auto"/>
        <w:ind w:right="38"/>
      </w:pPr>
      <w:r>
        <w:rPr>
          <w:color w:val="231F20"/>
        </w:rPr>
        <w:t>§ 3. Le paragraphe 1</w:t>
      </w:r>
      <w:r>
        <w:rPr>
          <w:color w:val="231F20"/>
          <w:position w:val="7"/>
          <w:sz w:val="11"/>
        </w:rPr>
        <w:t>er </w:t>
      </w:r>
      <w:r>
        <w:rPr>
          <w:color w:val="231F20"/>
        </w:rPr>
        <w:t>n’est pas applicable lorsque les décisions de </w:t>
      </w:r>
      <w:r>
        <w:rPr>
          <w:color w:val="231F20"/>
          <w:spacing w:val="-3"/>
        </w:rPr>
        <w:t>l’organe</w:t>
      </w:r>
      <w:r>
        <w:rPr>
          <w:color w:val="231F20"/>
          <w:spacing w:val="-18"/>
        </w:rPr>
        <w:t> </w:t>
      </w:r>
      <w:r>
        <w:rPr>
          <w:color w:val="231F20"/>
        </w:rPr>
        <w:t>d’administration</w:t>
      </w:r>
      <w:r>
        <w:rPr>
          <w:color w:val="231F20"/>
          <w:spacing w:val="-17"/>
        </w:rPr>
        <w:t> </w:t>
      </w:r>
      <w:r>
        <w:rPr>
          <w:color w:val="231F20"/>
        </w:rPr>
        <w:t>concernent</w:t>
      </w:r>
      <w:r>
        <w:rPr>
          <w:color w:val="231F20"/>
          <w:spacing w:val="-18"/>
        </w:rPr>
        <w:t> </w:t>
      </w:r>
      <w:r>
        <w:rPr>
          <w:color w:val="231F20"/>
        </w:rPr>
        <w:t>des</w:t>
      </w:r>
      <w:r>
        <w:rPr>
          <w:color w:val="231F20"/>
          <w:spacing w:val="-17"/>
        </w:rPr>
        <w:t> </w:t>
      </w:r>
      <w:r>
        <w:rPr>
          <w:color w:val="231F20"/>
        </w:rPr>
        <w:t>opérations</w:t>
      </w:r>
      <w:r>
        <w:rPr>
          <w:color w:val="231F20"/>
          <w:spacing w:val="-17"/>
        </w:rPr>
        <w:t> </w:t>
      </w:r>
      <w:r>
        <w:rPr>
          <w:color w:val="231F20"/>
        </w:rPr>
        <w:t>habituelles</w:t>
      </w:r>
      <w:r>
        <w:rPr>
          <w:color w:val="231F20"/>
          <w:spacing w:val="-18"/>
        </w:rPr>
        <w:t> </w:t>
      </w:r>
      <w:r>
        <w:rPr>
          <w:color w:val="231F20"/>
        </w:rPr>
        <w:t>conclues dans des conditions et sous les garanties normales du marché pour des opérations de même</w:t>
      </w:r>
      <w:r>
        <w:rPr>
          <w:color w:val="231F20"/>
          <w:spacing w:val="3"/>
        </w:rPr>
        <w:t> </w:t>
      </w:r>
      <w:r>
        <w:rPr>
          <w:color w:val="231F20"/>
        </w:rPr>
        <w:t>nature.</w:t>
      </w:r>
    </w:p>
    <w:p>
      <w:pPr>
        <w:pStyle w:val="BodyText"/>
        <w:spacing w:line="218" w:lineRule="auto" w:before="118"/>
        <w:ind w:right="38"/>
      </w:pPr>
      <w:r>
        <w:rPr>
          <w:color w:val="231F20"/>
        </w:rPr>
        <w:t>Art. 9:9. Les décisions de l’organe d’administration peuvent être prises par décision unanime de tous les administrateurs, exprimée par écrit, à l’exception des décisions pour lesquelles les statuts excluent cette possibilité.</w:t>
      </w:r>
    </w:p>
    <w:p>
      <w:pPr>
        <w:pStyle w:val="BodyText"/>
        <w:spacing w:line="218" w:lineRule="auto" w:before="117"/>
        <w:ind w:right="38"/>
      </w:pPr>
      <w:r>
        <w:rPr>
          <w:color w:val="231F20"/>
        </w:rPr>
        <w:t>Les statuts peuvent prévoir qu’un administrateur peut se faire représenter par un autre administrateur à une réunion de l’organe d’administration.</w:t>
      </w:r>
    </w:p>
    <w:p>
      <w:pPr>
        <w:pStyle w:val="BodyText"/>
        <w:spacing w:line="218" w:lineRule="auto" w:before="118"/>
        <w:ind w:right="38"/>
      </w:pPr>
      <w:r>
        <w:rPr>
          <w:color w:val="231F20"/>
        </w:rPr>
        <w:t>Le procès-verbal des réunions de l’organe d’administration est signé par le président et les administrateurs qui le souhaitent; les copies à délivrer aux tiers sont signées par un ou plusieurs membres de l’organe d’administration ayant le pouvoir de représentation.</w:t>
      </w:r>
    </w:p>
    <w:p>
      <w:pPr>
        <w:pStyle w:val="BodyText"/>
        <w:spacing w:before="104"/>
        <w:ind w:left="283" w:right="0" w:firstLine="0"/>
        <w:jc w:val="left"/>
      </w:pPr>
      <w:r>
        <w:rPr>
          <w:color w:val="231F20"/>
        </w:rPr>
        <w:t>Section 3. Gestion journalière.</w:t>
      </w:r>
    </w:p>
    <w:p>
      <w:pPr>
        <w:pStyle w:val="BodyText"/>
        <w:spacing w:line="218" w:lineRule="auto" w:before="113"/>
        <w:ind w:right="38"/>
      </w:pPr>
      <w:r>
        <w:rPr>
          <w:color w:val="231F20"/>
        </w:rPr>
        <w:t>Art. 9:10. Les statuts peuvent prévoir que l’organe d’administration peut charger une ou plusieurs personnes, qui agissent chacune individuellement, conjointement ou collégialement, de la gestion journalière de l’association, ainsi que de la représentation de l’associa- tion en ce qui concerne cette gestion. L’organe d’administration qui a désigné l’organe de gestion journalière est chargé de la surveillance de celui-ci.</w:t>
      </w:r>
    </w:p>
    <w:p>
      <w:pPr>
        <w:pStyle w:val="BodyText"/>
        <w:spacing w:line="218" w:lineRule="auto" w:before="118"/>
        <w:ind w:right="38"/>
      </w:pPr>
      <w:r>
        <w:rPr>
          <w:color w:val="231F20"/>
        </w:rPr>
        <w:t>La gestion journalière comprend aussi bien les actes et les décisions qui n’excèdent pas les besoins de la vie quotidienne de l’association que les actes et les décisions qui, soit en raison de l’intérêt mineur qu’ils</w:t>
      </w:r>
    </w:p>
    <w:p>
      <w:pPr>
        <w:pStyle w:val="BodyText"/>
        <w:spacing w:line="218" w:lineRule="auto" w:before="119"/>
      </w:pPr>
      <w:r>
        <w:rPr/>
        <w:br w:type="column"/>
      </w:r>
      <w:r>
        <w:rPr>
          <w:color w:val="231F20"/>
        </w:rPr>
        <w:t>§ 2. Het bestuursorgaan vertegenwoordigt de vereniging, met inbegrip van de vertegenwoordiging in  rechte.  Onverminderd  arti-  kel 9:5, eerste lid, kunnen de statuten aan een of meer bestuurders de bevoegdheid verlenen om de vereniging alleen of gezamenlijk te vertegenwoordigen. Zodanige vertegenwoordigingsclausule kan aan derden worden tegengeworpen onder de voorwaarden bepaald in artikel</w:t>
      </w:r>
      <w:r>
        <w:rPr>
          <w:color w:val="231F20"/>
          <w:spacing w:val="14"/>
        </w:rPr>
        <w:t> </w:t>
      </w:r>
      <w:r>
        <w:rPr>
          <w:color w:val="231F20"/>
        </w:rPr>
        <w:t>2:18.</w:t>
      </w:r>
    </w:p>
    <w:p>
      <w:pPr>
        <w:pStyle w:val="BodyText"/>
        <w:spacing w:line="218" w:lineRule="auto" w:before="108"/>
      </w:pPr>
      <w:r>
        <w:rPr>
          <w:color w:val="231F20"/>
        </w:rPr>
        <w:t>De statuten kunnen aan deze vertegenwoordigingsbevoegdheid beperkingen aanbrengen. Zodanige beperking kan niet aan derden worden tegengeworpen, ook al is ze openbaar gemaakt. Hetzelfde geldt voor een onderlinge taakverdeling onder de vertegenwoordigingsbe- voegde bestuurders.</w:t>
      </w:r>
    </w:p>
    <w:p>
      <w:pPr>
        <w:pStyle w:val="BodyText"/>
        <w:spacing w:line="218" w:lineRule="auto" w:before="107"/>
      </w:pPr>
      <w:r>
        <w:rPr>
          <w:color w:val="231F20"/>
        </w:rPr>
        <w:t>Art. 9:8. § 1. Wanneer het bestuursorgaan een beslissing moet nemen of zich over een verrichting moet uitspreken die onder zijn bevoegd- heid vallen, waarbij een bestuurder een rechtstreeks of onrechtstreeks belang van vermogensrechtelijke aard heeft dat strijdig is met het belang van de vereniging, moet de betrokken bestuurder dit meedelen aan de andere bestuurders vóór het bestuursorgaan een besluit neemt. Zijn verklaring en toelichting over de aard van dit strijdig belang worden opgenomen in de notulen van de vergadering van het bestuursorgaan die de beslissing moet nemen. Het is het bestuursor- gaan niet toegelaten deze beslissing te delegeren.</w:t>
      </w:r>
    </w:p>
    <w:p>
      <w:pPr>
        <w:pStyle w:val="BodyText"/>
        <w:spacing w:line="218" w:lineRule="auto" w:before="107"/>
      </w:pPr>
      <w:r>
        <w:rPr>
          <w:color w:val="231F20"/>
        </w:rPr>
        <w:t>In de vereniging die op de balansdatum van het laatst afgesloten boekjaar meer dan één van de in artikel 3:47, § 2, bedoelde criteria overschrijdt, omschrijft het bestuursorgaan in de notulen de aard van de in het eerste lid bedoelde beslissing of verrichting en de vermogens- rechtelijke gevolgen ervan voor de vereniging en verantwoordt hij het genomen besluit. Dit deel van de notulen wordt in zijn geheel opgenomen in het jaarverslag of in het stuk dat samen met de jaarrekening wordt neergelegd.</w:t>
      </w:r>
    </w:p>
    <w:p>
      <w:pPr>
        <w:pStyle w:val="BodyText"/>
        <w:spacing w:line="218" w:lineRule="auto" w:before="108"/>
      </w:pPr>
      <w:r>
        <w:rPr>
          <w:color w:val="231F20"/>
        </w:rPr>
        <w:t>Ingeval de vereniging een commissaris heeft benoemd, worden de notulen van de vergadering  aan  hem  meegedeeld.  In  zijn  in  arti-  kel 3:74 bedoelde verslag beoordeelt de commissaris, in een afzonder- lijke sectie, de vermogensrechtelijke gevolgen voor de vereniging van  de besluiten van het bestuursorgaan waarvoor een strijdig belang als bedoeld</w:t>
      </w:r>
      <w:r>
        <w:rPr>
          <w:color w:val="231F20"/>
          <w:spacing w:val="14"/>
        </w:rPr>
        <w:t> </w:t>
      </w:r>
      <w:r>
        <w:rPr>
          <w:color w:val="231F20"/>
        </w:rPr>
        <w:t>in</w:t>
      </w:r>
      <w:r>
        <w:rPr>
          <w:color w:val="231F20"/>
          <w:spacing w:val="15"/>
        </w:rPr>
        <w:t> </w:t>
      </w:r>
      <w:r>
        <w:rPr>
          <w:color w:val="231F20"/>
        </w:rPr>
        <w:t>het</w:t>
      </w:r>
      <w:r>
        <w:rPr>
          <w:color w:val="231F20"/>
          <w:spacing w:val="15"/>
        </w:rPr>
        <w:t> </w:t>
      </w:r>
      <w:r>
        <w:rPr>
          <w:color w:val="231F20"/>
        </w:rPr>
        <w:t>eerste</w:t>
      </w:r>
      <w:r>
        <w:rPr>
          <w:color w:val="231F20"/>
          <w:spacing w:val="15"/>
        </w:rPr>
        <w:t> </w:t>
      </w:r>
      <w:r>
        <w:rPr>
          <w:color w:val="231F20"/>
        </w:rPr>
        <w:t>lid</w:t>
      </w:r>
      <w:r>
        <w:rPr>
          <w:color w:val="231F20"/>
          <w:spacing w:val="15"/>
        </w:rPr>
        <w:t> </w:t>
      </w:r>
      <w:r>
        <w:rPr>
          <w:color w:val="231F20"/>
        </w:rPr>
        <w:t>bestaat.</w:t>
      </w:r>
    </w:p>
    <w:p>
      <w:pPr>
        <w:pStyle w:val="BodyText"/>
        <w:spacing w:line="218" w:lineRule="auto" w:before="107"/>
      </w:pPr>
      <w:r>
        <w:rPr>
          <w:color w:val="231F20"/>
          <w:w w:val="105"/>
        </w:rPr>
        <w:t>In</w:t>
      </w:r>
      <w:r>
        <w:rPr>
          <w:color w:val="231F20"/>
          <w:spacing w:val="-13"/>
          <w:w w:val="105"/>
        </w:rPr>
        <w:t> </w:t>
      </w:r>
      <w:r>
        <w:rPr>
          <w:color w:val="231F20"/>
          <w:w w:val="105"/>
        </w:rPr>
        <w:t>geen</w:t>
      </w:r>
      <w:r>
        <w:rPr>
          <w:color w:val="231F20"/>
          <w:spacing w:val="-13"/>
          <w:w w:val="105"/>
        </w:rPr>
        <w:t> </w:t>
      </w:r>
      <w:r>
        <w:rPr>
          <w:color w:val="231F20"/>
          <w:w w:val="105"/>
        </w:rPr>
        <w:t>enkele</w:t>
      </w:r>
      <w:r>
        <w:rPr>
          <w:color w:val="231F20"/>
          <w:spacing w:val="-13"/>
          <w:w w:val="105"/>
        </w:rPr>
        <w:t> </w:t>
      </w:r>
      <w:r>
        <w:rPr>
          <w:color w:val="231F20"/>
          <w:w w:val="105"/>
        </w:rPr>
        <w:t>vereniging</w:t>
      </w:r>
      <w:r>
        <w:rPr>
          <w:color w:val="231F20"/>
          <w:spacing w:val="-13"/>
          <w:w w:val="105"/>
        </w:rPr>
        <w:t> </w:t>
      </w:r>
      <w:r>
        <w:rPr>
          <w:color w:val="231F20"/>
          <w:w w:val="105"/>
        </w:rPr>
        <w:t>mag</w:t>
      </w:r>
      <w:r>
        <w:rPr>
          <w:color w:val="231F20"/>
          <w:spacing w:val="-13"/>
          <w:w w:val="105"/>
        </w:rPr>
        <w:t> </w:t>
      </w:r>
      <w:r>
        <w:rPr>
          <w:color w:val="231F20"/>
          <w:w w:val="105"/>
        </w:rPr>
        <w:t>de</w:t>
      </w:r>
      <w:r>
        <w:rPr>
          <w:color w:val="231F20"/>
          <w:spacing w:val="-13"/>
          <w:w w:val="105"/>
        </w:rPr>
        <w:t> </w:t>
      </w:r>
      <w:r>
        <w:rPr>
          <w:color w:val="231F20"/>
          <w:w w:val="105"/>
        </w:rPr>
        <w:t>bestuurder</w:t>
      </w:r>
      <w:r>
        <w:rPr>
          <w:color w:val="231F20"/>
          <w:spacing w:val="-12"/>
          <w:w w:val="105"/>
        </w:rPr>
        <w:t> </w:t>
      </w:r>
      <w:r>
        <w:rPr>
          <w:color w:val="231F20"/>
          <w:w w:val="105"/>
        </w:rPr>
        <w:t>met</w:t>
      </w:r>
      <w:r>
        <w:rPr>
          <w:color w:val="231F20"/>
          <w:spacing w:val="-13"/>
          <w:w w:val="105"/>
        </w:rPr>
        <w:t> </w:t>
      </w:r>
      <w:r>
        <w:rPr>
          <w:color w:val="231F20"/>
          <w:w w:val="105"/>
        </w:rPr>
        <w:t>een</w:t>
      </w:r>
      <w:r>
        <w:rPr>
          <w:color w:val="231F20"/>
          <w:spacing w:val="-13"/>
          <w:w w:val="105"/>
        </w:rPr>
        <w:t> </w:t>
      </w:r>
      <w:r>
        <w:rPr>
          <w:color w:val="231F20"/>
          <w:w w:val="105"/>
        </w:rPr>
        <w:t>belangencon- flict</w:t>
      </w:r>
      <w:r>
        <w:rPr>
          <w:color w:val="231F20"/>
          <w:spacing w:val="-23"/>
          <w:w w:val="105"/>
        </w:rPr>
        <w:t> </w:t>
      </w:r>
      <w:r>
        <w:rPr>
          <w:color w:val="231F20"/>
          <w:w w:val="105"/>
        </w:rPr>
        <w:t>als</w:t>
      </w:r>
      <w:r>
        <w:rPr>
          <w:color w:val="231F20"/>
          <w:spacing w:val="-23"/>
          <w:w w:val="105"/>
        </w:rPr>
        <w:t> </w:t>
      </w:r>
      <w:r>
        <w:rPr>
          <w:color w:val="231F20"/>
          <w:w w:val="105"/>
        </w:rPr>
        <w:t>bedoeld</w:t>
      </w:r>
      <w:r>
        <w:rPr>
          <w:color w:val="231F20"/>
          <w:spacing w:val="-23"/>
          <w:w w:val="105"/>
        </w:rPr>
        <w:t> </w:t>
      </w:r>
      <w:r>
        <w:rPr>
          <w:color w:val="231F20"/>
          <w:w w:val="105"/>
        </w:rPr>
        <w:t>in</w:t>
      </w:r>
      <w:r>
        <w:rPr>
          <w:color w:val="231F20"/>
          <w:spacing w:val="-23"/>
          <w:w w:val="105"/>
        </w:rPr>
        <w:t> </w:t>
      </w:r>
      <w:r>
        <w:rPr>
          <w:color w:val="231F20"/>
          <w:w w:val="105"/>
        </w:rPr>
        <w:t>eerste</w:t>
      </w:r>
      <w:r>
        <w:rPr>
          <w:color w:val="231F20"/>
          <w:spacing w:val="-23"/>
          <w:w w:val="105"/>
        </w:rPr>
        <w:t> </w:t>
      </w:r>
      <w:r>
        <w:rPr>
          <w:color w:val="231F20"/>
          <w:w w:val="105"/>
        </w:rPr>
        <w:t>lid</w:t>
      </w:r>
      <w:r>
        <w:rPr>
          <w:color w:val="231F20"/>
          <w:spacing w:val="-22"/>
          <w:w w:val="105"/>
        </w:rPr>
        <w:t> </w:t>
      </w:r>
      <w:r>
        <w:rPr>
          <w:color w:val="231F20"/>
          <w:w w:val="105"/>
        </w:rPr>
        <w:t>deelnemen</w:t>
      </w:r>
      <w:r>
        <w:rPr>
          <w:color w:val="231F20"/>
          <w:spacing w:val="-23"/>
          <w:w w:val="105"/>
        </w:rPr>
        <w:t> </w:t>
      </w:r>
      <w:r>
        <w:rPr>
          <w:color w:val="231F20"/>
          <w:w w:val="105"/>
        </w:rPr>
        <w:t>aan</w:t>
      </w:r>
      <w:r>
        <w:rPr>
          <w:color w:val="231F20"/>
          <w:spacing w:val="-23"/>
          <w:w w:val="105"/>
        </w:rPr>
        <w:t> </w:t>
      </w:r>
      <w:r>
        <w:rPr>
          <w:color w:val="231F20"/>
          <w:w w:val="105"/>
        </w:rPr>
        <w:t>de</w:t>
      </w:r>
      <w:r>
        <w:rPr>
          <w:color w:val="231F20"/>
          <w:spacing w:val="-23"/>
          <w:w w:val="105"/>
        </w:rPr>
        <w:t> </w:t>
      </w:r>
      <w:r>
        <w:rPr>
          <w:color w:val="231F20"/>
          <w:w w:val="105"/>
        </w:rPr>
        <w:t>beraadslagingen</w:t>
      </w:r>
      <w:r>
        <w:rPr>
          <w:color w:val="231F20"/>
          <w:spacing w:val="-23"/>
          <w:w w:val="105"/>
        </w:rPr>
        <w:t> </w:t>
      </w:r>
      <w:r>
        <w:rPr>
          <w:color w:val="231F20"/>
          <w:w w:val="105"/>
        </w:rPr>
        <w:t>van</w:t>
      </w:r>
      <w:r>
        <w:rPr>
          <w:color w:val="231F20"/>
          <w:spacing w:val="-22"/>
          <w:w w:val="105"/>
        </w:rPr>
        <w:t> </w:t>
      </w:r>
      <w:r>
        <w:rPr>
          <w:color w:val="231F20"/>
          <w:w w:val="105"/>
        </w:rPr>
        <w:t>het bestuursorgaan over deze beslissingen of verrichtingen, noch aan de stemming</w:t>
      </w:r>
      <w:r>
        <w:rPr>
          <w:color w:val="231F20"/>
          <w:spacing w:val="-11"/>
          <w:w w:val="105"/>
        </w:rPr>
        <w:t> </w:t>
      </w:r>
      <w:r>
        <w:rPr>
          <w:color w:val="231F20"/>
          <w:w w:val="105"/>
        </w:rPr>
        <w:t>in</w:t>
      </w:r>
      <w:r>
        <w:rPr>
          <w:color w:val="231F20"/>
          <w:spacing w:val="-11"/>
          <w:w w:val="105"/>
        </w:rPr>
        <w:t> </w:t>
      </w:r>
      <w:r>
        <w:rPr>
          <w:color w:val="231F20"/>
          <w:w w:val="105"/>
        </w:rPr>
        <w:t>dat</w:t>
      </w:r>
      <w:r>
        <w:rPr>
          <w:color w:val="231F20"/>
          <w:spacing w:val="-10"/>
          <w:w w:val="105"/>
        </w:rPr>
        <w:t> </w:t>
      </w:r>
      <w:r>
        <w:rPr>
          <w:color w:val="231F20"/>
          <w:w w:val="105"/>
        </w:rPr>
        <w:t>verband.</w:t>
      </w:r>
      <w:r>
        <w:rPr>
          <w:color w:val="231F20"/>
          <w:spacing w:val="-11"/>
          <w:w w:val="105"/>
        </w:rPr>
        <w:t> </w:t>
      </w:r>
      <w:r>
        <w:rPr>
          <w:color w:val="231F20"/>
          <w:spacing w:val="-3"/>
          <w:w w:val="105"/>
        </w:rPr>
        <w:t>Wanneer</w:t>
      </w:r>
      <w:r>
        <w:rPr>
          <w:color w:val="231F20"/>
          <w:spacing w:val="-10"/>
          <w:w w:val="105"/>
        </w:rPr>
        <w:t> </w:t>
      </w:r>
      <w:r>
        <w:rPr>
          <w:color w:val="231F20"/>
          <w:w w:val="105"/>
        </w:rPr>
        <w:t>de</w:t>
      </w:r>
      <w:r>
        <w:rPr>
          <w:color w:val="231F20"/>
          <w:spacing w:val="-11"/>
          <w:w w:val="105"/>
        </w:rPr>
        <w:t> </w:t>
      </w:r>
      <w:r>
        <w:rPr>
          <w:color w:val="231F20"/>
          <w:w w:val="105"/>
        </w:rPr>
        <w:t>meerderheid</w:t>
      </w:r>
      <w:r>
        <w:rPr>
          <w:color w:val="231F20"/>
          <w:spacing w:val="-10"/>
          <w:w w:val="105"/>
        </w:rPr>
        <w:t> </w:t>
      </w:r>
      <w:r>
        <w:rPr>
          <w:color w:val="231F20"/>
          <w:w w:val="105"/>
        </w:rPr>
        <w:t>van</w:t>
      </w:r>
      <w:r>
        <w:rPr>
          <w:color w:val="231F20"/>
          <w:spacing w:val="-11"/>
          <w:w w:val="105"/>
        </w:rPr>
        <w:t> </w:t>
      </w:r>
      <w:r>
        <w:rPr>
          <w:color w:val="231F20"/>
          <w:w w:val="105"/>
        </w:rPr>
        <w:t>de</w:t>
      </w:r>
      <w:r>
        <w:rPr>
          <w:color w:val="231F20"/>
          <w:spacing w:val="-11"/>
          <w:w w:val="105"/>
        </w:rPr>
        <w:t> </w:t>
      </w:r>
      <w:r>
        <w:rPr>
          <w:color w:val="231F20"/>
          <w:w w:val="105"/>
        </w:rPr>
        <w:t>aanwezige of vertegenwoordigde bestuurders een belangenconflict heeft, dan wordt de beslissing of de verrichting aan de algemene vergadering voorgelegd; ingeval de algemene vergadering de beslissing of de verrichting goedkeurt, kan het bestuursorgaan ze</w:t>
      </w:r>
      <w:r>
        <w:rPr>
          <w:color w:val="231F20"/>
          <w:spacing w:val="24"/>
          <w:w w:val="105"/>
        </w:rPr>
        <w:t> </w:t>
      </w:r>
      <w:r>
        <w:rPr>
          <w:color w:val="231F20"/>
          <w:w w:val="105"/>
        </w:rPr>
        <w:t>uitvoeren.</w:t>
      </w:r>
    </w:p>
    <w:p>
      <w:pPr>
        <w:pStyle w:val="BodyText"/>
        <w:spacing w:line="218" w:lineRule="auto" w:before="118"/>
      </w:pPr>
      <w:r>
        <w:rPr>
          <w:color w:val="231F20"/>
        </w:rPr>
        <w:t>§ 2.  Onverminderd  het  recht  voor  de  in  de  artikelen  2:44  en  2:46 genoemde personen om de nietigheid of de opschorting van het bestuursbesluit te vorderen, kan de vereniging de nietigheid vorderen van beslissingen of verrichtingen die hebben plaatsgevonden met overtreding van de in dit artikel bepaalde regels, indien de wederpartij bij die beslissingen of verrichtingen van die overtreding op de hoogte was of had moeten</w:t>
      </w:r>
      <w:r>
        <w:rPr>
          <w:color w:val="231F20"/>
          <w:spacing w:val="20"/>
        </w:rPr>
        <w:t> </w:t>
      </w:r>
      <w:r>
        <w:rPr>
          <w:color w:val="231F20"/>
        </w:rPr>
        <w:t>zijn.</w:t>
      </w:r>
    </w:p>
    <w:p>
      <w:pPr>
        <w:pStyle w:val="BodyText"/>
        <w:spacing w:line="218" w:lineRule="auto" w:before="118"/>
      </w:pPr>
      <w:r>
        <w:rPr>
          <w:color w:val="231F20"/>
        </w:rPr>
        <w:t>§ 3. Paragraaf 1 is niet van toepassing wanneer de beslissingen van het bestuursorgaan betrekking hebben op gebruikelijke verrichtingen die plaatshebben onder de voorwaarden en tegen de zekerheden die op de markt gewoonlijk gelden voor soortgelijke verrichtingen.</w:t>
      </w:r>
    </w:p>
    <w:p>
      <w:pPr>
        <w:pStyle w:val="BodyText"/>
        <w:spacing w:line="218" w:lineRule="auto" w:before="117"/>
      </w:pPr>
      <w:r>
        <w:rPr>
          <w:color w:val="231F20"/>
        </w:rPr>
        <w:t>Art. 9:9. De besluiten van het bestuursorgaan kunnen bij eenparig schriftelijk besluit van alle bestuurders worden genomen, met uitzon- dering van de besluiten waarvoor de statuten deze mogelijkheid uitsluiten.</w:t>
      </w:r>
    </w:p>
    <w:p>
      <w:pPr>
        <w:pStyle w:val="BodyText"/>
        <w:spacing w:line="218" w:lineRule="auto" w:before="118"/>
      </w:pPr>
      <w:r>
        <w:rPr>
          <w:color w:val="231F20"/>
        </w:rPr>
        <w:t>De statuten kunnen bepalen dat een bestuurder zich op een vergadering van het bestuursorgaan door een ander bestuurder kan laten vertegenwoordigen.</w:t>
      </w:r>
    </w:p>
    <w:p>
      <w:pPr>
        <w:pStyle w:val="BodyText"/>
        <w:spacing w:line="218" w:lineRule="auto" w:before="117"/>
      </w:pPr>
      <w:r>
        <w:rPr>
          <w:color w:val="231F20"/>
        </w:rPr>
        <w:t>De notulen van de vergaderingen van het bestuursorgaan worden ondertekend door de voorzitter en de bestuurders die erom verzoeken; kopieën voor derden worden ondertekend door één of meer vertegen- woordigingsbevoegde leden van het bestuursorgaan.</w:t>
      </w:r>
    </w:p>
    <w:p>
      <w:pPr>
        <w:pStyle w:val="BodyText"/>
        <w:spacing w:before="104"/>
        <w:ind w:left="283" w:right="0" w:firstLine="0"/>
        <w:jc w:val="left"/>
      </w:pPr>
      <w:r>
        <w:rPr>
          <w:color w:val="231F20"/>
        </w:rPr>
        <w:t>Afdeling 3. Dagelijks bestuur.</w:t>
      </w:r>
    </w:p>
    <w:p>
      <w:pPr>
        <w:pStyle w:val="BodyText"/>
        <w:spacing w:line="218" w:lineRule="auto" w:before="114"/>
      </w:pPr>
      <w:r>
        <w:rPr>
          <w:color w:val="231F20"/>
          <w:w w:val="105"/>
        </w:rPr>
        <w:t>Art. 9:10. De statuten kunnen bepalen dat het bestuursorgaan het dagelijks</w:t>
      </w:r>
      <w:r>
        <w:rPr>
          <w:color w:val="231F20"/>
          <w:spacing w:val="-22"/>
          <w:w w:val="105"/>
        </w:rPr>
        <w:t> </w:t>
      </w:r>
      <w:r>
        <w:rPr>
          <w:color w:val="231F20"/>
          <w:w w:val="105"/>
        </w:rPr>
        <w:t>bestuur</w:t>
      </w:r>
      <w:r>
        <w:rPr>
          <w:color w:val="231F20"/>
          <w:spacing w:val="-22"/>
          <w:w w:val="105"/>
        </w:rPr>
        <w:t> </w:t>
      </w:r>
      <w:r>
        <w:rPr>
          <w:color w:val="231F20"/>
          <w:w w:val="105"/>
        </w:rPr>
        <w:t>van</w:t>
      </w:r>
      <w:r>
        <w:rPr>
          <w:color w:val="231F20"/>
          <w:spacing w:val="-22"/>
          <w:w w:val="105"/>
        </w:rPr>
        <w:t> </w:t>
      </w:r>
      <w:r>
        <w:rPr>
          <w:color w:val="231F20"/>
          <w:w w:val="105"/>
        </w:rPr>
        <w:t>de</w:t>
      </w:r>
      <w:r>
        <w:rPr>
          <w:color w:val="231F20"/>
          <w:spacing w:val="-22"/>
          <w:w w:val="105"/>
        </w:rPr>
        <w:t> </w:t>
      </w:r>
      <w:r>
        <w:rPr>
          <w:color w:val="231F20"/>
          <w:w w:val="105"/>
        </w:rPr>
        <w:t>vereniging,</w:t>
      </w:r>
      <w:r>
        <w:rPr>
          <w:color w:val="231F20"/>
          <w:spacing w:val="-22"/>
          <w:w w:val="105"/>
        </w:rPr>
        <w:t> </w:t>
      </w:r>
      <w:r>
        <w:rPr>
          <w:color w:val="231F20"/>
          <w:w w:val="105"/>
        </w:rPr>
        <w:t>alsook</w:t>
      </w:r>
      <w:r>
        <w:rPr>
          <w:color w:val="231F20"/>
          <w:spacing w:val="-22"/>
          <w:w w:val="105"/>
        </w:rPr>
        <w:t> </w:t>
      </w:r>
      <w:r>
        <w:rPr>
          <w:color w:val="231F20"/>
          <w:w w:val="105"/>
        </w:rPr>
        <w:t>de</w:t>
      </w:r>
      <w:r>
        <w:rPr>
          <w:color w:val="231F20"/>
          <w:spacing w:val="-22"/>
          <w:w w:val="105"/>
        </w:rPr>
        <w:t> </w:t>
      </w:r>
      <w:r>
        <w:rPr>
          <w:color w:val="231F20"/>
          <w:w w:val="105"/>
        </w:rPr>
        <w:t>vertegenwoordiging</w:t>
      </w:r>
      <w:r>
        <w:rPr>
          <w:color w:val="231F20"/>
          <w:spacing w:val="-22"/>
          <w:w w:val="105"/>
        </w:rPr>
        <w:t> </w:t>
      </w:r>
      <w:r>
        <w:rPr>
          <w:color w:val="231F20"/>
          <w:w w:val="105"/>
        </w:rPr>
        <w:t>van de</w:t>
      </w:r>
      <w:r>
        <w:rPr>
          <w:color w:val="231F20"/>
          <w:spacing w:val="-9"/>
          <w:w w:val="105"/>
        </w:rPr>
        <w:t> </w:t>
      </w:r>
      <w:r>
        <w:rPr>
          <w:color w:val="231F20"/>
          <w:w w:val="105"/>
        </w:rPr>
        <w:t>vereniging</w:t>
      </w:r>
      <w:r>
        <w:rPr>
          <w:color w:val="231F20"/>
          <w:spacing w:val="-8"/>
          <w:w w:val="105"/>
        </w:rPr>
        <w:t> </w:t>
      </w:r>
      <w:r>
        <w:rPr>
          <w:color w:val="231F20"/>
          <w:w w:val="105"/>
        </w:rPr>
        <w:t>wat</w:t>
      </w:r>
      <w:r>
        <w:rPr>
          <w:color w:val="231F20"/>
          <w:spacing w:val="-8"/>
          <w:w w:val="105"/>
        </w:rPr>
        <w:t> </w:t>
      </w:r>
      <w:r>
        <w:rPr>
          <w:color w:val="231F20"/>
          <w:w w:val="105"/>
        </w:rPr>
        <w:t>dat</w:t>
      </w:r>
      <w:r>
        <w:rPr>
          <w:color w:val="231F20"/>
          <w:spacing w:val="-8"/>
          <w:w w:val="105"/>
        </w:rPr>
        <w:t> </w:t>
      </w:r>
      <w:r>
        <w:rPr>
          <w:color w:val="231F20"/>
          <w:w w:val="105"/>
        </w:rPr>
        <w:t>bestuur</w:t>
      </w:r>
      <w:r>
        <w:rPr>
          <w:color w:val="231F20"/>
          <w:spacing w:val="-8"/>
          <w:w w:val="105"/>
        </w:rPr>
        <w:t> </w:t>
      </w:r>
      <w:r>
        <w:rPr>
          <w:color w:val="231F20"/>
          <w:w w:val="105"/>
        </w:rPr>
        <w:t>aangaat,</w:t>
      </w:r>
      <w:r>
        <w:rPr>
          <w:color w:val="231F20"/>
          <w:spacing w:val="-8"/>
          <w:w w:val="105"/>
        </w:rPr>
        <w:t> </w:t>
      </w:r>
      <w:r>
        <w:rPr>
          <w:color w:val="231F20"/>
          <w:w w:val="105"/>
        </w:rPr>
        <w:t>kan</w:t>
      </w:r>
      <w:r>
        <w:rPr>
          <w:color w:val="231F20"/>
          <w:spacing w:val="-8"/>
          <w:w w:val="105"/>
        </w:rPr>
        <w:t> </w:t>
      </w:r>
      <w:r>
        <w:rPr>
          <w:color w:val="231F20"/>
          <w:w w:val="105"/>
        </w:rPr>
        <w:t>opdragen</w:t>
      </w:r>
      <w:r>
        <w:rPr>
          <w:color w:val="231F20"/>
          <w:spacing w:val="-8"/>
          <w:w w:val="105"/>
        </w:rPr>
        <w:t> </w:t>
      </w:r>
      <w:r>
        <w:rPr>
          <w:color w:val="231F20"/>
          <w:w w:val="105"/>
        </w:rPr>
        <w:t>aan</w:t>
      </w:r>
      <w:r>
        <w:rPr>
          <w:color w:val="231F20"/>
          <w:spacing w:val="-9"/>
          <w:w w:val="105"/>
        </w:rPr>
        <w:t> </w:t>
      </w:r>
      <w:r>
        <w:rPr>
          <w:color w:val="231F20"/>
          <w:w w:val="105"/>
        </w:rPr>
        <w:t>een</w:t>
      </w:r>
      <w:r>
        <w:rPr>
          <w:color w:val="231F20"/>
          <w:spacing w:val="-8"/>
          <w:w w:val="105"/>
        </w:rPr>
        <w:t> </w:t>
      </w:r>
      <w:r>
        <w:rPr>
          <w:color w:val="231F20"/>
          <w:w w:val="105"/>
        </w:rPr>
        <w:t>of</w:t>
      </w:r>
      <w:r>
        <w:rPr>
          <w:color w:val="231F20"/>
          <w:spacing w:val="-8"/>
          <w:w w:val="105"/>
        </w:rPr>
        <w:t> </w:t>
      </w:r>
      <w:r>
        <w:rPr>
          <w:color w:val="231F20"/>
          <w:w w:val="105"/>
        </w:rPr>
        <w:t>meer personen, die elk alleen, gezamenlijk of als college optreden. Het bestuursorgaan</w:t>
      </w:r>
      <w:r>
        <w:rPr>
          <w:color w:val="231F20"/>
          <w:spacing w:val="-28"/>
          <w:w w:val="105"/>
        </w:rPr>
        <w:t> </w:t>
      </w:r>
      <w:r>
        <w:rPr>
          <w:color w:val="231F20"/>
          <w:w w:val="105"/>
        </w:rPr>
        <w:t>dat</w:t>
      </w:r>
      <w:r>
        <w:rPr>
          <w:color w:val="231F20"/>
          <w:spacing w:val="-27"/>
          <w:w w:val="105"/>
        </w:rPr>
        <w:t> </w:t>
      </w:r>
      <w:r>
        <w:rPr>
          <w:color w:val="231F20"/>
          <w:w w:val="105"/>
        </w:rPr>
        <w:t>het</w:t>
      </w:r>
      <w:r>
        <w:rPr>
          <w:color w:val="231F20"/>
          <w:spacing w:val="-27"/>
          <w:w w:val="105"/>
        </w:rPr>
        <w:t> </w:t>
      </w:r>
      <w:r>
        <w:rPr>
          <w:color w:val="231F20"/>
          <w:w w:val="105"/>
        </w:rPr>
        <w:t>orgaan</w:t>
      </w:r>
      <w:r>
        <w:rPr>
          <w:color w:val="231F20"/>
          <w:spacing w:val="-27"/>
          <w:w w:val="105"/>
        </w:rPr>
        <w:t> </w:t>
      </w:r>
      <w:r>
        <w:rPr>
          <w:color w:val="231F20"/>
          <w:w w:val="105"/>
        </w:rPr>
        <w:t>van</w:t>
      </w:r>
      <w:r>
        <w:rPr>
          <w:color w:val="231F20"/>
          <w:spacing w:val="-27"/>
          <w:w w:val="105"/>
        </w:rPr>
        <w:t> </w:t>
      </w:r>
      <w:r>
        <w:rPr>
          <w:color w:val="231F20"/>
          <w:w w:val="105"/>
        </w:rPr>
        <w:t>dagelijks</w:t>
      </w:r>
      <w:r>
        <w:rPr>
          <w:color w:val="231F20"/>
          <w:spacing w:val="-27"/>
          <w:w w:val="105"/>
        </w:rPr>
        <w:t> </w:t>
      </w:r>
      <w:r>
        <w:rPr>
          <w:color w:val="231F20"/>
          <w:w w:val="105"/>
        </w:rPr>
        <w:t>bestuur</w:t>
      </w:r>
      <w:r>
        <w:rPr>
          <w:color w:val="231F20"/>
          <w:spacing w:val="-28"/>
          <w:w w:val="105"/>
        </w:rPr>
        <w:t> </w:t>
      </w:r>
      <w:r>
        <w:rPr>
          <w:color w:val="231F20"/>
          <w:w w:val="105"/>
        </w:rPr>
        <w:t>heeft</w:t>
      </w:r>
      <w:r>
        <w:rPr>
          <w:color w:val="231F20"/>
          <w:spacing w:val="-27"/>
          <w:w w:val="105"/>
        </w:rPr>
        <w:t> </w:t>
      </w:r>
      <w:r>
        <w:rPr>
          <w:color w:val="231F20"/>
          <w:w w:val="105"/>
        </w:rPr>
        <w:t>aangesteld</w:t>
      </w:r>
      <w:r>
        <w:rPr>
          <w:color w:val="231F20"/>
          <w:spacing w:val="-27"/>
          <w:w w:val="105"/>
        </w:rPr>
        <w:t> </w:t>
      </w:r>
      <w:r>
        <w:rPr>
          <w:color w:val="231F20"/>
          <w:w w:val="105"/>
        </w:rPr>
        <w:t>is belast met het toezicht op dit</w:t>
      </w:r>
      <w:r>
        <w:rPr>
          <w:color w:val="231F20"/>
          <w:spacing w:val="19"/>
          <w:w w:val="105"/>
        </w:rPr>
        <w:t> </w:t>
      </w:r>
      <w:r>
        <w:rPr>
          <w:color w:val="231F20"/>
          <w:w w:val="105"/>
        </w:rPr>
        <w:t>orgaan.</w:t>
      </w:r>
    </w:p>
    <w:p>
      <w:pPr>
        <w:pStyle w:val="BodyText"/>
        <w:spacing w:before="9"/>
        <w:ind w:left="0" w:right="0" w:firstLine="0"/>
        <w:jc w:val="left"/>
        <w:rPr>
          <w:sz w:val="25"/>
        </w:rPr>
      </w:pPr>
    </w:p>
    <w:p>
      <w:pPr>
        <w:pStyle w:val="BodyText"/>
        <w:spacing w:line="218" w:lineRule="auto"/>
      </w:pPr>
      <w:r>
        <w:rPr>
          <w:color w:val="231F20"/>
        </w:rPr>
        <w:t>Het dagelijks bestuur omvat zowel de handelingen en de beslissin- gen die niet verder reiken dan de behoeften van het dagelijks leven van de vereniging, als de handelingen en de beslissingen die, ofwel om</w:t>
      </w:r>
    </w:p>
    <w:p>
      <w:pPr>
        <w:spacing w:after="0" w:line="218" w:lineRule="auto"/>
        <w:sectPr>
          <w:headerReference w:type="even" r:id="rId93"/>
          <w:headerReference w:type="default" r:id="rId94"/>
          <w:pgSz w:w="11940" w:h="16880"/>
          <w:pgMar w:header="666" w:footer="0" w:top="1140" w:bottom="280" w:left="340" w:right="360"/>
          <w:pgNumType w:start="33452"/>
          <w:cols w:num="2" w:equalWidth="0">
            <w:col w:w="5527" w:space="101"/>
            <w:col w:w="5612"/>
          </w:cols>
        </w:sectPr>
      </w:pPr>
    </w:p>
    <w:p>
      <w:pPr>
        <w:pStyle w:val="BodyText"/>
        <w:spacing w:line="218" w:lineRule="auto" w:before="120"/>
        <w:ind w:right="0" w:firstLine="0"/>
        <w:jc w:val="left"/>
      </w:pPr>
      <w:r>
        <w:rPr/>
        <w:pict>
          <v:line style="position:absolute;mso-position-horizontal-relative:page;mso-position-vertical-relative:page;z-index:6160" from="298.170502pt,64.473pt" to="298.170502pt,812.819pt" stroked="true" strokeweight=".533pt" strokecolor="#231f20">
            <v:stroke dashstyle="solid"/>
            <w10:wrap type="none"/>
          </v:line>
        </w:pict>
      </w:r>
      <w:bookmarkStart w:name="_bookmark214" w:id="220"/>
      <w:bookmarkEnd w:id="220"/>
      <w:r>
        <w:rPr/>
      </w:r>
      <w:r>
        <w:rPr>
          <w:color w:val="231F20"/>
        </w:rPr>
        <w:t>représentent, soit en raison de leur caractère urgent, ne justifient pas l’intervention de l’organe d’administration.</w:t>
      </w:r>
    </w:p>
    <w:p>
      <w:pPr>
        <w:pStyle w:val="BodyText"/>
        <w:spacing w:before="10"/>
        <w:ind w:left="0" w:right="0" w:firstLine="0"/>
        <w:jc w:val="left"/>
        <w:rPr>
          <w:sz w:val="23"/>
        </w:rPr>
      </w:pPr>
    </w:p>
    <w:p>
      <w:pPr>
        <w:pStyle w:val="BodyText"/>
        <w:spacing w:line="218" w:lineRule="auto"/>
        <w:ind w:right="38"/>
      </w:pPr>
      <w:r>
        <w:rPr>
          <w:color w:val="231F20"/>
        </w:rPr>
        <w:t>La disposition selon laquelle la gestion journalière est confiée à une ou plusieurs personnes qui agissent chacune individuellement, conjoin- tement ou collégialement, est opposable aux tiers aux conditions fixées à l’article 2:18. Les limitations au pouvoir de représentation de l’organe de gestion journalière ne sont toutefois pas opposables aux tiers, même si elles sont publiées.</w:t>
      </w:r>
    </w:p>
    <w:p>
      <w:pPr>
        <w:pStyle w:val="BodyText"/>
        <w:spacing w:before="83"/>
        <w:ind w:left="283" w:right="0" w:firstLine="0"/>
        <w:jc w:val="left"/>
      </w:pPr>
      <w:r>
        <w:rPr>
          <w:color w:val="231F20"/>
        </w:rPr>
        <w:t>Section 4. Dépassement de l’objet.</w:t>
      </w:r>
    </w:p>
    <w:p>
      <w:pPr>
        <w:pStyle w:val="BodyText"/>
        <w:spacing w:line="218" w:lineRule="auto" w:before="92"/>
        <w:ind w:right="38"/>
      </w:pPr>
      <w:r>
        <w:rPr>
          <w:color w:val="231F20"/>
        </w:rPr>
        <w:t>Art. 9:11. L’association est liée par les actes accomplis par l’organe de l’administration, par les délégués à la gestion journalière et par les administrateurs qui, conformément à l’article 9:7, § 2, ont le pouvoir de la</w:t>
      </w:r>
      <w:r>
        <w:rPr>
          <w:color w:val="231F20"/>
          <w:spacing w:val="-5"/>
        </w:rPr>
        <w:t> </w:t>
      </w:r>
      <w:r>
        <w:rPr>
          <w:color w:val="231F20"/>
        </w:rPr>
        <w:t>représenter,</w:t>
      </w:r>
      <w:r>
        <w:rPr>
          <w:color w:val="231F20"/>
          <w:spacing w:val="-4"/>
        </w:rPr>
        <w:t> </w:t>
      </w:r>
      <w:r>
        <w:rPr>
          <w:color w:val="231F20"/>
        </w:rPr>
        <w:t>même</w:t>
      </w:r>
      <w:r>
        <w:rPr>
          <w:color w:val="231F20"/>
          <w:spacing w:val="-5"/>
        </w:rPr>
        <w:t> </w:t>
      </w:r>
      <w:r>
        <w:rPr>
          <w:color w:val="231F20"/>
        </w:rPr>
        <w:t>si</w:t>
      </w:r>
      <w:r>
        <w:rPr>
          <w:color w:val="231F20"/>
          <w:spacing w:val="-4"/>
        </w:rPr>
        <w:t> </w:t>
      </w:r>
      <w:r>
        <w:rPr>
          <w:color w:val="231F20"/>
        </w:rPr>
        <w:t>ces</w:t>
      </w:r>
      <w:r>
        <w:rPr>
          <w:color w:val="231F20"/>
          <w:spacing w:val="-5"/>
        </w:rPr>
        <w:t> </w:t>
      </w:r>
      <w:r>
        <w:rPr>
          <w:color w:val="231F20"/>
        </w:rPr>
        <w:t>actes</w:t>
      </w:r>
      <w:r>
        <w:rPr>
          <w:color w:val="231F20"/>
          <w:spacing w:val="-4"/>
        </w:rPr>
        <w:t> </w:t>
      </w:r>
      <w:r>
        <w:rPr>
          <w:color w:val="231F20"/>
        </w:rPr>
        <w:t>excèdent</w:t>
      </w:r>
      <w:r>
        <w:rPr>
          <w:color w:val="231F20"/>
          <w:spacing w:val="-5"/>
        </w:rPr>
        <w:t> </w:t>
      </w:r>
      <w:r>
        <w:rPr>
          <w:color w:val="231F20"/>
        </w:rPr>
        <w:t>son</w:t>
      </w:r>
      <w:r>
        <w:rPr>
          <w:color w:val="231F20"/>
          <w:spacing w:val="-4"/>
        </w:rPr>
        <w:t> </w:t>
      </w:r>
      <w:r>
        <w:rPr>
          <w:color w:val="231F20"/>
        </w:rPr>
        <w:t>objet,</w:t>
      </w:r>
      <w:r>
        <w:rPr>
          <w:color w:val="231F20"/>
          <w:spacing w:val="-5"/>
        </w:rPr>
        <w:t> </w:t>
      </w:r>
      <w:r>
        <w:rPr>
          <w:color w:val="231F20"/>
        </w:rPr>
        <w:t>sauf</w:t>
      </w:r>
      <w:r>
        <w:rPr>
          <w:color w:val="231F20"/>
          <w:spacing w:val="-4"/>
        </w:rPr>
        <w:t> </w:t>
      </w:r>
      <w:r>
        <w:rPr>
          <w:color w:val="231F20"/>
        </w:rPr>
        <w:t>si</w:t>
      </w:r>
      <w:r>
        <w:rPr>
          <w:color w:val="231F20"/>
          <w:spacing w:val="-5"/>
        </w:rPr>
        <w:t> </w:t>
      </w:r>
      <w:r>
        <w:rPr>
          <w:color w:val="231F20"/>
        </w:rPr>
        <w:t>l’association prouve que le tiers en avait connaissance ou qu’il ne pouvait l’ignorer, compte tenu des circonstances, sans que la seule publication des statuts </w:t>
      </w:r>
      <w:r>
        <w:rPr>
          <w:color w:val="231F20"/>
          <w:spacing w:val="-4"/>
        </w:rPr>
        <w:t>suffise </w:t>
      </w:r>
      <w:r>
        <w:rPr>
          <w:color w:val="231F20"/>
        </w:rPr>
        <w:t>à constituer cette</w:t>
      </w:r>
      <w:r>
        <w:rPr>
          <w:color w:val="231F20"/>
          <w:spacing w:val="27"/>
        </w:rPr>
        <w:t> </w:t>
      </w:r>
      <w:r>
        <w:rPr>
          <w:color w:val="231F20"/>
        </w:rPr>
        <w:t>preuve.</w:t>
      </w:r>
    </w:p>
    <w:p>
      <w:pPr>
        <w:pStyle w:val="BodyText"/>
        <w:spacing w:line="319" w:lineRule="auto" w:before="83"/>
        <w:ind w:left="283" w:right="1150" w:hanging="1"/>
        <w:jc w:val="left"/>
      </w:pPr>
      <w:r>
        <w:rPr>
          <w:color w:val="231F20"/>
        </w:rPr>
        <w:t>CHAPITRE 2. L’assemblée générale des membres. Section 1</w:t>
      </w:r>
      <w:r>
        <w:rPr>
          <w:color w:val="231F20"/>
          <w:position w:val="7"/>
          <w:sz w:val="11"/>
        </w:rPr>
        <w:t>re</w:t>
      </w:r>
      <w:r>
        <w:rPr>
          <w:color w:val="231F20"/>
        </w:rPr>
        <w:t>. Dispositions communes.</w:t>
      </w:r>
    </w:p>
    <w:p>
      <w:pPr>
        <w:pStyle w:val="BodyText"/>
        <w:spacing w:line="208" w:lineRule="exact"/>
        <w:ind w:left="283" w:right="0" w:firstLine="0"/>
        <w:jc w:val="left"/>
      </w:pPr>
      <w:r>
        <w:rPr>
          <w:color w:val="231F20"/>
        </w:rPr>
        <w:t>Sous-section 1</w:t>
      </w:r>
      <w:r>
        <w:rPr>
          <w:color w:val="231F20"/>
          <w:position w:val="7"/>
          <w:sz w:val="11"/>
        </w:rPr>
        <w:t>re</w:t>
      </w:r>
      <w:r>
        <w:rPr>
          <w:color w:val="231F20"/>
        </w:rPr>
        <w:t>. Compétences.</w:t>
      </w:r>
    </w:p>
    <w:p>
      <w:pPr>
        <w:pStyle w:val="BodyText"/>
        <w:spacing w:line="338" w:lineRule="auto" w:before="79"/>
        <w:ind w:left="283" w:right="473" w:hanging="1"/>
        <w:jc w:val="left"/>
      </w:pPr>
      <w:r>
        <w:rPr>
          <w:color w:val="231F20"/>
        </w:rPr>
        <w:t>Art. 9:12. Une décision de l’assemblée générale est exigée pour: 1° la modification des</w:t>
      </w:r>
      <w:r>
        <w:rPr>
          <w:color w:val="231F20"/>
          <w:spacing w:val="18"/>
        </w:rPr>
        <w:t> </w:t>
      </w:r>
      <w:r>
        <w:rPr>
          <w:color w:val="231F20"/>
        </w:rPr>
        <w:t>statuts;</w:t>
      </w:r>
    </w:p>
    <w:p>
      <w:pPr>
        <w:pStyle w:val="BodyText"/>
        <w:spacing w:line="218" w:lineRule="auto" w:before="12"/>
        <w:ind w:right="38"/>
      </w:pPr>
      <w:r>
        <w:rPr>
          <w:color w:val="231F20"/>
        </w:rPr>
        <w:t>2° la nomination et la révocation des administrateurs et la fixation de leur rémunération dans les cas où une rémunération leur est attribuée;</w:t>
      </w:r>
    </w:p>
    <w:p>
      <w:pPr>
        <w:pStyle w:val="BodyText"/>
        <w:spacing w:line="218" w:lineRule="auto" w:before="97"/>
        <w:ind w:right="39"/>
      </w:pPr>
      <w:r>
        <w:rPr>
          <w:color w:val="231F20"/>
        </w:rPr>
        <w:t>3° la nomination et la révocation du commissaire et la fixation de sa rémunération;</w:t>
      </w:r>
    </w:p>
    <w:p>
      <w:pPr>
        <w:pStyle w:val="BodyText"/>
        <w:spacing w:line="218" w:lineRule="auto" w:before="106"/>
        <w:ind w:right="38"/>
      </w:pPr>
      <w:r>
        <w:rPr>
          <w:color w:val="231F20"/>
        </w:rPr>
        <w:t>4° la décharge à octroyer aux administrateurs et au commissaire, ainsi que, le cas échéant, l’introduction d’une action de l’association contre les administrateurs et les commissaires;</w:t>
      </w:r>
    </w:p>
    <w:p>
      <w:pPr>
        <w:pStyle w:val="BodyText"/>
        <w:spacing w:line="350" w:lineRule="auto" w:before="93"/>
        <w:ind w:left="283" w:right="1360" w:hanging="1"/>
        <w:jc w:val="left"/>
      </w:pPr>
      <w:r>
        <w:rPr>
          <w:color w:val="231F20"/>
        </w:rPr>
        <w:t>5° l’approbation des comptes annuels et du budget; 6° la dissolution de l’association;</w:t>
      </w:r>
    </w:p>
    <w:p>
      <w:pPr>
        <w:pStyle w:val="BodyText"/>
        <w:spacing w:before="1"/>
        <w:ind w:left="283" w:right="0" w:firstLine="0"/>
        <w:jc w:val="left"/>
      </w:pPr>
      <w:r>
        <w:rPr>
          <w:color w:val="231F20"/>
        </w:rPr>
        <w:t>7° l’exclusion d’un membre;</w:t>
      </w:r>
    </w:p>
    <w:p>
      <w:pPr>
        <w:pStyle w:val="BodyText"/>
        <w:spacing w:line="218" w:lineRule="auto" w:before="103"/>
        <w:ind w:right="38"/>
      </w:pPr>
      <w:r>
        <w:rPr>
          <w:color w:val="231F20"/>
        </w:rPr>
        <w:t>8° la transformation de l’ASBL en AISBL, en société coopérative agréée comme entreprise sociale et en société coopérative entreprise sociale agréée;</w:t>
      </w:r>
    </w:p>
    <w:p>
      <w:pPr>
        <w:pStyle w:val="BodyText"/>
        <w:spacing w:before="93"/>
        <w:ind w:left="283" w:right="0" w:firstLine="0"/>
        <w:jc w:val="left"/>
      </w:pPr>
      <w:r>
        <w:rPr>
          <w:color w:val="231F20"/>
        </w:rPr>
        <w:t>9° effectuer ou accepter l’apport à titre gratuit d’une universalité;</w:t>
      </w:r>
    </w:p>
    <w:p>
      <w:pPr>
        <w:pStyle w:val="BodyText"/>
        <w:spacing w:before="4"/>
        <w:ind w:left="0" w:right="0" w:firstLine="0"/>
        <w:jc w:val="left"/>
        <w:rPr>
          <w:sz w:val="23"/>
        </w:rPr>
      </w:pPr>
    </w:p>
    <w:p>
      <w:pPr>
        <w:pStyle w:val="BodyText"/>
        <w:spacing w:line="350" w:lineRule="auto"/>
        <w:ind w:left="283" w:right="1042" w:hanging="1"/>
        <w:jc w:val="left"/>
      </w:pPr>
      <w:r>
        <w:rPr>
          <w:color w:val="231F20"/>
        </w:rPr>
        <w:t>10° tous les autres cas où la loi ou les statuts l’exigent. Sous-section 2. Convocation de l’assemblée générale.</w:t>
      </w:r>
    </w:p>
    <w:p>
      <w:pPr>
        <w:pStyle w:val="BodyText"/>
        <w:spacing w:line="218" w:lineRule="auto" w:before="15"/>
        <w:ind w:right="38"/>
      </w:pPr>
      <w:r>
        <w:rPr>
          <w:color w:val="231F20"/>
        </w:rPr>
        <w:t>Art. 9:13. L’organe d’administration convoque l’assemblée générale dans les cas prévus par la loi ou les statuts ou lorsqu’au moins un cinquième des membres en fait la demande.</w:t>
      </w:r>
    </w:p>
    <w:p>
      <w:pPr>
        <w:pStyle w:val="BodyText"/>
        <w:spacing w:line="218" w:lineRule="auto" w:before="107"/>
        <w:ind w:right="38"/>
      </w:pPr>
      <w:r>
        <w:rPr>
          <w:color w:val="231F20"/>
        </w:rPr>
        <w:t>Le cas échéant, le commissaire peut convoquer l’assemblée générale. Il doit la convoquer lorsqu’un cinquième des membres de l’association le demande.</w:t>
      </w:r>
    </w:p>
    <w:p>
      <w:pPr>
        <w:pStyle w:val="BodyText"/>
        <w:spacing w:line="218" w:lineRule="auto" w:before="107"/>
        <w:ind w:right="38"/>
      </w:pPr>
      <w:r>
        <w:rPr>
          <w:color w:val="231F20"/>
        </w:rPr>
        <w:t>L’organe d’administration ou, le cas échéant, le commissaire, convo- que l’assemblée générale dans les vingt et un jours de la demande de convocation, et l’assemblée générale se tient au plus tard le quaran- tième jour suivant cette demande, sauf disposition statutaire contraire.</w:t>
      </w:r>
    </w:p>
    <w:p>
      <w:pPr>
        <w:pStyle w:val="BodyText"/>
        <w:spacing w:before="9"/>
        <w:ind w:left="0" w:right="0" w:firstLine="0"/>
        <w:jc w:val="left"/>
        <w:rPr>
          <w:sz w:val="24"/>
        </w:rPr>
      </w:pPr>
    </w:p>
    <w:p>
      <w:pPr>
        <w:pStyle w:val="BodyText"/>
        <w:spacing w:line="218" w:lineRule="auto" w:before="1"/>
        <w:ind w:right="38"/>
      </w:pPr>
      <w:r>
        <w:rPr>
          <w:color w:val="231F20"/>
        </w:rPr>
        <w:t>Art. 9:14. Tous les membres, administrateurs et commissaires sont convoqués à l’assemblée générale au moins quinze jours avant celle-ci. L’ordre du jour est joint à la convocation. Toute proposition signée par au moins un vingtième des membres est portée à l’ordre du jour.</w:t>
      </w:r>
    </w:p>
    <w:p>
      <w:pPr>
        <w:pStyle w:val="BodyText"/>
        <w:spacing w:before="10"/>
        <w:ind w:left="0" w:right="0" w:firstLine="0"/>
        <w:jc w:val="left"/>
        <w:rPr>
          <w:sz w:val="24"/>
        </w:rPr>
      </w:pPr>
    </w:p>
    <w:p>
      <w:pPr>
        <w:pStyle w:val="BodyText"/>
        <w:spacing w:line="218" w:lineRule="auto"/>
        <w:ind w:right="38"/>
      </w:pPr>
      <w:r>
        <w:rPr>
          <w:color w:val="231F20"/>
        </w:rPr>
        <w:t>Une copie des documents qui doivent être transmis à l’assemblée générale en vertu du présent code est envoyée sans délai et gratuite- ment aux membres, aux administrateurs et aux commissaires qui en font la demande.</w:t>
      </w:r>
    </w:p>
    <w:p>
      <w:pPr>
        <w:pStyle w:val="BodyText"/>
        <w:spacing w:before="93"/>
        <w:ind w:left="284" w:right="0" w:firstLine="0"/>
        <w:jc w:val="left"/>
      </w:pPr>
      <w:r>
        <w:rPr>
          <w:color w:val="231F20"/>
        </w:rPr>
        <w:t>Sous-section 3. Participation à l’assemblée générale.</w:t>
      </w:r>
    </w:p>
    <w:p>
      <w:pPr>
        <w:pStyle w:val="BodyText"/>
        <w:spacing w:line="218" w:lineRule="auto" w:before="103"/>
        <w:ind w:right="38"/>
      </w:pPr>
      <w:r>
        <w:rPr>
          <w:color w:val="231F20"/>
        </w:rPr>
        <w:t>Art. 9:15. Les membres peuvent se faire représenter à l’assemblée générale par un autre membre ou, si les statuts l’autorisent, par une personne qui n’est pas un membre.</w:t>
      </w:r>
    </w:p>
    <w:p>
      <w:pPr>
        <w:pStyle w:val="BodyText"/>
        <w:spacing w:line="218" w:lineRule="auto" w:before="107"/>
        <w:ind w:right="38"/>
      </w:pPr>
      <w:r>
        <w:rPr>
          <w:color w:val="231F20"/>
        </w:rPr>
        <w:t>Art. 9:16. Lorsque l’assemblée générale délibère sur la base d’un rapport rédigé par le commissaire, celui-ci prend part à l’assemblée.</w:t>
      </w:r>
    </w:p>
    <w:p>
      <w:pPr>
        <w:pStyle w:val="BodyText"/>
        <w:spacing w:before="7"/>
        <w:ind w:left="0" w:right="0" w:firstLine="0"/>
        <w:jc w:val="left"/>
        <w:rPr>
          <w:sz w:val="23"/>
        </w:rPr>
      </w:pPr>
    </w:p>
    <w:p>
      <w:pPr>
        <w:pStyle w:val="BodyText"/>
        <w:ind w:left="284" w:right="0" w:firstLine="0"/>
        <w:jc w:val="left"/>
      </w:pPr>
      <w:r>
        <w:rPr>
          <w:color w:val="231F20"/>
        </w:rPr>
        <w:t>Sous-section 4. Tenue de l’assemblée générale.</w:t>
      </w:r>
    </w:p>
    <w:p>
      <w:pPr>
        <w:pStyle w:val="BodyText"/>
        <w:spacing w:line="218" w:lineRule="auto" w:before="103"/>
        <w:ind w:right="38"/>
      </w:pPr>
      <w:r>
        <w:rPr>
          <w:color w:val="231F20"/>
        </w:rPr>
        <w:t>Art. 9:17. Sauf disposition statutaire contraire, chaque membre a un droit de vote égal à l’assemblée générale.</w:t>
      </w:r>
    </w:p>
    <w:p>
      <w:pPr>
        <w:pStyle w:val="BodyText"/>
        <w:spacing w:line="218" w:lineRule="auto" w:before="119"/>
        <w:ind w:firstLine="0"/>
      </w:pPr>
      <w:r>
        <w:rPr/>
        <w:br w:type="column"/>
      </w:r>
      <w:r>
        <w:rPr>
          <w:color w:val="231F20"/>
        </w:rPr>
        <w:t>reden van hun minder belang dat ze vertonen, ofwel omwille van hun spoedeisend karakter, de tussenkomst van het bestuursorgaan niet rechtvaardigen.</w:t>
      </w:r>
    </w:p>
    <w:p>
      <w:pPr>
        <w:pStyle w:val="BodyText"/>
        <w:spacing w:line="218" w:lineRule="auto" w:before="97"/>
      </w:pPr>
      <w:r>
        <w:rPr>
          <w:color w:val="231F20"/>
        </w:rPr>
        <w:t>De bepaling dat het dagelijks bestuur wordt opgedragen aan een of meer personen die elk alleen, gezamenlijk of als college optreden, kan aan derden worden tegengeworpen onder de voorwaarden bepaald in artikel 2:18. Beperkingen aan de vertegenwoordigingsbevoegdheid van het orgaan van dagelijks bestuur kunnen aan derden echter niet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before="82"/>
        <w:ind w:left="283" w:right="0" w:firstLine="0"/>
        <w:jc w:val="left"/>
      </w:pPr>
      <w:r>
        <w:rPr>
          <w:color w:val="231F20"/>
        </w:rPr>
        <w:t>Afdeling 4. Overschrijding van het voorwerp.</w:t>
      </w:r>
    </w:p>
    <w:p>
      <w:pPr>
        <w:pStyle w:val="BodyText"/>
        <w:spacing w:line="218" w:lineRule="auto" w:before="93"/>
      </w:pPr>
      <w:r>
        <w:rPr>
          <w:color w:val="231F20"/>
        </w:rPr>
        <w:t>Art. 9:11. De vereniging is verbonden door de handelingen van het bestuursorgaan, van de dagelijks bestuurders en van de bestuurders die overeenkomstig artikel 9:7, § 2, de bevoegdheid hebben om haar te vertegenwoordigen, zelfs indien die handelingen buiten haar voorwerp liggen, tenzij de vereniging bewijst dat de derde daarvan op de hoogte was of er, gezien de omstandigheden, niet onkundig van kon zijn; bekendmaking van de statuten alleen is echter geen voldoende bewijs.</w:t>
      </w:r>
    </w:p>
    <w:p>
      <w:pPr>
        <w:pStyle w:val="BodyText"/>
        <w:spacing w:line="338" w:lineRule="auto" w:before="82"/>
        <w:ind w:left="283" w:right="1262" w:firstLine="0"/>
        <w:jc w:val="left"/>
      </w:pPr>
      <w:r>
        <w:rPr>
          <w:color w:val="231F20"/>
        </w:rPr>
        <w:t>HOOFDSTUK 2. De algemene vergadering van leden. Afdeling 1. Gemeenschappelijke bepalingen.</w:t>
      </w:r>
    </w:p>
    <w:p>
      <w:pPr>
        <w:pStyle w:val="BodyText"/>
        <w:spacing w:line="192" w:lineRule="exact"/>
        <w:ind w:left="283" w:right="0" w:firstLine="0"/>
        <w:jc w:val="left"/>
      </w:pPr>
      <w:r>
        <w:rPr>
          <w:color w:val="231F20"/>
          <w:w w:val="105"/>
        </w:rPr>
        <w:t>Onderafdeling 1. Bevoegdheden.</w:t>
      </w:r>
    </w:p>
    <w:p>
      <w:pPr>
        <w:pStyle w:val="BodyText"/>
        <w:spacing w:line="338" w:lineRule="auto" w:before="79"/>
        <w:ind w:left="283" w:right="280" w:firstLine="0"/>
        <w:jc w:val="left"/>
      </w:pPr>
      <w:r>
        <w:rPr>
          <w:color w:val="231F20"/>
        </w:rPr>
        <w:t>Art. 9:12. Een besluit van de algemene vergadering is vereist voor:  1° de</w:t>
      </w:r>
      <w:r>
        <w:rPr>
          <w:color w:val="231F20"/>
          <w:spacing w:val="-11"/>
        </w:rPr>
        <w:t> </w:t>
      </w:r>
      <w:r>
        <w:rPr>
          <w:color w:val="231F20"/>
        </w:rPr>
        <w:t>statutenwijziging;</w:t>
      </w:r>
    </w:p>
    <w:p>
      <w:pPr>
        <w:pStyle w:val="BodyText"/>
        <w:spacing w:line="218" w:lineRule="auto" w:before="13"/>
      </w:pPr>
      <w:r>
        <w:rPr>
          <w:color w:val="231F20"/>
        </w:rPr>
        <w:t>2° de benoeming en de afzetting van de bestuurders en de bepaling van hun bezoldiging ingeval een bezoldiging wordt toegekend;</w:t>
      </w:r>
    </w:p>
    <w:p>
      <w:pPr>
        <w:pStyle w:val="BodyText"/>
        <w:spacing w:line="218" w:lineRule="auto" w:before="96"/>
      </w:pPr>
      <w:r>
        <w:rPr>
          <w:color w:val="231F20"/>
        </w:rPr>
        <w:t>3° de benoeming en de afzetting van de commissaris en de bepaling van zijn bezoldiging;</w:t>
      </w:r>
    </w:p>
    <w:p>
      <w:pPr>
        <w:pStyle w:val="BodyText"/>
        <w:spacing w:line="218" w:lineRule="auto" w:before="107"/>
        <w:ind w:right="125"/>
      </w:pPr>
      <w:r>
        <w:rPr>
          <w:color w:val="231F20"/>
        </w:rPr>
        <w:t>4° de kwijting aan de bestuurders en de commissaris, alsook, in voorkomend geval, het instellen van de verenigingsvordering tegen de bestuurders en de commissarissen;</w:t>
      </w:r>
    </w:p>
    <w:p>
      <w:pPr>
        <w:pStyle w:val="BodyText"/>
        <w:spacing w:line="350" w:lineRule="auto" w:before="92"/>
        <w:ind w:left="283" w:right="707" w:hanging="1"/>
        <w:jc w:val="left"/>
      </w:pPr>
      <w:r>
        <w:rPr>
          <w:color w:val="231F20"/>
        </w:rPr>
        <w:t>5° de goedkeuring van de jaarrekening en van de begroting; 6°</w:t>
      </w:r>
      <w:r>
        <w:rPr>
          <w:color w:val="231F20"/>
          <w:spacing w:val="15"/>
        </w:rPr>
        <w:t> </w:t>
      </w:r>
      <w:r>
        <w:rPr>
          <w:color w:val="231F20"/>
        </w:rPr>
        <w:t>de</w:t>
      </w:r>
      <w:r>
        <w:rPr>
          <w:color w:val="231F20"/>
          <w:spacing w:val="16"/>
        </w:rPr>
        <w:t> </w:t>
      </w:r>
      <w:r>
        <w:rPr>
          <w:color w:val="231F20"/>
        </w:rPr>
        <w:t>ontbinding</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vereniging;</w:t>
      </w:r>
    </w:p>
    <w:p>
      <w:pPr>
        <w:pStyle w:val="BodyText"/>
        <w:spacing w:before="1"/>
        <w:ind w:left="283" w:right="0" w:firstLine="0"/>
        <w:jc w:val="left"/>
      </w:pPr>
      <w:r>
        <w:rPr>
          <w:color w:val="231F20"/>
        </w:rPr>
        <w:t>7° de uitsluiting van een lid;</w:t>
      </w:r>
    </w:p>
    <w:p>
      <w:pPr>
        <w:pStyle w:val="BodyText"/>
        <w:spacing w:line="218" w:lineRule="auto" w:before="104"/>
      </w:pPr>
      <w:r>
        <w:rPr>
          <w:color w:val="231F20"/>
        </w:rPr>
        <w:t>8° de omzetting van de VZW in een IVZW, een coöperatieve vennootschap erkend als sociale onderneming of in een erkende coöperatieve vennootschap sociale onderneming;</w:t>
      </w:r>
    </w:p>
    <w:p>
      <w:pPr>
        <w:pStyle w:val="BodyText"/>
        <w:spacing w:line="218" w:lineRule="auto" w:before="106"/>
      </w:pPr>
      <w:r>
        <w:rPr>
          <w:color w:val="231F20"/>
        </w:rPr>
        <w:t>9° om een inbreng om niet van een algemeenheid te doen of te aanvaarden;</w:t>
      </w:r>
    </w:p>
    <w:p>
      <w:pPr>
        <w:pStyle w:val="BodyText"/>
        <w:spacing w:line="350" w:lineRule="auto" w:before="93"/>
        <w:ind w:left="283" w:right="0" w:hanging="1"/>
        <w:jc w:val="left"/>
      </w:pPr>
      <w:r>
        <w:rPr>
          <w:color w:val="231F20"/>
        </w:rPr>
        <w:t>10° alle andere gevallen waarin de wet of de statuten dat vereisen. Onderafdeling 2. Bijeenroeping van de algemene vergadering.</w:t>
      </w:r>
    </w:p>
    <w:p>
      <w:pPr>
        <w:pStyle w:val="BodyText"/>
        <w:spacing w:line="218" w:lineRule="auto" w:before="15"/>
      </w:pPr>
      <w:r>
        <w:rPr>
          <w:color w:val="231F20"/>
        </w:rPr>
        <w:t>Art. 9:13. Het bestuursorgaan roept de algemene vergadering bijeen in de gevallen bepaald bij de wet of de statuten of wanneer ten minste één vijfde van de leden het vraagt.</w:t>
      </w:r>
    </w:p>
    <w:p>
      <w:pPr>
        <w:pStyle w:val="BodyText"/>
        <w:spacing w:line="218" w:lineRule="auto" w:before="107"/>
      </w:pPr>
      <w:r>
        <w:rPr>
          <w:color w:val="231F20"/>
        </w:rPr>
        <w:t>In voorkomend geval kan de commissaris de algemene vergadering bijeenroepen. Hij moet die bijeenroepen wanneer een vijfde van de leden van de vereniging het vragen.</w:t>
      </w:r>
    </w:p>
    <w:p>
      <w:pPr>
        <w:pStyle w:val="BodyText"/>
        <w:spacing w:line="218" w:lineRule="auto" w:before="107"/>
        <w:ind w:right="123"/>
      </w:pPr>
      <w:r>
        <w:rPr>
          <w:color w:val="231F20"/>
        </w:rPr>
        <w:t>Het bestuursorgaan of, in voorkomend geval, de commissaris, roept de algemene vergadering bijeen binnen eenentwintig dagen na het verzoek tot bijeenroeping en de algemene vergadering wordt uiterlijk gehouden op de veertigste dag na dit verzoek, tenzij de statuten anders bepalen.</w:t>
      </w:r>
    </w:p>
    <w:p>
      <w:pPr>
        <w:pStyle w:val="BodyText"/>
        <w:spacing w:line="218" w:lineRule="auto" w:before="107"/>
      </w:pPr>
      <w:r>
        <w:rPr>
          <w:color w:val="231F20"/>
        </w:rPr>
        <w:t>Art. 9:14. Alle leden, bestuurders en commissarissen worden ten minste vijftien dagen vóór de algemene vergadering opgeroepen. De agenda wordt bij de oproeping gevoegd. Elk door ten minste één twintigste van de leden ondertekend voorstel wordt op de agenda gebracht.</w:t>
      </w:r>
    </w:p>
    <w:p>
      <w:pPr>
        <w:pStyle w:val="BodyText"/>
        <w:spacing w:line="218" w:lineRule="auto" w:before="107"/>
      </w:pPr>
      <w:r>
        <w:rPr>
          <w:color w:val="231F20"/>
        </w:rPr>
        <w:t>Aan de leden, de bestuurders en de commissarissen die erom verzoeken wordt onverwijld en kosteloos een kopie verzonden van de stukken die krachtens dit wetboek aan de algemene vergadering moeten worden</w:t>
      </w:r>
      <w:r>
        <w:rPr>
          <w:color w:val="231F20"/>
          <w:spacing w:val="-10"/>
        </w:rPr>
        <w:t> </w:t>
      </w:r>
      <w:r>
        <w:rPr>
          <w:color w:val="231F20"/>
        </w:rPr>
        <w:t>voorgelegd.</w:t>
      </w:r>
    </w:p>
    <w:p>
      <w:pPr>
        <w:pStyle w:val="BodyText"/>
        <w:spacing w:before="93"/>
        <w:ind w:left="283" w:right="0" w:firstLine="0"/>
        <w:jc w:val="left"/>
      </w:pPr>
      <w:r>
        <w:rPr>
          <w:color w:val="231F20"/>
        </w:rPr>
        <w:t>Onderafdeling 3. Deelneming aan de algemene vergadering.</w:t>
      </w:r>
    </w:p>
    <w:p>
      <w:pPr>
        <w:pStyle w:val="BodyText"/>
        <w:spacing w:line="218" w:lineRule="auto" w:before="103"/>
      </w:pPr>
      <w:r>
        <w:rPr>
          <w:color w:val="231F20"/>
        </w:rPr>
        <w:t>Art. 9:15. De leden kunnen zich op de algemene vergadering laten vertegenwoordigen door een ander lid of, indien de statuten het toelaten, door een persoon die geen lid is.</w:t>
      </w:r>
    </w:p>
    <w:p>
      <w:pPr>
        <w:pStyle w:val="BodyText"/>
        <w:spacing w:line="218" w:lineRule="auto" w:before="107"/>
      </w:pPr>
      <w:r>
        <w:rPr>
          <w:color w:val="231F20"/>
        </w:rPr>
        <w:t>Art. 9:16. Wanneer de algemene vergadering beraadslaagt op grond van een door de commissaris opgesteld verslag, neemt hij deel aan de vergadering.</w:t>
      </w:r>
    </w:p>
    <w:p>
      <w:pPr>
        <w:pStyle w:val="BodyText"/>
        <w:spacing w:before="93"/>
        <w:ind w:left="283" w:right="0" w:firstLine="0"/>
        <w:jc w:val="left"/>
      </w:pPr>
      <w:r>
        <w:rPr>
          <w:color w:val="231F20"/>
        </w:rPr>
        <w:t>Onderafdeling 4. Verloop van de algemene vergadering.</w:t>
      </w:r>
    </w:p>
    <w:p>
      <w:pPr>
        <w:pStyle w:val="BodyText"/>
        <w:spacing w:line="218" w:lineRule="auto" w:before="103"/>
      </w:pPr>
      <w:r>
        <w:rPr>
          <w:color w:val="231F20"/>
        </w:rPr>
        <w:t>Art. 9:17. Tenzij de statuten anders bepalen, heeft ieder lid op de algemene vergadering een gelijk stemrecht.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6184" from="298.170502pt,64.473pt" to="298.170502pt,812.819pt" stroked="true" strokeweight=".533pt" strokecolor="#231f20">
            <v:stroke dashstyle="solid"/>
            <w10:wrap type="none"/>
          </v:line>
        </w:pict>
      </w:r>
      <w:bookmarkStart w:name="_bookmark215" w:id="221"/>
      <w:bookmarkEnd w:id="221"/>
      <w:r>
        <w:rPr/>
      </w:r>
      <w:r>
        <w:rPr>
          <w:color w:val="231F20"/>
        </w:rPr>
        <w:t>Art. 9:18. Les administrateurs répondent aux questions qui leur sont posées par les membres, oralement ou par écrit, avant ou pendant l’assemblée générale, et qui sont en lien avec les points de l’ordre du jour. Ils peuvent, dans l’intérêt de l’association, refuser de répondre aux questions lorsque la communication de certaines données ou de certains faits peut porter préjudice à l’association ou est contraire aux clauses de confidentialité contractées par l’association.</w:t>
      </w:r>
    </w:p>
    <w:p>
      <w:pPr>
        <w:pStyle w:val="BodyText"/>
        <w:spacing w:line="218" w:lineRule="auto" w:before="107"/>
        <w:ind w:right="38"/>
      </w:pPr>
      <w:r>
        <w:rPr>
          <w:color w:val="231F20"/>
        </w:rPr>
        <w:t>Le commissaire répond aux questions qui lui sont posées par les membres, oralement ou par écrit, avant ou pendant l’assemblée générale, et qui sont en lien avec les points de l’ordre du jour à propos desquels il fait rapport. Il peut, dans l’intérêt de l’association, refuser de répondre aux questions lorsque la communication de certaines données ou de certains faits peut porter préjudice à l’association ou est contraire au secret professionnel auquel il est tenu ou aux clauses de confiden- tialité contractées par l’association. Il a le droit de prendre la parole à l’assemblée générale en relation avec l’accomplissement de sa mission.</w:t>
      </w:r>
    </w:p>
    <w:p>
      <w:pPr>
        <w:pStyle w:val="BodyText"/>
        <w:spacing w:line="218" w:lineRule="auto" w:before="107"/>
        <w:ind w:right="38"/>
      </w:pPr>
      <w:r>
        <w:rPr>
          <w:color w:val="231F20"/>
        </w:rPr>
        <w:t>Les administrateurs et le commissaire peuvent donner une réponse groupée à différentes questions portant sur le même sujet.</w:t>
      </w:r>
    </w:p>
    <w:p>
      <w:pPr>
        <w:pStyle w:val="BodyText"/>
        <w:spacing w:before="93"/>
        <w:ind w:left="283" w:right="0" w:firstLine="0"/>
        <w:jc w:val="left"/>
      </w:pPr>
      <w:r>
        <w:rPr>
          <w:color w:val="231F20"/>
        </w:rPr>
        <w:t>Section 2. L’assemblée générale ordinaire.</w:t>
      </w:r>
    </w:p>
    <w:p>
      <w:pPr>
        <w:pStyle w:val="BodyText"/>
        <w:spacing w:line="218" w:lineRule="auto" w:before="103"/>
        <w:ind w:right="38"/>
      </w:pPr>
      <w:r>
        <w:rPr>
          <w:color w:val="231F20"/>
        </w:rPr>
        <w:t>Art. 9:19. L’organe d’administration expose la situation financière et l’exécution du budget.</w:t>
      </w:r>
    </w:p>
    <w:p>
      <w:pPr>
        <w:pStyle w:val="BodyText"/>
        <w:spacing w:line="218" w:lineRule="auto" w:before="107"/>
        <w:ind w:right="38"/>
      </w:pPr>
      <w:r>
        <w:rPr>
          <w:color w:val="231F20"/>
        </w:rPr>
        <w:t>Art. 9:20. Après l’approbation des comptes annuels, l’assemblée générale se prononce par un vote spécial sur la décharge des administrateurs et du commissaire. Cette décharge n’est valable que si les comptes annuels ne contiennent ni omission, ni indication fausse dissimulant la situation réelle de l’association et, quant aux actes faits en dehors des statuts ou en contravention du présent code, que s’ils ont été spécialement indiqués dans la convocation.</w:t>
      </w:r>
    </w:p>
    <w:p>
      <w:pPr>
        <w:pStyle w:val="BodyText"/>
        <w:spacing w:before="7"/>
        <w:ind w:left="0" w:right="0" w:firstLine="0"/>
        <w:jc w:val="left"/>
        <w:rPr>
          <w:sz w:val="24"/>
        </w:rPr>
      </w:pPr>
    </w:p>
    <w:p>
      <w:pPr>
        <w:pStyle w:val="BodyText"/>
        <w:ind w:left="283" w:right="0" w:firstLine="0"/>
        <w:jc w:val="left"/>
      </w:pPr>
      <w:r>
        <w:rPr>
          <w:color w:val="231F20"/>
        </w:rPr>
        <w:t>Section 3. L’assemblée générale extraordinaire.</w:t>
      </w:r>
    </w:p>
    <w:p>
      <w:pPr>
        <w:pStyle w:val="BodyText"/>
        <w:spacing w:line="218" w:lineRule="auto" w:before="114"/>
        <w:ind w:right="38"/>
      </w:pPr>
      <w:r>
        <w:rPr>
          <w:color w:val="231F20"/>
        </w:rPr>
        <w:t>Art. 9:21. L’assemblée générale ne peut valablement délibérer et statuer sur les modifications statutaires que si les modifications proposées sont indiquées avec précision dans la convocation et si au moins deux tiers des membres sont présents ou représentés à l’assem- blée.</w:t>
      </w:r>
    </w:p>
    <w:p>
      <w:pPr>
        <w:pStyle w:val="BodyText"/>
        <w:spacing w:line="218" w:lineRule="auto" w:before="118"/>
        <w:ind w:right="38"/>
      </w:pPr>
      <w:r>
        <w:rPr>
          <w:color w:val="231F20"/>
        </w:rPr>
        <w:t>Si cette dernière condition n’est pas remplie, une seconde convoca- tion sera nécessaire et la nouvelle assemblée délibérera et statuera valablement, quel que soit le nombre de membres présents ou représentés. La seconde assemblée ne peut être tenue dans les quinze jours après la première assemblée.</w:t>
      </w:r>
    </w:p>
    <w:p>
      <w:pPr>
        <w:pStyle w:val="BodyText"/>
        <w:spacing w:line="218" w:lineRule="auto" w:before="118"/>
        <w:ind w:right="38"/>
      </w:pPr>
      <w:r>
        <w:rPr>
          <w:color w:val="231F20"/>
        </w:rPr>
        <w:t>Aucune modification n’est admise que si elle a réuni les deux tiers des voix exprimées sans qu’il soit tenu compte des abstentions au numérateur ni au</w:t>
      </w:r>
      <w:r>
        <w:rPr>
          <w:color w:val="231F20"/>
          <w:spacing w:val="3"/>
        </w:rPr>
        <w:t> </w:t>
      </w:r>
      <w:r>
        <w:rPr>
          <w:color w:val="231F20"/>
        </w:rPr>
        <w:t>dénominateur.</w:t>
      </w:r>
    </w:p>
    <w:p>
      <w:pPr>
        <w:pStyle w:val="BodyText"/>
        <w:spacing w:line="218" w:lineRule="auto" w:before="117"/>
        <w:ind w:right="38"/>
      </w:pPr>
      <w:r>
        <w:rPr>
          <w:color w:val="231F20"/>
        </w:rPr>
        <w:t>Toutefois, la modification qui porte sur l’objet ou le but désintéressé de l’association, peut seulement être adoptée à la majorité des quatre cinquièmes des voix des membres présents ou représentés, sans qu’il soit tenu compte des abstentions au numérateur ni au dénominateur.</w:t>
      </w:r>
    </w:p>
    <w:p>
      <w:pPr>
        <w:pStyle w:val="BodyText"/>
        <w:spacing w:before="7"/>
        <w:ind w:left="0" w:right="0" w:firstLine="0"/>
        <w:jc w:val="left"/>
        <w:rPr>
          <w:sz w:val="24"/>
        </w:rPr>
      </w:pPr>
    </w:p>
    <w:p>
      <w:pPr>
        <w:pStyle w:val="BodyText"/>
        <w:ind w:left="284" w:right="0" w:firstLine="0"/>
        <w:jc w:val="left"/>
      </w:pPr>
      <w:r>
        <w:rPr>
          <w:color w:val="231F20"/>
        </w:rPr>
        <w:t>TITRE 3. Libéralités.</w:t>
      </w:r>
    </w:p>
    <w:p>
      <w:pPr>
        <w:pStyle w:val="BodyText"/>
        <w:spacing w:line="218" w:lineRule="auto" w:before="114"/>
        <w:ind w:right="38"/>
      </w:pPr>
      <w:r>
        <w:rPr>
          <w:color w:val="231F20"/>
        </w:rPr>
        <w:t>Art. 9:22. A l’exception des dons manuels, toute libération entre vifs au profit de l’association dont la valeur excède 100 000 euro doit être autorisée par le ministre de la Justice ou son délégué.</w:t>
      </w:r>
    </w:p>
    <w:p>
      <w:pPr>
        <w:pStyle w:val="BodyText"/>
        <w:spacing w:line="218" w:lineRule="auto" w:before="117"/>
        <w:ind w:right="38"/>
      </w:pPr>
      <w:r>
        <w:rPr>
          <w:color w:val="231F20"/>
        </w:rPr>
        <w:t>La libéralité est réputée autorisée si le ministre de la Justice ou son délégué n’a pas réagi dans un délai de trois mois à dater de la demande d’autorisation qui lui est adressée.</w:t>
      </w:r>
    </w:p>
    <w:p>
      <w:pPr>
        <w:pStyle w:val="BodyText"/>
        <w:spacing w:before="9"/>
        <w:ind w:left="0" w:right="0" w:firstLine="0"/>
        <w:jc w:val="left"/>
        <w:rPr>
          <w:sz w:val="25"/>
        </w:rPr>
      </w:pPr>
    </w:p>
    <w:p>
      <w:pPr>
        <w:pStyle w:val="BodyText"/>
        <w:spacing w:line="218" w:lineRule="auto" w:before="1"/>
        <w:ind w:right="38"/>
      </w:pPr>
      <w:r>
        <w:rPr>
          <w:color w:val="231F20"/>
        </w:rPr>
        <w:t>Le ministre de la Justice détermine les pièces qui doivent être jointes à la demande.</w:t>
      </w:r>
    </w:p>
    <w:p>
      <w:pPr>
        <w:pStyle w:val="BodyText"/>
        <w:spacing w:line="218" w:lineRule="auto" w:before="117"/>
        <w:ind w:right="38"/>
      </w:pPr>
      <w:r>
        <w:rPr>
          <w:color w:val="231F20"/>
        </w:rPr>
        <w:t>Si le dossier communiqué par l’association est incomplet, le ministre de la Justice ou son délégué en informe l’association par lettre recommandée en indiquant les pièces manquantes. Le délai de trois mois est suspendu à la date de cet envoi jusqu’à la communication de l’ensemble des pièces sollicitées.</w:t>
      </w:r>
    </w:p>
    <w:p>
      <w:pPr>
        <w:pStyle w:val="BodyText"/>
        <w:spacing w:before="9"/>
        <w:ind w:left="0" w:right="0" w:firstLine="0"/>
        <w:jc w:val="left"/>
        <w:rPr>
          <w:sz w:val="25"/>
        </w:rPr>
      </w:pPr>
    </w:p>
    <w:p>
      <w:pPr>
        <w:pStyle w:val="BodyText"/>
        <w:spacing w:line="218" w:lineRule="auto" w:before="1"/>
        <w:ind w:right="38"/>
      </w:pPr>
      <w:r>
        <w:rPr>
          <w:color w:val="231F20"/>
        </w:rPr>
        <w:t>L’autorisation peut seulement être accordée si l’association s’est conformée aux dispositions de l’article 2:9.</w:t>
      </w:r>
    </w:p>
    <w:p>
      <w:pPr>
        <w:pStyle w:val="BodyText"/>
        <w:spacing w:line="218" w:lineRule="auto" w:before="102"/>
        <w:ind w:right="40" w:firstLine="171"/>
      </w:pPr>
      <w:r>
        <w:rPr>
          <w:color w:val="231F20"/>
        </w:rPr>
        <w:t>Le montant visé à l’alinéa 1</w:t>
      </w:r>
      <w:r>
        <w:rPr>
          <w:color w:val="231F20"/>
          <w:position w:val="7"/>
          <w:sz w:val="11"/>
        </w:rPr>
        <w:t>er </w:t>
      </w:r>
      <w:r>
        <w:rPr>
          <w:color w:val="231F20"/>
        </w:rPr>
        <w:t>peut être modifié par arrêté royal délibéré en Conseil des ministres.</w:t>
      </w:r>
    </w:p>
    <w:p>
      <w:pPr>
        <w:pStyle w:val="BodyText"/>
        <w:spacing w:before="103"/>
        <w:ind w:left="283" w:right="0" w:firstLine="0"/>
        <w:jc w:val="left"/>
      </w:pPr>
      <w:r>
        <w:rPr>
          <w:color w:val="231F20"/>
        </w:rPr>
        <w:t>TITRE 4. Démission et exclusion de membres.</w:t>
      </w:r>
    </w:p>
    <w:p>
      <w:pPr>
        <w:pStyle w:val="BodyText"/>
        <w:spacing w:line="218" w:lineRule="auto" w:before="114"/>
        <w:ind w:right="38"/>
      </w:pPr>
      <w:r>
        <w:rPr>
          <w:color w:val="231F20"/>
        </w:rPr>
        <w:t>Art. 9:23. Tout membre de l’association est libre de se retirer de celle-ci en adressant sa démission à l’organe d’administration. Sans préjudice de l’article 2:9, § 2, 5°, un membre qui ne paie pas les cotisations peut être réputé démissionnaire.</w:t>
      </w:r>
    </w:p>
    <w:p>
      <w:pPr>
        <w:pStyle w:val="BodyText"/>
        <w:spacing w:line="218" w:lineRule="auto" w:before="119"/>
      </w:pPr>
      <w:r>
        <w:rPr/>
        <w:br w:type="column"/>
      </w:r>
      <w:r>
        <w:rPr>
          <w:color w:val="231F20"/>
        </w:rPr>
        <w:t>Art. 9:18. De bestuurders geven antwoord op de vragen die hun door de leden, vooraf of tijdens de vergadering, mondeling of schriftelijk, worden gesteld en die verband houden met de agendapunten. Zij kunnen, in het belang van de vereniging, weigeren op vragen te antwoorden wanneer de mededeling van bepaalde gegevens of feiten  de vereniging schade kan berokkenen of in strijd is met de door de vereniging aangegane</w:t>
      </w:r>
      <w:r>
        <w:rPr>
          <w:color w:val="231F20"/>
          <w:spacing w:val="-7"/>
        </w:rPr>
        <w:t> </w:t>
      </w:r>
      <w:r>
        <w:rPr>
          <w:color w:val="231F20"/>
        </w:rPr>
        <w:t>vertrouwelijkheidsclausules.</w:t>
      </w:r>
    </w:p>
    <w:p>
      <w:pPr>
        <w:pStyle w:val="BodyText"/>
        <w:spacing w:line="218" w:lineRule="auto" w:before="108"/>
      </w:pPr>
      <w:r>
        <w:rPr>
          <w:color w:val="231F20"/>
        </w:rPr>
        <w:t>De commissaris geeft antwoord op de vragen die hem door de leden, vooraf of tijdens de vergadering, mondeling of schriftelijk, worden gesteld en die verband houden met de agendapunten waarover hij verslag uitbrengt. Hij kan, in het belang van de vereniging, weigeren op vragen te antwoorden wanneer de mededeling van bepaalde gegevens of feiten de vereniging schade kan berokkenen of in strijd is met zijn beroepsgeheim of met door de vereniging aangegane vertrouwelijk- heidsclausules. Hij heeft het recht ter algemene vergadering het woord te</w:t>
      </w:r>
      <w:r>
        <w:rPr>
          <w:color w:val="231F20"/>
          <w:spacing w:val="16"/>
        </w:rPr>
        <w:t> </w:t>
      </w:r>
      <w:r>
        <w:rPr>
          <w:color w:val="231F20"/>
        </w:rPr>
        <w:t>voeren</w:t>
      </w:r>
      <w:r>
        <w:rPr>
          <w:color w:val="231F20"/>
          <w:spacing w:val="17"/>
        </w:rPr>
        <w:t> </w:t>
      </w:r>
      <w:r>
        <w:rPr>
          <w:color w:val="231F20"/>
        </w:rPr>
        <w:t>in</w:t>
      </w:r>
      <w:r>
        <w:rPr>
          <w:color w:val="231F20"/>
          <w:spacing w:val="17"/>
        </w:rPr>
        <w:t> </w:t>
      </w:r>
      <w:r>
        <w:rPr>
          <w:color w:val="231F20"/>
        </w:rPr>
        <w:t>verband</w:t>
      </w:r>
      <w:r>
        <w:rPr>
          <w:color w:val="231F20"/>
          <w:spacing w:val="17"/>
        </w:rPr>
        <w:t> </w:t>
      </w:r>
      <w:r>
        <w:rPr>
          <w:color w:val="231F20"/>
        </w:rPr>
        <w:t>met</w:t>
      </w:r>
      <w:r>
        <w:rPr>
          <w:color w:val="231F20"/>
          <w:spacing w:val="17"/>
        </w:rPr>
        <w:t> </w:t>
      </w:r>
      <w:r>
        <w:rPr>
          <w:color w:val="231F20"/>
        </w:rPr>
        <w:t>de</w:t>
      </w:r>
      <w:r>
        <w:rPr>
          <w:color w:val="231F20"/>
          <w:spacing w:val="16"/>
        </w:rPr>
        <w:t> </w:t>
      </w:r>
      <w:r>
        <w:rPr>
          <w:color w:val="231F20"/>
        </w:rPr>
        <w:t>vervulling</w:t>
      </w:r>
      <w:r>
        <w:rPr>
          <w:color w:val="231F20"/>
          <w:spacing w:val="17"/>
        </w:rPr>
        <w:t> </w:t>
      </w:r>
      <w:r>
        <w:rPr>
          <w:color w:val="231F20"/>
        </w:rPr>
        <w:t>van</w:t>
      </w:r>
      <w:r>
        <w:rPr>
          <w:color w:val="231F20"/>
          <w:spacing w:val="17"/>
        </w:rPr>
        <w:t> </w:t>
      </w:r>
      <w:r>
        <w:rPr>
          <w:color w:val="231F20"/>
        </w:rPr>
        <w:t>zijn</w:t>
      </w:r>
      <w:r>
        <w:rPr>
          <w:color w:val="231F20"/>
          <w:spacing w:val="17"/>
        </w:rPr>
        <w:t> </w:t>
      </w:r>
      <w:r>
        <w:rPr>
          <w:color w:val="231F20"/>
        </w:rPr>
        <w:t>taak.</w:t>
      </w:r>
    </w:p>
    <w:p>
      <w:pPr>
        <w:pStyle w:val="BodyText"/>
        <w:spacing w:line="218" w:lineRule="auto" w:before="107"/>
      </w:pPr>
      <w:r>
        <w:rPr>
          <w:color w:val="231F20"/>
        </w:rPr>
        <w:t>De bestuurders en de commissaris kunnen hun antwoord op verschillende vragen over hetzelfde onderwerp groeperen.</w:t>
      </w:r>
    </w:p>
    <w:p>
      <w:pPr>
        <w:pStyle w:val="BodyText"/>
        <w:spacing w:before="93"/>
        <w:ind w:left="283" w:right="0" w:firstLine="0"/>
        <w:jc w:val="left"/>
      </w:pPr>
      <w:r>
        <w:rPr>
          <w:color w:val="231F20"/>
        </w:rPr>
        <w:t>Afdeling 2. De gewone algemene vergadering.</w:t>
      </w:r>
    </w:p>
    <w:p>
      <w:pPr>
        <w:pStyle w:val="BodyText"/>
        <w:spacing w:line="218" w:lineRule="auto" w:before="103"/>
      </w:pPr>
      <w:r>
        <w:rPr>
          <w:color w:val="231F20"/>
        </w:rPr>
        <w:t>Art. 9:19. Het bestuursorgaan licht de financiële toestand en de uitvoering van de begroting toe.</w:t>
      </w:r>
    </w:p>
    <w:p>
      <w:pPr>
        <w:pStyle w:val="BodyText"/>
        <w:spacing w:line="218" w:lineRule="auto" w:before="107"/>
      </w:pPr>
      <w:r>
        <w:rPr>
          <w:color w:val="231F20"/>
        </w:rPr>
        <w:t>Art. 9:20. Na de goedkeuring van de jaarrekening, beslist de algemene vergadering bij afzonderlijke stemming over de aan de bestuurders en commissaris te verlenen kwijting. Deze kwijting is alleen dan rechtsgeldig, wanneer de ware toestand van de vereniging niet wordt verborgen door enige weglating of onjuiste opgave in de jaarrekening, en, wat de extrastatutaire of met dit wetboek strijdige verrichtingen betreft, wanneer deze bepaaldelijk zijn aangegeven in de oproeping.</w:t>
      </w:r>
    </w:p>
    <w:p>
      <w:pPr>
        <w:pStyle w:val="BodyText"/>
        <w:spacing w:before="104"/>
        <w:ind w:left="283" w:right="0" w:firstLine="0"/>
        <w:jc w:val="left"/>
      </w:pPr>
      <w:r>
        <w:rPr>
          <w:color w:val="231F20"/>
        </w:rPr>
        <w:t>Afdeling 3. De buitengewone algemene vergadering.</w:t>
      </w:r>
    </w:p>
    <w:p>
      <w:pPr>
        <w:pStyle w:val="BodyText"/>
        <w:spacing w:line="218" w:lineRule="auto" w:before="114"/>
      </w:pPr>
      <w:r>
        <w:rPr>
          <w:color w:val="231F20"/>
        </w:rPr>
        <w:t>Art. 9:21. De algemene vergadering kan over statutenwijzigingen alleen dan op geldige wijze beraadslagen en besluiten, wanneer de voorgestelde wijzigingen nauwkeurig zijn aangegeven in de oproeping en wanneer ten minste twee derde van de leden op de vergadering aanwezig of vertegenwoordigd zijn.</w:t>
      </w:r>
    </w:p>
    <w:p>
      <w:pPr>
        <w:pStyle w:val="BodyText"/>
        <w:spacing w:line="218" w:lineRule="auto" w:before="117"/>
      </w:pPr>
      <w:r>
        <w:rPr>
          <w:color w:val="231F20"/>
          <w:w w:val="105"/>
        </w:rPr>
        <w:t>Is deze laatste voorwaarde niet vervuld, dan is een tweede bijeen- roeping nodig en de nieuwe vergadering beraadslaagt en besluit op geldige wijze, ongeacht het aantal aanwezige of vertegenwoordigde leden.</w:t>
      </w:r>
      <w:r>
        <w:rPr>
          <w:color w:val="231F20"/>
          <w:spacing w:val="-7"/>
          <w:w w:val="105"/>
        </w:rPr>
        <w:t> </w:t>
      </w:r>
      <w:r>
        <w:rPr>
          <w:color w:val="231F20"/>
          <w:w w:val="105"/>
        </w:rPr>
        <w:t>De</w:t>
      </w:r>
      <w:r>
        <w:rPr>
          <w:color w:val="231F20"/>
          <w:spacing w:val="-7"/>
          <w:w w:val="105"/>
        </w:rPr>
        <w:t> </w:t>
      </w:r>
      <w:r>
        <w:rPr>
          <w:color w:val="231F20"/>
          <w:w w:val="105"/>
        </w:rPr>
        <w:t>tweede</w:t>
      </w:r>
      <w:r>
        <w:rPr>
          <w:color w:val="231F20"/>
          <w:spacing w:val="-7"/>
          <w:w w:val="105"/>
        </w:rPr>
        <w:t> </w:t>
      </w:r>
      <w:r>
        <w:rPr>
          <w:color w:val="231F20"/>
          <w:w w:val="105"/>
        </w:rPr>
        <w:t>vergadering</w:t>
      </w:r>
      <w:r>
        <w:rPr>
          <w:color w:val="231F20"/>
          <w:spacing w:val="-7"/>
          <w:w w:val="105"/>
        </w:rPr>
        <w:t> </w:t>
      </w:r>
      <w:r>
        <w:rPr>
          <w:color w:val="231F20"/>
          <w:w w:val="105"/>
        </w:rPr>
        <w:t>mag</w:t>
      </w:r>
      <w:r>
        <w:rPr>
          <w:color w:val="231F20"/>
          <w:spacing w:val="-7"/>
          <w:w w:val="105"/>
        </w:rPr>
        <w:t> </w:t>
      </w:r>
      <w:r>
        <w:rPr>
          <w:color w:val="231F20"/>
          <w:w w:val="105"/>
        </w:rPr>
        <w:t>niet</w:t>
      </w:r>
      <w:r>
        <w:rPr>
          <w:color w:val="231F20"/>
          <w:spacing w:val="-7"/>
          <w:w w:val="105"/>
        </w:rPr>
        <w:t> </w:t>
      </w:r>
      <w:r>
        <w:rPr>
          <w:color w:val="231F20"/>
          <w:w w:val="105"/>
        </w:rPr>
        <w:t>binnen</w:t>
      </w:r>
      <w:r>
        <w:rPr>
          <w:color w:val="231F20"/>
          <w:spacing w:val="-7"/>
          <w:w w:val="105"/>
        </w:rPr>
        <w:t> </w:t>
      </w:r>
      <w:r>
        <w:rPr>
          <w:color w:val="231F20"/>
          <w:w w:val="105"/>
        </w:rPr>
        <w:t>vijftien</w:t>
      </w:r>
      <w:r>
        <w:rPr>
          <w:color w:val="231F20"/>
          <w:spacing w:val="-7"/>
          <w:w w:val="105"/>
        </w:rPr>
        <w:t> </w:t>
      </w:r>
      <w:r>
        <w:rPr>
          <w:color w:val="231F20"/>
          <w:w w:val="105"/>
        </w:rPr>
        <w:t>dagen</w:t>
      </w:r>
      <w:r>
        <w:rPr>
          <w:color w:val="231F20"/>
          <w:spacing w:val="-7"/>
          <w:w w:val="105"/>
        </w:rPr>
        <w:t> </w:t>
      </w:r>
      <w:r>
        <w:rPr>
          <w:color w:val="231F20"/>
          <w:w w:val="105"/>
        </w:rPr>
        <w:t>volgend op de eerste vergadering worden</w:t>
      </w:r>
      <w:r>
        <w:rPr>
          <w:color w:val="231F20"/>
          <w:spacing w:val="10"/>
          <w:w w:val="105"/>
        </w:rPr>
        <w:t> </w:t>
      </w:r>
      <w:r>
        <w:rPr>
          <w:color w:val="231F20"/>
          <w:w w:val="105"/>
        </w:rPr>
        <w:t>gehouden.</w:t>
      </w:r>
    </w:p>
    <w:p>
      <w:pPr>
        <w:pStyle w:val="BodyText"/>
        <w:spacing w:line="218" w:lineRule="auto" w:before="118"/>
        <w:ind w:right="123"/>
      </w:pPr>
      <w:r>
        <w:rPr>
          <w:color w:val="231F20"/>
        </w:rPr>
        <w:t>Een wijziging is alleen dan aangenomen, wanneer zij twee derde van de uitgebrachte stemmen heeft verkregen waarbij onthoudingen noch in</w:t>
      </w:r>
      <w:r>
        <w:rPr>
          <w:color w:val="231F20"/>
          <w:spacing w:val="15"/>
        </w:rPr>
        <w:t> </w:t>
      </w:r>
      <w:r>
        <w:rPr>
          <w:color w:val="231F20"/>
        </w:rPr>
        <w:t>de</w:t>
      </w:r>
      <w:r>
        <w:rPr>
          <w:color w:val="231F20"/>
          <w:spacing w:val="16"/>
        </w:rPr>
        <w:t> </w:t>
      </w:r>
      <w:r>
        <w:rPr>
          <w:color w:val="231F20"/>
        </w:rPr>
        <w:t>teller</w:t>
      </w:r>
      <w:r>
        <w:rPr>
          <w:color w:val="231F20"/>
          <w:spacing w:val="16"/>
        </w:rPr>
        <w:t> </w:t>
      </w:r>
      <w:r>
        <w:rPr>
          <w:color w:val="231F20"/>
        </w:rPr>
        <w:t>noch</w:t>
      </w:r>
      <w:r>
        <w:rPr>
          <w:color w:val="231F20"/>
          <w:spacing w:val="16"/>
        </w:rPr>
        <w:t> </w:t>
      </w:r>
      <w:r>
        <w:rPr>
          <w:color w:val="231F20"/>
        </w:rPr>
        <w:t>in</w:t>
      </w:r>
      <w:r>
        <w:rPr>
          <w:color w:val="231F20"/>
          <w:spacing w:val="16"/>
        </w:rPr>
        <w:t> </w:t>
      </w:r>
      <w:r>
        <w:rPr>
          <w:color w:val="231F20"/>
        </w:rPr>
        <w:t>de</w:t>
      </w:r>
      <w:r>
        <w:rPr>
          <w:color w:val="231F20"/>
          <w:spacing w:val="15"/>
        </w:rPr>
        <w:t> </w:t>
      </w:r>
      <w:r>
        <w:rPr>
          <w:color w:val="231F20"/>
        </w:rPr>
        <w:t>noemer</w:t>
      </w:r>
      <w:r>
        <w:rPr>
          <w:color w:val="231F20"/>
          <w:spacing w:val="16"/>
        </w:rPr>
        <w:t> </w:t>
      </w:r>
      <w:r>
        <w:rPr>
          <w:color w:val="231F20"/>
        </w:rPr>
        <w:t>worden</w:t>
      </w:r>
      <w:r>
        <w:rPr>
          <w:color w:val="231F20"/>
          <w:spacing w:val="16"/>
        </w:rPr>
        <w:t> </w:t>
      </w:r>
      <w:r>
        <w:rPr>
          <w:color w:val="231F20"/>
        </w:rPr>
        <w:t>meegerekend.</w:t>
      </w:r>
    </w:p>
    <w:p>
      <w:pPr>
        <w:pStyle w:val="BodyText"/>
        <w:spacing w:line="218" w:lineRule="auto" w:before="118"/>
      </w:pPr>
      <w:r>
        <w:rPr>
          <w:color w:val="231F20"/>
        </w:rPr>
        <w:t>Indien de statutenwijziging echter betrekking heeft op het voorwerp of het belangeloos doel van de vereniging, is zij alleen dan aangeno- men, wanneer zij vier vijfde van de uitgebrachte stemmen heeft verkregen, waarbij onthoudingen in de teller noch in de noemer worden</w:t>
      </w:r>
      <w:r>
        <w:rPr>
          <w:color w:val="231F20"/>
          <w:spacing w:val="15"/>
        </w:rPr>
        <w:t> </w:t>
      </w:r>
      <w:r>
        <w:rPr>
          <w:color w:val="231F20"/>
        </w:rPr>
        <w:t>meegerekend.</w:t>
      </w:r>
    </w:p>
    <w:p>
      <w:pPr>
        <w:pStyle w:val="BodyText"/>
        <w:spacing w:before="103"/>
        <w:ind w:left="283" w:right="0" w:firstLine="0"/>
        <w:jc w:val="left"/>
      </w:pPr>
      <w:r>
        <w:rPr>
          <w:color w:val="231F20"/>
        </w:rPr>
        <w:t>TITEL 3. Giften.</w:t>
      </w:r>
    </w:p>
    <w:p>
      <w:pPr>
        <w:pStyle w:val="BodyText"/>
        <w:spacing w:line="218" w:lineRule="auto" w:before="114"/>
        <w:ind w:right="122"/>
      </w:pPr>
      <w:r>
        <w:rPr>
          <w:color w:val="231F20"/>
        </w:rPr>
        <w:t>Art. 9:22. Met uitzondering van handgiften, behoeft elke gift onder</w:t>
      </w:r>
      <w:r>
        <w:rPr>
          <w:color w:val="231F20"/>
          <w:spacing w:val="-17"/>
        </w:rPr>
        <w:t> </w:t>
      </w:r>
      <w:r>
        <w:rPr>
          <w:color w:val="231F20"/>
        </w:rPr>
        <w:t>de </w:t>
      </w:r>
      <w:r>
        <w:rPr>
          <w:color w:val="231F20"/>
          <w:spacing w:val="-3"/>
        </w:rPr>
        <w:t>levenden</w:t>
      </w:r>
      <w:r>
        <w:rPr>
          <w:color w:val="231F20"/>
          <w:spacing w:val="-9"/>
        </w:rPr>
        <w:t> </w:t>
      </w:r>
      <w:r>
        <w:rPr>
          <w:color w:val="231F20"/>
        </w:rPr>
        <w:t>aan</w:t>
      </w:r>
      <w:r>
        <w:rPr>
          <w:color w:val="231F20"/>
          <w:spacing w:val="-8"/>
        </w:rPr>
        <w:t> </w:t>
      </w:r>
      <w:r>
        <w:rPr>
          <w:color w:val="231F20"/>
        </w:rPr>
        <w:t>de</w:t>
      </w:r>
      <w:r>
        <w:rPr>
          <w:color w:val="231F20"/>
          <w:spacing w:val="-8"/>
        </w:rPr>
        <w:t> </w:t>
      </w:r>
      <w:r>
        <w:rPr>
          <w:color w:val="231F20"/>
          <w:spacing w:val="-3"/>
        </w:rPr>
        <w:t>vereniging</w:t>
      </w:r>
      <w:r>
        <w:rPr>
          <w:color w:val="231F20"/>
          <w:spacing w:val="-8"/>
        </w:rPr>
        <w:t> </w:t>
      </w:r>
      <w:r>
        <w:rPr>
          <w:color w:val="231F20"/>
          <w:spacing w:val="-3"/>
        </w:rPr>
        <w:t>waarvan</w:t>
      </w:r>
      <w:r>
        <w:rPr>
          <w:color w:val="231F20"/>
          <w:spacing w:val="-8"/>
        </w:rPr>
        <w:t> </w:t>
      </w:r>
      <w:r>
        <w:rPr>
          <w:color w:val="231F20"/>
        </w:rPr>
        <w:t>de</w:t>
      </w:r>
      <w:r>
        <w:rPr>
          <w:color w:val="231F20"/>
          <w:spacing w:val="-8"/>
        </w:rPr>
        <w:t> </w:t>
      </w:r>
      <w:r>
        <w:rPr>
          <w:color w:val="231F20"/>
          <w:spacing w:val="-3"/>
        </w:rPr>
        <w:t>waarde</w:t>
      </w:r>
      <w:r>
        <w:rPr>
          <w:color w:val="231F20"/>
          <w:spacing w:val="-8"/>
        </w:rPr>
        <w:t> </w:t>
      </w:r>
      <w:r>
        <w:rPr>
          <w:color w:val="231F20"/>
          <w:spacing w:val="-3"/>
        </w:rPr>
        <w:t>hoger</w:t>
      </w:r>
      <w:r>
        <w:rPr>
          <w:color w:val="231F20"/>
          <w:spacing w:val="-8"/>
        </w:rPr>
        <w:t> </w:t>
      </w:r>
      <w:r>
        <w:rPr>
          <w:color w:val="231F20"/>
        </w:rPr>
        <w:t>is</w:t>
      </w:r>
      <w:r>
        <w:rPr>
          <w:color w:val="231F20"/>
          <w:spacing w:val="-8"/>
        </w:rPr>
        <w:t> </w:t>
      </w:r>
      <w:r>
        <w:rPr>
          <w:color w:val="231F20"/>
        </w:rPr>
        <w:t>dan</w:t>
      </w:r>
      <w:r>
        <w:rPr>
          <w:color w:val="231F20"/>
          <w:spacing w:val="-8"/>
        </w:rPr>
        <w:t> </w:t>
      </w:r>
      <w:r>
        <w:rPr>
          <w:color w:val="231F20"/>
        </w:rPr>
        <w:t>100</w:t>
      </w:r>
      <w:r>
        <w:rPr>
          <w:color w:val="231F20"/>
          <w:spacing w:val="-8"/>
        </w:rPr>
        <w:t> </w:t>
      </w:r>
      <w:r>
        <w:rPr>
          <w:color w:val="231F20"/>
        </w:rPr>
        <w:t>000</w:t>
      </w:r>
      <w:r>
        <w:rPr>
          <w:color w:val="231F20"/>
          <w:spacing w:val="-8"/>
        </w:rPr>
        <w:t> </w:t>
      </w:r>
      <w:r>
        <w:rPr>
          <w:color w:val="231F20"/>
          <w:spacing w:val="-3"/>
        </w:rPr>
        <w:t>euro </w:t>
      </w:r>
      <w:r>
        <w:rPr>
          <w:color w:val="231F20"/>
        </w:rPr>
        <w:t>een machtiging door de minister van Justitie of zijn</w:t>
      </w:r>
      <w:r>
        <w:rPr>
          <w:color w:val="231F20"/>
          <w:spacing w:val="22"/>
        </w:rPr>
        <w:t> </w:t>
      </w:r>
      <w:r>
        <w:rPr>
          <w:color w:val="231F20"/>
        </w:rPr>
        <w:t>vertegenwoordiger.</w:t>
      </w:r>
    </w:p>
    <w:p>
      <w:pPr>
        <w:pStyle w:val="BodyText"/>
        <w:spacing w:line="218" w:lineRule="auto" w:before="118"/>
      </w:pPr>
      <w:r>
        <w:rPr>
          <w:color w:val="231F20"/>
        </w:rPr>
        <w:t>De gift wordt geacht te zijn gemachtigd indien de minister van Justitie of zijn vertegenwoordiger niet heeft gereageerd binnen een termijn van drie maanden te rekenen van het aan hem gerichte verzoek tot machtiging.</w:t>
      </w:r>
    </w:p>
    <w:p>
      <w:pPr>
        <w:pStyle w:val="BodyText"/>
        <w:spacing w:line="218" w:lineRule="auto" w:before="117"/>
      </w:pPr>
      <w:r>
        <w:rPr>
          <w:color w:val="231F20"/>
        </w:rPr>
        <w:t>De minister van Justitie bepaalt welke stukken bij het verzoek moeten worden</w:t>
      </w:r>
      <w:r>
        <w:rPr>
          <w:color w:val="231F20"/>
          <w:spacing w:val="-10"/>
        </w:rPr>
        <w:t> </w:t>
      </w:r>
      <w:r>
        <w:rPr>
          <w:color w:val="231F20"/>
        </w:rPr>
        <w:t>gevoegd.</w:t>
      </w:r>
    </w:p>
    <w:p>
      <w:pPr>
        <w:pStyle w:val="BodyText"/>
        <w:spacing w:line="218" w:lineRule="auto" w:before="118"/>
      </w:pPr>
      <w:r>
        <w:rPr>
          <w:color w:val="231F20"/>
        </w:rPr>
        <w:t>Ingeval het door de vereniging toegezonden dossier niet volledig is, stelt de minister van Justitie of zijn vertegenwoordiger de vereniging daarvan bij aangetekende brief in kennis, met vermelding van de ontbrekende stukken. De termijn van drie maanden wordt opgeschort met ingang van de datum van die verzending tot aan de toezending   van alle gevraagde</w:t>
      </w:r>
      <w:r>
        <w:rPr>
          <w:color w:val="231F20"/>
          <w:spacing w:val="6"/>
        </w:rPr>
        <w:t> </w:t>
      </w:r>
      <w:r>
        <w:rPr>
          <w:color w:val="231F20"/>
        </w:rPr>
        <w:t>stukken.</w:t>
      </w:r>
    </w:p>
    <w:p>
      <w:pPr>
        <w:pStyle w:val="BodyText"/>
        <w:spacing w:line="218" w:lineRule="auto" w:before="118"/>
      </w:pPr>
      <w:r>
        <w:rPr>
          <w:color w:val="231F20"/>
        </w:rPr>
        <w:t>De machtiging kan enkel worden verleend indien de vereniging heeft voldaan aan de bepalingen van artikel 2:9.</w:t>
      </w:r>
    </w:p>
    <w:p>
      <w:pPr>
        <w:pStyle w:val="BodyText"/>
        <w:spacing w:line="218" w:lineRule="auto" w:before="117"/>
      </w:pPr>
      <w:r>
        <w:rPr>
          <w:color w:val="231F20"/>
        </w:rPr>
        <w:t>Het bedrag bedoeld in het eerste lid kan worden gewijzigd bij een in Ministerraad overlegd koninklijk besluit.</w:t>
      </w:r>
    </w:p>
    <w:p>
      <w:pPr>
        <w:pStyle w:val="BodyText"/>
        <w:spacing w:before="104"/>
        <w:ind w:left="283" w:right="0" w:firstLine="0"/>
        <w:jc w:val="left"/>
      </w:pPr>
      <w:r>
        <w:rPr>
          <w:color w:val="231F20"/>
        </w:rPr>
        <w:t>TITEL 4. Uittreding en uitsluiting van leden.</w:t>
      </w:r>
    </w:p>
    <w:p>
      <w:pPr>
        <w:pStyle w:val="BodyText"/>
        <w:spacing w:line="218" w:lineRule="auto" w:before="114"/>
      </w:pPr>
      <w:r>
        <w:rPr>
          <w:color w:val="231F20"/>
        </w:rPr>
        <w:t>Art. 9:23. Elk lid van de vereniging is vrij uit te treden door zijn ontslag in te dienen bij het bestuursorgaan. Onverminderd artikel 2:9,</w:t>
      </w:r>
    </w:p>
    <w:p>
      <w:pPr>
        <w:pStyle w:val="BodyText"/>
        <w:spacing w:line="218" w:lineRule="auto"/>
        <w:ind w:right="169" w:firstLine="0"/>
        <w:jc w:val="left"/>
      </w:pPr>
      <w:r>
        <w:rPr>
          <w:color w:val="231F20"/>
        </w:rPr>
        <w:t>§ 2, 5°, kan een lid dat zijn bijdrage niet betaalt, worden geacht ontslag te nemen.</w:t>
      </w:r>
    </w:p>
    <w:p>
      <w:pPr>
        <w:spacing w:after="0" w:line="218" w:lineRule="auto"/>
        <w:jc w:val="left"/>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6208" from="298.170502pt,64.473pt" to="298.170502pt,812.819pt" stroked="true" strokeweight=".533pt" strokecolor="#231f20">
            <v:stroke dashstyle="solid"/>
            <w10:wrap type="none"/>
          </v:line>
        </w:pict>
      </w:r>
      <w:bookmarkStart w:name="_bookmark216" w:id="222"/>
      <w:bookmarkEnd w:id="222"/>
      <w:r>
        <w:rPr/>
      </w:r>
      <w:r>
        <w:rPr>
          <w:color w:val="231F20"/>
        </w:rPr>
        <w:t>L’exclusion d’un membre doit être indiquée dans la convocation. Le membre doit être entendu. L’exclusion ne peut être prononcée que par l’assemblée générale, dans le respect des conditions de quorum et de majorité requises pour la modification des statuts.</w:t>
      </w:r>
    </w:p>
    <w:p>
      <w:pPr>
        <w:pStyle w:val="BodyText"/>
        <w:spacing w:before="11"/>
        <w:ind w:left="0" w:right="0" w:firstLine="0"/>
        <w:jc w:val="left"/>
        <w:rPr>
          <w:sz w:val="22"/>
        </w:rPr>
      </w:pPr>
    </w:p>
    <w:p>
      <w:pPr>
        <w:pStyle w:val="BodyText"/>
        <w:spacing w:line="218" w:lineRule="auto"/>
        <w:ind w:right="38"/>
      </w:pPr>
      <w:r>
        <w:rPr>
          <w:color w:val="231F20"/>
        </w:rPr>
        <w:t>Un membre démissionnaire ou exclu ne peut prétendre aux avoirs de l’association et ne peut réclamer le remboursement des cotisations qu’il a versées. Les statuts peuvent néanmoins prévoir que les membres ont un droit de reprise de leur apport.</w:t>
      </w:r>
    </w:p>
    <w:p>
      <w:pPr>
        <w:pStyle w:val="BodyText"/>
        <w:spacing w:before="72"/>
        <w:ind w:left="283" w:right="0" w:firstLine="0"/>
        <w:jc w:val="left"/>
      </w:pPr>
      <w:r>
        <w:rPr>
          <w:color w:val="231F20"/>
        </w:rPr>
        <w:t>TITRE 5. Agrément de l’ASBL comme union professionnelle.</w:t>
      </w:r>
    </w:p>
    <w:p>
      <w:pPr>
        <w:pStyle w:val="BodyText"/>
        <w:spacing w:line="218" w:lineRule="auto" w:before="67"/>
        <w:ind w:right="38"/>
      </w:pPr>
      <w:r>
        <w:rPr>
          <w:color w:val="231F20"/>
        </w:rPr>
        <w:t>Art. 9:24. § 1</w:t>
      </w:r>
      <w:r>
        <w:rPr>
          <w:color w:val="231F20"/>
          <w:position w:val="7"/>
          <w:sz w:val="11"/>
        </w:rPr>
        <w:t>er</w:t>
      </w:r>
      <w:r>
        <w:rPr>
          <w:color w:val="231F20"/>
        </w:rPr>
        <w:t>. Une ASBL qui est exclusivement créée pour l’étude, la protection et le développement des intérêts professionnels de ses membres peut être agréée par le ministre qui a les Classes moyennes dans ses attributions en qualité d’“union professionnelle” ou de “fédération d’unions professionnelles”.</w:t>
      </w:r>
    </w:p>
    <w:p>
      <w:pPr>
        <w:pStyle w:val="BodyText"/>
        <w:spacing w:line="211" w:lineRule="auto" w:before="90"/>
        <w:ind w:right="38"/>
      </w:pPr>
      <w:r>
        <w:rPr>
          <w:color w:val="231F20"/>
        </w:rPr>
        <w:t>§ 2. L’agrément est seulement accordé à une ASBL dont l’objet est conforme au paragraphe 1</w:t>
      </w:r>
      <w:r>
        <w:rPr>
          <w:color w:val="231F20"/>
          <w:position w:val="7"/>
          <w:sz w:val="11"/>
        </w:rPr>
        <w:t>er </w:t>
      </w:r>
      <w:r>
        <w:rPr>
          <w:color w:val="231F20"/>
        </w:rPr>
        <w:t>et qui n’exerce, elle-même, aucune profession ni aucun métier.</w:t>
      </w:r>
    </w:p>
    <w:p>
      <w:pPr>
        <w:pStyle w:val="BodyText"/>
        <w:spacing w:before="69"/>
        <w:ind w:left="283" w:right="0" w:firstLine="0"/>
        <w:jc w:val="left"/>
      </w:pPr>
      <w:r>
        <w:rPr>
          <w:color w:val="231F20"/>
        </w:rPr>
        <w:t>Lui sont toutefois autorisés:</w:t>
      </w:r>
    </w:p>
    <w:p>
      <w:pPr>
        <w:pStyle w:val="BodyText"/>
        <w:spacing w:line="218" w:lineRule="auto" w:before="82"/>
        <w:ind w:right="38"/>
      </w:pPr>
      <w:r>
        <w:rPr>
          <w:color w:val="231F20"/>
        </w:rPr>
        <w:t>1° les conventions, et notamment les achats et les ventes, nécessaires au fonctionnement de ses ateliers d’apprentissage;</w:t>
      </w:r>
    </w:p>
    <w:p>
      <w:pPr>
        <w:pStyle w:val="BodyText"/>
        <w:spacing w:line="218" w:lineRule="auto" w:before="86"/>
        <w:ind w:right="38"/>
      </w:pPr>
      <w:r>
        <w:rPr>
          <w:color w:val="231F20"/>
        </w:rPr>
        <w:t>2° les achats, pour la revente à ses membres, de matières premières, semences,</w:t>
      </w:r>
      <w:r>
        <w:rPr>
          <w:color w:val="231F20"/>
          <w:spacing w:val="-6"/>
        </w:rPr>
        <w:t> </w:t>
      </w:r>
      <w:r>
        <w:rPr>
          <w:color w:val="231F20"/>
        </w:rPr>
        <w:t>engrais,</w:t>
      </w:r>
      <w:r>
        <w:rPr>
          <w:color w:val="231F20"/>
          <w:spacing w:val="-5"/>
        </w:rPr>
        <w:t> </w:t>
      </w:r>
      <w:r>
        <w:rPr>
          <w:color w:val="231F20"/>
        </w:rPr>
        <w:t>bestiaux,</w:t>
      </w:r>
      <w:r>
        <w:rPr>
          <w:color w:val="231F20"/>
          <w:spacing w:val="-6"/>
        </w:rPr>
        <w:t> </w:t>
      </w:r>
      <w:r>
        <w:rPr>
          <w:color w:val="231F20"/>
        </w:rPr>
        <w:t>machines</w:t>
      </w:r>
      <w:r>
        <w:rPr>
          <w:color w:val="231F20"/>
          <w:spacing w:val="-5"/>
        </w:rPr>
        <w:t> </w:t>
      </w:r>
      <w:r>
        <w:rPr>
          <w:color w:val="231F20"/>
        </w:rPr>
        <w:t>et</w:t>
      </w:r>
      <w:r>
        <w:rPr>
          <w:color w:val="231F20"/>
          <w:spacing w:val="-6"/>
        </w:rPr>
        <w:t> </w:t>
      </w:r>
      <w:r>
        <w:rPr>
          <w:color w:val="231F20"/>
        </w:rPr>
        <w:t>autres</w:t>
      </w:r>
      <w:r>
        <w:rPr>
          <w:color w:val="231F20"/>
          <w:spacing w:val="-5"/>
        </w:rPr>
        <w:t> </w:t>
      </w:r>
      <w:r>
        <w:rPr>
          <w:color w:val="231F20"/>
        </w:rPr>
        <w:t>outils,</w:t>
      </w:r>
      <w:r>
        <w:rPr>
          <w:color w:val="231F20"/>
          <w:spacing w:val="-6"/>
        </w:rPr>
        <w:t> </w:t>
      </w:r>
      <w:r>
        <w:rPr>
          <w:color w:val="231F20"/>
        </w:rPr>
        <w:t>et,</w:t>
      </w:r>
      <w:r>
        <w:rPr>
          <w:color w:val="231F20"/>
          <w:spacing w:val="-5"/>
        </w:rPr>
        <w:t> </w:t>
      </w:r>
      <w:r>
        <w:rPr>
          <w:color w:val="231F20"/>
        </w:rPr>
        <w:t>généralement, de tous objets propres à l’exercice de la profession ou du métier de ces membres;</w:t>
      </w:r>
    </w:p>
    <w:p>
      <w:pPr>
        <w:pStyle w:val="BodyText"/>
        <w:spacing w:line="218" w:lineRule="auto" w:before="85"/>
        <w:ind w:right="38"/>
      </w:pPr>
      <w:r>
        <w:rPr>
          <w:color w:val="231F20"/>
        </w:rPr>
        <w:t>3° les achats de produits de la profession ou du métier de ses membres et leur revente;</w:t>
      </w:r>
    </w:p>
    <w:p>
      <w:pPr>
        <w:pStyle w:val="BodyText"/>
        <w:spacing w:line="218" w:lineRule="auto" w:before="86"/>
        <w:ind w:right="38"/>
      </w:pPr>
      <w:r>
        <w:rPr>
          <w:color w:val="231F20"/>
        </w:rPr>
        <w:t>4° toutes opérations de commission, pour ses membres, relatives aux actes prévus au présent alinéa, 2° et 3°;</w:t>
      </w:r>
    </w:p>
    <w:p>
      <w:pPr>
        <w:pStyle w:val="BodyText"/>
        <w:spacing w:line="218" w:lineRule="auto" w:before="85"/>
        <w:ind w:right="38"/>
      </w:pPr>
      <w:r>
        <w:rPr>
          <w:color w:val="231F20"/>
        </w:rPr>
        <w:t>5°</w:t>
      </w:r>
      <w:r>
        <w:rPr>
          <w:color w:val="231F20"/>
          <w:spacing w:val="-5"/>
        </w:rPr>
        <w:t> </w:t>
      </w:r>
      <w:r>
        <w:rPr>
          <w:color w:val="231F20"/>
        </w:rPr>
        <w:t>les</w:t>
      </w:r>
      <w:r>
        <w:rPr>
          <w:color w:val="231F20"/>
          <w:spacing w:val="-5"/>
        </w:rPr>
        <w:t> </w:t>
      </w:r>
      <w:r>
        <w:rPr>
          <w:color w:val="231F20"/>
        </w:rPr>
        <w:t>achats</w:t>
      </w:r>
      <w:r>
        <w:rPr>
          <w:color w:val="231F20"/>
          <w:spacing w:val="-5"/>
        </w:rPr>
        <w:t> </w:t>
      </w:r>
      <w:r>
        <w:rPr>
          <w:color w:val="231F20"/>
        </w:rPr>
        <w:t>de</w:t>
      </w:r>
      <w:r>
        <w:rPr>
          <w:color w:val="231F20"/>
          <w:spacing w:val="-4"/>
        </w:rPr>
        <w:t> </w:t>
      </w:r>
      <w:r>
        <w:rPr>
          <w:color w:val="231F20"/>
        </w:rPr>
        <w:t>bestiaux,</w:t>
      </w:r>
      <w:r>
        <w:rPr>
          <w:color w:val="231F20"/>
          <w:spacing w:val="-5"/>
        </w:rPr>
        <w:t> </w:t>
      </w:r>
      <w:r>
        <w:rPr>
          <w:color w:val="231F20"/>
        </w:rPr>
        <w:t>machines</w:t>
      </w:r>
      <w:r>
        <w:rPr>
          <w:color w:val="231F20"/>
          <w:spacing w:val="-5"/>
        </w:rPr>
        <w:t> </w:t>
      </w:r>
      <w:r>
        <w:rPr>
          <w:color w:val="231F20"/>
        </w:rPr>
        <w:t>et</w:t>
      </w:r>
      <w:r>
        <w:rPr>
          <w:color w:val="231F20"/>
          <w:spacing w:val="-5"/>
        </w:rPr>
        <w:t> </w:t>
      </w:r>
      <w:r>
        <w:rPr>
          <w:color w:val="231F20"/>
        </w:rPr>
        <w:t>autres</w:t>
      </w:r>
      <w:r>
        <w:rPr>
          <w:color w:val="231F20"/>
          <w:spacing w:val="-4"/>
        </w:rPr>
        <w:t> </w:t>
      </w:r>
      <w:r>
        <w:rPr>
          <w:color w:val="231F20"/>
        </w:rPr>
        <w:t>outils</w:t>
      </w:r>
      <w:r>
        <w:rPr>
          <w:color w:val="231F20"/>
          <w:spacing w:val="-5"/>
        </w:rPr>
        <w:t> </w:t>
      </w:r>
      <w:r>
        <w:rPr>
          <w:color w:val="231F20"/>
        </w:rPr>
        <w:t>et</w:t>
      </w:r>
      <w:r>
        <w:rPr>
          <w:color w:val="231F20"/>
          <w:spacing w:val="-5"/>
        </w:rPr>
        <w:t> </w:t>
      </w:r>
      <w:r>
        <w:rPr>
          <w:color w:val="231F20"/>
        </w:rPr>
        <w:t>généralement</w:t>
      </w:r>
      <w:r>
        <w:rPr>
          <w:color w:val="231F20"/>
          <w:spacing w:val="-5"/>
        </w:rPr>
        <w:t> </w:t>
      </w:r>
      <w:r>
        <w:rPr>
          <w:color w:val="231F20"/>
        </w:rPr>
        <w:t>de tous objets destinés à rester la propriété de l’association pour être mis  à l’usage de ses membres, par location ou autrement, en vue de l’exercice</w:t>
      </w:r>
      <w:r>
        <w:rPr>
          <w:color w:val="231F20"/>
          <w:spacing w:val="15"/>
        </w:rPr>
        <w:t> </w:t>
      </w:r>
      <w:r>
        <w:rPr>
          <w:color w:val="231F20"/>
        </w:rPr>
        <w:t>de</w:t>
      </w:r>
      <w:r>
        <w:rPr>
          <w:color w:val="231F20"/>
          <w:spacing w:val="15"/>
        </w:rPr>
        <w:t> </w:t>
      </w:r>
      <w:r>
        <w:rPr>
          <w:color w:val="231F20"/>
        </w:rPr>
        <w:t>leur</w:t>
      </w:r>
      <w:r>
        <w:rPr>
          <w:color w:val="231F20"/>
          <w:spacing w:val="15"/>
        </w:rPr>
        <w:t> </w:t>
      </w:r>
      <w:r>
        <w:rPr>
          <w:color w:val="231F20"/>
        </w:rPr>
        <w:t>profession</w:t>
      </w:r>
      <w:r>
        <w:rPr>
          <w:color w:val="231F20"/>
          <w:spacing w:val="15"/>
        </w:rPr>
        <w:t> </w:t>
      </w:r>
      <w:r>
        <w:rPr>
          <w:color w:val="231F20"/>
        </w:rPr>
        <w:t>ou</w:t>
      </w:r>
      <w:r>
        <w:rPr>
          <w:color w:val="231F20"/>
          <w:spacing w:val="15"/>
        </w:rPr>
        <w:t> </w:t>
      </w:r>
      <w:r>
        <w:rPr>
          <w:color w:val="231F20"/>
        </w:rPr>
        <w:t>de</w:t>
      </w:r>
      <w:r>
        <w:rPr>
          <w:color w:val="231F20"/>
          <w:spacing w:val="15"/>
        </w:rPr>
        <w:t> </w:t>
      </w:r>
      <w:r>
        <w:rPr>
          <w:color w:val="231F20"/>
        </w:rPr>
        <w:t>leur</w:t>
      </w:r>
      <w:r>
        <w:rPr>
          <w:color w:val="231F20"/>
          <w:spacing w:val="15"/>
        </w:rPr>
        <w:t> </w:t>
      </w:r>
      <w:r>
        <w:rPr>
          <w:color w:val="231F20"/>
        </w:rPr>
        <w:t>métier.</w:t>
      </w:r>
    </w:p>
    <w:p>
      <w:pPr>
        <w:pStyle w:val="BodyText"/>
        <w:ind w:left="0" w:right="0" w:firstLine="0"/>
        <w:jc w:val="left"/>
        <w:rPr>
          <w:sz w:val="23"/>
        </w:rPr>
      </w:pPr>
    </w:p>
    <w:p>
      <w:pPr>
        <w:pStyle w:val="BodyText"/>
        <w:spacing w:line="218" w:lineRule="auto"/>
        <w:ind w:right="38"/>
      </w:pPr>
      <w:r>
        <w:rPr>
          <w:color w:val="231F20"/>
        </w:rPr>
        <w:t>Pour être agréée, les statuts de l’association doivent en outre mentionner:</w:t>
      </w:r>
    </w:p>
    <w:p>
      <w:pPr>
        <w:pStyle w:val="BodyText"/>
        <w:spacing w:line="218" w:lineRule="auto" w:before="86"/>
        <w:ind w:right="38"/>
      </w:pPr>
      <w:r>
        <w:rPr>
          <w:color w:val="231F20"/>
        </w:rPr>
        <w:t>1° les conditions mises à l’entrée et à la sortie des diverses catégories de membres reconnues par les statuts; chaque membre a le droit de se retirer</w:t>
      </w:r>
      <w:r>
        <w:rPr>
          <w:color w:val="231F20"/>
          <w:spacing w:val="-7"/>
        </w:rPr>
        <w:t> </w:t>
      </w:r>
      <w:r>
        <w:rPr>
          <w:color w:val="231F20"/>
        </w:rPr>
        <w:t>à</w:t>
      </w:r>
      <w:r>
        <w:rPr>
          <w:color w:val="231F20"/>
          <w:spacing w:val="-7"/>
        </w:rPr>
        <w:t> </w:t>
      </w:r>
      <w:r>
        <w:rPr>
          <w:color w:val="231F20"/>
        </w:rPr>
        <w:t>tout</w:t>
      </w:r>
      <w:r>
        <w:rPr>
          <w:color w:val="231F20"/>
          <w:spacing w:val="-7"/>
        </w:rPr>
        <w:t> </w:t>
      </w:r>
      <w:r>
        <w:rPr>
          <w:color w:val="231F20"/>
        </w:rPr>
        <w:t>moment</w:t>
      </w:r>
      <w:r>
        <w:rPr>
          <w:color w:val="231F20"/>
          <w:spacing w:val="-7"/>
        </w:rPr>
        <w:t> </w:t>
      </w:r>
      <w:r>
        <w:rPr>
          <w:color w:val="231F20"/>
        </w:rPr>
        <w:t>de</w:t>
      </w:r>
      <w:r>
        <w:rPr>
          <w:color w:val="231F20"/>
          <w:spacing w:val="-7"/>
        </w:rPr>
        <w:t> </w:t>
      </w:r>
      <w:r>
        <w:rPr>
          <w:color w:val="231F20"/>
        </w:rPr>
        <w:t>l’association;</w:t>
      </w:r>
      <w:r>
        <w:rPr>
          <w:color w:val="231F20"/>
          <w:spacing w:val="-7"/>
        </w:rPr>
        <w:t> </w:t>
      </w:r>
      <w:r>
        <w:rPr>
          <w:color w:val="231F20"/>
        </w:rPr>
        <w:t>celle-ci</w:t>
      </w:r>
      <w:r>
        <w:rPr>
          <w:color w:val="231F20"/>
          <w:spacing w:val="-7"/>
        </w:rPr>
        <w:t> </w:t>
      </w:r>
      <w:r>
        <w:rPr>
          <w:color w:val="231F20"/>
        </w:rPr>
        <w:t>ne</w:t>
      </w:r>
      <w:r>
        <w:rPr>
          <w:color w:val="231F20"/>
          <w:spacing w:val="-7"/>
        </w:rPr>
        <w:t> </w:t>
      </w:r>
      <w:r>
        <w:rPr>
          <w:color w:val="231F20"/>
        </w:rPr>
        <w:t>peut,</w:t>
      </w:r>
      <w:r>
        <w:rPr>
          <w:color w:val="231F20"/>
          <w:spacing w:val="-7"/>
        </w:rPr>
        <w:t> </w:t>
      </w:r>
      <w:r>
        <w:rPr>
          <w:color w:val="231F20"/>
        </w:rPr>
        <w:t>le</w:t>
      </w:r>
      <w:r>
        <w:rPr>
          <w:color w:val="231F20"/>
          <w:spacing w:val="-7"/>
        </w:rPr>
        <w:t> </w:t>
      </w:r>
      <w:r>
        <w:rPr>
          <w:color w:val="231F20"/>
        </w:rPr>
        <w:t>cas</w:t>
      </w:r>
      <w:r>
        <w:rPr>
          <w:color w:val="231F20"/>
          <w:spacing w:val="-7"/>
        </w:rPr>
        <w:t> </w:t>
      </w:r>
      <w:r>
        <w:rPr>
          <w:color w:val="231F20"/>
        </w:rPr>
        <w:t>échéant,</w:t>
      </w:r>
      <w:r>
        <w:rPr>
          <w:color w:val="231F20"/>
          <w:spacing w:val="-7"/>
        </w:rPr>
        <w:t> </w:t>
      </w:r>
      <w:r>
        <w:rPr>
          <w:color w:val="231F20"/>
        </w:rPr>
        <w:t>lui réclamer</w:t>
      </w:r>
      <w:r>
        <w:rPr>
          <w:color w:val="231F20"/>
          <w:spacing w:val="13"/>
        </w:rPr>
        <w:t> </w:t>
      </w:r>
      <w:r>
        <w:rPr>
          <w:color w:val="231F20"/>
        </w:rPr>
        <w:t>que</w:t>
      </w:r>
      <w:r>
        <w:rPr>
          <w:color w:val="231F20"/>
          <w:spacing w:val="14"/>
        </w:rPr>
        <w:t> </w:t>
      </w:r>
      <w:r>
        <w:rPr>
          <w:color w:val="231F20"/>
        </w:rPr>
        <w:t>la</w:t>
      </w:r>
      <w:r>
        <w:rPr>
          <w:color w:val="231F20"/>
          <w:spacing w:val="14"/>
        </w:rPr>
        <w:t> </w:t>
      </w:r>
      <w:r>
        <w:rPr>
          <w:color w:val="231F20"/>
        </w:rPr>
        <w:t>cotisation</w:t>
      </w:r>
      <w:r>
        <w:rPr>
          <w:color w:val="231F20"/>
          <w:spacing w:val="14"/>
        </w:rPr>
        <w:t> </w:t>
      </w:r>
      <w:r>
        <w:rPr>
          <w:color w:val="231F20"/>
        </w:rPr>
        <w:t>échue</w:t>
      </w:r>
      <w:r>
        <w:rPr>
          <w:color w:val="231F20"/>
          <w:spacing w:val="14"/>
        </w:rPr>
        <w:t> </w:t>
      </w:r>
      <w:r>
        <w:rPr>
          <w:color w:val="231F20"/>
        </w:rPr>
        <w:t>et</w:t>
      </w:r>
      <w:r>
        <w:rPr>
          <w:color w:val="231F20"/>
          <w:spacing w:val="14"/>
        </w:rPr>
        <w:t> </w:t>
      </w:r>
      <w:r>
        <w:rPr>
          <w:color w:val="231F20"/>
        </w:rPr>
        <w:t>la</w:t>
      </w:r>
      <w:r>
        <w:rPr>
          <w:color w:val="231F20"/>
          <w:spacing w:val="14"/>
        </w:rPr>
        <w:t> </w:t>
      </w:r>
      <w:r>
        <w:rPr>
          <w:color w:val="231F20"/>
        </w:rPr>
        <w:t>cotisation</w:t>
      </w:r>
      <w:r>
        <w:rPr>
          <w:color w:val="231F20"/>
          <w:spacing w:val="13"/>
        </w:rPr>
        <w:t> </w:t>
      </w:r>
      <w:r>
        <w:rPr>
          <w:color w:val="231F20"/>
        </w:rPr>
        <w:t>courante;</w:t>
      </w:r>
    </w:p>
    <w:p>
      <w:pPr>
        <w:pStyle w:val="BodyText"/>
        <w:spacing w:line="218" w:lineRule="auto" w:before="85"/>
        <w:ind w:right="38"/>
      </w:pPr>
      <w:r>
        <w:rPr>
          <w:color w:val="231F20"/>
        </w:rPr>
        <w:t>2° les conditions auxquelles devront répondre les membres de l’organe d’administration et la durée de leur mandat, qui ne pourra excéder quatre ans et est toujours révocable par l’assemblée générale;</w:t>
      </w:r>
    </w:p>
    <w:p>
      <w:pPr>
        <w:pStyle w:val="BodyText"/>
        <w:ind w:left="0" w:right="0" w:firstLine="0"/>
        <w:jc w:val="left"/>
        <w:rPr>
          <w:sz w:val="23"/>
        </w:rPr>
      </w:pPr>
    </w:p>
    <w:p>
      <w:pPr>
        <w:pStyle w:val="BodyText"/>
        <w:spacing w:line="218" w:lineRule="auto"/>
        <w:ind w:right="38"/>
      </w:pPr>
      <w:r>
        <w:rPr>
          <w:color w:val="231F20"/>
        </w:rPr>
        <w:t>3° les sanctions que l’association édictera, le cas échéant, pour non-observation de ses règlements;</w:t>
      </w:r>
    </w:p>
    <w:p>
      <w:pPr>
        <w:pStyle w:val="BodyText"/>
        <w:spacing w:line="218" w:lineRule="auto" w:before="86"/>
        <w:ind w:right="38"/>
      </w:pPr>
      <w:r>
        <w:rPr>
          <w:color w:val="231F20"/>
        </w:rPr>
        <w:t>4° l’engagement de rechercher, de commun accord avec la partie adverse, les moyens de régler, soit par la conciliation, soit par l’arbitrage, tout différend intéressant l’association et portant sur les conditions de travail.</w:t>
      </w:r>
    </w:p>
    <w:p>
      <w:pPr>
        <w:pStyle w:val="BodyText"/>
        <w:spacing w:line="218" w:lineRule="auto" w:before="85"/>
        <w:ind w:right="38"/>
      </w:pPr>
      <w:r>
        <w:rPr>
          <w:color w:val="231F20"/>
        </w:rPr>
        <w:t>Les sanctions visées à l’alinéa 3, 3°, ne peuvent se rapporter à à des dispositions ou à des faits qui seraient de nature à porter atteinte aux droits des personnes étrangères à l’association.</w:t>
      </w:r>
    </w:p>
    <w:p>
      <w:pPr>
        <w:pStyle w:val="BodyText"/>
        <w:spacing w:line="218" w:lineRule="auto" w:before="86"/>
        <w:ind w:right="38"/>
      </w:pPr>
      <w:r>
        <w:rPr>
          <w:color w:val="231F20"/>
        </w:rPr>
        <w:t>Si l’agrément est demandé comme fédération d’unions profession- nelles, les statuts devront prévoir, par ailleurs, que les associations fédérées pourront à tout moment se retirer de la fédération moyennant un préavis de trois mois, ainsi que le mode de règlement de leur retrait.</w:t>
      </w:r>
    </w:p>
    <w:p>
      <w:pPr>
        <w:pStyle w:val="BodyText"/>
        <w:spacing w:before="9"/>
        <w:ind w:left="0" w:right="0" w:firstLine="0"/>
        <w:jc w:val="left"/>
        <w:rPr>
          <w:sz w:val="21"/>
        </w:rPr>
      </w:pPr>
    </w:p>
    <w:p>
      <w:pPr>
        <w:pStyle w:val="BodyText"/>
        <w:ind w:left="284" w:right="0" w:firstLine="0"/>
        <w:jc w:val="left"/>
      </w:pPr>
      <w:r>
        <w:rPr>
          <w:color w:val="231F20"/>
        </w:rPr>
        <w:t>§ 3. La procédure d’agrément est arrêtée par le Roi.</w:t>
      </w:r>
    </w:p>
    <w:p>
      <w:pPr>
        <w:pStyle w:val="BodyText"/>
        <w:spacing w:line="218" w:lineRule="auto" w:before="93"/>
        <w:ind w:right="38"/>
      </w:pPr>
      <w:r>
        <w:rPr>
          <w:color w:val="231F20"/>
        </w:rPr>
        <w:t>Art. 9:25. L’association agréée comme union professionnelle ou fédération d’unions professionnelles peut ester en justice, soit en demandant, soit en défendant, pour la défense des droits individuels que</w:t>
      </w:r>
      <w:r>
        <w:rPr>
          <w:color w:val="231F20"/>
          <w:spacing w:val="-7"/>
        </w:rPr>
        <w:t> </w:t>
      </w:r>
      <w:r>
        <w:rPr>
          <w:color w:val="231F20"/>
        </w:rPr>
        <w:t>ses</w:t>
      </w:r>
      <w:r>
        <w:rPr>
          <w:color w:val="231F20"/>
          <w:spacing w:val="-6"/>
        </w:rPr>
        <w:t> </w:t>
      </w:r>
      <w:r>
        <w:rPr>
          <w:color w:val="231F20"/>
        </w:rPr>
        <w:t>membres</w:t>
      </w:r>
      <w:r>
        <w:rPr>
          <w:color w:val="231F20"/>
          <w:spacing w:val="-6"/>
        </w:rPr>
        <w:t> </w:t>
      </w:r>
      <w:r>
        <w:rPr>
          <w:color w:val="231F20"/>
        </w:rPr>
        <w:t>tiennent</w:t>
      </w:r>
      <w:r>
        <w:rPr>
          <w:color w:val="231F20"/>
          <w:spacing w:val="-6"/>
        </w:rPr>
        <w:t> </w:t>
      </w:r>
      <w:r>
        <w:rPr>
          <w:color w:val="231F20"/>
        </w:rPr>
        <w:t>en</w:t>
      </w:r>
      <w:r>
        <w:rPr>
          <w:color w:val="231F20"/>
          <w:spacing w:val="-6"/>
        </w:rPr>
        <w:t> </w:t>
      </w:r>
      <w:r>
        <w:rPr>
          <w:color w:val="231F20"/>
        </w:rPr>
        <w:t>cette</w:t>
      </w:r>
      <w:r>
        <w:rPr>
          <w:color w:val="231F20"/>
          <w:spacing w:val="-6"/>
        </w:rPr>
        <w:t> </w:t>
      </w:r>
      <w:r>
        <w:rPr>
          <w:color w:val="231F20"/>
        </w:rPr>
        <w:t>qualité,</w:t>
      </w:r>
      <w:r>
        <w:rPr>
          <w:color w:val="231F20"/>
          <w:spacing w:val="-6"/>
        </w:rPr>
        <w:t> </w:t>
      </w:r>
      <w:r>
        <w:rPr>
          <w:color w:val="231F20"/>
        </w:rPr>
        <w:t>sans</w:t>
      </w:r>
      <w:r>
        <w:rPr>
          <w:color w:val="231F20"/>
          <w:spacing w:val="-6"/>
        </w:rPr>
        <w:t> </w:t>
      </w:r>
      <w:r>
        <w:rPr>
          <w:color w:val="231F20"/>
        </w:rPr>
        <w:t>préjudice</w:t>
      </w:r>
      <w:r>
        <w:rPr>
          <w:color w:val="231F20"/>
          <w:spacing w:val="-6"/>
        </w:rPr>
        <w:t> </w:t>
      </w:r>
      <w:r>
        <w:rPr>
          <w:color w:val="231F20"/>
        </w:rPr>
        <w:t>au</w:t>
      </w:r>
      <w:r>
        <w:rPr>
          <w:color w:val="231F20"/>
          <w:spacing w:val="-6"/>
        </w:rPr>
        <w:t> </w:t>
      </w:r>
      <w:r>
        <w:rPr>
          <w:color w:val="231F20"/>
        </w:rPr>
        <w:t>droit</w:t>
      </w:r>
      <w:r>
        <w:rPr>
          <w:color w:val="231F20"/>
          <w:spacing w:val="-6"/>
        </w:rPr>
        <w:t> </w:t>
      </w:r>
      <w:r>
        <w:rPr>
          <w:color w:val="231F20"/>
        </w:rPr>
        <w:t>de</w:t>
      </w:r>
      <w:r>
        <w:rPr>
          <w:color w:val="231F20"/>
          <w:spacing w:val="-6"/>
        </w:rPr>
        <w:t> </w:t>
      </w:r>
      <w:r>
        <w:rPr>
          <w:color w:val="231F20"/>
        </w:rPr>
        <w:t>ces membres d’agir directement, de se joindre à l’action ou d’intervenir en cours</w:t>
      </w:r>
      <w:r>
        <w:rPr>
          <w:color w:val="231F20"/>
          <w:spacing w:val="15"/>
        </w:rPr>
        <w:t> </w:t>
      </w:r>
      <w:r>
        <w:rPr>
          <w:color w:val="231F20"/>
        </w:rPr>
        <w:t>d’instance.</w:t>
      </w:r>
    </w:p>
    <w:p>
      <w:pPr>
        <w:pStyle w:val="BodyText"/>
        <w:spacing w:before="10"/>
        <w:ind w:left="0" w:right="0" w:firstLine="0"/>
        <w:jc w:val="left"/>
        <w:rPr>
          <w:sz w:val="23"/>
        </w:rPr>
      </w:pPr>
    </w:p>
    <w:p>
      <w:pPr>
        <w:pStyle w:val="BodyText"/>
        <w:spacing w:line="218" w:lineRule="auto"/>
        <w:ind w:right="38"/>
      </w:pPr>
      <w:r>
        <w:rPr>
          <w:color w:val="231F20"/>
        </w:rPr>
        <w:t>Il en est ainsi notamment des actions en exécution des contrats conclus par l’union pour ses membres et des actions en réparation du dommage causé par leur inexécution.</w:t>
      </w:r>
    </w:p>
    <w:p>
      <w:pPr>
        <w:pStyle w:val="BodyText"/>
        <w:ind w:left="0" w:right="0" w:firstLine="0"/>
        <w:jc w:val="left"/>
        <w:rPr>
          <w:sz w:val="24"/>
        </w:rPr>
      </w:pPr>
    </w:p>
    <w:p>
      <w:pPr>
        <w:pStyle w:val="BodyText"/>
        <w:spacing w:line="218" w:lineRule="auto"/>
        <w:ind w:right="38"/>
      </w:pPr>
      <w:r>
        <w:rPr>
          <w:color w:val="231F20"/>
        </w:rPr>
        <w:t>Art. 9:26. Tous les actes ou documents émanant de l’association agréée comme union professionnelle ou d’une fédération d’associations agréée comme union professionnelle portent la mention d’ASBL reconnue comme union professionnelle ou comme fédération d’unions professionnelles.</w:t>
      </w:r>
    </w:p>
    <w:p>
      <w:pPr>
        <w:pStyle w:val="BodyText"/>
        <w:spacing w:line="218" w:lineRule="auto" w:before="119"/>
      </w:pPr>
      <w:r>
        <w:rPr/>
        <w:br w:type="column"/>
      </w:r>
      <w:r>
        <w:rPr>
          <w:color w:val="231F20"/>
        </w:rPr>
        <w:t>De uitsluiting van een lid moet worden aangegeven in de oproeping. Het lid moet worden gehoord. De uitsluiting kan slechts door de algemene vergadering worden uitgesproken met naleving van de aanwezigheids- en meerderheidsvereisten voorgeschreven voor een statutenwijziging.</w:t>
      </w:r>
    </w:p>
    <w:p>
      <w:pPr>
        <w:pStyle w:val="BodyText"/>
        <w:spacing w:line="218" w:lineRule="auto" w:before="86"/>
      </w:pPr>
      <w:r>
        <w:rPr>
          <w:color w:val="231F20"/>
        </w:rPr>
        <w:t>Een ontslagnemend of uitgesloten lid heeft geen aanspraak op het bezit van de vereniging en kan betaalde bijdragen niet terugvorderen. De statuten kunnen evenwel bepalen dat de leden een recht op terugkeer van hun inbreng hebben.</w:t>
      </w:r>
    </w:p>
    <w:p>
      <w:pPr>
        <w:pStyle w:val="BodyText"/>
        <w:spacing w:before="72"/>
        <w:ind w:left="283" w:right="0" w:firstLine="0"/>
        <w:jc w:val="left"/>
      </w:pPr>
      <w:r>
        <w:rPr>
          <w:color w:val="231F20"/>
        </w:rPr>
        <w:t>TITEL 5. Erkenning van de VZW als beroepsvereniging.</w:t>
      </w:r>
    </w:p>
    <w:p>
      <w:pPr>
        <w:pStyle w:val="BodyText"/>
        <w:spacing w:line="218" w:lineRule="auto" w:before="82"/>
      </w:pPr>
      <w:r>
        <w:rPr>
          <w:color w:val="231F20"/>
        </w:rPr>
        <w:t>Art. 9:24. § 1. Een VZW uitsluitend gevormd voor de studie, de bescherming en de ontwikkeling van de beroepsbelangen van haar leden kan door de minister die Middenstand onder zijn bevoegdheid heeft, worden erkend als “beroepsvereniging” of “federatie van beroepsverenigingen”.</w:t>
      </w:r>
    </w:p>
    <w:p>
      <w:pPr>
        <w:pStyle w:val="BodyText"/>
        <w:spacing w:line="218" w:lineRule="auto" w:before="85"/>
      </w:pPr>
      <w:r>
        <w:rPr>
          <w:color w:val="231F20"/>
        </w:rPr>
        <w:t>§ 2. De erkenning wordt uitsluitend verleend aan een VZW waarvan het voorwerp in overeenstemming is met paragraaf 1 en die zelf beroep noch ambacht uitoefent.</w:t>
      </w:r>
    </w:p>
    <w:p>
      <w:pPr>
        <w:pStyle w:val="BodyText"/>
        <w:spacing w:before="72"/>
        <w:ind w:left="283" w:right="0" w:firstLine="0"/>
        <w:jc w:val="left"/>
      </w:pPr>
      <w:r>
        <w:rPr>
          <w:color w:val="231F20"/>
        </w:rPr>
        <w:t>Worden haar echter toegelaten:</w:t>
      </w:r>
    </w:p>
    <w:p>
      <w:pPr>
        <w:pStyle w:val="BodyText"/>
        <w:spacing w:line="218" w:lineRule="auto" w:before="82"/>
      </w:pPr>
      <w:r>
        <w:rPr>
          <w:color w:val="231F20"/>
        </w:rPr>
        <w:t>1° de overeenkomsten, en namelijk de aan- en verkopen nodig tot instandhouding van haar leerwerkhuizen;</w:t>
      </w:r>
    </w:p>
    <w:p>
      <w:pPr>
        <w:pStyle w:val="BodyText"/>
        <w:spacing w:line="218" w:lineRule="auto" w:before="85"/>
      </w:pPr>
      <w:r>
        <w:rPr>
          <w:color w:val="231F20"/>
        </w:rPr>
        <w:t>2° de aankopen, met het oog op doorverkoop aan haar leden, van grondstoffen, zaden, meststoffen, vee, machines en andere werktuigen, en, in het algemeen, van alle voorwerpen die tot de uitoefening van het beroep of het ambacht van deze leden behoren;</w:t>
      </w:r>
    </w:p>
    <w:p>
      <w:pPr>
        <w:pStyle w:val="BodyText"/>
        <w:spacing w:line="218" w:lineRule="auto" w:before="86"/>
      </w:pPr>
      <w:r>
        <w:rPr>
          <w:color w:val="231F20"/>
        </w:rPr>
        <w:t>3° de aankopen van de opbrengsten van het beroep of van het ambacht van haar leden, en hun doorverkoop;</w:t>
      </w:r>
    </w:p>
    <w:p>
      <w:pPr>
        <w:pStyle w:val="BodyText"/>
        <w:spacing w:line="218" w:lineRule="auto" w:before="86"/>
      </w:pPr>
      <w:r>
        <w:rPr>
          <w:color w:val="231F20"/>
        </w:rPr>
        <w:t>4° alle commissieverhandelingen, voor haar leden, betreffende de verrichtingen in dit lid, 2° en 3°;</w:t>
      </w:r>
    </w:p>
    <w:p>
      <w:pPr>
        <w:pStyle w:val="BodyText"/>
        <w:spacing w:line="218" w:lineRule="auto" w:before="85"/>
      </w:pPr>
      <w:r>
        <w:rPr>
          <w:color w:val="231F20"/>
        </w:rPr>
        <w:t>5° de aankopen van vee, machines en andere werktuigen, en, in het algemeen, van alle voorwerpen bestemd om de eigendom te blijven van de vereniging om te worden gebruikt door haar leden, bij verhuring of anders, met het oog op de uitoefening van hun beroep of van hun ambacht.</w:t>
      </w:r>
    </w:p>
    <w:p>
      <w:pPr>
        <w:pStyle w:val="BodyText"/>
        <w:spacing w:line="218" w:lineRule="auto" w:before="86"/>
      </w:pPr>
      <w:r>
        <w:rPr>
          <w:color w:val="231F20"/>
        </w:rPr>
        <w:t>Om te worden erkend moeten de statuten van de vereniging bovendien het volgende vermelden:</w:t>
      </w:r>
    </w:p>
    <w:p>
      <w:pPr>
        <w:pStyle w:val="BodyText"/>
        <w:spacing w:line="218" w:lineRule="auto" w:before="85"/>
      </w:pPr>
      <w:r>
        <w:rPr>
          <w:color w:val="231F20"/>
        </w:rPr>
        <w:t>1° de voorwaarden voor de in- en uittrede van de verschillende door de statuten erkende categorieën van leden; ieder lid heeft het recht te allen tijde de vereniging te verlaten; deze laatste kan, in voorkomend geval, slechts zijn vervallen en lopende bijdragen eisen;</w:t>
      </w:r>
    </w:p>
    <w:p>
      <w:pPr>
        <w:pStyle w:val="BodyText"/>
        <w:spacing w:line="218" w:lineRule="auto" w:before="86"/>
      </w:pPr>
      <w:r>
        <w:rPr>
          <w:color w:val="231F20"/>
        </w:rPr>
        <w:t>2° de voorwaarden waaraan de leden van het bestuursorgaan moeten voldoen en de duur van hun mandaat, dat niet langer mag zijn dan vier jaar en op elk ogenblik kan worden beëindigd door de algemene vergadering;</w:t>
      </w:r>
    </w:p>
    <w:p>
      <w:pPr>
        <w:pStyle w:val="BodyText"/>
        <w:spacing w:line="218" w:lineRule="auto" w:before="85"/>
      </w:pPr>
      <w:r>
        <w:rPr>
          <w:color w:val="231F20"/>
        </w:rPr>
        <w:t>3° de sancties die de vereniging in voorkomend geval oplegt bij niet-naleving van haar reglementen;</w:t>
      </w:r>
    </w:p>
    <w:p>
      <w:pPr>
        <w:pStyle w:val="BodyText"/>
        <w:spacing w:line="218" w:lineRule="auto" w:before="86"/>
        <w:ind w:right="125"/>
      </w:pPr>
      <w:r>
        <w:rPr>
          <w:color w:val="231F20"/>
        </w:rPr>
        <w:t>4° de verbintenis om, samen met de tegenpartij, de middelen te zoeken om hetzij bij verzoening, hetzij bij arbitrage ieder geschil over de</w:t>
      </w:r>
      <w:r>
        <w:rPr>
          <w:color w:val="231F20"/>
          <w:spacing w:val="18"/>
        </w:rPr>
        <w:t> </w:t>
      </w:r>
      <w:r>
        <w:rPr>
          <w:color w:val="231F20"/>
        </w:rPr>
        <w:t>werkvoorwaarden</w:t>
      </w:r>
      <w:r>
        <w:rPr>
          <w:color w:val="231F20"/>
          <w:spacing w:val="19"/>
        </w:rPr>
        <w:t> </w:t>
      </w:r>
      <w:r>
        <w:rPr>
          <w:color w:val="231F20"/>
        </w:rPr>
        <w:t>dat</w:t>
      </w:r>
      <w:r>
        <w:rPr>
          <w:color w:val="231F20"/>
          <w:spacing w:val="19"/>
        </w:rPr>
        <w:t> </w:t>
      </w:r>
      <w:r>
        <w:rPr>
          <w:color w:val="231F20"/>
        </w:rPr>
        <w:t>de</w:t>
      </w:r>
      <w:r>
        <w:rPr>
          <w:color w:val="231F20"/>
          <w:spacing w:val="19"/>
        </w:rPr>
        <w:t> </w:t>
      </w:r>
      <w:r>
        <w:rPr>
          <w:color w:val="231F20"/>
        </w:rPr>
        <w:t>vereniging</w:t>
      </w:r>
      <w:r>
        <w:rPr>
          <w:color w:val="231F20"/>
          <w:spacing w:val="18"/>
        </w:rPr>
        <w:t> </w:t>
      </w:r>
      <w:r>
        <w:rPr>
          <w:color w:val="231F20"/>
        </w:rPr>
        <w:t>aangaat</w:t>
      </w:r>
      <w:r>
        <w:rPr>
          <w:color w:val="231F20"/>
          <w:spacing w:val="19"/>
        </w:rPr>
        <w:t> </w:t>
      </w:r>
      <w:r>
        <w:rPr>
          <w:color w:val="231F20"/>
        </w:rPr>
        <w:t>te</w:t>
      </w:r>
      <w:r>
        <w:rPr>
          <w:color w:val="231F20"/>
          <w:spacing w:val="19"/>
        </w:rPr>
        <w:t> </w:t>
      </w:r>
      <w:r>
        <w:rPr>
          <w:color w:val="231F20"/>
        </w:rPr>
        <w:t>beslechten.</w:t>
      </w:r>
    </w:p>
    <w:p>
      <w:pPr>
        <w:pStyle w:val="BodyText"/>
        <w:ind w:left="0" w:right="0" w:firstLine="0"/>
        <w:jc w:val="left"/>
        <w:rPr>
          <w:sz w:val="23"/>
        </w:rPr>
      </w:pPr>
    </w:p>
    <w:p>
      <w:pPr>
        <w:pStyle w:val="BodyText"/>
        <w:spacing w:line="218" w:lineRule="auto"/>
      </w:pPr>
      <w:r>
        <w:rPr>
          <w:color w:val="231F20"/>
        </w:rPr>
        <w:t>De sancties bedoeld onder het derde lid, 3°, mogen geen verband hebben met bepalingen of feiten die van aard zouden zijn inbreuk te maken</w:t>
      </w:r>
      <w:r>
        <w:rPr>
          <w:color w:val="231F20"/>
          <w:spacing w:val="17"/>
        </w:rPr>
        <w:t> </w:t>
      </w:r>
      <w:r>
        <w:rPr>
          <w:color w:val="231F20"/>
        </w:rPr>
        <w:t>op</w:t>
      </w:r>
      <w:r>
        <w:rPr>
          <w:color w:val="231F20"/>
          <w:spacing w:val="17"/>
        </w:rPr>
        <w:t> </w:t>
      </w:r>
      <w:r>
        <w:rPr>
          <w:color w:val="231F20"/>
        </w:rPr>
        <w:t>de</w:t>
      </w:r>
      <w:r>
        <w:rPr>
          <w:color w:val="231F20"/>
          <w:spacing w:val="18"/>
        </w:rPr>
        <w:t> </w:t>
      </w:r>
      <w:r>
        <w:rPr>
          <w:color w:val="231F20"/>
        </w:rPr>
        <w:t>rechten</w:t>
      </w:r>
      <w:r>
        <w:rPr>
          <w:color w:val="231F20"/>
          <w:spacing w:val="17"/>
        </w:rPr>
        <w:t> </w:t>
      </w:r>
      <w:r>
        <w:rPr>
          <w:color w:val="231F20"/>
        </w:rPr>
        <w:t>van</w:t>
      </w:r>
      <w:r>
        <w:rPr>
          <w:color w:val="231F20"/>
          <w:spacing w:val="17"/>
        </w:rPr>
        <w:t> </w:t>
      </w:r>
      <w:r>
        <w:rPr>
          <w:color w:val="231F20"/>
        </w:rPr>
        <w:t>personen</w:t>
      </w:r>
      <w:r>
        <w:rPr>
          <w:color w:val="231F20"/>
          <w:spacing w:val="18"/>
        </w:rPr>
        <w:t> </w:t>
      </w:r>
      <w:r>
        <w:rPr>
          <w:color w:val="231F20"/>
        </w:rPr>
        <w:t>vreemd</w:t>
      </w:r>
      <w:r>
        <w:rPr>
          <w:color w:val="231F20"/>
          <w:spacing w:val="17"/>
        </w:rPr>
        <w:t> </w:t>
      </w:r>
      <w:r>
        <w:rPr>
          <w:color w:val="231F20"/>
        </w:rPr>
        <w:t>aan</w:t>
      </w:r>
      <w:r>
        <w:rPr>
          <w:color w:val="231F20"/>
          <w:spacing w:val="17"/>
        </w:rPr>
        <w:t> </w:t>
      </w:r>
      <w:r>
        <w:rPr>
          <w:color w:val="231F20"/>
        </w:rPr>
        <w:t>de</w:t>
      </w:r>
      <w:r>
        <w:rPr>
          <w:color w:val="231F20"/>
          <w:spacing w:val="18"/>
        </w:rPr>
        <w:t> </w:t>
      </w:r>
      <w:r>
        <w:rPr>
          <w:color w:val="231F20"/>
        </w:rPr>
        <w:t>vereniging.</w:t>
      </w:r>
    </w:p>
    <w:p>
      <w:pPr>
        <w:pStyle w:val="BodyText"/>
        <w:spacing w:line="218" w:lineRule="auto" w:before="85"/>
      </w:pPr>
      <w:r>
        <w:rPr>
          <w:color w:val="231F20"/>
        </w:rPr>
        <w:t>Indien om een erkenning als federatie van beroepsverengingen  wordt verzocht, moeten de statuten bovendien erin voorzien dat</w:t>
      </w:r>
      <w:r>
        <w:rPr>
          <w:color w:val="231F20"/>
          <w:spacing w:val="33"/>
        </w:rPr>
        <w:t> </w:t>
      </w:r>
      <w:r>
        <w:rPr>
          <w:color w:val="231F20"/>
        </w:rPr>
        <w:t>de verbonden verenigingen de federatie te allen tijde mogen verlaten, mits naleving van een opzeggingstermijn van drie maanden, en de wijze waarop</w:t>
      </w:r>
      <w:r>
        <w:rPr>
          <w:color w:val="231F20"/>
          <w:spacing w:val="16"/>
        </w:rPr>
        <w:t> </w:t>
      </w:r>
      <w:r>
        <w:rPr>
          <w:color w:val="231F20"/>
        </w:rPr>
        <w:t>de</w:t>
      </w:r>
      <w:r>
        <w:rPr>
          <w:color w:val="231F20"/>
          <w:spacing w:val="17"/>
        </w:rPr>
        <w:t> </w:t>
      </w:r>
      <w:r>
        <w:rPr>
          <w:color w:val="231F20"/>
        </w:rPr>
        <w:t>terugtrekking</w:t>
      </w:r>
      <w:r>
        <w:rPr>
          <w:color w:val="231F20"/>
          <w:spacing w:val="17"/>
        </w:rPr>
        <w:t> </w:t>
      </w:r>
      <w:r>
        <w:rPr>
          <w:color w:val="231F20"/>
        </w:rPr>
        <w:t>wordt</w:t>
      </w:r>
      <w:r>
        <w:rPr>
          <w:color w:val="231F20"/>
          <w:spacing w:val="17"/>
        </w:rPr>
        <w:t> </w:t>
      </w:r>
      <w:r>
        <w:rPr>
          <w:color w:val="231F20"/>
        </w:rPr>
        <w:t>geregeld</w:t>
      </w:r>
      <w:r>
        <w:rPr>
          <w:color w:val="231F20"/>
          <w:spacing w:val="17"/>
        </w:rPr>
        <w:t> </w:t>
      </w:r>
      <w:r>
        <w:rPr>
          <w:color w:val="231F20"/>
        </w:rPr>
        <w:t>bepalen.</w:t>
      </w:r>
    </w:p>
    <w:p>
      <w:pPr>
        <w:pStyle w:val="BodyText"/>
        <w:spacing w:before="72"/>
        <w:ind w:left="283" w:right="0" w:firstLine="0"/>
        <w:jc w:val="left"/>
      </w:pPr>
      <w:r>
        <w:rPr>
          <w:color w:val="231F20"/>
        </w:rPr>
        <w:t>§ 3. De erkenningsprocedure wordt vastgesteld door de Koning.</w:t>
      </w:r>
    </w:p>
    <w:p>
      <w:pPr>
        <w:pStyle w:val="BodyText"/>
        <w:spacing w:line="218" w:lineRule="auto" w:before="93"/>
      </w:pPr>
      <w:r>
        <w:rPr>
          <w:color w:val="231F20"/>
        </w:rPr>
        <w:t>Art. 9:25. De vereniging erkend als beroepsvereniging of federatie van beroepsverenigingen mag in rechte optreden, hetzij als </w:t>
      </w:r>
      <w:r>
        <w:rPr>
          <w:color w:val="231F20"/>
          <w:spacing w:val="-3"/>
        </w:rPr>
        <w:t>eiser, </w:t>
      </w:r>
      <w:r>
        <w:rPr>
          <w:color w:val="231F20"/>
        </w:rPr>
        <w:t>hetzij als verweerder, voor de verdediging van de persoonlijke rechten  waarop haar leden aanspraak mogen maken in die hoedanigheid, onverminderd het recht voor die leden om rechtstreeks op te treden, zich bij het geding aan te sluiten of tussen te komen in de loop van het rechtsgeding.</w:t>
      </w:r>
    </w:p>
    <w:p>
      <w:pPr>
        <w:pStyle w:val="BodyText"/>
        <w:spacing w:line="218" w:lineRule="auto" w:before="96"/>
      </w:pPr>
      <w:r>
        <w:rPr>
          <w:color w:val="231F20"/>
        </w:rPr>
        <w:t>Dat is met name het geval voor de rechtsgedingen tot uitvoering van de overeenkomsten gesloten door de vereniging voor haar leden, en voor de rechtsgedingen tot vergoeding der schade veroorzaakt  door hun</w:t>
      </w:r>
      <w:r>
        <w:rPr>
          <w:color w:val="231F20"/>
          <w:spacing w:val="15"/>
        </w:rPr>
        <w:t> </w:t>
      </w:r>
      <w:r>
        <w:rPr>
          <w:color w:val="231F20"/>
        </w:rPr>
        <w:t>niet-uitvoering.</w:t>
      </w:r>
    </w:p>
    <w:p>
      <w:pPr>
        <w:pStyle w:val="BodyText"/>
        <w:spacing w:line="218" w:lineRule="auto" w:before="96"/>
      </w:pPr>
      <w:r>
        <w:rPr>
          <w:color w:val="231F20"/>
        </w:rPr>
        <w:t>Art. 9:26. Alle akten of stukken uitgaande van de vereniging erkend als beroepsvereniging of federatie van verenigingen erkend als beroeps- vereniging vermelden haar hoedanigheid als VZW erkend als beroeps- vereniging of als federatie van beroepsverenigingen.</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6232" from="298.170502pt,64.473pt" to="298.170502pt,812.819pt" stroked="true" strokeweight=".533pt" strokecolor="#231f20">
            <v:stroke dashstyle="solid"/>
            <w10:wrap type="none"/>
          </v:line>
        </w:pict>
      </w:r>
      <w:bookmarkStart w:name="_bookmark217" w:id="223"/>
      <w:bookmarkEnd w:id="223"/>
      <w:r>
        <w:rPr/>
      </w:r>
      <w:r>
        <w:rPr>
          <w:color w:val="231F20"/>
        </w:rPr>
        <w:t>TITRE 6. Associations étrangères.</w:t>
      </w:r>
    </w:p>
    <w:p>
      <w:pPr>
        <w:pStyle w:val="BodyText"/>
        <w:spacing w:line="218" w:lineRule="auto" w:before="103"/>
        <w:ind w:right="38"/>
      </w:pPr>
      <w:r>
        <w:rPr>
          <w:color w:val="231F20"/>
        </w:rPr>
        <w:t>Art. 9:27. À la requête du ministère public ou de tout intéressé, le tribunal de l’entreprise peut ordonner la fermeture de la succursale belge d’une association étrangère dotée de la personnalité</w:t>
      </w:r>
      <w:r>
        <w:rPr>
          <w:color w:val="231F20"/>
          <w:spacing w:val="31"/>
        </w:rPr>
        <w:t> </w:t>
      </w:r>
      <w:r>
        <w:rPr>
          <w:color w:val="231F20"/>
        </w:rPr>
        <w:t>juridique dont les activités contreviennent gravement aux statuts de l’association dont elle dépend, ou à la loi ou à l’ordre public. La décision judiciaire passée</w:t>
      </w:r>
      <w:r>
        <w:rPr>
          <w:color w:val="231F20"/>
          <w:spacing w:val="-3"/>
        </w:rPr>
        <w:t> </w:t>
      </w:r>
      <w:r>
        <w:rPr>
          <w:color w:val="231F20"/>
        </w:rPr>
        <w:t>en</w:t>
      </w:r>
      <w:r>
        <w:rPr>
          <w:color w:val="231F20"/>
          <w:spacing w:val="-3"/>
        </w:rPr>
        <w:t> </w:t>
      </w:r>
      <w:r>
        <w:rPr>
          <w:color w:val="231F20"/>
        </w:rPr>
        <w:t>force</w:t>
      </w:r>
      <w:r>
        <w:rPr>
          <w:color w:val="231F20"/>
          <w:spacing w:val="-3"/>
        </w:rPr>
        <w:t> </w:t>
      </w:r>
      <w:r>
        <w:rPr>
          <w:color w:val="231F20"/>
        </w:rPr>
        <w:t>de</w:t>
      </w:r>
      <w:r>
        <w:rPr>
          <w:color w:val="231F20"/>
          <w:spacing w:val="-3"/>
        </w:rPr>
        <w:t> </w:t>
      </w:r>
      <w:r>
        <w:rPr>
          <w:color w:val="231F20"/>
        </w:rPr>
        <w:t>chose</w:t>
      </w:r>
      <w:r>
        <w:rPr>
          <w:color w:val="231F20"/>
          <w:spacing w:val="-3"/>
        </w:rPr>
        <w:t> </w:t>
      </w:r>
      <w:r>
        <w:rPr>
          <w:color w:val="231F20"/>
        </w:rPr>
        <w:t>jugée</w:t>
      </w:r>
      <w:r>
        <w:rPr>
          <w:color w:val="231F20"/>
          <w:spacing w:val="-3"/>
        </w:rPr>
        <w:t> </w:t>
      </w:r>
      <w:r>
        <w:rPr>
          <w:color w:val="231F20"/>
        </w:rPr>
        <w:t>de</w:t>
      </w:r>
      <w:r>
        <w:rPr>
          <w:color w:val="231F20"/>
          <w:spacing w:val="-3"/>
        </w:rPr>
        <w:t> </w:t>
      </w:r>
      <w:r>
        <w:rPr>
          <w:color w:val="231F20"/>
        </w:rPr>
        <w:t>fermeture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succursale</w:t>
      </w:r>
      <w:r>
        <w:rPr>
          <w:color w:val="231F20"/>
          <w:spacing w:val="-2"/>
        </w:rPr>
        <w:t> </w:t>
      </w:r>
      <w:r>
        <w:rPr>
          <w:color w:val="231F20"/>
        </w:rPr>
        <w:t>est</w:t>
      </w:r>
      <w:r>
        <w:rPr>
          <w:color w:val="231F20"/>
          <w:spacing w:val="-3"/>
        </w:rPr>
        <w:t> </w:t>
      </w:r>
      <w:r>
        <w:rPr>
          <w:color w:val="231F20"/>
        </w:rPr>
        <w:t>déposée dans le mois par l’association, le ministère public ou tout intéressé, au </w:t>
      </w:r>
      <w:r>
        <w:rPr>
          <w:color w:val="231F20"/>
          <w:spacing w:val="-3"/>
        </w:rPr>
        <w:t>greffe </w:t>
      </w:r>
      <w:r>
        <w:rPr>
          <w:color w:val="231F20"/>
        </w:rPr>
        <w:t>du tribunal de l’entreprise  où  est  tenu  le  dossier  visé </w:t>
      </w:r>
      <w:r>
        <w:rPr>
          <w:color w:val="231F20"/>
          <w:spacing w:val="20"/>
        </w:rPr>
        <w:t> </w:t>
      </w:r>
      <w:r>
        <w:rPr>
          <w:color w:val="231F20"/>
        </w:rPr>
        <w:t>à l’article</w:t>
      </w:r>
      <w:r>
        <w:rPr>
          <w:color w:val="231F20"/>
          <w:spacing w:val="14"/>
        </w:rPr>
        <w:t> </w:t>
      </w:r>
      <w:r>
        <w:rPr>
          <w:color w:val="231F20"/>
        </w:rPr>
        <w:t>2:23.</w:t>
      </w:r>
    </w:p>
    <w:p>
      <w:pPr>
        <w:pStyle w:val="BodyText"/>
        <w:spacing w:before="10"/>
        <w:ind w:left="0" w:right="0" w:firstLine="0"/>
        <w:jc w:val="left"/>
        <w:rPr>
          <w:sz w:val="24"/>
        </w:rPr>
      </w:pPr>
    </w:p>
    <w:p>
      <w:pPr>
        <w:pStyle w:val="BodyText"/>
        <w:spacing w:line="218" w:lineRule="auto" w:before="1"/>
        <w:ind w:right="38"/>
      </w:pPr>
      <w:r>
        <w:rPr>
          <w:color w:val="231F20"/>
        </w:rPr>
        <w:t>Toute action intentée par une succursale ou par l’association dont la succursale dépend, est suspendue si la succursale ou l’association n’a pas respecté les formalités prévues à l’article 2:25. Avant de déclarer l’action irrecevable, le juge fixe un délai endéans lequel la succursale ou l’association peut encore satisfaire à ces formalités.</w:t>
      </w:r>
    </w:p>
    <w:p>
      <w:pPr>
        <w:pStyle w:val="BodyText"/>
        <w:spacing w:before="10"/>
        <w:ind w:left="0" w:right="0" w:firstLine="0"/>
        <w:jc w:val="left"/>
        <w:rPr>
          <w:sz w:val="24"/>
        </w:rPr>
      </w:pPr>
    </w:p>
    <w:p>
      <w:pPr>
        <w:pStyle w:val="BodyText"/>
        <w:spacing w:line="218" w:lineRule="auto"/>
        <w:ind w:right="38"/>
      </w:pPr>
      <w:r>
        <w:rPr>
          <w:color w:val="231F20"/>
        </w:rPr>
        <w:t>L’article 9:22 est applicable par analogie aux libéralités au profit des associations étrangères.</w:t>
      </w:r>
    </w:p>
    <w:p>
      <w:pPr>
        <w:pStyle w:val="BodyText"/>
        <w:spacing w:before="92"/>
        <w:ind w:left="283" w:right="0" w:firstLine="0"/>
        <w:jc w:val="left"/>
      </w:pPr>
      <w:r>
        <w:rPr>
          <w:color w:val="231F20"/>
        </w:rPr>
        <w:t>LIVRE 10. AISBL.</w:t>
      </w:r>
    </w:p>
    <w:p>
      <w:pPr>
        <w:pStyle w:val="BodyText"/>
        <w:spacing w:line="331" w:lineRule="auto" w:before="75"/>
        <w:ind w:left="283" w:right="2014" w:firstLine="0"/>
        <w:jc w:val="left"/>
      </w:pPr>
      <w:r>
        <w:rPr>
          <w:color w:val="231F20"/>
        </w:rPr>
        <w:t>TITRE 1</w:t>
      </w:r>
      <w:r>
        <w:rPr>
          <w:color w:val="231F20"/>
          <w:position w:val="7"/>
          <w:sz w:val="11"/>
        </w:rPr>
        <w:t>er</w:t>
      </w:r>
      <w:r>
        <w:rPr>
          <w:color w:val="231F20"/>
        </w:rPr>
        <w:t>. Dispositions générales. CHAPITRE 1</w:t>
      </w:r>
      <w:r>
        <w:rPr>
          <w:color w:val="231F20"/>
          <w:position w:val="7"/>
          <w:sz w:val="11"/>
        </w:rPr>
        <w:t>er</w:t>
      </w:r>
      <w:r>
        <w:rPr>
          <w:color w:val="231F20"/>
        </w:rPr>
        <w:t>. Dispositions introductives.</w:t>
      </w:r>
    </w:p>
    <w:p>
      <w:pPr>
        <w:pStyle w:val="BodyText"/>
        <w:spacing w:line="218" w:lineRule="auto" w:before="30"/>
        <w:ind w:right="38"/>
      </w:pPr>
      <w:r>
        <w:rPr>
          <w:color w:val="231F20"/>
        </w:rPr>
        <w:t>Art. 10:1. L’AISBL est une association dont la personnalité juridique est reconnue par le Roi et qui poursuit un but d’utilité internationale. Ses membres ne sont en cette qualité pas responsables pour les engagements contractés par l’association.</w:t>
      </w:r>
    </w:p>
    <w:p>
      <w:pPr>
        <w:pStyle w:val="BodyText"/>
        <w:spacing w:line="218" w:lineRule="auto" w:before="107"/>
        <w:ind w:right="38"/>
      </w:pPr>
      <w:r>
        <w:rPr>
          <w:color w:val="231F20"/>
        </w:rPr>
        <w:t>Art. 10:2. L’acte constitutif contient au moins les données mention- nées dans l’extrait visé à l’article 2:10, § 2.</w:t>
      </w:r>
    </w:p>
    <w:p>
      <w:pPr>
        <w:pStyle w:val="BodyText"/>
        <w:spacing w:line="218" w:lineRule="auto" w:before="107"/>
        <w:ind w:right="38"/>
      </w:pPr>
      <w:r>
        <w:rPr>
          <w:color w:val="231F20"/>
        </w:rPr>
        <w:t>Art. 10:3. Toute action intentée par l’association n’ayant pas respecté les formalités prévues à l’article 2:10 est suspendue. Avant de déclarer l’action irrecevable, le juge fixe un délai endéans lequel l’association peut encore satisfaire à ces formalités.</w:t>
      </w:r>
    </w:p>
    <w:p>
      <w:pPr>
        <w:pStyle w:val="BodyText"/>
        <w:spacing w:before="7"/>
        <w:ind w:left="0" w:right="0" w:firstLine="0"/>
        <w:jc w:val="left"/>
        <w:rPr>
          <w:sz w:val="23"/>
        </w:rPr>
      </w:pPr>
    </w:p>
    <w:p>
      <w:pPr>
        <w:pStyle w:val="BodyText"/>
        <w:ind w:left="283" w:right="0" w:firstLine="0"/>
        <w:jc w:val="left"/>
      </w:pPr>
      <w:r>
        <w:rPr>
          <w:color w:val="231F20"/>
        </w:rPr>
        <w:t>CHAPITRE 2. Nullité.</w:t>
      </w:r>
    </w:p>
    <w:p>
      <w:pPr>
        <w:pStyle w:val="BodyText"/>
        <w:spacing w:line="218" w:lineRule="auto" w:before="104"/>
        <w:ind w:right="38"/>
      </w:pPr>
      <w:r>
        <w:rPr>
          <w:color w:val="231F20"/>
        </w:rPr>
        <w:t>Art. 10:4. La nullité de l’association ne peut être prononcée que dans les cas suivants:</w:t>
      </w:r>
    </w:p>
    <w:p>
      <w:pPr>
        <w:pStyle w:val="BodyText"/>
        <w:spacing w:line="218" w:lineRule="auto" w:before="107"/>
        <w:ind w:right="38"/>
      </w:pPr>
      <w:r>
        <w:rPr>
          <w:color w:val="231F20"/>
        </w:rPr>
        <w:t>1° lorsque le nombre de fondateurs valablement engagés est inférieur à deux;</w:t>
      </w:r>
    </w:p>
    <w:p>
      <w:pPr>
        <w:pStyle w:val="BodyText"/>
        <w:spacing w:before="92"/>
        <w:ind w:left="283" w:right="0" w:firstLine="0"/>
        <w:jc w:val="left"/>
      </w:pPr>
      <w:r>
        <w:rPr>
          <w:color w:val="231F20"/>
        </w:rPr>
        <w:t>2° lorsque l’acte constitutif n’est pas établi en la forme requise;</w:t>
      </w:r>
    </w:p>
    <w:p>
      <w:pPr>
        <w:pStyle w:val="BodyText"/>
        <w:spacing w:before="7"/>
        <w:ind w:left="0" w:right="0" w:firstLine="0"/>
        <w:jc w:val="left"/>
        <w:rPr>
          <w:sz w:val="24"/>
        </w:rPr>
      </w:pPr>
    </w:p>
    <w:p>
      <w:pPr>
        <w:pStyle w:val="BodyText"/>
        <w:spacing w:line="218" w:lineRule="auto"/>
        <w:ind w:right="38"/>
      </w:pPr>
      <w:r>
        <w:rPr>
          <w:color w:val="231F20"/>
        </w:rPr>
        <w:t>3° lorsque les statuts ne contiennent pas les mentions visées à l’article</w:t>
      </w:r>
      <w:r>
        <w:rPr>
          <w:color w:val="231F20"/>
          <w:spacing w:val="13"/>
        </w:rPr>
        <w:t> </w:t>
      </w:r>
      <w:r>
        <w:rPr>
          <w:color w:val="231F20"/>
        </w:rPr>
        <w:t>2:10,</w:t>
      </w:r>
      <w:r>
        <w:rPr>
          <w:color w:val="231F20"/>
          <w:spacing w:val="14"/>
        </w:rPr>
        <w:t> </w:t>
      </w:r>
      <w:r>
        <w:rPr>
          <w:color w:val="231F20"/>
        </w:rPr>
        <w:t>§</w:t>
      </w:r>
      <w:r>
        <w:rPr>
          <w:color w:val="231F20"/>
          <w:spacing w:val="14"/>
        </w:rPr>
        <w:t> </w:t>
      </w:r>
      <w:r>
        <w:rPr>
          <w:color w:val="231F20"/>
        </w:rPr>
        <w:t>2,</w:t>
      </w:r>
      <w:r>
        <w:rPr>
          <w:color w:val="231F20"/>
          <w:spacing w:val="14"/>
        </w:rPr>
        <w:t> </w:t>
      </w:r>
      <w:r>
        <w:rPr>
          <w:color w:val="231F20"/>
        </w:rPr>
        <w:t>2°</w:t>
      </w:r>
      <w:r>
        <w:rPr>
          <w:color w:val="231F20"/>
          <w:spacing w:val="14"/>
        </w:rPr>
        <w:t> </w:t>
      </w:r>
      <w:r>
        <w:rPr>
          <w:color w:val="231F20"/>
        </w:rPr>
        <w:t>et</w:t>
      </w:r>
      <w:r>
        <w:rPr>
          <w:color w:val="231F20"/>
          <w:spacing w:val="13"/>
        </w:rPr>
        <w:t> </w:t>
      </w:r>
      <w:r>
        <w:rPr>
          <w:color w:val="231F20"/>
        </w:rPr>
        <w:t>3°;</w:t>
      </w:r>
    </w:p>
    <w:p>
      <w:pPr>
        <w:pStyle w:val="BodyText"/>
        <w:spacing w:line="218" w:lineRule="auto" w:before="106"/>
        <w:ind w:right="38"/>
      </w:pPr>
      <w:r>
        <w:rPr>
          <w:color w:val="231F20"/>
        </w:rPr>
        <w:t>4° lorsque le but ou l’objet en vue duquel elle est constituée, ou son but ou objet réel, contrevient à la loi ou à l’ordre public;</w:t>
      </w:r>
    </w:p>
    <w:p>
      <w:pPr>
        <w:pStyle w:val="BodyText"/>
        <w:spacing w:before="10"/>
        <w:ind w:left="0" w:right="0" w:firstLine="0"/>
        <w:jc w:val="left"/>
        <w:rPr>
          <w:sz w:val="24"/>
        </w:rPr>
      </w:pPr>
    </w:p>
    <w:p>
      <w:pPr>
        <w:pStyle w:val="BodyText"/>
        <w:spacing w:line="218" w:lineRule="auto"/>
        <w:ind w:right="38"/>
      </w:pPr>
      <w:r>
        <w:rPr>
          <w:color w:val="231F20"/>
        </w:rPr>
        <w:t>5° lorsqu’elle a été constituée dans le but de fournir à ses membres,   à ses membres adhérents, aux membres de son organe d’administration ou à toute autre personne, sauf dans le but désintéressé déterminé par les statuts, des avantages patrimoniaux directs ou indirects tels que visés à l’article</w:t>
      </w:r>
      <w:r>
        <w:rPr>
          <w:color w:val="231F20"/>
          <w:spacing w:val="3"/>
        </w:rPr>
        <w:t> </w:t>
      </w:r>
      <w:r>
        <w:rPr>
          <w:color w:val="231F20"/>
        </w:rPr>
        <w:t>1:4.</w:t>
      </w:r>
    </w:p>
    <w:p>
      <w:pPr>
        <w:pStyle w:val="BodyText"/>
        <w:spacing w:before="93"/>
        <w:ind w:left="283" w:right="0" w:firstLine="0"/>
        <w:jc w:val="left"/>
      </w:pPr>
      <w:r>
        <w:rPr>
          <w:color w:val="231F20"/>
        </w:rPr>
        <w:t>TITRE 2. Organes.</w:t>
      </w:r>
    </w:p>
    <w:p>
      <w:pPr>
        <w:pStyle w:val="BodyText"/>
        <w:spacing w:line="331" w:lineRule="auto" w:before="75"/>
        <w:ind w:left="283" w:right="1150" w:firstLine="0"/>
        <w:jc w:val="left"/>
      </w:pPr>
      <w:r>
        <w:rPr>
          <w:color w:val="231F20"/>
        </w:rPr>
        <w:t>CHAPITRE 1</w:t>
      </w:r>
      <w:r>
        <w:rPr>
          <w:color w:val="231F20"/>
          <w:position w:val="7"/>
          <w:sz w:val="11"/>
        </w:rPr>
        <w:t>er</w:t>
      </w:r>
      <w:r>
        <w:rPr>
          <w:color w:val="231F20"/>
        </w:rPr>
        <w:t>. L’assemblée générale des membres. Section 1</w:t>
      </w:r>
      <w:r>
        <w:rPr>
          <w:color w:val="231F20"/>
          <w:position w:val="7"/>
          <w:sz w:val="11"/>
        </w:rPr>
        <w:t>re</w:t>
      </w:r>
      <w:r>
        <w:rPr>
          <w:color w:val="231F20"/>
        </w:rPr>
        <w:t>. Dispositions communes.</w:t>
      </w:r>
    </w:p>
    <w:p>
      <w:pPr>
        <w:pStyle w:val="BodyText"/>
        <w:spacing w:before="1"/>
        <w:ind w:left="283" w:right="0" w:firstLine="0"/>
        <w:jc w:val="left"/>
      </w:pPr>
      <w:r>
        <w:rPr>
          <w:color w:val="231F20"/>
        </w:rPr>
        <w:t>Sous-section 1</w:t>
      </w:r>
      <w:r>
        <w:rPr>
          <w:color w:val="231F20"/>
          <w:position w:val="7"/>
          <w:sz w:val="11"/>
        </w:rPr>
        <w:t>re</w:t>
      </w:r>
      <w:r>
        <w:rPr>
          <w:color w:val="231F20"/>
        </w:rPr>
        <w:t>. Compétences.</w:t>
      </w:r>
    </w:p>
    <w:p>
      <w:pPr>
        <w:pStyle w:val="BodyText"/>
        <w:spacing w:before="90"/>
        <w:ind w:left="283" w:right="0" w:firstLine="0"/>
        <w:jc w:val="left"/>
      </w:pPr>
      <w:r>
        <w:rPr>
          <w:color w:val="231F20"/>
        </w:rPr>
        <w:t>Art. 10:5. Une décision de l’assemblée générale est exigée pour:</w:t>
      </w:r>
    </w:p>
    <w:p>
      <w:pPr>
        <w:pStyle w:val="BodyText"/>
        <w:spacing w:line="218" w:lineRule="auto" w:before="103"/>
        <w:ind w:right="38"/>
      </w:pPr>
      <w:r>
        <w:rPr>
          <w:color w:val="231F20"/>
        </w:rPr>
        <w:t>1° la nomination et la révocation de fonctions du commissaire et la fixation de sa rémunération;</w:t>
      </w:r>
    </w:p>
    <w:p>
      <w:pPr>
        <w:pStyle w:val="BodyText"/>
        <w:spacing w:before="103"/>
        <w:ind w:left="283" w:right="0" w:firstLine="0"/>
        <w:jc w:val="left"/>
      </w:pPr>
      <w:r>
        <w:rPr>
          <w:color w:val="231F20"/>
        </w:rPr>
        <w:t>2° l’approbation des comptes annuels;</w:t>
      </w:r>
    </w:p>
    <w:p>
      <w:pPr>
        <w:pStyle w:val="BodyText"/>
        <w:spacing w:line="364" w:lineRule="auto" w:before="100"/>
        <w:ind w:left="283" w:right="1127" w:hanging="1"/>
        <w:jc w:val="left"/>
      </w:pPr>
      <w:r>
        <w:rPr>
          <w:color w:val="231F20"/>
        </w:rPr>
        <w:t>3° tous les autres cas où la loi ou les statuts l’exigent. Sous-section 2. Convocation de l’assemblée générale.</w:t>
      </w:r>
    </w:p>
    <w:p>
      <w:pPr>
        <w:pStyle w:val="BodyText"/>
        <w:spacing w:line="218" w:lineRule="auto" w:before="13"/>
        <w:ind w:right="38"/>
      </w:pPr>
      <w:r>
        <w:rPr>
          <w:color w:val="231F20"/>
        </w:rPr>
        <w:t>Art. 10:6. Sans préjudice du mode de convocation déterminé par les statuts, le commissaire peut, le cas échéant, convoquer l’assemblée générale. Il doit la convoquer lorsqu’un cinquième des membres de l’association le demande.</w:t>
      </w:r>
    </w:p>
    <w:p>
      <w:pPr>
        <w:pStyle w:val="BodyText"/>
        <w:spacing w:before="104"/>
        <w:ind w:left="283" w:right="0" w:firstLine="0"/>
        <w:jc w:val="left"/>
      </w:pPr>
      <w:r>
        <w:rPr>
          <w:color w:val="231F20"/>
        </w:rPr>
        <w:t>Sous-section 3. Participation à l’assemblée générale.</w:t>
      </w:r>
    </w:p>
    <w:p>
      <w:pPr>
        <w:pStyle w:val="BodyText"/>
        <w:spacing w:line="218" w:lineRule="auto" w:before="114"/>
        <w:ind w:right="38"/>
      </w:pPr>
      <w:r>
        <w:rPr>
          <w:color w:val="231F20"/>
        </w:rPr>
        <w:t>Art. 10:7. Lorsque l’assemblée générale délibère sur la base d’un rapport rédigé par le commissaire, celui-ci prend part à l’assemblée.</w:t>
      </w:r>
    </w:p>
    <w:p>
      <w:pPr>
        <w:pStyle w:val="BodyText"/>
        <w:spacing w:before="105"/>
        <w:ind w:left="283" w:right="0" w:firstLine="0"/>
        <w:jc w:val="left"/>
      </w:pPr>
      <w:r>
        <w:rPr/>
        <w:br w:type="column"/>
      </w:r>
      <w:r>
        <w:rPr>
          <w:color w:val="231F20"/>
        </w:rPr>
        <w:t>TITEL 6. Buitenlandse verenigingen.</w:t>
      </w:r>
    </w:p>
    <w:p>
      <w:pPr>
        <w:pStyle w:val="BodyText"/>
        <w:spacing w:line="218" w:lineRule="auto" w:before="104"/>
      </w:pPr>
      <w:r>
        <w:rPr>
          <w:color w:val="231F20"/>
        </w:rPr>
        <w:t>Art. 9:27. De ondernemingsrechtbank kan op verzoek van het openbaar ministerie of van enige belanghebbende de sluiting bevelen van een Belgisch bijkantoor van een buitenlandse vereniging met rechtspersoonlijkheid waarvan de activiteiten op ernstige wijze strijdig zijn met de statuten van de vereniging waarvan het afhangt, of met de wet of met de openbare orde. De vereniging, het openbaar ministerie of elke belanghebbende legt de in kracht van gewijsde gegane rechterlijke beslissing tot sluiting van het bijkantoor binnen een maand neer ter griffie van de ondernemingsrechtbank waar het het in artikel 2:23 bedoelde dossier wordt gehouden.</w:t>
      </w:r>
    </w:p>
    <w:p>
      <w:pPr>
        <w:pStyle w:val="BodyText"/>
        <w:spacing w:line="218" w:lineRule="auto" w:before="107"/>
      </w:pPr>
      <w:r>
        <w:rPr>
          <w:color w:val="231F20"/>
        </w:rPr>
        <w:t>Elke vordering ingesteld door een bijkantoor of door de vereniging waarvan dat bijkantoor afhangt, wordt opgeschort indien het bijkan- toor of de vereniging de formaliteiten omschreven in artikel 2:25 niet in acht heeft genomen. Alvorens de vordering niet-ontvankelijk te verkla- ren, bepaalt de rechter een termijn waarbinnen het bijkantoor of de vereniging die formaliteiten vooralsnog kan naleven.</w:t>
      </w:r>
    </w:p>
    <w:p>
      <w:pPr>
        <w:pStyle w:val="BodyText"/>
        <w:spacing w:line="218" w:lineRule="auto" w:before="107"/>
      </w:pPr>
      <w:r>
        <w:rPr>
          <w:color w:val="231F20"/>
        </w:rPr>
        <w:t>Artikel 9:22 is van overeenkomstige toepassing op giften aan buitenlandse verenigingen.</w:t>
      </w:r>
    </w:p>
    <w:p>
      <w:pPr>
        <w:pStyle w:val="BodyText"/>
        <w:spacing w:before="93"/>
        <w:ind w:left="283" w:right="0" w:firstLine="0"/>
        <w:jc w:val="left"/>
      </w:pPr>
      <w:r>
        <w:rPr>
          <w:color w:val="231F20"/>
        </w:rPr>
        <w:t>BOEK 10. IVZW.</w:t>
      </w:r>
    </w:p>
    <w:p>
      <w:pPr>
        <w:pStyle w:val="BodyText"/>
        <w:spacing w:line="350" w:lineRule="auto" w:before="89"/>
        <w:ind w:left="283" w:right="2162" w:firstLine="0"/>
        <w:jc w:val="left"/>
      </w:pPr>
      <w:r>
        <w:rPr>
          <w:color w:val="231F20"/>
        </w:rPr>
        <w:t>TITEL 1. Algemene bepalingen. HOOFDSTUK 1. Inleidende bepalingen.</w:t>
      </w:r>
    </w:p>
    <w:p>
      <w:pPr>
        <w:pStyle w:val="BodyText"/>
        <w:spacing w:line="218" w:lineRule="auto" w:before="15"/>
      </w:pPr>
      <w:r>
        <w:rPr>
          <w:color w:val="231F20"/>
        </w:rPr>
        <w:t>Art. 10:1. De IVZW is een vereniging waarvan de rechtspersoonlijk- heid wordt erkend door de Koning en die een doel van internationaal nut nastreeft. Haar leden zijn in die hoedanigheid niet aansprakelijk voor de verbintenissen die de vereniging aangaat.</w:t>
      </w:r>
    </w:p>
    <w:p>
      <w:pPr>
        <w:pStyle w:val="BodyText"/>
        <w:spacing w:line="218" w:lineRule="auto" w:before="107"/>
      </w:pPr>
      <w:r>
        <w:rPr>
          <w:color w:val="231F20"/>
        </w:rPr>
        <w:t>Art. 10:2. De oprichtingsakte bevat ten minste de gegevens die vermeld zijn in het in artikel 2:10, § 2, bedoelde uittreksel.</w:t>
      </w:r>
    </w:p>
    <w:p>
      <w:pPr>
        <w:pStyle w:val="BodyText"/>
        <w:spacing w:line="218" w:lineRule="auto" w:before="107"/>
      </w:pPr>
      <w:r>
        <w:rPr>
          <w:color w:val="231F20"/>
        </w:rPr>
        <w:t>Art. 10:3. Elke vordering ingesteld door de vereniging die de formaliteiten omschreven in artikel 2:10 niet in acht heeft genomen, wordt opgeschort. Alvorens de vordering niet ontvankelijk te verkla- ren, bepaalt de rechter een termijn waarbinnen de vereniging deze formaliteiten vooralsnog kan naleven.</w:t>
      </w:r>
    </w:p>
    <w:p>
      <w:pPr>
        <w:pStyle w:val="BodyText"/>
        <w:spacing w:before="93"/>
        <w:ind w:left="283" w:right="0" w:firstLine="0"/>
        <w:jc w:val="left"/>
      </w:pPr>
      <w:r>
        <w:rPr>
          <w:color w:val="231F20"/>
        </w:rPr>
        <w:t>HOOFDSTUK 2. Nietigheid.</w:t>
      </w:r>
    </w:p>
    <w:p>
      <w:pPr>
        <w:pStyle w:val="BodyText"/>
        <w:spacing w:line="218" w:lineRule="auto" w:before="103"/>
      </w:pPr>
      <w:r>
        <w:rPr>
          <w:color w:val="231F20"/>
        </w:rPr>
        <w:t>Art. 10:4. De nietigheid van de vereniging kan alleen in de hiernavolgende gevallen worden uitgesproken:</w:t>
      </w:r>
    </w:p>
    <w:p>
      <w:pPr>
        <w:pStyle w:val="BodyText"/>
        <w:spacing w:line="218" w:lineRule="auto" w:before="107"/>
      </w:pPr>
      <w:r>
        <w:rPr>
          <w:color w:val="231F20"/>
        </w:rPr>
        <w:t>1° wanneer het aantal geldig verbonden oprichters minder dan twee bedraagt;</w:t>
      </w:r>
    </w:p>
    <w:p>
      <w:pPr>
        <w:pStyle w:val="BodyText"/>
        <w:spacing w:line="218" w:lineRule="auto" w:before="107"/>
      </w:pPr>
      <w:r>
        <w:rPr>
          <w:color w:val="231F20"/>
        </w:rPr>
        <w:t>2° wanneer de oprichtingsakte niet werd opgemaakt in de vereiste vorm;</w:t>
      </w:r>
    </w:p>
    <w:p>
      <w:pPr>
        <w:pStyle w:val="BodyText"/>
        <w:spacing w:line="218" w:lineRule="auto" w:before="107"/>
      </w:pPr>
      <w:r>
        <w:rPr>
          <w:color w:val="231F20"/>
        </w:rPr>
        <w:t>3° wanneer de statuten de vermeldingen bedoeld in artikel 2:10, § 2, 2° en 3°, niet bevatten;</w:t>
      </w:r>
    </w:p>
    <w:p>
      <w:pPr>
        <w:pStyle w:val="BodyText"/>
        <w:spacing w:line="218" w:lineRule="auto" w:before="106"/>
      </w:pPr>
      <w:r>
        <w:rPr>
          <w:color w:val="231F20"/>
        </w:rPr>
        <w:t>4° wanneer het doel of het voorwerp waarvoor zij is opgericht, of haar werkelijk doel of voorwerp, strijdig is met de wet of met de openbare</w:t>
      </w:r>
      <w:r>
        <w:rPr>
          <w:color w:val="231F20"/>
          <w:spacing w:val="14"/>
        </w:rPr>
        <w:t> </w:t>
      </w:r>
      <w:r>
        <w:rPr>
          <w:color w:val="231F20"/>
        </w:rPr>
        <w:t>orde;</w:t>
      </w:r>
    </w:p>
    <w:p>
      <w:pPr>
        <w:pStyle w:val="BodyText"/>
        <w:spacing w:line="218" w:lineRule="auto" w:before="107"/>
      </w:pPr>
      <w:r>
        <w:rPr>
          <w:color w:val="231F20"/>
        </w:rPr>
        <w:t>5° wanneer zij is opgericht met als doel rechtstreekse of onrecht- streekse vermogensvoordelen als bedoeld in artikel 1:4 te verschaffen aan haar leden, haar toegetreden leden, aan de leden van haar bestuursorgaan of aan enig andere persoon, behalve voor het in de statuten bepaald belangeloos doel.</w:t>
      </w:r>
    </w:p>
    <w:p>
      <w:pPr>
        <w:pStyle w:val="BodyText"/>
        <w:spacing w:before="93"/>
        <w:ind w:left="283" w:right="0" w:firstLine="0"/>
        <w:jc w:val="left"/>
      </w:pPr>
      <w:r>
        <w:rPr>
          <w:color w:val="231F20"/>
        </w:rPr>
        <w:t>TITEL 2. Organen.</w:t>
      </w:r>
    </w:p>
    <w:p>
      <w:pPr>
        <w:pStyle w:val="BodyText"/>
        <w:spacing w:line="350" w:lineRule="auto" w:before="89"/>
        <w:ind w:left="283" w:right="1017" w:firstLine="0"/>
        <w:jc w:val="left"/>
      </w:pPr>
      <w:r>
        <w:rPr>
          <w:color w:val="231F20"/>
        </w:rPr>
        <w:t>HOOFDSTUK 1. De algemene vergadering van leden. Afdeling 1. Gemeenschappelijke bepalingen.</w:t>
      </w:r>
    </w:p>
    <w:p>
      <w:pPr>
        <w:pStyle w:val="BodyText"/>
        <w:spacing w:before="1"/>
        <w:ind w:left="283" w:right="0" w:firstLine="0"/>
        <w:jc w:val="left"/>
      </w:pPr>
      <w:r>
        <w:rPr>
          <w:color w:val="231F20"/>
          <w:w w:val="105"/>
        </w:rPr>
        <w:t>Onderafdeling 1. Bevoegdheden.</w:t>
      </w:r>
    </w:p>
    <w:p>
      <w:pPr>
        <w:pStyle w:val="BodyText"/>
        <w:spacing w:line="280" w:lineRule="atLeast" w:before="3"/>
        <w:ind w:left="283" w:firstLine="0"/>
        <w:jc w:val="left"/>
      </w:pPr>
      <w:r>
        <w:rPr>
          <w:color w:val="231F20"/>
        </w:rPr>
        <w:t>Art. 10:5. Een besluit van de algemene vergadering is vereist voor:   1°</w:t>
      </w:r>
      <w:r>
        <w:rPr>
          <w:color w:val="231F20"/>
          <w:spacing w:val="14"/>
        </w:rPr>
        <w:t> </w:t>
      </w:r>
      <w:r>
        <w:rPr>
          <w:color w:val="231F20"/>
        </w:rPr>
        <w:t>de</w:t>
      </w:r>
      <w:r>
        <w:rPr>
          <w:color w:val="231F20"/>
          <w:spacing w:val="15"/>
        </w:rPr>
        <w:t> </w:t>
      </w:r>
      <w:r>
        <w:rPr>
          <w:color w:val="231F20"/>
        </w:rPr>
        <w:t>benoeming</w:t>
      </w:r>
      <w:r>
        <w:rPr>
          <w:color w:val="231F20"/>
          <w:spacing w:val="15"/>
        </w:rPr>
        <w:t> </w:t>
      </w:r>
      <w:r>
        <w:rPr>
          <w:color w:val="231F20"/>
        </w:rPr>
        <w:t>en</w:t>
      </w:r>
      <w:r>
        <w:rPr>
          <w:color w:val="231F20"/>
          <w:spacing w:val="14"/>
        </w:rPr>
        <w:t> </w:t>
      </w:r>
      <w:r>
        <w:rPr>
          <w:color w:val="231F20"/>
        </w:rPr>
        <w:t>de</w:t>
      </w:r>
      <w:r>
        <w:rPr>
          <w:color w:val="231F20"/>
          <w:spacing w:val="15"/>
        </w:rPr>
        <w:t> </w:t>
      </w:r>
      <w:r>
        <w:rPr>
          <w:color w:val="231F20"/>
        </w:rPr>
        <w:t>afzetting</w:t>
      </w:r>
      <w:r>
        <w:rPr>
          <w:color w:val="231F20"/>
          <w:spacing w:val="15"/>
        </w:rPr>
        <w:t> </w:t>
      </w:r>
      <w:r>
        <w:rPr>
          <w:color w:val="231F20"/>
        </w:rPr>
        <w:t>van</w:t>
      </w:r>
      <w:r>
        <w:rPr>
          <w:color w:val="231F20"/>
          <w:spacing w:val="15"/>
        </w:rPr>
        <w:t> </w:t>
      </w:r>
      <w:r>
        <w:rPr>
          <w:color w:val="231F20"/>
        </w:rPr>
        <w:t>de</w:t>
      </w:r>
      <w:r>
        <w:rPr>
          <w:color w:val="231F20"/>
          <w:spacing w:val="14"/>
        </w:rPr>
        <w:t> </w:t>
      </w:r>
      <w:r>
        <w:rPr>
          <w:color w:val="231F20"/>
        </w:rPr>
        <w:t>commissaris</w:t>
      </w:r>
      <w:r>
        <w:rPr>
          <w:color w:val="231F20"/>
          <w:spacing w:val="15"/>
        </w:rPr>
        <w:t> </w:t>
      </w:r>
      <w:r>
        <w:rPr>
          <w:color w:val="231F20"/>
        </w:rPr>
        <w:t>en</w:t>
      </w:r>
      <w:r>
        <w:rPr>
          <w:color w:val="231F20"/>
          <w:spacing w:val="15"/>
        </w:rPr>
        <w:t> </w:t>
      </w:r>
      <w:r>
        <w:rPr>
          <w:color w:val="231F20"/>
        </w:rPr>
        <w:t>de</w:t>
      </w:r>
      <w:r>
        <w:rPr>
          <w:color w:val="231F20"/>
          <w:spacing w:val="14"/>
        </w:rPr>
        <w:t> </w:t>
      </w:r>
      <w:r>
        <w:rPr>
          <w:color w:val="231F20"/>
        </w:rPr>
        <w:t>bepaling</w:t>
      </w:r>
    </w:p>
    <w:p>
      <w:pPr>
        <w:pStyle w:val="BodyText"/>
        <w:spacing w:line="178" w:lineRule="exact"/>
        <w:ind w:right="0" w:firstLine="0"/>
        <w:jc w:val="left"/>
      </w:pPr>
      <w:r>
        <w:rPr>
          <w:color w:val="231F20"/>
        </w:rPr>
        <w:t>van zijn bezoldiging;</w:t>
      </w:r>
    </w:p>
    <w:p>
      <w:pPr>
        <w:pStyle w:val="BodyText"/>
        <w:spacing w:before="100"/>
        <w:ind w:left="283" w:right="0" w:firstLine="0"/>
        <w:jc w:val="left"/>
      </w:pPr>
      <w:r>
        <w:rPr>
          <w:color w:val="231F20"/>
        </w:rPr>
        <w:t>2° de goedkeuring van de jaarrekening;</w:t>
      </w:r>
    </w:p>
    <w:p>
      <w:pPr>
        <w:pStyle w:val="BodyText"/>
        <w:spacing w:line="364" w:lineRule="auto" w:before="100"/>
        <w:ind w:left="283" w:right="0" w:hanging="1"/>
        <w:jc w:val="left"/>
      </w:pPr>
      <w:r>
        <w:rPr>
          <w:color w:val="231F20"/>
        </w:rPr>
        <w:t>3° alle andere gevallen waarin de wet of de statuten dat vereisen. Onderafdeling 2. Bijeenroeping van de algemene vergadering.</w:t>
      </w:r>
    </w:p>
    <w:p>
      <w:pPr>
        <w:pStyle w:val="BodyText"/>
        <w:spacing w:line="218" w:lineRule="auto" w:before="13"/>
      </w:pPr>
      <w:r>
        <w:rPr>
          <w:color w:val="231F20"/>
        </w:rPr>
        <w:t>Art. 10:6. Onverminderd de in de statuten bepaalde wijze van bijeenroeping, kan, in voorkomend geval, de commissaris de algemene vergadering bijeenroepen. Hij moet die bijeenroepen wanneer een vijfde</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leden</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vereniging</w:t>
      </w:r>
      <w:r>
        <w:rPr>
          <w:color w:val="231F20"/>
          <w:spacing w:val="17"/>
        </w:rPr>
        <w:t> </w:t>
      </w:r>
      <w:r>
        <w:rPr>
          <w:color w:val="231F20"/>
        </w:rPr>
        <w:t>het</w:t>
      </w:r>
      <w:r>
        <w:rPr>
          <w:color w:val="231F20"/>
          <w:spacing w:val="18"/>
        </w:rPr>
        <w:t> </w:t>
      </w:r>
      <w:r>
        <w:rPr>
          <w:color w:val="231F20"/>
        </w:rPr>
        <w:t>vragen.</w:t>
      </w:r>
    </w:p>
    <w:p>
      <w:pPr>
        <w:pStyle w:val="BodyText"/>
        <w:spacing w:before="103"/>
        <w:ind w:left="283" w:right="0" w:firstLine="0"/>
        <w:jc w:val="left"/>
      </w:pPr>
      <w:r>
        <w:rPr>
          <w:color w:val="231F20"/>
        </w:rPr>
        <w:t>Onderafdeling 3. Deelneming aan de algemene vergadering.</w:t>
      </w:r>
    </w:p>
    <w:p>
      <w:pPr>
        <w:pStyle w:val="BodyText"/>
        <w:spacing w:line="218" w:lineRule="auto" w:before="114"/>
      </w:pPr>
      <w:r>
        <w:rPr>
          <w:color w:val="231F20"/>
        </w:rPr>
        <w:t>Art. 10:7. Wanneer de algemene vergadering beraadslaagt op grond van een door de commissaris opgesteld verslag, neemt hij deel aan de vergadering.</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6256" from="298.170502pt,64.473pt" to="298.170502pt,812.819pt" stroked="true" strokeweight=".533pt" strokecolor="#231f20">
            <v:stroke dashstyle="solid"/>
            <w10:wrap type="none"/>
          </v:line>
        </w:pict>
      </w:r>
      <w:bookmarkStart w:name="_bookmark218" w:id="224"/>
      <w:bookmarkEnd w:id="224"/>
      <w:r>
        <w:rPr/>
      </w:r>
      <w:r>
        <w:rPr>
          <w:color w:val="231F20"/>
        </w:rPr>
        <w:t>Section 2. L’assemblée générale ordinaire.</w:t>
      </w:r>
    </w:p>
    <w:p>
      <w:pPr>
        <w:pStyle w:val="BodyText"/>
        <w:spacing w:line="218" w:lineRule="auto" w:before="82"/>
        <w:ind w:right="38"/>
      </w:pPr>
      <w:r>
        <w:rPr>
          <w:color w:val="231F20"/>
        </w:rPr>
        <w:t>Art. 10:8. Chaque année, l’organe d’administration établit le budget de l’exercice suivant. L’assemblée générale approuve le budget lors de son assemblée suivante.</w:t>
      </w:r>
    </w:p>
    <w:p>
      <w:pPr>
        <w:pStyle w:val="BodyText"/>
        <w:spacing w:before="71"/>
        <w:ind w:left="283" w:right="0" w:firstLine="0"/>
        <w:jc w:val="left"/>
      </w:pPr>
      <w:r>
        <w:rPr>
          <w:color w:val="231F20"/>
        </w:rPr>
        <w:t>CHAPITRE 2. Administration.</w:t>
      </w:r>
    </w:p>
    <w:p>
      <w:pPr>
        <w:pStyle w:val="BodyText"/>
        <w:spacing w:before="53"/>
        <w:ind w:left="283" w:right="0" w:firstLine="0"/>
        <w:jc w:val="left"/>
      </w:pPr>
      <w:r>
        <w:rPr>
          <w:color w:val="231F20"/>
        </w:rPr>
        <w:t>Section 1</w:t>
      </w:r>
      <w:r>
        <w:rPr>
          <w:color w:val="231F20"/>
          <w:position w:val="7"/>
          <w:sz w:val="11"/>
        </w:rPr>
        <w:t>re</w:t>
      </w:r>
      <w:r>
        <w:rPr>
          <w:color w:val="231F20"/>
        </w:rPr>
        <w:t>. Administration et représentation.</w:t>
      </w:r>
    </w:p>
    <w:p>
      <w:pPr>
        <w:pStyle w:val="BodyText"/>
        <w:spacing w:line="218" w:lineRule="auto" w:before="82"/>
        <w:ind w:right="38"/>
      </w:pPr>
      <w:r>
        <w:rPr>
          <w:color w:val="231F20"/>
        </w:rPr>
        <w:t>Art. 10:9. Les statuts déterminent la forme, la composition, le fonctionnement et les pouvoirs de l’organe d’administration.</w:t>
      </w:r>
    </w:p>
    <w:p>
      <w:pPr>
        <w:pStyle w:val="BodyText"/>
        <w:spacing w:line="218" w:lineRule="auto" w:before="85"/>
        <w:ind w:right="38"/>
      </w:pPr>
      <w:r>
        <w:rPr>
          <w:color w:val="231F20"/>
        </w:rPr>
        <w:t>Les statuts déterminent le mode de désignation des personnes qui ont</w:t>
      </w:r>
      <w:r>
        <w:rPr>
          <w:color w:val="231F20"/>
          <w:spacing w:val="15"/>
        </w:rPr>
        <w:t> </w:t>
      </w:r>
      <w:r>
        <w:rPr>
          <w:color w:val="231F20"/>
        </w:rPr>
        <w:t>le</w:t>
      </w:r>
      <w:r>
        <w:rPr>
          <w:color w:val="231F20"/>
          <w:spacing w:val="16"/>
        </w:rPr>
        <w:t> </w:t>
      </w:r>
      <w:r>
        <w:rPr>
          <w:color w:val="231F20"/>
        </w:rPr>
        <w:t>pouvoir</w:t>
      </w:r>
      <w:r>
        <w:rPr>
          <w:color w:val="231F20"/>
          <w:spacing w:val="16"/>
        </w:rPr>
        <w:t> </w:t>
      </w:r>
      <w:r>
        <w:rPr>
          <w:color w:val="231F20"/>
        </w:rPr>
        <w:t>de</w:t>
      </w:r>
      <w:r>
        <w:rPr>
          <w:color w:val="231F20"/>
          <w:spacing w:val="16"/>
        </w:rPr>
        <w:t> </w:t>
      </w:r>
      <w:r>
        <w:rPr>
          <w:color w:val="231F20"/>
        </w:rPr>
        <w:t>représenter</w:t>
      </w:r>
      <w:r>
        <w:rPr>
          <w:color w:val="231F20"/>
          <w:spacing w:val="15"/>
        </w:rPr>
        <w:t> </w:t>
      </w:r>
      <w:r>
        <w:rPr>
          <w:color w:val="231F20"/>
        </w:rPr>
        <w:t>l’AISBL</w:t>
      </w:r>
      <w:r>
        <w:rPr>
          <w:color w:val="231F20"/>
          <w:spacing w:val="10"/>
        </w:rPr>
        <w:t> </w:t>
      </w:r>
      <w:r>
        <w:rPr>
          <w:color w:val="231F20"/>
        </w:rPr>
        <w:t>vis-à-vis</w:t>
      </w:r>
      <w:r>
        <w:rPr>
          <w:color w:val="231F20"/>
          <w:spacing w:val="16"/>
        </w:rPr>
        <w:t> </w:t>
      </w:r>
      <w:r>
        <w:rPr>
          <w:color w:val="231F20"/>
        </w:rPr>
        <w:t>des</w:t>
      </w:r>
      <w:r>
        <w:rPr>
          <w:color w:val="231F20"/>
          <w:spacing w:val="16"/>
        </w:rPr>
        <w:t> </w:t>
      </w:r>
      <w:r>
        <w:rPr>
          <w:color w:val="231F20"/>
        </w:rPr>
        <w:t>tiers.</w:t>
      </w:r>
    </w:p>
    <w:p>
      <w:pPr>
        <w:pStyle w:val="BodyText"/>
        <w:spacing w:before="72"/>
        <w:ind w:left="283" w:right="0" w:firstLine="0"/>
        <w:jc w:val="left"/>
      </w:pPr>
      <w:r>
        <w:rPr>
          <w:color w:val="231F20"/>
        </w:rPr>
        <w:t>Section 2. Gestion journalière.</w:t>
      </w:r>
    </w:p>
    <w:p>
      <w:pPr>
        <w:pStyle w:val="BodyText"/>
        <w:spacing w:line="218" w:lineRule="auto" w:before="82"/>
        <w:ind w:right="38"/>
      </w:pPr>
      <w:r>
        <w:rPr>
          <w:color w:val="231F20"/>
        </w:rPr>
        <w:t>Art. 10:10. Les statuts peuvent prévoir que l’organe d’administration peut charger une ou plusieurs personnes, qui agissent chacune individuellement, conjointement ou collégialement, de la gestion journalière de l’association, ainsi que de la représentation de l’associa- tion en ce qui concerne cette gestion. L’organe d’administration qui a désigné le délégué à la gestion journalière est chargé de la surveillance de celui-ci.</w:t>
      </w:r>
    </w:p>
    <w:p>
      <w:pPr>
        <w:pStyle w:val="BodyText"/>
        <w:spacing w:line="218" w:lineRule="auto" w:before="86"/>
        <w:ind w:right="38"/>
      </w:pPr>
      <w:r>
        <w:rPr>
          <w:color w:val="231F20"/>
        </w:rPr>
        <w:t>La gestion journalière comprend aussi bien les actes et les décisions qui n’excèdent pas les besoins de la vie quotidienne de l’association que les actes et les décisions qui, soit en raison de l’intérêt mineur qu’ils représentent, soit en raison de leur caractère urgent, ne justifient pas l’intervention de l’organe d’administration.</w:t>
      </w:r>
    </w:p>
    <w:p>
      <w:pPr>
        <w:pStyle w:val="BodyText"/>
        <w:ind w:left="0" w:right="0" w:firstLine="0"/>
        <w:jc w:val="left"/>
        <w:rPr>
          <w:sz w:val="23"/>
        </w:rPr>
      </w:pPr>
    </w:p>
    <w:p>
      <w:pPr>
        <w:pStyle w:val="BodyText"/>
        <w:spacing w:line="218" w:lineRule="auto"/>
        <w:ind w:right="38"/>
      </w:pPr>
      <w:r>
        <w:rPr>
          <w:color w:val="231F20"/>
        </w:rPr>
        <w:t>La disposition selon laquelle la gestion journalière est confiée à une ou plusieurs personnes agissant chacune individuellement, conjointe- ment ou collégialement, est opposable aux tiers aux conditions fixées à l’article 2:18. Les limitations au pouvoir de représentation de l’organe de gestion journalière ne sont toutefois pas opposables aux tiers, même si elles sont publiées.</w:t>
      </w:r>
    </w:p>
    <w:p>
      <w:pPr>
        <w:pStyle w:val="BodyText"/>
        <w:spacing w:before="72"/>
        <w:ind w:left="283" w:right="0" w:firstLine="0"/>
        <w:jc w:val="left"/>
      </w:pPr>
      <w:r>
        <w:rPr>
          <w:color w:val="231F20"/>
        </w:rPr>
        <w:t>TITRE 3. Libéralités.</w:t>
      </w:r>
    </w:p>
    <w:p>
      <w:pPr>
        <w:pStyle w:val="BodyText"/>
        <w:spacing w:line="218" w:lineRule="auto" w:before="82"/>
        <w:ind w:right="38"/>
      </w:pPr>
      <w:r>
        <w:rPr>
          <w:color w:val="231F20"/>
        </w:rPr>
        <w:t>Art. 10:11. À l’exception des dons manuels, toute libération entre vifs au profit de l’association dont la valeur excède 100 000 euro doit être autorisée par le ministre de la Justice ou son délégué.</w:t>
      </w:r>
    </w:p>
    <w:p>
      <w:pPr>
        <w:pStyle w:val="BodyText"/>
        <w:ind w:left="0" w:right="0" w:firstLine="0"/>
        <w:jc w:val="left"/>
        <w:rPr>
          <w:sz w:val="23"/>
        </w:rPr>
      </w:pPr>
    </w:p>
    <w:p>
      <w:pPr>
        <w:pStyle w:val="BodyText"/>
        <w:spacing w:line="218" w:lineRule="auto"/>
        <w:ind w:right="38"/>
      </w:pPr>
      <w:r>
        <w:rPr>
          <w:color w:val="231F20"/>
        </w:rPr>
        <w:t>La libéralité est réputée autorisée si le ministre de la Justice ou son délégué n’a pas réagi dans un délai de trois mois à dater de la demande d’autorisation qui lui est adressée.</w:t>
      </w:r>
    </w:p>
    <w:p>
      <w:pPr>
        <w:pStyle w:val="BodyText"/>
        <w:spacing w:before="10"/>
        <w:ind w:left="0" w:right="0" w:firstLine="0"/>
        <w:jc w:val="left"/>
        <w:rPr>
          <w:sz w:val="23"/>
        </w:rPr>
      </w:pPr>
    </w:p>
    <w:p>
      <w:pPr>
        <w:pStyle w:val="BodyText"/>
        <w:spacing w:line="218" w:lineRule="auto"/>
        <w:ind w:right="38"/>
      </w:pPr>
      <w:r>
        <w:rPr>
          <w:color w:val="231F20"/>
        </w:rPr>
        <w:t>Le ministre de la Justice détermine les pièces qui doivent être jointes à la demande.</w:t>
      </w:r>
    </w:p>
    <w:p>
      <w:pPr>
        <w:pStyle w:val="BodyText"/>
        <w:spacing w:line="218" w:lineRule="auto" w:before="97"/>
        <w:ind w:right="38"/>
      </w:pPr>
      <w:r>
        <w:rPr>
          <w:color w:val="231F20"/>
        </w:rPr>
        <w:t>Si le dossier communiqué par l’association est incomplet, le ministre de la Justice ou son délégué en informe l’association par lettre recommandée en indiquant les pièces manquantes. Le délai de trois mois est suspendu à la date de cet envoi jusqu’à la communication de l’ensemble des pièces sollicitées.</w:t>
      </w:r>
    </w:p>
    <w:p>
      <w:pPr>
        <w:pStyle w:val="BodyText"/>
        <w:spacing w:before="10"/>
        <w:ind w:left="0" w:right="0" w:firstLine="0"/>
        <w:jc w:val="left"/>
        <w:rPr>
          <w:sz w:val="23"/>
        </w:rPr>
      </w:pPr>
    </w:p>
    <w:p>
      <w:pPr>
        <w:pStyle w:val="BodyText"/>
        <w:spacing w:line="218" w:lineRule="auto"/>
        <w:ind w:right="38"/>
      </w:pPr>
      <w:r>
        <w:rPr>
          <w:color w:val="231F20"/>
        </w:rPr>
        <w:t>L’autorisation peut seulement être accordée si l’association s’est conformée aux dispositions de l’article 2:10.</w:t>
      </w:r>
    </w:p>
    <w:p>
      <w:pPr>
        <w:pStyle w:val="BodyText"/>
        <w:spacing w:line="218" w:lineRule="auto" w:before="82"/>
        <w:ind w:right="38"/>
      </w:pPr>
      <w:r>
        <w:rPr>
          <w:color w:val="231F20"/>
        </w:rPr>
        <w:t>Le montant visé à l’alinéa 1</w:t>
      </w:r>
      <w:r>
        <w:rPr>
          <w:color w:val="231F20"/>
          <w:position w:val="7"/>
          <w:sz w:val="11"/>
        </w:rPr>
        <w:t>er </w:t>
      </w:r>
      <w:r>
        <w:rPr>
          <w:color w:val="231F20"/>
        </w:rPr>
        <w:t>peut être modifié par arrêté royal délibéré en Conseil des ministres.</w:t>
      </w:r>
    </w:p>
    <w:p>
      <w:pPr>
        <w:pStyle w:val="BodyText"/>
        <w:spacing w:before="82"/>
        <w:ind w:left="283" w:right="0" w:firstLine="0"/>
        <w:jc w:val="left"/>
      </w:pPr>
      <w:r>
        <w:rPr>
          <w:color w:val="231F20"/>
        </w:rPr>
        <w:t>LIVRE 11. Fondations.</w:t>
      </w:r>
    </w:p>
    <w:p>
      <w:pPr>
        <w:pStyle w:val="BodyText"/>
        <w:spacing w:line="319" w:lineRule="auto" w:before="63"/>
        <w:ind w:left="283" w:right="2014" w:firstLine="0"/>
        <w:jc w:val="left"/>
      </w:pPr>
      <w:r>
        <w:rPr>
          <w:color w:val="231F20"/>
        </w:rPr>
        <w:t>TITRE 1</w:t>
      </w:r>
      <w:r>
        <w:rPr>
          <w:color w:val="231F20"/>
          <w:position w:val="7"/>
          <w:sz w:val="11"/>
        </w:rPr>
        <w:t>er</w:t>
      </w:r>
      <w:r>
        <w:rPr>
          <w:color w:val="231F20"/>
        </w:rPr>
        <w:t>. Dispositions générales. CHAPITRE 1</w:t>
      </w:r>
      <w:r>
        <w:rPr>
          <w:color w:val="231F20"/>
          <w:position w:val="7"/>
          <w:sz w:val="11"/>
        </w:rPr>
        <w:t>er</w:t>
      </w:r>
      <w:r>
        <w:rPr>
          <w:color w:val="231F20"/>
        </w:rPr>
        <w:t>. Dispositions introductives.</w:t>
      </w:r>
    </w:p>
    <w:p>
      <w:pPr>
        <w:pStyle w:val="BodyText"/>
        <w:spacing w:line="218" w:lineRule="auto" w:before="29"/>
        <w:ind w:right="38"/>
      </w:pPr>
      <w:r>
        <w:rPr>
          <w:color w:val="231F20"/>
        </w:rPr>
        <w:t>Art. 11:1. La fondation peut être reconnue d’utilité publique si elle tend à la réalisation d’une œuvre à caractère philanthropique, philoso- phique, religieux, scientifique, artistique, pédagogique ou culturel.</w:t>
      </w:r>
    </w:p>
    <w:p>
      <w:pPr>
        <w:pStyle w:val="BodyText"/>
        <w:spacing w:before="10"/>
        <w:ind w:left="0" w:right="0" w:firstLine="0"/>
        <w:jc w:val="left"/>
        <w:rPr>
          <w:sz w:val="23"/>
        </w:rPr>
      </w:pPr>
    </w:p>
    <w:p>
      <w:pPr>
        <w:pStyle w:val="BodyText"/>
        <w:spacing w:line="218" w:lineRule="auto" w:before="1"/>
        <w:ind w:right="38"/>
      </w:pPr>
      <w:r>
        <w:rPr>
          <w:color w:val="231F20"/>
        </w:rPr>
        <w:t>Les fondations reconnues d’utilité publique portent l’appellation de “fondation d’utilité publique”. Les autres fondations portent l’appella- tion de “fondation privée”.</w:t>
      </w:r>
    </w:p>
    <w:p>
      <w:pPr>
        <w:pStyle w:val="BodyText"/>
        <w:spacing w:line="218" w:lineRule="auto" w:before="96"/>
        <w:ind w:right="38"/>
      </w:pPr>
      <w:r>
        <w:rPr>
          <w:color w:val="231F20"/>
        </w:rPr>
        <w:t>Art. 11:2. L’acte constitutif contient au moins les données mention- nées dans l’extrait visé à l’article 2:11, § 2.</w:t>
      </w:r>
    </w:p>
    <w:p>
      <w:pPr>
        <w:pStyle w:val="BodyText"/>
        <w:spacing w:line="218" w:lineRule="auto" w:before="96"/>
        <w:ind w:right="38"/>
      </w:pPr>
      <w:r>
        <w:rPr>
          <w:color w:val="231F20"/>
        </w:rPr>
        <w:t>Les statuts peuvent prévoir que, lorsque le but désintéressé de la fondation est réalisé, le fondateur ou ses ayants droit peuvent</w:t>
      </w:r>
      <w:r>
        <w:rPr>
          <w:color w:val="231F20"/>
          <w:spacing w:val="-28"/>
        </w:rPr>
        <w:t> </w:t>
      </w:r>
      <w:r>
        <w:rPr>
          <w:color w:val="231F20"/>
        </w:rPr>
        <w:t>reprendre une somme égale à la valeur des biens ou les biens eux-mêmes que le fondateur</w:t>
      </w:r>
      <w:r>
        <w:rPr>
          <w:color w:val="231F20"/>
          <w:spacing w:val="14"/>
        </w:rPr>
        <w:t> </w:t>
      </w:r>
      <w:r>
        <w:rPr>
          <w:color w:val="231F20"/>
        </w:rPr>
        <w:t>a</w:t>
      </w:r>
      <w:r>
        <w:rPr>
          <w:color w:val="231F20"/>
          <w:spacing w:val="15"/>
        </w:rPr>
        <w:t> </w:t>
      </w:r>
      <w:r>
        <w:rPr>
          <w:color w:val="231F20"/>
        </w:rPr>
        <w:t>affectés</w:t>
      </w:r>
      <w:r>
        <w:rPr>
          <w:color w:val="231F20"/>
          <w:spacing w:val="14"/>
        </w:rPr>
        <w:t> </w:t>
      </w:r>
      <w:r>
        <w:rPr>
          <w:color w:val="231F20"/>
        </w:rPr>
        <w:t>à</w:t>
      </w:r>
      <w:r>
        <w:rPr>
          <w:color w:val="231F20"/>
          <w:spacing w:val="15"/>
        </w:rPr>
        <w:t> </w:t>
      </w:r>
      <w:r>
        <w:rPr>
          <w:color w:val="231F20"/>
        </w:rPr>
        <w:t>la</w:t>
      </w:r>
      <w:r>
        <w:rPr>
          <w:color w:val="231F20"/>
          <w:spacing w:val="15"/>
        </w:rPr>
        <w:t> </w:t>
      </w:r>
      <w:r>
        <w:rPr>
          <w:color w:val="231F20"/>
        </w:rPr>
        <w:t>réalisation</w:t>
      </w:r>
      <w:r>
        <w:rPr>
          <w:color w:val="231F20"/>
          <w:spacing w:val="14"/>
        </w:rPr>
        <w:t> </w:t>
      </w:r>
      <w:r>
        <w:rPr>
          <w:color w:val="231F20"/>
        </w:rPr>
        <w:t>de</w:t>
      </w:r>
      <w:r>
        <w:rPr>
          <w:color w:val="231F20"/>
          <w:spacing w:val="15"/>
        </w:rPr>
        <w:t> </w:t>
      </w:r>
      <w:r>
        <w:rPr>
          <w:color w:val="231F20"/>
        </w:rPr>
        <w:t>ce</w:t>
      </w:r>
      <w:r>
        <w:rPr>
          <w:color w:val="231F20"/>
          <w:spacing w:val="14"/>
        </w:rPr>
        <w:t> </w:t>
      </w:r>
      <w:r>
        <w:rPr>
          <w:color w:val="231F20"/>
        </w:rPr>
        <w:t>but.</w:t>
      </w:r>
    </w:p>
    <w:p>
      <w:pPr>
        <w:pStyle w:val="BodyText"/>
        <w:spacing w:before="11"/>
        <w:ind w:left="0" w:right="0" w:firstLine="0"/>
        <w:jc w:val="left"/>
        <w:rPr>
          <w:sz w:val="23"/>
        </w:rPr>
      </w:pPr>
    </w:p>
    <w:p>
      <w:pPr>
        <w:pStyle w:val="BodyText"/>
        <w:spacing w:line="218" w:lineRule="auto"/>
        <w:ind w:right="38"/>
      </w:pPr>
      <w:r>
        <w:rPr>
          <w:color w:val="231F20"/>
        </w:rPr>
        <w:t>Art. 11:3. </w:t>
      </w:r>
      <w:r>
        <w:rPr>
          <w:color w:val="231F20"/>
          <w:spacing w:val="-4"/>
        </w:rPr>
        <w:t>Toute </w:t>
      </w:r>
      <w:r>
        <w:rPr>
          <w:color w:val="231F20"/>
        </w:rPr>
        <w:t>action intentée par une fondation n’ayant pas respecté les formalités prévues à l’article </w:t>
      </w:r>
      <w:r>
        <w:rPr>
          <w:color w:val="231F20"/>
          <w:spacing w:val="-3"/>
        </w:rPr>
        <w:t>2:11 </w:t>
      </w:r>
      <w:r>
        <w:rPr>
          <w:color w:val="231F20"/>
        </w:rPr>
        <w:t>est suspendue. </w:t>
      </w:r>
      <w:r>
        <w:rPr>
          <w:color w:val="231F20"/>
          <w:spacing w:val="-4"/>
        </w:rPr>
        <w:t>Avant </w:t>
      </w:r>
      <w:r>
        <w:rPr>
          <w:color w:val="231F20"/>
        </w:rPr>
        <w:t>de déclarer l’action irrecevable, le juge fixe un délai endéans lequel la fondation</w:t>
      </w:r>
      <w:r>
        <w:rPr>
          <w:color w:val="231F20"/>
          <w:spacing w:val="14"/>
        </w:rPr>
        <w:t> </w:t>
      </w:r>
      <w:r>
        <w:rPr>
          <w:color w:val="231F20"/>
        </w:rPr>
        <w:t>peut</w:t>
      </w:r>
      <w:r>
        <w:rPr>
          <w:color w:val="231F20"/>
          <w:spacing w:val="14"/>
        </w:rPr>
        <w:t> </w:t>
      </w:r>
      <w:r>
        <w:rPr>
          <w:color w:val="231F20"/>
        </w:rPr>
        <w:t>encore</w:t>
      </w:r>
      <w:r>
        <w:rPr>
          <w:color w:val="231F20"/>
          <w:spacing w:val="15"/>
        </w:rPr>
        <w:t> </w:t>
      </w:r>
      <w:r>
        <w:rPr>
          <w:color w:val="231F20"/>
        </w:rPr>
        <w:t>satisfaire</w:t>
      </w:r>
      <w:r>
        <w:rPr>
          <w:color w:val="231F20"/>
          <w:spacing w:val="14"/>
        </w:rPr>
        <w:t> </w:t>
      </w:r>
      <w:r>
        <w:rPr>
          <w:color w:val="231F20"/>
        </w:rPr>
        <w:t>à</w:t>
      </w:r>
      <w:r>
        <w:rPr>
          <w:color w:val="231F20"/>
          <w:spacing w:val="15"/>
        </w:rPr>
        <w:t> </w:t>
      </w:r>
      <w:r>
        <w:rPr>
          <w:color w:val="231F20"/>
        </w:rPr>
        <w:t>ces</w:t>
      </w:r>
      <w:r>
        <w:rPr>
          <w:color w:val="231F20"/>
          <w:spacing w:val="14"/>
        </w:rPr>
        <w:t> </w:t>
      </w:r>
      <w:r>
        <w:rPr>
          <w:color w:val="231F20"/>
        </w:rPr>
        <w:t>formalités.</w:t>
      </w:r>
    </w:p>
    <w:p>
      <w:pPr>
        <w:pStyle w:val="BodyText"/>
        <w:spacing w:before="105"/>
        <w:ind w:left="283" w:right="0" w:firstLine="0"/>
        <w:jc w:val="left"/>
      </w:pPr>
      <w:r>
        <w:rPr/>
        <w:br w:type="column"/>
      </w:r>
      <w:r>
        <w:rPr>
          <w:color w:val="231F20"/>
        </w:rPr>
        <w:t>Afdeling 2. De gewone algemene vergadering.</w:t>
      </w:r>
    </w:p>
    <w:p>
      <w:pPr>
        <w:pStyle w:val="BodyText"/>
        <w:spacing w:line="218" w:lineRule="auto" w:before="82"/>
      </w:pPr>
      <w:r>
        <w:rPr>
          <w:color w:val="231F20"/>
        </w:rPr>
        <w:t>Art. 10:8. Ieder jaar maakt het bestuursorgaan de begroting van het volgende boekjaar op. De algemene vergadering keurt de begroting goed tijdens haar eerstvolgende</w:t>
      </w:r>
      <w:r>
        <w:rPr>
          <w:color w:val="231F20"/>
          <w:spacing w:val="23"/>
        </w:rPr>
        <w:t> </w:t>
      </w:r>
      <w:r>
        <w:rPr>
          <w:color w:val="231F20"/>
        </w:rPr>
        <w:t>vergadering.</w:t>
      </w:r>
    </w:p>
    <w:p>
      <w:pPr>
        <w:pStyle w:val="BodyText"/>
        <w:spacing w:before="72"/>
        <w:ind w:left="283" w:right="0" w:firstLine="0"/>
        <w:jc w:val="left"/>
      </w:pPr>
      <w:r>
        <w:rPr>
          <w:color w:val="231F20"/>
        </w:rPr>
        <w:t>HOOFDSTUK 2. Bestuur.</w:t>
      </w:r>
    </w:p>
    <w:p>
      <w:pPr>
        <w:pStyle w:val="BodyText"/>
        <w:spacing w:before="68"/>
        <w:ind w:left="283" w:right="0" w:firstLine="0"/>
        <w:jc w:val="left"/>
      </w:pPr>
      <w:r>
        <w:rPr>
          <w:color w:val="231F20"/>
          <w:w w:val="105"/>
        </w:rPr>
        <w:t>Afdeling 1. Bestuur en vertegenwoordiging.</w:t>
      </w:r>
    </w:p>
    <w:p>
      <w:pPr>
        <w:pStyle w:val="BodyText"/>
        <w:spacing w:line="218" w:lineRule="auto" w:before="82"/>
      </w:pPr>
      <w:r>
        <w:rPr>
          <w:color w:val="231F20"/>
        </w:rPr>
        <w:t>Art. 10:9. De statuten bepalen de vorm, de samenstelling, de werkwijze en de bevoegdheden van het bestuursorgaan.</w:t>
      </w:r>
    </w:p>
    <w:p>
      <w:pPr>
        <w:pStyle w:val="BodyText"/>
        <w:spacing w:line="218" w:lineRule="auto" w:before="85"/>
      </w:pPr>
      <w:r>
        <w:rPr>
          <w:color w:val="231F20"/>
        </w:rPr>
        <w:t>De statuten bepalen de wijze van aanwijzing van de personen bevoegd</w:t>
      </w:r>
      <w:r>
        <w:rPr>
          <w:color w:val="231F20"/>
          <w:spacing w:val="21"/>
        </w:rPr>
        <w:t> </w:t>
      </w:r>
      <w:r>
        <w:rPr>
          <w:color w:val="231F20"/>
        </w:rPr>
        <w:t>om</w:t>
      </w:r>
      <w:r>
        <w:rPr>
          <w:color w:val="231F20"/>
          <w:spacing w:val="21"/>
        </w:rPr>
        <w:t> </w:t>
      </w:r>
      <w:r>
        <w:rPr>
          <w:color w:val="231F20"/>
        </w:rPr>
        <w:t>de</w:t>
      </w:r>
      <w:r>
        <w:rPr>
          <w:color w:val="231F20"/>
          <w:spacing w:val="22"/>
        </w:rPr>
        <w:t> </w:t>
      </w:r>
      <w:r>
        <w:rPr>
          <w:color w:val="231F20"/>
        </w:rPr>
        <w:t>IVZW</w:t>
      </w:r>
      <w:r>
        <w:rPr>
          <w:color w:val="231F20"/>
          <w:spacing w:val="21"/>
        </w:rPr>
        <w:t> </w:t>
      </w:r>
      <w:r>
        <w:rPr>
          <w:color w:val="231F20"/>
        </w:rPr>
        <w:t>te</w:t>
      </w:r>
      <w:r>
        <w:rPr>
          <w:color w:val="231F20"/>
          <w:spacing w:val="22"/>
        </w:rPr>
        <w:t> </w:t>
      </w:r>
      <w:r>
        <w:rPr>
          <w:color w:val="231F20"/>
        </w:rPr>
        <w:t>vertegenwoordigen</w:t>
      </w:r>
      <w:r>
        <w:rPr>
          <w:color w:val="231F20"/>
          <w:spacing w:val="21"/>
        </w:rPr>
        <w:t> </w:t>
      </w:r>
      <w:r>
        <w:rPr>
          <w:color w:val="231F20"/>
        </w:rPr>
        <w:t>tegenover</w:t>
      </w:r>
      <w:r>
        <w:rPr>
          <w:color w:val="231F20"/>
          <w:spacing w:val="22"/>
        </w:rPr>
        <w:t> </w:t>
      </w:r>
      <w:r>
        <w:rPr>
          <w:color w:val="231F20"/>
        </w:rPr>
        <w:t>derden.</w:t>
      </w:r>
    </w:p>
    <w:p>
      <w:pPr>
        <w:pStyle w:val="BodyText"/>
        <w:spacing w:before="72"/>
        <w:ind w:left="283" w:right="0" w:firstLine="0"/>
        <w:jc w:val="left"/>
      </w:pPr>
      <w:r>
        <w:rPr>
          <w:color w:val="231F20"/>
        </w:rPr>
        <w:t>Afdeling 2. Dagelijks bestuur.</w:t>
      </w:r>
    </w:p>
    <w:p>
      <w:pPr>
        <w:pStyle w:val="BodyText"/>
        <w:spacing w:line="218" w:lineRule="auto" w:before="82"/>
      </w:pPr>
      <w:r>
        <w:rPr>
          <w:color w:val="231F20"/>
        </w:rPr>
        <w:t>Art. 10:10. De statuten kunnen bepalen dat het bestuursorgaan het dagelijks bestuur van de vereniging, alsook de vertegenwoordiging van de vereniging wat dat bestuur aangaat, kan opdragen aan een of meer personen, die elk alleen, gezamenlijk of als college optreden. Het bestuursorgaan dat het dagelijks bestuur heeft aangesteld is belast met het toezicht op dit orgaan.</w:t>
      </w:r>
    </w:p>
    <w:p>
      <w:pPr>
        <w:pStyle w:val="BodyText"/>
        <w:ind w:left="0" w:right="0" w:firstLine="0"/>
        <w:jc w:val="left"/>
        <w:rPr>
          <w:sz w:val="23"/>
        </w:rPr>
      </w:pPr>
    </w:p>
    <w:p>
      <w:pPr>
        <w:pStyle w:val="BodyText"/>
        <w:spacing w:line="218" w:lineRule="auto"/>
      </w:pPr>
      <w:r>
        <w:rPr>
          <w:color w:val="231F20"/>
        </w:rPr>
        <w:t>Het dagelijks bestuur omvat zowel de handelingen en de beslissin- gen die niet verder reiken dan de behoeften van het dagelijks leven van de vereniging, als de handelingen en de beslissingen die, ofwel om reden van hun minder belang dat ze vertonen, ofwel omwille van hun spoedeisend karakter, de tussenkomst van het bestuursorgaan niet rechtvaardigen.</w:t>
      </w:r>
    </w:p>
    <w:p>
      <w:pPr>
        <w:pStyle w:val="BodyText"/>
        <w:spacing w:line="218" w:lineRule="auto" w:before="86"/>
      </w:pPr>
      <w:r>
        <w:rPr>
          <w:color w:val="231F20"/>
        </w:rPr>
        <w:t>De bepaling dat het dagelijks bestuur wordt opgedragen aan een of meer personen die elk alleen, gezamenlijk of als college optreden, kan aan derden worden tegengeworpen onder de voorwaarden bepaald in artikel 2:18. Beperkingen aan de vertegenwoordigingsbevoegdheid van het orgaan van dagelijks bestuur kunnen aan derden echter niet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before="72"/>
        <w:ind w:left="283" w:right="0" w:firstLine="0"/>
        <w:jc w:val="left"/>
      </w:pPr>
      <w:r>
        <w:rPr>
          <w:color w:val="231F20"/>
        </w:rPr>
        <w:t>TITEL 3. Giften.</w:t>
      </w:r>
    </w:p>
    <w:p>
      <w:pPr>
        <w:pStyle w:val="BodyText"/>
        <w:spacing w:line="218" w:lineRule="auto" w:before="82"/>
      </w:pPr>
      <w:r>
        <w:rPr>
          <w:color w:val="231F20"/>
        </w:rPr>
        <w:t>Art. 10:11. Met uitzondering van handgiften, behoeft elke gift onder de levenden aan de vereniging waarvan de waarde hoger is dan</w:t>
      </w:r>
    </w:p>
    <w:p>
      <w:pPr>
        <w:pStyle w:val="BodyText"/>
        <w:spacing w:line="218" w:lineRule="auto"/>
        <w:ind w:right="0" w:firstLine="0"/>
        <w:jc w:val="left"/>
      </w:pPr>
      <w:r>
        <w:rPr>
          <w:color w:val="231F20"/>
        </w:rPr>
        <w:t>100 000 euro een machtiging door de minister van Justitie of zijn vertegenwoordiger.</w:t>
      </w:r>
    </w:p>
    <w:p>
      <w:pPr>
        <w:pStyle w:val="BodyText"/>
        <w:spacing w:line="218" w:lineRule="auto" w:before="85"/>
      </w:pPr>
      <w:r>
        <w:rPr>
          <w:color w:val="231F20"/>
        </w:rPr>
        <w:t>De gift wordt geacht te zijn gemachtigd indien de minister van Justitie of zijn vertegenwoordiger niet heeft gereageerd binnen een termijn van drie maanden te rekenen van het aan hem gerichte verzoek tot machtiging.</w:t>
      </w:r>
    </w:p>
    <w:p>
      <w:pPr>
        <w:pStyle w:val="BodyText"/>
        <w:spacing w:line="218" w:lineRule="auto" w:before="97"/>
      </w:pPr>
      <w:r>
        <w:rPr>
          <w:color w:val="231F20"/>
        </w:rPr>
        <w:t>De minister van Justitie bepaalt welke stukken bij het verzoek moeten worden</w:t>
      </w:r>
      <w:r>
        <w:rPr>
          <w:color w:val="231F20"/>
          <w:spacing w:val="-10"/>
        </w:rPr>
        <w:t> </w:t>
      </w:r>
      <w:r>
        <w:rPr>
          <w:color w:val="231F20"/>
        </w:rPr>
        <w:t>gevoegd.</w:t>
      </w:r>
    </w:p>
    <w:p>
      <w:pPr>
        <w:pStyle w:val="BodyText"/>
        <w:spacing w:line="218" w:lineRule="auto" w:before="96"/>
      </w:pPr>
      <w:r>
        <w:rPr>
          <w:color w:val="231F20"/>
        </w:rPr>
        <w:t>Ingeval het door de vereniging toegezonden dossier niet volledig is, stelt de minister van Justitie of zijn vertegenwoordiger de vereniging daarvan bij aangetekende brief in kennis, met vermelding van de ontbrekende stukken. De termijn van drie maanden wordt opgeschort met ingang van de datum van die verzending tot aan de toezending   van alle gevraagde</w:t>
      </w:r>
      <w:r>
        <w:rPr>
          <w:color w:val="231F20"/>
          <w:spacing w:val="6"/>
        </w:rPr>
        <w:t> </w:t>
      </w:r>
      <w:r>
        <w:rPr>
          <w:color w:val="231F20"/>
        </w:rPr>
        <w:t>stukken.</w:t>
      </w:r>
    </w:p>
    <w:p>
      <w:pPr>
        <w:pStyle w:val="BodyText"/>
        <w:spacing w:line="218" w:lineRule="auto" w:before="96"/>
      </w:pPr>
      <w:r>
        <w:rPr>
          <w:color w:val="231F20"/>
        </w:rPr>
        <w:t>De machtiging kan enkel worden verleend indien de vereniging heeft voldaan aan de bepalingen van artikel 2:10.</w:t>
      </w:r>
    </w:p>
    <w:p>
      <w:pPr>
        <w:pStyle w:val="BodyText"/>
        <w:spacing w:line="218" w:lineRule="auto" w:before="96"/>
      </w:pPr>
      <w:r>
        <w:rPr>
          <w:color w:val="231F20"/>
        </w:rPr>
        <w:t>Het bedrag bedoeld in het eerste lid kan worden gewijzigd bij een in Ministerraad overlegd koninklijk besluit.</w:t>
      </w:r>
    </w:p>
    <w:p>
      <w:pPr>
        <w:pStyle w:val="BodyText"/>
        <w:spacing w:before="82"/>
        <w:ind w:left="283" w:right="0" w:firstLine="0"/>
        <w:jc w:val="left"/>
      </w:pPr>
      <w:r>
        <w:rPr>
          <w:color w:val="231F20"/>
        </w:rPr>
        <w:t>BOEK 11. Stichtingen.</w:t>
      </w:r>
    </w:p>
    <w:p>
      <w:pPr>
        <w:pStyle w:val="BodyText"/>
        <w:spacing w:line="338" w:lineRule="auto" w:before="79"/>
        <w:ind w:left="283" w:right="2162" w:firstLine="0"/>
        <w:jc w:val="left"/>
      </w:pPr>
      <w:r>
        <w:rPr>
          <w:color w:val="231F20"/>
        </w:rPr>
        <w:t>TITEL 1. Algemene bepalingen. HOOFDSTUK 1. Inleidende bepalingen.</w:t>
      </w:r>
    </w:p>
    <w:p>
      <w:pPr>
        <w:pStyle w:val="BodyText"/>
        <w:spacing w:line="218" w:lineRule="auto" w:before="13"/>
      </w:pPr>
      <w:r>
        <w:rPr>
          <w:color w:val="231F20"/>
        </w:rPr>
        <w:t>Art. 11:1. De stichting kan worden erkend als zijnde van openbaar  nut indien zij gericht is op de verwezenlijking van een werk van filantropische,</w:t>
      </w:r>
      <w:r>
        <w:rPr>
          <w:color w:val="231F20"/>
          <w:spacing w:val="-24"/>
        </w:rPr>
        <w:t> </w:t>
      </w:r>
      <w:r>
        <w:rPr>
          <w:color w:val="231F20"/>
        </w:rPr>
        <w:t>levensbeschouwelijke,</w:t>
      </w:r>
      <w:r>
        <w:rPr>
          <w:color w:val="231F20"/>
          <w:spacing w:val="-24"/>
        </w:rPr>
        <w:t> </w:t>
      </w:r>
      <w:r>
        <w:rPr>
          <w:color w:val="231F20"/>
          <w:spacing w:val="-3"/>
        </w:rPr>
        <w:t>religieuze,</w:t>
      </w:r>
      <w:r>
        <w:rPr>
          <w:color w:val="231F20"/>
          <w:spacing w:val="-23"/>
        </w:rPr>
        <w:t> </w:t>
      </w:r>
      <w:r>
        <w:rPr>
          <w:color w:val="231F20"/>
        </w:rPr>
        <w:t>wetenschappelijke,</w:t>
      </w:r>
      <w:r>
        <w:rPr>
          <w:color w:val="231F20"/>
          <w:spacing w:val="-24"/>
        </w:rPr>
        <w:t> </w:t>
      </w:r>
      <w:r>
        <w:rPr>
          <w:color w:val="231F20"/>
          <w:spacing w:val="-2"/>
        </w:rPr>
        <w:t>artis- </w:t>
      </w:r>
      <w:r>
        <w:rPr>
          <w:color w:val="231F20"/>
        </w:rPr>
        <w:t>tieke, pedagogische of culturele</w:t>
      </w:r>
      <w:r>
        <w:rPr>
          <w:color w:val="231F20"/>
          <w:spacing w:val="20"/>
        </w:rPr>
        <w:t> </w:t>
      </w:r>
      <w:r>
        <w:rPr>
          <w:color w:val="231F20"/>
        </w:rPr>
        <w:t>aard.</w:t>
      </w:r>
    </w:p>
    <w:p>
      <w:pPr>
        <w:pStyle w:val="BodyText"/>
        <w:spacing w:line="218" w:lineRule="auto" w:before="96"/>
      </w:pPr>
      <w:r>
        <w:rPr>
          <w:color w:val="231F20"/>
        </w:rPr>
        <w:t>Stichtingen die zijn erkend als zijnde van openbaar nut dragen de naam “stichting van openbaar nut”. De andere stichtingen dragen de naam “private stichting”.</w:t>
      </w:r>
    </w:p>
    <w:p>
      <w:pPr>
        <w:pStyle w:val="BodyText"/>
        <w:spacing w:line="218" w:lineRule="auto" w:before="96"/>
      </w:pPr>
      <w:r>
        <w:rPr>
          <w:color w:val="231F20"/>
        </w:rPr>
        <w:t>Art. 11:2. De oprichtingsakte bevat ten minste de gegevens die vermeld zijn in het in artikel 2:11, § 2, bedoelde uittreksel.</w:t>
      </w:r>
    </w:p>
    <w:p>
      <w:pPr>
        <w:pStyle w:val="BodyText"/>
        <w:spacing w:line="218" w:lineRule="auto" w:before="96"/>
      </w:pPr>
      <w:r>
        <w:rPr>
          <w:color w:val="231F20"/>
        </w:rPr>
        <w:t>De statuten kunnen erin voorzien dat, wanneer het belangeloos doel van de stichting is verwezenlijkt, de stichter of zijn rechthebbenden een bedrag gelijk aan de waarde van de goederen of de goederen zelf kunnen terugnemen die de stichter aan de verwezenlijking van dat doel heeft</w:t>
      </w:r>
      <w:r>
        <w:rPr>
          <w:color w:val="231F20"/>
          <w:spacing w:val="14"/>
        </w:rPr>
        <w:t> </w:t>
      </w:r>
      <w:r>
        <w:rPr>
          <w:color w:val="231F20"/>
        </w:rPr>
        <w:t>besteed.</w:t>
      </w:r>
    </w:p>
    <w:p>
      <w:pPr>
        <w:pStyle w:val="BodyText"/>
        <w:spacing w:line="218" w:lineRule="auto" w:before="97"/>
      </w:pPr>
      <w:r>
        <w:rPr>
          <w:color w:val="231F20"/>
        </w:rPr>
        <w:t>Art. 11:3. Elke vordering ingesteld door een stichting die de formaliteiten omschreven in artikel 2:11 niet in acht heeft genomen, wordt opgeschort. Alvorens de vordering niet-ontvankelijk te verkla- ren, bepaalt de rechter een termijn waarbinnen de stichting die formaliteiten vooralsnog kan naleven.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6280" from="298.170502pt,64.473pt" to="298.170502pt,812.819pt" stroked="true" strokeweight=".533pt" strokecolor="#231f20">
            <v:stroke dashstyle="solid"/>
            <w10:wrap type="none"/>
          </v:line>
        </w:pict>
      </w:r>
      <w:bookmarkStart w:name="_bookmark219" w:id="225"/>
      <w:bookmarkEnd w:id="225"/>
      <w:r>
        <w:rPr/>
      </w:r>
      <w:r>
        <w:rPr>
          <w:color w:val="231F20"/>
        </w:rPr>
        <w:t>Art. 11:4. Si le maintien des statuts sans modification aurait des conséquences que le fondateur n’a raisonnablement pas pu vouloir au moment de la création, et que les personnes habilitées à les modifier négligent de le faire, le tribunal de l’entreprise peut, à la demande d’un administrateur au moins ou à la requête du ministère public, modifier les statuts. Dans ce cadre, il veille à s’écarter le moins possible des statuts existants.</w:t>
      </w:r>
    </w:p>
    <w:p>
      <w:pPr>
        <w:pStyle w:val="BodyText"/>
        <w:spacing w:before="72"/>
        <w:ind w:left="283" w:right="0" w:firstLine="0"/>
        <w:jc w:val="left"/>
      </w:pPr>
      <w:r>
        <w:rPr>
          <w:color w:val="231F20"/>
        </w:rPr>
        <w:t>CHAPITRE 2. Nullité.</w:t>
      </w:r>
    </w:p>
    <w:p>
      <w:pPr>
        <w:pStyle w:val="BodyText"/>
        <w:spacing w:line="218" w:lineRule="auto" w:before="82"/>
        <w:ind w:right="38"/>
      </w:pPr>
      <w:r>
        <w:rPr>
          <w:color w:val="231F20"/>
        </w:rPr>
        <w:t>Art. 11:5. La nullité d’une fondation ne peut être prononcée que dans les cas suivants:</w:t>
      </w:r>
    </w:p>
    <w:p>
      <w:pPr>
        <w:pStyle w:val="BodyText"/>
        <w:spacing w:before="72"/>
        <w:ind w:left="283" w:right="0" w:firstLine="0"/>
        <w:jc w:val="left"/>
      </w:pPr>
      <w:r>
        <w:rPr>
          <w:color w:val="231F20"/>
        </w:rPr>
        <w:t>1° lorsque l’acte constitutif n’est pas établi en la forme requise;</w:t>
      </w:r>
    </w:p>
    <w:p>
      <w:pPr>
        <w:pStyle w:val="BodyText"/>
        <w:spacing w:before="7"/>
        <w:ind w:left="0" w:right="0" w:firstLine="0"/>
        <w:jc w:val="left"/>
        <w:rPr>
          <w:sz w:val="22"/>
        </w:rPr>
      </w:pPr>
    </w:p>
    <w:p>
      <w:pPr>
        <w:pStyle w:val="BodyText"/>
        <w:spacing w:line="218" w:lineRule="auto" w:before="1"/>
        <w:ind w:right="38"/>
      </w:pPr>
      <w:r>
        <w:rPr>
          <w:color w:val="231F20"/>
        </w:rPr>
        <w:t>2° lorsque les statuts ne contiennent pas les mentions visées à l’article</w:t>
      </w:r>
      <w:r>
        <w:rPr>
          <w:color w:val="231F20"/>
          <w:spacing w:val="14"/>
        </w:rPr>
        <w:t> </w:t>
      </w:r>
      <w:r>
        <w:rPr>
          <w:color w:val="231F20"/>
        </w:rPr>
        <w:t>2:11,</w:t>
      </w:r>
      <w:r>
        <w:rPr>
          <w:color w:val="231F20"/>
          <w:spacing w:val="14"/>
        </w:rPr>
        <w:t> </w:t>
      </w:r>
      <w:r>
        <w:rPr>
          <w:color w:val="231F20"/>
        </w:rPr>
        <w:t>§</w:t>
      </w:r>
      <w:r>
        <w:rPr>
          <w:color w:val="231F20"/>
          <w:spacing w:val="14"/>
        </w:rPr>
        <w:t> </w:t>
      </w:r>
      <w:r>
        <w:rPr>
          <w:color w:val="231F20"/>
        </w:rPr>
        <w:t>2,</w:t>
      </w:r>
      <w:r>
        <w:rPr>
          <w:color w:val="231F20"/>
          <w:spacing w:val="14"/>
        </w:rPr>
        <w:t> </w:t>
      </w:r>
      <w:r>
        <w:rPr>
          <w:color w:val="231F20"/>
        </w:rPr>
        <w:t>2°</w:t>
      </w:r>
      <w:r>
        <w:rPr>
          <w:color w:val="231F20"/>
          <w:spacing w:val="14"/>
        </w:rPr>
        <w:t> </w:t>
      </w:r>
      <w:r>
        <w:rPr>
          <w:color w:val="231F20"/>
        </w:rPr>
        <w:t>et</w:t>
      </w:r>
      <w:r>
        <w:rPr>
          <w:color w:val="231F20"/>
          <w:spacing w:val="14"/>
        </w:rPr>
        <w:t> </w:t>
      </w:r>
      <w:r>
        <w:rPr>
          <w:color w:val="231F20"/>
        </w:rPr>
        <w:t>3°;</w:t>
      </w:r>
    </w:p>
    <w:p>
      <w:pPr>
        <w:pStyle w:val="BodyText"/>
        <w:spacing w:line="218" w:lineRule="auto" w:before="85"/>
        <w:ind w:right="38"/>
      </w:pPr>
      <w:r>
        <w:rPr>
          <w:color w:val="231F20"/>
        </w:rPr>
        <w:t>3° lorsque le but ou l’objet en vue duquel elle est constituée, ou son but ou objet réel, contrevient à la loi ou à l’ordre public;</w:t>
      </w:r>
    </w:p>
    <w:p>
      <w:pPr>
        <w:pStyle w:val="BodyText"/>
        <w:ind w:left="0" w:right="0" w:firstLine="0"/>
        <w:jc w:val="left"/>
        <w:rPr>
          <w:sz w:val="23"/>
        </w:rPr>
      </w:pPr>
    </w:p>
    <w:p>
      <w:pPr>
        <w:pStyle w:val="BodyText"/>
        <w:spacing w:line="218" w:lineRule="auto"/>
        <w:ind w:right="38"/>
      </w:pPr>
      <w:r>
        <w:rPr>
          <w:color w:val="231F20"/>
        </w:rPr>
        <w:t>4° lorsqu’elle a été constituée dans le but de fournir à ses fondateurs, aux membres de son organe d’administration ou à toute autre personne, sauf dans le but désintéressé déterminé par les statuts, des avantages patrimoniaux directs ou indirects tels que visés à l’article</w:t>
      </w:r>
      <w:r>
        <w:rPr>
          <w:color w:val="231F20"/>
          <w:spacing w:val="22"/>
        </w:rPr>
        <w:t> </w:t>
      </w:r>
      <w:r>
        <w:rPr>
          <w:color w:val="231F20"/>
        </w:rPr>
        <w:t>1:4.</w:t>
      </w:r>
    </w:p>
    <w:p>
      <w:pPr>
        <w:pStyle w:val="BodyText"/>
        <w:spacing w:before="72"/>
        <w:ind w:left="283" w:right="0" w:firstLine="0"/>
        <w:jc w:val="left"/>
      </w:pPr>
      <w:r>
        <w:rPr>
          <w:color w:val="231F20"/>
        </w:rPr>
        <w:t>TITRE 2. Organes.</w:t>
      </w:r>
    </w:p>
    <w:p>
      <w:pPr>
        <w:pStyle w:val="BodyText"/>
        <w:spacing w:line="304" w:lineRule="auto" w:before="53"/>
        <w:ind w:left="283" w:right="2573" w:firstLine="0"/>
        <w:jc w:val="left"/>
      </w:pPr>
      <w:r>
        <w:rPr>
          <w:color w:val="231F20"/>
        </w:rPr>
        <w:t>CHAPITRE 1</w:t>
      </w:r>
      <w:r>
        <w:rPr>
          <w:color w:val="231F20"/>
          <w:position w:val="7"/>
          <w:sz w:val="11"/>
        </w:rPr>
        <w:t>er</w:t>
      </w:r>
      <w:r>
        <w:rPr>
          <w:color w:val="231F20"/>
        </w:rPr>
        <w:t>. Administration. Section 1</w:t>
      </w:r>
      <w:r>
        <w:rPr>
          <w:color w:val="231F20"/>
          <w:position w:val="7"/>
          <w:sz w:val="11"/>
        </w:rPr>
        <w:t>re</w:t>
      </w:r>
      <w:r>
        <w:rPr>
          <w:color w:val="231F20"/>
        </w:rPr>
        <w:t>. Composition.</w:t>
      </w:r>
    </w:p>
    <w:p>
      <w:pPr>
        <w:pStyle w:val="BodyText"/>
        <w:spacing w:line="218" w:lineRule="auto" w:before="30"/>
        <w:ind w:right="39"/>
      </w:pPr>
      <w:r>
        <w:rPr>
          <w:color w:val="231F20"/>
        </w:rPr>
        <w:t>Art. 11:6. La fondation est administrée par un ou plusieurs adminis- trateurs, qui sont des personnes physiques ou morales.</w:t>
      </w:r>
    </w:p>
    <w:p>
      <w:pPr>
        <w:pStyle w:val="BodyText"/>
        <w:spacing w:line="218" w:lineRule="auto" w:before="86"/>
        <w:ind w:right="38"/>
      </w:pPr>
      <w:r>
        <w:rPr>
          <w:color w:val="231F20"/>
        </w:rPr>
        <w:t>S’il y a plusieurs administrateurs, ils exercent leur mandat de manière</w:t>
      </w:r>
      <w:r>
        <w:rPr>
          <w:color w:val="231F20"/>
          <w:spacing w:val="14"/>
        </w:rPr>
        <w:t> </w:t>
      </w:r>
      <w:r>
        <w:rPr>
          <w:color w:val="231F20"/>
        </w:rPr>
        <w:t>collégiale.</w:t>
      </w:r>
    </w:p>
    <w:p>
      <w:pPr>
        <w:pStyle w:val="BodyText"/>
        <w:spacing w:before="71"/>
        <w:ind w:left="283" w:right="0" w:firstLine="0"/>
        <w:jc w:val="left"/>
      </w:pPr>
      <w:r>
        <w:rPr>
          <w:color w:val="231F20"/>
        </w:rPr>
        <w:t>Section 2. Pouvoirs et fonctionnement.</w:t>
      </w:r>
    </w:p>
    <w:p>
      <w:pPr>
        <w:pStyle w:val="BodyText"/>
        <w:spacing w:line="218" w:lineRule="auto" w:before="67"/>
        <w:ind w:right="38"/>
      </w:pPr>
      <w:r>
        <w:rPr>
          <w:color w:val="231F20"/>
        </w:rPr>
        <w:t>Art. 11:7. § 1</w:t>
      </w:r>
      <w:r>
        <w:rPr>
          <w:color w:val="231F20"/>
          <w:position w:val="7"/>
          <w:sz w:val="11"/>
        </w:rPr>
        <w:t>er</w:t>
      </w:r>
      <w:r>
        <w:rPr>
          <w:color w:val="231F20"/>
        </w:rPr>
        <w:t>. </w:t>
      </w:r>
      <w:r>
        <w:rPr>
          <w:color w:val="231F20"/>
          <w:spacing w:val="-3"/>
        </w:rPr>
        <w:t>L’organe </w:t>
      </w:r>
      <w:r>
        <w:rPr>
          <w:color w:val="231F20"/>
        </w:rPr>
        <w:t>d’administration a le pouvoir d’accomplir tous les actes nécessaires ou utiles à la réalisation de l’objet de la fondation.</w:t>
      </w:r>
    </w:p>
    <w:p>
      <w:pPr>
        <w:pStyle w:val="BodyText"/>
        <w:spacing w:line="218" w:lineRule="auto" w:before="86"/>
        <w:ind w:right="38"/>
      </w:pPr>
      <w:r>
        <w:rPr>
          <w:color w:val="231F20"/>
        </w:rPr>
        <w:t>Les administrateurs peuvent convenir de la répartition des tâches entre eux. Une telle répartition des tâches n’est pas opposable aux tiers, même si elle est publiée.</w:t>
      </w:r>
    </w:p>
    <w:p>
      <w:pPr>
        <w:pStyle w:val="BodyText"/>
        <w:spacing w:line="218" w:lineRule="auto" w:before="85"/>
        <w:ind w:right="38"/>
      </w:pPr>
      <w:r>
        <w:rPr>
          <w:color w:val="231F20"/>
        </w:rPr>
        <w:t>§ 2. </w:t>
      </w:r>
      <w:r>
        <w:rPr>
          <w:color w:val="231F20"/>
          <w:spacing w:val="-3"/>
        </w:rPr>
        <w:t>L’organe </w:t>
      </w:r>
      <w:r>
        <w:rPr>
          <w:color w:val="231F20"/>
        </w:rPr>
        <w:t>d’administration représente la fondation, en ce compris la représentation en justice. Sans préjudice de l’article 11:6, les statuts peuvent octroyer le pouvoir de représentation à un ou plusieurs administrateurs</w:t>
      </w:r>
      <w:r>
        <w:rPr>
          <w:color w:val="231F20"/>
          <w:spacing w:val="-19"/>
        </w:rPr>
        <w:t> </w:t>
      </w:r>
      <w:r>
        <w:rPr>
          <w:color w:val="231F20"/>
        </w:rPr>
        <w:t>pour</w:t>
      </w:r>
      <w:r>
        <w:rPr>
          <w:color w:val="231F20"/>
          <w:spacing w:val="-18"/>
        </w:rPr>
        <w:t> </w:t>
      </w:r>
      <w:r>
        <w:rPr>
          <w:color w:val="231F20"/>
          <w:spacing w:val="-3"/>
        </w:rPr>
        <w:t>représenter</w:t>
      </w:r>
      <w:r>
        <w:rPr>
          <w:color w:val="231F20"/>
          <w:spacing w:val="-18"/>
        </w:rPr>
        <w:t> </w:t>
      </w:r>
      <w:r>
        <w:rPr>
          <w:color w:val="231F20"/>
        </w:rPr>
        <w:t>la</w:t>
      </w:r>
      <w:r>
        <w:rPr>
          <w:color w:val="231F20"/>
          <w:spacing w:val="-18"/>
        </w:rPr>
        <w:t> </w:t>
      </w:r>
      <w:r>
        <w:rPr>
          <w:color w:val="231F20"/>
        </w:rPr>
        <w:t>fondation</w:t>
      </w:r>
      <w:r>
        <w:rPr>
          <w:color w:val="231F20"/>
          <w:spacing w:val="-19"/>
        </w:rPr>
        <w:t> </w:t>
      </w:r>
      <w:r>
        <w:rPr>
          <w:color w:val="231F20"/>
        </w:rPr>
        <w:t>individuellement,</w:t>
      </w:r>
      <w:r>
        <w:rPr>
          <w:color w:val="231F20"/>
          <w:spacing w:val="-18"/>
        </w:rPr>
        <w:t> </w:t>
      </w:r>
      <w:r>
        <w:rPr>
          <w:color w:val="231F20"/>
        </w:rPr>
        <w:t>conjoin- tement ou collégialement. Une telle clause de représentation est opposable</w:t>
      </w:r>
      <w:r>
        <w:rPr>
          <w:color w:val="231F20"/>
          <w:spacing w:val="14"/>
        </w:rPr>
        <w:t> </w:t>
      </w:r>
      <w:r>
        <w:rPr>
          <w:color w:val="231F20"/>
        </w:rPr>
        <w:t>aux</w:t>
      </w:r>
      <w:r>
        <w:rPr>
          <w:color w:val="231F20"/>
          <w:spacing w:val="15"/>
        </w:rPr>
        <w:t> </w:t>
      </w:r>
      <w:r>
        <w:rPr>
          <w:color w:val="231F20"/>
        </w:rPr>
        <w:t>tiers</w:t>
      </w:r>
      <w:r>
        <w:rPr>
          <w:color w:val="231F20"/>
          <w:spacing w:val="15"/>
        </w:rPr>
        <w:t> </w:t>
      </w:r>
      <w:r>
        <w:rPr>
          <w:color w:val="231F20"/>
        </w:rPr>
        <w:t>aux</w:t>
      </w:r>
      <w:r>
        <w:rPr>
          <w:color w:val="231F20"/>
          <w:spacing w:val="14"/>
        </w:rPr>
        <w:t> </w:t>
      </w:r>
      <w:r>
        <w:rPr>
          <w:color w:val="231F20"/>
        </w:rPr>
        <w:t>conditions</w:t>
      </w:r>
      <w:r>
        <w:rPr>
          <w:color w:val="231F20"/>
          <w:spacing w:val="15"/>
        </w:rPr>
        <w:t> </w:t>
      </w:r>
      <w:r>
        <w:rPr>
          <w:color w:val="231F20"/>
        </w:rPr>
        <w:t>fixées</w:t>
      </w:r>
      <w:r>
        <w:rPr>
          <w:color w:val="231F20"/>
          <w:spacing w:val="15"/>
        </w:rPr>
        <w:t> </w:t>
      </w:r>
      <w:r>
        <w:rPr>
          <w:color w:val="231F20"/>
        </w:rPr>
        <w:t>à</w:t>
      </w:r>
      <w:r>
        <w:rPr>
          <w:color w:val="231F20"/>
          <w:spacing w:val="15"/>
        </w:rPr>
        <w:t> </w:t>
      </w:r>
      <w:r>
        <w:rPr>
          <w:color w:val="231F20"/>
        </w:rPr>
        <w:t>l’article</w:t>
      </w:r>
      <w:r>
        <w:rPr>
          <w:color w:val="231F20"/>
          <w:spacing w:val="14"/>
        </w:rPr>
        <w:t> </w:t>
      </w:r>
      <w:r>
        <w:rPr>
          <w:color w:val="231F20"/>
        </w:rPr>
        <w:t>2:18.</w:t>
      </w:r>
    </w:p>
    <w:p>
      <w:pPr>
        <w:pStyle w:val="BodyText"/>
        <w:spacing w:line="218" w:lineRule="auto" w:before="86"/>
        <w:ind w:right="38"/>
      </w:pPr>
      <w:r>
        <w:rPr>
          <w:color w:val="231F20"/>
        </w:rPr>
        <w:t>Les statuts peuvent apporter des restrictions à ce pouvoir de représentation. Une telle limitation n’est pas opposable aux tiers, même si elle est publiée. Il en va de même pour une répartition des tâches entre les administrateurs ayant le pouvoir de représentation.</w:t>
      </w:r>
    </w:p>
    <w:p>
      <w:pPr>
        <w:pStyle w:val="BodyText"/>
        <w:spacing w:before="8"/>
        <w:ind w:left="0" w:right="0" w:firstLine="0"/>
        <w:jc w:val="left"/>
        <w:rPr>
          <w:sz w:val="21"/>
        </w:rPr>
      </w:pPr>
    </w:p>
    <w:p>
      <w:pPr>
        <w:pStyle w:val="BodyText"/>
        <w:spacing w:line="218" w:lineRule="auto"/>
        <w:ind w:right="38"/>
      </w:pPr>
      <w:r>
        <w:rPr>
          <w:color w:val="231F20"/>
        </w:rPr>
        <w:t>Art. 11:8. § 1</w:t>
      </w:r>
      <w:r>
        <w:rPr>
          <w:color w:val="231F20"/>
          <w:position w:val="7"/>
          <w:sz w:val="11"/>
        </w:rPr>
        <w:t>er</w:t>
      </w:r>
      <w:r>
        <w:rPr>
          <w:color w:val="231F20"/>
        </w:rPr>
        <w:t>. Lorsque l’organe d’administration est appelé à prendre une décision ou à se prononcer sur une opération relevant de sa compétence à propos de laquelle un administrateur a un intérêt direct ou indirect de nature patrimoniale qui est opposé à l’intérêt de la fondation, cet administrateur doit en informer les autres administra- teurs avant que l’organe d’administration ne prenne une décision. Sa déclaration et ses explications sur la nature de cet intérêt opposé doivent figurer dans le procès-verbal de la réunion de</w:t>
      </w:r>
      <w:r>
        <w:rPr>
          <w:color w:val="231F20"/>
          <w:spacing w:val="20"/>
        </w:rPr>
        <w:t> </w:t>
      </w:r>
      <w:r>
        <w:rPr>
          <w:color w:val="231F20"/>
        </w:rPr>
        <w:t>l’organe d’administration qui doit prendre cette décision. Il n’est pas permis à l’organe</w:t>
      </w:r>
      <w:r>
        <w:rPr>
          <w:color w:val="231F20"/>
          <w:spacing w:val="16"/>
        </w:rPr>
        <w:t> </w:t>
      </w:r>
      <w:r>
        <w:rPr>
          <w:color w:val="231F20"/>
        </w:rPr>
        <w:t>d’administration</w:t>
      </w:r>
      <w:r>
        <w:rPr>
          <w:color w:val="231F20"/>
          <w:spacing w:val="16"/>
        </w:rPr>
        <w:t> </w:t>
      </w:r>
      <w:r>
        <w:rPr>
          <w:color w:val="231F20"/>
        </w:rPr>
        <w:t>de</w:t>
      </w:r>
      <w:r>
        <w:rPr>
          <w:color w:val="231F20"/>
          <w:spacing w:val="16"/>
        </w:rPr>
        <w:t> </w:t>
      </w:r>
      <w:r>
        <w:rPr>
          <w:color w:val="231F20"/>
        </w:rPr>
        <w:t>déléguer</w:t>
      </w:r>
      <w:r>
        <w:rPr>
          <w:color w:val="231F20"/>
          <w:spacing w:val="16"/>
        </w:rPr>
        <w:t> </w:t>
      </w:r>
      <w:r>
        <w:rPr>
          <w:color w:val="231F20"/>
        </w:rPr>
        <w:t>cette</w:t>
      </w:r>
      <w:r>
        <w:rPr>
          <w:color w:val="231F20"/>
          <w:spacing w:val="16"/>
        </w:rPr>
        <w:t> </w:t>
      </w:r>
      <w:r>
        <w:rPr>
          <w:color w:val="231F20"/>
        </w:rPr>
        <w:t>décision.</w:t>
      </w:r>
    </w:p>
    <w:p>
      <w:pPr>
        <w:pStyle w:val="BodyText"/>
        <w:spacing w:line="218" w:lineRule="auto" w:before="86"/>
        <w:ind w:right="38"/>
      </w:pPr>
      <w:r>
        <w:rPr>
          <w:color w:val="231F20"/>
        </w:rPr>
        <w:t>L’administrateur ayant un conflit d’intérêts au sens du premier alinéa ne peut prendre part aux délibérations de l’organe d’administration concernant ces décisions ou ces opérations, ni prendre part au vote sur ce point.</w:t>
      </w:r>
    </w:p>
    <w:p>
      <w:pPr>
        <w:pStyle w:val="BodyText"/>
        <w:spacing w:line="218" w:lineRule="auto" w:before="96"/>
        <w:ind w:right="38"/>
      </w:pPr>
      <w:r>
        <w:rPr>
          <w:color w:val="231F20"/>
        </w:rPr>
        <w:t>§ 2. Lorsqu’il n’y a qu’un administrateur et que celui-ci a un conflit d’intérêts, ou si tous les administrateurs ont un conflit d’intérêts, ils peuvent eux-mêmes prendre la décision ou accomplir l’opération.</w:t>
      </w:r>
    </w:p>
    <w:p>
      <w:pPr>
        <w:pStyle w:val="BodyText"/>
        <w:spacing w:line="218" w:lineRule="auto" w:before="96"/>
        <w:ind w:right="38"/>
      </w:pPr>
      <w:r>
        <w:rPr>
          <w:color w:val="231F20"/>
        </w:rPr>
        <w:t>§ 3. Les paragraphes précédents ne s’appliquent pas lorsque les décisions de l’organe d’administration concernent des opérations habituelles conclues dans des conditions et sous les garanties normales du marché pour des opérations de même nature.</w:t>
      </w:r>
    </w:p>
    <w:p>
      <w:pPr>
        <w:pStyle w:val="BodyText"/>
        <w:spacing w:before="7"/>
        <w:ind w:left="0" w:right="0" w:firstLine="0"/>
        <w:jc w:val="left"/>
        <w:rPr>
          <w:sz w:val="22"/>
        </w:rPr>
      </w:pPr>
    </w:p>
    <w:p>
      <w:pPr>
        <w:pStyle w:val="BodyText"/>
        <w:spacing w:line="218" w:lineRule="auto" w:before="1"/>
        <w:ind w:right="38"/>
      </w:pPr>
      <w:r>
        <w:rPr>
          <w:color w:val="231F20"/>
        </w:rPr>
        <w:t>Art. 11:9. § 1</w:t>
      </w:r>
      <w:r>
        <w:rPr>
          <w:color w:val="231F20"/>
          <w:position w:val="7"/>
          <w:sz w:val="11"/>
        </w:rPr>
        <w:t>er</w:t>
      </w:r>
      <w:r>
        <w:rPr>
          <w:color w:val="231F20"/>
        </w:rPr>
        <w:t>. Les autres administrateurs décrivent dans le procès-verbal, ou l’administrateur unique dans un rapport spécial, la nature de la décision ou de l’opération visée à l’article 11:8 ainsi que les conséquences patrimoniales de celle-ci pour la fondation et justifie la décision qui a été prise. Cette partie du procès-verbal ou ce rapport est repris dans son intégralité dans le rapport de gestion ou dans le document déposé en même temps que les comptes annuels.</w:t>
      </w:r>
    </w:p>
    <w:p>
      <w:pPr>
        <w:pStyle w:val="BodyText"/>
        <w:spacing w:line="218" w:lineRule="auto" w:before="119"/>
      </w:pPr>
      <w:r>
        <w:rPr/>
        <w:br w:type="column"/>
      </w:r>
      <w:r>
        <w:rPr>
          <w:color w:val="231F20"/>
        </w:rPr>
        <w:t>Art. 11:4. Indien ongewijzigde handhaving van de statuten gevolgen zou hebben die de stichter bij de oprichting redelijkerwijze niet kan hebben gewild en de personen gemachtigd om de statuten te wijzigen dat nalaten, kan de ondernemingsrechtbank op verzoek van ten minste één bestuurder of op vordering van het openbaar ministerie de statuten wijzigen. Zij waakt erover daarbij zo min mogelijk van de bestaande statuten af te wijken.</w:t>
      </w:r>
    </w:p>
    <w:p>
      <w:pPr>
        <w:pStyle w:val="BodyText"/>
        <w:spacing w:before="72"/>
        <w:ind w:left="283" w:right="0" w:firstLine="0"/>
        <w:jc w:val="left"/>
      </w:pPr>
      <w:r>
        <w:rPr>
          <w:color w:val="231F20"/>
        </w:rPr>
        <w:t>HOOFDSTUK 2. Nietigheid.</w:t>
      </w:r>
    </w:p>
    <w:p>
      <w:pPr>
        <w:pStyle w:val="BodyText"/>
        <w:spacing w:line="218" w:lineRule="auto" w:before="82"/>
      </w:pPr>
      <w:r>
        <w:rPr>
          <w:color w:val="231F20"/>
        </w:rPr>
        <w:t>Art. 11:5. De nietigheid van een stichting kan alleen in de hiernavol- gende gevallen worden uitgesproken:</w:t>
      </w:r>
    </w:p>
    <w:p>
      <w:pPr>
        <w:pStyle w:val="BodyText"/>
        <w:spacing w:line="218" w:lineRule="auto" w:before="86"/>
      </w:pPr>
      <w:r>
        <w:rPr>
          <w:color w:val="231F20"/>
        </w:rPr>
        <w:t>1° wanneer de oprichtingsakte niet werd opgemaakt in de vereiste vorm;</w:t>
      </w:r>
    </w:p>
    <w:p>
      <w:pPr>
        <w:pStyle w:val="BodyText"/>
        <w:spacing w:line="218" w:lineRule="auto" w:before="85"/>
      </w:pPr>
      <w:r>
        <w:rPr>
          <w:color w:val="231F20"/>
        </w:rPr>
        <w:t>2° wanneer de statuten de vermeldingen bedoeld in artikel 2:11, § 2, 2° en 3°, niet bevatten;</w:t>
      </w:r>
    </w:p>
    <w:p>
      <w:pPr>
        <w:pStyle w:val="BodyText"/>
        <w:spacing w:line="218" w:lineRule="auto" w:before="86"/>
      </w:pPr>
      <w:r>
        <w:rPr>
          <w:color w:val="231F20"/>
        </w:rPr>
        <w:t>3° wanneer het doel of het voorwerp waarvoor zij is opgericht, of  haar werkelijk doel of voorwerp, strijdig is met de wet of met de openbare</w:t>
      </w:r>
      <w:r>
        <w:rPr>
          <w:color w:val="231F20"/>
          <w:spacing w:val="14"/>
        </w:rPr>
        <w:t> </w:t>
      </w:r>
      <w:r>
        <w:rPr>
          <w:color w:val="231F20"/>
        </w:rPr>
        <w:t>orde;</w:t>
      </w:r>
    </w:p>
    <w:p>
      <w:pPr>
        <w:pStyle w:val="BodyText"/>
        <w:spacing w:line="218" w:lineRule="auto" w:before="85"/>
      </w:pPr>
      <w:r>
        <w:rPr>
          <w:color w:val="231F20"/>
        </w:rPr>
        <w:t>4° wanneer zij is opgericht met als doel rechtstreekse of onrecht- streekse vermogensvoordelen als bedoeld in artikel 1:4 te verschaffen aan de stichters, de leden van haar bestuursorgaan of enig andere persoon, behalve voor het in de statuten bepaald belangeloos doel.</w:t>
      </w:r>
    </w:p>
    <w:p>
      <w:pPr>
        <w:pStyle w:val="BodyText"/>
        <w:spacing w:before="72"/>
        <w:ind w:left="283" w:right="0" w:firstLine="0"/>
        <w:jc w:val="left"/>
      </w:pPr>
      <w:r>
        <w:rPr>
          <w:color w:val="231F20"/>
        </w:rPr>
        <w:t>TITEL 2. Organen.</w:t>
      </w:r>
    </w:p>
    <w:p>
      <w:pPr>
        <w:pStyle w:val="BodyText"/>
        <w:spacing w:before="68"/>
        <w:ind w:left="283" w:right="0" w:firstLine="0"/>
        <w:jc w:val="left"/>
      </w:pPr>
      <w:r>
        <w:rPr>
          <w:color w:val="231F20"/>
        </w:rPr>
        <w:t>HOOFDSTUK 1. Bestuur.</w:t>
      </w:r>
    </w:p>
    <w:p>
      <w:pPr>
        <w:pStyle w:val="BodyText"/>
        <w:spacing w:before="68"/>
        <w:ind w:left="283" w:right="0" w:firstLine="0"/>
        <w:jc w:val="left"/>
      </w:pPr>
      <w:r>
        <w:rPr>
          <w:color w:val="231F20"/>
          <w:w w:val="105"/>
        </w:rPr>
        <w:t>Afdeling 1. Samenstelling.</w:t>
      </w:r>
    </w:p>
    <w:p>
      <w:pPr>
        <w:pStyle w:val="BodyText"/>
        <w:spacing w:line="218" w:lineRule="auto" w:before="82"/>
      </w:pPr>
      <w:r>
        <w:rPr>
          <w:color w:val="231F20"/>
        </w:rPr>
        <w:t>Art. 11:6. De stichting wordt bestuurd door één of meer bestuurders, die natuurlijke of rechtspersonen zijn.</w:t>
      </w:r>
    </w:p>
    <w:p>
      <w:pPr>
        <w:pStyle w:val="BodyText"/>
        <w:spacing w:line="218" w:lineRule="auto" w:before="85"/>
      </w:pPr>
      <w:r>
        <w:rPr>
          <w:color w:val="231F20"/>
        </w:rPr>
        <w:t>Indien er meerdere bestuurders zijn oefenen zij hun mandaat collegiaal uit.</w:t>
      </w:r>
    </w:p>
    <w:p>
      <w:pPr>
        <w:pStyle w:val="BodyText"/>
        <w:spacing w:before="72"/>
        <w:ind w:left="283" w:right="0" w:firstLine="0"/>
        <w:jc w:val="left"/>
      </w:pPr>
      <w:r>
        <w:rPr>
          <w:color w:val="231F20"/>
        </w:rPr>
        <w:t>Afdeling 2. Bevoegdheid en werkwijze.</w:t>
      </w:r>
    </w:p>
    <w:p>
      <w:pPr>
        <w:pStyle w:val="BodyText"/>
        <w:spacing w:line="218" w:lineRule="auto" w:before="82"/>
      </w:pPr>
      <w:r>
        <w:rPr>
          <w:color w:val="231F20"/>
        </w:rPr>
        <w:t>Art. 11:7. § 1. Het bestuursorgaan is bevoegd om alle handelingen te verrichten die nodig of dienstig zijn tot verwezenlijking van het voorwerp van de stichting.</w:t>
      </w:r>
    </w:p>
    <w:p>
      <w:pPr>
        <w:pStyle w:val="BodyText"/>
        <w:spacing w:line="218" w:lineRule="auto" w:before="85"/>
      </w:pPr>
      <w:r>
        <w:rPr>
          <w:color w:val="231F20"/>
        </w:rPr>
        <w:t>De bestuurders kunnen overeenkomen de taken onderling te verde- len. Zodanige taakverdeling kan niet aan derden worden tegengewor- pen, ook al is ze openbaar gemaakt.</w:t>
      </w:r>
    </w:p>
    <w:p>
      <w:pPr>
        <w:pStyle w:val="BodyText"/>
        <w:spacing w:line="218" w:lineRule="auto" w:before="86"/>
      </w:pPr>
      <w:r>
        <w:rPr>
          <w:color w:val="231F20"/>
        </w:rPr>
        <w:t>§ 2. Het bestuursorgaan vertegenwoordigt de stichting, met inbegrip van de vertegenwoordiging in rechte. Onverminderd artikel 11:6, kunnen de statuten aan een of meer bestuurders de bevoegdheid verlenen om de vereniging alleen, gezamenlijk of collegiaal te verte- genwoordigen. Zodanige vertegenwoordigingsclausule kan aan derden worden tegengeworpen onder de voorwaarden bepaald in artikel 2:18.</w:t>
      </w:r>
    </w:p>
    <w:p>
      <w:pPr>
        <w:pStyle w:val="BodyText"/>
        <w:spacing w:line="218" w:lineRule="auto" w:before="85"/>
      </w:pPr>
      <w:r>
        <w:rPr>
          <w:color w:val="231F20"/>
        </w:rPr>
        <w:t>De statuten kunnen aan deze vertegenwoordigingsbevoegdheid beperkingen aanbrengen. Zodanige beperking kan niet aan derden worden tegengeworpen, ook al is ze openbaar gemaakt. Hetzelfde geldt voor een onderlinge taakverdeling onder de vertegenwoordigingsbe- voegde bestuurders.</w:t>
      </w:r>
    </w:p>
    <w:p>
      <w:pPr>
        <w:pStyle w:val="BodyText"/>
        <w:spacing w:line="218" w:lineRule="auto" w:before="86"/>
      </w:pPr>
      <w:r>
        <w:rPr>
          <w:color w:val="231F20"/>
        </w:rPr>
        <w:t>Art. 11:8. § 1. </w:t>
      </w:r>
      <w:r>
        <w:rPr>
          <w:color w:val="231F20"/>
          <w:spacing w:val="-3"/>
        </w:rPr>
        <w:t>Wanneer </w:t>
      </w:r>
      <w:r>
        <w:rPr>
          <w:color w:val="231F20"/>
        </w:rPr>
        <w:t>het bestuursorgaan een beslissing moet</w:t>
      </w:r>
      <w:r>
        <w:rPr>
          <w:color w:val="231F20"/>
          <w:spacing w:val="-14"/>
        </w:rPr>
        <w:t> </w:t>
      </w:r>
      <w:r>
        <w:rPr>
          <w:color w:val="231F20"/>
        </w:rPr>
        <w:t>nemen of zich over een verrichting moet uitspreken die onder zijn bevoegd- heid vallen, waarbij een bestuurder een rechtstreeks of onrechtstreeks belang van vermogensrechtelijke aard heeft dat strijdig is met het belang van de stichting, moet de betrokken bestuurder dit mededelen aan de andere bestuurders vóór het bestuursorgaan een beslissing neemt. Zijn verklaring en toelichting over de aard van dit strijdig belang worden opgenomen in de notulen van de vergadering van het bestuursorgaan die de beslissing moet nemen. Het is het bestuursor- gaan</w:t>
      </w:r>
      <w:r>
        <w:rPr>
          <w:color w:val="231F20"/>
          <w:spacing w:val="15"/>
        </w:rPr>
        <w:t> </w:t>
      </w:r>
      <w:r>
        <w:rPr>
          <w:color w:val="231F20"/>
        </w:rPr>
        <w:t>niet</w:t>
      </w:r>
      <w:r>
        <w:rPr>
          <w:color w:val="231F20"/>
          <w:spacing w:val="16"/>
        </w:rPr>
        <w:t> </w:t>
      </w:r>
      <w:r>
        <w:rPr>
          <w:color w:val="231F20"/>
        </w:rPr>
        <w:t>toegelaten</w:t>
      </w:r>
      <w:r>
        <w:rPr>
          <w:color w:val="231F20"/>
          <w:spacing w:val="15"/>
        </w:rPr>
        <w:t> </w:t>
      </w:r>
      <w:r>
        <w:rPr>
          <w:color w:val="231F20"/>
        </w:rPr>
        <w:t>deze</w:t>
      </w:r>
      <w:r>
        <w:rPr>
          <w:color w:val="231F20"/>
          <w:spacing w:val="16"/>
        </w:rPr>
        <w:t> </w:t>
      </w:r>
      <w:r>
        <w:rPr>
          <w:color w:val="231F20"/>
        </w:rPr>
        <w:t>beslissing</w:t>
      </w:r>
      <w:r>
        <w:rPr>
          <w:color w:val="231F20"/>
          <w:spacing w:val="15"/>
        </w:rPr>
        <w:t> </w:t>
      </w:r>
      <w:r>
        <w:rPr>
          <w:color w:val="231F20"/>
        </w:rPr>
        <w:t>te</w:t>
      </w:r>
      <w:r>
        <w:rPr>
          <w:color w:val="231F20"/>
          <w:spacing w:val="16"/>
        </w:rPr>
        <w:t> </w:t>
      </w:r>
      <w:r>
        <w:rPr>
          <w:color w:val="231F20"/>
        </w:rPr>
        <w:t>delegeren.</w:t>
      </w:r>
    </w:p>
    <w:p>
      <w:pPr>
        <w:pStyle w:val="BodyText"/>
        <w:spacing w:line="218" w:lineRule="auto" w:before="86"/>
      </w:pPr>
      <w:r>
        <w:rPr>
          <w:color w:val="231F20"/>
        </w:rPr>
        <w:t>De bestuurder met een belangenconflict als bedoeld in het eerste lid mag niet deelnemen aan de beraadslagingen van het bestuursorgaan over deze beslissingen of verrichtingen, noch aan de stemming in dat verband.</w:t>
      </w:r>
    </w:p>
    <w:p>
      <w:pPr>
        <w:pStyle w:val="BodyText"/>
        <w:spacing w:line="218" w:lineRule="auto" w:before="96"/>
      </w:pPr>
      <w:r>
        <w:rPr>
          <w:color w:val="231F20"/>
        </w:rPr>
        <w:t>§ 2. Is er slechts één bestuurder en heeft hij een belangenconflict of hebben alle bestuurders een belangenconflict, dan kunnen zij de beslissing zelf nemen of de verrichting zelf uitvoeren.</w:t>
      </w:r>
    </w:p>
    <w:p>
      <w:pPr>
        <w:pStyle w:val="BodyText"/>
        <w:spacing w:line="218" w:lineRule="auto" w:before="97"/>
        <w:ind w:right="123"/>
      </w:pPr>
      <w:r>
        <w:rPr>
          <w:color w:val="231F20"/>
        </w:rPr>
        <w:t>§ 3. De voorgaande paragrafen zijn niet van toepassing wanneer de beslissingen van het bestuursorgaan betrekking hebben op gebruike- lijke verrichtingen die plaatshebben onder de voorwaarden en tegen de zekerheden die op de markt gewoonlijk gelden voor soortgelijke verrichtingen.</w:t>
      </w:r>
    </w:p>
    <w:p>
      <w:pPr>
        <w:pStyle w:val="BodyText"/>
        <w:spacing w:line="218" w:lineRule="auto" w:before="96"/>
      </w:pPr>
      <w:r>
        <w:rPr>
          <w:color w:val="231F20"/>
        </w:rPr>
        <w:t>Art. 11:9. § 1. De andere bestuurders omschrijven in de notulen, of de enige bestuurder in een bijzonder verslag,  de  aard  van  de  in  arti-  kel </w:t>
      </w:r>
      <w:r>
        <w:rPr>
          <w:color w:val="231F20"/>
          <w:spacing w:val="-3"/>
        </w:rPr>
        <w:t>11:8 </w:t>
      </w:r>
      <w:r>
        <w:rPr>
          <w:color w:val="231F20"/>
        </w:rPr>
        <w:t>bedoelde beslissing of verrichting en de vermogensrechtelijke gevolgen ervan voor de stichting en verantwoorden zij het genomen besluit. In het jaarverslag of in het stuk dat samen met de jaarrekening wordt neergelegd, wordt dit deel van de notulen of dit verslag in zijn geheel</w:t>
      </w:r>
      <w:r>
        <w:rPr>
          <w:color w:val="231F20"/>
          <w:spacing w:val="15"/>
        </w:rPr>
        <w:t> </w:t>
      </w:r>
      <w:r>
        <w:rPr>
          <w:color w:val="231F20"/>
        </w:rPr>
        <w:t>opgenomen.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304" from="298.170502pt,64.473pt" to="298.170502pt,812.819pt" stroked="true" strokeweight=".533pt" strokecolor="#231f20">
            <v:stroke dashstyle="solid"/>
            <w10:wrap type="none"/>
          </v:line>
        </w:pict>
      </w:r>
      <w:bookmarkStart w:name="_bookmark220" w:id="226"/>
      <w:bookmarkEnd w:id="226"/>
      <w:r>
        <w:rPr/>
      </w:r>
      <w:r>
        <w:rPr>
          <w:color w:val="231F20"/>
        </w:rPr>
        <w:t>Si la fondation a nommé un commissaire, le procès-verbal ou le rapport lui est communiqué. Dans son rapport visé à l’article 3:74 le commissaire évalue, dans une section séparée, les conséquences patrimoniales pour la fondation des décisions de l’organe d’adminis- tration pour lesquelles il existe un intérêt opposé visé à l’article 11:8,</w:t>
      </w:r>
    </w:p>
    <w:p>
      <w:pPr>
        <w:spacing w:line="180" w:lineRule="exact" w:before="0"/>
        <w:ind w:left="113" w:right="0" w:firstLine="0"/>
        <w:jc w:val="left"/>
        <w:rPr>
          <w:sz w:val="17"/>
        </w:rPr>
      </w:pPr>
      <w:r>
        <w:rPr>
          <w:color w:val="231F20"/>
          <w:w w:val="105"/>
          <w:sz w:val="17"/>
        </w:rPr>
        <w:t>§ 1</w:t>
      </w:r>
      <w:r>
        <w:rPr>
          <w:color w:val="231F20"/>
          <w:w w:val="105"/>
          <w:position w:val="7"/>
          <w:sz w:val="11"/>
        </w:rPr>
        <w:t>er</w:t>
      </w:r>
      <w:r>
        <w:rPr>
          <w:color w:val="231F20"/>
          <w:w w:val="105"/>
          <w:sz w:val="17"/>
        </w:rPr>
        <w:t>.</w:t>
      </w:r>
    </w:p>
    <w:p>
      <w:pPr>
        <w:pStyle w:val="BodyText"/>
        <w:spacing w:line="216" w:lineRule="auto" w:before="83"/>
        <w:ind w:right="38"/>
      </w:pPr>
      <w:r>
        <w:rPr>
          <w:color w:val="231F20"/>
        </w:rPr>
        <w:t>§ 2. Sans préjudice du droit  des  personnes  mentionnées </w:t>
      </w:r>
      <w:r>
        <w:rPr>
          <w:color w:val="231F20"/>
          <w:spacing w:val="15"/>
        </w:rPr>
        <w:t> </w:t>
      </w:r>
      <w:r>
        <w:rPr>
          <w:color w:val="231F20"/>
        </w:rPr>
        <w:t>aux articles 2:44 et 2:46 de demander la nullité ou la suspension de</w:t>
      </w:r>
      <w:r>
        <w:rPr>
          <w:color w:val="231F20"/>
          <w:spacing w:val="18"/>
        </w:rPr>
        <w:t> </w:t>
      </w:r>
      <w:r>
        <w:rPr>
          <w:color w:val="231F20"/>
        </w:rPr>
        <w:t>la décision de l’organe d’administration, la fondation peut demander la nullité des décisions prises ou des opérations accomplies en violation des règles prévues au présent article ou à l’article 11:8, § 1</w:t>
      </w:r>
      <w:r>
        <w:rPr>
          <w:color w:val="231F20"/>
          <w:position w:val="7"/>
          <w:sz w:val="11"/>
        </w:rPr>
        <w:t>er</w:t>
      </w:r>
      <w:r>
        <w:rPr>
          <w:color w:val="231F20"/>
        </w:rPr>
        <w:t>, si l’autre partie à ces décisions ou opérations avait ou devait avoir connaissance de cette</w:t>
      </w:r>
      <w:r>
        <w:rPr>
          <w:color w:val="231F20"/>
          <w:spacing w:val="-11"/>
        </w:rPr>
        <w:t> </w:t>
      </w:r>
      <w:r>
        <w:rPr>
          <w:color w:val="231F20"/>
        </w:rPr>
        <w:t>violation.</w:t>
      </w:r>
    </w:p>
    <w:p>
      <w:pPr>
        <w:pStyle w:val="BodyText"/>
        <w:spacing w:line="218" w:lineRule="auto" w:before="83"/>
        <w:ind w:right="38"/>
      </w:pPr>
      <w:r>
        <w:rPr>
          <w:color w:val="231F20"/>
        </w:rPr>
        <w:t>Art. 11:10. Les décisions de l’organe d’administration peuvent être prises par décision unanime de tous les administrateurs, exprimée par écrit, à l’exception des décisions pour lesquelles les statuts excluent cette possibilité.</w:t>
      </w:r>
    </w:p>
    <w:p>
      <w:pPr>
        <w:pStyle w:val="BodyText"/>
        <w:spacing w:line="218" w:lineRule="auto" w:before="85"/>
        <w:ind w:right="38"/>
      </w:pPr>
      <w:r>
        <w:rPr>
          <w:color w:val="231F20"/>
        </w:rPr>
        <w:t>Les statuts peuvent prévoir qu’un administrateur peut se faire représenter par un autre administrateur à une réunion de l’organe d’administration.</w:t>
      </w:r>
    </w:p>
    <w:p>
      <w:pPr>
        <w:pStyle w:val="BodyText"/>
        <w:spacing w:line="218" w:lineRule="auto" w:before="86"/>
        <w:ind w:right="38"/>
      </w:pPr>
      <w:r>
        <w:rPr>
          <w:color w:val="231F20"/>
        </w:rPr>
        <w:t>Art. 11:11. L’organe d’administration est compétent pour la nomina- tion et la cessation des fonctions du commissaire.</w:t>
      </w:r>
    </w:p>
    <w:p>
      <w:pPr>
        <w:pStyle w:val="BodyText"/>
        <w:spacing w:line="218" w:lineRule="auto" w:before="85"/>
        <w:ind w:right="38"/>
      </w:pPr>
      <w:r>
        <w:rPr>
          <w:color w:val="231F20"/>
        </w:rPr>
        <w:t>Le cas échéant, le commissaire peut convoquer l’organe d’adminis- tration. Il doit la convoquer lorsque le fondateur ou un cinquième des administrateurs le demandent.</w:t>
      </w:r>
    </w:p>
    <w:p>
      <w:pPr>
        <w:pStyle w:val="BodyText"/>
        <w:spacing w:line="218" w:lineRule="auto" w:before="86"/>
        <w:ind w:right="38"/>
      </w:pPr>
      <w:r>
        <w:rPr>
          <w:color w:val="231F20"/>
        </w:rPr>
        <w:t>Le commissaire assiste à la réunion de l’organe d’administration lorsque ce dernier doit délibérer sur la base d’un rapport établi par lui.</w:t>
      </w:r>
    </w:p>
    <w:p>
      <w:pPr>
        <w:pStyle w:val="BodyText"/>
        <w:ind w:left="0" w:right="0" w:firstLine="0"/>
        <w:jc w:val="left"/>
        <w:rPr>
          <w:sz w:val="23"/>
        </w:rPr>
      </w:pPr>
    </w:p>
    <w:p>
      <w:pPr>
        <w:pStyle w:val="BodyText"/>
        <w:spacing w:line="218" w:lineRule="auto"/>
        <w:ind w:right="38"/>
      </w:pPr>
      <w:r>
        <w:rPr>
          <w:color w:val="231F20"/>
        </w:rPr>
        <w:t>Art. 11:12. Chaque année et au plus tard six mois après la date de clôture de l’exercice social, l’organe d’administration établit le budget de l’exercice</w:t>
      </w:r>
      <w:r>
        <w:rPr>
          <w:color w:val="231F20"/>
          <w:spacing w:val="-11"/>
        </w:rPr>
        <w:t> </w:t>
      </w:r>
      <w:r>
        <w:rPr>
          <w:color w:val="231F20"/>
        </w:rPr>
        <w:t>suivant.</w:t>
      </w:r>
    </w:p>
    <w:p>
      <w:pPr>
        <w:pStyle w:val="BodyText"/>
        <w:spacing w:line="218" w:lineRule="auto" w:before="86"/>
        <w:ind w:right="38"/>
      </w:pPr>
      <w:r>
        <w:rPr>
          <w:color w:val="231F20"/>
        </w:rPr>
        <w:t>Art. 11:13. Le tribunal de l’entreprise dans le ressort duquel la fondation a son siège peut prononcer la révocation des administrateurs qui auront fait preuve de négligence manifeste, qui ne remplissent pas leurs obligations légales ou statutaires, ou qui disposent des biens de la fondation contrairement à leur destination ou à des fins contraires aux statuts, à la loi ou à l’ordre public.</w:t>
      </w:r>
    </w:p>
    <w:p>
      <w:pPr>
        <w:pStyle w:val="BodyText"/>
        <w:spacing w:line="218" w:lineRule="auto" w:before="96"/>
        <w:ind w:right="38"/>
      </w:pPr>
      <w:r>
        <w:rPr>
          <w:color w:val="231F20"/>
        </w:rPr>
        <w:t>Dans ce cas, les nouveaux administrateurs seront nommés par le tribunal en conformité avec les statuts.</w:t>
      </w:r>
    </w:p>
    <w:p>
      <w:pPr>
        <w:pStyle w:val="BodyText"/>
        <w:spacing w:before="82"/>
        <w:ind w:left="283" w:right="0" w:firstLine="0"/>
        <w:jc w:val="left"/>
      </w:pPr>
      <w:r>
        <w:rPr>
          <w:color w:val="231F20"/>
        </w:rPr>
        <w:t>Section 3. Gestion journalière.</w:t>
      </w:r>
    </w:p>
    <w:p>
      <w:pPr>
        <w:pStyle w:val="BodyText"/>
        <w:spacing w:line="218" w:lineRule="auto" w:before="93"/>
        <w:ind w:right="38"/>
      </w:pPr>
      <w:r>
        <w:rPr>
          <w:color w:val="231F20"/>
        </w:rPr>
        <w:t>Art. 11:14. Les statuts peuvent prévoir que l’organe d’administration peut charger une ou plusieurs personnes, qui agissent chacune individuellement, conjointement ou collégialement, de la gestion journalière de la fondation, ainsi que de la représentation de la fondation en ce qui concerne cette administration. L’organe d’adminis- tration qui a désigné l’organe de gestion journalière est chargé de la surveillance de celui-ci.</w:t>
      </w:r>
    </w:p>
    <w:p>
      <w:pPr>
        <w:pStyle w:val="BodyText"/>
        <w:spacing w:line="218" w:lineRule="auto" w:before="96"/>
        <w:ind w:right="38"/>
      </w:pPr>
      <w:r>
        <w:rPr>
          <w:color w:val="231F20"/>
        </w:rPr>
        <w:t>La gestion journalière comprend aussi bien les actes et les décisions qui n’excèdent pas les besoins de la vie quotidienne de la fondation que les actes et les décisions qui, soit en raison de l’intérêt mineur qu’ils représentent, soit en raison de leur caractère urgent, ne justifient pas l’intervention de l’organe d’administration.</w:t>
      </w:r>
    </w:p>
    <w:p>
      <w:pPr>
        <w:pStyle w:val="BodyText"/>
        <w:ind w:left="0" w:right="0" w:firstLine="0"/>
        <w:jc w:val="left"/>
        <w:rPr>
          <w:sz w:val="24"/>
        </w:rPr>
      </w:pPr>
    </w:p>
    <w:p>
      <w:pPr>
        <w:pStyle w:val="BodyText"/>
        <w:spacing w:line="218" w:lineRule="auto"/>
        <w:ind w:right="38"/>
      </w:pPr>
      <w:r>
        <w:rPr>
          <w:color w:val="231F20"/>
        </w:rPr>
        <w:t>La disposition selon laquelle la gestion journalière est confiée à une ou plusieurs personnes qui agissent chacune individuellement, conjoin- tement ou collégialement, est opposable aux tiers aux conditions fixées à l’article 2:18. Les limitations au pouvoir de représentation de l’organe de gestion journalière ne sont toutefois pas opposables aux tiers, même si elles sont publiées.</w:t>
      </w:r>
    </w:p>
    <w:p>
      <w:pPr>
        <w:pStyle w:val="BodyText"/>
        <w:spacing w:before="82"/>
        <w:ind w:left="283" w:right="0" w:firstLine="0"/>
        <w:jc w:val="left"/>
      </w:pPr>
      <w:r>
        <w:rPr>
          <w:color w:val="231F20"/>
        </w:rPr>
        <w:t>TITRE 3. Libéralités.</w:t>
      </w:r>
    </w:p>
    <w:p>
      <w:pPr>
        <w:pStyle w:val="BodyText"/>
        <w:spacing w:line="218" w:lineRule="auto" w:before="93"/>
        <w:ind w:right="38"/>
      </w:pPr>
      <w:r>
        <w:rPr>
          <w:color w:val="231F20"/>
        </w:rPr>
        <w:t>Art. 11:15. À l’exception des dons manuels, toute libération entre vifs au profit de la fondation dont la valeur excède 100 000 euro doit être autorisée par le ministre de la Justice ou son délégué.</w:t>
      </w:r>
    </w:p>
    <w:p>
      <w:pPr>
        <w:pStyle w:val="BodyText"/>
        <w:spacing w:before="10"/>
        <w:ind w:left="0" w:right="0" w:firstLine="0"/>
        <w:jc w:val="left"/>
        <w:rPr>
          <w:sz w:val="23"/>
        </w:rPr>
      </w:pPr>
    </w:p>
    <w:p>
      <w:pPr>
        <w:pStyle w:val="BodyText"/>
        <w:spacing w:line="218" w:lineRule="auto" w:before="1"/>
        <w:ind w:right="38"/>
      </w:pPr>
      <w:r>
        <w:rPr>
          <w:color w:val="231F20"/>
        </w:rPr>
        <w:t>La libéralité est réputée autorisée si le ministre de la Justice ou son délégué n’a pas réagi dans un délai de trois mois à dater de la demande d’autorisation qui lui est adressée.</w:t>
      </w:r>
    </w:p>
    <w:p>
      <w:pPr>
        <w:pStyle w:val="BodyText"/>
        <w:spacing w:before="10"/>
        <w:ind w:left="0" w:right="0" w:firstLine="0"/>
        <w:jc w:val="left"/>
        <w:rPr>
          <w:sz w:val="23"/>
        </w:rPr>
      </w:pPr>
    </w:p>
    <w:p>
      <w:pPr>
        <w:pStyle w:val="BodyText"/>
        <w:spacing w:line="218" w:lineRule="auto"/>
        <w:ind w:right="38"/>
      </w:pPr>
      <w:r>
        <w:rPr>
          <w:color w:val="231F20"/>
        </w:rPr>
        <w:t>Le ministre de la Justice détermine les pièces qui doivent être jointes à la demande.</w:t>
      </w:r>
    </w:p>
    <w:p>
      <w:pPr>
        <w:pStyle w:val="BodyText"/>
        <w:spacing w:line="218" w:lineRule="auto" w:before="96"/>
        <w:ind w:right="38"/>
      </w:pPr>
      <w:r>
        <w:rPr>
          <w:color w:val="231F20"/>
        </w:rPr>
        <w:t>Si le dossier communiqué par la fondation est incomplet, le ministre de la Justice ou son délégué en informe la fondation par lettre recommandée en indiquant les pièces manquantes. Le délai de trois mois est suspendu à la date de cet envoi jusqu’à la communication de l’ensemble des pièces sollicitées.</w:t>
      </w:r>
    </w:p>
    <w:p>
      <w:pPr>
        <w:pStyle w:val="BodyText"/>
        <w:spacing w:line="218" w:lineRule="auto" w:before="119"/>
      </w:pPr>
      <w:r>
        <w:rPr/>
        <w:br w:type="column"/>
      </w:r>
      <w:r>
        <w:rPr>
          <w:color w:val="231F20"/>
        </w:rPr>
        <w:t>Ingeval de stichting een commissaris heeft benoemd, worden de notulen  of  het  verslag   aan   hem   meegedeeld.   In   zijn   in   arti-   kel 3:74 bedoelde verslag beoordeelt de commissaris, in een afzonder- lijke sectie, de vermogensrechtelijke gevolgen voor de stichting van de besluiten van het bestuursorgaan waarvoor een strijdig belang als bedoeld</w:t>
      </w:r>
      <w:r>
        <w:rPr>
          <w:color w:val="231F20"/>
          <w:spacing w:val="14"/>
        </w:rPr>
        <w:t> </w:t>
      </w:r>
      <w:r>
        <w:rPr>
          <w:color w:val="231F20"/>
        </w:rPr>
        <w:t>in</w:t>
      </w:r>
      <w:r>
        <w:rPr>
          <w:color w:val="231F20"/>
          <w:spacing w:val="15"/>
        </w:rPr>
        <w:t> </w:t>
      </w:r>
      <w:r>
        <w:rPr>
          <w:color w:val="231F20"/>
        </w:rPr>
        <w:t>artikel</w:t>
      </w:r>
      <w:r>
        <w:rPr>
          <w:color w:val="231F20"/>
          <w:spacing w:val="15"/>
        </w:rPr>
        <w:t> </w:t>
      </w:r>
      <w:r>
        <w:rPr>
          <w:color w:val="231F20"/>
        </w:rPr>
        <w:t>11:8,</w:t>
      </w:r>
      <w:r>
        <w:rPr>
          <w:color w:val="231F20"/>
          <w:spacing w:val="15"/>
        </w:rPr>
        <w:t> </w:t>
      </w:r>
      <w:r>
        <w:rPr>
          <w:color w:val="231F20"/>
        </w:rPr>
        <w:t>§</w:t>
      </w:r>
      <w:r>
        <w:rPr>
          <w:color w:val="231F20"/>
          <w:spacing w:val="15"/>
        </w:rPr>
        <w:t> </w:t>
      </w:r>
      <w:r>
        <w:rPr>
          <w:color w:val="231F20"/>
        </w:rPr>
        <w:t>1,</w:t>
      </w:r>
      <w:r>
        <w:rPr>
          <w:color w:val="231F20"/>
          <w:spacing w:val="15"/>
        </w:rPr>
        <w:t> </w:t>
      </w:r>
      <w:r>
        <w:rPr>
          <w:color w:val="231F20"/>
        </w:rPr>
        <w:t>bestaat.</w:t>
      </w:r>
    </w:p>
    <w:p>
      <w:pPr>
        <w:pStyle w:val="BodyText"/>
        <w:spacing w:line="218" w:lineRule="auto" w:before="86"/>
      </w:pPr>
      <w:r>
        <w:rPr>
          <w:color w:val="231F20"/>
        </w:rPr>
        <w:t>§ 2. Onverminderd het recht voor de in de artikelen 2:44 en 2:46 genoemde personen om de nietigheid of opschorting van het bestuurs- besluit te vorderen, kan de stichting de nietigheid vorderen van beslissingen of verrichtingen die hebben plaatsgevonden met overtre- ding van de in dit artikel of artikel 11:8, § 1, bepaalde regels, indien de wederpartij bij die beslissingen of verrichtingen van die overtreding op de</w:t>
      </w:r>
      <w:r>
        <w:rPr>
          <w:color w:val="231F20"/>
          <w:spacing w:val="15"/>
        </w:rPr>
        <w:t> </w:t>
      </w:r>
      <w:r>
        <w:rPr>
          <w:color w:val="231F20"/>
        </w:rPr>
        <w:t>hoogte</w:t>
      </w:r>
      <w:r>
        <w:rPr>
          <w:color w:val="231F20"/>
          <w:spacing w:val="16"/>
        </w:rPr>
        <w:t> </w:t>
      </w:r>
      <w:r>
        <w:rPr>
          <w:color w:val="231F20"/>
        </w:rPr>
        <w:t>was</w:t>
      </w:r>
      <w:r>
        <w:rPr>
          <w:color w:val="231F20"/>
          <w:spacing w:val="15"/>
        </w:rPr>
        <w:t> </w:t>
      </w:r>
      <w:r>
        <w:rPr>
          <w:color w:val="231F20"/>
        </w:rPr>
        <w:t>of</w:t>
      </w:r>
      <w:r>
        <w:rPr>
          <w:color w:val="231F20"/>
          <w:spacing w:val="16"/>
        </w:rPr>
        <w:t> </w:t>
      </w:r>
      <w:r>
        <w:rPr>
          <w:color w:val="231F20"/>
        </w:rPr>
        <w:t>had</w:t>
      </w:r>
      <w:r>
        <w:rPr>
          <w:color w:val="231F20"/>
          <w:spacing w:val="15"/>
        </w:rPr>
        <w:t> </w:t>
      </w:r>
      <w:r>
        <w:rPr>
          <w:color w:val="231F20"/>
        </w:rPr>
        <w:t>moeten</w:t>
      </w:r>
      <w:r>
        <w:rPr>
          <w:color w:val="231F20"/>
          <w:spacing w:val="16"/>
        </w:rPr>
        <w:t> </w:t>
      </w:r>
      <w:r>
        <w:rPr>
          <w:color w:val="231F20"/>
        </w:rPr>
        <w:t>zijn.</w:t>
      </w:r>
    </w:p>
    <w:p>
      <w:pPr>
        <w:pStyle w:val="BodyText"/>
        <w:spacing w:line="218" w:lineRule="auto" w:before="86"/>
      </w:pPr>
      <w:r>
        <w:rPr>
          <w:color w:val="231F20"/>
        </w:rPr>
        <w:t>Art. 11:10. De besluiten van het bestuursorgaan kunnen bij eenparig schriftelijk besluit van alle bestuurders worden genomen, met uitzon- dering van de besluiten waarvoor de statuten deze mogelijkheid uitsluiten.</w:t>
      </w:r>
    </w:p>
    <w:p>
      <w:pPr>
        <w:pStyle w:val="BodyText"/>
        <w:spacing w:line="218" w:lineRule="auto" w:before="86"/>
      </w:pPr>
      <w:r>
        <w:rPr>
          <w:color w:val="231F20"/>
        </w:rPr>
        <w:t>De statuten kunnen bepalen dat een bestuurder zich op een vergadering van het bestuursorgaan door een ander bestuurder kan laten vertegenwoordigen.</w:t>
      </w:r>
    </w:p>
    <w:p>
      <w:pPr>
        <w:pStyle w:val="BodyText"/>
        <w:spacing w:line="218" w:lineRule="auto" w:before="85"/>
      </w:pPr>
      <w:r>
        <w:rPr>
          <w:color w:val="231F20"/>
        </w:rPr>
        <w:t>Art. 11:11. Het bestuursorgaan is bevoegd voor de benoeming en de ambtsbeëindiging van de commissaris.</w:t>
      </w:r>
    </w:p>
    <w:p>
      <w:pPr>
        <w:pStyle w:val="BodyText"/>
        <w:spacing w:line="218" w:lineRule="auto" w:before="86"/>
      </w:pPr>
      <w:r>
        <w:rPr>
          <w:color w:val="231F20"/>
        </w:rPr>
        <w:t>In voorkomend geval, kan de commissaris het bestuursorgaan bijeenroepen. Hij moet dit bijeenroepen wanneer de stichter of een vijfde van de bestuurders het vragen.</w:t>
      </w:r>
    </w:p>
    <w:p>
      <w:pPr>
        <w:pStyle w:val="BodyText"/>
        <w:spacing w:line="218" w:lineRule="auto" w:before="85"/>
      </w:pPr>
      <w:r>
        <w:rPr>
          <w:color w:val="231F20"/>
        </w:rPr>
        <w:t>De commissaris woont de vergadering van het bestuursorgaan bij wanneer dit moet beraadslagen op grond van een door hem opgemaakt verslag.</w:t>
      </w:r>
    </w:p>
    <w:p>
      <w:pPr>
        <w:pStyle w:val="BodyText"/>
        <w:spacing w:line="218" w:lineRule="auto" w:before="86"/>
      </w:pPr>
      <w:r>
        <w:rPr>
          <w:color w:val="231F20"/>
        </w:rPr>
        <w:t>Art. 11:12. Ieder jaar en ten laatste binnen zes maanden na afsluitingsdatum van het boekjaar maakt het bestuursorgaan de begroting van het volgende boekjaar op.</w:t>
      </w:r>
    </w:p>
    <w:p>
      <w:pPr>
        <w:pStyle w:val="BodyText"/>
        <w:spacing w:line="218" w:lineRule="auto" w:before="85"/>
        <w:ind w:right="123"/>
      </w:pPr>
      <w:r>
        <w:rPr>
          <w:color w:val="231F20"/>
        </w:rPr>
        <w:t>Art. 11:13. De ondernemingsrechtbank van het rechtsgebied waar de stichting haar zetel heeft, kan de afzetting uitspreken van bestuurders die blijk hebben gegeven van kennelijke nalatigheid, die hun wettelijke of statutaire verplichtingen niet nakomen of die goederen van de stichting aanwenden in strijd met hun bestemming of voor een doel in strijd met de statuten, met de wet of met de openbare orde.</w:t>
      </w:r>
    </w:p>
    <w:p>
      <w:pPr>
        <w:pStyle w:val="BodyText"/>
        <w:spacing w:line="218" w:lineRule="auto" w:before="97"/>
      </w:pPr>
      <w:r>
        <w:rPr>
          <w:color w:val="231F20"/>
        </w:rPr>
        <w:t>In dat geval benoemt de rechtbank de nieuwe bestuurders met naleving van de statuten.</w:t>
      </w:r>
    </w:p>
    <w:p>
      <w:pPr>
        <w:pStyle w:val="BodyText"/>
        <w:spacing w:before="82"/>
        <w:ind w:left="283" w:right="0" w:firstLine="0"/>
        <w:jc w:val="left"/>
      </w:pPr>
      <w:r>
        <w:rPr>
          <w:color w:val="231F20"/>
        </w:rPr>
        <w:t>Afdeling 3. Dagelijks bestuur.</w:t>
      </w:r>
    </w:p>
    <w:p>
      <w:pPr>
        <w:pStyle w:val="BodyText"/>
        <w:spacing w:line="218" w:lineRule="auto" w:before="93"/>
      </w:pPr>
      <w:r>
        <w:rPr>
          <w:color w:val="231F20"/>
        </w:rPr>
        <w:t>Art. 11:14. De statuten kunnen bepalen dat het bestuursorgaan het dagelijks bestuur van de stichting, alsook de vertegenwoordiging van  de stichting wat dat bestuur aangaat, kan opdragen aan een of meer personen, die elk alleen, gezamenlijk of als college optreden. Het bestuursorgaan dat het orgaan van dagelijks bestuur heeft aangesteld is belast</w:t>
      </w:r>
      <w:r>
        <w:rPr>
          <w:color w:val="231F20"/>
          <w:spacing w:val="15"/>
        </w:rPr>
        <w:t> </w:t>
      </w:r>
      <w:r>
        <w:rPr>
          <w:color w:val="231F20"/>
        </w:rPr>
        <w:t>met</w:t>
      </w:r>
      <w:r>
        <w:rPr>
          <w:color w:val="231F20"/>
          <w:spacing w:val="15"/>
        </w:rPr>
        <w:t> </w:t>
      </w:r>
      <w:r>
        <w:rPr>
          <w:color w:val="231F20"/>
        </w:rPr>
        <w:t>het</w:t>
      </w:r>
      <w:r>
        <w:rPr>
          <w:color w:val="231F20"/>
          <w:spacing w:val="15"/>
        </w:rPr>
        <w:t> </w:t>
      </w:r>
      <w:r>
        <w:rPr>
          <w:color w:val="231F20"/>
        </w:rPr>
        <w:t>toezicht</w:t>
      </w:r>
      <w:r>
        <w:rPr>
          <w:color w:val="231F20"/>
          <w:spacing w:val="15"/>
        </w:rPr>
        <w:t> </w:t>
      </w:r>
      <w:r>
        <w:rPr>
          <w:color w:val="231F20"/>
        </w:rPr>
        <w:t>op</w:t>
      </w:r>
      <w:r>
        <w:rPr>
          <w:color w:val="231F20"/>
          <w:spacing w:val="15"/>
        </w:rPr>
        <w:t> </w:t>
      </w:r>
      <w:r>
        <w:rPr>
          <w:color w:val="231F20"/>
        </w:rPr>
        <w:t>dit</w:t>
      </w:r>
      <w:r>
        <w:rPr>
          <w:color w:val="231F20"/>
          <w:spacing w:val="15"/>
        </w:rPr>
        <w:t> </w:t>
      </w:r>
      <w:r>
        <w:rPr>
          <w:color w:val="231F20"/>
        </w:rPr>
        <w:t>orgaan.</w:t>
      </w:r>
    </w:p>
    <w:p>
      <w:pPr>
        <w:pStyle w:val="BodyText"/>
        <w:spacing w:before="10"/>
        <w:ind w:left="0" w:right="0" w:firstLine="0"/>
        <w:jc w:val="left"/>
        <w:rPr>
          <w:sz w:val="23"/>
        </w:rPr>
      </w:pPr>
    </w:p>
    <w:p>
      <w:pPr>
        <w:pStyle w:val="BodyText"/>
        <w:spacing w:line="218" w:lineRule="auto" w:before="1"/>
      </w:pPr>
      <w:r>
        <w:rPr>
          <w:color w:val="231F20"/>
        </w:rPr>
        <w:t>Het dagelijks bestuur omvat zowel de handelingen en de beslissin- gen die niet verder reiken dan de behoeften van het dagelijks leven van de stichting, als de handelingen en de beslissingen die, ofwel om reden van hun minder belang dat ze vertonen, ofwel omwille van hun spoedeisend karakter, de tussenkomst van het bestuursorgaan niet rechtvaardigen.</w:t>
      </w:r>
    </w:p>
    <w:p>
      <w:pPr>
        <w:pStyle w:val="BodyText"/>
        <w:spacing w:line="218" w:lineRule="auto" w:before="96"/>
      </w:pPr>
      <w:r>
        <w:rPr>
          <w:color w:val="231F20"/>
        </w:rPr>
        <w:t>De bepaling dat het dagelijks bestuur wordt opgedragen aan een of meer personen die elk alleen, gezamenlijk of als college optreden, kan aan derden worden tegengeworpen onder de voorwaarden bepaald in artikel 2:18. Beperkingen aan de vertegenwoordigingsbevoegdheid van het orgaan van dagelijks bestuur kunnen aan derden echter niet worden</w:t>
      </w:r>
      <w:r>
        <w:rPr>
          <w:color w:val="231F20"/>
          <w:spacing w:val="17"/>
        </w:rPr>
        <w:t> </w:t>
      </w:r>
      <w:r>
        <w:rPr>
          <w:color w:val="231F20"/>
        </w:rPr>
        <w:t>tegengeworpen,</w:t>
      </w:r>
      <w:r>
        <w:rPr>
          <w:color w:val="231F20"/>
          <w:spacing w:val="18"/>
        </w:rPr>
        <w:t> </w:t>
      </w:r>
      <w:r>
        <w:rPr>
          <w:color w:val="231F20"/>
        </w:rPr>
        <w:t>ook</w:t>
      </w:r>
      <w:r>
        <w:rPr>
          <w:color w:val="231F20"/>
          <w:spacing w:val="18"/>
        </w:rPr>
        <w:t> </w:t>
      </w:r>
      <w:r>
        <w:rPr>
          <w:color w:val="231F20"/>
        </w:rPr>
        <w:t>al</w:t>
      </w:r>
      <w:r>
        <w:rPr>
          <w:color w:val="231F20"/>
          <w:spacing w:val="18"/>
        </w:rPr>
        <w:t> </w:t>
      </w:r>
      <w:r>
        <w:rPr>
          <w:color w:val="231F20"/>
        </w:rPr>
        <w:t>zijn</w:t>
      </w:r>
      <w:r>
        <w:rPr>
          <w:color w:val="231F20"/>
          <w:spacing w:val="18"/>
        </w:rPr>
        <w:t> </w:t>
      </w:r>
      <w:r>
        <w:rPr>
          <w:color w:val="231F20"/>
        </w:rPr>
        <w:t>ze</w:t>
      </w:r>
      <w:r>
        <w:rPr>
          <w:color w:val="231F20"/>
          <w:spacing w:val="17"/>
        </w:rPr>
        <w:t> </w:t>
      </w:r>
      <w:r>
        <w:rPr>
          <w:color w:val="231F20"/>
        </w:rPr>
        <w:t>openbaar</w:t>
      </w:r>
      <w:r>
        <w:rPr>
          <w:color w:val="231F20"/>
          <w:spacing w:val="18"/>
        </w:rPr>
        <w:t> </w:t>
      </w:r>
      <w:r>
        <w:rPr>
          <w:color w:val="231F20"/>
        </w:rPr>
        <w:t>gemaakt.</w:t>
      </w:r>
    </w:p>
    <w:p>
      <w:pPr>
        <w:pStyle w:val="BodyText"/>
        <w:spacing w:before="83"/>
        <w:ind w:left="283" w:right="0" w:firstLine="0"/>
        <w:jc w:val="left"/>
      </w:pPr>
      <w:r>
        <w:rPr>
          <w:color w:val="231F20"/>
        </w:rPr>
        <w:t>TITEL 3. Giften.</w:t>
      </w:r>
    </w:p>
    <w:p>
      <w:pPr>
        <w:pStyle w:val="BodyText"/>
        <w:spacing w:line="218" w:lineRule="auto" w:before="92"/>
      </w:pPr>
      <w:r>
        <w:rPr>
          <w:color w:val="231F20"/>
        </w:rPr>
        <w:t>Art. 11:15. Met uitzondering van handgiften, behoeft elke gift onder de levenden aan de stichting waarvan de waarde hoger is</w:t>
      </w:r>
      <w:r>
        <w:rPr>
          <w:color w:val="231F20"/>
          <w:spacing w:val="11"/>
        </w:rPr>
        <w:t> </w:t>
      </w:r>
      <w:r>
        <w:rPr>
          <w:color w:val="231F20"/>
        </w:rPr>
        <w:t>dan</w:t>
      </w:r>
    </w:p>
    <w:p>
      <w:pPr>
        <w:pStyle w:val="BodyText"/>
        <w:spacing w:line="218" w:lineRule="auto"/>
        <w:ind w:right="0" w:firstLine="0"/>
        <w:jc w:val="left"/>
      </w:pPr>
      <w:r>
        <w:rPr>
          <w:color w:val="231F20"/>
        </w:rPr>
        <w:t>100 000 euro een machtiging door de minister van Justitie of zijn vertegenwoordiger.</w:t>
      </w:r>
    </w:p>
    <w:p>
      <w:pPr>
        <w:pStyle w:val="BodyText"/>
        <w:spacing w:line="218" w:lineRule="auto" w:before="97"/>
      </w:pPr>
      <w:r>
        <w:rPr>
          <w:color w:val="231F20"/>
        </w:rPr>
        <w:t>De gift wordt geacht te zijn gemachtigd indien de minister van Justitie of zijn vertegenwoordiger niet heeft gereageerd binnen een termijn van drie maanden te rekenen van het aan hem gerichte verzoek tot machtiging.</w:t>
      </w:r>
    </w:p>
    <w:p>
      <w:pPr>
        <w:pStyle w:val="BodyText"/>
        <w:spacing w:line="218" w:lineRule="auto" w:before="96"/>
      </w:pPr>
      <w:r>
        <w:rPr>
          <w:color w:val="231F20"/>
        </w:rPr>
        <w:t>De minister van Justitie bepaalt welke stukken bij het verzoek moeten worden</w:t>
      </w:r>
      <w:r>
        <w:rPr>
          <w:color w:val="231F20"/>
          <w:spacing w:val="-10"/>
        </w:rPr>
        <w:t> </w:t>
      </w:r>
      <w:r>
        <w:rPr>
          <w:color w:val="231F20"/>
        </w:rPr>
        <w:t>gevoegd.</w:t>
      </w:r>
    </w:p>
    <w:p>
      <w:pPr>
        <w:pStyle w:val="BodyText"/>
        <w:spacing w:line="218" w:lineRule="auto" w:before="96"/>
      </w:pPr>
      <w:r>
        <w:rPr>
          <w:color w:val="231F20"/>
        </w:rPr>
        <w:t>Ingeval het door de stichting toegezonden dossier niet volledig is, stelt de minister van Justitie of zijn vertegenwoordiger de stichting daarvan bij aangetekende brief in kennis, met vermelding van de ontbrekende stukken. De termijn van drie maanden wordt opgeschort met ingang van de datum van die verzending tot aan de toezending   van alle gevraagde</w:t>
      </w:r>
      <w:r>
        <w:rPr>
          <w:color w:val="231F20"/>
          <w:spacing w:val="6"/>
        </w:rPr>
        <w:t> </w:t>
      </w:r>
      <w:r>
        <w:rPr>
          <w:color w:val="231F20"/>
        </w:rPr>
        <w:t>stukken.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328" from="298.170502pt,64.473pt" to="298.170502pt,812.819pt" stroked="true" strokeweight=".533pt" strokecolor="#231f20">
            <v:stroke dashstyle="solid"/>
            <w10:wrap type="none"/>
          </v:line>
        </w:pict>
      </w:r>
      <w:bookmarkStart w:name="_bookmark221" w:id="227"/>
      <w:bookmarkEnd w:id="227"/>
      <w:r>
        <w:rPr/>
      </w:r>
      <w:r>
        <w:rPr>
          <w:color w:val="231F20"/>
        </w:rPr>
        <w:t>L’autorisation peut seulement être accordée si la fondation s’est conformée aux dispositions de l’article 2:11.</w:t>
      </w:r>
    </w:p>
    <w:p>
      <w:pPr>
        <w:pStyle w:val="BodyText"/>
        <w:spacing w:line="218" w:lineRule="auto" w:before="113"/>
        <w:ind w:right="39"/>
      </w:pPr>
      <w:r>
        <w:rPr>
          <w:color w:val="231F20"/>
        </w:rPr>
        <w:t>Le montant visé à l’alinéa 1</w:t>
      </w:r>
      <w:r>
        <w:rPr>
          <w:color w:val="231F20"/>
          <w:position w:val="7"/>
          <w:sz w:val="11"/>
        </w:rPr>
        <w:t>er </w:t>
      </w:r>
      <w:r>
        <w:rPr>
          <w:color w:val="231F20"/>
        </w:rPr>
        <w:t>peut être modifié par arrêté royal délibéré en Conseil des ministres.</w:t>
      </w:r>
    </w:p>
    <w:p>
      <w:pPr>
        <w:pStyle w:val="BodyText"/>
        <w:spacing w:before="114"/>
        <w:ind w:left="283" w:right="0" w:firstLine="0"/>
        <w:jc w:val="left"/>
      </w:pPr>
      <w:r>
        <w:rPr>
          <w:color w:val="231F20"/>
        </w:rPr>
        <w:t>TITRE 4. Fondations étrangères.</w:t>
      </w:r>
    </w:p>
    <w:p>
      <w:pPr>
        <w:pStyle w:val="BodyText"/>
        <w:spacing w:line="218" w:lineRule="auto" w:before="124"/>
        <w:ind w:right="38"/>
      </w:pPr>
      <w:r>
        <w:rPr>
          <w:color w:val="231F20"/>
        </w:rPr>
        <w:t>Art. 11:16. À la requête du ministère public ou de tout intéressé, le tribunal de l’entreprise peut ordonner la fermeture d’une succursale belge d’une fondation étrangère dont les activités contreviennent gravement aux statuts de la fondation dont elle dépend, ou contrevien- nent à la loi ou à l’ordre public. La décision judiciaire passée en force de chose jugée de fermeture de la succursale est déposée dans le mois par la fondation, le ministère public ou tout intéressé, au greffe du tribunal de l’entreprise où est tenu le dossier visé à l’article 2:23.</w:t>
      </w:r>
    </w:p>
    <w:p>
      <w:pPr>
        <w:pStyle w:val="BodyText"/>
        <w:ind w:left="0" w:right="0" w:firstLine="0"/>
        <w:jc w:val="left"/>
        <w:rPr>
          <w:sz w:val="20"/>
        </w:rPr>
      </w:pPr>
    </w:p>
    <w:p>
      <w:pPr>
        <w:pStyle w:val="BodyText"/>
        <w:spacing w:before="3"/>
        <w:ind w:left="0" w:right="0" w:firstLine="0"/>
        <w:jc w:val="left"/>
        <w:rPr>
          <w:sz w:val="22"/>
        </w:rPr>
      </w:pPr>
    </w:p>
    <w:p>
      <w:pPr>
        <w:pStyle w:val="BodyText"/>
        <w:spacing w:line="218" w:lineRule="auto"/>
        <w:ind w:right="38"/>
      </w:pPr>
      <w:r>
        <w:rPr>
          <w:color w:val="231F20"/>
        </w:rPr>
        <w:t>Toute action intentée par une succursale ou par la fondation dont la succursale dépend, est suspendue si la succursale ou la fondation n’a pas respecté les formalités prévues aux articles 2:26 et 3:54. Avant de déclarer l’action irrecevable, le juge fixe un délai endéans lequel la succursale ou la fondation peut encore satisfaire à ces formalités.</w:t>
      </w:r>
    </w:p>
    <w:p>
      <w:pPr>
        <w:pStyle w:val="BodyText"/>
        <w:spacing w:before="9"/>
        <w:ind w:left="0" w:right="0" w:firstLine="0"/>
        <w:jc w:val="left"/>
        <w:rPr>
          <w:sz w:val="26"/>
        </w:rPr>
      </w:pPr>
    </w:p>
    <w:p>
      <w:pPr>
        <w:pStyle w:val="BodyText"/>
        <w:spacing w:line="218" w:lineRule="auto"/>
        <w:ind w:right="38"/>
      </w:pPr>
      <w:r>
        <w:rPr>
          <w:color w:val="231F20"/>
        </w:rPr>
        <w:t>L’article 11:15 est applicable aux libéralités au profit des fondations étrangères.</w:t>
      </w:r>
    </w:p>
    <w:p>
      <w:pPr>
        <w:pStyle w:val="BodyText"/>
        <w:spacing w:line="376" w:lineRule="auto" w:before="114"/>
        <w:ind w:left="283" w:right="1760" w:firstLine="0"/>
        <w:jc w:val="left"/>
      </w:pPr>
      <w:r>
        <w:rPr>
          <w:color w:val="231F20"/>
        </w:rPr>
        <w:t>PARTIE 4. Restructuration et transformation. LIVRE 12. Restructuration de sociétés.</w:t>
      </w:r>
    </w:p>
    <w:p>
      <w:pPr>
        <w:pStyle w:val="BodyText"/>
        <w:spacing w:line="194" w:lineRule="exact"/>
        <w:ind w:left="283" w:right="0" w:firstLine="0"/>
        <w:jc w:val="left"/>
      </w:pPr>
      <w:r>
        <w:rPr>
          <w:color w:val="231F20"/>
        </w:rPr>
        <w:t>TITRE 1</w:t>
      </w:r>
      <w:r>
        <w:rPr>
          <w:color w:val="231F20"/>
          <w:position w:val="7"/>
          <w:sz w:val="11"/>
        </w:rPr>
        <w:t>er</w:t>
      </w:r>
      <w:r>
        <w:rPr>
          <w:color w:val="231F20"/>
        </w:rPr>
        <w:t>. Dispositions introductives et définitions.</w:t>
      </w:r>
    </w:p>
    <w:p>
      <w:pPr>
        <w:pStyle w:val="BodyText"/>
        <w:spacing w:before="96"/>
        <w:ind w:left="283" w:right="0" w:firstLine="0"/>
        <w:jc w:val="left"/>
      </w:pPr>
      <w:r>
        <w:rPr>
          <w:color w:val="231F20"/>
        </w:rPr>
        <w:t>CHAPITRE 1</w:t>
      </w:r>
      <w:r>
        <w:rPr>
          <w:color w:val="231F20"/>
          <w:position w:val="7"/>
          <w:sz w:val="11"/>
        </w:rPr>
        <w:t>er</w:t>
      </w:r>
      <w:r>
        <w:rPr>
          <w:color w:val="231F20"/>
        </w:rPr>
        <w:t>. Disposition introductive.</w:t>
      </w:r>
    </w:p>
    <w:p>
      <w:pPr>
        <w:pStyle w:val="BodyText"/>
        <w:spacing w:line="218" w:lineRule="auto" w:before="109"/>
        <w:ind w:right="38"/>
      </w:pPr>
      <w:r>
        <w:rPr>
          <w:color w:val="231F20"/>
        </w:rPr>
        <w:t>Art. 12:1. § 1</w:t>
      </w:r>
      <w:r>
        <w:rPr>
          <w:color w:val="231F20"/>
          <w:position w:val="7"/>
          <w:sz w:val="11"/>
        </w:rPr>
        <w:t>er</w:t>
      </w:r>
      <w:r>
        <w:rPr>
          <w:color w:val="231F20"/>
        </w:rPr>
        <w:t>. Le présent livre s’applique à toutes les sociétés dotées de</w:t>
      </w:r>
      <w:r>
        <w:rPr>
          <w:color w:val="231F20"/>
          <w:spacing w:val="15"/>
        </w:rPr>
        <w:t> </w:t>
      </w:r>
      <w:r>
        <w:rPr>
          <w:color w:val="231F20"/>
        </w:rPr>
        <w:t>la</w:t>
      </w:r>
      <w:r>
        <w:rPr>
          <w:color w:val="231F20"/>
          <w:spacing w:val="15"/>
        </w:rPr>
        <w:t> </w:t>
      </w:r>
      <w:r>
        <w:rPr>
          <w:color w:val="231F20"/>
        </w:rPr>
        <w:t>personnalité</w:t>
      </w:r>
      <w:r>
        <w:rPr>
          <w:color w:val="231F20"/>
          <w:spacing w:val="15"/>
        </w:rPr>
        <w:t> </w:t>
      </w:r>
      <w:r>
        <w:rPr>
          <w:color w:val="231F20"/>
        </w:rPr>
        <w:t>juridique,</w:t>
      </w:r>
      <w:r>
        <w:rPr>
          <w:color w:val="231F20"/>
          <w:spacing w:val="16"/>
        </w:rPr>
        <w:t> </w:t>
      </w:r>
      <w:r>
        <w:rPr>
          <w:color w:val="231F20"/>
        </w:rPr>
        <w:t>régies</w:t>
      </w:r>
      <w:r>
        <w:rPr>
          <w:color w:val="231F20"/>
          <w:spacing w:val="15"/>
        </w:rPr>
        <w:t> </w:t>
      </w:r>
      <w:r>
        <w:rPr>
          <w:color w:val="231F20"/>
        </w:rPr>
        <w:t>par</w:t>
      </w:r>
      <w:r>
        <w:rPr>
          <w:color w:val="231F20"/>
          <w:spacing w:val="15"/>
        </w:rPr>
        <w:t> </w:t>
      </w:r>
      <w:r>
        <w:rPr>
          <w:color w:val="231F20"/>
        </w:rPr>
        <w:t>le</w:t>
      </w:r>
      <w:r>
        <w:rPr>
          <w:color w:val="231F20"/>
          <w:spacing w:val="16"/>
        </w:rPr>
        <w:t> </w:t>
      </w:r>
      <w:r>
        <w:rPr>
          <w:color w:val="231F20"/>
        </w:rPr>
        <w:t>présent</w:t>
      </w:r>
      <w:r>
        <w:rPr>
          <w:color w:val="231F20"/>
          <w:spacing w:val="15"/>
        </w:rPr>
        <w:t> </w:t>
      </w:r>
      <w:r>
        <w:rPr>
          <w:color w:val="231F20"/>
        </w:rPr>
        <w:t>code.</w:t>
      </w:r>
    </w:p>
    <w:p>
      <w:pPr>
        <w:pStyle w:val="BodyText"/>
        <w:spacing w:line="218" w:lineRule="auto" w:before="128"/>
        <w:ind w:right="38"/>
      </w:pPr>
      <w:r>
        <w:rPr>
          <w:color w:val="231F20"/>
        </w:rPr>
        <w:t>Toutefois, l’article 12:103 s’applique par analogie à toute personne morale, visée ou non par le présent code, qui opte expressément pour son</w:t>
      </w:r>
      <w:r>
        <w:rPr>
          <w:color w:val="231F20"/>
          <w:spacing w:val="15"/>
        </w:rPr>
        <w:t> </w:t>
      </w:r>
      <w:r>
        <w:rPr>
          <w:color w:val="231F20"/>
        </w:rPr>
        <w:t>application</w:t>
      </w:r>
      <w:r>
        <w:rPr>
          <w:color w:val="231F20"/>
          <w:spacing w:val="15"/>
        </w:rPr>
        <w:t> </w:t>
      </w:r>
      <w:r>
        <w:rPr>
          <w:color w:val="231F20"/>
        </w:rPr>
        <w:t>dans</w:t>
      </w:r>
      <w:r>
        <w:rPr>
          <w:color w:val="231F20"/>
          <w:spacing w:val="16"/>
        </w:rPr>
        <w:t> </w:t>
      </w:r>
      <w:r>
        <w:rPr>
          <w:color w:val="231F20"/>
        </w:rPr>
        <w:t>les</w:t>
      </w:r>
      <w:r>
        <w:rPr>
          <w:color w:val="231F20"/>
          <w:spacing w:val="15"/>
        </w:rPr>
        <w:t> </w:t>
      </w:r>
      <w:r>
        <w:rPr>
          <w:color w:val="231F20"/>
        </w:rPr>
        <w:t>formes</w:t>
      </w:r>
      <w:r>
        <w:rPr>
          <w:color w:val="231F20"/>
          <w:spacing w:val="16"/>
        </w:rPr>
        <w:t> </w:t>
      </w:r>
      <w:r>
        <w:rPr>
          <w:color w:val="231F20"/>
        </w:rPr>
        <w:t>prévues</w:t>
      </w:r>
      <w:r>
        <w:rPr>
          <w:color w:val="231F20"/>
          <w:spacing w:val="15"/>
        </w:rPr>
        <w:t> </w:t>
      </w:r>
      <w:r>
        <w:rPr>
          <w:color w:val="231F20"/>
        </w:rPr>
        <w:t>par</w:t>
      </w:r>
      <w:r>
        <w:rPr>
          <w:color w:val="231F20"/>
          <w:spacing w:val="16"/>
        </w:rPr>
        <w:t> </w:t>
      </w:r>
      <w:r>
        <w:rPr>
          <w:color w:val="231F20"/>
        </w:rPr>
        <w:t>cet</w:t>
      </w:r>
      <w:r>
        <w:rPr>
          <w:color w:val="231F20"/>
          <w:spacing w:val="15"/>
        </w:rPr>
        <w:t> </w:t>
      </w:r>
      <w:r>
        <w:rPr>
          <w:color w:val="231F20"/>
        </w:rPr>
        <w:t>article.</w:t>
      </w:r>
    </w:p>
    <w:p>
      <w:pPr>
        <w:pStyle w:val="BodyText"/>
        <w:spacing w:line="213" w:lineRule="auto" w:before="132"/>
        <w:ind w:right="38"/>
      </w:pPr>
      <w:r>
        <w:rPr>
          <w:color w:val="231F20"/>
        </w:rPr>
        <w:t>§ 2. Dans une société anonyme ayant une administration duale au sens de la partie 2, livre 7, titre 4, chapitre 1</w:t>
      </w:r>
      <w:r>
        <w:rPr>
          <w:color w:val="231F20"/>
          <w:position w:val="7"/>
          <w:sz w:val="11"/>
        </w:rPr>
        <w:t>er</w:t>
      </w:r>
      <w:r>
        <w:rPr>
          <w:color w:val="231F20"/>
        </w:rPr>
        <w:t>, section 3, le conseil de surveillance exerce les compétences attribuées à l’organe d’administra- tion dans le présent livre 12.</w:t>
      </w:r>
    </w:p>
    <w:p>
      <w:pPr>
        <w:pStyle w:val="BodyText"/>
        <w:spacing w:line="357" w:lineRule="auto" w:before="111"/>
        <w:ind w:left="283" w:right="3001" w:firstLine="0"/>
        <w:jc w:val="left"/>
      </w:pPr>
      <w:r>
        <w:rPr>
          <w:color w:val="231F20"/>
        </w:rPr>
        <w:t>CHAPITRE 2. Définitions. Section 1</w:t>
      </w:r>
      <w:r>
        <w:rPr>
          <w:color w:val="231F20"/>
          <w:position w:val="7"/>
          <w:sz w:val="11"/>
        </w:rPr>
        <w:t>re</w:t>
      </w:r>
      <w:r>
        <w:rPr>
          <w:color w:val="231F20"/>
        </w:rPr>
        <w:t>. Fusions.</w:t>
      </w:r>
    </w:p>
    <w:p>
      <w:pPr>
        <w:pStyle w:val="BodyText"/>
        <w:spacing w:line="218" w:lineRule="auto" w:before="42"/>
        <w:ind w:right="38"/>
      </w:pPr>
      <w:r>
        <w:rPr>
          <w:color w:val="231F20"/>
        </w:rPr>
        <w:t>Art.12:2. La fusion par absorption est l’opération par laquelle une ou plusieurs sociétés transfèrent à une autre société, par suite d’une dissolution sans liquidation, l’intégralité de leur patrimoine, activement et passivement, moyennant l’attribution aux associés ou actionnaires</w:t>
      </w:r>
      <w:r>
        <w:rPr>
          <w:color w:val="231F20"/>
          <w:spacing w:val="-15"/>
        </w:rPr>
        <w:t> </w:t>
      </w:r>
      <w:r>
        <w:rPr>
          <w:color w:val="231F20"/>
        </w:rPr>
        <w:t>de la société dissoute de parts ou d’actions de la société bénéficiaire et, le cas échéant, d’une soulte en espèces ne dépassant pas le dixième de la valeur nominale des parts ou actions attribuées, ou à défaut de valeur nominale, de leur pair</w:t>
      </w:r>
      <w:r>
        <w:rPr>
          <w:color w:val="231F20"/>
          <w:spacing w:val="19"/>
        </w:rPr>
        <w:t> </w:t>
      </w:r>
      <w:r>
        <w:rPr>
          <w:color w:val="231F20"/>
        </w:rPr>
        <w:t>comptable.</w:t>
      </w:r>
    </w:p>
    <w:p>
      <w:pPr>
        <w:pStyle w:val="BodyText"/>
        <w:spacing w:before="8"/>
        <w:ind w:left="0" w:right="0" w:firstLine="0"/>
        <w:jc w:val="left"/>
        <w:rPr>
          <w:sz w:val="27"/>
        </w:rPr>
      </w:pPr>
    </w:p>
    <w:p>
      <w:pPr>
        <w:pStyle w:val="BodyText"/>
        <w:spacing w:line="218" w:lineRule="auto"/>
        <w:ind w:right="38"/>
      </w:pPr>
      <w:r>
        <w:rPr>
          <w:color w:val="231F20"/>
        </w:rPr>
        <w:t>Si la société bénéficiaire est une société sans capital, est assimilée au pair comptable la valeur d’apport, telle qu’elle résulte des comptes annuels,</w:t>
      </w:r>
      <w:r>
        <w:rPr>
          <w:color w:val="231F20"/>
          <w:spacing w:val="-4"/>
        </w:rPr>
        <w:t> </w:t>
      </w:r>
      <w:r>
        <w:rPr>
          <w:color w:val="231F20"/>
        </w:rPr>
        <w:t>de</w:t>
      </w:r>
      <w:r>
        <w:rPr>
          <w:color w:val="231F20"/>
          <w:spacing w:val="-3"/>
        </w:rPr>
        <w:t> </w:t>
      </w:r>
      <w:r>
        <w:rPr>
          <w:color w:val="231F20"/>
        </w:rPr>
        <w:t>tous</w:t>
      </w:r>
      <w:r>
        <w:rPr>
          <w:color w:val="231F20"/>
          <w:spacing w:val="-4"/>
        </w:rPr>
        <w:t> </w:t>
      </w:r>
      <w:r>
        <w:rPr>
          <w:color w:val="231F20"/>
        </w:rPr>
        <w:t>les</w:t>
      </w:r>
      <w:r>
        <w:rPr>
          <w:color w:val="231F20"/>
          <w:spacing w:val="-3"/>
        </w:rPr>
        <w:t> </w:t>
      </w:r>
      <w:r>
        <w:rPr>
          <w:color w:val="231F20"/>
        </w:rPr>
        <w:t>apports</w:t>
      </w:r>
      <w:r>
        <w:rPr>
          <w:color w:val="231F20"/>
          <w:spacing w:val="-3"/>
        </w:rPr>
        <w:t> </w:t>
      </w:r>
      <w:r>
        <w:rPr>
          <w:color w:val="231F20"/>
        </w:rPr>
        <w:t>en</w:t>
      </w:r>
      <w:r>
        <w:rPr>
          <w:color w:val="231F20"/>
          <w:spacing w:val="-4"/>
        </w:rPr>
        <w:t> </w:t>
      </w:r>
      <w:r>
        <w:rPr>
          <w:color w:val="231F20"/>
        </w:rPr>
        <w:t>numéraire</w:t>
      </w:r>
      <w:r>
        <w:rPr>
          <w:color w:val="231F20"/>
          <w:spacing w:val="-3"/>
        </w:rPr>
        <w:t> </w:t>
      </w:r>
      <w:r>
        <w:rPr>
          <w:color w:val="231F20"/>
        </w:rPr>
        <w:t>ou</w:t>
      </w:r>
      <w:r>
        <w:rPr>
          <w:color w:val="231F20"/>
          <w:spacing w:val="-4"/>
        </w:rPr>
        <w:t> </w:t>
      </w:r>
      <w:r>
        <w:rPr>
          <w:color w:val="231F20"/>
        </w:rPr>
        <w:t>en</w:t>
      </w:r>
      <w:r>
        <w:rPr>
          <w:color w:val="231F20"/>
          <w:spacing w:val="-3"/>
        </w:rPr>
        <w:t> </w:t>
      </w:r>
      <w:r>
        <w:rPr>
          <w:color w:val="231F20"/>
        </w:rPr>
        <w:t>nature</w:t>
      </w:r>
      <w:r>
        <w:rPr>
          <w:color w:val="231F20"/>
          <w:spacing w:val="-3"/>
        </w:rPr>
        <w:t> </w:t>
      </w:r>
      <w:r>
        <w:rPr>
          <w:color w:val="231F20"/>
        </w:rPr>
        <w:t>consentis</w:t>
      </w:r>
      <w:r>
        <w:rPr>
          <w:color w:val="231F20"/>
          <w:spacing w:val="-4"/>
        </w:rPr>
        <w:t> </w:t>
      </w:r>
      <w:r>
        <w:rPr>
          <w:color w:val="231F20"/>
        </w:rPr>
        <w:t>par</w:t>
      </w:r>
      <w:r>
        <w:rPr>
          <w:color w:val="231F20"/>
          <w:spacing w:val="-3"/>
        </w:rPr>
        <w:t> </w:t>
      </w:r>
      <w:r>
        <w:rPr>
          <w:color w:val="231F20"/>
        </w:rPr>
        <w:t>les associés ou actionnaires, autres que les apports en industrie, le</w:t>
      </w:r>
      <w:r>
        <w:rPr>
          <w:color w:val="231F20"/>
          <w:spacing w:val="23"/>
        </w:rPr>
        <w:t> </w:t>
      </w:r>
      <w:r>
        <w:rPr>
          <w:color w:val="231F20"/>
        </w:rPr>
        <w:t>cas échéant augmentée des réserves qui, en vertu d’une</w:t>
      </w:r>
      <w:r>
        <w:rPr>
          <w:color w:val="231F20"/>
          <w:spacing w:val="30"/>
        </w:rPr>
        <w:t> </w:t>
      </w:r>
      <w:r>
        <w:rPr>
          <w:color w:val="231F20"/>
        </w:rPr>
        <w:t>disposition statutaire, ne peuvent être distribuées aux associés ou actionnaires que moyennant une modification des statuts, le tout divisé par le nombre d’actions ou de</w:t>
      </w:r>
      <w:r>
        <w:rPr>
          <w:color w:val="231F20"/>
          <w:spacing w:val="4"/>
        </w:rPr>
        <w:t> </w:t>
      </w:r>
      <w:r>
        <w:rPr>
          <w:color w:val="231F20"/>
        </w:rPr>
        <w:t>parts.</w:t>
      </w:r>
    </w:p>
    <w:p>
      <w:pPr>
        <w:pStyle w:val="BodyText"/>
        <w:spacing w:line="218" w:lineRule="auto" w:before="140"/>
        <w:ind w:right="38"/>
      </w:pPr>
      <w:r>
        <w:rPr>
          <w:color w:val="231F20"/>
        </w:rPr>
        <w:t>Art. 12:3. La fusion par constitution d’une nouvelle société est l’opération par laquelle plusieurs sociétés transfèrent à une nouvelle société qu’elles constituent, par suite de leur dissolution sans liquida- tion, l’intégralité de leur patrimoine, activement et passivement, moyennant l’attribution aux associés ou actionnaires de la société dissoute de parts ou d’actions de la nouvelle société et, le cas échéant, d’une soulte en espèces ne dépassant pas le dixième de la valeur nominale des parts ou actions attribuées ou, à défaut de valeur nominale, de leur pair comptable.</w:t>
      </w:r>
    </w:p>
    <w:p>
      <w:pPr>
        <w:pStyle w:val="BodyText"/>
        <w:spacing w:line="218" w:lineRule="auto" w:before="139"/>
        <w:ind w:right="38"/>
      </w:pPr>
      <w:r>
        <w:rPr>
          <w:color w:val="231F20"/>
        </w:rPr>
        <w:t>Si la société nouvellement constituée est une société sans capital, est assimiliée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modification des statuts, le tout divisé par le nombre d’actions ou de parts.</w:t>
      </w:r>
    </w:p>
    <w:p>
      <w:pPr>
        <w:pStyle w:val="BodyText"/>
        <w:spacing w:line="218" w:lineRule="auto" w:before="119"/>
      </w:pPr>
      <w:r>
        <w:rPr/>
        <w:br w:type="column"/>
      </w:r>
      <w:r>
        <w:rPr>
          <w:color w:val="231F20"/>
        </w:rPr>
        <w:t>De machtiging kan enkel worden verleend indien de stichting heeft voldaan aan de bepalingen van artikel 2:11.</w:t>
      </w:r>
    </w:p>
    <w:p>
      <w:pPr>
        <w:pStyle w:val="BodyText"/>
        <w:spacing w:line="218" w:lineRule="auto" w:before="129"/>
      </w:pPr>
      <w:r>
        <w:rPr>
          <w:color w:val="231F20"/>
        </w:rPr>
        <w:t>Het bedrag bedoeld in het eerste lid kan worden gewijzigd bij een in Ministerraad overlegd koninklijk besluit.</w:t>
      </w:r>
    </w:p>
    <w:p>
      <w:pPr>
        <w:pStyle w:val="BodyText"/>
        <w:spacing w:before="114"/>
        <w:ind w:left="283" w:right="0" w:firstLine="0"/>
        <w:jc w:val="left"/>
      </w:pPr>
      <w:r>
        <w:rPr>
          <w:color w:val="231F20"/>
        </w:rPr>
        <w:t>TITEL 4. Buitenlandse stichtingen.</w:t>
      </w:r>
    </w:p>
    <w:p>
      <w:pPr>
        <w:pStyle w:val="BodyText"/>
        <w:spacing w:line="218" w:lineRule="auto" w:before="124"/>
        <w:ind w:right="123"/>
      </w:pPr>
      <w:r>
        <w:rPr>
          <w:color w:val="231F20"/>
        </w:rPr>
        <w:t>Art. 11:16. De ondernemingsrechtbank kan op verzoek van het openbaar ministerie of van enige belanghebbende de sluiting bevelen van een Belgisch bijkantoor van een buitenlandse stichting waarvan de activiteiten op ernstige wijze strijdig zijn met de statuten van de stichting waarvan het afhangt, of strijdig zijn met de wet of met de openbare orde. De stichting, het openbaar ministerie of elke belangheb- bende legt de in kracht van gewijsde gegane rechterlijke beslissing tot sluiting van het bijkantoor binnen een maand neer ter </w:t>
      </w:r>
      <w:r>
        <w:rPr>
          <w:color w:val="231F20"/>
          <w:spacing w:val="-4"/>
        </w:rPr>
        <w:t>griffie </w:t>
      </w:r>
      <w:r>
        <w:rPr>
          <w:color w:val="231F20"/>
        </w:rPr>
        <w:t>van de ondernemingsrechtbank waar het in artikel 2:23 bedoelde dossier wordt</w:t>
      </w:r>
      <w:r>
        <w:rPr>
          <w:color w:val="231F20"/>
          <w:spacing w:val="15"/>
        </w:rPr>
        <w:t> </w:t>
      </w:r>
      <w:r>
        <w:rPr>
          <w:color w:val="231F20"/>
        </w:rPr>
        <w:t>gehouden.</w:t>
      </w:r>
    </w:p>
    <w:p>
      <w:pPr>
        <w:pStyle w:val="BodyText"/>
        <w:spacing w:line="218" w:lineRule="auto" w:before="129"/>
        <w:ind w:right="123"/>
      </w:pPr>
      <w:r>
        <w:rPr>
          <w:color w:val="231F20"/>
        </w:rPr>
        <w:t>Elke vordering ingesteld door een bijkantoor of door de stichting waarvan dat bijkantoor afhangt, wordt opgeschort indien het bijkan- toor of de stichting de formaliteiten omschreven in  artikel  2:26  en 3:54 niet in acht heeft genomen. Alvorens de vordering niet- ontvankelijk te verklaren, bepaalt de rechter een termijn waarbinnen het bijkantoor of de stichting die formaliteiten vooralsnog kan naleven.</w:t>
      </w:r>
    </w:p>
    <w:p>
      <w:pPr>
        <w:pStyle w:val="BodyText"/>
        <w:spacing w:line="218" w:lineRule="auto" w:before="128"/>
      </w:pPr>
      <w:r>
        <w:rPr>
          <w:color w:val="231F20"/>
        </w:rPr>
        <w:t>Artikel 11:15 is van overeenkomstige toepassing op giften aan buitenlandse stichtingen.</w:t>
      </w:r>
    </w:p>
    <w:p>
      <w:pPr>
        <w:pStyle w:val="BodyText"/>
        <w:spacing w:before="115"/>
        <w:ind w:left="283" w:right="0" w:firstLine="0"/>
        <w:jc w:val="left"/>
      </w:pPr>
      <w:r>
        <w:rPr>
          <w:color w:val="231F20"/>
        </w:rPr>
        <w:t>DEEL 4. Herstructurering en omzetting.</w:t>
      </w:r>
    </w:p>
    <w:p>
      <w:pPr>
        <w:pStyle w:val="BodyText"/>
        <w:spacing w:line="376" w:lineRule="auto" w:before="110"/>
        <w:ind w:left="283" w:right="1262" w:firstLine="0"/>
        <w:jc w:val="left"/>
      </w:pPr>
      <w:r>
        <w:rPr>
          <w:color w:val="231F20"/>
        </w:rPr>
        <w:t>BOEK 12. Herstructurering van vennootschappen. TITEL 1. Inleidende bepalingen en definities.</w:t>
      </w:r>
    </w:p>
    <w:p>
      <w:pPr>
        <w:pStyle w:val="BodyText"/>
        <w:spacing w:before="1"/>
        <w:ind w:left="283" w:right="0" w:firstLine="0"/>
        <w:jc w:val="left"/>
      </w:pPr>
      <w:r>
        <w:rPr>
          <w:color w:val="231F20"/>
        </w:rPr>
        <w:t>HOOFDSTUK I. Inleidende bepaling.</w:t>
      </w:r>
    </w:p>
    <w:p>
      <w:pPr>
        <w:pStyle w:val="BodyText"/>
        <w:spacing w:line="218" w:lineRule="auto" w:before="125"/>
      </w:pPr>
      <w:r>
        <w:rPr>
          <w:color w:val="231F20"/>
        </w:rPr>
        <w:t>Art. 12:1. § 1. Dit boek is van toepassing op alle vennootschappen met rechtspersoonlijkheid die dit wetboek regelt.</w:t>
      </w:r>
    </w:p>
    <w:p>
      <w:pPr>
        <w:pStyle w:val="BodyText"/>
        <w:spacing w:line="218" w:lineRule="auto" w:before="128"/>
      </w:pPr>
      <w:r>
        <w:rPr>
          <w:color w:val="231F20"/>
        </w:rPr>
        <w:t>Naar analogie is artikel 12:103 echter van toepassing op elke, al dan niet bij dit wetboek bedoelde, rechtspersoon die expliciet kiest voor de toepassing ervan in de bij dit artikel bedoelde vormen.</w:t>
      </w:r>
    </w:p>
    <w:p>
      <w:pPr>
        <w:pStyle w:val="BodyText"/>
        <w:spacing w:line="218" w:lineRule="auto" w:before="128"/>
      </w:pPr>
      <w:r>
        <w:rPr>
          <w:color w:val="231F20"/>
        </w:rPr>
        <w:t>§ 2. In een naamloze vennootschap met een duaal bestuur als</w:t>
      </w:r>
      <w:r>
        <w:rPr>
          <w:color w:val="231F20"/>
          <w:spacing w:val="-25"/>
        </w:rPr>
        <w:t> </w:t>
      </w:r>
      <w:r>
        <w:rPr>
          <w:color w:val="231F20"/>
        </w:rPr>
        <w:t>bedoeld in deel 2, boek 7, titel 4, hoofdstuk 1, afdeling 3, oefent de raad van toezicht de bevoegdheden uit die dit boek 12 toewijst aan het bestuursorgaan.</w:t>
      </w:r>
    </w:p>
    <w:p>
      <w:pPr>
        <w:pStyle w:val="BodyText"/>
        <w:spacing w:before="114"/>
        <w:ind w:left="283" w:right="0" w:firstLine="0"/>
        <w:jc w:val="left"/>
      </w:pPr>
      <w:r>
        <w:rPr>
          <w:color w:val="231F20"/>
        </w:rPr>
        <w:t>HOOFDSTUK 2. Definities.</w:t>
      </w:r>
    </w:p>
    <w:p>
      <w:pPr>
        <w:pStyle w:val="BodyText"/>
        <w:spacing w:before="111"/>
        <w:ind w:left="283" w:right="0" w:firstLine="0"/>
        <w:jc w:val="left"/>
      </w:pPr>
      <w:r>
        <w:rPr>
          <w:color w:val="231F20"/>
          <w:w w:val="105"/>
        </w:rPr>
        <w:t>Afdeling 1. Fusies.</w:t>
      </w:r>
    </w:p>
    <w:p>
      <w:pPr>
        <w:pStyle w:val="BodyText"/>
        <w:spacing w:line="218" w:lineRule="auto" w:before="135"/>
      </w:pPr>
      <w:r>
        <w:rPr>
          <w:color w:val="231F20"/>
        </w:rPr>
        <w:t>Art. 12:2. Fusie door overneming is de rechtshandeling waarbij het gehele vermogen van één of meer vennootschappen, zowel de rechten als de verplichtingen, als gevolg van ontbinding zonder vereffening op een andere vennootschap overgaat tegen uitreiking van aandelen in de verkrijgende vennootschap aan de vennoten of aandeelhouders van de ontbonden vennootschap of vennootschappen, eventueel met een opleg in geld die niet meer mag bedragen dan een tiende van de nominale waarde of, bij gebrek aan een nominale waarde, van de fractiewaarde van de uitgereikte aandelen.</w:t>
      </w:r>
    </w:p>
    <w:p>
      <w:pPr>
        <w:pStyle w:val="BodyText"/>
        <w:spacing w:line="218" w:lineRule="auto" w:before="140"/>
      </w:pPr>
      <w:r>
        <w:rPr>
          <w:color w:val="231F20"/>
        </w:rPr>
        <w:t>Indien de verkrijgende vennootschap een vennootschap zonder kapitaal is, wordt met de fractiewaarde gelijkgesteld, de inbreng- waarde, zoals die blijkt uit de jaarrekening, van alle door de vennoten of aandeelhouders toegezegde inbrengen in geld of in natura, met uitzondering van de inbrengen in nijverheid, in voorkomend geval verhoogd met de reserves die op grond van een statutaire</w:t>
      </w:r>
      <w:r>
        <w:rPr>
          <w:color w:val="231F20"/>
          <w:spacing w:val="24"/>
        </w:rPr>
        <w:t> </w:t>
      </w:r>
      <w:r>
        <w:rPr>
          <w:color w:val="231F20"/>
        </w:rPr>
        <w:t>bepaling slechts aan de vennoten of aandeelhouders kunnen worden uitgekeerd mits</w:t>
      </w:r>
      <w:r>
        <w:rPr>
          <w:color w:val="231F20"/>
          <w:spacing w:val="18"/>
        </w:rPr>
        <w:t> </w:t>
      </w:r>
      <w:r>
        <w:rPr>
          <w:color w:val="231F20"/>
        </w:rPr>
        <w:t>een</w:t>
      </w:r>
      <w:r>
        <w:rPr>
          <w:color w:val="231F20"/>
          <w:spacing w:val="18"/>
        </w:rPr>
        <w:t> </w:t>
      </w:r>
      <w:r>
        <w:rPr>
          <w:color w:val="231F20"/>
        </w:rPr>
        <w:t>statutenwijziging,</w:t>
      </w:r>
      <w:r>
        <w:rPr>
          <w:color w:val="231F20"/>
          <w:spacing w:val="18"/>
        </w:rPr>
        <w:t> </w:t>
      </w:r>
      <w:r>
        <w:rPr>
          <w:color w:val="231F20"/>
        </w:rPr>
        <w:t>dit</w:t>
      </w:r>
      <w:r>
        <w:rPr>
          <w:color w:val="231F20"/>
          <w:spacing w:val="19"/>
        </w:rPr>
        <w:t> </w:t>
      </w:r>
      <w:r>
        <w:rPr>
          <w:color w:val="231F20"/>
        </w:rPr>
        <w:t>alles</w:t>
      </w:r>
      <w:r>
        <w:rPr>
          <w:color w:val="231F20"/>
          <w:spacing w:val="18"/>
        </w:rPr>
        <w:t> </w:t>
      </w:r>
      <w:r>
        <w:rPr>
          <w:color w:val="231F20"/>
        </w:rPr>
        <w:t>gedeeld</w:t>
      </w:r>
      <w:r>
        <w:rPr>
          <w:color w:val="231F20"/>
          <w:spacing w:val="18"/>
        </w:rPr>
        <w:t> </w:t>
      </w:r>
      <w:r>
        <w:rPr>
          <w:color w:val="231F20"/>
        </w:rPr>
        <w:t>door</w:t>
      </w:r>
      <w:r>
        <w:rPr>
          <w:color w:val="231F20"/>
          <w:spacing w:val="19"/>
        </w:rPr>
        <w:t> </w:t>
      </w:r>
      <w:r>
        <w:rPr>
          <w:color w:val="231F20"/>
        </w:rPr>
        <w:t>het</w:t>
      </w:r>
      <w:r>
        <w:rPr>
          <w:color w:val="231F20"/>
          <w:spacing w:val="18"/>
        </w:rPr>
        <w:t> </w:t>
      </w:r>
      <w:r>
        <w:rPr>
          <w:color w:val="231F20"/>
        </w:rPr>
        <w:t>aantal</w:t>
      </w:r>
      <w:r>
        <w:rPr>
          <w:color w:val="231F20"/>
          <w:spacing w:val="18"/>
        </w:rPr>
        <w:t> </w:t>
      </w:r>
      <w:r>
        <w:rPr>
          <w:color w:val="231F20"/>
        </w:rPr>
        <w:t>aandelen.</w:t>
      </w:r>
    </w:p>
    <w:p>
      <w:pPr>
        <w:pStyle w:val="BodyText"/>
        <w:spacing w:line="218" w:lineRule="auto" w:before="139"/>
      </w:pPr>
      <w:r>
        <w:rPr>
          <w:color w:val="231F20"/>
        </w:rPr>
        <w:t>Art. 12:3. Fusie door oprichting van een nieuwe vennootschap is de rechtshandeling waarbij het gehele vermogen van verscheidene ven- nootschappen, zowel de rechten als de verplichtingen, als gevolg van ontbinding zonder vereffening op een nieuwe door hen opgerichte vennootschap overgaat tegen uitreiking van aandelen in de nieuwe vennootschap aan de vennoten of aandeelhouders van de ontbonden vennootschappen, eventueel met een opleg in geld die niet meer mag bedragen dan een tiende van de nominale waarde of, bij gebrek aan een nominale waarde, van de fractiewaarde van de uitgereikte aandelen.</w:t>
      </w:r>
    </w:p>
    <w:p>
      <w:pPr>
        <w:pStyle w:val="BodyText"/>
        <w:spacing w:line="218" w:lineRule="auto" w:before="139"/>
      </w:pPr>
      <w:r>
        <w:rPr>
          <w:color w:val="231F20"/>
        </w:rPr>
        <w:t>Indien de nieuw opgerichte vennootschap een vennootschap zonder kapitaal is, wordt met de fractiewaarde gelijkgesteld, de inbreng- waarde, zoals die blijkt uit de jaarrekening, van alle door de vennoten of aandeelhouders toegezegde inbrengen in geld of in natura, met uitzondering van de inbrengen in nijverheid, in voorkomend geval verhoogd met de reserves die op grond van een statutaire</w:t>
      </w:r>
      <w:r>
        <w:rPr>
          <w:color w:val="231F20"/>
          <w:spacing w:val="24"/>
        </w:rPr>
        <w:t> </w:t>
      </w:r>
      <w:r>
        <w:rPr>
          <w:color w:val="231F20"/>
        </w:rPr>
        <w:t>bepaling slechts aan de vennoten of aandeelhouders kunnen worden uitgekeerd mits</w:t>
      </w:r>
      <w:r>
        <w:rPr>
          <w:color w:val="231F20"/>
          <w:spacing w:val="18"/>
        </w:rPr>
        <w:t> </w:t>
      </w:r>
      <w:r>
        <w:rPr>
          <w:color w:val="231F20"/>
        </w:rPr>
        <w:t>een</w:t>
      </w:r>
      <w:r>
        <w:rPr>
          <w:color w:val="231F20"/>
          <w:spacing w:val="18"/>
        </w:rPr>
        <w:t> </w:t>
      </w:r>
      <w:r>
        <w:rPr>
          <w:color w:val="231F20"/>
        </w:rPr>
        <w:t>statutenwijziging,</w:t>
      </w:r>
      <w:r>
        <w:rPr>
          <w:color w:val="231F20"/>
          <w:spacing w:val="18"/>
        </w:rPr>
        <w:t> </w:t>
      </w:r>
      <w:r>
        <w:rPr>
          <w:color w:val="231F20"/>
        </w:rPr>
        <w:t>dit</w:t>
      </w:r>
      <w:r>
        <w:rPr>
          <w:color w:val="231F20"/>
          <w:spacing w:val="19"/>
        </w:rPr>
        <w:t> </w:t>
      </w:r>
      <w:r>
        <w:rPr>
          <w:color w:val="231F20"/>
        </w:rPr>
        <w:t>alles</w:t>
      </w:r>
      <w:r>
        <w:rPr>
          <w:color w:val="231F20"/>
          <w:spacing w:val="18"/>
        </w:rPr>
        <w:t> </w:t>
      </w:r>
      <w:r>
        <w:rPr>
          <w:color w:val="231F20"/>
        </w:rPr>
        <w:t>gedeeld</w:t>
      </w:r>
      <w:r>
        <w:rPr>
          <w:color w:val="231F20"/>
          <w:spacing w:val="18"/>
        </w:rPr>
        <w:t> </w:t>
      </w:r>
      <w:r>
        <w:rPr>
          <w:color w:val="231F20"/>
        </w:rPr>
        <w:t>door</w:t>
      </w:r>
      <w:r>
        <w:rPr>
          <w:color w:val="231F20"/>
          <w:spacing w:val="19"/>
        </w:rPr>
        <w:t> </w:t>
      </w:r>
      <w:r>
        <w:rPr>
          <w:color w:val="231F20"/>
        </w:rPr>
        <w:t>het</w:t>
      </w:r>
      <w:r>
        <w:rPr>
          <w:color w:val="231F20"/>
          <w:spacing w:val="18"/>
        </w:rPr>
        <w:t> </w:t>
      </w:r>
      <w:r>
        <w:rPr>
          <w:color w:val="231F20"/>
        </w:rPr>
        <w:t>aantal</w:t>
      </w:r>
      <w:r>
        <w:rPr>
          <w:color w:val="231F20"/>
          <w:spacing w:val="18"/>
        </w:rPr>
        <w:t> </w:t>
      </w:r>
      <w:r>
        <w:rPr>
          <w:color w:val="231F20"/>
        </w:rPr>
        <w:t>aandelen.</w:t>
      </w:r>
    </w:p>
    <w:p>
      <w:pPr>
        <w:spacing w:after="0" w:line="218" w:lineRule="auto"/>
        <w:sectPr>
          <w:headerReference w:type="even" r:id="rId95"/>
          <w:headerReference w:type="default" r:id="rId96"/>
          <w:pgSz w:w="11940" w:h="16880"/>
          <w:pgMar w:header="666" w:footer="0" w:top="1140" w:bottom="280" w:left="340" w:right="360"/>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6352" from="298.170502pt,64.473pt" to="298.170502pt,812.819pt" stroked="true" strokeweight=".533pt" strokecolor="#231f20">
            <v:stroke dashstyle="solid"/>
            <w10:wrap type="none"/>
          </v:line>
        </w:pict>
      </w:r>
      <w:bookmarkStart w:name="_bookmark222" w:id="228"/>
      <w:bookmarkEnd w:id="228"/>
      <w:r>
        <w:rPr/>
      </w:r>
      <w:r>
        <w:rPr>
          <w:color w:val="231F20"/>
        </w:rPr>
        <w:t>Section 2. Scissions.</w:t>
      </w:r>
    </w:p>
    <w:p>
      <w:pPr>
        <w:pStyle w:val="BodyText"/>
        <w:spacing w:line="218" w:lineRule="auto" w:before="156"/>
        <w:ind w:right="38"/>
      </w:pPr>
      <w:r>
        <w:rPr>
          <w:color w:val="231F20"/>
        </w:rPr>
        <w:t>Art. 12:4. La scission par absorption est l’opération par laquelle une société transfère à plusieurs sociétés, par suite de sa dissolution sans liquidation, l’intégralité de son patrimoine, activement et passivement, moyennant l’attribution aux associés ou actionnaires de la société dissoute de parts ou d’actions des sociétés bénéficiaires des apports résultant de la scission et, le cas échéant, d’une soulte en espèces ne dépassant pas le dixième de la valeur nominale des parts ou actions attribuées ou, à défaut de valeur nominale, de leur pair comptable.</w:t>
      </w:r>
    </w:p>
    <w:p>
      <w:pPr>
        <w:pStyle w:val="BodyText"/>
        <w:spacing w:before="7"/>
        <w:ind w:left="0" w:right="0" w:firstLine="0"/>
        <w:jc w:val="left"/>
        <w:rPr>
          <w:sz w:val="29"/>
        </w:rPr>
      </w:pPr>
    </w:p>
    <w:p>
      <w:pPr>
        <w:pStyle w:val="BodyText"/>
        <w:spacing w:line="218" w:lineRule="auto"/>
        <w:ind w:right="38"/>
      </w:pPr>
      <w:r>
        <w:rPr>
          <w:color w:val="231F20"/>
        </w:rPr>
        <w:t>Si une société bénéficiaire est une société sans capital, est assimiliée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modification des statuts, le tout divisé par le nombre d’actions ou de parts.</w:t>
      </w:r>
    </w:p>
    <w:p>
      <w:pPr>
        <w:pStyle w:val="BodyText"/>
        <w:spacing w:line="218" w:lineRule="auto" w:before="161"/>
        <w:ind w:right="38"/>
      </w:pPr>
      <w:r>
        <w:rPr>
          <w:color w:val="231F20"/>
        </w:rPr>
        <w:t>Art. 12:5. La scission par constitution de nouvelles sociétés est l’opération par laquelle une société transfère à plusieurs sociétés qu’elle constitue, par suite de sa dissolution sans liquidation, l’intégralité de son patrimoine, activement et passivement, moyennant l’attribution aux associés ou actionnaires de la société dissoute de parts ou d’actions des nouvelles sociétés et, le cas échéant, d’une soulte en espèces ne dépassant pas le dixième de la valeur nominale des parts ou actions attribuées</w:t>
      </w:r>
      <w:r>
        <w:rPr>
          <w:color w:val="231F20"/>
          <w:spacing w:val="17"/>
        </w:rPr>
        <w:t> </w:t>
      </w:r>
      <w:r>
        <w:rPr>
          <w:color w:val="231F20"/>
        </w:rPr>
        <w:t>ou,</w:t>
      </w:r>
      <w:r>
        <w:rPr>
          <w:color w:val="231F20"/>
          <w:spacing w:val="17"/>
        </w:rPr>
        <w:t> </w:t>
      </w:r>
      <w:r>
        <w:rPr>
          <w:color w:val="231F20"/>
        </w:rPr>
        <w:t>à</w:t>
      </w:r>
      <w:r>
        <w:rPr>
          <w:color w:val="231F20"/>
          <w:spacing w:val="18"/>
        </w:rPr>
        <w:t> </w:t>
      </w:r>
      <w:r>
        <w:rPr>
          <w:color w:val="231F20"/>
        </w:rPr>
        <w:t>défaut</w:t>
      </w:r>
      <w:r>
        <w:rPr>
          <w:color w:val="231F20"/>
          <w:spacing w:val="17"/>
        </w:rPr>
        <w:t> </w:t>
      </w:r>
      <w:r>
        <w:rPr>
          <w:color w:val="231F20"/>
        </w:rPr>
        <w:t>de</w:t>
      </w:r>
      <w:r>
        <w:rPr>
          <w:color w:val="231F20"/>
          <w:spacing w:val="17"/>
        </w:rPr>
        <w:t> </w:t>
      </w:r>
      <w:r>
        <w:rPr>
          <w:color w:val="231F20"/>
        </w:rPr>
        <w:t>valeur</w:t>
      </w:r>
      <w:r>
        <w:rPr>
          <w:color w:val="231F20"/>
          <w:spacing w:val="18"/>
        </w:rPr>
        <w:t> </w:t>
      </w:r>
      <w:r>
        <w:rPr>
          <w:color w:val="231F20"/>
        </w:rPr>
        <w:t>nominale,</w:t>
      </w:r>
      <w:r>
        <w:rPr>
          <w:color w:val="231F20"/>
          <w:spacing w:val="17"/>
        </w:rPr>
        <w:t> </w:t>
      </w:r>
      <w:r>
        <w:rPr>
          <w:color w:val="231F20"/>
        </w:rPr>
        <w:t>de</w:t>
      </w:r>
      <w:r>
        <w:rPr>
          <w:color w:val="231F20"/>
          <w:spacing w:val="17"/>
        </w:rPr>
        <w:t> </w:t>
      </w:r>
      <w:r>
        <w:rPr>
          <w:color w:val="231F20"/>
        </w:rPr>
        <w:t>leur</w:t>
      </w:r>
      <w:r>
        <w:rPr>
          <w:color w:val="231F20"/>
          <w:spacing w:val="18"/>
        </w:rPr>
        <w:t> </w:t>
      </w:r>
      <w:r>
        <w:rPr>
          <w:color w:val="231F20"/>
        </w:rPr>
        <w:t>pair</w:t>
      </w:r>
      <w:r>
        <w:rPr>
          <w:color w:val="231F20"/>
          <w:spacing w:val="17"/>
        </w:rPr>
        <w:t> </w:t>
      </w:r>
      <w:r>
        <w:rPr>
          <w:color w:val="231F20"/>
        </w:rPr>
        <w:t>comptable.</w:t>
      </w:r>
    </w:p>
    <w:p>
      <w:pPr>
        <w:pStyle w:val="BodyText"/>
        <w:ind w:left="0" w:right="0" w:firstLine="0"/>
        <w:jc w:val="left"/>
        <w:rPr>
          <w:sz w:val="20"/>
        </w:rPr>
      </w:pPr>
    </w:p>
    <w:p>
      <w:pPr>
        <w:pStyle w:val="BodyText"/>
        <w:spacing w:before="1"/>
        <w:ind w:left="0" w:right="0" w:firstLine="0"/>
        <w:jc w:val="left"/>
        <w:rPr>
          <w:sz w:val="25"/>
        </w:rPr>
      </w:pPr>
    </w:p>
    <w:p>
      <w:pPr>
        <w:pStyle w:val="BodyText"/>
        <w:spacing w:line="218" w:lineRule="auto"/>
        <w:ind w:right="38"/>
      </w:pPr>
      <w:r>
        <w:rPr>
          <w:color w:val="231F20"/>
        </w:rPr>
        <w:t>Si une société nouvellement constituée est une société sans capital, est assimilée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modification des statuts, le tout divisé par le nombre d’actions ou de parts.</w:t>
      </w:r>
    </w:p>
    <w:p>
      <w:pPr>
        <w:pStyle w:val="BodyText"/>
        <w:spacing w:line="218" w:lineRule="auto" w:before="161"/>
        <w:ind w:right="38"/>
      </w:pPr>
      <w:r>
        <w:rPr>
          <w:color w:val="231F20"/>
        </w:rPr>
        <w:t>Art. 12:6. La scission mixte est l’opération par laquelle, par suite de</w:t>
      </w:r>
      <w:r>
        <w:rPr>
          <w:color w:val="231F20"/>
          <w:spacing w:val="-23"/>
        </w:rPr>
        <w:t> </w:t>
      </w:r>
      <w:r>
        <w:rPr>
          <w:color w:val="231F20"/>
        </w:rPr>
        <w:t>sa dissolution sans liquidation, une société transfère à une ou plusieurs sociétés existantes et à une ou plusieurs sociétés qu’elle constitue, l’intégralité de son patrimoine, activement et passivement, moyennant l’attribution aux associés ou actionnaires de la société dissoute de parts ou d’actions des sociétés bénéficiaires et, le cas échéant, d’une soulte en espèces qui ne peut dépasser le montant de la soulte en espèces visée aux articles 12:4 et</w:t>
      </w:r>
      <w:r>
        <w:rPr>
          <w:color w:val="231F20"/>
          <w:spacing w:val="16"/>
        </w:rPr>
        <w:t> </w:t>
      </w:r>
      <w:r>
        <w:rPr>
          <w:color w:val="231F20"/>
        </w:rPr>
        <w:t>12:5.</w:t>
      </w:r>
    </w:p>
    <w:p>
      <w:pPr>
        <w:pStyle w:val="BodyText"/>
        <w:spacing w:before="4"/>
        <w:ind w:left="0" w:right="0" w:firstLine="0"/>
        <w:jc w:val="left"/>
        <w:rPr>
          <w:sz w:val="28"/>
        </w:rPr>
      </w:pPr>
    </w:p>
    <w:p>
      <w:pPr>
        <w:pStyle w:val="BodyText"/>
        <w:ind w:left="284" w:right="0" w:firstLine="0"/>
        <w:jc w:val="left"/>
      </w:pPr>
      <w:r>
        <w:rPr>
          <w:color w:val="231F20"/>
        </w:rPr>
        <w:t>Section 3. Opérations assimilées.</w:t>
      </w:r>
    </w:p>
    <w:p>
      <w:pPr>
        <w:pStyle w:val="BodyText"/>
        <w:spacing w:line="218" w:lineRule="auto" w:before="167"/>
        <w:ind w:right="38"/>
      </w:pPr>
      <w:r>
        <w:rPr>
          <w:color w:val="231F20"/>
        </w:rPr>
        <w:t>Art. 12:7. Sauf disposition légale contraire, est assimilée à la fusion par absorption, l’opération par laquelle une ou plusieurs sociétés transfèrent, par suite d’une dissolution sans liquidation, l’intégralité de leur patrimoine, activement et passivement, à une autre société,</w:t>
      </w:r>
      <w:r>
        <w:rPr>
          <w:color w:val="231F20"/>
          <w:spacing w:val="-12"/>
        </w:rPr>
        <w:t> </w:t>
      </w:r>
      <w:r>
        <w:rPr>
          <w:color w:val="231F20"/>
        </w:rPr>
        <w:t>lorsque toutes leurs actions ou parts et autres titres conférant le droit de vote appartiennent</w:t>
      </w:r>
      <w:r>
        <w:rPr>
          <w:color w:val="231F20"/>
          <w:spacing w:val="-8"/>
        </w:rPr>
        <w:t> </w:t>
      </w:r>
      <w:r>
        <w:rPr>
          <w:color w:val="231F20"/>
        </w:rPr>
        <w:t>soit</w:t>
      </w:r>
      <w:r>
        <w:rPr>
          <w:color w:val="231F20"/>
          <w:spacing w:val="-8"/>
        </w:rPr>
        <w:t> </w:t>
      </w:r>
      <w:r>
        <w:rPr>
          <w:color w:val="231F20"/>
        </w:rPr>
        <w:t>à</w:t>
      </w:r>
      <w:r>
        <w:rPr>
          <w:color w:val="231F20"/>
          <w:spacing w:val="-7"/>
        </w:rPr>
        <w:t> </w:t>
      </w:r>
      <w:r>
        <w:rPr>
          <w:color w:val="231F20"/>
        </w:rPr>
        <w:t>cette</w:t>
      </w:r>
      <w:r>
        <w:rPr>
          <w:color w:val="231F20"/>
          <w:spacing w:val="-8"/>
        </w:rPr>
        <w:t> </w:t>
      </w:r>
      <w:r>
        <w:rPr>
          <w:color w:val="231F20"/>
        </w:rPr>
        <w:t>autre</w:t>
      </w:r>
      <w:r>
        <w:rPr>
          <w:color w:val="231F20"/>
          <w:spacing w:val="-7"/>
        </w:rPr>
        <w:t> </w:t>
      </w:r>
      <w:r>
        <w:rPr>
          <w:color w:val="231F20"/>
        </w:rPr>
        <w:t>société,</w:t>
      </w:r>
      <w:r>
        <w:rPr>
          <w:color w:val="231F20"/>
          <w:spacing w:val="-8"/>
        </w:rPr>
        <w:t> </w:t>
      </w:r>
      <w:r>
        <w:rPr>
          <w:color w:val="231F20"/>
        </w:rPr>
        <w:t>soit</w:t>
      </w:r>
      <w:r>
        <w:rPr>
          <w:color w:val="231F20"/>
          <w:spacing w:val="-8"/>
        </w:rPr>
        <w:t> </w:t>
      </w:r>
      <w:r>
        <w:rPr>
          <w:color w:val="231F20"/>
        </w:rPr>
        <w:t>à</w:t>
      </w:r>
      <w:r>
        <w:rPr>
          <w:color w:val="231F20"/>
          <w:spacing w:val="-7"/>
        </w:rPr>
        <w:t> </w:t>
      </w:r>
      <w:r>
        <w:rPr>
          <w:color w:val="231F20"/>
        </w:rPr>
        <w:t>des</w:t>
      </w:r>
      <w:r>
        <w:rPr>
          <w:color w:val="231F20"/>
          <w:spacing w:val="-8"/>
        </w:rPr>
        <w:t> </w:t>
      </w:r>
      <w:r>
        <w:rPr>
          <w:color w:val="231F20"/>
        </w:rPr>
        <w:t>intermédiaires</w:t>
      </w:r>
      <w:r>
        <w:rPr>
          <w:color w:val="231F20"/>
          <w:spacing w:val="-7"/>
        </w:rPr>
        <w:t> </w:t>
      </w:r>
      <w:r>
        <w:rPr>
          <w:color w:val="231F20"/>
        </w:rPr>
        <w:t>de</w:t>
      </w:r>
      <w:r>
        <w:rPr>
          <w:color w:val="231F20"/>
          <w:spacing w:val="-8"/>
        </w:rPr>
        <w:t> </w:t>
      </w:r>
      <w:r>
        <w:rPr>
          <w:color w:val="231F20"/>
        </w:rPr>
        <w:t>cette société,</w:t>
      </w:r>
      <w:r>
        <w:rPr>
          <w:color w:val="231F20"/>
          <w:spacing w:val="13"/>
        </w:rPr>
        <w:t> </w:t>
      </w:r>
      <w:r>
        <w:rPr>
          <w:color w:val="231F20"/>
        </w:rPr>
        <w:t>soit</w:t>
      </w:r>
      <w:r>
        <w:rPr>
          <w:color w:val="231F20"/>
          <w:spacing w:val="14"/>
        </w:rPr>
        <w:t> </w:t>
      </w:r>
      <w:r>
        <w:rPr>
          <w:color w:val="231F20"/>
        </w:rPr>
        <w:t>à</w:t>
      </w:r>
      <w:r>
        <w:rPr>
          <w:color w:val="231F20"/>
          <w:spacing w:val="13"/>
        </w:rPr>
        <w:t> </w:t>
      </w:r>
      <w:r>
        <w:rPr>
          <w:color w:val="231F20"/>
        </w:rPr>
        <w:t>ces</w:t>
      </w:r>
      <w:r>
        <w:rPr>
          <w:color w:val="231F20"/>
          <w:spacing w:val="14"/>
        </w:rPr>
        <w:t> </w:t>
      </w:r>
      <w:r>
        <w:rPr>
          <w:color w:val="231F20"/>
        </w:rPr>
        <w:t>intermédiaires</w:t>
      </w:r>
      <w:r>
        <w:rPr>
          <w:color w:val="231F20"/>
          <w:spacing w:val="14"/>
        </w:rPr>
        <w:t> </w:t>
      </w:r>
      <w:r>
        <w:rPr>
          <w:color w:val="231F20"/>
        </w:rPr>
        <w:t>et</w:t>
      </w:r>
      <w:r>
        <w:rPr>
          <w:color w:val="231F20"/>
          <w:spacing w:val="13"/>
        </w:rPr>
        <w:t> </w:t>
      </w:r>
      <w:r>
        <w:rPr>
          <w:color w:val="231F20"/>
        </w:rPr>
        <w:t>à</w:t>
      </w:r>
      <w:r>
        <w:rPr>
          <w:color w:val="231F20"/>
          <w:spacing w:val="14"/>
        </w:rPr>
        <w:t> </w:t>
      </w:r>
      <w:r>
        <w:rPr>
          <w:color w:val="231F20"/>
        </w:rPr>
        <w:t>cette</w:t>
      </w:r>
      <w:r>
        <w:rPr>
          <w:color w:val="231F20"/>
          <w:spacing w:val="14"/>
        </w:rPr>
        <w:t> </w:t>
      </w:r>
      <w:r>
        <w:rPr>
          <w:color w:val="231F20"/>
        </w:rPr>
        <w:t>société.</w:t>
      </w:r>
    </w:p>
    <w:p>
      <w:pPr>
        <w:pStyle w:val="BodyText"/>
        <w:spacing w:before="3"/>
        <w:ind w:left="0" w:right="0" w:firstLine="0"/>
        <w:jc w:val="left"/>
        <w:rPr>
          <w:sz w:val="29"/>
        </w:rPr>
      </w:pPr>
    </w:p>
    <w:p>
      <w:pPr>
        <w:pStyle w:val="BodyText"/>
        <w:spacing w:before="1"/>
        <w:ind w:left="284" w:right="0" w:firstLine="0"/>
        <w:jc w:val="left"/>
      </w:pPr>
      <w:r>
        <w:rPr>
          <w:color w:val="231F20"/>
        </w:rPr>
        <w:t>Art. 12:8. Sont assimilées à la scission:</w:t>
      </w:r>
    </w:p>
    <w:p>
      <w:pPr>
        <w:pStyle w:val="BodyText"/>
        <w:spacing w:line="218" w:lineRule="auto" w:before="167"/>
        <w:ind w:right="38"/>
      </w:pPr>
      <w:r>
        <w:rPr>
          <w:color w:val="231F20"/>
        </w:rPr>
        <w:t>1° l’opération par laquelle une société transfère sans dissolution une partie de son patrimoine, activement et passivement, à une ou</w:t>
      </w:r>
      <w:r>
        <w:rPr>
          <w:color w:val="231F20"/>
          <w:spacing w:val="-14"/>
        </w:rPr>
        <w:t> </w:t>
      </w:r>
      <w:r>
        <w:rPr>
          <w:color w:val="231F20"/>
        </w:rPr>
        <w:t>plusieurs sociétés, existantes ou qu’elle constitue, moyennant l’attribution aux associés ou actionnaires de la société transférante de parts ou d’actions de la ou des sociétés bénéficiaires et, le cas échéant, d’une soulte en espèces ne dépassant pas le dixième de la valeur nominale des actions ou parts attribuées ou, à défaut de valeur nominale, de leur pair comptable; si une société bénéficiaire est une société sans capital, est assimiliée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modification des statuts, le tout divisé par</w:t>
      </w:r>
      <w:r>
        <w:rPr>
          <w:color w:val="231F20"/>
          <w:spacing w:val="15"/>
        </w:rPr>
        <w:t> </w:t>
      </w:r>
      <w:r>
        <w:rPr>
          <w:color w:val="231F20"/>
        </w:rPr>
        <w:t>le</w:t>
      </w:r>
      <w:r>
        <w:rPr>
          <w:color w:val="231F20"/>
          <w:spacing w:val="15"/>
        </w:rPr>
        <w:t> </w:t>
      </w:r>
      <w:r>
        <w:rPr>
          <w:color w:val="231F20"/>
        </w:rPr>
        <w:t>nombre</w:t>
      </w:r>
      <w:r>
        <w:rPr>
          <w:color w:val="231F20"/>
          <w:spacing w:val="15"/>
        </w:rPr>
        <w:t> </w:t>
      </w:r>
      <w:r>
        <w:rPr>
          <w:color w:val="231F20"/>
        </w:rPr>
        <w:t>d’actions</w:t>
      </w:r>
      <w:r>
        <w:rPr>
          <w:color w:val="231F20"/>
          <w:spacing w:val="15"/>
        </w:rPr>
        <w:t> </w:t>
      </w:r>
      <w:r>
        <w:rPr>
          <w:color w:val="231F20"/>
        </w:rPr>
        <w:t>ou</w:t>
      </w:r>
      <w:r>
        <w:rPr>
          <w:color w:val="231F20"/>
          <w:spacing w:val="15"/>
        </w:rPr>
        <w:t> </w:t>
      </w:r>
      <w:r>
        <w:rPr>
          <w:color w:val="231F20"/>
        </w:rPr>
        <w:t>de</w:t>
      </w:r>
      <w:r>
        <w:rPr>
          <w:color w:val="231F20"/>
          <w:spacing w:val="15"/>
        </w:rPr>
        <w:t> </w:t>
      </w:r>
      <w:r>
        <w:rPr>
          <w:color w:val="231F20"/>
        </w:rPr>
        <w:t>parts;</w:t>
      </w:r>
    </w:p>
    <w:p>
      <w:pPr>
        <w:pStyle w:val="BodyText"/>
        <w:ind w:left="0" w:right="0" w:firstLine="0"/>
        <w:jc w:val="left"/>
        <w:rPr>
          <w:sz w:val="20"/>
        </w:rPr>
      </w:pPr>
    </w:p>
    <w:p>
      <w:pPr>
        <w:pStyle w:val="BodyText"/>
        <w:ind w:left="0" w:right="0" w:firstLine="0"/>
        <w:jc w:val="left"/>
        <w:rPr>
          <w:sz w:val="26"/>
        </w:rPr>
      </w:pPr>
    </w:p>
    <w:p>
      <w:pPr>
        <w:pStyle w:val="BodyText"/>
        <w:spacing w:line="218" w:lineRule="auto" w:before="1"/>
        <w:ind w:right="38"/>
      </w:pPr>
      <w:r>
        <w:rPr>
          <w:color w:val="231F20"/>
        </w:rPr>
        <w:t>2° l’opération par laquelle une société transfère sans dissolution une partie</w:t>
      </w:r>
      <w:r>
        <w:rPr>
          <w:color w:val="231F20"/>
          <w:spacing w:val="-5"/>
        </w:rPr>
        <w:t> </w:t>
      </w:r>
      <w:r>
        <w:rPr>
          <w:color w:val="231F20"/>
        </w:rPr>
        <w:t>de</w:t>
      </w:r>
      <w:r>
        <w:rPr>
          <w:color w:val="231F20"/>
          <w:spacing w:val="-4"/>
        </w:rPr>
        <w:t> </w:t>
      </w:r>
      <w:r>
        <w:rPr>
          <w:color w:val="231F20"/>
        </w:rPr>
        <w:t>son</w:t>
      </w:r>
      <w:r>
        <w:rPr>
          <w:color w:val="231F20"/>
          <w:spacing w:val="-4"/>
        </w:rPr>
        <w:t> </w:t>
      </w:r>
      <w:r>
        <w:rPr>
          <w:color w:val="231F20"/>
        </w:rPr>
        <w:t>patrimoine,</w:t>
      </w:r>
      <w:r>
        <w:rPr>
          <w:color w:val="231F20"/>
          <w:spacing w:val="-4"/>
        </w:rPr>
        <w:t> </w:t>
      </w:r>
      <w:r>
        <w:rPr>
          <w:color w:val="231F20"/>
        </w:rPr>
        <w:t>activement</w:t>
      </w:r>
      <w:r>
        <w:rPr>
          <w:color w:val="231F20"/>
          <w:spacing w:val="-5"/>
        </w:rPr>
        <w:t> </w:t>
      </w:r>
      <w:r>
        <w:rPr>
          <w:color w:val="231F20"/>
        </w:rPr>
        <w:t>et</w:t>
      </w:r>
      <w:r>
        <w:rPr>
          <w:color w:val="231F20"/>
          <w:spacing w:val="-4"/>
        </w:rPr>
        <w:t> </w:t>
      </w:r>
      <w:r>
        <w:rPr>
          <w:color w:val="231F20"/>
        </w:rPr>
        <w:t>passivement,</w:t>
      </w:r>
      <w:r>
        <w:rPr>
          <w:color w:val="231F20"/>
          <w:spacing w:val="-4"/>
        </w:rPr>
        <w:t> </w:t>
      </w:r>
      <w:r>
        <w:rPr>
          <w:color w:val="231F20"/>
        </w:rPr>
        <w:t>à</w:t>
      </w:r>
      <w:r>
        <w:rPr>
          <w:color w:val="231F20"/>
          <w:spacing w:val="-4"/>
        </w:rPr>
        <w:t> </w:t>
      </w:r>
      <w:r>
        <w:rPr>
          <w:color w:val="231F20"/>
        </w:rPr>
        <w:t>une</w:t>
      </w:r>
      <w:r>
        <w:rPr>
          <w:color w:val="231F20"/>
          <w:spacing w:val="-5"/>
        </w:rPr>
        <w:t> </w:t>
      </w:r>
      <w:r>
        <w:rPr>
          <w:color w:val="231F20"/>
        </w:rPr>
        <w:t>autre</w:t>
      </w:r>
      <w:r>
        <w:rPr>
          <w:color w:val="231F20"/>
          <w:spacing w:val="-4"/>
        </w:rPr>
        <w:t> </w:t>
      </w:r>
      <w:r>
        <w:rPr>
          <w:color w:val="231F20"/>
        </w:rPr>
        <w:t>société qui est déjà titulaire de toutes ses parts ou actions et autres titres conférant le droit de</w:t>
      </w:r>
      <w:r>
        <w:rPr>
          <w:color w:val="231F20"/>
          <w:spacing w:val="19"/>
        </w:rPr>
        <w:t> </w:t>
      </w:r>
      <w:r>
        <w:rPr>
          <w:color w:val="231F20"/>
        </w:rPr>
        <w:t>vote.</w:t>
      </w:r>
    </w:p>
    <w:p>
      <w:pPr>
        <w:pStyle w:val="BodyText"/>
        <w:spacing w:before="105"/>
        <w:ind w:left="283" w:right="0" w:firstLine="0"/>
        <w:jc w:val="left"/>
      </w:pPr>
      <w:r>
        <w:rPr/>
        <w:br w:type="column"/>
      </w:r>
      <w:r>
        <w:rPr>
          <w:color w:val="231F20"/>
        </w:rPr>
        <w:t>Afdeling 2. Splitsingen.</w:t>
      </w:r>
    </w:p>
    <w:p>
      <w:pPr>
        <w:pStyle w:val="BodyText"/>
        <w:spacing w:line="218" w:lineRule="auto" w:before="157"/>
      </w:pPr>
      <w:r>
        <w:rPr>
          <w:color w:val="231F20"/>
        </w:rPr>
        <w:t>Art. 12:4. Splitsing door overneming is de rechtshandeling waarbij het gehele vermogen van een vennootschap, zowel de rechten als de verplichtingen, als gevolg van haar ontbinding zonder vereffening, op verscheidene vennootschappen overgaat tegen uitreiking aan de ven- noten of aandeelhouders van de ontbonden vennootschap, van aande- len van de verkrijgende vennootschappen die delen in het gesplitste vermogen, eventueel met een opleg in geld die niet meer mag bedragen dan een tiende van de nominale waarde of, bij gebrek aan een nominale waarde,</w:t>
      </w:r>
      <w:r>
        <w:rPr>
          <w:color w:val="231F20"/>
          <w:spacing w:val="17"/>
        </w:rPr>
        <w:t> </w:t>
      </w:r>
      <w:r>
        <w:rPr>
          <w:color w:val="231F20"/>
        </w:rPr>
        <w:t>van</w:t>
      </w:r>
      <w:r>
        <w:rPr>
          <w:color w:val="231F20"/>
          <w:spacing w:val="18"/>
        </w:rPr>
        <w:t> </w:t>
      </w:r>
      <w:r>
        <w:rPr>
          <w:color w:val="231F20"/>
        </w:rPr>
        <w:t>de</w:t>
      </w:r>
      <w:r>
        <w:rPr>
          <w:color w:val="231F20"/>
          <w:spacing w:val="17"/>
        </w:rPr>
        <w:t> </w:t>
      </w:r>
      <w:r>
        <w:rPr>
          <w:color w:val="231F20"/>
        </w:rPr>
        <w:t>fractiewaarde</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uitgereikte</w:t>
      </w:r>
      <w:r>
        <w:rPr>
          <w:color w:val="231F20"/>
          <w:spacing w:val="17"/>
        </w:rPr>
        <w:t> </w:t>
      </w:r>
      <w:r>
        <w:rPr>
          <w:color w:val="231F20"/>
        </w:rPr>
        <w:t>aandelen.</w:t>
      </w:r>
    </w:p>
    <w:p>
      <w:pPr>
        <w:pStyle w:val="BodyText"/>
        <w:spacing w:line="218" w:lineRule="auto" w:before="161"/>
      </w:pPr>
      <w:r>
        <w:rPr>
          <w:color w:val="231F20"/>
        </w:rPr>
        <w:t>Indien een verkrijgende vennootschap een vennootschap zonder kapitaal is, wordt met de fractiewaarde gelijkgesteld, de inbreng- waarde, zoals die blijkt uit de jaarrekening, van alle door de vennoten of aandeelhouders toegezegde inbrengen in geld of in natura, met uitzondering van de inbrengen in nijverheid, in voorkomend geval verhoogd met de reserves die op grond van een statutaire</w:t>
      </w:r>
      <w:r>
        <w:rPr>
          <w:color w:val="231F20"/>
          <w:spacing w:val="24"/>
        </w:rPr>
        <w:t> </w:t>
      </w:r>
      <w:r>
        <w:rPr>
          <w:color w:val="231F20"/>
        </w:rPr>
        <w:t>bepaling slechts aan de vennoten of aandeelhouders kunnen worden uitgekeerd met</w:t>
      </w:r>
      <w:r>
        <w:rPr>
          <w:color w:val="231F20"/>
          <w:spacing w:val="19"/>
        </w:rPr>
        <w:t> </w:t>
      </w:r>
      <w:r>
        <w:rPr>
          <w:color w:val="231F20"/>
        </w:rPr>
        <w:t>een</w:t>
      </w:r>
      <w:r>
        <w:rPr>
          <w:color w:val="231F20"/>
          <w:spacing w:val="19"/>
        </w:rPr>
        <w:t> </w:t>
      </w:r>
      <w:r>
        <w:rPr>
          <w:color w:val="231F20"/>
        </w:rPr>
        <w:t>statutenwijziging,</w:t>
      </w:r>
      <w:r>
        <w:rPr>
          <w:color w:val="231F20"/>
          <w:spacing w:val="19"/>
        </w:rPr>
        <w:t> </w:t>
      </w:r>
      <w:r>
        <w:rPr>
          <w:color w:val="231F20"/>
        </w:rPr>
        <w:t>dit</w:t>
      </w:r>
      <w:r>
        <w:rPr>
          <w:color w:val="231F20"/>
          <w:spacing w:val="19"/>
        </w:rPr>
        <w:t> </w:t>
      </w:r>
      <w:r>
        <w:rPr>
          <w:color w:val="231F20"/>
        </w:rPr>
        <w:t>alles</w:t>
      </w:r>
      <w:r>
        <w:rPr>
          <w:color w:val="231F20"/>
          <w:spacing w:val="19"/>
        </w:rPr>
        <w:t> </w:t>
      </w:r>
      <w:r>
        <w:rPr>
          <w:color w:val="231F20"/>
        </w:rPr>
        <w:t>gedeeld</w:t>
      </w:r>
      <w:r>
        <w:rPr>
          <w:color w:val="231F20"/>
          <w:spacing w:val="19"/>
        </w:rPr>
        <w:t> </w:t>
      </w:r>
      <w:r>
        <w:rPr>
          <w:color w:val="231F20"/>
        </w:rPr>
        <w:t>door</w:t>
      </w:r>
      <w:r>
        <w:rPr>
          <w:color w:val="231F20"/>
          <w:spacing w:val="19"/>
        </w:rPr>
        <w:t> </w:t>
      </w:r>
      <w:r>
        <w:rPr>
          <w:color w:val="231F20"/>
        </w:rPr>
        <w:t>het</w:t>
      </w:r>
      <w:r>
        <w:rPr>
          <w:color w:val="231F20"/>
          <w:spacing w:val="20"/>
        </w:rPr>
        <w:t> </w:t>
      </w:r>
      <w:r>
        <w:rPr>
          <w:color w:val="231F20"/>
        </w:rPr>
        <w:t>aantal</w:t>
      </w:r>
      <w:r>
        <w:rPr>
          <w:color w:val="231F20"/>
          <w:spacing w:val="19"/>
        </w:rPr>
        <w:t> </w:t>
      </w:r>
      <w:r>
        <w:rPr>
          <w:color w:val="231F20"/>
        </w:rPr>
        <w:t>aandelen.</w:t>
      </w:r>
    </w:p>
    <w:p>
      <w:pPr>
        <w:pStyle w:val="BodyText"/>
        <w:spacing w:line="218" w:lineRule="auto" w:before="160"/>
        <w:ind w:right="123"/>
      </w:pPr>
      <w:r>
        <w:rPr>
          <w:color w:val="231F20"/>
        </w:rPr>
        <w:t>Art. 12:5. Splitsing door oprichting van nieuwe vennootschappen is de rechtshandeling waarbij het gehele vermogen van een vennoot- schap, zowel de rechten als de verplichtingen, als gevolg van ontbin- ding zonder vereffening op verscheidene nieuwe door haar opgerichte vennootschappen overgaat tegen uitreiking aan de vennoten of aan- deelhouders van de ontbonden vennootschappen van aandelen in de nieuwe vennootschappen eventueel met een opleg in geld die niet meer mag bedragen dan een tiende van de nominale waarde of, bij gebrek aan een nominale waarde, van de fractiewaarde van de uitgereikte aandelen.</w:t>
      </w:r>
    </w:p>
    <w:p>
      <w:pPr>
        <w:pStyle w:val="BodyText"/>
        <w:spacing w:line="218" w:lineRule="auto" w:before="161"/>
      </w:pPr>
      <w:r>
        <w:rPr>
          <w:color w:val="231F20"/>
        </w:rPr>
        <w:t>Indien een nieuw opgerichte vennootschap een vennootschap zonder kapitaal is, wordt met de fractiewaarde gelijkgesteld de inbrengwaarde, zoals die blijkt uit de jaarrekening, van alle door de vennoten of aandeelhouders toegezegde inbrengen in geld of in natura, met uitzondering van de inbrengen in nijverheid, in voorkomend geval verhoogd met de reserves die op grond van een statutaire bepaling slechts aan de vennoten of aandeelhouders kunnen worden uitgekeerd mits een statutenwijziging, dit alles gedeeld door het aantal aandelen.</w:t>
      </w:r>
    </w:p>
    <w:p>
      <w:pPr>
        <w:pStyle w:val="BodyText"/>
        <w:spacing w:line="218" w:lineRule="auto" w:before="161"/>
      </w:pPr>
      <w:r>
        <w:rPr>
          <w:color w:val="231F20"/>
        </w:rPr>
        <w:t>Art. 12:6. Gemengde splitsing is de rechtshandeling waarbij het gehele vermogen van een vennootschap, zowel de rechten als de verplichtingen, als gevolg van ontbinding zonder vereffening op één of meer bestaande vennootschappen en op één of meer door haar opgerichte vennootschappen overgaat tegen uitreiking aan de venno- ten of aandeelhouders van de ontbonden vennootschap, van aandelen van de verkrijgende vennootschappen en, in voorkomend geval</w:t>
      </w:r>
      <w:r>
        <w:rPr>
          <w:color w:val="231F20"/>
          <w:spacing w:val="32"/>
        </w:rPr>
        <w:t> </w:t>
      </w:r>
      <w:r>
        <w:rPr>
          <w:color w:val="231F20"/>
        </w:rPr>
        <w:t>met een opleg in geld die niet meer bedragen dan het bedrag van de opleg  in</w:t>
      </w:r>
      <w:r>
        <w:rPr>
          <w:color w:val="231F20"/>
          <w:spacing w:val="14"/>
        </w:rPr>
        <w:t> </w:t>
      </w:r>
      <w:r>
        <w:rPr>
          <w:color w:val="231F20"/>
        </w:rPr>
        <w:t>geld</w:t>
      </w:r>
      <w:r>
        <w:rPr>
          <w:color w:val="231F20"/>
          <w:spacing w:val="15"/>
        </w:rPr>
        <w:t> </w:t>
      </w:r>
      <w:r>
        <w:rPr>
          <w:color w:val="231F20"/>
        </w:rPr>
        <w:t>als</w:t>
      </w:r>
      <w:r>
        <w:rPr>
          <w:color w:val="231F20"/>
          <w:spacing w:val="15"/>
        </w:rPr>
        <w:t> </w:t>
      </w:r>
      <w:r>
        <w:rPr>
          <w:color w:val="231F20"/>
        </w:rPr>
        <w:t>bedoeld</w:t>
      </w:r>
      <w:r>
        <w:rPr>
          <w:color w:val="231F20"/>
          <w:spacing w:val="15"/>
        </w:rPr>
        <w:t> </w:t>
      </w:r>
      <w:r>
        <w:rPr>
          <w:color w:val="231F20"/>
        </w:rPr>
        <w:t>in</w:t>
      </w:r>
      <w:r>
        <w:rPr>
          <w:color w:val="231F20"/>
          <w:spacing w:val="15"/>
        </w:rPr>
        <w:t> </w:t>
      </w:r>
      <w:r>
        <w:rPr>
          <w:color w:val="231F20"/>
        </w:rPr>
        <w:t>de</w:t>
      </w:r>
      <w:r>
        <w:rPr>
          <w:color w:val="231F20"/>
          <w:spacing w:val="14"/>
        </w:rPr>
        <w:t> </w:t>
      </w:r>
      <w:r>
        <w:rPr>
          <w:color w:val="231F20"/>
        </w:rPr>
        <w:t>artikelen</w:t>
      </w:r>
      <w:r>
        <w:rPr>
          <w:color w:val="231F20"/>
          <w:spacing w:val="15"/>
        </w:rPr>
        <w:t> </w:t>
      </w:r>
      <w:r>
        <w:rPr>
          <w:color w:val="231F20"/>
        </w:rPr>
        <w:t>12:4</w:t>
      </w:r>
      <w:r>
        <w:rPr>
          <w:color w:val="231F20"/>
          <w:spacing w:val="15"/>
        </w:rPr>
        <w:t> </w:t>
      </w:r>
      <w:r>
        <w:rPr>
          <w:color w:val="231F20"/>
        </w:rPr>
        <w:t>en</w:t>
      </w:r>
      <w:r>
        <w:rPr>
          <w:color w:val="231F20"/>
          <w:spacing w:val="15"/>
        </w:rPr>
        <w:t> </w:t>
      </w:r>
      <w:r>
        <w:rPr>
          <w:color w:val="231F20"/>
        </w:rPr>
        <w:t>12:5.</w:t>
      </w:r>
    </w:p>
    <w:p>
      <w:pPr>
        <w:pStyle w:val="BodyText"/>
        <w:spacing w:before="146"/>
        <w:ind w:left="283" w:right="0" w:firstLine="0"/>
        <w:jc w:val="left"/>
      </w:pPr>
      <w:r>
        <w:rPr>
          <w:color w:val="231F20"/>
        </w:rPr>
        <w:t>Afdeling 3. Gelijkgestelde verrichtingen.</w:t>
      </w:r>
    </w:p>
    <w:p>
      <w:pPr>
        <w:pStyle w:val="BodyText"/>
        <w:spacing w:line="218" w:lineRule="auto" w:before="168"/>
      </w:pPr>
      <w:r>
        <w:rPr>
          <w:color w:val="231F20"/>
        </w:rPr>
        <w:t>Art. 12:7. Tenzij anders bij wet bepaald, wordt met fusie door overneming gelijkgesteld, de rechtshandeling waarbij het gehele ver- mogen van één of meer vennootschappen, zowel de rechten als de verplichtingen, als gevolg van ontbinding zonder vereffening overgaat op een andere vennootschap, wanneer al hun aandelen en andere stemrechtverlenende effecten in handen zijn ofwel van die andere vennootschap, ofwel van tussenpersonen van die vennootschap, ofwel van die tussenpersonen en van die vennootschap.</w:t>
      </w:r>
    </w:p>
    <w:p>
      <w:pPr>
        <w:pStyle w:val="BodyText"/>
        <w:spacing w:before="157"/>
        <w:ind w:left="283" w:right="0" w:firstLine="0"/>
        <w:jc w:val="left"/>
      </w:pPr>
      <w:r>
        <w:rPr>
          <w:color w:val="231F20"/>
        </w:rPr>
        <w:t>Art. 12:8. Worden met splitsing gelijkgesteld:</w:t>
      </w:r>
    </w:p>
    <w:p>
      <w:pPr>
        <w:pStyle w:val="BodyText"/>
        <w:spacing w:line="218" w:lineRule="auto" w:before="167"/>
      </w:pPr>
      <w:r>
        <w:rPr>
          <w:color w:val="231F20"/>
        </w:rPr>
        <w:t>1° de rechtshandeling waarbij een deel van het vermogen van een vennootschap, zowel de rechten als de verplichtingen, zonder ontbin- ding op één of meer bestaande vennootschappen of door haar opgerichte vennootschappen overgaat tegen uitreiking aan de venno- ten of aandeelhouders van de overdragende vennootschap, van aandelen in de verkrijgende vennootschap of vennootschappen, even- tueel met een opleg in geld die niet meer mag bedragen dan een tiende van de nominale waarde of, bij gebrek aan een nominale waarde, van de fractiewaarde van de uitgereikte aandelen; indien een verkrijgende vennootschap een vennootschap zonder kapitaal is, wordt met de fractiewaarde gelijkgesteld de inbrengwaarde, zoals die blijkt uit de jaarrekening, van alle door de vennoten of aandeelhouders toegezegde inbrengen in geld of in natura, met uitzondering van de inbrengen in nijverheid, in voorkomend geval verhoogd met de reserves die op  grond van een statutaire bepaling slechts aan de vennoten of aandeel- houders kunnen worden uitgekeerd mits een statutenwijziging, dit  alles</w:t>
      </w:r>
      <w:r>
        <w:rPr>
          <w:color w:val="231F20"/>
          <w:spacing w:val="15"/>
        </w:rPr>
        <w:t> </w:t>
      </w:r>
      <w:r>
        <w:rPr>
          <w:color w:val="231F20"/>
        </w:rPr>
        <w:t>gedeeld</w:t>
      </w:r>
      <w:r>
        <w:rPr>
          <w:color w:val="231F20"/>
          <w:spacing w:val="15"/>
        </w:rPr>
        <w:t> </w:t>
      </w:r>
      <w:r>
        <w:rPr>
          <w:color w:val="231F20"/>
        </w:rPr>
        <w:t>door</w:t>
      </w:r>
      <w:r>
        <w:rPr>
          <w:color w:val="231F20"/>
          <w:spacing w:val="15"/>
        </w:rPr>
        <w:t> </w:t>
      </w:r>
      <w:r>
        <w:rPr>
          <w:color w:val="231F20"/>
        </w:rPr>
        <w:t>het</w:t>
      </w:r>
      <w:r>
        <w:rPr>
          <w:color w:val="231F20"/>
          <w:spacing w:val="16"/>
        </w:rPr>
        <w:t> </w:t>
      </w:r>
      <w:r>
        <w:rPr>
          <w:color w:val="231F20"/>
        </w:rPr>
        <w:t>aantal</w:t>
      </w:r>
      <w:r>
        <w:rPr>
          <w:color w:val="231F20"/>
          <w:spacing w:val="15"/>
        </w:rPr>
        <w:t> </w:t>
      </w:r>
      <w:r>
        <w:rPr>
          <w:color w:val="231F20"/>
        </w:rPr>
        <w:t>aandelen;</w:t>
      </w:r>
    </w:p>
    <w:p>
      <w:pPr>
        <w:pStyle w:val="BodyText"/>
        <w:spacing w:line="218" w:lineRule="auto" w:before="172"/>
      </w:pPr>
      <w:r>
        <w:rPr>
          <w:color w:val="231F20"/>
        </w:rPr>
        <w:t>2° de rechtshandeling waarbij een deel van het vermogen van een vennootschap, zowel de rechten als de verplichtingen, zonder ontbin- ding overgaat op een andere vennootschap die reeds al haar aandelen en andere stemrechtverlenende effecten bezit.</w:t>
      </w:r>
    </w:p>
    <w:p>
      <w:pPr>
        <w:spacing w:after="0" w:line="218" w:lineRule="auto"/>
        <w:sectPr>
          <w:pgSz w:w="11940" w:h="16880"/>
          <w:pgMar w:header="666" w:footer="0" w:top="1140" w:bottom="280" w:left="340" w:right="360"/>
          <w:cols w:num="2" w:equalWidth="0">
            <w:col w:w="5527" w:space="100"/>
            <w:col w:w="5613"/>
          </w:cols>
        </w:sectPr>
      </w:pPr>
    </w:p>
    <w:p>
      <w:pPr>
        <w:pStyle w:val="BodyText"/>
        <w:spacing w:before="105"/>
        <w:ind w:left="283" w:right="0" w:firstLine="0"/>
        <w:jc w:val="left"/>
      </w:pPr>
      <w:r>
        <w:rPr/>
        <w:pict>
          <v:line style="position:absolute;mso-position-horizontal-relative:page;mso-position-vertical-relative:page;z-index:6376" from="298.170502pt,64.473pt" to="298.170502pt,812.819pt" stroked="true" strokeweight=".533pt" strokecolor="#231f20">
            <v:stroke dashstyle="solid"/>
            <w10:wrap type="none"/>
          </v:line>
        </w:pict>
      </w:r>
      <w:bookmarkStart w:name="_bookmark223" w:id="229"/>
      <w:bookmarkEnd w:id="229"/>
      <w:r>
        <w:rPr/>
      </w:r>
      <w:r>
        <w:rPr>
          <w:color w:val="231F20"/>
        </w:rPr>
        <w:t>Section 4. Apports d’universalité ou de branche d’activités.</w:t>
      </w:r>
    </w:p>
    <w:p>
      <w:pPr>
        <w:pStyle w:val="BodyText"/>
        <w:spacing w:line="218" w:lineRule="auto" w:before="114"/>
        <w:ind w:right="38"/>
      </w:pPr>
      <w:r>
        <w:rPr>
          <w:color w:val="231F20"/>
        </w:rPr>
        <w:t>Art. 12:9. L’apport d’universalité est l’opération par laquelle une société transfère, sans dissolution, l’intégralité de son patrimoine, activement et passivement, à une ou plusieurs sociétés existantes ou nouvelles, moyennant une rémunération consistant exclusivement en actions ou parts de la ou des sociétés bénéficiaires des apports.</w:t>
      </w:r>
    </w:p>
    <w:p>
      <w:pPr>
        <w:pStyle w:val="BodyText"/>
        <w:spacing w:line="218" w:lineRule="auto" w:before="118"/>
        <w:ind w:right="38"/>
      </w:pPr>
      <w:r>
        <w:rPr>
          <w:color w:val="231F20"/>
        </w:rPr>
        <w:t>Art. 12:10. L’apport de branche d’activités est l’opération par laquelle une</w:t>
      </w:r>
      <w:r>
        <w:rPr>
          <w:color w:val="231F20"/>
          <w:spacing w:val="-6"/>
        </w:rPr>
        <w:t> </w:t>
      </w:r>
      <w:r>
        <w:rPr>
          <w:color w:val="231F20"/>
        </w:rPr>
        <w:t>société</w:t>
      </w:r>
      <w:r>
        <w:rPr>
          <w:color w:val="231F20"/>
          <w:spacing w:val="-5"/>
        </w:rPr>
        <w:t> </w:t>
      </w:r>
      <w:r>
        <w:rPr>
          <w:color w:val="231F20"/>
        </w:rPr>
        <w:t>transfère,</w:t>
      </w:r>
      <w:r>
        <w:rPr>
          <w:color w:val="231F20"/>
          <w:spacing w:val="-5"/>
        </w:rPr>
        <w:t> </w:t>
      </w:r>
      <w:r>
        <w:rPr>
          <w:color w:val="231F20"/>
        </w:rPr>
        <w:t>sans</w:t>
      </w:r>
      <w:r>
        <w:rPr>
          <w:color w:val="231F20"/>
          <w:spacing w:val="-5"/>
        </w:rPr>
        <w:t> </w:t>
      </w:r>
      <w:r>
        <w:rPr>
          <w:color w:val="231F20"/>
        </w:rPr>
        <w:t>dissolution,</w:t>
      </w:r>
      <w:r>
        <w:rPr>
          <w:color w:val="231F20"/>
          <w:spacing w:val="-5"/>
        </w:rPr>
        <w:t> </w:t>
      </w:r>
      <w:r>
        <w:rPr>
          <w:color w:val="231F20"/>
        </w:rPr>
        <w:t>une</w:t>
      </w:r>
      <w:r>
        <w:rPr>
          <w:color w:val="231F20"/>
          <w:spacing w:val="-5"/>
        </w:rPr>
        <w:t> </w:t>
      </w:r>
      <w:r>
        <w:rPr>
          <w:color w:val="231F20"/>
        </w:rPr>
        <w:t>branche</w:t>
      </w:r>
      <w:r>
        <w:rPr>
          <w:color w:val="231F20"/>
          <w:spacing w:val="-5"/>
        </w:rPr>
        <w:t> </w:t>
      </w:r>
      <w:r>
        <w:rPr>
          <w:color w:val="231F20"/>
        </w:rPr>
        <w:t>de</w:t>
      </w:r>
      <w:r>
        <w:rPr>
          <w:color w:val="231F20"/>
          <w:spacing w:val="-5"/>
        </w:rPr>
        <w:t> </w:t>
      </w:r>
      <w:r>
        <w:rPr>
          <w:color w:val="231F20"/>
        </w:rPr>
        <w:t>ses</w:t>
      </w:r>
      <w:r>
        <w:rPr>
          <w:color w:val="231F20"/>
          <w:spacing w:val="-6"/>
        </w:rPr>
        <w:t> </w:t>
      </w:r>
      <w:r>
        <w:rPr>
          <w:color w:val="231F20"/>
        </w:rPr>
        <w:t>activités</w:t>
      </w:r>
      <w:r>
        <w:rPr>
          <w:color w:val="231F20"/>
          <w:spacing w:val="-5"/>
        </w:rPr>
        <w:t> </w:t>
      </w:r>
      <w:r>
        <w:rPr>
          <w:color w:val="231F20"/>
        </w:rPr>
        <w:t>ainsi que les passifs et les actifs qui s’y rattachent à une autre société, moyennant une rémunération consistant exclusivement en actions ou parts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r>
        <w:rPr>
          <w:color w:val="231F20"/>
          <w:spacing w:val="15"/>
        </w:rPr>
        <w:t> </w:t>
      </w:r>
      <w:r>
        <w:rPr>
          <w:color w:val="231F20"/>
        </w:rPr>
        <w:t>bénéficiaire</w:t>
      </w:r>
      <w:r>
        <w:rPr>
          <w:color w:val="231F20"/>
          <w:spacing w:val="15"/>
        </w:rPr>
        <w:t> </w:t>
      </w:r>
      <w:r>
        <w:rPr>
          <w:color w:val="231F20"/>
        </w:rPr>
        <w:t>de</w:t>
      </w:r>
      <w:r>
        <w:rPr>
          <w:color w:val="231F20"/>
          <w:spacing w:val="15"/>
        </w:rPr>
        <w:t> </w:t>
      </w:r>
      <w:r>
        <w:rPr>
          <w:color w:val="231F20"/>
        </w:rPr>
        <w:t>l’apport.</w:t>
      </w:r>
    </w:p>
    <w:p>
      <w:pPr>
        <w:pStyle w:val="BodyText"/>
        <w:spacing w:line="218" w:lineRule="auto" w:before="118"/>
        <w:ind w:right="38"/>
      </w:pPr>
      <w:r>
        <w:rPr>
          <w:color w:val="231F20"/>
        </w:rPr>
        <w:t>Art. 12:11. Une branche d’activités est un ensemble qui, d’un point de vue technique et sous l’angle de l’organisation, exerce une activité autonome, et est susceptible de fonctionner par ses propres moyens.</w:t>
      </w:r>
    </w:p>
    <w:p>
      <w:pPr>
        <w:pStyle w:val="BodyText"/>
        <w:spacing w:line="218" w:lineRule="auto" w:before="117"/>
        <w:ind w:right="38"/>
      </w:pPr>
      <w:r>
        <w:rPr>
          <w:color w:val="231F20"/>
        </w:rPr>
        <w:t>TITRE 2. La réglementation des fusions, scissions et opérations assimilées.</w:t>
      </w:r>
    </w:p>
    <w:p>
      <w:pPr>
        <w:pStyle w:val="BodyText"/>
        <w:spacing w:before="89"/>
        <w:ind w:left="283" w:right="0" w:firstLine="0"/>
        <w:jc w:val="left"/>
      </w:pPr>
      <w:r>
        <w:rPr>
          <w:color w:val="231F20"/>
        </w:rPr>
        <w:t>CHAPITRE 1</w:t>
      </w:r>
      <w:r>
        <w:rPr>
          <w:color w:val="231F20"/>
          <w:position w:val="7"/>
          <w:sz w:val="11"/>
        </w:rPr>
        <w:t>er</w:t>
      </w:r>
      <w:r>
        <w:rPr>
          <w:color w:val="231F20"/>
        </w:rPr>
        <w:t>. Dispositions communes.</w:t>
      </w:r>
    </w:p>
    <w:p>
      <w:pPr>
        <w:pStyle w:val="BodyText"/>
        <w:spacing w:before="85"/>
        <w:ind w:left="283" w:right="0" w:firstLine="0"/>
        <w:jc w:val="left"/>
      </w:pPr>
      <w:r>
        <w:rPr>
          <w:color w:val="231F20"/>
        </w:rPr>
        <w:t>Section 1</w:t>
      </w:r>
      <w:r>
        <w:rPr>
          <w:color w:val="231F20"/>
          <w:position w:val="7"/>
          <w:sz w:val="11"/>
        </w:rPr>
        <w:t>re</w:t>
      </w:r>
      <w:r>
        <w:rPr>
          <w:color w:val="231F20"/>
        </w:rPr>
        <w:t>. Fusion ou scission de sociétés en liquidation ou en faillite.</w:t>
      </w:r>
    </w:p>
    <w:p>
      <w:pPr>
        <w:pStyle w:val="BodyText"/>
        <w:spacing w:before="5"/>
        <w:ind w:left="0" w:right="0" w:firstLine="0"/>
        <w:jc w:val="left"/>
        <w:rPr>
          <w:sz w:val="25"/>
        </w:rPr>
      </w:pPr>
    </w:p>
    <w:p>
      <w:pPr>
        <w:pStyle w:val="BodyText"/>
        <w:spacing w:line="218" w:lineRule="auto"/>
        <w:ind w:right="38"/>
      </w:pPr>
      <w:r>
        <w:rPr>
          <w:color w:val="231F20"/>
        </w:rPr>
        <w:t>Art. 12:12. La fusion ou la scission peut également avoir lieu lorsqu’une ou plusieurs des sociétés dont le patrimoine sera transféré sont en liquidation ou en faillite, pourvu qu’elles n’aient pas encore commencé la répartition de leurs actifs entre leurs associés ou actionnaires.</w:t>
      </w:r>
    </w:p>
    <w:p>
      <w:pPr>
        <w:pStyle w:val="BodyText"/>
        <w:spacing w:line="218" w:lineRule="auto" w:before="118"/>
        <w:ind w:right="38"/>
      </w:pPr>
      <w:r>
        <w:rPr>
          <w:color w:val="231F20"/>
        </w:rPr>
        <w:t>Dans ce cas, toutes les missions qui, en vertu du présent titre, incombent à l’organe d’administration de la société en liquidation ou en faillite sont remplies par les liquidateurs ou par les curateurs.</w:t>
      </w:r>
    </w:p>
    <w:p>
      <w:pPr>
        <w:pStyle w:val="BodyText"/>
        <w:spacing w:before="6"/>
        <w:ind w:left="0" w:right="0" w:firstLine="0"/>
        <w:jc w:val="left"/>
        <w:rPr>
          <w:sz w:val="25"/>
        </w:rPr>
      </w:pPr>
    </w:p>
    <w:p>
      <w:pPr>
        <w:pStyle w:val="BodyText"/>
        <w:ind w:left="283" w:right="0" w:firstLine="0"/>
        <w:jc w:val="left"/>
      </w:pPr>
      <w:r>
        <w:rPr>
          <w:color w:val="231F20"/>
        </w:rPr>
        <w:t>Section 2. Effets juridiques de la fusion ou de la scission.</w:t>
      </w:r>
    </w:p>
    <w:p>
      <w:pPr>
        <w:pStyle w:val="BodyText"/>
        <w:spacing w:line="218" w:lineRule="auto" w:before="125"/>
        <w:ind w:right="38"/>
      </w:pPr>
      <w:r>
        <w:rPr>
          <w:color w:val="231F20"/>
        </w:rPr>
        <w:t>Art. 12:13. La fusion ou la scission entraîne de plein droit et simultanément les effets juridiques suivants:</w:t>
      </w:r>
    </w:p>
    <w:p>
      <w:pPr>
        <w:pStyle w:val="BodyText"/>
        <w:spacing w:line="218" w:lineRule="auto" w:before="113"/>
        <w:ind w:right="38"/>
      </w:pPr>
      <w:r>
        <w:rPr>
          <w:color w:val="231F20"/>
        </w:rPr>
        <w:t>1° par dérogation à l’article 2:76, alinéa 1</w:t>
      </w:r>
      <w:r>
        <w:rPr>
          <w:color w:val="231F20"/>
          <w:position w:val="7"/>
          <w:sz w:val="11"/>
        </w:rPr>
        <w:t>er</w:t>
      </w:r>
      <w:r>
        <w:rPr>
          <w:color w:val="231F20"/>
        </w:rPr>
        <w:t>, les sociétés</w:t>
      </w:r>
      <w:r>
        <w:rPr>
          <w:color w:val="231F20"/>
          <w:spacing w:val="26"/>
        </w:rPr>
        <w:t> </w:t>
      </w:r>
      <w:r>
        <w:rPr>
          <w:color w:val="231F20"/>
        </w:rPr>
        <w:t>dissoutes cessent d’exister; toutefois, pour l’application des articles 2:44, 12:19 et 12:20, les sociétés dissoutes sont réputées exister durant le délai de six mois</w:t>
      </w:r>
      <w:r>
        <w:rPr>
          <w:color w:val="231F20"/>
          <w:spacing w:val="-7"/>
        </w:rPr>
        <w:t> </w:t>
      </w:r>
      <w:r>
        <w:rPr>
          <w:color w:val="231F20"/>
        </w:rPr>
        <w:t>prévu</w:t>
      </w:r>
      <w:r>
        <w:rPr>
          <w:color w:val="231F20"/>
          <w:spacing w:val="-7"/>
        </w:rPr>
        <w:t> </w:t>
      </w:r>
      <w:r>
        <w:rPr>
          <w:color w:val="231F20"/>
        </w:rPr>
        <w:t>par</w:t>
      </w:r>
      <w:r>
        <w:rPr>
          <w:color w:val="231F20"/>
          <w:spacing w:val="-7"/>
        </w:rPr>
        <w:t> </w:t>
      </w:r>
      <w:r>
        <w:rPr>
          <w:color w:val="231F20"/>
        </w:rPr>
        <w:t>l’article</w:t>
      </w:r>
      <w:r>
        <w:rPr>
          <w:color w:val="231F20"/>
          <w:spacing w:val="-6"/>
        </w:rPr>
        <w:t> </w:t>
      </w:r>
      <w:r>
        <w:rPr>
          <w:color w:val="231F20"/>
        </w:rPr>
        <w:t>2:137,</w:t>
      </w:r>
      <w:r>
        <w:rPr>
          <w:color w:val="231F20"/>
          <w:spacing w:val="-7"/>
        </w:rPr>
        <w:t> </w:t>
      </w:r>
      <w:r>
        <w:rPr>
          <w:color w:val="231F20"/>
        </w:rPr>
        <w:t>§</w:t>
      </w:r>
      <w:r>
        <w:rPr>
          <w:color w:val="231F20"/>
          <w:spacing w:val="-7"/>
        </w:rPr>
        <w:t> </w:t>
      </w:r>
      <w:r>
        <w:rPr>
          <w:color w:val="231F20"/>
        </w:rPr>
        <w:t>4,</w:t>
      </w:r>
      <w:r>
        <w:rPr>
          <w:color w:val="231F20"/>
          <w:spacing w:val="-6"/>
        </w:rPr>
        <w:t> </w:t>
      </w:r>
      <w:r>
        <w:rPr>
          <w:color w:val="231F20"/>
        </w:rPr>
        <w:t>et,</w:t>
      </w:r>
      <w:r>
        <w:rPr>
          <w:color w:val="231F20"/>
          <w:spacing w:val="-7"/>
        </w:rPr>
        <w:t> </w:t>
      </w:r>
      <w:r>
        <w:rPr>
          <w:color w:val="231F20"/>
        </w:rPr>
        <w:t>si</w:t>
      </w:r>
      <w:r>
        <w:rPr>
          <w:color w:val="231F20"/>
          <w:spacing w:val="-7"/>
        </w:rPr>
        <w:t> </w:t>
      </w:r>
      <w:r>
        <w:rPr>
          <w:color w:val="231F20"/>
        </w:rPr>
        <w:t>une</w:t>
      </w:r>
      <w:r>
        <w:rPr>
          <w:color w:val="231F20"/>
          <w:spacing w:val="-6"/>
        </w:rPr>
        <w:t> </w:t>
      </w:r>
      <w:r>
        <w:rPr>
          <w:color w:val="231F20"/>
        </w:rPr>
        <w:t>action</w:t>
      </w:r>
      <w:r>
        <w:rPr>
          <w:color w:val="231F20"/>
          <w:spacing w:val="-7"/>
        </w:rPr>
        <w:t> </w:t>
      </w:r>
      <w:r>
        <w:rPr>
          <w:color w:val="231F20"/>
        </w:rPr>
        <w:t>en</w:t>
      </w:r>
      <w:r>
        <w:rPr>
          <w:color w:val="231F20"/>
          <w:spacing w:val="-7"/>
        </w:rPr>
        <w:t> </w:t>
      </w:r>
      <w:r>
        <w:rPr>
          <w:color w:val="231F20"/>
        </w:rPr>
        <w:t>nullité</w:t>
      </w:r>
      <w:r>
        <w:rPr>
          <w:color w:val="231F20"/>
          <w:spacing w:val="-6"/>
        </w:rPr>
        <w:t> </w:t>
      </w:r>
      <w:r>
        <w:rPr>
          <w:color w:val="231F20"/>
        </w:rPr>
        <w:t>est</w:t>
      </w:r>
      <w:r>
        <w:rPr>
          <w:color w:val="231F20"/>
          <w:spacing w:val="-7"/>
        </w:rPr>
        <w:t> </w:t>
      </w:r>
      <w:r>
        <w:rPr>
          <w:color w:val="231F20"/>
        </w:rPr>
        <w:t>intentée, pendant la durée de l’instance jusqu’au moment où il sera statué sur cette</w:t>
      </w:r>
      <w:r>
        <w:rPr>
          <w:color w:val="231F20"/>
          <w:spacing w:val="10"/>
        </w:rPr>
        <w:t> </w:t>
      </w:r>
      <w:r>
        <w:rPr>
          <w:color w:val="231F20"/>
        </w:rPr>
        <w:t>action</w:t>
      </w:r>
      <w:r>
        <w:rPr>
          <w:color w:val="231F20"/>
          <w:spacing w:val="11"/>
        </w:rPr>
        <w:t> </w:t>
      </w:r>
      <w:r>
        <w:rPr>
          <w:color w:val="231F20"/>
        </w:rPr>
        <w:t>en</w:t>
      </w:r>
      <w:r>
        <w:rPr>
          <w:color w:val="231F20"/>
          <w:spacing w:val="11"/>
        </w:rPr>
        <w:t> </w:t>
      </w:r>
      <w:r>
        <w:rPr>
          <w:color w:val="231F20"/>
        </w:rPr>
        <w:t>nullité</w:t>
      </w:r>
      <w:r>
        <w:rPr>
          <w:color w:val="231F20"/>
          <w:spacing w:val="11"/>
        </w:rPr>
        <w:t> </w:t>
      </w:r>
      <w:r>
        <w:rPr>
          <w:color w:val="231F20"/>
        </w:rPr>
        <w:t>par</w:t>
      </w:r>
      <w:r>
        <w:rPr>
          <w:color w:val="231F20"/>
          <w:spacing w:val="11"/>
        </w:rPr>
        <w:t> </w:t>
      </w:r>
      <w:r>
        <w:rPr>
          <w:color w:val="231F20"/>
        </w:rPr>
        <w:t>une</w:t>
      </w:r>
      <w:r>
        <w:rPr>
          <w:color w:val="231F20"/>
          <w:spacing w:val="11"/>
        </w:rPr>
        <w:t> </w:t>
      </w:r>
      <w:r>
        <w:rPr>
          <w:color w:val="231F20"/>
        </w:rPr>
        <w:t>décision</w:t>
      </w:r>
      <w:r>
        <w:rPr>
          <w:color w:val="231F20"/>
          <w:spacing w:val="11"/>
        </w:rPr>
        <w:t> </w:t>
      </w:r>
      <w:r>
        <w:rPr>
          <w:color w:val="231F20"/>
        </w:rPr>
        <w:t>coulée</w:t>
      </w:r>
      <w:r>
        <w:rPr>
          <w:color w:val="231F20"/>
          <w:spacing w:val="11"/>
        </w:rPr>
        <w:t> </w:t>
      </w:r>
      <w:r>
        <w:rPr>
          <w:color w:val="231F20"/>
        </w:rPr>
        <w:t>en</w:t>
      </w:r>
      <w:r>
        <w:rPr>
          <w:color w:val="231F20"/>
          <w:spacing w:val="11"/>
        </w:rPr>
        <w:t> </w:t>
      </w:r>
      <w:r>
        <w:rPr>
          <w:color w:val="231F20"/>
        </w:rPr>
        <w:t>force</w:t>
      </w:r>
      <w:r>
        <w:rPr>
          <w:color w:val="231F20"/>
          <w:spacing w:val="11"/>
        </w:rPr>
        <w:t> </w:t>
      </w:r>
      <w:r>
        <w:rPr>
          <w:color w:val="231F20"/>
        </w:rPr>
        <w:t>de</w:t>
      </w:r>
      <w:r>
        <w:rPr>
          <w:color w:val="231F20"/>
          <w:spacing w:val="11"/>
        </w:rPr>
        <w:t> </w:t>
      </w:r>
      <w:r>
        <w:rPr>
          <w:color w:val="231F20"/>
        </w:rPr>
        <w:t>chose</w:t>
      </w:r>
      <w:r>
        <w:rPr>
          <w:color w:val="231F20"/>
          <w:spacing w:val="11"/>
        </w:rPr>
        <w:t> </w:t>
      </w:r>
      <w:r>
        <w:rPr>
          <w:color w:val="231F20"/>
        </w:rPr>
        <w:t>jugée;</w:t>
      </w:r>
    </w:p>
    <w:p>
      <w:pPr>
        <w:pStyle w:val="BodyText"/>
        <w:ind w:left="0" w:right="0" w:firstLine="0"/>
        <w:jc w:val="left"/>
        <w:rPr>
          <w:sz w:val="20"/>
        </w:rPr>
      </w:pPr>
    </w:p>
    <w:p>
      <w:pPr>
        <w:pStyle w:val="BodyText"/>
        <w:spacing w:before="2"/>
        <w:ind w:left="0" w:right="0" w:firstLine="0"/>
        <w:jc w:val="left"/>
        <w:rPr>
          <w:sz w:val="22"/>
        </w:rPr>
      </w:pPr>
    </w:p>
    <w:p>
      <w:pPr>
        <w:pStyle w:val="BodyText"/>
        <w:spacing w:line="218" w:lineRule="auto" w:before="1"/>
        <w:ind w:right="38"/>
      </w:pPr>
      <w:r>
        <w:rPr>
          <w:color w:val="231F20"/>
        </w:rPr>
        <w:t>2° les associés ou les actionnaires des sociétés dissoutes deviennent associés ou actionnaires des sociétés bénéficiaires, le cas échéant, conformément à la répartition prévue au projet de scission;</w:t>
      </w:r>
    </w:p>
    <w:p>
      <w:pPr>
        <w:pStyle w:val="BodyText"/>
        <w:spacing w:before="8"/>
        <w:ind w:left="0" w:right="0" w:firstLine="0"/>
        <w:jc w:val="left"/>
        <w:rPr>
          <w:sz w:val="26"/>
        </w:rPr>
      </w:pPr>
    </w:p>
    <w:p>
      <w:pPr>
        <w:pStyle w:val="BodyText"/>
        <w:spacing w:line="218" w:lineRule="auto"/>
        <w:ind w:right="38"/>
      </w:pPr>
      <w:r>
        <w:rPr>
          <w:color w:val="231F20"/>
        </w:rPr>
        <w:t>3° l’ensemble du patrimoine, activement et passivement, de chaque société dissoute est transféré aux sociétés bénéficiaires, le cas échéant, conformément à la répartition prévue au projet de scission ou conformément aux articles 12:60 et 12:76.</w:t>
      </w:r>
    </w:p>
    <w:p>
      <w:pPr>
        <w:pStyle w:val="BodyText"/>
        <w:spacing w:before="5"/>
        <w:ind w:left="0" w:right="0" w:firstLine="0"/>
        <w:jc w:val="left"/>
        <w:rPr>
          <w:sz w:val="25"/>
        </w:rPr>
      </w:pPr>
    </w:p>
    <w:p>
      <w:pPr>
        <w:pStyle w:val="BodyText"/>
        <w:spacing w:line="218" w:lineRule="auto"/>
        <w:ind w:right="38"/>
      </w:pPr>
      <w:r>
        <w:rPr>
          <w:color w:val="231F20"/>
        </w:rPr>
        <w:t>L’alinéa 1</w:t>
      </w:r>
      <w:r>
        <w:rPr>
          <w:color w:val="231F20"/>
          <w:position w:val="7"/>
          <w:sz w:val="11"/>
        </w:rPr>
        <w:t>er</w:t>
      </w:r>
      <w:r>
        <w:rPr>
          <w:color w:val="231F20"/>
        </w:rPr>
        <w:t>, 2°, n’est toutefois pas applicable aux opérations assimi- lées à la fusion par absorption ni aux opérations assimilées à la scission en vertu de l’article 12:8, 2°.</w:t>
      </w:r>
    </w:p>
    <w:p>
      <w:pPr>
        <w:pStyle w:val="BodyText"/>
        <w:spacing w:line="218" w:lineRule="auto" w:before="113"/>
        <w:ind w:right="38"/>
      </w:pPr>
      <w:r>
        <w:rPr>
          <w:color w:val="231F20"/>
        </w:rPr>
        <w:t>Par dérogation à l’alinéa 1</w:t>
      </w:r>
      <w:r>
        <w:rPr>
          <w:color w:val="231F20"/>
          <w:position w:val="7"/>
          <w:sz w:val="11"/>
        </w:rPr>
        <w:t>er</w:t>
      </w:r>
      <w:r>
        <w:rPr>
          <w:color w:val="231F20"/>
        </w:rPr>
        <w:t>, 3°, en cas d’opération assimilée à la scission, seule une partie du patrimoine, activement et passivement, de la société scindée est transférée aux sociétés bénéficiaires, conformé- ment à la répartition prévue au projet de scission et dans le respect des articles 12:60 et 12:76.</w:t>
      </w:r>
    </w:p>
    <w:p>
      <w:pPr>
        <w:pStyle w:val="BodyText"/>
        <w:spacing w:before="6"/>
        <w:ind w:left="0" w:right="0" w:firstLine="0"/>
        <w:jc w:val="left"/>
        <w:rPr>
          <w:sz w:val="25"/>
        </w:rPr>
      </w:pPr>
    </w:p>
    <w:p>
      <w:pPr>
        <w:pStyle w:val="BodyText"/>
        <w:spacing w:before="1"/>
        <w:ind w:left="283" w:right="0" w:firstLine="0"/>
        <w:jc w:val="left"/>
      </w:pPr>
      <w:r>
        <w:rPr>
          <w:color w:val="231F20"/>
        </w:rPr>
        <w:t>Section 3. Opposabilité de la fusion ou de la scission.</w:t>
      </w:r>
    </w:p>
    <w:p>
      <w:pPr>
        <w:pStyle w:val="BodyText"/>
        <w:spacing w:line="218" w:lineRule="auto" w:before="124"/>
        <w:ind w:right="39"/>
      </w:pPr>
      <w:r>
        <w:rPr>
          <w:color w:val="231F20"/>
        </w:rPr>
        <w:t>Art. 12:14. La fusion ou la scission n’est opposable aux tiers que conformément à l’article 2:18.</w:t>
      </w:r>
    </w:p>
    <w:p>
      <w:pPr>
        <w:pStyle w:val="BodyText"/>
        <w:spacing w:line="216" w:lineRule="auto" w:before="115"/>
        <w:ind w:right="38"/>
      </w:pPr>
      <w:r>
        <w:rPr>
          <w:color w:val="231F20"/>
        </w:rPr>
        <w:t>Les actes visés par l’article 1</w:t>
      </w:r>
      <w:r>
        <w:rPr>
          <w:color w:val="231F20"/>
          <w:position w:val="7"/>
          <w:sz w:val="11"/>
        </w:rPr>
        <w:t>er  </w:t>
      </w:r>
      <w:r>
        <w:rPr>
          <w:color w:val="231F20"/>
        </w:rPr>
        <w:t>de la loi hypothécaire du 16 décem-  bre 1851 ceux visés par les chapitres II et III du titre 1</w:t>
      </w:r>
      <w:r>
        <w:rPr>
          <w:color w:val="231F20"/>
          <w:position w:val="7"/>
          <w:sz w:val="11"/>
        </w:rPr>
        <w:t>er </w:t>
      </w:r>
      <w:r>
        <w:rPr>
          <w:color w:val="231F20"/>
        </w:rPr>
        <w:t>du livre II du Code de commerce, et l’article 272 du livre II du même code ne sont opposables aux tiers que conformément aux lois spéciales en la</w:t>
      </w:r>
      <w:r>
        <w:rPr>
          <w:color w:val="231F20"/>
          <w:spacing w:val="-8"/>
        </w:rPr>
        <w:t> </w:t>
      </w:r>
      <w:r>
        <w:rPr>
          <w:color w:val="231F20"/>
        </w:rPr>
        <w:t>matiére. Doivent à cet </w:t>
      </w:r>
      <w:r>
        <w:rPr>
          <w:color w:val="231F20"/>
          <w:spacing w:val="-3"/>
        </w:rPr>
        <w:t>effet </w:t>
      </w:r>
      <w:r>
        <w:rPr>
          <w:color w:val="231F20"/>
        </w:rPr>
        <w:t>être soumis aux formalités de transcription ou d’inscription les procès-verbaux des assemblées générales de toutes les sociétés</w:t>
      </w:r>
      <w:r>
        <w:rPr>
          <w:color w:val="231F20"/>
          <w:spacing w:val="15"/>
        </w:rPr>
        <w:t> </w:t>
      </w:r>
      <w:r>
        <w:rPr>
          <w:color w:val="231F20"/>
        </w:rPr>
        <w:t>ayant</w:t>
      </w:r>
      <w:r>
        <w:rPr>
          <w:color w:val="231F20"/>
          <w:spacing w:val="15"/>
        </w:rPr>
        <w:t> </w:t>
      </w:r>
      <w:r>
        <w:rPr>
          <w:color w:val="231F20"/>
        </w:rPr>
        <w:t>décidé</w:t>
      </w:r>
      <w:r>
        <w:rPr>
          <w:color w:val="231F20"/>
          <w:spacing w:val="15"/>
        </w:rPr>
        <w:t> </w:t>
      </w:r>
      <w:r>
        <w:rPr>
          <w:color w:val="231F20"/>
        </w:rPr>
        <w:t>la</w:t>
      </w:r>
      <w:r>
        <w:rPr>
          <w:color w:val="231F20"/>
          <w:spacing w:val="16"/>
        </w:rPr>
        <w:t> </w:t>
      </w:r>
      <w:r>
        <w:rPr>
          <w:color w:val="231F20"/>
        </w:rPr>
        <w:t>fusion</w:t>
      </w:r>
      <w:r>
        <w:rPr>
          <w:color w:val="231F20"/>
          <w:spacing w:val="15"/>
        </w:rPr>
        <w:t> </w:t>
      </w:r>
      <w:r>
        <w:rPr>
          <w:color w:val="231F20"/>
        </w:rPr>
        <w:t>ou</w:t>
      </w:r>
      <w:r>
        <w:rPr>
          <w:color w:val="231F20"/>
          <w:spacing w:val="15"/>
        </w:rPr>
        <w:t> </w:t>
      </w:r>
      <w:r>
        <w:rPr>
          <w:color w:val="231F20"/>
        </w:rPr>
        <w:t>la</w:t>
      </w:r>
      <w:r>
        <w:rPr>
          <w:color w:val="231F20"/>
          <w:spacing w:val="16"/>
        </w:rPr>
        <w:t> </w:t>
      </w:r>
      <w:r>
        <w:rPr>
          <w:color w:val="231F20"/>
        </w:rPr>
        <w:t>scission.</w:t>
      </w:r>
    </w:p>
    <w:p>
      <w:pPr>
        <w:pStyle w:val="BodyText"/>
        <w:spacing w:before="6"/>
        <w:ind w:left="0" w:right="0" w:firstLine="0"/>
        <w:jc w:val="left"/>
        <w:rPr>
          <w:sz w:val="26"/>
        </w:rPr>
      </w:pPr>
    </w:p>
    <w:p>
      <w:pPr>
        <w:pStyle w:val="BodyText"/>
        <w:spacing w:line="218" w:lineRule="auto"/>
        <w:ind w:right="38"/>
      </w:pPr>
      <w:r>
        <w:rPr>
          <w:color w:val="231F20"/>
        </w:rPr>
        <w:t>Le transfert des droits de propriété intellectuelle et industrielle n’est opposable aux tiers que conformément aux conditions prévues par les lois spéciales qui régissent ces opérations.</w:t>
      </w:r>
    </w:p>
    <w:p>
      <w:pPr>
        <w:pStyle w:val="BodyText"/>
        <w:spacing w:before="105"/>
        <w:ind w:left="283" w:right="0" w:firstLine="0"/>
        <w:jc w:val="left"/>
      </w:pPr>
      <w:r>
        <w:rPr/>
        <w:br w:type="column"/>
      </w:r>
      <w:r>
        <w:rPr>
          <w:color w:val="231F20"/>
        </w:rPr>
        <w:t>Afdeling 4. Inbreng van algemeenheid of van bedrijfstak.</w:t>
      </w:r>
    </w:p>
    <w:p>
      <w:pPr>
        <w:pStyle w:val="BodyText"/>
        <w:spacing w:line="218" w:lineRule="auto" w:before="114"/>
        <w:ind w:right="123"/>
      </w:pPr>
      <w:r>
        <w:rPr>
          <w:color w:val="231F20"/>
        </w:rPr>
        <w:t>Art. 12:9. Inbreng van algemeenheid is de rechtshandeling waarbij een vennootschap haar gehele vermogen, zowel de activa als de  passiva, zonder ontbinding overdraagt aan één of meer bestaande of nieuwe vennootschappen tegen een vergoeding die uitsluitend bestaat in</w:t>
      </w:r>
      <w:r>
        <w:rPr>
          <w:color w:val="231F20"/>
          <w:spacing w:val="21"/>
        </w:rPr>
        <w:t> </w:t>
      </w:r>
      <w:r>
        <w:rPr>
          <w:color w:val="231F20"/>
        </w:rPr>
        <w:t>aandelen</w:t>
      </w:r>
      <w:r>
        <w:rPr>
          <w:color w:val="231F20"/>
          <w:spacing w:val="21"/>
        </w:rPr>
        <w:t> </w:t>
      </w:r>
      <w:r>
        <w:rPr>
          <w:color w:val="231F20"/>
        </w:rPr>
        <w:t>van</w:t>
      </w:r>
      <w:r>
        <w:rPr>
          <w:color w:val="231F20"/>
          <w:spacing w:val="21"/>
        </w:rPr>
        <w:t> </w:t>
      </w:r>
      <w:r>
        <w:rPr>
          <w:color w:val="231F20"/>
        </w:rPr>
        <w:t>de</w:t>
      </w:r>
      <w:r>
        <w:rPr>
          <w:color w:val="231F20"/>
          <w:spacing w:val="21"/>
        </w:rPr>
        <w:t> </w:t>
      </w:r>
      <w:r>
        <w:rPr>
          <w:color w:val="231F20"/>
        </w:rPr>
        <w:t>verkrijgende</w:t>
      </w:r>
      <w:r>
        <w:rPr>
          <w:color w:val="231F20"/>
          <w:spacing w:val="21"/>
        </w:rPr>
        <w:t> </w:t>
      </w:r>
      <w:r>
        <w:rPr>
          <w:color w:val="231F20"/>
        </w:rPr>
        <w:t>vennootschap</w:t>
      </w:r>
      <w:r>
        <w:rPr>
          <w:color w:val="231F20"/>
          <w:spacing w:val="21"/>
        </w:rPr>
        <w:t> </w:t>
      </w:r>
      <w:r>
        <w:rPr>
          <w:color w:val="231F20"/>
        </w:rPr>
        <w:t>of</w:t>
      </w:r>
      <w:r>
        <w:rPr>
          <w:color w:val="231F20"/>
          <w:spacing w:val="21"/>
        </w:rPr>
        <w:t> </w:t>
      </w:r>
      <w:r>
        <w:rPr>
          <w:color w:val="231F20"/>
        </w:rPr>
        <w:t>vennootschappen.</w:t>
      </w:r>
    </w:p>
    <w:p>
      <w:pPr>
        <w:pStyle w:val="BodyText"/>
        <w:spacing w:line="218" w:lineRule="auto" w:before="118"/>
      </w:pPr>
      <w:r>
        <w:rPr>
          <w:color w:val="231F20"/>
        </w:rPr>
        <w:t>Art. 12:10. Inbreng van bedrijfstak is de rechtshandeling waarbij een vennootschap, zonder ontbinding, een bedrijfstak evenals de daaraan verbonden activa en passiva overdraagt aan een andere vennootschap tegen een vergoeding die uitsluitend bestaat in aandelen van de verkrijgende vennootschap.</w:t>
      </w:r>
    </w:p>
    <w:p>
      <w:pPr>
        <w:pStyle w:val="BodyText"/>
        <w:spacing w:line="218" w:lineRule="auto" w:before="118"/>
      </w:pPr>
      <w:r>
        <w:rPr>
          <w:color w:val="231F20"/>
        </w:rPr>
        <w:t>Art. 12:11. Een bedrijfstak is een geheel dat op technisch en organisatorisch gebied een autonome activiteit uitoefent en op eigen kracht kan werken.</w:t>
      </w:r>
    </w:p>
    <w:p>
      <w:pPr>
        <w:pStyle w:val="BodyText"/>
        <w:spacing w:line="218" w:lineRule="auto" w:before="117"/>
      </w:pPr>
      <w:r>
        <w:rPr>
          <w:color w:val="231F20"/>
        </w:rPr>
        <w:t>TITEL 2. De regeling inzake fusies, splitsingen en gelijkgestelde verrichtingen.</w:t>
      </w:r>
    </w:p>
    <w:p>
      <w:pPr>
        <w:pStyle w:val="BodyText"/>
        <w:spacing w:before="104"/>
        <w:ind w:left="283" w:right="0" w:firstLine="0"/>
        <w:jc w:val="left"/>
      </w:pPr>
      <w:r>
        <w:rPr>
          <w:color w:val="231F20"/>
        </w:rPr>
        <w:t>HOOFDSTUK 1. Gemeenschappelijke bepalingen.</w:t>
      </w:r>
    </w:p>
    <w:p>
      <w:pPr>
        <w:pStyle w:val="BodyText"/>
        <w:spacing w:line="218" w:lineRule="auto" w:before="114"/>
      </w:pPr>
      <w:r>
        <w:rPr>
          <w:color w:val="231F20"/>
        </w:rPr>
        <w:t>Afdeling 1. Fusie of splitsing van vennootschappen in vereffening of van failliet verklaarde vennootschappen.</w:t>
      </w:r>
    </w:p>
    <w:p>
      <w:pPr>
        <w:pStyle w:val="BodyText"/>
        <w:spacing w:line="218" w:lineRule="auto" w:before="117"/>
      </w:pPr>
      <w:r>
        <w:rPr>
          <w:color w:val="231F20"/>
        </w:rPr>
        <w:t>Art. 12:12. Fusie of splitsing kan ook plaatsvinden wanneer één of meer vennootschappen waarvan het vermogen overgaat, in vereffening zijn of in staat van faillissement verkeren, mits zij nog geen begin hebben gemaakt met de uitkering van hun vermogen aan hun vennoten of aandeelhouders.</w:t>
      </w:r>
    </w:p>
    <w:p>
      <w:pPr>
        <w:pStyle w:val="BodyText"/>
        <w:spacing w:line="218" w:lineRule="auto" w:before="118"/>
      </w:pPr>
      <w:r>
        <w:rPr>
          <w:color w:val="231F20"/>
        </w:rPr>
        <w:t>In dat geval worden alle taken die krachtens deze titel rusten op het bestuursorgaan van de vennootschap die in vereffening is of zich in staat van faillissement bevindt, vervuld door de vereffenaars of door de curatoren.</w:t>
      </w:r>
    </w:p>
    <w:p>
      <w:pPr>
        <w:pStyle w:val="BodyText"/>
        <w:spacing w:before="114"/>
        <w:ind w:left="283" w:right="0" w:firstLine="0"/>
        <w:jc w:val="left"/>
      </w:pPr>
      <w:r>
        <w:rPr>
          <w:color w:val="231F20"/>
        </w:rPr>
        <w:t>Afdeling 2. Rechtsgevolgen van een fusie of een splitsing.</w:t>
      </w:r>
    </w:p>
    <w:p>
      <w:pPr>
        <w:pStyle w:val="BodyText"/>
        <w:spacing w:line="218" w:lineRule="auto" w:before="125"/>
      </w:pPr>
      <w:r>
        <w:rPr>
          <w:color w:val="231F20"/>
        </w:rPr>
        <w:t>Art. 12:13. De fusie of splitsing heeft van rechtswege en gelijktijdig de volgende rechtsgevolgen:</w:t>
      </w:r>
    </w:p>
    <w:p>
      <w:pPr>
        <w:pStyle w:val="BodyText"/>
        <w:spacing w:line="218" w:lineRule="auto" w:before="128"/>
      </w:pPr>
      <w:r>
        <w:rPr>
          <w:color w:val="231F20"/>
        </w:rPr>
        <w:t>1° in afwijking van artikel 2:76, eerste lid, houden de ontbonden vennootschappen op te bestaan; evenwel worden voor de toepassing van de artikelen 2:44, 12:19 en 12:20 de ontbonden vennootschappen geacht te bestaan gedurende de in artikel 2:137, § 4, bepaalde termijn van zes maanden en, als een vordering tot nietigverklaring wordt ingesteld, voor de duur van het geding tot op het ogenblik waarop over die vordering tot nietigverklaring uitspraak is gedaan bij een in kracht van gewijsde gegane</w:t>
      </w:r>
      <w:r>
        <w:rPr>
          <w:color w:val="231F20"/>
          <w:spacing w:val="5"/>
        </w:rPr>
        <w:t> </w:t>
      </w:r>
      <w:r>
        <w:rPr>
          <w:color w:val="231F20"/>
        </w:rPr>
        <w:t>beslissing;</w:t>
      </w:r>
    </w:p>
    <w:p>
      <w:pPr>
        <w:pStyle w:val="BodyText"/>
        <w:spacing w:line="218" w:lineRule="auto" w:before="128"/>
      </w:pPr>
      <w:r>
        <w:rPr>
          <w:color w:val="231F20"/>
        </w:rPr>
        <w:t>2° de vennoten of aandeelhouders van de ontbonden vennootschap- pen worden vennoten of aandeelhouders van de verkrijgende vennoot- schappen, in voorkomend geval, overeenkomstig de in het splitsings- voorstel vermelde verdeling;</w:t>
      </w:r>
    </w:p>
    <w:p>
      <w:pPr>
        <w:pStyle w:val="BodyText"/>
        <w:spacing w:line="218" w:lineRule="auto" w:before="129"/>
      </w:pPr>
      <w:r>
        <w:rPr>
          <w:color w:val="231F20"/>
        </w:rPr>
        <w:t>3° het gehele vermogen van iedere ontbonden vennootschap, zowel de rechten als de verplichtingen, gaat over op de verkrijgende vennootschappen, in voorkomend geval, overeenkomstig de verdeling volgens het splitsingsvoorstel of overeenkomstig de artikelen 12:60 en 12:76.</w:t>
      </w:r>
    </w:p>
    <w:p>
      <w:pPr>
        <w:pStyle w:val="BodyText"/>
        <w:spacing w:line="218" w:lineRule="auto" w:before="128"/>
      </w:pPr>
      <w:r>
        <w:rPr>
          <w:color w:val="231F20"/>
        </w:rPr>
        <w:t>Het eerste lid, 2°, is echter niet van toepassing bij met fusie door overneming gelijkgestelde verrichtingen en evenmin bij met splitsing gelijkgestelde verrichtingen overeenkomstig artikel 12:8, 2°.</w:t>
      </w:r>
    </w:p>
    <w:p>
      <w:pPr>
        <w:pStyle w:val="BodyText"/>
        <w:spacing w:line="218" w:lineRule="auto" w:before="128"/>
        <w:ind w:right="123"/>
      </w:pPr>
      <w:r>
        <w:rPr>
          <w:color w:val="231F20"/>
        </w:rPr>
        <w:t>In afwijking van het eerste lid, 3°, gaat in geval van een met splitsing gelijkgestelde verrichting slechts een deel van het vermogen van</w:t>
      </w:r>
      <w:r>
        <w:rPr>
          <w:color w:val="231F20"/>
          <w:spacing w:val="30"/>
        </w:rPr>
        <w:t> </w:t>
      </w:r>
      <w:r>
        <w:rPr>
          <w:color w:val="231F20"/>
        </w:rPr>
        <w:t>de gesplitste vennootschap, zowel de rechten als de verplichtingen, over  op de verkrijgende vennootschappen, overeenkomstig de verdeling volgens het splitsingsvoorstel en met  inachtneming  van  de  artike-  len 12:60 en</w:t>
      </w:r>
      <w:r>
        <w:rPr>
          <w:color w:val="231F20"/>
          <w:spacing w:val="1"/>
        </w:rPr>
        <w:t> </w:t>
      </w:r>
      <w:r>
        <w:rPr>
          <w:color w:val="231F20"/>
        </w:rPr>
        <w:t>12:76.</w:t>
      </w:r>
    </w:p>
    <w:p>
      <w:pPr>
        <w:pStyle w:val="BodyText"/>
        <w:spacing w:before="114"/>
        <w:ind w:left="283" w:right="0" w:firstLine="0"/>
        <w:jc w:val="left"/>
      </w:pPr>
      <w:r>
        <w:rPr>
          <w:color w:val="231F20"/>
        </w:rPr>
        <w:t>Afdeling 3. Tegenwerpelijkheid van de fusie of splitsing.</w:t>
      </w:r>
    </w:p>
    <w:p>
      <w:pPr>
        <w:pStyle w:val="BodyText"/>
        <w:spacing w:line="218" w:lineRule="auto" w:before="125"/>
      </w:pPr>
      <w:r>
        <w:rPr>
          <w:color w:val="231F20"/>
        </w:rPr>
        <w:t>Art. 12:14. De fusie of splitsing kan aan derden slechts worden tegengeworpen overeenkomstig artikel 2:18.</w:t>
      </w:r>
    </w:p>
    <w:p>
      <w:pPr>
        <w:pStyle w:val="BodyText"/>
        <w:spacing w:line="218" w:lineRule="auto" w:before="128"/>
        <w:ind w:right="123"/>
      </w:pPr>
      <w:r>
        <w:rPr>
          <w:color w:val="231F20"/>
        </w:rPr>
        <w:t>De akten bedoeld in artikel 1 van de hypotheekwet van 16 decem-   ber 1851 en de akten bedoeld in de hoofdstukken II en III van titel I, boek II, van het </w:t>
      </w:r>
      <w:r>
        <w:rPr>
          <w:color w:val="231F20"/>
          <w:spacing w:val="-3"/>
        </w:rPr>
        <w:t>Wetboek </w:t>
      </w:r>
      <w:r>
        <w:rPr>
          <w:color w:val="231F20"/>
        </w:rPr>
        <w:t>van koophandel en in artikel 272 van boek II van hetzelfde wetboek, kunnen aan derden slechts worden</w:t>
      </w:r>
      <w:r>
        <w:rPr>
          <w:color w:val="231F20"/>
          <w:spacing w:val="28"/>
        </w:rPr>
        <w:t> </w:t>
      </w:r>
      <w:r>
        <w:rPr>
          <w:color w:val="231F20"/>
        </w:rPr>
        <w:t>tegenge- worpen overeenkomstig de bijzondere wetten ter zake. Daartoe moeten de notulen van de algemene vergaderingen van alle vennootschappen die tot de fusie of splitsing hebben besloten, worden overgeschreven of ingeschreven.</w:t>
      </w:r>
    </w:p>
    <w:p>
      <w:pPr>
        <w:pStyle w:val="BodyText"/>
        <w:spacing w:line="218" w:lineRule="auto" w:before="129"/>
      </w:pPr>
      <w:r>
        <w:rPr>
          <w:color w:val="231F20"/>
        </w:rPr>
        <w:t>De overdracht van rechten van intellectuele en industriële eigendom kunnen aan derden slechts worden tegengeworpen overeenkomstig de voorwaarden bepaald bij bijzondere wetten die deze verrichtingen beheersen.</w:t>
      </w:r>
    </w:p>
    <w:p>
      <w:pPr>
        <w:spacing w:after="0" w:line="218" w:lineRule="auto"/>
        <w:sectPr>
          <w:headerReference w:type="even" r:id="rId97"/>
          <w:headerReference w:type="default" r:id="rId98"/>
          <w:pgSz w:w="11940" w:h="16880"/>
          <w:pgMar w:header="666" w:footer="0" w:top="1140" w:bottom="280" w:left="340" w:right="360"/>
          <w:pgNumType w:start="33462"/>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6400" from="298.170502pt,64.473pt" to="298.170502pt,812.819pt" stroked="true" strokeweight=".533pt" strokecolor="#231f20">
            <v:stroke dashstyle="solid"/>
            <w10:wrap type="none"/>
          </v:line>
        </w:pict>
      </w:r>
      <w:bookmarkStart w:name="_bookmark224" w:id="230"/>
      <w:bookmarkEnd w:id="230"/>
      <w:r>
        <w:rPr/>
      </w:r>
      <w:r>
        <w:rPr>
          <w:color w:val="231F20"/>
        </w:rPr>
        <w:t>Section 4. Fixation de sûretés.</w:t>
      </w:r>
    </w:p>
    <w:p>
      <w:pPr>
        <w:pStyle w:val="BodyText"/>
        <w:spacing w:line="218" w:lineRule="auto" w:before="67"/>
        <w:ind w:right="38"/>
      </w:pPr>
      <w:r>
        <w:rPr>
          <w:color w:val="231F20"/>
        </w:rPr>
        <w:t>Art. 12:15. § 1</w:t>
      </w:r>
      <w:r>
        <w:rPr>
          <w:color w:val="231F20"/>
          <w:position w:val="7"/>
          <w:sz w:val="11"/>
        </w:rPr>
        <w:t>er</w:t>
      </w:r>
      <w:r>
        <w:rPr>
          <w:color w:val="231F20"/>
        </w:rPr>
        <w:t>. Au plus tard dans les deux mois de la publication aux Annexes du </w:t>
      </w:r>
      <w:r>
        <w:rPr>
          <w:rFonts w:ascii="Times New Roman" w:hAnsi="Times New Roman"/>
          <w:i/>
          <w:color w:val="231F20"/>
        </w:rPr>
        <w:t>Moniteur belge </w:t>
      </w:r>
      <w:r>
        <w:rPr>
          <w:color w:val="231F20"/>
        </w:rPr>
        <w:t>des actes constatant la fusion ou la scission, les créanciers de chacune des sociétés qui participent à la fusion ou à la scission, dont la créance est certaine avant cette publication mais n’est pas encore exigible ou dont la créance a fait l’objet d’une action introduite en justice ou par voie d’arbitrage avant l’acte constatant la fusion ou la scission, peuvent exiger une sûreté, nonobstant toute disposition contraire.</w:t>
      </w:r>
    </w:p>
    <w:p>
      <w:pPr>
        <w:pStyle w:val="BodyText"/>
        <w:spacing w:before="9"/>
        <w:ind w:left="0" w:right="0" w:firstLine="0"/>
        <w:jc w:val="left"/>
        <w:rPr>
          <w:sz w:val="22"/>
        </w:rPr>
      </w:pPr>
    </w:p>
    <w:p>
      <w:pPr>
        <w:pStyle w:val="BodyText"/>
        <w:spacing w:line="218" w:lineRule="auto"/>
        <w:ind w:right="38"/>
      </w:pPr>
      <w:r>
        <w:rPr>
          <w:color w:val="231F20"/>
        </w:rPr>
        <w:t>La société bénéficiaire à laquelle cette obligation a été transférée et,</w:t>
      </w:r>
      <w:r>
        <w:rPr>
          <w:color w:val="231F20"/>
          <w:spacing w:val="-15"/>
        </w:rPr>
        <w:t> </w:t>
      </w:r>
      <w:r>
        <w:rPr>
          <w:color w:val="231F20"/>
        </w:rPr>
        <w:t>le cas échéant, la société dissoute peuvent chacune écarter cette demande en</w:t>
      </w:r>
      <w:r>
        <w:rPr>
          <w:color w:val="231F20"/>
          <w:spacing w:val="16"/>
        </w:rPr>
        <w:t> </w:t>
      </w:r>
      <w:r>
        <w:rPr>
          <w:color w:val="231F20"/>
        </w:rPr>
        <w:t>payant</w:t>
      </w:r>
      <w:r>
        <w:rPr>
          <w:color w:val="231F20"/>
          <w:spacing w:val="16"/>
        </w:rPr>
        <w:t> </w:t>
      </w:r>
      <w:r>
        <w:rPr>
          <w:color w:val="231F20"/>
        </w:rPr>
        <w:t>la</w:t>
      </w:r>
      <w:r>
        <w:rPr>
          <w:color w:val="231F20"/>
          <w:spacing w:val="16"/>
        </w:rPr>
        <w:t> </w:t>
      </w:r>
      <w:r>
        <w:rPr>
          <w:color w:val="231F20"/>
        </w:rPr>
        <w:t>créance</w:t>
      </w:r>
      <w:r>
        <w:rPr>
          <w:color w:val="231F20"/>
          <w:spacing w:val="17"/>
        </w:rPr>
        <w:t> </w:t>
      </w:r>
      <w:r>
        <w:rPr>
          <w:color w:val="231F20"/>
        </w:rPr>
        <w:t>à</w:t>
      </w:r>
      <w:r>
        <w:rPr>
          <w:color w:val="231F20"/>
          <w:spacing w:val="16"/>
        </w:rPr>
        <w:t> </w:t>
      </w:r>
      <w:r>
        <w:rPr>
          <w:color w:val="231F20"/>
        </w:rPr>
        <w:t>sa</w:t>
      </w:r>
      <w:r>
        <w:rPr>
          <w:color w:val="231F20"/>
          <w:spacing w:val="16"/>
        </w:rPr>
        <w:t> </w:t>
      </w:r>
      <w:r>
        <w:rPr>
          <w:color w:val="231F20"/>
        </w:rPr>
        <w:t>valeur,</w:t>
      </w:r>
      <w:r>
        <w:rPr>
          <w:color w:val="231F20"/>
          <w:spacing w:val="17"/>
        </w:rPr>
        <w:t> </w:t>
      </w:r>
      <w:r>
        <w:rPr>
          <w:color w:val="231F20"/>
        </w:rPr>
        <w:t>après</w:t>
      </w:r>
      <w:r>
        <w:rPr>
          <w:color w:val="231F20"/>
          <w:spacing w:val="16"/>
        </w:rPr>
        <w:t> </w:t>
      </w:r>
      <w:r>
        <w:rPr>
          <w:color w:val="231F20"/>
        </w:rPr>
        <w:t>déduction</w:t>
      </w:r>
      <w:r>
        <w:rPr>
          <w:color w:val="231F20"/>
          <w:spacing w:val="16"/>
        </w:rPr>
        <w:t> </w:t>
      </w:r>
      <w:r>
        <w:rPr>
          <w:color w:val="231F20"/>
        </w:rPr>
        <w:t>de</w:t>
      </w:r>
      <w:r>
        <w:rPr>
          <w:color w:val="231F20"/>
          <w:spacing w:val="16"/>
        </w:rPr>
        <w:t> </w:t>
      </w:r>
      <w:r>
        <w:rPr>
          <w:color w:val="231F20"/>
        </w:rPr>
        <w:t>l’escompte.</w:t>
      </w:r>
    </w:p>
    <w:p>
      <w:pPr>
        <w:pStyle w:val="BodyText"/>
        <w:ind w:left="0" w:right="0" w:firstLine="0"/>
        <w:jc w:val="left"/>
        <w:rPr>
          <w:sz w:val="23"/>
        </w:rPr>
      </w:pPr>
    </w:p>
    <w:p>
      <w:pPr>
        <w:pStyle w:val="BodyText"/>
        <w:spacing w:line="218" w:lineRule="auto"/>
        <w:ind w:right="38"/>
      </w:pPr>
      <w:r>
        <w:rPr>
          <w:color w:val="231F20"/>
        </w:rPr>
        <w:t>À défaut d’accord ou si le créancier n’a pas obtenu satisfaction, la partie la plus diligente soumet la contestation au président du tribunal de l’entreprise du siège de la société débitrice, siégeant en référé.</w:t>
      </w:r>
    </w:p>
    <w:p>
      <w:pPr>
        <w:pStyle w:val="BodyText"/>
        <w:ind w:left="0" w:right="0" w:firstLine="0"/>
        <w:jc w:val="left"/>
        <w:rPr>
          <w:sz w:val="23"/>
        </w:rPr>
      </w:pPr>
    </w:p>
    <w:p>
      <w:pPr>
        <w:pStyle w:val="BodyText"/>
        <w:spacing w:line="218" w:lineRule="auto"/>
        <w:ind w:right="38"/>
      </w:pPr>
      <w:r>
        <w:rPr>
          <w:color w:val="231F20"/>
          <w:spacing w:val="-4"/>
        </w:rPr>
        <w:t>Tous </w:t>
      </w:r>
      <w:r>
        <w:rPr>
          <w:color w:val="231F20"/>
        </w:rPr>
        <w:t>droits saufs au fond, le président détermine la sûreté à fournir par</w:t>
      </w:r>
      <w:r>
        <w:rPr>
          <w:color w:val="231F20"/>
          <w:spacing w:val="-5"/>
        </w:rPr>
        <w:t> </w:t>
      </w:r>
      <w:r>
        <w:rPr>
          <w:color w:val="231F20"/>
        </w:rPr>
        <w:t>la</w:t>
      </w:r>
      <w:r>
        <w:rPr>
          <w:color w:val="231F20"/>
          <w:spacing w:val="-4"/>
        </w:rPr>
        <w:t> </w:t>
      </w:r>
      <w:r>
        <w:rPr>
          <w:color w:val="231F20"/>
        </w:rPr>
        <w:t>société</w:t>
      </w:r>
      <w:r>
        <w:rPr>
          <w:color w:val="231F20"/>
          <w:spacing w:val="-4"/>
        </w:rPr>
        <w:t> </w:t>
      </w:r>
      <w:r>
        <w:rPr>
          <w:color w:val="231F20"/>
        </w:rPr>
        <w:t>et</w:t>
      </w:r>
      <w:r>
        <w:rPr>
          <w:color w:val="231F20"/>
          <w:spacing w:val="-5"/>
        </w:rPr>
        <w:t> </w:t>
      </w:r>
      <w:r>
        <w:rPr>
          <w:color w:val="231F20"/>
        </w:rPr>
        <w:t>fixe</w:t>
      </w:r>
      <w:r>
        <w:rPr>
          <w:color w:val="231F20"/>
          <w:spacing w:val="-4"/>
        </w:rPr>
        <w:t> </w:t>
      </w:r>
      <w:r>
        <w:rPr>
          <w:color w:val="231F20"/>
        </w:rPr>
        <w:t>le</w:t>
      </w:r>
      <w:r>
        <w:rPr>
          <w:color w:val="231F20"/>
          <w:spacing w:val="-4"/>
        </w:rPr>
        <w:t> </w:t>
      </w:r>
      <w:r>
        <w:rPr>
          <w:color w:val="231F20"/>
        </w:rPr>
        <w:t>délai</w:t>
      </w:r>
      <w:r>
        <w:rPr>
          <w:color w:val="231F20"/>
          <w:spacing w:val="-5"/>
        </w:rPr>
        <w:t> </w:t>
      </w:r>
      <w:r>
        <w:rPr>
          <w:color w:val="231F20"/>
        </w:rPr>
        <w:t>dans</w:t>
      </w:r>
      <w:r>
        <w:rPr>
          <w:color w:val="231F20"/>
          <w:spacing w:val="-4"/>
        </w:rPr>
        <w:t> </w:t>
      </w:r>
      <w:r>
        <w:rPr>
          <w:color w:val="231F20"/>
        </w:rPr>
        <w:t>lequel</w:t>
      </w:r>
      <w:r>
        <w:rPr>
          <w:color w:val="231F20"/>
          <w:spacing w:val="-5"/>
        </w:rPr>
        <w:t> </w:t>
      </w:r>
      <w:r>
        <w:rPr>
          <w:color w:val="231F20"/>
        </w:rPr>
        <w:t>elle</w:t>
      </w:r>
      <w:r>
        <w:rPr>
          <w:color w:val="231F20"/>
          <w:spacing w:val="-4"/>
        </w:rPr>
        <w:t> </w:t>
      </w:r>
      <w:r>
        <w:rPr>
          <w:color w:val="231F20"/>
        </w:rPr>
        <w:t>doit</w:t>
      </w:r>
      <w:r>
        <w:rPr>
          <w:color w:val="231F20"/>
          <w:spacing w:val="-4"/>
        </w:rPr>
        <w:t> </w:t>
      </w:r>
      <w:r>
        <w:rPr>
          <w:color w:val="231F20"/>
        </w:rPr>
        <w:t>être</w:t>
      </w:r>
      <w:r>
        <w:rPr>
          <w:color w:val="231F20"/>
          <w:spacing w:val="-5"/>
        </w:rPr>
        <w:t> </w:t>
      </w:r>
      <w:r>
        <w:rPr>
          <w:color w:val="231F20"/>
        </w:rPr>
        <w:t>constituée,</w:t>
      </w:r>
      <w:r>
        <w:rPr>
          <w:color w:val="231F20"/>
          <w:spacing w:val="-4"/>
        </w:rPr>
        <w:t> </w:t>
      </w:r>
      <w:r>
        <w:rPr>
          <w:color w:val="231F20"/>
        </w:rPr>
        <w:t>à</w:t>
      </w:r>
      <w:r>
        <w:rPr>
          <w:color w:val="231F20"/>
          <w:spacing w:val="-4"/>
        </w:rPr>
        <w:t> </w:t>
      </w:r>
      <w:r>
        <w:rPr>
          <w:color w:val="231F20"/>
        </w:rPr>
        <w:t>moins qu’il ne décide qu’aucune sûreté ne doit être fournie, eu égard soit aux garanties et privilèges dont jouit le créancier, soit à la solvabilité de la société</w:t>
      </w:r>
      <w:r>
        <w:rPr>
          <w:color w:val="231F20"/>
          <w:spacing w:val="14"/>
        </w:rPr>
        <w:t> </w:t>
      </w:r>
      <w:r>
        <w:rPr>
          <w:color w:val="231F20"/>
        </w:rPr>
        <w:t>bénéficiaire.</w:t>
      </w:r>
    </w:p>
    <w:p>
      <w:pPr>
        <w:pStyle w:val="BodyText"/>
        <w:spacing w:line="218" w:lineRule="auto" w:before="86"/>
        <w:ind w:right="38"/>
      </w:pPr>
      <w:r>
        <w:rPr>
          <w:color w:val="231F20"/>
        </w:rPr>
        <w:t>Si la sûreté n’est pas fournie dans le délai fixé, la créance devient immédiatement exigible et, dans le cas d’une scission, les sociétés bénéficiaires sont tenues solidairement de cette obligation.</w:t>
      </w:r>
    </w:p>
    <w:p>
      <w:pPr>
        <w:pStyle w:val="BodyText"/>
        <w:spacing w:before="7"/>
        <w:ind w:left="0" w:right="0" w:firstLine="0"/>
        <w:jc w:val="left"/>
        <w:rPr>
          <w:sz w:val="21"/>
        </w:rPr>
      </w:pPr>
    </w:p>
    <w:p>
      <w:pPr>
        <w:pStyle w:val="BodyText"/>
        <w:spacing w:line="218" w:lineRule="auto"/>
        <w:ind w:right="38"/>
      </w:pPr>
      <w:r>
        <w:rPr>
          <w:color w:val="231F20"/>
        </w:rPr>
        <w:t>§ 2. Le paragraphe 1</w:t>
      </w:r>
      <w:r>
        <w:rPr>
          <w:color w:val="231F20"/>
          <w:position w:val="7"/>
          <w:sz w:val="11"/>
        </w:rPr>
        <w:t>er </w:t>
      </w:r>
      <w:r>
        <w:rPr>
          <w:color w:val="231F20"/>
        </w:rPr>
        <w:t>n’est pas applicable aux fusions d’institutions financières soumises au contrôle de la Banque nationale de Belgique ou de la Banque centrale européenne.</w:t>
      </w:r>
    </w:p>
    <w:p>
      <w:pPr>
        <w:pStyle w:val="BodyText"/>
        <w:spacing w:line="213" w:lineRule="auto" w:before="89"/>
        <w:ind w:right="38"/>
      </w:pPr>
      <w:r>
        <w:rPr>
          <w:color w:val="231F20"/>
        </w:rPr>
        <w:t>§ 3. En cas d’opération assimilée à une scission, la société scindée est considérée comme une société bénéficiaire pour l’application du paragraphe 1</w:t>
      </w:r>
      <w:r>
        <w:rPr>
          <w:color w:val="231F20"/>
          <w:position w:val="7"/>
          <w:sz w:val="11"/>
        </w:rPr>
        <w:t>er </w:t>
      </w:r>
      <w:r>
        <w:rPr>
          <w:color w:val="231F20"/>
        </w:rPr>
        <w:t>si l’obligation visée par cette disposition grève encore son</w:t>
      </w:r>
      <w:r>
        <w:rPr>
          <w:color w:val="231F20"/>
          <w:spacing w:val="14"/>
        </w:rPr>
        <w:t> </w:t>
      </w:r>
      <w:r>
        <w:rPr>
          <w:color w:val="231F20"/>
        </w:rPr>
        <w:t>patrimoine.</w:t>
      </w:r>
    </w:p>
    <w:p>
      <w:pPr>
        <w:pStyle w:val="BodyText"/>
        <w:spacing w:before="69"/>
        <w:ind w:left="283" w:right="0" w:firstLine="0"/>
        <w:jc w:val="left"/>
      </w:pPr>
      <w:r>
        <w:rPr>
          <w:color w:val="231F20"/>
        </w:rPr>
        <w:t>Section 5. Responsabilité.</w:t>
      </w:r>
    </w:p>
    <w:p>
      <w:pPr>
        <w:pStyle w:val="BodyText"/>
        <w:spacing w:line="218" w:lineRule="auto" w:before="67"/>
        <w:ind w:right="38"/>
      </w:pPr>
      <w:r>
        <w:rPr>
          <w:color w:val="231F20"/>
        </w:rPr>
        <w:t>Art. 12:16. § 1</w:t>
      </w:r>
      <w:r>
        <w:rPr>
          <w:color w:val="231F20"/>
          <w:position w:val="7"/>
          <w:sz w:val="11"/>
        </w:rPr>
        <w:t>er</w:t>
      </w:r>
      <w:r>
        <w:rPr>
          <w:color w:val="231F20"/>
        </w:rPr>
        <w:t>. Si la société dissoute est une société en nom collectif ou une société en commandite, les associés en nom collectif et les associés commandités restent tenus solidairement et indéfiniment à l’égard des tiers, des engagements de la société dissoute antérieurs à l’opposabilité aux tiers de l’acte de fusion ou de scission conformément à l’article 2:18.</w:t>
      </w:r>
    </w:p>
    <w:p>
      <w:pPr>
        <w:pStyle w:val="BodyText"/>
        <w:ind w:left="0" w:right="0" w:firstLine="0"/>
        <w:jc w:val="left"/>
        <w:rPr>
          <w:sz w:val="23"/>
        </w:rPr>
      </w:pPr>
    </w:p>
    <w:p>
      <w:pPr>
        <w:pStyle w:val="BodyText"/>
        <w:spacing w:line="218" w:lineRule="auto"/>
        <w:ind w:right="38"/>
      </w:pPr>
      <w:r>
        <w:rPr>
          <w:color w:val="231F20"/>
        </w:rPr>
        <w:t>§ 2. Si la société bénéficiaire est une société en nom collectif ou une société en commandite, les associés en nom collectif et les</w:t>
      </w:r>
      <w:r>
        <w:rPr>
          <w:color w:val="231F20"/>
          <w:spacing w:val="24"/>
        </w:rPr>
        <w:t> </w:t>
      </w:r>
      <w:r>
        <w:rPr>
          <w:color w:val="231F20"/>
        </w:rPr>
        <w:t>associés commandités répondent solidairement et indéfiniment à l’égard</w:t>
      </w:r>
      <w:r>
        <w:rPr>
          <w:color w:val="231F20"/>
          <w:spacing w:val="29"/>
        </w:rPr>
        <w:t> </w:t>
      </w:r>
      <w:r>
        <w:rPr>
          <w:color w:val="231F20"/>
        </w:rPr>
        <w:t>des tiers, des engagements de la société dissoute antérieurs, selon le cas, à la fusion ou à la scission et qui, dans ce dernier cas, ont été transmis à la société bénéficiaire conformément au projet de scission et aux articles</w:t>
      </w:r>
      <w:r>
        <w:rPr>
          <w:color w:val="231F20"/>
          <w:spacing w:val="12"/>
        </w:rPr>
        <w:t> </w:t>
      </w:r>
      <w:r>
        <w:rPr>
          <w:color w:val="231F20"/>
        </w:rPr>
        <w:t>12:60,</w:t>
      </w:r>
      <w:r>
        <w:rPr>
          <w:color w:val="231F20"/>
          <w:spacing w:val="13"/>
        </w:rPr>
        <w:t> </w:t>
      </w:r>
      <w:r>
        <w:rPr>
          <w:color w:val="231F20"/>
        </w:rPr>
        <w:t>alinéa</w:t>
      </w:r>
      <w:r>
        <w:rPr>
          <w:color w:val="231F20"/>
          <w:spacing w:val="13"/>
        </w:rPr>
        <w:t> </w:t>
      </w:r>
      <w:r>
        <w:rPr>
          <w:color w:val="231F20"/>
        </w:rPr>
        <w:t>2,</w:t>
      </w:r>
      <w:r>
        <w:rPr>
          <w:color w:val="231F20"/>
          <w:spacing w:val="13"/>
        </w:rPr>
        <w:t> </w:t>
      </w:r>
      <w:r>
        <w:rPr>
          <w:color w:val="231F20"/>
        </w:rPr>
        <w:t>et</w:t>
      </w:r>
      <w:r>
        <w:rPr>
          <w:color w:val="231F20"/>
          <w:spacing w:val="12"/>
        </w:rPr>
        <w:t> </w:t>
      </w:r>
      <w:r>
        <w:rPr>
          <w:color w:val="231F20"/>
        </w:rPr>
        <w:t>12:76,</w:t>
      </w:r>
      <w:r>
        <w:rPr>
          <w:color w:val="231F20"/>
          <w:spacing w:val="13"/>
        </w:rPr>
        <w:t> </w:t>
      </w:r>
      <w:r>
        <w:rPr>
          <w:color w:val="231F20"/>
        </w:rPr>
        <w:t>alinéa</w:t>
      </w:r>
      <w:r>
        <w:rPr>
          <w:color w:val="231F20"/>
          <w:spacing w:val="13"/>
        </w:rPr>
        <w:t> </w:t>
      </w:r>
      <w:r>
        <w:rPr>
          <w:color w:val="231F20"/>
        </w:rPr>
        <w:t>2.</w:t>
      </w:r>
    </w:p>
    <w:p>
      <w:pPr>
        <w:pStyle w:val="BodyText"/>
        <w:ind w:left="0" w:right="0" w:firstLine="0"/>
        <w:jc w:val="left"/>
        <w:rPr>
          <w:sz w:val="23"/>
        </w:rPr>
      </w:pPr>
    </w:p>
    <w:p>
      <w:pPr>
        <w:pStyle w:val="BodyText"/>
        <w:spacing w:line="218" w:lineRule="auto" w:before="1"/>
        <w:ind w:right="38"/>
      </w:pPr>
      <w:r>
        <w:rPr>
          <w:color w:val="231F20"/>
        </w:rPr>
        <w:t>Ils peuvent cependant être exonérés de cette responsabilité par une disposition expresse insérée dans le projet et l’acte de fusion ou de scission, opposable aux tiers conformément à l’article 2:18.</w:t>
      </w:r>
    </w:p>
    <w:p>
      <w:pPr>
        <w:pStyle w:val="BodyText"/>
        <w:spacing w:before="11"/>
        <w:ind w:left="0" w:right="0" w:firstLine="0"/>
        <w:jc w:val="left"/>
        <w:rPr>
          <w:sz w:val="22"/>
        </w:rPr>
      </w:pPr>
    </w:p>
    <w:p>
      <w:pPr>
        <w:pStyle w:val="BodyText"/>
        <w:spacing w:line="218" w:lineRule="auto"/>
        <w:ind w:right="38"/>
      </w:pPr>
      <w:r>
        <w:rPr>
          <w:color w:val="231F20"/>
        </w:rPr>
        <w:t>Art. 12:17. En cas de scission, les sociétés bénéficiaires demeurent solidairement tenues des dettes certaines et exigibles au jour de la publication aux Annexes du </w:t>
      </w:r>
      <w:r>
        <w:rPr>
          <w:rFonts w:ascii="Times New Roman" w:hAnsi="Times New Roman"/>
          <w:i/>
          <w:color w:val="231F20"/>
        </w:rPr>
        <w:t>Moniteur belge </w:t>
      </w:r>
      <w:r>
        <w:rPr>
          <w:color w:val="231F20"/>
        </w:rPr>
        <w:t>des actes constatant la décision de participation à une opération de scission, qui sont transférées à une autre société issue de la scission ainsi que des dettes pour lesquelles une action a été introduite en justice ou par voie d’arbitrage par le créancier avant l’acte constatant la scission. La responsabilité précitée est limitée à l’actif net attribué à chacune de ces sociétés.</w:t>
      </w:r>
    </w:p>
    <w:p>
      <w:pPr>
        <w:pStyle w:val="BodyText"/>
        <w:spacing w:before="1"/>
        <w:ind w:left="0" w:right="0" w:firstLine="0"/>
        <w:jc w:val="left"/>
        <w:rPr>
          <w:sz w:val="23"/>
        </w:rPr>
      </w:pPr>
    </w:p>
    <w:p>
      <w:pPr>
        <w:pStyle w:val="BodyText"/>
        <w:spacing w:line="213" w:lineRule="auto"/>
        <w:ind w:right="38"/>
      </w:pPr>
      <w:r>
        <w:rPr>
          <w:color w:val="231F20"/>
        </w:rPr>
        <w:t>En cas d’opération assimilée à une scission, la société scindée est considérée comme une société bénéficiaire pour l’application  de l’alinéa 1</w:t>
      </w:r>
      <w:r>
        <w:rPr>
          <w:color w:val="231F20"/>
          <w:position w:val="7"/>
          <w:sz w:val="11"/>
        </w:rPr>
        <w:t>er</w:t>
      </w:r>
      <w:r>
        <w:rPr>
          <w:color w:val="231F20"/>
        </w:rPr>
        <w:t>, la responsabilité de la société scindée étant limitée à l’actif net conservé par</w:t>
      </w:r>
      <w:r>
        <w:rPr>
          <w:color w:val="231F20"/>
          <w:spacing w:val="4"/>
        </w:rPr>
        <w:t> </w:t>
      </w:r>
      <w:r>
        <w:rPr>
          <w:color w:val="231F20"/>
        </w:rPr>
        <w:t>elle.</w:t>
      </w:r>
    </w:p>
    <w:p>
      <w:pPr>
        <w:pStyle w:val="BodyText"/>
        <w:spacing w:line="218" w:lineRule="auto" w:before="83"/>
        <w:ind w:right="38"/>
      </w:pPr>
      <w:r>
        <w:rPr>
          <w:color w:val="231F20"/>
        </w:rPr>
        <w:t>Art. 12:18. Chaque associé ou actionnaire de la société dissoute peut exercer</w:t>
      </w:r>
      <w:r>
        <w:rPr>
          <w:color w:val="231F20"/>
          <w:spacing w:val="-4"/>
        </w:rPr>
        <w:t> </w:t>
      </w:r>
      <w:r>
        <w:rPr>
          <w:color w:val="231F20"/>
        </w:rPr>
        <w:t>contre</w:t>
      </w:r>
      <w:r>
        <w:rPr>
          <w:color w:val="231F20"/>
          <w:spacing w:val="-5"/>
        </w:rPr>
        <w:t> </w:t>
      </w:r>
      <w:r>
        <w:rPr>
          <w:color w:val="231F20"/>
        </w:rPr>
        <w:t>les</w:t>
      </w:r>
      <w:r>
        <w:rPr>
          <w:color w:val="231F20"/>
          <w:spacing w:val="-4"/>
        </w:rPr>
        <w:t> </w:t>
      </w:r>
      <w:r>
        <w:rPr>
          <w:color w:val="231F20"/>
        </w:rPr>
        <w:t>membres</w:t>
      </w:r>
      <w:r>
        <w:rPr>
          <w:color w:val="231F20"/>
          <w:spacing w:val="-4"/>
        </w:rPr>
        <w:t> </w:t>
      </w:r>
      <w:r>
        <w:rPr>
          <w:color w:val="231F20"/>
        </w:rPr>
        <w:t>de</w:t>
      </w:r>
      <w:r>
        <w:rPr>
          <w:color w:val="231F20"/>
          <w:spacing w:val="-4"/>
        </w:rPr>
        <w:t> </w:t>
      </w:r>
      <w:r>
        <w:rPr>
          <w:color w:val="231F20"/>
        </w:rPr>
        <w:t>l’organe</w:t>
      </w:r>
      <w:r>
        <w:rPr>
          <w:color w:val="231F20"/>
          <w:spacing w:val="-4"/>
        </w:rPr>
        <w:t> </w:t>
      </w:r>
      <w:r>
        <w:rPr>
          <w:color w:val="231F20"/>
        </w:rPr>
        <w:t>d’administration</w:t>
      </w:r>
      <w:r>
        <w:rPr>
          <w:color w:val="231F20"/>
          <w:spacing w:val="-4"/>
        </w:rPr>
        <w:t> </w:t>
      </w:r>
      <w:r>
        <w:rPr>
          <w:color w:val="231F20"/>
        </w:rPr>
        <w:t>de</w:t>
      </w:r>
      <w:r>
        <w:rPr>
          <w:color w:val="231F20"/>
          <w:spacing w:val="-4"/>
        </w:rPr>
        <w:t> </w:t>
      </w:r>
      <w:r>
        <w:rPr>
          <w:color w:val="231F20"/>
        </w:rPr>
        <w:t>cette</w:t>
      </w:r>
      <w:r>
        <w:rPr>
          <w:color w:val="231F20"/>
          <w:spacing w:val="-4"/>
        </w:rPr>
        <w:t> </w:t>
      </w:r>
      <w:r>
        <w:rPr>
          <w:color w:val="231F20"/>
        </w:rPr>
        <w:t>société une action en responsabilité pour obtenir la réparation du préjudice qu’il aurait subi par suite d’une faute commise lors de la préparation et de</w:t>
      </w:r>
      <w:r>
        <w:rPr>
          <w:color w:val="231F20"/>
          <w:spacing w:val="15"/>
        </w:rPr>
        <w:t> </w:t>
      </w:r>
      <w:r>
        <w:rPr>
          <w:color w:val="231F20"/>
        </w:rPr>
        <w:t>la</w:t>
      </w:r>
      <w:r>
        <w:rPr>
          <w:color w:val="231F20"/>
          <w:spacing w:val="15"/>
        </w:rPr>
        <w:t> </w:t>
      </w:r>
      <w:r>
        <w:rPr>
          <w:color w:val="231F20"/>
        </w:rPr>
        <w:t>réalisation</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fusion</w:t>
      </w:r>
      <w:r>
        <w:rPr>
          <w:color w:val="231F20"/>
          <w:spacing w:val="16"/>
        </w:rPr>
        <w:t> </w:t>
      </w:r>
      <w:r>
        <w:rPr>
          <w:color w:val="231F20"/>
        </w:rPr>
        <w:t>ou</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scission.</w:t>
      </w:r>
    </w:p>
    <w:p>
      <w:pPr>
        <w:pStyle w:val="BodyText"/>
        <w:spacing w:before="11"/>
        <w:ind w:left="0" w:right="0" w:firstLine="0"/>
        <w:jc w:val="left"/>
        <w:rPr>
          <w:sz w:val="23"/>
        </w:rPr>
      </w:pPr>
    </w:p>
    <w:p>
      <w:pPr>
        <w:pStyle w:val="BodyText"/>
        <w:spacing w:line="218" w:lineRule="auto"/>
        <w:ind w:right="38"/>
      </w:pPr>
      <w:r>
        <w:rPr>
          <w:color w:val="231F20"/>
        </w:rPr>
        <w:t>Chaque associé ou actionnaire de la société dissoute peut, de même, exercer une action en responsabilité contre le commissaire, le réviseur d’entreprises ou l’expert-comptable externe qui a établi le rapport visé aux articles 12:26, 12:39, 12:62 et 12:78 pour les dommages subis par</w:t>
      </w:r>
    </w:p>
    <w:p>
      <w:pPr>
        <w:pStyle w:val="BodyText"/>
        <w:spacing w:before="105"/>
        <w:ind w:left="283" w:right="0" w:firstLine="0"/>
        <w:jc w:val="left"/>
      </w:pPr>
      <w:r>
        <w:rPr/>
        <w:br w:type="column"/>
      </w:r>
      <w:r>
        <w:rPr>
          <w:color w:val="231F20"/>
        </w:rPr>
        <w:t>Afdeling 4. Zekerheidstelling.</w:t>
      </w:r>
    </w:p>
    <w:p>
      <w:pPr>
        <w:pStyle w:val="BodyText"/>
        <w:spacing w:line="218" w:lineRule="auto" w:before="82"/>
      </w:pPr>
      <w:r>
        <w:rPr>
          <w:color w:val="231F20"/>
        </w:rPr>
        <w:t>Art. 12:15. § 1. Uiterlijk binnen twee maanden na de bekendmaking in de Bijlagen bij het </w:t>
      </w:r>
      <w:r>
        <w:rPr>
          <w:rFonts w:ascii="Times New Roman" w:hAnsi="Times New Roman"/>
          <w:i/>
          <w:color w:val="231F20"/>
        </w:rPr>
        <w:t>Belgisch Staatsblad </w:t>
      </w:r>
      <w:r>
        <w:rPr>
          <w:color w:val="231F20"/>
        </w:rPr>
        <w:t>van de akten houdende vaststelling van de fusie of splitsing, kunnen de schuldeisers van elke vennootschap die deelneemt aan de fusie of splitsing waarvan de vordering vaststaand is vóór die bekendmaking maar nog niet opeisbaar is of die voor deze schuldvordering in rechte of via arbitrage een vordering hebben ingesteld vóór de akte houdende vaststelling van de fusie of splitsing, zekerheid eisen niettegenstaande enige anderslui- dende</w:t>
      </w:r>
      <w:r>
        <w:rPr>
          <w:color w:val="231F20"/>
          <w:spacing w:val="15"/>
        </w:rPr>
        <w:t> </w:t>
      </w:r>
      <w:r>
        <w:rPr>
          <w:color w:val="231F20"/>
        </w:rPr>
        <w:t>bepaling.</w:t>
      </w:r>
    </w:p>
    <w:p>
      <w:pPr>
        <w:pStyle w:val="BodyText"/>
        <w:spacing w:line="218" w:lineRule="auto" w:before="84"/>
      </w:pPr>
      <w:r>
        <w:rPr>
          <w:color w:val="231F20"/>
        </w:rPr>
        <w:t>De verkrijgende vennootschap waaraan deze verbintenis is toebe- deeld, en, in voorkomend geval, de ontbonden vennootschap, kunnen deze rechtsvordering elk afweren door de schuldvordering te voldoen tegen haar waarde, na aftrek van het disconto.</w:t>
      </w:r>
    </w:p>
    <w:p>
      <w:pPr>
        <w:pStyle w:val="BodyText"/>
        <w:spacing w:line="218" w:lineRule="auto" w:before="85"/>
      </w:pPr>
      <w:r>
        <w:rPr>
          <w:color w:val="231F20"/>
        </w:rPr>
        <w:t>Indien geen overeenstemming wordt bereikt of indien de schuldeiser geen voldoening heeft gekregen, legt de meest gerede partij het geschil voor aan de voorzitter van de ondernemingsrechtbank van de zetel van de schuldplichtige vennootschap, zitting houdend in kort geding.</w:t>
      </w:r>
    </w:p>
    <w:p>
      <w:pPr>
        <w:pStyle w:val="BodyText"/>
        <w:spacing w:line="218" w:lineRule="auto" w:before="86"/>
      </w:pPr>
      <w:r>
        <w:rPr>
          <w:color w:val="231F20"/>
        </w:rPr>
        <w:t>Onverminderd de rechten in de zaak zelf, bepaalt de voorzitter de zekerheid die de vennootschap moet stellen en de termijn waarbinnen zulks moet gebeuren, tenzij hij beslist dat geen zekerheid moet worden gesteld gelet op de waarborgen en voorrechten waarover de schuld- eiser beschikt of op de solvabiliteit van de verkrijgende vennootschap.</w:t>
      </w:r>
    </w:p>
    <w:p>
      <w:pPr>
        <w:pStyle w:val="BodyText"/>
        <w:spacing w:line="218" w:lineRule="auto" w:before="86"/>
      </w:pPr>
      <w:r>
        <w:rPr>
          <w:color w:val="231F20"/>
        </w:rPr>
        <w:t>Indien de zekerheid niet binnen de bepaalde termijn is gesteld, wordt de schuldvordering onverwijld opeisbaar, en zijn, bij splitsing, de verkrijgende vennootschappen hoofdelijk gehouden tot nakoming van deze verbintenis.</w:t>
      </w:r>
    </w:p>
    <w:p>
      <w:pPr>
        <w:pStyle w:val="BodyText"/>
        <w:spacing w:line="218" w:lineRule="auto" w:before="86"/>
      </w:pPr>
      <w:r>
        <w:rPr>
          <w:color w:val="231F20"/>
        </w:rPr>
        <w:t>§ 2. Paragraaf 1 is niet van toepassing bij fusies van financiële instellingen die aan de controle van de Nationale Bank van België of de Europese Centrale Bank zijn onderworpen.</w:t>
      </w:r>
    </w:p>
    <w:p>
      <w:pPr>
        <w:pStyle w:val="BodyText"/>
        <w:spacing w:line="218" w:lineRule="auto" w:before="85"/>
      </w:pPr>
      <w:r>
        <w:rPr>
          <w:color w:val="231F20"/>
        </w:rPr>
        <w:t>§ 3. In geval van een met een splitsing gelijkgestelde verrichting wordt de gesplitste vennootschap als een verkrijgende vennootschap beschouwd voor de toepassing van paragraaf 1 indien de in deze bepaling bedoelde verbintenis haar vermogen nog bezwaart.</w:t>
      </w:r>
    </w:p>
    <w:p>
      <w:pPr>
        <w:pStyle w:val="BodyText"/>
        <w:spacing w:before="72"/>
        <w:ind w:left="283" w:right="0" w:firstLine="0"/>
        <w:jc w:val="left"/>
      </w:pPr>
      <w:r>
        <w:rPr>
          <w:color w:val="231F20"/>
        </w:rPr>
        <w:t>Afdeling 5. Aansprakelijkheid.</w:t>
      </w:r>
    </w:p>
    <w:p>
      <w:pPr>
        <w:pStyle w:val="BodyText"/>
        <w:spacing w:line="218" w:lineRule="auto" w:before="82"/>
      </w:pPr>
      <w:r>
        <w:rPr>
          <w:color w:val="231F20"/>
        </w:rPr>
        <w:t>Art. 12:16. § 1. Indien de ontbonden vennootschap een vennootschap onder firma of een commanditaire vennootschap is, blijven de</w:t>
      </w:r>
      <w:r>
        <w:rPr>
          <w:color w:val="231F20"/>
          <w:spacing w:val="-11"/>
        </w:rPr>
        <w:t> </w:t>
      </w:r>
      <w:r>
        <w:rPr>
          <w:color w:val="231F20"/>
        </w:rPr>
        <w:t>vennoten onder firma en de gecommanditeerde vennoten jegens derden hoof- delijk en onbeperkt aansprakelijk voor de verbintenissen van de ontbonden vennootschap ontstaan vóór het tijdstip vanaf wanneer de akte van fusie of splitsing overeenkomstig artikel 2:18 aan derden kan worden</w:t>
      </w:r>
      <w:r>
        <w:rPr>
          <w:color w:val="231F20"/>
          <w:spacing w:val="15"/>
        </w:rPr>
        <w:t> </w:t>
      </w:r>
      <w:r>
        <w:rPr>
          <w:color w:val="231F20"/>
        </w:rPr>
        <w:t>tegengeworpen.</w:t>
      </w:r>
    </w:p>
    <w:p>
      <w:pPr>
        <w:pStyle w:val="BodyText"/>
        <w:spacing w:line="218" w:lineRule="auto" w:before="86"/>
      </w:pPr>
      <w:r>
        <w:rPr>
          <w:color w:val="231F20"/>
        </w:rPr>
        <w:t>§ 2. Indien de verkrijgende vennootschap een vennootschap onder firma of een commanditaire vennootschap is, blijven de vennoten</w:t>
      </w:r>
      <w:r>
        <w:rPr>
          <w:color w:val="231F20"/>
          <w:spacing w:val="-11"/>
        </w:rPr>
        <w:t> </w:t>
      </w:r>
      <w:r>
        <w:rPr>
          <w:color w:val="231F20"/>
        </w:rPr>
        <w:t>onder firma en de gecommanditeerde vennoten jegens derden hoofdelijk en onbeperkt aansprakelijk voor de verbintenissen van de ontbonden vennootschap die zijn ontstaan, naargelang het geval, vóór de fusie of vóór de splitsing en die, in dit laatste geval, overeenkomstig het splitsingsvoorstel en de artikelen 12:60, tweede lid, en 12:76, tweede</w:t>
      </w:r>
      <w:r>
        <w:rPr>
          <w:color w:val="231F20"/>
          <w:spacing w:val="-23"/>
        </w:rPr>
        <w:t> </w:t>
      </w:r>
      <w:r>
        <w:rPr>
          <w:color w:val="231F20"/>
        </w:rPr>
        <w:t>lid, op</w:t>
      </w:r>
      <w:r>
        <w:rPr>
          <w:color w:val="231F20"/>
          <w:spacing w:val="17"/>
        </w:rPr>
        <w:t> </w:t>
      </w:r>
      <w:r>
        <w:rPr>
          <w:color w:val="231F20"/>
        </w:rPr>
        <w:t>deze</w:t>
      </w:r>
      <w:r>
        <w:rPr>
          <w:color w:val="231F20"/>
          <w:spacing w:val="17"/>
        </w:rPr>
        <w:t> </w:t>
      </w:r>
      <w:r>
        <w:rPr>
          <w:color w:val="231F20"/>
        </w:rPr>
        <w:t>verkrijgende</w:t>
      </w:r>
      <w:r>
        <w:rPr>
          <w:color w:val="231F20"/>
          <w:spacing w:val="17"/>
        </w:rPr>
        <w:t> </w:t>
      </w:r>
      <w:r>
        <w:rPr>
          <w:color w:val="231F20"/>
        </w:rPr>
        <w:t>vennootschap</w:t>
      </w:r>
      <w:r>
        <w:rPr>
          <w:color w:val="231F20"/>
          <w:spacing w:val="17"/>
        </w:rPr>
        <w:t> </w:t>
      </w:r>
      <w:r>
        <w:rPr>
          <w:color w:val="231F20"/>
        </w:rPr>
        <w:t>zijn</w:t>
      </w:r>
      <w:r>
        <w:rPr>
          <w:color w:val="231F20"/>
          <w:spacing w:val="17"/>
        </w:rPr>
        <w:t> </w:t>
      </w:r>
      <w:r>
        <w:rPr>
          <w:color w:val="231F20"/>
        </w:rPr>
        <w:t>overgegaan.</w:t>
      </w:r>
    </w:p>
    <w:p>
      <w:pPr>
        <w:pStyle w:val="BodyText"/>
        <w:spacing w:line="218" w:lineRule="auto" w:before="86"/>
      </w:pPr>
      <w:r>
        <w:rPr>
          <w:color w:val="231F20"/>
        </w:rPr>
        <w:t>Zij kunnen echter van deze aansprakelijkheid worden ontheven op grond van een uitdrukkelijke bepaling opgenomen in het fusie- of splitsingsvoorstel en in de akte van fusie of splitsing, en die overeen- komstig artikel 2:18 aan derden kan worden tegengeworpen.</w:t>
      </w:r>
    </w:p>
    <w:p>
      <w:pPr>
        <w:pStyle w:val="BodyText"/>
        <w:spacing w:line="218" w:lineRule="auto" w:before="85"/>
        <w:ind w:right="123"/>
      </w:pPr>
      <w:r>
        <w:rPr>
          <w:color w:val="231F20"/>
        </w:rPr>
        <w:t>Art. 12:17. Bij splitsing blijven de verkrijgende vennootschappen hoofdelijk gehouden tot betaling van de zekere en opeisbare schulden die bestaan op de dag dat de akten houdende vaststelling van het besluit tot deelneming aan de splitsing in de Bijlagen bij het </w:t>
      </w:r>
      <w:r>
        <w:rPr>
          <w:rFonts w:ascii="Times New Roman" w:hAnsi="Times New Roman"/>
          <w:i/>
          <w:color w:val="231F20"/>
        </w:rPr>
        <w:t>Belgisch </w:t>
      </w:r>
      <w:r>
        <w:rPr>
          <w:rFonts w:ascii="Times New Roman" w:hAnsi="Times New Roman"/>
          <w:i/>
          <w:color w:val="231F20"/>
        </w:rPr>
        <w:t>Staatsblad </w:t>
      </w:r>
      <w:r>
        <w:rPr>
          <w:color w:val="231F20"/>
        </w:rPr>
        <w:t>worden bekendgemaakt en die overgaan op een andere vennootschap die door de splitsing tot stand is gekomen en van de schulden waarvoor de schuldeiser een vordering in rechte of via arbitrage heeft ingesteld vóór de akte houdende vaststelling van de splitsing. Voornoemde aansprakelijkheid is beperkt tot het nettoactief dat</w:t>
      </w:r>
      <w:r>
        <w:rPr>
          <w:color w:val="231F20"/>
          <w:spacing w:val="17"/>
        </w:rPr>
        <w:t> </w:t>
      </w:r>
      <w:r>
        <w:rPr>
          <w:color w:val="231F20"/>
        </w:rPr>
        <w:t>aan</w:t>
      </w:r>
      <w:r>
        <w:rPr>
          <w:color w:val="231F20"/>
          <w:spacing w:val="18"/>
        </w:rPr>
        <w:t> </w:t>
      </w:r>
      <w:r>
        <w:rPr>
          <w:color w:val="231F20"/>
        </w:rPr>
        <w:t>ieder</w:t>
      </w:r>
      <w:r>
        <w:rPr>
          <w:color w:val="231F20"/>
          <w:spacing w:val="17"/>
        </w:rPr>
        <w:t> </w:t>
      </w:r>
      <w:r>
        <w:rPr>
          <w:color w:val="231F20"/>
        </w:rPr>
        <w:t>van</w:t>
      </w:r>
      <w:r>
        <w:rPr>
          <w:color w:val="231F20"/>
          <w:spacing w:val="18"/>
        </w:rPr>
        <w:t> </w:t>
      </w:r>
      <w:r>
        <w:rPr>
          <w:color w:val="231F20"/>
        </w:rPr>
        <w:t>die</w:t>
      </w:r>
      <w:r>
        <w:rPr>
          <w:color w:val="231F20"/>
          <w:spacing w:val="18"/>
        </w:rPr>
        <w:t> </w:t>
      </w:r>
      <w:r>
        <w:rPr>
          <w:color w:val="231F20"/>
        </w:rPr>
        <w:t>vennootschappen</w:t>
      </w:r>
      <w:r>
        <w:rPr>
          <w:color w:val="231F20"/>
          <w:spacing w:val="17"/>
        </w:rPr>
        <w:t> </w:t>
      </w:r>
      <w:r>
        <w:rPr>
          <w:color w:val="231F20"/>
        </w:rPr>
        <w:t>wordt</w:t>
      </w:r>
      <w:r>
        <w:rPr>
          <w:color w:val="231F20"/>
          <w:spacing w:val="18"/>
        </w:rPr>
        <w:t> </w:t>
      </w:r>
      <w:r>
        <w:rPr>
          <w:color w:val="231F20"/>
        </w:rPr>
        <w:t>toegekend.</w:t>
      </w:r>
    </w:p>
    <w:p>
      <w:pPr>
        <w:pStyle w:val="BodyText"/>
        <w:spacing w:line="218" w:lineRule="auto" w:before="81"/>
      </w:pPr>
      <w:r>
        <w:rPr>
          <w:color w:val="231F20"/>
        </w:rPr>
        <w:t>In geval van een met een splitsing gelijkgestelde verrichting wordt de gesplitste vennootschap als een verkrijgende vennootschap beschouwd voor de toepassing van het eerste lid, waarbij de aansprakelijkheid van de gesplitste vennootschap is beperkt tot het nettoactief dat zij behoudt.</w:t>
      </w:r>
    </w:p>
    <w:p>
      <w:pPr>
        <w:pStyle w:val="BodyText"/>
        <w:spacing w:line="218" w:lineRule="auto" w:before="86"/>
      </w:pPr>
      <w:r>
        <w:rPr>
          <w:color w:val="231F20"/>
        </w:rPr>
        <w:t>Art. 12:18. Iedere vennoot of aandeelhouder van een ontbonden vennootschap kan tegen de leden van het bestuursorgaan van die vennootschap een aansprakelijkheidsvordering instellen voor de ver- goeding van de schade die hij heeft geleden ten gevolge van een bij de voorbereiding en de totstandkoming van de fusie of de splitsing begane fout.</w:t>
      </w:r>
    </w:p>
    <w:p>
      <w:pPr>
        <w:pStyle w:val="BodyText"/>
        <w:spacing w:line="218" w:lineRule="auto" w:before="96"/>
      </w:pPr>
      <w:r>
        <w:rPr>
          <w:color w:val="231F20"/>
        </w:rPr>
        <w:t>Iedere vennoot of aandeelhouder van een ontbonden vennootschap kan insgelijks tegen de commissaris, de bedrijfsrevisor of de externe accountant die het in de artikelen 12:26, 12:39, 12:62 en 12:78 bedoelde verslag heeft opgesteld, een aansprakelijkheidsvordering instellen voor</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0" w:firstLine="0"/>
        <w:jc w:val="left"/>
      </w:pPr>
      <w:r>
        <w:rPr/>
        <w:pict>
          <v:line style="position:absolute;mso-position-horizontal-relative:page;mso-position-vertical-relative:page;z-index:6424" from="298.170502pt,64.473pt" to="298.170502pt,812.819pt" stroked="true" strokeweight=".533pt" strokecolor="#231f20">
            <v:stroke dashstyle="solid"/>
            <w10:wrap type="none"/>
          </v:line>
        </w:pict>
      </w:r>
      <w:bookmarkStart w:name="_bookmark225" w:id="231"/>
      <w:bookmarkEnd w:id="231"/>
      <w:r>
        <w:rPr/>
      </w:r>
      <w:r>
        <w:rPr>
          <w:color w:val="231F20"/>
        </w:rPr>
        <w:t>suite d’une faute commise par celui-ci dans l’accomplissement de sa mission.</w:t>
      </w:r>
    </w:p>
    <w:p>
      <w:pPr>
        <w:pStyle w:val="BodyText"/>
        <w:spacing w:line="218" w:lineRule="auto" w:before="96"/>
        <w:ind w:right="38"/>
      </w:pPr>
      <w:r>
        <w:rPr>
          <w:color w:val="231F20"/>
        </w:rPr>
        <w:t>Cet article n’est pas applicable aux opérations assimilées à une fusion par absorption.</w:t>
      </w:r>
    </w:p>
    <w:p>
      <w:pPr>
        <w:pStyle w:val="BodyText"/>
        <w:spacing w:before="82"/>
        <w:ind w:left="283" w:right="0" w:firstLine="0"/>
        <w:jc w:val="left"/>
      </w:pPr>
      <w:r>
        <w:rPr>
          <w:color w:val="231F20"/>
        </w:rPr>
        <w:t>Section 6. Nullité de la fusion ou de la scission.</w:t>
      </w:r>
    </w:p>
    <w:p>
      <w:pPr>
        <w:pStyle w:val="BodyText"/>
        <w:spacing w:line="218" w:lineRule="auto" w:before="93"/>
        <w:ind w:right="38"/>
      </w:pPr>
      <w:r>
        <w:rPr>
          <w:color w:val="231F20"/>
        </w:rPr>
        <w:t>Art. 12:19. Le tribunal de l’entreprise prononce à la requête des personnes mentionnées à l’article 2:44 la nullité de la fusion ou de la scission lorsque la soulte en espèces dépasse le dixième de la valeur nominale des actions ou parts attribuées ou, à défaut de valeur nominale, de leur pair comptable. Si la société bénéficiaire est une société sans capital, est assimilée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 tion des statuts, le tout divisé par le nombre d’actions ou de parts.</w:t>
      </w:r>
    </w:p>
    <w:p>
      <w:pPr>
        <w:pStyle w:val="BodyText"/>
        <w:ind w:left="0" w:right="0" w:firstLine="0"/>
        <w:jc w:val="left"/>
        <w:rPr>
          <w:sz w:val="24"/>
        </w:rPr>
      </w:pPr>
    </w:p>
    <w:p>
      <w:pPr>
        <w:pStyle w:val="BodyText"/>
        <w:spacing w:line="218" w:lineRule="auto"/>
        <w:ind w:right="38"/>
      </w:pPr>
      <w:r>
        <w:rPr>
          <w:color w:val="231F20"/>
        </w:rPr>
        <w:t>Lorsque la nullité est de nature à porter atteinte aux droits acquis de bonne</w:t>
      </w:r>
      <w:r>
        <w:rPr>
          <w:color w:val="231F20"/>
          <w:spacing w:val="-4"/>
        </w:rPr>
        <w:t> </w:t>
      </w:r>
      <w:r>
        <w:rPr>
          <w:color w:val="231F20"/>
        </w:rPr>
        <w:t>foi</w:t>
      </w:r>
      <w:r>
        <w:rPr>
          <w:color w:val="231F20"/>
          <w:spacing w:val="-4"/>
        </w:rPr>
        <w:t> </w:t>
      </w:r>
      <w:r>
        <w:rPr>
          <w:color w:val="231F20"/>
        </w:rPr>
        <w:t>par</w:t>
      </w:r>
      <w:r>
        <w:rPr>
          <w:color w:val="231F20"/>
          <w:spacing w:val="-3"/>
        </w:rPr>
        <w:t> </w:t>
      </w:r>
      <w:r>
        <w:rPr>
          <w:color w:val="231F20"/>
        </w:rPr>
        <w:t>un</w:t>
      </w:r>
      <w:r>
        <w:rPr>
          <w:color w:val="231F20"/>
          <w:spacing w:val="-4"/>
        </w:rPr>
        <w:t> </w:t>
      </w:r>
      <w:r>
        <w:rPr>
          <w:color w:val="231F20"/>
        </w:rPr>
        <w:t>tiers</w:t>
      </w:r>
      <w:r>
        <w:rPr>
          <w:color w:val="231F20"/>
          <w:spacing w:val="-4"/>
        </w:rPr>
        <w:t> </w:t>
      </w:r>
      <w:r>
        <w:rPr>
          <w:color w:val="231F20"/>
        </w:rPr>
        <w:t>à</w:t>
      </w:r>
      <w:r>
        <w:rPr>
          <w:color w:val="231F20"/>
          <w:spacing w:val="-3"/>
        </w:rPr>
        <w:t> </w:t>
      </w:r>
      <w:r>
        <w:rPr>
          <w:color w:val="231F20"/>
        </w:rPr>
        <w:t>l’égard</w:t>
      </w:r>
      <w:r>
        <w:rPr>
          <w:color w:val="231F20"/>
          <w:spacing w:val="-4"/>
        </w:rPr>
        <w:t> </w:t>
      </w:r>
      <w:r>
        <w:rPr>
          <w:color w:val="231F20"/>
        </w:rPr>
        <w:t>de</w:t>
      </w:r>
      <w:r>
        <w:rPr>
          <w:color w:val="231F20"/>
          <w:spacing w:val="-3"/>
        </w:rPr>
        <w:t> </w:t>
      </w:r>
      <w:r>
        <w:rPr>
          <w:color w:val="231F20"/>
        </w:rPr>
        <w:t>la</w:t>
      </w:r>
      <w:r>
        <w:rPr>
          <w:color w:val="231F20"/>
          <w:spacing w:val="-4"/>
        </w:rPr>
        <w:t> </w:t>
      </w:r>
      <w:r>
        <w:rPr>
          <w:color w:val="231F20"/>
        </w:rPr>
        <w:t>société</w:t>
      </w:r>
      <w:r>
        <w:rPr>
          <w:color w:val="231F20"/>
          <w:spacing w:val="-4"/>
        </w:rPr>
        <w:t> </w:t>
      </w:r>
      <w:r>
        <w:rPr>
          <w:color w:val="231F20"/>
        </w:rPr>
        <w:t>bénéficiaire,</w:t>
      </w:r>
      <w:r>
        <w:rPr>
          <w:color w:val="231F20"/>
          <w:spacing w:val="-3"/>
        </w:rPr>
        <w:t> </w:t>
      </w:r>
      <w:r>
        <w:rPr>
          <w:color w:val="231F20"/>
        </w:rPr>
        <w:t>le</w:t>
      </w:r>
      <w:r>
        <w:rPr>
          <w:color w:val="231F20"/>
          <w:spacing w:val="-4"/>
        </w:rPr>
        <w:t> </w:t>
      </w:r>
      <w:r>
        <w:rPr>
          <w:color w:val="231F20"/>
        </w:rPr>
        <w:t>tribunal</w:t>
      </w:r>
      <w:r>
        <w:rPr>
          <w:color w:val="231F20"/>
          <w:spacing w:val="-3"/>
        </w:rPr>
        <w:t> </w:t>
      </w:r>
      <w:r>
        <w:rPr>
          <w:color w:val="231F20"/>
        </w:rPr>
        <w:t>peut déclarer sans </w:t>
      </w:r>
      <w:r>
        <w:rPr>
          <w:color w:val="231F20"/>
          <w:spacing w:val="-3"/>
        </w:rPr>
        <w:t>effet </w:t>
      </w:r>
      <w:r>
        <w:rPr>
          <w:color w:val="231F20"/>
        </w:rPr>
        <w:t>la </w:t>
      </w:r>
      <w:r>
        <w:rPr>
          <w:color w:val="231F20"/>
          <w:spacing w:val="4"/>
        </w:rPr>
        <w:t>nullitéà </w:t>
      </w:r>
      <w:r>
        <w:rPr>
          <w:color w:val="231F20"/>
        </w:rPr>
        <w:t>l’égard de ces droits, sous réserve du droit du</w:t>
      </w:r>
      <w:r>
        <w:rPr>
          <w:color w:val="231F20"/>
          <w:spacing w:val="16"/>
        </w:rPr>
        <w:t> </w:t>
      </w:r>
      <w:r>
        <w:rPr>
          <w:color w:val="231F20"/>
        </w:rPr>
        <w:t>demandeur</w:t>
      </w:r>
      <w:r>
        <w:rPr>
          <w:color w:val="231F20"/>
          <w:spacing w:val="16"/>
        </w:rPr>
        <w:t> </w:t>
      </w:r>
      <w:r>
        <w:rPr>
          <w:color w:val="231F20"/>
        </w:rPr>
        <w:t>à</w:t>
      </w:r>
      <w:r>
        <w:rPr>
          <w:color w:val="231F20"/>
          <w:spacing w:val="17"/>
        </w:rPr>
        <w:t> </w:t>
      </w:r>
      <w:r>
        <w:rPr>
          <w:color w:val="231F20"/>
        </w:rPr>
        <w:t>des</w:t>
      </w:r>
      <w:r>
        <w:rPr>
          <w:color w:val="231F20"/>
          <w:spacing w:val="16"/>
        </w:rPr>
        <w:t> </w:t>
      </w:r>
      <w:r>
        <w:rPr>
          <w:color w:val="231F20"/>
        </w:rPr>
        <w:t>dommages-intérêts</w:t>
      </w:r>
      <w:r>
        <w:rPr>
          <w:color w:val="231F20"/>
          <w:spacing w:val="17"/>
        </w:rPr>
        <w:t> </w:t>
      </w:r>
      <w:r>
        <w:rPr>
          <w:color w:val="231F20"/>
        </w:rPr>
        <w:t>s’il</w:t>
      </w:r>
      <w:r>
        <w:rPr>
          <w:color w:val="231F20"/>
          <w:spacing w:val="16"/>
        </w:rPr>
        <w:t> </w:t>
      </w:r>
      <w:r>
        <w:rPr>
          <w:color w:val="231F20"/>
        </w:rPr>
        <w:t>y</w:t>
      </w:r>
      <w:r>
        <w:rPr>
          <w:color w:val="231F20"/>
          <w:spacing w:val="17"/>
        </w:rPr>
        <w:t> </w:t>
      </w:r>
      <w:r>
        <w:rPr>
          <w:color w:val="231F20"/>
        </w:rPr>
        <w:t>a</w:t>
      </w:r>
      <w:r>
        <w:rPr>
          <w:color w:val="231F20"/>
          <w:spacing w:val="16"/>
        </w:rPr>
        <w:t> </w:t>
      </w:r>
      <w:r>
        <w:rPr>
          <w:color w:val="231F20"/>
        </w:rPr>
        <w:t>lieu.</w:t>
      </w:r>
    </w:p>
    <w:p>
      <w:pPr>
        <w:pStyle w:val="BodyText"/>
        <w:spacing w:before="10"/>
        <w:ind w:left="0" w:right="0" w:firstLine="0"/>
        <w:jc w:val="left"/>
        <w:rPr>
          <w:sz w:val="23"/>
        </w:rPr>
      </w:pPr>
    </w:p>
    <w:p>
      <w:pPr>
        <w:pStyle w:val="BodyText"/>
        <w:spacing w:line="218" w:lineRule="auto" w:before="1"/>
        <w:ind w:right="38"/>
      </w:pPr>
      <w:r>
        <w:rPr>
          <w:color w:val="231F20"/>
        </w:rPr>
        <w:t>Art. 12:20. Le tribunal de l’entreprise peut, à la requête des</w:t>
      </w:r>
      <w:r>
        <w:rPr>
          <w:color w:val="231F20"/>
          <w:spacing w:val="-24"/>
        </w:rPr>
        <w:t> </w:t>
      </w:r>
      <w:r>
        <w:rPr>
          <w:color w:val="231F20"/>
        </w:rPr>
        <w:t>personnes mentionnées à l’article 2:44, prononcer la nullité de la fusion ou de la scission si les décisions des assemblées générales ou des organes d’administration qui ont approuvé la fusion ou la scission n’ont pas été constatées par acte authentique ou si ces décisions ont été prises en l’absence des rapports de l’organe d’administration, du commissaire, du réviseur d’entreprises ou de l’expert-comptable externe prévus par le</w:t>
      </w:r>
      <w:r>
        <w:rPr>
          <w:color w:val="231F20"/>
          <w:spacing w:val="15"/>
        </w:rPr>
        <w:t> </w:t>
      </w:r>
      <w:r>
        <w:rPr>
          <w:color w:val="231F20"/>
        </w:rPr>
        <w:t>présent</w:t>
      </w:r>
      <w:r>
        <w:rPr>
          <w:color w:val="231F20"/>
          <w:spacing w:val="16"/>
        </w:rPr>
        <w:t> </w:t>
      </w:r>
      <w:r>
        <w:rPr>
          <w:color w:val="231F20"/>
        </w:rPr>
        <w:t>livre</w:t>
      </w:r>
      <w:r>
        <w:rPr>
          <w:color w:val="231F20"/>
          <w:spacing w:val="15"/>
        </w:rPr>
        <w:t> </w:t>
      </w:r>
      <w:r>
        <w:rPr>
          <w:color w:val="231F20"/>
        </w:rPr>
        <w:t>ou</w:t>
      </w:r>
      <w:r>
        <w:rPr>
          <w:color w:val="231F20"/>
          <w:spacing w:val="16"/>
        </w:rPr>
        <w:t> </w:t>
      </w:r>
      <w:r>
        <w:rPr>
          <w:color w:val="231F20"/>
        </w:rPr>
        <w:t>sont</w:t>
      </w:r>
      <w:r>
        <w:rPr>
          <w:color w:val="231F20"/>
          <w:spacing w:val="16"/>
        </w:rPr>
        <w:t> </w:t>
      </w:r>
      <w:r>
        <w:rPr>
          <w:color w:val="231F20"/>
        </w:rPr>
        <w:t>entachées</w:t>
      </w:r>
      <w:r>
        <w:rPr>
          <w:color w:val="231F20"/>
          <w:spacing w:val="15"/>
        </w:rPr>
        <w:t> </w:t>
      </w:r>
      <w:r>
        <w:rPr>
          <w:color w:val="231F20"/>
        </w:rPr>
        <w:t>d’une</w:t>
      </w:r>
      <w:r>
        <w:rPr>
          <w:color w:val="231F20"/>
          <w:spacing w:val="16"/>
        </w:rPr>
        <w:t> </w:t>
      </w:r>
      <w:r>
        <w:rPr>
          <w:color w:val="231F20"/>
        </w:rPr>
        <w:t>autre</w:t>
      </w:r>
      <w:r>
        <w:rPr>
          <w:color w:val="231F20"/>
          <w:spacing w:val="16"/>
        </w:rPr>
        <w:t> </w:t>
      </w:r>
      <w:r>
        <w:rPr>
          <w:color w:val="231F20"/>
        </w:rPr>
        <w:t>cause</w:t>
      </w:r>
      <w:r>
        <w:rPr>
          <w:color w:val="231F20"/>
          <w:spacing w:val="15"/>
        </w:rPr>
        <w:t> </w:t>
      </w:r>
      <w:r>
        <w:rPr>
          <w:color w:val="231F20"/>
        </w:rPr>
        <w:t>de</w:t>
      </w:r>
      <w:r>
        <w:rPr>
          <w:color w:val="231F20"/>
          <w:spacing w:val="16"/>
        </w:rPr>
        <w:t> </w:t>
      </w:r>
      <w:r>
        <w:rPr>
          <w:color w:val="231F20"/>
        </w:rPr>
        <w:t>nullité.</w:t>
      </w:r>
    </w:p>
    <w:p>
      <w:pPr>
        <w:pStyle w:val="BodyText"/>
        <w:spacing w:before="11"/>
        <w:ind w:left="0" w:right="0" w:firstLine="0"/>
        <w:jc w:val="left"/>
        <w:rPr>
          <w:sz w:val="23"/>
        </w:rPr>
      </w:pPr>
    </w:p>
    <w:p>
      <w:pPr>
        <w:pStyle w:val="BodyText"/>
        <w:spacing w:line="218" w:lineRule="auto"/>
        <w:ind w:right="38"/>
      </w:pPr>
      <w:r>
        <w:rPr>
          <w:color w:val="231F20"/>
        </w:rPr>
        <w:t>Lorsqu’il est possible de remédier à l’irrégularité susceptible d’entraî- ner la nullité de la fusion ou de la scission, le tribunal accorde aux sociétés intéressées un délai pour régulariser la situation.</w:t>
      </w:r>
    </w:p>
    <w:p>
      <w:pPr>
        <w:pStyle w:val="BodyText"/>
        <w:spacing w:before="10"/>
        <w:ind w:left="0" w:right="0" w:firstLine="0"/>
        <w:jc w:val="left"/>
        <w:rPr>
          <w:sz w:val="23"/>
        </w:rPr>
      </w:pPr>
    </w:p>
    <w:p>
      <w:pPr>
        <w:pStyle w:val="BodyText"/>
        <w:spacing w:line="218" w:lineRule="auto" w:before="1"/>
        <w:ind w:right="38"/>
      </w:pPr>
      <w:r>
        <w:rPr>
          <w:color w:val="231F20"/>
        </w:rPr>
        <w:t>Art. 12:21. La décision judiciaire prononçant la nullité d’une fusion ou d’une scission par constitution prononce également la nullité des nouvelles</w:t>
      </w:r>
      <w:r>
        <w:rPr>
          <w:color w:val="231F20"/>
          <w:spacing w:val="15"/>
        </w:rPr>
        <w:t> </w:t>
      </w:r>
      <w:r>
        <w:rPr>
          <w:color w:val="231F20"/>
        </w:rPr>
        <w:t>sociétés.</w:t>
      </w:r>
    </w:p>
    <w:p>
      <w:pPr>
        <w:pStyle w:val="BodyText"/>
        <w:spacing w:line="218" w:lineRule="auto" w:before="96"/>
        <w:ind w:right="38"/>
      </w:pPr>
      <w:r>
        <w:rPr>
          <w:color w:val="231F20"/>
        </w:rPr>
        <w:t>Art. 12:22. L’extrait de la décision judiciaire passée en force de chose jugée ou exécutoire par provision prononçant la nullité d’une fusion ou d’une scission, de même que l’extrait de la décision judiciaire réformant le jugement exécutoire par provision précité, sont déposés et publiés conformément aux articles 2:8 et 2:14, 1°.</w:t>
      </w:r>
    </w:p>
    <w:p>
      <w:pPr>
        <w:pStyle w:val="BodyText"/>
        <w:ind w:left="0" w:right="0" w:firstLine="0"/>
        <w:jc w:val="left"/>
        <w:rPr>
          <w:sz w:val="20"/>
        </w:rPr>
      </w:pPr>
    </w:p>
    <w:p>
      <w:pPr>
        <w:pStyle w:val="BodyText"/>
        <w:spacing w:before="2"/>
        <w:ind w:left="0" w:right="0" w:firstLine="0"/>
        <w:jc w:val="left"/>
        <w:rPr>
          <w:sz w:val="18"/>
        </w:rPr>
      </w:pPr>
    </w:p>
    <w:p>
      <w:pPr>
        <w:pStyle w:val="BodyText"/>
        <w:ind w:left="284" w:right="0" w:firstLine="0"/>
        <w:jc w:val="left"/>
      </w:pPr>
      <w:r>
        <w:rPr>
          <w:color w:val="231F20"/>
        </w:rPr>
        <w:t>Cet extrait contient:</w:t>
      </w:r>
    </w:p>
    <w:p>
      <w:pPr>
        <w:pStyle w:val="BodyText"/>
        <w:spacing w:line="218" w:lineRule="auto" w:before="93"/>
        <w:ind w:right="38"/>
      </w:pPr>
      <w:r>
        <w:rPr>
          <w:color w:val="231F20"/>
        </w:rPr>
        <w:t>1° la dénomination de chacune des sociétés ayant participéà la fusion ou à la scission;</w:t>
      </w:r>
    </w:p>
    <w:p>
      <w:pPr>
        <w:pStyle w:val="BodyText"/>
        <w:spacing w:before="82"/>
        <w:ind w:left="284" w:right="0" w:firstLine="0"/>
        <w:jc w:val="left"/>
      </w:pPr>
      <w:r>
        <w:rPr>
          <w:color w:val="231F20"/>
        </w:rPr>
        <w:t>2° la date de la décision et le juge qui l’a prononcée;</w:t>
      </w:r>
    </w:p>
    <w:p>
      <w:pPr>
        <w:pStyle w:val="BodyText"/>
        <w:spacing w:line="218" w:lineRule="auto" w:before="92"/>
        <w:ind w:right="38"/>
      </w:pPr>
      <w:r>
        <w:rPr>
          <w:color w:val="231F20"/>
        </w:rPr>
        <w:t>3° le cas échéant, les nom, prénom et adresse des liquidateurs; au cas où le liquidateur est une personne morale, l’extrait contient le nom du représentant permanent de cette personne morale.</w:t>
      </w:r>
    </w:p>
    <w:p>
      <w:pPr>
        <w:pStyle w:val="BodyText"/>
        <w:ind w:left="0" w:right="0" w:firstLine="0"/>
        <w:jc w:val="left"/>
        <w:rPr>
          <w:sz w:val="24"/>
        </w:rPr>
      </w:pPr>
    </w:p>
    <w:p>
      <w:pPr>
        <w:pStyle w:val="BodyText"/>
        <w:spacing w:line="218" w:lineRule="auto"/>
        <w:ind w:right="38"/>
      </w:pPr>
      <w:r>
        <w:rPr>
          <w:color w:val="231F20"/>
        </w:rPr>
        <w:t>Art. 12:23. La nullité ne porte pas atteinte par elle-même à la validité des obligations nées à la charge ou au profit des sociétés bénéficiaires entre le moment où la fusion ou la scission est réalisée conformément à l’article 12:32, alinéa 2, ou à l’article 12:69, alinéa 2, et la publication de la décision prononçant l’annulation de la fusion ou de la scission.</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ind w:right="38"/>
      </w:pPr>
      <w:r>
        <w:rPr>
          <w:color w:val="231F20"/>
        </w:rPr>
        <w:t>Les sociétés ayant participé à la fusion ou à la scission répondent solidairement de ces obligations nées à la charge des sociétés bénéfi- ciaires.</w:t>
      </w:r>
    </w:p>
    <w:p>
      <w:pPr>
        <w:pStyle w:val="BodyText"/>
        <w:spacing w:line="331" w:lineRule="auto" w:before="93"/>
        <w:ind w:left="284" w:right="281" w:firstLine="0"/>
        <w:jc w:val="left"/>
      </w:pPr>
      <w:r>
        <w:rPr>
          <w:color w:val="231F20"/>
        </w:rPr>
        <w:t>CHAPITRE 2. Procédure à suivre lors de la fusion de sociétés. Section 1</w:t>
      </w:r>
      <w:r>
        <w:rPr>
          <w:color w:val="231F20"/>
          <w:position w:val="7"/>
          <w:sz w:val="11"/>
        </w:rPr>
        <w:t>re</w:t>
      </w:r>
      <w:r>
        <w:rPr>
          <w:color w:val="231F20"/>
        </w:rPr>
        <w:t>. Procédure de fusion par absorption.</w:t>
      </w:r>
    </w:p>
    <w:p>
      <w:pPr>
        <w:pStyle w:val="BodyText"/>
        <w:spacing w:line="218" w:lineRule="auto" w:before="30"/>
        <w:ind w:right="38"/>
      </w:pPr>
      <w:r>
        <w:rPr>
          <w:color w:val="231F20"/>
        </w:rPr>
        <w:t>Art. 12:24. Les organes d’administration des sociétés appelées à fusionner établissent par acte authentique ou par acte sous seing privé un projet de fusion.</w:t>
      </w:r>
    </w:p>
    <w:p>
      <w:pPr>
        <w:pStyle w:val="BodyText"/>
        <w:spacing w:before="93"/>
        <w:ind w:left="283" w:right="0" w:firstLine="0"/>
        <w:jc w:val="left"/>
      </w:pPr>
      <w:r>
        <w:rPr>
          <w:color w:val="231F20"/>
        </w:rPr>
        <w:t>Le projet de fusion mentionne au moins:</w:t>
      </w:r>
    </w:p>
    <w:p>
      <w:pPr>
        <w:pStyle w:val="BodyText"/>
        <w:spacing w:line="218" w:lineRule="auto" w:before="103"/>
        <w:ind w:right="38"/>
      </w:pPr>
      <w:r>
        <w:rPr>
          <w:color w:val="231F20"/>
        </w:rPr>
        <w:t>1° la forme légale, la dénomination, l’objet et le siège des sociétés appelées à fusionner;</w:t>
      </w:r>
    </w:p>
    <w:p>
      <w:pPr>
        <w:pStyle w:val="BodyText"/>
        <w:spacing w:line="218" w:lineRule="auto" w:before="107"/>
        <w:ind w:right="38"/>
      </w:pPr>
      <w:r>
        <w:rPr>
          <w:color w:val="231F20"/>
        </w:rPr>
        <w:t>2° le rapport d’échange des actions ou parts et, le cas échéant, le montant de la soulte en espèces;</w:t>
      </w:r>
    </w:p>
    <w:p>
      <w:pPr>
        <w:pStyle w:val="BodyText"/>
        <w:spacing w:line="218" w:lineRule="auto" w:before="119"/>
        <w:ind w:firstLine="0"/>
      </w:pPr>
      <w:r>
        <w:rPr/>
        <w:br w:type="column"/>
      </w:r>
      <w:r>
        <w:rPr>
          <w:color w:val="231F20"/>
          <w:w w:val="105"/>
        </w:rPr>
        <w:t>de</w:t>
      </w:r>
      <w:r>
        <w:rPr>
          <w:color w:val="231F20"/>
          <w:spacing w:val="-10"/>
          <w:w w:val="105"/>
        </w:rPr>
        <w:t> </w:t>
      </w:r>
      <w:r>
        <w:rPr>
          <w:color w:val="231F20"/>
          <w:w w:val="105"/>
        </w:rPr>
        <w:t>schade</w:t>
      </w:r>
      <w:r>
        <w:rPr>
          <w:color w:val="231F20"/>
          <w:spacing w:val="-9"/>
          <w:w w:val="105"/>
        </w:rPr>
        <w:t> </w:t>
      </w:r>
      <w:r>
        <w:rPr>
          <w:color w:val="231F20"/>
          <w:w w:val="105"/>
        </w:rPr>
        <w:t>die</w:t>
      </w:r>
      <w:r>
        <w:rPr>
          <w:color w:val="231F20"/>
          <w:spacing w:val="-10"/>
          <w:w w:val="105"/>
        </w:rPr>
        <w:t> </w:t>
      </w:r>
      <w:r>
        <w:rPr>
          <w:color w:val="231F20"/>
          <w:w w:val="105"/>
        </w:rPr>
        <w:t>hij</w:t>
      </w:r>
      <w:r>
        <w:rPr>
          <w:color w:val="231F20"/>
          <w:spacing w:val="-9"/>
          <w:w w:val="105"/>
        </w:rPr>
        <w:t> </w:t>
      </w:r>
      <w:r>
        <w:rPr>
          <w:color w:val="231F20"/>
          <w:w w:val="105"/>
        </w:rPr>
        <w:t>heeft</w:t>
      </w:r>
      <w:r>
        <w:rPr>
          <w:color w:val="231F20"/>
          <w:spacing w:val="-10"/>
          <w:w w:val="105"/>
        </w:rPr>
        <w:t> </w:t>
      </w:r>
      <w:r>
        <w:rPr>
          <w:color w:val="231F20"/>
          <w:w w:val="105"/>
        </w:rPr>
        <w:t>geleden</w:t>
      </w:r>
      <w:r>
        <w:rPr>
          <w:color w:val="231F20"/>
          <w:spacing w:val="-9"/>
          <w:w w:val="105"/>
        </w:rPr>
        <w:t> </w:t>
      </w:r>
      <w:r>
        <w:rPr>
          <w:color w:val="231F20"/>
          <w:w w:val="105"/>
        </w:rPr>
        <w:t>ten</w:t>
      </w:r>
      <w:r>
        <w:rPr>
          <w:color w:val="231F20"/>
          <w:spacing w:val="-9"/>
          <w:w w:val="105"/>
        </w:rPr>
        <w:t> </w:t>
      </w:r>
      <w:r>
        <w:rPr>
          <w:color w:val="231F20"/>
          <w:w w:val="105"/>
        </w:rPr>
        <w:t>gevolge</w:t>
      </w:r>
      <w:r>
        <w:rPr>
          <w:color w:val="231F20"/>
          <w:spacing w:val="-10"/>
          <w:w w:val="105"/>
        </w:rPr>
        <w:t> </w:t>
      </w:r>
      <w:r>
        <w:rPr>
          <w:color w:val="231F20"/>
          <w:w w:val="105"/>
        </w:rPr>
        <w:t>van</w:t>
      </w:r>
      <w:r>
        <w:rPr>
          <w:color w:val="231F20"/>
          <w:spacing w:val="-9"/>
          <w:w w:val="105"/>
        </w:rPr>
        <w:t> </w:t>
      </w:r>
      <w:r>
        <w:rPr>
          <w:color w:val="231F20"/>
          <w:w w:val="105"/>
        </w:rPr>
        <w:t>een</w:t>
      </w:r>
      <w:r>
        <w:rPr>
          <w:color w:val="231F20"/>
          <w:spacing w:val="-10"/>
          <w:w w:val="105"/>
        </w:rPr>
        <w:t> </w:t>
      </w:r>
      <w:r>
        <w:rPr>
          <w:color w:val="231F20"/>
          <w:w w:val="105"/>
        </w:rPr>
        <w:t>fout</w:t>
      </w:r>
      <w:r>
        <w:rPr>
          <w:color w:val="231F20"/>
          <w:spacing w:val="-9"/>
          <w:w w:val="105"/>
        </w:rPr>
        <w:t> </w:t>
      </w:r>
      <w:r>
        <w:rPr>
          <w:color w:val="231F20"/>
          <w:w w:val="105"/>
        </w:rPr>
        <w:t>die</w:t>
      </w:r>
      <w:r>
        <w:rPr>
          <w:color w:val="231F20"/>
          <w:spacing w:val="-10"/>
          <w:w w:val="105"/>
        </w:rPr>
        <w:t> </w:t>
      </w:r>
      <w:r>
        <w:rPr>
          <w:color w:val="231F20"/>
          <w:w w:val="105"/>
        </w:rPr>
        <w:t>deze</w:t>
      </w:r>
      <w:r>
        <w:rPr>
          <w:color w:val="231F20"/>
          <w:spacing w:val="-9"/>
          <w:w w:val="105"/>
        </w:rPr>
        <w:t> </w:t>
      </w:r>
      <w:r>
        <w:rPr>
          <w:color w:val="231F20"/>
          <w:w w:val="105"/>
        </w:rPr>
        <w:t>bij</w:t>
      </w:r>
      <w:r>
        <w:rPr>
          <w:color w:val="231F20"/>
          <w:spacing w:val="-10"/>
          <w:w w:val="105"/>
        </w:rPr>
        <w:t> </w:t>
      </w:r>
      <w:r>
        <w:rPr>
          <w:color w:val="231F20"/>
          <w:w w:val="105"/>
        </w:rPr>
        <w:t>de vervulling van zijn taak heeft</w:t>
      </w:r>
      <w:r>
        <w:rPr>
          <w:color w:val="231F20"/>
          <w:spacing w:val="12"/>
          <w:w w:val="105"/>
        </w:rPr>
        <w:t> </w:t>
      </w:r>
      <w:r>
        <w:rPr>
          <w:color w:val="231F20"/>
          <w:w w:val="105"/>
        </w:rPr>
        <w:t>begaan.</w:t>
      </w:r>
    </w:p>
    <w:p>
      <w:pPr>
        <w:pStyle w:val="BodyText"/>
        <w:spacing w:line="218" w:lineRule="auto" w:before="97"/>
      </w:pPr>
      <w:r>
        <w:rPr>
          <w:color w:val="231F20"/>
        </w:rPr>
        <w:t>Dit artikel is niet van toepassing bij met fusie door overneming gelijkgestelde verrichtingen.</w:t>
      </w:r>
    </w:p>
    <w:p>
      <w:pPr>
        <w:pStyle w:val="BodyText"/>
        <w:spacing w:before="82"/>
        <w:ind w:left="283" w:right="0" w:firstLine="0"/>
        <w:jc w:val="left"/>
      </w:pPr>
      <w:r>
        <w:rPr>
          <w:color w:val="231F20"/>
          <w:w w:val="105"/>
        </w:rPr>
        <w:t>Afdeling 6. Nietigheid van de fusie of splitsing.</w:t>
      </w:r>
    </w:p>
    <w:p>
      <w:pPr>
        <w:pStyle w:val="BodyText"/>
        <w:spacing w:line="218" w:lineRule="auto" w:before="92"/>
      </w:pPr>
      <w:r>
        <w:rPr>
          <w:color w:val="231F20"/>
        </w:rPr>
        <w:t>Art. 12:19. De ondernemingsrechtbank spreekt op verzoek van de in artikel 2:44 genoemde personen de nietigheid uit van de fusie of splitsing wanneer de opleg in geld meer bedraagt dan een tiende van  de nominale waarde of, bij gebrek aan een nominale waarde, van de fractiewaarde van de uitgereikte aandelen. Indien de verkrijgende vennootschap een vennootschap zonder kapitaal is, wordt met de fractiewaarde gelijkgesteld de inbrengwaarde, zoals die blijkt uit de jaarrekening, van alle door de vennoten of aandeelhouders toegezegde inbrengen in geld of in natura, met uitzondering van de inbrengen in nijverheid, in voorkomend geval, verhoogd met de reserves die op grond van een statutaire bepaling slechts aan de vennoten of aandeel- houders kunnen worden uitgekeerd mits een statutenwijziging, dit  alles</w:t>
      </w:r>
      <w:r>
        <w:rPr>
          <w:color w:val="231F20"/>
          <w:spacing w:val="15"/>
        </w:rPr>
        <w:t> </w:t>
      </w:r>
      <w:r>
        <w:rPr>
          <w:color w:val="231F20"/>
        </w:rPr>
        <w:t>gedeeld</w:t>
      </w:r>
      <w:r>
        <w:rPr>
          <w:color w:val="231F20"/>
          <w:spacing w:val="15"/>
        </w:rPr>
        <w:t> </w:t>
      </w:r>
      <w:r>
        <w:rPr>
          <w:color w:val="231F20"/>
        </w:rPr>
        <w:t>door</w:t>
      </w:r>
      <w:r>
        <w:rPr>
          <w:color w:val="231F20"/>
          <w:spacing w:val="16"/>
        </w:rPr>
        <w:t> </w:t>
      </w:r>
      <w:r>
        <w:rPr>
          <w:color w:val="231F20"/>
        </w:rPr>
        <w:t>het</w:t>
      </w:r>
      <w:r>
        <w:rPr>
          <w:color w:val="231F20"/>
          <w:spacing w:val="15"/>
        </w:rPr>
        <w:t> </w:t>
      </w:r>
      <w:r>
        <w:rPr>
          <w:color w:val="231F20"/>
        </w:rPr>
        <w:t>aantal</w:t>
      </w:r>
      <w:r>
        <w:rPr>
          <w:color w:val="231F20"/>
          <w:spacing w:val="16"/>
        </w:rPr>
        <w:t> </w:t>
      </w:r>
      <w:r>
        <w:rPr>
          <w:color w:val="231F20"/>
        </w:rPr>
        <w:t>aandelen.</w:t>
      </w:r>
    </w:p>
    <w:p>
      <w:pPr>
        <w:pStyle w:val="BodyText"/>
        <w:spacing w:line="218" w:lineRule="auto" w:before="97"/>
      </w:pPr>
      <w:r>
        <w:rPr>
          <w:color w:val="231F20"/>
        </w:rPr>
        <w:t>Indien de nietigverklaring afbreuk kan doen aan rechten die een derde te goeder trouw jegens de verkrijgende vennootschap heeft verkregen, kan de rechtbank verklaren dat de nietigheid ten opzichte van die rechten geen gevolg heeft, onverminderd het recht op schadevergoeding van de eiser, indien daartoe grond bestaat.</w:t>
      </w:r>
    </w:p>
    <w:p>
      <w:pPr>
        <w:pStyle w:val="BodyText"/>
        <w:spacing w:line="218" w:lineRule="auto" w:before="97"/>
      </w:pPr>
      <w:r>
        <w:rPr>
          <w:color w:val="231F20"/>
        </w:rPr>
        <w:t>Art. 12:20. De ondernemingsrechtbank kan, op verzoek van de in artikel 2:44 genoemde personen, de nietigheid van de fusie of splitsing uitspreken indien de besluiten van de algemene vergaderingen of van de bestuursorganen die de fusie of splitsing hebben goedgekeurd niet bij authentieke akte zijn vastgesteld, of indien die besluiten werden genomen terwijl de door dit boek voorgeschreven verslagen van het bestuursorgaan, de commissaris, de bedrijfsrevisor of de externe accountant niet voorlagen, of indien zij zijn aangetast door een andere nietigheidsgrond.</w:t>
      </w:r>
    </w:p>
    <w:p>
      <w:pPr>
        <w:pStyle w:val="BodyText"/>
        <w:spacing w:line="218" w:lineRule="auto" w:before="97"/>
      </w:pPr>
      <w:r>
        <w:rPr>
          <w:color w:val="231F20"/>
          <w:spacing w:val="-3"/>
        </w:rPr>
        <w:t>Wanneer </w:t>
      </w:r>
      <w:r>
        <w:rPr>
          <w:color w:val="231F20"/>
        </w:rPr>
        <w:t>herstel van het gebrek dat tot de vernietiging van de fusie  of splitsing kan leiden mogelijk is, verleent de rechtbank daartoe aan de betrokken vennootschappen een termijn om de toestand te regularise- ren.</w:t>
      </w:r>
    </w:p>
    <w:p>
      <w:pPr>
        <w:pStyle w:val="BodyText"/>
        <w:spacing w:line="218" w:lineRule="auto" w:before="96"/>
      </w:pPr>
      <w:r>
        <w:rPr>
          <w:color w:val="231F20"/>
        </w:rPr>
        <w:t>Art. 12:21. De rechterlijke beslissing waarbij de nietigheid van een fusie of splitsing door oprichting wordt uitgesproken, verklaart eveneens de nieuwe vennootschappen nietig.</w:t>
      </w:r>
    </w:p>
    <w:p>
      <w:pPr>
        <w:pStyle w:val="BodyText"/>
        <w:spacing w:line="218" w:lineRule="auto" w:before="96"/>
      </w:pPr>
      <w:r>
        <w:rPr>
          <w:color w:val="231F20"/>
        </w:rPr>
        <w:t>Art. 12:22. Het uittreksel uit de in kracht van gewijsde gegane of bij voorraad uitvoerbare rechterlijke beslissing waarbij de nietigheid van een fusie of van een splitsing van een vennootschap wordt uitgespro- ken, alsook het uittreksel uit de rechterlijke beslissing waarbij het voornoemde bij voorraad uitvoerbare vonnis wordt</w:t>
      </w:r>
      <w:r>
        <w:rPr>
          <w:color w:val="231F20"/>
          <w:spacing w:val="35"/>
        </w:rPr>
        <w:t> </w:t>
      </w:r>
      <w:r>
        <w:rPr>
          <w:color w:val="231F20"/>
        </w:rPr>
        <w:t>tenietgedaan, worden  neergelegd  en  bekendgemaakt  overeenkomstig  de  artike- len 2:8 en 2:14,</w:t>
      </w:r>
      <w:r>
        <w:rPr>
          <w:color w:val="231F20"/>
          <w:spacing w:val="16"/>
        </w:rPr>
        <w:t> </w:t>
      </w:r>
      <w:r>
        <w:rPr>
          <w:color w:val="231F20"/>
        </w:rPr>
        <w:t>1°.</w:t>
      </w:r>
    </w:p>
    <w:p>
      <w:pPr>
        <w:pStyle w:val="BodyText"/>
        <w:spacing w:before="83"/>
        <w:ind w:left="283" w:right="0" w:firstLine="0"/>
        <w:jc w:val="left"/>
      </w:pPr>
      <w:r>
        <w:rPr>
          <w:color w:val="231F20"/>
        </w:rPr>
        <w:t>Dat uittreksel vermeldt:</w:t>
      </w:r>
    </w:p>
    <w:p>
      <w:pPr>
        <w:pStyle w:val="BodyText"/>
        <w:spacing w:line="218" w:lineRule="auto" w:before="92"/>
        <w:ind w:right="125"/>
      </w:pPr>
      <w:r>
        <w:rPr>
          <w:color w:val="231F20"/>
        </w:rPr>
        <w:t>1° de naam van elk van de vennootschappen die aan de fusie of de splitsing hebben deelgenomen;</w:t>
      </w:r>
    </w:p>
    <w:p>
      <w:pPr>
        <w:pStyle w:val="BodyText"/>
        <w:spacing w:line="270" w:lineRule="atLeast" w:before="5"/>
        <w:ind w:left="283" w:hanging="1"/>
        <w:jc w:val="left"/>
      </w:pPr>
      <w:r>
        <w:rPr>
          <w:color w:val="231F20"/>
        </w:rPr>
        <w:t>2° de datum van de beslissing en de rechter die ze heeft gewezen;     3°</w:t>
      </w:r>
      <w:r>
        <w:rPr>
          <w:color w:val="231F20"/>
          <w:spacing w:val="11"/>
        </w:rPr>
        <w:t> </w:t>
      </w:r>
      <w:r>
        <w:rPr>
          <w:color w:val="231F20"/>
        </w:rPr>
        <w:t>in</w:t>
      </w:r>
      <w:r>
        <w:rPr>
          <w:color w:val="231F20"/>
          <w:spacing w:val="12"/>
        </w:rPr>
        <w:t> </w:t>
      </w:r>
      <w:r>
        <w:rPr>
          <w:color w:val="231F20"/>
        </w:rPr>
        <w:t>voorkomend</w:t>
      </w:r>
      <w:r>
        <w:rPr>
          <w:color w:val="231F20"/>
          <w:spacing w:val="12"/>
        </w:rPr>
        <w:t> </w:t>
      </w:r>
      <w:r>
        <w:rPr>
          <w:color w:val="231F20"/>
        </w:rPr>
        <w:t>geval,</w:t>
      </w:r>
      <w:r>
        <w:rPr>
          <w:color w:val="231F20"/>
          <w:spacing w:val="11"/>
        </w:rPr>
        <w:t> </w:t>
      </w:r>
      <w:r>
        <w:rPr>
          <w:color w:val="231F20"/>
        </w:rPr>
        <w:t>de</w:t>
      </w:r>
      <w:r>
        <w:rPr>
          <w:color w:val="231F20"/>
          <w:spacing w:val="12"/>
        </w:rPr>
        <w:t> </w:t>
      </w:r>
      <w:r>
        <w:rPr>
          <w:color w:val="231F20"/>
        </w:rPr>
        <w:t>naam,</w:t>
      </w:r>
      <w:r>
        <w:rPr>
          <w:color w:val="231F20"/>
          <w:spacing w:val="11"/>
        </w:rPr>
        <w:t> </w:t>
      </w:r>
      <w:r>
        <w:rPr>
          <w:color w:val="231F20"/>
        </w:rPr>
        <w:t>de</w:t>
      </w:r>
      <w:r>
        <w:rPr>
          <w:color w:val="231F20"/>
          <w:spacing w:val="12"/>
        </w:rPr>
        <w:t> </w:t>
      </w:r>
      <w:r>
        <w:rPr>
          <w:color w:val="231F20"/>
        </w:rPr>
        <w:t>voornaam</w:t>
      </w:r>
      <w:r>
        <w:rPr>
          <w:color w:val="231F20"/>
          <w:spacing w:val="12"/>
        </w:rPr>
        <w:t> </w:t>
      </w:r>
      <w:r>
        <w:rPr>
          <w:color w:val="231F20"/>
        </w:rPr>
        <w:t>en</w:t>
      </w:r>
      <w:r>
        <w:rPr>
          <w:color w:val="231F20"/>
          <w:spacing w:val="11"/>
        </w:rPr>
        <w:t> </w:t>
      </w:r>
      <w:r>
        <w:rPr>
          <w:color w:val="231F20"/>
        </w:rPr>
        <w:t>het</w:t>
      </w:r>
      <w:r>
        <w:rPr>
          <w:color w:val="231F20"/>
          <w:spacing w:val="12"/>
        </w:rPr>
        <w:t> </w:t>
      </w:r>
      <w:r>
        <w:rPr>
          <w:color w:val="231F20"/>
        </w:rPr>
        <w:t>adres</w:t>
      </w:r>
      <w:r>
        <w:rPr>
          <w:color w:val="231F20"/>
          <w:spacing w:val="12"/>
        </w:rPr>
        <w:t> </w:t>
      </w:r>
      <w:r>
        <w:rPr>
          <w:color w:val="231F20"/>
        </w:rPr>
        <w:t>van</w:t>
      </w:r>
      <w:r>
        <w:rPr>
          <w:color w:val="231F20"/>
          <w:spacing w:val="11"/>
        </w:rPr>
        <w:t> </w:t>
      </w:r>
      <w:r>
        <w:rPr>
          <w:color w:val="231F20"/>
        </w:rPr>
        <w:t>de</w:t>
      </w:r>
    </w:p>
    <w:p>
      <w:pPr>
        <w:pStyle w:val="BodyText"/>
        <w:spacing w:line="218" w:lineRule="auto"/>
        <w:ind w:firstLine="0"/>
      </w:pPr>
      <w:r>
        <w:rPr>
          <w:color w:val="231F20"/>
        </w:rPr>
        <w:t>vereffenaars; ingeval de vereffenaar een rechtspersoon is, bevat het uittreksel de naam van de vaste vertegenwoordiger van die rechtsper- soon.</w:t>
      </w:r>
    </w:p>
    <w:p>
      <w:pPr>
        <w:pStyle w:val="BodyText"/>
        <w:spacing w:line="218" w:lineRule="auto" w:before="95"/>
      </w:pPr>
      <w:r>
        <w:rPr>
          <w:color w:val="231F20"/>
        </w:rPr>
        <w:t>Art. 12:23. De nietigheid doet op zichzelf geen afbreuk aan de geldigheid van de verbintenissen die ten laste of ten gunste van</w:t>
      </w:r>
      <w:r>
        <w:rPr>
          <w:color w:val="231F20"/>
          <w:spacing w:val="15"/>
        </w:rPr>
        <w:t> </w:t>
      </w:r>
      <w:r>
        <w:rPr>
          <w:color w:val="231F20"/>
        </w:rPr>
        <w:t>de verkrijgende vennootschappen zijn ontstaan tussen de dag waarop de fusie of de splitsing overeenkomstig artikel 12:32, tweede  lid,  of  artikel 12:69, tweede lid, is voltrokken en de dag van de bekendmaking van de beslissing waarbij de nietigheid van de fusie of splitsing wordt uitgesproken.</w:t>
      </w:r>
    </w:p>
    <w:p>
      <w:pPr>
        <w:pStyle w:val="BodyText"/>
        <w:spacing w:line="218" w:lineRule="auto" w:before="107"/>
      </w:pPr>
      <w:r>
        <w:rPr>
          <w:color w:val="231F20"/>
        </w:rPr>
        <w:t>De vennootschappen die aan de fusie of de splitsing hebben deelgenomen, zijn hoofdelijk aansprakelijk voor zodanige verbintenis- sen die ten laste van de verkrijgende vennootschappen zijn ontstaan.</w:t>
      </w:r>
    </w:p>
    <w:p>
      <w:pPr>
        <w:pStyle w:val="BodyText"/>
        <w:spacing w:line="350" w:lineRule="auto" w:before="93"/>
        <w:ind w:left="283" w:right="0" w:firstLine="0"/>
        <w:jc w:val="left"/>
      </w:pPr>
      <w:r>
        <w:rPr>
          <w:color w:val="231F20"/>
        </w:rPr>
        <w:t>HOOFDSTUK 2. Te volgen procedure bij fusie van vennootschappen. Afdeling 1. Procedure bij fusie door overneming.</w:t>
      </w:r>
    </w:p>
    <w:p>
      <w:pPr>
        <w:pStyle w:val="BodyText"/>
        <w:spacing w:line="218" w:lineRule="auto" w:before="15"/>
      </w:pPr>
      <w:r>
        <w:rPr>
          <w:color w:val="231F20"/>
        </w:rPr>
        <w:t>Art. 12:24. De bestuursorganen van de te fuseren vennootschappen stellen bij authentieke of bij onderhandse akte een fusievoorstel op.</w:t>
      </w:r>
    </w:p>
    <w:p>
      <w:pPr>
        <w:pStyle w:val="BodyText"/>
        <w:spacing w:before="7"/>
        <w:ind w:left="0" w:right="0" w:firstLine="0"/>
        <w:jc w:val="left"/>
        <w:rPr>
          <w:sz w:val="23"/>
        </w:rPr>
      </w:pPr>
    </w:p>
    <w:p>
      <w:pPr>
        <w:pStyle w:val="BodyText"/>
        <w:ind w:left="283" w:right="0" w:firstLine="0"/>
        <w:jc w:val="left"/>
      </w:pPr>
      <w:r>
        <w:rPr>
          <w:color w:val="231F20"/>
        </w:rPr>
        <w:t>Het fusievoorstel vermeldt ten minste:</w:t>
      </w:r>
    </w:p>
    <w:p>
      <w:pPr>
        <w:pStyle w:val="BodyText"/>
        <w:spacing w:line="218" w:lineRule="auto" w:before="104"/>
      </w:pPr>
      <w:r>
        <w:rPr>
          <w:color w:val="231F20"/>
        </w:rPr>
        <w:t>1° de rechtsvorm, de naam, het voorwerp en de zetel van de te fuseren</w:t>
      </w:r>
      <w:r>
        <w:rPr>
          <w:color w:val="231F20"/>
          <w:spacing w:val="15"/>
        </w:rPr>
        <w:t> </w:t>
      </w:r>
      <w:r>
        <w:rPr>
          <w:color w:val="231F20"/>
        </w:rPr>
        <w:t>vennootschappen;</w:t>
      </w:r>
    </w:p>
    <w:p>
      <w:pPr>
        <w:pStyle w:val="BodyText"/>
        <w:spacing w:line="218" w:lineRule="auto" w:before="106"/>
      </w:pPr>
      <w:r>
        <w:rPr>
          <w:color w:val="231F20"/>
        </w:rPr>
        <w:t>2° de ruilverhouding van de aandelen en, in voorkomend geval, het bedrag van de opleg in geld;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9"/>
      </w:pPr>
      <w:r>
        <w:rPr/>
        <w:pict>
          <v:line style="position:absolute;mso-position-horizontal-relative:page;mso-position-vertical-relative:page;z-index:6448" from="298.170502pt,64.473pt" to="298.170502pt,812.819pt" stroked="true" strokeweight=".533pt" strokecolor="#231f20">
            <v:stroke dashstyle="solid"/>
            <w10:wrap type="none"/>
          </v:line>
        </w:pict>
      </w:r>
      <w:bookmarkStart w:name="_bookmark226" w:id="232"/>
      <w:bookmarkEnd w:id="232"/>
      <w:r>
        <w:rPr/>
      </w:r>
      <w:r>
        <w:rPr>
          <w:color w:val="231F20"/>
        </w:rPr>
        <w:t>3° les modalités de remise des actions ou parts de la société absorbante;</w:t>
      </w:r>
    </w:p>
    <w:p>
      <w:pPr>
        <w:pStyle w:val="BodyText"/>
        <w:spacing w:line="218" w:lineRule="auto" w:before="85"/>
        <w:ind w:right="39"/>
      </w:pPr>
      <w:r>
        <w:rPr>
          <w:color w:val="231F20"/>
        </w:rPr>
        <w:t>4° la date à partir de laquelle ces actions ou parts donnent le droit de participer aux bénéfices, ainsi que toute modalité particulière relative à ce droit;</w:t>
      </w:r>
    </w:p>
    <w:p>
      <w:pPr>
        <w:pStyle w:val="BodyText"/>
        <w:spacing w:line="218" w:lineRule="auto" w:before="86"/>
        <w:ind w:right="38"/>
      </w:pPr>
      <w:r>
        <w:rPr>
          <w:color w:val="231F20"/>
        </w:rPr>
        <w:t>5° la date à partir de laquelle les opérations de la société à absorber sont considérées du point de vue comptable comme accomplies pour le compte de la société absorbante, cette date ne pouvant remonter avant le premier jour qui suit la clôture de l’exercice social dont les comptes annuels des sociétés concernées par l’opération ont déjà été approuvés;</w:t>
      </w:r>
    </w:p>
    <w:p>
      <w:pPr>
        <w:pStyle w:val="BodyText"/>
        <w:ind w:left="0" w:right="0" w:firstLine="0"/>
        <w:jc w:val="left"/>
        <w:rPr>
          <w:sz w:val="23"/>
        </w:rPr>
      </w:pPr>
    </w:p>
    <w:p>
      <w:pPr>
        <w:pStyle w:val="BodyText"/>
        <w:spacing w:line="218" w:lineRule="auto"/>
        <w:ind w:right="38"/>
      </w:pPr>
      <w:r>
        <w:rPr>
          <w:color w:val="231F20"/>
        </w:rPr>
        <w:t>6° les droits attribués par la société absorbante aux associés ou actionnaires des sociétés à absorber qui ont des droits spéciaux, ainsi qu’aux titulaires de titres autres que les parts ou actions, ou les mesures proposées à leur égard;</w:t>
      </w:r>
    </w:p>
    <w:p>
      <w:pPr>
        <w:pStyle w:val="BodyText"/>
        <w:spacing w:line="218" w:lineRule="auto" w:before="86"/>
        <w:ind w:right="38"/>
      </w:pPr>
      <w:r>
        <w:rPr>
          <w:color w:val="231F20"/>
        </w:rPr>
        <w:t>7° les émoluments attribués aux commissaires ou aux réviseurs d’entreprises ou experts-comptables externes pour la rédaction du rapport prévu à l’article 12:26;</w:t>
      </w:r>
    </w:p>
    <w:p>
      <w:pPr>
        <w:pStyle w:val="BodyText"/>
        <w:spacing w:line="218" w:lineRule="auto" w:before="85"/>
        <w:ind w:right="39"/>
      </w:pPr>
      <w:r>
        <w:rPr>
          <w:color w:val="231F20"/>
        </w:rPr>
        <w:t>8° tout avantage particulier attribué aux membres des organes d’administration des sociétés appelées à fusionner.</w:t>
      </w:r>
    </w:p>
    <w:p>
      <w:pPr>
        <w:pStyle w:val="BodyText"/>
        <w:spacing w:line="218" w:lineRule="auto" w:before="86"/>
        <w:ind w:right="38"/>
      </w:pPr>
      <w:r>
        <w:rPr>
          <w:color w:val="231F20"/>
        </w:rPr>
        <w:t>Le projet de fusion doit être déposé par chaque société concernée par la fusion au </w:t>
      </w:r>
      <w:r>
        <w:rPr>
          <w:color w:val="231F20"/>
          <w:spacing w:val="-3"/>
        </w:rPr>
        <w:t>greffe </w:t>
      </w:r>
      <w:r>
        <w:rPr>
          <w:color w:val="231F20"/>
        </w:rPr>
        <w:t>du tribunal de l’entreprise de son siège et publié par extrait ou mention conformément respectivement aux articles 2:8 et 2:14, 1° ou 4°. Dans ce dernier cas, la mention comporte un lien hypertexte</w:t>
      </w:r>
      <w:r>
        <w:rPr>
          <w:color w:val="231F20"/>
          <w:spacing w:val="-3"/>
        </w:rPr>
        <w:t> </w:t>
      </w:r>
      <w:r>
        <w:rPr>
          <w:color w:val="231F20"/>
        </w:rPr>
        <w:t>vers</w:t>
      </w:r>
      <w:r>
        <w:rPr>
          <w:color w:val="231F20"/>
          <w:spacing w:val="-2"/>
        </w:rPr>
        <w:t> </w:t>
      </w:r>
      <w:r>
        <w:rPr>
          <w:color w:val="231F20"/>
        </w:rPr>
        <w:t>le</w:t>
      </w:r>
      <w:r>
        <w:rPr>
          <w:color w:val="231F20"/>
          <w:spacing w:val="-2"/>
        </w:rPr>
        <w:t> </w:t>
      </w:r>
      <w:r>
        <w:rPr>
          <w:color w:val="231F20"/>
        </w:rPr>
        <w:t>site</w:t>
      </w:r>
      <w:r>
        <w:rPr>
          <w:color w:val="231F20"/>
          <w:spacing w:val="-3"/>
        </w:rPr>
        <w:t> </w:t>
      </w:r>
      <w:r>
        <w:rPr>
          <w:color w:val="231F20"/>
        </w:rPr>
        <w:t>internet</w:t>
      </w:r>
      <w:r>
        <w:rPr>
          <w:color w:val="231F20"/>
          <w:spacing w:val="-2"/>
        </w:rPr>
        <w:t> </w:t>
      </w:r>
      <w:r>
        <w:rPr>
          <w:color w:val="231F20"/>
        </w:rPr>
        <w:t>de</w:t>
      </w:r>
      <w:r>
        <w:rPr>
          <w:color w:val="231F20"/>
          <w:spacing w:val="-2"/>
        </w:rPr>
        <w:t> </w:t>
      </w:r>
      <w:r>
        <w:rPr>
          <w:color w:val="231F20"/>
        </w:rPr>
        <w:t>la</w:t>
      </w:r>
      <w:r>
        <w:rPr>
          <w:color w:val="231F20"/>
          <w:spacing w:val="-3"/>
        </w:rPr>
        <w:t> </w:t>
      </w:r>
      <w:r>
        <w:rPr>
          <w:color w:val="231F20"/>
        </w:rPr>
        <w:t>société.</w:t>
      </w:r>
      <w:r>
        <w:rPr>
          <w:color w:val="231F20"/>
          <w:spacing w:val="-2"/>
        </w:rPr>
        <w:t> </w:t>
      </w:r>
      <w:r>
        <w:rPr>
          <w:color w:val="231F20"/>
        </w:rPr>
        <w:t>Le</w:t>
      </w:r>
      <w:r>
        <w:rPr>
          <w:color w:val="231F20"/>
          <w:spacing w:val="-2"/>
        </w:rPr>
        <w:t> </w:t>
      </w:r>
      <w:r>
        <w:rPr>
          <w:color w:val="231F20"/>
        </w:rPr>
        <w:t>dépôt</w:t>
      </w:r>
      <w:r>
        <w:rPr>
          <w:color w:val="231F20"/>
          <w:spacing w:val="-3"/>
        </w:rPr>
        <w:t> </w:t>
      </w:r>
      <w:r>
        <w:rPr>
          <w:color w:val="231F20"/>
        </w:rPr>
        <w:t>a</w:t>
      </w:r>
      <w:r>
        <w:rPr>
          <w:color w:val="231F20"/>
          <w:spacing w:val="-2"/>
        </w:rPr>
        <w:t> </w:t>
      </w:r>
      <w:r>
        <w:rPr>
          <w:color w:val="231F20"/>
        </w:rPr>
        <w:t>lieu</w:t>
      </w:r>
      <w:r>
        <w:rPr>
          <w:color w:val="231F20"/>
          <w:spacing w:val="-2"/>
        </w:rPr>
        <w:t> </w:t>
      </w:r>
      <w:r>
        <w:rPr>
          <w:color w:val="231F20"/>
        </w:rPr>
        <w:t>six</w:t>
      </w:r>
      <w:r>
        <w:rPr>
          <w:color w:val="231F20"/>
          <w:spacing w:val="-3"/>
        </w:rPr>
        <w:t> </w:t>
      </w:r>
      <w:r>
        <w:rPr>
          <w:color w:val="231F20"/>
        </w:rPr>
        <w:t>semaines au</w:t>
      </w:r>
      <w:r>
        <w:rPr>
          <w:color w:val="231F20"/>
          <w:spacing w:val="13"/>
        </w:rPr>
        <w:t> </w:t>
      </w:r>
      <w:r>
        <w:rPr>
          <w:color w:val="231F20"/>
        </w:rPr>
        <w:t>moins</w:t>
      </w:r>
      <w:r>
        <w:rPr>
          <w:color w:val="231F20"/>
          <w:spacing w:val="14"/>
        </w:rPr>
        <w:t> </w:t>
      </w:r>
      <w:r>
        <w:rPr>
          <w:color w:val="231F20"/>
        </w:rPr>
        <w:t>avant</w:t>
      </w:r>
      <w:r>
        <w:rPr>
          <w:color w:val="231F20"/>
          <w:spacing w:val="14"/>
        </w:rPr>
        <w:t> </w:t>
      </w:r>
      <w:r>
        <w:rPr>
          <w:color w:val="231F20"/>
        </w:rPr>
        <w:t>la</w:t>
      </w:r>
      <w:r>
        <w:rPr>
          <w:color w:val="231F20"/>
          <w:spacing w:val="14"/>
        </w:rPr>
        <w:t> </w:t>
      </w:r>
      <w:r>
        <w:rPr>
          <w:color w:val="231F20"/>
        </w:rPr>
        <w:t>décision</w:t>
      </w:r>
      <w:r>
        <w:rPr>
          <w:color w:val="231F20"/>
          <w:spacing w:val="14"/>
        </w:rPr>
        <w:t> </w:t>
      </w:r>
      <w:r>
        <w:rPr>
          <w:color w:val="231F20"/>
        </w:rPr>
        <w:t>de</w:t>
      </w:r>
      <w:r>
        <w:rPr>
          <w:color w:val="231F20"/>
          <w:spacing w:val="14"/>
        </w:rPr>
        <w:t> </w:t>
      </w:r>
      <w:r>
        <w:rPr>
          <w:color w:val="231F20"/>
        </w:rPr>
        <w:t>fusion</w:t>
      </w:r>
      <w:r>
        <w:rPr>
          <w:color w:val="231F20"/>
          <w:spacing w:val="14"/>
        </w:rPr>
        <w:t> </w:t>
      </w:r>
      <w:r>
        <w:rPr>
          <w:color w:val="231F20"/>
        </w:rPr>
        <w:t>mentionnée</w:t>
      </w:r>
      <w:r>
        <w:rPr>
          <w:color w:val="231F20"/>
          <w:spacing w:val="14"/>
        </w:rPr>
        <w:t> </w:t>
      </w:r>
      <w:r>
        <w:rPr>
          <w:color w:val="231F20"/>
        </w:rPr>
        <w:t>à</w:t>
      </w:r>
      <w:r>
        <w:rPr>
          <w:color w:val="231F20"/>
          <w:spacing w:val="14"/>
        </w:rPr>
        <w:t> </w:t>
      </w:r>
      <w:r>
        <w:rPr>
          <w:color w:val="231F20"/>
        </w:rPr>
        <w:t>l’article</w:t>
      </w:r>
      <w:r>
        <w:rPr>
          <w:color w:val="231F20"/>
          <w:spacing w:val="14"/>
        </w:rPr>
        <w:t> </w:t>
      </w:r>
      <w:r>
        <w:rPr>
          <w:color w:val="231F20"/>
        </w:rPr>
        <w:t>12:30.</w:t>
      </w:r>
    </w:p>
    <w:p>
      <w:pPr>
        <w:pStyle w:val="BodyText"/>
        <w:ind w:left="0" w:right="0" w:firstLine="0"/>
        <w:jc w:val="left"/>
        <w:rPr>
          <w:sz w:val="23"/>
        </w:rPr>
      </w:pPr>
    </w:p>
    <w:p>
      <w:pPr>
        <w:pStyle w:val="BodyText"/>
        <w:spacing w:line="218" w:lineRule="auto"/>
        <w:ind w:right="38"/>
      </w:pPr>
      <w:r>
        <w:rPr>
          <w:color w:val="231F20"/>
        </w:rPr>
        <w:t>Art. 12:25. Dans chaque société, l’organe d’administration établit un rapport écrit et circonstancié qui expose la situation patrimoniale des sociétés appelées à fusionner et qui explique et justifie, d’un point de vue juridique et économique, l’opportunité, les conditions, les modali- tés et les conséquences de la fusion, les méthodes suivies pour la détermination du rapport d’échange des actions ou des parts, l’impor- tance relative qui est donnée à ces méthodes, l’évaluation à laquelle chaque méthode parvient, les difficultés éventuellement rencontrées, et le rapport d’échange proposé.</w:t>
      </w:r>
    </w:p>
    <w:p>
      <w:pPr>
        <w:pStyle w:val="BodyText"/>
        <w:spacing w:before="8"/>
        <w:ind w:left="0" w:right="0" w:firstLine="0"/>
        <w:jc w:val="left"/>
        <w:rPr>
          <w:sz w:val="21"/>
        </w:rPr>
      </w:pPr>
    </w:p>
    <w:p>
      <w:pPr>
        <w:pStyle w:val="BodyText"/>
        <w:spacing w:line="218" w:lineRule="auto"/>
        <w:ind w:right="38"/>
      </w:pPr>
      <w:r>
        <w:rPr>
          <w:color w:val="231F20"/>
        </w:rPr>
        <w:t>L’alinéa 1</w:t>
      </w:r>
      <w:r>
        <w:rPr>
          <w:color w:val="231F20"/>
          <w:position w:val="7"/>
          <w:sz w:val="11"/>
        </w:rPr>
        <w:t>er </w:t>
      </w:r>
      <w:r>
        <w:rPr>
          <w:color w:val="231F20"/>
        </w:rPr>
        <w:t>n’est pas applicable si tous les associés ou actionnnaires  et les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line="218" w:lineRule="auto" w:before="81"/>
        <w:ind w:right="39"/>
      </w:pPr>
      <w:r>
        <w:rPr>
          <w:color w:val="231F20"/>
        </w:rPr>
        <w:t>Art. 12:26. § 1</w:t>
      </w:r>
      <w:r>
        <w:rPr>
          <w:color w:val="231F20"/>
          <w:position w:val="7"/>
          <w:sz w:val="11"/>
        </w:rPr>
        <w:t>er</w:t>
      </w:r>
      <w:r>
        <w:rPr>
          <w:color w:val="231F20"/>
        </w:rPr>
        <w:t>. Dans chaque société, le commissaire, ou, lorsqu’il n’y a pas de commissaire, un réviseur d’entreprises ou un expert- comptable externe désigné par l’organe d’administration, établit un rapport écrit sur le projet de fusion.</w:t>
      </w:r>
    </w:p>
    <w:p>
      <w:pPr>
        <w:pStyle w:val="BodyText"/>
        <w:spacing w:line="218" w:lineRule="auto" w:before="96"/>
        <w:ind w:right="39"/>
      </w:pPr>
      <w:r>
        <w:rPr>
          <w:color w:val="231F20"/>
        </w:rPr>
        <w:t>Le commissaire ou le réviseur d’entreprises ou expert-comptable externe désigné doit notamment déclarer si, à son avis, le rapport d’échange est ou non pertinent et raisonnable.</w:t>
      </w:r>
    </w:p>
    <w:p>
      <w:pPr>
        <w:pStyle w:val="BodyText"/>
        <w:spacing w:before="83"/>
        <w:ind w:left="283" w:right="0" w:firstLine="0"/>
        <w:jc w:val="left"/>
      </w:pPr>
      <w:r>
        <w:rPr>
          <w:color w:val="231F20"/>
        </w:rPr>
        <w:t>Cette déclaration doit au moins:</w:t>
      </w:r>
    </w:p>
    <w:p>
      <w:pPr>
        <w:pStyle w:val="BodyText"/>
        <w:spacing w:line="218" w:lineRule="auto" w:before="92"/>
        <w:ind w:right="39"/>
      </w:pPr>
      <w:r>
        <w:rPr>
          <w:color w:val="231F20"/>
        </w:rPr>
        <w:t>1° indiquer les méthodes suivies pour la détermination du rapport d’échange proposé;</w:t>
      </w:r>
    </w:p>
    <w:p>
      <w:pPr>
        <w:pStyle w:val="BodyText"/>
        <w:spacing w:line="218" w:lineRule="auto" w:before="96"/>
        <w:ind w:right="38"/>
      </w:pPr>
      <w:r>
        <w:rPr>
          <w:color w:val="231F20"/>
        </w:rPr>
        <w:t>2° indiquer si ces méthodes sont appropriées en l’espèce et mention- ner l’évaluation à laquelle chacune de ces méthodes conduit, un avis étant donné sur l’importance relative donnée à ces méthodes dans la détermination de la valeur retenue.</w:t>
      </w:r>
    </w:p>
    <w:p>
      <w:pPr>
        <w:pStyle w:val="BodyText"/>
        <w:spacing w:line="218" w:lineRule="auto" w:before="97"/>
        <w:ind w:right="38"/>
      </w:pPr>
      <w:r>
        <w:rPr>
          <w:color w:val="231F20"/>
        </w:rPr>
        <w:t>Le</w:t>
      </w:r>
      <w:r>
        <w:rPr>
          <w:color w:val="231F20"/>
          <w:spacing w:val="-4"/>
        </w:rPr>
        <w:t> </w:t>
      </w:r>
      <w:r>
        <w:rPr>
          <w:color w:val="231F20"/>
        </w:rPr>
        <w:t>rapport</w:t>
      </w:r>
      <w:r>
        <w:rPr>
          <w:color w:val="231F20"/>
          <w:spacing w:val="-4"/>
        </w:rPr>
        <w:t> </w:t>
      </w:r>
      <w:r>
        <w:rPr>
          <w:color w:val="231F20"/>
        </w:rPr>
        <w:t>indique</w:t>
      </w:r>
      <w:r>
        <w:rPr>
          <w:color w:val="231F20"/>
          <w:spacing w:val="-3"/>
        </w:rPr>
        <w:t> </w:t>
      </w:r>
      <w:r>
        <w:rPr>
          <w:color w:val="231F20"/>
        </w:rPr>
        <w:t>en</w:t>
      </w:r>
      <w:r>
        <w:rPr>
          <w:color w:val="231F20"/>
          <w:spacing w:val="-4"/>
        </w:rPr>
        <w:t> </w:t>
      </w:r>
      <w:r>
        <w:rPr>
          <w:color w:val="231F20"/>
        </w:rPr>
        <w:t>outre,</w:t>
      </w:r>
      <w:r>
        <w:rPr>
          <w:color w:val="231F20"/>
          <w:spacing w:val="-3"/>
        </w:rPr>
        <w:t> </w:t>
      </w:r>
      <w:r>
        <w:rPr>
          <w:color w:val="231F20"/>
        </w:rPr>
        <w:t>le</w:t>
      </w:r>
      <w:r>
        <w:rPr>
          <w:color w:val="231F20"/>
          <w:spacing w:val="-4"/>
        </w:rPr>
        <w:t> </w:t>
      </w:r>
      <w:r>
        <w:rPr>
          <w:color w:val="231F20"/>
        </w:rPr>
        <w:t>cas</w:t>
      </w:r>
      <w:r>
        <w:rPr>
          <w:color w:val="231F20"/>
          <w:spacing w:val="-3"/>
        </w:rPr>
        <w:t> </w:t>
      </w:r>
      <w:r>
        <w:rPr>
          <w:color w:val="231F20"/>
        </w:rPr>
        <w:t>échéant,</w:t>
      </w:r>
      <w:r>
        <w:rPr>
          <w:color w:val="231F20"/>
          <w:spacing w:val="-4"/>
        </w:rPr>
        <w:t> </w:t>
      </w:r>
      <w:r>
        <w:rPr>
          <w:color w:val="231F20"/>
        </w:rPr>
        <w:t>les</w:t>
      </w:r>
      <w:r>
        <w:rPr>
          <w:color w:val="231F20"/>
          <w:spacing w:val="-3"/>
        </w:rPr>
        <w:t> difficultés</w:t>
      </w:r>
      <w:r>
        <w:rPr>
          <w:color w:val="231F20"/>
          <w:spacing w:val="-4"/>
        </w:rPr>
        <w:t> </w:t>
      </w:r>
      <w:r>
        <w:rPr>
          <w:color w:val="231F20"/>
        </w:rPr>
        <w:t>particulières d’évaluation.</w:t>
      </w:r>
    </w:p>
    <w:p>
      <w:pPr>
        <w:pStyle w:val="BodyText"/>
        <w:spacing w:line="218" w:lineRule="auto" w:before="96"/>
        <w:ind w:right="38"/>
      </w:pPr>
      <w:r>
        <w:rPr>
          <w:color w:val="231F20"/>
        </w:rPr>
        <w:t>Le commissaire ou le réviseur d’entreprises ou l’expert-comptable externe désigné peut prendre connaissance sans déplacement de tout document utile à l’accomplissement de sa mission. Il peut obtenir auprès des sociétés qui fusionnent toutes les explications ou informa- tions et procéder à toutes les vérifications qui lui paraissent</w:t>
      </w:r>
      <w:r>
        <w:rPr>
          <w:color w:val="231F20"/>
          <w:spacing w:val="-20"/>
        </w:rPr>
        <w:t> </w:t>
      </w:r>
      <w:r>
        <w:rPr>
          <w:color w:val="231F20"/>
        </w:rPr>
        <w:t>nécessaires.</w:t>
      </w:r>
    </w:p>
    <w:p>
      <w:pPr>
        <w:pStyle w:val="BodyText"/>
        <w:spacing w:line="218" w:lineRule="auto" w:before="96"/>
        <w:ind w:right="38"/>
      </w:pPr>
      <w:r>
        <w:rPr>
          <w:color w:val="231F20"/>
        </w:rPr>
        <w:t>Le présent paragraphe n’est pas applicable si tous les associés ou actionnaires et les titulaires d’autres titres conférant le droit de vote de chacune des sociétés participant à la fusion en ont décidé ainsi.</w:t>
      </w:r>
    </w:p>
    <w:p>
      <w:pPr>
        <w:pStyle w:val="BodyText"/>
        <w:spacing w:line="218" w:lineRule="auto" w:before="81"/>
        <w:ind w:right="38"/>
      </w:pPr>
      <w:r>
        <w:rPr>
          <w:color w:val="231F20"/>
        </w:rPr>
        <w:t>§ 2. Si un rapport a été établi conformément au paragraphe 1</w:t>
      </w:r>
      <w:r>
        <w:rPr>
          <w:color w:val="231F20"/>
          <w:position w:val="7"/>
          <w:sz w:val="11"/>
        </w:rPr>
        <w:t>er</w:t>
      </w:r>
      <w:r>
        <w:rPr>
          <w:color w:val="231F20"/>
        </w:rPr>
        <w:t>, les articles 5:133, 6:110 ou 7:197 ne s’appliquent pas à une société absorbante ayant la forme légale de société à responsabilité limitée, de société coopérative, de société anonyme, de société européenne ou de société coopérative européenne.</w:t>
      </w:r>
    </w:p>
    <w:p>
      <w:pPr>
        <w:pStyle w:val="BodyText"/>
        <w:spacing w:before="11"/>
        <w:ind w:left="0" w:right="0" w:firstLine="0"/>
        <w:jc w:val="left"/>
        <w:rPr>
          <w:sz w:val="23"/>
        </w:rPr>
      </w:pPr>
    </w:p>
    <w:p>
      <w:pPr>
        <w:pStyle w:val="BodyText"/>
        <w:spacing w:line="218" w:lineRule="auto"/>
        <w:ind w:right="38"/>
      </w:pPr>
      <w:r>
        <w:rPr>
          <w:color w:val="231F20"/>
        </w:rPr>
        <w:t>Art. 12:27. Les organes d’administration de chacune des sociétés concernées par la fusion sont tenus d’informer l’assemblée générale de leur société ainsi que les organes d’administration de toutes les autres sociétés concernées par la fusion de toute modification importante du patrimoine actif et passif intervenue entre la date de l’établissement du projet de fusion et la date de la dernière assemblée générale, ou, dans</w:t>
      </w:r>
    </w:p>
    <w:p>
      <w:pPr>
        <w:pStyle w:val="BodyText"/>
        <w:spacing w:line="218" w:lineRule="auto" w:before="119"/>
      </w:pPr>
      <w:r>
        <w:rPr/>
        <w:br w:type="column"/>
      </w:r>
      <w:r>
        <w:rPr>
          <w:color w:val="231F20"/>
        </w:rPr>
        <w:t>3° de wijze waarop de aandelen in de overnemende vennootschap worden uitgereikt;</w:t>
      </w:r>
    </w:p>
    <w:p>
      <w:pPr>
        <w:pStyle w:val="BodyText"/>
        <w:spacing w:line="218" w:lineRule="auto" w:before="86"/>
      </w:pPr>
      <w:r>
        <w:rPr>
          <w:color w:val="231F20"/>
        </w:rPr>
        <w:t>4° de datum vanaf wanneer deze aandelen recht geven op deelname in de winst, evenals elke bijzondere regeling betreffende dit recht;</w:t>
      </w:r>
    </w:p>
    <w:p>
      <w:pPr>
        <w:pStyle w:val="BodyText"/>
        <w:ind w:left="0" w:right="0" w:firstLine="0"/>
        <w:jc w:val="left"/>
        <w:rPr>
          <w:sz w:val="23"/>
        </w:rPr>
      </w:pPr>
    </w:p>
    <w:p>
      <w:pPr>
        <w:pStyle w:val="BodyText"/>
        <w:spacing w:line="218" w:lineRule="auto"/>
      </w:pPr>
      <w:r>
        <w:rPr>
          <w:color w:val="231F20"/>
        </w:rPr>
        <w:t>5° de datum vanaf wanneer de handelingen van de over te nemen vennootschap boekhoudkundig worden geacht te zijn verricht voor rekening van de overnemende vennootschap, die niet eerder mag worden geplaatst dan op de eerste dag na de afsluiting van het boekjaar waarvoor de jaarrekening reeds werd goedgekeurd van de bij de verrichting betrokken vennootschappen;</w:t>
      </w:r>
    </w:p>
    <w:p>
      <w:pPr>
        <w:pStyle w:val="BodyText"/>
        <w:spacing w:line="218" w:lineRule="auto" w:before="86"/>
      </w:pPr>
      <w:r>
        <w:rPr>
          <w:color w:val="231F20"/>
        </w:rPr>
        <w:t>6° de rechten die de overnemende vennootschap toekent aan de vennoten of aandeelhouders van de over te nemen vennootschappen die bijzondere rechten hebben, alsook aan de houders van andere effecten</w:t>
      </w:r>
      <w:r>
        <w:rPr>
          <w:color w:val="231F20"/>
          <w:spacing w:val="14"/>
        </w:rPr>
        <w:t> </w:t>
      </w:r>
      <w:r>
        <w:rPr>
          <w:color w:val="231F20"/>
        </w:rPr>
        <w:t>dan</w:t>
      </w:r>
      <w:r>
        <w:rPr>
          <w:color w:val="231F20"/>
          <w:spacing w:val="15"/>
        </w:rPr>
        <w:t> </w:t>
      </w:r>
      <w:r>
        <w:rPr>
          <w:color w:val="231F20"/>
        </w:rPr>
        <w:t>aandelen,</w:t>
      </w:r>
      <w:r>
        <w:rPr>
          <w:color w:val="231F20"/>
          <w:spacing w:val="15"/>
        </w:rPr>
        <w:t> </w:t>
      </w:r>
      <w:r>
        <w:rPr>
          <w:color w:val="231F20"/>
        </w:rPr>
        <w:t>of</w:t>
      </w:r>
      <w:r>
        <w:rPr>
          <w:color w:val="231F20"/>
          <w:spacing w:val="15"/>
        </w:rPr>
        <w:t> </w:t>
      </w:r>
      <w:r>
        <w:rPr>
          <w:color w:val="231F20"/>
        </w:rPr>
        <w:t>de</w:t>
      </w:r>
      <w:r>
        <w:rPr>
          <w:color w:val="231F20"/>
          <w:spacing w:val="14"/>
        </w:rPr>
        <w:t> </w:t>
      </w:r>
      <w:r>
        <w:rPr>
          <w:color w:val="231F20"/>
        </w:rPr>
        <w:t>jegens</w:t>
      </w:r>
      <w:r>
        <w:rPr>
          <w:color w:val="231F20"/>
          <w:spacing w:val="15"/>
        </w:rPr>
        <w:t> </w:t>
      </w:r>
      <w:r>
        <w:rPr>
          <w:color w:val="231F20"/>
        </w:rPr>
        <w:t>hen</w:t>
      </w:r>
      <w:r>
        <w:rPr>
          <w:color w:val="231F20"/>
          <w:spacing w:val="15"/>
        </w:rPr>
        <w:t> </w:t>
      </w:r>
      <w:r>
        <w:rPr>
          <w:color w:val="231F20"/>
        </w:rPr>
        <w:t>voorgestelde</w:t>
      </w:r>
      <w:r>
        <w:rPr>
          <w:color w:val="231F20"/>
          <w:spacing w:val="15"/>
        </w:rPr>
        <w:t> </w:t>
      </w:r>
      <w:r>
        <w:rPr>
          <w:color w:val="231F20"/>
        </w:rPr>
        <w:t>maatregelen;</w:t>
      </w:r>
    </w:p>
    <w:p>
      <w:pPr>
        <w:pStyle w:val="BodyText"/>
        <w:spacing w:line="218" w:lineRule="auto" w:before="85"/>
      </w:pPr>
      <w:r>
        <w:rPr>
          <w:color w:val="231F20"/>
        </w:rPr>
        <w:t>7° de bezoldiging die wordt toegekend aan de commissarissen of de bedrijfsrevisoren of externe accountants voor de opstelling van het in artikel 12:26 bedoelde verslag;</w:t>
      </w:r>
    </w:p>
    <w:p>
      <w:pPr>
        <w:pStyle w:val="BodyText"/>
        <w:spacing w:line="218" w:lineRule="auto" w:before="86"/>
      </w:pPr>
      <w:r>
        <w:rPr>
          <w:color w:val="231F20"/>
        </w:rPr>
        <w:t>8° ieder bijzonder voordeel toegekend aan de leden van de bestuurs- organen van de te fuseren vennootschappen.</w:t>
      </w:r>
    </w:p>
    <w:p>
      <w:pPr>
        <w:pStyle w:val="BodyText"/>
        <w:spacing w:line="218" w:lineRule="auto" w:before="85"/>
      </w:pPr>
      <w:r>
        <w:rPr>
          <w:color w:val="231F20"/>
        </w:rPr>
        <w:t>Het fusievoorstel moet door elke bij de fusie betrokken vennootschap ter </w:t>
      </w:r>
      <w:r>
        <w:rPr>
          <w:color w:val="231F20"/>
          <w:spacing w:val="-4"/>
        </w:rPr>
        <w:t>griffie </w:t>
      </w:r>
      <w:r>
        <w:rPr>
          <w:color w:val="231F20"/>
        </w:rPr>
        <w:t>van de ondernemingsrechtbank van haar zetel worden neergelegd en bekendgemaakt bij uittreksel of mededeling overeen- komstig respectievelijk de artikelen 2:8 en 2:14, 1° of 4°. In dit laatste geval bevat de mededeling een hyperlink naar de vennootschapsweb- site. De neerlegging gebeurt uiterlijk zes weken vóór het besluit</w:t>
      </w:r>
      <w:r>
        <w:rPr>
          <w:color w:val="231F20"/>
          <w:spacing w:val="16"/>
        </w:rPr>
        <w:t> </w:t>
      </w:r>
      <w:r>
        <w:rPr>
          <w:color w:val="231F20"/>
        </w:rPr>
        <w:t>tot fusie vermeld in artikel</w:t>
      </w:r>
      <w:r>
        <w:rPr>
          <w:color w:val="231F20"/>
          <w:spacing w:val="17"/>
        </w:rPr>
        <w:t> </w:t>
      </w:r>
      <w:r>
        <w:rPr>
          <w:color w:val="231F20"/>
        </w:rPr>
        <w:t>12:30.</w:t>
      </w:r>
    </w:p>
    <w:p>
      <w:pPr>
        <w:pStyle w:val="BodyText"/>
        <w:spacing w:line="218" w:lineRule="auto" w:before="86"/>
      </w:pPr>
      <w:r>
        <w:rPr>
          <w:color w:val="231F20"/>
        </w:rPr>
        <w:t>Art. 12:25. In elke vennootschap stelt het bestuursorgaan een omstandig schriftelijk verslag op waarin het de stand van het vermogen van de te fuseren vennootschappen uiteenzet en waarin het tevens, vanuit een juridisch en economisch oogpunt, de wenselijkheid van de fusie, haar voorwaarden, de wijze waarop ze zal gebeuren en haar gevolgen, de methoden waarmee de ruilverhouding van de aandelen is vastgesteld, het betrekkelijk gewicht dat aan deze methoden wordt gehecht, de waardering waartoe elke methode komt, de moeilijkheden die zich eventueel hebben voorgedaan en de voorgestelde ruilverhou- ding toelicht en verantwoordt.</w:t>
      </w:r>
    </w:p>
    <w:p>
      <w:pPr>
        <w:pStyle w:val="BodyText"/>
        <w:spacing w:line="218" w:lineRule="auto" w:before="86"/>
      </w:pPr>
      <w:r>
        <w:rPr>
          <w:color w:val="231F20"/>
        </w:rPr>
        <w:t>Het eerste lid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97"/>
      </w:pPr>
      <w:r>
        <w:rPr>
          <w:color w:val="231F20"/>
        </w:rPr>
        <w:t>Art.</w:t>
      </w:r>
      <w:r>
        <w:rPr>
          <w:color w:val="231F20"/>
          <w:spacing w:val="-5"/>
        </w:rPr>
        <w:t> </w:t>
      </w:r>
      <w:r>
        <w:rPr>
          <w:color w:val="231F20"/>
        </w:rPr>
        <w:t>12:26.</w:t>
      </w:r>
      <w:r>
        <w:rPr>
          <w:color w:val="231F20"/>
          <w:spacing w:val="-4"/>
        </w:rPr>
        <w:t> </w:t>
      </w:r>
      <w:r>
        <w:rPr>
          <w:color w:val="231F20"/>
        </w:rPr>
        <w:t>§</w:t>
      </w:r>
      <w:r>
        <w:rPr>
          <w:color w:val="231F20"/>
          <w:spacing w:val="-5"/>
        </w:rPr>
        <w:t> </w:t>
      </w:r>
      <w:r>
        <w:rPr>
          <w:color w:val="231F20"/>
        </w:rPr>
        <w:t>1.</w:t>
      </w:r>
      <w:r>
        <w:rPr>
          <w:color w:val="231F20"/>
          <w:spacing w:val="-4"/>
        </w:rPr>
        <w:t> </w:t>
      </w:r>
      <w:r>
        <w:rPr>
          <w:color w:val="231F20"/>
        </w:rPr>
        <w:t>In</w:t>
      </w:r>
      <w:r>
        <w:rPr>
          <w:color w:val="231F20"/>
          <w:spacing w:val="-5"/>
        </w:rPr>
        <w:t> </w:t>
      </w:r>
      <w:r>
        <w:rPr>
          <w:color w:val="231F20"/>
        </w:rPr>
        <w:t>elke</w:t>
      </w:r>
      <w:r>
        <w:rPr>
          <w:color w:val="231F20"/>
          <w:spacing w:val="-4"/>
        </w:rPr>
        <w:t> </w:t>
      </w:r>
      <w:r>
        <w:rPr>
          <w:color w:val="231F20"/>
        </w:rPr>
        <w:t>vennootschap</w:t>
      </w:r>
      <w:r>
        <w:rPr>
          <w:color w:val="231F20"/>
          <w:spacing w:val="-5"/>
        </w:rPr>
        <w:t> </w:t>
      </w:r>
      <w:r>
        <w:rPr>
          <w:color w:val="231F20"/>
        </w:rPr>
        <w:t>stelt</w:t>
      </w:r>
      <w:r>
        <w:rPr>
          <w:color w:val="231F20"/>
          <w:spacing w:val="-4"/>
        </w:rPr>
        <w:t> </w:t>
      </w:r>
      <w:r>
        <w:rPr>
          <w:color w:val="231F20"/>
        </w:rPr>
        <w:t>de</w:t>
      </w:r>
      <w:r>
        <w:rPr>
          <w:color w:val="231F20"/>
          <w:spacing w:val="-5"/>
        </w:rPr>
        <w:t> </w:t>
      </w:r>
      <w:r>
        <w:rPr>
          <w:color w:val="231F20"/>
        </w:rPr>
        <w:t>commissaris,</w:t>
      </w:r>
      <w:r>
        <w:rPr>
          <w:color w:val="231F20"/>
          <w:spacing w:val="-4"/>
        </w:rPr>
        <w:t> </w:t>
      </w:r>
      <w:r>
        <w:rPr>
          <w:color w:val="231F20"/>
        </w:rPr>
        <w:t>of,</w:t>
      </w:r>
      <w:r>
        <w:rPr>
          <w:color w:val="231F20"/>
          <w:spacing w:val="-5"/>
        </w:rPr>
        <w:t> </w:t>
      </w:r>
      <w:r>
        <w:rPr>
          <w:color w:val="231F20"/>
        </w:rPr>
        <w:t>wanneer er geen commissaris is, een door het bestuursorgaan aangewezen bedrijfsrevisor of een externe accountant, een schriftelijk verslag over het fusievoorstel</w:t>
      </w:r>
      <w:r>
        <w:rPr>
          <w:color w:val="231F20"/>
          <w:spacing w:val="-11"/>
        </w:rPr>
        <w:t> </w:t>
      </w:r>
      <w:r>
        <w:rPr>
          <w:color w:val="231F20"/>
        </w:rPr>
        <w:t>op.</w:t>
      </w:r>
    </w:p>
    <w:p>
      <w:pPr>
        <w:pStyle w:val="BodyText"/>
        <w:spacing w:line="218" w:lineRule="auto" w:before="96"/>
      </w:pPr>
      <w:r>
        <w:rPr>
          <w:color w:val="231F20"/>
        </w:rPr>
        <w:t>De commissaris of de aangewezen bedrijfsrevisor of externe accoun- tant moet inzonderheid verklaren of de ruilverhouding naar zijn mening</w:t>
      </w:r>
      <w:r>
        <w:rPr>
          <w:color w:val="231F20"/>
          <w:spacing w:val="14"/>
        </w:rPr>
        <w:t> </w:t>
      </w:r>
      <w:r>
        <w:rPr>
          <w:color w:val="231F20"/>
        </w:rPr>
        <w:t>al</w:t>
      </w:r>
      <w:r>
        <w:rPr>
          <w:color w:val="231F20"/>
          <w:spacing w:val="15"/>
        </w:rPr>
        <w:t> </w:t>
      </w:r>
      <w:r>
        <w:rPr>
          <w:color w:val="231F20"/>
        </w:rPr>
        <w:t>dan</w:t>
      </w:r>
      <w:r>
        <w:rPr>
          <w:color w:val="231F20"/>
          <w:spacing w:val="15"/>
        </w:rPr>
        <w:t> </w:t>
      </w:r>
      <w:r>
        <w:rPr>
          <w:color w:val="231F20"/>
        </w:rPr>
        <w:t>niet</w:t>
      </w:r>
      <w:r>
        <w:rPr>
          <w:color w:val="231F20"/>
          <w:spacing w:val="15"/>
        </w:rPr>
        <w:t> </w:t>
      </w:r>
      <w:r>
        <w:rPr>
          <w:color w:val="231F20"/>
        </w:rPr>
        <w:t>relevant</w:t>
      </w:r>
      <w:r>
        <w:rPr>
          <w:color w:val="231F20"/>
          <w:spacing w:val="15"/>
        </w:rPr>
        <w:t> </w:t>
      </w:r>
      <w:r>
        <w:rPr>
          <w:color w:val="231F20"/>
        </w:rPr>
        <w:t>en</w:t>
      </w:r>
      <w:r>
        <w:rPr>
          <w:color w:val="231F20"/>
          <w:spacing w:val="15"/>
        </w:rPr>
        <w:t> </w:t>
      </w:r>
      <w:r>
        <w:rPr>
          <w:color w:val="231F20"/>
        </w:rPr>
        <w:t>redelijk</w:t>
      </w:r>
      <w:r>
        <w:rPr>
          <w:color w:val="231F20"/>
          <w:spacing w:val="15"/>
        </w:rPr>
        <w:t> </w:t>
      </w:r>
      <w:r>
        <w:rPr>
          <w:color w:val="231F20"/>
        </w:rPr>
        <w:t>is.</w:t>
      </w:r>
    </w:p>
    <w:p>
      <w:pPr>
        <w:pStyle w:val="BodyText"/>
        <w:spacing w:before="82"/>
        <w:ind w:left="283" w:right="0" w:firstLine="0"/>
        <w:jc w:val="left"/>
      </w:pPr>
      <w:r>
        <w:rPr>
          <w:color w:val="231F20"/>
        </w:rPr>
        <w:t>Deze verklaring moet ten minste aangeven:</w:t>
      </w:r>
    </w:p>
    <w:p>
      <w:pPr>
        <w:pStyle w:val="BodyText"/>
        <w:spacing w:line="218" w:lineRule="auto" w:before="93"/>
      </w:pPr>
      <w:r>
        <w:rPr>
          <w:color w:val="231F20"/>
          <w:w w:val="105"/>
        </w:rPr>
        <w:t>1° volgens welke methoden de voorgestelde ruilverhouding is vastgesteld;</w:t>
      </w:r>
    </w:p>
    <w:p>
      <w:pPr>
        <w:pStyle w:val="BodyText"/>
        <w:spacing w:line="218" w:lineRule="auto" w:before="96"/>
      </w:pPr>
      <w:r>
        <w:rPr>
          <w:color w:val="231F20"/>
        </w:rPr>
        <w:t>2° of deze methoden in het gegeven geval passen en tot welke waardering elke gebruikte methode leidt; tevens moet hij een oordeel geven over het betrekkelijke gewicht dat bij de vaststelling van de in aanmerking genomen waarde aan deze methoden is gehecht.</w:t>
      </w:r>
    </w:p>
    <w:p>
      <w:pPr>
        <w:pStyle w:val="BodyText"/>
        <w:spacing w:line="218" w:lineRule="auto" w:before="96"/>
      </w:pPr>
      <w:r>
        <w:rPr>
          <w:color w:val="231F20"/>
        </w:rPr>
        <w:t>Het verslag vermeldt bovendien, in voorkomend geval, de bijzon- dere moeilijkheden bij de waardering.</w:t>
      </w:r>
    </w:p>
    <w:p>
      <w:pPr>
        <w:pStyle w:val="BodyText"/>
        <w:spacing w:line="218" w:lineRule="auto" w:before="96"/>
      </w:pPr>
      <w:r>
        <w:rPr>
          <w:color w:val="231F20"/>
        </w:rPr>
        <w:t>De commissaris of de aangewezen bedrijfsrevisor of externe accoun- tant kan ter plaatse inzage nemen van alle documenten die dienstig zijn voor de vervulling van zijn taak. Hij kan van de bij de fusie betrokken vennootschappen alle ophelderingen en inlichtingen bekomen, en alle controles verrichten die hij nodig acht.</w:t>
      </w:r>
    </w:p>
    <w:p>
      <w:pPr>
        <w:pStyle w:val="BodyText"/>
        <w:spacing w:line="218" w:lineRule="auto" w:before="97"/>
      </w:pPr>
      <w:r>
        <w:rPr>
          <w:color w:val="231F20"/>
        </w:rPr>
        <w:t>Deze paragraaf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96"/>
      </w:pPr>
      <w:r>
        <w:rPr>
          <w:color w:val="231F20"/>
        </w:rPr>
        <w:t>§ 2. Indien een verslag werd opgesteld overeenkomstig paragraaf 1, zijn de artikelen 5:133, 6:110 of 7:197 niet van toepassing op een overnemende vennootschap die de rechtsvorm heeft van een besloten vennootschap, van een coöperatieve vennootschap, van een naamloze vennootschap, van een Europese vennootschap of van een Europese coöperatieve vennootschap.</w:t>
      </w:r>
    </w:p>
    <w:p>
      <w:pPr>
        <w:pStyle w:val="BodyText"/>
        <w:spacing w:line="218" w:lineRule="auto" w:before="96"/>
        <w:ind w:right="123"/>
      </w:pPr>
      <w:r>
        <w:rPr>
          <w:color w:val="231F20"/>
        </w:rPr>
        <w:t>Art. 12:27. De bestuursorganen van alle bij de fusie betrokken vennootschappen moeten hun eigen algemene vergadering, evenals de bestuursorganen van alle andere bij de fusie betrokken vennootschap- pen op de hoogte stellen van elke belangrijke wijziging die zich in de activa en de passiva van het vermogen heeft voorgedaan tussen de datum van opstelling van het fusievoorstel en de datum van de laatste</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0" w:firstLine="0"/>
        <w:jc w:val="left"/>
      </w:pPr>
      <w:r>
        <w:rPr/>
        <w:pict>
          <v:line style="position:absolute;mso-position-horizontal-relative:page;mso-position-vertical-relative:page;z-index:6472" from="298.170502pt,64.473pt" to="298.170502pt,812.819pt" stroked="true" strokeweight=".533pt" strokecolor="#231f20">
            <v:stroke dashstyle="solid"/>
            <w10:wrap type="none"/>
          </v:line>
        </w:pict>
      </w:r>
      <w:bookmarkStart w:name="_bookmark227" w:id="233"/>
      <w:bookmarkEnd w:id="233"/>
      <w:r>
        <w:rPr/>
      </w:r>
      <w:r>
        <w:rPr>
          <w:color w:val="231F20"/>
        </w:rPr>
        <w:t>le cas visé à l’article 12:30, § 6, la réunion du dernier organe d’administration, qui se prononce sur la fusion.</w:t>
      </w:r>
    </w:p>
    <w:p>
      <w:pPr>
        <w:pStyle w:val="BodyText"/>
        <w:spacing w:line="218" w:lineRule="auto" w:before="106"/>
        <w:ind w:right="38"/>
      </w:pPr>
      <w:r>
        <w:rPr>
          <w:color w:val="231F20"/>
        </w:rPr>
        <w:t>Les organes d’administration qui ont reçu cette information sont tenus de la communiquer à l’assemblée générale de leur société.</w:t>
      </w:r>
    </w:p>
    <w:p>
      <w:pPr>
        <w:pStyle w:val="BodyText"/>
        <w:spacing w:line="218" w:lineRule="auto" w:before="92"/>
        <w:ind w:right="38"/>
      </w:pPr>
      <w:r>
        <w:rPr>
          <w:color w:val="231F20"/>
        </w:rPr>
        <w:t>L’alinéa 1</w:t>
      </w:r>
      <w:r>
        <w:rPr>
          <w:color w:val="231F20"/>
          <w:position w:val="7"/>
          <w:sz w:val="11"/>
        </w:rPr>
        <w:t>er </w:t>
      </w:r>
      <w:r>
        <w:rPr>
          <w:color w:val="231F20"/>
        </w:rPr>
        <w:t>n’est pas applicable si tous les associés ou actionnaires et les titulaires d’autres titres conférant le droit de vote de chacune des sociétés participant à la fusion en ont décidé ainsi.</w:t>
      </w:r>
    </w:p>
    <w:p>
      <w:pPr>
        <w:pStyle w:val="BodyText"/>
        <w:spacing w:line="218" w:lineRule="auto" w:before="92"/>
        <w:ind w:right="38"/>
      </w:pPr>
      <w:r>
        <w:rPr>
          <w:color w:val="231F20"/>
        </w:rPr>
        <w:t>Art. 12:28. § 1</w:t>
      </w:r>
      <w:r>
        <w:rPr>
          <w:color w:val="231F20"/>
          <w:position w:val="7"/>
          <w:sz w:val="11"/>
        </w:rPr>
        <w:t>er</w:t>
      </w:r>
      <w:r>
        <w:rPr>
          <w:color w:val="231F20"/>
        </w:rPr>
        <w:t>. Dans chaque société, l’ordre du jour de l’assemblée générale</w:t>
      </w:r>
      <w:r>
        <w:rPr>
          <w:color w:val="231F20"/>
          <w:spacing w:val="-4"/>
        </w:rPr>
        <w:t> </w:t>
      </w:r>
      <w:r>
        <w:rPr>
          <w:color w:val="231F20"/>
        </w:rPr>
        <w:t>appelée</w:t>
      </w:r>
      <w:r>
        <w:rPr>
          <w:color w:val="231F20"/>
          <w:spacing w:val="-4"/>
        </w:rPr>
        <w:t> </w:t>
      </w:r>
      <w:r>
        <w:rPr>
          <w:color w:val="231F20"/>
        </w:rPr>
        <w:t>à</w:t>
      </w:r>
      <w:r>
        <w:rPr>
          <w:color w:val="231F20"/>
          <w:spacing w:val="-4"/>
        </w:rPr>
        <w:t> </w:t>
      </w:r>
      <w:r>
        <w:rPr>
          <w:color w:val="231F20"/>
        </w:rPr>
        <w:t>se</w:t>
      </w:r>
      <w:r>
        <w:rPr>
          <w:color w:val="231F20"/>
          <w:spacing w:val="-4"/>
        </w:rPr>
        <w:t> </w:t>
      </w:r>
      <w:r>
        <w:rPr>
          <w:color w:val="231F20"/>
        </w:rPr>
        <w:t>prononcer</w:t>
      </w:r>
      <w:r>
        <w:rPr>
          <w:color w:val="231F20"/>
          <w:spacing w:val="-3"/>
        </w:rPr>
        <w:t> </w:t>
      </w:r>
      <w:r>
        <w:rPr>
          <w:color w:val="231F20"/>
        </w:rPr>
        <w:t>sur</w:t>
      </w:r>
      <w:r>
        <w:rPr>
          <w:color w:val="231F20"/>
          <w:spacing w:val="-4"/>
        </w:rPr>
        <w:t> </w:t>
      </w:r>
      <w:r>
        <w:rPr>
          <w:color w:val="231F20"/>
        </w:rPr>
        <w:t>le</w:t>
      </w:r>
      <w:r>
        <w:rPr>
          <w:color w:val="231F20"/>
          <w:spacing w:val="-4"/>
        </w:rPr>
        <w:t> </w:t>
      </w:r>
      <w:r>
        <w:rPr>
          <w:color w:val="231F20"/>
        </w:rPr>
        <w:t>projet</w:t>
      </w:r>
      <w:r>
        <w:rPr>
          <w:color w:val="231F20"/>
          <w:spacing w:val="-4"/>
        </w:rPr>
        <w:t> </w:t>
      </w:r>
      <w:r>
        <w:rPr>
          <w:color w:val="231F20"/>
        </w:rPr>
        <w:t>de</w:t>
      </w:r>
      <w:r>
        <w:rPr>
          <w:color w:val="231F20"/>
          <w:spacing w:val="-4"/>
        </w:rPr>
        <w:t> </w:t>
      </w:r>
      <w:r>
        <w:rPr>
          <w:color w:val="231F20"/>
        </w:rPr>
        <w:t>fusion</w:t>
      </w:r>
      <w:r>
        <w:rPr>
          <w:color w:val="231F20"/>
          <w:spacing w:val="-3"/>
        </w:rPr>
        <w:t> </w:t>
      </w:r>
      <w:r>
        <w:rPr>
          <w:color w:val="231F20"/>
        </w:rPr>
        <w:t>annonce</w:t>
      </w:r>
      <w:r>
        <w:rPr>
          <w:color w:val="231F20"/>
          <w:spacing w:val="-4"/>
        </w:rPr>
        <w:t> </w:t>
      </w:r>
      <w:r>
        <w:rPr>
          <w:color w:val="231F20"/>
        </w:rPr>
        <w:t>le</w:t>
      </w:r>
      <w:r>
        <w:rPr>
          <w:color w:val="231F20"/>
          <w:spacing w:val="-4"/>
        </w:rPr>
        <w:t> </w:t>
      </w:r>
      <w:r>
        <w:rPr>
          <w:color w:val="231F20"/>
        </w:rPr>
        <w:t>projet de fusion et les rapports prévus aux articles 12:25 et 12:26, ainsi que la possibilité réservée aux associés ou actionnaires d’obtenir lesdits documents sans frais. Cette obligation ne s’applique pas si l’organe d’administration approuve la fusion conformément à l’article 12:30, §</w:t>
      </w:r>
      <w:r>
        <w:rPr>
          <w:color w:val="231F20"/>
          <w:spacing w:val="-16"/>
        </w:rPr>
        <w:t> </w:t>
      </w:r>
      <w:r>
        <w:rPr>
          <w:color w:val="231F20"/>
        </w:rPr>
        <w:t>6.</w:t>
      </w:r>
    </w:p>
    <w:p>
      <w:pPr>
        <w:pStyle w:val="BodyText"/>
        <w:spacing w:before="10"/>
        <w:ind w:left="0" w:right="0" w:firstLine="0"/>
        <w:jc w:val="left"/>
        <w:rPr>
          <w:sz w:val="24"/>
        </w:rPr>
      </w:pPr>
    </w:p>
    <w:p>
      <w:pPr>
        <w:pStyle w:val="BodyText"/>
        <w:spacing w:line="218" w:lineRule="auto"/>
        <w:ind w:right="38"/>
      </w:pPr>
      <w:r>
        <w:rPr>
          <w:color w:val="231F20"/>
        </w:rPr>
        <w:t>Conformément à l’article 2:32, une copie en est communiquée aux titulaires d’actions ou de parts nominatives un mois au moins avant la réunion de l’assemblée générale ou, dans le cas visé à l’article 12:30, §</w:t>
      </w:r>
      <w:r>
        <w:rPr>
          <w:color w:val="231F20"/>
          <w:spacing w:val="-19"/>
        </w:rPr>
        <w:t> </w:t>
      </w:r>
      <w:r>
        <w:rPr>
          <w:color w:val="231F20"/>
        </w:rPr>
        <w:t>6, avant la réunion de l’assemblée générale de la ou des société(s) absorbée(s).</w:t>
      </w:r>
    </w:p>
    <w:p>
      <w:pPr>
        <w:pStyle w:val="BodyText"/>
        <w:spacing w:line="211" w:lineRule="auto" w:before="112"/>
        <w:ind w:right="38"/>
      </w:pPr>
      <w:r>
        <w:rPr>
          <w:color w:val="231F20"/>
        </w:rPr>
        <w:t>Une copie est également communiquée sans délai aux personnes qui ont accompli les formalités prescrites par les statuts pour être admises à</w:t>
      </w:r>
      <w:r>
        <w:rPr>
          <w:color w:val="231F20"/>
          <w:spacing w:val="15"/>
        </w:rPr>
        <w:t> </w:t>
      </w:r>
      <w:r>
        <w:rPr>
          <w:color w:val="231F20"/>
        </w:rPr>
        <w:t>l’assemblée</w:t>
      </w:r>
      <w:r>
        <w:rPr>
          <w:color w:val="231F20"/>
          <w:spacing w:val="15"/>
        </w:rPr>
        <w:t> </w:t>
      </w:r>
      <w:r>
        <w:rPr>
          <w:color w:val="231F20"/>
        </w:rPr>
        <w:t>générale</w:t>
      </w:r>
      <w:r>
        <w:rPr>
          <w:color w:val="231F20"/>
          <w:spacing w:val="15"/>
        </w:rPr>
        <w:t> </w:t>
      </w:r>
      <w:r>
        <w:rPr>
          <w:color w:val="231F20"/>
        </w:rPr>
        <w:t>visée</w:t>
      </w:r>
      <w:r>
        <w:rPr>
          <w:color w:val="231F20"/>
          <w:spacing w:val="15"/>
        </w:rPr>
        <w:t> </w:t>
      </w:r>
      <w:r>
        <w:rPr>
          <w:color w:val="231F20"/>
        </w:rPr>
        <w:t>à</w:t>
      </w:r>
      <w:r>
        <w:rPr>
          <w:color w:val="231F20"/>
          <w:spacing w:val="15"/>
        </w:rPr>
        <w:t> </w:t>
      </w:r>
      <w:r>
        <w:rPr>
          <w:color w:val="231F20"/>
        </w:rPr>
        <w:t>l’article</w:t>
      </w:r>
      <w:r>
        <w:rPr>
          <w:color w:val="231F20"/>
          <w:spacing w:val="15"/>
        </w:rPr>
        <w:t> </w:t>
      </w:r>
      <w:r>
        <w:rPr>
          <w:color w:val="231F20"/>
        </w:rPr>
        <w:t>12:30,</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p>
    <w:p>
      <w:pPr>
        <w:pStyle w:val="BodyText"/>
        <w:spacing w:line="211" w:lineRule="auto" w:before="109"/>
        <w:ind w:right="38"/>
      </w:pPr>
      <w:r>
        <w:rPr>
          <w:color w:val="231F20"/>
        </w:rPr>
        <w:t>Toutefois,</w:t>
      </w:r>
      <w:r>
        <w:rPr>
          <w:color w:val="231F20"/>
          <w:spacing w:val="-6"/>
        </w:rPr>
        <w:t> </w:t>
      </w:r>
      <w:r>
        <w:rPr>
          <w:color w:val="231F20"/>
        </w:rPr>
        <w:t>lorsque</w:t>
      </w:r>
      <w:r>
        <w:rPr>
          <w:color w:val="231F20"/>
          <w:spacing w:val="-6"/>
        </w:rPr>
        <w:t> </w:t>
      </w:r>
      <w:r>
        <w:rPr>
          <w:color w:val="231F20"/>
        </w:rPr>
        <w:t>la</w:t>
      </w:r>
      <w:r>
        <w:rPr>
          <w:color w:val="231F20"/>
          <w:spacing w:val="-6"/>
        </w:rPr>
        <w:t> </w:t>
      </w:r>
      <w:r>
        <w:rPr>
          <w:color w:val="231F20"/>
        </w:rPr>
        <w:t>société</w:t>
      </w:r>
      <w:r>
        <w:rPr>
          <w:color w:val="231F20"/>
          <w:spacing w:val="-6"/>
        </w:rPr>
        <w:t> </w:t>
      </w:r>
      <w:r>
        <w:rPr>
          <w:color w:val="231F20"/>
        </w:rPr>
        <w:t>est</w:t>
      </w:r>
      <w:r>
        <w:rPr>
          <w:color w:val="231F20"/>
          <w:spacing w:val="-6"/>
        </w:rPr>
        <w:t> </w:t>
      </w:r>
      <w:r>
        <w:rPr>
          <w:color w:val="231F20"/>
        </w:rPr>
        <w:t>une</w:t>
      </w:r>
      <w:r>
        <w:rPr>
          <w:color w:val="231F20"/>
          <w:spacing w:val="-6"/>
        </w:rPr>
        <w:t> </w:t>
      </w:r>
      <w:r>
        <w:rPr>
          <w:color w:val="231F20"/>
        </w:rPr>
        <w:t>société</w:t>
      </w:r>
      <w:r>
        <w:rPr>
          <w:color w:val="231F20"/>
          <w:spacing w:val="-6"/>
        </w:rPr>
        <w:t> </w:t>
      </w:r>
      <w:r>
        <w:rPr>
          <w:color w:val="231F20"/>
        </w:rPr>
        <w:t>coopérative,</w:t>
      </w:r>
      <w:r>
        <w:rPr>
          <w:color w:val="231F20"/>
          <w:spacing w:val="-6"/>
        </w:rPr>
        <w:t> </w:t>
      </w:r>
      <w:r>
        <w:rPr>
          <w:color w:val="231F20"/>
        </w:rPr>
        <w:t>le</w:t>
      </w:r>
      <w:r>
        <w:rPr>
          <w:color w:val="231F20"/>
          <w:spacing w:val="-6"/>
        </w:rPr>
        <w:t> </w:t>
      </w:r>
      <w:r>
        <w:rPr>
          <w:color w:val="231F20"/>
        </w:rPr>
        <w:t>projet</w:t>
      </w:r>
      <w:r>
        <w:rPr>
          <w:color w:val="231F20"/>
          <w:spacing w:val="-6"/>
        </w:rPr>
        <w:t> </w:t>
      </w:r>
      <w:r>
        <w:rPr>
          <w:color w:val="231F20"/>
        </w:rPr>
        <w:t>et</w:t>
      </w:r>
      <w:r>
        <w:rPr>
          <w:color w:val="231F20"/>
          <w:spacing w:val="-6"/>
        </w:rPr>
        <w:t> </w:t>
      </w:r>
      <w:r>
        <w:rPr>
          <w:color w:val="231F20"/>
        </w:rPr>
        <w:t>les rapports visés à l’alinéa 1</w:t>
      </w:r>
      <w:r>
        <w:rPr>
          <w:color w:val="231F20"/>
          <w:position w:val="7"/>
          <w:sz w:val="11"/>
        </w:rPr>
        <w:t>er </w:t>
      </w:r>
      <w:r>
        <w:rPr>
          <w:color w:val="231F20"/>
        </w:rPr>
        <w:t>ne doivent pas être transmis aux actionnai- res conformément aux alinéas</w:t>
      </w:r>
      <w:r>
        <w:rPr>
          <w:color w:val="231F20"/>
          <w:spacing w:val="31"/>
        </w:rPr>
        <w:t> </w:t>
      </w:r>
      <w:r>
        <w:rPr>
          <w:color w:val="231F20"/>
        </w:rPr>
        <w:t>2 et 3.</w:t>
      </w:r>
    </w:p>
    <w:p>
      <w:pPr>
        <w:pStyle w:val="BodyText"/>
        <w:spacing w:before="8"/>
        <w:ind w:left="0" w:right="0" w:firstLine="0"/>
        <w:jc w:val="left"/>
        <w:rPr>
          <w:sz w:val="24"/>
        </w:rPr>
      </w:pPr>
    </w:p>
    <w:p>
      <w:pPr>
        <w:pStyle w:val="BodyText"/>
        <w:spacing w:line="218" w:lineRule="auto"/>
        <w:ind w:right="38"/>
      </w:pPr>
      <w:r>
        <w:rPr>
          <w:color w:val="231F20"/>
        </w:rPr>
        <w:t>Dans ce cas, tout actionnaire a le droit de prendre connaissance desdits documents au siège de la société conformément au paragra-  phe 2 un mois au moins avant la date de la réunion de l’assemblée générale ou, dans le cas visé à l’article 12:30, § 6, avant la date à</w:t>
      </w:r>
      <w:r>
        <w:rPr>
          <w:color w:val="231F20"/>
          <w:spacing w:val="-16"/>
        </w:rPr>
        <w:t> </w:t>
      </w:r>
      <w:r>
        <w:rPr>
          <w:color w:val="231F20"/>
        </w:rPr>
        <w:t>laquelle la fusion prend </w:t>
      </w:r>
      <w:r>
        <w:rPr>
          <w:color w:val="231F20"/>
          <w:spacing w:val="-3"/>
        </w:rPr>
        <w:t>effet </w:t>
      </w:r>
      <w:r>
        <w:rPr>
          <w:color w:val="231F20"/>
        </w:rPr>
        <w:t>et d’en obtenir copie, conformément au paragra- phe</w:t>
      </w:r>
      <w:r>
        <w:rPr>
          <w:color w:val="231F20"/>
          <w:spacing w:val="15"/>
        </w:rPr>
        <w:t> </w:t>
      </w:r>
      <w:r>
        <w:rPr>
          <w:color w:val="231F20"/>
        </w:rPr>
        <w:t>3,</w:t>
      </w:r>
      <w:r>
        <w:rPr>
          <w:color w:val="231F20"/>
          <w:spacing w:val="15"/>
        </w:rPr>
        <w:t> </w:t>
      </w:r>
      <w:r>
        <w:rPr>
          <w:color w:val="231F20"/>
        </w:rPr>
        <w:t>dans</w:t>
      </w:r>
      <w:r>
        <w:rPr>
          <w:color w:val="231F20"/>
          <w:spacing w:val="14"/>
        </w:rPr>
        <w:t> </w:t>
      </w:r>
      <w:r>
        <w:rPr>
          <w:color w:val="231F20"/>
        </w:rPr>
        <w:t>le</w:t>
      </w:r>
      <w:r>
        <w:rPr>
          <w:color w:val="231F20"/>
          <w:spacing w:val="15"/>
        </w:rPr>
        <w:t> </w:t>
      </w:r>
      <w:r>
        <w:rPr>
          <w:color w:val="231F20"/>
        </w:rPr>
        <w:t>même</w:t>
      </w:r>
      <w:r>
        <w:rPr>
          <w:color w:val="231F20"/>
          <w:spacing w:val="15"/>
        </w:rPr>
        <w:t> </w:t>
      </w:r>
      <w:r>
        <w:rPr>
          <w:color w:val="231F20"/>
        </w:rPr>
        <w:t>délai.</w:t>
      </w:r>
    </w:p>
    <w:p>
      <w:pPr>
        <w:pStyle w:val="BodyText"/>
        <w:spacing w:before="10"/>
        <w:ind w:left="0" w:right="0" w:firstLine="0"/>
        <w:jc w:val="left"/>
        <w:rPr>
          <w:sz w:val="24"/>
        </w:rPr>
      </w:pPr>
    </w:p>
    <w:p>
      <w:pPr>
        <w:pStyle w:val="BodyText"/>
        <w:spacing w:line="218" w:lineRule="auto"/>
        <w:ind w:right="38"/>
      </w:pPr>
      <w:r>
        <w:rPr>
          <w:color w:val="231F20"/>
        </w:rPr>
        <w:t>§ 2. Tout associé ou actionnaire a également le droit, un mois au moins avant la date de la réunion de l’assemblée générale des sociétés qui fusionnent appelée à se prononcer sur le projet de fusion, ou, dans le cas visé à l’article 12:30, § 6, de la réunion de l’assemblée générale de la ou des sociétés absorbées, de prendre connaissance au siège de la société des documents suivants:</w:t>
      </w:r>
    </w:p>
    <w:p>
      <w:pPr>
        <w:pStyle w:val="BodyText"/>
        <w:spacing w:before="93"/>
        <w:ind w:left="283" w:right="0" w:firstLine="0"/>
        <w:jc w:val="left"/>
      </w:pPr>
      <w:r>
        <w:rPr>
          <w:color w:val="231F20"/>
        </w:rPr>
        <w:t>1° le projet de fusion;</w:t>
      </w:r>
    </w:p>
    <w:p>
      <w:pPr>
        <w:pStyle w:val="BodyText"/>
        <w:spacing w:before="89"/>
        <w:ind w:left="283" w:right="0" w:firstLine="0"/>
        <w:jc w:val="left"/>
      </w:pPr>
      <w:r>
        <w:rPr>
          <w:color w:val="231F20"/>
        </w:rPr>
        <w:t>2° le cas échéant, les rapports visés aux articles 12:25 et 12:26;</w:t>
      </w:r>
    </w:p>
    <w:p>
      <w:pPr>
        <w:pStyle w:val="BodyText"/>
        <w:spacing w:before="7"/>
        <w:ind w:left="0" w:right="0" w:firstLine="0"/>
        <w:jc w:val="left"/>
        <w:rPr>
          <w:sz w:val="24"/>
        </w:rPr>
      </w:pPr>
    </w:p>
    <w:p>
      <w:pPr>
        <w:pStyle w:val="BodyText"/>
        <w:spacing w:line="218" w:lineRule="auto"/>
        <w:ind w:right="38"/>
      </w:pPr>
      <w:r>
        <w:rPr>
          <w:color w:val="231F20"/>
        </w:rPr>
        <w:t>3° les comptes annuels des trois derniers exercices, de chacune des sociétés qui fusionnent;</w:t>
      </w:r>
    </w:p>
    <w:p>
      <w:pPr>
        <w:pStyle w:val="BodyText"/>
        <w:spacing w:line="218" w:lineRule="auto" w:before="117"/>
        <w:ind w:right="38"/>
      </w:pPr>
      <w:r>
        <w:rPr>
          <w:color w:val="231F20"/>
        </w:rPr>
        <w:t>4° pour la </w:t>
      </w:r>
      <w:r>
        <w:rPr>
          <w:color w:val="231F20"/>
          <w:spacing w:val="3"/>
        </w:rPr>
        <w:t>société </w:t>
      </w:r>
      <w:r>
        <w:rPr>
          <w:color w:val="231F20"/>
        </w:rPr>
        <w:t>à responsabilité limitée, la société coopérative, la société  anonyme,  la  société  européenne  et   la   société   coopéra-   tive européenne, les rapports de l’organe d’administration et les rapports</w:t>
      </w:r>
      <w:r>
        <w:rPr>
          <w:color w:val="231F20"/>
          <w:spacing w:val="15"/>
        </w:rPr>
        <w:t> </w:t>
      </w:r>
      <w:r>
        <w:rPr>
          <w:color w:val="231F20"/>
        </w:rPr>
        <w:t>du</w:t>
      </w:r>
      <w:r>
        <w:rPr>
          <w:color w:val="231F20"/>
          <w:spacing w:val="15"/>
        </w:rPr>
        <w:t> </w:t>
      </w:r>
      <w:r>
        <w:rPr>
          <w:color w:val="231F20"/>
        </w:rPr>
        <w:t>commissaire</w:t>
      </w:r>
      <w:r>
        <w:rPr>
          <w:color w:val="231F20"/>
          <w:spacing w:val="15"/>
        </w:rPr>
        <w:t> </w:t>
      </w:r>
      <w:r>
        <w:rPr>
          <w:color w:val="231F20"/>
        </w:rPr>
        <w:t>des</w:t>
      </w:r>
      <w:r>
        <w:rPr>
          <w:color w:val="231F20"/>
          <w:spacing w:val="15"/>
        </w:rPr>
        <w:t> </w:t>
      </w:r>
      <w:r>
        <w:rPr>
          <w:color w:val="231F20"/>
        </w:rPr>
        <w:t>trois</w:t>
      </w:r>
      <w:r>
        <w:rPr>
          <w:color w:val="231F20"/>
          <w:spacing w:val="15"/>
        </w:rPr>
        <w:t> </w:t>
      </w:r>
      <w:r>
        <w:rPr>
          <w:color w:val="231F20"/>
        </w:rPr>
        <w:t>derniers</w:t>
      </w:r>
      <w:r>
        <w:rPr>
          <w:color w:val="231F20"/>
          <w:spacing w:val="15"/>
        </w:rPr>
        <w:t> </w:t>
      </w:r>
      <w:r>
        <w:rPr>
          <w:color w:val="231F20"/>
        </w:rPr>
        <w:t>exercices,</w:t>
      </w:r>
      <w:r>
        <w:rPr>
          <w:color w:val="231F20"/>
          <w:spacing w:val="15"/>
        </w:rPr>
        <w:t> </w:t>
      </w:r>
      <w:r>
        <w:rPr>
          <w:color w:val="231F20"/>
          <w:spacing w:val="3"/>
        </w:rPr>
        <w:t>s’il</w:t>
      </w:r>
      <w:r>
        <w:rPr>
          <w:color w:val="231F20"/>
        </w:rPr>
        <w:t> y</w:t>
      </w:r>
      <w:r>
        <w:rPr>
          <w:color w:val="231F20"/>
          <w:spacing w:val="15"/>
        </w:rPr>
        <w:t> </w:t>
      </w:r>
      <w:r>
        <w:rPr>
          <w:color w:val="231F20"/>
          <w:spacing w:val="7"/>
        </w:rPr>
        <w:t>en</w:t>
      </w:r>
      <w:r>
        <w:rPr>
          <w:color w:val="231F20"/>
          <w:spacing w:val="1"/>
        </w:rPr>
        <w:t> </w:t>
      </w:r>
      <w:r>
        <w:rPr>
          <w:color w:val="231F20"/>
        </w:rPr>
        <w:t>a</w:t>
      </w:r>
      <w:r>
        <w:rPr>
          <w:color w:val="231F20"/>
          <w:spacing w:val="15"/>
        </w:rPr>
        <w:t> </w:t>
      </w:r>
      <w:r>
        <w:rPr>
          <w:color w:val="231F20"/>
        </w:rPr>
        <w:t>un;</w:t>
      </w:r>
    </w:p>
    <w:p>
      <w:pPr>
        <w:pStyle w:val="BodyText"/>
        <w:spacing w:before="10"/>
        <w:ind w:left="0" w:right="0" w:firstLine="0"/>
        <w:jc w:val="left"/>
        <w:rPr>
          <w:sz w:val="25"/>
        </w:rPr>
      </w:pPr>
    </w:p>
    <w:p>
      <w:pPr>
        <w:pStyle w:val="BodyText"/>
        <w:spacing w:line="218" w:lineRule="auto"/>
        <w:ind w:right="38"/>
      </w:pPr>
      <w:r>
        <w:rPr>
          <w:color w:val="231F20"/>
        </w:rPr>
        <w:t>5° le cas échéant, lorsque le projet de fusion est postérieur de six</w:t>
      </w:r>
      <w:r>
        <w:rPr>
          <w:color w:val="231F20"/>
          <w:spacing w:val="-26"/>
        </w:rPr>
        <w:t> </w:t>
      </w:r>
      <w:r>
        <w:rPr>
          <w:color w:val="231F20"/>
        </w:rPr>
        <w:t>mois au moins à la fin de l’exercice auquel se rapportent les derniers comptes annuels, d’un état comptable clôturé moins de trois mois avant la date du</w:t>
      </w:r>
      <w:r>
        <w:rPr>
          <w:color w:val="231F20"/>
          <w:spacing w:val="14"/>
        </w:rPr>
        <w:t> </w:t>
      </w:r>
      <w:r>
        <w:rPr>
          <w:color w:val="231F20"/>
        </w:rPr>
        <w:t>projet</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et</w:t>
      </w:r>
      <w:r>
        <w:rPr>
          <w:color w:val="231F20"/>
          <w:spacing w:val="14"/>
        </w:rPr>
        <w:t> </w:t>
      </w:r>
      <w:r>
        <w:rPr>
          <w:color w:val="231F20"/>
        </w:rPr>
        <w:t>rédigé</w:t>
      </w:r>
      <w:r>
        <w:rPr>
          <w:color w:val="231F20"/>
          <w:spacing w:val="15"/>
        </w:rPr>
        <w:t> </w:t>
      </w:r>
      <w:r>
        <w:rPr>
          <w:color w:val="231F20"/>
        </w:rPr>
        <w:t>conformément</w:t>
      </w:r>
      <w:r>
        <w:rPr>
          <w:color w:val="231F20"/>
          <w:spacing w:val="14"/>
        </w:rPr>
        <w:t> </w:t>
      </w:r>
      <w:r>
        <w:rPr>
          <w:color w:val="231F20"/>
        </w:rPr>
        <w:t>aux</w:t>
      </w:r>
      <w:r>
        <w:rPr>
          <w:color w:val="231F20"/>
          <w:spacing w:val="15"/>
        </w:rPr>
        <w:t> </w:t>
      </w:r>
      <w:r>
        <w:rPr>
          <w:color w:val="231F20"/>
        </w:rPr>
        <w:t>alinéas</w:t>
      </w:r>
      <w:r>
        <w:rPr>
          <w:color w:val="231F20"/>
          <w:spacing w:val="15"/>
        </w:rPr>
        <w:t> </w:t>
      </w:r>
      <w:r>
        <w:rPr>
          <w:color w:val="231F20"/>
        </w:rPr>
        <w:t>2</w:t>
      </w:r>
      <w:r>
        <w:rPr>
          <w:color w:val="231F20"/>
          <w:spacing w:val="14"/>
        </w:rPr>
        <w:t> </w:t>
      </w:r>
      <w:r>
        <w:rPr>
          <w:color w:val="231F20"/>
        </w:rPr>
        <w:t>à</w:t>
      </w:r>
      <w:r>
        <w:rPr>
          <w:color w:val="231F20"/>
          <w:spacing w:val="15"/>
        </w:rPr>
        <w:t> </w:t>
      </w:r>
      <w:r>
        <w:rPr>
          <w:color w:val="231F20"/>
        </w:rPr>
        <w:t>4.</w:t>
      </w:r>
    </w:p>
    <w:p>
      <w:pPr>
        <w:pStyle w:val="BodyText"/>
        <w:ind w:left="0" w:right="0" w:firstLine="0"/>
        <w:jc w:val="left"/>
        <w:rPr>
          <w:sz w:val="20"/>
        </w:rPr>
      </w:pPr>
    </w:p>
    <w:p>
      <w:pPr>
        <w:pStyle w:val="BodyText"/>
        <w:spacing w:before="3"/>
        <w:ind w:left="0" w:right="0" w:firstLine="0"/>
        <w:jc w:val="left"/>
        <w:rPr>
          <w:sz w:val="21"/>
        </w:rPr>
      </w:pPr>
    </w:p>
    <w:p>
      <w:pPr>
        <w:pStyle w:val="BodyText"/>
        <w:spacing w:line="218" w:lineRule="auto"/>
        <w:ind w:right="38"/>
      </w:pPr>
      <w:r>
        <w:rPr>
          <w:color w:val="231F20"/>
        </w:rPr>
        <w:t>Cet état comptable est établi selon les mêmes méthodes et suivant la même présentation que les derniers comptes annuels.</w:t>
      </w:r>
    </w:p>
    <w:p>
      <w:pPr>
        <w:pStyle w:val="BodyText"/>
        <w:spacing w:before="104"/>
        <w:ind w:left="283" w:right="0" w:firstLine="0"/>
        <w:jc w:val="left"/>
      </w:pPr>
      <w:r>
        <w:rPr>
          <w:color w:val="231F20"/>
        </w:rPr>
        <w:t>Il n’est toutefois pas nécessaire de procéder à un nouvel inventaire.</w:t>
      </w:r>
    </w:p>
    <w:p>
      <w:pPr>
        <w:pStyle w:val="BodyText"/>
        <w:spacing w:line="218" w:lineRule="auto" w:before="114"/>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before="5"/>
        <w:ind w:left="0" w:right="0" w:firstLine="0"/>
        <w:jc w:val="left"/>
        <w:rPr>
          <w:sz w:val="24"/>
        </w:rPr>
      </w:pPr>
    </w:p>
    <w:p>
      <w:pPr>
        <w:pStyle w:val="BodyText"/>
        <w:spacing w:line="218" w:lineRule="auto"/>
        <w:ind w:right="38"/>
      </w:pPr>
      <w:r>
        <w:rPr>
          <w:color w:val="231F20"/>
        </w:rPr>
        <w:t>L’alinéa 1</w:t>
      </w:r>
      <w:r>
        <w:rPr>
          <w:color w:val="231F20"/>
          <w:position w:val="7"/>
          <w:sz w:val="11"/>
        </w:rPr>
        <w:t>er</w:t>
      </w:r>
      <w:r>
        <w:rPr>
          <w:color w:val="231F20"/>
        </w:rPr>
        <w:t>, 5°,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5"/>
        </w:rPr>
        <w:t> </w:t>
      </w:r>
      <w:r>
        <w:rPr>
          <w:color w:val="231F20"/>
        </w:rPr>
        <w:t>au</w:t>
      </w:r>
      <w:r>
        <w:rPr>
          <w:color w:val="231F20"/>
          <w:spacing w:val="15"/>
        </w:rPr>
        <w:t> </w:t>
      </w:r>
      <w:r>
        <w:rPr>
          <w:color w:val="231F20"/>
        </w:rPr>
        <w:t>présent</w:t>
      </w:r>
      <w:r>
        <w:rPr>
          <w:color w:val="231F20"/>
          <w:spacing w:val="15"/>
        </w:rPr>
        <w:t> </w:t>
      </w:r>
      <w:r>
        <w:rPr>
          <w:color w:val="231F20"/>
        </w:rPr>
        <w:t>paragraphe,</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disposition</w:t>
      </w:r>
      <w:r>
        <w:rPr>
          <w:color w:val="231F20"/>
          <w:spacing w:val="15"/>
        </w:rPr>
        <w:t> </w:t>
      </w:r>
      <w:r>
        <w:rPr>
          <w:color w:val="231F20"/>
        </w:rPr>
        <w:t>des</w:t>
      </w:r>
      <w:r>
        <w:rPr>
          <w:color w:val="231F20"/>
          <w:spacing w:val="15"/>
        </w:rPr>
        <w:t> </w:t>
      </w:r>
      <w:r>
        <w:rPr>
          <w:color w:val="231F20"/>
        </w:rPr>
        <w:t>actionnaires.</w:t>
      </w:r>
    </w:p>
    <w:p>
      <w:pPr>
        <w:pStyle w:val="BodyText"/>
        <w:ind w:left="0" w:right="0" w:firstLine="0"/>
        <w:jc w:val="left"/>
        <w:rPr>
          <w:sz w:val="20"/>
        </w:rPr>
      </w:pPr>
    </w:p>
    <w:p>
      <w:pPr>
        <w:pStyle w:val="BodyText"/>
        <w:ind w:left="0" w:right="0" w:firstLine="0"/>
        <w:jc w:val="left"/>
        <w:rPr>
          <w:sz w:val="20"/>
        </w:rPr>
      </w:pPr>
    </w:p>
    <w:p>
      <w:pPr>
        <w:pStyle w:val="BodyText"/>
        <w:spacing w:line="218" w:lineRule="auto"/>
        <w:ind w:right="38"/>
      </w:pPr>
      <w:r>
        <w:rPr>
          <w:color w:val="231F20"/>
        </w:rPr>
        <w:t>L’alinéa 1</w:t>
      </w:r>
      <w:r>
        <w:rPr>
          <w:color w:val="231F20"/>
          <w:position w:val="7"/>
          <w:sz w:val="11"/>
        </w:rPr>
        <w:t>er</w:t>
      </w:r>
      <w:r>
        <w:rPr>
          <w:color w:val="231F20"/>
        </w:rPr>
        <w:t>, 5°, n’est pas applicable si tous les associés ou</w:t>
      </w:r>
      <w:r>
        <w:rPr>
          <w:color w:val="231F20"/>
          <w:spacing w:val="-26"/>
        </w:rPr>
        <w:t> </w:t>
      </w:r>
      <w:r>
        <w:rPr>
          <w:color w:val="231F20"/>
        </w:rPr>
        <w:t>actionnaires et les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line="218" w:lineRule="auto" w:before="119"/>
        <w:ind w:right="0" w:firstLine="0"/>
        <w:jc w:val="left"/>
      </w:pPr>
      <w:r>
        <w:rPr/>
        <w:br w:type="column"/>
      </w:r>
      <w:r>
        <w:rPr>
          <w:color w:val="231F20"/>
        </w:rPr>
        <w:t>algemene vergadering, of, in het geval bedoeld in artikel 12:30, § 6, de vergadering van het laatste bestuursorgaan, die tot de fusie besluit.</w:t>
      </w:r>
    </w:p>
    <w:p>
      <w:pPr>
        <w:pStyle w:val="BodyText"/>
        <w:spacing w:line="218" w:lineRule="auto" w:before="107"/>
      </w:pPr>
      <w:r>
        <w:rPr>
          <w:color w:val="231F20"/>
        </w:rPr>
        <w:t>De aldus geïnformeerde bestuursorganen brengen hun algemene vergaderingen op de hoogte van de ontvangen informatie.</w:t>
      </w:r>
    </w:p>
    <w:p>
      <w:pPr>
        <w:pStyle w:val="BodyText"/>
        <w:spacing w:line="218" w:lineRule="auto" w:before="107"/>
      </w:pPr>
      <w:r>
        <w:rPr>
          <w:color w:val="231F20"/>
        </w:rPr>
        <w:t>Het eerste lid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107"/>
      </w:pPr>
      <w:r>
        <w:rPr>
          <w:color w:val="231F20"/>
        </w:rPr>
        <w:t>Art. 12:28. § 1. In elke vennootschap vermeldt de agenda van</w:t>
      </w:r>
      <w:r>
        <w:rPr>
          <w:color w:val="231F20"/>
          <w:spacing w:val="22"/>
        </w:rPr>
        <w:t> </w:t>
      </w:r>
      <w:r>
        <w:rPr>
          <w:color w:val="231F20"/>
        </w:rPr>
        <w:t>de algemene vergadering die zich over het fusievoorstel moet uitspreken het fusievoorstel en de verslagen bedoeld in de artikelen 12:25 en 12:26, evenals de mogelijkheid voor de vennoten of aandeelhouders om de genoemde stukken kosteloos te verkrijgen. Deze verplichting geldt niet indien het bestuursorgaan de fusie goedkeurt  overeenkomstig  arti-  kel 12:30, §</w:t>
      </w:r>
      <w:r>
        <w:rPr>
          <w:color w:val="231F20"/>
          <w:spacing w:val="2"/>
        </w:rPr>
        <w:t> </w:t>
      </w:r>
      <w:r>
        <w:rPr>
          <w:color w:val="231F20"/>
        </w:rPr>
        <w:t>6.</w:t>
      </w:r>
    </w:p>
    <w:p>
      <w:pPr>
        <w:pStyle w:val="BodyText"/>
        <w:spacing w:line="218" w:lineRule="auto" w:before="107"/>
      </w:pPr>
      <w:r>
        <w:rPr>
          <w:color w:val="231F20"/>
        </w:rPr>
        <w:t>Aan de houders van aandelen op naam wordt uiterlijk een maand vóór</w:t>
      </w:r>
      <w:r>
        <w:rPr>
          <w:color w:val="231F20"/>
          <w:spacing w:val="7"/>
        </w:rPr>
        <w:t> </w:t>
      </w:r>
      <w:r>
        <w:rPr>
          <w:color w:val="231F20"/>
        </w:rPr>
        <w:t>de</w:t>
      </w:r>
      <w:r>
        <w:rPr>
          <w:color w:val="231F20"/>
          <w:spacing w:val="7"/>
        </w:rPr>
        <w:t> </w:t>
      </w:r>
      <w:r>
        <w:rPr>
          <w:color w:val="231F20"/>
        </w:rPr>
        <w:t>algemene</w:t>
      </w:r>
      <w:r>
        <w:rPr>
          <w:color w:val="231F20"/>
          <w:spacing w:val="7"/>
        </w:rPr>
        <w:t> </w:t>
      </w:r>
      <w:r>
        <w:rPr>
          <w:color w:val="231F20"/>
        </w:rPr>
        <w:t>vergadering,</w:t>
      </w:r>
      <w:r>
        <w:rPr>
          <w:color w:val="231F20"/>
          <w:spacing w:val="7"/>
        </w:rPr>
        <w:t> </w:t>
      </w:r>
      <w:r>
        <w:rPr>
          <w:color w:val="231F20"/>
        </w:rPr>
        <w:t>of,</w:t>
      </w:r>
      <w:r>
        <w:rPr>
          <w:color w:val="231F20"/>
          <w:spacing w:val="7"/>
        </w:rPr>
        <w:t> </w:t>
      </w:r>
      <w:r>
        <w:rPr>
          <w:color w:val="231F20"/>
        </w:rPr>
        <w:t>in</w:t>
      </w:r>
      <w:r>
        <w:rPr>
          <w:color w:val="231F20"/>
          <w:spacing w:val="7"/>
        </w:rPr>
        <w:t> </w:t>
      </w:r>
      <w:r>
        <w:rPr>
          <w:color w:val="231F20"/>
        </w:rPr>
        <w:t>het</w:t>
      </w:r>
      <w:r>
        <w:rPr>
          <w:color w:val="231F20"/>
          <w:spacing w:val="7"/>
        </w:rPr>
        <w:t> </w:t>
      </w:r>
      <w:r>
        <w:rPr>
          <w:color w:val="231F20"/>
        </w:rPr>
        <w:t>geval</w:t>
      </w:r>
      <w:r>
        <w:rPr>
          <w:color w:val="231F20"/>
          <w:spacing w:val="7"/>
        </w:rPr>
        <w:t> </w:t>
      </w:r>
      <w:r>
        <w:rPr>
          <w:color w:val="231F20"/>
        </w:rPr>
        <w:t>bedoeld</w:t>
      </w:r>
      <w:r>
        <w:rPr>
          <w:color w:val="231F20"/>
          <w:spacing w:val="7"/>
        </w:rPr>
        <w:t> </w:t>
      </w:r>
      <w:r>
        <w:rPr>
          <w:color w:val="231F20"/>
        </w:rPr>
        <w:t>in</w:t>
      </w:r>
      <w:r>
        <w:rPr>
          <w:color w:val="231F20"/>
          <w:spacing w:val="7"/>
        </w:rPr>
        <w:t> </w:t>
      </w:r>
      <w:r>
        <w:rPr>
          <w:color w:val="231F20"/>
        </w:rPr>
        <w:t>artikel</w:t>
      </w:r>
      <w:r>
        <w:rPr>
          <w:color w:val="231F20"/>
          <w:spacing w:val="7"/>
        </w:rPr>
        <w:t> </w:t>
      </w:r>
      <w:r>
        <w:rPr>
          <w:color w:val="231F20"/>
        </w:rPr>
        <w:t>12:30,</w:t>
      </w:r>
    </w:p>
    <w:p>
      <w:pPr>
        <w:pStyle w:val="BodyText"/>
        <w:spacing w:line="218" w:lineRule="auto"/>
        <w:ind w:right="0" w:firstLine="0"/>
        <w:jc w:val="left"/>
      </w:pPr>
      <w:r>
        <w:rPr>
          <w:color w:val="231F20"/>
        </w:rPr>
        <w:t>§ 6, de algemene vergadering van de overgenomen vennootschap of vennootschappen,</w:t>
      </w:r>
      <w:r>
        <w:rPr>
          <w:color w:val="231F20"/>
          <w:spacing w:val="16"/>
        </w:rPr>
        <w:t> </w:t>
      </w:r>
      <w:r>
        <w:rPr>
          <w:color w:val="231F20"/>
        </w:rPr>
        <w:t>een</w:t>
      </w:r>
      <w:r>
        <w:rPr>
          <w:color w:val="231F20"/>
          <w:spacing w:val="17"/>
        </w:rPr>
        <w:t> </w:t>
      </w:r>
      <w:r>
        <w:rPr>
          <w:color w:val="231F20"/>
        </w:rPr>
        <w:t>kopie</w:t>
      </w:r>
      <w:r>
        <w:rPr>
          <w:color w:val="231F20"/>
          <w:spacing w:val="17"/>
        </w:rPr>
        <w:t> </w:t>
      </w:r>
      <w:r>
        <w:rPr>
          <w:color w:val="231F20"/>
        </w:rPr>
        <w:t>meegedeeld</w:t>
      </w:r>
      <w:r>
        <w:rPr>
          <w:color w:val="231F20"/>
          <w:spacing w:val="17"/>
        </w:rPr>
        <w:t> </w:t>
      </w:r>
      <w:r>
        <w:rPr>
          <w:color w:val="231F20"/>
        </w:rPr>
        <w:t>overeenkomstig</w:t>
      </w:r>
      <w:r>
        <w:rPr>
          <w:color w:val="231F20"/>
          <w:spacing w:val="17"/>
        </w:rPr>
        <w:t> </w:t>
      </w:r>
      <w:r>
        <w:rPr>
          <w:color w:val="231F20"/>
        </w:rPr>
        <w:t>artikel</w:t>
      </w:r>
      <w:r>
        <w:rPr>
          <w:color w:val="231F20"/>
          <w:spacing w:val="17"/>
        </w:rPr>
        <w:t> </w:t>
      </w:r>
      <w:r>
        <w:rPr>
          <w:color w:val="231F20"/>
        </w:rPr>
        <w:t>2:32.</w:t>
      </w:r>
    </w:p>
    <w:p>
      <w:pPr>
        <w:pStyle w:val="BodyText"/>
        <w:spacing w:before="10"/>
        <w:ind w:left="0" w:right="0" w:firstLine="0"/>
        <w:jc w:val="left"/>
        <w:rPr>
          <w:sz w:val="24"/>
        </w:rPr>
      </w:pPr>
    </w:p>
    <w:p>
      <w:pPr>
        <w:pStyle w:val="BodyText"/>
        <w:spacing w:line="218" w:lineRule="auto"/>
      </w:pPr>
      <w:r>
        <w:rPr>
          <w:color w:val="231F20"/>
        </w:rPr>
        <w:t>Er wordt ook onverwijld een kopie meegedeeld aan diegenen die de statutair voorgeschreven formaliteiten hebben vervuld om tot de in artikel 12:30, § 1, bedoelde algemene vergadering te worden</w:t>
      </w:r>
      <w:r>
        <w:rPr>
          <w:color w:val="231F20"/>
          <w:spacing w:val="24"/>
        </w:rPr>
        <w:t> </w:t>
      </w:r>
      <w:r>
        <w:rPr>
          <w:color w:val="231F20"/>
        </w:rPr>
        <w:t>toegelaten.</w:t>
      </w:r>
    </w:p>
    <w:p>
      <w:pPr>
        <w:pStyle w:val="BodyText"/>
        <w:spacing w:line="218" w:lineRule="auto" w:before="107"/>
      </w:pPr>
      <w:r>
        <w:rPr>
          <w:color w:val="231F20"/>
        </w:rPr>
        <w:t>Wanneer het evenwel gaat om een coöperatieve vennootschap, moeten het voorstel en de verslagen bedoeld in het eerste lid, niet aan de aandeelhouders worden meegedeeld overeenkomstig het tweede en het derde lid.</w:t>
      </w:r>
    </w:p>
    <w:p>
      <w:pPr>
        <w:pStyle w:val="BodyText"/>
        <w:spacing w:line="218" w:lineRule="auto" w:before="107"/>
      </w:pPr>
      <w:r>
        <w:rPr>
          <w:color w:val="231F20"/>
        </w:rPr>
        <w:t>In dat geval heeft iedere  aandeelhouder  overeenkomstig </w:t>
      </w:r>
      <w:r>
        <w:rPr>
          <w:color w:val="231F20"/>
          <w:spacing w:val="26"/>
        </w:rPr>
        <w:t> </w:t>
      </w:r>
      <w:r>
        <w:rPr>
          <w:color w:val="231F20"/>
        </w:rPr>
        <w:t>para- graaf 2 het recht om uiterlijk een maand vóór de datum van de algemene vergadering of, in het geval bedoeld in artikel 12:30, § 6, de datum waarop de fusie van kracht wordt, op de zetel van de vennootschap van voornoemde stukken kennis te nemen en kan hij overeenkomstig paragraaf 3 binnen dezelfde termijn een kopie ervan verkrijgen.</w:t>
      </w:r>
    </w:p>
    <w:p>
      <w:pPr>
        <w:pStyle w:val="BodyText"/>
        <w:spacing w:line="218" w:lineRule="auto" w:before="107"/>
        <w:ind w:right="123"/>
      </w:pPr>
      <w:r>
        <w:rPr>
          <w:color w:val="231F20"/>
        </w:rPr>
        <w:t>§ 2. Iedere vennoot of aandeelhouder heeft tevens het recht uiterlijk een maand vóór de datum van de algemene vergadering van de fuserende vennootschappen die over het fusievoorstel moet besluiten, of, in het geval bedoeld in artikel 12:30, § 6, de algemene vergadering van de overgenomen vennootschap of vennootschappen, op de zetel van</w:t>
      </w:r>
      <w:r>
        <w:rPr>
          <w:color w:val="231F20"/>
          <w:spacing w:val="18"/>
        </w:rPr>
        <w:t> </w:t>
      </w:r>
      <w:r>
        <w:rPr>
          <w:color w:val="231F20"/>
        </w:rPr>
        <w:t>de</w:t>
      </w:r>
      <w:r>
        <w:rPr>
          <w:color w:val="231F20"/>
          <w:spacing w:val="19"/>
        </w:rPr>
        <w:t> </w:t>
      </w:r>
      <w:r>
        <w:rPr>
          <w:color w:val="231F20"/>
        </w:rPr>
        <w:t>vennootschap</w:t>
      </w:r>
      <w:r>
        <w:rPr>
          <w:color w:val="231F20"/>
          <w:spacing w:val="19"/>
        </w:rPr>
        <w:t> </w:t>
      </w:r>
      <w:r>
        <w:rPr>
          <w:color w:val="231F20"/>
        </w:rPr>
        <w:t>kennis</w:t>
      </w:r>
      <w:r>
        <w:rPr>
          <w:color w:val="231F20"/>
          <w:spacing w:val="19"/>
        </w:rPr>
        <w:t> </w:t>
      </w:r>
      <w:r>
        <w:rPr>
          <w:color w:val="231F20"/>
        </w:rPr>
        <w:t>te</w:t>
      </w:r>
      <w:r>
        <w:rPr>
          <w:color w:val="231F20"/>
          <w:spacing w:val="19"/>
        </w:rPr>
        <w:t> </w:t>
      </w:r>
      <w:r>
        <w:rPr>
          <w:color w:val="231F20"/>
        </w:rPr>
        <w:t>nemen</w:t>
      </w:r>
      <w:r>
        <w:rPr>
          <w:color w:val="231F20"/>
          <w:spacing w:val="18"/>
        </w:rPr>
        <w:t> </w:t>
      </w:r>
      <w:r>
        <w:rPr>
          <w:color w:val="231F20"/>
        </w:rPr>
        <w:t>van</w:t>
      </w:r>
      <w:r>
        <w:rPr>
          <w:color w:val="231F20"/>
          <w:spacing w:val="19"/>
        </w:rPr>
        <w:t> </w:t>
      </w:r>
      <w:r>
        <w:rPr>
          <w:color w:val="231F20"/>
        </w:rPr>
        <w:t>de</w:t>
      </w:r>
      <w:r>
        <w:rPr>
          <w:color w:val="231F20"/>
          <w:spacing w:val="19"/>
        </w:rPr>
        <w:t> </w:t>
      </w:r>
      <w:r>
        <w:rPr>
          <w:color w:val="231F20"/>
        </w:rPr>
        <w:t>volgende</w:t>
      </w:r>
      <w:r>
        <w:rPr>
          <w:color w:val="231F20"/>
          <w:spacing w:val="19"/>
        </w:rPr>
        <w:t> </w:t>
      </w:r>
      <w:r>
        <w:rPr>
          <w:color w:val="231F20"/>
        </w:rPr>
        <w:t>stukken:</w:t>
      </w:r>
    </w:p>
    <w:p>
      <w:pPr>
        <w:pStyle w:val="BodyText"/>
        <w:spacing w:before="93"/>
        <w:ind w:left="283" w:right="0" w:firstLine="0"/>
        <w:jc w:val="left"/>
      </w:pPr>
      <w:r>
        <w:rPr>
          <w:color w:val="231F20"/>
        </w:rPr>
        <w:t>1° het fusievoorstel;</w:t>
      </w:r>
    </w:p>
    <w:p>
      <w:pPr>
        <w:pStyle w:val="BodyText"/>
        <w:spacing w:line="218" w:lineRule="auto" w:before="104"/>
      </w:pPr>
      <w:r>
        <w:rPr>
          <w:color w:val="231F20"/>
        </w:rPr>
        <w:t>2° in voorkomend geval, de in de artikelen 12:25 en 12:26 bedoelde verslagen;</w:t>
      </w:r>
    </w:p>
    <w:p>
      <w:pPr>
        <w:pStyle w:val="BodyText"/>
        <w:spacing w:line="218" w:lineRule="auto" w:before="106"/>
      </w:pPr>
      <w:r>
        <w:rPr>
          <w:color w:val="231F20"/>
        </w:rPr>
        <w:t>3° de jaarrekeningen over de laatste drie boekjaren van elk van de bij de fusie betrokken vennootschappen;</w:t>
      </w:r>
    </w:p>
    <w:p>
      <w:pPr>
        <w:pStyle w:val="BodyText"/>
        <w:spacing w:line="218" w:lineRule="auto" w:before="118"/>
      </w:pPr>
      <w:r>
        <w:rPr>
          <w:color w:val="231F20"/>
        </w:rPr>
        <w:t>4° wat de besloten vennootschap betreft, de coöperatieve vennoot- schap, de naamloze vennootschap, de Europese vennootschap en de Europese coöperatieve vennootschap, de verslagen van het bestuurs- orgaan en de verslagen van de commissaris over de laatste drie boekjaren, als er één is;</w:t>
      </w:r>
    </w:p>
    <w:p>
      <w:pPr>
        <w:pStyle w:val="BodyText"/>
        <w:spacing w:line="218" w:lineRule="auto" w:before="117"/>
      </w:pPr>
      <w:r>
        <w:rPr>
          <w:color w:val="231F20"/>
        </w:rPr>
        <w:t>5° in voorkomend geval, indien de laatste jaarrekening betrekking heeft op een boekjaar dat meer dan zes maanden vóór de datum van het fusievoorstel is afgesloten: tussentijdse cijfers over de stand van het vermogen die niet meer dan drie maanden vóór de datum van dat voorstel zijn afgesloten en die overeenkomstig het tweede tot het vierde lid zijn opgesteld.</w:t>
      </w:r>
    </w:p>
    <w:p>
      <w:pPr>
        <w:pStyle w:val="BodyText"/>
        <w:spacing w:line="218" w:lineRule="auto" w:before="118"/>
      </w:pPr>
      <w:r>
        <w:rPr>
          <w:color w:val="231F20"/>
        </w:rPr>
        <w:t>Deze tussentijdse cijfers worden opgemaakt volgens dezelfde metho- den en dezelfde opstelling als de laatste jaarrekening.</w:t>
      </w:r>
    </w:p>
    <w:p>
      <w:pPr>
        <w:pStyle w:val="BodyText"/>
        <w:spacing w:before="104"/>
        <w:ind w:left="283" w:right="0" w:firstLine="0"/>
        <w:jc w:val="left"/>
      </w:pPr>
      <w:r>
        <w:rPr>
          <w:color w:val="231F20"/>
        </w:rPr>
        <w:t>Een nieuwe inventaris moet echter niet worden opgemaakt.</w:t>
      </w:r>
    </w:p>
    <w:p>
      <w:pPr>
        <w:pStyle w:val="BodyText"/>
        <w:spacing w:line="218" w:lineRule="auto" w:before="113"/>
        <w:ind w:right="123"/>
      </w:pPr>
      <w:r>
        <w:rPr>
          <w:color w:val="231F20"/>
        </w:rPr>
        <w:t>De wijzigingen van de in de laatste balans voorkomende waarderin- gen kunnen worden beperkt tot de wijzigingen die voortvloeien uit de verrichte boekingen. Er moet echter rekening worden gehouden met tussentijdse afschrijvingen en voorzieningen, evenals met belangrijke wijzigingen van waarden die niet uit de boeken blijken.</w:t>
      </w:r>
    </w:p>
    <w:p>
      <w:pPr>
        <w:pStyle w:val="BodyText"/>
        <w:spacing w:before="10"/>
        <w:ind w:left="0" w:right="0" w:firstLine="0"/>
        <w:jc w:val="left"/>
        <w:rPr>
          <w:sz w:val="25"/>
        </w:rPr>
      </w:pPr>
    </w:p>
    <w:p>
      <w:pPr>
        <w:pStyle w:val="BodyText"/>
        <w:spacing w:line="218" w:lineRule="auto"/>
        <w:ind w:right="123"/>
      </w:pPr>
      <w:r>
        <w:rPr>
          <w:color w:val="231F20"/>
        </w:rPr>
        <w:t>Het eerste lid, 5°,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deze paragraaf aan de aandeelhouders beschikbaar stelt.</w:t>
      </w:r>
    </w:p>
    <w:p>
      <w:pPr>
        <w:pStyle w:val="BodyText"/>
        <w:spacing w:line="218" w:lineRule="auto" w:before="118"/>
        <w:ind w:right="125"/>
      </w:pPr>
      <w:r>
        <w:rPr>
          <w:color w:val="231F20"/>
        </w:rPr>
        <w:t>Het eerste lid, 5°,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3" w:lineRule="auto" w:before="123"/>
        <w:ind w:right="38"/>
      </w:pPr>
      <w:r>
        <w:rPr/>
        <w:pict>
          <v:line style="position:absolute;mso-position-horizontal-relative:page;mso-position-vertical-relative:page;z-index:6496" from="298.170502pt,64.473pt" to="298.170502pt,812.819pt" stroked="true" strokeweight=".533pt" strokecolor="#231f20">
            <v:stroke dashstyle="solid"/>
            <w10:wrap type="none"/>
          </v:line>
        </w:pict>
      </w:r>
      <w:bookmarkStart w:name="_bookmark228" w:id="234"/>
      <w:bookmarkEnd w:id="234"/>
      <w:r>
        <w:rPr/>
      </w:r>
      <w:r>
        <w:rPr>
          <w:color w:val="231F20"/>
        </w:rPr>
        <w:t>§ 3. Tout associé ou actionnaire peut obtenir sans frais et sur simple demande une copie intégrale ou, s’il le désire, partielle, des documents visées au paragraphe 2, à l’exception de ceux qui lui ont été transmis en application du paragraphe 1</w:t>
      </w:r>
      <w:r>
        <w:rPr>
          <w:color w:val="231F20"/>
          <w:position w:val="7"/>
          <w:sz w:val="11"/>
        </w:rPr>
        <w:t>er</w:t>
      </w:r>
      <w:r>
        <w:rPr>
          <w:color w:val="231F20"/>
        </w:rPr>
        <w:t>.</w:t>
      </w:r>
    </w:p>
    <w:p>
      <w:pPr>
        <w:pStyle w:val="BodyText"/>
        <w:spacing w:line="218" w:lineRule="auto" w:before="115"/>
        <w:ind w:right="38"/>
      </w:pPr>
      <w:r>
        <w:rPr>
          <w:color w:val="231F20"/>
        </w:rPr>
        <w:t>§ 4. Lorsqu’ une société met gratuitement à disposition sur le site internet de la société les documents visés au paragraphe 2 pendant une période ininterrompue d’un mois commençant avant la date</w:t>
      </w:r>
      <w:r>
        <w:rPr>
          <w:color w:val="231F20"/>
          <w:spacing w:val="28"/>
        </w:rPr>
        <w:t> </w:t>
      </w:r>
      <w:r>
        <w:rPr>
          <w:color w:val="231F20"/>
        </w:rPr>
        <w:t>de l’assemblée générale des sociétés qui fusionnent appelée à se prononcer sur le projet de fusion, ou, dans le cas visé à l’article 12:30, § 6, avant la date à laquelle la fusion prend effet, et ne s’achevant pas avant la fin de cette assemblée, ou, dans le cas </w:t>
      </w:r>
      <w:r>
        <w:rPr>
          <w:color w:val="231F20"/>
          <w:spacing w:val="3"/>
        </w:rPr>
        <w:t>visé </w:t>
      </w:r>
      <w:r>
        <w:rPr>
          <w:color w:val="231F20"/>
        </w:rPr>
        <w:t>à l’article 12:30, § 6, avant la date  à laquelle la fusion prend effet, elle ne doit pas mettre à disposition les documents</w:t>
      </w:r>
      <w:r>
        <w:rPr>
          <w:color w:val="231F20"/>
          <w:spacing w:val="15"/>
        </w:rPr>
        <w:t> </w:t>
      </w:r>
      <w:r>
        <w:rPr>
          <w:color w:val="231F20"/>
        </w:rPr>
        <w:t>visés</w:t>
      </w:r>
      <w:r>
        <w:rPr>
          <w:color w:val="231F20"/>
          <w:spacing w:val="16"/>
        </w:rPr>
        <w:t> </w:t>
      </w:r>
      <w:r>
        <w:rPr>
          <w:color w:val="231F20"/>
        </w:rPr>
        <w:t>au</w:t>
      </w:r>
      <w:r>
        <w:rPr>
          <w:color w:val="231F20"/>
          <w:spacing w:val="15"/>
        </w:rPr>
        <w:t> </w:t>
      </w:r>
      <w:r>
        <w:rPr>
          <w:color w:val="231F20"/>
        </w:rPr>
        <w:t>paragraphe</w:t>
      </w:r>
      <w:r>
        <w:rPr>
          <w:color w:val="231F20"/>
          <w:spacing w:val="16"/>
        </w:rPr>
        <w:t> </w:t>
      </w:r>
      <w:r>
        <w:rPr>
          <w:color w:val="231F20"/>
        </w:rPr>
        <w:t>2</w:t>
      </w:r>
      <w:r>
        <w:rPr>
          <w:color w:val="231F20"/>
          <w:spacing w:val="15"/>
        </w:rPr>
        <w:t> </w:t>
      </w:r>
      <w:r>
        <w:rPr>
          <w:color w:val="231F20"/>
        </w:rPr>
        <w:t>à</w:t>
      </w:r>
      <w:r>
        <w:rPr>
          <w:color w:val="231F20"/>
          <w:spacing w:val="16"/>
        </w:rPr>
        <w:t> </w:t>
      </w:r>
      <w:r>
        <w:rPr>
          <w:color w:val="231F20"/>
        </w:rPr>
        <w:t>son</w:t>
      </w:r>
      <w:r>
        <w:rPr>
          <w:color w:val="231F20"/>
          <w:spacing w:val="15"/>
        </w:rPr>
        <w:t> </w:t>
      </w:r>
      <w:r>
        <w:rPr>
          <w:color w:val="231F20"/>
        </w:rPr>
        <w:t>siège.</w:t>
      </w:r>
    </w:p>
    <w:p>
      <w:pPr>
        <w:pStyle w:val="BodyText"/>
        <w:spacing w:before="9"/>
        <w:ind w:left="0" w:right="0" w:firstLine="0"/>
        <w:jc w:val="left"/>
        <w:rPr>
          <w:sz w:val="25"/>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de chacune des sociétés appelée à se prononcer</w:t>
      </w:r>
      <w:r>
        <w:rPr>
          <w:color w:val="231F20"/>
          <w:spacing w:val="14"/>
        </w:rPr>
        <w:t> </w:t>
      </w:r>
      <w:r>
        <w:rPr>
          <w:color w:val="231F20"/>
        </w:rPr>
        <w:t>sur</w:t>
      </w:r>
      <w:r>
        <w:rPr>
          <w:color w:val="231F20"/>
          <w:spacing w:val="14"/>
        </w:rPr>
        <w:t> </w:t>
      </w:r>
      <w:r>
        <w:rPr>
          <w:color w:val="231F20"/>
        </w:rPr>
        <w:t>le</w:t>
      </w:r>
      <w:r>
        <w:rPr>
          <w:color w:val="231F20"/>
          <w:spacing w:val="14"/>
        </w:rPr>
        <w:t> </w:t>
      </w:r>
      <w:r>
        <w:rPr>
          <w:color w:val="231F20"/>
        </w:rPr>
        <w:t>projet</w:t>
      </w:r>
      <w:r>
        <w:rPr>
          <w:color w:val="231F20"/>
          <w:spacing w:val="14"/>
        </w:rPr>
        <w:t> </w:t>
      </w:r>
      <w:r>
        <w:rPr>
          <w:color w:val="231F20"/>
        </w:rPr>
        <w:t>de</w:t>
      </w:r>
      <w:r>
        <w:rPr>
          <w:color w:val="231F20"/>
          <w:spacing w:val="14"/>
        </w:rPr>
        <w:t> </w:t>
      </w:r>
      <w:r>
        <w:rPr>
          <w:color w:val="231F20"/>
        </w:rPr>
        <w:t>fusion,</w:t>
      </w:r>
      <w:r>
        <w:rPr>
          <w:color w:val="231F20"/>
          <w:spacing w:val="14"/>
        </w:rPr>
        <w:t> </w:t>
      </w:r>
      <w:r>
        <w:rPr>
          <w:color w:val="231F20"/>
        </w:rPr>
        <w:t>ou,</w:t>
      </w:r>
      <w:r>
        <w:rPr>
          <w:color w:val="231F20"/>
          <w:spacing w:val="14"/>
        </w:rPr>
        <w:t> </w:t>
      </w:r>
      <w:r>
        <w:rPr>
          <w:color w:val="231F20"/>
        </w:rPr>
        <w:t>dans</w:t>
      </w:r>
      <w:r>
        <w:rPr>
          <w:color w:val="231F20"/>
          <w:spacing w:val="14"/>
        </w:rPr>
        <w:t> </w:t>
      </w:r>
      <w:r>
        <w:rPr>
          <w:color w:val="231F20"/>
        </w:rPr>
        <w:t>le</w:t>
      </w:r>
      <w:r>
        <w:rPr>
          <w:color w:val="231F20"/>
          <w:spacing w:val="14"/>
        </w:rPr>
        <w:t> </w:t>
      </w:r>
      <w:r>
        <w:rPr>
          <w:color w:val="231F20"/>
        </w:rPr>
        <w:t>cas</w:t>
      </w:r>
      <w:r>
        <w:rPr>
          <w:color w:val="231F20"/>
          <w:spacing w:val="14"/>
        </w:rPr>
        <w:t> </w:t>
      </w:r>
      <w:r>
        <w:rPr>
          <w:color w:val="231F20"/>
          <w:spacing w:val="3"/>
        </w:rPr>
        <w:t>visé</w:t>
      </w:r>
      <w:r>
        <w:rPr>
          <w:color w:val="231F20"/>
          <w:spacing w:val="-2"/>
        </w:rPr>
        <w:t> </w:t>
      </w:r>
      <w:r>
        <w:rPr>
          <w:color w:val="231F20"/>
        </w:rPr>
        <w:t>à</w:t>
      </w:r>
      <w:r>
        <w:rPr>
          <w:color w:val="231F20"/>
          <w:spacing w:val="14"/>
        </w:rPr>
        <w:t> </w:t>
      </w:r>
      <w:r>
        <w:rPr>
          <w:color w:val="231F20"/>
        </w:rPr>
        <w:t>l’article</w:t>
      </w:r>
      <w:r>
        <w:rPr>
          <w:color w:val="231F20"/>
          <w:spacing w:val="14"/>
        </w:rPr>
        <w:t> </w:t>
      </w:r>
      <w:r>
        <w:rPr>
          <w:color w:val="231F20"/>
        </w:rPr>
        <w:t>12:30,</w:t>
      </w:r>
    </w:p>
    <w:p>
      <w:pPr>
        <w:pStyle w:val="BodyText"/>
        <w:spacing w:line="218" w:lineRule="auto" w:before="1"/>
        <w:ind w:right="38" w:firstLine="0"/>
      </w:pPr>
      <w:r>
        <w:rPr>
          <w:color w:val="231F20"/>
        </w:rPr>
        <w:t>§ 6, après la date à laquelle la fusion prend effet. Dans ce cas, la société met de surcroît ces documents à disposition à son siège pour consultation par les associés ou actionnaires.</w:t>
      </w:r>
    </w:p>
    <w:p>
      <w:pPr>
        <w:pStyle w:val="BodyText"/>
        <w:spacing w:line="218" w:lineRule="auto" w:before="103"/>
        <w:ind w:right="38"/>
      </w:pPr>
      <w:r>
        <w:rPr>
          <w:color w:val="231F20"/>
        </w:rPr>
        <w:t>Art. 12:29. § 1</w:t>
      </w:r>
      <w:r>
        <w:rPr>
          <w:color w:val="231F20"/>
          <w:position w:val="7"/>
          <w:sz w:val="11"/>
        </w:rPr>
        <w:t>er</w:t>
      </w:r>
      <w:r>
        <w:rPr>
          <w:color w:val="231F20"/>
        </w:rPr>
        <w:t>. Une société ne peut absorber une autre société que si les associés ou les actionnaires de cette autre société remplissent les conditions requises pour acquérir la qualité d’associé ou actionnaire de la société absorbante.</w:t>
      </w:r>
    </w:p>
    <w:p>
      <w:pPr>
        <w:pStyle w:val="BodyText"/>
        <w:spacing w:before="9"/>
        <w:ind w:left="0" w:right="0" w:firstLine="0"/>
        <w:jc w:val="left"/>
        <w:rPr>
          <w:sz w:val="25"/>
        </w:rPr>
      </w:pPr>
    </w:p>
    <w:p>
      <w:pPr>
        <w:pStyle w:val="BodyText"/>
        <w:spacing w:line="218" w:lineRule="auto"/>
        <w:ind w:right="38"/>
      </w:pPr>
      <w:r>
        <w:rPr>
          <w:color w:val="231F20"/>
        </w:rPr>
        <w:t>§ 2.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 de la fusion de la société avec une société absorbante d’une autre forme légale.</w:t>
      </w:r>
    </w:p>
    <w:p>
      <w:pPr>
        <w:pStyle w:val="BodyText"/>
        <w:spacing w:line="218" w:lineRule="auto" w:before="118"/>
        <w:ind w:right="38"/>
      </w:pPr>
      <w:r>
        <w:rPr>
          <w:color w:val="231F20"/>
        </w:rPr>
        <w:t>Il notifie sa démission à la société conformément à l’article 2:32 cinq jours au moins avant la date de l’assemblée générale. Elle n’aura d’effet que si la fusion est décidée.</w:t>
      </w:r>
    </w:p>
    <w:p>
      <w:pPr>
        <w:pStyle w:val="BodyText"/>
        <w:spacing w:before="8"/>
        <w:ind w:left="0" w:right="0" w:firstLine="0"/>
        <w:jc w:val="left"/>
        <w:rPr>
          <w:sz w:val="26"/>
        </w:rPr>
      </w:pPr>
    </w:p>
    <w:p>
      <w:pPr>
        <w:pStyle w:val="BodyText"/>
        <w:spacing w:line="201" w:lineRule="auto" w:before="1"/>
        <w:ind w:right="38"/>
      </w:pPr>
      <w:r>
        <w:rPr>
          <w:color w:val="231F20"/>
        </w:rPr>
        <w:t>La convocation à l’assemblée reproduit le texte du présent paragra- phe, alinéas 1</w:t>
      </w:r>
      <w:r>
        <w:rPr>
          <w:color w:val="231F20"/>
          <w:position w:val="7"/>
          <w:sz w:val="11"/>
        </w:rPr>
        <w:t>er </w:t>
      </w:r>
      <w:r>
        <w:rPr>
          <w:color w:val="231F20"/>
        </w:rPr>
        <w:t>et 2.</w:t>
      </w:r>
    </w:p>
    <w:p>
      <w:pPr>
        <w:pStyle w:val="BodyText"/>
        <w:spacing w:line="218" w:lineRule="auto" w:before="103"/>
        <w:ind w:right="38"/>
      </w:pPr>
      <w:r>
        <w:rPr>
          <w:color w:val="231F20"/>
        </w:rPr>
        <w:t>Art. 12:30. § 1</w:t>
      </w:r>
      <w:r>
        <w:rPr>
          <w:color w:val="231F20"/>
          <w:position w:val="7"/>
          <w:sz w:val="11"/>
        </w:rPr>
        <w:t>er</w:t>
      </w:r>
      <w:r>
        <w:rPr>
          <w:color w:val="231F20"/>
        </w:rPr>
        <w:t>. Sans préjudice des dispositions particulières énoncées dans le présent article et sous réserve de dispositions statutaires plus rigoureuses, l’assemblée générale décide de la fusion de la société dans le respect des règles de présence et de majorité suivantes:</w:t>
      </w:r>
    </w:p>
    <w:p>
      <w:pPr>
        <w:pStyle w:val="BodyText"/>
        <w:spacing w:line="218" w:lineRule="auto" w:before="118"/>
        <w:ind w:right="38"/>
      </w:pPr>
      <w:r>
        <w:rPr>
          <w:color w:val="231F20"/>
        </w:rPr>
        <w:t>1° ceux qui assistent ou sont représentés à la réunion doivent représenter la moitié au moins du capital, ou, si la société ne dispose pas d’un capital, la moitié du nombre total des actions ou parts émises. Si cette condition n’est pas remplie, une nouvelle convocation sera nécessaire. La deuxième assemblée pourra valablement délibérer et statuer, quel que soit le nombre d’actions ou parts présentes ou représentées;</w:t>
      </w:r>
    </w:p>
    <w:p>
      <w:pPr>
        <w:pStyle w:val="BodyText"/>
        <w:spacing w:line="218" w:lineRule="auto" w:before="115"/>
        <w:ind w:right="38"/>
      </w:pPr>
      <w:r>
        <w:rPr>
          <w:color w:val="231F20"/>
        </w:rPr>
        <w:t>2° </w:t>
      </w:r>
      <w:r>
        <w:rPr>
          <w:rFonts w:ascii="Times New Roman" w:hAnsi="Times New Roman"/>
          <w:i/>
          <w:color w:val="231F20"/>
        </w:rPr>
        <w:t>a) </w:t>
      </w:r>
      <w:r>
        <w:rPr>
          <w:color w:val="231F20"/>
        </w:rPr>
        <w:t>une proposition de fusion n’est acceptée que si elle réunit les trois quarts des voix, sans qu’il soit tenu compte des abstentions au numérateur ou au dénominateur;</w:t>
      </w:r>
    </w:p>
    <w:p>
      <w:pPr>
        <w:pStyle w:val="BodyText"/>
        <w:spacing w:line="218" w:lineRule="auto" w:before="115"/>
        <w:ind w:right="38"/>
      </w:pP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before="103"/>
        <w:ind w:left="283" w:right="0" w:firstLine="0"/>
        <w:jc w:val="left"/>
      </w:pPr>
      <w:r>
        <w:rPr>
          <w:color w:val="231F20"/>
        </w:rPr>
        <w:t>§ 2. L’article 7:179 n’est pas applicable.</w:t>
      </w:r>
    </w:p>
    <w:p>
      <w:pPr>
        <w:pStyle w:val="BodyText"/>
        <w:spacing w:line="218" w:lineRule="auto" w:before="114"/>
        <w:ind w:right="38"/>
      </w:pPr>
      <w:r>
        <w:rPr>
          <w:color w:val="231F20"/>
        </w:rPr>
        <w:t>§ 3. S’il existe plusieurs classes d’actions, parts ou titres, représenta- tifs ou non du capital exprimé, et si la fusion entraîne une modification de leurs droits respectifs, l’article 5:102, alinéa 3, l’article 6:87, alinéa 3, ou l’article 7:155, alinéa 3, s’applique par analogie.</w:t>
      </w:r>
    </w:p>
    <w:p>
      <w:pPr>
        <w:pStyle w:val="BodyText"/>
        <w:spacing w:before="7"/>
        <w:ind w:left="0" w:right="0" w:firstLine="0"/>
        <w:jc w:val="left"/>
        <w:rPr>
          <w:sz w:val="24"/>
        </w:rPr>
      </w:pPr>
    </w:p>
    <w:p>
      <w:pPr>
        <w:pStyle w:val="BodyText"/>
        <w:ind w:left="283" w:right="0" w:firstLine="0"/>
        <w:jc w:val="left"/>
      </w:pPr>
      <w:r>
        <w:rPr>
          <w:color w:val="231F20"/>
        </w:rPr>
        <w:t>§ 4. L’accord de tous les associés ou actionnaires est requis:</w:t>
      </w:r>
    </w:p>
    <w:p>
      <w:pPr>
        <w:pStyle w:val="BodyText"/>
        <w:spacing w:line="218" w:lineRule="auto" w:before="114"/>
        <w:ind w:right="38"/>
      </w:pPr>
      <w:r>
        <w:rPr>
          <w:color w:val="231F20"/>
        </w:rPr>
        <w:t>1°</w:t>
      </w:r>
      <w:r>
        <w:rPr>
          <w:color w:val="231F20"/>
          <w:spacing w:val="-3"/>
        </w:rPr>
        <w:t> </w:t>
      </w:r>
      <w:r>
        <w:rPr>
          <w:color w:val="231F20"/>
        </w:rPr>
        <w:t>dans</w:t>
      </w:r>
      <w:r>
        <w:rPr>
          <w:color w:val="231F20"/>
          <w:spacing w:val="-3"/>
        </w:rPr>
        <w:t> </w:t>
      </w:r>
      <w:r>
        <w:rPr>
          <w:color w:val="231F20"/>
        </w:rPr>
        <w:t>les</w:t>
      </w:r>
      <w:r>
        <w:rPr>
          <w:color w:val="231F20"/>
          <w:spacing w:val="-3"/>
        </w:rPr>
        <w:t> </w:t>
      </w:r>
      <w:r>
        <w:rPr>
          <w:color w:val="231F20"/>
        </w:rPr>
        <w:t>sociétés</w:t>
      </w:r>
      <w:r>
        <w:rPr>
          <w:color w:val="231F20"/>
          <w:spacing w:val="-3"/>
        </w:rPr>
        <w:t> </w:t>
      </w:r>
      <w:r>
        <w:rPr>
          <w:color w:val="231F20"/>
        </w:rPr>
        <w:t>absorbantes</w:t>
      </w:r>
      <w:r>
        <w:rPr>
          <w:color w:val="231F20"/>
          <w:spacing w:val="-2"/>
        </w:rPr>
        <w:t> </w:t>
      </w:r>
      <w:r>
        <w:rPr>
          <w:color w:val="231F20"/>
        </w:rPr>
        <w:t>ou</w:t>
      </w:r>
      <w:r>
        <w:rPr>
          <w:color w:val="231F20"/>
          <w:spacing w:val="-3"/>
        </w:rPr>
        <w:t> </w:t>
      </w:r>
      <w:r>
        <w:rPr>
          <w:color w:val="231F20"/>
        </w:rPr>
        <w:t>à</w:t>
      </w:r>
      <w:r>
        <w:rPr>
          <w:color w:val="231F20"/>
          <w:spacing w:val="-3"/>
        </w:rPr>
        <w:t> </w:t>
      </w:r>
      <w:r>
        <w:rPr>
          <w:color w:val="231F20"/>
        </w:rPr>
        <w:t>absorber</w:t>
      </w:r>
      <w:r>
        <w:rPr>
          <w:color w:val="231F20"/>
          <w:spacing w:val="-3"/>
        </w:rPr>
        <w:t> </w:t>
      </w:r>
      <w:r>
        <w:rPr>
          <w:color w:val="231F20"/>
        </w:rPr>
        <w:t>qui</w:t>
      </w:r>
      <w:r>
        <w:rPr>
          <w:color w:val="231F20"/>
          <w:spacing w:val="-3"/>
        </w:rPr>
        <w:t> </w:t>
      </w:r>
      <w:r>
        <w:rPr>
          <w:color w:val="231F20"/>
        </w:rPr>
        <w:t>sont</w:t>
      </w:r>
      <w:r>
        <w:rPr>
          <w:color w:val="231F20"/>
          <w:spacing w:val="-2"/>
        </w:rPr>
        <w:t> </w:t>
      </w:r>
      <w:r>
        <w:rPr>
          <w:color w:val="231F20"/>
        </w:rPr>
        <w:t>des</w:t>
      </w:r>
      <w:r>
        <w:rPr>
          <w:color w:val="231F20"/>
          <w:spacing w:val="-3"/>
        </w:rPr>
        <w:t> </w:t>
      </w:r>
      <w:r>
        <w:rPr>
          <w:color w:val="231F20"/>
        </w:rPr>
        <w:t>sociétés</w:t>
      </w:r>
      <w:r>
        <w:rPr>
          <w:color w:val="231F20"/>
          <w:spacing w:val="-3"/>
        </w:rPr>
        <w:t> </w:t>
      </w:r>
      <w:r>
        <w:rPr>
          <w:color w:val="231F20"/>
        </w:rPr>
        <w:t>en nom</w:t>
      </w:r>
      <w:r>
        <w:rPr>
          <w:color w:val="231F20"/>
          <w:spacing w:val="14"/>
        </w:rPr>
        <w:t> </w:t>
      </w:r>
      <w:r>
        <w:rPr>
          <w:color w:val="231F20"/>
        </w:rPr>
        <w:t>collectif;</w:t>
      </w:r>
    </w:p>
    <w:p>
      <w:pPr>
        <w:pStyle w:val="BodyText"/>
        <w:spacing w:before="104"/>
        <w:ind w:left="283" w:right="0" w:firstLine="0"/>
        <w:jc w:val="left"/>
      </w:pPr>
      <w:r>
        <w:rPr>
          <w:color w:val="231F20"/>
        </w:rPr>
        <w:t>2° dans les sociétés à absorber lorsque la société absorbante est:</w:t>
      </w:r>
    </w:p>
    <w:p>
      <w:pPr>
        <w:pStyle w:val="BodyText"/>
        <w:ind w:left="0" w:right="0" w:firstLine="0"/>
        <w:jc w:val="left"/>
        <w:rPr>
          <w:sz w:val="24"/>
        </w:rPr>
      </w:pPr>
    </w:p>
    <w:p>
      <w:pPr>
        <w:pStyle w:val="ListParagraph"/>
        <w:numPr>
          <w:ilvl w:val="0"/>
          <w:numId w:val="129"/>
        </w:numPr>
        <w:tabs>
          <w:tab w:pos="474" w:val="left" w:leader="none"/>
        </w:tabs>
        <w:spacing w:line="240" w:lineRule="auto" w:before="0" w:after="0"/>
        <w:ind w:left="473" w:right="0" w:hanging="190"/>
        <w:jc w:val="left"/>
        <w:rPr>
          <w:sz w:val="17"/>
        </w:rPr>
      </w:pPr>
      <w:r>
        <w:rPr>
          <w:color w:val="231F20"/>
          <w:sz w:val="17"/>
        </w:rPr>
        <w:t>une société en nom </w:t>
      </w:r>
      <w:r>
        <w:rPr>
          <w:color w:val="231F20"/>
          <w:spacing w:val="3"/>
          <w:sz w:val="17"/>
        </w:rPr>
        <w:t> </w:t>
      </w:r>
      <w:r>
        <w:rPr>
          <w:color w:val="231F20"/>
          <w:sz w:val="17"/>
        </w:rPr>
        <w:t>collectif;</w:t>
      </w:r>
    </w:p>
    <w:p>
      <w:pPr>
        <w:pStyle w:val="ListParagraph"/>
        <w:numPr>
          <w:ilvl w:val="0"/>
          <w:numId w:val="129"/>
        </w:numPr>
        <w:tabs>
          <w:tab w:pos="477" w:val="left" w:leader="none"/>
        </w:tabs>
        <w:spacing w:line="240" w:lineRule="auto" w:before="97" w:after="0"/>
        <w:ind w:left="476" w:right="0" w:hanging="193"/>
        <w:jc w:val="left"/>
        <w:rPr>
          <w:sz w:val="17"/>
        </w:rPr>
      </w:pPr>
      <w:r>
        <w:rPr>
          <w:color w:val="231F20"/>
          <w:sz w:val="17"/>
        </w:rPr>
        <w:t>une société en</w:t>
      </w:r>
      <w:r>
        <w:rPr>
          <w:color w:val="231F20"/>
          <w:spacing w:val="39"/>
          <w:sz w:val="17"/>
        </w:rPr>
        <w:t> </w:t>
      </w:r>
      <w:r>
        <w:rPr>
          <w:color w:val="231F20"/>
          <w:sz w:val="17"/>
        </w:rPr>
        <w:t>commandite.</w:t>
      </w:r>
    </w:p>
    <w:p>
      <w:pPr>
        <w:pStyle w:val="BodyText"/>
        <w:spacing w:line="218" w:lineRule="auto" w:before="119"/>
      </w:pPr>
      <w:r>
        <w:rPr/>
        <w:br w:type="column"/>
      </w: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spacing w:line="218" w:lineRule="auto" w:before="118"/>
      </w:pPr>
      <w:r>
        <w:rPr>
          <w:color w:val="231F20"/>
        </w:rPr>
        <w:t>§ 4. </w:t>
      </w:r>
      <w:r>
        <w:rPr>
          <w:color w:val="231F20"/>
          <w:spacing w:val="-3"/>
        </w:rPr>
        <w:t>Wanneer </w:t>
      </w:r>
      <w:r>
        <w:rPr>
          <w:color w:val="231F20"/>
        </w:rPr>
        <w:t>een vennootschap de in paragraaf 2 bedoelde stukken, gedurende een ononderbroken periode van een maand vóór de datum van de algemene vergadering van de fuserende vennootschappen die over het fusievoorstel moet besluiten of, in het  geval  bedoeld  in  artikel 12:30, § 6, de datum waarop de fusie van kracht wordt, en die niet eerder eindigt dan op het ogenblik van de sluiting van die vergadering, of, in het geval bedoeld in artikel 12:30, § 6, de datum waarop de fusie van kracht wordt, kosteloos op de vennootschapsweb- site beschikbaar stelt, moet zij de in paragraaf 2 bedoelde stukken niet op haar zetel beschikbaar</w:t>
      </w:r>
      <w:r>
        <w:rPr>
          <w:color w:val="231F20"/>
          <w:spacing w:val="18"/>
        </w:rPr>
        <w:t> </w:t>
      </w:r>
      <w:r>
        <w:rPr>
          <w:color w:val="231F20"/>
        </w:rPr>
        <w:t>stellen.</w:t>
      </w:r>
    </w:p>
    <w:p>
      <w:pPr>
        <w:pStyle w:val="BodyText"/>
        <w:spacing w:line="218" w:lineRule="auto" w:before="118"/>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van elk van de vennootschappen die over het fusievoorstel moet besluiten, of, in het geval bedoeld in artikel 12:30, § 6, de datum waarop de fusie van kracht wordt, op de vennootschapswebsite blijven staan en kunnen worden gedownload en afgedrukt. Bovendien stelt de vennootschap deze stukken in dit geval eveneens ter beschikking op haar</w:t>
      </w:r>
      <w:r>
        <w:rPr>
          <w:color w:val="231F20"/>
          <w:spacing w:val="20"/>
        </w:rPr>
        <w:t> </w:t>
      </w:r>
      <w:r>
        <w:rPr>
          <w:color w:val="231F20"/>
        </w:rPr>
        <w:t>zetel</w:t>
      </w:r>
      <w:r>
        <w:rPr>
          <w:color w:val="231F20"/>
          <w:spacing w:val="20"/>
        </w:rPr>
        <w:t> </w:t>
      </w:r>
      <w:r>
        <w:rPr>
          <w:color w:val="231F20"/>
        </w:rPr>
        <w:t>voor</w:t>
      </w:r>
      <w:r>
        <w:rPr>
          <w:color w:val="231F20"/>
          <w:spacing w:val="21"/>
        </w:rPr>
        <w:t> </w:t>
      </w:r>
      <w:r>
        <w:rPr>
          <w:color w:val="231F20"/>
        </w:rPr>
        <w:t>raadpleging</w:t>
      </w:r>
      <w:r>
        <w:rPr>
          <w:color w:val="231F20"/>
          <w:spacing w:val="20"/>
        </w:rPr>
        <w:t> </w:t>
      </w:r>
      <w:r>
        <w:rPr>
          <w:color w:val="231F20"/>
        </w:rPr>
        <w:t>door</w:t>
      </w:r>
      <w:r>
        <w:rPr>
          <w:color w:val="231F20"/>
          <w:spacing w:val="20"/>
        </w:rPr>
        <w:t> </w:t>
      </w:r>
      <w:r>
        <w:rPr>
          <w:color w:val="231F20"/>
        </w:rPr>
        <w:t>de</w:t>
      </w:r>
      <w:r>
        <w:rPr>
          <w:color w:val="231F20"/>
          <w:spacing w:val="21"/>
        </w:rPr>
        <w:t> </w:t>
      </w:r>
      <w:r>
        <w:rPr>
          <w:color w:val="231F20"/>
        </w:rPr>
        <w:t>vennoten</w:t>
      </w:r>
      <w:r>
        <w:rPr>
          <w:color w:val="231F20"/>
          <w:spacing w:val="20"/>
        </w:rPr>
        <w:t> </w:t>
      </w:r>
      <w:r>
        <w:rPr>
          <w:color w:val="231F20"/>
        </w:rPr>
        <w:t>of</w:t>
      </w:r>
      <w:r>
        <w:rPr>
          <w:color w:val="231F20"/>
          <w:spacing w:val="21"/>
        </w:rPr>
        <w:t> </w:t>
      </w:r>
      <w:r>
        <w:rPr>
          <w:color w:val="231F20"/>
        </w:rPr>
        <w:t>aandeelhouders.</w:t>
      </w:r>
    </w:p>
    <w:p>
      <w:pPr>
        <w:pStyle w:val="BodyText"/>
        <w:spacing w:line="218" w:lineRule="auto" w:before="118"/>
      </w:pPr>
      <w:r>
        <w:rPr>
          <w:color w:val="231F20"/>
        </w:rPr>
        <w:t>Art. 12:29. § 1. Een vennootschap kan een andere vennootschap alleen dan overnemen, wanneer de vennoten of aandeelhouders van de andere vennootschap voldoen aan de vereisten voor de verkrijging van de hoedanigheid van vennoot of aandeelhouder in de overnemende vennootschap.</w:t>
      </w:r>
    </w:p>
    <w:p>
      <w:pPr>
        <w:pStyle w:val="BodyText"/>
        <w:spacing w:line="218" w:lineRule="auto" w:before="118"/>
      </w:pPr>
      <w:r>
        <w:rPr>
          <w:color w:val="231F20"/>
        </w:rPr>
        <w:t>§ 2. In een coöperatieve vennootschap kan, niettegenstaande anders- luidende bepaling, iedere aandeelhouder te allen tijde in de loop van het boekjaar uittreden vanaf de bijeenroeping van een algemene vergadering die moet besluiten over de fusie van de vennootschap met een overnemende vennootschap die een andere rechtsvorm heeft, zonder</w:t>
      </w:r>
      <w:r>
        <w:rPr>
          <w:color w:val="231F20"/>
          <w:spacing w:val="17"/>
        </w:rPr>
        <w:t> </w:t>
      </w:r>
      <w:r>
        <w:rPr>
          <w:color w:val="231F20"/>
        </w:rPr>
        <w:t>dat</w:t>
      </w:r>
      <w:r>
        <w:rPr>
          <w:color w:val="231F20"/>
          <w:spacing w:val="17"/>
        </w:rPr>
        <w:t> </w:t>
      </w:r>
      <w:r>
        <w:rPr>
          <w:color w:val="231F20"/>
        </w:rPr>
        <w:t>hij</w:t>
      </w:r>
      <w:r>
        <w:rPr>
          <w:color w:val="231F20"/>
          <w:spacing w:val="18"/>
        </w:rPr>
        <w:t> </w:t>
      </w:r>
      <w:r>
        <w:rPr>
          <w:color w:val="231F20"/>
        </w:rPr>
        <w:t>aan</w:t>
      </w:r>
      <w:r>
        <w:rPr>
          <w:color w:val="231F20"/>
          <w:spacing w:val="17"/>
        </w:rPr>
        <w:t> </w:t>
      </w:r>
      <w:r>
        <w:rPr>
          <w:color w:val="231F20"/>
        </w:rPr>
        <w:t>enige</w:t>
      </w:r>
      <w:r>
        <w:rPr>
          <w:color w:val="231F20"/>
          <w:spacing w:val="17"/>
        </w:rPr>
        <w:t> </w:t>
      </w:r>
      <w:r>
        <w:rPr>
          <w:color w:val="231F20"/>
        </w:rPr>
        <w:t>andere</w:t>
      </w:r>
      <w:r>
        <w:rPr>
          <w:color w:val="231F20"/>
          <w:spacing w:val="18"/>
        </w:rPr>
        <w:t> </w:t>
      </w:r>
      <w:r>
        <w:rPr>
          <w:color w:val="231F20"/>
        </w:rPr>
        <w:t>voorwaarde</w:t>
      </w:r>
      <w:r>
        <w:rPr>
          <w:color w:val="231F20"/>
          <w:spacing w:val="17"/>
        </w:rPr>
        <w:t> </w:t>
      </w:r>
      <w:r>
        <w:rPr>
          <w:color w:val="231F20"/>
        </w:rPr>
        <w:t>moet</w:t>
      </w:r>
      <w:r>
        <w:rPr>
          <w:color w:val="231F20"/>
          <w:spacing w:val="18"/>
        </w:rPr>
        <w:t> </w:t>
      </w:r>
      <w:r>
        <w:rPr>
          <w:color w:val="231F20"/>
        </w:rPr>
        <w:t>voldoen.</w:t>
      </w:r>
    </w:p>
    <w:p>
      <w:pPr>
        <w:pStyle w:val="BodyText"/>
        <w:spacing w:line="218" w:lineRule="auto" w:before="118"/>
      </w:pPr>
      <w:r>
        <w:rPr>
          <w:color w:val="231F20"/>
        </w:rPr>
        <w:t>Hij geeft van zijn uittreding aan de vennootschap kennis overeen- komstig artikel 2:32 uiterlijk vijf dagen vóór de datum van de algemene vergadering. Zij heeft enkel gevolg als het voorstel tot fusie wordt aangenomen.</w:t>
      </w:r>
    </w:p>
    <w:p>
      <w:pPr>
        <w:pStyle w:val="BodyText"/>
        <w:spacing w:line="218" w:lineRule="auto" w:before="118"/>
      </w:pPr>
      <w:r>
        <w:rPr>
          <w:color w:val="231F20"/>
        </w:rPr>
        <w:t>In de oproepingsbrief wordt de tekst van deze paragraaf, eerste en tweede lid, opgenomen.</w:t>
      </w:r>
    </w:p>
    <w:p>
      <w:pPr>
        <w:pStyle w:val="BodyText"/>
        <w:spacing w:line="218" w:lineRule="auto" w:before="117"/>
      </w:pPr>
      <w:r>
        <w:rPr>
          <w:color w:val="231F20"/>
        </w:rPr>
        <w:t>Art. 12:30. § 1. Onder voorbehoud van strengere statutaire bepalin- gen en onverminderd de bijzondere bepalingen van dit artikel, besluit de algemene vergadering tot fusie van een vennootschap overeenkom- stig de volgende regels van aanwezigheid en meerderheid:</w:t>
      </w:r>
    </w:p>
    <w:p>
      <w:pPr>
        <w:pStyle w:val="BodyText"/>
        <w:spacing w:before="9"/>
        <w:ind w:left="0" w:right="0" w:firstLine="0"/>
        <w:jc w:val="left"/>
        <w:rPr>
          <w:sz w:val="25"/>
        </w:rPr>
      </w:pPr>
    </w:p>
    <w:p>
      <w:pPr>
        <w:pStyle w:val="BodyText"/>
        <w:spacing w:line="218" w:lineRule="auto"/>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7"/>
        <w:ind w:left="0" w:right="0" w:firstLine="0"/>
        <w:jc w:val="left"/>
        <w:rPr>
          <w:sz w:val="25"/>
        </w:rPr>
      </w:pPr>
    </w:p>
    <w:p>
      <w:pPr>
        <w:pStyle w:val="BodyText"/>
        <w:spacing w:line="218" w:lineRule="auto"/>
      </w:pPr>
      <w:r>
        <w:rPr>
          <w:color w:val="231F20"/>
        </w:rPr>
        <w:t>2° </w:t>
      </w:r>
      <w:r>
        <w:rPr>
          <w:rFonts w:ascii="Times New Roman" w:hAnsi="Times New Roman"/>
          <w:i/>
          <w:color w:val="231F20"/>
        </w:rPr>
        <w:t>a) </w:t>
      </w:r>
      <w:r>
        <w:rPr>
          <w:color w:val="231F20"/>
        </w:rPr>
        <w:t>een voorstel tot fusie is alleen dan aangenomen, wanneer het drie vierde van de stemmen heeft verkregen, waarbij de onthoudingen in de teller noch in de noemer worden meegerekend;</w:t>
      </w:r>
    </w:p>
    <w:p>
      <w:pPr>
        <w:pStyle w:val="BodyText"/>
        <w:spacing w:line="218" w:lineRule="auto" w:before="115"/>
      </w:pP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before="104"/>
        <w:ind w:left="283" w:right="0" w:firstLine="0"/>
        <w:jc w:val="left"/>
      </w:pPr>
      <w:r>
        <w:rPr>
          <w:color w:val="231F20"/>
        </w:rPr>
        <w:t>§ 2. Artikel 7:179 is niet van toepassing.</w:t>
      </w:r>
    </w:p>
    <w:p>
      <w:pPr>
        <w:pStyle w:val="BodyText"/>
        <w:spacing w:line="218" w:lineRule="auto" w:before="114"/>
        <w:ind w:right="123"/>
      </w:pPr>
      <w:r>
        <w:rPr>
          <w:color w:val="231F20"/>
        </w:rPr>
        <w:t>§ 3. Indien er verschillende soorten aandelen of effecten bestaan die het in de statuten vastgestelde kapitaal al of niet vertegenwoordigen en de fusie aanleiding geeft tot wijziging van hun respectieve rechten, is artikel 5:102, derde lid, artikel 6:87, derde lid, of artikel 7:155, derde</w:t>
      </w:r>
      <w:r>
        <w:rPr>
          <w:color w:val="231F20"/>
          <w:spacing w:val="-22"/>
        </w:rPr>
        <w:t> </w:t>
      </w:r>
      <w:r>
        <w:rPr>
          <w:color w:val="231F20"/>
        </w:rPr>
        <w:t>lid, van overeenkomstige</w:t>
      </w:r>
      <w:r>
        <w:rPr>
          <w:color w:val="231F20"/>
          <w:spacing w:val="-10"/>
        </w:rPr>
        <w:t> </w:t>
      </w:r>
      <w:r>
        <w:rPr>
          <w:color w:val="231F20"/>
        </w:rPr>
        <w:t>toepassing.</w:t>
      </w:r>
    </w:p>
    <w:p>
      <w:pPr>
        <w:pStyle w:val="BodyText"/>
        <w:spacing w:line="290" w:lineRule="atLeast" w:before="7"/>
        <w:ind w:left="283" w:right="183" w:firstLine="0"/>
        <w:jc w:val="left"/>
      </w:pPr>
      <w:r>
        <w:rPr>
          <w:color w:val="231F20"/>
        </w:rPr>
        <w:t>§ 4. De instemming van alle vennoten of aandeelhouders is vereist:  1° in de overnemende of over te nemen vennootschappen</w:t>
      </w:r>
      <w:r>
        <w:rPr>
          <w:color w:val="231F20"/>
          <w:spacing w:val="-6"/>
        </w:rPr>
        <w:t> </w:t>
      </w:r>
      <w:r>
        <w:rPr>
          <w:color w:val="231F20"/>
        </w:rPr>
        <w:t>die</w:t>
      </w:r>
    </w:p>
    <w:p>
      <w:pPr>
        <w:pStyle w:val="BodyText"/>
        <w:spacing w:line="179" w:lineRule="exact"/>
        <w:ind w:right="0" w:firstLine="0"/>
        <w:jc w:val="left"/>
      </w:pPr>
      <w:r>
        <w:rPr>
          <w:color w:val="231F20"/>
        </w:rPr>
        <w:t>vennootschappen onder firma zijn;</w:t>
      </w:r>
    </w:p>
    <w:p>
      <w:pPr>
        <w:pStyle w:val="BodyText"/>
        <w:spacing w:line="218" w:lineRule="auto" w:before="114"/>
      </w:pPr>
      <w:r>
        <w:rPr>
          <w:color w:val="231F20"/>
        </w:rPr>
        <w:t>2° in de over te nemen vennootschappen wanneer de overnemende vennootschap de rechtsvorm heeft aangenomen van:</w:t>
      </w:r>
    </w:p>
    <w:p>
      <w:pPr>
        <w:pStyle w:val="ListParagraph"/>
        <w:numPr>
          <w:ilvl w:val="0"/>
          <w:numId w:val="130"/>
        </w:numPr>
        <w:tabs>
          <w:tab w:pos="473" w:val="left" w:leader="none"/>
        </w:tabs>
        <w:spacing w:line="240" w:lineRule="auto" w:before="100"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30"/>
        </w:numPr>
        <w:tabs>
          <w:tab w:pos="477" w:val="left" w:leader="none"/>
        </w:tabs>
        <w:spacing w:line="240" w:lineRule="auto" w:before="97"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spacing w:after="0" w:line="240" w:lineRule="auto"/>
        <w:jc w:val="left"/>
        <w:rPr>
          <w:sz w:val="17"/>
        </w:rPr>
        <w:sectPr>
          <w:pgSz w:w="11940" w:h="16880"/>
          <w:pgMar w:header="666" w:footer="0" w:top="1140" w:bottom="280" w:left="340" w:right="360"/>
          <w:cols w:num="2" w:equalWidth="0">
            <w:col w:w="5527" w:space="101"/>
            <w:col w:w="5612"/>
          </w:cols>
        </w:sectPr>
      </w:pPr>
    </w:p>
    <w:p>
      <w:pPr>
        <w:pStyle w:val="BodyText"/>
        <w:spacing w:line="218" w:lineRule="auto" w:before="104"/>
        <w:ind w:right="74"/>
      </w:pPr>
      <w:r>
        <w:rPr/>
        <w:pict>
          <v:line style="position:absolute;mso-position-horizontal-relative:page;mso-position-vertical-relative:page;z-index:6520" from="298.170502pt,64.473pt" to="298.170502pt,812.819pt" stroked="true" strokeweight=".533pt" strokecolor="#231f20">
            <v:stroke dashstyle="solid"/>
            <w10:wrap type="none"/>
          </v:line>
        </w:pict>
      </w:r>
      <w:bookmarkStart w:name="_bookmark229" w:id="235"/>
      <w:bookmarkEnd w:id="235"/>
      <w:r>
        <w:rPr/>
      </w:r>
      <w:r>
        <w:rPr>
          <w:color w:val="231F20"/>
        </w:rPr>
        <w:t>Dans les cas visés à l’alinéa 1</w:t>
      </w:r>
      <w:r>
        <w:rPr>
          <w:color w:val="231F20"/>
          <w:position w:val="7"/>
          <w:sz w:val="11"/>
        </w:rPr>
        <w:t>er</w:t>
      </w:r>
      <w:r>
        <w:rPr>
          <w:color w:val="231F20"/>
        </w:rPr>
        <w:t>, 2°, l’accord unanime des titulaires de titres non représentatifs du capital de la société est, le cas échéant, requis.</w:t>
      </w:r>
    </w:p>
    <w:p>
      <w:pPr>
        <w:pStyle w:val="BodyText"/>
        <w:spacing w:line="218" w:lineRule="auto" w:before="97"/>
        <w:ind w:right="74"/>
      </w:pPr>
      <w:r>
        <w:rPr>
          <w:color w:val="231F20"/>
        </w:rPr>
        <w:t>§ 5. Dans la société en commandite, l’accord de tous les associés commandités est en outre requis.</w:t>
      </w:r>
    </w:p>
    <w:p>
      <w:pPr>
        <w:pStyle w:val="BodyText"/>
        <w:spacing w:line="218" w:lineRule="auto" w:before="96"/>
        <w:ind w:right="73"/>
      </w:pPr>
      <w:r>
        <w:rPr>
          <w:color w:val="231F20"/>
        </w:rPr>
        <w:t>§ 6. Lorsqu’une société absorbante ayant la forme légale d’une société à responsabilité limitée, d’une société coopérative, d’une société anonyme,  d’une  société  européenne  ou  d’une   société   coopéra-   tive européenne détient au moins 90 % mais pas la totalité des actions, parts et autres titres conférant le droit de vote dans la société absorbée, l’approbation par l’assemblée générale de la société absorbante de la fusion et de la modification du nombre d’actions de la société absorbante, et, le cas échéant, de son capital, par suite de cette fusion, n’est pas requise dans la mesure où les conditions suivantes sont remplies:</w:t>
      </w:r>
    </w:p>
    <w:p>
      <w:pPr>
        <w:pStyle w:val="BodyText"/>
        <w:spacing w:line="218" w:lineRule="auto" w:before="97"/>
        <w:ind w:right="74"/>
      </w:pPr>
      <w:r>
        <w:rPr>
          <w:color w:val="231F20"/>
        </w:rPr>
        <w:t>1° le dépôt du projet de fusion visé à l’article 12:24 est effectué, pour la société absorbante, au plus tard six semaines avant la date de l’assemblée générale de la ou des sociétés absorbées appelées à se prononcer sur le projet de fusion;</w:t>
      </w:r>
    </w:p>
    <w:p>
      <w:pPr>
        <w:pStyle w:val="BodyText"/>
        <w:spacing w:before="10"/>
        <w:ind w:left="0" w:right="0" w:firstLine="0"/>
        <w:jc w:val="left"/>
        <w:rPr>
          <w:sz w:val="23"/>
        </w:rPr>
      </w:pPr>
    </w:p>
    <w:p>
      <w:pPr>
        <w:pStyle w:val="BodyText"/>
        <w:spacing w:line="218" w:lineRule="auto"/>
        <w:ind w:right="74"/>
      </w:pPr>
      <w:r>
        <w:rPr>
          <w:color w:val="231F20"/>
        </w:rPr>
        <w:t>2° sans préjudice des exceptions visées à l’article 12:28, chaque actionnaire de la société absorbante a le droit, un mois au moins avant la date précitée au 1°, de prendre connaissance des documents mentionnés à l’article 12:28, § 2, au siège de la société.</w:t>
      </w:r>
    </w:p>
    <w:p>
      <w:pPr>
        <w:pStyle w:val="BodyText"/>
        <w:ind w:left="0" w:right="0" w:firstLine="0"/>
        <w:jc w:val="left"/>
        <w:rPr>
          <w:sz w:val="24"/>
        </w:rPr>
      </w:pPr>
    </w:p>
    <w:p>
      <w:pPr>
        <w:pStyle w:val="BodyText"/>
        <w:spacing w:line="218" w:lineRule="auto"/>
        <w:ind w:right="74"/>
      </w:pPr>
      <w:r>
        <w:rPr>
          <w:color w:val="231F20"/>
        </w:rPr>
        <w:t>Dans ce cas, l’organe d’administration de la société absorbante est compétent pour se prononcer sur l’approbation de la fusion et de la modification du nombre d’actions de la société absorbante, et, le cas échéant, de son capital, résultant de la fusion. Les articles  7:198  à 7:203 ne sont pas applicables à une telle décision.</w:t>
      </w:r>
    </w:p>
    <w:p>
      <w:pPr>
        <w:pStyle w:val="BodyText"/>
        <w:spacing w:before="11"/>
        <w:ind w:left="0" w:right="0" w:firstLine="0"/>
        <w:jc w:val="left"/>
        <w:rPr>
          <w:sz w:val="23"/>
        </w:rPr>
      </w:pPr>
    </w:p>
    <w:p>
      <w:pPr>
        <w:pStyle w:val="BodyText"/>
        <w:spacing w:line="218" w:lineRule="auto"/>
        <w:ind w:right="74"/>
      </w:pPr>
      <w:r>
        <w:rPr>
          <w:color w:val="231F20"/>
        </w:rPr>
        <w:t>Un ou plusieurs actionnaires de la société absorbante qui détiennent 5 % des actions émises ou qui, dans une société anonyme ou une  société européenne, représentent 5 % du capital souscrit ont</w:t>
      </w:r>
      <w:r>
        <w:rPr>
          <w:color w:val="231F20"/>
          <w:spacing w:val="-14"/>
        </w:rPr>
        <w:t> </w:t>
      </w:r>
      <w:r>
        <w:rPr>
          <w:color w:val="231F20"/>
        </w:rPr>
        <w:t>néanmoins le droit d’obtenir la convocation de l’assemblée générale de cette société appelée à se prononcer sur le projet de fusion. Les actions sans droit de vote ne sont pas prises en considération dans le calcul de ce pourcentage.</w:t>
      </w:r>
    </w:p>
    <w:p>
      <w:pPr>
        <w:pStyle w:val="BodyText"/>
        <w:spacing w:before="11"/>
        <w:ind w:left="0" w:right="0" w:firstLine="0"/>
        <w:jc w:val="left"/>
        <w:rPr>
          <w:sz w:val="23"/>
        </w:rPr>
      </w:pPr>
    </w:p>
    <w:p>
      <w:pPr>
        <w:pStyle w:val="BodyText"/>
        <w:spacing w:line="218" w:lineRule="auto"/>
        <w:ind w:right="74"/>
      </w:pPr>
      <w:r>
        <w:rPr>
          <w:color w:val="231F20"/>
        </w:rPr>
        <w:t>Art. 12:31. Dans chaque société participant à la fusion, le procès- verbal de l’assemblée générale, ou, dans le cas visé à l’article 12:30, § 6, de l’organe d’administration, qui décide la fusion est, à peine de nullité, établi par acte authentique.</w:t>
      </w:r>
    </w:p>
    <w:p>
      <w:pPr>
        <w:pStyle w:val="BodyText"/>
        <w:spacing w:line="218" w:lineRule="auto" w:before="96"/>
        <w:ind w:right="0"/>
      </w:pPr>
      <w:r>
        <w:rPr>
          <w:color w:val="231F20"/>
        </w:rPr>
        <w:t>L’acte reproduit, le cas échéant, les conclusions du rapport visé à l’article 12:26.</w:t>
      </w:r>
    </w:p>
    <w:p>
      <w:pPr>
        <w:pStyle w:val="BodyText"/>
        <w:spacing w:line="218" w:lineRule="auto" w:before="96"/>
        <w:ind w:right="74"/>
      </w:pPr>
      <w:r>
        <w:rPr>
          <w:color w:val="231F20"/>
        </w:rPr>
        <w:t>Le notaire doit vérifier et attester l’existence et la légalité, tant</w:t>
      </w:r>
      <w:r>
        <w:rPr>
          <w:color w:val="231F20"/>
          <w:spacing w:val="-24"/>
        </w:rPr>
        <w:t> </w:t>
      </w:r>
      <w:r>
        <w:rPr>
          <w:color w:val="231F20"/>
        </w:rPr>
        <w:t>interne qu’externe, des actes et formalités incombant à la société auprès de laquelle il</w:t>
      </w:r>
      <w:r>
        <w:rPr>
          <w:color w:val="231F20"/>
          <w:spacing w:val="-12"/>
        </w:rPr>
        <w:t> </w:t>
      </w:r>
      <w:r>
        <w:rPr>
          <w:color w:val="231F20"/>
        </w:rPr>
        <w:t>instrumente.</w:t>
      </w:r>
    </w:p>
    <w:p>
      <w:pPr>
        <w:pStyle w:val="BodyText"/>
        <w:spacing w:line="218" w:lineRule="auto" w:before="96"/>
        <w:ind w:right="73"/>
      </w:pPr>
      <w:r>
        <w:rPr>
          <w:color w:val="231F20"/>
        </w:rPr>
        <w:t>Art. 12:32. Immédiatement après la décision de fusion, l’assemblée générale de la société absorbante arrête les modifications éventuelles</w:t>
      </w:r>
      <w:r>
        <w:rPr>
          <w:color w:val="231F20"/>
          <w:spacing w:val="-8"/>
        </w:rPr>
        <w:t> </w:t>
      </w:r>
      <w:r>
        <w:rPr>
          <w:color w:val="231F20"/>
        </w:rPr>
        <w:t>de ses statuts, y compris les dispositions qui modifieraient son objet aux conditions de présence et de majorité requises par le présent code. A défaut,</w:t>
      </w:r>
      <w:r>
        <w:rPr>
          <w:color w:val="231F20"/>
          <w:spacing w:val="14"/>
        </w:rPr>
        <w:t> </w:t>
      </w:r>
      <w:r>
        <w:rPr>
          <w:color w:val="231F20"/>
        </w:rPr>
        <w:t>la</w:t>
      </w:r>
      <w:r>
        <w:rPr>
          <w:color w:val="231F20"/>
          <w:spacing w:val="15"/>
        </w:rPr>
        <w:t> </w:t>
      </w:r>
      <w:r>
        <w:rPr>
          <w:color w:val="231F20"/>
        </w:rPr>
        <w:t>décision</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reste</w:t>
      </w:r>
      <w:r>
        <w:rPr>
          <w:color w:val="231F20"/>
          <w:spacing w:val="15"/>
        </w:rPr>
        <w:t> </w:t>
      </w:r>
      <w:r>
        <w:rPr>
          <w:color w:val="231F20"/>
        </w:rPr>
        <w:t>sans</w:t>
      </w:r>
      <w:r>
        <w:rPr>
          <w:color w:val="231F20"/>
          <w:spacing w:val="15"/>
        </w:rPr>
        <w:t> </w:t>
      </w:r>
      <w:r>
        <w:rPr>
          <w:color w:val="231F20"/>
        </w:rPr>
        <w:t>effet.</w:t>
      </w:r>
    </w:p>
    <w:p>
      <w:pPr>
        <w:pStyle w:val="BodyText"/>
        <w:ind w:left="0" w:right="0" w:firstLine="0"/>
        <w:jc w:val="left"/>
        <w:rPr>
          <w:sz w:val="24"/>
        </w:rPr>
      </w:pPr>
    </w:p>
    <w:p>
      <w:pPr>
        <w:pStyle w:val="BodyText"/>
        <w:spacing w:line="218" w:lineRule="auto"/>
        <w:ind w:right="73"/>
      </w:pPr>
      <w:r>
        <w:rPr>
          <w:color w:val="231F20"/>
        </w:rPr>
        <w:t>La fusion est réalisée lorsque sont intervenues les décisions concor- dantes prises au sein de toutes les sociétés intéressées.</w:t>
      </w:r>
    </w:p>
    <w:p>
      <w:pPr>
        <w:pStyle w:val="BodyText"/>
        <w:spacing w:line="218" w:lineRule="auto" w:before="96"/>
        <w:ind w:right="74"/>
      </w:pPr>
      <w:r>
        <w:rPr>
          <w:color w:val="231F20"/>
        </w:rPr>
        <w:t>Art. 12:33. Sous réserve des modalités déterminées aux alinéas 2 et 3, les actes constatant les décisions de fusion prises au sein de la société absorbante et de la société absorbée sont déposés et publiés par extrait conformément aux articles 2:8 et 2:14, 1°, et, le cas échéant, les actes modifiant les statuts de la société absorbante sont déposés et publiés conformément aux articles 2:8 et 2:14, 1°.</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ind w:right="73"/>
      </w:pPr>
      <w:r>
        <w:rPr>
          <w:color w:val="231F20"/>
        </w:rPr>
        <w:t>Ils sont publiés simultanément dans les dix jours du dépôt de l’acte constatant la décision de fusion prise lors de la réunion des organes compétents qui s’est tenue en dernier lieu, soit l’assemblée générale,</w:t>
      </w:r>
      <w:r>
        <w:rPr>
          <w:color w:val="231F20"/>
          <w:spacing w:val="-21"/>
        </w:rPr>
        <w:t> </w:t>
      </w:r>
      <w:r>
        <w:rPr>
          <w:color w:val="231F20"/>
        </w:rPr>
        <w:t>ou, dans le cas </w:t>
      </w:r>
      <w:r>
        <w:rPr>
          <w:color w:val="231F20"/>
          <w:spacing w:val="7"/>
        </w:rPr>
        <w:t>visé </w:t>
      </w:r>
      <w:r>
        <w:rPr>
          <w:color w:val="231F20"/>
        </w:rPr>
        <w:t>à l’article 12:30, § 6, l’organe d’administration de la société</w:t>
      </w:r>
      <w:r>
        <w:rPr>
          <w:color w:val="231F20"/>
          <w:spacing w:val="14"/>
        </w:rPr>
        <w:t> </w:t>
      </w:r>
      <w:r>
        <w:rPr>
          <w:color w:val="231F20"/>
        </w:rPr>
        <w:t>absorbante.</w:t>
      </w:r>
    </w:p>
    <w:p>
      <w:pPr>
        <w:pStyle w:val="BodyText"/>
        <w:spacing w:before="10"/>
        <w:ind w:left="0" w:right="0" w:firstLine="0"/>
        <w:jc w:val="left"/>
        <w:rPr>
          <w:sz w:val="24"/>
        </w:rPr>
      </w:pPr>
    </w:p>
    <w:p>
      <w:pPr>
        <w:pStyle w:val="BodyText"/>
        <w:spacing w:line="218" w:lineRule="auto" w:before="1"/>
        <w:ind w:right="74"/>
      </w:pPr>
      <w:r>
        <w:rPr>
          <w:color w:val="231F20"/>
        </w:rPr>
        <w:t>La société absorbante peut procéder elle-même aux formalités de publicité concernant les sociétés absorbées.</w:t>
      </w:r>
    </w:p>
    <w:p>
      <w:pPr>
        <w:pStyle w:val="BodyText"/>
        <w:spacing w:before="6"/>
        <w:ind w:left="0" w:right="0" w:firstLine="0"/>
        <w:jc w:val="left"/>
        <w:rPr>
          <w:sz w:val="23"/>
        </w:rPr>
      </w:pPr>
    </w:p>
    <w:p>
      <w:pPr>
        <w:pStyle w:val="BodyText"/>
        <w:spacing w:line="218" w:lineRule="auto"/>
        <w:ind w:right="74" w:firstLine="171"/>
      </w:pPr>
      <w:r>
        <w:rPr>
          <w:color w:val="231F20"/>
        </w:rPr>
        <w:t>Art. 12:34</w:t>
      </w:r>
      <w:r>
        <w:rPr>
          <w:rFonts w:ascii="Times New Roman" w:hAnsi="Times New Roman"/>
          <w:i/>
          <w:color w:val="231F20"/>
        </w:rPr>
        <w:t>. </w:t>
      </w:r>
      <w:r>
        <w:rPr>
          <w:color w:val="231F20"/>
        </w:rPr>
        <w:t>§ 1</w:t>
      </w:r>
      <w:r>
        <w:rPr>
          <w:color w:val="231F20"/>
          <w:position w:val="7"/>
          <w:sz w:val="11"/>
        </w:rPr>
        <w:t>er</w:t>
      </w:r>
      <w:r>
        <w:rPr>
          <w:color w:val="231F20"/>
        </w:rPr>
        <w:t>. A moins qu’il en ait été décidé autrement par les sociétés</w:t>
      </w:r>
      <w:r>
        <w:rPr>
          <w:color w:val="231F20"/>
          <w:spacing w:val="-8"/>
        </w:rPr>
        <w:t> </w:t>
      </w:r>
      <w:r>
        <w:rPr>
          <w:color w:val="231F20"/>
        </w:rPr>
        <w:t>intéressées,</w:t>
      </w:r>
      <w:r>
        <w:rPr>
          <w:color w:val="231F20"/>
          <w:spacing w:val="-7"/>
        </w:rPr>
        <w:t> </w:t>
      </w:r>
      <w:r>
        <w:rPr>
          <w:color w:val="231F20"/>
        </w:rPr>
        <w:t>les</w:t>
      </w:r>
      <w:r>
        <w:rPr>
          <w:color w:val="231F20"/>
          <w:spacing w:val="-7"/>
        </w:rPr>
        <w:t> </w:t>
      </w:r>
      <w:r>
        <w:rPr>
          <w:color w:val="231F20"/>
        </w:rPr>
        <w:t>parts</w:t>
      </w:r>
      <w:r>
        <w:rPr>
          <w:color w:val="231F20"/>
          <w:spacing w:val="-8"/>
        </w:rPr>
        <w:t> </w:t>
      </w:r>
      <w:r>
        <w:rPr>
          <w:color w:val="231F20"/>
        </w:rPr>
        <w:t>ou</w:t>
      </w:r>
      <w:r>
        <w:rPr>
          <w:color w:val="231F20"/>
          <w:spacing w:val="-7"/>
        </w:rPr>
        <w:t> </w:t>
      </w:r>
      <w:r>
        <w:rPr>
          <w:color w:val="231F20"/>
        </w:rPr>
        <w:t>actions</w:t>
      </w:r>
      <w:r>
        <w:rPr>
          <w:color w:val="231F20"/>
          <w:spacing w:val="-8"/>
        </w:rPr>
        <w:t> </w:t>
      </w:r>
      <w:r>
        <w:rPr>
          <w:color w:val="231F20"/>
        </w:rPr>
        <w:t>émises</w:t>
      </w:r>
      <w:r>
        <w:rPr>
          <w:color w:val="231F20"/>
          <w:spacing w:val="-7"/>
        </w:rPr>
        <w:t> </w:t>
      </w:r>
      <w:r>
        <w:rPr>
          <w:color w:val="231F20"/>
        </w:rPr>
        <w:t>par</w:t>
      </w:r>
      <w:r>
        <w:rPr>
          <w:color w:val="231F20"/>
          <w:spacing w:val="-7"/>
        </w:rPr>
        <w:t> </w:t>
      </w:r>
      <w:r>
        <w:rPr>
          <w:color w:val="231F20"/>
        </w:rPr>
        <w:t>la</w:t>
      </w:r>
      <w:r>
        <w:rPr>
          <w:color w:val="231F20"/>
          <w:spacing w:val="-8"/>
        </w:rPr>
        <w:t> </w:t>
      </w:r>
      <w:r>
        <w:rPr>
          <w:color w:val="231F20"/>
        </w:rPr>
        <w:t>société</w:t>
      </w:r>
      <w:r>
        <w:rPr>
          <w:color w:val="231F20"/>
          <w:spacing w:val="-7"/>
        </w:rPr>
        <w:t> </w:t>
      </w:r>
      <w:r>
        <w:rPr>
          <w:color w:val="231F20"/>
        </w:rPr>
        <w:t>absorbante en contrepartie des patrimoines absorbés sont réparties entre les associés</w:t>
      </w:r>
      <w:r>
        <w:rPr>
          <w:color w:val="231F20"/>
          <w:spacing w:val="9"/>
        </w:rPr>
        <w:t> </w:t>
      </w:r>
      <w:r>
        <w:rPr>
          <w:color w:val="231F20"/>
        </w:rPr>
        <w:t>ou</w:t>
      </w:r>
      <w:r>
        <w:rPr>
          <w:color w:val="231F20"/>
          <w:spacing w:val="9"/>
        </w:rPr>
        <w:t> </w:t>
      </w:r>
      <w:r>
        <w:rPr>
          <w:color w:val="231F20"/>
        </w:rPr>
        <w:t>actionnaires</w:t>
      </w:r>
      <w:r>
        <w:rPr>
          <w:color w:val="231F20"/>
          <w:spacing w:val="9"/>
        </w:rPr>
        <w:t> </w:t>
      </w:r>
      <w:r>
        <w:rPr>
          <w:color w:val="231F20"/>
        </w:rPr>
        <w:t>des</w:t>
      </w:r>
      <w:r>
        <w:rPr>
          <w:color w:val="231F20"/>
          <w:spacing w:val="9"/>
        </w:rPr>
        <w:t> </w:t>
      </w:r>
      <w:r>
        <w:rPr>
          <w:color w:val="231F20"/>
        </w:rPr>
        <w:t>sociétés</w:t>
      </w:r>
      <w:r>
        <w:rPr>
          <w:color w:val="231F20"/>
          <w:spacing w:val="9"/>
        </w:rPr>
        <w:t> </w:t>
      </w:r>
      <w:r>
        <w:rPr>
          <w:color w:val="231F20"/>
        </w:rPr>
        <w:t>absorbées</w:t>
      </w:r>
      <w:r>
        <w:rPr>
          <w:color w:val="231F20"/>
          <w:spacing w:val="9"/>
        </w:rPr>
        <w:t> </w:t>
      </w:r>
      <w:r>
        <w:rPr>
          <w:color w:val="231F20"/>
        </w:rPr>
        <w:t>à</w:t>
      </w:r>
      <w:r>
        <w:rPr>
          <w:color w:val="231F20"/>
          <w:spacing w:val="9"/>
        </w:rPr>
        <w:t> </w:t>
      </w:r>
      <w:r>
        <w:rPr>
          <w:color w:val="231F20"/>
        </w:rPr>
        <w:t>la</w:t>
      </w:r>
      <w:r>
        <w:rPr>
          <w:color w:val="231F20"/>
          <w:spacing w:val="9"/>
        </w:rPr>
        <w:t> </w:t>
      </w:r>
      <w:r>
        <w:rPr>
          <w:color w:val="231F20"/>
        </w:rPr>
        <w:t>diligence</w:t>
      </w:r>
      <w:r>
        <w:rPr>
          <w:color w:val="231F20"/>
          <w:spacing w:val="9"/>
        </w:rPr>
        <w:t> </w:t>
      </w:r>
      <w:r>
        <w:rPr>
          <w:color w:val="231F20"/>
        </w:rPr>
        <w:t>et</w:t>
      </w:r>
      <w:r>
        <w:rPr>
          <w:color w:val="231F20"/>
          <w:spacing w:val="9"/>
        </w:rPr>
        <w:t> </w:t>
      </w:r>
      <w:r>
        <w:rPr>
          <w:color w:val="231F20"/>
        </w:rPr>
        <w:t>sous</w:t>
      </w:r>
      <w:r>
        <w:rPr>
          <w:color w:val="231F20"/>
          <w:spacing w:val="9"/>
        </w:rPr>
        <w:t> </w:t>
      </w:r>
      <w:r>
        <w:rPr>
          <w:color w:val="231F20"/>
        </w:rPr>
        <w:t>la</w:t>
      </w:r>
    </w:p>
    <w:p>
      <w:pPr>
        <w:pStyle w:val="BodyText"/>
        <w:spacing w:line="218" w:lineRule="auto" w:before="119"/>
      </w:pPr>
      <w:r>
        <w:rPr/>
        <w:br w:type="column"/>
      </w: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97"/>
      </w:pPr>
      <w:r>
        <w:rPr>
          <w:color w:val="231F20"/>
        </w:rPr>
        <w:t>§ 5. In de commanditaire vennootschap is bovendien de instemming van alle gecommanditeerde vennoten vereist.</w:t>
      </w:r>
    </w:p>
    <w:p>
      <w:pPr>
        <w:pStyle w:val="BodyText"/>
        <w:spacing w:line="218" w:lineRule="auto" w:before="96"/>
      </w:pPr>
      <w:r>
        <w:rPr>
          <w:color w:val="231F20"/>
        </w:rPr>
        <w:t>§ 6. </w:t>
      </w:r>
      <w:r>
        <w:rPr>
          <w:color w:val="231F20"/>
          <w:spacing w:val="-3"/>
        </w:rPr>
        <w:t>Wanneer </w:t>
      </w:r>
      <w:r>
        <w:rPr>
          <w:color w:val="231F20"/>
        </w:rPr>
        <w:t>een overnemende vennootschap die de rechtsvorm heeft van een besloten vennootschap, van een coöperatieve vennoot- schap, van een naamloze vennootschap, van een Europese</w:t>
      </w:r>
      <w:r>
        <w:rPr>
          <w:color w:val="231F20"/>
          <w:spacing w:val="18"/>
        </w:rPr>
        <w:t> </w:t>
      </w:r>
      <w:r>
        <w:rPr>
          <w:color w:val="231F20"/>
        </w:rPr>
        <w:t>vennoot- schap of van een Europese coöperatieve vennootschap ten minste 90 % maar niet alle aandelen en andere stemrechtverlenende effecten in de overgenomen vennootschap houdt, moet de algemene vergadering van de overnemende vennootschap de fusie en de wijziging van het aantal aandelen van de overnemende vennootschap, en, in  voorkomend  geval, van haar kapitaal, ten gevolge van deze fusie niet goedkeuren in zoverre</w:t>
      </w:r>
      <w:r>
        <w:rPr>
          <w:color w:val="231F20"/>
          <w:spacing w:val="17"/>
        </w:rPr>
        <w:t> </w:t>
      </w:r>
      <w:r>
        <w:rPr>
          <w:color w:val="231F20"/>
        </w:rPr>
        <w:t>aan</w:t>
      </w:r>
      <w:r>
        <w:rPr>
          <w:color w:val="231F20"/>
          <w:spacing w:val="17"/>
        </w:rPr>
        <w:t> </w:t>
      </w:r>
      <w:r>
        <w:rPr>
          <w:color w:val="231F20"/>
        </w:rPr>
        <w:t>de</w:t>
      </w:r>
      <w:r>
        <w:rPr>
          <w:color w:val="231F20"/>
          <w:spacing w:val="18"/>
        </w:rPr>
        <w:t> </w:t>
      </w:r>
      <w:r>
        <w:rPr>
          <w:color w:val="231F20"/>
        </w:rPr>
        <w:t>volgende</w:t>
      </w:r>
      <w:r>
        <w:rPr>
          <w:color w:val="231F20"/>
          <w:spacing w:val="17"/>
        </w:rPr>
        <w:t> </w:t>
      </w:r>
      <w:r>
        <w:rPr>
          <w:color w:val="231F20"/>
        </w:rPr>
        <w:t>voorwaarden</w:t>
      </w:r>
      <w:r>
        <w:rPr>
          <w:color w:val="231F20"/>
          <w:spacing w:val="17"/>
        </w:rPr>
        <w:t> </w:t>
      </w:r>
      <w:r>
        <w:rPr>
          <w:color w:val="231F20"/>
        </w:rPr>
        <w:t>is</w:t>
      </w:r>
      <w:r>
        <w:rPr>
          <w:color w:val="231F20"/>
          <w:spacing w:val="18"/>
        </w:rPr>
        <w:t> </w:t>
      </w:r>
      <w:r>
        <w:rPr>
          <w:color w:val="231F20"/>
        </w:rPr>
        <w:t>voldaan:</w:t>
      </w:r>
    </w:p>
    <w:p>
      <w:pPr>
        <w:pStyle w:val="BodyText"/>
        <w:spacing w:line="218" w:lineRule="auto" w:before="97"/>
      </w:pPr>
      <w:r>
        <w:rPr>
          <w:color w:val="231F20"/>
          <w:spacing w:val="3"/>
        </w:rPr>
        <w:t>1°</w:t>
      </w:r>
      <w:r>
        <w:rPr>
          <w:color w:val="231F20"/>
          <w:spacing w:val="47"/>
        </w:rPr>
        <w:t> </w:t>
      </w:r>
      <w:r>
        <w:rPr>
          <w:color w:val="231F20"/>
          <w:spacing w:val="3"/>
        </w:rPr>
        <w:t>de  </w:t>
      </w:r>
      <w:r>
        <w:rPr>
          <w:color w:val="231F20"/>
          <w:spacing w:val="5"/>
        </w:rPr>
        <w:t>neerlegging   </w:t>
      </w:r>
      <w:r>
        <w:rPr>
          <w:color w:val="231F20"/>
          <w:spacing w:val="4"/>
        </w:rPr>
        <w:t>van   het   </w:t>
      </w:r>
      <w:r>
        <w:rPr>
          <w:color w:val="231F20"/>
          <w:spacing w:val="5"/>
        </w:rPr>
        <w:t>fusievoorstel   bedoeld   </w:t>
      </w:r>
      <w:r>
        <w:rPr>
          <w:color w:val="231F20"/>
          <w:spacing w:val="3"/>
        </w:rPr>
        <w:t>in   </w:t>
      </w:r>
      <w:r>
        <w:rPr>
          <w:color w:val="231F20"/>
          <w:spacing w:val="6"/>
        </w:rPr>
        <w:t>arti- </w:t>
      </w:r>
      <w:r>
        <w:rPr>
          <w:color w:val="231F20"/>
        </w:rPr>
        <w:t>kel 12:24 gebeurt voor de overnemende vennootschap uiterlijk zes weken vóór de datum van de algemene vergadering van de overgeno- men vennootschap of vennootschappen die over het fusievoorstel moeten</w:t>
      </w:r>
      <w:r>
        <w:rPr>
          <w:color w:val="231F20"/>
          <w:spacing w:val="14"/>
        </w:rPr>
        <w:t> </w:t>
      </w:r>
      <w:r>
        <w:rPr>
          <w:color w:val="231F20"/>
        </w:rPr>
        <w:t>besluiten;</w:t>
      </w:r>
    </w:p>
    <w:p>
      <w:pPr>
        <w:pStyle w:val="BodyText"/>
        <w:spacing w:line="218" w:lineRule="auto" w:before="96"/>
      </w:pPr>
      <w:r>
        <w:rPr>
          <w:color w:val="231F20"/>
        </w:rPr>
        <w:t>2° onverminderd de in artikel 12:28 bepaalde uitzonderingen, heeft iedere aandeelhouder van de overnemende vennootschap het recht ten minste een maand vóór de in 1° genoemde datum, op de zetel van de vennootschap kennis te nemen van de in artikel 12:28, § 2, vermelde stukken.</w:t>
      </w:r>
    </w:p>
    <w:p>
      <w:pPr>
        <w:pStyle w:val="BodyText"/>
        <w:spacing w:line="218" w:lineRule="auto" w:before="96"/>
      </w:pPr>
      <w:r>
        <w:rPr>
          <w:color w:val="231F20"/>
        </w:rPr>
        <w:t>In dat geval is het bestuursorgaan van de overnemende</w:t>
      </w:r>
      <w:r>
        <w:rPr>
          <w:color w:val="231F20"/>
          <w:spacing w:val="30"/>
        </w:rPr>
        <w:t> </w:t>
      </w:r>
      <w:r>
        <w:rPr>
          <w:color w:val="231F20"/>
        </w:rPr>
        <w:t>vennoot- schap bevoegd om over de goedkeuring van de fusie en de wijziging  van het aantal aandelen van de overnemende vennootschap, en, in voorkomend geval, van haar kapitaal, ten gevolge van de fusie te beslissen.</w:t>
      </w:r>
      <w:r>
        <w:rPr>
          <w:color w:val="231F20"/>
          <w:spacing w:val="-6"/>
        </w:rPr>
        <w:t> </w:t>
      </w:r>
      <w:r>
        <w:rPr>
          <w:color w:val="231F20"/>
        </w:rPr>
        <w:t>De</w:t>
      </w:r>
      <w:r>
        <w:rPr>
          <w:color w:val="231F20"/>
          <w:spacing w:val="-6"/>
        </w:rPr>
        <w:t> </w:t>
      </w:r>
      <w:r>
        <w:rPr>
          <w:color w:val="231F20"/>
        </w:rPr>
        <w:t>artikelen</w:t>
      </w:r>
      <w:r>
        <w:rPr>
          <w:color w:val="231F20"/>
          <w:spacing w:val="-6"/>
        </w:rPr>
        <w:t> </w:t>
      </w:r>
      <w:r>
        <w:rPr>
          <w:color w:val="231F20"/>
        </w:rPr>
        <w:t>7:198</w:t>
      </w:r>
      <w:r>
        <w:rPr>
          <w:color w:val="231F20"/>
          <w:spacing w:val="-6"/>
        </w:rPr>
        <w:t> </w:t>
      </w:r>
      <w:r>
        <w:rPr>
          <w:color w:val="231F20"/>
        </w:rPr>
        <w:t>tot</w:t>
      </w:r>
      <w:r>
        <w:rPr>
          <w:color w:val="231F20"/>
          <w:spacing w:val="-6"/>
        </w:rPr>
        <w:t> </w:t>
      </w:r>
      <w:r>
        <w:rPr>
          <w:color w:val="231F20"/>
        </w:rPr>
        <w:t>en</w:t>
      </w:r>
      <w:r>
        <w:rPr>
          <w:color w:val="231F20"/>
          <w:spacing w:val="-6"/>
        </w:rPr>
        <w:t> </w:t>
      </w:r>
      <w:r>
        <w:rPr>
          <w:color w:val="231F20"/>
        </w:rPr>
        <w:t>met</w:t>
      </w:r>
      <w:r>
        <w:rPr>
          <w:color w:val="231F20"/>
          <w:spacing w:val="-6"/>
        </w:rPr>
        <w:t> </w:t>
      </w:r>
      <w:r>
        <w:rPr>
          <w:color w:val="231F20"/>
        </w:rPr>
        <w:t>7:203</w:t>
      </w:r>
      <w:r>
        <w:rPr>
          <w:color w:val="231F20"/>
          <w:spacing w:val="-6"/>
        </w:rPr>
        <w:t> </w:t>
      </w:r>
      <w:r>
        <w:rPr>
          <w:color w:val="231F20"/>
        </w:rPr>
        <w:t>zijn</w:t>
      </w:r>
      <w:r>
        <w:rPr>
          <w:color w:val="231F20"/>
          <w:spacing w:val="-6"/>
        </w:rPr>
        <w:t> </w:t>
      </w:r>
      <w:r>
        <w:rPr>
          <w:color w:val="231F20"/>
        </w:rPr>
        <w:t>niet</w:t>
      </w:r>
      <w:r>
        <w:rPr>
          <w:color w:val="231F20"/>
          <w:spacing w:val="-6"/>
        </w:rPr>
        <w:t> </w:t>
      </w:r>
      <w:r>
        <w:rPr>
          <w:color w:val="231F20"/>
        </w:rPr>
        <w:t>van</w:t>
      </w:r>
      <w:r>
        <w:rPr>
          <w:color w:val="231F20"/>
          <w:spacing w:val="-6"/>
        </w:rPr>
        <w:t> </w:t>
      </w:r>
      <w:r>
        <w:rPr>
          <w:color w:val="231F20"/>
        </w:rPr>
        <w:t>toepassing</w:t>
      </w:r>
      <w:r>
        <w:rPr>
          <w:color w:val="231F20"/>
          <w:spacing w:val="-6"/>
        </w:rPr>
        <w:t> </w:t>
      </w:r>
      <w:r>
        <w:rPr>
          <w:color w:val="231F20"/>
        </w:rPr>
        <w:t>op dergelijk</w:t>
      </w:r>
      <w:r>
        <w:rPr>
          <w:color w:val="231F20"/>
          <w:spacing w:val="15"/>
        </w:rPr>
        <w:t> </w:t>
      </w:r>
      <w:r>
        <w:rPr>
          <w:color w:val="231F20"/>
        </w:rPr>
        <w:t>besluit.</w:t>
      </w:r>
    </w:p>
    <w:p>
      <w:pPr>
        <w:pStyle w:val="BodyText"/>
        <w:spacing w:line="218" w:lineRule="auto" w:before="97"/>
      </w:pPr>
      <w:r>
        <w:rPr>
          <w:color w:val="231F20"/>
        </w:rPr>
        <w:t>Eén of meer aandeelhouders van de overnemende vennootschap die 5 % van het aantal uitgegeven aandelen bezitten of, in een naamloze vennootschap of een Europese vennootschap, die 5 % van het geplaatste kapitaal vertegenwoordigen, hebben niettemin het recht om de algemene vergadering van deze vennootschap bijeen te roepen, die over het fusievoorstel moet besluiten. Aandelen zonder stemrecht worden bij de berekening van dit percentage buiten beschouwing gelaten.</w:t>
      </w:r>
    </w:p>
    <w:p>
      <w:pPr>
        <w:pStyle w:val="BodyText"/>
        <w:spacing w:line="218" w:lineRule="auto" w:before="96"/>
      </w:pPr>
      <w:r>
        <w:rPr>
          <w:color w:val="231F20"/>
        </w:rPr>
        <w:t>Art. 12:31. In elke vennootschap die de fusie aangaat worden de notulen van de algemene vergadering, of, in het geval bedoeld in  artikel 12:30, § 6, van het bestuursorgaan, waarin tot de fusie wordt besloten</w:t>
      </w:r>
      <w:r>
        <w:rPr>
          <w:color w:val="231F20"/>
          <w:spacing w:val="15"/>
        </w:rPr>
        <w:t> </w:t>
      </w:r>
      <w:r>
        <w:rPr>
          <w:color w:val="231F20"/>
        </w:rPr>
        <w:t>op</w:t>
      </w:r>
      <w:r>
        <w:rPr>
          <w:color w:val="231F20"/>
          <w:spacing w:val="16"/>
        </w:rPr>
        <w:t> </w:t>
      </w:r>
      <w:r>
        <w:rPr>
          <w:color w:val="231F20"/>
        </w:rPr>
        <w:t>straffe</w:t>
      </w:r>
      <w:r>
        <w:rPr>
          <w:color w:val="231F20"/>
          <w:spacing w:val="15"/>
        </w:rPr>
        <w:t> </w:t>
      </w:r>
      <w:r>
        <w:rPr>
          <w:color w:val="231F20"/>
        </w:rPr>
        <w:t>van</w:t>
      </w:r>
      <w:r>
        <w:rPr>
          <w:color w:val="231F20"/>
          <w:spacing w:val="16"/>
        </w:rPr>
        <w:t> </w:t>
      </w:r>
      <w:r>
        <w:rPr>
          <w:color w:val="231F20"/>
        </w:rPr>
        <w:t>nietigheid</w:t>
      </w:r>
      <w:r>
        <w:rPr>
          <w:color w:val="231F20"/>
          <w:spacing w:val="15"/>
        </w:rPr>
        <w:t> </w:t>
      </w:r>
      <w:r>
        <w:rPr>
          <w:color w:val="231F20"/>
        </w:rPr>
        <w:t>opgesteld</w:t>
      </w:r>
      <w:r>
        <w:rPr>
          <w:color w:val="231F20"/>
          <w:spacing w:val="16"/>
        </w:rPr>
        <w:t> </w:t>
      </w:r>
      <w:r>
        <w:rPr>
          <w:color w:val="231F20"/>
        </w:rPr>
        <w:t>bij</w:t>
      </w:r>
      <w:r>
        <w:rPr>
          <w:color w:val="231F20"/>
          <w:spacing w:val="15"/>
        </w:rPr>
        <w:t> </w:t>
      </w:r>
      <w:r>
        <w:rPr>
          <w:color w:val="231F20"/>
        </w:rPr>
        <w:t>authentieke</w:t>
      </w:r>
      <w:r>
        <w:rPr>
          <w:color w:val="231F20"/>
          <w:spacing w:val="16"/>
        </w:rPr>
        <w:t> </w:t>
      </w:r>
      <w:r>
        <w:rPr>
          <w:color w:val="231F20"/>
        </w:rPr>
        <w:t>akte.</w:t>
      </w:r>
    </w:p>
    <w:p>
      <w:pPr>
        <w:pStyle w:val="BodyText"/>
        <w:spacing w:line="218" w:lineRule="auto" w:before="97"/>
      </w:pPr>
      <w:r>
        <w:rPr>
          <w:color w:val="231F20"/>
        </w:rPr>
        <w:t>In de akte worden in voorkomend geval de conclusies opgenomen van</w:t>
      </w:r>
      <w:r>
        <w:rPr>
          <w:color w:val="231F20"/>
          <w:spacing w:val="15"/>
        </w:rPr>
        <w:t> </w:t>
      </w:r>
      <w:r>
        <w:rPr>
          <w:color w:val="231F20"/>
        </w:rPr>
        <w:t>het</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12:26</w:t>
      </w:r>
      <w:r>
        <w:rPr>
          <w:color w:val="231F20"/>
          <w:spacing w:val="15"/>
        </w:rPr>
        <w:t> </w:t>
      </w:r>
      <w:r>
        <w:rPr>
          <w:color w:val="231F20"/>
        </w:rPr>
        <w:t>bedoelde</w:t>
      </w:r>
      <w:r>
        <w:rPr>
          <w:color w:val="231F20"/>
          <w:spacing w:val="15"/>
        </w:rPr>
        <w:t> </w:t>
      </w:r>
      <w:r>
        <w:rPr>
          <w:color w:val="231F20"/>
        </w:rPr>
        <w:t>verslag.</w:t>
      </w:r>
    </w:p>
    <w:p>
      <w:pPr>
        <w:pStyle w:val="BodyText"/>
        <w:spacing w:line="218" w:lineRule="auto" w:before="96"/>
      </w:pPr>
      <w:r>
        <w:rPr>
          <w:color w:val="231F20"/>
        </w:rPr>
        <w:t>De notaris moet na onderzoek het bestaan en zowel de interne als de externe wettigheid bevestigen van de rechtshandelingen en formalitei- ten waartoe de vennootschap waarvoor hij optreedt, is gehouden.</w:t>
      </w:r>
    </w:p>
    <w:p>
      <w:pPr>
        <w:pStyle w:val="BodyText"/>
        <w:spacing w:line="218" w:lineRule="auto" w:before="96"/>
      </w:pPr>
      <w:r>
        <w:rPr>
          <w:color w:val="231F20"/>
        </w:rPr>
        <w:t>Art. 12:32. Onmiddellijk na het besluit tot fusie stelt de algemene vergadering van de overnemende vennootschap de eventuele wijzigin- gen van haar statuten, met inbegrip van de bepalingen tot wijziging  van haar voorwerp, vast volgens de regels van aanwezigheid en meerderheid door dit wetboek vereist. Bij gebrek daaraan blijft het besluit tot fusie zonder</w:t>
      </w:r>
      <w:r>
        <w:rPr>
          <w:color w:val="231F20"/>
          <w:spacing w:val="21"/>
        </w:rPr>
        <w:t> </w:t>
      </w:r>
      <w:r>
        <w:rPr>
          <w:color w:val="231F20"/>
        </w:rPr>
        <w:t>gevolg.</w:t>
      </w:r>
    </w:p>
    <w:p>
      <w:pPr>
        <w:pStyle w:val="BodyText"/>
        <w:spacing w:line="218" w:lineRule="auto" w:before="96"/>
      </w:pPr>
      <w:r>
        <w:rPr>
          <w:color w:val="231F20"/>
        </w:rPr>
        <w:t>De fusie is voltrokken zodra alle betrokken vennootschappen daartoe overeenstemmende besluiten hebben genomen.</w:t>
      </w:r>
    </w:p>
    <w:p>
      <w:pPr>
        <w:pStyle w:val="BodyText"/>
        <w:spacing w:line="218" w:lineRule="auto" w:before="96"/>
        <w:ind w:right="115"/>
      </w:pPr>
      <w:r>
        <w:rPr>
          <w:color w:val="231F20"/>
        </w:rPr>
        <w:t>Art. 12:33. Met inachtneming van de in het tweede en het derde lid bepaalde regels, worden de akten houdende vaststelling van de besluiten tot fusie genomen door de overnemende en de overgenomen vennootschap neergelegd en bij uittreksel bekendgemaakt, overeen- komstig de artikelen 2:8 en 2:14, 1°, en worden, in voorkomend geval, de akten tot statutenwijziging van de overnemende vennootschap </w:t>
      </w:r>
      <w:r>
        <w:rPr>
          <w:color w:val="231F20"/>
          <w:spacing w:val="9"/>
        </w:rPr>
        <w:t>neergelegd  </w:t>
      </w:r>
      <w:r>
        <w:rPr>
          <w:color w:val="231F20"/>
          <w:spacing w:val="5"/>
        </w:rPr>
        <w:t>en  </w:t>
      </w:r>
      <w:r>
        <w:rPr>
          <w:color w:val="231F20"/>
          <w:spacing w:val="10"/>
        </w:rPr>
        <w:t>bekendgemaakt,  overeenkomstig  </w:t>
      </w:r>
      <w:r>
        <w:rPr>
          <w:color w:val="231F20"/>
          <w:spacing w:val="5"/>
        </w:rPr>
        <w:t>de  </w:t>
      </w:r>
      <w:r>
        <w:rPr>
          <w:color w:val="231F20"/>
          <w:spacing w:val="11"/>
        </w:rPr>
        <w:t>artike-  </w:t>
      </w:r>
      <w:r>
        <w:rPr>
          <w:color w:val="231F20"/>
        </w:rPr>
        <w:t>len 2:8 en 2:14,</w:t>
      </w:r>
      <w:r>
        <w:rPr>
          <w:color w:val="231F20"/>
          <w:spacing w:val="16"/>
        </w:rPr>
        <w:t> </w:t>
      </w:r>
      <w:r>
        <w:rPr>
          <w:color w:val="231F20"/>
        </w:rPr>
        <w:t>1°.</w:t>
      </w:r>
    </w:p>
    <w:p>
      <w:pPr>
        <w:pStyle w:val="BodyText"/>
        <w:spacing w:line="218" w:lineRule="auto" w:before="108"/>
        <w:ind w:right="123"/>
      </w:pPr>
      <w:r>
        <w:rPr>
          <w:color w:val="231F20"/>
        </w:rPr>
        <w:t>Zij worden gelijktijdig bekendgemaakt binnen tien dagen na de neerlegging van de akte houdende vaststelling van het besluit tot fusie genomen tijdens de laatst gehouden vergadering van de bevoegde organen, hetzij de algemene vergadering of, in het in artikel 12:30, § 6, bedoelde geval, het bestuursorgaan van de overnemende vennoot- schap.</w:t>
      </w:r>
    </w:p>
    <w:p>
      <w:pPr>
        <w:pStyle w:val="BodyText"/>
        <w:spacing w:line="218" w:lineRule="auto" w:before="107"/>
      </w:pPr>
      <w:r>
        <w:rPr>
          <w:color w:val="231F20"/>
        </w:rPr>
        <w:t>De overnemende vennootschap kan zelf de formaliteiten inzake openbaarmaking betreffende de overgenomen vennootschappen ver- richten.</w:t>
      </w:r>
    </w:p>
    <w:p>
      <w:pPr>
        <w:pStyle w:val="BodyText"/>
        <w:spacing w:line="218" w:lineRule="auto" w:before="107"/>
      </w:pPr>
      <w:r>
        <w:rPr>
          <w:color w:val="231F20"/>
        </w:rPr>
        <w:t>Art. 12:34. § 1. </w:t>
      </w:r>
      <w:r>
        <w:rPr>
          <w:color w:val="231F20"/>
          <w:spacing w:val="-3"/>
        </w:rPr>
        <w:t>Tenzij </w:t>
      </w:r>
      <w:r>
        <w:rPr>
          <w:color w:val="231F20"/>
        </w:rPr>
        <w:t>de betrokken vennootschappen anders hebben besloten, worden de aandelen die de overnemende vennootschap</w:t>
      </w:r>
      <w:r>
        <w:rPr>
          <w:color w:val="231F20"/>
          <w:spacing w:val="23"/>
        </w:rPr>
        <w:t> </w:t>
      </w:r>
      <w:r>
        <w:rPr>
          <w:color w:val="231F20"/>
        </w:rPr>
        <w:t>in ruil voor de overgenomen vermogens heeft uitgegeven, onder de vennoten of aandeelhouders van de overgenomen</w:t>
      </w:r>
      <w:r>
        <w:rPr>
          <w:color w:val="231F20"/>
          <w:spacing w:val="2"/>
        </w:rPr>
        <w:t> </w:t>
      </w:r>
      <w:r>
        <w:rPr>
          <w:color w:val="231F20"/>
        </w:rPr>
        <w:t>vennootschappen</w:t>
      </w:r>
    </w:p>
    <w:p>
      <w:pPr>
        <w:spacing w:after="0" w:line="218" w:lineRule="auto"/>
        <w:sectPr>
          <w:pgSz w:w="11940" w:h="16880"/>
          <w:pgMar w:header="666" w:footer="0" w:top="1140" w:bottom="280" w:left="340" w:right="360"/>
          <w:cols w:num="2" w:equalWidth="0">
            <w:col w:w="5563" w:space="65"/>
            <w:col w:w="5612"/>
          </w:cols>
        </w:sectPr>
      </w:pPr>
    </w:p>
    <w:p>
      <w:pPr>
        <w:pStyle w:val="BodyText"/>
        <w:spacing w:line="218" w:lineRule="auto" w:before="120"/>
        <w:ind w:right="38" w:firstLine="0"/>
        <w:jc w:val="left"/>
      </w:pPr>
      <w:r>
        <w:rPr/>
        <w:pict>
          <v:line style="position:absolute;mso-position-horizontal-relative:page;mso-position-vertical-relative:page;z-index:6544" from="298.170502pt,64.473pt" to="298.170502pt,812.819pt" stroked="true" strokeweight=".533pt" strokecolor="#231f20">
            <v:stroke dashstyle="solid"/>
            <w10:wrap type="none"/>
          </v:line>
        </w:pict>
      </w:r>
      <w:bookmarkStart w:name="_bookmark230" w:id="236"/>
      <w:bookmarkEnd w:id="236"/>
      <w:r>
        <w:rPr/>
      </w:r>
      <w:r>
        <w:rPr>
          <w:color w:val="231F20"/>
        </w:rPr>
        <w:t>responsabilité de leurs organes d’administration au moment de la fusion.</w:t>
      </w:r>
    </w:p>
    <w:p>
      <w:pPr>
        <w:pStyle w:val="BodyText"/>
        <w:spacing w:line="218" w:lineRule="auto" w:before="85"/>
        <w:ind w:right="38"/>
      </w:pPr>
      <w:r>
        <w:rPr>
          <w:color w:val="231F20"/>
        </w:rPr>
        <w:t>S’il y a lieu, ces organes assurent la mise à jour des registres des actions ou parts nominatives ou d’autres registres.</w:t>
      </w:r>
    </w:p>
    <w:p>
      <w:pPr>
        <w:pStyle w:val="BodyText"/>
        <w:spacing w:before="72"/>
        <w:ind w:left="283" w:right="0" w:firstLine="0"/>
        <w:jc w:val="left"/>
      </w:pPr>
      <w:r>
        <w:rPr>
          <w:color w:val="231F20"/>
        </w:rPr>
        <w:t>Les</w:t>
      </w:r>
      <w:r>
        <w:rPr>
          <w:color w:val="231F20"/>
          <w:spacing w:val="12"/>
        </w:rPr>
        <w:t> </w:t>
      </w:r>
      <w:r>
        <w:rPr>
          <w:color w:val="231F20"/>
        </w:rPr>
        <w:t>frais</w:t>
      </w:r>
      <w:r>
        <w:rPr>
          <w:color w:val="231F20"/>
          <w:spacing w:val="13"/>
        </w:rPr>
        <w:t> </w:t>
      </w:r>
      <w:r>
        <w:rPr>
          <w:color w:val="231F20"/>
        </w:rPr>
        <w:t>de</w:t>
      </w:r>
      <w:r>
        <w:rPr>
          <w:color w:val="231F20"/>
          <w:spacing w:val="13"/>
        </w:rPr>
        <w:t> </w:t>
      </w:r>
      <w:r>
        <w:rPr>
          <w:color w:val="231F20"/>
        </w:rPr>
        <w:t>ces</w:t>
      </w:r>
      <w:r>
        <w:rPr>
          <w:color w:val="231F20"/>
          <w:spacing w:val="12"/>
        </w:rPr>
        <w:t> </w:t>
      </w:r>
      <w:r>
        <w:rPr>
          <w:color w:val="231F20"/>
        </w:rPr>
        <w:t>opérations</w:t>
      </w:r>
      <w:r>
        <w:rPr>
          <w:color w:val="231F20"/>
          <w:spacing w:val="13"/>
        </w:rPr>
        <w:t> </w:t>
      </w:r>
      <w:r>
        <w:rPr>
          <w:color w:val="231F20"/>
        </w:rPr>
        <w:t>sont</w:t>
      </w:r>
      <w:r>
        <w:rPr>
          <w:color w:val="231F20"/>
          <w:spacing w:val="13"/>
        </w:rPr>
        <w:t> </w:t>
      </w:r>
      <w:r>
        <w:rPr>
          <w:color w:val="231F20"/>
        </w:rPr>
        <w:t>supportés</w:t>
      </w:r>
      <w:r>
        <w:rPr>
          <w:color w:val="231F20"/>
          <w:spacing w:val="13"/>
        </w:rPr>
        <w:t> </w:t>
      </w:r>
      <w:r>
        <w:rPr>
          <w:color w:val="231F20"/>
        </w:rPr>
        <w:t>par</w:t>
      </w:r>
      <w:r>
        <w:rPr>
          <w:color w:val="231F20"/>
          <w:spacing w:val="12"/>
        </w:rPr>
        <w:t> </w:t>
      </w:r>
      <w:r>
        <w:rPr>
          <w:color w:val="231F20"/>
        </w:rPr>
        <w:t>la</w:t>
      </w:r>
      <w:r>
        <w:rPr>
          <w:color w:val="231F20"/>
          <w:spacing w:val="13"/>
        </w:rPr>
        <w:t> </w:t>
      </w:r>
      <w:r>
        <w:rPr>
          <w:color w:val="231F20"/>
        </w:rPr>
        <w:t>société</w:t>
      </w:r>
      <w:r>
        <w:rPr>
          <w:color w:val="231F20"/>
          <w:spacing w:val="13"/>
        </w:rPr>
        <w:t> </w:t>
      </w:r>
      <w:r>
        <w:rPr>
          <w:color w:val="231F20"/>
        </w:rPr>
        <w:t>absorbante.</w:t>
      </w:r>
    </w:p>
    <w:p>
      <w:pPr>
        <w:pStyle w:val="BodyText"/>
        <w:spacing w:before="7"/>
        <w:ind w:left="0" w:right="0" w:firstLine="0"/>
        <w:jc w:val="left"/>
        <w:rPr>
          <w:sz w:val="23"/>
        </w:rPr>
      </w:pPr>
    </w:p>
    <w:p>
      <w:pPr>
        <w:pStyle w:val="BodyText"/>
        <w:spacing w:line="218" w:lineRule="auto"/>
        <w:ind w:right="38"/>
      </w:pPr>
      <w:r>
        <w:rPr>
          <w:color w:val="231F20"/>
        </w:rPr>
        <w:t>§ 2. Aucune action ou part de la société absorbante ne peut être attribuée en échange d’actions ou parts de la société absorbée</w:t>
      </w:r>
      <w:r>
        <w:rPr>
          <w:color w:val="231F20"/>
          <w:spacing w:val="-3"/>
        </w:rPr>
        <w:t> </w:t>
      </w:r>
      <w:r>
        <w:rPr>
          <w:color w:val="231F20"/>
        </w:rPr>
        <w:t>détenues:</w:t>
      </w:r>
    </w:p>
    <w:p>
      <w:pPr>
        <w:pStyle w:val="BodyText"/>
        <w:spacing w:before="10"/>
        <w:ind w:left="0" w:right="0" w:firstLine="0"/>
        <w:jc w:val="left"/>
        <w:rPr>
          <w:sz w:val="23"/>
        </w:rPr>
      </w:pPr>
    </w:p>
    <w:p>
      <w:pPr>
        <w:pStyle w:val="BodyText"/>
        <w:spacing w:line="218" w:lineRule="auto"/>
        <w:ind w:right="38"/>
      </w:pPr>
      <w:r>
        <w:rPr>
          <w:color w:val="231F20"/>
        </w:rPr>
        <w:t>1° soit par la société absorbante elle-même ou par une personne agissant</w:t>
      </w:r>
      <w:r>
        <w:rPr>
          <w:color w:val="231F20"/>
          <w:spacing w:val="15"/>
        </w:rPr>
        <w:t> </w:t>
      </w:r>
      <w:r>
        <w:rPr>
          <w:color w:val="231F20"/>
        </w:rPr>
        <w:t>en</w:t>
      </w:r>
      <w:r>
        <w:rPr>
          <w:color w:val="231F20"/>
          <w:spacing w:val="15"/>
        </w:rPr>
        <w:t> </w:t>
      </w:r>
      <w:r>
        <w:rPr>
          <w:color w:val="231F20"/>
        </w:rPr>
        <w:t>son</w:t>
      </w:r>
      <w:r>
        <w:rPr>
          <w:color w:val="231F20"/>
          <w:spacing w:val="14"/>
        </w:rPr>
        <w:t> </w:t>
      </w:r>
      <w:r>
        <w:rPr>
          <w:color w:val="231F20"/>
        </w:rPr>
        <w:t>nom</w:t>
      </w:r>
      <w:r>
        <w:rPr>
          <w:color w:val="231F20"/>
          <w:spacing w:val="15"/>
        </w:rPr>
        <w:t> </w:t>
      </w:r>
      <w:r>
        <w:rPr>
          <w:color w:val="231F20"/>
        </w:rPr>
        <w:t>propre</w:t>
      </w:r>
      <w:r>
        <w:rPr>
          <w:color w:val="231F20"/>
          <w:spacing w:val="15"/>
        </w:rPr>
        <w:t> </w:t>
      </w:r>
      <w:r>
        <w:rPr>
          <w:color w:val="231F20"/>
        </w:rPr>
        <w:t>mais</w:t>
      </w:r>
      <w:r>
        <w:rPr>
          <w:color w:val="231F20"/>
          <w:spacing w:val="15"/>
        </w:rPr>
        <w:t> </w:t>
      </w:r>
      <w:r>
        <w:rPr>
          <w:color w:val="231F20"/>
        </w:rPr>
        <w:t>pour</w:t>
      </w:r>
      <w:r>
        <w:rPr>
          <w:color w:val="231F20"/>
          <w:spacing w:val="15"/>
        </w:rPr>
        <w:t> </w:t>
      </w:r>
      <w:r>
        <w:rPr>
          <w:color w:val="231F20"/>
        </w:rPr>
        <w:t>le</w:t>
      </w:r>
      <w:r>
        <w:rPr>
          <w:color w:val="231F20"/>
          <w:spacing w:val="15"/>
        </w:rPr>
        <w:t> </w:t>
      </w:r>
      <w:r>
        <w:rPr>
          <w:color w:val="231F20"/>
        </w:rPr>
        <w:t>compte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96"/>
        <w:ind w:right="38"/>
      </w:pPr>
      <w:r>
        <w:rPr>
          <w:color w:val="231F20"/>
        </w:rPr>
        <w:t>2° soit par la société absorbée elle-même ou par une personne agissant</w:t>
      </w:r>
      <w:r>
        <w:rPr>
          <w:color w:val="231F20"/>
          <w:spacing w:val="15"/>
        </w:rPr>
        <w:t> </w:t>
      </w:r>
      <w:r>
        <w:rPr>
          <w:color w:val="231F20"/>
        </w:rPr>
        <w:t>en</w:t>
      </w:r>
      <w:r>
        <w:rPr>
          <w:color w:val="231F20"/>
          <w:spacing w:val="15"/>
        </w:rPr>
        <w:t> </w:t>
      </w:r>
      <w:r>
        <w:rPr>
          <w:color w:val="231F20"/>
        </w:rPr>
        <w:t>son</w:t>
      </w:r>
      <w:r>
        <w:rPr>
          <w:color w:val="231F20"/>
          <w:spacing w:val="16"/>
        </w:rPr>
        <w:t> </w:t>
      </w:r>
      <w:r>
        <w:rPr>
          <w:color w:val="231F20"/>
        </w:rPr>
        <w:t>nom</w:t>
      </w:r>
      <w:r>
        <w:rPr>
          <w:color w:val="231F20"/>
          <w:spacing w:val="15"/>
        </w:rPr>
        <w:t> </w:t>
      </w:r>
      <w:r>
        <w:rPr>
          <w:color w:val="231F20"/>
        </w:rPr>
        <w:t>propre</w:t>
      </w:r>
      <w:r>
        <w:rPr>
          <w:color w:val="231F20"/>
          <w:spacing w:val="15"/>
        </w:rPr>
        <w:t> </w:t>
      </w:r>
      <w:r>
        <w:rPr>
          <w:color w:val="231F20"/>
        </w:rPr>
        <w:t>mais</w:t>
      </w:r>
      <w:r>
        <w:rPr>
          <w:color w:val="231F20"/>
          <w:spacing w:val="16"/>
        </w:rPr>
        <w:t> </w:t>
      </w:r>
      <w:r>
        <w:rPr>
          <w:color w:val="231F20"/>
        </w:rPr>
        <w:t>pour</w:t>
      </w:r>
      <w:r>
        <w:rPr>
          <w:color w:val="231F20"/>
          <w:spacing w:val="15"/>
        </w:rPr>
        <w:t> </w:t>
      </w:r>
      <w:r>
        <w:rPr>
          <w:color w:val="231F20"/>
        </w:rPr>
        <w:t>le</w:t>
      </w:r>
      <w:r>
        <w:rPr>
          <w:color w:val="231F20"/>
          <w:spacing w:val="15"/>
        </w:rPr>
        <w:t> </w:t>
      </w:r>
      <w:r>
        <w:rPr>
          <w:color w:val="231F20"/>
        </w:rPr>
        <w:t>compte</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97"/>
        <w:ind w:right="38"/>
      </w:pPr>
      <w:r>
        <w:rPr>
          <w:color w:val="231F20"/>
        </w:rPr>
        <w:t>Art. 12:35. </w:t>
      </w:r>
      <w:r>
        <w:rPr>
          <w:color w:val="231F20"/>
          <w:spacing w:val="-3"/>
        </w:rPr>
        <w:t>L’organe </w:t>
      </w:r>
      <w:r>
        <w:rPr>
          <w:color w:val="231F20"/>
        </w:rPr>
        <w:t>d’administration de la société absorbée établit les comptes annuels pour la période comprise entre la date de clôture du dernier exercice social dont les comptes ont été approuvés et la date visée à l’article 12:24, alinéa 2, 5°, conformément aux dispositions lui applicables. Le cas échéant, il rédige également un rapport de gestion relatif à cette période, conformément aux dispositions lui applicables.</w:t>
      </w:r>
      <w:r>
        <w:rPr>
          <w:color w:val="231F20"/>
          <w:spacing w:val="-26"/>
        </w:rPr>
        <w:t> </w:t>
      </w:r>
      <w:r>
        <w:rPr>
          <w:color w:val="231F20"/>
        </w:rPr>
        <w:t>Si un commissaire a été désigné dans la société absorbée, celui-ci rédige également un rapport concernant son contrôle sur cette période, conformément aux dispositions lui</w:t>
      </w:r>
      <w:r>
        <w:rPr>
          <w:color w:val="231F20"/>
          <w:spacing w:val="21"/>
        </w:rPr>
        <w:t> </w:t>
      </w:r>
      <w:r>
        <w:rPr>
          <w:color w:val="231F20"/>
        </w:rPr>
        <w:t>applicables.</w:t>
      </w:r>
    </w:p>
    <w:p>
      <w:pPr>
        <w:pStyle w:val="BodyText"/>
        <w:spacing w:before="11"/>
        <w:ind w:left="0" w:right="0" w:firstLine="0"/>
        <w:jc w:val="left"/>
        <w:rPr>
          <w:sz w:val="23"/>
        </w:rPr>
      </w:pPr>
    </w:p>
    <w:p>
      <w:pPr>
        <w:pStyle w:val="BodyText"/>
        <w:spacing w:line="218" w:lineRule="auto"/>
        <w:ind w:right="38"/>
      </w:pPr>
      <w:r>
        <w:rPr>
          <w:color w:val="231F20"/>
        </w:rPr>
        <w:t>Si la fusion a été réalisée avant la date d’approbation des comptes annuels, l’assemblée générale de la société absorbante approuve les comptes annuels conformément aux règles applicables à la société absorbée et se prononce sur la décharge des organes d’administration</w:t>
      </w:r>
      <w:r>
        <w:rPr>
          <w:color w:val="231F20"/>
          <w:spacing w:val="-26"/>
        </w:rPr>
        <w:t> </w:t>
      </w:r>
      <w:r>
        <w:rPr>
          <w:color w:val="231F20"/>
        </w:rPr>
        <w:t>et de</w:t>
      </w:r>
      <w:r>
        <w:rPr>
          <w:color w:val="231F20"/>
          <w:spacing w:val="14"/>
        </w:rPr>
        <w:t> </w:t>
      </w:r>
      <w:r>
        <w:rPr>
          <w:color w:val="231F20"/>
        </w:rPr>
        <w:t>contrôle</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rPr>
        <w:t>société</w:t>
      </w:r>
      <w:r>
        <w:rPr>
          <w:color w:val="231F20"/>
          <w:spacing w:val="14"/>
        </w:rPr>
        <w:t> </w:t>
      </w:r>
      <w:r>
        <w:rPr>
          <w:color w:val="231F20"/>
        </w:rPr>
        <w:t>absorbée,</w:t>
      </w:r>
      <w:r>
        <w:rPr>
          <w:color w:val="231F20"/>
          <w:spacing w:val="15"/>
        </w:rPr>
        <w:t> </w:t>
      </w:r>
      <w:r>
        <w:rPr>
          <w:color w:val="231F20"/>
        </w:rPr>
        <w:t>sous</w:t>
      </w:r>
      <w:r>
        <w:rPr>
          <w:color w:val="231F20"/>
          <w:spacing w:val="14"/>
        </w:rPr>
        <w:t> </w:t>
      </w:r>
      <w:r>
        <w:rPr>
          <w:color w:val="231F20"/>
        </w:rPr>
        <w:t>réserve</w:t>
      </w:r>
      <w:r>
        <w:rPr>
          <w:color w:val="231F20"/>
          <w:spacing w:val="15"/>
        </w:rPr>
        <w:t> </w:t>
      </w:r>
      <w:r>
        <w:rPr>
          <w:color w:val="231F20"/>
        </w:rPr>
        <w:t>de</w:t>
      </w:r>
      <w:r>
        <w:rPr>
          <w:color w:val="231F20"/>
          <w:spacing w:val="15"/>
        </w:rPr>
        <w:t> </w:t>
      </w:r>
      <w:r>
        <w:rPr>
          <w:color w:val="231F20"/>
        </w:rPr>
        <w:t>l’article</w:t>
      </w:r>
      <w:r>
        <w:rPr>
          <w:color w:val="231F20"/>
          <w:spacing w:val="14"/>
        </w:rPr>
        <w:t> </w:t>
      </w:r>
      <w:r>
        <w:rPr>
          <w:color w:val="231F20"/>
        </w:rPr>
        <w:t>12:18.</w:t>
      </w:r>
    </w:p>
    <w:p>
      <w:pPr>
        <w:pStyle w:val="BodyText"/>
        <w:spacing w:before="11"/>
        <w:ind w:left="0" w:right="0" w:firstLine="0"/>
        <w:jc w:val="left"/>
        <w:rPr>
          <w:sz w:val="23"/>
        </w:rPr>
      </w:pPr>
    </w:p>
    <w:p>
      <w:pPr>
        <w:pStyle w:val="BodyText"/>
        <w:spacing w:line="218" w:lineRule="auto"/>
        <w:ind w:right="38"/>
      </w:pPr>
      <w:r>
        <w:rPr>
          <w:color w:val="231F20"/>
        </w:rPr>
        <w:t>Section 2. Procédure de fusion par constitution d’une nouvelle société.</w:t>
      </w:r>
    </w:p>
    <w:p>
      <w:pPr>
        <w:pStyle w:val="BodyText"/>
        <w:spacing w:line="218" w:lineRule="auto" w:before="81"/>
        <w:ind w:right="38"/>
      </w:pPr>
      <w:r>
        <w:rPr>
          <w:color w:val="231F20"/>
        </w:rPr>
        <w:t>Art. 12:36. § 1</w:t>
      </w:r>
      <w:r>
        <w:rPr>
          <w:color w:val="231F20"/>
          <w:position w:val="7"/>
          <w:sz w:val="11"/>
        </w:rPr>
        <w:t>er</w:t>
      </w:r>
      <w:r>
        <w:rPr>
          <w:color w:val="231F20"/>
        </w:rPr>
        <w:t>. Sous réserve des paragraphes 2 et 3, la constitution de la nouvelle société est soumise à toutes les conditions prévues par le présent code pour la forme de société qui a été choisie. Les articles 5:4, 6:5 et 7:3 ne sont pas applicables.</w:t>
      </w:r>
    </w:p>
    <w:p>
      <w:pPr>
        <w:pStyle w:val="BodyText"/>
        <w:spacing w:line="218" w:lineRule="auto" w:before="96"/>
        <w:ind w:right="38"/>
      </w:pPr>
      <w:r>
        <w:rPr>
          <w:color w:val="231F20"/>
        </w:rPr>
        <w:t>§ 2. Quelle que soit la forme légale de la nouvelle société, la constitution de celle-ci doit, à peine de nullité, être constatée par acte authentique. Cet acte reproduit, le cas échéant, les conclusions du rapport du commissaire, du réviseur d’entreprises ou de l’expert- comptable externe visé à l’article 12:39.</w:t>
      </w:r>
    </w:p>
    <w:p>
      <w:pPr>
        <w:pStyle w:val="BodyText"/>
        <w:spacing w:line="211" w:lineRule="auto" w:before="101"/>
        <w:ind w:right="38"/>
      </w:pPr>
      <w:r>
        <w:rPr>
          <w:color w:val="231F20"/>
        </w:rPr>
        <w:t>§ 3. Si un rapport a été établi conformément à l’article 12:39, les articles</w:t>
      </w:r>
      <w:r>
        <w:rPr>
          <w:color w:val="231F20"/>
          <w:spacing w:val="-7"/>
        </w:rPr>
        <w:t> </w:t>
      </w:r>
      <w:r>
        <w:rPr>
          <w:color w:val="231F20"/>
        </w:rPr>
        <w:t>7:7,</w:t>
      </w:r>
      <w:r>
        <w:rPr>
          <w:color w:val="231F20"/>
          <w:spacing w:val="-7"/>
        </w:rPr>
        <w:t> </w:t>
      </w:r>
      <w:r>
        <w:rPr>
          <w:color w:val="231F20"/>
        </w:rPr>
        <w:t>7:12,</w:t>
      </w:r>
      <w:r>
        <w:rPr>
          <w:color w:val="231F20"/>
          <w:spacing w:val="-7"/>
        </w:rPr>
        <w:t> </w:t>
      </w:r>
      <w:r>
        <w:rPr>
          <w:color w:val="231F20"/>
        </w:rPr>
        <w:t>7:13,</w:t>
      </w:r>
      <w:r>
        <w:rPr>
          <w:color w:val="231F20"/>
          <w:spacing w:val="-7"/>
        </w:rPr>
        <w:t> </w:t>
      </w:r>
      <w:r>
        <w:rPr>
          <w:color w:val="231F20"/>
        </w:rPr>
        <w:t>alinéa</w:t>
      </w:r>
      <w:r>
        <w:rPr>
          <w:color w:val="231F20"/>
          <w:spacing w:val="-6"/>
        </w:rPr>
        <w:t> </w:t>
      </w:r>
      <w:r>
        <w:rPr>
          <w:color w:val="231F20"/>
        </w:rPr>
        <w:t>2,</w:t>
      </w:r>
      <w:r>
        <w:rPr>
          <w:color w:val="231F20"/>
          <w:spacing w:val="-7"/>
        </w:rPr>
        <w:t> </w:t>
      </w:r>
      <w:r>
        <w:rPr>
          <w:color w:val="231F20"/>
        </w:rPr>
        <w:t>deuxième</w:t>
      </w:r>
      <w:r>
        <w:rPr>
          <w:color w:val="231F20"/>
          <w:spacing w:val="-7"/>
        </w:rPr>
        <w:t> </w:t>
      </w:r>
      <w:r>
        <w:rPr>
          <w:color w:val="231F20"/>
        </w:rPr>
        <w:t>phrase,</w:t>
      </w:r>
      <w:r>
        <w:rPr>
          <w:color w:val="231F20"/>
          <w:spacing w:val="-7"/>
        </w:rPr>
        <w:t> </w:t>
      </w:r>
      <w:r>
        <w:rPr>
          <w:color w:val="231F20"/>
        </w:rPr>
        <w:t>7:14,</w:t>
      </w:r>
      <w:r>
        <w:rPr>
          <w:color w:val="231F20"/>
          <w:spacing w:val="-6"/>
        </w:rPr>
        <w:t> </w:t>
      </w:r>
      <w:r>
        <w:rPr>
          <w:color w:val="231F20"/>
        </w:rPr>
        <w:t>alinéa</w:t>
      </w:r>
      <w:r>
        <w:rPr>
          <w:color w:val="231F20"/>
          <w:spacing w:val="-7"/>
        </w:rPr>
        <w:t> </w:t>
      </w:r>
      <w:r>
        <w:rPr>
          <w:color w:val="231F20"/>
        </w:rPr>
        <w:t>1</w:t>
      </w:r>
      <w:r>
        <w:rPr>
          <w:color w:val="231F20"/>
          <w:position w:val="7"/>
          <w:sz w:val="11"/>
        </w:rPr>
        <w:t>er</w:t>
      </w:r>
      <w:r>
        <w:rPr>
          <w:color w:val="231F20"/>
        </w:rPr>
        <w:t>,</w:t>
      </w:r>
      <w:r>
        <w:rPr>
          <w:color w:val="231F20"/>
          <w:spacing w:val="-7"/>
        </w:rPr>
        <w:t> </w:t>
      </w:r>
      <w:r>
        <w:rPr>
          <w:color w:val="231F20"/>
        </w:rPr>
        <w:t>2°</w:t>
      </w:r>
      <w:r>
        <w:rPr>
          <w:color w:val="231F20"/>
          <w:spacing w:val="-7"/>
        </w:rPr>
        <w:t> </w:t>
      </w:r>
      <w:r>
        <w:rPr>
          <w:color w:val="231F20"/>
        </w:rPr>
        <w:t>et</w:t>
      </w:r>
      <w:r>
        <w:rPr>
          <w:color w:val="231F20"/>
          <w:spacing w:val="-6"/>
        </w:rPr>
        <w:t> </w:t>
      </w:r>
      <w:r>
        <w:rPr>
          <w:color w:val="231F20"/>
        </w:rPr>
        <w:t>7°, ne</w:t>
      </w:r>
      <w:r>
        <w:rPr>
          <w:color w:val="231F20"/>
          <w:spacing w:val="15"/>
        </w:rPr>
        <w:t> </w:t>
      </w:r>
      <w:r>
        <w:rPr>
          <w:color w:val="231F20"/>
        </w:rPr>
        <w:t>s’appliquent</w:t>
      </w:r>
      <w:r>
        <w:rPr>
          <w:color w:val="231F20"/>
          <w:spacing w:val="15"/>
        </w:rPr>
        <w:t> </w:t>
      </w:r>
      <w:r>
        <w:rPr>
          <w:color w:val="231F20"/>
        </w:rPr>
        <w:t>ni</w:t>
      </w:r>
      <w:r>
        <w:rPr>
          <w:color w:val="231F20"/>
          <w:spacing w:val="16"/>
        </w:rPr>
        <w:t> </w:t>
      </w:r>
      <w:r>
        <w:rPr>
          <w:color w:val="231F20"/>
        </w:rPr>
        <w:t>à</w:t>
      </w:r>
      <w:r>
        <w:rPr>
          <w:color w:val="231F20"/>
          <w:spacing w:val="15"/>
        </w:rPr>
        <w:t> </w:t>
      </w:r>
      <w:r>
        <w:rPr>
          <w:color w:val="231F20"/>
        </w:rPr>
        <w:t>la</w:t>
      </w:r>
      <w:r>
        <w:rPr>
          <w:color w:val="231F20"/>
          <w:spacing w:val="16"/>
        </w:rPr>
        <w:t> </w:t>
      </w:r>
      <w:r>
        <w:rPr>
          <w:color w:val="231F20"/>
        </w:rPr>
        <w:t>société</w:t>
      </w:r>
      <w:r>
        <w:rPr>
          <w:color w:val="231F20"/>
          <w:spacing w:val="15"/>
        </w:rPr>
        <w:t> </w:t>
      </w:r>
      <w:r>
        <w:rPr>
          <w:color w:val="231F20"/>
        </w:rPr>
        <w:t>anonyme,</w:t>
      </w:r>
      <w:r>
        <w:rPr>
          <w:color w:val="231F20"/>
          <w:spacing w:val="16"/>
        </w:rPr>
        <w:t> </w:t>
      </w:r>
      <w:r>
        <w:rPr>
          <w:color w:val="231F20"/>
        </w:rPr>
        <w:t>ni</w:t>
      </w:r>
      <w:r>
        <w:rPr>
          <w:color w:val="231F20"/>
          <w:spacing w:val="15"/>
        </w:rPr>
        <w:t> </w:t>
      </w:r>
      <w:r>
        <w:rPr>
          <w:color w:val="231F20"/>
        </w:rPr>
        <w:t>à</w:t>
      </w:r>
      <w:r>
        <w:rPr>
          <w:color w:val="231F20"/>
          <w:spacing w:val="16"/>
        </w:rPr>
        <w:t> </w:t>
      </w:r>
      <w:r>
        <w:rPr>
          <w:color w:val="231F20"/>
        </w:rPr>
        <w:t>la</w:t>
      </w:r>
      <w:r>
        <w:rPr>
          <w:color w:val="231F20"/>
          <w:spacing w:val="15"/>
        </w:rPr>
        <w:t> </w:t>
      </w:r>
      <w:r>
        <w:rPr>
          <w:color w:val="231F20"/>
        </w:rPr>
        <w:t>société</w:t>
      </w:r>
      <w:r>
        <w:rPr>
          <w:color w:val="231F20"/>
          <w:spacing w:val="16"/>
        </w:rPr>
        <w:t> </w:t>
      </w:r>
      <w:r>
        <w:rPr>
          <w:color w:val="231F20"/>
        </w:rPr>
        <w:t>européenne.</w:t>
      </w:r>
    </w:p>
    <w:p>
      <w:pPr>
        <w:pStyle w:val="BodyText"/>
        <w:spacing w:before="1"/>
        <w:ind w:left="0" w:right="0" w:firstLine="0"/>
        <w:jc w:val="left"/>
        <w:rPr>
          <w:sz w:val="24"/>
        </w:rPr>
      </w:pPr>
    </w:p>
    <w:p>
      <w:pPr>
        <w:pStyle w:val="BodyText"/>
        <w:spacing w:line="211" w:lineRule="auto" w:before="1"/>
        <w:ind w:right="38"/>
      </w:pPr>
      <w:r>
        <w:rPr>
          <w:color w:val="231F20"/>
        </w:rPr>
        <w:t>Si un rapport a été établi conformément à  l’article  12:39,  les  articles</w:t>
      </w:r>
      <w:r>
        <w:rPr>
          <w:color w:val="231F20"/>
          <w:spacing w:val="-7"/>
        </w:rPr>
        <w:t> </w:t>
      </w:r>
      <w:r>
        <w:rPr>
          <w:color w:val="231F20"/>
        </w:rPr>
        <w:t>5:7,</w:t>
      </w:r>
      <w:r>
        <w:rPr>
          <w:color w:val="231F20"/>
          <w:spacing w:val="-6"/>
        </w:rPr>
        <w:t> </w:t>
      </w:r>
      <w:r>
        <w:rPr>
          <w:color w:val="231F20"/>
        </w:rPr>
        <w:t>5:9</w:t>
      </w:r>
      <w:r>
        <w:rPr>
          <w:color w:val="231F20"/>
          <w:spacing w:val="-6"/>
        </w:rPr>
        <w:t> </w:t>
      </w:r>
      <w:r>
        <w:rPr>
          <w:color w:val="231F20"/>
        </w:rPr>
        <w:t>et</w:t>
      </w:r>
      <w:r>
        <w:rPr>
          <w:color w:val="231F20"/>
          <w:spacing w:val="-6"/>
        </w:rPr>
        <w:t> </w:t>
      </w:r>
      <w:r>
        <w:rPr>
          <w:color w:val="231F20"/>
        </w:rPr>
        <w:t>5:12,</w:t>
      </w:r>
      <w:r>
        <w:rPr>
          <w:color w:val="231F20"/>
          <w:spacing w:val="-7"/>
        </w:rPr>
        <w:t> </w:t>
      </w:r>
      <w:r>
        <w:rPr>
          <w:color w:val="231F20"/>
        </w:rPr>
        <w:t>alinéa</w:t>
      </w:r>
      <w:r>
        <w:rPr>
          <w:color w:val="231F20"/>
          <w:spacing w:val="-6"/>
        </w:rPr>
        <w:t> </w:t>
      </w:r>
      <w:r>
        <w:rPr>
          <w:color w:val="231F20"/>
        </w:rPr>
        <w:t>1</w:t>
      </w:r>
      <w:r>
        <w:rPr>
          <w:color w:val="231F20"/>
          <w:position w:val="7"/>
          <w:sz w:val="11"/>
        </w:rPr>
        <w:t>er</w:t>
      </w:r>
      <w:r>
        <w:rPr>
          <w:color w:val="231F20"/>
        </w:rPr>
        <w:t>,</w:t>
      </w:r>
      <w:r>
        <w:rPr>
          <w:color w:val="231F20"/>
          <w:spacing w:val="-6"/>
        </w:rPr>
        <w:t> </w:t>
      </w:r>
      <w:r>
        <w:rPr>
          <w:color w:val="231F20"/>
        </w:rPr>
        <w:t>2°</w:t>
      </w:r>
      <w:r>
        <w:rPr>
          <w:color w:val="231F20"/>
          <w:spacing w:val="-6"/>
        </w:rPr>
        <w:t> </w:t>
      </w:r>
      <w:r>
        <w:rPr>
          <w:color w:val="231F20"/>
        </w:rPr>
        <w:t>et</w:t>
      </w:r>
      <w:r>
        <w:rPr>
          <w:color w:val="231F20"/>
          <w:spacing w:val="-6"/>
        </w:rPr>
        <w:t> </w:t>
      </w:r>
      <w:r>
        <w:rPr>
          <w:color w:val="231F20"/>
        </w:rPr>
        <w:t>5°,</w:t>
      </w:r>
      <w:r>
        <w:rPr>
          <w:color w:val="231F20"/>
          <w:spacing w:val="-7"/>
        </w:rPr>
        <w:t> </w:t>
      </w:r>
      <w:r>
        <w:rPr>
          <w:color w:val="231F20"/>
        </w:rPr>
        <w:t>ne</w:t>
      </w:r>
      <w:r>
        <w:rPr>
          <w:color w:val="231F20"/>
          <w:spacing w:val="-6"/>
        </w:rPr>
        <w:t> </w:t>
      </w:r>
      <w:r>
        <w:rPr>
          <w:color w:val="231F20"/>
        </w:rPr>
        <w:t>s’appliquent</w:t>
      </w:r>
      <w:r>
        <w:rPr>
          <w:color w:val="231F20"/>
          <w:spacing w:val="-6"/>
        </w:rPr>
        <w:t> </w:t>
      </w:r>
      <w:r>
        <w:rPr>
          <w:color w:val="231F20"/>
        </w:rPr>
        <w:t>pas</w:t>
      </w:r>
      <w:r>
        <w:rPr>
          <w:color w:val="231F20"/>
          <w:spacing w:val="-6"/>
        </w:rPr>
        <w:t> </w:t>
      </w:r>
      <w:r>
        <w:rPr>
          <w:color w:val="231F20"/>
        </w:rPr>
        <w:t>à</w:t>
      </w:r>
      <w:r>
        <w:rPr>
          <w:color w:val="231F20"/>
          <w:spacing w:val="-6"/>
        </w:rPr>
        <w:t> </w:t>
      </w:r>
      <w:r>
        <w:rPr>
          <w:color w:val="231F20"/>
        </w:rPr>
        <w:t>la</w:t>
      </w:r>
      <w:r>
        <w:rPr>
          <w:color w:val="231F20"/>
          <w:spacing w:val="-7"/>
        </w:rPr>
        <w:t> </w:t>
      </w:r>
      <w:r>
        <w:rPr>
          <w:color w:val="231F20"/>
        </w:rPr>
        <w:t>société à</w:t>
      </w:r>
      <w:r>
        <w:rPr>
          <w:color w:val="231F20"/>
          <w:spacing w:val="14"/>
        </w:rPr>
        <w:t> </w:t>
      </w:r>
      <w:r>
        <w:rPr>
          <w:color w:val="231F20"/>
        </w:rPr>
        <w:t>responsabilité</w:t>
      </w:r>
      <w:r>
        <w:rPr>
          <w:color w:val="231F20"/>
          <w:spacing w:val="15"/>
        </w:rPr>
        <w:t> </w:t>
      </w:r>
      <w:r>
        <w:rPr>
          <w:color w:val="231F20"/>
        </w:rPr>
        <w:t>limitée</w:t>
      </w:r>
      <w:r>
        <w:rPr>
          <w:color w:val="231F20"/>
          <w:spacing w:val="15"/>
        </w:rPr>
        <w:t> </w:t>
      </w:r>
      <w:r>
        <w:rPr>
          <w:color w:val="231F20"/>
        </w:rPr>
        <w:t>qui</w:t>
      </w:r>
      <w:r>
        <w:rPr>
          <w:color w:val="231F20"/>
          <w:spacing w:val="15"/>
        </w:rPr>
        <w:t> </w:t>
      </w:r>
      <w:r>
        <w:rPr>
          <w:color w:val="231F20"/>
        </w:rPr>
        <w:t>est</w:t>
      </w:r>
      <w:r>
        <w:rPr>
          <w:color w:val="231F20"/>
          <w:spacing w:val="15"/>
        </w:rPr>
        <w:t> </w:t>
      </w:r>
      <w:r>
        <w:rPr>
          <w:color w:val="231F20"/>
        </w:rPr>
        <w:t>issue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fusion.</w:t>
      </w:r>
    </w:p>
    <w:p>
      <w:pPr>
        <w:pStyle w:val="BodyText"/>
        <w:spacing w:line="213" w:lineRule="auto" w:before="97"/>
        <w:ind w:right="38"/>
      </w:pPr>
      <w:r>
        <w:rPr>
          <w:color w:val="231F20"/>
        </w:rPr>
        <w:t>Si un rapport a été établi conformément à  l’article  12:39,  les  articles</w:t>
      </w:r>
      <w:r>
        <w:rPr>
          <w:color w:val="231F20"/>
          <w:spacing w:val="-7"/>
        </w:rPr>
        <w:t> </w:t>
      </w:r>
      <w:r>
        <w:rPr>
          <w:color w:val="231F20"/>
        </w:rPr>
        <w:t>6:8,</w:t>
      </w:r>
      <w:r>
        <w:rPr>
          <w:color w:val="231F20"/>
          <w:spacing w:val="-6"/>
        </w:rPr>
        <w:t> </w:t>
      </w:r>
      <w:r>
        <w:rPr>
          <w:color w:val="231F20"/>
        </w:rPr>
        <w:t>6:10</w:t>
      </w:r>
      <w:r>
        <w:rPr>
          <w:color w:val="231F20"/>
          <w:spacing w:val="-7"/>
        </w:rPr>
        <w:t> </w:t>
      </w:r>
      <w:r>
        <w:rPr>
          <w:color w:val="231F20"/>
        </w:rPr>
        <w:t>et</w:t>
      </w:r>
      <w:r>
        <w:rPr>
          <w:color w:val="231F20"/>
          <w:spacing w:val="-6"/>
        </w:rPr>
        <w:t> </w:t>
      </w:r>
      <w:r>
        <w:rPr>
          <w:color w:val="231F20"/>
        </w:rPr>
        <w:t>6:13,</w:t>
      </w:r>
      <w:r>
        <w:rPr>
          <w:color w:val="231F20"/>
          <w:spacing w:val="-6"/>
        </w:rPr>
        <w:t> </w:t>
      </w:r>
      <w:r>
        <w:rPr>
          <w:color w:val="231F20"/>
        </w:rPr>
        <w:t>alinéa</w:t>
      </w:r>
      <w:r>
        <w:rPr>
          <w:color w:val="231F20"/>
          <w:spacing w:val="-7"/>
        </w:rPr>
        <w:t> </w:t>
      </w:r>
      <w:r>
        <w:rPr>
          <w:color w:val="231F20"/>
        </w:rPr>
        <w:t>1</w:t>
      </w:r>
      <w:r>
        <w:rPr>
          <w:color w:val="231F20"/>
          <w:position w:val="7"/>
          <w:sz w:val="11"/>
        </w:rPr>
        <w:t>er</w:t>
      </w:r>
      <w:r>
        <w:rPr>
          <w:color w:val="231F20"/>
        </w:rPr>
        <w:t>,</w:t>
      </w:r>
      <w:r>
        <w:rPr>
          <w:color w:val="231F20"/>
          <w:spacing w:val="-6"/>
        </w:rPr>
        <w:t> </w:t>
      </w:r>
      <w:r>
        <w:rPr>
          <w:color w:val="231F20"/>
        </w:rPr>
        <w:t>2°</w:t>
      </w:r>
      <w:r>
        <w:rPr>
          <w:color w:val="231F20"/>
          <w:spacing w:val="-6"/>
        </w:rPr>
        <w:t> </w:t>
      </w:r>
      <w:r>
        <w:rPr>
          <w:color w:val="231F20"/>
        </w:rPr>
        <w:t>et</w:t>
      </w:r>
      <w:r>
        <w:rPr>
          <w:color w:val="231F20"/>
          <w:spacing w:val="-7"/>
        </w:rPr>
        <w:t> </w:t>
      </w:r>
      <w:r>
        <w:rPr>
          <w:color w:val="231F20"/>
        </w:rPr>
        <w:t>5°,</w:t>
      </w:r>
      <w:r>
        <w:rPr>
          <w:color w:val="231F20"/>
          <w:spacing w:val="-6"/>
        </w:rPr>
        <w:t> </w:t>
      </w:r>
      <w:r>
        <w:rPr>
          <w:color w:val="231F20"/>
        </w:rPr>
        <w:t>ne</w:t>
      </w:r>
      <w:r>
        <w:rPr>
          <w:color w:val="231F20"/>
          <w:spacing w:val="-6"/>
        </w:rPr>
        <w:t> </w:t>
      </w:r>
      <w:r>
        <w:rPr>
          <w:color w:val="231F20"/>
        </w:rPr>
        <w:t>s’appliquent</w:t>
      </w:r>
      <w:r>
        <w:rPr>
          <w:color w:val="231F20"/>
          <w:spacing w:val="-7"/>
        </w:rPr>
        <w:t> </w:t>
      </w:r>
      <w:r>
        <w:rPr>
          <w:color w:val="231F20"/>
        </w:rPr>
        <w:t>ni</w:t>
      </w:r>
      <w:r>
        <w:rPr>
          <w:color w:val="231F20"/>
          <w:spacing w:val="-6"/>
        </w:rPr>
        <w:t> </w:t>
      </w:r>
      <w:r>
        <w:rPr>
          <w:color w:val="231F20"/>
        </w:rPr>
        <w:t>à</w:t>
      </w:r>
      <w:r>
        <w:rPr>
          <w:color w:val="231F20"/>
          <w:spacing w:val="-7"/>
        </w:rPr>
        <w:t> </w:t>
      </w:r>
      <w:r>
        <w:rPr>
          <w:color w:val="231F20"/>
        </w:rPr>
        <w:t>la</w:t>
      </w:r>
      <w:r>
        <w:rPr>
          <w:color w:val="231F20"/>
          <w:spacing w:val="-6"/>
        </w:rPr>
        <w:t> </w:t>
      </w:r>
      <w:r>
        <w:rPr>
          <w:color w:val="231F20"/>
        </w:rPr>
        <w:t>société coopérative, ni à la société coopérative européenne qui sont issues de la fusion.</w:t>
      </w:r>
    </w:p>
    <w:p>
      <w:pPr>
        <w:pStyle w:val="BodyText"/>
        <w:spacing w:line="218" w:lineRule="auto" w:before="93"/>
        <w:ind w:right="38"/>
      </w:pPr>
      <w:r>
        <w:rPr>
          <w:color w:val="231F20"/>
        </w:rPr>
        <w:t>Art. 12:37. Les organes d’administration des sociétés appelées à fusionner établissent par acte authentique ou par acte sous seing privé un projet de fusion.</w:t>
      </w:r>
    </w:p>
    <w:p>
      <w:pPr>
        <w:pStyle w:val="BodyText"/>
        <w:spacing w:before="82"/>
        <w:ind w:left="283" w:right="0" w:firstLine="0"/>
        <w:jc w:val="left"/>
      </w:pPr>
      <w:r>
        <w:rPr>
          <w:color w:val="231F20"/>
        </w:rPr>
        <w:t>Le projet de fusion mentionne au moins:</w:t>
      </w:r>
    </w:p>
    <w:p>
      <w:pPr>
        <w:pStyle w:val="BodyText"/>
        <w:spacing w:line="218" w:lineRule="auto" w:before="93"/>
        <w:ind w:right="38"/>
      </w:pPr>
      <w:r>
        <w:rPr>
          <w:color w:val="231F20"/>
        </w:rPr>
        <w:t>1° la forme légale, la dénomination, l’objet et le siège des sociétés appelées à être dissoutes ainsi que de la nouvelle société;</w:t>
      </w:r>
    </w:p>
    <w:p>
      <w:pPr>
        <w:pStyle w:val="BodyText"/>
        <w:spacing w:line="218" w:lineRule="auto" w:before="96"/>
        <w:ind w:right="38"/>
      </w:pPr>
      <w:r>
        <w:rPr>
          <w:color w:val="231F20"/>
        </w:rPr>
        <w:t>2° le rapport d’échange des actions ou parts et, le cas échéant, le montant de la soulte en espèces;</w:t>
      </w:r>
    </w:p>
    <w:p>
      <w:pPr>
        <w:pStyle w:val="BodyText"/>
        <w:spacing w:before="82"/>
        <w:ind w:left="283" w:right="0" w:firstLine="0"/>
        <w:jc w:val="left"/>
      </w:pPr>
      <w:r>
        <w:rPr>
          <w:color w:val="231F20"/>
        </w:rPr>
        <w:t>3° les modalités de remise des actions ou parts de la nouvelle société;</w:t>
      </w:r>
    </w:p>
    <w:p>
      <w:pPr>
        <w:pStyle w:val="BodyText"/>
        <w:spacing w:before="7"/>
        <w:ind w:left="0" w:right="0" w:firstLine="0"/>
        <w:jc w:val="left"/>
        <w:rPr>
          <w:sz w:val="23"/>
        </w:rPr>
      </w:pPr>
    </w:p>
    <w:p>
      <w:pPr>
        <w:pStyle w:val="BodyText"/>
        <w:spacing w:line="218" w:lineRule="auto"/>
        <w:ind w:right="38"/>
      </w:pPr>
      <w:r>
        <w:rPr>
          <w:color w:val="231F20"/>
        </w:rPr>
        <w:t>4° la date à partir de laquelle ces actions ou parts donnent le droit de participer aux bénéfices ainsi que toute modalité particulière relative à ce droit;</w:t>
      </w:r>
    </w:p>
    <w:p>
      <w:pPr>
        <w:pStyle w:val="BodyText"/>
        <w:spacing w:line="218" w:lineRule="auto" w:before="97"/>
        <w:ind w:right="38"/>
      </w:pPr>
      <w:r>
        <w:rPr>
          <w:color w:val="231F20"/>
        </w:rPr>
        <w:t>5° la date à partir de laquelle les opérations des sociétés appelées à être dissoutes sont considérées du point de vue comptable comme accomplies pour le compte de la nouvelle société, cette date ne pouvant remonter avant le premier jour qui suit la clôture de l’exercice social dont les comptes annuels des sociétés concernées par l’opération ont déjà été approuvés;</w:t>
      </w:r>
    </w:p>
    <w:p>
      <w:pPr>
        <w:pStyle w:val="BodyText"/>
        <w:spacing w:line="218" w:lineRule="auto" w:before="96"/>
        <w:ind w:right="38"/>
      </w:pPr>
      <w:r>
        <w:rPr>
          <w:color w:val="231F20"/>
        </w:rPr>
        <w:t>6° les droits attribués par la nouvelle société aux associés ou actionnaires des sociétés appelées à être dissoutes, qui ont des droits spéciaux, ainsi qu’aux titulaires de titres autres que les parts ou actions, ou les mesures proposées à leur égard;</w:t>
      </w:r>
    </w:p>
    <w:p>
      <w:pPr>
        <w:pStyle w:val="BodyText"/>
        <w:spacing w:line="218" w:lineRule="auto" w:before="119"/>
        <w:ind w:right="0" w:firstLine="0"/>
        <w:jc w:val="left"/>
      </w:pPr>
      <w:r>
        <w:rPr/>
        <w:br w:type="column"/>
      </w:r>
      <w:r>
        <w:rPr>
          <w:color w:val="231F20"/>
        </w:rPr>
        <w:t>verdeeld door en onder de verantwoordelijkheid van hun bestuursor- ganen op het ogenblik van de fusie.</w:t>
      </w:r>
    </w:p>
    <w:p>
      <w:pPr>
        <w:pStyle w:val="BodyText"/>
        <w:spacing w:line="218" w:lineRule="auto" w:before="86"/>
      </w:pPr>
      <w:r>
        <w:rPr>
          <w:color w:val="231F20"/>
        </w:rPr>
        <w:t>Deze organen zorgen zo nodig voor de bijwerking van de registers van</w:t>
      </w:r>
      <w:r>
        <w:rPr>
          <w:color w:val="231F20"/>
          <w:spacing w:val="15"/>
        </w:rPr>
        <w:t> </w:t>
      </w:r>
      <w:r>
        <w:rPr>
          <w:color w:val="231F20"/>
        </w:rPr>
        <w:t>de</w:t>
      </w:r>
      <w:r>
        <w:rPr>
          <w:color w:val="231F20"/>
          <w:spacing w:val="15"/>
        </w:rPr>
        <w:t> </w:t>
      </w:r>
      <w:r>
        <w:rPr>
          <w:color w:val="231F20"/>
        </w:rPr>
        <w:t>aandelen</w:t>
      </w:r>
      <w:r>
        <w:rPr>
          <w:color w:val="231F20"/>
          <w:spacing w:val="16"/>
        </w:rPr>
        <w:t> </w:t>
      </w:r>
      <w:r>
        <w:rPr>
          <w:color w:val="231F20"/>
        </w:rPr>
        <w:t>op</w:t>
      </w:r>
      <w:r>
        <w:rPr>
          <w:color w:val="231F20"/>
          <w:spacing w:val="15"/>
        </w:rPr>
        <w:t> </w:t>
      </w:r>
      <w:r>
        <w:rPr>
          <w:color w:val="231F20"/>
        </w:rPr>
        <w:t>naam</w:t>
      </w:r>
      <w:r>
        <w:rPr>
          <w:color w:val="231F20"/>
          <w:spacing w:val="16"/>
        </w:rPr>
        <w:t> </w:t>
      </w:r>
      <w:r>
        <w:rPr>
          <w:color w:val="231F20"/>
        </w:rPr>
        <w:t>of</w:t>
      </w:r>
      <w:r>
        <w:rPr>
          <w:color w:val="231F20"/>
          <w:spacing w:val="15"/>
        </w:rPr>
        <w:t> </w:t>
      </w:r>
      <w:r>
        <w:rPr>
          <w:color w:val="231F20"/>
        </w:rPr>
        <w:t>andere</w:t>
      </w:r>
      <w:r>
        <w:rPr>
          <w:color w:val="231F20"/>
          <w:spacing w:val="15"/>
        </w:rPr>
        <w:t> </w:t>
      </w:r>
      <w:r>
        <w:rPr>
          <w:color w:val="231F20"/>
        </w:rPr>
        <w:t>registers.</w:t>
      </w:r>
    </w:p>
    <w:p>
      <w:pPr>
        <w:pStyle w:val="BodyText"/>
        <w:spacing w:line="218" w:lineRule="auto" w:before="85"/>
      </w:pPr>
      <w:r>
        <w:rPr>
          <w:color w:val="231F20"/>
        </w:rPr>
        <w:t>De kosten van deze verrichtingen komen ten laste van de overne- mende vennootschap.</w:t>
      </w:r>
    </w:p>
    <w:p>
      <w:pPr>
        <w:pStyle w:val="BodyText"/>
        <w:spacing w:line="218" w:lineRule="auto" w:before="96"/>
      </w:pPr>
      <w:r>
        <w:rPr>
          <w:color w:val="231F20"/>
        </w:rPr>
        <w:t>§ 2. Er vindt geen omwisseling plaats van aandelen van de overnemende vennootschap tegen aandelen van de overgenomen vennootschap die worden gehouden:</w:t>
      </w:r>
    </w:p>
    <w:p>
      <w:pPr>
        <w:pStyle w:val="BodyText"/>
        <w:spacing w:line="218" w:lineRule="auto" w:before="97"/>
      </w:pPr>
      <w:r>
        <w:rPr>
          <w:color w:val="231F20"/>
        </w:rPr>
        <w:t>1° door de overnemende vennootschap zelf of door een persoon die  in</w:t>
      </w:r>
      <w:r>
        <w:rPr>
          <w:color w:val="231F20"/>
          <w:spacing w:val="18"/>
        </w:rPr>
        <w:t> </w:t>
      </w:r>
      <w:r>
        <w:rPr>
          <w:color w:val="231F20"/>
        </w:rPr>
        <w:t>eigen</w:t>
      </w:r>
      <w:r>
        <w:rPr>
          <w:color w:val="231F20"/>
          <w:spacing w:val="18"/>
        </w:rPr>
        <w:t> </w:t>
      </w:r>
      <w:r>
        <w:rPr>
          <w:color w:val="231F20"/>
        </w:rPr>
        <w:t>naam,</w:t>
      </w:r>
      <w:r>
        <w:rPr>
          <w:color w:val="231F20"/>
          <w:spacing w:val="18"/>
        </w:rPr>
        <w:t> </w:t>
      </w:r>
      <w:r>
        <w:rPr>
          <w:color w:val="231F20"/>
        </w:rPr>
        <w:t>maar</w:t>
      </w:r>
      <w:r>
        <w:rPr>
          <w:color w:val="231F20"/>
          <w:spacing w:val="18"/>
        </w:rPr>
        <w:t> </w:t>
      </w:r>
      <w:r>
        <w:rPr>
          <w:color w:val="231F20"/>
        </w:rPr>
        <w:t>voor</w:t>
      </w:r>
      <w:r>
        <w:rPr>
          <w:color w:val="231F20"/>
          <w:spacing w:val="18"/>
        </w:rPr>
        <w:t> </w:t>
      </w:r>
      <w:r>
        <w:rPr>
          <w:color w:val="231F20"/>
        </w:rPr>
        <w:t>rekening</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vennootschap</w:t>
      </w:r>
      <w:r>
        <w:rPr>
          <w:color w:val="231F20"/>
          <w:spacing w:val="18"/>
        </w:rPr>
        <w:t> </w:t>
      </w:r>
      <w:r>
        <w:rPr>
          <w:color w:val="231F20"/>
        </w:rPr>
        <w:t>handelt;</w:t>
      </w:r>
      <w:r>
        <w:rPr>
          <w:color w:val="231F20"/>
          <w:spacing w:val="18"/>
        </w:rPr>
        <w:t> </w:t>
      </w:r>
      <w:r>
        <w:rPr>
          <w:color w:val="231F20"/>
        </w:rPr>
        <w:t>of</w:t>
      </w:r>
    </w:p>
    <w:p>
      <w:pPr>
        <w:pStyle w:val="BodyText"/>
        <w:spacing w:line="218" w:lineRule="auto" w:before="96"/>
      </w:pPr>
      <w:r>
        <w:rPr>
          <w:color w:val="231F20"/>
        </w:rPr>
        <w:t>2° door de overgenomen vennootschap zelf of door een persoon die in</w:t>
      </w:r>
      <w:r>
        <w:rPr>
          <w:color w:val="231F20"/>
          <w:spacing w:val="17"/>
        </w:rPr>
        <w:t> </w:t>
      </w:r>
      <w:r>
        <w:rPr>
          <w:color w:val="231F20"/>
        </w:rPr>
        <w:t>eigen</w:t>
      </w:r>
      <w:r>
        <w:rPr>
          <w:color w:val="231F20"/>
          <w:spacing w:val="18"/>
        </w:rPr>
        <w:t> </w:t>
      </w:r>
      <w:r>
        <w:rPr>
          <w:color w:val="231F20"/>
        </w:rPr>
        <w:t>naam,</w:t>
      </w:r>
      <w:r>
        <w:rPr>
          <w:color w:val="231F20"/>
          <w:spacing w:val="18"/>
        </w:rPr>
        <w:t> </w:t>
      </w:r>
      <w:r>
        <w:rPr>
          <w:color w:val="231F20"/>
        </w:rPr>
        <w:t>maar</w:t>
      </w:r>
      <w:r>
        <w:rPr>
          <w:color w:val="231F20"/>
          <w:spacing w:val="18"/>
        </w:rPr>
        <w:t> </w:t>
      </w:r>
      <w:r>
        <w:rPr>
          <w:color w:val="231F20"/>
        </w:rPr>
        <w:t>voor</w:t>
      </w:r>
      <w:r>
        <w:rPr>
          <w:color w:val="231F20"/>
          <w:spacing w:val="17"/>
        </w:rPr>
        <w:t> </w:t>
      </w:r>
      <w:r>
        <w:rPr>
          <w:color w:val="231F20"/>
        </w:rPr>
        <w:t>rekening</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vennootschap</w:t>
      </w:r>
      <w:r>
        <w:rPr>
          <w:color w:val="231F20"/>
          <w:spacing w:val="17"/>
        </w:rPr>
        <w:t> </w:t>
      </w:r>
      <w:r>
        <w:rPr>
          <w:color w:val="231F20"/>
        </w:rPr>
        <w:t>handelt.</w:t>
      </w:r>
    </w:p>
    <w:p>
      <w:pPr>
        <w:pStyle w:val="BodyText"/>
        <w:spacing w:line="218" w:lineRule="auto" w:before="96"/>
      </w:pPr>
      <w:r>
        <w:rPr>
          <w:color w:val="231F20"/>
        </w:rPr>
        <w:t>Art. 12:35. Het bestuursorgaan van de overgenomen vennootschap maakt de jaarrekening op over het tijdvak begrepen tussen de datum van de jaarafsluiting van het laatste boekjaar waarvoor de rekeningen zijn goedgekeurd en de in artikel 12:24, tweede lid, 5°, bedoelde datum overeenkomstig op haar toepasselijke bepalingen. In voorkomend  geval stelt het eveneens een jaarverslag op over dit tijdvak overeen- komstig de op haar toepasselijke bepalingen. Is er een</w:t>
      </w:r>
      <w:r>
        <w:rPr>
          <w:color w:val="231F20"/>
          <w:spacing w:val="24"/>
        </w:rPr>
        <w:t> </w:t>
      </w:r>
      <w:r>
        <w:rPr>
          <w:color w:val="231F20"/>
        </w:rPr>
        <w:t>commissaris aangesteld in de overgenomen vennootschap, stelt deze eveneens een verslag op over zijn controle over dit tijdvak overeenkomstig de</w:t>
      </w:r>
      <w:r>
        <w:rPr>
          <w:color w:val="231F20"/>
          <w:spacing w:val="34"/>
        </w:rPr>
        <w:t> </w:t>
      </w:r>
      <w:r>
        <w:rPr>
          <w:color w:val="231F20"/>
        </w:rPr>
        <w:t>op haar toepasselijke</w:t>
      </w:r>
      <w:r>
        <w:rPr>
          <w:color w:val="231F20"/>
          <w:spacing w:val="-12"/>
        </w:rPr>
        <w:t> </w:t>
      </w:r>
      <w:r>
        <w:rPr>
          <w:color w:val="231F20"/>
        </w:rPr>
        <w:t>bepalingen.</w:t>
      </w:r>
    </w:p>
    <w:p>
      <w:pPr>
        <w:pStyle w:val="BodyText"/>
        <w:spacing w:line="218" w:lineRule="auto" w:before="97"/>
      </w:pPr>
      <w:r>
        <w:rPr>
          <w:color w:val="231F20"/>
        </w:rPr>
        <w:t>Indien de fusie is voltrokken vóór de datum van goedkeuring van de jaarrekening, keurt de algemene vergadering van de overnemende vennootschap de jaarrekening goed overeenkomstig de op de overge- nomen vennootschap toepasselijke bepalingen, en beslist zij over de kwijting aan de bestuurs- en toezichtsorganen van de overgenomen vennootschap, onverminderd artikel 12:18.</w:t>
      </w:r>
    </w:p>
    <w:p>
      <w:pPr>
        <w:pStyle w:val="BodyText"/>
        <w:spacing w:line="218" w:lineRule="auto" w:before="96"/>
      </w:pPr>
      <w:r>
        <w:rPr>
          <w:color w:val="231F20"/>
        </w:rPr>
        <w:t>Afdeling 2. Procedure bij fusie door oprichting van een nieuwe vennootschap.</w:t>
      </w:r>
    </w:p>
    <w:p>
      <w:pPr>
        <w:pStyle w:val="BodyText"/>
        <w:spacing w:line="218" w:lineRule="auto" w:before="96"/>
      </w:pPr>
      <w:r>
        <w:rPr>
          <w:color w:val="231F20"/>
        </w:rPr>
        <w:t>Art. 12:36. § 1. Onder voorbehoud van de paragrafen 2 en 3 gelden voor de oprichting van de nieuwe vennootschap alle voorwaarden die dit wetboek voor de gekozen vennootschapsvorm voorschrijft. De artikelen 5:4, 6:5 en 7:3 zijn niet van toepassing.</w:t>
      </w:r>
    </w:p>
    <w:p>
      <w:pPr>
        <w:pStyle w:val="BodyText"/>
        <w:spacing w:line="218" w:lineRule="auto" w:before="97"/>
      </w:pPr>
      <w:r>
        <w:rPr>
          <w:color w:val="231F20"/>
        </w:rPr>
        <w:t>§ 2. Ongeacht de rechtsvorm van de nieuwe vennootschap moet haar oprichting op straffe van nietigheid bij authentieke akte worden vastgesteld. In die akte worden in voorkomend geval de conclusies van het in artikel 12:39 bedoelde verslag van de commissaris, de bedrijfs- revisor of de externe accountant overgenomen.</w:t>
      </w:r>
    </w:p>
    <w:p>
      <w:pPr>
        <w:pStyle w:val="BodyText"/>
        <w:spacing w:line="218" w:lineRule="auto" w:before="96"/>
      </w:pPr>
      <w:r>
        <w:rPr>
          <w:color w:val="231F20"/>
        </w:rPr>
        <w:t>§ 3. Indien een verslag werd opgesteld overeenkomstig artikel 12:39, zijn de artikelen 7:7, 7:12, 7:13, tweede lid, tweede volzin, en 7:14, eerste lid, 2° en 7°, niet van toepassing op de naamloze vennootschap en de Europese vennootschap.</w:t>
      </w:r>
    </w:p>
    <w:p>
      <w:pPr>
        <w:pStyle w:val="BodyText"/>
        <w:spacing w:line="218" w:lineRule="auto" w:before="96"/>
      </w:pPr>
      <w:r>
        <w:rPr>
          <w:color w:val="231F20"/>
        </w:rPr>
        <w:t>Indien een verslag werd opgesteld overeenkomstig artikel 12:39, zijn de artikelen 5:7, 5:9 en 5:12, eerste lid, 2° en 5°, niet van toepassing op de besloten vennootschap die door de fusie tot stand is gekomen.</w:t>
      </w:r>
    </w:p>
    <w:p>
      <w:pPr>
        <w:pStyle w:val="BodyText"/>
        <w:spacing w:line="218" w:lineRule="auto" w:before="96"/>
      </w:pPr>
      <w:r>
        <w:rPr>
          <w:color w:val="231F20"/>
        </w:rPr>
        <w:t>Indien een verslag werd opgesteld overeenkomstig artikel 12:39, zijn de artikelen 6:8, 6:10 en 6:13, eerste lid, 2° en 5°, niet van toepassing</w:t>
      </w:r>
      <w:r>
        <w:rPr>
          <w:color w:val="231F20"/>
          <w:spacing w:val="-15"/>
        </w:rPr>
        <w:t> </w:t>
      </w:r>
      <w:r>
        <w:rPr>
          <w:color w:val="231F20"/>
        </w:rPr>
        <w:t>op de coöperatieve vennootschap en de Europese coöperatieve vennoot- schap</w:t>
      </w:r>
      <w:r>
        <w:rPr>
          <w:color w:val="231F20"/>
          <w:spacing w:val="15"/>
        </w:rPr>
        <w:t> </w:t>
      </w:r>
      <w:r>
        <w:rPr>
          <w:color w:val="231F20"/>
        </w:rPr>
        <w:t>die</w:t>
      </w:r>
      <w:r>
        <w:rPr>
          <w:color w:val="231F20"/>
          <w:spacing w:val="16"/>
        </w:rPr>
        <w:t> </w:t>
      </w:r>
      <w:r>
        <w:rPr>
          <w:color w:val="231F20"/>
        </w:rPr>
        <w:t>door</w:t>
      </w:r>
      <w:r>
        <w:rPr>
          <w:color w:val="231F20"/>
          <w:spacing w:val="16"/>
        </w:rPr>
        <w:t> </w:t>
      </w:r>
      <w:r>
        <w:rPr>
          <w:color w:val="231F20"/>
        </w:rPr>
        <w:t>de</w:t>
      </w:r>
      <w:r>
        <w:rPr>
          <w:color w:val="231F20"/>
          <w:spacing w:val="16"/>
        </w:rPr>
        <w:t> </w:t>
      </w:r>
      <w:r>
        <w:rPr>
          <w:color w:val="231F20"/>
        </w:rPr>
        <w:t>fusie</w:t>
      </w:r>
      <w:r>
        <w:rPr>
          <w:color w:val="231F20"/>
          <w:spacing w:val="15"/>
        </w:rPr>
        <w:t> </w:t>
      </w:r>
      <w:r>
        <w:rPr>
          <w:color w:val="231F20"/>
        </w:rPr>
        <w:t>tot</w:t>
      </w:r>
      <w:r>
        <w:rPr>
          <w:color w:val="231F20"/>
          <w:spacing w:val="16"/>
        </w:rPr>
        <w:t> </w:t>
      </w:r>
      <w:r>
        <w:rPr>
          <w:color w:val="231F20"/>
        </w:rPr>
        <w:t>stand</w:t>
      </w:r>
      <w:r>
        <w:rPr>
          <w:color w:val="231F20"/>
          <w:spacing w:val="16"/>
        </w:rPr>
        <w:t> </w:t>
      </w:r>
      <w:r>
        <w:rPr>
          <w:color w:val="231F20"/>
        </w:rPr>
        <w:t>zijn</w:t>
      </w:r>
      <w:r>
        <w:rPr>
          <w:color w:val="231F20"/>
          <w:spacing w:val="16"/>
        </w:rPr>
        <w:t> </w:t>
      </w:r>
      <w:r>
        <w:rPr>
          <w:color w:val="231F20"/>
        </w:rPr>
        <w:t>gekomen.</w:t>
      </w:r>
    </w:p>
    <w:p>
      <w:pPr>
        <w:pStyle w:val="BodyText"/>
        <w:spacing w:line="218" w:lineRule="auto" w:before="97"/>
      </w:pPr>
      <w:r>
        <w:rPr>
          <w:color w:val="231F20"/>
        </w:rPr>
        <w:t>Art. 12:37. De bestuursorganen van de te fuseren vennootschappen stellen bij authentieke of bij onderhandse akte een fusievoorstel op.</w:t>
      </w:r>
    </w:p>
    <w:p>
      <w:pPr>
        <w:pStyle w:val="BodyText"/>
        <w:spacing w:before="7"/>
        <w:ind w:left="0" w:right="0" w:firstLine="0"/>
        <w:jc w:val="left"/>
        <w:rPr>
          <w:sz w:val="22"/>
        </w:rPr>
      </w:pPr>
    </w:p>
    <w:p>
      <w:pPr>
        <w:pStyle w:val="BodyText"/>
        <w:spacing w:before="1"/>
        <w:ind w:left="283" w:right="0" w:firstLine="0"/>
        <w:jc w:val="left"/>
      </w:pPr>
      <w:r>
        <w:rPr>
          <w:color w:val="231F20"/>
        </w:rPr>
        <w:t>Het fusievoorstel vermeldt ten minste:</w:t>
      </w:r>
    </w:p>
    <w:p>
      <w:pPr>
        <w:pStyle w:val="BodyText"/>
        <w:spacing w:line="218" w:lineRule="auto" w:before="92"/>
      </w:pPr>
      <w:r>
        <w:rPr>
          <w:color w:val="231F20"/>
        </w:rPr>
        <w:t>1° de rechtsvorm, de naam, het voorwerp en de zetel van de te ontbinden vennootschappen en van de nieuwe vennootschap;</w:t>
      </w:r>
    </w:p>
    <w:p>
      <w:pPr>
        <w:pStyle w:val="BodyText"/>
        <w:spacing w:line="218" w:lineRule="auto" w:before="96"/>
      </w:pPr>
      <w:r>
        <w:rPr>
          <w:color w:val="231F20"/>
        </w:rPr>
        <w:t>2° de ruilverhouding van de aandelen en, in voorkomend geval, het bedrag van de opleg in geld;</w:t>
      </w:r>
    </w:p>
    <w:p>
      <w:pPr>
        <w:pStyle w:val="BodyText"/>
        <w:spacing w:line="218" w:lineRule="auto" w:before="96"/>
      </w:pPr>
      <w:r>
        <w:rPr>
          <w:color w:val="231F20"/>
        </w:rPr>
        <w:t>3° de wijze waarop de aandelen in de nieuwe vennootschap worden uitgereikt;</w:t>
      </w:r>
    </w:p>
    <w:p>
      <w:pPr>
        <w:pStyle w:val="BodyText"/>
        <w:spacing w:line="218" w:lineRule="auto" w:before="97"/>
      </w:pPr>
      <w:r>
        <w:rPr>
          <w:color w:val="231F20"/>
        </w:rPr>
        <w:t>4° de datum vanaf wanneer deze aandelen recht geven op winstdeel- name, evenals elke bijzondere regeling betreffende dit recht;</w:t>
      </w:r>
    </w:p>
    <w:p>
      <w:pPr>
        <w:pStyle w:val="BodyText"/>
        <w:spacing w:before="10"/>
        <w:ind w:left="0" w:right="0" w:firstLine="0"/>
        <w:jc w:val="left"/>
        <w:rPr>
          <w:sz w:val="23"/>
        </w:rPr>
      </w:pPr>
    </w:p>
    <w:p>
      <w:pPr>
        <w:pStyle w:val="BodyText"/>
        <w:spacing w:line="218" w:lineRule="auto"/>
      </w:pPr>
      <w:r>
        <w:rPr>
          <w:color w:val="231F20"/>
        </w:rPr>
        <w:t>5° de datum vanaf wanneer de handelingen van de te ontbinden vennootschappen boekhoudkundig worden geacht te zijn verricht voor rekening van de nieuwe vennootschap, en die niet eerder mag worden geplaatst dan op de eerste dag na de afsluiting van het boekjaar waarvoor de jaarrekening reeds werd goedgekeurd van de bij de verrichting betrokken vennootschappen;</w:t>
      </w:r>
    </w:p>
    <w:p>
      <w:pPr>
        <w:pStyle w:val="BodyText"/>
        <w:spacing w:line="218" w:lineRule="auto" w:before="97"/>
      </w:pPr>
      <w:r>
        <w:rPr>
          <w:color w:val="231F20"/>
        </w:rPr>
        <w:t>6° de rechten die de nieuwe vennootschap toekent aan de vennoten of aandeelhouders van de te ontbinden vennootschappen die bijzon- dere rechten hebben, alsook aan de houders van andere effecten dan aandelen,</w:t>
      </w:r>
      <w:r>
        <w:rPr>
          <w:color w:val="231F20"/>
          <w:spacing w:val="15"/>
        </w:rPr>
        <w:t> </w:t>
      </w:r>
      <w:r>
        <w:rPr>
          <w:color w:val="231F20"/>
        </w:rPr>
        <w:t>of</w:t>
      </w:r>
      <w:r>
        <w:rPr>
          <w:color w:val="231F20"/>
          <w:spacing w:val="15"/>
        </w:rPr>
        <w:t> </w:t>
      </w:r>
      <w:r>
        <w:rPr>
          <w:color w:val="231F20"/>
        </w:rPr>
        <w:t>de</w:t>
      </w:r>
      <w:r>
        <w:rPr>
          <w:color w:val="231F20"/>
          <w:spacing w:val="15"/>
        </w:rPr>
        <w:t> </w:t>
      </w:r>
      <w:r>
        <w:rPr>
          <w:color w:val="231F20"/>
        </w:rPr>
        <w:t>jegens</w:t>
      </w:r>
      <w:r>
        <w:rPr>
          <w:color w:val="231F20"/>
          <w:spacing w:val="16"/>
        </w:rPr>
        <w:t> </w:t>
      </w:r>
      <w:r>
        <w:rPr>
          <w:color w:val="231F20"/>
        </w:rPr>
        <w:t>hen</w:t>
      </w:r>
      <w:r>
        <w:rPr>
          <w:color w:val="231F20"/>
          <w:spacing w:val="15"/>
        </w:rPr>
        <w:t> </w:t>
      </w:r>
      <w:r>
        <w:rPr>
          <w:color w:val="231F20"/>
        </w:rPr>
        <w:t>voorgestelde</w:t>
      </w:r>
      <w:r>
        <w:rPr>
          <w:color w:val="231F20"/>
          <w:spacing w:val="15"/>
        </w:rPr>
        <w:t> </w:t>
      </w:r>
      <w:r>
        <w:rPr>
          <w:color w:val="231F20"/>
        </w:rPr>
        <w:t>maatregelen;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568" from="298.170502pt,64.473pt" to="298.170502pt,812.819pt" stroked="true" strokeweight=".533pt" strokecolor="#231f20">
            <v:stroke dashstyle="solid"/>
            <w10:wrap type="none"/>
          </v:line>
        </w:pict>
      </w:r>
      <w:bookmarkStart w:name="_bookmark231" w:id="237"/>
      <w:bookmarkEnd w:id="237"/>
      <w:r>
        <w:rPr/>
      </w:r>
      <w:r>
        <w:rPr>
          <w:color w:val="231F20"/>
        </w:rPr>
        <w:t>7° les émoluments attribués aux commissaires ou aux réviseurs d’entreprises ou experts-comptables externes chargés de la rédaction du</w:t>
      </w:r>
      <w:r>
        <w:rPr>
          <w:color w:val="231F20"/>
          <w:spacing w:val="14"/>
        </w:rPr>
        <w:t> </w:t>
      </w:r>
      <w:r>
        <w:rPr>
          <w:color w:val="231F20"/>
        </w:rPr>
        <w:t>rapport</w:t>
      </w:r>
      <w:r>
        <w:rPr>
          <w:color w:val="231F20"/>
          <w:spacing w:val="15"/>
        </w:rPr>
        <w:t> </w:t>
      </w:r>
      <w:r>
        <w:rPr>
          <w:color w:val="231F20"/>
        </w:rPr>
        <w:t>prévu</w:t>
      </w:r>
      <w:r>
        <w:rPr>
          <w:color w:val="231F20"/>
          <w:spacing w:val="15"/>
        </w:rPr>
        <w:t> </w:t>
      </w:r>
      <w:r>
        <w:rPr>
          <w:color w:val="231F20"/>
        </w:rPr>
        <w:t>à</w:t>
      </w:r>
      <w:r>
        <w:rPr>
          <w:color w:val="231F20"/>
          <w:spacing w:val="15"/>
        </w:rPr>
        <w:t> </w:t>
      </w:r>
      <w:r>
        <w:rPr>
          <w:color w:val="231F20"/>
        </w:rPr>
        <w:t>l’article</w:t>
      </w:r>
      <w:r>
        <w:rPr>
          <w:color w:val="231F20"/>
          <w:spacing w:val="15"/>
        </w:rPr>
        <w:t> </w:t>
      </w:r>
      <w:r>
        <w:rPr>
          <w:color w:val="231F20"/>
        </w:rPr>
        <w:t>12:39;</w:t>
      </w:r>
    </w:p>
    <w:p>
      <w:pPr>
        <w:pStyle w:val="BodyText"/>
        <w:spacing w:line="218" w:lineRule="auto" w:before="117"/>
        <w:ind w:right="39"/>
      </w:pPr>
      <w:r>
        <w:rPr>
          <w:color w:val="231F20"/>
        </w:rPr>
        <w:t>8° tout avantage particulier attribué aux membres des organes d’administration des sociétés appelées à être dissoutes.</w:t>
      </w:r>
    </w:p>
    <w:p>
      <w:pPr>
        <w:pStyle w:val="BodyText"/>
        <w:spacing w:line="218" w:lineRule="auto" w:before="118"/>
        <w:ind w:right="38"/>
      </w:pPr>
      <w:r>
        <w:rPr>
          <w:color w:val="231F20"/>
        </w:rPr>
        <w:t>Le projet de fusion doit être déposé par chaque société concernée par la fusion au </w:t>
      </w:r>
      <w:r>
        <w:rPr>
          <w:color w:val="231F20"/>
          <w:spacing w:val="-3"/>
        </w:rPr>
        <w:t>greffe </w:t>
      </w:r>
      <w:r>
        <w:rPr>
          <w:color w:val="231F20"/>
        </w:rPr>
        <w:t>du tribunal de l’entreprise de son siège et publié par extrait ou mention conformément respectivement aux articles 2:8 et 2:14, 1° ou 4°. Dans ce dernier cas, la mention comporte un lien hypertexte</w:t>
      </w:r>
      <w:r>
        <w:rPr>
          <w:color w:val="231F20"/>
          <w:spacing w:val="-3"/>
        </w:rPr>
        <w:t> </w:t>
      </w:r>
      <w:r>
        <w:rPr>
          <w:color w:val="231F20"/>
        </w:rPr>
        <w:t>vers</w:t>
      </w:r>
      <w:r>
        <w:rPr>
          <w:color w:val="231F20"/>
          <w:spacing w:val="-2"/>
        </w:rPr>
        <w:t> </w:t>
      </w:r>
      <w:r>
        <w:rPr>
          <w:color w:val="231F20"/>
        </w:rPr>
        <w:t>le</w:t>
      </w:r>
      <w:r>
        <w:rPr>
          <w:color w:val="231F20"/>
          <w:spacing w:val="-2"/>
        </w:rPr>
        <w:t> </w:t>
      </w:r>
      <w:r>
        <w:rPr>
          <w:color w:val="231F20"/>
        </w:rPr>
        <w:t>site</w:t>
      </w:r>
      <w:r>
        <w:rPr>
          <w:color w:val="231F20"/>
          <w:spacing w:val="-3"/>
        </w:rPr>
        <w:t> </w:t>
      </w:r>
      <w:r>
        <w:rPr>
          <w:color w:val="231F20"/>
        </w:rPr>
        <w:t>internet</w:t>
      </w:r>
      <w:r>
        <w:rPr>
          <w:color w:val="231F20"/>
          <w:spacing w:val="-2"/>
        </w:rPr>
        <w:t> </w:t>
      </w:r>
      <w:r>
        <w:rPr>
          <w:color w:val="231F20"/>
        </w:rPr>
        <w:t>de</w:t>
      </w:r>
      <w:r>
        <w:rPr>
          <w:color w:val="231F20"/>
          <w:spacing w:val="-2"/>
        </w:rPr>
        <w:t> </w:t>
      </w:r>
      <w:r>
        <w:rPr>
          <w:color w:val="231F20"/>
        </w:rPr>
        <w:t>la</w:t>
      </w:r>
      <w:r>
        <w:rPr>
          <w:color w:val="231F20"/>
          <w:spacing w:val="-3"/>
        </w:rPr>
        <w:t> </w:t>
      </w:r>
      <w:r>
        <w:rPr>
          <w:color w:val="231F20"/>
        </w:rPr>
        <w:t>société.</w:t>
      </w:r>
      <w:r>
        <w:rPr>
          <w:color w:val="231F20"/>
          <w:spacing w:val="-2"/>
        </w:rPr>
        <w:t> </w:t>
      </w:r>
      <w:r>
        <w:rPr>
          <w:color w:val="231F20"/>
        </w:rPr>
        <w:t>Le</w:t>
      </w:r>
      <w:r>
        <w:rPr>
          <w:color w:val="231F20"/>
          <w:spacing w:val="-2"/>
        </w:rPr>
        <w:t> </w:t>
      </w:r>
      <w:r>
        <w:rPr>
          <w:color w:val="231F20"/>
        </w:rPr>
        <w:t>dépôt</w:t>
      </w:r>
      <w:r>
        <w:rPr>
          <w:color w:val="231F20"/>
          <w:spacing w:val="-3"/>
        </w:rPr>
        <w:t> </w:t>
      </w:r>
      <w:r>
        <w:rPr>
          <w:color w:val="231F20"/>
        </w:rPr>
        <w:t>a</w:t>
      </w:r>
      <w:r>
        <w:rPr>
          <w:color w:val="231F20"/>
          <w:spacing w:val="-2"/>
        </w:rPr>
        <w:t> </w:t>
      </w:r>
      <w:r>
        <w:rPr>
          <w:color w:val="231F20"/>
        </w:rPr>
        <w:t>lieu</w:t>
      </w:r>
      <w:r>
        <w:rPr>
          <w:color w:val="231F20"/>
          <w:spacing w:val="-2"/>
        </w:rPr>
        <w:t> </w:t>
      </w:r>
      <w:r>
        <w:rPr>
          <w:color w:val="231F20"/>
        </w:rPr>
        <w:t>six</w:t>
      </w:r>
      <w:r>
        <w:rPr>
          <w:color w:val="231F20"/>
          <w:spacing w:val="-3"/>
        </w:rPr>
        <w:t> </w:t>
      </w:r>
      <w:r>
        <w:rPr>
          <w:color w:val="231F20"/>
        </w:rPr>
        <w:t>semaines au</w:t>
      </w:r>
      <w:r>
        <w:rPr>
          <w:color w:val="231F20"/>
          <w:spacing w:val="14"/>
        </w:rPr>
        <w:t> </w:t>
      </w:r>
      <w:r>
        <w:rPr>
          <w:color w:val="231F20"/>
        </w:rPr>
        <w:t>moins</w:t>
      </w:r>
      <w:r>
        <w:rPr>
          <w:color w:val="231F20"/>
          <w:spacing w:val="14"/>
        </w:rPr>
        <w:t> </w:t>
      </w:r>
      <w:r>
        <w:rPr>
          <w:color w:val="231F20"/>
        </w:rPr>
        <w:t>avant</w:t>
      </w:r>
      <w:r>
        <w:rPr>
          <w:color w:val="231F20"/>
          <w:spacing w:val="15"/>
        </w:rPr>
        <w:t> </w:t>
      </w:r>
      <w:r>
        <w:rPr>
          <w:color w:val="231F20"/>
        </w:rPr>
        <w:t>la</w:t>
      </w:r>
      <w:r>
        <w:rPr>
          <w:color w:val="231F20"/>
          <w:spacing w:val="14"/>
        </w:rPr>
        <w:t> </w:t>
      </w:r>
      <w:r>
        <w:rPr>
          <w:color w:val="231F20"/>
        </w:rPr>
        <w:t>décision</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mentionnée</w:t>
      </w:r>
      <w:r>
        <w:rPr>
          <w:color w:val="231F20"/>
          <w:spacing w:val="14"/>
        </w:rPr>
        <w:t> </w:t>
      </w:r>
      <w:r>
        <w:rPr>
          <w:color w:val="231F20"/>
        </w:rPr>
        <w:t>à</w:t>
      </w:r>
      <w:r>
        <w:rPr>
          <w:color w:val="231F20"/>
          <w:spacing w:val="14"/>
        </w:rPr>
        <w:t> </w:t>
      </w:r>
      <w:r>
        <w:rPr>
          <w:color w:val="231F20"/>
        </w:rPr>
        <w:t>l’article</w:t>
      </w:r>
      <w:r>
        <w:rPr>
          <w:color w:val="231F20"/>
          <w:spacing w:val="15"/>
        </w:rPr>
        <w:t> </w:t>
      </w:r>
      <w:r>
        <w:rPr>
          <w:color w:val="231F20"/>
        </w:rPr>
        <w:t>12:43.</w:t>
      </w:r>
    </w:p>
    <w:p>
      <w:pPr>
        <w:pStyle w:val="BodyText"/>
        <w:spacing w:before="9"/>
        <w:ind w:left="0" w:right="0" w:firstLine="0"/>
        <w:jc w:val="left"/>
        <w:rPr>
          <w:sz w:val="25"/>
        </w:rPr>
      </w:pPr>
    </w:p>
    <w:p>
      <w:pPr>
        <w:pStyle w:val="BodyText"/>
        <w:spacing w:line="218" w:lineRule="auto"/>
        <w:ind w:right="38"/>
      </w:pPr>
      <w:r>
        <w:rPr>
          <w:color w:val="231F20"/>
        </w:rPr>
        <w:t>Art. 12:38. Dans chaque société, l’organe d’administration établit un rapport écrit et circonstancié qui expose la situation patrimoniale des sociétés appelées à être dissoutes et qui explique et justifie, d’un point de vue juridique et économique, l’opportunité, les conditions, les modalités et les conséquences de la fusion, les méthodes suivies pour la détermination du rapport d’échange des actions ou des parts, l’impor- tance relative qui est donnée à ces méthodes, l’évaluation à laquelle chaque méthode parvient, les difficultés éventuellement rencontrées, et le rapport d’échange proposé.</w:t>
      </w:r>
    </w:p>
    <w:p>
      <w:pPr>
        <w:pStyle w:val="BodyText"/>
        <w:spacing w:before="6"/>
        <w:ind w:left="0" w:right="0" w:firstLine="0"/>
        <w:jc w:val="left"/>
        <w:rPr>
          <w:sz w:val="24"/>
        </w:rPr>
      </w:pPr>
    </w:p>
    <w:p>
      <w:pPr>
        <w:pStyle w:val="BodyText"/>
        <w:spacing w:line="218" w:lineRule="auto" w:before="1"/>
        <w:ind w:right="38"/>
      </w:pPr>
      <w:r>
        <w:rPr>
          <w:color w:val="231F20"/>
        </w:rPr>
        <w:t>L’alinéa 1</w:t>
      </w:r>
      <w:r>
        <w:rPr>
          <w:color w:val="231F20"/>
          <w:position w:val="7"/>
          <w:sz w:val="11"/>
        </w:rPr>
        <w:t>er </w:t>
      </w:r>
      <w:r>
        <w:rPr>
          <w:color w:val="231F20"/>
        </w:rPr>
        <w:t>n’est pas applicable si tous les associés ou actionnaires et les titulaires d’autres titres conférant le droit de vote de chacune des sociétés participant à la fusion en ont décidé ainsi.</w:t>
      </w:r>
    </w:p>
    <w:p>
      <w:pPr>
        <w:pStyle w:val="BodyText"/>
        <w:spacing w:line="218" w:lineRule="auto" w:before="117"/>
        <w:ind w:right="38"/>
      </w:pPr>
      <w:r>
        <w:rPr>
          <w:color w:val="231F20"/>
        </w:rPr>
        <w:t>Art.</w:t>
      </w:r>
      <w:r>
        <w:rPr>
          <w:color w:val="231F20"/>
          <w:spacing w:val="-4"/>
        </w:rPr>
        <w:t> </w:t>
      </w:r>
      <w:r>
        <w:rPr>
          <w:color w:val="231F20"/>
        </w:rPr>
        <w:t>12:39.</w:t>
      </w:r>
      <w:r>
        <w:rPr>
          <w:color w:val="231F20"/>
          <w:spacing w:val="-3"/>
        </w:rPr>
        <w:t> </w:t>
      </w:r>
      <w:r>
        <w:rPr>
          <w:color w:val="231F20"/>
        </w:rPr>
        <w:t>Sans</w:t>
      </w:r>
      <w:r>
        <w:rPr>
          <w:color w:val="231F20"/>
          <w:spacing w:val="-4"/>
        </w:rPr>
        <w:t> </w:t>
      </w:r>
      <w:r>
        <w:rPr>
          <w:color w:val="231F20"/>
        </w:rPr>
        <w:t>préjudice</w:t>
      </w:r>
      <w:r>
        <w:rPr>
          <w:color w:val="231F20"/>
          <w:spacing w:val="-3"/>
        </w:rPr>
        <w:t> </w:t>
      </w:r>
      <w:r>
        <w:rPr>
          <w:color w:val="231F20"/>
        </w:rPr>
        <w:t>de</w:t>
      </w:r>
      <w:r>
        <w:rPr>
          <w:color w:val="231F20"/>
          <w:spacing w:val="-4"/>
        </w:rPr>
        <w:t> </w:t>
      </w:r>
      <w:r>
        <w:rPr>
          <w:color w:val="231F20"/>
        </w:rPr>
        <w:t>l’article</w:t>
      </w:r>
      <w:r>
        <w:rPr>
          <w:color w:val="231F20"/>
          <w:spacing w:val="-3"/>
        </w:rPr>
        <w:t> </w:t>
      </w:r>
      <w:r>
        <w:rPr>
          <w:color w:val="231F20"/>
        </w:rPr>
        <w:t>12:36,</w:t>
      </w:r>
      <w:r>
        <w:rPr>
          <w:color w:val="231F20"/>
          <w:spacing w:val="-3"/>
        </w:rPr>
        <w:t> </w:t>
      </w:r>
      <w:r>
        <w:rPr>
          <w:color w:val="231F20"/>
        </w:rPr>
        <w:t>§</w:t>
      </w:r>
      <w:r>
        <w:rPr>
          <w:color w:val="231F20"/>
          <w:spacing w:val="-4"/>
        </w:rPr>
        <w:t> </w:t>
      </w:r>
      <w:r>
        <w:rPr>
          <w:color w:val="231F20"/>
        </w:rPr>
        <w:t>3,</w:t>
      </w:r>
      <w:r>
        <w:rPr>
          <w:color w:val="231F20"/>
          <w:spacing w:val="-3"/>
        </w:rPr>
        <w:t> </w:t>
      </w:r>
      <w:r>
        <w:rPr>
          <w:color w:val="231F20"/>
        </w:rPr>
        <w:t>un</w:t>
      </w:r>
      <w:r>
        <w:rPr>
          <w:color w:val="231F20"/>
          <w:spacing w:val="-4"/>
        </w:rPr>
        <w:t> </w:t>
      </w:r>
      <w:r>
        <w:rPr>
          <w:color w:val="231F20"/>
        </w:rPr>
        <w:t>rapport</w:t>
      </w:r>
      <w:r>
        <w:rPr>
          <w:color w:val="231F20"/>
          <w:spacing w:val="-3"/>
        </w:rPr>
        <w:t> </w:t>
      </w:r>
      <w:r>
        <w:rPr>
          <w:color w:val="231F20"/>
        </w:rPr>
        <w:t>écrit</w:t>
      </w:r>
      <w:r>
        <w:rPr>
          <w:color w:val="231F20"/>
          <w:spacing w:val="-3"/>
        </w:rPr>
        <w:t> </w:t>
      </w:r>
      <w:r>
        <w:rPr>
          <w:color w:val="231F20"/>
        </w:rPr>
        <w:t>sur</w:t>
      </w:r>
      <w:r>
        <w:rPr>
          <w:color w:val="231F20"/>
          <w:spacing w:val="-4"/>
        </w:rPr>
        <w:t> </w:t>
      </w:r>
      <w:r>
        <w:rPr>
          <w:color w:val="231F20"/>
        </w:rPr>
        <w:t>le projet de fusion est établi dans chaque société, soit par le commissaire, soit, lorsqu’il n’y a pas de commissaire, par un réviseur d’entreprises ou un</w:t>
      </w:r>
      <w:r>
        <w:rPr>
          <w:color w:val="231F20"/>
          <w:spacing w:val="17"/>
        </w:rPr>
        <w:t> </w:t>
      </w:r>
      <w:r>
        <w:rPr>
          <w:color w:val="231F20"/>
        </w:rPr>
        <w:t>expert-comptable</w:t>
      </w:r>
      <w:r>
        <w:rPr>
          <w:color w:val="231F20"/>
          <w:spacing w:val="17"/>
        </w:rPr>
        <w:t> </w:t>
      </w:r>
      <w:r>
        <w:rPr>
          <w:color w:val="231F20"/>
        </w:rPr>
        <w:t>externe</w:t>
      </w:r>
      <w:r>
        <w:rPr>
          <w:color w:val="231F20"/>
          <w:spacing w:val="18"/>
        </w:rPr>
        <w:t> </w:t>
      </w:r>
      <w:r>
        <w:rPr>
          <w:color w:val="231F20"/>
        </w:rPr>
        <w:t>désigné</w:t>
      </w:r>
      <w:r>
        <w:rPr>
          <w:color w:val="231F20"/>
          <w:spacing w:val="17"/>
        </w:rPr>
        <w:t> </w:t>
      </w:r>
      <w:r>
        <w:rPr>
          <w:color w:val="231F20"/>
        </w:rPr>
        <w:t>par</w:t>
      </w:r>
      <w:r>
        <w:rPr>
          <w:color w:val="231F20"/>
          <w:spacing w:val="18"/>
        </w:rPr>
        <w:t> </w:t>
      </w:r>
      <w:r>
        <w:rPr>
          <w:color w:val="231F20"/>
        </w:rPr>
        <w:t>l’organe</w:t>
      </w:r>
      <w:r>
        <w:rPr>
          <w:color w:val="231F20"/>
          <w:spacing w:val="17"/>
        </w:rPr>
        <w:t> </w:t>
      </w:r>
      <w:r>
        <w:rPr>
          <w:color w:val="231F20"/>
        </w:rPr>
        <w:t>d’administration.</w:t>
      </w:r>
    </w:p>
    <w:p>
      <w:pPr>
        <w:pStyle w:val="BodyText"/>
        <w:spacing w:line="218" w:lineRule="auto" w:before="117"/>
        <w:ind w:right="38"/>
      </w:pPr>
      <w:r>
        <w:rPr>
          <w:color w:val="231F20"/>
        </w:rPr>
        <w:t>Le commissaire ou le réviseur d’entreprises ou expert-comptable externe désigné doit notamment déclarer si, à son avis, le rapport d’échange est ou non pertinent et raisonnable.</w:t>
      </w:r>
    </w:p>
    <w:p>
      <w:pPr>
        <w:pStyle w:val="BodyText"/>
        <w:spacing w:before="104"/>
        <w:ind w:left="283" w:right="0" w:firstLine="0"/>
        <w:jc w:val="left"/>
      </w:pPr>
      <w:r>
        <w:rPr>
          <w:color w:val="231F20"/>
        </w:rPr>
        <w:t>Cette déclaration doit au moins:</w:t>
      </w:r>
    </w:p>
    <w:p>
      <w:pPr>
        <w:pStyle w:val="BodyText"/>
        <w:spacing w:line="218" w:lineRule="auto" w:before="114"/>
        <w:ind w:right="39"/>
      </w:pPr>
      <w:r>
        <w:rPr>
          <w:color w:val="231F20"/>
        </w:rPr>
        <w:t>1° indiquer les méthodes suivies pour la détermination du rapport d’échange proposé;</w:t>
      </w:r>
    </w:p>
    <w:p>
      <w:pPr>
        <w:pStyle w:val="BodyText"/>
        <w:spacing w:line="218" w:lineRule="auto" w:before="117"/>
        <w:ind w:right="38"/>
      </w:pPr>
      <w:r>
        <w:rPr>
          <w:color w:val="231F20"/>
        </w:rPr>
        <w:t>2° indiquer si ces méthodes sont appropriées en l’espèce et mention- ner l’évaluation à laquelle chacune de ces méthodes conduit, un avis étant donné sur l’importance relative donnée à ces méthodes dans la détermination de la valeur retenue.</w:t>
      </w:r>
    </w:p>
    <w:p>
      <w:pPr>
        <w:pStyle w:val="BodyText"/>
        <w:spacing w:line="218" w:lineRule="auto" w:before="118"/>
        <w:ind w:right="38"/>
      </w:pPr>
      <w:r>
        <w:rPr>
          <w:color w:val="231F20"/>
        </w:rPr>
        <w:t>Le</w:t>
      </w:r>
      <w:r>
        <w:rPr>
          <w:color w:val="231F20"/>
          <w:spacing w:val="-4"/>
        </w:rPr>
        <w:t> </w:t>
      </w:r>
      <w:r>
        <w:rPr>
          <w:color w:val="231F20"/>
        </w:rPr>
        <w:t>rapport</w:t>
      </w:r>
      <w:r>
        <w:rPr>
          <w:color w:val="231F20"/>
          <w:spacing w:val="-4"/>
        </w:rPr>
        <w:t> </w:t>
      </w:r>
      <w:r>
        <w:rPr>
          <w:color w:val="231F20"/>
        </w:rPr>
        <w:t>indique</w:t>
      </w:r>
      <w:r>
        <w:rPr>
          <w:color w:val="231F20"/>
          <w:spacing w:val="-3"/>
        </w:rPr>
        <w:t> </w:t>
      </w:r>
      <w:r>
        <w:rPr>
          <w:color w:val="231F20"/>
        </w:rPr>
        <w:t>en</w:t>
      </w:r>
      <w:r>
        <w:rPr>
          <w:color w:val="231F20"/>
          <w:spacing w:val="-4"/>
        </w:rPr>
        <w:t> </w:t>
      </w:r>
      <w:r>
        <w:rPr>
          <w:color w:val="231F20"/>
        </w:rPr>
        <w:t>outre,</w:t>
      </w:r>
      <w:r>
        <w:rPr>
          <w:color w:val="231F20"/>
          <w:spacing w:val="-3"/>
        </w:rPr>
        <w:t> </w:t>
      </w:r>
      <w:r>
        <w:rPr>
          <w:color w:val="231F20"/>
        </w:rPr>
        <w:t>le</w:t>
      </w:r>
      <w:r>
        <w:rPr>
          <w:color w:val="231F20"/>
          <w:spacing w:val="-4"/>
        </w:rPr>
        <w:t> </w:t>
      </w:r>
      <w:r>
        <w:rPr>
          <w:color w:val="231F20"/>
        </w:rPr>
        <w:t>cas</w:t>
      </w:r>
      <w:r>
        <w:rPr>
          <w:color w:val="231F20"/>
          <w:spacing w:val="-3"/>
        </w:rPr>
        <w:t> </w:t>
      </w:r>
      <w:r>
        <w:rPr>
          <w:color w:val="231F20"/>
        </w:rPr>
        <w:t>échéant,</w:t>
      </w:r>
      <w:r>
        <w:rPr>
          <w:color w:val="231F20"/>
          <w:spacing w:val="-4"/>
        </w:rPr>
        <w:t> </w:t>
      </w:r>
      <w:r>
        <w:rPr>
          <w:color w:val="231F20"/>
        </w:rPr>
        <w:t>les</w:t>
      </w:r>
      <w:r>
        <w:rPr>
          <w:color w:val="231F20"/>
          <w:spacing w:val="-3"/>
        </w:rPr>
        <w:t> difficultés</w:t>
      </w:r>
      <w:r>
        <w:rPr>
          <w:color w:val="231F20"/>
          <w:spacing w:val="-4"/>
        </w:rPr>
        <w:t> </w:t>
      </w:r>
      <w:r>
        <w:rPr>
          <w:color w:val="231F20"/>
        </w:rPr>
        <w:t>particulières d’évaluation.</w:t>
      </w:r>
    </w:p>
    <w:p>
      <w:pPr>
        <w:pStyle w:val="BodyText"/>
        <w:spacing w:line="218" w:lineRule="auto" w:before="117"/>
        <w:ind w:right="38"/>
      </w:pPr>
      <w:r>
        <w:rPr>
          <w:color w:val="231F20"/>
        </w:rPr>
        <w:t>Le commissaire ou le réviseur d’entreprises ou l’expert-comptable externe désigné peut prendre connaissance sans déplacement de tout document utile à l’accomplissement de sa mission. Il peut obtenir auprès des sociétés qui fusionnent toutes les explications ou informa- tions et procéder à toutes les vérifications qui lui paraissent</w:t>
      </w:r>
      <w:r>
        <w:rPr>
          <w:color w:val="231F20"/>
          <w:spacing w:val="-20"/>
        </w:rPr>
        <w:t> </w:t>
      </w:r>
      <w:r>
        <w:rPr>
          <w:color w:val="231F20"/>
        </w:rPr>
        <w:t>nécessaires.</w:t>
      </w:r>
    </w:p>
    <w:p>
      <w:pPr>
        <w:pStyle w:val="BodyText"/>
        <w:spacing w:line="218" w:lineRule="auto" w:before="118"/>
        <w:ind w:right="38"/>
      </w:pPr>
      <w:r>
        <w:rPr>
          <w:color w:val="231F20"/>
        </w:rPr>
        <w:t>Le présent article n’est pas applicable si tous les associés ou actionnaires et les titulaires d’autres titres conférant le droit de vote de chacune des sociétés participant à la fusion en ont décidé ainsi.</w:t>
      </w:r>
    </w:p>
    <w:p>
      <w:pPr>
        <w:pStyle w:val="BodyText"/>
        <w:spacing w:line="218" w:lineRule="auto" w:before="128"/>
        <w:ind w:right="38"/>
      </w:pPr>
      <w:r>
        <w:rPr>
          <w:color w:val="231F20"/>
        </w:rPr>
        <w:t>Art. 12:40. Les organes d’administration de chacune des sociétés concernées par la fusion sont tenus d’informer l’assemblée générale de leur société ainsi que les organes d’administration de toutes les autres sociétés concernées par la fusion de toute modification importante du patrimoine actif et passif intervenue entre la date de l’établissement du projet de fusion et la date de la dernière assemblée générale qui se prononce sur la fusion.</w:t>
      </w:r>
    </w:p>
    <w:p>
      <w:pPr>
        <w:pStyle w:val="BodyText"/>
        <w:spacing w:line="218" w:lineRule="auto" w:before="128"/>
        <w:ind w:right="38"/>
      </w:pPr>
      <w:r>
        <w:rPr>
          <w:color w:val="231F20"/>
        </w:rPr>
        <w:t>Les organes d’administration qui ont reçu cette information sont tenus de la communiquer à l’assemblée générale de leur société.</w:t>
      </w:r>
    </w:p>
    <w:p>
      <w:pPr>
        <w:pStyle w:val="BodyText"/>
        <w:spacing w:before="5"/>
        <w:ind w:left="0" w:right="0" w:firstLine="0"/>
        <w:jc w:val="left"/>
        <w:rPr>
          <w:sz w:val="25"/>
        </w:rPr>
      </w:pPr>
    </w:p>
    <w:p>
      <w:pPr>
        <w:pStyle w:val="BodyText"/>
        <w:spacing w:line="218" w:lineRule="auto"/>
        <w:ind w:right="38"/>
      </w:pPr>
      <w:r>
        <w:rPr>
          <w:color w:val="231F20"/>
        </w:rPr>
        <w:t>L’alinéa 1</w:t>
      </w:r>
      <w:r>
        <w:rPr>
          <w:color w:val="231F20"/>
          <w:position w:val="7"/>
          <w:sz w:val="11"/>
        </w:rPr>
        <w:t>er </w:t>
      </w:r>
      <w:r>
        <w:rPr>
          <w:color w:val="231F20"/>
        </w:rPr>
        <w:t>n’est pas applicable si tous les associés ou actionnaires et les titulaires d’autres titres conférant le droit de vote de chacune des sociétés participant à la fusion en ont décidé ainsi.</w:t>
      </w:r>
    </w:p>
    <w:p>
      <w:pPr>
        <w:pStyle w:val="BodyText"/>
        <w:spacing w:line="218" w:lineRule="auto" w:before="113"/>
        <w:ind w:right="38"/>
      </w:pPr>
      <w:r>
        <w:rPr>
          <w:color w:val="231F20"/>
        </w:rPr>
        <w:t>Art. 12:41. § 1</w:t>
      </w:r>
      <w:r>
        <w:rPr>
          <w:color w:val="231F20"/>
          <w:position w:val="7"/>
          <w:sz w:val="11"/>
        </w:rPr>
        <w:t>er</w:t>
      </w:r>
      <w:r>
        <w:rPr>
          <w:color w:val="231F20"/>
        </w:rPr>
        <w:t>. Dans chaque société, l’ordre du jour de l’assemblée générale</w:t>
      </w:r>
      <w:r>
        <w:rPr>
          <w:color w:val="231F20"/>
          <w:spacing w:val="-4"/>
        </w:rPr>
        <w:t> </w:t>
      </w:r>
      <w:r>
        <w:rPr>
          <w:color w:val="231F20"/>
        </w:rPr>
        <w:t>appelée</w:t>
      </w:r>
      <w:r>
        <w:rPr>
          <w:color w:val="231F20"/>
          <w:spacing w:val="-4"/>
        </w:rPr>
        <w:t> </w:t>
      </w:r>
      <w:r>
        <w:rPr>
          <w:color w:val="231F20"/>
        </w:rPr>
        <w:t>à</w:t>
      </w:r>
      <w:r>
        <w:rPr>
          <w:color w:val="231F20"/>
          <w:spacing w:val="-4"/>
        </w:rPr>
        <w:t> </w:t>
      </w:r>
      <w:r>
        <w:rPr>
          <w:color w:val="231F20"/>
        </w:rPr>
        <w:t>se</w:t>
      </w:r>
      <w:r>
        <w:rPr>
          <w:color w:val="231F20"/>
          <w:spacing w:val="-4"/>
        </w:rPr>
        <w:t> </w:t>
      </w:r>
      <w:r>
        <w:rPr>
          <w:color w:val="231F20"/>
        </w:rPr>
        <w:t>prononcer</w:t>
      </w:r>
      <w:r>
        <w:rPr>
          <w:color w:val="231F20"/>
          <w:spacing w:val="-3"/>
        </w:rPr>
        <w:t> </w:t>
      </w:r>
      <w:r>
        <w:rPr>
          <w:color w:val="231F20"/>
        </w:rPr>
        <w:t>sur</w:t>
      </w:r>
      <w:r>
        <w:rPr>
          <w:color w:val="231F20"/>
          <w:spacing w:val="-4"/>
        </w:rPr>
        <w:t> </w:t>
      </w:r>
      <w:r>
        <w:rPr>
          <w:color w:val="231F20"/>
        </w:rPr>
        <w:t>le</w:t>
      </w:r>
      <w:r>
        <w:rPr>
          <w:color w:val="231F20"/>
          <w:spacing w:val="-4"/>
        </w:rPr>
        <w:t> </w:t>
      </w:r>
      <w:r>
        <w:rPr>
          <w:color w:val="231F20"/>
        </w:rPr>
        <w:t>projet</w:t>
      </w:r>
      <w:r>
        <w:rPr>
          <w:color w:val="231F20"/>
          <w:spacing w:val="-4"/>
        </w:rPr>
        <w:t> </w:t>
      </w:r>
      <w:r>
        <w:rPr>
          <w:color w:val="231F20"/>
        </w:rPr>
        <w:t>de</w:t>
      </w:r>
      <w:r>
        <w:rPr>
          <w:color w:val="231F20"/>
          <w:spacing w:val="-4"/>
        </w:rPr>
        <w:t> </w:t>
      </w:r>
      <w:r>
        <w:rPr>
          <w:color w:val="231F20"/>
        </w:rPr>
        <w:t>fusion</w:t>
      </w:r>
      <w:r>
        <w:rPr>
          <w:color w:val="231F20"/>
          <w:spacing w:val="-3"/>
        </w:rPr>
        <w:t> </w:t>
      </w:r>
      <w:r>
        <w:rPr>
          <w:color w:val="231F20"/>
        </w:rPr>
        <w:t>annonce</w:t>
      </w:r>
      <w:r>
        <w:rPr>
          <w:color w:val="231F20"/>
          <w:spacing w:val="-4"/>
        </w:rPr>
        <w:t> </w:t>
      </w:r>
      <w:r>
        <w:rPr>
          <w:color w:val="231F20"/>
        </w:rPr>
        <w:t>le</w:t>
      </w:r>
      <w:r>
        <w:rPr>
          <w:color w:val="231F20"/>
          <w:spacing w:val="-4"/>
        </w:rPr>
        <w:t> </w:t>
      </w:r>
      <w:r>
        <w:rPr>
          <w:color w:val="231F20"/>
        </w:rPr>
        <w:t>projet de fusion et les rapports prévus aux articles 12:38 et 12:39, ainsi que la possibilité réservée aux associés ou actionnaires d’obtenir lesdits documents sans</w:t>
      </w:r>
      <w:r>
        <w:rPr>
          <w:color w:val="231F20"/>
          <w:spacing w:val="-12"/>
        </w:rPr>
        <w:t> </w:t>
      </w:r>
      <w:r>
        <w:rPr>
          <w:color w:val="231F20"/>
        </w:rPr>
        <w:t>frais.</w:t>
      </w:r>
    </w:p>
    <w:p>
      <w:pPr>
        <w:pStyle w:val="BodyText"/>
        <w:spacing w:line="218" w:lineRule="auto" w:before="129"/>
        <w:ind w:right="38"/>
      </w:pPr>
      <w:r>
        <w:rPr>
          <w:color w:val="231F20"/>
        </w:rPr>
        <w:t>Une copie en est communiquée aux titulaires d’actions ou parts nominatives un mois au moins avant la réunion de l’assemblée générale, conformément à l’article</w:t>
      </w:r>
      <w:r>
        <w:rPr>
          <w:color w:val="231F20"/>
          <w:spacing w:val="15"/>
        </w:rPr>
        <w:t> </w:t>
      </w:r>
      <w:r>
        <w:rPr>
          <w:color w:val="231F20"/>
        </w:rPr>
        <w:t>2:32.</w:t>
      </w:r>
    </w:p>
    <w:p>
      <w:pPr>
        <w:pStyle w:val="BodyText"/>
        <w:spacing w:line="218" w:lineRule="auto" w:before="128"/>
        <w:ind w:right="38"/>
      </w:pPr>
      <w:r>
        <w:rPr>
          <w:color w:val="231F20"/>
        </w:rPr>
        <w:t>Une copie est également communiquée sans délai aux personnes qui ont accompli les formalités prescrites par les statuts pour être admises à</w:t>
      </w:r>
      <w:r>
        <w:rPr>
          <w:color w:val="231F20"/>
          <w:spacing w:val="15"/>
        </w:rPr>
        <w:t> </w:t>
      </w:r>
      <w:r>
        <w:rPr>
          <w:color w:val="231F20"/>
        </w:rPr>
        <w:t>l’assemblée.</w:t>
      </w:r>
    </w:p>
    <w:p>
      <w:pPr>
        <w:pStyle w:val="BodyText"/>
        <w:spacing w:line="218" w:lineRule="auto" w:before="119"/>
      </w:pPr>
      <w:r>
        <w:rPr/>
        <w:br w:type="column"/>
      </w:r>
      <w:r>
        <w:rPr>
          <w:color w:val="231F20"/>
        </w:rPr>
        <w:t>7° de bezoldiging die wordt toegekend aan de commissarissen of de bedrijfsrevisoren of externe accountants voor de opstelling van het in artikel 12:39 bedoelde verslag;</w:t>
      </w:r>
    </w:p>
    <w:p>
      <w:pPr>
        <w:pStyle w:val="BodyText"/>
        <w:spacing w:line="218" w:lineRule="auto" w:before="118"/>
      </w:pPr>
      <w:r>
        <w:rPr>
          <w:color w:val="231F20"/>
        </w:rPr>
        <w:t>8° ieder bijzonder voordeel toegekend aan de leden van de bestuurs- organen van de te ontbinden vennootschappen.</w:t>
      </w:r>
    </w:p>
    <w:p>
      <w:pPr>
        <w:pStyle w:val="BodyText"/>
        <w:spacing w:line="218" w:lineRule="auto" w:before="117"/>
      </w:pPr>
      <w:r>
        <w:rPr>
          <w:color w:val="231F20"/>
        </w:rPr>
        <w:t>Het fusievoorstel moet door elke bij de fusie betrokken vennootschap ter </w:t>
      </w:r>
      <w:r>
        <w:rPr>
          <w:color w:val="231F20"/>
          <w:spacing w:val="-4"/>
        </w:rPr>
        <w:t>griffie </w:t>
      </w:r>
      <w:r>
        <w:rPr>
          <w:color w:val="231F20"/>
        </w:rPr>
        <w:t>van de ondernemingsrechtbank van haar zetel worden neergelegd en bekendgemaakt bij uittreksel of mededeling overeen- komstig respectievelijk de artikelen 2:8 en 2:14, 1° of 4°. In dit laatste geval bevat de mededeling een hyperlink naar de vennootschapsweb- site. De neerlegging gebeurt uiterlijk zes weken vóór het besluit</w:t>
      </w:r>
      <w:r>
        <w:rPr>
          <w:color w:val="231F20"/>
          <w:spacing w:val="16"/>
        </w:rPr>
        <w:t> </w:t>
      </w:r>
      <w:r>
        <w:rPr>
          <w:color w:val="231F20"/>
        </w:rPr>
        <w:t>tot fusie vermeld in artikel</w:t>
      </w:r>
      <w:r>
        <w:rPr>
          <w:color w:val="231F20"/>
          <w:spacing w:val="18"/>
        </w:rPr>
        <w:t> </w:t>
      </w:r>
      <w:r>
        <w:rPr>
          <w:color w:val="231F20"/>
        </w:rPr>
        <w:t>12:43.</w:t>
      </w:r>
    </w:p>
    <w:p>
      <w:pPr>
        <w:pStyle w:val="BodyText"/>
        <w:spacing w:line="218" w:lineRule="auto" w:before="118"/>
      </w:pPr>
      <w:r>
        <w:rPr>
          <w:color w:val="231F20"/>
        </w:rPr>
        <w:t>Art. 12:38. In elke vennootschap stelt het bestuursorgaan een omstandig schriftelijk verslag op waarin het de stand van het vermogen van de te ontbinden vennootschappen uiteenzet en waarin het tevens, vanuit een juridisch en economisch oogpunt, de wenselijkheid van de fusie, haar voorwaarden, de wijze waarop ze zal gebeuren en haar gevolgen, de methoden volgens welke de ruilverhouding van de aandelen is vastgesteld, het betrekkelijk gewicht dat aan deze metho- den wordt gehecht, de waardering waartoe elke methode komt, de moeilijkheden die zich eventueel hebben voorgedaan en de voorge- stelde ruilverhouding toelicht en verantwoordt.</w:t>
      </w:r>
    </w:p>
    <w:p>
      <w:pPr>
        <w:pStyle w:val="BodyText"/>
        <w:spacing w:line="218" w:lineRule="auto" w:before="118"/>
      </w:pPr>
      <w:r>
        <w:rPr>
          <w:color w:val="231F20"/>
        </w:rPr>
        <w:t>Het eerste lid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118"/>
        <w:ind w:right="123"/>
      </w:pPr>
      <w:r>
        <w:rPr>
          <w:color w:val="231F20"/>
        </w:rPr>
        <w:t>Art. 12:39. Onverminderd artikel 12:36, § 3, stelt de commissaris, of, wanneer er geen commissaris is, een door het bestuursorgaan aange- wezen bedrijfsrevisor of externe accountant een schriftelijk verslag over het</w:t>
      </w:r>
      <w:r>
        <w:rPr>
          <w:color w:val="231F20"/>
          <w:spacing w:val="15"/>
        </w:rPr>
        <w:t> </w:t>
      </w:r>
      <w:r>
        <w:rPr>
          <w:color w:val="231F20"/>
        </w:rPr>
        <w:t>fusievoorstel</w:t>
      </w:r>
      <w:r>
        <w:rPr>
          <w:color w:val="231F20"/>
          <w:spacing w:val="16"/>
        </w:rPr>
        <w:t> </w:t>
      </w:r>
      <w:r>
        <w:rPr>
          <w:color w:val="231F20"/>
        </w:rPr>
        <w:t>op</w:t>
      </w:r>
      <w:r>
        <w:rPr>
          <w:color w:val="231F20"/>
          <w:spacing w:val="15"/>
        </w:rPr>
        <w:t> </w:t>
      </w:r>
      <w:r>
        <w:rPr>
          <w:color w:val="231F20"/>
        </w:rPr>
        <w:t>in</w:t>
      </w:r>
      <w:r>
        <w:rPr>
          <w:color w:val="231F20"/>
          <w:spacing w:val="16"/>
        </w:rPr>
        <w:t> </w:t>
      </w:r>
      <w:r>
        <w:rPr>
          <w:color w:val="231F20"/>
        </w:rPr>
        <w:t>elke</w:t>
      </w:r>
      <w:r>
        <w:rPr>
          <w:color w:val="231F20"/>
          <w:spacing w:val="16"/>
        </w:rPr>
        <w:t> </w:t>
      </w:r>
      <w:r>
        <w:rPr>
          <w:color w:val="231F20"/>
        </w:rPr>
        <w:t>vennootschap.</w:t>
      </w:r>
    </w:p>
    <w:p>
      <w:pPr>
        <w:pStyle w:val="BodyText"/>
        <w:spacing w:line="218" w:lineRule="auto" w:before="118"/>
      </w:pPr>
      <w:r>
        <w:rPr>
          <w:color w:val="231F20"/>
        </w:rPr>
        <w:t>De commissaris of de aangewezen bedrijfsrevisor of externe accoun- tant moet inzonderheid verklaren of de ruilverhouding naar zijn mening</w:t>
      </w:r>
      <w:r>
        <w:rPr>
          <w:color w:val="231F20"/>
          <w:spacing w:val="14"/>
        </w:rPr>
        <w:t> </w:t>
      </w:r>
      <w:r>
        <w:rPr>
          <w:color w:val="231F20"/>
        </w:rPr>
        <w:t>al</w:t>
      </w:r>
      <w:r>
        <w:rPr>
          <w:color w:val="231F20"/>
          <w:spacing w:val="15"/>
        </w:rPr>
        <w:t> </w:t>
      </w:r>
      <w:r>
        <w:rPr>
          <w:color w:val="231F20"/>
        </w:rPr>
        <w:t>dan</w:t>
      </w:r>
      <w:r>
        <w:rPr>
          <w:color w:val="231F20"/>
          <w:spacing w:val="15"/>
        </w:rPr>
        <w:t> </w:t>
      </w:r>
      <w:r>
        <w:rPr>
          <w:color w:val="231F20"/>
        </w:rPr>
        <w:t>niet</w:t>
      </w:r>
      <w:r>
        <w:rPr>
          <w:color w:val="231F20"/>
          <w:spacing w:val="15"/>
        </w:rPr>
        <w:t> </w:t>
      </w:r>
      <w:r>
        <w:rPr>
          <w:color w:val="231F20"/>
        </w:rPr>
        <w:t>relevant</w:t>
      </w:r>
      <w:r>
        <w:rPr>
          <w:color w:val="231F20"/>
          <w:spacing w:val="15"/>
        </w:rPr>
        <w:t> </w:t>
      </w:r>
      <w:r>
        <w:rPr>
          <w:color w:val="231F20"/>
        </w:rPr>
        <w:t>en</w:t>
      </w:r>
      <w:r>
        <w:rPr>
          <w:color w:val="231F20"/>
          <w:spacing w:val="15"/>
        </w:rPr>
        <w:t> </w:t>
      </w:r>
      <w:r>
        <w:rPr>
          <w:color w:val="231F20"/>
        </w:rPr>
        <w:t>redelijk</w:t>
      </w:r>
      <w:r>
        <w:rPr>
          <w:color w:val="231F20"/>
          <w:spacing w:val="15"/>
        </w:rPr>
        <w:t> </w:t>
      </w:r>
      <w:r>
        <w:rPr>
          <w:color w:val="231F20"/>
        </w:rPr>
        <w:t>is.</w:t>
      </w:r>
    </w:p>
    <w:p>
      <w:pPr>
        <w:pStyle w:val="BodyText"/>
        <w:spacing w:before="103"/>
        <w:ind w:left="283" w:right="0" w:firstLine="0"/>
        <w:jc w:val="left"/>
      </w:pPr>
      <w:r>
        <w:rPr>
          <w:color w:val="231F20"/>
        </w:rPr>
        <w:t>Deze verklaring moet ten minste aangeven:</w:t>
      </w:r>
    </w:p>
    <w:p>
      <w:pPr>
        <w:pStyle w:val="BodyText"/>
        <w:spacing w:line="218" w:lineRule="auto" w:before="114"/>
      </w:pPr>
      <w:r>
        <w:rPr>
          <w:color w:val="231F20"/>
          <w:w w:val="105"/>
        </w:rPr>
        <w:t>1° volgens welke methoden de voorgestelde ruilverhouding is vastgesteld;</w:t>
      </w:r>
    </w:p>
    <w:p>
      <w:pPr>
        <w:pStyle w:val="BodyText"/>
        <w:spacing w:line="218" w:lineRule="auto" w:before="117"/>
      </w:pPr>
      <w:r>
        <w:rPr>
          <w:color w:val="231F20"/>
        </w:rPr>
        <w:t>2° of deze methoden in het gegeven geval passen en tot welke waardering elke gebruikte methode leidt; tevens moet hij een oordeel geven over het betrekkelijke gewicht dat bij de vaststelling van de in aanmerking genomen waarde aan deze methoden is gehecht.</w:t>
      </w:r>
    </w:p>
    <w:p>
      <w:pPr>
        <w:pStyle w:val="BodyText"/>
        <w:spacing w:line="218" w:lineRule="auto" w:before="118"/>
      </w:pPr>
      <w:r>
        <w:rPr>
          <w:color w:val="231F20"/>
        </w:rPr>
        <w:t>Het verslag vermeldt bovendien, in voorkomend geval, de bijzon- dere moeilijkheden bij de waardering.</w:t>
      </w:r>
    </w:p>
    <w:p>
      <w:pPr>
        <w:pStyle w:val="BodyText"/>
        <w:spacing w:line="218" w:lineRule="auto" w:before="117"/>
      </w:pPr>
      <w:r>
        <w:rPr>
          <w:color w:val="231F20"/>
        </w:rPr>
        <w:t>De commissaris of de aangewezen bedrijfsrevisor of externe accoun- tant kan ter plaatse inzage nemen van alle documenten die dienstig zijn voor de vervulling van zijn taak. Hij kan van de bij de fusie betrokken vennootschappen alle ophelderingen en inlichtingen bekomen, en alle controles verrichten die hij nodig acht.</w:t>
      </w:r>
    </w:p>
    <w:p>
      <w:pPr>
        <w:pStyle w:val="BodyText"/>
        <w:spacing w:line="218" w:lineRule="auto" w:before="118"/>
        <w:ind w:right="125"/>
      </w:pPr>
      <w:r>
        <w:rPr>
          <w:color w:val="231F20"/>
        </w:rPr>
        <w:t>Dit artikel is niet van toepassing indien alle vennoten of aandeelhou- ders en houders van andere stemrechtverlenende effecten in elke bij de fusie betrokken vennootschap hiermee hebben ingestemd.</w:t>
      </w:r>
    </w:p>
    <w:p>
      <w:pPr>
        <w:pStyle w:val="BodyText"/>
        <w:spacing w:line="218" w:lineRule="auto" w:before="128"/>
        <w:ind w:right="123"/>
      </w:pPr>
      <w:r>
        <w:rPr>
          <w:color w:val="231F20"/>
        </w:rPr>
        <w:t>Art. 12:40. De bestuursorganen van alle bij de fusie betrokken vennootschappen moeten hun eigen algemene vergadering, evenals de bestuursorganen van alle andere bij de fusie betrokken vennootschap- pen op de hoogte stellen van elke belangrijke wijziging die zich in de activa en de passiva van het vermogen heeft voorgedaan tussen de datum van opstelling van het fusievoorstel en de datum van de laatste algemene vergadering die tot de fusie besluit.</w:t>
      </w:r>
    </w:p>
    <w:p>
      <w:pPr>
        <w:pStyle w:val="BodyText"/>
        <w:spacing w:line="218" w:lineRule="auto" w:before="129"/>
      </w:pPr>
      <w:r>
        <w:rPr>
          <w:color w:val="231F20"/>
        </w:rPr>
        <w:t>De aldus geïnformeerde bestuursorganen brengen de algemene vergadering van hun vennootschap op de hoogte van de ontvangen informatie.</w:t>
      </w:r>
    </w:p>
    <w:p>
      <w:pPr>
        <w:pStyle w:val="BodyText"/>
        <w:spacing w:line="218" w:lineRule="auto" w:before="128"/>
      </w:pPr>
      <w:r>
        <w:rPr>
          <w:color w:val="231F20"/>
        </w:rPr>
        <w:t>Het eerste lid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128"/>
      </w:pPr>
      <w:r>
        <w:rPr>
          <w:color w:val="231F20"/>
        </w:rPr>
        <w:t>Art. 12:41. § 1. In elke vennootschap vermeldt de agenda van de algemene vergadering die zich over het fusievoorstel moet uitspreken het fusievoorstel en de verslagen bedoeld in de artikelen 12:38 en 12:39, evenals de mogelijkheid voor de vennoten of aandeelhouders om de genoemde stukken kosteloos te verkrijgen.</w:t>
      </w:r>
    </w:p>
    <w:p>
      <w:pPr>
        <w:pStyle w:val="BodyText"/>
        <w:spacing w:line="218" w:lineRule="auto" w:before="129"/>
      </w:pPr>
      <w:r>
        <w:rPr>
          <w:color w:val="231F20"/>
        </w:rPr>
        <w:t>Aan de houders van aandelen op naam wordt uiterlijk een maand vóór de algemene vergadering een kopie meegedeeld overeenkomstig artikel 2:32.</w:t>
      </w:r>
    </w:p>
    <w:p>
      <w:pPr>
        <w:pStyle w:val="BodyText"/>
        <w:spacing w:line="218" w:lineRule="auto" w:before="128"/>
      </w:pPr>
      <w:r>
        <w:rPr>
          <w:color w:val="231F20"/>
        </w:rPr>
        <w:t>Er wordt ook onverwijld een kopie meegedeeld aan diegenen die de statutair voorgeschreven formaliteiten hebben vervuld om tot de vergadering te worden toegelaten.</w:t>
      </w:r>
    </w:p>
    <w:p>
      <w:pPr>
        <w:spacing w:after="0" w:line="218" w:lineRule="auto"/>
        <w:sectPr>
          <w:headerReference w:type="even" r:id="rId99"/>
          <w:headerReference w:type="default" r:id="rId100"/>
          <w:pgSz w:w="11940" w:h="16880"/>
          <w:pgMar w:header="666" w:footer="0" w:top="1140" w:bottom="280" w:left="340" w:right="360"/>
          <w:cols w:num="2" w:equalWidth="0">
            <w:col w:w="5527" w:space="100"/>
            <w:col w:w="5613"/>
          </w:cols>
        </w:sectPr>
      </w:pPr>
    </w:p>
    <w:p>
      <w:pPr>
        <w:pStyle w:val="BodyText"/>
        <w:spacing w:line="211" w:lineRule="auto" w:before="124"/>
        <w:ind w:right="38"/>
      </w:pPr>
      <w:r>
        <w:rPr/>
        <w:pict>
          <v:line style="position:absolute;mso-position-horizontal-relative:page;mso-position-vertical-relative:page;z-index:6592" from="298.170502pt,64.473pt" to="298.170502pt,812.819pt" stroked="true" strokeweight=".533pt" strokecolor="#231f20">
            <v:stroke dashstyle="solid"/>
            <w10:wrap type="none"/>
          </v:line>
        </w:pict>
      </w:r>
      <w:bookmarkStart w:name="_bookmark232" w:id="238"/>
      <w:bookmarkEnd w:id="238"/>
      <w:r>
        <w:rPr/>
      </w:r>
      <w:r>
        <w:rPr>
          <w:color w:val="231F20"/>
        </w:rPr>
        <w:t>Toutefois,</w:t>
      </w:r>
      <w:r>
        <w:rPr>
          <w:color w:val="231F20"/>
          <w:spacing w:val="-6"/>
        </w:rPr>
        <w:t> </w:t>
      </w:r>
      <w:r>
        <w:rPr>
          <w:color w:val="231F20"/>
        </w:rPr>
        <w:t>lorsque</w:t>
      </w:r>
      <w:r>
        <w:rPr>
          <w:color w:val="231F20"/>
          <w:spacing w:val="-6"/>
        </w:rPr>
        <w:t> </w:t>
      </w:r>
      <w:r>
        <w:rPr>
          <w:color w:val="231F20"/>
        </w:rPr>
        <w:t>la</w:t>
      </w:r>
      <w:r>
        <w:rPr>
          <w:color w:val="231F20"/>
          <w:spacing w:val="-6"/>
        </w:rPr>
        <w:t> </w:t>
      </w:r>
      <w:r>
        <w:rPr>
          <w:color w:val="231F20"/>
        </w:rPr>
        <w:t>société</w:t>
      </w:r>
      <w:r>
        <w:rPr>
          <w:color w:val="231F20"/>
          <w:spacing w:val="-6"/>
        </w:rPr>
        <w:t> </w:t>
      </w:r>
      <w:r>
        <w:rPr>
          <w:color w:val="231F20"/>
        </w:rPr>
        <w:t>est</w:t>
      </w:r>
      <w:r>
        <w:rPr>
          <w:color w:val="231F20"/>
          <w:spacing w:val="-6"/>
        </w:rPr>
        <w:t> </w:t>
      </w:r>
      <w:r>
        <w:rPr>
          <w:color w:val="231F20"/>
        </w:rPr>
        <w:t>une</w:t>
      </w:r>
      <w:r>
        <w:rPr>
          <w:color w:val="231F20"/>
          <w:spacing w:val="-6"/>
        </w:rPr>
        <w:t> </w:t>
      </w:r>
      <w:r>
        <w:rPr>
          <w:color w:val="231F20"/>
        </w:rPr>
        <w:t>société</w:t>
      </w:r>
      <w:r>
        <w:rPr>
          <w:color w:val="231F20"/>
          <w:spacing w:val="-6"/>
        </w:rPr>
        <w:t> </w:t>
      </w:r>
      <w:r>
        <w:rPr>
          <w:color w:val="231F20"/>
        </w:rPr>
        <w:t>coopérative,</w:t>
      </w:r>
      <w:r>
        <w:rPr>
          <w:color w:val="231F20"/>
          <w:spacing w:val="-6"/>
        </w:rPr>
        <w:t> </w:t>
      </w:r>
      <w:r>
        <w:rPr>
          <w:color w:val="231F20"/>
        </w:rPr>
        <w:t>le</w:t>
      </w:r>
      <w:r>
        <w:rPr>
          <w:color w:val="231F20"/>
          <w:spacing w:val="-6"/>
        </w:rPr>
        <w:t> </w:t>
      </w:r>
      <w:r>
        <w:rPr>
          <w:color w:val="231F20"/>
        </w:rPr>
        <w:t>projet</w:t>
      </w:r>
      <w:r>
        <w:rPr>
          <w:color w:val="231F20"/>
          <w:spacing w:val="-6"/>
        </w:rPr>
        <w:t> </w:t>
      </w:r>
      <w:r>
        <w:rPr>
          <w:color w:val="231F20"/>
        </w:rPr>
        <w:t>et</w:t>
      </w:r>
      <w:r>
        <w:rPr>
          <w:color w:val="231F20"/>
          <w:spacing w:val="-6"/>
        </w:rPr>
        <w:t> </w:t>
      </w:r>
      <w:r>
        <w:rPr>
          <w:color w:val="231F20"/>
        </w:rPr>
        <w:t>les rapports visés à l’alinéa 1</w:t>
      </w:r>
      <w:r>
        <w:rPr>
          <w:color w:val="231F20"/>
          <w:position w:val="7"/>
          <w:sz w:val="11"/>
        </w:rPr>
        <w:t>er </w:t>
      </w:r>
      <w:r>
        <w:rPr>
          <w:color w:val="231F20"/>
        </w:rPr>
        <w:t>ne doivent pas être communiqués aux actionnaires conformément aux alinéas</w:t>
      </w:r>
      <w:r>
        <w:rPr>
          <w:color w:val="231F20"/>
          <w:spacing w:val="30"/>
        </w:rPr>
        <w:t> </w:t>
      </w:r>
      <w:r>
        <w:rPr>
          <w:color w:val="231F20"/>
        </w:rPr>
        <w:t>2 et 3.</w:t>
      </w:r>
    </w:p>
    <w:p>
      <w:pPr>
        <w:pStyle w:val="BodyText"/>
        <w:spacing w:before="9"/>
        <w:ind w:left="0" w:right="0" w:firstLine="0"/>
        <w:jc w:val="left"/>
        <w:rPr>
          <w:sz w:val="22"/>
        </w:rPr>
      </w:pPr>
    </w:p>
    <w:p>
      <w:pPr>
        <w:pStyle w:val="BodyText"/>
        <w:spacing w:line="218" w:lineRule="auto"/>
        <w:ind w:right="38"/>
      </w:pPr>
      <w:r>
        <w:rPr>
          <w:color w:val="231F20"/>
        </w:rPr>
        <w:t>Dans ce cas, tout actionnaire a le droit de prendre connaissance desdits documents au siège de la société conformément au paragra-  phe 2 un mois au moins avant la réunion de l’assemblée générale et d’en obtenir copie, conformément au paragraphe 3, dans le même</w:t>
      </w:r>
      <w:r>
        <w:rPr>
          <w:color w:val="231F20"/>
          <w:spacing w:val="-4"/>
        </w:rPr>
        <w:t> </w:t>
      </w:r>
      <w:r>
        <w:rPr>
          <w:color w:val="231F20"/>
        </w:rPr>
        <w:t>délai.</w:t>
      </w:r>
    </w:p>
    <w:p>
      <w:pPr>
        <w:pStyle w:val="BodyText"/>
        <w:ind w:left="0" w:right="0" w:firstLine="0"/>
        <w:jc w:val="left"/>
        <w:rPr>
          <w:sz w:val="23"/>
        </w:rPr>
      </w:pPr>
    </w:p>
    <w:p>
      <w:pPr>
        <w:pStyle w:val="BodyText"/>
        <w:spacing w:line="218" w:lineRule="auto"/>
        <w:ind w:right="38"/>
      </w:pPr>
      <w:r>
        <w:rPr>
          <w:color w:val="231F20"/>
        </w:rPr>
        <w:t>§ 2. Tout associé ou actionnaire a en outre le droit, un mois au moins avant la date de la réunion de l’assemblée générale appelée à se prononcer sur le projet de fusion, de prendre connaissance au siège de la société des documents suivants:</w:t>
      </w:r>
    </w:p>
    <w:p>
      <w:pPr>
        <w:pStyle w:val="BodyText"/>
        <w:spacing w:before="72"/>
        <w:ind w:left="283" w:right="0" w:firstLine="0"/>
        <w:jc w:val="left"/>
      </w:pPr>
      <w:r>
        <w:rPr>
          <w:color w:val="231F20"/>
        </w:rPr>
        <w:t>1° le projet de fusion;</w:t>
      </w:r>
    </w:p>
    <w:p>
      <w:pPr>
        <w:pStyle w:val="BodyText"/>
        <w:spacing w:before="68"/>
        <w:ind w:left="283" w:right="0" w:firstLine="0"/>
        <w:jc w:val="left"/>
      </w:pPr>
      <w:r>
        <w:rPr>
          <w:color w:val="231F20"/>
        </w:rPr>
        <w:t>2° le cas échéant, les rapports visés aux articles 12:38 et 12:39;</w:t>
      </w:r>
    </w:p>
    <w:p>
      <w:pPr>
        <w:pStyle w:val="BodyText"/>
        <w:spacing w:before="8"/>
        <w:ind w:left="0" w:right="0" w:firstLine="0"/>
        <w:jc w:val="left"/>
        <w:rPr>
          <w:sz w:val="22"/>
        </w:rPr>
      </w:pPr>
    </w:p>
    <w:p>
      <w:pPr>
        <w:pStyle w:val="BodyText"/>
        <w:spacing w:line="218" w:lineRule="auto"/>
        <w:ind w:right="38"/>
      </w:pPr>
      <w:r>
        <w:rPr>
          <w:color w:val="231F20"/>
        </w:rPr>
        <w:t>3° les comptes annuels des trois derniers exercices, de chacune des sociétés qui fusionnent;</w:t>
      </w:r>
    </w:p>
    <w:p>
      <w:pPr>
        <w:pStyle w:val="BodyText"/>
        <w:spacing w:line="218" w:lineRule="auto" w:before="85"/>
        <w:ind w:right="38"/>
      </w:pPr>
      <w:r>
        <w:rPr>
          <w:color w:val="231F20"/>
        </w:rPr>
        <w:t>4° pour la </w:t>
      </w:r>
      <w:r>
        <w:rPr>
          <w:color w:val="231F20"/>
          <w:spacing w:val="3"/>
        </w:rPr>
        <w:t>société </w:t>
      </w:r>
      <w:r>
        <w:rPr>
          <w:color w:val="231F20"/>
        </w:rPr>
        <w:t>à responsabilité limitée, la société coopérative, la société  anonyme,  la  société  européenne  et   la   société   coopéra-   tive européenne, les rapports de l’organe d’administration et les rapports</w:t>
      </w:r>
      <w:r>
        <w:rPr>
          <w:color w:val="231F20"/>
          <w:spacing w:val="15"/>
        </w:rPr>
        <w:t> </w:t>
      </w:r>
      <w:r>
        <w:rPr>
          <w:color w:val="231F20"/>
        </w:rPr>
        <w:t>du</w:t>
      </w:r>
      <w:r>
        <w:rPr>
          <w:color w:val="231F20"/>
          <w:spacing w:val="15"/>
        </w:rPr>
        <w:t> </w:t>
      </w:r>
      <w:r>
        <w:rPr>
          <w:color w:val="231F20"/>
        </w:rPr>
        <w:t>commissaire</w:t>
      </w:r>
      <w:r>
        <w:rPr>
          <w:color w:val="231F20"/>
          <w:spacing w:val="15"/>
        </w:rPr>
        <w:t> </w:t>
      </w:r>
      <w:r>
        <w:rPr>
          <w:color w:val="231F20"/>
        </w:rPr>
        <w:t>des</w:t>
      </w:r>
      <w:r>
        <w:rPr>
          <w:color w:val="231F20"/>
          <w:spacing w:val="15"/>
        </w:rPr>
        <w:t> </w:t>
      </w:r>
      <w:r>
        <w:rPr>
          <w:color w:val="231F20"/>
        </w:rPr>
        <w:t>trois</w:t>
      </w:r>
      <w:r>
        <w:rPr>
          <w:color w:val="231F20"/>
          <w:spacing w:val="15"/>
        </w:rPr>
        <w:t> </w:t>
      </w:r>
      <w:r>
        <w:rPr>
          <w:color w:val="231F20"/>
        </w:rPr>
        <w:t>derniers</w:t>
      </w:r>
      <w:r>
        <w:rPr>
          <w:color w:val="231F20"/>
          <w:spacing w:val="15"/>
        </w:rPr>
        <w:t> </w:t>
      </w:r>
      <w:r>
        <w:rPr>
          <w:color w:val="231F20"/>
        </w:rPr>
        <w:t>exercices,</w:t>
      </w:r>
      <w:r>
        <w:rPr>
          <w:color w:val="231F20"/>
          <w:spacing w:val="15"/>
        </w:rPr>
        <w:t> </w:t>
      </w:r>
      <w:r>
        <w:rPr>
          <w:color w:val="231F20"/>
          <w:spacing w:val="3"/>
        </w:rPr>
        <w:t>s’il</w:t>
      </w:r>
      <w:r>
        <w:rPr>
          <w:color w:val="231F20"/>
        </w:rPr>
        <w:t> y</w:t>
      </w:r>
      <w:r>
        <w:rPr>
          <w:color w:val="231F20"/>
          <w:spacing w:val="15"/>
        </w:rPr>
        <w:t> </w:t>
      </w:r>
      <w:r>
        <w:rPr>
          <w:color w:val="231F20"/>
          <w:spacing w:val="7"/>
        </w:rPr>
        <w:t>en</w:t>
      </w:r>
      <w:r>
        <w:rPr>
          <w:color w:val="231F20"/>
          <w:spacing w:val="1"/>
        </w:rPr>
        <w:t> </w:t>
      </w:r>
      <w:r>
        <w:rPr>
          <w:color w:val="231F20"/>
        </w:rPr>
        <w:t>a</w:t>
      </w:r>
      <w:r>
        <w:rPr>
          <w:color w:val="231F20"/>
          <w:spacing w:val="15"/>
        </w:rPr>
        <w:t> </w:t>
      </w:r>
      <w:r>
        <w:rPr>
          <w:color w:val="231F20"/>
        </w:rPr>
        <w:t>un;</w:t>
      </w:r>
    </w:p>
    <w:p>
      <w:pPr>
        <w:pStyle w:val="BodyText"/>
        <w:ind w:left="0" w:right="0" w:firstLine="0"/>
        <w:jc w:val="left"/>
        <w:rPr>
          <w:sz w:val="23"/>
        </w:rPr>
      </w:pPr>
    </w:p>
    <w:p>
      <w:pPr>
        <w:pStyle w:val="BodyText"/>
        <w:spacing w:line="218" w:lineRule="auto"/>
        <w:ind w:right="38"/>
      </w:pPr>
      <w:r>
        <w:rPr>
          <w:color w:val="231F20"/>
        </w:rPr>
        <w:t>5° le cas échéant, lorsque le projet de fusion est postérieur de six</w:t>
      </w:r>
      <w:r>
        <w:rPr>
          <w:color w:val="231F20"/>
          <w:spacing w:val="-26"/>
        </w:rPr>
        <w:t> </w:t>
      </w:r>
      <w:r>
        <w:rPr>
          <w:color w:val="231F20"/>
        </w:rPr>
        <w:t>mois au moins à la fin de l’exercice auquel se rapportent les derniers comptes annuels, d’un état comptable clôturé moins de trois mois avant la date du</w:t>
      </w:r>
      <w:r>
        <w:rPr>
          <w:color w:val="231F20"/>
          <w:spacing w:val="14"/>
        </w:rPr>
        <w:t> </w:t>
      </w:r>
      <w:r>
        <w:rPr>
          <w:color w:val="231F20"/>
        </w:rPr>
        <w:t>projet</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et</w:t>
      </w:r>
      <w:r>
        <w:rPr>
          <w:color w:val="231F20"/>
          <w:spacing w:val="14"/>
        </w:rPr>
        <w:t> </w:t>
      </w:r>
      <w:r>
        <w:rPr>
          <w:color w:val="231F20"/>
        </w:rPr>
        <w:t>rédigé</w:t>
      </w:r>
      <w:r>
        <w:rPr>
          <w:color w:val="231F20"/>
          <w:spacing w:val="15"/>
        </w:rPr>
        <w:t> </w:t>
      </w:r>
      <w:r>
        <w:rPr>
          <w:color w:val="231F20"/>
        </w:rPr>
        <w:t>conformément</w:t>
      </w:r>
      <w:r>
        <w:rPr>
          <w:color w:val="231F20"/>
          <w:spacing w:val="14"/>
        </w:rPr>
        <w:t> </w:t>
      </w:r>
      <w:r>
        <w:rPr>
          <w:color w:val="231F20"/>
        </w:rPr>
        <w:t>aux</w:t>
      </w:r>
      <w:r>
        <w:rPr>
          <w:color w:val="231F20"/>
          <w:spacing w:val="15"/>
        </w:rPr>
        <w:t> </w:t>
      </w:r>
      <w:r>
        <w:rPr>
          <w:color w:val="231F20"/>
        </w:rPr>
        <w:t>alinéas</w:t>
      </w:r>
      <w:r>
        <w:rPr>
          <w:color w:val="231F20"/>
          <w:spacing w:val="15"/>
        </w:rPr>
        <w:t> </w:t>
      </w:r>
      <w:r>
        <w:rPr>
          <w:color w:val="231F20"/>
        </w:rPr>
        <w:t>2</w:t>
      </w:r>
      <w:r>
        <w:rPr>
          <w:color w:val="231F20"/>
          <w:spacing w:val="14"/>
        </w:rPr>
        <w:t> </w:t>
      </w:r>
      <w:r>
        <w:rPr>
          <w:color w:val="231F20"/>
        </w:rPr>
        <w:t>à</w:t>
      </w:r>
      <w:r>
        <w:rPr>
          <w:color w:val="231F20"/>
          <w:spacing w:val="15"/>
        </w:rPr>
        <w:t> </w:t>
      </w:r>
      <w:r>
        <w:rPr>
          <w:color w:val="231F20"/>
        </w:rPr>
        <w:t>4.</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Cet état comptable est établi selon les mêmes méthodes et suivant la même présentation que les derniers comptes annuels.</w:t>
      </w:r>
    </w:p>
    <w:p>
      <w:pPr>
        <w:pStyle w:val="BodyText"/>
        <w:spacing w:before="71"/>
        <w:ind w:left="283" w:right="0" w:firstLine="0"/>
        <w:jc w:val="left"/>
      </w:pPr>
      <w:r>
        <w:rPr>
          <w:color w:val="231F20"/>
        </w:rPr>
        <w:t>Il n’est toutefois pas nécessaire de procéder à un nouvel inventaire.</w:t>
      </w:r>
    </w:p>
    <w:p>
      <w:pPr>
        <w:pStyle w:val="BodyText"/>
        <w:spacing w:line="218" w:lineRule="auto" w:before="82"/>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line="218" w:lineRule="auto" w:before="71"/>
        <w:ind w:right="38"/>
      </w:pPr>
      <w:r>
        <w:rPr>
          <w:color w:val="231F20"/>
        </w:rPr>
        <w:t>L’alinéa 1</w:t>
      </w:r>
      <w:r>
        <w:rPr>
          <w:color w:val="231F20"/>
          <w:position w:val="7"/>
          <w:sz w:val="11"/>
        </w:rPr>
        <w:t>er</w:t>
      </w:r>
      <w:r>
        <w:rPr>
          <w:color w:val="231F20"/>
        </w:rPr>
        <w:t>, 5°,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5"/>
        </w:rPr>
        <w:t> </w:t>
      </w:r>
      <w:r>
        <w:rPr>
          <w:color w:val="231F20"/>
        </w:rPr>
        <w:t>au</w:t>
      </w:r>
      <w:r>
        <w:rPr>
          <w:color w:val="231F20"/>
          <w:spacing w:val="15"/>
        </w:rPr>
        <w:t> </w:t>
      </w:r>
      <w:r>
        <w:rPr>
          <w:color w:val="231F20"/>
        </w:rPr>
        <w:t>présent</w:t>
      </w:r>
      <w:r>
        <w:rPr>
          <w:color w:val="231F20"/>
          <w:spacing w:val="15"/>
        </w:rPr>
        <w:t> </w:t>
      </w:r>
      <w:r>
        <w:rPr>
          <w:color w:val="231F20"/>
        </w:rPr>
        <w:t>paragraphe,</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disposition</w:t>
      </w:r>
      <w:r>
        <w:rPr>
          <w:color w:val="231F20"/>
          <w:spacing w:val="15"/>
        </w:rPr>
        <w:t> </w:t>
      </w:r>
      <w:r>
        <w:rPr>
          <w:color w:val="231F20"/>
        </w:rPr>
        <w:t>des</w:t>
      </w:r>
      <w:r>
        <w:rPr>
          <w:color w:val="231F20"/>
          <w:spacing w:val="15"/>
        </w:rPr>
        <w:t> </w:t>
      </w:r>
      <w:r>
        <w:rPr>
          <w:color w:val="231F20"/>
        </w:rPr>
        <w:t>actionnaires.</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rPr>
        <w:t>L’alinéa 1</w:t>
      </w:r>
      <w:r>
        <w:rPr>
          <w:color w:val="231F20"/>
          <w:position w:val="7"/>
          <w:sz w:val="11"/>
        </w:rPr>
        <w:t>er</w:t>
      </w:r>
      <w:r>
        <w:rPr>
          <w:color w:val="231F20"/>
        </w:rPr>
        <w:t>, 5°, n’est pas applicable si tous les associés ou</w:t>
      </w:r>
      <w:r>
        <w:rPr>
          <w:color w:val="231F20"/>
          <w:spacing w:val="-26"/>
        </w:rPr>
        <w:t> </w:t>
      </w:r>
      <w:r>
        <w:rPr>
          <w:color w:val="231F20"/>
        </w:rPr>
        <w:t>actionnaires et les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line="213" w:lineRule="auto" w:before="89"/>
        <w:ind w:right="38"/>
      </w:pPr>
      <w:r>
        <w:rPr>
          <w:color w:val="231F20"/>
        </w:rPr>
        <w:t>§ 3. Tout associé ou actionnaire peut obtenir sans frais et sur simple demande une copie intégrale ou, s’il le désire, partielle, des documents visés au paragraphe 2, à l’exception de ceux qui lui ont été transmis en application du paragraphe 1</w:t>
      </w:r>
      <w:r>
        <w:rPr>
          <w:color w:val="231F20"/>
          <w:position w:val="7"/>
          <w:sz w:val="11"/>
        </w:rPr>
        <w:t>er</w:t>
      </w:r>
      <w:r>
        <w:rPr>
          <w:color w:val="231F20"/>
        </w:rPr>
        <w:t>.</w:t>
      </w:r>
    </w:p>
    <w:p>
      <w:pPr>
        <w:pStyle w:val="BodyText"/>
        <w:spacing w:line="218" w:lineRule="auto" w:before="83"/>
        <w:ind w:right="38"/>
      </w:pPr>
      <w:r>
        <w:rPr>
          <w:color w:val="231F20"/>
        </w:rPr>
        <w:t>§ 4. Lorsqu’une société met gratuitement à disposition sur le site internet de la société les documents visés au paragraphe 2 pendant une période ininterrompue d’un mois commençant avant la date</w:t>
      </w:r>
      <w:r>
        <w:rPr>
          <w:color w:val="231F20"/>
          <w:spacing w:val="28"/>
        </w:rPr>
        <w:t> </w:t>
      </w:r>
      <w:r>
        <w:rPr>
          <w:color w:val="231F20"/>
        </w:rPr>
        <w:t>de l’assemblée générale appelée à se prononcer sur le projet de fusion et</w:t>
      </w:r>
      <w:r>
        <w:rPr>
          <w:color w:val="231F20"/>
          <w:spacing w:val="-18"/>
        </w:rPr>
        <w:t> </w:t>
      </w:r>
      <w:r>
        <w:rPr>
          <w:color w:val="231F20"/>
        </w:rPr>
        <w:t>ne s’achevant pas avant la fin de cette assemblée, elle ne doit pas mettre à disposition</w:t>
      </w:r>
      <w:r>
        <w:rPr>
          <w:color w:val="231F20"/>
          <w:spacing w:val="16"/>
        </w:rPr>
        <w:t> </w:t>
      </w:r>
      <w:r>
        <w:rPr>
          <w:color w:val="231F20"/>
        </w:rPr>
        <w:t>les</w:t>
      </w:r>
      <w:r>
        <w:rPr>
          <w:color w:val="231F20"/>
          <w:spacing w:val="16"/>
        </w:rPr>
        <w:t> </w:t>
      </w:r>
      <w:r>
        <w:rPr>
          <w:color w:val="231F20"/>
        </w:rPr>
        <w:t>documents</w:t>
      </w:r>
      <w:r>
        <w:rPr>
          <w:color w:val="231F20"/>
          <w:spacing w:val="17"/>
        </w:rPr>
        <w:t> </w:t>
      </w:r>
      <w:r>
        <w:rPr>
          <w:color w:val="231F20"/>
        </w:rPr>
        <w:t>visés</w:t>
      </w:r>
      <w:r>
        <w:rPr>
          <w:color w:val="231F20"/>
          <w:spacing w:val="16"/>
        </w:rPr>
        <w:t> </w:t>
      </w:r>
      <w:r>
        <w:rPr>
          <w:color w:val="231F20"/>
        </w:rPr>
        <w:t>au</w:t>
      </w:r>
      <w:r>
        <w:rPr>
          <w:color w:val="231F20"/>
          <w:spacing w:val="16"/>
        </w:rPr>
        <w:t> </w:t>
      </w:r>
      <w:r>
        <w:rPr>
          <w:color w:val="231F20"/>
        </w:rPr>
        <w:t>paragraphe</w:t>
      </w:r>
      <w:r>
        <w:rPr>
          <w:color w:val="231F20"/>
          <w:spacing w:val="17"/>
        </w:rPr>
        <w:t> </w:t>
      </w:r>
      <w:r>
        <w:rPr>
          <w:color w:val="231F20"/>
        </w:rPr>
        <w:t>2</w:t>
      </w:r>
      <w:r>
        <w:rPr>
          <w:color w:val="231F20"/>
          <w:spacing w:val="16"/>
        </w:rPr>
        <w:t> </w:t>
      </w:r>
      <w:r>
        <w:rPr>
          <w:color w:val="231F20"/>
        </w:rPr>
        <w:t>à</w:t>
      </w:r>
      <w:r>
        <w:rPr>
          <w:color w:val="231F20"/>
          <w:spacing w:val="17"/>
        </w:rPr>
        <w:t> </w:t>
      </w:r>
      <w:r>
        <w:rPr>
          <w:color w:val="231F20"/>
        </w:rPr>
        <w:t>son</w:t>
      </w:r>
      <w:r>
        <w:rPr>
          <w:color w:val="231F20"/>
          <w:spacing w:val="16"/>
        </w:rPr>
        <w:t> </w:t>
      </w:r>
      <w:r>
        <w:rPr>
          <w:color w:val="231F20"/>
        </w:rPr>
        <w:t>siège.</w:t>
      </w:r>
    </w:p>
    <w:p>
      <w:pPr>
        <w:pStyle w:val="BodyText"/>
        <w:ind w:left="0" w:right="0" w:firstLine="0"/>
        <w:jc w:val="left"/>
        <w:rPr>
          <w:sz w:val="23"/>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appelée à se prononcer sur le projet de fusion. Dans ce cas, la société met en outre ces documents à disposition à</w:t>
      </w:r>
      <w:r>
        <w:rPr>
          <w:color w:val="231F20"/>
          <w:spacing w:val="14"/>
        </w:rPr>
        <w:t> </w:t>
      </w:r>
      <w:r>
        <w:rPr>
          <w:color w:val="231F20"/>
        </w:rPr>
        <w:t>son</w:t>
      </w:r>
      <w:r>
        <w:rPr>
          <w:color w:val="231F20"/>
          <w:spacing w:val="15"/>
        </w:rPr>
        <w:t> </w:t>
      </w:r>
      <w:r>
        <w:rPr>
          <w:color w:val="231F20"/>
        </w:rPr>
        <w:t>siège</w:t>
      </w:r>
      <w:r>
        <w:rPr>
          <w:color w:val="231F20"/>
          <w:spacing w:val="15"/>
        </w:rPr>
        <w:t> </w:t>
      </w:r>
      <w:r>
        <w:rPr>
          <w:color w:val="231F20"/>
        </w:rPr>
        <w:t>pour</w:t>
      </w:r>
      <w:r>
        <w:rPr>
          <w:color w:val="231F20"/>
          <w:spacing w:val="15"/>
        </w:rPr>
        <w:t> </w:t>
      </w:r>
      <w:r>
        <w:rPr>
          <w:color w:val="231F20"/>
        </w:rPr>
        <w:t>consultation</w:t>
      </w:r>
      <w:r>
        <w:rPr>
          <w:color w:val="231F20"/>
          <w:spacing w:val="14"/>
        </w:rPr>
        <w:t> </w:t>
      </w:r>
      <w:r>
        <w:rPr>
          <w:color w:val="231F20"/>
        </w:rPr>
        <w:t>par</w:t>
      </w:r>
      <w:r>
        <w:rPr>
          <w:color w:val="231F20"/>
          <w:spacing w:val="15"/>
        </w:rPr>
        <w:t> </w:t>
      </w:r>
      <w:r>
        <w:rPr>
          <w:color w:val="231F20"/>
        </w:rPr>
        <w:t>les</w:t>
      </w:r>
      <w:r>
        <w:rPr>
          <w:color w:val="231F20"/>
          <w:spacing w:val="15"/>
        </w:rPr>
        <w:t> </w:t>
      </w:r>
      <w:r>
        <w:rPr>
          <w:color w:val="231F20"/>
        </w:rPr>
        <w:t>associés</w:t>
      </w:r>
      <w:r>
        <w:rPr>
          <w:color w:val="231F20"/>
          <w:spacing w:val="15"/>
        </w:rPr>
        <w:t> </w:t>
      </w:r>
      <w:r>
        <w:rPr>
          <w:color w:val="231F20"/>
        </w:rPr>
        <w:t>ou</w:t>
      </w:r>
      <w:r>
        <w:rPr>
          <w:color w:val="231F20"/>
          <w:spacing w:val="15"/>
        </w:rPr>
        <w:t> </w:t>
      </w:r>
      <w:r>
        <w:rPr>
          <w:color w:val="231F20"/>
        </w:rPr>
        <w:t>actionnaires.</w:t>
      </w:r>
    </w:p>
    <w:p>
      <w:pPr>
        <w:pStyle w:val="BodyText"/>
        <w:spacing w:before="7"/>
        <w:ind w:left="0" w:right="0" w:firstLine="0"/>
        <w:jc w:val="left"/>
        <w:rPr>
          <w:sz w:val="22"/>
        </w:rPr>
      </w:pPr>
    </w:p>
    <w:p>
      <w:pPr>
        <w:pStyle w:val="BodyText"/>
        <w:spacing w:line="218" w:lineRule="auto" w:before="1"/>
        <w:ind w:right="38"/>
      </w:pPr>
      <w:r>
        <w:rPr>
          <w:color w:val="231F20"/>
        </w:rPr>
        <w:t>Art. 12:42. § 1</w:t>
      </w:r>
      <w:r>
        <w:rPr>
          <w:color w:val="231F20"/>
          <w:position w:val="7"/>
          <w:sz w:val="11"/>
        </w:rPr>
        <w:t>er</w:t>
      </w:r>
      <w:r>
        <w:rPr>
          <w:color w:val="231F20"/>
        </w:rPr>
        <w:t>. Une société ne peut absorber une autre société que si les associés ou actionnaires de cette autre société remplissent les conditions requises pour acquérir la qualité d’associé ou actionnaire de la nouvelle société.</w:t>
      </w:r>
    </w:p>
    <w:p>
      <w:pPr>
        <w:pStyle w:val="BodyText"/>
        <w:spacing w:before="10"/>
        <w:ind w:left="0" w:right="0" w:firstLine="0"/>
        <w:jc w:val="left"/>
        <w:rPr>
          <w:sz w:val="23"/>
        </w:rPr>
      </w:pPr>
    </w:p>
    <w:p>
      <w:pPr>
        <w:pStyle w:val="BodyText"/>
        <w:spacing w:line="218" w:lineRule="auto"/>
        <w:ind w:right="38"/>
      </w:pPr>
      <w:r>
        <w:rPr>
          <w:color w:val="231F20"/>
        </w:rPr>
        <w:t>§ 2.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w:t>
      </w:r>
    </w:p>
    <w:p>
      <w:pPr>
        <w:pStyle w:val="BodyText"/>
        <w:spacing w:line="218" w:lineRule="auto" w:before="119"/>
      </w:pPr>
      <w:r>
        <w:rPr/>
        <w:br w:type="column"/>
      </w:r>
      <w:r>
        <w:rPr>
          <w:color w:val="231F20"/>
        </w:rPr>
        <w:t>Wanneer het evenwel gaat om een coöperatieve vennootschap, moeten het voorstel en de verslagen bedoeld in het eerste lid, niet aan de aandeelhouders worden meegedeeld overeenkomstig het tweede en het derde lid.</w:t>
      </w:r>
    </w:p>
    <w:p>
      <w:pPr>
        <w:pStyle w:val="BodyText"/>
        <w:spacing w:line="218" w:lineRule="auto" w:before="86"/>
      </w:pPr>
      <w:r>
        <w:rPr>
          <w:color w:val="231F20"/>
        </w:rPr>
        <w:t>In dat geval heeft iedere  aandeelhouder  overeenkomstig </w:t>
      </w:r>
      <w:r>
        <w:rPr>
          <w:color w:val="231F20"/>
          <w:spacing w:val="26"/>
        </w:rPr>
        <w:t> </w:t>
      </w:r>
      <w:r>
        <w:rPr>
          <w:color w:val="231F20"/>
        </w:rPr>
        <w:t>para- graaf 2 het recht om uiterlijk een maand vóór de algemene vergadering op de zetel van de vennootschap van voornoemde stukken kennis te nemen en kan hij overeenkomstig paragraaf 3 binnen dezelfde termijn een kopie ervan</w:t>
      </w:r>
      <w:r>
        <w:rPr>
          <w:color w:val="231F20"/>
          <w:spacing w:val="4"/>
        </w:rPr>
        <w:t> </w:t>
      </w:r>
      <w:r>
        <w:rPr>
          <w:color w:val="231F20"/>
        </w:rPr>
        <w:t>verkrijgen.</w:t>
      </w:r>
    </w:p>
    <w:p>
      <w:pPr>
        <w:pStyle w:val="BodyText"/>
        <w:spacing w:line="218" w:lineRule="auto" w:before="86"/>
      </w:pPr>
      <w:r>
        <w:rPr>
          <w:color w:val="231F20"/>
        </w:rPr>
        <w:t>§ 2. Iedere vennoot of aandeelhouder heeft tevens het recht uiterlijk een maand vóór de datum van de algemene vergadering die over het fusievoorstel moet besluiten, op de zetel van de vennootschap kennis te nemen van de volgende stukken:</w:t>
      </w:r>
    </w:p>
    <w:p>
      <w:pPr>
        <w:pStyle w:val="BodyText"/>
        <w:spacing w:before="71"/>
        <w:ind w:left="283" w:right="0" w:firstLine="0"/>
        <w:jc w:val="left"/>
      </w:pPr>
      <w:r>
        <w:rPr>
          <w:color w:val="231F20"/>
        </w:rPr>
        <w:t>1° het fusievoorstel;</w:t>
      </w:r>
    </w:p>
    <w:p>
      <w:pPr>
        <w:pStyle w:val="BodyText"/>
        <w:spacing w:line="218" w:lineRule="auto" w:before="82"/>
      </w:pPr>
      <w:r>
        <w:rPr>
          <w:color w:val="231F20"/>
        </w:rPr>
        <w:t>2° in voorkomend geval, de in de artikelen 12:38 en 12:39 bedoelde verslagen;</w:t>
      </w:r>
    </w:p>
    <w:p>
      <w:pPr>
        <w:pStyle w:val="BodyText"/>
        <w:spacing w:line="218" w:lineRule="auto" w:before="86"/>
      </w:pPr>
      <w:r>
        <w:rPr>
          <w:color w:val="231F20"/>
        </w:rPr>
        <w:t>3° de jaarrekeningen over de laatste drie boekjaren van elke bij de fusie betrokken vennootschap;</w:t>
      </w:r>
    </w:p>
    <w:p>
      <w:pPr>
        <w:pStyle w:val="BodyText"/>
        <w:spacing w:line="218" w:lineRule="auto" w:before="85"/>
      </w:pPr>
      <w:r>
        <w:rPr>
          <w:color w:val="231F20"/>
        </w:rPr>
        <w:t>4° wat de besloten vennootschap betreft, de coöperatieve vennoot- schap, de naamloze vennootschap, de Europese vennootschap en de Europese coöperatieve vennootschap, de verslagen van het bestuurs- orgaan en de verslagen van de commissaris over de laatste drie boekjaren, als er één is;</w:t>
      </w:r>
    </w:p>
    <w:p>
      <w:pPr>
        <w:pStyle w:val="BodyText"/>
        <w:spacing w:line="218" w:lineRule="auto" w:before="86"/>
      </w:pPr>
      <w:r>
        <w:rPr>
          <w:color w:val="231F20"/>
        </w:rPr>
        <w:t>5° in voorkomend geval, indien de laatste jaarrekening betrekking heeft op een boekjaar dat meer dan zes maanden vóór de datum van het fusievoorstel is afgesloten: tussentijdse cijfers over de stand van het vermogen die niet meer dan drie maanden vóór de datum van dat voorstel zijn afgesloten en die overeenkomstig het tweede tot het vierde lid zijn opgesteld.</w:t>
      </w:r>
    </w:p>
    <w:p>
      <w:pPr>
        <w:pStyle w:val="BodyText"/>
        <w:spacing w:line="218" w:lineRule="auto" w:before="86"/>
      </w:pPr>
      <w:r>
        <w:rPr>
          <w:color w:val="231F20"/>
        </w:rPr>
        <w:t>Deze tussentijdse cijfers worden opgemaakt volgens dezelfde metho- den en dezelfde opstelling als de laatste jaarrekening.</w:t>
      </w:r>
    </w:p>
    <w:p>
      <w:pPr>
        <w:pStyle w:val="BodyText"/>
        <w:spacing w:before="71"/>
        <w:ind w:left="283" w:right="0" w:firstLine="0"/>
        <w:jc w:val="left"/>
      </w:pPr>
      <w:r>
        <w:rPr>
          <w:color w:val="231F20"/>
        </w:rPr>
        <w:t>Een nieuwe inventaris moet echter niet worden opgemaakt.</w:t>
      </w:r>
    </w:p>
    <w:p>
      <w:pPr>
        <w:pStyle w:val="BodyText"/>
        <w:spacing w:line="218" w:lineRule="auto" w:before="82"/>
        <w:ind w:right="123"/>
      </w:pPr>
      <w:r>
        <w:rPr>
          <w:color w:val="231F20"/>
        </w:rPr>
        <w:t>De wijzigingen van de in de laatste balans voorkomende waarderin- gen kunnen worden beperkt tot de wijzigingen die voortvloeien uit de verrichte boekingen. Er moet echter rekening worden gehouden met tussentijdse afschrijvingen en voorzieningen, evenals met belangrijke wijzigingen van de waarden die niet uit de boeken blijken.</w:t>
      </w:r>
    </w:p>
    <w:p>
      <w:pPr>
        <w:pStyle w:val="BodyText"/>
        <w:spacing w:line="218" w:lineRule="auto" w:before="86"/>
        <w:ind w:right="123"/>
      </w:pPr>
      <w:r>
        <w:rPr>
          <w:color w:val="231F20"/>
        </w:rPr>
        <w:t>Het eerste lid, 5°,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deze paragraaf aan de aandeelhouders beschikbaar stelt.</w:t>
      </w:r>
    </w:p>
    <w:p>
      <w:pPr>
        <w:pStyle w:val="BodyText"/>
        <w:spacing w:line="218" w:lineRule="auto" w:before="86"/>
        <w:ind w:right="123"/>
      </w:pPr>
      <w:r>
        <w:rPr>
          <w:color w:val="231F20"/>
        </w:rPr>
        <w:t>Het eerste lid, 5°,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85"/>
      </w:pP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spacing w:line="218" w:lineRule="auto" w:before="86"/>
      </w:pPr>
      <w:r>
        <w:rPr>
          <w:color w:val="231F20"/>
        </w:rPr>
        <w:t>§ 4. Wanneer een vennootschap de in paragraaf 2 bedoelde stukken, gedurende een ononderbroken periode van een maand vóór de datum van de algemene vergadering die over het fusievoorstel moet besluiten en die niet eerder eindigt dan op het ogenblik van de sluiting van die vergadering, kosteloos op de vennootschapswebsite beschikbaar stelt, moet zij de in paragraaf 2 bedoelde stukken niet op haar zetel beschikbaar stellen.</w:t>
      </w:r>
    </w:p>
    <w:p>
      <w:pPr>
        <w:pStyle w:val="BodyText"/>
        <w:spacing w:line="218" w:lineRule="auto" w:before="86"/>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die over het fusievoorstel moet besluiten, op de vennoot- schapswebsite blijven staan en kunnen worden gedownload en afge- drukt. Bovendien stelt de vennootschap in dit geval eveneens deze stukken ter beschikking op haar zetel voor raadpleging door de vennoten of</w:t>
      </w:r>
      <w:r>
        <w:rPr>
          <w:color w:val="231F20"/>
          <w:spacing w:val="-11"/>
        </w:rPr>
        <w:t> </w:t>
      </w:r>
      <w:r>
        <w:rPr>
          <w:color w:val="231F20"/>
        </w:rPr>
        <w:t>aandeelhouders.</w:t>
      </w:r>
    </w:p>
    <w:p>
      <w:pPr>
        <w:pStyle w:val="BodyText"/>
        <w:spacing w:line="218" w:lineRule="auto" w:before="97"/>
      </w:pPr>
      <w:r>
        <w:rPr>
          <w:color w:val="231F20"/>
        </w:rPr>
        <w:t>Art. 12:42. § 1. Een vennootschap kan een andere vennootschap alleen dan overnemen, wanneer de vennoten of aandeelhouders van de andere vennootschap voldoen aan de vereisten voor de verkrijging van de hoedanigheid van vennoot of aandeelhouder in de nieuwe vennoot- schap.</w:t>
      </w:r>
    </w:p>
    <w:p>
      <w:pPr>
        <w:pStyle w:val="BodyText"/>
        <w:spacing w:line="218" w:lineRule="auto" w:before="96"/>
      </w:pPr>
      <w:r>
        <w:rPr>
          <w:color w:val="231F20"/>
        </w:rPr>
        <w:t>§ 2. In een coöperatieve vennootschap kan, niettegenstaande anders- luidende bepaling, iedere andeelhouder te allen tijde in de loop van het boekjaar uittreden vanaf de bijeenroeping van een algemene vergade- ring die moet besluiten over de fusie van de vennootschap met een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0" w:hanging="1"/>
        <w:jc w:val="left"/>
      </w:pPr>
      <w:r>
        <w:rPr/>
        <w:pict>
          <v:line style="position:absolute;mso-position-horizontal-relative:page;mso-position-vertical-relative:page;z-index:6616" from="298.170502pt,64.473pt" to="298.170502pt,812.819pt" stroked="true" strokeweight=".533pt" strokecolor="#231f20">
            <v:stroke dashstyle="solid"/>
            <w10:wrap type="none"/>
          </v:line>
        </w:pict>
      </w:r>
      <w:bookmarkStart w:name="_bookmark233" w:id="239"/>
      <w:bookmarkEnd w:id="239"/>
      <w:r>
        <w:rPr/>
      </w:r>
      <w:r>
        <w:rPr>
          <w:color w:val="231F20"/>
        </w:rPr>
        <w:t>de la fusion de la société dans une nouvelle société d’une autre forme légale.</w:t>
      </w:r>
    </w:p>
    <w:p>
      <w:pPr>
        <w:pStyle w:val="BodyText"/>
        <w:spacing w:line="218" w:lineRule="auto" w:before="85"/>
        <w:ind w:right="74"/>
      </w:pPr>
      <w:r>
        <w:rPr>
          <w:color w:val="231F20"/>
        </w:rPr>
        <w:t>Il notifie sa démission à la société conformément à l’article 2:32 cinq jours au moins avant la date de l’assemblée générale. Elle n’aura d’effet que si la fusion est décidée.</w:t>
      </w:r>
    </w:p>
    <w:p>
      <w:pPr>
        <w:pStyle w:val="BodyText"/>
        <w:spacing w:before="8"/>
        <w:ind w:left="0" w:right="0" w:firstLine="0"/>
        <w:jc w:val="left"/>
        <w:rPr>
          <w:sz w:val="21"/>
        </w:rPr>
      </w:pPr>
    </w:p>
    <w:p>
      <w:pPr>
        <w:pStyle w:val="BodyText"/>
        <w:spacing w:line="218" w:lineRule="auto"/>
        <w:ind w:right="74"/>
      </w:pPr>
      <w:r>
        <w:rPr>
          <w:color w:val="231F20"/>
        </w:rPr>
        <w:t>La convocation à l’assemblée reproduit le texte des alinéas 1</w:t>
      </w:r>
      <w:r>
        <w:rPr>
          <w:color w:val="231F20"/>
          <w:position w:val="7"/>
          <w:sz w:val="11"/>
        </w:rPr>
        <w:t>er </w:t>
      </w:r>
      <w:r>
        <w:rPr>
          <w:color w:val="231F20"/>
        </w:rPr>
        <w:t>et 2 du présent paragraphe.</w:t>
      </w:r>
    </w:p>
    <w:p>
      <w:pPr>
        <w:pStyle w:val="BodyText"/>
        <w:spacing w:line="218" w:lineRule="auto" w:before="70"/>
        <w:ind w:right="73"/>
      </w:pPr>
      <w:r>
        <w:rPr>
          <w:color w:val="231F20"/>
        </w:rPr>
        <w:t>Art. 12:43. § 1</w:t>
      </w:r>
      <w:r>
        <w:rPr>
          <w:color w:val="231F20"/>
          <w:position w:val="7"/>
          <w:sz w:val="11"/>
        </w:rPr>
        <w:t>er</w:t>
      </w:r>
      <w:r>
        <w:rPr>
          <w:color w:val="231F20"/>
        </w:rPr>
        <w:t>. Sans préjudice des dispositions particulières énoncées dans le présent article et sous réserve de dispositions statutaires plus rigoureuses, l’assemblée générale décide de la fusion de la société dans le respect des règles de présence et de majorité suivantes:</w:t>
      </w:r>
    </w:p>
    <w:p>
      <w:pPr>
        <w:pStyle w:val="BodyText"/>
        <w:spacing w:line="218" w:lineRule="auto" w:before="86"/>
        <w:ind w:right="73"/>
      </w:pPr>
      <w:r>
        <w:rPr>
          <w:color w:val="231F20"/>
        </w:rPr>
        <w:t>1° ceux qui assistent ou sont représentés à la réunion doivent représenter la moitié au moins du capital, ou, si la société ne dispose pas d’un capital, la moitié du nombre total des actions ou parts émises. Si cette condition n’est pas remplie, une nouvelle convocation sera nécessaire. La deuxième assemblée pourra valablement délibérer et statuer, quel que soit le nombre d’actions ou parts présentes ou représentées;</w:t>
      </w:r>
    </w:p>
    <w:p>
      <w:pPr>
        <w:pStyle w:val="BodyText"/>
        <w:spacing w:line="218" w:lineRule="auto" w:before="83"/>
        <w:ind w:right="73"/>
      </w:pPr>
      <w:r>
        <w:rPr>
          <w:color w:val="231F20"/>
        </w:rPr>
        <w:t>2° </w:t>
      </w:r>
      <w:r>
        <w:rPr>
          <w:rFonts w:ascii="Times New Roman" w:hAnsi="Times New Roman"/>
          <w:i/>
          <w:color w:val="231F20"/>
        </w:rPr>
        <w:t>a) </w:t>
      </w:r>
      <w:r>
        <w:rPr>
          <w:color w:val="231F20"/>
        </w:rPr>
        <w:t>une proposition de fusion n’est acceptée que si elle réunit les trois quarts des voix, sans qu’il soit tenu compte des abstentions au numérateur ou au dénominateur;</w:t>
      </w:r>
    </w:p>
    <w:p>
      <w:pPr>
        <w:pStyle w:val="BodyText"/>
        <w:spacing w:line="218" w:lineRule="auto" w:before="83"/>
        <w:ind w:right="74"/>
      </w:pP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before="72"/>
        <w:ind w:left="283" w:right="0" w:firstLine="0"/>
        <w:jc w:val="left"/>
      </w:pPr>
      <w:r>
        <w:rPr>
          <w:color w:val="231F20"/>
        </w:rPr>
        <w:t>§ 2. L’article 7:179 n’est pas applicable.</w:t>
      </w:r>
    </w:p>
    <w:p>
      <w:pPr>
        <w:pStyle w:val="BodyText"/>
        <w:spacing w:line="218" w:lineRule="auto" w:before="82"/>
        <w:ind w:right="74"/>
      </w:pPr>
      <w:r>
        <w:rPr>
          <w:color w:val="231F20"/>
        </w:rPr>
        <w:t>§ 3. S’il existe plusieurs classes d’actions, parts ou titres, représenta- tifs ou non du capital exprimé, et si la fusion entraîne une modification de leurs droits respectifs, l’article 5:102, alinéa 3, l’article 6:87, alinéa 3, ou l’article 7:155, alinéa 3, s’applique par analogie.</w:t>
      </w:r>
    </w:p>
    <w:p>
      <w:pPr>
        <w:pStyle w:val="BodyText"/>
        <w:spacing w:before="8"/>
        <w:ind w:left="0" w:right="0" w:firstLine="0"/>
        <w:jc w:val="left"/>
        <w:rPr>
          <w:sz w:val="21"/>
        </w:rPr>
      </w:pPr>
    </w:p>
    <w:p>
      <w:pPr>
        <w:pStyle w:val="BodyText"/>
        <w:spacing w:before="1"/>
        <w:ind w:left="283" w:right="0" w:firstLine="0"/>
        <w:jc w:val="left"/>
      </w:pPr>
      <w:r>
        <w:rPr>
          <w:color w:val="231F20"/>
        </w:rPr>
        <w:t>§ 4. L’accord de tous les associés ou actionnaires est requis:</w:t>
      </w:r>
    </w:p>
    <w:p>
      <w:pPr>
        <w:pStyle w:val="BodyText"/>
        <w:spacing w:line="218" w:lineRule="auto" w:before="82"/>
        <w:ind w:right="74"/>
      </w:pPr>
      <w:r>
        <w:rPr>
          <w:color w:val="231F20"/>
        </w:rPr>
        <w:t>1° dans les nouvelles sociétés ou dans les sociétés à absorber qui sont des sociétés en nom collectif;</w:t>
      </w:r>
    </w:p>
    <w:p>
      <w:pPr>
        <w:pStyle w:val="BodyText"/>
        <w:spacing w:before="71"/>
        <w:ind w:left="283" w:right="0" w:firstLine="0"/>
        <w:jc w:val="left"/>
      </w:pPr>
      <w:r>
        <w:rPr>
          <w:color w:val="231F20"/>
        </w:rPr>
        <w:t>2° dans les sociétés à absorber lorsque la nouvelle société est:</w:t>
      </w:r>
    </w:p>
    <w:p>
      <w:pPr>
        <w:pStyle w:val="BodyText"/>
        <w:spacing w:before="2"/>
        <w:ind w:left="0" w:right="0" w:firstLine="0"/>
        <w:jc w:val="left"/>
        <w:rPr>
          <w:sz w:val="21"/>
        </w:rPr>
      </w:pPr>
    </w:p>
    <w:p>
      <w:pPr>
        <w:pStyle w:val="ListParagraph"/>
        <w:numPr>
          <w:ilvl w:val="0"/>
          <w:numId w:val="131"/>
        </w:numPr>
        <w:tabs>
          <w:tab w:pos="474" w:val="left" w:leader="none"/>
        </w:tabs>
        <w:spacing w:line="240" w:lineRule="auto" w:before="0" w:after="0"/>
        <w:ind w:left="473" w:right="0" w:hanging="190"/>
        <w:jc w:val="left"/>
        <w:rPr>
          <w:sz w:val="17"/>
        </w:rPr>
      </w:pPr>
      <w:r>
        <w:rPr>
          <w:color w:val="231F20"/>
          <w:sz w:val="17"/>
        </w:rPr>
        <w:t>une société en nom </w:t>
      </w:r>
      <w:r>
        <w:rPr>
          <w:color w:val="231F20"/>
          <w:spacing w:val="3"/>
          <w:sz w:val="17"/>
        </w:rPr>
        <w:t> </w:t>
      </w:r>
      <w:r>
        <w:rPr>
          <w:color w:val="231F20"/>
          <w:sz w:val="17"/>
        </w:rPr>
        <w:t>collectif;</w:t>
      </w:r>
    </w:p>
    <w:p>
      <w:pPr>
        <w:pStyle w:val="ListParagraph"/>
        <w:numPr>
          <w:ilvl w:val="0"/>
          <w:numId w:val="131"/>
        </w:numPr>
        <w:tabs>
          <w:tab w:pos="477" w:val="left" w:leader="none"/>
        </w:tabs>
        <w:spacing w:line="240" w:lineRule="auto" w:before="66" w:after="0"/>
        <w:ind w:left="476" w:right="0" w:hanging="193"/>
        <w:jc w:val="left"/>
        <w:rPr>
          <w:sz w:val="17"/>
        </w:rPr>
      </w:pPr>
      <w:r>
        <w:rPr>
          <w:color w:val="231F20"/>
          <w:sz w:val="17"/>
        </w:rPr>
        <w:t>une société en</w:t>
      </w:r>
      <w:r>
        <w:rPr>
          <w:color w:val="231F20"/>
          <w:spacing w:val="39"/>
          <w:sz w:val="17"/>
        </w:rPr>
        <w:t> </w:t>
      </w:r>
      <w:r>
        <w:rPr>
          <w:color w:val="231F20"/>
          <w:sz w:val="17"/>
        </w:rPr>
        <w:t>commandite.</w:t>
      </w:r>
    </w:p>
    <w:p>
      <w:pPr>
        <w:pStyle w:val="BodyText"/>
        <w:spacing w:line="218" w:lineRule="auto" w:before="67"/>
        <w:ind w:right="73"/>
      </w:pPr>
      <w:r>
        <w:rPr>
          <w:color w:val="231F20"/>
        </w:rPr>
        <w:t>Dans les cas visés à l’alinéa 1</w:t>
      </w:r>
      <w:r>
        <w:rPr>
          <w:color w:val="231F20"/>
          <w:position w:val="7"/>
          <w:sz w:val="11"/>
        </w:rPr>
        <w:t>er</w:t>
      </w:r>
      <w:r>
        <w:rPr>
          <w:color w:val="231F20"/>
        </w:rPr>
        <w:t>, 2°, l’accord unanime des titulaires de titres non représentatifs du capital de la société est, le cas échéant, requis.</w:t>
      </w:r>
    </w:p>
    <w:p>
      <w:pPr>
        <w:pStyle w:val="BodyText"/>
        <w:spacing w:line="218" w:lineRule="auto" w:before="85"/>
        <w:ind w:right="74"/>
      </w:pPr>
      <w:r>
        <w:rPr>
          <w:color w:val="231F20"/>
        </w:rPr>
        <w:t>§ 5. Dans la société en commandite, l’accord de tous les associés commandités est en outre requis.</w:t>
      </w:r>
    </w:p>
    <w:p>
      <w:pPr>
        <w:pStyle w:val="BodyText"/>
        <w:spacing w:line="218" w:lineRule="auto" w:before="85"/>
        <w:ind w:right="74"/>
      </w:pPr>
      <w:r>
        <w:rPr>
          <w:color w:val="231F20"/>
        </w:rPr>
        <w:t>Art. 12:44. Dans chaque société participant à la fusion, le procès- verbal de l’assemblée générale qui décide la fusion est, à peine de nullité, établi par acte authentique.</w:t>
      </w:r>
    </w:p>
    <w:p>
      <w:pPr>
        <w:pStyle w:val="BodyText"/>
        <w:spacing w:line="218" w:lineRule="auto" w:before="86"/>
        <w:ind w:right="0"/>
      </w:pPr>
      <w:r>
        <w:rPr>
          <w:color w:val="231F20"/>
        </w:rPr>
        <w:t>L’acte reproduit, le cas échéant, les conclusions du rapport visé à l’article 12:39.</w:t>
      </w:r>
    </w:p>
    <w:p>
      <w:pPr>
        <w:pStyle w:val="BodyText"/>
        <w:spacing w:line="218" w:lineRule="auto" w:before="85"/>
        <w:ind w:right="74"/>
      </w:pPr>
      <w:r>
        <w:rPr>
          <w:color w:val="231F20"/>
        </w:rPr>
        <w:t>Le notaire doit vérifier et attester l’existence et la légalité, tant</w:t>
      </w:r>
      <w:r>
        <w:rPr>
          <w:color w:val="231F20"/>
          <w:spacing w:val="-24"/>
        </w:rPr>
        <w:t> </w:t>
      </w:r>
      <w:r>
        <w:rPr>
          <w:color w:val="231F20"/>
        </w:rPr>
        <w:t>interne qu’externe, des actes et formalités incombant à la société auprès de laquelle il</w:t>
      </w:r>
      <w:r>
        <w:rPr>
          <w:color w:val="231F20"/>
          <w:spacing w:val="-12"/>
        </w:rPr>
        <w:t> </w:t>
      </w:r>
      <w:r>
        <w:rPr>
          <w:color w:val="231F20"/>
        </w:rPr>
        <w:t>instrumente.</w:t>
      </w:r>
    </w:p>
    <w:p>
      <w:pPr>
        <w:pStyle w:val="BodyText"/>
        <w:spacing w:line="218" w:lineRule="auto" w:before="86"/>
        <w:ind w:right="73"/>
      </w:pPr>
      <w:r>
        <w:rPr>
          <w:color w:val="231F20"/>
        </w:rPr>
        <w:t>Art. 12:45. Immédiatement après la décision de fusion, l’assemblée générale de chacune des sociétés qui fusionnent doit approuver le projet d’acte constitutif et les statuts de la nouvelle société aux mêmes conditions de présence et de majorité que celles requises pour la décision</w:t>
      </w:r>
      <w:r>
        <w:rPr>
          <w:color w:val="231F20"/>
          <w:spacing w:val="16"/>
        </w:rPr>
        <w:t> </w:t>
      </w:r>
      <w:r>
        <w:rPr>
          <w:color w:val="231F20"/>
        </w:rPr>
        <w:t>de</w:t>
      </w:r>
      <w:r>
        <w:rPr>
          <w:color w:val="231F20"/>
          <w:spacing w:val="16"/>
        </w:rPr>
        <w:t> </w:t>
      </w:r>
      <w:r>
        <w:rPr>
          <w:color w:val="231F20"/>
        </w:rPr>
        <w:t>fusion.</w:t>
      </w:r>
      <w:r>
        <w:rPr>
          <w:color w:val="231F20"/>
          <w:spacing w:val="10"/>
        </w:rPr>
        <w:t> </w:t>
      </w:r>
      <w:r>
        <w:rPr>
          <w:color w:val="231F20"/>
        </w:rPr>
        <w:t>A</w:t>
      </w:r>
      <w:r>
        <w:rPr>
          <w:color w:val="231F20"/>
          <w:spacing w:val="7"/>
        </w:rPr>
        <w:t> </w:t>
      </w:r>
      <w:r>
        <w:rPr>
          <w:color w:val="231F20"/>
        </w:rPr>
        <w:t>défaut,</w:t>
      </w:r>
      <w:r>
        <w:rPr>
          <w:color w:val="231F20"/>
          <w:spacing w:val="16"/>
        </w:rPr>
        <w:t> </w:t>
      </w:r>
      <w:r>
        <w:rPr>
          <w:color w:val="231F20"/>
        </w:rPr>
        <w:t>la</w:t>
      </w:r>
      <w:r>
        <w:rPr>
          <w:color w:val="231F20"/>
          <w:spacing w:val="16"/>
        </w:rPr>
        <w:t> </w:t>
      </w:r>
      <w:r>
        <w:rPr>
          <w:color w:val="231F20"/>
        </w:rPr>
        <w:t>décision</w:t>
      </w:r>
      <w:r>
        <w:rPr>
          <w:color w:val="231F20"/>
          <w:spacing w:val="16"/>
        </w:rPr>
        <w:t> </w:t>
      </w:r>
      <w:r>
        <w:rPr>
          <w:color w:val="231F20"/>
        </w:rPr>
        <w:t>de</w:t>
      </w:r>
      <w:r>
        <w:rPr>
          <w:color w:val="231F20"/>
          <w:spacing w:val="16"/>
        </w:rPr>
        <w:t> </w:t>
      </w:r>
      <w:r>
        <w:rPr>
          <w:color w:val="231F20"/>
        </w:rPr>
        <w:t>fusion</w:t>
      </w:r>
      <w:r>
        <w:rPr>
          <w:color w:val="231F20"/>
          <w:spacing w:val="16"/>
        </w:rPr>
        <w:t> </w:t>
      </w:r>
      <w:r>
        <w:rPr>
          <w:color w:val="231F20"/>
        </w:rPr>
        <w:t>reste</w:t>
      </w:r>
      <w:r>
        <w:rPr>
          <w:color w:val="231F20"/>
          <w:spacing w:val="16"/>
        </w:rPr>
        <w:t> </w:t>
      </w:r>
      <w:r>
        <w:rPr>
          <w:color w:val="231F20"/>
        </w:rPr>
        <w:t>sans</w:t>
      </w:r>
      <w:r>
        <w:rPr>
          <w:color w:val="231F20"/>
          <w:spacing w:val="16"/>
        </w:rPr>
        <w:t> </w:t>
      </w:r>
      <w:r>
        <w:rPr>
          <w:color w:val="231F20"/>
        </w:rPr>
        <w:t>effet.</w:t>
      </w:r>
    </w:p>
    <w:p>
      <w:pPr>
        <w:pStyle w:val="BodyText"/>
        <w:ind w:left="0" w:right="0" w:firstLine="0"/>
        <w:jc w:val="left"/>
        <w:rPr>
          <w:sz w:val="23"/>
        </w:rPr>
      </w:pPr>
    </w:p>
    <w:p>
      <w:pPr>
        <w:pStyle w:val="BodyText"/>
        <w:spacing w:line="218" w:lineRule="auto"/>
        <w:ind w:right="74"/>
      </w:pPr>
      <w:r>
        <w:rPr>
          <w:color w:val="231F20"/>
        </w:rPr>
        <w:t>Art. 12:46. La fusion est réalisée lorsque la nouvelle société est constituée.</w:t>
      </w:r>
    </w:p>
    <w:p>
      <w:pPr>
        <w:pStyle w:val="BodyText"/>
        <w:spacing w:line="213" w:lineRule="auto" w:before="84"/>
        <w:ind w:right="74"/>
      </w:pPr>
      <w:r>
        <w:rPr>
          <w:color w:val="231F20"/>
        </w:rPr>
        <w:t>Art. 12:47. § 1</w:t>
      </w:r>
      <w:r>
        <w:rPr>
          <w:color w:val="231F20"/>
          <w:position w:val="7"/>
          <w:sz w:val="11"/>
        </w:rPr>
        <w:t>er</w:t>
      </w:r>
      <w:r>
        <w:rPr>
          <w:color w:val="231F20"/>
        </w:rPr>
        <w:t>. Sous réserve des modalités déterminées au paragraphe 2, les actes constatant la décision de fusion prise par les assemblées générales sont déposés et publiés par extrait conformément aux articles 2:8 et 2:14, 1°, et les articles 2:7, 2:8, 2:12, § 1</w:t>
      </w:r>
      <w:r>
        <w:rPr>
          <w:color w:val="231F20"/>
          <w:position w:val="7"/>
          <w:sz w:val="11"/>
        </w:rPr>
        <w:t>er</w:t>
      </w:r>
      <w:r>
        <w:rPr>
          <w:color w:val="231F20"/>
        </w:rPr>
        <w:t>, alinéa 1</w:t>
      </w:r>
      <w:r>
        <w:rPr>
          <w:color w:val="231F20"/>
          <w:position w:val="7"/>
          <w:sz w:val="11"/>
        </w:rPr>
        <w:t>er</w:t>
      </w:r>
      <w:r>
        <w:rPr>
          <w:color w:val="231F20"/>
        </w:rPr>
        <w:t>, et 2:13</w:t>
      </w:r>
      <w:r>
        <w:rPr>
          <w:color w:val="231F20"/>
          <w:spacing w:val="15"/>
        </w:rPr>
        <w:t> </w:t>
      </w:r>
      <w:r>
        <w:rPr>
          <w:color w:val="231F20"/>
        </w:rPr>
        <w:t>sont</w:t>
      </w:r>
      <w:r>
        <w:rPr>
          <w:color w:val="231F20"/>
          <w:spacing w:val="15"/>
        </w:rPr>
        <w:t> </w:t>
      </w:r>
      <w:r>
        <w:rPr>
          <w:color w:val="231F20"/>
        </w:rPr>
        <w:t>applicables</w:t>
      </w:r>
      <w:r>
        <w:rPr>
          <w:color w:val="231F20"/>
          <w:spacing w:val="15"/>
        </w:rPr>
        <w:t> </w:t>
      </w:r>
      <w:r>
        <w:rPr>
          <w:color w:val="231F20"/>
        </w:rPr>
        <w:t>à</w:t>
      </w:r>
      <w:r>
        <w:rPr>
          <w:color w:val="231F20"/>
          <w:spacing w:val="15"/>
        </w:rPr>
        <w:t> </w:t>
      </w:r>
      <w:r>
        <w:rPr>
          <w:color w:val="231F20"/>
        </w:rPr>
        <w:t>l’acte</w:t>
      </w:r>
      <w:r>
        <w:rPr>
          <w:color w:val="231F20"/>
          <w:spacing w:val="15"/>
        </w:rPr>
        <w:t> </w:t>
      </w:r>
      <w:r>
        <w:rPr>
          <w:color w:val="231F20"/>
        </w:rPr>
        <w:t>constitutif</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nouvelle</w:t>
      </w:r>
      <w:r>
        <w:rPr>
          <w:color w:val="231F20"/>
          <w:spacing w:val="15"/>
        </w:rPr>
        <w:t> </w:t>
      </w:r>
      <w:r>
        <w:rPr>
          <w:color w:val="231F20"/>
        </w:rPr>
        <w:t>société.</w:t>
      </w:r>
    </w:p>
    <w:p>
      <w:pPr>
        <w:pStyle w:val="BodyText"/>
        <w:spacing w:before="9"/>
        <w:ind w:left="0" w:right="0" w:firstLine="0"/>
        <w:jc w:val="left"/>
        <w:rPr>
          <w:sz w:val="22"/>
        </w:rPr>
      </w:pPr>
    </w:p>
    <w:p>
      <w:pPr>
        <w:pStyle w:val="BodyText"/>
        <w:spacing w:line="218" w:lineRule="auto"/>
        <w:ind w:right="74"/>
      </w:pPr>
      <w:r>
        <w:rPr>
          <w:color w:val="231F20"/>
        </w:rPr>
        <w:t>§ 2. Les actes visés au paragraphe 1</w:t>
      </w:r>
      <w:r>
        <w:rPr>
          <w:color w:val="231F20"/>
          <w:position w:val="7"/>
          <w:sz w:val="11"/>
        </w:rPr>
        <w:t>er </w:t>
      </w:r>
      <w:r>
        <w:rPr>
          <w:color w:val="231F20"/>
        </w:rPr>
        <w:t>sont publiés simultanément dans les dix jours du dépôt de l’acte constatant la décision de fusion prise</w:t>
      </w:r>
      <w:r>
        <w:rPr>
          <w:color w:val="231F20"/>
          <w:spacing w:val="15"/>
        </w:rPr>
        <w:t> </w:t>
      </w:r>
      <w:r>
        <w:rPr>
          <w:color w:val="231F20"/>
        </w:rPr>
        <w:t>par</w:t>
      </w:r>
      <w:r>
        <w:rPr>
          <w:color w:val="231F20"/>
          <w:spacing w:val="16"/>
        </w:rPr>
        <w:t> </w:t>
      </w:r>
      <w:r>
        <w:rPr>
          <w:color w:val="231F20"/>
        </w:rPr>
        <w:t>l’assemblée</w:t>
      </w:r>
      <w:r>
        <w:rPr>
          <w:color w:val="231F20"/>
          <w:spacing w:val="16"/>
        </w:rPr>
        <w:t> </w:t>
      </w:r>
      <w:r>
        <w:rPr>
          <w:color w:val="231F20"/>
        </w:rPr>
        <w:t>générale</w:t>
      </w:r>
      <w:r>
        <w:rPr>
          <w:color w:val="231F20"/>
          <w:spacing w:val="16"/>
        </w:rPr>
        <w:t> </w:t>
      </w:r>
      <w:r>
        <w:rPr>
          <w:color w:val="231F20"/>
        </w:rPr>
        <w:t>qui</w:t>
      </w:r>
      <w:r>
        <w:rPr>
          <w:color w:val="231F20"/>
          <w:spacing w:val="16"/>
        </w:rPr>
        <w:t> </w:t>
      </w:r>
      <w:r>
        <w:rPr>
          <w:color w:val="231F20"/>
        </w:rPr>
        <w:t>s’est</w:t>
      </w:r>
      <w:r>
        <w:rPr>
          <w:color w:val="231F20"/>
          <w:spacing w:val="16"/>
        </w:rPr>
        <w:t> </w:t>
      </w:r>
      <w:r>
        <w:rPr>
          <w:color w:val="231F20"/>
        </w:rPr>
        <w:t>réunie</w:t>
      </w:r>
      <w:r>
        <w:rPr>
          <w:color w:val="231F20"/>
          <w:spacing w:val="16"/>
        </w:rPr>
        <w:t> </w:t>
      </w:r>
      <w:r>
        <w:rPr>
          <w:color w:val="231F20"/>
        </w:rPr>
        <w:t>en</w:t>
      </w:r>
      <w:r>
        <w:rPr>
          <w:color w:val="231F20"/>
          <w:spacing w:val="16"/>
        </w:rPr>
        <w:t> </w:t>
      </w:r>
      <w:r>
        <w:rPr>
          <w:color w:val="231F20"/>
        </w:rPr>
        <w:t>dernier</w:t>
      </w:r>
      <w:r>
        <w:rPr>
          <w:color w:val="231F20"/>
          <w:spacing w:val="16"/>
        </w:rPr>
        <w:t> </w:t>
      </w:r>
      <w:r>
        <w:rPr>
          <w:color w:val="231F20"/>
        </w:rPr>
        <w:t>lieu.</w:t>
      </w:r>
    </w:p>
    <w:p>
      <w:pPr>
        <w:pStyle w:val="BodyText"/>
        <w:spacing w:before="10"/>
        <w:ind w:left="0" w:right="0" w:firstLine="0"/>
        <w:jc w:val="left"/>
        <w:rPr>
          <w:sz w:val="23"/>
        </w:rPr>
      </w:pPr>
    </w:p>
    <w:p>
      <w:pPr>
        <w:pStyle w:val="BodyText"/>
        <w:spacing w:line="218" w:lineRule="auto" w:before="1"/>
        <w:ind w:right="74"/>
      </w:pPr>
      <w:r>
        <w:rPr>
          <w:color w:val="231F20"/>
        </w:rPr>
        <w:t>La nouvelle société peut procéder elle-même aux formalités de publicité concernant les sociétés qui fusionnent.</w:t>
      </w:r>
    </w:p>
    <w:p>
      <w:pPr>
        <w:pStyle w:val="BodyText"/>
        <w:spacing w:line="218" w:lineRule="auto" w:before="119"/>
        <w:ind w:right="183" w:firstLine="0"/>
        <w:jc w:val="left"/>
      </w:pPr>
      <w:r>
        <w:rPr/>
        <w:br w:type="column"/>
      </w:r>
      <w:r>
        <w:rPr>
          <w:color w:val="231F20"/>
        </w:rPr>
        <w:t>nieuwe vennootschap die een andere rechtsvorm heeft, zonder dat hij aan enige andere voorwaarde moet voldoen.</w:t>
      </w:r>
    </w:p>
    <w:p>
      <w:pPr>
        <w:pStyle w:val="BodyText"/>
        <w:spacing w:line="218" w:lineRule="auto" w:before="86"/>
      </w:pPr>
      <w:r>
        <w:rPr>
          <w:color w:val="231F20"/>
        </w:rPr>
        <w:t>Hij geeft van zijn uittreding aan de vennootschap kennis overeen- komstig artikel 2:32 uiterlijk vijf dagen vóór de datum van de algemene vergadering. Zij heeft enkel gevolg als het voorstel tot fusie wordt aangenomen.</w:t>
      </w:r>
    </w:p>
    <w:p>
      <w:pPr>
        <w:pStyle w:val="BodyText"/>
        <w:spacing w:line="218" w:lineRule="auto" w:before="86"/>
      </w:pPr>
      <w:r>
        <w:rPr>
          <w:color w:val="231F20"/>
        </w:rPr>
        <w:t>In de oproepingsbrief wordt de tekst van deze paragraaf, eerste en tweede lid, opgenomen.</w:t>
      </w:r>
    </w:p>
    <w:p>
      <w:pPr>
        <w:pStyle w:val="BodyText"/>
        <w:spacing w:line="218" w:lineRule="auto" w:before="85"/>
      </w:pPr>
      <w:r>
        <w:rPr>
          <w:color w:val="231F20"/>
        </w:rPr>
        <w:t>Art. 12:43. § 1. Onder voorbehoud van strengere statutaire bepalin- gen en onverminderd de bijzondere bepalingen van dit artikel, besluit de algemene vergadering tot fusie van een vennootschap overeenkom- stig de volgende regels van aanwezigheid en meerderheid:</w:t>
      </w:r>
    </w:p>
    <w:p>
      <w:pPr>
        <w:pStyle w:val="BodyText"/>
        <w:ind w:left="0" w:right="0" w:firstLine="0"/>
        <w:jc w:val="left"/>
        <w:rPr>
          <w:sz w:val="23"/>
        </w:rPr>
      </w:pPr>
    </w:p>
    <w:p>
      <w:pPr>
        <w:pStyle w:val="BodyText"/>
        <w:spacing w:line="218" w:lineRule="auto"/>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9"/>
        <w:ind w:left="0" w:right="0" w:firstLine="0"/>
        <w:jc w:val="left"/>
        <w:rPr>
          <w:sz w:val="22"/>
        </w:rPr>
      </w:pPr>
    </w:p>
    <w:p>
      <w:pPr>
        <w:pStyle w:val="BodyText"/>
        <w:spacing w:line="218" w:lineRule="auto"/>
      </w:pPr>
      <w:r>
        <w:rPr>
          <w:color w:val="231F20"/>
        </w:rPr>
        <w:t>2° </w:t>
      </w:r>
      <w:r>
        <w:rPr>
          <w:rFonts w:ascii="Times New Roman" w:hAnsi="Times New Roman"/>
          <w:i/>
          <w:color w:val="231F20"/>
        </w:rPr>
        <w:t>a) </w:t>
      </w:r>
      <w:r>
        <w:rPr>
          <w:color w:val="231F20"/>
        </w:rPr>
        <w:t>een voorstel tot fusie is alleen dan aangenomen, wanneer het drie vierde van de stemmen heeft verkregen, waarbij de onthoudingen in de teller noch in de noemer worden meegerekend;</w:t>
      </w:r>
    </w:p>
    <w:p>
      <w:pPr>
        <w:pStyle w:val="BodyText"/>
        <w:spacing w:line="218" w:lineRule="auto" w:before="83"/>
      </w:pP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before="72"/>
        <w:ind w:left="283" w:right="0" w:firstLine="0"/>
        <w:jc w:val="left"/>
      </w:pPr>
      <w:r>
        <w:rPr>
          <w:color w:val="231F20"/>
        </w:rPr>
        <w:t>§ 2. Artikel 7:179 is niet van toepassing.</w:t>
      </w:r>
    </w:p>
    <w:p>
      <w:pPr>
        <w:pStyle w:val="BodyText"/>
        <w:spacing w:line="218" w:lineRule="auto" w:before="82"/>
      </w:pPr>
      <w:r>
        <w:rPr>
          <w:color w:val="231F20"/>
        </w:rPr>
        <w:t>§ 3. Indien er verschillende soorten van aandelen of effecten bestaan die het in de statuten vastgestelde kapitaal al of niet vertegenwoordi- gen en de fusie aanleiding geeft tot wijziging van hun respectieve rechten,</w:t>
      </w:r>
      <w:r>
        <w:rPr>
          <w:color w:val="231F20"/>
          <w:spacing w:val="-8"/>
        </w:rPr>
        <w:t> </w:t>
      </w:r>
      <w:r>
        <w:rPr>
          <w:color w:val="231F20"/>
        </w:rPr>
        <w:t>is</w:t>
      </w:r>
      <w:r>
        <w:rPr>
          <w:color w:val="231F20"/>
          <w:spacing w:val="-8"/>
        </w:rPr>
        <w:t> </w:t>
      </w:r>
      <w:r>
        <w:rPr>
          <w:color w:val="231F20"/>
        </w:rPr>
        <w:t>artikel</w:t>
      </w:r>
      <w:r>
        <w:rPr>
          <w:color w:val="231F20"/>
          <w:spacing w:val="-8"/>
        </w:rPr>
        <w:t> </w:t>
      </w:r>
      <w:r>
        <w:rPr>
          <w:color w:val="231F20"/>
        </w:rPr>
        <w:t>5:102,</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artikel</w:t>
      </w:r>
      <w:r>
        <w:rPr>
          <w:color w:val="231F20"/>
          <w:spacing w:val="-8"/>
        </w:rPr>
        <w:t> </w:t>
      </w:r>
      <w:r>
        <w:rPr>
          <w:color w:val="231F20"/>
        </w:rPr>
        <w:t>6:87,</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of</w:t>
      </w:r>
      <w:r>
        <w:rPr>
          <w:color w:val="231F20"/>
          <w:spacing w:val="-7"/>
        </w:rPr>
        <w:t> </w:t>
      </w:r>
      <w:r>
        <w:rPr>
          <w:color w:val="231F20"/>
        </w:rPr>
        <w:t>artikel</w:t>
      </w:r>
      <w:r>
        <w:rPr>
          <w:color w:val="231F20"/>
          <w:spacing w:val="-8"/>
        </w:rPr>
        <w:t> </w:t>
      </w:r>
      <w:r>
        <w:rPr>
          <w:color w:val="231F20"/>
        </w:rPr>
        <w:t>7:155, derde lid, van overeenkomstige</w:t>
      </w:r>
      <w:r>
        <w:rPr>
          <w:color w:val="231F20"/>
          <w:spacing w:val="22"/>
        </w:rPr>
        <w:t> </w:t>
      </w:r>
      <w:r>
        <w:rPr>
          <w:color w:val="231F20"/>
        </w:rPr>
        <w:t>toepassing.</w:t>
      </w:r>
    </w:p>
    <w:p>
      <w:pPr>
        <w:pStyle w:val="BodyText"/>
        <w:spacing w:line="260" w:lineRule="atLeast" w:before="5"/>
        <w:ind w:left="283" w:right="183" w:firstLine="0"/>
        <w:jc w:val="left"/>
      </w:pPr>
      <w:r>
        <w:rPr>
          <w:color w:val="231F20"/>
        </w:rPr>
        <w:t>§ 4. De instemming van alle vennoten of aandeelhouders is vereist:  1° in de nieuwe of over te nemen vennootschappen die</w:t>
      </w:r>
      <w:r>
        <w:rPr>
          <w:color w:val="231F20"/>
          <w:spacing w:val="13"/>
        </w:rPr>
        <w:t> </w:t>
      </w:r>
      <w:r>
        <w:rPr>
          <w:color w:val="231F20"/>
        </w:rPr>
        <w:t>vennoot-</w:t>
      </w:r>
    </w:p>
    <w:p>
      <w:pPr>
        <w:pStyle w:val="BodyText"/>
        <w:spacing w:line="177" w:lineRule="exact"/>
        <w:ind w:right="0" w:firstLine="0"/>
        <w:jc w:val="left"/>
      </w:pPr>
      <w:r>
        <w:rPr>
          <w:color w:val="231F20"/>
        </w:rPr>
        <w:t>schappen onder firma zijn;</w:t>
      </w:r>
    </w:p>
    <w:p>
      <w:pPr>
        <w:pStyle w:val="BodyText"/>
        <w:spacing w:line="218" w:lineRule="auto" w:before="82"/>
      </w:pPr>
      <w:r>
        <w:rPr>
          <w:color w:val="231F20"/>
        </w:rPr>
        <w:t>2° in de over te nemen vennootschappen wanneer de nieuwe vennootschap de rechtsvorm heeft aangenomen van:</w:t>
      </w:r>
    </w:p>
    <w:p>
      <w:pPr>
        <w:pStyle w:val="ListParagraph"/>
        <w:numPr>
          <w:ilvl w:val="0"/>
          <w:numId w:val="132"/>
        </w:numPr>
        <w:tabs>
          <w:tab w:pos="473" w:val="left" w:leader="none"/>
        </w:tabs>
        <w:spacing w:line="240" w:lineRule="auto" w:before="68"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32"/>
        </w:numPr>
        <w:tabs>
          <w:tab w:pos="477" w:val="left" w:leader="none"/>
        </w:tabs>
        <w:spacing w:line="240" w:lineRule="auto" w:before="65"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pStyle w:val="BodyText"/>
        <w:spacing w:line="218" w:lineRule="auto" w:before="82"/>
      </w:pP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86"/>
      </w:pPr>
      <w:r>
        <w:rPr>
          <w:color w:val="231F20"/>
        </w:rPr>
        <w:t>§ 5. In de commanditaire vennootschap is bovendien de instemming van alle gecommanditeerde vennoten vereist.</w:t>
      </w:r>
    </w:p>
    <w:p>
      <w:pPr>
        <w:pStyle w:val="BodyText"/>
        <w:spacing w:line="218" w:lineRule="auto" w:before="85"/>
      </w:pPr>
      <w:r>
        <w:rPr>
          <w:color w:val="231F20"/>
        </w:rPr>
        <w:t>Art. 12:44. In elke vennootschap die de fusie aangaat, worden</w:t>
      </w:r>
      <w:r>
        <w:rPr>
          <w:color w:val="231F20"/>
          <w:spacing w:val="12"/>
        </w:rPr>
        <w:t> </w:t>
      </w:r>
      <w:r>
        <w:rPr>
          <w:color w:val="231F20"/>
        </w:rPr>
        <w:t>de notulen van de algemene vergadering waarin tot de fusie wordt besloten</w:t>
      </w:r>
      <w:r>
        <w:rPr>
          <w:color w:val="231F20"/>
          <w:spacing w:val="15"/>
        </w:rPr>
        <w:t> </w:t>
      </w:r>
      <w:r>
        <w:rPr>
          <w:color w:val="231F20"/>
        </w:rPr>
        <w:t>op</w:t>
      </w:r>
      <w:r>
        <w:rPr>
          <w:color w:val="231F20"/>
          <w:spacing w:val="16"/>
        </w:rPr>
        <w:t> </w:t>
      </w:r>
      <w:r>
        <w:rPr>
          <w:color w:val="231F20"/>
        </w:rPr>
        <w:t>straffe</w:t>
      </w:r>
      <w:r>
        <w:rPr>
          <w:color w:val="231F20"/>
          <w:spacing w:val="15"/>
        </w:rPr>
        <w:t> </w:t>
      </w:r>
      <w:r>
        <w:rPr>
          <w:color w:val="231F20"/>
        </w:rPr>
        <w:t>van</w:t>
      </w:r>
      <w:r>
        <w:rPr>
          <w:color w:val="231F20"/>
          <w:spacing w:val="16"/>
        </w:rPr>
        <w:t> </w:t>
      </w:r>
      <w:r>
        <w:rPr>
          <w:color w:val="231F20"/>
        </w:rPr>
        <w:t>nietigheid</w:t>
      </w:r>
      <w:r>
        <w:rPr>
          <w:color w:val="231F20"/>
          <w:spacing w:val="15"/>
        </w:rPr>
        <w:t> </w:t>
      </w:r>
      <w:r>
        <w:rPr>
          <w:color w:val="231F20"/>
        </w:rPr>
        <w:t>opgesteld</w:t>
      </w:r>
      <w:r>
        <w:rPr>
          <w:color w:val="231F20"/>
          <w:spacing w:val="16"/>
        </w:rPr>
        <w:t> </w:t>
      </w:r>
      <w:r>
        <w:rPr>
          <w:color w:val="231F20"/>
        </w:rPr>
        <w:t>bij</w:t>
      </w:r>
      <w:r>
        <w:rPr>
          <w:color w:val="231F20"/>
          <w:spacing w:val="15"/>
        </w:rPr>
        <w:t> </w:t>
      </w:r>
      <w:r>
        <w:rPr>
          <w:color w:val="231F20"/>
        </w:rPr>
        <w:t>authentieke</w:t>
      </w:r>
      <w:r>
        <w:rPr>
          <w:color w:val="231F20"/>
          <w:spacing w:val="16"/>
        </w:rPr>
        <w:t> </w:t>
      </w:r>
      <w:r>
        <w:rPr>
          <w:color w:val="231F20"/>
        </w:rPr>
        <w:t>akte.</w:t>
      </w:r>
    </w:p>
    <w:p>
      <w:pPr>
        <w:pStyle w:val="BodyText"/>
        <w:spacing w:line="218" w:lineRule="auto" w:before="86"/>
      </w:pPr>
      <w:r>
        <w:rPr>
          <w:color w:val="231F20"/>
        </w:rPr>
        <w:t>In de akte worden in voorkomend geval de conclusies opgenomen van</w:t>
      </w:r>
      <w:r>
        <w:rPr>
          <w:color w:val="231F20"/>
          <w:spacing w:val="15"/>
        </w:rPr>
        <w:t> </w:t>
      </w:r>
      <w:r>
        <w:rPr>
          <w:color w:val="231F20"/>
        </w:rPr>
        <w:t>het</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12:39</w:t>
      </w:r>
      <w:r>
        <w:rPr>
          <w:color w:val="231F20"/>
          <w:spacing w:val="15"/>
        </w:rPr>
        <w:t> </w:t>
      </w:r>
      <w:r>
        <w:rPr>
          <w:color w:val="231F20"/>
        </w:rPr>
        <w:t>bedoelde</w:t>
      </w:r>
      <w:r>
        <w:rPr>
          <w:color w:val="231F20"/>
          <w:spacing w:val="15"/>
        </w:rPr>
        <w:t> </w:t>
      </w:r>
      <w:r>
        <w:rPr>
          <w:color w:val="231F20"/>
        </w:rPr>
        <w:t>verslag.</w:t>
      </w:r>
    </w:p>
    <w:p>
      <w:pPr>
        <w:pStyle w:val="BodyText"/>
        <w:spacing w:line="218" w:lineRule="auto" w:before="85"/>
      </w:pPr>
      <w:r>
        <w:rPr>
          <w:color w:val="231F20"/>
        </w:rPr>
        <w:t>De notaris moet na onderzoek het bestaan en zowel de interne als de externe wettigheid bevestigen van de rechtshandelingen en formalitei- ten waartoe de vennootschap waarvoor hij optreedt, is gehouden.</w:t>
      </w:r>
    </w:p>
    <w:p>
      <w:pPr>
        <w:pStyle w:val="BodyText"/>
        <w:spacing w:line="218" w:lineRule="auto" w:before="86"/>
      </w:pPr>
      <w:r>
        <w:rPr>
          <w:color w:val="231F20"/>
        </w:rPr>
        <w:t>Art. 12:45. Onmiddellijk na het besluit tot fusie moet de algemene vergadering van elke bij de fusie betrokken vennootschap het ontwerp van oprichtingsakte en de statuten van de nieuwe vennootschap goedkeuren volgens dezelfde regels van aanwezigheid en meerderheid als diegene die voor het besluit tot fusie zijn vereist. Bij gebrek daaraan blijft het besluit tot fusie zonder gevolg.</w:t>
      </w:r>
    </w:p>
    <w:p>
      <w:pPr>
        <w:pStyle w:val="BodyText"/>
        <w:spacing w:line="218" w:lineRule="auto" w:before="86"/>
      </w:pPr>
      <w:r>
        <w:rPr>
          <w:color w:val="231F20"/>
        </w:rPr>
        <w:t>Art. 12:46. De fusie is voltrokken zodra de nieuwe vennootschap is opgericht.</w:t>
      </w:r>
    </w:p>
    <w:p>
      <w:pPr>
        <w:pStyle w:val="BodyText"/>
        <w:spacing w:line="218" w:lineRule="auto" w:before="96"/>
        <w:ind w:right="123"/>
      </w:pPr>
      <w:r>
        <w:rPr>
          <w:color w:val="231F20"/>
        </w:rPr>
        <w:t>Art. 12:47. § 1. Met inachtneming van de in paragraaf 2 bepaalde regels, worden de akten tot vaststelling van het door de algemene vergaderingen genomen besluit tot fusie neergelegd en bij uittreksel bekendgemaakt, overeenkomstig de artikelen 2:8 en 2:14, 1°, en zijn de artikelen 2:7, 2:8, 2:12, § 1, eerste lid, en 2:13 van toepassing op de oprichtingsakte van de nieuwe vennootschap.</w:t>
      </w:r>
    </w:p>
    <w:p>
      <w:pPr>
        <w:pStyle w:val="BodyText"/>
        <w:spacing w:line="218" w:lineRule="auto" w:before="96"/>
      </w:pPr>
      <w:r>
        <w:rPr>
          <w:color w:val="231F20"/>
        </w:rPr>
        <w:t>§ 2. De akten bedoeld in paragraaf 1 worden gelijktijdig bekendge- maakt binnen tien dagen na de neerlegging van de akte tot vaststelling van het besluit tot fusie dat de laatst gehouden algemene vergadering heeft genomen.</w:t>
      </w:r>
    </w:p>
    <w:p>
      <w:pPr>
        <w:pStyle w:val="BodyText"/>
        <w:spacing w:line="218" w:lineRule="auto" w:before="96"/>
      </w:pPr>
      <w:r>
        <w:rPr>
          <w:color w:val="231F20"/>
        </w:rPr>
        <w:t>De nieuwe vennootschap kan zelf de formaliteiten inzake openbaar- making verrichten betreffende de vennootschappen die de fusie aangaan.</w:t>
      </w:r>
    </w:p>
    <w:p>
      <w:pPr>
        <w:spacing w:after="0" w:line="218" w:lineRule="auto"/>
        <w:sectPr>
          <w:headerReference w:type="even" r:id="rId101"/>
          <w:headerReference w:type="default" r:id="rId102"/>
          <w:pgSz w:w="11940" w:h="16880"/>
          <w:pgMar w:header="666" w:footer="0" w:top="1140" w:bottom="280" w:left="340" w:right="360"/>
          <w:pgNumType w:start="33472"/>
          <w:cols w:num="2" w:equalWidth="0">
            <w:col w:w="5563" w:space="65"/>
            <w:col w:w="5612"/>
          </w:cols>
        </w:sectPr>
      </w:pPr>
    </w:p>
    <w:p>
      <w:pPr>
        <w:pStyle w:val="BodyText"/>
        <w:spacing w:line="218" w:lineRule="auto" w:before="105"/>
        <w:ind w:right="65"/>
      </w:pPr>
      <w:r>
        <w:rPr/>
        <w:pict>
          <v:line style="position:absolute;mso-position-horizontal-relative:page;mso-position-vertical-relative:page;z-index:6640" from="298.170502pt,64.473pt" to="298.170502pt,812.819pt" stroked="true" strokeweight=".533pt" strokecolor="#231f20">
            <v:stroke dashstyle="solid"/>
            <w10:wrap type="none"/>
          </v:line>
        </w:pict>
      </w:r>
      <w:bookmarkStart w:name="_bookmark234" w:id="240"/>
      <w:bookmarkEnd w:id="240"/>
      <w:r>
        <w:rPr/>
      </w:r>
      <w:r>
        <w:rPr>
          <w:color w:val="231F20"/>
        </w:rPr>
        <w:t>Art. 12:48. § 1</w:t>
      </w:r>
      <w:r>
        <w:rPr>
          <w:color w:val="231F20"/>
          <w:position w:val="7"/>
          <w:sz w:val="11"/>
        </w:rPr>
        <w:t>er</w:t>
      </w:r>
      <w:r>
        <w:rPr>
          <w:color w:val="231F20"/>
        </w:rPr>
        <w:t>. A moins qu’il en ait été décidé autrement par les sociétés intéressées, les parts ou actions émises par la nouvelle société en contrepartie des patrimoines absorbés sont réparties entre les associés ou actionnaires des sociétés absorbées à la diligence et sous la responsabilité de leurs organes d’administration au moment de la fusion.</w:t>
      </w:r>
    </w:p>
    <w:p>
      <w:pPr>
        <w:pStyle w:val="BodyText"/>
        <w:spacing w:line="218" w:lineRule="auto" w:before="107"/>
        <w:ind w:right="66"/>
      </w:pPr>
      <w:r>
        <w:rPr>
          <w:color w:val="231F20"/>
        </w:rPr>
        <w:t>S’il y a lieu, ces organes assurent la mise à jour des registres des actions ou parts nominatives ou d’autres registres.</w:t>
      </w:r>
    </w:p>
    <w:p>
      <w:pPr>
        <w:pStyle w:val="BodyText"/>
        <w:spacing w:before="92"/>
        <w:ind w:left="283" w:right="0" w:firstLine="0"/>
        <w:jc w:val="left"/>
      </w:pPr>
      <w:r>
        <w:rPr>
          <w:color w:val="231F20"/>
        </w:rPr>
        <w:t>Les frais de ces opérations sont supportés par la société nouvelle.</w:t>
      </w:r>
    </w:p>
    <w:p>
      <w:pPr>
        <w:pStyle w:val="BodyText"/>
        <w:spacing w:before="7"/>
        <w:ind w:left="0" w:right="0" w:firstLine="0"/>
        <w:jc w:val="left"/>
        <w:rPr>
          <w:sz w:val="24"/>
        </w:rPr>
      </w:pPr>
    </w:p>
    <w:p>
      <w:pPr>
        <w:pStyle w:val="BodyText"/>
        <w:spacing w:line="218" w:lineRule="auto"/>
        <w:ind w:right="65"/>
      </w:pPr>
      <w:r>
        <w:rPr>
          <w:color w:val="231F20"/>
        </w:rPr>
        <w:t>§ 2. Aucune action ou part de la nouvelle société ne peut être attribuée en échange d’actions ou parts des sociétés absorbées détenues par ces sociétés absorbées elles-mêmes ou par un intermédiaire.</w:t>
      </w:r>
    </w:p>
    <w:p>
      <w:pPr>
        <w:pStyle w:val="BodyText"/>
        <w:spacing w:before="10"/>
        <w:ind w:left="0" w:right="0" w:firstLine="0"/>
        <w:jc w:val="left"/>
        <w:rPr>
          <w:sz w:val="24"/>
        </w:rPr>
      </w:pPr>
    </w:p>
    <w:p>
      <w:pPr>
        <w:pStyle w:val="BodyText"/>
        <w:spacing w:line="218" w:lineRule="auto"/>
        <w:ind w:right="65"/>
      </w:pPr>
      <w:r>
        <w:rPr>
          <w:color w:val="231F20"/>
        </w:rPr>
        <w:t>Art. 12:49. </w:t>
      </w:r>
      <w:r>
        <w:rPr>
          <w:color w:val="231F20"/>
          <w:spacing w:val="-3"/>
        </w:rPr>
        <w:t>L’organe </w:t>
      </w:r>
      <w:r>
        <w:rPr>
          <w:color w:val="231F20"/>
        </w:rPr>
        <w:t>d’administration de la société absorbée établit les comptes annuels pour la période comprise entre la date de clôture du dernier exercice social dont les comptes ont été approuvés et la date visée à l’article 12:37, alinéa 2, 5°, conformément aux dispositions du présent code lui applicables. Le cas échéant, l’organe d’administration de cette société rédige également un rapport de gestion relatif à cette période, conformément aux dispositions du présent code lui applica- bles. Si un commissaire a été désigné dans la société absorbée, celui-ci rédige également un rapport concernant son contrôle sur cette période, conformément aux dispositions du présent code applicables à la société absorbée.</w:t>
      </w:r>
    </w:p>
    <w:p>
      <w:pPr>
        <w:pStyle w:val="BodyText"/>
        <w:spacing w:before="10"/>
        <w:ind w:left="0" w:right="0" w:firstLine="0"/>
        <w:jc w:val="left"/>
        <w:rPr>
          <w:sz w:val="24"/>
        </w:rPr>
      </w:pPr>
    </w:p>
    <w:p>
      <w:pPr>
        <w:pStyle w:val="BodyText"/>
        <w:spacing w:line="218" w:lineRule="auto" w:before="1"/>
        <w:ind w:right="65"/>
      </w:pPr>
      <w:r>
        <w:rPr>
          <w:color w:val="231F20"/>
        </w:rPr>
        <w:t>Si la fusion a été réalisée avant la date d’approbation des comptes annuels, l’assemblée générale de la nouvelle société approuve les comptes annuels conformément aux dispositions applicables à cette dernière pour les comptes annuels et se prononce sur la décharge des organes d’administration et de contrôle de la société absorbée, sous réserve de l’article 12:18.</w:t>
      </w:r>
    </w:p>
    <w:p>
      <w:pPr>
        <w:pStyle w:val="BodyText"/>
        <w:spacing w:line="218" w:lineRule="auto" w:before="107"/>
        <w:ind w:right="65"/>
      </w:pPr>
      <w:r>
        <w:rPr>
          <w:color w:val="231F20"/>
        </w:rPr>
        <w:t>Section 3. Procédure des opérations assimilées à la fusion par absorption.</w:t>
      </w:r>
    </w:p>
    <w:p>
      <w:pPr>
        <w:pStyle w:val="BodyText"/>
        <w:spacing w:line="218" w:lineRule="auto" w:before="106"/>
        <w:ind w:right="65"/>
      </w:pPr>
      <w:r>
        <w:rPr>
          <w:color w:val="231F20"/>
        </w:rPr>
        <w:t>Art. 12:50. Les organes d’administration des sociétés appelées à fusionner établissent par acte authentique ou par acte sous seing privé un projet de fusion.</w:t>
      </w:r>
    </w:p>
    <w:p>
      <w:pPr>
        <w:pStyle w:val="BodyText"/>
        <w:spacing w:before="93"/>
        <w:ind w:left="283" w:right="0" w:firstLine="0"/>
        <w:jc w:val="left"/>
      </w:pPr>
      <w:r>
        <w:rPr>
          <w:color w:val="231F20"/>
        </w:rPr>
        <w:t>Le projet de fusion mentionne au moins:</w:t>
      </w:r>
    </w:p>
    <w:p>
      <w:pPr>
        <w:pStyle w:val="BodyText"/>
        <w:spacing w:line="218" w:lineRule="auto" w:before="104"/>
        <w:ind w:right="65"/>
      </w:pPr>
      <w:r>
        <w:rPr>
          <w:color w:val="231F20"/>
        </w:rPr>
        <w:t>1° la forme légale, la dénomination, l’objet et le siège des sociétés appelées à fusionner;</w:t>
      </w:r>
    </w:p>
    <w:p>
      <w:pPr>
        <w:pStyle w:val="BodyText"/>
        <w:spacing w:line="218" w:lineRule="auto" w:before="106"/>
        <w:ind w:right="65"/>
      </w:pPr>
      <w:r>
        <w:rPr>
          <w:color w:val="231F20"/>
        </w:rPr>
        <w:t>2° la date à partir de laquelle les opérations de la société absorbée sont considérées du point de vue comptable comme accomplies pour le compte de la société absorbante, cette date ne pouvant remonter avant le premier jour qui suit la clôture de l’exercice social dont les comptes annuels des sociétés concernées par l’opération ont déjà été approuvés;</w:t>
      </w:r>
    </w:p>
    <w:p>
      <w:pPr>
        <w:pStyle w:val="BodyText"/>
        <w:spacing w:before="10"/>
        <w:ind w:left="0" w:right="0" w:firstLine="0"/>
        <w:jc w:val="left"/>
        <w:rPr>
          <w:sz w:val="24"/>
        </w:rPr>
      </w:pPr>
    </w:p>
    <w:p>
      <w:pPr>
        <w:pStyle w:val="BodyText"/>
        <w:spacing w:line="218" w:lineRule="auto" w:before="1"/>
        <w:ind w:right="65"/>
      </w:pPr>
      <w:r>
        <w:rPr>
          <w:color w:val="231F20"/>
        </w:rPr>
        <w:t>3° les droits attribués par la société absorbante aux associés ou actionnaires des sociétés absorbées qui ont des droits spéciaux, ainsi qu’aux titulaires de titres autres que les parts ou actions, ou les mesures proposées à leur égard;</w:t>
      </w:r>
    </w:p>
    <w:p>
      <w:pPr>
        <w:pStyle w:val="BodyText"/>
        <w:spacing w:line="218" w:lineRule="auto" w:before="107"/>
        <w:ind w:right="65"/>
      </w:pPr>
      <w:r>
        <w:rPr>
          <w:color w:val="231F20"/>
        </w:rPr>
        <w:t>4° tout avantage particulier attribué aux membres des organes d’administration des sociétés appelées à fusionner.</w:t>
      </w:r>
    </w:p>
    <w:p>
      <w:pPr>
        <w:pStyle w:val="BodyText"/>
        <w:spacing w:line="218" w:lineRule="auto" w:before="106"/>
        <w:ind w:right="65"/>
      </w:pPr>
      <w:r>
        <w:rPr>
          <w:color w:val="231F20"/>
        </w:rPr>
        <w:t>Le projet de fusion doit être déposé par chaque société concernée par la fusion au </w:t>
      </w:r>
      <w:r>
        <w:rPr>
          <w:color w:val="231F20"/>
          <w:spacing w:val="-3"/>
        </w:rPr>
        <w:t>greffe </w:t>
      </w:r>
      <w:r>
        <w:rPr>
          <w:color w:val="231F20"/>
        </w:rPr>
        <w:t>du tribunal de l’entreprise de son siège et publié par extrait ou mention conformément respectivement aux articles 2:8 et 2:14, 1° ou 4°. Dans ce dernier cas, la mention comporte un lien hypertexte vers le site internet de la société. Le dépôt doit avoir lieu six semaines au moins avant la décision  de  fusion  mentionnée  à</w:t>
      </w:r>
      <w:r>
        <w:rPr>
          <w:color w:val="231F20"/>
          <w:spacing w:val="22"/>
        </w:rPr>
        <w:t> </w:t>
      </w:r>
      <w:r>
        <w:rPr>
          <w:color w:val="231F20"/>
        </w:rPr>
        <w:t>l’arti- cle</w:t>
      </w:r>
      <w:r>
        <w:rPr>
          <w:color w:val="231F20"/>
          <w:spacing w:val="14"/>
        </w:rPr>
        <w:t> </w:t>
      </w:r>
      <w:r>
        <w:rPr>
          <w:color w:val="231F20"/>
        </w:rPr>
        <w:t>12:53.</w:t>
      </w:r>
    </w:p>
    <w:p>
      <w:pPr>
        <w:pStyle w:val="BodyText"/>
        <w:spacing w:line="218" w:lineRule="auto" w:before="92"/>
        <w:ind w:right="65" w:firstLine="171"/>
      </w:pPr>
      <w:r>
        <w:rPr>
          <w:color w:val="231F20"/>
        </w:rPr>
        <w:t>Art. 12:51. § 1</w:t>
      </w:r>
      <w:r>
        <w:rPr>
          <w:color w:val="231F20"/>
          <w:position w:val="7"/>
          <w:sz w:val="11"/>
        </w:rPr>
        <w:t>er</w:t>
      </w:r>
      <w:r>
        <w:rPr>
          <w:color w:val="231F20"/>
        </w:rPr>
        <w:t>. Dans chaque société, l’ordre du jour de l’assemblée générale</w:t>
      </w:r>
      <w:r>
        <w:rPr>
          <w:color w:val="231F20"/>
          <w:spacing w:val="-4"/>
        </w:rPr>
        <w:t> </w:t>
      </w:r>
      <w:r>
        <w:rPr>
          <w:color w:val="231F20"/>
        </w:rPr>
        <w:t>appelée</w:t>
      </w:r>
      <w:r>
        <w:rPr>
          <w:color w:val="231F20"/>
          <w:spacing w:val="-4"/>
        </w:rPr>
        <w:t> </w:t>
      </w:r>
      <w:r>
        <w:rPr>
          <w:color w:val="231F20"/>
        </w:rPr>
        <w:t>à</w:t>
      </w:r>
      <w:r>
        <w:rPr>
          <w:color w:val="231F20"/>
          <w:spacing w:val="-4"/>
        </w:rPr>
        <w:t> </w:t>
      </w:r>
      <w:r>
        <w:rPr>
          <w:color w:val="231F20"/>
        </w:rPr>
        <w:t>se</w:t>
      </w:r>
      <w:r>
        <w:rPr>
          <w:color w:val="231F20"/>
          <w:spacing w:val="-4"/>
        </w:rPr>
        <w:t> </w:t>
      </w:r>
      <w:r>
        <w:rPr>
          <w:color w:val="231F20"/>
        </w:rPr>
        <w:t>prononcer</w:t>
      </w:r>
      <w:r>
        <w:rPr>
          <w:color w:val="231F20"/>
          <w:spacing w:val="-3"/>
        </w:rPr>
        <w:t> </w:t>
      </w:r>
      <w:r>
        <w:rPr>
          <w:color w:val="231F20"/>
        </w:rPr>
        <w:t>sur</w:t>
      </w:r>
      <w:r>
        <w:rPr>
          <w:color w:val="231F20"/>
          <w:spacing w:val="-4"/>
        </w:rPr>
        <w:t> </w:t>
      </w:r>
      <w:r>
        <w:rPr>
          <w:color w:val="231F20"/>
        </w:rPr>
        <w:t>le</w:t>
      </w:r>
      <w:r>
        <w:rPr>
          <w:color w:val="231F20"/>
          <w:spacing w:val="-4"/>
        </w:rPr>
        <w:t> </w:t>
      </w:r>
      <w:r>
        <w:rPr>
          <w:color w:val="231F20"/>
        </w:rPr>
        <w:t>projet</w:t>
      </w:r>
      <w:r>
        <w:rPr>
          <w:color w:val="231F20"/>
          <w:spacing w:val="-4"/>
        </w:rPr>
        <w:t> </w:t>
      </w:r>
      <w:r>
        <w:rPr>
          <w:color w:val="231F20"/>
        </w:rPr>
        <w:t>de</w:t>
      </w:r>
      <w:r>
        <w:rPr>
          <w:color w:val="231F20"/>
          <w:spacing w:val="-4"/>
        </w:rPr>
        <w:t> </w:t>
      </w:r>
      <w:r>
        <w:rPr>
          <w:color w:val="231F20"/>
        </w:rPr>
        <w:t>fusion</w:t>
      </w:r>
      <w:r>
        <w:rPr>
          <w:color w:val="231F20"/>
          <w:spacing w:val="-3"/>
        </w:rPr>
        <w:t> </w:t>
      </w:r>
      <w:r>
        <w:rPr>
          <w:color w:val="231F20"/>
        </w:rPr>
        <w:t>annonce</w:t>
      </w:r>
      <w:r>
        <w:rPr>
          <w:color w:val="231F20"/>
          <w:spacing w:val="-4"/>
        </w:rPr>
        <w:t> </w:t>
      </w:r>
      <w:r>
        <w:rPr>
          <w:color w:val="231F20"/>
        </w:rPr>
        <w:t>le</w:t>
      </w:r>
      <w:r>
        <w:rPr>
          <w:color w:val="231F20"/>
          <w:spacing w:val="-4"/>
        </w:rPr>
        <w:t> </w:t>
      </w:r>
      <w:r>
        <w:rPr>
          <w:color w:val="231F20"/>
        </w:rPr>
        <w:t>projet de fusion ainsi que la possibilité réservée aux associés ou actionnaires d’obtenir ce document sans frais. Cette obligation ne s’applique pas si l’organe d’administration approuve la fusion conformément  à  l’arti- cle 12:53, §</w:t>
      </w:r>
      <w:r>
        <w:rPr>
          <w:color w:val="231F20"/>
          <w:spacing w:val="2"/>
        </w:rPr>
        <w:t> </w:t>
      </w:r>
      <w:r>
        <w:rPr>
          <w:color w:val="231F20"/>
        </w:rPr>
        <w:t>6.</w:t>
      </w:r>
    </w:p>
    <w:p>
      <w:pPr>
        <w:pStyle w:val="BodyText"/>
        <w:spacing w:line="218" w:lineRule="auto" w:before="107"/>
        <w:ind w:right="66"/>
      </w:pPr>
      <w:r>
        <w:rPr>
          <w:color w:val="231F20"/>
        </w:rPr>
        <w:t>Conformément à l’article 2:32, une copie en est communiquée aux titulaires d’actions ou parts nominatives un mois au moins avant la réunion de l’assemblée générale ou, dans le cas visé à l’article 12:53, § 6, avant la prise d’effet de la fusion.</w:t>
      </w:r>
    </w:p>
    <w:p>
      <w:pPr>
        <w:pStyle w:val="BodyText"/>
        <w:spacing w:line="211" w:lineRule="auto" w:before="112"/>
        <w:ind w:right="65"/>
      </w:pPr>
      <w:r>
        <w:rPr>
          <w:color w:val="231F20"/>
        </w:rPr>
        <w:t>Une copie est également communiquée sans délai aux personnes qui ont accompli les formalités prescrites par les statuts pour être admises à</w:t>
      </w:r>
      <w:r>
        <w:rPr>
          <w:color w:val="231F20"/>
          <w:spacing w:val="15"/>
        </w:rPr>
        <w:t> </w:t>
      </w:r>
      <w:r>
        <w:rPr>
          <w:color w:val="231F20"/>
        </w:rPr>
        <w:t>l’assemblée</w:t>
      </w:r>
      <w:r>
        <w:rPr>
          <w:color w:val="231F20"/>
          <w:spacing w:val="16"/>
        </w:rPr>
        <w:t> </w:t>
      </w:r>
      <w:r>
        <w:rPr>
          <w:color w:val="231F20"/>
        </w:rPr>
        <w:t>générale</w:t>
      </w:r>
      <w:r>
        <w:rPr>
          <w:color w:val="231F20"/>
          <w:spacing w:val="15"/>
        </w:rPr>
        <w:t> </w:t>
      </w:r>
      <w:r>
        <w:rPr>
          <w:color w:val="231F20"/>
        </w:rPr>
        <w:t>visée</w:t>
      </w:r>
      <w:r>
        <w:rPr>
          <w:color w:val="231F20"/>
          <w:spacing w:val="16"/>
        </w:rPr>
        <w:t> </w:t>
      </w:r>
      <w:r>
        <w:rPr>
          <w:color w:val="231F20"/>
        </w:rPr>
        <w:t>à</w:t>
      </w:r>
      <w:r>
        <w:rPr>
          <w:color w:val="231F20"/>
          <w:spacing w:val="15"/>
        </w:rPr>
        <w:t> </w:t>
      </w:r>
      <w:r>
        <w:rPr>
          <w:color w:val="231F20"/>
        </w:rPr>
        <w:t>l’article</w:t>
      </w:r>
      <w:r>
        <w:rPr>
          <w:color w:val="231F20"/>
          <w:spacing w:val="16"/>
        </w:rPr>
        <w:t> </w:t>
      </w:r>
      <w:r>
        <w:rPr>
          <w:color w:val="231F20"/>
        </w:rPr>
        <w:t>12:53,</w:t>
      </w:r>
      <w:r>
        <w:rPr>
          <w:color w:val="231F20"/>
          <w:spacing w:val="15"/>
        </w:rPr>
        <w:t> </w:t>
      </w:r>
      <w:r>
        <w:rPr>
          <w:color w:val="231F20"/>
        </w:rPr>
        <w:t>§</w:t>
      </w:r>
      <w:r>
        <w:rPr>
          <w:color w:val="231F20"/>
          <w:spacing w:val="16"/>
        </w:rPr>
        <w:t> </w:t>
      </w:r>
      <w:r>
        <w:rPr>
          <w:color w:val="231F20"/>
        </w:rPr>
        <w:t>1</w:t>
      </w:r>
      <w:r>
        <w:rPr>
          <w:color w:val="231F20"/>
          <w:position w:val="7"/>
          <w:sz w:val="11"/>
        </w:rPr>
        <w:t>er</w:t>
      </w:r>
      <w:r>
        <w:rPr>
          <w:color w:val="231F20"/>
        </w:rPr>
        <w:t>.</w:t>
      </w:r>
    </w:p>
    <w:p>
      <w:pPr>
        <w:pStyle w:val="BodyText"/>
        <w:spacing w:line="211" w:lineRule="auto" w:before="120"/>
        <w:ind w:right="0"/>
        <w:jc w:val="left"/>
      </w:pPr>
      <w:r>
        <w:rPr>
          <w:color w:val="231F20"/>
        </w:rPr>
        <w:t>Toutefois, lorsqu’il s’agit d’une société coopérative, le projet visé à l’alinéa 1</w:t>
      </w:r>
      <w:r>
        <w:rPr>
          <w:color w:val="231F20"/>
          <w:position w:val="7"/>
          <w:sz w:val="11"/>
        </w:rPr>
        <w:t>er</w:t>
      </w:r>
      <w:r>
        <w:rPr>
          <w:color w:val="231F20"/>
        </w:rPr>
        <w:t>, ne doit pas être communiqué aux actionnnaires conformé- ment aux alinéas 2 et 3.</w:t>
      </w:r>
    </w:p>
    <w:p>
      <w:pPr>
        <w:pStyle w:val="BodyText"/>
        <w:spacing w:line="218" w:lineRule="auto" w:before="119"/>
      </w:pPr>
      <w:r>
        <w:rPr/>
        <w:br w:type="column"/>
      </w:r>
      <w:r>
        <w:rPr>
          <w:color w:val="231F20"/>
        </w:rPr>
        <w:t>Art. 12:48. § 1. Tenzij de betrokken vennootschappen anders hebben besloten, worden de aandelen die de nieuwe vennootschap in ruil voor de overgenomen vermogens heeft uitgegeven, onder de vennoten of aandeelhouders van de overgenomen vennootschappen verdeeld door en onder de verantwoordelijkheid van hun bestuursorganen op het ogenblik van de fusie.</w:t>
      </w:r>
    </w:p>
    <w:p>
      <w:pPr>
        <w:pStyle w:val="BodyText"/>
        <w:spacing w:line="218" w:lineRule="auto" w:before="108"/>
      </w:pPr>
      <w:r>
        <w:rPr>
          <w:color w:val="231F20"/>
        </w:rPr>
        <w:t>Deze organen zorgen zo nodig voor de bijwerking van de registers van</w:t>
      </w:r>
      <w:r>
        <w:rPr>
          <w:color w:val="231F20"/>
          <w:spacing w:val="15"/>
        </w:rPr>
        <w:t> </w:t>
      </w:r>
      <w:r>
        <w:rPr>
          <w:color w:val="231F20"/>
        </w:rPr>
        <w:t>de</w:t>
      </w:r>
      <w:r>
        <w:rPr>
          <w:color w:val="231F20"/>
          <w:spacing w:val="15"/>
        </w:rPr>
        <w:t> </w:t>
      </w:r>
      <w:r>
        <w:rPr>
          <w:color w:val="231F20"/>
        </w:rPr>
        <w:t>aandelen</w:t>
      </w:r>
      <w:r>
        <w:rPr>
          <w:color w:val="231F20"/>
          <w:spacing w:val="16"/>
        </w:rPr>
        <w:t> </w:t>
      </w:r>
      <w:r>
        <w:rPr>
          <w:color w:val="231F20"/>
        </w:rPr>
        <w:t>op</w:t>
      </w:r>
      <w:r>
        <w:rPr>
          <w:color w:val="231F20"/>
          <w:spacing w:val="15"/>
        </w:rPr>
        <w:t> </w:t>
      </w:r>
      <w:r>
        <w:rPr>
          <w:color w:val="231F20"/>
        </w:rPr>
        <w:t>naam</w:t>
      </w:r>
      <w:r>
        <w:rPr>
          <w:color w:val="231F20"/>
          <w:spacing w:val="16"/>
        </w:rPr>
        <w:t> </w:t>
      </w:r>
      <w:r>
        <w:rPr>
          <w:color w:val="231F20"/>
        </w:rPr>
        <w:t>of</w:t>
      </w:r>
      <w:r>
        <w:rPr>
          <w:color w:val="231F20"/>
          <w:spacing w:val="15"/>
        </w:rPr>
        <w:t> </w:t>
      </w:r>
      <w:r>
        <w:rPr>
          <w:color w:val="231F20"/>
        </w:rPr>
        <w:t>andere</w:t>
      </w:r>
      <w:r>
        <w:rPr>
          <w:color w:val="231F20"/>
          <w:spacing w:val="15"/>
        </w:rPr>
        <w:t> </w:t>
      </w:r>
      <w:r>
        <w:rPr>
          <w:color w:val="231F20"/>
        </w:rPr>
        <w:t>registers.</w:t>
      </w:r>
    </w:p>
    <w:p>
      <w:pPr>
        <w:pStyle w:val="BodyText"/>
        <w:spacing w:line="218" w:lineRule="auto" w:before="106"/>
      </w:pPr>
      <w:r>
        <w:rPr>
          <w:color w:val="231F20"/>
        </w:rPr>
        <w:t>De kosten van deze verrichtingen komen ten laste van de nieuwe vennootschap.</w:t>
      </w:r>
    </w:p>
    <w:p>
      <w:pPr>
        <w:pStyle w:val="BodyText"/>
        <w:spacing w:line="218" w:lineRule="auto" w:before="107"/>
      </w:pPr>
      <w:r>
        <w:rPr>
          <w:color w:val="231F20"/>
        </w:rPr>
        <w:t>§ 2. Er vindt geen omwisseling plaats van aandelen van de nieuwe vennootschap tegen aandelen van de overgenomen vennootschap die worden gehouden door de overgenomen vennootschap zelf of door een tussenpersoon.</w:t>
      </w:r>
    </w:p>
    <w:p>
      <w:pPr>
        <w:pStyle w:val="BodyText"/>
        <w:spacing w:line="218" w:lineRule="auto" w:before="107"/>
        <w:ind w:right="125"/>
      </w:pPr>
      <w:r>
        <w:rPr>
          <w:color w:val="231F20"/>
        </w:rPr>
        <w:t>Art. 12:49. Het bestuursorgaan van de overgenomen vennootschap maakt haar jaarrekening op over het tijdvak begrepen tussen de datum van de jaarafsluiting van het laatste boekjaar waarvoor de rekeningen zijn goedgekeurd en de in artikel 12:37, tweede lid, 5°, bedoelde datum, overeenkomstig de bepalingen van dit wetboek die op haar toepasselijk zijn. In voorkomend geval stelt het bestuursorgaan van die vennoot- schap eveneens een jaarverslag op met betrekking tot dit tijdvak overeenkomstig de bepalingen van dit wetboek die op haar toepasselijk zijn. </w:t>
      </w:r>
      <w:r>
        <w:rPr>
          <w:color w:val="231F20"/>
          <w:spacing w:val="-3"/>
        </w:rPr>
        <w:t>Wanneer </w:t>
      </w:r>
      <w:r>
        <w:rPr>
          <w:color w:val="231F20"/>
        </w:rPr>
        <w:t>er een commissaris is aangesteld in de overgenomen vennootschap, stelt deze eveneens een verslag op over zijn</w:t>
      </w:r>
      <w:r>
        <w:rPr>
          <w:color w:val="231F20"/>
          <w:spacing w:val="32"/>
        </w:rPr>
        <w:t> </w:t>
      </w:r>
      <w:r>
        <w:rPr>
          <w:color w:val="231F20"/>
        </w:rPr>
        <w:t>controle over dit tijdvak overeenkomstig de bepalingen van dit wetboek die op de overgenomen vennootschap toepasselijk</w:t>
      </w:r>
      <w:r>
        <w:rPr>
          <w:color w:val="231F20"/>
          <w:spacing w:val="21"/>
        </w:rPr>
        <w:t> </w:t>
      </w:r>
      <w:r>
        <w:rPr>
          <w:color w:val="231F20"/>
        </w:rPr>
        <w:t>zijn.</w:t>
      </w:r>
    </w:p>
    <w:p>
      <w:pPr>
        <w:pStyle w:val="BodyText"/>
        <w:spacing w:line="218" w:lineRule="auto" w:before="108"/>
      </w:pPr>
      <w:r>
        <w:rPr>
          <w:color w:val="231F20"/>
        </w:rPr>
        <w:t>Indien de fusie is voltrokken vóór de datum van goedkeuring van de jaarrekening, keurt de algemene vergadering van de nieuwe vennoot- schap de jaarrekening goed overeenkomstig de op deze laatste toepasselijke bepalingen met betrekking tot de jaarrekening, en beslist zij over de kwijting aan de bestuurs- en toezichtsorganen van de overgenomen vennootschap, onverminderd artikel 12:18.</w:t>
      </w:r>
    </w:p>
    <w:p>
      <w:pPr>
        <w:pStyle w:val="BodyText"/>
        <w:spacing w:line="218" w:lineRule="auto" w:before="107"/>
      </w:pPr>
      <w:r>
        <w:rPr>
          <w:color w:val="231F20"/>
        </w:rPr>
        <w:t>Afdeling 3. Procedure bij met fusie door overneming gelijkgestelde verrichtingen.</w:t>
      </w:r>
    </w:p>
    <w:p>
      <w:pPr>
        <w:pStyle w:val="BodyText"/>
        <w:spacing w:line="218" w:lineRule="auto" w:before="107"/>
      </w:pPr>
      <w:r>
        <w:rPr>
          <w:color w:val="231F20"/>
        </w:rPr>
        <w:t>Art. 12:50. De bestuursorganen van de te fuseren vennootschappen stellen bij authentieke of bij onderhandse akte een fusievoorstel op.</w:t>
      </w:r>
    </w:p>
    <w:p>
      <w:pPr>
        <w:pStyle w:val="BodyText"/>
        <w:spacing w:before="7"/>
        <w:ind w:left="0" w:right="0" w:firstLine="0"/>
        <w:jc w:val="left"/>
        <w:rPr>
          <w:sz w:val="23"/>
        </w:rPr>
      </w:pPr>
    </w:p>
    <w:p>
      <w:pPr>
        <w:pStyle w:val="BodyText"/>
        <w:ind w:left="283" w:right="0" w:firstLine="0"/>
        <w:jc w:val="left"/>
      </w:pPr>
      <w:r>
        <w:rPr>
          <w:color w:val="231F20"/>
        </w:rPr>
        <w:t>Het fusievoorstel vermeldt ten minste:</w:t>
      </w:r>
    </w:p>
    <w:p>
      <w:pPr>
        <w:pStyle w:val="BodyText"/>
        <w:spacing w:line="218" w:lineRule="auto" w:before="103"/>
      </w:pPr>
      <w:r>
        <w:rPr>
          <w:color w:val="231F20"/>
        </w:rPr>
        <w:t>1° de rechtsvorm, de naam, het voorwerp en de zetel van de te fuseren</w:t>
      </w:r>
      <w:r>
        <w:rPr>
          <w:color w:val="231F20"/>
          <w:spacing w:val="15"/>
        </w:rPr>
        <w:t> </w:t>
      </w:r>
      <w:r>
        <w:rPr>
          <w:color w:val="231F20"/>
        </w:rPr>
        <w:t>vennootschappen;</w:t>
      </w:r>
    </w:p>
    <w:p>
      <w:pPr>
        <w:pStyle w:val="BodyText"/>
        <w:spacing w:line="218" w:lineRule="auto" w:before="107"/>
      </w:pPr>
      <w:r>
        <w:rPr>
          <w:color w:val="231F20"/>
        </w:rPr>
        <w:t>2° de datum vanaf wanneer de handelingen van de over te nemen vennootschap boekhoudkundig worden geacht te zijn verricht voor rekening van de overnemende vennootschap, die niet eerder mag worden geplaatst dan op de eerste dag na de afsluiting van het boekjaar waarvoor de jaarrekening reeds werd goedgekeurd van de bij de verrichting betrokken vennootschappen;</w:t>
      </w:r>
    </w:p>
    <w:p>
      <w:pPr>
        <w:pStyle w:val="BodyText"/>
        <w:spacing w:line="218" w:lineRule="auto" w:before="107"/>
      </w:pPr>
      <w:r>
        <w:rPr>
          <w:color w:val="231F20"/>
        </w:rPr>
        <w:t>3° de rechten die de overnemende vennootschap toekent aan de vennoten of aandeelhouders van de over te nemen vennootschappen die bijzondere rechten hebben, alsook aan de houders van andere effecten</w:t>
      </w:r>
      <w:r>
        <w:rPr>
          <w:color w:val="231F20"/>
          <w:spacing w:val="14"/>
        </w:rPr>
        <w:t> </w:t>
      </w:r>
      <w:r>
        <w:rPr>
          <w:color w:val="231F20"/>
        </w:rPr>
        <w:t>dan</w:t>
      </w:r>
      <w:r>
        <w:rPr>
          <w:color w:val="231F20"/>
          <w:spacing w:val="15"/>
        </w:rPr>
        <w:t> </w:t>
      </w:r>
      <w:r>
        <w:rPr>
          <w:color w:val="231F20"/>
        </w:rPr>
        <w:t>aandelen,</w:t>
      </w:r>
      <w:r>
        <w:rPr>
          <w:color w:val="231F20"/>
          <w:spacing w:val="15"/>
        </w:rPr>
        <w:t> </w:t>
      </w:r>
      <w:r>
        <w:rPr>
          <w:color w:val="231F20"/>
        </w:rPr>
        <w:t>of</w:t>
      </w:r>
      <w:r>
        <w:rPr>
          <w:color w:val="231F20"/>
          <w:spacing w:val="15"/>
        </w:rPr>
        <w:t> </w:t>
      </w:r>
      <w:r>
        <w:rPr>
          <w:color w:val="231F20"/>
        </w:rPr>
        <w:t>de</w:t>
      </w:r>
      <w:r>
        <w:rPr>
          <w:color w:val="231F20"/>
          <w:spacing w:val="14"/>
        </w:rPr>
        <w:t> </w:t>
      </w:r>
      <w:r>
        <w:rPr>
          <w:color w:val="231F20"/>
        </w:rPr>
        <w:t>jegens</w:t>
      </w:r>
      <w:r>
        <w:rPr>
          <w:color w:val="231F20"/>
          <w:spacing w:val="15"/>
        </w:rPr>
        <w:t> </w:t>
      </w:r>
      <w:r>
        <w:rPr>
          <w:color w:val="231F20"/>
        </w:rPr>
        <w:t>hen</w:t>
      </w:r>
      <w:r>
        <w:rPr>
          <w:color w:val="231F20"/>
          <w:spacing w:val="15"/>
        </w:rPr>
        <w:t> </w:t>
      </w:r>
      <w:r>
        <w:rPr>
          <w:color w:val="231F20"/>
        </w:rPr>
        <w:t>voorgestelde</w:t>
      </w:r>
      <w:r>
        <w:rPr>
          <w:color w:val="231F20"/>
          <w:spacing w:val="15"/>
        </w:rPr>
        <w:t> </w:t>
      </w:r>
      <w:r>
        <w:rPr>
          <w:color w:val="231F20"/>
        </w:rPr>
        <w:t>maatregelen;</w:t>
      </w:r>
    </w:p>
    <w:p>
      <w:pPr>
        <w:pStyle w:val="BodyText"/>
        <w:spacing w:line="218" w:lineRule="auto" w:before="107"/>
      </w:pPr>
      <w:r>
        <w:rPr>
          <w:color w:val="231F20"/>
        </w:rPr>
        <w:t>4° ieder bijzonder voordeel toegekend aan de leden van de bestuurs- organen van de te fuseren vennootschappen.</w:t>
      </w:r>
    </w:p>
    <w:p>
      <w:pPr>
        <w:pStyle w:val="BodyText"/>
        <w:spacing w:line="218" w:lineRule="auto" w:before="107"/>
      </w:pPr>
      <w:r>
        <w:rPr>
          <w:color w:val="231F20"/>
        </w:rPr>
        <w:t>Het fusievoorstel moet door elke bij de fusie betrokken vennootschap ter </w:t>
      </w:r>
      <w:r>
        <w:rPr>
          <w:color w:val="231F20"/>
          <w:spacing w:val="-4"/>
        </w:rPr>
        <w:t>griffie </w:t>
      </w:r>
      <w:r>
        <w:rPr>
          <w:color w:val="231F20"/>
        </w:rPr>
        <w:t>van de ondernemingsrechtbank van haar zetel worden neergelegd en bekendgemaakt bij uittreksel of mededeling overeen- komstig respectievelijk de artikelen 2:8 en 2:14, 1° of 4°. In dit laatste geval bevat de mededeling een hyperlink naar de vennootschapsweb- site. De neerlegging gebeurt uiterlijk zes weken vóór het besluit</w:t>
      </w:r>
      <w:r>
        <w:rPr>
          <w:color w:val="231F20"/>
          <w:spacing w:val="16"/>
        </w:rPr>
        <w:t> </w:t>
      </w:r>
      <w:r>
        <w:rPr>
          <w:color w:val="231F20"/>
        </w:rPr>
        <w:t>tot fusie vermeld in artikel</w:t>
      </w:r>
      <w:r>
        <w:rPr>
          <w:color w:val="231F20"/>
          <w:spacing w:val="18"/>
        </w:rPr>
        <w:t> </w:t>
      </w:r>
      <w:r>
        <w:rPr>
          <w:color w:val="231F20"/>
        </w:rPr>
        <w:t>12:53.</w:t>
      </w:r>
    </w:p>
    <w:p>
      <w:pPr>
        <w:pStyle w:val="BodyText"/>
        <w:spacing w:line="218" w:lineRule="auto" w:before="107"/>
      </w:pPr>
      <w:r>
        <w:rPr>
          <w:color w:val="231F20"/>
        </w:rPr>
        <w:t>Art. 12:51. § 1. In elke vennootschap vermeldt de agenda van de algemene vergadering die zich over het fusievoorstel moet uitspreken het fusievoorstel, evenals de mogelijkheid voor de vennoten of aandeelhouders om dit stuk kosteloos te verkrijgen. Deze verplichting geldt niet indien het bestuursorgaan overeenkomstig artikel 12:53,</w:t>
      </w:r>
    </w:p>
    <w:p>
      <w:pPr>
        <w:pStyle w:val="BodyText"/>
        <w:spacing w:line="180" w:lineRule="exact"/>
        <w:ind w:right="0" w:firstLine="0"/>
        <w:jc w:val="left"/>
      </w:pPr>
      <w:r>
        <w:rPr>
          <w:color w:val="231F20"/>
        </w:rPr>
        <w:t>§ 6, de fusie goedkeurt.</w:t>
      </w:r>
    </w:p>
    <w:p>
      <w:pPr>
        <w:pStyle w:val="BodyText"/>
        <w:spacing w:line="218" w:lineRule="auto" w:before="103"/>
      </w:pPr>
      <w:r>
        <w:rPr>
          <w:color w:val="231F20"/>
        </w:rPr>
        <w:t>Aan de houders van aandelen op naam wordt uiterlijk een maand vóór de algemene vergadering, of, in het geval bedoeld in artikel 12:53,</w:t>
      </w:r>
    </w:p>
    <w:p>
      <w:pPr>
        <w:pStyle w:val="BodyText"/>
        <w:spacing w:line="218" w:lineRule="auto" w:before="1"/>
        <w:ind w:right="0" w:firstLine="0"/>
        <w:jc w:val="left"/>
      </w:pPr>
      <w:r>
        <w:rPr>
          <w:color w:val="231F20"/>
        </w:rPr>
        <w:t>§ 6, het van kracht worden van de fusie, een kopie meegedeeld overeenkomstig artikel 2:32.</w:t>
      </w:r>
    </w:p>
    <w:p>
      <w:pPr>
        <w:pStyle w:val="BodyText"/>
        <w:spacing w:line="218" w:lineRule="auto" w:before="106"/>
      </w:pPr>
      <w:r>
        <w:rPr>
          <w:color w:val="231F20"/>
        </w:rPr>
        <w:t>Er wordt ook onverwijld een kopie meegedeeld aan diegenen die de statutair voorgeschreven formaliteiten hebben vervuld om tot de in artikel 12:53, § 1, bedoelde algemene vergadering te worden toegelaten.</w:t>
      </w:r>
    </w:p>
    <w:p>
      <w:pPr>
        <w:pStyle w:val="BodyText"/>
        <w:spacing w:line="218" w:lineRule="auto" w:before="118"/>
      </w:pPr>
      <w:r>
        <w:rPr>
          <w:color w:val="231F20"/>
        </w:rPr>
        <w:t>Wanneer het evenwel gaat om een coöperatieve vennootschap, moet het voorstel bedoeld in het eerste lid, niet aan de aandeelhouders worden meegedeeld overeenkomstig het tweede en het derde lid.</w:t>
      </w:r>
    </w:p>
    <w:p>
      <w:pPr>
        <w:spacing w:after="0" w:line="218" w:lineRule="auto"/>
        <w:sectPr>
          <w:pgSz w:w="11940" w:h="16880"/>
          <w:pgMar w:header="666" w:footer="0" w:top="1140" w:bottom="280" w:left="340" w:right="360"/>
          <w:cols w:num="2" w:equalWidth="0">
            <w:col w:w="5554" w:space="73"/>
            <w:col w:w="5613"/>
          </w:cols>
        </w:sectPr>
      </w:pPr>
    </w:p>
    <w:p>
      <w:pPr>
        <w:pStyle w:val="BodyText"/>
        <w:spacing w:line="218" w:lineRule="auto" w:before="119"/>
        <w:ind w:right="38"/>
      </w:pPr>
      <w:r>
        <w:rPr/>
        <w:pict>
          <v:line style="position:absolute;mso-position-horizontal-relative:page;mso-position-vertical-relative:page;z-index:6664" from="298.170502pt,64.473pt" to="298.170502pt,812.819pt" stroked="true" strokeweight=".533pt" strokecolor="#231f20">
            <v:stroke dashstyle="solid"/>
            <w10:wrap type="none"/>
          </v:line>
        </w:pict>
      </w:r>
      <w:bookmarkStart w:name="_bookmark235" w:id="241"/>
      <w:bookmarkEnd w:id="241"/>
      <w:r>
        <w:rPr/>
      </w:r>
      <w:r>
        <w:rPr>
          <w:color w:val="231F20"/>
        </w:rPr>
        <w:t>Dans ce cas, tout actionnaire a le droit de prendre connaissance dudit document au siège de la société conformément au paragraphe 2 un mois au moins avant la date de la réunion de l’assemblée générale, ou, dans le cas </w:t>
      </w:r>
      <w:r>
        <w:rPr>
          <w:color w:val="231F20"/>
          <w:spacing w:val="4"/>
        </w:rPr>
        <w:t>visé </w:t>
      </w:r>
      <w:r>
        <w:rPr>
          <w:color w:val="231F20"/>
        </w:rPr>
        <w:t>à l’article 12:53, § 6, avant la date à laquelle la fusion prend effet, et d’en obtenir copie, conformément au paragraphe 3, dans le même</w:t>
      </w:r>
      <w:r>
        <w:rPr>
          <w:color w:val="231F20"/>
          <w:spacing w:val="-11"/>
        </w:rPr>
        <w:t> </w:t>
      </w:r>
      <w:r>
        <w:rPr>
          <w:color w:val="231F20"/>
        </w:rPr>
        <w:t>délai.</w:t>
      </w:r>
    </w:p>
    <w:p>
      <w:pPr>
        <w:pStyle w:val="BodyText"/>
        <w:spacing w:before="1"/>
        <w:ind w:left="0" w:right="0" w:firstLine="0"/>
        <w:jc w:val="left"/>
        <w:rPr>
          <w:sz w:val="23"/>
        </w:rPr>
      </w:pPr>
    </w:p>
    <w:p>
      <w:pPr>
        <w:pStyle w:val="BodyText"/>
        <w:spacing w:line="218" w:lineRule="auto"/>
        <w:ind w:right="38"/>
      </w:pPr>
      <w:r>
        <w:rPr>
          <w:color w:val="231F20"/>
        </w:rPr>
        <w:t>§ 2. Tout associé ou actionnaire a également le droit, un mois au moins avant la date de la réunion de l’assemblée générale appelée à se prononcer sur le projet de fusion, ou, dans le cas visé à l’article 12:53,</w:t>
      </w:r>
    </w:p>
    <w:p>
      <w:pPr>
        <w:pStyle w:val="BodyText"/>
        <w:spacing w:line="218" w:lineRule="auto"/>
        <w:ind w:right="38" w:firstLine="0"/>
      </w:pPr>
      <w:r>
        <w:rPr>
          <w:color w:val="231F20"/>
        </w:rPr>
        <w:t>§ 6, avant la date à laquelle la fusion prend effet, de prendre connaissance au siège de la société des documents suivants:</w:t>
      </w:r>
    </w:p>
    <w:p>
      <w:pPr>
        <w:pStyle w:val="BodyText"/>
        <w:spacing w:before="71"/>
        <w:ind w:left="283" w:right="0" w:firstLine="0"/>
        <w:jc w:val="left"/>
      </w:pPr>
      <w:r>
        <w:rPr>
          <w:color w:val="231F20"/>
        </w:rPr>
        <w:t>1° le projet de </w:t>
      </w:r>
      <w:r>
        <w:rPr>
          <w:color w:val="231F20"/>
          <w:spacing w:val="16"/>
        </w:rPr>
        <w:t> </w:t>
      </w:r>
      <w:r>
        <w:rPr>
          <w:color w:val="231F20"/>
        </w:rPr>
        <w:t>fusion;</w:t>
      </w:r>
    </w:p>
    <w:p>
      <w:pPr>
        <w:pStyle w:val="BodyText"/>
        <w:spacing w:line="218" w:lineRule="auto" w:before="82"/>
        <w:ind w:right="38"/>
      </w:pPr>
      <w:r>
        <w:rPr>
          <w:color w:val="231F20"/>
        </w:rPr>
        <w:t>2° les comptes annuels des trois derniers exercices, de chacune des sociétés qui</w:t>
      </w:r>
      <w:r>
        <w:rPr>
          <w:color w:val="231F20"/>
          <w:spacing w:val="-12"/>
        </w:rPr>
        <w:t> </w:t>
      </w:r>
      <w:r>
        <w:rPr>
          <w:color w:val="231F20"/>
        </w:rPr>
        <w:t>fusionnent;</w:t>
      </w:r>
    </w:p>
    <w:p>
      <w:pPr>
        <w:pStyle w:val="BodyText"/>
        <w:spacing w:line="218" w:lineRule="auto" w:before="86"/>
        <w:ind w:right="38"/>
      </w:pPr>
      <w:r>
        <w:rPr>
          <w:color w:val="231F20"/>
        </w:rPr>
        <w:t>3° pour les sociétés à responsabilité limitée, les sociétés coopératives, les sociétés anonymes, les sociétés européennes, et les sociétés coopé- ratives européennes, les rapports de l’organe d’administration, et les rapports des commissaires des trois derniers exercices, s’il y en a un;</w:t>
      </w:r>
    </w:p>
    <w:p>
      <w:pPr>
        <w:pStyle w:val="BodyText"/>
        <w:ind w:left="0" w:right="0" w:firstLine="0"/>
        <w:jc w:val="left"/>
        <w:rPr>
          <w:sz w:val="23"/>
        </w:rPr>
      </w:pPr>
    </w:p>
    <w:p>
      <w:pPr>
        <w:pStyle w:val="BodyText"/>
        <w:spacing w:line="218" w:lineRule="auto"/>
        <w:ind w:right="38"/>
      </w:pPr>
      <w:r>
        <w:rPr>
          <w:color w:val="231F20"/>
        </w:rPr>
        <w:t>4°</w:t>
      </w:r>
      <w:r>
        <w:rPr>
          <w:color w:val="231F20"/>
          <w:spacing w:val="-3"/>
        </w:rPr>
        <w:t> </w:t>
      </w:r>
      <w:r>
        <w:rPr>
          <w:color w:val="231F20"/>
        </w:rPr>
        <w:t>le</w:t>
      </w:r>
      <w:r>
        <w:rPr>
          <w:color w:val="231F20"/>
          <w:spacing w:val="-2"/>
        </w:rPr>
        <w:t> </w:t>
      </w:r>
      <w:r>
        <w:rPr>
          <w:color w:val="231F20"/>
        </w:rPr>
        <w:t>cas</w:t>
      </w:r>
      <w:r>
        <w:rPr>
          <w:color w:val="231F20"/>
          <w:spacing w:val="-3"/>
        </w:rPr>
        <w:t> </w:t>
      </w:r>
      <w:r>
        <w:rPr>
          <w:color w:val="231F20"/>
        </w:rPr>
        <w:t>échéant,</w:t>
      </w:r>
      <w:r>
        <w:rPr>
          <w:color w:val="231F20"/>
          <w:spacing w:val="-2"/>
        </w:rPr>
        <w:t> </w:t>
      </w:r>
      <w:r>
        <w:rPr>
          <w:color w:val="231F20"/>
        </w:rPr>
        <w:t>lorsque</w:t>
      </w:r>
      <w:r>
        <w:rPr>
          <w:color w:val="231F20"/>
          <w:spacing w:val="-3"/>
        </w:rPr>
        <w:t> </w:t>
      </w:r>
      <w:r>
        <w:rPr>
          <w:color w:val="231F20"/>
        </w:rPr>
        <w:t>le</w:t>
      </w:r>
      <w:r>
        <w:rPr>
          <w:color w:val="231F20"/>
          <w:spacing w:val="-2"/>
        </w:rPr>
        <w:t> </w:t>
      </w:r>
      <w:r>
        <w:rPr>
          <w:color w:val="231F20"/>
        </w:rPr>
        <w:t>projet</w:t>
      </w:r>
      <w:r>
        <w:rPr>
          <w:color w:val="231F20"/>
          <w:spacing w:val="-3"/>
        </w:rPr>
        <w:t> </w:t>
      </w:r>
      <w:r>
        <w:rPr>
          <w:color w:val="231F20"/>
        </w:rPr>
        <w:t>de</w:t>
      </w:r>
      <w:r>
        <w:rPr>
          <w:color w:val="231F20"/>
          <w:spacing w:val="-2"/>
        </w:rPr>
        <w:t> </w:t>
      </w:r>
      <w:r>
        <w:rPr>
          <w:color w:val="231F20"/>
        </w:rPr>
        <w:t>fusion</w:t>
      </w:r>
      <w:r>
        <w:rPr>
          <w:color w:val="231F20"/>
          <w:spacing w:val="-2"/>
        </w:rPr>
        <w:t> </w:t>
      </w:r>
      <w:r>
        <w:rPr>
          <w:color w:val="231F20"/>
        </w:rPr>
        <w:t>est</w:t>
      </w:r>
      <w:r>
        <w:rPr>
          <w:color w:val="231F20"/>
          <w:spacing w:val="-3"/>
        </w:rPr>
        <w:t> </w:t>
      </w:r>
      <w:r>
        <w:rPr>
          <w:color w:val="231F20"/>
        </w:rPr>
        <w:t>postérieur</w:t>
      </w:r>
      <w:r>
        <w:rPr>
          <w:color w:val="231F20"/>
          <w:spacing w:val="-2"/>
        </w:rPr>
        <w:t> </w:t>
      </w:r>
      <w:r>
        <w:rPr>
          <w:color w:val="231F20"/>
        </w:rPr>
        <w:t>de</w:t>
      </w:r>
      <w:r>
        <w:rPr>
          <w:color w:val="231F20"/>
          <w:spacing w:val="-3"/>
        </w:rPr>
        <w:t> </w:t>
      </w:r>
      <w:r>
        <w:rPr>
          <w:color w:val="231F20"/>
        </w:rPr>
        <w:t>six</w:t>
      </w:r>
      <w:r>
        <w:rPr>
          <w:color w:val="231F20"/>
          <w:spacing w:val="-2"/>
        </w:rPr>
        <w:t> </w:t>
      </w:r>
      <w:r>
        <w:rPr>
          <w:color w:val="231F20"/>
        </w:rPr>
        <w:t>mois au moins à la fin de l’exercice auquel se rapportent les derniers comptes annuels, d’un état comptable clôturé moins de trois mois avant la date du</w:t>
      </w:r>
      <w:r>
        <w:rPr>
          <w:color w:val="231F20"/>
          <w:spacing w:val="14"/>
        </w:rPr>
        <w:t> </w:t>
      </w:r>
      <w:r>
        <w:rPr>
          <w:color w:val="231F20"/>
        </w:rPr>
        <w:t>projet</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et</w:t>
      </w:r>
      <w:r>
        <w:rPr>
          <w:color w:val="231F20"/>
          <w:spacing w:val="14"/>
        </w:rPr>
        <w:t> </w:t>
      </w:r>
      <w:r>
        <w:rPr>
          <w:color w:val="231F20"/>
        </w:rPr>
        <w:t>rédigé</w:t>
      </w:r>
      <w:r>
        <w:rPr>
          <w:color w:val="231F20"/>
          <w:spacing w:val="15"/>
        </w:rPr>
        <w:t> </w:t>
      </w:r>
      <w:r>
        <w:rPr>
          <w:color w:val="231F20"/>
        </w:rPr>
        <w:t>conformément</w:t>
      </w:r>
      <w:r>
        <w:rPr>
          <w:color w:val="231F20"/>
          <w:spacing w:val="14"/>
        </w:rPr>
        <w:t> </w:t>
      </w:r>
      <w:r>
        <w:rPr>
          <w:color w:val="231F20"/>
        </w:rPr>
        <w:t>aux</w:t>
      </w:r>
      <w:r>
        <w:rPr>
          <w:color w:val="231F20"/>
          <w:spacing w:val="15"/>
        </w:rPr>
        <w:t> </w:t>
      </w:r>
      <w:r>
        <w:rPr>
          <w:color w:val="231F20"/>
        </w:rPr>
        <w:t>alinéas</w:t>
      </w:r>
      <w:r>
        <w:rPr>
          <w:color w:val="231F20"/>
          <w:spacing w:val="15"/>
        </w:rPr>
        <w:t> </w:t>
      </w:r>
      <w:r>
        <w:rPr>
          <w:color w:val="231F20"/>
        </w:rPr>
        <w:t>2</w:t>
      </w:r>
      <w:r>
        <w:rPr>
          <w:color w:val="231F20"/>
          <w:spacing w:val="14"/>
        </w:rPr>
        <w:t> </w:t>
      </w:r>
      <w:r>
        <w:rPr>
          <w:color w:val="231F20"/>
        </w:rPr>
        <w:t>à</w:t>
      </w:r>
      <w:r>
        <w:rPr>
          <w:color w:val="231F20"/>
          <w:spacing w:val="15"/>
        </w:rPr>
        <w:t> </w:t>
      </w:r>
      <w:r>
        <w:rPr>
          <w:color w:val="231F20"/>
        </w:rPr>
        <w:t>4.</w:t>
      </w:r>
    </w:p>
    <w:p>
      <w:pPr>
        <w:pStyle w:val="BodyText"/>
        <w:ind w:left="0" w:right="0" w:firstLine="0"/>
        <w:jc w:val="left"/>
        <w:rPr>
          <w:sz w:val="20"/>
        </w:rPr>
      </w:pPr>
    </w:p>
    <w:p>
      <w:pPr>
        <w:pStyle w:val="BodyText"/>
        <w:spacing w:before="5"/>
        <w:ind w:left="0" w:right="0" w:firstLine="0"/>
        <w:jc w:val="left"/>
        <w:rPr>
          <w:sz w:val="18"/>
        </w:rPr>
      </w:pPr>
    </w:p>
    <w:p>
      <w:pPr>
        <w:pStyle w:val="BodyText"/>
        <w:spacing w:line="218" w:lineRule="auto" w:before="1"/>
        <w:ind w:right="38"/>
      </w:pPr>
      <w:r>
        <w:rPr>
          <w:color w:val="231F20"/>
        </w:rPr>
        <w:t>Cet état comptable est établi selon les mêmes méthodes et suivant la même présentation que les derniers comptes annuels.</w:t>
      </w:r>
    </w:p>
    <w:p>
      <w:pPr>
        <w:pStyle w:val="BodyText"/>
        <w:spacing w:before="71"/>
        <w:ind w:left="283" w:right="0" w:firstLine="0"/>
        <w:jc w:val="left"/>
      </w:pPr>
      <w:r>
        <w:rPr>
          <w:color w:val="231F20"/>
        </w:rPr>
        <w:t>Il n’est toutefois pas nécessaire de procéder à un nouvel inventaire.</w:t>
      </w:r>
    </w:p>
    <w:p>
      <w:pPr>
        <w:pStyle w:val="BodyText"/>
        <w:spacing w:line="218" w:lineRule="auto" w:before="82"/>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line="218" w:lineRule="auto" w:before="71"/>
        <w:ind w:right="38"/>
      </w:pPr>
      <w:r>
        <w:rPr>
          <w:color w:val="231F20"/>
        </w:rPr>
        <w:t>L’alinéa 1</w:t>
      </w:r>
      <w:r>
        <w:rPr>
          <w:color w:val="231F20"/>
          <w:position w:val="7"/>
          <w:sz w:val="11"/>
        </w:rPr>
        <w:t>er</w:t>
      </w:r>
      <w:r>
        <w:rPr>
          <w:color w:val="231F20"/>
        </w:rPr>
        <w:t>, 4°,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5"/>
        </w:rPr>
        <w:t> </w:t>
      </w:r>
      <w:r>
        <w:rPr>
          <w:color w:val="231F20"/>
        </w:rPr>
        <w:t>au</w:t>
      </w:r>
      <w:r>
        <w:rPr>
          <w:color w:val="231F20"/>
          <w:spacing w:val="15"/>
        </w:rPr>
        <w:t> </w:t>
      </w:r>
      <w:r>
        <w:rPr>
          <w:color w:val="231F20"/>
        </w:rPr>
        <w:t>présent</w:t>
      </w:r>
      <w:r>
        <w:rPr>
          <w:color w:val="231F20"/>
          <w:spacing w:val="15"/>
        </w:rPr>
        <w:t> </w:t>
      </w:r>
      <w:r>
        <w:rPr>
          <w:color w:val="231F20"/>
        </w:rPr>
        <w:t>paragraphe,</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disposition</w:t>
      </w:r>
      <w:r>
        <w:rPr>
          <w:color w:val="231F20"/>
          <w:spacing w:val="15"/>
        </w:rPr>
        <w:t> </w:t>
      </w:r>
      <w:r>
        <w:rPr>
          <w:color w:val="231F20"/>
        </w:rPr>
        <w:t>des</w:t>
      </w:r>
      <w:r>
        <w:rPr>
          <w:color w:val="231F20"/>
          <w:spacing w:val="15"/>
        </w:rPr>
        <w:t> </w:t>
      </w:r>
      <w:r>
        <w:rPr>
          <w:color w:val="231F20"/>
        </w:rPr>
        <w:t>actionnaires.</w:t>
      </w:r>
    </w:p>
    <w:p>
      <w:pPr>
        <w:pStyle w:val="BodyText"/>
        <w:ind w:left="0" w:right="0" w:firstLine="0"/>
        <w:jc w:val="left"/>
        <w:rPr>
          <w:sz w:val="20"/>
        </w:rPr>
      </w:pPr>
    </w:p>
    <w:p>
      <w:pPr>
        <w:pStyle w:val="BodyText"/>
        <w:spacing w:before="2"/>
        <w:ind w:left="0" w:right="0" w:firstLine="0"/>
        <w:jc w:val="left"/>
      </w:pPr>
    </w:p>
    <w:p>
      <w:pPr>
        <w:pStyle w:val="BodyText"/>
        <w:spacing w:line="218" w:lineRule="auto"/>
        <w:ind w:right="38"/>
      </w:pPr>
      <w:r>
        <w:rPr>
          <w:color w:val="231F20"/>
        </w:rPr>
        <w:t>L’alinéa</w:t>
      </w:r>
      <w:r>
        <w:rPr>
          <w:color w:val="231F20"/>
          <w:spacing w:val="-3"/>
        </w:rPr>
        <w:t> </w:t>
      </w:r>
      <w:r>
        <w:rPr>
          <w:color w:val="231F20"/>
        </w:rPr>
        <w:t>1</w:t>
      </w:r>
      <w:r>
        <w:rPr>
          <w:color w:val="231F20"/>
          <w:position w:val="7"/>
          <w:sz w:val="11"/>
        </w:rPr>
        <w:t>er</w:t>
      </w:r>
      <w:r>
        <w:rPr>
          <w:color w:val="231F20"/>
        </w:rPr>
        <w:t>,</w:t>
      </w:r>
      <w:r>
        <w:rPr>
          <w:color w:val="231F20"/>
          <w:spacing w:val="-3"/>
        </w:rPr>
        <w:t> </w:t>
      </w:r>
      <w:r>
        <w:rPr>
          <w:color w:val="231F20"/>
        </w:rPr>
        <w:t>4°,</w:t>
      </w:r>
      <w:r>
        <w:rPr>
          <w:color w:val="231F20"/>
          <w:spacing w:val="-3"/>
        </w:rPr>
        <w:t> </w:t>
      </w:r>
      <w:r>
        <w:rPr>
          <w:color w:val="231F20"/>
        </w:rPr>
        <w:t>n’est</w:t>
      </w:r>
      <w:r>
        <w:rPr>
          <w:color w:val="231F20"/>
          <w:spacing w:val="-3"/>
        </w:rPr>
        <w:t> </w:t>
      </w:r>
      <w:r>
        <w:rPr>
          <w:color w:val="231F20"/>
        </w:rPr>
        <w:t>pas</w:t>
      </w:r>
      <w:r>
        <w:rPr>
          <w:color w:val="231F20"/>
          <w:spacing w:val="-3"/>
        </w:rPr>
        <w:t> </w:t>
      </w:r>
      <w:r>
        <w:rPr>
          <w:color w:val="231F20"/>
        </w:rPr>
        <w:t>applicable</w:t>
      </w:r>
      <w:r>
        <w:rPr>
          <w:color w:val="231F20"/>
          <w:spacing w:val="-3"/>
        </w:rPr>
        <w:t> </w:t>
      </w:r>
      <w:r>
        <w:rPr>
          <w:color w:val="231F20"/>
        </w:rPr>
        <w:t>si</w:t>
      </w:r>
      <w:r>
        <w:rPr>
          <w:color w:val="231F20"/>
          <w:spacing w:val="-3"/>
        </w:rPr>
        <w:t> </w:t>
      </w:r>
      <w:r>
        <w:rPr>
          <w:color w:val="231F20"/>
        </w:rPr>
        <w:t>tous</w:t>
      </w:r>
      <w:r>
        <w:rPr>
          <w:color w:val="231F20"/>
          <w:spacing w:val="-3"/>
        </w:rPr>
        <w:t> </w:t>
      </w:r>
      <w:r>
        <w:rPr>
          <w:color w:val="231F20"/>
        </w:rPr>
        <w:t>les</w:t>
      </w:r>
      <w:r>
        <w:rPr>
          <w:color w:val="231F20"/>
          <w:spacing w:val="-3"/>
        </w:rPr>
        <w:t> </w:t>
      </w:r>
      <w:r>
        <w:rPr>
          <w:color w:val="231F20"/>
        </w:rPr>
        <w:t>associés</w:t>
      </w:r>
      <w:r>
        <w:rPr>
          <w:color w:val="231F20"/>
          <w:spacing w:val="-2"/>
        </w:rPr>
        <w:t> </w:t>
      </w:r>
      <w:r>
        <w:rPr>
          <w:color w:val="231F20"/>
        </w:rPr>
        <w:t>ou</w:t>
      </w:r>
      <w:r>
        <w:rPr>
          <w:color w:val="231F20"/>
          <w:spacing w:val="-3"/>
        </w:rPr>
        <w:t> </w:t>
      </w:r>
      <w:r>
        <w:rPr>
          <w:color w:val="231F20"/>
        </w:rPr>
        <w:t>actionnaires et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line="213" w:lineRule="auto" w:before="88"/>
        <w:ind w:right="38"/>
      </w:pPr>
      <w:r>
        <w:rPr>
          <w:color w:val="231F20"/>
        </w:rPr>
        <w:t>§ 3. Tout associé ou actionnaire peut obtenir sans frais et sur simple demande une copie intégrale ou, s’il le désire, partielle, des documents visés au paragraphe 2, à l’exception de celui qui lui ont été transmis en application du paragraphe 1</w:t>
      </w:r>
      <w:r>
        <w:rPr>
          <w:color w:val="231F20"/>
          <w:position w:val="7"/>
          <w:sz w:val="11"/>
        </w:rPr>
        <w:t>er</w:t>
      </w:r>
      <w:r>
        <w:rPr>
          <w:color w:val="231F20"/>
        </w:rPr>
        <w:t>.</w:t>
      </w:r>
    </w:p>
    <w:p>
      <w:pPr>
        <w:pStyle w:val="BodyText"/>
        <w:spacing w:line="218" w:lineRule="auto" w:before="83"/>
        <w:ind w:right="38"/>
      </w:pPr>
      <w:r>
        <w:rPr>
          <w:color w:val="231F20"/>
        </w:rPr>
        <w:t>§ 4. Lorsqu’une société met gratuitement à disposition sur le site internet de la société les documents visés au paragraphe 2 pendant une période ininterrompue d’un mois commençant avant la date</w:t>
      </w:r>
      <w:r>
        <w:rPr>
          <w:color w:val="231F20"/>
          <w:spacing w:val="28"/>
        </w:rPr>
        <w:t> </w:t>
      </w:r>
      <w:r>
        <w:rPr>
          <w:color w:val="231F20"/>
        </w:rPr>
        <w:t>de l’assemblée générale des sociétés qui fusionnent appelée à se prononcer sur le projet de fusion, ou, dans le cas visé à l’article 12:53, § 6, avant la date à laquelle la fusion prend effet, et ne s’achevant pas avant la fin de cette assemblée, ou, dans le cas </w:t>
      </w:r>
      <w:r>
        <w:rPr>
          <w:color w:val="231F20"/>
          <w:spacing w:val="3"/>
        </w:rPr>
        <w:t>visé </w:t>
      </w:r>
      <w:r>
        <w:rPr>
          <w:color w:val="231F20"/>
        </w:rPr>
        <w:t>à l’article 12:53, § 6, avant la date  à laquelle la fusion prend effet, elle ne doit pas mettre à disposition les documents</w:t>
      </w:r>
      <w:r>
        <w:rPr>
          <w:color w:val="231F20"/>
          <w:spacing w:val="15"/>
        </w:rPr>
        <w:t> </w:t>
      </w:r>
      <w:r>
        <w:rPr>
          <w:color w:val="231F20"/>
        </w:rPr>
        <w:t>visés</w:t>
      </w:r>
      <w:r>
        <w:rPr>
          <w:color w:val="231F20"/>
          <w:spacing w:val="16"/>
        </w:rPr>
        <w:t> </w:t>
      </w:r>
      <w:r>
        <w:rPr>
          <w:color w:val="231F20"/>
        </w:rPr>
        <w:t>au</w:t>
      </w:r>
      <w:r>
        <w:rPr>
          <w:color w:val="231F20"/>
          <w:spacing w:val="15"/>
        </w:rPr>
        <w:t> </w:t>
      </w:r>
      <w:r>
        <w:rPr>
          <w:color w:val="231F20"/>
        </w:rPr>
        <w:t>paragraphe</w:t>
      </w:r>
      <w:r>
        <w:rPr>
          <w:color w:val="231F20"/>
          <w:spacing w:val="16"/>
        </w:rPr>
        <w:t> </w:t>
      </w:r>
      <w:r>
        <w:rPr>
          <w:color w:val="231F20"/>
        </w:rPr>
        <w:t>2</w:t>
      </w:r>
      <w:r>
        <w:rPr>
          <w:color w:val="231F20"/>
          <w:spacing w:val="15"/>
        </w:rPr>
        <w:t> </w:t>
      </w:r>
      <w:r>
        <w:rPr>
          <w:color w:val="231F20"/>
        </w:rPr>
        <w:t>à</w:t>
      </w:r>
      <w:r>
        <w:rPr>
          <w:color w:val="231F20"/>
          <w:spacing w:val="16"/>
        </w:rPr>
        <w:t> </w:t>
      </w:r>
      <w:r>
        <w:rPr>
          <w:color w:val="231F20"/>
        </w:rPr>
        <w:t>son</w:t>
      </w:r>
      <w:r>
        <w:rPr>
          <w:color w:val="231F20"/>
          <w:spacing w:val="15"/>
        </w:rPr>
        <w:t> </w:t>
      </w:r>
      <w:r>
        <w:rPr>
          <w:color w:val="231F20"/>
        </w:rPr>
        <w:t>siège.</w:t>
      </w:r>
    </w:p>
    <w:p>
      <w:pPr>
        <w:pStyle w:val="BodyText"/>
        <w:spacing w:before="1"/>
        <w:ind w:left="0" w:right="0" w:firstLine="0"/>
        <w:jc w:val="left"/>
        <w:rPr>
          <w:sz w:val="23"/>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de chacune des sociétés appelée à se prononcer</w:t>
      </w:r>
      <w:r>
        <w:rPr>
          <w:color w:val="231F20"/>
          <w:spacing w:val="15"/>
        </w:rPr>
        <w:t> </w:t>
      </w:r>
      <w:r>
        <w:rPr>
          <w:color w:val="231F20"/>
        </w:rPr>
        <w:t>sur</w:t>
      </w:r>
      <w:r>
        <w:rPr>
          <w:color w:val="231F20"/>
          <w:spacing w:val="15"/>
        </w:rPr>
        <w:t> </w:t>
      </w:r>
      <w:r>
        <w:rPr>
          <w:color w:val="231F20"/>
        </w:rPr>
        <w:t>le</w:t>
      </w:r>
      <w:r>
        <w:rPr>
          <w:color w:val="231F20"/>
          <w:spacing w:val="15"/>
        </w:rPr>
        <w:t> </w:t>
      </w:r>
      <w:r>
        <w:rPr>
          <w:color w:val="231F20"/>
        </w:rPr>
        <w:t>projet</w:t>
      </w:r>
      <w:r>
        <w:rPr>
          <w:color w:val="231F20"/>
          <w:spacing w:val="15"/>
        </w:rPr>
        <w:t> </w:t>
      </w:r>
      <w:r>
        <w:rPr>
          <w:color w:val="231F20"/>
        </w:rPr>
        <w:t>de</w:t>
      </w:r>
      <w:r>
        <w:rPr>
          <w:color w:val="231F20"/>
          <w:spacing w:val="15"/>
        </w:rPr>
        <w:t> </w:t>
      </w:r>
      <w:r>
        <w:rPr>
          <w:color w:val="231F20"/>
        </w:rPr>
        <w:t>fusion,</w:t>
      </w:r>
      <w:r>
        <w:rPr>
          <w:color w:val="231F20"/>
          <w:spacing w:val="15"/>
        </w:rPr>
        <w:t> </w:t>
      </w:r>
      <w:r>
        <w:rPr>
          <w:color w:val="231F20"/>
        </w:rPr>
        <w:t>ou,</w:t>
      </w:r>
      <w:r>
        <w:rPr>
          <w:color w:val="231F20"/>
          <w:spacing w:val="16"/>
        </w:rPr>
        <w:t> </w:t>
      </w:r>
      <w:r>
        <w:rPr>
          <w:color w:val="231F20"/>
        </w:rPr>
        <w:t>dans</w:t>
      </w:r>
      <w:r>
        <w:rPr>
          <w:color w:val="231F20"/>
          <w:spacing w:val="15"/>
        </w:rPr>
        <w:t> </w:t>
      </w:r>
      <w:r>
        <w:rPr>
          <w:color w:val="231F20"/>
        </w:rPr>
        <w:t>le</w:t>
      </w:r>
      <w:r>
        <w:rPr>
          <w:color w:val="231F20"/>
          <w:spacing w:val="15"/>
        </w:rPr>
        <w:t> </w:t>
      </w:r>
      <w:r>
        <w:rPr>
          <w:color w:val="231F20"/>
        </w:rPr>
        <w:t>cas</w:t>
      </w:r>
      <w:r>
        <w:rPr>
          <w:color w:val="231F20"/>
          <w:spacing w:val="15"/>
        </w:rPr>
        <w:t> </w:t>
      </w:r>
      <w:r>
        <w:rPr>
          <w:color w:val="231F20"/>
          <w:spacing w:val="3"/>
        </w:rPr>
        <w:t>visé</w:t>
      </w:r>
      <w:r>
        <w:rPr>
          <w:color w:val="231F20"/>
          <w:spacing w:val="-1"/>
        </w:rPr>
        <w:t> </w:t>
      </w:r>
      <w:r>
        <w:rPr>
          <w:color w:val="231F20"/>
        </w:rPr>
        <w:t>à</w:t>
      </w:r>
      <w:r>
        <w:rPr>
          <w:color w:val="231F20"/>
          <w:spacing w:val="16"/>
        </w:rPr>
        <w:t> </w:t>
      </w:r>
      <w:r>
        <w:rPr>
          <w:color w:val="231F20"/>
        </w:rPr>
        <w:t>l’article</w:t>
      </w:r>
      <w:r>
        <w:rPr>
          <w:color w:val="231F20"/>
          <w:spacing w:val="15"/>
        </w:rPr>
        <w:t> </w:t>
      </w:r>
      <w:r>
        <w:rPr>
          <w:color w:val="231F20"/>
        </w:rPr>
        <w:t>12:53,</w:t>
      </w:r>
    </w:p>
    <w:p>
      <w:pPr>
        <w:pStyle w:val="BodyText"/>
        <w:spacing w:line="218" w:lineRule="auto" w:before="1"/>
        <w:ind w:right="38" w:firstLine="0"/>
      </w:pPr>
      <w:r>
        <w:rPr>
          <w:color w:val="231F20"/>
        </w:rPr>
        <w:t>§ 6, après la date à laquelle la fusion prend effet. Dans ce cas, la société met en outre ces documents à disposition à son siège pour consultation par les associés ou actionnaires.</w:t>
      </w:r>
    </w:p>
    <w:p>
      <w:pPr>
        <w:pStyle w:val="BodyText"/>
        <w:spacing w:line="218" w:lineRule="auto" w:before="70"/>
        <w:ind w:right="38"/>
      </w:pPr>
      <w:r>
        <w:rPr>
          <w:color w:val="231F20"/>
        </w:rPr>
        <w:t>Art. 12:52. § 1</w:t>
      </w:r>
      <w:r>
        <w:rPr>
          <w:color w:val="231F20"/>
          <w:position w:val="7"/>
          <w:sz w:val="11"/>
        </w:rPr>
        <w:t>er</w:t>
      </w:r>
      <w:r>
        <w:rPr>
          <w:color w:val="231F20"/>
        </w:rPr>
        <w:t>. Une société ne peut absorber une autre société que si les associés ou actionnaires de cette autre société remplissent les conditions requises pour acquérir la qualité d’associé ou actionnaire de la société absorbante.</w:t>
      </w:r>
    </w:p>
    <w:p>
      <w:pPr>
        <w:pStyle w:val="BodyText"/>
        <w:spacing w:before="11"/>
        <w:ind w:left="0" w:right="0" w:firstLine="0"/>
        <w:jc w:val="left"/>
        <w:rPr>
          <w:sz w:val="23"/>
        </w:rPr>
      </w:pPr>
    </w:p>
    <w:p>
      <w:pPr>
        <w:pStyle w:val="BodyText"/>
        <w:spacing w:line="218" w:lineRule="auto"/>
        <w:ind w:right="38"/>
      </w:pPr>
      <w:r>
        <w:rPr>
          <w:color w:val="231F20"/>
        </w:rPr>
        <w:t>§ 2.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w:t>
      </w:r>
    </w:p>
    <w:p>
      <w:pPr>
        <w:pStyle w:val="BodyText"/>
        <w:spacing w:line="218" w:lineRule="auto" w:before="119"/>
      </w:pPr>
      <w:r>
        <w:rPr/>
        <w:br w:type="column"/>
      </w:r>
      <w:r>
        <w:rPr>
          <w:color w:val="231F20"/>
        </w:rPr>
        <w:t>In dat geval heeft iedere  aandeelhouder  overeenkomstig </w:t>
      </w:r>
      <w:r>
        <w:rPr>
          <w:color w:val="231F20"/>
          <w:spacing w:val="26"/>
        </w:rPr>
        <w:t> </w:t>
      </w:r>
      <w:r>
        <w:rPr>
          <w:color w:val="231F20"/>
        </w:rPr>
        <w:t>para- graaf 2 het recht om uiterlijk een maand vóór de datum van de algemene vergadering of, in het geval bedoeld in artikel 12:53, § 6, de datum waarop de fusie van kracht wordt, op de zetel van de vennootschap van voornoemd stuk kennis te nemen en kan hij overeenkomstig paragraaf 3 binnen dezelfde termijn een kopie ervan verkrijgen.</w:t>
      </w:r>
    </w:p>
    <w:p>
      <w:pPr>
        <w:pStyle w:val="BodyText"/>
        <w:spacing w:line="218" w:lineRule="auto" w:before="86"/>
      </w:pPr>
      <w:r>
        <w:rPr>
          <w:color w:val="231F20"/>
        </w:rPr>
        <w:t>§ 2. Iedere vennoot of aandeelhouder heeft tevens het recht uiterlijk een maand vóór de datum van de algemene vergadering die over het fusievoorstel moet besluiten, of, in het geval bedoeld in artikel 12:53,</w:t>
      </w:r>
    </w:p>
    <w:p>
      <w:pPr>
        <w:pStyle w:val="BodyText"/>
        <w:spacing w:line="218" w:lineRule="auto" w:before="1"/>
        <w:ind w:right="0" w:firstLine="0"/>
        <w:jc w:val="left"/>
      </w:pPr>
      <w:r>
        <w:rPr>
          <w:color w:val="231F20"/>
        </w:rPr>
        <w:t>§ 6, de datum waarop de fusie van kracht wordt, op de zetel van de vennootschap kennis te nemen van de volgende stukken:</w:t>
      </w:r>
    </w:p>
    <w:p>
      <w:pPr>
        <w:pStyle w:val="BodyText"/>
        <w:spacing w:before="71"/>
        <w:ind w:left="283" w:right="0" w:firstLine="0"/>
        <w:jc w:val="left"/>
      </w:pPr>
      <w:r>
        <w:rPr>
          <w:color w:val="231F20"/>
        </w:rPr>
        <w:t>1° het fusievoorstel;</w:t>
      </w:r>
    </w:p>
    <w:p>
      <w:pPr>
        <w:pStyle w:val="BodyText"/>
        <w:spacing w:line="218" w:lineRule="auto" w:before="82"/>
      </w:pPr>
      <w:r>
        <w:rPr>
          <w:color w:val="231F20"/>
        </w:rPr>
        <w:t>2° de jaarrekeningen over de laatste drie boekjaren van elke bij de fusie betrokken vennootschap;</w:t>
      </w:r>
    </w:p>
    <w:p>
      <w:pPr>
        <w:pStyle w:val="BodyText"/>
        <w:spacing w:line="218" w:lineRule="auto" w:before="85"/>
      </w:pPr>
      <w:r>
        <w:rPr>
          <w:color w:val="231F20"/>
        </w:rPr>
        <w:t>3° wat de besloten vennootschappen, de coöperatieve vennootschap- pen, de naamloze vennootschappen, de Europese vennootschappen, en de Europese coöperatieve vennootschappen betreft, de verslagen van het bestuursorgaan, en de verslagen van de commissarissen over de laatste drie boekjaren, als er één is;</w:t>
      </w:r>
    </w:p>
    <w:p>
      <w:pPr>
        <w:pStyle w:val="BodyText"/>
        <w:spacing w:line="218" w:lineRule="auto" w:before="86"/>
      </w:pPr>
      <w:r>
        <w:rPr>
          <w:color w:val="231F20"/>
        </w:rPr>
        <w:t>4° in voorkomend geval, indien de laatste jaarrekening betrekking heeft op een boekjaar dat meer dan zes maanden vóór de datum van het fusievoorstel is afgesloten: tussentijdse cijfers over de stand van het vermogen die niet meer dan drie maanden vóór de datum van dat voorstel zijn afgesloten en die overeenkomstig het tweede tot het vierde lid zijn opgesteld.</w:t>
      </w:r>
    </w:p>
    <w:p>
      <w:pPr>
        <w:pStyle w:val="BodyText"/>
        <w:spacing w:line="218" w:lineRule="auto" w:before="86"/>
      </w:pPr>
      <w:r>
        <w:rPr>
          <w:color w:val="231F20"/>
        </w:rPr>
        <w:t>Deze tussentijdse cijfers worden opgemaakt volgens dezelfde metho- den en dezelfde opstelling als de laatste jaarrekening.</w:t>
      </w:r>
    </w:p>
    <w:p>
      <w:pPr>
        <w:pStyle w:val="BodyText"/>
        <w:spacing w:before="71"/>
        <w:ind w:left="283" w:right="0" w:firstLine="0"/>
        <w:jc w:val="left"/>
      </w:pPr>
      <w:r>
        <w:rPr>
          <w:color w:val="231F20"/>
        </w:rPr>
        <w:t>Een nieuwe inventaris moet echter niet worden opgemaakt.</w:t>
      </w:r>
    </w:p>
    <w:p>
      <w:pPr>
        <w:pStyle w:val="BodyText"/>
        <w:spacing w:line="218" w:lineRule="auto" w:before="82"/>
        <w:ind w:right="123"/>
      </w:pPr>
      <w:r>
        <w:rPr>
          <w:color w:val="231F20"/>
        </w:rPr>
        <w:t>De wijzigingen van de in de laatste balans voorkomende waarderin- gen kunnen worden beperkt tot de wijzigingen die voortvloeien uit de verrichte boekingen. Er moet echter rekening worden gehouden met tussentijdse afschrijvingen en voorzieningen, evenals met belangrijke wijzigingen van de waarden die niet uit de boeken blijken.</w:t>
      </w:r>
    </w:p>
    <w:p>
      <w:pPr>
        <w:pStyle w:val="BodyText"/>
        <w:spacing w:line="218" w:lineRule="auto" w:before="86"/>
        <w:ind w:right="123"/>
      </w:pPr>
      <w:r>
        <w:rPr>
          <w:color w:val="231F20"/>
        </w:rPr>
        <w:t>Het eerste lid, 4°,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deze paragraaf aan de aandeelhouders beschikbaar stelt.</w:t>
      </w:r>
    </w:p>
    <w:p>
      <w:pPr>
        <w:pStyle w:val="BodyText"/>
        <w:spacing w:line="218" w:lineRule="auto" w:before="86"/>
        <w:ind w:right="123"/>
      </w:pPr>
      <w:r>
        <w:rPr>
          <w:color w:val="231F20"/>
        </w:rPr>
        <w:t>Het eerste lid, 4°,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85"/>
      </w:pP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spacing w:line="218" w:lineRule="auto" w:before="86"/>
      </w:pPr>
      <w:r>
        <w:rPr>
          <w:color w:val="231F20"/>
        </w:rPr>
        <w:t>§ 4. </w:t>
      </w:r>
      <w:r>
        <w:rPr>
          <w:color w:val="231F20"/>
          <w:spacing w:val="-3"/>
        </w:rPr>
        <w:t>Wanneer </w:t>
      </w:r>
      <w:r>
        <w:rPr>
          <w:color w:val="231F20"/>
        </w:rPr>
        <w:t>een vennootschap de in paragraaf 2 bedoelde stukken, gedurende een ononderbroken periode van een maand vóór de datum van de algemene vergadering van de fuserende vennootschappen die over het fusievoorstel moet besluiten, of, in het geval  bedoeld  in  artikel 12:53, § 6, de datum waarop de fusie van kracht wordt, en die niet eerder eindigt dan de sluiting van die vergadering, of, in het geval bedoeld in artikel 12:53, § 6, de datum waarop de fusie van kracht wordt, kosteloos op de vennootschapswebsite beschikbaar stelt, moet zij de in paragraaf 2 bedoelde stukken niet op haar zetel beschikbaar stellen.</w:t>
      </w:r>
    </w:p>
    <w:p>
      <w:pPr>
        <w:pStyle w:val="BodyText"/>
        <w:spacing w:line="218" w:lineRule="auto" w:before="86"/>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van elk van de vennootschappen die over het fusievoorstel moet besluiten, of, in het geval bedoeld in artikel 12:53, § 6, de datum waarop de fusie van kracht wordt, op de vennootschapswebsite blijven staan en kunnen worden gedownload en afgedrukt. Bovendien stelt de vennootschap in dit geval eveneens deze stukken ter beschikking op haar</w:t>
      </w:r>
      <w:r>
        <w:rPr>
          <w:color w:val="231F20"/>
          <w:spacing w:val="20"/>
        </w:rPr>
        <w:t> </w:t>
      </w:r>
      <w:r>
        <w:rPr>
          <w:color w:val="231F20"/>
        </w:rPr>
        <w:t>zetel</w:t>
      </w:r>
      <w:r>
        <w:rPr>
          <w:color w:val="231F20"/>
          <w:spacing w:val="20"/>
        </w:rPr>
        <w:t> </w:t>
      </w:r>
      <w:r>
        <w:rPr>
          <w:color w:val="231F20"/>
        </w:rPr>
        <w:t>voor</w:t>
      </w:r>
      <w:r>
        <w:rPr>
          <w:color w:val="231F20"/>
          <w:spacing w:val="21"/>
        </w:rPr>
        <w:t> </w:t>
      </w:r>
      <w:r>
        <w:rPr>
          <w:color w:val="231F20"/>
        </w:rPr>
        <w:t>raadpleging</w:t>
      </w:r>
      <w:r>
        <w:rPr>
          <w:color w:val="231F20"/>
          <w:spacing w:val="20"/>
        </w:rPr>
        <w:t> </w:t>
      </w:r>
      <w:r>
        <w:rPr>
          <w:color w:val="231F20"/>
        </w:rPr>
        <w:t>door</w:t>
      </w:r>
      <w:r>
        <w:rPr>
          <w:color w:val="231F20"/>
          <w:spacing w:val="20"/>
        </w:rPr>
        <w:t> </w:t>
      </w:r>
      <w:r>
        <w:rPr>
          <w:color w:val="231F20"/>
        </w:rPr>
        <w:t>de</w:t>
      </w:r>
      <w:r>
        <w:rPr>
          <w:color w:val="231F20"/>
          <w:spacing w:val="21"/>
        </w:rPr>
        <w:t> </w:t>
      </w:r>
      <w:r>
        <w:rPr>
          <w:color w:val="231F20"/>
        </w:rPr>
        <w:t>vennoten</w:t>
      </w:r>
      <w:r>
        <w:rPr>
          <w:color w:val="231F20"/>
          <w:spacing w:val="20"/>
        </w:rPr>
        <w:t> </w:t>
      </w:r>
      <w:r>
        <w:rPr>
          <w:color w:val="231F20"/>
        </w:rPr>
        <w:t>of</w:t>
      </w:r>
      <w:r>
        <w:rPr>
          <w:color w:val="231F20"/>
          <w:spacing w:val="20"/>
        </w:rPr>
        <w:t> </w:t>
      </w:r>
      <w:r>
        <w:rPr>
          <w:color w:val="231F20"/>
        </w:rPr>
        <w:t>aandeelhouders.</w:t>
      </w:r>
    </w:p>
    <w:p>
      <w:pPr>
        <w:pStyle w:val="BodyText"/>
        <w:spacing w:line="218" w:lineRule="auto" w:before="86"/>
      </w:pPr>
      <w:r>
        <w:rPr>
          <w:color w:val="231F20"/>
        </w:rPr>
        <w:t>Art. 12:52. § 1. Een vennootschap kan een andere vennootschap alleen dan overnemen, wanneer de vennoten of aandeelhouders van de andere vennootschap voldoen aan de vereisten voor de verkrijging van de hoedanigheid van vennoot of aandeelhouder in de overnemende vennootschap.</w:t>
      </w:r>
    </w:p>
    <w:p>
      <w:pPr>
        <w:pStyle w:val="BodyText"/>
        <w:spacing w:line="218" w:lineRule="auto" w:before="97"/>
      </w:pPr>
      <w:r>
        <w:rPr>
          <w:color w:val="231F20"/>
        </w:rPr>
        <w:t>§ 2. In een coöperatieve vennootschap kan, niettegenstaande anders- luidende bepaling, iedere aandeelhouder te allen tijde in de loop van het boekjaar uittreden vanaf de bijeenroeping van een algemene vergadering</w:t>
      </w:r>
      <w:r>
        <w:rPr>
          <w:color w:val="231F20"/>
          <w:spacing w:val="11"/>
        </w:rPr>
        <w:t> </w:t>
      </w:r>
      <w:r>
        <w:rPr>
          <w:color w:val="231F20"/>
        </w:rPr>
        <w:t>die</w:t>
      </w:r>
      <w:r>
        <w:rPr>
          <w:color w:val="231F20"/>
          <w:spacing w:val="11"/>
        </w:rPr>
        <w:t> </w:t>
      </w:r>
      <w:r>
        <w:rPr>
          <w:color w:val="231F20"/>
        </w:rPr>
        <w:t>moet</w:t>
      </w:r>
      <w:r>
        <w:rPr>
          <w:color w:val="231F20"/>
          <w:spacing w:val="11"/>
        </w:rPr>
        <w:t> </w:t>
      </w:r>
      <w:r>
        <w:rPr>
          <w:color w:val="231F20"/>
        </w:rPr>
        <w:t>besluiten</w:t>
      </w:r>
      <w:r>
        <w:rPr>
          <w:color w:val="231F20"/>
          <w:spacing w:val="11"/>
        </w:rPr>
        <w:t> </w:t>
      </w:r>
      <w:r>
        <w:rPr>
          <w:color w:val="231F20"/>
        </w:rPr>
        <w:t>over</w:t>
      </w:r>
      <w:r>
        <w:rPr>
          <w:color w:val="231F20"/>
          <w:spacing w:val="12"/>
        </w:rPr>
        <w:t> </w:t>
      </w:r>
      <w:r>
        <w:rPr>
          <w:color w:val="231F20"/>
        </w:rPr>
        <w:t>de</w:t>
      </w:r>
      <w:r>
        <w:rPr>
          <w:color w:val="231F20"/>
          <w:spacing w:val="11"/>
        </w:rPr>
        <w:t> </w:t>
      </w:r>
      <w:r>
        <w:rPr>
          <w:color w:val="231F20"/>
        </w:rPr>
        <w:t>fusie</w:t>
      </w:r>
      <w:r>
        <w:rPr>
          <w:color w:val="231F20"/>
          <w:spacing w:val="11"/>
        </w:rPr>
        <w:t> </w:t>
      </w:r>
      <w:r>
        <w:rPr>
          <w:color w:val="231F20"/>
        </w:rPr>
        <w:t>van</w:t>
      </w:r>
      <w:r>
        <w:rPr>
          <w:color w:val="231F20"/>
          <w:spacing w:val="11"/>
        </w:rPr>
        <w:t> </w:t>
      </w:r>
      <w:r>
        <w:rPr>
          <w:color w:val="231F20"/>
        </w:rPr>
        <w:t>de</w:t>
      </w:r>
      <w:r>
        <w:rPr>
          <w:color w:val="231F20"/>
          <w:spacing w:val="11"/>
        </w:rPr>
        <w:t> </w:t>
      </w:r>
      <w:r>
        <w:rPr>
          <w:color w:val="231F20"/>
        </w:rPr>
        <w:t>vennootschap</w:t>
      </w:r>
      <w:r>
        <w:rPr>
          <w:color w:val="231F20"/>
          <w:spacing w:val="12"/>
        </w:rPr>
        <w:t> </w:t>
      </w:r>
      <w:r>
        <w:rPr>
          <w:color w:val="231F20"/>
        </w:rPr>
        <w:t>met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0" w:hanging="1"/>
        <w:jc w:val="left"/>
      </w:pPr>
      <w:r>
        <w:rPr/>
        <w:pict>
          <v:line style="position:absolute;mso-position-horizontal-relative:page;mso-position-vertical-relative:page;z-index:6688" from="298.170502pt,64.473pt" to="298.170502pt,812.819pt" stroked="true" strokeweight=".533pt" strokecolor="#231f20">
            <v:stroke dashstyle="solid"/>
            <w10:wrap type="none"/>
          </v:line>
        </w:pict>
      </w:r>
      <w:bookmarkStart w:name="_bookmark236" w:id="242"/>
      <w:bookmarkEnd w:id="242"/>
      <w:r>
        <w:rPr/>
      </w:r>
      <w:r>
        <w:rPr>
          <w:color w:val="231F20"/>
        </w:rPr>
        <w:t>de la fusion de la société avec une société absorbante d’une autre forme légale.</w:t>
      </w:r>
    </w:p>
    <w:p>
      <w:pPr>
        <w:pStyle w:val="BodyText"/>
        <w:spacing w:line="218" w:lineRule="auto" w:before="117"/>
        <w:ind w:right="38"/>
      </w:pPr>
      <w:r>
        <w:rPr>
          <w:color w:val="231F20"/>
        </w:rPr>
        <w:t>Il notifie sa démission à la société conformément à l’article 2:32 cinq jours au moins avant la date de l’assemblée générale. Elle n’aura d’effet que si la fusion est décidée.</w:t>
      </w:r>
    </w:p>
    <w:p>
      <w:pPr>
        <w:pStyle w:val="BodyText"/>
        <w:spacing w:before="7"/>
        <w:ind w:left="0" w:right="0" w:firstLine="0"/>
        <w:jc w:val="left"/>
        <w:rPr>
          <w:sz w:val="24"/>
        </w:rPr>
      </w:pPr>
    </w:p>
    <w:p>
      <w:pPr>
        <w:pStyle w:val="BodyText"/>
        <w:ind w:left="283" w:right="0" w:firstLine="0"/>
        <w:jc w:val="left"/>
      </w:pPr>
      <w:r>
        <w:rPr>
          <w:color w:val="231F20"/>
        </w:rPr>
        <w:t>La convocation à l’assemblée reproduit le texte des alinéas 1 et 2.</w:t>
      </w:r>
    </w:p>
    <w:p>
      <w:pPr>
        <w:pStyle w:val="BodyText"/>
        <w:spacing w:before="2"/>
        <w:ind w:left="0" w:right="0" w:firstLine="0"/>
        <w:jc w:val="left"/>
        <w:rPr>
          <w:sz w:val="24"/>
        </w:rPr>
      </w:pPr>
    </w:p>
    <w:p>
      <w:pPr>
        <w:pStyle w:val="BodyText"/>
        <w:spacing w:line="218" w:lineRule="auto"/>
        <w:ind w:right="38"/>
      </w:pPr>
      <w:r>
        <w:rPr>
          <w:color w:val="231F20"/>
        </w:rPr>
        <w:t>Art. 12:53. § 1</w:t>
      </w:r>
      <w:r>
        <w:rPr>
          <w:color w:val="231F20"/>
          <w:position w:val="7"/>
          <w:sz w:val="11"/>
        </w:rPr>
        <w:t>er</w:t>
      </w:r>
      <w:r>
        <w:rPr>
          <w:color w:val="231F20"/>
        </w:rPr>
        <w:t>. Sans préjudice des dispositions particulières énoncées dans le présent article et sous réserve de dispositions statutaires plus rigoureuses, l’assemblée générale décide de la fusion de la société dans le respect des règles de présence et de majorité suivantes:</w:t>
      </w:r>
    </w:p>
    <w:p>
      <w:pPr>
        <w:pStyle w:val="BodyText"/>
        <w:spacing w:line="218" w:lineRule="auto" w:before="117"/>
        <w:ind w:right="38"/>
      </w:pPr>
      <w:r>
        <w:rPr>
          <w:color w:val="231F20"/>
        </w:rPr>
        <w:t>1° ceux qui assistent ou sont représentés à la réunion doivent représenter la moitié au moins du capital, ou, si la société ne dispose pas d’un capital, la moitié du nombre total des actions ou parts émises. Si cette condition n’est pas remplie, une nouvelle convocation sera nécessaire. La deuxième assemblée pourra valablement délibérer et statuer, quel que soit le nombre d’actions ou parts présentes ou représentées;</w:t>
      </w:r>
    </w:p>
    <w:p>
      <w:pPr>
        <w:pStyle w:val="BodyText"/>
        <w:spacing w:line="218" w:lineRule="auto" w:before="116"/>
        <w:ind w:right="38"/>
      </w:pPr>
      <w:r>
        <w:rPr>
          <w:color w:val="231F20"/>
        </w:rPr>
        <w:t>2° </w:t>
      </w:r>
      <w:r>
        <w:rPr>
          <w:rFonts w:ascii="Times New Roman" w:hAnsi="Times New Roman"/>
          <w:i/>
          <w:color w:val="231F20"/>
        </w:rPr>
        <w:t>a) </w:t>
      </w:r>
      <w:r>
        <w:rPr>
          <w:color w:val="231F20"/>
        </w:rPr>
        <w:t>une proposition de fusion n’est acceptée que si elle réunit les trois quarts des voix, sans qu’il soit tenu compte des abstentions au numérateur ou au dénominateur;</w:t>
      </w:r>
    </w:p>
    <w:p>
      <w:pPr>
        <w:pStyle w:val="BodyText"/>
        <w:spacing w:line="218" w:lineRule="auto" w:before="115"/>
        <w:ind w:right="38"/>
      </w:pP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before="103"/>
        <w:ind w:left="283" w:right="0" w:firstLine="0"/>
        <w:jc w:val="left"/>
      </w:pPr>
      <w:r>
        <w:rPr>
          <w:color w:val="231F20"/>
        </w:rPr>
        <w:t>§ 2. L’article 7:179 n’est pas applicable.</w:t>
      </w:r>
    </w:p>
    <w:p>
      <w:pPr>
        <w:pStyle w:val="BodyText"/>
        <w:spacing w:line="218" w:lineRule="auto" w:before="114"/>
        <w:ind w:right="38"/>
      </w:pPr>
      <w:r>
        <w:rPr>
          <w:color w:val="231F20"/>
        </w:rPr>
        <w:t>§ 3. S’il existe plusieurs classes d’actions, parts ou titres, représenta- tifs ou non du capital exprimé, et si la fusion entraîne une modification de leurs droits respectifs, l’article 5:102, alinéa 3, l’article 6:87, alinéa 3, ou l’article 7:155, alinéa 3, s’applique par analogie.</w:t>
      </w:r>
    </w:p>
    <w:p>
      <w:pPr>
        <w:pStyle w:val="BodyText"/>
        <w:spacing w:before="7"/>
        <w:ind w:left="0" w:right="0" w:firstLine="0"/>
        <w:jc w:val="left"/>
        <w:rPr>
          <w:sz w:val="24"/>
        </w:rPr>
      </w:pPr>
    </w:p>
    <w:p>
      <w:pPr>
        <w:pStyle w:val="BodyText"/>
        <w:ind w:left="283" w:right="0" w:firstLine="0"/>
        <w:jc w:val="left"/>
      </w:pPr>
      <w:r>
        <w:rPr>
          <w:color w:val="231F20"/>
        </w:rPr>
        <w:t>§ 4. L’accord de tous les associés ou actionnaires est requis:</w:t>
      </w:r>
    </w:p>
    <w:p>
      <w:pPr>
        <w:pStyle w:val="BodyText"/>
        <w:spacing w:line="218" w:lineRule="auto" w:before="114"/>
        <w:ind w:right="38"/>
      </w:pPr>
      <w:r>
        <w:rPr>
          <w:color w:val="231F20"/>
        </w:rPr>
        <w:t>1° dans les sociétés absorbantes ou absorbées qui sont des sociétés en nom collectif;</w:t>
      </w:r>
    </w:p>
    <w:p>
      <w:pPr>
        <w:pStyle w:val="BodyText"/>
        <w:spacing w:before="103"/>
        <w:ind w:left="283" w:right="0" w:firstLine="0"/>
        <w:jc w:val="left"/>
      </w:pPr>
      <w:r>
        <w:rPr>
          <w:color w:val="231F20"/>
        </w:rPr>
        <w:t>2° dans les sociétés absorbées lorsque la société absorbante est:</w:t>
      </w:r>
    </w:p>
    <w:p>
      <w:pPr>
        <w:pStyle w:val="BodyText"/>
        <w:ind w:left="0" w:right="0" w:firstLine="0"/>
        <w:jc w:val="left"/>
        <w:rPr>
          <w:sz w:val="24"/>
        </w:rPr>
      </w:pPr>
    </w:p>
    <w:p>
      <w:pPr>
        <w:pStyle w:val="ListParagraph"/>
        <w:numPr>
          <w:ilvl w:val="0"/>
          <w:numId w:val="133"/>
        </w:numPr>
        <w:tabs>
          <w:tab w:pos="474" w:val="left" w:leader="none"/>
        </w:tabs>
        <w:spacing w:line="240" w:lineRule="auto" w:before="0" w:after="0"/>
        <w:ind w:left="473" w:right="0" w:hanging="190"/>
        <w:jc w:val="left"/>
        <w:rPr>
          <w:sz w:val="17"/>
        </w:rPr>
      </w:pPr>
      <w:r>
        <w:rPr>
          <w:color w:val="231F20"/>
          <w:sz w:val="17"/>
        </w:rPr>
        <w:t>une société en nom </w:t>
      </w:r>
      <w:r>
        <w:rPr>
          <w:color w:val="231F20"/>
          <w:spacing w:val="3"/>
          <w:sz w:val="17"/>
        </w:rPr>
        <w:t> </w:t>
      </w:r>
      <w:r>
        <w:rPr>
          <w:color w:val="231F20"/>
          <w:sz w:val="17"/>
        </w:rPr>
        <w:t>collectif;</w:t>
      </w:r>
    </w:p>
    <w:p>
      <w:pPr>
        <w:pStyle w:val="ListParagraph"/>
        <w:numPr>
          <w:ilvl w:val="0"/>
          <w:numId w:val="133"/>
        </w:numPr>
        <w:tabs>
          <w:tab w:pos="477" w:val="left" w:leader="none"/>
        </w:tabs>
        <w:spacing w:line="240" w:lineRule="auto" w:before="98" w:after="0"/>
        <w:ind w:left="476" w:right="0" w:hanging="193"/>
        <w:jc w:val="left"/>
        <w:rPr>
          <w:sz w:val="17"/>
        </w:rPr>
      </w:pPr>
      <w:r>
        <w:rPr>
          <w:color w:val="231F20"/>
          <w:sz w:val="17"/>
        </w:rPr>
        <w:t>une société en</w:t>
      </w:r>
      <w:r>
        <w:rPr>
          <w:color w:val="231F20"/>
          <w:spacing w:val="39"/>
          <w:sz w:val="17"/>
        </w:rPr>
        <w:t> </w:t>
      </w:r>
      <w:r>
        <w:rPr>
          <w:color w:val="231F20"/>
          <w:sz w:val="17"/>
        </w:rPr>
        <w:t>commandite.</w:t>
      </w:r>
    </w:p>
    <w:p>
      <w:pPr>
        <w:pStyle w:val="BodyText"/>
        <w:spacing w:line="218" w:lineRule="auto" w:before="99"/>
        <w:ind w:right="38"/>
      </w:pPr>
      <w:r>
        <w:rPr>
          <w:color w:val="231F20"/>
        </w:rPr>
        <w:t>Dans les cas visés à l’alinéa 1</w:t>
      </w:r>
      <w:r>
        <w:rPr>
          <w:color w:val="231F20"/>
          <w:position w:val="7"/>
          <w:sz w:val="11"/>
        </w:rPr>
        <w:t>er</w:t>
      </w:r>
      <w:r>
        <w:rPr>
          <w:color w:val="231F20"/>
        </w:rPr>
        <w:t>, 2°, l’accord unanime des titulaires de titres non représentatifs du capital de la société est, le cas échéant, requis.</w:t>
      </w:r>
    </w:p>
    <w:p>
      <w:pPr>
        <w:pStyle w:val="BodyText"/>
        <w:spacing w:line="218" w:lineRule="auto" w:before="117"/>
        <w:ind w:right="38"/>
      </w:pPr>
      <w:r>
        <w:rPr>
          <w:color w:val="231F20"/>
        </w:rPr>
        <w:t>§ 5. Dans la société en commandite, l’accord de tous les associés commandités est en outre requis.</w:t>
      </w:r>
    </w:p>
    <w:p>
      <w:pPr>
        <w:pStyle w:val="BodyText"/>
        <w:spacing w:line="218" w:lineRule="auto" w:before="117"/>
        <w:ind w:right="38"/>
      </w:pPr>
      <w:r>
        <w:rPr>
          <w:color w:val="231F20"/>
        </w:rPr>
        <w:t>§ 6. Par dérogation aux paragraphes précédents, la fusion peut être décidée sans l’approbation de l’assemblée générale de la société absorbante ayant la forme légale d’une société à responsabilité limitée, d’une société coopérative, d’une société anonyme, d’une société euro- péenne ou d’une société coopérative européenne ni de l’assemblée générale de la société absorbée, prévue aux paragraphes précédents, si les conditions suivantes sont remplies:</w:t>
      </w:r>
    </w:p>
    <w:p>
      <w:pPr>
        <w:pStyle w:val="BodyText"/>
        <w:spacing w:before="10"/>
        <w:ind w:left="0" w:right="0" w:firstLine="0"/>
        <w:jc w:val="left"/>
        <w:rPr>
          <w:sz w:val="25"/>
        </w:rPr>
      </w:pPr>
    </w:p>
    <w:p>
      <w:pPr>
        <w:pStyle w:val="BodyText"/>
        <w:spacing w:line="218" w:lineRule="auto"/>
        <w:ind w:right="38"/>
      </w:pPr>
      <w:r>
        <w:rPr>
          <w:color w:val="231F20"/>
        </w:rPr>
        <w:t>1° le dépôt du projet de fusion visé à l’article 12:50 est effectué pour chacune des sociétés participant à l’opération au plus tard six semaines avant la prise d’effet de l’absorption;</w:t>
      </w:r>
    </w:p>
    <w:p>
      <w:pPr>
        <w:pStyle w:val="BodyText"/>
        <w:spacing w:before="9"/>
        <w:ind w:left="0" w:right="0" w:firstLine="0"/>
        <w:jc w:val="left"/>
        <w:rPr>
          <w:sz w:val="25"/>
        </w:rPr>
      </w:pPr>
    </w:p>
    <w:p>
      <w:pPr>
        <w:pStyle w:val="BodyText"/>
        <w:spacing w:line="218" w:lineRule="auto"/>
        <w:ind w:right="38"/>
      </w:pPr>
      <w:r>
        <w:rPr>
          <w:color w:val="231F20"/>
        </w:rPr>
        <w:t>2° sans préjudice des exceptions visées à l’article 12:51, chaque actionnaire de la société absorbante a le droit, un mois au moins avant la prise d’effet de l’absorption, de prendre connaissance des documents mentionnés</w:t>
      </w:r>
      <w:r>
        <w:rPr>
          <w:color w:val="231F20"/>
          <w:spacing w:val="14"/>
        </w:rPr>
        <w:t> </w:t>
      </w:r>
      <w:r>
        <w:rPr>
          <w:color w:val="231F20"/>
        </w:rPr>
        <w:t>à</w:t>
      </w:r>
      <w:r>
        <w:rPr>
          <w:color w:val="231F20"/>
          <w:spacing w:val="15"/>
        </w:rPr>
        <w:t> </w:t>
      </w:r>
      <w:r>
        <w:rPr>
          <w:color w:val="231F20"/>
        </w:rPr>
        <w:t>l’article</w:t>
      </w:r>
      <w:r>
        <w:rPr>
          <w:color w:val="231F20"/>
          <w:spacing w:val="14"/>
        </w:rPr>
        <w:t> </w:t>
      </w:r>
      <w:r>
        <w:rPr>
          <w:color w:val="231F20"/>
        </w:rPr>
        <w:t>12:51,</w:t>
      </w:r>
      <w:r>
        <w:rPr>
          <w:color w:val="231F20"/>
          <w:spacing w:val="15"/>
        </w:rPr>
        <w:t> </w:t>
      </w:r>
      <w:r>
        <w:rPr>
          <w:color w:val="231F20"/>
        </w:rPr>
        <w:t>§</w:t>
      </w:r>
      <w:r>
        <w:rPr>
          <w:color w:val="231F20"/>
          <w:spacing w:val="14"/>
        </w:rPr>
        <w:t> </w:t>
      </w:r>
      <w:r>
        <w:rPr>
          <w:color w:val="231F20"/>
        </w:rPr>
        <w:t>2,</w:t>
      </w:r>
      <w:r>
        <w:rPr>
          <w:color w:val="231F20"/>
          <w:spacing w:val="15"/>
        </w:rPr>
        <w:t> </w:t>
      </w:r>
      <w:r>
        <w:rPr>
          <w:color w:val="231F20"/>
        </w:rPr>
        <w:t>au</w:t>
      </w:r>
      <w:r>
        <w:rPr>
          <w:color w:val="231F20"/>
          <w:spacing w:val="14"/>
        </w:rPr>
        <w:t> </w:t>
      </w:r>
      <w:r>
        <w:rPr>
          <w:color w:val="231F20"/>
        </w:rPr>
        <w:t>siège</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rPr>
        <w:t>société.</w:t>
      </w:r>
    </w:p>
    <w:p>
      <w:pPr>
        <w:pStyle w:val="BodyText"/>
        <w:spacing w:before="10"/>
        <w:ind w:left="0" w:right="0" w:firstLine="0"/>
        <w:jc w:val="left"/>
        <w:rPr>
          <w:sz w:val="25"/>
        </w:rPr>
      </w:pPr>
    </w:p>
    <w:p>
      <w:pPr>
        <w:pStyle w:val="BodyText"/>
        <w:spacing w:line="218" w:lineRule="auto"/>
        <w:ind w:right="38"/>
      </w:pPr>
      <w:r>
        <w:rPr>
          <w:color w:val="231F20"/>
        </w:rPr>
        <w:t>Dans ce cas, l’organe d’administration des sociétés qui fusionnent concernées</w:t>
      </w:r>
      <w:r>
        <w:rPr>
          <w:color w:val="231F20"/>
          <w:spacing w:val="15"/>
        </w:rPr>
        <w:t> </w:t>
      </w:r>
      <w:r>
        <w:rPr>
          <w:color w:val="231F20"/>
        </w:rPr>
        <w:t>se</w:t>
      </w:r>
      <w:r>
        <w:rPr>
          <w:color w:val="231F20"/>
          <w:spacing w:val="15"/>
        </w:rPr>
        <w:t> </w:t>
      </w:r>
      <w:r>
        <w:rPr>
          <w:color w:val="231F20"/>
        </w:rPr>
        <w:t>prononce</w:t>
      </w:r>
      <w:r>
        <w:rPr>
          <w:color w:val="231F20"/>
          <w:spacing w:val="15"/>
        </w:rPr>
        <w:t> </w:t>
      </w:r>
      <w:r>
        <w:rPr>
          <w:color w:val="231F20"/>
        </w:rPr>
        <w:t>sur</w:t>
      </w:r>
      <w:r>
        <w:rPr>
          <w:color w:val="231F20"/>
          <w:spacing w:val="15"/>
        </w:rPr>
        <w:t> </w:t>
      </w:r>
      <w:r>
        <w:rPr>
          <w:color w:val="231F20"/>
        </w:rPr>
        <w:t>l’approbation</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fusion.</w:t>
      </w:r>
    </w:p>
    <w:p>
      <w:pPr>
        <w:pStyle w:val="BodyText"/>
        <w:spacing w:line="218" w:lineRule="auto" w:before="117"/>
        <w:ind w:right="38"/>
      </w:pPr>
      <w:r>
        <w:rPr>
          <w:color w:val="231F20"/>
        </w:rPr>
        <w:t>Un ou plusieurs actionnaires de la société absorbante qui détiennent 5 % des actions émises ou qui, dans une société anonyme ou une  société</w:t>
      </w:r>
      <w:r>
        <w:rPr>
          <w:color w:val="231F20"/>
          <w:spacing w:val="-7"/>
        </w:rPr>
        <w:t> </w:t>
      </w:r>
      <w:r>
        <w:rPr>
          <w:color w:val="231F20"/>
        </w:rPr>
        <w:t>européenne,</w:t>
      </w:r>
      <w:r>
        <w:rPr>
          <w:color w:val="231F20"/>
          <w:spacing w:val="-7"/>
        </w:rPr>
        <w:t> </w:t>
      </w:r>
      <w:r>
        <w:rPr>
          <w:color w:val="231F20"/>
        </w:rPr>
        <w:t>représentent</w:t>
      </w:r>
      <w:r>
        <w:rPr>
          <w:color w:val="231F20"/>
          <w:spacing w:val="-7"/>
        </w:rPr>
        <w:t> </w:t>
      </w:r>
      <w:r>
        <w:rPr>
          <w:color w:val="231F20"/>
        </w:rPr>
        <w:t>5</w:t>
      </w:r>
      <w:r>
        <w:rPr>
          <w:color w:val="231F20"/>
          <w:spacing w:val="-6"/>
        </w:rPr>
        <w:t> </w:t>
      </w:r>
      <w:r>
        <w:rPr>
          <w:color w:val="231F20"/>
        </w:rPr>
        <w:t>%</w:t>
      </w:r>
      <w:r>
        <w:rPr>
          <w:color w:val="231F20"/>
          <w:spacing w:val="-7"/>
        </w:rPr>
        <w:t> </w:t>
      </w:r>
      <w:r>
        <w:rPr>
          <w:color w:val="231F20"/>
        </w:rPr>
        <w:t>du</w:t>
      </w:r>
      <w:r>
        <w:rPr>
          <w:color w:val="231F20"/>
          <w:spacing w:val="-7"/>
        </w:rPr>
        <w:t> </w:t>
      </w:r>
      <w:r>
        <w:rPr>
          <w:color w:val="231F20"/>
        </w:rPr>
        <w:t>capital</w:t>
      </w:r>
      <w:r>
        <w:rPr>
          <w:color w:val="231F20"/>
          <w:spacing w:val="-6"/>
        </w:rPr>
        <w:t> </w:t>
      </w:r>
      <w:r>
        <w:rPr>
          <w:color w:val="231F20"/>
        </w:rPr>
        <w:t>souscrit,</w:t>
      </w:r>
      <w:r>
        <w:rPr>
          <w:color w:val="231F20"/>
          <w:spacing w:val="-7"/>
        </w:rPr>
        <w:t> </w:t>
      </w:r>
      <w:r>
        <w:rPr>
          <w:color w:val="231F20"/>
        </w:rPr>
        <w:t>ont</w:t>
      </w:r>
      <w:r>
        <w:rPr>
          <w:color w:val="231F20"/>
          <w:spacing w:val="-7"/>
        </w:rPr>
        <w:t> </w:t>
      </w:r>
      <w:r>
        <w:rPr>
          <w:color w:val="231F20"/>
        </w:rPr>
        <w:t>néanmoins le droit d’obtenir la convocation de l’assemblée générale de cette société appelée à se prononcer sur le projet de fusion. Les actions sans droit de vote ne sont pas prises en considération dans le calcul de ce pourcentage.</w:t>
      </w:r>
    </w:p>
    <w:p>
      <w:pPr>
        <w:pStyle w:val="BodyText"/>
        <w:spacing w:line="218" w:lineRule="auto" w:before="119"/>
        <w:ind w:right="183" w:firstLine="0"/>
        <w:jc w:val="left"/>
      </w:pPr>
      <w:r>
        <w:rPr/>
        <w:br w:type="column"/>
      </w:r>
      <w:r>
        <w:rPr>
          <w:color w:val="231F20"/>
        </w:rPr>
        <w:t>een overnemende vennootschap die een andere rechtsvorm heeft, zonder dat hij aan enige andere voorwaarde moet voldoen.</w:t>
      </w:r>
    </w:p>
    <w:p>
      <w:pPr>
        <w:pStyle w:val="BodyText"/>
        <w:spacing w:line="218" w:lineRule="auto" w:before="118"/>
      </w:pPr>
      <w:r>
        <w:rPr>
          <w:color w:val="231F20"/>
        </w:rPr>
        <w:t>Hij geeft van zijn uittreding aan de vennootschap kennis overeen- komstig artikel 2:32 uiterlijk vijf dagen vóór de datum van de algemene vergadering. Zij heeft enkel gevolg als het voorstel tot fusie wordt aangenomen.</w:t>
      </w:r>
    </w:p>
    <w:p>
      <w:pPr>
        <w:pStyle w:val="BodyText"/>
        <w:spacing w:line="218" w:lineRule="auto" w:before="117"/>
      </w:pPr>
      <w:r>
        <w:rPr>
          <w:color w:val="231F20"/>
        </w:rPr>
        <w:t>In de oproepingsbrief wordt de tekst van het eerste en het tweede lid opgenomen.</w:t>
      </w:r>
    </w:p>
    <w:p>
      <w:pPr>
        <w:pStyle w:val="BodyText"/>
        <w:spacing w:line="218" w:lineRule="auto" w:before="118"/>
      </w:pPr>
      <w:r>
        <w:rPr>
          <w:color w:val="231F20"/>
        </w:rPr>
        <w:t>Art. 12:53. § 1. Onder voorbehoud van strengere statutaire bepalin- gen en onverminderd de bijzondere bepalingen van dit artikel, besluit de algemene vergadering tot fusie van een vennootschap overeenkom- stig de volgende regels van aanwezigheid en meerderheid:</w:t>
      </w:r>
    </w:p>
    <w:p>
      <w:pPr>
        <w:pStyle w:val="BodyText"/>
        <w:spacing w:before="9"/>
        <w:ind w:left="0" w:right="0" w:firstLine="0"/>
        <w:jc w:val="left"/>
        <w:rPr>
          <w:sz w:val="25"/>
        </w:rPr>
      </w:pPr>
    </w:p>
    <w:p>
      <w:pPr>
        <w:pStyle w:val="BodyText"/>
        <w:spacing w:line="218" w:lineRule="auto"/>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7"/>
        <w:ind w:left="0" w:right="0" w:firstLine="0"/>
        <w:jc w:val="left"/>
        <w:rPr>
          <w:sz w:val="25"/>
        </w:rPr>
      </w:pPr>
    </w:p>
    <w:p>
      <w:pPr>
        <w:pStyle w:val="BodyText"/>
        <w:spacing w:line="218" w:lineRule="auto"/>
      </w:pPr>
      <w:r>
        <w:rPr>
          <w:color w:val="231F20"/>
        </w:rPr>
        <w:t>2° </w:t>
      </w:r>
      <w:r>
        <w:rPr>
          <w:rFonts w:ascii="Times New Roman" w:hAnsi="Times New Roman"/>
          <w:i/>
          <w:color w:val="231F20"/>
        </w:rPr>
        <w:t>a) </w:t>
      </w:r>
      <w:r>
        <w:rPr>
          <w:color w:val="231F20"/>
        </w:rPr>
        <w:t>een voorstel tot fusie is alleen dan aangenomen, wanneer het drie vierde van de stemmen heeft verkregen, waarbij de onthoudingen in de teller noch in de noemer worden meegerekend;</w:t>
      </w:r>
    </w:p>
    <w:p>
      <w:pPr>
        <w:pStyle w:val="BodyText"/>
        <w:spacing w:line="218" w:lineRule="auto" w:before="115"/>
      </w:pP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before="104"/>
        <w:ind w:left="283" w:right="0" w:firstLine="0"/>
        <w:jc w:val="left"/>
      </w:pPr>
      <w:r>
        <w:rPr>
          <w:color w:val="231F20"/>
        </w:rPr>
        <w:t>§ 2. Artikel 7:179 is niet van toepassing.</w:t>
      </w:r>
    </w:p>
    <w:p>
      <w:pPr>
        <w:pStyle w:val="BodyText"/>
        <w:spacing w:line="218" w:lineRule="auto" w:before="114"/>
      </w:pPr>
      <w:r>
        <w:rPr>
          <w:color w:val="231F20"/>
        </w:rPr>
        <w:t>§ 3. Indien er verschillende soorten van aandelen of effecten bestaan die het in de statuten vastgestelde kapitaal al of niet vertegenwoordi- gen en de fusie aanleiding geeft tot wijziging van hun respectieve rechten, is artikel 5:102, derde  lid,  artikel  6:87,  derde  lid,  of  arti-  kel</w:t>
      </w:r>
      <w:r>
        <w:rPr>
          <w:color w:val="231F20"/>
          <w:spacing w:val="16"/>
        </w:rPr>
        <w:t> </w:t>
      </w:r>
      <w:r>
        <w:rPr>
          <w:color w:val="231F20"/>
        </w:rPr>
        <w:t>7:155,</w:t>
      </w:r>
      <w:r>
        <w:rPr>
          <w:color w:val="231F20"/>
          <w:spacing w:val="16"/>
        </w:rPr>
        <w:t> </w:t>
      </w:r>
      <w:r>
        <w:rPr>
          <w:color w:val="231F20"/>
        </w:rPr>
        <w:t>derde</w:t>
      </w:r>
      <w:r>
        <w:rPr>
          <w:color w:val="231F20"/>
          <w:spacing w:val="16"/>
        </w:rPr>
        <w:t> </w:t>
      </w:r>
      <w:r>
        <w:rPr>
          <w:color w:val="231F20"/>
        </w:rPr>
        <w:t>lid,</w:t>
      </w:r>
      <w:r>
        <w:rPr>
          <w:color w:val="231F20"/>
          <w:spacing w:val="16"/>
        </w:rPr>
        <w:t> </w:t>
      </w:r>
      <w:r>
        <w:rPr>
          <w:color w:val="231F20"/>
        </w:rPr>
        <w:t>van</w:t>
      </w:r>
      <w:r>
        <w:rPr>
          <w:color w:val="231F20"/>
          <w:spacing w:val="16"/>
        </w:rPr>
        <w:t> </w:t>
      </w:r>
      <w:r>
        <w:rPr>
          <w:color w:val="231F20"/>
        </w:rPr>
        <w:t>overeenkomstige</w:t>
      </w:r>
      <w:r>
        <w:rPr>
          <w:color w:val="231F20"/>
          <w:spacing w:val="16"/>
        </w:rPr>
        <w:t> </w:t>
      </w:r>
      <w:r>
        <w:rPr>
          <w:color w:val="231F20"/>
        </w:rPr>
        <w:t>toepassing.</w:t>
      </w:r>
    </w:p>
    <w:p>
      <w:pPr>
        <w:pStyle w:val="BodyText"/>
        <w:spacing w:line="290" w:lineRule="atLeast" w:before="6"/>
        <w:ind w:left="283" w:right="183" w:firstLine="0"/>
        <w:jc w:val="left"/>
      </w:pPr>
      <w:r>
        <w:rPr>
          <w:color w:val="231F20"/>
        </w:rPr>
        <w:t>§ 4. De instemming van alle vennoten of aandeelhouders is vereist:  1° in de overnemende of over te nemen vennootschappen</w:t>
      </w:r>
      <w:r>
        <w:rPr>
          <w:color w:val="231F20"/>
          <w:spacing w:val="-6"/>
        </w:rPr>
        <w:t> </w:t>
      </w:r>
      <w:r>
        <w:rPr>
          <w:color w:val="231F20"/>
        </w:rPr>
        <w:t>die</w:t>
      </w:r>
    </w:p>
    <w:p>
      <w:pPr>
        <w:pStyle w:val="BodyText"/>
        <w:spacing w:line="179" w:lineRule="exact"/>
        <w:ind w:right="0" w:firstLine="0"/>
        <w:jc w:val="left"/>
      </w:pPr>
      <w:r>
        <w:rPr>
          <w:color w:val="231F20"/>
        </w:rPr>
        <w:t>vennootschappen onder firma zijn;</w:t>
      </w:r>
    </w:p>
    <w:p>
      <w:pPr>
        <w:pStyle w:val="BodyText"/>
        <w:spacing w:line="218" w:lineRule="auto" w:before="114"/>
      </w:pPr>
      <w:r>
        <w:rPr>
          <w:color w:val="231F20"/>
        </w:rPr>
        <w:t>2° in de over te nemen vennootschappen wanneer de overnemende vennootschap de rechtsvorm heeft aangenomen van:</w:t>
      </w:r>
    </w:p>
    <w:p>
      <w:pPr>
        <w:pStyle w:val="ListParagraph"/>
        <w:numPr>
          <w:ilvl w:val="0"/>
          <w:numId w:val="134"/>
        </w:numPr>
        <w:tabs>
          <w:tab w:pos="473" w:val="left" w:leader="none"/>
        </w:tabs>
        <w:spacing w:line="240" w:lineRule="auto" w:before="101"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34"/>
        </w:numPr>
        <w:tabs>
          <w:tab w:pos="477" w:val="left" w:leader="none"/>
        </w:tabs>
        <w:spacing w:line="240" w:lineRule="auto" w:before="97"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pStyle w:val="BodyText"/>
        <w:spacing w:line="218" w:lineRule="auto" w:before="114"/>
      </w:pP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118"/>
      </w:pPr>
      <w:r>
        <w:rPr>
          <w:color w:val="231F20"/>
        </w:rPr>
        <w:t>§ 5. In de commanditaire vennootschap is bovendien de instemming van alle gecommanditeerde vennoten vereist.</w:t>
      </w:r>
    </w:p>
    <w:p>
      <w:pPr>
        <w:pStyle w:val="BodyText"/>
        <w:spacing w:line="218" w:lineRule="auto" w:before="117"/>
      </w:pPr>
      <w:r>
        <w:rPr>
          <w:color w:val="231F20"/>
        </w:rPr>
        <w:t>§ 6. In afwijking van de voorgaande paragrafen, kan tot fusie worden besloten zonder de goedkeuring door de algemene vergadering van de overnemende vennootschap die de rechtsvorm heeft van een besloten vennootschap, van een coöperatieve vennootschap, van een naamloze vennootschap, van een Europese vennootschap of van een Europese coöperatieve vennootschap, noch door de algemene vergadering van   de overgenomen vennootschap zoals in de vorige paragrafen bepaald  in</w:t>
      </w:r>
      <w:r>
        <w:rPr>
          <w:color w:val="231F20"/>
          <w:spacing w:val="17"/>
        </w:rPr>
        <w:t> </w:t>
      </w:r>
      <w:r>
        <w:rPr>
          <w:color w:val="231F20"/>
        </w:rPr>
        <w:t>zoverre</w:t>
      </w:r>
      <w:r>
        <w:rPr>
          <w:color w:val="231F20"/>
          <w:spacing w:val="18"/>
        </w:rPr>
        <w:t> </w:t>
      </w:r>
      <w:r>
        <w:rPr>
          <w:color w:val="231F20"/>
        </w:rPr>
        <w:t>aan</w:t>
      </w:r>
      <w:r>
        <w:rPr>
          <w:color w:val="231F20"/>
          <w:spacing w:val="17"/>
        </w:rPr>
        <w:t> </w:t>
      </w:r>
      <w:r>
        <w:rPr>
          <w:color w:val="231F20"/>
        </w:rPr>
        <w:t>de</w:t>
      </w:r>
      <w:r>
        <w:rPr>
          <w:color w:val="231F20"/>
          <w:spacing w:val="18"/>
        </w:rPr>
        <w:t> </w:t>
      </w:r>
      <w:r>
        <w:rPr>
          <w:color w:val="231F20"/>
        </w:rPr>
        <w:t>volgende</w:t>
      </w:r>
      <w:r>
        <w:rPr>
          <w:color w:val="231F20"/>
          <w:spacing w:val="17"/>
        </w:rPr>
        <w:t> </w:t>
      </w:r>
      <w:r>
        <w:rPr>
          <w:color w:val="231F20"/>
        </w:rPr>
        <w:t>voorwaarden</w:t>
      </w:r>
      <w:r>
        <w:rPr>
          <w:color w:val="231F20"/>
          <w:spacing w:val="18"/>
        </w:rPr>
        <w:t> </w:t>
      </w:r>
      <w:r>
        <w:rPr>
          <w:color w:val="231F20"/>
        </w:rPr>
        <w:t>is</w:t>
      </w:r>
      <w:r>
        <w:rPr>
          <w:color w:val="231F20"/>
          <w:spacing w:val="17"/>
        </w:rPr>
        <w:t> </w:t>
      </w:r>
      <w:r>
        <w:rPr>
          <w:color w:val="231F20"/>
        </w:rPr>
        <w:t>voldaan:</w:t>
      </w:r>
    </w:p>
    <w:p>
      <w:pPr>
        <w:pStyle w:val="BodyText"/>
        <w:spacing w:line="218" w:lineRule="auto" w:before="118"/>
      </w:pPr>
      <w:r>
        <w:rPr>
          <w:color w:val="231F20"/>
          <w:spacing w:val="3"/>
        </w:rPr>
        <w:t>1°</w:t>
      </w:r>
      <w:r>
        <w:rPr>
          <w:color w:val="231F20"/>
          <w:spacing w:val="47"/>
        </w:rPr>
        <w:t> </w:t>
      </w:r>
      <w:r>
        <w:rPr>
          <w:color w:val="231F20"/>
          <w:spacing w:val="3"/>
        </w:rPr>
        <w:t>de  </w:t>
      </w:r>
      <w:r>
        <w:rPr>
          <w:color w:val="231F20"/>
          <w:spacing w:val="5"/>
        </w:rPr>
        <w:t>neerlegging   </w:t>
      </w:r>
      <w:r>
        <w:rPr>
          <w:color w:val="231F20"/>
          <w:spacing w:val="4"/>
        </w:rPr>
        <w:t>van   het   </w:t>
      </w:r>
      <w:r>
        <w:rPr>
          <w:color w:val="231F20"/>
          <w:spacing w:val="5"/>
        </w:rPr>
        <w:t>fusievoorstel   bedoeld   </w:t>
      </w:r>
      <w:r>
        <w:rPr>
          <w:color w:val="231F20"/>
          <w:spacing w:val="3"/>
        </w:rPr>
        <w:t>in   </w:t>
      </w:r>
      <w:r>
        <w:rPr>
          <w:color w:val="231F20"/>
          <w:spacing w:val="6"/>
        </w:rPr>
        <w:t>arti- </w:t>
      </w:r>
      <w:r>
        <w:rPr>
          <w:color w:val="231F20"/>
        </w:rPr>
        <w:t>kel 12:50 gebeurt voor elke aan de rechtshandeling deelnemende vennootschap uiterlijk zes weken voordat de overneming van kracht wordt;</w:t>
      </w:r>
    </w:p>
    <w:p>
      <w:pPr>
        <w:pStyle w:val="BodyText"/>
        <w:spacing w:line="218" w:lineRule="auto" w:before="118"/>
      </w:pPr>
      <w:r>
        <w:rPr>
          <w:color w:val="231F20"/>
        </w:rPr>
        <w:t>2° onverminderd de in artikel 12:51 bepaalde uitzonderingen, heeft iedere aandeelhouder van de overnemende vennootschap het recht ten minste een maand voordat de overneming van kracht wordt, op</w:t>
      </w:r>
      <w:r>
        <w:rPr>
          <w:color w:val="231F20"/>
          <w:spacing w:val="25"/>
        </w:rPr>
        <w:t> </w:t>
      </w:r>
      <w:r>
        <w:rPr>
          <w:color w:val="231F20"/>
        </w:rPr>
        <w:t>de zetel van de vennootschap kennis te nemen van de in artikel 12:51, § 2, vermelde</w:t>
      </w:r>
      <w:r>
        <w:rPr>
          <w:color w:val="231F20"/>
          <w:spacing w:val="15"/>
        </w:rPr>
        <w:t> </w:t>
      </w:r>
      <w:r>
        <w:rPr>
          <w:color w:val="231F20"/>
        </w:rPr>
        <w:t>stukken.</w:t>
      </w:r>
    </w:p>
    <w:p>
      <w:pPr>
        <w:pStyle w:val="BodyText"/>
        <w:spacing w:line="218" w:lineRule="auto" w:before="117"/>
      </w:pPr>
      <w:r>
        <w:rPr>
          <w:color w:val="231F20"/>
        </w:rPr>
        <w:t>In dat geval beslist het bestuursorgaan van de betreffende fuserende vennootschappen over de goedkeuring van de fusie.</w:t>
      </w:r>
    </w:p>
    <w:p>
      <w:pPr>
        <w:pStyle w:val="BodyText"/>
        <w:spacing w:line="218" w:lineRule="auto" w:before="118"/>
      </w:pPr>
      <w:r>
        <w:rPr>
          <w:color w:val="231F20"/>
        </w:rPr>
        <w:t>Eén of meer aandeelhouders van de overnemende vennootschap die 5 % van het aantal uitgegeven aandelen bezitten of, in een naamloze vennootschap of een Europese vennootschap, die 5 % van het geplaatste kapitaal vertegenwoordigen, hebben niettemin het recht om de algemene vergadering van deze vennootschap bijeen te roepen, die over het fusievoorstel moet besluiten. Aandelen zonder stemrecht worden bij de berekening van dit percentage buiten beschouwing gelaten.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6712" from="298.170502pt,64.473pt" to="298.170502pt,812.819pt" stroked="true" strokeweight=".533pt" strokecolor="#231f20">
            <v:stroke dashstyle="solid"/>
            <w10:wrap type="none"/>
          </v:line>
        </w:pict>
      </w:r>
      <w:bookmarkStart w:name="_bookmark237" w:id="243"/>
      <w:bookmarkEnd w:id="243"/>
      <w:r>
        <w:rPr/>
      </w:r>
      <w:r>
        <w:rPr>
          <w:color w:val="231F20"/>
        </w:rPr>
        <w:t>Art. 12:54. Dans chaque société participant à la fusion, le procès- verbal de l’assemblée générale, ou, dans le cas visé à l’article 12:53, § 6, de l’organe d’administration, qui décide la fusion est, à peine de nullité, établi par acte authentique.</w:t>
      </w:r>
    </w:p>
    <w:p>
      <w:pPr>
        <w:pStyle w:val="BodyText"/>
        <w:spacing w:line="218" w:lineRule="auto" w:before="107"/>
        <w:ind w:right="38"/>
      </w:pPr>
      <w:r>
        <w:rPr>
          <w:color w:val="231F20"/>
        </w:rPr>
        <w:t>Le notaire doit vérifier et attester l’existence et la légalité, tant</w:t>
      </w:r>
      <w:r>
        <w:rPr>
          <w:color w:val="231F20"/>
          <w:spacing w:val="-24"/>
        </w:rPr>
        <w:t> </w:t>
      </w:r>
      <w:r>
        <w:rPr>
          <w:color w:val="231F20"/>
        </w:rPr>
        <w:t>interne qu’externe, des actes et formalités incombant à la société auprès de laquelle il</w:t>
      </w:r>
      <w:r>
        <w:rPr>
          <w:color w:val="231F20"/>
          <w:spacing w:val="-12"/>
        </w:rPr>
        <w:t> </w:t>
      </w:r>
      <w:r>
        <w:rPr>
          <w:color w:val="231F20"/>
        </w:rPr>
        <w:t>instrumente.</w:t>
      </w:r>
    </w:p>
    <w:p>
      <w:pPr>
        <w:pStyle w:val="BodyText"/>
        <w:spacing w:line="218" w:lineRule="auto" w:before="106"/>
        <w:ind w:right="38"/>
      </w:pPr>
      <w:r>
        <w:rPr>
          <w:color w:val="231F20"/>
        </w:rPr>
        <w:t>Art. 12:55. Immédiatement après la décision de fusion, l’assemblée générale de la société absorbante arrête les modifications éventuelles</w:t>
      </w:r>
      <w:r>
        <w:rPr>
          <w:color w:val="231F20"/>
          <w:spacing w:val="-8"/>
        </w:rPr>
        <w:t> </w:t>
      </w:r>
      <w:r>
        <w:rPr>
          <w:color w:val="231F20"/>
        </w:rPr>
        <w:t>de ses statuts, y compris les dispositions qui modifieraient son objet, aux conditions de présence et de majorité requises par le présent code. À défaut,</w:t>
      </w:r>
      <w:r>
        <w:rPr>
          <w:color w:val="231F20"/>
          <w:spacing w:val="14"/>
        </w:rPr>
        <w:t> </w:t>
      </w:r>
      <w:r>
        <w:rPr>
          <w:color w:val="231F20"/>
        </w:rPr>
        <w:t>la</w:t>
      </w:r>
      <w:r>
        <w:rPr>
          <w:color w:val="231F20"/>
          <w:spacing w:val="15"/>
        </w:rPr>
        <w:t> </w:t>
      </w:r>
      <w:r>
        <w:rPr>
          <w:color w:val="231F20"/>
        </w:rPr>
        <w:t>décision</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reste</w:t>
      </w:r>
      <w:r>
        <w:rPr>
          <w:color w:val="231F20"/>
          <w:spacing w:val="15"/>
        </w:rPr>
        <w:t> </w:t>
      </w:r>
      <w:r>
        <w:rPr>
          <w:color w:val="231F20"/>
        </w:rPr>
        <w:t>sans</w:t>
      </w:r>
      <w:r>
        <w:rPr>
          <w:color w:val="231F20"/>
          <w:spacing w:val="15"/>
        </w:rPr>
        <w:t> </w:t>
      </w:r>
      <w:r>
        <w:rPr>
          <w:color w:val="231F20"/>
        </w:rPr>
        <w:t>effet.</w:t>
      </w:r>
    </w:p>
    <w:p>
      <w:pPr>
        <w:pStyle w:val="BodyText"/>
        <w:spacing w:before="11"/>
        <w:ind w:left="0" w:right="0" w:firstLine="0"/>
        <w:jc w:val="left"/>
        <w:rPr>
          <w:sz w:val="24"/>
        </w:rPr>
      </w:pPr>
    </w:p>
    <w:p>
      <w:pPr>
        <w:pStyle w:val="BodyText"/>
        <w:spacing w:line="218" w:lineRule="auto"/>
        <w:ind w:right="38"/>
      </w:pPr>
      <w:r>
        <w:rPr>
          <w:color w:val="231F20"/>
        </w:rPr>
        <w:t>La fusion est réalisée lorsque sont intervenues les décisions concor- dantes prises au sein de toutes les sociétés intéressées.</w:t>
      </w:r>
    </w:p>
    <w:p>
      <w:pPr>
        <w:pStyle w:val="BodyText"/>
        <w:spacing w:line="218" w:lineRule="auto" w:before="106"/>
        <w:ind w:right="38"/>
      </w:pPr>
      <w:r>
        <w:rPr>
          <w:color w:val="231F20"/>
        </w:rPr>
        <w:t>Art. 12:56. Sous réserve des modalités déterminées aux alinéas 2 et 3, les actes constatant les décisions de fusion prises au sein de la société absorbante et de la société absorbée sont déposés et publiés par extrait conformément aux articles 2:8 et 2:14, 1°, et, le cas échéant, les actes modifiant les statuts de la société absorbante sont déposés et publiés conformément aux articles 2:8 et 2:14, 1°.</w:t>
      </w:r>
    </w:p>
    <w:p>
      <w:pPr>
        <w:pStyle w:val="BodyText"/>
        <w:ind w:left="0" w:right="0" w:firstLine="0"/>
        <w:jc w:val="left"/>
        <w:rPr>
          <w:sz w:val="20"/>
        </w:rPr>
      </w:pPr>
    </w:p>
    <w:p>
      <w:pPr>
        <w:pStyle w:val="BodyText"/>
        <w:spacing w:before="5"/>
        <w:ind w:left="0" w:right="0" w:firstLine="0"/>
        <w:jc w:val="left"/>
        <w:rPr>
          <w:sz w:val="20"/>
        </w:rPr>
      </w:pPr>
    </w:p>
    <w:p>
      <w:pPr>
        <w:pStyle w:val="BodyText"/>
        <w:spacing w:line="218" w:lineRule="auto"/>
        <w:ind w:right="38"/>
      </w:pPr>
      <w:r>
        <w:rPr>
          <w:color w:val="231F20"/>
        </w:rPr>
        <w:t>Ils sont publiés simultanément dans les dix jours du dépôt de l’acte constatant la décision de fusion prise lors de la réunion des organes compétents qui s’est tenue en dernier lieu, soit l’assemblée générale,</w:t>
      </w:r>
      <w:r>
        <w:rPr>
          <w:color w:val="231F20"/>
          <w:spacing w:val="-21"/>
        </w:rPr>
        <w:t> </w:t>
      </w:r>
      <w:r>
        <w:rPr>
          <w:color w:val="231F20"/>
        </w:rPr>
        <w:t>ou, dans le cas </w:t>
      </w:r>
      <w:r>
        <w:rPr>
          <w:color w:val="231F20"/>
          <w:spacing w:val="7"/>
        </w:rPr>
        <w:t>visé </w:t>
      </w:r>
      <w:r>
        <w:rPr>
          <w:color w:val="231F20"/>
        </w:rPr>
        <w:t>à l’article 12:53, § 6, l’organe d’administration de la société</w:t>
      </w:r>
      <w:r>
        <w:rPr>
          <w:color w:val="231F20"/>
          <w:spacing w:val="14"/>
        </w:rPr>
        <w:t> </w:t>
      </w:r>
      <w:r>
        <w:rPr>
          <w:color w:val="231F20"/>
        </w:rPr>
        <w:t>absorbante.</w:t>
      </w:r>
    </w:p>
    <w:p>
      <w:pPr>
        <w:pStyle w:val="BodyText"/>
        <w:spacing w:before="9"/>
        <w:ind w:left="0" w:right="0" w:firstLine="0"/>
        <w:jc w:val="left"/>
        <w:rPr>
          <w:sz w:val="25"/>
        </w:rPr>
      </w:pPr>
    </w:p>
    <w:p>
      <w:pPr>
        <w:pStyle w:val="BodyText"/>
        <w:spacing w:line="218" w:lineRule="auto"/>
        <w:ind w:right="38"/>
      </w:pPr>
      <w:r>
        <w:rPr>
          <w:color w:val="231F20"/>
        </w:rPr>
        <w:t>La société absorbante peut procéder elle-même aux formalités de publicité concernant les sociétés absorbées.</w:t>
      </w:r>
    </w:p>
    <w:p>
      <w:pPr>
        <w:pStyle w:val="BodyText"/>
        <w:spacing w:before="9"/>
        <w:ind w:left="0" w:right="0" w:firstLine="0"/>
        <w:jc w:val="left"/>
        <w:rPr>
          <w:sz w:val="25"/>
        </w:rPr>
      </w:pPr>
    </w:p>
    <w:p>
      <w:pPr>
        <w:pStyle w:val="BodyText"/>
        <w:spacing w:line="218" w:lineRule="auto" w:before="1"/>
        <w:ind w:right="38"/>
      </w:pPr>
      <w:r>
        <w:rPr>
          <w:color w:val="231F20"/>
        </w:rPr>
        <w:t>Art.</w:t>
      </w:r>
      <w:r>
        <w:rPr>
          <w:color w:val="231F20"/>
          <w:spacing w:val="-3"/>
        </w:rPr>
        <w:t> </w:t>
      </w:r>
      <w:r>
        <w:rPr>
          <w:color w:val="231F20"/>
        </w:rPr>
        <w:t>12:57.</w:t>
      </w:r>
      <w:r>
        <w:rPr>
          <w:color w:val="231F20"/>
          <w:spacing w:val="-9"/>
        </w:rPr>
        <w:t> </w:t>
      </w:r>
      <w:r>
        <w:rPr>
          <w:color w:val="231F20"/>
        </w:rPr>
        <w:t>Aucune</w:t>
      </w:r>
      <w:r>
        <w:rPr>
          <w:color w:val="231F20"/>
          <w:spacing w:val="-3"/>
        </w:rPr>
        <w:t> </w:t>
      </w:r>
      <w:r>
        <w:rPr>
          <w:color w:val="231F20"/>
        </w:rPr>
        <w:t>action</w:t>
      </w:r>
      <w:r>
        <w:rPr>
          <w:color w:val="231F20"/>
          <w:spacing w:val="-2"/>
        </w:rPr>
        <w:t> </w:t>
      </w:r>
      <w:r>
        <w:rPr>
          <w:color w:val="231F20"/>
        </w:rPr>
        <w:t>ou</w:t>
      </w:r>
      <w:r>
        <w:rPr>
          <w:color w:val="231F20"/>
          <w:spacing w:val="-3"/>
        </w:rPr>
        <w:t> </w:t>
      </w:r>
      <w:r>
        <w:rPr>
          <w:color w:val="231F20"/>
        </w:rPr>
        <w:t>part</w:t>
      </w:r>
      <w:r>
        <w:rPr>
          <w:color w:val="231F20"/>
          <w:spacing w:val="-2"/>
        </w:rPr>
        <w:t> </w:t>
      </w:r>
      <w:r>
        <w:rPr>
          <w:color w:val="231F20"/>
        </w:rPr>
        <w:t>de</w:t>
      </w:r>
      <w:r>
        <w:rPr>
          <w:color w:val="231F20"/>
          <w:spacing w:val="-3"/>
        </w:rPr>
        <w:t> </w:t>
      </w:r>
      <w:r>
        <w:rPr>
          <w:color w:val="231F20"/>
        </w:rPr>
        <w:t>la</w:t>
      </w:r>
      <w:r>
        <w:rPr>
          <w:color w:val="231F20"/>
          <w:spacing w:val="-2"/>
        </w:rPr>
        <w:t> </w:t>
      </w:r>
      <w:r>
        <w:rPr>
          <w:color w:val="231F20"/>
        </w:rPr>
        <w:t>société</w:t>
      </w:r>
      <w:r>
        <w:rPr>
          <w:color w:val="231F20"/>
          <w:spacing w:val="-3"/>
        </w:rPr>
        <w:t> </w:t>
      </w:r>
      <w:r>
        <w:rPr>
          <w:color w:val="231F20"/>
        </w:rPr>
        <w:t>absorbante</w:t>
      </w:r>
      <w:r>
        <w:rPr>
          <w:color w:val="231F20"/>
          <w:spacing w:val="-2"/>
        </w:rPr>
        <w:t> </w:t>
      </w:r>
      <w:r>
        <w:rPr>
          <w:color w:val="231F20"/>
        </w:rPr>
        <w:t>ne</w:t>
      </w:r>
      <w:r>
        <w:rPr>
          <w:color w:val="231F20"/>
          <w:spacing w:val="-2"/>
        </w:rPr>
        <w:t> </w:t>
      </w:r>
      <w:r>
        <w:rPr>
          <w:color w:val="231F20"/>
        </w:rPr>
        <w:t>peut</w:t>
      </w:r>
      <w:r>
        <w:rPr>
          <w:color w:val="231F20"/>
          <w:spacing w:val="-3"/>
        </w:rPr>
        <w:t> </w:t>
      </w:r>
      <w:r>
        <w:rPr>
          <w:color w:val="231F20"/>
        </w:rPr>
        <w:t>être attribuée en échange d’actions ou parts de la société absorbée</w:t>
      </w:r>
      <w:r>
        <w:rPr>
          <w:color w:val="231F20"/>
          <w:spacing w:val="-3"/>
        </w:rPr>
        <w:t> </w:t>
      </w:r>
      <w:r>
        <w:rPr>
          <w:color w:val="231F20"/>
        </w:rPr>
        <w:t>détenues:</w:t>
      </w:r>
    </w:p>
    <w:p>
      <w:pPr>
        <w:pStyle w:val="BodyText"/>
        <w:spacing w:before="9"/>
        <w:ind w:left="0" w:right="0" w:firstLine="0"/>
        <w:jc w:val="left"/>
        <w:rPr>
          <w:sz w:val="25"/>
        </w:rPr>
      </w:pPr>
    </w:p>
    <w:p>
      <w:pPr>
        <w:pStyle w:val="BodyText"/>
        <w:spacing w:line="218" w:lineRule="auto"/>
        <w:ind w:right="38"/>
      </w:pPr>
      <w:r>
        <w:rPr>
          <w:color w:val="231F20"/>
        </w:rPr>
        <w:t>1° soit par la société absorbante elle-même ou par une personne agissant</w:t>
      </w:r>
      <w:r>
        <w:rPr>
          <w:color w:val="231F20"/>
          <w:spacing w:val="15"/>
        </w:rPr>
        <w:t> </w:t>
      </w:r>
      <w:r>
        <w:rPr>
          <w:color w:val="231F20"/>
        </w:rPr>
        <w:t>en</w:t>
      </w:r>
      <w:r>
        <w:rPr>
          <w:color w:val="231F20"/>
          <w:spacing w:val="15"/>
        </w:rPr>
        <w:t> </w:t>
      </w:r>
      <w:r>
        <w:rPr>
          <w:color w:val="231F20"/>
        </w:rPr>
        <w:t>son</w:t>
      </w:r>
      <w:r>
        <w:rPr>
          <w:color w:val="231F20"/>
          <w:spacing w:val="14"/>
        </w:rPr>
        <w:t> </w:t>
      </w:r>
      <w:r>
        <w:rPr>
          <w:color w:val="231F20"/>
        </w:rPr>
        <w:t>nom</w:t>
      </w:r>
      <w:r>
        <w:rPr>
          <w:color w:val="231F20"/>
          <w:spacing w:val="15"/>
        </w:rPr>
        <w:t> </w:t>
      </w:r>
      <w:r>
        <w:rPr>
          <w:color w:val="231F20"/>
        </w:rPr>
        <w:t>propre</w:t>
      </w:r>
      <w:r>
        <w:rPr>
          <w:color w:val="231F20"/>
          <w:spacing w:val="15"/>
        </w:rPr>
        <w:t> </w:t>
      </w:r>
      <w:r>
        <w:rPr>
          <w:color w:val="231F20"/>
        </w:rPr>
        <w:t>mais</w:t>
      </w:r>
      <w:r>
        <w:rPr>
          <w:color w:val="231F20"/>
          <w:spacing w:val="15"/>
        </w:rPr>
        <w:t> </w:t>
      </w:r>
      <w:r>
        <w:rPr>
          <w:color w:val="231F20"/>
        </w:rPr>
        <w:t>pour</w:t>
      </w:r>
      <w:r>
        <w:rPr>
          <w:color w:val="231F20"/>
          <w:spacing w:val="15"/>
        </w:rPr>
        <w:t> </w:t>
      </w:r>
      <w:r>
        <w:rPr>
          <w:color w:val="231F20"/>
        </w:rPr>
        <w:t>le</w:t>
      </w:r>
      <w:r>
        <w:rPr>
          <w:color w:val="231F20"/>
          <w:spacing w:val="15"/>
        </w:rPr>
        <w:t> </w:t>
      </w:r>
      <w:r>
        <w:rPr>
          <w:color w:val="231F20"/>
        </w:rPr>
        <w:t>compte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117"/>
        <w:ind w:right="38"/>
      </w:pPr>
      <w:r>
        <w:rPr>
          <w:color w:val="231F20"/>
        </w:rPr>
        <w:t>2° soit par la société absorbée elle-même ou par une personne agissant</w:t>
      </w:r>
      <w:r>
        <w:rPr>
          <w:color w:val="231F20"/>
          <w:spacing w:val="15"/>
        </w:rPr>
        <w:t> </w:t>
      </w:r>
      <w:r>
        <w:rPr>
          <w:color w:val="231F20"/>
        </w:rPr>
        <w:t>en</w:t>
      </w:r>
      <w:r>
        <w:rPr>
          <w:color w:val="231F20"/>
          <w:spacing w:val="15"/>
        </w:rPr>
        <w:t> </w:t>
      </w:r>
      <w:r>
        <w:rPr>
          <w:color w:val="231F20"/>
        </w:rPr>
        <w:t>son</w:t>
      </w:r>
      <w:r>
        <w:rPr>
          <w:color w:val="231F20"/>
          <w:spacing w:val="16"/>
        </w:rPr>
        <w:t> </w:t>
      </w:r>
      <w:r>
        <w:rPr>
          <w:color w:val="231F20"/>
        </w:rPr>
        <w:t>nom</w:t>
      </w:r>
      <w:r>
        <w:rPr>
          <w:color w:val="231F20"/>
          <w:spacing w:val="15"/>
        </w:rPr>
        <w:t> </w:t>
      </w:r>
      <w:r>
        <w:rPr>
          <w:color w:val="231F20"/>
        </w:rPr>
        <w:t>propre</w:t>
      </w:r>
      <w:r>
        <w:rPr>
          <w:color w:val="231F20"/>
          <w:spacing w:val="15"/>
        </w:rPr>
        <w:t> </w:t>
      </w:r>
      <w:r>
        <w:rPr>
          <w:color w:val="231F20"/>
        </w:rPr>
        <w:t>mais</w:t>
      </w:r>
      <w:r>
        <w:rPr>
          <w:color w:val="231F20"/>
          <w:spacing w:val="16"/>
        </w:rPr>
        <w:t> </w:t>
      </w:r>
      <w:r>
        <w:rPr>
          <w:color w:val="231F20"/>
        </w:rPr>
        <w:t>pour</w:t>
      </w:r>
      <w:r>
        <w:rPr>
          <w:color w:val="231F20"/>
          <w:spacing w:val="15"/>
        </w:rPr>
        <w:t> </w:t>
      </w:r>
      <w:r>
        <w:rPr>
          <w:color w:val="231F20"/>
        </w:rPr>
        <w:t>le</w:t>
      </w:r>
      <w:r>
        <w:rPr>
          <w:color w:val="231F20"/>
          <w:spacing w:val="15"/>
        </w:rPr>
        <w:t> </w:t>
      </w:r>
      <w:r>
        <w:rPr>
          <w:color w:val="231F20"/>
        </w:rPr>
        <w:t>compte</w:t>
      </w:r>
      <w:r>
        <w:rPr>
          <w:color w:val="231F20"/>
          <w:spacing w:val="16"/>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line="218" w:lineRule="auto" w:before="118"/>
        <w:ind w:right="38"/>
      </w:pPr>
      <w:r>
        <w:rPr>
          <w:color w:val="231F20"/>
        </w:rPr>
        <w:t>Art. 12:58. </w:t>
      </w:r>
      <w:r>
        <w:rPr>
          <w:color w:val="231F20"/>
          <w:spacing w:val="-3"/>
        </w:rPr>
        <w:t>L’organe </w:t>
      </w:r>
      <w:r>
        <w:rPr>
          <w:color w:val="231F20"/>
        </w:rPr>
        <w:t>d’administration de la société absorbée établit</w:t>
      </w:r>
      <w:r>
        <w:rPr>
          <w:color w:val="231F20"/>
          <w:spacing w:val="-20"/>
        </w:rPr>
        <w:t> </w:t>
      </w:r>
      <w:r>
        <w:rPr>
          <w:color w:val="231F20"/>
        </w:rPr>
        <w:t>ses comptes annuels pour la période comprise entre la date de clôture du dernier exercice social dont les comptes ont été approuvés et la date visée à l’article 12:50, alinéa 2, 2°, conformément aux dispositions du présent code lui applicables. Le cas échéant, l’organe d’administration de cette société rédige également un rapport de gestion relatif à cette période, conformément aux dispositions du présent code lui applica- bles. Si un commissaire a été désigné dans la société absorbée, celui-ci rédige également un rapport concernant son contrôle sur cette période, conformément aux dispositions du présent code applicables à la société absorbée.</w:t>
      </w:r>
    </w:p>
    <w:p>
      <w:pPr>
        <w:pStyle w:val="BodyText"/>
        <w:spacing w:before="9"/>
        <w:ind w:left="0" w:right="0" w:firstLine="0"/>
        <w:jc w:val="left"/>
        <w:rPr>
          <w:sz w:val="25"/>
        </w:rPr>
      </w:pPr>
    </w:p>
    <w:p>
      <w:pPr>
        <w:pStyle w:val="BodyText"/>
        <w:spacing w:line="218" w:lineRule="auto" w:before="1"/>
        <w:ind w:right="38"/>
      </w:pPr>
      <w:r>
        <w:rPr>
          <w:color w:val="231F20"/>
        </w:rPr>
        <w:t>Si la fusion a été réalisée avant la date d’approbation des comptes annuels, l’assemblée générale de la société absorbante approuve les comptes annuels conformément aux dispositions applicables à cette dernière pour les comptes annuels et se prononce sur la décharge des organes d’administration et de contrôle de la société absorbée, sous réserve de l’article 12:18.</w:t>
      </w:r>
    </w:p>
    <w:p>
      <w:pPr>
        <w:pStyle w:val="BodyText"/>
        <w:spacing w:before="103"/>
        <w:ind w:left="284" w:right="0" w:firstLine="0"/>
        <w:jc w:val="left"/>
      </w:pPr>
      <w:r>
        <w:rPr>
          <w:color w:val="231F20"/>
        </w:rPr>
        <w:t>CHAPITRE 3. Procédure à suivre lors de la scission de sociétés.</w:t>
      </w:r>
    </w:p>
    <w:p>
      <w:pPr>
        <w:pStyle w:val="BodyText"/>
        <w:ind w:left="0" w:right="0" w:firstLine="0"/>
        <w:jc w:val="left"/>
        <w:rPr>
          <w:sz w:val="23"/>
        </w:rPr>
      </w:pPr>
    </w:p>
    <w:p>
      <w:pPr>
        <w:pStyle w:val="BodyText"/>
        <w:ind w:left="284" w:right="0" w:firstLine="0"/>
        <w:jc w:val="left"/>
      </w:pPr>
      <w:r>
        <w:rPr>
          <w:color w:val="231F20"/>
        </w:rPr>
        <w:t>Section 1</w:t>
      </w:r>
      <w:r>
        <w:rPr>
          <w:color w:val="231F20"/>
          <w:position w:val="7"/>
          <w:sz w:val="11"/>
        </w:rPr>
        <w:t>re</w:t>
      </w:r>
      <w:r>
        <w:rPr>
          <w:color w:val="231F20"/>
        </w:rPr>
        <w:t>. Procédure de scission par absorption.</w:t>
      </w:r>
    </w:p>
    <w:p>
      <w:pPr>
        <w:pStyle w:val="BodyText"/>
        <w:spacing w:line="218" w:lineRule="auto" w:before="113"/>
        <w:ind w:right="38"/>
      </w:pPr>
      <w:r>
        <w:rPr>
          <w:color w:val="231F20"/>
        </w:rPr>
        <w:t>Art. 12:59. Les organes d’administration des sociétés participant à la scission établissent un projet de scission par acte authentique ou par acte sous seing privé.</w:t>
      </w:r>
    </w:p>
    <w:p>
      <w:pPr>
        <w:pStyle w:val="BodyText"/>
        <w:spacing w:before="104"/>
        <w:ind w:left="283" w:right="0" w:firstLine="0"/>
        <w:jc w:val="left"/>
      </w:pPr>
      <w:r>
        <w:rPr>
          <w:color w:val="231F20"/>
        </w:rPr>
        <w:t>Le projet de scission mentionne au moins:</w:t>
      </w:r>
    </w:p>
    <w:p>
      <w:pPr>
        <w:pStyle w:val="BodyText"/>
        <w:spacing w:line="218" w:lineRule="auto" w:before="114"/>
        <w:ind w:right="38"/>
      </w:pPr>
      <w:r>
        <w:rPr>
          <w:color w:val="231F20"/>
        </w:rPr>
        <w:t>1° la forme légale, la dénomination, l’objet et le siège des sociétés participant à la scission;</w:t>
      </w:r>
    </w:p>
    <w:p>
      <w:pPr>
        <w:pStyle w:val="BodyText"/>
        <w:spacing w:line="218" w:lineRule="auto" w:before="117"/>
        <w:ind w:right="38"/>
      </w:pPr>
      <w:r>
        <w:rPr>
          <w:color w:val="231F20"/>
        </w:rPr>
        <w:t>2° le rapport d’échange des actions ou parts et, le cas échéant, le montant de la soulte en espèces;</w:t>
      </w:r>
    </w:p>
    <w:p>
      <w:pPr>
        <w:pStyle w:val="BodyText"/>
        <w:spacing w:line="218" w:lineRule="auto" w:before="118"/>
        <w:ind w:right="38"/>
      </w:pPr>
      <w:r>
        <w:rPr>
          <w:color w:val="231F20"/>
        </w:rPr>
        <w:t>3° les modalités de remise des actions ou parts des sociétés bénéficiaires;</w:t>
      </w:r>
    </w:p>
    <w:p>
      <w:pPr>
        <w:pStyle w:val="BodyText"/>
        <w:spacing w:line="218" w:lineRule="auto" w:before="117"/>
        <w:ind w:right="38"/>
      </w:pPr>
      <w:r>
        <w:rPr>
          <w:color w:val="231F20"/>
        </w:rPr>
        <w:t>4° la date à partir de laquelle ces actions ou parts donnent le droit de participer aux bénéfices, ainsi que toute modalité particulière relative à ce droit;</w:t>
      </w:r>
    </w:p>
    <w:p>
      <w:pPr>
        <w:pStyle w:val="BodyText"/>
        <w:spacing w:line="218" w:lineRule="auto" w:before="119"/>
      </w:pPr>
      <w:r>
        <w:rPr/>
        <w:br w:type="column"/>
      </w:r>
      <w:r>
        <w:rPr>
          <w:color w:val="231F20"/>
        </w:rPr>
        <w:t>Art. 12:54. In elke vennootschap die de fusie aangaat, worden</w:t>
      </w:r>
      <w:r>
        <w:rPr>
          <w:color w:val="231F20"/>
          <w:spacing w:val="18"/>
        </w:rPr>
        <w:t> </w:t>
      </w:r>
      <w:r>
        <w:rPr>
          <w:color w:val="231F20"/>
        </w:rPr>
        <w:t>de notulen van de algemene vergadering, of, in het geval bedoeld in  artikel 12:53, § 6, van het bestuursorgaan, waarin tot de fusie wordt besloten</w:t>
      </w:r>
      <w:r>
        <w:rPr>
          <w:color w:val="231F20"/>
          <w:spacing w:val="15"/>
        </w:rPr>
        <w:t> </w:t>
      </w:r>
      <w:r>
        <w:rPr>
          <w:color w:val="231F20"/>
        </w:rPr>
        <w:t>op</w:t>
      </w:r>
      <w:r>
        <w:rPr>
          <w:color w:val="231F20"/>
          <w:spacing w:val="16"/>
        </w:rPr>
        <w:t> </w:t>
      </w:r>
      <w:r>
        <w:rPr>
          <w:color w:val="231F20"/>
        </w:rPr>
        <w:t>straffe</w:t>
      </w:r>
      <w:r>
        <w:rPr>
          <w:color w:val="231F20"/>
          <w:spacing w:val="15"/>
        </w:rPr>
        <w:t> </w:t>
      </w:r>
      <w:r>
        <w:rPr>
          <w:color w:val="231F20"/>
        </w:rPr>
        <w:t>van</w:t>
      </w:r>
      <w:r>
        <w:rPr>
          <w:color w:val="231F20"/>
          <w:spacing w:val="16"/>
        </w:rPr>
        <w:t> </w:t>
      </w:r>
      <w:r>
        <w:rPr>
          <w:color w:val="231F20"/>
        </w:rPr>
        <w:t>nietigheid</w:t>
      </w:r>
      <w:r>
        <w:rPr>
          <w:color w:val="231F20"/>
          <w:spacing w:val="15"/>
        </w:rPr>
        <w:t> </w:t>
      </w:r>
      <w:r>
        <w:rPr>
          <w:color w:val="231F20"/>
        </w:rPr>
        <w:t>opgesteld</w:t>
      </w:r>
      <w:r>
        <w:rPr>
          <w:color w:val="231F20"/>
          <w:spacing w:val="16"/>
        </w:rPr>
        <w:t> </w:t>
      </w:r>
      <w:r>
        <w:rPr>
          <w:color w:val="231F20"/>
        </w:rPr>
        <w:t>bij</w:t>
      </w:r>
      <w:r>
        <w:rPr>
          <w:color w:val="231F20"/>
          <w:spacing w:val="15"/>
        </w:rPr>
        <w:t> </w:t>
      </w:r>
      <w:r>
        <w:rPr>
          <w:color w:val="231F20"/>
        </w:rPr>
        <w:t>authentieke</w:t>
      </w:r>
      <w:r>
        <w:rPr>
          <w:color w:val="231F20"/>
          <w:spacing w:val="16"/>
        </w:rPr>
        <w:t> </w:t>
      </w:r>
      <w:r>
        <w:rPr>
          <w:color w:val="231F20"/>
        </w:rPr>
        <w:t>akte.</w:t>
      </w:r>
    </w:p>
    <w:p>
      <w:pPr>
        <w:pStyle w:val="BodyText"/>
        <w:spacing w:line="218" w:lineRule="auto" w:before="107"/>
      </w:pPr>
      <w:r>
        <w:rPr>
          <w:color w:val="231F20"/>
        </w:rPr>
        <w:t>De notaris moet na onderzoek het bestaan en zowel de interne als de externe wettigheid bevestigen van de rechtshandelingen en formalitei- ten waartoe de vennootschap waarvoor hij optreedt, is gehouden.</w:t>
      </w:r>
    </w:p>
    <w:p>
      <w:pPr>
        <w:pStyle w:val="BodyText"/>
        <w:spacing w:line="218" w:lineRule="auto" w:before="107"/>
      </w:pPr>
      <w:r>
        <w:rPr>
          <w:color w:val="231F20"/>
        </w:rPr>
        <w:t>Art. 12:55. Onmiddellijk na het besluit tot fusie stelt de algemene vergadering van de overnemende vennootschap de eventuele wijzigin- gen van haar statuten, met inbegrip van de bepalingen tot wijziging  van haar voorwerp, vast volgens de regels van aanwezigheid en meerderheid door dit wetboek vereist. Bij gebrek daaraan blijft het besluit tot fusie zonder</w:t>
      </w:r>
      <w:r>
        <w:rPr>
          <w:color w:val="231F20"/>
          <w:spacing w:val="21"/>
        </w:rPr>
        <w:t> </w:t>
      </w:r>
      <w:r>
        <w:rPr>
          <w:color w:val="231F20"/>
        </w:rPr>
        <w:t>gevolg.</w:t>
      </w:r>
    </w:p>
    <w:p>
      <w:pPr>
        <w:pStyle w:val="BodyText"/>
        <w:spacing w:line="218" w:lineRule="auto" w:before="107"/>
      </w:pPr>
      <w:r>
        <w:rPr>
          <w:color w:val="231F20"/>
        </w:rPr>
        <w:t>De fusie is voltrokken zodra alle betrokken vennootschappen daartoe overeenstemmende besluiten hebben genomen.</w:t>
      </w:r>
    </w:p>
    <w:p>
      <w:pPr>
        <w:pStyle w:val="BodyText"/>
        <w:spacing w:line="218" w:lineRule="auto" w:before="107"/>
      </w:pPr>
      <w:r>
        <w:rPr>
          <w:color w:val="231F20"/>
        </w:rPr>
        <w:t>Art. 12:56. Met inachtneming van de in het tweede en het derde lid bepaalde regels, worden de akten houdende vaststelling van de besluiten tot fusie genomen door de overnemende en de overgenomen vennootschap neergelegd en bij uittreksel bekendgemaakt, overeen- komstig de artikelen 2:8 en 2:14, 1°, en, in voorkomend geval, worden de akten tot statutenwijziging van de overnemende vennootschap neergelegd en bekendgemaakt overeenkomstig de artikelen 2:8 en 2:14, 1°.</w:t>
      </w:r>
    </w:p>
    <w:p>
      <w:pPr>
        <w:pStyle w:val="BodyText"/>
        <w:spacing w:line="218" w:lineRule="auto" w:before="107"/>
        <w:ind w:right="123"/>
      </w:pPr>
      <w:r>
        <w:rPr>
          <w:color w:val="231F20"/>
        </w:rPr>
        <w:t>Zij worden gelijktijdig bekendgemaakt binnen tien dagen na de neerlegging van de akte houdende vaststelling van het besluit tot fusie genomen tijdens de laatst gehouden vergadering van de bevoegde organen, hetzij de algemene vergadering of, in het in artikel 12:53, § 6, bedoelde geval, het bestuursorgaan van de overnemende vennoot- schap.</w:t>
      </w:r>
    </w:p>
    <w:p>
      <w:pPr>
        <w:pStyle w:val="BodyText"/>
        <w:spacing w:line="218" w:lineRule="auto" w:before="118"/>
      </w:pPr>
      <w:r>
        <w:rPr>
          <w:color w:val="231F20"/>
        </w:rPr>
        <w:t>De overnemende vennootschap kan zelf de formaliteiten inzake openbaarmaking betreffende de overgenomen vennootschappen ver- richten.</w:t>
      </w:r>
    </w:p>
    <w:p>
      <w:pPr>
        <w:pStyle w:val="BodyText"/>
        <w:spacing w:line="218" w:lineRule="auto" w:before="118"/>
      </w:pPr>
      <w:r>
        <w:rPr>
          <w:color w:val="231F20"/>
        </w:rPr>
        <w:t>Art. 12:57. Er vindt geen omwisseling plaats van aandelen van de overnemende vennootschap tegen aandelen van de overgenomen vennootschap die worden gehouden:</w:t>
      </w:r>
    </w:p>
    <w:p>
      <w:pPr>
        <w:pStyle w:val="BodyText"/>
        <w:spacing w:line="218" w:lineRule="auto" w:before="117"/>
      </w:pPr>
      <w:r>
        <w:rPr>
          <w:color w:val="231F20"/>
        </w:rPr>
        <w:t>1° door de overnemende vennootschap zelf of door een persoon die  in</w:t>
      </w:r>
      <w:r>
        <w:rPr>
          <w:color w:val="231F20"/>
          <w:spacing w:val="18"/>
        </w:rPr>
        <w:t> </w:t>
      </w:r>
      <w:r>
        <w:rPr>
          <w:color w:val="231F20"/>
        </w:rPr>
        <w:t>eigen</w:t>
      </w:r>
      <w:r>
        <w:rPr>
          <w:color w:val="231F20"/>
          <w:spacing w:val="19"/>
        </w:rPr>
        <w:t> </w:t>
      </w:r>
      <w:r>
        <w:rPr>
          <w:color w:val="231F20"/>
        </w:rPr>
        <w:t>naam,</w:t>
      </w:r>
      <w:r>
        <w:rPr>
          <w:color w:val="231F20"/>
          <w:spacing w:val="18"/>
        </w:rPr>
        <w:t> </w:t>
      </w:r>
      <w:r>
        <w:rPr>
          <w:color w:val="231F20"/>
        </w:rPr>
        <w:t>maar</w:t>
      </w:r>
      <w:r>
        <w:rPr>
          <w:color w:val="231F20"/>
          <w:spacing w:val="19"/>
        </w:rPr>
        <w:t> </w:t>
      </w:r>
      <w:r>
        <w:rPr>
          <w:color w:val="231F20"/>
        </w:rPr>
        <w:t>voor</w:t>
      </w:r>
      <w:r>
        <w:rPr>
          <w:color w:val="231F20"/>
          <w:spacing w:val="19"/>
        </w:rPr>
        <w:t> </w:t>
      </w:r>
      <w:r>
        <w:rPr>
          <w:color w:val="231F20"/>
        </w:rPr>
        <w:t>rekening</w:t>
      </w:r>
      <w:r>
        <w:rPr>
          <w:color w:val="231F20"/>
          <w:spacing w:val="18"/>
        </w:rPr>
        <w:t> </w:t>
      </w:r>
      <w:r>
        <w:rPr>
          <w:color w:val="231F20"/>
        </w:rPr>
        <w:t>van</w:t>
      </w:r>
      <w:r>
        <w:rPr>
          <w:color w:val="231F20"/>
          <w:spacing w:val="19"/>
        </w:rPr>
        <w:t> </w:t>
      </w:r>
      <w:r>
        <w:rPr>
          <w:color w:val="231F20"/>
        </w:rPr>
        <w:t>de</w:t>
      </w:r>
      <w:r>
        <w:rPr>
          <w:color w:val="231F20"/>
          <w:spacing w:val="18"/>
        </w:rPr>
        <w:t> </w:t>
      </w:r>
      <w:r>
        <w:rPr>
          <w:color w:val="231F20"/>
        </w:rPr>
        <w:t>vennootschap</w:t>
      </w:r>
      <w:r>
        <w:rPr>
          <w:color w:val="231F20"/>
          <w:spacing w:val="19"/>
        </w:rPr>
        <w:t> </w:t>
      </w:r>
      <w:r>
        <w:rPr>
          <w:color w:val="231F20"/>
        </w:rPr>
        <w:t>handelt,</w:t>
      </w:r>
      <w:r>
        <w:rPr>
          <w:color w:val="231F20"/>
          <w:spacing w:val="19"/>
        </w:rPr>
        <w:t> </w:t>
      </w:r>
      <w:r>
        <w:rPr>
          <w:color w:val="231F20"/>
        </w:rPr>
        <w:t>of</w:t>
      </w:r>
    </w:p>
    <w:p>
      <w:pPr>
        <w:pStyle w:val="BodyText"/>
        <w:spacing w:line="218" w:lineRule="auto" w:before="118"/>
      </w:pPr>
      <w:r>
        <w:rPr>
          <w:color w:val="231F20"/>
        </w:rPr>
        <w:t>2° door de overgenomen vennootschap zelf of door een persoon die in</w:t>
      </w:r>
      <w:r>
        <w:rPr>
          <w:color w:val="231F20"/>
          <w:spacing w:val="17"/>
        </w:rPr>
        <w:t> </w:t>
      </w:r>
      <w:r>
        <w:rPr>
          <w:color w:val="231F20"/>
        </w:rPr>
        <w:t>eigen</w:t>
      </w:r>
      <w:r>
        <w:rPr>
          <w:color w:val="231F20"/>
          <w:spacing w:val="18"/>
        </w:rPr>
        <w:t> </w:t>
      </w:r>
      <w:r>
        <w:rPr>
          <w:color w:val="231F20"/>
        </w:rPr>
        <w:t>naam,</w:t>
      </w:r>
      <w:r>
        <w:rPr>
          <w:color w:val="231F20"/>
          <w:spacing w:val="18"/>
        </w:rPr>
        <w:t> </w:t>
      </w:r>
      <w:r>
        <w:rPr>
          <w:color w:val="231F20"/>
        </w:rPr>
        <w:t>maar</w:t>
      </w:r>
      <w:r>
        <w:rPr>
          <w:color w:val="231F20"/>
          <w:spacing w:val="18"/>
        </w:rPr>
        <w:t> </w:t>
      </w:r>
      <w:r>
        <w:rPr>
          <w:color w:val="231F20"/>
        </w:rPr>
        <w:t>voor</w:t>
      </w:r>
      <w:r>
        <w:rPr>
          <w:color w:val="231F20"/>
          <w:spacing w:val="17"/>
        </w:rPr>
        <w:t> </w:t>
      </w:r>
      <w:r>
        <w:rPr>
          <w:color w:val="231F20"/>
        </w:rPr>
        <w:t>rekening</w:t>
      </w:r>
      <w:r>
        <w:rPr>
          <w:color w:val="231F20"/>
          <w:spacing w:val="18"/>
        </w:rPr>
        <w:t> </w:t>
      </w:r>
      <w:r>
        <w:rPr>
          <w:color w:val="231F20"/>
        </w:rPr>
        <w:t>van</w:t>
      </w:r>
      <w:r>
        <w:rPr>
          <w:color w:val="231F20"/>
          <w:spacing w:val="18"/>
        </w:rPr>
        <w:t> </w:t>
      </w:r>
      <w:r>
        <w:rPr>
          <w:color w:val="231F20"/>
        </w:rPr>
        <w:t>de</w:t>
      </w:r>
      <w:r>
        <w:rPr>
          <w:color w:val="231F20"/>
          <w:spacing w:val="18"/>
        </w:rPr>
        <w:t> </w:t>
      </w:r>
      <w:r>
        <w:rPr>
          <w:color w:val="231F20"/>
        </w:rPr>
        <w:t>vennootschap</w:t>
      </w:r>
      <w:r>
        <w:rPr>
          <w:color w:val="231F20"/>
          <w:spacing w:val="17"/>
        </w:rPr>
        <w:t> </w:t>
      </w:r>
      <w:r>
        <w:rPr>
          <w:color w:val="231F20"/>
        </w:rPr>
        <w:t>handelt.</w:t>
      </w:r>
    </w:p>
    <w:p>
      <w:pPr>
        <w:pStyle w:val="BodyText"/>
        <w:spacing w:line="218" w:lineRule="auto" w:before="117"/>
      </w:pPr>
      <w:r>
        <w:rPr>
          <w:color w:val="231F20"/>
        </w:rPr>
        <w:t>Art. 12:58. Het bestuursorgaan van de overgenomen vennootschap maakt haar jaarrekening op over het tijdvak begrepen tussen de datum van de jaarafsluiting van het laatste boekjaar waarvoor de rekeningen zijn goedgekeurd en de in artikel 12:50, tweede lid, 2°, bedoelde datum, overeenkomstig de bepalingen van dit wetboek die op haar toepasselijk zijn. In voorkomend geval stelt het bestuursorgaan van die vennoot- schap eveneens een jaarverslag op met betrekking tot dit tijdvak overeenkomstig de bepalingen van dit wetboek die op haar toepasselijk zijn. Is er een commissaris aangesteld in de overgenomen vennoot- schap, stelt deze eveneens een verslag op over zijn controle over dit tijdvak overeenkomstig de bepalingen van dit wetboek die op de overgenomen vennootschap toepasselijk zijn.</w:t>
      </w:r>
    </w:p>
    <w:p>
      <w:pPr>
        <w:pStyle w:val="BodyText"/>
        <w:spacing w:line="218" w:lineRule="auto" w:before="118"/>
      </w:pPr>
      <w:r>
        <w:rPr>
          <w:color w:val="231F20"/>
        </w:rPr>
        <w:t>Indien de fusie is voltrokken vóór de datum van goedkeuring van de jaarrekening, keurt de algemene vergadering van de overnemende vennootschap de jaarrekening goed overeenkomstig de op haar toepasselijke bepalingen met betrekking tot de jaarrekening, en beslist zij over de kwijting aan de bestuurs- en toezichtsorganen van de overgenomen vennootschap, onverminderd artikel 12:18.</w:t>
      </w:r>
    </w:p>
    <w:p>
      <w:pPr>
        <w:pStyle w:val="BodyText"/>
        <w:spacing w:line="218" w:lineRule="auto" w:before="118"/>
      </w:pPr>
      <w:r>
        <w:rPr>
          <w:color w:val="231F20"/>
        </w:rPr>
        <w:t>HOOFDSTUK 3. Te volgen procedure bij splitsing van vennootschap- pen.</w:t>
      </w:r>
    </w:p>
    <w:p>
      <w:pPr>
        <w:pStyle w:val="BodyText"/>
        <w:spacing w:before="104"/>
        <w:ind w:left="283" w:right="0" w:firstLine="0"/>
        <w:jc w:val="left"/>
      </w:pPr>
      <w:r>
        <w:rPr>
          <w:color w:val="231F20"/>
        </w:rPr>
        <w:t>Afdeling 1. Procedure bij splitsing door overneming.</w:t>
      </w:r>
    </w:p>
    <w:p>
      <w:pPr>
        <w:pStyle w:val="BodyText"/>
        <w:spacing w:line="218" w:lineRule="auto" w:before="114"/>
        <w:ind w:right="123"/>
      </w:pPr>
      <w:r>
        <w:rPr>
          <w:color w:val="231F20"/>
        </w:rPr>
        <w:t>Art. 12:59. De bestuursorganen van de vennootschappen die aan de splitsing deelnemen, stellen bij authentieke of bij onderhandse akte een splitsingsvoorstel op.</w:t>
      </w:r>
    </w:p>
    <w:p>
      <w:pPr>
        <w:pStyle w:val="BodyText"/>
        <w:spacing w:before="103"/>
        <w:ind w:left="283" w:right="0" w:firstLine="0"/>
        <w:jc w:val="left"/>
      </w:pPr>
      <w:r>
        <w:rPr>
          <w:color w:val="231F20"/>
        </w:rPr>
        <w:t>Het splitsingsvoorstel vermeldt ten minste:</w:t>
      </w:r>
    </w:p>
    <w:p>
      <w:pPr>
        <w:pStyle w:val="BodyText"/>
        <w:spacing w:line="218" w:lineRule="auto" w:before="114"/>
      </w:pPr>
      <w:r>
        <w:rPr>
          <w:color w:val="231F20"/>
        </w:rPr>
        <w:t>1° de rechtsvorm, de naam, het voorwerp en de zetel van de vennootschappen die aan de splitsing deelnemen;</w:t>
      </w:r>
    </w:p>
    <w:p>
      <w:pPr>
        <w:pStyle w:val="BodyText"/>
        <w:spacing w:line="218" w:lineRule="auto" w:before="117"/>
      </w:pPr>
      <w:r>
        <w:rPr>
          <w:color w:val="231F20"/>
        </w:rPr>
        <w:t>2° de ruilverhouding van de aandelen en, in voorkomend geval, het bedrag van de opleg in geld;</w:t>
      </w:r>
    </w:p>
    <w:p>
      <w:pPr>
        <w:pStyle w:val="BodyText"/>
        <w:spacing w:line="218" w:lineRule="auto" w:before="118"/>
      </w:pPr>
      <w:r>
        <w:rPr>
          <w:color w:val="231F20"/>
        </w:rPr>
        <w:t>3° de wijze waarop de aandelen in de verkrijgende vennootschappen worden uitgereikt;</w:t>
      </w:r>
    </w:p>
    <w:p>
      <w:pPr>
        <w:pStyle w:val="BodyText"/>
        <w:spacing w:line="218" w:lineRule="auto" w:before="117"/>
      </w:pPr>
      <w:r>
        <w:rPr>
          <w:color w:val="231F20"/>
        </w:rPr>
        <w:t>4° de datum vanaf wanneer deze aandelen recht geven op winstdeel- name, evenals elke bijzondere regeling betreffende dit recht;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94"/>
      </w:pPr>
      <w:r>
        <w:rPr/>
        <w:pict>
          <v:line style="position:absolute;mso-position-horizontal-relative:page;mso-position-vertical-relative:page;z-index:6736" from="298.170502pt,64.473pt" to="298.170502pt,812.819pt" stroked="true" strokeweight=".533pt" strokecolor="#231f20">
            <v:stroke dashstyle="solid"/>
            <w10:wrap type="none"/>
          </v:line>
        </w:pict>
      </w:r>
      <w:bookmarkStart w:name="_bookmark238" w:id="244"/>
      <w:bookmarkEnd w:id="244"/>
      <w:r>
        <w:rPr/>
      </w:r>
      <w:r>
        <w:rPr>
          <w:color w:val="231F20"/>
        </w:rPr>
        <w:t>5° la date à partir de laquelle les opérations de la </w:t>
      </w:r>
      <w:r>
        <w:rPr>
          <w:color w:val="231F20"/>
          <w:spacing w:val="3"/>
        </w:rPr>
        <w:t>société </w:t>
      </w:r>
      <w:r>
        <w:rPr>
          <w:color w:val="231F20"/>
        </w:rPr>
        <w:t>à scinder sont considérées du point de vue comptable comme accomplies pour le compte de l’une ou l’autre des sociétés bénéficiaires, cette date ne pouvant remonter avant le premier jour qui suit la clôture de l’exercice social dont les comptes annuels des sociétés concernées par l’opération ont déjà été</w:t>
      </w:r>
      <w:r>
        <w:rPr>
          <w:color w:val="231F20"/>
          <w:spacing w:val="3"/>
        </w:rPr>
        <w:t> </w:t>
      </w:r>
      <w:r>
        <w:rPr>
          <w:color w:val="231F20"/>
        </w:rPr>
        <w:t>approuvés;</w:t>
      </w:r>
    </w:p>
    <w:p>
      <w:pPr>
        <w:pStyle w:val="BodyText"/>
        <w:spacing w:line="218" w:lineRule="auto" w:before="96"/>
        <w:ind w:right="94"/>
      </w:pPr>
      <w:r>
        <w:rPr>
          <w:color w:val="231F20"/>
        </w:rPr>
        <w:t>6° les droits attribués par les sociétés bénéficiaires aux associés ou actionnaires de la </w:t>
      </w:r>
      <w:r>
        <w:rPr>
          <w:color w:val="231F20"/>
          <w:spacing w:val="4"/>
        </w:rPr>
        <w:t>société </w:t>
      </w:r>
      <w:r>
        <w:rPr>
          <w:color w:val="231F20"/>
        </w:rPr>
        <w:t>à scinder ayant des droits spéciaux et aux titulaires de titres autres que des parts ou actions ou les mesures proposées à leur</w:t>
      </w:r>
      <w:r>
        <w:rPr>
          <w:color w:val="231F20"/>
          <w:spacing w:val="4"/>
        </w:rPr>
        <w:t> </w:t>
      </w:r>
      <w:r>
        <w:rPr>
          <w:color w:val="231F20"/>
        </w:rPr>
        <w:t>égard;</w:t>
      </w:r>
    </w:p>
    <w:p>
      <w:pPr>
        <w:pStyle w:val="BodyText"/>
        <w:spacing w:line="218" w:lineRule="auto" w:before="96"/>
        <w:ind w:right="94"/>
      </w:pPr>
      <w:r>
        <w:rPr>
          <w:color w:val="231F20"/>
        </w:rPr>
        <w:t>7° les émoluments attribués aux commissaires ou aux réviseurs d’entreprises ou experts-comptables externes pour la rédaction du rapport prévu à l’article 12:62;</w:t>
      </w:r>
    </w:p>
    <w:p>
      <w:pPr>
        <w:pStyle w:val="BodyText"/>
        <w:spacing w:line="218" w:lineRule="auto" w:before="97"/>
        <w:ind w:right="95"/>
      </w:pPr>
      <w:r>
        <w:rPr>
          <w:color w:val="231F20"/>
        </w:rPr>
        <w:t>8° tout avantage particulier attribué aux membres des organes d’administration des sociétés participant à la scission;</w:t>
      </w:r>
    </w:p>
    <w:p>
      <w:pPr>
        <w:pStyle w:val="BodyText"/>
        <w:spacing w:line="218" w:lineRule="auto" w:before="96"/>
        <w:ind w:right="94"/>
      </w:pPr>
      <w:r>
        <w:rPr>
          <w:color w:val="231F20"/>
        </w:rPr>
        <w:t>9° la description et la répartition précises des éléments du</w:t>
      </w:r>
      <w:r>
        <w:rPr>
          <w:color w:val="231F20"/>
          <w:spacing w:val="-22"/>
        </w:rPr>
        <w:t> </w:t>
      </w:r>
      <w:r>
        <w:rPr>
          <w:color w:val="231F20"/>
        </w:rPr>
        <w:t>patrimoine actif</w:t>
      </w:r>
      <w:r>
        <w:rPr>
          <w:color w:val="231F20"/>
          <w:spacing w:val="12"/>
        </w:rPr>
        <w:t> </w:t>
      </w:r>
      <w:r>
        <w:rPr>
          <w:color w:val="231F20"/>
        </w:rPr>
        <w:t>et</w:t>
      </w:r>
      <w:r>
        <w:rPr>
          <w:color w:val="231F20"/>
          <w:spacing w:val="13"/>
        </w:rPr>
        <w:t> </w:t>
      </w:r>
      <w:r>
        <w:rPr>
          <w:color w:val="231F20"/>
        </w:rPr>
        <w:t>passif</w:t>
      </w:r>
      <w:r>
        <w:rPr>
          <w:color w:val="231F20"/>
          <w:spacing w:val="12"/>
        </w:rPr>
        <w:t> </w:t>
      </w:r>
      <w:r>
        <w:rPr>
          <w:color w:val="231F20"/>
        </w:rPr>
        <w:t>à</w:t>
      </w:r>
      <w:r>
        <w:rPr>
          <w:color w:val="231F20"/>
          <w:spacing w:val="13"/>
        </w:rPr>
        <w:t> </w:t>
      </w:r>
      <w:r>
        <w:rPr>
          <w:color w:val="231F20"/>
        </w:rPr>
        <w:t>transférer</w:t>
      </w:r>
      <w:r>
        <w:rPr>
          <w:color w:val="231F20"/>
          <w:spacing w:val="12"/>
        </w:rPr>
        <w:t> </w:t>
      </w:r>
      <w:r>
        <w:rPr>
          <w:color w:val="231F20"/>
        </w:rPr>
        <w:t>à</w:t>
      </w:r>
      <w:r>
        <w:rPr>
          <w:color w:val="231F20"/>
          <w:spacing w:val="13"/>
        </w:rPr>
        <w:t> </w:t>
      </w:r>
      <w:r>
        <w:rPr>
          <w:color w:val="231F20"/>
        </w:rPr>
        <w:t>chacune</w:t>
      </w:r>
      <w:r>
        <w:rPr>
          <w:color w:val="231F20"/>
          <w:spacing w:val="12"/>
        </w:rPr>
        <w:t> </w:t>
      </w:r>
      <w:r>
        <w:rPr>
          <w:color w:val="231F20"/>
        </w:rPr>
        <w:t>des</w:t>
      </w:r>
      <w:r>
        <w:rPr>
          <w:color w:val="231F20"/>
          <w:spacing w:val="13"/>
        </w:rPr>
        <w:t> </w:t>
      </w:r>
      <w:r>
        <w:rPr>
          <w:color w:val="231F20"/>
        </w:rPr>
        <w:t>sociétés</w:t>
      </w:r>
      <w:r>
        <w:rPr>
          <w:color w:val="231F20"/>
          <w:spacing w:val="12"/>
        </w:rPr>
        <w:t> </w:t>
      </w:r>
      <w:r>
        <w:rPr>
          <w:color w:val="231F20"/>
        </w:rPr>
        <w:t>bénéficiaires;</w:t>
      </w:r>
    </w:p>
    <w:p>
      <w:pPr>
        <w:pStyle w:val="BodyText"/>
        <w:spacing w:before="10"/>
        <w:ind w:left="0" w:right="0" w:firstLine="0"/>
        <w:jc w:val="left"/>
        <w:rPr>
          <w:sz w:val="23"/>
        </w:rPr>
      </w:pPr>
    </w:p>
    <w:p>
      <w:pPr>
        <w:pStyle w:val="BodyText"/>
        <w:spacing w:line="218" w:lineRule="auto"/>
        <w:ind w:right="94"/>
      </w:pPr>
      <w:r>
        <w:rPr>
          <w:color w:val="231F20"/>
        </w:rPr>
        <w:t>10° la répartition aux associés ou actionnaires de la société à scinder des parts ou actions des sociétés bénéficiaires, ainsi que le critère sur lequel cette répartition est fondée;</w:t>
      </w:r>
    </w:p>
    <w:p>
      <w:pPr>
        <w:pStyle w:val="BodyText"/>
        <w:spacing w:line="218" w:lineRule="auto" w:before="97"/>
        <w:ind w:right="94"/>
      </w:pPr>
      <w:r>
        <w:rPr>
          <w:color w:val="231F20"/>
          <w:spacing w:val="-4"/>
        </w:rPr>
        <w:t>11°  </w:t>
      </w:r>
      <w:r>
        <w:rPr>
          <w:color w:val="231F20"/>
        </w:rPr>
        <w:t>le nom et la résidence du notaire instrumentant, dans le cas visé  à l’article</w:t>
      </w:r>
      <w:r>
        <w:rPr>
          <w:color w:val="231F20"/>
          <w:spacing w:val="-12"/>
        </w:rPr>
        <w:t> </w:t>
      </w:r>
      <w:r>
        <w:rPr>
          <w:color w:val="231F20"/>
        </w:rPr>
        <w:t>12:73.</w:t>
      </w:r>
    </w:p>
    <w:p>
      <w:pPr>
        <w:pStyle w:val="BodyText"/>
        <w:spacing w:line="216" w:lineRule="auto" w:before="97"/>
        <w:ind w:right="94"/>
      </w:pPr>
      <w:r>
        <w:rPr>
          <w:color w:val="231F20"/>
        </w:rPr>
        <w:t>Le projet de scission doit être déposé par chaque société participant  à la scission au </w:t>
      </w:r>
      <w:r>
        <w:rPr>
          <w:color w:val="231F20"/>
          <w:spacing w:val="-3"/>
        </w:rPr>
        <w:t>greffe </w:t>
      </w:r>
      <w:r>
        <w:rPr>
          <w:color w:val="231F20"/>
        </w:rPr>
        <w:t>du tribunal de l’entreprise du lieu d’établissement de son siège respectif et publié par extrait ou mention conformément respectivement aux articles 2:8 et 2:14, 1° ou 4°. Dans ce dernier cas, la mention comporte un lien hypertexte vers le site internet de la société. Le dépôt doit avoir lieu six semaines au moins avant la décision de scission mentionnée à l’article 12:67, § 1</w:t>
      </w:r>
      <w:r>
        <w:rPr>
          <w:color w:val="231F20"/>
          <w:position w:val="7"/>
          <w:sz w:val="11"/>
        </w:rPr>
        <w:t>er</w:t>
      </w:r>
      <w:r>
        <w:rPr>
          <w:color w:val="231F20"/>
        </w:rPr>
        <w:t>, et, dans le cas  visé  à  l’article</w:t>
      </w:r>
      <w:r>
        <w:rPr>
          <w:color w:val="231F20"/>
          <w:spacing w:val="14"/>
        </w:rPr>
        <w:t> </w:t>
      </w:r>
      <w:r>
        <w:rPr>
          <w:color w:val="231F20"/>
        </w:rPr>
        <w:t>12:67,</w:t>
      </w:r>
      <w:r>
        <w:rPr>
          <w:color w:val="231F20"/>
          <w:spacing w:val="15"/>
        </w:rPr>
        <w:t> </w:t>
      </w:r>
      <w:r>
        <w:rPr>
          <w:color w:val="231F20"/>
        </w:rPr>
        <w:t>§</w:t>
      </w:r>
      <w:r>
        <w:rPr>
          <w:color w:val="231F20"/>
          <w:spacing w:val="14"/>
        </w:rPr>
        <w:t> </w:t>
      </w:r>
      <w:r>
        <w:rPr>
          <w:color w:val="231F20"/>
        </w:rPr>
        <w:t>7,</w:t>
      </w:r>
      <w:r>
        <w:rPr>
          <w:color w:val="231F20"/>
          <w:spacing w:val="15"/>
        </w:rPr>
        <w:t> </w:t>
      </w:r>
      <w:r>
        <w:rPr>
          <w:color w:val="231F20"/>
        </w:rPr>
        <w:t>avant</w:t>
      </w:r>
      <w:r>
        <w:rPr>
          <w:color w:val="231F20"/>
          <w:spacing w:val="14"/>
        </w:rPr>
        <w:t> </w:t>
      </w:r>
      <w:r>
        <w:rPr>
          <w:color w:val="231F20"/>
        </w:rPr>
        <w:t>la</w:t>
      </w:r>
      <w:r>
        <w:rPr>
          <w:color w:val="231F20"/>
          <w:spacing w:val="15"/>
        </w:rPr>
        <w:t> </w:t>
      </w:r>
      <w:r>
        <w:rPr>
          <w:color w:val="231F20"/>
        </w:rPr>
        <w:t>prise</w:t>
      </w:r>
      <w:r>
        <w:rPr>
          <w:color w:val="231F20"/>
          <w:spacing w:val="15"/>
        </w:rPr>
        <w:t> </w:t>
      </w:r>
      <w:r>
        <w:rPr>
          <w:color w:val="231F20"/>
        </w:rPr>
        <w:t>d’effet</w:t>
      </w:r>
      <w:r>
        <w:rPr>
          <w:color w:val="231F20"/>
          <w:spacing w:val="14"/>
        </w:rPr>
        <w:t> </w:t>
      </w:r>
      <w:r>
        <w:rPr>
          <w:color w:val="231F20"/>
        </w:rPr>
        <w:t>de</w:t>
      </w:r>
      <w:r>
        <w:rPr>
          <w:color w:val="231F20"/>
          <w:spacing w:val="15"/>
        </w:rPr>
        <w:t> </w:t>
      </w:r>
      <w:r>
        <w:rPr>
          <w:color w:val="231F20"/>
        </w:rPr>
        <w:t>la</w:t>
      </w:r>
      <w:r>
        <w:rPr>
          <w:color w:val="231F20"/>
          <w:spacing w:val="14"/>
        </w:rPr>
        <w:t> </w:t>
      </w:r>
      <w:r>
        <w:rPr>
          <w:color w:val="231F20"/>
        </w:rPr>
        <w:t>scission.</w:t>
      </w:r>
    </w:p>
    <w:p>
      <w:pPr>
        <w:pStyle w:val="BodyText"/>
        <w:spacing w:before="10"/>
        <w:ind w:left="0" w:right="0" w:firstLine="0"/>
        <w:jc w:val="left"/>
        <w:rPr>
          <w:sz w:val="23"/>
        </w:rPr>
      </w:pPr>
    </w:p>
    <w:p>
      <w:pPr>
        <w:pStyle w:val="BodyText"/>
        <w:spacing w:line="218" w:lineRule="auto"/>
        <w:ind w:right="94"/>
      </w:pPr>
      <w:r>
        <w:rPr>
          <w:color w:val="231F20"/>
        </w:rPr>
        <w:t>Art. 12:60. Lorsqu’un élément du patrimoine actif n’est pas attribué dans le projet de scission et que l’interprétation du projet ne permet</w:t>
      </w:r>
      <w:r>
        <w:rPr>
          <w:color w:val="231F20"/>
          <w:spacing w:val="-21"/>
        </w:rPr>
        <w:t> </w:t>
      </w:r>
      <w:r>
        <w:rPr>
          <w:color w:val="231F20"/>
        </w:rPr>
        <w:t>pas de décider de la répartition de cet élément, celui-ci ou sa contrevaleur est réparti entre toutes les sociétés bénéficiaires de manière</w:t>
      </w:r>
      <w:r>
        <w:rPr>
          <w:color w:val="231F20"/>
          <w:spacing w:val="-15"/>
        </w:rPr>
        <w:t> </w:t>
      </w:r>
      <w:r>
        <w:rPr>
          <w:color w:val="231F20"/>
        </w:rPr>
        <w:t>proportion- nelle à l’actif net attribué à chacune de celles-ci dans le projet de scission.</w:t>
      </w:r>
    </w:p>
    <w:p>
      <w:pPr>
        <w:pStyle w:val="BodyText"/>
        <w:spacing w:line="218" w:lineRule="auto" w:before="96"/>
        <w:ind w:right="94"/>
      </w:pPr>
      <w:r>
        <w:rPr>
          <w:color w:val="231F20"/>
        </w:rPr>
        <w:t>Lorsqu’un élément du patrimoine passif n’est pas attribué dans le projet de scission et que l’interprétation du projet ne permet pas de décider de la répartition de cet élément, chacune des sociétés bénéfi- ciaires en est solidairement responsable.</w:t>
      </w:r>
    </w:p>
    <w:p>
      <w:pPr>
        <w:pStyle w:val="BodyText"/>
        <w:spacing w:line="218" w:lineRule="auto" w:before="107"/>
        <w:ind w:right="137"/>
        <w:jc w:val="left"/>
      </w:pPr>
      <w:r>
        <w:rPr>
          <w:color w:val="231F20"/>
        </w:rPr>
        <w:t>À compter de la date visée à l’article 12:59, alinéa 2, 5°, les produits   et charges d’actifs et de passifs déterminés sont imputés à la </w:t>
      </w:r>
      <w:r>
        <w:rPr>
          <w:color w:val="231F20"/>
          <w:spacing w:val="2"/>
        </w:rPr>
        <w:t>société </w:t>
      </w:r>
      <w:r>
        <w:rPr>
          <w:color w:val="231F20"/>
        </w:rPr>
        <w:t>à laquelle</w:t>
      </w:r>
      <w:r>
        <w:rPr>
          <w:color w:val="231F20"/>
          <w:spacing w:val="14"/>
        </w:rPr>
        <w:t> </w:t>
      </w:r>
      <w:r>
        <w:rPr>
          <w:color w:val="231F20"/>
        </w:rPr>
        <w:t>ces</w:t>
      </w:r>
      <w:r>
        <w:rPr>
          <w:color w:val="231F20"/>
          <w:spacing w:val="15"/>
        </w:rPr>
        <w:t> </w:t>
      </w:r>
      <w:r>
        <w:rPr>
          <w:color w:val="231F20"/>
        </w:rPr>
        <w:t>actifs</w:t>
      </w:r>
      <w:r>
        <w:rPr>
          <w:color w:val="231F20"/>
          <w:spacing w:val="14"/>
        </w:rPr>
        <w:t> </w:t>
      </w:r>
      <w:r>
        <w:rPr>
          <w:color w:val="231F20"/>
        </w:rPr>
        <w:t>et</w:t>
      </w:r>
      <w:r>
        <w:rPr>
          <w:color w:val="231F20"/>
          <w:spacing w:val="15"/>
        </w:rPr>
        <w:t> </w:t>
      </w:r>
      <w:r>
        <w:rPr>
          <w:color w:val="231F20"/>
        </w:rPr>
        <w:t>passifs</w:t>
      </w:r>
      <w:r>
        <w:rPr>
          <w:color w:val="231F20"/>
          <w:spacing w:val="14"/>
        </w:rPr>
        <w:t> </w:t>
      </w:r>
      <w:r>
        <w:rPr>
          <w:color w:val="231F20"/>
        </w:rPr>
        <w:t>ont</w:t>
      </w:r>
      <w:r>
        <w:rPr>
          <w:color w:val="231F20"/>
          <w:spacing w:val="15"/>
        </w:rPr>
        <w:t> </w:t>
      </w:r>
      <w:r>
        <w:rPr>
          <w:color w:val="231F20"/>
        </w:rPr>
        <w:t>été</w:t>
      </w:r>
      <w:r>
        <w:rPr>
          <w:color w:val="231F20"/>
          <w:spacing w:val="14"/>
        </w:rPr>
        <w:t> </w:t>
      </w:r>
      <w:r>
        <w:rPr>
          <w:color w:val="231F20"/>
        </w:rPr>
        <w:t>attribués.</w:t>
      </w:r>
    </w:p>
    <w:p>
      <w:pPr>
        <w:pStyle w:val="BodyText"/>
        <w:spacing w:line="218" w:lineRule="auto" w:before="107"/>
        <w:ind w:right="94"/>
      </w:pPr>
      <w:r>
        <w:rPr>
          <w:color w:val="231F20"/>
        </w:rPr>
        <w:t>Art. 12:61. Dans chaque société, l’organe d’administration établit un rapport écrit et circonstancié qui expose la situation patrimoniale des sociétés participant à la scission et qui explique et justifie, d’un point de vue juridique et économique, l’opportunité de la scission, les condi- tions, les modalités et les conséquences de la scission, les méthodes suivies pour la détermination du rapport d’échange des actions ou des parts, l’importance relative qui est donnée à ces méthodes, l’évaluation à laquelle chaque méthode parvient, les </w:t>
      </w:r>
      <w:r>
        <w:rPr>
          <w:color w:val="231F20"/>
          <w:spacing w:val="-3"/>
        </w:rPr>
        <w:t>difficultés </w:t>
      </w:r>
      <w:r>
        <w:rPr>
          <w:color w:val="231F20"/>
        </w:rPr>
        <w:t>éventuellement rencontrées,</w:t>
      </w:r>
      <w:r>
        <w:rPr>
          <w:color w:val="231F20"/>
          <w:spacing w:val="15"/>
        </w:rPr>
        <w:t> </w:t>
      </w:r>
      <w:r>
        <w:rPr>
          <w:color w:val="231F20"/>
        </w:rPr>
        <w:t>et</w:t>
      </w:r>
      <w:r>
        <w:rPr>
          <w:color w:val="231F20"/>
          <w:spacing w:val="15"/>
        </w:rPr>
        <w:t> </w:t>
      </w:r>
      <w:r>
        <w:rPr>
          <w:color w:val="231F20"/>
        </w:rPr>
        <w:t>le</w:t>
      </w:r>
      <w:r>
        <w:rPr>
          <w:color w:val="231F20"/>
          <w:spacing w:val="15"/>
        </w:rPr>
        <w:t> </w:t>
      </w:r>
      <w:r>
        <w:rPr>
          <w:color w:val="231F20"/>
        </w:rPr>
        <w:t>rapport</w:t>
      </w:r>
      <w:r>
        <w:rPr>
          <w:color w:val="231F20"/>
          <w:spacing w:val="15"/>
        </w:rPr>
        <w:t> </w:t>
      </w:r>
      <w:r>
        <w:rPr>
          <w:color w:val="231F20"/>
        </w:rPr>
        <w:t>d’échange</w:t>
      </w:r>
      <w:r>
        <w:rPr>
          <w:color w:val="231F20"/>
          <w:spacing w:val="15"/>
        </w:rPr>
        <w:t> </w:t>
      </w:r>
      <w:r>
        <w:rPr>
          <w:color w:val="231F20"/>
        </w:rPr>
        <w:t>proposé.</w:t>
      </w:r>
    </w:p>
    <w:p>
      <w:pPr>
        <w:pStyle w:val="BodyText"/>
        <w:ind w:left="0" w:right="0" w:firstLine="0"/>
        <w:jc w:val="left"/>
        <w:rPr>
          <w:sz w:val="20"/>
        </w:rPr>
      </w:pPr>
    </w:p>
    <w:p>
      <w:pPr>
        <w:pStyle w:val="BodyText"/>
        <w:spacing w:before="1"/>
        <w:ind w:left="0" w:right="0" w:firstLine="0"/>
        <w:jc w:val="left"/>
        <w:rPr>
          <w:sz w:val="19"/>
        </w:rPr>
      </w:pPr>
    </w:p>
    <w:p>
      <w:pPr>
        <w:pStyle w:val="BodyText"/>
        <w:spacing w:line="218" w:lineRule="auto"/>
        <w:ind w:right="95"/>
      </w:pPr>
      <w:r>
        <w:rPr>
          <w:color w:val="231F20"/>
        </w:rPr>
        <w:t>Art. 12:62. § 1</w:t>
      </w:r>
      <w:r>
        <w:rPr>
          <w:color w:val="231F20"/>
          <w:position w:val="7"/>
          <w:sz w:val="11"/>
        </w:rPr>
        <w:t>er</w:t>
      </w:r>
      <w:r>
        <w:rPr>
          <w:color w:val="231F20"/>
        </w:rPr>
        <w:t>. Dans chaque société, le commissaire, ou, lorsqu’il n’y a pas de commissaire, un réviseur d’entreprises ou un expert- comptable externe désigné par l’organe d’administration, établit un rapport écrit sur le projet de scission.</w:t>
      </w:r>
    </w:p>
    <w:p>
      <w:pPr>
        <w:pStyle w:val="BodyText"/>
        <w:spacing w:line="218" w:lineRule="auto" w:before="107"/>
        <w:ind w:right="95"/>
      </w:pPr>
      <w:r>
        <w:rPr>
          <w:color w:val="231F20"/>
        </w:rPr>
        <w:t>Le commissaire ou le réviseur d’entreprises ou expert-comptable externe désigné doit notamment déclarer si, à son avis, le rapport d’échange est ou non pertinent et raisonnable.</w:t>
      </w:r>
    </w:p>
    <w:p>
      <w:pPr>
        <w:pStyle w:val="BodyText"/>
        <w:spacing w:before="93"/>
        <w:ind w:left="283" w:right="0" w:firstLine="0"/>
        <w:jc w:val="left"/>
      </w:pPr>
      <w:r>
        <w:rPr>
          <w:color w:val="231F20"/>
        </w:rPr>
        <w:t>Cette déclaration doit au moins:</w:t>
      </w:r>
    </w:p>
    <w:p>
      <w:pPr>
        <w:pStyle w:val="BodyText"/>
        <w:spacing w:line="218" w:lineRule="auto" w:before="103"/>
        <w:ind w:right="95"/>
      </w:pPr>
      <w:r>
        <w:rPr>
          <w:color w:val="231F20"/>
        </w:rPr>
        <w:t>1° indiquer les méthodes suivies pour la détermination du rapport d’échange proposé;</w:t>
      </w:r>
    </w:p>
    <w:p>
      <w:pPr>
        <w:pStyle w:val="BodyText"/>
        <w:spacing w:line="218" w:lineRule="auto" w:before="107"/>
        <w:ind w:right="94"/>
      </w:pPr>
      <w:r>
        <w:rPr>
          <w:color w:val="231F20"/>
        </w:rPr>
        <w:t>2° indiquer si ces méthodes sont appropriées en l’espèce et mention- ner l’évaluation à laquelle chacune de ces méthodes conduit, un avis étant donné sur l’importance relative donnée à ces méthodes dans la détermination de la valeur retenue.</w:t>
      </w:r>
    </w:p>
    <w:p>
      <w:pPr>
        <w:pStyle w:val="BodyText"/>
        <w:spacing w:line="218" w:lineRule="auto" w:before="107"/>
        <w:ind w:right="94"/>
      </w:pPr>
      <w:r>
        <w:rPr>
          <w:color w:val="231F20"/>
        </w:rPr>
        <w:t>Le</w:t>
      </w:r>
      <w:r>
        <w:rPr>
          <w:color w:val="231F20"/>
          <w:spacing w:val="-4"/>
        </w:rPr>
        <w:t> </w:t>
      </w:r>
      <w:r>
        <w:rPr>
          <w:color w:val="231F20"/>
        </w:rPr>
        <w:t>rapport</w:t>
      </w:r>
      <w:r>
        <w:rPr>
          <w:color w:val="231F20"/>
          <w:spacing w:val="-4"/>
        </w:rPr>
        <w:t> </w:t>
      </w:r>
      <w:r>
        <w:rPr>
          <w:color w:val="231F20"/>
        </w:rPr>
        <w:t>indique</w:t>
      </w:r>
      <w:r>
        <w:rPr>
          <w:color w:val="231F20"/>
          <w:spacing w:val="-3"/>
        </w:rPr>
        <w:t> </w:t>
      </w:r>
      <w:r>
        <w:rPr>
          <w:color w:val="231F20"/>
        </w:rPr>
        <w:t>en</w:t>
      </w:r>
      <w:r>
        <w:rPr>
          <w:color w:val="231F20"/>
          <w:spacing w:val="-4"/>
        </w:rPr>
        <w:t> </w:t>
      </w:r>
      <w:r>
        <w:rPr>
          <w:color w:val="231F20"/>
        </w:rPr>
        <w:t>outre,</w:t>
      </w:r>
      <w:r>
        <w:rPr>
          <w:color w:val="231F20"/>
          <w:spacing w:val="-3"/>
        </w:rPr>
        <w:t> </w:t>
      </w:r>
      <w:r>
        <w:rPr>
          <w:color w:val="231F20"/>
        </w:rPr>
        <w:t>le</w:t>
      </w:r>
      <w:r>
        <w:rPr>
          <w:color w:val="231F20"/>
          <w:spacing w:val="-4"/>
        </w:rPr>
        <w:t> </w:t>
      </w:r>
      <w:r>
        <w:rPr>
          <w:color w:val="231F20"/>
        </w:rPr>
        <w:t>cas</w:t>
      </w:r>
      <w:r>
        <w:rPr>
          <w:color w:val="231F20"/>
          <w:spacing w:val="-3"/>
        </w:rPr>
        <w:t> </w:t>
      </w:r>
      <w:r>
        <w:rPr>
          <w:color w:val="231F20"/>
        </w:rPr>
        <w:t>échéant,</w:t>
      </w:r>
      <w:r>
        <w:rPr>
          <w:color w:val="231F20"/>
          <w:spacing w:val="-4"/>
        </w:rPr>
        <w:t> </w:t>
      </w:r>
      <w:r>
        <w:rPr>
          <w:color w:val="231F20"/>
        </w:rPr>
        <w:t>les</w:t>
      </w:r>
      <w:r>
        <w:rPr>
          <w:color w:val="231F20"/>
          <w:spacing w:val="-3"/>
        </w:rPr>
        <w:t> difficultés</w:t>
      </w:r>
      <w:r>
        <w:rPr>
          <w:color w:val="231F20"/>
          <w:spacing w:val="-4"/>
        </w:rPr>
        <w:t> </w:t>
      </w:r>
      <w:r>
        <w:rPr>
          <w:color w:val="231F20"/>
        </w:rPr>
        <w:t>particulières d’évaluation.</w:t>
      </w:r>
    </w:p>
    <w:p>
      <w:pPr>
        <w:pStyle w:val="BodyText"/>
        <w:spacing w:line="218" w:lineRule="auto" w:before="107"/>
        <w:ind w:right="94"/>
      </w:pPr>
      <w:r>
        <w:rPr>
          <w:color w:val="231F20"/>
        </w:rPr>
        <w:t>Le commissaire ou le réviseur d’entreprises ou expert-comptable externe désigné peut prendre connaissance sans déplacement de tout document utile à l’accomplissement de sa mission. Il peut obtenir</w:t>
      </w:r>
    </w:p>
    <w:p>
      <w:pPr>
        <w:pStyle w:val="BodyText"/>
        <w:spacing w:line="218" w:lineRule="auto" w:before="119"/>
      </w:pPr>
      <w:r>
        <w:rPr/>
        <w:br w:type="column"/>
      </w:r>
      <w:r>
        <w:rPr>
          <w:color w:val="231F20"/>
        </w:rPr>
        <w:t>5° de datum vanaf wanneer de handelingen van de te splitsen vennootschap boekhoudkundig worden geacht te zijn verricht voor rekening van een van de verkrijgende vennootschappen, die niet eerder mag worden geplaatst dan op de eerste dag na de afsluiting van het boekjaar waarvoor de jaarrekening reeds werd goedgekeurd van de bij de verrichting betrokken vennootschappen;</w:t>
      </w:r>
    </w:p>
    <w:p>
      <w:pPr>
        <w:pStyle w:val="BodyText"/>
        <w:spacing w:line="218" w:lineRule="auto" w:before="97"/>
      </w:pPr>
      <w:r>
        <w:rPr>
          <w:color w:val="231F20"/>
        </w:rPr>
        <w:t>6° de rechten die de verkrijgende vennootschappen toekennen aan de vennoten of aandeelhouders van de te splitsen vennootschap, die bijzondere rechten hebben en aan de houders van andere effecten dan aandelen, of de jegens hen voorgestelde maatregelen;</w:t>
      </w:r>
    </w:p>
    <w:p>
      <w:pPr>
        <w:pStyle w:val="BodyText"/>
        <w:spacing w:line="218" w:lineRule="auto" w:before="96"/>
      </w:pPr>
      <w:r>
        <w:rPr>
          <w:color w:val="231F20"/>
        </w:rPr>
        <w:t>7° de bezoldiging die wordt toegekend aan de commissarissen of de bedrijfsrevisoren of externe accountants voor de opstelling van het in artikel 12:62 bedoelde verslag;</w:t>
      </w:r>
    </w:p>
    <w:p>
      <w:pPr>
        <w:pStyle w:val="BodyText"/>
        <w:spacing w:line="218" w:lineRule="auto" w:before="96"/>
      </w:pPr>
      <w:r>
        <w:rPr>
          <w:color w:val="231F20"/>
        </w:rPr>
        <w:t>8° ieder bijzonder voordeel toegekend aan de leden van de bestuurs- organen van de vennootschappen die aan de splitsing deelnemen;</w:t>
      </w:r>
    </w:p>
    <w:p>
      <w:pPr>
        <w:pStyle w:val="BodyText"/>
        <w:spacing w:line="218" w:lineRule="auto" w:before="97"/>
      </w:pPr>
      <w:r>
        <w:rPr>
          <w:color w:val="231F20"/>
        </w:rPr>
        <w:t>9° de nauwkeurige beschrijving en verdeling van de aan elke verkrijgende vennootschap over te dragen delen van de activa en passiva van het vermogen;</w:t>
      </w:r>
    </w:p>
    <w:p>
      <w:pPr>
        <w:pStyle w:val="BodyText"/>
        <w:spacing w:line="218" w:lineRule="auto" w:before="96"/>
      </w:pPr>
      <w:r>
        <w:rPr>
          <w:color w:val="231F20"/>
        </w:rPr>
        <w:t>10° de verdeling onder de vennoten of aandeelhouders van de te splitsen vennootschap van de aandelen van de verkrijgende vennoot- schappen evenals het criterium waarop deze verdeling is gebaseerd;</w:t>
      </w:r>
    </w:p>
    <w:p>
      <w:pPr>
        <w:pStyle w:val="BodyText"/>
        <w:spacing w:line="218" w:lineRule="auto" w:before="96"/>
      </w:pPr>
      <w:r>
        <w:rPr>
          <w:color w:val="231F20"/>
        </w:rPr>
        <w:t>11° de naam en standplaats van de instrumenterende notaris, in het geval bedoeld in artikel 12:73.</w:t>
      </w:r>
    </w:p>
    <w:p>
      <w:pPr>
        <w:pStyle w:val="BodyText"/>
        <w:spacing w:line="218" w:lineRule="auto" w:before="96"/>
        <w:ind w:right="123"/>
      </w:pPr>
      <w:r>
        <w:rPr>
          <w:color w:val="231F20"/>
        </w:rPr>
        <w:t>Het splitsingsvoorstel moet door elke vennootschap die aan de splitsing deelneemt ter </w:t>
      </w:r>
      <w:r>
        <w:rPr>
          <w:color w:val="231F20"/>
          <w:spacing w:val="-4"/>
        </w:rPr>
        <w:t>griffie </w:t>
      </w:r>
      <w:r>
        <w:rPr>
          <w:color w:val="231F20"/>
        </w:rPr>
        <w:t>van de ondernemingsrechtbank waar  haar respectievelijke zetel is gevestigd worden neergelegd en bekend- gemaakt bij uittreksel of mededeling overeenkomstig respectievelijk de artikelen 2:8 en 2:14, 1° of 4°. In dit laatste geval bevat de mededeling een hyperlink naar de vennootschapswebsite. De neerlegging gebeurt uiterlijk zes  weken  vóór  het  besluit  tot  splitsing  vermeld  in  arti-  kel 12:67, § 1, en, in het geval bedoeld in artikel 12:67, § 7, voordat de splitsing van kracht</w:t>
      </w:r>
      <w:r>
        <w:rPr>
          <w:color w:val="231F20"/>
          <w:spacing w:val="5"/>
        </w:rPr>
        <w:t> </w:t>
      </w:r>
      <w:r>
        <w:rPr>
          <w:color w:val="231F20"/>
        </w:rPr>
        <w:t>wordt.</w:t>
      </w:r>
    </w:p>
    <w:p>
      <w:pPr>
        <w:pStyle w:val="BodyText"/>
        <w:spacing w:line="218" w:lineRule="auto" w:before="97"/>
      </w:pPr>
      <w:r>
        <w:rPr>
          <w:color w:val="231F20"/>
        </w:rPr>
        <w:t>Art. 12:60. </w:t>
      </w:r>
      <w:r>
        <w:rPr>
          <w:color w:val="231F20"/>
          <w:spacing w:val="-3"/>
        </w:rPr>
        <w:t>Wanneer </w:t>
      </w:r>
      <w:r>
        <w:rPr>
          <w:color w:val="231F20"/>
        </w:rPr>
        <w:t>een gedeelte van de activa van het vermogen niet in het splitsingsvoorstel wordt toebedeeld en interpretatie van dit voorstel geen uitsluitsel geeft over de verdeling ervan, wordt dit gedeelte of de waarde ervan verdeeld over alle verkrijgende vennoot- schappen, evenredig aan het nettoactief dat aan ieder van hen in het splitsingsvoorstel is</w:t>
      </w:r>
      <w:r>
        <w:rPr>
          <w:color w:val="231F20"/>
          <w:spacing w:val="-11"/>
        </w:rPr>
        <w:t> </w:t>
      </w:r>
      <w:r>
        <w:rPr>
          <w:color w:val="231F20"/>
        </w:rPr>
        <w:t>toebedeeld.</w:t>
      </w:r>
    </w:p>
    <w:p>
      <w:pPr>
        <w:pStyle w:val="BodyText"/>
        <w:spacing w:line="218" w:lineRule="auto" w:before="96"/>
      </w:pPr>
      <w:r>
        <w:rPr>
          <w:color w:val="231F20"/>
        </w:rPr>
        <w:t>Wanneer een gedeelte van de passiva van het vermogen niet in het splitsingsvoorstel wordt toebedeeld en interpretatie van dit voorstel geen uitsluitsel geeft over de verdeling ervan, zijn alle verkrijgende vennootschappen daarvoor hoofdelijk aansprakelijk.</w:t>
      </w:r>
    </w:p>
    <w:p>
      <w:pPr>
        <w:pStyle w:val="BodyText"/>
        <w:spacing w:line="218" w:lineRule="auto" w:before="107"/>
      </w:pPr>
      <w:r>
        <w:rPr>
          <w:color w:val="231F20"/>
        </w:rPr>
        <w:t>De opbrengsten en kosten van welbepaalde activa en passiva worden vanaf de in artikel 12:59, tweede lid, 5°, bedoelde datum toegerekend aan de vennootschap waaraan die activa en passiva werden toebedeeld.</w:t>
      </w:r>
    </w:p>
    <w:p>
      <w:pPr>
        <w:pStyle w:val="BodyText"/>
        <w:spacing w:line="218" w:lineRule="auto" w:before="107"/>
      </w:pPr>
      <w:r>
        <w:rPr>
          <w:color w:val="231F20"/>
        </w:rPr>
        <w:t>Art. 12:61. In elke vennootschap stelt het bestuursorgaan</w:t>
      </w:r>
      <w:r>
        <w:rPr>
          <w:color w:val="231F20"/>
          <w:spacing w:val="20"/>
        </w:rPr>
        <w:t> </w:t>
      </w:r>
      <w:r>
        <w:rPr>
          <w:color w:val="231F20"/>
        </w:rPr>
        <w:t>een omstandig schriftelijk verslag op waarin het de stand van het vermogen van de vennootschappen die aan de splitsing deelnemen uiteenzet en waarin het tevens uit een juridisch en economisch oogpunt de wenselijkheid van de splitsing, de voorwaarden en de wijze waarop ze zal gebeuren en de gevolgen ervan, de methoden volgens welke de ruilverhouding van de aandelen is vastgesteld, het betrekkelijke gewicht dat aan deze methoden wordt gehecht, de waardering waartoe elke methode komt, de moeilijkheden die zich eventueel hebben voorgedaan en de voorgestelde ruilverhouding toelicht en verant- woordt.</w:t>
      </w:r>
    </w:p>
    <w:p>
      <w:pPr>
        <w:pStyle w:val="BodyText"/>
        <w:spacing w:line="218" w:lineRule="auto" w:before="108"/>
        <w:ind w:right="123"/>
      </w:pPr>
      <w:r>
        <w:rPr>
          <w:color w:val="231F20"/>
        </w:rPr>
        <w:t>Art.</w:t>
      </w:r>
      <w:r>
        <w:rPr>
          <w:color w:val="231F20"/>
          <w:spacing w:val="-5"/>
        </w:rPr>
        <w:t> </w:t>
      </w:r>
      <w:r>
        <w:rPr>
          <w:color w:val="231F20"/>
        </w:rPr>
        <w:t>12:62.</w:t>
      </w:r>
      <w:r>
        <w:rPr>
          <w:color w:val="231F20"/>
          <w:spacing w:val="-4"/>
        </w:rPr>
        <w:t> </w:t>
      </w:r>
      <w:r>
        <w:rPr>
          <w:color w:val="231F20"/>
        </w:rPr>
        <w:t>§</w:t>
      </w:r>
      <w:r>
        <w:rPr>
          <w:color w:val="231F20"/>
          <w:spacing w:val="-5"/>
        </w:rPr>
        <w:t> </w:t>
      </w:r>
      <w:r>
        <w:rPr>
          <w:color w:val="231F20"/>
        </w:rPr>
        <w:t>1.</w:t>
      </w:r>
      <w:r>
        <w:rPr>
          <w:color w:val="231F20"/>
          <w:spacing w:val="-4"/>
        </w:rPr>
        <w:t> </w:t>
      </w:r>
      <w:r>
        <w:rPr>
          <w:color w:val="231F20"/>
        </w:rPr>
        <w:t>In</w:t>
      </w:r>
      <w:r>
        <w:rPr>
          <w:color w:val="231F20"/>
          <w:spacing w:val="-5"/>
        </w:rPr>
        <w:t> </w:t>
      </w:r>
      <w:r>
        <w:rPr>
          <w:color w:val="231F20"/>
        </w:rPr>
        <w:t>elke</w:t>
      </w:r>
      <w:r>
        <w:rPr>
          <w:color w:val="231F20"/>
          <w:spacing w:val="-4"/>
        </w:rPr>
        <w:t> </w:t>
      </w:r>
      <w:r>
        <w:rPr>
          <w:color w:val="231F20"/>
        </w:rPr>
        <w:t>vennootschap</w:t>
      </w:r>
      <w:r>
        <w:rPr>
          <w:color w:val="231F20"/>
          <w:spacing w:val="-5"/>
        </w:rPr>
        <w:t> </w:t>
      </w:r>
      <w:r>
        <w:rPr>
          <w:color w:val="231F20"/>
        </w:rPr>
        <w:t>stelt</w:t>
      </w:r>
      <w:r>
        <w:rPr>
          <w:color w:val="231F20"/>
          <w:spacing w:val="-4"/>
        </w:rPr>
        <w:t> </w:t>
      </w:r>
      <w:r>
        <w:rPr>
          <w:color w:val="231F20"/>
        </w:rPr>
        <w:t>de</w:t>
      </w:r>
      <w:r>
        <w:rPr>
          <w:color w:val="231F20"/>
          <w:spacing w:val="-5"/>
        </w:rPr>
        <w:t> </w:t>
      </w:r>
      <w:r>
        <w:rPr>
          <w:color w:val="231F20"/>
        </w:rPr>
        <w:t>commissaris,</w:t>
      </w:r>
      <w:r>
        <w:rPr>
          <w:color w:val="231F20"/>
          <w:spacing w:val="-4"/>
        </w:rPr>
        <w:t> </w:t>
      </w:r>
      <w:r>
        <w:rPr>
          <w:color w:val="231F20"/>
        </w:rPr>
        <w:t>of,</w:t>
      </w:r>
      <w:r>
        <w:rPr>
          <w:color w:val="231F20"/>
          <w:spacing w:val="-5"/>
        </w:rPr>
        <w:t> </w:t>
      </w:r>
      <w:r>
        <w:rPr>
          <w:color w:val="231F20"/>
        </w:rPr>
        <w:t>wanneer er geen commissaris is, een door het bestuursorgaan aangewezen bedrijfsrevisor of externe accountant een schriftelijk verslag over het splitsingsvoorstel</w:t>
      </w:r>
      <w:r>
        <w:rPr>
          <w:color w:val="231F20"/>
          <w:spacing w:val="15"/>
        </w:rPr>
        <w:t> </w:t>
      </w:r>
      <w:r>
        <w:rPr>
          <w:color w:val="231F20"/>
        </w:rPr>
        <w:t>op.</w:t>
      </w:r>
    </w:p>
    <w:p>
      <w:pPr>
        <w:pStyle w:val="BodyText"/>
        <w:spacing w:line="218" w:lineRule="auto" w:before="107"/>
      </w:pPr>
      <w:r>
        <w:rPr>
          <w:color w:val="231F20"/>
        </w:rPr>
        <w:t>De commissaris of de aangewezen bedrijfsrevisor of externe accoun- tant moet inzonderheid verklaren of de ruilverhouding naar zijn mening</w:t>
      </w:r>
      <w:r>
        <w:rPr>
          <w:color w:val="231F20"/>
          <w:spacing w:val="14"/>
        </w:rPr>
        <w:t> </w:t>
      </w:r>
      <w:r>
        <w:rPr>
          <w:color w:val="231F20"/>
        </w:rPr>
        <w:t>al</w:t>
      </w:r>
      <w:r>
        <w:rPr>
          <w:color w:val="231F20"/>
          <w:spacing w:val="15"/>
        </w:rPr>
        <w:t> </w:t>
      </w:r>
      <w:r>
        <w:rPr>
          <w:color w:val="231F20"/>
        </w:rPr>
        <w:t>dan</w:t>
      </w:r>
      <w:r>
        <w:rPr>
          <w:color w:val="231F20"/>
          <w:spacing w:val="15"/>
        </w:rPr>
        <w:t> </w:t>
      </w:r>
      <w:r>
        <w:rPr>
          <w:color w:val="231F20"/>
        </w:rPr>
        <w:t>niet</w:t>
      </w:r>
      <w:r>
        <w:rPr>
          <w:color w:val="231F20"/>
          <w:spacing w:val="15"/>
        </w:rPr>
        <w:t> </w:t>
      </w:r>
      <w:r>
        <w:rPr>
          <w:color w:val="231F20"/>
        </w:rPr>
        <w:t>relevant</w:t>
      </w:r>
      <w:r>
        <w:rPr>
          <w:color w:val="231F20"/>
          <w:spacing w:val="15"/>
        </w:rPr>
        <w:t> </w:t>
      </w:r>
      <w:r>
        <w:rPr>
          <w:color w:val="231F20"/>
        </w:rPr>
        <w:t>en</w:t>
      </w:r>
      <w:r>
        <w:rPr>
          <w:color w:val="231F20"/>
          <w:spacing w:val="15"/>
        </w:rPr>
        <w:t> </w:t>
      </w:r>
      <w:r>
        <w:rPr>
          <w:color w:val="231F20"/>
        </w:rPr>
        <w:t>redelijk</w:t>
      </w:r>
      <w:r>
        <w:rPr>
          <w:color w:val="231F20"/>
          <w:spacing w:val="15"/>
        </w:rPr>
        <w:t> </w:t>
      </w:r>
      <w:r>
        <w:rPr>
          <w:color w:val="231F20"/>
        </w:rPr>
        <w:t>is.</w:t>
      </w:r>
    </w:p>
    <w:p>
      <w:pPr>
        <w:pStyle w:val="BodyText"/>
        <w:spacing w:before="92"/>
        <w:ind w:left="283" w:right="0" w:firstLine="0"/>
        <w:jc w:val="left"/>
      </w:pPr>
      <w:r>
        <w:rPr>
          <w:color w:val="231F20"/>
        </w:rPr>
        <w:t>Deze verklaring moet ten minste aangeven:</w:t>
      </w:r>
    </w:p>
    <w:p>
      <w:pPr>
        <w:pStyle w:val="BodyText"/>
        <w:spacing w:line="218" w:lineRule="auto" w:before="104"/>
      </w:pPr>
      <w:r>
        <w:rPr>
          <w:color w:val="231F20"/>
          <w:w w:val="105"/>
        </w:rPr>
        <w:t>1° volgens welke methoden de voorgestelde ruilverhouding is vastgesteld;</w:t>
      </w:r>
    </w:p>
    <w:p>
      <w:pPr>
        <w:pStyle w:val="BodyText"/>
        <w:spacing w:line="218" w:lineRule="auto" w:before="106"/>
      </w:pPr>
      <w:r>
        <w:rPr>
          <w:color w:val="231F20"/>
        </w:rPr>
        <w:t>2° of deze methoden in het gegeven geval passen en tot welke waardering elke gebruikte methode leidt; tevens moet hij een oordeel geven over het betrekkelijke gewicht dat bij de vaststelling van de in aanmerking genomen waarde aan deze methoden is gehecht.</w:t>
      </w:r>
    </w:p>
    <w:p>
      <w:pPr>
        <w:pStyle w:val="BodyText"/>
        <w:spacing w:line="218" w:lineRule="auto" w:before="107"/>
      </w:pPr>
      <w:r>
        <w:rPr>
          <w:color w:val="231F20"/>
        </w:rPr>
        <w:t>Het verslag vermeldt bovendien, in voorkomend geval, de bijzon- dere moeilijkheden bij de waardering.</w:t>
      </w:r>
    </w:p>
    <w:p>
      <w:pPr>
        <w:pStyle w:val="BodyText"/>
        <w:spacing w:line="218" w:lineRule="auto" w:before="107"/>
      </w:pPr>
      <w:r>
        <w:rPr>
          <w:color w:val="231F20"/>
        </w:rPr>
        <w:t>De commissaris of de aangewezen bedrijfsrevisor of externe accoun- tant kan ter plaatse inzage nemen van alle stukken die dienstig zijn voor</w:t>
      </w:r>
      <w:r>
        <w:rPr>
          <w:color w:val="231F20"/>
          <w:spacing w:val="18"/>
        </w:rPr>
        <w:t> </w:t>
      </w:r>
      <w:r>
        <w:rPr>
          <w:color w:val="231F20"/>
        </w:rPr>
        <w:t>de</w:t>
      </w:r>
      <w:r>
        <w:rPr>
          <w:color w:val="231F20"/>
          <w:spacing w:val="18"/>
        </w:rPr>
        <w:t> </w:t>
      </w:r>
      <w:r>
        <w:rPr>
          <w:color w:val="231F20"/>
        </w:rPr>
        <w:t>vervulling</w:t>
      </w:r>
      <w:r>
        <w:rPr>
          <w:color w:val="231F20"/>
          <w:spacing w:val="18"/>
        </w:rPr>
        <w:t> </w:t>
      </w:r>
      <w:r>
        <w:rPr>
          <w:color w:val="231F20"/>
        </w:rPr>
        <w:t>van</w:t>
      </w:r>
      <w:r>
        <w:rPr>
          <w:color w:val="231F20"/>
          <w:spacing w:val="18"/>
        </w:rPr>
        <w:t> </w:t>
      </w:r>
      <w:r>
        <w:rPr>
          <w:color w:val="231F20"/>
        </w:rPr>
        <w:t>zijn</w:t>
      </w:r>
      <w:r>
        <w:rPr>
          <w:color w:val="231F20"/>
          <w:spacing w:val="18"/>
        </w:rPr>
        <w:t> </w:t>
      </w:r>
      <w:r>
        <w:rPr>
          <w:color w:val="231F20"/>
        </w:rPr>
        <w:t>taak.</w:t>
      </w:r>
      <w:r>
        <w:rPr>
          <w:color w:val="231F20"/>
          <w:spacing w:val="18"/>
        </w:rPr>
        <w:t> </w:t>
      </w:r>
      <w:r>
        <w:rPr>
          <w:color w:val="231F20"/>
        </w:rPr>
        <w:t>Hij</w:t>
      </w:r>
      <w:r>
        <w:rPr>
          <w:color w:val="231F20"/>
          <w:spacing w:val="18"/>
        </w:rPr>
        <w:t> </w:t>
      </w:r>
      <w:r>
        <w:rPr>
          <w:color w:val="231F20"/>
        </w:rPr>
        <w:t>kan</w:t>
      </w:r>
      <w:r>
        <w:rPr>
          <w:color w:val="231F20"/>
          <w:spacing w:val="18"/>
        </w:rPr>
        <w:t> </w:t>
      </w:r>
      <w:r>
        <w:rPr>
          <w:color w:val="231F20"/>
        </w:rPr>
        <w:t>van</w:t>
      </w:r>
      <w:r>
        <w:rPr>
          <w:color w:val="231F20"/>
          <w:spacing w:val="19"/>
        </w:rPr>
        <w:t> </w:t>
      </w:r>
      <w:r>
        <w:rPr>
          <w:color w:val="231F20"/>
        </w:rPr>
        <w:t>de</w:t>
      </w:r>
      <w:r>
        <w:rPr>
          <w:color w:val="231F20"/>
          <w:spacing w:val="18"/>
        </w:rPr>
        <w:t> </w:t>
      </w:r>
      <w:r>
        <w:rPr>
          <w:color w:val="231F20"/>
        </w:rPr>
        <w:t>bij</w:t>
      </w:r>
      <w:r>
        <w:rPr>
          <w:color w:val="231F20"/>
          <w:spacing w:val="18"/>
        </w:rPr>
        <w:t> </w:t>
      </w:r>
      <w:r>
        <w:rPr>
          <w:color w:val="231F20"/>
        </w:rPr>
        <w:t>de</w:t>
      </w:r>
      <w:r>
        <w:rPr>
          <w:color w:val="231F20"/>
          <w:spacing w:val="18"/>
        </w:rPr>
        <w:t> </w:t>
      </w:r>
      <w:r>
        <w:rPr>
          <w:color w:val="231F20"/>
        </w:rPr>
        <w:t>splitsing</w:t>
      </w:r>
    </w:p>
    <w:p>
      <w:pPr>
        <w:spacing w:after="0" w:line="218" w:lineRule="auto"/>
        <w:sectPr>
          <w:pgSz w:w="11940" w:h="16880"/>
          <w:pgMar w:header="666" w:footer="0" w:top="1140" w:bottom="280" w:left="340" w:right="360"/>
          <w:cols w:num="2" w:equalWidth="0">
            <w:col w:w="5583" w:space="44"/>
            <w:col w:w="5613"/>
          </w:cols>
        </w:sectPr>
      </w:pPr>
    </w:p>
    <w:p>
      <w:pPr>
        <w:pStyle w:val="BodyText"/>
        <w:spacing w:line="218" w:lineRule="auto" w:before="119"/>
        <w:ind w:right="38" w:hanging="1"/>
      </w:pPr>
      <w:r>
        <w:rPr/>
        <w:pict>
          <v:line style="position:absolute;mso-position-horizontal-relative:page;mso-position-vertical-relative:page;z-index:6760" from="298.170502pt,64.473pt" to="298.170502pt,812.819pt" stroked="true" strokeweight=".533pt" strokecolor="#231f20">
            <v:stroke dashstyle="solid"/>
            <w10:wrap type="none"/>
          </v:line>
        </w:pict>
      </w:r>
      <w:bookmarkStart w:name="_bookmark239" w:id="245"/>
      <w:bookmarkEnd w:id="245"/>
      <w:r>
        <w:rPr/>
      </w:r>
      <w:r>
        <w:rPr>
          <w:color w:val="231F20"/>
        </w:rPr>
        <w:t>auprès des sociétés qui participent à la scission toutes les explications ou informations et procéder à toutes les vérifications qui lui paraissent nécessaires.</w:t>
      </w:r>
    </w:p>
    <w:p>
      <w:pPr>
        <w:pStyle w:val="BodyText"/>
        <w:spacing w:line="218" w:lineRule="auto" w:before="86"/>
        <w:ind w:right="38"/>
      </w:pPr>
      <w:r>
        <w:rPr>
          <w:color w:val="231F20"/>
        </w:rPr>
        <w:t>Le présent paragraphe n’est pas applicable si tous les associés ou actionnaires et titulaires des autres titres conférant le droit de vote de chacune des sociétés participant à la scission en ont décidé ainsi.</w:t>
      </w:r>
    </w:p>
    <w:p>
      <w:pPr>
        <w:pStyle w:val="BodyText"/>
        <w:spacing w:before="8"/>
        <w:ind w:left="0" w:right="0" w:firstLine="0"/>
        <w:jc w:val="left"/>
        <w:rPr>
          <w:sz w:val="21"/>
        </w:rPr>
      </w:pPr>
    </w:p>
    <w:p>
      <w:pPr>
        <w:pStyle w:val="BodyText"/>
        <w:spacing w:line="218" w:lineRule="auto"/>
        <w:ind w:right="38"/>
      </w:pPr>
      <w:r>
        <w:rPr>
          <w:color w:val="231F20"/>
        </w:rPr>
        <w:t>§ 2. Si un rapport a été établi conformément au paragraphe 1</w:t>
      </w:r>
      <w:r>
        <w:rPr>
          <w:color w:val="231F20"/>
          <w:position w:val="7"/>
          <w:sz w:val="11"/>
        </w:rPr>
        <w:t>er</w:t>
      </w:r>
      <w:r>
        <w:rPr>
          <w:color w:val="231F20"/>
        </w:rPr>
        <w:t>, les articles 5:133, 6:110 ou 7:197 ne s’appliquent pas à une société absorbante ayant la forme légale de société à responsabilité limitée, de société coopérative, de société anonyme, de société européenne ou de société coopérative européenne.</w:t>
      </w:r>
    </w:p>
    <w:p>
      <w:pPr>
        <w:pStyle w:val="BodyText"/>
        <w:ind w:left="0" w:right="0" w:firstLine="0"/>
        <w:jc w:val="left"/>
        <w:rPr>
          <w:sz w:val="23"/>
        </w:rPr>
      </w:pPr>
    </w:p>
    <w:p>
      <w:pPr>
        <w:pStyle w:val="BodyText"/>
        <w:spacing w:line="218" w:lineRule="auto"/>
        <w:ind w:right="38"/>
      </w:pPr>
      <w:r>
        <w:rPr>
          <w:color w:val="231F20"/>
        </w:rPr>
        <w:t>Art. 12:63. Les organes d’administration de chacune des sociétés concernées par la scission sont tenus d’informer l’assemblée générale de leur société ainsi que les organes d’administration de toutes les autres sociétés concernées par la scission de toute</w:t>
      </w:r>
      <w:r>
        <w:rPr>
          <w:color w:val="231F20"/>
          <w:spacing w:val="30"/>
        </w:rPr>
        <w:t> </w:t>
      </w:r>
      <w:r>
        <w:rPr>
          <w:color w:val="231F20"/>
        </w:rPr>
        <w:t>modification importante du patrimoine actif et passif intervenue entre la date de l’établissement du projet de scission et la date de la dernière assemblée générale, ou, dans le cas visé à l’article 12:67, § 7, la réunion du dernier organe</w:t>
      </w:r>
      <w:r>
        <w:rPr>
          <w:color w:val="231F20"/>
          <w:spacing w:val="15"/>
        </w:rPr>
        <w:t> </w:t>
      </w:r>
      <w:r>
        <w:rPr>
          <w:color w:val="231F20"/>
        </w:rPr>
        <w:t>d’administration,</w:t>
      </w:r>
      <w:r>
        <w:rPr>
          <w:color w:val="231F20"/>
          <w:spacing w:val="15"/>
        </w:rPr>
        <w:t> </w:t>
      </w:r>
      <w:r>
        <w:rPr>
          <w:color w:val="231F20"/>
        </w:rPr>
        <w:t>qui</w:t>
      </w:r>
      <w:r>
        <w:rPr>
          <w:color w:val="231F20"/>
          <w:spacing w:val="15"/>
        </w:rPr>
        <w:t> </w:t>
      </w:r>
      <w:r>
        <w:rPr>
          <w:color w:val="231F20"/>
        </w:rPr>
        <w:t>se</w:t>
      </w:r>
      <w:r>
        <w:rPr>
          <w:color w:val="231F20"/>
          <w:spacing w:val="15"/>
        </w:rPr>
        <w:t> </w:t>
      </w:r>
      <w:r>
        <w:rPr>
          <w:color w:val="231F20"/>
        </w:rPr>
        <w:t>prononce</w:t>
      </w:r>
      <w:r>
        <w:rPr>
          <w:color w:val="231F20"/>
          <w:spacing w:val="15"/>
        </w:rPr>
        <w:t> </w:t>
      </w:r>
      <w:r>
        <w:rPr>
          <w:color w:val="231F20"/>
        </w:rPr>
        <w:t>sur</w:t>
      </w:r>
      <w:r>
        <w:rPr>
          <w:color w:val="231F20"/>
          <w:spacing w:val="15"/>
        </w:rPr>
        <w:t> </w:t>
      </w:r>
      <w:r>
        <w:rPr>
          <w:color w:val="231F20"/>
        </w:rPr>
        <w:t>la</w:t>
      </w:r>
      <w:r>
        <w:rPr>
          <w:color w:val="231F20"/>
          <w:spacing w:val="15"/>
        </w:rPr>
        <w:t> </w:t>
      </w:r>
      <w:r>
        <w:rPr>
          <w:color w:val="231F20"/>
        </w:rPr>
        <w:t>scission.</w:t>
      </w:r>
    </w:p>
    <w:p>
      <w:pPr>
        <w:pStyle w:val="BodyText"/>
        <w:ind w:left="0" w:right="0" w:firstLine="0"/>
        <w:jc w:val="left"/>
        <w:rPr>
          <w:sz w:val="23"/>
        </w:rPr>
      </w:pPr>
    </w:p>
    <w:p>
      <w:pPr>
        <w:pStyle w:val="BodyText"/>
        <w:spacing w:line="218" w:lineRule="auto" w:before="1"/>
        <w:ind w:right="38"/>
      </w:pPr>
      <w:r>
        <w:rPr>
          <w:color w:val="231F20"/>
        </w:rPr>
        <w:t>Les organes d’administration qui ont reçu cette information sont tenus de la communiquer à l’assemblée générale de leur société.</w:t>
      </w:r>
    </w:p>
    <w:p>
      <w:pPr>
        <w:pStyle w:val="BodyText"/>
        <w:spacing w:before="7"/>
        <w:ind w:left="0" w:right="0" w:firstLine="0"/>
        <w:jc w:val="left"/>
        <w:rPr>
          <w:sz w:val="21"/>
        </w:rPr>
      </w:pPr>
    </w:p>
    <w:p>
      <w:pPr>
        <w:pStyle w:val="BodyText"/>
        <w:spacing w:line="218" w:lineRule="auto"/>
        <w:ind w:right="38"/>
      </w:pPr>
      <w:r>
        <w:rPr>
          <w:color w:val="231F20"/>
        </w:rPr>
        <w:t>L’alinéa 1</w:t>
      </w:r>
      <w:r>
        <w:rPr>
          <w:color w:val="231F20"/>
          <w:position w:val="7"/>
          <w:sz w:val="11"/>
        </w:rPr>
        <w:t>er </w:t>
      </w:r>
      <w:r>
        <w:rPr>
          <w:color w:val="231F20"/>
        </w:rPr>
        <w:t>n’est pas applicable si tous les associés ou actionnaires et les titulaires d’autres titres conférant le droit de vote de chacune des sociétés participant à la scission en ont décidé ainsi.</w:t>
      </w:r>
    </w:p>
    <w:p>
      <w:pPr>
        <w:pStyle w:val="BodyText"/>
        <w:spacing w:before="8"/>
        <w:ind w:left="0" w:right="0" w:firstLine="0"/>
        <w:jc w:val="left"/>
        <w:rPr>
          <w:sz w:val="21"/>
        </w:rPr>
      </w:pPr>
    </w:p>
    <w:p>
      <w:pPr>
        <w:pStyle w:val="BodyText"/>
        <w:spacing w:line="218" w:lineRule="auto"/>
        <w:ind w:right="38"/>
      </w:pPr>
      <w:r>
        <w:rPr>
          <w:color w:val="231F20"/>
        </w:rPr>
        <w:t>Art. 12:64. § 1</w:t>
      </w:r>
      <w:r>
        <w:rPr>
          <w:color w:val="231F20"/>
          <w:position w:val="7"/>
          <w:sz w:val="11"/>
        </w:rPr>
        <w:t>er</w:t>
      </w:r>
      <w:r>
        <w:rPr>
          <w:color w:val="231F20"/>
        </w:rPr>
        <w:t>. Dans chaque société, l’ordre du jour de l’assemblée générale appelée à se prononcer sur le projet de scission annonce le projet de scission et les rapports prévus aux articles 12:61 et 12:62 ainsi que la possibilité réservée aux associés ou actionnaires d’obtenir lesdits documents sans frais. Cette obligation ne s’applique pas si l’organe d’administration approuve la scission conformément à l’article 12:67,</w:t>
      </w:r>
    </w:p>
    <w:p>
      <w:pPr>
        <w:pStyle w:val="BodyText"/>
        <w:spacing w:line="180" w:lineRule="exact"/>
        <w:ind w:right="0" w:firstLine="0"/>
        <w:jc w:val="left"/>
      </w:pPr>
      <w:r>
        <w:rPr>
          <w:color w:val="231F20"/>
        </w:rPr>
        <w:t>§ 7.</w:t>
      </w:r>
    </w:p>
    <w:p>
      <w:pPr>
        <w:pStyle w:val="BodyText"/>
        <w:spacing w:line="218" w:lineRule="auto" w:before="82"/>
        <w:ind w:right="38"/>
      </w:pPr>
      <w:r>
        <w:rPr>
          <w:color w:val="231F20"/>
        </w:rPr>
        <w:t>Une copie en est communiquée aux titulaires d’actions ou parts nominatives un mois au moins avant la réunion de l’assemblée générale ou, dans le cas visé à l’article 12:67, § 7, avant la prise d’effet de la scission.</w:t>
      </w:r>
    </w:p>
    <w:p>
      <w:pPr>
        <w:pStyle w:val="BodyText"/>
        <w:spacing w:line="211" w:lineRule="auto" w:before="90"/>
        <w:ind w:right="38"/>
      </w:pPr>
      <w:r>
        <w:rPr>
          <w:color w:val="231F20"/>
        </w:rPr>
        <w:t>Une copie est également communiquée sans délai aux personnes qui ont accompli les formalités prescrites par les statuts pour être admises à</w:t>
      </w:r>
      <w:r>
        <w:rPr>
          <w:color w:val="231F20"/>
          <w:spacing w:val="15"/>
        </w:rPr>
        <w:t> </w:t>
      </w:r>
      <w:r>
        <w:rPr>
          <w:color w:val="231F20"/>
        </w:rPr>
        <w:t>l’assemblée</w:t>
      </w:r>
      <w:r>
        <w:rPr>
          <w:color w:val="231F20"/>
          <w:spacing w:val="16"/>
        </w:rPr>
        <w:t> </w:t>
      </w:r>
      <w:r>
        <w:rPr>
          <w:color w:val="231F20"/>
        </w:rPr>
        <w:t>générale</w:t>
      </w:r>
      <w:r>
        <w:rPr>
          <w:color w:val="231F20"/>
          <w:spacing w:val="15"/>
        </w:rPr>
        <w:t> </w:t>
      </w:r>
      <w:r>
        <w:rPr>
          <w:color w:val="231F20"/>
        </w:rPr>
        <w:t>visée</w:t>
      </w:r>
      <w:r>
        <w:rPr>
          <w:color w:val="231F20"/>
          <w:spacing w:val="16"/>
        </w:rPr>
        <w:t> </w:t>
      </w:r>
      <w:r>
        <w:rPr>
          <w:color w:val="231F20"/>
        </w:rPr>
        <w:t>à</w:t>
      </w:r>
      <w:r>
        <w:rPr>
          <w:color w:val="231F20"/>
          <w:spacing w:val="15"/>
        </w:rPr>
        <w:t> </w:t>
      </w:r>
      <w:r>
        <w:rPr>
          <w:color w:val="231F20"/>
        </w:rPr>
        <w:t>l’article</w:t>
      </w:r>
      <w:r>
        <w:rPr>
          <w:color w:val="231F20"/>
          <w:spacing w:val="16"/>
        </w:rPr>
        <w:t> </w:t>
      </w:r>
      <w:r>
        <w:rPr>
          <w:color w:val="231F20"/>
        </w:rPr>
        <w:t>12:67,</w:t>
      </w:r>
      <w:r>
        <w:rPr>
          <w:color w:val="231F20"/>
          <w:spacing w:val="15"/>
        </w:rPr>
        <w:t> </w:t>
      </w:r>
      <w:r>
        <w:rPr>
          <w:color w:val="231F20"/>
        </w:rPr>
        <w:t>§</w:t>
      </w:r>
      <w:r>
        <w:rPr>
          <w:color w:val="231F20"/>
          <w:spacing w:val="16"/>
        </w:rPr>
        <w:t> </w:t>
      </w:r>
      <w:r>
        <w:rPr>
          <w:color w:val="231F20"/>
        </w:rPr>
        <w:t>1</w:t>
      </w:r>
      <w:r>
        <w:rPr>
          <w:color w:val="231F20"/>
          <w:position w:val="7"/>
          <w:sz w:val="11"/>
        </w:rPr>
        <w:t>er</w:t>
      </w:r>
      <w:r>
        <w:rPr>
          <w:color w:val="231F20"/>
        </w:rPr>
        <w:t>.</w:t>
      </w:r>
    </w:p>
    <w:p>
      <w:pPr>
        <w:pStyle w:val="BodyText"/>
        <w:spacing w:line="211" w:lineRule="auto" w:before="88"/>
        <w:ind w:right="38"/>
      </w:pPr>
      <w:r>
        <w:rPr>
          <w:color w:val="231F20"/>
        </w:rPr>
        <w:t>Toutefois, s’il s’agit d’une société coopérative, le projet et les rapports visés à l’alinéa 1</w:t>
      </w:r>
      <w:r>
        <w:rPr>
          <w:color w:val="231F20"/>
          <w:position w:val="7"/>
          <w:sz w:val="11"/>
        </w:rPr>
        <w:t>er </w:t>
      </w:r>
      <w:r>
        <w:rPr>
          <w:color w:val="231F20"/>
        </w:rPr>
        <w:t>ne doivent pas être communiqués aux actionnaires conformément aux alinéas 2 et 3.</w:t>
      </w:r>
    </w:p>
    <w:p>
      <w:pPr>
        <w:pStyle w:val="BodyText"/>
        <w:spacing w:before="9"/>
        <w:ind w:left="0" w:right="0" w:firstLine="0"/>
        <w:jc w:val="left"/>
        <w:rPr>
          <w:sz w:val="22"/>
        </w:rPr>
      </w:pPr>
    </w:p>
    <w:p>
      <w:pPr>
        <w:pStyle w:val="BodyText"/>
        <w:spacing w:line="218" w:lineRule="auto"/>
        <w:ind w:right="38"/>
      </w:pPr>
      <w:r>
        <w:rPr>
          <w:color w:val="231F20"/>
        </w:rPr>
        <w:t>Dans ce cas, tout actionnaire a le droit de prendre connaissance dudit document au siège de la société conformément au paragraphe 2 un mois au moins avant la date de la réunion de l’assemblée générale, ou, dans le cas </w:t>
      </w:r>
      <w:r>
        <w:rPr>
          <w:color w:val="231F20"/>
          <w:spacing w:val="4"/>
        </w:rPr>
        <w:t>visé </w:t>
      </w:r>
      <w:r>
        <w:rPr>
          <w:color w:val="231F20"/>
        </w:rPr>
        <w:t>à l’article 12:67, § 7, avant la date à laquelle la fusion prend effet, et d’en obtenir copie, conformément au paragraphe 3, dans le même</w:t>
      </w:r>
      <w:r>
        <w:rPr>
          <w:color w:val="231F20"/>
          <w:spacing w:val="-11"/>
        </w:rPr>
        <w:t> </w:t>
      </w:r>
      <w:r>
        <w:rPr>
          <w:color w:val="231F20"/>
        </w:rPr>
        <w:t>délai.</w:t>
      </w:r>
    </w:p>
    <w:p>
      <w:pPr>
        <w:pStyle w:val="BodyText"/>
        <w:ind w:left="0" w:right="0" w:firstLine="0"/>
        <w:jc w:val="left"/>
        <w:rPr>
          <w:sz w:val="23"/>
        </w:rPr>
      </w:pPr>
    </w:p>
    <w:p>
      <w:pPr>
        <w:pStyle w:val="BodyText"/>
        <w:spacing w:line="218" w:lineRule="auto" w:before="1"/>
        <w:ind w:right="38"/>
      </w:pPr>
      <w:r>
        <w:rPr>
          <w:color w:val="231F20"/>
        </w:rPr>
        <w:t>§ 2. Tout associé ou actionnaire a également le droit, un mois au moins avant la date de la réunion de l’assemblée générale appelée à se prononcer sur la scission, ou, dans le cas visé à l’article 12:67, § 7, avant la date à laquelle la scission prend effet, de prendre connaissance au siège de la société des documents suivants:</w:t>
      </w:r>
    </w:p>
    <w:p>
      <w:pPr>
        <w:pStyle w:val="BodyText"/>
        <w:spacing w:before="71"/>
        <w:ind w:left="283" w:right="0" w:firstLine="0"/>
        <w:jc w:val="left"/>
      </w:pPr>
      <w:r>
        <w:rPr>
          <w:color w:val="231F20"/>
        </w:rPr>
        <w:t>1° le projet de scission;</w:t>
      </w:r>
    </w:p>
    <w:p>
      <w:pPr>
        <w:pStyle w:val="BodyText"/>
        <w:spacing w:before="68"/>
        <w:ind w:left="283" w:right="0" w:firstLine="0"/>
        <w:jc w:val="left"/>
      </w:pPr>
      <w:r>
        <w:rPr>
          <w:color w:val="231F20"/>
        </w:rPr>
        <w:t>2° le cas échéant, les rapports visés aux articles 12:61 et 12:62;</w:t>
      </w:r>
    </w:p>
    <w:p>
      <w:pPr>
        <w:pStyle w:val="BodyText"/>
        <w:spacing w:before="8"/>
        <w:ind w:left="0" w:right="0" w:firstLine="0"/>
        <w:jc w:val="left"/>
        <w:rPr>
          <w:sz w:val="22"/>
        </w:rPr>
      </w:pPr>
    </w:p>
    <w:p>
      <w:pPr>
        <w:pStyle w:val="BodyText"/>
        <w:spacing w:line="218" w:lineRule="auto"/>
        <w:ind w:right="38"/>
      </w:pPr>
      <w:r>
        <w:rPr>
          <w:color w:val="231F20"/>
        </w:rPr>
        <w:t>3° les comptes annuels des trois derniers exercices, de chacune des sociétés concernées par la scission;</w:t>
      </w:r>
    </w:p>
    <w:p>
      <w:pPr>
        <w:pStyle w:val="BodyText"/>
        <w:spacing w:line="218" w:lineRule="auto" w:before="86"/>
        <w:ind w:right="38"/>
      </w:pPr>
      <w:r>
        <w:rPr>
          <w:color w:val="231F20"/>
        </w:rPr>
        <w:t>4° pour la </w:t>
      </w:r>
      <w:r>
        <w:rPr>
          <w:color w:val="231F20"/>
          <w:spacing w:val="3"/>
        </w:rPr>
        <w:t>société </w:t>
      </w:r>
      <w:r>
        <w:rPr>
          <w:color w:val="231F20"/>
        </w:rPr>
        <w:t>à responsabilité limitée, la société coopérative, la société  anonyme,  la  société  européenne  et   la   société   coopéra-   tive européenne, les rapports de l’organe d’administration et les rapports</w:t>
      </w:r>
      <w:r>
        <w:rPr>
          <w:color w:val="231F20"/>
          <w:spacing w:val="15"/>
        </w:rPr>
        <w:t> </w:t>
      </w:r>
      <w:r>
        <w:rPr>
          <w:color w:val="231F20"/>
        </w:rPr>
        <w:t>du</w:t>
      </w:r>
      <w:r>
        <w:rPr>
          <w:color w:val="231F20"/>
          <w:spacing w:val="15"/>
        </w:rPr>
        <w:t> </w:t>
      </w:r>
      <w:r>
        <w:rPr>
          <w:color w:val="231F20"/>
        </w:rPr>
        <w:t>commissaire</w:t>
      </w:r>
      <w:r>
        <w:rPr>
          <w:color w:val="231F20"/>
          <w:spacing w:val="15"/>
        </w:rPr>
        <w:t> </w:t>
      </w:r>
      <w:r>
        <w:rPr>
          <w:color w:val="231F20"/>
        </w:rPr>
        <w:t>des</w:t>
      </w:r>
      <w:r>
        <w:rPr>
          <w:color w:val="231F20"/>
          <w:spacing w:val="15"/>
        </w:rPr>
        <w:t> </w:t>
      </w:r>
      <w:r>
        <w:rPr>
          <w:color w:val="231F20"/>
        </w:rPr>
        <w:t>trois</w:t>
      </w:r>
      <w:r>
        <w:rPr>
          <w:color w:val="231F20"/>
          <w:spacing w:val="15"/>
        </w:rPr>
        <w:t> </w:t>
      </w:r>
      <w:r>
        <w:rPr>
          <w:color w:val="231F20"/>
        </w:rPr>
        <w:t>derniers</w:t>
      </w:r>
      <w:r>
        <w:rPr>
          <w:color w:val="231F20"/>
          <w:spacing w:val="15"/>
        </w:rPr>
        <w:t> </w:t>
      </w:r>
      <w:r>
        <w:rPr>
          <w:color w:val="231F20"/>
        </w:rPr>
        <w:t>exercices,</w:t>
      </w:r>
      <w:r>
        <w:rPr>
          <w:color w:val="231F20"/>
          <w:spacing w:val="15"/>
        </w:rPr>
        <w:t> </w:t>
      </w:r>
      <w:r>
        <w:rPr>
          <w:color w:val="231F20"/>
          <w:spacing w:val="3"/>
        </w:rPr>
        <w:t>s’il</w:t>
      </w:r>
      <w:r>
        <w:rPr>
          <w:color w:val="231F20"/>
        </w:rPr>
        <w:t> y</w:t>
      </w:r>
      <w:r>
        <w:rPr>
          <w:color w:val="231F20"/>
          <w:spacing w:val="15"/>
        </w:rPr>
        <w:t> </w:t>
      </w:r>
      <w:r>
        <w:rPr>
          <w:color w:val="231F20"/>
          <w:spacing w:val="7"/>
        </w:rPr>
        <w:t>en</w:t>
      </w:r>
      <w:r>
        <w:rPr>
          <w:color w:val="231F20"/>
          <w:spacing w:val="1"/>
        </w:rPr>
        <w:t> </w:t>
      </w:r>
      <w:r>
        <w:rPr>
          <w:color w:val="231F20"/>
        </w:rPr>
        <w:t>a</w:t>
      </w:r>
      <w:r>
        <w:rPr>
          <w:color w:val="231F20"/>
          <w:spacing w:val="15"/>
        </w:rPr>
        <w:t> </w:t>
      </w:r>
      <w:r>
        <w:rPr>
          <w:color w:val="231F20"/>
        </w:rPr>
        <w:t>un;</w:t>
      </w:r>
    </w:p>
    <w:p>
      <w:pPr>
        <w:pStyle w:val="BodyText"/>
        <w:spacing w:before="10"/>
        <w:ind w:left="0" w:right="0" w:firstLine="0"/>
        <w:jc w:val="left"/>
        <w:rPr>
          <w:sz w:val="23"/>
        </w:rPr>
      </w:pPr>
    </w:p>
    <w:p>
      <w:pPr>
        <w:pStyle w:val="BodyText"/>
        <w:spacing w:line="218" w:lineRule="auto"/>
        <w:ind w:right="38"/>
      </w:pPr>
      <w:r>
        <w:rPr>
          <w:color w:val="231F20"/>
        </w:rPr>
        <w:t>5° le cas échéant, lorsque le projet de scission est postérieur de six mois au moins à la fin de l’exercice auquel se rapportent les derniers comptes annuels, d’un état comptable clôturé moins de trois mois avant la date du projet de scission et rédigé conformément aux alinéas 2 à 4.</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Cet état comptable est établi selon les mêmes méthodes et suivant la même présentation que les derniers comptes annuels.</w:t>
      </w:r>
    </w:p>
    <w:p>
      <w:pPr>
        <w:pStyle w:val="BodyText"/>
        <w:spacing w:line="218" w:lineRule="auto" w:before="119"/>
        <w:ind w:right="0" w:firstLine="0"/>
        <w:jc w:val="left"/>
      </w:pPr>
      <w:r>
        <w:rPr/>
        <w:br w:type="column"/>
      </w:r>
      <w:r>
        <w:rPr>
          <w:color w:val="231F20"/>
        </w:rPr>
        <w:t>betrokken vennootschappen alle ophelderingen en inlichtingen beko- men, en alle controles verrichten die hij nodig acht.</w:t>
      </w:r>
    </w:p>
    <w:p>
      <w:pPr>
        <w:pStyle w:val="BodyText"/>
        <w:ind w:left="0" w:right="0" w:firstLine="0"/>
        <w:jc w:val="left"/>
        <w:rPr>
          <w:sz w:val="23"/>
        </w:rPr>
      </w:pPr>
    </w:p>
    <w:p>
      <w:pPr>
        <w:pStyle w:val="BodyText"/>
        <w:spacing w:line="218" w:lineRule="auto"/>
      </w:pPr>
      <w:r>
        <w:rPr>
          <w:color w:val="231F20"/>
        </w:rPr>
        <w:t>Deze paragraaf is niet van toepassing indien alle vennoten of aandeelhouders en houders van andere stemrechtverlenende effecten in elke bij de splitsing betrokken vennootschap hiermee hebben ingestemd.</w:t>
      </w:r>
    </w:p>
    <w:p>
      <w:pPr>
        <w:pStyle w:val="BodyText"/>
        <w:spacing w:line="218" w:lineRule="auto" w:before="86"/>
      </w:pPr>
      <w:r>
        <w:rPr>
          <w:color w:val="231F20"/>
        </w:rPr>
        <w:t>§ 2. Indien een verslag werd opgesteld overeenkomstig paragraaf 1, zijn de artikelen 5:133, 6:110 of 7:197 niet van toepassing op een overnemende vennootschap die de rechtsvorm heeft van een besloten vennootschap, van een coöperatieve vennootschap, van een naamloze vennootschap, van een Europese vennootschap of van een Europese coöperatieve vennootschap.</w:t>
      </w:r>
    </w:p>
    <w:p>
      <w:pPr>
        <w:pStyle w:val="BodyText"/>
        <w:spacing w:line="218" w:lineRule="auto" w:before="86"/>
        <w:ind w:right="123"/>
      </w:pPr>
      <w:r>
        <w:rPr>
          <w:color w:val="231F20"/>
        </w:rPr>
        <w:t>Art. 12:63. De bestuursorganen van alle bij de splitsing betrokken vennootschappen moeten hun eigen algemene vergadering, evenals de bestuursorganen van alle andere bij de splitsing betrokken vennoot- schappen op de hoogte stellen van elke belangrijke wijziging die zich in de activa en de passiva van het vermogen heeft voorgedaan tussen de datum van opstelling van het splitsingsvoorstel en de datum van de laatste algemene vergadering, of, in het geval bedoeld in artikel 12:67,</w:t>
      </w:r>
    </w:p>
    <w:p>
      <w:pPr>
        <w:pStyle w:val="BodyText"/>
        <w:spacing w:line="218" w:lineRule="auto" w:before="1"/>
        <w:ind w:right="0" w:firstLine="0"/>
        <w:jc w:val="left"/>
      </w:pPr>
      <w:r>
        <w:rPr>
          <w:color w:val="231F20"/>
        </w:rPr>
        <w:t>§ 7, de vergadering van het laatste bestuursorgaan, die tot de splitsing besluit.</w:t>
      </w:r>
    </w:p>
    <w:p>
      <w:pPr>
        <w:pStyle w:val="BodyText"/>
        <w:spacing w:line="218" w:lineRule="auto" w:before="85"/>
      </w:pPr>
      <w:r>
        <w:rPr>
          <w:color w:val="231F20"/>
        </w:rPr>
        <w:t>De aldus geïnformeerde bestuursorganen brengen de algemene vergadering van hun vennootschap op de hoogte van de ontvangen informatie.</w:t>
      </w:r>
    </w:p>
    <w:p>
      <w:pPr>
        <w:pStyle w:val="BodyText"/>
        <w:spacing w:line="218" w:lineRule="auto" w:before="86"/>
      </w:pPr>
      <w:r>
        <w:rPr>
          <w:color w:val="231F20"/>
        </w:rPr>
        <w:t>Het eerste lid is niet van toepassing indien alle vennoten of aandeelhouders en houders van andere stemrechtverlenende effecten in elke bij de splitsing betrokken vennootschap hiermee hebben ingestemd.</w:t>
      </w:r>
    </w:p>
    <w:p>
      <w:pPr>
        <w:pStyle w:val="BodyText"/>
        <w:spacing w:line="218" w:lineRule="auto" w:before="85"/>
      </w:pPr>
      <w:r>
        <w:rPr>
          <w:color w:val="231F20"/>
        </w:rPr>
        <w:t>Art. 12:64. § 1. In elke vennootschap vermeldt de agenda van</w:t>
      </w:r>
      <w:r>
        <w:rPr>
          <w:color w:val="231F20"/>
          <w:spacing w:val="26"/>
        </w:rPr>
        <w:t> </w:t>
      </w:r>
      <w:r>
        <w:rPr>
          <w:color w:val="231F20"/>
        </w:rPr>
        <w:t>de algemene vergadering die zich over het splitsingsvoorstel moet uitspre- ken  het  splitsingsvoorstel  en  de  verslagen  bedoeld  in  de  artike-  len 12:61 en 12:62, evenals de mogelijkheid voor de vennoten of aandeelhouders om de genoemde stukken kosteloos te verkrijgen. Deze verplichting geldt niet indien het bestuursorgaan de splitsing goed- keurt</w:t>
      </w:r>
      <w:r>
        <w:rPr>
          <w:color w:val="231F20"/>
          <w:spacing w:val="14"/>
        </w:rPr>
        <w:t> </w:t>
      </w:r>
      <w:r>
        <w:rPr>
          <w:color w:val="231F20"/>
        </w:rPr>
        <w:t>overeenkomstig</w:t>
      </w:r>
      <w:r>
        <w:rPr>
          <w:color w:val="231F20"/>
          <w:spacing w:val="15"/>
        </w:rPr>
        <w:t> </w:t>
      </w:r>
      <w:r>
        <w:rPr>
          <w:color w:val="231F20"/>
        </w:rPr>
        <w:t>artikel</w:t>
      </w:r>
      <w:r>
        <w:rPr>
          <w:color w:val="231F20"/>
          <w:spacing w:val="15"/>
        </w:rPr>
        <w:t> </w:t>
      </w:r>
      <w:r>
        <w:rPr>
          <w:color w:val="231F20"/>
        </w:rPr>
        <w:t>12:67,</w:t>
      </w:r>
      <w:r>
        <w:rPr>
          <w:color w:val="231F20"/>
          <w:spacing w:val="15"/>
        </w:rPr>
        <w:t> </w:t>
      </w:r>
      <w:r>
        <w:rPr>
          <w:color w:val="231F20"/>
        </w:rPr>
        <w:t>§</w:t>
      </w:r>
      <w:r>
        <w:rPr>
          <w:color w:val="231F20"/>
          <w:spacing w:val="14"/>
        </w:rPr>
        <w:t> </w:t>
      </w:r>
      <w:r>
        <w:rPr>
          <w:color w:val="231F20"/>
        </w:rPr>
        <w:t>7.</w:t>
      </w:r>
    </w:p>
    <w:p>
      <w:pPr>
        <w:pStyle w:val="BodyText"/>
        <w:spacing w:line="218" w:lineRule="auto" w:before="86"/>
      </w:pPr>
      <w:r>
        <w:rPr>
          <w:color w:val="231F20"/>
        </w:rPr>
        <w:t>Aan de houders van aandelen op naam wordt uiterlijk een maand vóór de algemene vergadering, of, in het geval bedoeld in artikel 12:67,</w:t>
      </w:r>
    </w:p>
    <w:p>
      <w:pPr>
        <w:pStyle w:val="BodyText"/>
        <w:spacing w:line="218" w:lineRule="auto"/>
        <w:ind w:right="0" w:firstLine="0"/>
        <w:jc w:val="left"/>
      </w:pPr>
      <w:r>
        <w:rPr>
          <w:color w:val="231F20"/>
        </w:rPr>
        <w:t>§ 7, de datum waarop de splitsing van kracht wordt, een kopie ervan meegedeeld.</w:t>
      </w:r>
    </w:p>
    <w:p>
      <w:pPr>
        <w:pStyle w:val="BodyText"/>
        <w:spacing w:line="218" w:lineRule="auto" w:before="86"/>
      </w:pPr>
      <w:r>
        <w:rPr>
          <w:color w:val="231F20"/>
        </w:rPr>
        <w:t>Er wordt ook onverwijld een kopie meegedeeld aan diegenen die de statutair voorgeschreven formaliteiten hebben vervuld om tot de in artikel 12:67, § 1, bedoelde algemene vergadering te worden toegelaten.</w:t>
      </w:r>
    </w:p>
    <w:p>
      <w:pPr>
        <w:pStyle w:val="BodyText"/>
        <w:spacing w:line="218" w:lineRule="auto" w:before="85"/>
      </w:pPr>
      <w:r>
        <w:rPr>
          <w:color w:val="231F20"/>
          <w:spacing w:val="-3"/>
        </w:rPr>
        <w:t>Wanneer </w:t>
      </w:r>
      <w:r>
        <w:rPr>
          <w:color w:val="231F20"/>
        </w:rPr>
        <w:t>het evenwel gaat om een coöperatieve vennootschap, moeten het voorstel en de verslagen bedoeld in het eerste lid, niet aan de aandeelhouders worden toegezonden overeenkomstig  het  tweede en het derde</w:t>
      </w:r>
      <w:r>
        <w:rPr>
          <w:color w:val="231F20"/>
          <w:spacing w:val="4"/>
        </w:rPr>
        <w:t> </w:t>
      </w:r>
      <w:r>
        <w:rPr>
          <w:color w:val="231F20"/>
        </w:rPr>
        <w:t>lid.</w:t>
      </w:r>
    </w:p>
    <w:p>
      <w:pPr>
        <w:pStyle w:val="BodyText"/>
        <w:spacing w:line="218" w:lineRule="auto" w:before="86"/>
      </w:pPr>
      <w:r>
        <w:rPr>
          <w:color w:val="231F20"/>
        </w:rPr>
        <w:t>In dat geval heeft iedere  aandeelhouder  overeenkomstig </w:t>
      </w:r>
      <w:r>
        <w:rPr>
          <w:color w:val="231F20"/>
          <w:spacing w:val="26"/>
        </w:rPr>
        <w:t> </w:t>
      </w:r>
      <w:r>
        <w:rPr>
          <w:color w:val="231F20"/>
        </w:rPr>
        <w:t>para- graaf 2 het recht om uiterlijk een maand vóór de datum van de algemene vergadering of, in het geval bedoeld in artikel 12:67, § 7, de datum waarop de splitsing van kracht wordt, op de zetel van de vennootschap van voornoemde stukken kennis te nemen en kan hij overeenkomstig paragraaf 3 binnen dezelfde termijn een kopie ervan verkrijgen.</w:t>
      </w:r>
    </w:p>
    <w:p>
      <w:pPr>
        <w:pStyle w:val="BodyText"/>
        <w:spacing w:line="218" w:lineRule="auto" w:before="86"/>
      </w:pPr>
      <w:r>
        <w:rPr>
          <w:color w:val="231F20"/>
        </w:rPr>
        <w:t>§ 2. Iedere vennoot of aandeelhouder heeft tevens het recht uiterlijk een maand vóór de datum van de algemene vergadering die over de splitsing moet besluiten, of, in het geval bedoeld in artikel 12:67, § 7, de datum waarop de splitsing van kracht wordt, op de zetel van de vennootschap kennis te nemen van de volgende stukken:</w:t>
      </w:r>
    </w:p>
    <w:p>
      <w:pPr>
        <w:pStyle w:val="BodyText"/>
        <w:spacing w:before="71"/>
        <w:ind w:left="283" w:right="0" w:firstLine="0"/>
        <w:jc w:val="left"/>
      </w:pPr>
      <w:r>
        <w:rPr>
          <w:color w:val="231F20"/>
        </w:rPr>
        <w:t>1° het splitsingsvoorstel;</w:t>
      </w:r>
    </w:p>
    <w:p>
      <w:pPr>
        <w:pStyle w:val="BodyText"/>
        <w:spacing w:line="218" w:lineRule="auto" w:before="82"/>
      </w:pPr>
      <w:r>
        <w:rPr>
          <w:color w:val="231F20"/>
        </w:rPr>
        <w:t>2° in voorkomend geval, de in de artikelen 12:61 en 12:62 bedoelde verslagen;</w:t>
      </w:r>
    </w:p>
    <w:p>
      <w:pPr>
        <w:pStyle w:val="BodyText"/>
        <w:spacing w:line="218" w:lineRule="auto" w:before="86"/>
      </w:pPr>
      <w:r>
        <w:rPr>
          <w:color w:val="231F20"/>
        </w:rPr>
        <w:t>3° de jaarrekeningen over de laatste drie boekjaren van elke bij de splitsing betrokken vennootschap;</w:t>
      </w:r>
    </w:p>
    <w:p>
      <w:pPr>
        <w:pStyle w:val="BodyText"/>
        <w:spacing w:line="218" w:lineRule="auto" w:before="85"/>
      </w:pPr>
      <w:r>
        <w:rPr>
          <w:color w:val="231F20"/>
        </w:rPr>
        <w:t>4° wat de besloten vennootschap betreft, de coöperatieve vennoot- schap, de naamloze vennootschap, de Europese vennootschap en de Europese coöperatieve vennootschap, de verslagen van het bestuurs- orgaan en de verslagen van de commissaris over de laatste drie boekjaren, als er één is;</w:t>
      </w:r>
    </w:p>
    <w:p>
      <w:pPr>
        <w:pStyle w:val="BodyText"/>
        <w:spacing w:line="218" w:lineRule="auto" w:before="96"/>
      </w:pPr>
      <w:r>
        <w:rPr>
          <w:color w:val="231F20"/>
        </w:rPr>
        <w:t>5° in voorkomend geval, indien de laatste jaarrekening betrekking heeft op een boekjaar dat meer dan zes maanden vóór de datum van</w:t>
      </w:r>
      <w:r>
        <w:rPr>
          <w:color w:val="231F20"/>
          <w:spacing w:val="-9"/>
        </w:rPr>
        <w:t> </w:t>
      </w:r>
      <w:r>
        <w:rPr>
          <w:color w:val="231F20"/>
        </w:rPr>
        <w:t>het splitsingsvoorstel is afgesloten: tussentijdse cijfers over de stand van het vermogen die niet meer dan drie maanden vóór de datum van dat voorstel zijn afgesloten en die overeenkomstig het tweede tot het vierde lid zijn</w:t>
      </w:r>
      <w:r>
        <w:rPr>
          <w:color w:val="231F20"/>
          <w:spacing w:val="-11"/>
        </w:rPr>
        <w:t> </w:t>
      </w:r>
      <w:r>
        <w:rPr>
          <w:color w:val="231F20"/>
        </w:rPr>
        <w:t>opgesteld.</w:t>
      </w:r>
    </w:p>
    <w:p>
      <w:pPr>
        <w:pStyle w:val="BodyText"/>
        <w:spacing w:line="218" w:lineRule="auto" w:before="97"/>
      </w:pPr>
      <w:r>
        <w:rPr>
          <w:color w:val="231F20"/>
        </w:rPr>
        <w:t>Deze tussentijdse cijfers worden opgemaakt volgens dezelfde metho- den en dezelfde opstelling als de laatste jaarrekening.</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6784" from="298.170502pt,64.473pt" to="298.170502pt,812.819pt" stroked="true" strokeweight=".533pt" strokecolor="#231f20">
            <v:stroke dashstyle="solid"/>
            <w10:wrap type="none"/>
          </v:line>
        </w:pict>
      </w:r>
      <w:bookmarkStart w:name="_bookmark240" w:id="246"/>
      <w:bookmarkEnd w:id="246"/>
      <w:r>
        <w:rPr/>
      </w:r>
      <w:r>
        <w:rPr>
          <w:color w:val="231F20"/>
        </w:rPr>
        <w:t>Il n’est toutefois pas nécessaire de procéder à un nouvel inventaire.</w:t>
      </w:r>
    </w:p>
    <w:p>
      <w:pPr>
        <w:pStyle w:val="BodyText"/>
        <w:spacing w:line="218" w:lineRule="auto" w:before="167"/>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line="218" w:lineRule="auto" w:before="167"/>
        <w:ind w:right="38"/>
      </w:pPr>
      <w:r>
        <w:rPr>
          <w:color w:val="231F20"/>
        </w:rPr>
        <w:t>L’alinéa 1</w:t>
      </w:r>
      <w:r>
        <w:rPr>
          <w:color w:val="231F20"/>
          <w:position w:val="7"/>
          <w:sz w:val="11"/>
        </w:rPr>
        <w:t>er</w:t>
      </w:r>
      <w:r>
        <w:rPr>
          <w:color w:val="231F20"/>
        </w:rPr>
        <w:t>, 5°,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4"/>
        </w:rPr>
        <w:t> </w:t>
      </w:r>
      <w:r>
        <w:rPr>
          <w:color w:val="231F20"/>
        </w:rPr>
        <w:t>au</w:t>
      </w:r>
      <w:r>
        <w:rPr>
          <w:color w:val="231F20"/>
          <w:spacing w:val="14"/>
        </w:rPr>
        <w:t> </w:t>
      </w:r>
      <w:r>
        <w:rPr>
          <w:color w:val="231F20"/>
        </w:rPr>
        <w:t>présent</w:t>
      </w:r>
      <w:r>
        <w:rPr>
          <w:color w:val="231F20"/>
          <w:spacing w:val="15"/>
        </w:rPr>
        <w:t> </w:t>
      </w:r>
      <w:r>
        <w:rPr>
          <w:color w:val="231F20"/>
        </w:rPr>
        <w:t>alinéa,</w:t>
      </w:r>
      <w:r>
        <w:rPr>
          <w:color w:val="231F20"/>
          <w:spacing w:val="14"/>
        </w:rPr>
        <w:t> </w:t>
      </w:r>
      <w:r>
        <w:rPr>
          <w:color w:val="231F20"/>
        </w:rPr>
        <w:t>à</w:t>
      </w:r>
      <w:r>
        <w:rPr>
          <w:color w:val="231F20"/>
          <w:spacing w:val="15"/>
        </w:rPr>
        <w:t> </w:t>
      </w:r>
      <w:r>
        <w:rPr>
          <w:color w:val="231F20"/>
        </w:rPr>
        <w:t>la</w:t>
      </w:r>
      <w:r>
        <w:rPr>
          <w:color w:val="231F20"/>
          <w:spacing w:val="14"/>
        </w:rPr>
        <w:t> </w:t>
      </w:r>
      <w:r>
        <w:rPr>
          <w:color w:val="231F20"/>
        </w:rPr>
        <w:t>disposition</w:t>
      </w:r>
      <w:r>
        <w:rPr>
          <w:color w:val="231F20"/>
          <w:spacing w:val="15"/>
        </w:rPr>
        <w:t> </w:t>
      </w:r>
      <w:r>
        <w:rPr>
          <w:color w:val="231F20"/>
        </w:rPr>
        <w:t>des</w:t>
      </w:r>
      <w:r>
        <w:rPr>
          <w:color w:val="231F20"/>
          <w:spacing w:val="14"/>
        </w:rPr>
        <w:t> </w:t>
      </w:r>
      <w:r>
        <w:rPr>
          <w:color w:val="231F20"/>
        </w:rPr>
        <w:t>actionnaires.</w:t>
      </w:r>
    </w:p>
    <w:p>
      <w:pPr>
        <w:pStyle w:val="BodyText"/>
        <w:ind w:left="0" w:right="0" w:firstLine="0"/>
        <w:jc w:val="left"/>
        <w:rPr>
          <w:sz w:val="20"/>
        </w:rPr>
      </w:pPr>
    </w:p>
    <w:p>
      <w:pPr>
        <w:pStyle w:val="BodyText"/>
        <w:spacing w:line="218" w:lineRule="auto" w:before="115"/>
        <w:ind w:right="38"/>
      </w:pPr>
      <w:r>
        <w:rPr>
          <w:color w:val="231F20"/>
        </w:rPr>
        <w:t>L’alinéa 1</w:t>
      </w:r>
      <w:r>
        <w:rPr>
          <w:color w:val="231F20"/>
          <w:position w:val="7"/>
          <w:sz w:val="11"/>
        </w:rPr>
        <w:t>er</w:t>
      </w:r>
      <w:r>
        <w:rPr>
          <w:color w:val="231F20"/>
        </w:rPr>
        <w:t>, 5°, n’est pas applicable si tous les associés ou</w:t>
      </w:r>
      <w:r>
        <w:rPr>
          <w:color w:val="231F20"/>
          <w:spacing w:val="-26"/>
        </w:rPr>
        <w:t> </w:t>
      </w:r>
      <w:r>
        <w:rPr>
          <w:color w:val="231F20"/>
        </w:rPr>
        <w:t>actionnaires et les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4"/>
        </w:rPr>
        <w:t> </w:t>
      </w:r>
      <w:r>
        <w:rPr>
          <w:color w:val="231F20"/>
        </w:rPr>
        <w:t>la</w:t>
      </w:r>
      <w:r>
        <w:rPr>
          <w:color w:val="231F20"/>
          <w:spacing w:val="15"/>
        </w:rPr>
        <w:t> </w:t>
      </w:r>
      <w:r>
        <w:rPr>
          <w:color w:val="231F20"/>
        </w:rPr>
        <w:t>scission</w:t>
      </w:r>
      <w:r>
        <w:rPr>
          <w:color w:val="231F20"/>
          <w:spacing w:val="14"/>
        </w:rPr>
        <w:t> </w:t>
      </w:r>
      <w:r>
        <w:rPr>
          <w:color w:val="231F20"/>
        </w:rPr>
        <w:t>en</w:t>
      </w:r>
      <w:r>
        <w:rPr>
          <w:color w:val="231F20"/>
          <w:spacing w:val="15"/>
        </w:rPr>
        <w:t> </w:t>
      </w:r>
      <w:r>
        <w:rPr>
          <w:color w:val="231F20"/>
        </w:rPr>
        <w:t>ont</w:t>
      </w:r>
      <w:r>
        <w:rPr>
          <w:color w:val="231F20"/>
          <w:spacing w:val="14"/>
        </w:rPr>
        <w:t> </w:t>
      </w:r>
      <w:r>
        <w:rPr>
          <w:color w:val="231F20"/>
        </w:rPr>
        <w:t>décidé</w:t>
      </w:r>
      <w:r>
        <w:rPr>
          <w:color w:val="231F20"/>
          <w:spacing w:val="15"/>
        </w:rPr>
        <w:t> </w:t>
      </w:r>
      <w:r>
        <w:rPr>
          <w:color w:val="231F20"/>
        </w:rPr>
        <w:t>ainsi.</w:t>
      </w:r>
    </w:p>
    <w:p>
      <w:pPr>
        <w:pStyle w:val="BodyText"/>
        <w:ind w:left="0" w:right="0" w:firstLine="0"/>
        <w:jc w:val="left"/>
        <w:rPr>
          <w:sz w:val="20"/>
        </w:rPr>
      </w:pPr>
    </w:p>
    <w:p>
      <w:pPr>
        <w:pStyle w:val="BodyText"/>
        <w:spacing w:line="213" w:lineRule="auto" w:before="133"/>
        <w:ind w:right="38"/>
      </w:pPr>
      <w:r>
        <w:rPr>
          <w:color w:val="231F20"/>
        </w:rPr>
        <w:t>§ 3. Tout associé ou actionnaire peut obtenir sans frais et sur simple demande une copie intégrale ou, s’il le désire, partielle, des documents visés au paragraphe 2, à l’exception de ceux qui lui ont été transmis en application du paragraphe 1</w:t>
      </w:r>
      <w:r>
        <w:rPr>
          <w:color w:val="231F20"/>
          <w:position w:val="7"/>
          <w:sz w:val="11"/>
        </w:rPr>
        <w:t>er</w:t>
      </w:r>
      <w:r>
        <w:rPr>
          <w:color w:val="231F20"/>
        </w:rPr>
        <w:t>.</w:t>
      </w:r>
    </w:p>
    <w:p>
      <w:pPr>
        <w:pStyle w:val="BodyText"/>
        <w:spacing w:line="218" w:lineRule="auto" w:before="179"/>
        <w:ind w:right="38"/>
      </w:pPr>
      <w:r>
        <w:rPr>
          <w:color w:val="231F20"/>
        </w:rPr>
        <w:t>§ 4. Lorsqu’une société met gratuitement à disposition sur le site internet de la société les documents, visés au paragraphe 2, pendant une période ininterrompue d’un mois commençant avant la date de l’assemblée générale appelée à se prononcer sur le projet de scission, ou, dans le cas </w:t>
      </w:r>
      <w:r>
        <w:rPr>
          <w:color w:val="231F20"/>
          <w:spacing w:val="8"/>
        </w:rPr>
        <w:t>visé </w:t>
      </w:r>
      <w:r>
        <w:rPr>
          <w:color w:val="231F20"/>
        </w:rPr>
        <w:t>à l’article 12:67, § 7, avant la date à laquelle la scission prend effet, et ne s’achevant pas avant la fin de cette</w:t>
      </w:r>
      <w:r>
        <w:rPr>
          <w:color w:val="231F20"/>
          <w:spacing w:val="-25"/>
        </w:rPr>
        <w:t> </w:t>
      </w:r>
      <w:r>
        <w:rPr>
          <w:color w:val="231F20"/>
        </w:rPr>
        <w:t>assemblée, ou, dans le cas </w:t>
      </w:r>
      <w:r>
        <w:rPr>
          <w:color w:val="231F20"/>
          <w:spacing w:val="8"/>
        </w:rPr>
        <w:t>visé </w:t>
      </w:r>
      <w:r>
        <w:rPr>
          <w:color w:val="231F20"/>
        </w:rPr>
        <w:t>à l’article 12:67, § 7, avant la date à laquelle la scission prend effet, elle ne doit pas mettre à disposition les documents, visés</w:t>
      </w:r>
      <w:r>
        <w:rPr>
          <w:color w:val="231F20"/>
          <w:spacing w:val="15"/>
        </w:rPr>
        <w:t> </w:t>
      </w:r>
      <w:r>
        <w:rPr>
          <w:color w:val="231F20"/>
        </w:rPr>
        <w:t>au</w:t>
      </w:r>
      <w:r>
        <w:rPr>
          <w:color w:val="231F20"/>
          <w:spacing w:val="15"/>
        </w:rPr>
        <w:t> </w:t>
      </w:r>
      <w:r>
        <w:rPr>
          <w:color w:val="231F20"/>
        </w:rPr>
        <w:t>paragraphe</w:t>
      </w:r>
      <w:r>
        <w:rPr>
          <w:color w:val="231F20"/>
          <w:spacing w:val="15"/>
        </w:rPr>
        <w:t> </w:t>
      </w:r>
      <w:r>
        <w:rPr>
          <w:color w:val="231F20"/>
        </w:rPr>
        <w:t>2,</w:t>
      </w:r>
      <w:r>
        <w:rPr>
          <w:color w:val="231F20"/>
          <w:spacing w:val="16"/>
        </w:rPr>
        <w:t> </w:t>
      </w:r>
      <w:r>
        <w:rPr>
          <w:color w:val="231F20"/>
        </w:rPr>
        <w:t>à</w:t>
      </w:r>
      <w:r>
        <w:rPr>
          <w:color w:val="231F20"/>
          <w:spacing w:val="15"/>
        </w:rPr>
        <w:t> </w:t>
      </w:r>
      <w:r>
        <w:rPr>
          <w:color w:val="231F20"/>
        </w:rPr>
        <w:t>son</w:t>
      </w:r>
      <w:r>
        <w:rPr>
          <w:color w:val="231F20"/>
          <w:spacing w:val="15"/>
        </w:rPr>
        <w:t> </w:t>
      </w:r>
      <w:r>
        <w:rPr>
          <w:color w:val="231F20"/>
        </w:rPr>
        <w:t>siège.</w:t>
      </w:r>
    </w:p>
    <w:p>
      <w:pPr>
        <w:pStyle w:val="BodyText"/>
        <w:ind w:left="0" w:right="0" w:firstLine="0"/>
        <w:jc w:val="left"/>
        <w:rPr>
          <w:sz w:val="16"/>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appelée à se prononcer sur le projet de scission, ou, dans le cas visé à l’article 12:67, § 7, après la date à laquelle la scission prend effet. Dans ce cas, la société met de surcroît ces documents à disposition à son siège pour consultation par les associés ou</w:t>
      </w:r>
      <w:r>
        <w:rPr>
          <w:color w:val="231F20"/>
          <w:spacing w:val="14"/>
        </w:rPr>
        <w:t> </w:t>
      </w:r>
      <w:r>
        <w:rPr>
          <w:color w:val="231F20"/>
        </w:rPr>
        <w:t>actionnaires.</w:t>
      </w:r>
    </w:p>
    <w:p>
      <w:pPr>
        <w:pStyle w:val="BodyText"/>
        <w:ind w:left="0" w:right="0" w:firstLine="0"/>
        <w:jc w:val="left"/>
        <w:rPr>
          <w:sz w:val="16"/>
        </w:rPr>
      </w:pPr>
    </w:p>
    <w:p>
      <w:pPr>
        <w:pStyle w:val="BodyText"/>
        <w:spacing w:line="218" w:lineRule="auto"/>
        <w:ind w:right="38"/>
      </w:pPr>
      <w:r>
        <w:rPr>
          <w:color w:val="231F20"/>
        </w:rPr>
        <w:t>Art. 12:65. Les articles 12:61 et 12:64, ce dernier en tant qu’il se rapporte aux rapports, ne s’appliquent pas si tous les associés ou actionnaires et les titulaires d’autres titres conférant le droit de vote de chacune</w:t>
      </w:r>
      <w:r>
        <w:rPr>
          <w:color w:val="231F20"/>
          <w:spacing w:val="14"/>
        </w:rPr>
        <w:t> </w:t>
      </w:r>
      <w:r>
        <w:rPr>
          <w:color w:val="231F20"/>
        </w:rPr>
        <w:t>des</w:t>
      </w:r>
      <w:r>
        <w:rPr>
          <w:color w:val="231F20"/>
          <w:spacing w:val="14"/>
        </w:rPr>
        <w:t> </w:t>
      </w:r>
      <w:r>
        <w:rPr>
          <w:color w:val="231F20"/>
        </w:rPr>
        <w:t>sociétés</w:t>
      </w:r>
      <w:r>
        <w:rPr>
          <w:color w:val="231F20"/>
          <w:spacing w:val="15"/>
        </w:rPr>
        <w:t> </w:t>
      </w:r>
      <w:r>
        <w:rPr>
          <w:color w:val="231F20"/>
        </w:rPr>
        <w:t>participant</w:t>
      </w:r>
      <w:r>
        <w:rPr>
          <w:color w:val="231F20"/>
          <w:spacing w:val="14"/>
        </w:rPr>
        <w:t> </w:t>
      </w:r>
      <w:r>
        <w:rPr>
          <w:color w:val="231F20"/>
        </w:rPr>
        <w:t>à</w:t>
      </w:r>
      <w:r>
        <w:rPr>
          <w:color w:val="231F20"/>
          <w:spacing w:val="15"/>
        </w:rPr>
        <w:t> </w:t>
      </w:r>
      <w:r>
        <w:rPr>
          <w:color w:val="231F20"/>
        </w:rPr>
        <w:t>la</w:t>
      </w:r>
      <w:r>
        <w:rPr>
          <w:color w:val="231F20"/>
          <w:spacing w:val="14"/>
        </w:rPr>
        <w:t> </w:t>
      </w:r>
      <w:r>
        <w:rPr>
          <w:color w:val="231F20"/>
        </w:rPr>
        <w:t>scission</w:t>
      </w:r>
      <w:r>
        <w:rPr>
          <w:color w:val="231F20"/>
          <w:spacing w:val="14"/>
        </w:rPr>
        <w:t> </w:t>
      </w:r>
      <w:r>
        <w:rPr>
          <w:color w:val="231F20"/>
        </w:rPr>
        <w:t>en</w:t>
      </w:r>
      <w:r>
        <w:rPr>
          <w:color w:val="231F20"/>
          <w:spacing w:val="15"/>
        </w:rPr>
        <w:t> </w:t>
      </w:r>
      <w:r>
        <w:rPr>
          <w:color w:val="231F20"/>
        </w:rPr>
        <w:t>ont</w:t>
      </w:r>
      <w:r>
        <w:rPr>
          <w:color w:val="231F20"/>
          <w:spacing w:val="14"/>
        </w:rPr>
        <w:t> </w:t>
      </w:r>
      <w:r>
        <w:rPr>
          <w:color w:val="231F20"/>
        </w:rPr>
        <w:t>décidé</w:t>
      </w:r>
      <w:r>
        <w:rPr>
          <w:color w:val="231F20"/>
          <w:spacing w:val="15"/>
        </w:rPr>
        <w:t> </w:t>
      </w:r>
      <w:r>
        <w:rPr>
          <w:color w:val="231F20"/>
        </w:rPr>
        <w:t>ainsi.</w:t>
      </w:r>
    </w:p>
    <w:p>
      <w:pPr>
        <w:pStyle w:val="BodyText"/>
        <w:ind w:left="0" w:right="0" w:firstLine="0"/>
        <w:jc w:val="left"/>
        <w:rPr>
          <w:sz w:val="20"/>
        </w:rPr>
      </w:pPr>
    </w:p>
    <w:p>
      <w:pPr>
        <w:pStyle w:val="BodyText"/>
        <w:spacing w:line="218" w:lineRule="auto" w:before="130"/>
        <w:ind w:right="38"/>
      </w:pPr>
      <w:r>
        <w:rPr>
          <w:color w:val="231F20"/>
        </w:rPr>
        <w:t>Cette renonciation est établie par un vote exprès à l’assemblée générale</w:t>
      </w:r>
      <w:r>
        <w:rPr>
          <w:color w:val="231F20"/>
          <w:spacing w:val="15"/>
        </w:rPr>
        <w:t> </w:t>
      </w:r>
      <w:r>
        <w:rPr>
          <w:color w:val="231F20"/>
        </w:rPr>
        <w:t>appelée</w:t>
      </w:r>
      <w:r>
        <w:rPr>
          <w:color w:val="231F20"/>
          <w:spacing w:val="15"/>
        </w:rPr>
        <w:t> </w:t>
      </w:r>
      <w:r>
        <w:rPr>
          <w:color w:val="231F20"/>
        </w:rPr>
        <w:t>à</w:t>
      </w:r>
      <w:r>
        <w:rPr>
          <w:color w:val="231F20"/>
          <w:spacing w:val="15"/>
        </w:rPr>
        <w:t> </w:t>
      </w:r>
      <w:r>
        <w:rPr>
          <w:color w:val="231F20"/>
        </w:rPr>
        <w:t>se</w:t>
      </w:r>
      <w:r>
        <w:rPr>
          <w:color w:val="231F20"/>
          <w:spacing w:val="14"/>
        </w:rPr>
        <w:t> </w:t>
      </w:r>
      <w:r>
        <w:rPr>
          <w:color w:val="231F20"/>
        </w:rPr>
        <w:t>prononcer</w:t>
      </w:r>
      <w:r>
        <w:rPr>
          <w:color w:val="231F20"/>
          <w:spacing w:val="15"/>
        </w:rPr>
        <w:t> </w:t>
      </w:r>
      <w:r>
        <w:rPr>
          <w:color w:val="231F20"/>
        </w:rPr>
        <w:t>sur</w:t>
      </w:r>
      <w:r>
        <w:rPr>
          <w:color w:val="231F20"/>
          <w:spacing w:val="15"/>
        </w:rPr>
        <w:t> </w:t>
      </w:r>
      <w:r>
        <w:rPr>
          <w:color w:val="231F20"/>
        </w:rPr>
        <w:t>la</w:t>
      </w:r>
      <w:r>
        <w:rPr>
          <w:color w:val="231F20"/>
          <w:spacing w:val="15"/>
        </w:rPr>
        <w:t> </w:t>
      </w:r>
      <w:r>
        <w:rPr>
          <w:color w:val="231F20"/>
        </w:rPr>
        <w:t>participation</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scission.</w:t>
      </w:r>
    </w:p>
    <w:p>
      <w:pPr>
        <w:pStyle w:val="BodyText"/>
        <w:ind w:left="0" w:right="0" w:firstLine="0"/>
        <w:jc w:val="left"/>
        <w:rPr>
          <w:sz w:val="20"/>
        </w:rPr>
      </w:pPr>
    </w:p>
    <w:p>
      <w:pPr>
        <w:pStyle w:val="BodyText"/>
        <w:spacing w:line="211" w:lineRule="auto" w:before="135"/>
        <w:ind w:right="38"/>
      </w:pPr>
      <w:r>
        <w:rPr>
          <w:color w:val="231F20"/>
          <w:spacing w:val="-3"/>
        </w:rPr>
        <w:t>L’ordre </w:t>
      </w:r>
      <w:r>
        <w:rPr>
          <w:color w:val="231F20"/>
        </w:rPr>
        <w:t>du jour de cette assemblée générale mentionne l’intention de la société de faire usage de cette disposition et reproduit les alinéas 1</w:t>
      </w:r>
      <w:r>
        <w:rPr>
          <w:color w:val="231F20"/>
          <w:position w:val="7"/>
          <w:sz w:val="11"/>
        </w:rPr>
        <w:t>er </w:t>
      </w:r>
      <w:r>
        <w:rPr>
          <w:color w:val="231F20"/>
          <w:spacing w:val="7"/>
        </w:rPr>
        <w:t>et </w:t>
      </w:r>
      <w:r>
        <w:rPr>
          <w:color w:val="231F20"/>
        </w:rPr>
        <w:t>2 du présent</w:t>
      </w:r>
      <w:r>
        <w:rPr>
          <w:color w:val="231F20"/>
          <w:spacing w:val="37"/>
        </w:rPr>
        <w:t> </w:t>
      </w:r>
      <w:r>
        <w:rPr>
          <w:color w:val="231F20"/>
        </w:rPr>
        <w:t>article.</w:t>
      </w:r>
    </w:p>
    <w:p>
      <w:pPr>
        <w:pStyle w:val="BodyText"/>
        <w:spacing w:line="218" w:lineRule="auto" w:before="179"/>
        <w:ind w:right="38"/>
      </w:pPr>
      <w:r>
        <w:rPr>
          <w:color w:val="231F20"/>
        </w:rPr>
        <w:t>Un tel vote n’est pas requis en ce qui concerne la société scindée dans le cas visé à l’article 12:67, § 7.</w:t>
      </w:r>
    </w:p>
    <w:p>
      <w:pPr>
        <w:pStyle w:val="BodyText"/>
        <w:spacing w:line="218" w:lineRule="auto" w:before="167"/>
        <w:ind w:right="38"/>
      </w:pPr>
      <w:r>
        <w:rPr>
          <w:color w:val="231F20"/>
        </w:rPr>
        <w:t>Art. 12:66. § 1</w:t>
      </w:r>
      <w:r>
        <w:rPr>
          <w:color w:val="231F20"/>
          <w:position w:val="7"/>
          <w:sz w:val="11"/>
        </w:rPr>
        <w:t>er</w:t>
      </w:r>
      <w:r>
        <w:rPr>
          <w:color w:val="231F20"/>
        </w:rPr>
        <w:t>. Une société ne peut participer à une opération de scission en tant que société bénéficiaire que si les associés ou actionnaires de la société à scinder remplissent les conditions requises pour acquérir la qualité d’associé ou actionnaire de cette société bénéficiaire.</w:t>
      </w:r>
    </w:p>
    <w:p>
      <w:pPr>
        <w:pStyle w:val="BodyText"/>
        <w:spacing w:before="11"/>
        <w:ind w:left="0" w:right="0" w:firstLine="0"/>
        <w:jc w:val="left"/>
        <w:rPr>
          <w:sz w:val="15"/>
        </w:rPr>
      </w:pPr>
    </w:p>
    <w:p>
      <w:pPr>
        <w:pStyle w:val="BodyText"/>
        <w:spacing w:line="218" w:lineRule="auto"/>
        <w:ind w:right="38"/>
      </w:pPr>
      <w:r>
        <w:rPr>
          <w:color w:val="231F20"/>
        </w:rPr>
        <w:t>§ 2.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 de la scission de la société au profit de sociétés bénéficiaires dont l’une au moins a une autre forme légale.</w:t>
      </w:r>
    </w:p>
    <w:p>
      <w:pPr>
        <w:pStyle w:val="BodyText"/>
        <w:ind w:left="0" w:right="0" w:firstLine="0"/>
        <w:jc w:val="left"/>
        <w:rPr>
          <w:sz w:val="20"/>
        </w:rPr>
      </w:pPr>
    </w:p>
    <w:p>
      <w:pPr>
        <w:pStyle w:val="BodyText"/>
        <w:spacing w:line="218" w:lineRule="auto" w:before="130"/>
        <w:ind w:right="38"/>
      </w:pPr>
      <w:r>
        <w:rPr>
          <w:color w:val="231F20"/>
        </w:rPr>
        <w:t>Il notifie sa démission à la société, conformément à l’article 2:32,</w:t>
      </w:r>
      <w:r>
        <w:rPr>
          <w:color w:val="231F20"/>
          <w:spacing w:val="-21"/>
        </w:rPr>
        <w:t> </w:t>
      </w:r>
      <w:r>
        <w:rPr>
          <w:color w:val="231F20"/>
        </w:rPr>
        <w:t>cinq jours au moins avant la date de l’assemblée générale. Elle n’aura d’effet que</w:t>
      </w:r>
      <w:r>
        <w:rPr>
          <w:color w:val="231F20"/>
          <w:spacing w:val="15"/>
        </w:rPr>
        <w:t> </w:t>
      </w:r>
      <w:r>
        <w:rPr>
          <w:color w:val="231F20"/>
        </w:rPr>
        <w:t>si</w:t>
      </w:r>
      <w:r>
        <w:rPr>
          <w:color w:val="231F20"/>
          <w:spacing w:val="15"/>
        </w:rPr>
        <w:t> </w:t>
      </w:r>
      <w:r>
        <w:rPr>
          <w:color w:val="231F20"/>
        </w:rPr>
        <w:t>la</w:t>
      </w:r>
      <w:r>
        <w:rPr>
          <w:color w:val="231F20"/>
          <w:spacing w:val="15"/>
        </w:rPr>
        <w:t> </w:t>
      </w:r>
      <w:r>
        <w:rPr>
          <w:color w:val="231F20"/>
        </w:rPr>
        <w:t>scission</w:t>
      </w:r>
      <w:r>
        <w:rPr>
          <w:color w:val="231F20"/>
          <w:spacing w:val="15"/>
        </w:rPr>
        <w:t> </w:t>
      </w:r>
      <w:r>
        <w:rPr>
          <w:color w:val="231F20"/>
        </w:rPr>
        <w:t>est</w:t>
      </w:r>
      <w:r>
        <w:rPr>
          <w:color w:val="231F20"/>
          <w:spacing w:val="15"/>
        </w:rPr>
        <w:t> </w:t>
      </w:r>
      <w:r>
        <w:rPr>
          <w:color w:val="231F20"/>
        </w:rPr>
        <w:t>décidée.</w:t>
      </w:r>
    </w:p>
    <w:p>
      <w:pPr>
        <w:pStyle w:val="BodyText"/>
        <w:ind w:left="0" w:right="0" w:firstLine="0"/>
        <w:jc w:val="left"/>
        <w:rPr>
          <w:sz w:val="20"/>
        </w:rPr>
      </w:pPr>
    </w:p>
    <w:p>
      <w:pPr>
        <w:pStyle w:val="BodyText"/>
        <w:spacing w:line="218" w:lineRule="auto" w:before="115"/>
        <w:ind w:right="38"/>
      </w:pPr>
      <w:r>
        <w:rPr>
          <w:color w:val="231F20"/>
        </w:rPr>
        <w:t>La convocation à l’assemblée reproduit le texte des alinéas 1</w:t>
      </w:r>
      <w:r>
        <w:rPr>
          <w:color w:val="231F20"/>
          <w:position w:val="7"/>
          <w:sz w:val="11"/>
        </w:rPr>
        <w:t>er </w:t>
      </w:r>
      <w:r>
        <w:rPr>
          <w:color w:val="231F20"/>
        </w:rPr>
        <w:t>et 2 du présent paragraphe.</w:t>
      </w:r>
    </w:p>
    <w:p>
      <w:pPr>
        <w:pStyle w:val="BodyText"/>
        <w:spacing w:before="105"/>
        <w:ind w:left="283" w:right="0" w:firstLine="0"/>
        <w:jc w:val="left"/>
      </w:pPr>
      <w:r>
        <w:rPr/>
        <w:br w:type="column"/>
      </w:r>
      <w:r>
        <w:rPr>
          <w:color w:val="231F20"/>
        </w:rPr>
        <w:t>Een nieuwe inventaris moet echter niet worden opgemaakt.</w:t>
      </w:r>
    </w:p>
    <w:p>
      <w:pPr>
        <w:pStyle w:val="BodyText"/>
        <w:spacing w:line="218" w:lineRule="auto" w:before="168"/>
      </w:pPr>
      <w:r>
        <w:rPr>
          <w:color w:val="231F20"/>
        </w:rPr>
        <w:t>De wijzigingen van de in de laatste balans voorkomende waarderin- gen kunnen worden beperkt tot de wijzigingen die voortvloeien uit de verrichte boekingen. Er moet echter rekening worden gehouden met tussentijdse afschrijvingen en voorzieningen, evenals met belangrijke wijzigingen van de waarden die niet uit de boeken blijken.</w:t>
      </w:r>
    </w:p>
    <w:p>
      <w:pPr>
        <w:pStyle w:val="BodyText"/>
        <w:spacing w:before="11"/>
        <w:ind w:left="0" w:right="0" w:firstLine="0"/>
        <w:jc w:val="left"/>
        <w:rPr>
          <w:sz w:val="15"/>
        </w:rPr>
      </w:pPr>
    </w:p>
    <w:p>
      <w:pPr>
        <w:pStyle w:val="BodyText"/>
        <w:spacing w:line="218" w:lineRule="auto"/>
      </w:pPr>
      <w:r>
        <w:rPr>
          <w:color w:val="231F20"/>
        </w:rPr>
        <w:t>Het eerste lid, 5°,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dit lid aan de aandeelhouders beschikbaar stelt.</w:t>
      </w:r>
    </w:p>
    <w:p>
      <w:pPr>
        <w:pStyle w:val="BodyText"/>
        <w:ind w:left="0" w:right="0" w:firstLine="0"/>
        <w:jc w:val="left"/>
        <w:rPr>
          <w:sz w:val="16"/>
        </w:rPr>
      </w:pPr>
    </w:p>
    <w:p>
      <w:pPr>
        <w:pStyle w:val="BodyText"/>
        <w:spacing w:line="218" w:lineRule="auto"/>
      </w:pPr>
      <w:r>
        <w:rPr>
          <w:color w:val="231F20"/>
        </w:rPr>
        <w:t>Het eerste lid, 5°, is niet van toepassing indien alle vennoten of aandeelhouders en houders van andere stemrechtverlenende effecten in elke bij de splitsing betrokken vennootschap hiermee hebben ingestemd.</w:t>
      </w:r>
    </w:p>
    <w:p>
      <w:pPr>
        <w:pStyle w:val="BodyText"/>
        <w:spacing w:before="11"/>
        <w:ind w:left="0" w:right="0" w:firstLine="0"/>
        <w:jc w:val="left"/>
        <w:rPr>
          <w:sz w:val="15"/>
        </w:rPr>
      </w:pPr>
    </w:p>
    <w:p>
      <w:pPr>
        <w:pStyle w:val="BodyText"/>
        <w:spacing w:line="218" w:lineRule="auto"/>
      </w:pP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ind w:left="0" w:right="0" w:firstLine="0"/>
        <w:jc w:val="left"/>
        <w:rPr>
          <w:sz w:val="16"/>
        </w:rPr>
      </w:pPr>
    </w:p>
    <w:p>
      <w:pPr>
        <w:pStyle w:val="BodyText"/>
        <w:spacing w:line="218" w:lineRule="auto"/>
      </w:pPr>
      <w:r>
        <w:rPr>
          <w:color w:val="231F20"/>
        </w:rPr>
        <w:t>§ 4. </w:t>
      </w:r>
      <w:r>
        <w:rPr>
          <w:color w:val="231F20"/>
          <w:spacing w:val="-3"/>
        </w:rPr>
        <w:t>Wanneer </w:t>
      </w:r>
      <w:r>
        <w:rPr>
          <w:color w:val="231F20"/>
        </w:rPr>
        <w:t>een vennootschap de in paragraaf 2 bedoelde stukken, gedurende een ononderbroken periode van een maand vóór de datum van de algemene vergadering die over het splitsingsvoorstel moet besluiten of, in het geval bedoeld in artikel 12:67, § 7, de datum waarop de splitsing van kracht wordt, en die niet eerder eindigt dan op het ogenblik van de sluiting van die vergadering, of, in het geval bedoeld   in artikel 12:67, § 7, de datum waarop de splitsing van kracht wordt, kosteloos op de vennootschapswebsite beschikbaar stelt, moet zij de in paragraaf</w:t>
      </w:r>
      <w:r>
        <w:rPr>
          <w:color w:val="231F20"/>
          <w:spacing w:val="16"/>
        </w:rPr>
        <w:t> </w:t>
      </w:r>
      <w:r>
        <w:rPr>
          <w:color w:val="231F20"/>
        </w:rPr>
        <w:t>2</w:t>
      </w:r>
      <w:r>
        <w:rPr>
          <w:color w:val="231F20"/>
          <w:spacing w:val="16"/>
        </w:rPr>
        <w:t> </w:t>
      </w:r>
      <w:r>
        <w:rPr>
          <w:color w:val="231F20"/>
        </w:rPr>
        <w:t>bedoelde</w:t>
      </w:r>
      <w:r>
        <w:rPr>
          <w:color w:val="231F20"/>
          <w:spacing w:val="16"/>
        </w:rPr>
        <w:t> </w:t>
      </w:r>
      <w:r>
        <w:rPr>
          <w:color w:val="231F20"/>
        </w:rPr>
        <w:t>stukken</w:t>
      </w:r>
      <w:r>
        <w:rPr>
          <w:color w:val="231F20"/>
          <w:spacing w:val="16"/>
        </w:rPr>
        <w:t> </w:t>
      </w:r>
      <w:r>
        <w:rPr>
          <w:color w:val="231F20"/>
        </w:rPr>
        <w:t>niet</w:t>
      </w:r>
      <w:r>
        <w:rPr>
          <w:color w:val="231F20"/>
          <w:spacing w:val="16"/>
        </w:rPr>
        <w:t> </w:t>
      </w:r>
      <w:r>
        <w:rPr>
          <w:color w:val="231F20"/>
        </w:rPr>
        <w:t>op</w:t>
      </w:r>
      <w:r>
        <w:rPr>
          <w:color w:val="231F20"/>
          <w:spacing w:val="16"/>
        </w:rPr>
        <w:t> </w:t>
      </w:r>
      <w:r>
        <w:rPr>
          <w:color w:val="231F20"/>
        </w:rPr>
        <w:t>haar</w:t>
      </w:r>
      <w:r>
        <w:rPr>
          <w:color w:val="231F20"/>
          <w:spacing w:val="16"/>
        </w:rPr>
        <w:t> </w:t>
      </w:r>
      <w:r>
        <w:rPr>
          <w:color w:val="231F20"/>
        </w:rPr>
        <w:t>zetel</w:t>
      </w:r>
      <w:r>
        <w:rPr>
          <w:color w:val="231F20"/>
          <w:spacing w:val="16"/>
        </w:rPr>
        <w:t> </w:t>
      </w:r>
      <w:r>
        <w:rPr>
          <w:color w:val="231F20"/>
        </w:rPr>
        <w:t>beschikbaar</w:t>
      </w:r>
      <w:r>
        <w:rPr>
          <w:color w:val="231F20"/>
          <w:spacing w:val="17"/>
        </w:rPr>
        <w:t> </w:t>
      </w:r>
      <w:r>
        <w:rPr>
          <w:color w:val="231F20"/>
        </w:rPr>
        <w:t>stellen.</w:t>
      </w:r>
    </w:p>
    <w:p>
      <w:pPr>
        <w:pStyle w:val="BodyText"/>
        <w:ind w:left="0" w:right="0" w:firstLine="0"/>
        <w:jc w:val="left"/>
        <w:rPr>
          <w:sz w:val="16"/>
        </w:rPr>
      </w:pPr>
    </w:p>
    <w:p>
      <w:pPr>
        <w:pStyle w:val="BodyText"/>
        <w:spacing w:line="218" w:lineRule="auto"/>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die over het splitsingsvoorstel moet besluiten of, in het geval bedoeld in artikel 12:67, § 7, de datum waarop de splitsing van kracht wordt, op de vennootschapswebsite blijven staan en kunnen worden gedownload en afgedrukt. Bovendien stelt de vennootschap in dit geval eveneens deze stukken ter beschikking op haar zetel voor raadpleging</w:t>
      </w:r>
      <w:r>
        <w:rPr>
          <w:color w:val="231F20"/>
          <w:spacing w:val="16"/>
        </w:rPr>
        <w:t> </w:t>
      </w:r>
      <w:r>
        <w:rPr>
          <w:color w:val="231F20"/>
        </w:rPr>
        <w:t>door</w:t>
      </w:r>
      <w:r>
        <w:rPr>
          <w:color w:val="231F20"/>
          <w:spacing w:val="17"/>
        </w:rPr>
        <w:t> </w:t>
      </w:r>
      <w:r>
        <w:rPr>
          <w:color w:val="231F20"/>
        </w:rPr>
        <w:t>de</w:t>
      </w:r>
      <w:r>
        <w:rPr>
          <w:color w:val="231F20"/>
          <w:spacing w:val="17"/>
        </w:rPr>
        <w:t> </w:t>
      </w:r>
      <w:r>
        <w:rPr>
          <w:color w:val="231F20"/>
        </w:rPr>
        <w:t>vennoten</w:t>
      </w:r>
      <w:r>
        <w:rPr>
          <w:color w:val="231F20"/>
          <w:spacing w:val="17"/>
        </w:rPr>
        <w:t> </w:t>
      </w:r>
      <w:r>
        <w:rPr>
          <w:color w:val="231F20"/>
        </w:rPr>
        <w:t>of</w:t>
      </w:r>
      <w:r>
        <w:rPr>
          <w:color w:val="231F20"/>
          <w:spacing w:val="16"/>
        </w:rPr>
        <w:t> </w:t>
      </w:r>
      <w:r>
        <w:rPr>
          <w:color w:val="231F20"/>
        </w:rPr>
        <w:t>aandeelhouders.</w:t>
      </w:r>
    </w:p>
    <w:p>
      <w:pPr>
        <w:pStyle w:val="BodyText"/>
        <w:ind w:left="0" w:right="0" w:firstLine="0"/>
        <w:jc w:val="left"/>
        <w:rPr>
          <w:sz w:val="16"/>
        </w:rPr>
      </w:pPr>
    </w:p>
    <w:p>
      <w:pPr>
        <w:pStyle w:val="BodyText"/>
        <w:spacing w:line="218" w:lineRule="auto"/>
      </w:pPr>
      <w:r>
        <w:rPr>
          <w:color w:val="231F20"/>
        </w:rPr>
        <w:t>Art. 12:65. Indien alle vennoten of aandeelhouders en alle houders van andere stemrechtverlenende effecten in elke bij de splitsing betrokken vennootschap hiermee hebben ingestemd, zijn  de  artike- len 12:61 en 12:64, in zover dit laatste naar de verslagen verwijst, niet van</w:t>
      </w:r>
      <w:r>
        <w:rPr>
          <w:color w:val="231F20"/>
          <w:spacing w:val="15"/>
        </w:rPr>
        <w:t> </w:t>
      </w:r>
      <w:r>
        <w:rPr>
          <w:color w:val="231F20"/>
        </w:rPr>
        <w:t>toepassing.</w:t>
      </w:r>
    </w:p>
    <w:p>
      <w:pPr>
        <w:pStyle w:val="BodyText"/>
        <w:ind w:left="0" w:right="0" w:firstLine="0"/>
        <w:jc w:val="left"/>
        <w:rPr>
          <w:sz w:val="16"/>
        </w:rPr>
      </w:pPr>
    </w:p>
    <w:p>
      <w:pPr>
        <w:pStyle w:val="BodyText"/>
        <w:spacing w:line="218" w:lineRule="auto"/>
      </w:pPr>
      <w:r>
        <w:rPr>
          <w:color w:val="231F20"/>
        </w:rPr>
        <w:t>De afstand van dat recht wordt vastgesteld bij een uitdrukkelijke stemming in de algemene vergadering die over de deelneming aan de splitsing moet besluiten.</w:t>
      </w:r>
    </w:p>
    <w:p>
      <w:pPr>
        <w:pStyle w:val="BodyText"/>
        <w:ind w:left="0" w:right="0" w:firstLine="0"/>
        <w:jc w:val="left"/>
        <w:rPr>
          <w:sz w:val="16"/>
        </w:rPr>
      </w:pPr>
    </w:p>
    <w:p>
      <w:pPr>
        <w:pStyle w:val="BodyText"/>
        <w:spacing w:line="218" w:lineRule="auto"/>
      </w:pPr>
      <w:r>
        <w:rPr>
          <w:color w:val="231F20"/>
        </w:rPr>
        <w:t>In de agenda van die algemene vergadering wordt vermeld dat de vennootschap voornemens is deze bepaling toe te passen en worden  het</w:t>
      </w:r>
      <w:r>
        <w:rPr>
          <w:color w:val="231F20"/>
          <w:spacing w:val="16"/>
        </w:rPr>
        <w:t> </w:t>
      </w:r>
      <w:r>
        <w:rPr>
          <w:color w:val="231F20"/>
        </w:rPr>
        <w:t>eerste</w:t>
      </w:r>
      <w:r>
        <w:rPr>
          <w:color w:val="231F20"/>
          <w:spacing w:val="16"/>
        </w:rPr>
        <w:t> </w:t>
      </w:r>
      <w:r>
        <w:rPr>
          <w:color w:val="231F20"/>
        </w:rPr>
        <w:t>en</w:t>
      </w:r>
      <w:r>
        <w:rPr>
          <w:color w:val="231F20"/>
          <w:spacing w:val="16"/>
        </w:rPr>
        <w:t> </w:t>
      </w:r>
      <w:r>
        <w:rPr>
          <w:color w:val="231F20"/>
        </w:rPr>
        <w:t>het</w:t>
      </w:r>
      <w:r>
        <w:rPr>
          <w:color w:val="231F20"/>
          <w:spacing w:val="16"/>
        </w:rPr>
        <w:t> </w:t>
      </w:r>
      <w:r>
        <w:rPr>
          <w:color w:val="231F20"/>
        </w:rPr>
        <w:t>tweede</w:t>
      </w:r>
      <w:r>
        <w:rPr>
          <w:color w:val="231F20"/>
          <w:spacing w:val="16"/>
        </w:rPr>
        <w:t> </w:t>
      </w:r>
      <w:r>
        <w:rPr>
          <w:color w:val="231F20"/>
        </w:rPr>
        <w:t>lid</w:t>
      </w:r>
      <w:r>
        <w:rPr>
          <w:color w:val="231F20"/>
          <w:spacing w:val="16"/>
        </w:rPr>
        <w:t> </w:t>
      </w:r>
      <w:r>
        <w:rPr>
          <w:color w:val="231F20"/>
        </w:rPr>
        <w:t>van</w:t>
      </w:r>
      <w:r>
        <w:rPr>
          <w:color w:val="231F20"/>
          <w:spacing w:val="16"/>
        </w:rPr>
        <w:t> </w:t>
      </w:r>
      <w:r>
        <w:rPr>
          <w:color w:val="231F20"/>
        </w:rPr>
        <w:t>dit</w:t>
      </w:r>
      <w:r>
        <w:rPr>
          <w:color w:val="231F20"/>
          <w:spacing w:val="17"/>
        </w:rPr>
        <w:t> </w:t>
      </w:r>
      <w:r>
        <w:rPr>
          <w:color w:val="231F20"/>
        </w:rPr>
        <w:t>artikel</w:t>
      </w:r>
      <w:r>
        <w:rPr>
          <w:color w:val="231F20"/>
          <w:spacing w:val="16"/>
        </w:rPr>
        <w:t> </w:t>
      </w:r>
      <w:r>
        <w:rPr>
          <w:color w:val="231F20"/>
        </w:rPr>
        <w:t>opgenomen.</w:t>
      </w:r>
    </w:p>
    <w:p>
      <w:pPr>
        <w:pStyle w:val="BodyText"/>
        <w:spacing w:before="11"/>
        <w:ind w:left="0" w:right="0" w:firstLine="0"/>
        <w:jc w:val="left"/>
        <w:rPr>
          <w:sz w:val="15"/>
        </w:rPr>
      </w:pPr>
    </w:p>
    <w:p>
      <w:pPr>
        <w:pStyle w:val="BodyText"/>
        <w:spacing w:line="218" w:lineRule="auto"/>
      </w:pPr>
      <w:r>
        <w:rPr>
          <w:color w:val="231F20"/>
        </w:rPr>
        <w:t>Dergelijke stemming is niet vereist wat betreft de gesplitste vennoot- schap in het geval bedoeld in artikel 12:67, § 7.</w:t>
      </w:r>
    </w:p>
    <w:p>
      <w:pPr>
        <w:pStyle w:val="BodyText"/>
        <w:spacing w:before="11"/>
        <w:ind w:left="0" w:right="0" w:firstLine="0"/>
        <w:jc w:val="left"/>
        <w:rPr>
          <w:sz w:val="15"/>
        </w:rPr>
      </w:pPr>
    </w:p>
    <w:p>
      <w:pPr>
        <w:pStyle w:val="BodyText"/>
        <w:spacing w:line="218" w:lineRule="auto"/>
      </w:pPr>
      <w:r>
        <w:rPr>
          <w:color w:val="231F20"/>
        </w:rPr>
        <w:t>Art. 12:66. § 1. Een vennootschap kan alleen dan als verkrijgende vennootschap aan de splitsing deelnemen, wanneer de vennoten of aandeelhouders van de te splitsen vennootschap voldoen aan de vereisten voor de verkrijging van de hoedanigheid van vennoot of aandeelhouder in de verkrijgende vennootschap.</w:t>
      </w:r>
    </w:p>
    <w:p>
      <w:pPr>
        <w:pStyle w:val="BodyText"/>
        <w:spacing w:before="11"/>
        <w:ind w:left="0" w:right="0" w:firstLine="0"/>
        <w:jc w:val="left"/>
        <w:rPr>
          <w:sz w:val="15"/>
        </w:rPr>
      </w:pPr>
    </w:p>
    <w:p>
      <w:pPr>
        <w:pStyle w:val="BodyText"/>
        <w:spacing w:line="218" w:lineRule="auto"/>
      </w:pPr>
      <w:r>
        <w:rPr>
          <w:color w:val="231F20"/>
        </w:rPr>
        <w:t>§ 2. In een coöperatieve vennootschap kan, niettegenstaande anders- luidende bepaling, iedere aandeelhouder te allen tijde in de loop van het boekjaar uittreden vanaf de bijeenroeping van een algemene vergadering die moet besluiten over de splitsing van de vennootschap ten behoeve van verkrijgende vennootschappen waarvan ten minste één een andere rechtsvorm heeft, zonder dat hij aan enige andere voorwaarde moet</w:t>
      </w:r>
      <w:r>
        <w:rPr>
          <w:color w:val="231F20"/>
          <w:spacing w:val="-10"/>
        </w:rPr>
        <w:t> </w:t>
      </w:r>
      <w:r>
        <w:rPr>
          <w:color w:val="231F20"/>
        </w:rPr>
        <w:t>voldoen.</w:t>
      </w:r>
    </w:p>
    <w:p>
      <w:pPr>
        <w:pStyle w:val="BodyText"/>
        <w:ind w:left="0" w:right="0" w:firstLine="0"/>
        <w:jc w:val="left"/>
        <w:rPr>
          <w:sz w:val="16"/>
        </w:rPr>
      </w:pPr>
    </w:p>
    <w:p>
      <w:pPr>
        <w:pStyle w:val="BodyText"/>
        <w:spacing w:line="218" w:lineRule="auto"/>
      </w:pPr>
      <w:r>
        <w:rPr>
          <w:color w:val="231F20"/>
        </w:rPr>
        <w:t>Hij geeft van zijn uittreding aan de vennootschap kennis overeen- komstig artikel 2:32 uiterlijk vijf dagen vóór de datum van de algemene vergadering. Zij heeft enkel gevolg als het voorstel tot splitsing wordt aangenomen.</w:t>
      </w:r>
    </w:p>
    <w:p>
      <w:pPr>
        <w:pStyle w:val="BodyText"/>
        <w:ind w:left="0" w:right="0" w:firstLine="0"/>
        <w:jc w:val="left"/>
        <w:rPr>
          <w:sz w:val="16"/>
        </w:rPr>
      </w:pPr>
    </w:p>
    <w:p>
      <w:pPr>
        <w:pStyle w:val="BodyText"/>
        <w:spacing w:line="218" w:lineRule="auto"/>
      </w:pPr>
      <w:r>
        <w:rPr>
          <w:color w:val="231F20"/>
        </w:rPr>
        <w:t>In de oproepingsbrief wordt de tekst van deze paragraaf, eerste en tweede lid, opgenomen.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61"/>
      </w:pPr>
      <w:r>
        <w:rPr/>
        <w:pict>
          <v:line style="position:absolute;mso-position-horizontal-relative:page;mso-position-vertical-relative:page;z-index:6808" from="298.170502pt,64.473pt" to="298.170502pt,812.819pt" stroked="true" strokeweight=".533pt" strokecolor="#231f20">
            <v:stroke dashstyle="solid"/>
            <w10:wrap type="none"/>
          </v:line>
        </w:pict>
      </w:r>
      <w:bookmarkStart w:name="_bookmark241" w:id="247"/>
      <w:bookmarkEnd w:id="247"/>
      <w:r>
        <w:rPr/>
      </w:r>
      <w:r>
        <w:rPr>
          <w:color w:val="231F20"/>
        </w:rPr>
        <w:t>Art. 12:67. § 1</w:t>
      </w:r>
      <w:r>
        <w:rPr>
          <w:color w:val="231F20"/>
          <w:position w:val="7"/>
          <w:sz w:val="11"/>
        </w:rPr>
        <w:t>er</w:t>
      </w:r>
      <w:r>
        <w:rPr>
          <w:color w:val="231F20"/>
        </w:rPr>
        <w:t>. Sans préjudice des dispositions particulières énoncées</w:t>
      </w:r>
      <w:r>
        <w:rPr>
          <w:color w:val="231F20"/>
          <w:spacing w:val="-4"/>
        </w:rPr>
        <w:t> </w:t>
      </w:r>
      <w:r>
        <w:rPr>
          <w:color w:val="231F20"/>
        </w:rPr>
        <w:t>dans</w:t>
      </w:r>
      <w:r>
        <w:rPr>
          <w:color w:val="231F20"/>
          <w:spacing w:val="-4"/>
        </w:rPr>
        <w:t> </w:t>
      </w:r>
      <w:r>
        <w:rPr>
          <w:color w:val="231F20"/>
        </w:rPr>
        <w:t>le</w:t>
      </w:r>
      <w:r>
        <w:rPr>
          <w:color w:val="231F20"/>
          <w:spacing w:val="-3"/>
        </w:rPr>
        <w:t> </w:t>
      </w:r>
      <w:r>
        <w:rPr>
          <w:color w:val="231F20"/>
        </w:rPr>
        <w:t>présent</w:t>
      </w:r>
      <w:r>
        <w:rPr>
          <w:color w:val="231F20"/>
          <w:spacing w:val="-4"/>
        </w:rPr>
        <w:t> </w:t>
      </w:r>
      <w:r>
        <w:rPr>
          <w:color w:val="231F20"/>
        </w:rPr>
        <w:t>article</w:t>
      </w:r>
      <w:r>
        <w:rPr>
          <w:color w:val="231F20"/>
          <w:spacing w:val="-4"/>
        </w:rPr>
        <w:t> </w:t>
      </w:r>
      <w:r>
        <w:rPr>
          <w:color w:val="231F20"/>
        </w:rPr>
        <w:t>et</w:t>
      </w:r>
      <w:r>
        <w:rPr>
          <w:color w:val="231F20"/>
          <w:spacing w:val="-3"/>
        </w:rPr>
        <w:t> </w:t>
      </w:r>
      <w:r>
        <w:rPr>
          <w:color w:val="231F20"/>
        </w:rPr>
        <w:t>dans</w:t>
      </w:r>
      <w:r>
        <w:rPr>
          <w:color w:val="231F20"/>
          <w:spacing w:val="-4"/>
        </w:rPr>
        <w:t> </w:t>
      </w:r>
      <w:r>
        <w:rPr>
          <w:color w:val="231F20"/>
        </w:rPr>
        <w:t>l’article</w:t>
      </w:r>
      <w:r>
        <w:rPr>
          <w:color w:val="231F20"/>
          <w:spacing w:val="-4"/>
        </w:rPr>
        <w:t> </w:t>
      </w:r>
      <w:r>
        <w:rPr>
          <w:color w:val="231F20"/>
        </w:rPr>
        <w:t>12:73,</w:t>
      </w:r>
      <w:r>
        <w:rPr>
          <w:color w:val="231F20"/>
          <w:spacing w:val="-3"/>
        </w:rPr>
        <w:t> </w:t>
      </w:r>
      <w:r>
        <w:rPr>
          <w:color w:val="231F20"/>
        </w:rPr>
        <w:t>et</w:t>
      </w:r>
      <w:r>
        <w:rPr>
          <w:color w:val="231F20"/>
          <w:spacing w:val="-4"/>
        </w:rPr>
        <w:t> </w:t>
      </w:r>
      <w:r>
        <w:rPr>
          <w:color w:val="231F20"/>
        </w:rPr>
        <w:t>sous</w:t>
      </w:r>
      <w:r>
        <w:rPr>
          <w:color w:val="231F20"/>
          <w:spacing w:val="-4"/>
        </w:rPr>
        <w:t> </w:t>
      </w:r>
      <w:r>
        <w:rPr>
          <w:color w:val="231F20"/>
        </w:rPr>
        <w:t>réserve</w:t>
      </w:r>
      <w:r>
        <w:rPr>
          <w:color w:val="231F20"/>
          <w:spacing w:val="-3"/>
        </w:rPr>
        <w:t> </w:t>
      </w:r>
      <w:r>
        <w:rPr>
          <w:color w:val="231F20"/>
        </w:rPr>
        <w:t>de dispositions statutaires plus rigoureuses, l’assemblée générale décide de la scission de la société dans le respect des règles de présence et de majorité</w:t>
      </w:r>
      <w:r>
        <w:rPr>
          <w:color w:val="231F20"/>
          <w:spacing w:val="14"/>
        </w:rPr>
        <w:t> </w:t>
      </w:r>
      <w:r>
        <w:rPr>
          <w:color w:val="231F20"/>
        </w:rPr>
        <w:t>suivantes:</w:t>
      </w:r>
    </w:p>
    <w:p>
      <w:pPr>
        <w:pStyle w:val="BodyText"/>
        <w:spacing w:line="218" w:lineRule="auto" w:before="106"/>
        <w:ind w:right="60"/>
      </w:pPr>
      <w:r>
        <w:rPr>
          <w:color w:val="231F20"/>
        </w:rPr>
        <w:t>1° ceux qui assistent ou sont représentés à la réunion doivent représenter la moitié au moins du capital, ou, si la société ne dispose pas d’un capital, la moitié du nombre total d’actions ou parts émises. Si cette condition n’est pas remplie, une nouvelle convocation sera nécessaire. La deuxième assemblée pourra délibérer et statuer valable- ment, quel que soit le nombre d’actions ou parts présentes ou représentées;</w:t>
      </w:r>
    </w:p>
    <w:p>
      <w:pPr>
        <w:pStyle w:val="BodyText"/>
        <w:spacing w:line="218" w:lineRule="auto" w:before="105"/>
        <w:ind w:right="60"/>
      </w:pPr>
      <w:r>
        <w:rPr>
          <w:color w:val="231F20"/>
        </w:rPr>
        <w:t>2° </w:t>
      </w:r>
      <w:r>
        <w:rPr>
          <w:rFonts w:ascii="Times New Roman" w:hAnsi="Times New Roman"/>
          <w:i/>
          <w:color w:val="231F20"/>
        </w:rPr>
        <w:t>a) </w:t>
      </w:r>
      <w:r>
        <w:rPr>
          <w:color w:val="231F20"/>
        </w:rPr>
        <w:t>une proposition de scission n’est acceptée que si elle réunit les trois quarts des voix, sans qu’il soit tenu compte des abstentions au numérateur ou au dénominateur;</w:t>
      </w:r>
    </w:p>
    <w:p>
      <w:pPr>
        <w:pStyle w:val="BodyText"/>
        <w:spacing w:line="218" w:lineRule="auto" w:before="104"/>
        <w:ind w:right="61"/>
      </w:pP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before="93"/>
        <w:ind w:left="283" w:right="0" w:firstLine="0"/>
        <w:jc w:val="left"/>
      </w:pPr>
      <w:r>
        <w:rPr>
          <w:color w:val="231F20"/>
        </w:rPr>
        <w:t>§ 2. L’article 7:179 n’est pas applicable.</w:t>
      </w:r>
    </w:p>
    <w:p>
      <w:pPr>
        <w:pStyle w:val="BodyText"/>
        <w:spacing w:line="218" w:lineRule="auto" w:before="104"/>
        <w:ind w:right="61"/>
      </w:pPr>
      <w:r>
        <w:rPr>
          <w:color w:val="231F20"/>
        </w:rPr>
        <w:t>§</w:t>
      </w:r>
      <w:r>
        <w:rPr>
          <w:color w:val="231F20"/>
          <w:spacing w:val="-4"/>
        </w:rPr>
        <w:t> </w:t>
      </w:r>
      <w:r>
        <w:rPr>
          <w:color w:val="231F20"/>
        </w:rPr>
        <w:t>3.</w:t>
      </w:r>
      <w:r>
        <w:rPr>
          <w:color w:val="231F20"/>
          <w:spacing w:val="-3"/>
        </w:rPr>
        <w:t> </w:t>
      </w:r>
      <w:r>
        <w:rPr>
          <w:color w:val="231F20"/>
        </w:rPr>
        <w:t>S’il</w:t>
      </w:r>
      <w:r>
        <w:rPr>
          <w:color w:val="231F20"/>
          <w:spacing w:val="-3"/>
        </w:rPr>
        <w:t> </w:t>
      </w:r>
      <w:r>
        <w:rPr>
          <w:color w:val="231F20"/>
        </w:rPr>
        <w:t>existe</w:t>
      </w:r>
      <w:r>
        <w:rPr>
          <w:color w:val="231F20"/>
          <w:spacing w:val="-4"/>
        </w:rPr>
        <w:t> </w:t>
      </w:r>
      <w:r>
        <w:rPr>
          <w:color w:val="231F20"/>
        </w:rPr>
        <w:t>plusieurs</w:t>
      </w:r>
      <w:r>
        <w:rPr>
          <w:color w:val="231F20"/>
          <w:spacing w:val="-3"/>
        </w:rPr>
        <w:t> </w:t>
      </w:r>
      <w:r>
        <w:rPr>
          <w:color w:val="231F20"/>
        </w:rPr>
        <w:t>classes</w:t>
      </w:r>
      <w:r>
        <w:rPr>
          <w:color w:val="231F20"/>
          <w:spacing w:val="-3"/>
        </w:rPr>
        <w:t> </w:t>
      </w:r>
      <w:r>
        <w:rPr>
          <w:color w:val="231F20"/>
        </w:rPr>
        <w:t>d’actions,</w:t>
      </w:r>
      <w:r>
        <w:rPr>
          <w:color w:val="231F20"/>
          <w:spacing w:val="-4"/>
        </w:rPr>
        <w:t> </w:t>
      </w:r>
      <w:r>
        <w:rPr>
          <w:color w:val="231F20"/>
        </w:rPr>
        <w:t>parts</w:t>
      </w:r>
      <w:r>
        <w:rPr>
          <w:color w:val="231F20"/>
          <w:spacing w:val="-3"/>
        </w:rPr>
        <w:t> </w:t>
      </w:r>
      <w:r>
        <w:rPr>
          <w:color w:val="231F20"/>
        </w:rPr>
        <w:t>ou</w:t>
      </w:r>
      <w:r>
        <w:rPr>
          <w:color w:val="231F20"/>
          <w:spacing w:val="-3"/>
        </w:rPr>
        <w:t> </w:t>
      </w:r>
      <w:r>
        <w:rPr>
          <w:color w:val="231F20"/>
        </w:rPr>
        <w:t>titres</w:t>
      </w:r>
      <w:r>
        <w:rPr>
          <w:color w:val="231F20"/>
          <w:spacing w:val="-4"/>
        </w:rPr>
        <w:t> </w:t>
      </w:r>
      <w:r>
        <w:rPr>
          <w:color w:val="231F20"/>
        </w:rPr>
        <w:t>représentatifs ou non du capital exprimé, et si la scission entraîne une modification de leurs droits respectifs, l’article 5:102, alinéa 3, l’article 6:87, alinéa 3, ou l’article</w:t>
      </w:r>
      <w:r>
        <w:rPr>
          <w:color w:val="231F20"/>
          <w:spacing w:val="15"/>
        </w:rPr>
        <w:t> </w:t>
      </w:r>
      <w:r>
        <w:rPr>
          <w:color w:val="231F20"/>
        </w:rPr>
        <w:t>7:155,</w:t>
      </w:r>
      <w:r>
        <w:rPr>
          <w:color w:val="231F20"/>
          <w:spacing w:val="15"/>
        </w:rPr>
        <w:t> </w:t>
      </w:r>
      <w:r>
        <w:rPr>
          <w:color w:val="231F20"/>
        </w:rPr>
        <w:t>alinéa</w:t>
      </w:r>
      <w:r>
        <w:rPr>
          <w:color w:val="231F20"/>
          <w:spacing w:val="15"/>
        </w:rPr>
        <w:t> </w:t>
      </w:r>
      <w:r>
        <w:rPr>
          <w:color w:val="231F20"/>
        </w:rPr>
        <w:t>3,</w:t>
      </w:r>
      <w:r>
        <w:rPr>
          <w:color w:val="231F20"/>
          <w:spacing w:val="15"/>
        </w:rPr>
        <w:t> </w:t>
      </w:r>
      <w:r>
        <w:rPr>
          <w:color w:val="231F20"/>
        </w:rPr>
        <w:t>s’applique</w:t>
      </w:r>
      <w:r>
        <w:rPr>
          <w:color w:val="231F20"/>
          <w:spacing w:val="16"/>
        </w:rPr>
        <w:t> </w:t>
      </w:r>
      <w:r>
        <w:rPr>
          <w:color w:val="231F20"/>
        </w:rPr>
        <w:t>par</w:t>
      </w:r>
      <w:r>
        <w:rPr>
          <w:color w:val="231F20"/>
          <w:spacing w:val="15"/>
        </w:rPr>
        <w:t> </w:t>
      </w:r>
      <w:r>
        <w:rPr>
          <w:color w:val="231F20"/>
        </w:rPr>
        <w:t>analogie.</w:t>
      </w:r>
    </w:p>
    <w:p>
      <w:pPr>
        <w:pStyle w:val="BodyText"/>
        <w:spacing w:before="6"/>
        <w:ind w:left="0" w:right="0" w:firstLine="0"/>
        <w:jc w:val="left"/>
        <w:rPr>
          <w:sz w:val="24"/>
        </w:rPr>
      </w:pPr>
    </w:p>
    <w:p>
      <w:pPr>
        <w:pStyle w:val="BodyText"/>
        <w:ind w:left="283" w:right="0" w:firstLine="0"/>
        <w:jc w:val="left"/>
      </w:pPr>
      <w:r>
        <w:rPr>
          <w:color w:val="231F20"/>
        </w:rPr>
        <w:t>§ 4. L’accord de tous les associés ou actionnaires est requis:</w:t>
      </w:r>
    </w:p>
    <w:p>
      <w:pPr>
        <w:pStyle w:val="BodyText"/>
        <w:spacing w:line="218" w:lineRule="auto" w:before="114"/>
        <w:ind w:right="60"/>
      </w:pPr>
      <w:r>
        <w:rPr>
          <w:color w:val="231F20"/>
        </w:rPr>
        <w:t>1° dans les sociétés participant à la scission qui sont des sociétés en nom collectif;</w:t>
      </w:r>
    </w:p>
    <w:p>
      <w:pPr>
        <w:pStyle w:val="BodyText"/>
        <w:spacing w:line="218" w:lineRule="auto" w:before="118"/>
        <w:ind w:right="60"/>
      </w:pPr>
      <w:r>
        <w:rPr>
          <w:color w:val="231F20"/>
        </w:rPr>
        <w:t>2° dans la société à scinder lorsque l’une au moins des sociétés bénéficiaires</w:t>
      </w:r>
      <w:r>
        <w:rPr>
          <w:color w:val="231F20"/>
          <w:spacing w:val="14"/>
        </w:rPr>
        <w:t> </w:t>
      </w:r>
      <w:r>
        <w:rPr>
          <w:color w:val="231F20"/>
        </w:rPr>
        <w:t>a</w:t>
      </w:r>
      <w:r>
        <w:rPr>
          <w:color w:val="231F20"/>
          <w:spacing w:val="15"/>
        </w:rPr>
        <w:t> </w:t>
      </w:r>
      <w:r>
        <w:rPr>
          <w:color w:val="231F20"/>
        </w:rPr>
        <w:t>pris</w:t>
      </w:r>
      <w:r>
        <w:rPr>
          <w:color w:val="231F20"/>
          <w:spacing w:val="15"/>
        </w:rPr>
        <w:t> </w:t>
      </w:r>
      <w:r>
        <w:rPr>
          <w:color w:val="231F20"/>
        </w:rPr>
        <w:t>la</w:t>
      </w:r>
      <w:r>
        <w:rPr>
          <w:color w:val="231F20"/>
          <w:spacing w:val="15"/>
        </w:rPr>
        <w:t> </w:t>
      </w:r>
      <w:r>
        <w:rPr>
          <w:color w:val="231F20"/>
        </w:rPr>
        <w:t>forme</w:t>
      </w:r>
      <w:r>
        <w:rPr>
          <w:color w:val="231F20"/>
          <w:spacing w:val="15"/>
        </w:rPr>
        <w:t> </w:t>
      </w:r>
      <w:r>
        <w:rPr>
          <w:color w:val="231F20"/>
        </w:rPr>
        <w:t>d’une:</w:t>
      </w:r>
    </w:p>
    <w:p>
      <w:pPr>
        <w:pStyle w:val="ListParagraph"/>
        <w:numPr>
          <w:ilvl w:val="0"/>
          <w:numId w:val="135"/>
        </w:numPr>
        <w:tabs>
          <w:tab w:pos="474" w:val="left" w:leader="none"/>
        </w:tabs>
        <w:spacing w:line="240" w:lineRule="auto" w:before="100" w:after="0"/>
        <w:ind w:left="473" w:right="0" w:hanging="190"/>
        <w:jc w:val="left"/>
        <w:rPr>
          <w:sz w:val="17"/>
        </w:rPr>
      </w:pPr>
      <w:r>
        <w:rPr>
          <w:color w:val="231F20"/>
          <w:sz w:val="17"/>
        </w:rPr>
        <w:t>société en nom</w:t>
      </w:r>
      <w:r>
        <w:rPr>
          <w:color w:val="231F20"/>
          <w:spacing w:val="25"/>
          <w:sz w:val="17"/>
        </w:rPr>
        <w:t> </w:t>
      </w:r>
      <w:r>
        <w:rPr>
          <w:color w:val="231F20"/>
          <w:sz w:val="17"/>
        </w:rPr>
        <w:t>collectif;</w:t>
      </w:r>
    </w:p>
    <w:p>
      <w:pPr>
        <w:pStyle w:val="ListParagraph"/>
        <w:numPr>
          <w:ilvl w:val="0"/>
          <w:numId w:val="135"/>
        </w:numPr>
        <w:tabs>
          <w:tab w:pos="477" w:val="left" w:leader="none"/>
        </w:tabs>
        <w:spacing w:line="240" w:lineRule="auto" w:before="97" w:after="0"/>
        <w:ind w:left="476" w:right="0" w:hanging="193"/>
        <w:jc w:val="left"/>
        <w:rPr>
          <w:sz w:val="17"/>
        </w:rPr>
      </w:pPr>
      <w:r>
        <w:rPr>
          <w:color w:val="231F20"/>
          <w:sz w:val="17"/>
        </w:rPr>
        <w:t>société en</w:t>
      </w:r>
      <w:r>
        <w:rPr>
          <w:color w:val="231F20"/>
          <w:spacing w:val="21"/>
          <w:sz w:val="17"/>
        </w:rPr>
        <w:t> </w:t>
      </w:r>
      <w:r>
        <w:rPr>
          <w:color w:val="231F20"/>
          <w:sz w:val="17"/>
        </w:rPr>
        <w:t>commandite.</w:t>
      </w:r>
    </w:p>
    <w:p>
      <w:pPr>
        <w:pStyle w:val="BodyText"/>
        <w:spacing w:line="218" w:lineRule="auto" w:before="99"/>
        <w:ind w:right="60"/>
      </w:pPr>
      <w:r>
        <w:rPr>
          <w:color w:val="231F20"/>
        </w:rPr>
        <w:t>Dans les cas visés à l’alinéa 1</w:t>
      </w:r>
      <w:r>
        <w:rPr>
          <w:color w:val="231F20"/>
          <w:position w:val="7"/>
          <w:sz w:val="11"/>
        </w:rPr>
        <w:t>er</w:t>
      </w:r>
      <w:r>
        <w:rPr>
          <w:color w:val="231F20"/>
        </w:rPr>
        <w:t>, 2°, l’accord unanime des titulaires de titres non représentatifs du capital est, le cas échéant, requis.</w:t>
      </w:r>
    </w:p>
    <w:p>
      <w:pPr>
        <w:pStyle w:val="BodyText"/>
        <w:spacing w:before="9"/>
        <w:ind w:left="0" w:right="0" w:firstLine="0"/>
        <w:jc w:val="left"/>
        <w:rPr>
          <w:sz w:val="25"/>
        </w:rPr>
      </w:pPr>
    </w:p>
    <w:p>
      <w:pPr>
        <w:pStyle w:val="BodyText"/>
        <w:spacing w:line="218" w:lineRule="auto" w:before="1"/>
        <w:ind w:right="61"/>
      </w:pPr>
      <w:r>
        <w:rPr>
          <w:color w:val="231F20"/>
        </w:rPr>
        <w:t>§ 5. Dans la société en commandite, l’accord de tous les associés commandités est en outre requis.</w:t>
      </w:r>
    </w:p>
    <w:p>
      <w:pPr>
        <w:pStyle w:val="BodyText"/>
        <w:spacing w:line="218" w:lineRule="auto" w:before="117"/>
        <w:ind w:right="2"/>
        <w:jc w:val="left"/>
      </w:pPr>
      <w:r>
        <w:rPr>
          <w:color w:val="231F20"/>
        </w:rPr>
        <w:t>§ 6. Lorsque le projet de scission prévoit que la répartition aux associés ou actionnaires de la société à scinder des actions ou parts des sociétés bénéficiaires ne sera pas proportionnelle à leurs droits dans le capital de la société à scinder, ou, si la société ne dispose pas d’un capital, leur part dans les capitaux propres, la décision de la société à scinder de participer à l’opération de scission est prise par l’assemblée générale statuant à l’unanimité.</w:t>
      </w:r>
    </w:p>
    <w:p>
      <w:pPr>
        <w:pStyle w:val="BodyText"/>
        <w:spacing w:before="9"/>
        <w:ind w:left="0" w:right="0" w:firstLine="0"/>
        <w:jc w:val="left"/>
        <w:rPr>
          <w:sz w:val="25"/>
        </w:rPr>
      </w:pPr>
    </w:p>
    <w:p>
      <w:pPr>
        <w:pStyle w:val="BodyText"/>
        <w:spacing w:line="218" w:lineRule="auto" w:before="1"/>
        <w:ind w:right="0"/>
        <w:jc w:val="left"/>
      </w:pPr>
      <w:r>
        <w:rPr>
          <w:color w:val="231F20"/>
        </w:rPr>
        <w:t>§ 7. L’assemblée générale de la société à scinder ne doit pas donner d’approbation si les sociétés bénéficiaires détiennent dans leur ensem- ble toutes les actions ou parts de la société à scinder et tous les autres titres conférant le droit de vote à l’assemblée générale de la société à scinder et si les conditions suivantes sont remplies:</w:t>
      </w:r>
    </w:p>
    <w:p>
      <w:pPr>
        <w:pStyle w:val="BodyText"/>
        <w:spacing w:before="9"/>
        <w:ind w:left="0" w:right="0" w:firstLine="0"/>
        <w:jc w:val="left"/>
        <w:rPr>
          <w:sz w:val="25"/>
        </w:rPr>
      </w:pPr>
    </w:p>
    <w:p>
      <w:pPr>
        <w:pStyle w:val="BodyText"/>
        <w:spacing w:line="218" w:lineRule="auto"/>
        <w:ind w:right="61"/>
      </w:pPr>
      <w:r>
        <w:rPr>
          <w:color w:val="231F20"/>
        </w:rPr>
        <w:t>1° le dépôt prescrit à l’article 12:59 a lieu pour chacune des sociétés participant à la scission six semaines au moins avant la prise d’effet de la scission;</w:t>
      </w:r>
    </w:p>
    <w:p>
      <w:pPr>
        <w:pStyle w:val="BodyText"/>
        <w:spacing w:line="211" w:lineRule="auto" w:before="122"/>
        <w:ind w:right="61"/>
      </w:pPr>
      <w:r>
        <w:rPr>
          <w:color w:val="231F20"/>
        </w:rPr>
        <w:t>2° chaque associé ou actionnaire des sociétés participant à la scission a le droit, un mois au moins avant la prise d’effet de la scission, de prendre connaissance des documents mentionnés à l’article 12:64, § 2, au siège de la société. Les exceptions visées aux articles 12:62, § 1</w:t>
      </w:r>
      <w:r>
        <w:rPr>
          <w:color w:val="231F20"/>
          <w:position w:val="7"/>
          <w:sz w:val="11"/>
        </w:rPr>
        <w:t>er</w:t>
      </w:r>
      <w:r>
        <w:rPr>
          <w:color w:val="231F20"/>
        </w:rPr>
        <w:t>, dernier alinéa, 12:64, §§ 2, 3 et 4, et 12:65, alinéa 1</w:t>
      </w:r>
      <w:r>
        <w:rPr>
          <w:color w:val="231F20"/>
          <w:position w:val="7"/>
          <w:sz w:val="11"/>
        </w:rPr>
        <w:t>er</w:t>
      </w:r>
      <w:r>
        <w:rPr>
          <w:color w:val="231F20"/>
        </w:rPr>
        <w:t>, restent d’application;</w:t>
      </w:r>
    </w:p>
    <w:p>
      <w:pPr>
        <w:pStyle w:val="BodyText"/>
        <w:spacing w:line="218" w:lineRule="auto" w:before="118"/>
        <w:ind w:right="61"/>
      </w:pPr>
      <w:r>
        <w:rPr>
          <w:color w:val="231F20"/>
        </w:rPr>
        <w:t>3° l’information visée à l’article 12:63 concerne toutes les modifica- tions du patrimoine actif et passif depuis la date à laquelle le projet de scission a été établi.</w:t>
      </w:r>
    </w:p>
    <w:p>
      <w:pPr>
        <w:pStyle w:val="BodyText"/>
        <w:spacing w:line="218" w:lineRule="auto" w:before="118"/>
        <w:ind w:right="61"/>
      </w:pPr>
      <w:r>
        <w:rPr>
          <w:color w:val="231F20"/>
        </w:rPr>
        <w:t>Dans ce cas, l’organe d’administration de la société à scinder se prononce sur l’approbation de la scission.</w:t>
      </w:r>
    </w:p>
    <w:p>
      <w:pPr>
        <w:pStyle w:val="BodyText"/>
        <w:spacing w:line="218" w:lineRule="auto" w:before="117"/>
        <w:ind w:right="60"/>
      </w:pPr>
      <w:r>
        <w:rPr>
          <w:color w:val="231F20"/>
        </w:rPr>
        <w:t>Un ou plusieurs associés ou actionnaires de la société scindée qui détiennent 5 % des parts ou actions émises ou qui, dans une société anonyme ou une société européenne, représentent </w:t>
      </w:r>
      <w:r>
        <w:rPr>
          <w:color w:val="231F20"/>
          <w:spacing w:val="14"/>
        </w:rPr>
        <w:t>5 </w:t>
      </w:r>
      <w:r>
        <w:rPr>
          <w:color w:val="231F20"/>
        </w:rPr>
        <w:t>% du capital souscrit ont néanmoins le droit d’obtenir la convocation de l’assemblée générale</w:t>
      </w:r>
      <w:r>
        <w:rPr>
          <w:color w:val="231F20"/>
          <w:spacing w:val="-5"/>
        </w:rPr>
        <w:t> </w:t>
      </w:r>
      <w:r>
        <w:rPr>
          <w:color w:val="231F20"/>
        </w:rPr>
        <w:t>de</w:t>
      </w:r>
      <w:r>
        <w:rPr>
          <w:color w:val="231F20"/>
          <w:spacing w:val="-4"/>
        </w:rPr>
        <w:t> </w:t>
      </w:r>
      <w:r>
        <w:rPr>
          <w:color w:val="231F20"/>
        </w:rPr>
        <w:t>cette</w:t>
      </w:r>
      <w:r>
        <w:rPr>
          <w:color w:val="231F20"/>
          <w:spacing w:val="-4"/>
        </w:rPr>
        <w:t> </w:t>
      </w:r>
      <w:r>
        <w:rPr>
          <w:color w:val="231F20"/>
        </w:rPr>
        <w:t>société</w:t>
      </w:r>
      <w:r>
        <w:rPr>
          <w:color w:val="231F20"/>
          <w:spacing w:val="-5"/>
        </w:rPr>
        <w:t> </w:t>
      </w:r>
      <w:r>
        <w:rPr>
          <w:color w:val="231F20"/>
        </w:rPr>
        <w:t>appelée</w:t>
      </w:r>
      <w:r>
        <w:rPr>
          <w:color w:val="231F20"/>
          <w:spacing w:val="-4"/>
        </w:rPr>
        <w:t> </w:t>
      </w:r>
      <w:r>
        <w:rPr>
          <w:color w:val="231F20"/>
        </w:rPr>
        <w:t>à</w:t>
      </w:r>
      <w:r>
        <w:rPr>
          <w:color w:val="231F20"/>
          <w:spacing w:val="-4"/>
        </w:rPr>
        <w:t> </w:t>
      </w:r>
      <w:r>
        <w:rPr>
          <w:color w:val="231F20"/>
        </w:rPr>
        <w:t>se</w:t>
      </w:r>
      <w:r>
        <w:rPr>
          <w:color w:val="231F20"/>
          <w:spacing w:val="-4"/>
        </w:rPr>
        <w:t> </w:t>
      </w:r>
      <w:r>
        <w:rPr>
          <w:color w:val="231F20"/>
        </w:rPr>
        <w:t>prononcer</w:t>
      </w:r>
      <w:r>
        <w:rPr>
          <w:color w:val="231F20"/>
          <w:spacing w:val="-5"/>
        </w:rPr>
        <w:t> </w:t>
      </w:r>
      <w:r>
        <w:rPr>
          <w:color w:val="231F20"/>
        </w:rPr>
        <w:t>sur</w:t>
      </w:r>
      <w:r>
        <w:rPr>
          <w:color w:val="231F20"/>
          <w:spacing w:val="-4"/>
        </w:rPr>
        <w:t> </w:t>
      </w:r>
      <w:r>
        <w:rPr>
          <w:color w:val="231F20"/>
        </w:rPr>
        <w:t>le</w:t>
      </w:r>
      <w:r>
        <w:rPr>
          <w:color w:val="231F20"/>
          <w:spacing w:val="-4"/>
        </w:rPr>
        <w:t> </w:t>
      </w:r>
      <w:r>
        <w:rPr>
          <w:color w:val="231F20"/>
        </w:rPr>
        <w:t>projet</w:t>
      </w:r>
      <w:r>
        <w:rPr>
          <w:color w:val="231F20"/>
          <w:spacing w:val="-5"/>
        </w:rPr>
        <w:t> </w:t>
      </w:r>
      <w:r>
        <w:rPr>
          <w:color w:val="231F20"/>
        </w:rPr>
        <w:t>de</w:t>
      </w:r>
      <w:r>
        <w:rPr>
          <w:color w:val="231F20"/>
          <w:spacing w:val="-4"/>
        </w:rPr>
        <w:t> </w:t>
      </w:r>
      <w:r>
        <w:rPr>
          <w:color w:val="231F20"/>
        </w:rPr>
        <w:t>scission. Les parts ou actions sans droit de vote ne sont pas prises en considération</w:t>
      </w:r>
      <w:r>
        <w:rPr>
          <w:color w:val="231F20"/>
          <w:spacing w:val="15"/>
        </w:rPr>
        <w:t> </w:t>
      </w:r>
      <w:r>
        <w:rPr>
          <w:color w:val="231F20"/>
        </w:rPr>
        <w:t>dans</w:t>
      </w:r>
      <w:r>
        <w:rPr>
          <w:color w:val="231F20"/>
          <w:spacing w:val="15"/>
        </w:rPr>
        <w:t> </w:t>
      </w:r>
      <w:r>
        <w:rPr>
          <w:color w:val="231F20"/>
        </w:rPr>
        <w:t>le</w:t>
      </w:r>
      <w:r>
        <w:rPr>
          <w:color w:val="231F20"/>
          <w:spacing w:val="16"/>
        </w:rPr>
        <w:t> </w:t>
      </w:r>
      <w:r>
        <w:rPr>
          <w:color w:val="231F20"/>
        </w:rPr>
        <w:t>calcul</w:t>
      </w:r>
      <w:r>
        <w:rPr>
          <w:color w:val="231F20"/>
          <w:spacing w:val="15"/>
        </w:rPr>
        <w:t> </w:t>
      </w:r>
      <w:r>
        <w:rPr>
          <w:color w:val="231F20"/>
        </w:rPr>
        <w:t>de</w:t>
      </w:r>
      <w:r>
        <w:rPr>
          <w:color w:val="231F20"/>
          <w:spacing w:val="15"/>
        </w:rPr>
        <w:t> </w:t>
      </w:r>
      <w:r>
        <w:rPr>
          <w:color w:val="231F20"/>
        </w:rPr>
        <w:t>ce</w:t>
      </w:r>
      <w:r>
        <w:rPr>
          <w:color w:val="231F20"/>
          <w:spacing w:val="16"/>
        </w:rPr>
        <w:t> </w:t>
      </w:r>
      <w:r>
        <w:rPr>
          <w:color w:val="231F20"/>
        </w:rPr>
        <w:t>pourcentage.</w:t>
      </w:r>
    </w:p>
    <w:p>
      <w:pPr>
        <w:pStyle w:val="BodyText"/>
        <w:spacing w:line="218" w:lineRule="auto" w:before="119"/>
      </w:pPr>
      <w:r>
        <w:rPr/>
        <w:br w:type="column"/>
      </w:r>
      <w:r>
        <w:rPr>
          <w:color w:val="231F20"/>
        </w:rPr>
        <w:t>Art. 12:67. § 1. Onder voorbehoud van strengere statutaire bepalin- gen en onverminderd de bijzondere bepalingen van dit artikel en  artikel 12:73, besluit de algemene vergadering tot splitsing van een vennootschap overeenkomstig de volgende regels  van  aanwezigheid  en</w:t>
      </w:r>
      <w:r>
        <w:rPr>
          <w:color w:val="231F20"/>
          <w:spacing w:val="14"/>
        </w:rPr>
        <w:t> </w:t>
      </w:r>
      <w:r>
        <w:rPr>
          <w:color w:val="231F20"/>
        </w:rPr>
        <w:t>meerderheid:</w:t>
      </w:r>
    </w:p>
    <w:p>
      <w:pPr>
        <w:pStyle w:val="BodyText"/>
        <w:spacing w:line="218" w:lineRule="auto" w:before="107"/>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8"/>
        <w:ind w:left="0" w:right="0" w:firstLine="0"/>
        <w:jc w:val="left"/>
        <w:rPr>
          <w:sz w:val="24"/>
        </w:rPr>
      </w:pPr>
    </w:p>
    <w:p>
      <w:pPr>
        <w:pStyle w:val="BodyText"/>
        <w:spacing w:line="218" w:lineRule="auto"/>
      </w:pPr>
      <w:r>
        <w:rPr>
          <w:color w:val="231F20"/>
        </w:rPr>
        <w:t>2° </w:t>
      </w:r>
      <w:r>
        <w:rPr>
          <w:rFonts w:ascii="Times New Roman" w:hAnsi="Times New Roman"/>
          <w:i/>
          <w:color w:val="231F20"/>
        </w:rPr>
        <w:t>a) </w:t>
      </w:r>
      <w:r>
        <w:rPr>
          <w:color w:val="231F20"/>
        </w:rPr>
        <w:t>een voorstel tot splitsing is alleen dan aangenomen, wanneer</w:t>
      </w:r>
      <w:r>
        <w:rPr>
          <w:color w:val="231F20"/>
          <w:spacing w:val="-24"/>
        </w:rPr>
        <w:t> </w:t>
      </w:r>
      <w:r>
        <w:rPr>
          <w:color w:val="231F20"/>
        </w:rPr>
        <w:t>het drie vierde van de stemmen heeft verkregen, waarbij de onthoudingen in</w:t>
      </w:r>
      <w:r>
        <w:rPr>
          <w:color w:val="231F20"/>
          <w:spacing w:val="15"/>
        </w:rPr>
        <w:t> </w:t>
      </w:r>
      <w:r>
        <w:rPr>
          <w:color w:val="231F20"/>
        </w:rPr>
        <w:t>de</w:t>
      </w:r>
      <w:r>
        <w:rPr>
          <w:color w:val="231F20"/>
          <w:spacing w:val="16"/>
        </w:rPr>
        <w:t> </w:t>
      </w:r>
      <w:r>
        <w:rPr>
          <w:color w:val="231F20"/>
        </w:rPr>
        <w:t>teller</w:t>
      </w:r>
      <w:r>
        <w:rPr>
          <w:color w:val="231F20"/>
          <w:spacing w:val="15"/>
        </w:rPr>
        <w:t> </w:t>
      </w:r>
      <w:r>
        <w:rPr>
          <w:color w:val="231F20"/>
        </w:rPr>
        <w:t>noch</w:t>
      </w:r>
      <w:r>
        <w:rPr>
          <w:color w:val="231F20"/>
          <w:spacing w:val="16"/>
        </w:rPr>
        <w:t> </w:t>
      </w:r>
      <w:r>
        <w:rPr>
          <w:color w:val="231F20"/>
        </w:rPr>
        <w:t>in</w:t>
      </w:r>
      <w:r>
        <w:rPr>
          <w:color w:val="231F20"/>
          <w:spacing w:val="15"/>
        </w:rPr>
        <w:t> </w:t>
      </w:r>
      <w:r>
        <w:rPr>
          <w:color w:val="231F20"/>
        </w:rPr>
        <w:t>de</w:t>
      </w:r>
      <w:r>
        <w:rPr>
          <w:color w:val="231F20"/>
          <w:spacing w:val="16"/>
        </w:rPr>
        <w:t> </w:t>
      </w:r>
      <w:r>
        <w:rPr>
          <w:color w:val="231F20"/>
        </w:rPr>
        <w:t>noemer</w:t>
      </w:r>
      <w:r>
        <w:rPr>
          <w:color w:val="231F20"/>
          <w:spacing w:val="16"/>
        </w:rPr>
        <w:t> </w:t>
      </w:r>
      <w:r>
        <w:rPr>
          <w:color w:val="231F20"/>
        </w:rPr>
        <w:t>worden</w:t>
      </w:r>
      <w:r>
        <w:rPr>
          <w:color w:val="231F20"/>
          <w:spacing w:val="15"/>
        </w:rPr>
        <w:t> </w:t>
      </w:r>
      <w:r>
        <w:rPr>
          <w:color w:val="231F20"/>
        </w:rPr>
        <w:t>meegerekend;</w:t>
      </w:r>
    </w:p>
    <w:p>
      <w:pPr>
        <w:pStyle w:val="BodyText"/>
        <w:spacing w:line="218" w:lineRule="auto" w:before="104"/>
      </w:pP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before="93"/>
        <w:ind w:left="283" w:right="0" w:firstLine="0"/>
        <w:jc w:val="left"/>
      </w:pPr>
      <w:r>
        <w:rPr>
          <w:color w:val="231F20"/>
        </w:rPr>
        <w:t>§ 2. Artikel 7:179 is niet van toepassing.</w:t>
      </w:r>
    </w:p>
    <w:p>
      <w:pPr>
        <w:pStyle w:val="BodyText"/>
        <w:spacing w:line="218" w:lineRule="auto" w:before="104"/>
      </w:pPr>
      <w:r>
        <w:rPr>
          <w:color w:val="231F20"/>
        </w:rPr>
        <w:t>§ 3. Indien er verschillende soorten van aandelen of effecten bestaan die het in de statuten vastgestelde kapitaal al of niet vertegenwoordi- gen en de splitsing aanleiding geeft tot wijziging van hun respectieve rechten,</w:t>
      </w:r>
      <w:r>
        <w:rPr>
          <w:color w:val="231F20"/>
          <w:spacing w:val="-8"/>
        </w:rPr>
        <w:t> </w:t>
      </w:r>
      <w:r>
        <w:rPr>
          <w:color w:val="231F20"/>
        </w:rPr>
        <w:t>is</w:t>
      </w:r>
      <w:r>
        <w:rPr>
          <w:color w:val="231F20"/>
          <w:spacing w:val="-8"/>
        </w:rPr>
        <w:t> </w:t>
      </w:r>
      <w:r>
        <w:rPr>
          <w:color w:val="231F20"/>
        </w:rPr>
        <w:t>artikel</w:t>
      </w:r>
      <w:r>
        <w:rPr>
          <w:color w:val="231F20"/>
          <w:spacing w:val="-8"/>
        </w:rPr>
        <w:t> </w:t>
      </w:r>
      <w:r>
        <w:rPr>
          <w:color w:val="231F20"/>
        </w:rPr>
        <w:t>5:102,</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artikel</w:t>
      </w:r>
      <w:r>
        <w:rPr>
          <w:color w:val="231F20"/>
          <w:spacing w:val="-8"/>
        </w:rPr>
        <w:t> </w:t>
      </w:r>
      <w:r>
        <w:rPr>
          <w:color w:val="231F20"/>
        </w:rPr>
        <w:t>6:87,</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of</w:t>
      </w:r>
      <w:r>
        <w:rPr>
          <w:color w:val="231F20"/>
          <w:spacing w:val="-7"/>
        </w:rPr>
        <w:t> </w:t>
      </w:r>
      <w:r>
        <w:rPr>
          <w:color w:val="231F20"/>
        </w:rPr>
        <w:t>artikel</w:t>
      </w:r>
      <w:r>
        <w:rPr>
          <w:color w:val="231F20"/>
          <w:spacing w:val="-8"/>
        </w:rPr>
        <w:t> </w:t>
      </w:r>
      <w:r>
        <w:rPr>
          <w:color w:val="231F20"/>
        </w:rPr>
        <w:t>7:155, derde lid, van overeenkomstige</w:t>
      </w:r>
      <w:r>
        <w:rPr>
          <w:color w:val="231F20"/>
          <w:spacing w:val="22"/>
        </w:rPr>
        <w:t> </w:t>
      </w:r>
      <w:r>
        <w:rPr>
          <w:color w:val="231F20"/>
        </w:rPr>
        <w:t>toepassing.</w:t>
      </w:r>
    </w:p>
    <w:p>
      <w:pPr>
        <w:pStyle w:val="BodyText"/>
        <w:spacing w:line="290" w:lineRule="atLeast" w:before="7"/>
        <w:ind w:left="283" w:right="183" w:firstLine="0"/>
        <w:jc w:val="left"/>
      </w:pPr>
      <w:r>
        <w:rPr>
          <w:color w:val="231F20"/>
        </w:rPr>
        <w:t>§ 4. De instemming van alle vennoten of aandeelhouders is vereist:  1° in de vennootschappen die aan de splitsing deelnemen</w:t>
      </w:r>
      <w:r>
        <w:rPr>
          <w:color w:val="231F20"/>
          <w:spacing w:val="3"/>
        </w:rPr>
        <w:t> </w:t>
      </w:r>
      <w:r>
        <w:rPr>
          <w:color w:val="231F20"/>
        </w:rPr>
        <w:t>die</w:t>
      </w:r>
    </w:p>
    <w:p>
      <w:pPr>
        <w:pStyle w:val="BodyText"/>
        <w:spacing w:line="179" w:lineRule="exact"/>
        <w:ind w:right="0" w:firstLine="0"/>
        <w:jc w:val="left"/>
      </w:pPr>
      <w:r>
        <w:rPr>
          <w:color w:val="231F20"/>
        </w:rPr>
        <w:t>vennootschappen onder firma zijn;</w:t>
      </w:r>
    </w:p>
    <w:p>
      <w:pPr>
        <w:pStyle w:val="BodyText"/>
        <w:spacing w:line="218" w:lineRule="auto" w:before="113"/>
      </w:pPr>
      <w:r>
        <w:rPr>
          <w:color w:val="231F20"/>
        </w:rPr>
        <w:t>2° in de te splitsen vennootschap wanneer ten minste een van de verkrijgende vennootschappen de rechtsvorm heeft aangenomen van:</w:t>
      </w:r>
    </w:p>
    <w:p>
      <w:pPr>
        <w:pStyle w:val="ListParagraph"/>
        <w:numPr>
          <w:ilvl w:val="0"/>
          <w:numId w:val="136"/>
        </w:numPr>
        <w:tabs>
          <w:tab w:pos="473" w:val="left" w:leader="none"/>
        </w:tabs>
        <w:spacing w:line="240" w:lineRule="auto" w:before="101"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36"/>
        </w:numPr>
        <w:tabs>
          <w:tab w:pos="477" w:val="left" w:leader="none"/>
        </w:tabs>
        <w:spacing w:line="240" w:lineRule="auto" w:before="97"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pStyle w:val="BodyText"/>
        <w:spacing w:line="218" w:lineRule="auto" w:before="114"/>
      </w:pP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118"/>
      </w:pPr>
      <w:r>
        <w:rPr>
          <w:color w:val="231F20"/>
        </w:rPr>
        <w:t>§ 5. In de commanditaire vennootschap is bovendien de instemming van alle gecommanditeerde vennoten vereist.</w:t>
      </w:r>
    </w:p>
    <w:p>
      <w:pPr>
        <w:pStyle w:val="BodyText"/>
        <w:spacing w:line="218" w:lineRule="auto" w:before="117"/>
      </w:pPr>
      <w:r>
        <w:rPr>
          <w:color w:val="231F20"/>
        </w:rPr>
        <w:t>§ 6. Wanneer het splitsingsvoorstel bepaalt dat de verdeling, over de vennoten of aandeelhouders van de te splitsen vennootschap, van de aandelen van de verkrijgende vennootschappen niet naar evenredig- heid met hun rechten op het kapitaal van de te splitsen vennootschap zal gebeuren, of, als de vennootschap geen kapitaal heeft, hun aandeel in het eigen vermogen, wordt het besluit van de te splitsen vennoot- schap over de deelneming aan de splitsing door de algemene vergade- ring eenparig genomen.</w:t>
      </w:r>
    </w:p>
    <w:p>
      <w:pPr>
        <w:pStyle w:val="BodyText"/>
        <w:spacing w:line="218" w:lineRule="auto" w:before="118"/>
      </w:pPr>
      <w:r>
        <w:rPr>
          <w:color w:val="231F20"/>
        </w:rPr>
        <w:t>§ 7. De algemene vergadering van de te splitsen vennootschap dient geen goedkeuring te geven indien de verkrijgende vennootschappen in het bezit zijn van alle aandelen van de te splitsen vennootschap en alle andere effecten waaraan stemrechten in de algemene vergadering van de te splitsen vennootschap zijn verbonden en indien aan de volgende voorwaarden is voldaan:</w:t>
      </w:r>
    </w:p>
    <w:p>
      <w:pPr>
        <w:pStyle w:val="BodyText"/>
        <w:spacing w:line="218" w:lineRule="auto" w:before="118"/>
      </w:pPr>
      <w:r>
        <w:rPr>
          <w:color w:val="231F20"/>
        </w:rPr>
        <w:t>1° de in artikel 12:59 voorgeschreven neerlegging gebeurt voor elke aan de splitsing deelnemende vennootschap uiterlijk zes weken  voordat</w:t>
      </w:r>
      <w:r>
        <w:rPr>
          <w:color w:val="231F20"/>
          <w:spacing w:val="15"/>
        </w:rPr>
        <w:t> </w:t>
      </w:r>
      <w:r>
        <w:rPr>
          <w:color w:val="231F20"/>
        </w:rPr>
        <w:t>de</w:t>
      </w:r>
      <w:r>
        <w:rPr>
          <w:color w:val="231F20"/>
          <w:spacing w:val="16"/>
        </w:rPr>
        <w:t> </w:t>
      </w:r>
      <w:r>
        <w:rPr>
          <w:color w:val="231F20"/>
        </w:rPr>
        <w:t>splitsing</w:t>
      </w:r>
      <w:r>
        <w:rPr>
          <w:color w:val="231F20"/>
          <w:spacing w:val="16"/>
        </w:rPr>
        <w:t> </w:t>
      </w:r>
      <w:r>
        <w:rPr>
          <w:color w:val="231F20"/>
        </w:rPr>
        <w:t>van</w:t>
      </w:r>
      <w:r>
        <w:rPr>
          <w:color w:val="231F20"/>
          <w:spacing w:val="16"/>
        </w:rPr>
        <w:t> </w:t>
      </w:r>
      <w:r>
        <w:rPr>
          <w:color w:val="231F20"/>
        </w:rPr>
        <w:t>kracht</w:t>
      </w:r>
      <w:r>
        <w:rPr>
          <w:color w:val="231F20"/>
          <w:spacing w:val="15"/>
        </w:rPr>
        <w:t> </w:t>
      </w:r>
      <w:r>
        <w:rPr>
          <w:color w:val="231F20"/>
        </w:rPr>
        <w:t>wordt;</w:t>
      </w:r>
    </w:p>
    <w:p>
      <w:pPr>
        <w:pStyle w:val="BodyText"/>
        <w:spacing w:line="218" w:lineRule="auto" w:before="117"/>
      </w:pPr>
      <w:r>
        <w:rPr>
          <w:color w:val="231F20"/>
        </w:rPr>
        <w:t>2° iedere vennoot of aandeelhouder van de aan de splitsing deelnemende vennootschappen heeft het recht uiterlijk een maand voordat de splitsing van kracht wordt, op de zetel van de vennootschap kennis te nemen van de in artikel 12:64, § 2, vermelde stukken. De in artikel</w:t>
      </w:r>
      <w:r>
        <w:rPr>
          <w:color w:val="231F20"/>
          <w:spacing w:val="-10"/>
        </w:rPr>
        <w:t> </w:t>
      </w:r>
      <w:r>
        <w:rPr>
          <w:color w:val="231F20"/>
        </w:rPr>
        <w:t>12:62,</w:t>
      </w:r>
      <w:r>
        <w:rPr>
          <w:color w:val="231F20"/>
          <w:spacing w:val="-9"/>
        </w:rPr>
        <w:t> </w:t>
      </w:r>
      <w:r>
        <w:rPr>
          <w:color w:val="231F20"/>
        </w:rPr>
        <w:t>§</w:t>
      </w:r>
      <w:r>
        <w:rPr>
          <w:color w:val="231F20"/>
          <w:spacing w:val="-9"/>
        </w:rPr>
        <w:t> </w:t>
      </w:r>
      <w:r>
        <w:rPr>
          <w:color w:val="231F20"/>
        </w:rPr>
        <w:t>1,</w:t>
      </w:r>
      <w:r>
        <w:rPr>
          <w:color w:val="231F20"/>
          <w:spacing w:val="-9"/>
        </w:rPr>
        <w:t> </w:t>
      </w:r>
      <w:r>
        <w:rPr>
          <w:color w:val="231F20"/>
        </w:rPr>
        <w:t>laatste</w:t>
      </w:r>
      <w:r>
        <w:rPr>
          <w:color w:val="231F20"/>
          <w:spacing w:val="-9"/>
        </w:rPr>
        <w:t> </w:t>
      </w:r>
      <w:r>
        <w:rPr>
          <w:color w:val="231F20"/>
        </w:rPr>
        <w:t>lid,</w:t>
      </w:r>
      <w:r>
        <w:rPr>
          <w:color w:val="231F20"/>
          <w:spacing w:val="-9"/>
        </w:rPr>
        <w:t> </w:t>
      </w:r>
      <w:r>
        <w:rPr>
          <w:color w:val="231F20"/>
        </w:rPr>
        <w:t>en</w:t>
      </w:r>
      <w:r>
        <w:rPr>
          <w:color w:val="231F20"/>
          <w:spacing w:val="-9"/>
        </w:rPr>
        <w:t> </w:t>
      </w:r>
      <w:r>
        <w:rPr>
          <w:color w:val="231F20"/>
        </w:rPr>
        <w:t>artikel</w:t>
      </w:r>
      <w:r>
        <w:rPr>
          <w:color w:val="231F20"/>
          <w:spacing w:val="-9"/>
        </w:rPr>
        <w:t> </w:t>
      </w:r>
      <w:r>
        <w:rPr>
          <w:color w:val="231F20"/>
        </w:rPr>
        <w:t>12:64,</w:t>
      </w:r>
      <w:r>
        <w:rPr>
          <w:color w:val="231F20"/>
          <w:spacing w:val="-9"/>
        </w:rPr>
        <w:t> </w:t>
      </w:r>
      <w:r>
        <w:rPr>
          <w:color w:val="231F20"/>
        </w:rPr>
        <w:t>§§</w:t>
      </w:r>
      <w:r>
        <w:rPr>
          <w:color w:val="231F20"/>
          <w:spacing w:val="-9"/>
        </w:rPr>
        <w:t> </w:t>
      </w:r>
      <w:r>
        <w:rPr>
          <w:color w:val="231F20"/>
        </w:rPr>
        <w:t>2,</w:t>
      </w:r>
      <w:r>
        <w:rPr>
          <w:color w:val="231F20"/>
          <w:spacing w:val="-9"/>
        </w:rPr>
        <w:t> </w:t>
      </w:r>
      <w:r>
        <w:rPr>
          <w:color w:val="231F20"/>
        </w:rPr>
        <w:t>3</w:t>
      </w:r>
      <w:r>
        <w:rPr>
          <w:color w:val="231F20"/>
          <w:spacing w:val="-10"/>
        </w:rPr>
        <w:t> </w:t>
      </w:r>
      <w:r>
        <w:rPr>
          <w:color w:val="231F20"/>
        </w:rPr>
        <w:t>en</w:t>
      </w:r>
      <w:r>
        <w:rPr>
          <w:color w:val="231F20"/>
          <w:spacing w:val="-9"/>
        </w:rPr>
        <w:t> </w:t>
      </w:r>
      <w:r>
        <w:rPr>
          <w:color w:val="231F20"/>
        </w:rPr>
        <w:t>4,</w:t>
      </w:r>
      <w:r>
        <w:rPr>
          <w:color w:val="231F20"/>
          <w:spacing w:val="-9"/>
        </w:rPr>
        <w:t> </w:t>
      </w:r>
      <w:r>
        <w:rPr>
          <w:color w:val="231F20"/>
        </w:rPr>
        <w:t>en</w:t>
      </w:r>
      <w:r>
        <w:rPr>
          <w:color w:val="231F20"/>
          <w:spacing w:val="-9"/>
        </w:rPr>
        <w:t> </w:t>
      </w:r>
      <w:r>
        <w:rPr>
          <w:color w:val="231F20"/>
        </w:rPr>
        <w:t>artikel</w:t>
      </w:r>
      <w:r>
        <w:rPr>
          <w:color w:val="231F20"/>
          <w:spacing w:val="-9"/>
        </w:rPr>
        <w:t> </w:t>
      </w:r>
      <w:r>
        <w:rPr>
          <w:color w:val="231F20"/>
        </w:rPr>
        <w:t>12:65, eerste</w:t>
      </w:r>
      <w:r>
        <w:rPr>
          <w:color w:val="231F20"/>
          <w:spacing w:val="16"/>
        </w:rPr>
        <w:t> </w:t>
      </w:r>
      <w:r>
        <w:rPr>
          <w:color w:val="231F20"/>
        </w:rPr>
        <w:t>lid,</w:t>
      </w:r>
      <w:r>
        <w:rPr>
          <w:color w:val="231F20"/>
          <w:spacing w:val="17"/>
        </w:rPr>
        <w:t> </w:t>
      </w:r>
      <w:r>
        <w:rPr>
          <w:color w:val="231F20"/>
        </w:rPr>
        <w:t>bepaalde</w:t>
      </w:r>
      <w:r>
        <w:rPr>
          <w:color w:val="231F20"/>
          <w:spacing w:val="16"/>
        </w:rPr>
        <w:t> </w:t>
      </w:r>
      <w:r>
        <w:rPr>
          <w:color w:val="231F20"/>
        </w:rPr>
        <w:t>uitzonderingen,</w:t>
      </w:r>
      <w:r>
        <w:rPr>
          <w:color w:val="231F20"/>
          <w:spacing w:val="17"/>
        </w:rPr>
        <w:t> </w:t>
      </w:r>
      <w:r>
        <w:rPr>
          <w:color w:val="231F20"/>
        </w:rPr>
        <w:t>blijven</w:t>
      </w:r>
      <w:r>
        <w:rPr>
          <w:color w:val="231F20"/>
          <w:spacing w:val="16"/>
        </w:rPr>
        <w:t> </w:t>
      </w:r>
      <w:r>
        <w:rPr>
          <w:color w:val="231F20"/>
        </w:rPr>
        <w:t>van</w:t>
      </w:r>
      <w:r>
        <w:rPr>
          <w:color w:val="231F20"/>
          <w:spacing w:val="17"/>
        </w:rPr>
        <w:t> </w:t>
      </w:r>
      <w:r>
        <w:rPr>
          <w:color w:val="231F20"/>
        </w:rPr>
        <w:t>toepassing;</w:t>
      </w:r>
    </w:p>
    <w:p>
      <w:pPr>
        <w:pStyle w:val="BodyText"/>
        <w:spacing w:line="218" w:lineRule="auto" w:before="118"/>
      </w:pPr>
      <w:r>
        <w:rPr>
          <w:color w:val="231F20"/>
        </w:rPr>
        <w:t>3° de in artikel 12:63 bedoelde informatie heeft betrekking op alle wijzigingen in de activa en passiva sedert de datum waarop het splitsingsvoorstel is opgesteld.</w:t>
      </w:r>
    </w:p>
    <w:p>
      <w:pPr>
        <w:pStyle w:val="BodyText"/>
        <w:spacing w:line="218" w:lineRule="auto" w:before="118"/>
        <w:ind w:right="125"/>
      </w:pPr>
      <w:r>
        <w:rPr>
          <w:color w:val="231F20"/>
        </w:rPr>
        <w:t>In dat geval beslist het bestuursorgaan van de te splitsen vennoot- schap over de goedkeuring van de splitsing.</w:t>
      </w:r>
    </w:p>
    <w:p>
      <w:pPr>
        <w:pStyle w:val="BodyText"/>
        <w:spacing w:line="218" w:lineRule="auto" w:before="117"/>
      </w:pPr>
      <w:r>
        <w:rPr>
          <w:color w:val="231F20"/>
        </w:rPr>
        <w:t>Een of meer vennoten of aandeelhouders van de gesplitste vennoot- schap die 5 % van het aantal uitgegeven aandelen bezitten of, in een naamloze vennootschap of een Europese vennootschap, die 5 % van het geplaatste kapitaal vertegenwoordigen, hebben niettemin het recht om de algemene vergadering van deze vennootschap bijeen te roepen, die over het splitsingsvoorstel moet besluiten. Aandelen zonder stemrecht worden bij de berekening van dit percentage buiten beschouwing gelaten.</w:t>
      </w:r>
    </w:p>
    <w:p>
      <w:pPr>
        <w:spacing w:after="0" w:line="218" w:lineRule="auto"/>
        <w:sectPr>
          <w:headerReference w:type="even" r:id="rId103"/>
          <w:headerReference w:type="default" r:id="rId104"/>
          <w:pgSz w:w="11940" w:h="16880"/>
          <w:pgMar w:header="666" w:footer="0" w:top="1140" w:bottom="280" w:left="340" w:right="360"/>
          <w:cols w:num="2" w:equalWidth="0">
            <w:col w:w="5550" w:space="78"/>
            <w:col w:w="5612"/>
          </w:cols>
        </w:sectPr>
      </w:pPr>
    </w:p>
    <w:p>
      <w:pPr>
        <w:pStyle w:val="BodyText"/>
        <w:spacing w:line="218" w:lineRule="auto" w:before="119"/>
        <w:ind w:right="74"/>
      </w:pPr>
      <w:r>
        <w:rPr/>
        <w:pict>
          <v:line style="position:absolute;mso-position-horizontal-relative:page;mso-position-vertical-relative:page;z-index:6832" from="298.170502pt,64.473pt" to="298.170502pt,812.819pt" stroked="true" strokeweight=".533pt" strokecolor="#231f20">
            <v:stroke dashstyle="solid"/>
            <w10:wrap type="none"/>
          </v:line>
        </w:pict>
      </w:r>
      <w:bookmarkStart w:name="_bookmark242" w:id="248"/>
      <w:bookmarkEnd w:id="248"/>
      <w:r>
        <w:rPr/>
      </w:r>
      <w:r>
        <w:rPr>
          <w:color w:val="231F20"/>
        </w:rPr>
        <w:t>Art. 12:68. Dans chaque société participant à la scission, le procès- verbal de l’assemblée générale, ou, dans le cas visé à l’article 12:67, § 7, de l’organe d’administration, qui décide la scission est, à peine de nullité, établi par acte authentique.</w:t>
      </w:r>
    </w:p>
    <w:p>
      <w:pPr>
        <w:pStyle w:val="BodyText"/>
        <w:ind w:left="0" w:right="0" w:firstLine="0"/>
        <w:jc w:val="left"/>
        <w:rPr>
          <w:sz w:val="24"/>
        </w:rPr>
      </w:pPr>
    </w:p>
    <w:p>
      <w:pPr>
        <w:pStyle w:val="BodyText"/>
        <w:spacing w:line="218" w:lineRule="auto"/>
        <w:ind w:right="0"/>
      </w:pPr>
      <w:r>
        <w:rPr>
          <w:color w:val="231F20"/>
        </w:rPr>
        <w:t>L’acte reproduit, le cas échéant, les conclusions du rapport visé à l’article 12:62.</w:t>
      </w:r>
    </w:p>
    <w:p>
      <w:pPr>
        <w:pStyle w:val="BodyText"/>
        <w:spacing w:line="218" w:lineRule="auto" w:before="96"/>
        <w:ind w:right="74"/>
      </w:pPr>
      <w:r>
        <w:rPr>
          <w:color w:val="231F20"/>
        </w:rPr>
        <w:t>Le notaire doit vérifier et attester l’existence et la légalité, tant</w:t>
      </w:r>
      <w:r>
        <w:rPr>
          <w:color w:val="231F20"/>
          <w:spacing w:val="-24"/>
        </w:rPr>
        <w:t> </w:t>
      </w:r>
      <w:r>
        <w:rPr>
          <w:color w:val="231F20"/>
        </w:rPr>
        <w:t>interne qu’externe, des actes et formalités incombant à la société auprès de laquelle il</w:t>
      </w:r>
      <w:r>
        <w:rPr>
          <w:color w:val="231F20"/>
          <w:spacing w:val="-12"/>
        </w:rPr>
        <w:t> </w:t>
      </w:r>
      <w:r>
        <w:rPr>
          <w:color w:val="231F20"/>
        </w:rPr>
        <w:t>instrumente.</w:t>
      </w:r>
    </w:p>
    <w:p>
      <w:pPr>
        <w:pStyle w:val="BodyText"/>
        <w:spacing w:line="218" w:lineRule="auto" w:before="96"/>
        <w:ind w:right="73"/>
      </w:pPr>
      <w:r>
        <w:rPr>
          <w:color w:val="231F20"/>
        </w:rPr>
        <w:t>Art. 12:69. Immédiatement après la décision de participation à la scission, l’assemblée générale d’une société bénéficiaire arrête les modifications éventuelles de ses statuts, y compris les dispositions qui modifieraient son objet, aux conditions de présence et de majorité requises par le présent code. A défaut, la décision de participation à la scission reste sans</w:t>
      </w:r>
      <w:r>
        <w:rPr>
          <w:color w:val="231F20"/>
          <w:spacing w:val="2"/>
        </w:rPr>
        <w:t> </w:t>
      </w:r>
      <w:r>
        <w:rPr>
          <w:color w:val="231F20"/>
        </w:rPr>
        <w:t>effet.</w:t>
      </w:r>
    </w:p>
    <w:p>
      <w:pPr>
        <w:pStyle w:val="BodyText"/>
        <w:spacing w:line="218" w:lineRule="auto" w:before="97"/>
        <w:ind w:right="73"/>
      </w:pPr>
      <w:r>
        <w:rPr>
          <w:color w:val="231F20"/>
        </w:rPr>
        <w:t>La scission est réalisée lorsque sont intervenues les décisions concordantes prises au sein de toutes les sociétés intéressées.</w:t>
      </w:r>
    </w:p>
    <w:p>
      <w:pPr>
        <w:pStyle w:val="BodyText"/>
        <w:spacing w:line="218" w:lineRule="auto" w:before="96"/>
        <w:ind w:right="73"/>
      </w:pPr>
      <w:r>
        <w:rPr>
          <w:color w:val="231F20"/>
        </w:rPr>
        <w:t>Art. 12:70. Sous réserve des modalités déterminées aux alinéas 2 et 3, les actes constatant les décisions de participation à une opération de scission prises au sein de la société scindée et des sociétés bénéficiaires sont déposés et publiés par extrait conformément aux articles 2:8 et 2:14, 1°, et, le cas échéant, les actes modifiant les statuts d’une société bénéficiaire sont déposés et publiés conformément aux articles 2:8 et 2:14, 1°.</w:t>
      </w:r>
    </w:p>
    <w:p>
      <w:pPr>
        <w:pStyle w:val="BodyText"/>
        <w:spacing w:before="11"/>
        <w:ind w:left="0" w:right="0" w:firstLine="0"/>
        <w:jc w:val="left"/>
        <w:rPr>
          <w:sz w:val="23"/>
        </w:rPr>
      </w:pPr>
    </w:p>
    <w:p>
      <w:pPr>
        <w:pStyle w:val="BodyText"/>
        <w:spacing w:line="218" w:lineRule="auto"/>
        <w:ind w:right="73"/>
      </w:pPr>
      <w:r>
        <w:rPr>
          <w:color w:val="231F20"/>
        </w:rPr>
        <w:t>Ils sont publiés simultanément dans les dix jours du dépôt de l’acte constatant la décision de participation à la scission prise lors de</w:t>
      </w:r>
      <w:r>
        <w:rPr>
          <w:color w:val="231F20"/>
          <w:spacing w:val="27"/>
        </w:rPr>
        <w:t> </w:t>
      </w:r>
      <w:r>
        <w:rPr>
          <w:color w:val="231F20"/>
        </w:rPr>
        <w:t>la réunion des organes compétents qui s’est tenue en dernier lieu, soit l’assemblée générale, ou, dans le cas </w:t>
      </w:r>
      <w:r>
        <w:rPr>
          <w:color w:val="231F20"/>
          <w:spacing w:val="3"/>
        </w:rPr>
        <w:t>visé </w:t>
      </w:r>
      <w:r>
        <w:rPr>
          <w:color w:val="231F20"/>
        </w:rPr>
        <w:t>à l’article 12:67, § 7, l’organe d’administration de la société</w:t>
      </w:r>
      <w:r>
        <w:rPr>
          <w:color w:val="231F20"/>
          <w:spacing w:val="19"/>
        </w:rPr>
        <w:t> </w:t>
      </w:r>
      <w:r>
        <w:rPr>
          <w:color w:val="231F20"/>
        </w:rPr>
        <w:t>scindée.</w:t>
      </w:r>
    </w:p>
    <w:p>
      <w:pPr>
        <w:pStyle w:val="BodyText"/>
        <w:spacing w:before="11"/>
        <w:ind w:left="0" w:right="0" w:firstLine="0"/>
        <w:jc w:val="left"/>
        <w:rPr>
          <w:sz w:val="23"/>
        </w:rPr>
      </w:pPr>
    </w:p>
    <w:p>
      <w:pPr>
        <w:pStyle w:val="BodyText"/>
        <w:spacing w:line="218" w:lineRule="auto"/>
        <w:ind w:right="73"/>
      </w:pPr>
      <w:r>
        <w:rPr>
          <w:color w:val="231F20"/>
        </w:rPr>
        <w:t>Une société bénéficiaire peut procéder elle-même aux formalités de publicité concernant la société</w:t>
      </w:r>
      <w:r>
        <w:rPr>
          <w:color w:val="231F20"/>
          <w:spacing w:val="17"/>
        </w:rPr>
        <w:t> </w:t>
      </w:r>
      <w:r>
        <w:rPr>
          <w:color w:val="231F20"/>
        </w:rPr>
        <w:t>scindée.</w:t>
      </w:r>
    </w:p>
    <w:p>
      <w:pPr>
        <w:pStyle w:val="BodyText"/>
        <w:spacing w:line="218" w:lineRule="auto" w:before="81"/>
        <w:ind w:right="73"/>
      </w:pPr>
      <w:r>
        <w:rPr>
          <w:color w:val="231F20"/>
        </w:rPr>
        <w:t>Art. 12:71. § 1</w:t>
      </w:r>
      <w:r>
        <w:rPr>
          <w:color w:val="231F20"/>
          <w:position w:val="7"/>
          <w:sz w:val="11"/>
        </w:rPr>
        <w:t>er</w:t>
      </w:r>
      <w:r>
        <w:rPr>
          <w:color w:val="231F20"/>
        </w:rPr>
        <w:t>. A moins qu’il en ait été décidé autrement par les sociétés intéressées, les parts ou actions émises par une société bénéficiaire en contrepartie de la part de patrimoine de la société scindée qui lui revient, sont réparties entre les associés ou actionnaires de la société scindée à la diligence et sous la responsabilité de leurs organes d’administration au moment de la scission.</w:t>
      </w:r>
    </w:p>
    <w:p>
      <w:pPr>
        <w:pStyle w:val="BodyText"/>
        <w:spacing w:line="218" w:lineRule="auto" w:before="96"/>
        <w:ind w:right="74"/>
      </w:pPr>
      <w:r>
        <w:rPr>
          <w:color w:val="231F20"/>
        </w:rPr>
        <w:t>S’il y a lieu, ces organes assurent la mise à jour des registres des actions ou parts nominatives ou d’autres registres.</w:t>
      </w:r>
    </w:p>
    <w:p>
      <w:pPr>
        <w:pStyle w:val="BodyText"/>
        <w:spacing w:line="218" w:lineRule="auto" w:before="96"/>
        <w:ind w:right="74"/>
      </w:pPr>
      <w:r>
        <w:rPr>
          <w:color w:val="231F20"/>
        </w:rPr>
        <w:t>Les frais de ces opérations sont supportés par les sociétés bénéficiai- res, chacune pour leur part.</w:t>
      </w:r>
    </w:p>
    <w:p>
      <w:pPr>
        <w:pStyle w:val="BodyText"/>
        <w:spacing w:line="218" w:lineRule="auto" w:before="96"/>
        <w:ind w:right="74"/>
      </w:pPr>
      <w:r>
        <w:rPr>
          <w:color w:val="231F20"/>
        </w:rPr>
        <w:t>§ 2. Aucune action ou part d’une société bénéficiaire ne peut être attribuée en échange d’actions ou parts de la société scindée détenues:</w:t>
      </w:r>
    </w:p>
    <w:p>
      <w:pPr>
        <w:pStyle w:val="BodyText"/>
        <w:ind w:left="0" w:right="0" w:firstLine="0"/>
        <w:jc w:val="left"/>
        <w:rPr>
          <w:sz w:val="24"/>
        </w:rPr>
      </w:pPr>
    </w:p>
    <w:p>
      <w:pPr>
        <w:pStyle w:val="BodyText"/>
        <w:spacing w:line="218" w:lineRule="auto"/>
        <w:ind w:right="73"/>
      </w:pPr>
      <w:r>
        <w:rPr>
          <w:color w:val="231F20"/>
        </w:rPr>
        <w:t>1° soit par cette société bénéficiaire elle-même ou par une personne agissant en son nom propre mais pour le compte de la société;</w:t>
      </w:r>
    </w:p>
    <w:p>
      <w:pPr>
        <w:pStyle w:val="BodyText"/>
        <w:spacing w:line="218" w:lineRule="auto" w:before="96"/>
        <w:ind w:right="73"/>
      </w:pPr>
      <w:r>
        <w:rPr>
          <w:color w:val="231F20"/>
        </w:rPr>
        <w:t>2° soit par la société scindée elle-même ou par une personne agissant en son nom propre mais pour le compte de la société.</w:t>
      </w:r>
    </w:p>
    <w:p>
      <w:pPr>
        <w:pStyle w:val="BodyText"/>
        <w:spacing w:line="218" w:lineRule="auto" w:before="96"/>
        <w:ind w:right="73"/>
      </w:pPr>
      <w:r>
        <w:rPr>
          <w:color w:val="231F20"/>
        </w:rPr>
        <w:t>Art. 12:72. L’organe d’administration de la société scindée établit ses comptes annuels pour la période comprise entre la date de clôture du dernier exercice social dont les comptes ont été approuvés et la date visée à l’article 12:59, alinéa 2, 5°, conformément aux dispositions du présent code lui applicables. Le cas échéant, l’organe d’administration de cette société rédige également un rapport de gestion relatif à cette période, conformément aux dispositions du présent code lui applica- bles. Si un commissaire a été désigné dans la société scindée, celui-ci rédige également un rapport concernant son contrôle sur cette période, conformément aux dispositions du présent code applicables à la société scindée.</w:t>
      </w:r>
    </w:p>
    <w:p>
      <w:pPr>
        <w:pStyle w:val="BodyText"/>
        <w:ind w:left="0" w:right="0" w:firstLine="0"/>
        <w:jc w:val="left"/>
        <w:rPr>
          <w:sz w:val="24"/>
        </w:rPr>
      </w:pPr>
    </w:p>
    <w:p>
      <w:pPr>
        <w:pStyle w:val="BodyText"/>
        <w:spacing w:line="218" w:lineRule="auto"/>
        <w:ind w:right="73"/>
      </w:pPr>
      <w:r>
        <w:rPr>
          <w:color w:val="231F20"/>
        </w:rPr>
        <w:t>Si la scission a été réalisée avant la date d’approbation des comptes annuels, l’assemblée générale de chaque société bénéficiaire approuve les comptes annuels conformément aux dispositions applicables à cette dernière pour les comptes annuels et se prononce sur la décharge des organes d’administration et de contrôle de la société scindée, sous réserve de l’article 12:18.</w:t>
      </w:r>
    </w:p>
    <w:p>
      <w:pPr>
        <w:pStyle w:val="BodyText"/>
        <w:spacing w:line="218" w:lineRule="auto" w:before="81"/>
        <w:ind w:right="74"/>
      </w:pPr>
      <w:r>
        <w:rPr>
          <w:color w:val="231F20"/>
        </w:rPr>
        <w:t>Art. 12:73. § 1</w:t>
      </w:r>
      <w:r>
        <w:rPr>
          <w:color w:val="231F20"/>
          <w:position w:val="7"/>
          <w:sz w:val="11"/>
        </w:rPr>
        <w:t>er</w:t>
      </w:r>
      <w:r>
        <w:rPr>
          <w:color w:val="231F20"/>
        </w:rPr>
        <w:t>. La scission par absorption peut également être appliquée lorsqu’une ou plusieurs des sociétés participant à la scission sont régies par un droit étranger, à condition que:</w:t>
      </w:r>
    </w:p>
    <w:p>
      <w:pPr>
        <w:pStyle w:val="BodyText"/>
        <w:spacing w:before="10"/>
        <w:ind w:left="0" w:right="0" w:firstLine="0"/>
        <w:jc w:val="left"/>
        <w:rPr>
          <w:sz w:val="24"/>
        </w:rPr>
      </w:pPr>
    </w:p>
    <w:p>
      <w:pPr>
        <w:pStyle w:val="BodyText"/>
        <w:spacing w:line="218" w:lineRule="auto"/>
        <w:ind w:right="73"/>
      </w:pPr>
      <w:r>
        <w:rPr>
          <w:color w:val="231F20"/>
        </w:rPr>
        <w:t>1° le droit étranger reconnaisse la validité et les effets juridiques d’une scission transfrontalière par absorption avec une société régie par le droit belge;</w:t>
      </w:r>
      <w:r>
        <w:rPr>
          <w:color w:val="231F20"/>
          <w:spacing w:val="3"/>
        </w:rPr>
        <w:t> </w:t>
      </w:r>
      <w:r>
        <w:rPr>
          <w:color w:val="231F20"/>
        </w:rPr>
        <w:t>et</w:t>
      </w:r>
    </w:p>
    <w:p>
      <w:pPr>
        <w:pStyle w:val="BodyText"/>
        <w:spacing w:line="218" w:lineRule="auto" w:before="119"/>
      </w:pPr>
      <w:r>
        <w:rPr/>
        <w:br w:type="column"/>
      </w:r>
      <w:r>
        <w:rPr>
          <w:color w:val="231F20"/>
        </w:rPr>
        <w:t>Art. 12:68. In elke vennootschap die aan de splitsing deelneemt, worden de notulen van de algemene vergadering, of, in het geval bedoeld in artikel 12:67, § 7, van het bestuursorgaan, waarin tot de splitsing wordt besloten op straffe van nietigheid opgesteld bij authentieke akte.</w:t>
      </w:r>
    </w:p>
    <w:p>
      <w:pPr>
        <w:pStyle w:val="BodyText"/>
        <w:spacing w:line="218" w:lineRule="auto" w:before="97"/>
      </w:pPr>
      <w:r>
        <w:rPr>
          <w:color w:val="231F20"/>
        </w:rPr>
        <w:t>In de akte worden, in voorkomend geval, de conclusies opgenomen van het in artikel 12:62 bedoelde verslag.</w:t>
      </w:r>
    </w:p>
    <w:p>
      <w:pPr>
        <w:pStyle w:val="BodyText"/>
        <w:spacing w:line="218" w:lineRule="auto" w:before="96"/>
      </w:pPr>
      <w:r>
        <w:rPr>
          <w:color w:val="231F20"/>
        </w:rPr>
        <w:t>De notaris moet na onderzoek het bestaan en zowel de interne als de externe wettigheid bevestigen van de rechtshandelingen en formalitei- ten waartoe de vennootschap waarvoor hij optreedt, is gehouden.</w:t>
      </w:r>
    </w:p>
    <w:p>
      <w:pPr>
        <w:pStyle w:val="BodyText"/>
        <w:spacing w:line="218" w:lineRule="auto" w:before="96"/>
      </w:pPr>
      <w:r>
        <w:rPr>
          <w:color w:val="231F20"/>
        </w:rPr>
        <w:t>Art. 12:69. Onmiddellijk na het besluit tot deelneming aan de splitsing stelt de algemene vergadering van een verkrijgende vennoot- schap de eventuele wijzigingen van haar statuten, met inbegrip van de bepalingen tot wijziging van haar voorwerp, vast volgens de regels van aanwezigheid en meerderheid door dit wetboek vereist. Bij gebrek daaraan blijft het besluit tot splitsing zonder gevolg.</w:t>
      </w:r>
    </w:p>
    <w:p>
      <w:pPr>
        <w:pStyle w:val="BodyText"/>
        <w:spacing w:line="218" w:lineRule="auto" w:before="97"/>
      </w:pPr>
      <w:r>
        <w:rPr>
          <w:color w:val="231F20"/>
        </w:rPr>
        <w:t>De splitsing is voltrokken zodra alle betrokken vennootschappen daartoe overeenstemmende besluiten hebben genomen.</w:t>
      </w:r>
    </w:p>
    <w:p>
      <w:pPr>
        <w:pStyle w:val="BodyText"/>
        <w:spacing w:line="218" w:lineRule="auto" w:before="96"/>
        <w:ind w:right="123"/>
      </w:pPr>
      <w:r>
        <w:rPr>
          <w:color w:val="231F20"/>
        </w:rPr>
        <w:t>Art. 12:70. Met inachtneming van de in het tweede en het derde lid bepaalde regels, worden de akten houdende vaststelling van de besluiten tot deelneming aan de splitsing van de gesplitste vennoot- schap en van de verkrijgende vennootschappen neergelegd en bij uittreksel bekendgemaakt, overeenkomstig de artikelen 2:8 en 2:14, 1°, en, in voorkomend geval, worden de akten tot statutenwijziging van  een verkrijgende vennootschap neergelegd en bekendgemaakt overeen- komstig</w:t>
      </w:r>
      <w:r>
        <w:rPr>
          <w:color w:val="231F20"/>
          <w:spacing w:val="14"/>
        </w:rPr>
        <w:t> </w:t>
      </w:r>
      <w:r>
        <w:rPr>
          <w:color w:val="231F20"/>
        </w:rPr>
        <w:t>de</w:t>
      </w:r>
      <w:r>
        <w:rPr>
          <w:color w:val="231F20"/>
          <w:spacing w:val="14"/>
        </w:rPr>
        <w:t> </w:t>
      </w:r>
      <w:r>
        <w:rPr>
          <w:color w:val="231F20"/>
        </w:rPr>
        <w:t>artikelen</w:t>
      </w:r>
      <w:r>
        <w:rPr>
          <w:color w:val="231F20"/>
          <w:spacing w:val="14"/>
        </w:rPr>
        <w:t> </w:t>
      </w:r>
      <w:r>
        <w:rPr>
          <w:color w:val="231F20"/>
        </w:rPr>
        <w:t>2:8</w:t>
      </w:r>
      <w:r>
        <w:rPr>
          <w:color w:val="231F20"/>
          <w:spacing w:val="14"/>
        </w:rPr>
        <w:t> </w:t>
      </w:r>
      <w:r>
        <w:rPr>
          <w:color w:val="231F20"/>
        </w:rPr>
        <w:t>en</w:t>
      </w:r>
      <w:r>
        <w:rPr>
          <w:color w:val="231F20"/>
          <w:spacing w:val="15"/>
        </w:rPr>
        <w:t> </w:t>
      </w:r>
      <w:r>
        <w:rPr>
          <w:color w:val="231F20"/>
        </w:rPr>
        <w:t>2:14,</w:t>
      </w:r>
      <w:r>
        <w:rPr>
          <w:color w:val="231F20"/>
          <w:spacing w:val="14"/>
        </w:rPr>
        <w:t> </w:t>
      </w:r>
      <w:r>
        <w:rPr>
          <w:color w:val="231F20"/>
        </w:rPr>
        <w:t>1°.</w:t>
      </w:r>
    </w:p>
    <w:p>
      <w:pPr>
        <w:pStyle w:val="BodyText"/>
        <w:spacing w:line="218" w:lineRule="auto" w:before="96"/>
      </w:pPr>
      <w:r>
        <w:rPr>
          <w:color w:val="231F20"/>
        </w:rPr>
        <w:t>Zij worden gelijktijdig bekendgemaakt binnen tien dagen na de neerlegging van de akte houdende vaststelling van het besluit tot deelneming aan de splitsing genomen tijdens de laatst gehouden vergadering van de bevoegde organen, hetzij de algemene vergadering of, in het in artikel 12:67, § 7, bedoelde geval, het bestuursorgaan van</w:t>
      </w:r>
      <w:r>
        <w:rPr>
          <w:color w:val="231F20"/>
          <w:spacing w:val="-15"/>
        </w:rPr>
        <w:t> </w:t>
      </w:r>
      <w:r>
        <w:rPr>
          <w:color w:val="231F20"/>
        </w:rPr>
        <w:t>de gesplitste</w:t>
      </w:r>
      <w:r>
        <w:rPr>
          <w:color w:val="231F20"/>
          <w:spacing w:val="15"/>
        </w:rPr>
        <w:t> </w:t>
      </w:r>
      <w:r>
        <w:rPr>
          <w:color w:val="231F20"/>
        </w:rPr>
        <w:t>vennootschap.</w:t>
      </w:r>
    </w:p>
    <w:p>
      <w:pPr>
        <w:pStyle w:val="BodyText"/>
        <w:spacing w:line="218" w:lineRule="auto" w:before="97"/>
      </w:pPr>
      <w:r>
        <w:rPr>
          <w:color w:val="231F20"/>
        </w:rPr>
        <w:t>Een verkrijgende vennootschap kan zelf de formaliteiten inzake openbaarmaking betreffende de gesplitste vennootschap verrichten.</w:t>
      </w:r>
    </w:p>
    <w:p>
      <w:pPr>
        <w:pStyle w:val="BodyText"/>
        <w:spacing w:line="218" w:lineRule="auto" w:before="96"/>
      </w:pPr>
      <w:r>
        <w:rPr>
          <w:color w:val="231F20"/>
        </w:rPr>
        <w:t>Art. 12:71. § 1. </w:t>
      </w:r>
      <w:r>
        <w:rPr>
          <w:color w:val="231F20"/>
          <w:spacing w:val="-3"/>
        </w:rPr>
        <w:t>Tenzij </w:t>
      </w:r>
      <w:r>
        <w:rPr>
          <w:color w:val="231F20"/>
        </w:rPr>
        <w:t>de betrokken vennootschappen anders hebben besloten, worden de aandelen die een verkrijgende vennootschap heeft uitgegeven in ruil voor haar deel van het vermogen van de gesplitste vennootschap, onder de vennoten of aandeelhouders van de gesplitste vennootschap verdeeld, door en onder de verantwoordelijkheid van hun</w:t>
      </w:r>
      <w:r>
        <w:rPr>
          <w:color w:val="231F20"/>
          <w:spacing w:val="16"/>
        </w:rPr>
        <w:t> </w:t>
      </w:r>
      <w:r>
        <w:rPr>
          <w:color w:val="231F20"/>
        </w:rPr>
        <w:t>bestuursorganen</w:t>
      </w:r>
      <w:r>
        <w:rPr>
          <w:color w:val="231F20"/>
          <w:spacing w:val="16"/>
        </w:rPr>
        <w:t> </w:t>
      </w:r>
      <w:r>
        <w:rPr>
          <w:color w:val="231F20"/>
        </w:rPr>
        <w:t>op</w:t>
      </w:r>
      <w:r>
        <w:rPr>
          <w:color w:val="231F20"/>
          <w:spacing w:val="17"/>
        </w:rPr>
        <w:t> </w:t>
      </w:r>
      <w:r>
        <w:rPr>
          <w:color w:val="231F20"/>
        </w:rPr>
        <w:t>het</w:t>
      </w:r>
      <w:r>
        <w:rPr>
          <w:color w:val="231F20"/>
          <w:spacing w:val="16"/>
        </w:rPr>
        <w:t> </w:t>
      </w:r>
      <w:r>
        <w:rPr>
          <w:color w:val="231F20"/>
        </w:rPr>
        <w:t>ogenblik</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splitsing.</w:t>
      </w:r>
    </w:p>
    <w:p>
      <w:pPr>
        <w:pStyle w:val="BodyText"/>
        <w:spacing w:line="218" w:lineRule="auto" w:before="96"/>
      </w:pPr>
      <w:r>
        <w:rPr>
          <w:color w:val="231F20"/>
        </w:rPr>
        <w:t>Deze organen zorgen zo nodig voor de bijwerking van de registers van</w:t>
      </w:r>
      <w:r>
        <w:rPr>
          <w:color w:val="231F20"/>
          <w:spacing w:val="15"/>
        </w:rPr>
        <w:t> </w:t>
      </w:r>
      <w:r>
        <w:rPr>
          <w:color w:val="231F20"/>
        </w:rPr>
        <w:t>de</w:t>
      </w:r>
      <w:r>
        <w:rPr>
          <w:color w:val="231F20"/>
          <w:spacing w:val="15"/>
        </w:rPr>
        <w:t> </w:t>
      </w:r>
      <w:r>
        <w:rPr>
          <w:color w:val="231F20"/>
        </w:rPr>
        <w:t>aandelen</w:t>
      </w:r>
      <w:r>
        <w:rPr>
          <w:color w:val="231F20"/>
          <w:spacing w:val="16"/>
        </w:rPr>
        <w:t> </w:t>
      </w:r>
      <w:r>
        <w:rPr>
          <w:color w:val="231F20"/>
        </w:rPr>
        <w:t>op</w:t>
      </w:r>
      <w:r>
        <w:rPr>
          <w:color w:val="231F20"/>
          <w:spacing w:val="15"/>
        </w:rPr>
        <w:t> </w:t>
      </w:r>
      <w:r>
        <w:rPr>
          <w:color w:val="231F20"/>
        </w:rPr>
        <w:t>naam</w:t>
      </w:r>
      <w:r>
        <w:rPr>
          <w:color w:val="231F20"/>
          <w:spacing w:val="16"/>
        </w:rPr>
        <w:t> </w:t>
      </w:r>
      <w:r>
        <w:rPr>
          <w:color w:val="231F20"/>
        </w:rPr>
        <w:t>of</w:t>
      </w:r>
      <w:r>
        <w:rPr>
          <w:color w:val="231F20"/>
          <w:spacing w:val="15"/>
        </w:rPr>
        <w:t> </w:t>
      </w:r>
      <w:r>
        <w:rPr>
          <w:color w:val="231F20"/>
        </w:rPr>
        <w:t>andere</w:t>
      </w:r>
      <w:r>
        <w:rPr>
          <w:color w:val="231F20"/>
          <w:spacing w:val="15"/>
        </w:rPr>
        <w:t> </w:t>
      </w:r>
      <w:r>
        <w:rPr>
          <w:color w:val="231F20"/>
        </w:rPr>
        <w:t>registers.</w:t>
      </w:r>
    </w:p>
    <w:p>
      <w:pPr>
        <w:pStyle w:val="BodyText"/>
        <w:spacing w:line="218" w:lineRule="auto" w:before="96"/>
      </w:pPr>
      <w:r>
        <w:rPr>
          <w:color w:val="231F20"/>
        </w:rPr>
        <w:t>De kosten van deze verrichtingen worden door de verkrijgende vennootschappen gedragen naar evenredigheid van hun aandeel.</w:t>
      </w:r>
    </w:p>
    <w:p>
      <w:pPr>
        <w:pStyle w:val="BodyText"/>
        <w:spacing w:line="218" w:lineRule="auto" w:before="96"/>
      </w:pPr>
      <w:r>
        <w:rPr>
          <w:color w:val="231F20"/>
        </w:rPr>
        <w:t>§ 2. Er vindt geen omwisseling plaats van aandelen van een verkrijgende vennootschap tegen aandelen van de gesplitste vennoot- schap die worden gehouden:</w:t>
      </w:r>
    </w:p>
    <w:p>
      <w:pPr>
        <w:pStyle w:val="BodyText"/>
        <w:spacing w:line="218" w:lineRule="auto" w:before="97"/>
      </w:pPr>
      <w:r>
        <w:rPr>
          <w:color w:val="231F20"/>
        </w:rPr>
        <w:t>1° door de verkrijgende vennootschap zelf of door een persoon die in eigen naam, maar voor rekening van de vennootschap handelt, of</w:t>
      </w:r>
    </w:p>
    <w:p>
      <w:pPr>
        <w:pStyle w:val="BodyText"/>
        <w:spacing w:line="218" w:lineRule="auto" w:before="96"/>
      </w:pPr>
      <w:r>
        <w:rPr>
          <w:color w:val="231F20"/>
        </w:rPr>
        <w:t>2° door de gesplitste vennootschap zelf of door een persoon die in eigen naam, maar voor rekening van de vennootschap handelt.</w:t>
      </w:r>
    </w:p>
    <w:p>
      <w:pPr>
        <w:pStyle w:val="BodyText"/>
        <w:spacing w:line="218" w:lineRule="auto" w:before="96"/>
      </w:pPr>
      <w:r>
        <w:rPr>
          <w:color w:val="231F20"/>
        </w:rPr>
        <w:t>Art. 12:72. Het bestuursorgaan van de gesplitste vennootschap maakt haar jaarrekening over het tijdvak begrepen tussen de datum van jaarafsluiting van het laatste boekjaar waarvoor de rekeningen zijn goedgekeurd en de in artikel 12:59, tweede lid, 5°, bedoelde datum, op overeenkomstig de bepalingen van dit wetboek die op haar toepasselijk zijn. In voorkomend geval stelt het bestuursorgaan van die vennoot- schap eveneens een jaarverslag op met betrekking tot dit tijdvak overeenkomstig de bepalingen van dit wetboek die op haar toepasselijk zijn. Is er een commissaris aangesteld in de gesplitste vennootschap, stelt deze eveneens een verslag op over zijn controle over dit tijdvak overeenkomstig de bepalingen van dit wetboek die op de gesplitste vennootschap toepasselijk zijn.</w:t>
      </w:r>
    </w:p>
    <w:p>
      <w:pPr>
        <w:pStyle w:val="BodyText"/>
        <w:spacing w:line="218" w:lineRule="auto" w:before="97"/>
      </w:pPr>
      <w:r>
        <w:rPr>
          <w:color w:val="231F20"/>
        </w:rPr>
        <w:t>Indien de splitsing is voltrokken vóór de datum van goedkeuring van de jaarrekening, keurt de algemene vergadering van elke verkrijgende vennootschap de jaarrekening goed overeenkomstig de voor deze laatste toepasselijke bepalingen met betrekking tot de jaarrekening, en beslist zij over de kwijting aan de bestuurs- en toezichtsorganen van de gesplitste vennootschap, onverminderd artikel</w:t>
      </w:r>
      <w:r>
        <w:rPr>
          <w:color w:val="231F20"/>
          <w:spacing w:val="20"/>
        </w:rPr>
        <w:t> </w:t>
      </w:r>
      <w:r>
        <w:rPr>
          <w:color w:val="231F20"/>
        </w:rPr>
        <w:t>12:18.</w:t>
      </w:r>
    </w:p>
    <w:p>
      <w:pPr>
        <w:pStyle w:val="BodyText"/>
        <w:spacing w:line="218" w:lineRule="auto" w:before="96"/>
      </w:pPr>
      <w:r>
        <w:rPr>
          <w:color w:val="231F20"/>
        </w:rPr>
        <w:t>Art. 12:73. § 1. De splitsing door overneming kan eveneens worden toegepast wanneer één of meerdere van de vennootschappen die deelnemen aan de splitsing door een buitenlands recht worden beheerst op voorwaarde</w:t>
      </w:r>
      <w:r>
        <w:rPr>
          <w:color w:val="231F20"/>
          <w:spacing w:val="4"/>
        </w:rPr>
        <w:t> </w:t>
      </w:r>
      <w:r>
        <w:rPr>
          <w:color w:val="231F20"/>
        </w:rPr>
        <w:t>dat:</w:t>
      </w:r>
    </w:p>
    <w:p>
      <w:pPr>
        <w:pStyle w:val="BodyText"/>
        <w:spacing w:line="218" w:lineRule="auto" w:before="107"/>
      </w:pPr>
      <w:r>
        <w:rPr>
          <w:color w:val="231F20"/>
        </w:rPr>
        <w:t>1° het buitenlandse recht de geldigheid en rechtsgevolgen erkent van een grensoverschrijdende splitsing door overneming met een door het Belgische recht beheerste vennootschap; en</w:t>
      </w:r>
    </w:p>
    <w:p>
      <w:pPr>
        <w:spacing w:after="0" w:line="218" w:lineRule="auto"/>
        <w:sectPr>
          <w:pgSz w:w="11940" w:h="16880"/>
          <w:pgMar w:header="666" w:footer="0" w:top="1140" w:bottom="280" w:left="340" w:right="360"/>
          <w:cols w:num="2" w:equalWidth="0">
            <w:col w:w="5563" w:space="65"/>
            <w:col w:w="5612"/>
          </w:cols>
        </w:sectPr>
      </w:pPr>
    </w:p>
    <w:p>
      <w:pPr>
        <w:pStyle w:val="BodyText"/>
        <w:spacing w:line="218" w:lineRule="auto" w:before="120"/>
        <w:ind w:right="38"/>
      </w:pPr>
      <w:r>
        <w:rPr/>
        <w:pict>
          <v:line style="position:absolute;mso-position-horizontal-relative:page;mso-position-vertical-relative:page;z-index:6856" from="298.170502pt,64.473pt" to="298.170502pt,812.819pt" stroked="true" strokeweight=".533pt" strokecolor="#231f20">
            <v:stroke dashstyle="solid"/>
            <w10:wrap type="none"/>
          </v:line>
        </w:pict>
      </w:r>
      <w:bookmarkStart w:name="_bookmark243" w:id="249"/>
      <w:bookmarkEnd w:id="249"/>
      <w:r>
        <w:rPr/>
      </w:r>
      <w:r>
        <w:rPr>
          <w:color w:val="231F20"/>
        </w:rPr>
        <w:t>2° chaque société participant à la scission par absorption satisfasse aux dispositions et formalités de sa législation nationale qui lui sont applicables</w:t>
      </w:r>
      <w:r>
        <w:rPr>
          <w:color w:val="231F20"/>
          <w:spacing w:val="-4"/>
        </w:rPr>
        <w:t> </w:t>
      </w:r>
      <w:r>
        <w:rPr>
          <w:color w:val="231F20"/>
        </w:rPr>
        <w:t>ainsi</w:t>
      </w:r>
      <w:r>
        <w:rPr>
          <w:color w:val="231F20"/>
          <w:spacing w:val="-4"/>
        </w:rPr>
        <w:t> </w:t>
      </w:r>
      <w:r>
        <w:rPr>
          <w:color w:val="231F20"/>
        </w:rPr>
        <w:t>qu’à</w:t>
      </w:r>
      <w:r>
        <w:rPr>
          <w:color w:val="231F20"/>
          <w:spacing w:val="-4"/>
        </w:rPr>
        <w:t> </w:t>
      </w:r>
      <w:r>
        <w:rPr>
          <w:color w:val="231F20"/>
        </w:rPr>
        <w:t>ses</w:t>
      </w:r>
      <w:r>
        <w:rPr>
          <w:color w:val="231F20"/>
          <w:spacing w:val="-4"/>
        </w:rPr>
        <w:t> </w:t>
      </w:r>
      <w:r>
        <w:rPr>
          <w:color w:val="231F20"/>
        </w:rPr>
        <w:t>titulaires</w:t>
      </w:r>
      <w:r>
        <w:rPr>
          <w:color w:val="231F20"/>
          <w:spacing w:val="-4"/>
        </w:rPr>
        <w:t> </w:t>
      </w:r>
      <w:r>
        <w:rPr>
          <w:color w:val="231F20"/>
        </w:rPr>
        <w:t>de</w:t>
      </w:r>
      <w:r>
        <w:rPr>
          <w:color w:val="231F20"/>
          <w:spacing w:val="-4"/>
        </w:rPr>
        <w:t> </w:t>
      </w:r>
      <w:r>
        <w:rPr>
          <w:color w:val="231F20"/>
        </w:rPr>
        <w:t>titres,</w:t>
      </w:r>
      <w:r>
        <w:rPr>
          <w:color w:val="231F20"/>
          <w:spacing w:val="-4"/>
        </w:rPr>
        <w:t> </w:t>
      </w:r>
      <w:r>
        <w:rPr>
          <w:color w:val="231F20"/>
        </w:rPr>
        <w:t>organes</w:t>
      </w:r>
      <w:r>
        <w:rPr>
          <w:color w:val="231F20"/>
          <w:spacing w:val="-4"/>
        </w:rPr>
        <w:t> </w:t>
      </w:r>
      <w:r>
        <w:rPr>
          <w:color w:val="231F20"/>
        </w:rPr>
        <w:t>d’administration</w:t>
      </w:r>
      <w:r>
        <w:rPr>
          <w:color w:val="231F20"/>
          <w:spacing w:val="-3"/>
        </w:rPr>
        <w:t> </w:t>
      </w:r>
      <w:r>
        <w:rPr>
          <w:color w:val="231F20"/>
        </w:rPr>
        <w:t>et de contrôle, travailleurs et</w:t>
      </w:r>
      <w:r>
        <w:rPr>
          <w:color w:val="231F20"/>
          <w:spacing w:val="17"/>
        </w:rPr>
        <w:t> </w:t>
      </w:r>
      <w:r>
        <w:rPr>
          <w:color w:val="231F20"/>
        </w:rPr>
        <w:t>créanciers.</w:t>
      </w:r>
    </w:p>
    <w:p>
      <w:pPr>
        <w:pStyle w:val="BodyText"/>
        <w:spacing w:line="218" w:lineRule="auto" w:before="96"/>
        <w:ind w:right="38"/>
      </w:pPr>
      <w:r>
        <w:rPr>
          <w:color w:val="231F20"/>
        </w:rPr>
        <w:t>§ 2. Le consentement à la scission d’un associé d’une société belge dont la responsabilité est ou sera illimitée pour les dettes d’une société participant à la scission est toujours requis.</w:t>
      </w:r>
    </w:p>
    <w:p>
      <w:pPr>
        <w:pStyle w:val="BodyText"/>
        <w:spacing w:before="11"/>
        <w:ind w:left="0" w:right="0" w:firstLine="0"/>
        <w:jc w:val="left"/>
        <w:rPr>
          <w:sz w:val="23"/>
        </w:rPr>
      </w:pPr>
    </w:p>
    <w:p>
      <w:pPr>
        <w:pStyle w:val="BodyText"/>
        <w:spacing w:line="218" w:lineRule="auto"/>
        <w:ind w:right="38"/>
      </w:pPr>
      <w:r>
        <w:rPr>
          <w:color w:val="231F20"/>
        </w:rPr>
        <w:t>§ 3. Le notaire instrumentant délivre à la demande de toute société participant à la scission et relevant du droit belge un certificat attestant de façon incontestable l’accomplissement correct des actes et formalités préalables à la scission, conformément au droit applicable à cette société. Le notaire instrumentant ne délivre pas ce certificat aussi longtemps que les créanciers exigeant une sûreté conformément à l’article 12:15 n’auront pas obtenu satisfaction, à moins qu’une décision judiciaire exécutoire n’ait rejeté leurs prétentions. Le nom et la résidence du notaire instrumentant devant qui l’acte de scission sera passé</w:t>
      </w:r>
      <w:r>
        <w:rPr>
          <w:color w:val="231F20"/>
          <w:spacing w:val="-4"/>
        </w:rPr>
        <w:t> </w:t>
      </w:r>
      <w:r>
        <w:rPr>
          <w:color w:val="231F20"/>
        </w:rPr>
        <w:t>doivent</w:t>
      </w:r>
      <w:r>
        <w:rPr>
          <w:color w:val="231F20"/>
          <w:spacing w:val="-3"/>
        </w:rPr>
        <w:t> </w:t>
      </w:r>
      <w:r>
        <w:rPr>
          <w:color w:val="231F20"/>
        </w:rPr>
        <w:t>être</w:t>
      </w:r>
      <w:r>
        <w:rPr>
          <w:color w:val="231F20"/>
          <w:spacing w:val="-3"/>
        </w:rPr>
        <w:t> </w:t>
      </w:r>
      <w:r>
        <w:rPr>
          <w:color w:val="231F20"/>
        </w:rPr>
        <w:t>mentionnés</w:t>
      </w:r>
      <w:r>
        <w:rPr>
          <w:color w:val="231F20"/>
          <w:spacing w:val="-3"/>
        </w:rPr>
        <w:t> </w:t>
      </w:r>
      <w:r>
        <w:rPr>
          <w:color w:val="231F20"/>
        </w:rPr>
        <w:t>dans</w:t>
      </w:r>
      <w:r>
        <w:rPr>
          <w:color w:val="231F20"/>
          <w:spacing w:val="-3"/>
        </w:rPr>
        <w:t> </w:t>
      </w:r>
      <w:r>
        <w:rPr>
          <w:color w:val="231F20"/>
        </w:rPr>
        <w:t>le</w:t>
      </w:r>
      <w:r>
        <w:rPr>
          <w:color w:val="231F20"/>
          <w:spacing w:val="-3"/>
        </w:rPr>
        <w:t> </w:t>
      </w:r>
      <w:r>
        <w:rPr>
          <w:color w:val="231F20"/>
        </w:rPr>
        <w:t>projet</w:t>
      </w:r>
      <w:r>
        <w:rPr>
          <w:color w:val="231F20"/>
          <w:spacing w:val="-3"/>
        </w:rPr>
        <w:t> </w:t>
      </w:r>
      <w:r>
        <w:rPr>
          <w:color w:val="231F20"/>
        </w:rPr>
        <w:t>de</w:t>
      </w:r>
      <w:r>
        <w:rPr>
          <w:color w:val="231F20"/>
          <w:spacing w:val="-3"/>
        </w:rPr>
        <w:t> </w:t>
      </w:r>
      <w:r>
        <w:rPr>
          <w:color w:val="231F20"/>
        </w:rPr>
        <w:t>scission.</w:t>
      </w:r>
      <w:r>
        <w:rPr>
          <w:color w:val="231F20"/>
          <w:spacing w:val="-3"/>
        </w:rPr>
        <w:t> </w:t>
      </w:r>
      <w:r>
        <w:rPr>
          <w:color w:val="231F20"/>
        </w:rPr>
        <w:t>Par</w:t>
      </w:r>
      <w:r>
        <w:rPr>
          <w:color w:val="231F20"/>
          <w:spacing w:val="-3"/>
        </w:rPr>
        <w:t> </w:t>
      </w:r>
      <w:r>
        <w:rPr>
          <w:color w:val="231F20"/>
        </w:rPr>
        <w:t>dérogation à</w:t>
      </w:r>
      <w:r>
        <w:rPr>
          <w:color w:val="231F20"/>
          <w:spacing w:val="-5"/>
        </w:rPr>
        <w:t> </w:t>
      </w:r>
      <w:r>
        <w:rPr>
          <w:color w:val="231F20"/>
        </w:rPr>
        <w:t>l’article</w:t>
      </w:r>
      <w:r>
        <w:rPr>
          <w:color w:val="231F20"/>
          <w:spacing w:val="-5"/>
        </w:rPr>
        <w:t> </w:t>
      </w:r>
      <w:r>
        <w:rPr>
          <w:color w:val="231F20"/>
        </w:rPr>
        <w:t>12:15,</w:t>
      </w:r>
      <w:r>
        <w:rPr>
          <w:color w:val="231F20"/>
          <w:spacing w:val="-5"/>
        </w:rPr>
        <w:t> </w:t>
      </w:r>
      <w:r>
        <w:rPr>
          <w:color w:val="231F20"/>
        </w:rPr>
        <w:t>le</w:t>
      </w:r>
      <w:r>
        <w:rPr>
          <w:color w:val="231F20"/>
          <w:spacing w:val="-5"/>
        </w:rPr>
        <w:t> </w:t>
      </w:r>
      <w:r>
        <w:rPr>
          <w:color w:val="231F20"/>
        </w:rPr>
        <w:t>créancier</w:t>
      </w:r>
      <w:r>
        <w:rPr>
          <w:color w:val="231F20"/>
          <w:spacing w:val="-4"/>
        </w:rPr>
        <w:t> </w:t>
      </w:r>
      <w:r>
        <w:rPr>
          <w:color w:val="231F20"/>
        </w:rPr>
        <w:t>adresse</w:t>
      </w:r>
      <w:r>
        <w:rPr>
          <w:color w:val="231F20"/>
          <w:spacing w:val="-5"/>
        </w:rPr>
        <w:t> </w:t>
      </w:r>
      <w:r>
        <w:rPr>
          <w:color w:val="231F20"/>
        </w:rPr>
        <w:t>en</w:t>
      </w:r>
      <w:r>
        <w:rPr>
          <w:color w:val="231F20"/>
          <w:spacing w:val="-5"/>
        </w:rPr>
        <w:t> </w:t>
      </w:r>
      <w:r>
        <w:rPr>
          <w:color w:val="231F20"/>
        </w:rPr>
        <w:t>même</w:t>
      </w:r>
      <w:r>
        <w:rPr>
          <w:color w:val="231F20"/>
          <w:spacing w:val="-5"/>
        </w:rPr>
        <w:t> </w:t>
      </w:r>
      <w:r>
        <w:rPr>
          <w:color w:val="231F20"/>
        </w:rPr>
        <w:t>temps</w:t>
      </w:r>
      <w:r>
        <w:rPr>
          <w:color w:val="231F20"/>
          <w:spacing w:val="-5"/>
        </w:rPr>
        <w:t> </w:t>
      </w:r>
      <w:r>
        <w:rPr>
          <w:color w:val="231F20"/>
        </w:rPr>
        <w:t>une</w:t>
      </w:r>
      <w:r>
        <w:rPr>
          <w:color w:val="231F20"/>
          <w:spacing w:val="-4"/>
        </w:rPr>
        <w:t> </w:t>
      </w:r>
      <w:r>
        <w:rPr>
          <w:color w:val="231F20"/>
        </w:rPr>
        <w:t>demande</w:t>
      </w:r>
      <w:r>
        <w:rPr>
          <w:color w:val="231F20"/>
          <w:spacing w:val="-5"/>
        </w:rPr>
        <w:t> </w:t>
      </w:r>
      <w:r>
        <w:rPr>
          <w:color w:val="231F20"/>
        </w:rPr>
        <w:t>écrite à la société et au notaire instrumentant mentionné dans le projet de scission,</w:t>
      </w:r>
      <w:r>
        <w:rPr>
          <w:color w:val="231F20"/>
          <w:spacing w:val="15"/>
        </w:rPr>
        <w:t> </w:t>
      </w:r>
      <w:r>
        <w:rPr>
          <w:color w:val="231F20"/>
        </w:rPr>
        <w:t>sous</w:t>
      </w:r>
      <w:r>
        <w:rPr>
          <w:color w:val="231F20"/>
          <w:spacing w:val="15"/>
        </w:rPr>
        <w:t> </w:t>
      </w:r>
      <w:r>
        <w:rPr>
          <w:color w:val="231F20"/>
        </w:rPr>
        <w:t>peine</w:t>
      </w:r>
      <w:r>
        <w:rPr>
          <w:color w:val="231F20"/>
          <w:spacing w:val="15"/>
        </w:rPr>
        <w:t> </w:t>
      </w:r>
      <w:r>
        <w:rPr>
          <w:color w:val="231F20"/>
        </w:rPr>
        <w:t>d’irrecevabilité</w:t>
      </w:r>
      <w:r>
        <w:rPr>
          <w:color w:val="231F20"/>
          <w:spacing w:val="15"/>
        </w:rPr>
        <w:t> </w:t>
      </w:r>
      <w:r>
        <w:rPr>
          <w:color w:val="231F20"/>
        </w:rPr>
        <w:t>de</w:t>
      </w:r>
      <w:r>
        <w:rPr>
          <w:color w:val="231F20"/>
          <w:spacing w:val="15"/>
        </w:rPr>
        <w:t> </w:t>
      </w:r>
      <w:r>
        <w:rPr>
          <w:color w:val="231F20"/>
        </w:rPr>
        <w:t>sa</w:t>
      </w:r>
      <w:r>
        <w:rPr>
          <w:color w:val="231F20"/>
          <w:spacing w:val="15"/>
        </w:rPr>
        <w:t> </w:t>
      </w:r>
      <w:r>
        <w:rPr>
          <w:color w:val="231F20"/>
        </w:rPr>
        <w:t>requête.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 4. Si une ou plusieurs des sociétés bénéficiaires sont régies par le droit belge, la scission par absorption prend </w:t>
      </w:r>
      <w:r>
        <w:rPr>
          <w:color w:val="231F20"/>
          <w:spacing w:val="-3"/>
        </w:rPr>
        <w:t>effet </w:t>
      </w:r>
      <w:r>
        <w:rPr>
          <w:color w:val="231F20"/>
        </w:rPr>
        <w:t>à condition que les sociétés concernées aient pris des décisions concordantes conformé- ment au droit qui leur est applicable et au plus tôt, par dérogation à l’article</w:t>
      </w:r>
      <w:r>
        <w:rPr>
          <w:color w:val="231F20"/>
          <w:spacing w:val="-4"/>
        </w:rPr>
        <w:t> </w:t>
      </w:r>
      <w:r>
        <w:rPr>
          <w:color w:val="231F20"/>
        </w:rPr>
        <w:t>12:69,</w:t>
      </w:r>
      <w:r>
        <w:rPr>
          <w:color w:val="231F20"/>
          <w:spacing w:val="-4"/>
        </w:rPr>
        <w:t> </w:t>
      </w:r>
      <w:r>
        <w:rPr>
          <w:color w:val="231F20"/>
        </w:rPr>
        <w:t>alinéa</w:t>
      </w:r>
      <w:r>
        <w:rPr>
          <w:color w:val="231F20"/>
          <w:spacing w:val="-4"/>
        </w:rPr>
        <w:t> </w:t>
      </w:r>
      <w:r>
        <w:rPr>
          <w:color w:val="231F20"/>
        </w:rPr>
        <w:t>2,</w:t>
      </w:r>
      <w:r>
        <w:rPr>
          <w:color w:val="231F20"/>
          <w:spacing w:val="-3"/>
        </w:rPr>
        <w:t> </w:t>
      </w:r>
      <w:r>
        <w:rPr>
          <w:color w:val="231F20"/>
        </w:rPr>
        <w:t>à</w:t>
      </w:r>
      <w:r>
        <w:rPr>
          <w:color w:val="231F20"/>
          <w:spacing w:val="-4"/>
        </w:rPr>
        <w:t> </w:t>
      </w:r>
      <w:r>
        <w:rPr>
          <w:color w:val="231F20"/>
        </w:rPr>
        <w:t>la</w:t>
      </w:r>
      <w:r>
        <w:rPr>
          <w:color w:val="231F20"/>
          <w:spacing w:val="-4"/>
        </w:rPr>
        <w:t> </w:t>
      </w:r>
      <w:r>
        <w:rPr>
          <w:color w:val="231F20"/>
        </w:rPr>
        <w:t>date</w:t>
      </w:r>
      <w:r>
        <w:rPr>
          <w:color w:val="231F20"/>
          <w:spacing w:val="-4"/>
        </w:rPr>
        <w:t> </w:t>
      </w:r>
      <w:r>
        <w:rPr>
          <w:color w:val="231F20"/>
        </w:rPr>
        <w:t>à</w:t>
      </w:r>
      <w:r>
        <w:rPr>
          <w:color w:val="231F20"/>
          <w:spacing w:val="-3"/>
        </w:rPr>
        <w:t> </w:t>
      </w:r>
      <w:r>
        <w:rPr>
          <w:color w:val="231F20"/>
        </w:rPr>
        <w:t>laquelle</w:t>
      </w:r>
      <w:r>
        <w:rPr>
          <w:color w:val="231F20"/>
          <w:spacing w:val="-4"/>
        </w:rPr>
        <w:t> </w:t>
      </w:r>
      <w:r>
        <w:rPr>
          <w:color w:val="231F20"/>
        </w:rPr>
        <w:t>le</w:t>
      </w:r>
      <w:r>
        <w:rPr>
          <w:color w:val="231F20"/>
          <w:spacing w:val="-4"/>
        </w:rPr>
        <w:t> </w:t>
      </w:r>
      <w:r>
        <w:rPr>
          <w:color w:val="231F20"/>
        </w:rPr>
        <w:t>notaire</w:t>
      </w:r>
      <w:r>
        <w:rPr>
          <w:color w:val="231F20"/>
          <w:spacing w:val="-4"/>
        </w:rPr>
        <w:t> </w:t>
      </w:r>
      <w:r>
        <w:rPr>
          <w:color w:val="231F20"/>
        </w:rPr>
        <w:t>instrumentant</w:t>
      </w:r>
      <w:r>
        <w:rPr>
          <w:color w:val="231F20"/>
          <w:spacing w:val="-3"/>
        </w:rPr>
        <w:t> </w:t>
      </w:r>
      <w:r>
        <w:rPr>
          <w:color w:val="231F20"/>
        </w:rPr>
        <w:t>aura constaté la réalisation de la scission à la requête des sociétés participant à la scission par absorption, sur présentation des certificats et autres documents justificatifs de l’opération. À cet effet, les instances étrangè- res compétentes de la ou des sociétés régies par un droit étranger délivrent un certificat attestant de façon incontestable l’accomplisse- ment correct des actes et formalités préalables à la scission conformé- ment</w:t>
      </w:r>
      <w:r>
        <w:rPr>
          <w:color w:val="231F20"/>
          <w:spacing w:val="14"/>
        </w:rPr>
        <w:t> </w:t>
      </w:r>
      <w:r>
        <w:rPr>
          <w:color w:val="231F20"/>
        </w:rPr>
        <w:t>au</w:t>
      </w:r>
      <w:r>
        <w:rPr>
          <w:color w:val="231F20"/>
          <w:spacing w:val="15"/>
        </w:rPr>
        <w:t> </w:t>
      </w:r>
      <w:r>
        <w:rPr>
          <w:color w:val="231F20"/>
        </w:rPr>
        <w:t>droit</w:t>
      </w:r>
      <w:r>
        <w:rPr>
          <w:color w:val="231F20"/>
          <w:spacing w:val="15"/>
        </w:rPr>
        <w:t> </w:t>
      </w:r>
      <w:r>
        <w:rPr>
          <w:color w:val="231F20"/>
        </w:rPr>
        <w:t>qui</w:t>
      </w:r>
      <w:r>
        <w:rPr>
          <w:color w:val="231F20"/>
          <w:spacing w:val="15"/>
        </w:rPr>
        <w:t> </w:t>
      </w:r>
      <w:r>
        <w:rPr>
          <w:color w:val="231F20"/>
        </w:rPr>
        <w:t>régit</w:t>
      </w:r>
      <w:r>
        <w:rPr>
          <w:color w:val="231F20"/>
          <w:spacing w:val="15"/>
        </w:rPr>
        <w:t> </w:t>
      </w:r>
      <w:r>
        <w:rPr>
          <w:color w:val="231F20"/>
        </w:rPr>
        <w:t>ces</w:t>
      </w:r>
      <w:r>
        <w:rPr>
          <w:color w:val="231F20"/>
          <w:spacing w:val="15"/>
        </w:rPr>
        <w:t> </w:t>
      </w:r>
      <w:r>
        <w:rPr>
          <w:color w:val="231F20"/>
        </w:rPr>
        <w:t>sociétés.</w:t>
      </w:r>
    </w:p>
    <w:p>
      <w:pPr>
        <w:pStyle w:val="BodyText"/>
        <w:ind w:left="0" w:right="0" w:firstLine="0"/>
        <w:jc w:val="left"/>
        <w:rPr>
          <w:sz w:val="20"/>
        </w:rPr>
      </w:pPr>
    </w:p>
    <w:p>
      <w:pPr>
        <w:pStyle w:val="BodyText"/>
        <w:ind w:left="0" w:right="0" w:firstLine="0"/>
        <w:jc w:val="left"/>
        <w:rPr>
          <w:sz w:val="20"/>
        </w:rPr>
      </w:pPr>
    </w:p>
    <w:p>
      <w:pPr>
        <w:pStyle w:val="BodyText"/>
        <w:spacing w:line="218" w:lineRule="auto" w:before="171"/>
        <w:ind w:right="38"/>
      </w:pPr>
      <w:r>
        <w:rPr>
          <w:color w:val="231F20"/>
        </w:rPr>
        <w:t>L’acte du notaire instrumentant est déposé et publié par extrait conformément aux articles 2:8 et 2:14, 1°.</w:t>
      </w:r>
    </w:p>
    <w:p>
      <w:pPr>
        <w:pStyle w:val="BodyText"/>
        <w:spacing w:line="218" w:lineRule="auto" w:before="96"/>
        <w:ind w:right="38"/>
      </w:pPr>
      <w:r>
        <w:rPr>
          <w:color w:val="231F20"/>
        </w:rPr>
        <w:t>§ 5. Si seule la société scindée est régie par le droit belge, le droit qui régit les  sociétés  bénéficiaires  détermine,  par  dérogation  à  l’arti-  cle 12:69, alinéa 2, le moment où prend </w:t>
      </w:r>
      <w:r>
        <w:rPr>
          <w:color w:val="231F20"/>
          <w:spacing w:val="-3"/>
        </w:rPr>
        <w:t>effet </w:t>
      </w:r>
      <w:r>
        <w:rPr>
          <w:color w:val="231F20"/>
        </w:rPr>
        <w:t>la scission. Toutefois, la scission par absorption ne prend </w:t>
      </w:r>
      <w:r>
        <w:rPr>
          <w:color w:val="231F20"/>
          <w:spacing w:val="-3"/>
        </w:rPr>
        <w:t>effet </w:t>
      </w:r>
      <w:r>
        <w:rPr>
          <w:color w:val="231F20"/>
        </w:rPr>
        <w:t>que si les sociétés concernées ont pris des décisions concordantes et que le notaire instrumentant a délivré</w:t>
      </w:r>
      <w:r>
        <w:rPr>
          <w:color w:val="231F20"/>
          <w:spacing w:val="14"/>
        </w:rPr>
        <w:t> </w:t>
      </w:r>
      <w:r>
        <w:rPr>
          <w:color w:val="231F20"/>
        </w:rPr>
        <w:t>le</w:t>
      </w:r>
      <w:r>
        <w:rPr>
          <w:color w:val="231F20"/>
          <w:spacing w:val="15"/>
        </w:rPr>
        <w:t> </w:t>
      </w:r>
      <w:r>
        <w:rPr>
          <w:color w:val="231F20"/>
        </w:rPr>
        <w:t>certificat</w:t>
      </w:r>
      <w:r>
        <w:rPr>
          <w:color w:val="231F20"/>
          <w:spacing w:val="15"/>
        </w:rPr>
        <w:t> </w:t>
      </w:r>
      <w:r>
        <w:rPr>
          <w:color w:val="231F20"/>
        </w:rPr>
        <w:t>mentionné</w:t>
      </w:r>
      <w:r>
        <w:rPr>
          <w:color w:val="231F20"/>
          <w:spacing w:val="15"/>
        </w:rPr>
        <w:t> </w:t>
      </w:r>
      <w:r>
        <w:rPr>
          <w:color w:val="231F20"/>
        </w:rPr>
        <w:t>au</w:t>
      </w:r>
      <w:r>
        <w:rPr>
          <w:color w:val="231F20"/>
          <w:spacing w:val="15"/>
        </w:rPr>
        <w:t> </w:t>
      </w:r>
      <w:r>
        <w:rPr>
          <w:color w:val="231F20"/>
        </w:rPr>
        <w:t>paragraphe</w:t>
      </w:r>
      <w:r>
        <w:rPr>
          <w:color w:val="231F20"/>
          <w:spacing w:val="15"/>
        </w:rPr>
        <w:t> </w:t>
      </w:r>
      <w:r>
        <w:rPr>
          <w:color w:val="231F20"/>
        </w:rPr>
        <w:t>3.</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La radiation de l’immatriculation au registre belge des personnes morales ne peut avoir lieu au plus tôt qu’à la réception par les instances étrangères compétentes d’une preuve de la prise d’effet de la scission. L’organe d’administration de la société scindée publie cette radiation aux Annexes du </w:t>
      </w:r>
      <w:r>
        <w:rPr>
          <w:rFonts w:ascii="Times New Roman" w:hAnsi="Times New Roman"/>
          <w:i/>
          <w:color w:val="231F20"/>
        </w:rPr>
        <w:t>Moniteur belge</w:t>
      </w:r>
      <w:r>
        <w:rPr>
          <w:color w:val="231F20"/>
        </w:rPr>
        <w:t>.</w:t>
      </w:r>
    </w:p>
    <w:p>
      <w:pPr>
        <w:pStyle w:val="BodyText"/>
        <w:spacing w:line="218" w:lineRule="auto" w:before="93"/>
        <w:ind w:right="38"/>
      </w:pPr>
      <w:r>
        <w:rPr>
          <w:color w:val="231F20"/>
        </w:rPr>
        <w:t>Section 2. Procédure de scission par constitution de nouvelles sociétés.</w:t>
      </w:r>
    </w:p>
    <w:p>
      <w:pPr>
        <w:pStyle w:val="BodyText"/>
        <w:spacing w:line="218" w:lineRule="auto" w:before="82"/>
        <w:ind w:right="38" w:firstLine="171"/>
      </w:pPr>
      <w:r>
        <w:rPr>
          <w:color w:val="231F20"/>
        </w:rPr>
        <w:t>Art. 12:74. § 1</w:t>
      </w:r>
      <w:r>
        <w:rPr>
          <w:color w:val="231F20"/>
          <w:position w:val="7"/>
          <w:sz w:val="11"/>
        </w:rPr>
        <w:t>er</w:t>
      </w:r>
      <w:r>
        <w:rPr>
          <w:color w:val="231F20"/>
        </w:rPr>
        <w:t>. Sous réserve des paragraphes 2 et 3, la constitution de chacune des nouvelles sociétés est soumise à toutes les conditions que le présent code prévoit pour la forme de société qui a été choisie. Les articles 5:4, 6:5 et 7:3 ne sont pas applicables.</w:t>
      </w:r>
    </w:p>
    <w:p>
      <w:pPr>
        <w:pStyle w:val="BodyText"/>
        <w:spacing w:line="218" w:lineRule="auto" w:before="95"/>
        <w:ind w:right="38"/>
      </w:pPr>
      <w:r>
        <w:rPr>
          <w:color w:val="231F20"/>
        </w:rPr>
        <w:t>§ 2. Quelle que soit la forme légale de la nouvelle société, la constitution de celle-ci doit, à peine de nullité, être constatée par acte authentique. Cet acte reproduit, le cas échéant, les conclusions du rapport du commissaire ou du réviseur d’entreprises ou de l’expert- comptable externe, visé à l’article 12:78.</w:t>
      </w:r>
    </w:p>
    <w:p>
      <w:pPr>
        <w:pStyle w:val="BodyText"/>
        <w:spacing w:line="211" w:lineRule="auto" w:before="112"/>
        <w:ind w:right="38"/>
      </w:pPr>
      <w:r>
        <w:rPr>
          <w:color w:val="231F20"/>
        </w:rPr>
        <w:t>§ 3. Si un rapport a été établi conformément à l’article 12:78, les articles</w:t>
      </w:r>
      <w:r>
        <w:rPr>
          <w:color w:val="231F20"/>
          <w:spacing w:val="-3"/>
        </w:rPr>
        <w:t> </w:t>
      </w:r>
      <w:r>
        <w:rPr>
          <w:color w:val="231F20"/>
        </w:rPr>
        <w:t>7:7,</w:t>
      </w:r>
      <w:r>
        <w:rPr>
          <w:color w:val="231F20"/>
          <w:spacing w:val="-2"/>
        </w:rPr>
        <w:t> </w:t>
      </w:r>
      <w:r>
        <w:rPr>
          <w:color w:val="231F20"/>
        </w:rPr>
        <w:t>7:12,</w:t>
      </w:r>
      <w:r>
        <w:rPr>
          <w:color w:val="231F20"/>
          <w:spacing w:val="-3"/>
        </w:rPr>
        <w:t> </w:t>
      </w:r>
      <w:r>
        <w:rPr>
          <w:color w:val="231F20"/>
        </w:rPr>
        <w:t>7:13,</w:t>
      </w:r>
      <w:r>
        <w:rPr>
          <w:color w:val="231F20"/>
          <w:spacing w:val="-2"/>
        </w:rPr>
        <w:t> </w:t>
      </w:r>
      <w:r>
        <w:rPr>
          <w:color w:val="231F20"/>
        </w:rPr>
        <w:t>alinéa</w:t>
      </w:r>
      <w:r>
        <w:rPr>
          <w:color w:val="231F20"/>
          <w:spacing w:val="-3"/>
        </w:rPr>
        <w:t> </w:t>
      </w:r>
      <w:r>
        <w:rPr>
          <w:color w:val="231F20"/>
        </w:rPr>
        <w:t>2,</w:t>
      </w:r>
      <w:r>
        <w:rPr>
          <w:color w:val="231F20"/>
          <w:spacing w:val="-2"/>
        </w:rPr>
        <w:t> </w:t>
      </w:r>
      <w:r>
        <w:rPr>
          <w:color w:val="231F20"/>
        </w:rPr>
        <w:t>deuxième</w:t>
      </w:r>
      <w:r>
        <w:rPr>
          <w:color w:val="231F20"/>
          <w:spacing w:val="-3"/>
        </w:rPr>
        <w:t> </w:t>
      </w:r>
      <w:r>
        <w:rPr>
          <w:color w:val="231F20"/>
        </w:rPr>
        <w:t>phrase,</w:t>
      </w:r>
      <w:r>
        <w:rPr>
          <w:color w:val="231F20"/>
          <w:spacing w:val="-2"/>
        </w:rPr>
        <w:t> </w:t>
      </w:r>
      <w:r>
        <w:rPr>
          <w:color w:val="231F20"/>
        </w:rPr>
        <w:t>et</w:t>
      </w:r>
      <w:r>
        <w:rPr>
          <w:color w:val="231F20"/>
          <w:spacing w:val="-3"/>
        </w:rPr>
        <w:t> </w:t>
      </w:r>
      <w:r>
        <w:rPr>
          <w:color w:val="231F20"/>
        </w:rPr>
        <w:t>7:14,</w:t>
      </w:r>
      <w:r>
        <w:rPr>
          <w:color w:val="231F20"/>
          <w:spacing w:val="-2"/>
        </w:rPr>
        <w:t> </w:t>
      </w:r>
      <w:r>
        <w:rPr>
          <w:color w:val="231F20"/>
        </w:rPr>
        <w:t>alinéa</w:t>
      </w:r>
      <w:r>
        <w:rPr>
          <w:color w:val="231F20"/>
          <w:spacing w:val="-3"/>
        </w:rPr>
        <w:t> </w:t>
      </w:r>
      <w:r>
        <w:rPr>
          <w:color w:val="231F20"/>
        </w:rPr>
        <w:t>1</w:t>
      </w:r>
      <w:r>
        <w:rPr>
          <w:color w:val="231F20"/>
          <w:position w:val="7"/>
          <w:sz w:val="11"/>
        </w:rPr>
        <w:t>er</w:t>
      </w:r>
      <w:r>
        <w:rPr>
          <w:color w:val="231F20"/>
        </w:rPr>
        <w:t>,</w:t>
      </w:r>
      <w:r>
        <w:rPr>
          <w:color w:val="231F20"/>
          <w:spacing w:val="-2"/>
        </w:rPr>
        <w:t> </w:t>
      </w:r>
      <w:r>
        <w:rPr>
          <w:color w:val="231F20"/>
        </w:rPr>
        <w:t>2°</w:t>
      </w:r>
      <w:r>
        <w:rPr>
          <w:color w:val="231F20"/>
          <w:spacing w:val="-3"/>
        </w:rPr>
        <w:t> </w:t>
      </w:r>
      <w:r>
        <w:rPr>
          <w:color w:val="231F20"/>
        </w:rPr>
        <w:t>et 7°,</w:t>
      </w:r>
      <w:r>
        <w:rPr>
          <w:color w:val="231F20"/>
          <w:spacing w:val="10"/>
        </w:rPr>
        <w:t> </w:t>
      </w:r>
      <w:r>
        <w:rPr>
          <w:color w:val="231F20"/>
        </w:rPr>
        <w:t>ne</w:t>
      </w:r>
      <w:r>
        <w:rPr>
          <w:color w:val="231F20"/>
          <w:spacing w:val="10"/>
        </w:rPr>
        <w:t> </w:t>
      </w:r>
      <w:r>
        <w:rPr>
          <w:color w:val="231F20"/>
        </w:rPr>
        <w:t>s’appliquent</w:t>
      </w:r>
      <w:r>
        <w:rPr>
          <w:color w:val="231F20"/>
          <w:spacing w:val="10"/>
        </w:rPr>
        <w:t> </w:t>
      </w:r>
      <w:r>
        <w:rPr>
          <w:color w:val="231F20"/>
        </w:rPr>
        <w:t>ni</w:t>
      </w:r>
      <w:r>
        <w:rPr>
          <w:color w:val="231F20"/>
          <w:spacing w:val="10"/>
        </w:rPr>
        <w:t> </w:t>
      </w:r>
      <w:r>
        <w:rPr>
          <w:color w:val="231F20"/>
        </w:rPr>
        <w:t>à</w:t>
      </w:r>
      <w:r>
        <w:rPr>
          <w:color w:val="231F20"/>
          <w:spacing w:val="10"/>
        </w:rPr>
        <w:t> </w:t>
      </w:r>
      <w:r>
        <w:rPr>
          <w:color w:val="231F20"/>
        </w:rPr>
        <w:t>la</w:t>
      </w:r>
      <w:r>
        <w:rPr>
          <w:color w:val="231F20"/>
          <w:spacing w:val="10"/>
        </w:rPr>
        <w:t> </w:t>
      </w:r>
      <w:r>
        <w:rPr>
          <w:color w:val="231F20"/>
        </w:rPr>
        <w:t>société</w:t>
      </w:r>
      <w:r>
        <w:rPr>
          <w:color w:val="231F20"/>
          <w:spacing w:val="10"/>
        </w:rPr>
        <w:t> </w:t>
      </w:r>
      <w:r>
        <w:rPr>
          <w:color w:val="231F20"/>
        </w:rPr>
        <w:t>anonyme,</w:t>
      </w:r>
      <w:r>
        <w:rPr>
          <w:color w:val="231F20"/>
          <w:spacing w:val="10"/>
        </w:rPr>
        <w:t> </w:t>
      </w:r>
      <w:r>
        <w:rPr>
          <w:color w:val="231F20"/>
        </w:rPr>
        <w:t>ni</w:t>
      </w:r>
      <w:r>
        <w:rPr>
          <w:color w:val="231F20"/>
          <w:spacing w:val="10"/>
        </w:rPr>
        <w:t> </w:t>
      </w:r>
      <w:r>
        <w:rPr>
          <w:color w:val="231F20"/>
        </w:rPr>
        <w:t>à</w:t>
      </w:r>
      <w:r>
        <w:rPr>
          <w:color w:val="231F20"/>
          <w:spacing w:val="11"/>
        </w:rPr>
        <w:t> </w:t>
      </w:r>
      <w:r>
        <w:rPr>
          <w:color w:val="231F20"/>
        </w:rPr>
        <w:t>la</w:t>
      </w:r>
      <w:r>
        <w:rPr>
          <w:color w:val="231F20"/>
          <w:spacing w:val="10"/>
        </w:rPr>
        <w:t> </w:t>
      </w:r>
      <w:r>
        <w:rPr>
          <w:color w:val="231F20"/>
        </w:rPr>
        <w:t>société</w:t>
      </w:r>
      <w:r>
        <w:rPr>
          <w:color w:val="231F20"/>
          <w:spacing w:val="10"/>
        </w:rPr>
        <w:t> </w:t>
      </w:r>
      <w:r>
        <w:rPr>
          <w:color w:val="231F20"/>
        </w:rPr>
        <w:t>européenne.</w:t>
      </w:r>
    </w:p>
    <w:p>
      <w:pPr>
        <w:pStyle w:val="BodyText"/>
        <w:spacing w:before="1"/>
        <w:ind w:left="0" w:right="0" w:firstLine="0"/>
        <w:jc w:val="left"/>
        <w:rPr>
          <w:sz w:val="25"/>
        </w:rPr>
      </w:pPr>
    </w:p>
    <w:p>
      <w:pPr>
        <w:pStyle w:val="BodyText"/>
        <w:spacing w:line="211" w:lineRule="auto"/>
        <w:ind w:right="39"/>
      </w:pPr>
      <w:r>
        <w:rPr>
          <w:color w:val="231F20"/>
        </w:rPr>
        <w:t>Si un rapport a été établi conformément à  l’article  12:78,  les  articles</w:t>
      </w:r>
      <w:r>
        <w:rPr>
          <w:color w:val="231F20"/>
          <w:spacing w:val="-7"/>
        </w:rPr>
        <w:t> </w:t>
      </w:r>
      <w:r>
        <w:rPr>
          <w:color w:val="231F20"/>
        </w:rPr>
        <w:t>5:7,</w:t>
      </w:r>
      <w:r>
        <w:rPr>
          <w:color w:val="231F20"/>
          <w:spacing w:val="-6"/>
        </w:rPr>
        <w:t> </w:t>
      </w:r>
      <w:r>
        <w:rPr>
          <w:color w:val="231F20"/>
        </w:rPr>
        <w:t>5:9</w:t>
      </w:r>
      <w:r>
        <w:rPr>
          <w:color w:val="231F20"/>
          <w:spacing w:val="-6"/>
        </w:rPr>
        <w:t> </w:t>
      </w:r>
      <w:r>
        <w:rPr>
          <w:color w:val="231F20"/>
        </w:rPr>
        <w:t>et</w:t>
      </w:r>
      <w:r>
        <w:rPr>
          <w:color w:val="231F20"/>
          <w:spacing w:val="-6"/>
        </w:rPr>
        <w:t> </w:t>
      </w:r>
      <w:r>
        <w:rPr>
          <w:color w:val="231F20"/>
        </w:rPr>
        <w:t>5:12,</w:t>
      </w:r>
      <w:r>
        <w:rPr>
          <w:color w:val="231F20"/>
          <w:spacing w:val="-6"/>
        </w:rPr>
        <w:t> </w:t>
      </w:r>
      <w:r>
        <w:rPr>
          <w:color w:val="231F20"/>
        </w:rPr>
        <w:t>alinéa</w:t>
      </w:r>
      <w:r>
        <w:rPr>
          <w:color w:val="231F20"/>
          <w:spacing w:val="-6"/>
        </w:rPr>
        <w:t> </w:t>
      </w:r>
      <w:r>
        <w:rPr>
          <w:color w:val="231F20"/>
        </w:rPr>
        <w:t>1</w:t>
      </w:r>
      <w:r>
        <w:rPr>
          <w:color w:val="231F20"/>
          <w:position w:val="7"/>
          <w:sz w:val="11"/>
        </w:rPr>
        <w:t>er</w:t>
      </w:r>
      <w:r>
        <w:rPr>
          <w:color w:val="231F20"/>
        </w:rPr>
        <w:t>,</w:t>
      </w:r>
      <w:r>
        <w:rPr>
          <w:color w:val="231F20"/>
          <w:spacing w:val="-7"/>
        </w:rPr>
        <w:t> </w:t>
      </w:r>
      <w:r>
        <w:rPr>
          <w:color w:val="231F20"/>
        </w:rPr>
        <w:t>2°</w:t>
      </w:r>
      <w:r>
        <w:rPr>
          <w:color w:val="231F20"/>
          <w:spacing w:val="-6"/>
        </w:rPr>
        <w:t> </w:t>
      </w:r>
      <w:r>
        <w:rPr>
          <w:color w:val="231F20"/>
        </w:rPr>
        <w:t>et</w:t>
      </w:r>
      <w:r>
        <w:rPr>
          <w:color w:val="231F20"/>
          <w:spacing w:val="-6"/>
        </w:rPr>
        <w:t> </w:t>
      </w:r>
      <w:r>
        <w:rPr>
          <w:color w:val="231F20"/>
        </w:rPr>
        <w:t>5°,</w:t>
      </w:r>
      <w:r>
        <w:rPr>
          <w:color w:val="231F20"/>
          <w:spacing w:val="-6"/>
        </w:rPr>
        <w:t> </w:t>
      </w:r>
      <w:r>
        <w:rPr>
          <w:color w:val="231F20"/>
        </w:rPr>
        <w:t>ne</w:t>
      </w:r>
      <w:r>
        <w:rPr>
          <w:color w:val="231F20"/>
          <w:spacing w:val="-6"/>
        </w:rPr>
        <w:t> </w:t>
      </w:r>
      <w:r>
        <w:rPr>
          <w:color w:val="231F20"/>
        </w:rPr>
        <w:t>s’appliquent</w:t>
      </w:r>
      <w:r>
        <w:rPr>
          <w:color w:val="231F20"/>
          <w:spacing w:val="-6"/>
        </w:rPr>
        <w:t> </w:t>
      </w:r>
      <w:r>
        <w:rPr>
          <w:color w:val="231F20"/>
        </w:rPr>
        <w:t>pas</w:t>
      </w:r>
      <w:r>
        <w:rPr>
          <w:color w:val="231F20"/>
          <w:spacing w:val="-7"/>
        </w:rPr>
        <w:t> </w:t>
      </w:r>
      <w:r>
        <w:rPr>
          <w:color w:val="231F20"/>
        </w:rPr>
        <w:t>à</w:t>
      </w:r>
      <w:r>
        <w:rPr>
          <w:color w:val="231F20"/>
          <w:spacing w:val="-6"/>
        </w:rPr>
        <w:t> </w:t>
      </w:r>
      <w:r>
        <w:rPr>
          <w:color w:val="231F20"/>
        </w:rPr>
        <w:t>la</w:t>
      </w:r>
      <w:r>
        <w:rPr>
          <w:color w:val="231F20"/>
          <w:spacing w:val="-6"/>
        </w:rPr>
        <w:t> </w:t>
      </w:r>
      <w:r>
        <w:rPr>
          <w:color w:val="231F20"/>
        </w:rPr>
        <w:t>société à</w:t>
      </w:r>
      <w:r>
        <w:rPr>
          <w:color w:val="231F20"/>
          <w:spacing w:val="14"/>
        </w:rPr>
        <w:t> </w:t>
      </w:r>
      <w:r>
        <w:rPr>
          <w:color w:val="231F20"/>
        </w:rPr>
        <w:t>responsabilité</w:t>
      </w:r>
      <w:r>
        <w:rPr>
          <w:color w:val="231F20"/>
          <w:spacing w:val="15"/>
        </w:rPr>
        <w:t> </w:t>
      </w:r>
      <w:r>
        <w:rPr>
          <w:color w:val="231F20"/>
        </w:rPr>
        <w:t>limitée</w:t>
      </w:r>
      <w:r>
        <w:rPr>
          <w:color w:val="231F20"/>
          <w:spacing w:val="14"/>
        </w:rPr>
        <w:t> </w:t>
      </w:r>
      <w:r>
        <w:rPr>
          <w:color w:val="231F20"/>
        </w:rPr>
        <w:t>qui</w:t>
      </w:r>
      <w:r>
        <w:rPr>
          <w:color w:val="231F20"/>
          <w:spacing w:val="15"/>
        </w:rPr>
        <w:t> </w:t>
      </w:r>
      <w:r>
        <w:rPr>
          <w:color w:val="231F20"/>
        </w:rPr>
        <w:t>est</w:t>
      </w:r>
      <w:r>
        <w:rPr>
          <w:color w:val="231F20"/>
          <w:spacing w:val="15"/>
        </w:rPr>
        <w:t> </w:t>
      </w:r>
      <w:r>
        <w:rPr>
          <w:color w:val="231F20"/>
        </w:rPr>
        <w:t>issue</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rPr>
        <w:t>scission.</w:t>
      </w:r>
    </w:p>
    <w:p>
      <w:pPr>
        <w:pStyle w:val="BodyText"/>
        <w:spacing w:line="213" w:lineRule="auto" w:before="108"/>
        <w:ind w:right="38"/>
      </w:pPr>
      <w:r>
        <w:rPr>
          <w:color w:val="231F20"/>
        </w:rPr>
        <w:t>Si un rapport a été établi conformément  à  l’article  12:78,  les  articles</w:t>
      </w:r>
      <w:r>
        <w:rPr>
          <w:color w:val="231F20"/>
          <w:spacing w:val="-4"/>
        </w:rPr>
        <w:t> </w:t>
      </w:r>
      <w:r>
        <w:rPr>
          <w:color w:val="231F20"/>
        </w:rPr>
        <w:t>6:8,</w:t>
      </w:r>
      <w:r>
        <w:rPr>
          <w:color w:val="231F20"/>
          <w:spacing w:val="-3"/>
        </w:rPr>
        <w:t> </w:t>
      </w:r>
      <w:r>
        <w:rPr>
          <w:color w:val="231F20"/>
        </w:rPr>
        <w:t>6:10</w:t>
      </w:r>
      <w:r>
        <w:rPr>
          <w:color w:val="231F20"/>
          <w:spacing w:val="-3"/>
        </w:rPr>
        <w:t> </w:t>
      </w:r>
      <w:r>
        <w:rPr>
          <w:color w:val="231F20"/>
        </w:rPr>
        <w:t>et</w:t>
      </w:r>
      <w:r>
        <w:rPr>
          <w:color w:val="231F20"/>
          <w:spacing w:val="-3"/>
        </w:rPr>
        <w:t> </w:t>
      </w:r>
      <w:r>
        <w:rPr>
          <w:color w:val="231F20"/>
        </w:rPr>
        <w:t>6:13,</w:t>
      </w:r>
      <w:r>
        <w:rPr>
          <w:color w:val="231F20"/>
          <w:spacing w:val="-4"/>
        </w:rPr>
        <w:t> </w:t>
      </w:r>
      <w:r>
        <w:rPr>
          <w:color w:val="231F20"/>
        </w:rPr>
        <w:t>alinéa</w:t>
      </w:r>
      <w:r>
        <w:rPr>
          <w:color w:val="231F20"/>
          <w:spacing w:val="-3"/>
        </w:rPr>
        <w:t> </w:t>
      </w:r>
      <w:r>
        <w:rPr>
          <w:color w:val="231F20"/>
        </w:rPr>
        <w:t>1</w:t>
      </w:r>
      <w:r>
        <w:rPr>
          <w:color w:val="231F20"/>
          <w:position w:val="7"/>
          <w:sz w:val="11"/>
        </w:rPr>
        <w:t>er</w:t>
      </w:r>
      <w:r>
        <w:rPr>
          <w:color w:val="231F20"/>
        </w:rPr>
        <w:t>,</w:t>
      </w:r>
      <w:r>
        <w:rPr>
          <w:color w:val="231F20"/>
          <w:spacing w:val="-3"/>
        </w:rPr>
        <w:t> </w:t>
      </w:r>
      <w:r>
        <w:rPr>
          <w:color w:val="231F20"/>
        </w:rPr>
        <w:t>2°</w:t>
      </w:r>
      <w:r>
        <w:rPr>
          <w:color w:val="231F20"/>
          <w:spacing w:val="-3"/>
        </w:rPr>
        <w:t> </w:t>
      </w:r>
      <w:r>
        <w:rPr>
          <w:color w:val="231F20"/>
        </w:rPr>
        <w:t>et</w:t>
      </w:r>
      <w:r>
        <w:rPr>
          <w:color w:val="231F20"/>
          <w:spacing w:val="-4"/>
        </w:rPr>
        <w:t> </w:t>
      </w:r>
      <w:r>
        <w:rPr>
          <w:color w:val="231F20"/>
        </w:rPr>
        <w:t>5°</w:t>
      </w:r>
      <w:r>
        <w:rPr>
          <w:color w:val="231F20"/>
          <w:spacing w:val="-3"/>
        </w:rPr>
        <w:t> </w:t>
      </w:r>
      <w:r>
        <w:rPr>
          <w:color w:val="231F20"/>
        </w:rPr>
        <w:t>ne</w:t>
      </w:r>
      <w:r>
        <w:rPr>
          <w:color w:val="231F20"/>
          <w:spacing w:val="-3"/>
        </w:rPr>
        <w:t> </w:t>
      </w:r>
      <w:r>
        <w:rPr>
          <w:color w:val="231F20"/>
        </w:rPr>
        <w:t>s’appliquent</w:t>
      </w:r>
      <w:r>
        <w:rPr>
          <w:color w:val="231F20"/>
          <w:spacing w:val="-3"/>
        </w:rPr>
        <w:t> </w:t>
      </w:r>
      <w:r>
        <w:rPr>
          <w:color w:val="231F20"/>
        </w:rPr>
        <w:t>ni</w:t>
      </w:r>
      <w:r>
        <w:rPr>
          <w:color w:val="231F20"/>
          <w:spacing w:val="-4"/>
        </w:rPr>
        <w:t> </w:t>
      </w:r>
      <w:r>
        <w:rPr>
          <w:color w:val="231F20"/>
        </w:rPr>
        <w:t>à</w:t>
      </w:r>
      <w:r>
        <w:rPr>
          <w:color w:val="231F20"/>
          <w:spacing w:val="-3"/>
        </w:rPr>
        <w:t> </w:t>
      </w:r>
      <w:r>
        <w:rPr>
          <w:color w:val="231F20"/>
        </w:rPr>
        <w:t>la</w:t>
      </w:r>
      <w:r>
        <w:rPr>
          <w:color w:val="231F20"/>
          <w:spacing w:val="-3"/>
        </w:rPr>
        <w:t> </w:t>
      </w:r>
      <w:r>
        <w:rPr>
          <w:color w:val="231F20"/>
        </w:rPr>
        <w:t>société coopérative, ni à la société coopérative européenne qui sont issues de la scission.</w:t>
      </w:r>
    </w:p>
    <w:p>
      <w:pPr>
        <w:pStyle w:val="BodyText"/>
        <w:spacing w:line="218" w:lineRule="auto" w:before="104"/>
        <w:ind w:right="38"/>
      </w:pPr>
      <w:r>
        <w:rPr>
          <w:color w:val="231F20"/>
        </w:rPr>
        <w:t>Art. 12:75. Les organes d’administration des sociétés participant à la scission établissent un projet de scission par acte authentique ou par acte sous seing privé.</w:t>
      </w:r>
    </w:p>
    <w:p>
      <w:pPr>
        <w:pStyle w:val="BodyText"/>
        <w:spacing w:line="218" w:lineRule="auto" w:before="119"/>
        <w:ind w:right="123"/>
      </w:pPr>
      <w:r>
        <w:rPr/>
        <w:br w:type="column"/>
      </w:r>
      <w:r>
        <w:rPr>
          <w:color w:val="231F20"/>
        </w:rPr>
        <w:t>2° iedere vennootschap die deelneemt aan de splitsing door overne- ming voldoet aan de bepalingen en formaliteiten van haar nationale wetgeving die op haar en haar effectenhouders, bestuurs- en controle- organen, werknemers en schuldeisers van toepassing zijn.</w:t>
      </w:r>
    </w:p>
    <w:p>
      <w:pPr>
        <w:pStyle w:val="BodyText"/>
        <w:spacing w:line="218" w:lineRule="auto" w:before="97"/>
      </w:pPr>
      <w:r>
        <w:rPr>
          <w:color w:val="231F20"/>
        </w:rPr>
        <w:t>§ 2. De instemming met de splitsing van een vennoot van een Belgische vennootschap die onbeperkt aansprakelijk is of zal worden voor de schulden van een vennootschap die deelneemt aan de splitsing, is steeds vereist.</w:t>
      </w:r>
    </w:p>
    <w:p>
      <w:pPr>
        <w:pStyle w:val="BodyText"/>
        <w:spacing w:line="218" w:lineRule="auto" w:before="96"/>
        <w:ind w:right="123"/>
      </w:pPr>
      <w:r>
        <w:rPr>
          <w:color w:val="231F20"/>
        </w:rPr>
        <w:t>§ 3. De instrumenterende notaris levert op vraag van iedere vennootschap die deelneemt aan de splitsing en onder het Belgische recht valt een attest af waaruit afdoende blijkt dat de aan de splitsing voorafgaande handelingen en formaliteiten correct zijn verricht over- eenkomstig het recht van toepassing op deze vennootschap. De instrumenterende notaris levert dit attest niet af zolang de schuldeisers die overeenkomstig artikel 12:15 een zekerheid eisen, geen voldoening hebben gekregen, tenzij hun aanspraken bij een uitvoerbare</w:t>
      </w:r>
      <w:r>
        <w:rPr>
          <w:color w:val="231F20"/>
          <w:spacing w:val="-15"/>
        </w:rPr>
        <w:t> </w:t>
      </w:r>
      <w:r>
        <w:rPr>
          <w:color w:val="231F20"/>
        </w:rPr>
        <w:t>rechterlijke beslissing zijn afgewezen. De naam en de standplaats van de instru- menterende notaris voor wie de splitsingsakte zal worden verleden, dienen te worden vermeld in het splitsingsvoorstel. In afwijking van artikel 12:15 richt de schuldeiser tegelijkertijd een schriftelijk verzoek aan de vennootschap en de instrumenterende notaris vermeld in het splitsingsvoorstel, op straffe van niet-ontvankelijkheid van zijn ver- zoek.</w:t>
      </w:r>
    </w:p>
    <w:p>
      <w:pPr>
        <w:pStyle w:val="BodyText"/>
        <w:spacing w:line="218" w:lineRule="auto" w:before="97"/>
      </w:pPr>
      <w:r>
        <w:rPr>
          <w:color w:val="231F20"/>
        </w:rPr>
        <w:t>§ 4. Indien één of meerdere van de verkrijgende vennootschappen door het Belgische recht worden beheerst, wordt de splitsing door overneming van kracht op voorwaarde dat de betrokken vennootschap- pen daartoe overeenstemmende besluiten hebben genomen overeen- komstig het op hen toepasselijke recht en ten vroegste, in afwijking van artikel 12:69, tweede lid, op de datum waarop de instrumenterende notaris de voltooiing van de splitsing heeft vastgesteld op verzoek van de vennootschappen die deelnemen aan de splitsing door overneming, op voorlegging van de attesten en andere documenten die de verrichting rechtvaardigen. Hiertoe leveren de bevoegde buitenlandse instanties van de vennootschap of vennootschappen die door een buitenlands recht worden beheerst een attest af waaruit afdoende blijkt dat de aan de splitsing voorafgaande handelingen en formaliteiten correct zijn verricht overeenkomstig het recht dat deze vennootschap- pen</w:t>
      </w:r>
      <w:r>
        <w:rPr>
          <w:color w:val="231F20"/>
          <w:spacing w:val="14"/>
        </w:rPr>
        <w:t> </w:t>
      </w:r>
      <w:r>
        <w:rPr>
          <w:color w:val="231F20"/>
        </w:rPr>
        <w:t>beheerst.</w:t>
      </w:r>
    </w:p>
    <w:p>
      <w:pPr>
        <w:pStyle w:val="BodyText"/>
        <w:spacing w:line="218" w:lineRule="auto" w:before="98"/>
      </w:pPr>
      <w:r>
        <w:rPr>
          <w:color w:val="231F20"/>
        </w:rPr>
        <w:t>De akte van de instrumenterende notaris wordt neergelegd en bij uittreksel bekendgemaakt overeenkomstig de artikelen 2:8 en 2:14, 1°.</w:t>
      </w:r>
    </w:p>
    <w:p>
      <w:pPr>
        <w:pStyle w:val="BodyText"/>
        <w:spacing w:line="218" w:lineRule="auto" w:before="96"/>
        <w:ind w:right="123"/>
      </w:pPr>
      <w:r>
        <w:rPr>
          <w:color w:val="231F20"/>
        </w:rPr>
        <w:t>§ 5. Indien enkel de gesplitste vennootschap door het Belgische recht wordt beheerst, bepaalt het recht dat de verkrijgende vennootschappen beheerst, in afwijking van artikel 12:69, tweede lid, wanneer de splitsing van kracht wordt. Niettemin wordt de splitsing door overne- ming</w:t>
      </w:r>
      <w:r>
        <w:rPr>
          <w:color w:val="231F20"/>
          <w:spacing w:val="-5"/>
        </w:rPr>
        <w:t> </w:t>
      </w:r>
      <w:r>
        <w:rPr>
          <w:color w:val="231F20"/>
        </w:rPr>
        <w:t>slechts</w:t>
      </w:r>
      <w:r>
        <w:rPr>
          <w:color w:val="231F20"/>
          <w:spacing w:val="-4"/>
        </w:rPr>
        <w:t> </w:t>
      </w:r>
      <w:r>
        <w:rPr>
          <w:color w:val="231F20"/>
        </w:rPr>
        <w:t>van</w:t>
      </w:r>
      <w:r>
        <w:rPr>
          <w:color w:val="231F20"/>
          <w:spacing w:val="-5"/>
        </w:rPr>
        <w:t> </w:t>
      </w:r>
      <w:r>
        <w:rPr>
          <w:color w:val="231F20"/>
        </w:rPr>
        <w:t>kracht</w:t>
      </w:r>
      <w:r>
        <w:rPr>
          <w:color w:val="231F20"/>
          <w:spacing w:val="-4"/>
        </w:rPr>
        <w:t> </w:t>
      </w:r>
      <w:r>
        <w:rPr>
          <w:color w:val="231F20"/>
        </w:rPr>
        <w:t>op</w:t>
      </w:r>
      <w:r>
        <w:rPr>
          <w:color w:val="231F20"/>
          <w:spacing w:val="-4"/>
        </w:rPr>
        <w:t> </w:t>
      </w:r>
      <w:r>
        <w:rPr>
          <w:color w:val="231F20"/>
        </w:rPr>
        <w:t>voorwaarde</w:t>
      </w:r>
      <w:r>
        <w:rPr>
          <w:color w:val="231F20"/>
          <w:spacing w:val="-5"/>
        </w:rPr>
        <w:t> </w:t>
      </w:r>
      <w:r>
        <w:rPr>
          <w:color w:val="231F20"/>
        </w:rPr>
        <w:t>dat</w:t>
      </w:r>
      <w:r>
        <w:rPr>
          <w:color w:val="231F20"/>
          <w:spacing w:val="-4"/>
        </w:rPr>
        <w:t> </w:t>
      </w:r>
      <w:r>
        <w:rPr>
          <w:color w:val="231F20"/>
        </w:rPr>
        <w:t>de</w:t>
      </w:r>
      <w:r>
        <w:rPr>
          <w:color w:val="231F20"/>
          <w:spacing w:val="-4"/>
        </w:rPr>
        <w:t> </w:t>
      </w:r>
      <w:r>
        <w:rPr>
          <w:color w:val="231F20"/>
        </w:rPr>
        <w:t>betrokken</w:t>
      </w:r>
      <w:r>
        <w:rPr>
          <w:color w:val="231F20"/>
          <w:spacing w:val="-5"/>
        </w:rPr>
        <w:t> </w:t>
      </w:r>
      <w:r>
        <w:rPr>
          <w:color w:val="231F20"/>
        </w:rPr>
        <w:t>vennootschap- pen daartoe overeenstemmende besluiten hebben genomen en dat de instrumenterende notaris het in paragraaf 3 vermelde attest heeft afgeleverd.</w:t>
      </w:r>
    </w:p>
    <w:p>
      <w:pPr>
        <w:pStyle w:val="BodyText"/>
        <w:spacing w:line="218" w:lineRule="auto" w:before="96"/>
      </w:pPr>
      <w:r>
        <w:rPr>
          <w:color w:val="231F20"/>
        </w:rPr>
        <w:t>De doorhaling van de inschrijving in het Belgische rechtspersonen- register mag niet eerder plaatsvinden dan bij ontvangst van een bewijs door de bevoegde buitenlandse instanties dat de splitsing van kracht is geworden. Het bestuursorgaan van de gesplitste vennootschap maakt deze doorhaling bekend in de Bijlagen bij het </w:t>
      </w:r>
      <w:r>
        <w:rPr>
          <w:rFonts w:ascii="Times New Roman"/>
          <w:i/>
          <w:color w:val="231F20"/>
        </w:rPr>
        <w:t>Belgisch Staatsblad</w:t>
      </w:r>
      <w:r>
        <w:rPr>
          <w:color w:val="231F20"/>
        </w:rPr>
        <w:t>.</w:t>
      </w:r>
    </w:p>
    <w:p>
      <w:pPr>
        <w:pStyle w:val="BodyText"/>
        <w:spacing w:line="218" w:lineRule="auto" w:before="94"/>
      </w:pPr>
      <w:r>
        <w:rPr>
          <w:color w:val="231F20"/>
        </w:rPr>
        <w:t>Afdeling 2. Procedure bij splitsing door oprichting van nieuwe vennootschappen.</w:t>
      </w:r>
    </w:p>
    <w:p>
      <w:pPr>
        <w:pStyle w:val="BodyText"/>
        <w:spacing w:line="218" w:lineRule="auto" w:before="96"/>
      </w:pPr>
      <w:r>
        <w:rPr>
          <w:color w:val="231F20"/>
        </w:rPr>
        <w:t>Art. 12:74. § 1. Onder voorbehoud van de paragrafen 2 en 3 gelden voor de oprichting van ieder van de nieuwe vennootschappen alle voorwaarden die dit wetboek voor de gekozen vennootschapsvorm  stelt.</w:t>
      </w:r>
      <w:r>
        <w:rPr>
          <w:color w:val="231F20"/>
          <w:spacing w:val="12"/>
        </w:rPr>
        <w:t> </w:t>
      </w:r>
      <w:r>
        <w:rPr>
          <w:color w:val="231F20"/>
        </w:rPr>
        <w:t>De</w:t>
      </w:r>
      <w:r>
        <w:rPr>
          <w:color w:val="231F20"/>
          <w:spacing w:val="12"/>
        </w:rPr>
        <w:t> </w:t>
      </w:r>
      <w:r>
        <w:rPr>
          <w:color w:val="231F20"/>
        </w:rPr>
        <w:t>artikelen</w:t>
      </w:r>
      <w:r>
        <w:rPr>
          <w:color w:val="231F20"/>
          <w:spacing w:val="12"/>
        </w:rPr>
        <w:t> </w:t>
      </w:r>
      <w:r>
        <w:rPr>
          <w:color w:val="231F20"/>
        </w:rPr>
        <w:t>5:4,</w:t>
      </w:r>
      <w:r>
        <w:rPr>
          <w:color w:val="231F20"/>
          <w:spacing w:val="13"/>
        </w:rPr>
        <w:t> </w:t>
      </w:r>
      <w:r>
        <w:rPr>
          <w:color w:val="231F20"/>
        </w:rPr>
        <w:t>6:5</w:t>
      </w:r>
      <w:r>
        <w:rPr>
          <w:color w:val="231F20"/>
          <w:spacing w:val="12"/>
        </w:rPr>
        <w:t> </w:t>
      </w:r>
      <w:r>
        <w:rPr>
          <w:color w:val="231F20"/>
        </w:rPr>
        <w:t>en</w:t>
      </w:r>
      <w:r>
        <w:rPr>
          <w:color w:val="231F20"/>
          <w:spacing w:val="12"/>
        </w:rPr>
        <w:t> </w:t>
      </w:r>
      <w:r>
        <w:rPr>
          <w:color w:val="231F20"/>
        </w:rPr>
        <w:t>7:3</w:t>
      </w:r>
      <w:r>
        <w:rPr>
          <w:color w:val="231F20"/>
          <w:spacing w:val="13"/>
        </w:rPr>
        <w:t> </w:t>
      </w:r>
      <w:r>
        <w:rPr>
          <w:color w:val="231F20"/>
        </w:rPr>
        <w:t>zijn</w:t>
      </w:r>
      <w:r>
        <w:rPr>
          <w:color w:val="231F20"/>
          <w:spacing w:val="12"/>
        </w:rPr>
        <w:t> </w:t>
      </w:r>
      <w:r>
        <w:rPr>
          <w:color w:val="231F20"/>
        </w:rPr>
        <w:t>niet</w:t>
      </w:r>
      <w:r>
        <w:rPr>
          <w:color w:val="231F20"/>
          <w:spacing w:val="12"/>
        </w:rPr>
        <w:t> </w:t>
      </w:r>
      <w:r>
        <w:rPr>
          <w:color w:val="231F20"/>
        </w:rPr>
        <w:t>van</w:t>
      </w:r>
      <w:r>
        <w:rPr>
          <w:color w:val="231F20"/>
          <w:spacing w:val="12"/>
        </w:rPr>
        <w:t> </w:t>
      </w:r>
      <w:r>
        <w:rPr>
          <w:color w:val="231F20"/>
        </w:rPr>
        <w:t>toepassing.</w:t>
      </w:r>
    </w:p>
    <w:p>
      <w:pPr>
        <w:pStyle w:val="BodyText"/>
        <w:spacing w:line="218" w:lineRule="auto" w:before="97"/>
      </w:pPr>
      <w:r>
        <w:rPr>
          <w:color w:val="231F20"/>
        </w:rPr>
        <w:t>§ 2. Ongeacht de rechtsvorm van de nieuwe vennootschap, moet haar oprichting, op straffe van nietigheid, bij authentieke akte worden vastgesteld. In die akte worden in voorkomend geval de conclusies van het in artikel 12:78 bedoelde verslag van de commissaris of de bedrijfsrevisor of externe accountant opgenomen.</w:t>
      </w:r>
    </w:p>
    <w:p>
      <w:pPr>
        <w:pStyle w:val="BodyText"/>
        <w:spacing w:line="218" w:lineRule="auto" w:before="107"/>
      </w:pPr>
      <w:r>
        <w:rPr>
          <w:color w:val="231F20"/>
        </w:rPr>
        <w:t>§ 3. Indien een verslag werd opgesteld overeenkomstig artikel 12:78, zijn de artikelen 7:7, 7:12 en 7:13, tweede lid, tweede volzin, en 7:14, eerste lid, 2° en 7°, niet van toepassing op de naamloze vennootschap en de Europese</w:t>
      </w:r>
      <w:r>
        <w:rPr>
          <w:color w:val="231F20"/>
          <w:spacing w:val="4"/>
        </w:rPr>
        <w:t> </w:t>
      </w:r>
      <w:r>
        <w:rPr>
          <w:color w:val="231F20"/>
        </w:rPr>
        <w:t>vennootschap.</w:t>
      </w:r>
    </w:p>
    <w:p>
      <w:pPr>
        <w:pStyle w:val="BodyText"/>
        <w:spacing w:line="218" w:lineRule="auto" w:before="107"/>
      </w:pPr>
      <w:r>
        <w:rPr>
          <w:color w:val="231F20"/>
        </w:rPr>
        <w:t>Indien een verslag werd opgesteld overeenkomstig artikel 12:78, zijn de</w:t>
      </w:r>
      <w:r>
        <w:rPr>
          <w:color w:val="231F20"/>
          <w:spacing w:val="-4"/>
        </w:rPr>
        <w:t> </w:t>
      </w:r>
      <w:r>
        <w:rPr>
          <w:color w:val="231F20"/>
        </w:rPr>
        <w:t>artikelen</w:t>
      </w:r>
      <w:r>
        <w:rPr>
          <w:color w:val="231F20"/>
          <w:spacing w:val="-4"/>
        </w:rPr>
        <w:t> </w:t>
      </w:r>
      <w:r>
        <w:rPr>
          <w:color w:val="231F20"/>
        </w:rPr>
        <w:t>5:7,</w:t>
      </w:r>
      <w:r>
        <w:rPr>
          <w:color w:val="231F20"/>
          <w:spacing w:val="-4"/>
        </w:rPr>
        <w:t> </w:t>
      </w:r>
      <w:r>
        <w:rPr>
          <w:color w:val="231F20"/>
        </w:rPr>
        <w:t>5:9</w:t>
      </w:r>
      <w:r>
        <w:rPr>
          <w:color w:val="231F20"/>
          <w:spacing w:val="-4"/>
        </w:rPr>
        <w:t> </w:t>
      </w:r>
      <w:r>
        <w:rPr>
          <w:color w:val="231F20"/>
        </w:rPr>
        <w:t>en</w:t>
      </w:r>
      <w:r>
        <w:rPr>
          <w:color w:val="231F20"/>
          <w:spacing w:val="-4"/>
        </w:rPr>
        <w:t> </w:t>
      </w:r>
      <w:r>
        <w:rPr>
          <w:color w:val="231F20"/>
        </w:rPr>
        <w:t>5:12,</w:t>
      </w:r>
      <w:r>
        <w:rPr>
          <w:color w:val="231F20"/>
          <w:spacing w:val="-4"/>
        </w:rPr>
        <w:t> </w:t>
      </w:r>
      <w:r>
        <w:rPr>
          <w:color w:val="231F20"/>
        </w:rPr>
        <w:t>eerste</w:t>
      </w:r>
      <w:r>
        <w:rPr>
          <w:color w:val="231F20"/>
          <w:spacing w:val="-4"/>
        </w:rPr>
        <w:t> </w:t>
      </w:r>
      <w:r>
        <w:rPr>
          <w:color w:val="231F20"/>
        </w:rPr>
        <w:t>lid,</w:t>
      </w:r>
      <w:r>
        <w:rPr>
          <w:color w:val="231F20"/>
          <w:spacing w:val="-4"/>
        </w:rPr>
        <w:t> </w:t>
      </w:r>
      <w:r>
        <w:rPr>
          <w:color w:val="231F20"/>
        </w:rPr>
        <w:t>2</w:t>
      </w:r>
      <w:r>
        <w:rPr>
          <w:color w:val="231F20"/>
          <w:spacing w:val="-4"/>
        </w:rPr>
        <w:t> </w:t>
      </w:r>
      <w:r>
        <w:rPr>
          <w:color w:val="231F20"/>
        </w:rPr>
        <w:t>en</w:t>
      </w:r>
      <w:r>
        <w:rPr>
          <w:color w:val="231F20"/>
          <w:spacing w:val="-4"/>
        </w:rPr>
        <w:t> </w:t>
      </w:r>
      <w:r>
        <w:rPr>
          <w:color w:val="231F20"/>
        </w:rPr>
        <w:t>5°,</w:t>
      </w:r>
      <w:r>
        <w:rPr>
          <w:color w:val="231F20"/>
          <w:spacing w:val="-4"/>
        </w:rPr>
        <w:t> </w:t>
      </w:r>
      <w:r>
        <w:rPr>
          <w:color w:val="231F20"/>
        </w:rPr>
        <w:t>niet</w:t>
      </w:r>
      <w:r>
        <w:rPr>
          <w:color w:val="231F20"/>
          <w:spacing w:val="-4"/>
        </w:rPr>
        <w:t> </w:t>
      </w:r>
      <w:r>
        <w:rPr>
          <w:color w:val="231F20"/>
        </w:rPr>
        <w:t>van</w:t>
      </w:r>
      <w:r>
        <w:rPr>
          <w:color w:val="231F20"/>
          <w:spacing w:val="-3"/>
        </w:rPr>
        <w:t> </w:t>
      </w:r>
      <w:r>
        <w:rPr>
          <w:color w:val="231F20"/>
        </w:rPr>
        <w:t>toepassing</w:t>
      </w:r>
      <w:r>
        <w:rPr>
          <w:color w:val="231F20"/>
          <w:spacing w:val="-4"/>
        </w:rPr>
        <w:t> </w:t>
      </w:r>
      <w:r>
        <w:rPr>
          <w:color w:val="231F20"/>
        </w:rPr>
        <w:t>op</w:t>
      </w:r>
      <w:r>
        <w:rPr>
          <w:color w:val="231F20"/>
          <w:spacing w:val="-4"/>
        </w:rPr>
        <w:t> </w:t>
      </w:r>
      <w:r>
        <w:rPr>
          <w:color w:val="231F20"/>
        </w:rPr>
        <w:t>de besloten</w:t>
      </w:r>
      <w:r>
        <w:rPr>
          <w:color w:val="231F20"/>
          <w:spacing w:val="17"/>
        </w:rPr>
        <w:t> </w:t>
      </w:r>
      <w:r>
        <w:rPr>
          <w:color w:val="231F20"/>
        </w:rPr>
        <w:t>vennootschap</w:t>
      </w:r>
      <w:r>
        <w:rPr>
          <w:color w:val="231F20"/>
          <w:spacing w:val="18"/>
        </w:rPr>
        <w:t> </w:t>
      </w:r>
      <w:r>
        <w:rPr>
          <w:color w:val="231F20"/>
        </w:rPr>
        <w:t>die</w:t>
      </w:r>
      <w:r>
        <w:rPr>
          <w:color w:val="231F20"/>
          <w:spacing w:val="17"/>
        </w:rPr>
        <w:t> </w:t>
      </w:r>
      <w:r>
        <w:rPr>
          <w:color w:val="231F20"/>
        </w:rPr>
        <w:t>door</w:t>
      </w:r>
      <w:r>
        <w:rPr>
          <w:color w:val="231F20"/>
          <w:spacing w:val="18"/>
        </w:rPr>
        <w:t> </w:t>
      </w:r>
      <w:r>
        <w:rPr>
          <w:color w:val="231F20"/>
        </w:rPr>
        <w:t>de</w:t>
      </w:r>
      <w:r>
        <w:rPr>
          <w:color w:val="231F20"/>
          <w:spacing w:val="18"/>
        </w:rPr>
        <w:t> </w:t>
      </w:r>
      <w:r>
        <w:rPr>
          <w:color w:val="231F20"/>
        </w:rPr>
        <w:t>splitsing</w:t>
      </w:r>
      <w:r>
        <w:rPr>
          <w:color w:val="231F20"/>
          <w:spacing w:val="17"/>
        </w:rPr>
        <w:t> </w:t>
      </w:r>
      <w:r>
        <w:rPr>
          <w:color w:val="231F20"/>
        </w:rPr>
        <w:t>tot</w:t>
      </w:r>
      <w:r>
        <w:rPr>
          <w:color w:val="231F20"/>
          <w:spacing w:val="18"/>
        </w:rPr>
        <w:t> </w:t>
      </w:r>
      <w:r>
        <w:rPr>
          <w:color w:val="231F20"/>
        </w:rPr>
        <w:t>stand</w:t>
      </w:r>
      <w:r>
        <w:rPr>
          <w:color w:val="231F20"/>
          <w:spacing w:val="18"/>
        </w:rPr>
        <w:t> </w:t>
      </w:r>
      <w:r>
        <w:rPr>
          <w:color w:val="231F20"/>
        </w:rPr>
        <w:t>is</w:t>
      </w:r>
      <w:r>
        <w:rPr>
          <w:color w:val="231F20"/>
          <w:spacing w:val="17"/>
        </w:rPr>
        <w:t> </w:t>
      </w:r>
      <w:r>
        <w:rPr>
          <w:color w:val="231F20"/>
        </w:rPr>
        <w:t>gekomen.</w:t>
      </w:r>
    </w:p>
    <w:p>
      <w:pPr>
        <w:pStyle w:val="BodyText"/>
        <w:spacing w:line="218" w:lineRule="auto" w:before="106"/>
      </w:pPr>
      <w:r>
        <w:rPr>
          <w:color w:val="231F20"/>
        </w:rPr>
        <w:t>Indien een verslag werd opgesteld overeenkomstig artikel 12:78, zijn de artikelen 6:8, 6:10 en 6:13, eerste lid, 2° en 5°, niet van toepassing</w:t>
      </w:r>
      <w:r>
        <w:rPr>
          <w:color w:val="231F20"/>
          <w:spacing w:val="-15"/>
        </w:rPr>
        <w:t> </w:t>
      </w:r>
      <w:r>
        <w:rPr>
          <w:color w:val="231F20"/>
        </w:rPr>
        <w:t>op de coöperatieve vennootschap en de Europese coöperatieve vennoot- schap</w:t>
      </w:r>
      <w:r>
        <w:rPr>
          <w:color w:val="231F20"/>
          <w:spacing w:val="15"/>
        </w:rPr>
        <w:t> </w:t>
      </w:r>
      <w:r>
        <w:rPr>
          <w:color w:val="231F20"/>
        </w:rPr>
        <w:t>die</w:t>
      </w:r>
      <w:r>
        <w:rPr>
          <w:color w:val="231F20"/>
          <w:spacing w:val="16"/>
        </w:rPr>
        <w:t> </w:t>
      </w:r>
      <w:r>
        <w:rPr>
          <w:color w:val="231F20"/>
        </w:rPr>
        <w:t>door</w:t>
      </w:r>
      <w:r>
        <w:rPr>
          <w:color w:val="231F20"/>
          <w:spacing w:val="16"/>
        </w:rPr>
        <w:t> </w:t>
      </w:r>
      <w:r>
        <w:rPr>
          <w:color w:val="231F20"/>
        </w:rPr>
        <w:t>de</w:t>
      </w:r>
      <w:r>
        <w:rPr>
          <w:color w:val="231F20"/>
          <w:spacing w:val="16"/>
        </w:rPr>
        <w:t> </w:t>
      </w:r>
      <w:r>
        <w:rPr>
          <w:color w:val="231F20"/>
        </w:rPr>
        <w:t>splitsing</w:t>
      </w:r>
      <w:r>
        <w:rPr>
          <w:color w:val="231F20"/>
          <w:spacing w:val="16"/>
        </w:rPr>
        <w:t> </w:t>
      </w:r>
      <w:r>
        <w:rPr>
          <w:color w:val="231F20"/>
        </w:rPr>
        <w:t>tot</w:t>
      </w:r>
      <w:r>
        <w:rPr>
          <w:color w:val="231F20"/>
          <w:spacing w:val="16"/>
        </w:rPr>
        <w:t> </w:t>
      </w:r>
      <w:r>
        <w:rPr>
          <w:color w:val="231F20"/>
        </w:rPr>
        <w:t>stand</w:t>
      </w:r>
      <w:r>
        <w:rPr>
          <w:color w:val="231F20"/>
          <w:spacing w:val="16"/>
        </w:rPr>
        <w:t> </w:t>
      </w:r>
      <w:r>
        <w:rPr>
          <w:color w:val="231F20"/>
        </w:rPr>
        <w:t>zijn</w:t>
      </w:r>
      <w:r>
        <w:rPr>
          <w:color w:val="231F20"/>
          <w:spacing w:val="16"/>
        </w:rPr>
        <w:t> </w:t>
      </w:r>
      <w:r>
        <w:rPr>
          <w:color w:val="231F20"/>
        </w:rPr>
        <w:t>gekomen.</w:t>
      </w:r>
    </w:p>
    <w:p>
      <w:pPr>
        <w:pStyle w:val="BodyText"/>
        <w:spacing w:line="218" w:lineRule="auto" w:before="107"/>
        <w:ind w:right="123"/>
      </w:pPr>
      <w:r>
        <w:rPr>
          <w:color w:val="231F20"/>
        </w:rPr>
        <w:t>Art. 12:75. De bestuursorganen van de vennootschappen die aan de splitsing deelnemen, stellen bij authentieke of bij onderhandse akte een splitsingsvoorstel op.</w:t>
      </w:r>
    </w:p>
    <w:p>
      <w:pPr>
        <w:spacing w:after="0" w:line="218" w:lineRule="auto"/>
        <w:sectPr>
          <w:headerReference w:type="even" r:id="rId105"/>
          <w:headerReference w:type="default" r:id="rId106"/>
          <w:pgSz w:w="11940" w:h="16880"/>
          <w:pgMar w:header="666" w:footer="0" w:top="1140" w:bottom="280" w:left="340" w:right="360"/>
          <w:pgNumType w:start="33482"/>
          <w:cols w:num="2" w:equalWidth="0">
            <w:col w:w="5527" w:space="100"/>
            <w:col w:w="5613"/>
          </w:cols>
        </w:sectPr>
      </w:pPr>
    </w:p>
    <w:p>
      <w:pPr>
        <w:pStyle w:val="BodyText"/>
        <w:spacing w:before="106"/>
        <w:ind w:left="283" w:right="0" w:firstLine="0"/>
        <w:jc w:val="left"/>
      </w:pPr>
      <w:r>
        <w:rPr/>
        <w:pict>
          <v:line style="position:absolute;mso-position-horizontal-relative:page;mso-position-vertical-relative:page;z-index:6880" from="298.170502pt,64.473pt" to="298.170502pt,812.819pt" stroked="true" strokeweight=".533pt" strokecolor="#231f20">
            <v:stroke dashstyle="solid"/>
            <w10:wrap type="none"/>
          </v:line>
        </w:pict>
      </w:r>
      <w:bookmarkStart w:name="_bookmark244" w:id="250"/>
      <w:bookmarkEnd w:id="250"/>
      <w:r>
        <w:rPr/>
      </w:r>
      <w:r>
        <w:rPr>
          <w:color w:val="231F20"/>
        </w:rPr>
        <w:t>Le projet de scission mentionne au moins:</w:t>
      </w:r>
    </w:p>
    <w:p>
      <w:pPr>
        <w:pStyle w:val="BodyText"/>
        <w:spacing w:line="218" w:lineRule="auto" w:before="92"/>
        <w:ind w:right="40"/>
      </w:pPr>
      <w:r>
        <w:rPr>
          <w:color w:val="231F20"/>
        </w:rPr>
        <w:t>1° la forme légale, la dénomination, l’objet et le siège de la société à scinder ainsi que des nouvelles sociétés;</w:t>
      </w:r>
    </w:p>
    <w:p>
      <w:pPr>
        <w:pStyle w:val="BodyText"/>
        <w:spacing w:line="218" w:lineRule="auto" w:before="97"/>
        <w:ind w:right="95"/>
      </w:pPr>
      <w:r>
        <w:rPr>
          <w:color w:val="231F20"/>
        </w:rPr>
        <w:t>2° le rapport d’échange des actions ou parts et, le cas échéant, le montant de la soulte en espèces;</w:t>
      </w:r>
    </w:p>
    <w:p>
      <w:pPr>
        <w:pStyle w:val="BodyText"/>
        <w:spacing w:before="82"/>
        <w:ind w:left="283" w:right="0" w:firstLine="0"/>
        <w:jc w:val="left"/>
      </w:pPr>
      <w:r>
        <w:rPr>
          <w:color w:val="231F20"/>
        </w:rPr>
        <w:t>3° les modalités de remise des actions ou parts des nouvelles sociétés;</w:t>
      </w:r>
    </w:p>
    <w:p>
      <w:pPr>
        <w:pStyle w:val="BodyText"/>
        <w:spacing w:before="7"/>
        <w:ind w:left="0" w:right="0" w:firstLine="0"/>
        <w:jc w:val="left"/>
        <w:rPr>
          <w:sz w:val="23"/>
        </w:rPr>
      </w:pPr>
    </w:p>
    <w:p>
      <w:pPr>
        <w:pStyle w:val="BodyText"/>
        <w:spacing w:line="218" w:lineRule="auto"/>
        <w:ind w:right="95"/>
      </w:pPr>
      <w:r>
        <w:rPr>
          <w:color w:val="231F20"/>
        </w:rPr>
        <w:t>4° la date à partir de laquelle ces actions ou parts donnent le droit de participer aux bénéfices ainsi que toute modalité particulière relative à ce droit;</w:t>
      </w:r>
    </w:p>
    <w:p>
      <w:pPr>
        <w:pStyle w:val="BodyText"/>
        <w:spacing w:line="218" w:lineRule="auto" w:before="96"/>
        <w:ind w:right="94"/>
      </w:pPr>
      <w:r>
        <w:rPr>
          <w:color w:val="231F20"/>
        </w:rPr>
        <w:t>5° la date à partir de laquelle les opérations de la société à scinder sont considérées du point de vue comptable comme accomplies pour le compte de l’une ou l’autre des nouvelles sociétés, cette date ne pouvant remonter avant le premier jour qui suit la clôture de l’exercice social dont les comptes annuels des sociétés concernées par l’opération ont déjà été approuvés;</w:t>
      </w:r>
    </w:p>
    <w:p>
      <w:pPr>
        <w:pStyle w:val="BodyText"/>
        <w:spacing w:line="218" w:lineRule="auto" w:before="96"/>
        <w:ind w:right="94"/>
      </w:pPr>
      <w:r>
        <w:rPr>
          <w:color w:val="231F20"/>
        </w:rPr>
        <w:t>6° les droits attribués par les nouvelles sociétés aux associés ou actionnaires de la société à scinder ayant des droits spéciaux et aux titulaires de titres autres que des parts ou actions ou les mesures proposées à leur égard;</w:t>
      </w:r>
    </w:p>
    <w:p>
      <w:pPr>
        <w:pStyle w:val="BodyText"/>
        <w:spacing w:line="218" w:lineRule="auto" w:before="97"/>
        <w:ind w:right="95"/>
      </w:pPr>
      <w:r>
        <w:rPr>
          <w:color w:val="231F20"/>
        </w:rPr>
        <w:t>7° les émoluments attribués aux commissaires ou aux réviseurs d’entreprises ou aux experts-comptables externes pour la rédaction du rapport prévu à l’article 12:78;</w:t>
      </w:r>
    </w:p>
    <w:p>
      <w:pPr>
        <w:pStyle w:val="BodyText"/>
        <w:spacing w:line="218" w:lineRule="auto" w:before="96"/>
        <w:ind w:right="95"/>
      </w:pPr>
      <w:r>
        <w:rPr>
          <w:color w:val="231F20"/>
        </w:rPr>
        <w:t>8° tout avantage particulier attribué aux membres des organes d’administration des sociétés participant à la scission;</w:t>
      </w:r>
    </w:p>
    <w:p>
      <w:pPr>
        <w:pStyle w:val="BodyText"/>
        <w:spacing w:line="218" w:lineRule="auto" w:before="96"/>
        <w:ind w:right="94"/>
      </w:pPr>
      <w:r>
        <w:rPr>
          <w:color w:val="231F20"/>
        </w:rPr>
        <w:t>9° la description et la répartition précises des éléments du</w:t>
      </w:r>
      <w:r>
        <w:rPr>
          <w:color w:val="231F20"/>
          <w:spacing w:val="-22"/>
        </w:rPr>
        <w:t> </w:t>
      </w:r>
      <w:r>
        <w:rPr>
          <w:color w:val="231F20"/>
        </w:rPr>
        <w:t>patrimoine actif</w:t>
      </w:r>
      <w:r>
        <w:rPr>
          <w:color w:val="231F20"/>
          <w:spacing w:val="14"/>
        </w:rPr>
        <w:t> </w:t>
      </w:r>
      <w:r>
        <w:rPr>
          <w:color w:val="231F20"/>
        </w:rPr>
        <w:t>et</w:t>
      </w:r>
      <w:r>
        <w:rPr>
          <w:color w:val="231F20"/>
          <w:spacing w:val="14"/>
        </w:rPr>
        <w:t> </w:t>
      </w:r>
      <w:r>
        <w:rPr>
          <w:color w:val="231F20"/>
        </w:rPr>
        <w:t>passif</w:t>
      </w:r>
      <w:r>
        <w:rPr>
          <w:color w:val="231F20"/>
          <w:spacing w:val="14"/>
        </w:rPr>
        <w:t> </w:t>
      </w:r>
      <w:r>
        <w:rPr>
          <w:color w:val="231F20"/>
        </w:rPr>
        <w:t>à</w:t>
      </w:r>
      <w:r>
        <w:rPr>
          <w:color w:val="231F20"/>
          <w:spacing w:val="15"/>
        </w:rPr>
        <w:t> </w:t>
      </w:r>
      <w:r>
        <w:rPr>
          <w:color w:val="231F20"/>
        </w:rPr>
        <w:t>transférer</w:t>
      </w:r>
      <w:r>
        <w:rPr>
          <w:color w:val="231F20"/>
          <w:spacing w:val="14"/>
        </w:rPr>
        <w:t> </w:t>
      </w:r>
      <w:r>
        <w:rPr>
          <w:color w:val="231F20"/>
        </w:rPr>
        <w:t>à</w:t>
      </w:r>
      <w:r>
        <w:rPr>
          <w:color w:val="231F20"/>
          <w:spacing w:val="14"/>
        </w:rPr>
        <w:t> </w:t>
      </w:r>
      <w:r>
        <w:rPr>
          <w:color w:val="231F20"/>
        </w:rPr>
        <w:t>chacune</w:t>
      </w:r>
      <w:r>
        <w:rPr>
          <w:color w:val="231F20"/>
          <w:spacing w:val="15"/>
        </w:rPr>
        <w:t> </w:t>
      </w:r>
      <w:r>
        <w:rPr>
          <w:color w:val="231F20"/>
        </w:rPr>
        <w:t>des</w:t>
      </w:r>
      <w:r>
        <w:rPr>
          <w:color w:val="231F20"/>
          <w:spacing w:val="14"/>
        </w:rPr>
        <w:t> </w:t>
      </w:r>
      <w:r>
        <w:rPr>
          <w:color w:val="231F20"/>
        </w:rPr>
        <w:t>nouvelles</w:t>
      </w:r>
      <w:r>
        <w:rPr>
          <w:color w:val="231F20"/>
          <w:spacing w:val="14"/>
        </w:rPr>
        <w:t> </w:t>
      </w:r>
      <w:r>
        <w:rPr>
          <w:color w:val="231F20"/>
        </w:rPr>
        <w:t>sociétés;</w:t>
      </w:r>
    </w:p>
    <w:p>
      <w:pPr>
        <w:pStyle w:val="BodyText"/>
        <w:spacing w:before="10"/>
        <w:ind w:left="0" w:right="0" w:firstLine="0"/>
        <w:jc w:val="left"/>
        <w:rPr>
          <w:sz w:val="23"/>
        </w:rPr>
      </w:pPr>
    </w:p>
    <w:p>
      <w:pPr>
        <w:pStyle w:val="BodyText"/>
        <w:spacing w:line="218" w:lineRule="auto" w:before="1"/>
        <w:ind w:right="94"/>
      </w:pPr>
      <w:r>
        <w:rPr>
          <w:color w:val="231F20"/>
        </w:rPr>
        <w:t>10° la répartition aux associés ou actionnaires de la société à scinder des</w:t>
      </w:r>
      <w:r>
        <w:rPr>
          <w:color w:val="231F20"/>
          <w:spacing w:val="-4"/>
        </w:rPr>
        <w:t> </w:t>
      </w:r>
      <w:r>
        <w:rPr>
          <w:color w:val="231F20"/>
        </w:rPr>
        <w:t>parts</w:t>
      </w:r>
      <w:r>
        <w:rPr>
          <w:color w:val="231F20"/>
          <w:spacing w:val="-3"/>
        </w:rPr>
        <w:t> </w:t>
      </w:r>
      <w:r>
        <w:rPr>
          <w:color w:val="231F20"/>
        </w:rPr>
        <w:t>ou</w:t>
      </w:r>
      <w:r>
        <w:rPr>
          <w:color w:val="231F20"/>
          <w:spacing w:val="-3"/>
        </w:rPr>
        <w:t> </w:t>
      </w:r>
      <w:r>
        <w:rPr>
          <w:color w:val="231F20"/>
        </w:rPr>
        <w:t>actions</w:t>
      </w:r>
      <w:r>
        <w:rPr>
          <w:color w:val="231F20"/>
          <w:spacing w:val="-3"/>
        </w:rPr>
        <w:t> </w:t>
      </w:r>
      <w:r>
        <w:rPr>
          <w:color w:val="231F20"/>
        </w:rPr>
        <w:t>des</w:t>
      </w:r>
      <w:r>
        <w:rPr>
          <w:color w:val="231F20"/>
          <w:spacing w:val="-3"/>
        </w:rPr>
        <w:t> </w:t>
      </w:r>
      <w:r>
        <w:rPr>
          <w:color w:val="231F20"/>
        </w:rPr>
        <w:t>nouvelles</w:t>
      </w:r>
      <w:r>
        <w:rPr>
          <w:color w:val="231F20"/>
          <w:spacing w:val="-4"/>
        </w:rPr>
        <w:t> </w:t>
      </w:r>
      <w:r>
        <w:rPr>
          <w:color w:val="231F20"/>
        </w:rPr>
        <w:t>sociétés,</w:t>
      </w:r>
      <w:r>
        <w:rPr>
          <w:color w:val="231F20"/>
          <w:spacing w:val="-3"/>
        </w:rPr>
        <w:t> </w:t>
      </w:r>
      <w:r>
        <w:rPr>
          <w:color w:val="231F20"/>
        </w:rPr>
        <w:t>ainsi</w:t>
      </w:r>
      <w:r>
        <w:rPr>
          <w:color w:val="231F20"/>
          <w:spacing w:val="-3"/>
        </w:rPr>
        <w:t> </w:t>
      </w:r>
      <w:r>
        <w:rPr>
          <w:color w:val="231F20"/>
        </w:rPr>
        <w:t>que</w:t>
      </w:r>
      <w:r>
        <w:rPr>
          <w:color w:val="231F20"/>
          <w:spacing w:val="-3"/>
        </w:rPr>
        <w:t> </w:t>
      </w:r>
      <w:r>
        <w:rPr>
          <w:color w:val="231F20"/>
        </w:rPr>
        <w:t>le</w:t>
      </w:r>
      <w:r>
        <w:rPr>
          <w:color w:val="231F20"/>
          <w:spacing w:val="-3"/>
        </w:rPr>
        <w:t> </w:t>
      </w:r>
      <w:r>
        <w:rPr>
          <w:color w:val="231F20"/>
        </w:rPr>
        <w:t>critère</w:t>
      </w:r>
      <w:r>
        <w:rPr>
          <w:color w:val="231F20"/>
          <w:spacing w:val="-3"/>
        </w:rPr>
        <w:t> </w:t>
      </w:r>
      <w:r>
        <w:rPr>
          <w:color w:val="231F20"/>
        </w:rPr>
        <w:t>sur</w:t>
      </w:r>
      <w:r>
        <w:rPr>
          <w:color w:val="231F20"/>
          <w:spacing w:val="-4"/>
        </w:rPr>
        <w:t> </w:t>
      </w:r>
      <w:r>
        <w:rPr>
          <w:color w:val="231F20"/>
        </w:rPr>
        <w:t>lequel cette répartition est</w:t>
      </w:r>
      <w:r>
        <w:rPr>
          <w:color w:val="231F20"/>
          <w:spacing w:val="2"/>
        </w:rPr>
        <w:t> </w:t>
      </w:r>
      <w:r>
        <w:rPr>
          <w:color w:val="231F20"/>
        </w:rPr>
        <w:t>fondée;</w:t>
      </w:r>
    </w:p>
    <w:p>
      <w:pPr>
        <w:pStyle w:val="BodyText"/>
        <w:spacing w:line="218" w:lineRule="auto" w:before="96"/>
        <w:ind w:right="95"/>
      </w:pPr>
      <w:r>
        <w:rPr>
          <w:color w:val="231F20"/>
          <w:spacing w:val="-4"/>
        </w:rPr>
        <w:t>11°  </w:t>
      </w:r>
      <w:r>
        <w:rPr>
          <w:color w:val="231F20"/>
        </w:rPr>
        <w:t>le nom et la résidence du notaire instrumentant, dans le cas visé  à l’article</w:t>
      </w:r>
      <w:r>
        <w:rPr>
          <w:color w:val="231F20"/>
          <w:spacing w:val="-13"/>
        </w:rPr>
        <w:t> </w:t>
      </w:r>
      <w:r>
        <w:rPr>
          <w:color w:val="231F20"/>
        </w:rPr>
        <w:t>12:90.</w:t>
      </w:r>
    </w:p>
    <w:p>
      <w:pPr>
        <w:pStyle w:val="BodyText"/>
        <w:spacing w:line="218" w:lineRule="auto" w:before="96"/>
        <w:ind w:right="94"/>
      </w:pPr>
      <w:r>
        <w:rPr>
          <w:color w:val="231F20"/>
        </w:rPr>
        <w:t>Le projet de scission doit être déposé par chacune des sociétés participant à la scission au </w:t>
      </w:r>
      <w:r>
        <w:rPr>
          <w:color w:val="231F20"/>
          <w:spacing w:val="-3"/>
        </w:rPr>
        <w:t>greffe </w:t>
      </w:r>
      <w:r>
        <w:rPr>
          <w:color w:val="231F20"/>
        </w:rPr>
        <w:t>du tribunal de l’entreprise de son siège et publié par extrait ou mention conformément respectivement aux articles 2:8 et 2:14, 1° ou 4°. Dans ce dernier cas, la mention comporte un lien hypertexte vers le site internet de la société. Le dépôt a lieu au plus tard six semaines avant la décision de</w:t>
      </w:r>
      <w:r>
        <w:rPr>
          <w:color w:val="231F20"/>
          <w:spacing w:val="31"/>
        </w:rPr>
        <w:t> </w:t>
      </w:r>
      <w:r>
        <w:rPr>
          <w:color w:val="231F20"/>
        </w:rPr>
        <w:t>scission mentionnée à l’article</w:t>
      </w:r>
      <w:r>
        <w:rPr>
          <w:color w:val="231F20"/>
          <w:spacing w:val="2"/>
        </w:rPr>
        <w:t> </w:t>
      </w:r>
      <w:r>
        <w:rPr>
          <w:color w:val="231F20"/>
        </w:rPr>
        <w:t>12:83.</w:t>
      </w:r>
    </w:p>
    <w:p>
      <w:pPr>
        <w:pStyle w:val="BodyText"/>
        <w:spacing w:line="218" w:lineRule="auto" w:before="97"/>
        <w:ind w:right="94"/>
      </w:pPr>
      <w:r>
        <w:rPr>
          <w:color w:val="231F20"/>
        </w:rPr>
        <w:t>Art. 12:76. Lorsqu’un élément du patrimoine actif n’est pas attribué dans le projet de scission et que l’interprétation du projet ne permet</w:t>
      </w:r>
      <w:r>
        <w:rPr>
          <w:color w:val="231F20"/>
          <w:spacing w:val="-21"/>
        </w:rPr>
        <w:t> </w:t>
      </w:r>
      <w:r>
        <w:rPr>
          <w:color w:val="231F20"/>
        </w:rPr>
        <w:t>pas de décider de la répartition de cet élément, celui-ci ou sa contrevaleur est réparti entre toutes les nouvelles sociétés de manière proportion- nelle à l’actif net attribué à chacune de celles-ci dans le projet de scission.</w:t>
      </w:r>
    </w:p>
    <w:p>
      <w:pPr>
        <w:pStyle w:val="BodyText"/>
        <w:spacing w:line="218" w:lineRule="auto" w:before="96"/>
        <w:ind w:right="94"/>
      </w:pPr>
      <w:r>
        <w:rPr>
          <w:color w:val="231F20"/>
        </w:rPr>
        <w:t>Lorsqu’un élément du patrimoine passif n’est pas attribué dans le projet de scission et que l’interprétation du projet ne permet pas de décider de la répartition de cet élément, chacune des nouvelles sociétés en est solidairement responsable.</w:t>
      </w:r>
    </w:p>
    <w:p>
      <w:pPr>
        <w:pStyle w:val="BodyText"/>
        <w:spacing w:line="218" w:lineRule="auto" w:before="96"/>
        <w:ind w:right="149"/>
        <w:jc w:val="left"/>
      </w:pPr>
      <w:r>
        <w:rPr>
          <w:color w:val="231F20"/>
        </w:rPr>
        <w:t>À compter de la date visée à l’article 12:75, alinéa 2, 5°, les produits   et charges d’actifs et de passifs déterminés sont imputés à la </w:t>
      </w:r>
      <w:r>
        <w:rPr>
          <w:color w:val="231F20"/>
          <w:spacing w:val="2"/>
        </w:rPr>
        <w:t>société </w:t>
      </w:r>
      <w:r>
        <w:rPr>
          <w:color w:val="231F20"/>
        </w:rPr>
        <w:t>à laquelle</w:t>
      </w:r>
      <w:r>
        <w:rPr>
          <w:color w:val="231F20"/>
          <w:spacing w:val="14"/>
        </w:rPr>
        <w:t> </w:t>
      </w:r>
      <w:r>
        <w:rPr>
          <w:color w:val="231F20"/>
        </w:rPr>
        <w:t>ces</w:t>
      </w:r>
      <w:r>
        <w:rPr>
          <w:color w:val="231F20"/>
          <w:spacing w:val="15"/>
        </w:rPr>
        <w:t> </w:t>
      </w:r>
      <w:r>
        <w:rPr>
          <w:color w:val="231F20"/>
        </w:rPr>
        <w:t>actifs</w:t>
      </w:r>
      <w:r>
        <w:rPr>
          <w:color w:val="231F20"/>
          <w:spacing w:val="14"/>
        </w:rPr>
        <w:t> </w:t>
      </w:r>
      <w:r>
        <w:rPr>
          <w:color w:val="231F20"/>
        </w:rPr>
        <w:t>et</w:t>
      </w:r>
      <w:r>
        <w:rPr>
          <w:color w:val="231F20"/>
          <w:spacing w:val="15"/>
        </w:rPr>
        <w:t> </w:t>
      </w:r>
      <w:r>
        <w:rPr>
          <w:color w:val="231F20"/>
        </w:rPr>
        <w:t>passifs</w:t>
      </w:r>
      <w:r>
        <w:rPr>
          <w:color w:val="231F20"/>
          <w:spacing w:val="14"/>
        </w:rPr>
        <w:t> </w:t>
      </w:r>
      <w:r>
        <w:rPr>
          <w:color w:val="231F20"/>
        </w:rPr>
        <w:t>ont</w:t>
      </w:r>
      <w:r>
        <w:rPr>
          <w:color w:val="231F20"/>
          <w:spacing w:val="15"/>
        </w:rPr>
        <w:t> </w:t>
      </w:r>
      <w:r>
        <w:rPr>
          <w:color w:val="231F20"/>
        </w:rPr>
        <w:t>été</w:t>
      </w:r>
      <w:r>
        <w:rPr>
          <w:color w:val="231F20"/>
          <w:spacing w:val="14"/>
        </w:rPr>
        <w:t> </w:t>
      </w:r>
      <w:r>
        <w:rPr>
          <w:color w:val="231F20"/>
        </w:rPr>
        <w:t>attribués.</w:t>
      </w:r>
    </w:p>
    <w:p>
      <w:pPr>
        <w:pStyle w:val="BodyText"/>
        <w:spacing w:line="218" w:lineRule="auto" w:before="96"/>
        <w:ind w:right="94"/>
      </w:pPr>
      <w:r>
        <w:rPr>
          <w:color w:val="231F20"/>
        </w:rPr>
        <w:t>Art. 12:77. Dans chaque société, l’organe d’administration établit un rapport écrit et circonstancié qui expose la situation patrimoniale des sociétés participant à la scission et qui explique et justifie, d’un point de vue juridique et économique, l’opportunité de la scission, les condi- tions, les modalités et les conséquences de la scission, les méthodes suivies pour la détermination du rapport d’échange des actions ou des parts, l’importance relative qui est donnée à ces méthodes, l’évaluation à laquelle chaque méthode parvient, les </w:t>
      </w:r>
      <w:r>
        <w:rPr>
          <w:color w:val="231F20"/>
          <w:spacing w:val="-3"/>
        </w:rPr>
        <w:t>difficultés </w:t>
      </w:r>
      <w:r>
        <w:rPr>
          <w:color w:val="231F20"/>
        </w:rPr>
        <w:t>éventuellement rencontrées,</w:t>
      </w:r>
      <w:r>
        <w:rPr>
          <w:color w:val="231F20"/>
          <w:spacing w:val="15"/>
        </w:rPr>
        <w:t> </w:t>
      </w:r>
      <w:r>
        <w:rPr>
          <w:color w:val="231F20"/>
        </w:rPr>
        <w:t>et</w:t>
      </w:r>
      <w:r>
        <w:rPr>
          <w:color w:val="231F20"/>
          <w:spacing w:val="15"/>
        </w:rPr>
        <w:t> </w:t>
      </w:r>
      <w:r>
        <w:rPr>
          <w:color w:val="231F20"/>
        </w:rPr>
        <w:t>le</w:t>
      </w:r>
      <w:r>
        <w:rPr>
          <w:color w:val="231F20"/>
          <w:spacing w:val="15"/>
        </w:rPr>
        <w:t> </w:t>
      </w:r>
      <w:r>
        <w:rPr>
          <w:color w:val="231F20"/>
        </w:rPr>
        <w:t>rapport</w:t>
      </w:r>
      <w:r>
        <w:rPr>
          <w:color w:val="231F20"/>
          <w:spacing w:val="15"/>
        </w:rPr>
        <w:t> </w:t>
      </w:r>
      <w:r>
        <w:rPr>
          <w:color w:val="231F20"/>
        </w:rPr>
        <w:t>d’échange</w:t>
      </w:r>
      <w:r>
        <w:rPr>
          <w:color w:val="231F20"/>
          <w:spacing w:val="15"/>
        </w:rPr>
        <w:t> </w:t>
      </w:r>
      <w:r>
        <w:rPr>
          <w:color w:val="231F20"/>
        </w:rPr>
        <w:t>proposé.</w:t>
      </w:r>
    </w:p>
    <w:p>
      <w:pPr>
        <w:pStyle w:val="BodyText"/>
        <w:ind w:left="0" w:right="0" w:firstLine="0"/>
        <w:jc w:val="left"/>
        <w:rPr>
          <w:sz w:val="24"/>
        </w:rPr>
      </w:pPr>
    </w:p>
    <w:p>
      <w:pPr>
        <w:pStyle w:val="BodyText"/>
        <w:spacing w:line="218" w:lineRule="auto"/>
        <w:ind w:right="94"/>
      </w:pPr>
      <w:r>
        <w:rPr>
          <w:color w:val="231F20"/>
        </w:rPr>
        <w:t>Le présent article n’est pas applicable lorsque les actions ou les parts de chacune des nouvelles sociétés sont attribuées aux associés ou actionnaires de la société scindée proportionnellement à leurs droits dans le capital de cette société, ou, si la société ne dispose pas d’un capital, leur part dans les capitaux propres.</w:t>
      </w:r>
    </w:p>
    <w:p>
      <w:pPr>
        <w:pStyle w:val="BodyText"/>
        <w:spacing w:line="218" w:lineRule="auto" w:before="97"/>
        <w:ind w:right="94"/>
      </w:pPr>
      <w:r>
        <w:rPr>
          <w:color w:val="231F20"/>
        </w:rPr>
        <w:t>Art. 12:78. Dans chaque société, le commissaire, ou, lorsqu’il n’y a</w:t>
      </w:r>
      <w:r>
        <w:rPr>
          <w:color w:val="231F20"/>
          <w:spacing w:val="-29"/>
        </w:rPr>
        <w:t> </w:t>
      </w:r>
      <w:r>
        <w:rPr>
          <w:color w:val="231F20"/>
        </w:rPr>
        <w:t>pas de commissaire, un réviseur d’entreprises ou un expert-comptable externe désigné par l’organe d’administration, établit un rapport écrit sur le projet de</w:t>
      </w:r>
      <w:r>
        <w:rPr>
          <w:color w:val="231F20"/>
          <w:spacing w:val="18"/>
        </w:rPr>
        <w:t> </w:t>
      </w:r>
      <w:r>
        <w:rPr>
          <w:color w:val="231F20"/>
        </w:rPr>
        <w:t>scission.</w:t>
      </w:r>
    </w:p>
    <w:p>
      <w:pPr>
        <w:pStyle w:val="BodyText"/>
        <w:spacing w:line="218" w:lineRule="auto" w:before="96"/>
        <w:ind w:right="94"/>
      </w:pPr>
      <w:r>
        <w:rPr>
          <w:color w:val="231F20"/>
        </w:rPr>
        <w:t>Le commissaire ou le réviseur d’entreprises ou l’expert-comptable externe désigné doit notamment déclarer si, à son avis, le rapport d’échange est ou non pertinent et raisonnable.</w:t>
      </w:r>
    </w:p>
    <w:p>
      <w:pPr>
        <w:pStyle w:val="BodyText"/>
        <w:spacing w:before="105"/>
        <w:ind w:left="283" w:right="0" w:firstLine="0"/>
        <w:jc w:val="left"/>
      </w:pPr>
      <w:r>
        <w:rPr/>
        <w:br w:type="column"/>
      </w:r>
      <w:r>
        <w:rPr>
          <w:color w:val="231F20"/>
        </w:rPr>
        <w:t>Het splitsingsvoorstel vermeldt ten minste:</w:t>
      </w:r>
    </w:p>
    <w:p>
      <w:pPr>
        <w:pStyle w:val="BodyText"/>
        <w:spacing w:line="218" w:lineRule="auto" w:before="93"/>
      </w:pPr>
      <w:r>
        <w:rPr>
          <w:color w:val="231F20"/>
        </w:rPr>
        <w:t>1° de rechtsvorm, de naam, het voorwerp en de zetel van de te splitsen</w:t>
      </w:r>
      <w:r>
        <w:rPr>
          <w:color w:val="231F20"/>
          <w:spacing w:val="17"/>
        </w:rPr>
        <w:t> </w:t>
      </w:r>
      <w:r>
        <w:rPr>
          <w:color w:val="231F20"/>
        </w:rPr>
        <w:t>vennootschap</w:t>
      </w:r>
      <w:r>
        <w:rPr>
          <w:color w:val="231F20"/>
          <w:spacing w:val="17"/>
        </w:rPr>
        <w:t> </w:t>
      </w:r>
      <w:r>
        <w:rPr>
          <w:color w:val="231F20"/>
        </w:rPr>
        <w:t>en</w:t>
      </w:r>
      <w:r>
        <w:rPr>
          <w:color w:val="231F20"/>
          <w:spacing w:val="18"/>
        </w:rPr>
        <w:t> </w:t>
      </w:r>
      <w:r>
        <w:rPr>
          <w:color w:val="231F20"/>
        </w:rPr>
        <w:t>van</w:t>
      </w:r>
      <w:r>
        <w:rPr>
          <w:color w:val="231F20"/>
          <w:spacing w:val="17"/>
        </w:rPr>
        <w:t> </w:t>
      </w:r>
      <w:r>
        <w:rPr>
          <w:color w:val="231F20"/>
        </w:rPr>
        <w:t>de</w:t>
      </w:r>
      <w:r>
        <w:rPr>
          <w:color w:val="231F20"/>
          <w:spacing w:val="18"/>
        </w:rPr>
        <w:t> </w:t>
      </w:r>
      <w:r>
        <w:rPr>
          <w:color w:val="231F20"/>
        </w:rPr>
        <w:t>nieuwe</w:t>
      </w:r>
      <w:r>
        <w:rPr>
          <w:color w:val="231F20"/>
          <w:spacing w:val="17"/>
        </w:rPr>
        <w:t> </w:t>
      </w:r>
      <w:r>
        <w:rPr>
          <w:color w:val="231F20"/>
        </w:rPr>
        <w:t>vennootschappen;</w:t>
      </w:r>
    </w:p>
    <w:p>
      <w:pPr>
        <w:pStyle w:val="BodyText"/>
        <w:spacing w:line="218" w:lineRule="auto" w:before="96"/>
      </w:pPr>
      <w:r>
        <w:rPr>
          <w:color w:val="231F20"/>
        </w:rPr>
        <w:t>2° de ruilverhouding van de aandelen en, in voorkomend geval, het bedrag van de opleg in geld;</w:t>
      </w:r>
    </w:p>
    <w:p>
      <w:pPr>
        <w:pStyle w:val="BodyText"/>
        <w:spacing w:line="218" w:lineRule="auto" w:before="96"/>
      </w:pPr>
      <w:r>
        <w:rPr>
          <w:color w:val="231F20"/>
        </w:rPr>
        <w:t>3° de wijze waarop de aandelen in de nieuwe vennootschappen worden uitgereikt;</w:t>
      </w:r>
    </w:p>
    <w:p>
      <w:pPr>
        <w:pStyle w:val="BodyText"/>
        <w:spacing w:line="218" w:lineRule="auto" w:before="96"/>
      </w:pPr>
      <w:r>
        <w:rPr>
          <w:color w:val="231F20"/>
        </w:rPr>
        <w:t>4° de datum vanaf wanneer deze aandelen recht geven op winstdeel- name, evenals elke bijzondere regeling betreffende dit recht;</w:t>
      </w:r>
    </w:p>
    <w:p>
      <w:pPr>
        <w:pStyle w:val="BodyText"/>
        <w:spacing w:before="11"/>
        <w:ind w:left="0" w:right="0" w:firstLine="0"/>
        <w:jc w:val="left"/>
        <w:rPr>
          <w:sz w:val="23"/>
        </w:rPr>
      </w:pPr>
    </w:p>
    <w:p>
      <w:pPr>
        <w:pStyle w:val="BodyText"/>
        <w:spacing w:line="218" w:lineRule="auto"/>
      </w:pPr>
      <w:r>
        <w:rPr>
          <w:color w:val="231F20"/>
        </w:rPr>
        <w:t>5° de datum vanaf wanneer de handelingen van de te splitsen vennootschap boekhoudkundig worden geacht te zijn verricht voor rekening van een van de nieuwe vennootschappen, die niet eerder mag worden geplaatst dan op de eerste dag na de afsluiting van het boekjaar waarvoor de jaarrekening reeds werd goedgekeurd van de bij de verrichting betrokken vennootschappen;</w:t>
      </w:r>
    </w:p>
    <w:p>
      <w:pPr>
        <w:pStyle w:val="BodyText"/>
        <w:spacing w:line="218" w:lineRule="auto" w:before="96"/>
      </w:pPr>
      <w:r>
        <w:rPr>
          <w:color w:val="231F20"/>
        </w:rPr>
        <w:t>6° de rechten die de nieuwe vennootschappen toekennen aan de vennoten of aandeelhouders van de te splitsen vennootschap, die bijzondere rechten hebben en aan de houders van andere effecten dan aandelen, of de jegens hen voorgestelde maatregelen;</w:t>
      </w:r>
    </w:p>
    <w:p>
      <w:pPr>
        <w:pStyle w:val="BodyText"/>
        <w:spacing w:line="218" w:lineRule="auto" w:before="97"/>
      </w:pPr>
      <w:r>
        <w:rPr>
          <w:color w:val="231F20"/>
        </w:rPr>
        <w:t>7° de bezoldiging die wordt toegekend aan de commissarissen of de bedrijfsrevisoren of externe accountants voor de opstelling van het in artikel 12:78 bedoelde verslag;</w:t>
      </w:r>
    </w:p>
    <w:p>
      <w:pPr>
        <w:pStyle w:val="BodyText"/>
        <w:spacing w:line="218" w:lineRule="auto" w:before="96"/>
      </w:pPr>
      <w:r>
        <w:rPr>
          <w:color w:val="231F20"/>
        </w:rPr>
        <w:t>8° ieder bijzonder voordeel toegekend aan de leden van de bestuurs- organen van de vennootschappen die aan de splitsing deelnemen;</w:t>
      </w:r>
    </w:p>
    <w:p>
      <w:pPr>
        <w:pStyle w:val="BodyText"/>
        <w:spacing w:line="218" w:lineRule="auto" w:before="96"/>
      </w:pPr>
      <w:r>
        <w:rPr>
          <w:color w:val="231F20"/>
        </w:rPr>
        <w:t>9° de nauwkeurige beschrijving en verdeling van de aan elke nieuwe vennootschap over te dragen delen van de activa en passiva van het vermogen;</w:t>
      </w:r>
    </w:p>
    <w:p>
      <w:pPr>
        <w:pStyle w:val="BodyText"/>
        <w:spacing w:line="218" w:lineRule="auto" w:before="96"/>
      </w:pPr>
      <w:r>
        <w:rPr>
          <w:color w:val="231F20"/>
        </w:rPr>
        <w:t>10° de verdeling onder de vennoten of aandeelhouders van de te splitsen vennootschap van de aandelen van de nieuwe vennootschap- pen, evenals het criterium waarop deze verdeling is gebaseerd;</w:t>
      </w:r>
    </w:p>
    <w:p>
      <w:pPr>
        <w:pStyle w:val="BodyText"/>
        <w:spacing w:line="218" w:lineRule="auto" w:before="96"/>
      </w:pPr>
      <w:r>
        <w:rPr>
          <w:color w:val="231F20"/>
          <w:spacing w:val="-4"/>
        </w:rPr>
        <w:t>11° </w:t>
      </w:r>
      <w:r>
        <w:rPr>
          <w:color w:val="231F20"/>
        </w:rPr>
        <w:t>de naam en standplaats van de instrumenterende notaris, in het in artikel 12:90 bedoelde</w:t>
      </w:r>
      <w:r>
        <w:rPr>
          <w:color w:val="231F20"/>
          <w:spacing w:val="18"/>
        </w:rPr>
        <w:t> </w:t>
      </w:r>
      <w:r>
        <w:rPr>
          <w:color w:val="231F20"/>
        </w:rPr>
        <w:t>geval.</w:t>
      </w:r>
    </w:p>
    <w:p>
      <w:pPr>
        <w:pStyle w:val="BodyText"/>
        <w:spacing w:line="218" w:lineRule="auto" w:before="97"/>
        <w:ind w:right="123"/>
      </w:pPr>
      <w:r>
        <w:rPr>
          <w:color w:val="231F20"/>
        </w:rPr>
        <w:t>Het splitsingsvoorstel moet door elke vennootschap die aan de splitsing deelneemt ter griffie van de ondernemingsrechtbank van haar zetel worden neergelegd en bekendgemaakt bij uittreksel of medede- ling overeenkomstig respectievelijk de artikelen 2:8 en 2:14, 1° of 4°. In dit laatste geval bevat de mededeling een hyperlink naar de vennoot- schapswebsite. De neerlegging gebeurt uiterlijk zes weken vóór het besluit tot splitsing vermeld in artikel 12:83.</w:t>
      </w:r>
    </w:p>
    <w:p>
      <w:pPr>
        <w:pStyle w:val="BodyText"/>
        <w:spacing w:line="218" w:lineRule="auto" w:before="96"/>
      </w:pPr>
      <w:r>
        <w:rPr>
          <w:color w:val="231F20"/>
        </w:rPr>
        <w:t>Art. 12:76. </w:t>
      </w:r>
      <w:r>
        <w:rPr>
          <w:color w:val="231F20"/>
          <w:spacing w:val="-3"/>
        </w:rPr>
        <w:t>Wanneer </w:t>
      </w:r>
      <w:r>
        <w:rPr>
          <w:color w:val="231F20"/>
        </w:rPr>
        <w:t>een gedeelte van de activa van het vermogen niet in het splitsingsvoorstel wordt toebedeeld en interpretatie van dit voorstel geen uitsluitsel geeft over de verdeling ervan, wordt dit gedeelte of de waarde ervan verdeeld over alle nieuwe vennootschap- pen, evenredig aan het nettoactief dat aan ieder van hen in het splitsingsvoorstel is</w:t>
      </w:r>
      <w:r>
        <w:rPr>
          <w:color w:val="231F20"/>
          <w:spacing w:val="-11"/>
        </w:rPr>
        <w:t> </w:t>
      </w:r>
      <w:r>
        <w:rPr>
          <w:color w:val="231F20"/>
        </w:rPr>
        <w:t>toebedeeld.</w:t>
      </w:r>
    </w:p>
    <w:p>
      <w:pPr>
        <w:pStyle w:val="BodyText"/>
        <w:spacing w:line="218" w:lineRule="auto" w:before="97"/>
      </w:pPr>
      <w:r>
        <w:rPr>
          <w:color w:val="231F20"/>
        </w:rPr>
        <w:t>Wanneer een gedeelte van de passiva van het vermogen niet in het splitsingsvoorstel wordt toebedeeld en interpretatie van dit voorstel geen uitsluitsel geeft over de verdeling ervan, zijn alle nieuwe vennootschappen daarvoor hoofdelijk aansprakelijk.</w:t>
      </w:r>
    </w:p>
    <w:p>
      <w:pPr>
        <w:pStyle w:val="BodyText"/>
        <w:spacing w:line="218" w:lineRule="auto" w:before="96"/>
      </w:pPr>
      <w:r>
        <w:rPr>
          <w:color w:val="231F20"/>
        </w:rPr>
        <w:t>De opbrengsten en kosten van welbepaalde activa en passiva worden vanaf de in artikel 12:75, tweede lid, 5°, bedoelde datum toegerekend aan de vennootschap waaraan die activa en passiva werden toebedeeld.</w:t>
      </w:r>
    </w:p>
    <w:p>
      <w:pPr>
        <w:pStyle w:val="BodyText"/>
        <w:spacing w:line="218" w:lineRule="auto" w:before="96"/>
      </w:pPr>
      <w:r>
        <w:rPr>
          <w:color w:val="231F20"/>
        </w:rPr>
        <w:t>Art. 12:77. In elke vennootschap stelt het bestuursorgaan een omstandig schriftelijk verslag op waarin het de stand van het vermogen van de vennootschappen die aan de splitsing deelnemen uiteenzet en waarin het tevens, vanuit een juridisch en economisch oogpunt, de wenselijkheid van de splitsing, haar voorwaarden, de wijze waarop ze zal gebeuren en haar gevolgen, de methoden waarmee de ruilverhou- ding van de aandelen is vastgesteld, het betrekkelijke gewicht dat aan deze methoden wordt gehecht, de waardering waartoe elke methode komt, de moeilijkheden die zich eventueel hebben voorgedaan en de voorgestelde ruilverhouding toelicht en verantwoordt.</w:t>
      </w:r>
    </w:p>
    <w:p>
      <w:pPr>
        <w:pStyle w:val="BodyText"/>
        <w:spacing w:line="218" w:lineRule="auto" w:before="97"/>
      </w:pPr>
      <w:r>
        <w:rPr>
          <w:color w:val="231F20"/>
        </w:rPr>
        <w:t>Dit artikel is niet van toepassing wanneer de aandelen van elk van de nieuwe vennootschappen worden uitgegeven aan de vennoten of aandeelhouders van de gesplitste vennootschap evenredig aan hun rechten in het kapitaal van deze vennootschap, of, als de vennootschap geen kapitaal heeft, hun aandeel in het eigen vermogen.</w:t>
      </w:r>
    </w:p>
    <w:p>
      <w:pPr>
        <w:pStyle w:val="BodyText"/>
        <w:spacing w:line="218" w:lineRule="auto" w:before="96"/>
        <w:ind w:right="125"/>
      </w:pPr>
      <w:r>
        <w:rPr>
          <w:color w:val="231F20"/>
        </w:rPr>
        <w:t>Art. 12:78. In elke vennootschap stelt de commissaris, of, wanneer er geen commissaris is, een door het bestuursorgaan aangewezen bedrijfs- revisor of externe accountant een schriftelijk verslag over het splitsings- voorstel op.</w:t>
      </w:r>
    </w:p>
    <w:p>
      <w:pPr>
        <w:pStyle w:val="BodyText"/>
        <w:spacing w:line="218" w:lineRule="auto" w:before="97"/>
      </w:pPr>
      <w:r>
        <w:rPr>
          <w:color w:val="231F20"/>
        </w:rPr>
        <w:t>De commissaris of de aangewezen bedrijfsrevisor of externe accoun- tant moet inzonderheid verklaren of de ruilverhouding naar zijn mening</w:t>
      </w:r>
      <w:r>
        <w:rPr>
          <w:color w:val="231F20"/>
          <w:spacing w:val="14"/>
        </w:rPr>
        <w:t> </w:t>
      </w:r>
      <w:r>
        <w:rPr>
          <w:color w:val="231F20"/>
        </w:rPr>
        <w:t>al</w:t>
      </w:r>
      <w:r>
        <w:rPr>
          <w:color w:val="231F20"/>
          <w:spacing w:val="15"/>
        </w:rPr>
        <w:t> </w:t>
      </w:r>
      <w:r>
        <w:rPr>
          <w:color w:val="231F20"/>
        </w:rPr>
        <w:t>dan</w:t>
      </w:r>
      <w:r>
        <w:rPr>
          <w:color w:val="231F20"/>
          <w:spacing w:val="15"/>
        </w:rPr>
        <w:t> </w:t>
      </w:r>
      <w:r>
        <w:rPr>
          <w:color w:val="231F20"/>
        </w:rPr>
        <w:t>niet</w:t>
      </w:r>
      <w:r>
        <w:rPr>
          <w:color w:val="231F20"/>
          <w:spacing w:val="15"/>
        </w:rPr>
        <w:t> </w:t>
      </w:r>
      <w:r>
        <w:rPr>
          <w:color w:val="231F20"/>
        </w:rPr>
        <w:t>relevant</w:t>
      </w:r>
      <w:r>
        <w:rPr>
          <w:color w:val="231F20"/>
          <w:spacing w:val="15"/>
        </w:rPr>
        <w:t> </w:t>
      </w:r>
      <w:r>
        <w:rPr>
          <w:color w:val="231F20"/>
        </w:rPr>
        <w:t>en</w:t>
      </w:r>
      <w:r>
        <w:rPr>
          <w:color w:val="231F20"/>
          <w:spacing w:val="15"/>
        </w:rPr>
        <w:t> </w:t>
      </w:r>
      <w:r>
        <w:rPr>
          <w:color w:val="231F20"/>
        </w:rPr>
        <w:t>redelijk</w:t>
      </w:r>
      <w:r>
        <w:rPr>
          <w:color w:val="231F20"/>
          <w:spacing w:val="15"/>
        </w:rPr>
        <w:t> </w:t>
      </w:r>
      <w:r>
        <w:rPr>
          <w:color w:val="231F20"/>
        </w:rPr>
        <w:t>is.</w:t>
      </w:r>
    </w:p>
    <w:p>
      <w:pPr>
        <w:spacing w:after="0" w:line="218" w:lineRule="auto"/>
        <w:sectPr>
          <w:pgSz w:w="11940" w:h="16880"/>
          <w:pgMar w:header="666" w:footer="0" w:top="1140" w:bottom="280" w:left="340" w:right="360"/>
          <w:cols w:num="2" w:equalWidth="0">
            <w:col w:w="5584" w:space="44"/>
            <w:col w:w="5612"/>
          </w:cols>
        </w:sectPr>
      </w:pPr>
    </w:p>
    <w:p>
      <w:pPr>
        <w:pStyle w:val="BodyText"/>
        <w:spacing w:before="106"/>
        <w:ind w:left="283" w:right="0" w:firstLine="0"/>
        <w:jc w:val="left"/>
      </w:pPr>
      <w:r>
        <w:rPr/>
        <w:pict>
          <v:line style="position:absolute;mso-position-horizontal-relative:page;mso-position-vertical-relative:page;z-index:6904" from="298.170502pt,64.473pt" to="298.170502pt,812.819pt" stroked="true" strokeweight=".533pt" strokecolor="#231f20">
            <v:stroke dashstyle="solid"/>
            <w10:wrap type="none"/>
          </v:line>
        </w:pict>
      </w:r>
      <w:bookmarkStart w:name="_bookmark245" w:id="251"/>
      <w:bookmarkEnd w:id="251"/>
      <w:r>
        <w:rPr/>
      </w:r>
      <w:r>
        <w:rPr>
          <w:color w:val="231F20"/>
        </w:rPr>
        <w:t>Cette déclaration doit au moins:</w:t>
      </w:r>
    </w:p>
    <w:p>
      <w:pPr>
        <w:pStyle w:val="BodyText"/>
        <w:spacing w:line="218" w:lineRule="auto" w:before="82"/>
        <w:ind w:right="38"/>
      </w:pPr>
      <w:r>
        <w:rPr>
          <w:color w:val="231F20"/>
        </w:rPr>
        <w:t>1° indiquer les méthodes suivies pour la détermination du rapport d’échange proposé;</w:t>
      </w:r>
    </w:p>
    <w:p>
      <w:pPr>
        <w:pStyle w:val="BodyText"/>
        <w:spacing w:line="218" w:lineRule="auto" w:before="85"/>
        <w:ind w:right="38"/>
      </w:pPr>
      <w:r>
        <w:rPr>
          <w:color w:val="231F20"/>
        </w:rPr>
        <w:t>2° indiquer si ces méthodes sont appropriées en l’espèce et mention- ner l’évaluation à laquelle chacune de ces méthodes conduit, un avis étant donné sur l’importance relative donnée à ces méthodes dans la détermination de la valeur retenue.</w:t>
      </w:r>
    </w:p>
    <w:p>
      <w:pPr>
        <w:pStyle w:val="BodyText"/>
        <w:spacing w:line="218" w:lineRule="auto" w:before="86"/>
        <w:ind w:right="38"/>
      </w:pPr>
      <w:r>
        <w:rPr>
          <w:color w:val="231F20"/>
        </w:rPr>
        <w:t>Le</w:t>
      </w:r>
      <w:r>
        <w:rPr>
          <w:color w:val="231F20"/>
          <w:spacing w:val="-4"/>
        </w:rPr>
        <w:t> </w:t>
      </w:r>
      <w:r>
        <w:rPr>
          <w:color w:val="231F20"/>
        </w:rPr>
        <w:t>rapport</w:t>
      </w:r>
      <w:r>
        <w:rPr>
          <w:color w:val="231F20"/>
          <w:spacing w:val="-4"/>
        </w:rPr>
        <w:t> </w:t>
      </w:r>
      <w:r>
        <w:rPr>
          <w:color w:val="231F20"/>
        </w:rPr>
        <w:t>indique</w:t>
      </w:r>
      <w:r>
        <w:rPr>
          <w:color w:val="231F20"/>
          <w:spacing w:val="-3"/>
        </w:rPr>
        <w:t> </w:t>
      </w:r>
      <w:r>
        <w:rPr>
          <w:color w:val="231F20"/>
        </w:rPr>
        <w:t>en</w:t>
      </w:r>
      <w:r>
        <w:rPr>
          <w:color w:val="231F20"/>
          <w:spacing w:val="-4"/>
        </w:rPr>
        <w:t> </w:t>
      </w:r>
      <w:r>
        <w:rPr>
          <w:color w:val="231F20"/>
        </w:rPr>
        <w:t>outre,</w:t>
      </w:r>
      <w:r>
        <w:rPr>
          <w:color w:val="231F20"/>
          <w:spacing w:val="-3"/>
        </w:rPr>
        <w:t> </w:t>
      </w:r>
      <w:r>
        <w:rPr>
          <w:color w:val="231F20"/>
        </w:rPr>
        <w:t>le</w:t>
      </w:r>
      <w:r>
        <w:rPr>
          <w:color w:val="231F20"/>
          <w:spacing w:val="-4"/>
        </w:rPr>
        <w:t> </w:t>
      </w:r>
      <w:r>
        <w:rPr>
          <w:color w:val="231F20"/>
        </w:rPr>
        <w:t>cas</w:t>
      </w:r>
      <w:r>
        <w:rPr>
          <w:color w:val="231F20"/>
          <w:spacing w:val="-3"/>
        </w:rPr>
        <w:t> </w:t>
      </w:r>
      <w:r>
        <w:rPr>
          <w:color w:val="231F20"/>
        </w:rPr>
        <w:t>échéant,</w:t>
      </w:r>
      <w:r>
        <w:rPr>
          <w:color w:val="231F20"/>
          <w:spacing w:val="-4"/>
        </w:rPr>
        <w:t> </w:t>
      </w:r>
      <w:r>
        <w:rPr>
          <w:color w:val="231F20"/>
        </w:rPr>
        <w:t>les</w:t>
      </w:r>
      <w:r>
        <w:rPr>
          <w:color w:val="231F20"/>
          <w:spacing w:val="-3"/>
        </w:rPr>
        <w:t> difficultés</w:t>
      </w:r>
      <w:r>
        <w:rPr>
          <w:color w:val="231F20"/>
          <w:spacing w:val="-4"/>
        </w:rPr>
        <w:t> </w:t>
      </w:r>
      <w:r>
        <w:rPr>
          <w:color w:val="231F20"/>
        </w:rPr>
        <w:t>particulières d’évaluation.</w:t>
      </w:r>
    </w:p>
    <w:p>
      <w:pPr>
        <w:pStyle w:val="BodyText"/>
        <w:spacing w:line="218" w:lineRule="auto" w:before="85"/>
        <w:ind w:right="38"/>
      </w:pPr>
      <w:r>
        <w:rPr>
          <w:color w:val="231F20"/>
        </w:rPr>
        <w:t>Le commissaire ou le réviseur d’entreprises ou l’expert-comptable externe désigné peut prendre connaissance sans déplacement de tout document utile à l’accomplissement de sa mission. Il peut obtenir auprès des sociétés qui participent à la scission toutes les explications ou informations et procéder à toutes les vérifications qui lui paraissent nécessaires.</w:t>
      </w:r>
    </w:p>
    <w:p>
      <w:pPr>
        <w:pStyle w:val="BodyText"/>
        <w:spacing w:line="218" w:lineRule="auto" w:before="86"/>
        <w:ind w:right="38"/>
      </w:pPr>
      <w:r>
        <w:rPr>
          <w:color w:val="231F20"/>
        </w:rPr>
        <w:t>Le présent article n’est pas applicable si tous les associés ou actionnaires et titulaires d’autres titres conférant le droit de vote de chacune des sociétés participant à la scission en ont décidé ainsi.</w:t>
      </w:r>
    </w:p>
    <w:p>
      <w:pPr>
        <w:pStyle w:val="BodyText"/>
        <w:spacing w:line="218" w:lineRule="auto" w:before="86"/>
        <w:ind w:right="38"/>
      </w:pPr>
      <w:r>
        <w:rPr>
          <w:color w:val="231F20"/>
        </w:rPr>
        <w:t>Le présent article n’est pas applicable lorsque les actions ou les parts de chacune des nouvelles sociétés sont attribuées aux associés ou actionnaires de la société scindée proportionnellement à leurs droits dans le capital de cette société ou, si la société n’a pas de capital, leur part dans les capitaux propres.</w:t>
      </w:r>
    </w:p>
    <w:p>
      <w:pPr>
        <w:pStyle w:val="BodyText"/>
        <w:spacing w:line="218" w:lineRule="auto" w:before="85"/>
        <w:ind w:right="38"/>
      </w:pPr>
      <w:r>
        <w:rPr>
          <w:color w:val="231F20"/>
        </w:rPr>
        <w:t>Art. 12:79. Les organes d’administration de chacune des sociétés concernées par la scission sont tenus d’informer l’assemblée générale de leur société ainsi que les organes d’administration de toutes les autres sociétés concernées par la scission de toute</w:t>
      </w:r>
      <w:r>
        <w:rPr>
          <w:color w:val="231F20"/>
          <w:spacing w:val="30"/>
        </w:rPr>
        <w:t> </w:t>
      </w:r>
      <w:r>
        <w:rPr>
          <w:color w:val="231F20"/>
        </w:rPr>
        <w:t>modification importante du patrimoine actif et passif intervenue entre la date de l’établissement du projet de scission et la date de la dernière assemblée générale</w:t>
      </w:r>
      <w:r>
        <w:rPr>
          <w:color w:val="231F20"/>
          <w:spacing w:val="14"/>
        </w:rPr>
        <w:t> </w:t>
      </w:r>
      <w:r>
        <w:rPr>
          <w:color w:val="231F20"/>
        </w:rPr>
        <w:t>qui</w:t>
      </w:r>
      <w:r>
        <w:rPr>
          <w:color w:val="231F20"/>
          <w:spacing w:val="15"/>
        </w:rPr>
        <w:t> </w:t>
      </w:r>
      <w:r>
        <w:rPr>
          <w:color w:val="231F20"/>
        </w:rPr>
        <w:t>se</w:t>
      </w:r>
      <w:r>
        <w:rPr>
          <w:color w:val="231F20"/>
          <w:spacing w:val="15"/>
        </w:rPr>
        <w:t> </w:t>
      </w:r>
      <w:r>
        <w:rPr>
          <w:color w:val="231F20"/>
        </w:rPr>
        <w:t>prononce</w:t>
      </w:r>
      <w:r>
        <w:rPr>
          <w:color w:val="231F20"/>
          <w:spacing w:val="15"/>
        </w:rPr>
        <w:t> </w:t>
      </w:r>
      <w:r>
        <w:rPr>
          <w:color w:val="231F20"/>
        </w:rPr>
        <w:t>sur</w:t>
      </w:r>
      <w:r>
        <w:rPr>
          <w:color w:val="231F20"/>
          <w:spacing w:val="15"/>
        </w:rPr>
        <w:t> </w:t>
      </w:r>
      <w:r>
        <w:rPr>
          <w:color w:val="231F20"/>
        </w:rPr>
        <w:t>la</w:t>
      </w:r>
      <w:r>
        <w:rPr>
          <w:color w:val="231F20"/>
          <w:spacing w:val="15"/>
        </w:rPr>
        <w:t> </w:t>
      </w:r>
      <w:r>
        <w:rPr>
          <w:color w:val="231F20"/>
        </w:rPr>
        <w:t>scission.</w:t>
      </w:r>
    </w:p>
    <w:p>
      <w:pPr>
        <w:pStyle w:val="BodyText"/>
        <w:spacing w:line="218" w:lineRule="auto" w:before="86"/>
        <w:ind w:right="38"/>
      </w:pPr>
      <w:r>
        <w:rPr>
          <w:color w:val="231F20"/>
        </w:rPr>
        <w:t>Les organes d’administration qui ont reçu cette information sont tenus de la communiquer à l’assemblée générale de leur société.</w:t>
      </w:r>
    </w:p>
    <w:p>
      <w:pPr>
        <w:pStyle w:val="BodyText"/>
        <w:ind w:left="0" w:right="0" w:firstLine="0"/>
        <w:jc w:val="left"/>
        <w:rPr>
          <w:sz w:val="23"/>
        </w:rPr>
      </w:pPr>
    </w:p>
    <w:p>
      <w:pPr>
        <w:pStyle w:val="BodyText"/>
        <w:spacing w:line="218" w:lineRule="auto"/>
        <w:ind w:right="38"/>
      </w:pPr>
      <w:r>
        <w:rPr>
          <w:color w:val="231F20"/>
        </w:rPr>
        <w:t>Le présent article n’est pas applicable lorsque les actions ou les parts de chacune des nouvelles sociétés sont attribuées aux associés ou actionnaires de la société scindée proportionnellement à leurs droits dans le capital de cette société, ou, si la société ne dispose pas d’un capital, leur part dans les capitaux propres.</w:t>
      </w:r>
    </w:p>
    <w:p>
      <w:pPr>
        <w:pStyle w:val="BodyText"/>
        <w:spacing w:line="218" w:lineRule="auto" w:before="82"/>
        <w:ind w:right="38" w:firstLine="171"/>
      </w:pPr>
      <w:r>
        <w:rPr>
          <w:color w:val="231F20"/>
        </w:rPr>
        <w:t>Art. 12:80. § 1</w:t>
      </w:r>
      <w:r>
        <w:rPr>
          <w:color w:val="231F20"/>
          <w:position w:val="7"/>
          <w:sz w:val="11"/>
        </w:rPr>
        <w:t>er</w:t>
      </w:r>
      <w:r>
        <w:rPr>
          <w:color w:val="231F20"/>
        </w:rPr>
        <w:t>. Dans chaque société, l’ordre du jour de l’assemblée générale appelée à se prononcer sur le projet de scission annonce le projet de scission et les rapports prévus aux articles 12:77 et 12:78, ainsi que la possibilité réservée aux associés ou actionnaires d’obtenir lesdits documents sans frais.</w:t>
      </w:r>
    </w:p>
    <w:p>
      <w:pPr>
        <w:pStyle w:val="BodyText"/>
        <w:spacing w:line="218" w:lineRule="auto" w:before="96"/>
        <w:ind w:right="38"/>
      </w:pPr>
      <w:r>
        <w:rPr>
          <w:color w:val="231F20"/>
        </w:rPr>
        <w:t>Une copie en est communiquée aux titulaires d’actions ou de parts nominatives un mois au moins avant la réunion de l’assemblée générale, conformément à l’article</w:t>
      </w:r>
      <w:r>
        <w:rPr>
          <w:color w:val="231F20"/>
          <w:spacing w:val="15"/>
        </w:rPr>
        <w:t> </w:t>
      </w:r>
      <w:r>
        <w:rPr>
          <w:color w:val="231F20"/>
        </w:rPr>
        <w:t>2:32.</w:t>
      </w:r>
    </w:p>
    <w:p>
      <w:pPr>
        <w:pStyle w:val="BodyText"/>
        <w:spacing w:line="218" w:lineRule="auto" w:before="96"/>
        <w:ind w:right="38"/>
      </w:pPr>
      <w:r>
        <w:rPr>
          <w:color w:val="231F20"/>
        </w:rPr>
        <w:t>Une copie est également communiquée sans délai aux personnes qui ont accompli les formalités prescrites par les statuts pour être admises à</w:t>
      </w:r>
      <w:r>
        <w:rPr>
          <w:color w:val="231F20"/>
          <w:spacing w:val="15"/>
        </w:rPr>
        <w:t> </w:t>
      </w:r>
      <w:r>
        <w:rPr>
          <w:color w:val="231F20"/>
        </w:rPr>
        <w:t>l’assemblée.</w:t>
      </w:r>
    </w:p>
    <w:p>
      <w:pPr>
        <w:pStyle w:val="BodyText"/>
        <w:spacing w:line="211" w:lineRule="auto" w:before="101"/>
        <w:ind w:right="38"/>
      </w:pPr>
      <w:r>
        <w:rPr>
          <w:color w:val="231F20"/>
        </w:rPr>
        <w:t>Toutefois, lorsque les sociétés sont des sociétés coopératives, le</w:t>
      </w:r>
      <w:r>
        <w:rPr>
          <w:color w:val="231F20"/>
          <w:spacing w:val="-12"/>
        </w:rPr>
        <w:t> </w:t>
      </w:r>
      <w:r>
        <w:rPr>
          <w:color w:val="231F20"/>
        </w:rPr>
        <w:t>projet et les rapports visés à l’alinéa 1</w:t>
      </w:r>
      <w:r>
        <w:rPr>
          <w:color w:val="231F20"/>
          <w:position w:val="7"/>
          <w:sz w:val="11"/>
        </w:rPr>
        <w:t>er </w:t>
      </w:r>
      <w:r>
        <w:rPr>
          <w:color w:val="231F20"/>
        </w:rPr>
        <w:t>ne doivent pas être transmis aux actionnaires conformément aux alinéas</w:t>
      </w:r>
      <w:r>
        <w:rPr>
          <w:color w:val="231F20"/>
          <w:spacing w:val="30"/>
        </w:rPr>
        <w:t> </w:t>
      </w:r>
      <w:r>
        <w:rPr>
          <w:color w:val="231F20"/>
        </w:rPr>
        <w:t>2 et 3.</w:t>
      </w:r>
    </w:p>
    <w:p>
      <w:pPr>
        <w:pStyle w:val="BodyText"/>
        <w:spacing w:before="8"/>
        <w:ind w:left="0" w:right="0" w:firstLine="0"/>
        <w:jc w:val="left"/>
        <w:rPr>
          <w:sz w:val="23"/>
        </w:rPr>
      </w:pPr>
    </w:p>
    <w:p>
      <w:pPr>
        <w:pStyle w:val="BodyText"/>
        <w:spacing w:line="218" w:lineRule="auto"/>
        <w:ind w:right="38"/>
      </w:pPr>
      <w:r>
        <w:rPr>
          <w:color w:val="231F20"/>
        </w:rPr>
        <w:t>Dans ce cas, tout actionnaire a le droit de prendre connaissance desdits documents au siège de la société conformément au paragraphe 2 un mois au moins avant la réunion de l’assemblée générale et d’en obtenir</w:t>
      </w:r>
      <w:r>
        <w:rPr>
          <w:color w:val="231F20"/>
          <w:spacing w:val="15"/>
        </w:rPr>
        <w:t> </w:t>
      </w:r>
      <w:r>
        <w:rPr>
          <w:color w:val="231F20"/>
        </w:rPr>
        <w:t>copie,</w:t>
      </w:r>
      <w:r>
        <w:rPr>
          <w:color w:val="231F20"/>
          <w:spacing w:val="15"/>
        </w:rPr>
        <w:t> </w:t>
      </w:r>
      <w:r>
        <w:rPr>
          <w:color w:val="231F20"/>
        </w:rPr>
        <w:t>conformément</w:t>
      </w:r>
      <w:r>
        <w:rPr>
          <w:color w:val="231F20"/>
          <w:spacing w:val="15"/>
        </w:rPr>
        <w:t> </w:t>
      </w:r>
      <w:r>
        <w:rPr>
          <w:color w:val="231F20"/>
        </w:rPr>
        <w:t>au</w:t>
      </w:r>
      <w:r>
        <w:rPr>
          <w:color w:val="231F20"/>
          <w:spacing w:val="15"/>
        </w:rPr>
        <w:t> </w:t>
      </w:r>
      <w:r>
        <w:rPr>
          <w:color w:val="231F20"/>
        </w:rPr>
        <w:t>paragraphe</w:t>
      </w:r>
      <w:r>
        <w:rPr>
          <w:color w:val="231F20"/>
          <w:spacing w:val="15"/>
        </w:rPr>
        <w:t> </w:t>
      </w:r>
      <w:r>
        <w:rPr>
          <w:color w:val="231F20"/>
        </w:rPr>
        <w:t>3,</w:t>
      </w:r>
      <w:r>
        <w:rPr>
          <w:color w:val="231F20"/>
          <w:spacing w:val="15"/>
        </w:rPr>
        <w:t> </w:t>
      </w:r>
      <w:r>
        <w:rPr>
          <w:color w:val="231F20"/>
        </w:rPr>
        <w:t>dans</w:t>
      </w:r>
      <w:r>
        <w:rPr>
          <w:color w:val="231F20"/>
          <w:spacing w:val="16"/>
        </w:rPr>
        <w:t> </w:t>
      </w:r>
      <w:r>
        <w:rPr>
          <w:color w:val="231F20"/>
        </w:rPr>
        <w:t>le</w:t>
      </w:r>
      <w:r>
        <w:rPr>
          <w:color w:val="231F20"/>
          <w:spacing w:val="15"/>
        </w:rPr>
        <w:t> </w:t>
      </w:r>
      <w:r>
        <w:rPr>
          <w:color w:val="231F20"/>
        </w:rPr>
        <w:t>même</w:t>
      </w:r>
      <w:r>
        <w:rPr>
          <w:color w:val="231F20"/>
          <w:spacing w:val="15"/>
        </w:rPr>
        <w:t> </w:t>
      </w:r>
      <w:r>
        <w:rPr>
          <w:color w:val="231F20"/>
        </w:rPr>
        <w:t>délai.</w:t>
      </w:r>
    </w:p>
    <w:p>
      <w:pPr>
        <w:pStyle w:val="BodyText"/>
        <w:spacing w:before="11"/>
        <w:ind w:left="0" w:right="0" w:firstLine="0"/>
        <w:jc w:val="left"/>
        <w:rPr>
          <w:sz w:val="23"/>
        </w:rPr>
      </w:pPr>
    </w:p>
    <w:p>
      <w:pPr>
        <w:pStyle w:val="BodyText"/>
        <w:spacing w:line="218" w:lineRule="auto"/>
        <w:ind w:right="38"/>
      </w:pPr>
      <w:r>
        <w:rPr>
          <w:color w:val="231F20"/>
        </w:rPr>
        <w:t>§ 2. Tout associé ou actionnaire a en outre le droit, un mois au moins avant la date de la réunion de l’assemblée générale appelée à se prononcer sur le projet de scission de prendre connaissance au siège de la société des documents suivants:</w:t>
      </w:r>
    </w:p>
    <w:p>
      <w:pPr>
        <w:pStyle w:val="BodyText"/>
        <w:spacing w:before="82"/>
        <w:ind w:left="283" w:right="0" w:firstLine="0"/>
        <w:jc w:val="left"/>
      </w:pPr>
      <w:r>
        <w:rPr>
          <w:color w:val="231F20"/>
        </w:rPr>
        <w:t>1° le projet de scission;</w:t>
      </w:r>
    </w:p>
    <w:p>
      <w:pPr>
        <w:pStyle w:val="BodyText"/>
        <w:spacing w:before="79"/>
        <w:ind w:left="283" w:right="0" w:firstLine="0"/>
        <w:jc w:val="left"/>
      </w:pPr>
      <w:r>
        <w:rPr>
          <w:color w:val="231F20"/>
        </w:rPr>
        <w:t>2° le cas échéant, les rapports visés aux articles 12:77 et 12:78;</w:t>
      </w:r>
    </w:p>
    <w:p>
      <w:pPr>
        <w:pStyle w:val="BodyText"/>
        <w:spacing w:before="7"/>
        <w:ind w:left="0" w:right="0" w:firstLine="0"/>
        <w:jc w:val="left"/>
        <w:rPr>
          <w:sz w:val="23"/>
        </w:rPr>
      </w:pPr>
    </w:p>
    <w:p>
      <w:pPr>
        <w:pStyle w:val="BodyText"/>
        <w:spacing w:line="218" w:lineRule="auto"/>
        <w:ind w:right="38"/>
      </w:pPr>
      <w:r>
        <w:rPr>
          <w:color w:val="231F20"/>
        </w:rPr>
        <w:t>3° les comptes annuels des trois derniers exercices, de chacune des sociétés concernées par la scission;</w:t>
      </w:r>
    </w:p>
    <w:p>
      <w:pPr>
        <w:pStyle w:val="BodyText"/>
        <w:spacing w:line="218" w:lineRule="auto" w:before="96"/>
        <w:ind w:right="38"/>
      </w:pPr>
      <w:r>
        <w:rPr>
          <w:color w:val="231F20"/>
        </w:rPr>
        <w:t>4° pour la </w:t>
      </w:r>
      <w:r>
        <w:rPr>
          <w:color w:val="231F20"/>
          <w:spacing w:val="3"/>
        </w:rPr>
        <w:t>société </w:t>
      </w:r>
      <w:r>
        <w:rPr>
          <w:color w:val="231F20"/>
        </w:rPr>
        <w:t>à responsabilité limitée, la société coopérative, la société  anonyme,  la  société  européenne  et   la   société   coopéra-   tive européenne, les rapports de l’organe d’administration et les rapports</w:t>
      </w:r>
      <w:r>
        <w:rPr>
          <w:color w:val="231F20"/>
          <w:spacing w:val="15"/>
        </w:rPr>
        <w:t> </w:t>
      </w:r>
      <w:r>
        <w:rPr>
          <w:color w:val="231F20"/>
        </w:rPr>
        <w:t>du</w:t>
      </w:r>
      <w:r>
        <w:rPr>
          <w:color w:val="231F20"/>
          <w:spacing w:val="15"/>
        </w:rPr>
        <w:t> </w:t>
      </w:r>
      <w:r>
        <w:rPr>
          <w:color w:val="231F20"/>
        </w:rPr>
        <w:t>commissaire</w:t>
      </w:r>
      <w:r>
        <w:rPr>
          <w:color w:val="231F20"/>
          <w:spacing w:val="15"/>
        </w:rPr>
        <w:t> </w:t>
      </w:r>
      <w:r>
        <w:rPr>
          <w:color w:val="231F20"/>
        </w:rPr>
        <w:t>des</w:t>
      </w:r>
      <w:r>
        <w:rPr>
          <w:color w:val="231F20"/>
          <w:spacing w:val="15"/>
        </w:rPr>
        <w:t> </w:t>
      </w:r>
      <w:r>
        <w:rPr>
          <w:color w:val="231F20"/>
        </w:rPr>
        <w:t>trois</w:t>
      </w:r>
      <w:r>
        <w:rPr>
          <w:color w:val="231F20"/>
          <w:spacing w:val="15"/>
        </w:rPr>
        <w:t> </w:t>
      </w:r>
      <w:r>
        <w:rPr>
          <w:color w:val="231F20"/>
        </w:rPr>
        <w:t>derniers</w:t>
      </w:r>
      <w:r>
        <w:rPr>
          <w:color w:val="231F20"/>
          <w:spacing w:val="15"/>
        </w:rPr>
        <w:t> </w:t>
      </w:r>
      <w:r>
        <w:rPr>
          <w:color w:val="231F20"/>
        </w:rPr>
        <w:t>exercices,</w:t>
      </w:r>
      <w:r>
        <w:rPr>
          <w:color w:val="231F20"/>
          <w:spacing w:val="15"/>
        </w:rPr>
        <w:t> </w:t>
      </w:r>
      <w:r>
        <w:rPr>
          <w:color w:val="231F20"/>
          <w:spacing w:val="3"/>
        </w:rPr>
        <w:t>s’il</w:t>
      </w:r>
      <w:r>
        <w:rPr>
          <w:color w:val="231F20"/>
        </w:rPr>
        <w:t> y</w:t>
      </w:r>
      <w:r>
        <w:rPr>
          <w:color w:val="231F20"/>
          <w:spacing w:val="15"/>
        </w:rPr>
        <w:t> </w:t>
      </w:r>
      <w:r>
        <w:rPr>
          <w:color w:val="231F20"/>
          <w:spacing w:val="7"/>
        </w:rPr>
        <w:t>en</w:t>
      </w:r>
      <w:r>
        <w:rPr>
          <w:color w:val="231F20"/>
          <w:spacing w:val="1"/>
        </w:rPr>
        <w:t> </w:t>
      </w:r>
      <w:r>
        <w:rPr>
          <w:color w:val="231F20"/>
        </w:rPr>
        <w:t>a</w:t>
      </w:r>
      <w:r>
        <w:rPr>
          <w:color w:val="231F20"/>
          <w:spacing w:val="15"/>
        </w:rPr>
        <w:t> </w:t>
      </w:r>
      <w:r>
        <w:rPr>
          <w:color w:val="231F20"/>
        </w:rPr>
        <w:t>un;</w:t>
      </w:r>
    </w:p>
    <w:p>
      <w:pPr>
        <w:pStyle w:val="BodyText"/>
        <w:spacing w:before="11"/>
        <w:ind w:left="0" w:right="0" w:firstLine="0"/>
        <w:jc w:val="left"/>
        <w:rPr>
          <w:sz w:val="23"/>
        </w:rPr>
      </w:pPr>
    </w:p>
    <w:p>
      <w:pPr>
        <w:pStyle w:val="BodyText"/>
        <w:spacing w:line="218" w:lineRule="auto"/>
        <w:ind w:right="38"/>
      </w:pPr>
      <w:r>
        <w:rPr>
          <w:color w:val="231F20"/>
        </w:rPr>
        <w:t>5° le cas échéant, lorsque le projet de scission est postérieur de six mois au moins à la fin de l’exercice auquel se rapportent les derniers comptes annuels, d’un état comptable clôturé moins de trois mois avant</w:t>
      </w:r>
    </w:p>
    <w:p>
      <w:pPr>
        <w:pStyle w:val="BodyText"/>
        <w:spacing w:before="105"/>
        <w:ind w:left="283" w:right="0" w:firstLine="0"/>
        <w:jc w:val="left"/>
      </w:pPr>
      <w:r>
        <w:rPr/>
        <w:br w:type="column"/>
      </w:r>
      <w:r>
        <w:rPr>
          <w:color w:val="231F20"/>
        </w:rPr>
        <w:t>Deze verklaring moet ten minste aangeven:</w:t>
      </w:r>
    </w:p>
    <w:p>
      <w:pPr>
        <w:pStyle w:val="BodyText"/>
        <w:spacing w:line="218" w:lineRule="auto" w:before="82"/>
      </w:pPr>
      <w:r>
        <w:rPr>
          <w:color w:val="231F20"/>
          <w:w w:val="105"/>
        </w:rPr>
        <w:t>1° volgens welke methoden de voorgestelde ruilverhouding is vastgesteld;</w:t>
      </w:r>
    </w:p>
    <w:p>
      <w:pPr>
        <w:pStyle w:val="BodyText"/>
        <w:spacing w:line="218" w:lineRule="auto" w:before="86"/>
      </w:pPr>
      <w:r>
        <w:rPr>
          <w:color w:val="231F20"/>
        </w:rPr>
        <w:t>2° of deze methoden in het gegeven geval passen en tot welke waardering elke gebruikte methode leidt; tevens moet hij een oordeel geven over het betrekkelijke gewicht dat bij de vaststelling van de in aanmerking genomen waarde aan deze methoden is gehecht.</w:t>
      </w:r>
    </w:p>
    <w:p>
      <w:pPr>
        <w:pStyle w:val="BodyText"/>
        <w:spacing w:line="218" w:lineRule="auto" w:before="86"/>
      </w:pPr>
      <w:r>
        <w:rPr>
          <w:color w:val="231F20"/>
        </w:rPr>
        <w:t>Het verslag vermeldt bovendien, in voorkomend geval, de bijzon- dere moeilijkheden bij de waardering.</w:t>
      </w:r>
    </w:p>
    <w:p>
      <w:pPr>
        <w:pStyle w:val="BodyText"/>
        <w:spacing w:line="218" w:lineRule="auto" w:before="85"/>
      </w:pPr>
      <w:r>
        <w:rPr>
          <w:color w:val="231F20"/>
        </w:rPr>
        <w:t>De commissaris of de aangewezen bedrijfsrevisor of externe accoun- tant kan ter plaatse inzage nemen van alle stukken die dienstig zijn voor de vervulling van zijn taak. Hij kan van de bij de splitsing betrokken vennootschappen alle ophelderingen en inlichtingen beko- men,</w:t>
      </w:r>
      <w:r>
        <w:rPr>
          <w:color w:val="231F20"/>
          <w:spacing w:val="14"/>
        </w:rPr>
        <w:t> </w:t>
      </w:r>
      <w:r>
        <w:rPr>
          <w:color w:val="231F20"/>
        </w:rPr>
        <w:t>en</w:t>
      </w:r>
      <w:r>
        <w:rPr>
          <w:color w:val="231F20"/>
          <w:spacing w:val="15"/>
        </w:rPr>
        <w:t> </w:t>
      </w:r>
      <w:r>
        <w:rPr>
          <w:color w:val="231F20"/>
        </w:rPr>
        <w:t>alle</w:t>
      </w:r>
      <w:r>
        <w:rPr>
          <w:color w:val="231F20"/>
          <w:spacing w:val="15"/>
        </w:rPr>
        <w:t> </w:t>
      </w:r>
      <w:r>
        <w:rPr>
          <w:color w:val="231F20"/>
        </w:rPr>
        <w:t>controles</w:t>
      </w:r>
      <w:r>
        <w:rPr>
          <w:color w:val="231F20"/>
          <w:spacing w:val="14"/>
        </w:rPr>
        <w:t> </w:t>
      </w:r>
      <w:r>
        <w:rPr>
          <w:color w:val="231F20"/>
        </w:rPr>
        <w:t>verrichten</w:t>
      </w:r>
      <w:r>
        <w:rPr>
          <w:color w:val="231F20"/>
          <w:spacing w:val="15"/>
        </w:rPr>
        <w:t> </w:t>
      </w:r>
      <w:r>
        <w:rPr>
          <w:color w:val="231F20"/>
        </w:rPr>
        <w:t>die</w:t>
      </w:r>
      <w:r>
        <w:rPr>
          <w:color w:val="231F20"/>
          <w:spacing w:val="15"/>
        </w:rPr>
        <w:t> </w:t>
      </w:r>
      <w:r>
        <w:rPr>
          <w:color w:val="231F20"/>
        </w:rPr>
        <w:t>hij</w:t>
      </w:r>
      <w:r>
        <w:rPr>
          <w:color w:val="231F20"/>
          <w:spacing w:val="14"/>
        </w:rPr>
        <w:t> </w:t>
      </w:r>
      <w:r>
        <w:rPr>
          <w:color w:val="231F20"/>
        </w:rPr>
        <w:t>nodig</w:t>
      </w:r>
      <w:r>
        <w:rPr>
          <w:color w:val="231F20"/>
          <w:spacing w:val="15"/>
        </w:rPr>
        <w:t> </w:t>
      </w:r>
      <w:r>
        <w:rPr>
          <w:color w:val="231F20"/>
        </w:rPr>
        <w:t>acht.</w:t>
      </w:r>
    </w:p>
    <w:p>
      <w:pPr>
        <w:pStyle w:val="BodyText"/>
        <w:ind w:left="0" w:right="0" w:firstLine="0"/>
        <w:jc w:val="left"/>
        <w:rPr>
          <w:sz w:val="23"/>
        </w:rPr>
      </w:pPr>
    </w:p>
    <w:p>
      <w:pPr>
        <w:pStyle w:val="BodyText"/>
        <w:spacing w:line="218" w:lineRule="auto"/>
      </w:pPr>
      <w:r>
        <w:rPr>
          <w:color w:val="231F20"/>
        </w:rPr>
        <w:t>Dit artikel is niet van toepassing indien alle vennoten of aandeelhou- ders en houders van andere stemrechtverlenende effecten in elke bij de splitsing betrokken vennootschap hiermee hebben ingestemd.</w:t>
      </w:r>
    </w:p>
    <w:p>
      <w:pPr>
        <w:pStyle w:val="BodyText"/>
        <w:spacing w:line="218" w:lineRule="auto" w:before="86"/>
      </w:pPr>
      <w:r>
        <w:rPr>
          <w:color w:val="231F20"/>
        </w:rPr>
        <w:t>Dit artikel is niet van toepassing wanneer de aandelen van elk van de nieuwe vennootschappen worden uitgegeven aan de vennoten of aandeelhouders van de gesplitste vennootschap evenredig aan hun rechten in het kapitaal van deze vennootschap of, als de vennootschap geen</w:t>
      </w:r>
      <w:r>
        <w:rPr>
          <w:color w:val="231F20"/>
          <w:spacing w:val="16"/>
        </w:rPr>
        <w:t> </w:t>
      </w:r>
      <w:r>
        <w:rPr>
          <w:color w:val="231F20"/>
        </w:rPr>
        <w:t>kapitaal</w:t>
      </w:r>
      <w:r>
        <w:rPr>
          <w:color w:val="231F20"/>
          <w:spacing w:val="16"/>
        </w:rPr>
        <w:t> </w:t>
      </w:r>
      <w:r>
        <w:rPr>
          <w:color w:val="231F20"/>
        </w:rPr>
        <w:t>heeft,</w:t>
      </w:r>
      <w:r>
        <w:rPr>
          <w:color w:val="231F20"/>
          <w:spacing w:val="16"/>
        </w:rPr>
        <w:t> </w:t>
      </w:r>
      <w:r>
        <w:rPr>
          <w:color w:val="231F20"/>
        </w:rPr>
        <w:t>hun</w:t>
      </w:r>
      <w:r>
        <w:rPr>
          <w:color w:val="231F20"/>
          <w:spacing w:val="16"/>
        </w:rPr>
        <w:t> </w:t>
      </w:r>
      <w:r>
        <w:rPr>
          <w:color w:val="231F20"/>
        </w:rPr>
        <w:t>aandeel</w:t>
      </w:r>
      <w:r>
        <w:rPr>
          <w:color w:val="231F20"/>
          <w:spacing w:val="16"/>
        </w:rPr>
        <w:t> </w:t>
      </w:r>
      <w:r>
        <w:rPr>
          <w:color w:val="231F20"/>
        </w:rPr>
        <w:t>in</w:t>
      </w:r>
      <w:r>
        <w:rPr>
          <w:color w:val="231F20"/>
          <w:spacing w:val="16"/>
        </w:rPr>
        <w:t> </w:t>
      </w:r>
      <w:r>
        <w:rPr>
          <w:color w:val="231F20"/>
        </w:rPr>
        <w:t>het</w:t>
      </w:r>
      <w:r>
        <w:rPr>
          <w:color w:val="231F20"/>
          <w:spacing w:val="17"/>
        </w:rPr>
        <w:t> </w:t>
      </w:r>
      <w:r>
        <w:rPr>
          <w:color w:val="231F20"/>
        </w:rPr>
        <w:t>eigen</w:t>
      </w:r>
      <w:r>
        <w:rPr>
          <w:color w:val="231F20"/>
          <w:spacing w:val="16"/>
        </w:rPr>
        <w:t> </w:t>
      </w:r>
      <w:r>
        <w:rPr>
          <w:color w:val="231F20"/>
        </w:rPr>
        <w:t>vermogen.</w:t>
      </w:r>
    </w:p>
    <w:p>
      <w:pPr>
        <w:pStyle w:val="BodyText"/>
        <w:spacing w:line="218" w:lineRule="auto" w:before="85"/>
        <w:ind w:right="123"/>
      </w:pPr>
      <w:r>
        <w:rPr>
          <w:color w:val="231F20"/>
        </w:rPr>
        <w:t>Art. 12:79. De bestuursorganen van alle bij de splitsing betrokken vennootschappen moeten hun eigen algemene vergadering, evenals de bestuursorganen van alle andere bij de splitsing betrokken vennoot- schappen op de hoogte stellen van elke belangrijke wijziging die zich in de activa en de passiva van het vermogen heeft voorgedaan tussen de datum van opstelling van het splitsingsvoorstel en de datum van de laatste</w:t>
      </w:r>
      <w:r>
        <w:rPr>
          <w:color w:val="231F20"/>
          <w:spacing w:val="16"/>
        </w:rPr>
        <w:t> </w:t>
      </w:r>
      <w:r>
        <w:rPr>
          <w:color w:val="231F20"/>
        </w:rPr>
        <w:t>algemene</w:t>
      </w:r>
      <w:r>
        <w:rPr>
          <w:color w:val="231F20"/>
          <w:spacing w:val="16"/>
        </w:rPr>
        <w:t> </w:t>
      </w:r>
      <w:r>
        <w:rPr>
          <w:color w:val="231F20"/>
        </w:rPr>
        <w:t>vergadering</w:t>
      </w:r>
      <w:r>
        <w:rPr>
          <w:color w:val="231F20"/>
          <w:spacing w:val="17"/>
        </w:rPr>
        <w:t> </w:t>
      </w:r>
      <w:r>
        <w:rPr>
          <w:color w:val="231F20"/>
        </w:rPr>
        <w:t>die</w:t>
      </w:r>
      <w:r>
        <w:rPr>
          <w:color w:val="231F20"/>
          <w:spacing w:val="16"/>
        </w:rPr>
        <w:t> </w:t>
      </w:r>
      <w:r>
        <w:rPr>
          <w:color w:val="231F20"/>
        </w:rPr>
        <w:t>tot</w:t>
      </w:r>
      <w:r>
        <w:rPr>
          <w:color w:val="231F20"/>
          <w:spacing w:val="16"/>
        </w:rPr>
        <w:t> </w:t>
      </w:r>
      <w:r>
        <w:rPr>
          <w:color w:val="231F20"/>
        </w:rPr>
        <w:t>de</w:t>
      </w:r>
      <w:r>
        <w:rPr>
          <w:color w:val="231F20"/>
          <w:spacing w:val="17"/>
        </w:rPr>
        <w:t> </w:t>
      </w:r>
      <w:r>
        <w:rPr>
          <w:color w:val="231F20"/>
        </w:rPr>
        <w:t>splitsing</w:t>
      </w:r>
      <w:r>
        <w:rPr>
          <w:color w:val="231F20"/>
          <w:spacing w:val="16"/>
        </w:rPr>
        <w:t> </w:t>
      </w:r>
      <w:r>
        <w:rPr>
          <w:color w:val="231F20"/>
        </w:rPr>
        <w:t>besluit.</w:t>
      </w:r>
    </w:p>
    <w:p>
      <w:pPr>
        <w:pStyle w:val="BodyText"/>
        <w:spacing w:line="218" w:lineRule="auto" w:before="86"/>
      </w:pPr>
      <w:r>
        <w:rPr>
          <w:color w:val="231F20"/>
        </w:rPr>
        <w:t>De aldus geïnformeerde bestuursorganen brengen de algemene vergadering van hun vennootschap op de hoogte van de ontvangen informatie.</w:t>
      </w:r>
    </w:p>
    <w:p>
      <w:pPr>
        <w:pStyle w:val="BodyText"/>
        <w:spacing w:line="218" w:lineRule="auto" w:before="86"/>
      </w:pPr>
      <w:r>
        <w:rPr>
          <w:color w:val="231F20"/>
        </w:rPr>
        <w:t>Dit artikel is niet van toepassing wanneer de aandelen van elk van de nieuwe vennootschappen worden uitgegeven aan de vennoten of aandeelhouders van de gesplitste vennootschap evenredig aan hun rechten in het kapitaal van deze vennootschap, of, als de vennootschap geen kapitaal heeft, hun aandeel in het eigen vermogen.</w:t>
      </w:r>
    </w:p>
    <w:p>
      <w:pPr>
        <w:pStyle w:val="BodyText"/>
        <w:spacing w:line="218" w:lineRule="auto" w:before="96"/>
      </w:pPr>
      <w:r>
        <w:rPr>
          <w:color w:val="231F20"/>
        </w:rPr>
        <w:t>Art. 12:80. § 1. In elke vennootschap vermeldt de agenda van</w:t>
      </w:r>
      <w:r>
        <w:rPr>
          <w:color w:val="231F20"/>
          <w:spacing w:val="12"/>
        </w:rPr>
        <w:t> </w:t>
      </w:r>
      <w:r>
        <w:rPr>
          <w:color w:val="231F20"/>
        </w:rPr>
        <w:t>de algemene vergadering die zich over het splitsingsvoorstel moet uitspre- ken  het  splitsingsvoorstel  en  de  verslagen  bedoeld  in  de  artike-  len 12:77 en 12:78, evenals de mogelijkheid voor de vennoten of aandeelhouders</w:t>
      </w:r>
      <w:r>
        <w:rPr>
          <w:color w:val="231F20"/>
          <w:spacing w:val="18"/>
        </w:rPr>
        <w:t> </w:t>
      </w:r>
      <w:r>
        <w:rPr>
          <w:color w:val="231F20"/>
        </w:rPr>
        <w:t>om</w:t>
      </w:r>
      <w:r>
        <w:rPr>
          <w:color w:val="231F20"/>
          <w:spacing w:val="19"/>
        </w:rPr>
        <w:t> </w:t>
      </w:r>
      <w:r>
        <w:rPr>
          <w:color w:val="231F20"/>
        </w:rPr>
        <w:t>de</w:t>
      </w:r>
      <w:r>
        <w:rPr>
          <w:color w:val="231F20"/>
          <w:spacing w:val="19"/>
        </w:rPr>
        <w:t> </w:t>
      </w:r>
      <w:r>
        <w:rPr>
          <w:color w:val="231F20"/>
        </w:rPr>
        <w:t>genoemde</w:t>
      </w:r>
      <w:r>
        <w:rPr>
          <w:color w:val="231F20"/>
          <w:spacing w:val="19"/>
        </w:rPr>
        <w:t> </w:t>
      </w:r>
      <w:r>
        <w:rPr>
          <w:color w:val="231F20"/>
        </w:rPr>
        <w:t>stukken</w:t>
      </w:r>
      <w:r>
        <w:rPr>
          <w:color w:val="231F20"/>
          <w:spacing w:val="19"/>
        </w:rPr>
        <w:t> </w:t>
      </w:r>
      <w:r>
        <w:rPr>
          <w:color w:val="231F20"/>
        </w:rPr>
        <w:t>kosteloos</w:t>
      </w:r>
      <w:r>
        <w:rPr>
          <w:color w:val="231F20"/>
          <w:spacing w:val="19"/>
        </w:rPr>
        <w:t> </w:t>
      </w:r>
      <w:r>
        <w:rPr>
          <w:color w:val="231F20"/>
        </w:rPr>
        <w:t>te</w:t>
      </w:r>
      <w:r>
        <w:rPr>
          <w:color w:val="231F20"/>
          <w:spacing w:val="18"/>
        </w:rPr>
        <w:t> </w:t>
      </w:r>
      <w:r>
        <w:rPr>
          <w:color w:val="231F20"/>
        </w:rPr>
        <w:t>verkrijgen.</w:t>
      </w:r>
    </w:p>
    <w:p>
      <w:pPr>
        <w:pStyle w:val="BodyText"/>
        <w:spacing w:line="218" w:lineRule="auto" w:before="97"/>
      </w:pPr>
      <w:r>
        <w:rPr>
          <w:color w:val="231F20"/>
        </w:rPr>
        <w:t>Aan de houders van aandelen op naam wordt uiterlijk een maand voor de algemene vergadering een kopie meegedeeld overeenkomstig artikel 2:32.</w:t>
      </w:r>
    </w:p>
    <w:p>
      <w:pPr>
        <w:pStyle w:val="BodyText"/>
        <w:spacing w:line="218" w:lineRule="auto" w:before="96"/>
      </w:pPr>
      <w:r>
        <w:rPr>
          <w:color w:val="231F20"/>
        </w:rPr>
        <w:t>Er wordt ook onverwijld een kopie meegedeeld aan diegenen die de statutair voorgeschreven formaliteiten hebben vervuld om tot de vergadering te worden toegelaten.</w:t>
      </w:r>
    </w:p>
    <w:p>
      <w:pPr>
        <w:pStyle w:val="BodyText"/>
        <w:spacing w:line="218" w:lineRule="auto" w:before="96"/>
      </w:pPr>
      <w:r>
        <w:rPr>
          <w:color w:val="231F20"/>
        </w:rPr>
        <w:t>Wanneer het evenwel gaat om een coöperatieve vennootschap, moeten het voorstel en de verslagen bedoeld in het eerste lid, niet aan de aandeelhouders worden meegedeeld overeenkomstig het tweede en het derde lid.</w:t>
      </w:r>
    </w:p>
    <w:p>
      <w:pPr>
        <w:pStyle w:val="BodyText"/>
        <w:spacing w:line="218" w:lineRule="auto" w:before="96"/>
      </w:pPr>
      <w:r>
        <w:rPr>
          <w:color w:val="231F20"/>
        </w:rPr>
        <w:t>In dat geval heeft iedere aandeelhouder overeenkomstig paragraaf 2 het recht om uiterlijk een maand vóór de algemene vergadering op de zetel van de vennootschap van voornoemde stukken kennis te nemen en kan hij overeenkomstig paragraaf 3 binnen dezelfde termijn</w:t>
      </w:r>
      <w:r>
        <w:rPr>
          <w:color w:val="231F20"/>
          <w:spacing w:val="29"/>
        </w:rPr>
        <w:t> </w:t>
      </w:r>
      <w:r>
        <w:rPr>
          <w:color w:val="231F20"/>
        </w:rPr>
        <w:t>een kopie ervan</w:t>
      </w:r>
      <w:r>
        <w:rPr>
          <w:color w:val="231F20"/>
          <w:spacing w:val="-11"/>
        </w:rPr>
        <w:t> </w:t>
      </w:r>
      <w:r>
        <w:rPr>
          <w:color w:val="231F20"/>
        </w:rPr>
        <w:t>verkrijgen.</w:t>
      </w:r>
    </w:p>
    <w:p>
      <w:pPr>
        <w:pStyle w:val="BodyText"/>
        <w:spacing w:line="218" w:lineRule="auto" w:before="97"/>
      </w:pPr>
      <w:r>
        <w:rPr>
          <w:color w:val="231F20"/>
        </w:rPr>
        <w:t>§ 2. Iedere vennoot of aandeelhouder heeft tevens het recht uiterlijk een maand vóór de datum van de algemene vergadering die over het splitsingsvoorstel moet besluiten, op de zetel van de vennootschap kennis te nemen van de volgende stukken:</w:t>
      </w:r>
    </w:p>
    <w:p>
      <w:pPr>
        <w:pStyle w:val="BodyText"/>
        <w:spacing w:before="82"/>
        <w:ind w:left="283" w:right="0" w:firstLine="0"/>
        <w:jc w:val="left"/>
      </w:pPr>
      <w:r>
        <w:rPr>
          <w:color w:val="231F20"/>
        </w:rPr>
        <w:t>1° het splitsingsvoorstel;</w:t>
      </w:r>
    </w:p>
    <w:p>
      <w:pPr>
        <w:pStyle w:val="BodyText"/>
        <w:spacing w:line="218" w:lineRule="auto" w:before="93"/>
      </w:pPr>
      <w:r>
        <w:rPr>
          <w:color w:val="231F20"/>
        </w:rPr>
        <w:t>2° in voorkomend geval, de in de artikelen 12:77 en 12:78 bedoelde verslagen;</w:t>
      </w:r>
    </w:p>
    <w:p>
      <w:pPr>
        <w:pStyle w:val="BodyText"/>
        <w:spacing w:line="218" w:lineRule="auto" w:before="96"/>
      </w:pPr>
      <w:r>
        <w:rPr>
          <w:color w:val="231F20"/>
        </w:rPr>
        <w:t>3° de jaarrekeningen over de laatste drie boekjaren van elke bij de splitsing betrokken vennootschap;</w:t>
      </w:r>
    </w:p>
    <w:p>
      <w:pPr>
        <w:pStyle w:val="BodyText"/>
        <w:spacing w:line="218" w:lineRule="auto" w:before="96"/>
      </w:pPr>
      <w:r>
        <w:rPr>
          <w:color w:val="231F20"/>
        </w:rPr>
        <w:t>4° wat de besloten vennootschap betreft, de coöperatieve vennoot- schap, de naamloze vennootschap, de Europese vennootschap en de Europese coöperatieve vennootschap, de verslagen van het bestuurs- orgaan en de verslagen van de commissaris over de laatste drie boekjaren, als er één is;</w:t>
      </w:r>
    </w:p>
    <w:p>
      <w:pPr>
        <w:pStyle w:val="BodyText"/>
        <w:spacing w:line="218" w:lineRule="auto" w:before="96"/>
      </w:pPr>
      <w:r>
        <w:rPr>
          <w:color w:val="231F20"/>
        </w:rPr>
        <w:t>5° in voorkomend geval, indien de laatste jaarrekening betrekking heeft op een boekjaar dat meer dan zes maanden vóór de datum van het splitsingsvoorstel is afgesloten: tussentijdse cijfers over de stand van</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6"/>
        <w:ind w:right="0" w:firstLine="0"/>
        <w:jc w:val="left"/>
      </w:pPr>
      <w:r>
        <w:rPr/>
        <w:pict>
          <v:line style="position:absolute;mso-position-horizontal-relative:page;mso-position-vertical-relative:page;z-index:6928" from="298.170502pt,64.473pt" to="298.170502pt,812.819pt" stroked="true" strokeweight=".533pt" strokecolor="#231f20">
            <v:stroke dashstyle="solid"/>
            <w10:wrap type="none"/>
          </v:line>
        </w:pict>
      </w:r>
      <w:bookmarkStart w:name="_bookmark246" w:id="252"/>
      <w:bookmarkEnd w:id="252"/>
      <w:r>
        <w:rPr/>
      </w:r>
      <w:r>
        <w:rPr>
          <w:color w:val="231F20"/>
        </w:rPr>
        <w:t>la date du projet de scission et rédigé conformément aux alinéas 2 à 4.</w:t>
      </w:r>
    </w:p>
    <w:p>
      <w:pPr>
        <w:pStyle w:val="BodyText"/>
        <w:ind w:left="0" w:right="0" w:firstLine="0"/>
        <w:jc w:val="left"/>
        <w:rPr>
          <w:sz w:val="20"/>
        </w:rPr>
      </w:pPr>
    </w:p>
    <w:p>
      <w:pPr>
        <w:pStyle w:val="BodyText"/>
        <w:spacing w:before="9"/>
        <w:ind w:left="0" w:right="0" w:firstLine="0"/>
        <w:jc w:val="left"/>
        <w:rPr>
          <w:sz w:val="23"/>
        </w:rPr>
      </w:pPr>
    </w:p>
    <w:p>
      <w:pPr>
        <w:pStyle w:val="BodyText"/>
        <w:spacing w:line="218" w:lineRule="auto"/>
        <w:ind w:right="38"/>
      </w:pPr>
      <w:r>
        <w:rPr>
          <w:color w:val="231F20"/>
        </w:rPr>
        <w:t>Cet état comptable est établi selon les mêmes méthodes et suivant la même présentation que les derniers comptes annuels.</w:t>
      </w:r>
    </w:p>
    <w:p>
      <w:pPr>
        <w:pStyle w:val="BodyText"/>
        <w:spacing w:before="135"/>
        <w:ind w:left="283" w:right="0" w:firstLine="0"/>
        <w:jc w:val="left"/>
      </w:pPr>
      <w:r>
        <w:rPr>
          <w:color w:val="231F20"/>
        </w:rPr>
        <w:t>Il n’est toutefois pas nécessaire de procéder à un nouvel inventaire.</w:t>
      </w:r>
    </w:p>
    <w:p>
      <w:pPr>
        <w:pStyle w:val="BodyText"/>
        <w:spacing w:line="218" w:lineRule="auto" w:before="146"/>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line="218" w:lineRule="auto" w:before="135"/>
        <w:ind w:right="38"/>
      </w:pPr>
      <w:r>
        <w:rPr>
          <w:color w:val="231F20"/>
        </w:rPr>
        <w:t>L’alinéa 1</w:t>
      </w:r>
      <w:r>
        <w:rPr>
          <w:color w:val="231F20"/>
          <w:position w:val="7"/>
          <w:sz w:val="11"/>
        </w:rPr>
        <w:t>er</w:t>
      </w:r>
      <w:r>
        <w:rPr>
          <w:color w:val="231F20"/>
        </w:rPr>
        <w:t>, 5°,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4"/>
        </w:rPr>
        <w:t> </w:t>
      </w:r>
      <w:r>
        <w:rPr>
          <w:color w:val="231F20"/>
        </w:rPr>
        <w:t>au</w:t>
      </w:r>
      <w:r>
        <w:rPr>
          <w:color w:val="231F20"/>
          <w:spacing w:val="14"/>
        </w:rPr>
        <w:t> </w:t>
      </w:r>
      <w:r>
        <w:rPr>
          <w:color w:val="231F20"/>
        </w:rPr>
        <w:t>présent</w:t>
      </w:r>
      <w:r>
        <w:rPr>
          <w:color w:val="231F20"/>
          <w:spacing w:val="15"/>
        </w:rPr>
        <w:t> </w:t>
      </w:r>
      <w:r>
        <w:rPr>
          <w:color w:val="231F20"/>
        </w:rPr>
        <w:t>alinéa,</w:t>
      </w:r>
      <w:r>
        <w:rPr>
          <w:color w:val="231F20"/>
          <w:spacing w:val="14"/>
        </w:rPr>
        <w:t> </w:t>
      </w:r>
      <w:r>
        <w:rPr>
          <w:color w:val="231F20"/>
        </w:rPr>
        <w:t>à</w:t>
      </w:r>
      <w:r>
        <w:rPr>
          <w:color w:val="231F20"/>
          <w:spacing w:val="15"/>
        </w:rPr>
        <w:t> </w:t>
      </w:r>
      <w:r>
        <w:rPr>
          <w:color w:val="231F20"/>
        </w:rPr>
        <w:t>la</w:t>
      </w:r>
      <w:r>
        <w:rPr>
          <w:color w:val="231F20"/>
          <w:spacing w:val="14"/>
        </w:rPr>
        <w:t> </w:t>
      </w:r>
      <w:r>
        <w:rPr>
          <w:color w:val="231F20"/>
        </w:rPr>
        <w:t>disposition</w:t>
      </w:r>
      <w:r>
        <w:rPr>
          <w:color w:val="231F20"/>
          <w:spacing w:val="15"/>
        </w:rPr>
        <w:t> </w:t>
      </w:r>
      <w:r>
        <w:rPr>
          <w:color w:val="231F20"/>
        </w:rPr>
        <w:t>des</w:t>
      </w:r>
      <w:r>
        <w:rPr>
          <w:color w:val="231F20"/>
          <w:spacing w:val="14"/>
        </w:rPr>
        <w:t> </w:t>
      </w:r>
      <w:r>
        <w:rPr>
          <w:color w:val="231F20"/>
        </w:rPr>
        <w:t>actionnaires.</w:t>
      </w:r>
    </w:p>
    <w:p>
      <w:pPr>
        <w:pStyle w:val="BodyText"/>
        <w:spacing w:before="3"/>
        <w:ind w:left="0" w:right="0" w:firstLine="0"/>
        <w:jc w:val="left"/>
        <w:rPr>
          <w:sz w:val="27"/>
        </w:rPr>
      </w:pPr>
    </w:p>
    <w:p>
      <w:pPr>
        <w:pStyle w:val="BodyText"/>
        <w:spacing w:line="218" w:lineRule="auto"/>
        <w:ind w:right="38"/>
      </w:pPr>
      <w:r>
        <w:rPr>
          <w:color w:val="231F20"/>
        </w:rPr>
        <w:t>L’alinéa 1</w:t>
      </w:r>
      <w:r>
        <w:rPr>
          <w:color w:val="231F20"/>
          <w:position w:val="7"/>
          <w:sz w:val="11"/>
        </w:rPr>
        <w:t>er</w:t>
      </w:r>
      <w:r>
        <w:rPr>
          <w:color w:val="231F20"/>
        </w:rPr>
        <w:t>, 2° et 5°, ne sont pas d’application lorsque les actions ou les parts de chacune des nouvelles sociétés sont attribuées aux associés ou actionnaires de la société scindée proportionnellement à leurs droits dans le capital de cette société, ou, si la société ne dispose pas d’un capital, leur part dans les capitaux propres.</w:t>
      </w:r>
    </w:p>
    <w:p>
      <w:pPr>
        <w:pStyle w:val="BodyText"/>
        <w:spacing w:line="213" w:lineRule="auto" w:before="164"/>
        <w:ind w:right="38"/>
      </w:pPr>
      <w:r>
        <w:rPr>
          <w:color w:val="231F20"/>
        </w:rPr>
        <w:t>§ 3. Tout associé ou actionnaire peut obtenir sans frais et sur simple demande une copie intégrale ou, s’il le désire, partielle, des documents visés au paragraphe 2, à l’exception de ceux qui lui ont été transmis en application du paragraphe 1</w:t>
      </w:r>
      <w:r>
        <w:rPr>
          <w:color w:val="231F20"/>
          <w:position w:val="7"/>
          <w:sz w:val="11"/>
        </w:rPr>
        <w:t>er</w:t>
      </w:r>
      <w:r>
        <w:rPr>
          <w:color w:val="231F20"/>
        </w:rPr>
        <w:t>.</w:t>
      </w:r>
    </w:p>
    <w:p>
      <w:pPr>
        <w:pStyle w:val="BodyText"/>
        <w:spacing w:line="218" w:lineRule="auto" w:before="157"/>
        <w:ind w:right="38"/>
      </w:pPr>
      <w:r>
        <w:rPr>
          <w:color w:val="231F20"/>
        </w:rPr>
        <w:t>§ 4. Lorsqu’une société met gratuitement à disposition sur le site internet de la société les documents visés au paragraphe 2 pendant une période ininterrompue d’un mois commençant avant la date de l’assemblée générale appelée à se prononcer sur le projet de scission et ne s’achevant pas avant la fin de cette assemblée, elle ne doit pas mettre à disposition les documents visés au paragraphe 2 à son siège.</w:t>
      </w:r>
    </w:p>
    <w:p>
      <w:pPr>
        <w:pStyle w:val="BodyText"/>
        <w:spacing w:before="7"/>
        <w:ind w:left="0" w:right="0" w:firstLine="0"/>
        <w:jc w:val="left"/>
        <w:rPr>
          <w:sz w:val="29"/>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appelée à se prononcer sur le projet de scission. Dans ce cas, la société met de surcroît ces documents à disposition à son siège pour consultation par les associés ou actionnai- res.</w:t>
      </w:r>
    </w:p>
    <w:p>
      <w:pPr>
        <w:pStyle w:val="BodyText"/>
        <w:spacing w:line="218" w:lineRule="auto" w:before="161"/>
        <w:ind w:right="38"/>
      </w:pPr>
      <w:r>
        <w:rPr>
          <w:color w:val="231F20"/>
        </w:rPr>
        <w:t>Art. 12:81. Les articles 12:77 et 12:80, ce dernier en tant qu’il</w:t>
      </w:r>
      <w:r>
        <w:rPr>
          <w:color w:val="231F20"/>
          <w:spacing w:val="31"/>
        </w:rPr>
        <w:t> </w:t>
      </w:r>
      <w:r>
        <w:rPr>
          <w:color w:val="231F20"/>
        </w:rPr>
        <w:t>se rapporte aux rapports, ne sont pas applicables si tous les associés ou actionnaires</w:t>
      </w:r>
      <w:r>
        <w:rPr>
          <w:color w:val="231F20"/>
          <w:spacing w:val="-7"/>
        </w:rPr>
        <w:t> </w:t>
      </w:r>
      <w:r>
        <w:rPr>
          <w:color w:val="231F20"/>
        </w:rPr>
        <w:t>et</w:t>
      </w:r>
      <w:r>
        <w:rPr>
          <w:color w:val="231F20"/>
          <w:spacing w:val="-6"/>
        </w:rPr>
        <w:t> </w:t>
      </w:r>
      <w:r>
        <w:rPr>
          <w:color w:val="231F20"/>
        </w:rPr>
        <w:t>tous</w:t>
      </w:r>
      <w:r>
        <w:rPr>
          <w:color w:val="231F20"/>
          <w:spacing w:val="-6"/>
        </w:rPr>
        <w:t> </w:t>
      </w:r>
      <w:r>
        <w:rPr>
          <w:color w:val="231F20"/>
        </w:rPr>
        <w:t>les</w:t>
      </w:r>
      <w:r>
        <w:rPr>
          <w:color w:val="231F20"/>
          <w:spacing w:val="-6"/>
        </w:rPr>
        <w:t> </w:t>
      </w:r>
      <w:r>
        <w:rPr>
          <w:color w:val="231F20"/>
        </w:rPr>
        <w:t>titulaires</w:t>
      </w:r>
      <w:r>
        <w:rPr>
          <w:color w:val="231F20"/>
          <w:spacing w:val="-6"/>
        </w:rPr>
        <w:t> </w:t>
      </w:r>
      <w:r>
        <w:rPr>
          <w:color w:val="231F20"/>
        </w:rPr>
        <w:t>d’autres</w:t>
      </w:r>
      <w:r>
        <w:rPr>
          <w:color w:val="231F20"/>
          <w:spacing w:val="-7"/>
        </w:rPr>
        <w:t> </w:t>
      </w:r>
      <w:r>
        <w:rPr>
          <w:color w:val="231F20"/>
        </w:rPr>
        <w:t>titres</w:t>
      </w:r>
      <w:r>
        <w:rPr>
          <w:color w:val="231F20"/>
          <w:spacing w:val="-6"/>
        </w:rPr>
        <w:t> </w:t>
      </w:r>
      <w:r>
        <w:rPr>
          <w:color w:val="231F20"/>
        </w:rPr>
        <w:t>conférant</w:t>
      </w:r>
      <w:r>
        <w:rPr>
          <w:color w:val="231F20"/>
          <w:spacing w:val="-6"/>
        </w:rPr>
        <w:t> </w:t>
      </w:r>
      <w:r>
        <w:rPr>
          <w:color w:val="231F20"/>
        </w:rPr>
        <w:t>le</w:t>
      </w:r>
      <w:r>
        <w:rPr>
          <w:color w:val="231F20"/>
          <w:spacing w:val="-6"/>
        </w:rPr>
        <w:t> </w:t>
      </w:r>
      <w:r>
        <w:rPr>
          <w:color w:val="231F20"/>
        </w:rPr>
        <w:t>droit</w:t>
      </w:r>
      <w:r>
        <w:rPr>
          <w:color w:val="231F20"/>
          <w:spacing w:val="-6"/>
        </w:rPr>
        <w:t> </w:t>
      </w:r>
      <w:r>
        <w:rPr>
          <w:color w:val="231F20"/>
        </w:rPr>
        <w:t>de</w:t>
      </w:r>
      <w:r>
        <w:rPr>
          <w:color w:val="231F20"/>
          <w:spacing w:val="-6"/>
        </w:rPr>
        <w:t> </w:t>
      </w:r>
      <w:r>
        <w:rPr>
          <w:color w:val="231F20"/>
        </w:rPr>
        <w:t>vote de</w:t>
      </w:r>
      <w:r>
        <w:rPr>
          <w:color w:val="231F20"/>
          <w:spacing w:val="14"/>
        </w:rPr>
        <w:t> </w:t>
      </w:r>
      <w:r>
        <w:rPr>
          <w:color w:val="231F20"/>
        </w:rPr>
        <w:t>chacune</w:t>
      </w:r>
      <w:r>
        <w:rPr>
          <w:color w:val="231F20"/>
          <w:spacing w:val="15"/>
        </w:rPr>
        <w:t> </w:t>
      </w:r>
      <w:r>
        <w:rPr>
          <w:color w:val="231F20"/>
        </w:rPr>
        <w:t>des</w:t>
      </w:r>
      <w:r>
        <w:rPr>
          <w:color w:val="231F20"/>
          <w:spacing w:val="15"/>
        </w:rPr>
        <w:t> </w:t>
      </w:r>
      <w:r>
        <w:rPr>
          <w:color w:val="231F20"/>
        </w:rPr>
        <w:t>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scission</w:t>
      </w:r>
      <w:r>
        <w:rPr>
          <w:color w:val="231F20"/>
          <w:spacing w:val="14"/>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before="6"/>
        <w:ind w:left="0" w:right="0" w:firstLine="0"/>
        <w:jc w:val="left"/>
        <w:rPr>
          <w:sz w:val="29"/>
        </w:rPr>
      </w:pPr>
    </w:p>
    <w:p>
      <w:pPr>
        <w:pStyle w:val="BodyText"/>
        <w:spacing w:line="218" w:lineRule="auto"/>
        <w:ind w:right="38"/>
      </w:pPr>
      <w:r>
        <w:rPr>
          <w:color w:val="231F20"/>
        </w:rPr>
        <w:t>Cette renonciation est établie par un vote exprès à l’assemblée générale appelée à se prononcer sur la participation à la scission.</w:t>
      </w:r>
    </w:p>
    <w:p>
      <w:pPr>
        <w:pStyle w:val="BodyText"/>
        <w:ind w:left="0" w:right="0" w:firstLine="0"/>
        <w:jc w:val="left"/>
        <w:rPr>
          <w:sz w:val="20"/>
        </w:rPr>
      </w:pPr>
    </w:p>
    <w:p>
      <w:pPr>
        <w:pStyle w:val="BodyText"/>
        <w:spacing w:line="211" w:lineRule="auto" w:before="114"/>
        <w:ind w:right="38"/>
      </w:pPr>
      <w:r>
        <w:rPr>
          <w:color w:val="231F20"/>
          <w:spacing w:val="-3"/>
        </w:rPr>
        <w:t>L’ordre </w:t>
      </w:r>
      <w:r>
        <w:rPr>
          <w:color w:val="231F20"/>
        </w:rPr>
        <w:t>du jour de cette assemblée générale mentionne l’intention de la société de faire usage de cette disposition et reproduit les alinéas 1</w:t>
      </w:r>
      <w:r>
        <w:rPr>
          <w:color w:val="231F20"/>
          <w:position w:val="7"/>
          <w:sz w:val="11"/>
        </w:rPr>
        <w:t>er </w:t>
      </w:r>
      <w:r>
        <w:rPr>
          <w:color w:val="231F20"/>
        </w:rPr>
        <w:t>et</w:t>
      </w:r>
      <w:r>
        <w:rPr>
          <w:color w:val="231F20"/>
          <w:spacing w:val="14"/>
        </w:rPr>
        <w:t> </w:t>
      </w:r>
      <w:r>
        <w:rPr>
          <w:color w:val="231F20"/>
        </w:rPr>
        <w:t>2.</w:t>
      </w:r>
    </w:p>
    <w:p>
      <w:pPr>
        <w:pStyle w:val="BodyText"/>
        <w:spacing w:line="218" w:lineRule="auto" w:before="142"/>
        <w:ind w:right="38"/>
      </w:pPr>
      <w:r>
        <w:rPr>
          <w:color w:val="231F20"/>
        </w:rPr>
        <w:t>Art. 12:82. § 1</w:t>
      </w:r>
      <w:r>
        <w:rPr>
          <w:color w:val="231F20"/>
          <w:position w:val="7"/>
          <w:sz w:val="11"/>
        </w:rPr>
        <w:t>er</w:t>
      </w:r>
      <w:r>
        <w:rPr>
          <w:color w:val="231F20"/>
        </w:rPr>
        <w:t>. Une société ne peut participer à une opération de scission en tant que nouvelle société que si les associés ou actionnaires de la société à scinder remplissent les conditions requises pour acquérir la qualité d’associé ou actionnaire de cette nouvelle société.</w:t>
      </w:r>
    </w:p>
    <w:p>
      <w:pPr>
        <w:pStyle w:val="BodyText"/>
        <w:spacing w:before="7"/>
        <w:ind w:left="0" w:right="0" w:firstLine="0"/>
        <w:jc w:val="left"/>
        <w:rPr>
          <w:sz w:val="29"/>
        </w:rPr>
      </w:pPr>
    </w:p>
    <w:p>
      <w:pPr>
        <w:pStyle w:val="BodyText"/>
        <w:spacing w:line="218" w:lineRule="auto"/>
        <w:ind w:right="38"/>
      </w:pPr>
      <w:r>
        <w:rPr>
          <w:color w:val="231F20"/>
        </w:rPr>
        <w:t>§ 2.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 de la scission de la société au profit de nouvelles sociétés dont l’une au moins a une autre forme légale.</w:t>
      </w:r>
    </w:p>
    <w:p>
      <w:pPr>
        <w:pStyle w:val="BodyText"/>
        <w:spacing w:before="7"/>
        <w:ind w:left="0" w:right="0" w:firstLine="0"/>
        <w:jc w:val="left"/>
        <w:rPr>
          <w:sz w:val="29"/>
        </w:rPr>
      </w:pPr>
    </w:p>
    <w:p>
      <w:pPr>
        <w:pStyle w:val="BodyText"/>
        <w:spacing w:line="218" w:lineRule="auto"/>
        <w:ind w:right="38"/>
      </w:pPr>
      <w:r>
        <w:rPr>
          <w:color w:val="231F20"/>
        </w:rPr>
        <w:t>Il notifie sa démission à la société conformément à l’article 2:32 cinq jours au moins avant la date de l’assemblée générale. Elle n’aura d’effet que si la scission est décidée.</w:t>
      </w:r>
    </w:p>
    <w:p>
      <w:pPr>
        <w:pStyle w:val="BodyText"/>
        <w:spacing w:before="2"/>
        <w:ind w:left="0" w:right="0" w:firstLine="0"/>
        <w:jc w:val="left"/>
        <w:rPr>
          <w:sz w:val="28"/>
        </w:rPr>
      </w:pPr>
    </w:p>
    <w:p>
      <w:pPr>
        <w:pStyle w:val="BodyText"/>
        <w:spacing w:line="218" w:lineRule="auto" w:before="1"/>
        <w:ind w:right="38"/>
      </w:pPr>
      <w:r>
        <w:rPr>
          <w:color w:val="231F20"/>
        </w:rPr>
        <w:t>La convocation à l’assemblée reproduit le texte des alinéas 1</w:t>
      </w:r>
      <w:r>
        <w:rPr>
          <w:color w:val="231F20"/>
          <w:position w:val="7"/>
          <w:sz w:val="11"/>
        </w:rPr>
        <w:t>er </w:t>
      </w:r>
      <w:r>
        <w:rPr>
          <w:color w:val="231F20"/>
        </w:rPr>
        <w:t>et 2 du présent paragraphe.</w:t>
      </w:r>
    </w:p>
    <w:p>
      <w:pPr>
        <w:pStyle w:val="BodyText"/>
        <w:spacing w:line="218" w:lineRule="auto" w:before="119"/>
        <w:ind w:firstLine="0"/>
      </w:pPr>
      <w:r>
        <w:rPr/>
        <w:br w:type="column"/>
      </w:r>
      <w:r>
        <w:rPr>
          <w:color w:val="231F20"/>
        </w:rPr>
        <w:t>het vermogen die niet meer dan drie maanden vóór de datum van dat voorstel zijn afgesloten en die overeenkomstig het tweede tot het vierde lid zijn opgesteld.</w:t>
      </w:r>
    </w:p>
    <w:p>
      <w:pPr>
        <w:pStyle w:val="BodyText"/>
        <w:spacing w:line="218" w:lineRule="auto" w:before="150"/>
      </w:pPr>
      <w:r>
        <w:rPr>
          <w:color w:val="231F20"/>
        </w:rPr>
        <w:t>Deze tussentijdse cijfers worden opgemaakt volgens dezelfde metho- den en dezelfde opstelling als de laatste jaarrekening.</w:t>
      </w:r>
    </w:p>
    <w:p>
      <w:pPr>
        <w:pStyle w:val="BodyText"/>
        <w:spacing w:before="135"/>
        <w:ind w:left="283" w:right="0" w:firstLine="0"/>
        <w:jc w:val="left"/>
      </w:pPr>
      <w:r>
        <w:rPr>
          <w:color w:val="231F20"/>
        </w:rPr>
        <w:t>Een nieuwe inventaris moet echter niet worden opgemaakt.</w:t>
      </w:r>
    </w:p>
    <w:p>
      <w:pPr>
        <w:pStyle w:val="BodyText"/>
        <w:spacing w:line="218" w:lineRule="auto" w:before="146"/>
        <w:ind w:right="125"/>
      </w:pPr>
      <w:r>
        <w:rPr>
          <w:color w:val="231F20"/>
        </w:rPr>
        <w:t>De wijzigingen van de in de balans voorkomende waarderingen kunnen worden beperkt tot de wijzigingen die voortvloeien uit de verrichte boekingen. Er moet echter rekening worden gehouden met tussentijdse afschrijvingen en voorzieningen, evenals met belangrijke wijzigingen van de waarden die niet uit de boeken blijken.</w:t>
      </w:r>
    </w:p>
    <w:p>
      <w:pPr>
        <w:pStyle w:val="BodyText"/>
        <w:spacing w:line="218" w:lineRule="auto" w:before="150"/>
      </w:pPr>
      <w:r>
        <w:rPr>
          <w:color w:val="231F20"/>
        </w:rPr>
        <w:t>Het eerste lid, 5°,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dit lid aan de aandeelhouders beschikbaar stelt.</w:t>
      </w:r>
    </w:p>
    <w:p>
      <w:pPr>
        <w:pStyle w:val="BodyText"/>
        <w:spacing w:line="218" w:lineRule="auto" w:before="150"/>
      </w:pPr>
      <w:r>
        <w:rPr>
          <w:color w:val="231F20"/>
        </w:rPr>
        <w:t>Het eerste lid, 2° en 5°, zijn niet van toepassing wanneer de aandelen van elk van de nieuwe vennootschappen worden uitgegeven aan de vennoten of aandeelhouders van de gesplitste vennootschap evenredig aan hun rechten in het kapitaal van deze vennootschap, of, als de vennootschap geen kapitaal heeft, hun aandeel in het eigen vermogen.</w:t>
      </w:r>
    </w:p>
    <w:p>
      <w:pPr>
        <w:pStyle w:val="BodyText"/>
        <w:spacing w:line="218" w:lineRule="auto" w:before="160"/>
      </w:pP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spacing w:line="218" w:lineRule="auto" w:before="160"/>
        <w:ind w:right="125"/>
      </w:pPr>
      <w:r>
        <w:rPr>
          <w:color w:val="231F20"/>
        </w:rPr>
        <w:t>§ 4. </w:t>
      </w:r>
      <w:r>
        <w:rPr>
          <w:color w:val="231F20"/>
          <w:spacing w:val="-3"/>
        </w:rPr>
        <w:t>Wanneer </w:t>
      </w:r>
      <w:r>
        <w:rPr>
          <w:color w:val="231F20"/>
        </w:rPr>
        <w:t>een vennootschap de in paragraaf 2 bedoelde stukken, gedurende een ononderbroken periode van een maand vóór de datum van de algemene vergadering die over het splitsingsvoorstel moet besluiten en die niet eerder eindigt dan op het ogenblik van de sluiting van die vergadering, kosteloos op de vennootschapswebsite beschik- baar stelt, moet zij de in paragraaf 2 bedoelde stukken niet op haar</w:t>
      </w:r>
      <w:r>
        <w:rPr>
          <w:color w:val="231F20"/>
          <w:spacing w:val="-12"/>
        </w:rPr>
        <w:t> </w:t>
      </w:r>
      <w:r>
        <w:rPr>
          <w:color w:val="231F20"/>
        </w:rPr>
        <w:t>zetel beschikbaar</w:t>
      </w:r>
      <w:r>
        <w:rPr>
          <w:color w:val="231F20"/>
          <w:spacing w:val="14"/>
        </w:rPr>
        <w:t> </w:t>
      </w:r>
      <w:r>
        <w:rPr>
          <w:color w:val="231F20"/>
        </w:rPr>
        <w:t>stellen.</w:t>
      </w:r>
    </w:p>
    <w:p>
      <w:pPr>
        <w:pStyle w:val="BodyText"/>
        <w:spacing w:line="218" w:lineRule="auto" w:before="161"/>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die over het splitsingsvoorstel moet besluiten op de vennootschapswebsite blijven staan en kunnen worden gedownload en afgedrukt. Bovendien stelt de vennootschap deze stukken in dit geval eveneens ter beschikking op haar zetel voor raadpleging door de vennoten of</w:t>
      </w:r>
      <w:r>
        <w:rPr>
          <w:color w:val="231F20"/>
          <w:spacing w:val="-11"/>
        </w:rPr>
        <w:t> </w:t>
      </w:r>
      <w:r>
        <w:rPr>
          <w:color w:val="231F20"/>
        </w:rPr>
        <w:t>aandeelhouders.</w:t>
      </w:r>
    </w:p>
    <w:p>
      <w:pPr>
        <w:pStyle w:val="BodyText"/>
        <w:spacing w:line="218" w:lineRule="auto" w:before="161"/>
      </w:pPr>
      <w:r>
        <w:rPr>
          <w:color w:val="231F20"/>
        </w:rPr>
        <w:t>Art. 12:81. Indien alle vennoten of aandeelhouders en alle houders van andere stemrechtverlenende effecten in elke bij de splitsing betrokken vennootschap hiermee hebben ingestemd, zijn  de  artike- len 12:77 en 12:80, in zover dit laatste naar de verslagen verwijst, niet van</w:t>
      </w:r>
      <w:r>
        <w:rPr>
          <w:color w:val="231F20"/>
          <w:spacing w:val="15"/>
        </w:rPr>
        <w:t> </w:t>
      </w:r>
      <w:r>
        <w:rPr>
          <w:color w:val="231F20"/>
        </w:rPr>
        <w:t>toepassing.</w:t>
      </w:r>
    </w:p>
    <w:p>
      <w:pPr>
        <w:pStyle w:val="BodyText"/>
        <w:spacing w:line="218" w:lineRule="auto" w:before="160"/>
      </w:pPr>
      <w:r>
        <w:rPr>
          <w:color w:val="231F20"/>
        </w:rPr>
        <w:t>De afstand van dat recht wordt vastgesteld bij een uitdrukkelijke stemming in de algemene vergadering die over de deelneming aan de splitsing moet besluiten.</w:t>
      </w:r>
    </w:p>
    <w:p>
      <w:pPr>
        <w:pStyle w:val="BodyText"/>
        <w:spacing w:line="218" w:lineRule="auto" w:before="160"/>
      </w:pPr>
      <w:r>
        <w:rPr>
          <w:color w:val="231F20"/>
        </w:rPr>
        <w:t>In de agenda van die algemene vergadering wordt vermeld dat de vennootschap voornemens is deze bepaling toe te passen en worden  het</w:t>
      </w:r>
      <w:r>
        <w:rPr>
          <w:color w:val="231F20"/>
          <w:spacing w:val="15"/>
        </w:rPr>
        <w:t> </w:t>
      </w:r>
      <w:r>
        <w:rPr>
          <w:color w:val="231F20"/>
        </w:rPr>
        <w:t>eerste</w:t>
      </w:r>
      <w:r>
        <w:rPr>
          <w:color w:val="231F20"/>
          <w:spacing w:val="15"/>
        </w:rPr>
        <w:t> </w:t>
      </w:r>
      <w:r>
        <w:rPr>
          <w:color w:val="231F20"/>
        </w:rPr>
        <w:t>en</w:t>
      </w:r>
      <w:r>
        <w:rPr>
          <w:color w:val="231F20"/>
          <w:spacing w:val="16"/>
        </w:rPr>
        <w:t> </w:t>
      </w:r>
      <w:r>
        <w:rPr>
          <w:color w:val="231F20"/>
        </w:rPr>
        <w:t>het</w:t>
      </w:r>
      <w:r>
        <w:rPr>
          <w:color w:val="231F20"/>
          <w:spacing w:val="15"/>
        </w:rPr>
        <w:t> </w:t>
      </w:r>
      <w:r>
        <w:rPr>
          <w:color w:val="231F20"/>
        </w:rPr>
        <w:t>tweede</w:t>
      </w:r>
      <w:r>
        <w:rPr>
          <w:color w:val="231F20"/>
          <w:spacing w:val="16"/>
        </w:rPr>
        <w:t> </w:t>
      </w:r>
      <w:r>
        <w:rPr>
          <w:color w:val="231F20"/>
        </w:rPr>
        <w:t>lid</w:t>
      </w:r>
      <w:r>
        <w:rPr>
          <w:color w:val="231F20"/>
          <w:spacing w:val="15"/>
        </w:rPr>
        <w:t> </w:t>
      </w:r>
      <w:r>
        <w:rPr>
          <w:color w:val="231F20"/>
        </w:rPr>
        <w:t>opgenomen.</w:t>
      </w:r>
    </w:p>
    <w:p>
      <w:pPr>
        <w:pStyle w:val="BodyText"/>
        <w:spacing w:line="218" w:lineRule="auto" w:before="160"/>
      </w:pPr>
      <w:r>
        <w:rPr>
          <w:color w:val="231F20"/>
        </w:rPr>
        <w:t>Art. 12:82. § 1. Een vennootschap kan alleen dan als nieuwe vennootschap aan de splitsing deelnemen, wanneer de vennoten of aandeelhouders van de te splitsen vennootschap voldoen aan de vereisten voor de verkrijging van de hoedanigheid van vennoot of aandeelhouder in de nieuwe vennootschap.</w:t>
      </w:r>
    </w:p>
    <w:p>
      <w:pPr>
        <w:pStyle w:val="BodyText"/>
        <w:spacing w:line="218" w:lineRule="auto" w:before="160"/>
      </w:pPr>
      <w:r>
        <w:rPr>
          <w:color w:val="231F20"/>
        </w:rPr>
        <w:t>§ 2. In een coöperatieve vennootschap kan, niettegenstaande enige andersluidende bepaling, iedere aandeelhouder te allen tijde in de loop van het boekjaar uittreden vanaf de bijeenroeping van een algemene vergadering die moet besluiten over de splitsing van de vennootschap ten behoeve van nieuwe vennootschappen waarvan ten minste één een andere rechtsvorm heeft, zonder dat hij aan enige andere voorwaarde moet voldoen.</w:t>
      </w:r>
    </w:p>
    <w:p>
      <w:pPr>
        <w:pStyle w:val="BodyText"/>
        <w:spacing w:line="218" w:lineRule="auto" w:before="161"/>
        <w:ind w:right="125"/>
      </w:pPr>
      <w:r>
        <w:rPr>
          <w:color w:val="231F20"/>
        </w:rPr>
        <w:t>Hij geeft van zijn uittreding aan de vennootschap kennis overeen- komstig artikel 2:32 uiterlijk vijf dagen vóór de datum van de algemene vergadering. Zij heeft enkel gevolg als het voorstel tot splitsing wordt aangenomen.</w:t>
      </w:r>
    </w:p>
    <w:p>
      <w:pPr>
        <w:pStyle w:val="BodyText"/>
        <w:spacing w:line="218" w:lineRule="auto" w:before="160"/>
      </w:pPr>
      <w:r>
        <w:rPr>
          <w:color w:val="231F20"/>
        </w:rPr>
        <w:t>In de oproepingsbrief wordt de tekst van deze paragraaf, eerste en tweede lid, opgenomen.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05"/>
        <w:ind w:right="74"/>
      </w:pPr>
      <w:r>
        <w:rPr/>
        <w:pict>
          <v:line style="position:absolute;mso-position-horizontal-relative:page;mso-position-vertical-relative:page;z-index:6952" from="298.170502pt,64.473pt" to="298.170502pt,812.819pt" stroked="true" strokeweight=".533pt" strokecolor="#231f20">
            <v:stroke dashstyle="solid"/>
            <w10:wrap type="none"/>
          </v:line>
        </w:pict>
      </w:r>
      <w:bookmarkStart w:name="_bookmark247" w:id="253"/>
      <w:bookmarkEnd w:id="253"/>
      <w:r>
        <w:rPr/>
      </w:r>
      <w:r>
        <w:rPr>
          <w:color w:val="231F20"/>
        </w:rPr>
        <w:t>Art. 12:83. § 1</w:t>
      </w:r>
      <w:r>
        <w:rPr>
          <w:color w:val="231F20"/>
          <w:position w:val="7"/>
          <w:sz w:val="11"/>
        </w:rPr>
        <w:t>er</w:t>
      </w:r>
      <w:r>
        <w:rPr>
          <w:color w:val="231F20"/>
        </w:rPr>
        <w:t>. Sans préjudice des dispositions particulières énoncées dans le présent article et sous réserve de dispositions statutaires plus rigoureuses, l’assemblée générale décide de la scission de la société dans le respect des règles de présence et de majorité suivantes:</w:t>
      </w:r>
    </w:p>
    <w:p>
      <w:pPr>
        <w:pStyle w:val="BodyText"/>
        <w:spacing w:line="218" w:lineRule="auto" w:before="85"/>
        <w:ind w:right="73"/>
      </w:pPr>
      <w:r>
        <w:rPr>
          <w:color w:val="231F20"/>
        </w:rPr>
        <w:t>1° ceux qui assistent ou sont représentés à la réunion doivent représenter la moitié au moins du capital, ou, si la société ne dispose pas d’un capital, la moitié du nombre total d’actions ou parts émises. Si cette condition n’est pas remplie, une nouvelle convocation sera nécessaire. La deuxième assemblée pourra valablement délibérer et statuer, quel que soit le nombre d’actions ou parts présentes ou représentées;</w:t>
      </w:r>
    </w:p>
    <w:p>
      <w:pPr>
        <w:pStyle w:val="BodyText"/>
        <w:spacing w:line="218" w:lineRule="auto" w:before="83"/>
        <w:ind w:right="73"/>
      </w:pPr>
      <w:r>
        <w:rPr>
          <w:color w:val="231F20"/>
        </w:rPr>
        <w:t>2° </w:t>
      </w:r>
      <w:r>
        <w:rPr>
          <w:rFonts w:ascii="Times New Roman" w:hAnsi="Times New Roman"/>
          <w:i/>
          <w:color w:val="231F20"/>
        </w:rPr>
        <w:t>a) </w:t>
      </w:r>
      <w:r>
        <w:rPr>
          <w:color w:val="231F20"/>
        </w:rPr>
        <w:t>une proposition de scission n’est acceptée que si elle réunit les trois quarts des voix, sans qu’il soit tenu compte des abstentions au numérateur ou au dénominateur;</w:t>
      </w:r>
    </w:p>
    <w:p>
      <w:pPr>
        <w:pStyle w:val="BodyText"/>
        <w:spacing w:line="218" w:lineRule="auto" w:before="94"/>
        <w:ind w:right="74"/>
      </w:pP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before="82"/>
        <w:ind w:left="283" w:right="0" w:firstLine="0"/>
        <w:jc w:val="left"/>
      </w:pPr>
      <w:r>
        <w:rPr>
          <w:color w:val="231F20"/>
        </w:rPr>
        <w:t>§ 2. L’article 7:179 n’est pas applicable.</w:t>
      </w:r>
    </w:p>
    <w:p>
      <w:pPr>
        <w:pStyle w:val="BodyText"/>
        <w:spacing w:line="218" w:lineRule="auto" w:before="93"/>
        <w:ind w:right="74"/>
      </w:pPr>
      <w:r>
        <w:rPr>
          <w:color w:val="231F20"/>
        </w:rPr>
        <w:t>§</w:t>
      </w:r>
      <w:r>
        <w:rPr>
          <w:color w:val="231F20"/>
          <w:spacing w:val="-4"/>
        </w:rPr>
        <w:t> </w:t>
      </w:r>
      <w:r>
        <w:rPr>
          <w:color w:val="231F20"/>
        </w:rPr>
        <w:t>3.</w:t>
      </w:r>
      <w:r>
        <w:rPr>
          <w:color w:val="231F20"/>
          <w:spacing w:val="-3"/>
        </w:rPr>
        <w:t> </w:t>
      </w:r>
      <w:r>
        <w:rPr>
          <w:color w:val="231F20"/>
        </w:rPr>
        <w:t>S’il</w:t>
      </w:r>
      <w:r>
        <w:rPr>
          <w:color w:val="231F20"/>
          <w:spacing w:val="-3"/>
        </w:rPr>
        <w:t> </w:t>
      </w:r>
      <w:r>
        <w:rPr>
          <w:color w:val="231F20"/>
        </w:rPr>
        <w:t>existe</w:t>
      </w:r>
      <w:r>
        <w:rPr>
          <w:color w:val="231F20"/>
          <w:spacing w:val="-4"/>
        </w:rPr>
        <w:t> </w:t>
      </w:r>
      <w:r>
        <w:rPr>
          <w:color w:val="231F20"/>
        </w:rPr>
        <w:t>plusieurs</w:t>
      </w:r>
      <w:r>
        <w:rPr>
          <w:color w:val="231F20"/>
          <w:spacing w:val="-3"/>
        </w:rPr>
        <w:t> </w:t>
      </w:r>
      <w:r>
        <w:rPr>
          <w:color w:val="231F20"/>
        </w:rPr>
        <w:t>classes</w:t>
      </w:r>
      <w:r>
        <w:rPr>
          <w:color w:val="231F20"/>
          <w:spacing w:val="-3"/>
        </w:rPr>
        <w:t> </w:t>
      </w:r>
      <w:r>
        <w:rPr>
          <w:color w:val="231F20"/>
        </w:rPr>
        <w:t>d’actions,</w:t>
      </w:r>
      <w:r>
        <w:rPr>
          <w:color w:val="231F20"/>
          <w:spacing w:val="-4"/>
        </w:rPr>
        <w:t> </w:t>
      </w:r>
      <w:r>
        <w:rPr>
          <w:color w:val="231F20"/>
        </w:rPr>
        <w:t>parts</w:t>
      </w:r>
      <w:r>
        <w:rPr>
          <w:color w:val="231F20"/>
          <w:spacing w:val="-3"/>
        </w:rPr>
        <w:t> </w:t>
      </w:r>
      <w:r>
        <w:rPr>
          <w:color w:val="231F20"/>
        </w:rPr>
        <w:t>ou</w:t>
      </w:r>
      <w:r>
        <w:rPr>
          <w:color w:val="231F20"/>
          <w:spacing w:val="-3"/>
        </w:rPr>
        <w:t> </w:t>
      </w:r>
      <w:r>
        <w:rPr>
          <w:color w:val="231F20"/>
        </w:rPr>
        <w:t>titres</w:t>
      </w:r>
      <w:r>
        <w:rPr>
          <w:color w:val="231F20"/>
          <w:spacing w:val="-4"/>
        </w:rPr>
        <w:t> </w:t>
      </w:r>
      <w:r>
        <w:rPr>
          <w:color w:val="231F20"/>
        </w:rPr>
        <w:t>représentatifs ou non du capital exprimé, et si la scission entraîne une modification de leurs droits respectifs, l’article 5:102, alinéa 3, l’article 6:87, alinéa 3, ou l’article</w:t>
      </w:r>
      <w:r>
        <w:rPr>
          <w:color w:val="231F20"/>
          <w:spacing w:val="15"/>
        </w:rPr>
        <w:t> </w:t>
      </w:r>
      <w:r>
        <w:rPr>
          <w:color w:val="231F20"/>
        </w:rPr>
        <w:t>7:155,</w:t>
      </w:r>
      <w:r>
        <w:rPr>
          <w:color w:val="231F20"/>
          <w:spacing w:val="15"/>
        </w:rPr>
        <w:t> </w:t>
      </w:r>
      <w:r>
        <w:rPr>
          <w:color w:val="231F20"/>
        </w:rPr>
        <w:t>alinéa</w:t>
      </w:r>
      <w:r>
        <w:rPr>
          <w:color w:val="231F20"/>
          <w:spacing w:val="15"/>
        </w:rPr>
        <w:t> </w:t>
      </w:r>
      <w:r>
        <w:rPr>
          <w:color w:val="231F20"/>
        </w:rPr>
        <w:t>3,</w:t>
      </w:r>
      <w:r>
        <w:rPr>
          <w:color w:val="231F20"/>
          <w:spacing w:val="15"/>
        </w:rPr>
        <w:t> </w:t>
      </w:r>
      <w:r>
        <w:rPr>
          <w:color w:val="231F20"/>
        </w:rPr>
        <w:t>s’applique</w:t>
      </w:r>
      <w:r>
        <w:rPr>
          <w:color w:val="231F20"/>
          <w:spacing w:val="16"/>
        </w:rPr>
        <w:t> </w:t>
      </w:r>
      <w:r>
        <w:rPr>
          <w:color w:val="231F20"/>
        </w:rPr>
        <w:t>par</w:t>
      </w:r>
      <w:r>
        <w:rPr>
          <w:color w:val="231F20"/>
          <w:spacing w:val="15"/>
        </w:rPr>
        <w:t> </w:t>
      </w:r>
      <w:r>
        <w:rPr>
          <w:color w:val="231F20"/>
        </w:rPr>
        <w:t>analogie.</w:t>
      </w:r>
    </w:p>
    <w:p>
      <w:pPr>
        <w:pStyle w:val="BodyText"/>
        <w:spacing w:before="8"/>
        <w:ind w:left="0" w:right="0" w:firstLine="0"/>
        <w:jc w:val="left"/>
        <w:rPr>
          <w:sz w:val="22"/>
        </w:rPr>
      </w:pPr>
    </w:p>
    <w:p>
      <w:pPr>
        <w:pStyle w:val="BodyText"/>
        <w:spacing w:line="338" w:lineRule="auto"/>
        <w:ind w:left="283" w:right="723" w:firstLine="0"/>
        <w:jc w:val="left"/>
      </w:pPr>
      <w:r>
        <w:rPr>
          <w:color w:val="231F20"/>
        </w:rPr>
        <w:t>§ 4. </w:t>
      </w:r>
      <w:r>
        <w:rPr>
          <w:color w:val="231F20"/>
          <w:spacing w:val="-3"/>
        </w:rPr>
        <w:t>L’accord </w:t>
      </w:r>
      <w:r>
        <w:rPr>
          <w:color w:val="231F20"/>
        </w:rPr>
        <w:t>de tous les associés ou actionnaires est requis: 1°</w:t>
      </w:r>
      <w:r>
        <w:rPr>
          <w:color w:val="231F20"/>
          <w:spacing w:val="14"/>
        </w:rPr>
        <w:t> </w:t>
      </w:r>
      <w:r>
        <w:rPr>
          <w:color w:val="231F20"/>
        </w:rPr>
        <w:t>dans</w:t>
      </w:r>
      <w:r>
        <w:rPr>
          <w:color w:val="231F20"/>
          <w:spacing w:val="15"/>
        </w:rPr>
        <w:t> </w:t>
      </w:r>
      <w:r>
        <w:rPr>
          <w:color w:val="231F20"/>
        </w:rPr>
        <w:t>les</w:t>
      </w:r>
      <w:r>
        <w:rPr>
          <w:color w:val="231F20"/>
          <w:spacing w:val="15"/>
        </w:rPr>
        <w:t> </w:t>
      </w:r>
      <w:r>
        <w:rPr>
          <w:color w:val="231F20"/>
        </w:rPr>
        <w:t>sociétés</w:t>
      </w:r>
      <w:r>
        <w:rPr>
          <w:color w:val="231F20"/>
          <w:spacing w:val="15"/>
        </w:rPr>
        <w:t> </w:t>
      </w:r>
      <w:r>
        <w:rPr>
          <w:color w:val="231F20"/>
        </w:rPr>
        <w:t>en</w:t>
      </w:r>
      <w:r>
        <w:rPr>
          <w:color w:val="231F20"/>
          <w:spacing w:val="14"/>
        </w:rPr>
        <w:t> </w:t>
      </w:r>
      <w:r>
        <w:rPr>
          <w:color w:val="231F20"/>
        </w:rPr>
        <w:t>nom</w:t>
      </w:r>
      <w:r>
        <w:rPr>
          <w:color w:val="231F20"/>
          <w:spacing w:val="15"/>
        </w:rPr>
        <w:t> </w:t>
      </w:r>
      <w:r>
        <w:rPr>
          <w:color w:val="231F20"/>
        </w:rPr>
        <w:t>collectif;</w:t>
      </w:r>
    </w:p>
    <w:p>
      <w:pPr>
        <w:pStyle w:val="BodyText"/>
        <w:spacing w:line="218" w:lineRule="auto" w:before="13"/>
        <w:ind w:right="74"/>
      </w:pPr>
      <w:r>
        <w:rPr>
          <w:color w:val="231F20"/>
        </w:rPr>
        <w:t>2° dans la société à scinder lorsque l’une au moins des nouvelles sociétés est:</w:t>
      </w:r>
    </w:p>
    <w:p>
      <w:pPr>
        <w:pStyle w:val="ListParagraph"/>
        <w:numPr>
          <w:ilvl w:val="0"/>
          <w:numId w:val="137"/>
        </w:numPr>
        <w:tabs>
          <w:tab w:pos="474" w:val="left" w:leader="none"/>
        </w:tabs>
        <w:spacing w:line="240" w:lineRule="auto" w:before="79" w:after="0"/>
        <w:ind w:left="473" w:right="0" w:hanging="190"/>
        <w:jc w:val="left"/>
        <w:rPr>
          <w:sz w:val="17"/>
        </w:rPr>
      </w:pPr>
      <w:r>
        <w:rPr>
          <w:color w:val="231F20"/>
          <w:sz w:val="17"/>
        </w:rPr>
        <w:t>une société en nom </w:t>
      </w:r>
      <w:r>
        <w:rPr>
          <w:color w:val="231F20"/>
          <w:spacing w:val="3"/>
          <w:sz w:val="17"/>
        </w:rPr>
        <w:t> </w:t>
      </w:r>
      <w:r>
        <w:rPr>
          <w:color w:val="231F20"/>
          <w:sz w:val="17"/>
        </w:rPr>
        <w:t>collectif;</w:t>
      </w:r>
    </w:p>
    <w:p>
      <w:pPr>
        <w:pStyle w:val="ListParagraph"/>
        <w:numPr>
          <w:ilvl w:val="0"/>
          <w:numId w:val="137"/>
        </w:numPr>
        <w:tabs>
          <w:tab w:pos="477" w:val="left" w:leader="none"/>
        </w:tabs>
        <w:spacing w:line="240" w:lineRule="auto" w:before="76" w:after="0"/>
        <w:ind w:left="476" w:right="0" w:hanging="193"/>
        <w:jc w:val="left"/>
        <w:rPr>
          <w:sz w:val="17"/>
        </w:rPr>
      </w:pPr>
      <w:r>
        <w:rPr>
          <w:color w:val="231F20"/>
          <w:sz w:val="17"/>
        </w:rPr>
        <w:t>une société en</w:t>
      </w:r>
      <w:r>
        <w:rPr>
          <w:color w:val="231F20"/>
          <w:spacing w:val="39"/>
          <w:sz w:val="17"/>
        </w:rPr>
        <w:t> </w:t>
      </w:r>
      <w:r>
        <w:rPr>
          <w:color w:val="231F20"/>
          <w:sz w:val="17"/>
        </w:rPr>
        <w:t>commandite.</w:t>
      </w:r>
    </w:p>
    <w:p>
      <w:pPr>
        <w:pStyle w:val="BodyText"/>
        <w:spacing w:line="218" w:lineRule="auto" w:before="78"/>
        <w:ind w:right="74"/>
      </w:pPr>
      <w:r>
        <w:rPr>
          <w:color w:val="231F20"/>
        </w:rPr>
        <w:t>Dans les cas visés à l’alinéa 1</w:t>
      </w:r>
      <w:r>
        <w:rPr>
          <w:color w:val="231F20"/>
          <w:position w:val="7"/>
          <w:sz w:val="11"/>
        </w:rPr>
        <w:t>er</w:t>
      </w:r>
      <w:r>
        <w:rPr>
          <w:color w:val="231F20"/>
        </w:rPr>
        <w:t>, 2°, l’accord unanime des titulaires de titres non représentatifs du capital est, le cas échéant, requis.</w:t>
      </w:r>
    </w:p>
    <w:p>
      <w:pPr>
        <w:pStyle w:val="BodyText"/>
        <w:spacing w:before="10"/>
        <w:ind w:left="0" w:right="0" w:firstLine="0"/>
        <w:jc w:val="left"/>
        <w:rPr>
          <w:sz w:val="23"/>
        </w:rPr>
      </w:pPr>
    </w:p>
    <w:p>
      <w:pPr>
        <w:pStyle w:val="BodyText"/>
        <w:spacing w:line="218" w:lineRule="auto"/>
        <w:ind w:right="74"/>
      </w:pPr>
      <w:r>
        <w:rPr>
          <w:color w:val="231F20"/>
        </w:rPr>
        <w:t>§ 5. Dans la société en commandite, l’accord de tous les associés commandités est en outre requis.</w:t>
      </w:r>
    </w:p>
    <w:p>
      <w:pPr>
        <w:pStyle w:val="BodyText"/>
        <w:spacing w:line="218" w:lineRule="auto" w:before="96"/>
        <w:ind w:right="15"/>
        <w:jc w:val="left"/>
      </w:pPr>
      <w:r>
        <w:rPr>
          <w:color w:val="231F20"/>
        </w:rPr>
        <w:t>§ 6. Lorsque le projet de scission prévoit que la répartition aux associés ou actionnaires de la société à scinder des actions ou parts des nouvelles sociétés ne sera pas proportionnelle à leurs droits dans le capital de la société à scinder, ou, si la société ne dispose pas d’un capital, leur part dans les capitaux propres, la décision de la société à scinder de participer à l’opération de scission est prise par l’assemblée générale statuant à l’unanimité.</w:t>
      </w:r>
    </w:p>
    <w:p>
      <w:pPr>
        <w:pStyle w:val="BodyText"/>
        <w:ind w:left="0" w:right="0" w:firstLine="0"/>
        <w:jc w:val="left"/>
        <w:rPr>
          <w:sz w:val="24"/>
        </w:rPr>
      </w:pPr>
    </w:p>
    <w:p>
      <w:pPr>
        <w:pStyle w:val="BodyText"/>
        <w:spacing w:line="218" w:lineRule="auto"/>
        <w:ind w:right="74"/>
      </w:pPr>
      <w:r>
        <w:rPr>
          <w:color w:val="231F20"/>
        </w:rPr>
        <w:t>Art. 12:84. Dans chaque société participant à la scission, le procès- verbal de l’assemblée générale qui constate la participation à l’opéra- tion de scission est, à peine de nullité, établi par acte authentique.</w:t>
      </w:r>
    </w:p>
    <w:p>
      <w:pPr>
        <w:pStyle w:val="BodyText"/>
        <w:spacing w:before="11"/>
        <w:ind w:left="0" w:right="0" w:firstLine="0"/>
        <w:jc w:val="left"/>
        <w:rPr>
          <w:sz w:val="23"/>
        </w:rPr>
      </w:pPr>
    </w:p>
    <w:p>
      <w:pPr>
        <w:pStyle w:val="BodyText"/>
        <w:spacing w:line="218" w:lineRule="auto"/>
        <w:ind w:right="0"/>
      </w:pPr>
      <w:r>
        <w:rPr>
          <w:color w:val="231F20"/>
        </w:rPr>
        <w:t>L’acte reproduit, le cas échéant, les conclusions du rapport visé à l’article 12:78.</w:t>
      </w:r>
    </w:p>
    <w:p>
      <w:pPr>
        <w:pStyle w:val="BodyText"/>
        <w:spacing w:line="218" w:lineRule="auto" w:before="96"/>
        <w:ind w:right="74"/>
      </w:pPr>
      <w:r>
        <w:rPr>
          <w:color w:val="231F20"/>
        </w:rPr>
        <w:t>Le notaire doit vérifier et attester l’existence et la légalité, tant</w:t>
      </w:r>
      <w:r>
        <w:rPr>
          <w:color w:val="231F20"/>
          <w:spacing w:val="-24"/>
        </w:rPr>
        <w:t> </w:t>
      </w:r>
      <w:r>
        <w:rPr>
          <w:color w:val="231F20"/>
        </w:rPr>
        <w:t>interne qu’externe, des actes et formalités incombant à la société auprès de laquelle il</w:t>
      </w:r>
      <w:r>
        <w:rPr>
          <w:color w:val="231F20"/>
          <w:spacing w:val="-12"/>
        </w:rPr>
        <w:t> </w:t>
      </w:r>
      <w:r>
        <w:rPr>
          <w:color w:val="231F20"/>
        </w:rPr>
        <w:t>instrumente.</w:t>
      </w:r>
    </w:p>
    <w:p>
      <w:pPr>
        <w:pStyle w:val="BodyText"/>
        <w:spacing w:line="218" w:lineRule="auto" w:before="96"/>
        <w:ind w:right="73"/>
      </w:pPr>
      <w:r>
        <w:rPr>
          <w:color w:val="231F20"/>
        </w:rPr>
        <w:t>Art. 12:85. Immédiatement après la décision de scission, le projet d’acte constitutif et les statuts de chacune des nouvelles sociétés doivent être approuvés par l’assemblée générale de la société scindée aux mêmes conditions de présence et de majorité que celles requises pour la décision de scission. À défaut, la décision de scission reste sans effet.</w:t>
      </w:r>
    </w:p>
    <w:p>
      <w:pPr>
        <w:pStyle w:val="BodyText"/>
        <w:spacing w:line="218" w:lineRule="auto" w:before="97"/>
        <w:ind w:right="73"/>
      </w:pPr>
      <w:r>
        <w:rPr>
          <w:color w:val="231F20"/>
        </w:rPr>
        <w:t>Art.</w:t>
      </w:r>
      <w:r>
        <w:rPr>
          <w:color w:val="231F20"/>
          <w:spacing w:val="-6"/>
        </w:rPr>
        <w:t> </w:t>
      </w:r>
      <w:r>
        <w:rPr>
          <w:color w:val="231F20"/>
        </w:rPr>
        <w:t>12:86.</w:t>
      </w:r>
      <w:r>
        <w:rPr>
          <w:color w:val="231F20"/>
          <w:spacing w:val="-5"/>
        </w:rPr>
        <w:t> </w:t>
      </w:r>
      <w:r>
        <w:rPr>
          <w:color w:val="231F20"/>
        </w:rPr>
        <w:t>La</w:t>
      </w:r>
      <w:r>
        <w:rPr>
          <w:color w:val="231F20"/>
          <w:spacing w:val="-5"/>
        </w:rPr>
        <w:t> </w:t>
      </w:r>
      <w:r>
        <w:rPr>
          <w:color w:val="231F20"/>
        </w:rPr>
        <w:t>scission</w:t>
      </w:r>
      <w:r>
        <w:rPr>
          <w:color w:val="231F20"/>
          <w:spacing w:val="-5"/>
        </w:rPr>
        <w:t> </w:t>
      </w:r>
      <w:r>
        <w:rPr>
          <w:color w:val="231F20"/>
        </w:rPr>
        <w:t>est</w:t>
      </w:r>
      <w:r>
        <w:rPr>
          <w:color w:val="231F20"/>
          <w:spacing w:val="-5"/>
        </w:rPr>
        <w:t> </w:t>
      </w:r>
      <w:r>
        <w:rPr>
          <w:color w:val="231F20"/>
        </w:rPr>
        <w:t>réalisée</w:t>
      </w:r>
      <w:r>
        <w:rPr>
          <w:color w:val="231F20"/>
          <w:spacing w:val="-5"/>
        </w:rPr>
        <w:t> </w:t>
      </w:r>
      <w:r>
        <w:rPr>
          <w:color w:val="231F20"/>
        </w:rPr>
        <w:t>lorsque</w:t>
      </w:r>
      <w:r>
        <w:rPr>
          <w:color w:val="231F20"/>
          <w:spacing w:val="-5"/>
        </w:rPr>
        <w:t> </w:t>
      </w:r>
      <w:r>
        <w:rPr>
          <w:color w:val="231F20"/>
        </w:rPr>
        <w:t>toutes</w:t>
      </w:r>
      <w:r>
        <w:rPr>
          <w:color w:val="231F20"/>
          <w:spacing w:val="-5"/>
        </w:rPr>
        <w:t> </w:t>
      </w:r>
      <w:r>
        <w:rPr>
          <w:color w:val="231F20"/>
        </w:rPr>
        <w:t>les</w:t>
      </w:r>
      <w:r>
        <w:rPr>
          <w:color w:val="231F20"/>
          <w:spacing w:val="-6"/>
        </w:rPr>
        <w:t> </w:t>
      </w:r>
      <w:r>
        <w:rPr>
          <w:color w:val="231F20"/>
        </w:rPr>
        <w:t>nouvelles</w:t>
      </w:r>
      <w:r>
        <w:rPr>
          <w:color w:val="231F20"/>
          <w:spacing w:val="-5"/>
        </w:rPr>
        <w:t> </w:t>
      </w:r>
      <w:r>
        <w:rPr>
          <w:color w:val="231F20"/>
        </w:rPr>
        <w:t>sociétés sont</w:t>
      </w:r>
      <w:r>
        <w:rPr>
          <w:color w:val="231F20"/>
          <w:spacing w:val="14"/>
        </w:rPr>
        <w:t> </w:t>
      </w:r>
      <w:r>
        <w:rPr>
          <w:color w:val="231F20"/>
        </w:rPr>
        <w:t>constituées.</w:t>
      </w:r>
    </w:p>
    <w:p>
      <w:pPr>
        <w:pStyle w:val="BodyText"/>
        <w:spacing w:line="216" w:lineRule="auto" w:before="82"/>
        <w:ind w:right="74"/>
      </w:pPr>
      <w:r>
        <w:rPr>
          <w:color w:val="231F20"/>
        </w:rPr>
        <w:t>Art. 12:87. § 1</w:t>
      </w:r>
      <w:r>
        <w:rPr>
          <w:color w:val="231F20"/>
          <w:position w:val="7"/>
          <w:sz w:val="11"/>
        </w:rPr>
        <w:t>er</w:t>
      </w:r>
      <w:r>
        <w:rPr>
          <w:color w:val="231F20"/>
        </w:rPr>
        <w:t>. Sous réserve des modalités déterminées au paragraphe 2, l’acte constatant la décision de scission prise par l’assemblée générale de la société scindée est déposé et publié par extrait conformément aux articles 2:8 et 2:14, 1°, et les articles 2:7,    2:8, 2:12, § 1</w:t>
      </w:r>
      <w:r>
        <w:rPr>
          <w:color w:val="231F20"/>
          <w:position w:val="7"/>
          <w:sz w:val="11"/>
        </w:rPr>
        <w:t>er</w:t>
      </w:r>
      <w:r>
        <w:rPr>
          <w:color w:val="231F20"/>
        </w:rPr>
        <w:t>, alinéa 1</w:t>
      </w:r>
      <w:r>
        <w:rPr>
          <w:color w:val="231F20"/>
          <w:position w:val="7"/>
          <w:sz w:val="11"/>
        </w:rPr>
        <w:t>er</w:t>
      </w:r>
      <w:r>
        <w:rPr>
          <w:color w:val="231F20"/>
        </w:rPr>
        <w:t>, et 2:13 sont applicables à l’acte constitutif de chaque nouvelle</w:t>
      </w:r>
      <w:r>
        <w:rPr>
          <w:color w:val="231F20"/>
          <w:spacing w:val="-11"/>
        </w:rPr>
        <w:t> </w:t>
      </w:r>
      <w:r>
        <w:rPr>
          <w:color w:val="231F20"/>
        </w:rPr>
        <w:t>société.</w:t>
      </w:r>
    </w:p>
    <w:p>
      <w:pPr>
        <w:pStyle w:val="BodyText"/>
        <w:spacing w:before="2"/>
        <w:ind w:left="0" w:right="0" w:firstLine="0"/>
        <w:jc w:val="left"/>
        <w:rPr>
          <w:sz w:val="22"/>
        </w:rPr>
      </w:pPr>
    </w:p>
    <w:p>
      <w:pPr>
        <w:pStyle w:val="BodyText"/>
        <w:spacing w:line="218" w:lineRule="auto" w:before="1"/>
        <w:ind w:right="74"/>
      </w:pPr>
      <w:r>
        <w:rPr>
          <w:color w:val="231F20"/>
        </w:rPr>
        <w:t>§ 2. L’acte et les extraits d’actes visés au paragraphe 1</w:t>
      </w:r>
      <w:r>
        <w:rPr>
          <w:color w:val="231F20"/>
          <w:position w:val="7"/>
          <w:sz w:val="11"/>
        </w:rPr>
        <w:t>er</w:t>
      </w:r>
      <w:r>
        <w:rPr>
          <w:color w:val="231F20"/>
        </w:rPr>
        <w:t>, sont publiés simultanément dans les dix jours du dépôt de l’acte constatant la décision de scission prise par l’assemblée générale de la société scindée.</w:t>
      </w:r>
    </w:p>
    <w:p>
      <w:pPr>
        <w:pStyle w:val="BodyText"/>
        <w:spacing w:before="10"/>
        <w:ind w:left="0" w:right="0" w:firstLine="0"/>
        <w:jc w:val="left"/>
        <w:rPr>
          <w:sz w:val="23"/>
        </w:rPr>
      </w:pPr>
    </w:p>
    <w:p>
      <w:pPr>
        <w:pStyle w:val="BodyText"/>
        <w:spacing w:line="218" w:lineRule="auto"/>
        <w:ind w:right="74"/>
      </w:pPr>
      <w:r>
        <w:rPr>
          <w:color w:val="231F20"/>
        </w:rPr>
        <w:t>Toute nouvelle société peut procéder elle-même aux formalités de publicité concernant la société scindée.</w:t>
      </w:r>
    </w:p>
    <w:p>
      <w:pPr>
        <w:pStyle w:val="BodyText"/>
        <w:spacing w:line="218" w:lineRule="auto" w:before="119"/>
      </w:pPr>
      <w:r>
        <w:rPr/>
        <w:br w:type="column"/>
      </w:r>
      <w:r>
        <w:rPr>
          <w:color w:val="231F20"/>
        </w:rPr>
        <w:t>Art. 12:83. § 1. Onder voorbehoud van strengere statutaire bepalin- gen en onverminderd de bijzondere bepalingen van dit artikel, besluit de algemene vergadering tot splitsing van een vennootschap overeen- komstig de volgende regels van aanwezigheid en meerderheid:</w:t>
      </w:r>
    </w:p>
    <w:p>
      <w:pPr>
        <w:pStyle w:val="BodyText"/>
        <w:ind w:left="0" w:right="0" w:firstLine="0"/>
        <w:jc w:val="left"/>
        <w:rPr>
          <w:sz w:val="23"/>
        </w:rPr>
      </w:pPr>
    </w:p>
    <w:p>
      <w:pPr>
        <w:pStyle w:val="BodyText"/>
        <w:spacing w:line="218" w:lineRule="auto" w:before="1"/>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8"/>
        <w:ind w:left="0" w:right="0" w:firstLine="0"/>
        <w:jc w:val="left"/>
        <w:rPr>
          <w:sz w:val="22"/>
        </w:rPr>
      </w:pPr>
    </w:p>
    <w:p>
      <w:pPr>
        <w:pStyle w:val="BodyText"/>
        <w:spacing w:line="218" w:lineRule="auto" w:before="1"/>
      </w:pPr>
      <w:r>
        <w:rPr>
          <w:color w:val="231F20"/>
        </w:rPr>
        <w:t>2° </w:t>
      </w:r>
      <w:r>
        <w:rPr>
          <w:rFonts w:ascii="Times New Roman" w:hAnsi="Times New Roman"/>
          <w:i/>
          <w:color w:val="231F20"/>
        </w:rPr>
        <w:t>a) </w:t>
      </w:r>
      <w:r>
        <w:rPr>
          <w:color w:val="231F20"/>
        </w:rPr>
        <w:t>een voorstel tot splitsing is alleen dan aangenomen, wanneer</w:t>
      </w:r>
      <w:r>
        <w:rPr>
          <w:color w:val="231F20"/>
          <w:spacing w:val="-24"/>
        </w:rPr>
        <w:t> </w:t>
      </w:r>
      <w:r>
        <w:rPr>
          <w:color w:val="231F20"/>
        </w:rPr>
        <w:t>het drie vierde van de stemmen heeft verkregen, waarbij de onthoudingen in</w:t>
      </w:r>
      <w:r>
        <w:rPr>
          <w:color w:val="231F20"/>
          <w:spacing w:val="15"/>
        </w:rPr>
        <w:t> </w:t>
      </w:r>
      <w:r>
        <w:rPr>
          <w:color w:val="231F20"/>
        </w:rPr>
        <w:t>de</w:t>
      </w:r>
      <w:r>
        <w:rPr>
          <w:color w:val="231F20"/>
          <w:spacing w:val="16"/>
        </w:rPr>
        <w:t> </w:t>
      </w:r>
      <w:r>
        <w:rPr>
          <w:color w:val="231F20"/>
        </w:rPr>
        <w:t>teller</w:t>
      </w:r>
      <w:r>
        <w:rPr>
          <w:color w:val="231F20"/>
          <w:spacing w:val="15"/>
        </w:rPr>
        <w:t> </w:t>
      </w:r>
      <w:r>
        <w:rPr>
          <w:color w:val="231F20"/>
        </w:rPr>
        <w:t>noch</w:t>
      </w:r>
      <w:r>
        <w:rPr>
          <w:color w:val="231F20"/>
          <w:spacing w:val="16"/>
        </w:rPr>
        <w:t> </w:t>
      </w:r>
      <w:r>
        <w:rPr>
          <w:color w:val="231F20"/>
        </w:rPr>
        <w:t>in</w:t>
      </w:r>
      <w:r>
        <w:rPr>
          <w:color w:val="231F20"/>
          <w:spacing w:val="15"/>
        </w:rPr>
        <w:t> </w:t>
      </w:r>
      <w:r>
        <w:rPr>
          <w:color w:val="231F20"/>
        </w:rPr>
        <w:t>de</w:t>
      </w:r>
      <w:r>
        <w:rPr>
          <w:color w:val="231F20"/>
          <w:spacing w:val="16"/>
        </w:rPr>
        <w:t> </w:t>
      </w:r>
      <w:r>
        <w:rPr>
          <w:color w:val="231F20"/>
        </w:rPr>
        <w:t>noemer</w:t>
      </w:r>
      <w:r>
        <w:rPr>
          <w:color w:val="231F20"/>
          <w:spacing w:val="16"/>
        </w:rPr>
        <w:t> </w:t>
      </w:r>
      <w:r>
        <w:rPr>
          <w:color w:val="231F20"/>
        </w:rPr>
        <w:t>worden</w:t>
      </w:r>
      <w:r>
        <w:rPr>
          <w:color w:val="231F20"/>
          <w:spacing w:val="15"/>
        </w:rPr>
        <w:t> </w:t>
      </w:r>
      <w:r>
        <w:rPr>
          <w:color w:val="231F20"/>
        </w:rPr>
        <w:t>meegerekend;</w:t>
      </w:r>
    </w:p>
    <w:p>
      <w:pPr>
        <w:pStyle w:val="BodyText"/>
        <w:spacing w:line="218" w:lineRule="auto" w:before="93"/>
      </w:pP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before="82"/>
        <w:ind w:left="283" w:right="0" w:firstLine="0"/>
        <w:jc w:val="left"/>
      </w:pPr>
      <w:r>
        <w:rPr>
          <w:color w:val="231F20"/>
        </w:rPr>
        <w:t>§ 2. Artikel 7:179 is niet van toepassing.</w:t>
      </w:r>
    </w:p>
    <w:p>
      <w:pPr>
        <w:pStyle w:val="BodyText"/>
        <w:spacing w:line="218" w:lineRule="auto" w:before="93"/>
      </w:pPr>
      <w:r>
        <w:rPr>
          <w:color w:val="231F20"/>
        </w:rPr>
        <w:t>§ 3. Indien er verschillende soorten van aandelen of effecten bestaan die het in de statuten vastgestelde kapitaal al of niet vertegenwoordi- gen en de splitsing aanleiding geeft tot wijziging van hun respectieve rechten,</w:t>
      </w:r>
      <w:r>
        <w:rPr>
          <w:color w:val="231F20"/>
          <w:spacing w:val="-8"/>
        </w:rPr>
        <w:t> </w:t>
      </w:r>
      <w:r>
        <w:rPr>
          <w:color w:val="231F20"/>
        </w:rPr>
        <w:t>is</w:t>
      </w:r>
      <w:r>
        <w:rPr>
          <w:color w:val="231F20"/>
          <w:spacing w:val="-8"/>
        </w:rPr>
        <w:t> </w:t>
      </w:r>
      <w:r>
        <w:rPr>
          <w:color w:val="231F20"/>
        </w:rPr>
        <w:t>artikel</w:t>
      </w:r>
      <w:r>
        <w:rPr>
          <w:color w:val="231F20"/>
          <w:spacing w:val="-8"/>
        </w:rPr>
        <w:t> </w:t>
      </w:r>
      <w:r>
        <w:rPr>
          <w:color w:val="231F20"/>
        </w:rPr>
        <w:t>5:102,</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artikel</w:t>
      </w:r>
      <w:r>
        <w:rPr>
          <w:color w:val="231F20"/>
          <w:spacing w:val="-8"/>
        </w:rPr>
        <w:t> </w:t>
      </w:r>
      <w:r>
        <w:rPr>
          <w:color w:val="231F20"/>
        </w:rPr>
        <w:t>6:87,</w:t>
      </w:r>
      <w:r>
        <w:rPr>
          <w:color w:val="231F20"/>
          <w:spacing w:val="-8"/>
        </w:rPr>
        <w:t> </w:t>
      </w:r>
      <w:r>
        <w:rPr>
          <w:color w:val="231F20"/>
        </w:rPr>
        <w:t>derde</w:t>
      </w:r>
      <w:r>
        <w:rPr>
          <w:color w:val="231F20"/>
          <w:spacing w:val="-8"/>
        </w:rPr>
        <w:t> </w:t>
      </w:r>
      <w:r>
        <w:rPr>
          <w:color w:val="231F20"/>
        </w:rPr>
        <w:t>lid,</w:t>
      </w:r>
      <w:r>
        <w:rPr>
          <w:color w:val="231F20"/>
          <w:spacing w:val="-8"/>
        </w:rPr>
        <w:t> </w:t>
      </w:r>
      <w:r>
        <w:rPr>
          <w:color w:val="231F20"/>
        </w:rPr>
        <w:t>of</w:t>
      </w:r>
      <w:r>
        <w:rPr>
          <w:color w:val="231F20"/>
          <w:spacing w:val="-7"/>
        </w:rPr>
        <w:t> </w:t>
      </w:r>
      <w:r>
        <w:rPr>
          <w:color w:val="231F20"/>
        </w:rPr>
        <w:t>artikel</w:t>
      </w:r>
      <w:r>
        <w:rPr>
          <w:color w:val="231F20"/>
          <w:spacing w:val="-8"/>
        </w:rPr>
        <w:t> </w:t>
      </w:r>
      <w:r>
        <w:rPr>
          <w:color w:val="231F20"/>
        </w:rPr>
        <w:t>7:155, derde lid, van overeenkomstige</w:t>
      </w:r>
      <w:r>
        <w:rPr>
          <w:color w:val="231F20"/>
          <w:spacing w:val="22"/>
        </w:rPr>
        <w:t> </w:t>
      </w:r>
      <w:r>
        <w:rPr>
          <w:color w:val="231F20"/>
        </w:rPr>
        <w:t>toepassing.</w:t>
      </w:r>
    </w:p>
    <w:p>
      <w:pPr>
        <w:pStyle w:val="BodyText"/>
        <w:spacing w:line="338" w:lineRule="auto" w:before="82"/>
        <w:ind w:left="283" w:right="183" w:firstLine="0"/>
        <w:jc w:val="left"/>
      </w:pPr>
      <w:r>
        <w:rPr>
          <w:color w:val="231F20"/>
        </w:rPr>
        <w:t>§ 4. De instemming van alle vennoten of aandeelhouders is vereist: 1°</w:t>
      </w:r>
      <w:r>
        <w:rPr>
          <w:color w:val="231F20"/>
          <w:spacing w:val="15"/>
        </w:rPr>
        <w:t> </w:t>
      </w:r>
      <w:r>
        <w:rPr>
          <w:color w:val="231F20"/>
        </w:rPr>
        <w:t>in</w:t>
      </w:r>
      <w:r>
        <w:rPr>
          <w:color w:val="231F20"/>
          <w:spacing w:val="15"/>
        </w:rPr>
        <w:t> </w:t>
      </w:r>
      <w:r>
        <w:rPr>
          <w:color w:val="231F20"/>
        </w:rPr>
        <w:t>de</w:t>
      </w:r>
      <w:r>
        <w:rPr>
          <w:color w:val="231F20"/>
          <w:spacing w:val="16"/>
        </w:rPr>
        <w:t> </w:t>
      </w:r>
      <w:r>
        <w:rPr>
          <w:color w:val="231F20"/>
        </w:rPr>
        <w:t>vennootschappen</w:t>
      </w:r>
      <w:r>
        <w:rPr>
          <w:color w:val="231F20"/>
          <w:spacing w:val="15"/>
        </w:rPr>
        <w:t> </w:t>
      </w:r>
      <w:r>
        <w:rPr>
          <w:color w:val="231F20"/>
        </w:rPr>
        <w:t>onder</w:t>
      </w:r>
      <w:r>
        <w:rPr>
          <w:color w:val="231F20"/>
          <w:spacing w:val="16"/>
        </w:rPr>
        <w:t> </w:t>
      </w:r>
      <w:r>
        <w:rPr>
          <w:color w:val="231F20"/>
        </w:rPr>
        <w:t>firma;</w:t>
      </w:r>
    </w:p>
    <w:p>
      <w:pPr>
        <w:pStyle w:val="BodyText"/>
        <w:spacing w:line="218" w:lineRule="auto" w:before="13"/>
      </w:pPr>
      <w:r>
        <w:rPr>
          <w:color w:val="231F20"/>
        </w:rPr>
        <w:t>2° in de te splitsen vennootschap wanneer ten minste een van de nieuwe vennootschappen de rechtsvorm heeft aangenomen van:</w:t>
      </w:r>
    </w:p>
    <w:p>
      <w:pPr>
        <w:pStyle w:val="ListParagraph"/>
        <w:numPr>
          <w:ilvl w:val="0"/>
          <w:numId w:val="138"/>
        </w:numPr>
        <w:tabs>
          <w:tab w:pos="473" w:val="left" w:leader="none"/>
        </w:tabs>
        <w:spacing w:line="240" w:lineRule="auto" w:before="80"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38"/>
        </w:numPr>
        <w:tabs>
          <w:tab w:pos="477" w:val="left" w:leader="none"/>
        </w:tabs>
        <w:spacing w:line="240" w:lineRule="auto" w:before="75"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pStyle w:val="BodyText"/>
        <w:spacing w:line="218" w:lineRule="auto" w:before="93"/>
      </w:pP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96"/>
      </w:pPr>
      <w:r>
        <w:rPr>
          <w:color w:val="231F20"/>
        </w:rPr>
        <w:t>§ 5. In de commanditaire vennootschap is bovendien de instemming van alle gecommanditeerde vennoten vereist.</w:t>
      </w:r>
    </w:p>
    <w:p>
      <w:pPr>
        <w:pStyle w:val="BodyText"/>
        <w:spacing w:line="218" w:lineRule="auto" w:before="96"/>
      </w:pPr>
      <w:r>
        <w:rPr>
          <w:color w:val="231F20"/>
        </w:rPr>
        <w:t>§ 6. Wanneer het splitsingsvoorstel bepaalt dat de verdeling, over de vennoten of aandeelhouders van de te splitsen vennootschap, van de aandelen van de nieuwe vennootschappen niet naar evenredigheid met hun rechten op het kapitaal van de te splitsen vennootschap zal gebeuren, of, als de vennootschap geen kapitaal heeft, hun aandeel in het eigen vermogen, wordt het besluit van de te splitsen vennootschap over de deelneming aan de splitsing door de algemene vergadering eenparig genomen.</w:t>
      </w:r>
    </w:p>
    <w:p>
      <w:pPr>
        <w:pStyle w:val="BodyText"/>
        <w:spacing w:line="218" w:lineRule="auto" w:before="97"/>
      </w:pPr>
      <w:r>
        <w:rPr>
          <w:color w:val="231F20"/>
        </w:rPr>
        <w:t>Art. 12:84. In elke vennootschap die aan de splitsing deelneemt, worden de notulen van de algemene vergadering waarin tot de  splitsing wordt besloten op straffe van nietigheid opgesteld bij authentieke</w:t>
      </w:r>
      <w:r>
        <w:rPr>
          <w:color w:val="231F20"/>
          <w:spacing w:val="14"/>
        </w:rPr>
        <w:t> </w:t>
      </w:r>
      <w:r>
        <w:rPr>
          <w:color w:val="231F20"/>
        </w:rPr>
        <w:t>akte.</w:t>
      </w:r>
    </w:p>
    <w:p>
      <w:pPr>
        <w:pStyle w:val="BodyText"/>
        <w:spacing w:line="218" w:lineRule="auto" w:before="96"/>
      </w:pPr>
      <w:r>
        <w:rPr>
          <w:color w:val="231F20"/>
        </w:rPr>
        <w:t>In de akte worden, in voorkomend geval, de conclusies opgenomen van het in artikel 12:78 bedoelde verslag.</w:t>
      </w:r>
    </w:p>
    <w:p>
      <w:pPr>
        <w:pStyle w:val="BodyText"/>
        <w:spacing w:line="218" w:lineRule="auto" w:before="96"/>
      </w:pPr>
      <w:r>
        <w:rPr>
          <w:color w:val="231F20"/>
        </w:rPr>
        <w:t>De notaris moet na onderzoek het bestaan en zowel de interne als de externe wettigheid bevestigen van de rechtshandelingen en formalitei- ten waartoe de vennootschap waarvoor hij optreedt, is gehouden.</w:t>
      </w:r>
    </w:p>
    <w:p>
      <w:pPr>
        <w:pStyle w:val="BodyText"/>
        <w:spacing w:line="218" w:lineRule="auto" w:before="97"/>
      </w:pPr>
      <w:r>
        <w:rPr>
          <w:color w:val="231F20"/>
        </w:rPr>
        <w:t>Art. 12:85. Onmiddellijk na het besluit tot splitsing moeten het ontwerp van oprichtingsakte en de statuten van elke nieuwe vennoot- schap goedgekeurd worden door de algemene vergadering van de gesplitste vennootschap, en dit volgens dezelfde regels van aanwezig- heid en meerderheid als diegene die voor een besluit tot splitsing zijn vereist. Bij gebrek daaraan blijft het besluit tot splitsing zonder gevolg.</w:t>
      </w:r>
    </w:p>
    <w:p>
      <w:pPr>
        <w:pStyle w:val="BodyText"/>
        <w:spacing w:line="218" w:lineRule="auto" w:before="96"/>
      </w:pPr>
      <w:r>
        <w:rPr>
          <w:color w:val="231F20"/>
        </w:rPr>
        <w:t>Art. 12:86. De splitsing is voltrokken zodra de nieuwe vennootschap- pen zijn opgericht.</w:t>
      </w:r>
    </w:p>
    <w:p>
      <w:pPr>
        <w:pStyle w:val="BodyText"/>
        <w:spacing w:line="218" w:lineRule="auto" w:before="96"/>
        <w:ind w:right="123"/>
      </w:pPr>
      <w:r>
        <w:rPr>
          <w:color w:val="231F20"/>
        </w:rPr>
        <w:t>Art. 12:87. § 1. Met inachtneming van de in paragraaf 2 bepaalde regels, wordt de akte tot vaststelling van het door de algemene vergadering van de gesplitste vennootschap genomen besluit tot splitsing neergelegd en bij uittreksel bekendgemaakt, overeenkomstig de artikelen 2:8 en 2:14, 1°, en zijn de artikelen 2:7, 2:8, 2:12, § 1, eerste lid, en 2:13 van toepassing op de oprichtingsakte van iedere nieuwe vennootschap.</w:t>
      </w:r>
    </w:p>
    <w:p>
      <w:pPr>
        <w:pStyle w:val="BodyText"/>
        <w:spacing w:line="218" w:lineRule="auto" w:before="97"/>
        <w:ind w:right="123"/>
      </w:pPr>
      <w:r>
        <w:rPr>
          <w:color w:val="231F20"/>
        </w:rPr>
        <w:t>§ 2. De akte en de uittreksels, bedoeld in paragraaf 1, worden gelijktijdig bekendgemaakt binnen tien dagen na de neerlegging van de akte tot vaststelling van het door de algemene vergadering van de gesplitste vennootschap genomen besluit tot splitsing.</w:t>
      </w:r>
    </w:p>
    <w:p>
      <w:pPr>
        <w:pStyle w:val="BodyText"/>
        <w:spacing w:line="218" w:lineRule="auto" w:before="96"/>
      </w:pPr>
      <w:r>
        <w:rPr>
          <w:color w:val="231F20"/>
        </w:rPr>
        <w:t>Iedere nieuwe vennootschap kan zelf de formaliteiten inzake open- baarmaking betreffende de gesplitste vennootschap verrichten.</w:t>
      </w:r>
    </w:p>
    <w:p>
      <w:pPr>
        <w:spacing w:after="0" w:line="218" w:lineRule="auto"/>
        <w:sectPr>
          <w:pgSz w:w="11940" w:h="16880"/>
          <w:pgMar w:header="666" w:footer="0" w:top="1140" w:bottom="280" w:left="340" w:right="360"/>
          <w:cols w:num="2" w:equalWidth="0">
            <w:col w:w="5563" w:space="65"/>
            <w:col w:w="5612"/>
          </w:cols>
        </w:sectPr>
      </w:pPr>
    </w:p>
    <w:p>
      <w:pPr>
        <w:pStyle w:val="BodyText"/>
        <w:spacing w:line="218" w:lineRule="auto" w:before="104"/>
        <w:ind w:right="38"/>
      </w:pPr>
      <w:r>
        <w:rPr/>
        <w:pict>
          <v:line style="position:absolute;mso-position-horizontal-relative:page;mso-position-vertical-relative:page;z-index:6976" from="298.170502pt,64.473pt" to="298.170502pt,812.819pt" stroked="true" strokeweight=".533pt" strokecolor="#231f20">
            <v:stroke dashstyle="solid"/>
            <w10:wrap type="none"/>
          </v:line>
        </w:pict>
      </w:r>
      <w:bookmarkStart w:name="_bookmark248" w:id="254"/>
      <w:bookmarkEnd w:id="254"/>
      <w:r>
        <w:rPr/>
      </w:r>
      <w:r>
        <w:rPr>
          <w:color w:val="231F20"/>
        </w:rPr>
        <w:t>Art. 12:88. § 1</w:t>
      </w:r>
      <w:r>
        <w:rPr>
          <w:color w:val="231F20"/>
          <w:position w:val="7"/>
          <w:sz w:val="11"/>
        </w:rPr>
        <w:t>er</w:t>
      </w:r>
      <w:r>
        <w:rPr>
          <w:color w:val="231F20"/>
        </w:rPr>
        <w:t>. A moins qu’il en ait été décidé autrement par les sociétés intéressées, les actions ou parts émises par une nouvelle</w:t>
      </w:r>
      <w:r>
        <w:rPr>
          <w:color w:val="231F20"/>
          <w:spacing w:val="-14"/>
        </w:rPr>
        <w:t> </w:t>
      </w:r>
      <w:r>
        <w:rPr>
          <w:color w:val="231F20"/>
        </w:rPr>
        <w:t>société en contrepartie de la part de patrimoine de la société scindée qui lui revient, sont réparties entre les associés ou actionnaires de la société scindée à la diligence et sous la responsabilité de leurs organes d’administration</w:t>
      </w:r>
      <w:r>
        <w:rPr>
          <w:color w:val="231F20"/>
          <w:spacing w:val="15"/>
        </w:rPr>
        <w:t> </w:t>
      </w:r>
      <w:r>
        <w:rPr>
          <w:color w:val="231F20"/>
        </w:rPr>
        <w:t>au</w:t>
      </w:r>
      <w:r>
        <w:rPr>
          <w:color w:val="231F20"/>
          <w:spacing w:val="15"/>
        </w:rPr>
        <w:t> </w:t>
      </w:r>
      <w:r>
        <w:rPr>
          <w:color w:val="231F20"/>
        </w:rPr>
        <w:t>moment</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scission.</w:t>
      </w:r>
    </w:p>
    <w:p>
      <w:pPr>
        <w:pStyle w:val="BodyText"/>
        <w:spacing w:line="218" w:lineRule="auto" w:before="97"/>
        <w:ind w:right="38"/>
      </w:pPr>
      <w:r>
        <w:rPr>
          <w:color w:val="231F20"/>
        </w:rPr>
        <w:t>S’il y a lieu, ces organes assurent la mise à jour des registres des actions ou parts nominatives ou d’autres registres.</w:t>
      </w:r>
    </w:p>
    <w:p>
      <w:pPr>
        <w:pStyle w:val="BodyText"/>
        <w:spacing w:line="218" w:lineRule="auto" w:before="96"/>
        <w:ind w:right="38"/>
      </w:pPr>
      <w:r>
        <w:rPr>
          <w:color w:val="231F20"/>
        </w:rPr>
        <w:t>Les frais de ces opérations sont supportés par les nouvelles sociétés, chacune pour leur part.</w:t>
      </w:r>
    </w:p>
    <w:p>
      <w:pPr>
        <w:pStyle w:val="BodyText"/>
        <w:spacing w:line="218" w:lineRule="auto" w:before="96"/>
        <w:ind w:right="38"/>
      </w:pPr>
      <w:r>
        <w:rPr>
          <w:color w:val="231F20"/>
        </w:rPr>
        <w:t>§ 2. Aucune action ou part d’une nouvelle société ne peut être attribuée en échange d’actions ou parts de la société scindée détenues par la société scindée elle-même ou par un intermédiaire.</w:t>
      </w:r>
    </w:p>
    <w:p>
      <w:pPr>
        <w:pStyle w:val="BodyText"/>
        <w:spacing w:before="11"/>
        <w:ind w:left="0" w:right="0" w:firstLine="0"/>
        <w:jc w:val="left"/>
        <w:rPr>
          <w:sz w:val="23"/>
        </w:rPr>
      </w:pPr>
    </w:p>
    <w:p>
      <w:pPr>
        <w:pStyle w:val="BodyText"/>
        <w:spacing w:line="218" w:lineRule="auto"/>
        <w:ind w:right="38"/>
      </w:pPr>
      <w:r>
        <w:rPr>
          <w:color w:val="231F20"/>
        </w:rPr>
        <w:t>Art. 12:89. Les comptes annuels de la société scindée pour la période comprise entre la date de clôture du dernier exercice social dont les comptes ont été approuvés et la date visée à l’article 12:75, alinéa 2, 5°, sont établis par l’organe d’administration de cette société, conformé- ment aux dispositions du présent code qui lui sont applicables. Le cas échéant, l’organe d’administration de cette société rédige également un rapport de gestion relatif à cette période, conformément aux disposi- tions du présent code qui lui sont applicables. Si un commissaire a été désigné dans la société scindée, celui-ci rédige également un rapport concernant son contrôle sur cette période, conformément aux disposi- tions du présent code applicables à la société scindée.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38"/>
      </w:pPr>
      <w:r>
        <w:rPr>
          <w:color w:val="231F20"/>
        </w:rPr>
        <w:t>Si la scission a été réalisée avant la date d’approbation des comptes annuels, l’assemblée générale de chaque nouvelle société approuve les comptes annuels conformément aux règles applicables à cette dernière pour les comptes annuels et se prononce sur la décharge des organes d’administration et de contrôle de la société scindée, sous réserve de l’article 12:18.</w:t>
      </w:r>
    </w:p>
    <w:p>
      <w:pPr>
        <w:pStyle w:val="BodyText"/>
        <w:spacing w:line="218" w:lineRule="auto" w:before="93"/>
        <w:ind w:right="38"/>
      </w:pPr>
      <w:r>
        <w:rPr>
          <w:color w:val="231F20"/>
        </w:rPr>
        <w:t>Art. 12:90. § 1</w:t>
      </w:r>
      <w:r>
        <w:rPr>
          <w:color w:val="231F20"/>
          <w:position w:val="7"/>
          <w:sz w:val="11"/>
        </w:rPr>
        <w:t>er</w:t>
      </w:r>
      <w:r>
        <w:rPr>
          <w:color w:val="231F20"/>
        </w:rPr>
        <w:t>. La scission par constitution de nouvelles sociétés peut également être appliquée si une ou plusieurs des sociétés participant à la scission sont régies par un droit étranger, à condition que:</w:t>
      </w:r>
    </w:p>
    <w:p>
      <w:pPr>
        <w:pStyle w:val="BodyText"/>
        <w:spacing w:line="218" w:lineRule="auto" w:before="106"/>
        <w:ind w:right="38"/>
      </w:pPr>
      <w:r>
        <w:rPr>
          <w:color w:val="231F20"/>
        </w:rPr>
        <w:t>1° le droit étranger reconnaisse la validité et les effets juridiques d’une scission transfrontalière par constitution de nouvelles sociétés avec</w:t>
      </w:r>
      <w:r>
        <w:rPr>
          <w:color w:val="231F20"/>
          <w:spacing w:val="15"/>
        </w:rPr>
        <w:t> </w:t>
      </w:r>
      <w:r>
        <w:rPr>
          <w:color w:val="231F20"/>
        </w:rPr>
        <w:t>une</w:t>
      </w:r>
      <w:r>
        <w:rPr>
          <w:color w:val="231F20"/>
          <w:spacing w:val="15"/>
        </w:rPr>
        <w:t> </w:t>
      </w:r>
      <w:r>
        <w:rPr>
          <w:color w:val="231F20"/>
        </w:rPr>
        <w:t>société</w:t>
      </w:r>
      <w:r>
        <w:rPr>
          <w:color w:val="231F20"/>
          <w:spacing w:val="15"/>
        </w:rPr>
        <w:t> </w:t>
      </w:r>
      <w:r>
        <w:rPr>
          <w:color w:val="231F20"/>
        </w:rPr>
        <w:t>régie</w:t>
      </w:r>
      <w:r>
        <w:rPr>
          <w:color w:val="231F20"/>
          <w:spacing w:val="15"/>
        </w:rPr>
        <w:t> </w:t>
      </w:r>
      <w:r>
        <w:rPr>
          <w:color w:val="231F20"/>
        </w:rPr>
        <w:t>par</w:t>
      </w:r>
      <w:r>
        <w:rPr>
          <w:color w:val="231F20"/>
          <w:spacing w:val="15"/>
        </w:rPr>
        <w:t> </w:t>
      </w:r>
      <w:r>
        <w:rPr>
          <w:color w:val="231F20"/>
        </w:rPr>
        <w:t>le</w:t>
      </w:r>
      <w:r>
        <w:rPr>
          <w:color w:val="231F20"/>
          <w:spacing w:val="15"/>
        </w:rPr>
        <w:t> </w:t>
      </w:r>
      <w:r>
        <w:rPr>
          <w:color w:val="231F20"/>
        </w:rPr>
        <w:t>droit</w:t>
      </w:r>
      <w:r>
        <w:rPr>
          <w:color w:val="231F20"/>
          <w:spacing w:val="15"/>
        </w:rPr>
        <w:t> </w:t>
      </w:r>
      <w:r>
        <w:rPr>
          <w:color w:val="231F20"/>
        </w:rPr>
        <w:t>belge;</w:t>
      </w:r>
      <w:r>
        <w:rPr>
          <w:color w:val="231F20"/>
          <w:spacing w:val="16"/>
        </w:rPr>
        <w:t> </w:t>
      </w:r>
      <w:r>
        <w:rPr>
          <w:color w:val="231F20"/>
        </w:rPr>
        <w:t>et</w:t>
      </w:r>
    </w:p>
    <w:p>
      <w:pPr>
        <w:pStyle w:val="BodyText"/>
        <w:spacing w:before="10"/>
        <w:ind w:left="0" w:right="0" w:firstLine="0"/>
        <w:jc w:val="left"/>
        <w:rPr>
          <w:sz w:val="24"/>
        </w:rPr>
      </w:pPr>
    </w:p>
    <w:p>
      <w:pPr>
        <w:pStyle w:val="BodyText"/>
        <w:spacing w:line="218" w:lineRule="auto"/>
        <w:ind w:right="38"/>
      </w:pPr>
      <w:r>
        <w:rPr>
          <w:color w:val="231F20"/>
        </w:rPr>
        <w:t>2° que toute société participant à la scission par constitution de nouvelles sociétés satisfasse aux dispositions et formalités de sa législation nationale qui lui sont applicables ainsi qu’à ses titulaires de titres,</w:t>
      </w:r>
      <w:r>
        <w:rPr>
          <w:color w:val="231F20"/>
          <w:spacing w:val="-5"/>
        </w:rPr>
        <w:t> </w:t>
      </w:r>
      <w:r>
        <w:rPr>
          <w:color w:val="231F20"/>
        </w:rPr>
        <w:t>organes</w:t>
      </w:r>
      <w:r>
        <w:rPr>
          <w:color w:val="231F20"/>
          <w:spacing w:val="-5"/>
        </w:rPr>
        <w:t> </w:t>
      </w:r>
      <w:r>
        <w:rPr>
          <w:color w:val="231F20"/>
        </w:rPr>
        <w:t>d’administration</w:t>
      </w:r>
      <w:r>
        <w:rPr>
          <w:color w:val="231F20"/>
          <w:spacing w:val="-5"/>
        </w:rPr>
        <w:t> </w:t>
      </w:r>
      <w:r>
        <w:rPr>
          <w:color w:val="231F20"/>
        </w:rPr>
        <w:t>et</w:t>
      </w:r>
      <w:r>
        <w:rPr>
          <w:color w:val="231F20"/>
          <w:spacing w:val="-5"/>
        </w:rPr>
        <w:t> </w:t>
      </w:r>
      <w:r>
        <w:rPr>
          <w:color w:val="231F20"/>
        </w:rPr>
        <w:t>de</w:t>
      </w:r>
      <w:r>
        <w:rPr>
          <w:color w:val="231F20"/>
          <w:spacing w:val="-5"/>
        </w:rPr>
        <w:t> </w:t>
      </w:r>
      <w:r>
        <w:rPr>
          <w:color w:val="231F20"/>
        </w:rPr>
        <w:t>contrôle,</w:t>
      </w:r>
      <w:r>
        <w:rPr>
          <w:color w:val="231F20"/>
          <w:spacing w:val="-4"/>
        </w:rPr>
        <w:t> </w:t>
      </w:r>
      <w:r>
        <w:rPr>
          <w:color w:val="231F20"/>
        </w:rPr>
        <w:t>travailleurs</w:t>
      </w:r>
      <w:r>
        <w:rPr>
          <w:color w:val="231F20"/>
          <w:spacing w:val="-5"/>
        </w:rPr>
        <w:t> </w:t>
      </w:r>
      <w:r>
        <w:rPr>
          <w:color w:val="231F20"/>
        </w:rPr>
        <w:t>et</w:t>
      </w:r>
      <w:r>
        <w:rPr>
          <w:color w:val="231F20"/>
          <w:spacing w:val="-5"/>
        </w:rPr>
        <w:t> </w:t>
      </w:r>
      <w:r>
        <w:rPr>
          <w:color w:val="231F20"/>
        </w:rPr>
        <w:t>créanciers.</w:t>
      </w:r>
    </w:p>
    <w:p>
      <w:pPr>
        <w:pStyle w:val="BodyText"/>
        <w:spacing w:before="10"/>
        <w:ind w:left="0" w:right="0" w:firstLine="0"/>
        <w:jc w:val="left"/>
        <w:rPr>
          <w:sz w:val="24"/>
        </w:rPr>
      </w:pPr>
    </w:p>
    <w:p>
      <w:pPr>
        <w:pStyle w:val="BodyText"/>
        <w:spacing w:line="218" w:lineRule="auto"/>
        <w:ind w:right="38"/>
      </w:pPr>
      <w:r>
        <w:rPr>
          <w:color w:val="231F20"/>
        </w:rPr>
        <w:t>§ 2. Le consentement à la scission d’un associé d’une société belge dont la responsabilité est ou sera illimitée pour les dettes d’une société participant à la scission est toujours requis.</w:t>
      </w:r>
    </w:p>
    <w:p>
      <w:pPr>
        <w:pStyle w:val="BodyText"/>
        <w:spacing w:before="10"/>
        <w:ind w:left="0" w:right="0" w:firstLine="0"/>
        <w:jc w:val="left"/>
        <w:rPr>
          <w:sz w:val="24"/>
        </w:rPr>
      </w:pPr>
    </w:p>
    <w:p>
      <w:pPr>
        <w:pStyle w:val="BodyText"/>
        <w:spacing w:line="218" w:lineRule="auto"/>
        <w:ind w:right="38"/>
      </w:pPr>
      <w:r>
        <w:rPr>
          <w:color w:val="231F20"/>
        </w:rPr>
        <w:t>§ 3. Si la société scindée est régie par le droit belge, le notaire instrumentant délivre à la demande de la société scindée un certificat attestant de façon incontestable l’accomplissement correct des actes et formalités préalables à la scission, conformément au droit applicable à cette société. Le notaire instrumentant ne délivre pas ce certificat aussi longtemps que les créanciers exigeant une sûreté conformément à l’article 12:15 n’auront pas obtenu satisfaction, à moins qu’une décision judiciaire exécutoire n’ait rejeté leurs prétentions. Le nom et la résidence du notaire instrumentant devant qui l’acte de scission sera passé</w:t>
      </w:r>
      <w:r>
        <w:rPr>
          <w:color w:val="231F20"/>
          <w:spacing w:val="-4"/>
        </w:rPr>
        <w:t> </w:t>
      </w:r>
      <w:r>
        <w:rPr>
          <w:color w:val="231F20"/>
        </w:rPr>
        <w:t>doivent</w:t>
      </w:r>
      <w:r>
        <w:rPr>
          <w:color w:val="231F20"/>
          <w:spacing w:val="-3"/>
        </w:rPr>
        <w:t> </w:t>
      </w:r>
      <w:r>
        <w:rPr>
          <w:color w:val="231F20"/>
        </w:rPr>
        <w:t>être</w:t>
      </w:r>
      <w:r>
        <w:rPr>
          <w:color w:val="231F20"/>
          <w:spacing w:val="-3"/>
        </w:rPr>
        <w:t> </w:t>
      </w:r>
      <w:r>
        <w:rPr>
          <w:color w:val="231F20"/>
        </w:rPr>
        <w:t>mentionnés</w:t>
      </w:r>
      <w:r>
        <w:rPr>
          <w:color w:val="231F20"/>
          <w:spacing w:val="-3"/>
        </w:rPr>
        <w:t> </w:t>
      </w:r>
      <w:r>
        <w:rPr>
          <w:color w:val="231F20"/>
        </w:rPr>
        <w:t>dans</w:t>
      </w:r>
      <w:r>
        <w:rPr>
          <w:color w:val="231F20"/>
          <w:spacing w:val="-3"/>
        </w:rPr>
        <w:t> </w:t>
      </w:r>
      <w:r>
        <w:rPr>
          <w:color w:val="231F20"/>
        </w:rPr>
        <w:t>le</w:t>
      </w:r>
      <w:r>
        <w:rPr>
          <w:color w:val="231F20"/>
          <w:spacing w:val="-3"/>
        </w:rPr>
        <w:t> </w:t>
      </w:r>
      <w:r>
        <w:rPr>
          <w:color w:val="231F20"/>
        </w:rPr>
        <w:t>projet</w:t>
      </w:r>
      <w:r>
        <w:rPr>
          <w:color w:val="231F20"/>
          <w:spacing w:val="-3"/>
        </w:rPr>
        <w:t> </w:t>
      </w:r>
      <w:r>
        <w:rPr>
          <w:color w:val="231F20"/>
        </w:rPr>
        <w:t>de</w:t>
      </w:r>
      <w:r>
        <w:rPr>
          <w:color w:val="231F20"/>
          <w:spacing w:val="-3"/>
        </w:rPr>
        <w:t> </w:t>
      </w:r>
      <w:r>
        <w:rPr>
          <w:color w:val="231F20"/>
        </w:rPr>
        <w:t>scission.</w:t>
      </w:r>
      <w:r>
        <w:rPr>
          <w:color w:val="231F20"/>
          <w:spacing w:val="-3"/>
        </w:rPr>
        <w:t> </w:t>
      </w:r>
      <w:r>
        <w:rPr>
          <w:color w:val="231F20"/>
        </w:rPr>
        <w:t>Par</w:t>
      </w:r>
      <w:r>
        <w:rPr>
          <w:color w:val="231F20"/>
          <w:spacing w:val="-3"/>
        </w:rPr>
        <w:t> </w:t>
      </w:r>
      <w:r>
        <w:rPr>
          <w:color w:val="231F20"/>
        </w:rPr>
        <w:t>dérogation à</w:t>
      </w:r>
      <w:r>
        <w:rPr>
          <w:color w:val="231F20"/>
          <w:spacing w:val="-5"/>
        </w:rPr>
        <w:t> </w:t>
      </w:r>
      <w:r>
        <w:rPr>
          <w:color w:val="231F20"/>
        </w:rPr>
        <w:t>l’article</w:t>
      </w:r>
      <w:r>
        <w:rPr>
          <w:color w:val="231F20"/>
          <w:spacing w:val="-5"/>
        </w:rPr>
        <w:t> </w:t>
      </w:r>
      <w:r>
        <w:rPr>
          <w:color w:val="231F20"/>
        </w:rPr>
        <w:t>12:15,</w:t>
      </w:r>
      <w:r>
        <w:rPr>
          <w:color w:val="231F20"/>
          <w:spacing w:val="-5"/>
        </w:rPr>
        <w:t> </w:t>
      </w:r>
      <w:r>
        <w:rPr>
          <w:color w:val="231F20"/>
        </w:rPr>
        <w:t>le</w:t>
      </w:r>
      <w:r>
        <w:rPr>
          <w:color w:val="231F20"/>
          <w:spacing w:val="-5"/>
        </w:rPr>
        <w:t> </w:t>
      </w:r>
      <w:r>
        <w:rPr>
          <w:color w:val="231F20"/>
        </w:rPr>
        <w:t>créancier</w:t>
      </w:r>
      <w:r>
        <w:rPr>
          <w:color w:val="231F20"/>
          <w:spacing w:val="-4"/>
        </w:rPr>
        <w:t> </w:t>
      </w:r>
      <w:r>
        <w:rPr>
          <w:color w:val="231F20"/>
        </w:rPr>
        <w:t>adresse</w:t>
      </w:r>
      <w:r>
        <w:rPr>
          <w:color w:val="231F20"/>
          <w:spacing w:val="-5"/>
        </w:rPr>
        <w:t> </w:t>
      </w:r>
      <w:r>
        <w:rPr>
          <w:color w:val="231F20"/>
        </w:rPr>
        <w:t>en</w:t>
      </w:r>
      <w:r>
        <w:rPr>
          <w:color w:val="231F20"/>
          <w:spacing w:val="-5"/>
        </w:rPr>
        <w:t> </w:t>
      </w:r>
      <w:r>
        <w:rPr>
          <w:color w:val="231F20"/>
        </w:rPr>
        <w:t>même</w:t>
      </w:r>
      <w:r>
        <w:rPr>
          <w:color w:val="231F20"/>
          <w:spacing w:val="-5"/>
        </w:rPr>
        <w:t> </w:t>
      </w:r>
      <w:r>
        <w:rPr>
          <w:color w:val="231F20"/>
        </w:rPr>
        <w:t>temps</w:t>
      </w:r>
      <w:r>
        <w:rPr>
          <w:color w:val="231F20"/>
          <w:spacing w:val="-5"/>
        </w:rPr>
        <w:t> </w:t>
      </w:r>
      <w:r>
        <w:rPr>
          <w:color w:val="231F20"/>
        </w:rPr>
        <w:t>une</w:t>
      </w:r>
      <w:r>
        <w:rPr>
          <w:color w:val="231F20"/>
          <w:spacing w:val="-4"/>
        </w:rPr>
        <w:t> </w:t>
      </w:r>
      <w:r>
        <w:rPr>
          <w:color w:val="231F20"/>
        </w:rPr>
        <w:t>demande</w:t>
      </w:r>
      <w:r>
        <w:rPr>
          <w:color w:val="231F20"/>
          <w:spacing w:val="-5"/>
        </w:rPr>
        <w:t> </w:t>
      </w:r>
      <w:r>
        <w:rPr>
          <w:color w:val="231F20"/>
        </w:rPr>
        <w:t>écrite à la société et au notaire instrumentant mentionné dans le projet de scission,</w:t>
      </w:r>
      <w:r>
        <w:rPr>
          <w:color w:val="231F20"/>
          <w:spacing w:val="15"/>
        </w:rPr>
        <w:t> </w:t>
      </w:r>
      <w:r>
        <w:rPr>
          <w:color w:val="231F20"/>
        </w:rPr>
        <w:t>sous</w:t>
      </w:r>
      <w:r>
        <w:rPr>
          <w:color w:val="231F20"/>
          <w:spacing w:val="15"/>
        </w:rPr>
        <w:t> </w:t>
      </w:r>
      <w:r>
        <w:rPr>
          <w:color w:val="231F20"/>
        </w:rPr>
        <w:t>peine</w:t>
      </w:r>
      <w:r>
        <w:rPr>
          <w:color w:val="231F20"/>
          <w:spacing w:val="15"/>
        </w:rPr>
        <w:t> </w:t>
      </w:r>
      <w:r>
        <w:rPr>
          <w:color w:val="231F20"/>
        </w:rPr>
        <w:t>d’irrecevabilité</w:t>
      </w:r>
      <w:r>
        <w:rPr>
          <w:color w:val="231F20"/>
          <w:spacing w:val="15"/>
        </w:rPr>
        <w:t> </w:t>
      </w:r>
      <w:r>
        <w:rPr>
          <w:color w:val="231F20"/>
        </w:rPr>
        <w:t>de</w:t>
      </w:r>
      <w:r>
        <w:rPr>
          <w:color w:val="231F20"/>
          <w:spacing w:val="15"/>
        </w:rPr>
        <w:t> </w:t>
      </w:r>
      <w:r>
        <w:rPr>
          <w:color w:val="231F20"/>
        </w:rPr>
        <w:t>sa</w:t>
      </w:r>
      <w:r>
        <w:rPr>
          <w:color w:val="231F20"/>
          <w:spacing w:val="15"/>
        </w:rPr>
        <w:t> </w:t>
      </w:r>
      <w:r>
        <w:rPr>
          <w:color w:val="231F20"/>
        </w:rPr>
        <w:t>requête.</w:t>
      </w:r>
    </w:p>
    <w:p>
      <w:pPr>
        <w:pStyle w:val="BodyText"/>
        <w:ind w:left="0" w:right="0" w:firstLine="0"/>
        <w:jc w:val="left"/>
        <w:rPr>
          <w:sz w:val="20"/>
        </w:rPr>
      </w:pPr>
    </w:p>
    <w:p>
      <w:pPr>
        <w:pStyle w:val="BodyText"/>
        <w:spacing w:before="5"/>
        <w:ind w:left="0" w:right="0" w:firstLine="0"/>
        <w:jc w:val="left"/>
        <w:rPr>
          <w:sz w:val="20"/>
        </w:rPr>
      </w:pPr>
    </w:p>
    <w:p>
      <w:pPr>
        <w:pStyle w:val="BodyText"/>
        <w:spacing w:line="218" w:lineRule="auto"/>
        <w:ind w:right="38"/>
      </w:pPr>
      <w:r>
        <w:rPr>
          <w:color w:val="231F20"/>
        </w:rPr>
        <w:t>§ 4. Si une ou plusieurs des nouvelles sociétés sont régies par le droit belge, la scission par constitution de nouvelles sociétés prend </w:t>
      </w:r>
      <w:r>
        <w:rPr>
          <w:color w:val="231F20"/>
          <w:spacing w:val="-3"/>
        </w:rPr>
        <w:t>effet </w:t>
      </w:r>
      <w:r>
        <w:rPr>
          <w:color w:val="231F20"/>
        </w:rPr>
        <w:t>à condition que les nouvelles sociétés sont constituées conformément au droit qui est leur applicable et  au  plus  tôt,  par  dérogation  à  l’arti- cle 12:86, à la date à laquelle le notaire instrumentant aura constaté la réalisation de la scission à la requête de la société scindée, sur présentation des certificats et autres documents justificatifs de l’opéra- tion. À cet effet, les instances étrangères compétentes de la ou des sociétés relevant d’un droit étranger délivrent un certificat attestant de façon incontestable l’accomplissement correct des actes et formalités préalables à la scission, ainsi qu’à la constitution si d’application, conformément</w:t>
      </w:r>
      <w:r>
        <w:rPr>
          <w:color w:val="231F20"/>
          <w:spacing w:val="14"/>
        </w:rPr>
        <w:t> </w:t>
      </w:r>
      <w:r>
        <w:rPr>
          <w:color w:val="231F20"/>
        </w:rPr>
        <w:t>au</w:t>
      </w:r>
      <w:r>
        <w:rPr>
          <w:color w:val="231F20"/>
          <w:spacing w:val="15"/>
        </w:rPr>
        <w:t> </w:t>
      </w:r>
      <w:r>
        <w:rPr>
          <w:color w:val="231F20"/>
        </w:rPr>
        <w:t>droit</w:t>
      </w:r>
      <w:r>
        <w:rPr>
          <w:color w:val="231F20"/>
          <w:spacing w:val="15"/>
        </w:rPr>
        <w:t> </w:t>
      </w:r>
      <w:r>
        <w:rPr>
          <w:color w:val="231F20"/>
        </w:rPr>
        <w:t>applicable</w:t>
      </w:r>
      <w:r>
        <w:rPr>
          <w:color w:val="231F20"/>
          <w:spacing w:val="15"/>
        </w:rPr>
        <w:t> </w:t>
      </w:r>
      <w:r>
        <w:rPr>
          <w:color w:val="231F20"/>
        </w:rPr>
        <w:t>à</w:t>
      </w:r>
      <w:r>
        <w:rPr>
          <w:color w:val="231F20"/>
          <w:spacing w:val="14"/>
        </w:rPr>
        <w:t> </w:t>
      </w:r>
      <w:r>
        <w:rPr>
          <w:color w:val="231F20"/>
        </w:rPr>
        <w:t>ces</w:t>
      </w:r>
      <w:r>
        <w:rPr>
          <w:color w:val="231F20"/>
          <w:spacing w:val="15"/>
        </w:rPr>
        <w:t> </w:t>
      </w:r>
      <w:r>
        <w:rPr>
          <w:color w:val="231F20"/>
        </w:rPr>
        <w:t>sociétés.</w:t>
      </w:r>
    </w:p>
    <w:p>
      <w:pPr>
        <w:pStyle w:val="BodyText"/>
        <w:spacing w:line="218" w:lineRule="auto" w:before="119"/>
      </w:pPr>
      <w:r>
        <w:rPr/>
        <w:br w:type="column"/>
      </w:r>
      <w:r>
        <w:rPr>
          <w:color w:val="231F20"/>
        </w:rPr>
        <w:t>Art. 12:88. § 1. </w:t>
      </w:r>
      <w:r>
        <w:rPr>
          <w:color w:val="231F20"/>
          <w:spacing w:val="-3"/>
        </w:rPr>
        <w:t>Tenzij </w:t>
      </w:r>
      <w:r>
        <w:rPr>
          <w:color w:val="231F20"/>
        </w:rPr>
        <w:t>de betrokken vennootschappen anders hebben besloten, worden de aandelen die een nieuwe vennootschap heeft uitgegeven in ruil voor haar deel van het vermogen van de gesplitste vennootschap, onder de vennoten of aandeelhouders van de gesplitste vennootschap verdeeld, door en onder de verantwoordelijkheid van hun</w:t>
      </w:r>
      <w:r>
        <w:rPr>
          <w:color w:val="231F20"/>
          <w:spacing w:val="16"/>
        </w:rPr>
        <w:t> </w:t>
      </w:r>
      <w:r>
        <w:rPr>
          <w:color w:val="231F20"/>
        </w:rPr>
        <w:t>bestuursorganen</w:t>
      </w:r>
      <w:r>
        <w:rPr>
          <w:color w:val="231F20"/>
          <w:spacing w:val="16"/>
        </w:rPr>
        <w:t> </w:t>
      </w:r>
      <w:r>
        <w:rPr>
          <w:color w:val="231F20"/>
        </w:rPr>
        <w:t>op</w:t>
      </w:r>
      <w:r>
        <w:rPr>
          <w:color w:val="231F20"/>
          <w:spacing w:val="17"/>
        </w:rPr>
        <w:t> </w:t>
      </w:r>
      <w:r>
        <w:rPr>
          <w:color w:val="231F20"/>
        </w:rPr>
        <w:t>het</w:t>
      </w:r>
      <w:r>
        <w:rPr>
          <w:color w:val="231F20"/>
          <w:spacing w:val="16"/>
        </w:rPr>
        <w:t> </w:t>
      </w:r>
      <w:r>
        <w:rPr>
          <w:color w:val="231F20"/>
        </w:rPr>
        <w:t>ogenblik</w:t>
      </w:r>
      <w:r>
        <w:rPr>
          <w:color w:val="231F20"/>
          <w:spacing w:val="17"/>
        </w:rPr>
        <w:t> </w:t>
      </w:r>
      <w:r>
        <w:rPr>
          <w:color w:val="231F20"/>
        </w:rPr>
        <w:t>van</w:t>
      </w:r>
      <w:r>
        <w:rPr>
          <w:color w:val="231F20"/>
          <w:spacing w:val="16"/>
        </w:rPr>
        <w:t> </w:t>
      </w:r>
      <w:r>
        <w:rPr>
          <w:color w:val="231F20"/>
        </w:rPr>
        <w:t>de</w:t>
      </w:r>
      <w:r>
        <w:rPr>
          <w:color w:val="231F20"/>
          <w:spacing w:val="17"/>
        </w:rPr>
        <w:t> </w:t>
      </w:r>
      <w:r>
        <w:rPr>
          <w:color w:val="231F20"/>
        </w:rPr>
        <w:t>splitsing.</w:t>
      </w:r>
    </w:p>
    <w:p>
      <w:pPr>
        <w:pStyle w:val="BodyText"/>
        <w:spacing w:line="218" w:lineRule="auto" w:before="97"/>
      </w:pPr>
      <w:r>
        <w:rPr>
          <w:color w:val="231F20"/>
        </w:rPr>
        <w:t>Deze organen zorgen zo nodig voor de bijwerking van de registers van</w:t>
      </w:r>
      <w:r>
        <w:rPr>
          <w:color w:val="231F20"/>
          <w:spacing w:val="15"/>
        </w:rPr>
        <w:t> </w:t>
      </w:r>
      <w:r>
        <w:rPr>
          <w:color w:val="231F20"/>
        </w:rPr>
        <w:t>de</w:t>
      </w:r>
      <w:r>
        <w:rPr>
          <w:color w:val="231F20"/>
          <w:spacing w:val="15"/>
        </w:rPr>
        <w:t> </w:t>
      </w:r>
      <w:r>
        <w:rPr>
          <w:color w:val="231F20"/>
        </w:rPr>
        <w:t>aandelen</w:t>
      </w:r>
      <w:r>
        <w:rPr>
          <w:color w:val="231F20"/>
          <w:spacing w:val="16"/>
        </w:rPr>
        <w:t> </w:t>
      </w:r>
      <w:r>
        <w:rPr>
          <w:color w:val="231F20"/>
        </w:rPr>
        <w:t>op</w:t>
      </w:r>
      <w:r>
        <w:rPr>
          <w:color w:val="231F20"/>
          <w:spacing w:val="15"/>
        </w:rPr>
        <w:t> </w:t>
      </w:r>
      <w:r>
        <w:rPr>
          <w:color w:val="231F20"/>
        </w:rPr>
        <w:t>naam</w:t>
      </w:r>
      <w:r>
        <w:rPr>
          <w:color w:val="231F20"/>
          <w:spacing w:val="16"/>
        </w:rPr>
        <w:t> </w:t>
      </w:r>
      <w:r>
        <w:rPr>
          <w:color w:val="231F20"/>
        </w:rPr>
        <w:t>of</w:t>
      </w:r>
      <w:r>
        <w:rPr>
          <w:color w:val="231F20"/>
          <w:spacing w:val="15"/>
        </w:rPr>
        <w:t> </w:t>
      </w:r>
      <w:r>
        <w:rPr>
          <w:color w:val="231F20"/>
        </w:rPr>
        <w:t>andere</w:t>
      </w:r>
      <w:r>
        <w:rPr>
          <w:color w:val="231F20"/>
          <w:spacing w:val="15"/>
        </w:rPr>
        <w:t> </w:t>
      </w:r>
      <w:r>
        <w:rPr>
          <w:color w:val="231F20"/>
        </w:rPr>
        <w:t>registers.</w:t>
      </w:r>
    </w:p>
    <w:p>
      <w:pPr>
        <w:pStyle w:val="BodyText"/>
        <w:spacing w:line="218" w:lineRule="auto" w:before="96"/>
      </w:pPr>
      <w:r>
        <w:rPr>
          <w:color w:val="231F20"/>
        </w:rPr>
        <w:t>De kosten van deze verrichtingen worden door de nieuwe vennoot- schappen gedragen naar evenredigheid van hun aandeel.</w:t>
      </w:r>
    </w:p>
    <w:p>
      <w:pPr>
        <w:pStyle w:val="BodyText"/>
        <w:spacing w:line="218" w:lineRule="auto" w:before="96"/>
      </w:pPr>
      <w:r>
        <w:rPr>
          <w:color w:val="231F20"/>
        </w:rPr>
        <w:t>§ 2. Er vindt geen omwisseling plaats van aandelen van een nieuwe vennootschap tegen aandelen van de gesplitste vennootschap die worden gehouden door de gesplitste vennootschap zelf of door een tussenpersoon.</w:t>
      </w:r>
    </w:p>
    <w:p>
      <w:pPr>
        <w:pStyle w:val="BodyText"/>
        <w:spacing w:line="218" w:lineRule="auto" w:before="96"/>
      </w:pPr>
      <w:r>
        <w:rPr>
          <w:color w:val="231F20"/>
        </w:rPr>
        <w:t>Art. 12:89. De jaarrekening van de gesplitste vennootschap over het tijdvak begrepen tussen de datum van jaarafsluiting van het</w:t>
      </w:r>
      <w:r>
        <w:rPr>
          <w:color w:val="231F20"/>
          <w:spacing w:val="27"/>
        </w:rPr>
        <w:t> </w:t>
      </w:r>
      <w:r>
        <w:rPr>
          <w:color w:val="231F20"/>
        </w:rPr>
        <w:t>laatste boekjaar waarvoor de rekeningen  zijn  goedgekeurd  en  de  in  arti-  kel 12:75, tweede lid, 5°, bedoelde datum, wordt door het bestuursor- gaan van die vennootschap opgemaakt overeenkomstig de bepalingen van dit wetboek die op haar toepasselijk zijn. In voorkomend geval, stelt het bestuursorgaan van die vennootschap eveneens een jaarverslag op met betrekking tot dit tijdvak overeenkomstig de bepalingen van dit wetboek die op haar toepasselijk zijn. </w:t>
      </w:r>
      <w:r>
        <w:rPr>
          <w:color w:val="231F20"/>
          <w:spacing w:val="-3"/>
        </w:rPr>
        <w:t>Wanneer </w:t>
      </w:r>
      <w:r>
        <w:rPr>
          <w:color w:val="231F20"/>
        </w:rPr>
        <w:t>er een commissaris is aangesteld in de gesplitste vennootschap, stelt deze eveneens een verslag op betreffende zijn controle over dit tijdvak overeenkomstig de bepalingen van dit wetboek die op de gesplitste vennootschap toepasselijk</w:t>
      </w:r>
      <w:r>
        <w:rPr>
          <w:color w:val="231F20"/>
          <w:spacing w:val="14"/>
        </w:rPr>
        <w:t> </w:t>
      </w:r>
      <w:r>
        <w:rPr>
          <w:color w:val="231F20"/>
        </w:rPr>
        <w:t>zijn.</w:t>
      </w:r>
    </w:p>
    <w:p>
      <w:pPr>
        <w:pStyle w:val="BodyText"/>
        <w:spacing w:line="218" w:lineRule="auto" w:before="98"/>
      </w:pPr>
      <w:r>
        <w:rPr>
          <w:color w:val="231F20"/>
        </w:rPr>
        <w:t>Indien de splitsing is voltrokken vóór de datum van goedkeuring van de jaarrekening, keurt de algemene vergadering van elke nieuwe vennootschap de jaarrekening goed overeenkomstig de regels die voor deze laatste met betrekking tot de jaarrekening gelden, en beslist zij over de kwijting aan de bestuurs- en toezichtsorganen van de gesplitste vennootschap, onverminderd artikel 12:18.</w:t>
      </w:r>
    </w:p>
    <w:p>
      <w:pPr>
        <w:pStyle w:val="BodyText"/>
        <w:spacing w:line="218" w:lineRule="auto" w:before="107"/>
      </w:pPr>
      <w:r>
        <w:rPr>
          <w:color w:val="231F20"/>
        </w:rPr>
        <w:t>Art. 12:90. § 1. De splitsing door oprichting van nieuwe vennoot- schappen kan eveneens worden toegepast wanneer één of</w:t>
      </w:r>
      <w:r>
        <w:rPr>
          <w:color w:val="231F20"/>
          <w:spacing w:val="19"/>
        </w:rPr>
        <w:t> </w:t>
      </w:r>
      <w:r>
        <w:rPr>
          <w:color w:val="231F20"/>
        </w:rPr>
        <w:t>meerdere van de vennootschappen die deelnemen aan de splitsing door een buitenlands</w:t>
      </w:r>
      <w:r>
        <w:rPr>
          <w:color w:val="231F20"/>
          <w:spacing w:val="16"/>
        </w:rPr>
        <w:t> </w:t>
      </w:r>
      <w:r>
        <w:rPr>
          <w:color w:val="231F20"/>
        </w:rPr>
        <w:t>recht</w:t>
      </w:r>
      <w:r>
        <w:rPr>
          <w:color w:val="231F20"/>
          <w:spacing w:val="16"/>
        </w:rPr>
        <w:t> </w:t>
      </w:r>
      <w:r>
        <w:rPr>
          <w:color w:val="231F20"/>
        </w:rPr>
        <w:t>worden</w:t>
      </w:r>
      <w:r>
        <w:rPr>
          <w:color w:val="231F20"/>
          <w:spacing w:val="16"/>
        </w:rPr>
        <w:t> </w:t>
      </w:r>
      <w:r>
        <w:rPr>
          <w:color w:val="231F20"/>
        </w:rPr>
        <w:t>beheerst</w:t>
      </w:r>
      <w:r>
        <w:rPr>
          <w:color w:val="231F20"/>
          <w:spacing w:val="16"/>
        </w:rPr>
        <w:t> </w:t>
      </w:r>
      <w:r>
        <w:rPr>
          <w:color w:val="231F20"/>
        </w:rPr>
        <w:t>op</w:t>
      </w:r>
      <w:r>
        <w:rPr>
          <w:color w:val="231F20"/>
          <w:spacing w:val="16"/>
        </w:rPr>
        <w:t> </w:t>
      </w:r>
      <w:r>
        <w:rPr>
          <w:color w:val="231F20"/>
        </w:rPr>
        <w:t>voorwaarde</w:t>
      </w:r>
      <w:r>
        <w:rPr>
          <w:color w:val="231F20"/>
          <w:spacing w:val="16"/>
        </w:rPr>
        <w:t> </w:t>
      </w:r>
      <w:r>
        <w:rPr>
          <w:color w:val="231F20"/>
        </w:rPr>
        <w:t>dat:</w:t>
      </w:r>
    </w:p>
    <w:p>
      <w:pPr>
        <w:pStyle w:val="BodyText"/>
        <w:spacing w:line="218" w:lineRule="auto" w:before="107"/>
      </w:pPr>
      <w:r>
        <w:rPr>
          <w:color w:val="231F20"/>
        </w:rPr>
        <w:t>1° het buitenlandse recht de geldigheid en de rechtsgevolgen erkent van een grensoverschrijdende splitsing door oprichting van nieuwe vennootschappen met een door het Belgische recht beheerste vennoot- schap; en</w:t>
      </w:r>
    </w:p>
    <w:p>
      <w:pPr>
        <w:pStyle w:val="BodyText"/>
        <w:spacing w:line="218" w:lineRule="auto" w:before="107"/>
      </w:pPr>
      <w:r>
        <w:rPr>
          <w:color w:val="231F20"/>
        </w:rPr>
        <w:t>2° iedere vennootschap die deelneemt aan de splitsing door oprich- ting van nieuwe vennootschappen voldoet aan de bepalingen en formaliteiten van haar nationale wetgeving die op haar en haar effectenhouders, bestuurs- en controleorganen, werknemers en schuld- eisers van toepassing zijn.</w:t>
      </w:r>
    </w:p>
    <w:p>
      <w:pPr>
        <w:pStyle w:val="BodyText"/>
        <w:spacing w:line="218" w:lineRule="auto" w:before="107"/>
      </w:pPr>
      <w:r>
        <w:rPr>
          <w:color w:val="231F20"/>
        </w:rPr>
        <w:t>§ 2. De instemming met de splitsing van een vennoot van een Belgische vennootschap die onbeperkt aansprakelijk is of zal worden voor de schulden van een vennootschap die deelneemt aan de splitsing, is steeds vereist.</w:t>
      </w:r>
    </w:p>
    <w:p>
      <w:pPr>
        <w:pStyle w:val="BodyText"/>
        <w:spacing w:line="218" w:lineRule="auto" w:before="106"/>
      </w:pPr>
      <w:r>
        <w:rPr>
          <w:color w:val="231F20"/>
        </w:rPr>
        <w:t>§ 3. Indien de gesplitste vennootschap door het Belgische recht wordt beheerst, levert de instrumenterende notaris op vraag van de gesplitste vennootschap een attest af waaruit afdoende blijkt dat de aan de splitsing voorafgaande handelingen en formaliteiten correct zijn ver- richt overeenkomstig het recht van toepassing op deze vennootschap. De instrumenterende notaris levert dit attest niet af zolang de schuldeisers die overeenkomstig artikel 12:15 een zekerheid eisen, geen voldoening hebben gekregen, tenzij hun aanspraken bij een uitvoerbare rechterlijke beslissing zijn afgewezen. De naam en de standplaats van de instrumenterende notaris voor wie de splitsingsakte zal worden verleden, dienen te worden vermeld in het splitsingsvoorstel. In afwijking van artikel 12:15 richt de schuldeiser tegelijkertijd een schriftelijk verzoek aan de vennootschap en de instrumenterende notaris vermeld in het splitsingsvoorstel, op straffe van niet- ontvankelijkheid van zijn</w:t>
      </w:r>
      <w:r>
        <w:rPr>
          <w:color w:val="231F20"/>
          <w:spacing w:val="6"/>
        </w:rPr>
        <w:t> </w:t>
      </w:r>
      <w:r>
        <w:rPr>
          <w:color w:val="231F20"/>
        </w:rPr>
        <w:t>verzoek.</w:t>
      </w:r>
    </w:p>
    <w:p>
      <w:pPr>
        <w:pStyle w:val="BodyText"/>
        <w:spacing w:line="218" w:lineRule="auto" w:before="108"/>
      </w:pPr>
      <w:r>
        <w:rPr>
          <w:color w:val="231F20"/>
        </w:rPr>
        <w:t>§ 4. Indien één of meerdere van de nieuwe vennootschappen door het Belgische recht worden beheerst, wordt de splitsing door oprichting van nieuwe vennootschappen van kracht op voorwaarde dat de nieuwe vennootschappen zijn opgericht overeenkomstig het op hen toepasse- lijke recht en ten vroegste, in afwijking van artikel 12:86, op de datum waarop de instrumenterende notaris de voltooiing van de splitsing heeft vastgesteld op verzoek van de gesplitste vennootschap, op voorlegging van de attesten en andere documenten die de verrichting en oprichting rechtvaardigen. Hiertoe leveren de bevoegde buiten- landse instanties van de vennootschap of vennootschappen die onder een buitenlands recht vallen een attest af waaruit afdoende blijkt dat de aan de splitsing voorafgaande handelingen en formaliteiten, alsook de oprichting indien van toepassing, correct zijn verricht overeenkomstig het</w:t>
      </w:r>
      <w:r>
        <w:rPr>
          <w:color w:val="231F20"/>
          <w:spacing w:val="16"/>
        </w:rPr>
        <w:t> </w:t>
      </w:r>
      <w:r>
        <w:rPr>
          <w:color w:val="231F20"/>
        </w:rPr>
        <w:t>recht</w:t>
      </w:r>
      <w:r>
        <w:rPr>
          <w:color w:val="231F20"/>
          <w:spacing w:val="16"/>
        </w:rPr>
        <w:t> </w:t>
      </w:r>
      <w:r>
        <w:rPr>
          <w:color w:val="231F20"/>
        </w:rPr>
        <w:t>van</w:t>
      </w:r>
      <w:r>
        <w:rPr>
          <w:color w:val="231F20"/>
          <w:spacing w:val="16"/>
        </w:rPr>
        <w:t> </w:t>
      </w:r>
      <w:r>
        <w:rPr>
          <w:color w:val="231F20"/>
        </w:rPr>
        <w:t>toepassing</w:t>
      </w:r>
      <w:r>
        <w:rPr>
          <w:color w:val="231F20"/>
          <w:spacing w:val="16"/>
        </w:rPr>
        <w:t> </w:t>
      </w:r>
      <w:r>
        <w:rPr>
          <w:color w:val="231F20"/>
        </w:rPr>
        <w:t>op</w:t>
      </w:r>
      <w:r>
        <w:rPr>
          <w:color w:val="231F20"/>
          <w:spacing w:val="17"/>
        </w:rPr>
        <w:t> </w:t>
      </w:r>
      <w:r>
        <w:rPr>
          <w:color w:val="231F20"/>
        </w:rPr>
        <w:t>deze</w:t>
      </w:r>
      <w:r>
        <w:rPr>
          <w:color w:val="231F20"/>
          <w:spacing w:val="16"/>
        </w:rPr>
        <w:t> </w:t>
      </w:r>
      <w:r>
        <w:rPr>
          <w:color w:val="231F20"/>
        </w:rPr>
        <w:t>vennootschappen.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7000" from="298.170502pt,64.473pt" to="298.170502pt,812.819pt" stroked="true" strokeweight=".533pt" strokecolor="#231f20">
            <v:stroke dashstyle="solid"/>
            <w10:wrap type="none"/>
          </v:line>
        </w:pict>
      </w:r>
      <w:bookmarkStart w:name="_bookmark249" w:id="255"/>
      <w:bookmarkEnd w:id="255"/>
      <w:r>
        <w:rPr/>
      </w:r>
      <w:r>
        <w:rPr>
          <w:color w:val="231F20"/>
        </w:rPr>
        <w:t>L’acte du notaire instrumentant est déposé et publié par extrait conformément aux articles 2:8 et 2:14, 1°.</w:t>
      </w:r>
    </w:p>
    <w:p>
      <w:pPr>
        <w:pStyle w:val="BodyText"/>
        <w:spacing w:line="218" w:lineRule="auto" w:before="85"/>
        <w:ind w:right="38"/>
      </w:pPr>
      <w:r>
        <w:rPr>
          <w:color w:val="231F20"/>
        </w:rPr>
        <w:t>§ 5. Si seule la société scindée est régie par le droit belge, le droit applicable aux nouvelles sociétés détermine, par  dérogation  à</w:t>
      </w:r>
      <w:r>
        <w:rPr>
          <w:color w:val="231F20"/>
          <w:spacing w:val="34"/>
        </w:rPr>
        <w:t> </w:t>
      </w:r>
      <w:r>
        <w:rPr>
          <w:color w:val="231F20"/>
        </w:rPr>
        <w:t>l’arti- cle</w:t>
      </w:r>
      <w:r>
        <w:rPr>
          <w:color w:val="231F20"/>
          <w:spacing w:val="-3"/>
        </w:rPr>
        <w:t> </w:t>
      </w:r>
      <w:r>
        <w:rPr>
          <w:color w:val="231F20"/>
        </w:rPr>
        <w:t>12:86,</w:t>
      </w:r>
      <w:r>
        <w:rPr>
          <w:color w:val="231F20"/>
          <w:spacing w:val="-3"/>
        </w:rPr>
        <w:t> </w:t>
      </w:r>
      <w:r>
        <w:rPr>
          <w:color w:val="231F20"/>
        </w:rPr>
        <w:t>le</w:t>
      </w:r>
      <w:r>
        <w:rPr>
          <w:color w:val="231F20"/>
          <w:spacing w:val="-2"/>
        </w:rPr>
        <w:t> </w:t>
      </w:r>
      <w:r>
        <w:rPr>
          <w:color w:val="231F20"/>
        </w:rPr>
        <w:t>moment</w:t>
      </w:r>
      <w:r>
        <w:rPr>
          <w:color w:val="231F20"/>
          <w:spacing w:val="-3"/>
        </w:rPr>
        <w:t> </w:t>
      </w:r>
      <w:r>
        <w:rPr>
          <w:color w:val="231F20"/>
        </w:rPr>
        <w:t>où</w:t>
      </w:r>
      <w:r>
        <w:rPr>
          <w:color w:val="231F20"/>
          <w:spacing w:val="-2"/>
        </w:rPr>
        <w:t> </w:t>
      </w:r>
      <w:r>
        <w:rPr>
          <w:color w:val="231F20"/>
        </w:rPr>
        <w:t>la</w:t>
      </w:r>
      <w:r>
        <w:rPr>
          <w:color w:val="231F20"/>
          <w:spacing w:val="-3"/>
        </w:rPr>
        <w:t> </w:t>
      </w:r>
      <w:r>
        <w:rPr>
          <w:color w:val="231F20"/>
        </w:rPr>
        <w:t>scission</w:t>
      </w:r>
      <w:r>
        <w:rPr>
          <w:color w:val="231F20"/>
          <w:spacing w:val="-2"/>
        </w:rPr>
        <w:t> </w:t>
      </w:r>
      <w:r>
        <w:rPr>
          <w:color w:val="231F20"/>
        </w:rPr>
        <w:t>prend</w:t>
      </w:r>
      <w:r>
        <w:rPr>
          <w:color w:val="231F20"/>
          <w:spacing w:val="-3"/>
        </w:rPr>
        <w:t> </w:t>
      </w:r>
      <w:r>
        <w:rPr>
          <w:color w:val="231F20"/>
        </w:rPr>
        <w:t>effet.</w:t>
      </w:r>
      <w:r>
        <w:rPr>
          <w:color w:val="231F20"/>
          <w:spacing w:val="-3"/>
        </w:rPr>
        <w:t> </w:t>
      </w:r>
      <w:r>
        <w:rPr>
          <w:color w:val="231F20"/>
        </w:rPr>
        <w:t>Toutefois,</w:t>
      </w:r>
      <w:r>
        <w:rPr>
          <w:color w:val="231F20"/>
          <w:spacing w:val="-2"/>
        </w:rPr>
        <w:t> </w:t>
      </w:r>
      <w:r>
        <w:rPr>
          <w:color w:val="231F20"/>
        </w:rPr>
        <w:t>la</w:t>
      </w:r>
      <w:r>
        <w:rPr>
          <w:color w:val="231F20"/>
          <w:spacing w:val="-3"/>
        </w:rPr>
        <w:t> </w:t>
      </w:r>
      <w:r>
        <w:rPr>
          <w:color w:val="231F20"/>
        </w:rPr>
        <w:t>scission</w:t>
      </w:r>
      <w:r>
        <w:rPr>
          <w:color w:val="231F20"/>
          <w:spacing w:val="-2"/>
        </w:rPr>
        <w:t> </w:t>
      </w:r>
      <w:r>
        <w:rPr>
          <w:color w:val="231F20"/>
        </w:rPr>
        <w:t>par constitution de nouvelles sociétés ne prend </w:t>
      </w:r>
      <w:r>
        <w:rPr>
          <w:color w:val="231F20"/>
          <w:spacing w:val="-3"/>
        </w:rPr>
        <w:t>effet </w:t>
      </w:r>
      <w:r>
        <w:rPr>
          <w:color w:val="231F20"/>
        </w:rPr>
        <w:t>que si le notaire instrumentant</w:t>
      </w:r>
      <w:r>
        <w:rPr>
          <w:color w:val="231F20"/>
          <w:spacing w:val="14"/>
        </w:rPr>
        <w:t> </w:t>
      </w:r>
      <w:r>
        <w:rPr>
          <w:color w:val="231F20"/>
        </w:rPr>
        <w:t>a</w:t>
      </w:r>
      <w:r>
        <w:rPr>
          <w:color w:val="231F20"/>
          <w:spacing w:val="14"/>
        </w:rPr>
        <w:t> </w:t>
      </w:r>
      <w:r>
        <w:rPr>
          <w:color w:val="231F20"/>
        </w:rPr>
        <w:t>délivré</w:t>
      </w:r>
      <w:r>
        <w:rPr>
          <w:color w:val="231F20"/>
          <w:spacing w:val="14"/>
        </w:rPr>
        <w:t> </w:t>
      </w:r>
      <w:r>
        <w:rPr>
          <w:color w:val="231F20"/>
        </w:rPr>
        <w:t>le</w:t>
      </w:r>
      <w:r>
        <w:rPr>
          <w:color w:val="231F20"/>
          <w:spacing w:val="14"/>
        </w:rPr>
        <w:t> </w:t>
      </w:r>
      <w:r>
        <w:rPr>
          <w:color w:val="231F20"/>
        </w:rPr>
        <w:t>certificat</w:t>
      </w:r>
      <w:r>
        <w:rPr>
          <w:color w:val="231F20"/>
          <w:spacing w:val="14"/>
        </w:rPr>
        <w:t> </w:t>
      </w:r>
      <w:r>
        <w:rPr>
          <w:color w:val="231F20"/>
        </w:rPr>
        <w:t>mentionné</w:t>
      </w:r>
      <w:r>
        <w:rPr>
          <w:color w:val="231F20"/>
          <w:spacing w:val="14"/>
        </w:rPr>
        <w:t> </w:t>
      </w:r>
      <w:r>
        <w:rPr>
          <w:color w:val="231F20"/>
        </w:rPr>
        <w:t>au</w:t>
      </w:r>
      <w:r>
        <w:rPr>
          <w:color w:val="231F20"/>
          <w:spacing w:val="14"/>
        </w:rPr>
        <w:t> </w:t>
      </w:r>
      <w:r>
        <w:rPr>
          <w:color w:val="231F20"/>
        </w:rPr>
        <w:t>paragraphe</w:t>
      </w:r>
      <w:r>
        <w:rPr>
          <w:color w:val="231F20"/>
          <w:spacing w:val="14"/>
        </w:rPr>
        <w:t> </w:t>
      </w:r>
      <w:r>
        <w:rPr>
          <w:color w:val="231F20"/>
        </w:rPr>
        <w:t>3.</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La radiation de l’immatriculation au registre belge des personnes morales ne peut avoir lieu au plus tôt qu’à la réception par les instances étrangères compétentes d’une preuve de la prise d’effet de la scission. L’organe d’administration de la société scindée publie cette radiation aux Annexes du </w:t>
      </w:r>
      <w:r>
        <w:rPr>
          <w:rFonts w:ascii="Times New Roman" w:hAnsi="Times New Roman"/>
          <w:i/>
          <w:color w:val="231F20"/>
        </w:rPr>
        <w:t>Moniteur belge</w:t>
      </w:r>
      <w:r>
        <w:rPr>
          <w:color w:val="231F20"/>
        </w:rPr>
        <w:t>.</w:t>
      </w:r>
    </w:p>
    <w:p>
      <w:pPr>
        <w:pStyle w:val="BodyText"/>
        <w:spacing w:before="69"/>
        <w:ind w:left="283" w:right="0" w:firstLine="0"/>
        <w:jc w:val="left"/>
      </w:pPr>
      <w:r>
        <w:rPr>
          <w:color w:val="231F20"/>
        </w:rPr>
        <w:t>Section 3. Procédure de scission mixte</w:t>
      </w:r>
    </w:p>
    <w:p>
      <w:pPr>
        <w:pStyle w:val="BodyText"/>
        <w:spacing w:line="218" w:lineRule="auto" w:before="67"/>
        <w:ind w:right="38"/>
      </w:pPr>
      <w:r>
        <w:rPr>
          <w:color w:val="231F20"/>
        </w:rPr>
        <w:t>Art. 12:91. La scission mixte s’effectue conformément aux sections 1</w:t>
      </w:r>
      <w:r>
        <w:rPr>
          <w:color w:val="231F20"/>
          <w:position w:val="7"/>
          <w:sz w:val="11"/>
        </w:rPr>
        <w:t>re</w:t>
      </w:r>
      <w:r>
        <w:rPr>
          <w:color w:val="231F20"/>
        </w:rPr>
        <w:t>, pour ce qui concerne les sociétés bénéficiaires et 2, pour ce qui</w:t>
      </w:r>
      <w:r>
        <w:rPr>
          <w:color w:val="231F20"/>
          <w:spacing w:val="-29"/>
        </w:rPr>
        <w:t> </w:t>
      </w:r>
      <w:r>
        <w:rPr>
          <w:color w:val="231F20"/>
        </w:rPr>
        <w:t>concerne les sociétés</w:t>
      </w:r>
      <w:r>
        <w:rPr>
          <w:color w:val="231F20"/>
          <w:spacing w:val="-11"/>
        </w:rPr>
        <w:t> </w:t>
      </w:r>
      <w:r>
        <w:rPr>
          <w:color w:val="231F20"/>
        </w:rPr>
        <w:t>nouvelles.</w:t>
      </w:r>
    </w:p>
    <w:p>
      <w:pPr>
        <w:pStyle w:val="BodyText"/>
        <w:spacing w:before="71"/>
        <w:ind w:left="283" w:right="0" w:firstLine="0"/>
        <w:jc w:val="left"/>
      </w:pPr>
      <w:r>
        <w:rPr>
          <w:color w:val="231F20"/>
        </w:rPr>
        <w:t>TITRE 3. Apports d’universalité ou de branche d’activité.</w:t>
      </w:r>
    </w:p>
    <w:p>
      <w:pPr>
        <w:pStyle w:val="BodyText"/>
        <w:spacing w:line="218" w:lineRule="auto" w:before="82"/>
        <w:ind w:right="38"/>
      </w:pPr>
      <w:r>
        <w:rPr>
          <w:color w:val="231F20"/>
        </w:rPr>
        <w:t>Art. 12:92. L’apport d’universalité ou de branche d’activité effectué par une société obéit aux dispositions du présent titre.</w:t>
      </w:r>
    </w:p>
    <w:p>
      <w:pPr>
        <w:pStyle w:val="BodyText"/>
        <w:ind w:left="0" w:right="0" w:firstLine="0"/>
        <w:jc w:val="left"/>
        <w:rPr>
          <w:sz w:val="23"/>
        </w:rPr>
      </w:pPr>
    </w:p>
    <w:p>
      <w:pPr>
        <w:pStyle w:val="BodyText"/>
        <w:spacing w:line="218" w:lineRule="auto"/>
        <w:ind w:right="38"/>
      </w:pPr>
      <w:r>
        <w:rPr>
          <w:color w:val="231F20"/>
        </w:rPr>
        <w:t>Les sociétés concernées peuvent décider de ne pas soumettre l’apport de branche d’activité au régime organisé par les articles 12:93 à 12:95 et 12:97 à 12:100 et il en est fait mention dans l’acte d’apport. Dans ce cas, l’apport n’a pas les effets visés à l’article 12:96.</w:t>
      </w:r>
    </w:p>
    <w:p>
      <w:pPr>
        <w:pStyle w:val="BodyText"/>
        <w:spacing w:before="5"/>
        <w:ind w:left="0" w:right="0" w:firstLine="0"/>
        <w:jc w:val="left"/>
        <w:rPr>
          <w:sz w:val="20"/>
        </w:rPr>
      </w:pPr>
    </w:p>
    <w:p>
      <w:pPr>
        <w:pStyle w:val="BodyText"/>
        <w:ind w:left="283" w:right="0" w:firstLine="0"/>
        <w:jc w:val="left"/>
      </w:pPr>
      <w:r>
        <w:rPr>
          <w:color w:val="231F20"/>
        </w:rPr>
        <w:t>CHAPITRE  1</w:t>
      </w:r>
      <w:r>
        <w:rPr>
          <w:color w:val="231F20"/>
          <w:position w:val="7"/>
          <w:sz w:val="11"/>
        </w:rPr>
        <w:t>er</w:t>
      </w:r>
      <w:r>
        <w:rPr>
          <w:color w:val="231F20"/>
        </w:rPr>
        <w:t>.</w:t>
      </w:r>
      <w:r>
        <w:rPr>
          <w:color w:val="231F20"/>
          <w:spacing w:val="16"/>
        </w:rPr>
        <w:t> </w:t>
      </w:r>
      <w:r>
        <w:rPr>
          <w:color w:val="231F20"/>
        </w:rPr>
        <w:t>Procédure.</w:t>
      </w:r>
    </w:p>
    <w:p>
      <w:pPr>
        <w:pStyle w:val="BodyText"/>
        <w:spacing w:line="218" w:lineRule="auto" w:before="67"/>
        <w:ind w:right="38"/>
      </w:pPr>
      <w:r>
        <w:rPr>
          <w:color w:val="231F20"/>
        </w:rPr>
        <w:t>Art. 12:93. § 1</w:t>
      </w:r>
      <w:r>
        <w:rPr>
          <w:color w:val="231F20"/>
          <w:position w:val="7"/>
          <w:sz w:val="11"/>
        </w:rPr>
        <w:t>er</w:t>
      </w:r>
      <w:r>
        <w:rPr>
          <w:color w:val="231F20"/>
        </w:rPr>
        <w:t>. Les organes d’administration de la société appor- teuse et de la société bénéficiaire établissent un projet d’apport d’universalité ou d’apport de la branche d’activité par acte authentique ou</w:t>
      </w:r>
      <w:r>
        <w:rPr>
          <w:color w:val="231F20"/>
          <w:spacing w:val="15"/>
        </w:rPr>
        <w:t> </w:t>
      </w:r>
      <w:r>
        <w:rPr>
          <w:color w:val="231F20"/>
        </w:rPr>
        <w:t>par</w:t>
      </w:r>
      <w:r>
        <w:rPr>
          <w:color w:val="231F20"/>
          <w:spacing w:val="15"/>
        </w:rPr>
        <w:t> </w:t>
      </w:r>
      <w:r>
        <w:rPr>
          <w:color w:val="231F20"/>
        </w:rPr>
        <w:t>acte</w:t>
      </w:r>
      <w:r>
        <w:rPr>
          <w:color w:val="231F20"/>
          <w:spacing w:val="16"/>
        </w:rPr>
        <w:t> </w:t>
      </w:r>
      <w:r>
        <w:rPr>
          <w:color w:val="231F20"/>
        </w:rPr>
        <w:t>sous</w:t>
      </w:r>
      <w:r>
        <w:rPr>
          <w:color w:val="231F20"/>
          <w:spacing w:val="15"/>
        </w:rPr>
        <w:t> </w:t>
      </w:r>
      <w:r>
        <w:rPr>
          <w:color w:val="231F20"/>
        </w:rPr>
        <w:t>seing</w:t>
      </w:r>
      <w:r>
        <w:rPr>
          <w:color w:val="231F20"/>
          <w:spacing w:val="15"/>
        </w:rPr>
        <w:t> </w:t>
      </w:r>
      <w:r>
        <w:rPr>
          <w:color w:val="231F20"/>
        </w:rPr>
        <w:t>privé.</w:t>
      </w:r>
    </w:p>
    <w:p>
      <w:pPr>
        <w:pStyle w:val="BodyText"/>
        <w:spacing w:line="218" w:lineRule="auto" w:before="86"/>
        <w:ind w:right="38"/>
      </w:pPr>
      <w:r>
        <w:rPr>
          <w:color w:val="231F20"/>
        </w:rPr>
        <w:t>Lorsque l’apport est réalisé à l’occasion de la constitution de la société bénéficiaire, le projet est établi par l’organe d’administration de la société</w:t>
      </w:r>
      <w:r>
        <w:rPr>
          <w:color w:val="231F20"/>
          <w:spacing w:val="-11"/>
        </w:rPr>
        <w:t> </w:t>
      </w:r>
      <w:r>
        <w:rPr>
          <w:color w:val="231F20"/>
        </w:rPr>
        <w:t>apporteuse.</w:t>
      </w:r>
    </w:p>
    <w:p>
      <w:pPr>
        <w:pStyle w:val="BodyText"/>
        <w:spacing w:line="218" w:lineRule="auto" w:before="85"/>
        <w:ind w:right="38"/>
      </w:pPr>
      <w:r>
        <w:rPr>
          <w:color w:val="231F20"/>
        </w:rPr>
        <w:t>Il est établi autant de projets distincts qu’il y a de sociétés bénéficiaires.</w:t>
      </w:r>
    </w:p>
    <w:p>
      <w:pPr>
        <w:pStyle w:val="BodyText"/>
        <w:spacing w:before="72"/>
        <w:ind w:left="283" w:right="0" w:firstLine="0"/>
        <w:jc w:val="left"/>
      </w:pPr>
      <w:r>
        <w:rPr>
          <w:color w:val="231F20"/>
        </w:rPr>
        <w:t>§ 2. Le projet d’apport mentionne au moins les données suivantes:</w:t>
      </w:r>
    </w:p>
    <w:p>
      <w:pPr>
        <w:pStyle w:val="BodyText"/>
        <w:spacing w:before="8"/>
        <w:ind w:left="0" w:right="0" w:firstLine="0"/>
        <w:jc w:val="left"/>
        <w:rPr>
          <w:sz w:val="22"/>
        </w:rPr>
      </w:pPr>
    </w:p>
    <w:p>
      <w:pPr>
        <w:pStyle w:val="BodyText"/>
        <w:spacing w:line="218" w:lineRule="auto"/>
        <w:ind w:right="38"/>
      </w:pPr>
      <w:r>
        <w:rPr>
          <w:color w:val="231F20"/>
        </w:rPr>
        <w:t>1° la forme légale, la dénomination, l’objet et le siège des sociétés participant à l’apport;</w:t>
      </w:r>
    </w:p>
    <w:p>
      <w:pPr>
        <w:pStyle w:val="BodyText"/>
        <w:spacing w:line="218" w:lineRule="auto" w:before="85"/>
        <w:ind w:right="38"/>
      </w:pPr>
      <w:r>
        <w:rPr>
          <w:color w:val="231F20"/>
        </w:rPr>
        <w:t>2° la date à partir de laquelle les actions ou parts attribuées par la société bénéficiaire donnent le droit de participer aux bénéfices ainsi que toute modalité relative à ce droit;</w:t>
      </w:r>
    </w:p>
    <w:p>
      <w:pPr>
        <w:pStyle w:val="BodyText"/>
        <w:spacing w:line="218" w:lineRule="auto" w:before="86"/>
        <w:ind w:right="38"/>
      </w:pPr>
      <w:r>
        <w:rPr>
          <w:color w:val="231F20"/>
        </w:rPr>
        <w:t>3° la date à partir de laquelle les opérations de la société apporteuse sont considérées du point de vue comptable comme accomplies pour le compte de l’une ou l’autre des sociétés bénéficiaires, cette date ne pouvant remonter avant le premier jour qui suit la clôture de l’exercice social dont les comptes annuels des sociétés concernées par l’opération ont déjà été approuvés;</w:t>
      </w:r>
    </w:p>
    <w:p>
      <w:pPr>
        <w:pStyle w:val="BodyText"/>
        <w:spacing w:line="218" w:lineRule="auto" w:before="86"/>
        <w:ind w:right="38"/>
      </w:pPr>
      <w:r>
        <w:rPr>
          <w:color w:val="231F20"/>
        </w:rPr>
        <w:t>4° tout avantage particulier attribué aux membres des organes d’administration des sociétés participant à l’apport.</w:t>
      </w:r>
    </w:p>
    <w:p>
      <w:pPr>
        <w:pStyle w:val="BodyText"/>
        <w:spacing w:line="218" w:lineRule="auto" w:before="85"/>
        <w:ind w:right="38"/>
      </w:pPr>
      <w:r>
        <w:rPr>
          <w:color w:val="231F20"/>
        </w:rPr>
        <w:t>Lorsque l’apport d’universalité est réalisé au profit de plusieurs sociétés ou en cas d’apport de branche d’activité, le projet d’apport décrit et précise la répartition des éléments du patrimoine de la société apporteuse.</w:t>
      </w:r>
    </w:p>
    <w:p>
      <w:pPr>
        <w:pStyle w:val="BodyText"/>
        <w:spacing w:before="8"/>
        <w:ind w:left="0" w:right="0" w:firstLine="0"/>
        <w:jc w:val="left"/>
        <w:rPr>
          <w:sz w:val="21"/>
        </w:rPr>
      </w:pPr>
    </w:p>
    <w:p>
      <w:pPr>
        <w:pStyle w:val="BodyText"/>
        <w:spacing w:line="218" w:lineRule="auto"/>
        <w:ind w:right="38"/>
      </w:pPr>
      <w:r>
        <w:rPr>
          <w:color w:val="231F20"/>
        </w:rPr>
        <w:t>À compter de la date visée à l’alinéa 1</w:t>
      </w:r>
      <w:r>
        <w:rPr>
          <w:color w:val="231F20"/>
          <w:position w:val="7"/>
          <w:sz w:val="11"/>
        </w:rPr>
        <w:t>er</w:t>
      </w:r>
      <w:r>
        <w:rPr>
          <w:color w:val="231F20"/>
        </w:rPr>
        <w:t>, 3°, les produits et charges d’actifs et de passifs déterminés sont imputés à la société à laquelle ces actifs et passifs ont été attribués.</w:t>
      </w:r>
    </w:p>
    <w:p>
      <w:pPr>
        <w:pStyle w:val="BodyText"/>
        <w:spacing w:line="218" w:lineRule="auto" w:before="96"/>
        <w:ind w:right="38"/>
      </w:pPr>
      <w:r>
        <w:rPr>
          <w:color w:val="231F20"/>
        </w:rPr>
        <w:t>§ 3. Six semaines au moins avant la réalisation de l’apport et, le cas échéant, la tenue de l’assemblée générale de la société apporteuse appelée à se prononcer sur l’apport d’universalité, le projet d’apport doit être déposé au </w:t>
      </w:r>
      <w:r>
        <w:rPr>
          <w:color w:val="231F20"/>
          <w:spacing w:val="-3"/>
        </w:rPr>
        <w:t>greffe </w:t>
      </w:r>
      <w:r>
        <w:rPr>
          <w:color w:val="231F20"/>
        </w:rPr>
        <w:t>du tribunal de l’entreprise par chacune des société participant à</w:t>
      </w:r>
      <w:r>
        <w:rPr>
          <w:color w:val="231F20"/>
          <w:spacing w:val="4"/>
        </w:rPr>
        <w:t> </w:t>
      </w:r>
      <w:r>
        <w:rPr>
          <w:color w:val="231F20"/>
        </w:rPr>
        <w:t>l’apport.</w:t>
      </w:r>
    </w:p>
    <w:p>
      <w:pPr>
        <w:pStyle w:val="BodyText"/>
        <w:spacing w:before="7"/>
        <w:ind w:left="0" w:right="0" w:firstLine="0"/>
        <w:jc w:val="left"/>
        <w:rPr>
          <w:sz w:val="22"/>
        </w:rPr>
      </w:pPr>
    </w:p>
    <w:p>
      <w:pPr>
        <w:pStyle w:val="BodyText"/>
        <w:spacing w:line="218" w:lineRule="auto"/>
        <w:ind w:right="38"/>
      </w:pPr>
      <w:r>
        <w:rPr>
          <w:color w:val="231F20"/>
        </w:rPr>
        <w:t>Art. 12:94. § 1</w:t>
      </w:r>
      <w:r>
        <w:rPr>
          <w:color w:val="231F20"/>
          <w:position w:val="7"/>
          <w:sz w:val="11"/>
        </w:rPr>
        <w:t>er</w:t>
      </w:r>
      <w:r>
        <w:rPr>
          <w:color w:val="231F20"/>
        </w:rPr>
        <w:t>. L’assemblée générale de la société apporteuse doit décider de l’apport d’universalité, l’organe d’administration d’une branche d’activité.</w:t>
      </w:r>
    </w:p>
    <w:p>
      <w:pPr>
        <w:pStyle w:val="BodyText"/>
        <w:spacing w:line="218" w:lineRule="auto" w:before="96"/>
        <w:ind w:right="38"/>
      </w:pPr>
      <w:r>
        <w:rPr>
          <w:color w:val="231F20"/>
        </w:rPr>
        <w:t>§ 2. L’organe d’administration de la société apporteuse établit un rapport écrit et circonstancié qui expose la situation patrimoniale des sociétés concernées et qui explique et justifie, d’un point de vue juridique et économique, l’opportunité, les conditions, les modalités et les conséquences de l’apport.</w:t>
      </w:r>
    </w:p>
    <w:p>
      <w:pPr>
        <w:pStyle w:val="BodyText"/>
        <w:spacing w:line="218" w:lineRule="auto" w:before="119"/>
      </w:pPr>
      <w:r>
        <w:rPr/>
        <w:br w:type="column"/>
      </w:r>
      <w:r>
        <w:rPr>
          <w:color w:val="231F20"/>
        </w:rPr>
        <w:t>De akte van de instrumenterende notaris wordt neergelegd en bij uittreksel bekendgemaakt overeenkomstig de artikelen 2:8 en 2:14, 1°.</w:t>
      </w:r>
    </w:p>
    <w:p>
      <w:pPr>
        <w:pStyle w:val="BodyText"/>
        <w:spacing w:line="218" w:lineRule="auto" w:before="86"/>
      </w:pPr>
      <w:r>
        <w:rPr>
          <w:color w:val="231F20"/>
        </w:rPr>
        <w:t>§ 5. Indien enkel de gesplitste vennootschap door het Belgische recht wordt beheerst, bepaalt het recht van toepassing op de nieuwe vennootschappen, in afwijking van artikel 12:86, wanneer de splitsing van kracht wordt. Niettemin wordt de splitsing door oprichting van nieuwe vennootschappen slechts van kracht op voorwaarde dat de instrumenterende notaris het in paragraaf 3 vermelde attest heeft afgeleverd.</w:t>
      </w:r>
    </w:p>
    <w:p>
      <w:pPr>
        <w:pStyle w:val="BodyText"/>
        <w:spacing w:line="218" w:lineRule="auto" w:before="86"/>
      </w:pPr>
      <w:r>
        <w:rPr>
          <w:color w:val="231F20"/>
        </w:rPr>
        <w:t>De doorhaling van de inschrijving in het Belgische rechtspersonen- register mag niet eerder plaatsvinden dan bij ontvangst van een bewijs door de bevoegde buitenlandse instanties dat de splitsing van kracht is geworden. Het bestuursorgaan van de gesplitste vennootschap maakt deze doorhaling bekend in de Bijlagen bij het </w:t>
      </w:r>
      <w:r>
        <w:rPr>
          <w:rFonts w:ascii="Times New Roman"/>
          <w:i/>
          <w:color w:val="231F20"/>
        </w:rPr>
        <w:t>Belgisch Staatsblad</w:t>
      </w:r>
      <w:r>
        <w:rPr>
          <w:color w:val="231F20"/>
        </w:rPr>
        <w:t>.</w:t>
      </w:r>
    </w:p>
    <w:p>
      <w:pPr>
        <w:pStyle w:val="BodyText"/>
        <w:spacing w:before="69"/>
        <w:ind w:left="283" w:right="0" w:firstLine="0"/>
        <w:jc w:val="left"/>
      </w:pPr>
      <w:r>
        <w:rPr>
          <w:color w:val="231F20"/>
        </w:rPr>
        <w:t>Afdeling 3. Procedure bij gemengde splitsing.</w:t>
      </w:r>
    </w:p>
    <w:p>
      <w:pPr>
        <w:pStyle w:val="BodyText"/>
        <w:spacing w:line="218" w:lineRule="auto" w:before="82"/>
      </w:pPr>
      <w:r>
        <w:rPr>
          <w:color w:val="231F20"/>
        </w:rPr>
        <w:t>Art. 12:91. De gemengde splitsing gebeurt overeenkomstig de afdelingen 1 en 2, al naargelang het gaat om een verkrijgende of een nieuwe vennootschap.</w:t>
      </w:r>
    </w:p>
    <w:p>
      <w:pPr>
        <w:pStyle w:val="BodyText"/>
        <w:spacing w:before="71"/>
        <w:ind w:left="283" w:right="0" w:firstLine="0"/>
        <w:jc w:val="left"/>
      </w:pPr>
      <w:r>
        <w:rPr>
          <w:color w:val="231F20"/>
        </w:rPr>
        <w:t>TITEL 3. Inbrengen van algemeenheid of van bedrijfstak.</w:t>
      </w:r>
    </w:p>
    <w:p>
      <w:pPr>
        <w:pStyle w:val="BodyText"/>
        <w:spacing w:line="218" w:lineRule="auto" w:before="82"/>
      </w:pPr>
      <w:r>
        <w:rPr>
          <w:color w:val="231F20"/>
        </w:rPr>
        <w:t>Art. 12:92. De door een vennootschap verrichte inbreng van alge- meenheid of van bedrijfstak is onderworpen aan de bepalingen</w:t>
      </w:r>
      <w:r>
        <w:rPr>
          <w:color w:val="231F20"/>
          <w:spacing w:val="17"/>
        </w:rPr>
        <w:t> </w:t>
      </w:r>
      <w:r>
        <w:rPr>
          <w:color w:val="231F20"/>
        </w:rPr>
        <w:t>van deze</w:t>
      </w:r>
      <w:r>
        <w:rPr>
          <w:color w:val="231F20"/>
          <w:spacing w:val="15"/>
        </w:rPr>
        <w:t> </w:t>
      </w:r>
      <w:r>
        <w:rPr>
          <w:color w:val="231F20"/>
        </w:rPr>
        <w:t>titel.</w:t>
      </w:r>
    </w:p>
    <w:p>
      <w:pPr>
        <w:pStyle w:val="BodyText"/>
        <w:spacing w:line="218" w:lineRule="auto" w:before="86"/>
        <w:ind w:right="122"/>
      </w:pPr>
      <w:r>
        <w:rPr>
          <w:color w:val="231F20"/>
        </w:rPr>
        <w:t>De</w:t>
      </w:r>
      <w:r>
        <w:rPr>
          <w:color w:val="231F20"/>
          <w:spacing w:val="-5"/>
        </w:rPr>
        <w:t> </w:t>
      </w:r>
      <w:r>
        <w:rPr>
          <w:color w:val="231F20"/>
        </w:rPr>
        <w:t>betrokken</w:t>
      </w:r>
      <w:r>
        <w:rPr>
          <w:color w:val="231F20"/>
          <w:spacing w:val="-5"/>
        </w:rPr>
        <w:t> </w:t>
      </w:r>
      <w:r>
        <w:rPr>
          <w:color w:val="231F20"/>
        </w:rPr>
        <w:t>vennootschappen</w:t>
      </w:r>
      <w:r>
        <w:rPr>
          <w:color w:val="231F20"/>
          <w:spacing w:val="-5"/>
        </w:rPr>
        <w:t> </w:t>
      </w:r>
      <w:r>
        <w:rPr>
          <w:color w:val="231F20"/>
        </w:rPr>
        <w:t>kunnen</w:t>
      </w:r>
      <w:r>
        <w:rPr>
          <w:color w:val="231F20"/>
          <w:spacing w:val="-4"/>
        </w:rPr>
        <w:t> </w:t>
      </w:r>
      <w:r>
        <w:rPr>
          <w:color w:val="231F20"/>
        </w:rPr>
        <w:t>evenwel</w:t>
      </w:r>
      <w:r>
        <w:rPr>
          <w:color w:val="231F20"/>
          <w:spacing w:val="-5"/>
        </w:rPr>
        <w:t> </w:t>
      </w:r>
      <w:r>
        <w:rPr>
          <w:color w:val="231F20"/>
        </w:rPr>
        <w:t>besluiten</w:t>
      </w:r>
      <w:r>
        <w:rPr>
          <w:color w:val="231F20"/>
          <w:spacing w:val="-5"/>
        </w:rPr>
        <w:t> </w:t>
      </w:r>
      <w:r>
        <w:rPr>
          <w:color w:val="231F20"/>
        </w:rPr>
        <w:t>de</w:t>
      </w:r>
      <w:r>
        <w:rPr>
          <w:color w:val="231F20"/>
          <w:spacing w:val="-4"/>
        </w:rPr>
        <w:t> </w:t>
      </w:r>
      <w:r>
        <w:rPr>
          <w:color w:val="231F20"/>
        </w:rPr>
        <w:t>inbreng van bedrijfstak niet te onderwerpen aan de regeling omschreven in de artikelen 12:93 tot 12:95 en 12:97 tot 12:100; daarvan wordt melding gemaakt in de akte van inbreng. In dat geval heeft de inbreng niet de gevolgen bedoeld in artikel</w:t>
      </w:r>
      <w:r>
        <w:rPr>
          <w:color w:val="231F20"/>
          <w:spacing w:val="19"/>
        </w:rPr>
        <w:t> </w:t>
      </w:r>
      <w:r>
        <w:rPr>
          <w:color w:val="231F20"/>
        </w:rPr>
        <w:t>12:96.</w:t>
      </w:r>
    </w:p>
    <w:p>
      <w:pPr>
        <w:pStyle w:val="BodyText"/>
        <w:spacing w:before="72"/>
        <w:ind w:left="283" w:right="0" w:firstLine="0"/>
        <w:jc w:val="left"/>
      </w:pPr>
      <w:r>
        <w:rPr>
          <w:color w:val="231F20"/>
          <w:w w:val="105"/>
        </w:rPr>
        <w:t>HOOFDSTUK 1. Procedure.</w:t>
      </w:r>
    </w:p>
    <w:p>
      <w:pPr>
        <w:pStyle w:val="BodyText"/>
        <w:spacing w:line="218" w:lineRule="auto" w:before="82"/>
      </w:pPr>
      <w:r>
        <w:rPr>
          <w:color w:val="231F20"/>
        </w:rPr>
        <w:t>Art. 12:93. § 1. De bestuursorganen van de vennootschap die de inbreng doet en van de verkrijgende vennootschap stellen bij authen- tieke of onderhandse akte een voorstel op van inbreng van algemeen- heid of van inbreng van bedrijfstak.</w:t>
      </w:r>
    </w:p>
    <w:p>
      <w:pPr>
        <w:pStyle w:val="BodyText"/>
        <w:spacing w:line="218" w:lineRule="auto" w:before="85"/>
      </w:pPr>
      <w:r>
        <w:rPr>
          <w:color w:val="231F20"/>
        </w:rPr>
        <w:t>Wanneer de inbreng wordt gedaan bij de oprichting van de verkrijgende vennootschap, wordt het voorstel opgesteld door het bestuursorgaan van de vennootschap die de inbreng doet.</w:t>
      </w:r>
    </w:p>
    <w:p>
      <w:pPr>
        <w:pStyle w:val="BodyText"/>
        <w:spacing w:line="218" w:lineRule="auto" w:before="86"/>
      </w:pPr>
      <w:r>
        <w:rPr>
          <w:color w:val="231F20"/>
        </w:rPr>
        <w:t>Er worden evenveel afzonderlijke voorstellen opgesteld als er verkrijgende vennootschappen zijn.</w:t>
      </w:r>
    </w:p>
    <w:p>
      <w:pPr>
        <w:pStyle w:val="BodyText"/>
        <w:spacing w:line="218" w:lineRule="auto" w:before="85"/>
      </w:pPr>
      <w:r>
        <w:rPr>
          <w:color w:val="231F20"/>
        </w:rPr>
        <w:t>§ 2. In het voorstel van inbreng moeten ten minste de volgende gegevens zijn vermeld:</w:t>
      </w:r>
    </w:p>
    <w:p>
      <w:pPr>
        <w:pStyle w:val="BodyText"/>
        <w:spacing w:line="218" w:lineRule="auto" w:before="86"/>
      </w:pPr>
      <w:r>
        <w:rPr>
          <w:color w:val="231F20"/>
        </w:rPr>
        <w:t>1° de rechtsvorm, de naam, het voorwerp en de zetel van de bij de inbreng betrokken vennootschappen;</w:t>
      </w:r>
    </w:p>
    <w:p>
      <w:pPr>
        <w:pStyle w:val="BodyText"/>
        <w:spacing w:line="218" w:lineRule="auto" w:before="85"/>
      </w:pPr>
      <w:r>
        <w:rPr>
          <w:color w:val="231F20"/>
        </w:rPr>
        <w:t>2° de datum vanaf wanneer de aandelen uitgereikt door de verkrijgende vennootschap recht geven op winstdeelname, evenals elke bijzondere regeling betreffende dit recht;</w:t>
      </w:r>
    </w:p>
    <w:p>
      <w:pPr>
        <w:pStyle w:val="BodyText"/>
        <w:spacing w:line="218" w:lineRule="auto" w:before="86"/>
      </w:pPr>
      <w:r>
        <w:rPr>
          <w:color w:val="231F20"/>
        </w:rPr>
        <w:t>3° de datum vanaf wanneer de verrichtingen van de vennootschap die de inbreng doet, boekhoudkundig worden geacht te zijn verricht voor rekening van een van de verkrijgende vennootschappen en die  niet eerder mag worden geplaatst dan op de eerste dag na de afsluiting van het boekjaar waarvoor de jaarrekening reeds werd goedgekeurd van</w:t>
      </w:r>
      <w:r>
        <w:rPr>
          <w:color w:val="231F20"/>
          <w:spacing w:val="15"/>
        </w:rPr>
        <w:t> </w:t>
      </w:r>
      <w:r>
        <w:rPr>
          <w:color w:val="231F20"/>
        </w:rPr>
        <w:t>de</w:t>
      </w:r>
      <w:r>
        <w:rPr>
          <w:color w:val="231F20"/>
          <w:spacing w:val="16"/>
        </w:rPr>
        <w:t> </w:t>
      </w:r>
      <w:r>
        <w:rPr>
          <w:color w:val="231F20"/>
        </w:rPr>
        <w:t>bij</w:t>
      </w:r>
      <w:r>
        <w:rPr>
          <w:color w:val="231F20"/>
          <w:spacing w:val="16"/>
        </w:rPr>
        <w:t> </w:t>
      </w:r>
      <w:r>
        <w:rPr>
          <w:color w:val="231F20"/>
        </w:rPr>
        <w:t>de</w:t>
      </w:r>
      <w:r>
        <w:rPr>
          <w:color w:val="231F20"/>
          <w:spacing w:val="16"/>
        </w:rPr>
        <w:t> </w:t>
      </w:r>
      <w:r>
        <w:rPr>
          <w:color w:val="231F20"/>
        </w:rPr>
        <w:t>verrichting</w:t>
      </w:r>
      <w:r>
        <w:rPr>
          <w:color w:val="231F20"/>
          <w:spacing w:val="15"/>
        </w:rPr>
        <w:t> </w:t>
      </w:r>
      <w:r>
        <w:rPr>
          <w:color w:val="231F20"/>
        </w:rPr>
        <w:t>betrokken</w:t>
      </w:r>
      <w:r>
        <w:rPr>
          <w:color w:val="231F20"/>
          <w:spacing w:val="16"/>
        </w:rPr>
        <w:t> </w:t>
      </w:r>
      <w:r>
        <w:rPr>
          <w:color w:val="231F20"/>
        </w:rPr>
        <w:t>vennootschappen;</w:t>
      </w:r>
    </w:p>
    <w:p>
      <w:pPr>
        <w:pStyle w:val="BodyText"/>
        <w:spacing w:line="218" w:lineRule="auto" w:before="86"/>
      </w:pPr>
      <w:r>
        <w:rPr>
          <w:color w:val="231F20"/>
        </w:rPr>
        <w:t>4° ieder bijzonder voordeel toegekend aan de leden van de bestuurs- organen van de bij de inbreng betrokken vennootschappen.</w:t>
      </w:r>
    </w:p>
    <w:p>
      <w:pPr>
        <w:pStyle w:val="BodyText"/>
        <w:spacing w:line="218" w:lineRule="auto" w:before="85"/>
      </w:pPr>
      <w:r>
        <w:rPr>
          <w:color w:val="231F20"/>
          <w:spacing w:val="-3"/>
        </w:rPr>
        <w:t>Wanneer </w:t>
      </w:r>
      <w:r>
        <w:rPr>
          <w:color w:val="231F20"/>
        </w:rPr>
        <w:t>de inbreng van algemeenheid wordt gedaan ten voordele van verscheidene vennootschappen, of bij inbreng van bedrijfstak, wordt in het voorstel van inbreng omschreven en nader gepreciseerd  op welke wijze de vermogensbestanddelen van de vennootschap die de inbreng doet worden</w:t>
      </w:r>
      <w:r>
        <w:rPr>
          <w:color w:val="231F20"/>
          <w:spacing w:val="5"/>
        </w:rPr>
        <w:t> </w:t>
      </w:r>
      <w:r>
        <w:rPr>
          <w:color w:val="231F20"/>
        </w:rPr>
        <w:t>verdeeld.</w:t>
      </w:r>
    </w:p>
    <w:p>
      <w:pPr>
        <w:pStyle w:val="BodyText"/>
        <w:spacing w:line="218" w:lineRule="auto" w:before="86"/>
      </w:pPr>
      <w:r>
        <w:rPr>
          <w:color w:val="231F20"/>
        </w:rPr>
        <w:t>De opbrengsten en kosten van welbepaalde activa en passiva worden vanaf de in het eerste lid, 3°, bedoelde datum toegerekend aan de vennootschap waaraan die activa en passiva werden toebedeeld.</w:t>
      </w:r>
    </w:p>
    <w:p>
      <w:pPr>
        <w:pStyle w:val="BodyText"/>
        <w:spacing w:line="218" w:lineRule="auto" w:before="96"/>
      </w:pPr>
      <w:r>
        <w:rPr>
          <w:color w:val="231F20"/>
        </w:rPr>
        <w:t>§ 3. Het voorstel van inbreng moet door elke bij de inbreng</w:t>
      </w:r>
      <w:r>
        <w:rPr>
          <w:color w:val="231F20"/>
          <w:spacing w:val="-20"/>
        </w:rPr>
        <w:t> </w:t>
      </w:r>
      <w:r>
        <w:rPr>
          <w:color w:val="231F20"/>
        </w:rPr>
        <w:t>betrokken vennootschap, ten minste zes weken vóór de inbreng wordt gedaan en, in voorkomend geval, vóór de algemene vergadering van de inbren- gende vennootschap die over de inbreng van de algemeenheid een besluit moet nemen, ter </w:t>
      </w:r>
      <w:r>
        <w:rPr>
          <w:color w:val="231F20"/>
          <w:spacing w:val="-4"/>
        </w:rPr>
        <w:t>griffie </w:t>
      </w:r>
      <w:r>
        <w:rPr>
          <w:color w:val="231F20"/>
        </w:rPr>
        <w:t>van de ondernemingsrechtbank worden neergelegd.</w:t>
      </w:r>
    </w:p>
    <w:p>
      <w:pPr>
        <w:pStyle w:val="BodyText"/>
        <w:spacing w:line="218" w:lineRule="auto" w:before="96"/>
      </w:pPr>
      <w:r>
        <w:rPr>
          <w:color w:val="231F20"/>
        </w:rPr>
        <w:t>Art. 12:94. § 1. De algemene vergadering van de vennootschap die de inbreng doet, is bevoegd voor de beslissing tot inbreng van algemeen- heid, het bestuursorgaan voor de beslissing tot inbreng van bedrijfstak.</w:t>
      </w:r>
    </w:p>
    <w:p>
      <w:pPr>
        <w:pStyle w:val="BodyText"/>
        <w:spacing w:line="218" w:lineRule="auto" w:before="97"/>
      </w:pPr>
      <w:r>
        <w:rPr>
          <w:color w:val="231F20"/>
        </w:rPr>
        <w:t>§ 2. Het bestuursorgaan van de vennootschap die de inbreng doet, stelt een omstandig schriftelijk verslag op waarin het de stand van het vermogen van de betrokken vennootschappen uiteenzet en waarin het tevens, vanuit een juridisch en economisch oogpunt, de wenselijkheid van de inbreng, haar voorwaarden, de wijze waarop ze gebeurt, alsook haar gevolgen toelicht en verantwoordt.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024" from="298.170502pt,64.473pt" to="298.170502pt,812.819pt" stroked="true" strokeweight=".533pt" strokecolor="#231f20">
            <v:stroke dashstyle="solid"/>
            <w10:wrap type="none"/>
          </v:line>
        </w:pict>
      </w:r>
      <w:bookmarkStart w:name="_bookmark250" w:id="256"/>
      <w:bookmarkEnd w:id="256"/>
      <w:r>
        <w:rPr/>
      </w:r>
      <w:r>
        <w:rPr>
          <w:color w:val="231F20"/>
        </w:rPr>
        <w:t>Une copie du projet et de ce rapport est adressée aux titulaires d’actions ou parts nominatives un mois au moins avant la réunion de l’assemblée générale. Elle est également transmise sans délai aux personnes qui ont accompli les formalités requises par les statuts pour être admises à l’assemblée.</w:t>
      </w:r>
    </w:p>
    <w:p>
      <w:pPr>
        <w:pStyle w:val="BodyText"/>
        <w:spacing w:line="218" w:lineRule="auto" w:before="86"/>
        <w:ind w:right="38"/>
      </w:pPr>
      <w:r>
        <w:rPr>
          <w:color w:val="231F20"/>
        </w:rPr>
        <w:t>Toutefois, l’alinéa2 ne s’applique pas lorsque les sociétés apporteuses sont des sociétés coopératives, le projet et le rapport étant tenus à la disposition des actionnaires au siège de la société.</w:t>
      </w:r>
    </w:p>
    <w:p>
      <w:pPr>
        <w:pStyle w:val="BodyText"/>
        <w:spacing w:before="11"/>
        <w:ind w:left="0" w:right="0" w:firstLine="0"/>
        <w:jc w:val="left"/>
        <w:rPr>
          <w:sz w:val="22"/>
        </w:rPr>
      </w:pPr>
    </w:p>
    <w:p>
      <w:pPr>
        <w:pStyle w:val="BodyText"/>
        <w:spacing w:line="218" w:lineRule="auto"/>
        <w:ind w:right="38"/>
      </w:pPr>
      <w:r>
        <w:rPr>
          <w:color w:val="231F20"/>
        </w:rPr>
        <w:t>§ 3. La décision de procéder à l’apport est prise dans le respect des conditions de quorum et de majorité requises pour la modification des statuts, sous réserve de dispositions statutaires plus rigoureuses.</w:t>
      </w:r>
    </w:p>
    <w:p>
      <w:pPr>
        <w:pStyle w:val="BodyText"/>
        <w:spacing w:line="218" w:lineRule="auto" w:before="86"/>
        <w:ind w:right="38"/>
      </w:pPr>
      <w:r>
        <w:rPr>
          <w:color w:val="231F20"/>
        </w:rPr>
        <w:t>Dans la société en commandite et dans la société coopérative, le droit de vote des associés et des actionnaires est proportionnel à leur part dans l’avoir social et le quorum de présence se calcule par rapport à l’avoir social.</w:t>
      </w:r>
    </w:p>
    <w:p>
      <w:pPr>
        <w:pStyle w:val="BodyText"/>
        <w:spacing w:line="218" w:lineRule="auto" w:before="85"/>
        <w:ind w:right="38"/>
      </w:pPr>
      <w:r>
        <w:rPr>
          <w:color w:val="231F20"/>
          <w:spacing w:val="-3"/>
        </w:rPr>
        <w:t>L’accord </w:t>
      </w:r>
      <w:r>
        <w:rPr>
          <w:color w:val="231F20"/>
        </w:rPr>
        <w:t>de tous les associés est requis dans la société en nom</w:t>
      </w:r>
      <w:r>
        <w:rPr>
          <w:color w:val="231F20"/>
          <w:spacing w:val="-23"/>
        </w:rPr>
        <w:t> </w:t>
      </w:r>
      <w:r>
        <w:rPr>
          <w:color w:val="231F20"/>
        </w:rPr>
        <w:t>collectif et l’accord de tous les associés commandités est en outre requis dans la société en</w:t>
      </w:r>
      <w:r>
        <w:rPr>
          <w:color w:val="231F20"/>
          <w:spacing w:val="-12"/>
        </w:rPr>
        <w:t> </w:t>
      </w:r>
      <w:r>
        <w:rPr>
          <w:color w:val="231F20"/>
        </w:rPr>
        <w:t>commandite.</w:t>
      </w:r>
    </w:p>
    <w:p>
      <w:pPr>
        <w:pStyle w:val="BodyText"/>
        <w:spacing w:line="218" w:lineRule="auto" w:before="86"/>
        <w:ind w:right="38"/>
      </w:pPr>
      <w:r>
        <w:rPr>
          <w:color w:val="231F20"/>
        </w:rPr>
        <w:t>Art. 12:95. L’acte constatant l’apport d’universalité ou l’apport de branche d’activité est déposé et publié par extraits conformément aux articles 2:8 et 2:14, 1°.</w:t>
      </w:r>
    </w:p>
    <w:p>
      <w:pPr>
        <w:pStyle w:val="BodyText"/>
        <w:spacing w:before="71"/>
        <w:ind w:left="283" w:right="0" w:firstLine="0"/>
        <w:jc w:val="left"/>
      </w:pPr>
      <w:r>
        <w:rPr>
          <w:color w:val="231F20"/>
        </w:rPr>
        <w:t>CHAPITRE 2. Effets juridiques.</w:t>
      </w:r>
    </w:p>
    <w:p>
      <w:pPr>
        <w:pStyle w:val="BodyText"/>
        <w:spacing w:line="218" w:lineRule="auto" w:before="82"/>
        <w:ind w:right="38"/>
      </w:pPr>
      <w:r>
        <w:rPr>
          <w:color w:val="231F20"/>
        </w:rPr>
        <w:t>Art. 12:96. L’apport d’universalité entraîne de plein droit le transfert à la société bénéficiaire de l’ensemble du patrimoine actif et passif de la société ayant effectué</w:t>
      </w:r>
      <w:r>
        <w:rPr>
          <w:color w:val="231F20"/>
          <w:spacing w:val="4"/>
        </w:rPr>
        <w:t> </w:t>
      </w:r>
      <w:r>
        <w:rPr>
          <w:color w:val="231F20"/>
        </w:rPr>
        <w:t>l’apport.</w:t>
      </w:r>
    </w:p>
    <w:p>
      <w:pPr>
        <w:pStyle w:val="BodyText"/>
        <w:ind w:left="0" w:right="0" w:firstLine="0"/>
        <w:jc w:val="left"/>
        <w:rPr>
          <w:sz w:val="23"/>
        </w:rPr>
      </w:pPr>
    </w:p>
    <w:p>
      <w:pPr>
        <w:pStyle w:val="BodyText"/>
        <w:spacing w:line="218" w:lineRule="auto"/>
        <w:ind w:right="38"/>
      </w:pPr>
      <w:r>
        <w:rPr>
          <w:color w:val="231F20"/>
        </w:rPr>
        <w:t>L’apport de branche d’activité entraîne de plein droit le transfert à la société bénéficiaire des actifs et passifs s’y rattachant.</w:t>
      </w:r>
    </w:p>
    <w:p>
      <w:pPr>
        <w:pStyle w:val="BodyText"/>
        <w:spacing w:before="11"/>
        <w:ind w:left="0" w:right="0" w:firstLine="0"/>
        <w:jc w:val="left"/>
        <w:rPr>
          <w:sz w:val="23"/>
        </w:rPr>
      </w:pPr>
    </w:p>
    <w:p>
      <w:pPr>
        <w:pStyle w:val="BodyText"/>
        <w:spacing w:line="218" w:lineRule="auto"/>
        <w:ind w:right="38"/>
      </w:pPr>
      <w:r>
        <w:rPr>
          <w:color w:val="231F20"/>
        </w:rPr>
        <w:t>Art. 12:97. Lorsqu’un élément du patrimoine actif n’est pas attribué dans le projet d’apport et que l’interprétation du projet ne permet pas de décider de la répartition de cet élément, celui-ci ou sa contre-valeur est réparti entre toutes les sociétés concernées de manière proportion- nelle à l’actif net attribué à chacune de celles-ci dans le projet d’apport.</w:t>
      </w:r>
    </w:p>
    <w:p>
      <w:pPr>
        <w:pStyle w:val="BodyText"/>
        <w:spacing w:before="11"/>
        <w:ind w:left="0" w:right="0" w:firstLine="0"/>
        <w:jc w:val="left"/>
        <w:rPr>
          <w:sz w:val="23"/>
        </w:rPr>
      </w:pPr>
    </w:p>
    <w:p>
      <w:pPr>
        <w:pStyle w:val="BodyText"/>
        <w:spacing w:line="218" w:lineRule="auto"/>
        <w:ind w:right="38"/>
      </w:pPr>
      <w:r>
        <w:rPr>
          <w:color w:val="231F20"/>
        </w:rPr>
        <w:t>Lorsqu’un élément du patrimoine passif n’est pas attribué dans le projet d’apport et que l’interprétation du projet ne permet pas de décider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répartition</w:t>
      </w:r>
      <w:r>
        <w:rPr>
          <w:color w:val="231F20"/>
          <w:spacing w:val="-4"/>
        </w:rPr>
        <w:t> </w:t>
      </w:r>
      <w:r>
        <w:rPr>
          <w:color w:val="231F20"/>
        </w:rPr>
        <w:t>de</w:t>
      </w:r>
      <w:r>
        <w:rPr>
          <w:color w:val="231F20"/>
          <w:spacing w:val="-4"/>
        </w:rPr>
        <w:t> </w:t>
      </w:r>
      <w:r>
        <w:rPr>
          <w:color w:val="231F20"/>
        </w:rPr>
        <w:t>cet</w:t>
      </w:r>
      <w:r>
        <w:rPr>
          <w:color w:val="231F20"/>
          <w:spacing w:val="-4"/>
        </w:rPr>
        <w:t> </w:t>
      </w:r>
      <w:r>
        <w:rPr>
          <w:color w:val="231F20"/>
        </w:rPr>
        <w:t>élément,</w:t>
      </w:r>
      <w:r>
        <w:rPr>
          <w:color w:val="231F20"/>
          <w:spacing w:val="-4"/>
        </w:rPr>
        <w:t> </w:t>
      </w:r>
      <w:r>
        <w:rPr>
          <w:color w:val="231F20"/>
        </w:rPr>
        <w:t>chacune</w:t>
      </w:r>
      <w:r>
        <w:rPr>
          <w:color w:val="231F20"/>
          <w:spacing w:val="-4"/>
        </w:rPr>
        <w:t> </w:t>
      </w:r>
      <w:r>
        <w:rPr>
          <w:color w:val="231F20"/>
        </w:rPr>
        <w:t>des</w:t>
      </w:r>
      <w:r>
        <w:rPr>
          <w:color w:val="231F20"/>
          <w:spacing w:val="-3"/>
        </w:rPr>
        <w:t> </w:t>
      </w:r>
      <w:r>
        <w:rPr>
          <w:color w:val="231F20"/>
        </w:rPr>
        <w:t>sociétés</w:t>
      </w:r>
      <w:r>
        <w:rPr>
          <w:color w:val="231F20"/>
          <w:spacing w:val="-4"/>
        </w:rPr>
        <w:t> </w:t>
      </w:r>
      <w:r>
        <w:rPr>
          <w:color w:val="231F20"/>
        </w:rPr>
        <w:t>dans</w:t>
      </w:r>
      <w:r>
        <w:rPr>
          <w:color w:val="231F20"/>
          <w:spacing w:val="-4"/>
        </w:rPr>
        <w:t> </w:t>
      </w:r>
      <w:r>
        <w:rPr>
          <w:color w:val="231F20"/>
        </w:rPr>
        <w:t>le</w:t>
      </w:r>
      <w:r>
        <w:rPr>
          <w:color w:val="231F20"/>
          <w:spacing w:val="-4"/>
        </w:rPr>
        <w:t> </w:t>
      </w:r>
      <w:r>
        <w:rPr>
          <w:color w:val="231F20"/>
        </w:rPr>
        <w:t>cas de l’apport de branche d’activité ou, dans le cas de l’apport d’univer- salité, chacune des sociétés bénéficiaires, en est solidairement respon- sable.</w:t>
      </w:r>
    </w:p>
    <w:p>
      <w:pPr>
        <w:pStyle w:val="BodyText"/>
        <w:spacing w:before="82"/>
        <w:ind w:left="284" w:right="0" w:firstLine="0"/>
        <w:jc w:val="left"/>
      </w:pPr>
      <w:r>
        <w:rPr>
          <w:color w:val="231F20"/>
        </w:rPr>
        <w:t>CHAPITRE 3. Opposabilité.</w:t>
      </w:r>
    </w:p>
    <w:p>
      <w:pPr>
        <w:pStyle w:val="BodyText"/>
        <w:spacing w:line="218" w:lineRule="auto" w:before="93"/>
        <w:ind w:right="38"/>
      </w:pPr>
      <w:r>
        <w:rPr>
          <w:color w:val="231F20"/>
        </w:rPr>
        <w:t>Art. 12:98. L’apport est opposable aux tiers aux conditions prévues à l’article 2:18.</w:t>
      </w:r>
    </w:p>
    <w:p>
      <w:pPr>
        <w:pStyle w:val="BodyText"/>
        <w:spacing w:line="216" w:lineRule="auto" w:before="83"/>
        <w:ind w:right="38"/>
      </w:pPr>
      <w:r>
        <w:rPr>
          <w:color w:val="231F20"/>
        </w:rPr>
        <w:t>Les actes visés à l’article 1</w:t>
      </w:r>
      <w:r>
        <w:rPr>
          <w:color w:val="231F20"/>
          <w:position w:val="7"/>
          <w:sz w:val="11"/>
        </w:rPr>
        <w:t>er </w:t>
      </w:r>
      <w:r>
        <w:rPr>
          <w:color w:val="231F20"/>
        </w:rPr>
        <w:t>de  la  loi  hypothécaire  du  16  décem- bre 1851 et les actes visés aux chapitres II et III du titre I</w:t>
      </w:r>
      <w:r>
        <w:rPr>
          <w:color w:val="231F20"/>
          <w:position w:val="7"/>
          <w:sz w:val="11"/>
        </w:rPr>
        <w:t>er</w:t>
      </w:r>
      <w:r>
        <w:rPr>
          <w:color w:val="231F20"/>
        </w:rPr>
        <w:t>, livre II, du Code de commerce et à l’article 272 du livre II du même code ne sont opposables aux tiers que conformément aux lois spéciales en la</w:t>
      </w:r>
      <w:r>
        <w:rPr>
          <w:color w:val="231F20"/>
          <w:spacing w:val="-8"/>
        </w:rPr>
        <w:t> </w:t>
      </w:r>
      <w:r>
        <w:rPr>
          <w:color w:val="231F20"/>
        </w:rPr>
        <w:t>matière. Doit à cet </w:t>
      </w:r>
      <w:r>
        <w:rPr>
          <w:color w:val="231F20"/>
          <w:spacing w:val="-3"/>
        </w:rPr>
        <w:t>effet </w:t>
      </w:r>
      <w:r>
        <w:rPr>
          <w:color w:val="231F20"/>
        </w:rPr>
        <w:t>être soumis aux formalités de transcription ou d’inscription le procès-verbal de l’organe compétent de la société bénéficiaire portant approbation de</w:t>
      </w:r>
      <w:r>
        <w:rPr>
          <w:color w:val="231F20"/>
          <w:spacing w:val="19"/>
        </w:rPr>
        <w:t> </w:t>
      </w:r>
      <w:r>
        <w:rPr>
          <w:color w:val="231F20"/>
        </w:rPr>
        <w:t>l’apport.</w:t>
      </w:r>
    </w:p>
    <w:p>
      <w:pPr>
        <w:pStyle w:val="BodyText"/>
        <w:spacing w:before="7"/>
        <w:ind w:left="0" w:right="0" w:firstLine="0"/>
        <w:jc w:val="left"/>
        <w:rPr>
          <w:sz w:val="23"/>
        </w:rPr>
      </w:pPr>
    </w:p>
    <w:p>
      <w:pPr>
        <w:pStyle w:val="BodyText"/>
        <w:spacing w:line="218" w:lineRule="auto"/>
        <w:ind w:right="38"/>
      </w:pPr>
      <w:r>
        <w:rPr>
          <w:color w:val="231F20"/>
        </w:rPr>
        <w:t>La cession des droits de propriété intellectuelle et industrielle n’est opposable aux tiers qu’aux conditions prévues par les lois spéciales qui régissent ces opérations.</w:t>
      </w:r>
    </w:p>
    <w:p>
      <w:pPr>
        <w:pStyle w:val="BodyText"/>
        <w:spacing w:before="82"/>
        <w:ind w:left="283" w:right="0" w:firstLine="0"/>
        <w:jc w:val="left"/>
      </w:pPr>
      <w:r>
        <w:rPr>
          <w:color w:val="231F20"/>
        </w:rPr>
        <w:t>CHAPITRE 4. Fixation de sûretés.</w:t>
      </w:r>
    </w:p>
    <w:p>
      <w:pPr>
        <w:pStyle w:val="BodyText"/>
        <w:spacing w:line="218" w:lineRule="auto" w:before="93"/>
        <w:ind w:right="38"/>
      </w:pPr>
      <w:r>
        <w:rPr>
          <w:color w:val="231F20"/>
        </w:rPr>
        <w:t>Art. 12:99. Au plus tard dans les deux mois de la publication aux Annexes du </w:t>
      </w:r>
      <w:r>
        <w:rPr>
          <w:rFonts w:ascii="Times New Roman" w:hAnsi="Times New Roman"/>
          <w:i/>
          <w:color w:val="231F20"/>
        </w:rPr>
        <w:t>Moniteur belge </w:t>
      </w:r>
      <w:r>
        <w:rPr>
          <w:color w:val="231F20"/>
        </w:rPr>
        <w:t>des actes constatant l’apport, les créanciers de chacune des sociétés qui participent à l’opération, dont la créance</w:t>
      </w:r>
      <w:r>
        <w:rPr>
          <w:color w:val="231F20"/>
          <w:spacing w:val="-18"/>
        </w:rPr>
        <w:t> </w:t>
      </w:r>
      <w:r>
        <w:rPr>
          <w:color w:val="231F20"/>
        </w:rPr>
        <w:t>est certaine avant cette publication mais n’est pas encore exigible ou dont la créance a fait l’objet d’une action introduite en justice ou par voie d’arbitrage avant l’acte constatant l’apport, peuvent exiger une sûreté, nonobstant toute disposition</w:t>
      </w:r>
      <w:r>
        <w:rPr>
          <w:color w:val="231F20"/>
          <w:spacing w:val="2"/>
        </w:rPr>
        <w:t> </w:t>
      </w:r>
      <w:r>
        <w:rPr>
          <w:color w:val="231F20"/>
        </w:rPr>
        <w:t>contraire.</w:t>
      </w:r>
    </w:p>
    <w:p>
      <w:pPr>
        <w:pStyle w:val="BodyText"/>
        <w:spacing w:before="8"/>
        <w:ind w:left="0" w:right="0" w:firstLine="0"/>
        <w:jc w:val="left"/>
        <w:rPr>
          <w:sz w:val="23"/>
        </w:rPr>
      </w:pPr>
    </w:p>
    <w:p>
      <w:pPr>
        <w:pStyle w:val="BodyText"/>
        <w:spacing w:line="218" w:lineRule="auto"/>
        <w:ind w:right="38"/>
      </w:pPr>
      <w:r>
        <w:rPr>
          <w:color w:val="231F20"/>
        </w:rPr>
        <w:t>La société bénéficiaire à laquelle cette obligation est attribuée conformément au projet d’apport, et le cas échéant, la société appor- teuse peuvent chacune écarter cette demande en payant la créance à sa valeur, après déduction de</w:t>
      </w:r>
      <w:r>
        <w:rPr>
          <w:color w:val="231F20"/>
          <w:spacing w:val="20"/>
        </w:rPr>
        <w:t> </w:t>
      </w:r>
      <w:r>
        <w:rPr>
          <w:color w:val="231F20"/>
        </w:rPr>
        <w:t>l’escompte.</w:t>
      </w:r>
    </w:p>
    <w:p>
      <w:pPr>
        <w:pStyle w:val="BodyText"/>
        <w:ind w:left="0" w:right="0" w:firstLine="0"/>
        <w:jc w:val="left"/>
        <w:rPr>
          <w:sz w:val="24"/>
        </w:rPr>
      </w:pPr>
    </w:p>
    <w:p>
      <w:pPr>
        <w:pStyle w:val="BodyText"/>
        <w:spacing w:line="218" w:lineRule="auto"/>
        <w:ind w:right="38"/>
      </w:pPr>
      <w:r>
        <w:rPr>
          <w:color w:val="231F20"/>
        </w:rPr>
        <w:t>À défaut d’accord ou si le créancier n’a pas obtenu satisfaction, la partie la plus diligente soumet la contestation au président du tribunal de l’entreprise du siège de la société débitrice, siégeant en référé. Tous droits saufs au fond, le président détermine la sûreté à fournir par la société et fixe le délai dans lequel elle doit être constituée, à moins qu’il ne décide qu’aucune sûreté ne sera fournie, eu égard soit aux garanties</w:t>
      </w:r>
    </w:p>
    <w:p>
      <w:pPr>
        <w:pStyle w:val="BodyText"/>
        <w:spacing w:line="218" w:lineRule="auto" w:before="119"/>
      </w:pPr>
      <w:r>
        <w:rPr/>
        <w:br w:type="column"/>
      </w:r>
      <w:r>
        <w:rPr>
          <w:color w:val="231F20"/>
        </w:rPr>
        <w:t>Een kopie van het voorstel en van dat verslag wordt ten minste één maand vóór de algemene vergadering toegezonden aan de houders van aandelen op naam. Het wordt eveneens onverwijld toegestuurd aan de personen die de door de statuten vereiste formaliteiten hebben vervuld om tot de vergadering te worden toegelaten.</w:t>
      </w:r>
    </w:p>
    <w:p>
      <w:pPr>
        <w:pStyle w:val="BodyText"/>
        <w:spacing w:line="218" w:lineRule="auto" w:before="86"/>
      </w:pPr>
      <w:r>
        <w:rPr>
          <w:color w:val="231F20"/>
        </w:rPr>
        <w:t>Het tweede lid is evenwel niet van toepassing wanneer de vennoot- schappen die de inbreng doen, coöperatieve vennootschappen zijn, aangezien het voorstel en het verslag op de zetel van de vennootschap ter beschikking liggen van de aandeelhouders.</w:t>
      </w:r>
    </w:p>
    <w:p>
      <w:pPr>
        <w:pStyle w:val="BodyText"/>
        <w:spacing w:line="218" w:lineRule="auto" w:before="86"/>
      </w:pPr>
      <w:r>
        <w:rPr>
          <w:color w:val="231F20"/>
        </w:rPr>
        <w:t>§ 3. Het besluit om de inbreng te doen wordt genomen met naleving van de aanwezigheids- en meerderheidsvereisten voorgeschreven voor een statutenwijziging, tenzij de statuten strengere regels bevatten.</w:t>
      </w:r>
    </w:p>
    <w:p>
      <w:pPr>
        <w:pStyle w:val="BodyText"/>
        <w:spacing w:line="218" w:lineRule="auto" w:before="85"/>
      </w:pPr>
      <w:r>
        <w:rPr>
          <w:color w:val="231F20"/>
        </w:rPr>
        <w:t>In de commanditaire vennootschap en de coöperatieve vennootschap staat het stemrecht van de vennoten en de aandeelhouders in verhou- ding tot hun aandeel in het vennootschapsvermogen en wordt het aanwezigheidsquorum berekend op grond van dat vermogen.</w:t>
      </w:r>
    </w:p>
    <w:p>
      <w:pPr>
        <w:pStyle w:val="BodyText"/>
        <w:spacing w:line="218" w:lineRule="auto" w:before="86"/>
      </w:pPr>
      <w:r>
        <w:rPr>
          <w:color w:val="231F20"/>
        </w:rPr>
        <w:t>De instemming van alle vennoten is vereist bij de vennootschap onder firma; bij de commanditaire vennootschap is bovendien de instemming</w:t>
      </w:r>
      <w:r>
        <w:rPr>
          <w:color w:val="231F20"/>
          <w:spacing w:val="16"/>
        </w:rPr>
        <w:t> </w:t>
      </w:r>
      <w:r>
        <w:rPr>
          <w:color w:val="231F20"/>
        </w:rPr>
        <w:t>van</w:t>
      </w:r>
      <w:r>
        <w:rPr>
          <w:color w:val="231F20"/>
          <w:spacing w:val="16"/>
        </w:rPr>
        <w:t> </w:t>
      </w:r>
      <w:r>
        <w:rPr>
          <w:color w:val="231F20"/>
        </w:rPr>
        <w:t>alle</w:t>
      </w:r>
      <w:r>
        <w:rPr>
          <w:color w:val="231F20"/>
          <w:spacing w:val="16"/>
        </w:rPr>
        <w:t> </w:t>
      </w:r>
      <w:r>
        <w:rPr>
          <w:color w:val="231F20"/>
        </w:rPr>
        <w:t>gecommanditeerde</w:t>
      </w:r>
      <w:r>
        <w:rPr>
          <w:color w:val="231F20"/>
          <w:spacing w:val="16"/>
        </w:rPr>
        <w:t> </w:t>
      </w:r>
      <w:r>
        <w:rPr>
          <w:color w:val="231F20"/>
        </w:rPr>
        <w:t>vennoten</w:t>
      </w:r>
      <w:r>
        <w:rPr>
          <w:color w:val="231F20"/>
          <w:spacing w:val="17"/>
        </w:rPr>
        <w:t> </w:t>
      </w:r>
      <w:r>
        <w:rPr>
          <w:color w:val="231F20"/>
        </w:rPr>
        <w:t>vereist.</w:t>
      </w:r>
    </w:p>
    <w:p>
      <w:pPr>
        <w:pStyle w:val="BodyText"/>
        <w:spacing w:line="218" w:lineRule="auto" w:before="86"/>
      </w:pPr>
      <w:r>
        <w:rPr>
          <w:color w:val="231F20"/>
        </w:rPr>
        <w:t>Art. 12:95. De akte tot vaststelling van de inbreng van algemeenheid of van bedrijfstak wordt neergelegd en bij uittreksel bekendgemaakt overeenkomstig de artikelen 2:8 en 2:14, 1°.</w:t>
      </w:r>
    </w:p>
    <w:p>
      <w:pPr>
        <w:pStyle w:val="BodyText"/>
        <w:spacing w:before="71"/>
        <w:ind w:left="283" w:right="0" w:firstLine="0"/>
        <w:jc w:val="left"/>
      </w:pPr>
      <w:r>
        <w:rPr>
          <w:color w:val="231F20"/>
        </w:rPr>
        <w:t>HOOFDSTUK 2. Rechtsgevolgen.</w:t>
      </w:r>
    </w:p>
    <w:p>
      <w:pPr>
        <w:pStyle w:val="BodyText"/>
        <w:spacing w:line="218" w:lineRule="auto" w:before="82"/>
      </w:pPr>
      <w:r>
        <w:rPr>
          <w:color w:val="231F20"/>
        </w:rPr>
        <w:t>Art. 12:96. De inbreng van algemeenheid heeft van rechtswege tot gevolg dat het geheel van de activa en de passiva van de vennootschap die de inbreng heeft gedaan, wordt overgedragen aan de verkrijgende vennootschap.</w:t>
      </w:r>
    </w:p>
    <w:p>
      <w:pPr>
        <w:pStyle w:val="BodyText"/>
        <w:spacing w:line="218" w:lineRule="auto" w:before="86"/>
      </w:pPr>
      <w:r>
        <w:rPr>
          <w:color w:val="231F20"/>
        </w:rPr>
        <w:t>De inbreng van bedrijfstak heeft van rechtswege tot gevolg dat de daaraan verbonden activa en passiva worden overgedragen aan de verkrijgende vennootschap.</w:t>
      </w:r>
    </w:p>
    <w:p>
      <w:pPr>
        <w:pStyle w:val="BodyText"/>
        <w:spacing w:line="218" w:lineRule="auto" w:before="96"/>
      </w:pPr>
      <w:r>
        <w:rPr>
          <w:color w:val="231F20"/>
        </w:rPr>
        <w:t>Art. 12:97. </w:t>
      </w:r>
      <w:r>
        <w:rPr>
          <w:color w:val="231F20"/>
          <w:spacing w:val="-3"/>
        </w:rPr>
        <w:t>Wanneer </w:t>
      </w:r>
      <w:r>
        <w:rPr>
          <w:color w:val="231F20"/>
        </w:rPr>
        <w:t>een gedeelte van de activa van het vermogen in het voorstel van inbreng niet wordt toegekend en de tekst van het voorstel geen uitsluitsel geeft over de verdeling ervan, wordt dit gedeelte of de waarde ervan verdeeld over alle betrokken vennoot- schappen naar verhouding van het nettoactief dat aan ieder van hen in het</w:t>
      </w:r>
      <w:r>
        <w:rPr>
          <w:color w:val="231F20"/>
          <w:spacing w:val="15"/>
        </w:rPr>
        <w:t> </w:t>
      </w:r>
      <w:r>
        <w:rPr>
          <w:color w:val="231F20"/>
        </w:rPr>
        <w:t>voorstel</w:t>
      </w:r>
      <w:r>
        <w:rPr>
          <w:color w:val="231F20"/>
          <w:spacing w:val="15"/>
        </w:rPr>
        <w:t> </w:t>
      </w:r>
      <w:r>
        <w:rPr>
          <w:color w:val="231F20"/>
        </w:rPr>
        <w:t>van</w:t>
      </w:r>
      <w:r>
        <w:rPr>
          <w:color w:val="231F20"/>
          <w:spacing w:val="16"/>
        </w:rPr>
        <w:t> </w:t>
      </w:r>
      <w:r>
        <w:rPr>
          <w:color w:val="231F20"/>
        </w:rPr>
        <w:t>inbreng</w:t>
      </w:r>
      <w:r>
        <w:rPr>
          <w:color w:val="231F20"/>
          <w:spacing w:val="15"/>
        </w:rPr>
        <w:t> </w:t>
      </w:r>
      <w:r>
        <w:rPr>
          <w:color w:val="231F20"/>
        </w:rPr>
        <w:t>is</w:t>
      </w:r>
      <w:r>
        <w:rPr>
          <w:color w:val="231F20"/>
          <w:spacing w:val="16"/>
        </w:rPr>
        <w:t> </w:t>
      </w:r>
      <w:r>
        <w:rPr>
          <w:color w:val="231F20"/>
        </w:rPr>
        <w:t>toegekend.</w:t>
      </w:r>
    </w:p>
    <w:p>
      <w:pPr>
        <w:pStyle w:val="BodyText"/>
        <w:spacing w:line="218" w:lineRule="auto" w:before="96"/>
        <w:ind w:right="123"/>
      </w:pPr>
      <w:r>
        <w:rPr>
          <w:color w:val="231F20"/>
          <w:spacing w:val="-3"/>
        </w:rPr>
        <w:t>Wanneer </w:t>
      </w:r>
      <w:r>
        <w:rPr>
          <w:color w:val="231F20"/>
        </w:rPr>
        <w:t>een gedeelte van de passiva van het vermogen in het voorstel van inbreng niet wordt toegekend en de tekst van dit voorstel geen uitsluitsel geeft over de verdeling ervan, dan zijn, bij inbreng van bedrijfstak, alle vennootschappen en, bij inbreng van</w:t>
      </w:r>
      <w:r>
        <w:rPr>
          <w:color w:val="231F20"/>
          <w:spacing w:val="22"/>
        </w:rPr>
        <w:t> </w:t>
      </w:r>
      <w:r>
        <w:rPr>
          <w:color w:val="231F20"/>
        </w:rPr>
        <w:t>algemeenheid, alle</w:t>
      </w:r>
      <w:r>
        <w:rPr>
          <w:color w:val="231F20"/>
          <w:spacing w:val="23"/>
        </w:rPr>
        <w:t> </w:t>
      </w:r>
      <w:r>
        <w:rPr>
          <w:color w:val="231F20"/>
        </w:rPr>
        <w:t>verkrijgende</w:t>
      </w:r>
      <w:r>
        <w:rPr>
          <w:color w:val="231F20"/>
          <w:spacing w:val="23"/>
        </w:rPr>
        <w:t> </w:t>
      </w:r>
      <w:r>
        <w:rPr>
          <w:color w:val="231F20"/>
        </w:rPr>
        <w:t>vennootschappen</w:t>
      </w:r>
      <w:r>
        <w:rPr>
          <w:color w:val="231F20"/>
          <w:spacing w:val="23"/>
        </w:rPr>
        <w:t> </w:t>
      </w:r>
      <w:r>
        <w:rPr>
          <w:color w:val="231F20"/>
        </w:rPr>
        <w:t>daarvoor</w:t>
      </w:r>
      <w:r>
        <w:rPr>
          <w:color w:val="231F20"/>
          <w:spacing w:val="24"/>
        </w:rPr>
        <w:t> </w:t>
      </w:r>
      <w:r>
        <w:rPr>
          <w:color w:val="231F20"/>
        </w:rPr>
        <w:t>hoofdelijk</w:t>
      </w:r>
      <w:r>
        <w:rPr>
          <w:color w:val="231F20"/>
          <w:spacing w:val="23"/>
        </w:rPr>
        <w:t> </w:t>
      </w:r>
      <w:r>
        <w:rPr>
          <w:color w:val="231F20"/>
        </w:rPr>
        <w:t>aansprakelijk.</w:t>
      </w:r>
    </w:p>
    <w:p>
      <w:pPr>
        <w:pStyle w:val="BodyText"/>
        <w:spacing w:before="8"/>
        <w:ind w:left="0" w:right="0" w:firstLine="0"/>
        <w:jc w:val="left"/>
        <w:rPr>
          <w:sz w:val="22"/>
        </w:rPr>
      </w:pPr>
    </w:p>
    <w:p>
      <w:pPr>
        <w:pStyle w:val="BodyText"/>
        <w:spacing w:before="1"/>
        <w:ind w:left="283" w:right="0" w:firstLine="0"/>
        <w:jc w:val="left"/>
      </w:pPr>
      <w:r>
        <w:rPr>
          <w:color w:val="231F20"/>
        </w:rPr>
        <w:t>HOOFDSTUK  3.</w:t>
      </w:r>
      <w:r>
        <w:rPr>
          <w:color w:val="231F20"/>
          <w:spacing w:val="2"/>
        </w:rPr>
        <w:t> </w:t>
      </w:r>
      <w:r>
        <w:rPr>
          <w:color w:val="231F20"/>
        </w:rPr>
        <w:t>Tegenwerpelijkheid.</w:t>
      </w:r>
    </w:p>
    <w:p>
      <w:pPr>
        <w:pStyle w:val="BodyText"/>
        <w:spacing w:line="218" w:lineRule="auto" w:before="92"/>
      </w:pPr>
      <w:r>
        <w:rPr>
          <w:color w:val="231F20"/>
        </w:rPr>
        <w:t>Art. 12:98. De inbreng kan aan derden worden tegengeworpen onder de</w:t>
      </w:r>
      <w:r>
        <w:rPr>
          <w:color w:val="231F20"/>
          <w:spacing w:val="15"/>
        </w:rPr>
        <w:t> </w:t>
      </w:r>
      <w:r>
        <w:rPr>
          <w:color w:val="231F20"/>
        </w:rPr>
        <w:t>voorwaarden</w:t>
      </w:r>
      <w:r>
        <w:rPr>
          <w:color w:val="231F20"/>
          <w:spacing w:val="15"/>
        </w:rPr>
        <w:t> </w:t>
      </w:r>
      <w:r>
        <w:rPr>
          <w:color w:val="231F20"/>
        </w:rPr>
        <w:t>bepaald</w:t>
      </w:r>
      <w:r>
        <w:rPr>
          <w:color w:val="231F20"/>
          <w:spacing w:val="15"/>
        </w:rPr>
        <w:t> </w:t>
      </w:r>
      <w:r>
        <w:rPr>
          <w:color w:val="231F20"/>
        </w:rPr>
        <w:t>in</w:t>
      </w:r>
      <w:r>
        <w:rPr>
          <w:color w:val="231F20"/>
          <w:spacing w:val="16"/>
        </w:rPr>
        <w:t> </w:t>
      </w:r>
      <w:r>
        <w:rPr>
          <w:color w:val="231F20"/>
        </w:rPr>
        <w:t>artikel</w:t>
      </w:r>
      <w:r>
        <w:rPr>
          <w:color w:val="231F20"/>
          <w:spacing w:val="15"/>
        </w:rPr>
        <w:t> </w:t>
      </w:r>
      <w:r>
        <w:rPr>
          <w:color w:val="231F20"/>
        </w:rPr>
        <w:t>2:18.</w:t>
      </w:r>
    </w:p>
    <w:p>
      <w:pPr>
        <w:pStyle w:val="BodyText"/>
        <w:spacing w:line="218" w:lineRule="auto" w:before="96"/>
        <w:ind w:right="123"/>
      </w:pPr>
      <w:r>
        <w:rPr>
          <w:color w:val="231F20"/>
        </w:rPr>
        <w:t>De akten bedoeld in artikel 1 van de hypotheekwet van 16 decem-   ber 1851 en de akten bedoeld in de hoofdstukken II en III van titel I, boek II, van het </w:t>
      </w:r>
      <w:r>
        <w:rPr>
          <w:color w:val="231F20"/>
          <w:spacing w:val="-3"/>
        </w:rPr>
        <w:t>Wetboek </w:t>
      </w:r>
      <w:r>
        <w:rPr>
          <w:color w:val="231F20"/>
        </w:rPr>
        <w:t>van koophandel en in artikel 272 van boek II van hetzelfde wetboek, kunnen aan derden slechts worden</w:t>
      </w:r>
      <w:r>
        <w:rPr>
          <w:color w:val="231F20"/>
          <w:spacing w:val="28"/>
        </w:rPr>
        <w:t> </w:t>
      </w:r>
      <w:r>
        <w:rPr>
          <w:color w:val="231F20"/>
        </w:rPr>
        <w:t>tegenge- worpen overeenkomstig de bijzondere wetten ter zake. Daartoe moeten de notulen van het bevoegde orgaan van de verkrijgende vennootschap houdende goedkeuring van de inbreng, worden overgeschreven of ingeschreven.</w:t>
      </w:r>
    </w:p>
    <w:p>
      <w:pPr>
        <w:pStyle w:val="BodyText"/>
        <w:spacing w:line="218" w:lineRule="auto" w:before="97"/>
      </w:pPr>
      <w:r>
        <w:rPr>
          <w:color w:val="231F20"/>
        </w:rPr>
        <w:t>De overdracht van rechten van intellectuele en industriële eigendom kunnen aan derden slechts worden tegengeworpen onder de voorwaar- den bepaald bij de bijzondere wetten die deze verrichtingen beheersen.</w:t>
      </w:r>
    </w:p>
    <w:p>
      <w:pPr>
        <w:pStyle w:val="BodyText"/>
        <w:spacing w:before="82"/>
        <w:ind w:left="283" w:right="0" w:firstLine="0"/>
        <w:jc w:val="left"/>
      </w:pPr>
      <w:r>
        <w:rPr>
          <w:color w:val="231F20"/>
        </w:rPr>
        <w:t>HOOFDSTUK 4. Zekerheidstelling.</w:t>
      </w:r>
    </w:p>
    <w:p>
      <w:pPr>
        <w:pStyle w:val="BodyText"/>
        <w:spacing w:line="218" w:lineRule="auto" w:before="93"/>
      </w:pPr>
      <w:r>
        <w:rPr>
          <w:color w:val="231F20"/>
        </w:rPr>
        <w:t>Art. 12:99. Uiterlijk binnen twee maanden na de bekendmaking van de akten tot vaststelling van de inbreng in de Bijlagen bij het </w:t>
      </w:r>
      <w:r>
        <w:rPr>
          <w:rFonts w:ascii="Times New Roman" w:hAnsi="Times New Roman"/>
          <w:i/>
          <w:color w:val="231F20"/>
        </w:rPr>
        <w:t>Belgisch </w:t>
      </w:r>
      <w:r>
        <w:rPr>
          <w:rFonts w:ascii="Times New Roman" w:hAnsi="Times New Roman"/>
          <w:i/>
          <w:color w:val="231F20"/>
        </w:rPr>
        <w:t>Staatsblad</w:t>
      </w:r>
      <w:r>
        <w:rPr>
          <w:color w:val="231F20"/>
        </w:rPr>
        <w:t>, kunnen de schuldeisers van iedere vennootschap die aan de verrichting deelneemt wier vordering vaststaand is vóór die bekend- making maar nog niet opeisbaar is of die voor deze schuldvordering in rechte of via arbitrage een vordering hebben ingesteld vóór de akte houdende vaststelling van de inbreng, niettegenstaande anderslui- dende bepaling, zekerheid eisen.</w:t>
      </w:r>
    </w:p>
    <w:p>
      <w:pPr>
        <w:pStyle w:val="BodyText"/>
        <w:spacing w:line="218" w:lineRule="auto" w:before="91"/>
      </w:pPr>
      <w:r>
        <w:rPr>
          <w:color w:val="231F20"/>
        </w:rPr>
        <w:t>De verkrijgende vennootschap waaraan deze schuldvordering over- eenkomstig het voorstel van inbreng is toegekend en, in voorkomend geval, de vennootschap die de inbreng doet, kunnen elk deze eis afweren door de schuldvordering te voldoen tegen haar waarde, na aftrek van het</w:t>
      </w:r>
      <w:r>
        <w:rPr>
          <w:color w:val="231F20"/>
          <w:spacing w:val="4"/>
        </w:rPr>
        <w:t> </w:t>
      </w:r>
      <w:r>
        <w:rPr>
          <w:color w:val="231F20"/>
        </w:rPr>
        <w:t>disconto.</w:t>
      </w:r>
    </w:p>
    <w:p>
      <w:pPr>
        <w:pStyle w:val="BodyText"/>
        <w:spacing w:line="218" w:lineRule="auto" w:before="97"/>
      </w:pPr>
      <w:r>
        <w:rPr>
          <w:color w:val="231F20"/>
        </w:rPr>
        <w:t>Indien geen overeenstemming wordt bereikt of indien de schuldeiser geen voldoening heeft gekregen, legt de meest gerede partij het geschil voor aan de voorzitter van de ondernemingsrechtbank van de zetel van de schuldplichtige vennootschap, die zetelt in kort geding. Onvermin- derd de rechten in de zaak zelf bepaalt de voorzitter de zekerheid die  de vennootschap moet stellen en de termijn waarbinnen zulks</w:t>
      </w:r>
      <w:r>
        <w:rPr>
          <w:color w:val="231F20"/>
          <w:spacing w:val="-15"/>
        </w:rPr>
        <w:t> </w:t>
      </w:r>
      <w:r>
        <w:rPr>
          <w:color w:val="231F20"/>
        </w:rPr>
        <w:t>moet</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9"/>
        <w:ind w:right="0" w:firstLine="0"/>
        <w:jc w:val="left"/>
      </w:pPr>
      <w:r>
        <w:rPr/>
        <w:pict>
          <v:line style="position:absolute;mso-position-horizontal-relative:page;mso-position-vertical-relative:page;z-index:7048" from="298.170502pt,64.473pt" to="298.170502pt,812.819pt" stroked="true" strokeweight=".533pt" strokecolor="#231f20">
            <v:stroke dashstyle="solid"/>
            <w10:wrap type="none"/>
          </v:line>
        </w:pict>
      </w:r>
      <w:bookmarkStart w:name="_bookmark251" w:id="257"/>
      <w:bookmarkEnd w:id="257"/>
      <w:r>
        <w:rPr/>
      </w:r>
      <w:r>
        <w:rPr>
          <w:color w:val="231F20"/>
        </w:rPr>
        <w:t>et privilèges dont jouit le créancier, soit à la solvabilité de la société bénéficiaire intéressée.</w:t>
      </w:r>
    </w:p>
    <w:p>
      <w:pPr>
        <w:pStyle w:val="BodyText"/>
        <w:ind w:left="0" w:right="0" w:firstLine="0"/>
        <w:jc w:val="left"/>
        <w:rPr>
          <w:sz w:val="20"/>
        </w:rPr>
      </w:pPr>
    </w:p>
    <w:p>
      <w:pPr>
        <w:pStyle w:val="BodyText"/>
        <w:spacing w:before="5"/>
        <w:ind w:left="0" w:right="0" w:firstLine="0"/>
        <w:jc w:val="left"/>
        <w:rPr>
          <w:sz w:val="19"/>
        </w:rPr>
      </w:pPr>
    </w:p>
    <w:p>
      <w:pPr>
        <w:pStyle w:val="BodyText"/>
        <w:spacing w:line="218" w:lineRule="auto"/>
        <w:ind w:right="80"/>
      </w:pPr>
      <w:r>
        <w:rPr>
          <w:color w:val="231F20"/>
        </w:rPr>
        <w:t>Si la sûreté n’est pas fournie dans le délai fixé, la créance devient immédiatement exigible et les sociétés bénéficiaires sont tenues solidai- rement de cette obligation.</w:t>
      </w:r>
    </w:p>
    <w:p>
      <w:pPr>
        <w:pStyle w:val="BodyText"/>
        <w:spacing w:before="8"/>
        <w:ind w:left="0" w:right="0" w:firstLine="0"/>
        <w:jc w:val="left"/>
        <w:rPr>
          <w:sz w:val="22"/>
        </w:rPr>
      </w:pPr>
    </w:p>
    <w:p>
      <w:pPr>
        <w:pStyle w:val="BodyText"/>
        <w:ind w:left="283" w:right="0" w:firstLine="0"/>
        <w:jc w:val="left"/>
      </w:pPr>
      <w:r>
        <w:rPr>
          <w:color w:val="231F20"/>
        </w:rPr>
        <w:t>CHAPITRE 5. Responsabilité.</w:t>
      </w:r>
    </w:p>
    <w:p>
      <w:pPr>
        <w:pStyle w:val="BodyText"/>
        <w:spacing w:line="218" w:lineRule="auto" w:before="78"/>
        <w:ind w:right="81"/>
      </w:pPr>
      <w:r>
        <w:rPr>
          <w:color w:val="231F20"/>
        </w:rPr>
        <w:t>Art. 12:100. § 1</w:t>
      </w:r>
      <w:r>
        <w:rPr>
          <w:color w:val="231F20"/>
          <w:position w:val="7"/>
          <w:sz w:val="11"/>
        </w:rPr>
        <w:t>er</w:t>
      </w:r>
      <w:r>
        <w:rPr>
          <w:color w:val="231F20"/>
        </w:rPr>
        <w:t>. La société apporteuse demeure solidairement tenue des dettes certaines et exigibles au jour de l’apport qui sont transférées à une société bénéficiaire ainsi que des dettes qui font l’objet d’une action introduite en justice ou par voie d’arbitrage avant l’acte constatant</w:t>
      </w:r>
      <w:r>
        <w:rPr>
          <w:color w:val="231F20"/>
          <w:spacing w:val="14"/>
        </w:rPr>
        <w:t> </w:t>
      </w:r>
      <w:r>
        <w:rPr>
          <w:color w:val="231F20"/>
        </w:rPr>
        <w:t>l’apport.</w:t>
      </w:r>
    </w:p>
    <w:p>
      <w:pPr>
        <w:pStyle w:val="BodyText"/>
        <w:spacing w:before="10"/>
        <w:ind w:left="0" w:right="0" w:firstLine="0"/>
        <w:jc w:val="left"/>
        <w:rPr>
          <w:sz w:val="24"/>
        </w:rPr>
      </w:pPr>
    </w:p>
    <w:p>
      <w:pPr>
        <w:pStyle w:val="BodyText"/>
        <w:spacing w:line="218" w:lineRule="auto"/>
        <w:ind w:right="81"/>
      </w:pPr>
      <w:r>
        <w:rPr>
          <w:color w:val="231F20"/>
        </w:rPr>
        <w:t>Cette responsabilité est limitée à l’actif net conservé par la société apporteuse en dehors du patrimoine apporté.</w:t>
      </w:r>
    </w:p>
    <w:p>
      <w:pPr>
        <w:pStyle w:val="BodyText"/>
        <w:spacing w:line="218" w:lineRule="auto" w:before="107"/>
        <w:ind w:right="81"/>
      </w:pPr>
      <w:r>
        <w:rPr>
          <w:color w:val="231F20"/>
        </w:rPr>
        <w:t>§ 2. Si la société apporteuse est une société en nom collectif ou une société en commandite, les associés en nom collectif ou les associés commandités restent tenus solidairement et indéfiniment à l’égard des tiers des engagements de la société apporteuse antérieurs à l’opposa- bilité aux tiers de l’acte d’apport conformément à l’article 2:18.</w:t>
      </w:r>
    </w:p>
    <w:p>
      <w:pPr>
        <w:pStyle w:val="BodyText"/>
        <w:ind w:left="0" w:right="0" w:firstLine="0"/>
        <w:jc w:val="left"/>
        <w:rPr>
          <w:sz w:val="20"/>
        </w:rPr>
      </w:pPr>
    </w:p>
    <w:p>
      <w:pPr>
        <w:pStyle w:val="BodyText"/>
        <w:spacing w:before="1"/>
        <w:ind w:left="0" w:right="0" w:firstLine="0"/>
        <w:jc w:val="left"/>
        <w:rPr>
          <w:sz w:val="19"/>
        </w:rPr>
      </w:pPr>
    </w:p>
    <w:p>
      <w:pPr>
        <w:pStyle w:val="BodyText"/>
        <w:ind w:left="283" w:right="0" w:firstLine="0"/>
        <w:jc w:val="left"/>
      </w:pPr>
      <w:r>
        <w:rPr>
          <w:color w:val="231F20"/>
        </w:rPr>
        <w:t>CHAPITRE 6. Apport effectué par une personne physique.</w:t>
      </w:r>
    </w:p>
    <w:p>
      <w:pPr>
        <w:pStyle w:val="BodyText"/>
        <w:spacing w:line="218" w:lineRule="auto" w:before="104"/>
        <w:ind w:right="81"/>
      </w:pPr>
      <w:r>
        <w:rPr>
          <w:color w:val="231F20"/>
        </w:rPr>
        <w:t>Art. 12:101. En cas d’apport de branche d’activité à une société par une personne physique, les parties peuvent soumettre l’opération au régime organisé par les articles 12:93, 12:95, 12:97, alinéa 2, 12:98 à 12:100. Le projet d’apport est signé par l’apporteur lui-même. Pour la responsabilité visée à l’article 12:100, § 2, l’apporteur est assimilé à un associé solidairement tenu. L’apport a les effets visés à l’article 12:96.</w:t>
      </w:r>
    </w:p>
    <w:p>
      <w:pPr>
        <w:pStyle w:val="BodyText"/>
        <w:ind w:left="0" w:right="0" w:firstLine="0"/>
        <w:jc w:val="left"/>
        <w:rPr>
          <w:sz w:val="20"/>
        </w:rPr>
      </w:pPr>
    </w:p>
    <w:p>
      <w:pPr>
        <w:pStyle w:val="BodyText"/>
        <w:spacing w:before="1"/>
        <w:ind w:left="0" w:right="0" w:firstLine="0"/>
        <w:jc w:val="left"/>
        <w:rPr>
          <w:sz w:val="19"/>
        </w:rPr>
      </w:pPr>
    </w:p>
    <w:p>
      <w:pPr>
        <w:pStyle w:val="BodyText"/>
        <w:ind w:left="283" w:right="0" w:firstLine="0"/>
        <w:jc w:val="left"/>
      </w:pPr>
      <w:r>
        <w:rPr>
          <w:color w:val="231F20"/>
        </w:rPr>
        <w:t>CHAPITRE 7. Sanction.</w:t>
      </w:r>
    </w:p>
    <w:p>
      <w:pPr>
        <w:pStyle w:val="BodyText"/>
        <w:spacing w:line="218" w:lineRule="auto" w:before="104"/>
        <w:ind w:right="38"/>
      </w:pPr>
      <w:r>
        <w:rPr>
          <w:color w:val="231F20"/>
        </w:rPr>
        <w:t>Art. 12:102. Tout tiers intéressé peut se prévaloir de l’inopposabilité à son égard des effets de l’apport réalisé en violation des articles 12:93 à 12:95 et 12:97 à 12:99.</w:t>
      </w:r>
    </w:p>
    <w:p>
      <w:pPr>
        <w:pStyle w:val="BodyText"/>
        <w:spacing w:before="93"/>
        <w:ind w:left="283" w:right="0" w:firstLine="0"/>
        <w:jc w:val="left"/>
      </w:pPr>
      <w:r>
        <w:rPr>
          <w:color w:val="231F20"/>
        </w:rPr>
        <w:t>TITRE 4. Des cessions d’universalité ou de branche d’activité.</w:t>
      </w:r>
    </w:p>
    <w:p>
      <w:pPr>
        <w:pStyle w:val="BodyText"/>
        <w:spacing w:line="218" w:lineRule="auto" w:before="103"/>
        <w:ind w:right="81"/>
      </w:pPr>
      <w:r>
        <w:rPr>
          <w:color w:val="231F20"/>
        </w:rPr>
        <w:t>Art. 12:103. En cas de cession à titre gratuit ou onéreux d’une universalité ou d’une branche d’activité répondant aux définitions des articles 12:9 à 12:11, les parties peuvent soumettre l’opération au</w:t>
      </w:r>
      <w:r>
        <w:rPr>
          <w:color w:val="231F20"/>
          <w:spacing w:val="-9"/>
        </w:rPr>
        <w:t> </w:t>
      </w:r>
      <w:r>
        <w:rPr>
          <w:color w:val="231F20"/>
        </w:rPr>
        <w:t>régime organisé par les articles 12:93 à 12:95 et 12:97 à 12:100, ou au régime organisé par l’article</w:t>
      </w:r>
      <w:r>
        <w:rPr>
          <w:color w:val="231F20"/>
          <w:spacing w:val="3"/>
        </w:rPr>
        <w:t> </w:t>
      </w:r>
      <w:r>
        <w:rPr>
          <w:color w:val="231F20"/>
        </w:rPr>
        <w:t>12:101.</w:t>
      </w:r>
    </w:p>
    <w:p>
      <w:pPr>
        <w:pStyle w:val="BodyText"/>
        <w:spacing w:before="10"/>
        <w:ind w:left="0" w:right="0" w:firstLine="0"/>
        <w:jc w:val="left"/>
        <w:rPr>
          <w:sz w:val="24"/>
        </w:rPr>
      </w:pPr>
    </w:p>
    <w:p>
      <w:pPr>
        <w:pStyle w:val="BodyText"/>
        <w:spacing w:line="218" w:lineRule="auto"/>
        <w:ind w:right="80"/>
      </w:pPr>
      <w:r>
        <w:rPr>
          <w:color w:val="231F20"/>
        </w:rPr>
        <w:t>Cette volonté est mentionnée expressément dans le projet de cession établi conformément à l’article 12:93 et dans l’acte de cession déposé conformément à l’article 12:95. Cet acte de cession est établi en la</w:t>
      </w:r>
      <w:r>
        <w:rPr>
          <w:color w:val="231F20"/>
          <w:spacing w:val="-10"/>
        </w:rPr>
        <w:t> </w:t>
      </w:r>
      <w:r>
        <w:rPr>
          <w:color w:val="231F20"/>
        </w:rPr>
        <w:t>forme authentique.</w:t>
      </w:r>
    </w:p>
    <w:p>
      <w:pPr>
        <w:pStyle w:val="BodyText"/>
        <w:spacing w:line="218" w:lineRule="auto" w:before="107"/>
        <w:ind w:right="81"/>
      </w:pPr>
      <w:r>
        <w:rPr>
          <w:color w:val="231F20"/>
        </w:rPr>
        <w:t>La cession a en ce cas les effets visés à l’article 12:96 et les tiers peuvent se prévaloir de l’inopposabilité organisée par l’article 12:102.</w:t>
      </w:r>
    </w:p>
    <w:p>
      <w:pPr>
        <w:pStyle w:val="BodyText"/>
        <w:spacing w:before="7"/>
        <w:ind w:left="0" w:right="0" w:firstLine="0"/>
        <w:jc w:val="left"/>
        <w:rPr>
          <w:sz w:val="23"/>
        </w:rPr>
      </w:pPr>
    </w:p>
    <w:p>
      <w:pPr>
        <w:pStyle w:val="BodyText"/>
        <w:ind w:left="283" w:right="0" w:firstLine="0"/>
        <w:jc w:val="left"/>
      </w:pPr>
      <w:r>
        <w:rPr>
          <w:color w:val="231F20"/>
        </w:rPr>
        <w:t>TITRE 5. Dispositions d’exception.</w:t>
      </w:r>
    </w:p>
    <w:p>
      <w:pPr>
        <w:pStyle w:val="BodyText"/>
        <w:spacing w:line="218" w:lineRule="auto" w:before="104"/>
        <w:ind w:right="80"/>
      </w:pPr>
      <w:r>
        <w:rPr>
          <w:color w:val="231F20"/>
        </w:rPr>
        <w:t>Art. 12:104. La procédure prévue aux articles 6:8, 6:10, 6:110 et 12:1 à 12:91 n’est pas applicable aux fusions, scissions et apports de branches d’activité entre sociétés dans une fédération d’établissements de crédit, telle qu’elle est définie à l’article 239 la loi du 25 avril 2014 relative au statut et au contrôle des établissements de crédit et des sociétés de bourse pour autant que les conditions suivantes soient remplies:</w:t>
      </w:r>
    </w:p>
    <w:p>
      <w:pPr>
        <w:pStyle w:val="BodyText"/>
        <w:spacing w:before="7"/>
        <w:ind w:left="0" w:right="0" w:firstLine="0"/>
        <w:jc w:val="left"/>
        <w:rPr>
          <w:sz w:val="23"/>
        </w:rPr>
      </w:pPr>
    </w:p>
    <w:p>
      <w:pPr>
        <w:pStyle w:val="BodyText"/>
        <w:ind w:left="284" w:right="0" w:firstLine="0"/>
        <w:jc w:val="left"/>
      </w:pPr>
      <w:r>
        <w:rPr>
          <w:color w:val="231F20"/>
        </w:rPr>
        <w:t>1° il doit s’agir de sociétés coopératives;</w:t>
      </w:r>
    </w:p>
    <w:p>
      <w:pPr>
        <w:pStyle w:val="BodyText"/>
        <w:spacing w:line="218" w:lineRule="auto" w:before="103"/>
        <w:ind w:right="80"/>
      </w:pPr>
      <w:r>
        <w:rPr>
          <w:color w:val="231F20"/>
        </w:rPr>
        <w:t>2° les statuts doivent prévoir qu’en cas de retrait ou de liquidation de la société, les actionnaires n’ont droit qu’au montant nominal de leur apport et qu’en cas de dissolution de la société, les réserves sont transférées à l’organisme central ou à une autre société de la fédération;</w:t>
      </w:r>
    </w:p>
    <w:p>
      <w:pPr>
        <w:pStyle w:val="BodyText"/>
        <w:spacing w:before="10"/>
        <w:ind w:left="0" w:right="0" w:firstLine="0"/>
        <w:jc w:val="left"/>
        <w:rPr>
          <w:sz w:val="24"/>
        </w:rPr>
      </w:pPr>
    </w:p>
    <w:p>
      <w:pPr>
        <w:pStyle w:val="BodyText"/>
        <w:spacing w:line="218" w:lineRule="auto" w:before="1"/>
        <w:ind w:right="81"/>
      </w:pPr>
      <w:r>
        <w:rPr>
          <w:color w:val="231F20"/>
        </w:rPr>
        <w:t>3° la fusion, la scission ou l’apport de branche d’activité doit s’effectuer à la valeur comptable.</w:t>
      </w:r>
    </w:p>
    <w:p>
      <w:pPr>
        <w:pStyle w:val="BodyText"/>
        <w:spacing w:line="218" w:lineRule="auto" w:before="106"/>
        <w:ind w:right="80"/>
      </w:pPr>
      <w:r>
        <w:rPr>
          <w:color w:val="231F20"/>
        </w:rPr>
        <w:t>Art. 12:105. Dans le cas visé à l’article 12:104, la fusion, la scission ou l’apport de branche d’activité est réalisé après que les assemblées générales</w:t>
      </w:r>
      <w:r>
        <w:rPr>
          <w:color w:val="231F20"/>
          <w:spacing w:val="-6"/>
        </w:rPr>
        <w:t> </w:t>
      </w:r>
      <w:r>
        <w:rPr>
          <w:color w:val="231F20"/>
        </w:rPr>
        <w:t>des</w:t>
      </w:r>
      <w:r>
        <w:rPr>
          <w:color w:val="231F20"/>
          <w:spacing w:val="-6"/>
        </w:rPr>
        <w:t> </w:t>
      </w:r>
      <w:r>
        <w:rPr>
          <w:color w:val="231F20"/>
        </w:rPr>
        <w:t>sociétés</w:t>
      </w:r>
      <w:r>
        <w:rPr>
          <w:color w:val="231F20"/>
          <w:spacing w:val="-6"/>
        </w:rPr>
        <w:t> </w:t>
      </w:r>
      <w:r>
        <w:rPr>
          <w:color w:val="231F20"/>
        </w:rPr>
        <w:t>concernées,</w:t>
      </w:r>
      <w:r>
        <w:rPr>
          <w:color w:val="231F20"/>
          <w:spacing w:val="-6"/>
        </w:rPr>
        <w:t> </w:t>
      </w:r>
      <w:r>
        <w:rPr>
          <w:color w:val="231F20"/>
        </w:rPr>
        <w:t>délibérant</w:t>
      </w:r>
      <w:r>
        <w:rPr>
          <w:color w:val="231F20"/>
          <w:spacing w:val="-6"/>
        </w:rPr>
        <w:t> </w:t>
      </w:r>
      <w:r>
        <w:rPr>
          <w:color w:val="231F20"/>
        </w:rPr>
        <w:t>aux</w:t>
      </w:r>
      <w:r>
        <w:rPr>
          <w:color w:val="231F20"/>
          <w:spacing w:val="-6"/>
        </w:rPr>
        <w:t> </w:t>
      </w:r>
      <w:r>
        <w:rPr>
          <w:color w:val="231F20"/>
        </w:rPr>
        <w:t>conditions</w:t>
      </w:r>
      <w:r>
        <w:rPr>
          <w:color w:val="231F20"/>
          <w:spacing w:val="-6"/>
        </w:rPr>
        <w:t> </w:t>
      </w:r>
      <w:r>
        <w:rPr>
          <w:color w:val="231F20"/>
        </w:rPr>
        <w:t>de</w:t>
      </w:r>
      <w:r>
        <w:rPr>
          <w:color w:val="231F20"/>
          <w:spacing w:val="-6"/>
        </w:rPr>
        <w:t> </w:t>
      </w:r>
      <w:r>
        <w:rPr>
          <w:color w:val="231F20"/>
        </w:rPr>
        <w:t>majorité requises pour la modification des statuts, ont approuvé le projet de fusion, de scission ou d’apport de branche d’activité proposé par l’organe</w:t>
      </w:r>
      <w:r>
        <w:rPr>
          <w:color w:val="231F20"/>
          <w:spacing w:val="15"/>
        </w:rPr>
        <w:t> </w:t>
      </w:r>
      <w:r>
        <w:rPr>
          <w:color w:val="231F20"/>
        </w:rPr>
        <w:t>d’administration.</w:t>
      </w:r>
    </w:p>
    <w:p>
      <w:pPr>
        <w:pStyle w:val="BodyText"/>
        <w:spacing w:line="218" w:lineRule="auto" w:before="119"/>
        <w:ind w:firstLine="0"/>
      </w:pPr>
      <w:r>
        <w:rPr/>
        <w:br w:type="column"/>
      </w:r>
      <w:r>
        <w:rPr>
          <w:color w:val="231F20"/>
        </w:rPr>
        <w:t>gebeuren, tenzij hij beslist dat geen zekerheid moet worden gesteld gelet op de waarborgen en de voorrechten waarover de schuldeiser beschikt of gelet op de solvabiliteit van de betrokken verkrijgende vennootschap.</w:t>
      </w:r>
    </w:p>
    <w:p>
      <w:pPr>
        <w:pStyle w:val="BodyText"/>
        <w:spacing w:line="218" w:lineRule="auto" w:before="97"/>
      </w:pPr>
      <w:r>
        <w:rPr>
          <w:color w:val="231F20"/>
        </w:rPr>
        <w:t>Indien de zekerheid niet binnen de bepaalde termijn is gesteld, wordt de schuldvordering onmiddellijk opeisbaar en zijn de verkrijgende vennootschappen hoofdelijk gehouden tot nakoming van deze verbin- tenis.</w:t>
      </w:r>
    </w:p>
    <w:p>
      <w:pPr>
        <w:pStyle w:val="BodyText"/>
        <w:spacing w:before="82"/>
        <w:ind w:left="283" w:right="0" w:firstLine="0"/>
        <w:jc w:val="left"/>
      </w:pPr>
      <w:r>
        <w:rPr>
          <w:color w:val="231F20"/>
        </w:rPr>
        <w:t>HOOFDSTUK 5. Aansprakelijkheid.</w:t>
      </w:r>
    </w:p>
    <w:p>
      <w:pPr>
        <w:pStyle w:val="BodyText"/>
        <w:spacing w:line="218" w:lineRule="auto" w:before="93"/>
      </w:pPr>
      <w:r>
        <w:rPr>
          <w:color w:val="231F20"/>
        </w:rPr>
        <w:t>Art.</w:t>
      </w:r>
      <w:r>
        <w:rPr>
          <w:color w:val="231F20"/>
          <w:spacing w:val="-3"/>
        </w:rPr>
        <w:t> </w:t>
      </w:r>
      <w:r>
        <w:rPr>
          <w:color w:val="231F20"/>
        </w:rPr>
        <w:t>12:100.</w:t>
      </w:r>
      <w:r>
        <w:rPr>
          <w:color w:val="231F20"/>
          <w:spacing w:val="-3"/>
        </w:rPr>
        <w:t> </w:t>
      </w:r>
      <w:r>
        <w:rPr>
          <w:color w:val="231F20"/>
        </w:rPr>
        <w:t>§</w:t>
      </w:r>
      <w:r>
        <w:rPr>
          <w:color w:val="231F20"/>
          <w:spacing w:val="-3"/>
        </w:rPr>
        <w:t> </w:t>
      </w:r>
      <w:r>
        <w:rPr>
          <w:color w:val="231F20"/>
        </w:rPr>
        <w:t>1.</w:t>
      </w:r>
      <w:r>
        <w:rPr>
          <w:color w:val="231F20"/>
          <w:spacing w:val="-2"/>
        </w:rPr>
        <w:t> </w:t>
      </w:r>
      <w:r>
        <w:rPr>
          <w:color w:val="231F20"/>
        </w:rPr>
        <w:t>De</w:t>
      </w:r>
      <w:r>
        <w:rPr>
          <w:color w:val="231F20"/>
          <w:spacing w:val="-3"/>
        </w:rPr>
        <w:t> </w:t>
      </w:r>
      <w:r>
        <w:rPr>
          <w:color w:val="231F20"/>
        </w:rPr>
        <w:t>vennootschap</w:t>
      </w:r>
      <w:r>
        <w:rPr>
          <w:color w:val="231F20"/>
          <w:spacing w:val="-3"/>
        </w:rPr>
        <w:t> </w:t>
      </w:r>
      <w:r>
        <w:rPr>
          <w:color w:val="231F20"/>
        </w:rPr>
        <w:t>die</w:t>
      </w:r>
      <w:r>
        <w:rPr>
          <w:color w:val="231F20"/>
          <w:spacing w:val="-2"/>
        </w:rPr>
        <w:t> </w:t>
      </w:r>
      <w:r>
        <w:rPr>
          <w:color w:val="231F20"/>
        </w:rPr>
        <w:t>de</w:t>
      </w:r>
      <w:r>
        <w:rPr>
          <w:color w:val="231F20"/>
          <w:spacing w:val="-3"/>
        </w:rPr>
        <w:t> </w:t>
      </w:r>
      <w:r>
        <w:rPr>
          <w:color w:val="231F20"/>
        </w:rPr>
        <w:t>inbreng</w:t>
      </w:r>
      <w:r>
        <w:rPr>
          <w:color w:val="231F20"/>
          <w:spacing w:val="-3"/>
        </w:rPr>
        <w:t> </w:t>
      </w:r>
      <w:r>
        <w:rPr>
          <w:color w:val="231F20"/>
        </w:rPr>
        <w:t>doet,</w:t>
      </w:r>
      <w:r>
        <w:rPr>
          <w:color w:val="231F20"/>
          <w:spacing w:val="-2"/>
        </w:rPr>
        <w:t> </w:t>
      </w:r>
      <w:r>
        <w:rPr>
          <w:color w:val="231F20"/>
        </w:rPr>
        <w:t>blijft</w:t>
      </w:r>
      <w:r>
        <w:rPr>
          <w:color w:val="231F20"/>
          <w:spacing w:val="-3"/>
        </w:rPr>
        <w:t> </w:t>
      </w:r>
      <w:r>
        <w:rPr>
          <w:color w:val="231F20"/>
        </w:rPr>
        <w:t>hoofdelijk aansprakelijk voor de schulden die op de dag van de inbreng zeker en opeisbaar zijn en die worden overgedragen aan een verkrijgende vennootschap en voor de schulden waarvoor een vordering in rechte of via arbitrage werd ingesteld vóór de akte houdende vaststelling van de inbreng.</w:t>
      </w:r>
    </w:p>
    <w:p>
      <w:pPr>
        <w:pStyle w:val="BodyText"/>
        <w:spacing w:line="218" w:lineRule="auto" w:before="107"/>
      </w:pPr>
      <w:r>
        <w:rPr>
          <w:color w:val="231F20"/>
        </w:rPr>
        <w:t>Deze aansprakelijkheid is beperkt tot het nettoactief dat de inbreng- ende vennootschap behoudt buiten het ingebrachte vermogen.</w:t>
      </w:r>
    </w:p>
    <w:p>
      <w:pPr>
        <w:pStyle w:val="BodyText"/>
        <w:spacing w:line="218" w:lineRule="auto" w:before="107"/>
      </w:pPr>
      <w:r>
        <w:rPr>
          <w:color w:val="231F20"/>
        </w:rPr>
        <w:t>§ 2. Indien de vennootschap die de inbreng doet, een vennootschap onder firma is of een commanditaire vennootschap, blijven de</w:t>
      </w:r>
      <w:r>
        <w:rPr>
          <w:color w:val="231F20"/>
          <w:spacing w:val="-11"/>
        </w:rPr>
        <w:t> </w:t>
      </w:r>
      <w:r>
        <w:rPr>
          <w:color w:val="231F20"/>
        </w:rPr>
        <w:t>vennoten onder firma of de gecommanditeerde vennoten jegens derden hoofde- lijk en onbeperkt aansprakelijk voor de verbintenissen van de inbren- gende vennootschap die zijn ontstaan vóór het tijdstip vanaf wanneer de akte van inbreng overeenkomstig artikel 2:18 aan derden kan worden</w:t>
      </w:r>
      <w:r>
        <w:rPr>
          <w:color w:val="231F20"/>
          <w:spacing w:val="15"/>
        </w:rPr>
        <w:t> </w:t>
      </w:r>
      <w:r>
        <w:rPr>
          <w:color w:val="231F20"/>
        </w:rPr>
        <w:t>tegengeworpen.</w:t>
      </w:r>
    </w:p>
    <w:p>
      <w:pPr>
        <w:pStyle w:val="BodyText"/>
        <w:spacing w:before="93"/>
        <w:ind w:left="283" w:right="0" w:firstLine="0"/>
        <w:jc w:val="left"/>
      </w:pPr>
      <w:r>
        <w:rPr>
          <w:color w:val="231F20"/>
        </w:rPr>
        <w:t>HOOFDSTUK 6. Inbreng gedaan door een natuurlijke persoon.</w:t>
      </w:r>
    </w:p>
    <w:p>
      <w:pPr>
        <w:pStyle w:val="BodyText"/>
        <w:spacing w:line="218" w:lineRule="auto" w:before="103"/>
        <w:ind w:right="125"/>
      </w:pPr>
      <w:r>
        <w:rPr>
          <w:color w:val="231F20"/>
        </w:rPr>
        <w:t>Art. 12:101. Wanneer een natuurlijke persoon een bedrijfstak in een vennootschap inbrengt, kunnen de partijen deze verrichting onderwer- pen aan de regeling omschreven in de artikelen 12:93, 12:95, 12:97, tweede lid, 12:98 tot 12:100. Het voorstel van inbreng wordt door de inbrenger zelf ondertekend. In verband met de aansprakelijkheid bedoeld in artikel 12:100, § 2, wordt de inbrenger gelijkgesteld met een hoofdelijk aansprakelijke vennoot. De inbreng heeft de gevolgen bedoeld in artikel 12:96.</w:t>
      </w:r>
    </w:p>
    <w:p>
      <w:pPr>
        <w:pStyle w:val="BodyText"/>
        <w:spacing w:before="93"/>
        <w:ind w:left="283" w:right="0" w:firstLine="0"/>
        <w:jc w:val="left"/>
      </w:pPr>
      <w:r>
        <w:rPr>
          <w:color w:val="231F20"/>
        </w:rPr>
        <w:t>HOOFDSTUK 7. Sanctie.</w:t>
      </w:r>
    </w:p>
    <w:p>
      <w:pPr>
        <w:pStyle w:val="BodyText"/>
        <w:spacing w:line="218" w:lineRule="auto" w:before="104"/>
      </w:pPr>
      <w:r>
        <w:rPr>
          <w:color w:val="231F20"/>
        </w:rPr>
        <w:t>Art. 12:102. Iedere belanghebbende derde kan zich beroepen op de niet-tegenwerpelijkheid van de gevolgen van de inbreng gedaan in strijd</w:t>
      </w:r>
      <w:r>
        <w:rPr>
          <w:color w:val="231F20"/>
          <w:spacing w:val="10"/>
        </w:rPr>
        <w:t> </w:t>
      </w:r>
      <w:r>
        <w:rPr>
          <w:color w:val="231F20"/>
        </w:rPr>
        <w:t>met</w:t>
      </w:r>
      <w:r>
        <w:rPr>
          <w:color w:val="231F20"/>
          <w:spacing w:val="11"/>
        </w:rPr>
        <w:t> </w:t>
      </w:r>
      <w:r>
        <w:rPr>
          <w:color w:val="231F20"/>
        </w:rPr>
        <w:t>de</w:t>
      </w:r>
      <w:r>
        <w:rPr>
          <w:color w:val="231F20"/>
          <w:spacing w:val="11"/>
        </w:rPr>
        <w:t> </w:t>
      </w:r>
      <w:r>
        <w:rPr>
          <w:color w:val="231F20"/>
        </w:rPr>
        <w:t>artikelen</w:t>
      </w:r>
      <w:r>
        <w:rPr>
          <w:color w:val="231F20"/>
          <w:spacing w:val="11"/>
        </w:rPr>
        <w:t> </w:t>
      </w:r>
      <w:r>
        <w:rPr>
          <w:color w:val="231F20"/>
        </w:rPr>
        <w:t>12:93</w:t>
      </w:r>
      <w:r>
        <w:rPr>
          <w:color w:val="231F20"/>
          <w:spacing w:val="11"/>
        </w:rPr>
        <w:t> </w:t>
      </w:r>
      <w:r>
        <w:rPr>
          <w:color w:val="231F20"/>
        </w:rPr>
        <w:t>tot</w:t>
      </w:r>
      <w:r>
        <w:rPr>
          <w:color w:val="231F20"/>
          <w:spacing w:val="11"/>
        </w:rPr>
        <w:t> </w:t>
      </w:r>
      <w:r>
        <w:rPr>
          <w:color w:val="231F20"/>
        </w:rPr>
        <w:t>12:95</w:t>
      </w:r>
      <w:r>
        <w:rPr>
          <w:color w:val="231F20"/>
          <w:spacing w:val="11"/>
        </w:rPr>
        <w:t> </w:t>
      </w:r>
      <w:r>
        <w:rPr>
          <w:color w:val="231F20"/>
        </w:rPr>
        <w:t>en</w:t>
      </w:r>
      <w:r>
        <w:rPr>
          <w:color w:val="231F20"/>
          <w:spacing w:val="10"/>
        </w:rPr>
        <w:t> </w:t>
      </w:r>
      <w:r>
        <w:rPr>
          <w:color w:val="231F20"/>
        </w:rPr>
        <w:t>12:97</w:t>
      </w:r>
      <w:r>
        <w:rPr>
          <w:color w:val="231F20"/>
          <w:spacing w:val="11"/>
        </w:rPr>
        <w:t> </w:t>
      </w:r>
      <w:r>
        <w:rPr>
          <w:color w:val="231F20"/>
        </w:rPr>
        <w:t>tot</w:t>
      </w:r>
      <w:r>
        <w:rPr>
          <w:color w:val="231F20"/>
          <w:spacing w:val="11"/>
        </w:rPr>
        <w:t> </w:t>
      </w:r>
      <w:r>
        <w:rPr>
          <w:color w:val="231F20"/>
        </w:rPr>
        <w:t>12:99.</w:t>
      </w:r>
    </w:p>
    <w:p>
      <w:pPr>
        <w:pStyle w:val="BodyText"/>
        <w:spacing w:before="92"/>
        <w:ind w:left="283" w:right="0" w:firstLine="0"/>
        <w:jc w:val="left"/>
      </w:pPr>
      <w:r>
        <w:rPr>
          <w:color w:val="231F20"/>
        </w:rPr>
        <w:t>TITEL 4. Overdrachten van algemeenheid of van bedrijfstak.</w:t>
      </w:r>
    </w:p>
    <w:p>
      <w:pPr>
        <w:pStyle w:val="BodyText"/>
        <w:spacing w:line="218" w:lineRule="auto" w:before="104"/>
      </w:pPr>
      <w:r>
        <w:rPr>
          <w:color w:val="231F20"/>
        </w:rPr>
        <w:t>Art. 12:103. In geval van overdracht om niet of onder bezwarende titel van een algemeenheid of van een bedrijfstak, als bedoeld in de definities gegeven in de artikelen 12:9 tot 12:11, kunnen de partijen</w:t>
      </w:r>
      <w:r>
        <w:rPr>
          <w:color w:val="231F20"/>
          <w:spacing w:val="-4"/>
        </w:rPr>
        <w:t> </w:t>
      </w:r>
      <w:r>
        <w:rPr>
          <w:color w:val="231F20"/>
        </w:rPr>
        <w:t>deze verrichting onderwerpen aan de regeling omschreven  in  de  artike-  len</w:t>
      </w:r>
      <w:r>
        <w:rPr>
          <w:color w:val="231F20"/>
          <w:spacing w:val="-3"/>
        </w:rPr>
        <w:t> </w:t>
      </w:r>
      <w:r>
        <w:rPr>
          <w:color w:val="231F20"/>
        </w:rPr>
        <w:t>12:93</w:t>
      </w:r>
      <w:r>
        <w:rPr>
          <w:color w:val="231F20"/>
          <w:spacing w:val="-3"/>
        </w:rPr>
        <w:t> </w:t>
      </w:r>
      <w:r>
        <w:rPr>
          <w:color w:val="231F20"/>
        </w:rPr>
        <w:t>tot</w:t>
      </w:r>
      <w:r>
        <w:rPr>
          <w:color w:val="231F20"/>
          <w:spacing w:val="-2"/>
        </w:rPr>
        <w:t> </w:t>
      </w:r>
      <w:r>
        <w:rPr>
          <w:color w:val="231F20"/>
        </w:rPr>
        <w:t>12:95</w:t>
      </w:r>
      <w:r>
        <w:rPr>
          <w:color w:val="231F20"/>
          <w:spacing w:val="-3"/>
        </w:rPr>
        <w:t> </w:t>
      </w:r>
      <w:r>
        <w:rPr>
          <w:color w:val="231F20"/>
        </w:rPr>
        <w:t>en</w:t>
      </w:r>
      <w:r>
        <w:rPr>
          <w:color w:val="231F20"/>
          <w:spacing w:val="-3"/>
        </w:rPr>
        <w:t> </w:t>
      </w:r>
      <w:r>
        <w:rPr>
          <w:color w:val="231F20"/>
        </w:rPr>
        <w:t>12:97</w:t>
      </w:r>
      <w:r>
        <w:rPr>
          <w:color w:val="231F20"/>
          <w:spacing w:val="-2"/>
        </w:rPr>
        <w:t> </w:t>
      </w:r>
      <w:r>
        <w:rPr>
          <w:color w:val="231F20"/>
        </w:rPr>
        <w:t>tot</w:t>
      </w:r>
      <w:r>
        <w:rPr>
          <w:color w:val="231F20"/>
          <w:spacing w:val="-3"/>
        </w:rPr>
        <w:t> </w:t>
      </w:r>
      <w:r>
        <w:rPr>
          <w:color w:val="231F20"/>
        </w:rPr>
        <w:t>12:100,</w:t>
      </w:r>
      <w:r>
        <w:rPr>
          <w:color w:val="231F20"/>
          <w:spacing w:val="-2"/>
        </w:rPr>
        <w:t> </w:t>
      </w:r>
      <w:r>
        <w:rPr>
          <w:color w:val="231F20"/>
        </w:rPr>
        <w:t>of</w:t>
      </w:r>
      <w:r>
        <w:rPr>
          <w:color w:val="231F20"/>
          <w:spacing w:val="-3"/>
        </w:rPr>
        <w:t> </w:t>
      </w:r>
      <w:r>
        <w:rPr>
          <w:color w:val="231F20"/>
        </w:rPr>
        <w:t>aan</w:t>
      </w:r>
      <w:r>
        <w:rPr>
          <w:color w:val="231F20"/>
          <w:spacing w:val="-3"/>
        </w:rPr>
        <w:t> </w:t>
      </w:r>
      <w:r>
        <w:rPr>
          <w:color w:val="231F20"/>
        </w:rPr>
        <w:t>de</w:t>
      </w:r>
      <w:r>
        <w:rPr>
          <w:color w:val="231F20"/>
          <w:spacing w:val="-2"/>
        </w:rPr>
        <w:t> </w:t>
      </w:r>
      <w:r>
        <w:rPr>
          <w:color w:val="231F20"/>
        </w:rPr>
        <w:t>regeling</w:t>
      </w:r>
      <w:r>
        <w:rPr>
          <w:color w:val="231F20"/>
          <w:spacing w:val="-3"/>
        </w:rPr>
        <w:t> </w:t>
      </w:r>
      <w:r>
        <w:rPr>
          <w:color w:val="231F20"/>
        </w:rPr>
        <w:t>omschreven</w:t>
      </w:r>
      <w:r>
        <w:rPr>
          <w:color w:val="231F20"/>
          <w:spacing w:val="-2"/>
        </w:rPr>
        <w:t> </w:t>
      </w:r>
      <w:r>
        <w:rPr>
          <w:color w:val="231F20"/>
        </w:rPr>
        <w:t>in artikel</w:t>
      </w:r>
      <w:r>
        <w:rPr>
          <w:color w:val="231F20"/>
          <w:spacing w:val="14"/>
        </w:rPr>
        <w:t> </w:t>
      </w:r>
      <w:r>
        <w:rPr>
          <w:color w:val="231F20"/>
        </w:rPr>
        <w:t>12:101.</w:t>
      </w:r>
    </w:p>
    <w:p>
      <w:pPr>
        <w:pStyle w:val="BodyText"/>
        <w:spacing w:line="218" w:lineRule="auto" w:before="107"/>
      </w:pPr>
      <w:r>
        <w:rPr>
          <w:color w:val="231F20"/>
        </w:rPr>
        <w:t>Hiervan wordt uitdrukkelijk melding gemaakt in het voorstel van overdracht opgesteld overeenkomstig artikel 12:93, alsook in de akte van overdracht neergelegd overeenkomstig artikel 12:95. Die akte van overdracht wordt in authentieke vorm opgemaakt.</w:t>
      </w:r>
    </w:p>
    <w:p>
      <w:pPr>
        <w:pStyle w:val="BodyText"/>
        <w:spacing w:line="218" w:lineRule="auto" w:before="107"/>
      </w:pPr>
      <w:r>
        <w:rPr>
          <w:color w:val="231F20"/>
        </w:rPr>
        <w:t>In  dat  geval  heeft  de  overdracht  de  gevolgen  bedoeld  in  arti-  kel 12:96 en derden kunnen de bij artikel 12:102 ingestelde niet- tegenwerpelijkheid doen</w:t>
      </w:r>
      <w:r>
        <w:rPr>
          <w:color w:val="231F20"/>
          <w:spacing w:val="-10"/>
        </w:rPr>
        <w:t> </w:t>
      </w:r>
      <w:r>
        <w:rPr>
          <w:color w:val="231F20"/>
        </w:rPr>
        <w:t>gelden.</w:t>
      </w:r>
    </w:p>
    <w:p>
      <w:pPr>
        <w:pStyle w:val="BodyText"/>
        <w:spacing w:before="93"/>
        <w:ind w:left="283" w:right="0" w:firstLine="0"/>
        <w:jc w:val="left"/>
      </w:pPr>
      <w:r>
        <w:rPr>
          <w:color w:val="231F20"/>
        </w:rPr>
        <w:t>TITEL 5. Uitzonderingsbepalingen.</w:t>
      </w:r>
    </w:p>
    <w:p>
      <w:pPr>
        <w:pStyle w:val="BodyText"/>
        <w:spacing w:line="218" w:lineRule="auto" w:before="103"/>
      </w:pPr>
      <w:r>
        <w:rPr>
          <w:color w:val="231F20"/>
        </w:rPr>
        <w:t>Art. 12:104. De procedure omschreven in de artikelen 6:8, 6:10,  6:110 en 12:1 tot 12:91 is niet van toepassing op fusies, splitsingen en inbrengen van bedrijfstakken tussen vennootschappen in een federatie van kredietinstellingen, zoals gedefinieerd in artikel 239 van de wet van 25</w:t>
      </w:r>
      <w:r>
        <w:rPr>
          <w:color w:val="231F20"/>
          <w:spacing w:val="-5"/>
        </w:rPr>
        <w:t> </w:t>
      </w:r>
      <w:r>
        <w:rPr>
          <w:color w:val="231F20"/>
        </w:rPr>
        <w:t>april</w:t>
      </w:r>
      <w:r>
        <w:rPr>
          <w:color w:val="231F20"/>
          <w:spacing w:val="-5"/>
        </w:rPr>
        <w:t> </w:t>
      </w:r>
      <w:r>
        <w:rPr>
          <w:color w:val="231F20"/>
        </w:rPr>
        <w:t>2014</w:t>
      </w:r>
      <w:r>
        <w:rPr>
          <w:color w:val="231F20"/>
          <w:spacing w:val="-5"/>
        </w:rPr>
        <w:t> </w:t>
      </w:r>
      <w:r>
        <w:rPr>
          <w:color w:val="231F20"/>
        </w:rPr>
        <w:t>op</w:t>
      </w:r>
      <w:r>
        <w:rPr>
          <w:color w:val="231F20"/>
          <w:spacing w:val="-4"/>
        </w:rPr>
        <w:t> </w:t>
      </w:r>
      <w:r>
        <w:rPr>
          <w:color w:val="231F20"/>
        </w:rPr>
        <w:t>het</w:t>
      </w:r>
      <w:r>
        <w:rPr>
          <w:color w:val="231F20"/>
          <w:spacing w:val="-5"/>
        </w:rPr>
        <w:t> </w:t>
      </w:r>
      <w:r>
        <w:rPr>
          <w:color w:val="231F20"/>
        </w:rPr>
        <w:t>statuut</w:t>
      </w:r>
      <w:r>
        <w:rPr>
          <w:color w:val="231F20"/>
          <w:spacing w:val="-5"/>
        </w:rPr>
        <w:t> </w:t>
      </w:r>
      <w:r>
        <w:rPr>
          <w:color w:val="231F20"/>
        </w:rPr>
        <w:t>van</w:t>
      </w:r>
      <w:r>
        <w:rPr>
          <w:color w:val="231F20"/>
          <w:spacing w:val="-4"/>
        </w:rPr>
        <w:t> </w:t>
      </w:r>
      <w:r>
        <w:rPr>
          <w:color w:val="231F20"/>
        </w:rPr>
        <w:t>en</w:t>
      </w:r>
      <w:r>
        <w:rPr>
          <w:color w:val="231F20"/>
          <w:spacing w:val="-5"/>
        </w:rPr>
        <w:t> </w:t>
      </w:r>
      <w:r>
        <w:rPr>
          <w:color w:val="231F20"/>
        </w:rPr>
        <w:t>het</w:t>
      </w:r>
      <w:r>
        <w:rPr>
          <w:color w:val="231F20"/>
          <w:spacing w:val="-5"/>
        </w:rPr>
        <w:t> </w:t>
      </w:r>
      <w:r>
        <w:rPr>
          <w:color w:val="231F20"/>
        </w:rPr>
        <w:t>toezicht</w:t>
      </w:r>
      <w:r>
        <w:rPr>
          <w:color w:val="231F20"/>
          <w:spacing w:val="-4"/>
        </w:rPr>
        <w:t> </w:t>
      </w:r>
      <w:r>
        <w:rPr>
          <w:color w:val="231F20"/>
        </w:rPr>
        <w:t>op</w:t>
      </w:r>
      <w:r>
        <w:rPr>
          <w:color w:val="231F20"/>
          <w:spacing w:val="-5"/>
        </w:rPr>
        <w:t> </w:t>
      </w:r>
      <w:r>
        <w:rPr>
          <w:color w:val="231F20"/>
        </w:rPr>
        <w:t>kredietinstellingen</w:t>
      </w:r>
      <w:r>
        <w:rPr>
          <w:color w:val="231F20"/>
          <w:spacing w:val="-5"/>
        </w:rPr>
        <w:t> </w:t>
      </w:r>
      <w:r>
        <w:rPr>
          <w:color w:val="231F20"/>
        </w:rPr>
        <w:t>en beursvennootschappen voor zover aan de volgende voorwaarden is voldaan:</w:t>
      </w:r>
    </w:p>
    <w:p>
      <w:pPr>
        <w:pStyle w:val="BodyText"/>
        <w:spacing w:before="93"/>
        <w:ind w:left="283" w:right="0" w:firstLine="0"/>
        <w:jc w:val="left"/>
      </w:pPr>
      <w:r>
        <w:rPr>
          <w:color w:val="231F20"/>
        </w:rPr>
        <w:t>1° het moet gaan om coöperatieve vennootschappen;</w:t>
      </w:r>
    </w:p>
    <w:p>
      <w:pPr>
        <w:pStyle w:val="BodyText"/>
        <w:spacing w:line="218" w:lineRule="auto" w:before="103"/>
      </w:pPr>
      <w:r>
        <w:rPr>
          <w:color w:val="231F20"/>
        </w:rPr>
        <w:t>2° de statuten moeten bepalen dat de aandeelhouders bij uittreding of bij vereffening van de vennootschap slechts recht hebben op</w:t>
      </w:r>
      <w:r>
        <w:rPr>
          <w:color w:val="231F20"/>
          <w:spacing w:val="24"/>
        </w:rPr>
        <w:t> </w:t>
      </w:r>
      <w:r>
        <w:rPr>
          <w:color w:val="231F20"/>
        </w:rPr>
        <w:t>het nominale bedrag van hun inbreng en dat de reserves bij ontbinding van de vennootschap naar de centrale instelling of een andere</w:t>
      </w:r>
      <w:r>
        <w:rPr>
          <w:color w:val="231F20"/>
          <w:spacing w:val="19"/>
        </w:rPr>
        <w:t> </w:t>
      </w:r>
      <w:r>
        <w:rPr>
          <w:color w:val="231F20"/>
        </w:rPr>
        <w:t>vennoot- schap</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federatie</w:t>
      </w:r>
      <w:r>
        <w:rPr>
          <w:color w:val="231F20"/>
          <w:spacing w:val="16"/>
        </w:rPr>
        <w:t> </w:t>
      </w:r>
      <w:r>
        <w:rPr>
          <w:color w:val="231F20"/>
        </w:rPr>
        <w:t>worden</w:t>
      </w:r>
      <w:r>
        <w:rPr>
          <w:color w:val="231F20"/>
          <w:spacing w:val="16"/>
        </w:rPr>
        <w:t> </w:t>
      </w:r>
      <w:r>
        <w:rPr>
          <w:color w:val="231F20"/>
        </w:rPr>
        <w:t>overgeboekt;</w:t>
      </w:r>
    </w:p>
    <w:p>
      <w:pPr>
        <w:pStyle w:val="BodyText"/>
        <w:spacing w:line="218" w:lineRule="auto" w:before="107"/>
      </w:pPr>
      <w:r>
        <w:rPr>
          <w:color w:val="231F20"/>
        </w:rPr>
        <w:t>3° de fusie, de splitsing of de inbreng van bedrijfstak gebeurt tegen boekwaarde.</w:t>
      </w:r>
    </w:p>
    <w:p>
      <w:pPr>
        <w:pStyle w:val="BodyText"/>
        <w:spacing w:line="218" w:lineRule="auto" w:before="107"/>
      </w:pPr>
      <w:r>
        <w:rPr>
          <w:color w:val="231F20"/>
        </w:rPr>
        <w:t>Art. 12:105. In het geval bedoeld in artikel 12:104 wordt de fusie, de splitsing of de inbreng van bedrijfstak tot stand gebracht nadat de algemene vergaderingen van de betrokken vennootschappen, die een besluit nemen met inachtneming van de voorschriften inzake meerder- heid vereist voor een statutenwijziging, hebben ingestemd met het door het bestuursorgaan gedane voorstel tot fusie, splitsing of inbreng van bedrijfstak.</w:t>
      </w:r>
    </w:p>
    <w:p>
      <w:pPr>
        <w:spacing w:after="0" w:line="218" w:lineRule="auto"/>
        <w:sectPr>
          <w:headerReference w:type="even" r:id="rId107"/>
          <w:headerReference w:type="default" r:id="rId108"/>
          <w:pgSz w:w="11940" w:h="16880"/>
          <w:pgMar w:header="666" w:footer="0" w:top="1140" w:bottom="280" w:left="340" w:right="360"/>
          <w:cols w:num="2" w:equalWidth="0">
            <w:col w:w="5570" w:space="58"/>
            <w:col w:w="5612"/>
          </w:cols>
        </w:sectPr>
      </w:pPr>
    </w:p>
    <w:p>
      <w:pPr>
        <w:pStyle w:val="BodyText"/>
        <w:spacing w:line="218" w:lineRule="auto" w:before="120"/>
        <w:ind w:right="38"/>
      </w:pPr>
      <w:r>
        <w:rPr/>
        <w:pict>
          <v:line style="position:absolute;mso-position-horizontal-relative:page;mso-position-vertical-relative:page;z-index:7072" from="298.170502pt,64.473pt" to="298.170502pt,812.819pt" stroked="true" strokeweight=".533pt" strokecolor="#231f20">
            <v:stroke dashstyle="solid"/>
            <w10:wrap type="none"/>
          </v:line>
        </w:pict>
      </w:r>
      <w:bookmarkStart w:name="_bookmark252" w:id="258"/>
      <w:bookmarkEnd w:id="258"/>
      <w:r>
        <w:rPr/>
      </w:r>
      <w:r>
        <w:rPr>
          <w:color w:val="231F20"/>
        </w:rPr>
        <w:t>La fusion, la scission ou l’apport de branche d’activité entraîne de plein droit et simultanément les effets prévus par l’article 12:13.</w:t>
      </w:r>
    </w:p>
    <w:p>
      <w:pPr>
        <w:pStyle w:val="BodyText"/>
        <w:spacing w:line="218" w:lineRule="auto" w:before="96"/>
        <w:ind w:right="38"/>
      </w:pPr>
      <w:r>
        <w:rPr>
          <w:color w:val="231F20"/>
        </w:rPr>
        <w:t>TITRE</w:t>
      </w:r>
      <w:r>
        <w:rPr>
          <w:color w:val="231F20"/>
          <w:spacing w:val="-12"/>
        </w:rPr>
        <w:t> </w:t>
      </w:r>
      <w:r>
        <w:rPr>
          <w:color w:val="231F20"/>
        </w:rPr>
        <w:t>6.</w:t>
      </w:r>
      <w:r>
        <w:rPr>
          <w:color w:val="231F20"/>
          <w:spacing w:val="-11"/>
        </w:rPr>
        <w:t> </w:t>
      </w:r>
      <w:r>
        <w:rPr>
          <w:color w:val="231F20"/>
        </w:rPr>
        <w:t>Règles</w:t>
      </w:r>
      <w:r>
        <w:rPr>
          <w:color w:val="231F20"/>
          <w:spacing w:val="-11"/>
        </w:rPr>
        <w:t> </w:t>
      </w:r>
      <w:r>
        <w:rPr>
          <w:color w:val="231F20"/>
        </w:rPr>
        <w:t>spécifiques</w:t>
      </w:r>
      <w:r>
        <w:rPr>
          <w:color w:val="231F20"/>
          <w:spacing w:val="-12"/>
        </w:rPr>
        <w:t> </w:t>
      </w:r>
      <w:r>
        <w:rPr>
          <w:color w:val="231F20"/>
        </w:rPr>
        <w:t>concernant</w:t>
      </w:r>
      <w:r>
        <w:rPr>
          <w:color w:val="231F20"/>
          <w:spacing w:val="-11"/>
        </w:rPr>
        <w:t> </w:t>
      </w:r>
      <w:r>
        <w:rPr>
          <w:color w:val="231F20"/>
        </w:rPr>
        <w:t>les</w:t>
      </w:r>
      <w:r>
        <w:rPr>
          <w:color w:val="231F20"/>
          <w:spacing w:val="-11"/>
        </w:rPr>
        <w:t> </w:t>
      </w:r>
      <w:r>
        <w:rPr>
          <w:color w:val="231F20"/>
        </w:rPr>
        <w:t>fusions</w:t>
      </w:r>
      <w:r>
        <w:rPr>
          <w:color w:val="231F20"/>
          <w:spacing w:val="-12"/>
        </w:rPr>
        <w:t> </w:t>
      </w:r>
      <w:r>
        <w:rPr>
          <w:color w:val="231F20"/>
        </w:rPr>
        <w:t>transfrontalières</w:t>
      </w:r>
      <w:r>
        <w:rPr>
          <w:color w:val="231F20"/>
          <w:spacing w:val="-11"/>
        </w:rPr>
        <w:t> </w:t>
      </w:r>
      <w:r>
        <w:rPr>
          <w:color w:val="231F20"/>
        </w:rPr>
        <w:t>et opérations</w:t>
      </w:r>
      <w:r>
        <w:rPr>
          <w:color w:val="231F20"/>
          <w:spacing w:val="14"/>
        </w:rPr>
        <w:t> </w:t>
      </w:r>
      <w:r>
        <w:rPr>
          <w:color w:val="231F20"/>
        </w:rPr>
        <w:t>assimilées.</w:t>
      </w:r>
    </w:p>
    <w:p>
      <w:pPr>
        <w:pStyle w:val="BodyText"/>
        <w:spacing w:line="319" w:lineRule="auto" w:before="67"/>
        <w:ind w:left="283" w:right="2109" w:firstLine="0"/>
        <w:jc w:val="left"/>
      </w:pPr>
      <w:r>
        <w:rPr>
          <w:color w:val="231F20"/>
        </w:rPr>
        <w:t>CHAPITRE 1</w:t>
      </w:r>
      <w:r>
        <w:rPr>
          <w:color w:val="231F20"/>
          <w:position w:val="7"/>
          <w:sz w:val="11"/>
        </w:rPr>
        <w:t>er</w:t>
      </w:r>
      <w:r>
        <w:rPr>
          <w:color w:val="231F20"/>
        </w:rPr>
        <w:t>. Dispositions communes. Section 1</w:t>
      </w:r>
      <w:r>
        <w:rPr>
          <w:color w:val="231F20"/>
          <w:position w:val="7"/>
          <w:sz w:val="11"/>
        </w:rPr>
        <w:t>re</w:t>
      </w:r>
      <w:r>
        <w:rPr>
          <w:color w:val="231F20"/>
        </w:rPr>
        <w:t>. Disposition introductive.</w:t>
      </w:r>
    </w:p>
    <w:p>
      <w:pPr>
        <w:pStyle w:val="BodyText"/>
        <w:spacing w:line="218" w:lineRule="auto" w:before="28"/>
        <w:ind w:right="38"/>
      </w:pPr>
      <w:r>
        <w:rPr>
          <w:color w:val="231F20"/>
        </w:rPr>
        <w:t>Art. 12:106. Les dispositions concernant les fusions du présent livre sont applicables, sous réserve des dispositions dérogatoires suivantes.</w:t>
      </w:r>
    </w:p>
    <w:p>
      <w:pPr>
        <w:pStyle w:val="BodyText"/>
        <w:spacing w:before="83"/>
        <w:ind w:left="283" w:right="0" w:firstLine="0"/>
        <w:jc w:val="left"/>
      </w:pPr>
      <w:r>
        <w:rPr>
          <w:color w:val="231F20"/>
        </w:rPr>
        <w:t>Sont exclues de l’application du présent titre:</w:t>
      </w:r>
    </w:p>
    <w:p>
      <w:pPr>
        <w:pStyle w:val="BodyText"/>
        <w:spacing w:line="218" w:lineRule="auto" w:before="92"/>
        <w:ind w:right="38"/>
      </w:pPr>
      <w:r>
        <w:rPr>
          <w:color w:val="231F20"/>
        </w:rPr>
        <w:t>1° les sociétés d’investissement publiques à capital variable visées  aux</w:t>
      </w:r>
      <w:r>
        <w:rPr>
          <w:color w:val="231F20"/>
          <w:spacing w:val="-10"/>
        </w:rPr>
        <w:t> </w:t>
      </w:r>
      <w:r>
        <w:rPr>
          <w:color w:val="231F20"/>
        </w:rPr>
        <w:t>articles</w:t>
      </w:r>
      <w:r>
        <w:rPr>
          <w:color w:val="231F20"/>
          <w:spacing w:val="-9"/>
        </w:rPr>
        <w:t> </w:t>
      </w:r>
      <w:r>
        <w:rPr>
          <w:color w:val="231F20"/>
        </w:rPr>
        <w:t>10</w:t>
      </w:r>
      <w:r>
        <w:rPr>
          <w:color w:val="231F20"/>
          <w:spacing w:val="-9"/>
        </w:rPr>
        <w:t> </w:t>
      </w:r>
      <w:r>
        <w:rPr>
          <w:color w:val="231F20"/>
        </w:rPr>
        <w:t>et</w:t>
      </w:r>
      <w:r>
        <w:rPr>
          <w:color w:val="231F20"/>
          <w:spacing w:val="-9"/>
        </w:rPr>
        <w:t> </w:t>
      </w:r>
      <w:r>
        <w:rPr>
          <w:color w:val="231F20"/>
        </w:rPr>
        <w:t>14</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loi</w:t>
      </w:r>
      <w:r>
        <w:rPr>
          <w:color w:val="231F20"/>
          <w:spacing w:val="-9"/>
        </w:rPr>
        <w:t> </w:t>
      </w:r>
      <w:r>
        <w:rPr>
          <w:color w:val="231F20"/>
        </w:rPr>
        <w:t>du</w:t>
      </w:r>
      <w:r>
        <w:rPr>
          <w:color w:val="231F20"/>
          <w:spacing w:val="-9"/>
        </w:rPr>
        <w:t> </w:t>
      </w:r>
      <w:r>
        <w:rPr>
          <w:color w:val="231F20"/>
        </w:rPr>
        <w:t>20</w:t>
      </w:r>
      <w:r>
        <w:rPr>
          <w:color w:val="231F20"/>
          <w:spacing w:val="-9"/>
        </w:rPr>
        <w:t> </w:t>
      </w:r>
      <w:r>
        <w:rPr>
          <w:color w:val="231F20"/>
        </w:rPr>
        <w:t>juillet</w:t>
      </w:r>
      <w:r>
        <w:rPr>
          <w:color w:val="231F20"/>
          <w:spacing w:val="-9"/>
        </w:rPr>
        <w:t> </w:t>
      </w:r>
      <w:r>
        <w:rPr>
          <w:color w:val="231F20"/>
        </w:rPr>
        <w:t>2004</w:t>
      </w:r>
      <w:r>
        <w:rPr>
          <w:color w:val="231F20"/>
          <w:spacing w:val="-9"/>
        </w:rPr>
        <w:t> </w:t>
      </w:r>
      <w:r>
        <w:rPr>
          <w:color w:val="231F20"/>
        </w:rPr>
        <w:t>relative</w:t>
      </w:r>
      <w:r>
        <w:rPr>
          <w:color w:val="231F20"/>
          <w:spacing w:val="-9"/>
        </w:rPr>
        <w:t> </w:t>
      </w:r>
      <w:r>
        <w:rPr>
          <w:color w:val="231F20"/>
        </w:rPr>
        <w:t>à</w:t>
      </w:r>
      <w:r>
        <w:rPr>
          <w:color w:val="231F20"/>
          <w:spacing w:val="-9"/>
        </w:rPr>
        <w:t> </w:t>
      </w:r>
      <w:r>
        <w:rPr>
          <w:color w:val="231F20"/>
        </w:rPr>
        <w:t>certaines</w:t>
      </w:r>
      <w:r>
        <w:rPr>
          <w:color w:val="231F20"/>
          <w:spacing w:val="-9"/>
        </w:rPr>
        <w:t> </w:t>
      </w:r>
      <w:r>
        <w:rPr>
          <w:color w:val="231F20"/>
        </w:rPr>
        <w:t>formes de</w:t>
      </w:r>
      <w:r>
        <w:rPr>
          <w:color w:val="231F20"/>
          <w:spacing w:val="16"/>
        </w:rPr>
        <w:t> </w:t>
      </w:r>
      <w:r>
        <w:rPr>
          <w:color w:val="231F20"/>
        </w:rPr>
        <w:t>gestion</w:t>
      </w:r>
      <w:r>
        <w:rPr>
          <w:color w:val="231F20"/>
          <w:spacing w:val="16"/>
        </w:rPr>
        <w:t> </w:t>
      </w:r>
      <w:r>
        <w:rPr>
          <w:color w:val="231F20"/>
        </w:rPr>
        <w:t>collective</w:t>
      </w:r>
      <w:r>
        <w:rPr>
          <w:color w:val="231F20"/>
          <w:spacing w:val="16"/>
        </w:rPr>
        <w:t> </w:t>
      </w:r>
      <w:r>
        <w:rPr>
          <w:color w:val="231F20"/>
        </w:rPr>
        <w:t>de</w:t>
      </w:r>
      <w:r>
        <w:rPr>
          <w:color w:val="231F20"/>
          <w:spacing w:val="17"/>
        </w:rPr>
        <w:t> </w:t>
      </w:r>
      <w:r>
        <w:rPr>
          <w:color w:val="231F20"/>
        </w:rPr>
        <w:t>portefeuilles</w:t>
      </w:r>
      <w:r>
        <w:rPr>
          <w:color w:val="231F20"/>
          <w:spacing w:val="16"/>
        </w:rPr>
        <w:t> </w:t>
      </w:r>
      <w:r>
        <w:rPr>
          <w:color w:val="231F20"/>
        </w:rPr>
        <w:t>d’investissement;</w:t>
      </w:r>
    </w:p>
    <w:p>
      <w:pPr>
        <w:pStyle w:val="BodyText"/>
        <w:spacing w:before="8"/>
        <w:ind w:left="0" w:right="0" w:firstLine="0"/>
        <w:jc w:val="left"/>
        <w:rPr>
          <w:sz w:val="22"/>
        </w:rPr>
      </w:pPr>
    </w:p>
    <w:p>
      <w:pPr>
        <w:pStyle w:val="BodyText"/>
        <w:spacing w:line="338" w:lineRule="auto"/>
        <w:ind w:left="283" w:right="2109" w:hanging="1"/>
        <w:jc w:val="left"/>
      </w:pPr>
      <w:r>
        <w:rPr>
          <w:color w:val="231F20"/>
        </w:rPr>
        <w:t>2° les sociétés qui sont en liquidation. Section 2. Rémunération de l’apport.</w:t>
      </w:r>
    </w:p>
    <w:p>
      <w:pPr>
        <w:pStyle w:val="BodyText"/>
        <w:spacing w:line="218" w:lineRule="auto" w:before="13"/>
        <w:ind w:right="38"/>
      </w:pPr>
      <w:r>
        <w:rPr>
          <w:color w:val="231F20"/>
        </w:rPr>
        <w:t>Art. 12:107. La fusion transfrontalière a lieu valablement nonobstant l’octroi d’une soulte en espèces dépassant le dixième de la valeur nominale des actions ou parts attribuées de la société issue de la fusion transfrontalière ou, à défaut de valeur nominale, de leur pair compta- ble, à condition que la législation qui s’applique à au moins une des sociétés étrangères l’autorise.</w:t>
      </w:r>
    </w:p>
    <w:p>
      <w:pPr>
        <w:pStyle w:val="BodyText"/>
        <w:ind w:left="0" w:right="0" w:firstLine="0"/>
        <w:jc w:val="left"/>
        <w:rPr>
          <w:sz w:val="24"/>
        </w:rPr>
      </w:pPr>
    </w:p>
    <w:p>
      <w:pPr>
        <w:pStyle w:val="BodyText"/>
        <w:spacing w:line="218" w:lineRule="auto"/>
        <w:ind w:right="38"/>
      </w:pPr>
      <w:r>
        <w:rPr>
          <w:color w:val="231F20"/>
        </w:rPr>
        <w:t>Si la société qui émet les actions ou parts est une société sans capital, est assimilée au pair comptable la valeur d’apport, telle qu’elle résulte des comptes annuels, de tous les apports en numéraire ou en nature, consentis par les associés ou actionnaires, autres que les apports en industrie, le cas échéant augmentée des réserves qui, en vertu d’une disposition statutaire, ne peuvent être distribuées aux associés ou actionnaires que moyennant une modification des statuts, le tout divisé par le nombre d’actions ou de parts.</w:t>
      </w:r>
    </w:p>
    <w:p>
      <w:pPr>
        <w:pStyle w:val="BodyText"/>
        <w:spacing w:before="82"/>
        <w:ind w:left="283" w:right="0" w:firstLine="0"/>
        <w:jc w:val="left"/>
      </w:pPr>
      <w:r>
        <w:rPr>
          <w:color w:val="231F20"/>
        </w:rPr>
        <w:t>Section 3. Effets juridiques de la fusion transfrontalière.</w:t>
      </w:r>
    </w:p>
    <w:p>
      <w:pPr>
        <w:pStyle w:val="BodyText"/>
        <w:spacing w:line="211" w:lineRule="auto" w:before="98"/>
        <w:ind w:right="38"/>
      </w:pPr>
      <w:r>
        <w:rPr>
          <w:color w:val="231F20"/>
        </w:rPr>
        <w:t>Art. 12:108. La fusion transfrontalière entraîne à partir de la date visée à l’article 12:119 les effets juridiques visés à l’article 12:13, à l’exception de l’alinéa 1</w:t>
      </w:r>
      <w:r>
        <w:rPr>
          <w:color w:val="231F20"/>
          <w:position w:val="7"/>
          <w:sz w:val="11"/>
        </w:rPr>
        <w:t>er</w:t>
      </w:r>
      <w:r>
        <w:rPr>
          <w:color w:val="231F20"/>
        </w:rPr>
        <w:t>, 1°, deuxième partie de l’article précité.</w:t>
      </w:r>
    </w:p>
    <w:p>
      <w:pPr>
        <w:pStyle w:val="BodyText"/>
        <w:spacing w:before="5"/>
        <w:ind w:left="0" w:right="0" w:firstLine="0"/>
        <w:jc w:val="left"/>
        <w:rPr>
          <w:sz w:val="22"/>
        </w:rPr>
      </w:pPr>
    </w:p>
    <w:p>
      <w:pPr>
        <w:pStyle w:val="BodyText"/>
        <w:ind w:left="283" w:right="0" w:firstLine="0"/>
        <w:jc w:val="left"/>
      </w:pPr>
      <w:r>
        <w:rPr>
          <w:color w:val="231F20"/>
        </w:rPr>
        <w:t>Section 4. Opposabilité de la fusion transfrontalière.</w:t>
      </w:r>
    </w:p>
    <w:p>
      <w:pPr>
        <w:pStyle w:val="BodyText"/>
        <w:spacing w:line="218" w:lineRule="auto" w:before="93"/>
        <w:ind w:right="38"/>
      </w:pPr>
      <w:r>
        <w:rPr>
          <w:color w:val="231F20"/>
        </w:rPr>
        <w:t>Art. 12:109. Sans préjudice de l’application de l’article 12:14, les</w:t>
      </w:r>
      <w:r>
        <w:rPr>
          <w:color w:val="231F20"/>
          <w:spacing w:val="-29"/>
        </w:rPr>
        <w:t> </w:t>
      </w:r>
      <w:r>
        <w:rPr>
          <w:color w:val="231F20"/>
        </w:rPr>
        <w:t>droits et obligations des sociétés qui fusionnent résultant de contrats de travail ou de relations  de  travail  et  existant  à  la  date  visée </w:t>
      </w:r>
      <w:r>
        <w:rPr>
          <w:color w:val="231F20"/>
          <w:spacing w:val="15"/>
        </w:rPr>
        <w:t> </w:t>
      </w:r>
      <w:r>
        <w:rPr>
          <w:color w:val="231F20"/>
        </w:rPr>
        <w:t>à l’article 12:119, sont transmis, du fait de la prise d’effet de cette fusion transfrontalière, à la société issue de la fusion transfrontalière à la date de</w:t>
      </w:r>
      <w:r>
        <w:rPr>
          <w:color w:val="231F20"/>
          <w:spacing w:val="14"/>
        </w:rPr>
        <w:t> </w:t>
      </w:r>
      <w:r>
        <w:rPr>
          <w:color w:val="231F20"/>
        </w:rPr>
        <w:t>prise</w:t>
      </w:r>
      <w:r>
        <w:rPr>
          <w:color w:val="231F20"/>
          <w:spacing w:val="15"/>
        </w:rPr>
        <w:t> </w:t>
      </w:r>
      <w:r>
        <w:rPr>
          <w:color w:val="231F20"/>
        </w:rPr>
        <w:t>d’effet</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transfrontalière.</w:t>
      </w:r>
    </w:p>
    <w:p>
      <w:pPr>
        <w:pStyle w:val="BodyText"/>
        <w:spacing w:before="11"/>
        <w:ind w:left="0" w:right="0" w:firstLine="0"/>
        <w:jc w:val="left"/>
        <w:rPr>
          <w:sz w:val="23"/>
        </w:rPr>
      </w:pPr>
    </w:p>
    <w:p>
      <w:pPr>
        <w:pStyle w:val="BodyText"/>
        <w:spacing w:line="218" w:lineRule="auto"/>
        <w:ind w:right="38"/>
      </w:pPr>
      <w:r>
        <w:rPr>
          <w:color w:val="231F20"/>
        </w:rPr>
        <w:t>Les formalités qui résultent de cet article sont accomplies par la société issue de la fusion transfrontalière.</w:t>
      </w:r>
    </w:p>
    <w:p>
      <w:pPr>
        <w:pStyle w:val="BodyText"/>
        <w:spacing w:before="82"/>
        <w:ind w:left="283" w:right="0" w:firstLine="0"/>
        <w:jc w:val="left"/>
      </w:pPr>
      <w:r>
        <w:rPr>
          <w:color w:val="231F20"/>
        </w:rPr>
        <w:t>Section 5. Nullité de la fusion transfrontalière.</w:t>
      </w:r>
    </w:p>
    <w:p>
      <w:pPr>
        <w:pStyle w:val="BodyText"/>
        <w:spacing w:line="218" w:lineRule="auto" w:before="93"/>
        <w:ind w:right="38"/>
      </w:pPr>
      <w:r>
        <w:rPr>
          <w:color w:val="231F20"/>
        </w:rPr>
        <w:t>Art. 12:110. La nullité d’une fusion transfrontalière ayant pris effet conformément à l’article 12:119 ne peut être prononcée.</w:t>
      </w:r>
    </w:p>
    <w:p>
      <w:pPr>
        <w:pStyle w:val="BodyText"/>
        <w:spacing w:line="218" w:lineRule="auto" w:before="96"/>
        <w:ind w:right="38"/>
      </w:pPr>
      <w:r>
        <w:rPr>
          <w:color w:val="231F20"/>
        </w:rPr>
        <w:t>CHAPITRE 2. Procédure à suivre lors de la fusion transfrontalière de sociétés.</w:t>
      </w:r>
    </w:p>
    <w:p>
      <w:pPr>
        <w:pStyle w:val="BodyText"/>
        <w:spacing w:line="218" w:lineRule="auto" w:before="96"/>
        <w:ind w:right="38"/>
      </w:pPr>
      <w:r>
        <w:rPr>
          <w:color w:val="231F20"/>
        </w:rPr>
        <w:t>Art. 12:111. Les organes d’administration des sociétés appelées à fusionner établissent par acte authentique ou par acte sous seing privé un projet commun de fusion transfrontalière.</w:t>
      </w:r>
    </w:p>
    <w:p>
      <w:pPr>
        <w:pStyle w:val="BodyText"/>
        <w:spacing w:before="82"/>
        <w:ind w:left="283" w:right="0" w:firstLine="0"/>
        <w:jc w:val="left"/>
      </w:pPr>
      <w:r>
        <w:rPr>
          <w:color w:val="231F20"/>
        </w:rPr>
        <w:t>Le projet de fusion transfrontalière mentionne au moins:</w:t>
      </w:r>
    </w:p>
    <w:p>
      <w:pPr>
        <w:pStyle w:val="BodyText"/>
        <w:spacing w:line="218" w:lineRule="auto" w:before="93"/>
        <w:ind w:right="38"/>
      </w:pPr>
      <w:r>
        <w:rPr>
          <w:color w:val="231F20"/>
        </w:rPr>
        <w:t>1° la forme légale, la dénomination, l’objet et le siège statutaire des sociétés qui fusionnent et ceux envisagés pour la société issue de la fusion transfrontalière;</w:t>
      </w:r>
    </w:p>
    <w:p>
      <w:pPr>
        <w:pStyle w:val="BodyText"/>
        <w:spacing w:before="10"/>
        <w:ind w:left="0" w:right="0" w:firstLine="0"/>
        <w:jc w:val="left"/>
        <w:rPr>
          <w:sz w:val="23"/>
        </w:rPr>
      </w:pPr>
    </w:p>
    <w:p>
      <w:pPr>
        <w:pStyle w:val="BodyText"/>
        <w:spacing w:line="218" w:lineRule="auto"/>
        <w:ind w:right="38"/>
      </w:pPr>
      <w:r>
        <w:rPr>
          <w:color w:val="231F20"/>
        </w:rPr>
        <w:t>2° le rapport d’échange des actions ou parts et, le cas échéant, le montant de la soulte en espèces;</w:t>
      </w:r>
    </w:p>
    <w:p>
      <w:pPr>
        <w:pStyle w:val="BodyText"/>
        <w:spacing w:line="218" w:lineRule="auto" w:before="97"/>
        <w:ind w:right="38"/>
      </w:pPr>
      <w:r>
        <w:rPr>
          <w:color w:val="231F20"/>
        </w:rPr>
        <w:t>3° les modalités de remise des actions ou parts de la société issue de la fusion transfrontalière;</w:t>
      </w:r>
    </w:p>
    <w:p>
      <w:pPr>
        <w:pStyle w:val="BodyText"/>
        <w:spacing w:before="92"/>
        <w:ind w:left="283" w:right="0" w:firstLine="0"/>
        <w:jc w:val="left"/>
      </w:pPr>
      <w:r>
        <w:rPr>
          <w:color w:val="231F20"/>
        </w:rPr>
        <w:t>4° les effets probables de la fusion transfrontalière sur l’emploi;</w:t>
      </w:r>
    </w:p>
    <w:p>
      <w:pPr>
        <w:pStyle w:val="BodyText"/>
        <w:spacing w:before="7"/>
        <w:ind w:left="0" w:right="0" w:firstLine="0"/>
        <w:jc w:val="left"/>
        <w:rPr>
          <w:sz w:val="24"/>
        </w:rPr>
      </w:pPr>
    </w:p>
    <w:p>
      <w:pPr>
        <w:pStyle w:val="BodyText"/>
        <w:spacing w:line="218" w:lineRule="auto"/>
        <w:ind w:right="38"/>
      </w:pPr>
      <w:r>
        <w:rPr>
          <w:color w:val="231F20"/>
        </w:rPr>
        <w:t>5° la date à partir de laquelle ces actions ou parts donnent le droit de participer aux bénéfices ainsi que toute modalité particulière relative à ce droit;</w:t>
      </w:r>
    </w:p>
    <w:p>
      <w:pPr>
        <w:pStyle w:val="BodyText"/>
        <w:spacing w:line="218" w:lineRule="auto" w:before="107"/>
        <w:ind w:right="38"/>
      </w:pPr>
      <w:r>
        <w:rPr>
          <w:color w:val="231F20"/>
        </w:rPr>
        <w:t>6° la date à partir de laquelle les opérations des sociétés qui fusionnent sont considérées du point de vue comptable comme accomplies pour le compte de la société issue de la fusion transfronta- lière, cette date ne pouvant remonter avant le premier jour qui suit la</w:t>
      </w:r>
    </w:p>
    <w:p>
      <w:pPr>
        <w:pStyle w:val="BodyText"/>
        <w:spacing w:line="218" w:lineRule="auto" w:before="119"/>
      </w:pPr>
      <w:r>
        <w:rPr/>
        <w:br w:type="column"/>
      </w:r>
      <w:r>
        <w:rPr>
          <w:color w:val="231F20"/>
        </w:rPr>
        <w:t>De fusie, de splitsing of de inbreng van bedrijfstak brengt van rechtswege en gelijktijdig de gevolgen mee bedoeld in artikel 12:13.</w:t>
      </w:r>
    </w:p>
    <w:p>
      <w:pPr>
        <w:pStyle w:val="BodyText"/>
        <w:spacing w:line="218" w:lineRule="auto" w:before="97"/>
      </w:pPr>
      <w:r>
        <w:rPr>
          <w:color w:val="231F20"/>
        </w:rPr>
        <w:t>TITEL 6. Bijzondere regels inzake grensoverschrijdende fusies en gelijkgestelde verrichtingen.</w:t>
      </w:r>
    </w:p>
    <w:p>
      <w:pPr>
        <w:pStyle w:val="BodyText"/>
        <w:spacing w:line="338" w:lineRule="auto" w:before="82"/>
        <w:ind w:left="283" w:right="1017" w:firstLine="0"/>
        <w:jc w:val="left"/>
      </w:pPr>
      <w:r>
        <w:rPr>
          <w:color w:val="231F20"/>
        </w:rPr>
        <w:t>HOOFDSTUK 1. Gemeenschappelijke bepalingen. Afdeling 1. Inleidende bepaling.</w:t>
      </w:r>
    </w:p>
    <w:p>
      <w:pPr>
        <w:pStyle w:val="BodyText"/>
        <w:spacing w:line="218" w:lineRule="auto" w:before="13"/>
        <w:ind w:right="125"/>
      </w:pPr>
      <w:r>
        <w:rPr>
          <w:color w:val="231F20"/>
        </w:rPr>
        <w:t>Art. 12:106. De bepalingen inzake fusie van dit boek zijn van toepassing, behoudens de volgende afwijkende bepalingen.</w:t>
      </w:r>
    </w:p>
    <w:p>
      <w:pPr>
        <w:pStyle w:val="BodyText"/>
        <w:spacing w:before="82"/>
        <w:ind w:left="283" w:right="0" w:firstLine="0"/>
        <w:jc w:val="left"/>
      </w:pPr>
      <w:r>
        <w:rPr>
          <w:color w:val="231F20"/>
        </w:rPr>
        <w:t>Zijn uitgesloten van de toepassing van deze titel:</w:t>
      </w:r>
    </w:p>
    <w:p>
      <w:pPr>
        <w:pStyle w:val="BodyText"/>
        <w:spacing w:line="218" w:lineRule="auto" w:before="92"/>
        <w:ind w:right="122"/>
      </w:pPr>
      <w:r>
        <w:rPr>
          <w:color w:val="231F20"/>
        </w:rPr>
        <w:t>1° de openbare beleggingsvennootschappen met veranderlijk kapi- taal</w:t>
      </w:r>
      <w:r>
        <w:rPr>
          <w:color w:val="231F20"/>
          <w:spacing w:val="-15"/>
        </w:rPr>
        <w:t> </w:t>
      </w:r>
      <w:r>
        <w:rPr>
          <w:color w:val="231F20"/>
        </w:rPr>
        <w:t>als</w:t>
      </w:r>
      <w:r>
        <w:rPr>
          <w:color w:val="231F20"/>
          <w:spacing w:val="-15"/>
        </w:rPr>
        <w:t> </w:t>
      </w:r>
      <w:r>
        <w:rPr>
          <w:color w:val="231F20"/>
        </w:rPr>
        <w:t>bedoeld</w:t>
      </w:r>
      <w:r>
        <w:rPr>
          <w:color w:val="231F20"/>
          <w:spacing w:val="-15"/>
        </w:rPr>
        <w:t> </w:t>
      </w:r>
      <w:r>
        <w:rPr>
          <w:color w:val="231F20"/>
        </w:rPr>
        <w:t>in</w:t>
      </w:r>
      <w:r>
        <w:rPr>
          <w:color w:val="231F20"/>
          <w:spacing w:val="-14"/>
        </w:rPr>
        <w:t> </w:t>
      </w:r>
      <w:r>
        <w:rPr>
          <w:color w:val="231F20"/>
        </w:rPr>
        <w:t>de</w:t>
      </w:r>
      <w:r>
        <w:rPr>
          <w:color w:val="231F20"/>
          <w:spacing w:val="-15"/>
        </w:rPr>
        <w:t> </w:t>
      </w:r>
      <w:r>
        <w:rPr>
          <w:color w:val="231F20"/>
        </w:rPr>
        <w:t>artikelen</w:t>
      </w:r>
      <w:r>
        <w:rPr>
          <w:color w:val="231F20"/>
          <w:spacing w:val="-15"/>
        </w:rPr>
        <w:t> </w:t>
      </w:r>
      <w:r>
        <w:rPr>
          <w:color w:val="231F20"/>
        </w:rPr>
        <w:t>10</w:t>
      </w:r>
      <w:r>
        <w:rPr>
          <w:color w:val="231F20"/>
          <w:spacing w:val="-14"/>
        </w:rPr>
        <w:t> </w:t>
      </w:r>
      <w:r>
        <w:rPr>
          <w:color w:val="231F20"/>
        </w:rPr>
        <w:t>en</w:t>
      </w:r>
      <w:r>
        <w:rPr>
          <w:color w:val="231F20"/>
          <w:spacing w:val="-15"/>
        </w:rPr>
        <w:t> </w:t>
      </w:r>
      <w:r>
        <w:rPr>
          <w:color w:val="231F20"/>
        </w:rPr>
        <w:t>14</w:t>
      </w:r>
      <w:r>
        <w:rPr>
          <w:color w:val="231F20"/>
          <w:spacing w:val="-15"/>
        </w:rPr>
        <w:t> </w:t>
      </w:r>
      <w:r>
        <w:rPr>
          <w:color w:val="231F20"/>
        </w:rPr>
        <w:t>van</w:t>
      </w:r>
      <w:r>
        <w:rPr>
          <w:color w:val="231F20"/>
          <w:spacing w:val="-14"/>
        </w:rPr>
        <w:t> </w:t>
      </w:r>
      <w:r>
        <w:rPr>
          <w:color w:val="231F20"/>
        </w:rPr>
        <w:t>de</w:t>
      </w:r>
      <w:r>
        <w:rPr>
          <w:color w:val="231F20"/>
          <w:spacing w:val="-15"/>
        </w:rPr>
        <w:t> </w:t>
      </w:r>
      <w:r>
        <w:rPr>
          <w:color w:val="231F20"/>
        </w:rPr>
        <w:t>wet</w:t>
      </w:r>
      <w:r>
        <w:rPr>
          <w:color w:val="231F20"/>
          <w:spacing w:val="-15"/>
        </w:rPr>
        <w:t> </w:t>
      </w:r>
      <w:r>
        <w:rPr>
          <w:color w:val="231F20"/>
        </w:rPr>
        <w:t>van</w:t>
      </w:r>
      <w:r>
        <w:rPr>
          <w:color w:val="231F20"/>
          <w:spacing w:val="-14"/>
        </w:rPr>
        <w:t> </w:t>
      </w:r>
      <w:r>
        <w:rPr>
          <w:color w:val="231F20"/>
        </w:rPr>
        <w:t>20</w:t>
      </w:r>
      <w:r>
        <w:rPr>
          <w:color w:val="231F20"/>
          <w:spacing w:val="-15"/>
        </w:rPr>
        <w:t> </w:t>
      </w:r>
      <w:r>
        <w:rPr>
          <w:color w:val="231F20"/>
        </w:rPr>
        <w:t>juli</w:t>
      </w:r>
      <w:r>
        <w:rPr>
          <w:color w:val="231F20"/>
          <w:spacing w:val="-15"/>
        </w:rPr>
        <w:t> </w:t>
      </w:r>
      <w:r>
        <w:rPr>
          <w:color w:val="231F20"/>
        </w:rPr>
        <w:t>2004</w:t>
      </w:r>
      <w:r>
        <w:rPr>
          <w:color w:val="231F20"/>
          <w:spacing w:val="-14"/>
        </w:rPr>
        <w:t> </w:t>
      </w:r>
      <w:r>
        <w:rPr>
          <w:color w:val="231F20"/>
          <w:spacing w:val="-3"/>
        </w:rPr>
        <w:t>betref- </w:t>
      </w:r>
      <w:r>
        <w:rPr>
          <w:color w:val="231F20"/>
        </w:rPr>
        <w:t>fende bepaalde vormen van collectief beheer van beleggingsportefeuil- les;</w:t>
      </w:r>
    </w:p>
    <w:p>
      <w:pPr>
        <w:pStyle w:val="BodyText"/>
        <w:spacing w:line="338" w:lineRule="auto" w:before="83"/>
        <w:ind w:left="283" w:right="1535" w:hanging="1"/>
        <w:jc w:val="left"/>
      </w:pPr>
      <w:r>
        <w:rPr>
          <w:color w:val="231F20"/>
        </w:rPr>
        <w:t>2° vennootschappen die in vereffening zijn. Afdeling 2. Vergoeding van de inbreng.</w:t>
      </w:r>
    </w:p>
    <w:p>
      <w:pPr>
        <w:pStyle w:val="BodyText"/>
        <w:spacing w:line="218" w:lineRule="auto" w:before="12"/>
      </w:pPr>
      <w:r>
        <w:rPr>
          <w:color w:val="231F20"/>
        </w:rPr>
        <w:t>Art. 12:107. De grensoverschrijdende fusie vindt rechtsgeldig plaats niettegenstaande de opleg in geld van meer dan een tiende van de nominale waarde of, bij gebrek aan een nominale waarde, van de fractiewaarde van de uitgereikte aandelen van de uit de grensover- schrijdende fusie ontstane vennootschap, op voorwaarde dat de wetgeving waaronder ten minste één van de bij de fusie betrokken buitenlandse vennootschappen valt het toelaat.</w:t>
      </w:r>
    </w:p>
    <w:p>
      <w:pPr>
        <w:pStyle w:val="BodyText"/>
        <w:spacing w:line="218" w:lineRule="auto" w:before="97"/>
      </w:pPr>
      <w:r>
        <w:rPr>
          <w:color w:val="231F20"/>
        </w:rPr>
        <w:t>Indien de vennootschap die de aandelen uitreikt een vennootschap zonder kapitaal is, wordt met de fractiewaarde gelijkgesteld de inbrengwaarde, zoals die blijkt uit de jaarrekening, van alle door de vennoten of aandeelhouders toegezegde inbrengen in geld of in natura, met uitzondering van de inbrengen in nijverheid, in voorkomend geval verhoogd met de reserves die op grond van een statutaire bepaling slechts aan de vennoten of aandeelhouders kunnen worden uitgekeerd mits een statutenwijziging, dit alles gedeeld door het aantal aandelen.</w:t>
      </w:r>
    </w:p>
    <w:p>
      <w:pPr>
        <w:pStyle w:val="BodyText"/>
        <w:spacing w:before="83"/>
        <w:ind w:left="283" w:right="0" w:firstLine="0"/>
        <w:jc w:val="left"/>
      </w:pPr>
      <w:r>
        <w:rPr>
          <w:color w:val="231F20"/>
        </w:rPr>
        <w:t>Afdeling 3. Rechtsgevolgen van grensoverschrijdende fusie.</w:t>
      </w:r>
    </w:p>
    <w:p>
      <w:pPr>
        <w:pStyle w:val="BodyText"/>
        <w:spacing w:line="218" w:lineRule="auto" w:before="92"/>
      </w:pPr>
      <w:r>
        <w:rPr>
          <w:color w:val="231F20"/>
        </w:rPr>
        <w:t>Art. 12:108. De grensoverschrijdende fusie heeft met ingang van de datum bedoeld in artikel 12:119 de  rechtsgevolgen  bepaald  in  arti-  kel 12:13, met uitzondering van het eerste lid, 1°, tweede deel van voornoemd</w:t>
      </w:r>
      <w:r>
        <w:rPr>
          <w:color w:val="231F20"/>
          <w:spacing w:val="15"/>
        </w:rPr>
        <w:t> </w:t>
      </w:r>
      <w:r>
        <w:rPr>
          <w:color w:val="231F20"/>
        </w:rPr>
        <w:t>artikel.</w:t>
      </w:r>
    </w:p>
    <w:p>
      <w:pPr>
        <w:pStyle w:val="BodyText"/>
        <w:spacing w:before="83"/>
        <w:ind w:left="283" w:right="0" w:firstLine="0"/>
        <w:jc w:val="left"/>
      </w:pPr>
      <w:r>
        <w:rPr>
          <w:color w:val="231F20"/>
        </w:rPr>
        <w:t>Afdeling 4. Tegenwerpelijkheid van de grensoverschrijdende fusie.</w:t>
      </w:r>
    </w:p>
    <w:p>
      <w:pPr>
        <w:pStyle w:val="BodyText"/>
        <w:spacing w:line="218" w:lineRule="auto" w:before="92"/>
        <w:ind w:right="121"/>
      </w:pPr>
      <w:r>
        <w:rPr>
          <w:color w:val="231F20"/>
        </w:rPr>
        <w:t>Art. 12:109. Onverminderd de toepassing van artikel 12:14, worden de rechten en de verplichtingen van de fuserende vennootschappen die voortvloeien uit arbeidsovereenkomsten of dienstverbanden, en die bestaan op de datum bedoeld in artikel 12:119 overgedragen, doordat die grensoverschrijdende fusie van kracht wordt, op de uit de grensoverschrijdende fusie ontstane vennootschap op de datum waarop de</w:t>
      </w:r>
      <w:r>
        <w:rPr>
          <w:color w:val="231F20"/>
          <w:spacing w:val="16"/>
        </w:rPr>
        <w:t> </w:t>
      </w:r>
      <w:r>
        <w:rPr>
          <w:color w:val="231F20"/>
        </w:rPr>
        <w:t>grensoverschrijdende</w:t>
      </w:r>
      <w:r>
        <w:rPr>
          <w:color w:val="231F20"/>
          <w:spacing w:val="16"/>
        </w:rPr>
        <w:t> </w:t>
      </w:r>
      <w:r>
        <w:rPr>
          <w:color w:val="231F20"/>
        </w:rPr>
        <w:t>fusie</w:t>
      </w:r>
      <w:r>
        <w:rPr>
          <w:color w:val="231F20"/>
          <w:spacing w:val="16"/>
        </w:rPr>
        <w:t> </w:t>
      </w:r>
      <w:r>
        <w:rPr>
          <w:color w:val="231F20"/>
        </w:rPr>
        <w:t>van</w:t>
      </w:r>
      <w:r>
        <w:rPr>
          <w:color w:val="231F20"/>
          <w:spacing w:val="16"/>
        </w:rPr>
        <w:t> </w:t>
      </w:r>
      <w:r>
        <w:rPr>
          <w:color w:val="231F20"/>
        </w:rPr>
        <w:t>kracht</w:t>
      </w:r>
      <w:r>
        <w:rPr>
          <w:color w:val="231F20"/>
          <w:spacing w:val="16"/>
        </w:rPr>
        <w:t> </w:t>
      </w:r>
      <w:r>
        <w:rPr>
          <w:color w:val="231F20"/>
        </w:rPr>
        <w:t>wordt.</w:t>
      </w:r>
    </w:p>
    <w:p>
      <w:pPr>
        <w:pStyle w:val="BodyText"/>
        <w:spacing w:line="218" w:lineRule="auto" w:before="97"/>
      </w:pPr>
      <w:r>
        <w:rPr>
          <w:color w:val="231F20"/>
        </w:rPr>
        <w:t>De formaliteiten die voortvloeien uit dit artikel worden verricht door de</w:t>
      </w:r>
      <w:r>
        <w:rPr>
          <w:color w:val="231F20"/>
          <w:spacing w:val="16"/>
        </w:rPr>
        <w:t> </w:t>
      </w:r>
      <w:r>
        <w:rPr>
          <w:color w:val="231F20"/>
        </w:rPr>
        <w:t>uit</w:t>
      </w:r>
      <w:r>
        <w:rPr>
          <w:color w:val="231F20"/>
          <w:spacing w:val="16"/>
        </w:rPr>
        <w:t> </w:t>
      </w:r>
      <w:r>
        <w:rPr>
          <w:color w:val="231F20"/>
        </w:rPr>
        <w:t>de</w:t>
      </w:r>
      <w:r>
        <w:rPr>
          <w:color w:val="231F20"/>
          <w:spacing w:val="16"/>
        </w:rPr>
        <w:t> </w:t>
      </w:r>
      <w:r>
        <w:rPr>
          <w:color w:val="231F20"/>
        </w:rPr>
        <w:t>grensoverschrijdende</w:t>
      </w:r>
      <w:r>
        <w:rPr>
          <w:color w:val="231F20"/>
          <w:spacing w:val="17"/>
        </w:rPr>
        <w:t> </w:t>
      </w:r>
      <w:r>
        <w:rPr>
          <w:color w:val="231F20"/>
        </w:rPr>
        <w:t>fusie</w:t>
      </w:r>
      <w:r>
        <w:rPr>
          <w:color w:val="231F20"/>
          <w:spacing w:val="16"/>
        </w:rPr>
        <w:t> </w:t>
      </w:r>
      <w:r>
        <w:rPr>
          <w:color w:val="231F20"/>
        </w:rPr>
        <w:t>ontstane</w:t>
      </w:r>
      <w:r>
        <w:rPr>
          <w:color w:val="231F20"/>
          <w:spacing w:val="16"/>
        </w:rPr>
        <w:t> </w:t>
      </w:r>
      <w:r>
        <w:rPr>
          <w:color w:val="231F20"/>
        </w:rPr>
        <w:t>vennootschap.</w:t>
      </w:r>
    </w:p>
    <w:p>
      <w:pPr>
        <w:pStyle w:val="BodyText"/>
        <w:spacing w:before="82"/>
        <w:ind w:left="283" w:right="0" w:firstLine="0"/>
        <w:jc w:val="left"/>
      </w:pPr>
      <w:r>
        <w:rPr>
          <w:color w:val="231F20"/>
        </w:rPr>
        <w:t>Afdeling</w:t>
      </w:r>
      <w:r>
        <w:rPr>
          <w:color w:val="231F20"/>
          <w:spacing w:val="27"/>
        </w:rPr>
        <w:t> </w:t>
      </w:r>
      <w:r>
        <w:rPr>
          <w:color w:val="231F20"/>
        </w:rPr>
        <w:t>5.</w:t>
      </w:r>
      <w:r>
        <w:rPr>
          <w:color w:val="231F20"/>
          <w:spacing w:val="27"/>
        </w:rPr>
        <w:t> </w:t>
      </w:r>
      <w:r>
        <w:rPr>
          <w:color w:val="231F20"/>
        </w:rPr>
        <w:t>Nietigheid</w:t>
      </w:r>
      <w:r>
        <w:rPr>
          <w:color w:val="231F20"/>
          <w:spacing w:val="27"/>
        </w:rPr>
        <w:t> </w:t>
      </w:r>
      <w:r>
        <w:rPr>
          <w:color w:val="231F20"/>
        </w:rPr>
        <w:t>van</w:t>
      </w:r>
      <w:r>
        <w:rPr>
          <w:color w:val="231F20"/>
          <w:spacing w:val="27"/>
        </w:rPr>
        <w:t> </w:t>
      </w:r>
      <w:r>
        <w:rPr>
          <w:color w:val="231F20"/>
        </w:rPr>
        <w:t>de</w:t>
      </w:r>
      <w:r>
        <w:rPr>
          <w:color w:val="231F20"/>
          <w:spacing w:val="27"/>
        </w:rPr>
        <w:t> </w:t>
      </w:r>
      <w:r>
        <w:rPr>
          <w:color w:val="231F20"/>
        </w:rPr>
        <w:t>grensoverschrijdende</w:t>
      </w:r>
      <w:r>
        <w:rPr>
          <w:color w:val="231F20"/>
          <w:spacing w:val="27"/>
        </w:rPr>
        <w:t> </w:t>
      </w:r>
      <w:r>
        <w:rPr>
          <w:color w:val="231F20"/>
        </w:rPr>
        <w:t>fusie.</w:t>
      </w:r>
    </w:p>
    <w:p>
      <w:pPr>
        <w:pStyle w:val="BodyText"/>
        <w:spacing w:line="218" w:lineRule="auto" w:before="93"/>
      </w:pPr>
      <w:r>
        <w:rPr>
          <w:color w:val="231F20"/>
        </w:rPr>
        <w:t>Art. 12:110. Een overeenkomstig artikel 12:119 van kracht geworden grensoverschrijdende fusie kan niet worden nietig verklaard.</w:t>
      </w:r>
    </w:p>
    <w:p>
      <w:pPr>
        <w:pStyle w:val="BodyText"/>
        <w:spacing w:line="218" w:lineRule="auto" w:before="96"/>
      </w:pPr>
      <w:r>
        <w:rPr>
          <w:color w:val="231F20"/>
        </w:rPr>
        <w:t>HOOFDSTUK 2. Te volgen procedure bij grensoverschrijdende fusie van vennootschappen.</w:t>
      </w:r>
    </w:p>
    <w:p>
      <w:pPr>
        <w:pStyle w:val="BodyText"/>
        <w:spacing w:line="218" w:lineRule="auto" w:before="96"/>
      </w:pPr>
      <w:r>
        <w:rPr>
          <w:color w:val="231F20"/>
        </w:rPr>
        <w:t>Art. 12:111. De bestuursorganen van de te fuseren vennootschappen stellen bij authentieke of bij onderhandse akte een gemeenschappelijk fusievoorstel op.</w:t>
      </w:r>
    </w:p>
    <w:p>
      <w:pPr>
        <w:pStyle w:val="BodyText"/>
        <w:spacing w:before="82"/>
        <w:ind w:left="283" w:right="0" w:firstLine="0"/>
        <w:jc w:val="left"/>
      </w:pPr>
      <w:r>
        <w:rPr>
          <w:color w:val="231F20"/>
        </w:rPr>
        <w:t>Het grensoverschrijdend fusievoorstel vermeldt ten minste:</w:t>
      </w:r>
    </w:p>
    <w:p>
      <w:pPr>
        <w:pStyle w:val="BodyText"/>
        <w:spacing w:line="218" w:lineRule="auto" w:before="93"/>
      </w:pPr>
      <w:r>
        <w:rPr>
          <w:color w:val="231F20"/>
        </w:rPr>
        <w:t>1° de rechtsvorm, de naam, het voorwerp en de statutaire zetel van  de fuserende vennootschappen, evenals de voorgenomen rechtsvorm, naam, voorwerp en statutaire zetel van de uit de grensoverschrijdende fusie ontstane</w:t>
      </w:r>
      <w:r>
        <w:rPr>
          <w:color w:val="231F20"/>
          <w:spacing w:val="-12"/>
        </w:rPr>
        <w:t> </w:t>
      </w:r>
      <w:r>
        <w:rPr>
          <w:color w:val="231F20"/>
        </w:rPr>
        <w:t>vennootschap;</w:t>
      </w:r>
    </w:p>
    <w:p>
      <w:pPr>
        <w:pStyle w:val="BodyText"/>
        <w:spacing w:line="218" w:lineRule="auto" w:before="96"/>
      </w:pPr>
      <w:r>
        <w:rPr>
          <w:color w:val="231F20"/>
        </w:rPr>
        <w:t>2° de ruilverhouding van de aandelen en, in voorkomend geval, het bedrag</w:t>
      </w:r>
      <w:r>
        <w:rPr>
          <w:color w:val="231F20"/>
          <w:spacing w:val="15"/>
        </w:rPr>
        <w:t> </w:t>
      </w:r>
      <w:r>
        <w:rPr>
          <w:color w:val="231F20"/>
        </w:rPr>
        <w:t>van</w:t>
      </w:r>
      <w:r>
        <w:rPr>
          <w:color w:val="231F20"/>
          <w:spacing w:val="16"/>
        </w:rPr>
        <w:t> </w:t>
      </w:r>
      <w:r>
        <w:rPr>
          <w:color w:val="231F20"/>
        </w:rPr>
        <w:t>de</w:t>
      </w:r>
      <w:r>
        <w:rPr>
          <w:color w:val="231F20"/>
          <w:spacing w:val="16"/>
        </w:rPr>
        <w:t> </w:t>
      </w:r>
      <w:r>
        <w:rPr>
          <w:color w:val="231F20"/>
        </w:rPr>
        <w:t>opleg</w:t>
      </w:r>
      <w:r>
        <w:rPr>
          <w:color w:val="231F20"/>
          <w:spacing w:val="16"/>
        </w:rPr>
        <w:t> </w:t>
      </w:r>
      <w:r>
        <w:rPr>
          <w:color w:val="231F20"/>
        </w:rPr>
        <w:t>in</w:t>
      </w:r>
      <w:r>
        <w:rPr>
          <w:color w:val="231F20"/>
          <w:spacing w:val="15"/>
        </w:rPr>
        <w:t> </w:t>
      </w:r>
      <w:r>
        <w:rPr>
          <w:color w:val="231F20"/>
        </w:rPr>
        <w:t>geld;</w:t>
      </w:r>
    </w:p>
    <w:p>
      <w:pPr>
        <w:pStyle w:val="BodyText"/>
        <w:spacing w:line="218" w:lineRule="auto" w:before="96"/>
      </w:pPr>
      <w:r>
        <w:rPr>
          <w:color w:val="231F20"/>
        </w:rPr>
        <w:t>3° de wijze waarop de aandelen van de uit de grensoverschrijdende fusie ontstane vennootschap worden uitgereikt;</w:t>
      </w:r>
    </w:p>
    <w:p>
      <w:pPr>
        <w:pStyle w:val="BodyText"/>
        <w:spacing w:line="218" w:lineRule="auto" w:before="107"/>
      </w:pPr>
      <w:r>
        <w:rPr>
          <w:color w:val="231F20"/>
        </w:rPr>
        <w:t>4° de waarschijnlijke gevolgen van de fusie voor de werkgelegen- heid;</w:t>
      </w:r>
    </w:p>
    <w:p>
      <w:pPr>
        <w:pStyle w:val="BodyText"/>
        <w:spacing w:line="218" w:lineRule="auto" w:before="106"/>
      </w:pPr>
      <w:r>
        <w:rPr>
          <w:color w:val="231F20"/>
        </w:rPr>
        <w:t>5° de datum vanaf wanneer deze aandelen recht geven op winstdeel- name, evenals elke bijzondere regeling betreffende dit recht;</w:t>
      </w:r>
    </w:p>
    <w:p>
      <w:pPr>
        <w:pStyle w:val="BodyText"/>
        <w:spacing w:before="10"/>
        <w:ind w:left="0" w:right="0" w:firstLine="0"/>
        <w:jc w:val="left"/>
        <w:rPr>
          <w:sz w:val="24"/>
        </w:rPr>
      </w:pPr>
    </w:p>
    <w:p>
      <w:pPr>
        <w:pStyle w:val="BodyText"/>
        <w:spacing w:line="218" w:lineRule="auto"/>
        <w:ind w:right="123"/>
      </w:pPr>
      <w:r>
        <w:rPr>
          <w:color w:val="231F20"/>
        </w:rPr>
        <w:t>6° de datum vanaf wanneer de handelingen van de fuserende vennootschappen boekhoudkundig worden geacht voor rekening van de uit de grensoverschrijdende fusie ontstane vennootschap te zijn verricht,</w:t>
      </w:r>
      <w:r>
        <w:rPr>
          <w:color w:val="231F20"/>
          <w:spacing w:val="9"/>
        </w:rPr>
        <w:t> </w:t>
      </w:r>
      <w:r>
        <w:rPr>
          <w:color w:val="231F20"/>
        </w:rPr>
        <w:t>die</w:t>
      </w:r>
      <w:r>
        <w:rPr>
          <w:color w:val="231F20"/>
          <w:spacing w:val="9"/>
        </w:rPr>
        <w:t> </w:t>
      </w:r>
      <w:r>
        <w:rPr>
          <w:color w:val="231F20"/>
        </w:rPr>
        <w:t>niet</w:t>
      </w:r>
      <w:r>
        <w:rPr>
          <w:color w:val="231F20"/>
          <w:spacing w:val="9"/>
        </w:rPr>
        <w:t> </w:t>
      </w:r>
      <w:r>
        <w:rPr>
          <w:color w:val="231F20"/>
        </w:rPr>
        <w:t>eerder</w:t>
      </w:r>
      <w:r>
        <w:rPr>
          <w:color w:val="231F20"/>
          <w:spacing w:val="9"/>
        </w:rPr>
        <w:t> </w:t>
      </w:r>
      <w:r>
        <w:rPr>
          <w:color w:val="231F20"/>
        </w:rPr>
        <w:t>mag</w:t>
      </w:r>
      <w:r>
        <w:rPr>
          <w:color w:val="231F20"/>
          <w:spacing w:val="9"/>
        </w:rPr>
        <w:t> </w:t>
      </w:r>
      <w:r>
        <w:rPr>
          <w:color w:val="231F20"/>
        </w:rPr>
        <w:t>worden</w:t>
      </w:r>
      <w:r>
        <w:rPr>
          <w:color w:val="231F20"/>
          <w:spacing w:val="10"/>
        </w:rPr>
        <w:t> </w:t>
      </w:r>
      <w:r>
        <w:rPr>
          <w:color w:val="231F20"/>
        </w:rPr>
        <w:t>geplaatst</w:t>
      </w:r>
      <w:r>
        <w:rPr>
          <w:color w:val="231F20"/>
          <w:spacing w:val="9"/>
        </w:rPr>
        <w:t> </w:t>
      </w:r>
      <w:r>
        <w:rPr>
          <w:color w:val="231F20"/>
        </w:rPr>
        <w:t>dan</w:t>
      </w:r>
      <w:r>
        <w:rPr>
          <w:color w:val="231F20"/>
          <w:spacing w:val="9"/>
        </w:rPr>
        <w:t> </w:t>
      </w:r>
      <w:r>
        <w:rPr>
          <w:color w:val="231F20"/>
        </w:rPr>
        <w:t>op</w:t>
      </w:r>
      <w:r>
        <w:rPr>
          <w:color w:val="231F20"/>
          <w:spacing w:val="9"/>
        </w:rPr>
        <w:t> </w:t>
      </w:r>
      <w:r>
        <w:rPr>
          <w:color w:val="231F20"/>
        </w:rPr>
        <w:t>de</w:t>
      </w:r>
      <w:r>
        <w:rPr>
          <w:color w:val="231F20"/>
          <w:spacing w:val="9"/>
        </w:rPr>
        <w:t> </w:t>
      </w:r>
      <w:r>
        <w:rPr>
          <w:color w:val="231F20"/>
        </w:rPr>
        <w:t>eerste</w:t>
      </w:r>
      <w:r>
        <w:rPr>
          <w:color w:val="231F20"/>
          <w:spacing w:val="9"/>
        </w:rPr>
        <w:t> </w:t>
      </w:r>
      <w:r>
        <w:rPr>
          <w:color w:val="231F20"/>
        </w:rPr>
        <w:t>dag</w:t>
      </w:r>
      <w:r>
        <w:rPr>
          <w:color w:val="231F20"/>
          <w:spacing w:val="10"/>
        </w:rPr>
        <w:t> </w:t>
      </w:r>
      <w:r>
        <w:rPr>
          <w:color w:val="231F20"/>
        </w:rPr>
        <w:t>na</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0" w:firstLine="0"/>
        <w:jc w:val="left"/>
      </w:pPr>
      <w:r>
        <w:rPr/>
        <w:pict>
          <v:line style="position:absolute;mso-position-horizontal-relative:page;mso-position-vertical-relative:page;z-index:7096" from="298.170502pt,64.473pt" to="298.170502pt,812.819pt" stroked="true" strokeweight=".533pt" strokecolor="#231f20">
            <v:stroke dashstyle="solid"/>
            <w10:wrap type="none"/>
          </v:line>
        </w:pict>
      </w:r>
      <w:bookmarkStart w:name="_bookmark253" w:id="259"/>
      <w:bookmarkEnd w:id="259"/>
      <w:r>
        <w:rPr/>
      </w:r>
      <w:r>
        <w:rPr>
          <w:color w:val="231F20"/>
        </w:rPr>
        <w:t>clôture de l’exercice social dont les comptes annuels des sociétés concernées par l’opération ont déjà été approuvés;</w:t>
      </w:r>
    </w:p>
    <w:p>
      <w:pPr>
        <w:pStyle w:val="BodyText"/>
        <w:spacing w:line="218" w:lineRule="auto" w:before="86"/>
        <w:ind w:right="69"/>
      </w:pPr>
      <w:r>
        <w:rPr>
          <w:color w:val="231F20"/>
        </w:rPr>
        <w:t>7° les droits attribués par la société issue de la fusion transfrontalière aux associés ou actionnaires ayant des droits spéciaux et aux titulaires de titres autres que les parts ou actions, ou les mesures proposées à leur égard;</w:t>
      </w:r>
    </w:p>
    <w:p>
      <w:pPr>
        <w:pStyle w:val="BodyText"/>
        <w:spacing w:line="218" w:lineRule="auto" w:before="86"/>
        <w:ind w:right="69"/>
      </w:pPr>
      <w:r>
        <w:rPr>
          <w:color w:val="231F20"/>
        </w:rPr>
        <w:t>8° tout avantage particulier attribué aux experts qui examinent le projet de fusion transfrontalière, ainsi qu’aux membres des organes d’administration, de direction, de surveillance ou de contrôle des sociétés qui fusionnent;</w:t>
      </w:r>
    </w:p>
    <w:p>
      <w:pPr>
        <w:pStyle w:val="BodyText"/>
        <w:spacing w:before="8"/>
        <w:ind w:left="0" w:right="0" w:firstLine="0"/>
        <w:jc w:val="left"/>
        <w:rPr>
          <w:sz w:val="21"/>
        </w:rPr>
      </w:pPr>
    </w:p>
    <w:p>
      <w:pPr>
        <w:pStyle w:val="BodyText"/>
        <w:ind w:left="283" w:right="0" w:firstLine="0"/>
        <w:jc w:val="left"/>
      </w:pPr>
      <w:r>
        <w:rPr>
          <w:color w:val="231F20"/>
        </w:rPr>
        <w:t>9°</w:t>
      </w:r>
      <w:r>
        <w:rPr>
          <w:color w:val="231F20"/>
          <w:spacing w:val="10"/>
        </w:rPr>
        <w:t> </w:t>
      </w:r>
      <w:r>
        <w:rPr>
          <w:color w:val="231F20"/>
        </w:rPr>
        <w:t>les</w:t>
      </w:r>
      <w:r>
        <w:rPr>
          <w:color w:val="231F20"/>
          <w:spacing w:val="11"/>
        </w:rPr>
        <w:t> </w:t>
      </w:r>
      <w:r>
        <w:rPr>
          <w:color w:val="231F20"/>
        </w:rPr>
        <w:t>statuts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société</w:t>
      </w:r>
      <w:r>
        <w:rPr>
          <w:color w:val="231F20"/>
          <w:spacing w:val="11"/>
        </w:rPr>
        <w:t> </w:t>
      </w:r>
      <w:r>
        <w:rPr>
          <w:color w:val="231F20"/>
        </w:rPr>
        <w:t>issue</w:t>
      </w:r>
      <w:r>
        <w:rPr>
          <w:color w:val="231F20"/>
          <w:spacing w:val="11"/>
        </w:rPr>
        <w:t> </w:t>
      </w:r>
      <w:r>
        <w:rPr>
          <w:color w:val="231F20"/>
        </w:rPr>
        <w:t>de</w:t>
      </w:r>
      <w:r>
        <w:rPr>
          <w:color w:val="231F20"/>
          <w:spacing w:val="11"/>
        </w:rPr>
        <w:t> </w:t>
      </w:r>
      <w:r>
        <w:rPr>
          <w:color w:val="231F20"/>
        </w:rPr>
        <w:t>la</w:t>
      </w:r>
      <w:r>
        <w:rPr>
          <w:color w:val="231F20"/>
          <w:spacing w:val="10"/>
        </w:rPr>
        <w:t> </w:t>
      </w:r>
      <w:r>
        <w:rPr>
          <w:color w:val="231F20"/>
        </w:rPr>
        <w:t>fusion</w:t>
      </w:r>
      <w:r>
        <w:rPr>
          <w:color w:val="231F20"/>
          <w:spacing w:val="11"/>
        </w:rPr>
        <w:t> </w:t>
      </w:r>
      <w:r>
        <w:rPr>
          <w:color w:val="231F20"/>
        </w:rPr>
        <w:t>transfrontalière;</w:t>
      </w:r>
    </w:p>
    <w:p>
      <w:pPr>
        <w:pStyle w:val="BodyText"/>
        <w:spacing w:before="8"/>
        <w:ind w:left="0" w:right="0" w:firstLine="0"/>
        <w:jc w:val="left"/>
        <w:rPr>
          <w:sz w:val="22"/>
        </w:rPr>
      </w:pPr>
    </w:p>
    <w:p>
      <w:pPr>
        <w:pStyle w:val="BodyText"/>
        <w:spacing w:line="218" w:lineRule="auto"/>
        <w:ind w:right="69"/>
      </w:pPr>
      <w:r>
        <w:rPr>
          <w:color w:val="231F20"/>
        </w:rPr>
        <w:t>10° le cas échéant, des informations sur les procédures selon lesquelles sont fixées, conformément aux dispositions prises par le Roi en exécution de l’article 133 de la directive 2017/1132/UE du Parle- ment européen et du Conseil du 14 juin 2017, les modalités relatives à l’implication des travailleurs dans la définition de leurs droits de participation</w:t>
      </w:r>
      <w:r>
        <w:rPr>
          <w:color w:val="231F20"/>
          <w:spacing w:val="13"/>
        </w:rPr>
        <w:t> </w:t>
      </w:r>
      <w:r>
        <w:rPr>
          <w:color w:val="231F20"/>
        </w:rPr>
        <w:t>dans</w:t>
      </w:r>
      <w:r>
        <w:rPr>
          <w:color w:val="231F20"/>
          <w:spacing w:val="14"/>
        </w:rPr>
        <w:t> </w:t>
      </w:r>
      <w:r>
        <w:rPr>
          <w:color w:val="231F20"/>
        </w:rPr>
        <w:t>la</w:t>
      </w:r>
      <w:r>
        <w:rPr>
          <w:color w:val="231F20"/>
          <w:spacing w:val="14"/>
        </w:rPr>
        <w:t> </w:t>
      </w:r>
      <w:r>
        <w:rPr>
          <w:color w:val="231F20"/>
        </w:rPr>
        <w:t>société</w:t>
      </w:r>
      <w:r>
        <w:rPr>
          <w:color w:val="231F20"/>
          <w:spacing w:val="14"/>
        </w:rPr>
        <w:t> </w:t>
      </w:r>
      <w:r>
        <w:rPr>
          <w:color w:val="231F20"/>
        </w:rPr>
        <w:t>issue</w:t>
      </w:r>
      <w:r>
        <w:rPr>
          <w:color w:val="231F20"/>
          <w:spacing w:val="13"/>
        </w:rPr>
        <w:t> </w:t>
      </w:r>
      <w:r>
        <w:rPr>
          <w:color w:val="231F20"/>
        </w:rPr>
        <w:t>de</w:t>
      </w:r>
      <w:r>
        <w:rPr>
          <w:color w:val="231F20"/>
          <w:spacing w:val="14"/>
        </w:rPr>
        <w:t> </w:t>
      </w:r>
      <w:r>
        <w:rPr>
          <w:color w:val="231F20"/>
        </w:rPr>
        <w:t>la</w:t>
      </w:r>
      <w:r>
        <w:rPr>
          <w:color w:val="231F20"/>
          <w:spacing w:val="14"/>
        </w:rPr>
        <w:t> </w:t>
      </w:r>
      <w:r>
        <w:rPr>
          <w:color w:val="231F20"/>
        </w:rPr>
        <w:t>fusion</w:t>
      </w:r>
      <w:r>
        <w:rPr>
          <w:color w:val="231F20"/>
          <w:spacing w:val="14"/>
        </w:rPr>
        <w:t> </w:t>
      </w:r>
      <w:r>
        <w:rPr>
          <w:color w:val="231F20"/>
        </w:rPr>
        <w:t>transfrontalière;</w:t>
      </w:r>
    </w:p>
    <w:p>
      <w:pPr>
        <w:pStyle w:val="BodyText"/>
        <w:ind w:left="0" w:right="0" w:firstLine="0"/>
        <w:jc w:val="left"/>
        <w:rPr>
          <w:sz w:val="23"/>
        </w:rPr>
      </w:pPr>
    </w:p>
    <w:p>
      <w:pPr>
        <w:pStyle w:val="BodyText"/>
        <w:spacing w:line="218" w:lineRule="auto" w:before="1"/>
        <w:ind w:right="69"/>
      </w:pPr>
      <w:r>
        <w:rPr>
          <w:color w:val="231F20"/>
        </w:rPr>
        <w:t>11° des informations concernant l’évaluation du patrimoine actif et passif transféré à la société issue de la fusion transfrontalière;</w:t>
      </w:r>
    </w:p>
    <w:p>
      <w:pPr>
        <w:pStyle w:val="BodyText"/>
        <w:spacing w:before="11"/>
        <w:ind w:left="0" w:right="0" w:firstLine="0"/>
        <w:jc w:val="left"/>
        <w:rPr>
          <w:sz w:val="22"/>
        </w:rPr>
      </w:pPr>
    </w:p>
    <w:p>
      <w:pPr>
        <w:pStyle w:val="BodyText"/>
        <w:spacing w:line="218" w:lineRule="auto"/>
        <w:ind w:right="69"/>
      </w:pPr>
      <w:r>
        <w:rPr>
          <w:color w:val="231F20"/>
        </w:rPr>
        <w:t>12° les dates des comptes des sociétés qui fusionnent utilisées pour définir les conditions de la fusion transfrontalière.</w:t>
      </w:r>
    </w:p>
    <w:p>
      <w:pPr>
        <w:pStyle w:val="BodyText"/>
        <w:spacing w:before="10"/>
        <w:ind w:left="0" w:right="0" w:firstLine="0"/>
        <w:jc w:val="left"/>
        <w:rPr>
          <w:sz w:val="23"/>
        </w:rPr>
      </w:pPr>
    </w:p>
    <w:p>
      <w:pPr>
        <w:pStyle w:val="BodyText"/>
        <w:spacing w:line="218" w:lineRule="auto" w:before="1"/>
        <w:ind w:right="69"/>
      </w:pPr>
      <w:r>
        <w:rPr>
          <w:color w:val="231F20"/>
        </w:rPr>
        <w:t>Pour le projet de fusion transfrontalière portant sur l’opération assimilée à la fusion par absorption, les points 2°, 3° et 5°, ne sont pas d’application.</w:t>
      </w:r>
    </w:p>
    <w:p>
      <w:pPr>
        <w:pStyle w:val="BodyText"/>
        <w:spacing w:line="218" w:lineRule="auto" w:before="96"/>
        <w:ind w:right="69"/>
      </w:pPr>
      <w:r>
        <w:rPr>
          <w:color w:val="231F20"/>
        </w:rPr>
        <w:t>Art. 12:112. Le projet de fusion doit être déposé par chaque société concernée par la fusion au </w:t>
      </w:r>
      <w:r>
        <w:rPr>
          <w:color w:val="231F20"/>
          <w:spacing w:val="-3"/>
        </w:rPr>
        <w:t>greffe </w:t>
      </w:r>
      <w:r>
        <w:rPr>
          <w:color w:val="231F20"/>
        </w:rPr>
        <w:t>du tribunal de l’entreprise de son siège et publié par extrait ou mention conformément respectivement aux articles</w:t>
      </w:r>
      <w:r>
        <w:rPr>
          <w:color w:val="231F20"/>
          <w:spacing w:val="-9"/>
        </w:rPr>
        <w:t> </w:t>
      </w:r>
      <w:r>
        <w:rPr>
          <w:color w:val="231F20"/>
        </w:rPr>
        <w:t>2:8</w:t>
      </w:r>
      <w:r>
        <w:rPr>
          <w:color w:val="231F20"/>
          <w:spacing w:val="-8"/>
        </w:rPr>
        <w:t> </w:t>
      </w:r>
      <w:r>
        <w:rPr>
          <w:color w:val="231F20"/>
        </w:rPr>
        <w:t>et</w:t>
      </w:r>
      <w:r>
        <w:rPr>
          <w:color w:val="231F20"/>
          <w:spacing w:val="-9"/>
        </w:rPr>
        <w:t> </w:t>
      </w:r>
      <w:r>
        <w:rPr>
          <w:color w:val="231F20"/>
        </w:rPr>
        <w:t>2:14,</w:t>
      </w:r>
      <w:r>
        <w:rPr>
          <w:color w:val="231F20"/>
          <w:spacing w:val="-8"/>
        </w:rPr>
        <w:t> </w:t>
      </w:r>
      <w:r>
        <w:rPr>
          <w:color w:val="231F20"/>
        </w:rPr>
        <w:t>1°</w:t>
      </w:r>
      <w:r>
        <w:rPr>
          <w:color w:val="231F20"/>
          <w:spacing w:val="-8"/>
        </w:rPr>
        <w:t> </w:t>
      </w:r>
      <w:r>
        <w:rPr>
          <w:color w:val="231F20"/>
        </w:rPr>
        <w:t>ou</w:t>
      </w:r>
      <w:r>
        <w:rPr>
          <w:color w:val="231F20"/>
          <w:spacing w:val="-9"/>
        </w:rPr>
        <w:t> </w:t>
      </w:r>
      <w:r>
        <w:rPr>
          <w:color w:val="231F20"/>
        </w:rPr>
        <w:t>4°.</w:t>
      </w:r>
      <w:r>
        <w:rPr>
          <w:color w:val="231F20"/>
          <w:spacing w:val="-8"/>
        </w:rPr>
        <w:t> </w:t>
      </w:r>
      <w:r>
        <w:rPr>
          <w:color w:val="231F20"/>
        </w:rPr>
        <w:t>Dans</w:t>
      </w:r>
      <w:r>
        <w:rPr>
          <w:color w:val="231F20"/>
          <w:spacing w:val="-8"/>
        </w:rPr>
        <w:t> </w:t>
      </w:r>
      <w:r>
        <w:rPr>
          <w:color w:val="231F20"/>
        </w:rPr>
        <w:t>ce</w:t>
      </w:r>
      <w:r>
        <w:rPr>
          <w:color w:val="231F20"/>
          <w:spacing w:val="-9"/>
        </w:rPr>
        <w:t> </w:t>
      </w:r>
      <w:r>
        <w:rPr>
          <w:color w:val="231F20"/>
        </w:rPr>
        <w:t>dernier</w:t>
      </w:r>
      <w:r>
        <w:rPr>
          <w:color w:val="231F20"/>
          <w:spacing w:val="-8"/>
        </w:rPr>
        <w:t> </w:t>
      </w:r>
      <w:r>
        <w:rPr>
          <w:color w:val="231F20"/>
        </w:rPr>
        <w:t>cas,</w:t>
      </w:r>
      <w:r>
        <w:rPr>
          <w:color w:val="231F20"/>
          <w:spacing w:val="-8"/>
        </w:rPr>
        <w:t> </w:t>
      </w:r>
      <w:r>
        <w:rPr>
          <w:color w:val="231F20"/>
        </w:rPr>
        <w:t>la</w:t>
      </w:r>
      <w:r>
        <w:rPr>
          <w:color w:val="231F20"/>
          <w:spacing w:val="-9"/>
        </w:rPr>
        <w:t> </w:t>
      </w:r>
      <w:r>
        <w:rPr>
          <w:color w:val="231F20"/>
        </w:rPr>
        <w:t>mention</w:t>
      </w:r>
      <w:r>
        <w:rPr>
          <w:color w:val="231F20"/>
          <w:spacing w:val="-8"/>
        </w:rPr>
        <w:t> </w:t>
      </w:r>
      <w:r>
        <w:rPr>
          <w:color w:val="231F20"/>
        </w:rPr>
        <w:t>comporte</w:t>
      </w:r>
      <w:r>
        <w:rPr>
          <w:color w:val="231F20"/>
          <w:spacing w:val="-8"/>
        </w:rPr>
        <w:t> </w:t>
      </w:r>
      <w:r>
        <w:rPr>
          <w:color w:val="231F20"/>
        </w:rPr>
        <w:t>un lien hypertexte vers le site internet de la société. Le dépôt a lieu au plus tard six semaines avant la  décision  de  fusion  mentionnée  à  l’arti-  cle</w:t>
      </w:r>
      <w:r>
        <w:rPr>
          <w:color w:val="231F20"/>
          <w:spacing w:val="14"/>
        </w:rPr>
        <w:t> </w:t>
      </w:r>
      <w:r>
        <w:rPr>
          <w:color w:val="231F20"/>
        </w:rPr>
        <w:t>12:116,</w:t>
      </w:r>
      <w:r>
        <w:rPr>
          <w:color w:val="231F20"/>
          <w:spacing w:val="14"/>
        </w:rPr>
        <w:t> </w:t>
      </w:r>
      <w:r>
        <w:rPr>
          <w:color w:val="231F20"/>
        </w:rPr>
        <w:t>§</w:t>
      </w:r>
      <w:r>
        <w:rPr>
          <w:color w:val="231F20"/>
          <w:spacing w:val="15"/>
        </w:rPr>
        <w:t> </w:t>
      </w:r>
      <w:r>
        <w:rPr>
          <w:color w:val="231F20"/>
        </w:rPr>
        <w:t>2,</w:t>
      </w:r>
      <w:r>
        <w:rPr>
          <w:color w:val="231F20"/>
          <w:spacing w:val="14"/>
        </w:rPr>
        <w:t> </w:t>
      </w:r>
      <w:r>
        <w:rPr>
          <w:color w:val="231F20"/>
        </w:rPr>
        <w:t>alinéa</w:t>
      </w:r>
      <w:r>
        <w:rPr>
          <w:color w:val="231F20"/>
          <w:spacing w:val="15"/>
        </w:rPr>
        <w:t> </w:t>
      </w:r>
      <w:r>
        <w:rPr>
          <w:color w:val="231F20"/>
        </w:rPr>
        <w:t>3.</w:t>
      </w:r>
    </w:p>
    <w:p>
      <w:pPr>
        <w:pStyle w:val="BodyText"/>
        <w:spacing w:before="82"/>
        <w:ind w:left="284" w:right="0" w:firstLine="0"/>
        <w:jc w:val="left"/>
      </w:pPr>
      <w:r>
        <w:rPr>
          <w:color w:val="231F20"/>
        </w:rPr>
        <w:t>La publication contient au moins les données suivantes:</w:t>
      </w:r>
    </w:p>
    <w:p>
      <w:pPr>
        <w:pStyle w:val="ListParagraph"/>
        <w:numPr>
          <w:ilvl w:val="0"/>
          <w:numId w:val="139"/>
        </w:numPr>
        <w:tabs>
          <w:tab w:pos="475" w:val="left" w:leader="none"/>
        </w:tabs>
        <w:spacing w:line="218" w:lineRule="auto" w:before="90" w:after="0"/>
        <w:ind w:left="113" w:right="69" w:firstLine="171"/>
        <w:jc w:val="both"/>
        <w:rPr>
          <w:sz w:val="17"/>
        </w:rPr>
      </w:pPr>
      <w:r>
        <w:rPr>
          <w:color w:val="231F20"/>
          <w:sz w:val="17"/>
        </w:rPr>
        <w:t>la forme légale, la dénomination et le siège statutaire de chacune des sociétés qui</w:t>
      </w:r>
      <w:r>
        <w:rPr>
          <w:color w:val="231F20"/>
          <w:spacing w:val="3"/>
          <w:sz w:val="17"/>
        </w:rPr>
        <w:t> </w:t>
      </w:r>
      <w:r>
        <w:rPr>
          <w:color w:val="231F20"/>
          <w:sz w:val="17"/>
        </w:rPr>
        <w:t>fusionnent;</w:t>
      </w:r>
    </w:p>
    <w:p>
      <w:pPr>
        <w:pStyle w:val="ListParagraph"/>
        <w:numPr>
          <w:ilvl w:val="0"/>
          <w:numId w:val="139"/>
        </w:numPr>
        <w:tabs>
          <w:tab w:pos="490" w:val="left" w:leader="none"/>
        </w:tabs>
        <w:spacing w:line="218" w:lineRule="auto" w:before="94" w:after="0"/>
        <w:ind w:left="113" w:right="69" w:firstLine="171"/>
        <w:jc w:val="both"/>
        <w:rPr>
          <w:sz w:val="17"/>
        </w:rPr>
      </w:pPr>
      <w:r>
        <w:rPr>
          <w:color w:val="231F20"/>
          <w:sz w:val="17"/>
        </w:rPr>
        <w:t>le registre des personnes morales et le numéro d’entreprise, ou, pour les entreprises étrangères, le registre auprès duquel les actes visés à l’article 16, § 3, de la directive 2017/1132/UE du Parlement européen et du Conseil du 14 juin 2017 ont été déposés pour chacune des sociétés qui</w:t>
      </w:r>
      <w:r>
        <w:rPr>
          <w:color w:val="231F20"/>
          <w:spacing w:val="14"/>
          <w:sz w:val="17"/>
        </w:rPr>
        <w:t> </w:t>
      </w:r>
      <w:r>
        <w:rPr>
          <w:color w:val="231F20"/>
          <w:sz w:val="17"/>
        </w:rPr>
        <w:t>fusionnent</w:t>
      </w:r>
      <w:r>
        <w:rPr>
          <w:color w:val="231F20"/>
          <w:spacing w:val="15"/>
          <w:sz w:val="17"/>
        </w:rPr>
        <w:t> </w:t>
      </w:r>
      <w:r>
        <w:rPr>
          <w:color w:val="231F20"/>
          <w:sz w:val="17"/>
        </w:rPr>
        <w:t>ainsi</w:t>
      </w:r>
      <w:r>
        <w:rPr>
          <w:color w:val="231F20"/>
          <w:spacing w:val="15"/>
          <w:sz w:val="17"/>
        </w:rPr>
        <w:t> </w:t>
      </w:r>
      <w:r>
        <w:rPr>
          <w:color w:val="231F20"/>
          <w:sz w:val="17"/>
        </w:rPr>
        <w:t>que</w:t>
      </w:r>
      <w:r>
        <w:rPr>
          <w:color w:val="231F20"/>
          <w:spacing w:val="15"/>
          <w:sz w:val="17"/>
        </w:rPr>
        <w:t> </w:t>
      </w:r>
      <w:r>
        <w:rPr>
          <w:color w:val="231F20"/>
          <w:sz w:val="17"/>
        </w:rPr>
        <w:t>le</w:t>
      </w:r>
      <w:r>
        <w:rPr>
          <w:color w:val="231F20"/>
          <w:spacing w:val="15"/>
          <w:sz w:val="17"/>
        </w:rPr>
        <w:t> </w:t>
      </w:r>
      <w:r>
        <w:rPr>
          <w:color w:val="231F20"/>
          <w:sz w:val="17"/>
        </w:rPr>
        <w:t>numéro</w:t>
      </w:r>
      <w:r>
        <w:rPr>
          <w:color w:val="231F20"/>
          <w:spacing w:val="15"/>
          <w:sz w:val="17"/>
        </w:rPr>
        <w:t> </w:t>
      </w:r>
      <w:r>
        <w:rPr>
          <w:color w:val="231F20"/>
          <w:sz w:val="17"/>
        </w:rPr>
        <w:t>d’inscription</w:t>
      </w:r>
      <w:r>
        <w:rPr>
          <w:color w:val="231F20"/>
          <w:spacing w:val="15"/>
          <w:sz w:val="17"/>
        </w:rPr>
        <w:t> </w:t>
      </w:r>
      <w:r>
        <w:rPr>
          <w:color w:val="231F20"/>
          <w:sz w:val="17"/>
        </w:rPr>
        <w:t>dans</w:t>
      </w:r>
      <w:r>
        <w:rPr>
          <w:color w:val="231F20"/>
          <w:spacing w:val="15"/>
          <w:sz w:val="17"/>
        </w:rPr>
        <w:t> </w:t>
      </w:r>
      <w:r>
        <w:rPr>
          <w:color w:val="231F20"/>
          <w:sz w:val="17"/>
        </w:rPr>
        <w:t>ce</w:t>
      </w:r>
      <w:r>
        <w:rPr>
          <w:color w:val="231F20"/>
          <w:spacing w:val="15"/>
          <w:sz w:val="17"/>
        </w:rPr>
        <w:t> </w:t>
      </w:r>
      <w:r>
        <w:rPr>
          <w:color w:val="231F20"/>
          <w:sz w:val="17"/>
        </w:rPr>
        <w:t>registre;</w:t>
      </w:r>
    </w:p>
    <w:p>
      <w:pPr>
        <w:pStyle w:val="ListParagraph"/>
        <w:numPr>
          <w:ilvl w:val="0"/>
          <w:numId w:val="139"/>
        </w:numPr>
        <w:tabs>
          <w:tab w:pos="500" w:val="left" w:leader="none"/>
        </w:tabs>
        <w:spacing w:line="218" w:lineRule="auto" w:before="94" w:after="0"/>
        <w:ind w:left="113" w:right="68" w:firstLine="171"/>
        <w:jc w:val="both"/>
        <w:rPr>
          <w:sz w:val="17"/>
        </w:rPr>
      </w:pPr>
      <w:r>
        <w:rPr>
          <w:color w:val="231F20"/>
          <w:sz w:val="17"/>
        </w:rPr>
        <w:t>une indication, pour chacune des sociétés qui fusionnent, des règles prescrites en vue de la protection des droits des créanciers et, le cas échéant, des associés ou actionnaires minoritaires des sociétés qui fusionnent qui se sont prononcés contre la fusion transfrontalière ainsi que l’adresse, l’adresse électronique ou le site internet auxquels peut être</w:t>
      </w:r>
      <w:r>
        <w:rPr>
          <w:color w:val="231F20"/>
          <w:spacing w:val="10"/>
          <w:sz w:val="17"/>
        </w:rPr>
        <w:t> </w:t>
      </w:r>
      <w:r>
        <w:rPr>
          <w:color w:val="231F20"/>
          <w:sz w:val="17"/>
        </w:rPr>
        <w:t>obtenue,</w:t>
      </w:r>
      <w:r>
        <w:rPr>
          <w:color w:val="231F20"/>
          <w:spacing w:val="11"/>
          <w:sz w:val="17"/>
        </w:rPr>
        <w:t> </w:t>
      </w:r>
      <w:r>
        <w:rPr>
          <w:color w:val="231F20"/>
          <w:sz w:val="17"/>
        </w:rPr>
        <w:t>sans</w:t>
      </w:r>
      <w:r>
        <w:rPr>
          <w:color w:val="231F20"/>
          <w:spacing w:val="11"/>
          <w:sz w:val="17"/>
        </w:rPr>
        <w:t> </w:t>
      </w:r>
      <w:r>
        <w:rPr>
          <w:color w:val="231F20"/>
          <w:sz w:val="17"/>
        </w:rPr>
        <w:t>frais,</w:t>
      </w:r>
      <w:r>
        <w:rPr>
          <w:color w:val="231F20"/>
          <w:spacing w:val="11"/>
          <w:sz w:val="17"/>
        </w:rPr>
        <w:t> </w:t>
      </w:r>
      <w:r>
        <w:rPr>
          <w:color w:val="231F20"/>
          <w:sz w:val="17"/>
        </w:rPr>
        <w:t>une</w:t>
      </w:r>
      <w:r>
        <w:rPr>
          <w:color w:val="231F20"/>
          <w:spacing w:val="11"/>
          <w:sz w:val="17"/>
        </w:rPr>
        <w:t> </w:t>
      </w:r>
      <w:r>
        <w:rPr>
          <w:color w:val="231F20"/>
          <w:sz w:val="17"/>
        </w:rPr>
        <w:t>information</w:t>
      </w:r>
      <w:r>
        <w:rPr>
          <w:color w:val="231F20"/>
          <w:spacing w:val="11"/>
          <w:sz w:val="17"/>
        </w:rPr>
        <w:t> </w:t>
      </w:r>
      <w:r>
        <w:rPr>
          <w:color w:val="231F20"/>
          <w:sz w:val="17"/>
        </w:rPr>
        <w:t>exhaustive</w:t>
      </w:r>
      <w:r>
        <w:rPr>
          <w:color w:val="231F20"/>
          <w:spacing w:val="11"/>
          <w:sz w:val="17"/>
        </w:rPr>
        <w:t> </w:t>
      </w:r>
      <w:r>
        <w:rPr>
          <w:color w:val="231F20"/>
          <w:sz w:val="17"/>
        </w:rPr>
        <w:t>sur</w:t>
      </w:r>
      <w:r>
        <w:rPr>
          <w:color w:val="231F20"/>
          <w:spacing w:val="11"/>
          <w:sz w:val="17"/>
        </w:rPr>
        <w:t> </w:t>
      </w:r>
      <w:r>
        <w:rPr>
          <w:color w:val="231F20"/>
          <w:sz w:val="17"/>
        </w:rPr>
        <w:t>ces</w:t>
      </w:r>
      <w:r>
        <w:rPr>
          <w:color w:val="231F20"/>
          <w:spacing w:val="11"/>
          <w:sz w:val="17"/>
        </w:rPr>
        <w:t> </w:t>
      </w:r>
      <w:r>
        <w:rPr>
          <w:color w:val="231F20"/>
          <w:sz w:val="17"/>
        </w:rPr>
        <w:t>modalités.</w:t>
      </w:r>
    </w:p>
    <w:p>
      <w:pPr>
        <w:pStyle w:val="BodyText"/>
        <w:spacing w:before="10"/>
        <w:ind w:left="0" w:right="0" w:firstLine="0"/>
        <w:jc w:val="left"/>
        <w:rPr>
          <w:sz w:val="23"/>
        </w:rPr>
      </w:pPr>
    </w:p>
    <w:p>
      <w:pPr>
        <w:pStyle w:val="BodyText"/>
        <w:spacing w:line="218" w:lineRule="auto" w:before="1"/>
        <w:ind w:right="68"/>
      </w:pPr>
      <w:r>
        <w:rPr>
          <w:color w:val="231F20"/>
        </w:rPr>
        <w:t>Art. 12:113. Dans chaque société, l’organe d’administration établit un rapport écrit et circonstancié à l’intention des associés ou actionnaires qui expose la situation patrimoniale des sociétés appelées à fusionner et qui explique et justifie, d’un point de vue juridique et économique, l’opportunité, les conditions et les modalités de la fusion transfronta- lière, les conséquences de la fusion transfrontalière pour les associés ou actionnaires, les créanciers et les salariés, les méthodes suivies pour la détermination du rapport d’échange des actions ou des parts, l’impor- tance relative qui est donnée à ces méthodes, l’évaluation à laquelle chaque méthode parvient, les difficultés éventuellement rencontrées, et le rapport d’échange proposé.</w:t>
      </w:r>
    </w:p>
    <w:p>
      <w:pPr>
        <w:pStyle w:val="BodyText"/>
        <w:spacing w:before="3"/>
        <w:ind w:left="0" w:right="0" w:firstLine="0"/>
        <w:jc w:val="left"/>
        <w:rPr>
          <w:sz w:val="24"/>
        </w:rPr>
      </w:pPr>
    </w:p>
    <w:p>
      <w:pPr>
        <w:pStyle w:val="BodyText"/>
        <w:spacing w:line="213" w:lineRule="auto"/>
        <w:ind w:right="3"/>
        <w:jc w:val="left"/>
      </w:pPr>
      <w:r>
        <w:rPr>
          <w:color w:val="231F20"/>
        </w:rPr>
        <w:t>Les représentants des salariés ou, lorsqu’il n’y a pas de représentants, les salariés eux-mêmes, ont le droit, au plus tard un mois avant la date de l’assemblée générale qui se prononcera sur le projet de fusion, de prendre connaissance au siège de la société du rapport </w:t>
      </w:r>
      <w:r>
        <w:rPr>
          <w:color w:val="231F20"/>
          <w:spacing w:val="3"/>
        </w:rPr>
        <w:t>mentionné </w:t>
      </w:r>
      <w:r>
        <w:rPr>
          <w:color w:val="231F20"/>
        </w:rPr>
        <w:t>à l’alinéa</w:t>
      </w:r>
      <w:r>
        <w:rPr>
          <w:color w:val="231F20"/>
          <w:spacing w:val="15"/>
        </w:rPr>
        <w:t> </w:t>
      </w:r>
      <w:r>
        <w:rPr>
          <w:color w:val="231F20"/>
        </w:rPr>
        <w:t>1</w:t>
      </w:r>
      <w:r>
        <w:rPr>
          <w:color w:val="231F20"/>
          <w:position w:val="7"/>
          <w:sz w:val="11"/>
        </w:rPr>
        <w:t>er</w:t>
      </w:r>
      <w:r>
        <w:rPr>
          <w:color w:val="231F20"/>
        </w:rPr>
        <w:t>.</w:t>
      </w:r>
    </w:p>
    <w:p>
      <w:pPr>
        <w:pStyle w:val="BodyText"/>
        <w:spacing w:line="213" w:lineRule="auto" w:before="100"/>
        <w:ind w:right="69"/>
      </w:pPr>
      <w:r>
        <w:rPr>
          <w:color w:val="231F20"/>
        </w:rPr>
        <w:t>Si les organisations de travailleurs représentées au sein du conseil d’entreprise formulent un avis dans le cadre de l’information prévue à l’article 11 de la Convention collective de travail n° 9 du 9 mars 1972 et qu’il parvient à l’organe d’administration à temps, cet avis est joint au rapport mentionné à l’alinéa 1</w:t>
      </w:r>
      <w:r>
        <w:rPr>
          <w:color w:val="231F20"/>
          <w:position w:val="7"/>
          <w:sz w:val="11"/>
        </w:rPr>
        <w:t>er</w:t>
      </w:r>
      <w:r>
        <w:rPr>
          <w:color w:val="231F20"/>
        </w:rPr>
        <w:t>.</w:t>
      </w:r>
    </w:p>
    <w:p>
      <w:pPr>
        <w:pStyle w:val="BodyText"/>
        <w:spacing w:line="218" w:lineRule="auto" w:before="83"/>
        <w:ind w:right="69"/>
      </w:pPr>
      <w:r>
        <w:rPr>
          <w:color w:val="231F20"/>
        </w:rPr>
        <w:t>Art. 12:114. § 1</w:t>
      </w:r>
      <w:r>
        <w:rPr>
          <w:color w:val="231F20"/>
          <w:position w:val="7"/>
          <w:sz w:val="11"/>
        </w:rPr>
        <w:t>er</w:t>
      </w:r>
      <w:r>
        <w:rPr>
          <w:color w:val="231F20"/>
        </w:rPr>
        <w:t>. Un rapport écrit sur le projet de fusion transfron- talière est établi dans chaque société, soit par le commissaire, soit, lorsqu’il n’y a pas de commissaire, par un réviseur d’entreprises ou un expert-comptable externe désigné par l’organe d’administration.</w:t>
      </w:r>
    </w:p>
    <w:p>
      <w:pPr>
        <w:pStyle w:val="BodyText"/>
        <w:spacing w:line="218" w:lineRule="auto" w:before="119"/>
        <w:ind w:right="0" w:firstLine="0"/>
        <w:jc w:val="left"/>
      </w:pPr>
      <w:r>
        <w:rPr/>
        <w:br w:type="column"/>
      </w:r>
      <w:r>
        <w:rPr>
          <w:color w:val="231F20"/>
        </w:rPr>
        <w:t>de afsluiting van het boekjaar waarvoor de jaarrekening reeds werd goedgekeurd van de bij de verrichting betrokken vennootschappen;</w:t>
      </w:r>
    </w:p>
    <w:p>
      <w:pPr>
        <w:pStyle w:val="BodyText"/>
        <w:spacing w:line="218" w:lineRule="auto" w:before="86"/>
      </w:pPr>
      <w:r>
        <w:rPr>
          <w:color w:val="231F20"/>
        </w:rPr>
        <w:t>7° de rechten die de uit de grensoverschrijdende fusie ontstane vennootschap aan de vennoten of aandeelhouders met bijzondere rechten en aan de houders van effecten andere dan aandelen toekent, of de jegens hen voorgestelde maatregelen;</w:t>
      </w:r>
    </w:p>
    <w:p>
      <w:pPr>
        <w:pStyle w:val="BodyText"/>
        <w:spacing w:line="218" w:lineRule="auto" w:before="86"/>
      </w:pPr>
      <w:r>
        <w:rPr>
          <w:color w:val="231F20"/>
        </w:rPr>
        <w:t>8° ieder bijzonder voordeel dat wordt toegekend aan de deskundigen die het voorstel voor een grensoverschrijdende fusie onderzoeken evenals aan de leden van organen die zijn belast met het bestuur of de leiding van, of het toezicht of de controle op de fuserende vennoot- schappen;</w:t>
      </w:r>
    </w:p>
    <w:p>
      <w:pPr>
        <w:pStyle w:val="BodyText"/>
        <w:spacing w:line="218" w:lineRule="auto" w:before="85"/>
      </w:pPr>
      <w:r>
        <w:rPr>
          <w:color w:val="231F20"/>
        </w:rPr>
        <w:t>9° de statuten van de uit de grensoverschrijdende fusie ontstane vennootschap;</w:t>
      </w:r>
    </w:p>
    <w:p>
      <w:pPr>
        <w:pStyle w:val="BodyText"/>
        <w:spacing w:line="218" w:lineRule="auto" w:before="86"/>
      </w:pPr>
      <w:r>
        <w:rPr>
          <w:color w:val="231F20"/>
        </w:rPr>
        <w:t>10° in voorkomend geval, informatie over de procedures volgens dewelke, overeenkomstig de maatregelen die de Koning neemt in uitvoering van artikel 133 van richtlijn 2017/1132/EU van het Europees Parlement en de Raad van 14 juni 2017, regelingen worden vastgesteld met betrekking tot de wijze waarop de werknemers bij de vaststelling van hun medezeggenschapsrechten in de uit de fusie ontstane vennoot- schap worden betrokken;</w:t>
      </w:r>
    </w:p>
    <w:p>
      <w:pPr>
        <w:pStyle w:val="BodyText"/>
        <w:spacing w:line="218" w:lineRule="auto" w:before="86"/>
        <w:ind w:right="123"/>
      </w:pPr>
      <w:r>
        <w:rPr>
          <w:color w:val="231F20"/>
        </w:rPr>
        <w:t>11° informatie over de evaluatie van de activa en de passiva die overgaan naar de uit de grensoverschrijdende fusie ontstane vennoot- schap;</w:t>
      </w:r>
    </w:p>
    <w:p>
      <w:pPr>
        <w:pStyle w:val="BodyText"/>
        <w:spacing w:line="218" w:lineRule="auto" w:before="85"/>
      </w:pPr>
      <w:r>
        <w:rPr>
          <w:color w:val="231F20"/>
        </w:rPr>
        <w:t>12° data van de rekeningen van de fuserende vennootschappen die worden gebruikt om de voorwaarden voor de grensoverschrijdende fusie vast te stellen.</w:t>
      </w:r>
    </w:p>
    <w:p>
      <w:pPr>
        <w:pStyle w:val="BodyText"/>
        <w:spacing w:line="218" w:lineRule="auto" w:before="96"/>
      </w:pPr>
      <w:r>
        <w:rPr>
          <w:color w:val="231F20"/>
        </w:rPr>
        <w:t>Voor het grensoverschrijdend fusievoorstel van de met fusie door overneming gelijkgestelde verrichting, zijn 2°, 3° en 5°, niet van toepassing.</w:t>
      </w:r>
    </w:p>
    <w:p>
      <w:pPr>
        <w:pStyle w:val="BodyText"/>
        <w:spacing w:line="218" w:lineRule="auto" w:before="97"/>
        <w:ind w:right="123"/>
      </w:pPr>
      <w:r>
        <w:rPr>
          <w:color w:val="231F20"/>
        </w:rPr>
        <w:t>Art. 12:112. Het fusievoorstel moet door elke bij de fusie betrokken vennootschap ter </w:t>
      </w:r>
      <w:r>
        <w:rPr>
          <w:color w:val="231F20"/>
          <w:spacing w:val="-4"/>
        </w:rPr>
        <w:t>griffie </w:t>
      </w:r>
      <w:r>
        <w:rPr>
          <w:color w:val="231F20"/>
        </w:rPr>
        <w:t>van de ondernemingsrechtbank van haar zetel worden neergelegd en bekendgemaakt bij uittreksel of mededeling overeenkomstig respectievelijk de artikelen 2:8 en 2:14, 1° of 4°. In dit laatste</w:t>
      </w:r>
      <w:r>
        <w:rPr>
          <w:color w:val="231F20"/>
          <w:spacing w:val="-5"/>
        </w:rPr>
        <w:t> </w:t>
      </w:r>
      <w:r>
        <w:rPr>
          <w:color w:val="231F20"/>
        </w:rPr>
        <w:t>geval</w:t>
      </w:r>
      <w:r>
        <w:rPr>
          <w:color w:val="231F20"/>
          <w:spacing w:val="-4"/>
        </w:rPr>
        <w:t> </w:t>
      </w:r>
      <w:r>
        <w:rPr>
          <w:color w:val="231F20"/>
        </w:rPr>
        <w:t>bevat</w:t>
      </w:r>
      <w:r>
        <w:rPr>
          <w:color w:val="231F20"/>
          <w:spacing w:val="-5"/>
        </w:rPr>
        <w:t> </w:t>
      </w:r>
      <w:r>
        <w:rPr>
          <w:color w:val="231F20"/>
        </w:rPr>
        <w:t>de</w:t>
      </w:r>
      <w:r>
        <w:rPr>
          <w:color w:val="231F20"/>
          <w:spacing w:val="-4"/>
        </w:rPr>
        <w:t> </w:t>
      </w:r>
      <w:r>
        <w:rPr>
          <w:color w:val="231F20"/>
        </w:rPr>
        <w:t>mededeling</w:t>
      </w:r>
      <w:r>
        <w:rPr>
          <w:color w:val="231F20"/>
          <w:spacing w:val="-5"/>
        </w:rPr>
        <w:t> </w:t>
      </w:r>
      <w:r>
        <w:rPr>
          <w:color w:val="231F20"/>
        </w:rPr>
        <w:t>een</w:t>
      </w:r>
      <w:r>
        <w:rPr>
          <w:color w:val="231F20"/>
          <w:spacing w:val="-4"/>
        </w:rPr>
        <w:t> </w:t>
      </w:r>
      <w:r>
        <w:rPr>
          <w:color w:val="231F20"/>
        </w:rPr>
        <w:t>hyperlink</w:t>
      </w:r>
      <w:r>
        <w:rPr>
          <w:color w:val="231F20"/>
          <w:spacing w:val="-5"/>
        </w:rPr>
        <w:t> </w:t>
      </w:r>
      <w:r>
        <w:rPr>
          <w:color w:val="231F20"/>
        </w:rPr>
        <w:t>naar</w:t>
      </w:r>
      <w:r>
        <w:rPr>
          <w:color w:val="231F20"/>
          <w:spacing w:val="-4"/>
        </w:rPr>
        <w:t> </w:t>
      </w:r>
      <w:r>
        <w:rPr>
          <w:color w:val="231F20"/>
        </w:rPr>
        <w:t>de</w:t>
      </w:r>
      <w:r>
        <w:rPr>
          <w:color w:val="231F20"/>
          <w:spacing w:val="-5"/>
        </w:rPr>
        <w:t> </w:t>
      </w:r>
      <w:r>
        <w:rPr>
          <w:color w:val="231F20"/>
        </w:rPr>
        <w:t>vennootschaps- website. De neerlegging gebeurt uiterlijk zes weken vóór het besluit tot fusie</w:t>
      </w:r>
      <w:r>
        <w:rPr>
          <w:color w:val="231F20"/>
          <w:spacing w:val="15"/>
        </w:rPr>
        <w:t> </w:t>
      </w:r>
      <w:r>
        <w:rPr>
          <w:color w:val="231F20"/>
        </w:rPr>
        <w:t>vermeld</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12:116,</w:t>
      </w:r>
      <w:r>
        <w:rPr>
          <w:color w:val="231F20"/>
          <w:spacing w:val="16"/>
        </w:rPr>
        <w:t> </w:t>
      </w:r>
      <w:r>
        <w:rPr>
          <w:color w:val="231F20"/>
        </w:rPr>
        <w:t>§</w:t>
      </w:r>
      <w:r>
        <w:rPr>
          <w:color w:val="231F20"/>
          <w:spacing w:val="15"/>
        </w:rPr>
        <w:t> </w:t>
      </w:r>
      <w:r>
        <w:rPr>
          <w:color w:val="231F20"/>
        </w:rPr>
        <w:t>2,</w:t>
      </w:r>
      <w:r>
        <w:rPr>
          <w:color w:val="231F20"/>
          <w:spacing w:val="15"/>
        </w:rPr>
        <w:t> </w:t>
      </w:r>
      <w:r>
        <w:rPr>
          <w:color w:val="231F20"/>
        </w:rPr>
        <w:t>derde</w:t>
      </w:r>
      <w:r>
        <w:rPr>
          <w:color w:val="231F20"/>
          <w:spacing w:val="15"/>
        </w:rPr>
        <w:t> </w:t>
      </w:r>
      <w:r>
        <w:rPr>
          <w:color w:val="231F20"/>
        </w:rPr>
        <w:t>lid.</w:t>
      </w:r>
    </w:p>
    <w:p>
      <w:pPr>
        <w:pStyle w:val="BodyText"/>
        <w:spacing w:before="82"/>
        <w:ind w:left="283" w:right="0" w:firstLine="0"/>
        <w:jc w:val="left"/>
      </w:pPr>
      <w:r>
        <w:rPr>
          <w:color w:val="231F20"/>
        </w:rPr>
        <w:t>Ten minste onderstaande gegevens worden bekendgemaakt:</w:t>
      </w:r>
    </w:p>
    <w:p>
      <w:pPr>
        <w:pStyle w:val="ListParagraph"/>
        <w:numPr>
          <w:ilvl w:val="0"/>
          <w:numId w:val="140"/>
        </w:numPr>
        <w:tabs>
          <w:tab w:pos="459" w:val="left" w:leader="none"/>
        </w:tabs>
        <w:spacing w:line="218" w:lineRule="auto" w:before="90" w:after="0"/>
        <w:ind w:left="113" w:right="124" w:firstLine="170"/>
        <w:jc w:val="both"/>
        <w:rPr>
          <w:sz w:val="17"/>
        </w:rPr>
      </w:pPr>
      <w:r>
        <w:rPr>
          <w:color w:val="231F20"/>
          <w:sz w:val="17"/>
        </w:rPr>
        <w:t>de rechtsvorm, de naam en de statutaire zetel van iedere fuserende vennootschap;</w:t>
      </w:r>
    </w:p>
    <w:p>
      <w:pPr>
        <w:pStyle w:val="ListParagraph"/>
        <w:numPr>
          <w:ilvl w:val="0"/>
          <w:numId w:val="140"/>
        </w:numPr>
        <w:tabs>
          <w:tab w:pos="480" w:val="left" w:leader="none"/>
        </w:tabs>
        <w:spacing w:line="218" w:lineRule="auto" w:before="94" w:after="0"/>
        <w:ind w:left="113" w:right="124" w:firstLine="170"/>
        <w:jc w:val="both"/>
        <w:rPr>
          <w:sz w:val="17"/>
        </w:rPr>
      </w:pPr>
      <w:r>
        <w:rPr>
          <w:color w:val="231F20"/>
          <w:sz w:val="17"/>
        </w:rPr>
        <w:t>het rechtspersonenregister en het ondernemingsnummer, of voor buitenlandse vennootschappen het register waarbij voor elke fuserende vennootschap de in artikel 16, lid 3, van richtlijn 2017/1132/EU van het Europees Parlement en de Raad van 14 juni 2017 bedoelde akten zijn neergelegd,</w:t>
      </w:r>
      <w:r>
        <w:rPr>
          <w:color w:val="231F20"/>
          <w:spacing w:val="16"/>
          <w:sz w:val="17"/>
        </w:rPr>
        <w:t> </w:t>
      </w:r>
      <w:r>
        <w:rPr>
          <w:color w:val="231F20"/>
          <w:sz w:val="17"/>
        </w:rPr>
        <w:t>evenals</w:t>
      </w:r>
      <w:r>
        <w:rPr>
          <w:color w:val="231F20"/>
          <w:spacing w:val="16"/>
          <w:sz w:val="17"/>
        </w:rPr>
        <w:t> </w:t>
      </w:r>
      <w:r>
        <w:rPr>
          <w:color w:val="231F20"/>
          <w:sz w:val="17"/>
        </w:rPr>
        <w:t>het</w:t>
      </w:r>
      <w:r>
        <w:rPr>
          <w:color w:val="231F20"/>
          <w:spacing w:val="16"/>
          <w:sz w:val="17"/>
        </w:rPr>
        <w:t> </w:t>
      </w:r>
      <w:r>
        <w:rPr>
          <w:color w:val="231F20"/>
          <w:sz w:val="17"/>
        </w:rPr>
        <w:t>nummer</w:t>
      </w:r>
      <w:r>
        <w:rPr>
          <w:color w:val="231F20"/>
          <w:spacing w:val="16"/>
          <w:sz w:val="17"/>
        </w:rPr>
        <w:t> </w:t>
      </w:r>
      <w:r>
        <w:rPr>
          <w:color w:val="231F20"/>
          <w:sz w:val="17"/>
        </w:rPr>
        <w:t>van</w:t>
      </w:r>
      <w:r>
        <w:rPr>
          <w:color w:val="231F20"/>
          <w:spacing w:val="17"/>
          <w:sz w:val="17"/>
        </w:rPr>
        <w:t> </w:t>
      </w:r>
      <w:r>
        <w:rPr>
          <w:color w:val="231F20"/>
          <w:sz w:val="17"/>
        </w:rPr>
        <w:t>inschrijving</w:t>
      </w:r>
      <w:r>
        <w:rPr>
          <w:color w:val="231F20"/>
          <w:spacing w:val="16"/>
          <w:sz w:val="17"/>
        </w:rPr>
        <w:t> </w:t>
      </w:r>
      <w:r>
        <w:rPr>
          <w:color w:val="231F20"/>
          <w:sz w:val="17"/>
        </w:rPr>
        <w:t>in</w:t>
      </w:r>
      <w:r>
        <w:rPr>
          <w:color w:val="231F20"/>
          <w:spacing w:val="16"/>
          <w:sz w:val="17"/>
        </w:rPr>
        <w:t> </w:t>
      </w:r>
      <w:r>
        <w:rPr>
          <w:color w:val="231F20"/>
          <w:sz w:val="17"/>
        </w:rPr>
        <w:t>dat</w:t>
      </w:r>
      <w:r>
        <w:rPr>
          <w:color w:val="231F20"/>
          <w:spacing w:val="16"/>
          <w:sz w:val="17"/>
        </w:rPr>
        <w:t> </w:t>
      </w:r>
      <w:r>
        <w:rPr>
          <w:color w:val="231F20"/>
          <w:sz w:val="17"/>
        </w:rPr>
        <w:t>register;</w:t>
      </w:r>
    </w:p>
    <w:p>
      <w:pPr>
        <w:pStyle w:val="ListParagraph"/>
        <w:numPr>
          <w:ilvl w:val="0"/>
          <w:numId w:val="140"/>
        </w:numPr>
        <w:tabs>
          <w:tab w:pos="504" w:val="left" w:leader="none"/>
        </w:tabs>
        <w:spacing w:line="218" w:lineRule="auto" w:before="93" w:after="0"/>
        <w:ind w:left="113" w:right="124" w:firstLine="170"/>
        <w:jc w:val="both"/>
        <w:rPr>
          <w:sz w:val="17"/>
        </w:rPr>
      </w:pPr>
      <w:r>
        <w:rPr>
          <w:color w:val="231F20"/>
          <w:sz w:val="17"/>
        </w:rPr>
        <w:t>vermelding, voor elke fuserende vennootschap, van de regels voorgeschreven met het oog op de bescherming van de rechten van de schuldeisers en, in voorkomend geval, van de minderheidsvennoten of aandeelhouders van de fuserende vennootschappen die zich tegen de grensoverschrijdende fusie hebben verzet, evenals van het adres, het e-mailadres of de website waar kosteloos volledige inlichtingen betreffende die regels verkrijgbaar</w:t>
      </w:r>
      <w:r>
        <w:rPr>
          <w:color w:val="231F20"/>
          <w:spacing w:val="18"/>
          <w:sz w:val="17"/>
        </w:rPr>
        <w:t> </w:t>
      </w:r>
      <w:r>
        <w:rPr>
          <w:color w:val="231F20"/>
          <w:sz w:val="17"/>
        </w:rPr>
        <w:t>zijn.</w:t>
      </w:r>
    </w:p>
    <w:p>
      <w:pPr>
        <w:pStyle w:val="BodyText"/>
        <w:spacing w:line="218" w:lineRule="auto" w:before="97"/>
      </w:pPr>
      <w:r>
        <w:rPr>
          <w:color w:val="231F20"/>
        </w:rPr>
        <w:t>Art. 12:113. In elke vennootschap stelt het bestuursorgaan een omstandig schriftelijk verslag op bestemd voor de vennoten of aandeelhouders waarin het de stand van het vermogen van de te fuseren vennootschappen uiteenzet en waarin het tevens, vanuit een juridisch en economisch oogpunt, de wenselijkheid van de fusie, haar voorwaarden, de wijze waarop ze zal gebeuren en haar gevolgen voor  de vennoten of aandeelhouders, de schuldeisers en de werknemers, de methoden waarmee de ruilverhouding van de aandelen is vastgesteld, het betrekkelijk gewicht dat aan deze methoden wordt gehecht, de waardering waartoe elke methode komt, de moeilijkheden die zich eventueel hebben voorgedaan en de voorgestelde ruilverhouding toelicht en</w:t>
      </w:r>
      <w:r>
        <w:rPr>
          <w:color w:val="231F20"/>
          <w:spacing w:val="-11"/>
        </w:rPr>
        <w:t> </w:t>
      </w:r>
      <w:r>
        <w:rPr>
          <w:color w:val="231F20"/>
        </w:rPr>
        <w:t>verantwoordt.</w:t>
      </w:r>
    </w:p>
    <w:p>
      <w:pPr>
        <w:pStyle w:val="BodyText"/>
        <w:spacing w:line="218" w:lineRule="auto" w:before="97"/>
        <w:ind w:right="123"/>
      </w:pPr>
      <w:r>
        <w:rPr>
          <w:color w:val="231F20"/>
        </w:rPr>
        <w:t>De vertegenwoordigers van de werknemers of, indien er geen vertegenwoordigers zijn, de werknemers zelf, hebben het recht uiterlijk een maand vóór de datum van de algemene vergadering die over het fusievoorstel moet besluiten, op de zetel van de vennootschap kennis te nemen van het in het eerste lid bedoelde verslag.</w:t>
      </w:r>
    </w:p>
    <w:p>
      <w:pPr>
        <w:pStyle w:val="BodyText"/>
        <w:spacing w:line="218" w:lineRule="auto" w:before="96"/>
      </w:pPr>
      <w:r>
        <w:rPr>
          <w:color w:val="231F20"/>
          <w:w w:val="105"/>
        </w:rPr>
        <w:t>Indien</w:t>
      </w:r>
      <w:r>
        <w:rPr>
          <w:color w:val="231F20"/>
          <w:spacing w:val="-26"/>
          <w:w w:val="105"/>
        </w:rPr>
        <w:t> </w:t>
      </w:r>
      <w:r>
        <w:rPr>
          <w:color w:val="231F20"/>
          <w:w w:val="105"/>
        </w:rPr>
        <w:t>de</w:t>
      </w:r>
      <w:r>
        <w:rPr>
          <w:color w:val="231F20"/>
          <w:spacing w:val="-25"/>
          <w:w w:val="105"/>
        </w:rPr>
        <w:t> </w:t>
      </w:r>
      <w:r>
        <w:rPr>
          <w:color w:val="231F20"/>
          <w:w w:val="105"/>
        </w:rPr>
        <w:t>organisaties</w:t>
      </w:r>
      <w:r>
        <w:rPr>
          <w:color w:val="231F20"/>
          <w:spacing w:val="-25"/>
          <w:w w:val="105"/>
        </w:rPr>
        <w:t> </w:t>
      </w:r>
      <w:r>
        <w:rPr>
          <w:color w:val="231F20"/>
          <w:w w:val="105"/>
        </w:rPr>
        <w:t>ter</w:t>
      </w:r>
      <w:r>
        <w:rPr>
          <w:color w:val="231F20"/>
          <w:spacing w:val="-25"/>
          <w:w w:val="105"/>
        </w:rPr>
        <w:t> </w:t>
      </w:r>
      <w:r>
        <w:rPr>
          <w:color w:val="231F20"/>
          <w:w w:val="105"/>
        </w:rPr>
        <w:t>vertegenwoordiging</w:t>
      </w:r>
      <w:r>
        <w:rPr>
          <w:color w:val="231F20"/>
          <w:spacing w:val="-25"/>
          <w:w w:val="105"/>
        </w:rPr>
        <w:t> </w:t>
      </w:r>
      <w:r>
        <w:rPr>
          <w:color w:val="231F20"/>
          <w:w w:val="105"/>
        </w:rPr>
        <w:t>van</w:t>
      </w:r>
      <w:r>
        <w:rPr>
          <w:color w:val="231F20"/>
          <w:spacing w:val="-25"/>
          <w:w w:val="105"/>
        </w:rPr>
        <w:t> </w:t>
      </w:r>
      <w:r>
        <w:rPr>
          <w:color w:val="231F20"/>
          <w:w w:val="105"/>
        </w:rPr>
        <w:t>de</w:t>
      </w:r>
      <w:r>
        <w:rPr>
          <w:color w:val="231F20"/>
          <w:spacing w:val="-25"/>
          <w:w w:val="105"/>
        </w:rPr>
        <w:t> </w:t>
      </w:r>
      <w:r>
        <w:rPr>
          <w:color w:val="231F20"/>
          <w:w w:val="105"/>
        </w:rPr>
        <w:t>werknemers</w:t>
      </w:r>
      <w:r>
        <w:rPr>
          <w:color w:val="231F20"/>
          <w:spacing w:val="-25"/>
          <w:w w:val="105"/>
        </w:rPr>
        <w:t> </w:t>
      </w:r>
      <w:r>
        <w:rPr>
          <w:color w:val="231F20"/>
          <w:w w:val="105"/>
        </w:rPr>
        <w:t>in de</w:t>
      </w:r>
      <w:r>
        <w:rPr>
          <w:color w:val="231F20"/>
          <w:spacing w:val="-16"/>
          <w:w w:val="105"/>
        </w:rPr>
        <w:t> </w:t>
      </w:r>
      <w:r>
        <w:rPr>
          <w:color w:val="231F20"/>
          <w:w w:val="105"/>
        </w:rPr>
        <w:t>schoot</w:t>
      </w:r>
      <w:r>
        <w:rPr>
          <w:color w:val="231F20"/>
          <w:spacing w:val="-16"/>
          <w:w w:val="105"/>
        </w:rPr>
        <w:t> </w:t>
      </w:r>
      <w:r>
        <w:rPr>
          <w:color w:val="231F20"/>
          <w:w w:val="105"/>
        </w:rPr>
        <w:t>van</w:t>
      </w:r>
      <w:r>
        <w:rPr>
          <w:color w:val="231F20"/>
          <w:spacing w:val="-15"/>
          <w:w w:val="105"/>
        </w:rPr>
        <w:t> </w:t>
      </w:r>
      <w:r>
        <w:rPr>
          <w:color w:val="231F20"/>
          <w:w w:val="105"/>
        </w:rPr>
        <w:t>de</w:t>
      </w:r>
      <w:r>
        <w:rPr>
          <w:color w:val="231F20"/>
          <w:spacing w:val="-16"/>
          <w:w w:val="105"/>
        </w:rPr>
        <w:t> </w:t>
      </w:r>
      <w:r>
        <w:rPr>
          <w:color w:val="231F20"/>
          <w:w w:val="105"/>
        </w:rPr>
        <w:t>ondernemingsraad</w:t>
      </w:r>
      <w:r>
        <w:rPr>
          <w:color w:val="231F20"/>
          <w:spacing w:val="-15"/>
          <w:w w:val="105"/>
        </w:rPr>
        <w:t> </w:t>
      </w:r>
      <w:r>
        <w:rPr>
          <w:color w:val="231F20"/>
          <w:w w:val="105"/>
        </w:rPr>
        <w:t>tijdig</w:t>
      </w:r>
      <w:r>
        <w:rPr>
          <w:color w:val="231F20"/>
          <w:spacing w:val="-16"/>
          <w:w w:val="105"/>
        </w:rPr>
        <w:t> </w:t>
      </w:r>
      <w:r>
        <w:rPr>
          <w:color w:val="231F20"/>
          <w:w w:val="105"/>
        </w:rPr>
        <w:t>aan</w:t>
      </w:r>
      <w:r>
        <w:rPr>
          <w:color w:val="231F20"/>
          <w:spacing w:val="-15"/>
          <w:w w:val="105"/>
        </w:rPr>
        <w:t> </w:t>
      </w:r>
      <w:r>
        <w:rPr>
          <w:color w:val="231F20"/>
          <w:w w:val="105"/>
        </w:rPr>
        <w:t>het</w:t>
      </w:r>
      <w:r>
        <w:rPr>
          <w:color w:val="231F20"/>
          <w:spacing w:val="-16"/>
          <w:w w:val="105"/>
        </w:rPr>
        <w:t> </w:t>
      </w:r>
      <w:r>
        <w:rPr>
          <w:color w:val="231F20"/>
          <w:w w:val="105"/>
        </w:rPr>
        <w:t>bestuursorgaan</w:t>
      </w:r>
      <w:r>
        <w:rPr>
          <w:color w:val="231F20"/>
          <w:spacing w:val="-16"/>
          <w:w w:val="105"/>
        </w:rPr>
        <w:t> </w:t>
      </w:r>
      <w:r>
        <w:rPr>
          <w:color w:val="231F20"/>
          <w:w w:val="105"/>
        </w:rPr>
        <w:t>een advies</w:t>
      </w:r>
      <w:r>
        <w:rPr>
          <w:color w:val="231F20"/>
          <w:spacing w:val="-19"/>
          <w:w w:val="105"/>
        </w:rPr>
        <w:t> </w:t>
      </w:r>
      <w:r>
        <w:rPr>
          <w:color w:val="231F20"/>
          <w:w w:val="105"/>
        </w:rPr>
        <w:t>formuleren</w:t>
      </w:r>
      <w:r>
        <w:rPr>
          <w:color w:val="231F20"/>
          <w:spacing w:val="-19"/>
          <w:w w:val="105"/>
        </w:rPr>
        <w:t> </w:t>
      </w:r>
      <w:r>
        <w:rPr>
          <w:color w:val="231F20"/>
          <w:w w:val="105"/>
        </w:rPr>
        <w:t>in</w:t>
      </w:r>
      <w:r>
        <w:rPr>
          <w:color w:val="231F20"/>
          <w:spacing w:val="-18"/>
          <w:w w:val="105"/>
        </w:rPr>
        <w:t> </w:t>
      </w:r>
      <w:r>
        <w:rPr>
          <w:color w:val="231F20"/>
          <w:w w:val="105"/>
        </w:rPr>
        <w:t>het</w:t>
      </w:r>
      <w:r>
        <w:rPr>
          <w:color w:val="231F20"/>
          <w:spacing w:val="-19"/>
          <w:w w:val="105"/>
        </w:rPr>
        <w:t> </w:t>
      </w:r>
      <w:r>
        <w:rPr>
          <w:color w:val="231F20"/>
          <w:w w:val="105"/>
        </w:rPr>
        <w:t>kader</w:t>
      </w:r>
      <w:r>
        <w:rPr>
          <w:color w:val="231F20"/>
          <w:spacing w:val="-19"/>
          <w:w w:val="105"/>
        </w:rPr>
        <w:t> </w:t>
      </w:r>
      <w:r>
        <w:rPr>
          <w:color w:val="231F20"/>
          <w:w w:val="105"/>
        </w:rPr>
        <w:t>van</w:t>
      </w:r>
      <w:r>
        <w:rPr>
          <w:color w:val="231F20"/>
          <w:spacing w:val="-18"/>
          <w:w w:val="105"/>
        </w:rPr>
        <w:t> </w:t>
      </w:r>
      <w:r>
        <w:rPr>
          <w:color w:val="231F20"/>
          <w:w w:val="105"/>
        </w:rPr>
        <w:t>de</w:t>
      </w:r>
      <w:r>
        <w:rPr>
          <w:color w:val="231F20"/>
          <w:spacing w:val="-19"/>
          <w:w w:val="105"/>
        </w:rPr>
        <w:t> </w:t>
      </w:r>
      <w:r>
        <w:rPr>
          <w:color w:val="231F20"/>
          <w:w w:val="105"/>
        </w:rPr>
        <w:t>informatie</w:t>
      </w:r>
      <w:r>
        <w:rPr>
          <w:color w:val="231F20"/>
          <w:spacing w:val="-18"/>
          <w:w w:val="105"/>
        </w:rPr>
        <w:t> </w:t>
      </w:r>
      <w:r>
        <w:rPr>
          <w:color w:val="231F20"/>
          <w:w w:val="105"/>
        </w:rPr>
        <w:t>voorgeschreven</w:t>
      </w:r>
      <w:r>
        <w:rPr>
          <w:color w:val="231F20"/>
          <w:spacing w:val="-19"/>
          <w:w w:val="105"/>
        </w:rPr>
        <w:t> </w:t>
      </w:r>
      <w:r>
        <w:rPr>
          <w:color w:val="231F20"/>
          <w:w w:val="105"/>
        </w:rPr>
        <w:t>door artikel</w:t>
      </w:r>
      <w:r>
        <w:rPr>
          <w:color w:val="231F20"/>
          <w:spacing w:val="-6"/>
          <w:w w:val="105"/>
        </w:rPr>
        <w:t> </w:t>
      </w:r>
      <w:r>
        <w:rPr>
          <w:color w:val="231F20"/>
          <w:spacing w:val="-5"/>
          <w:w w:val="105"/>
        </w:rPr>
        <w:t>11 </w:t>
      </w:r>
      <w:r>
        <w:rPr>
          <w:color w:val="231F20"/>
          <w:w w:val="105"/>
        </w:rPr>
        <w:t>van</w:t>
      </w:r>
      <w:r>
        <w:rPr>
          <w:color w:val="231F20"/>
          <w:spacing w:val="-5"/>
          <w:w w:val="105"/>
        </w:rPr>
        <w:t> </w:t>
      </w:r>
      <w:r>
        <w:rPr>
          <w:color w:val="231F20"/>
          <w:w w:val="105"/>
        </w:rPr>
        <w:t>de</w:t>
      </w:r>
      <w:r>
        <w:rPr>
          <w:color w:val="231F20"/>
          <w:spacing w:val="-5"/>
          <w:w w:val="105"/>
        </w:rPr>
        <w:t> </w:t>
      </w:r>
      <w:r>
        <w:rPr>
          <w:color w:val="231F20"/>
          <w:w w:val="105"/>
        </w:rPr>
        <w:t>CAO</w:t>
      </w:r>
      <w:r>
        <w:rPr>
          <w:color w:val="231F20"/>
          <w:spacing w:val="-5"/>
          <w:w w:val="105"/>
        </w:rPr>
        <w:t> nr.</w:t>
      </w:r>
      <w:r>
        <w:rPr>
          <w:color w:val="231F20"/>
          <w:spacing w:val="-6"/>
          <w:w w:val="105"/>
        </w:rPr>
        <w:t> </w:t>
      </w:r>
      <w:r>
        <w:rPr>
          <w:color w:val="231F20"/>
          <w:w w:val="105"/>
        </w:rPr>
        <w:t>9</w:t>
      </w:r>
      <w:r>
        <w:rPr>
          <w:color w:val="231F20"/>
          <w:spacing w:val="-5"/>
          <w:w w:val="105"/>
        </w:rPr>
        <w:t> </w:t>
      </w:r>
      <w:r>
        <w:rPr>
          <w:color w:val="231F20"/>
          <w:w w:val="105"/>
        </w:rPr>
        <w:t>van</w:t>
      </w:r>
      <w:r>
        <w:rPr>
          <w:color w:val="231F20"/>
          <w:spacing w:val="-5"/>
          <w:w w:val="105"/>
        </w:rPr>
        <w:t> </w:t>
      </w:r>
      <w:r>
        <w:rPr>
          <w:color w:val="231F20"/>
          <w:w w:val="105"/>
        </w:rPr>
        <w:t>9</w:t>
      </w:r>
      <w:r>
        <w:rPr>
          <w:color w:val="231F20"/>
          <w:spacing w:val="-5"/>
          <w:w w:val="105"/>
        </w:rPr>
        <w:t> </w:t>
      </w:r>
      <w:r>
        <w:rPr>
          <w:color w:val="231F20"/>
          <w:w w:val="105"/>
        </w:rPr>
        <w:t>maart</w:t>
      </w:r>
      <w:r>
        <w:rPr>
          <w:color w:val="231F20"/>
          <w:spacing w:val="-5"/>
          <w:w w:val="105"/>
        </w:rPr>
        <w:t> </w:t>
      </w:r>
      <w:r>
        <w:rPr>
          <w:color w:val="231F20"/>
          <w:w w:val="105"/>
        </w:rPr>
        <w:t>1972,</w:t>
      </w:r>
      <w:r>
        <w:rPr>
          <w:color w:val="231F20"/>
          <w:spacing w:val="-6"/>
          <w:w w:val="105"/>
        </w:rPr>
        <w:t> </w:t>
      </w:r>
      <w:r>
        <w:rPr>
          <w:color w:val="231F20"/>
          <w:w w:val="105"/>
        </w:rPr>
        <w:t>wordt</w:t>
      </w:r>
      <w:r>
        <w:rPr>
          <w:color w:val="231F20"/>
          <w:spacing w:val="-5"/>
          <w:w w:val="105"/>
        </w:rPr>
        <w:t> </w:t>
      </w:r>
      <w:r>
        <w:rPr>
          <w:color w:val="231F20"/>
          <w:w w:val="105"/>
        </w:rPr>
        <w:t>dit</w:t>
      </w:r>
      <w:r>
        <w:rPr>
          <w:color w:val="231F20"/>
          <w:spacing w:val="-5"/>
          <w:w w:val="105"/>
        </w:rPr>
        <w:t> </w:t>
      </w:r>
      <w:r>
        <w:rPr>
          <w:color w:val="231F20"/>
          <w:w w:val="105"/>
        </w:rPr>
        <w:t>advies</w:t>
      </w:r>
      <w:r>
        <w:rPr>
          <w:color w:val="231F20"/>
          <w:spacing w:val="-5"/>
          <w:w w:val="105"/>
        </w:rPr>
        <w:t> </w:t>
      </w:r>
      <w:r>
        <w:rPr>
          <w:color w:val="231F20"/>
          <w:w w:val="105"/>
        </w:rPr>
        <w:t>aan</w:t>
      </w:r>
      <w:r>
        <w:rPr>
          <w:color w:val="231F20"/>
          <w:spacing w:val="-5"/>
          <w:w w:val="105"/>
        </w:rPr>
        <w:t> </w:t>
      </w:r>
      <w:r>
        <w:rPr>
          <w:color w:val="231F20"/>
          <w:w w:val="105"/>
        </w:rPr>
        <w:t>het in het eerste lid bedoelde verslag</w:t>
      </w:r>
      <w:r>
        <w:rPr>
          <w:color w:val="231F20"/>
          <w:spacing w:val="18"/>
          <w:w w:val="105"/>
        </w:rPr>
        <w:t> </w:t>
      </w:r>
      <w:r>
        <w:rPr>
          <w:color w:val="231F20"/>
          <w:w w:val="105"/>
        </w:rPr>
        <w:t>gehecht.</w:t>
      </w:r>
    </w:p>
    <w:p>
      <w:pPr>
        <w:pStyle w:val="BodyText"/>
        <w:spacing w:line="218" w:lineRule="auto" w:before="96"/>
        <w:ind w:right="123"/>
      </w:pPr>
      <w:r>
        <w:rPr>
          <w:color w:val="231F20"/>
        </w:rPr>
        <w:t>Art. 12:114. § 1. In elke vennootschap stelt de commissaris, of, wanneer er geen commissaris is, een door het bestuursorgaan aange- wezen bedrijfsrevisor of externe accountant, een schriftelijk verslag over het fusievoorstel</w:t>
      </w:r>
      <w:r>
        <w:rPr>
          <w:color w:val="231F20"/>
          <w:spacing w:val="5"/>
        </w:rPr>
        <w:t> </w:t>
      </w:r>
      <w:r>
        <w:rPr>
          <w:color w:val="231F20"/>
        </w:rPr>
        <w:t>op.</w:t>
      </w:r>
    </w:p>
    <w:p>
      <w:pPr>
        <w:spacing w:after="0" w:line="218" w:lineRule="auto"/>
        <w:sectPr>
          <w:headerReference w:type="even" r:id="rId109"/>
          <w:headerReference w:type="default" r:id="rId110"/>
          <w:pgSz w:w="11940" w:h="16880"/>
          <w:pgMar w:header="666" w:footer="0" w:top="1140" w:bottom="280" w:left="340" w:right="360"/>
          <w:pgNumType w:start="33492"/>
          <w:cols w:num="2" w:equalWidth="0">
            <w:col w:w="5558" w:space="69"/>
            <w:col w:w="5613"/>
          </w:cols>
        </w:sectPr>
      </w:pPr>
    </w:p>
    <w:p>
      <w:pPr>
        <w:pStyle w:val="BodyText"/>
        <w:spacing w:line="218" w:lineRule="auto" w:before="120"/>
        <w:ind w:right="38"/>
      </w:pPr>
      <w:r>
        <w:rPr/>
        <w:pict>
          <v:line style="position:absolute;mso-position-horizontal-relative:page;mso-position-vertical-relative:page;z-index:7120" from="298.170502pt,64.473pt" to="298.170502pt,812.819pt" stroked="true" strokeweight=".533pt" strokecolor="#231f20">
            <v:stroke dashstyle="solid"/>
            <w10:wrap type="none"/>
          </v:line>
        </w:pict>
      </w:r>
      <w:bookmarkStart w:name="_bookmark254" w:id="260"/>
      <w:bookmarkEnd w:id="260"/>
      <w:r>
        <w:rPr/>
      </w:r>
      <w:r>
        <w:rPr>
          <w:color w:val="231F20"/>
        </w:rPr>
        <w:t>Le commissaire ou le réviseur d’entreprises ou l’expert-comptable externe désigné doit notamment déclarer si, à son avis, le rapport d’échange est ou non pertinent et raisonnable.</w:t>
      </w:r>
    </w:p>
    <w:p>
      <w:pPr>
        <w:pStyle w:val="BodyText"/>
        <w:spacing w:before="82"/>
        <w:ind w:left="283" w:right="0" w:firstLine="0"/>
        <w:jc w:val="left"/>
      </w:pPr>
      <w:r>
        <w:rPr>
          <w:color w:val="231F20"/>
        </w:rPr>
        <w:t>Cette déclaration doit au moins:</w:t>
      </w:r>
    </w:p>
    <w:p>
      <w:pPr>
        <w:pStyle w:val="BodyText"/>
        <w:spacing w:line="218" w:lineRule="auto" w:before="93"/>
        <w:ind w:right="38"/>
      </w:pPr>
      <w:r>
        <w:rPr>
          <w:color w:val="231F20"/>
        </w:rPr>
        <w:t>1° indiquer les méthodes suivies pour la détermination du rapport d’échange proposé;</w:t>
      </w:r>
    </w:p>
    <w:p>
      <w:pPr>
        <w:pStyle w:val="BodyText"/>
        <w:spacing w:line="218" w:lineRule="auto" w:before="96"/>
        <w:ind w:right="38"/>
      </w:pPr>
      <w:r>
        <w:rPr>
          <w:color w:val="231F20"/>
        </w:rPr>
        <w:t>2° indiquer si ces méthodes sont appropriées en l’espèce et mention- ner l’évaluation à laquelle chacune de ces méthodes conduit, un avis étant donné sur l’importance relative donnée à ces méthodes dans la détermination de la valeur retenue.</w:t>
      </w:r>
    </w:p>
    <w:p>
      <w:pPr>
        <w:pStyle w:val="BodyText"/>
        <w:spacing w:line="218" w:lineRule="auto" w:before="96"/>
        <w:ind w:right="38"/>
      </w:pPr>
      <w:r>
        <w:rPr>
          <w:color w:val="231F20"/>
        </w:rPr>
        <w:t>Le rapport indique en outre, les cas échéant, les difficultés particu- lières d’évaluation.</w:t>
      </w:r>
    </w:p>
    <w:p>
      <w:pPr>
        <w:pStyle w:val="BodyText"/>
        <w:spacing w:line="218" w:lineRule="auto" w:before="96"/>
        <w:ind w:right="38"/>
      </w:pPr>
      <w:r>
        <w:rPr>
          <w:color w:val="231F20"/>
        </w:rPr>
        <w:t>Le commissaire, le réviseur d’entreprises ou l’expert-comptable externe désigné peuvent obtenir des sociétés qui fusionnent que leur soient fournies toutes les informations qui leur paraissent nécessaires.</w:t>
      </w:r>
    </w:p>
    <w:p>
      <w:pPr>
        <w:pStyle w:val="BodyText"/>
        <w:spacing w:line="218" w:lineRule="auto" w:before="96"/>
        <w:ind w:right="38"/>
      </w:pPr>
      <w:r>
        <w:rPr>
          <w:color w:val="231F20"/>
        </w:rPr>
        <w:t>§ 2. En lieu et place du commissaire ou d’un réviseur d’entreprises ou de l’expert-comptable externe désigné agissant pour le compte de chacune des sociétés qui fusionnent, un ou plusieurs commissaires ou réviseurs d’entreprises ou experts-comptables externes désignés,</w:t>
      </w:r>
      <w:r>
        <w:rPr>
          <w:color w:val="231F20"/>
          <w:spacing w:val="29"/>
        </w:rPr>
        <w:t> </w:t>
      </w:r>
      <w:r>
        <w:rPr>
          <w:color w:val="231F20"/>
        </w:rPr>
        <w:t>sur demande conjointe de ces sociétés, désignés ou approuvés à cet </w:t>
      </w:r>
      <w:r>
        <w:rPr>
          <w:color w:val="231F20"/>
          <w:spacing w:val="-3"/>
        </w:rPr>
        <w:t>effet </w:t>
      </w:r>
      <w:r>
        <w:rPr>
          <w:color w:val="231F20"/>
        </w:rPr>
        <w:t>par le président du tribunal de  l’entreprise,  conformément  à  l’arti-  cle 588, 17°, du Code judiciaire, peuvent examiner le projet de fusion transfrontalière. Ce(t)(s) expert(s) indépendant(s) établi(ssen)t un rap- port</w:t>
      </w:r>
      <w:r>
        <w:rPr>
          <w:color w:val="231F20"/>
          <w:spacing w:val="15"/>
        </w:rPr>
        <w:t> </w:t>
      </w:r>
      <w:r>
        <w:rPr>
          <w:color w:val="231F20"/>
        </w:rPr>
        <w:t>écrit</w:t>
      </w:r>
      <w:r>
        <w:rPr>
          <w:color w:val="231F20"/>
          <w:spacing w:val="16"/>
        </w:rPr>
        <w:t> </w:t>
      </w:r>
      <w:r>
        <w:rPr>
          <w:color w:val="231F20"/>
        </w:rPr>
        <w:t>unique</w:t>
      </w:r>
      <w:r>
        <w:rPr>
          <w:color w:val="231F20"/>
          <w:spacing w:val="16"/>
        </w:rPr>
        <w:t> </w:t>
      </w:r>
      <w:r>
        <w:rPr>
          <w:color w:val="231F20"/>
        </w:rPr>
        <w:t>destiné</w:t>
      </w:r>
      <w:r>
        <w:rPr>
          <w:color w:val="231F20"/>
          <w:spacing w:val="1"/>
        </w:rPr>
        <w:t> </w:t>
      </w:r>
      <w:r>
        <w:rPr>
          <w:color w:val="231F20"/>
        </w:rPr>
        <w:t>à</w:t>
      </w:r>
      <w:r>
        <w:rPr>
          <w:color w:val="231F20"/>
          <w:spacing w:val="16"/>
        </w:rPr>
        <w:t> </w:t>
      </w:r>
      <w:r>
        <w:rPr>
          <w:color w:val="231F20"/>
        </w:rPr>
        <w:t>l’ensemble</w:t>
      </w:r>
      <w:r>
        <w:rPr>
          <w:color w:val="231F20"/>
          <w:spacing w:val="15"/>
        </w:rPr>
        <w:t> </w:t>
      </w:r>
      <w:r>
        <w:rPr>
          <w:color w:val="231F20"/>
        </w:rPr>
        <w:t>des</w:t>
      </w:r>
      <w:r>
        <w:rPr>
          <w:color w:val="231F20"/>
          <w:spacing w:val="16"/>
        </w:rPr>
        <w:t> </w:t>
      </w:r>
      <w:r>
        <w:rPr>
          <w:color w:val="231F20"/>
        </w:rPr>
        <w:t>associés</w:t>
      </w:r>
      <w:r>
        <w:rPr>
          <w:color w:val="231F20"/>
          <w:spacing w:val="16"/>
        </w:rPr>
        <w:t> </w:t>
      </w:r>
      <w:r>
        <w:rPr>
          <w:color w:val="231F20"/>
        </w:rPr>
        <w:t>ou</w:t>
      </w:r>
      <w:r>
        <w:rPr>
          <w:color w:val="231F20"/>
          <w:spacing w:val="16"/>
        </w:rPr>
        <w:t> </w:t>
      </w:r>
      <w:r>
        <w:rPr>
          <w:color w:val="231F20"/>
        </w:rPr>
        <w:t>actionnaires.</w:t>
      </w:r>
    </w:p>
    <w:p>
      <w:pPr>
        <w:pStyle w:val="BodyText"/>
        <w:ind w:left="0" w:right="0" w:firstLine="0"/>
        <w:jc w:val="left"/>
        <w:rPr>
          <w:sz w:val="20"/>
        </w:rPr>
      </w:pPr>
    </w:p>
    <w:p>
      <w:pPr>
        <w:pStyle w:val="BodyText"/>
        <w:spacing w:before="9"/>
        <w:ind w:left="0" w:right="0" w:firstLine="0"/>
        <w:jc w:val="left"/>
        <w:rPr>
          <w:sz w:val="19"/>
        </w:rPr>
      </w:pPr>
    </w:p>
    <w:p>
      <w:pPr>
        <w:pStyle w:val="BodyText"/>
        <w:spacing w:line="213" w:lineRule="auto"/>
        <w:ind w:right="38"/>
      </w:pPr>
      <w:r>
        <w:rPr>
          <w:color w:val="231F20"/>
        </w:rPr>
        <w:t>§ 3. Ni un examen du projet commun de fusion transfrontalière par  le commissaire ou le réviseur d’entreprises ou expert-comptable externe désigné ni le rapport visé au paragraphe 1</w:t>
      </w:r>
      <w:r>
        <w:rPr>
          <w:color w:val="231F20"/>
          <w:position w:val="7"/>
          <w:sz w:val="11"/>
        </w:rPr>
        <w:t>er </w:t>
      </w:r>
      <w:r>
        <w:rPr>
          <w:color w:val="231F20"/>
        </w:rPr>
        <w:t>ne sont requis si tous les associés ou actionnaires de chacune des sociétés participant à</w:t>
      </w:r>
      <w:r>
        <w:rPr>
          <w:color w:val="231F20"/>
          <w:spacing w:val="-21"/>
        </w:rPr>
        <w:t> </w:t>
      </w:r>
      <w:r>
        <w:rPr>
          <w:color w:val="231F20"/>
        </w:rPr>
        <w:t>la fusion</w:t>
      </w:r>
      <w:r>
        <w:rPr>
          <w:color w:val="231F20"/>
          <w:spacing w:val="14"/>
        </w:rPr>
        <w:t> </w:t>
      </w:r>
      <w:r>
        <w:rPr>
          <w:color w:val="231F20"/>
        </w:rPr>
        <w:t>transfrontalière</w:t>
      </w:r>
      <w:r>
        <w:rPr>
          <w:color w:val="231F20"/>
          <w:spacing w:val="15"/>
        </w:rPr>
        <w:t> </w:t>
      </w:r>
      <w:r>
        <w:rPr>
          <w:color w:val="231F20"/>
        </w:rPr>
        <w:t>en</w:t>
      </w:r>
      <w:r>
        <w:rPr>
          <w:color w:val="231F20"/>
          <w:spacing w:val="14"/>
        </w:rPr>
        <w:t> </w:t>
      </w:r>
      <w:r>
        <w:rPr>
          <w:color w:val="231F20"/>
        </w:rPr>
        <w:t>ont</w:t>
      </w:r>
      <w:r>
        <w:rPr>
          <w:color w:val="231F20"/>
          <w:spacing w:val="15"/>
        </w:rPr>
        <w:t> </w:t>
      </w:r>
      <w:r>
        <w:rPr>
          <w:color w:val="231F20"/>
        </w:rPr>
        <w:t>ainsi</w:t>
      </w:r>
      <w:r>
        <w:rPr>
          <w:color w:val="231F20"/>
          <w:spacing w:val="14"/>
        </w:rPr>
        <w:t> </w:t>
      </w:r>
      <w:r>
        <w:rPr>
          <w:color w:val="231F20"/>
        </w:rPr>
        <w:t>décidé.</w:t>
      </w:r>
    </w:p>
    <w:p>
      <w:pPr>
        <w:pStyle w:val="BodyText"/>
        <w:spacing w:before="11"/>
        <w:ind w:left="0" w:right="0" w:firstLine="0"/>
        <w:jc w:val="left"/>
        <w:rPr>
          <w:sz w:val="24"/>
        </w:rPr>
      </w:pPr>
    </w:p>
    <w:p>
      <w:pPr>
        <w:pStyle w:val="BodyText"/>
        <w:spacing w:line="201" w:lineRule="auto"/>
        <w:ind w:right="38"/>
      </w:pPr>
      <w:r>
        <w:rPr>
          <w:color w:val="231F20"/>
        </w:rPr>
        <w:t>§ 4. Pour l’opération assimilée à la fusion transfrontalière, le rapport visé au paragraphe 1</w:t>
      </w:r>
      <w:r>
        <w:rPr>
          <w:color w:val="231F20"/>
          <w:position w:val="7"/>
          <w:sz w:val="11"/>
        </w:rPr>
        <w:t>er </w:t>
      </w:r>
      <w:r>
        <w:rPr>
          <w:color w:val="231F20"/>
        </w:rPr>
        <w:t>n’est pas requis.</w:t>
      </w:r>
    </w:p>
    <w:p>
      <w:pPr>
        <w:pStyle w:val="BodyText"/>
        <w:spacing w:line="218" w:lineRule="auto" w:before="82"/>
        <w:ind w:right="38"/>
      </w:pPr>
      <w:r>
        <w:rPr>
          <w:color w:val="231F20"/>
        </w:rPr>
        <w:t>§ 5. Si un rapport a été établi conformément au paragraphe 1</w:t>
      </w:r>
      <w:r>
        <w:rPr>
          <w:color w:val="231F20"/>
          <w:position w:val="7"/>
          <w:sz w:val="11"/>
        </w:rPr>
        <w:t>er</w:t>
      </w:r>
      <w:r>
        <w:rPr>
          <w:color w:val="231F20"/>
        </w:rPr>
        <w:t>, les articles 5:133, 6:110 ou 7:197 ne s’appliquent pas à une société absorbante ayant la forme légale d’une société à responsabilité limitée, d’une société coopérative, d’une société anonyme, d’une société euro- péenne ou d’une société coopérative européenne.</w:t>
      </w:r>
    </w:p>
    <w:p>
      <w:pPr>
        <w:pStyle w:val="BodyText"/>
        <w:spacing w:before="10"/>
        <w:ind w:left="0" w:right="0" w:firstLine="0"/>
        <w:jc w:val="left"/>
        <w:rPr>
          <w:sz w:val="22"/>
        </w:rPr>
      </w:pPr>
    </w:p>
    <w:p>
      <w:pPr>
        <w:pStyle w:val="BodyText"/>
        <w:spacing w:line="213" w:lineRule="auto" w:before="1"/>
        <w:ind w:right="38"/>
      </w:pPr>
      <w:r>
        <w:rPr>
          <w:color w:val="231F20"/>
        </w:rPr>
        <w:t>Si un rapport a été établi conformément au paragraphe 1</w:t>
      </w:r>
      <w:r>
        <w:rPr>
          <w:color w:val="231F20"/>
          <w:position w:val="7"/>
          <w:sz w:val="11"/>
        </w:rPr>
        <w:t>er</w:t>
      </w:r>
      <w:r>
        <w:rPr>
          <w:color w:val="231F20"/>
        </w:rPr>
        <w:t>, les  articles</w:t>
      </w:r>
      <w:r>
        <w:rPr>
          <w:color w:val="231F20"/>
          <w:spacing w:val="-3"/>
        </w:rPr>
        <w:t> </w:t>
      </w:r>
      <w:r>
        <w:rPr>
          <w:color w:val="231F20"/>
        </w:rPr>
        <w:t>7:7,</w:t>
      </w:r>
      <w:r>
        <w:rPr>
          <w:color w:val="231F20"/>
          <w:spacing w:val="-2"/>
        </w:rPr>
        <w:t> </w:t>
      </w:r>
      <w:r>
        <w:rPr>
          <w:color w:val="231F20"/>
        </w:rPr>
        <w:t>7:12,</w:t>
      </w:r>
      <w:r>
        <w:rPr>
          <w:color w:val="231F20"/>
          <w:spacing w:val="-3"/>
        </w:rPr>
        <w:t> </w:t>
      </w:r>
      <w:r>
        <w:rPr>
          <w:color w:val="231F20"/>
        </w:rPr>
        <w:t>7:13,</w:t>
      </w:r>
      <w:r>
        <w:rPr>
          <w:color w:val="231F20"/>
          <w:spacing w:val="-2"/>
        </w:rPr>
        <w:t> </w:t>
      </w:r>
      <w:r>
        <w:rPr>
          <w:color w:val="231F20"/>
        </w:rPr>
        <w:t>alinéa</w:t>
      </w:r>
      <w:r>
        <w:rPr>
          <w:color w:val="231F20"/>
          <w:spacing w:val="-3"/>
        </w:rPr>
        <w:t> </w:t>
      </w:r>
      <w:r>
        <w:rPr>
          <w:color w:val="231F20"/>
        </w:rPr>
        <w:t>2,</w:t>
      </w:r>
      <w:r>
        <w:rPr>
          <w:color w:val="231F20"/>
          <w:spacing w:val="-2"/>
        </w:rPr>
        <w:t> </w:t>
      </w:r>
      <w:r>
        <w:rPr>
          <w:color w:val="231F20"/>
        </w:rPr>
        <w:t>deuxième</w:t>
      </w:r>
      <w:r>
        <w:rPr>
          <w:color w:val="231F20"/>
          <w:spacing w:val="-2"/>
        </w:rPr>
        <w:t> </w:t>
      </w:r>
      <w:r>
        <w:rPr>
          <w:color w:val="231F20"/>
        </w:rPr>
        <w:t>phrase,</w:t>
      </w:r>
      <w:r>
        <w:rPr>
          <w:color w:val="231F20"/>
          <w:spacing w:val="-3"/>
        </w:rPr>
        <w:t> </w:t>
      </w:r>
      <w:r>
        <w:rPr>
          <w:color w:val="231F20"/>
        </w:rPr>
        <w:t>et</w:t>
      </w:r>
      <w:r>
        <w:rPr>
          <w:color w:val="231F20"/>
          <w:spacing w:val="-2"/>
        </w:rPr>
        <w:t> </w:t>
      </w:r>
      <w:r>
        <w:rPr>
          <w:color w:val="231F20"/>
        </w:rPr>
        <w:t>7:14,</w:t>
      </w:r>
      <w:r>
        <w:rPr>
          <w:color w:val="231F20"/>
          <w:spacing w:val="-3"/>
        </w:rPr>
        <w:t> </w:t>
      </w:r>
      <w:r>
        <w:rPr>
          <w:color w:val="231F20"/>
        </w:rPr>
        <w:t>alinéa</w:t>
      </w:r>
      <w:r>
        <w:rPr>
          <w:color w:val="231F20"/>
          <w:spacing w:val="-2"/>
        </w:rPr>
        <w:t> </w:t>
      </w:r>
      <w:r>
        <w:rPr>
          <w:color w:val="231F20"/>
        </w:rPr>
        <w:t>1</w:t>
      </w:r>
      <w:r>
        <w:rPr>
          <w:color w:val="231F20"/>
          <w:position w:val="7"/>
          <w:sz w:val="11"/>
        </w:rPr>
        <w:t>er</w:t>
      </w:r>
      <w:r>
        <w:rPr>
          <w:color w:val="231F20"/>
        </w:rPr>
        <w:t>,</w:t>
      </w:r>
      <w:r>
        <w:rPr>
          <w:color w:val="231F20"/>
          <w:spacing w:val="-3"/>
        </w:rPr>
        <w:t> </w:t>
      </w:r>
      <w:r>
        <w:rPr>
          <w:color w:val="231F20"/>
        </w:rPr>
        <w:t>2°</w:t>
      </w:r>
      <w:r>
        <w:rPr>
          <w:color w:val="231F20"/>
          <w:spacing w:val="-2"/>
        </w:rPr>
        <w:t> </w:t>
      </w:r>
      <w:r>
        <w:rPr>
          <w:color w:val="231F20"/>
        </w:rPr>
        <w:t>et 7°, ne s’appliquent ni à la société anonyme, ni à la société européenne issues de la</w:t>
      </w:r>
      <w:r>
        <w:rPr>
          <w:color w:val="231F20"/>
          <w:spacing w:val="4"/>
        </w:rPr>
        <w:t> </w:t>
      </w:r>
      <w:r>
        <w:rPr>
          <w:color w:val="231F20"/>
        </w:rPr>
        <w:t>fusion.</w:t>
      </w:r>
    </w:p>
    <w:p>
      <w:pPr>
        <w:pStyle w:val="BodyText"/>
        <w:spacing w:line="211" w:lineRule="auto" w:before="83"/>
        <w:ind w:right="38"/>
      </w:pPr>
      <w:r>
        <w:rPr>
          <w:color w:val="231F20"/>
        </w:rPr>
        <w:t>Si un rapport a été établi conformément au paragraphe 1</w:t>
      </w:r>
      <w:r>
        <w:rPr>
          <w:color w:val="231F20"/>
          <w:position w:val="7"/>
          <w:sz w:val="11"/>
        </w:rPr>
        <w:t>er</w:t>
      </w:r>
      <w:r>
        <w:rPr>
          <w:color w:val="231F20"/>
        </w:rPr>
        <w:t>, les  articles</w:t>
      </w:r>
      <w:r>
        <w:rPr>
          <w:color w:val="231F20"/>
          <w:spacing w:val="-7"/>
        </w:rPr>
        <w:t> </w:t>
      </w:r>
      <w:r>
        <w:rPr>
          <w:color w:val="231F20"/>
        </w:rPr>
        <w:t>5:7,</w:t>
      </w:r>
      <w:r>
        <w:rPr>
          <w:color w:val="231F20"/>
          <w:spacing w:val="-6"/>
        </w:rPr>
        <w:t> </w:t>
      </w:r>
      <w:r>
        <w:rPr>
          <w:color w:val="231F20"/>
        </w:rPr>
        <w:t>5:9</w:t>
      </w:r>
      <w:r>
        <w:rPr>
          <w:color w:val="231F20"/>
          <w:spacing w:val="-6"/>
        </w:rPr>
        <w:t> </w:t>
      </w:r>
      <w:r>
        <w:rPr>
          <w:color w:val="231F20"/>
        </w:rPr>
        <w:t>et</w:t>
      </w:r>
      <w:r>
        <w:rPr>
          <w:color w:val="231F20"/>
          <w:spacing w:val="-6"/>
        </w:rPr>
        <w:t> </w:t>
      </w:r>
      <w:r>
        <w:rPr>
          <w:color w:val="231F20"/>
        </w:rPr>
        <w:t>5:12,</w:t>
      </w:r>
      <w:r>
        <w:rPr>
          <w:color w:val="231F20"/>
          <w:spacing w:val="-6"/>
        </w:rPr>
        <w:t> </w:t>
      </w:r>
      <w:r>
        <w:rPr>
          <w:color w:val="231F20"/>
        </w:rPr>
        <w:t>alinéa</w:t>
      </w:r>
      <w:r>
        <w:rPr>
          <w:color w:val="231F20"/>
          <w:spacing w:val="-6"/>
        </w:rPr>
        <w:t> </w:t>
      </w:r>
      <w:r>
        <w:rPr>
          <w:color w:val="231F20"/>
        </w:rPr>
        <w:t>1</w:t>
      </w:r>
      <w:r>
        <w:rPr>
          <w:color w:val="231F20"/>
          <w:position w:val="7"/>
          <w:sz w:val="11"/>
        </w:rPr>
        <w:t>er</w:t>
      </w:r>
      <w:r>
        <w:rPr>
          <w:color w:val="231F20"/>
        </w:rPr>
        <w:t>,</w:t>
      </w:r>
      <w:r>
        <w:rPr>
          <w:color w:val="231F20"/>
          <w:spacing w:val="-7"/>
        </w:rPr>
        <w:t> </w:t>
      </w:r>
      <w:r>
        <w:rPr>
          <w:color w:val="231F20"/>
        </w:rPr>
        <w:t>2°</w:t>
      </w:r>
      <w:r>
        <w:rPr>
          <w:color w:val="231F20"/>
          <w:spacing w:val="-6"/>
        </w:rPr>
        <w:t> </w:t>
      </w:r>
      <w:r>
        <w:rPr>
          <w:color w:val="231F20"/>
        </w:rPr>
        <w:t>et</w:t>
      </w:r>
      <w:r>
        <w:rPr>
          <w:color w:val="231F20"/>
          <w:spacing w:val="-6"/>
        </w:rPr>
        <w:t> </w:t>
      </w:r>
      <w:r>
        <w:rPr>
          <w:color w:val="231F20"/>
        </w:rPr>
        <w:t>5°,</w:t>
      </w:r>
      <w:r>
        <w:rPr>
          <w:color w:val="231F20"/>
          <w:spacing w:val="-6"/>
        </w:rPr>
        <w:t> </w:t>
      </w:r>
      <w:r>
        <w:rPr>
          <w:color w:val="231F20"/>
        </w:rPr>
        <w:t>ne</w:t>
      </w:r>
      <w:r>
        <w:rPr>
          <w:color w:val="231F20"/>
          <w:spacing w:val="-6"/>
        </w:rPr>
        <w:t> </w:t>
      </w:r>
      <w:r>
        <w:rPr>
          <w:color w:val="231F20"/>
        </w:rPr>
        <w:t>s’appliquent</w:t>
      </w:r>
      <w:r>
        <w:rPr>
          <w:color w:val="231F20"/>
          <w:spacing w:val="-6"/>
        </w:rPr>
        <w:t> </w:t>
      </w:r>
      <w:r>
        <w:rPr>
          <w:color w:val="231F20"/>
        </w:rPr>
        <w:t>pas</w:t>
      </w:r>
      <w:r>
        <w:rPr>
          <w:color w:val="231F20"/>
          <w:spacing w:val="-6"/>
        </w:rPr>
        <w:t> </w:t>
      </w:r>
      <w:r>
        <w:rPr>
          <w:color w:val="231F20"/>
        </w:rPr>
        <w:t>à</w:t>
      </w:r>
      <w:r>
        <w:rPr>
          <w:color w:val="231F20"/>
          <w:spacing w:val="-7"/>
        </w:rPr>
        <w:t> </w:t>
      </w:r>
      <w:r>
        <w:rPr>
          <w:color w:val="231F20"/>
        </w:rPr>
        <w:t>la</w:t>
      </w:r>
      <w:r>
        <w:rPr>
          <w:color w:val="231F20"/>
          <w:spacing w:val="-6"/>
        </w:rPr>
        <w:t> </w:t>
      </w:r>
      <w:r>
        <w:rPr>
          <w:color w:val="231F20"/>
        </w:rPr>
        <w:t>société à</w:t>
      </w:r>
      <w:r>
        <w:rPr>
          <w:color w:val="231F20"/>
          <w:spacing w:val="14"/>
        </w:rPr>
        <w:t> </w:t>
      </w:r>
      <w:r>
        <w:rPr>
          <w:color w:val="231F20"/>
        </w:rPr>
        <w:t>responsabilité</w:t>
      </w:r>
      <w:r>
        <w:rPr>
          <w:color w:val="231F20"/>
          <w:spacing w:val="15"/>
        </w:rPr>
        <w:t> </w:t>
      </w:r>
      <w:r>
        <w:rPr>
          <w:color w:val="231F20"/>
        </w:rPr>
        <w:t>limitée</w:t>
      </w:r>
      <w:r>
        <w:rPr>
          <w:color w:val="231F20"/>
          <w:spacing w:val="15"/>
        </w:rPr>
        <w:t> </w:t>
      </w:r>
      <w:r>
        <w:rPr>
          <w:color w:val="231F20"/>
        </w:rPr>
        <w:t>issue</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fusion.</w:t>
      </w:r>
    </w:p>
    <w:p>
      <w:pPr>
        <w:pStyle w:val="BodyText"/>
        <w:spacing w:line="211" w:lineRule="auto" w:before="84"/>
        <w:ind w:right="38"/>
      </w:pPr>
      <w:r>
        <w:rPr>
          <w:color w:val="231F20"/>
        </w:rPr>
        <w:t>Si un rapport a été établi conformément au paragraphe 1</w:t>
      </w:r>
      <w:r>
        <w:rPr>
          <w:color w:val="231F20"/>
          <w:position w:val="7"/>
          <w:sz w:val="11"/>
        </w:rPr>
        <w:t>er</w:t>
      </w:r>
      <w:r>
        <w:rPr>
          <w:color w:val="231F20"/>
        </w:rPr>
        <w:t>, les  articles</w:t>
      </w:r>
      <w:r>
        <w:rPr>
          <w:color w:val="231F20"/>
          <w:spacing w:val="-7"/>
        </w:rPr>
        <w:t> </w:t>
      </w:r>
      <w:r>
        <w:rPr>
          <w:color w:val="231F20"/>
        </w:rPr>
        <w:t>6:8,</w:t>
      </w:r>
      <w:r>
        <w:rPr>
          <w:color w:val="231F20"/>
          <w:spacing w:val="-6"/>
        </w:rPr>
        <w:t> </w:t>
      </w:r>
      <w:r>
        <w:rPr>
          <w:color w:val="231F20"/>
        </w:rPr>
        <w:t>6:10</w:t>
      </w:r>
      <w:r>
        <w:rPr>
          <w:color w:val="231F20"/>
          <w:spacing w:val="-6"/>
        </w:rPr>
        <w:t> </w:t>
      </w:r>
      <w:r>
        <w:rPr>
          <w:color w:val="231F20"/>
        </w:rPr>
        <w:t>et</w:t>
      </w:r>
      <w:r>
        <w:rPr>
          <w:color w:val="231F20"/>
          <w:spacing w:val="-7"/>
        </w:rPr>
        <w:t> </w:t>
      </w:r>
      <w:r>
        <w:rPr>
          <w:color w:val="231F20"/>
        </w:rPr>
        <w:t>6:13,</w:t>
      </w:r>
      <w:r>
        <w:rPr>
          <w:color w:val="231F20"/>
          <w:spacing w:val="-6"/>
        </w:rPr>
        <w:t> </w:t>
      </w:r>
      <w:r>
        <w:rPr>
          <w:color w:val="231F20"/>
        </w:rPr>
        <w:t>alinéa</w:t>
      </w:r>
      <w:r>
        <w:rPr>
          <w:color w:val="231F20"/>
          <w:spacing w:val="-6"/>
        </w:rPr>
        <w:t> </w:t>
      </w:r>
      <w:r>
        <w:rPr>
          <w:color w:val="231F20"/>
        </w:rPr>
        <w:t>1</w:t>
      </w:r>
      <w:r>
        <w:rPr>
          <w:color w:val="231F20"/>
          <w:position w:val="7"/>
          <w:sz w:val="11"/>
        </w:rPr>
        <w:t>er</w:t>
      </w:r>
      <w:r>
        <w:rPr>
          <w:color w:val="231F20"/>
        </w:rPr>
        <w:t>,</w:t>
      </w:r>
      <w:r>
        <w:rPr>
          <w:color w:val="231F20"/>
          <w:spacing w:val="-7"/>
        </w:rPr>
        <w:t> </w:t>
      </w:r>
      <w:r>
        <w:rPr>
          <w:color w:val="231F20"/>
        </w:rPr>
        <w:t>2°</w:t>
      </w:r>
      <w:r>
        <w:rPr>
          <w:color w:val="231F20"/>
          <w:spacing w:val="-6"/>
        </w:rPr>
        <w:t> </w:t>
      </w:r>
      <w:r>
        <w:rPr>
          <w:color w:val="231F20"/>
        </w:rPr>
        <w:t>et</w:t>
      </w:r>
      <w:r>
        <w:rPr>
          <w:color w:val="231F20"/>
          <w:spacing w:val="-6"/>
        </w:rPr>
        <w:t> </w:t>
      </w:r>
      <w:r>
        <w:rPr>
          <w:color w:val="231F20"/>
        </w:rPr>
        <w:t>5°,</w:t>
      </w:r>
      <w:r>
        <w:rPr>
          <w:color w:val="231F20"/>
          <w:spacing w:val="-7"/>
        </w:rPr>
        <w:t> </w:t>
      </w:r>
      <w:r>
        <w:rPr>
          <w:color w:val="231F20"/>
        </w:rPr>
        <w:t>ne</w:t>
      </w:r>
      <w:r>
        <w:rPr>
          <w:color w:val="231F20"/>
          <w:spacing w:val="-6"/>
        </w:rPr>
        <w:t> </w:t>
      </w:r>
      <w:r>
        <w:rPr>
          <w:color w:val="231F20"/>
        </w:rPr>
        <w:t>s’appliquent</w:t>
      </w:r>
      <w:r>
        <w:rPr>
          <w:color w:val="231F20"/>
          <w:spacing w:val="-6"/>
        </w:rPr>
        <w:t> </w:t>
      </w:r>
      <w:r>
        <w:rPr>
          <w:color w:val="231F20"/>
        </w:rPr>
        <w:t>ni</w:t>
      </w:r>
      <w:r>
        <w:rPr>
          <w:color w:val="231F20"/>
          <w:spacing w:val="-6"/>
        </w:rPr>
        <w:t> </w:t>
      </w:r>
      <w:r>
        <w:rPr>
          <w:color w:val="231F20"/>
        </w:rPr>
        <w:t>à</w:t>
      </w:r>
      <w:r>
        <w:rPr>
          <w:color w:val="231F20"/>
          <w:spacing w:val="-7"/>
        </w:rPr>
        <w:t> </w:t>
      </w:r>
      <w:r>
        <w:rPr>
          <w:color w:val="231F20"/>
        </w:rPr>
        <w:t>la</w:t>
      </w:r>
      <w:r>
        <w:rPr>
          <w:color w:val="231F20"/>
          <w:spacing w:val="-6"/>
        </w:rPr>
        <w:t> </w:t>
      </w:r>
      <w:r>
        <w:rPr>
          <w:color w:val="231F20"/>
        </w:rPr>
        <w:t>société coopérative,</w:t>
      </w:r>
      <w:r>
        <w:rPr>
          <w:color w:val="231F20"/>
          <w:spacing w:val="12"/>
        </w:rPr>
        <w:t> </w:t>
      </w:r>
      <w:r>
        <w:rPr>
          <w:color w:val="231F20"/>
        </w:rPr>
        <w:t>ni</w:t>
      </w:r>
      <w:r>
        <w:rPr>
          <w:color w:val="231F20"/>
          <w:spacing w:val="12"/>
        </w:rPr>
        <w:t> </w:t>
      </w:r>
      <w:r>
        <w:rPr>
          <w:color w:val="231F20"/>
        </w:rPr>
        <w:t>à</w:t>
      </w:r>
      <w:r>
        <w:rPr>
          <w:color w:val="231F20"/>
          <w:spacing w:val="12"/>
        </w:rPr>
        <w:t> </w:t>
      </w:r>
      <w:r>
        <w:rPr>
          <w:color w:val="231F20"/>
        </w:rPr>
        <w:t>la</w:t>
      </w:r>
      <w:r>
        <w:rPr>
          <w:color w:val="231F20"/>
          <w:spacing w:val="13"/>
        </w:rPr>
        <w:t> </w:t>
      </w:r>
      <w:r>
        <w:rPr>
          <w:color w:val="231F20"/>
        </w:rPr>
        <w:t>société</w:t>
      </w:r>
      <w:r>
        <w:rPr>
          <w:color w:val="231F20"/>
          <w:spacing w:val="12"/>
        </w:rPr>
        <w:t> </w:t>
      </w:r>
      <w:r>
        <w:rPr>
          <w:color w:val="231F20"/>
        </w:rPr>
        <w:t>européenne</w:t>
      </w:r>
      <w:r>
        <w:rPr>
          <w:color w:val="231F20"/>
          <w:spacing w:val="12"/>
        </w:rPr>
        <w:t> </w:t>
      </w:r>
      <w:r>
        <w:rPr>
          <w:color w:val="231F20"/>
        </w:rPr>
        <w:t>coopérative</w:t>
      </w:r>
      <w:r>
        <w:rPr>
          <w:color w:val="231F20"/>
          <w:spacing w:val="12"/>
        </w:rPr>
        <w:t> </w:t>
      </w:r>
      <w:r>
        <w:rPr>
          <w:color w:val="231F20"/>
        </w:rPr>
        <w:t>issues</w:t>
      </w:r>
      <w:r>
        <w:rPr>
          <w:color w:val="231F20"/>
          <w:spacing w:val="13"/>
        </w:rPr>
        <w:t> </w:t>
      </w:r>
      <w:r>
        <w:rPr>
          <w:color w:val="231F20"/>
        </w:rPr>
        <w:t>de</w:t>
      </w:r>
      <w:r>
        <w:rPr>
          <w:color w:val="231F20"/>
          <w:spacing w:val="12"/>
        </w:rPr>
        <w:t> </w:t>
      </w:r>
      <w:r>
        <w:rPr>
          <w:color w:val="231F20"/>
        </w:rPr>
        <w:t>la</w:t>
      </w:r>
      <w:r>
        <w:rPr>
          <w:color w:val="231F20"/>
          <w:spacing w:val="12"/>
        </w:rPr>
        <w:t> </w:t>
      </w:r>
      <w:r>
        <w:rPr>
          <w:color w:val="231F20"/>
        </w:rPr>
        <w:t>fusion.</w:t>
      </w:r>
    </w:p>
    <w:p>
      <w:pPr>
        <w:pStyle w:val="BodyText"/>
        <w:spacing w:before="6"/>
        <w:ind w:left="0" w:right="0" w:firstLine="0"/>
        <w:jc w:val="left"/>
        <w:rPr>
          <w:sz w:val="22"/>
        </w:rPr>
      </w:pPr>
    </w:p>
    <w:p>
      <w:pPr>
        <w:pStyle w:val="BodyText"/>
        <w:spacing w:line="216" w:lineRule="auto"/>
        <w:ind w:right="38"/>
      </w:pPr>
      <w:r>
        <w:rPr>
          <w:color w:val="231F20"/>
        </w:rPr>
        <w:t>Art. 12:115. § 1</w:t>
      </w:r>
      <w:r>
        <w:rPr>
          <w:color w:val="231F20"/>
          <w:position w:val="7"/>
          <w:sz w:val="11"/>
        </w:rPr>
        <w:t>er</w:t>
      </w:r>
      <w:r>
        <w:rPr>
          <w:color w:val="231F20"/>
        </w:rPr>
        <w:t>. Dans chaque société, l’ordre du jour de l’assemblée générale</w:t>
      </w:r>
      <w:r>
        <w:rPr>
          <w:color w:val="231F20"/>
          <w:spacing w:val="-4"/>
        </w:rPr>
        <w:t> </w:t>
      </w:r>
      <w:r>
        <w:rPr>
          <w:color w:val="231F20"/>
        </w:rPr>
        <w:t>appelée</w:t>
      </w:r>
      <w:r>
        <w:rPr>
          <w:color w:val="231F20"/>
          <w:spacing w:val="-4"/>
        </w:rPr>
        <w:t> </w:t>
      </w:r>
      <w:r>
        <w:rPr>
          <w:color w:val="231F20"/>
        </w:rPr>
        <w:t>à</w:t>
      </w:r>
      <w:r>
        <w:rPr>
          <w:color w:val="231F20"/>
          <w:spacing w:val="-4"/>
        </w:rPr>
        <w:t> </w:t>
      </w:r>
      <w:r>
        <w:rPr>
          <w:color w:val="231F20"/>
        </w:rPr>
        <w:t>se</w:t>
      </w:r>
      <w:r>
        <w:rPr>
          <w:color w:val="231F20"/>
          <w:spacing w:val="-4"/>
        </w:rPr>
        <w:t> </w:t>
      </w:r>
      <w:r>
        <w:rPr>
          <w:color w:val="231F20"/>
        </w:rPr>
        <w:t>prononcer</w:t>
      </w:r>
      <w:r>
        <w:rPr>
          <w:color w:val="231F20"/>
          <w:spacing w:val="-3"/>
        </w:rPr>
        <w:t> </w:t>
      </w:r>
      <w:r>
        <w:rPr>
          <w:color w:val="231F20"/>
        </w:rPr>
        <w:t>sur</w:t>
      </w:r>
      <w:r>
        <w:rPr>
          <w:color w:val="231F20"/>
          <w:spacing w:val="-4"/>
        </w:rPr>
        <w:t> </w:t>
      </w:r>
      <w:r>
        <w:rPr>
          <w:color w:val="231F20"/>
        </w:rPr>
        <w:t>le</w:t>
      </w:r>
      <w:r>
        <w:rPr>
          <w:color w:val="231F20"/>
          <w:spacing w:val="-4"/>
        </w:rPr>
        <w:t> </w:t>
      </w:r>
      <w:r>
        <w:rPr>
          <w:color w:val="231F20"/>
        </w:rPr>
        <w:t>projet</w:t>
      </w:r>
      <w:r>
        <w:rPr>
          <w:color w:val="231F20"/>
          <w:spacing w:val="-4"/>
        </w:rPr>
        <w:t> </w:t>
      </w:r>
      <w:r>
        <w:rPr>
          <w:color w:val="231F20"/>
        </w:rPr>
        <w:t>de</w:t>
      </w:r>
      <w:r>
        <w:rPr>
          <w:color w:val="231F20"/>
          <w:spacing w:val="-4"/>
        </w:rPr>
        <w:t> </w:t>
      </w:r>
      <w:r>
        <w:rPr>
          <w:color w:val="231F20"/>
        </w:rPr>
        <w:t>fusion</w:t>
      </w:r>
      <w:r>
        <w:rPr>
          <w:color w:val="231F20"/>
          <w:spacing w:val="-3"/>
        </w:rPr>
        <w:t> </w:t>
      </w:r>
      <w:r>
        <w:rPr>
          <w:color w:val="231F20"/>
        </w:rPr>
        <w:t>annonce</w:t>
      </w:r>
      <w:r>
        <w:rPr>
          <w:color w:val="231F20"/>
          <w:spacing w:val="-4"/>
        </w:rPr>
        <w:t> </w:t>
      </w:r>
      <w:r>
        <w:rPr>
          <w:color w:val="231F20"/>
        </w:rPr>
        <w:t>le</w:t>
      </w:r>
      <w:r>
        <w:rPr>
          <w:color w:val="231F20"/>
          <w:spacing w:val="-4"/>
        </w:rPr>
        <w:t> </w:t>
      </w:r>
      <w:r>
        <w:rPr>
          <w:color w:val="231F20"/>
        </w:rPr>
        <w:t>projet de fusion transfrontalière et les rapports prévus aux articles 12:113 et 12:114 ainsi que la possibilité réservée aux associés ou actionnaires d’obtenir lesdits documents sans frais. Cette obligation ne s’applique pas si l’organe d’administration approuve la fusion conformément à l’article</w:t>
      </w:r>
      <w:r>
        <w:rPr>
          <w:color w:val="231F20"/>
          <w:spacing w:val="14"/>
        </w:rPr>
        <w:t> </w:t>
      </w:r>
      <w:r>
        <w:rPr>
          <w:color w:val="231F20"/>
        </w:rPr>
        <w:t>12:116,</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spacing w:val="2"/>
        </w:rPr>
        <w:t>alinéa</w:t>
      </w:r>
      <w:r>
        <w:rPr>
          <w:color w:val="231F20"/>
        </w:rPr>
        <w:t> 2</w:t>
      </w:r>
      <w:r>
        <w:rPr>
          <w:color w:val="231F20"/>
          <w:spacing w:val="15"/>
        </w:rPr>
        <w:t> </w:t>
      </w:r>
      <w:r>
        <w:rPr>
          <w:color w:val="231F20"/>
        </w:rPr>
        <w:t>et</w:t>
      </w:r>
      <w:r>
        <w:rPr>
          <w:color w:val="231F20"/>
          <w:spacing w:val="15"/>
        </w:rPr>
        <w:t> </w:t>
      </w:r>
      <w:r>
        <w:rPr>
          <w:color w:val="231F20"/>
        </w:rPr>
        <w:t>§</w:t>
      </w:r>
      <w:r>
        <w:rPr>
          <w:color w:val="231F20"/>
          <w:spacing w:val="15"/>
        </w:rPr>
        <w:t> </w:t>
      </w:r>
      <w:r>
        <w:rPr>
          <w:color w:val="231F20"/>
        </w:rPr>
        <w:t>2.</w:t>
      </w:r>
    </w:p>
    <w:p>
      <w:pPr>
        <w:pStyle w:val="BodyText"/>
        <w:spacing w:line="218" w:lineRule="auto" w:before="93"/>
        <w:ind w:right="38"/>
      </w:pPr>
      <w:r>
        <w:rPr>
          <w:color w:val="231F20"/>
        </w:rPr>
        <w:t>Une copie en est communiquée aux titulaires d’actions ou parts nominatives un mois au moins avant la réunion de l’assemblée générale qui se prononce sur la fusion, conformément à l’article 2:32.</w:t>
      </w:r>
    </w:p>
    <w:p>
      <w:pPr>
        <w:pStyle w:val="BodyText"/>
        <w:spacing w:line="211" w:lineRule="auto" w:before="101"/>
        <w:ind w:right="38"/>
      </w:pPr>
      <w:r>
        <w:rPr>
          <w:color w:val="231F20"/>
        </w:rPr>
        <w:t>Une copie est également communiquée sans délai aux personnes qui ont accompli les formalités prescrites par les statuts pour être admises à</w:t>
      </w:r>
      <w:r>
        <w:rPr>
          <w:color w:val="231F20"/>
          <w:spacing w:val="18"/>
        </w:rPr>
        <w:t> </w:t>
      </w:r>
      <w:r>
        <w:rPr>
          <w:color w:val="231F20"/>
        </w:rPr>
        <w:t>l’assemblée</w:t>
      </w:r>
      <w:r>
        <w:rPr>
          <w:color w:val="231F20"/>
          <w:spacing w:val="18"/>
        </w:rPr>
        <w:t> </w:t>
      </w:r>
      <w:r>
        <w:rPr>
          <w:color w:val="231F20"/>
        </w:rPr>
        <w:t>générale</w:t>
      </w:r>
      <w:r>
        <w:rPr>
          <w:color w:val="231F20"/>
          <w:spacing w:val="18"/>
        </w:rPr>
        <w:t> </w:t>
      </w:r>
      <w:r>
        <w:rPr>
          <w:color w:val="231F20"/>
        </w:rPr>
        <w:t>mentionnée</w:t>
      </w:r>
      <w:r>
        <w:rPr>
          <w:color w:val="231F20"/>
          <w:spacing w:val="18"/>
        </w:rPr>
        <w:t> </w:t>
      </w:r>
      <w:r>
        <w:rPr>
          <w:color w:val="231F20"/>
        </w:rPr>
        <w:t>à</w:t>
      </w:r>
      <w:r>
        <w:rPr>
          <w:color w:val="231F20"/>
          <w:spacing w:val="18"/>
        </w:rPr>
        <w:t> </w:t>
      </w:r>
      <w:r>
        <w:rPr>
          <w:color w:val="231F20"/>
        </w:rPr>
        <w:t>l’article</w:t>
      </w:r>
      <w:r>
        <w:rPr>
          <w:color w:val="231F20"/>
          <w:spacing w:val="18"/>
        </w:rPr>
        <w:t> </w:t>
      </w:r>
      <w:r>
        <w:rPr>
          <w:color w:val="231F20"/>
        </w:rPr>
        <w:t>12:116,</w:t>
      </w:r>
      <w:r>
        <w:rPr>
          <w:color w:val="231F20"/>
          <w:spacing w:val="18"/>
        </w:rPr>
        <w:t> </w:t>
      </w:r>
      <w:r>
        <w:rPr>
          <w:color w:val="231F20"/>
        </w:rPr>
        <w:t>§</w:t>
      </w:r>
      <w:r>
        <w:rPr>
          <w:color w:val="231F20"/>
          <w:spacing w:val="19"/>
        </w:rPr>
        <w:t> </w:t>
      </w:r>
      <w:r>
        <w:rPr>
          <w:color w:val="231F20"/>
        </w:rPr>
        <w:t>1</w:t>
      </w:r>
      <w:r>
        <w:rPr>
          <w:color w:val="231F20"/>
          <w:position w:val="7"/>
          <w:sz w:val="11"/>
        </w:rPr>
        <w:t>er</w:t>
      </w:r>
      <w:r>
        <w:rPr>
          <w:color w:val="231F20"/>
        </w:rPr>
        <w:t>,</w:t>
      </w:r>
      <w:r>
        <w:rPr>
          <w:color w:val="231F20"/>
          <w:spacing w:val="18"/>
        </w:rPr>
        <w:t> </w:t>
      </w:r>
      <w:r>
        <w:rPr>
          <w:color w:val="231F20"/>
        </w:rPr>
        <w:t>alinéa</w:t>
      </w:r>
      <w:r>
        <w:rPr>
          <w:color w:val="231F20"/>
          <w:spacing w:val="18"/>
        </w:rPr>
        <w:t> </w:t>
      </w:r>
      <w:r>
        <w:rPr>
          <w:color w:val="231F20"/>
        </w:rPr>
        <w:t>1</w:t>
      </w:r>
      <w:r>
        <w:rPr>
          <w:color w:val="231F20"/>
          <w:position w:val="7"/>
          <w:sz w:val="11"/>
        </w:rPr>
        <w:t>er</w:t>
      </w:r>
      <w:r>
        <w:rPr>
          <w:color w:val="231F20"/>
        </w:rPr>
        <w:t>.</w:t>
      </w:r>
    </w:p>
    <w:p>
      <w:pPr>
        <w:pStyle w:val="BodyText"/>
        <w:spacing w:before="2"/>
        <w:ind w:left="0" w:right="0" w:firstLine="0"/>
        <w:jc w:val="left"/>
        <w:rPr>
          <w:sz w:val="24"/>
        </w:rPr>
      </w:pPr>
    </w:p>
    <w:p>
      <w:pPr>
        <w:pStyle w:val="BodyText"/>
        <w:spacing w:line="211" w:lineRule="auto"/>
        <w:ind w:right="38"/>
      </w:pPr>
      <w:r>
        <w:rPr>
          <w:color w:val="231F20"/>
        </w:rPr>
        <w:t>Toutefois, s’il s’agit d’une société coopérative, le projet et les rapports visés à l’alinéa 1</w:t>
      </w:r>
      <w:r>
        <w:rPr>
          <w:color w:val="231F20"/>
          <w:position w:val="7"/>
          <w:sz w:val="11"/>
        </w:rPr>
        <w:t>er </w:t>
      </w:r>
      <w:r>
        <w:rPr>
          <w:color w:val="231F20"/>
        </w:rPr>
        <w:t>ne doivent pas être communiqués aux actionnaires conformément aux alinéas 2 et 3.</w:t>
      </w:r>
    </w:p>
    <w:p>
      <w:pPr>
        <w:pStyle w:val="BodyText"/>
        <w:spacing w:before="8"/>
        <w:ind w:left="0" w:right="0" w:firstLine="0"/>
        <w:jc w:val="left"/>
        <w:rPr>
          <w:sz w:val="24"/>
        </w:rPr>
      </w:pPr>
    </w:p>
    <w:p>
      <w:pPr>
        <w:pStyle w:val="BodyText"/>
        <w:spacing w:line="218" w:lineRule="auto"/>
        <w:ind w:right="38"/>
      </w:pPr>
      <w:r>
        <w:rPr>
          <w:color w:val="231F20"/>
        </w:rPr>
        <w:t>Dans ce cas, tout actionnaire a le droit de prendre connaissance desdits documents au siège de la société conformément au paragra-  phe 2, un mois au moins avant la date de la réunion de l’assemblée générale ou, dans le cas visé à l’article 12:116, § 2, alinéa 3, avant la date à laquelle la fusion prend </w:t>
      </w:r>
      <w:r>
        <w:rPr>
          <w:color w:val="231F20"/>
          <w:spacing w:val="-3"/>
        </w:rPr>
        <w:t>effet </w:t>
      </w:r>
      <w:r>
        <w:rPr>
          <w:color w:val="231F20"/>
        </w:rPr>
        <w:t>et d’en obtenir copie, conformément au paragraphe</w:t>
      </w:r>
      <w:r>
        <w:rPr>
          <w:color w:val="231F20"/>
          <w:spacing w:val="15"/>
        </w:rPr>
        <w:t> </w:t>
      </w:r>
      <w:r>
        <w:rPr>
          <w:color w:val="231F20"/>
        </w:rPr>
        <w:t>3,</w:t>
      </w:r>
      <w:r>
        <w:rPr>
          <w:color w:val="231F20"/>
          <w:spacing w:val="15"/>
        </w:rPr>
        <w:t> </w:t>
      </w:r>
      <w:r>
        <w:rPr>
          <w:color w:val="231F20"/>
        </w:rPr>
        <w:t>dans</w:t>
      </w:r>
      <w:r>
        <w:rPr>
          <w:color w:val="231F20"/>
          <w:spacing w:val="15"/>
        </w:rPr>
        <w:t> </w:t>
      </w:r>
      <w:r>
        <w:rPr>
          <w:color w:val="231F20"/>
        </w:rPr>
        <w:t>le</w:t>
      </w:r>
      <w:r>
        <w:rPr>
          <w:color w:val="231F20"/>
          <w:spacing w:val="15"/>
        </w:rPr>
        <w:t> </w:t>
      </w:r>
      <w:r>
        <w:rPr>
          <w:color w:val="231F20"/>
        </w:rPr>
        <w:t>même</w:t>
      </w:r>
      <w:r>
        <w:rPr>
          <w:color w:val="231F20"/>
          <w:spacing w:val="15"/>
        </w:rPr>
        <w:t> </w:t>
      </w:r>
      <w:r>
        <w:rPr>
          <w:color w:val="231F20"/>
        </w:rPr>
        <w:t>délai.</w:t>
      </w:r>
    </w:p>
    <w:p>
      <w:pPr>
        <w:pStyle w:val="BodyText"/>
        <w:spacing w:line="218" w:lineRule="auto" w:before="119"/>
      </w:pPr>
      <w:r>
        <w:rPr/>
        <w:br w:type="column"/>
      </w:r>
      <w:r>
        <w:rPr>
          <w:color w:val="231F20"/>
        </w:rPr>
        <w:t>De commissaris of de aangewezen bedrijfsrevisor of de externe accountant moet in het bijzonder verklaren of de ruilverhouding naar zijn mening al dan niet relevant en redelijk is.</w:t>
      </w:r>
    </w:p>
    <w:p>
      <w:pPr>
        <w:pStyle w:val="BodyText"/>
        <w:spacing w:before="83"/>
        <w:ind w:left="283" w:right="0" w:firstLine="0"/>
        <w:jc w:val="left"/>
      </w:pPr>
      <w:r>
        <w:rPr>
          <w:color w:val="231F20"/>
        </w:rPr>
        <w:t>Deze verklaring moet minste aangeven:</w:t>
      </w:r>
    </w:p>
    <w:p>
      <w:pPr>
        <w:pStyle w:val="BodyText"/>
        <w:spacing w:line="218" w:lineRule="auto" w:before="92"/>
      </w:pPr>
      <w:r>
        <w:rPr>
          <w:color w:val="231F20"/>
          <w:w w:val="105"/>
        </w:rPr>
        <w:t>1° volgens welke methoden de voorgestelde ruilverhouding is vastgesteld;</w:t>
      </w:r>
    </w:p>
    <w:p>
      <w:pPr>
        <w:pStyle w:val="BodyText"/>
        <w:spacing w:line="218" w:lineRule="auto" w:before="96"/>
      </w:pPr>
      <w:r>
        <w:rPr>
          <w:color w:val="231F20"/>
        </w:rPr>
        <w:t>2° of deze methoden in het gegeven geval passen en tot welke waardering elke gebruikte methode leidt; tevens moet een oordeel worden gegeven over het betrekkelijke gewicht dat bij de vaststelling van de in aanmerking genomen waarde aan deze methoden is gehecht.</w:t>
      </w:r>
    </w:p>
    <w:p>
      <w:pPr>
        <w:pStyle w:val="BodyText"/>
        <w:spacing w:line="218" w:lineRule="auto" w:before="97"/>
      </w:pPr>
      <w:r>
        <w:rPr>
          <w:color w:val="231F20"/>
        </w:rPr>
        <w:t>Het verslag vermeldt bovendien, in voorkomend geval, de bijzon- dere moeilijkheden bij de waardering.</w:t>
      </w:r>
    </w:p>
    <w:p>
      <w:pPr>
        <w:pStyle w:val="BodyText"/>
        <w:spacing w:line="218" w:lineRule="auto" w:before="96"/>
      </w:pPr>
      <w:r>
        <w:rPr>
          <w:color w:val="231F20"/>
        </w:rPr>
        <w:t>De commissaris, de aangewezen bedrijfsrevisor of externe accoun- tant kunnen van de bij de fusie betrokken vennootschappen alle informatie bekomen die zij nodig achten.</w:t>
      </w:r>
    </w:p>
    <w:p>
      <w:pPr>
        <w:pStyle w:val="BodyText"/>
        <w:spacing w:line="218" w:lineRule="auto" w:before="96"/>
      </w:pPr>
      <w:r>
        <w:rPr>
          <w:color w:val="231F20"/>
        </w:rPr>
        <w:t>§ 2. Bij wijze van alternatief voor de inschakeling van de commissaris of een aangewezen bedrijfsrevisor of de externe accountant die voor elk van de fuserende vennootschappen optreden, kan het onderzoek van het voorstel voor een grensoverschrijdende fusie worden verricht door één of meer commissarissen of aangewezen bedrijfsrevisoren of externe accountants die daartoe op gezamenlijk verzoek van deze vennoot- schappen zijn aangewezen dan wel goedgekeurd door de  voorzitter  van de  ondernemingsrechtbank,  overeenkomstig  artikel  588,  17°, van het Gerechtelijk Wetboek. Deze onafhankelijke deskundige(n) stel(l)t(en) een voor alle vennoten of aandeelhouders bestemd verslag op.</w:t>
      </w:r>
    </w:p>
    <w:p>
      <w:pPr>
        <w:pStyle w:val="BodyText"/>
        <w:spacing w:line="218" w:lineRule="auto" w:before="97"/>
      </w:pPr>
      <w:r>
        <w:rPr>
          <w:color w:val="231F20"/>
        </w:rPr>
        <w:t>§ 3. Indien alle vennoten of aandeelhouders in elke bij de grensover- schrijdende fusie betrokken vennootschap hiermee hebben ingestemd, is noch het onderzoek van het gemeenschappelijke voorstel voor een grensoverschrijdende fusie door de commissaris of de aangewezen bedrijfsrevisor of externe accountant, noch het verslag waarvan sprake in de eerste paragraaf vereist.</w:t>
      </w:r>
    </w:p>
    <w:p>
      <w:pPr>
        <w:pStyle w:val="BodyText"/>
        <w:spacing w:line="218" w:lineRule="auto" w:before="96"/>
      </w:pPr>
      <w:r>
        <w:rPr>
          <w:color w:val="231F20"/>
        </w:rPr>
        <w:t>§ 4. </w:t>
      </w:r>
      <w:r>
        <w:rPr>
          <w:color w:val="231F20"/>
          <w:spacing w:val="-5"/>
        </w:rPr>
        <w:t>Voor </w:t>
      </w:r>
      <w:r>
        <w:rPr>
          <w:color w:val="231F20"/>
        </w:rPr>
        <w:t>de met grensoverschrijdende fusie gelijkgestelde verrichting wordt het verslag waarvan sprake in de eerste paragraaf niet vereist.</w:t>
      </w:r>
    </w:p>
    <w:p>
      <w:pPr>
        <w:pStyle w:val="BodyText"/>
        <w:spacing w:line="218" w:lineRule="auto" w:before="96"/>
      </w:pPr>
      <w:r>
        <w:rPr>
          <w:color w:val="231F20"/>
        </w:rPr>
        <w:t>§ 5. Indien een verslag werd opgesteld overeenkomstig paragraaf 1, zijn de artikelen 5:133, 6:110 of 7:197 niet van toepassing op een overnemende vennootschap die de rechtsvorm heeft van een besloten vennootschap, van een coöperatieve vennootschap, van een naamloze vennootschap, van een Europese vennootschap of van een Europese coöperatieve vennootschap.</w:t>
      </w:r>
    </w:p>
    <w:p>
      <w:pPr>
        <w:pStyle w:val="BodyText"/>
        <w:spacing w:line="218" w:lineRule="auto" w:before="97"/>
      </w:pPr>
      <w:r>
        <w:rPr>
          <w:color w:val="231F20"/>
        </w:rPr>
        <w:t>Indien een verslag werd opgesteld overeenkomstig paragraaf 1, zijn de artikelen 7:7, 7:12 en 7:13, tweede lid, tweede volzin, en 7:14, eerste lid, 2° en 7, niet van toepassing op de naamloze vennootschap en de Europese</w:t>
      </w:r>
      <w:r>
        <w:rPr>
          <w:color w:val="231F20"/>
          <w:spacing w:val="17"/>
        </w:rPr>
        <w:t> </w:t>
      </w:r>
      <w:r>
        <w:rPr>
          <w:color w:val="231F20"/>
        </w:rPr>
        <w:t>vennootschap</w:t>
      </w:r>
      <w:r>
        <w:rPr>
          <w:color w:val="231F20"/>
          <w:spacing w:val="17"/>
        </w:rPr>
        <w:t> </w:t>
      </w:r>
      <w:r>
        <w:rPr>
          <w:color w:val="231F20"/>
        </w:rPr>
        <w:t>die</w:t>
      </w:r>
      <w:r>
        <w:rPr>
          <w:color w:val="231F20"/>
          <w:spacing w:val="18"/>
        </w:rPr>
        <w:t> </w:t>
      </w:r>
      <w:r>
        <w:rPr>
          <w:color w:val="231F20"/>
        </w:rPr>
        <w:t>door</w:t>
      </w:r>
      <w:r>
        <w:rPr>
          <w:color w:val="231F20"/>
          <w:spacing w:val="17"/>
        </w:rPr>
        <w:t> </w:t>
      </w:r>
      <w:r>
        <w:rPr>
          <w:color w:val="231F20"/>
        </w:rPr>
        <w:t>de</w:t>
      </w:r>
      <w:r>
        <w:rPr>
          <w:color w:val="231F20"/>
          <w:spacing w:val="17"/>
        </w:rPr>
        <w:t> </w:t>
      </w:r>
      <w:r>
        <w:rPr>
          <w:color w:val="231F20"/>
        </w:rPr>
        <w:t>fusie</w:t>
      </w:r>
      <w:r>
        <w:rPr>
          <w:color w:val="231F20"/>
          <w:spacing w:val="18"/>
        </w:rPr>
        <w:t> </w:t>
      </w:r>
      <w:r>
        <w:rPr>
          <w:color w:val="231F20"/>
        </w:rPr>
        <w:t>tot</w:t>
      </w:r>
      <w:r>
        <w:rPr>
          <w:color w:val="231F20"/>
          <w:spacing w:val="17"/>
        </w:rPr>
        <w:t> </w:t>
      </w:r>
      <w:r>
        <w:rPr>
          <w:color w:val="231F20"/>
        </w:rPr>
        <w:t>stand</w:t>
      </w:r>
      <w:r>
        <w:rPr>
          <w:color w:val="231F20"/>
          <w:spacing w:val="17"/>
        </w:rPr>
        <w:t> </w:t>
      </w:r>
      <w:r>
        <w:rPr>
          <w:color w:val="231F20"/>
        </w:rPr>
        <w:t>zijn</w:t>
      </w:r>
      <w:r>
        <w:rPr>
          <w:color w:val="231F20"/>
          <w:spacing w:val="18"/>
        </w:rPr>
        <w:t> </w:t>
      </w:r>
      <w:r>
        <w:rPr>
          <w:color w:val="231F20"/>
        </w:rPr>
        <w:t>gekomen.</w:t>
      </w:r>
    </w:p>
    <w:p>
      <w:pPr>
        <w:pStyle w:val="BodyText"/>
        <w:spacing w:line="218" w:lineRule="auto" w:before="96"/>
      </w:pPr>
      <w:r>
        <w:rPr>
          <w:color w:val="231F20"/>
        </w:rPr>
        <w:t>Indien een verslag werd opgesteld overeenkomstig paragraaf 1, zijn de artikelen 5:7, 5:9 en 5:12, eerste lid, 2° en 5°, niet van toepassing op de</w:t>
      </w:r>
      <w:r>
        <w:rPr>
          <w:color w:val="231F20"/>
          <w:spacing w:val="17"/>
        </w:rPr>
        <w:t> </w:t>
      </w:r>
      <w:r>
        <w:rPr>
          <w:color w:val="231F20"/>
        </w:rPr>
        <w:t>besloten</w:t>
      </w:r>
      <w:r>
        <w:rPr>
          <w:color w:val="231F20"/>
          <w:spacing w:val="18"/>
        </w:rPr>
        <w:t> </w:t>
      </w:r>
      <w:r>
        <w:rPr>
          <w:color w:val="231F20"/>
        </w:rPr>
        <w:t>vennootschap</w:t>
      </w:r>
      <w:r>
        <w:rPr>
          <w:color w:val="231F20"/>
          <w:spacing w:val="17"/>
        </w:rPr>
        <w:t> </w:t>
      </w:r>
      <w:r>
        <w:rPr>
          <w:color w:val="231F20"/>
        </w:rPr>
        <w:t>die</w:t>
      </w:r>
      <w:r>
        <w:rPr>
          <w:color w:val="231F20"/>
          <w:spacing w:val="18"/>
        </w:rPr>
        <w:t> </w:t>
      </w:r>
      <w:r>
        <w:rPr>
          <w:color w:val="231F20"/>
        </w:rPr>
        <w:t>door</w:t>
      </w:r>
      <w:r>
        <w:rPr>
          <w:color w:val="231F20"/>
          <w:spacing w:val="17"/>
        </w:rPr>
        <w:t> </w:t>
      </w:r>
      <w:r>
        <w:rPr>
          <w:color w:val="231F20"/>
        </w:rPr>
        <w:t>de</w:t>
      </w:r>
      <w:r>
        <w:rPr>
          <w:color w:val="231F20"/>
          <w:spacing w:val="18"/>
        </w:rPr>
        <w:t> </w:t>
      </w:r>
      <w:r>
        <w:rPr>
          <w:color w:val="231F20"/>
        </w:rPr>
        <w:t>fusie</w:t>
      </w:r>
      <w:r>
        <w:rPr>
          <w:color w:val="231F20"/>
          <w:spacing w:val="17"/>
        </w:rPr>
        <w:t> </w:t>
      </w:r>
      <w:r>
        <w:rPr>
          <w:color w:val="231F20"/>
        </w:rPr>
        <w:t>tot</w:t>
      </w:r>
      <w:r>
        <w:rPr>
          <w:color w:val="231F20"/>
          <w:spacing w:val="18"/>
        </w:rPr>
        <w:t> </w:t>
      </w:r>
      <w:r>
        <w:rPr>
          <w:color w:val="231F20"/>
        </w:rPr>
        <w:t>stand</w:t>
      </w:r>
      <w:r>
        <w:rPr>
          <w:color w:val="231F20"/>
          <w:spacing w:val="17"/>
        </w:rPr>
        <w:t> </w:t>
      </w:r>
      <w:r>
        <w:rPr>
          <w:color w:val="231F20"/>
        </w:rPr>
        <w:t>is</w:t>
      </w:r>
      <w:r>
        <w:rPr>
          <w:color w:val="231F20"/>
          <w:spacing w:val="18"/>
        </w:rPr>
        <w:t> </w:t>
      </w:r>
      <w:r>
        <w:rPr>
          <w:color w:val="231F20"/>
        </w:rPr>
        <w:t>gekomen.</w:t>
      </w:r>
    </w:p>
    <w:p>
      <w:pPr>
        <w:pStyle w:val="BodyText"/>
        <w:spacing w:line="218" w:lineRule="auto" w:before="96"/>
      </w:pPr>
      <w:r>
        <w:rPr>
          <w:color w:val="231F20"/>
        </w:rPr>
        <w:t>Indien een verslag werd opgesteld overeenkomstig paragraaf 1, zijn de artikelen 6:8, 6:10 en 6:13, eerste lid, 2° en 5°, niet van toepassing</w:t>
      </w:r>
      <w:r>
        <w:rPr>
          <w:color w:val="231F20"/>
          <w:spacing w:val="-15"/>
        </w:rPr>
        <w:t> </w:t>
      </w:r>
      <w:r>
        <w:rPr>
          <w:color w:val="231F20"/>
        </w:rPr>
        <w:t>op de coöperatieve vennootschap en de Europese coöperatieve vennoot- schap</w:t>
      </w:r>
      <w:r>
        <w:rPr>
          <w:color w:val="231F20"/>
          <w:spacing w:val="15"/>
        </w:rPr>
        <w:t> </w:t>
      </w:r>
      <w:r>
        <w:rPr>
          <w:color w:val="231F20"/>
        </w:rPr>
        <w:t>die</w:t>
      </w:r>
      <w:r>
        <w:rPr>
          <w:color w:val="231F20"/>
          <w:spacing w:val="16"/>
        </w:rPr>
        <w:t> </w:t>
      </w:r>
      <w:r>
        <w:rPr>
          <w:color w:val="231F20"/>
        </w:rPr>
        <w:t>door</w:t>
      </w:r>
      <w:r>
        <w:rPr>
          <w:color w:val="231F20"/>
          <w:spacing w:val="16"/>
        </w:rPr>
        <w:t> </w:t>
      </w:r>
      <w:r>
        <w:rPr>
          <w:color w:val="231F20"/>
        </w:rPr>
        <w:t>de</w:t>
      </w:r>
      <w:r>
        <w:rPr>
          <w:color w:val="231F20"/>
          <w:spacing w:val="16"/>
        </w:rPr>
        <w:t> </w:t>
      </w:r>
      <w:r>
        <w:rPr>
          <w:color w:val="231F20"/>
        </w:rPr>
        <w:t>fusie</w:t>
      </w:r>
      <w:r>
        <w:rPr>
          <w:color w:val="231F20"/>
          <w:spacing w:val="15"/>
        </w:rPr>
        <w:t> </w:t>
      </w:r>
      <w:r>
        <w:rPr>
          <w:color w:val="231F20"/>
        </w:rPr>
        <w:t>tot</w:t>
      </w:r>
      <w:r>
        <w:rPr>
          <w:color w:val="231F20"/>
          <w:spacing w:val="16"/>
        </w:rPr>
        <w:t> </w:t>
      </w:r>
      <w:r>
        <w:rPr>
          <w:color w:val="231F20"/>
        </w:rPr>
        <w:t>stand</w:t>
      </w:r>
      <w:r>
        <w:rPr>
          <w:color w:val="231F20"/>
          <w:spacing w:val="16"/>
        </w:rPr>
        <w:t> </w:t>
      </w:r>
      <w:r>
        <w:rPr>
          <w:color w:val="231F20"/>
        </w:rPr>
        <w:t>zijn</w:t>
      </w:r>
      <w:r>
        <w:rPr>
          <w:color w:val="231F20"/>
          <w:spacing w:val="16"/>
        </w:rPr>
        <w:t> </w:t>
      </w:r>
      <w:r>
        <w:rPr>
          <w:color w:val="231F20"/>
        </w:rPr>
        <w:t>gekomen.</w:t>
      </w:r>
    </w:p>
    <w:p>
      <w:pPr>
        <w:pStyle w:val="BodyText"/>
        <w:spacing w:line="218" w:lineRule="auto" w:before="97"/>
        <w:ind w:right="123"/>
      </w:pPr>
      <w:r>
        <w:rPr>
          <w:color w:val="231F20"/>
        </w:rPr>
        <w:t>Art. 12:115. § 1. In elke vennootschap vermeldt de agenda van de algemene vergadering die zich over het fusievoorstel moet uitspreken het fusievoorstel en de verslagen bedoeld in de artikelen 12:113 en 12:114, evenals de mogelijkheid voor de vennoten of aandeelhouders om de genoemde stukken kosteloos te verkrijgen. Deze verplichting geldt niet indien het bestuursorgaan overeenkomstig artikel 12:116, § 1, tweede</w:t>
      </w:r>
      <w:r>
        <w:rPr>
          <w:color w:val="231F20"/>
          <w:spacing w:val="15"/>
        </w:rPr>
        <w:t> </w:t>
      </w:r>
      <w:r>
        <w:rPr>
          <w:color w:val="231F20"/>
        </w:rPr>
        <w:t>lid</w:t>
      </w:r>
      <w:r>
        <w:rPr>
          <w:color w:val="231F20"/>
          <w:spacing w:val="16"/>
        </w:rPr>
        <w:t> </w:t>
      </w:r>
      <w:r>
        <w:rPr>
          <w:color w:val="231F20"/>
        </w:rPr>
        <w:t>en</w:t>
      </w:r>
      <w:r>
        <w:rPr>
          <w:color w:val="231F20"/>
          <w:spacing w:val="16"/>
        </w:rPr>
        <w:t> </w:t>
      </w:r>
      <w:r>
        <w:rPr>
          <w:color w:val="231F20"/>
        </w:rPr>
        <w:t>§</w:t>
      </w:r>
      <w:r>
        <w:rPr>
          <w:color w:val="231F20"/>
          <w:spacing w:val="16"/>
        </w:rPr>
        <w:t> </w:t>
      </w:r>
      <w:r>
        <w:rPr>
          <w:color w:val="231F20"/>
        </w:rPr>
        <w:t>2,</w:t>
      </w:r>
      <w:r>
        <w:rPr>
          <w:color w:val="231F20"/>
          <w:spacing w:val="15"/>
        </w:rPr>
        <w:t> </w:t>
      </w:r>
      <w:r>
        <w:rPr>
          <w:color w:val="231F20"/>
        </w:rPr>
        <w:t>de</w:t>
      </w:r>
      <w:r>
        <w:rPr>
          <w:color w:val="231F20"/>
          <w:spacing w:val="16"/>
        </w:rPr>
        <w:t> </w:t>
      </w:r>
      <w:r>
        <w:rPr>
          <w:color w:val="231F20"/>
        </w:rPr>
        <w:t>fusie</w:t>
      </w:r>
      <w:r>
        <w:rPr>
          <w:color w:val="231F20"/>
          <w:spacing w:val="16"/>
        </w:rPr>
        <w:t> </w:t>
      </w:r>
      <w:r>
        <w:rPr>
          <w:color w:val="231F20"/>
        </w:rPr>
        <w:t>goedkeurt.</w:t>
      </w:r>
    </w:p>
    <w:p>
      <w:pPr>
        <w:pStyle w:val="BodyText"/>
        <w:spacing w:line="218" w:lineRule="auto" w:before="96"/>
      </w:pPr>
      <w:r>
        <w:rPr>
          <w:color w:val="231F20"/>
        </w:rPr>
        <w:t>Aan de houders van aandelen op naam wordt uiterlijk een maand vóór de vergadering die zich over de fusie uitspreekt, een kopie meegedeeld overeenkomstig artikel 2:32.</w:t>
      </w:r>
    </w:p>
    <w:p>
      <w:pPr>
        <w:pStyle w:val="BodyText"/>
        <w:spacing w:line="218" w:lineRule="auto" w:before="96"/>
      </w:pPr>
      <w:r>
        <w:rPr>
          <w:color w:val="231F20"/>
        </w:rPr>
        <w:t>Er wordt ook onverwijld een kopie meegedeeld aan diegenen die de statutair voorgeschreven formaliteiten hebben vervuld om tot de algemene vergadering vermeld in artikel 12:116, § 1, eerste lid, te worden toegelaten.</w:t>
      </w:r>
    </w:p>
    <w:p>
      <w:pPr>
        <w:pStyle w:val="BodyText"/>
        <w:spacing w:line="218" w:lineRule="auto" w:before="97"/>
      </w:pPr>
      <w:r>
        <w:rPr>
          <w:color w:val="231F20"/>
        </w:rPr>
        <w:t>Wanneer het evenwel gaat om een coöperatieve vennootschap, moeten het voorstel en de verslagen bedoeld in het eerste lid, niet aan de aandeelhouders worden meegedeeld overeenkomstig het tweede en het derde lid.</w:t>
      </w:r>
    </w:p>
    <w:p>
      <w:pPr>
        <w:pStyle w:val="BodyText"/>
        <w:spacing w:line="218" w:lineRule="auto" w:before="107"/>
      </w:pPr>
      <w:r>
        <w:rPr>
          <w:color w:val="231F20"/>
        </w:rPr>
        <w:t>In dat geval heeft iedere  aandeelhouder  overeenkomstig </w:t>
      </w:r>
      <w:r>
        <w:rPr>
          <w:color w:val="231F20"/>
          <w:spacing w:val="26"/>
        </w:rPr>
        <w:t> </w:t>
      </w:r>
      <w:r>
        <w:rPr>
          <w:color w:val="231F20"/>
        </w:rPr>
        <w:t>para- graaf 2 het recht om uiterlijk een maand vóór de datum van de algemene vergadering of, in het geval bedoeld in artikel 12:116, § 2, derde lid, de datum waarop de fusie van kracht wordt, op de zetel van de vennootschap van voornoemde stukken kennis te nemen en kan hij overeenkomstig paragraaf 3 binnen dezelfde termijn een kopie ervan verkrijgen.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7144" from="298.170502pt,64.473pt" to="298.170502pt,812.819pt" stroked="true" strokeweight=".533pt" strokecolor="#231f20">
            <v:stroke dashstyle="solid"/>
            <w10:wrap type="none"/>
          </v:line>
        </w:pict>
      </w:r>
      <w:bookmarkStart w:name="_bookmark255" w:id="261"/>
      <w:bookmarkEnd w:id="261"/>
      <w:r>
        <w:rPr/>
      </w:r>
      <w:r>
        <w:rPr>
          <w:color w:val="231F20"/>
        </w:rPr>
        <w:t>§ 2. Tout associé ou actionnaire a en outre le droit, un mois au moins avant la date de la réunion de l’assemblée générale appelée à se prononcer sur le projet de fusion transfrontalière, de prendre connais- sance au siège de la société des documents suivants:</w:t>
      </w:r>
    </w:p>
    <w:p>
      <w:pPr>
        <w:pStyle w:val="BodyText"/>
        <w:spacing w:before="71"/>
        <w:ind w:left="283" w:right="0" w:firstLine="0"/>
        <w:jc w:val="left"/>
      </w:pPr>
      <w:r>
        <w:rPr>
          <w:color w:val="231F20"/>
        </w:rPr>
        <w:t>1° le projet de fusion transfrontalière;</w:t>
      </w:r>
    </w:p>
    <w:p>
      <w:pPr>
        <w:pStyle w:val="BodyText"/>
        <w:spacing w:before="68"/>
        <w:ind w:left="283" w:right="0" w:firstLine="0"/>
        <w:jc w:val="left"/>
      </w:pPr>
      <w:r>
        <w:rPr>
          <w:color w:val="231F20"/>
        </w:rPr>
        <w:t>2° les rapports visés aux articles 12:113 et 12:114;</w:t>
      </w:r>
    </w:p>
    <w:p>
      <w:pPr>
        <w:pStyle w:val="BodyText"/>
        <w:spacing w:line="218" w:lineRule="auto" w:before="82"/>
        <w:ind w:right="38"/>
      </w:pPr>
      <w:r>
        <w:rPr>
          <w:color w:val="231F20"/>
        </w:rPr>
        <w:t>3° les comptes annuels des trois derniers exercices, de chacune des sociétés qui fusionnent;</w:t>
      </w:r>
    </w:p>
    <w:p>
      <w:pPr>
        <w:pStyle w:val="BodyText"/>
        <w:spacing w:line="218" w:lineRule="auto" w:before="86"/>
        <w:ind w:right="38"/>
      </w:pPr>
      <w:r>
        <w:rPr>
          <w:color w:val="231F20"/>
        </w:rPr>
        <w:t>4°</w:t>
      </w:r>
      <w:r>
        <w:rPr>
          <w:color w:val="231F20"/>
          <w:spacing w:val="-6"/>
        </w:rPr>
        <w:t> </w:t>
      </w:r>
      <w:r>
        <w:rPr>
          <w:color w:val="231F20"/>
        </w:rPr>
        <w:t>pour</w:t>
      </w:r>
      <w:r>
        <w:rPr>
          <w:color w:val="231F20"/>
          <w:spacing w:val="-5"/>
        </w:rPr>
        <w:t> </w:t>
      </w:r>
      <w:r>
        <w:rPr>
          <w:color w:val="231F20"/>
        </w:rPr>
        <w:t>les</w:t>
      </w:r>
      <w:r>
        <w:rPr>
          <w:color w:val="231F20"/>
          <w:spacing w:val="-5"/>
        </w:rPr>
        <w:t> </w:t>
      </w:r>
      <w:r>
        <w:rPr>
          <w:color w:val="231F20"/>
        </w:rPr>
        <w:t>sociétés</w:t>
      </w:r>
      <w:r>
        <w:rPr>
          <w:color w:val="231F20"/>
          <w:spacing w:val="-5"/>
        </w:rPr>
        <w:t> </w:t>
      </w:r>
      <w:r>
        <w:rPr>
          <w:color w:val="231F20"/>
        </w:rPr>
        <w:t>à</w:t>
      </w:r>
      <w:r>
        <w:rPr>
          <w:color w:val="231F20"/>
          <w:spacing w:val="-5"/>
        </w:rPr>
        <w:t> </w:t>
      </w:r>
      <w:r>
        <w:rPr>
          <w:color w:val="231F20"/>
        </w:rPr>
        <w:t>responsabilité</w:t>
      </w:r>
      <w:r>
        <w:rPr>
          <w:color w:val="231F20"/>
          <w:spacing w:val="-5"/>
        </w:rPr>
        <w:t> </w:t>
      </w:r>
      <w:r>
        <w:rPr>
          <w:color w:val="231F20"/>
        </w:rPr>
        <w:t>limitée,</w:t>
      </w:r>
      <w:r>
        <w:rPr>
          <w:color w:val="231F20"/>
          <w:spacing w:val="-5"/>
        </w:rPr>
        <w:t> </w:t>
      </w:r>
      <w:r>
        <w:rPr>
          <w:color w:val="231F20"/>
        </w:rPr>
        <w:t>les</w:t>
      </w:r>
      <w:r>
        <w:rPr>
          <w:color w:val="231F20"/>
          <w:spacing w:val="-5"/>
        </w:rPr>
        <w:t> </w:t>
      </w:r>
      <w:r>
        <w:rPr>
          <w:color w:val="231F20"/>
        </w:rPr>
        <w:t>sociétés</w:t>
      </w:r>
      <w:r>
        <w:rPr>
          <w:color w:val="231F20"/>
          <w:spacing w:val="-5"/>
        </w:rPr>
        <w:t> </w:t>
      </w:r>
      <w:r>
        <w:rPr>
          <w:color w:val="231F20"/>
        </w:rPr>
        <w:t>anonymes,</w:t>
      </w:r>
      <w:r>
        <w:rPr>
          <w:color w:val="231F20"/>
          <w:spacing w:val="-5"/>
        </w:rPr>
        <w:t> </w:t>
      </w:r>
      <w:r>
        <w:rPr>
          <w:color w:val="231F20"/>
        </w:rPr>
        <w:t>les sociétés coopératives, et les sociétés européennes, les rapports de l’organe d’administration, et les rapports du commissaire des trois derniers exercices </w:t>
      </w:r>
      <w:r>
        <w:rPr>
          <w:color w:val="231F20"/>
          <w:spacing w:val="3"/>
        </w:rPr>
        <w:t>s’il </w:t>
      </w:r>
      <w:r>
        <w:rPr>
          <w:color w:val="231F20"/>
        </w:rPr>
        <w:t>y </w:t>
      </w:r>
      <w:r>
        <w:rPr>
          <w:color w:val="231F20"/>
          <w:spacing w:val="7"/>
        </w:rPr>
        <w:t>en </w:t>
      </w:r>
      <w:r>
        <w:rPr>
          <w:color w:val="231F20"/>
        </w:rPr>
        <w:t>a</w:t>
      </w:r>
      <w:r>
        <w:rPr>
          <w:color w:val="231F20"/>
          <w:spacing w:val="9"/>
        </w:rPr>
        <w:t> </w:t>
      </w:r>
      <w:r>
        <w:rPr>
          <w:color w:val="231F20"/>
        </w:rPr>
        <w:t>un;</w:t>
      </w:r>
    </w:p>
    <w:p>
      <w:pPr>
        <w:pStyle w:val="BodyText"/>
        <w:spacing w:line="218" w:lineRule="auto" w:before="85"/>
        <w:ind w:right="38"/>
      </w:pPr>
      <w:r>
        <w:rPr>
          <w:color w:val="231F20"/>
        </w:rPr>
        <w:t>5° le cas échéant, lorsque le projet de fusion est postérieur de six</w:t>
      </w:r>
      <w:r>
        <w:rPr>
          <w:color w:val="231F20"/>
          <w:spacing w:val="-26"/>
        </w:rPr>
        <w:t> </w:t>
      </w:r>
      <w:r>
        <w:rPr>
          <w:color w:val="231F20"/>
        </w:rPr>
        <w:t>mois au moins à la fin de l’exercice auquel se rapportent les derniers comptes annuels, d’un état comptable clôturé moins de trois mois avant la date du</w:t>
      </w:r>
      <w:r>
        <w:rPr>
          <w:color w:val="231F20"/>
          <w:spacing w:val="14"/>
        </w:rPr>
        <w:t> </w:t>
      </w:r>
      <w:r>
        <w:rPr>
          <w:color w:val="231F20"/>
        </w:rPr>
        <w:t>projet</w:t>
      </w:r>
      <w:r>
        <w:rPr>
          <w:color w:val="231F20"/>
          <w:spacing w:val="15"/>
        </w:rPr>
        <w:t> </w:t>
      </w:r>
      <w:r>
        <w:rPr>
          <w:color w:val="231F20"/>
        </w:rPr>
        <w:t>de</w:t>
      </w:r>
      <w:r>
        <w:rPr>
          <w:color w:val="231F20"/>
          <w:spacing w:val="14"/>
        </w:rPr>
        <w:t> </w:t>
      </w:r>
      <w:r>
        <w:rPr>
          <w:color w:val="231F20"/>
        </w:rPr>
        <w:t>fusion</w:t>
      </w:r>
      <w:r>
        <w:rPr>
          <w:color w:val="231F20"/>
          <w:spacing w:val="15"/>
        </w:rPr>
        <w:t> </w:t>
      </w:r>
      <w:r>
        <w:rPr>
          <w:color w:val="231F20"/>
        </w:rPr>
        <w:t>et</w:t>
      </w:r>
      <w:r>
        <w:rPr>
          <w:color w:val="231F20"/>
          <w:spacing w:val="14"/>
        </w:rPr>
        <w:t> </w:t>
      </w:r>
      <w:r>
        <w:rPr>
          <w:color w:val="231F20"/>
        </w:rPr>
        <w:t>rédigé</w:t>
      </w:r>
      <w:r>
        <w:rPr>
          <w:color w:val="231F20"/>
          <w:spacing w:val="15"/>
        </w:rPr>
        <w:t> </w:t>
      </w:r>
      <w:r>
        <w:rPr>
          <w:color w:val="231F20"/>
        </w:rPr>
        <w:t>conformément</w:t>
      </w:r>
      <w:r>
        <w:rPr>
          <w:color w:val="231F20"/>
          <w:spacing w:val="14"/>
        </w:rPr>
        <w:t> </w:t>
      </w:r>
      <w:r>
        <w:rPr>
          <w:color w:val="231F20"/>
        </w:rPr>
        <w:t>aux</w:t>
      </w:r>
      <w:r>
        <w:rPr>
          <w:color w:val="231F20"/>
          <w:spacing w:val="15"/>
        </w:rPr>
        <w:t> </w:t>
      </w:r>
      <w:r>
        <w:rPr>
          <w:color w:val="231F20"/>
        </w:rPr>
        <w:t>alinéas</w:t>
      </w:r>
      <w:r>
        <w:rPr>
          <w:color w:val="231F20"/>
          <w:spacing w:val="15"/>
        </w:rPr>
        <w:t> </w:t>
      </w:r>
      <w:r>
        <w:rPr>
          <w:color w:val="231F20"/>
        </w:rPr>
        <w:t>2</w:t>
      </w:r>
      <w:r>
        <w:rPr>
          <w:color w:val="231F20"/>
          <w:spacing w:val="14"/>
        </w:rPr>
        <w:t> </w:t>
      </w:r>
      <w:r>
        <w:rPr>
          <w:color w:val="231F20"/>
        </w:rPr>
        <w:t>à</w:t>
      </w:r>
      <w:r>
        <w:rPr>
          <w:color w:val="231F20"/>
          <w:spacing w:val="15"/>
        </w:rPr>
        <w:t> </w:t>
      </w:r>
      <w:r>
        <w:rPr>
          <w:color w:val="231F20"/>
        </w:rPr>
        <w:t>4.</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38"/>
      </w:pPr>
      <w:r>
        <w:rPr>
          <w:color w:val="231F20"/>
        </w:rPr>
        <w:t>Cet état comptable est établi selon les mêmes méthodes et suivant la même présentation que les derniers comptes annuels.</w:t>
      </w:r>
    </w:p>
    <w:p>
      <w:pPr>
        <w:pStyle w:val="BodyText"/>
        <w:spacing w:before="82"/>
        <w:ind w:left="283" w:right="0" w:firstLine="0"/>
        <w:jc w:val="left"/>
      </w:pPr>
      <w:r>
        <w:rPr>
          <w:color w:val="231F20"/>
        </w:rPr>
        <w:t>Il n’est toutefois pas nécessaire de procéder à un nouvel inventaire.</w:t>
      </w:r>
    </w:p>
    <w:p>
      <w:pPr>
        <w:pStyle w:val="BodyText"/>
        <w:spacing w:line="218" w:lineRule="auto" w:before="93"/>
        <w:ind w:right="38"/>
      </w:pPr>
      <w:r>
        <w:rPr>
          <w:color w:val="231F20"/>
        </w:rPr>
        <w:t>Les modifications des évaluations figurant au dernier bilan peuvent être limitées à celles qui résultent des mouvements d’écriture. Il doit être tenu compte cependant des amortissements et provisions intéri- maires ainsi que des changements importants de valeurs n’apparais- sant pas dans les écritures.</w:t>
      </w:r>
    </w:p>
    <w:p>
      <w:pPr>
        <w:pStyle w:val="BodyText"/>
        <w:spacing w:line="218" w:lineRule="auto" w:before="81"/>
        <w:ind w:right="38"/>
      </w:pPr>
      <w:r>
        <w:rPr>
          <w:color w:val="231F20"/>
        </w:rPr>
        <w:t>L’alinéa 1</w:t>
      </w:r>
      <w:r>
        <w:rPr>
          <w:color w:val="231F20"/>
          <w:position w:val="7"/>
          <w:sz w:val="11"/>
        </w:rPr>
        <w:t>er</w:t>
      </w:r>
      <w:r>
        <w:rPr>
          <w:color w:val="231F20"/>
        </w:rPr>
        <w:t>, 5°, n’est pas applicable si la société publie un rapport financier semestriel </w:t>
      </w:r>
      <w:r>
        <w:rPr>
          <w:color w:val="231F20"/>
          <w:spacing w:val="6"/>
        </w:rPr>
        <w:t>visé </w:t>
      </w:r>
      <w:r>
        <w:rPr>
          <w:color w:val="231F20"/>
        </w:rPr>
        <w:t>à l’article 13 de l’arrêté royal du 14 novem-  bre 2007 relatif aux obligations des émetteurs d’instruments financiers admis à la négociation sur un marché réglementé et le met, conformé- ment</w:t>
      </w:r>
      <w:r>
        <w:rPr>
          <w:color w:val="231F20"/>
          <w:spacing w:val="15"/>
        </w:rPr>
        <w:t> </w:t>
      </w:r>
      <w:r>
        <w:rPr>
          <w:color w:val="231F20"/>
        </w:rPr>
        <w:t>au</w:t>
      </w:r>
      <w:r>
        <w:rPr>
          <w:color w:val="231F20"/>
          <w:spacing w:val="15"/>
        </w:rPr>
        <w:t> </w:t>
      </w:r>
      <w:r>
        <w:rPr>
          <w:color w:val="231F20"/>
        </w:rPr>
        <w:t>présent</w:t>
      </w:r>
      <w:r>
        <w:rPr>
          <w:color w:val="231F20"/>
          <w:spacing w:val="15"/>
        </w:rPr>
        <w:t> </w:t>
      </w:r>
      <w:r>
        <w:rPr>
          <w:color w:val="231F20"/>
        </w:rPr>
        <w:t>paragraphe,</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disposition</w:t>
      </w:r>
      <w:r>
        <w:rPr>
          <w:color w:val="231F20"/>
          <w:spacing w:val="15"/>
        </w:rPr>
        <w:t> </w:t>
      </w:r>
      <w:r>
        <w:rPr>
          <w:color w:val="231F20"/>
        </w:rPr>
        <w:t>des</w:t>
      </w:r>
      <w:r>
        <w:rPr>
          <w:color w:val="231F20"/>
          <w:spacing w:val="15"/>
        </w:rPr>
        <w:t> </w:t>
      </w:r>
      <w:r>
        <w:rPr>
          <w:color w:val="231F20"/>
        </w:rPr>
        <w:t>actionnaires.</w:t>
      </w:r>
    </w:p>
    <w:p>
      <w:pPr>
        <w:pStyle w:val="BodyText"/>
        <w:ind w:left="0" w:right="0" w:firstLine="0"/>
        <w:jc w:val="left"/>
        <w:rPr>
          <w:sz w:val="20"/>
        </w:rPr>
      </w:pPr>
    </w:p>
    <w:p>
      <w:pPr>
        <w:pStyle w:val="BodyText"/>
        <w:spacing w:before="1"/>
        <w:ind w:left="0" w:right="0" w:firstLine="0"/>
        <w:jc w:val="left"/>
        <w:rPr>
          <w:sz w:val="18"/>
        </w:rPr>
      </w:pPr>
    </w:p>
    <w:p>
      <w:pPr>
        <w:pStyle w:val="BodyText"/>
        <w:spacing w:line="218" w:lineRule="auto"/>
        <w:ind w:right="38"/>
      </w:pPr>
      <w:r>
        <w:rPr>
          <w:color w:val="231F20"/>
        </w:rPr>
        <w:t>L’alinéa 1</w:t>
      </w:r>
      <w:r>
        <w:rPr>
          <w:color w:val="231F20"/>
          <w:position w:val="7"/>
          <w:sz w:val="11"/>
        </w:rPr>
        <w:t>er</w:t>
      </w:r>
      <w:r>
        <w:rPr>
          <w:color w:val="231F20"/>
        </w:rPr>
        <w:t>, 5°, n’est pas applicable si tous les associés ou</w:t>
      </w:r>
      <w:r>
        <w:rPr>
          <w:color w:val="231F20"/>
          <w:spacing w:val="-26"/>
        </w:rPr>
        <w:t> </w:t>
      </w:r>
      <w:r>
        <w:rPr>
          <w:color w:val="231F20"/>
        </w:rPr>
        <w:t>actionnaires et titulaires d’autres titres conférant le droit de vote de chacune des sociétés</w:t>
      </w:r>
      <w:r>
        <w:rPr>
          <w:color w:val="231F20"/>
          <w:spacing w:val="14"/>
        </w:rPr>
        <w:t> </w:t>
      </w:r>
      <w:r>
        <w:rPr>
          <w:color w:val="231F20"/>
        </w:rPr>
        <w:t>participant</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fusion</w:t>
      </w:r>
      <w:r>
        <w:rPr>
          <w:color w:val="231F20"/>
          <w:spacing w:val="15"/>
        </w:rPr>
        <w:t> </w:t>
      </w:r>
      <w:r>
        <w:rPr>
          <w:color w:val="231F20"/>
        </w:rPr>
        <w:t>en</w:t>
      </w:r>
      <w:r>
        <w:rPr>
          <w:color w:val="231F20"/>
          <w:spacing w:val="15"/>
        </w:rPr>
        <w:t> </w:t>
      </w:r>
      <w:r>
        <w:rPr>
          <w:color w:val="231F20"/>
        </w:rPr>
        <w:t>ont</w:t>
      </w:r>
      <w:r>
        <w:rPr>
          <w:color w:val="231F20"/>
          <w:spacing w:val="15"/>
        </w:rPr>
        <w:t> </w:t>
      </w:r>
      <w:r>
        <w:rPr>
          <w:color w:val="231F20"/>
        </w:rPr>
        <w:t>décidé</w:t>
      </w:r>
      <w:r>
        <w:rPr>
          <w:color w:val="231F20"/>
          <w:spacing w:val="14"/>
        </w:rPr>
        <w:t> </w:t>
      </w:r>
      <w:r>
        <w:rPr>
          <w:color w:val="231F20"/>
        </w:rPr>
        <w:t>ainsi.</w:t>
      </w:r>
    </w:p>
    <w:p>
      <w:pPr>
        <w:pStyle w:val="BodyText"/>
        <w:spacing w:line="213" w:lineRule="auto" w:before="99"/>
        <w:ind w:right="38"/>
      </w:pPr>
      <w:r>
        <w:rPr>
          <w:color w:val="231F20"/>
        </w:rPr>
        <w:t>§ 3. Tout associé ou actionnaire peut obtenir sans frais et sur simple demande une copie intégrale ou, s’il le désire, partielle, des documents visés au paragraphe 2, à l’exception de ceux qui lui ont été transmis en application du paragraphe 1</w:t>
      </w:r>
      <w:r>
        <w:rPr>
          <w:color w:val="231F20"/>
          <w:position w:val="7"/>
          <w:sz w:val="11"/>
        </w:rPr>
        <w:t>er</w:t>
      </w:r>
      <w:r>
        <w:rPr>
          <w:color w:val="231F20"/>
        </w:rPr>
        <w:t>.</w:t>
      </w:r>
    </w:p>
    <w:p>
      <w:pPr>
        <w:pStyle w:val="BodyText"/>
        <w:spacing w:line="218" w:lineRule="auto" w:before="94"/>
        <w:ind w:right="38"/>
      </w:pPr>
      <w:r>
        <w:rPr>
          <w:color w:val="231F20"/>
        </w:rPr>
        <w:t>§ 4. Lorsqu’une société met gratuitement à disposition sur le site internet de la société les documents visés au paragraphe 2 pendant une période ininterrompue d’un mois commençant avant la date</w:t>
      </w:r>
      <w:r>
        <w:rPr>
          <w:color w:val="231F20"/>
          <w:spacing w:val="28"/>
        </w:rPr>
        <w:t> </w:t>
      </w:r>
      <w:r>
        <w:rPr>
          <w:color w:val="231F20"/>
        </w:rPr>
        <w:t>de l’assemblée générale des sociétés qui fusionnent appelée à se prononcer sur le projet de fusion, ou, dans le cas </w:t>
      </w:r>
      <w:r>
        <w:rPr>
          <w:color w:val="231F20"/>
          <w:spacing w:val="3"/>
        </w:rPr>
        <w:t>visé </w:t>
      </w:r>
      <w:r>
        <w:rPr>
          <w:color w:val="231F20"/>
        </w:rPr>
        <w:t>à l’article 12:116, § 2, avant  la date à laquelle la fusion prend effet, et ne s’achevant pas avant la fin de cette assemblée, ou, dans le cas </w:t>
      </w:r>
      <w:r>
        <w:rPr>
          <w:color w:val="231F20"/>
          <w:spacing w:val="4"/>
        </w:rPr>
        <w:t>visé </w:t>
      </w:r>
      <w:r>
        <w:rPr>
          <w:color w:val="231F20"/>
        </w:rPr>
        <w:t>à l’article 12:116, § 2, avant la date à laquelle la fusion prend effet, elle ne doit pas mettre à</w:t>
      </w:r>
      <w:r>
        <w:rPr>
          <w:color w:val="231F20"/>
          <w:spacing w:val="-21"/>
        </w:rPr>
        <w:t> </w:t>
      </w:r>
      <w:r>
        <w:rPr>
          <w:color w:val="231F20"/>
        </w:rPr>
        <w:t>disposition les</w:t>
      </w:r>
      <w:r>
        <w:rPr>
          <w:color w:val="231F20"/>
          <w:spacing w:val="15"/>
        </w:rPr>
        <w:t> </w:t>
      </w:r>
      <w:r>
        <w:rPr>
          <w:color w:val="231F20"/>
        </w:rPr>
        <w:t>documents</w:t>
      </w:r>
      <w:r>
        <w:rPr>
          <w:color w:val="231F20"/>
          <w:spacing w:val="16"/>
        </w:rPr>
        <w:t> </w:t>
      </w:r>
      <w:r>
        <w:rPr>
          <w:color w:val="231F20"/>
        </w:rPr>
        <w:t>visés</w:t>
      </w:r>
      <w:r>
        <w:rPr>
          <w:color w:val="231F20"/>
          <w:spacing w:val="15"/>
        </w:rPr>
        <w:t> </w:t>
      </w:r>
      <w:r>
        <w:rPr>
          <w:color w:val="231F20"/>
        </w:rPr>
        <w:t>au</w:t>
      </w:r>
      <w:r>
        <w:rPr>
          <w:color w:val="231F20"/>
          <w:spacing w:val="16"/>
        </w:rPr>
        <w:t> </w:t>
      </w:r>
      <w:r>
        <w:rPr>
          <w:color w:val="231F20"/>
        </w:rPr>
        <w:t>paragraphe</w:t>
      </w:r>
      <w:r>
        <w:rPr>
          <w:color w:val="231F20"/>
          <w:spacing w:val="16"/>
        </w:rPr>
        <w:t> </w:t>
      </w:r>
      <w:r>
        <w:rPr>
          <w:color w:val="231F20"/>
        </w:rPr>
        <w:t>2</w:t>
      </w:r>
      <w:r>
        <w:rPr>
          <w:color w:val="231F20"/>
          <w:spacing w:val="15"/>
        </w:rPr>
        <w:t> </w:t>
      </w:r>
      <w:r>
        <w:rPr>
          <w:color w:val="231F20"/>
        </w:rPr>
        <w:t>à</w:t>
      </w:r>
      <w:r>
        <w:rPr>
          <w:color w:val="231F20"/>
          <w:spacing w:val="16"/>
        </w:rPr>
        <w:t> </w:t>
      </w:r>
      <w:r>
        <w:rPr>
          <w:color w:val="231F20"/>
        </w:rPr>
        <w:t>son</w:t>
      </w:r>
      <w:r>
        <w:rPr>
          <w:color w:val="231F20"/>
          <w:spacing w:val="15"/>
        </w:rPr>
        <w:t> </w:t>
      </w:r>
      <w:r>
        <w:rPr>
          <w:color w:val="231F20"/>
        </w:rPr>
        <w:t>siège.</w:t>
      </w:r>
    </w:p>
    <w:p>
      <w:pPr>
        <w:pStyle w:val="BodyText"/>
        <w:ind w:left="0" w:right="0" w:firstLine="0"/>
        <w:jc w:val="left"/>
        <w:rPr>
          <w:sz w:val="24"/>
        </w:rPr>
      </w:pPr>
    </w:p>
    <w:p>
      <w:pPr>
        <w:pStyle w:val="BodyText"/>
        <w:spacing w:line="218" w:lineRule="auto"/>
        <w:ind w:right="38"/>
      </w:pPr>
      <w:r>
        <w:rPr>
          <w:color w:val="231F20"/>
        </w:rPr>
        <w:t>Le paragraphe 3 n’est pas d’application si le site internet de la société </w:t>
      </w:r>
      <w:r>
        <w:rPr>
          <w:color w:val="231F20"/>
          <w:spacing w:val="-4"/>
        </w:rPr>
        <w:t>offre </w:t>
      </w:r>
      <w:r>
        <w:rPr>
          <w:color w:val="231F20"/>
        </w:rPr>
        <w:t>la possibilité aux associés ou actionnaires, pendant toute la période visée au paragraphe 2, de télécharger et d’imprimer les documents visés au paragraphe 2. Dans ce cas, les informations doivent rester sur le site internet de la société et doivent pouvoir être téléchargées et imprimées jusqu’à au moins un mois après la date de la réunion de l’assemblée générale de chacune des sociétés appelée à se prononcer</w:t>
      </w:r>
      <w:r>
        <w:rPr>
          <w:color w:val="231F20"/>
          <w:spacing w:val="10"/>
        </w:rPr>
        <w:t> </w:t>
      </w:r>
      <w:r>
        <w:rPr>
          <w:color w:val="231F20"/>
        </w:rPr>
        <w:t>sur</w:t>
      </w:r>
      <w:r>
        <w:rPr>
          <w:color w:val="231F20"/>
          <w:spacing w:val="10"/>
        </w:rPr>
        <w:t> </w:t>
      </w:r>
      <w:r>
        <w:rPr>
          <w:color w:val="231F20"/>
        </w:rPr>
        <w:t>le</w:t>
      </w:r>
      <w:r>
        <w:rPr>
          <w:color w:val="231F20"/>
          <w:spacing w:val="10"/>
        </w:rPr>
        <w:t> </w:t>
      </w:r>
      <w:r>
        <w:rPr>
          <w:color w:val="231F20"/>
        </w:rPr>
        <w:t>projet</w:t>
      </w:r>
      <w:r>
        <w:rPr>
          <w:color w:val="231F20"/>
          <w:spacing w:val="11"/>
        </w:rPr>
        <w:t> </w:t>
      </w:r>
      <w:r>
        <w:rPr>
          <w:color w:val="231F20"/>
        </w:rPr>
        <w:t>de</w:t>
      </w:r>
      <w:r>
        <w:rPr>
          <w:color w:val="231F20"/>
          <w:spacing w:val="10"/>
        </w:rPr>
        <w:t> </w:t>
      </w:r>
      <w:r>
        <w:rPr>
          <w:color w:val="231F20"/>
        </w:rPr>
        <w:t>fusion,</w:t>
      </w:r>
      <w:r>
        <w:rPr>
          <w:color w:val="231F20"/>
          <w:spacing w:val="10"/>
        </w:rPr>
        <w:t> </w:t>
      </w:r>
      <w:r>
        <w:rPr>
          <w:color w:val="231F20"/>
        </w:rPr>
        <w:t>ou,</w:t>
      </w:r>
      <w:r>
        <w:rPr>
          <w:color w:val="231F20"/>
          <w:spacing w:val="10"/>
        </w:rPr>
        <w:t> </w:t>
      </w:r>
      <w:r>
        <w:rPr>
          <w:color w:val="231F20"/>
        </w:rPr>
        <w:t>dans</w:t>
      </w:r>
      <w:r>
        <w:rPr>
          <w:color w:val="231F20"/>
          <w:spacing w:val="11"/>
        </w:rPr>
        <w:t> </w:t>
      </w:r>
      <w:r>
        <w:rPr>
          <w:color w:val="231F20"/>
        </w:rPr>
        <w:t>le</w:t>
      </w:r>
      <w:r>
        <w:rPr>
          <w:color w:val="231F20"/>
          <w:spacing w:val="10"/>
        </w:rPr>
        <w:t> </w:t>
      </w:r>
      <w:r>
        <w:rPr>
          <w:color w:val="231F20"/>
        </w:rPr>
        <w:t>cas</w:t>
      </w:r>
      <w:r>
        <w:rPr>
          <w:color w:val="231F20"/>
          <w:spacing w:val="10"/>
        </w:rPr>
        <w:t> </w:t>
      </w:r>
      <w:r>
        <w:rPr>
          <w:color w:val="231F20"/>
          <w:spacing w:val="2"/>
        </w:rPr>
        <w:t>visé</w:t>
      </w:r>
      <w:r>
        <w:rPr>
          <w:color w:val="231F20"/>
          <w:spacing w:val="1"/>
        </w:rPr>
        <w:t> </w:t>
      </w:r>
      <w:r>
        <w:rPr>
          <w:color w:val="231F20"/>
        </w:rPr>
        <w:t>à</w:t>
      </w:r>
      <w:r>
        <w:rPr>
          <w:color w:val="231F20"/>
          <w:spacing w:val="10"/>
        </w:rPr>
        <w:t> </w:t>
      </w:r>
      <w:r>
        <w:rPr>
          <w:color w:val="231F20"/>
        </w:rPr>
        <w:t>l’article</w:t>
      </w:r>
      <w:r>
        <w:rPr>
          <w:color w:val="231F20"/>
          <w:spacing w:val="10"/>
        </w:rPr>
        <w:t> </w:t>
      </w:r>
      <w:r>
        <w:rPr>
          <w:color w:val="231F20"/>
        </w:rPr>
        <w:t>12:116,</w:t>
      </w:r>
    </w:p>
    <w:p>
      <w:pPr>
        <w:pStyle w:val="BodyText"/>
        <w:spacing w:line="218" w:lineRule="auto" w:before="1"/>
        <w:ind w:right="38" w:firstLine="0"/>
      </w:pPr>
      <w:r>
        <w:rPr>
          <w:color w:val="231F20"/>
        </w:rPr>
        <w:t>§ 2, après la date à laquelle la fusion prend effet. Dans ce cas, la société met de surcroît ces documents à disposition à son siège pour consultation par les associés ou actionnaires.</w:t>
      </w:r>
    </w:p>
    <w:p>
      <w:pPr>
        <w:pStyle w:val="BodyText"/>
        <w:spacing w:line="218" w:lineRule="auto" w:before="81"/>
        <w:ind w:right="38"/>
      </w:pPr>
      <w:r>
        <w:rPr>
          <w:color w:val="231F20"/>
        </w:rPr>
        <w:t>Art. 12:116. § 1</w:t>
      </w:r>
      <w:r>
        <w:rPr>
          <w:color w:val="231F20"/>
          <w:position w:val="7"/>
          <w:sz w:val="11"/>
        </w:rPr>
        <w:t>er</w:t>
      </w:r>
      <w:r>
        <w:rPr>
          <w:color w:val="231F20"/>
        </w:rPr>
        <w:t>. Sans préjudice des dispositions particulières énoncées dans le présent article et sous réserve de dispositions statutaires plus rigoureuses, l’assemblée générale décide de la fusion transfrontalière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société</w:t>
      </w:r>
      <w:r>
        <w:rPr>
          <w:color w:val="231F20"/>
          <w:spacing w:val="-4"/>
        </w:rPr>
        <w:t> </w:t>
      </w:r>
      <w:r>
        <w:rPr>
          <w:color w:val="231F20"/>
        </w:rPr>
        <w:t>dans</w:t>
      </w:r>
      <w:r>
        <w:rPr>
          <w:color w:val="231F20"/>
          <w:spacing w:val="-3"/>
        </w:rPr>
        <w:t> </w:t>
      </w:r>
      <w:r>
        <w:rPr>
          <w:color w:val="231F20"/>
        </w:rPr>
        <w:t>le</w:t>
      </w:r>
      <w:r>
        <w:rPr>
          <w:color w:val="231F20"/>
          <w:spacing w:val="-3"/>
        </w:rPr>
        <w:t> </w:t>
      </w:r>
      <w:r>
        <w:rPr>
          <w:color w:val="231F20"/>
        </w:rPr>
        <w:t>respect</w:t>
      </w:r>
      <w:r>
        <w:rPr>
          <w:color w:val="231F20"/>
          <w:spacing w:val="-3"/>
        </w:rPr>
        <w:t> </w:t>
      </w:r>
      <w:r>
        <w:rPr>
          <w:color w:val="231F20"/>
        </w:rPr>
        <w:t>des</w:t>
      </w:r>
      <w:r>
        <w:rPr>
          <w:color w:val="231F20"/>
          <w:spacing w:val="-3"/>
        </w:rPr>
        <w:t> </w:t>
      </w:r>
      <w:r>
        <w:rPr>
          <w:color w:val="231F20"/>
        </w:rPr>
        <w:t>règles</w:t>
      </w:r>
      <w:r>
        <w:rPr>
          <w:color w:val="231F20"/>
          <w:spacing w:val="-3"/>
        </w:rPr>
        <w:t> </w:t>
      </w:r>
      <w:r>
        <w:rPr>
          <w:color w:val="231F20"/>
        </w:rPr>
        <w:t>de</w:t>
      </w:r>
      <w:r>
        <w:rPr>
          <w:color w:val="231F20"/>
          <w:spacing w:val="-3"/>
        </w:rPr>
        <w:t> </w:t>
      </w:r>
      <w:r>
        <w:rPr>
          <w:color w:val="231F20"/>
        </w:rPr>
        <w:t>présence</w:t>
      </w:r>
      <w:r>
        <w:rPr>
          <w:color w:val="231F20"/>
          <w:spacing w:val="-3"/>
        </w:rPr>
        <w:t> </w:t>
      </w:r>
      <w:r>
        <w:rPr>
          <w:color w:val="231F20"/>
        </w:rPr>
        <w:t>et</w:t>
      </w:r>
      <w:r>
        <w:rPr>
          <w:color w:val="231F20"/>
          <w:spacing w:val="-3"/>
        </w:rPr>
        <w:t> </w:t>
      </w:r>
      <w:r>
        <w:rPr>
          <w:color w:val="231F20"/>
        </w:rPr>
        <w:t>de majorité</w:t>
      </w:r>
      <w:r>
        <w:rPr>
          <w:color w:val="231F20"/>
          <w:spacing w:val="14"/>
        </w:rPr>
        <w:t> </w:t>
      </w:r>
      <w:r>
        <w:rPr>
          <w:color w:val="231F20"/>
        </w:rPr>
        <w:t>suivantes:</w:t>
      </w:r>
    </w:p>
    <w:p>
      <w:pPr>
        <w:pStyle w:val="BodyText"/>
        <w:spacing w:line="218" w:lineRule="auto" w:before="96"/>
        <w:ind w:right="38"/>
      </w:pPr>
      <w:r>
        <w:rPr>
          <w:color w:val="231F20"/>
        </w:rPr>
        <w:t>1° ceux qui assistent ou sont représentés à la réunion doivent représenter la moitié au moins du capital, ou, si la société ne dispose pas d’un capital, la moitié du nombre total des actions ou parts émises. Si cette condition n’est pas remplie, une nouvelle convocation sera nécessaire. La deuxième assemblée pourra valablement délibérer et statuer, quel que soit le nombre d’actions ou parts présentes ou représentées;</w:t>
      </w:r>
    </w:p>
    <w:p>
      <w:pPr>
        <w:pStyle w:val="BodyText"/>
        <w:spacing w:line="218" w:lineRule="auto" w:before="94"/>
        <w:ind w:right="38"/>
      </w:pPr>
      <w:r>
        <w:rPr>
          <w:color w:val="231F20"/>
        </w:rPr>
        <w:t>2° </w:t>
      </w:r>
      <w:r>
        <w:rPr>
          <w:rFonts w:ascii="Times New Roman" w:hAnsi="Times New Roman"/>
          <w:i/>
          <w:color w:val="231F20"/>
        </w:rPr>
        <w:t>a) </w:t>
      </w:r>
      <w:r>
        <w:rPr>
          <w:color w:val="231F20"/>
        </w:rPr>
        <w:t>une proposition de fusion transfrontalière n’est acceptée que si elle réunit les trois quarts des voix, sans qu’il soit tenu compte des abstentions au numérateur ou au dénominateur;</w:t>
      </w:r>
    </w:p>
    <w:p>
      <w:pPr>
        <w:pStyle w:val="BodyText"/>
        <w:spacing w:line="218" w:lineRule="auto" w:before="119"/>
      </w:pPr>
      <w:r>
        <w:rPr/>
        <w:br w:type="column"/>
      </w:r>
      <w:r>
        <w:rPr>
          <w:color w:val="231F20"/>
        </w:rPr>
        <w:t>§ 2. Iedere vennoot of aandeelhouder heeft tevens het recht uiterlijk een maand vóór de datum van de algemene vergadering die over het fusievoorstel moet besluiten, op de zetel van de vennootschap kennis te nemen van de volgende stukken:</w:t>
      </w:r>
    </w:p>
    <w:p>
      <w:pPr>
        <w:pStyle w:val="BodyText"/>
        <w:spacing w:before="72"/>
        <w:ind w:left="283" w:right="0" w:firstLine="0"/>
        <w:jc w:val="left"/>
      </w:pPr>
      <w:r>
        <w:rPr>
          <w:color w:val="231F20"/>
        </w:rPr>
        <w:t>1° het grensoverschrijdend fusievoorstel;</w:t>
      </w:r>
    </w:p>
    <w:p>
      <w:pPr>
        <w:pStyle w:val="BodyText"/>
        <w:spacing w:before="68"/>
        <w:ind w:left="283" w:right="0" w:firstLine="0"/>
        <w:jc w:val="left"/>
      </w:pPr>
      <w:r>
        <w:rPr>
          <w:color w:val="231F20"/>
        </w:rPr>
        <w:t>2° de in de artikelen 12:113 en 12:114 bedoelde verslagen;</w:t>
      </w:r>
    </w:p>
    <w:p>
      <w:pPr>
        <w:pStyle w:val="BodyText"/>
        <w:spacing w:line="218" w:lineRule="auto" w:before="82"/>
      </w:pPr>
      <w:r>
        <w:rPr>
          <w:color w:val="231F20"/>
        </w:rPr>
        <w:t>3° de jaarrekeningen over de laatste drie boekjaren van elke bij de fusie betrokken vennootschap;</w:t>
      </w:r>
    </w:p>
    <w:p>
      <w:pPr>
        <w:pStyle w:val="BodyText"/>
        <w:spacing w:line="218" w:lineRule="auto" w:before="85"/>
      </w:pPr>
      <w:r>
        <w:rPr>
          <w:color w:val="231F20"/>
        </w:rPr>
        <w:t>4° wat de besloten vennootschappen, de coöperatieve vennootschap- pen, de naamloze vennootschappen, en de Europese vennootschappen betreft, de verslagen van het bestuursorgaan, en de verslagen van de commissaris over de laatste drie boekjaren, als er één is;</w:t>
      </w:r>
    </w:p>
    <w:p>
      <w:pPr>
        <w:pStyle w:val="BodyText"/>
        <w:spacing w:line="218" w:lineRule="auto" w:before="86"/>
      </w:pPr>
      <w:r>
        <w:rPr>
          <w:color w:val="231F20"/>
        </w:rPr>
        <w:t>5° in voorkomend geval, indien de laatste jaarrekening betrekking heeft op een boekjaar dat meer dan zes maanden vóór de datum van het fusievoorstel is afgesloten: tussentijdse cijfers over de stand van het vermogen die niet meer dan drie maanden vóór de datum van dat voorstel zijn afgesloten en die overeenkomstig het tweede tot het vierde lid zijn opgesteld.</w:t>
      </w:r>
    </w:p>
    <w:p>
      <w:pPr>
        <w:pStyle w:val="BodyText"/>
        <w:spacing w:line="218" w:lineRule="auto" w:before="86"/>
      </w:pPr>
      <w:r>
        <w:rPr>
          <w:color w:val="231F20"/>
        </w:rPr>
        <w:t>Deze tussentijdse cijfers worden opgemaakt volgens dezelfde metho- den en dezelfde opstelling als de laatste jaarrekening.</w:t>
      </w:r>
    </w:p>
    <w:p>
      <w:pPr>
        <w:pStyle w:val="BodyText"/>
        <w:spacing w:before="82"/>
        <w:ind w:left="283" w:right="0" w:firstLine="0"/>
        <w:jc w:val="left"/>
      </w:pPr>
      <w:r>
        <w:rPr>
          <w:color w:val="231F20"/>
        </w:rPr>
        <w:t>Een nieuwe inventaris moet echter niet worden opgemaakt.</w:t>
      </w:r>
    </w:p>
    <w:p>
      <w:pPr>
        <w:pStyle w:val="BodyText"/>
        <w:spacing w:line="218" w:lineRule="auto" w:before="93"/>
        <w:ind w:right="123"/>
      </w:pPr>
      <w:r>
        <w:rPr>
          <w:color w:val="231F20"/>
        </w:rPr>
        <w:t>De wijzigingen van de in de laatste balans voorkomende waarderin- gen kunnen worden beperkt tot de wijzigingen die voortvloeien uit de verrichte boekingen. Er moet echter rekening worden gehouden met tussentijdse afschrijvingen en voorzieningen, evenals met belangrijke wijzigingen van de waarden die niet uit de boeken blijken.</w:t>
      </w:r>
    </w:p>
    <w:p>
      <w:pPr>
        <w:pStyle w:val="BodyText"/>
        <w:spacing w:line="218" w:lineRule="auto" w:before="96"/>
        <w:ind w:right="123"/>
      </w:pPr>
      <w:r>
        <w:rPr>
          <w:color w:val="231F20"/>
        </w:rPr>
        <w:t>Het eerste lid, 5°, is niet van toepassing indien de vennootschap een halfjaarlijks financieel verslag als bedoeld in artikel 13 van het koninklijk besluit van 14 november 2007 betreffende de verplichtingen van emittenten van financiële instrumenten die zijn toegelaten tot de verhandeling op een gereglementeerde markt bekendmaakt, en dit overeenkomstig deze paragraaf aan de aandeelhouders beschikbaar stelt.</w:t>
      </w:r>
    </w:p>
    <w:p>
      <w:pPr>
        <w:pStyle w:val="BodyText"/>
        <w:spacing w:line="218" w:lineRule="auto" w:before="97"/>
        <w:ind w:right="123"/>
      </w:pPr>
      <w:r>
        <w:rPr>
          <w:color w:val="231F20"/>
        </w:rPr>
        <w:t>Het eerste lid, 5°, is niet van toepassing indien alle vennoten of aandeelhouders en houders van andere stemrechtverlenende effecten in elke bij de fusie betrokken vennootschap hiermee hebben</w:t>
      </w:r>
      <w:r>
        <w:rPr>
          <w:color w:val="231F20"/>
          <w:spacing w:val="9"/>
        </w:rPr>
        <w:t> </w:t>
      </w:r>
      <w:r>
        <w:rPr>
          <w:color w:val="231F20"/>
        </w:rPr>
        <w:t>ingestemd.</w:t>
      </w:r>
    </w:p>
    <w:p>
      <w:pPr>
        <w:pStyle w:val="BodyText"/>
        <w:spacing w:line="218" w:lineRule="auto" w:before="96"/>
      </w:pPr>
      <w:r>
        <w:rPr>
          <w:color w:val="231F20"/>
        </w:rPr>
        <w:t>§ 3. Iedere vennoot of aandeelhouder kan op zijn verzoek kosteloos een volledige of desgewenst gedeeltelijke kopie verkrijgen van de in paragraaf 2 bedoelde stukken, met uitzondering van diegene die hem overeenkomstig paragraaf 1 zijn toegezonden.</w:t>
      </w:r>
    </w:p>
    <w:p>
      <w:pPr>
        <w:pStyle w:val="BodyText"/>
        <w:spacing w:line="218" w:lineRule="auto" w:before="96"/>
      </w:pPr>
      <w:r>
        <w:rPr>
          <w:color w:val="231F20"/>
        </w:rPr>
        <w:t>§ 4. </w:t>
      </w:r>
      <w:r>
        <w:rPr>
          <w:color w:val="231F20"/>
          <w:spacing w:val="-3"/>
        </w:rPr>
        <w:t>Wanneer </w:t>
      </w:r>
      <w:r>
        <w:rPr>
          <w:color w:val="231F20"/>
        </w:rPr>
        <w:t>een vennootschap de in paragraaf 2 bedoelde stukken, gedurende een ononderbroken periode van een maand vóór de datum van de algemene vergadering van de fuserende vennootschappen die over het fusievoorstel moet besluiten of, in het  geval  bedoeld  in  artikel 12:116, § 2, de datum waarop de fusie van kracht wordt, en die niet eerder eindigt dan op het ogenblik van de sluiting van die vergadering, of, in het geval bedoeld in artikel 12:116, § 2, de datum waarop de fusie van kracht wordt, kosteloos op de vennootschapsweb- site beschikbaar stelt, moet zij de in paragraaf 2 bedoelde stukken niet op haar zetel beschikbaar</w:t>
      </w:r>
      <w:r>
        <w:rPr>
          <w:color w:val="231F20"/>
          <w:spacing w:val="18"/>
        </w:rPr>
        <w:t> </w:t>
      </w:r>
      <w:r>
        <w:rPr>
          <w:color w:val="231F20"/>
        </w:rPr>
        <w:t>stellen.</w:t>
      </w:r>
    </w:p>
    <w:p>
      <w:pPr>
        <w:pStyle w:val="BodyText"/>
        <w:spacing w:line="218" w:lineRule="auto" w:before="97"/>
        <w:ind w:right="123"/>
      </w:pPr>
      <w:r>
        <w:rPr>
          <w:color w:val="231F20"/>
          <w:spacing w:val="-3"/>
        </w:rPr>
        <w:t>Wanneer </w:t>
      </w:r>
      <w:r>
        <w:rPr>
          <w:color w:val="231F20"/>
        </w:rPr>
        <w:t>de vennootschapswebsite aan de vennoten of aandeelhou- ders gedurende de gehele in paragraaf 2 bedoelde periode de mogelijkheid biedt de in paragraaf 2 bedoelde stukken te downloaden en af te drukken, is paragraaf 3 niet van toepassing. In dit geval moet de informatie ten minste tot één maand na de datum van de algemene vergadering van elk van de vennootschappen die over het fusievoorstel moet besluiten, of, in het geval bedoeld in artikel 12:116, § 2, de datum waarop de fusie van kracht wordt, op de vennootschapswebsite blijven staan en kunnen worden gedownload en afgedrukt. Bovendien stelt de vennootschap deze stukken in dit geval eveneens ter beschikking op haar</w:t>
      </w:r>
      <w:r>
        <w:rPr>
          <w:color w:val="231F20"/>
          <w:spacing w:val="20"/>
        </w:rPr>
        <w:t> </w:t>
      </w:r>
      <w:r>
        <w:rPr>
          <w:color w:val="231F20"/>
        </w:rPr>
        <w:t>zetel</w:t>
      </w:r>
      <w:r>
        <w:rPr>
          <w:color w:val="231F20"/>
          <w:spacing w:val="20"/>
        </w:rPr>
        <w:t> </w:t>
      </w:r>
      <w:r>
        <w:rPr>
          <w:color w:val="231F20"/>
        </w:rPr>
        <w:t>voor</w:t>
      </w:r>
      <w:r>
        <w:rPr>
          <w:color w:val="231F20"/>
          <w:spacing w:val="21"/>
        </w:rPr>
        <w:t> </w:t>
      </w:r>
      <w:r>
        <w:rPr>
          <w:color w:val="231F20"/>
        </w:rPr>
        <w:t>raadpleging</w:t>
      </w:r>
      <w:r>
        <w:rPr>
          <w:color w:val="231F20"/>
          <w:spacing w:val="20"/>
        </w:rPr>
        <w:t> </w:t>
      </w:r>
      <w:r>
        <w:rPr>
          <w:color w:val="231F20"/>
        </w:rPr>
        <w:t>door</w:t>
      </w:r>
      <w:r>
        <w:rPr>
          <w:color w:val="231F20"/>
          <w:spacing w:val="20"/>
        </w:rPr>
        <w:t> </w:t>
      </w:r>
      <w:r>
        <w:rPr>
          <w:color w:val="231F20"/>
        </w:rPr>
        <w:t>de</w:t>
      </w:r>
      <w:r>
        <w:rPr>
          <w:color w:val="231F20"/>
          <w:spacing w:val="21"/>
        </w:rPr>
        <w:t> </w:t>
      </w:r>
      <w:r>
        <w:rPr>
          <w:color w:val="231F20"/>
        </w:rPr>
        <w:t>vennoten</w:t>
      </w:r>
      <w:r>
        <w:rPr>
          <w:color w:val="231F20"/>
          <w:spacing w:val="20"/>
        </w:rPr>
        <w:t> </w:t>
      </w:r>
      <w:r>
        <w:rPr>
          <w:color w:val="231F20"/>
        </w:rPr>
        <w:t>of</w:t>
      </w:r>
      <w:r>
        <w:rPr>
          <w:color w:val="231F20"/>
          <w:spacing w:val="20"/>
        </w:rPr>
        <w:t> </w:t>
      </w:r>
      <w:r>
        <w:rPr>
          <w:color w:val="231F20"/>
        </w:rPr>
        <w:t>aandeelhouders.</w:t>
      </w:r>
    </w:p>
    <w:p>
      <w:pPr>
        <w:pStyle w:val="BodyText"/>
        <w:spacing w:line="218" w:lineRule="auto" w:before="97"/>
      </w:pPr>
      <w:r>
        <w:rPr>
          <w:color w:val="231F20"/>
        </w:rPr>
        <w:t>Art. 12:116. § 1. Onder voorbehoud van strengere statutaire bepalin- gen en onverminderd de bijzondere bepalingen van dit artikel, besluit de algemene vergadering tot grensoverschrijdende fusie van</w:t>
      </w:r>
      <w:r>
        <w:rPr>
          <w:color w:val="231F20"/>
          <w:spacing w:val="35"/>
        </w:rPr>
        <w:t> </w:t>
      </w:r>
      <w:r>
        <w:rPr>
          <w:color w:val="231F20"/>
        </w:rPr>
        <w:t>een vennootschap overeenkomstig de volgende regels  van  aanwezigheid  en</w:t>
      </w:r>
      <w:r>
        <w:rPr>
          <w:color w:val="231F20"/>
          <w:spacing w:val="14"/>
        </w:rPr>
        <w:t> </w:t>
      </w:r>
      <w:r>
        <w:rPr>
          <w:color w:val="231F20"/>
        </w:rPr>
        <w:t>meerderheid:</w:t>
      </w:r>
    </w:p>
    <w:p>
      <w:pPr>
        <w:pStyle w:val="BodyText"/>
        <w:spacing w:line="218" w:lineRule="auto" w:before="96"/>
      </w:pPr>
      <w:r>
        <w:rPr>
          <w:color w:val="231F20"/>
        </w:rPr>
        <w:t>1° de aanwezigen of vertegenwoordigden moeten ten minste de helft van het kapitaal, of, als de vennootschap geen kapitaal heeft, de helft van het totaal aantal uitgegeven aandelen vertegenwoordigen. Is deze voorwaarde niet vervuld, dan is een nieuwe bijeenroeping nodig. De tweede vergadering kan geldig beraadslagen en besluiten, ongeacht het aantal aanwezige of vertegenwoordigde aandelen;</w:t>
      </w:r>
    </w:p>
    <w:p>
      <w:pPr>
        <w:pStyle w:val="BodyText"/>
        <w:spacing w:before="8"/>
        <w:ind w:left="0" w:right="0" w:firstLine="0"/>
        <w:jc w:val="left"/>
        <w:rPr>
          <w:sz w:val="23"/>
        </w:rPr>
      </w:pPr>
    </w:p>
    <w:p>
      <w:pPr>
        <w:pStyle w:val="BodyText"/>
        <w:spacing w:line="218" w:lineRule="auto"/>
      </w:pPr>
      <w:r>
        <w:rPr>
          <w:color w:val="231F20"/>
        </w:rPr>
        <w:t>2° </w:t>
      </w:r>
      <w:r>
        <w:rPr>
          <w:rFonts w:ascii="Times New Roman" w:hAnsi="Times New Roman"/>
          <w:i/>
          <w:color w:val="231F20"/>
        </w:rPr>
        <w:t>a) </w:t>
      </w:r>
      <w:r>
        <w:rPr>
          <w:color w:val="231F20"/>
        </w:rPr>
        <w:t>een voorstel tot grensoverschrijdende fusie is alleen dan aangenomen, wanneer het drie vierde van de stemmen heeft verkregen, waarbij de onthoudingen in de teller noch in de noemer worden meegerekend;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7"/>
        <w:ind w:right="38"/>
      </w:pPr>
      <w:r>
        <w:rPr/>
        <w:pict>
          <v:line style="position:absolute;mso-position-horizontal-relative:page;mso-position-vertical-relative:page;z-index:7168" from="298.170502pt,64.473pt" to="298.170502pt,812.819pt" stroked="true" strokeweight=".533pt" strokecolor="#231f20">
            <v:stroke dashstyle="solid"/>
            <w10:wrap type="none"/>
          </v:line>
        </w:pict>
      </w:r>
      <w:bookmarkStart w:name="_bookmark256" w:id="262"/>
      <w:bookmarkEnd w:id="262"/>
      <w:r>
        <w:rPr/>
      </w:r>
      <w:r>
        <w:rPr>
          <w:rFonts w:ascii="Times New Roman" w:hAnsi="Times New Roman"/>
          <w:i/>
          <w:color w:val="231F20"/>
        </w:rPr>
        <w:t>b) </w:t>
      </w:r>
      <w:r>
        <w:rPr>
          <w:color w:val="231F20"/>
        </w:rPr>
        <w:t>dans la société en commandite et dans la société coopérative, le droit de vote des associés et des actionnaires est proportionnel à leur part dans l’avoir social et le quorum de présence se calcule par rapport à l’avoir</w:t>
      </w:r>
      <w:r>
        <w:rPr>
          <w:color w:val="231F20"/>
          <w:spacing w:val="-11"/>
        </w:rPr>
        <w:t> </w:t>
      </w:r>
      <w:r>
        <w:rPr>
          <w:color w:val="231F20"/>
        </w:rPr>
        <w:t>social.</w:t>
      </w:r>
    </w:p>
    <w:p>
      <w:pPr>
        <w:pStyle w:val="BodyText"/>
        <w:spacing w:line="218" w:lineRule="auto" w:before="107"/>
        <w:ind w:right="38"/>
      </w:pPr>
      <w:r>
        <w:rPr>
          <w:color w:val="231F20"/>
        </w:rPr>
        <w:t>Par dérogation à l’alinéa précédent, l’approbation par l’assemblée générale de la société reprise n’est pas requise pour l’opération assimilée à la fusion par absorption.</w:t>
      </w:r>
    </w:p>
    <w:p>
      <w:pPr>
        <w:pStyle w:val="BodyText"/>
        <w:spacing w:line="218" w:lineRule="auto" w:before="107"/>
        <w:ind w:right="38"/>
      </w:pPr>
      <w:r>
        <w:rPr>
          <w:color w:val="231F20"/>
        </w:rPr>
        <w:t>§ 2. Lorsqu’une société absorbante ayant la forme légale d’une société à responsabilité limitée, d’une société coopérative, d’une société anonyme,  d’une  société  européenne  ou  d’une   société   coopéra-   tive européenne détient au moins 90 % mais pas la totalité des actions, parts et autres titres conférant le droit de vote dans la société absorbée, l’approbation par l’assemblée générale de la société absorbante de la fusion et de la modification du nombre d’actions de la société absorbante, et, le cas échéant, de son capital, par suite de cette fusion n’est pas requise dans la mesure où les conditions suivantes sont remplies:</w:t>
      </w:r>
    </w:p>
    <w:p>
      <w:pPr>
        <w:pStyle w:val="BodyText"/>
        <w:spacing w:line="218" w:lineRule="auto" w:before="107"/>
        <w:ind w:right="38"/>
      </w:pPr>
      <w:r>
        <w:rPr>
          <w:color w:val="231F20"/>
        </w:rPr>
        <w:t>1° le dépôt du projet de fusion visé à l’article 12:112 est effectué, pour la société absorbante, au plus tard six semaines avant sa décision de fusion;</w:t>
      </w:r>
    </w:p>
    <w:p>
      <w:pPr>
        <w:pStyle w:val="BodyText"/>
        <w:spacing w:line="218" w:lineRule="auto" w:before="107"/>
        <w:ind w:right="38"/>
      </w:pPr>
      <w:r>
        <w:rPr>
          <w:color w:val="231F20"/>
        </w:rPr>
        <w:t>2° sans préjudice des exceptions visées à l’article 12:115, chaque associé ou actionnaire de la société absorbante a le droit, un mois au moins avant la date précitée au 1°, de prendre connaissance des documents mentionnés à l’article 12:115, § 2, au siège de la société.</w:t>
      </w:r>
    </w:p>
    <w:p>
      <w:pPr>
        <w:pStyle w:val="BodyText"/>
        <w:spacing w:before="10"/>
        <w:ind w:left="0" w:right="0" w:firstLine="0"/>
        <w:jc w:val="left"/>
        <w:rPr>
          <w:sz w:val="24"/>
        </w:rPr>
      </w:pPr>
    </w:p>
    <w:p>
      <w:pPr>
        <w:pStyle w:val="BodyText"/>
        <w:spacing w:line="218" w:lineRule="auto"/>
        <w:ind w:right="38"/>
      </w:pPr>
      <w:r>
        <w:rPr>
          <w:color w:val="231F20"/>
        </w:rPr>
        <w:t>Un ou plusieurs actionnaires de la société absorbante qui détiennent 5 % des actions émises ou qui, dans une société anonyme ou une  société européenne, représentent 5 % du capital souscrit ont</w:t>
      </w:r>
      <w:r>
        <w:rPr>
          <w:color w:val="231F20"/>
          <w:spacing w:val="-14"/>
        </w:rPr>
        <w:t> </w:t>
      </w:r>
      <w:r>
        <w:rPr>
          <w:color w:val="231F20"/>
        </w:rPr>
        <w:t>néanmoins le droit d’obtenir la convocation de l’assemblée générale de cette société appelée à se prononcer sur le projet de fusion. Les actions sans droit de vote ne sont pas prises en considération dans le calcul de ce pourcentage.</w:t>
      </w:r>
    </w:p>
    <w:p>
      <w:pPr>
        <w:pStyle w:val="BodyText"/>
        <w:spacing w:line="216" w:lineRule="auto" w:before="94"/>
        <w:ind w:right="38"/>
      </w:pPr>
      <w:r>
        <w:rPr>
          <w:color w:val="231F20"/>
        </w:rPr>
        <w:t>Dans les cas mentionnés au paragraphe 1</w:t>
      </w:r>
      <w:r>
        <w:rPr>
          <w:color w:val="231F20"/>
          <w:position w:val="7"/>
          <w:sz w:val="11"/>
        </w:rPr>
        <w:t>er</w:t>
      </w:r>
      <w:r>
        <w:rPr>
          <w:color w:val="231F20"/>
        </w:rPr>
        <w:t>, alinéa 2, et paragraphe 2, alinéa 1</w:t>
      </w:r>
      <w:r>
        <w:rPr>
          <w:color w:val="231F20"/>
          <w:position w:val="7"/>
          <w:sz w:val="11"/>
        </w:rPr>
        <w:t>er</w:t>
      </w:r>
      <w:r>
        <w:rPr>
          <w:color w:val="231F20"/>
        </w:rPr>
        <w:t>, l’organe d’administration de la société absorbée se prononce sur l’approbation de la fusion et, si d’application, sur la modification du nombre d’actions de la société absorbante, et, le cas échéant, de son capital, par suite de la fusion. Les articles 7:198 à 7:203 ne sont pas applicables à une telle décision.</w:t>
      </w:r>
    </w:p>
    <w:p>
      <w:pPr>
        <w:pStyle w:val="BodyText"/>
        <w:spacing w:before="2"/>
        <w:ind w:left="0" w:right="0" w:firstLine="0"/>
        <w:jc w:val="left"/>
        <w:rPr>
          <w:sz w:val="23"/>
        </w:rPr>
      </w:pPr>
    </w:p>
    <w:p>
      <w:pPr>
        <w:pStyle w:val="BodyText"/>
        <w:ind w:left="283" w:right="0" w:firstLine="0"/>
        <w:jc w:val="left"/>
      </w:pPr>
      <w:r>
        <w:rPr>
          <w:color w:val="231F20"/>
        </w:rPr>
        <w:t>§ 3. L’article 7:179 n’est pas applicable.</w:t>
      </w:r>
    </w:p>
    <w:p>
      <w:pPr>
        <w:pStyle w:val="BodyText"/>
        <w:spacing w:line="218" w:lineRule="auto" w:before="104"/>
        <w:ind w:right="38"/>
      </w:pPr>
      <w:r>
        <w:rPr>
          <w:color w:val="231F20"/>
        </w:rPr>
        <w:t>§ 4. S’il existe plusieurs classes d’actions, parts ou titres, représenta- tifs ou non du capital exprimé dans les statuts, et si la fusion transfrontalière entraîne une modification de leurs droits</w:t>
      </w:r>
      <w:r>
        <w:rPr>
          <w:color w:val="231F20"/>
          <w:spacing w:val="28"/>
        </w:rPr>
        <w:t> </w:t>
      </w:r>
      <w:r>
        <w:rPr>
          <w:color w:val="231F20"/>
        </w:rPr>
        <w:t>respectifs, l’article</w:t>
      </w:r>
      <w:r>
        <w:rPr>
          <w:color w:val="231F20"/>
          <w:spacing w:val="-5"/>
        </w:rPr>
        <w:t> </w:t>
      </w:r>
      <w:r>
        <w:rPr>
          <w:color w:val="231F20"/>
        </w:rPr>
        <w:t>5:102,</w:t>
      </w:r>
      <w:r>
        <w:rPr>
          <w:color w:val="231F20"/>
          <w:spacing w:val="-4"/>
        </w:rPr>
        <w:t> </w:t>
      </w:r>
      <w:r>
        <w:rPr>
          <w:color w:val="231F20"/>
        </w:rPr>
        <w:t>alinéa</w:t>
      </w:r>
      <w:r>
        <w:rPr>
          <w:color w:val="231F20"/>
          <w:spacing w:val="-5"/>
        </w:rPr>
        <w:t> </w:t>
      </w:r>
      <w:r>
        <w:rPr>
          <w:color w:val="231F20"/>
        </w:rPr>
        <w:t>3,</w:t>
      </w:r>
      <w:r>
        <w:rPr>
          <w:color w:val="231F20"/>
          <w:spacing w:val="-4"/>
        </w:rPr>
        <w:t> </w:t>
      </w:r>
      <w:r>
        <w:rPr>
          <w:color w:val="231F20"/>
        </w:rPr>
        <w:t>l’article</w:t>
      </w:r>
      <w:r>
        <w:rPr>
          <w:color w:val="231F20"/>
          <w:spacing w:val="-4"/>
        </w:rPr>
        <w:t> </w:t>
      </w:r>
      <w:r>
        <w:rPr>
          <w:color w:val="231F20"/>
        </w:rPr>
        <w:t>6:87,</w:t>
      </w:r>
      <w:r>
        <w:rPr>
          <w:color w:val="231F20"/>
          <w:spacing w:val="-5"/>
        </w:rPr>
        <w:t> </w:t>
      </w:r>
      <w:r>
        <w:rPr>
          <w:color w:val="231F20"/>
        </w:rPr>
        <w:t>alinéa</w:t>
      </w:r>
      <w:r>
        <w:rPr>
          <w:color w:val="231F20"/>
          <w:spacing w:val="-4"/>
        </w:rPr>
        <w:t> </w:t>
      </w:r>
      <w:r>
        <w:rPr>
          <w:color w:val="231F20"/>
        </w:rPr>
        <w:t>3,</w:t>
      </w:r>
      <w:r>
        <w:rPr>
          <w:color w:val="231F20"/>
          <w:spacing w:val="-5"/>
        </w:rPr>
        <w:t> </w:t>
      </w:r>
      <w:r>
        <w:rPr>
          <w:color w:val="231F20"/>
        </w:rPr>
        <w:t>ou</w:t>
      </w:r>
      <w:r>
        <w:rPr>
          <w:color w:val="231F20"/>
          <w:spacing w:val="-4"/>
        </w:rPr>
        <w:t> </w:t>
      </w:r>
      <w:r>
        <w:rPr>
          <w:color w:val="231F20"/>
        </w:rPr>
        <w:t>l’article</w:t>
      </w:r>
      <w:r>
        <w:rPr>
          <w:color w:val="231F20"/>
          <w:spacing w:val="-4"/>
        </w:rPr>
        <w:t> </w:t>
      </w:r>
      <w:r>
        <w:rPr>
          <w:color w:val="231F20"/>
        </w:rPr>
        <w:t>7:155,</w:t>
      </w:r>
      <w:r>
        <w:rPr>
          <w:color w:val="231F20"/>
          <w:spacing w:val="-5"/>
        </w:rPr>
        <w:t> </w:t>
      </w:r>
      <w:r>
        <w:rPr>
          <w:color w:val="231F20"/>
        </w:rPr>
        <w:t>alinéa</w:t>
      </w:r>
      <w:r>
        <w:rPr>
          <w:color w:val="231F20"/>
          <w:spacing w:val="-4"/>
        </w:rPr>
        <w:t> </w:t>
      </w:r>
      <w:r>
        <w:rPr>
          <w:color w:val="231F20"/>
        </w:rPr>
        <w:t>3, s’applique par</w:t>
      </w:r>
      <w:r>
        <w:rPr>
          <w:color w:val="231F20"/>
          <w:spacing w:val="-11"/>
        </w:rPr>
        <w:t> </w:t>
      </w:r>
      <w:r>
        <w:rPr>
          <w:color w:val="231F20"/>
        </w:rPr>
        <w:t>analogie.</w:t>
      </w:r>
    </w:p>
    <w:p>
      <w:pPr>
        <w:pStyle w:val="BodyText"/>
        <w:spacing w:before="93"/>
        <w:ind w:left="283" w:right="0" w:firstLine="0"/>
        <w:jc w:val="left"/>
      </w:pPr>
      <w:r>
        <w:rPr>
          <w:color w:val="231F20"/>
        </w:rPr>
        <w:t>§ 5. L’accord de tous les associés ou actionnaires est requis:</w:t>
      </w:r>
    </w:p>
    <w:p>
      <w:pPr>
        <w:pStyle w:val="BodyText"/>
        <w:spacing w:line="218" w:lineRule="auto" w:before="103"/>
        <w:ind w:right="38"/>
      </w:pPr>
      <w:r>
        <w:rPr>
          <w:color w:val="231F20"/>
        </w:rPr>
        <w:t>1°</w:t>
      </w:r>
      <w:r>
        <w:rPr>
          <w:color w:val="231F20"/>
          <w:spacing w:val="-3"/>
        </w:rPr>
        <w:t> </w:t>
      </w:r>
      <w:r>
        <w:rPr>
          <w:color w:val="231F20"/>
        </w:rPr>
        <w:t>dans</w:t>
      </w:r>
      <w:r>
        <w:rPr>
          <w:color w:val="231F20"/>
          <w:spacing w:val="-3"/>
        </w:rPr>
        <w:t> </w:t>
      </w:r>
      <w:r>
        <w:rPr>
          <w:color w:val="231F20"/>
        </w:rPr>
        <w:t>les</w:t>
      </w:r>
      <w:r>
        <w:rPr>
          <w:color w:val="231F20"/>
          <w:spacing w:val="-3"/>
        </w:rPr>
        <w:t> </w:t>
      </w:r>
      <w:r>
        <w:rPr>
          <w:color w:val="231F20"/>
        </w:rPr>
        <w:t>sociétés</w:t>
      </w:r>
      <w:r>
        <w:rPr>
          <w:color w:val="231F20"/>
          <w:spacing w:val="-3"/>
        </w:rPr>
        <w:t> </w:t>
      </w:r>
      <w:r>
        <w:rPr>
          <w:color w:val="231F20"/>
        </w:rPr>
        <w:t>absorbantes</w:t>
      </w:r>
      <w:r>
        <w:rPr>
          <w:color w:val="231F20"/>
          <w:spacing w:val="-2"/>
        </w:rPr>
        <w:t> </w:t>
      </w:r>
      <w:r>
        <w:rPr>
          <w:color w:val="231F20"/>
        </w:rPr>
        <w:t>ou</w:t>
      </w:r>
      <w:r>
        <w:rPr>
          <w:color w:val="231F20"/>
          <w:spacing w:val="-3"/>
        </w:rPr>
        <w:t> </w:t>
      </w:r>
      <w:r>
        <w:rPr>
          <w:color w:val="231F20"/>
        </w:rPr>
        <w:t>à</w:t>
      </w:r>
      <w:r>
        <w:rPr>
          <w:color w:val="231F20"/>
          <w:spacing w:val="-3"/>
        </w:rPr>
        <w:t> </w:t>
      </w:r>
      <w:r>
        <w:rPr>
          <w:color w:val="231F20"/>
        </w:rPr>
        <w:t>absorber</w:t>
      </w:r>
      <w:r>
        <w:rPr>
          <w:color w:val="231F20"/>
          <w:spacing w:val="-3"/>
        </w:rPr>
        <w:t> </w:t>
      </w:r>
      <w:r>
        <w:rPr>
          <w:color w:val="231F20"/>
        </w:rPr>
        <w:t>qui</w:t>
      </w:r>
      <w:r>
        <w:rPr>
          <w:color w:val="231F20"/>
          <w:spacing w:val="-3"/>
        </w:rPr>
        <w:t> </w:t>
      </w:r>
      <w:r>
        <w:rPr>
          <w:color w:val="231F20"/>
        </w:rPr>
        <w:t>sont</w:t>
      </w:r>
      <w:r>
        <w:rPr>
          <w:color w:val="231F20"/>
          <w:spacing w:val="-2"/>
        </w:rPr>
        <w:t> </w:t>
      </w:r>
      <w:r>
        <w:rPr>
          <w:color w:val="231F20"/>
        </w:rPr>
        <w:t>des</w:t>
      </w:r>
      <w:r>
        <w:rPr>
          <w:color w:val="231F20"/>
          <w:spacing w:val="-3"/>
        </w:rPr>
        <w:t> </w:t>
      </w:r>
      <w:r>
        <w:rPr>
          <w:color w:val="231F20"/>
        </w:rPr>
        <w:t>sociétés</w:t>
      </w:r>
      <w:r>
        <w:rPr>
          <w:color w:val="231F20"/>
          <w:spacing w:val="-3"/>
        </w:rPr>
        <w:t> </w:t>
      </w:r>
      <w:r>
        <w:rPr>
          <w:color w:val="231F20"/>
        </w:rPr>
        <w:t>en nom</w:t>
      </w:r>
      <w:r>
        <w:rPr>
          <w:color w:val="231F20"/>
          <w:spacing w:val="14"/>
        </w:rPr>
        <w:t> </w:t>
      </w:r>
      <w:r>
        <w:rPr>
          <w:color w:val="231F20"/>
        </w:rPr>
        <w:t>collectif;</w:t>
      </w:r>
    </w:p>
    <w:p>
      <w:pPr>
        <w:pStyle w:val="BodyText"/>
        <w:spacing w:before="93"/>
        <w:ind w:left="283" w:right="0" w:firstLine="0"/>
        <w:jc w:val="left"/>
      </w:pPr>
      <w:r>
        <w:rPr>
          <w:color w:val="231F20"/>
        </w:rPr>
        <w:t>2° dans les sociétés à absorber lorsque la société absorbante est:</w:t>
      </w:r>
    </w:p>
    <w:p>
      <w:pPr>
        <w:pStyle w:val="BodyText"/>
        <w:ind w:left="0" w:right="0" w:firstLine="0"/>
        <w:jc w:val="left"/>
        <w:rPr>
          <w:sz w:val="24"/>
        </w:rPr>
      </w:pPr>
    </w:p>
    <w:p>
      <w:pPr>
        <w:pStyle w:val="ListParagraph"/>
        <w:numPr>
          <w:ilvl w:val="0"/>
          <w:numId w:val="141"/>
        </w:numPr>
        <w:tabs>
          <w:tab w:pos="474" w:val="left" w:leader="none"/>
        </w:tabs>
        <w:spacing w:line="240" w:lineRule="auto" w:before="0" w:after="0"/>
        <w:ind w:left="473" w:right="0" w:hanging="190"/>
        <w:jc w:val="left"/>
        <w:rPr>
          <w:sz w:val="17"/>
        </w:rPr>
      </w:pPr>
      <w:r>
        <w:rPr>
          <w:color w:val="231F20"/>
          <w:sz w:val="17"/>
        </w:rPr>
        <w:t>une société en nom </w:t>
      </w:r>
      <w:r>
        <w:rPr>
          <w:color w:val="231F20"/>
          <w:spacing w:val="3"/>
          <w:sz w:val="17"/>
        </w:rPr>
        <w:t> </w:t>
      </w:r>
      <w:r>
        <w:rPr>
          <w:color w:val="231F20"/>
          <w:sz w:val="17"/>
        </w:rPr>
        <w:t>collectif;</w:t>
      </w:r>
    </w:p>
    <w:p>
      <w:pPr>
        <w:pStyle w:val="ListParagraph"/>
        <w:numPr>
          <w:ilvl w:val="0"/>
          <w:numId w:val="141"/>
        </w:numPr>
        <w:tabs>
          <w:tab w:pos="477" w:val="left" w:leader="none"/>
        </w:tabs>
        <w:spacing w:line="240" w:lineRule="auto" w:before="97" w:after="0"/>
        <w:ind w:left="476" w:right="0" w:hanging="193"/>
        <w:jc w:val="left"/>
        <w:rPr>
          <w:sz w:val="17"/>
        </w:rPr>
      </w:pPr>
      <w:r>
        <w:rPr>
          <w:color w:val="231F20"/>
          <w:sz w:val="17"/>
        </w:rPr>
        <w:t>une société en</w:t>
      </w:r>
      <w:r>
        <w:rPr>
          <w:color w:val="231F20"/>
          <w:spacing w:val="39"/>
          <w:sz w:val="17"/>
        </w:rPr>
        <w:t> </w:t>
      </w:r>
      <w:r>
        <w:rPr>
          <w:color w:val="231F20"/>
          <w:sz w:val="17"/>
        </w:rPr>
        <w:t>commandite.</w:t>
      </w:r>
    </w:p>
    <w:p>
      <w:pPr>
        <w:pStyle w:val="BodyText"/>
        <w:spacing w:line="218" w:lineRule="auto" w:before="99"/>
        <w:ind w:right="38"/>
      </w:pPr>
      <w:r>
        <w:rPr>
          <w:color w:val="231F20"/>
        </w:rPr>
        <w:t>Dans les cas visés à l’alinéa 1</w:t>
      </w:r>
      <w:r>
        <w:rPr>
          <w:color w:val="231F20"/>
          <w:position w:val="7"/>
          <w:sz w:val="11"/>
        </w:rPr>
        <w:t>er</w:t>
      </w:r>
      <w:r>
        <w:rPr>
          <w:color w:val="231F20"/>
        </w:rPr>
        <w:t>, 2°, l’accord unanime des titulaires de titres non représentatifs du capital est, le cas échéant, requis.</w:t>
      </w:r>
    </w:p>
    <w:p>
      <w:pPr>
        <w:pStyle w:val="BodyText"/>
        <w:spacing w:before="9"/>
        <w:ind w:left="0" w:right="0" w:firstLine="0"/>
        <w:jc w:val="left"/>
        <w:rPr>
          <w:sz w:val="25"/>
        </w:rPr>
      </w:pPr>
    </w:p>
    <w:p>
      <w:pPr>
        <w:pStyle w:val="BodyText"/>
        <w:spacing w:line="218" w:lineRule="auto"/>
        <w:ind w:right="38"/>
      </w:pPr>
      <w:r>
        <w:rPr>
          <w:color w:val="231F20"/>
        </w:rPr>
        <w:t>Le consentement d’un associé ou actionnaire d’une société belge dont la responsabilité est ou sera illimitée pour les dettes d’une société participant à la fusion est toujours requis.</w:t>
      </w:r>
    </w:p>
    <w:p>
      <w:pPr>
        <w:pStyle w:val="BodyText"/>
        <w:spacing w:before="9"/>
        <w:ind w:left="0" w:right="0" w:firstLine="0"/>
        <w:jc w:val="left"/>
        <w:rPr>
          <w:sz w:val="25"/>
        </w:rPr>
      </w:pPr>
    </w:p>
    <w:p>
      <w:pPr>
        <w:pStyle w:val="BodyText"/>
        <w:spacing w:line="218" w:lineRule="auto" w:before="1"/>
        <w:ind w:right="38"/>
      </w:pPr>
      <w:r>
        <w:rPr>
          <w:color w:val="231F20"/>
        </w:rPr>
        <w:t>§ 6. Dans la société en commandite, l’accord de tous les associés commandités est en outre requis.</w:t>
      </w:r>
    </w:p>
    <w:p>
      <w:pPr>
        <w:pStyle w:val="BodyText"/>
        <w:spacing w:line="218" w:lineRule="auto" w:before="117"/>
        <w:ind w:right="38"/>
      </w:pPr>
      <w:r>
        <w:rPr>
          <w:color w:val="231F20"/>
        </w:rPr>
        <w:t>§ 7. L’assemblée générale de chacune des sociétés qui fusionnent</w:t>
      </w:r>
      <w:r>
        <w:rPr>
          <w:color w:val="231F20"/>
          <w:spacing w:val="-11"/>
        </w:rPr>
        <w:t> </w:t>
      </w:r>
      <w:r>
        <w:rPr>
          <w:color w:val="231F20"/>
        </w:rPr>
        <w:t>peut subordonner la réalisation de la fusion transfrontalière à la condition qu’elle entérine expressément les modalités décidées pour la participa- tion</w:t>
      </w:r>
      <w:r>
        <w:rPr>
          <w:color w:val="231F20"/>
          <w:spacing w:val="14"/>
        </w:rPr>
        <w:t> </w:t>
      </w:r>
      <w:r>
        <w:rPr>
          <w:color w:val="231F20"/>
        </w:rPr>
        <w:t>des</w:t>
      </w:r>
      <w:r>
        <w:rPr>
          <w:color w:val="231F20"/>
          <w:spacing w:val="15"/>
        </w:rPr>
        <w:t> </w:t>
      </w:r>
      <w:r>
        <w:rPr>
          <w:color w:val="231F20"/>
        </w:rPr>
        <w:t>travailleurs</w:t>
      </w:r>
      <w:r>
        <w:rPr>
          <w:color w:val="231F20"/>
          <w:spacing w:val="14"/>
        </w:rPr>
        <w:t> </w:t>
      </w:r>
      <w:r>
        <w:rPr>
          <w:color w:val="231F20"/>
        </w:rPr>
        <w:t>dans</w:t>
      </w:r>
      <w:r>
        <w:rPr>
          <w:color w:val="231F20"/>
          <w:spacing w:val="15"/>
        </w:rPr>
        <w:t> </w:t>
      </w:r>
      <w:r>
        <w:rPr>
          <w:color w:val="231F20"/>
        </w:rPr>
        <w:t>la</w:t>
      </w:r>
      <w:r>
        <w:rPr>
          <w:color w:val="231F20"/>
          <w:spacing w:val="15"/>
        </w:rPr>
        <w:t> </w:t>
      </w:r>
      <w:r>
        <w:rPr>
          <w:color w:val="231F20"/>
        </w:rPr>
        <w:t>société</w:t>
      </w:r>
      <w:r>
        <w:rPr>
          <w:color w:val="231F20"/>
          <w:spacing w:val="14"/>
        </w:rPr>
        <w:t> </w:t>
      </w:r>
      <w:r>
        <w:rPr>
          <w:color w:val="231F20"/>
        </w:rPr>
        <w:t>issue</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rPr>
        <w:t>fusion</w:t>
      </w:r>
      <w:r>
        <w:rPr>
          <w:color w:val="231F20"/>
          <w:spacing w:val="15"/>
        </w:rPr>
        <w:t> </w:t>
      </w:r>
      <w:r>
        <w:rPr>
          <w:color w:val="231F20"/>
        </w:rPr>
        <w:t>transfrontalière.</w:t>
      </w:r>
    </w:p>
    <w:p>
      <w:pPr>
        <w:pStyle w:val="BodyText"/>
        <w:ind w:left="0" w:right="0" w:firstLine="0"/>
        <w:jc w:val="left"/>
        <w:rPr>
          <w:sz w:val="20"/>
        </w:rPr>
      </w:pPr>
    </w:p>
    <w:p>
      <w:pPr>
        <w:pStyle w:val="BodyText"/>
        <w:spacing w:before="3"/>
        <w:ind w:left="0" w:right="0" w:firstLine="0"/>
        <w:jc w:val="left"/>
        <w:rPr>
          <w:sz w:val="21"/>
        </w:rPr>
      </w:pPr>
    </w:p>
    <w:p>
      <w:pPr>
        <w:pStyle w:val="BodyText"/>
        <w:spacing w:line="218" w:lineRule="auto" w:before="1"/>
        <w:ind w:right="38"/>
      </w:pPr>
      <w:r>
        <w:rPr>
          <w:color w:val="231F20"/>
        </w:rPr>
        <w:t>§ 8. Immédiatement après la décision de fusion transfrontalière, les modifications éventuelles des statuts de la société absorbante, y compris les dispositions qui modifieraient son objet, sont arrêtées aux conditions de présence et de majorité requises par le présent</w:t>
      </w:r>
      <w:r>
        <w:rPr>
          <w:color w:val="231F20"/>
          <w:spacing w:val="30"/>
        </w:rPr>
        <w:t> </w:t>
      </w:r>
      <w:r>
        <w:rPr>
          <w:color w:val="231F20"/>
        </w:rPr>
        <w:t>code. Aussi longtemps que cette modification des statuts n’est pas interve- nue,</w:t>
      </w:r>
      <w:r>
        <w:rPr>
          <w:color w:val="231F20"/>
          <w:spacing w:val="13"/>
        </w:rPr>
        <w:t> </w:t>
      </w:r>
      <w:r>
        <w:rPr>
          <w:color w:val="231F20"/>
        </w:rPr>
        <w:t>la</w:t>
      </w:r>
      <w:r>
        <w:rPr>
          <w:color w:val="231F20"/>
          <w:spacing w:val="13"/>
        </w:rPr>
        <w:t> </w:t>
      </w:r>
      <w:r>
        <w:rPr>
          <w:color w:val="231F20"/>
        </w:rPr>
        <w:t>décision</w:t>
      </w:r>
      <w:r>
        <w:rPr>
          <w:color w:val="231F20"/>
          <w:spacing w:val="14"/>
        </w:rPr>
        <w:t> </w:t>
      </w:r>
      <w:r>
        <w:rPr>
          <w:color w:val="231F20"/>
        </w:rPr>
        <w:t>de</w:t>
      </w:r>
      <w:r>
        <w:rPr>
          <w:color w:val="231F20"/>
          <w:spacing w:val="13"/>
        </w:rPr>
        <w:t> </w:t>
      </w:r>
      <w:r>
        <w:rPr>
          <w:color w:val="231F20"/>
        </w:rPr>
        <w:t>fusion</w:t>
      </w:r>
      <w:r>
        <w:rPr>
          <w:color w:val="231F20"/>
          <w:spacing w:val="14"/>
        </w:rPr>
        <w:t> </w:t>
      </w:r>
      <w:r>
        <w:rPr>
          <w:color w:val="231F20"/>
        </w:rPr>
        <w:t>transfrontalière</w:t>
      </w:r>
      <w:r>
        <w:rPr>
          <w:color w:val="231F20"/>
          <w:spacing w:val="13"/>
        </w:rPr>
        <w:t> </w:t>
      </w:r>
      <w:r>
        <w:rPr>
          <w:color w:val="231F20"/>
        </w:rPr>
        <w:t>reste</w:t>
      </w:r>
      <w:r>
        <w:rPr>
          <w:color w:val="231F20"/>
          <w:spacing w:val="13"/>
        </w:rPr>
        <w:t> </w:t>
      </w:r>
      <w:r>
        <w:rPr>
          <w:color w:val="231F20"/>
        </w:rPr>
        <w:t>sans</w:t>
      </w:r>
      <w:r>
        <w:rPr>
          <w:color w:val="231F20"/>
          <w:spacing w:val="14"/>
        </w:rPr>
        <w:t> </w:t>
      </w:r>
      <w:r>
        <w:rPr>
          <w:color w:val="231F20"/>
        </w:rPr>
        <w:t>effet.</w:t>
      </w:r>
    </w:p>
    <w:p>
      <w:pPr>
        <w:pStyle w:val="BodyText"/>
        <w:spacing w:line="218" w:lineRule="auto" w:before="117"/>
      </w:pPr>
      <w:r>
        <w:rPr/>
        <w:br w:type="column"/>
      </w:r>
      <w:r>
        <w:rPr>
          <w:rFonts w:ascii="Times New Roman" w:hAnsi="Times New Roman"/>
          <w:i/>
          <w:color w:val="231F20"/>
        </w:rPr>
        <w:t>b) </w:t>
      </w:r>
      <w:r>
        <w:rPr>
          <w:color w:val="231F20"/>
        </w:rPr>
        <w:t>in de commanditaire en in de coöperatieve vennootschap is het stemrecht van de vennoten en de aandeelhouders evenredig aan hun aandeel in het vennootschapsvermogen en wordt het aanwezigheids- quorum berekend naar verhouding van dat vermogen.</w:t>
      </w:r>
    </w:p>
    <w:p>
      <w:pPr>
        <w:pStyle w:val="BodyText"/>
        <w:spacing w:line="218" w:lineRule="auto" w:before="107"/>
      </w:pPr>
      <w:r>
        <w:rPr>
          <w:color w:val="231F20"/>
        </w:rPr>
        <w:t>In afwijking van het vorige lid, is de goedkeuring door de algemene vergadering van de overgenomen vennootschap niet vereist voor  de met fusie door overneming gelijkgestelde verrichting.</w:t>
      </w:r>
    </w:p>
    <w:p>
      <w:pPr>
        <w:pStyle w:val="BodyText"/>
        <w:spacing w:line="218" w:lineRule="auto" w:before="107"/>
      </w:pPr>
      <w:r>
        <w:rPr>
          <w:color w:val="231F20"/>
        </w:rPr>
        <w:t>§ 2. </w:t>
      </w:r>
      <w:r>
        <w:rPr>
          <w:color w:val="231F20"/>
          <w:spacing w:val="-3"/>
        </w:rPr>
        <w:t>Wanneer </w:t>
      </w:r>
      <w:r>
        <w:rPr>
          <w:color w:val="231F20"/>
        </w:rPr>
        <w:t>een overnemende vennootschap die de rechtsvorm heeft van een besloten vennootschap, van een coöperatieve vennoot- schap, van een naamloze vennootschap, van een Europese vennoot- schap of van een Europese coöperatieve vennootschap ten minste 90 % maar niet alle aandelen en andere stemrechtverlenende effecten in de overgenomen vennootschap houdt, moet de algemene vergadering van de overnemende vennootschap de fusie en de wijziging van het aantal aandelen van de overnemende vennootschap, en, in  voorkomend  geval, haar kapitaal, ten gevolge van deze fusie niet goedkeuren in zoverre</w:t>
      </w:r>
      <w:r>
        <w:rPr>
          <w:color w:val="231F20"/>
          <w:spacing w:val="17"/>
        </w:rPr>
        <w:t> </w:t>
      </w:r>
      <w:r>
        <w:rPr>
          <w:color w:val="231F20"/>
        </w:rPr>
        <w:t>aan</w:t>
      </w:r>
      <w:r>
        <w:rPr>
          <w:color w:val="231F20"/>
          <w:spacing w:val="17"/>
        </w:rPr>
        <w:t> </w:t>
      </w:r>
      <w:r>
        <w:rPr>
          <w:color w:val="231F20"/>
        </w:rPr>
        <w:t>de</w:t>
      </w:r>
      <w:r>
        <w:rPr>
          <w:color w:val="231F20"/>
          <w:spacing w:val="18"/>
        </w:rPr>
        <w:t> </w:t>
      </w:r>
      <w:r>
        <w:rPr>
          <w:color w:val="231F20"/>
        </w:rPr>
        <w:t>volgende</w:t>
      </w:r>
      <w:r>
        <w:rPr>
          <w:color w:val="231F20"/>
          <w:spacing w:val="17"/>
        </w:rPr>
        <w:t> </w:t>
      </w:r>
      <w:r>
        <w:rPr>
          <w:color w:val="231F20"/>
        </w:rPr>
        <w:t>voorwaarden</w:t>
      </w:r>
      <w:r>
        <w:rPr>
          <w:color w:val="231F20"/>
          <w:spacing w:val="17"/>
        </w:rPr>
        <w:t> </w:t>
      </w:r>
      <w:r>
        <w:rPr>
          <w:color w:val="231F20"/>
        </w:rPr>
        <w:t>is</w:t>
      </w:r>
      <w:r>
        <w:rPr>
          <w:color w:val="231F20"/>
          <w:spacing w:val="18"/>
        </w:rPr>
        <w:t> </w:t>
      </w:r>
      <w:r>
        <w:rPr>
          <w:color w:val="231F20"/>
        </w:rPr>
        <w:t>voldaan:</w:t>
      </w:r>
    </w:p>
    <w:p>
      <w:pPr>
        <w:pStyle w:val="BodyText"/>
        <w:spacing w:line="218" w:lineRule="auto" w:before="107"/>
      </w:pPr>
      <w:r>
        <w:rPr>
          <w:color w:val="231F20"/>
          <w:spacing w:val="3"/>
        </w:rPr>
        <w:t>1°</w:t>
      </w:r>
      <w:r>
        <w:rPr>
          <w:color w:val="231F20"/>
          <w:spacing w:val="47"/>
        </w:rPr>
        <w:t> </w:t>
      </w:r>
      <w:r>
        <w:rPr>
          <w:color w:val="231F20"/>
          <w:spacing w:val="3"/>
        </w:rPr>
        <w:t>de  </w:t>
      </w:r>
      <w:r>
        <w:rPr>
          <w:color w:val="231F20"/>
          <w:spacing w:val="5"/>
        </w:rPr>
        <w:t>neerlegging   </w:t>
      </w:r>
      <w:r>
        <w:rPr>
          <w:color w:val="231F20"/>
          <w:spacing w:val="4"/>
        </w:rPr>
        <w:t>van   het   </w:t>
      </w:r>
      <w:r>
        <w:rPr>
          <w:color w:val="231F20"/>
          <w:spacing w:val="5"/>
        </w:rPr>
        <w:t>fusievoorstel   bedoeld   </w:t>
      </w:r>
      <w:r>
        <w:rPr>
          <w:color w:val="231F20"/>
          <w:spacing w:val="3"/>
        </w:rPr>
        <w:t>in   </w:t>
      </w:r>
      <w:r>
        <w:rPr>
          <w:color w:val="231F20"/>
          <w:spacing w:val="6"/>
        </w:rPr>
        <w:t>arti- </w:t>
      </w:r>
      <w:r>
        <w:rPr>
          <w:color w:val="231F20"/>
        </w:rPr>
        <w:t>kel 12:112 gebeurt voor de overnemende vennootschap uiterlijk zes weken</w:t>
      </w:r>
      <w:r>
        <w:rPr>
          <w:color w:val="231F20"/>
          <w:spacing w:val="15"/>
        </w:rPr>
        <w:t> </w:t>
      </w:r>
      <w:r>
        <w:rPr>
          <w:color w:val="231F20"/>
        </w:rPr>
        <w:t>vóór</w:t>
      </w:r>
      <w:r>
        <w:rPr>
          <w:color w:val="231F20"/>
          <w:spacing w:val="15"/>
        </w:rPr>
        <w:t> </w:t>
      </w:r>
      <w:r>
        <w:rPr>
          <w:color w:val="231F20"/>
        </w:rPr>
        <w:t>haar</w:t>
      </w:r>
      <w:r>
        <w:rPr>
          <w:color w:val="231F20"/>
          <w:spacing w:val="15"/>
        </w:rPr>
        <w:t> </w:t>
      </w:r>
      <w:r>
        <w:rPr>
          <w:color w:val="231F20"/>
        </w:rPr>
        <w:t>besluit</w:t>
      </w:r>
      <w:r>
        <w:rPr>
          <w:color w:val="231F20"/>
          <w:spacing w:val="16"/>
        </w:rPr>
        <w:t> </w:t>
      </w:r>
      <w:r>
        <w:rPr>
          <w:color w:val="231F20"/>
        </w:rPr>
        <w:t>tot</w:t>
      </w:r>
      <w:r>
        <w:rPr>
          <w:color w:val="231F20"/>
          <w:spacing w:val="15"/>
        </w:rPr>
        <w:t> </w:t>
      </w:r>
      <w:r>
        <w:rPr>
          <w:color w:val="231F20"/>
        </w:rPr>
        <w:t>fusie;</w:t>
      </w:r>
    </w:p>
    <w:p>
      <w:pPr>
        <w:pStyle w:val="BodyText"/>
        <w:spacing w:line="218" w:lineRule="auto" w:before="107"/>
      </w:pPr>
      <w:r>
        <w:rPr>
          <w:color w:val="231F20"/>
        </w:rPr>
        <w:t>2° onverminderd de in artikel 12:115 bepaalde uitzonderingen, heeft iedere vennoot of aandeelhouder van de overnemende vennootschap het recht ten minste een maand vóór de in 1° genoemde datum, op de zetel van de vennootschap kennis te nemen van de in artikel 12:115,</w:t>
      </w:r>
    </w:p>
    <w:p>
      <w:pPr>
        <w:pStyle w:val="BodyText"/>
        <w:spacing w:line="180" w:lineRule="exact"/>
        <w:ind w:right="0" w:firstLine="0"/>
        <w:jc w:val="left"/>
      </w:pPr>
      <w:r>
        <w:rPr>
          <w:color w:val="231F20"/>
        </w:rPr>
        <w:t>§ 2, vermelde stukken.</w:t>
      </w:r>
    </w:p>
    <w:p>
      <w:pPr>
        <w:pStyle w:val="BodyText"/>
        <w:spacing w:line="218" w:lineRule="auto" w:before="103"/>
      </w:pPr>
      <w:r>
        <w:rPr>
          <w:color w:val="231F20"/>
        </w:rPr>
        <w:t>Eén of meer aandeelhouders van de overnemende vennootschap die 5 % van het aantal uitgegeven aandelen bezitten of, in een naamloze vennootschap of Europese vennootschap, die 5 % van het geplaatste kapitaal vertegenwoordigen, hebben niettemin het recht om de alge- mene vergadering van deze vennootschap bijeen te roepen, die over het fusievoorstel moet besluiten. Aandelen zonder stemrecht worden bij de berekening</w:t>
      </w:r>
      <w:r>
        <w:rPr>
          <w:color w:val="231F20"/>
          <w:spacing w:val="16"/>
        </w:rPr>
        <w:t> </w:t>
      </w:r>
      <w:r>
        <w:rPr>
          <w:color w:val="231F20"/>
        </w:rPr>
        <w:t>van</w:t>
      </w:r>
      <w:r>
        <w:rPr>
          <w:color w:val="231F20"/>
          <w:spacing w:val="17"/>
        </w:rPr>
        <w:t> </w:t>
      </w:r>
      <w:r>
        <w:rPr>
          <w:color w:val="231F20"/>
        </w:rPr>
        <w:t>dit</w:t>
      </w:r>
      <w:r>
        <w:rPr>
          <w:color w:val="231F20"/>
          <w:spacing w:val="17"/>
        </w:rPr>
        <w:t> </w:t>
      </w:r>
      <w:r>
        <w:rPr>
          <w:color w:val="231F20"/>
        </w:rPr>
        <w:t>percentage</w:t>
      </w:r>
      <w:r>
        <w:rPr>
          <w:color w:val="231F20"/>
          <w:spacing w:val="17"/>
        </w:rPr>
        <w:t> </w:t>
      </w:r>
      <w:r>
        <w:rPr>
          <w:color w:val="231F20"/>
        </w:rPr>
        <w:t>buiten</w:t>
      </w:r>
      <w:r>
        <w:rPr>
          <w:color w:val="231F20"/>
          <w:spacing w:val="17"/>
        </w:rPr>
        <w:t> </w:t>
      </w:r>
      <w:r>
        <w:rPr>
          <w:color w:val="231F20"/>
        </w:rPr>
        <w:t>beschouwing</w:t>
      </w:r>
      <w:r>
        <w:rPr>
          <w:color w:val="231F20"/>
          <w:spacing w:val="17"/>
        </w:rPr>
        <w:t> </w:t>
      </w:r>
      <w:r>
        <w:rPr>
          <w:color w:val="231F20"/>
        </w:rPr>
        <w:t>gelaten.</w:t>
      </w:r>
    </w:p>
    <w:p>
      <w:pPr>
        <w:pStyle w:val="BodyText"/>
        <w:spacing w:line="218" w:lineRule="auto" w:before="107"/>
      </w:pPr>
      <w:r>
        <w:rPr>
          <w:color w:val="231F20"/>
        </w:rPr>
        <w:t>In de gevallen vermeld in paragraaf 1, tweede lid, en paragraaf 2, eerste lid, beslist het bestuursorgaan van de overgenomen vennoot- schap over de goedkeuring van de fusie en, indien van toepassing, de wijziging van het aantal aandelen van de overnemende vennootschap, en in voorkomend geval, haar kapitaal, ten gevolge van de fusie. De artikelen 7:198 tot en met 7:203 zijn niet van toepassing op dergelijk besluit.</w:t>
      </w:r>
    </w:p>
    <w:p>
      <w:pPr>
        <w:pStyle w:val="BodyText"/>
        <w:spacing w:before="94"/>
        <w:ind w:left="283" w:right="0" w:firstLine="0"/>
        <w:jc w:val="left"/>
      </w:pPr>
      <w:r>
        <w:rPr>
          <w:color w:val="231F20"/>
        </w:rPr>
        <w:t>§ 3. Artikel 7:179 is niet van toepassing.</w:t>
      </w:r>
    </w:p>
    <w:p>
      <w:pPr>
        <w:pStyle w:val="BodyText"/>
        <w:spacing w:line="218" w:lineRule="auto" w:before="103"/>
        <w:ind w:right="123"/>
      </w:pPr>
      <w:r>
        <w:rPr>
          <w:color w:val="231F20"/>
        </w:rPr>
        <w:t>§ 4. Indien er verschillende soorten aandelen of effecten bestaan die het in de statuten vastgestelde kapitaal al of niet vertegenwoordigen en de grensoverschrijdende fusie aanleiding geeft tot wijziging van hun respectieve rechten, is artikel 5:102, derde lid, artikel 6:87, derde lid, of artikel 7:155, derde lid, van overeenkomstige toepassing.</w:t>
      </w:r>
    </w:p>
    <w:p>
      <w:pPr>
        <w:pStyle w:val="BodyText"/>
        <w:spacing w:line="280" w:lineRule="atLeast" w:before="6"/>
        <w:ind w:left="283" w:right="280" w:firstLine="0"/>
        <w:jc w:val="left"/>
      </w:pPr>
      <w:r>
        <w:rPr>
          <w:color w:val="231F20"/>
        </w:rPr>
        <w:t>§ 5. De instemming van alle vennoten of aandeelhouders is vereist:  1° in de overnemende of over te nemen vennootschappen</w:t>
      </w:r>
      <w:r>
        <w:rPr>
          <w:color w:val="231F20"/>
          <w:spacing w:val="-6"/>
        </w:rPr>
        <w:t> </w:t>
      </w:r>
      <w:r>
        <w:rPr>
          <w:color w:val="231F20"/>
        </w:rPr>
        <w:t>die</w:t>
      </w:r>
    </w:p>
    <w:p>
      <w:pPr>
        <w:pStyle w:val="BodyText"/>
        <w:spacing w:line="178" w:lineRule="exact"/>
        <w:ind w:right="0" w:firstLine="0"/>
        <w:jc w:val="left"/>
      </w:pPr>
      <w:r>
        <w:rPr>
          <w:color w:val="231F20"/>
        </w:rPr>
        <w:t>vennootschappen onder firma zijn;</w:t>
      </w:r>
    </w:p>
    <w:p>
      <w:pPr>
        <w:pStyle w:val="BodyText"/>
        <w:spacing w:line="218" w:lineRule="auto" w:before="103"/>
      </w:pPr>
      <w:r>
        <w:rPr>
          <w:color w:val="231F20"/>
        </w:rPr>
        <w:t>2° in de over te nemen vennootschappen wanneer de overnemende vennootschap de rechtsvorm heeft aangenomen van:</w:t>
      </w:r>
    </w:p>
    <w:p>
      <w:pPr>
        <w:pStyle w:val="ListParagraph"/>
        <w:numPr>
          <w:ilvl w:val="0"/>
          <w:numId w:val="142"/>
        </w:numPr>
        <w:tabs>
          <w:tab w:pos="473" w:val="left" w:leader="none"/>
        </w:tabs>
        <w:spacing w:line="240" w:lineRule="auto" w:before="101" w:after="0"/>
        <w:ind w:left="472" w:right="0" w:hanging="189"/>
        <w:jc w:val="left"/>
        <w:rPr>
          <w:sz w:val="17"/>
        </w:rPr>
      </w:pPr>
      <w:r>
        <w:rPr>
          <w:color w:val="231F20"/>
          <w:sz w:val="17"/>
        </w:rPr>
        <w:t>een vennootschap onder</w:t>
      </w:r>
      <w:r>
        <w:rPr>
          <w:color w:val="231F20"/>
          <w:spacing w:val="3"/>
          <w:sz w:val="17"/>
        </w:rPr>
        <w:t> </w:t>
      </w:r>
      <w:r>
        <w:rPr>
          <w:color w:val="231F20"/>
          <w:sz w:val="17"/>
        </w:rPr>
        <w:t>firma;</w:t>
      </w:r>
    </w:p>
    <w:p>
      <w:pPr>
        <w:pStyle w:val="ListParagraph"/>
        <w:numPr>
          <w:ilvl w:val="0"/>
          <w:numId w:val="142"/>
        </w:numPr>
        <w:tabs>
          <w:tab w:pos="477" w:val="left" w:leader="none"/>
        </w:tabs>
        <w:spacing w:line="240" w:lineRule="auto" w:before="97" w:after="0"/>
        <w:ind w:left="476" w:right="0" w:hanging="193"/>
        <w:jc w:val="left"/>
        <w:rPr>
          <w:sz w:val="17"/>
        </w:rPr>
      </w:pPr>
      <w:r>
        <w:rPr>
          <w:color w:val="231F20"/>
          <w:sz w:val="17"/>
        </w:rPr>
        <w:t>een commanditaire</w:t>
      </w:r>
      <w:r>
        <w:rPr>
          <w:color w:val="231F20"/>
          <w:spacing w:val="-11"/>
          <w:sz w:val="17"/>
        </w:rPr>
        <w:t> </w:t>
      </w:r>
      <w:r>
        <w:rPr>
          <w:color w:val="231F20"/>
          <w:sz w:val="17"/>
        </w:rPr>
        <w:t>vennootschap.</w:t>
      </w:r>
    </w:p>
    <w:p>
      <w:pPr>
        <w:pStyle w:val="BodyText"/>
        <w:spacing w:line="218" w:lineRule="auto" w:before="114"/>
      </w:pPr>
      <w:r>
        <w:rPr>
          <w:color w:val="231F20"/>
        </w:rPr>
        <w:t>In de in het eerste lid, 2°, bedoelde gevallen is, in voorkomend geval, de eenparige instemming vereist van de houders van effecten die het kapitaal van de vennootschap niet vertegenwoordigen.</w:t>
      </w:r>
    </w:p>
    <w:p>
      <w:pPr>
        <w:pStyle w:val="BodyText"/>
        <w:spacing w:line="218" w:lineRule="auto" w:before="118"/>
      </w:pPr>
      <w:r>
        <w:rPr>
          <w:color w:val="231F20"/>
        </w:rPr>
        <w:t>De instemming van een vennoot of aandeelhouder van een Belgische vennootschap die onbeperkt aansprakelijk is of zal worden voor de schulden van een vennootschap die deelneemt aan de fusie, is steeds vereist.</w:t>
      </w:r>
    </w:p>
    <w:p>
      <w:pPr>
        <w:pStyle w:val="BodyText"/>
        <w:spacing w:line="218" w:lineRule="auto" w:before="117"/>
      </w:pPr>
      <w:r>
        <w:rPr>
          <w:color w:val="231F20"/>
        </w:rPr>
        <w:t>§ 6. In de commanditaire vennootschap is bovendien de instemming van alle gecommanditeerde vennoten vereist.</w:t>
      </w:r>
    </w:p>
    <w:p>
      <w:pPr>
        <w:pStyle w:val="BodyText"/>
        <w:spacing w:line="218" w:lineRule="auto" w:before="118"/>
        <w:ind w:right="121"/>
      </w:pPr>
      <w:r>
        <w:rPr>
          <w:color w:val="231F20"/>
        </w:rPr>
        <w:t>§ 7. De algemene vergadering van elke fuserende vennootschap kan zich</w:t>
      </w:r>
      <w:r>
        <w:rPr>
          <w:color w:val="231F20"/>
          <w:spacing w:val="-7"/>
        </w:rPr>
        <w:t> </w:t>
      </w:r>
      <w:r>
        <w:rPr>
          <w:color w:val="231F20"/>
        </w:rPr>
        <w:t>het</w:t>
      </w:r>
      <w:r>
        <w:rPr>
          <w:color w:val="231F20"/>
          <w:spacing w:val="-7"/>
        </w:rPr>
        <w:t> </w:t>
      </w:r>
      <w:r>
        <w:rPr>
          <w:color w:val="231F20"/>
        </w:rPr>
        <w:t>recht</w:t>
      </w:r>
      <w:r>
        <w:rPr>
          <w:color w:val="231F20"/>
          <w:spacing w:val="-6"/>
        </w:rPr>
        <w:t> </w:t>
      </w:r>
      <w:r>
        <w:rPr>
          <w:color w:val="231F20"/>
        </w:rPr>
        <w:t>voorbehouden</w:t>
      </w:r>
      <w:r>
        <w:rPr>
          <w:color w:val="231F20"/>
          <w:spacing w:val="-7"/>
        </w:rPr>
        <w:t> </w:t>
      </w:r>
      <w:r>
        <w:rPr>
          <w:color w:val="231F20"/>
        </w:rPr>
        <w:t>de</w:t>
      </w:r>
      <w:r>
        <w:rPr>
          <w:color w:val="231F20"/>
          <w:spacing w:val="-6"/>
        </w:rPr>
        <w:t> </w:t>
      </w:r>
      <w:r>
        <w:rPr>
          <w:color w:val="231F20"/>
        </w:rPr>
        <w:t>totstandkoming</w:t>
      </w:r>
      <w:r>
        <w:rPr>
          <w:color w:val="231F20"/>
          <w:spacing w:val="-7"/>
        </w:rPr>
        <w:t> </w:t>
      </w:r>
      <w:r>
        <w:rPr>
          <w:color w:val="231F20"/>
        </w:rPr>
        <w:t>van</w:t>
      </w:r>
      <w:r>
        <w:rPr>
          <w:color w:val="231F20"/>
          <w:spacing w:val="-6"/>
        </w:rPr>
        <w:t> </w:t>
      </w:r>
      <w:r>
        <w:rPr>
          <w:color w:val="231F20"/>
        </w:rPr>
        <w:t>de</w:t>
      </w:r>
      <w:r>
        <w:rPr>
          <w:color w:val="231F20"/>
          <w:spacing w:val="-7"/>
        </w:rPr>
        <w:t> </w:t>
      </w:r>
      <w:r>
        <w:rPr>
          <w:color w:val="231F20"/>
        </w:rPr>
        <w:t>grensoverschrij- dende fusie afhankelijk te stellen van haar uitdrukkelijke bekrachtiging van de regelingen die met betrekking tot de medezeggenschap van de werknemers in de uit de grensoverschrijdende fusie ontstane vennoot- schap zijn</w:t>
      </w:r>
      <w:r>
        <w:rPr>
          <w:color w:val="231F20"/>
          <w:spacing w:val="-11"/>
        </w:rPr>
        <w:t> </w:t>
      </w:r>
      <w:r>
        <w:rPr>
          <w:color w:val="231F20"/>
        </w:rPr>
        <w:t>vastgesteld.</w:t>
      </w:r>
    </w:p>
    <w:p>
      <w:pPr>
        <w:pStyle w:val="BodyText"/>
        <w:spacing w:line="218" w:lineRule="auto" w:before="117"/>
        <w:ind w:right="123"/>
      </w:pPr>
      <w:r>
        <w:rPr>
          <w:color w:val="231F20"/>
        </w:rPr>
        <w:t>§ 8. Onmiddellijk na het besluit tot grensoverschrijdende fusie worden de eventuele wijzigingen van de statuten van de overnemende vennootschap, met inbegrip van de bepalingen tot wijziging van haar voorwerp, vastgesteld volgens de regels van aanwezigheid en meer- derheid door dit wetboek vereist. Zolang deze statutenwijziging niet heeft plaatsgevonden, blijft het besluit tot grensoverschrijdende fusie zonder gevolg.</w:t>
      </w:r>
    </w:p>
    <w:p>
      <w:pPr>
        <w:spacing w:after="0" w:line="218" w:lineRule="auto"/>
        <w:sectPr>
          <w:pgSz w:w="11940" w:h="16880"/>
          <w:pgMar w:header="666" w:footer="0" w:top="1140" w:bottom="280" w:left="340" w:right="360"/>
          <w:cols w:num="2" w:equalWidth="0">
            <w:col w:w="5527" w:space="100"/>
            <w:col w:w="5613"/>
          </w:cols>
        </w:sectPr>
      </w:pPr>
    </w:p>
    <w:p>
      <w:pPr>
        <w:pStyle w:val="BodyText"/>
        <w:spacing w:line="213" w:lineRule="auto" w:before="120"/>
        <w:ind w:right="88"/>
      </w:pPr>
      <w:r>
        <w:rPr/>
        <w:pict>
          <v:line style="position:absolute;mso-position-horizontal-relative:page;mso-position-vertical-relative:page;z-index:7192" from="298.170502pt,64.473pt" to="298.170502pt,812.819pt" stroked="true" strokeweight=".533pt" strokecolor="#231f20">
            <v:stroke dashstyle="solid"/>
            <w10:wrap type="none"/>
          </v:line>
        </w:pict>
      </w:r>
      <w:bookmarkStart w:name="_bookmark257" w:id="263"/>
      <w:bookmarkEnd w:id="263"/>
      <w:r>
        <w:rPr/>
      </w:r>
      <w:r>
        <w:rPr>
          <w:color w:val="231F20"/>
        </w:rPr>
        <w:t>§ 9</w:t>
      </w:r>
      <w:r>
        <w:rPr>
          <w:rFonts w:ascii="Times New Roman" w:hAnsi="Times New Roman"/>
          <w:b/>
          <w:i/>
          <w:color w:val="231F20"/>
        </w:rPr>
        <w:t>. </w:t>
      </w:r>
      <w:r>
        <w:rPr>
          <w:color w:val="231F20"/>
        </w:rPr>
        <w:t>Dans chaque société participant à la fusion, le procès-verbal de l’assemblée générale, ou, dans les cas visés au paragraphe 1</w:t>
      </w:r>
      <w:r>
        <w:rPr>
          <w:color w:val="231F20"/>
          <w:position w:val="7"/>
          <w:sz w:val="11"/>
        </w:rPr>
        <w:t>er</w:t>
      </w:r>
      <w:r>
        <w:rPr>
          <w:color w:val="231F20"/>
        </w:rPr>
        <w:t>, alinéa 2, et paragraphe 2, alinéa 2, de l’organe d’administration, qui décide la fusion est établi par acte authentique.</w:t>
      </w:r>
    </w:p>
    <w:p>
      <w:pPr>
        <w:pStyle w:val="BodyText"/>
        <w:spacing w:line="218" w:lineRule="auto" w:before="83"/>
        <w:ind w:right="29"/>
      </w:pPr>
      <w:r>
        <w:rPr>
          <w:color w:val="231F20"/>
        </w:rPr>
        <w:t>Cet acte reproduit, le cas échéant, les conclusions du rapport visé à l’article 12:114.</w:t>
      </w:r>
    </w:p>
    <w:p>
      <w:pPr>
        <w:pStyle w:val="BodyText"/>
        <w:spacing w:line="218" w:lineRule="auto" w:before="85"/>
        <w:ind w:right="88"/>
      </w:pPr>
      <w:r>
        <w:rPr>
          <w:color w:val="231F20"/>
        </w:rPr>
        <w:t>§</w:t>
      </w:r>
      <w:r>
        <w:rPr>
          <w:color w:val="231F20"/>
          <w:spacing w:val="-6"/>
        </w:rPr>
        <w:t> </w:t>
      </w:r>
      <w:r>
        <w:rPr>
          <w:color w:val="231F20"/>
        </w:rPr>
        <w:t>10.</w:t>
      </w:r>
      <w:r>
        <w:rPr>
          <w:color w:val="231F20"/>
          <w:spacing w:val="-6"/>
        </w:rPr>
        <w:t> </w:t>
      </w:r>
      <w:r>
        <w:rPr>
          <w:color w:val="231F20"/>
        </w:rPr>
        <w:t>Les</w:t>
      </w:r>
      <w:r>
        <w:rPr>
          <w:color w:val="231F20"/>
          <w:spacing w:val="-6"/>
        </w:rPr>
        <w:t> </w:t>
      </w:r>
      <w:r>
        <w:rPr>
          <w:color w:val="231F20"/>
        </w:rPr>
        <w:t>actes</w:t>
      </w:r>
      <w:r>
        <w:rPr>
          <w:color w:val="231F20"/>
          <w:spacing w:val="-6"/>
        </w:rPr>
        <w:t> </w:t>
      </w:r>
      <w:r>
        <w:rPr>
          <w:color w:val="231F20"/>
        </w:rPr>
        <w:t>constatant</w:t>
      </w:r>
      <w:r>
        <w:rPr>
          <w:color w:val="231F20"/>
          <w:spacing w:val="-6"/>
        </w:rPr>
        <w:t> </w:t>
      </w:r>
      <w:r>
        <w:rPr>
          <w:color w:val="231F20"/>
        </w:rPr>
        <w:t>les</w:t>
      </w:r>
      <w:r>
        <w:rPr>
          <w:color w:val="231F20"/>
          <w:spacing w:val="-6"/>
        </w:rPr>
        <w:t> </w:t>
      </w:r>
      <w:r>
        <w:rPr>
          <w:color w:val="231F20"/>
        </w:rPr>
        <w:t>décisions</w:t>
      </w:r>
      <w:r>
        <w:rPr>
          <w:color w:val="231F20"/>
          <w:spacing w:val="-6"/>
        </w:rPr>
        <w:t> </w:t>
      </w:r>
      <w:r>
        <w:rPr>
          <w:color w:val="231F20"/>
        </w:rPr>
        <w:t>de</w:t>
      </w:r>
      <w:r>
        <w:rPr>
          <w:color w:val="231F20"/>
          <w:spacing w:val="-6"/>
        </w:rPr>
        <w:t> </w:t>
      </w:r>
      <w:r>
        <w:rPr>
          <w:color w:val="231F20"/>
        </w:rPr>
        <w:t>fusion</w:t>
      </w:r>
      <w:r>
        <w:rPr>
          <w:color w:val="231F20"/>
          <w:spacing w:val="-6"/>
        </w:rPr>
        <w:t> </w:t>
      </w:r>
      <w:r>
        <w:rPr>
          <w:color w:val="231F20"/>
        </w:rPr>
        <w:t>prises</w:t>
      </w:r>
      <w:r>
        <w:rPr>
          <w:color w:val="231F20"/>
          <w:spacing w:val="-5"/>
        </w:rPr>
        <w:t> </w:t>
      </w:r>
      <w:r>
        <w:rPr>
          <w:color w:val="231F20"/>
        </w:rPr>
        <w:t>par</w:t>
      </w:r>
      <w:r>
        <w:rPr>
          <w:color w:val="231F20"/>
          <w:spacing w:val="-6"/>
        </w:rPr>
        <w:t> </w:t>
      </w:r>
      <w:r>
        <w:rPr>
          <w:color w:val="231F20"/>
        </w:rPr>
        <w:t>les</w:t>
      </w:r>
      <w:r>
        <w:rPr>
          <w:color w:val="231F20"/>
          <w:spacing w:val="-6"/>
        </w:rPr>
        <w:t> </w:t>
      </w:r>
      <w:r>
        <w:rPr>
          <w:color w:val="231F20"/>
        </w:rPr>
        <w:t>sociétés absorbante et absorbée(s), dans la mesure où elles relèvent du droit belge, sont déposés et publiés par extrait,  conformément  aux  arti-  cles 2:8 et 2:14, 1°; le cas échéant, l’acte de modification des statuts de la société absorbante est également déposé et publié, conformément aux articles 2:8 et 2:14, 1°. Les articles 2:7, 2:8 et 2:13 sont</w:t>
      </w:r>
      <w:r>
        <w:rPr>
          <w:color w:val="231F20"/>
          <w:spacing w:val="-11"/>
        </w:rPr>
        <w:t> </w:t>
      </w:r>
      <w:r>
        <w:rPr>
          <w:color w:val="231F20"/>
        </w:rPr>
        <w:t>d’application à l’acte constitutif de la nouvelle société, dans la mesure où celle-ci relève du droit</w:t>
      </w:r>
      <w:r>
        <w:rPr>
          <w:color w:val="231F20"/>
          <w:spacing w:val="4"/>
        </w:rPr>
        <w:t> </w:t>
      </w:r>
      <w:r>
        <w:rPr>
          <w:color w:val="231F20"/>
        </w:rPr>
        <w:t>belge.</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88"/>
      </w:pPr>
      <w:r>
        <w:rPr>
          <w:color w:val="231F20"/>
        </w:rPr>
        <w:t>Ces actes sont publiés simultanément dans les dix jours du dépôt de l’acte.</w:t>
      </w:r>
    </w:p>
    <w:p>
      <w:pPr>
        <w:pStyle w:val="BodyText"/>
        <w:spacing w:line="218" w:lineRule="auto" w:before="86"/>
        <w:ind w:right="88"/>
      </w:pPr>
      <w:r>
        <w:rPr>
          <w:color w:val="231F20"/>
        </w:rPr>
        <w:t>Art. 12:117. Le notaire instrumentant doit vérifier et attester l’exis- tence et la légalité, tant interne qu’externe, des actes et formalités incombant à la société auprès de laquelle il instrumente. A cette fin, il délivre sans délai un certificat attestant de façon incontestable l’accom- plissement correct des actes et des formalités préalables à la fusion transfrontalière prévues dans la présente section.</w:t>
      </w:r>
    </w:p>
    <w:p>
      <w:pPr>
        <w:pStyle w:val="BodyText"/>
        <w:spacing w:line="218" w:lineRule="auto" w:before="86"/>
        <w:ind w:right="88"/>
      </w:pPr>
      <w:r>
        <w:rPr>
          <w:color w:val="231F20"/>
        </w:rPr>
        <w:t>Art. 12:118. Le notaire contrôle que les sociétés qui fusionnent ont approuvé le projet commun de fusion transfrontalière dans les mêmes termes et, le cas échéant, que les modalités relatives à la participation des travailleurs ont été fixées conformément aux dispositions prises en exécution de l’article 133 de la directive  2017/1132/UE  du  Parle-  ment</w:t>
      </w:r>
      <w:r>
        <w:rPr>
          <w:color w:val="231F20"/>
          <w:spacing w:val="15"/>
        </w:rPr>
        <w:t> </w:t>
      </w:r>
      <w:r>
        <w:rPr>
          <w:color w:val="231F20"/>
        </w:rPr>
        <w:t>européen</w:t>
      </w:r>
      <w:r>
        <w:rPr>
          <w:color w:val="231F20"/>
          <w:spacing w:val="15"/>
        </w:rPr>
        <w:t> </w:t>
      </w:r>
      <w:r>
        <w:rPr>
          <w:color w:val="231F20"/>
        </w:rPr>
        <w:t>et</w:t>
      </w:r>
      <w:r>
        <w:rPr>
          <w:color w:val="231F20"/>
          <w:spacing w:val="15"/>
        </w:rPr>
        <w:t> </w:t>
      </w:r>
      <w:r>
        <w:rPr>
          <w:color w:val="231F20"/>
        </w:rPr>
        <w:t>du</w:t>
      </w:r>
      <w:r>
        <w:rPr>
          <w:color w:val="231F20"/>
          <w:spacing w:val="15"/>
        </w:rPr>
        <w:t> </w:t>
      </w:r>
      <w:r>
        <w:rPr>
          <w:color w:val="231F20"/>
        </w:rPr>
        <w:t>Conseil</w:t>
      </w:r>
      <w:r>
        <w:rPr>
          <w:color w:val="231F20"/>
          <w:spacing w:val="15"/>
        </w:rPr>
        <w:t> </w:t>
      </w:r>
      <w:r>
        <w:rPr>
          <w:color w:val="231F20"/>
        </w:rPr>
        <w:t>du</w:t>
      </w:r>
      <w:r>
        <w:rPr>
          <w:color w:val="231F20"/>
          <w:spacing w:val="15"/>
        </w:rPr>
        <w:t> </w:t>
      </w:r>
      <w:r>
        <w:rPr>
          <w:color w:val="231F20"/>
        </w:rPr>
        <w:t>14</w:t>
      </w:r>
      <w:r>
        <w:rPr>
          <w:color w:val="231F20"/>
          <w:spacing w:val="15"/>
        </w:rPr>
        <w:t> </w:t>
      </w:r>
      <w:r>
        <w:rPr>
          <w:color w:val="231F20"/>
        </w:rPr>
        <w:t>juin</w:t>
      </w:r>
      <w:r>
        <w:rPr>
          <w:color w:val="231F20"/>
          <w:spacing w:val="15"/>
        </w:rPr>
        <w:t> </w:t>
      </w:r>
      <w:r>
        <w:rPr>
          <w:color w:val="231F20"/>
        </w:rPr>
        <w:t>2017.</w:t>
      </w:r>
    </w:p>
    <w:p>
      <w:pPr>
        <w:pStyle w:val="BodyText"/>
        <w:spacing w:before="3"/>
        <w:ind w:left="0" w:right="0" w:firstLine="0"/>
        <w:jc w:val="left"/>
        <w:rPr>
          <w:sz w:val="23"/>
        </w:rPr>
      </w:pPr>
    </w:p>
    <w:p>
      <w:pPr>
        <w:pStyle w:val="BodyText"/>
        <w:spacing w:line="213" w:lineRule="auto"/>
        <w:ind w:right="0"/>
        <w:jc w:val="left"/>
      </w:pPr>
      <w:r>
        <w:rPr>
          <w:color w:val="231F20"/>
        </w:rPr>
        <w:t>A cette fin, chaque société qui fusionne remet au notaire visé  à  l’alinéa 1</w:t>
      </w:r>
      <w:r>
        <w:rPr>
          <w:color w:val="231F20"/>
          <w:position w:val="7"/>
          <w:sz w:val="11"/>
        </w:rPr>
        <w:t>er  </w:t>
      </w:r>
      <w:r>
        <w:rPr>
          <w:color w:val="231F20"/>
        </w:rPr>
        <w:t>le certificat prévu à l’article 12:117, dans un délai de six mois  à compter de sa délivrance, ainsi qu’une copie du projet commun de fusion transfrontalière, approuvé, conformément à l’article 12:116, selon le</w:t>
      </w:r>
      <w:r>
        <w:rPr>
          <w:color w:val="231F20"/>
          <w:spacing w:val="16"/>
        </w:rPr>
        <w:t> </w:t>
      </w:r>
      <w:r>
        <w:rPr>
          <w:color w:val="231F20"/>
        </w:rPr>
        <w:t>cas,</w:t>
      </w:r>
      <w:r>
        <w:rPr>
          <w:color w:val="231F20"/>
          <w:spacing w:val="16"/>
        </w:rPr>
        <w:t> </w:t>
      </w:r>
      <w:r>
        <w:rPr>
          <w:color w:val="231F20"/>
        </w:rPr>
        <w:t>par</w:t>
      </w:r>
      <w:r>
        <w:rPr>
          <w:color w:val="231F20"/>
          <w:spacing w:val="17"/>
        </w:rPr>
        <w:t> </w:t>
      </w:r>
      <w:r>
        <w:rPr>
          <w:color w:val="231F20"/>
        </w:rPr>
        <w:t>l’assemblée</w:t>
      </w:r>
      <w:r>
        <w:rPr>
          <w:color w:val="231F20"/>
          <w:spacing w:val="16"/>
        </w:rPr>
        <w:t> </w:t>
      </w:r>
      <w:r>
        <w:rPr>
          <w:color w:val="231F20"/>
        </w:rPr>
        <w:t>générale</w:t>
      </w:r>
      <w:r>
        <w:rPr>
          <w:color w:val="231F20"/>
          <w:spacing w:val="16"/>
        </w:rPr>
        <w:t> </w:t>
      </w:r>
      <w:r>
        <w:rPr>
          <w:color w:val="231F20"/>
        </w:rPr>
        <w:t>ou</w:t>
      </w:r>
      <w:r>
        <w:rPr>
          <w:color w:val="231F20"/>
          <w:spacing w:val="16"/>
        </w:rPr>
        <w:t> </w:t>
      </w:r>
      <w:r>
        <w:rPr>
          <w:color w:val="231F20"/>
        </w:rPr>
        <w:t>l’organe</w:t>
      </w:r>
      <w:r>
        <w:rPr>
          <w:color w:val="231F20"/>
          <w:spacing w:val="17"/>
        </w:rPr>
        <w:t> </w:t>
      </w:r>
      <w:r>
        <w:rPr>
          <w:color w:val="231F20"/>
        </w:rPr>
        <w:t>d’administration.</w:t>
      </w:r>
    </w:p>
    <w:p>
      <w:pPr>
        <w:pStyle w:val="BodyText"/>
        <w:ind w:left="0" w:right="0" w:firstLine="0"/>
        <w:jc w:val="left"/>
        <w:rPr>
          <w:sz w:val="20"/>
        </w:rPr>
      </w:pPr>
    </w:p>
    <w:p>
      <w:pPr>
        <w:pStyle w:val="BodyText"/>
        <w:spacing w:before="3"/>
        <w:ind w:left="0" w:right="0" w:firstLine="0"/>
        <w:jc w:val="left"/>
      </w:pPr>
    </w:p>
    <w:p>
      <w:pPr>
        <w:pStyle w:val="BodyText"/>
        <w:spacing w:line="218" w:lineRule="auto"/>
        <w:ind w:right="88"/>
      </w:pPr>
      <w:r>
        <w:rPr>
          <w:color w:val="231F20"/>
        </w:rPr>
        <w:t>Art. 12:119. § 1</w:t>
      </w:r>
      <w:r>
        <w:rPr>
          <w:color w:val="231F20"/>
          <w:position w:val="7"/>
          <w:sz w:val="11"/>
        </w:rPr>
        <w:t>er</w:t>
      </w:r>
      <w:r>
        <w:rPr>
          <w:color w:val="231F20"/>
        </w:rPr>
        <w:t>. Si la société absorbante est régie par le droit belge, la fusion transfrontalière par absorption prend </w:t>
      </w:r>
      <w:r>
        <w:rPr>
          <w:color w:val="231F20"/>
          <w:spacing w:val="-3"/>
        </w:rPr>
        <w:t>effet </w:t>
      </w:r>
      <w:r>
        <w:rPr>
          <w:color w:val="231F20"/>
        </w:rPr>
        <w:t>à la date à laquelle le notaire instrumentant constate la réalisation de la fusion à la requête des sociétés qui fusionnent sur présentation des certificats et autres documents justificatifs de l’opération. Lors de la fusion transfrontalière par constitution d’une nouvelle société, la nouvelle société doit en outre être</w:t>
      </w:r>
      <w:r>
        <w:rPr>
          <w:color w:val="231F20"/>
          <w:spacing w:val="14"/>
        </w:rPr>
        <w:t> </w:t>
      </w:r>
      <w:r>
        <w:rPr>
          <w:color w:val="231F20"/>
        </w:rPr>
        <w:t>constituée.</w:t>
      </w:r>
    </w:p>
    <w:p>
      <w:pPr>
        <w:pStyle w:val="BodyText"/>
        <w:ind w:left="0" w:right="0" w:firstLine="0"/>
        <w:jc w:val="left"/>
        <w:rPr>
          <w:sz w:val="23"/>
        </w:rPr>
      </w:pPr>
    </w:p>
    <w:p>
      <w:pPr>
        <w:pStyle w:val="BodyText"/>
        <w:spacing w:line="218" w:lineRule="auto" w:before="1"/>
        <w:ind w:right="88"/>
      </w:pPr>
      <w:r>
        <w:rPr>
          <w:color w:val="231F20"/>
        </w:rPr>
        <w:t>Cet acte est déposé et publie par  extrait  conformément  aux  arti- cles 2:8 et 2:14, 1°.</w:t>
      </w:r>
    </w:p>
    <w:p>
      <w:pPr>
        <w:pStyle w:val="BodyText"/>
        <w:spacing w:line="218" w:lineRule="auto" w:before="85"/>
        <w:ind w:right="88"/>
      </w:pPr>
      <w:r>
        <w:rPr>
          <w:color w:val="231F20"/>
        </w:rPr>
        <w:t>Le Roi arrête les modalités de notification de la prise d’effet de la fusion transfrontalière auprès du registre étranger où la société étrangère à déposé ses actes.</w:t>
      </w:r>
    </w:p>
    <w:p>
      <w:pPr>
        <w:pStyle w:val="BodyText"/>
        <w:spacing w:line="218" w:lineRule="auto" w:before="86"/>
        <w:ind w:right="88"/>
      </w:pPr>
      <w:r>
        <w:rPr>
          <w:color w:val="231F20"/>
        </w:rPr>
        <w:t>§ 2. Si une société absorbée est régie par le droit belge, la radiation de l’immatriculation au registre belge des personnes morales ne peut avoir lieu au plus tôt qu’à la réception de la notification de la prise d’effet de la fusion par le registre étranger. Le service de gestion de la Banque-Carrefour des Entreprises publie cette radiation aux Annexes du </w:t>
      </w:r>
      <w:r>
        <w:rPr>
          <w:rFonts w:ascii="Times New Roman" w:hAnsi="Times New Roman"/>
          <w:i/>
          <w:color w:val="231F20"/>
        </w:rPr>
        <w:t>Moniteur belge</w:t>
      </w:r>
      <w:r>
        <w:rPr>
          <w:color w:val="231F20"/>
        </w:rPr>
        <w:t>. En l’absence de la notification précitée par le registre étranger, l’organe d’administration de la société absorbée assure la publication aux Annexes du </w:t>
      </w:r>
      <w:r>
        <w:rPr>
          <w:rFonts w:ascii="Times New Roman" w:hAnsi="Times New Roman"/>
          <w:i/>
          <w:color w:val="231F20"/>
        </w:rPr>
        <w:t>Moniteur belge </w:t>
      </w:r>
      <w:r>
        <w:rPr>
          <w:color w:val="231F20"/>
        </w:rPr>
        <w:t>de la prise d’effet de la fusion.</w:t>
      </w:r>
    </w:p>
    <w:p>
      <w:pPr>
        <w:pStyle w:val="BodyText"/>
        <w:spacing w:before="3"/>
        <w:ind w:left="0" w:right="0" w:firstLine="0"/>
        <w:jc w:val="left"/>
        <w:rPr>
          <w:sz w:val="21"/>
        </w:rPr>
      </w:pPr>
    </w:p>
    <w:p>
      <w:pPr>
        <w:pStyle w:val="BodyText"/>
        <w:spacing w:line="304" w:lineRule="auto" w:before="1"/>
        <w:ind w:left="283" w:right="427" w:firstLine="0"/>
        <w:jc w:val="left"/>
      </w:pPr>
      <w:r>
        <w:rPr>
          <w:color w:val="231F20"/>
        </w:rPr>
        <w:t>LIVRE 13. Restructuration d’associations et de fondations. TITRE 1</w:t>
      </w:r>
      <w:r>
        <w:rPr>
          <w:color w:val="231F20"/>
          <w:position w:val="7"/>
          <w:sz w:val="11"/>
        </w:rPr>
        <w:t>er</w:t>
      </w:r>
      <w:r>
        <w:rPr>
          <w:color w:val="231F20"/>
        </w:rPr>
        <w:t>. La réglementation des fusions et scissions.</w:t>
      </w:r>
    </w:p>
    <w:p>
      <w:pPr>
        <w:pStyle w:val="BodyText"/>
        <w:spacing w:before="1"/>
        <w:ind w:left="283" w:right="0" w:firstLine="0"/>
        <w:jc w:val="left"/>
      </w:pPr>
      <w:r>
        <w:rPr>
          <w:color w:val="231F20"/>
        </w:rPr>
        <w:t>CHAPITRE 1</w:t>
      </w:r>
      <w:r>
        <w:rPr>
          <w:color w:val="231F20"/>
          <w:position w:val="7"/>
          <w:sz w:val="11"/>
        </w:rPr>
        <w:t>er</w:t>
      </w:r>
      <w:r>
        <w:rPr>
          <w:color w:val="231F20"/>
        </w:rPr>
        <w:t>. Dispositions générales.</w:t>
      </w:r>
    </w:p>
    <w:p>
      <w:pPr>
        <w:pStyle w:val="BodyText"/>
        <w:spacing w:line="218" w:lineRule="auto" w:before="67"/>
        <w:ind w:right="88"/>
      </w:pPr>
      <w:r>
        <w:rPr>
          <w:color w:val="231F20"/>
        </w:rPr>
        <w:t>Art. 13:1. § 1</w:t>
      </w:r>
      <w:r>
        <w:rPr>
          <w:color w:val="231F20"/>
          <w:position w:val="7"/>
          <w:sz w:val="11"/>
        </w:rPr>
        <w:t>er</w:t>
      </w:r>
      <w:r>
        <w:rPr>
          <w:color w:val="231F20"/>
        </w:rPr>
        <w:t>. Par dérogation aux dispositions du livre 2, titre 8, chapitre 2, les ASBL, les AISBL et les fondations peuvent – dans les conditions prévues par le présent titre – décider de se dissoudre sans liquidation en vue d’apporter l’intégralité de leur patrimoine à une ou plusieurs personnes morales poursuivant leur but désintéressé.</w:t>
      </w:r>
    </w:p>
    <w:p>
      <w:pPr>
        <w:pStyle w:val="BodyText"/>
        <w:spacing w:before="72"/>
        <w:ind w:left="283" w:right="0" w:firstLine="0"/>
        <w:jc w:val="left"/>
      </w:pPr>
      <w:r>
        <w:rPr>
          <w:color w:val="231F20"/>
        </w:rPr>
        <w:t>§ 2. Lorsque l’opération produit régulièrement ses effets:</w:t>
      </w:r>
    </w:p>
    <w:p>
      <w:pPr>
        <w:pStyle w:val="BodyText"/>
        <w:spacing w:line="218" w:lineRule="auto" w:before="93"/>
        <w:ind w:right="88"/>
      </w:pPr>
      <w:r>
        <w:rPr>
          <w:color w:val="231F20"/>
        </w:rPr>
        <w:t>1° l’ensemble du patrimoine actif et passif de la personne morale dissoute est transféré à la ou aux personne(s) morale(s) bénéficiaire(s) conformément, le cas échéant, à la répartition prévue dans le projet d’opération visé à l’article 13:3;</w:t>
      </w:r>
    </w:p>
    <w:p>
      <w:pPr>
        <w:pStyle w:val="BodyText"/>
        <w:spacing w:line="218" w:lineRule="auto" w:before="96"/>
        <w:ind w:right="88"/>
      </w:pPr>
      <w:r>
        <w:rPr>
          <w:color w:val="231F20"/>
        </w:rPr>
        <w:t>2° les personnes morales dissoutes cessent d’exister de plein droit; toutefois elles sont réputées exister durant le délai de six mois prévu par</w:t>
      </w:r>
      <w:r>
        <w:rPr>
          <w:color w:val="231F20"/>
          <w:spacing w:val="9"/>
        </w:rPr>
        <w:t> </w:t>
      </w:r>
      <w:r>
        <w:rPr>
          <w:color w:val="231F20"/>
        </w:rPr>
        <w:t>l’article</w:t>
      </w:r>
      <w:r>
        <w:rPr>
          <w:color w:val="231F20"/>
          <w:spacing w:val="9"/>
        </w:rPr>
        <w:t> </w:t>
      </w:r>
      <w:r>
        <w:rPr>
          <w:color w:val="231F20"/>
        </w:rPr>
        <w:t>2:143,</w:t>
      </w:r>
      <w:r>
        <w:rPr>
          <w:color w:val="231F20"/>
          <w:spacing w:val="9"/>
        </w:rPr>
        <w:t> </w:t>
      </w:r>
      <w:r>
        <w:rPr>
          <w:color w:val="231F20"/>
        </w:rPr>
        <w:t>§</w:t>
      </w:r>
      <w:r>
        <w:rPr>
          <w:color w:val="231F20"/>
          <w:spacing w:val="10"/>
        </w:rPr>
        <w:t> </w:t>
      </w:r>
      <w:r>
        <w:rPr>
          <w:color w:val="231F20"/>
        </w:rPr>
        <w:t>4,</w:t>
      </w:r>
      <w:r>
        <w:rPr>
          <w:color w:val="231F20"/>
          <w:spacing w:val="9"/>
        </w:rPr>
        <w:t> </w:t>
      </w:r>
      <w:r>
        <w:rPr>
          <w:color w:val="231F20"/>
        </w:rPr>
        <w:t>et,</w:t>
      </w:r>
      <w:r>
        <w:rPr>
          <w:color w:val="231F20"/>
          <w:spacing w:val="9"/>
        </w:rPr>
        <w:t> </w:t>
      </w:r>
      <w:r>
        <w:rPr>
          <w:color w:val="231F20"/>
        </w:rPr>
        <w:t>si</w:t>
      </w:r>
      <w:r>
        <w:rPr>
          <w:color w:val="231F20"/>
          <w:spacing w:val="9"/>
        </w:rPr>
        <w:t> </w:t>
      </w:r>
      <w:r>
        <w:rPr>
          <w:color w:val="231F20"/>
        </w:rPr>
        <w:t>une</w:t>
      </w:r>
      <w:r>
        <w:rPr>
          <w:color w:val="231F20"/>
          <w:spacing w:val="10"/>
        </w:rPr>
        <w:t> </w:t>
      </w:r>
      <w:r>
        <w:rPr>
          <w:color w:val="231F20"/>
        </w:rPr>
        <w:t>action</w:t>
      </w:r>
      <w:r>
        <w:rPr>
          <w:color w:val="231F20"/>
          <w:spacing w:val="9"/>
        </w:rPr>
        <w:t> </w:t>
      </w:r>
      <w:r>
        <w:rPr>
          <w:color w:val="231F20"/>
        </w:rPr>
        <w:t>en</w:t>
      </w:r>
      <w:r>
        <w:rPr>
          <w:color w:val="231F20"/>
          <w:spacing w:val="9"/>
        </w:rPr>
        <w:t> </w:t>
      </w:r>
      <w:r>
        <w:rPr>
          <w:color w:val="231F20"/>
        </w:rPr>
        <w:t>nullité</w:t>
      </w:r>
      <w:r>
        <w:rPr>
          <w:color w:val="231F20"/>
          <w:spacing w:val="9"/>
        </w:rPr>
        <w:t> </w:t>
      </w:r>
      <w:r>
        <w:rPr>
          <w:color w:val="231F20"/>
        </w:rPr>
        <w:t>est</w:t>
      </w:r>
      <w:r>
        <w:rPr>
          <w:color w:val="231F20"/>
          <w:spacing w:val="10"/>
        </w:rPr>
        <w:t> </w:t>
      </w:r>
      <w:r>
        <w:rPr>
          <w:color w:val="231F20"/>
        </w:rPr>
        <w:t>intentée,</w:t>
      </w:r>
      <w:r>
        <w:rPr>
          <w:color w:val="231F20"/>
          <w:spacing w:val="9"/>
        </w:rPr>
        <w:t> </w:t>
      </w:r>
      <w:r>
        <w:rPr>
          <w:color w:val="231F20"/>
        </w:rPr>
        <w:t>pendant</w:t>
      </w:r>
    </w:p>
    <w:p>
      <w:pPr>
        <w:pStyle w:val="BodyText"/>
        <w:spacing w:line="218" w:lineRule="auto" w:before="119"/>
      </w:pPr>
      <w:r>
        <w:rPr/>
        <w:br w:type="column"/>
      </w:r>
      <w:r>
        <w:rPr>
          <w:color w:val="231F20"/>
        </w:rPr>
        <w:t>§ 9. In elke vennootschap die de fusie aangaat worden de notulen van de algemene vergadering, of, in de gevallen van paragraaf 1, tweede   lid, en paragraaf 2, tweede lid, van het bestuursorgaan, waarin tot de fusie</w:t>
      </w:r>
      <w:r>
        <w:rPr>
          <w:color w:val="231F20"/>
          <w:spacing w:val="15"/>
        </w:rPr>
        <w:t> </w:t>
      </w:r>
      <w:r>
        <w:rPr>
          <w:color w:val="231F20"/>
        </w:rPr>
        <w:t>wordt</w:t>
      </w:r>
      <w:r>
        <w:rPr>
          <w:color w:val="231F20"/>
          <w:spacing w:val="15"/>
        </w:rPr>
        <w:t> </w:t>
      </w:r>
      <w:r>
        <w:rPr>
          <w:color w:val="231F20"/>
        </w:rPr>
        <w:t>besloten,</w:t>
      </w:r>
      <w:r>
        <w:rPr>
          <w:color w:val="231F20"/>
          <w:spacing w:val="16"/>
        </w:rPr>
        <w:t> </w:t>
      </w:r>
      <w:r>
        <w:rPr>
          <w:color w:val="231F20"/>
        </w:rPr>
        <w:t>opgesteld</w:t>
      </w:r>
      <w:r>
        <w:rPr>
          <w:color w:val="231F20"/>
          <w:spacing w:val="15"/>
        </w:rPr>
        <w:t> </w:t>
      </w:r>
      <w:r>
        <w:rPr>
          <w:color w:val="231F20"/>
        </w:rPr>
        <w:t>bij</w:t>
      </w:r>
      <w:r>
        <w:rPr>
          <w:color w:val="231F20"/>
          <w:spacing w:val="16"/>
        </w:rPr>
        <w:t> </w:t>
      </w:r>
      <w:r>
        <w:rPr>
          <w:color w:val="231F20"/>
        </w:rPr>
        <w:t>authentieke</w:t>
      </w:r>
      <w:r>
        <w:rPr>
          <w:color w:val="231F20"/>
          <w:spacing w:val="15"/>
        </w:rPr>
        <w:t> </w:t>
      </w:r>
      <w:r>
        <w:rPr>
          <w:color w:val="231F20"/>
        </w:rPr>
        <w:t>akte.</w:t>
      </w:r>
    </w:p>
    <w:p>
      <w:pPr>
        <w:pStyle w:val="BodyText"/>
        <w:spacing w:line="218" w:lineRule="auto" w:before="86"/>
      </w:pPr>
      <w:r>
        <w:rPr>
          <w:color w:val="231F20"/>
        </w:rPr>
        <w:t>In deze akte worden, in voorkomend geval, de conclusies opgeno- men van het in het artikel 12:114 bedoelde verslag.</w:t>
      </w:r>
    </w:p>
    <w:p>
      <w:pPr>
        <w:pStyle w:val="BodyText"/>
        <w:spacing w:line="218" w:lineRule="auto" w:before="86"/>
        <w:ind w:right="125"/>
      </w:pPr>
      <w:r>
        <w:rPr>
          <w:color w:val="231F20"/>
        </w:rPr>
        <w:t>§ 10. De akten houdende vaststelling van de besluiten tot fusie genomen door de overnemende en de overgenomen vennootschappen worden, voor zover deze onder het Belgische recht vallen, neergelegd  en bij uittreksel bekendgemaakt, overeenkomstig de artikelen 2:8 en 2:14, 1°, en, in voorkomend geval, wordt eveneens de akte</w:t>
      </w:r>
      <w:r>
        <w:rPr>
          <w:color w:val="231F20"/>
          <w:spacing w:val="21"/>
        </w:rPr>
        <w:t> </w:t>
      </w:r>
      <w:r>
        <w:rPr>
          <w:color w:val="231F20"/>
        </w:rPr>
        <w:t>tot statutenwijziging van de overnemende vennootschap neergelegd en bekendgemaakt, overeenkomstig de artikelen 2:8 en 2:14, 1°. De artikelen 2:7, 2:8 en 2:13 zijn van toepassing op de oprichtingsakte van de nieuwe vennootschap, voor zover deze onder het Belgische recht valt.</w:t>
      </w:r>
    </w:p>
    <w:p>
      <w:pPr>
        <w:pStyle w:val="BodyText"/>
        <w:spacing w:line="218" w:lineRule="auto" w:before="86"/>
      </w:pPr>
      <w:r>
        <w:rPr>
          <w:color w:val="231F20"/>
        </w:rPr>
        <w:t>Deze akten worden gelijktijdig bekendgemaakt binnen tien dagen na de neerlegging van de akte.</w:t>
      </w:r>
    </w:p>
    <w:p>
      <w:pPr>
        <w:pStyle w:val="BodyText"/>
        <w:spacing w:line="218" w:lineRule="auto" w:before="85"/>
      </w:pPr>
      <w:r>
        <w:rPr>
          <w:color w:val="231F20"/>
        </w:rPr>
        <w:t>Art. 12:117. De instrumenterende notaris moet na onderzoek het bestaan en zowel de interne als de externe wettigheid bevestigen van  de rechtshandelingen en formaliteiten waartoe de vennootschap waar- voor hij optreedt, is gehouden. Hiertoe geeft hij onverwijld een attest af waaruit afdoende blijkt dat de aan de fusie voorafgaande handelingen en</w:t>
      </w:r>
      <w:r>
        <w:rPr>
          <w:color w:val="231F20"/>
          <w:spacing w:val="15"/>
        </w:rPr>
        <w:t> </w:t>
      </w:r>
      <w:r>
        <w:rPr>
          <w:color w:val="231F20"/>
        </w:rPr>
        <w:t>formaliteiten</w:t>
      </w:r>
      <w:r>
        <w:rPr>
          <w:color w:val="231F20"/>
          <w:spacing w:val="16"/>
        </w:rPr>
        <w:t> </w:t>
      </w:r>
      <w:r>
        <w:rPr>
          <w:color w:val="231F20"/>
        </w:rPr>
        <w:t>omschreven</w:t>
      </w:r>
      <w:r>
        <w:rPr>
          <w:color w:val="231F20"/>
          <w:spacing w:val="15"/>
        </w:rPr>
        <w:t> </w:t>
      </w:r>
      <w:r>
        <w:rPr>
          <w:color w:val="231F20"/>
        </w:rPr>
        <w:t>in</w:t>
      </w:r>
      <w:r>
        <w:rPr>
          <w:color w:val="231F20"/>
          <w:spacing w:val="16"/>
        </w:rPr>
        <w:t> </w:t>
      </w:r>
      <w:r>
        <w:rPr>
          <w:color w:val="231F20"/>
        </w:rPr>
        <w:t>deze</w:t>
      </w:r>
      <w:r>
        <w:rPr>
          <w:color w:val="231F20"/>
          <w:spacing w:val="16"/>
        </w:rPr>
        <w:t> </w:t>
      </w:r>
      <w:r>
        <w:rPr>
          <w:color w:val="231F20"/>
        </w:rPr>
        <w:t>afdeling</w:t>
      </w:r>
      <w:r>
        <w:rPr>
          <w:color w:val="231F20"/>
          <w:spacing w:val="15"/>
        </w:rPr>
        <w:t> </w:t>
      </w:r>
      <w:r>
        <w:rPr>
          <w:color w:val="231F20"/>
        </w:rPr>
        <w:t>correct</w:t>
      </w:r>
      <w:r>
        <w:rPr>
          <w:color w:val="231F20"/>
          <w:spacing w:val="16"/>
        </w:rPr>
        <w:t> </w:t>
      </w:r>
      <w:r>
        <w:rPr>
          <w:color w:val="231F20"/>
        </w:rPr>
        <w:t>zijn</w:t>
      </w:r>
      <w:r>
        <w:rPr>
          <w:color w:val="231F20"/>
          <w:spacing w:val="16"/>
        </w:rPr>
        <w:t> </w:t>
      </w:r>
      <w:r>
        <w:rPr>
          <w:color w:val="231F20"/>
        </w:rPr>
        <w:t>verricht.</w:t>
      </w:r>
    </w:p>
    <w:p>
      <w:pPr>
        <w:pStyle w:val="BodyText"/>
        <w:spacing w:line="218" w:lineRule="auto" w:before="86"/>
        <w:ind w:right="122"/>
      </w:pPr>
      <w:r>
        <w:rPr>
          <w:color w:val="231F20"/>
        </w:rPr>
        <w:t>Art. 12:118. De notaris vergewist er zich van dat de fuserende vennootschappen gemeenschappelijke voorstellen voor een grensover- schrijdende fusie van gelijke strekking hebben goedgekeurd en dat, in voorkomend geval, de regelingen met betrekking tot het medezeggen- schap van de werknemers zijn vastgesteld overeenkomstig de maatre- gelen genomen in uitvoering van artikel 133 van richtlijn 2017/1132/EU van het Europees Parlement en de Raad van 14 juni 2017.</w:t>
      </w:r>
    </w:p>
    <w:p>
      <w:pPr>
        <w:pStyle w:val="BodyText"/>
        <w:spacing w:line="218" w:lineRule="auto" w:before="86"/>
      </w:pPr>
      <w:r>
        <w:rPr>
          <w:color w:val="231F20"/>
          <w:spacing w:val="9"/>
        </w:rPr>
        <w:t>Daartoe  </w:t>
      </w:r>
      <w:r>
        <w:rPr>
          <w:color w:val="231F20"/>
          <w:spacing w:val="8"/>
        </w:rPr>
        <w:t>legt</w:t>
      </w:r>
      <w:r>
        <w:rPr>
          <w:color w:val="231F20"/>
          <w:spacing w:val="57"/>
        </w:rPr>
        <w:t> </w:t>
      </w:r>
      <w:r>
        <w:rPr>
          <w:color w:val="231F20"/>
          <w:spacing w:val="8"/>
        </w:rPr>
        <w:t>elke  </w:t>
      </w:r>
      <w:r>
        <w:rPr>
          <w:color w:val="231F20"/>
          <w:spacing w:val="9"/>
        </w:rPr>
        <w:t>fuserende   </w:t>
      </w:r>
      <w:r>
        <w:rPr>
          <w:color w:val="231F20"/>
          <w:spacing w:val="10"/>
        </w:rPr>
        <w:t>vennootschap   </w:t>
      </w:r>
      <w:r>
        <w:rPr>
          <w:color w:val="231F20"/>
          <w:spacing w:val="7"/>
        </w:rPr>
        <w:t>het   </w:t>
      </w:r>
      <w:r>
        <w:rPr>
          <w:color w:val="231F20"/>
          <w:spacing w:val="5"/>
        </w:rPr>
        <w:t>in   </w:t>
      </w:r>
      <w:r>
        <w:rPr>
          <w:color w:val="231F20"/>
          <w:spacing w:val="11"/>
        </w:rPr>
        <w:t>arti- </w:t>
      </w:r>
      <w:r>
        <w:rPr>
          <w:color w:val="231F20"/>
        </w:rPr>
        <w:t>kel 12:117 bedoelde attest voor aan de in het eerste lid bedoelde notaris binnen</w:t>
      </w:r>
      <w:r>
        <w:rPr>
          <w:color w:val="231F20"/>
          <w:spacing w:val="-4"/>
        </w:rPr>
        <w:t> </w:t>
      </w:r>
      <w:r>
        <w:rPr>
          <w:color w:val="231F20"/>
        </w:rPr>
        <w:t>een</w:t>
      </w:r>
      <w:r>
        <w:rPr>
          <w:color w:val="231F20"/>
          <w:spacing w:val="-3"/>
        </w:rPr>
        <w:t> </w:t>
      </w:r>
      <w:r>
        <w:rPr>
          <w:color w:val="231F20"/>
        </w:rPr>
        <w:t>termijn</w:t>
      </w:r>
      <w:r>
        <w:rPr>
          <w:color w:val="231F20"/>
          <w:spacing w:val="-4"/>
        </w:rPr>
        <w:t> </w:t>
      </w:r>
      <w:r>
        <w:rPr>
          <w:color w:val="231F20"/>
        </w:rPr>
        <w:t>van</w:t>
      </w:r>
      <w:r>
        <w:rPr>
          <w:color w:val="231F20"/>
          <w:spacing w:val="-3"/>
        </w:rPr>
        <w:t> </w:t>
      </w:r>
      <w:r>
        <w:rPr>
          <w:color w:val="231F20"/>
        </w:rPr>
        <w:t>zes</w:t>
      </w:r>
      <w:r>
        <w:rPr>
          <w:color w:val="231F20"/>
          <w:spacing w:val="-3"/>
        </w:rPr>
        <w:t> </w:t>
      </w:r>
      <w:r>
        <w:rPr>
          <w:color w:val="231F20"/>
        </w:rPr>
        <w:t>maanden</w:t>
      </w:r>
      <w:r>
        <w:rPr>
          <w:color w:val="231F20"/>
          <w:spacing w:val="-4"/>
        </w:rPr>
        <w:t> </w:t>
      </w:r>
      <w:r>
        <w:rPr>
          <w:color w:val="231F20"/>
        </w:rPr>
        <w:t>na</w:t>
      </w:r>
      <w:r>
        <w:rPr>
          <w:color w:val="231F20"/>
          <w:spacing w:val="-3"/>
        </w:rPr>
        <w:t> </w:t>
      </w:r>
      <w:r>
        <w:rPr>
          <w:color w:val="231F20"/>
        </w:rPr>
        <w:t>de</w:t>
      </w:r>
      <w:r>
        <w:rPr>
          <w:color w:val="231F20"/>
          <w:spacing w:val="-4"/>
        </w:rPr>
        <w:t> </w:t>
      </w:r>
      <w:r>
        <w:rPr>
          <w:color w:val="231F20"/>
        </w:rPr>
        <w:t>afgifte</w:t>
      </w:r>
      <w:r>
        <w:rPr>
          <w:color w:val="231F20"/>
          <w:spacing w:val="-3"/>
        </w:rPr>
        <w:t> </w:t>
      </w:r>
      <w:r>
        <w:rPr>
          <w:color w:val="231F20"/>
        </w:rPr>
        <w:t>ervan,</w:t>
      </w:r>
      <w:r>
        <w:rPr>
          <w:color w:val="231F20"/>
          <w:spacing w:val="-3"/>
        </w:rPr>
        <w:t> </w:t>
      </w:r>
      <w:r>
        <w:rPr>
          <w:color w:val="231F20"/>
        </w:rPr>
        <w:t>samen</w:t>
      </w:r>
      <w:r>
        <w:rPr>
          <w:color w:val="231F20"/>
          <w:spacing w:val="-4"/>
        </w:rPr>
        <w:t> </w:t>
      </w:r>
      <w:r>
        <w:rPr>
          <w:color w:val="231F20"/>
        </w:rPr>
        <w:t>met</w:t>
      </w:r>
      <w:r>
        <w:rPr>
          <w:color w:val="231F20"/>
          <w:spacing w:val="-3"/>
        </w:rPr>
        <w:t> </w:t>
      </w:r>
      <w:r>
        <w:rPr>
          <w:color w:val="231F20"/>
        </w:rPr>
        <w:t>een kopie van het gemeenschappelijke voorstel voor een grensoverschrij- dende fusie, dat, overeenkomstig artikel 12:116, naargelang van het geval door de algemene vergadering of het bestuursorgaan, is goedge- keurd.</w:t>
      </w:r>
    </w:p>
    <w:p>
      <w:pPr>
        <w:pStyle w:val="BodyText"/>
        <w:spacing w:line="218" w:lineRule="auto" w:before="86"/>
      </w:pPr>
      <w:r>
        <w:rPr>
          <w:color w:val="231F20"/>
        </w:rPr>
        <w:t>Art. 12:119. § 1. Indien de overnemende vennootschap  wordt beheerst door het Belgische recht, wordt de grensoverschrijdende fusie door overneming van kracht op de datum waarop de instrumenterende notaris de voltooiing van de fusie heeft vastgesteld op verzoek van de vennootschappen die fuseren, op voorlegging van de attesten en andere documenten die de verrichting rechtvaardigen. Bij grensoverschrij- dende fusie door oprichting van een nieuwe vennootschap moet bovendien</w:t>
      </w:r>
      <w:r>
        <w:rPr>
          <w:color w:val="231F20"/>
          <w:spacing w:val="16"/>
        </w:rPr>
        <w:t> </w:t>
      </w:r>
      <w:r>
        <w:rPr>
          <w:color w:val="231F20"/>
        </w:rPr>
        <w:t>de</w:t>
      </w:r>
      <w:r>
        <w:rPr>
          <w:color w:val="231F20"/>
          <w:spacing w:val="17"/>
        </w:rPr>
        <w:t> </w:t>
      </w:r>
      <w:r>
        <w:rPr>
          <w:color w:val="231F20"/>
        </w:rPr>
        <w:t>nieuwe</w:t>
      </w:r>
      <w:r>
        <w:rPr>
          <w:color w:val="231F20"/>
          <w:spacing w:val="17"/>
        </w:rPr>
        <w:t> </w:t>
      </w:r>
      <w:r>
        <w:rPr>
          <w:color w:val="231F20"/>
        </w:rPr>
        <w:t>vennootschap</w:t>
      </w:r>
      <w:r>
        <w:rPr>
          <w:color w:val="231F20"/>
          <w:spacing w:val="17"/>
        </w:rPr>
        <w:t> </w:t>
      </w:r>
      <w:r>
        <w:rPr>
          <w:color w:val="231F20"/>
        </w:rPr>
        <w:t>zijn</w:t>
      </w:r>
      <w:r>
        <w:rPr>
          <w:color w:val="231F20"/>
          <w:spacing w:val="17"/>
        </w:rPr>
        <w:t> </w:t>
      </w:r>
      <w:r>
        <w:rPr>
          <w:color w:val="231F20"/>
        </w:rPr>
        <w:t>opgericht.</w:t>
      </w:r>
    </w:p>
    <w:p>
      <w:pPr>
        <w:pStyle w:val="BodyText"/>
        <w:spacing w:line="218" w:lineRule="auto" w:before="86"/>
      </w:pPr>
      <w:r>
        <w:rPr>
          <w:color w:val="231F20"/>
        </w:rPr>
        <w:t>Deze akte wordt neergelegd en bij uittreksel bekendgemaakt over- eenkomstig de artikelen 2:8 en 2:14, 1°.</w:t>
      </w:r>
    </w:p>
    <w:p>
      <w:pPr>
        <w:pStyle w:val="BodyText"/>
        <w:spacing w:line="218" w:lineRule="auto" w:before="85"/>
      </w:pPr>
      <w:r>
        <w:rPr>
          <w:color w:val="231F20"/>
        </w:rPr>
        <w:t>De Koning bepaalt de wijze waarop het buitenlandse register, waar de buitenlandse vennootschap haar akten heeft neergelegd, in kennis wordt</w:t>
      </w:r>
      <w:r>
        <w:rPr>
          <w:color w:val="231F20"/>
          <w:spacing w:val="13"/>
        </w:rPr>
        <w:t> </w:t>
      </w:r>
      <w:r>
        <w:rPr>
          <w:color w:val="231F20"/>
        </w:rPr>
        <w:t>gesteld</w:t>
      </w:r>
      <w:r>
        <w:rPr>
          <w:color w:val="231F20"/>
          <w:spacing w:val="13"/>
        </w:rPr>
        <w:t> </w:t>
      </w:r>
      <w:r>
        <w:rPr>
          <w:color w:val="231F20"/>
        </w:rPr>
        <w:t>van</w:t>
      </w:r>
      <w:r>
        <w:rPr>
          <w:color w:val="231F20"/>
          <w:spacing w:val="13"/>
        </w:rPr>
        <w:t> </w:t>
      </w:r>
      <w:r>
        <w:rPr>
          <w:color w:val="231F20"/>
        </w:rPr>
        <w:t>de</w:t>
      </w:r>
      <w:r>
        <w:rPr>
          <w:color w:val="231F20"/>
          <w:spacing w:val="13"/>
        </w:rPr>
        <w:t> </w:t>
      </w:r>
      <w:r>
        <w:rPr>
          <w:color w:val="231F20"/>
        </w:rPr>
        <w:t>van</w:t>
      </w:r>
      <w:r>
        <w:rPr>
          <w:color w:val="231F20"/>
          <w:spacing w:val="13"/>
        </w:rPr>
        <w:t> </w:t>
      </w:r>
      <w:r>
        <w:rPr>
          <w:color w:val="231F20"/>
        </w:rPr>
        <w:t>kracht</w:t>
      </w:r>
      <w:r>
        <w:rPr>
          <w:color w:val="231F20"/>
          <w:spacing w:val="13"/>
        </w:rPr>
        <w:t> </w:t>
      </w:r>
      <w:r>
        <w:rPr>
          <w:color w:val="231F20"/>
        </w:rPr>
        <w:t>geworden</w:t>
      </w:r>
      <w:r>
        <w:rPr>
          <w:color w:val="231F20"/>
          <w:spacing w:val="13"/>
        </w:rPr>
        <w:t> </w:t>
      </w:r>
      <w:r>
        <w:rPr>
          <w:color w:val="231F20"/>
        </w:rPr>
        <w:t>grensoverschrijdende</w:t>
      </w:r>
      <w:r>
        <w:rPr>
          <w:color w:val="231F20"/>
          <w:spacing w:val="13"/>
        </w:rPr>
        <w:t> </w:t>
      </w:r>
      <w:r>
        <w:rPr>
          <w:color w:val="231F20"/>
        </w:rPr>
        <w:t>fusie.</w:t>
      </w:r>
    </w:p>
    <w:p>
      <w:pPr>
        <w:pStyle w:val="BodyText"/>
        <w:spacing w:line="216" w:lineRule="auto" w:before="87"/>
      </w:pPr>
      <w:r>
        <w:rPr>
          <w:color w:val="231F20"/>
        </w:rPr>
        <w:t>§ 2. Indien een overgenomen vennootschap wordt beheerst door het Belgische recht, mag de doorhaling van de inschrijving in het Belgische rechtspersonenregister niet eerder plaatsvinden dan bij ontvangst van de kennisgeving door het buitenlandse register dat de fusie van kracht is geworden. De beheersdienst van de Kruispuntbank van Onderne- mingen maakt deze doorhaling bekend in de Bijlagen bij het </w:t>
      </w:r>
      <w:r>
        <w:rPr>
          <w:rFonts w:ascii="Times New Roman" w:hAnsi="Times New Roman"/>
          <w:i/>
          <w:color w:val="231F20"/>
        </w:rPr>
        <w:t>Belgisch </w:t>
      </w:r>
      <w:r>
        <w:rPr>
          <w:rFonts w:ascii="Times New Roman" w:hAnsi="Times New Roman"/>
          <w:i/>
          <w:color w:val="231F20"/>
        </w:rPr>
        <w:t>Staatsblad</w:t>
      </w:r>
      <w:r>
        <w:rPr>
          <w:color w:val="231F20"/>
        </w:rPr>
        <w:t>. Bij het ontbreken van bovenstaande kennisgeving door het buitenlandse register, draagt het bestuursorgaan van de overgenomen vennootschap zorg voor de bekendmaking in de Bijlagen bij het </w:t>
      </w:r>
      <w:r>
        <w:rPr>
          <w:rFonts w:ascii="Times New Roman" w:hAnsi="Times New Roman"/>
          <w:i/>
          <w:color w:val="231F20"/>
        </w:rPr>
        <w:t>Belgisch </w:t>
      </w:r>
      <w:r>
        <w:rPr>
          <w:rFonts w:ascii="Times New Roman" w:hAnsi="Times New Roman"/>
          <w:i/>
          <w:color w:val="231F20"/>
        </w:rPr>
        <w:t>Staatsblad</w:t>
      </w:r>
      <w:r>
        <w:rPr>
          <w:rFonts w:ascii="Times New Roman" w:hAnsi="Times New Roman"/>
          <w:i/>
          <w:color w:val="231F20"/>
          <w:spacing w:val="14"/>
        </w:rPr>
        <w:t> </w:t>
      </w:r>
      <w:r>
        <w:rPr>
          <w:color w:val="231F20"/>
        </w:rPr>
        <w:t>van</w:t>
      </w:r>
      <w:r>
        <w:rPr>
          <w:color w:val="231F20"/>
          <w:spacing w:val="16"/>
        </w:rPr>
        <w:t> </w:t>
      </w:r>
      <w:r>
        <w:rPr>
          <w:color w:val="231F20"/>
        </w:rPr>
        <w:t>het</w:t>
      </w:r>
      <w:r>
        <w:rPr>
          <w:color w:val="231F20"/>
          <w:spacing w:val="16"/>
        </w:rPr>
        <w:t> </w:t>
      </w:r>
      <w:r>
        <w:rPr>
          <w:color w:val="231F20"/>
        </w:rPr>
        <w:t>kracht</w:t>
      </w:r>
      <w:r>
        <w:rPr>
          <w:color w:val="231F20"/>
          <w:spacing w:val="16"/>
        </w:rPr>
        <w:t> </w:t>
      </w:r>
      <w:r>
        <w:rPr>
          <w:color w:val="231F20"/>
        </w:rPr>
        <w:t>worden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fusie.</w:t>
      </w:r>
    </w:p>
    <w:p>
      <w:pPr>
        <w:pStyle w:val="BodyText"/>
        <w:spacing w:line="324" w:lineRule="auto" w:before="80"/>
        <w:ind w:left="283" w:right="707" w:firstLine="0"/>
        <w:jc w:val="left"/>
      </w:pPr>
      <w:r>
        <w:rPr>
          <w:color w:val="231F20"/>
        </w:rPr>
        <w:t>BOEK 13. Herstructurering van verenigingen en stichtingen. TITEL 1. De regeling inzake fusies en splitsingen.</w:t>
      </w:r>
    </w:p>
    <w:p>
      <w:pPr>
        <w:pStyle w:val="BodyText"/>
        <w:spacing w:before="1"/>
        <w:ind w:left="283" w:right="0" w:firstLine="0"/>
        <w:jc w:val="left"/>
      </w:pPr>
      <w:r>
        <w:rPr>
          <w:color w:val="231F20"/>
          <w:w w:val="105"/>
        </w:rPr>
        <w:t>HOOFDSTUK 1. Algemene bepalingen.</w:t>
      </w:r>
    </w:p>
    <w:p>
      <w:pPr>
        <w:pStyle w:val="BodyText"/>
        <w:spacing w:line="218" w:lineRule="auto" w:before="82"/>
      </w:pPr>
      <w:r>
        <w:rPr>
          <w:color w:val="231F20"/>
        </w:rPr>
        <w:t>Art. 13:1. § 1. In afwijking van de bepalingen van boek 2, titel 8, hoofdstuk 2, kunnen de VZW’s, de IVZW’s en de stichtingen – onder de in deze titel bedoelde voorwaarden – beslissen zich te ontbinden zonder vereffening teneinde hun gehele vermogen in te brengen in één of</w:t>
      </w:r>
      <w:r>
        <w:rPr>
          <w:color w:val="231F20"/>
          <w:spacing w:val="16"/>
        </w:rPr>
        <w:t> </w:t>
      </w:r>
      <w:r>
        <w:rPr>
          <w:color w:val="231F20"/>
        </w:rPr>
        <w:t>meer</w:t>
      </w:r>
      <w:r>
        <w:rPr>
          <w:color w:val="231F20"/>
          <w:spacing w:val="16"/>
        </w:rPr>
        <w:t> </w:t>
      </w:r>
      <w:r>
        <w:rPr>
          <w:color w:val="231F20"/>
        </w:rPr>
        <w:t>rechtspersonen</w:t>
      </w:r>
      <w:r>
        <w:rPr>
          <w:color w:val="231F20"/>
          <w:spacing w:val="17"/>
        </w:rPr>
        <w:t> </w:t>
      </w:r>
      <w:r>
        <w:rPr>
          <w:color w:val="231F20"/>
        </w:rPr>
        <w:t>die</w:t>
      </w:r>
      <w:r>
        <w:rPr>
          <w:color w:val="231F20"/>
          <w:spacing w:val="16"/>
        </w:rPr>
        <w:t> </w:t>
      </w:r>
      <w:r>
        <w:rPr>
          <w:color w:val="231F20"/>
        </w:rPr>
        <w:t>hun</w:t>
      </w:r>
      <w:r>
        <w:rPr>
          <w:color w:val="231F20"/>
          <w:spacing w:val="16"/>
        </w:rPr>
        <w:t> </w:t>
      </w:r>
      <w:r>
        <w:rPr>
          <w:color w:val="231F20"/>
        </w:rPr>
        <w:t>belangeloos</w:t>
      </w:r>
      <w:r>
        <w:rPr>
          <w:color w:val="231F20"/>
          <w:spacing w:val="17"/>
        </w:rPr>
        <w:t> </w:t>
      </w:r>
      <w:r>
        <w:rPr>
          <w:color w:val="231F20"/>
        </w:rPr>
        <w:t>doel</w:t>
      </w:r>
      <w:r>
        <w:rPr>
          <w:color w:val="231F20"/>
          <w:spacing w:val="16"/>
        </w:rPr>
        <w:t> </w:t>
      </w:r>
      <w:r>
        <w:rPr>
          <w:color w:val="231F20"/>
        </w:rPr>
        <w:t>verderzetten.</w:t>
      </w:r>
    </w:p>
    <w:p>
      <w:pPr>
        <w:pStyle w:val="BodyText"/>
        <w:spacing w:before="71"/>
        <w:ind w:left="283" w:right="0" w:firstLine="0"/>
        <w:jc w:val="left"/>
      </w:pPr>
      <w:r>
        <w:rPr>
          <w:color w:val="231F20"/>
        </w:rPr>
        <w:t>§ 2. Wanneer de verrichting op wettige wijze uitwerking heeft:</w:t>
      </w:r>
    </w:p>
    <w:p>
      <w:pPr>
        <w:pStyle w:val="BodyText"/>
        <w:spacing w:line="218" w:lineRule="auto" w:before="93"/>
      </w:pPr>
      <w:r>
        <w:rPr>
          <w:color w:val="231F20"/>
        </w:rPr>
        <w:t>1° gaat het gehele vermogen van de ontbonden rechtspersoon, zowel rechten als verplichtingen, over op de verkrijgende rechtspersoon of rechtspersonen, in voorkomend geval, overeenkomstig de verdeling volgens het verrichtingsvoorstel bedoeld in artikel 13:3;</w:t>
      </w:r>
    </w:p>
    <w:p>
      <w:pPr>
        <w:pStyle w:val="BodyText"/>
        <w:spacing w:line="218" w:lineRule="auto" w:before="96"/>
      </w:pPr>
      <w:r>
        <w:rPr>
          <w:color w:val="231F20"/>
        </w:rPr>
        <w:t>2° houden de ontbonden rechtspersonen van rechtswege op te bestaan; evenwel worden zij geacht te bestaan  gedurende  de  in  artikel</w:t>
      </w:r>
      <w:r>
        <w:rPr>
          <w:color w:val="231F20"/>
          <w:spacing w:val="14"/>
        </w:rPr>
        <w:t> </w:t>
      </w:r>
      <w:r>
        <w:rPr>
          <w:color w:val="231F20"/>
        </w:rPr>
        <w:t>2:143,</w:t>
      </w:r>
      <w:r>
        <w:rPr>
          <w:color w:val="231F20"/>
          <w:spacing w:val="15"/>
        </w:rPr>
        <w:t> </w:t>
      </w:r>
      <w:r>
        <w:rPr>
          <w:color w:val="231F20"/>
        </w:rPr>
        <w:t>§</w:t>
      </w:r>
      <w:r>
        <w:rPr>
          <w:color w:val="231F20"/>
          <w:spacing w:val="14"/>
        </w:rPr>
        <w:t> </w:t>
      </w:r>
      <w:r>
        <w:rPr>
          <w:color w:val="231F20"/>
        </w:rPr>
        <w:t>4,</w:t>
      </w:r>
      <w:r>
        <w:rPr>
          <w:color w:val="231F20"/>
          <w:spacing w:val="15"/>
        </w:rPr>
        <w:t> </w:t>
      </w:r>
      <w:r>
        <w:rPr>
          <w:color w:val="231F20"/>
        </w:rPr>
        <w:t>bepaalde</w:t>
      </w:r>
      <w:r>
        <w:rPr>
          <w:color w:val="231F20"/>
          <w:spacing w:val="15"/>
        </w:rPr>
        <w:t> </w:t>
      </w:r>
      <w:r>
        <w:rPr>
          <w:color w:val="231F20"/>
        </w:rPr>
        <w:t>termijn</w:t>
      </w:r>
      <w:r>
        <w:rPr>
          <w:color w:val="231F20"/>
          <w:spacing w:val="14"/>
        </w:rPr>
        <w:t> </w:t>
      </w:r>
      <w:r>
        <w:rPr>
          <w:color w:val="231F20"/>
        </w:rPr>
        <w:t>van</w:t>
      </w:r>
      <w:r>
        <w:rPr>
          <w:color w:val="231F20"/>
          <w:spacing w:val="15"/>
        </w:rPr>
        <w:t> </w:t>
      </w:r>
      <w:r>
        <w:rPr>
          <w:color w:val="231F20"/>
        </w:rPr>
        <w:t>zes</w:t>
      </w:r>
      <w:r>
        <w:rPr>
          <w:color w:val="231F20"/>
          <w:spacing w:val="15"/>
        </w:rPr>
        <w:t> </w:t>
      </w:r>
      <w:r>
        <w:rPr>
          <w:color w:val="231F20"/>
        </w:rPr>
        <w:t>maanden</w:t>
      </w:r>
      <w:r>
        <w:rPr>
          <w:color w:val="231F20"/>
          <w:spacing w:val="14"/>
        </w:rPr>
        <w:t> </w:t>
      </w:r>
      <w:r>
        <w:rPr>
          <w:color w:val="231F20"/>
        </w:rPr>
        <w:t>en,</w:t>
      </w:r>
      <w:r>
        <w:rPr>
          <w:color w:val="231F20"/>
          <w:spacing w:val="15"/>
        </w:rPr>
        <w:t> </w:t>
      </w:r>
      <w:r>
        <w:rPr>
          <w:color w:val="231F20"/>
        </w:rPr>
        <w:t>als</w:t>
      </w:r>
      <w:r>
        <w:rPr>
          <w:color w:val="231F20"/>
          <w:spacing w:val="15"/>
        </w:rPr>
        <w:t> </w:t>
      </w:r>
      <w:r>
        <w:rPr>
          <w:color w:val="231F20"/>
        </w:rPr>
        <w:t>een</w:t>
      </w:r>
    </w:p>
    <w:p>
      <w:pPr>
        <w:spacing w:after="0" w:line="218" w:lineRule="auto"/>
        <w:sectPr>
          <w:pgSz w:w="11940" w:h="16880"/>
          <w:pgMar w:header="666" w:footer="0" w:top="1140" w:bottom="280" w:left="340" w:right="360"/>
          <w:cols w:num="2" w:equalWidth="0">
            <w:col w:w="5577" w:space="50"/>
            <w:col w:w="5613"/>
          </w:cols>
        </w:sectPr>
      </w:pPr>
    </w:p>
    <w:p>
      <w:pPr>
        <w:pStyle w:val="BodyText"/>
        <w:spacing w:line="218" w:lineRule="auto" w:before="119"/>
        <w:ind w:right="0" w:firstLine="0"/>
        <w:jc w:val="left"/>
      </w:pPr>
      <w:r>
        <w:rPr/>
        <w:pict>
          <v:line style="position:absolute;mso-position-horizontal-relative:page;mso-position-vertical-relative:page;z-index:7216" from="298.170502pt,64.473pt" to="298.170502pt,812.819pt" stroked="true" strokeweight=".533pt" strokecolor="#231f20">
            <v:stroke dashstyle="solid"/>
            <w10:wrap type="none"/>
          </v:line>
        </w:pict>
      </w:r>
      <w:bookmarkStart w:name="_bookmark258" w:id="264"/>
      <w:bookmarkEnd w:id="264"/>
      <w:r>
        <w:rPr/>
      </w:r>
      <w:r>
        <w:rPr>
          <w:color w:val="231F20"/>
        </w:rPr>
        <w:t>la durée de l’instance jusqu’au moment où il sera statué sur cette action en nullité par une décision coulée en force de chose jugée;</w:t>
      </w:r>
    </w:p>
    <w:p>
      <w:pPr>
        <w:pStyle w:val="BodyText"/>
        <w:ind w:left="0" w:right="0" w:firstLine="0"/>
        <w:jc w:val="left"/>
        <w:rPr>
          <w:sz w:val="20"/>
        </w:rPr>
      </w:pPr>
    </w:p>
    <w:p>
      <w:pPr>
        <w:pStyle w:val="BodyText"/>
        <w:spacing w:before="6"/>
        <w:ind w:left="0" w:right="0" w:firstLine="0"/>
        <w:jc w:val="left"/>
        <w:rPr>
          <w:sz w:val="18"/>
        </w:rPr>
      </w:pPr>
    </w:p>
    <w:p>
      <w:pPr>
        <w:pStyle w:val="BodyText"/>
        <w:spacing w:line="218" w:lineRule="auto"/>
        <w:ind w:right="79"/>
      </w:pPr>
      <w:r>
        <w:rPr>
          <w:color w:val="231F20"/>
        </w:rPr>
        <w:t>3° les membres de l’association dissoute perdent leur qualité à moins que le projet d’opération ne prévoie qu’ils deviennent membres de  plein</w:t>
      </w:r>
      <w:r>
        <w:rPr>
          <w:color w:val="231F20"/>
          <w:spacing w:val="15"/>
        </w:rPr>
        <w:t> </w:t>
      </w:r>
      <w:r>
        <w:rPr>
          <w:color w:val="231F20"/>
        </w:rPr>
        <w:t>droit</w:t>
      </w:r>
      <w:r>
        <w:rPr>
          <w:color w:val="231F20"/>
          <w:spacing w:val="16"/>
        </w:rPr>
        <w:t> </w:t>
      </w:r>
      <w:r>
        <w:rPr>
          <w:color w:val="231F20"/>
        </w:rPr>
        <w:t>de</w:t>
      </w:r>
      <w:r>
        <w:rPr>
          <w:color w:val="231F20"/>
          <w:spacing w:val="16"/>
        </w:rPr>
        <w:t> </w:t>
      </w:r>
      <w:r>
        <w:rPr>
          <w:color w:val="231F20"/>
        </w:rPr>
        <w:t>l’ASBL</w:t>
      </w:r>
      <w:r>
        <w:rPr>
          <w:color w:val="231F20"/>
          <w:spacing w:val="9"/>
        </w:rPr>
        <w:t> </w:t>
      </w:r>
      <w:r>
        <w:rPr>
          <w:color w:val="231F20"/>
        </w:rPr>
        <w:t>ou</w:t>
      </w:r>
      <w:r>
        <w:rPr>
          <w:color w:val="231F20"/>
          <w:spacing w:val="16"/>
        </w:rPr>
        <w:t> </w:t>
      </w:r>
      <w:r>
        <w:rPr>
          <w:color w:val="231F20"/>
        </w:rPr>
        <w:t>de</w:t>
      </w:r>
      <w:r>
        <w:rPr>
          <w:color w:val="231F20"/>
          <w:spacing w:val="16"/>
        </w:rPr>
        <w:t> </w:t>
      </w:r>
      <w:r>
        <w:rPr>
          <w:color w:val="231F20"/>
        </w:rPr>
        <w:t>l’AISBL</w:t>
      </w:r>
      <w:r>
        <w:rPr>
          <w:color w:val="231F20"/>
          <w:spacing w:val="10"/>
        </w:rPr>
        <w:t> </w:t>
      </w:r>
      <w:r>
        <w:rPr>
          <w:color w:val="231F20"/>
        </w:rPr>
        <w:t>bénéficiaire.</w:t>
      </w:r>
    </w:p>
    <w:p>
      <w:pPr>
        <w:pStyle w:val="BodyText"/>
        <w:spacing w:line="218" w:lineRule="auto" w:before="85"/>
        <w:ind w:right="78"/>
      </w:pPr>
      <w:r>
        <w:rPr>
          <w:color w:val="231F20"/>
        </w:rPr>
        <w:t>Si l’opération revêt le caractère d’une scission, les articles 12:17 et 12:60 sont applicables par analogie.</w:t>
      </w:r>
    </w:p>
    <w:p>
      <w:pPr>
        <w:pStyle w:val="BodyText"/>
        <w:spacing w:before="72"/>
        <w:ind w:left="283" w:right="0" w:firstLine="0"/>
        <w:jc w:val="left"/>
      </w:pPr>
      <w:r>
        <w:rPr>
          <w:color w:val="231F20"/>
        </w:rPr>
        <w:t>CHAPITRE 2. Conditions et procédures à suivre.</w:t>
      </w:r>
    </w:p>
    <w:p>
      <w:pPr>
        <w:pStyle w:val="BodyText"/>
        <w:spacing w:before="4"/>
        <w:ind w:left="0" w:right="0" w:firstLine="0"/>
        <w:jc w:val="left"/>
        <w:rPr>
          <w:sz w:val="21"/>
        </w:rPr>
      </w:pPr>
    </w:p>
    <w:p>
      <w:pPr>
        <w:pStyle w:val="BodyText"/>
        <w:spacing w:line="218" w:lineRule="auto"/>
        <w:ind w:right="78"/>
      </w:pPr>
      <w:r>
        <w:rPr>
          <w:color w:val="231F20"/>
        </w:rPr>
        <w:t>Art. 13:2. § 1</w:t>
      </w:r>
      <w:r>
        <w:rPr>
          <w:color w:val="231F20"/>
          <w:position w:val="7"/>
          <w:sz w:val="11"/>
        </w:rPr>
        <w:t>er</w:t>
      </w:r>
      <w:r>
        <w:rPr>
          <w:color w:val="231F20"/>
        </w:rPr>
        <w:t>. Une ASBL ou une AISBL peut à tout moment être dissoute par une décision de son assemblée générale prise aux conditions requises pour la modification de son but ou de son objet en vue de faire apport de l’intégralité de son patrimoine à une ou plusieurs autres ASBL ou AISBL, ou à une ou plusieurs fondations, universités ou personnes morales de droit public appelées à poursuivre son but désintéressé ou un but le plus proche possible de celui-ci.</w:t>
      </w:r>
    </w:p>
    <w:p>
      <w:pPr>
        <w:pStyle w:val="BodyText"/>
        <w:spacing w:line="218" w:lineRule="auto" w:before="86"/>
        <w:ind w:right="78"/>
      </w:pPr>
      <w:r>
        <w:rPr>
          <w:color w:val="231F20"/>
        </w:rPr>
        <w:t>§ 2. Une fondation privée peut à tout moment être dissoute par une décision de son organe d’administration statuant à l’unanimité de ses membres en vue de faire apport de l’intégralité de son patrimoine à une ou plusieurs autres fondations privées ou à une ou plusieurs autres fondations d’utilité publique, universités ou personnes morales de droit public aux fins de créer en leur sein un fonds non personnalisé destiné à poursuivre son but</w:t>
      </w:r>
      <w:r>
        <w:rPr>
          <w:color w:val="231F20"/>
          <w:spacing w:val="19"/>
        </w:rPr>
        <w:t> </w:t>
      </w:r>
      <w:r>
        <w:rPr>
          <w:color w:val="231F20"/>
        </w:rPr>
        <w:t>désintéressé.</w:t>
      </w:r>
    </w:p>
    <w:p>
      <w:pPr>
        <w:pStyle w:val="BodyText"/>
        <w:spacing w:line="218" w:lineRule="auto" w:before="86"/>
        <w:ind w:right="97"/>
        <w:jc w:val="left"/>
      </w:pPr>
      <w:r>
        <w:rPr>
          <w:color w:val="231F20"/>
        </w:rPr>
        <w:t>Une fondation d’utilité publique peut à tout moment être dissoute   par une décision de son organe d’administration statuant à l’unanimité de ses membres en vue de faire apport de l’intégralité  de  son patrimoine à une ou plusieurs autre(s) fondation(s) d’utilité publique   ou à une ou plusieurs universités ou personnes morales de droit public aux fins de créer en leur sein un fonds non personnalisé </w:t>
      </w:r>
      <w:r>
        <w:rPr>
          <w:color w:val="231F20"/>
          <w:spacing w:val="5"/>
        </w:rPr>
        <w:t>destiné </w:t>
      </w:r>
      <w:r>
        <w:rPr>
          <w:color w:val="231F20"/>
        </w:rPr>
        <w:t>à poursuivre son but</w:t>
      </w:r>
      <w:r>
        <w:rPr>
          <w:color w:val="231F20"/>
          <w:spacing w:val="4"/>
        </w:rPr>
        <w:t> </w:t>
      </w:r>
      <w:r>
        <w:rPr>
          <w:color w:val="231F20"/>
        </w:rPr>
        <w:t>désintéressé.</w:t>
      </w:r>
    </w:p>
    <w:p>
      <w:pPr>
        <w:pStyle w:val="BodyText"/>
        <w:spacing w:line="218" w:lineRule="auto" w:before="86"/>
        <w:ind w:right="79"/>
      </w:pPr>
      <w:r>
        <w:rPr>
          <w:color w:val="231F20"/>
        </w:rPr>
        <w:t>§ 3. La dissolution sans liquidation aux fins précitées ci-dessus ne peut être décidée que moyennant le respect des articles 13:3 et 13:4.</w:t>
      </w:r>
    </w:p>
    <w:p>
      <w:pPr>
        <w:pStyle w:val="BodyText"/>
        <w:spacing w:before="7"/>
        <w:ind w:left="0" w:right="0" w:firstLine="0"/>
        <w:jc w:val="left"/>
        <w:rPr>
          <w:sz w:val="21"/>
        </w:rPr>
      </w:pPr>
    </w:p>
    <w:p>
      <w:pPr>
        <w:pStyle w:val="BodyText"/>
        <w:spacing w:line="218" w:lineRule="auto"/>
        <w:ind w:right="79"/>
      </w:pPr>
      <w:r>
        <w:rPr>
          <w:color w:val="231F20"/>
        </w:rPr>
        <w:t>Art. 13:3. § 1</w:t>
      </w:r>
      <w:r>
        <w:rPr>
          <w:color w:val="231F20"/>
          <w:position w:val="7"/>
          <w:sz w:val="11"/>
        </w:rPr>
        <w:t>er</w:t>
      </w:r>
      <w:r>
        <w:rPr>
          <w:color w:val="231F20"/>
        </w:rPr>
        <w:t>. Les organes d’administration des personnes morales parties à l’opération établissent conjointement un projet d’opération.</w:t>
      </w:r>
    </w:p>
    <w:p>
      <w:pPr>
        <w:pStyle w:val="BodyText"/>
        <w:spacing w:line="218" w:lineRule="auto" w:before="86"/>
        <w:ind w:right="79"/>
      </w:pPr>
      <w:r>
        <w:rPr>
          <w:color w:val="231F20"/>
        </w:rPr>
        <w:t>Le projet d’opération décrit les motifs de cette opération ainsi que l’ensemble de ses modalités et, si le patrimoine de la personne morale dissoute est apporté à plusieurs bénéficiaires, la manière dont il est réparti.</w:t>
      </w:r>
    </w:p>
    <w:p>
      <w:pPr>
        <w:pStyle w:val="BodyText"/>
        <w:spacing w:line="218" w:lineRule="auto" w:before="85"/>
        <w:ind w:right="78"/>
      </w:pPr>
      <w:r>
        <w:rPr>
          <w:color w:val="231F20"/>
        </w:rPr>
        <w:t>À ce projet est joint un état résumant la situation active et passive de la personne morale appelée à se dissoudre clôturé à une date ne remontant pas à plus de trois mois avant celle à laquelle les organes compétents des personnes morales concernées doivent se prononcer et, si la personne morale appelée à bénéficier de l’apport est une ASBL,</w:t>
      </w:r>
      <w:r>
        <w:rPr>
          <w:color w:val="231F20"/>
          <w:spacing w:val="-29"/>
        </w:rPr>
        <w:t> </w:t>
      </w:r>
      <w:r>
        <w:rPr>
          <w:color w:val="231F20"/>
        </w:rPr>
        <w:t>une AISBL ou une fondation, un état résumant la situation active et passive de</w:t>
      </w:r>
      <w:r>
        <w:rPr>
          <w:color w:val="231F20"/>
          <w:spacing w:val="14"/>
        </w:rPr>
        <w:t> </w:t>
      </w:r>
      <w:r>
        <w:rPr>
          <w:color w:val="231F20"/>
        </w:rPr>
        <w:t>celle-ci.</w:t>
      </w:r>
    </w:p>
    <w:p>
      <w:pPr>
        <w:pStyle w:val="BodyText"/>
        <w:spacing w:line="218" w:lineRule="auto" w:before="86"/>
        <w:ind w:right="79"/>
      </w:pPr>
      <w:r>
        <w:rPr>
          <w:color w:val="231F20"/>
        </w:rPr>
        <w:t>§ 2. Le commissaire ou, lorsqu’il n’y a pas de commissaire, un réviseur d’entreprises ou un expert-comptable externe désigné par l’organe d’administration, établit un rapport sur le projet d’opération et l’état résumant la situation active et passive qui y est jointe.</w:t>
      </w:r>
    </w:p>
    <w:p>
      <w:pPr>
        <w:pStyle w:val="BodyText"/>
        <w:spacing w:line="218" w:lineRule="auto" w:before="86"/>
        <w:ind w:right="78"/>
      </w:pPr>
      <w:r>
        <w:rPr>
          <w:color w:val="231F20"/>
        </w:rPr>
        <w:t>Si aucune des personnes morales concernées par l’opération n’a de commissaire, un réviseur d’entreprises ou un expert-comptable externe peut être désigné de commun accord entre elles.</w:t>
      </w:r>
    </w:p>
    <w:p>
      <w:pPr>
        <w:pStyle w:val="BodyText"/>
        <w:spacing w:line="218" w:lineRule="auto" w:before="85"/>
        <w:ind w:right="78"/>
      </w:pPr>
      <w:r>
        <w:rPr>
          <w:color w:val="231F20"/>
        </w:rPr>
        <w:t>Les rapports prévus au présent paragraphe indiquent notamment si les états auxquels ils ont trait traduisent d’une manière complète, fidèle et exacte la situation de la personne morale concernée.</w:t>
      </w:r>
    </w:p>
    <w:p>
      <w:pPr>
        <w:pStyle w:val="BodyText"/>
        <w:ind w:left="0" w:right="0" w:firstLine="0"/>
        <w:jc w:val="left"/>
        <w:rPr>
          <w:sz w:val="23"/>
        </w:rPr>
      </w:pPr>
    </w:p>
    <w:p>
      <w:pPr>
        <w:pStyle w:val="BodyText"/>
        <w:spacing w:line="218" w:lineRule="auto"/>
        <w:ind w:right="78"/>
      </w:pPr>
      <w:r>
        <w:rPr>
          <w:color w:val="231F20"/>
        </w:rPr>
        <w:t>§</w:t>
      </w:r>
      <w:r>
        <w:rPr>
          <w:color w:val="231F20"/>
          <w:spacing w:val="-4"/>
        </w:rPr>
        <w:t> </w:t>
      </w:r>
      <w:r>
        <w:rPr>
          <w:color w:val="231F20"/>
        </w:rPr>
        <w:t>3.</w:t>
      </w:r>
      <w:r>
        <w:rPr>
          <w:color w:val="231F20"/>
          <w:spacing w:val="-4"/>
        </w:rPr>
        <w:t> </w:t>
      </w:r>
      <w:r>
        <w:rPr>
          <w:color w:val="231F20"/>
        </w:rPr>
        <w:t>Le</w:t>
      </w:r>
      <w:r>
        <w:rPr>
          <w:color w:val="231F20"/>
          <w:spacing w:val="-4"/>
        </w:rPr>
        <w:t> </w:t>
      </w:r>
      <w:r>
        <w:rPr>
          <w:color w:val="231F20"/>
        </w:rPr>
        <w:t>projet</w:t>
      </w:r>
      <w:r>
        <w:rPr>
          <w:color w:val="231F20"/>
          <w:spacing w:val="-4"/>
        </w:rPr>
        <w:t> </w:t>
      </w:r>
      <w:r>
        <w:rPr>
          <w:color w:val="231F20"/>
        </w:rPr>
        <w:t>d’opération,</w:t>
      </w:r>
      <w:r>
        <w:rPr>
          <w:color w:val="231F20"/>
          <w:spacing w:val="-4"/>
        </w:rPr>
        <w:t> </w:t>
      </w:r>
      <w:r>
        <w:rPr>
          <w:color w:val="231F20"/>
        </w:rPr>
        <w:t>l’état</w:t>
      </w:r>
      <w:r>
        <w:rPr>
          <w:color w:val="231F20"/>
          <w:spacing w:val="-4"/>
        </w:rPr>
        <w:t> </w:t>
      </w:r>
      <w:r>
        <w:rPr>
          <w:color w:val="231F20"/>
        </w:rPr>
        <w:t>résumant</w:t>
      </w:r>
      <w:r>
        <w:rPr>
          <w:color w:val="231F20"/>
          <w:spacing w:val="-4"/>
        </w:rPr>
        <w:t> </w:t>
      </w:r>
      <w:r>
        <w:rPr>
          <w:color w:val="231F20"/>
        </w:rPr>
        <w:t>la</w:t>
      </w:r>
      <w:r>
        <w:rPr>
          <w:color w:val="231F20"/>
          <w:spacing w:val="-4"/>
        </w:rPr>
        <w:t> </w:t>
      </w:r>
      <w:r>
        <w:rPr>
          <w:color w:val="231F20"/>
        </w:rPr>
        <w:t>situation</w:t>
      </w:r>
      <w:r>
        <w:rPr>
          <w:color w:val="231F20"/>
          <w:spacing w:val="-3"/>
        </w:rPr>
        <w:t> </w:t>
      </w:r>
      <w:r>
        <w:rPr>
          <w:color w:val="231F20"/>
        </w:rPr>
        <w:t>active</w:t>
      </w:r>
      <w:r>
        <w:rPr>
          <w:color w:val="231F20"/>
          <w:spacing w:val="-4"/>
        </w:rPr>
        <w:t> </w:t>
      </w:r>
      <w:r>
        <w:rPr>
          <w:color w:val="231F20"/>
        </w:rPr>
        <w:t>et</w:t>
      </w:r>
      <w:r>
        <w:rPr>
          <w:color w:val="231F20"/>
          <w:spacing w:val="-4"/>
        </w:rPr>
        <w:t> </w:t>
      </w:r>
      <w:r>
        <w:rPr>
          <w:color w:val="231F20"/>
        </w:rPr>
        <w:t>passive des parties ainsi que le rapport du commissaire ou du réviseur d’entreprises ou de l’expert-comptable externe sur ces états sont transmis aux membres des associations concernées ou aux membres des organes des autres personnes morales appelées à délibérer sur l’opération</w:t>
      </w:r>
      <w:r>
        <w:rPr>
          <w:color w:val="231F20"/>
          <w:spacing w:val="16"/>
        </w:rPr>
        <w:t> </w:t>
      </w:r>
      <w:r>
        <w:rPr>
          <w:color w:val="231F20"/>
        </w:rPr>
        <w:t>en</w:t>
      </w:r>
      <w:r>
        <w:rPr>
          <w:color w:val="231F20"/>
          <w:spacing w:val="16"/>
        </w:rPr>
        <w:t> </w:t>
      </w:r>
      <w:r>
        <w:rPr>
          <w:color w:val="231F20"/>
        </w:rPr>
        <w:t>même</w:t>
      </w:r>
      <w:r>
        <w:rPr>
          <w:color w:val="231F20"/>
          <w:spacing w:val="16"/>
        </w:rPr>
        <w:t> </w:t>
      </w:r>
      <w:r>
        <w:rPr>
          <w:color w:val="231F20"/>
        </w:rPr>
        <w:t>temps</w:t>
      </w:r>
      <w:r>
        <w:rPr>
          <w:color w:val="231F20"/>
          <w:spacing w:val="17"/>
        </w:rPr>
        <w:t> </w:t>
      </w:r>
      <w:r>
        <w:rPr>
          <w:color w:val="231F20"/>
        </w:rPr>
        <w:t>que</w:t>
      </w:r>
      <w:r>
        <w:rPr>
          <w:color w:val="231F20"/>
          <w:spacing w:val="16"/>
        </w:rPr>
        <w:t> </w:t>
      </w:r>
      <w:r>
        <w:rPr>
          <w:color w:val="231F20"/>
        </w:rPr>
        <w:t>l’ordre</w:t>
      </w:r>
      <w:r>
        <w:rPr>
          <w:color w:val="231F20"/>
          <w:spacing w:val="16"/>
        </w:rPr>
        <w:t> </w:t>
      </w:r>
      <w:r>
        <w:rPr>
          <w:color w:val="231F20"/>
        </w:rPr>
        <w:t>du</w:t>
      </w:r>
      <w:r>
        <w:rPr>
          <w:color w:val="231F20"/>
          <w:spacing w:val="16"/>
        </w:rPr>
        <w:t> </w:t>
      </w:r>
      <w:r>
        <w:rPr>
          <w:color w:val="231F20"/>
        </w:rPr>
        <w:t>jour</w:t>
      </w:r>
      <w:r>
        <w:rPr>
          <w:color w:val="231F20"/>
          <w:spacing w:val="17"/>
        </w:rPr>
        <w:t> </w:t>
      </w:r>
      <w:r>
        <w:rPr>
          <w:color w:val="231F20"/>
        </w:rPr>
        <w:t>de</w:t>
      </w:r>
      <w:r>
        <w:rPr>
          <w:color w:val="231F20"/>
          <w:spacing w:val="16"/>
        </w:rPr>
        <w:t> </w:t>
      </w:r>
      <w:r>
        <w:rPr>
          <w:color w:val="231F20"/>
        </w:rPr>
        <w:t>ces</w:t>
      </w:r>
      <w:r>
        <w:rPr>
          <w:color w:val="231F20"/>
          <w:spacing w:val="16"/>
        </w:rPr>
        <w:t> </w:t>
      </w:r>
      <w:r>
        <w:rPr>
          <w:color w:val="231F20"/>
        </w:rPr>
        <w:t>organes.</w:t>
      </w:r>
    </w:p>
    <w:p>
      <w:pPr>
        <w:pStyle w:val="BodyText"/>
        <w:spacing w:line="218" w:lineRule="auto" w:before="71"/>
        <w:ind w:right="79"/>
      </w:pPr>
      <w:r>
        <w:rPr>
          <w:color w:val="231F20"/>
        </w:rPr>
        <w:t>Art. 13:4. § 1</w:t>
      </w:r>
      <w:r>
        <w:rPr>
          <w:color w:val="231F20"/>
          <w:position w:val="7"/>
          <w:sz w:val="11"/>
        </w:rPr>
        <w:t>er</w:t>
      </w:r>
      <w:r>
        <w:rPr>
          <w:color w:val="231F20"/>
        </w:rPr>
        <w:t>. Les décisions des organes visés à l’article 13:2, §§ 1</w:t>
      </w:r>
      <w:r>
        <w:rPr>
          <w:color w:val="231F20"/>
          <w:position w:val="7"/>
          <w:sz w:val="11"/>
        </w:rPr>
        <w:t>er   </w:t>
      </w:r>
      <w:r>
        <w:rPr>
          <w:color w:val="231F20"/>
        </w:rPr>
        <w:t>et 2, ne produisent leurs effets que si la ou les personne(s) morale(s) bénéficiaire(s) de l’apport accepte(nt)</w:t>
      </w:r>
      <w:r>
        <w:rPr>
          <w:color w:val="231F20"/>
          <w:spacing w:val="17"/>
        </w:rPr>
        <w:t> </w:t>
      </w:r>
      <w:r>
        <w:rPr>
          <w:color w:val="231F20"/>
        </w:rPr>
        <w:t>l’apport.</w:t>
      </w:r>
    </w:p>
    <w:p>
      <w:pPr>
        <w:pStyle w:val="BodyText"/>
        <w:spacing w:line="216" w:lineRule="auto" w:before="98"/>
        <w:ind w:right="79"/>
      </w:pPr>
      <w:r>
        <w:rPr>
          <w:color w:val="231F20"/>
        </w:rPr>
        <w:t>S’il s’agit d’une ASBL ou d’une AISBL, la décision doit être prise aux conditions requises à l’article 13:2, § 1</w:t>
      </w:r>
      <w:r>
        <w:rPr>
          <w:color w:val="231F20"/>
          <w:position w:val="7"/>
          <w:sz w:val="11"/>
        </w:rPr>
        <w:t>er</w:t>
      </w:r>
      <w:r>
        <w:rPr>
          <w:color w:val="231F20"/>
        </w:rPr>
        <w:t>, s’il s’agit d’une fondation aux conditions requises au paragraphe 2 du même article et, s’il s’agit d’une autre personne morale, par l’organe compétent aux conditions requises par les dispositions légales, réglementaires ou statutaires qui lui sont applicables.</w:t>
      </w:r>
    </w:p>
    <w:p>
      <w:pPr>
        <w:pStyle w:val="BodyText"/>
        <w:spacing w:line="218" w:lineRule="auto" w:before="92"/>
        <w:ind w:right="79"/>
      </w:pPr>
      <w:r>
        <w:rPr>
          <w:color w:val="231F20"/>
        </w:rPr>
        <w:t>§ 2. Les procès-verbaux des organes des parties à l’opération sont établis en la forme authentique à moins qu’il ne s’agisse d’une université</w:t>
      </w:r>
      <w:r>
        <w:rPr>
          <w:color w:val="231F20"/>
          <w:spacing w:val="16"/>
        </w:rPr>
        <w:t> </w:t>
      </w:r>
      <w:r>
        <w:rPr>
          <w:color w:val="231F20"/>
        </w:rPr>
        <w:t>ou</w:t>
      </w:r>
      <w:r>
        <w:rPr>
          <w:color w:val="231F20"/>
          <w:spacing w:val="16"/>
        </w:rPr>
        <w:t> </w:t>
      </w:r>
      <w:r>
        <w:rPr>
          <w:color w:val="231F20"/>
        </w:rPr>
        <w:t>d’une</w:t>
      </w:r>
      <w:r>
        <w:rPr>
          <w:color w:val="231F20"/>
          <w:spacing w:val="17"/>
        </w:rPr>
        <w:t> </w:t>
      </w:r>
      <w:r>
        <w:rPr>
          <w:color w:val="231F20"/>
        </w:rPr>
        <w:t>personne</w:t>
      </w:r>
      <w:r>
        <w:rPr>
          <w:color w:val="231F20"/>
          <w:spacing w:val="16"/>
        </w:rPr>
        <w:t> </w:t>
      </w:r>
      <w:r>
        <w:rPr>
          <w:color w:val="231F20"/>
        </w:rPr>
        <w:t>morale</w:t>
      </w:r>
      <w:r>
        <w:rPr>
          <w:color w:val="231F20"/>
          <w:spacing w:val="16"/>
        </w:rPr>
        <w:t> </w:t>
      </w:r>
      <w:r>
        <w:rPr>
          <w:color w:val="231F20"/>
        </w:rPr>
        <w:t>de</w:t>
      </w:r>
      <w:r>
        <w:rPr>
          <w:color w:val="231F20"/>
          <w:spacing w:val="17"/>
        </w:rPr>
        <w:t> </w:t>
      </w:r>
      <w:r>
        <w:rPr>
          <w:color w:val="231F20"/>
        </w:rPr>
        <w:t>droit</w:t>
      </w:r>
      <w:r>
        <w:rPr>
          <w:color w:val="231F20"/>
          <w:spacing w:val="16"/>
        </w:rPr>
        <w:t> </w:t>
      </w:r>
      <w:r>
        <w:rPr>
          <w:color w:val="231F20"/>
        </w:rPr>
        <w:t>public.</w:t>
      </w:r>
    </w:p>
    <w:p>
      <w:pPr>
        <w:pStyle w:val="BodyText"/>
        <w:spacing w:line="218" w:lineRule="auto" w:before="119"/>
        <w:ind w:firstLine="0"/>
      </w:pPr>
      <w:r>
        <w:rPr/>
        <w:br w:type="column"/>
      </w:r>
      <w:r>
        <w:rPr>
          <w:color w:val="231F20"/>
        </w:rPr>
        <w:t>vordering tot nietigverklaring wordt ingesteld, voor de duur van het geding tot op het ogenblik waarop over die vordering tot nietigverkla- ring uitspraak is gedaan bij een in kracht van gewijsde gegane beslissing;</w:t>
      </w:r>
    </w:p>
    <w:p>
      <w:pPr>
        <w:pStyle w:val="BodyText"/>
        <w:spacing w:line="218" w:lineRule="auto" w:before="86"/>
      </w:pPr>
      <w:r>
        <w:rPr>
          <w:color w:val="231F20"/>
        </w:rPr>
        <w:t>3° verliezen de leden van de ontbonden vereniging hun hoedanig- heid tenzij het verrichtingsvoorstel bepaalt dat zij van rechtswege lid worden van de verkrijgende VZW of IVZW.</w:t>
      </w:r>
    </w:p>
    <w:p>
      <w:pPr>
        <w:pStyle w:val="BodyText"/>
        <w:spacing w:line="218" w:lineRule="auto" w:before="86"/>
      </w:pPr>
      <w:r>
        <w:rPr>
          <w:color w:val="231F20"/>
        </w:rPr>
        <w:t>Indien de verrichting als een splitsing is, zijn de artikelen 12:17 en 12:60 van overeenkomstige toepassing.</w:t>
      </w:r>
    </w:p>
    <w:p>
      <w:pPr>
        <w:pStyle w:val="BodyText"/>
        <w:spacing w:line="218" w:lineRule="auto" w:before="85"/>
      </w:pPr>
      <w:r>
        <w:rPr>
          <w:color w:val="231F20"/>
        </w:rPr>
        <w:t>HOOFDSTUK 2. Voorwaarden en procedures die moeten worden gevolgd.</w:t>
      </w:r>
    </w:p>
    <w:p>
      <w:pPr>
        <w:pStyle w:val="BodyText"/>
        <w:spacing w:line="218" w:lineRule="auto" w:before="86"/>
      </w:pPr>
      <w:r>
        <w:rPr>
          <w:color w:val="231F20"/>
        </w:rPr>
        <w:t>Art. 13:2. § 1. Een VZW of een IVZW kan te allen tijde worden ontbonden door een besluit van haar algemene vergadering genomen volgens de vereisten voor de wijziging van haar doel of haar voorwerp teneinde haar gehele vermogen in te brengen in één of meer andere VZW’s of IVZW’s of in één of meer stichtingen, universiteiten of publiekrechtelijke rechtspersonen die het belangeloos doel ervan of een doel dat daar zou nauw mogelijk op aansluit moeten nastreven.</w:t>
      </w:r>
    </w:p>
    <w:p>
      <w:pPr>
        <w:pStyle w:val="BodyText"/>
        <w:spacing w:line="218" w:lineRule="auto" w:before="85"/>
      </w:pPr>
      <w:r>
        <w:rPr>
          <w:color w:val="231F20"/>
        </w:rPr>
        <w:t>§ 2. Een private stichting kan te allen tijde worden ontbonden door een besluit van haar bestuursorgaan dat beslist met eenparigheid van stemmen van de leden ervan teneinde haar gehele vermogen in te brengen in één of meer andere private stichtingen of in één of meer andere stichtingen van openbaar nut, universiteiten of publiekrechte- lijke rechtspersonen teneinde een niet gepersonaliseerd fonds erin op</w:t>
      </w:r>
      <w:r>
        <w:rPr>
          <w:color w:val="231F20"/>
          <w:spacing w:val="-11"/>
        </w:rPr>
        <w:t> </w:t>
      </w:r>
      <w:r>
        <w:rPr>
          <w:color w:val="231F20"/>
        </w:rPr>
        <w:t>te richten</w:t>
      </w:r>
      <w:r>
        <w:rPr>
          <w:color w:val="231F20"/>
          <w:spacing w:val="15"/>
        </w:rPr>
        <w:t> </w:t>
      </w:r>
      <w:r>
        <w:rPr>
          <w:color w:val="231F20"/>
        </w:rPr>
        <w:t>om</w:t>
      </w:r>
      <w:r>
        <w:rPr>
          <w:color w:val="231F20"/>
          <w:spacing w:val="15"/>
        </w:rPr>
        <w:t> </w:t>
      </w:r>
      <w:r>
        <w:rPr>
          <w:color w:val="231F20"/>
        </w:rPr>
        <w:t>het</w:t>
      </w:r>
      <w:r>
        <w:rPr>
          <w:color w:val="231F20"/>
          <w:spacing w:val="15"/>
        </w:rPr>
        <w:t> </w:t>
      </w:r>
      <w:r>
        <w:rPr>
          <w:color w:val="231F20"/>
        </w:rPr>
        <w:t>belangeloos</w:t>
      </w:r>
      <w:r>
        <w:rPr>
          <w:color w:val="231F20"/>
          <w:spacing w:val="15"/>
        </w:rPr>
        <w:t> </w:t>
      </w:r>
      <w:r>
        <w:rPr>
          <w:color w:val="231F20"/>
        </w:rPr>
        <w:t>doel</w:t>
      </w:r>
      <w:r>
        <w:rPr>
          <w:color w:val="231F20"/>
          <w:spacing w:val="15"/>
        </w:rPr>
        <w:t> </w:t>
      </w:r>
      <w:r>
        <w:rPr>
          <w:color w:val="231F20"/>
        </w:rPr>
        <w:t>ervan</w:t>
      </w:r>
      <w:r>
        <w:rPr>
          <w:color w:val="231F20"/>
          <w:spacing w:val="16"/>
        </w:rPr>
        <w:t> </w:t>
      </w:r>
      <w:r>
        <w:rPr>
          <w:color w:val="231F20"/>
        </w:rPr>
        <w:t>na</w:t>
      </w:r>
      <w:r>
        <w:rPr>
          <w:color w:val="231F20"/>
          <w:spacing w:val="15"/>
        </w:rPr>
        <w:t> </w:t>
      </w:r>
      <w:r>
        <w:rPr>
          <w:color w:val="231F20"/>
        </w:rPr>
        <w:t>te</w:t>
      </w:r>
      <w:r>
        <w:rPr>
          <w:color w:val="231F20"/>
          <w:spacing w:val="15"/>
        </w:rPr>
        <w:t> </w:t>
      </w:r>
      <w:r>
        <w:rPr>
          <w:color w:val="231F20"/>
        </w:rPr>
        <w:t>streven.</w:t>
      </w:r>
    </w:p>
    <w:p>
      <w:pPr>
        <w:pStyle w:val="BodyText"/>
        <w:spacing w:line="218" w:lineRule="auto" w:before="86"/>
        <w:ind w:right="123"/>
      </w:pPr>
      <w:r>
        <w:rPr>
          <w:color w:val="231F20"/>
        </w:rPr>
        <w:t>Een stichting van openbaar nut kan te allen tijde worden ontbonden door een besluit van haar bestuursorgaan dat beslist met eenparigheid van stemmen van de leden ervan teneinde haar gehele vermogen in te brengen in één of meer andere stichtingen van openbaar nut of in één of meer universiteiten of publiekrechtelijke rechtspersonen teneinde een niet gepersonaliseerd fonds erin op te richten om het belangeloos doel ervan na te</w:t>
      </w:r>
      <w:r>
        <w:rPr>
          <w:color w:val="231F20"/>
          <w:spacing w:val="19"/>
        </w:rPr>
        <w:t> </w:t>
      </w:r>
      <w:r>
        <w:rPr>
          <w:color w:val="231F20"/>
        </w:rPr>
        <w:t>streven.</w:t>
      </w:r>
    </w:p>
    <w:p>
      <w:pPr>
        <w:pStyle w:val="BodyText"/>
        <w:spacing w:line="218" w:lineRule="auto" w:before="86"/>
      </w:pPr>
      <w:r>
        <w:rPr>
          <w:color w:val="231F20"/>
        </w:rPr>
        <w:t>§ 3. Over de ontbinding zonder vereffening voor voornoemde doeleinden kan enkel worden beslist mits de artikelen 13:3 en 13:4 in acht wordt genomen.</w:t>
      </w:r>
    </w:p>
    <w:p>
      <w:pPr>
        <w:pStyle w:val="BodyText"/>
        <w:spacing w:line="218" w:lineRule="auto" w:before="86"/>
      </w:pPr>
      <w:r>
        <w:rPr>
          <w:color w:val="231F20"/>
        </w:rPr>
        <w:t>Art. 13:3. § 1. De bestuursorganen van de rechtspersonen die partij zijn bij de verrichting stellen gezamenlijk een verrichtingsvoorstel op.</w:t>
      </w:r>
    </w:p>
    <w:p>
      <w:pPr>
        <w:pStyle w:val="BodyText"/>
        <w:spacing w:line="218" w:lineRule="auto" w:before="85"/>
      </w:pPr>
      <w:r>
        <w:rPr>
          <w:color w:val="231F20"/>
        </w:rPr>
        <w:t>Het verrichtingsvoorstel omschrijft de redenen voor die verrichting en alle nadere regels ervan, alsmede indien het vermogen van de ontbonden rechtspersoon in meerdere verkrijgende rechtspersonen wordt ingebracht, de wijze waarop het wordt verdeeld.</w:t>
      </w:r>
    </w:p>
    <w:p>
      <w:pPr>
        <w:pStyle w:val="BodyText"/>
        <w:spacing w:line="218" w:lineRule="auto" w:before="86"/>
      </w:pPr>
      <w:r>
        <w:rPr>
          <w:color w:val="231F20"/>
        </w:rPr>
        <w:t>Bij dat voorstel wordt een staat van activa en passiva van de te ontbinden rechtspersoon gevoegd, die niet meer dan drie maanden vóór de datum waarop de bevoegde organen van de</w:t>
      </w:r>
      <w:r>
        <w:rPr>
          <w:color w:val="231F20"/>
          <w:spacing w:val="30"/>
        </w:rPr>
        <w:t> </w:t>
      </w:r>
      <w:r>
        <w:rPr>
          <w:color w:val="231F20"/>
        </w:rPr>
        <w:t>betrokken rechtspersonen moeten besluiten is afgesloten en, indien de verkrij- gende rechtspersoon een </w:t>
      </w:r>
      <w:r>
        <w:rPr>
          <w:color w:val="231F20"/>
          <w:spacing w:val="-4"/>
        </w:rPr>
        <w:t>VZW, </w:t>
      </w:r>
      <w:r>
        <w:rPr>
          <w:color w:val="231F20"/>
        </w:rPr>
        <w:t>een IVZW of een stichting vormt, een staat</w:t>
      </w:r>
      <w:r>
        <w:rPr>
          <w:color w:val="231F20"/>
          <w:spacing w:val="15"/>
        </w:rPr>
        <w:t> </w:t>
      </w:r>
      <w:r>
        <w:rPr>
          <w:color w:val="231F20"/>
        </w:rPr>
        <w:t>van</w:t>
      </w:r>
      <w:r>
        <w:rPr>
          <w:color w:val="231F20"/>
          <w:spacing w:val="15"/>
        </w:rPr>
        <w:t> </w:t>
      </w:r>
      <w:r>
        <w:rPr>
          <w:color w:val="231F20"/>
        </w:rPr>
        <w:t>activa</w:t>
      </w:r>
      <w:r>
        <w:rPr>
          <w:color w:val="231F20"/>
          <w:spacing w:val="16"/>
        </w:rPr>
        <w:t> </w:t>
      </w:r>
      <w:r>
        <w:rPr>
          <w:color w:val="231F20"/>
        </w:rPr>
        <w:t>en</w:t>
      </w:r>
      <w:r>
        <w:rPr>
          <w:color w:val="231F20"/>
          <w:spacing w:val="15"/>
        </w:rPr>
        <w:t> </w:t>
      </w:r>
      <w:r>
        <w:rPr>
          <w:color w:val="231F20"/>
        </w:rPr>
        <w:t>passiva</w:t>
      </w:r>
      <w:r>
        <w:rPr>
          <w:color w:val="231F20"/>
          <w:spacing w:val="16"/>
        </w:rPr>
        <w:t> </w:t>
      </w:r>
      <w:r>
        <w:rPr>
          <w:color w:val="231F20"/>
        </w:rPr>
        <w:t>ervan.</w:t>
      </w:r>
    </w:p>
    <w:p>
      <w:pPr>
        <w:pStyle w:val="BodyText"/>
        <w:ind w:left="0" w:right="0" w:firstLine="0"/>
        <w:jc w:val="left"/>
        <w:rPr>
          <w:sz w:val="23"/>
        </w:rPr>
      </w:pPr>
    </w:p>
    <w:p>
      <w:pPr>
        <w:pStyle w:val="BodyText"/>
        <w:spacing w:line="218" w:lineRule="auto"/>
        <w:ind w:right="123"/>
      </w:pPr>
      <w:r>
        <w:rPr>
          <w:color w:val="231F20"/>
        </w:rPr>
        <w:t>§ 2. De commissaris of, als er geen commissaris is, een door het bestuursorgaan aangewezen bedrijfsrevisor of externe accountant, stelt een verslag op over het verrichtingsvoorstel en de staat van activa en passiva die erbij wordt gevoegd.</w:t>
      </w:r>
    </w:p>
    <w:p>
      <w:pPr>
        <w:pStyle w:val="BodyText"/>
        <w:spacing w:line="218" w:lineRule="auto" w:before="86"/>
      </w:pPr>
      <w:r>
        <w:rPr>
          <w:color w:val="231F20"/>
        </w:rPr>
        <w:t>Indien geen enkele van de bij de verrichting betrokken rechtsperso- nen een commissaris heeft, kan in onderling overleg tussen hen een bedrijfsrevisor of externe accountant worden aangewezen.</w:t>
      </w:r>
    </w:p>
    <w:p>
      <w:pPr>
        <w:pStyle w:val="BodyText"/>
        <w:spacing w:line="218" w:lineRule="auto" w:before="85"/>
      </w:pPr>
      <w:r>
        <w:rPr>
          <w:color w:val="231F20"/>
        </w:rPr>
        <w:t>In de in deze paragraaf bedoelde verslagen wordt inzonderheid vermeld of in de staten waarop zij betrekking hebben, de toestand van de betrokken rechtspersoon op volledige, getrouwe en juiste wijze is weergegeven.</w:t>
      </w:r>
    </w:p>
    <w:p>
      <w:pPr>
        <w:pStyle w:val="BodyText"/>
        <w:spacing w:line="218" w:lineRule="auto" w:before="86"/>
      </w:pPr>
      <w:r>
        <w:rPr>
          <w:color w:val="231F20"/>
        </w:rPr>
        <w:t>§ 3. Het verrichtingsvoorstel, de staat van activa en passiva van de partijen en het verslag van de commissaris of van de bedrijfsrevisor of de externe accountant over die staten worden aan de leden van de betrokken verenigingen of aan de leden van de organen van de andere rechtspersonen die moeten beraadslagen over de verrichting bezorgd samen met de agenda van die organen.</w:t>
      </w:r>
    </w:p>
    <w:p>
      <w:pPr>
        <w:pStyle w:val="BodyText"/>
        <w:spacing w:line="185" w:lineRule="exact" w:before="71"/>
        <w:ind w:left="283" w:right="0" w:firstLine="0"/>
        <w:jc w:val="left"/>
      </w:pPr>
      <w:r>
        <w:rPr>
          <w:color w:val="231F20"/>
        </w:rPr>
        <w:t>Art. 13:4. § 1. De besluiten van de organen bedoeld in artikel 13:2,</w:t>
      </w:r>
    </w:p>
    <w:p>
      <w:pPr>
        <w:pStyle w:val="BodyText"/>
        <w:spacing w:line="218" w:lineRule="auto" w:before="6"/>
        <w:ind w:right="125" w:firstLine="0"/>
      </w:pPr>
      <w:r>
        <w:rPr>
          <w:color w:val="231F20"/>
        </w:rPr>
        <w:t>§§ 1 en 2, hebben enkel uitwerking indien de verkrijgende rechtsper- soon of rechtspersonen de inbreng aanvaarden.</w:t>
      </w:r>
    </w:p>
    <w:p>
      <w:pPr>
        <w:pStyle w:val="BodyText"/>
        <w:spacing w:line="218" w:lineRule="auto" w:before="96"/>
      </w:pPr>
      <w:r>
        <w:rPr>
          <w:color w:val="231F20"/>
        </w:rPr>
        <w:t>Indien het om een VZW of een IVZW gaat, moet het besluit worden genomen volgens de vereisten bedoeld in artikel 13:2, § 1, indien het om een stichting gaat volgens de vereisten bedoeld in paragraaf 2 van hetzelfde artikel en, indien het om een andere rechtspersoon gaat, door het bevoegde orgaan volgens de vereisten bedoeld in de wettelijke, regelgevende of statutaire bepalingen die erop van toepassing zijn.</w:t>
      </w:r>
    </w:p>
    <w:p>
      <w:pPr>
        <w:pStyle w:val="BodyText"/>
        <w:spacing w:line="218" w:lineRule="auto" w:before="96"/>
        <w:ind w:right="123"/>
      </w:pPr>
      <w:r>
        <w:rPr>
          <w:color w:val="231F20"/>
        </w:rPr>
        <w:t>§ 2. De notulen van de organen van de partijen bij de verrichting worden in authentieke vorm opgemaakt tenzij het om een universiteit of</w:t>
      </w:r>
      <w:r>
        <w:rPr>
          <w:color w:val="231F20"/>
          <w:spacing w:val="14"/>
        </w:rPr>
        <w:t> </w:t>
      </w:r>
      <w:r>
        <w:rPr>
          <w:color w:val="231F20"/>
        </w:rPr>
        <w:t>om</w:t>
      </w:r>
      <w:r>
        <w:rPr>
          <w:color w:val="231F20"/>
          <w:spacing w:val="15"/>
        </w:rPr>
        <w:t> </w:t>
      </w:r>
      <w:r>
        <w:rPr>
          <w:color w:val="231F20"/>
        </w:rPr>
        <w:t>een</w:t>
      </w:r>
      <w:r>
        <w:rPr>
          <w:color w:val="231F20"/>
          <w:spacing w:val="15"/>
        </w:rPr>
        <w:t> </w:t>
      </w:r>
      <w:r>
        <w:rPr>
          <w:color w:val="231F20"/>
        </w:rPr>
        <w:t>publiekrechtelijke</w:t>
      </w:r>
      <w:r>
        <w:rPr>
          <w:color w:val="231F20"/>
          <w:spacing w:val="15"/>
        </w:rPr>
        <w:t> </w:t>
      </w:r>
      <w:r>
        <w:rPr>
          <w:color w:val="231F20"/>
        </w:rPr>
        <w:t>rechtspersoon</w:t>
      </w:r>
      <w:r>
        <w:rPr>
          <w:color w:val="231F20"/>
          <w:spacing w:val="14"/>
        </w:rPr>
        <w:t> </w:t>
      </w:r>
      <w:r>
        <w:rPr>
          <w:color w:val="231F20"/>
        </w:rPr>
        <w:t>gaat.</w:t>
      </w:r>
    </w:p>
    <w:p>
      <w:pPr>
        <w:spacing w:after="0" w:line="218" w:lineRule="auto"/>
        <w:sectPr>
          <w:pgSz w:w="11940" w:h="16880"/>
          <w:pgMar w:header="666" w:footer="0" w:top="1140" w:bottom="280" w:left="340" w:right="360"/>
          <w:cols w:num="2" w:equalWidth="0">
            <w:col w:w="5568" w:space="60"/>
            <w:col w:w="5612"/>
          </w:cols>
        </w:sectPr>
      </w:pPr>
    </w:p>
    <w:p>
      <w:pPr>
        <w:pStyle w:val="BodyText"/>
        <w:spacing w:line="218" w:lineRule="auto" w:before="120"/>
        <w:ind w:right="38"/>
      </w:pPr>
      <w:r>
        <w:rPr/>
        <w:pict>
          <v:line style="position:absolute;mso-position-horizontal-relative:page;mso-position-vertical-relative:page;z-index:7240" from="298.170502pt,64.473pt" to="298.170502pt,812.819pt" stroked="true" strokeweight=".533pt" strokecolor="#231f20">
            <v:stroke dashstyle="solid"/>
            <w10:wrap type="none"/>
          </v:line>
        </w:pict>
      </w:r>
      <w:bookmarkStart w:name="_bookmark259" w:id="265"/>
      <w:bookmarkEnd w:id="265"/>
      <w:r>
        <w:rPr/>
      </w:r>
      <w:r>
        <w:rPr>
          <w:color w:val="231F20"/>
        </w:rPr>
        <w:t>§ 3. Ces proces-verbaux sont déposés et publiés par extraits conformément aux articles 2:9, 2:10, 2:11, 2:15, 2:16 ou 2:17 selon qu’il s’agit d’une ASBL, d’une AISBL ou d’une fondation et, le cas échéant, conformément aux règles applicables à la personne morale bénéficiaire de l’apport si elle a une autre forme légale.</w:t>
      </w:r>
    </w:p>
    <w:p>
      <w:pPr>
        <w:pStyle w:val="BodyText"/>
        <w:spacing w:before="93"/>
        <w:ind w:left="283" w:right="0" w:firstLine="0"/>
        <w:jc w:val="left"/>
      </w:pPr>
      <w:r>
        <w:rPr>
          <w:color w:val="231F20"/>
        </w:rPr>
        <w:t>CHAPITRE 3. Opposabilité aux tiers.</w:t>
      </w:r>
    </w:p>
    <w:p>
      <w:pPr>
        <w:pStyle w:val="BodyText"/>
        <w:spacing w:line="218" w:lineRule="auto" w:before="103"/>
        <w:ind w:right="38"/>
      </w:pPr>
      <w:r>
        <w:rPr>
          <w:color w:val="231F20"/>
        </w:rPr>
        <w:t>Art. 13:5. L’apport de l’intégralité du patrimoine d’une ASBL, d’une AISBL ou d’une fondation n’est opposable aux tiers qu’aux conditions prescrites par l’article 2:18.</w:t>
      </w:r>
    </w:p>
    <w:p>
      <w:pPr>
        <w:pStyle w:val="BodyText"/>
        <w:spacing w:line="218" w:lineRule="auto" w:before="92"/>
        <w:ind w:right="38"/>
      </w:pPr>
      <w:r>
        <w:rPr>
          <w:color w:val="231F20"/>
        </w:rPr>
        <w:t>Les actes visés par l’article 1</w:t>
      </w:r>
      <w:r>
        <w:rPr>
          <w:color w:val="231F20"/>
          <w:position w:val="7"/>
          <w:sz w:val="11"/>
        </w:rPr>
        <w:t>er  </w:t>
      </w:r>
      <w:r>
        <w:rPr>
          <w:color w:val="231F20"/>
        </w:rPr>
        <w:t>de la loi hypothécaire du 16 décem-  bre 1851 ne sont opposables aux tiers que conformément à cette loi. Doivent à cet </w:t>
      </w:r>
      <w:r>
        <w:rPr>
          <w:color w:val="231F20"/>
          <w:spacing w:val="-3"/>
        </w:rPr>
        <w:t>effet </w:t>
      </w:r>
      <w:r>
        <w:rPr>
          <w:color w:val="231F20"/>
        </w:rPr>
        <w:t>être soumis aux formalités de transcription ou d’inscription les procès-verbaux des assemblées générales de toutes les personnes</w:t>
      </w:r>
      <w:r>
        <w:rPr>
          <w:color w:val="231F20"/>
          <w:spacing w:val="15"/>
        </w:rPr>
        <w:t> </w:t>
      </w:r>
      <w:r>
        <w:rPr>
          <w:color w:val="231F20"/>
        </w:rPr>
        <w:t>morales</w:t>
      </w:r>
      <w:r>
        <w:rPr>
          <w:color w:val="231F20"/>
          <w:spacing w:val="16"/>
        </w:rPr>
        <w:t> </w:t>
      </w:r>
      <w:r>
        <w:rPr>
          <w:color w:val="231F20"/>
        </w:rPr>
        <w:t>ayant</w:t>
      </w:r>
      <w:r>
        <w:rPr>
          <w:color w:val="231F20"/>
          <w:spacing w:val="15"/>
        </w:rPr>
        <w:t> </w:t>
      </w:r>
      <w:r>
        <w:rPr>
          <w:color w:val="231F20"/>
        </w:rPr>
        <w:t>décidé</w:t>
      </w:r>
      <w:r>
        <w:rPr>
          <w:color w:val="231F20"/>
          <w:spacing w:val="16"/>
        </w:rPr>
        <w:t> </w:t>
      </w:r>
      <w:r>
        <w:rPr>
          <w:color w:val="231F20"/>
        </w:rPr>
        <w:t>la</w:t>
      </w:r>
      <w:r>
        <w:rPr>
          <w:color w:val="231F20"/>
          <w:spacing w:val="16"/>
        </w:rPr>
        <w:t> </w:t>
      </w:r>
      <w:r>
        <w:rPr>
          <w:color w:val="231F20"/>
        </w:rPr>
        <w:t>fusion</w:t>
      </w:r>
      <w:r>
        <w:rPr>
          <w:color w:val="231F20"/>
          <w:spacing w:val="15"/>
        </w:rPr>
        <w:t> </w:t>
      </w:r>
      <w:r>
        <w:rPr>
          <w:color w:val="231F20"/>
        </w:rPr>
        <w:t>ou</w:t>
      </w:r>
      <w:r>
        <w:rPr>
          <w:color w:val="231F20"/>
          <w:spacing w:val="16"/>
        </w:rPr>
        <w:t> </w:t>
      </w:r>
      <w:r>
        <w:rPr>
          <w:color w:val="231F20"/>
        </w:rPr>
        <w:t>la</w:t>
      </w:r>
      <w:r>
        <w:rPr>
          <w:color w:val="231F20"/>
          <w:spacing w:val="16"/>
        </w:rPr>
        <w:t> </w:t>
      </w:r>
      <w:r>
        <w:rPr>
          <w:color w:val="231F20"/>
        </w:rPr>
        <w:t>scission.</w:t>
      </w:r>
    </w:p>
    <w:p>
      <w:pPr>
        <w:pStyle w:val="BodyText"/>
        <w:spacing w:line="218" w:lineRule="auto" w:before="107"/>
        <w:ind w:right="38"/>
      </w:pPr>
      <w:r>
        <w:rPr>
          <w:color w:val="231F20"/>
        </w:rPr>
        <w:t>Le transfert des droits de propriété intellectuelle et industrielle n’est opposable aux tiers que conformément aux conditions prévues par les lois spéciales qui régissent ces opérations.</w:t>
      </w:r>
    </w:p>
    <w:p>
      <w:pPr>
        <w:pStyle w:val="BodyText"/>
        <w:spacing w:before="92"/>
        <w:ind w:left="283" w:right="0" w:firstLine="0"/>
        <w:jc w:val="left"/>
      </w:pPr>
      <w:r>
        <w:rPr>
          <w:color w:val="231F20"/>
        </w:rPr>
        <w:t>CHAPITRE 4. Fixation des sûretés.</w:t>
      </w:r>
    </w:p>
    <w:p>
      <w:pPr>
        <w:pStyle w:val="BodyText"/>
        <w:spacing w:line="218" w:lineRule="auto" w:before="99"/>
        <w:ind w:right="38"/>
      </w:pPr>
      <w:r>
        <w:rPr>
          <w:color w:val="231F20"/>
        </w:rPr>
        <w:t>Art. 13:6. § 1</w:t>
      </w:r>
      <w:r>
        <w:rPr>
          <w:color w:val="231F20"/>
          <w:position w:val="7"/>
          <w:sz w:val="11"/>
        </w:rPr>
        <w:t>er</w:t>
      </w:r>
      <w:r>
        <w:rPr>
          <w:color w:val="231F20"/>
        </w:rPr>
        <w:t>. Au plus tard dans les deux mois de la publication aux Annexes du </w:t>
      </w:r>
      <w:r>
        <w:rPr>
          <w:rFonts w:ascii="Times New Roman" w:hAnsi="Times New Roman"/>
          <w:i/>
          <w:color w:val="231F20"/>
        </w:rPr>
        <w:t>Moniteur belge </w:t>
      </w:r>
      <w:r>
        <w:rPr>
          <w:color w:val="231F20"/>
        </w:rPr>
        <w:t>des actes constatant l’opération, les créan- ciers de chacune des personnes morales qui participent à l’opération dont</w:t>
      </w:r>
      <w:r>
        <w:rPr>
          <w:color w:val="231F20"/>
          <w:spacing w:val="-6"/>
        </w:rPr>
        <w:t> </w:t>
      </w:r>
      <w:r>
        <w:rPr>
          <w:color w:val="231F20"/>
        </w:rPr>
        <w:t>la</w:t>
      </w:r>
      <w:r>
        <w:rPr>
          <w:color w:val="231F20"/>
          <w:spacing w:val="-6"/>
        </w:rPr>
        <w:t> </w:t>
      </w:r>
      <w:r>
        <w:rPr>
          <w:color w:val="231F20"/>
        </w:rPr>
        <w:t>créance</w:t>
      </w:r>
      <w:r>
        <w:rPr>
          <w:color w:val="231F20"/>
          <w:spacing w:val="-5"/>
        </w:rPr>
        <w:t> </w:t>
      </w:r>
      <w:r>
        <w:rPr>
          <w:color w:val="231F20"/>
        </w:rPr>
        <w:t>est</w:t>
      </w:r>
      <w:r>
        <w:rPr>
          <w:color w:val="231F20"/>
          <w:spacing w:val="-6"/>
        </w:rPr>
        <w:t> </w:t>
      </w:r>
      <w:r>
        <w:rPr>
          <w:color w:val="231F20"/>
        </w:rPr>
        <w:t>certaine</w:t>
      </w:r>
      <w:r>
        <w:rPr>
          <w:color w:val="231F20"/>
          <w:spacing w:val="-5"/>
        </w:rPr>
        <w:t> </w:t>
      </w:r>
      <w:r>
        <w:rPr>
          <w:color w:val="231F20"/>
        </w:rPr>
        <w:t>avant</w:t>
      </w:r>
      <w:r>
        <w:rPr>
          <w:color w:val="231F20"/>
          <w:spacing w:val="-6"/>
        </w:rPr>
        <w:t> </w:t>
      </w:r>
      <w:r>
        <w:rPr>
          <w:color w:val="231F20"/>
        </w:rPr>
        <w:t>cette</w:t>
      </w:r>
      <w:r>
        <w:rPr>
          <w:color w:val="231F20"/>
          <w:spacing w:val="-5"/>
        </w:rPr>
        <w:t> </w:t>
      </w:r>
      <w:r>
        <w:rPr>
          <w:color w:val="231F20"/>
        </w:rPr>
        <w:t>publication</w:t>
      </w:r>
      <w:r>
        <w:rPr>
          <w:color w:val="231F20"/>
          <w:spacing w:val="-6"/>
        </w:rPr>
        <w:t> </w:t>
      </w:r>
      <w:r>
        <w:rPr>
          <w:color w:val="231F20"/>
        </w:rPr>
        <w:t>mais</w:t>
      </w:r>
      <w:r>
        <w:rPr>
          <w:color w:val="231F20"/>
          <w:spacing w:val="-6"/>
        </w:rPr>
        <w:t> </w:t>
      </w:r>
      <w:r>
        <w:rPr>
          <w:color w:val="231F20"/>
        </w:rPr>
        <w:t>n’est</w:t>
      </w:r>
      <w:r>
        <w:rPr>
          <w:color w:val="231F20"/>
          <w:spacing w:val="-5"/>
        </w:rPr>
        <w:t> </w:t>
      </w:r>
      <w:r>
        <w:rPr>
          <w:color w:val="231F20"/>
        </w:rPr>
        <w:t>pas</w:t>
      </w:r>
      <w:r>
        <w:rPr>
          <w:color w:val="231F20"/>
          <w:spacing w:val="-6"/>
        </w:rPr>
        <w:t> </w:t>
      </w:r>
      <w:r>
        <w:rPr>
          <w:color w:val="231F20"/>
        </w:rPr>
        <w:t>encore exigible ou dont la créance a fait l’objet d’une action introduite en justice ou par voie d’arbitrage avant l’acte constatant l’opération, peuvent</w:t>
      </w:r>
      <w:r>
        <w:rPr>
          <w:color w:val="231F20"/>
          <w:spacing w:val="14"/>
        </w:rPr>
        <w:t> </w:t>
      </w:r>
      <w:r>
        <w:rPr>
          <w:color w:val="231F20"/>
        </w:rPr>
        <w:t>exiger</w:t>
      </w:r>
      <w:r>
        <w:rPr>
          <w:color w:val="231F20"/>
          <w:spacing w:val="15"/>
        </w:rPr>
        <w:t> </w:t>
      </w:r>
      <w:r>
        <w:rPr>
          <w:color w:val="231F20"/>
        </w:rPr>
        <w:t>une</w:t>
      </w:r>
      <w:r>
        <w:rPr>
          <w:color w:val="231F20"/>
          <w:spacing w:val="15"/>
        </w:rPr>
        <w:t> </w:t>
      </w:r>
      <w:r>
        <w:rPr>
          <w:color w:val="231F20"/>
        </w:rPr>
        <w:t>sûreté,</w:t>
      </w:r>
      <w:r>
        <w:rPr>
          <w:color w:val="231F20"/>
          <w:spacing w:val="15"/>
        </w:rPr>
        <w:t> </w:t>
      </w:r>
      <w:r>
        <w:rPr>
          <w:color w:val="231F20"/>
        </w:rPr>
        <w:t>nonobstant</w:t>
      </w:r>
      <w:r>
        <w:rPr>
          <w:color w:val="231F20"/>
          <w:spacing w:val="15"/>
        </w:rPr>
        <w:t> </w:t>
      </w:r>
      <w:r>
        <w:rPr>
          <w:color w:val="231F20"/>
        </w:rPr>
        <w:t>toute</w:t>
      </w:r>
      <w:r>
        <w:rPr>
          <w:color w:val="231F20"/>
          <w:spacing w:val="15"/>
        </w:rPr>
        <w:t> </w:t>
      </w:r>
      <w:r>
        <w:rPr>
          <w:color w:val="231F20"/>
        </w:rPr>
        <w:t>disposition</w:t>
      </w:r>
      <w:r>
        <w:rPr>
          <w:color w:val="231F20"/>
          <w:spacing w:val="14"/>
        </w:rPr>
        <w:t> </w:t>
      </w:r>
      <w:r>
        <w:rPr>
          <w:color w:val="231F20"/>
        </w:rPr>
        <w:t>contraire.</w:t>
      </w:r>
    </w:p>
    <w:p>
      <w:pPr>
        <w:pStyle w:val="BodyText"/>
        <w:spacing w:before="7"/>
        <w:ind w:left="0" w:right="0" w:firstLine="0"/>
        <w:jc w:val="left"/>
        <w:rPr>
          <w:sz w:val="25"/>
        </w:rPr>
      </w:pPr>
    </w:p>
    <w:p>
      <w:pPr>
        <w:pStyle w:val="BodyText"/>
        <w:spacing w:line="218" w:lineRule="auto"/>
        <w:ind w:right="38"/>
      </w:pPr>
      <w:r>
        <w:rPr>
          <w:color w:val="231F20"/>
        </w:rPr>
        <w:t>La personne morale bénéficiaire à laquelle cette obligation a été transférée et, le cas échéant, la personne morale dissoute peuvent chacune écarter cette demande en payant la créance à sa valeur, après déduction de l’escompte.</w:t>
      </w:r>
    </w:p>
    <w:p>
      <w:pPr>
        <w:pStyle w:val="BodyText"/>
        <w:spacing w:line="218" w:lineRule="auto" w:before="118"/>
        <w:ind w:right="38"/>
      </w:pPr>
      <w:r>
        <w:rPr>
          <w:color w:val="231F20"/>
        </w:rPr>
        <w:t>À défaut d’accord ou si le créancier n’a pas reçu satisfaction, la partie la plus diligente soumet la contestation au président du tribunal de l’entreprise du siège de la personne morale débitrice, siégeant en référé.</w:t>
      </w:r>
    </w:p>
    <w:p>
      <w:pPr>
        <w:pStyle w:val="BodyText"/>
        <w:spacing w:before="9"/>
        <w:ind w:left="0" w:right="0" w:firstLine="0"/>
        <w:jc w:val="left"/>
        <w:rPr>
          <w:sz w:val="25"/>
        </w:rPr>
      </w:pPr>
    </w:p>
    <w:p>
      <w:pPr>
        <w:pStyle w:val="BodyText"/>
        <w:spacing w:line="218" w:lineRule="auto"/>
        <w:ind w:right="38"/>
      </w:pPr>
      <w:r>
        <w:rPr>
          <w:color w:val="231F20"/>
        </w:rPr>
        <w:t>Tous droits saufs au fond, le président détermine la sûreté à fournir par la personne morale et fixe le délai dans lequel elle doit être constituée, à moins qu’il ne décide qu’aucune sûreté ne doit être fournie, eu égard soit aux garanties et privilèges dont jouit le créancier, soit à la solvabilité de la personne morale bénéficiaire.</w:t>
      </w:r>
    </w:p>
    <w:p>
      <w:pPr>
        <w:pStyle w:val="BodyText"/>
        <w:spacing w:line="218" w:lineRule="auto" w:before="118"/>
        <w:ind w:right="38"/>
      </w:pPr>
      <w:r>
        <w:rPr>
          <w:color w:val="231F20"/>
        </w:rPr>
        <w:t>Si la sûreté n’est pas fournie dans le délai fixé, la créance devient immédiatement exigible et les personnes morales bénéficiaires sont solidairement tenues de cette obligation.</w:t>
      </w:r>
    </w:p>
    <w:p>
      <w:pPr>
        <w:pStyle w:val="BodyText"/>
        <w:spacing w:before="7"/>
        <w:ind w:left="0" w:right="0" w:firstLine="0"/>
        <w:jc w:val="left"/>
        <w:rPr>
          <w:sz w:val="24"/>
        </w:rPr>
      </w:pPr>
    </w:p>
    <w:p>
      <w:pPr>
        <w:pStyle w:val="BodyText"/>
        <w:ind w:left="283" w:right="0" w:firstLine="0"/>
        <w:jc w:val="left"/>
      </w:pPr>
      <w:r>
        <w:rPr>
          <w:color w:val="231F20"/>
        </w:rPr>
        <w:t>CHAPITRE 5. Nullité de l’opération.</w:t>
      </w:r>
    </w:p>
    <w:p>
      <w:pPr>
        <w:pStyle w:val="BodyText"/>
        <w:spacing w:line="218" w:lineRule="auto" w:before="114"/>
        <w:ind w:right="38"/>
      </w:pPr>
      <w:r>
        <w:rPr>
          <w:color w:val="231F20"/>
        </w:rPr>
        <w:t>Art. 13:7. Le tribunal de l’entreprise peut, à la requête de tout intéressé, prononcer la nullité de l’opération si les décisions des assemblées générales qui l’ont approuvée n’ont pas été constatées en la forme requise ou si ces décisions ont été prises en l’absence du projet d’opération ou du rapport des commissaires ou des réviseurs d’entre- prises ou experts-comptables externes prévus par le présent titre.</w:t>
      </w:r>
    </w:p>
    <w:p>
      <w:pPr>
        <w:pStyle w:val="BodyText"/>
        <w:spacing w:before="9"/>
        <w:ind w:left="0" w:right="0" w:firstLine="0"/>
        <w:jc w:val="left"/>
        <w:rPr>
          <w:sz w:val="25"/>
        </w:rPr>
      </w:pPr>
    </w:p>
    <w:p>
      <w:pPr>
        <w:pStyle w:val="BodyText"/>
        <w:spacing w:line="218" w:lineRule="auto"/>
        <w:ind w:right="38"/>
      </w:pPr>
      <w:r>
        <w:rPr>
          <w:color w:val="231F20"/>
        </w:rPr>
        <w:t>Lorsqu’il est possible de porter remède à l’irrégularité susceptible d’entraîner la nullité de l’opération, le tribunal accorde aux personnes morales concernées un délai pour régulariser la situation.</w:t>
      </w:r>
    </w:p>
    <w:p>
      <w:pPr>
        <w:pStyle w:val="BodyText"/>
        <w:spacing w:line="218" w:lineRule="auto" w:before="118"/>
        <w:ind w:right="38"/>
      </w:pPr>
      <w:r>
        <w:rPr>
          <w:color w:val="231F20"/>
        </w:rPr>
        <w:t>Art. 13:8. L’extrait de la décision judiciaire passée en force de chose jugée ou exécutoire par provision prononçant la nullité de l’opération, de même que l’extrait de la décision judiciaire réformant le jugement exécutoire par provision précité, sont déposés et publiés conformément aux articles 2:9, 2:10, 2:11, 2:15, 2:16 et 2:17 selon qu’il s’agisse d’une ASBL, d’une AISBL ou d’une fondation.</w:t>
      </w:r>
    </w:p>
    <w:p>
      <w:pPr>
        <w:pStyle w:val="BodyText"/>
        <w:spacing w:before="6"/>
        <w:ind w:left="0" w:right="0" w:firstLine="0"/>
        <w:jc w:val="left"/>
        <w:rPr>
          <w:sz w:val="24"/>
        </w:rPr>
      </w:pPr>
    </w:p>
    <w:p>
      <w:pPr>
        <w:pStyle w:val="BodyText"/>
        <w:spacing w:before="1"/>
        <w:ind w:left="284" w:right="0" w:firstLine="0"/>
        <w:jc w:val="left"/>
      </w:pPr>
      <w:r>
        <w:rPr>
          <w:color w:val="231F20"/>
        </w:rPr>
        <w:t>Cet extrait contient:</w:t>
      </w:r>
    </w:p>
    <w:p>
      <w:pPr>
        <w:pStyle w:val="BodyText"/>
        <w:spacing w:line="218" w:lineRule="auto" w:before="114"/>
        <w:ind w:right="38"/>
      </w:pPr>
      <w:r>
        <w:rPr>
          <w:color w:val="231F20"/>
        </w:rPr>
        <w:t>1° la dénomination de chacune des personnes morales ayant participé à</w:t>
      </w:r>
      <w:r>
        <w:rPr>
          <w:color w:val="231F20"/>
          <w:spacing w:val="15"/>
        </w:rPr>
        <w:t> </w:t>
      </w:r>
      <w:r>
        <w:rPr>
          <w:color w:val="231F20"/>
        </w:rPr>
        <w:t>l’opération;</w:t>
      </w:r>
    </w:p>
    <w:p>
      <w:pPr>
        <w:pStyle w:val="BodyText"/>
        <w:spacing w:before="103"/>
        <w:ind w:left="284" w:right="0" w:firstLine="0"/>
        <w:jc w:val="left"/>
      </w:pPr>
      <w:r>
        <w:rPr>
          <w:color w:val="231F20"/>
        </w:rPr>
        <w:t>2°</w:t>
      </w:r>
      <w:r>
        <w:rPr>
          <w:color w:val="231F20"/>
          <w:spacing w:val="15"/>
        </w:rPr>
        <w:t> </w:t>
      </w:r>
      <w:r>
        <w:rPr>
          <w:color w:val="231F20"/>
        </w:rPr>
        <w:t>la</w:t>
      </w:r>
      <w:r>
        <w:rPr>
          <w:color w:val="231F20"/>
          <w:spacing w:val="16"/>
        </w:rPr>
        <w:t> </w:t>
      </w:r>
      <w:r>
        <w:rPr>
          <w:color w:val="231F20"/>
        </w:rPr>
        <w:t>date</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décision</w:t>
      </w:r>
      <w:r>
        <w:rPr>
          <w:color w:val="231F20"/>
          <w:spacing w:val="16"/>
        </w:rPr>
        <w:t> </w:t>
      </w:r>
      <w:r>
        <w:rPr>
          <w:color w:val="231F20"/>
        </w:rPr>
        <w:t>et</w:t>
      </w:r>
      <w:r>
        <w:rPr>
          <w:color w:val="231F20"/>
          <w:spacing w:val="15"/>
        </w:rPr>
        <w:t> </w:t>
      </w:r>
      <w:r>
        <w:rPr>
          <w:color w:val="231F20"/>
        </w:rPr>
        <w:t>le</w:t>
      </w:r>
      <w:r>
        <w:rPr>
          <w:color w:val="231F20"/>
          <w:spacing w:val="16"/>
        </w:rPr>
        <w:t> </w:t>
      </w:r>
      <w:r>
        <w:rPr>
          <w:color w:val="231F20"/>
        </w:rPr>
        <w:t>juge</w:t>
      </w:r>
      <w:r>
        <w:rPr>
          <w:color w:val="231F20"/>
          <w:spacing w:val="15"/>
        </w:rPr>
        <w:t> </w:t>
      </w:r>
      <w:r>
        <w:rPr>
          <w:color w:val="231F20"/>
        </w:rPr>
        <w:t>qui</w:t>
      </w:r>
      <w:r>
        <w:rPr>
          <w:color w:val="231F20"/>
          <w:spacing w:val="16"/>
        </w:rPr>
        <w:t> </w:t>
      </w:r>
      <w:r>
        <w:rPr>
          <w:color w:val="231F20"/>
        </w:rPr>
        <w:t>l’a</w:t>
      </w:r>
      <w:r>
        <w:rPr>
          <w:color w:val="231F20"/>
          <w:spacing w:val="16"/>
        </w:rPr>
        <w:t> </w:t>
      </w:r>
      <w:r>
        <w:rPr>
          <w:color w:val="231F20"/>
        </w:rPr>
        <w:t>prononcée.</w:t>
      </w:r>
    </w:p>
    <w:p>
      <w:pPr>
        <w:pStyle w:val="BodyText"/>
        <w:spacing w:line="218" w:lineRule="auto" w:before="114"/>
        <w:ind w:right="38"/>
      </w:pPr>
      <w:r>
        <w:rPr>
          <w:color w:val="231F20"/>
        </w:rPr>
        <w:t>Art. 13:9. La nullité ne porte pas atteinte par elle-même à la validité des obligations nées à la charge ou au profit des personnes morales bénéficiaires entre le moment où l’opération a sorti ses effets et la date à</w:t>
      </w:r>
      <w:r>
        <w:rPr>
          <w:color w:val="231F20"/>
          <w:spacing w:val="15"/>
        </w:rPr>
        <w:t> </w:t>
      </w:r>
      <w:r>
        <w:rPr>
          <w:color w:val="231F20"/>
        </w:rPr>
        <w:t>laquelle</w:t>
      </w:r>
      <w:r>
        <w:rPr>
          <w:color w:val="231F20"/>
          <w:spacing w:val="15"/>
        </w:rPr>
        <w:t> </w:t>
      </w:r>
      <w:r>
        <w:rPr>
          <w:color w:val="231F20"/>
        </w:rPr>
        <w:t>la</w:t>
      </w:r>
      <w:r>
        <w:rPr>
          <w:color w:val="231F20"/>
          <w:spacing w:val="15"/>
        </w:rPr>
        <w:t> </w:t>
      </w:r>
      <w:r>
        <w:rPr>
          <w:color w:val="231F20"/>
        </w:rPr>
        <w:t>décision</w:t>
      </w:r>
      <w:r>
        <w:rPr>
          <w:color w:val="231F20"/>
          <w:spacing w:val="15"/>
        </w:rPr>
        <w:t> </w:t>
      </w:r>
      <w:r>
        <w:rPr>
          <w:color w:val="231F20"/>
        </w:rPr>
        <w:t>prononçant</w:t>
      </w:r>
      <w:r>
        <w:rPr>
          <w:color w:val="231F20"/>
          <w:spacing w:val="15"/>
        </w:rPr>
        <w:t> </w:t>
      </w:r>
      <w:r>
        <w:rPr>
          <w:color w:val="231F20"/>
        </w:rPr>
        <w:t>la</w:t>
      </w:r>
      <w:r>
        <w:rPr>
          <w:color w:val="231F20"/>
          <w:spacing w:val="15"/>
        </w:rPr>
        <w:t> </w:t>
      </w:r>
      <w:r>
        <w:rPr>
          <w:color w:val="231F20"/>
        </w:rPr>
        <w:t>nullité</w:t>
      </w:r>
      <w:r>
        <w:rPr>
          <w:color w:val="231F20"/>
          <w:spacing w:val="15"/>
        </w:rPr>
        <w:t> </w:t>
      </w:r>
      <w:r>
        <w:rPr>
          <w:color w:val="231F20"/>
        </w:rPr>
        <w:t>est</w:t>
      </w:r>
      <w:r>
        <w:rPr>
          <w:color w:val="231F20"/>
          <w:spacing w:val="16"/>
        </w:rPr>
        <w:t> </w:t>
      </w:r>
      <w:r>
        <w:rPr>
          <w:color w:val="231F20"/>
        </w:rPr>
        <w:t>publiée.</w:t>
      </w:r>
    </w:p>
    <w:p>
      <w:pPr>
        <w:pStyle w:val="BodyText"/>
        <w:spacing w:before="9"/>
        <w:ind w:left="0" w:right="0" w:firstLine="0"/>
        <w:jc w:val="left"/>
        <w:rPr>
          <w:sz w:val="25"/>
        </w:rPr>
      </w:pPr>
    </w:p>
    <w:p>
      <w:pPr>
        <w:pStyle w:val="BodyText"/>
        <w:spacing w:line="218" w:lineRule="auto"/>
        <w:ind w:right="38"/>
      </w:pPr>
      <w:r>
        <w:rPr>
          <w:color w:val="231F20"/>
        </w:rPr>
        <w:t>Les personnes morales concernées répondent solidairement de ces obligations nées à charge des personnes morales bénéficiaires.</w:t>
      </w:r>
    </w:p>
    <w:p>
      <w:pPr>
        <w:pStyle w:val="BodyText"/>
        <w:spacing w:line="218" w:lineRule="auto" w:before="119"/>
      </w:pPr>
      <w:r>
        <w:rPr/>
        <w:br w:type="column"/>
      </w:r>
      <w:r>
        <w:rPr>
          <w:color w:val="231F20"/>
        </w:rPr>
        <w:t>§ 3. Deze notulen worden bij uittreksel neergelegd en bekendge- maakt overeenkomstig  de  artikelen  2:9,  2:10,  2:11,  2:15,  2:16  of  2:17 naargelang het om een </w:t>
      </w:r>
      <w:r>
        <w:rPr>
          <w:color w:val="231F20"/>
          <w:spacing w:val="-4"/>
        </w:rPr>
        <w:t>VZW, </w:t>
      </w:r>
      <w:r>
        <w:rPr>
          <w:color w:val="231F20"/>
        </w:rPr>
        <w:t>een IVZW of een stichting gaat en in voorkomend geval overeenkomstig de regels die van toepassing zijn op de</w:t>
      </w:r>
      <w:r>
        <w:rPr>
          <w:color w:val="231F20"/>
          <w:spacing w:val="15"/>
        </w:rPr>
        <w:t> </w:t>
      </w:r>
      <w:r>
        <w:rPr>
          <w:color w:val="231F20"/>
        </w:rPr>
        <w:t>verkrijgende</w:t>
      </w:r>
      <w:r>
        <w:rPr>
          <w:color w:val="231F20"/>
          <w:spacing w:val="15"/>
        </w:rPr>
        <w:t> </w:t>
      </w:r>
      <w:r>
        <w:rPr>
          <w:color w:val="231F20"/>
        </w:rPr>
        <w:t>rechtspersoon</w:t>
      </w:r>
      <w:r>
        <w:rPr>
          <w:color w:val="231F20"/>
          <w:spacing w:val="16"/>
        </w:rPr>
        <w:t> </w:t>
      </w:r>
      <w:r>
        <w:rPr>
          <w:color w:val="231F20"/>
        </w:rPr>
        <w:t>indien</w:t>
      </w:r>
      <w:r>
        <w:rPr>
          <w:color w:val="231F20"/>
          <w:spacing w:val="15"/>
        </w:rPr>
        <w:t> </w:t>
      </w:r>
      <w:r>
        <w:rPr>
          <w:color w:val="231F20"/>
        </w:rPr>
        <w:t>zij</w:t>
      </w:r>
      <w:r>
        <w:rPr>
          <w:color w:val="231F20"/>
          <w:spacing w:val="16"/>
        </w:rPr>
        <w:t> </w:t>
      </w:r>
      <w:r>
        <w:rPr>
          <w:color w:val="231F20"/>
        </w:rPr>
        <w:t>een</w:t>
      </w:r>
      <w:r>
        <w:rPr>
          <w:color w:val="231F20"/>
          <w:spacing w:val="15"/>
        </w:rPr>
        <w:t> </w:t>
      </w:r>
      <w:r>
        <w:rPr>
          <w:color w:val="231F20"/>
        </w:rPr>
        <w:t>andere</w:t>
      </w:r>
      <w:r>
        <w:rPr>
          <w:color w:val="231F20"/>
          <w:spacing w:val="15"/>
        </w:rPr>
        <w:t> </w:t>
      </w:r>
      <w:r>
        <w:rPr>
          <w:color w:val="231F20"/>
        </w:rPr>
        <w:t>rechtsvorm</w:t>
      </w:r>
      <w:r>
        <w:rPr>
          <w:color w:val="231F20"/>
          <w:spacing w:val="16"/>
        </w:rPr>
        <w:t> </w:t>
      </w:r>
      <w:r>
        <w:rPr>
          <w:color w:val="231F20"/>
        </w:rPr>
        <w:t>heeft.</w:t>
      </w:r>
    </w:p>
    <w:p>
      <w:pPr>
        <w:pStyle w:val="BodyText"/>
        <w:spacing w:before="93"/>
        <w:ind w:left="283" w:right="0" w:firstLine="0"/>
        <w:jc w:val="left"/>
      </w:pPr>
      <w:r>
        <w:rPr>
          <w:color w:val="231F20"/>
        </w:rPr>
        <w:t>HOOFDSTUK 3. Tegenwerpelijkheid aan </w:t>
      </w:r>
      <w:r>
        <w:rPr>
          <w:color w:val="231F20"/>
          <w:spacing w:val="35"/>
        </w:rPr>
        <w:t> </w:t>
      </w:r>
      <w:r>
        <w:rPr>
          <w:color w:val="231F20"/>
        </w:rPr>
        <w:t>derden.</w:t>
      </w:r>
    </w:p>
    <w:p>
      <w:pPr>
        <w:pStyle w:val="BodyText"/>
        <w:spacing w:line="218" w:lineRule="auto" w:before="104"/>
      </w:pPr>
      <w:r>
        <w:rPr>
          <w:color w:val="231F20"/>
        </w:rPr>
        <w:t>Art. 13:5. De inbreng van het gehele vermogen van een </w:t>
      </w:r>
      <w:r>
        <w:rPr>
          <w:color w:val="231F20"/>
          <w:spacing w:val="-4"/>
        </w:rPr>
        <w:t>VZW, </w:t>
      </w:r>
      <w:r>
        <w:rPr>
          <w:color w:val="231F20"/>
        </w:rPr>
        <w:t>van een IVZW of van een stichting kan aan derden slechts worden tegengewor- pen</w:t>
      </w:r>
      <w:r>
        <w:rPr>
          <w:color w:val="231F20"/>
          <w:spacing w:val="15"/>
        </w:rPr>
        <w:t> </w:t>
      </w:r>
      <w:r>
        <w:rPr>
          <w:color w:val="231F20"/>
        </w:rPr>
        <w:t>onder</w:t>
      </w:r>
      <w:r>
        <w:rPr>
          <w:color w:val="231F20"/>
          <w:spacing w:val="16"/>
        </w:rPr>
        <w:t> </w:t>
      </w:r>
      <w:r>
        <w:rPr>
          <w:color w:val="231F20"/>
        </w:rPr>
        <w:t>de</w:t>
      </w:r>
      <w:r>
        <w:rPr>
          <w:color w:val="231F20"/>
          <w:spacing w:val="15"/>
        </w:rPr>
        <w:t> </w:t>
      </w:r>
      <w:r>
        <w:rPr>
          <w:color w:val="231F20"/>
        </w:rPr>
        <w:t>in</w:t>
      </w:r>
      <w:r>
        <w:rPr>
          <w:color w:val="231F20"/>
          <w:spacing w:val="16"/>
        </w:rPr>
        <w:t> </w:t>
      </w:r>
      <w:r>
        <w:rPr>
          <w:color w:val="231F20"/>
        </w:rPr>
        <w:t>artikel</w:t>
      </w:r>
      <w:r>
        <w:rPr>
          <w:color w:val="231F20"/>
          <w:spacing w:val="16"/>
        </w:rPr>
        <w:t> </w:t>
      </w:r>
      <w:r>
        <w:rPr>
          <w:color w:val="231F20"/>
        </w:rPr>
        <w:t>2:18</w:t>
      </w:r>
      <w:r>
        <w:rPr>
          <w:color w:val="231F20"/>
          <w:spacing w:val="15"/>
        </w:rPr>
        <w:t> </w:t>
      </w:r>
      <w:r>
        <w:rPr>
          <w:color w:val="231F20"/>
        </w:rPr>
        <w:t>bepaalde</w:t>
      </w:r>
      <w:r>
        <w:rPr>
          <w:color w:val="231F20"/>
          <w:spacing w:val="16"/>
        </w:rPr>
        <w:t> </w:t>
      </w:r>
      <w:r>
        <w:rPr>
          <w:color w:val="231F20"/>
        </w:rPr>
        <w:t>voorwaarden.</w:t>
      </w:r>
    </w:p>
    <w:p>
      <w:pPr>
        <w:pStyle w:val="BodyText"/>
        <w:spacing w:line="218" w:lineRule="auto" w:before="107"/>
      </w:pPr>
      <w:r>
        <w:rPr>
          <w:color w:val="231F20"/>
        </w:rPr>
        <w:t>De akten bedoeld in artikel 1 van de hypotheekwet van 16 decem-   ber 1851 kunnen aan derden slechts worden tegengeworpen overeen- komstig deze wet. Daartoe moeten de notulen van de algemene vergaderingen van alle rechtspersonen die tot de fusie of splitsing hebben</w:t>
      </w:r>
      <w:r>
        <w:rPr>
          <w:color w:val="231F20"/>
          <w:spacing w:val="16"/>
        </w:rPr>
        <w:t> </w:t>
      </w:r>
      <w:r>
        <w:rPr>
          <w:color w:val="231F20"/>
        </w:rPr>
        <w:t>besloten,</w:t>
      </w:r>
      <w:r>
        <w:rPr>
          <w:color w:val="231F20"/>
          <w:spacing w:val="16"/>
        </w:rPr>
        <w:t> </w:t>
      </w:r>
      <w:r>
        <w:rPr>
          <w:color w:val="231F20"/>
        </w:rPr>
        <w:t>worden</w:t>
      </w:r>
      <w:r>
        <w:rPr>
          <w:color w:val="231F20"/>
          <w:spacing w:val="16"/>
        </w:rPr>
        <w:t> </w:t>
      </w:r>
      <w:r>
        <w:rPr>
          <w:color w:val="231F20"/>
        </w:rPr>
        <w:t>overgeschreven</w:t>
      </w:r>
      <w:r>
        <w:rPr>
          <w:color w:val="231F20"/>
          <w:spacing w:val="17"/>
        </w:rPr>
        <w:t> </w:t>
      </w:r>
      <w:r>
        <w:rPr>
          <w:color w:val="231F20"/>
        </w:rPr>
        <w:t>of</w:t>
      </w:r>
      <w:r>
        <w:rPr>
          <w:color w:val="231F20"/>
          <w:spacing w:val="16"/>
        </w:rPr>
        <w:t> </w:t>
      </w:r>
      <w:r>
        <w:rPr>
          <w:color w:val="231F20"/>
        </w:rPr>
        <w:t>ingeschreven.</w:t>
      </w:r>
    </w:p>
    <w:p>
      <w:pPr>
        <w:pStyle w:val="BodyText"/>
        <w:spacing w:line="218" w:lineRule="auto" w:before="107"/>
      </w:pPr>
      <w:r>
        <w:rPr>
          <w:color w:val="231F20"/>
        </w:rPr>
        <w:t>De overdracht van rechten van intellectuele en industriële eigendom kan aan derden slechts worden tegengeworpen overeenkomstig de bijzondere wetten die deze verrichtingen beheersen.</w:t>
      </w:r>
    </w:p>
    <w:p>
      <w:pPr>
        <w:pStyle w:val="BodyText"/>
        <w:spacing w:before="93"/>
        <w:ind w:left="283" w:right="0" w:firstLine="0"/>
        <w:jc w:val="left"/>
      </w:pPr>
      <w:r>
        <w:rPr>
          <w:color w:val="231F20"/>
        </w:rPr>
        <w:t>HOOFDSTUK 4. Zekerheidstelling.</w:t>
      </w:r>
    </w:p>
    <w:p>
      <w:pPr>
        <w:pStyle w:val="BodyText"/>
        <w:spacing w:line="218" w:lineRule="auto" w:before="114"/>
      </w:pPr>
      <w:r>
        <w:rPr>
          <w:color w:val="231F20"/>
        </w:rPr>
        <w:t>Art. 13:6. § 1. Uiterlijk binnen twee maanden na de bekendmaking in de Bijlagen bij het </w:t>
      </w:r>
      <w:r>
        <w:rPr>
          <w:rFonts w:ascii="Times New Roman" w:hAnsi="Times New Roman"/>
          <w:i/>
          <w:color w:val="231F20"/>
        </w:rPr>
        <w:t>Belgisch Staatsblad </w:t>
      </w:r>
      <w:r>
        <w:rPr>
          <w:color w:val="231F20"/>
        </w:rPr>
        <w:t>van de akten houdende vaststel- ling van de verrichting, kunnen de schuldeisers van elke rechtspersoon die deelneemt aan de verrichting wiens vordering vaststaand is vóór  die bekendmaking maar nog niet opeisbaar is of die voor deze schuldvordering in rechte of via arbitrage een vordering heeft ingesteld vóór de akte houdende vaststelling van de verrichting, zekerheid eisen niettegenstaande andersluidende</w:t>
      </w:r>
      <w:r>
        <w:rPr>
          <w:color w:val="231F20"/>
          <w:spacing w:val="-10"/>
        </w:rPr>
        <w:t> </w:t>
      </w:r>
      <w:r>
        <w:rPr>
          <w:color w:val="231F20"/>
        </w:rPr>
        <w:t>bepaling.</w:t>
      </w:r>
    </w:p>
    <w:p>
      <w:pPr>
        <w:pStyle w:val="BodyText"/>
        <w:spacing w:line="218" w:lineRule="auto" w:before="115"/>
      </w:pPr>
      <w:r>
        <w:rPr>
          <w:color w:val="231F20"/>
        </w:rPr>
        <w:t>De verkrijgende rechtspersoon aan wie deze verbintenis is toebe- deeld, en, in voorkomend geval, de ontbonden rechtspersoon, kunnen elk deze rechtsvordering afweren door de schuldvordering te voldoen tegen haar waarde, na aftrek van het disconto.</w:t>
      </w:r>
    </w:p>
    <w:p>
      <w:pPr>
        <w:pStyle w:val="BodyText"/>
        <w:spacing w:line="218" w:lineRule="auto" w:before="117"/>
      </w:pPr>
      <w:r>
        <w:rPr>
          <w:color w:val="231F20"/>
        </w:rPr>
        <w:t>Indien geen overeenstemming wordt bereikt of indien de schuldeiser geen voldoening heeft gekregen, legt de meest gerede partij het geschil voor aan de voorzitter van de ondernemingsrechtbank van de zetel van de schuldplichtige rechtspersoon, zitting houdend in kort geding.</w:t>
      </w:r>
    </w:p>
    <w:p>
      <w:pPr>
        <w:pStyle w:val="BodyText"/>
        <w:spacing w:line="218" w:lineRule="auto" w:before="118"/>
      </w:pPr>
      <w:r>
        <w:rPr>
          <w:color w:val="231F20"/>
        </w:rPr>
        <w:t>Onverminderd de rechten in de zaak zelf bepaalt de voorzitter de zekerheid die de rechtspersoon moet stellen en de termijn waarbinnen zulks moet gebeuren, tenzij hij beslist dat geen zekerheid moet worden gesteld gelet op de waarborgen en voorrechten waarover de schuld- eiser beschikt of op de solvabiliteit van de verkrijgende rechtspersoon.</w:t>
      </w:r>
    </w:p>
    <w:p>
      <w:pPr>
        <w:pStyle w:val="BodyText"/>
        <w:spacing w:line="218" w:lineRule="auto" w:before="118"/>
      </w:pPr>
      <w:r>
        <w:rPr>
          <w:color w:val="231F20"/>
        </w:rPr>
        <w:t>Indien de zekerheid niet binnen de bepaalde termijn is gesteld, wordt de schuldvordering onverwijld opeisbaar, en zijn de verkrijgende rechtspersonen hoofdelijk gehouden tot nakoming van deze verbinte- nis.</w:t>
      </w:r>
    </w:p>
    <w:p>
      <w:pPr>
        <w:pStyle w:val="BodyText"/>
        <w:spacing w:before="103"/>
        <w:ind w:left="283" w:right="0" w:firstLine="0"/>
        <w:jc w:val="left"/>
      </w:pPr>
      <w:r>
        <w:rPr>
          <w:color w:val="231F20"/>
        </w:rPr>
        <w:t>HOOFDSTUK 5. Nietigheid van de verrichting.</w:t>
      </w:r>
    </w:p>
    <w:p>
      <w:pPr>
        <w:pStyle w:val="BodyText"/>
        <w:spacing w:line="218" w:lineRule="auto" w:before="114"/>
        <w:ind w:right="123"/>
      </w:pPr>
      <w:r>
        <w:rPr>
          <w:color w:val="231F20"/>
        </w:rPr>
        <w:t>Art. 13:7. De ondernemingsrechtbank kan, op verzoek van elke belanghebbende, de nietigheid van de verrichting uitspreken indien de besluiten van de algemene vergaderingen die ze hebben goedgekeurd niet in de vereiste vorm zijn vastgesteld of indien die besluiten werden genomen terwijl het door deze titel voorgeschreven verrichtingsvoor- stel of verslag van de commissarissen of de bedrijfsrevisoren of externe accountants niet voorlagen.</w:t>
      </w:r>
    </w:p>
    <w:p>
      <w:pPr>
        <w:pStyle w:val="BodyText"/>
        <w:spacing w:line="218" w:lineRule="auto" w:before="118"/>
      </w:pPr>
      <w:r>
        <w:rPr>
          <w:color w:val="231F20"/>
        </w:rPr>
        <w:t>Wanneer herstel van het gebrek dat tot de nietigheid van de verrichting kan leiden mogelijk is, verleent de rechtbank daartoe aan de betrokken rechtspersonen een termijn om de toestand te regulariseren.</w:t>
      </w:r>
    </w:p>
    <w:p>
      <w:pPr>
        <w:pStyle w:val="BodyText"/>
        <w:spacing w:line="218" w:lineRule="auto" w:before="118"/>
      </w:pPr>
      <w:r>
        <w:rPr>
          <w:color w:val="231F20"/>
        </w:rPr>
        <w:t>Art. 13:8. Het uittreksel uit de in kracht van gewijsde gegane of bij voorraad uitvoerbare rechterlijke beslissing waarbij de nietigheid van de verrichting wordt uitgesproken, alsook het uittreksel uit de rechter- lijke beslissing waarbij het voornoemde bij voorraad uitvoerbare vonnis wordt tenietgedaan, worden neergelegd en bekendgemaakt overeen- komstig</w:t>
      </w:r>
      <w:r>
        <w:rPr>
          <w:color w:val="231F20"/>
          <w:spacing w:val="-5"/>
        </w:rPr>
        <w:t> </w:t>
      </w:r>
      <w:r>
        <w:rPr>
          <w:color w:val="231F20"/>
        </w:rPr>
        <w:t>de</w:t>
      </w:r>
      <w:r>
        <w:rPr>
          <w:color w:val="231F20"/>
          <w:spacing w:val="-4"/>
        </w:rPr>
        <w:t> </w:t>
      </w:r>
      <w:r>
        <w:rPr>
          <w:color w:val="231F20"/>
        </w:rPr>
        <w:t>artikelen</w:t>
      </w:r>
      <w:r>
        <w:rPr>
          <w:color w:val="231F20"/>
          <w:spacing w:val="-4"/>
        </w:rPr>
        <w:t> </w:t>
      </w:r>
      <w:r>
        <w:rPr>
          <w:color w:val="231F20"/>
        </w:rPr>
        <w:t>2:9,</w:t>
      </w:r>
      <w:r>
        <w:rPr>
          <w:color w:val="231F20"/>
          <w:spacing w:val="-4"/>
        </w:rPr>
        <w:t> </w:t>
      </w:r>
      <w:r>
        <w:rPr>
          <w:color w:val="231F20"/>
        </w:rPr>
        <w:t>2:10,</w:t>
      </w:r>
      <w:r>
        <w:rPr>
          <w:color w:val="231F20"/>
          <w:spacing w:val="-4"/>
        </w:rPr>
        <w:t> </w:t>
      </w:r>
      <w:r>
        <w:rPr>
          <w:color w:val="231F20"/>
        </w:rPr>
        <w:t>2:11,</w:t>
      </w:r>
      <w:r>
        <w:rPr>
          <w:color w:val="231F20"/>
          <w:spacing w:val="-4"/>
        </w:rPr>
        <w:t> </w:t>
      </w:r>
      <w:r>
        <w:rPr>
          <w:color w:val="231F20"/>
        </w:rPr>
        <w:t>2:15,</w:t>
      </w:r>
      <w:r>
        <w:rPr>
          <w:color w:val="231F20"/>
          <w:spacing w:val="-4"/>
        </w:rPr>
        <w:t> </w:t>
      </w:r>
      <w:r>
        <w:rPr>
          <w:color w:val="231F20"/>
        </w:rPr>
        <w:t>2:16</w:t>
      </w:r>
      <w:r>
        <w:rPr>
          <w:color w:val="231F20"/>
          <w:spacing w:val="-5"/>
        </w:rPr>
        <w:t> </w:t>
      </w:r>
      <w:r>
        <w:rPr>
          <w:color w:val="231F20"/>
        </w:rPr>
        <w:t>en</w:t>
      </w:r>
      <w:r>
        <w:rPr>
          <w:color w:val="231F20"/>
          <w:spacing w:val="-4"/>
        </w:rPr>
        <w:t> </w:t>
      </w:r>
      <w:r>
        <w:rPr>
          <w:color w:val="231F20"/>
        </w:rPr>
        <w:t>2:17</w:t>
      </w:r>
      <w:r>
        <w:rPr>
          <w:color w:val="231F20"/>
          <w:spacing w:val="-4"/>
        </w:rPr>
        <w:t> </w:t>
      </w:r>
      <w:r>
        <w:rPr>
          <w:color w:val="231F20"/>
        </w:rPr>
        <w:t>naargelang</w:t>
      </w:r>
      <w:r>
        <w:rPr>
          <w:color w:val="231F20"/>
          <w:spacing w:val="-4"/>
        </w:rPr>
        <w:t> </w:t>
      </w:r>
      <w:r>
        <w:rPr>
          <w:color w:val="231F20"/>
        </w:rPr>
        <w:t>het</w:t>
      </w:r>
      <w:r>
        <w:rPr>
          <w:color w:val="231F20"/>
          <w:spacing w:val="-4"/>
        </w:rPr>
        <w:t> </w:t>
      </w:r>
      <w:r>
        <w:rPr>
          <w:color w:val="231F20"/>
        </w:rPr>
        <w:t>om een</w:t>
      </w:r>
      <w:r>
        <w:rPr>
          <w:color w:val="231F20"/>
          <w:spacing w:val="15"/>
        </w:rPr>
        <w:t> </w:t>
      </w:r>
      <w:r>
        <w:rPr>
          <w:color w:val="231F20"/>
          <w:spacing w:val="-4"/>
        </w:rPr>
        <w:t>VZW,</w:t>
      </w:r>
      <w:r>
        <w:rPr>
          <w:color w:val="231F20"/>
          <w:spacing w:val="16"/>
        </w:rPr>
        <w:t> </w:t>
      </w:r>
      <w:r>
        <w:rPr>
          <w:color w:val="231F20"/>
        </w:rPr>
        <w:t>een</w:t>
      </w:r>
      <w:r>
        <w:rPr>
          <w:color w:val="231F20"/>
          <w:spacing w:val="16"/>
        </w:rPr>
        <w:t> </w:t>
      </w:r>
      <w:r>
        <w:rPr>
          <w:color w:val="231F20"/>
        </w:rPr>
        <w:t>IVZW</w:t>
      </w:r>
      <w:r>
        <w:rPr>
          <w:color w:val="231F20"/>
          <w:spacing w:val="16"/>
        </w:rPr>
        <w:t> </w:t>
      </w:r>
      <w:r>
        <w:rPr>
          <w:color w:val="231F20"/>
        </w:rPr>
        <w:t>of</w:t>
      </w:r>
      <w:r>
        <w:rPr>
          <w:color w:val="231F20"/>
          <w:spacing w:val="15"/>
        </w:rPr>
        <w:t> </w:t>
      </w:r>
      <w:r>
        <w:rPr>
          <w:color w:val="231F20"/>
        </w:rPr>
        <w:t>een</w:t>
      </w:r>
      <w:r>
        <w:rPr>
          <w:color w:val="231F20"/>
          <w:spacing w:val="16"/>
        </w:rPr>
        <w:t> </w:t>
      </w:r>
      <w:r>
        <w:rPr>
          <w:color w:val="231F20"/>
        </w:rPr>
        <w:t>stichting</w:t>
      </w:r>
      <w:r>
        <w:rPr>
          <w:color w:val="231F20"/>
          <w:spacing w:val="16"/>
        </w:rPr>
        <w:t> </w:t>
      </w:r>
      <w:r>
        <w:rPr>
          <w:color w:val="231F20"/>
        </w:rPr>
        <w:t>gaat.</w:t>
      </w:r>
    </w:p>
    <w:p>
      <w:pPr>
        <w:pStyle w:val="BodyText"/>
        <w:spacing w:before="103"/>
        <w:ind w:left="283" w:right="0" w:firstLine="0"/>
        <w:jc w:val="left"/>
      </w:pPr>
      <w:r>
        <w:rPr>
          <w:color w:val="231F20"/>
        </w:rPr>
        <w:t>Dat uittreksel vermeldt:</w:t>
      </w:r>
    </w:p>
    <w:p>
      <w:pPr>
        <w:pStyle w:val="BodyText"/>
        <w:spacing w:line="218" w:lineRule="auto" w:before="114"/>
      </w:pPr>
      <w:r>
        <w:rPr>
          <w:color w:val="231F20"/>
        </w:rPr>
        <w:t>1° de naam van elk van de rechtspersonen die aan de verrichting hebben deelgenomen;</w:t>
      </w:r>
    </w:p>
    <w:p>
      <w:pPr>
        <w:pStyle w:val="BodyText"/>
        <w:spacing w:before="104"/>
        <w:ind w:left="283" w:right="0" w:firstLine="0"/>
        <w:jc w:val="left"/>
      </w:pPr>
      <w:r>
        <w:rPr>
          <w:color w:val="231F20"/>
        </w:rPr>
        <w:t>2° de datum van de beslissing en de rechter die ze heeft gewezen.</w:t>
      </w:r>
    </w:p>
    <w:p>
      <w:pPr>
        <w:pStyle w:val="BodyText"/>
        <w:spacing w:line="218" w:lineRule="auto" w:before="114"/>
      </w:pPr>
      <w:r>
        <w:rPr>
          <w:color w:val="231F20"/>
        </w:rPr>
        <w:t>Art. 13:9. De nietigheid doet op zichzelf geen afbreuk aan de geldigheid van de verbintenissen die ten laste of ten gunste van de verkrijgende rechtspersonen zijn ontstaan tussen het tijdstip waarop de verrichting uitwerking heeft gehad en de datum waarop de beslissing waarbij de nietigheid wordt uitgesproken, wordt bekendgemaakt.</w:t>
      </w:r>
    </w:p>
    <w:p>
      <w:pPr>
        <w:pStyle w:val="BodyText"/>
        <w:spacing w:line="218" w:lineRule="auto" w:before="118"/>
      </w:pPr>
      <w:r>
        <w:rPr>
          <w:color w:val="231F20"/>
        </w:rPr>
        <w:t>De betrokken rechtspersonen zijn hoofdelijk aansprakelijk voor zodanige verbintenissen die ten laste van de verkrijgende rechtsperso- nen zijn ontstaan.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7264" from="298.170502pt,64.473pt" to="298.170502pt,812.819pt" stroked="true" strokeweight=".533pt" strokecolor="#231f20">
            <v:stroke dashstyle="solid"/>
            <w10:wrap type="none"/>
          </v:line>
        </w:pict>
      </w:r>
      <w:bookmarkStart w:name="_bookmark260" w:id="266"/>
      <w:bookmarkEnd w:id="266"/>
      <w:r>
        <w:rPr/>
      </w:r>
      <w:r>
        <w:rPr>
          <w:color w:val="231F20"/>
        </w:rPr>
        <w:t>TITRE 2. Apports à titre gratuit d’universalité ou de branche d’activité.</w:t>
      </w:r>
    </w:p>
    <w:p>
      <w:pPr>
        <w:pStyle w:val="BodyText"/>
        <w:spacing w:line="218" w:lineRule="auto" w:before="113"/>
        <w:ind w:right="38"/>
      </w:pPr>
      <w:r>
        <w:rPr>
          <w:color w:val="231F20"/>
        </w:rPr>
        <w:t>Art. 13:10. En cas de recours à la faculté prévue par l’article 12:1, § 1</w:t>
      </w:r>
      <w:r>
        <w:rPr>
          <w:color w:val="231F20"/>
          <w:position w:val="7"/>
          <w:sz w:val="11"/>
        </w:rPr>
        <w:t>er</w:t>
      </w:r>
      <w:r>
        <w:rPr>
          <w:color w:val="231F20"/>
        </w:rPr>
        <w:t>, alinéa 2, l’article 12:103 et les articles auxquels il renvoie sont applicables par analogie aux apports à titre gratuit d’universalité ou de branche d’activité effectués par une ASBL, une AISBL, une fondation d’utilité publique ou une fondation privée, au profit d’une personne morale</w:t>
      </w:r>
      <w:r>
        <w:rPr>
          <w:color w:val="231F20"/>
          <w:spacing w:val="15"/>
        </w:rPr>
        <w:t> </w:t>
      </w:r>
      <w:r>
        <w:rPr>
          <w:color w:val="231F20"/>
        </w:rPr>
        <w:t>appartenant</w:t>
      </w:r>
      <w:r>
        <w:rPr>
          <w:color w:val="231F20"/>
          <w:spacing w:val="15"/>
        </w:rPr>
        <w:t> </w:t>
      </w:r>
      <w:r>
        <w:rPr>
          <w:color w:val="231F20"/>
        </w:rPr>
        <w:t>à</w:t>
      </w:r>
      <w:r>
        <w:rPr>
          <w:color w:val="231F20"/>
          <w:spacing w:val="15"/>
        </w:rPr>
        <w:t> </w:t>
      </w:r>
      <w:r>
        <w:rPr>
          <w:color w:val="231F20"/>
        </w:rPr>
        <w:t>l’une</w:t>
      </w:r>
      <w:r>
        <w:rPr>
          <w:color w:val="231F20"/>
          <w:spacing w:val="15"/>
        </w:rPr>
        <w:t> </w:t>
      </w:r>
      <w:r>
        <w:rPr>
          <w:color w:val="231F20"/>
        </w:rPr>
        <w:t>des</w:t>
      </w:r>
      <w:r>
        <w:rPr>
          <w:color w:val="231F20"/>
          <w:spacing w:val="16"/>
        </w:rPr>
        <w:t> </w:t>
      </w:r>
      <w:r>
        <w:rPr>
          <w:color w:val="231F20"/>
        </w:rPr>
        <w:t>catégories</w:t>
      </w:r>
      <w:r>
        <w:rPr>
          <w:color w:val="231F20"/>
          <w:spacing w:val="15"/>
        </w:rPr>
        <w:t> </w:t>
      </w:r>
      <w:r>
        <w:rPr>
          <w:color w:val="231F20"/>
        </w:rPr>
        <w:t>précitées.</w:t>
      </w:r>
    </w:p>
    <w:p>
      <w:pPr>
        <w:pStyle w:val="BodyText"/>
        <w:spacing w:before="8"/>
        <w:ind w:left="0" w:right="0" w:firstLine="0"/>
        <w:jc w:val="left"/>
        <w:rPr>
          <w:sz w:val="26"/>
        </w:rPr>
      </w:pPr>
    </w:p>
    <w:p>
      <w:pPr>
        <w:pStyle w:val="BodyText"/>
        <w:spacing w:line="218" w:lineRule="auto"/>
        <w:ind w:right="38"/>
      </w:pPr>
      <w:r>
        <w:rPr>
          <w:color w:val="231F20"/>
        </w:rPr>
        <w:t>Pour les besoins de cette application par analogie, les articles précités doivent</w:t>
      </w:r>
      <w:r>
        <w:rPr>
          <w:color w:val="231F20"/>
          <w:spacing w:val="15"/>
        </w:rPr>
        <w:t> </w:t>
      </w:r>
      <w:r>
        <w:rPr>
          <w:color w:val="231F20"/>
        </w:rPr>
        <w:t>s’entendre</w:t>
      </w:r>
      <w:r>
        <w:rPr>
          <w:color w:val="231F20"/>
          <w:spacing w:val="16"/>
        </w:rPr>
        <w:t> </w:t>
      </w:r>
      <w:r>
        <w:rPr>
          <w:color w:val="231F20"/>
        </w:rPr>
        <w:t>avec</w:t>
      </w:r>
      <w:r>
        <w:rPr>
          <w:color w:val="231F20"/>
          <w:spacing w:val="16"/>
        </w:rPr>
        <w:t> </w:t>
      </w:r>
      <w:r>
        <w:rPr>
          <w:color w:val="231F20"/>
        </w:rPr>
        <w:t>les</w:t>
      </w:r>
      <w:r>
        <w:rPr>
          <w:color w:val="231F20"/>
          <w:spacing w:val="16"/>
        </w:rPr>
        <w:t> </w:t>
      </w:r>
      <w:r>
        <w:rPr>
          <w:color w:val="231F20"/>
        </w:rPr>
        <w:t>modifications</w:t>
      </w:r>
      <w:r>
        <w:rPr>
          <w:color w:val="231F20"/>
          <w:spacing w:val="15"/>
        </w:rPr>
        <w:t> </w:t>
      </w:r>
      <w:r>
        <w:rPr>
          <w:color w:val="231F20"/>
        </w:rPr>
        <w:t>suivantes:</w:t>
      </w:r>
    </w:p>
    <w:p>
      <w:pPr>
        <w:pStyle w:val="BodyText"/>
        <w:spacing w:line="218" w:lineRule="auto" w:before="129"/>
        <w:ind w:right="38"/>
      </w:pPr>
      <w:r>
        <w:rPr>
          <w:color w:val="231F20"/>
        </w:rPr>
        <w:t>1° le mot “société” ou le mot “sociétés” sont remplacés partout par les mots “personne morale” ou les mots “personnes morales”;</w:t>
      </w:r>
    </w:p>
    <w:p>
      <w:pPr>
        <w:pStyle w:val="BodyText"/>
        <w:spacing w:before="5"/>
        <w:ind w:left="0" w:right="0" w:firstLine="0"/>
        <w:jc w:val="left"/>
        <w:rPr>
          <w:sz w:val="25"/>
        </w:rPr>
      </w:pPr>
    </w:p>
    <w:p>
      <w:pPr>
        <w:pStyle w:val="BodyText"/>
        <w:ind w:left="283" w:right="0" w:firstLine="0"/>
        <w:jc w:val="left"/>
      </w:pPr>
      <w:r>
        <w:rPr>
          <w:color w:val="231F20"/>
        </w:rPr>
        <w:t>2° dans l’article 12:93, § 2, les 2° et 4°, sont abrogés;</w:t>
      </w:r>
    </w:p>
    <w:p>
      <w:pPr>
        <w:pStyle w:val="BodyText"/>
        <w:spacing w:before="5"/>
        <w:ind w:left="0" w:right="0" w:firstLine="0"/>
        <w:jc w:val="left"/>
        <w:rPr>
          <w:sz w:val="26"/>
        </w:rPr>
      </w:pPr>
    </w:p>
    <w:p>
      <w:pPr>
        <w:pStyle w:val="BodyText"/>
        <w:spacing w:line="218" w:lineRule="auto"/>
        <w:ind w:right="38"/>
      </w:pPr>
      <w:r>
        <w:rPr>
          <w:color w:val="231F20"/>
        </w:rPr>
        <w:t>3° dans l’article 12:93, § 3, les mots “ou, pour les personnes morales qui n’ont pas d’assemblée générale, de l’organe d’administration” sont insérés entre les mots “assemblée générale” et les mots “de la société apporteuse appelée”; ce dernier mot est lui-même remplacé par le mot “appelé”;</w:t>
      </w:r>
    </w:p>
    <w:p>
      <w:pPr>
        <w:pStyle w:val="BodyText"/>
        <w:spacing w:line="218" w:lineRule="auto" w:before="114"/>
        <w:ind w:right="38"/>
      </w:pPr>
      <w:r>
        <w:rPr>
          <w:color w:val="231F20"/>
        </w:rPr>
        <w:t>4° dans l’article 12:94, § 1</w:t>
      </w:r>
      <w:r>
        <w:rPr>
          <w:color w:val="231F20"/>
          <w:position w:val="7"/>
          <w:sz w:val="11"/>
        </w:rPr>
        <w:t>er</w:t>
      </w:r>
      <w:r>
        <w:rPr>
          <w:color w:val="231F20"/>
        </w:rPr>
        <w:t>, les mots “ou, pour les personnes morales qui n’ont pas d’assemblée générale, l’organe d’administration” sont insérés entre les mots “société apporteuse” et les mots “doit décider”;</w:t>
      </w:r>
    </w:p>
    <w:p>
      <w:pPr>
        <w:pStyle w:val="BodyText"/>
        <w:spacing w:line="218" w:lineRule="auto" w:before="113"/>
        <w:ind w:right="38"/>
      </w:pPr>
      <w:r>
        <w:rPr>
          <w:color w:val="231F20"/>
          <w:w w:val="105"/>
        </w:rPr>
        <w:t>5°</w:t>
      </w:r>
      <w:r>
        <w:rPr>
          <w:color w:val="231F20"/>
          <w:spacing w:val="-9"/>
          <w:w w:val="105"/>
        </w:rPr>
        <w:t> </w:t>
      </w:r>
      <w:r>
        <w:rPr>
          <w:color w:val="231F20"/>
          <w:w w:val="105"/>
        </w:rPr>
        <w:t>dans</w:t>
      </w:r>
      <w:r>
        <w:rPr>
          <w:color w:val="231F20"/>
          <w:spacing w:val="-9"/>
          <w:w w:val="105"/>
        </w:rPr>
        <w:t> </w:t>
      </w:r>
      <w:r>
        <w:rPr>
          <w:color w:val="231F20"/>
          <w:w w:val="105"/>
        </w:rPr>
        <w:t>l’article</w:t>
      </w:r>
      <w:r>
        <w:rPr>
          <w:color w:val="231F20"/>
          <w:spacing w:val="-8"/>
          <w:w w:val="105"/>
        </w:rPr>
        <w:t> </w:t>
      </w:r>
      <w:r>
        <w:rPr>
          <w:color w:val="231F20"/>
          <w:w w:val="105"/>
        </w:rPr>
        <w:t>12:94,</w:t>
      </w:r>
      <w:r>
        <w:rPr>
          <w:color w:val="231F20"/>
          <w:spacing w:val="-9"/>
          <w:w w:val="105"/>
        </w:rPr>
        <w:t> </w:t>
      </w:r>
      <w:r>
        <w:rPr>
          <w:color w:val="231F20"/>
          <w:w w:val="105"/>
        </w:rPr>
        <w:t>§</w:t>
      </w:r>
      <w:r>
        <w:rPr>
          <w:color w:val="231F20"/>
          <w:spacing w:val="-9"/>
          <w:w w:val="105"/>
        </w:rPr>
        <w:t> </w:t>
      </w:r>
      <w:r>
        <w:rPr>
          <w:color w:val="231F20"/>
          <w:w w:val="105"/>
        </w:rPr>
        <w:t>2,</w:t>
      </w:r>
      <w:r>
        <w:rPr>
          <w:color w:val="231F20"/>
          <w:spacing w:val="-9"/>
          <w:w w:val="105"/>
        </w:rPr>
        <w:t> </w:t>
      </w:r>
      <w:r>
        <w:rPr>
          <w:color w:val="231F20"/>
          <w:w w:val="105"/>
        </w:rPr>
        <w:t>alinéa</w:t>
      </w:r>
      <w:r>
        <w:rPr>
          <w:color w:val="231F20"/>
          <w:spacing w:val="-8"/>
          <w:w w:val="105"/>
        </w:rPr>
        <w:t> </w:t>
      </w:r>
      <w:r>
        <w:rPr>
          <w:color w:val="231F20"/>
          <w:w w:val="105"/>
        </w:rPr>
        <w:t>1</w:t>
      </w:r>
      <w:r>
        <w:rPr>
          <w:color w:val="231F20"/>
          <w:w w:val="105"/>
          <w:position w:val="7"/>
          <w:sz w:val="11"/>
        </w:rPr>
        <w:t>er</w:t>
      </w:r>
      <w:r>
        <w:rPr>
          <w:color w:val="231F20"/>
          <w:w w:val="105"/>
        </w:rPr>
        <w:t>,</w:t>
      </w:r>
      <w:r>
        <w:rPr>
          <w:color w:val="231F20"/>
          <w:spacing w:val="-9"/>
          <w:w w:val="105"/>
        </w:rPr>
        <w:t> </w:t>
      </w:r>
      <w:r>
        <w:rPr>
          <w:color w:val="231F20"/>
          <w:w w:val="105"/>
        </w:rPr>
        <w:t>les</w:t>
      </w:r>
      <w:r>
        <w:rPr>
          <w:color w:val="231F20"/>
          <w:spacing w:val="-8"/>
          <w:w w:val="105"/>
        </w:rPr>
        <w:t> </w:t>
      </w:r>
      <w:r>
        <w:rPr>
          <w:color w:val="231F20"/>
          <w:w w:val="105"/>
        </w:rPr>
        <w:t>mots</w:t>
      </w:r>
      <w:r>
        <w:rPr>
          <w:color w:val="231F20"/>
          <w:spacing w:val="-9"/>
          <w:w w:val="105"/>
        </w:rPr>
        <w:t> </w:t>
      </w:r>
      <w:r>
        <w:rPr>
          <w:color w:val="231F20"/>
          <w:w w:val="105"/>
        </w:rPr>
        <w:t>“ainsi</w:t>
      </w:r>
      <w:r>
        <w:rPr>
          <w:color w:val="231F20"/>
          <w:spacing w:val="-8"/>
          <w:w w:val="105"/>
        </w:rPr>
        <w:t> </w:t>
      </w:r>
      <w:r>
        <w:rPr>
          <w:color w:val="231F20"/>
          <w:w w:val="105"/>
        </w:rPr>
        <w:t>qu’au</w:t>
      </w:r>
      <w:r>
        <w:rPr>
          <w:color w:val="231F20"/>
          <w:spacing w:val="-9"/>
          <w:w w:val="105"/>
        </w:rPr>
        <w:t> </w:t>
      </w:r>
      <w:r>
        <w:rPr>
          <w:color w:val="231F20"/>
          <w:w w:val="105"/>
        </w:rPr>
        <w:t>regard</w:t>
      </w:r>
      <w:r>
        <w:rPr>
          <w:color w:val="231F20"/>
          <w:spacing w:val="-8"/>
          <w:w w:val="105"/>
        </w:rPr>
        <w:t> </w:t>
      </w:r>
      <w:r>
        <w:rPr>
          <w:color w:val="231F20"/>
          <w:w w:val="105"/>
        </w:rPr>
        <w:t>de l’objet poursuivi par les personnes morales concernées” sont insérés entre</w:t>
      </w:r>
      <w:r>
        <w:rPr>
          <w:color w:val="231F20"/>
          <w:spacing w:val="8"/>
          <w:w w:val="105"/>
        </w:rPr>
        <w:t> </w:t>
      </w:r>
      <w:r>
        <w:rPr>
          <w:color w:val="231F20"/>
          <w:w w:val="105"/>
        </w:rPr>
        <w:t>le</w:t>
      </w:r>
      <w:r>
        <w:rPr>
          <w:color w:val="231F20"/>
          <w:spacing w:val="9"/>
          <w:w w:val="105"/>
        </w:rPr>
        <w:t> </w:t>
      </w:r>
      <w:r>
        <w:rPr>
          <w:color w:val="231F20"/>
          <w:w w:val="105"/>
        </w:rPr>
        <w:t>mot</w:t>
      </w:r>
      <w:r>
        <w:rPr>
          <w:color w:val="231F20"/>
          <w:spacing w:val="9"/>
          <w:w w:val="105"/>
        </w:rPr>
        <w:t> </w:t>
      </w:r>
      <w:r>
        <w:rPr>
          <w:color w:val="231F20"/>
          <w:w w:val="105"/>
        </w:rPr>
        <w:t>“économique”</w:t>
      </w:r>
      <w:r>
        <w:rPr>
          <w:color w:val="231F20"/>
          <w:spacing w:val="9"/>
          <w:w w:val="105"/>
        </w:rPr>
        <w:t> </w:t>
      </w:r>
      <w:r>
        <w:rPr>
          <w:color w:val="231F20"/>
          <w:w w:val="105"/>
        </w:rPr>
        <w:t>et</w:t>
      </w:r>
      <w:r>
        <w:rPr>
          <w:color w:val="231F20"/>
          <w:spacing w:val="9"/>
          <w:w w:val="105"/>
        </w:rPr>
        <w:t> </w:t>
      </w:r>
      <w:r>
        <w:rPr>
          <w:color w:val="231F20"/>
          <w:w w:val="105"/>
        </w:rPr>
        <w:t>le</w:t>
      </w:r>
      <w:r>
        <w:rPr>
          <w:color w:val="231F20"/>
          <w:spacing w:val="9"/>
          <w:w w:val="105"/>
        </w:rPr>
        <w:t> </w:t>
      </w:r>
      <w:r>
        <w:rPr>
          <w:color w:val="231F20"/>
          <w:w w:val="105"/>
        </w:rPr>
        <w:t>mot</w:t>
      </w:r>
      <w:r>
        <w:rPr>
          <w:color w:val="231F20"/>
          <w:spacing w:val="8"/>
          <w:w w:val="105"/>
        </w:rPr>
        <w:t> </w:t>
      </w:r>
      <w:r>
        <w:rPr>
          <w:color w:val="231F20"/>
          <w:w w:val="105"/>
        </w:rPr>
        <w:t>“l’opportunité”;</w:t>
      </w:r>
    </w:p>
    <w:p>
      <w:pPr>
        <w:pStyle w:val="BodyText"/>
        <w:spacing w:line="218" w:lineRule="auto" w:before="128"/>
        <w:ind w:right="38"/>
      </w:pPr>
      <w:r>
        <w:rPr>
          <w:color w:val="231F20"/>
        </w:rPr>
        <w:t>6° dans l’article 12:94, § 2, alinéa 2, la première phrase est remplacée par la phrase suivante:</w:t>
      </w:r>
    </w:p>
    <w:p>
      <w:pPr>
        <w:pStyle w:val="BodyText"/>
        <w:spacing w:line="218" w:lineRule="auto" w:before="128"/>
        <w:ind w:right="38"/>
      </w:pPr>
      <w:r>
        <w:rPr>
          <w:color w:val="231F20"/>
        </w:rPr>
        <w:t>“Lorsqu’une personne morale compte des membres, une copie du projet et de ce rapport leur est adressée un mois au moins avant la réunion de l’assemblée générale.”;</w:t>
      </w:r>
    </w:p>
    <w:p>
      <w:pPr>
        <w:pStyle w:val="BodyText"/>
        <w:spacing w:line="300" w:lineRule="atLeast" w:before="7"/>
        <w:ind w:left="283" w:right="281" w:firstLine="0"/>
        <w:jc w:val="left"/>
      </w:pPr>
      <w:r>
        <w:rPr>
          <w:color w:val="231F20"/>
        </w:rPr>
        <w:t>7° dans l’article 12:94, § 3, l’alinéa 1</w:t>
      </w:r>
      <w:r>
        <w:rPr>
          <w:color w:val="231F20"/>
          <w:position w:val="7"/>
          <w:sz w:val="11"/>
        </w:rPr>
        <w:t>er  </w:t>
      </w:r>
      <w:r>
        <w:rPr>
          <w:color w:val="231F20"/>
        </w:rPr>
        <w:t>est remplacé par ce qui suit:   “Si</w:t>
      </w:r>
      <w:r>
        <w:rPr>
          <w:color w:val="231F20"/>
          <w:spacing w:val="17"/>
        </w:rPr>
        <w:t> </w:t>
      </w:r>
      <w:r>
        <w:rPr>
          <w:color w:val="231F20"/>
        </w:rPr>
        <w:t>la</w:t>
      </w:r>
      <w:r>
        <w:rPr>
          <w:color w:val="231F20"/>
          <w:spacing w:val="18"/>
        </w:rPr>
        <w:t> </w:t>
      </w:r>
      <w:r>
        <w:rPr>
          <w:color w:val="231F20"/>
        </w:rPr>
        <w:t>décision</w:t>
      </w:r>
      <w:r>
        <w:rPr>
          <w:color w:val="231F20"/>
          <w:spacing w:val="18"/>
        </w:rPr>
        <w:t> </w:t>
      </w:r>
      <w:r>
        <w:rPr>
          <w:color w:val="231F20"/>
        </w:rPr>
        <w:t>de</w:t>
      </w:r>
      <w:r>
        <w:rPr>
          <w:color w:val="231F20"/>
          <w:spacing w:val="18"/>
        </w:rPr>
        <w:t> </w:t>
      </w:r>
      <w:r>
        <w:rPr>
          <w:color w:val="231F20"/>
        </w:rPr>
        <w:t>procéder</w:t>
      </w:r>
      <w:r>
        <w:rPr>
          <w:color w:val="231F20"/>
          <w:spacing w:val="18"/>
        </w:rPr>
        <w:t> </w:t>
      </w:r>
      <w:r>
        <w:rPr>
          <w:color w:val="231F20"/>
        </w:rPr>
        <w:t>à</w:t>
      </w:r>
      <w:r>
        <w:rPr>
          <w:color w:val="231F20"/>
          <w:spacing w:val="18"/>
        </w:rPr>
        <w:t> </w:t>
      </w:r>
      <w:r>
        <w:rPr>
          <w:color w:val="231F20"/>
        </w:rPr>
        <w:t>l’apport</w:t>
      </w:r>
      <w:r>
        <w:rPr>
          <w:color w:val="231F20"/>
          <w:spacing w:val="18"/>
        </w:rPr>
        <w:t> </w:t>
      </w:r>
      <w:r>
        <w:rPr>
          <w:color w:val="231F20"/>
        </w:rPr>
        <w:t>est</w:t>
      </w:r>
      <w:r>
        <w:rPr>
          <w:color w:val="231F20"/>
          <w:spacing w:val="18"/>
        </w:rPr>
        <w:t> </w:t>
      </w:r>
      <w:r>
        <w:rPr>
          <w:color w:val="231F20"/>
        </w:rPr>
        <w:t>prise</w:t>
      </w:r>
      <w:r>
        <w:rPr>
          <w:color w:val="231F20"/>
          <w:spacing w:val="18"/>
        </w:rPr>
        <w:t> </w:t>
      </w:r>
      <w:r>
        <w:rPr>
          <w:color w:val="231F20"/>
        </w:rPr>
        <w:t>par</w:t>
      </w:r>
      <w:r>
        <w:rPr>
          <w:color w:val="231F20"/>
          <w:spacing w:val="17"/>
        </w:rPr>
        <w:t> </w:t>
      </w:r>
      <w:r>
        <w:rPr>
          <w:color w:val="231F20"/>
        </w:rPr>
        <w:t>l’assemblée</w:t>
      </w:r>
    </w:p>
    <w:p>
      <w:pPr>
        <w:pStyle w:val="BodyText"/>
        <w:spacing w:line="218" w:lineRule="auto" w:before="1"/>
        <w:ind w:right="38" w:hanging="1"/>
      </w:pPr>
      <w:r>
        <w:rPr>
          <w:color w:val="231F20"/>
        </w:rPr>
        <w:t>générale, cette décision est prise dans le respect des conditions de quorum et de majorité requises pour la modification des statuts, soit par l’article 9:21, sous réserve de dispositions statutaires plus rigoureu- ses,</w:t>
      </w:r>
      <w:r>
        <w:rPr>
          <w:color w:val="231F20"/>
          <w:spacing w:val="12"/>
        </w:rPr>
        <w:t> </w:t>
      </w:r>
      <w:r>
        <w:rPr>
          <w:color w:val="231F20"/>
        </w:rPr>
        <w:t>soit</w:t>
      </w:r>
      <w:r>
        <w:rPr>
          <w:color w:val="231F20"/>
          <w:spacing w:val="12"/>
        </w:rPr>
        <w:t> </w:t>
      </w:r>
      <w:r>
        <w:rPr>
          <w:color w:val="231F20"/>
        </w:rPr>
        <w:t>par</w:t>
      </w:r>
      <w:r>
        <w:rPr>
          <w:color w:val="231F20"/>
          <w:spacing w:val="12"/>
        </w:rPr>
        <w:t> </w:t>
      </w:r>
      <w:r>
        <w:rPr>
          <w:color w:val="231F20"/>
        </w:rPr>
        <w:t>les</w:t>
      </w:r>
      <w:r>
        <w:rPr>
          <w:color w:val="231F20"/>
          <w:spacing w:val="12"/>
        </w:rPr>
        <w:t> </w:t>
      </w:r>
      <w:r>
        <w:rPr>
          <w:color w:val="231F20"/>
        </w:rPr>
        <w:t>statuts</w:t>
      </w:r>
      <w:r>
        <w:rPr>
          <w:color w:val="231F20"/>
          <w:spacing w:val="12"/>
        </w:rPr>
        <w:t> </w:t>
      </w:r>
      <w:r>
        <w:rPr>
          <w:color w:val="231F20"/>
        </w:rPr>
        <w:t>en</w:t>
      </w:r>
      <w:r>
        <w:rPr>
          <w:color w:val="231F20"/>
          <w:spacing w:val="12"/>
        </w:rPr>
        <w:t> </w:t>
      </w:r>
      <w:r>
        <w:rPr>
          <w:color w:val="231F20"/>
        </w:rPr>
        <w:t>application</w:t>
      </w:r>
      <w:r>
        <w:rPr>
          <w:color w:val="231F20"/>
          <w:spacing w:val="13"/>
        </w:rPr>
        <w:t> </w:t>
      </w:r>
      <w:r>
        <w:rPr>
          <w:color w:val="231F20"/>
        </w:rPr>
        <w:t>de</w:t>
      </w:r>
      <w:r>
        <w:rPr>
          <w:color w:val="231F20"/>
          <w:spacing w:val="12"/>
        </w:rPr>
        <w:t> </w:t>
      </w:r>
      <w:r>
        <w:rPr>
          <w:color w:val="231F20"/>
        </w:rPr>
        <w:t>l’article</w:t>
      </w:r>
      <w:r>
        <w:rPr>
          <w:color w:val="231F20"/>
          <w:spacing w:val="12"/>
        </w:rPr>
        <w:t> </w:t>
      </w:r>
      <w:r>
        <w:rPr>
          <w:color w:val="231F20"/>
        </w:rPr>
        <w:t>2:10,</w:t>
      </w:r>
      <w:r>
        <w:rPr>
          <w:color w:val="231F20"/>
          <w:spacing w:val="12"/>
        </w:rPr>
        <w:t> </w:t>
      </w:r>
      <w:r>
        <w:rPr>
          <w:color w:val="231F20"/>
        </w:rPr>
        <w:t>§</w:t>
      </w:r>
      <w:r>
        <w:rPr>
          <w:color w:val="231F20"/>
          <w:spacing w:val="12"/>
        </w:rPr>
        <w:t> </w:t>
      </w:r>
      <w:r>
        <w:rPr>
          <w:color w:val="231F20"/>
        </w:rPr>
        <w:t>2,</w:t>
      </w:r>
      <w:r>
        <w:rPr>
          <w:color w:val="231F20"/>
          <w:spacing w:val="12"/>
        </w:rPr>
        <w:t> </w:t>
      </w:r>
      <w:r>
        <w:rPr>
          <w:color w:val="231F20"/>
        </w:rPr>
        <w:t>8°.”;</w:t>
      </w:r>
    </w:p>
    <w:p>
      <w:pPr>
        <w:pStyle w:val="BodyText"/>
        <w:spacing w:before="6"/>
        <w:ind w:left="0" w:right="0" w:firstLine="0"/>
        <w:jc w:val="left"/>
        <w:rPr>
          <w:sz w:val="25"/>
        </w:rPr>
      </w:pPr>
    </w:p>
    <w:p>
      <w:pPr>
        <w:pStyle w:val="BodyText"/>
        <w:ind w:left="283" w:right="0" w:firstLine="0"/>
        <w:jc w:val="left"/>
      </w:pPr>
      <w:r>
        <w:rPr>
          <w:color w:val="231F20"/>
        </w:rPr>
        <w:t>8° l’article 12:95 est remplacé par ce qui suit:</w:t>
      </w:r>
    </w:p>
    <w:p>
      <w:pPr>
        <w:pStyle w:val="BodyText"/>
        <w:spacing w:line="218" w:lineRule="auto" w:before="125"/>
        <w:ind w:right="38"/>
      </w:pPr>
      <w:r>
        <w:rPr>
          <w:color w:val="231F20"/>
        </w:rPr>
        <w:t>“Art. 12:95. L’acte constatant l’apport d’universalité ou l’apport de branche d’activité est établi en la forme authentique.</w:t>
      </w:r>
    </w:p>
    <w:p>
      <w:pPr>
        <w:pStyle w:val="BodyText"/>
        <w:spacing w:line="218" w:lineRule="auto" w:before="138"/>
        <w:ind w:right="38"/>
      </w:pPr>
      <w:r>
        <w:rPr>
          <w:color w:val="231F20"/>
        </w:rPr>
        <w:t>Il est déposé par extraits conformément aux articles 2:9, 2:10 ou 2:11. Il est publié par extraits conformément aux articles 2:15, 2:16 ou 2:17.”.</w:t>
      </w:r>
    </w:p>
    <w:p>
      <w:pPr>
        <w:pStyle w:val="BodyText"/>
        <w:spacing w:before="8"/>
        <w:ind w:left="0" w:right="0" w:firstLine="0"/>
        <w:jc w:val="left"/>
        <w:rPr>
          <w:sz w:val="27"/>
        </w:rPr>
      </w:pPr>
    </w:p>
    <w:p>
      <w:pPr>
        <w:pStyle w:val="BodyText"/>
        <w:spacing w:line="218" w:lineRule="auto"/>
        <w:ind w:right="38"/>
      </w:pPr>
      <w:r>
        <w:rPr>
          <w:color w:val="231F20"/>
        </w:rPr>
        <w:t>LIVRE 14. Transformation des sociétés, des associations et des fondations.</w:t>
      </w:r>
    </w:p>
    <w:p>
      <w:pPr>
        <w:pStyle w:val="BodyText"/>
        <w:spacing w:line="372" w:lineRule="auto" w:before="110"/>
        <w:ind w:left="283" w:right="2109" w:firstLine="0"/>
        <w:jc w:val="left"/>
      </w:pPr>
      <w:r>
        <w:rPr>
          <w:color w:val="231F20"/>
        </w:rPr>
        <w:t>TITRE 1</w:t>
      </w:r>
      <w:r>
        <w:rPr>
          <w:color w:val="231F20"/>
          <w:position w:val="7"/>
          <w:sz w:val="11"/>
        </w:rPr>
        <w:t>er</w:t>
      </w:r>
      <w:r>
        <w:rPr>
          <w:color w:val="231F20"/>
        </w:rPr>
        <w:t>. Transformation des sociétés. CHAPITRE 1</w:t>
      </w:r>
      <w:r>
        <w:rPr>
          <w:color w:val="231F20"/>
          <w:position w:val="7"/>
          <w:sz w:val="11"/>
        </w:rPr>
        <w:t>er</w:t>
      </w:r>
      <w:r>
        <w:rPr>
          <w:color w:val="231F20"/>
        </w:rPr>
        <w:t>. Disposition générale.</w:t>
      </w:r>
    </w:p>
    <w:p>
      <w:pPr>
        <w:pStyle w:val="BodyText"/>
        <w:spacing w:line="218" w:lineRule="auto" w:before="14"/>
        <w:ind w:right="38"/>
      </w:pPr>
      <w:r>
        <w:rPr>
          <w:color w:val="231F20"/>
        </w:rPr>
        <w:t>Art. 14:1. § 1</w:t>
      </w:r>
      <w:r>
        <w:rPr>
          <w:color w:val="231F20"/>
          <w:position w:val="7"/>
          <w:sz w:val="11"/>
        </w:rPr>
        <w:t>er</w:t>
      </w:r>
      <w:r>
        <w:rPr>
          <w:color w:val="231F20"/>
        </w:rPr>
        <w:t>. Le présent titre s’applique à toutes les sociétés dotées de la personnalité juridique régies par le présent code, sans préjudice des dispositions spécifiques applicables à la SE ou à la SCE.</w:t>
      </w:r>
    </w:p>
    <w:p>
      <w:pPr>
        <w:pStyle w:val="BodyText"/>
        <w:spacing w:line="218" w:lineRule="auto" w:before="139"/>
        <w:ind w:right="38"/>
      </w:pPr>
      <w:r>
        <w:rPr>
          <w:color w:val="231F20"/>
        </w:rPr>
        <w:t>Les dispositions du présent titre sont également applicables à la transformation de personnes morales autres que des sociétés dans l’une des formes légales de sociétés énumérées à l’article 1:5, § 2, dans la mesure où les lois particulières relatives à ces personnes morales le prévoient et dans le respect des dispositions spéciales de ces mêmes</w:t>
      </w:r>
      <w:r>
        <w:rPr>
          <w:color w:val="231F20"/>
          <w:spacing w:val="-16"/>
        </w:rPr>
        <w:t> </w:t>
      </w:r>
      <w:r>
        <w:rPr>
          <w:color w:val="231F20"/>
        </w:rPr>
        <w:t>lois particulières.</w:t>
      </w:r>
    </w:p>
    <w:p>
      <w:pPr>
        <w:pStyle w:val="BodyText"/>
        <w:spacing w:line="213" w:lineRule="auto" w:before="142"/>
        <w:ind w:right="38"/>
      </w:pPr>
      <w:r>
        <w:rPr>
          <w:color w:val="231F20"/>
        </w:rPr>
        <w:t>§ 2. Dans une société anonyme ayant une administration duale au sens de la partie 2, livre 7, titre 4, chapitre 1</w:t>
      </w:r>
      <w:r>
        <w:rPr>
          <w:color w:val="231F20"/>
          <w:position w:val="7"/>
          <w:sz w:val="11"/>
        </w:rPr>
        <w:t>er</w:t>
      </w:r>
      <w:r>
        <w:rPr>
          <w:color w:val="231F20"/>
        </w:rPr>
        <w:t>, section 3, le conseil de surveillance exerce les compétences attribuées à l’organe d’administra- tion dans le présent livre 14.</w:t>
      </w:r>
    </w:p>
    <w:p>
      <w:pPr>
        <w:pStyle w:val="BodyText"/>
        <w:spacing w:line="372" w:lineRule="auto" w:before="122"/>
        <w:ind w:left="283" w:right="2157" w:firstLine="0"/>
        <w:jc w:val="left"/>
      </w:pPr>
      <w:r>
        <w:rPr>
          <w:color w:val="231F20"/>
        </w:rPr>
        <w:t>CHAPITRE 2. Transformation nationale. Section 1</w:t>
      </w:r>
      <w:r>
        <w:rPr>
          <w:color w:val="231F20"/>
          <w:position w:val="7"/>
          <w:sz w:val="11"/>
        </w:rPr>
        <w:t>re</w:t>
      </w:r>
      <w:r>
        <w:rPr>
          <w:color w:val="231F20"/>
        </w:rPr>
        <w:t>. Disposition introductive.</w:t>
      </w:r>
    </w:p>
    <w:p>
      <w:pPr>
        <w:pStyle w:val="BodyText"/>
        <w:spacing w:line="218" w:lineRule="auto" w:before="29"/>
        <w:ind w:right="38"/>
      </w:pPr>
      <w:r>
        <w:rPr>
          <w:color w:val="231F20"/>
        </w:rPr>
        <w:t>Art. 14:2. L’adoption d’une autre forme légale par une société constituée sous l’une des formes légales énumérées à l’article 1:5, § 2, n’entraîne aucun changement dans la personnalité juridique de la société qui subsiste sous la nouvelle forme.</w:t>
      </w:r>
    </w:p>
    <w:p>
      <w:pPr>
        <w:pStyle w:val="BodyText"/>
        <w:spacing w:before="105"/>
        <w:ind w:left="283" w:right="0" w:firstLine="0"/>
        <w:jc w:val="left"/>
      </w:pPr>
      <w:r>
        <w:rPr/>
        <w:br w:type="column"/>
      </w:r>
      <w:r>
        <w:rPr>
          <w:color w:val="231F20"/>
        </w:rPr>
        <w:t>TITEL 2. Inbreng om niet van algemeenheid of van bedrijfstak.</w:t>
      </w:r>
    </w:p>
    <w:p>
      <w:pPr>
        <w:pStyle w:val="BodyText"/>
        <w:spacing w:before="5"/>
        <w:ind w:left="0" w:right="0" w:firstLine="0"/>
        <w:jc w:val="left"/>
        <w:rPr>
          <w:sz w:val="26"/>
        </w:rPr>
      </w:pPr>
    </w:p>
    <w:p>
      <w:pPr>
        <w:pStyle w:val="BodyText"/>
        <w:spacing w:line="218" w:lineRule="auto"/>
      </w:pPr>
      <w:r>
        <w:rPr>
          <w:color w:val="231F20"/>
        </w:rPr>
        <w:t>Art. 13:10. Ingeval een beroep wordt gedaan op de mogelijkheid vervat in artikel 12:1, § 1, tweede lid, zijn artikel  12:103  en  de  artikelen waarnaar het verwijst, op overeenkomstige wijze van toepas- sing op de inbreng om niet van algemeenheid of van bedrijfstak, door een </w:t>
      </w:r>
      <w:r>
        <w:rPr>
          <w:color w:val="231F20"/>
          <w:spacing w:val="-4"/>
        </w:rPr>
        <w:t>VZW, </w:t>
      </w:r>
      <w:r>
        <w:rPr>
          <w:color w:val="231F20"/>
        </w:rPr>
        <w:t>een </w:t>
      </w:r>
      <w:r>
        <w:rPr>
          <w:color w:val="231F20"/>
          <w:spacing w:val="-4"/>
        </w:rPr>
        <w:t>IVZW, </w:t>
      </w:r>
      <w:r>
        <w:rPr>
          <w:color w:val="231F20"/>
        </w:rPr>
        <w:t>een stichting van openbaar nut of een private stichting, ten voordele van een rechtspersoon die tot een van de voormelde categorieën</w:t>
      </w:r>
      <w:r>
        <w:rPr>
          <w:color w:val="231F20"/>
          <w:spacing w:val="-11"/>
        </w:rPr>
        <w:t> </w:t>
      </w:r>
      <w:r>
        <w:rPr>
          <w:color w:val="231F20"/>
        </w:rPr>
        <w:t>behoort.</w:t>
      </w:r>
    </w:p>
    <w:p>
      <w:pPr>
        <w:pStyle w:val="BodyText"/>
        <w:spacing w:line="218" w:lineRule="auto" w:before="129"/>
      </w:pPr>
      <w:r>
        <w:rPr>
          <w:color w:val="231F20"/>
        </w:rPr>
        <w:t>Voor deze toepassing op overeenkomstige wijze, moeten in de voormelde artikelen de volgende wijzigingen worden doorgevoerd:</w:t>
      </w:r>
    </w:p>
    <w:p>
      <w:pPr>
        <w:pStyle w:val="BodyText"/>
        <w:spacing w:line="218" w:lineRule="auto" w:before="128"/>
      </w:pPr>
      <w:r>
        <w:rPr>
          <w:color w:val="231F20"/>
          <w:w w:val="105"/>
        </w:rPr>
        <w:t>1° het woord “vennootschap” of het woord “vennootschappen” wordt</w:t>
      </w:r>
      <w:r>
        <w:rPr>
          <w:color w:val="231F20"/>
          <w:spacing w:val="-18"/>
          <w:w w:val="105"/>
        </w:rPr>
        <w:t> </w:t>
      </w:r>
      <w:r>
        <w:rPr>
          <w:color w:val="231F20"/>
          <w:w w:val="105"/>
        </w:rPr>
        <w:t>telkens</w:t>
      </w:r>
      <w:r>
        <w:rPr>
          <w:color w:val="231F20"/>
          <w:spacing w:val="-17"/>
          <w:w w:val="105"/>
        </w:rPr>
        <w:t> </w:t>
      </w:r>
      <w:r>
        <w:rPr>
          <w:color w:val="231F20"/>
          <w:w w:val="105"/>
        </w:rPr>
        <w:t>vervangen</w:t>
      </w:r>
      <w:r>
        <w:rPr>
          <w:color w:val="231F20"/>
          <w:spacing w:val="-17"/>
          <w:w w:val="105"/>
        </w:rPr>
        <w:t> </w:t>
      </w:r>
      <w:r>
        <w:rPr>
          <w:color w:val="231F20"/>
          <w:w w:val="105"/>
        </w:rPr>
        <w:t>door</w:t>
      </w:r>
      <w:r>
        <w:rPr>
          <w:color w:val="231F20"/>
          <w:spacing w:val="-17"/>
          <w:w w:val="105"/>
        </w:rPr>
        <w:t> </w:t>
      </w:r>
      <w:r>
        <w:rPr>
          <w:color w:val="231F20"/>
          <w:w w:val="105"/>
        </w:rPr>
        <w:t>het</w:t>
      </w:r>
      <w:r>
        <w:rPr>
          <w:color w:val="231F20"/>
          <w:spacing w:val="-17"/>
          <w:w w:val="105"/>
        </w:rPr>
        <w:t> </w:t>
      </w:r>
      <w:r>
        <w:rPr>
          <w:color w:val="231F20"/>
          <w:w w:val="105"/>
        </w:rPr>
        <w:t>woord</w:t>
      </w:r>
      <w:r>
        <w:rPr>
          <w:color w:val="231F20"/>
          <w:spacing w:val="-17"/>
          <w:w w:val="105"/>
        </w:rPr>
        <w:t> </w:t>
      </w:r>
      <w:r>
        <w:rPr>
          <w:color w:val="231F20"/>
          <w:w w:val="105"/>
        </w:rPr>
        <w:t>“rechtspersoon”</w:t>
      </w:r>
      <w:r>
        <w:rPr>
          <w:color w:val="231F20"/>
          <w:spacing w:val="-17"/>
          <w:w w:val="105"/>
        </w:rPr>
        <w:t> </w:t>
      </w:r>
      <w:r>
        <w:rPr>
          <w:color w:val="231F20"/>
          <w:w w:val="105"/>
        </w:rPr>
        <w:t>of</w:t>
      </w:r>
      <w:r>
        <w:rPr>
          <w:color w:val="231F20"/>
          <w:spacing w:val="-17"/>
          <w:w w:val="105"/>
        </w:rPr>
        <w:t> </w:t>
      </w:r>
      <w:r>
        <w:rPr>
          <w:color w:val="231F20"/>
          <w:w w:val="105"/>
        </w:rPr>
        <w:t>het</w:t>
      </w:r>
      <w:r>
        <w:rPr>
          <w:color w:val="231F20"/>
          <w:spacing w:val="-18"/>
          <w:w w:val="105"/>
        </w:rPr>
        <w:t> </w:t>
      </w:r>
      <w:r>
        <w:rPr>
          <w:color w:val="231F20"/>
          <w:w w:val="105"/>
        </w:rPr>
        <w:t>woord “rechtspersonen”;</w:t>
      </w:r>
    </w:p>
    <w:p>
      <w:pPr>
        <w:pStyle w:val="BodyText"/>
        <w:spacing w:line="218" w:lineRule="auto" w:before="128"/>
        <w:ind w:right="125"/>
      </w:pPr>
      <w:r>
        <w:rPr>
          <w:color w:val="231F20"/>
        </w:rPr>
        <w:t>2° in artikel 12:93, § 2, worden de bepalingen onder 2° en 4°, opgeheven;</w:t>
      </w:r>
    </w:p>
    <w:p>
      <w:pPr>
        <w:pStyle w:val="BodyText"/>
        <w:spacing w:line="218" w:lineRule="auto" w:before="128"/>
      </w:pPr>
      <w:r>
        <w:rPr>
          <w:color w:val="231F20"/>
        </w:rPr>
        <w:t>3° in artikel 12:93, § 3, worden tussen de woorden “de algemene vergadering” en de woorden “van de inbrengende vennootschap” de woorden “of, voor de rechtspersonen die geen algemene vergadering hebben, voor het bestuursorgaan”</w:t>
      </w:r>
      <w:r>
        <w:rPr>
          <w:color w:val="231F20"/>
          <w:spacing w:val="23"/>
        </w:rPr>
        <w:t> </w:t>
      </w:r>
      <w:r>
        <w:rPr>
          <w:color w:val="231F20"/>
        </w:rPr>
        <w:t>ingevoegd;</w:t>
      </w:r>
    </w:p>
    <w:p>
      <w:pPr>
        <w:pStyle w:val="BodyText"/>
        <w:spacing w:before="9"/>
        <w:ind w:left="0" w:right="0" w:firstLine="0"/>
        <w:jc w:val="left"/>
        <w:rPr>
          <w:sz w:val="26"/>
        </w:rPr>
      </w:pPr>
    </w:p>
    <w:p>
      <w:pPr>
        <w:pStyle w:val="BodyText"/>
        <w:spacing w:line="218" w:lineRule="auto"/>
      </w:pPr>
      <w:r>
        <w:rPr>
          <w:color w:val="231F20"/>
        </w:rPr>
        <w:t>4° in artikel 12:94, § 1, worden na de woorden “die de inbreng doet,” de woorden “of, voor de rechtspersonen die geen algemene vergade- ring hebben, het bestuursorgaan,”</w:t>
      </w:r>
      <w:r>
        <w:rPr>
          <w:color w:val="231F20"/>
          <w:spacing w:val="22"/>
        </w:rPr>
        <w:t> </w:t>
      </w:r>
      <w:r>
        <w:rPr>
          <w:color w:val="231F20"/>
        </w:rPr>
        <w:t>ingevoegd;</w:t>
      </w:r>
    </w:p>
    <w:p>
      <w:pPr>
        <w:pStyle w:val="BodyText"/>
        <w:spacing w:line="218" w:lineRule="auto" w:before="128"/>
      </w:pPr>
      <w:r>
        <w:rPr>
          <w:color w:val="231F20"/>
        </w:rPr>
        <w:t>5° in artikel 12:94, § 2, eerste lid, worden na de woorden “vanuit een juridisch en economisch oogpunt,” de woorden “alsook in het licht van het voorwerp van de betrokken rechtspersonen”, ingevoegd;</w:t>
      </w:r>
    </w:p>
    <w:p>
      <w:pPr>
        <w:pStyle w:val="BodyText"/>
        <w:spacing w:line="218" w:lineRule="auto" w:before="128"/>
      </w:pPr>
      <w:r>
        <w:rPr>
          <w:color w:val="231F20"/>
        </w:rPr>
        <w:t>6° in artikel 12:94, § 2, tweede lid, wordt de eerste zin vervangen als volgt:</w:t>
      </w:r>
    </w:p>
    <w:p>
      <w:pPr>
        <w:pStyle w:val="BodyText"/>
        <w:spacing w:line="218" w:lineRule="auto" w:before="128"/>
      </w:pPr>
      <w:r>
        <w:rPr>
          <w:color w:val="231F20"/>
        </w:rPr>
        <w:t>“Wanneer een rechtspersoon leden heeft, wordt hen ten minste één maand vóór de algemene vergadering een kopie van het voorstel en  van dat verslag</w:t>
      </w:r>
      <w:r>
        <w:rPr>
          <w:color w:val="231F20"/>
          <w:spacing w:val="6"/>
        </w:rPr>
        <w:t> </w:t>
      </w:r>
      <w:r>
        <w:rPr>
          <w:color w:val="231F20"/>
        </w:rPr>
        <w:t>bezorgd.”;</w:t>
      </w:r>
    </w:p>
    <w:p>
      <w:pPr>
        <w:pStyle w:val="BodyText"/>
        <w:spacing w:before="115"/>
        <w:ind w:left="283" w:right="0" w:firstLine="0"/>
        <w:jc w:val="left"/>
      </w:pPr>
      <w:r>
        <w:rPr>
          <w:color w:val="231F20"/>
        </w:rPr>
        <w:t>7° artikel 12:94, § 3, eerste lid, wordt vervangen als volgt:</w:t>
      </w:r>
    </w:p>
    <w:p>
      <w:pPr>
        <w:pStyle w:val="BodyText"/>
        <w:spacing w:line="218" w:lineRule="auto" w:before="124"/>
        <w:ind w:right="118"/>
      </w:pPr>
      <w:r>
        <w:rPr>
          <w:color w:val="231F20"/>
        </w:rPr>
        <w:t>“Indien het besluit om de inbreng te doen, wordt genomen door de algemene vergadering, gebeurt zulks met naleving van de aanwezigheids- en meerderheidsvereisten voorgeschreven voor een statutenwijziging vastgelegd in artikel 9:21, tenzij de statuten strengere regels bevatten, dan wel in de statuten, met toepassing van artikel 2:10,</w:t>
      </w:r>
    </w:p>
    <w:p>
      <w:pPr>
        <w:pStyle w:val="BodyText"/>
        <w:spacing w:line="180" w:lineRule="exact"/>
        <w:ind w:right="0" w:firstLine="0"/>
        <w:jc w:val="left"/>
      </w:pPr>
      <w:r>
        <w:rPr>
          <w:color w:val="231F20"/>
        </w:rPr>
        <w:t>§ 2, 8°.”;</w:t>
      </w:r>
    </w:p>
    <w:p>
      <w:pPr>
        <w:pStyle w:val="BodyText"/>
        <w:spacing w:before="111"/>
        <w:ind w:left="283" w:right="0" w:firstLine="0"/>
        <w:jc w:val="left"/>
      </w:pPr>
      <w:r>
        <w:rPr>
          <w:color w:val="231F20"/>
        </w:rPr>
        <w:t>8° artikel 12:95 wordt vervangen als volgt:</w:t>
      </w:r>
    </w:p>
    <w:p>
      <w:pPr>
        <w:pStyle w:val="BodyText"/>
        <w:spacing w:line="218" w:lineRule="auto" w:before="125"/>
      </w:pPr>
      <w:r>
        <w:rPr>
          <w:color w:val="231F20"/>
        </w:rPr>
        <w:t>“Art. 12:95. De akte tot vaststelling van de inbreng van algemeenheid of van bedrijfstak wordt in authentieke vorm opgesteld.</w:t>
      </w:r>
    </w:p>
    <w:p>
      <w:pPr>
        <w:pStyle w:val="BodyText"/>
        <w:spacing w:line="218" w:lineRule="auto" w:before="138"/>
      </w:pPr>
      <w:r>
        <w:rPr>
          <w:color w:val="231F20"/>
        </w:rPr>
        <w:t>De akte wordt neergelegd bij uittreksel overeenkomstig de artike-  len 2:9, 2:10 of 2:11. Zij wordt bij uittreksel bekendgemaakt overeen- komstig</w:t>
      </w:r>
      <w:r>
        <w:rPr>
          <w:color w:val="231F20"/>
          <w:spacing w:val="14"/>
        </w:rPr>
        <w:t> </w:t>
      </w:r>
      <w:r>
        <w:rPr>
          <w:color w:val="231F20"/>
        </w:rPr>
        <w:t>de</w:t>
      </w:r>
      <w:r>
        <w:rPr>
          <w:color w:val="231F20"/>
          <w:spacing w:val="15"/>
        </w:rPr>
        <w:t> </w:t>
      </w:r>
      <w:r>
        <w:rPr>
          <w:color w:val="231F20"/>
        </w:rPr>
        <w:t>artikelen</w:t>
      </w:r>
      <w:r>
        <w:rPr>
          <w:color w:val="231F20"/>
          <w:spacing w:val="14"/>
        </w:rPr>
        <w:t> </w:t>
      </w:r>
      <w:r>
        <w:rPr>
          <w:color w:val="231F20"/>
        </w:rPr>
        <w:t>2:15,</w:t>
      </w:r>
      <w:r>
        <w:rPr>
          <w:color w:val="231F20"/>
          <w:spacing w:val="15"/>
        </w:rPr>
        <w:t> </w:t>
      </w:r>
      <w:r>
        <w:rPr>
          <w:color w:val="231F20"/>
        </w:rPr>
        <w:t>2:16</w:t>
      </w:r>
      <w:r>
        <w:rPr>
          <w:color w:val="231F20"/>
          <w:spacing w:val="15"/>
        </w:rPr>
        <w:t> </w:t>
      </w:r>
      <w:r>
        <w:rPr>
          <w:color w:val="231F20"/>
        </w:rPr>
        <w:t>of</w:t>
      </w:r>
      <w:r>
        <w:rPr>
          <w:color w:val="231F20"/>
          <w:spacing w:val="14"/>
        </w:rPr>
        <w:t> </w:t>
      </w:r>
      <w:r>
        <w:rPr>
          <w:color w:val="231F20"/>
        </w:rPr>
        <w:t>2:17.</w:t>
      </w:r>
      <w:r>
        <w:rPr>
          <w:color w:val="231F20"/>
          <w:spacing w:val="15"/>
        </w:rPr>
        <w:t> </w:t>
      </w:r>
      <w:r>
        <w:rPr>
          <w:color w:val="231F20"/>
        </w:rPr>
        <w:t>“.</w:t>
      </w:r>
    </w:p>
    <w:p>
      <w:pPr>
        <w:pStyle w:val="BodyText"/>
        <w:spacing w:line="218" w:lineRule="auto" w:before="139"/>
      </w:pPr>
      <w:r>
        <w:rPr>
          <w:color w:val="231F20"/>
        </w:rPr>
        <w:t>BOEK 14. Omzetting van vennootschappen, verenigingen en stich- tingen.</w:t>
      </w:r>
    </w:p>
    <w:p>
      <w:pPr>
        <w:pStyle w:val="BodyText"/>
        <w:spacing w:line="391" w:lineRule="auto" w:before="125"/>
        <w:ind w:left="283" w:right="1535" w:firstLine="0"/>
        <w:jc w:val="left"/>
      </w:pPr>
      <w:r>
        <w:rPr>
          <w:color w:val="231F20"/>
        </w:rPr>
        <w:t>TITEL 1. Omzetting van vennootschappen. HOOFDSTUK 1. Algemene bepaling.</w:t>
      </w:r>
    </w:p>
    <w:p>
      <w:pPr>
        <w:pStyle w:val="BodyText"/>
        <w:spacing w:line="218" w:lineRule="auto" w:before="13"/>
      </w:pPr>
      <w:r>
        <w:rPr>
          <w:color w:val="231F20"/>
        </w:rPr>
        <w:t>Art. 14:1. § 1. Deze titel is van toepassing op alle vennootschappen met rechtspersoonlijkheid die dit wetboek regelt, onverminderd de specifieke bepalingen van toepassing op de SE of SCE.</w:t>
      </w:r>
    </w:p>
    <w:p>
      <w:pPr>
        <w:pStyle w:val="BodyText"/>
        <w:spacing w:line="218" w:lineRule="auto" w:before="139"/>
      </w:pPr>
      <w:r>
        <w:rPr>
          <w:color w:val="231F20"/>
        </w:rPr>
        <w:t>De bepalingen van deze titel zijn eveneens van toepassing op de omzetting van andere rechtspersonen dan vennootschappen in een van de rechtsvormen van vennootschappen genoemd in artikel 1:5, § 2, voor zover de bijzondere wetten betreffende deze rechtspersonen dat bepalen en met naleving van de bijzondere bepalingen van diezelfde bijzondere</w:t>
      </w:r>
      <w:r>
        <w:rPr>
          <w:color w:val="231F20"/>
          <w:spacing w:val="15"/>
        </w:rPr>
        <w:t> </w:t>
      </w:r>
      <w:r>
        <w:rPr>
          <w:color w:val="231F20"/>
        </w:rPr>
        <w:t>wetten.</w:t>
      </w:r>
    </w:p>
    <w:p>
      <w:pPr>
        <w:pStyle w:val="BodyText"/>
        <w:spacing w:line="218" w:lineRule="auto" w:before="139"/>
      </w:pPr>
      <w:r>
        <w:rPr>
          <w:color w:val="231F20"/>
        </w:rPr>
        <w:t>§ 2. In een naamloze vennootschap met een duaal bestuur als</w:t>
      </w:r>
      <w:r>
        <w:rPr>
          <w:color w:val="231F20"/>
          <w:spacing w:val="-25"/>
        </w:rPr>
        <w:t> </w:t>
      </w:r>
      <w:r>
        <w:rPr>
          <w:color w:val="231F20"/>
        </w:rPr>
        <w:t>bedoeld in deel 2, boek 7, titel 4, hoofdstuk 1, afdeling 3, oefent de raad van toezicht de bevoegdheden uit die dit boek 14 toewijst aan het bestuursorgaan.</w:t>
      </w:r>
    </w:p>
    <w:p>
      <w:pPr>
        <w:pStyle w:val="BodyText"/>
        <w:spacing w:line="391" w:lineRule="auto" w:before="125"/>
        <w:ind w:left="283" w:right="2162" w:firstLine="0"/>
        <w:jc w:val="left"/>
      </w:pPr>
      <w:r>
        <w:rPr>
          <w:color w:val="231F20"/>
        </w:rPr>
        <w:t>HOOFDSTUK 2. Nationale omzetting. Afdeling 1. Inleidende bepaling.</w:t>
      </w:r>
    </w:p>
    <w:p>
      <w:pPr>
        <w:pStyle w:val="BodyText"/>
        <w:spacing w:line="218" w:lineRule="auto" w:before="13"/>
      </w:pPr>
      <w:r>
        <w:rPr>
          <w:color w:val="231F20"/>
        </w:rPr>
        <w:t>Art. 14:2. Wanneer een vennootschap, opgericht in een van de rechtsvormen genoemd in artikel 1:5, § 2, een andere van die rechtsvormen aanneemt, blijft haar rechtspersoonlijkheid onveranderd voortbestaan in de nieuwe vorm.</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288" from="298.170502pt,64.473pt" to="298.170502pt,812.819pt" stroked="true" strokeweight=".533pt" strokecolor="#231f20">
            <v:stroke dashstyle="solid"/>
            <w10:wrap type="none"/>
          </v:line>
        </w:pict>
      </w:r>
      <w:bookmarkStart w:name="_bookmark261" w:id="267"/>
      <w:bookmarkEnd w:id="267"/>
      <w:r>
        <w:rPr/>
      </w:r>
      <w:r>
        <w:rPr>
          <w:color w:val="231F20"/>
        </w:rPr>
        <w:t>Section 2. Formalités précédant la décision de transformation d’une société.</w:t>
      </w:r>
    </w:p>
    <w:p>
      <w:pPr>
        <w:pStyle w:val="BodyText"/>
        <w:spacing w:line="218" w:lineRule="auto" w:before="85"/>
        <w:ind w:right="38"/>
      </w:pPr>
      <w:r>
        <w:rPr>
          <w:color w:val="231F20"/>
        </w:rPr>
        <w:t>Art. 14:3. Préalablement à la décision de transformation, l’organe d’administration établit un état résumant la situation active et passive de la société, clôturé à une date ne remontant pas à plus de trois mois avant l’assemblée générale appelée à se prononcer sur la proposition de transformation.</w:t>
      </w:r>
    </w:p>
    <w:p>
      <w:pPr>
        <w:pStyle w:val="BodyText"/>
        <w:spacing w:line="218" w:lineRule="auto" w:before="86"/>
        <w:ind w:right="38"/>
      </w:pPr>
      <w:r>
        <w:rPr>
          <w:color w:val="231F20"/>
        </w:rPr>
        <w:t>Lorsque l’actif net est inférieur au capital repris dans l’état précité, augmenté de toutes les réserves que la loi ou les statuts ne permettent pas de distribuer, ou, si la société ne dispose pas d’un capital, les capitaux propres, l’état mentionnera en conclusion le montant de la différence.</w:t>
      </w:r>
    </w:p>
    <w:p>
      <w:pPr>
        <w:pStyle w:val="BodyText"/>
        <w:spacing w:line="218" w:lineRule="auto" w:before="85"/>
        <w:ind w:right="38"/>
      </w:pPr>
      <w:r>
        <w:rPr>
          <w:color w:val="231F20"/>
        </w:rPr>
        <w:t>En cas de transformation d’une société en nom collectif ou une société en commandite en société anonyme, société à responsabilité limitée ou société coopérative, le capital, ou, si la société ne dispose pas d’un capital, les capitaux propres, repris dans l’état précité ne pourront être supérieurs à l’actif net tel qu’il résulte de cet état.</w:t>
      </w:r>
    </w:p>
    <w:p>
      <w:pPr>
        <w:pStyle w:val="BodyText"/>
        <w:spacing w:before="1"/>
        <w:ind w:left="0" w:right="0" w:firstLine="0"/>
        <w:jc w:val="left"/>
        <w:rPr>
          <w:sz w:val="23"/>
        </w:rPr>
      </w:pPr>
    </w:p>
    <w:p>
      <w:pPr>
        <w:pStyle w:val="BodyText"/>
        <w:spacing w:line="218" w:lineRule="auto"/>
        <w:ind w:right="38"/>
      </w:pPr>
      <w:r>
        <w:rPr>
          <w:color w:val="231F20"/>
        </w:rPr>
        <w:t>Art. 14:4. Le commissaire ou, lorsqu’il n’y a pas de commissaire, un réviseur d’entreprises ou un expert-comptable externe désigné par l’organe d’administration ou, dans les sociétés en nom collectif ou les sociétés en commandite, par l’assemblée générale, fait rapport sur cet état et indique notamment si l’actif net est surévalué.</w:t>
      </w:r>
    </w:p>
    <w:p>
      <w:pPr>
        <w:pStyle w:val="BodyText"/>
        <w:spacing w:line="218" w:lineRule="auto" w:before="85"/>
        <w:ind w:right="38"/>
      </w:pPr>
      <w:r>
        <w:rPr>
          <w:color w:val="231F20"/>
        </w:rPr>
        <w:t>Si, au cas visé dans l’article 14:3, alinéa 2, l’actif net de la société est inférieur au capital, ou, si la société ne dispose pas d’un capital, les capitaux propres, repris dans l’état résumant la situation active et passive de la société, le rapport mentionnera en conclusion le montant de la différence.</w:t>
      </w:r>
    </w:p>
    <w:p>
      <w:pPr>
        <w:pStyle w:val="BodyText"/>
        <w:spacing w:line="218" w:lineRule="auto" w:before="86"/>
        <w:ind w:right="38"/>
      </w:pPr>
      <w:r>
        <w:rPr>
          <w:color w:val="231F20"/>
        </w:rPr>
        <w:t>Art. 14:5. L’organe d’administration explique le projet de transforma- tion dans un rapport annoncé dans l’ordre du jour de l’assemblée générale appelée à statuer. A ce rapport est joint l’état résumant la situation active et passive.</w:t>
      </w:r>
    </w:p>
    <w:p>
      <w:pPr>
        <w:pStyle w:val="BodyText"/>
        <w:spacing w:line="216" w:lineRule="auto" w:before="87"/>
        <w:ind w:right="38"/>
      </w:pPr>
      <w:r>
        <w:rPr>
          <w:color w:val="231F20"/>
        </w:rPr>
        <w:t>Art. 14:6. Une copie du rapport de l’organe d’administration et du rapport du commissaire ou du réviseur d’entreprises ou de l’expert- comptable externe ainsi que le projet de modification statutaire sont communiqués aux actionnaires en même temps que la convocation à l’assemblée</w:t>
      </w:r>
      <w:r>
        <w:rPr>
          <w:color w:val="231F20"/>
          <w:spacing w:val="-9"/>
        </w:rPr>
        <w:t> </w:t>
      </w:r>
      <w:r>
        <w:rPr>
          <w:color w:val="231F20"/>
        </w:rPr>
        <w:t>générale</w:t>
      </w:r>
      <w:r>
        <w:rPr>
          <w:color w:val="231F20"/>
          <w:spacing w:val="-9"/>
        </w:rPr>
        <w:t> </w:t>
      </w:r>
      <w:r>
        <w:rPr>
          <w:color w:val="231F20"/>
        </w:rPr>
        <w:t>conformément</w:t>
      </w:r>
      <w:r>
        <w:rPr>
          <w:color w:val="231F20"/>
          <w:spacing w:val="-8"/>
        </w:rPr>
        <w:t> </w:t>
      </w:r>
      <w:r>
        <w:rPr>
          <w:color w:val="231F20"/>
        </w:rPr>
        <w:t>aux</w:t>
      </w:r>
      <w:r>
        <w:rPr>
          <w:color w:val="231F20"/>
          <w:spacing w:val="-9"/>
        </w:rPr>
        <w:t> </w:t>
      </w:r>
      <w:r>
        <w:rPr>
          <w:color w:val="231F20"/>
        </w:rPr>
        <w:t>articles</w:t>
      </w:r>
      <w:r>
        <w:rPr>
          <w:color w:val="231F20"/>
          <w:spacing w:val="-8"/>
        </w:rPr>
        <w:t> </w:t>
      </w:r>
      <w:r>
        <w:rPr>
          <w:color w:val="231F20"/>
        </w:rPr>
        <w:t>5:83,</w:t>
      </w:r>
      <w:r>
        <w:rPr>
          <w:color w:val="231F20"/>
          <w:spacing w:val="-9"/>
        </w:rPr>
        <w:t> </w:t>
      </w:r>
      <w:r>
        <w:rPr>
          <w:color w:val="231F20"/>
        </w:rPr>
        <w:t>6:70,</w:t>
      </w:r>
      <w:r>
        <w:rPr>
          <w:color w:val="231F20"/>
          <w:spacing w:val="-9"/>
        </w:rPr>
        <w:t> </w:t>
      </w:r>
      <w:r>
        <w:rPr>
          <w:color w:val="231F20"/>
        </w:rPr>
        <w:t>§</w:t>
      </w:r>
      <w:r>
        <w:rPr>
          <w:color w:val="231F20"/>
          <w:spacing w:val="-8"/>
        </w:rPr>
        <w:t> </w:t>
      </w:r>
      <w:r>
        <w:rPr>
          <w:color w:val="231F20"/>
        </w:rPr>
        <w:t>1</w:t>
      </w:r>
      <w:r>
        <w:rPr>
          <w:color w:val="231F20"/>
          <w:position w:val="7"/>
          <w:sz w:val="11"/>
        </w:rPr>
        <w:t>er</w:t>
      </w:r>
      <w:r>
        <w:rPr>
          <w:color w:val="231F20"/>
        </w:rPr>
        <w:t>,</w:t>
      </w:r>
      <w:r>
        <w:rPr>
          <w:color w:val="231F20"/>
          <w:spacing w:val="-9"/>
        </w:rPr>
        <w:t> </w:t>
      </w:r>
      <w:r>
        <w:rPr>
          <w:color w:val="231F20"/>
        </w:rPr>
        <w:t>7:128</w:t>
      </w:r>
      <w:r>
        <w:rPr>
          <w:color w:val="231F20"/>
          <w:spacing w:val="-8"/>
        </w:rPr>
        <w:t> </w:t>
      </w:r>
      <w:r>
        <w:rPr>
          <w:color w:val="231F20"/>
        </w:rPr>
        <w:t>et 7:129. Dans les sociétés en nom collectif et les sociétés en commandite, elles</w:t>
      </w:r>
      <w:r>
        <w:rPr>
          <w:color w:val="231F20"/>
          <w:spacing w:val="15"/>
        </w:rPr>
        <w:t> </w:t>
      </w:r>
      <w:r>
        <w:rPr>
          <w:color w:val="231F20"/>
        </w:rPr>
        <w:t>sont</w:t>
      </w:r>
      <w:r>
        <w:rPr>
          <w:color w:val="231F20"/>
          <w:spacing w:val="15"/>
        </w:rPr>
        <w:t> </w:t>
      </w:r>
      <w:r>
        <w:rPr>
          <w:color w:val="231F20"/>
        </w:rPr>
        <w:t>annexées</w:t>
      </w:r>
      <w:r>
        <w:rPr>
          <w:color w:val="231F20"/>
          <w:spacing w:val="15"/>
        </w:rPr>
        <w:t> </w:t>
      </w:r>
      <w:r>
        <w:rPr>
          <w:color w:val="231F20"/>
        </w:rPr>
        <w:t>à</w:t>
      </w:r>
      <w:r>
        <w:rPr>
          <w:color w:val="231F20"/>
          <w:spacing w:val="15"/>
        </w:rPr>
        <w:t> </w:t>
      </w:r>
      <w:r>
        <w:rPr>
          <w:color w:val="231F20"/>
        </w:rPr>
        <w:t>la</w:t>
      </w:r>
      <w:r>
        <w:rPr>
          <w:color w:val="231F20"/>
          <w:spacing w:val="15"/>
        </w:rPr>
        <w:t> </w:t>
      </w:r>
      <w:r>
        <w:rPr>
          <w:color w:val="231F20"/>
        </w:rPr>
        <w:t>convocation</w:t>
      </w:r>
      <w:r>
        <w:rPr>
          <w:color w:val="231F20"/>
          <w:spacing w:val="16"/>
        </w:rPr>
        <w:t> </w:t>
      </w:r>
      <w:r>
        <w:rPr>
          <w:color w:val="231F20"/>
        </w:rPr>
        <w:t>à</w:t>
      </w:r>
      <w:r>
        <w:rPr>
          <w:color w:val="231F20"/>
          <w:spacing w:val="15"/>
        </w:rPr>
        <w:t> </w:t>
      </w:r>
      <w:r>
        <w:rPr>
          <w:color w:val="231F20"/>
        </w:rPr>
        <w:t>l’assemblée</w:t>
      </w:r>
      <w:r>
        <w:rPr>
          <w:color w:val="231F20"/>
          <w:spacing w:val="15"/>
        </w:rPr>
        <w:t> </w:t>
      </w:r>
      <w:r>
        <w:rPr>
          <w:color w:val="231F20"/>
        </w:rPr>
        <w:t>générale.</w:t>
      </w:r>
    </w:p>
    <w:p>
      <w:pPr>
        <w:pStyle w:val="BodyText"/>
        <w:spacing w:before="9"/>
        <w:ind w:left="0" w:right="0" w:firstLine="0"/>
        <w:jc w:val="left"/>
        <w:rPr>
          <w:sz w:val="22"/>
        </w:rPr>
      </w:pPr>
    </w:p>
    <w:p>
      <w:pPr>
        <w:pStyle w:val="BodyText"/>
        <w:spacing w:line="218" w:lineRule="auto"/>
        <w:ind w:right="38"/>
      </w:pPr>
      <w:r>
        <w:rPr>
          <w:color w:val="231F20"/>
        </w:rPr>
        <w:t>Ils sont également transmis sans délai aux personnes qui ont accompli les formalités requises par les statuts pour être admises à l’assemblée.</w:t>
      </w:r>
    </w:p>
    <w:p>
      <w:pPr>
        <w:pStyle w:val="BodyText"/>
        <w:spacing w:line="213" w:lineRule="auto" w:before="88"/>
        <w:ind w:right="38"/>
      </w:pPr>
      <w:r>
        <w:rPr>
          <w:color w:val="231F20"/>
        </w:rPr>
        <w:t>Tout associé ou actionnaire ou titulaire de titres autres que des parts ou des actions peut, sur production de son titre ou de l’attestation visée à l’article 7:41, quinze jours avant la tenue de l’assemblée obtenir sans frais au siège de la société une copie des documents visés à l’alinéa 1</w:t>
      </w:r>
      <w:r>
        <w:rPr>
          <w:color w:val="231F20"/>
          <w:position w:val="7"/>
          <w:sz w:val="11"/>
        </w:rPr>
        <w:t>er</w:t>
      </w:r>
      <w:r>
        <w:rPr>
          <w:color w:val="231F20"/>
        </w:rPr>
        <w:t>.</w:t>
      </w:r>
    </w:p>
    <w:p>
      <w:pPr>
        <w:pStyle w:val="BodyText"/>
        <w:spacing w:before="9"/>
        <w:ind w:left="0" w:right="0" w:firstLine="0"/>
        <w:jc w:val="left"/>
        <w:rPr>
          <w:sz w:val="22"/>
        </w:rPr>
      </w:pPr>
    </w:p>
    <w:p>
      <w:pPr>
        <w:pStyle w:val="BodyText"/>
        <w:spacing w:line="218" w:lineRule="auto"/>
        <w:ind w:right="38"/>
      </w:pPr>
      <w:r>
        <w:rPr>
          <w:color w:val="231F20"/>
        </w:rPr>
        <w:t>Art. 14:7. En l’absence des rapports prévus par cette section, la décision d’une assemblée générale de transformer la société est frappée de nullité.</w:t>
      </w:r>
    </w:p>
    <w:p>
      <w:pPr>
        <w:pStyle w:val="BodyText"/>
        <w:spacing w:before="72"/>
        <w:ind w:left="283" w:right="0" w:firstLine="0"/>
        <w:jc w:val="left"/>
      </w:pPr>
      <w:r>
        <w:rPr>
          <w:color w:val="231F20"/>
        </w:rPr>
        <w:t>Section 3. Décision de transformation.</w:t>
      </w:r>
    </w:p>
    <w:p>
      <w:pPr>
        <w:pStyle w:val="BodyText"/>
        <w:spacing w:line="218" w:lineRule="auto" w:before="67"/>
        <w:ind w:right="38"/>
      </w:pPr>
      <w:r>
        <w:rPr>
          <w:color w:val="231F20"/>
        </w:rPr>
        <w:t>Art. 14:8. § 1</w:t>
      </w:r>
      <w:r>
        <w:rPr>
          <w:color w:val="231F20"/>
          <w:position w:val="7"/>
          <w:sz w:val="11"/>
        </w:rPr>
        <w:t>er</w:t>
      </w:r>
      <w:r>
        <w:rPr>
          <w:color w:val="231F20"/>
        </w:rPr>
        <w:t>. Sous réserve des dispositions particulières énoncées dans le présent article et de dispositions statutaires plus rigoureuses, l’assemblée générale décide de la transformation dans le respect des règles de présence et de majorité suivantes:</w:t>
      </w:r>
    </w:p>
    <w:p>
      <w:pPr>
        <w:pStyle w:val="BodyText"/>
        <w:spacing w:line="218" w:lineRule="auto" w:before="85"/>
        <w:ind w:right="38"/>
      </w:pPr>
      <w:r>
        <w:rPr>
          <w:color w:val="231F20"/>
        </w:rPr>
        <w:t>1° ceux qui assistent ou sont représentés à la réunion doivent représenter la moitié au moins du capital, ou, si la société ne dispose pas d’un capital, la moitié du nombre total des actions ou parts émises;</w:t>
      </w:r>
    </w:p>
    <w:p>
      <w:pPr>
        <w:pStyle w:val="BodyText"/>
        <w:spacing w:before="9"/>
        <w:ind w:left="0" w:right="0" w:firstLine="0"/>
        <w:jc w:val="left"/>
        <w:rPr>
          <w:sz w:val="22"/>
        </w:rPr>
      </w:pPr>
    </w:p>
    <w:p>
      <w:pPr>
        <w:pStyle w:val="BodyText"/>
        <w:spacing w:line="218" w:lineRule="auto"/>
        <w:ind w:right="38"/>
      </w:pPr>
      <w:r>
        <w:rPr>
          <w:color w:val="231F20"/>
        </w:rPr>
        <w:t>2° </w:t>
      </w:r>
      <w:r>
        <w:rPr>
          <w:rFonts w:ascii="Times New Roman" w:hAnsi="Times New Roman"/>
          <w:i/>
          <w:color w:val="231F20"/>
        </w:rPr>
        <w:t>a) </w:t>
      </w:r>
      <w:r>
        <w:rPr>
          <w:color w:val="231F20"/>
        </w:rPr>
        <w:t>une proposition de transformation est seulement acceptée si</w:t>
      </w:r>
      <w:r>
        <w:rPr>
          <w:color w:val="231F20"/>
          <w:spacing w:val="-10"/>
        </w:rPr>
        <w:t> </w:t>
      </w:r>
      <w:r>
        <w:rPr>
          <w:color w:val="231F20"/>
        </w:rPr>
        <w:t>elle réunit</w:t>
      </w:r>
      <w:r>
        <w:rPr>
          <w:color w:val="231F20"/>
          <w:spacing w:val="15"/>
        </w:rPr>
        <w:t> </w:t>
      </w:r>
      <w:r>
        <w:rPr>
          <w:color w:val="231F20"/>
        </w:rPr>
        <w:t>les</w:t>
      </w:r>
      <w:r>
        <w:rPr>
          <w:color w:val="231F20"/>
          <w:spacing w:val="15"/>
        </w:rPr>
        <w:t> </w:t>
      </w:r>
      <w:r>
        <w:rPr>
          <w:color w:val="231F20"/>
        </w:rPr>
        <w:t>quatre</w:t>
      </w:r>
      <w:r>
        <w:rPr>
          <w:color w:val="231F20"/>
          <w:spacing w:val="15"/>
        </w:rPr>
        <w:t> </w:t>
      </w:r>
      <w:r>
        <w:rPr>
          <w:color w:val="231F20"/>
        </w:rPr>
        <w:t>cinquièmes</w:t>
      </w:r>
      <w:r>
        <w:rPr>
          <w:color w:val="231F20"/>
          <w:spacing w:val="15"/>
        </w:rPr>
        <w:t> </w:t>
      </w:r>
      <w:r>
        <w:rPr>
          <w:color w:val="231F20"/>
        </w:rPr>
        <w:t>des</w:t>
      </w:r>
      <w:r>
        <w:rPr>
          <w:color w:val="231F20"/>
          <w:spacing w:val="15"/>
        </w:rPr>
        <w:t> </w:t>
      </w:r>
      <w:r>
        <w:rPr>
          <w:color w:val="231F20"/>
        </w:rPr>
        <w:t>voix;</w:t>
      </w:r>
    </w:p>
    <w:p>
      <w:pPr>
        <w:pStyle w:val="BodyText"/>
        <w:spacing w:line="218" w:lineRule="auto" w:before="83"/>
        <w:ind w:right="38"/>
      </w:pPr>
      <w:r>
        <w:rPr>
          <w:rFonts w:ascii="Times New Roman" w:hAnsi="Times New Roman"/>
          <w:i/>
          <w:color w:val="231F20"/>
        </w:rPr>
        <w:t>b) </w:t>
      </w:r>
      <w:r>
        <w:rPr>
          <w:color w:val="231F20"/>
        </w:rPr>
        <w:t>par dérogation au 1° dans la société en commandite et dans la société coopérative, le droit de vote des associés ou des actionnaires est proportionnel à leur part dans l’avoir social et le quorum de présence  se</w:t>
      </w:r>
      <w:r>
        <w:rPr>
          <w:color w:val="231F20"/>
          <w:spacing w:val="15"/>
        </w:rPr>
        <w:t> </w:t>
      </w:r>
      <w:r>
        <w:rPr>
          <w:color w:val="231F20"/>
        </w:rPr>
        <w:t>calcule</w:t>
      </w:r>
      <w:r>
        <w:rPr>
          <w:color w:val="231F20"/>
          <w:spacing w:val="15"/>
        </w:rPr>
        <w:t> </w:t>
      </w:r>
      <w:r>
        <w:rPr>
          <w:color w:val="231F20"/>
        </w:rPr>
        <w:t>par</w:t>
      </w:r>
      <w:r>
        <w:rPr>
          <w:color w:val="231F20"/>
          <w:spacing w:val="15"/>
        </w:rPr>
        <w:t> </w:t>
      </w:r>
      <w:r>
        <w:rPr>
          <w:color w:val="231F20"/>
        </w:rPr>
        <w:t>rapport</w:t>
      </w:r>
      <w:r>
        <w:rPr>
          <w:color w:val="231F20"/>
          <w:spacing w:val="15"/>
        </w:rPr>
        <w:t> </w:t>
      </w:r>
      <w:r>
        <w:rPr>
          <w:color w:val="231F20"/>
        </w:rPr>
        <w:t>à</w:t>
      </w:r>
      <w:r>
        <w:rPr>
          <w:color w:val="231F20"/>
          <w:spacing w:val="15"/>
        </w:rPr>
        <w:t> </w:t>
      </w:r>
      <w:r>
        <w:rPr>
          <w:color w:val="231F20"/>
        </w:rPr>
        <w:t>cet</w:t>
      </w:r>
      <w:r>
        <w:rPr>
          <w:color w:val="231F20"/>
          <w:spacing w:val="16"/>
        </w:rPr>
        <w:t> </w:t>
      </w:r>
      <w:r>
        <w:rPr>
          <w:color w:val="231F20"/>
        </w:rPr>
        <w:t>avoir</w:t>
      </w:r>
      <w:r>
        <w:rPr>
          <w:color w:val="231F20"/>
          <w:spacing w:val="15"/>
        </w:rPr>
        <w:t> </w:t>
      </w:r>
      <w:r>
        <w:rPr>
          <w:color w:val="231F20"/>
        </w:rPr>
        <w:t>social.</w:t>
      </w:r>
    </w:p>
    <w:p>
      <w:pPr>
        <w:pStyle w:val="BodyText"/>
        <w:spacing w:before="1"/>
        <w:ind w:left="0" w:right="0" w:firstLine="0"/>
        <w:jc w:val="left"/>
        <w:rPr>
          <w:sz w:val="24"/>
        </w:rPr>
      </w:pPr>
    </w:p>
    <w:p>
      <w:pPr>
        <w:pStyle w:val="BodyText"/>
        <w:spacing w:line="216" w:lineRule="auto"/>
        <w:ind w:right="38"/>
      </w:pPr>
      <w:r>
        <w:rPr>
          <w:color w:val="231F20"/>
        </w:rPr>
        <w:t>§ 2. S’il existe plusieurs classes de titres conférant le droit de vote et lorsque la transformation entraîne une modification de leurs droits respectifs, les dispositions de l’article 5:102, 6:87 ou 7:155, à l’exception de leur alinéa 2, sont applicables par analogie. L’assemblée générale ne pourra toutefois valablement délibérer et statuer que si elle réunit dans chaque classe les conditions de présence et de majorité prévues par le paragraphe 1</w:t>
      </w:r>
      <w:r>
        <w:rPr>
          <w:color w:val="231F20"/>
          <w:position w:val="7"/>
          <w:sz w:val="11"/>
        </w:rPr>
        <w:t>er</w:t>
      </w:r>
      <w:r>
        <w:rPr>
          <w:color w:val="231F20"/>
        </w:rPr>
        <w:t>.</w:t>
      </w:r>
    </w:p>
    <w:p>
      <w:pPr>
        <w:pStyle w:val="BodyText"/>
        <w:spacing w:line="218" w:lineRule="auto" w:before="94"/>
        <w:ind w:right="38"/>
      </w:pPr>
      <w:r>
        <w:rPr>
          <w:color w:val="231F20"/>
        </w:rPr>
        <w:t>En outre, et nonobstant toute disposition statutaire contraire, les parts bénéficiaires donneront droit à une voix par titre. Elles ne pourront se voir attribuer dans l’ensemble un nombre de voix supérieur</w:t>
      </w:r>
    </w:p>
    <w:p>
      <w:pPr>
        <w:pStyle w:val="BodyText"/>
        <w:spacing w:line="218" w:lineRule="auto" w:before="119"/>
      </w:pPr>
      <w:r>
        <w:rPr/>
        <w:br w:type="column"/>
      </w:r>
      <w:r>
        <w:rPr>
          <w:color w:val="231F20"/>
        </w:rPr>
        <w:t>Afdeling 2. Formaliteiten die het besluit tot omzetting van een vennootschap voorafgaan.</w:t>
      </w:r>
    </w:p>
    <w:p>
      <w:pPr>
        <w:pStyle w:val="BodyText"/>
        <w:spacing w:line="218" w:lineRule="auto" w:before="86"/>
      </w:pPr>
      <w:r>
        <w:rPr>
          <w:color w:val="231F20"/>
        </w:rPr>
        <w:t>Art. 14:3. Alvorens tot de omzetting wordt besloten, maakt het bestuursorgaan een staat van activa en passiva op, die niet meer dan drie maanden vóór de algemene vergadering die over het voorstel tot omzetting moet besluiten is afgesloten.</w:t>
      </w:r>
    </w:p>
    <w:p>
      <w:pPr>
        <w:pStyle w:val="BodyText"/>
        <w:ind w:left="0" w:right="0" w:firstLine="0"/>
        <w:jc w:val="left"/>
        <w:rPr>
          <w:sz w:val="23"/>
        </w:rPr>
      </w:pPr>
    </w:p>
    <w:p>
      <w:pPr>
        <w:pStyle w:val="BodyText"/>
        <w:spacing w:line="218" w:lineRule="auto"/>
      </w:pPr>
      <w:r>
        <w:rPr>
          <w:color w:val="231F20"/>
        </w:rPr>
        <w:t>Wanneer het nettoactief kleiner is dan het in de voormelde staat opgenomen kapitaal, vermeerderd met alle reserves die krachtens de wet of de statuten niet mogen worden uitgekeerd, of, als de vennoot- schap geen kapitaal heeft, het eigen vermogen, dan besluit de staat met de vermelding van het verschil.</w:t>
      </w:r>
    </w:p>
    <w:p>
      <w:pPr>
        <w:pStyle w:val="BodyText"/>
        <w:spacing w:line="218" w:lineRule="auto" w:before="86"/>
      </w:pPr>
      <w:r>
        <w:rPr>
          <w:color w:val="231F20"/>
        </w:rPr>
        <w:t>Bij omzetting van een vennootschap onder firma of een commandi- taire vennootschap in een naamloze vennootschap, een besloten vennootschap of een coöperatieve vennootschap mag het in deze staat aangegeven kapitaal of, als de vennootschap geen kapitaal heeft, het eigen vermogen, na de omzetting niet hoger zijn dan het uit de staat blijkend nettoactief.</w:t>
      </w:r>
    </w:p>
    <w:p>
      <w:pPr>
        <w:pStyle w:val="BodyText"/>
        <w:spacing w:line="218" w:lineRule="auto" w:before="86"/>
        <w:ind w:right="123"/>
      </w:pPr>
      <w:r>
        <w:rPr>
          <w:color w:val="231F20"/>
        </w:rPr>
        <w:t>Art. 14:4. De commissaris of, als er geen commissaris is, een door het bestuursorgaan of, bij een vennootschap onder firma of een comman- ditaire vennootschap, een door de algemene vergadering aangewezen bedrijfsrevisor of externe accountant, brengt over deze staat verslag uit en vermeldt inzonderheid of het nettoactief is overgewaardeerd.</w:t>
      </w:r>
    </w:p>
    <w:p>
      <w:pPr>
        <w:pStyle w:val="BodyText"/>
        <w:spacing w:line="218" w:lineRule="auto" w:before="85"/>
      </w:pPr>
      <w:r>
        <w:rPr>
          <w:color w:val="231F20"/>
        </w:rPr>
        <w:t>Indien, in het geval bedoeld in artikel 14:3, tweede lid, het nettoactief van de vennootschap kleiner is dan het in de staat van activa en passiva opgenomen kapitaal of, als de vennootschap geen kapitaal heeft, het eigen vermogen, dan besluit het verslag met de vermelding van het verschil.</w:t>
      </w:r>
    </w:p>
    <w:p>
      <w:pPr>
        <w:pStyle w:val="BodyText"/>
        <w:spacing w:line="218" w:lineRule="auto" w:before="86"/>
      </w:pPr>
      <w:r>
        <w:rPr>
          <w:color w:val="231F20"/>
        </w:rPr>
        <w:t>Art. 14:5. Het bestuursorgaan licht het omzettingsvoorstel toe in een verslag dat wordt vermeld in de agenda van de algemene vergadering die het besluit moet nemen. Bij dat verslag wordt de staat van activa en passiva gevoegd.</w:t>
      </w:r>
    </w:p>
    <w:p>
      <w:pPr>
        <w:pStyle w:val="BodyText"/>
        <w:spacing w:line="218" w:lineRule="auto" w:before="86"/>
      </w:pPr>
      <w:r>
        <w:rPr>
          <w:color w:val="231F20"/>
        </w:rPr>
        <w:t>Art. 14:6. Een kopie van het verslag van het bestuursorgaan en van het verslag van de commissaris of van de bedrijfsrevisor of externe accountant, alsook het ontwerp van statutenwijziging worden meege- deeld aan de aandeelhouders samen met de oproeping tot de algemene vergadering overeenkomstig de artikelen 5:83, 6:70, § 1, 7:128 en 7:129. In een vennootschap onder firma en in een commanditaire vennoot- schap worden zij gevoegd aan de oproeping tot de algemene vergade- ring.</w:t>
      </w:r>
    </w:p>
    <w:p>
      <w:pPr>
        <w:pStyle w:val="BodyText"/>
        <w:spacing w:line="218" w:lineRule="auto" w:before="86"/>
      </w:pPr>
      <w:r>
        <w:rPr>
          <w:color w:val="231F20"/>
        </w:rPr>
        <w:t>Zij worden ook onverwijld gezonden aan degenen die de statutair voorgeschreven formaliteiten hebben vervuld om tot de vergadering te worden toegelaten.</w:t>
      </w:r>
    </w:p>
    <w:p>
      <w:pPr>
        <w:pStyle w:val="BodyText"/>
        <w:spacing w:line="218" w:lineRule="auto" w:before="85"/>
      </w:pPr>
      <w:r>
        <w:rPr>
          <w:color w:val="231F20"/>
        </w:rPr>
        <w:t>Iedere vennoot of aandeelhouder of houder van andere effecten kan, tegen overlegging van zijn effect of van het in artikel 7:41 bedoelde attest, vijftien dagen vóór de vergadering ter zetel van de vennootschap kosteloos een kopie van de in het eerste lid bedoelde stukken verkrijgen.</w:t>
      </w:r>
    </w:p>
    <w:p>
      <w:pPr>
        <w:pStyle w:val="BodyText"/>
        <w:spacing w:line="218" w:lineRule="auto" w:before="86"/>
      </w:pPr>
      <w:r>
        <w:rPr>
          <w:color w:val="231F20"/>
        </w:rPr>
        <w:t>Art. 14:7. Wanneer de verslagen vereist door deze afdeling ontbreken, is het besluit van de algemene vergadering tot omzetting van de vennootschap nietig.</w:t>
      </w:r>
    </w:p>
    <w:p>
      <w:pPr>
        <w:pStyle w:val="BodyText"/>
        <w:spacing w:before="71"/>
        <w:ind w:left="283" w:right="0" w:firstLine="0"/>
        <w:jc w:val="left"/>
      </w:pPr>
      <w:r>
        <w:rPr>
          <w:color w:val="231F20"/>
        </w:rPr>
        <w:t>Afdeling 3. Besluit tot omzetting.</w:t>
      </w:r>
    </w:p>
    <w:p>
      <w:pPr>
        <w:pStyle w:val="BodyText"/>
        <w:spacing w:line="218" w:lineRule="auto" w:before="82"/>
      </w:pPr>
      <w:r>
        <w:rPr>
          <w:color w:val="231F20"/>
        </w:rPr>
        <w:t>Art. 14:8. § 1. Onverminderd strengere bepalingen in de statuten en de bijzondere bepalingen van dit artikel, beslist de algemene vergade- ring tot omzetting overeenkomstig de volgende regels van aanwezig- heid en meerderheid:</w:t>
      </w:r>
    </w:p>
    <w:p>
      <w:pPr>
        <w:pStyle w:val="BodyText"/>
        <w:spacing w:line="218" w:lineRule="auto" w:before="86"/>
      </w:pPr>
      <w:r>
        <w:rPr>
          <w:color w:val="231F20"/>
        </w:rPr>
        <w:t>1° de op de vergadering aanwezigen of vertegenwoordigden moeten ten minste de helft van het kapitaal, of, als de vennootschap geen kapitaal heeft, de helft van het totaal aantal uitgegeven aandelen vertegenwoordigen;</w:t>
      </w:r>
    </w:p>
    <w:p>
      <w:pPr>
        <w:pStyle w:val="BodyText"/>
        <w:spacing w:line="218" w:lineRule="auto" w:before="83"/>
      </w:pPr>
      <w:r>
        <w:rPr>
          <w:color w:val="231F20"/>
        </w:rPr>
        <w:t>2° </w:t>
      </w:r>
      <w:r>
        <w:rPr>
          <w:rFonts w:ascii="Times New Roman" w:hAnsi="Times New Roman"/>
          <w:i/>
          <w:color w:val="231F20"/>
        </w:rPr>
        <w:t>a) </w:t>
      </w:r>
      <w:r>
        <w:rPr>
          <w:color w:val="231F20"/>
        </w:rPr>
        <w:t>een voorstel tot omzetting is alleen dan aangenomen, wanneer het vier vijfde van de stemmen heeft verkregen;</w:t>
      </w:r>
    </w:p>
    <w:p>
      <w:pPr>
        <w:pStyle w:val="BodyText"/>
        <w:spacing w:line="218" w:lineRule="auto" w:before="83"/>
      </w:pPr>
      <w:r>
        <w:rPr>
          <w:rFonts w:ascii="Times New Roman" w:hAnsi="Times New Roman"/>
          <w:i/>
          <w:color w:val="231F20"/>
        </w:rPr>
        <w:t>b) </w:t>
      </w:r>
      <w:r>
        <w:rPr>
          <w:color w:val="231F20"/>
        </w:rPr>
        <w:t>in afwijking van het 1°, is in de commanditaire en in de coöperatieve vennootschap het stemrecht van de vennoten of de aandeelhouders evenredig aan hun aandeel in het vennootschapsver- mogen en wordt het aanwezigheidsquorum berekend naar verhouding van dat vermogen.</w:t>
      </w:r>
    </w:p>
    <w:p>
      <w:pPr>
        <w:pStyle w:val="BodyText"/>
        <w:spacing w:line="218" w:lineRule="auto" w:before="96"/>
      </w:pPr>
      <w:r>
        <w:rPr>
          <w:color w:val="231F20"/>
        </w:rPr>
        <w:t>§ 2. Indien er verschillende soorten van stemrechtverlenende</w:t>
      </w:r>
      <w:r>
        <w:rPr>
          <w:color w:val="231F20"/>
          <w:spacing w:val="-13"/>
        </w:rPr>
        <w:t> </w:t>
      </w:r>
      <w:r>
        <w:rPr>
          <w:color w:val="231F20"/>
        </w:rPr>
        <w:t>effecten bestaan en de omzetting aanleiding geeft tot wijziging van hun respectievelijke rechten, is artikel 5:102, 6:87 of 7:155, met</w:t>
      </w:r>
      <w:r>
        <w:rPr>
          <w:color w:val="231F20"/>
          <w:spacing w:val="-18"/>
        </w:rPr>
        <w:t> </w:t>
      </w:r>
      <w:r>
        <w:rPr>
          <w:color w:val="231F20"/>
        </w:rPr>
        <w:t>uitzondering van hun tweede lid, van overeenkomstige toepassing. De algemene vergadering kan echter alleen op geldige wijze beraadslagen en besluiten indien voor iedere soort is voldaan aan de aanwezigheids- en meerderheidsvereisten bepaald in paragraaf</w:t>
      </w:r>
      <w:r>
        <w:rPr>
          <w:color w:val="231F20"/>
          <w:spacing w:val="21"/>
        </w:rPr>
        <w:t> </w:t>
      </w:r>
      <w:r>
        <w:rPr>
          <w:color w:val="231F20"/>
        </w:rPr>
        <w:t>1.</w:t>
      </w:r>
    </w:p>
    <w:p>
      <w:pPr>
        <w:pStyle w:val="BodyText"/>
        <w:spacing w:line="218" w:lineRule="auto" w:before="97"/>
      </w:pPr>
      <w:r>
        <w:rPr>
          <w:color w:val="231F20"/>
        </w:rPr>
        <w:t>Bovendien geven de winstbewijzen bij deze stemming recht op één stem per effect, niettegenstaande andersluidende statutaire bepaling.</w:t>
      </w:r>
      <w:r>
        <w:rPr>
          <w:color w:val="231F20"/>
          <w:spacing w:val="-18"/>
        </w:rPr>
        <w:t> </w:t>
      </w:r>
      <w:r>
        <w:rPr>
          <w:color w:val="231F20"/>
        </w:rPr>
        <w:t>In het geheel kunnen aan die effecten niet meer stemmen</w:t>
      </w:r>
      <w:r>
        <w:rPr>
          <w:color w:val="231F20"/>
          <w:spacing w:val="12"/>
        </w:rPr>
        <w:t> </w:t>
      </w:r>
      <w:r>
        <w:rPr>
          <w:color w:val="231F20"/>
        </w:rPr>
        <w:t>worden</w:t>
      </w:r>
    </w:p>
    <w:p>
      <w:pPr>
        <w:spacing w:after="0" w:line="218" w:lineRule="auto"/>
        <w:sectPr>
          <w:headerReference w:type="even" r:id="rId111"/>
          <w:headerReference w:type="default" r:id="rId112"/>
          <w:pgSz w:w="11940" w:h="16880"/>
          <w:pgMar w:header="666" w:footer="0" w:top="1140" w:bottom="280" w:left="340" w:right="360"/>
          <w:cols w:num="2" w:equalWidth="0">
            <w:col w:w="5527" w:space="101"/>
            <w:col w:w="5612"/>
          </w:cols>
        </w:sectPr>
      </w:pPr>
    </w:p>
    <w:p>
      <w:pPr>
        <w:pStyle w:val="BodyText"/>
        <w:spacing w:line="218" w:lineRule="auto" w:before="120"/>
        <w:ind w:right="38" w:hanging="1"/>
      </w:pPr>
      <w:r>
        <w:rPr/>
        <w:pict>
          <v:line style="position:absolute;mso-position-horizontal-relative:page;mso-position-vertical-relative:page;z-index:7312" from="298.170502pt,64.473pt" to="298.170502pt,812.819pt" stroked="true" strokeweight=".533pt" strokecolor="#231f20">
            <v:stroke dashstyle="solid"/>
            <w10:wrap type="none"/>
          </v:line>
        </w:pict>
      </w:r>
      <w:bookmarkStart w:name="_bookmark262" w:id="268"/>
      <w:bookmarkEnd w:id="268"/>
      <w:r>
        <w:rPr/>
      </w:r>
      <w:r>
        <w:rPr>
          <w:color w:val="231F20"/>
        </w:rPr>
        <w:t>à la moitié de celui attribué à l’ensemble des actions, ni être comptées dans le vote pour un nombre de voix supérieur aux deux tiers du nombre des voix émises par les actions. Si les votes soumis à la limitation sont émis en sens différents, la réduction s’opèrera propor- tionnellement; il n’est pas tenu compte des fractions de voix.</w:t>
      </w:r>
    </w:p>
    <w:p>
      <w:pPr>
        <w:pStyle w:val="BodyText"/>
        <w:ind w:left="0" w:right="0" w:firstLine="0"/>
        <w:jc w:val="left"/>
        <w:rPr>
          <w:sz w:val="20"/>
        </w:rPr>
      </w:pPr>
    </w:p>
    <w:p>
      <w:pPr>
        <w:pStyle w:val="BodyText"/>
        <w:spacing w:before="10"/>
        <w:ind w:left="0" w:right="0" w:firstLine="0"/>
        <w:jc w:val="left"/>
        <w:rPr>
          <w:sz w:val="18"/>
        </w:rPr>
      </w:pPr>
    </w:p>
    <w:p>
      <w:pPr>
        <w:pStyle w:val="BodyText"/>
        <w:spacing w:line="211" w:lineRule="auto"/>
        <w:ind w:right="38"/>
      </w:pPr>
      <w:r>
        <w:rPr>
          <w:color w:val="231F20"/>
        </w:rPr>
        <w:t>§ 3. En cas de transformation d’une société coopérative en société anonyme, il doit être convoqué une nouvelle assemblée générale, si le quorum de présence visé au paragraphe 1</w:t>
      </w:r>
      <w:r>
        <w:rPr>
          <w:color w:val="231F20"/>
          <w:position w:val="7"/>
          <w:sz w:val="11"/>
        </w:rPr>
        <w:t>er</w:t>
      </w:r>
      <w:r>
        <w:rPr>
          <w:color w:val="231F20"/>
        </w:rPr>
        <w:t>, 1°, n’est pas atteint.</w:t>
      </w:r>
    </w:p>
    <w:p>
      <w:pPr>
        <w:pStyle w:val="BodyText"/>
        <w:spacing w:before="9"/>
        <w:ind w:left="0" w:right="0" w:firstLine="0"/>
        <w:jc w:val="left"/>
        <w:rPr>
          <w:sz w:val="22"/>
        </w:rPr>
      </w:pPr>
    </w:p>
    <w:p>
      <w:pPr>
        <w:pStyle w:val="BodyText"/>
        <w:spacing w:line="218" w:lineRule="auto"/>
        <w:ind w:right="38"/>
      </w:pPr>
      <w:r>
        <w:rPr>
          <w:color w:val="231F20"/>
        </w:rPr>
        <w:t>Pour que la nouvelle assemblée délibère et statue valablement, il suffira qu’un actionnaire soit présent ou représenté.</w:t>
      </w:r>
    </w:p>
    <w:p>
      <w:pPr>
        <w:pStyle w:val="BodyText"/>
        <w:spacing w:before="8"/>
        <w:ind w:left="0" w:right="0" w:firstLine="0"/>
        <w:jc w:val="left"/>
        <w:rPr>
          <w:sz w:val="21"/>
        </w:rPr>
      </w:pPr>
    </w:p>
    <w:p>
      <w:pPr>
        <w:pStyle w:val="BodyText"/>
        <w:spacing w:before="1"/>
        <w:ind w:left="283" w:right="0" w:firstLine="0"/>
        <w:jc w:val="left"/>
      </w:pPr>
      <w:r>
        <w:rPr>
          <w:color w:val="231F20"/>
        </w:rPr>
        <w:t>§ 4. L’accord de tous les associés ou actionnaires est requis:</w:t>
      </w:r>
    </w:p>
    <w:p>
      <w:pPr>
        <w:pStyle w:val="BodyText"/>
        <w:spacing w:line="218" w:lineRule="auto" w:before="82"/>
        <w:ind w:right="38"/>
      </w:pPr>
      <w:r>
        <w:rPr>
          <w:color w:val="231F20"/>
        </w:rPr>
        <w:t>1° pour la décision de transformation en société en nom collectif ou en société en commandite;</w:t>
      </w:r>
    </w:p>
    <w:p>
      <w:pPr>
        <w:pStyle w:val="BodyText"/>
        <w:spacing w:line="218" w:lineRule="auto" w:before="85"/>
        <w:ind w:right="38"/>
      </w:pPr>
      <w:r>
        <w:rPr>
          <w:color w:val="231F20"/>
        </w:rPr>
        <w:t>2° pour la décision de transformation d’une société en nom collectif ou d’une société en commandite;</w:t>
      </w:r>
    </w:p>
    <w:p>
      <w:pPr>
        <w:pStyle w:val="BodyText"/>
        <w:spacing w:before="71"/>
        <w:ind w:left="283" w:right="0" w:firstLine="0"/>
        <w:jc w:val="left"/>
      </w:pPr>
      <w:r>
        <w:rPr>
          <w:color w:val="231F20"/>
        </w:rPr>
        <w:t>3° si la société n’existe pas depuis deux ans au moins;</w:t>
      </w:r>
    </w:p>
    <w:p>
      <w:pPr>
        <w:pStyle w:val="BodyText"/>
        <w:spacing w:line="218" w:lineRule="auto" w:before="82"/>
        <w:ind w:right="38"/>
      </w:pPr>
      <w:r>
        <w:rPr>
          <w:color w:val="231F20"/>
        </w:rPr>
        <w:t>4° si les statuts prévoient qu’elle ne pourra adopter une autre forme légale. Cette clause des statuts ne peut être modifiée qu’avec l’accord de tous les associés ou actionnaires.</w:t>
      </w:r>
    </w:p>
    <w:p>
      <w:pPr>
        <w:pStyle w:val="BodyText"/>
        <w:spacing w:line="218" w:lineRule="auto" w:before="86"/>
        <w:ind w:right="38"/>
      </w:pPr>
      <w:r>
        <w:rPr>
          <w:color w:val="231F20"/>
        </w:rPr>
        <w:t>§ 5. Dans les sociétés coopératives, chaque actionnaire a la faculté, nonobstant toute disposition contraire, de démissionner à tout moment au cours de l’exercice social et sans avoir à satisfaire à aucune autre condition, dès la convocation de l’assemblée générale appelée à décider la transformation de la société.</w:t>
      </w:r>
    </w:p>
    <w:p>
      <w:pPr>
        <w:pStyle w:val="BodyText"/>
        <w:spacing w:line="218" w:lineRule="auto" w:before="86"/>
        <w:ind w:right="38"/>
      </w:pPr>
      <w:r>
        <w:rPr>
          <w:color w:val="231F20"/>
        </w:rPr>
        <w:t>Il notifie sa démission à la société conformément à l’article 2:32 cinq jours au moins avant la date de l’assemblée générale. Elle n’aura d’effet que si la proposition de transformation est adoptée.</w:t>
      </w:r>
    </w:p>
    <w:p>
      <w:pPr>
        <w:pStyle w:val="BodyText"/>
        <w:spacing w:before="11"/>
        <w:ind w:left="0" w:right="0" w:firstLine="0"/>
        <w:jc w:val="left"/>
        <w:rPr>
          <w:sz w:val="23"/>
        </w:rPr>
      </w:pPr>
    </w:p>
    <w:p>
      <w:pPr>
        <w:pStyle w:val="BodyText"/>
        <w:spacing w:line="201" w:lineRule="auto"/>
        <w:ind w:right="38"/>
      </w:pPr>
      <w:r>
        <w:rPr>
          <w:color w:val="231F20"/>
        </w:rPr>
        <w:t>Les convocations à l’assemblée reproduisent le texte du présent paragraphe, alinéas 1</w:t>
      </w:r>
      <w:r>
        <w:rPr>
          <w:color w:val="231F20"/>
          <w:position w:val="7"/>
          <w:sz w:val="11"/>
        </w:rPr>
        <w:t>er </w:t>
      </w:r>
      <w:r>
        <w:rPr>
          <w:color w:val="231F20"/>
        </w:rPr>
        <w:t>et 2.</w:t>
      </w:r>
    </w:p>
    <w:p>
      <w:pPr>
        <w:pStyle w:val="BodyText"/>
        <w:spacing w:line="218" w:lineRule="auto" w:before="86"/>
        <w:ind w:right="38"/>
      </w:pPr>
      <w:r>
        <w:rPr>
          <w:color w:val="231F20"/>
        </w:rPr>
        <w:t>Art. 14:9. Immédiatement après la décision de transformation, les statuts de la société sous sa forme nouvelle, y compris les dispositions qui modifieraient son objet, sont arrêtés aux mêmes conditions de présence et de majorité que celles requises pour la transformation, à défaut, la décision de transformation reste sans effet.</w:t>
      </w:r>
    </w:p>
    <w:p>
      <w:pPr>
        <w:pStyle w:val="BodyText"/>
        <w:ind w:left="0" w:right="0" w:firstLine="0"/>
        <w:jc w:val="left"/>
        <w:rPr>
          <w:sz w:val="23"/>
        </w:rPr>
      </w:pPr>
    </w:p>
    <w:p>
      <w:pPr>
        <w:pStyle w:val="BodyText"/>
        <w:spacing w:line="218" w:lineRule="auto"/>
        <w:ind w:right="38"/>
      </w:pPr>
      <w:r>
        <w:rPr>
          <w:color w:val="231F20"/>
        </w:rPr>
        <w:t>Art. 14:10. La transformation est, à peine de nullité, constatée par un acte authentique.</w:t>
      </w:r>
    </w:p>
    <w:p>
      <w:pPr>
        <w:pStyle w:val="BodyText"/>
        <w:spacing w:line="218" w:lineRule="auto" w:before="86"/>
        <w:ind w:right="38"/>
      </w:pPr>
      <w:r>
        <w:rPr>
          <w:color w:val="231F20"/>
        </w:rPr>
        <w:t>Cet acte reproduit les conclusions du rapport établi par le commis- saire ou par le réviseur d’entreprises ou l’expert-comptable externe.</w:t>
      </w:r>
    </w:p>
    <w:p>
      <w:pPr>
        <w:pStyle w:val="BodyText"/>
        <w:spacing w:line="218" w:lineRule="auto" w:before="85"/>
        <w:ind w:right="38"/>
      </w:pPr>
      <w:r>
        <w:rPr>
          <w:color w:val="231F20"/>
        </w:rPr>
        <w:t>L’acte de transformation et les statuts sont déposés et publiés simultanément conformément aux articles 2:8 et 2:14, 1°. L’acte de transformation est publié en entier; les statuts le sont par extrait.</w:t>
      </w:r>
    </w:p>
    <w:p>
      <w:pPr>
        <w:pStyle w:val="BodyText"/>
        <w:ind w:left="0" w:right="0" w:firstLine="0"/>
        <w:jc w:val="left"/>
        <w:rPr>
          <w:sz w:val="23"/>
        </w:rPr>
      </w:pPr>
    </w:p>
    <w:p>
      <w:pPr>
        <w:pStyle w:val="BodyText"/>
        <w:spacing w:line="218" w:lineRule="auto"/>
        <w:ind w:right="38"/>
      </w:pPr>
      <w:r>
        <w:rPr>
          <w:color w:val="231F20"/>
        </w:rPr>
        <w:t>Les mandats authentiques ou sous seing privés sont, ainsi que le rapport du commissaire ou du réviseur d’entreprises ou de l’expert- comptable externe, déposés en expédition ou en original en même temps que l’acte auquel ils se rapportent.</w:t>
      </w:r>
    </w:p>
    <w:p>
      <w:pPr>
        <w:pStyle w:val="BodyText"/>
        <w:spacing w:line="218" w:lineRule="auto" w:before="86"/>
        <w:ind w:right="38"/>
      </w:pPr>
      <w:r>
        <w:rPr>
          <w:color w:val="231F20"/>
        </w:rPr>
        <w:t>La transformation est opposable aux tiers aux conditions prévues à l’article 2:18.</w:t>
      </w:r>
    </w:p>
    <w:p>
      <w:pPr>
        <w:pStyle w:val="BodyText"/>
        <w:spacing w:line="218" w:lineRule="auto" w:before="70"/>
        <w:ind w:right="38"/>
      </w:pPr>
      <w:r>
        <w:rPr>
          <w:color w:val="231F20"/>
        </w:rPr>
        <w:t>Art.</w:t>
      </w:r>
      <w:r>
        <w:rPr>
          <w:color w:val="231F20"/>
          <w:spacing w:val="-7"/>
        </w:rPr>
        <w:t> </w:t>
      </w:r>
      <w:r>
        <w:rPr>
          <w:color w:val="231F20"/>
        </w:rPr>
        <w:t>14:11.</w:t>
      </w:r>
      <w:r>
        <w:rPr>
          <w:color w:val="231F20"/>
          <w:spacing w:val="-7"/>
        </w:rPr>
        <w:t> </w:t>
      </w:r>
      <w:r>
        <w:rPr>
          <w:color w:val="231F20"/>
        </w:rPr>
        <w:t>Les</w:t>
      </w:r>
      <w:r>
        <w:rPr>
          <w:color w:val="231F20"/>
          <w:spacing w:val="-7"/>
        </w:rPr>
        <w:t> </w:t>
      </w:r>
      <w:r>
        <w:rPr>
          <w:color w:val="231F20"/>
        </w:rPr>
        <w:t>articles</w:t>
      </w:r>
      <w:r>
        <w:rPr>
          <w:color w:val="231F20"/>
          <w:spacing w:val="-6"/>
        </w:rPr>
        <w:t> </w:t>
      </w:r>
      <w:r>
        <w:rPr>
          <w:color w:val="231F20"/>
        </w:rPr>
        <w:t>5:7,</w:t>
      </w:r>
      <w:r>
        <w:rPr>
          <w:color w:val="231F20"/>
          <w:spacing w:val="-7"/>
        </w:rPr>
        <w:t> </w:t>
      </w:r>
      <w:r>
        <w:rPr>
          <w:color w:val="231F20"/>
        </w:rPr>
        <w:t>5:11,</w:t>
      </w:r>
      <w:r>
        <w:rPr>
          <w:color w:val="231F20"/>
          <w:spacing w:val="-7"/>
        </w:rPr>
        <w:t> </w:t>
      </w:r>
      <w:r>
        <w:rPr>
          <w:color w:val="231F20"/>
        </w:rPr>
        <w:t>5:12,</w:t>
      </w:r>
      <w:r>
        <w:rPr>
          <w:color w:val="231F20"/>
          <w:spacing w:val="-6"/>
        </w:rPr>
        <w:t> </w:t>
      </w:r>
      <w:r>
        <w:rPr>
          <w:color w:val="231F20"/>
        </w:rPr>
        <w:t>alinéa</w:t>
      </w:r>
      <w:r>
        <w:rPr>
          <w:color w:val="231F20"/>
          <w:spacing w:val="-7"/>
        </w:rPr>
        <w:t> </w:t>
      </w:r>
      <w:r>
        <w:rPr>
          <w:color w:val="231F20"/>
        </w:rPr>
        <w:t>1</w:t>
      </w:r>
      <w:r>
        <w:rPr>
          <w:color w:val="231F20"/>
          <w:position w:val="7"/>
          <w:sz w:val="11"/>
        </w:rPr>
        <w:t>er</w:t>
      </w:r>
      <w:r>
        <w:rPr>
          <w:color w:val="231F20"/>
        </w:rPr>
        <w:t>,</w:t>
      </w:r>
      <w:r>
        <w:rPr>
          <w:color w:val="231F20"/>
          <w:spacing w:val="-7"/>
        </w:rPr>
        <w:t> </w:t>
      </w:r>
      <w:r>
        <w:rPr>
          <w:color w:val="231F20"/>
        </w:rPr>
        <w:t>5°</w:t>
      </w:r>
      <w:r>
        <w:rPr>
          <w:color w:val="231F20"/>
          <w:spacing w:val="-6"/>
        </w:rPr>
        <w:t> </w:t>
      </w:r>
      <w:r>
        <w:rPr>
          <w:color w:val="231F20"/>
        </w:rPr>
        <w:t>et</w:t>
      </w:r>
      <w:r>
        <w:rPr>
          <w:color w:val="231F20"/>
          <w:spacing w:val="-7"/>
        </w:rPr>
        <w:t> </w:t>
      </w:r>
      <w:r>
        <w:rPr>
          <w:color w:val="231F20"/>
        </w:rPr>
        <w:t>8°,</w:t>
      </w:r>
      <w:r>
        <w:rPr>
          <w:color w:val="231F20"/>
          <w:spacing w:val="-7"/>
        </w:rPr>
        <w:t> </w:t>
      </w:r>
      <w:r>
        <w:rPr>
          <w:color w:val="231F20"/>
        </w:rPr>
        <w:t>5:15,</w:t>
      </w:r>
      <w:r>
        <w:rPr>
          <w:color w:val="231F20"/>
          <w:spacing w:val="-6"/>
        </w:rPr>
        <w:t> </w:t>
      </w:r>
      <w:r>
        <w:rPr>
          <w:color w:val="231F20"/>
        </w:rPr>
        <w:t>5:16,</w:t>
      </w:r>
      <w:r>
        <w:rPr>
          <w:color w:val="231F20"/>
          <w:spacing w:val="-7"/>
        </w:rPr>
        <w:t> </w:t>
      </w:r>
      <w:r>
        <w:rPr>
          <w:color w:val="231F20"/>
        </w:rPr>
        <w:t>5:17, 5:138,</w:t>
      </w:r>
      <w:r>
        <w:rPr>
          <w:color w:val="231F20"/>
          <w:spacing w:val="-6"/>
        </w:rPr>
        <w:t> </w:t>
      </w:r>
      <w:r>
        <w:rPr>
          <w:color w:val="231F20"/>
        </w:rPr>
        <w:t>5:139</w:t>
      </w:r>
      <w:r>
        <w:rPr>
          <w:color w:val="231F20"/>
          <w:spacing w:val="-6"/>
        </w:rPr>
        <w:t> </w:t>
      </w:r>
      <w:r>
        <w:rPr>
          <w:color w:val="231F20"/>
        </w:rPr>
        <w:t>et</w:t>
      </w:r>
      <w:r>
        <w:rPr>
          <w:color w:val="231F20"/>
          <w:spacing w:val="-6"/>
        </w:rPr>
        <w:t> </w:t>
      </w:r>
      <w:r>
        <w:rPr>
          <w:color w:val="231F20"/>
        </w:rPr>
        <w:t>5:140</w:t>
      </w:r>
      <w:r>
        <w:rPr>
          <w:color w:val="231F20"/>
          <w:spacing w:val="-5"/>
        </w:rPr>
        <w:t> </w:t>
      </w:r>
      <w:r>
        <w:rPr>
          <w:color w:val="231F20"/>
        </w:rPr>
        <w:t>ne</w:t>
      </w:r>
      <w:r>
        <w:rPr>
          <w:color w:val="231F20"/>
          <w:spacing w:val="-6"/>
        </w:rPr>
        <w:t> </w:t>
      </w:r>
      <w:r>
        <w:rPr>
          <w:color w:val="231F20"/>
        </w:rPr>
        <w:t>sont</w:t>
      </w:r>
      <w:r>
        <w:rPr>
          <w:color w:val="231F20"/>
          <w:spacing w:val="-6"/>
        </w:rPr>
        <w:t> </w:t>
      </w:r>
      <w:r>
        <w:rPr>
          <w:color w:val="231F20"/>
        </w:rPr>
        <w:t>pas</w:t>
      </w:r>
      <w:r>
        <w:rPr>
          <w:color w:val="231F20"/>
          <w:spacing w:val="-5"/>
        </w:rPr>
        <w:t> </w:t>
      </w:r>
      <w:r>
        <w:rPr>
          <w:color w:val="231F20"/>
        </w:rPr>
        <w:t>applicables</w:t>
      </w:r>
      <w:r>
        <w:rPr>
          <w:color w:val="231F20"/>
          <w:spacing w:val="-6"/>
        </w:rPr>
        <w:t> </w:t>
      </w:r>
      <w:r>
        <w:rPr>
          <w:color w:val="231F20"/>
        </w:rPr>
        <w:t>en</w:t>
      </w:r>
      <w:r>
        <w:rPr>
          <w:color w:val="231F20"/>
          <w:spacing w:val="-6"/>
        </w:rPr>
        <w:t> </w:t>
      </w:r>
      <w:r>
        <w:rPr>
          <w:color w:val="231F20"/>
        </w:rPr>
        <w:t>cas</w:t>
      </w:r>
      <w:r>
        <w:rPr>
          <w:color w:val="231F20"/>
          <w:spacing w:val="-5"/>
        </w:rPr>
        <w:t> </w:t>
      </w:r>
      <w:r>
        <w:rPr>
          <w:color w:val="231F20"/>
        </w:rPr>
        <w:t>de</w:t>
      </w:r>
      <w:r>
        <w:rPr>
          <w:color w:val="231F20"/>
          <w:spacing w:val="-6"/>
        </w:rPr>
        <w:t> </w:t>
      </w:r>
      <w:r>
        <w:rPr>
          <w:color w:val="231F20"/>
        </w:rPr>
        <w:t>transformation</w:t>
      </w:r>
      <w:r>
        <w:rPr>
          <w:color w:val="231F20"/>
          <w:spacing w:val="-6"/>
        </w:rPr>
        <w:t> </w:t>
      </w:r>
      <w:r>
        <w:rPr>
          <w:color w:val="231F20"/>
        </w:rPr>
        <w:t>en société à responsabilité</w:t>
      </w:r>
      <w:r>
        <w:rPr>
          <w:color w:val="231F20"/>
          <w:spacing w:val="-12"/>
        </w:rPr>
        <w:t> </w:t>
      </w:r>
      <w:r>
        <w:rPr>
          <w:color w:val="231F20"/>
        </w:rPr>
        <w:t>limitée.</w:t>
      </w:r>
    </w:p>
    <w:p>
      <w:pPr>
        <w:pStyle w:val="BodyText"/>
        <w:spacing w:line="218" w:lineRule="auto" w:before="71"/>
        <w:ind w:right="38"/>
      </w:pPr>
      <w:r>
        <w:rPr>
          <w:color w:val="231F20"/>
        </w:rPr>
        <w:t>Les articles 6:8, 6:12, 6:13, alinéa 1</w:t>
      </w:r>
      <w:r>
        <w:rPr>
          <w:color w:val="231F20"/>
          <w:position w:val="7"/>
          <w:sz w:val="11"/>
        </w:rPr>
        <w:t>er</w:t>
      </w:r>
      <w:r>
        <w:rPr>
          <w:color w:val="231F20"/>
        </w:rPr>
        <w:t>, 5° et 8°, 6:16, 6:17, 6:18, </w:t>
      </w:r>
      <w:r>
        <w:rPr>
          <w:color w:val="231F20"/>
          <w:spacing w:val="-4"/>
        </w:rPr>
        <w:t>6:111, </w:t>
      </w:r>
      <w:r>
        <w:rPr>
          <w:color w:val="231F20"/>
        </w:rPr>
        <w:t>6:112</w:t>
      </w:r>
      <w:r>
        <w:rPr>
          <w:color w:val="231F20"/>
          <w:spacing w:val="-8"/>
        </w:rPr>
        <w:t> </w:t>
      </w:r>
      <w:r>
        <w:rPr>
          <w:color w:val="231F20"/>
        </w:rPr>
        <w:t>et</w:t>
      </w:r>
      <w:r>
        <w:rPr>
          <w:color w:val="231F20"/>
          <w:spacing w:val="-8"/>
        </w:rPr>
        <w:t> </w:t>
      </w:r>
      <w:r>
        <w:rPr>
          <w:color w:val="231F20"/>
        </w:rPr>
        <w:t>6:113</w:t>
      </w:r>
      <w:r>
        <w:rPr>
          <w:color w:val="231F20"/>
          <w:spacing w:val="-8"/>
        </w:rPr>
        <w:t> </w:t>
      </w:r>
      <w:r>
        <w:rPr>
          <w:color w:val="231F20"/>
        </w:rPr>
        <w:t>ne</w:t>
      </w:r>
      <w:r>
        <w:rPr>
          <w:color w:val="231F20"/>
          <w:spacing w:val="-7"/>
        </w:rPr>
        <w:t> </w:t>
      </w:r>
      <w:r>
        <w:rPr>
          <w:color w:val="231F20"/>
        </w:rPr>
        <w:t>sont</w:t>
      </w:r>
      <w:r>
        <w:rPr>
          <w:color w:val="231F20"/>
          <w:spacing w:val="-8"/>
        </w:rPr>
        <w:t> </w:t>
      </w:r>
      <w:r>
        <w:rPr>
          <w:color w:val="231F20"/>
        </w:rPr>
        <w:t>pas</w:t>
      </w:r>
      <w:r>
        <w:rPr>
          <w:color w:val="231F20"/>
          <w:spacing w:val="-8"/>
        </w:rPr>
        <w:t> </w:t>
      </w:r>
      <w:r>
        <w:rPr>
          <w:color w:val="231F20"/>
        </w:rPr>
        <w:t>applicables</w:t>
      </w:r>
      <w:r>
        <w:rPr>
          <w:color w:val="231F20"/>
          <w:spacing w:val="-8"/>
        </w:rPr>
        <w:t> </w:t>
      </w:r>
      <w:r>
        <w:rPr>
          <w:color w:val="231F20"/>
        </w:rPr>
        <w:t>en</w:t>
      </w:r>
      <w:r>
        <w:rPr>
          <w:color w:val="231F20"/>
          <w:spacing w:val="-7"/>
        </w:rPr>
        <w:t> </w:t>
      </w:r>
      <w:r>
        <w:rPr>
          <w:color w:val="231F20"/>
        </w:rPr>
        <w:t>cas</w:t>
      </w:r>
      <w:r>
        <w:rPr>
          <w:color w:val="231F20"/>
          <w:spacing w:val="-8"/>
        </w:rPr>
        <w:t> </w:t>
      </w:r>
      <w:r>
        <w:rPr>
          <w:color w:val="231F20"/>
        </w:rPr>
        <w:t>de</w:t>
      </w:r>
      <w:r>
        <w:rPr>
          <w:color w:val="231F20"/>
          <w:spacing w:val="-8"/>
        </w:rPr>
        <w:t> </w:t>
      </w:r>
      <w:r>
        <w:rPr>
          <w:color w:val="231F20"/>
        </w:rPr>
        <w:t>transformation</w:t>
      </w:r>
      <w:r>
        <w:rPr>
          <w:color w:val="231F20"/>
          <w:spacing w:val="-8"/>
        </w:rPr>
        <w:t> </w:t>
      </w:r>
      <w:r>
        <w:rPr>
          <w:color w:val="231F20"/>
        </w:rPr>
        <w:t>en</w:t>
      </w:r>
      <w:r>
        <w:rPr>
          <w:color w:val="231F20"/>
          <w:spacing w:val="-7"/>
        </w:rPr>
        <w:t> </w:t>
      </w:r>
      <w:r>
        <w:rPr>
          <w:color w:val="231F20"/>
        </w:rPr>
        <w:t>société coopérative.</w:t>
      </w:r>
    </w:p>
    <w:p>
      <w:pPr>
        <w:pStyle w:val="BodyText"/>
        <w:spacing w:line="200" w:lineRule="exact" w:before="56"/>
        <w:ind w:left="283" w:right="0" w:firstLine="0"/>
        <w:jc w:val="left"/>
      </w:pPr>
      <w:r>
        <w:rPr>
          <w:color w:val="231F20"/>
        </w:rPr>
        <w:t>Les articles 7:7, 7:12, 7:13, alinéa 2, 7:14, alinéa 1</w:t>
      </w:r>
      <w:r>
        <w:rPr>
          <w:color w:val="231F20"/>
          <w:position w:val="7"/>
          <w:sz w:val="11"/>
        </w:rPr>
        <w:t>er</w:t>
      </w:r>
      <w:r>
        <w:rPr>
          <w:color w:val="231F20"/>
        </w:rPr>
        <w:t>, 2°, 7° et 10° à 12°,</w:t>
      </w:r>
    </w:p>
    <w:p>
      <w:pPr>
        <w:pStyle w:val="BodyText"/>
        <w:spacing w:line="218" w:lineRule="auto" w:before="6"/>
        <w:ind w:right="39" w:firstLine="0"/>
      </w:pPr>
      <w:r>
        <w:rPr>
          <w:color w:val="231F20"/>
        </w:rPr>
        <w:t>7:17, 7:18, 7:21, 7:205, 7:206 et 7:207 ne sont pas applicables en cas de transformation en société anonyme.</w:t>
      </w:r>
    </w:p>
    <w:p>
      <w:pPr>
        <w:pStyle w:val="BodyText"/>
        <w:spacing w:before="71"/>
        <w:ind w:left="283" w:right="0" w:firstLine="0"/>
        <w:jc w:val="left"/>
      </w:pPr>
      <w:r>
        <w:rPr>
          <w:color w:val="231F20"/>
        </w:rPr>
        <w:t>Section 4. Responsabilités à l’occasion de la transformation.</w:t>
      </w:r>
    </w:p>
    <w:p>
      <w:pPr>
        <w:pStyle w:val="BodyText"/>
        <w:spacing w:line="218" w:lineRule="auto" w:before="93"/>
        <w:ind w:right="38"/>
      </w:pPr>
      <w:r>
        <w:rPr>
          <w:color w:val="231F20"/>
        </w:rPr>
        <w:t>Art. 14:12. Nonobstant toute disposition contraire, les associés d’une société en nom collectif, les associés commandités d’une société en commandite et les membres de l’organe d’administration de toute autre société à transformer sont solidairement tenus envers les intéressés:</w:t>
      </w:r>
    </w:p>
    <w:p>
      <w:pPr>
        <w:pStyle w:val="BodyText"/>
        <w:spacing w:before="11"/>
        <w:ind w:left="0" w:right="0" w:firstLine="0"/>
        <w:jc w:val="left"/>
        <w:rPr>
          <w:sz w:val="23"/>
        </w:rPr>
      </w:pPr>
    </w:p>
    <w:p>
      <w:pPr>
        <w:pStyle w:val="BodyText"/>
        <w:spacing w:line="218" w:lineRule="auto"/>
        <w:ind w:right="38"/>
      </w:pPr>
      <w:r>
        <w:rPr>
          <w:color w:val="231F20"/>
        </w:rPr>
        <w:t>1° de la différence éventuelle entre l’actif net de la société après transformation et le capital minimum prescrit par le présent code;</w:t>
      </w:r>
    </w:p>
    <w:p>
      <w:pPr>
        <w:pStyle w:val="BodyText"/>
        <w:spacing w:before="10"/>
        <w:ind w:left="0" w:right="0" w:firstLine="0"/>
        <w:jc w:val="left"/>
        <w:rPr>
          <w:sz w:val="23"/>
        </w:rPr>
      </w:pPr>
    </w:p>
    <w:p>
      <w:pPr>
        <w:pStyle w:val="BodyText"/>
        <w:spacing w:line="218" w:lineRule="auto"/>
        <w:ind w:right="38"/>
      </w:pPr>
      <w:r>
        <w:rPr>
          <w:color w:val="231F20"/>
        </w:rPr>
        <w:t>2° de la surévaluation de l’actif net apparaissant à l’état prévu à l’article 14:3;</w:t>
      </w:r>
    </w:p>
    <w:p>
      <w:pPr>
        <w:pStyle w:val="BodyText"/>
        <w:spacing w:line="218" w:lineRule="auto" w:before="119"/>
        <w:ind w:firstLine="0"/>
      </w:pPr>
      <w:r>
        <w:rPr/>
        <w:br w:type="column"/>
      </w:r>
      <w:r>
        <w:rPr>
          <w:color w:val="231F20"/>
        </w:rPr>
        <w:t>toegekend dan de helft van het aantal dat is toegekend aan de gezamenlijke aandelen; bij de stemming kunnen zij niet worden aangerekend voor meer dan twee derde van het aantal stemmen uitgebracht door de aandelen. Worden de aan de beperking onderwor- pen stemmen in verschillende zin uitgebracht, dan wordt de vermin- dering evenredig toegepast; gedeelten van stemmen worden verwaar- loosd.</w:t>
      </w:r>
    </w:p>
    <w:p>
      <w:pPr>
        <w:pStyle w:val="BodyText"/>
        <w:spacing w:line="218" w:lineRule="auto" w:before="86"/>
      </w:pPr>
      <w:r>
        <w:rPr>
          <w:color w:val="231F20"/>
        </w:rPr>
        <w:t>§ 3. Bij de omzetting van een coöperatieve vennootschap in een </w:t>
      </w:r>
      <w:r>
        <w:rPr>
          <w:color w:val="231F20"/>
          <w:spacing w:val="-3"/>
        </w:rPr>
        <w:t>naamloze vennootschap, moet, indien </w:t>
      </w:r>
      <w:r>
        <w:rPr>
          <w:color w:val="231F20"/>
        </w:rPr>
        <w:t>het </w:t>
      </w:r>
      <w:r>
        <w:rPr>
          <w:color w:val="231F20"/>
          <w:spacing w:val="-3"/>
        </w:rPr>
        <w:t>aanwezigheidsquorum bedoeld </w:t>
      </w:r>
      <w:r>
        <w:rPr>
          <w:color w:val="231F20"/>
        </w:rPr>
        <w:t>in paragraaf 1, 1°, niet wordt bereikt, een tweede algemene vergadering worden samengeroepen.</w:t>
      </w:r>
    </w:p>
    <w:p>
      <w:pPr>
        <w:pStyle w:val="BodyText"/>
        <w:spacing w:line="218" w:lineRule="auto" w:before="86"/>
      </w:pPr>
      <w:r>
        <w:rPr>
          <w:color w:val="231F20"/>
        </w:rPr>
        <w:t>Opdat de tweede vergadering geldig zou kunnen beraadslagen en besluiten, is het voldoende dat er één aandeelhouder aanwezig of vertegenwoordigd is.</w:t>
      </w:r>
    </w:p>
    <w:p>
      <w:pPr>
        <w:pStyle w:val="BodyText"/>
        <w:spacing w:line="260" w:lineRule="atLeast" w:before="5"/>
        <w:ind w:left="283" w:firstLine="0"/>
        <w:jc w:val="left"/>
      </w:pPr>
      <w:r>
        <w:rPr>
          <w:color w:val="231F20"/>
        </w:rPr>
        <w:t>§ 4. De instemming van alle vennoten of aandeelhouders is vereist:  1°</w:t>
      </w:r>
      <w:r>
        <w:rPr>
          <w:color w:val="231F20"/>
          <w:spacing w:val="9"/>
        </w:rPr>
        <w:t> </w:t>
      </w:r>
      <w:r>
        <w:rPr>
          <w:color w:val="231F20"/>
        </w:rPr>
        <w:t>voor</w:t>
      </w:r>
      <w:r>
        <w:rPr>
          <w:color w:val="231F20"/>
          <w:spacing w:val="9"/>
        </w:rPr>
        <w:t> </w:t>
      </w:r>
      <w:r>
        <w:rPr>
          <w:color w:val="231F20"/>
        </w:rPr>
        <w:t>het</w:t>
      </w:r>
      <w:r>
        <w:rPr>
          <w:color w:val="231F20"/>
          <w:spacing w:val="10"/>
        </w:rPr>
        <w:t> </w:t>
      </w:r>
      <w:r>
        <w:rPr>
          <w:color w:val="231F20"/>
        </w:rPr>
        <w:t>besluit</w:t>
      </w:r>
      <w:r>
        <w:rPr>
          <w:color w:val="231F20"/>
          <w:spacing w:val="9"/>
        </w:rPr>
        <w:t> </w:t>
      </w:r>
      <w:r>
        <w:rPr>
          <w:color w:val="231F20"/>
        </w:rPr>
        <w:t>tot</w:t>
      </w:r>
      <w:r>
        <w:rPr>
          <w:color w:val="231F20"/>
          <w:spacing w:val="9"/>
        </w:rPr>
        <w:t> </w:t>
      </w:r>
      <w:r>
        <w:rPr>
          <w:color w:val="231F20"/>
        </w:rPr>
        <w:t>omzetting</w:t>
      </w:r>
      <w:r>
        <w:rPr>
          <w:color w:val="231F20"/>
          <w:spacing w:val="10"/>
        </w:rPr>
        <w:t> </w:t>
      </w:r>
      <w:r>
        <w:rPr>
          <w:color w:val="231F20"/>
        </w:rPr>
        <w:t>in</w:t>
      </w:r>
      <w:r>
        <w:rPr>
          <w:color w:val="231F20"/>
          <w:spacing w:val="9"/>
        </w:rPr>
        <w:t> </w:t>
      </w:r>
      <w:r>
        <w:rPr>
          <w:color w:val="231F20"/>
        </w:rPr>
        <w:t>een</w:t>
      </w:r>
      <w:r>
        <w:rPr>
          <w:color w:val="231F20"/>
          <w:spacing w:val="10"/>
        </w:rPr>
        <w:t> </w:t>
      </w:r>
      <w:r>
        <w:rPr>
          <w:color w:val="231F20"/>
        </w:rPr>
        <w:t>vennootschap</w:t>
      </w:r>
      <w:r>
        <w:rPr>
          <w:color w:val="231F20"/>
          <w:spacing w:val="9"/>
        </w:rPr>
        <w:t> </w:t>
      </w:r>
      <w:r>
        <w:rPr>
          <w:color w:val="231F20"/>
        </w:rPr>
        <w:t>onder</w:t>
      </w:r>
      <w:r>
        <w:rPr>
          <w:color w:val="231F20"/>
          <w:spacing w:val="9"/>
        </w:rPr>
        <w:t> </w:t>
      </w:r>
      <w:r>
        <w:rPr>
          <w:color w:val="231F20"/>
        </w:rPr>
        <w:t>firma</w:t>
      </w:r>
      <w:r>
        <w:rPr>
          <w:color w:val="231F20"/>
          <w:spacing w:val="10"/>
        </w:rPr>
        <w:t> </w:t>
      </w:r>
      <w:r>
        <w:rPr>
          <w:color w:val="231F20"/>
        </w:rPr>
        <w:t>of</w:t>
      </w:r>
    </w:p>
    <w:p>
      <w:pPr>
        <w:pStyle w:val="BodyText"/>
        <w:spacing w:line="177" w:lineRule="exact"/>
        <w:ind w:right="0" w:firstLine="0"/>
        <w:jc w:val="left"/>
      </w:pPr>
      <w:r>
        <w:rPr>
          <w:color w:val="231F20"/>
        </w:rPr>
        <w:t>in een commanditaire vennootschap;</w:t>
      </w:r>
    </w:p>
    <w:p>
      <w:pPr>
        <w:pStyle w:val="BodyText"/>
        <w:spacing w:line="218" w:lineRule="auto" w:before="82"/>
      </w:pPr>
      <w:r>
        <w:rPr>
          <w:color w:val="231F20"/>
        </w:rPr>
        <w:t>2° voor het besluit tot omzetting van een vennootschap onder firma of van een commanditaire</w:t>
      </w:r>
      <w:r>
        <w:rPr>
          <w:color w:val="231F20"/>
          <w:spacing w:val="19"/>
        </w:rPr>
        <w:t> </w:t>
      </w:r>
      <w:r>
        <w:rPr>
          <w:color w:val="231F20"/>
        </w:rPr>
        <w:t>vennootschap;</w:t>
      </w:r>
    </w:p>
    <w:p>
      <w:pPr>
        <w:pStyle w:val="BodyText"/>
        <w:spacing w:before="71"/>
        <w:ind w:left="283" w:right="0" w:firstLine="0"/>
        <w:jc w:val="left"/>
      </w:pPr>
      <w:r>
        <w:rPr>
          <w:color w:val="231F20"/>
        </w:rPr>
        <w:t>3° indien de vennootschap niet ten minste twee jaar bestaat;</w:t>
      </w:r>
    </w:p>
    <w:p>
      <w:pPr>
        <w:pStyle w:val="BodyText"/>
        <w:spacing w:line="218" w:lineRule="auto" w:before="82"/>
      </w:pPr>
      <w:r>
        <w:rPr>
          <w:color w:val="231F20"/>
        </w:rPr>
        <w:t>4° indien in de statuten is bepaald dat zij geen andere rechtsvorm mag aannemen. Deze bepaling van de statuten kan slechts met instemming van alle vennoten of aandeelhouders worden gewijzigd.</w:t>
      </w:r>
    </w:p>
    <w:p>
      <w:pPr>
        <w:pStyle w:val="BodyText"/>
        <w:spacing w:line="218" w:lineRule="auto" w:before="86"/>
      </w:pPr>
      <w:r>
        <w:rPr>
          <w:color w:val="231F20"/>
        </w:rPr>
        <w:t>§ 5. In een coöperatieve vennootschap kan, niettegenstaande anders- luidende bepaling, iedere aandeelhouder te allen tijde in de loop van het boekjaar uittreden vanaf de bijeenroeping van een algemene vergadering die moet besluiten over de omzetting van de vennoot- schap,</w:t>
      </w:r>
      <w:r>
        <w:rPr>
          <w:color w:val="231F20"/>
          <w:spacing w:val="18"/>
        </w:rPr>
        <w:t> </w:t>
      </w:r>
      <w:r>
        <w:rPr>
          <w:color w:val="231F20"/>
        </w:rPr>
        <w:t>zonder</w:t>
      </w:r>
      <w:r>
        <w:rPr>
          <w:color w:val="231F20"/>
          <w:spacing w:val="19"/>
        </w:rPr>
        <w:t> </w:t>
      </w:r>
      <w:r>
        <w:rPr>
          <w:color w:val="231F20"/>
        </w:rPr>
        <w:t>dat</w:t>
      </w:r>
      <w:r>
        <w:rPr>
          <w:color w:val="231F20"/>
          <w:spacing w:val="19"/>
        </w:rPr>
        <w:t> </w:t>
      </w:r>
      <w:r>
        <w:rPr>
          <w:color w:val="231F20"/>
        </w:rPr>
        <w:t>hij</w:t>
      </w:r>
      <w:r>
        <w:rPr>
          <w:color w:val="231F20"/>
          <w:spacing w:val="19"/>
        </w:rPr>
        <w:t> </w:t>
      </w:r>
      <w:r>
        <w:rPr>
          <w:color w:val="231F20"/>
        </w:rPr>
        <w:t>aan</w:t>
      </w:r>
      <w:r>
        <w:rPr>
          <w:color w:val="231F20"/>
          <w:spacing w:val="18"/>
        </w:rPr>
        <w:t> </w:t>
      </w:r>
      <w:r>
        <w:rPr>
          <w:color w:val="231F20"/>
        </w:rPr>
        <w:t>enige</w:t>
      </w:r>
      <w:r>
        <w:rPr>
          <w:color w:val="231F20"/>
          <w:spacing w:val="19"/>
        </w:rPr>
        <w:t> </w:t>
      </w:r>
      <w:r>
        <w:rPr>
          <w:color w:val="231F20"/>
        </w:rPr>
        <w:t>andere</w:t>
      </w:r>
      <w:r>
        <w:rPr>
          <w:color w:val="231F20"/>
          <w:spacing w:val="19"/>
        </w:rPr>
        <w:t> </w:t>
      </w:r>
      <w:r>
        <w:rPr>
          <w:color w:val="231F20"/>
        </w:rPr>
        <w:t>voorwaarde</w:t>
      </w:r>
      <w:r>
        <w:rPr>
          <w:color w:val="231F20"/>
          <w:spacing w:val="19"/>
        </w:rPr>
        <w:t> </w:t>
      </w:r>
      <w:r>
        <w:rPr>
          <w:color w:val="231F20"/>
        </w:rPr>
        <w:t>moet</w:t>
      </w:r>
      <w:r>
        <w:rPr>
          <w:color w:val="231F20"/>
          <w:spacing w:val="19"/>
        </w:rPr>
        <w:t> </w:t>
      </w:r>
      <w:r>
        <w:rPr>
          <w:color w:val="231F20"/>
        </w:rPr>
        <w:t>voldoen.</w:t>
      </w:r>
    </w:p>
    <w:p>
      <w:pPr>
        <w:pStyle w:val="BodyText"/>
        <w:spacing w:line="218" w:lineRule="auto" w:before="85"/>
        <w:ind w:right="123"/>
      </w:pPr>
      <w:r>
        <w:rPr>
          <w:color w:val="231F20"/>
        </w:rPr>
        <w:t>Hij geeft van zijn uittreding aan de vennootschap kennis overeen- komstig artikel 2:32 uiterlijk vijf dagen vóór de datum van de algemene vergadering. Zij heeft enkel gevolg als het voorstel tot omzetting wordt aangenomen.</w:t>
      </w:r>
    </w:p>
    <w:p>
      <w:pPr>
        <w:pStyle w:val="BodyText"/>
        <w:spacing w:line="218" w:lineRule="auto" w:before="86"/>
      </w:pPr>
      <w:r>
        <w:rPr>
          <w:color w:val="231F20"/>
        </w:rPr>
        <w:t>In de oproeping wordt de tekst van deze paragraaf, eerste en tweede lid, opgenomen.</w:t>
      </w:r>
    </w:p>
    <w:p>
      <w:pPr>
        <w:pStyle w:val="BodyText"/>
        <w:spacing w:line="218" w:lineRule="auto" w:before="85"/>
      </w:pPr>
      <w:r>
        <w:rPr>
          <w:color w:val="231F20"/>
        </w:rPr>
        <w:t>Art. 14:9. Onmiddellijk na het besluit tot omzetting worden de statuten van de vennootschap in haar nieuwe vorm, met inbegrip van de bepalingen tot wijziging van haar voorwerp, vastgesteld volgens dezelfde regels van aanwezigheid en meerderheid als voor de omzet- ting zijn voorgeschreven, bij gebrek waaraan het besluit tot omzetting zonder gevolg</w:t>
      </w:r>
      <w:r>
        <w:rPr>
          <w:color w:val="231F20"/>
          <w:spacing w:val="-11"/>
        </w:rPr>
        <w:t> </w:t>
      </w:r>
      <w:r>
        <w:rPr>
          <w:color w:val="231F20"/>
        </w:rPr>
        <w:t>blijft.</w:t>
      </w:r>
    </w:p>
    <w:p>
      <w:pPr>
        <w:pStyle w:val="BodyText"/>
        <w:spacing w:line="218" w:lineRule="auto" w:before="86"/>
      </w:pPr>
      <w:r>
        <w:rPr>
          <w:color w:val="231F20"/>
        </w:rPr>
        <w:t>Art. 14:10. De omzetting wordt, op straffe van nietigheid, bij authentieke akte vastgesteld.</w:t>
      </w:r>
    </w:p>
    <w:p>
      <w:pPr>
        <w:pStyle w:val="BodyText"/>
        <w:spacing w:line="218" w:lineRule="auto" w:before="86"/>
      </w:pPr>
      <w:r>
        <w:rPr>
          <w:color w:val="231F20"/>
        </w:rPr>
        <w:t>In die akte wordt de conclusie overgenomen van het verslag van de commissaris of van de bedrijfsrevisor of externe accountant.</w:t>
      </w:r>
    </w:p>
    <w:p>
      <w:pPr>
        <w:pStyle w:val="BodyText"/>
        <w:spacing w:line="218" w:lineRule="auto" w:before="85"/>
      </w:pPr>
      <w:r>
        <w:rPr>
          <w:color w:val="231F20"/>
        </w:rPr>
        <w:t>De akte van omzetting en de statuten worden tegelijk neergelegd en bekendgemaakt overeenkomstig de artikelen 2:8 en 2:14, 1°. De akte van omzetting wordt bekendgemaakt in haar geheel; de statuten worden bij uittreksel</w:t>
      </w:r>
      <w:r>
        <w:rPr>
          <w:color w:val="231F20"/>
          <w:spacing w:val="4"/>
        </w:rPr>
        <w:t> </w:t>
      </w:r>
      <w:r>
        <w:rPr>
          <w:color w:val="231F20"/>
        </w:rPr>
        <w:t>bekendgemaakt.</w:t>
      </w:r>
    </w:p>
    <w:p>
      <w:pPr>
        <w:pStyle w:val="BodyText"/>
        <w:spacing w:line="218" w:lineRule="auto" w:before="86"/>
      </w:pPr>
      <w:r>
        <w:rPr>
          <w:color w:val="231F20"/>
        </w:rPr>
        <w:t>Van authentieke of onderhandse volmachten, alsook van het verslag van de commissaris of van de bedrijfsrevisor of externe accountant, wordt het origineel dan wel een uitgifte neergelegd tegelijk met de akte waarop zij betrekking hebben.</w:t>
      </w:r>
    </w:p>
    <w:p>
      <w:pPr>
        <w:pStyle w:val="BodyText"/>
        <w:spacing w:line="218" w:lineRule="auto" w:before="85"/>
      </w:pPr>
      <w:r>
        <w:rPr>
          <w:color w:val="231F20"/>
        </w:rPr>
        <w:t>De omzetting kan aan derden worden tegengeworpen volgens de bepalingen van artikel 2:18.</w:t>
      </w:r>
    </w:p>
    <w:p>
      <w:pPr>
        <w:pStyle w:val="BodyText"/>
        <w:spacing w:line="185" w:lineRule="exact" w:before="72"/>
        <w:ind w:left="283" w:right="0" w:firstLine="0"/>
        <w:jc w:val="left"/>
      </w:pPr>
      <w:r>
        <w:rPr>
          <w:color w:val="231F20"/>
        </w:rPr>
        <w:t>Art. 14:11. De artikelen 5:7, 5:11, 5:12, eerste lid, 5° en 8°, 5:15, 5:16,</w:t>
      </w:r>
    </w:p>
    <w:p>
      <w:pPr>
        <w:pStyle w:val="BodyText"/>
        <w:spacing w:line="218" w:lineRule="auto" w:before="5"/>
        <w:ind w:right="125" w:firstLine="0"/>
      </w:pPr>
      <w:r>
        <w:rPr>
          <w:color w:val="231F20"/>
        </w:rPr>
        <w:t>5:17, 5:138, 5:139 en 5:140 vinden geen toepassing in geval van omzetting in een besloten vennootschap.</w:t>
      </w:r>
    </w:p>
    <w:p>
      <w:pPr>
        <w:pStyle w:val="BodyText"/>
        <w:spacing w:line="218" w:lineRule="auto" w:before="86"/>
      </w:pPr>
      <w:r>
        <w:rPr>
          <w:color w:val="231F20"/>
        </w:rPr>
        <w:t>De artikelen 6:8, 6:12, 6:13, eerste lid, 5° en 8°, 6:16, 6:17, 6:18, 6:111, 6:112 en 6:113 vinden geen toepassing in geval van omzetting in een coöperatieve vennootschap.</w:t>
      </w:r>
    </w:p>
    <w:p>
      <w:pPr>
        <w:pStyle w:val="BodyText"/>
        <w:spacing w:line="185" w:lineRule="exact" w:before="71"/>
        <w:ind w:left="283" w:right="0" w:firstLine="0"/>
        <w:jc w:val="left"/>
      </w:pPr>
      <w:r>
        <w:rPr>
          <w:color w:val="231F20"/>
        </w:rPr>
        <w:t>De artikelen 7:7, 7:12, 7:13, tweede lid, 7:14, eerste lid, 2°, 7° en 10° tot</w:t>
      </w:r>
    </w:p>
    <w:p>
      <w:pPr>
        <w:pStyle w:val="BodyText"/>
        <w:spacing w:line="218" w:lineRule="auto" w:before="5"/>
        <w:ind w:right="125" w:firstLine="0"/>
      </w:pPr>
      <w:r>
        <w:rPr>
          <w:color w:val="231F20"/>
        </w:rPr>
        <w:t>12°, 7:17, 7:18, 7:21, 7:205, 7:206 en 7:207 vinden geen toepassing in geval van omzetting in een naamloze vennootschap.</w:t>
      </w:r>
    </w:p>
    <w:p>
      <w:pPr>
        <w:pStyle w:val="BodyText"/>
        <w:spacing w:before="72"/>
        <w:ind w:left="283" w:right="0" w:firstLine="0"/>
        <w:jc w:val="left"/>
      </w:pPr>
      <w:r>
        <w:rPr>
          <w:color w:val="231F20"/>
        </w:rPr>
        <w:t>Afdeling 4. Aansprakelijkheid bij omzetting.</w:t>
      </w:r>
    </w:p>
    <w:p>
      <w:pPr>
        <w:pStyle w:val="BodyText"/>
        <w:spacing w:line="218" w:lineRule="auto" w:before="93"/>
      </w:pPr>
      <w:r>
        <w:rPr>
          <w:color w:val="231F20"/>
        </w:rPr>
        <w:t>Art. 14:12. Niettegenstaande andersluidende bepaling, zijn de ven- noten van een vennootschap onder firma, de gecommanditeerde vennoten van een commanditaire vennootschap en de leden van het bestuursorgaan van ieder andere om te zetten vennootschap jegens de betrokkenen hoofdelijk</w:t>
      </w:r>
      <w:r>
        <w:rPr>
          <w:color w:val="231F20"/>
          <w:spacing w:val="-11"/>
        </w:rPr>
        <w:t> </w:t>
      </w:r>
      <w:r>
        <w:rPr>
          <w:color w:val="231F20"/>
        </w:rPr>
        <w:t>gehouden:</w:t>
      </w:r>
    </w:p>
    <w:p>
      <w:pPr>
        <w:pStyle w:val="BodyText"/>
        <w:spacing w:line="218" w:lineRule="auto" w:before="96"/>
      </w:pPr>
      <w:r>
        <w:rPr>
          <w:color w:val="231F20"/>
        </w:rPr>
        <w:t>1° tot betaling van het eventuele verschil tussen het nettoactief van de vennootschap na omzetting en het bij dit wetboek voorgeschreven minimumbedrag van het</w:t>
      </w:r>
      <w:r>
        <w:rPr>
          <w:color w:val="231F20"/>
          <w:spacing w:val="5"/>
        </w:rPr>
        <w:t> </w:t>
      </w:r>
      <w:r>
        <w:rPr>
          <w:color w:val="231F20"/>
        </w:rPr>
        <w:t>kapitaal;</w:t>
      </w:r>
    </w:p>
    <w:p>
      <w:pPr>
        <w:pStyle w:val="BodyText"/>
        <w:spacing w:line="218" w:lineRule="auto" w:before="96"/>
      </w:pPr>
      <w:r>
        <w:rPr>
          <w:color w:val="231F20"/>
        </w:rPr>
        <w:t>2° voor de overwaardering van het nettoactief, zoals dit blijkt uit de bij artikel 14:3 bedoelde staat;</w:t>
      </w:r>
    </w:p>
    <w:p>
      <w:pPr>
        <w:spacing w:after="0" w:line="218" w:lineRule="auto"/>
        <w:sectPr>
          <w:pgSz w:w="11940" w:h="16880"/>
          <w:pgMar w:header="666" w:footer="0" w:top="1140" w:bottom="280" w:left="340" w:right="360"/>
          <w:cols w:num="2" w:equalWidth="0">
            <w:col w:w="5527" w:space="101"/>
            <w:col w:w="5612"/>
          </w:cols>
        </w:sectPr>
      </w:pPr>
    </w:p>
    <w:p>
      <w:pPr>
        <w:pStyle w:val="BodyText"/>
        <w:spacing w:line="213" w:lineRule="auto" w:before="123"/>
        <w:ind w:right="38"/>
      </w:pPr>
      <w:r>
        <w:rPr/>
        <w:pict>
          <v:line style="position:absolute;mso-position-horizontal-relative:page;mso-position-vertical-relative:page;z-index:7336" from="298.170502pt,64.473pt" to="298.170502pt,812.819pt" stroked="true" strokeweight=".533pt" strokecolor="#231f20">
            <v:stroke dashstyle="solid"/>
            <w10:wrap type="none"/>
          </v:line>
        </w:pict>
      </w:r>
      <w:bookmarkStart w:name="_bookmark263" w:id="269"/>
      <w:bookmarkEnd w:id="269"/>
      <w:r>
        <w:rPr/>
      </w:r>
      <w:r>
        <w:rPr>
          <w:color w:val="231F20"/>
        </w:rPr>
        <w:t>3°</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réparation</w:t>
      </w:r>
      <w:r>
        <w:rPr>
          <w:color w:val="231F20"/>
          <w:spacing w:val="-3"/>
        </w:rPr>
        <w:t> </w:t>
      </w:r>
      <w:r>
        <w:rPr>
          <w:color w:val="231F20"/>
        </w:rPr>
        <w:t>du</w:t>
      </w:r>
      <w:r>
        <w:rPr>
          <w:color w:val="231F20"/>
          <w:spacing w:val="-3"/>
        </w:rPr>
        <w:t> </w:t>
      </w:r>
      <w:r>
        <w:rPr>
          <w:color w:val="231F20"/>
        </w:rPr>
        <w:t>préjudice</w:t>
      </w:r>
      <w:r>
        <w:rPr>
          <w:color w:val="231F20"/>
          <w:spacing w:val="-3"/>
        </w:rPr>
        <w:t> </w:t>
      </w:r>
      <w:r>
        <w:rPr>
          <w:color w:val="231F20"/>
        </w:rPr>
        <w:t>qui</w:t>
      </w:r>
      <w:r>
        <w:rPr>
          <w:color w:val="231F20"/>
          <w:spacing w:val="-2"/>
        </w:rPr>
        <w:t> </w:t>
      </w:r>
      <w:r>
        <w:rPr>
          <w:color w:val="231F20"/>
        </w:rPr>
        <w:t>est</w:t>
      </w:r>
      <w:r>
        <w:rPr>
          <w:color w:val="231F20"/>
          <w:spacing w:val="-3"/>
        </w:rPr>
        <w:t> </w:t>
      </w:r>
      <w:r>
        <w:rPr>
          <w:color w:val="231F20"/>
        </w:rPr>
        <w:t>une</w:t>
      </w:r>
      <w:r>
        <w:rPr>
          <w:color w:val="231F20"/>
          <w:spacing w:val="-3"/>
        </w:rPr>
        <w:t> </w:t>
      </w:r>
      <w:r>
        <w:rPr>
          <w:color w:val="231F20"/>
        </w:rPr>
        <w:t>suite</w:t>
      </w:r>
      <w:r>
        <w:rPr>
          <w:color w:val="231F20"/>
          <w:spacing w:val="-3"/>
        </w:rPr>
        <w:t> </w:t>
      </w:r>
      <w:r>
        <w:rPr>
          <w:color w:val="231F20"/>
        </w:rPr>
        <w:t>immédiate</w:t>
      </w:r>
      <w:r>
        <w:rPr>
          <w:color w:val="231F20"/>
          <w:spacing w:val="-3"/>
        </w:rPr>
        <w:t> </w:t>
      </w:r>
      <w:r>
        <w:rPr>
          <w:color w:val="231F20"/>
        </w:rPr>
        <w:t>et</w:t>
      </w:r>
      <w:r>
        <w:rPr>
          <w:color w:val="231F20"/>
          <w:spacing w:val="-3"/>
        </w:rPr>
        <w:t> </w:t>
      </w:r>
      <w:r>
        <w:rPr>
          <w:color w:val="231F20"/>
        </w:rPr>
        <w:t>directe soit de la nullité de l’opération de transformation en raison de la violation des règles prévues à l’article 5:13, 2° à 4°, 6:14, 2° à 4°, 7:15, 2° à 4°, appliquées par analogie, ou à l’article 14:10, alinéa 1</w:t>
      </w:r>
      <w:r>
        <w:rPr>
          <w:color w:val="231F20"/>
          <w:position w:val="7"/>
          <w:sz w:val="11"/>
        </w:rPr>
        <w:t>er</w:t>
      </w:r>
      <w:r>
        <w:rPr>
          <w:color w:val="231F20"/>
        </w:rPr>
        <w:t>, soit de l’absence ou de la fausseté des énonciations prescrites  par  les  arti- cles 5:12, alinéa 1</w:t>
      </w:r>
      <w:r>
        <w:rPr>
          <w:color w:val="231F20"/>
          <w:position w:val="7"/>
          <w:sz w:val="11"/>
        </w:rPr>
        <w:t>er</w:t>
      </w:r>
      <w:r>
        <w:rPr>
          <w:color w:val="231F20"/>
        </w:rPr>
        <w:t>, à l’exception du 5° et 8°, 6:13, alinéa 1</w:t>
      </w:r>
      <w:r>
        <w:rPr>
          <w:color w:val="231F20"/>
          <w:position w:val="7"/>
          <w:sz w:val="11"/>
        </w:rPr>
        <w:t>er</w:t>
      </w:r>
      <w:r>
        <w:rPr>
          <w:color w:val="231F20"/>
        </w:rPr>
        <w:t>, à l’exception du 5° et 8°, 7:14, à l’exception du 7° et des points </w:t>
      </w:r>
      <w:r>
        <w:rPr>
          <w:color w:val="231F20"/>
          <w:spacing w:val="3"/>
        </w:rPr>
        <w:t>10° </w:t>
      </w:r>
      <w:r>
        <w:rPr>
          <w:color w:val="231F20"/>
        </w:rPr>
        <w:t>à 12°, et 14:10, alinéa</w:t>
      </w:r>
      <w:r>
        <w:rPr>
          <w:color w:val="231F20"/>
          <w:spacing w:val="2"/>
        </w:rPr>
        <w:t> </w:t>
      </w:r>
      <w:r>
        <w:rPr>
          <w:color w:val="231F20"/>
        </w:rPr>
        <w:t>2.</w:t>
      </w:r>
    </w:p>
    <w:p>
      <w:pPr>
        <w:pStyle w:val="BodyText"/>
        <w:spacing w:before="8"/>
        <w:ind w:left="0" w:right="0" w:firstLine="0"/>
        <w:jc w:val="left"/>
        <w:rPr>
          <w:sz w:val="23"/>
        </w:rPr>
      </w:pPr>
    </w:p>
    <w:p>
      <w:pPr>
        <w:pStyle w:val="BodyText"/>
        <w:spacing w:line="218" w:lineRule="auto" w:before="1"/>
        <w:ind w:right="38"/>
      </w:pPr>
      <w:r>
        <w:rPr>
          <w:color w:val="231F20"/>
        </w:rPr>
        <w:t>Art. 14:13. En cas de transformation d’une société en nom collectif ou d’une société en commandite, les associés en nom collectif et les associés commandités restent tenus solidairement et indéfiniment</w:t>
      </w:r>
      <w:r>
        <w:rPr>
          <w:color w:val="231F20"/>
          <w:spacing w:val="29"/>
        </w:rPr>
        <w:t> </w:t>
      </w:r>
      <w:r>
        <w:rPr>
          <w:color w:val="231F20"/>
        </w:rPr>
        <w:t>à l’égard des tiers, des engagements de la société antérieurs à l’opposa- bilité</w:t>
      </w:r>
      <w:r>
        <w:rPr>
          <w:color w:val="231F20"/>
          <w:spacing w:val="-5"/>
        </w:rPr>
        <w:t> </w:t>
      </w:r>
      <w:r>
        <w:rPr>
          <w:color w:val="231F20"/>
        </w:rPr>
        <w:t>aux</w:t>
      </w:r>
      <w:r>
        <w:rPr>
          <w:color w:val="231F20"/>
          <w:spacing w:val="-5"/>
        </w:rPr>
        <w:t> </w:t>
      </w:r>
      <w:r>
        <w:rPr>
          <w:color w:val="231F20"/>
        </w:rPr>
        <w:t>tiers</w:t>
      </w:r>
      <w:r>
        <w:rPr>
          <w:color w:val="231F20"/>
          <w:spacing w:val="-5"/>
        </w:rPr>
        <w:t> </w:t>
      </w:r>
      <w:r>
        <w:rPr>
          <w:color w:val="231F20"/>
        </w:rPr>
        <w:t>de</w:t>
      </w:r>
      <w:r>
        <w:rPr>
          <w:color w:val="231F20"/>
          <w:spacing w:val="-5"/>
        </w:rPr>
        <w:t> </w:t>
      </w:r>
      <w:r>
        <w:rPr>
          <w:color w:val="231F20"/>
        </w:rPr>
        <w:t>l’acte</w:t>
      </w:r>
      <w:r>
        <w:rPr>
          <w:color w:val="231F20"/>
          <w:spacing w:val="-5"/>
        </w:rPr>
        <w:t> </w:t>
      </w:r>
      <w:r>
        <w:rPr>
          <w:color w:val="231F20"/>
        </w:rPr>
        <w:t>de</w:t>
      </w:r>
      <w:r>
        <w:rPr>
          <w:color w:val="231F20"/>
          <w:spacing w:val="-5"/>
        </w:rPr>
        <w:t> </w:t>
      </w:r>
      <w:r>
        <w:rPr>
          <w:color w:val="231F20"/>
        </w:rPr>
        <w:t>transformation</w:t>
      </w:r>
      <w:r>
        <w:rPr>
          <w:color w:val="231F20"/>
          <w:spacing w:val="-4"/>
        </w:rPr>
        <w:t> </w:t>
      </w:r>
      <w:r>
        <w:rPr>
          <w:color w:val="231F20"/>
        </w:rPr>
        <w:t>conformément</w:t>
      </w:r>
      <w:r>
        <w:rPr>
          <w:color w:val="231F20"/>
          <w:spacing w:val="-5"/>
        </w:rPr>
        <w:t> </w:t>
      </w:r>
      <w:r>
        <w:rPr>
          <w:color w:val="231F20"/>
        </w:rPr>
        <w:t>à</w:t>
      </w:r>
      <w:r>
        <w:rPr>
          <w:color w:val="231F20"/>
          <w:spacing w:val="-5"/>
        </w:rPr>
        <w:t> </w:t>
      </w:r>
      <w:r>
        <w:rPr>
          <w:color w:val="231F20"/>
        </w:rPr>
        <w:t>l’article</w:t>
      </w:r>
      <w:r>
        <w:rPr>
          <w:color w:val="231F20"/>
          <w:spacing w:val="-5"/>
        </w:rPr>
        <w:t> </w:t>
      </w:r>
      <w:r>
        <w:rPr>
          <w:color w:val="231F20"/>
        </w:rPr>
        <w:t>2:18.</w:t>
      </w:r>
    </w:p>
    <w:p>
      <w:pPr>
        <w:pStyle w:val="BodyText"/>
        <w:ind w:left="0" w:right="0" w:firstLine="0"/>
        <w:jc w:val="left"/>
        <w:rPr>
          <w:sz w:val="20"/>
        </w:rPr>
      </w:pPr>
    </w:p>
    <w:p>
      <w:pPr>
        <w:pStyle w:val="BodyText"/>
        <w:spacing w:before="4"/>
        <w:ind w:left="0" w:right="0" w:firstLine="0"/>
        <w:jc w:val="left"/>
        <w:rPr>
          <w:sz w:val="19"/>
        </w:rPr>
      </w:pPr>
    </w:p>
    <w:p>
      <w:pPr>
        <w:pStyle w:val="BodyText"/>
        <w:spacing w:line="218" w:lineRule="auto" w:before="1"/>
        <w:ind w:right="38"/>
      </w:pPr>
      <w:r>
        <w:rPr>
          <w:color w:val="231F20"/>
        </w:rPr>
        <w:t>En cas de transformation en société en nom collectif, ou en société en commandite, les associés en nom collectif ou les associés commandités répondent indéfiniment à l’égard des tiers, des engagements de la société antérieurs à la transformation.</w:t>
      </w:r>
    </w:p>
    <w:p>
      <w:pPr>
        <w:pStyle w:val="BodyText"/>
        <w:spacing w:before="82"/>
        <w:ind w:left="283" w:right="0" w:firstLine="0"/>
        <w:jc w:val="left"/>
      </w:pPr>
      <w:r>
        <w:rPr>
          <w:color w:val="231F20"/>
        </w:rPr>
        <w:t>Section 5. Disposition propre à la société en nom collectif.</w:t>
      </w:r>
    </w:p>
    <w:p>
      <w:pPr>
        <w:pStyle w:val="BodyText"/>
        <w:spacing w:line="218" w:lineRule="auto" w:before="92"/>
        <w:ind w:right="38"/>
      </w:pPr>
      <w:r>
        <w:rPr>
          <w:color w:val="231F20"/>
        </w:rPr>
        <w:t>Art. 14:14. Lorsque les statuts d’une société en nom collectif</w:t>
      </w:r>
      <w:r>
        <w:rPr>
          <w:color w:val="231F20"/>
          <w:spacing w:val="-26"/>
        </w:rPr>
        <w:t> </w:t>
      </w:r>
      <w:r>
        <w:rPr>
          <w:color w:val="231F20"/>
        </w:rPr>
        <w:t>prévoient qu’en cas de décès d’un associé, la société continuera avec ses ayants cause ou certains d’entre eux, lesquels auront la qualité de commandi- taires, les articles 14:3 à 14:12 ne sont pas d’application à la transfor- mation</w:t>
      </w:r>
      <w:r>
        <w:rPr>
          <w:color w:val="231F20"/>
          <w:spacing w:val="14"/>
        </w:rPr>
        <w:t> </w:t>
      </w:r>
      <w:r>
        <w:rPr>
          <w:color w:val="231F20"/>
        </w:rPr>
        <w:t>résultant</w:t>
      </w:r>
      <w:r>
        <w:rPr>
          <w:color w:val="231F20"/>
          <w:spacing w:val="14"/>
        </w:rPr>
        <w:t> </w:t>
      </w:r>
      <w:r>
        <w:rPr>
          <w:color w:val="231F20"/>
        </w:rPr>
        <w:t>de</w:t>
      </w:r>
      <w:r>
        <w:rPr>
          <w:color w:val="231F20"/>
          <w:spacing w:val="15"/>
        </w:rPr>
        <w:t> </w:t>
      </w:r>
      <w:r>
        <w:rPr>
          <w:color w:val="231F20"/>
        </w:rPr>
        <w:t>cette</w:t>
      </w:r>
      <w:r>
        <w:rPr>
          <w:color w:val="231F20"/>
          <w:spacing w:val="14"/>
        </w:rPr>
        <w:t> </w:t>
      </w:r>
      <w:r>
        <w:rPr>
          <w:color w:val="231F20"/>
        </w:rPr>
        <w:t>disposition</w:t>
      </w:r>
      <w:r>
        <w:rPr>
          <w:color w:val="231F20"/>
          <w:spacing w:val="15"/>
        </w:rPr>
        <w:t> </w:t>
      </w:r>
      <w:r>
        <w:rPr>
          <w:color w:val="231F20"/>
        </w:rPr>
        <w:t>statutaire.</w:t>
      </w:r>
    </w:p>
    <w:p>
      <w:pPr>
        <w:pStyle w:val="BodyText"/>
        <w:ind w:left="0" w:right="0" w:firstLine="0"/>
        <w:jc w:val="left"/>
        <w:rPr>
          <w:sz w:val="24"/>
        </w:rPr>
      </w:pPr>
    </w:p>
    <w:p>
      <w:pPr>
        <w:pStyle w:val="BodyText"/>
        <w:spacing w:line="218" w:lineRule="auto"/>
        <w:ind w:right="38"/>
      </w:pPr>
      <w:r>
        <w:rPr>
          <w:color w:val="231F20"/>
        </w:rPr>
        <w:t>La transformation est constatée, soit par un acte authentique, soit</w:t>
      </w:r>
      <w:r>
        <w:rPr>
          <w:color w:val="231F20"/>
          <w:spacing w:val="-21"/>
        </w:rPr>
        <w:t> </w:t>
      </w:r>
      <w:r>
        <w:rPr>
          <w:color w:val="231F20"/>
        </w:rPr>
        <w:t>par un acte sous seing privé, qui est publié par extrait de la manière prévue aux</w:t>
      </w:r>
      <w:r>
        <w:rPr>
          <w:color w:val="231F20"/>
          <w:spacing w:val="13"/>
        </w:rPr>
        <w:t> </w:t>
      </w:r>
      <w:r>
        <w:rPr>
          <w:color w:val="231F20"/>
        </w:rPr>
        <w:t>articles</w:t>
      </w:r>
      <w:r>
        <w:rPr>
          <w:color w:val="231F20"/>
          <w:spacing w:val="14"/>
        </w:rPr>
        <w:t> </w:t>
      </w:r>
      <w:r>
        <w:rPr>
          <w:color w:val="231F20"/>
        </w:rPr>
        <w:t>2:8,</w:t>
      </w:r>
      <w:r>
        <w:rPr>
          <w:color w:val="231F20"/>
          <w:spacing w:val="14"/>
        </w:rPr>
        <w:t> </w:t>
      </w:r>
      <w:r>
        <w:rPr>
          <w:color w:val="231F20"/>
        </w:rPr>
        <w:t>§</w:t>
      </w:r>
      <w:r>
        <w:rPr>
          <w:color w:val="231F20"/>
          <w:spacing w:val="14"/>
        </w:rPr>
        <w:t> </w:t>
      </w:r>
      <w:r>
        <w:rPr>
          <w:color w:val="231F20"/>
        </w:rPr>
        <w:t>2,</w:t>
      </w:r>
      <w:r>
        <w:rPr>
          <w:color w:val="231F20"/>
          <w:spacing w:val="13"/>
        </w:rPr>
        <w:t> </w:t>
      </w:r>
      <w:r>
        <w:rPr>
          <w:color w:val="231F20"/>
        </w:rPr>
        <w:t>et</w:t>
      </w:r>
      <w:r>
        <w:rPr>
          <w:color w:val="231F20"/>
          <w:spacing w:val="14"/>
        </w:rPr>
        <w:t> </w:t>
      </w:r>
      <w:r>
        <w:rPr>
          <w:color w:val="231F20"/>
        </w:rPr>
        <w:t>2:14,</w:t>
      </w:r>
      <w:r>
        <w:rPr>
          <w:color w:val="231F20"/>
          <w:spacing w:val="14"/>
        </w:rPr>
        <w:t> </w:t>
      </w:r>
      <w:r>
        <w:rPr>
          <w:color w:val="231F20"/>
        </w:rPr>
        <w:t>1°.</w:t>
      </w:r>
    </w:p>
    <w:p>
      <w:pPr>
        <w:pStyle w:val="BodyText"/>
        <w:spacing w:line="319" w:lineRule="auto" w:before="82"/>
        <w:ind w:left="283" w:right="1680" w:hanging="1"/>
        <w:jc w:val="left"/>
      </w:pPr>
      <w:r>
        <w:rPr>
          <w:color w:val="231F20"/>
        </w:rPr>
        <w:t>CHAPITRE 3. Transformation transfrontalière. Section 1</w:t>
      </w:r>
      <w:r>
        <w:rPr>
          <w:color w:val="231F20"/>
          <w:position w:val="7"/>
          <w:sz w:val="11"/>
        </w:rPr>
        <w:t>re</w:t>
      </w:r>
      <w:r>
        <w:rPr>
          <w:color w:val="231F20"/>
        </w:rPr>
        <w:t>. Dispositions introductives.</w:t>
      </w:r>
    </w:p>
    <w:p>
      <w:pPr>
        <w:pStyle w:val="BodyText"/>
        <w:spacing w:line="218" w:lineRule="auto" w:before="29"/>
        <w:ind w:right="38"/>
      </w:pPr>
      <w:r>
        <w:rPr>
          <w:color w:val="231F20"/>
        </w:rPr>
        <w:t>Art. 14:15. La section 2 du présent chapitre s’applique à toutes les sociétés dotées de la personnalité juridique régies par le présent code qui veulent transférer leur siège à l’étranger (émigration), à l’exception de la SE et de la SCE.</w:t>
      </w:r>
    </w:p>
    <w:p>
      <w:pPr>
        <w:pStyle w:val="BodyText"/>
        <w:spacing w:line="218" w:lineRule="auto" w:before="96"/>
        <w:ind w:right="38"/>
      </w:pPr>
      <w:r>
        <w:rPr>
          <w:color w:val="231F20"/>
        </w:rPr>
        <w:t>La section 3 du présent chapitre est applicable à toutes les sociétés régies par un droit étranger dotées de la personnalité juridique qui veulent transférer leur siège en Belgique (immigration), à l’exception de la SE et de la SCE.</w:t>
      </w:r>
    </w:p>
    <w:p>
      <w:pPr>
        <w:pStyle w:val="BodyText"/>
        <w:spacing w:line="218" w:lineRule="auto" w:before="96"/>
        <w:ind w:right="38"/>
      </w:pPr>
      <w:r>
        <w:rPr>
          <w:color w:val="231F20"/>
        </w:rPr>
        <w:t>Art. 14:16. Lorsqu’une société transfère son siège statutaire à l’étranger, elle se transforme en une forme légale de la juridiction vers laquelle elle déplace son siège, en préservant la continuité de sa personnalité juridique.</w:t>
      </w:r>
    </w:p>
    <w:p>
      <w:pPr>
        <w:pStyle w:val="BodyText"/>
        <w:spacing w:line="218" w:lineRule="auto" w:before="97"/>
        <w:ind w:right="38"/>
      </w:pPr>
      <w:r>
        <w:rPr>
          <w:color w:val="231F20"/>
        </w:rPr>
        <w:t>Art. 14:17. La transformation transfrontalière n’est pas autorisée tant que la sociétéà transformer est soumise à une procédure d’insolvabilité.</w:t>
      </w:r>
    </w:p>
    <w:p>
      <w:pPr>
        <w:pStyle w:val="BodyText"/>
        <w:spacing w:before="7"/>
        <w:ind w:left="0" w:right="0" w:firstLine="0"/>
        <w:jc w:val="left"/>
        <w:rPr>
          <w:sz w:val="22"/>
        </w:rPr>
      </w:pPr>
    </w:p>
    <w:p>
      <w:pPr>
        <w:pStyle w:val="BodyText"/>
        <w:spacing w:before="1"/>
        <w:ind w:left="283" w:right="0" w:firstLine="0"/>
        <w:jc w:val="left"/>
      </w:pPr>
      <w:r>
        <w:rPr>
          <w:color w:val="231F20"/>
        </w:rPr>
        <w:t>Section 2. Émigration.</w:t>
      </w:r>
    </w:p>
    <w:p>
      <w:pPr>
        <w:pStyle w:val="BodyText"/>
        <w:spacing w:line="218" w:lineRule="auto" w:before="77"/>
        <w:ind w:right="38"/>
      </w:pPr>
      <w:r>
        <w:rPr>
          <w:color w:val="231F20"/>
        </w:rPr>
        <w:t>Sous-section 1</w:t>
      </w:r>
      <w:r>
        <w:rPr>
          <w:color w:val="231F20"/>
          <w:position w:val="7"/>
          <w:sz w:val="11"/>
        </w:rPr>
        <w:t>re</w:t>
      </w:r>
      <w:r>
        <w:rPr>
          <w:color w:val="231F20"/>
        </w:rPr>
        <w:t>. Formalités précédant la décision de transformation transfrontalière.</w:t>
      </w:r>
    </w:p>
    <w:p>
      <w:pPr>
        <w:pStyle w:val="BodyText"/>
        <w:spacing w:line="218" w:lineRule="auto" w:before="96"/>
        <w:ind w:right="38"/>
      </w:pPr>
      <w:r>
        <w:rPr>
          <w:color w:val="231F20"/>
        </w:rPr>
        <w:t>Art. 14:18. L’organe d’administration établit le projet de transforma- tion transfrontalière. Ce projet mentionne au moins la forme légale, la dénomination et le siège de la société après la transformation ainsi que le nom et la résidence du notaire devant lequel la transformation transfrontalière sera passée.</w:t>
      </w:r>
    </w:p>
    <w:p>
      <w:pPr>
        <w:pStyle w:val="BodyText"/>
        <w:spacing w:line="218" w:lineRule="auto" w:before="97"/>
        <w:ind w:right="40"/>
      </w:pPr>
      <w:r>
        <w:rPr>
          <w:color w:val="231F20"/>
          <w:spacing w:val="4"/>
        </w:rPr>
        <w:t>Ce  </w:t>
      </w:r>
      <w:r>
        <w:rPr>
          <w:color w:val="231F20"/>
          <w:spacing w:val="7"/>
        </w:rPr>
        <w:t>projet  </w:t>
      </w:r>
      <w:r>
        <w:rPr>
          <w:color w:val="231F20"/>
          <w:spacing w:val="6"/>
        </w:rPr>
        <w:t>est  </w:t>
      </w:r>
      <w:r>
        <w:rPr>
          <w:color w:val="231F20"/>
          <w:spacing w:val="7"/>
        </w:rPr>
        <w:t>déposé  </w:t>
      </w:r>
      <w:r>
        <w:rPr>
          <w:color w:val="231F20"/>
          <w:spacing w:val="4"/>
        </w:rPr>
        <w:t>et  </w:t>
      </w:r>
      <w:r>
        <w:rPr>
          <w:color w:val="231F20"/>
          <w:spacing w:val="7"/>
        </w:rPr>
        <w:t>publié   </w:t>
      </w:r>
      <w:r>
        <w:rPr>
          <w:color w:val="231F20"/>
          <w:spacing w:val="8"/>
        </w:rPr>
        <w:t>conformément   </w:t>
      </w:r>
      <w:r>
        <w:rPr>
          <w:color w:val="231F20"/>
          <w:spacing w:val="6"/>
        </w:rPr>
        <w:t>aux   </w:t>
      </w:r>
      <w:r>
        <w:rPr>
          <w:color w:val="231F20"/>
          <w:spacing w:val="9"/>
        </w:rPr>
        <w:t>arti- </w:t>
      </w:r>
      <w:r>
        <w:rPr>
          <w:color w:val="231F20"/>
        </w:rPr>
        <w:t>cles 2:8 et 2:14,</w:t>
      </w:r>
      <w:r>
        <w:rPr>
          <w:color w:val="231F20"/>
          <w:spacing w:val="15"/>
        </w:rPr>
        <w:t> </w:t>
      </w:r>
      <w:r>
        <w:rPr>
          <w:color w:val="231F20"/>
        </w:rPr>
        <w:t>1°.</w:t>
      </w:r>
    </w:p>
    <w:p>
      <w:pPr>
        <w:pStyle w:val="BodyText"/>
        <w:spacing w:line="218" w:lineRule="auto" w:before="96"/>
        <w:ind w:right="38"/>
      </w:pPr>
      <w:r>
        <w:rPr>
          <w:color w:val="231F20"/>
        </w:rPr>
        <w:t>Art. 14:19. Au plus tard dans les deux mois de la publication aux Annexes du </w:t>
      </w:r>
      <w:r>
        <w:rPr>
          <w:rFonts w:ascii="Times New Roman" w:hAnsi="Times New Roman"/>
          <w:i/>
          <w:color w:val="231F20"/>
        </w:rPr>
        <w:t>Moniteur belge </w:t>
      </w:r>
      <w:r>
        <w:rPr>
          <w:color w:val="231F20"/>
        </w:rPr>
        <w:t>du projet de transformation, les créanciers envers la société ont, nonobstant toute disposition contraire, le droit d’exiger de la société une sûreté ou toute autre garantie pour leurs créances certaines mais non encore exigibles au moment de la publication et, pour les créances faisant l’objet d’une action introduite en justice ou par voie d’arbitrage contre la société, avant la publication du projet de transformation.</w:t>
      </w:r>
    </w:p>
    <w:p>
      <w:pPr>
        <w:pStyle w:val="BodyText"/>
        <w:spacing w:before="8"/>
        <w:ind w:left="0" w:right="0" w:firstLine="0"/>
        <w:jc w:val="left"/>
        <w:rPr>
          <w:sz w:val="23"/>
        </w:rPr>
      </w:pPr>
    </w:p>
    <w:p>
      <w:pPr>
        <w:pStyle w:val="BodyText"/>
        <w:spacing w:line="218" w:lineRule="auto"/>
        <w:ind w:right="38"/>
      </w:pPr>
      <w:r>
        <w:rPr>
          <w:color w:val="231F20"/>
        </w:rPr>
        <w:t>À cet effet et sous peine d’irrecevabilité de la requête, le créancier adresse en même temps une demande écrite à la société et au notaire mentionné dans le projet de transformation.</w:t>
      </w:r>
    </w:p>
    <w:p>
      <w:pPr>
        <w:pStyle w:val="BodyText"/>
        <w:spacing w:line="218" w:lineRule="auto" w:before="97"/>
        <w:ind w:right="38"/>
      </w:pPr>
      <w:r>
        <w:rPr>
          <w:color w:val="231F20"/>
        </w:rPr>
        <w:t>La société peut écarter cette demande en payant la créance à sa valeur, après déduction de l’escompte.</w:t>
      </w:r>
    </w:p>
    <w:p>
      <w:pPr>
        <w:pStyle w:val="BodyText"/>
        <w:spacing w:line="218" w:lineRule="auto" w:before="96"/>
        <w:ind w:right="38"/>
      </w:pPr>
      <w:r>
        <w:rPr>
          <w:color w:val="231F20"/>
        </w:rPr>
        <w:t>À défaut d’accord ou si le créancier n’a pas reçu satisfaction, la partie la plus diligente soumet la contestation au président du tribunal de l’entreprise du siège de la société débitrice, siégeant en référé.</w:t>
      </w:r>
    </w:p>
    <w:p>
      <w:pPr>
        <w:pStyle w:val="BodyText"/>
        <w:spacing w:line="218" w:lineRule="auto" w:before="119"/>
      </w:pPr>
      <w:r>
        <w:rPr/>
        <w:br w:type="column"/>
      </w:r>
      <w:r>
        <w:rPr>
          <w:color w:val="231F20"/>
        </w:rPr>
        <w:t>3° tot vergoeding van de schade die het onmiddellijke en recht- streekse gevolg is, hetzij van de nietigheid van de omzettingsverrich- ting wegens de niet-naleving van de regels bepaald in de artikelen 5:13, 2° tot 4°, 6:14, 2° tot 4°, 7:15, 2° tot 4°, die naar analogie worden toegepast, of artikel 14:10, eerste lid, hetzij wegens het ontbreken of de onjuistheid van de vermeldingen voorgeschreven in de artikelen 5:12, eerste lid, met uitzondering van het 5° en het 8°, 6:13, eerste lid, met uitzondering van het 5° en het 8°, 7:14, met uitzondering van het 7°, en de punten 10° tot 12°, en 14:10, tweede lid.</w:t>
      </w:r>
    </w:p>
    <w:p>
      <w:pPr>
        <w:pStyle w:val="BodyText"/>
        <w:spacing w:line="218" w:lineRule="auto" w:before="97"/>
      </w:pPr>
      <w:r>
        <w:rPr>
          <w:color w:val="231F20"/>
        </w:rPr>
        <w:t>Art. 14:13. In geval van omzetting van een vennootschap onder firma of een commanditaire vennootschap, blijven de vennoten onder firma en de gecommanditeerde vennoten ten aanzien van derden hoofdelijk en onbeperkt aansprakelijk voor de verbintenissen van de vennoot- schap die dateren van vóór het tijdstip vanaf wanneer de akte van omzetting aan derden kan worden tegengeworpen overeenkomstig artikel 2:18.</w:t>
      </w:r>
    </w:p>
    <w:p>
      <w:pPr>
        <w:pStyle w:val="BodyText"/>
        <w:spacing w:line="218" w:lineRule="auto" w:before="97"/>
      </w:pPr>
      <w:r>
        <w:rPr>
          <w:color w:val="231F20"/>
        </w:rPr>
        <w:t>In geval van omzetting in een vennootschap onder firma, of in een commanditaire vennootschap, staan de vennoten onder firma of de gecommanditeerde vennoten ten aanzien van derden onbeperkt in voor de</w:t>
      </w:r>
      <w:r>
        <w:rPr>
          <w:color w:val="231F20"/>
          <w:spacing w:val="19"/>
        </w:rPr>
        <w:t> </w:t>
      </w:r>
      <w:r>
        <w:rPr>
          <w:color w:val="231F20"/>
        </w:rPr>
        <w:t>verbintenissen</w:t>
      </w:r>
      <w:r>
        <w:rPr>
          <w:color w:val="231F20"/>
          <w:spacing w:val="19"/>
        </w:rPr>
        <w:t> </w:t>
      </w:r>
      <w:r>
        <w:rPr>
          <w:color w:val="231F20"/>
        </w:rPr>
        <w:t>van</w:t>
      </w:r>
      <w:r>
        <w:rPr>
          <w:color w:val="231F20"/>
          <w:spacing w:val="19"/>
        </w:rPr>
        <w:t> </w:t>
      </w:r>
      <w:r>
        <w:rPr>
          <w:color w:val="231F20"/>
        </w:rPr>
        <w:t>de</w:t>
      </w:r>
      <w:r>
        <w:rPr>
          <w:color w:val="231F20"/>
          <w:spacing w:val="19"/>
        </w:rPr>
        <w:t> </w:t>
      </w:r>
      <w:r>
        <w:rPr>
          <w:color w:val="231F20"/>
        </w:rPr>
        <w:t>vennootschap</w:t>
      </w:r>
      <w:r>
        <w:rPr>
          <w:color w:val="231F20"/>
          <w:spacing w:val="19"/>
        </w:rPr>
        <w:t> </w:t>
      </w:r>
      <w:r>
        <w:rPr>
          <w:color w:val="231F20"/>
        </w:rPr>
        <w:t>van</w:t>
      </w:r>
      <w:r>
        <w:rPr>
          <w:color w:val="231F20"/>
          <w:spacing w:val="19"/>
        </w:rPr>
        <w:t> </w:t>
      </w:r>
      <w:r>
        <w:rPr>
          <w:color w:val="231F20"/>
        </w:rPr>
        <w:t>vóór</w:t>
      </w:r>
      <w:r>
        <w:rPr>
          <w:color w:val="231F20"/>
          <w:spacing w:val="19"/>
        </w:rPr>
        <w:t> </w:t>
      </w:r>
      <w:r>
        <w:rPr>
          <w:color w:val="231F20"/>
        </w:rPr>
        <w:t>de</w:t>
      </w:r>
      <w:r>
        <w:rPr>
          <w:color w:val="231F20"/>
          <w:spacing w:val="19"/>
        </w:rPr>
        <w:t> </w:t>
      </w:r>
      <w:r>
        <w:rPr>
          <w:color w:val="231F20"/>
        </w:rPr>
        <w:t>omzetting.</w:t>
      </w:r>
    </w:p>
    <w:p>
      <w:pPr>
        <w:pStyle w:val="BodyText"/>
        <w:spacing w:before="82"/>
        <w:ind w:left="283" w:right="0" w:firstLine="0"/>
        <w:jc w:val="left"/>
      </w:pPr>
      <w:r>
        <w:rPr>
          <w:color w:val="231F20"/>
        </w:rPr>
        <w:t>Afdeling</w:t>
      </w:r>
      <w:r>
        <w:rPr>
          <w:color w:val="231F20"/>
          <w:spacing w:val="21"/>
        </w:rPr>
        <w:t> </w:t>
      </w:r>
      <w:r>
        <w:rPr>
          <w:color w:val="231F20"/>
        </w:rPr>
        <w:t>5.</w:t>
      </w:r>
      <w:r>
        <w:rPr>
          <w:color w:val="231F20"/>
          <w:spacing w:val="21"/>
        </w:rPr>
        <w:t> </w:t>
      </w:r>
      <w:r>
        <w:rPr>
          <w:color w:val="231F20"/>
        </w:rPr>
        <w:t>Bepaling</w:t>
      </w:r>
      <w:r>
        <w:rPr>
          <w:color w:val="231F20"/>
          <w:spacing w:val="21"/>
        </w:rPr>
        <w:t> </w:t>
      </w:r>
      <w:r>
        <w:rPr>
          <w:color w:val="231F20"/>
        </w:rPr>
        <w:t>eigen</w:t>
      </w:r>
      <w:r>
        <w:rPr>
          <w:color w:val="231F20"/>
          <w:spacing w:val="22"/>
        </w:rPr>
        <w:t> </w:t>
      </w:r>
      <w:r>
        <w:rPr>
          <w:color w:val="231F20"/>
        </w:rPr>
        <w:t>aan</w:t>
      </w:r>
      <w:r>
        <w:rPr>
          <w:color w:val="231F20"/>
          <w:spacing w:val="21"/>
        </w:rPr>
        <w:t> </w:t>
      </w:r>
      <w:r>
        <w:rPr>
          <w:color w:val="231F20"/>
        </w:rPr>
        <w:t>de</w:t>
      </w:r>
      <w:r>
        <w:rPr>
          <w:color w:val="231F20"/>
          <w:spacing w:val="21"/>
        </w:rPr>
        <w:t> </w:t>
      </w:r>
      <w:r>
        <w:rPr>
          <w:color w:val="231F20"/>
        </w:rPr>
        <w:t>vennootschap</w:t>
      </w:r>
      <w:r>
        <w:rPr>
          <w:color w:val="231F20"/>
          <w:spacing w:val="22"/>
        </w:rPr>
        <w:t> </w:t>
      </w:r>
      <w:r>
        <w:rPr>
          <w:color w:val="231F20"/>
        </w:rPr>
        <w:t>onder</w:t>
      </w:r>
      <w:r>
        <w:rPr>
          <w:color w:val="231F20"/>
          <w:spacing w:val="21"/>
        </w:rPr>
        <w:t> </w:t>
      </w:r>
      <w:r>
        <w:rPr>
          <w:color w:val="231F20"/>
        </w:rPr>
        <w:t>firma.</w:t>
      </w:r>
    </w:p>
    <w:p>
      <w:pPr>
        <w:pStyle w:val="BodyText"/>
        <w:spacing w:line="218" w:lineRule="auto" w:before="93"/>
      </w:pPr>
      <w:r>
        <w:rPr>
          <w:color w:val="231F20"/>
        </w:rPr>
        <w:t>Art. 14:14. </w:t>
      </w:r>
      <w:r>
        <w:rPr>
          <w:color w:val="231F20"/>
          <w:spacing w:val="-3"/>
        </w:rPr>
        <w:t>Wanneer </w:t>
      </w:r>
      <w:r>
        <w:rPr>
          <w:color w:val="231F20"/>
        </w:rPr>
        <w:t>de statuten van een vennootschap onder firma bepalen dat de vennootschap bij het overlijden van een vennoot zal voortduren met zijn rechtverkrijgenden of sommigen ervan, en dat zij de hoedanigheid van stille vennoot zullen hebben, vinden de artike-   len 14:3 tot 14:12 geen toepassing op de omzetting die uit deze statutaire bepaling</w:t>
      </w:r>
      <w:r>
        <w:rPr>
          <w:color w:val="231F20"/>
          <w:spacing w:val="-11"/>
        </w:rPr>
        <w:t> </w:t>
      </w:r>
      <w:r>
        <w:rPr>
          <w:color w:val="231F20"/>
        </w:rPr>
        <w:t>voortvloeit.</w:t>
      </w:r>
    </w:p>
    <w:p>
      <w:pPr>
        <w:pStyle w:val="BodyText"/>
        <w:spacing w:line="218" w:lineRule="auto" w:before="96"/>
      </w:pPr>
      <w:r>
        <w:rPr>
          <w:color w:val="231F20"/>
        </w:rPr>
        <w:t>De omzetting wordt vastgesteld hetzij door een authentieke akte, hetzij door een onderhandse akte, die bij uittreksel openbaar wordt gemaakt op de wijze bepaald in de artikelen 2:8, § 2, en 2:14, 1°.</w:t>
      </w:r>
    </w:p>
    <w:p>
      <w:pPr>
        <w:pStyle w:val="BodyText"/>
        <w:spacing w:line="338" w:lineRule="auto" w:before="82"/>
        <w:ind w:left="283" w:right="1017" w:firstLine="0"/>
        <w:jc w:val="left"/>
      </w:pPr>
      <w:r>
        <w:rPr>
          <w:color w:val="231F20"/>
        </w:rPr>
        <w:t>HOOFDSTUK 3. Grensoverschrijdende omzetting. Afdeling 1. Inleidende bepalingen.</w:t>
      </w:r>
    </w:p>
    <w:p>
      <w:pPr>
        <w:pStyle w:val="BodyText"/>
        <w:spacing w:line="218" w:lineRule="auto" w:before="13"/>
      </w:pPr>
      <w:r>
        <w:rPr>
          <w:color w:val="231F20"/>
        </w:rPr>
        <w:t>Art. 14:15. Afdeling 2 van dit hoofdstuk is van toepassing op  alle door dit wetboek geregelde vennootschappen met</w:t>
      </w:r>
      <w:r>
        <w:rPr>
          <w:color w:val="231F20"/>
          <w:spacing w:val="33"/>
        </w:rPr>
        <w:t> </w:t>
      </w:r>
      <w:r>
        <w:rPr>
          <w:color w:val="231F20"/>
        </w:rPr>
        <w:t>rechtspersoonlijk- heid, die hun zetel naar het buitenland willen verplaatsen (emigratie), met</w:t>
      </w:r>
      <w:r>
        <w:rPr>
          <w:color w:val="231F20"/>
          <w:spacing w:val="15"/>
        </w:rPr>
        <w:t> </w:t>
      </w:r>
      <w:r>
        <w:rPr>
          <w:color w:val="231F20"/>
        </w:rPr>
        <w:t>uitzondering</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SE</w:t>
      </w:r>
      <w:r>
        <w:rPr>
          <w:color w:val="231F20"/>
          <w:spacing w:val="16"/>
        </w:rPr>
        <w:t> </w:t>
      </w:r>
      <w:r>
        <w:rPr>
          <w:color w:val="231F20"/>
        </w:rPr>
        <w:t>en</w:t>
      </w:r>
      <w:r>
        <w:rPr>
          <w:color w:val="231F20"/>
          <w:spacing w:val="15"/>
        </w:rPr>
        <w:t> </w:t>
      </w:r>
      <w:r>
        <w:rPr>
          <w:color w:val="231F20"/>
        </w:rPr>
        <w:t>de</w:t>
      </w:r>
      <w:r>
        <w:rPr>
          <w:color w:val="231F20"/>
          <w:spacing w:val="16"/>
        </w:rPr>
        <w:t> </w:t>
      </w:r>
      <w:r>
        <w:rPr>
          <w:color w:val="231F20"/>
        </w:rPr>
        <w:t>SCE.</w:t>
      </w:r>
    </w:p>
    <w:p>
      <w:pPr>
        <w:pStyle w:val="BodyText"/>
        <w:spacing w:line="218" w:lineRule="auto" w:before="97"/>
        <w:ind w:right="123"/>
      </w:pPr>
      <w:r>
        <w:rPr>
          <w:color w:val="231F20"/>
        </w:rPr>
        <w:t>Afdeling 3 van dit hoofdstuk is van toepassing op alle door buitenlands recht beheerste vennootschappen met rechtspersoonlijk- heid, die hun zetel naar België willen verplaatsen (immigratie), met uitzondering van de SE en de SCE.</w:t>
      </w:r>
    </w:p>
    <w:p>
      <w:pPr>
        <w:pStyle w:val="BodyText"/>
        <w:spacing w:line="218" w:lineRule="auto" w:before="96"/>
      </w:pPr>
      <w:r>
        <w:rPr>
          <w:color w:val="231F20"/>
        </w:rPr>
        <w:t>Art. 14:16. </w:t>
      </w:r>
      <w:r>
        <w:rPr>
          <w:color w:val="231F20"/>
          <w:spacing w:val="-3"/>
        </w:rPr>
        <w:t>Wanneer </w:t>
      </w:r>
      <w:r>
        <w:rPr>
          <w:color w:val="231F20"/>
        </w:rPr>
        <w:t>een vennootschap haar statutaire zetel over de grenzen heen verplaatst, zet zij zich om in een rechtsvorm van de jurisdictie waarheen zij haar zetel verplaatst, met continuïteit van haar rechtspersoonlijkheid.</w:t>
      </w:r>
    </w:p>
    <w:p>
      <w:pPr>
        <w:pStyle w:val="BodyText"/>
        <w:spacing w:line="218" w:lineRule="auto" w:before="96"/>
      </w:pPr>
      <w:r>
        <w:rPr>
          <w:color w:val="231F20"/>
        </w:rPr>
        <w:t>Art. 14:17. De grensoverschrijdende omzetting is niet toegelaten zolang de om te zetten vennootschap is onderworpen aan een insolventieprocedure.</w:t>
      </w:r>
    </w:p>
    <w:p>
      <w:pPr>
        <w:pStyle w:val="BodyText"/>
        <w:spacing w:before="82"/>
        <w:ind w:left="283" w:right="0" w:firstLine="0"/>
        <w:jc w:val="left"/>
      </w:pPr>
      <w:r>
        <w:rPr>
          <w:color w:val="231F20"/>
        </w:rPr>
        <w:t>Afdeling 2. Emigratie.</w:t>
      </w:r>
    </w:p>
    <w:p>
      <w:pPr>
        <w:pStyle w:val="BodyText"/>
        <w:spacing w:line="218" w:lineRule="auto" w:before="93"/>
      </w:pPr>
      <w:r>
        <w:rPr>
          <w:color w:val="231F20"/>
        </w:rPr>
        <w:t>Onderafdeling 1. Formaliteiten die het besluit tot grensoverschrij- dende omzetting voorafgaan.</w:t>
      </w:r>
    </w:p>
    <w:p>
      <w:pPr>
        <w:pStyle w:val="BodyText"/>
        <w:spacing w:line="218" w:lineRule="auto" w:before="96"/>
      </w:pPr>
      <w:r>
        <w:rPr>
          <w:color w:val="231F20"/>
        </w:rPr>
        <w:t>Art. 14:18. Het bestuursorgaan stelt het voorstel tot grensoverschrij- dende omzetting op. Dit voorstel vermeldt ten minste de rechtsvorm, de naam en de zetel van de vennootschap na omzetting evenals</w:t>
      </w:r>
      <w:r>
        <w:rPr>
          <w:color w:val="231F20"/>
          <w:spacing w:val="22"/>
        </w:rPr>
        <w:t> </w:t>
      </w:r>
      <w:r>
        <w:rPr>
          <w:color w:val="231F20"/>
        </w:rPr>
        <w:t>de naam en standplaats van de notaris voor wie de grensoverschrijdende omzetting zal worden</w:t>
      </w:r>
      <w:r>
        <w:rPr>
          <w:color w:val="231F20"/>
          <w:spacing w:val="6"/>
        </w:rPr>
        <w:t> </w:t>
      </w:r>
      <w:r>
        <w:rPr>
          <w:color w:val="231F20"/>
        </w:rPr>
        <w:t>verleden.</w:t>
      </w:r>
    </w:p>
    <w:p>
      <w:pPr>
        <w:pStyle w:val="BodyText"/>
        <w:spacing w:line="218" w:lineRule="auto" w:before="96"/>
      </w:pPr>
      <w:r>
        <w:rPr>
          <w:color w:val="231F20"/>
        </w:rPr>
        <w:t>Dit voorstel wordt neergelegd en bekendgemaakt overeenkomstig de artikelen 2:8 en 2:14, 1°.</w:t>
      </w:r>
    </w:p>
    <w:p>
      <w:pPr>
        <w:pStyle w:val="BodyText"/>
        <w:spacing w:line="218" w:lineRule="auto" w:before="96"/>
      </w:pPr>
      <w:r>
        <w:rPr>
          <w:color w:val="231F20"/>
        </w:rPr>
        <w:t>Art. 14:19. Uiterlijk binnen twee maanden na de bekendmaking van het omzettingsvoorstel in de Bijlagen bij het </w:t>
      </w:r>
      <w:r>
        <w:rPr>
          <w:rFonts w:ascii="Times New Roman" w:hAnsi="Times New Roman"/>
          <w:i/>
          <w:color w:val="231F20"/>
        </w:rPr>
        <w:t>Belgisch Staatsblad</w:t>
      </w:r>
      <w:r>
        <w:rPr>
          <w:color w:val="231F20"/>
        </w:rPr>
        <w:t>, kunnen de schuldeisers jegens de vennootschap, niettegenstaande anderslui- dende bepaling, een zekerheid of enige andere waarborg  eisen</w:t>
      </w:r>
      <w:r>
        <w:rPr>
          <w:color w:val="231F20"/>
          <w:spacing w:val="20"/>
        </w:rPr>
        <w:t> </w:t>
      </w:r>
      <w:r>
        <w:rPr>
          <w:color w:val="231F20"/>
        </w:rPr>
        <w:t>voor hun schuldvorderingen die op het tijdstip van de bekendmaking vaststaand maar nog niet opeisbaar zijn evenals voor hun schuldvor- deringen waarvoor in rechte of via arbitrage een vordering tegen de vennootschap werd ingesteld vóór de bekendmaking van het omzet- tingsvoorstel.</w:t>
      </w:r>
    </w:p>
    <w:p>
      <w:pPr>
        <w:pStyle w:val="BodyText"/>
        <w:spacing w:line="218" w:lineRule="auto" w:before="94"/>
        <w:ind w:right="123"/>
      </w:pPr>
      <w:r>
        <w:rPr>
          <w:color w:val="231F20"/>
        </w:rPr>
        <w:t>Daartoe richt de schuldeiser tegelijkertijd een schriftelijk verzoek aan de vennootschap en de notaris vermeld in het omzettingsvoorstel, op straffe van niet-ontvankelijkheid van zijn verzoek.</w:t>
      </w:r>
    </w:p>
    <w:p>
      <w:pPr>
        <w:pStyle w:val="BodyText"/>
        <w:spacing w:line="218" w:lineRule="auto" w:before="97"/>
      </w:pPr>
      <w:r>
        <w:rPr>
          <w:color w:val="231F20"/>
        </w:rPr>
        <w:t>De vennootschap kan deze vordering afweren door de schuldvorde- ring te betalen tegen haar waarde, na aftrek van het disconto.</w:t>
      </w:r>
    </w:p>
    <w:p>
      <w:pPr>
        <w:pStyle w:val="BodyText"/>
        <w:spacing w:line="218" w:lineRule="auto" w:before="96"/>
        <w:ind w:right="123"/>
      </w:pPr>
      <w:r>
        <w:rPr>
          <w:color w:val="231F20"/>
        </w:rPr>
        <w:t>Indien geen overeenstemming wordt bereikt of indien de schuldeiser geen voldoening heeft gekregen, legt de meest gerede partij het geschil voor aan de voorzitter van de ondernemingsrechtbank van de zetel van de schuldplichtige vennootschap, zitting houdend in kort geding.</w:t>
      </w:r>
    </w:p>
    <w:p>
      <w:pPr>
        <w:spacing w:after="0" w:line="218" w:lineRule="auto"/>
        <w:sectPr>
          <w:headerReference w:type="even" r:id="rId113"/>
          <w:headerReference w:type="default" r:id="rId114"/>
          <w:pgSz w:w="11940" w:h="16880"/>
          <w:pgMar w:header="666" w:footer="0" w:top="1140" w:bottom="280" w:left="340" w:right="360"/>
          <w:pgNumType w:start="33502"/>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360" from="298.170502pt,64.473pt" to="298.170502pt,812.819pt" stroked="true" strokeweight=".533pt" strokecolor="#231f20">
            <v:stroke dashstyle="solid"/>
            <w10:wrap type="none"/>
          </v:line>
        </w:pict>
      </w:r>
      <w:bookmarkStart w:name="_bookmark264" w:id="270"/>
      <w:bookmarkEnd w:id="270"/>
      <w:r>
        <w:rPr/>
      </w:r>
      <w:r>
        <w:rPr>
          <w:color w:val="231F20"/>
          <w:spacing w:val="-4"/>
        </w:rPr>
        <w:t>Tous </w:t>
      </w:r>
      <w:r>
        <w:rPr>
          <w:color w:val="231F20"/>
        </w:rPr>
        <w:t>droits saufs au fond, le président détermine la sûreté à fournir par</w:t>
      </w:r>
      <w:r>
        <w:rPr>
          <w:color w:val="231F20"/>
          <w:spacing w:val="-5"/>
        </w:rPr>
        <w:t> </w:t>
      </w:r>
      <w:r>
        <w:rPr>
          <w:color w:val="231F20"/>
        </w:rPr>
        <w:t>la</w:t>
      </w:r>
      <w:r>
        <w:rPr>
          <w:color w:val="231F20"/>
          <w:spacing w:val="-4"/>
        </w:rPr>
        <w:t> </w:t>
      </w:r>
      <w:r>
        <w:rPr>
          <w:color w:val="231F20"/>
        </w:rPr>
        <w:t>société</w:t>
      </w:r>
      <w:r>
        <w:rPr>
          <w:color w:val="231F20"/>
          <w:spacing w:val="-4"/>
        </w:rPr>
        <w:t> </w:t>
      </w:r>
      <w:r>
        <w:rPr>
          <w:color w:val="231F20"/>
        </w:rPr>
        <w:t>et</w:t>
      </w:r>
      <w:r>
        <w:rPr>
          <w:color w:val="231F20"/>
          <w:spacing w:val="-5"/>
        </w:rPr>
        <w:t> </w:t>
      </w:r>
      <w:r>
        <w:rPr>
          <w:color w:val="231F20"/>
        </w:rPr>
        <w:t>fixe</w:t>
      </w:r>
      <w:r>
        <w:rPr>
          <w:color w:val="231F20"/>
          <w:spacing w:val="-4"/>
        </w:rPr>
        <w:t> </w:t>
      </w:r>
      <w:r>
        <w:rPr>
          <w:color w:val="231F20"/>
        </w:rPr>
        <w:t>le</w:t>
      </w:r>
      <w:r>
        <w:rPr>
          <w:color w:val="231F20"/>
          <w:spacing w:val="-4"/>
        </w:rPr>
        <w:t> </w:t>
      </w:r>
      <w:r>
        <w:rPr>
          <w:color w:val="231F20"/>
        </w:rPr>
        <w:t>délai</w:t>
      </w:r>
      <w:r>
        <w:rPr>
          <w:color w:val="231F20"/>
          <w:spacing w:val="-5"/>
        </w:rPr>
        <w:t> </w:t>
      </w:r>
      <w:r>
        <w:rPr>
          <w:color w:val="231F20"/>
        </w:rPr>
        <w:t>dans</w:t>
      </w:r>
      <w:r>
        <w:rPr>
          <w:color w:val="231F20"/>
          <w:spacing w:val="-4"/>
        </w:rPr>
        <w:t> </w:t>
      </w:r>
      <w:r>
        <w:rPr>
          <w:color w:val="231F20"/>
        </w:rPr>
        <w:t>lequel</w:t>
      </w:r>
      <w:r>
        <w:rPr>
          <w:color w:val="231F20"/>
          <w:spacing w:val="-5"/>
        </w:rPr>
        <w:t> </w:t>
      </w:r>
      <w:r>
        <w:rPr>
          <w:color w:val="231F20"/>
        </w:rPr>
        <w:t>elle</w:t>
      </w:r>
      <w:r>
        <w:rPr>
          <w:color w:val="231F20"/>
          <w:spacing w:val="-4"/>
        </w:rPr>
        <w:t> </w:t>
      </w:r>
      <w:r>
        <w:rPr>
          <w:color w:val="231F20"/>
        </w:rPr>
        <w:t>doit</w:t>
      </w:r>
      <w:r>
        <w:rPr>
          <w:color w:val="231F20"/>
          <w:spacing w:val="-4"/>
        </w:rPr>
        <w:t> </w:t>
      </w:r>
      <w:r>
        <w:rPr>
          <w:color w:val="231F20"/>
        </w:rPr>
        <w:t>être</w:t>
      </w:r>
      <w:r>
        <w:rPr>
          <w:color w:val="231F20"/>
          <w:spacing w:val="-5"/>
        </w:rPr>
        <w:t> </w:t>
      </w:r>
      <w:r>
        <w:rPr>
          <w:color w:val="231F20"/>
        </w:rPr>
        <w:t>constituée,</w:t>
      </w:r>
      <w:r>
        <w:rPr>
          <w:color w:val="231F20"/>
          <w:spacing w:val="-4"/>
        </w:rPr>
        <w:t> </w:t>
      </w:r>
      <w:r>
        <w:rPr>
          <w:color w:val="231F20"/>
        </w:rPr>
        <w:t>à</w:t>
      </w:r>
      <w:r>
        <w:rPr>
          <w:color w:val="231F20"/>
          <w:spacing w:val="-4"/>
        </w:rPr>
        <w:t> </w:t>
      </w:r>
      <w:r>
        <w:rPr>
          <w:color w:val="231F20"/>
        </w:rPr>
        <w:t>moins qu’il ne décide qu’aucune sûreté n’est requise, eu égard soit aux garanties et privilèges dont jouit le créancier, soit à la solvabilité de la société.</w:t>
      </w:r>
    </w:p>
    <w:p>
      <w:pPr>
        <w:pStyle w:val="BodyText"/>
        <w:spacing w:line="218" w:lineRule="auto" w:before="85"/>
        <w:ind w:right="38"/>
      </w:pPr>
      <w:r>
        <w:rPr>
          <w:color w:val="231F20"/>
        </w:rPr>
        <w:t>Art. 14:20. L’organe d’administration expose le projet de transforma- tion transfrontalière, ses motifs et conséquences juridiques et économi- ques, et ses conséquences pour les titulaires d’actions ou de parts et d’autres titres, les créanciers et les travailleurs dans un rapport inscrit à l’ordre du jour de l’assemblée générale appelée à statuer sur la décision de transformation.</w:t>
      </w:r>
    </w:p>
    <w:p>
      <w:pPr>
        <w:pStyle w:val="BodyText"/>
        <w:spacing w:line="218" w:lineRule="auto" w:before="86"/>
        <w:ind w:right="38"/>
      </w:pPr>
      <w:r>
        <w:rPr>
          <w:color w:val="231F20"/>
        </w:rPr>
        <w:t>Art. 14:21. </w:t>
      </w:r>
      <w:r>
        <w:rPr>
          <w:color w:val="231F20"/>
          <w:spacing w:val="-3"/>
        </w:rPr>
        <w:t>L’organe  </w:t>
      </w:r>
      <w:r>
        <w:rPr>
          <w:color w:val="231F20"/>
        </w:rPr>
        <w:t>d’administration joint au rapport </w:t>
      </w:r>
      <w:r>
        <w:rPr>
          <w:color w:val="231F20"/>
          <w:spacing w:val="7"/>
        </w:rPr>
        <w:t>visé </w:t>
      </w:r>
      <w:r>
        <w:rPr>
          <w:color w:val="231F20"/>
        </w:rPr>
        <w:t>à l’arti-  cle 14:20 un état résumant la situation active et passive de la société, clôturé à une date ne remontant pas à plus de quatre mois avant l’assemblée générale appelée à se prononcer sur la proposition de transformation</w:t>
      </w:r>
      <w:r>
        <w:rPr>
          <w:color w:val="231F20"/>
          <w:spacing w:val="14"/>
        </w:rPr>
        <w:t> </w:t>
      </w:r>
      <w:r>
        <w:rPr>
          <w:color w:val="231F20"/>
        </w:rPr>
        <w:t>transfrontalière.</w:t>
      </w:r>
    </w:p>
    <w:p>
      <w:pPr>
        <w:pStyle w:val="BodyText"/>
        <w:spacing w:line="218" w:lineRule="auto" w:before="86"/>
        <w:ind w:right="38"/>
      </w:pPr>
      <w:r>
        <w:rPr>
          <w:color w:val="231F20"/>
        </w:rPr>
        <w:t>Le commissaire ou, lorsqu’il n’y a pas de commissaire, un réviseur d’entreprises ou un expert-comptable externe désigné par l’organe d’administration ou</w:t>
      </w:r>
      <w:r>
        <w:rPr>
          <w:rFonts w:ascii="Times New Roman" w:hAnsi="Times New Roman"/>
          <w:b/>
          <w:i/>
          <w:color w:val="231F20"/>
        </w:rPr>
        <w:t>, </w:t>
      </w:r>
      <w:r>
        <w:rPr>
          <w:color w:val="231F20"/>
        </w:rPr>
        <w:t>dans les sociétés en nom collectif ou les sociétés en commandite, par l’assemblée générale, fait rapport sur cet état et indique notamment si l’actif net est surévalué.</w:t>
      </w:r>
    </w:p>
    <w:p>
      <w:pPr>
        <w:pStyle w:val="BodyText"/>
        <w:spacing w:line="216" w:lineRule="auto" w:before="85"/>
        <w:ind w:right="38"/>
      </w:pPr>
      <w:r>
        <w:rPr>
          <w:color w:val="231F20"/>
        </w:rPr>
        <w:t>Art. 14:22. Une copie du rapport de l’organe d’administration et du rapport du commissaire ou du réviseur d’entreprises ou de l’expert- comptable externe ainsi que le projet de modification statutaire sont communiqués aux associés ou actionnaires en même temps que la convocation à l’assemblée générale conformément aux articles 5:83, 6:70,</w:t>
      </w:r>
      <w:r>
        <w:rPr>
          <w:color w:val="231F20"/>
          <w:spacing w:val="-9"/>
        </w:rPr>
        <w:t> </w:t>
      </w:r>
      <w:r>
        <w:rPr>
          <w:color w:val="231F20"/>
        </w:rPr>
        <w:t>§</w:t>
      </w:r>
      <w:r>
        <w:rPr>
          <w:color w:val="231F20"/>
          <w:spacing w:val="-8"/>
        </w:rPr>
        <w:t> </w:t>
      </w:r>
      <w:r>
        <w:rPr>
          <w:color w:val="231F20"/>
        </w:rPr>
        <w:t>1</w:t>
      </w:r>
      <w:r>
        <w:rPr>
          <w:color w:val="231F20"/>
          <w:position w:val="7"/>
          <w:sz w:val="11"/>
        </w:rPr>
        <w:t>er</w:t>
      </w:r>
      <w:r>
        <w:rPr>
          <w:color w:val="231F20"/>
        </w:rPr>
        <w:t>,</w:t>
      </w:r>
      <w:r>
        <w:rPr>
          <w:color w:val="231F20"/>
          <w:spacing w:val="-9"/>
        </w:rPr>
        <w:t> </w:t>
      </w:r>
      <w:r>
        <w:rPr>
          <w:color w:val="231F20"/>
        </w:rPr>
        <w:t>7:128</w:t>
      </w:r>
      <w:r>
        <w:rPr>
          <w:color w:val="231F20"/>
          <w:spacing w:val="-8"/>
        </w:rPr>
        <w:t> </w:t>
      </w:r>
      <w:r>
        <w:rPr>
          <w:color w:val="231F20"/>
        </w:rPr>
        <w:t>et</w:t>
      </w:r>
      <w:r>
        <w:rPr>
          <w:color w:val="231F20"/>
          <w:spacing w:val="-8"/>
        </w:rPr>
        <w:t> </w:t>
      </w:r>
      <w:r>
        <w:rPr>
          <w:color w:val="231F20"/>
        </w:rPr>
        <w:t>7:129.</w:t>
      </w:r>
      <w:r>
        <w:rPr>
          <w:color w:val="231F20"/>
          <w:spacing w:val="-9"/>
        </w:rPr>
        <w:t> </w:t>
      </w:r>
      <w:r>
        <w:rPr>
          <w:color w:val="231F20"/>
        </w:rPr>
        <w:t>Dans</w:t>
      </w:r>
      <w:r>
        <w:rPr>
          <w:color w:val="231F20"/>
          <w:spacing w:val="-8"/>
        </w:rPr>
        <w:t> </w:t>
      </w:r>
      <w:r>
        <w:rPr>
          <w:color w:val="231F20"/>
        </w:rPr>
        <w:t>les</w:t>
      </w:r>
      <w:r>
        <w:rPr>
          <w:color w:val="231F20"/>
          <w:spacing w:val="-9"/>
        </w:rPr>
        <w:t> </w:t>
      </w:r>
      <w:r>
        <w:rPr>
          <w:color w:val="231F20"/>
        </w:rPr>
        <w:t>sociétés</w:t>
      </w:r>
      <w:r>
        <w:rPr>
          <w:color w:val="231F20"/>
          <w:spacing w:val="-8"/>
        </w:rPr>
        <w:t> </w:t>
      </w:r>
      <w:r>
        <w:rPr>
          <w:color w:val="231F20"/>
        </w:rPr>
        <w:t>en</w:t>
      </w:r>
      <w:r>
        <w:rPr>
          <w:color w:val="231F20"/>
          <w:spacing w:val="-8"/>
        </w:rPr>
        <w:t> </w:t>
      </w:r>
      <w:r>
        <w:rPr>
          <w:color w:val="231F20"/>
        </w:rPr>
        <w:t>nom</w:t>
      </w:r>
      <w:r>
        <w:rPr>
          <w:color w:val="231F20"/>
          <w:spacing w:val="-9"/>
        </w:rPr>
        <w:t> </w:t>
      </w:r>
      <w:r>
        <w:rPr>
          <w:color w:val="231F20"/>
        </w:rPr>
        <w:t>collectif</w:t>
      </w:r>
      <w:r>
        <w:rPr>
          <w:color w:val="231F20"/>
          <w:spacing w:val="-8"/>
        </w:rPr>
        <w:t> </w:t>
      </w:r>
      <w:r>
        <w:rPr>
          <w:color w:val="231F20"/>
        </w:rPr>
        <w:t>et</w:t>
      </w:r>
      <w:r>
        <w:rPr>
          <w:color w:val="231F20"/>
          <w:spacing w:val="-9"/>
        </w:rPr>
        <w:t> </w:t>
      </w:r>
      <w:r>
        <w:rPr>
          <w:color w:val="231F20"/>
        </w:rPr>
        <w:t>les</w:t>
      </w:r>
      <w:r>
        <w:rPr>
          <w:color w:val="231F20"/>
          <w:spacing w:val="-8"/>
        </w:rPr>
        <w:t> </w:t>
      </w:r>
      <w:r>
        <w:rPr>
          <w:color w:val="231F20"/>
        </w:rPr>
        <w:t>sociétés en commandite, elles sont annexées à la convocation à l’assemblée générale.</w:t>
      </w:r>
    </w:p>
    <w:p>
      <w:pPr>
        <w:pStyle w:val="BodyText"/>
        <w:spacing w:line="218" w:lineRule="auto" w:before="84"/>
        <w:ind w:right="38"/>
      </w:pPr>
      <w:r>
        <w:rPr>
          <w:color w:val="231F20"/>
        </w:rPr>
        <w:t>Sauf dans les sociétés cotées et les sociétés dont les obligations sont cotées sur un marché réglementé, une copie des documents précités est également transmise sans délai aux personnes qui, au plus tard sept jours avant l’assemblée générale, ont accompli les formalités requises par les statuts pour être admises à l’assemblée. Les personnes qui ont accompli ces formalités après ce délai reçoivent une copie de ces documents à l’assemblée générale.</w:t>
      </w:r>
    </w:p>
    <w:p>
      <w:pPr>
        <w:pStyle w:val="BodyText"/>
        <w:spacing w:before="4"/>
        <w:ind w:left="0" w:right="0" w:firstLine="0"/>
        <w:jc w:val="left"/>
        <w:rPr>
          <w:sz w:val="23"/>
        </w:rPr>
      </w:pPr>
    </w:p>
    <w:p>
      <w:pPr>
        <w:pStyle w:val="BodyText"/>
        <w:spacing w:line="213" w:lineRule="auto"/>
        <w:ind w:right="38"/>
      </w:pPr>
      <w:r>
        <w:rPr>
          <w:color w:val="231F20"/>
          <w:spacing w:val="-4"/>
        </w:rPr>
        <w:t>Tout </w:t>
      </w:r>
      <w:r>
        <w:rPr>
          <w:color w:val="231F20"/>
        </w:rPr>
        <w:t>associé ou actionnaire ou titulaire d’autres titres peut, sur production de son titre ou de l’attestation visée à l’article 7:41, obtenir sans frais au siège de la société une copie des documents visés à  l’alinéa 1</w:t>
      </w:r>
      <w:r>
        <w:rPr>
          <w:color w:val="231F20"/>
          <w:position w:val="7"/>
          <w:sz w:val="11"/>
        </w:rPr>
        <w:t>er </w:t>
      </w:r>
      <w:r>
        <w:rPr>
          <w:color w:val="231F20"/>
        </w:rPr>
        <w:t>dès la publication de la proposition de transformation conformément à l’article</w:t>
      </w:r>
      <w:r>
        <w:rPr>
          <w:color w:val="231F20"/>
          <w:spacing w:val="3"/>
        </w:rPr>
        <w:t> </w:t>
      </w:r>
      <w:r>
        <w:rPr>
          <w:color w:val="231F20"/>
        </w:rPr>
        <w:t>14:18.</w:t>
      </w:r>
    </w:p>
    <w:p>
      <w:pPr>
        <w:pStyle w:val="BodyText"/>
        <w:spacing w:line="211" w:lineRule="auto" w:before="91"/>
        <w:ind w:right="38"/>
      </w:pPr>
      <w:r>
        <w:rPr>
          <w:color w:val="231F20"/>
          <w:w w:val="105"/>
        </w:rPr>
        <w:t>Le droit </w:t>
      </w:r>
      <w:r>
        <w:rPr>
          <w:color w:val="231F20"/>
          <w:spacing w:val="4"/>
          <w:w w:val="105"/>
        </w:rPr>
        <w:t>visé </w:t>
      </w:r>
      <w:r>
        <w:rPr>
          <w:color w:val="231F20"/>
          <w:w w:val="105"/>
        </w:rPr>
        <w:t>à l’alinéa précédent d’obtenir sans frais une copie</w:t>
      </w:r>
      <w:r>
        <w:rPr>
          <w:color w:val="231F20"/>
          <w:spacing w:val="-22"/>
          <w:w w:val="105"/>
        </w:rPr>
        <w:t> </w:t>
      </w:r>
      <w:r>
        <w:rPr>
          <w:color w:val="231F20"/>
          <w:w w:val="105"/>
        </w:rPr>
        <w:t>des documents</w:t>
      </w:r>
      <w:r>
        <w:rPr>
          <w:color w:val="231F20"/>
          <w:spacing w:val="-10"/>
          <w:w w:val="105"/>
        </w:rPr>
        <w:t> </w:t>
      </w:r>
      <w:r>
        <w:rPr>
          <w:color w:val="231F20"/>
          <w:w w:val="105"/>
        </w:rPr>
        <w:t>visés</w:t>
      </w:r>
      <w:r>
        <w:rPr>
          <w:color w:val="231F20"/>
          <w:spacing w:val="-10"/>
          <w:w w:val="105"/>
        </w:rPr>
        <w:t> </w:t>
      </w:r>
      <w:r>
        <w:rPr>
          <w:color w:val="231F20"/>
          <w:w w:val="105"/>
        </w:rPr>
        <w:t>à</w:t>
      </w:r>
      <w:r>
        <w:rPr>
          <w:color w:val="231F20"/>
          <w:spacing w:val="-10"/>
          <w:w w:val="105"/>
        </w:rPr>
        <w:t> </w:t>
      </w:r>
      <w:r>
        <w:rPr>
          <w:color w:val="231F20"/>
          <w:w w:val="105"/>
        </w:rPr>
        <w:t>l’alinéa</w:t>
      </w:r>
      <w:r>
        <w:rPr>
          <w:color w:val="231F20"/>
          <w:spacing w:val="-10"/>
          <w:w w:val="105"/>
        </w:rPr>
        <w:t> </w:t>
      </w:r>
      <w:r>
        <w:rPr>
          <w:color w:val="231F20"/>
          <w:w w:val="105"/>
        </w:rPr>
        <w:t>1</w:t>
      </w:r>
      <w:r>
        <w:rPr>
          <w:color w:val="231F20"/>
          <w:w w:val="105"/>
          <w:position w:val="7"/>
          <w:sz w:val="11"/>
        </w:rPr>
        <w:t>er</w:t>
      </w:r>
      <w:r>
        <w:rPr>
          <w:color w:val="231F20"/>
          <w:spacing w:val="-2"/>
          <w:w w:val="105"/>
          <w:position w:val="7"/>
          <w:sz w:val="11"/>
        </w:rPr>
        <w:t> </w:t>
      </w:r>
      <w:r>
        <w:rPr>
          <w:color w:val="231F20"/>
          <w:w w:val="105"/>
        </w:rPr>
        <w:t>appartient</w:t>
      </w:r>
      <w:r>
        <w:rPr>
          <w:color w:val="231F20"/>
          <w:spacing w:val="-10"/>
          <w:w w:val="105"/>
        </w:rPr>
        <w:t> </w:t>
      </w:r>
      <w:r>
        <w:rPr>
          <w:color w:val="231F20"/>
          <w:w w:val="105"/>
        </w:rPr>
        <w:t>également</w:t>
      </w:r>
      <w:r>
        <w:rPr>
          <w:color w:val="231F20"/>
          <w:spacing w:val="-10"/>
          <w:w w:val="105"/>
        </w:rPr>
        <w:t> </w:t>
      </w:r>
      <w:r>
        <w:rPr>
          <w:color w:val="231F20"/>
          <w:w w:val="105"/>
        </w:rPr>
        <w:t>aux</w:t>
      </w:r>
      <w:r>
        <w:rPr>
          <w:color w:val="231F20"/>
          <w:spacing w:val="-10"/>
          <w:w w:val="105"/>
        </w:rPr>
        <w:t> </w:t>
      </w:r>
      <w:r>
        <w:rPr>
          <w:color w:val="231F20"/>
          <w:w w:val="105"/>
        </w:rPr>
        <w:t>créanciers</w:t>
      </w:r>
      <w:r>
        <w:rPr>
          <w:color w:val="231F20"/>
          <w:spacing w:val="-10"/>
          <w:w w:val="105"/>
        </w:rPr>
        <w:t> </w:t>
      </w:r>
      <w:r>
        <w:rPr>
          <w:color w:val="231F20"/>
          <w:w w:val="105"/>
        </w:rPr>
        <w:t>qui disposent d’un droit d’opposition sur la base de l’article</w:t>
      </w:r>
      <w:r>
        <w:rPr>
          <w:color w:val="231F20"/>
          <w:spacing w:val="37"/>
          <w:w w:val="105"/>
        </w:rPr>
        <w:t> </w:t>
      </w:r>
      <w:r>
        <w:rPr>
          <w:color w:val="231F20"/>
          <w:w w:val="105"/>
        </w:rPr>
        <w:t>14:19.</w:t>
      </w:r>
    </w:p>
    <w:p>
      <w:pPr>
        <w:pStyle w:val="BodyText"/>
        <w:spacing w:before="7"/>
        <w:ind w:left="0" w:right="0" w:firstLine="0"/>
        <w:jc w:val="left"/>
        <w:rPr>
          <w:sz w:val="21"/>
        </w:rPr>
      </w:pPr>
    </w:p>
    <w:p>
      <w:pPr>
        <w:pStyle w:val="BodyText"/>
        <w:ind w:left="283" w:right="0" w:firstLine="0"/>
        <w:jc w:val="left"/>
      </w:pPr>
      <w:r>
        <w:rPr>
          <w:color w:val="231F20"/>
        </w:rPr>
        <w:t>Sous-section 2. Décision de transformation transfrontalière.</w:t>
      </w:r>
    </w:p>
    <w:p>
      <w:pPr>
        <w:pStyle w:val="BodyText"/>
        <w:spacing w:line="218" w:lineRule="auto" w:before="82"/>
        <w:ind w:right="38"/>
      </w:pPr>
      <w:r>
        <w:rPr>
          <w:color w:val="231F20"/>
        </w:rPr>
        <w:t>Art. 14:23. Après l’expiration du délai visé à l’article 14:19, l’assem- blée générale décide de la transformation transfrontalière conformé- ment aux dispositions de cette sous-section.</w:t>
      </w:r>
    </w:p>
    <w:p>
      <w:pPr>
        <w:pStyle w:val="BodyText"/>
        <w:spacing w:line="218" w:lineRule="auto" w:before="70"/>
        <w:ind w:right="38"/>
      </w:pPr>
      <w:r>
        <w:rPr>
          <w:color w:val="231F20"/>
        </w:rPr>
        <w:t>Art. 14:24. § 1</w:t>
      </w:r>
      <w:r>
        <w:rPr>
          <w:color w:val="231F20"/>
          <w:position w:val="7"/>
          <w:sz w:val="11"/>
        </w:rPr>
        <w:t>er</w:t>
      </w:r>
      <w:r>
        <w:rPr>
          <w:color w:val="231F20"/>
        </w:rPr>
        <w:t>. Sous réserve des dispositions particulières énoncées dans le présent article et de dispositions statutaires plus rigoureuses, l’assemblée générale décide de la transformation transfrontalière dans le respect des règles de présence et de majorité suivantes:</w:t>
      </w:r>
    </w:p>
    <w:p>
      <w:pPr>
        <w:pStyle w:val="BodyText"/>
        <w:spacing w:line="218" w:lineRule="auto" w:before="86"/>
        <w:ind w:right="38"/>
      </w:pPr>
      <w:r>
        <w:rPr>
          <w:color w:val="231F20"/>
        </w:rPr>
        <w:t>1° ceux qui assistent ou sont représentés à la réunion doivent représenter la moitié au moins du capital, ou, si la société ne dispose pas d’un capital, la moitié du nombre total d’actions ou parts émises;</w:t>
      </w:r>
    </w:p>
    <w:p>
      <w:pPr>
        <w:pStyle w:val="BodyText"/>
        <w:spacing w:before="8"/>
        <w:ind w:left="0" w:right="0" w:firstLine="0"/>
        <w:jc w:val="left"/>
        <w:rPr>
          <w:sz w:val="22"/>
        </w:rPr>
      </w:pPr>
    </w:p>
    <w:p>
      <w:pPr>
        <w:pStyle w:val="BodyText"/>
        <w:spacing w:line="218" w:lineRule="auto" w:before="1"/>
        <w:ind w:right="38"/>
      </w:pPr>
      <w:r>
        <w:rPr>
          <w:color w:val="231F20"/>
        </w:rPr>
        <w:t>2° </w:t>
      </w:r>
      <w:r>
        <w:rPr>
          <w:rFonts w:ascii="Times New Roman" w:hAnsi="Times New Roman"/>
          <w:i/>
          <w:color w:val="231F20"/>
        </w:rPr>
        <w:t>a) </w:t>
      </w:r>
      <w:r>
        <w:rPr>
          <w:color w:val="231F20"/>
        </w:rPr>
        <w:t>une proposition de transformation est seulement acceptée si</w:t>
      </w:r>
      <w:r>
        <w:rPr>
          <w:color w:val="231F20"/>
          <w:spacing w:val="-10"/>
        </w:rPr>
        <w:t> </w:t>
      </w:r>
      <w:r>
        <w:rPr>
          <w:color w:val="231F20"/>
        </w:rPr>
        <w:t>elle réunit</w:t>
      </w:r>
      <w:r>
        <w:rPr>
          <w:color w:val="231F20"/>
          <w:spacing w:val="15"/>
        </w:rPr>
        <w:t> </w:t>
      </w:r>
      <w:r>
        <w:rPr>
          <w:color w:val="231F20"/>
        </w:rPr>
        <w:t>les</w:t>
      </w:r>
      <w:r>
        <w:rPr>
          <w:color w:val="231F20"/>
          <w:spacing w:val="15"/>
        </w:rPr>
        <w:t> </w:t>
      </w:r>
      <w:r>
        <w:rPr>
          <w:color w:val="231F20"/>
        </w:rPr>
        <w:t>quatre</w:t>
      </w:r>
      <w:r>
        <w:rPr>
          <w:color w:val="231F20"/>
          <w:spacing w:val="15"/>
        </w:rPr>
        <w:t> </w:t>
      </w:r>
      <w:r>
        <w:rPr>
          <w:color w:val="231F20"/>
        </w:rPr>
        <w:t>cinquièmes</w:t>
      </w:r>
      <w:r>
        <w:rPr>
          <w:color w:val="231F20"/>
          <w:spacing w:val="15"/>
        </w:rPr>
        <w:t> </w:t>
      </w:r>
      <w:r>
        <w:rPr>
          <w:color w:val="231F20"/>
        </w:rPr>
        <w:t>des</w:t>
      </w:r>
      <w:r>
        <w:rPr>
          <w:color w:val="231F20"/>
          <w:spacing w:val="15"/>
        </w:rPr>
        <w:t> </w:t>
      </w:r>
      <w:r>
        <w:rPr>
          <w:color w:val="231F20"/>
        </w:rPr>
        <w:t>voix;</w:t>
      </w:r>
    </w:p>
    <w:p>
      <w:pPr>
        <w:pStyle w:val="BodyText"/>
        <w:spacing w:line="218" w:lineRule="auto" w:before="83"/>
        <w:ind w:right="38"/>
      </w:pPr>
      <w:r>
        <w:rPr>
          <w:rFonts w:ascii="Times New Roman" w:hAnsi="Times New Roman"/>
          <w:i/>
          <w:color w:val="231F20"/>
        </w:rPr>
        <w:t>b) </w:t>
      </w:r>
      <w:r>
        <w:rPr>
          <w:color w:val="231F20"/>
        </w:rPr>
        <w:t>par dérogation au 1°, dans la société en commandite et dans la société coopérative, le droit de vote des associés et des actionnaires est proportionnel à leur part dans l’avoir social et le quorum de présence  se</w:t>
      </w:r>
      <w:r>
        <w:rPr>
          <w:color w:val="231F20"/>
          <w:spacing w:val="15"/>
        </w:rPr>
        <w:t> </w:t>
      </w:r>
      <w:r>
        <w:rPr>
          <w:color w:val="231F20"/>
        </w:rPr>
        <w:t>calcule</w:t>
      </w:r>
      <w:r>
        <w:rPr>
          <w:color w:val="231F20"/>
          <w:spacing w:val="15"/>
        </w:rPr>
        <w:t> </w:t>
      </w:r>
      <w:r>
        <w:rPr>
          <w:color w:val="231F20"/>
        </w:rPr>
        <w:t>par</w:t>
      </w:r>
      <w:r>
        <w:rPr>
          <w:color w:val="231F20"/>
          <w:spacing w:val="15"/>
        </w:rPr>
        <w:t> </w:t>
      </w:r>
      <w:r>
        <w:rPr>
          <w:color w:val="231F20"/>
        </w:rPr>
        <w:t>rapport</w:t>
      </w:r>
      <w:r>
        <w:rPr>
          <w:color w:val="231F20"/>
          <w:spacing w:val="15"/>
        </w:rPr>
        <w:t> </w:t>
      </w:r>
      <w:r>
        <w:rPr>
          <w:color w:val="231F20"/>
        </w:rPr>
        <w:t>à</w:t>
      </w:r>
      <w:r>
        <w:rPr>
          <w:color w:val="231F20"/>
          <w:spacing w:val="15"/>
        </w:rPr>
        <w:t> </w:t>
      </w:r>
      <w:r>
        <w:rPr>
          <w:color w:val="231F20"/>
        </w:rPr>
        <w:t>cet</w:t>
      </w:r>
      <w:r>
        <w:rPr>
          <w:color w:val="231F20"/>
          <w:spacing w:val="16"/>
        </w:rPr>
        <w:t> </w:t>
      </w:r>
      <w:r>
        <w:rPr>
          <w:color w:val="231F20"/>
        </w:rPr>
        <w:t>avoir</w:t>
      </w:r>
      <w:r>
        <w:rPr>
          <w:color w:val="231F20"/>
          <w:spacing w:val="15"/>
        </w:rPr>
        <w:t> </w:t>
      </w:r>
      <w:r>
        <w:rPr>
          <w:color w:val="231F20"/>
        </w:rPr>
        <w:t>social.</w:t>
      </w:r>
    </w:p>
    <w:p>
      <w:pPr>
        <w:pStyle w:val="BodyText"/>
        <w:spacing w:before="1"/>
        <w:ind w:left="0" w:right="0" w:firstLine="0"/>
        <w:jc w:val="left"/>
        <w:rPr>
          <w:sz w:val="23"/>
        </w:rPr>
      </w:pPr>
    </w:p>
    <w:p>
      <w:pPr>
        <w:pStyle w:val="BodyText"/>
        <w:spacing w:line="216" w:lineRule="auto"/>
        <w:ind w:right="38"/>
      </w:pPr>
      <w:r>
        <w:rPr>
          <w:color w:val="231F20"/>
        </w:rPr>
        <w:t>§ 2. S’il existe plusieurs classes de titres conférant le droit de vote et si la transformation entraîne la modification de leurs droits respectifs, l’article</w:t>
      </w:r>
      <w:r>
        <w:rPr>
          <w:color w:val="231F20"/>
          <w:spacing w:val="-6"/>
        </w:rPr>
        <w:t> </w:t>
      </w:r>
      <w:r>
        <w:rPr>
          <w:color w:val="231F20"/>
        </w:rPr>
        <w:t>5:102,</w:t>
      </w:r>
      <w:r>
        <w:rPr>
          <w:color w:val="231F20"/>
          <w:spacing w:val="-5"/>
        </w:rPr>
        <w:t> </w:t>
      </w:r>
      <w:r>
        <w:rPr>
          <w:color w:val="231F20"/>
        </w:rPr>
        <w:t>6:87</w:t>
      </w:r>
      <w:r>
        <w:rPr>
          <w:color w:val="231F20"/>
          <w:spacing w:val="-5"/>
        </w:rPr>
        <w:t> </w:t>
      </w:r>
      <w:r>
        <w:rPr>
          <w:color w:val="231F20"/>
        </w:rPr>
        <w:t>ou</w:t>
      </w:r>
      <w:r>
        <w:rPr>
          <w:color w:val="231F20"/>
          <w:spacing w:val="-5"/>
        </w:rPr>
        <w:t> </w:t>
      </w:r>
      <w:r>
        <w:rPr>
          <w:color w:val="231F20"/>
        </w:rPr>
        <w:t>7:155,</w:t>
      </w:r>
      <w:r>
        <w:rPr>
          <w:color w:val="231F20"/>
          <w:spacing w:val="-5"/>
        </w:rPr>
        <w:t> </w:t>
      </w:r>
      <w:r>
        <w:rPr>
          <w:color w:val="231F20"/>
        </w:rPr>
        <w:t>à</w:t>
      </w:r>
      <w:r>
        <w:rPr>
          <w:color w:val="231F20"/>
          <w:spacing w:val="-6"/>
        </w:rPr>
        <w:t> </w:t>
      </w:r>
      <w:r>
        <w:rPr>
          <w:color w:val="231F20"/>
        </w:rPr>
        <w:t>l’exception</w:t>
      </w:r>
      <w:r>
        <w:rPr>
          <w:color w:val="231F20"/>
          <w:spacing w:val="-5"/>
        </w:rPr>
        <w:t> </w:t>
      </w:r>
      <w:r>
        <w:rPr>
          <w:color w:val="231F20"/>
        </w:rPr>
        <w:t>de</w:t>
      </w:r>
      <w:r>
        <w:rPr>
          <w:color w:val="231F20"/>
          <w:spacing w:val="-5"/>
        </w:rPr>
        <w:t> </w:t>
      </w:r>
      <w:r>
        <w:rPr>
          <w:color w:val="231F20"/>
        </w:rPr>
        <w:t>leur</w:t>
      </w:r>
      <w:r>
        <w:rPr>
          <w:color w:val="231F20"/>
          <w:spacing w:val="-5"/>
        </w:rPr>
        <w:t> </w:t>
      </w:r>
      <w:r>
        <w:rPr>
          <w:color w:val="231F20"/>
        </w:rPr>
        <w:t>alinéa</w:t>
      </w:r>
      <w:r>
        <w:rPr>
          <w:color w:val="231F20"/>
          <w:spacing w:val="-5"/>
        </w:rPr>
        <w:t> </w:t>
      </w:r>
      <w:r>
        <w:rPr>
          <w:color w:val="231F20"/>
        </w:rPr>
        <w:t>2,</w:t>
      </w:r>
      <w:r>
        <w:rPr>
          <w:color w:val="231F20"/>
          <w:spacing w:val="-6"/>
        </w:rPr>
        <w:t> </w:t>
      </w:r>
      <w:r>
        <w:rPr>
          <w:color w:val="231F20"/>
        </w:rPr>
        <w:t>est</w:t>
      </w:r>
      <w:r>
        <w:rPr>
          <w:color w:val="231F20"/>
          <w:spacing w:val="-5"/>
        </w:rPr>
        <w:t> </w:t>
      </w:r>
      <w:r>
        <w:rPr>
          <w:color w:val="231F20"/>
        </w:rPr>
        <w:t>applicable par analogie. L’assemblée générale ne peut toutefois délibérer et statuer valablement que si elle réunit dans chaque classe les conditions de présence</w:t>
      </w:r>
      <w:r>
        <w:rPr>
          <w:color w:val="231F20"/>
          <w:spacing w:val="16"/>
        </w:rPr>
        <w:t> </w:t>
      </w:r>
      <w:r>
        <w:rPr>
          <w:color w:val="231F20"/>
        </w:rPr>
        <w:t>et</w:t>
      </w:r>
      <w:r>
        <w:rPr>
          <w:color w:val="231F20"/>
          <w:spacing w:val="17"/>
        </w:rPr>
        <w:t> </w:t>
      </w:r>
      <w:r>
        <w:rPr>
          <w:color w:val="231F20"/>
        </w:rPr>
        <w:t>de</w:t>
      </w:r>
      <w:r>
        <w:rPr>
          <w:color w:val="231F20"/>
          <w:spacing w:val="17"/>
        </w:rPr>
        <w:t> </w:t>
      </w:r>
      <w:r>
        <w:rPr>
          <w:color w:val="231F20"/>
        </w:rPr>
        <w:t>majorité</w:t>
      </w:r>
      <w:r>
        <w:rPr>
          <w:color w:val="231F20"/>
          <w:spacing w:val="17"/>
        </w:rPr>
        <w:t> </w:t>
      </w:r>
      <w:r>
        <w:rPr>
          <w:color w:val="231F20"/>
        </w:rPr>
        <w:t>prévues</w:t>
      </w:r>
      <w:r>
        <w:rPr>
          <w:color w:val="231F20"/>
          <w:spacing w:val="17"/>
        </w:rPr>
        <w:t> </w:t>
      </w:r>
      <w:r>
        <w:rPr>
          <w:color w:val="231F20"/>
        </w:rPr>
        <w:t>par</w:t>
      </w:r>
      <w:r>
        <w:rPr>
          <w:color w:val="231F20"/>
          <w:spacing w:val="17"/>
        </w:rPr>
        <w:t> </w:t>
      </w:r>
      <w:r>
        <w:rPr>
          <w:color w:val="231F20"/>
        </w:rPr>
        <w:t>le</w:t>
      </w:r>
      <w:r>
        <w:rPr>
          <w:color w:val="231F20"/>
          <w:spacing w:val="16"/>
        </w:rPr>
        <w:t> </w:t>
      </w:r>
      <w:r>
        <w:rPr>
          <w:color w:val="231F20"/>
        </w:rPr>
        <w:t>paragraphe</w:t>
      </w:r>
      <w:r>
        <w:rPr>
          <w:color w:val="231F20"/>
          <w:spacing w:val="17"/>
        </w:rPr>
        <w:t> </w:t>
      </w:r>
      <w:r>
        <w:rPr>
          <w:color w:val="231F20"/>
        </w:rPr>
        <w:t>1</w:t>
      </w:r>
      <w:r>
        <w:rPr>
          <w:color w:val="231F20"/>
          <w:position w:val="7"/>
          <w:sz w:val="11"/>
        </w:rPr>
        <w:t>er</w:t>
      </w:r>
      <w:r>
        <w:rPr>
          <w:color w:val="231F20"/>
        </w:rPr>
        <w:t>,</w:t>
      </w:r>
      <w:r>
        <w:rPr>
          <w:color w:val="231F20"/>
          <w:spacing w:val="17"/>
        </w:rPr>
        <w:t> </w:t>
      </w:r>
      <w:r>
        <w:rPr>
          <w:color w:val="231F20"/>
        </w:rPr>
        <w:t>1°.</w:t>
      </w:r>
    </w:p>
    <w:p>
      <w:pPr>
        <w:pStyle w:val="BodyText"/>
        <w:spacing w:before="6"/>
        <w:ind w:left="0" w:right="0" w:firstLine="0"/>
        <w:jc w:val="left"/>
        <w:rPr>
          <w:sz w:val="23"/>
        </w:rPr>
      </w:pPr>
    </w:p>
    <w:p>
      <w:pPr>
        <w:pStyle w:val="BodyText"/>
        <w:spacing w:line="218" w:lineRule="auto"/>
        <w:ind w:right="38"/>
      </w:pPr>
      <w:r>
        <w:rPr>
          <w:color w:val="231F20"/>
        </w:rPr>
        <w:t>En outre, et nonobstant toute disposition statutaire contraire, les parts bénéficiaires donneront droit à une voix par titre. Elles ne pourront se voir attribuer dans l’ensemble un nombre de voix supérieur à la moitié de celui attribué à l’ensemble des actions, ni être comptées dans le vote pour un nombre de voix supérieur aux deux tiers du nombre des voix émises par les actions. Si les votes soumis à la</w:t>
      </w:r>
    </w:p>
    <w:p>
      <w:pPr>
        <w:pStyle w:val="BodyText"/>
        <w:spacing w:line="218" w:lineRule="auto" w:before="119"/>
      </w:pPr>
      <w:r>
        <w:rPr/>
        <w:br w:type="column"/>
      </w:r>
      <w:r>
        <w:rPr>
          <w:color w:val="231F20"/>
        </w:rPr>
        <w:t>Zonder afbreuk te doen aan de grond van de zaak, bepaalt de voorzitter de zekerheid die de vennootschap moet stellen en de termijn waarbinnen dit moet gebeuren, tenzij hij beslist dat geen zekerheid is vereist gelet op de waarborgen en voorrechten waarover de schuldeiser beschikt of op de solvabiliteit van de vennootschap.</w:t>
      </w:r>
    </w:p>
    <w:p>
      <w:pPr>
        <w:pStyle w:val="BodyText"/>
        <w:spacing w:line="218" w:lineRule="auto" w:before="86"/>
      </w:pPr>
      <w:r>
        <w:rPr>
          <w:color w:val="231F20"/>
        </w:rPr>
        <w:t>Art. 14:20. Het bestuursorgaan licht het voorstel tot grensoverschrij- dende omzetting, haar juridische en economische redenen en gevolgen, en haar gevolgen voor de houders van aandelen en andere effecten, de schuldeisers en de werknemers toe in een verslag dat wordt vermeld in de agenda van de algemene vergadering die het  omzettingsbesluit  moet</w:t>
      </w:r>
      <w:r>
        <w:rPr>
          <w:color w:val="231F20"/>
          <w:spacing w:val="14"/>
        </w:rPr>
        <w:t> </w:t>
      </w:r>
      <w:r>
        <w:rPr>
          <w:color w:val="231F20"/>
        </w:rPr>
        <w:t>nemen.</w:t>
      </w:r>
    </w:p>
    <w:p>
      <w:pPr>
        <w:pStyle w:val="BodyText"/>
        <w:spacing w:line="218" w:lineRule="auto" w:before="86"/>
      </w:pPr>
      <w:r>
        <w:rPr>
          <w:color w:val="231F20"/>
        </w:rPr>
        <w:t>Art. 14:21. Bij het in artikel 14:20 bedoelde verslag voegt het bestuursorgaan een staat van activa en passiva van de vennootschap, die niet meer dan vier maanden vóór de algemene vergadering die over het voorstel tot grensoverschrijdende omzetting moet besluiten is afgesloten.</w:t>
      </w:r>
    </w:p>
    <w:p>
      <w:pPr>
        <w:pStyle w:val="BodyText"/>
        <w:spacing w:line="218" w:lineRule="auto" w:before="86"/>
        <w:ind w:right="123"/>
      </w:pPr>
      <w:r>
        <w:rPr>
          <w:color w:val="231F20"/>
        </w:rPr>
        <w:t>De commissaris of, als er geen commissaris is, een door het bestuursorgaan of, bij een vennootschap onder firma of een comman- ditaire vennootschap, door de algemene vergadering aangewezen bedrijfsrevisor of externe accountant, brengt over deze staat verslag uit en vermeldt inzonderheid of het nettoactief is overgewaardeerd.</w:t>
      </w:r>
    </w:p>
    <w:p>
      <w:pPr>
        <w:pStyle w:val="BodyText"/>
        <w:spacing w:line="218" w:lineRule="auto" w:before="85"/>
        <w:ind w:right="123"/>
      </w:pPr>
      <w:r>
        <w:rPr>
          <w:color w:val="231F20"/>
        </w:rPr>
        <w:t>Art. 14:22. Een kopie van het verslag van het bestuursorgaan en van het verslag van de commissaris of van de bedrijfsrevisor of externe accountant, alsook het ontwerp van statutenwijziging, worden meege- deeld aan de vennoten of aandeelhouders samen met de oproeping tot de algemene vergadering overeenkomstig de artikelen 5:83, 6:70, § 1, 7:128 en 7:129. In de vennootschappen onder firma en in de comman- ditaire vennootschappen worden zij gevoegd bij de oproeping tot de algemene vergadering.</w:t>
      </w:r>
    </w:p>
    <w:p>
      <w:pPr>
        <w:pStyle w:val="BodyText"/>
        <w:spacing w:line="218" w:lineRule="auto" w:before="86"/>
      </w:pPr>
      <w:r>
        <w:rPr>
          <w:color w:val="231F20"/>
        </w:rPr>
        <w:t>Behalve bij de genoteerde vennootschappen en de vennootschappen waarvan de obligaties zijn genoteerd op een gereglementeerde markt, wordt ook onverwijld een kopie van voormelde stukken gezonden aan degenen die, uiterlijk zeven dagen vóór de algemene vergadering, hebben voldaan aan de statutair voorgeschreven formaliteiten om tot de vergadering te worden toegelaten. De personen die aan deze formaliteiten na dit tijdstip hebben voldaan, krijgen een kopie van deze stukken op de algemene</w:t>
      </w:r>
      <w:r>
        <w:rPr>
          <w:color w:val="231F20"/>
          <w:spacing w:val="22"/>
        </w:rPr>
        <w:t> </w:t>
      </w:r>
      <w:r>
        <w:rPr>
          <w:color w:val="231F20"/>
        </w:rPr>
        <w:t>vergadering.</w:t>
      </w:r>
    </w:p>
    <w:p>
      <w:pPr>
        <w:pStyle w:val="BodyText"/>
        <w:spacing w:line="218" w:lineRule="auto" w:before="86"/>
      </w:pPr>
      <w:r>
        <w:rPr>
          <w:color w:val="231F20"/>
        </w:rPr>
        <w:t>Iedere vennoot of aandeelhouder of houder van andere effecten kan, tegen overlegging van zijn effect of van het in artikel 7:41 bedoelde attest, vanaf de bekendmaking van het omzettingsvoorstel overeen- komstig artikel 14:18 op de zetel van de vennootschap kosteloos een kopie van de in het eerste lid bedoelde stukken verkrijgen.</w:t>
      </w:r>
    </w:p>
    <w:p>
      <w:pPr>
        <w:pStyle w:val="BodyText"/>
        <w:spacing w:line="218" w:lineRule="auto" w:before="86"/>
      </w:pPr>
      <w:r>
        <w:rPr>
          <w:color w:val="231F20"/>
        </w:rPr>
        <w:t>Het in het vorige lid bedoelde recht om kosteloos een kopie van de in het eerste lid bedoelde stukken te verkrijgen komt eveneens toe aan schuldeisers die op grond van artikel 14:19 over een verzetsrecht beschikken.</w:t>
      </w:r>
    </w:p>
    <w:p>
      <w:pPr>
        <w:pStyle w:val="BodyText"/>
        <w:spacing w:before="72"/>
        <w:ind w:left="283" w:right="0" w:firstLine="0"/>
        <w:jc w:val="left"/>
      </w:pPr>
      <w:r>
        <w:rPr>
          <w:color w:val="231F20"/>
        </w:rPr>
        <w:t>Onderafdeling 2. Besluit tot grensoverschrijdende omzetting.</w:t>
      </w:r>
    </w:p>
    <w:p>
      <w:pPr>
        <w:pStyle w:val="BodyText"/>
        <w:spacing w:line="218" w:lineRule="auto" w:before="82"/>
      </w:pPr>
      <w:r>
        <w:rPr>
          <w:color w:val="231F20"/>
        </w:rPr>
        <w:t>Art. 14:23. Na het verstrijken van de in artikel 14:19 bedoelde termijn besluit de algemene vergadering tot de grensoverschrijdende omzet- ting overeenkomstig de bepalingen van deze onderafdeling.</w:t>
      </w:r>
    </w:p>
    <w:p>
      <w:pPr>
        <w:pStyle w:val="BodyText"/>
        <w:spacing w:line="218" w:lineRule="auto" w:before="85"/>
      </w:pPr>
      <w:r>
        <w:rPr>
          <w:color w:val="231F20"/>
        </w:rPr>
        <w:t>Art. 14:24. § 1. Onverminderd strengere bepalingen in de statuten en de bijzondere bepalingen van dit artikel, beslist de algemene vergade- ring tot de grensoverschrijdende omzetting overeenkomstig de vol- gende regels van aanwezigheid en meerderheid:</w:t>
      </w:r>
    </w:p>
    <w:p>
      <w:pPr>
        <w:pStyle w:val="BodyText"/>
        <w:spacing w:line="218" w:lineRule="auto" w:before="86"/>
      </w:pPr>
      <w:r>
        <w:rPr>
          <w:color w:val="231F20"/>
        </w:rPr>
        <w:t>1° de op de vergadering aanwezigen of vertegenwoordigden moeten ten minste de helft van het kapitaal, of, als de vennootschap geen kapitaal heeft, de helft van het totaal aantal uitgegeven aandelen vertegenwoordigen;</w:t>
      </w:r>
    </w:p>
    <w:p>
      <w:pPr>
        <w:pStyle w:val="BodyText"/>
        <w:spacing w:line="218" w:lineRule="auto" w:before="83"/>
      </w:pPr>
      <w:r>
        <w:rPr>
          <w:color w:val="231F20"/>
        </w:rPr>
        <w:t>2° </w:t>
      </w:r>
      <w:r>
        <w:rPr>
          <w:rFonts w:ascii="Times New Roman" w:hAnsi="Times New Roman"/>
          <w:i/>
          <w:color w:val="231F20"/>
        </w:rPr>
        <w:t>a) </w:t>
      </w:r>
      <w:r>
        <w:rPr>
          <w:color w:val="231F20"/>
        </w:rPr>
        <w:t>een voorstel tot omzetting is alleen dan aangenomen, wanneer het vier vijfde van de stemmen heeft verkregen;</w:t>
      </w:r>
    </w:p>
    <w:p>
      <w:pPr>
        <w:pStyle w:val="BodyText"/>
        <w:spacing w:line="218" w:lineRule="auto" w:before="83"/>
      </w:pPr>
      <w:r>
        <w:rPr>
          <w:rFonts w:ascii="Times New Roman" w:hAnsi="Times New Roman"/>
          <w:i/>
          <w:color w:val="231F20"/>
        </w:rPr>
        <w:t>b) </w:t>
      </w:r>
      <w:r>
        <w:rPr>
          <w:color w:val="231F20"/>
        </w:rPr>
        <w:t>in afwijking van het 1°, is in de commanditaire en in de coöperatieve vennootschap het stemrecht van de vennoten of de aandeelhouders evenredig aan hun aandeel in het vennootschapsver- mogen en wordt het aanwezigheidsquorum berekend naar verhouding van dat vermogen.</w:t>
      </w:r>
    </w:p>
    <w:p>
      <w:pPr>
        <w:pStyle w:val="BodyText"/>
        <w:spacing w:line="218" w:lineRule="auto" w:before="85"/>
      </w:pPr>
      <w:r>
        <w:rPr>
          <w:color w:val="231F20"/>
        </w:rPr>
        <w:t>§ 2. Indien er verschillende soorten van stemrechtverlenende</w:t>
      </w:r>
      <w:r>
        <w:rPr>
          <w:color w:val="231F20"/>
          <w:spacing w:val="-13"/>
        </w:rPr>
        <w:t> </w:t>
      </w:r>
      <w:r>
        <w:rPr>
          <w:color w:val="231F20"/>
        </w:rPr>
        <w:t>effecten bestaan en de omzetting aanleiding geeft tot wijziging van hun respectievelijke rechten, is artikel 5:102, 6:87 of 7:155, met</w:t>
      </w:r>
      <w:r>
        <w:rPr>
          <w:color w:val="231F20"/>
          <w:spacing w:val="-18"/>
        </w:rPr>
        <w:t> </w:t>
      </w:r>
      <w:r>
        <w:rPr>
          <w:color w:val="231F20"/>
        </w:rPr>
        <w:t>uitzondering van hun tweede lid, van overeenkomstige toepassing. De algemene vergadering kan echter alleen op geldige wijze beraadslagen en besluiten indien voor iedere soort is voldaan aan de meerderheid bepaald in paragraaf 1,</w:t>
      </w:r>
      <w:r>
        <w:rPr>
          <w:color w:val="231F20"/>
          <w:spacing w:val="21"/>
        </w:rPr>
        <w:t> </w:t>
      </w:r>
      <w:r>
        <w:rPr>
          <w:color w:val="231F20"/>
        </w:rPr>
        <w:t>1°.</w:t>
      </w:r>
    </w:p>
    <w:p>
      <w:pPr>
        <w:pStyle w:val="BodyText"/>
        <w:spacing w:line="218" w:lineRule="auto" w:before="97"/>
      </w:pPr>
      <w:r>
        <w:rPr>
          <w:color w:val="231F20"/>
        </w:rPr>
        <w:t>Bovendien geven de winstbewijzen bij deze stemming recht op één stem per effect, niettegenstaande andersluidende statutaire bepaling.</w:t>
      </w:r>
      <w:r>
        <w:rPr>
          <w:color w:val="231F20"/>
          <w:spacing w:val="-18"/>
        </w:rPr>
        <w:t> </w:t>
      </w:r>
      <w:r>
        <w:rPr>
          <w:color w:val="231F20"/>
        </w:rPr>
        <w:t>In het geheel kunnen aan die effecten niet meer stemmen worden toegekend dan de helft van het aantal dat is toegekend aan de gezamenlijke aandelen; bij de stemming kunnen zij niet worden aangerekend</w:t>
      </w:r>
      <w:r>
        <w:rPr>
          <w:color w:val="231F20"/>
          <w:spacing w:val="23"/>
        </w:rPr>
        <w:t> </w:t>
      </w:r>
      <w:r>
        <w:rPr>
          <w:color w:val="231F20"/>
        </w:rPr>
        <w:t>voor</w:t>
      </w:r>
      <w:r>
        <w:rPr>
          <w:color w:val="231F20"/>
          <w:spacing w:val="23"/>
        </w:rPr>
        <w:t> </w:t>
      </w:r>
      <w:r>
        <w:rPr>
          <w:color w:val="231F20"/>
        </w:rPr>
        <w:t>meer</w:t>
      </w:r>
      <w:r>
        <w:rPr>
          <w:color w:val="231F20"/>
          <w:spacing w:val="23"/>
        </w:rPr>
        <w:t> </w:t>
      </w:r>
      <w:r>
        <w:rPr>
          <w:color w:val="231F20"/>
        </w:rPr>
        <w:t>dan</w:t>
      </w:r>
      <w:r>
        <w:rPr>
          <w:color w:val="231F20"/>
          <w:spacing w:val="24"/>
        </w:rPr>
        <w:t> </w:t>
      </w:r>
      <w:r>
        <w:rPr>
          <w:color w:val="231F20"/>
        </w:rPr>
        <w:t>twee</w:t>
      </w:r>
      <w:r>
        <w:rPr>
          <w:color w:val="231F20"/>
          <w:spacing w:val="23"/>
        </w:rPr>
        <w:t> </w:t>
      </w:r>
      <w:r>
        <w:rPr>
          <w:color w:val="231F20"/>
        </w:rPr>
        <w:t>derde</w:t>
      </w:r>
      <w:r>
        <w:rPr>
          <w:color w:val="231F20"/>
          <w:spacing w:val="23"/>
        </w:rPr>
        <w:t> </w:t>
      </w:r>
      <w:r>
        <w:rPr>
          <w:color w:val="231F20"/>
        </w:rPr>
        <w:t>van</w:t>
      </w:r>
      <w:r>
        <w:rPr>
          <w:color w:val="231F20"/>
          <w:spacing w:val="24"/>
        </w:rPr>
        <w:t> </w:t>
      </w:r>
      <w:r>
        <w:rPr>
          <w:color w:val="231F20"/>
        </w:rPr>
        <w:t>het</w:t>
      </w:r>
      <w:r>
        <w:rPr>
          <w:color w:val="231F20"/>
          <w:spacing w:val="23"/>
        </w:rPr>
        <w:t> </w:t>
      </w:r>
      <w:r>
        <w:rPr>
          <w:color w:val="231F20"/>
        </w:rPr>
        <w:t>aantal</w:t>
      </w:r>
      <w:r>
        <w:rPr>
          <w:color w:val="231F20"/>
          <w:spacing w:val="23"/>
        </w:rPr>
        <w:t> </w:t>
      </w:r>
      <w:r>
        <w:rPr>
          <w:color w:val="231F20"/>
        </w:rPr>
        <w:t>stemmen</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0" w:hanging="1"/>
        <w:jc w:val="left"/>
      </w:pPr>
      <w:r>
        <w:rPr/>
        <w:pict>
          <v:line style="position:absolute;mso-position-horizontal-relative:page;mso-position-vertical-relative:page;z-index:7384" from="298.170502pt,64.473pt" to="298.170502pt,812.819pt" stroked="true" strokeweight=".533pt" strokecolor="#231f20">
            <v:stroke dashstyle="solid"/>
            <w10:wrap type="none"/>
          </v:line>
        </w:pict>
      </w:r>
      <w:bookmarkStart w:name="_bookmark265" w:id="271"/>
      <w:bookmarkEnd w:id="271"/>
      <w:r>
        <w:rPr/>
      </w:r>
      <w:r>
        <w:rPr>
          <w:color w:val="231F20"/>
        </w:rPr>
        <w:t>limitation sont émis en sens différents, la réduction s’opèrera propor- tionnellement;</w:t>
      </w:r>
      <w:r>
        <w:rPr>
          <w:color w:val="231F20"/>
          <w:spacing w:val="15"/>
        </w:rPr>
        <w:t> </w:t>
      </w:r>
      <w:r>
        <w:rPr>
          <w:color w:val="231F20"/>
        </w:rPr>
        <w:t>il</w:t>
      </w:r>
      <w:r>
        <w:rPr>
          <w:color w:val="231F20"/>
          <w:spacing w:val="15"/>
        </w:rPr>
        <w:t> </w:t>
      </w:r>
      <w:r>
        <w:rPr>
          <w:color w:val="231F20"/>
        </w:rPr>
        <w:t>n’est</w:t>
      </w:r>
      <w:r>
        <w:rPr>
          <w:color w:val="231F20"/>
          <w:spacing w:val="16"/>
        </w:rPr>
        <w:t> </w:t>
      </w:r>
      <w:r>
        <w:rPr>
          <w:color w:val="231F20"/>
        </w:rPr>
        <w:t>pas</w:t>
      </w:r>
      <w:r>
        <w:rPr>
          <w:color w:val="231F20"/>
          <w:spacing w:val="15"/>
        </w:rPr>
        <w:t> </w:t>
      </w:r>
      <w:r>
        <w:rPr>
          <w:color w:val="231F20"/>
        </w:rPr>
        <w:t>tenu</w:t>
      </w:r>
      <w:r>
        <w:rPr>
          <w:color w:val="231F20"/>
          <w:spacing w:val="15"/>
        </w:rPr>
        <w:t> </w:t>
      </w:r>
      <w:r>
        <w:rPr>
          <w:color w:val="231F20"/>
        </w:rPr>
        <w:t>compte</w:t>
      </w:r>
      <w:r>
        <w:rPr>
          <w:color w:val="231F20"/>
          <w:spacing w:val="16"/>
        </w:rPr>
        <w:t> </w:t>
      </w:r>
      <w:r>
        <w:rPr>
          <w:color w:val="231F20"/>
        </w:rPr>
        <w:t>des</w:t>
      </w:r>
      <w:r>
        <w:rPr>
          <w:color w:val="231F20"/>
          <w:spacing w:val="15"/>
        </w:rPr>
        <w:t> </w:t>
      </w:r>
      <w:r>
        <w:rPr>
          <w:color w:val="231F20"/>
        </w:rPr>
        <w:t>fractions</w:t>
      </w:r>
      <w:r>
        <w:rPr>
          <w:color w:val="231F20"/>
          <w:spacing w:val="16"/>
        </w:rPr>
        <w:t> </w:t>
      </w:r>
      <w:r>
        <w:rPr>
          <w:color w:val="231F20"/>
        </w:rPr>
        <w:t>de</w:t>
      </w:r>
      <w:r>
        <w:rPr>
          <w:color w:val="231F20"/>
          <w:spacing w:val="15"/>
        </w:rPr>
        <w:t> </w:t>
      </w:r>
      <w:r>
        <w:rPr>
          <w:color w:val="231F20"/>
        </w:rPr>
        <w:t>voix.</w:t>
      </w:r>
    </w:p>
    <w:p>
      <w:pPr>
        <w:pStyle w:val="BodyText"/>
        <w:ind w:left="0" w:right="0" w:firstLine="0"/>
        <w:jc w:val="left"/>
        <w:rPr>
          <w:sz w:val="20"/>
        </w:rPr>
      </w:pPr>
    </w:p>
    <w:p>
      <w:pPr>
        <w:pStyle w:val="BodyText"/>
        <w:spacing w:before="1"/>
        <w:ind w:left="0" w:right="0" w:firstLine="0"/>
        <w:jc w:val="left"/>
      </w:pPr>
    </w:p>
    <w:p>
      <w:pPr>
        <w:pStyle w:val="BodyText"/>
        <w:spacing w:line="218" w:lineRule="auto"/>
        <w:ind w:right="38"/>
      </w:pPr>
      <w:r>
        <w:rPr>
          <w:color w:val="231F20"/>
        </w:rPr>
        <w:t>§ 3. Lorsque le quorum de présence visé au paragraphe 1</w:t>
      </w:r>
      <w:r>
        <w:rPr>
          <w:color w:val="231F20"/>
          <w:position w:val="7"/>
          <w:sz w:val="11"/>
        </w:rPr>
        <w:t>er </w:t>
      </w:r>
      <w:r>
        <w:rPr>
          <w:color w:val="231F20"/>
        </w:rPr>
        <w:t>n’est pas atteint, une deuxième assemblée peut être convoquée. Cette assemblée peut valablement délibérer et statuer sur la transformation transfron- talière avec les majorités visées au présent article quel que soit le nombre</w:t>
      </w:r>
      <w:r>
        <w:rPr>
          <w:color w:val="231F20"/>
          <w:spacing w:val="13"/>
        </w:rPr>
        <w:t> </w:t>
      </w:r>
      <w:r>
        <w:rPr>
          <w:color w:val="231F20"/>
        </w:rPr>
        <w:t>des</w:t>
      </w:r>
      <w:r>
        <w:rPr>
          <w:color w:val="231F20"/>
          <w:spacing w:val="13"/>
        </w:rPr>
        <w:t> </w:t>
      </w:r>
      <w:r>
        <w:rPr>
          <w:color w:val="231F20"/>
        </w:rPr>
        <w:t>associés</w:t>
      </w:r>
      <w:r>
        <w:rPr>
          <w:color w:val="231F20"/>
          <w:spacing w:val="14"/>
        </w:rPr>
        <w:t> </w:t>
      </w:r>
      <w:r>
        <w:rPr>
          <w:color w:val="231F20"/>
        </w:rPr>
        <w:t>ou</w:t>
      </w:r>
      <w:r>
        <w:rPr>
          <w:color w:val="231F20"/>
          <w:spacing w:val="13"/>
        </w:rPr>
        <w:t> </w:t>
      </w:r>
      <w:r>
        <w:rPr>
          <w:color w:val="231F20"/>
        </w:rPr>
        <w:t>actionnaires</w:t>
      </w:r>
      <w:r>
        <w:rPr>
          <w:color w:val="231F20"/>
          <w:spacing w:val="14"/>
        </w:rPr>
        <w:t> </w:t>
      </w:r>
      <w:r>
        <w:rPr>
          <w:color w:val="231F20"/>
        </w:rPr>
        <w:t>présents</w:t>
      </w:r>
      <w:r>
        <w:rPr>
          <w:color w:val="231F20"/>
          <w:spacing w:val="13"/>
        </w:rPr>
        <w:t> </w:t>
      </w:r>
      <w:r>
        <w:rPr>
          <w:color w:val="231F20"/>
        </w:rPr>
        <w:t>ou</w:t>
      </w:r>
      <w:r>
        <w:rPr>
          <w:color w:val="231F20"/>
          <w:spacing w:val="13"/>
        </w:rPr>
        <w:t> </w:t>
      </w:r>
      <w:r>
        <w:rPr>
          <w:color w:val="231F20"/>
        </w:rPr>
        <w:t>représentés.</w:t>
      </w:r>
    </w:p>
    <w:p>
      <w:pPr>
        <w:pStyle w:val="BodyText"/>
        <w:spacing w:line="218" w:lineRule="auto" w:before="71"/>
        <w:ind w:right="39"/>
      </w:pPr>
      <w:r>
        <w:rPr>
          <w:color w:val="231F20"/>
        </w:rPr>
        <w:t>§ 4. Par dérogation au paragraphes 1</w:t>
      </w:r>
      <w:r>
        <w:rPr>
          <w:color w:val="231F20"/>
          <w:position w:val="7"/>
          <w:sz w:val="11"/>
        </w:rPr>
        <w:t>er </w:t>
      </w:r>
      <w:r>
        <w:rPr>
          <w:color w:val="231F20"/>
        </w:rPr>
        <w:t>à 3, l’accord de tous les associés ou actionnaires est</w:t>
      </w:r>
      <w:r>
        <w:rPr>
          <w:color w:val="231F20"/>
          <w:spacing w:val="16"/>
        </w:rPr>
        <w:t> </w:t>
      </w:r>
      <w:r>
        <w:rPr>
          <w:color w:val="231F20"/>
        </w:rPr>
        <w:t>requis:</w:t>
      </w:r>
    </w:p>
    <w:p>
      <w:pPr>
        <w:pStyle w:val="BodyText"/>
        <w:spacing w:line="218" w:lineRule="auto" w:before="85"/>
        <w:ind w:right="38"/>
      </w:pPr>
      <w:r>
        <w:rPr>
          <w:color w:val="231F20"/>
        </w:rPr>
        <w:t>1° pour la décision de transformation transfrontalière en une société où un ou plusieurs associés répondent de manière illimitée des dettes de la</w:t>
      </w:r>
      <w:r>
        <w:rPr>
          <w:color w:val="231F20"/>
          <w:spacing w:val="-12"/>
        </w:rPr>
        <w:t> </w:t>
      </w:r>
      <w:r>
        <w:rPr>
          <w:color w:val="231F20"/>
        </w:rPr>
        <w:t>société;</w:t>
      </w:r>
    </w:p>
    <w:p>
      <w:pPr>
        <w:pStyle w:val="BodyText"/>
        <w:spacing w:line="218" w:lineRule="auto" w:before="86"/>
        <w:ind w:right="38"/>
      </w:pPr>
      <w:r>
        <w:rPr>
          <w:color w:val="231F20"/>
        </w:rPr>
        <w:t>2° pour la décision de transformation transfrontalière d’une société où un ou plusieurs associés répondent de manière illimitée des dettes de la</w:t>
      </w:r>
      <w:r>
        <w:rPr>
          <w:color w:val="231F20"/>
          <w:spacing w:val="-12"/>
        </w:rPr>
        <w:t> </w:t>
      </w:r>
      <w:r>
        <w:rPr>
          <w:color w:val="231F20"/>
        </w:rPr>
        <w:t>société;</w:t>
      </w:r>
    </w:p>
    <w:p>
      <w:pPr>
        <w:pStyle w:val="BodyText"/>
        <w:spacing w:before="71"/>
        <w:ind w:left="283" w:right="0" w:firstLine="0"/>
        <w:jc w:val="left"/>
      </w:pPr>
      <w:r>
        <w:rPr>
          <w:color w:val="231F20"/>
        </w:rPr>
        <w:t>3° si la société n’existe pas depuis deux ans au moins;</w:t>
      </w:r>
    </w:p>
    <w:p>
      <w:pPr>
        <w:pStyle w:val="BodyText"/>
        <w:spacing w:line="218" w:lineRule="auto" w:before="82"/>
        <w:ind w:right="38"/>
      </w:pPr>
      <w:r>
        <w:rPr>
          <w:color w:val="231F20"/>
        </w:rPr>
        <w:t>4° si les statuts prévoient qu’elle ne pourra adopter une autre forme légale. Cette clause des statuts ne peut être modifiée qu’avec l’accord de tous les associés ou actionnaires.</w:t>
      </w:r>
    </w:p>
    <w:p>
      <w:pPr>
        <w:pStyle w:val="BodyText"/>
        <w:spacing w:line="218" w:lineRule="auto" w:before="86"/>
        <w:ind w:right="38"/>
      </w:pPr>
      <w:r>
        <w:rPr>
          <w:color w:val="231F20"/>
        </w:rPr>
        <w:t>Art. 14:25. La transformation transfrontalière est, à peine de nullité, constatée par un acte authentique dressé par le notaire désigné dans la proposition de transformation visée à l’article 14:18. L’acte authentique reproduit les conclusions du rapport établi par le commissaire ou par le réviseur d’entreprises ou l’expert-comptable externe. L’état résumant la situation active et passive y est joint.</w:t>
      </w:r>
    </w:p>
    <w:p>
      <w:pPr>
        <w:pStyle w:val="BodyText"/>
        <w:spacing w:line="218" w:lineRule="auto" w:before="86"/>
        <w:ind w:right="38"/>
      </w:pPr>
      <w:r>
        <w:rPr>
          <w:color w:val="231F20"/>
        </w:rPr>
        <w:t>Art. 14:26. À  la  demande  de  la  société,  le  notaire  </w:t>
      </w:r>
      <w:r>
        <w:rPr>
          <w:color w:val="231F20"/>
          <w:spacing w:val="3"/>
        </w:rPr>
        <w:t>visé  </w:t>
      </w:r>
      <w:r>
        <w:rPr>
          <w:color w:val="231F20"/>
        </w:rPr>
        <w:t>à  l’arti-  cle 14:25 délivre un certificat attestant l’accomplissement des actes et des formalités préalables à la décision de transformation transfronta- lière. Ce notaire ne délivre pas le certificat aussi longtemps que les créanciers ayant fait valoir leurs droits dans le délai de deux mois visé  à l’article 14:19 n’auront pas obtenu satisfaction, à moins qu’une décision</w:t>
      </w:r>
      <w:r>
        <w:rPr>
          <w:color w:val="231F20"/>
          <w:spacing w:val="13"/>
        </w:rPr>
        <w:t> </w:t>
      </w:r>
      <w:r>
        <w:rPr>
          <w:color w:val="231F20"/>
        </w:rPr>
        <w:t>judiciaire</w:t>
      </w:r>
      <w:r>
        <w:rPr>
          <w:color w:val="231F20"/>
          <w:spacing w:val="13"/>
        </w:rPr>
        <w:t> </w:t>
      </w:r>
      <w:r>
        <w:rPr>
          <w:color w:val="231F20"/>
        </w:rPr>
        <w:t>exécutoire</w:t>
      </w:r>
      <w:r>
        <w:rPr>
          <w:color w:val="231F20"/>
          <w:spacing w:val="14"/>
        </w:rPr>
        <w:t> </w:t>
      </w:r>
      <w:r>
        <w:rPr>
          <w:color w:val="231F20"/>
        </w:rPr>
        <w:t>n’ait</w:t>
      </w:r>
      <w:r>
        <w:rPr>
          <w:color w:val="231F20"/>
          <w:spacing w:val="13"/>
        </w:rPr>
        <w:t> </w:t>
      </w:r>
      <w:r>
        <w:rPr>
          <w:color w:val="231F20"/>
        </w:rPr>
        <w:t>rejeté</w:t>
      </w:r>
      <w:r>
        <w:rPr>
          <w:color w:val="231F20"/>
          <w:spacing w:val="14"/>
        </w:rPr>
        <w:t> </w:t>
      </w:r>
      <w:r>
        <w:rPr>
          <w:color w:val="231F20"/>
        </w:rPr>
        <w:t>leurs</w:t>
      </w:r>
      <w:r>
        <w:rPr>
          <w:color w:val="231F20"/>
          <w:spacing w:val="13"/>
        </w:rPr>
        <w:t> </w:t>
      </w:r>
      <w:r>
        <w:rPr>
          <w:color w:val="231F20"/>
        </w:rPr>
        <w:t>prétentions.</w:t>
      </w:r>
    </w:p>
    <w:p>
      <w:pPr>
        <w:pStyle w:val="BodyText"/>
        <w:ind w:left="0" w:right="0" w:firstLine="0"/>
        <w:jc w:val="left"/>
        <w:rPr>
          <w:sz w:val="23"/>
        </w:rPr>
      </w:pPr>
    </w:p>
    <w:p>
      <w:pPr>
        <w:pStyle w:val="BodyText"/>
        <w:spacing w:line="218" w:lineRule="auto"/>
        <w:ind w:right="38"/>
      </w:pPr>
      <w:r>
        <w:rPr>
          <w:color w:val="231F20"/>
        </w:rPr>
        <w:t>Art. 14:27. La société peut seulement être radiée du registre belge des personnes morales si elle peut apporter la preuve de son immatricula- tion au registre pertinent du pays dans lequel elle transfère son siège et sur présentation du certificat délivré par le notaire conformément à l’article 14:26. Le registre belge des personnes morales mentionne l’immatriculation de la société dans le registre étranger.</w:t>
      </w:r>
    </w:p>
    <w:p>
      <w:pPr>
        <w:pStyle w:val="BodyText"/>
        <w:ind w:left="0" w:right="0" w:firstLine="0"/>
        <w:jc w:val="left"/>
        <w:rPr>
          <w:sz w:val="23"/>
        </w:rPr>
      </w:pPr>
    </w:p>
    <w:p>
      <w:pPr>
        <w:pStyle w:val="BodyText"/>
        <w:spacing w:line="218" w:lineRule="auto" w:before="1"/>
        <w:ind w:right="38"/>
      </w:pPr>
      <w:r>
        <w:rPr>
          <w:color w:val="231F20"/>
        </w:rPr>
        <w:t>La transformation transfrontalière et la modification des statuts qui en résulte prennent seulement effet à dater de la radiation de l’immatriculation dans le registre belge des personnes morales.</w:t>
      </w:r>
    </w:p>
    <w:p>
      <w:pPr>
        <w:pStyle w:val="BodyText"/>
        <w:spacing w:before="71"/>
        <w:ind w:left="283" w:right="0" w:firstLine="0"/>
        <w:jc w:val="left"/>
      </w:pPr>
      <w:r>
        <w:rPr>
          <w:color w:val="231F20"/>
        </w:rPr>
        <w:t>Cette radiation est publiée conformément à l’article 2:14, 4°.</w:t>
      </w:r>
    </w:p>
    <w:p>
      <w:pPr>
        <w:pStyle w:val="BodyText"/>
        <w:spacing w:before="5"/>
        <w:ind w:left="0" w:right="0" w:firstLine="0"/>
        <w:jc w:val="left"/>
        <w:rPr>
          <w:sz w:val="21"/>
        </w:rPr>
      </w:pPr>
    </w:p>
    <w:p>
      <w:pPr>
        <w:pStyle w:val="BodyText"/>
        <w:ind w:left="283" w:right="0" w:firstLine="0"/>
        <w:jc w:val="left"/>
      </w:pPr>
      <w:r>
        <w:rPr>
          <w:color w:val="231F20"/>
        </w:rPr>
        <w:t>Section 3. Immigration.</w:t>
      </w:r>
    </w:p>
    <w:p>
      <w:pPr>
        <w:pStyle w:val="BodyText"/>
        <w:spacing w:line="218" w:lineRule="auto" w:before="82"/>
        <w:ind w:right="38"/>
      </w:pPr>
      <w:r>
        <w:rPr>
          <w:color w:val="231F20"/>
        </w:rPr>
        <w:t>Art. 14:28. La transformation transfrontalière d’une société étrangère en une société régie par le présent code est constatée dans un acte authentique, sur présentation par la société qui se transforme de pièces attestant que celle-ci a respecté les prescriptions étrangères applicables en la matière.</w:t>
      </w:r>
    </w:p>
    <w:p>
      <w:pPr>
        <w:pStyle w:val="BodyText"/>
        <w:spacing w:line="218" w:lineRule="auto" w:before="86"/>
        <w:ind w:right="38"/>
      </w:pPr>
      <w:r>
        <w:rPr>
          <w:color w:val="231F20"/>
          <w:spacing w:val="-3"/>
        </w:rPr>
        <w:t>L’acte </w:t>
      </w:r>
      <w:r>
        <w:rPr>
          <w:color w:val="231F20"/>
        </w:rPr>
        <w:t>de transformation transfrontalière et les statuts sont déposés</w:t>
      </w:r>
      <w:r>
        <w:rPr>
          <w:color w:val="231F20"/>
          <w:spacing w:val="-16"/>
        </w:rPr>
        <w:t> </w:t>
      </w:r>
      <w:r>
        <w:rPr>
          <w:color w:val="231F20"/>
        </w:rPr>
        <w:t>et publiés simultanément conformément aux articles 2:8 et 2:14, 1°. </w:t>
      </w:r>
      <w:r>
        <w:rPr>
          <w:color w:val="231F20"/>
          <w:spacing w:val="-3"/>
        </w:rPr>
        <w:t>L’acte </w:t>
      </w:r>
      <w:r>
        <w:rPr>
          <w:color w:val="231F20"/>
        </w:rPr>
        <w:t>de</w:t>
      </w:r>
      <w:r>
        <w:rPr>
          <w:color w:val="231F20"/>
          <w:spacing w:val="-8"/>
        </w:rPr>
        <w:t> </w:t>
      </w:r>
      <w:r>
        <w:rPr>
          <w:color w:val="231F20"/>
        </w:rPr>
        <w:t>transformation</w:t>
      </w:r>
      <w:r>
        <w:rPr>
          <w:color w:val="231F20"/>
          <w:spacing w:val="-7"/>
        </w:rPr>
        <w:t> </w:t>
      </w:r>
      <w:r>
        <w:rPr>
          <w:color w:val="231F20"/>
        </w:rPr>
        <w:t>transfrontalière</w:t>
      </w:r>
      <w:r>
        <w:rPr>
          <w:color w:val="231F20"/>
          <w:spacing w:val="-7"/>
        </w:rPr>
        <w:t> </w:t>
      </w:r>
      <w:r>
        <w:rPr>
          <w:color w:val="231F20"/>
        </w:rPr>
        <w:t>est</w:t>
      </w:r>
      <w:r>
        <w:rPr>
          <w:color w:val="231F20"/>
          <w:spacing w:val="-7"/>
        </w:rPr>
        <w:t> </w:t>
      </w:r>
      <w:r>
        <w:rPr>
          <w:color w:val="231F20"/>
        </w:rPr>
        <w:t>publié</w:t>
      </w:r>
      <w:r>
        <w:rPr>
          <w:color w:val="231F20"/>
          <w:spacing w:val="-8"/>
        </w:rPr>
        <w:t> </w:t>
      </w:r>
      <w:r>
        <w:rPr>
          <w:color w:val="231F20"/>
        </w:rPr>
        <w:t>en</w:t>
      </w:r>
      <w:r>
        <w:rPr>
          <w:color w:val="231F20"/>
          <w:spacing w:val="-7"/>
        </w:rPr>
        <w:t> </w:t>
      </w:r>
      <w:r>
        <w:rPr>
          <w:color w:val="231F20"/>
        </w:rPr>
        <w:t>entier;</w:t>
      </w:r>
      <w:r>
        <w:rPr>
          <w:color w:val="231F20"/>
          <w:spacing w:val="-7"/>
        </w:rPr>
        <w:t> </w:t>
      </w:r>
      <w:r>
        <w:rPr>
          <w:color w:val="231F20"/>
        </w:rPr>
        <w:t>les</w:t>
      </w:r>
      <w:r>
        <w:rPr>
          <w:color w:val="231F20"/>
          <w:spacing w:val="-7"/>
        </w:rPr>
        <w:t> </w:t>
      </w:r>
      <w:r>
        <w:rPr>
          <w:color w:val="231F20"/>
        </w:rPr>
        <w:t>statuts</w:t>
      </w:r>
      <w:r>
        <w:rPr>
          <w:color w:val="231F20"/>
          <w:spacing w:val="-8"/>
        </w:rPr>
        <w:t> </w:t>
      </w:r>
      <w:r>
        <w:rPr>
          <w:color w:val="231F20"/>
        </w:rPr>
        <w:t>le</w:t>
      </w:r>
      <w:r>
        <w:rPr>
          <w:color w:val="231F20"/>
          <w:spacing w:val="-7"/>
        </w:rPr>
        <w:t> </w:t>
      </w:r>
      <w:r>
        <w:rPr>
          <w:color w:val="231F20"/>
        </w:rPr>
        <w:t>sont par</w:t>
      </w:r>
      <w:r>
        <w:rPr>
          <w:color w:val="231F20"/>
          <w:spacing w:val="14"/>
        </w:rPr>
        <w:t> </w:t>
      </w:r>
      <w:r>
        <w:rPr>
          <w:color w:val="231F20"/>
        </w:rPr>
        <w:t>extrait.</w:t>
      </w:r>
    </w:p>
    <w:p>
      <w:pPr>
        <w:pStyle w:val="BodyText"/>
        <w:ind w:left="0" w:right="0" w:firstLine="0"/>
        <w:jc w:val="left"/>
        <w:rPr>
          <w:sz w:val="23"/>
        </w:rPr>
      </w:pPr>
    </w:p>
    <w:p>
      <w:pPr>
        <w:pStyle w:val="BodyText"/>
        <w:spacing w:line="218" w:lineRule="auto"/>
        <w:ind w:right="38"/>
      </w:pPr>
      <w:r>
        <w:rPr>
          <w:color w:val="231F20"/>
        </w:rPr>
        <w:t>Art. 14:29. La transformation transfrontalière et la modification statutaire qui en résulte prennent </w:t>
      </w:r>
      <w:r>
        <w:rPr>
          <w:color w:val="231F20"/>
          <w:spacing w:val="-3"/>
        </w:rPr>
        <w:t>effet </w:t>
      </w:r>
      <w:r>
        <w:rPr>
          <w:color w:val="231F20"/>
        </w:rPr>
        <w:t>à dater de l’immatriculation de la</w:t>
      </w:r>
      <w:r>
        <w:rPr>
          <w:color w:val="231F20"/>
          <w:spacing w:val="14"/>
        </w:rPr>
        <w:t> </w:t>
      </w:r>
      <w:r>
        <w:rPr>
          <w:color w:val="231F20"/>
        </w:rPr>
        <w:t>société</w:t>
      </w:r>
      <w:r>
        <w:rPr>
          <w:color w:val="231F20"/>
          <w:spacing w:val="15"/>
        </w:rPr>
        <w:t> </w:t>
      </w:r>
      <w:r>
        <w:rPr>
          <w:color w:val="231F20"/>
        </w:rPr>
        <w:t>dans</w:t>
      </w:r>
      <w:r>
        <w:rPr>
          <w:color w:val="231F20"/>
          <w:spacing w:val="15"/>
        </w:rPr>
        <w:t> </w:t>
      </w:r>
      <w:r>
        <w:rPr>
          <w:color w:val="231F20"/>
        </w:rPr>
        <w:t>le</w:t>
      </w:r>
      <w:r>
        <w:rPr>
          <w:color w:val="231F20"/>
          <w:spacing w:val="15"/>
        </w:rPr>
        <w:t> </w:t>
      </w:r>
      <w:r>
        <w:rPr>
          <w:color w:val="231F20"/>
        </w:rPr>
        <w:t>registre</w:t>
      </w:r>
      <w:r>
        <w:rPr>
          <w:color w:val="231F20"/>
          <w:spacing w:val="15"/>
        </w:rPr>
        <w:t> </w:t>
      </w:r>
      <w:r>
        <w:rPr>
          <w:color w:val="231F20"/>
        </w:rPr>
        <w:t>des</w:t>
      </w:r>
      <w:r>
        <w:rPr>
          <w:color w:val="231F20"/>
          <w:spacing w:val="15"/>
        </w:rPr>
        <w:t> </w:t>
      </w:r>
      <w:r>
        <w:rPr>
          <w:color w:val="231F20"/>
        </w:rPr>
        <w:t>personnes</w:t>
      </w:r>
      <w:r>
        <w:rPr>
          <w:color w:val="231F20"/>
          <w:spacing w:val="14"/>
        </w:rPr>
        <w:t> </w:t>
      </w:r>
      <w:r>
        <w:rPr>
          <w:color w:val="231F20"/>
        </w:rPr>
        <w:t>morales</w:t>
      </w:r>
      <w:r>
        <w:rPr>
          <w:color w:val="231F20"/>
          <w:spacing w:val="15"/>
        </w:rPr>
        <w:t> </w:t>
      </w:r>
      <w:r>
        <w:rPr>
          <w:color w:val="231F20"/>
        </w:rPr>
        <w:t>belge.</w:t>
      </w:r>
    </w:p>
    <w:p>
      <w:pPr>
        <w:pStyle w:val="BodyText"/>
        <w:spacing w:line="218" w:lineRule="auto" w:before="86"/>
        <w:ind w:right="38"/>
      </w:pPr>
      <w:r>
        <w:rPr>
          <w:color w:val="231F20"/>
        </w:rPr>
        <w:t>Art. 14:30. La société qui se transforme dépose à la Banque nationale de Belgique, par le biais de son organe d’administration, un état résumant sa situation active et passive qui reflète sa situation patrimo- niale au moment de la transformation.</w:t>
      </w:r>
    </w:p>
    <w:p>
      <w:pPr>
        <w:pStyle w:val="BodyText"/>
        <w:spacing w:line="218" w:lineRule="auto" w:before="85"/>
        <w:ind w:right="38"/>
      </w:pPr>
      <w:r>
        <w:rPr>
          <w:color w:val="231F20"/>
        </w:rPr>
        <w:t>Ce dépôt a lieu dans les trente jours qui suivent la réception de l’acte authentique de transformation.</w:t>
      </w:r>
    </w:p>
    <w:p>
      <w:pPr>
        <w:pStyle w:val="BodyText"/>
        <w:spacing w:line="218" w:lineRule="auto" w:before="86"/>
        <w:ind w:right="38"/>
      </w:pPr>
      <w:r>
        <w:rPr>
          <w:color w:val="231F20"/>
        </w:rPr>
        <w:t>Si l’état résumant la situation active et passive n’a pas été déposé conformément aux dispositions de l’alinéa 2, le dommage subi par les tiers est, sauf preuve contraire, présumé résulter de cette omission.</w:t>
      </w:r>
    </w:p>
    <w:p>
      <w:pPr>
        <w:pStyle w:val="BodyText"/>
        <w:spacing w:line="218" w:lineRule="auto" w:before="96"/>
        <w:ind w:right="38"/>
      </w:pPr>
      <w:r>
        <w:rPr>
          <w:color w:val="231F20"/>
        </w:rPr>
        <w:t>Le Roi peut déterminer le modèle de l’état résumant la situation active et passive.</w:t>
      </w:r>
    </w:p>
    <w:p>
      <w:pPr>
        <w:pStyle w:val="BodyText"/>
        <w:spacing w:before="82"/>
        <w:ind w:left="284" w:right="0" w:firstLine="0"/>
        <w:jc w:val="left"/>
      </w:pPr>
      <w:r>
        <w:rPr>
          <w:color w:val="231F20"/>
        </w:rPr>
        <w:t>TITRE 2. Transformation d’une société en ASBL ou en AISBL.</w:t>
      </w:r>
    </w:p>
    <w:p>
      <w:pPr>
        <w:pStyle w:val="BodyText"/>
        <w:spacing w:line="218" w:lineRule="auto" w:before="93"/>
        <w:ind w:right="38"/>
      </w:pPr>
      <w:r>
        <w:rPr>
          <w:color w:val="231F20"/>
        </w:rPr>
        <w:t>Art. 14:31. Une société dotée de la personnalité juridique peut se transformer en ASBL ou AISBL.</w:t>
      </w:r>
    </w:p>
    <w:p>
      <w:pPr>
        <w:pStyle w:val="BodyText"/>
        <w:spacing w:line="218" w:lineRule="auto" w:before="119"/>
        <w:ind w:firstLine="0"/>
      </w:pPr>
      <w:r>
        <w:rPr/>
        <w:br w:type="column"/>
      </w:r>
      <w:r>
        <w:rPr>
          <w:color w:val="231F20"/>
        </w:rPr>
        <w:t>uitgebracht door de aandelen. Worden de aan de beperking onderwor- pen stemmen in verschillende zin uitgebracht, dan wordt de vermin- dering evenredig toegepast; gedeelten van stemmen worden verwaar- loosd.</w:t>
      </w:r>
    </w:p>
    <w:p>
      <w:pPr>
        <w:pStyle w:val="BodyText"/>
        <w:spacing w:line="218" w:lineRule="auto" w:before="86"/>
      </w:pPr>
      <w:r>
        <w:rPr>
          <w:color w:val="231F20"/>
        </w:rPr>
        <w:t>§ 3. Indien het in paragraaf 1 bedoelde aanwezigheidsquorum niet wordt behaald, kan een tweede vergadering worden</w:t>
      </w:r>
      <w:r>
        <w:rPr>
          <w:color w:val="231F20"/>
          <w:spacing w:val="23"/>
        </w:rPr>
        <w:t> </w:t>
      </w:r>
      <w:r>
        <w:rPr>
          <w:color w:val="231F20"/>
        </w:rPr>
        <w:t>bijeengeroepen, die geldig kan beraadslagen en besluiten over de grensoverschrijdende omzetting met de meerderheden bedoeld in dit artikel, ongeacht het aantal</w:t>
      </w:r>
      <w:r>
        <w:rPr>
          <w:color w:val="231F20"/>
          <w:spacing w:val="29"/>
        </w:rPr>
        <w:t> </w:t>
      </w:r>
      <w:r>
        <w:rPr>
          <w:color w:val="231F20"/>
        </w:rPr>
        <w:t>aanwezige</w:t>
      </w:r>
      <w:r>
        <w:rPr>
          <w:color w:val="231F20"/>
          <w:spacing w:val="30"/>
        </w:rPr>
        <w:t> </w:t>
      </w:r>
      <w:r>
        <w:rPr>
          <w:color w:val="231F20"/>
        </w:rPr>
        <w:t>of</w:t>
      </w:r>
      <w:r>
        <w:rPr>
          <w:color w:val="231F20"/>
          <w:spacing w:val="29"/>
        </w:rPr>
        <w:t> </w:t>
      </w:r>
      <w:r>
        <w:rPr>
          <w:color w:val="231F20"/>
        </w:rPr>
        <w:t>vertegenwoordigde</w:t>
      </w:r>
      <w:r>
        <w:rPr>
          <w:color w:val="231F20"/>
          <w:spacing w:val="30"/>
        </w:rPr>
        <w:t> </w:t>
      </w:r>
      <w:r>
        <w:rPr>
          <w:color w:val="231F20"/>
        </w:rPr>
        <w:t>vennoten</w:t>
      </w:r>
      <w:r>
        <w:rPr>
          <w:color w:val="231F20"/>
          <w:spacing w:val="29"/>
        </w:rPr>
        <w:t> </w:t>
      </w:r>
      <w:r>
        <w:rPr>
          <w:color w:val="231F20"/>
        </w:rPr>
        <w:t>of</w:t>
      </w:r>
      <w:r>
        <w:rPr>
          <w:color w:val="231F20"/>
          <w:spacing w:val="30"/>
        </w:rPr>
        <w:t> </w:t>
      </w:r>
      <w:r>
        <w:rPr>
          <w:color w:val="231F20"/>
        </w:rPr>
        <w:t>aandeelhouders.</w:t>
      </w:r>
    </w:p>
    <w:p>
      <w:pPr>
        <w:pStyle w:val="BodyText"/>
        <w:spacing w:line="218" w:lineRule="auto" w:before="86"/>
      </w:pPr>
      <w:r>
        <w:rPr>
          <w:color w:val="231F20"/>
        </w:rPr>
        <w:t>§ 4. In afwijking van paragrafen 1 tot 3 is de instemming van alle vennoten of aandeelhouders vereist:</w:t>
      </w:r>
    </w:p>
    <w:p>
      <w:pPr>
        <w:pStyle w:val="BodyText"/>
        <w:spacing w:line="218" w:lineRule="auto" w:before="85"/>
      </w:pPr>
      <w:r>
        <w:rPr>
          <w:color w:val="231F20"/>
        </w:rPr>
        <w:t>1° voor het besluit tot grensoverschrijdende omzetting in</w:t>
      </w:r>
      <w:r>
        <w:rPr>
          <w:color w:val="231F20"/>
          <w:spacing w:val="29"/>
        </w:rPr>
        <w:t> </w:t>
      </w:r>
      <w:r>
        <w:rPr>
          <w:color w:val="231F20"/>
        </w:rPr>
        <w:t>een vennootschap waarin één of meerdere vennoten onbeperkt aansprake- lijk</w:t>
      </w:r>
      <w:r>
        <w:rPr>
          <w:color w:val="231F20"/>
          <w:spacing w:val="16"/>
        </w:rPr>
        <w:t> </w:t>
      </w:r>
      <w:r>
        <w:rPr>
          <w:color w:val="231F20"/>
        </w:rPr>
        <w:t>zijn</w:t>
      </w:r>
      <w:r>
        <w:rPr>
          <w:color w:val="231F20"/>
          <w:spacing w:val="16"/>
        </w:rPr>
        <w:t> </w:t>
      </w:r>
      <w:r>
        <w:rPr>
          <w:color w:val="231F20"/>
        </w:rPr>
        <w:t>voor</w:t>
      </w:r>
      <w:r>
        <w:rPr>
          <w:color w:val="231F20"/>
          <w:spacing w:val="16"/>
        </w:rPr>
        <w:t> </w:t>
      </w:r>
      <w:r>
        <w:rPr>
          <w:color w:val="231F20"/>
        </w:rPr>
        <w:t>de</w:t>
      </w:r>
      <w:r>
        <w:rPr>
          <w:color w:val="231F20"/>
          <w:spacing w:val="16"/>
        </w:rPr>
        <w:t> </w:t>
      </w:r>
      <w:r>
        <w:rPr>
          <w:color w:val="231F20"/>
        </w:rPr>
        <w:t>schulden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vennootschap;</w:t>
      </w:r>
    </w:p>
    <w:p>
      <w:pPr>
        <w:pStyle w:val="BodyText"/>
        <w:spacing w:line="218" w:lineRule="auto" w:before="86"/>
      </w:pPr>
      <w:r>
        <w:rPr>
          <w:color w:val="231F20"/>
        </w:rPr>
        <w:t>2° voor het besluit tot grensoverschrijdende omzetting van een vennootschap waarin één of meerdere vennoten onbeperkt aansprake- lijk</w:t>
      </w:r>
      <w:r>
        <w:rPr>
          <w:color w:val="231F20"/>
          <w:spacing w:val="16"/>
        </w:rPr>
        <w:t> </w:t>
      </w:r>
      <w:r>
        <w:rPr>
          <w:color w:val="231F20"/>
        </w:rPr>
        <w:t>zijn</w:t>
      </w:r>
      <w:r>
        <w:rPr>
          <w:color w:val="231F20"/>
          <w:spacing w:val="16"/>
        </w:rPr>
        <w:t> </w:t>
      </w:r>
      <w:r>
        <w:rPr>
          <w:color w:val="231F20"/>
        </w:rPr>
        <w:t>voor</w:t>
      </w:r>
      <w:r>
        <w:rPr>
          <w:color w:val="231F20"/>
          <w:spacing w:val="16"/>
        </w:rPr>
        <w:t> </w:t>
      </w:r>
      <w:r>
        <w:rPr>
          <w:color w:val="231F20"/>
        </w:rPr>
        <w:t>de</w:t>
      </w:r>
      <w:r>
        <w:rPr>
          <w:color w:val="231F20"/>
          <w:spacing w:val="16"/>
        </w:rPr>
        <w:t> </w:t>
      </w:r>
      <w:r>
        <w:rPr>
          <w:color w:val="231F20"/>
        </w:rPr>
        <w:t>schulden</w:t>
      </w:r>
      <w:r>
        <w:rPr>
          <w:color w:val="231F20"/>
          <w:spacing w:val="16"/>
        </w:rPr>
        <w:t> </w:t>
      </w:r>
      <w:r>
        <w:rPr>
          <w:color w:val="231F20"/>
        </w:rPr>
        <w:t>van</w:t>
      </w:r>
      <w:r>
        <w:rPr>
          <w:color w:val="231F20"/>
          <w:spacing w:val="16"/>
        </w:rPr>
        <w:t> </w:t>
      </w:r>
      <w:r>
        <w:rPr>
          <w:color w:val="231F20"/>
        </w:rPr>
        <w:t>de</w:t>
      </w:r>
      <w:r>
        <w:rPr>
          <w:color w:val="231F20"/>
          <w:spacing w:val="16"/>
        </w:rPr>
        <w:t> </w:t>
      </w:r>
      <w:r>
        <w:rPr>
          <w:color w:val="231F20"/>
        </w:rPr>
        <w:t>vennootschap;</w:t>
      </w:r>
    </w:p>
    <w:p>
      <w:pPr>
        <w:pStyle w:val="BodyText"/>
        <w:spacing w:before="71"/>
        <w:ind w:left="283" w:right="0" w:firstLine="0"/>
        <w:jc w:val="left"/>
      </w:pPr>
      <w:r>
        <w:rPr>
          <w:color w:val="231F20"/>
        </w:rPr>
        <w:t>3° indien de vennootschap niet ten minste twee jaar bestaat;</w:t>
      </w:r>
    </w:p>
    <w:p>
      <w:pPr>
        <w:pStyle w:val="BodyText"/>
        <w:spacing w:line="216" w:lineRule="auto" w:before="84"/>
        <w:rPr>
          <w:rFonts w:ascii="Times New Roman" w:hAnsi="Times New Roman"/>
          <w:b/>
          <w:i/>
        </w:rPr>
      </w:pPr>
      <w:r>
        <w:rPr>
          <w:color w:val="231F20"/>
        </w:rPr>
        <w:t>4° indien in de statuten is bepaald dat zij geen andere rechtsvorm mag aannemen. Deze bepaling van de statuten kan slechts met instemming van alle vennoten of aandeelhouders worden gewijzigd</w:t>
      </w:r>
      <w:r>
        <w:rPr>
          <w:rFonts w:ascii="Times New Roman" w:hAnsi="Times New Roman"/>
          <w:b/>
          <w:i/>
          <w:color w:val="231F20"/>
        </w:rPr>
        <w:t>.</w:t>
      </w:r>
    </w:p>
    <w:p>
      <w:pPr>
        <w:pStyle w:val="BodyText"/>
        <w:spacing w:line="218" w:lineRule="auto" w:before="87"/>
      </w:pPr>
      <w:r>
        <w:rPr>
          <w:color w:val="231F20"/>
        </w:rPr>
        <w:t>Art. 14:25. De grensoverschrijdende omzetting wordt, op straffe van nietigheid, bij authentieke akte vastgesteld door de notaris aangeduid in het in artikel 14:18 bedoelde omzettingsvoorstel. In de authentieke akte wordt de conclusie van het verslag van de commissaris of van de bedrijfsrevisor of externe accountant overgenomen. De staat van actief en passief wordt er</w:t>
      </w:r>
      <w:r>
        <w:rPr>
          <w:color w:val="231F20"/>
          <w:spacing w:val="19"/>
        </w:rPr>
        <w:t> </w:t>
      </w:r>
      <w:r>
        <w:rPr>
          <w:color w:val="231F20"/>
        </w:rPr>
        <w:t>aangehecht.</w:t>
      </w:r>
    </w:p>
    <w:p>
      <w:pPr>
        <w:pStyle w:val="BodyText"/>
        <w:spacing w:line="218" w:lineRule="auto" w:before="86"/>
      </w:pPr>
      <w:r>
        <w:rPr>
          <w:color w:val="231F20"/>
        </w:rPr>
        <w:t>Art. 14:26. De in artikel 14:25 bedoelde notaris geeft op vraag van de vennootschap een attest af waaruit blijkt dat de aan het besluit tot grensoverschrijdende omzetting voorafgaande handelingen en forma- liteiten zijn vervuld. Deze notaris levert het attest niet af zolang de schuldeisers die binnen de artikel 14:19 bedoelde termijn van twee maanden hun rechten hebben doen gelden, geen voldoening hebben gekregen, tenzij hun aanspraken om zekerheid te verkrijgen bij een uitvoerbare rechterlijke beslissing zijn afgewezen.</w:t>
      </w:r>
    </w:p>
    <w:p>
      <w:pPr>
        <w:pStyle w:val="BodyText"/>
        <w:spacing w:line="218" w:lineRule="auto" w:before="86"/>
      </w:pPr>
      <w:r>
        <w:rPr>
          <w:color w:val="231F20"/>
        </w:rPr>
        <w:t>Art. 14:27. De vennootschap kan pas worden uitgeschreven uit het Belgische rechtspersonenregister bij voorlegging van het bewijs van inschrijving in het relevante register van het land waarheen de vennootschap haar zetel verplaatst en van het attest van de</w:t>
      </w:r>
      <w:r>
        <w:rPr>
          <w:color w:val="231F20"/>
          <w:spacing w:val="27"/>
        </w:rPr>
        <w:t> </w:t>
      </w:r>
      <w:r>
        <w:rPr>
          <w:color w:val="231F20"/>
        </w:rPr>
        <w:t>notaris zoals bedoeld in artikel 14:26. Het Belgische rechtspersonenregister vermeldt de inschrijving van de vennootschap in het buitenlandse register.</w:t>
      </w:r>
    </w:p>
    <w:p>
      <w:pPr>
        <w:pStyle w:val="BodyText"/>
        <w:spacing w:line="218" w:lineRule="auto" w:before="86"/>
      </w:pPr>
      <w:r>
        <w:rPr>
          <w:color w:val="231F20"/>
        </w:rPr>
        <w:t>De grensoverschrijdende omzetting en de daarmee gepaard gaande statutenwijziging worden pas van kracht vanaf de doorhaling van de inschrijving in het Belgische rechtspersonenregister.</w:t>
      </w:r>
    </w:p>
    <w:p>
      <w:pPr>
        <w:pStyle w:val="BodyText"/>
        <w:spacing w:line="218" w:lineRule="auto" w:before="85"/>
      </w:pPr>
      <w:r>
        <w:rPr>
          <w:color w:val="231F20"/>
        </w:rPr>
        <w:t>Deze doorhaling wordt overeenkomstig artikel 2:14, 4°, bekendge- maakt.</w:t>
      </w:r>
    </w:p>
    <w:p>
      <w:pPr>
        <w:pStyle w:val="BodyText"/>
        <w:spacing w:before="72"/>
        <w:ind w:left="283" w:right="0" w:firstLine="0"/>
        <w:jc w:val="left"/>
      </w:pPr>
      <w:r>
        <w:rPr>
          <w:color w:val="231F20"/>
        </w:rPr>
        <w:t>Afdeling 3. Immigratie.</w:t>
      </w:r>
    </w:p>
    <w:p>
      <w:pPr>
        <w:pStyle w:val="BodyText"/>
        <w:spacing w:line="218" w:lineRule="auto" w:before="82"/>
      </w:pPr>
      <w:r>
        <w:rPr>
          <w:color w:val="231F20"/>
        </w:rPr>
        <w:t>Art. 14:28. De grensoverschrijdende omzetting van een buitenlandse vennootschap naar een vennootschap geregeld door dit wetboek, wordt in een authentieke akte vastgesteld, op voorlegging van stukken door  de zich omzettende vennootschap waaruit blijkt dat deze de desbetref- fende</w:t>
      </w:r>
      <w:r>
        <w:rPr>
          <w:color w:val="231F20"/>
          <w:spacing w:val="16"/>
        </w:rPr>
        <w:t> </w:t>
      </w:r>
      <w:r>
        <w:rPr>
          <w:color w:val="231F20"/>
        </w:rPr>
        <w:t>toepasselijke</w:t>
      </w:r>
      <w:r>
        <w:rPr>
          <w:color w:val="231F20"/>
          <w:spacing w:val="16"/>
        </w:rPr>
        <w:t> </w:t>
      </w:r>
      <w:r>
        <w:rPr>
          <w:color w:val="231F20"/>
        </w:rPr>
        <w:t>buitenlandse</w:t>
      </w:r>
      <w:r>
        <w:rPr>
          <w:color w:val="231F20"/>
          <w:spacing w:val="16"/>
        </w:rPr>
        <w:t> </w:t>
      </w:r>
      <w:r>
        <w:rPr>
          <w:color w:val="231F20"/>
        </w:rPr>
        <w:t>voorschriften</w:t>
      </w:r>
      <w:r>
        <w:rPr>
          <w:color w:val="231F20"/>
          <w:spacing w:val="16"/>
        </w:rPr>
        <w:t> </w:t>
      </w:r>
      <w:r>
        <w:rPr>
          <w:color w:val="231F20"/>
        </w:rPr>
        <w:t>heeft</w:t>
      </w:r>
      <w:r>
        <w:rPr>
          <w:color w:val="231F20"/>
          <w:spacing w:val="16"/>
        </w:rPr>
        <w:t> </w:t>
      </w:r>
      <w:r>
        <w:rPr>
          <w:color w:val="231F20"/>
        </w:rPr>
        <w:t>nageleefd.</w:t>
      </w:r>
    </w:p>
    <w:p>
      <w:pPr>
        <w:pStyle w:val="BodyText"/>
        <w:spacing w:line="218" w:lineRule="auto" w:before="85"/>
      </w:pPr>
      <w:r>
        <w:rPr>
          <w:color w:val="231F20"/>
        </w:rPr>
        <w:t>De akte van grensoverschrijdende omzetting en de statuten worden gelijktijdig neergelegd en bekendgemaakt overeenkomstig de artike- len 2:8 en 2:14, 1°. De akte van grensoverschrijdende omzetting wordt bekendgemaakt in haar geheel; de statuten worden bij uittreksel bekendgemaakt.</w:t>
      </w:r>
    </w:p>
    <w:p>
      <w:pPr>
        <w:pStyle w:val="BodyText"/>
        <w:spacing w:line="218" w:lineRule="auto" w:before="86"/>
      </w:pPr>
      <w:r>
        <w:rPr>
          <w:color w:val="231F20"/>
        </w:rPr>
        <w:t>Art. 14:29. De grensoverschrijdende omzetting en de daarmee gepaard gaande statutenwijziging worden van kracht vanaf de inschrij- ving van de vennootschap in het Belgisch rechtspersonenregister.</w:t>
      </w:r>
    </w:p>
    <w:p>
      <w:pPr>
        <w:pStyle w:val="BodyText"/>
        <w:spacing w:line="218" w:lineRule="auto" w:before="86"/>
      </w:pPr>
      <w:r>
        <w:rPr>
          <w:color w:val="231F20"/>
        </w:rPr>
        <w:t>Art. 14:30. De zich omzettende vennootschap legt door toedoen van haar bestuursorgaan een staat van activa en passiva neer bij de Nationale Bank van België die haar vermogenstoestand weergeeft op het ogenblik van de</w:t>
      </w:r>
      <w:r>
        <w:rPr>
          <w:color w:val="231F20"/>
          <w:spacing w:val="21"/>
        </w:rPr>
        <w:t> </w:t>
      </w:r>
      <w:r>
        <w:rPr>
          <w:color w:val="231F20"/>
        </w:rPr>
        <w:t>omzetting.</w:t>
      </w:r>
    </w:p>
    <w:p>
      <w:pPr>
        <w:pStyle w:val="BodyText"/>
        <w:spacing w:line="218" w:lineRule="auto" w:before="85"/>
      </w:pPr>
      <w:r>
        <w:rPr>
          <w:color w:val="231F20"/>
        </w:rPr>
        <w:t>Deze neerlegging gebeurt binnen dertig dagen nadat de authentieke omzettingsakte is verleden.</w:t>
      </w:r>
    </w:p>
    <w:p>
      <w:pPr>
        <w:pStyle w:val="BodyText"/>
        <w:spacing w:line="218" w:lineRule="auto" w:before="86"/>
      </w:pPr>
      <w:r>
        <w:rPr>
          <w:color w:val="231F20"/>
        </w:rPr>
        <w:t>Indien de staat van actief en passief niet werd neergelegd zoals bepaald in het tweede lid, wordt de door derden geleden schade, behoudens tegenbewijs, geacht voort te vloeien uit dit verzuim.</w:t>
      </w:r>
    </w:p>
    <w:p>
      <w:pPr>
        <w:pStyle w:val="BodyText"/>
        <w:spacing w:line="218" w:lineRule="auto" w:before="96"/>
      </w:pPr>
      <w:r>
        <w:rPr>
          <w:color w:val="231F20"/>
        </w:rPr>
        <w:t>De Koning kan het model van de staat van activa en passiva vaststellen.</w:t>
      </w:r>
    </w:p>
    <w:p>
      <w:pPr>
        <w:pStyle w:val="BodyText"/>
        <w:spacing w:before="82"/>
        <w:ind w:left="283" w:right="0" w:firstLine="0"/>
        <w:jc w:val="left"/>
      </w:pPr>
      <w:r>
        <w:rPr>
          <w:color w:val="231F20"/>
        </w:rPr>
        <w:t>TITEL 2. Omzetting van een vennootschap in een VZW of IVZW.</w:t>
      </w:r>
    </w:p>
    <w:p>
      <w:pPr>
        <w:pStyle w:val="BodyText"/>
        <w:spacing w:line="218" w:lineRule="auto" w:before="92"/>
      </w:pPr>
      <w:r>
        <w:rPr>
          <w:color w:val="231F20"/>
        </w:rPr>
        <w:t>Art. 14:31. Een vennootschap met rechtspersoonlijkheid kan worden omgezet in een VZW of een IVZW.</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20"/>
        <w:ind w:right="38"/>
      </w:pPr>
      <w:r>
        <w:rPr/>
        <w:pict>
          <v:line style="position:absolute;mso-position-horizontal-relative:page;mso-position-vertical-relative:page;z-index:7408" from="298.170502pt,64.473pt" to="298.170502pt,812.819pt" stroked="true" strokeweight=".533pt" strokecolor="#231f20">
            <v:stroke dashstyle="solid"/>
            <w10:wrap type="none"/>
          </v:line>
        </w:pict>
      </w:r>
      <w:bookmarkStart w:name="_bookmark266" w:id="272"/>
      <w:bookmarkEnd w:id="272"/>
      <w:r>
        <w:rPr/>
      </w:r>
      <w:r>
        <w:rPr>
          <w:color w:val="231F20"/>
        </w:rPr>
        <w:t>Cette transformation n’entraîne aucun changement dans la person- nalité juridique de la société qui subsiste sous la forme d’une ASBL ou AISBL.</w:t>
      </w:r>
    </w:p>
    <w:p>
      <w:pPr>
        <w:pStyle w:val="BodyText"/>
        <w:spacing w:line="218" w:lineRule="auto" w:before="85"/>
        <w:ind w:right="38"/>
      </w:pPr>
      <w:r>
        <w:rPr>
          <w:color w:val="231F20"/>
        </w:rPr>
        <w:t>Art. 14:32. </w:t>
      </w:r>
      <w:r>
        <w:rPr>
          <w:color w:val="231F20"/>
          <w:spacing w:val="-3"/>
        </w:rPr>
        <w:t>L’organe </w:t>
      </w:r>
      <w:r>
        <w:rPr>
          <w:color w:val="231F20"/>
        </w:rPr>
        <w:t>d’administration établit un rapport justifiant le projet</w:t>
      </w:r>
      <w:r>
        <w:rPr>
          <w:color w:val="231F20"/>
          <w:spacing w:val="-4"/>
        </w:rPr>
        <w:t> </w:t>
      </w:r>
      <w:r>
        <w:rPr>
          <w:color w:val="231F20"/>
        </w:rPr>
        <w:t>de</w:t>
      </w:r>
      <w:r>
        <w:rPr>
          <w:color w:val="231F20"/>
          <w:spacing w:val="-4"/>
        </w:rPr>
        <w:t> </w:t>
      </w:r>
      <w:r>
        <w:rPr>
          <w:color w:val="231F20"/>
        </w:rPr>
        <w:t>transformation,</w:t>
      </w:r>
      <w:r>
        <w:rPr>
          <w:color w:val="231F20"/>
          <w:spacing w:val="-4"/>
        </w:rPr>
        <w:t> </w:t>
      </w:r>
      <w:r>
        <w:rPr>
          <w:color w:val="231F20"/>
        </w:rPr>
        <w:t>ses</w:t>
      </w:r>
      <w:r>
        <w:rPr>
          <w:color w:val="231F20"/>
          <w:spacing w:val="-4"/>
        </w:rPr>
        <w:t> </w:t>
      </w:r>
      <w:r>
        <w:rPr>
          <w:color w:val="231F20"/>
        </w:rPr>
        <w:t>raisons</w:t>
      </w:r>
      <w:r>
        <w:rPr>
          <w:color w:val="231F20"/>
          <w:spacing w:val="-4"/>
        </w:rPr>
        <w:t> </w:t>
      </w:r>
      <w:r>
        <w:rPr>
          <w:color w:val="231F20"/>
        </w:rPr>
        <w:t>et</w:t>
      </w:r>
      <w:r>
        <w:rPr>
          <w:color w:val="231F20"/>
          <w:spacing w:val="-4"/>
        </w:rPr>
        <w:t> </w:t>
      </w:r>
      <w:r>
        <w:rPr>
          <w:color w:val="231F20"/>
        </w:rPr>
        <w:t>ses</w:t>
      </w:r>
      <w:r>
        <w:rPr>
          <w:color w:val="231F20"/>
          <w:spacing w:val="-4"/>
        </w:rPr>
        <w:t> </w:t>
      </w:r>
      <w:r>
        <w:rPr>
          <w:color w:val="231F20"/>
        </w:rPr>
        <w:t>conséquences</w:t>
      </w:r>
      <w:r>
        <w:rPr>
          <w:color w:val="231F20"/>
          <w:spacing w:val="-4"/>
        </w:rPr>
        <w:t> </w:t>
      </w:r>
      <w:r>
        <w:rPr>
          <w:color w:val="231F20"/>
        </w:rPr>
        <w:t>pour</w:t>
      </w:r>
      <w:r>
        <w:rPr>
          <w:color w:val="231F20"/>
          <w:spacing w:val="-4"/>
        </w:rPr>
        <w:t> </w:t>
      </w:r>
      <w:r>
        <w:rPr>
          <w:color w:val="231F20"/>
        </w:rPr>
        <w:t>les</w:t>
      </w:r>
      <w:r>
        <w:rPr>
          <w:color w:val="231F20"/>
          <w:spacing w:val="-4"/>
        </w:rPr>
        <w:t> </w:t>
      </w:r>
      <w:r>
        <w:rPr>
          <w:color w:val="231F20"/>
        </w:rPr>
        <w:t>droits des associés ou actionnaires, qui est annoncé dans l’ordre du jour de l’assemblée</w:t>
      </w:r>
      <w:r>
        <w:rPr>
          <w:color w:val="231F20"/>
          <w:spacing w:val="15"/>
        </w:rPr>
        <w:t> </w:t>
      </w:r>
      <w:r>
        <w:rPr>
          <w:color w:val="231F20"/>
        </w:rPr>
        <w:t>générale.</w:t>
      </w:r>
    </w:p>
    <w:p>
      <w:pPr>
        <w:pStyle w:val="BodyText"/>
        <w:spacing w:before="72"/>
        <w:ind w:left="283" w:right="0" w:firstLine="0"/>
        <w:jc w:val="left"/>
      </w:pPr>
      <w:r>
        <w:rPr>
          <w:color w:val="231F20"/>
        </w:rPr>
        <w:t>À ce rapport sont joints les documents suivants:</w:t>
      </w:r>
    </w:p>
    <w:p>
      <w:pPr>
        <w:pStyle w:val="BodyText"/>
        <w:spacing w:line="218" w:lineRule="auto" w:before="82"/>
        <w:ind w:right="38"/>
      </w:pPr>
      <w:r>
        <w:rPr>
          <w:color w:val="231F20"/>
        </w:rPr>
        <w:t>1° le projet de statuts de l’ASBL ou AISBL en laquelle la société sera transformée;</w:t>
      </w:r>
    </w:p>
    <w:p>
      <w:pPr>
        <w:pStyle w:val="BodyText"/>
        <w:spacing w:line="218" w:lineRule="auto" w:before="85"/>
        <w:ind w:right="38"/>
      </w:pPr>
      <w:r>
        <w:rPr>
          <w:color w:val="231F20"/>
        </w:rPr>
        <w:t>2° un état résumant la situation active et passive de la société, clôturé à une date ne remontant pas à plus de trois mois avant l’assemblée générale appelée à statuer sur la transformation;</w:t>
      </w:r>
    </w:p>
    <w:p>
      <w:pPr>
        <w:pStyle w:val="BodyText"/>
        <w:spacing w:line="218" w:lineRule="auto" w:before="86"/>
        <w:ind w:right="38"/>
      </w:pPr>
      <w:r>
        <w:rPr>
          <w:color w:val="231F20"/>
        </w:rPr>
        <w:t>3° le rapport du commissaire de la société ou, lorsqu’il n’y a pas de commissaire, d’un réviseur d’entreprises ou de l’expert-comptable externe désigné par l’organe d’administration sur cet état, qui indique notamment s’il y a eu surestimation de l’actif net.</w:t>
      </w:r>
    </w:p>
    <w:p>
      <w:pPr>
        <w:pStyle w:val="BodyText"/>
        <w:spacing w:line="216" w:lineRule="auto" w:before="87"/>
        <w:ind w:right="38"/>
      </w:pPr>
      <w:r>
        <w:rPr>
          <w:color w:val="231F20"/>
        </w:rPr>
        <w:t>Art. 14:33. Une copie du rapport de l’organe d’administration et de ses annexes est communiquée aux associés ou actionnaires en même temps que la convocation à l’assemblée générale conformément aux articles</w:t>
      </w:r>
      <w:r>
        <w:rPr>
          <w:color w:val="231F20"/>
          <w:spacing w:val="-6"/>
        </w:rPr>
        <w:t> </w:t>
      </w:r>
      <w:r>
        <w:rPr>
          <w:color w:val="231F20"/>
        </w:rPr>
        <w:t>5:83,</w:t>
      </w:r>
      <w:r>
        <w:rPr>
          <w:color w:val="231F20"/>
          <w:spacing w:val="-6"/>
        </w:rPr>
        <w:t> </w:t>
      </w:r>
      <w:r>
        <w:rPr>
          <w:color w:val="231F20"/>
        </w:rPr>
        <w:t>6:70,</w:t>
      </w:r>
      <w:r>
        <w:rPr>
          <w:color w:val="231F20"/>
          <w:spacing w:val="-6"/>
        </w:rPr>
        <w:t> </w:t>
      </w:r>
      <w:r>
        <w:rPr>
          <w:color w:val="231F20"/>
        </w:rPr>
        <w:t>§</w:t>
      </w:r>
      <w:r>
        <w:rPr>
          <w:color w:val="231F20"/>
          <w:spacing w:val="-6"/>
        </w:rPr>
        <w:t> </w:t>
      </w:r>
      <w:r>
        <w:rPr>
          <w:color w:val="231F20"/>
        </w:rPr>
        <w:t>1</w:t>
      </w:r>
      <w:r>
        <w:rPr>
          <w:color w:val="231F20"/>
          <w:position w:val="7"/>
          <w:sz w:val="11"/>
        </w:rPr>
        <w:t>er</w:t>
      </w:r>
      <w:r>
        <w:rPr>
          <w:color w:val="231F20"/>
        </w:rPr>
        <w:t>,</w:t>
      </w:r>
      <w:r>
        <w:rPr>
          <w:color w:val="231F20"/>
          <w:spacing w:val="-5"/>
        </w:rPr>
        <w:t> </w:t>
      </w:r>
      <w:r>
        <w:rPr>
          <w:color w:val="231F20"/>
        </w:rPr>
        <w:t>7:128</w:t>
      </w:r>
      <w:r>
        <w:rPr>
          <w:color w:val="231F20"/>
          <w:spacing w:val="-6"/>
        </w:rPr>
        <w:t> </w:t>
      </w:r>
      <w:r>
        <w:rPr>
          <w:color w:val="231F20"/>
        </w:rPr>
        <w:t>et</w:t>
      </w:r>
      <w:r>
        <w:rPr>
          <w:color w:val="231F20"/>
          <w:spacing w:val="-6"/>
        </w:rPr>
        <w:t> </w:t>
      </w:r>
      <w:r>
        <w:rPr>
          <w:color w:val="231F20"/>
        </w:rPr>
        <w:t>7:129.</w:t>
      </w:r>
      <w:r>
        <w:rPr>
          <w:color w:val="231F20"/>
          <w:spacing w:val="-6"/>
        </w:rPr>
        <w:t> </w:t>
      </w:r>
      <w:r>
        <w:rPr>
          <w:color w:val="231F20"/>
        </w:rPr>
        <w:t>Dans</w:t>
      </w:r>
      <w:r>
        <w:rPr>
          <w:color w:val="231F20"/>
          <w:spacing w:val="-5"/>
        </w:rPr>
        <w:t> </w:t>
      </w:r>
      <w:r>
        <w:rPr>
          <w:color w:val="231F20"/>
        </w:rPr>
        <w:t>les</w:t>
      </w:r>
      <w:r>
        <w:rPr>
          <w:color w:val="231F20"/>
          <w:spacing w:val="-6"/>
        </w:rPr>
        <w:t> </w:t>
      </w:r>
      <w:r>
        <w:rPr>
          <w:color w:val="231F20"/>
        </w:rPr>
        <w:t>sociétés</w:t>
      </w:r>
      <w:r>
        <w:rPr>
          <w:color w:val="231F20"/>
          <w:spacing w:val="-6"/>
        </w:rPr>
        <w:t> </w:t>
      </w:r>
      <w:r>
        <w:rPr>
          <w:color w:val="231F20"/>
        </w:rPr>
        <w:t>en</w:t>
      </w:r>
      <w:r>
        <w:rPr>
          <w:color w:val="231F20"/>
          <w:spacing w:val="-6"/>
        </w:rPr>
        <w:t> </w:t>
      </w:r>
      <w:r>
        <w:rPr>
          <w:color w:val="231F20"/>
        </w:rPr>
        <w:t>nom</w:t>
      </w:r>
      <w:r>
        <w:rPr>
          <w:color w:val="231F20"/>
          <w:spacing w:val="-6"/>
        </w:rPr>
        <w:t> </w:t>
      </w:r>
      <w:r>
        <w:rPr>
          <w:color w:val="231F20"/>
        </w:rPr>
        <w:t>collectif et les sociétés en commandite, elle est annexée à la convocation à l’assemblée</w:t>
      </w:r>
      <w:r>
        <w:rPr>
          <w:color w:val="231F20"/>
          <w:spacing w:val="15"/>
        </w:rPr>
        <w:t> </w:t>
      </w:r>
      <w:r>
        <w:rPr>
          <w:color w:val="231F20"/>
        </w:rPr>
        <w:t>générale.</w:t>
      </w:r>
    </w:p>
    <w:p>
      <w:pPr>
        <w:pStyle w:val="BodyText"/>
        <w:spacing w:line="218" w:lineRule="auto" w:before="81"/>
        <w:ind w:right="38"/>
      </w:pPr>
      <w:r>
        <w:rPr>
          <w:color w:val="231F20"/>
        </w:rPr>
        <w:t>Ces documents sont  également  transmis  conformément  à  l’arti-  cle 2:32 sans délai aux personnes qui ont accompli les formalités requises</w:t>
      </w:r>
      <w:r>
        <w:rPr>
          <w:color w:val="231F20"/>
          <w:spacing w:val="14"/>
        </w:rPr>
        <w:t> </w:t>
      </w:r>
      <w:r>
        <w:rPr>
          <w:color w:val="231F20"/>
        </w:rPr>
        <w:t>par</w:t>
      </w:r>
      <w:r>
        <w:rPr>
          <w:color w:val="231F20"/>
          <w:spacing w:val="15"/>
        </w:rPr>
        <w:t> </w:t>
      </w:r>
      <w:r>
        <w:rPr>
          <w:color w:val="231F20"/>
        </w:rPr>
        <w:t>les</w:t>
      </w:r>
      <w:r>
        <w:rPr>
          <w:color w:val="231F20"/>
          <w:spacing w:val="15"/>
        </w:rPr>
        <w:t> </w:t>
      </w:r>
      <w:r>
        <w:rPr>
          <w:color w:val="231F20"/>
        </w:rPr>
        <w:t>statuts</w:t>
      </w:r>
      <w:r>
        <w:rPr>
          <w:color w:val="231F20"/>
          <w:spacing w:val="15"/>
        </w:rPr>
        <w:t> </w:t>
      </w:r>
      <w:r>
        <w:rPr>
          <w:color w:val="231F20"/>
        </w:rPr>
        <w:t>pour</w:t>
      </w:r>
      <w:r>
        <w:rPr>
          <w:color w:val="231F20"/>
          <w:spacing w:val="15"/>
        </w:rPr>
        <w:t> </w:t>
      </w:r>
      <w:r>
        <w:rPr>
          <w:color w:val="231F20"/>
        </w:rPr>
        <w:t>être</w:t>
      </w:r>
      <w:r>
        <w:rPr>
          <w:color w:val="231F20"/>
          <w:spacing w:val="15"/>
        </w:rPr>
        <w:t> </w:t>
      </w:r>
      <w:r>
        <w:rPr>
          <w:color w:val="231F20"/>
        </w:rPr>
        <w:t>admises</w:t>
      </w:r>
      <w:r>
        <w:rPr>
          <w:color w:val="231F20"/>
          <w:spacing w:val="14"/>
        </w:rPr>
        <w:t> </w:t>
      </w:r>
      <w:r>
        <w:rPr>
          <w:color w:val="231F20"/>
        </w:rPr>
        <w:t>à</w:t>
      </w:r>
      <w:r>
        <w:rPr>
          <w:color w:val="231F20"/>
          <w:spacing w:val="15"/>
        </w:rPr>
        <w:t> </w:t>
      </w:r>
      <w:r>
        <w:rPr>
          <w:color w:val="231F20"/>
        </w:rPr>
        <w:t>l’assemblée.</w:t>
      </w:r>
    </w:p>
    <w:p>
      <w:pPr>
        <w:pStyle w:val="BodyText"/>
        <w:spacing w:before="11"/>
        <w:ind w:left="0" w:right="0" w:firstLine="0"/>
        <w:jc w:val="left"/>
        <w:rPr>
          <w:sz w:val="22"/>
        </w:rPr>
      </w:pPr>
    </w:p>
    <w:p>
      <w:pPr>
        <w:pStyle w:val="BodyText"/>
        <w:spacing w:line="218" w:lineRule="auto"/>
        <w:ind w:right="38"/>
      </w:pPr>
      <w:r>
        <w:rPr>
          <w:color w:val="231F20"/>
        </w:rPr>
        <w:t>Tout associé ou actionnaire ou titulaire de titres autres que des parts et des actions a, par ailleurs, le droit d’obtenir sans frais, sur production de son titre ou de l’attestation visée à l’article 7:41, quinze jours avant l’assemblée, au siège de la société un exemplaire de ces mêmes documents.</w:t>
      </w:r>
    </w:p>
    <w:p>
      <w:pPr>
        <w:pStyle w:val="BodyText"/>
        <w:spacing w:line="218" w:lineRule="auto" w:before="71"/>
        <w:ind w:right="38"/>
      </w:pPr>
      <w:r>
        <w:rPr>
          <w:color w:val="231F20"/>
        </w:rPr>
        <w:t>Art. 14:34. § 1</w:t>
      </w:r>
      <w:r>
        <w:rPr>
          <w:color w:val="231F20"/>
          <w:position w:val="7"/>
          <w:sz w:val="11"/>
        </w:rPr>
        <w:t>er</w:t>
      </w:r>
      <w:r>
        <w:rPr>
          <w:color w:val="231F20"/>
        </w:rPr>
        <w:t>. La décision de transformation est seulement valablement adoptée moyennant l’accord unanime de l’ensemble des associés ou actionnaires de la société.</w:t>
      </w:r>
    </w:p>
    <w:p>
      <w:pPr>
        <w:pStyle w:val="BodyText"/>
        <w:spacing w:line="218" w:lineRule="auto" w:before="85"/>
        <w:ind w:right="38"/>
      </w:pPr>
      <w:r>
        <w:rPr>
          <w:color w:val="231F20"/>
        </w:rPr>
        <w:t>§ 2. Immédiatement après la décision de transformation, les statuts de l’association issue de cette transformation, y compris les</w:t>
      </w:r>
      <w:r>
        <w:rPr>
          <w:color w:val="231F20"/>
          <w:spacing w:val="-13"/>
        </w:rPr>
        <w:t> </w:t>
      </w:r>
      <w:r>
        <w:rPr>
          <w:color w:val="231F20"/>
        </w:rPr>
        <w:t>dispositions qui modifieraient son objet, sont arrêtés moyennant le même accord unanime</w:t>
      </w:r>
      <w:r>
        <w:rPr>
          <w:color w:val="231F20"/>
          <w:spacing w:val="15"/>
        </w:rPr>
        <w:t> </w:t>
      </w:r>
      <w:r>
        <w:rPr>
          <w:color w:val="231F20"/>
        </w:rPr>
        <w:t>de</w:t>
      </w:r>
      <w:r>
        <w:rPr>
          <w:color w:val="231F20"/>
          <w:spacing w:val="15"/>
        </w:rPr>
        <w:t> </w:t>
      </w:r>
      <w:r>
        <w:rPr>
          <w:color w:val="231F20"/>
        </w:rPr>
        <w:t>l’ensemble</w:t>
      </w:r>
      <w:r>
        <w:rPr>
          <w:color w:val="231F20"/>
          <w:spacing w:val="15"/>
        </w:rPr>
        <w:t> </w:t>
      </w:r>
      <w:r>
        <w:rPr>
          <w:color w:val="231F20"/>
        </w:rPr>
        <w:t>des</w:t>
      </w:r>
      <w:r>
        <w:rPr>
          <w:color w:val="231F20"/>
          <w:spacing w:val="15"/>
        </w:rPr>
        <w:t> </w:t>
      </w:r>
      <w:r>
        <w:rPr>
          <w:color w:val="231F20"/>
        </w:rPr>
        <w:t>associés</w:t>
      </w:r>
      <w:r>
        <w:rPr>
          <w:color w:val="231F20"/>
          <w:spacing w:val="15"/>
        </w:rPr>
        <w:t> </w:t>
      </w:r>
      <w:r>
        <w:rPr>
          <w:color w:val="231F20"/>
        </w:rPr>
        <w:t>ou</w:t>
      </w:r>
      <w:r>
        <w:rPr>
          <w:color w:val="231F20"/>
          <w:spacing w:val="16"/>
        </w:rPr>
        <w:t> </w:t>
      </w:r>
      <w:r>
        <w:rPr>
          <w:color w:val="231F20"/>
        </w:rPr>
        <w:t>actionnaires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société.</w:t>
      </w:r>
    </w:p>
    <w:p>
      <w:pPr>
        <w:pStyle w:val="BodyText"/>
        <w:spacing w:before="9"/>
        <w:ind w:left="0" w:right="0" w:firstLine="0"/>
        <w:jc w:val="left"/>
        <w:rPr>
          <w:sz w:val="21"/>
        </w:rPr>
      </w:pPr>
    </w:p>
    <w:p>
      <w:pPr>
        <w:pStyle w:val="BodyText"/>
        <w:ind w:left="283" w:right="0" w:firstLine="0"/>
        <w:jc w:val="left"/>
      </w:pPr>
      <w:r>
        <w:rPr>
          <w:color w:val="231F20"/>
        </w:rPr>
        <w:t>À défaut, la décision de transformation reste sans effet.</w:t>
      </w:r>
    </w:p>
    <w:p>
      <w:pPr>
        <w:pStyle w:val="BodyText"/>
        <w:spacing w:before="7"/>
        <w:ind w:left="0" w:right="0" w:firstLine="0"/>
        <w:jc w:val="left"/>
        <w:rPr>
          <w:sz w:val="23"/>
        </w:rPr>
      </w:pPr>
    </w:p>
    <w:p>
      <w:pPr>
        <w:pStyle w:val="BodyText"/>
        <w:spacing w:line="218" w:lineRule="auto"/>
        <w:ind w:right="38"/>
      </w:pPr>
      <w:r>
        <w:rPr>
          <w:color w:val="231F20"/>
        </w:rPr>
        <w:t>Art. 14:35. La transformation est, à peine de nullité, constatée par un acte authentique.</w:t>
      </w:r>
    </w:p>
    <w:p>
      <w:pPr>
        <w:pStyle w:val="BodyText"/>
        <w:spacing w:line="218" w:lineRule="auto" w:before="96"/>
        <w:ind w:right="38"/>
      </w:pPr>
      <w:r>
        <w:rPr>
          <w:color w:val="231F20"/>
        </w:rPr>
        <w:t>Cet acte reproduit les conclusions du rapport établi par le commis- saire, le réviseur d’entreprises ou l’expert-comptable externe.</w:t>
      </w:r>
    </w:p>
    <w:p>
      <w:pPr>
        <w:pStyle w:val="BodyText"/>
        <w:spacing w:line="218" w:lineRule="auto" w:before="96"/>
        <w:ind w:right="38"/>
      </w:pPr>
      <w:r>
        <w:rPr>
          <w:color w:val="231F20"/>
        </w:rPr>
        <w:t>L’acte de transformation et les statuts sont déposés et publiés simultanément conformément aux articles 2:8 et 2:14, 1°. L’acte de transformation est publié en entier; les statuts le sont par extrait seulement.</w:t>
      </w:r>
    </w:p>
    <w:p>
      <w:pPr>
        <w:pStyle w:val="BodyText"/>
        <w:spacing w:line="218" w:lineRule="auto" w:before="97"/>
        <w:ind w:right="38"/>
      </w:pPr>
      <w:r>
        <w:rPr>
          <w:color w:val="231F20"/>
        </w:rPr>
        <w:t>Les mandats authentiques ou sous seing privés sont, ainsi que le rapport du commissaire, du réviseur d’entreprise ou de l’expert- comptable externe, déposés en expédition ou en original en même temps que l’acte auquel ils se rapportent.</w:t>
      </w:r>
    </w:p>
    <w:p>
      <w:pPr>
        <w:pStyle w:val="BodyText"/>
        <w:spacing w:line="218" w:lineRule="auto" w:before="96"/>
        <w:ind w:right="38"/>
      </w:pPr>
      <w:r>
        <w:rPr>
          <w:color w:val="231F20"/>
        </w:rPr>
        <w:t>En cas de transformation d’une société en AISBL, l’acte de transfor- mation ne produit ses effets qu’après l’approbation du Roi.</w:t>
      </w:r>
    </w:p>
    <w:p>
      <w:pPr>
        <w:pStyle w:val="BodyText"/>
        <w:spacing w:line="218" w:lineRule="auto" w:before="96"/>
        <w:ind w:right="38"/>
      </w:pPr>
      <w:r>
        <w:rPr>
          <w:color w:val="231F20"/>
        </w:rPr>
        <w:t>La transformation n’est opposable aux tiers que conformément aux conditions prévues à l’article 2:18.</w:t>
      </w:r>
    </w:p>
    <w:p>
      <w:pPr>
        <w:pStyle w:val="BodyText"/>
        <w:spacing w:line="218" w:lineRule="auto" w:before="96"/>
        <w:ind w:right="38"/>
      </w:pPr>
      <w:r>
        <w:rPr>
          <w:color w:val="231F20"/>
        </w:rPr>
        <w:t>Art. 14:36. En cas de transformation d’une société en nom collectif ou d’une société en commandite, les associés en nom collectif ou les associés commandités restent tenus solidairement et indéfiniment à l’égard des tiers, des engagements de la société antérieurs au jour où l’acte de transformation peut être opposé aux tiers conformément à l’article 2:18.</w:t>
      </w:r>
    </w:p>
    <w:p>
      <w:pPr>
        <w:pStyle w:val="BodyText"/>
        <w:spacing w:line="218" w:lineRule="auto" w:before="97"/>
        <w:ind w:right="38"/>
      </w:pPr>
      <w:r>
        <w:rPr>
          <w:color w:val="231F20"/>
        </w:rPr>
        <w:t>TITRE</w:t>
      </w:r>
      <w:r>
        <w:rPr>
          <w:color w:val="231F20"/>
          <w:spacing w:val="-7"/>
        </w:rPr>
        <w:t> </w:t>
      </w:r>
      <w:r>
        <w:rPr>
          <w:color w:val="231F20"/>
        </w:rPr>
        <w:t>3.</w:t>
      </w:r>
      <w:r>
        <w:rPr>
          <w:color w:val="231F20"/>
          <w:spacing w:val="-6"/>
        </w:rPr>
        <w:t> </w:t>
      </w:r>
      <w:r>
        <w:rPr>
          <w:color w:val="231F20"/>
        </w:rPr>
        <w:t>Transformation</w:t>
      </w:r>
      <w:r>
        <w:rPr>
          <w:color w:val="231F20"/>
          <w:spacing w:val="-6"/>
        </w:rPr>
        <w:t> </w:t>
      </w:r>
      <w:r>
        <w:rPr>
          <w:color w:val="231F20"/>
        </w:rPr>
        <w:t>d’une</w:t>
      </w:r>
      <w:r>
        <w:rPr>
          <w:color w:val="231F20"/>
          <w:spacing w:val="-12"/>
        </w:rPr>
        <w:t> </w:t>
      </w:r>
      <w:r>
        <w:rPr>
          <w:color w:val="231F20"/>
        </w:rPr>
        <w:t>ASBL</w:t>
      </w:r>
      <w:r>
        <w:rPr>
          <w:color w:val="231F20"/>
          <w:spacing w:val="-12"/>
        </w:rPr>
        <w:t> </w:t>
      </w:r>
      <w:r>
        <w:rPr>
          <w:color w:val="231F20"/>
        </w:rPr>
        <w:t>en</w:t>
      </w:r>
      <w:r>
        <w:rPr>
          <w:color w:val="231F20"/>
          <w:spacing w:val="-6"/>
        </w:rPr>
        <w:t> </w:t>
      </w:r>
      <w:r>
        <w:rPr>
          <w:color w:val="231F20"/>
        </w:rPr>
        <w:t>SCES</w:t>
      </w:r>
      <w:r>
        <w:rPr>
          <w:color w:val="231F20"/>
          <w:spacing w:val="-6"/>
        </w:rPr>
        <w:t> </w:t>
      </w:r>
      <w:r>
        <w:rPr>
          <w:color w:val="231F20"/>
        </w:rPr>
        <w:t>agréée</w:t>
      </w:r>
      <w:r>
        <w:rPr>
          <w:color w:val="231F20"/>
          <w:spacing w:val="-6"/>
        </w:rPr>
        <w:t> </w:t>
      </w:r>
      <w:r>
        <w:rPr>
          <w:color w:val="231F20"/>
        </w:rPr>
        <w:t>ou</w:t>
      </w:r>
      <w:r>
        <w:rPr>
          <w:color w:val="231F20"/>
          <w:spacing w:val="-6"/>
        </w:rPr>
        <w:t> </w:t>
      </w:r>
      <w:r>
        <w:rPr>
          <w:color w:val="231F20"/>
        </w:rPr>
        <w:t>en</w:t>
      </w:r>
      <w:r>
        <w:rPr>
          <w:color w:val="231F20"/>
          <w:spacing w:val="-6"/>
        </w:rPr>
        <w:t> </w:t>
      </w:r>
      <w:r>
        <w:rPr>
          <w:color w:val="231F20"/>
        </w:rPr>
        <w:t>SC</w:t>
      </w:r>
      <w:r>
        <w:rPr>
          <w:color w:val="231F20"/>
          <w:spacing w:val="-7"/>
        </w:rPr>
        <w:t> </w:t>
      </w:r>
      <w:r>
        <w:rPr>
          <w:color w:val="231F20"/>
        </w:rPr>
        <w:t>agréée comme</w:t>
      </w:r>
      <w:r>
        <w:rPr>
          <w:color w:val="231F20"/>
          <w:spacing w:val="14"/>
        </w:rPr>
        <w:t> </w:t>
      </w:r>
      <w:r>
        <w:rPr>
          <w:color w:val="231F20"/>
        </w:rPr>
        <w:t>ES.</w:t>
      </w:r>
    </w:p>
    <w:p>
      <w:pPr>
        <w:pStyle w:val="BodyText"/>
        <w:spacing w:line="218" w:lineRule="auto" w:before="96"/>
        <w:ind w:right="38"/>
      </w:pPr>
      <w:r>
        <w:rPr>
          <w:color w:val="231F20"/>
        </w:rPr>
        <w:t>Art. 14:37. </w:t>
      </w:r>
      <w:r>
        <w:rPr>
          <w:color w:val="231F20"/>
          <w:spacing w:val="-3"/>
        </w:rPr>
        <w:t>L’ASBL </w:t>
      </w:r>
      <w:r>
        <w:rPr>
          <w:color w:val="231F20"/>
        </w:rPr>
        <w:t>peut se transformer en une SCES agréée ou une SC agréée comme ES.</w:t>
      </w:r>
    </w:p>
    <w:p>
      <w:pPr>
        <w:pStyle w:val="BodyText"/>
        <w:spacing w:line="218" w:lineRule="auto" w:before="96"/>
        <w:ind w:right="38"/>
      </w:pPr>
      <w:r>
        <w:rPr>
          <w:color w:val="231F20"/>
        </w:rPr>
        <w:t>Cette transformation n’entraîne aucun changement dans la person- nalité juridique de l’ASBL qui subsiste sous la forme d’une société coopérative.</w:t>
      </w:r>
    </w:p>
    <w:p>
      <w:pPr>
        <w:pStyle w:val="BodyText"/>
        <w:spacing w:line="218" w:lineRule="auto" w:before="96"/>
        <w:ind w:right="38"/>
      </w:pPr>
      <w:r>
        <w:rPr>
          <w:color w:val="231F20"/>
        </w:rPr>
        <w:t>Art. 14:38. Le projet de transformation fait l’objet d’un rapport justificatif établi par l’organe d’administration et annoncé dans l’ordre du jour de l’assemblée générale.</w:t>
      </w:r>
    </w:p>
    <w:p>
      <w:pPr>
        <w:pStyle w:val="BodyText"/>
        <w:spacing w:line="218" w:lineRule="auto" w:before="119"/>
      </w:pPr>
      <w:r>
        <w:rPr/>
        <w:br w:type="column"/>
      </w:r>
      <w:r>
        <w:rPr>
          <w:color w:val="231F20"/>
        </w:rPr>
        <w:t>Deze omzetting laat de rechtspersoonlijkheid van de vennootschap die blijft voortbestaan in de vorm van een VZW of een IVZW, onverlet.</w:t>
      </w:r>
    </w:p>
    <w:p>
      <w:pPr>
        <w:pStyle w:val="BodyText"/>
        <w:ind w:left="0" w:right="0" w:firstLine="0"/>
        <w:jc w:val="left"/>
        <w:rPr>
          <w:sz w:val="23"/>
        </w:rPr>
      </w:pPr>
    </w:p>
    <w:p>
      <w:pPr>
        <w:pStyle w:val="BodyText"/>
        <w:spacing w:line="218" w:lineRule="auto"/>
      </w:pPr>
      <w:r>
        <w:rPr>
          <w:color w:val="231F20"/>
        </w:rPr>
        <w:t>Art. 14:32. Het bestuursorgaan licht het voorstel tot omzetting, haar redenen en haar gevolgen voor de rechten van de vennoten of aandeelhouders toe in een verslag dat wordt vermeld in de agenda van de algemene vergadering.</w:t>
      </w:r>
    </w:p>
    <w:p>
      <w:pPr>
        <w:pStyle w:val="BodyText"/>
        <w:spacing w:before="72"/>
        <w:ind w:left="283" w:right="0" w:firstLine="0"/>
        <w:jc w:val="left"/>
      </w:pPr>
      <w:r>
        <w:rPr>
          <w:color w:val="231F20"/>
        </w:rPr>
        <w:t>Bij dat verslag worden de volgende documenten gevoegd:</w:t>
      </w:r>
    </w:p>
    <w:p>
      <w:pPr>
        <w:pStyle w:val="BodyText"/>
        <w:spacing w:line="218" w:lineRule="auto" w:before="82"/>
      </w:pPr>
      <w:r>
        <w:rPr>
          <w:color w:val="231F20"/>
          <w:w w:val="105"/>
        </w:rPr>
        <w:t>1° het ontwerp van statuten van de VZW of IVZW waarin de vennootschap zal worden omgezet;</w:t>
      </w:r>
    </w:p>
    <w:p>
      <w:pPr>
        <w:pStyle w:val="BodyText"/>
        <w:spacing w:line="218" w:lineRule="auto" w:before="85"/>
      </w:pPr>
      <w:r>
        <w:rPr>
          <w:color w:val="231F20"/>
        </w:rPr>
        <w:t>2° een staat van activa en passiva van de vennootschap, die niet meer dan drie maanden vóór de algemene vergadering die over het voorstel tot omzetting moet besluiten is afgesloten;</w:t>
      </w:r>
    </w:p>
    <w:p>
      <w:pPr>
        <w:pStyle w:val="BodyText"/>
        <w:spacing w:line="218" w:lineRule="auto" w:before="86"/>
      </w:pPr>
      <w:r>
        <w:rPr>
          <w:color w:val="231F20"/>
        </w:rPr>
        <w:t>3° het verslag van de commissaris van de vennootschap of, als er geen commissaris is, een door het bestuursorgaan aangewezen bedrijfs- revisor of externe accountant over die staat, waarin hij inzonderheid aangeeft</w:t>
      </w:r>
      <w:r>
        <w:rPr>
          <w:color w:val="231F20"/>
          <w:spacing w:val="16"/>
        </w:rPr>
        <w:t> </w:t>
      </w:r>
      <w:r>
        <w:rPr>
          <w:color w:val="231F20"/>
        </w:rPr>
        <w:t>of</w:t>
      </w:r>
      <w:r>
        <w:rPr>
          <w:color w:val="231F20"/>
          <w:spacing w:val="16"/>
        </w:rPr>
        <w:t> </w:t>
      </w:r>
      <w:r>
        <w:rPr>
          <w:color w:val="231F20"/>
        </w:rPr>
        <w:t>het</w:t>
      </w:r>
      <w:r>
        <w:rPr>
          <w:color w:val="231F20"/>
          <w:spacing w:val="16"/>
        </w:rPr>
        <w:t> </w:t>
      </w:r>
      <w:r>
        <w:rPr>
          <w:color w:val="231F20"/>
        </w:rPr>
        <w:t>nettoactief</w:t>
      </w:r>
      <w:r>
        <w:rPr>
          <w:color w:val="231F20"/>
          <w:spacing w:val="16"/>
        </w:rPr>
        <w:t> </w:t>
      </w:r>
      <w:r>
        <w:rPr>
          <w:color w:val="231F20"/>
        </w:rPr>
        <w:t>werd</w:t>
      </w:r>
      <w:r>
        <w:rPr>
          <w:color w:val="231F20"/>
          <w:spacing w:val="16"/>
        </w:rPr>
        <w:t> </w:t>
      </w:r>
      <w:r>
        <w:rPr>
          <w:color w:val="231F20"/>
        </w:rPr>
        <w:t>overgewaardeerd.</w:t>
      </w:r>
    </w:p>
    <w:p>
      <w:pPr>
        <w:pStyle w:val="BodyText"/>
        <w:spacing w:line="218" w:lineRule="auto" w:before="86"/>
      </w:pPr>
      <w:r>
        <w:rPr>
          <w:color w:val="231F20"/>
        </w:rPr>
        <w:t>Art. 14:33. Een kopie van het verslag van het bestuursorgaan en van de bijlagen erbij worden meegedeeld aan de vennoten of aandeelhou- ders samen met de oproeping tot de algemene vergadering overeen- komstig</w:t>
      </w:r>
      <w:r>
        <w:rPr>
          <w:color w:val="231F20"/>
          <w:spacing w:val="-4"/>
        </w:rPr>
        <w:t> </w:t>
      </w:r>
      <w:r>
        <w:rPr>
          <w:color w:val="231F20"/>
        </w:rPr>
        <w:t>de</w:t>
      </w:r>
      <w:r>
        <w:rPr>
          <w:color w:val="231F20"/>
          <w:spacing w:val="-3"/>
        </w:rPr>
        <w:t> </w:t>
      </w:r>
      <w:r>
        <w:rPr>
          <w:color w:val="231F20"/>
        </w:rPr>
        <w:t>artikelen</w:t>
      </w:r>
      <w:r>
        <w:rPr>
          <w:color w:val="231F20"/>
          <w:spacing w:val="-3"/>
        </w:rPr>
        <w:t> </w:t>
      </w:r>
      <w:r>
        <w:rPr>
          <w:color w:val="231F20"/>
        </w:rPr>
        <w:t>5:83,</w:t>
      </w:r>
      <w:r>
        <w:rPr>
          <w:color w:val="231F20"/>
          <w:spacing w:val="-3"/>
        </w:rPr>
        <w:t> </w:t>
      </w:r>
      <w:r>
        <w:rPr>
          <w:color w:val="231F20"/>
        </w:rPr>
        <w:t>6:70,</w:t>
      </w:r>
      <w:r>
        <w:rPr>
          <w:color w:val="231F20"/>
          <w:spacing w:val="-3"/>
        </w:rPr>
        <w:t> </w:t>
      </w:r>
      <w:r>
        <w:rPr>
          <w:color w:val="231F20"/>
        </w:rPr>
        <w:t>§</w:t>
      </w:r>
      <w:r>
        <w:rPr>
          <w:color w:val="231F20"/>
          <w:spacing w:val="-4"/>
        </w:rPr>
        <w:t> </w:t>
      </w:r>
      <w:r>
        <w:rPr>
          <w:color w:val="231F20"/>
        </w:rPr>
        <w:t>1,</w:t>
      </w:r>
      <w:r>
        <w:rPr>
          <w:color w:val="231F20"/>
          <w:spacing w:val="-3"/>
        </w:rPr>
        <w:t> </w:t>
      </w:r>
      <w:r>
        <w:rPr>
          <w:color w:val="231F20"/>
        </w:rPr>
        <w:t>7:128</w:t>
      </w:r>
      <w:r>
        <w:rPr>
          <w:color w:val="231F20"/>
          <w:spacing w:val="-3"/>
        </w:rPr>
        <w:t> </w:t>
      </w:r>
      <w:r>
        <w:rPr>
          <w:color w:val="231F20"/>
        </w:rPr>
        <w:t>en</w:t>
      </w:r>
      <w:r>
        <w:rPr>
          <w:color w:val="231F20"/>
          <w:spacing w:val="-3"/>
        </w:rPr>
        <w:t> </w:t>
      </w:r>
      <w:r>
        <w:rPr>
          <w:color w:val="231F20"/>
        </w:rPr>
        <w:t>7:129.</w:t>
      </w:r>
      <w:r>
        <w:rPr>
          <w:color w:val="231F20"/>
          <w:spacing w:val="-3"/>
        </w:rPr>
        <w:t> </w:t>
      </w:r>
      <w:r>
        <w:rPr>
          <w:color w:val="231F20"/>
        </w:rPr>
        <w:t>In</w:t>
      </w:r>
      <w:r>
        <w:rPr>
          <w:color w:val="231F20"/>
          <w:spacing w:val="-3"/>
        </w:rPr>
        <w:t> </w:t>
      </w:r>
      <w:r>
        <w:rPr>
          <w:color w:val="231F20"/>
        </w:rPr>
        <w:t>de</w:t>
      </w:r>
      <w:r>
        <w:rPr>
          <w:color w:val="231F20"/>
          <w:spacing w:val="-4"/>
        </w:rPr>
        <w:t> </w:t>
      </w:r>
      <w:r>
        <w:rPr>
          <w:color w:val="231F20"/>
        </w:rPr>
        <w:t>vennootschap- pen onder firma en in de commanditaire vennootschappen worden zij gevoegd</w:t>
      </w:r>
      <w:r>
        <w:rPr>
          <w:color w:val="231F20"/>
          <w:spacing w:val="18"/>
        </w:rPr>
        <w:t> </w:t>
      </w:r>
      <w:r>
        <w:rPr>
          <w:color w:val="231F20"/>
        </w:rPr>
        <w:t>aan</w:t>
      </w:r>
      <w:r>
        <w:rPr>
          <w:color w:val="231F20"/>
          <w:spacing w:val="18"/>
        </w:rPr>
        <w:t> </w:t>
      </w:r>
      <w:r>
        <w:rPr>
          <w:color w:val="231F20"/>
        </w:rPr>
        <w:t>de</w:t>
      </w:r>
      <w:r>
        <w:rPr>
          <w:color w:val="231F20"/>
          <w:spacing w:val="18"/>
        </w:rPr>
        <w:t> </w:t>
      </w:r>
      <w:r>
        <w:rPr>
          <w:color w:val="231F20"/>
        </w:rPr>
        <w:t>oproeping</w:t>
      </w:r>
      <w:r>
        <w:rPr>
          <w:color w:val="231F20"/>
          <w:spacing w:val="19"/>
        </w:rPr>
        <w:t> </w:t>
      </w:r>
      <w:r>
        <w:rPr>
          <w:color w:val="231F20"/>
        </w:rPr>
        <w:t>tot</w:t>
      </w:r>
      <w:r>
        <w:rPr>
          <w:color w:val="231F20"/>
          <w:spacing w:val="18"/>
        </w:rPr>
        <w:t> </w:t>
      </w:r>
      <w:r>
        <w:rPr>
          <w:color w:val="231F20"/>
        </w:rPr>
        <w:t>de</w:t>
      </w:r>
      <w:r>
        <w:rPr>
          <w:color w:val="231F20"/>
          <w:spacing w:val="18"/>
        </w:rPr>
        <w:t> </w:t>
      </w:r>
      <w:r>
        <w:rPr>
          <w:color w:val="231F20"/>
        </w:rPr>
        <w:t>algemene</w:t>
      </w:r>
      <w:r>
        <w:rPr>
          <w:color w:val="231F20"/>
          <w:spacing w:val="18"/>
        </w:rPr>
        <w:t> </w:t>
      </w:r>
      <w:r>
        <w:rPr>
          <w:color w:val="231F20"/>
        </w:rPr>
        <w:t>vergadering.</w:t>
      </w:r>
    </w:p>
    <w:p>
      <w:pPr>
        <w:pStyle w:val="BodyText"/>
        <w:spacing w:line="218" w:lineRule="auto" w:before="85"/>
      </w:pPr>
      <w:r>
        <w:rPr>
          <w:color w:val="231F20"/>
        </w:rPr>
        <w:t>Overeenkomstig artikel 2:32 worden die documenten</w:t>
      </w:r>
      <w:r>
        <w:rPr>
          <w:color w:val="231F20"/>
          <w:spacing w:val="26"/>
        </w:rPr>
        <w:t> </w:t>
      </w:r>
      <w:r>
        <w:rPr>
          <w:color w:val="231F20"/>
        </w:rPr>
        <w:t>eveneens onverwijld overgezonden aan de personen die hebben voldaan aan de statutair voorgeschreven formaliteiten om tot de vergadering te  worden</w:t>
      </w:r>
      <w:r>
        <w:rPr>
          <w:color w:val="231F20"/>
          <w:spacing w:val="15"/>
        </w:rPr>
        <w:t> </w:t>
      </w:r>
      <w:r>
        <w:rPr>
          <w:color w:val="231F20"/>
        </w:rPr>
        <w:t>toegelaten.</w:t>
      </w:r>
    </w:p>
    <w:p>
      <w:pPr>
        <w:pStyle w:val="BodyText"/>
        <w:spacing w:line="218" w:lineRule="auto" w:before="86"/>
      </w:pPr>
      <w:r>
        <w:rPr>
          <w:color w:val="231F20"/>
        </w:rPr>
        <w:t>Iedere vennoot of aandeelhouder of houder van andere effecten heeft bovendien het recht om, vijftien dagen vóór de vergadering, ter zetel van de vennootschap tegen overlegging van zijn effect of van het in artikel 7:41 bedoelde attest, kosteloos een exemplaar van diezelfde stukken te verkrijgen.</w:t>
      </w:r>
    </w:p>
    <w:p>
      <w:pPr>
        <w:pStyle w:val="BodyText"/>
        <w:spacing w:line="218" w:lineRule="auto" w:before="86"/>
      </w:pPr>
      <w:r>
        <w:rPr>
          <w:color w:val="231F20"/>
        </w:rPr>
        <w:t>Art. 14:34. § 1. Het besluit tot omzetting is pas geldig goedgekeurd mits alle vennoten of aandeelhouders van de vennootschap unaniem daarmee instemmen.</w:t>
      </w:r>
    </w:p>
    <w:p>
      <w:pPr>
        <w:pStyle w:val="BodyText"/>
        <w:spacing w:line="218" w:lineRule="auto" w:before="85"/>
      </w:pPr>
      <w:r>
        <w:rPr>
          <w:color w:val="231F20"/>
        </w:rPr>
        <w:t>§ 2. Onmiddellijk na het besluit tot omzetting worden de statuten van de vereniging die uit deze omzetting is ontstaan, met inbegrip van de bepalingen die het voorwerp ervan zouden wijzigen, vastgesteld op voorwaarde dat alle vennoten of aandeelhouders van de vennootschap eveneens unaniem daarmee instemmen.</w:t>
      </w:r>
    </w:p>
    <w:p>
      <w:pPr>
        <w:pStyle w:val="BodyText"/>
        <w:spacing w:line="218" w:lineRule="auto" w:before="86"/>
      </w:pPr>
      <w:r>
        <w:rPr>
          <w:color w:val="231F20"/>
        </w:rPr>
        <w:t>Indien zulks niet gebeurt, blijft het besluit tot omzetting zonder gevolg.</w:t>
      </w:r>
    </w:p>
    <w:p>
      <w:pPr>
        <w:pStyle w:val="BodyText"/>
        <w:spacing w:line="218" w:lineRule="auto" w:before="96"/>
      </w:pPr>
      <w:r>
        <w:rPr>
          <w:color w:val="231F20"/>
        </w:rPr>
        <w:t>Art. 14:35. De omzetting wordt, op straffe van nietigheid, bij authentieke akte vastgesteld.</w:t>
      </w:r>
    </w:p>
    <w:p>
      <w:pPr>
        <w:pStyle w:val="BodyText"/>
        <w:spacing w:line="218" w:lineRule="auto" w:before="96"/>
      </w:pPr>
      <w:r>
        <w:rPr>
          <w:color w:val="231F20"/>
        </w:rPr>
        <w:t>In die akte worden de conclusies van het verslag van de commissaris, de bedrijfsrevisor of de externe accountant overgenomen.</w:t>
      </w:r>
    </w:p>
    <w:p>
      <w:pPr>
        <w:pStyle w:val="BodyText"/>
        <w:spacing w:line="218" w:lineRule="auto" w:before="96"/>
      </w:pPr>
      <w:r>
        <w:rPr>
          <w:color w:val="231F20"/>
        </w:rPr>
        <w:t>De akte van omzetting en de statuten worden gelijktijdig neergelegd en bekendgemaakt overeenkomstig de artikelen 2:8 en 2:14, 1°. De akte van omzetting wordt bekendgemaakt in haar geheel; de statuten worden enkel bij uittreksel</w:t>
      </w:r>
      <w:r>
        <w:rPr>
          <w:color w:val="231F20"/>
          <w:spacing w:val="20"/>
        </w:rPr>
        <w:t> </w:t>
      </w:r>
      <w:r>
        <w:rPr>
          <w:color w:val="231F20"/>
        </w:rPr>
        <w:t>bekendgemaakt.</w:t>
      </w:r>
    </w:p>
    <w:p>
      <w:pPr>
        <w:pStyle w:val="BodyText"/>
        <w:spacing w:line="218" w:lineRule="auto" w:before="97"/>
      </w:pPr>
      <w:r>
        <w:rPr>
          <w:color w:val="231F20"/>
          <w:spacing w:val="-6"/>
        </w:rPr>
        <w:t>Van </w:t>
      </w:r>
      <w:r>
        <w:rPr>
          <w:color w:val="231F20"/>
        </w:rPr>
        <w:t>de authentieke of onderhandse volmachten alsook van het verslag van de commissaris, bedrijfsrevisor of externe accountant worden een uitgifte dan wel het origineel neergelegd, samen met de akte waarop zij betrekking</w:t>
      </w:r>
      <w:r>
        <w:rPr>
          <w:color w:val="231F20"/>
          <w:spacing w:val="19"/>
        </w:rPr>
        <w:t> </w:t>
      </w:r>
      <w:r>
        <w:rPr>
          <w:color w:val="231F20"/>
        </w:rPr>
        <w:t>hebben.</w:t>
      </w:r>
    </w:p>
    <w:p>
      <w:pPr>
        <w:pStyle w:val="BodyText"/>
        <w:spacing w:line="218" w:lineRule="auto" w:before="96"/>
      </w:pPr>
      <w:r>
        <w:rPr>
          <w:color w:val="231F20"/>
        </w:rPr>
        <w:t>In geval van omzetting van een vennootschap in een IVZW heeft de akte van omzetting pas uitwerking na de goedkeuring door de Koning.</w:t>
      </w:r>
    </w:p>
    <w:p>
      <w:pPr>
        <w:pStyle w:val="BodyText"/>
        <w:spacing w:line="218" w:lineRule="auto" w:before="96"/>
      </w:pPr>
      <w:r>
        <w:rPr>
          <w:color w:val="231F20"/>
        </w:rPr>
        <w:t>De omzetting kan aan derden slechts worden tegengeworpen onder de voorwaarden bepaald in artikel 2:18.</w:t>
      </w:r>
    </w:p>
    <w:p>
      <w:pPr>
        <w:pStyle w:val="BodyText"/>
        <w:spacing w:line="218" w:lineRule="auto" w:before="96"/>
      </w:pPr>
      <w:r>
        <w:rPr>
          <w:color w:val="231F20"/>
        </w:rPr>
        <w:t>Art. 14:36. In geval van omzetting van een vennootschap onder firma of een commanditaire vennootschap blijven de vennoten onder firma of de gecommanditeerde vennoten hoofdelijk en onbeperkt aansprakelijk ten aanzien van derden voor alle verbintenissen van de vennootschap voorafgaand aan de dag waarop de akte van omzetting aan derden kan worden tegengeworpen overeenkomstig artikel 2:18.</w:t>
      </w:r>
    </w:p>
    <w:p>
      <w:pPr>
        <w:pStyle w:val="BodyText"/>
        <w:spacing w:line="218" w:lineRule="auto" w:before="97"/>
      </w:pPr>
      <w:r>
        <w:rPr>
          <w:color w:val="231F20"/>
        </w:rPr>
        <w:t>TITEL 3. Omzetting van een VZW in een erkende CVSO of een CV erkend als SO.</w:t>
      </w:r>
    </w:p>
    <w:p>
      <w:pPr>
        <w:pStyle w:val="BodyText"/>
        <w:spacing w:line="218" w:lineRule="auto" w:before="96"/>
      </w:pPr>
      <w:r>
        <w:rPr>
          <w:color w:val="231F20"/>
        </w:rPr>
        <w:t>Art. 14:37. De VZW kan worden omgezet in een erkende CVSO of   een CV erkend als</w:t>
      </w:r>
      <w:r>
        <w:rPr>
          <w:color w:val="231F20"/>
          <w:spacing w:val="20"/>
        </w:rPr>
        <w:t> </w:t>
      </w:r>
      <w:r>
        <w:rPr>
          <w:color w:val="231F20"/>
        </w:rPr>
        <w:t>SO.</w:t>
      </w:r>
    </w:p>
    <w:p>
      <w:pPr>
        <w:pStyle w:val="BodyText"/>
        <w:spacing w:line="218" w:lineRule="auto" w:before="96"/>
      </w:pPr>
      <w:r>
        <w:rPr>
          <w:color w:val="231F20"/>
        </w:rPr>
        <w:t>Deze omzetting laat de rechtspersoonlijkheid van de VZW die blijft voortbestaan in de vorm van een coöperatieve vennootschap, onverlet.</w:t>
      </w:r>
    </w:p>
    <w:p>
      <w:pPr>
        <w:pStyle w:val="BodyText"/>
        <w:spacing w:before="10"/>
        <w:ind w:left="0" w:right="0" w:firstLine="0"/>
        <w:jc w:val="left"/>
        <w:rPr>
          <w:sz w:val="23"/>
        </w:rPr>
      </w:pPr>
    </w:p>
    <w:p>
      <w:pPr>
        <w:pStyle w:val="BodyText"/>
        <w:spacing w:line="218" w:lineRule="auto"/>
      </w:pPr>
      <w:r>
        <w:rPr>
          <w:color w:val="231F20"/>
        </w:rPr>
        <w:t>Art. 14:38. Het voorstel tot omzetting wordt toegelicht in een verslag van het bestuursorgaan dat wordt vermeld in de agenda van de algemene vergadering.</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5"/>
        <w:ind w:left="283" w:right="0" w:firstLine="0"/>
        <w:jc w:val="left"/>
      </w:pPr>
      <w:r>
        <w:rPr/>
        <w:pict>
          <v:line style="position:absolute;mso-position-horizontal-relative:page;mso-position-vertical-relative:page;z-index:7432" from="298.170502pt,64.473pt" to="298.170502pt,812.819pt" stroked="true" strokeweight=".533pt" strokecolor="#231f20">
            <v:stroke dashstyle="solid"/>
            <w10:wrap type="none"/>
          </v:line>
        </w:pict>
      </w:r>
      <w:bookmarkStart w:name="_bookmark267" w:id="273"/>
      <w:bookmarkEnd w:id="273"/>
      <w:r>
        <w:rPr/>
      </w:r>
      <w:r>
        <w:rPr>
          <w:color w:val="231F20"/>
        </w:rPr>
        <w:t>À ce rapport sont joints les documents suivants:</w:t>
      </w:r>
    </w:p>
    <w:p>
      <w:pPr>
        <w:pStyle w:val="BodyText"/>
        <w:spacing w:line="218" w:lineRule="auto" w:before="114"/>
        <w:ind w:right="87"/>
      </w:pPr>
      <w:r>
        <w:rPr>
          <w:color w:val="231F20"/>
        </w:rPr>
        <w:t>1° le projet de statuts de la société coopérative en laquelle l’ASBL sera transformée;</w:t>
      </w:r>
    </w:p>
    <w:p>
      <w:pPr>
        <w:pStyle w:val="BodyText"/>
        <w:spacing w:line="218" w:lineRule="auto" w:before="118"/>
        <w:ind w:right="42"/>
      </w:pPr>
      <w:r>
        <w:rPr>
          <w:color w:val="231F20"/>
        </w:rPr>
        <w:t>2° un état résumant la situation active et passive de l’ASBL, clôturé à une date ne remontant pas à plus de trois mois avant l’assemblée générale appelée à statuer sur le projet de transformation et dans lequel les actifs et les passifs sont évalués à la juste valeur;</w:t>
      </w:r>
    </w:p>
    <w:p>
      <w:pPr>
        <w:pStyle w:val="BodyText"/>
        <w:spacing w:line="218" w:lineRule="auto" w:before="117"/>
        <w:ind w:right="87"/>
      </w:pPr>
      <w:r>
        <w:rPr>
          <w:color w:val="231F20"/>
        </w:rPr>
        <w:t>3° le rapport du commissaire de l’ASBL, ou, lorsqu’il n’y a pas de commissaire, d’un réviseur d’entreprises ou de l’expert-comptable externe désigné par l’organe d’administration sur cet état qui indique notamment s’il y a eu surestimation de l’actif net.</w:t>
      </w:r>
    </w:p>
    <w:p>
      <w:pPr>
        <w:pStyle w:val="BodyText"/>
        <w:spacing w:line="218" w:lineRule="auto" w:before="118"/>
        <w:ind w:right="87"/>
      </w:pPr>
      <w:r>
        <w:rPr>
          <w:color w:val="231F20"/>
        </w:rPr>
        <w:t>Une copie du rapport de l’organe d’administration et de ses annexes est</w:t>
      </w:r>
      <w:r>
        <w:rPr>
          <w:color w:val="231F20"/>
          <w:spacing w:val="-8"/>
        </w:rPr>
        <w:t> </w:t>
      </w:r>
      <w:r>
        <w:rPr>
          <w:color w:val="231F20"/>
        </w:rPr>
        <w:t>adressée</w:t>
      </w:r>
      <w:r>
        <w:rPr>
          <w:color w:val="231F20"/>
          <w:spacing w:val="-7"/>
        </w:rPr>
        <w:t> </w:t>
      </w:r>
      <w:r>
        <w:rPr>
          <w:color w:val="231F20"/>
        </w:rPr>
        <w:t>conformément</w:t>
      </w:r>
      <w:r>
        <w:rPr>
          <w:color w:val="231F20"/>
          <w:spacing w:val="-8"/>
        </w:rPr>
        <w:t> </w:t>
      </w:r>
      <w:r>
        <w:rPr>
          <w:color w:val="231F20"/>
        </w:rPr>
        <w:t>à</w:t>
      </w:r>
      <w:r>
        <w:rPr>
          <w:color w:val="231F20"/>
          <w:spacing w:val="-7"/>
        </w:rPr>
        <w:t> </w:t>
      </w:r>
      <w:r>
        <w:rPr>
          <w:color w:val="231F20"/>
        </w:rPr>
        <w:t>l’article</w:t>
      </w:r>
      <w:r>
        <w:rPr>
          <w:color w:val="231F20"/>
          <w:spacing w:val="-7"/>
        </w:rPr>
        <w:t> </w:t>
      </w:r>
      <w:r>
        <w:rPr>
          <w:color w:val="231F20"/>
        </w:rPr>
        <w:t>2:32</w:t>
      </w:r>
      <w:r>
        <w:rPr>
          <w:color w:val="231F20"/>
          <w:spacing w:val="-7"/>
        </w:rPr>
        <w:t> </w:t>
      </w:r>
      <w:r>
        <w:rPr>
          <w:color w:val="231F20"/>
        </w:rPr>
        <w:t>aux</w:t>
      </w:r>
      <w:r>
        <w:rPr>
          <w:color w:val="231F20"/>
          <w:spacing w:val="-7"/>
        </w:rPr>
        <w:t> </w:t>
      </w:r>
      <w:r>
        <w:rPr>
          <w:color w:val="231F20"/>
        </w:rPr>
        <w:t>membres</w:t>
      </w:r>
      <w:r>
        <w:rPr>
          <w:color w:val="231F20"/>
          <w:spacing w:val="-7"/>
        </w:rPr>
        <w:t> </w:t>
      </w:r>
      <w:r>
        <w:rPr>
          <w:color w:val="231F20"/>
        </w:rPr>
        <w:t>en</w:t>
      </w:r>
      <w:r>
        <w:rPr>
          <w:color w:val="231F20"/>
          <w:spacing w:val="-7"/>
        </w:rPr>
        <w:t> </w:t>
      </w:r>
      <w:r>
        <w:rPr>
          <w:color w:val="231F20"/>
        </w:rPr>
        <w:t>même</w:t>
      </w:r>
      <w:r>
        <w:rPr>
          <w:color w:val="231F20"/>
          <w:spacing w:val="-7"/>
        </w:rPr>
        <w:t> </w:t>
      </w:r>
      <w:r>
        <w:rPr>
          <w:color w:val="231F20"/>
        </w:rPr>
        <w:t>temps que la convocation à l’assemblée générale appelée à statuer sur la transformation.</w:t>
      </w:r>
    </w:p>
    <w:p>
      <w:pPr>
        <w:pStyle w:val="BodyText"/>
        <w:spacing w:line="218" w:lineRule="auto" w:before="118"/>
        <w:ind w:right="87"/>
      </w:pPr>
      <w:r>
        <w:rPr>
          <w:color w:val="231F20"/>
        </w:rPr>
        <w:t>Art. 14:39. La décision de transformation est soumise aux conditions de l’article 9:21, alinéas 3 et 4.</w:t>
      </w:r>
    </w:p>
    <w:p>
      <w:pPr>
        <w:pStyle w:val="BodyText"/>
        <w:spacing w:line="218" w:lineRule="auto" w:before="117"/>
        <w:ind w:right="87"/>
      </w:pPr>
      <w:r>
        <w:rPr>
          <w:color w:val="231F20"/>
        </w:rPr>
        <w:t>Immédiatement après la décision de transformation, les statuts de la société coopérative issue de cette transformation sont arrêtés aux mêmes conditions. A défaut, la décision de transformation reste sans effet.</w:t>
      </w:r>
    </w:p>
    <w:p>
      <w:pPr>
        <w:pStyle w:val="BodyText"/>
        <w:spacing w:line="201" w:lineRule="auto" w:before="129"/>
        <w:ind w:right="87"/>
      </w:pPr>
      <w:r>
        <w:rPr>
          <w:color w:val="231F20"/>
        </w:rPr>
        <w:t>Les convocations à l’assemblée générale reproduisent le texte des alinéas 1</w:t>
      </w:r>
      <w:r>
        <w:rPr>
          <w:color w:val="231F20"/>
          <w:position w:val="7"/>
          <w:sz w:val="11"/>
        </w:rPr>
        <w:t>er </w:t>
      </w:r>
      <w:r>
        <w:rPr>
          <w:color w:val="231F20"/>
        </w:rPr>
        <w:t>et 2.</w:t>
      </w:r>
    </w:p>
    <w:p>
      <w:pPr>
        <w:pStyle w:val="BodyText"/>
        <w:spacing w:line="218" w:lineRule="auto" w:before="118"/>
        <w:ind w:right="88"/>
      </w:pPr>
      <w:r>
        <w:rPr>
          <w:color w:val="231F20"/>
        </w:rPr>
        <w:t>Art. 14:40. La transformation est, à peine de nullité, constatée par un acte authentique.</w:t>
      </w:r>
    </w:p>
    <w:p>
      <w:pPr>
        <w:pStyle w:val="BodyText"/>
        <w:spacing w:line="218" w:lineRule="auto" w:before="128"/>
        <w:ind w:right="87"/>
      </w:pPr>
      <w:r>
        <w:rPr>
          <w:color w:val="231F20"/>
        </w:rPr>
        <w:t>Cet acte reproduit les conclusions du rapport établi par le commis- saire ou par le réviseur d’entreprises ou l’expert-comptable externe.</w:t>
      </w:r>
    </w:p>
    <w:p>
      <w:pPr>
        <w:pStyle w:val="BodyText"/>
        <w:spacing w:line="218" w:lineRule="auto" w:before="128"/>
        <w:ind w:right="87"/>
      </w:pPr>
      <w:r>
        <w:rPr>
          <w:color w:val="231F20"/>
        </w:rPr>
        <w:t>L’acte de transformation et les statuts sont déposés et publiés simultanément conformément aux articles 2:8 et 2:14, 1°. L’acte de transformation est publié en entier; les statuts le sont par extrait seulement.</w:t>
      </w:r>
    </w:p>
    <w:p>
      <w:pPr>
        <w:pStyle w:val="BodyText"/>
        <w:spacing w:line="218" w:lineRule="auto" w:before="128"/>
        <w:ind w:right="87"/>
      </w:pPr>
      <w:r>
        <w:rPr>
          <w:color w:val="231F20"/>
        </w:rPr>
        <w:t>Les mandats authentiques ou sous seing privés sont, ainsi que le rapport du commissaire ou du réviseur d’entreprises ou de l’expert- comptable externe, déposés en expédition ou en original en même temps que l’acte auquel ils se rapportent.</w:t>
      </w:r>
    </w:p>
    <w:p>
      <w:pPr>
        <w:pStyle w:val="BodyText"/>
        <w:spacing w:line="218" w:lineRule="auto" w:before="129"/>
        <w:ind w:right="87"/>
      </w:pPr>
      <w:r>
        <w:rPr>
          <w:color w:val="231F20"/>
        </w:rPr>
        <w:t>La transformation est opposable aux tiers aux conditions prévues à l’article 2:18.</w:t>
      </w:r>
    </w:p>
    <w:p>
      <w:pPr>
        <w:pStyle w:val="BodyText"/>
        <w:spacing w:line="199" w:lineRule="exact" w:before="99"/>
        <w:ind w:left="283" w:right="0" w:firstLine="0"/>
        <w:jc w:val="left"/>
      </w:pPr>
      <w:r>
        <w:rPr>
          <w:color w:val="231F20"/>
        </w:rPr>
        <w:t>Art. 14:41. Les articles 6:8, 6:10, 6:12, 6:13, alinéa 1</w:t>
      </w:r>
      <w:r>
        <w:rPr>
          <w:color w:val="231F20"/>
          <w:position w:val="7"/>
          <w:sz w:val="11"/>
        </w:rPr>
        <w:t>er</w:t>
      </w:r>
      <w:r>
        <w:rPr>
          <w:color w:val="231F20"/>
        </w:rPr>
        <w:t>, 2°, 5° et 8°, 6:16,</w:t>
      </w:r>
    </w:p>
    <w:p>
      <w:pPr>
        <w:pStyle w:val="BodyText"/>
        <w:spacing w:line="218" w:lineRule="auto" w:before="5"/>
        <w:ind w:right="87" w:firstLine="0"/>
      </w:pPr>
      <w:r>
        <w:rPr>
          <w:color w:val="231F20"/>
        </w:rPr>
        <w:t>6:17, 6:18, </w:t>
      </w:r>
      <w:r>
        <w:rPr>
          <w:color w:val="231F20"/>
          <w:spacing w:val="-4"/>
        </w:rPr>
        <w:t>6:111, </w:t>
      </w:r>
      <w:r>
        <w:rPr>
          <w:color w:val="231F20"/>
        </w:rPr>
        <w:t>6:112 et 6:113 ne sont pas applicables en cas de transformation d’une ASBL en une SCES agréée ou en SC agréee comme</w:t>
      </w:r>
      <w:r>
        <w:rPr>
          <w:color w:val="231F20"/>
          <w:spacing w:val="14"/>
        </w:rPr>
        <w:t> </w:t>
      </w:r>
      <w:r>
        <w:rPr>
          <w:color w:val="231F20"/>
        </w:rPr>
        <w:t>ES.</w:t>
      </w:r>
    </w:p>
    <w:p>
      <w:pPr>
        <w:pStyle w:val="BodyText"/>
        <w:spacing w:line="213" w:lineRule="auto" w:before="131"/>
        <w:ind w:right="53"/>
        <w:jc w:val="left"/>
      </w:pPr>
      <w:r>
        <w:rPr>
          <w:color w:val="231F20"/>
        </w:rPr>
        <w:t>Art. 14:42. L’actif net de l’ASBL tel qu’il résulte de l’état  visé  à  l’article 14:38 doit être identifié dans les comptes annuels de la société coopérative et versé sur un compte de réserve indisponible, auquel s’applique l’article 8:5, § </w:t>
      </w:r>
      <w:r>
        <w:rPr>
          <w:color w:val="231F20"/>
          <w:spacing w:val="3"/>
        </w:rPr>
        <w:t>1</w:t>
      </w:r>
      <w:r>
        <w:rPr>
          <w:color w:val="231F20"/>
          <w:spacing w:val="3"/>
          <w:position w:val="7"/>
          <w:sz w:val="11"/>
        </w:rPr>
        <w:t>er</w:t>
      </w:r>
      <w:r>
        <w:rPr>
          <w:color w:val="231F20"/>
          <w:spacing w:val="3"/>
        </w:rPr>
        <w:t>,</w:t>
      </w:r>
      <w:r>
        <w:rPr>
          <w:color w:val="231F20"/>
          <w:spacing w:val="31"/>
        </w:rPr>
        <w:t> </w:t>
      </w:r>
      <w:r>
        <w:rPr>
          <w:color w:val="231F20"/>
        </w:rPr>
        <w:t>3 °.</w:t>
      </w:r>
    </w:p>
    <w:p>
      <w:pPr>
        <w:pStyle w:val="BodyText"/>
        <w:spacing w:line="218" w:lineRule="auto" w:before="126"/>
        <w:ind w:right="87"/>
      </w:pPr>
      <w:r>
        <w:rPr>
          <w:color w:val="231F20"/>
        </w:rPr>
        <w:t>Art. 14:43. Le montant visé à l’article 14:42 ne peut faire l’objet, sous quelque forme que ce soit, d’un remboursement aux actionnaires ou d’une distribution.</w:t>
      </w:r>
    </w:p>
    <w:p>
      <w:pPr>
        <w:pStyle w:val="BodyText"/>
        <w:spacing w:line="213" w:lineRule="auto" w:before="131"/>
        <w:ind w:right="87"/>
      </w:pPr>
      <w:r>
        <w:rPr>
          <w:color w:val="231F20"/>
        </w:rPr>
        <w:t>Après le règlement de tous les créanciers de la société coopérative à l’occasion de la liquidation, le liquidateur ou, le cas échéant, le curateur donne à ce montant une affectation qui se rapproche autant que possible du but assigné à la société conformément à l’article 8:5, § 1</w:t>
      </w:r>
      <w:r>
        <w:rPr>
          <w:color w:val="231F20"/>
          <w:position w:val="7"/>
          <w:sz w:val="11"/>
        </w:rPr>
        <w:t>er</w:t>
      </w:r>
      <w:r>
        <w:rPr>
          <w:color w:val="231F20"/>
        </w:rPr>
        <w:t>.</w:t>
      </w:r>
    </w:p>
    <w:p>
      <w:pPr>
        <w:pStyle w:val="BodyText"/>
        <w:spacing w:before="6"/>
        <w:ind w:left="0" w:right="0" w:firstLine="0"/>
        <w:jc w:val="left"/>
        <w:rPr>
          <w:sz w:val="26"/>
        </w:rPr>
      </w:pPr>
    </w:p>
    <w:p>
      <w:pPr>
        <w:pStyle w:val="BodyText"/>
        <w:spacing w:line="218" w:lineRule="auto"/>
        <w:ind w:right="87"/>
      </w:pPr>
      <w:r>
        <w:rPr>
          <w:color w:val="231F20"/>
        </w:rPr>
        <w:t>À défaut, le tribunal condamne solidairement, à la requête d’un actionnaire, d’un tiers intéressé ou du ministère public, les membres de l’organe d’administration au paiement des sommes distribuées ou à la réparation de toutes les conséquences résultant de la méconnaissance des exigences prévues ci-dessus à propos de l’affectation du montant visé à l’article 14:42.</w:t>
      </w:r>
    </w:p>
    <w:p>
      <w:pPr>
        <w:pStyle w:val="BodyText"/>
        <w:spacing w:line="216" w:lineRule="auto" w:before="130"/>
        <w:ind w:right="87"/>
      </w:pPr>
      <w:r>
        <w:rPr>
          <w:color w:val="231F20"/>
        </w:rPr>
        <w:t>Art. 14:44. A la requête soit d’un actionnaire, soit d’un tiers intéressé, soit du ministère public, le tribunal condamne solidairement les membres de l’organe d’administration, le(s) liquidateur(s), ou le(s) curateur(s) au paiement des sommes qui auraient été remboursées ou distribuées en contrariété avec l’article 14:43, alinéa 1</w:t>
      </w:r>
      <w:r>
        <w:rPr>
          <w:color w:val="231F20"/>
          <w:position w:val="7"/>
          <w:sz w:val="11"/>
        </w:rPr>
        <w:t>er</w:t>
      </w:r>
      <w:r>
        <w:rPr>
          <w:color w:val="231F20"/>
        </w:rPr>
        <w:t>. Les sommes ainsi récupérées sont soit versées à un compte de réserve indisponible, soit affectées par le tribunal conformément à l’article 14:43, alinéa 2.</w:t>
      </w:r>
    </w:p>
    <w:p>
      <w:pPr>
        <w:pStyle w:val="BodyText"/>
        <w:spacing w:before="2"/>
        <w:ind w:left="0" w:right="0" w:firstLine="0"/>
        <w:jc w:val="left"/>
        <w:rPr>
          <w:sz w:val="25"/>
        </w:rPr>
      </w:pPr>
    </w:p>
    <w:p>
      <w:pPr>
        <w:pStyle w:val="BodyText"/>
        <w:spacing w:line="218" w:lineRule="auto" w:before="1"/>
        <w:ind w:right="87"/>
      </w:pPr>
      <w:r>
        <w:rPr>
          <w:color w:val="231F20"/>
        </w:rPr>
        <w:t>Les personnes visées à l’alinéa 1</w:t>
      </w:r>
      <w:r>
        <w:rPr>
          <w:color w:val="231F20"/>
          <w:position w:val="7"/>
          <w:sz w:val="11"/>
        </w:rPr>
        <w:t>er </w:t>
      </w:r>
      <w:r>
        <w:rPr>
          <w:color w:val="231F20"/>
        </w:rPr>
        <w:t>peuvent aussi agir contre les bénéficiaires si elles prouvent que ceux-ci connaissaient l’irrégularité du remboursement ou de la distribution en leur faveur ou ne pouvaient l’ignorer compte tenu des</w:t>
      </w:r>
      <w:r>
        <w:rPr>
          <w:color w:val="231F20"/>
          <w:spacing w:val="18"/>
        </w:rPr>
        <w:t> </w:t>
      </w:r>
      <w:r>
        <w:rPr>
          <w:color w:val="231F20"/>
        </w:rPr>
        <w:t>circonstances.</w:t>
      </w:r>
    </w:p>
    <w:p>
      <w:pPr>
        <w:pStyle w:val="BodyText"/>
        <w:spacing w:before="105"/>
        <w:ind w:left="283" w:right="0" w:firstLine="0"/>
        <w:jc w:val="left"/>
      </w:pPr>
      <w:r>
        <w:rPr/>
        <w:br w:type="column"/>
      </w:r>
      <w:r>
        <w:rPr>
          <w:color w:val="231F20"/>
        </w:rPr>
        <w:t>Bij dat verslag worden de volgende documenten gevoegd:</w:t>
      </w:r>
    </w:p>
    <w:p>
      <w:pPr>
        <w:pStyle w:val="BodyText"/>
        <w:spacing w:line="218" w:lineRule="auto" w:before="114"/>
      </w:pPr>
      <w:r>
        <w:rPr>
          <w:color w:val="231F20"/>
        </w:rPr>
        <w:t>1° het ontwerp van de statuten van de coöperatieve vennootschap waarin de VZW zal worden omgezet;</w:t>
      </w:r>
    </w:p>
    <w:p>
      <w:pPr>
        <w:pStyle w:val="BodyText"/>
        <w:spacing w:line="218" w:lineRule="auto" w:before="118"/>
      </w:pPr>
      <w:r>
        <w:rPr>
          <w:color w:val="231F20"/>
        </w:rPr>
        <w:t>2° een staat van activa en passiva van de VZW, die niet meer dan drie maanden vóór de algemene vergadering die over het voorstel tot omzetting moet besluiten is afgesloten waarbij de activa en passiva worden gewaardeerd tegen werkelijke waarde;</w:t>
      </w:r>
    </w:p>
    <w:p>
      <w:pPr>
        <w:pStyle w:val="BodyText"/>
        <w:spacing w:line="218" w:lineRule="auto" w:before="117"/>
      </w:pPr>
      <w:r>
        <w:rPr>
          <w:color w:val="231F20"/>
        </w:rPr>
        <w:t>3° het verslag van de commissaris van de VZW of, als er geen commissaris is, een door het bestuursorgaan aangewezen bedrijfsrevi- sor of externe accountant over die staat, waarin hij inzonderheid aangeeft of er overwaardering van het nettoactief heeft plaatsgehad.</w:t>
      </w:r>
    </w:p>
    <w:p>
      <w:pPr>
        <w:pStyle w:val="BodyText"/>
        <w:spacing w:line="218" w:lineRule="auto" w:before="118"/>
      </w:pPr>
      <w:r>
        <w:rPr>
          <w:color w:val="231F20"/>
        </w:rPr>
        <w:t>Een kopie van het verslag van het bestuursorgaan en van de bijlagen erbij worden overeenkomstig artikel 2:32 gericht aan de leden, tezelf- dertijd als de oproepingsbrief voor de algemene vergadering die zich over de omzetting moet uitspreken.</w:t>
      </w:r>
    </w:p>
    <w:p>
      <w:pPr>
        <w:pStyle w:val="BodyText"/>
        <w:spacing w:line="218" w:lineRule="auto" w:before="118"/>
      </w:pPr>
      <w:r>
        <w:rPr>
          <w:color w:val="231F20"/>
        </w:rPr>
        <w:t>Art. 14:39. Het besluit tot omzetting is onderworpen aan de voorwaarden van artikel 9:21, derde en vierde lid.</w:t>
      </w:r>
    </w:p>
    <w:p>
      <w:pPr>
        <w:pStyle w:val="BodyText"/>
        <w:spacing w:line="218" w:lineRule="auto" w:before="117"/>
      </w:pPr>
      <w:r>
        <w:rPr>
          <w:color w:val="231F20"/>
        </w:rPr>
        <w:t>Onmiddellijk na het besluit tot omzetting worden de statuten van de coöperatieve vennootschap die uit deze omzetting is ontstaan, vastge- steld onder dezelfde voorwaarden. Bij gebrek daaraan blijft het besluit tot omzetting zonder gevolg.</w:t>
      </w:r>
    </w:p>
    <w:p>
      <w:pPr>
        <w:pStyle w:val="BodyText"/>
        <w:spacing w:line="218" w:lineRule="auto" w:before="118"/>
      </w:pPr>
      <w:r>
        <w:rPr>
          <w:color w:val="231F20"/>
        </w:rPr>
        <w:t>In de oproepingsbrief voor de algemene vergadering wordt de tekst van het eerste en tweede lid opgenomen.</w:t>
      </w:r>
    </w:p>
    <w:p>
      <w:pPr>
        <w:pStyle w:val="BodyText"/>
        <w:spacing w:line="218" w:lineRule="auto" w:before="117"/>
      </w:pPr>
      <w:r>
        <w:rPr>
          <w:color w:val="231F20"/>
        </w:rPr>
        <w:t>Art. 14:40. De omzetting wordt, op straffe van nietigheid, bij authentieke akte vastgesteld.</w:t>
      </w:r>
    </w:p>
    <w:p>
      <w:pPr>
        <w:pStyle w:val="BodyText"/>
        <w:spacing w:line="218" w:lineRule="auto" w:before="128"/>
      </w:pPr>
      <w:r>
        <w:rPr>
          <w:color w:val="231F20"/>
        </w:rPr>
        <w:t>In die akte worden de conclusies van het verslag van de commissaris of van de bedrijfsrevisor of externe accountant overgenomen.</w:t>
      </w:r>
    </w:p>
    <w:p>
      <w:pPr>
        <w:pStyle w:val="BodyText"/>
        <w:spacing w:line="218" w:lineRule="auto" w:before="128"/>
      </w:pPr>
      <w:r>
        <w:rPr>
          <w:color w:val="231F20"/>
        </w:rPr>
        <w:t>De akte van omzetting en de statuten worden gelijktijdig neergelegd en bekendgemaakt overeenkomstig de artikelen 2:8 en 2:14, 1°. De akte van omzetting wordt bekendgemaakt in haar geheel; de statuten worden enkel bij uittreksel</w:t>
      </w:r>
      <w:r>
        <w:rPr>
          <w:color w:val="231F20"/>
          <w:spacing w:val="20"/>
        </w:rPr>
        <w:t> </w:t>
      </w:r>
      <w:r>
        <w:rPr>
          <w:color w:val="231F20"/>
        </w:rPr>
        <w:t>bekendgemaakt.</w:t>
      </w:r>
    </w:p>
    <w:p>
      <w:pPr>
        <w:pStyle w:val="BodyText"/>
        <w:spacing w:line="218" w:lineRule="auto" w:before="128"/>
      </w:pPr>
      <w:r>
        <w:rPr>
          <w:color w:val="231F20"/>
          <w:spacing w:val="-6"/>
        </w:rPr>
        <w:t>Van </w:t>
      </w:r>
      <w:r>
        <w:rPr>
          <w:color w:val="231F20"/>
        </w:rPr>
        <w:t>authentieke of onderhandse volmachten alsook van het verslag van de commissaris of van de bedrijfsrevisor of externe accountant worden een uitgifte dan wel het origineel neergelegd, samen met de akte waarop zij betrekking</w:t>
      </w:r>
      <w:r>
        <w:rPr>
          <w:color w:val="231F20"/>
          <w:spacing w:val="19"/>
        </w:rPr>
        <w:t> </w:t>
      </w:r>
      <w:r>
        <w:rPr>
          <w:color w:val="231F20"/>
        </w:rPr>
        <w:t>hebben.</w:t>
      </w:r>
    </w:p>
    <w:p>
      <w:pPr>
        <w:pStyle w:val="BodyText"/>
        <w:spacing w:line="218" w:lineRule="auto" w:before="129"/>
      </w:pPr>
      <w:r>
        <w:rPr>
          <w:color w:val="231F20"/>
        </w:rPr>
        <w:t>De omzetting kan aan derden worden tegengeworpen volgens de bepalingen van artikel 2:18.</w:t>
      </w:r>
    </w:p>
    <w:p>
      <w:pPr>
        <w:pStyle w:val="BodyText"/>
        <w:spacing w:line="185" w:lineRule="exact" w:before="114"/>
        <w:ind w:left="283" w:right="0" w:firstLine="0"/>
        <w:jc w:val="left"/>
      </w:pPr>
      <w:r>
        <w:rPr>
          <w:color w:val="231F20"/>
        </w:rPr>
        <w:t>Art.</w:t>
      </w:r>
      <w:r>
        <w:rPr>
          <w:color w:val="231F20"/>
          <w:spacing w:val="-15"/>
        </w:rPr>
        <w:t> </w:t>
      </w:r>
      <w:r>
        <w:rPr>
          <w:color w:val="231F20"/>
        </w:rPr>
        <w:t>14:41.</w:t>
      </w:r>
      <w:r>
        <w:rPr>
          <w:color w:val="231F20"/>
          <w:spacing w:val="-15"/>
        </w:rPr>
        <w:t> </w:t>
      </w:r>
      <w:r>
        <w:rPr>
          <w:color w:val="231F20"/>
        </w:rPr>
        <w:t>De</w:t>
      </w:r>
      <w:r>
        <w:rPr>
          <w:color w:val="231F20"/>
          <w:spacing w:val="-14"/>
        </w:rPr>
        <w:t> </w:t>
      </w:r>
      <w:r>
        <w:rPr>
          <w:color w:val="231F20"/>
        </w:rPr>
        <w:t>artikelen</w:t>
      </w:r>
      <w:r>
        <w:rPr>
          <w:color w:val="231F20"/>
          <w:spacing w:val="-15"/>
        </w:rPr>
        <w:t> </w:t>
      </w:r>
      <w:r>
        <w:rPr>
          <w:color w:val="231F20"/>
        </w:rPr>
        <w:t>6:8,</w:t>
      </w:r>
      <w:r>
        <w:rPr>
          <w:color w:val="231F20"/>
          <w:spacing w:val="-15"/>
        </w:rPr>
        <w:t> </w:t>
      </w:r>
      <w:r>
        <w:rPr>
          <w:color w:val="231F20"/>
        </w:rPr>
        <w:t>6:10,</w:t>
      </w:r>
      <w:r>
        <w:rPr>
          <w:color w:val="231F20"/>
          <w:spacing w:val="-14"/>
        </w:rPr>
        <w:t> </w:t>
      </w:r>
      <w:r>
        <w:rPr>
          <w:color w:val="231F20"/>
        </w:rPr>
        <w:t>6:12,</w:t>
      </w:r>
      <w:r>
        <w:rPr>
          <w:color w:val="231F20"/>
          <w:spacing w:val="-15"/>
        </w:rPr>
        <w:t> </w:t>
      </w:r>
      <w:r>
        <w:rPr>
          <w:color w:val="231F20"/>
        </w:rPr>
        <w:t>6:13,</w:t>
      </w:r>
      <w:r>
        <w:rPr>
          <w:color w:val="231F20"/>
          <w:spacing w:val="-15"/>
        </w:rPr>
        <w:t> </w:t>
      </w:r>
      <w:r>
        <w:rPr>
          <w:color w:val="231F20"/>
        </w:rPr>
        <w:t>eerste</w:t>
      </w:r>
      <w:r>
        <w:rPr>
          <w:color w:val="231F20"/>
          <w:spacing w:val="-14"/>
        </w:rPr>
        <w:t> </w:t>
      </w:r>
      <w:r>
        <w:rPr>
          <w:color w:val="231F20"/>
        </w:rPr>
        <w:t>lid,</w:t>
      </w:r>
      <w:r>
        <w:rPr>
          <w:color w:val="231F20"/>
          <w:spacing w:val="-15"/>
        </w:rPr>
        <w:t> </w:t>
      </w:r>
      <w:r>
        <w:rPr>
          <w:color w:val="231F20"/>
        </w:rPr>
        <w:t>2°,</w:t>
      </w:r>
      <w:r>
        <w:rPr>
          <w:color w:val="231F20"/>
          <w:spacing w:val="-15"/>
        </w:rPr>
        <w:t> </w:t>
      </w:r>
      <w:r>
        <w:rPr>
          <w:color w:val="231F20"/>
        </w:rPr>
        <w:t>5°</w:t>
      </w:r>
      <w:r>
        <w:rPr>
          <w:color w:val="231F20"/>
          <w:spacing w:val="-14"/>
        </w:rPr>
        <w:t> </w:t>
      </w:r>
      <w:r>
        <w:rPr>
          <w:color w:val="231F20"/>
        </w:rPr>
        <w:t>en</w:t>
      </w:r>
      <w:r>
        <w:rPr>
          <w:color w:val="231F20"/>
          <w:spacing w:val="-15"/>
        </w:rPr>
        <w:t> </w:t>
      </w:r>
      <w:r>
        <w:rPr>
          <w:color w:val="231F20"/>
        </w:rPr>
        <w:t>8°,</w:t>
      </w:r>
      <w:r>
        <w:rPr>
          <w:color w:val="231F20"/>
          <w:spacing w:val="-14"/>
        </w:rPr>
        <w:t> </w:t>
      </w:r>
      <w:r>
        <w:rPr>
          <w:color w:val="231F20"/>
        </w:rPr>
        <w:t>6:16,</w:t>
      </w:r>
    </w:p>
    <w:p>
      <w:pPr>
        <w:pStyle w:val="BodyText"/>
        <w:spacing w:line="218" w:lineRule="auto" w:before="5"/>
        <w:ind w:hanging="1"/>
        <w:jc w:val="center"/>
      </w:pPr>
      <w:r>
        <w:rPr>
          <w:color w:val="231F20"/>
        </w:rPr>
        <w:t>6:17, 6:18, </w:t>
      </w:r>
      <w:r>
        <w:rPr>
          <w:color w:val="231F20"/>
          <w:spacing w:val="-4"/>
        </w:rPr>
        <w:t>6:111, </w:t>
      </w:r>
      <w:r>
        <w:rPr>
          <w:color w:val="231F20"/>
        </w:rPr>
        <w:t>6:112 en 6:113 vinden geen toepassing in geval van omzetting</w:t>
      </w:r>
      <w:r>
        <w:rPr>
          <w:color w:val="231F20"/>
          <w:spacing w:val="5"/>
        </w:rPr>
        <w:t> </w:t>
      </w:r>
      <w:r>
        <w:rPr>
          <w:color w:val="231F20"/>
        </w:rPr>
        <w:t>van</w:t>
      </w:r>
      <w:r>
        <w:rPr>
          <w:color w:val="231F20"/>
          <w:spacing w:val="6"/>
        </w:rPr>
        <w:t> </w:t>
      </w:r>
      <w:r>
        <w:rPr>
          <w:color w:val="231F20"/>
        </w:rPr>
        <w:t>een</w:t>
      </w:r>
      <w:r>
        <w:rPr>
          <w:color w:val="231F20"/>
          <w:spacing w:val="5"/>
        </w:rPr>
        <w:t> </w:t>
      </w:r>
      <w:r>
        <w:rPr>
          <w:color w:val="231F20"/>
        </w:rPr>
        <w:t>VZW</w:t>
      </w:r>
      <w:r>
        <w:rPr>
          <w:color w:val="231F20"/>
          <w:spacing w:val="6"/>
        </w:rPr>
        <w:t> </w:t>
      </w:r>
      <w:r>
        <w:rPr>
          <w:color w:val="231F20"/>
        </w:rPr>
        <w:t>in</w:t>
      </w:r>
      <w:r>
        <w:rPr>
          <w:color w:val="231F20"/>
          <w:spacing w:val="5"/>
        </w:rPr>
        <w:t> </w:t>
      </w:r>
      <w:r>
        <w:rPr>
          <w:color w:val="231F20"/>
        </w:rPr>
        <w:t>een</w:t>
      </w:r>
      <w:r>
        <w:rPr>
          <w:color w:val="231F20"/>
          <w:spacing w:val="6"/>
        </w:rPr>
        <w:t> </w:t>
      </w:r>
      <w:r>
        <w:rPr>
          <w:color w:val="231F20"/>
        </w:rPr>
        <w:t>erkende</w:t>
      </w:r>
      <w:r>
        <w:rPr>
          <w:color w:val="231F20"/>
          <w:spacing w:val="5"/>
        </w:rPr>
        <w:t> </w:t>
      </w:r>
      <w:r>
        <w:rPr>
          <w:color w:val="231F20"/>
        </w:rPr>
        <w:t>CVSO</w:t>
      </w:r>
      <w:r>
        <w:rPr>
          <w:color w:val="231F20"/>
          <w:spacing w:val="6"/>
        </w:rPr>
        <w:t> </w:t>
      </w:r>
      <w:r>
        <w:rPr>
          <w:color w:val="231F20"/>
        </w:rPr>
        <w:t>of</w:t>
      </w:r>
      <w:r>
        <w:rPr>
          <w:color w:val="231F20"/>
          <w:spacing w:val="5"/>
        </w:rPr>
        <w:t> </w:t>
      </w:r>
      <w:r>
        <w:rPr>
          <w:color w:val="231F20"/>
        </w:rPr>
        <w:t>een</w:t>
      </w:r>
      <w:r>
        <w:rPr>
          <w:color w:val="231F20"/>
          <w:spacing w:val="6"/>
        </w:rPr>
        <w:t> </w:t>
      </w:r>
      <w:r>
        <w:rPr>
          <w:color w:val="231F20"/>
        </w:rPr>
        <w:t>CV</w:t>
      </w:r>
      <w:r>
        <w:rPr>
          <w:color w:val="231F20"/>
          <w:spacing w:val="5"/>
        </w:rPr>
        <w:t> </w:t>
      </w:r>
      <w:r>
        <w:rPr>
          <w:color w:val="231F20"/>
        </w:rPr>
        <w:t>erkend</w:t>
      </w:r>
      <w:r>
        <w:rPr>
          <w:color w:val="231F20"/>
          <w:spacing w:val="6"/>
        </w:rPr>
        <w:t> </w:t>
      </w:r>
      <w:r>
        <w:rPr>
          <w:color w:val="231F20"/>
        </w:rPr>
        <w:t>als</w:t>
      </w:r>
      <w:r>
        <w:rPr>
          <w:color w:val="231F20"/>
          <w:spacing w:val="5"/>
        </w:rPr>
        <w:t> </w:t>
      </w:r>
      <w:r>
        <w:rPr>
          <w:color w:val="231F20"/>
        </w:rPr>
        <w:t>SO.</w:t>
      </w:r>
    </w:p>
    <w:p>
      <w:pPr>
        <w:pStyle w:val="BodyText"/>
        <w:spacing w:before="8"/>
        <w:ind w:left="0" w:right="0" w:firstLine="0"/>
        <w:jc w:val="left"/>
        <w:rPr>
          <w:sz w:val="26"/>
        </w:rPr>
      </w:pPr>
    </w:p>
    <w:p>
      <w:pPr>
        <w:pStyle w:val="BodyText"/>
        <w:spacing w:line="218" w:lineRule="auto" w:before="1"/>
      </w:pPr>
      <w:r>
        <w:rPr>
          <w:color w:val="231F20"/>
        </w:rPr>
        <w:t>Art. 14:42. Het nettoactief van de VZW, zoals dat blijkt uit de staat bedoeld in artikel 14:38, moet in de jaarrekening van de coöperatieve vennootschap worden uitgedrukt en op een onbeschikbare reservere- kening worden geboekt, waarop artikel 8:5, § 1, 3°, toepassing vindt.</w:t>
      </w:r>
    </w:p>
    <w:p>
      <w:pPr>
        <w:pStyle w:val="BodyText"/>
        <w:spacing w:line="218" w:lineRule="auto" w:before="128"/>
      </w:pPr>
      <w:r>
        <w:rPr>
          <w:color w:val="231F20"/>
        </w:rPr>
        <w:t>Art. 14:43. Het bedrag bedoeld in artikel 14:42 mag niet aan de aandeelhouders worden terugbetaald of uitgekeerd, in welke vorm dan ook.</w:t>
      </w:r>
    </w:p>
    <w:p>
      <w:pPr>
        <w:pStyle w:val="BodyText"/>
        <w:spacing w:line="218" w:lineRule="auto" w:before="128"/>
      </w:pPr>
      <w:r>
        <w:rPr>
          <w:color w:val="231F20"/>
        </w:rPr>
        <w:t>Na voldoening van alle schuldeisers bij de vereffening van de coöperatieve vennootschap geeft de vereffenaar of, in voorkomend geval, de curator, aan voornoemd bedrag een bestemming die zoveel mogelijk aansluit bij het doel dat de coöperatieve vennootschap overeenkomstig artikel 8:5, § 1, heeft vooropgesteld.</w:t>
      </w:r>
    </w:p>
    <w:p>
      <w:pPr>
        <w:pStyle w:val="BodyText"/>
        <w:spacing w:line="218" w:lineRule="auto" w:before="128"/>
        <w:ind w:right="123"/>
      </w:pPr>
      <w:r>
        <w:rPr>
          <w:color w:val="231F20"/>
        </w:rPr>
        <w:t>Gebeurt dat niet, dan veroordeelt de rechtbank, op verzoek van een aandeelhouder, van een belanghebbende derde of van het</w:t>
      </w:r>
      <w:r>
        <w:rPr>
          <w:color w:val="231F20"/>
          <w:spacing w:val="25"/>
        </w:rPr>
        <w:t> </w:t>
      </w:r>
      <w:r>
        <w:rPr>
          <w:color w:val="231F20"/>
        </w:rPr>
        <w:t>openbaar ministerie, de leden van het bestuursorgaan hoofdelijk tot betaling van de uitgekeerde sommen of tot herstel van de gevolgen voortvloeiend  uit de niet-naleving van de hierboven gestelde eisen inzake de bestemming</w:t>
      </w:r>
      <w:r>
        <w:rPr>
          <w:color w:val="231F20"/>
          <w:spacing w:val="14"/>
        </w:rPr>
        <w:t> </w:t>
      </w:r>
      <w:r>
        <w:rPr>
          <w:color w:val="231F20"/>
        </w:rPr>
        <w:t>van</w:t>
      </w:r>
      <w:r>
        <w:rPr>
          <w:color w:val="231F20"/>
          <w:spacing w:val="15"/>
        </w:rPr>
        <w:t> </w:t>
      </w:r>
      <w:r>
        <w:rPr>
          <w:color w:val="231F20"/>
        </w:rPr>
        <w:t>het</w:t>
      </w:r>
      <w:r>
        <w:rPr>
          <w:color w:val="231F20"/>
          <w:spacing w:val="15"/>
        </w:rPr>
        <w:t> </w:t>
      </w:r>
      <w:r>
        <w:rPr>
          <w:color w:val="231F20"/>
        </w:rPr>
        <w:t>in</w:t>
      </w:r>
      <w:r>
        <w:rPr>
          <w:color w:val="231F20"/>
          <w:spacing w:val="15"/>
        </w:rPr>
        <w:t> </w:t>
      </w:r>
      <w:r>
        <w:rPr>
          <w:color w:val="231F20"/>
        </w:rPr>
        <w:t>artikel</w:t>
      </w:r>
      <w:r>
        <w:rPr>
          <w:color w:val="231F20"/>
          <w:spacing w:val="15"/>
        </w:rPr>
        <w:t> </w:t>
      </w:r>
      <w:r>
        <w:rPr>
          <w:color w:val="231F20"/>
        </w:rPr>
        <w:t>14:42</w:t>
      </w:r>
      <w:r>
        <w:rPr>
          <w:color w:val="231F20"/>
          <w:spacing w:val="15"/>
        </w:rPr>
        <w:t> </w:t>
      </w:r>
      <w:r>
        <w:rPr>
          <w:color w:val="231F20"/>
        </w:rPr>
        <w:t>bedoelde</w:t>
      </w:r>
      <w:r>
        <w:rPr>
          <w:color w:val="231F20"/>
          <w:spacing w:val="15"/>
        </w:rPr>
        <w:t> </w:t>
      </w:r>
      <w:r>
        <w:rPr>
          <w:color w:val="231F20"/>
        </w:rPr>
        <w:t>bedrag.</w:t>
      </w:r>
    </w:p>
    <w:p>
      <w:pPr>
        <w:pStyle w:val="BodyText"/>
        <w:spacing w:line="218" w:lineRule="auto" w:before="129"/>
      </w:pPr>
      <w:r>
        <w:rPr>
          <w:color w:val="231F20"/>
        </w:rPr>
        <w:t>Art. 14:44. Op verzoek van een aandeelhouder, van een belangheb- bende derde, of van het openbaar ministerie, veroordeelt de rechtbank de leden van het bestuursorgaan, de vereffenaar(s) of de curator(s) hoofdelijk tot betaling van de bedragen die in strijd met artikel 14:43, eerste lid, zijn terugbetaald of uitgekeerd. De aldus geïnde bedragen worden hetzij op een onbeschikbare reserverekening gestort, hetzij door de rechtbank overeenkomstig artikel 14:43, tweede lid, toegewe- zen.</w:t>
      </w:r>
    </w:p>
    <w:p>
      <w:pPr>
        <w:pStyle w:val="BodyText"/>
        <w:spacing w:line="218" w:lineRule="auto" w:before="128"/>
        <w:ind w:right="125"/>
      </w:pPr>
      <w:r>
        <w:rPr>
          <w:color w:val="231F20"/>
        </w:rPr>
        <w:t>De in het eerste lid bedoelde personen kunnen eveneens tegen de begunstigden een vordering instellen indien zij bewijzen dat deze laatsten kennis hadden van de onrechtmatigheid van de terugbetaling of uitkering te hunnen voordele of, gelet op de omstandigheden, daarvan niet onkundig konden</w:t>
      </w:r>
      <w:r>
        <w:rPr>
          <w:color w:val="231F20"/>
          <w:spacing w:val="21"/>
        </w:rPr>
        <w:t> </w:t>
      </w:r>
      <w:r>
        <w:rPr>
          <w:color w:val="231F20"/>
        </w:rPr>
        <w:t>zijn.</w:t>
      </w:r>
    </w:p>
    <w:p>
      <w:pPr>
        <w:spacing w:after="0" w:line="218" w:lineRule="auto"/>
        <w:sectPr>
          <w:pgSz w:w="11940" w:h="16880"/>
          <w:pgMar w:header="666" w:footer="0" w:top="1140" w:bottom="280" w:left="340" w:right="360"/>
          <w:cols w:num="2" w:equalWidth="0">
            <w:col w:w="5576" w:space="51"/>
            <w:col w:w="5613"/>
          </w:cols>
        </w:sectPr>
      </w:pPr>
    </w:p>
    <w:p>
      <w:pPr>
        <w:pStyle w:val="BodyText"/>
        <w:spacing w:line="218" w:lineRule="auto" w:before="120"/>
        <w:ind w:right="38"/>
      </w:pPr>
      <w:r>
        <w:rPr/>
        <w:pict>
          <v:line style="position:absolute;mso-position-horizontal-relative:page;mso-position-vertical-relative:page;z-index:7456" from="298.170502pt,64.473pt" to="298.170502pt,812.819pt" stroked="true" strokeweight=".533pt" strokecolor="#231f20">
            <v:stroke dashstyle="solid"/>
            <w10:wrap type="none"/>
          </v:line>
        </w:pict>
      </w:r>
      <w:bookmarkStart w:name="_bookmark268" w:id="274"/>
      <w:bookmarkEnd w:id="274"/>
      <w:r>
        <w:rPr/>
      </w:r>
      <w:r>
        <w:rPr>
          <w:color w:val="231F20"/>
        </w:rPr>
        <w:t>Art. 14:45. Nonobstant toute disposition contraire, les membres de l’organe d’administration de l’ASBL qui se transforme, sont tenus solidairement envers les intéressés envers les intéressés à la réparation du préjudice qui est une suite immédiate et directe:</w:t>
      </w:r>
    </w:p>
    <w:p>
      <w:pPr>
        <w:pStyle w:val="BodyText"/>
        <w:spacing w:line="218" w:lineRule="auto" w:before="117"/>
        <w:ind w:right="38"/>
      </w:pPr>
      <w:r>
        <w:rPr>
          <w:color w:val="231F20"/>
        </w:rPr>
        <w:t>1° de la surévaluation de l’actif net apparaissant à l’état prévu à l’article 14:38;</w:t>
      </w:r>
    </w:p>
    <w:p>
      <w:pPr>
        <w:pStyle w:val="BodyText"/>
        <w:spacing w:line="211" w:lineRule="auto" w:before="122"/>
        <w:ind w:right="38"/>
      </w:pPr>
      <w:r>
        <w:rPr>
          <w:color w:val="231F20"/>
        </w:rPr>
        <w:t>2° soit de la nullité de l’opération de transformation en raison de la violation des règles prévues à l’article 2:8, § 2, 1°, 4° et 12°, l’article</w:t>
      </w:r>
      <w:r>
        <w:rPr>
          <w:color w:val="231F20"/>
          <w:spacing w:val="-22"/>
        </w:rPr>
        <w:t> </w:t>
      </w:r>
      <w:r>
        <w:rPr>
          <w:color w:val="231F20"/>
        </w:rPr>
        <w:t>6:14, </w:t>
      </w:r>
      <w:r>
        <w:rPr>
          <w:color w:val="231F20"/>
          <w:spacing w:val="14"/>
        </w:rPr>
        <w:t>2° </w:t>
      </w:r>
      <w:r>
        <w:rPr>
          <w:color w:val="231F20"/>
        </w:rPr>
        <w:t>à 4°, appliquées par analogie, ou l’article 14:10, alinéa 1</w:t>
      </w:r>
      <w:r>
        <w:rPr>
          <w:color w:val="231F20"/>
          <w:position w:val="7"/>
          <w:sz w:val="11"/>
        </w:rPr>
        <w:t>er</w:t>
      </w:r>
      <w:r>
        <w:rPr>
          <w:color w:val="231F20"/>
        </w:rPr>
        <w:t>, soit de l’absence ou de la fausseté des énonciations prescrites par l’article 6:13, alinéa</w:t>
      </w:r>
      <w:r>
        <w:rPr>
          <w:color w:val="231F20"/>
          <w:spacing w:val="13"/>
        </w:rPr>
        <w:t> </w:t>
      </w:r>
      <w:r>
        <w:rPr>
          <w:color w:val="231F20"/>
        </w:rPr>
        <w:t>1</w:t>
      </w:r>
      <w:r>
        <w:rPr>
          <w:color w:val="231F20"/>
          <w:position w:val="7"/>
          <w:sz w:val="11"/>
        </w:rPr>
        <w:t>er</w:t>
      </w:r>
      <w:r>
        <w:rPr>
          <w:color w:val="231F20"/>
        </w:rPr>
        <w:t>,</w:t>
      </w:r>
      <w:r>
        <w:rPr>
          <w:color w:val="231F20"/>
          <w:spacing w:val="14"/>
        </w:rPr>
        <w:t> </w:t>
      </w:r>
      <w:r>
        <w:rPr>
          <w:color w:val="231F20"/>
        </w:rPr>
        <w:t>à</w:t>
      </w:r>
      <w:r>
        <w:rPr>
          <w:color w:val="231F20"/>
          <w:spacing w:val="14"/>
        </w:rPr>
        <w:t> </w:t>
      </w:r>
      <w:r>
        <w:rPr>
          <w:color w:val="231F20"/>
        </w:rPr>
        <w:t>l’exception</w:t>
      </w:r>
      <w:r>
        <w:rPr>
          <w:color w:val="231F20"/>
          <w:spacing w:val="14"/>
        </w:rPr>
        <w:t> </w:t>
      </w:r>
      <w:r>
        <w:rPr>
          <w:color w:val="231F20"/>
        </w:rPr>
        <w:t>du</w:t>
      </w:r>
      <w:r>
        <w:rPr>
          <w:color w:val="231F20"/>
          <w:spacing w:val="14"/>
        </w:rPr>
        <w:t> </w:t>
      </w:r>
      <w:r>
        <w:rPr>
          <w:color w:val="231F20"/>
        </w:rPr>
        <w:t>5°,</w:t>
      </w:r>
      <w:r>
        <w:rPr>
          <w:color w:val="231F20"/>
          <w:spacing w:val="14"/>
        </w:rPr>
        <w:t> </w:t>
      </w:r>
      <w:r>
        <w:rPr>
          <w:color w:val="231F20"/>
        </w:rPr>
        <w:t>et</w:t>
      </w:r>
      <w:r>
        <w:rPr>
          <w:color w:val="231F20"/>
          <w:spacing w:val="14"/>
        </w:rPr>
        <w:t> </w:t>
      </w:r>
      <w:r>
        <w:rPr>
          <w:color w:val="231F20"/>
        </w:rPr>
        <w:t>8°</w:t>
      </w:r>
      <w:r>
        <w:rPr>
          <w:color w:val="231F20"/>
          <w:spacing w:val="13"/>
        </w:rPr>
        <w:t> </w:t>
      </w:r>
      <w:r>
        <w:rPr>
          <w:color w:val="231F20"/>
        </w:rPr>
        <w:t>et</w:t>
      </w:r>
      <w:r>
        <w:rPr>
          <w:color w:val="231F20"/>
          <w:spacing w:val="14"/>
        </w:rPr>
        <w:t> </w:t>
      </w:r>
      <w:r>
        <w:rPr>
          <w:color w:val="231F20"/>
        </w:rPr>
        <w:t>l’article</w:t>
      </w:r>
      <w:r>
        <w:rPr>
          <w:color w:val="231F20"/>
          <w:spacing w:val="14"/>
        </w:rPr>
        <w:t> </w:t>
      </w:r>
      <w:r>
        <w:rPr>
          <w:color w:val="231F20"/>
        </w:rPr>
        <w:t>14:10,</w:t>
      </w:r>
      <w:r>
        <w:rPr>
          <w:color w:val="231F20"/>
          <w:spacing w:val="14"/>
        </w:rPr>
        <w:t> </w:t>
      </w:r>
      <w:r>
        <w:rPr>
          <w:color w:val="231F20"/>
        </w:rPr>
        <w:t>alinéa</w:t>
      </w:r>
      <w:r>
        <w:rPr>
          <w:color w:val="231F20"/>
          <w:spacing w:val="14"/>
        </w:rPr>
        <w:t> </w:t>
      </w:r>
      <w:r>
        <w:rPr>
          <w:color w:val="231F20"/>
        </w:rPr>
        <w:t>2.</w:t>
      </w:r>
    </w:p>
    <w:p>
      <w:pPr>
        <w:pStyle w:val="BodyText"/>
        <w:spacing w:before="1"/>
        <w:ind w:left="0" w:right="0" w:firstLine="0"/>
        <w:jc w:val="left"/>
        <w:rPr>
          <w:sz w:val="24"/>
        </w:rPr>
      </w:pPr>
    </w:p>
    <w:p>
      <w:pPr>
        <w:pStyle w:val="BodyText"/>
        <w:spacing w:line="345" w:lineRule="auto"/>
        <w:ind w:left="283" w:right="2014" w:firstLine="0"/>
        <w:jc w:val="left"/>
      </w:pPr>
      <w:r>
        <w:rPr>
          <w:color w:val="231F20"/>
        </w:rPr>
        <w:t>TITRE 4. Transformation des associations. CHAPITRE 1</w:t>
      </w:r>
      <w:r>
        <w:rPr>
          <w:color w:val="231F20"/>
          <w:position w:val="7"/>
          <w:sz w:val="11"/>
        </w:rPr>
        <w:t>er</w:t>
      </w:r>
      <w:r>
        <w:rPr>
          <w:color w:val="231F20"/>
        </w:rPr>
        <w:t>. Transformation nationale.</w:t>
      </w:r>
    </w:p>
    <w:p>
      <w:pPr>
        <w:pStyle w:val="BodyText"/>
        <w:spacing w:line="218" w:lineRule="auto" w:before="29"/>
        <w:ind w:right="38"/>
      </w:pPr>
      <w:r>
        <w:rPr>
          <w:color w:val="231F20"/>
        </w:rPr>
        <w:t>Art. 14:46. Une ASBL peut se transformer en AISBL. Une AISBL peut se transformer en ASBL.</w:t>
      </w:r>
    </w:p>
    <w:p>
      <w:pPr>
        <w:pStyle w:val="BodyText"/>
        <w:spacing w:line="218" w:lineRule="auto" w:before="118"/>
        <w:ind w:right="38"/>
      </w:pPr>
      <w:r>
        <w:rPr>
          <w:color w:val="231F20"/>
        </w:rPr>
        <w:t>Cette transformation n’entraîne aucun changement dans la person- nalité juridique de l’association qui subsiste sous une autre forme.</w:t>
      </w:r>
    </w:p>
    <w:p>
      <w:pPr>
        <w:pStyle w:val="BodyText"/>
        <w:spacing w:line="218" w:lineRule="auto" w:before="117"/>
        <w:ind w:right="38"/>
      </w:pPr>
      <w:r>
        <w:rPr>
          <w:color w:val="231F20"/>
        </w:rPr>
        <w:t>Art. 14:47. Le projet de transformation fait l’objet d’un rapport justificatif établi par l’organe d’administration et annoncé dans l’ordre du jour de l’assemblée.</w:t>
      </w:r>
    </w:p>
    <w:p>
      <w:pPr>
        <w:pStyle w:val="BodyText"/>
        <w:spacing w:before="104"/>
        <w:ind w:left="283" w:right="0" w:firstLine="0"/>
        <w:jc w:val="left"/>
      </w:pPr>
      <w:r>
        <w:rPr>
          <w:color w:val="231F20"/>
        </w:rPr>
        <w:t>À ce rapport sont joints les documents suivants:</w:t>
      </w:r>
    </w:p>
    <w:p>
      <w:pPr>
        <w:pStyle w:val="BodyText"/>
        <w:spacing w:line="218" w:lineRule="auto" w:before="114"/>
        <w:ind w:right="38"/>
      </w:pPr>
      <w:r>
        <w:rPr>
          <w:color w:val="231F20"/>
        </w:rPr>
        <w:t>1° le projet de statuts de l’AISBL ou de l’ASBL en laquelle l’association sera</w:t>
      </w:r>
      <w:r>
        <w:rPr>
          <w:color w:val="231F20"/>
          <w:spacing w:val="-12"/>
        </w:rPr>
        <w:t> </w:t>
      </w:r>
      <w:r>
        <w:rPr>
          <w:color w:val="231F20"/>
        </w:rPr>
        <w:t>transformée;</w:t>
      </w:r>
    </w:p>
    <w:p>
      <w:pPr>
        <w:pStyle w:val="BodyText"/>
        <w:spacing w:line="218" w:lineRule="auto" w:before="117"/>
        <w:ind w:right="38"/>
      </w:pPr>
      <w:r>
        <w:rPr>
          <w:color w:val="231F20"/>
        </w:rPr>
        <w:t>2° un état résumant la situation active et passive de l’association, clôturé à une date ne remontant pas à plus de trois mois avant l’assemblée générale appelée à statuer sur le projet de transformation;</w:t>
      </w:r>
    </w:p>
    <w:p>
      <w:pPr>
        <w:pStyle w:val="BodyText"/>
        <w:spacing w:line="218" w:lineRule="auto" w:before="117"/>
        <w:ind w:right="38"/>
      </w:pPr>
      <w:r>
        <w:rPr>
          <w:color w:val="231F20"/>
        </w:rPr>
        <w:t>3° le rapport du commissaire de l’A(I)SBL, ou, lorsqu’il n’y a pas de commissaire, d’un réviseur d’entreprises ou d’un expert-comptable externe désigné par l’organe d’administration sur cet état qui indique notamment s’il y a eu surestimation de l’actif net.</w:t>
      </w:r>
    </w:p>
    <w:p>
      <w:pPr>
        <w:pStyle w:val="BodyText"/>
        <w:spacing w:before="10"/>
        <w:ind w:left="0" w:right="0" w:firstLine="0"/>
        <w:jc w:val="left"/>
        <w:rPr>
          <w:sz w:val="25"/>
        </w:rPr>
      </w:pPr>
    </w:p>
    <w:p>
      <w:pPr>
        <w:pStyle w:val="BodyText"/>
        <w:spacing w:line="218" w:lineRule="auto"/>
        <w:ind w:right="38"/>
      </w:pPr>
      <w:r>
        <w:rPr>
          <w:color w:val="231F20"/>
        </w:rPr>
        <w:t>Une copie du rapport de l’organe d’administration et de ses annexes est</w:t>
      </w:r>
      <w:r>
        <w:rPr>
          <w:color w:val="231F20"/>
          <w:spacing w:val="-8"/>
        </w:rPr>
        <w:t> </w:t>
      </w:r>
      <w:r>
        <w:rPr>
          <w:color w:val="231F20"/>
        </w:rPr>
        <w:t>adressée</w:t>
      </w:r>
      <w:r>
        <w:rPr>
          <w:color w:val="231F20"/>
          <w:spacing w:val="-7"/>
        </w:rPr>
        <w:t> </w:t>
      </w:r>
      <w:r>
        <w:rPr>
          <w:color w:val="231F20"/>
        </w:rPr>
        <w:t>conformément</w:t>
      </w:r>
      <w:r>
        <w:rPr>
          <w:color w:val="231F20"/>
          <w:spacing w:val="-8"/>
        </w:rPr>
        <w:t> </w:t>
      </w:r>
      <w:r>
        <w:rPr>
          <w:color w:val="231F20"/>
        </w:rPr>
        <w:t>à</w:t>
      </w:r>
      <w:r>
        <w:rPr>
          <w:color w:val="231F20"/>
          <w:spacing w:val="-7"/>
        </w:rPr>
        <w:t> </w:t>
      </w:r>
      <w:r>
        <w:rPr>
          <w:color w:val="231F20"/>
        </w:rPr>
        <w:t>l’article</w:t>
      </w:r>
      <w:r>
        <w:rPr>
          <w:color w:val="231F20"/>
          <w:spacing w:val="-7"/>
        </w:rPr>
        <w:t> </w:t>
      </w:r>
      <w:r>
        <w:rPr>
          <w:color w:val="231F20"/>
        </w:rPr>
        <w:t>2:32</w:t>
      </w:r>
      <w:r>
        <w:rPr>
          <w:color w:val="231F20"/>
          <w:spacing w:val="-7"/>
        </w:rPr>
        <w:t> </w:t>
      </w:r>
      <w:r>
        <w:rPr>
          <w:color w:val="231F20"/>
        </w:rPr>
        <w:t>aux</w:t>
      </w:r>
      <w:r>
        <w:rPr>
          <w:color w:val="231F20"/>
          <w:spacing w:val="-7"/>
        </w:rPr>
        <w:t> </w:t>
      </w:r>
      <w:r>
        <w:rPr>
          <w:color w:val="231F20"/>
        </w:rPr>
        <w:t>membres</w:t>
      </w:r>
      <w:r>
        <w:rPr>
          <w:color w:val="231F20"/>
          <w:spacing w:val="-7"/>
        </w:rPr>
        <w:t> </w:t>
      </w:r>
      <w:r>
        <w:rPr>
          <w:color w:val="231F20"/>
        </w:rPr>
        <w:t>en</w:t>
      </w:r>
      <w:r>
        <w:rPr>
          <w:color w:val="231F20"/>
          <w:spacing w:val="-7"/>
        </w:rPr>
        <w:t> </w:t>
      </w:r>
      <w:r>
        <w:rPr>
          <w:color w:val="231F20"/>
        </w:rPr>
        <w:t>même</w:t>
      </w:r>
      <w:r>
        <w:rPr>
          <w:color w:val="231F20"/>
          <w:spacing w:val="-7"/>
        </w:rPr>
        <w:t> </w:t>
      </w:r>
      <w:r>
        <w:rPr>
          <w:color w:val="231F20"/>
        </w:rPr>
        <w:t>temps que la convocation à l’assemblée générale appelée à statuer sur la transformation.</w:t>
      </w:r>
    </w:p>
    <w:p>
      <w:pPr>
        <w:pStyle w:val="BodyText"/>
        <w:spacing w:line="218" w:lineRule="auto" w:before="117"/>
        <w:ind w:right="38"/>
      </w:pPr>
      <w:r>
        <w:rPr>
          <w:color w:val="231F20"/>
        </w:rPr>
        <w:t>Art. 14:48. La décision de transformation est soumise aux conditions de quorum et de majorité requises pour la modification de l’objet.</w:t>
      </w:r>
    </w:p>
    <w:p>
      <w:pPr>
        <w:pStyle w:val="BodyText"/>
        <w:spacing w:before="9"/>
        <w:ind w:left="0" w:right="0" w:firstLine="0"/>
        <w:jc w:val="left"/>
        <w:rPr>
          <w:sz w:val="25"/>
        </w:rPr>
      </w:pPr>
    </w:p>
    <w:p>
      <w:pPr>
        <w:pStyle w:val="BodyText"/>
        <w:spacing w:line="218" w:lineRule="auto" w:before="1"/>
        <w:ind w:right="38"/>
      </w:pPr>
      <w:r>
        <w:rPr>
          <w:color w:val="231F20"/>
        </w:rPr>
        <w:t>Immédiatement après la décision de transformation, les statuts de l’association issue de cette transformation sont arrêtés aux mêmes conditions. À défaut, la décision de transformation reste sans effet.</w:t>
      </w:r>
    </w:p>
    <w:p>
      <w:pPr>
        <w:pStyle w:val="BodyText"/>
        <w:spacing w:before="8"/>
        <w:ind w:left="0" w:right="0" w:firstLine="0"/>
        <w:jc w:val="left"/>
        <w:rPr>
          <w:sz w:val="26"/>
        </w:rPr>
      </w:pPr>
    </w:p>
    <w:p>
      <w:pPr>
        <w:pStyle w:val="BodyText"/>
        <w:spacing w:line="201" w:lineRule="auto" w:before="1"/>
        <w:ind w:right="38"/>
      </w:pPr>
      <w:r>
        <w:rPr>
          <w:color w:val="231F20"/>
        </w:rPr>
        <w:t>Les convocations à l’assemblée générale reproduisent le texte des alinéas 1</w:t>
      </w:r>
      <w:r>
        <w:rPr>
          <w:color w:val="231F20"/>
          <w:position w:val="7"/>
          <w:sz w:val="11"/>
        </w:rPr>
        <w:t>er </w:t>
      </w:r>
      <w:r>
        <w:rPr>
          <w:color w:val="231F20"/>
        </w:rPr>
        <w:t>et 2.</w:t>
      </w:r>
    </w:p>
    <w:p>
      <w:pPr>
        <w:pStyle w:val="BodyText"/>
        <w:spacing w:line="218" w:lineRule="auto" w:before="118"/>
        <w:ind w:right="38"/>
      </w:pPr>
      <w:r>
        <w:rPr>
          <w:color w:val="231F20"/>
        </w:rPr>
        <w:t>Art. 14:49. La transformation est, à peine de nullité, constatée par un acte authentique.</w:t>
      </w:r>
    </w:p>
    <w:p>
      <w:pPr>
        <w:pStyle w:val="BodyText"/>
        <w:spacing w:line="218" w:lineRule="auto" w:before="117"/>
        <w:ind w:right="38"/>
      </w:pPr>
      <w:r>
        <w:rPr>
          <w:color w:val="231F20"/>
        </w:rPr>
        <w:t>Cet acte reproduit les conclusions du rapport établi par le commis- saire, le réviseur d’entreprises ou l’expert-comptable.</w:t>
      </w:r>
    </w:p>
    <w:p>
      <w:pPr>
        <w:pStyle w:val="BodyText"/>
        <w:spacing w:line="218" w:lineRule="auto" w:before="118"/>
        <w:ind w:right="38"/>
      </w:pPr>
      <w:r>
        <w:rPr>
          <w:color w:val="231F20"/>
        </w:rPr>
        <w:t>L’acte de transformation et les statuts sont déposés et publiés simultanément conformément aux articles 2:9, 2:10, 2:15 et 2:16. L’acte de transformation est publié en entier; les statuts le sont par extrait seulement.</w:t>
      </w:r>
    </w:p>
    <w:p>
      <w:pPr>
        <w:pStyle w:val="BodyText"/>
        <w:spacing w:line="218" w:lineRule="auto" w:before="128"/>
        <w:ind w:right="38"/>
      </w:pPr>
      <w:r>
        <w:rPr>
          <w:color w:val="231F20"/>
        </w:rPr>
        <w:t>Les mandats authentiques ou sous seing privé sont, ainsi que le rapport du commissaire ou du réviseur d’entreprises ou de l’expert- comptable, déposés en expédition ou en original en même temps que l’acte auquel ils se rapportent.</w:t>
      </w:r>
    </w:p>
    <w:p>
      <w:pPr>
        <w:pStyle w:val="BodyText"/>
        <w:spacing w:line="218" w:lineRule="auto" w:before="128"/>
        <w:ind w:right="38"/>
      </w:pPr>
      <w:r>
        <w:rPr>
          <w:color w:val="231F20"/>
        </w:rPr>
        <w:t>En cas de transformation d’une ASBL en AISBL, l’acte de transfor- mation ne produit ses effets qu’après l’approbation du Roi.</w:t>
      </w:r>
    </w:p>
    <w:p>
      <w:pPr>
        <w:pStyle w:val="BodyText"/>
        <w:spacing w:line="218" w:lineRule="auto" w:before="128"/>
        <w:ind w:right="38"/>
      </w:pPr>
      <w:r>
        <w:rPr>
          <w:color w:val="231F20"/>
        </w:rPr>
        <w:t>La transformation est opposable aux tiers aux conditions prévues à l’article 2:18.</w:t>
      </w:r>
    </w:p>
    <w:p>
      <w:pPr>
        <w:pStyle w:val="BodyText"/>
        <w:spacing w:line="218" w:lineRule="auto" w:before="128"/>
        <w:ind w:right="38"/>
      </w:pPr>
      <w:r>
        <w:rPr>
          <w:color w:val="231F20"/>
        </w:rPr>
        <w:t>Art. 14:50. Nonobstant toute disposition contraire, les membres de l’organe d’administration de l’ASBL qui se transforme, sont tenus solidairement envers les intéressés à la réparation du préjudice qui est une suite immédiate et directe:</w:t>
      </w:r>
    </w:p>
    <w:p>
      <w:pPr>
        <w:pStyle w:val="BodyText"/>
        <w:spacing w:line="218" w:lineRule="auto" w:before="129"/>
        <w:ind w:right="38"/>
      </w:pPr>
      <w:r>
        <w:rPr>
          <w:color w:val="231F20"/>
        </w:rPr>
        <w:t>1° de la surévaluation de l’actif net apparaissant à l’état prévu à l’article 14:47;</w:t>
      </w:r>
    </w:p>
    <w:p>
      <w:pPr>
        <w:pStyle w:val="BodyText"/>
        <w:spacing w:line="218" w:lineRule="auto" w:before="128"/>
        <w:ind w:right="38"/>
      </w:pPr>
      <w:r>
        <w:rPr>
          <w:color w:val="231F20"/>
        </w:rPr>
        <w:t>2° de la réparation du préjudice qui est une suite immédiate et directe, de la nullité.</w:t>
      </w:r>
    </w:p>
    <w:p>
      <w:pPr>
        <w:pStyle w:val="BodyText"/>
        <w:spacing w:line="218" w:lineRule="auto" w:before="119"/>
      </w:pPr>
      <w:r>
        <w:rPr/>
        <w:br w:type="column"/>
      </w:r>
      <w:r>
        <w:rPr>
          <w:color w:val="231F20"/>
        </w:rPr>
        <w:t>Art. 14:45. Niettegenstaande andersluidende bepaling, zijn de leden van het bestuursorgaan van de VZW die wordt omgezet, jegens de belanghebbenden hoofdelijk gehouden tot vergoeding van de schade die</w:t>
      </w:r>
      <w:r>
        <w:rPr>
          <w:color w:val="231F20"/>
          <w:spacing w:val="15"/>
        </w:rPr>
        <w:t> </w:t>
      </w:r>
      <w:r>
        <w:rPr>
          <w:color w:val="231F20"/>
        </w:rPr>
        <w:t>het</w:t>
      </w:r>
      <w:r>
        <w:rPr>
          <w:color w:val="231F20"/>
          <w:spacing w:val="15"/>
        </w:rPr>
        <w:t> </w:t>
      </w:r>
      <w:r>
        <w:rPr>
          <w:color w:val="231F20"/>
        </w:rPr>
        <w:t>onmiddellijk</w:t>
      </w:r>
      <w:r>
        <w:rPr>
          <w:color w:val="231F20"/>
          <w:spacing w:val="15"/>
        </w:rPr>
        <w:t> </w:t>
      </w:r>
      <w:r>
        <w:rPr>
          <w:color w:val="231F20"/>
        </w:rPr>
        <w:t>en</w:t>
      </w:r>
      <w:r>
        <w:rPr>
          <w:color w:val="231F20"/>
          <w:spacing w:val="15"/>
        </w:rPr>
        <w:t> </w:t>
      </w:r>
      <w:r>
        <w:rPr>
          <w:color w:val="231F20"/>
        </w:rPr>
        <w:t>rechtstreeks</w:t>
      </w:r>
      <w:r>
        <w:rPr>
          <w:color w:val="231F20"/>
          <w:spacing w:val="16"/>
        </w:rPr>
        <w:t> </w:t>
      </w:r>
      <w:r>
        <w:rPr>
          <w:color w:val="231F20"/>
        </w:rPr>
        <w:t>gevolg</w:t>
      </w:r>
      <w:r>
        <w:rPr>
          <w:color w:val="231F20"/>
          <w:spacing w:val="15"/>
        </w:rPr>
        <w:t> </w:t>
      </w:r>
      <w:r>
        <w:rPr>
          <w:color w:val="231F20"/>
        </w:rPr>
        <w:t>is:</w:t>
      </w:r>
    </w:p>
    <w:p>
      <w:pPr>
        <w:pStyle w:val="BodyText"/>
        <w:spacing w:line="218" w:lineRule="auto" w:before="118"/>
      </w:pPr>
      <w:r>
        <w:rPr>
          <w:color w:val="231F20"/>
        </w:rPr>
        <w:t>1° van de overwaardering van het nettoactief, zoals dit blijkt uit de bij artikel 14:38 bedoelde staat;</w:t>
      </w:r>
    </w:p>
    <w:p>
      <w:pPr>
        <w:pStyle w:val="BodyText"/>
        <w:spacing w:line="218" w:lineRule="auto" w:before="117"/>
      </w:pPr>
      <w:r>
        <w:rPr>
          <w:color w:val="231F20"/>
        </w:rPr>
        <w:t>2° hetzij van de nietigheid van de omzettingsverrichting wegens de niet-naleving van de regels bepaald in artikel 2:8, § 2, 1°, 4° en 12°, artikel 6:14, 2° tot 4°, die  naar  analogie  worden  toegepast,  of  arti- kel 14:10, eerste lid, hetzij wegens het ontbreken of de onjuistheid van de vermeldingen voorgeschreven in artikel 6:13, eerste lid, met uitzondering</w:t>
      </w:r>
      <w:r>
        <w:rPr>
          <w:color w:val="231F20"/>
          <w:spacing w:val="14"/>
        </w:rPr>
        <w:t> </w:t>
      </w:r>
      <w:r>
        <w:rPr>
          <w:color w:val="231F20"/>
        </w:rPr>
        <w:t>van</w:t>
      </w:r>
      <w:r>
        <w:rPr>
          <w:color w:val="231F20"/>
          <w:spacing w:val="15"/>
        </w:rPr>
        <w:t> </w:t>
      </w:r>
      <w:r>
        <w:rPr>
          <w:color w:val="231F20"/>
        </w:rPr>
        <w:t>het</w:t>
      </w:r>
      <w:r>
        <w:rPr>
          <w:color w:val="231F20"/>
          <w:spacing w:val="15"/>
        </w:rPr>
        <w:t> </w:t>
      </w:r>
      <w:r>
        <w:rPr>
          <w:color w:val="231F20"/>
        </w:rPr>
        <w:t>5°</w:t>
      </w:r>
      <w:r>
        <w:rPr>
          <w:color w:val="231F20"/>
          <w:spacing w:val="14"/>
        </w:rPr>
        <w:t> </w:t>
      </w:r>
      <w:r>
        <w:rPr>
          <w:color w:val="231F20"/>
        </w:rPr>
        <w:t>en</w:t>
      </w:r>
      <w:r>
        <w:rPr>
          <w:color w:val="231F20"/>
          <w:spacing w:val="15"/>
        </w:rPr>
        <w:t> </w:t>
      </w:r>
      <w:r>
        <w:rPr>
          <w:color w:val="231F20"/>
        </w:rPr>
        <w:t>het</w:t>
      </w:r>
      <w:r>
        <w:rPr>
          <w:color w:val="231F20"/>
          <w:spacing w:val="15"/>
        </w:rPr>
        <w:t> </w:t>
      </w:r>
      <w:r>
        <w:rPr>
          <w:color w:val="231F20"/>
        </w:rPr>
        <w:t>8°,</w:t>
      </w:r>
      <w:r>
        <w:rPr>
          <w:color w:val="231F20"/>
          <w:spacing w:val="14"/>
        </w:rPr>
        <w:t> </w:t>
      </w:r>
      <w:r>
        <w:rPr>
          <w:color w:val="231F20"/>
        </w:rPr>
        <w:t>en</w:t>
      </w:r>
      <w:r>
        <w:rPr>
          <w:color w:val="231F20"/>
          <w:spacing w:val="15"/>
        </w:rPr>
        <w:t> </w:t>
      </w:r>
      <w:r>
        <w:rPr>
          <w:color w:val="231F20"/>
        </w:rPr>
        <w:t>artikel</w:t>
      </w:r>
      <w:r>
        <w:rPr>
          <w:color w:val="231F20"/>
          <w:spacing w:val="15"/>
        </w:rPr>
        <w:t> </w:t>
      </w:r>
      <w:r>
        <w:rPr>
          <w:color w:val="231F20"/>
        </w:rPr>
        <w:t>14:10,</w:t>
      </w:r>
      <w:r>
        <w:rPr>
          <w:color w:val="231F20"/>
          <w:spacing w:val="14"/>
        </w:rPr>
        <w:t> </w:t>
      </w:r>
      <w:r>
        <w:rPr>
          <w:color w:val="231F20"/>
        </w:rPr>
        <w:t>tweede</w:t>
      </w:r>
      <w:r>
        <w:rPr>
          <w:color w:val="231F20"/>
          <w:spacing w:val="15"/>
        </w:rPr>
        <w:t> </w:t>
      </w:r>
      <w:r>
        <w:rPr>
          <w:color w:val="231F20"/>
        </w:rPr>
        <w:t>lid.</w:t>
      </w:r>
    </w:p>
    <w:p>
      <w:pPr>
        <w:pStyle w:val="BodyText"/>
        <w:spacing w:line="364" w:lineRule="auto" w:before="104"/>
        <w:ind w:left="283" w:right="2162" w:firstLine="0"/>
        <w:jc w:val="left"/>
      </w:pPr>
      <w:r>
        <w:rPr>
          <w:color w:val="231F20"/>
        </w:rPr>
        <w:t>TITEL 4. Omzetting van verenigingen. HOOFDSTUK 1. Nationale omzetting.</w:t>
      </w:r>
    </w:p>
    <w:p>
      <w:pPr>
        <w:pStyle w:val="BodyText"/>
        <w:spacing w:line="218" w:lineRule="auto" w:before="13"/>
      </w:pPr>
      <w:r>
        <w:rPr>
          <w:color w:val="231F20"/>
        </w:rPr>
        <w:t>Art. 14:46. Een VZW kan worden omgezet in een IVZW. Een IVZW kan worden omgezet in een VZW.</w:t>
      </w:r>
    </w:p>
    <w:p>
      <w:pPr>
        <w:pStyle w:val="BodyText"/>
        <w:spacing w:line="218" w:lineRule="auto" w:before="118"/>
      </w:pPr>
      <w:r>
        <w:rPr>
          <w:color w:val="231F20"/>
        </w:rPr>
        <w:t>Die omzetting laat de rechtspersoonlijkheid van de vereniging die in een andere vorm blijft voortbestaan, onverlet.</w:t>
      </w:r>
    </w:p>
    <w:p>
      <w:pPr>
        <w:pStyle w:val="BodyText"/>
        <w:spacing w:line="218" w:lineRule="auto" w:before="117"/>
      </w:pPr>
      <w:r>
        <w:rPr>
          <w:color w:val="231F20"/>
        </w:rPr>
        <w:t>Art. 14:47. Het voorstel tot omzetting wordt toegelicht in een verslag dat door het bestuursorgaan wordt opgemaakt en dat wordt vermeld in de agenda van de algemene vergadering.</w:t>
      </w:r>
    </w:p>
    <w:p>
      <w:pPr>
        <w:pStyle w:val="BodyText"/>
        <w:spacing w:before="104"/>
        <w:ind w:left="283" w:right="0" w:firstLine="0"/>
        <w:jc w:val="left"/>
      </w:pPr>
      <w:r>
        <w:rPr>
          <w:color w:val="231F20"/>
        </w:rPr>
        <w:t>Bij dat verslag worden de volgende documenten gevoegd:</w:t>
      </w:r>
    </w:p>
    <w:p>
      <w:pPr>
        <w:pStyle w:val="BodyText"/>
        <w:spacing w:line="218" w:lineRule="auto" w:before="114"/>
      </w:pPr>
      <w:r>
        <w:rPr>
          <w:color w:val="231F20"/>
          <w:w w:val="105"/>
        </w:rPr>
        <w:t>1° het ontwerp van statuten van de IVZW of de VZW waarin de vereniging zal worden omgezet;</w:t>
      </w:r>
    </w:p>
    <w:p>
      <w:pPr>
        <w:pStyle w:val="BodyText"/>
        <w:spacing w:line="218" w:lineRule="auto" w:before="117"/>
      </w:pPr>
      <w:r>
        <w:rPr>
          <w:color w:val="231F20"/>
        </w:rPr>
        <w:t>2° een staat van activa en passiva van de vereniging, die niet meer dan drie maanden vóór de algemene vergadering die over het voorstel tot omzetting moet besluiten is afgesloten;</w:t>
      </w:r>
    </w:p>
    <w:p>
      <w:pPr>
        <w:pStyle w:val="BodyText"/>
        <w:spacing w:line="218" w:lineRule="auto" w:before="118"/>
      </w:pPr>
      <w:r>
        <w:rPr>
          <w:color w:val="231F20"/>
        </w:rPr>
        <w:t>3° het verslag van de commissaris van de (I)VZW, of, als er geen commissaris is, van een bedrijfsrevisor of externe accountant aangewe- zen door het bestuursorgaan, betreffende die staat, waarin inzonder- heid wordt aangegeven of er enige overwaardering van het nettoactief heeft plaatsgehad.</w:t>
      </w:r>
    </w:p>
    <w:p>
      <w:pPr>
        <w:pStyle w:val="BodyText"/>
        <w:spacing w:line="218" w:lineRule="auto" w:before="117"/>
      </w:pPr>
      <w:r>
        <w:rPr>
          <w:color w:val="231F20"/>
        </w:rPr>
        <w:t>Een kopie van het verslag van het bestuursorgaan en van de bijlagen erbij wordt overeenkomstig artikel 2:32 gericht aan de leden, tezelfder- tijd als de oproepingsbrief voor de algemene vergadering die zich over de omzetting moet uitspreken.</w:t>
      </w:r>
    </w:p>
    <w:p>
      <w:pPr>
        <w:pStyle w:val="BodyText"/>
        <w:spacing w:line="218" w:lineRule="auto" w:before="118"/>
      </w:pPr>
      <w:r>
        <w:rPr>
          <w:color w:val="231F20"/>
        </w:rPr>
        <w:t>Art. 14:48. Het besluit tot omzetting is onderworpen aan de aanwezigheids- en meerderheidsvereisten voor de wijziging van het voorwerp.</w:t>
      </w:r>
    </w:p>
    <w:p>
      <w:pPr>
        <w:pStyle w:val="BodyText"/>
        <w:spacing w:line="218" w:lineRule="auto" w:before="117"/>
      </w:pPr>
      <w:r>
        <w:rPr>
          <w:color w:val="231F20"/>
        </w:rPr>
        <w:t>Onmiddellijk na het besluit tot omzetting worden de statuten van de vereniging die uit deze omzetting is ontstaan, vastgesteld onder dezelfde voorwaarden. Indien zulks niet gebeurt, blijft het besluit tot omzetting zonder</w:t>
      </w:r>
      <w:r>
        <w:rPr>
          <w:color w:val="231F20"/>
          <w:spacing w:val="-10"/>
        </w:rPr>
        <w:t> </w:t>
      </w:r>
      <w:r>
        <w:rPr>
          <w:color w:val="231F20"/>
        </w:rPr>
        <w:t>gevolg.</w:t>
      </w:r>
    </w:p>
    <w:p>
      <w:pPr>
        <w:pStyle w:val="BodyText"/>
        <w:spacing w:line="218" w:lineRule="auto" w:before="118"/>
      </w:pPr>
      <w:r>
        <w:rPr>
          <w:color w:val="231F20"/>
        </w:rPr>
        <w:t>In de oproeping tot de algemene vergadering wordt de tekst van het eerste en tweede lid opgenomen.</w:t>
      </w:r>
    </w:p>
    <w:p>
      <w:pPr>
        <w:pStyle w:val="BodyText"/>
        <w:spacing w:line="218" w:lineRule="auto" w:before="117"/>
      </w:pPr>
      <w:r>
        <w:rPr>
          <w:color w:val="231F20"/>
        </w:rPr>
        <w:t>Art. 14:49. De omzetting wordt, op straffe van nietigheid, bij authentieke akte vastgesteld.</w:t>
      </w:r>
    </w:p>
    <w:p>
      <w:pPr>
        <w:pStyle w:val="BodyText"/>
        <w:spacing w:line="218" w:lineRule="auto" w:before="118"/>
      </w:pPr>
      <w:r>
        <w:rPr>
          <w:color w:val="231F20"/>
        </w:rPr>
        <w:t>In die akte worden de conclusies van het verslag van de commissaris of van de bedrijfsrevisor of externe accountant overgenomen.</w:t>
      </w:r>
    </w:p>
    <w:p>
      <w:pPr>
        <w:pStyle w:val="BodyText"/>
        <w:spacing w:line="218" w:lineRule="auto" w:before="117"/>
      </w:pPr>
      <w:r>
        <w:rPr>
          <w:color w:val="231F20"/>
        </w:rPr>
        <w:t>De akte van omzetting en de statuten worden gelijktijdig neergelegd en bekendgemaakt overeenkomstig de artikelen 2:9, 2:10, 2:15 en 2:16. De akte van omzetting wordt integraal bekendgemaakt; de statuten worden enkel bij uittreksel bekendgemaakt.</w:t>
      </w:r>
    </w:p>
    <w:p>
      <w:pPr>
        <w:pStyle w:val="BodyText"/>
        <w:spacing w:line="218" w:lineRule="auto" w:before="128"/>
      </w:pPr>
      <w:r>
        <w:rPr>
          <w:color w:val="231F20"/>
          <w:spacing w:val="-6"/>
        </w:rPr>
        <w:t>Van </w:t>
      </w:r>
      <w:r>
        <w:rPr>
          <w:color w:val="231F20"/>
        </w:rPr>
        <w:t>de authentieke of onderhandse volmachten alsook van het verslag van de commissaris of van de bedrijfsrevisor of externe accountant worden een uitgifte dan wel het origineel neergelegd,  samen</w:t>
      </w:r>
      <w:r>
        <w:rPr>
          <w:color w:val="231F20"/>
          <w:spacing w:val="15"/>
        </w:rPr>
        <w:t> </w:t>
      </w:r>
      <w:r>
        <w:rPr>
          <w:color w:val="231F20"/>
        </w:rPr>
        <w:t>met</w:t>
      </w:r>
      <w:r>
        <w:rPr>
          <w:color w:val="231F20"/>
          <w:spacing w:val="15"/>
        </w:rPr>
        <w:t> </w:t>
      </w:r>
      <w:r>
        <w:rPr>
          <w:color w:val="231F20"/>
        </w:rPr>
        <w:t>de</w:t>
      </w:r>
      <w:r>
        <w:rPr>
          <w:color w:val="231F20"/>
          <w:spacing w:val="16"/>
        </w:rPr>
        <w:t> </w:t>
      </w:r>
      <w:r>
        <w:rPr>
          <w:color w:val="231F20"/>
        </w:rPr>
        <w:t>akte</w:t>
      </w:r>
      <w:r>
        <w:rPr>
          <w:color w:val="231F20"/>
          <w:spacing w:val="15"/>
        </w:rPr>
        <w:t> </w:t>
      </w:r>
      <w:r>
        <w:rPr>
          <w:color w:val="231F20"/>
        </w:rPr>
        <w:t>waarop</w:t>
      </w:r>
      <w:r>
        <w:rPr>
          <w:color w:val="231F20"/>
          <w:spacing w:val="15"/>
        </w:rPr>
        <w:t> </w:t>
      </w:r>
      <w:r>
        <w:rPr>
          <w:color w:val="231F20"/>
        </w:rPr>
        <w:t>zij</w:t>
      </w:r>
      <w:r>
        <w:rPr>
          <w:color w:val="231F20"/>
          <w:spacing w:val="16"/>
        </w:rPr>
        <w:t> </w:t>
      </w:r>
      <w:r>
        <w:rPr>
          <w:color w:val="231F20"/>
        </w:rPr>
        <w:t>betrekking</w:t>
      </w:r>
      <w:r>
        <w:rPr>
          <w:color w:val="231F20"/>
          <w:spacing w:val="15"/>
        </w:rPr>
        <w:t> </w:t>
      </w:r>
      <w:r>
        <w:rPr>
          <w:color w:val="231F20"/>
        </w:rPr>
        <w:t>hebben.</w:t>
      </w:r>
    </w:p>
    <w:p>
      <w:pPr>
        <w:pStyle w:val="BodyText"/>
        <w:spacing w:line="218" w:lineRule="auto" w:before="129"/>
      </w:pPr>
      <w:r>
        <w:rPr>
          <w:color w:val="231F20"/>
          <w:w w:val="105"/>
        </w:rPr>
        <w:t>In</w:t>
      </w:r>
      <w:r>
        <w:rPr>
          <w:color w:val="231F20"/>
          <w:spacing w:val="-7"/>
          <w:w w:val="105"/>
        </w:rPr>
        <w:t> </w:t>
      </w:r>
      <w:r>
        <w:rPr>
          <w:color w:val="231F20"/>
          <w:w w:val="105"/>
        </w:rPr>
        <w:t>geval</w:t>
      </w:r>
      <w:r>
        <w:rPr>
          <w:color w:val="231F20"/>
          <w:spacing w:val="-7"/>
          <w:w w:val="105"/>
        </w:rPr>
        <w:t> </w:t>
      </w:r>
      <w:r>
        <w:rPr>
          <w:color w:val="231F20"/>
          <w:w w:val="105"/>
        </w:rPr>
        <w:t>van</w:t>
      </w:r>
      <w:r>
        <w:rPr>
          <w:color w:val="231F20"/>
          <w:spacing w:val="-7"/>
          <w:w w:val="105"/>
        </w:rPr>
        <w:t> </w:t>
      </w:r>
      <w:r>
        <w:rPr>
          <w:color w:val="231F20"/>
          <w:w w:val="105"/>
        </w:rPr>
        <w:t>omzetting</w:t>
      </w:r>
      <w:r>
        <w:rPr>
          <w:color w:val="231F20"/>
          <w:spacing w:val="-7"/>
          <w:w w:val="105"/>
        </w:rPr>
        <w:t> </w:t>
      </w:r>
      <w:r>
        <w:rPr>
          <w:color w:val="231F20"/>
          <w:w w:val="105"/>
        </w:rPr>
        <w:t>van</w:t>
      </w:r>
      <w:r>
        <w:rPr>
          <w:color w:val="231F20"/>
          <w:spacing w:val="-7"/>
          <w:w w:val="105"/>
        </w:rPr>
        <w:t> </w:t>
      </w:r>
      <w:r>
        <w:rPr>
          <w:color w:val="231F20"/>
          <w:w w:val="105"/>
        </w:rPr>
        <w:t>een</w:t>
      </w:r>
      <w:r>
        <w:rPr>
          <w:color w:val="231F20"/>
          <w:spacing w:val="-7"/>
          <w:w w:val="105"/>
        </w:rPr>
        <w:t> </w:t>
      </w:r>
      <w:r>
        <w:rPr>
          <w:color w:val="231F20"/>
          <w:w w:val="105"/>
        </w:rPr>
        <w:t>VZW</w:t>
      </w:r>
      <w:r>
        <w:rPr>
          <w:color w:val="231F20"/>
          <w:spacing w:val="-7"/>
          <w:w w:val="105"/>
        </w:rPr>
        <w:t> </w:t>
      </w:r>
      <w:r>
        <w:rPr>
          <w:color w:val="231F20"/>
          <w:w w:val="105"/>
        </w:rPr>
        <w:t>in</w:t>
      </w:r>
      <w:r>
        <w:rPr>
          <w:color w:val="231F20"/>
          <w:spacing w:val="-7"/>
          <w:w w:val="105"/>
        </w:rPr>
        <w:t> </w:t>
      </w:r>
      <w:r>
        <w:rPr>
          <w:color w:val="231F20"/>
          <w:w w:val="105"/>
        </w:rPr>
        <w:t>een</w:t>
      </w:r>
      <w:r>
        <w:rPr>
          <w:color w:val="231F20"/>
          <w:spacing w:val="-7"/>
          <w:w w:val="105"/>
        </w:rPr>
        <w:t> </w:t>
      </w:r>
      <w:r>
        <w:rPr>
          <w:color w:val="231F20"/>
          <w:w w:val="105"/>
        </w:rPr>
        <w:t>IVZW</w:t>
      </w:r>
      <w:r>
        <w:rPr>
          <w:color w:val="231F20"/>
          <w:spacing w:val="-7"/>
          <w:w w:val="105"/>
        </w:rPr>
        <w:t> </w:t>
      </w:r>
      <w:r>
        <w:rPr>
          <w:color w:val="231F20"/>
          <w:w w:val="105"/>
        </w:rPr>
        <w:t>heeft</w:t>
      </w:r>
      <w:r>
        <w:rPr>
          <w:color w:val="231F20"/>
          <w:spacing w:val="-7"/>
          <w:w w:val="105"/>
        </w:rPr>
        <w:t> </w:t>
      </w:r>
      <w:r>
        <w:rPr>
          <w:color w:val="231F20"/>
          <w:w w:val="105"/>
        </w:rPr>
        <w:t>de</w:t>
      </w:r>
      <w:r>
        <w:rPr>
          <w:color w:val="231F20"/>
          <w:spacing w:val="-7"/>
          <w:w w:val="105"/>
        </w:rPr>
        <w:t> </w:t>
      </w:r>
      <w:r>
        <w:rPr>
          <w:color w:val="231F20"/>
          <w:w w:val="105"/>
        </w:rPr>
        <w:t>akte</w:t>
      </w:r>
      <w:r>
        <w:rPr>
          <w:color w:val="231F20"/>
          <w:spacing w:val="-6"/>
          <w:w w:val="105"/>
        </w:rPr>
        <w:t> </w:t>
      </w:r>
      <w:r>
        <w:rPr>
          <w:color w:val="231F20"/>
          <w:w w:val="105"/>
        </w:rPr>
        <w:t>van omzetting pas uitwerking na de goedkeuring door de</w:t>
      </w:r>
      <w:r>
        <w:rPr>
          <w:color w:val="231F20"/>
          <w:spacing w:val="11"/>
          <w:w w:val="105"/>
        </w:rPr>
        <w:t> </w:t>
      </w:r>
      <w:r>
        <w:rPr>
          <w:color w:val="231F20"/>
          <w:w w:val="105"/>
        </w:rPr>
        <w:t>Koning.</w:t>
      </w:r>
    </w:p>
    <w:p>
      <w:pPr>
        <w:pStyle w:val="BodyText"/>
        <w:spacing w:line="218" w:lineRule="auto" w:before="128"/>
      </w:pPr>
      <w:r>
        <w:rPr>
          <w:color w:val="231F20"/>
        </w:rPr>
        <w:t>De omzetting kan aan derden worden tegengeworpen onder de voorwaarden bepaald in artikel 2:18.</w:t>
      </w:r>
    </w:p>
    <w:p>
      <w:pPr>
        <w:pStyle w:val="BodyText"/>
        <w:spacing w:line="218" w:lineRule="auto" w:before="128"/>
      </w:pPr>
      <w:r>
        <w:rPr>
          <w:color w:val="231F20"/>
        </w:rPr>
        <w:t>Art. 14:50. Niettegenstaande andersluidende bepaling zijn de leden van het bestuursorgaan van de VZW die wordt omgezet, ten aanzien van de belanghebbenden hoofdelijk gehouden tot vergoeding van de schade</w:t>
      </w:r>
      <w:r>
        <w:rPr>
          <w:color w:val="231F20"/>
          <w:spacing w:val="15"/>
        </w:rPr>
        <w:t> </w:t>
      </w:r>
      <w:r>
        <w:rPr>
          <w:color w:val="231F20"/>
        </w:rPr>
        <w:t>die</w:t>
      </w:r>
      <w:r>
        <w:rPr>
          <w:color w:val="231F20"/>
          <w:spacing w:val="16"/>
        </w:rPr>
        <w:t> </w:t>
      </w:r>
      <w:r>
        <w:rPr>
          <w:color w:val="231F20"/>
        </w:rPr>
        <w:t>het</w:t>
      </w:r>
      <w:r>
        <w:rPr>
          <w:color w:val="231F20"/>
          <w:spacing w:val="16"/>
        </w:rPr>
        <w:t> </w:t>
      </w:r>
      <w:r>
        <w:rPr>
          <w:color w:val="231F20"/>
        </w:rPr>
        <w:t>onmiddellijk</w:t>
      </w:r>
      <w:r>
        <w:rPr>
          <w:color w:val="231F20"/>
          <w:spacing w:val="16"/>
        </w:rPr>
        <w:t> </w:t>
      </w:r>
      <w:r>
        <w:rPr>
          <w:color w:val="231F20"/>
        </w:rPr>
        <w:t>en</w:t>
      </w:r>
      <w:r>
        <w:rPr>
          <w:color w:val="231F20"/>
          <w:spacing w:val="16"/>
        </w:rPr>
        <w:t> </w:t>
      </w:r>
      <w:r>
        <w:rPr>
          <w:color w:val="231F20"/>
        </w:rPr>
        <w:t>rechtstreeks</w:t>
      </w:r>
      <w:r>
        <w:rPr>
          <w:color w:val="231F20"/>
          <w:spacing w:val="16"/>
        </w:rPr>
        <w:t> </w:t>
      </w:r>
      <w:r>
        <w:rPr>
          <w:color w:val="231F20"/>
        </w:rPr>
        <w:t>gevolg</w:t>
      </w:r>
      <w:r>
        <w:rPr>
          <w:color w:val="231F20"/>
          <w:spacing w:val="16"/>
        </w:rPr>
        <w:t> </w:t>
      </w:r>
      <w:r>
        <w:rPr>
          <w:color w:val="231F20"/>
        </w:rPr>
        <w:t>is</w:t>
      </w:r>
      <w:r>
        <w:rPr>
          <w:color w:val="231F20"/>
          <w:spacing w:val="16"/>
        </w:rPr>
        <w:t> </w:t>
      </w:r>
      <w:r>
        <w:rPr>
          <w:color w:val="231F20"/>
        </w:rPr>
        <w:t>van:</w:t>
      </w:r>
    </w:p>
    <w:p>
      <w:pPr>
        <w:pStyle w:val="BodyText"/>
        <w:spacing w:line="218" w:lineRule="auto" w:before="128"/>
      </w:pPr>
      <w:r>
        <w:rPr>
          <w:color w:val="231F20"/>
        </w:rPr>
        <w:t>1° de overwaardering van het nettoactief in de staat bedoeld in  artikel</w:t>
      </w:r>
      <w:r>
        <w:rPr>
          <w:color w:val="231F20"/>
          <w:spacing w:val="14"/>
        </w:rPr>
        <w:t> </w:t>
      </w:r>
      <w:r>
        <w:rPr>
          <w:color w:val="231F20"/>
        </w:rPr>
        <w:t>14:47;</w:t>
      </w:r>
    </w:p>
    <w:p>
      <w:pPr>
        <w:pStyle w:val="BodyText"/>
        <w:spacing w:before="114"/>
        <w:ind w:left="283" w:right="0" w:firstLine="0"/>
        <w:jc w:val="left"/>
      </w:pPr>
      <w:r>
        <w:rPr>
          <w:color w:val="231F20"/>
        </w:rPr>
        <w:t>2° de nietigheid van de omzetting.</w:t>
      </w:r>
    </w:p>
    <w:p>
      <w:pPr>
        <w:spacing w:after="0"/>
        <w:jc w:val="left"/>
        <w:sectPr>
          <w:pgSz w:w="11940" w:h="16880"/>
          <w:pgMar w:header="666" w:footer="0" w:top="1140" w:bottom="280" w:left="340" w:right="360"/>
          <w:cols w:num="2" w:equalWidth="0">
            <w:col w:w="5527" w:space="101"/>
            <w:col w:w="5612"/>
          </w:cols>
        </w:sectPr>
      </w:pPr>
    </w:p>
    <w:p>
      <w:pPr>
        <w:pStyle w:val="BodyText"/>
        <w:spacing w:line="304" w:lineRule="auto" w:before="105"/>
        <w:ind w:left="283" w:right="1895" w:hanging="1"/>
        <w:jc w:val="left"/>
      </w:pPr>
      <w:r>
        <w:rPr/>
        <w:pict>
          <v:line style="position:absolute;mso-position-horizontal-relative:page;mso-position-vertical-relative:page;z-index:7480" from="298.170502pt,64.473pt" to="298.170502pt,812.819pt" stroked="true" strokeweight=".533pt" strokecolor="#231f20">
            <v:stroke dashstyle="solid"/>
            <w10:wrap type="none"/>
          </v:line>
        </w:pict>
      </w:r>
      <w:bookmarkStart w:name="_bookmark269" w:id="275"/>
      <w:bookmarkEnd w:id="275"/>
      <w:r>
        <w:rPr/>
      </w:r>
      <w:r>
        <w:rPr>
          <w:color w:val="231F20"/>
        </w:rPr>
        <w:t>Chapitre 2. Transformation transfrontalière. Section 1</w:t>
      </w:r>
      <w:r>
        <w:rPr>
          <w:color w:val="231F20"/>
          <w:position w:val="7"/>
          <w:sz w:val="11"/>
        </w:rPr>
        <w:t>er</w:t>
      </w:r>
      <w:r>
        <w:rPr>
          <w:color w:val="231F20"/>
        </w:rPr>
        <w:t>. Dispositions introductives.</w:t>
      </w:r>
    </w:p>
    <w:p>
      <w:pPr>
        <w:pStyle w:val="BodyText"/>
        <w:spacing w:line="218" w:lineRule="auto" w:before="31"/>
        <w:ind w:right="38"/>
      </w:pPr>
      <w:r>
        <w:rPr>
          <w:color w:val="231F20"/>
        </w:rPr>
        <w:t>Art. 14:51. La section 2 du présent chapitre s’applique à toutes les associations dotées de la personnalité juridique régies par le présent code qui veulent transférer leur siège à l’étranger (émigration), à l’exception du PPEU et de la FPEU.</w:t>
      </w:r>
    </w:p>
    <w:p>
      <w:pPr>
        <w:pStyle w:val="BodyText"/>
        <w:spacing w:line="218" w:lineRule="auto" w:before="86"/>
        <w:ind w:right="38"/>
      </w:pPr>
      <w:r>
        <w:rPr>
          <w:color w:val="231F20"/>
        </w:rPr>
        <w:t>La section 3 du présent chapitre est applicable à toutes les personnes morales régies par un droit étranger qui veulent transférer leur siège en Belgique (immigration), à l’exception du PPEU et de la FPEU.</w:t>
      </w:r>
    </w:p>
    <w:p>
      <w:pPr>
        <w:pStyle w:val="BodyText"/>
        <w:ind w:left="0" w:right="0" w:firstLine="0"/>
        <w:jc w:val="left"/>
        <w:rPr>
          <w:sz w:val="23"/>
        </w:rPr>
      </w:pPr>
    </w:p>
    <w:p>
      <w:pPr>
        <w:pStyle w:val="BodyText"/>
        <w:spacing w:line="218" w:lineRule="auto"/>
        <w:ind w:right="38"/>
      </w:pPr>
      <w:r>
        <w:rPr>
          <w:color w:val="231F20"/>
        </w:rPr>
        <w:t>Art. 14:52. Lorsqu’une personne morale transfère son siège statutaire à l’étranger, elle se transforme en une forme légale de la juridiction vers laquelle elle déplace son siège, en préservant la continuité de sa personnalité juridique.</w:t>
      </w:r>
    </w:p>
    <w:p>
      <w:pPr>
        <w:pStyle w:val="BodyText"/>
        <w:spacing w:line="218" w:lineRule="auto" w:before="85"/>
        <w:ind w:right="38"/>
      </w:pPr>
      <w:r>
        <w:rPr>
          <w:color w:val="231F20"/>
        </w:rPr>
        <w:t>Art. 14:53. La transformation transfrontalière n’est pas autorisée tant que la personne morale à transformer est soumise à une procédure d’insolvabilité.</w:t>
      </w:r>
    </w:p>
    <w:p>
      <w:pPr>
        <w:pStyle w:val="BodyText"/>
        <w:spacing w:before="72"/>
        <w:ind w:left="283" w:right="0" w:firstLine="0"/>
        <w:jc w:val="left"/>
      </w:pPr>
      <w:r>
        <w:rPr>
          <w:color w:val="231F20"/>
        </w:rPr>
        <w:t>Section 2. Émigration.</w:t>
      </w:r>
    </w:p>
    <w:p>
      <w:pPr>
        <w:pStyle w:val="BodyText"/>
        <w:spacing w:line="218" w:lineRule="auto" w:before="67"/>
        <w:ind w:right="38"/>
      </w:pPr>
      <w:r>
        <w:rPr>
          <w:color w:val="231F20"/>
        </w:rPr>
        <w:t>Sous-section</w:t>
      </w:r>
      <w:r>
        <w:rPr>
          <w:color w:val="231F20"/>
          <w:spacing w:val="-7"/>
        </w:rPr>
        <w:t> </w:t>
      </w:r>
      <w:r>
        <w:rPr>
          <w:color w:val="231F20"/>
        </w:rPr>
        <w:t>1</w:t>
      </w:r>
      <w:r>
        <w:rPr>
          <w:color w:val="231F20"/>
          <w:position w:val="7"/>
          <w:sz w:val="11"/>
        </w:rPr>
        <w:t>re</w:t>
      </w:r>
      <w:r>
        <w:rPr>
          <w:color w:val="231F20"/>
        </w:rPr>
        <w:t>.</w:t>
      </w:r>
      <w:r>
        <w:rPr>
          <w:color w:val="231F20"/>
          <w:spacing w:val="-7"/>
        </w:rPr>
        <w:t> </w:t>
      </w:r>
      <w:r>
        <w:rPr>
          <w:color w:val="231F20"/>
        </w:rPr>
        <w:t>–</w:t>
      </w:r>
      <w:r>
        <w:rPr>
          <w:color w:val="231F20"/>
          <w:spacing w:val="-6"/>
        </w:rPr>
        <w:t> </w:t>
      </w:r>
      <w:r>
        <w:rPr>
          <w:color w:val="231F20"/>
        </w:rPr>
        <w:t>Formalités</w:t>
      </w:r>
      <w:r>
        <w:rPr>
          <w:color w:val="231F20"/>
          <w:spacing w:val="-7"/>
        </w:rPr>
        <w:t> </w:t>
      </w:r>
      <w:r>
        <w:rPr>
          <w:color w:val="231F20"/>
        </w:rPr>
        <w:t>précédant</w:t>
      </w:r>
      <w:r>
        <w:rPr>
          <w:color w:val="231F20"/>
          <w:spacing w:val="-6"/>
        </w:rPr>
        <w:t> </w:t>
      </w:r>
      <w:r>
        <w:rPr>
          <w:color w:val="231F20"/>
        </w:rPr>
        <w:t>la</w:t>
      </w:r>
      <w:r>
        <w:rPr>
          <w:color w:val="231F20"/>
          <w:spacing w:val="-7"/>
        </w:rPr>
        <w:t> </w:t>
      </w:r>
      <w:r>
        <w:rPr>
          <w:color w:val="231F20"/>
        </w:rPr>
        <w:t>décision</w:t>
      </w:r>
      <w:r>
        <w:rPr>
          <w:color w:val="231F20"/>
          <w:spacing w:val="-6"/>
        </w:rPr>
        <w:t> </w:t>
      </w:r>
      <w:r>
        <w:rPr>
          <w:color w:val="231F20"/>
        </w:rPr>
        <w:t>de</w:t>
      </w:r>
      <w:r>
        <w:rPr>
          <w:color w:val="231F20"/>
          <w:spacing w:val="-7"/>
        </w:rPr>
        <w:t> </w:t>
      </w:r>
      <w:r>
        <w:rPr>
          <w:color w:val="231F20"/>
        </w:rPr>
        <w:t>transformation transfrontalière.</w:t>
      </w:r>
    </w:p>
    <w:p>
      <w:pPr>
        <w:pStyle w:val="BodyText"/>
        <w:spacing w:line="218" w:lineRule="auto" w:before="85"/>
        <w:ind w:right="38"/>
      </w:pPr>
      <w:r>
        <w:rPr>
          <w:color w:val="231F20"/>
        </w:rPr>
        <w:t>Art. 14:54. L’organe d’administration établit le projet de transforma- tion transfrontalière. Ce projet mentionne au moins la forme légale, la dénomination et le siège de l’association après la transformation ainsi que le nom et la résidence du notaire devant lequel la transformation transfrontalière sera passée.</w:t>
      </w:r>
    </w:p>
    <w:p>
      <w:pPr>
        <w:pStyle w:val="BodyText"/>
        <w:spacing w:line="218" w:lineRule="auto" w:before="86"/>
        <w:ind w:right="38"/>
      </w:pPr>
      <w:r>
        <w:rPr>
          <w:color w:val="231F20"/>
        </w:rPr>
        <w:t>Ce projet est déposé et publié conformément aux  articles  2:9  ou 2:10 et 2:15 ou 2:16.</w:t>
      </w:r>
    </w:p>
    <w:p>
      <w:pPr>
        <w:pStyle w:val="BodyText"/>
        <w:spacing w:line="218" w:lineRule="auto" w:before="85"/>
        <w:ind w:right="38"/>
      </w:pPr>
      <w:r>
        <w:rPr>
          <w:color w:val="231F20"/>
        </w:rPr>
        <w:t>Art. 14:55. Au plus tard dans les deux mois de la publication aux Annexes du </w:t>
      </w:r>
      <w:r>
        <w:rPr>
          <w:rFonts w:ascii="Times New Roman" w:hAnsi="Times New Roman"/>
          <w:i/>
          <w:color w:val="231F20"/>
        </w:rPr>
        <w:t>Moniteur belge </w:t>
      </w:r>
      <w:r>
        <w:rPr>
          <w:color w:val="231F20"/>
        </w:rPr>
        <w:t>du projet de transformation, les créanciers ont, nonobstant toute disposition contraire, le droit d’exiger de l’association une sûreté ou toute autre garantie pour leurs créances certaines mais non encore exigibles au moment de la publication et, pour les créances faisant l’objet d’une action introduite en justice ou</w:t>
      </w:r>
      <w:r>
        <w:rPr>
          <w:color w:val="231F20"/>
          <w:spacing w:val="-24"/>
        </w:rPr>
        <w:t> </w:t>
      </w:r>
      <w:r>
        <w:rPr>
          <w:color w:val="231F20"/>
        </w:rPr>
        <w:t>par voie d’arbitrage contre l’association, avant la publication du projet de transformation.</w:t>
      </w:r>
    </w:p>
    <w:p>
      <w:pPr>
        <w:pStyle w:val="BodyText"/>
        <w:spacing w:line="218" w:lineRule="auto" w:before="84"/>
        <w:ind w:right="38"/>
      </w:pPr>
      <w:r>
        <w:rPr>
          <w:color w:val="231F20"/>
        </w:rPr>
        <w:t>À cet </w:t>
      </w:r>
      <w:r>
        <w:rPr>
          <w:color w:val="231F20"/>
          <w:spacing w:val="-3"/>
        </w:rPr>
        <w:t>effet </w:t>
      </w:r>
      <w:r>
        <w:rPr>
          <w:color w:val="231F20"/>
        </w:rPr>
        <w:t>et sous peine d’irrecevabilité de la requête, le créancier adresse en même temps une demande écrite à l’association et au</w:t>
      </w:r>
      <w:r>
        <w:rPr>
          <w:color w:val="231F20"/>
          <w:spacing w:val="-26"/>
        </w:rPr>
        <w:t> </w:t>
      </w:r>
      <w:r>
        <w:rPr>
          <w:color w:val="231F20"/>
        </w:rPr>
        <w:t>notaire mentionné</w:t>
      </w:r>
      <w:r>
        <w:rPr>
          <w:color w:val="231F20"/>
          <w:spacing w:val="14"/>
        </w:rPr>
        <w:t> </w:t>
      </w:r>
      <w:r>
        <w:rPr>
          <w:color w:val="231F20"/>
        </w:rPr>
        <w:t>dans</w:t>
      </w:r>
      <w:r>
        <w:rPr>
          <w:color w:val="231F20"/>
          <w:spacing w:val="14"/>
        </w:rPr>
        <w:t> </w:t>
      </w:r>
      <w:r>
        <w:rPr>
          <w:color w:val="231F20"/>
        </w:rPr>
        <w:t>le</w:t>
      </w:r>
      <w:r>
        <w:rPr>
          <w:color w:val="231F20"/>
          <w:spacing w:val="15"/>
        </w:rPr>
        <w:t> </w:t>
      </w:r>
      <w:r>
        <w:rPr>
          <w:color w:val="231F20"/>
        </w:rPr>
        <w:t>projet</w:t>
      </w:r>
      <w:r>
        <w:rPr>
          <w:color w:val="231F20"/>
          <w:spacing w:val="14"/>
        </w:rPr>
        <w:t> </w:t>
      </w:r>
      <w:r>
        <w:rPr>
          <w:color w:val="231F20"/>
        </w:rPr>
        <w:t>de</w:t>
      </w:r>
      <w:r>
        <w:rPr>
          <w:color w:val="231F20"/>
          <w:spacing w:val="15"/>
        </w:rPr>
        <w:t> </w:t>
      </w:r>
      <w:r>
        <w:rPr>
          <w:color w:val="231F20"/>
        </w:rPr>
        <w:t>transformation.</w:t>
      </w:r>
    </w:p>
    <w:p>
      <w:pPr>
        <w:pStyle w:val="BodyText"/>
        <w:spacing w:line="218" w:lineRule="auto" w:before="85"/>
        <w:ind w:right="38"/>
      </w:pPr>
      <w:r>
        <w:rPr>
          <w:color w:val="231F20"/>
        </w:rPr>
        <w:t>L’association peut écarter cette demande en payant la créance à sa valeur, après déduction de l’escompte.</w:t>
      </w:r>
    </w:p>
    <w:p>
      <w:pPr>
        <w:pStyle w:val="BodyText"/>
        <w:spacing w:line="218" w:lineRule="auto" w:before="86"/>
        <w:ind w:right="38"/>
      </w:pPr>
      <w:r>
        <w:rPr>
          <w:color w:val="231F20"/>
        </w:rPr>
        <w:t>À défaut d’accord ou si le créancier n’a pas reçu satisfaction, la partie la plus diligente soumet la contestation au président du tribunal de l’entreprise du siège de l’association débitrice, siégeant en référé.</w:t>
      </w:r>
    </w:p>
    <w:p>
      <w:pPr>
        <w:pStyle w:val="BodyText"/>
        <w:ind w:left="0" w:right="0" w:firstLine="0"/>
        <w:jc w:val="left"/>
        <w:rPr>
          <w:sz w:val="23"/>
        </w:rPr>
      </w:pPr>
    </w:p>
    <w:p>
      <w:pPr>
        <w:pStyle w:val="BodyText"/>
        <w:spacing w:line="218" w:lineRule="auto"/>
        <w:ind w:right="38"/>
      </w:pPr>
      <w:r>
        <w:rPr>
          <w:color w:val="231F20"/>
        </w:rPr>
        <w:t>Tous droits saufs au fond, le président détermine la sûreté à fournir par l’association et fixe le délai dans lequel elle doit être constituée, à moins qu’il ne décide qu’aucune sûreté n’est requise, eu égard soit aux garanties et privilèges dont jouit le créancier, soit à la solvabilité de l’association.</w:t>
      </w:r>
    </w:p>
    <w:p>
      <w:pPr>
        <w:pStyle w:val="BodyText"/>
        <w:spacing w:line="218" w:lineRule="auto" w:before="86"/>
        <w:ind w:right="38"/>
      </w:pPr>
      <w:r>
        <w:rPr>
          <w:color w:val="231F20"/>
        </w:rPr>
        <w:t>Art. 14:56. </w:t>
      </w:r>
      <w:r>
        <w:rPr>
          <w:color w:val="231F20"/>
          <w:spacing w:val="-3"/>
        </w:rPr>
        <w:t>L’organe </w:t>
      </w:r>
      <w:r>
        <w:rPr>
          <w:color w:val="231F20"/>
        </w:rPr>
        <w:t>d’administration expose le projet de transforma- tion transfrontalière, ses motifs et conséquences juridiques et économi- ques, et ses conséquences pour les membres, les créanciers et les travailleurs dans un rapport inscrit à l’ordre du jour de l’assemblée générale pour l’ASBL ou de la réunion de l’organe désigné par les statuts</w:t>
      </w:r>
      <w:r>
        <w:rPr>
          <w:color w:val="231F20"/>
          <w:spacing w:val="-3"/>
        </w:rPr>
        <w:t> </w:t>
      </w:r>
      <w:r>
        <w:rPr>
          <w:color w:val="231F20"/>
        </w:rPr>
        <w:t>pour</w:t>
      </w:r>
      <w:r>
        <w:rPr>
          <w:color w:val="231F20"/>
          <w:spacing w:val="-3"/>
        </w:rPr>
        <w:t> </w:t>
      </w:r>
      <w:r>
        <w:rPr>
          <w:color w:val="231F20"/>
        </w:rPr>
        <w:t>l’AISBL</w:t>
      </w:r>
      <w:r>
        <w:rPr>
          <w:color w:val="231F20"/>
          <w:spacing w:val="-10"/>
        </w:rPr>
        <w:t> </w:t>
      </w:r>
      <w:r>
        <w:rPr>
          <w:color w:val="231F20"/>
        </w:rPr>
        <w:t>appelée</w:t>
      </w:r>
      <w:r>
        <w:rPr>
          <w:color w:val="231F20"/>
          <w:spacing w:val="-2"/>
        </w:rPr>
        <w:t> </w:t>
      </w:r>
      <w:r>
        <w:rPr>
          <w:color w:val="231F20"/>
        </w:rPr>
        <w:t>à</w:t>
      </w:r>
      <w:r>
        <w:rPr>
          <w:color w:val="231F20"/>
          <w:spacing w:val="-3"/>
        </w:rPr>
        <w:t> </w:t>
      </w:r>
      <w:r>
        <w:rPr>
          <w:color w:val="231F20"/>
        </w:rPr>
        <w:t>statuer</w:t>
      </w:r>
      <w:r>
        <w:rPr>
          <w:color w:val="231F20"/>
          <w:spacing w:val="-3"/>
        </w:rPr>
        <w:t> </w:t>
      </w:r>
      <w:r>
        <w:rPr>
          <w:color w:val="231F20"/>
        </w:rPr>
        <w:t>sur</w:t>
      </w:r>
      <w:r>
        <w:rPr>
          <w:color w:val="231F20"/>
          <w:spacing w:val="-3"/>
        </w:rPr>
        <w:t> </w:t>
      </w:r>
      <w:r>
        <w:rPr>
          <w:color w:val="231F20"/>
        </w:rPr>
        <w:t>la</w:t>
      </w:r>
      <w:r>
        <w:rPr>
          <w:color w:val="231F20"/>
          <w:spacing w:val="-3"/>
        </w:rPr>
        <w:t> </w:t>
      </w:r>
      <w:r>
        <w:rPr>
          <w:color w:val="231F20"/>
        </w:rPr>
        <w:t>décision</w:t>
      </w:r>
      <w:r>
        <w:rPr>
          <w:color w:val="231F20"/>
          <w:spacing w:val="-3"/>
        </w:rPr>
        <w:t> </w:t>
      </w:r>
      <w:r>
        <w:rPr>
          <w:color w:val="231F20"/>
        </w:rPr>
        <w:t>de</w:t>
      </w:r>
      <w:r>
        <w:rPr>
          <w:color w:val="231F20"/>
          <w:spacing w:val="-3"/>
        </w:rPr>
        <w:t> </w:t>
      </w:r>
      <w:r>
        <w:rPr>
          <w:color w:val="231F20"/>
        </w:rPr>
        <w:t>transformation.</w:t>
      </w:r>
    </w:p>
    <w:p>
      <w:pPr>
        <w:pStyle w:val="BodyText"/>
        <w:ind w:left="0" w:right="0" w:firstLine="0"/>
        <w:jc w:val="left"/>
        <w:rPr>
          <w:sz w:val="23"/>
        </w:rPr>
      </w:pPr>
    </w:p>
    <w:p>
      <w:pPr>
        <w:pStyle w:val="BodyText"/>
        <w:spacing w:line="218" w:lineRule="auto"/>
        <w:ind w:right="38"/>
      </w:pPr>
      <w:r>
        <w:rPr>
          <w:color w:val="231F20"/>
        </w:rPr>
        <w:t>Art. 14:57. </w:t>
      </w:r>
      <w:r>
        <w:rPr>
          <w:color w:val="231F20"/>
          <w:spacing w:val="-3"/>
        </w:rPr>
        <w:t>L’organe  </w:t>
      </w:r>
      <w:r>
        <w:rPr>
          <w:color w:val="231F20"/>
        </w:rPr>
        <w:t>d’administration joint au rapport </w:t>
      </w:r>
      <w:r>
        <w:rPr>
          <w:color w:val="231F20"/>
          <w:spacing w:val="7"/>
        </w:rPr>
        <w:t>visé </w:t>
      </w:r>
      <w:r>
        <w:rPr>
          <w:color w:val="231F20"/>
        </w:rPr>
        <w:t>à l’arti-  cle 14:56 un état résumant la situation active et passive, </w:t>
      </w:r>
      <w:r>
        <w:rPr>
          <w:color w:val="231F20"/>
          <w:spacing w:val="2"/>
        </w:rPr>
        <w:t>clôturé </w:t>
      </w:r>
      <w:r>
        <w:rPr>
          <w:color w:val="231F20"/>
        </w:rPr>
        <w:t>à une date ne remontant pas à plus de quatre mois avant l’assemblée générale pour l’ASBL ou la réunion de l’organe désigné par les statuts pour l’AISBL appelée à se prononcer sur la proposition de transformation transfrontalière.</w:t>
      </w:r>
    </w:p>
    <w:p>
      <w:pPr>
        <w:pStyle w:val="BodyText"/>
        <w:spacing w:line="218" w:lineRule="auto" w:before="86"/>
        <w:ind w:right="38"/>
      </w:pPr>
      <w:r>
        <w:rPr>
          <w:color w:val="231F20"/>
        </w:rPr>
        <w:t>Le commissaire ou, lorsqu’il n’y a pas de commissaire, un réviseur d’entreprises ou un expert-comptable externe désigné par l’organe d’administration,</w:t>
      </w:r>
      <w:r>
        <w:rPr>
          <w:color w:val="231F20"/>
          <w:spacing w:val="-4"/>
        </w:rPr>
        <w:t> </w:t>
      </w:r>
      <w:r>
        <w:rPr>
          <w:color w:val="231F20"/>
        </w:rPr>
        <w:t>fait</w:t>
      </w:r>
      <w:r>
        <w:rPr>
          <w:color w:val="231F20"/>
          <w:spacing w:val="-4"/>
        </w:rPr>
        <w:t> </w:t>
      </w:r>
      <w:r>
        <w:rPr>
          <w:color w:val="231F20"/>
        </w:rPr>
        <w:t>rapport</w:t>
      </w:r>
      <w:r>
        <w:rPr>
          <w:color w:val="231F20"/>
          <w:spacing w:val="-4"/>
        </w:rPr>
        <w:t> </w:t>
      </w:r>
      <w:r>
        <w:rPr>
          <w:color w:val="231F20"/>
        </w:rPr>
        <w:t>sur</w:t>
      </w:r>
      <w:r>
        <w:rPr>
          <w:color w:val="231F20"/>
          <w:spacing w:val="-3"/>
        </w:rPr>
        <w:t> </w:t>
      </w:r>
      <w:r>
        <w:rPr>
          <w:color w:val="231F20"/>
        </w:rPr>
        <w:t>cet</w:t>
      </w:r>
      <w:r>
        <w:rPr>
          <w:color w:val="231F20"/>
          <w:spacing w:val="-4"/>
        </w:rPr>
        <w:t> </w:t>
      </w:r>
      <w:r>
        <w:rPr>
          <w:color w:val="231F20"/>
        </w:rPr>
        <w:t>état</w:t>
      </w:r>
      <w:r>
        <w:rPr>
          <w:color w:val="231F20"/>
          <w:spacing w:val="-4"/>
        </w:rPr>
        <w:t> </w:t>
      </w:r>
      <w:r>
        <w:rPr>
          <w:color w:val="231F20"/>
        </w:rPr>
        <w:t>et</w:t>
      </w:r>
      <w:r>
        <w:rPr>
          <w:color w:val="231F20"/>
          <w:spacing w:val="-3"/>
        </w:rPr>
        <w:t> </w:t>
      </w:r>
      <w:r>
        <w:rPr>
          <w:color w:val="231F20"/>
        </w:rPr>
        <w:t>indique</w:t>
      </w:r>
      <w:r>
        <w:rPr>
          <w:color w:val="231F20"/>
          <w:spacing w:val="-4"/>
        </w:rPr>
        <w:t> </w:t>
      </w:r>
      <w:r>
        <w:rPr>
          <w:color w:val="231F20"/>
        </w:rPr>
        <w:t>notamment</w:t>
      </w:r>
      <w:r>
        <w:rPr>
          <w:color w:val="231F20"/>
          <w:spacing w:val="-4"/>
        </w:rPr>
        <w:t> </w:t>
      </w:r>
      <w:r>
        <w:rPr>
          <w:color w:val="231F20"/>
        </w:rPr>
        <w:t>si</w:t>
      </w:r>
      <w:r>
        <w:rPr>
          <w:color w:val="231F20"/>
          <w:spacing w:val="-3"/>
        </w:rPr>
        <w:t> </w:t>
      </w:r>
      <w:r>
        <w:rPr>
          <w:color w:val="231F20"/>
        </w:rPr>
        <w:t>l’actif net est</w:t>
      </w:r>
      <w:r>
        <w:rPr>
          <w:color w:val="231F20"/>
          <w:spacing w:val="-11"/>
        </w:rPr>
        <w:t> </w:t>
      </w:r>
      <w:r>
        <w:rPr>
          <w:color w:val="231F20"/>
        </w:rPr>
        <w:t>surévalué.</w:t>
      </w:r>
    </w:p>
    <w:p>
      <w:pPr>
        <w:pStyle w:val="BodyText"/>
        <w:spacing w:line="218" w:lineRule="auto" w:before="96"/>
        <w:ind w:right="38"/>
      </w:pPr>
      <w:r>
        <w:rPr>
          <w:color w:val="231F20"/>
        </w:rPr>
        <w:t>Art. 14:58. Une copie du rapport de l’organe d’administration et du rapport du commissaire ou du réviseur d’entreprises ou de l’expert- comptable externe ainsi que le projet de modification statutaire sont communiqués aux membres en même temps que la convocation à l’assemblée générale pour l’ASBL ou à la réunion de l’organe désigné par les statuts pour l’AISBL conformément à l’article 2:32.</w:t>
      </w:r>
    </w:p>
    <w:p>
      <w:pPr>
        <w:pStyle w:val="BodyText"/>
        <w:spacing w:line="213" w:lineRule="auto" w:before="100"/>
        <w:ind w:right="38"/>
      </w:pPr>
      <w:r>
        <w:rPr>
          <w:color w:val="231F20"/>
          <w:spacing w:val="-4"/>
        </w:rPr>
        <w:t>Tout </w:t>
      </w:r>
      <w:r>
        <w:rPr>
          <w:color w:val="231F20"/>
        </w:rPr>
        <w:t>créancier qui dispose d’un droit d’opposition sur la base de l’article 14:55 peut obtenir sans frais au siège de l’association une copie des documents visés à l’alinéa 1</w:t>
      </w:r>
      <w:r>
        <w:rPr>
          <w:color w:val="231F20"/>
          <w:position w:val="7"/>
          <w:sz w:val="11"/>
        </w:rPr>
        <w:t>er  </w:t>
      </w:r>
      <w:r>
        <w:rPr>
          <w:color w:val="231F20"/>
        </w:rPr>
        <w:t>dès la publication de la proposition  de</w:t>
      </w:r>
      <w:r>
        <w:rPr>
          <w:color w:val="231F20"/>
          <w:spacing w:val="13"/>
        </w:rPr>
        <w:t> </w:t>
      </w:r>
      <w:r>
        <w:rPr>
          <w:color w:val="231F20"/>
        </w:rPr>
        <w:t>transformation</w:t>
      </w:r>
      <w:r>
        <w:rPr>
          <w:color w:val="231F20"/>
          <w:spacing w:val="14"/>
        </w:rPr>
        <w:t> </w:t>
      </w:r>
      <w:r>
        <w:rPr>
          <w:color w:val="231F20"/>
        </w:rPr>
        <w:t>conformément</w:t>
      </w:r>
      <w:r>
        <w:rPr>
          <w:color w:val="231F20"/>
          <w:spacing w:val="14"/>
        </w:rPr>
        <w:t> </w:t>
      </w:r>
      <w:r>
        <w:rPr>
          <w:color w:val="231F20"/>
        </w:rPr>
        <w:t>à</w:t>
      </w:r>
      <w:r>
        <w:rPr>
          <w:color w:val="231F20"/>
          <w:spacing w:val="14"/>
        </w:rPr>
        <w:t> </w:t>
      </w:r>
      <w:r>
        <w:rPr>
          <w:color w:val="231F20"/>
        </w:rPr>
        <w:t>l’article</w:t>
      </w:r>
      <w:r>
        <w:rPr>
          <w:color w:val="231F20"/>
          <w:spacing w:val="14"/>
        </w:rPr>
        <w:t> </w:t>
      </w:r>
      <w:r>
        <w:rPr>
          <w:color w:val="231F20"/>
        </w:rPr>
        <w:t>14:54.</w:t>
      </w:r>
    </w:p>
    <w:p>
      <w:pPr>
        <w:pStyle w:val="BodyText"/>
        <w:spacing w:line="324" w:lineRule="auto" w:before="105"/>
        <w:ind w:left="283" w:right="1535" w:firstLine="0"/>
        <w:jc w:val="left"/>
      </w:pPr>
      <w:r>
        <w:rPr/>
        <w:br w:type="column"/>
      </w:r>
      <w:r>
        <w:rPr>
          <w:color w:val="231F20"/>
        </w:rPr>
        <w:t>Hoofdstuk 2. Grensoverschrijdende omzetting. Afdeling 1. Inleidende bepalingen.</w:t>
      </w:r>
    </w:p>
    <w:p>
      <w:pPr>
        <w:pStyle w:val="BodyText"/>
        <w:spacing w:line="218" w:lineRule="auto" w:before="15"/>
      </w:pPr>
      <w:r>
        <w:rPr>
          <w:color w:val="231F20"/>
        </w:rPr>
        <w:t>Art. 14:51. Afdeling 2 van dit hoofdstuk is van toepassing op  alle door dit wetboek geregelde verenigingen met  rechtspersoonlijkheid, die hun zetel naar het buitenland willen verplaatsen (emigratie), met uitzondering</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EUPP</w:t>
      </w:r>
      <w:r>
        <w:rPr>
          <w:color w:val="231F20"/>
          <w:spacing w:val="13"/>
        </w:rPr>
        <w:t> </w:t>
      </w:r>
      <w:r>
        <w:rPr>
          <w:color w:val="231F20"/>
        </w:rPr>
        <w:t>en</w:t>
      </w:r>
      <w:r>
        <w:rPr>
          <w:color w:val="231F20"/>
          <w:spacing w:val="15"/>
        </w:rPr>
        <w:t> </w:t>
      </w:r>
      <w:r>
        <w:rPr>
          <w:color w:val="231F20"/>
        </w:rPr>
        <w:t>de</w:t>
      </w:r>
      <w:r>
        <w:rPr>
          <w:color w:val="231F20"/>
          <w:spacing w:val="16"/>
        </w:rPr>
        <w:t> </w:t>
      </w:r>
      <w:r>
        <w:rPr>
          <w:color w:val="231F20"/>
        </w:rPr>
        <w:t>EUPS.</w:t>
      </w:r>
    </w:p>
    <w:p>
      <w:pPr>
        <w:pStyle w:val="BodyText"/>
        <w:spacing w:line="218" w:lineRule="auto" w:before="86"/>
      </w:pPr>
      <w:r>
        <w:rPr>
          <w:color w:val="231F20"/>
        </w:rPr>
        <w:t>Afdeling 3 van dit hoofdstuk is van toepassing op alle door buitenlands recht beheerste rechtspersonen, die hun zetel naar België willen verplaatsen (immigratie), met uitzondering van de EUPP en de EUPS.</w:t>
      </w:r>
    </w:p>
    <w:p>
      <w:pPr>
        <w:pStyle w:val="BodyText"/>
        <w:spacing w:line="218" w:lineRule="auto" w:before="85"/>
      </w:pPr>
      <w:r>
        <w:rPr>
          <w:color w:val="231F20"/>
        </w:rPr>
        <w:t>Art. 14:52. </w:t>
      </w:r>
      <w:r>
        <w:rPr>
          <w:color w:val="231F20"/>
          <w:spacing w:val="-3"/>
        </w:rPr>
        <w:t>Wanneer </w:t>
      </w:r>
      <w:r>
        <w:rPr>
          <w:color w:val="231F20"/>
        </w:rPr>
        <w:t>een rechtspersoon haar statutaire zetel over de grenzen heen verplaatst, zet zij zich om in een rechtsvorm van de jurisdictie waarheen zij haar zetel verplaatst, met continuïteit van haar rechtspersoonlijkheid.</w:t>
      </w:r>
    </w:p>
    <w:p>
      <w:pPr>
        <w:pStyle w:val="BodyText"/>
        <w:spacing w:line="218" w:lineRule="auto" w:before="86"/>
      </w:pPr>
      <w:r>
        <w:rPr>
          <w:color w:val="231F20"/>
        </w:rPr>
        <w:t>Art. 14:53. De grensoverschrijdende omzetting is niet toegelaten zolang de om te zetten rechtspersoon is onderworpen aan een insolventieprocedure.</w:t>
      </w:r>
    </w:p>
    <w:p>
      <w:pPr>
        <w:pStyle w:val="BodyText"/>
        <w:spacing w:before="72"/>
        <w:ind w:left="283" w:right="0" w:firstLine="0"/>
        <w:jc w:val="left"/>
      </w:pPr>
      <w:r>
        <w:rPr>
          <w:color w:val="231F20"/>
        </w:rPr>
        <w:t>Afdeling 2. Emigratie.</w:t>
      </w:r>
    </w:p>
    <w:p>
      <w:pPr>
        <w:pStyle w:val="BodyText"/>
        <w:spacing w:line="218" w:lineRule="auto" w:before="82"/>
      </w:pPr>
      <w:r>
        <w:rPr>
          <w:color w:val="231F20"/>
        </w:rPr>
        <w:t>Onderafdeling 1. Formaliteiten die het besluit tot grensoverschrij- dende omzetting voorafgaan.</w:t>
      </w:r>
    </w:p>
    <w:p>
      <w:pPr>
        <w:pStyle w:val="BodyText"/>
        <w:spacing w:line="218" w:lineRule="auto" w:before="85"/>
      </w:pPr>
      <w:r>
        <w:rPr>
          <w:color w:val="231F20"/>
        </w:rPr>
        <w:t>Art. 14:54. Het bestuursorgaan stelt het voorstel tot grensoverschrij- dende omzetting op. Dit voorstel vermeldt ten minste de rechtsvorm, de naam en de zetel van de vereniging na omzetting evenals de naam  en standplaats van de notaris voor wie de grensoverschrijdende omzetting zal worden</w:t>
      </w:r>
      <w:r>
        <w:rPr>
          <w:color w:val="231F20"/>
          <w:spacing w:val="6"/>
        </w:rPr>
        <w:t> </w:t>
      </w:r>
      <w:r>
        <w:rPr>
          <w:color w:val="231F20"/>
        </w:rPr>
        <w:t>verleden.</w:t>
      </w:r>
    </w:p>
    <w:p>
      <w:pPr>
        <w:pStyle w:val="BodyText"/>
        <w:spacing w:line="218" w:lineRule="auto" w:before="86"/>
      </w:pPr>
      <w:r>
        <w:rPr>
          <w:color w:val="231F20"/>
        </w:rPr>
        <w:t>Dit voorstel wordt neergelegd en bekendgemaakt overeenkomstig de artikelen 2:9 of 2:10 en 2:15 of 2:16.</w:t>
      </w:r>
    </w:p>
    <w:p>
      <w:pPr>
        <w:pStyle w:val="BodyText"/>
        <w:spacing w:line="218" w:lineRule="auto" w:before="85"/>
      </w:pPr>
      <w:r>
        <w:rPr>
          <w:color w:val="231F20"/>
        </w:rPr>
        <w:t>Art. 14:55. Uiterlijk binnen twee maanden na de bekendmaking van het omzettingsvoorstel in de Bijlagen bij het </w:t>
      </w:r>
      <w:r>
        <w:rPr>
          <w:rFonts w:ascii="Times New Roman" w:hAnsi="Times New Roman"/>
          <w:i/>
          <w:color w:val="231F20"/>
        </w:rPr>
        <w:t>Belgisch Staatsblad</w:t>
      </w:r>
      <w:r>
        <w:rPr>
          <w:color w:val="231F20"/>
        </w:rPr>
        <w:t>, kunnen de schuldeisers, niettegenstaande andersluidende bepaling, een zeker- heid of enige andere waarborg eisen van de vereniging voor hun schuldvorderingen die op het tijdstip van de bekendmaking vaststaand maar nog niet opeisbaar zijn evenals voor hun schuldvorderingen waarvoor in rechte of via arbitrage een vordering tegen de vereniging werd ingesteld vóór de bekendmaking van het omzettingsvoorstel.</w:t>
      </w:r>
    </w:p>
    <w:p>
      <w:pPr>
        <w:pStyle w:val="BodyText"/>
        <w:spacing w:line="218" w:lineRule="auto" w:before="84"/>
        <w:ind w:right="123"/>
      </w:pPr>
      <w:r>
        <w:rPr>
          <w:color w:val="231F20"/>
        </w:rPr>
        <w:t>Daartoe richt de schuldeiser tegelijkertijd een schriftelijk verzoek aan de vereniging en de notaris vermeld in het omzettingsvoorstel, op straffe van niet-ontvankelijkheid van zijn verzoek.</w:t>
      </w:r>
    </w:p>
    <w:p>
      <w:pPr>
        <w:pStyle w:val="BodyText"/>
        <w:spacing w:line="218" w:lineRule="auto" w:before="85"/>
      </w:pPr>
      <w:r>
        <w:rPr>
          <w:color w:val="231F20"/>
        </w:rPr>
        <w:t>De vereniging kan deze vordering afweren door de schuldvordering te</w:t>
      </w:r>
      <w:r>
        <w:rPr>
          <w:color w:val="231F20"/>
          <w:spacing w:val="15"/>
        </w:rPr>
        <w:t> </w:t>
      </w:r>
      <w:r>
        <w:rPr>
          <w:color w:val="231F20"/>
        </w:rPr>
        <w:t>betalen</w:t>
      </w:r>
      <w:r>
        <w:rPr>
          <w:color w:val="231F20"/>
          <w:spacing w:val="15"/>
        </w:rPr>
        <w:t> </w:t>
      </w:r>
      <w:r>
        <w:rPr>
          <w:color w:val="231F20"/>
        </w:rPr>
        <w:t>tegen</w:t>
      </w:r>
      <w:r>
        <w:rPr>
          <w:color w:val="231F20"/>
          <w:spacing w:val="15"/>
        </w:rPr>
        <w:t> </w:t>
      </w:r>
      <w:r>
        <w:rPr>
          <w:color w:val="231F20"/>
        </w:rPr>
        <w:t>haar</w:t>
      </w:r>
      <w:r>
        <w:rPr>
          <w:color w:val="231F20"/>
          <w:spacing w:val="15"/>
        </w:rPr>
        <w:t> </w:t>
      </w:r>
      <w:r>
        <w:rPr>
          <w:color w:val="231F20"/>
        </w:rPr>
        <w:t>waarde,</w:t>
      </w:r>
      <w:r>
        <w:rPr>
          <w:color w:val="231F20"/>
          <w:spacing w:val="15"/>
        </w:rPr>
        <w:t> </w:t>
      </w:r>
      <w:r>
        <w:rPr>
          <w:color w:val="231F20"/>
        </w:rPr>
        <w:t>na</w:t>
      </w:r>
      <w:r>
        <w:rPr>
          <w:color w:val="231F20"/>
          <w:spacing w:val="15"/>
        </w:rPr>
        <w:t> </w:t>
      </w:r>
      <w:r>
        <w:rPr>
          <w:color w:val="231F20"/>
        </w:rPr>
        <w:t>aftrek</w:t>
      </w:r>
      <w:r>
        <w:rPr>
          <w:color w:val="231F20"/>
          <w:spacing w:val="15"/>
        </w:rPr>
        <w:t> </w:t>
      </w:r>
      <w:r>
        <w:rPr>
          <w:color w:val="231F20"/>
        </w:rPr>
        <w:t>van</w:t>
      </w:r>
      <w:r>
        <w:rPr>
          <w:color w:val="231F20"/>
          <w:spacing w:val="16"/>
        </w:rPr>
        <w:t> </w:t>
      </w:r>
      <w:r>
        <w:rPr>
          <w:color w:val="231F20"/>
        </w:rPr>
        <w:t>het</w:t>
      </w:r>
      <w:r>
        <w:rPr>
          <w:color w:val="231F20"/>
          <w:spacing w:val="15"/>
        </w:rPr>
        <w:t> </w:t>
      </w:r>
      <w:r>
        <w:rPr>
          <w:color w:val="231F20"/>
        </w:rPr>
        <w:t>disconto.</w:t>
      </w:r>
    </w:p>
    <w:p>
      <w:pPr>
        <w:pStyle w:val="BodyText"/>
        <w:spacing w:line="218" w:lineRule="auto" w:before="85"/>
      </w:pPr>
      <w:r>
        <w:rPr>
          <w:color w:val="231F20"/>
        </w:rPr>
        <w:t>Indien geen overeenstemming wordt bereikt of indien de schuldeiser geen voldoening heeft gekregen, legt de meest gerede partij het geschil voor aan de voorzitter van de ondernemingsrechtbank van de zetel van de schuldplichtige vereniging, zitting houdend in kort geding.</w:t>
      </w:r>
    </w:p>
    <w:p>
      <w:pPr>
        <w:pStyle w:val="BodyText"/>
        <w:spacing w:line="218" w:lineRule="auto" w:before="86"/>
      </w:pPr>
      <w:r>
        <w:rPr>
          <w:color w:val="231F20"/>
        </w:rPr>
        <w:t>Zonder afbreuk te doen aan de grond van de zaak, bepaalt de voorzitter de zekerheid die de vereniging moet stellen en de termijn waarbinnen dit moet gebeuren, tenzij hij beslist dat geen zekerheid is vereist gelet op de waarborgen en voorrechten waarover de schuldeiser beschikt of op de solvabiliteit van de vereniging.</w:t>
      </w:r>
    </w:p>
    <w:p>
      <w:pPr>
        <w:pStyle w:val="BodyText"/>
        <w:spacing w:line="218" w:lineRule="auto" w:before="86"/>
      </w:pPr>
      <w:r>
        <w:rPr>
          <w:color w:val="231F20"/>
        </w:rPr>
        <w:t>Art. 14:56. Het bestuursorgaan licht het voorstel tot grensoverschrij- dende omzetting, haar juridische en economische redenen en gevolgen, en haar gevolgen voor de leden, de schuldeisers en de werknemers toe in een verslag dat wordt vermeld in de agenda van de algemene vergadering voor de VZW of de vergadering van het door de statuten aangewezen orgaan voor de IVZW die het omzettingsbesluit moet nemen.</w:t>
      </w:r>
    </w:p>
    <w:p>
      <w:pPr>
        <w:pStyle w:val="BodyText"/>
        <w:spacing w:line="218" w:lineRule="auto" w:before="86"/>
        <w:ind w:right="123"/>
      </w:pPr>
      <w:r>
        <w:rPr>
          <w:color w:val="231F20"/>
        </w:rPr>
        <w:t>Art. 14:57. Bij het in artikel 14:56 bedoelde verslag voegt het bestuursorgaan een staat van activa en passiva, die niet meer dan vier maanden vóór de algemene vergadering voor de VZW of de vergade- ring van het door de statuten aangewezen orgaan voor de IVZW die over het voorstel tot grensoverschrijdende omzetting moet besluiten is afgesloten.</w:t>
      </w:r>
    </w:p>
    <w:p>
      <w:pPr>
        <w:pStyle w:val="BodyText"/>
        <w:spacing w:line="218" w:lineRule="auto" w:before="85"/>
      </w:pPr>
      <w:r>
        <w:rPr>
          <w:color w:val="231F20"/>
        </w:rPr>
        <w:t>De commissaris of, als er geen commissaris is, een door het bestuursorgaan aangewezen bedrijfsrevisor of externe accountant, brengt over deze staat verslag uit en vermeldt inzonderheid of het nettoactief is overgewaardeerd.</w:t>
      </w:r>
    </w:p>
    <w:p>
      <w:pPr>
        <w:pStyle w:val="BodyText"/>
        <w:spacing w:line="218" w:lineRule="auto" w:before="97"/>
        <w:ind w:right="123"/>
      </w:pPr>
      <w:r>
        <w:rPr>
          <w:color w:val="231F20"/>
        </w:rPr>
        <w:t>Art. 14:58. Een kopie van het verslag van het bestuursorgaan en van het verslag van de commissaris of van de bedrijfsrevisor of</w:t>
      </w:r>
      <w:r>
        <w:rPr>
          <w:color w:val="231F20"/>
          <w:spacing w:val="28"/>
        </w:rPr>
        <w:t> </w:t>
      </w:r>
      <w:r>
        <w:rPr>
          <w:color w:val="231F20"/>
        </w:rPr>
        <w:t>externe accountant, alsook het ontwerp van statutenwijziging, worden meege- deeld aan de leden samen met de oproeping tot de algemene vergadering voor de VZW of de vergadering van het door de statuten aangewezen</w:t>
      </w:r>
      <w:r>
        <w:rPr>
          <w:color w:val="231F20"/>
          <w:spacing w:val="17"/>
        </w:rPr>
        <w:t> </w:t>
      </w:r>
      <w:r>
        <w:rPr>
          <w:color w:val="231F20"/>
        </w:rPr>
        <w:t>orgaan</w:t>
      </w:r>
      <w:r>
        <w:rPr>
          <w:color w:val="231F20"/>
          <w:spacing w:val="17"/>
        </w:rPr>
        <w:t> </w:t>
      </w:r>
      <w:r>
        <w:rPr>
          <w:color w:val="231F20"/>
        </w:rPr>
        <w:t>voor</w:t>
      </w:r>
      <w:r>
        <w:rPr>
          <w:color w:val="231F20"/>
          <w:spacing w:val="18"/>
        </w:rPr>
        <w:t> </w:t>
      </w:r>
      <w:r>
        <w:rPr>
          <w:color w:val="231F20"/>
        </w:rPr>
        <w:t>de</w:t>
      </w:r>
      <w:r>
        <w:rPr>
          <w:color w:val="231F20"/>
          <w:spacing w:val="17"/>
        </w:rPr>
        <w:t> </w:t>
      </w:r>
      <w:r>
        <w:rPr>
          <w:color w:val="231F20"/>
        </w:rPr>
        <w:t>IVZW</w:t>
      </w:r>
      <w:r>
        <w:rPr>
          <w:color w:val="231F20"/>
          <w:spacing w:val="18"/>
        </w:rPr>
        <w:t> </w:t>
      </w:r>
      <w:r>
        <w:rPr>
          <w:color w:val="231F20"/>
        </w:rPr>
        <w:t>overeenkomstig</w:t>
      </w:r>
      <w:r>
        <w:rPr>
          <w:color w:val="231F20"/>
          <w:spacing w:val="17"/>
        </w:rPr>
        <w:t> </w:t>
      </w:r>
      <w:r>
        <w:rPr>
          <w:color w:val="231F20"/>
        </w:rPr>
        <w:t>artikel</w:t>
      </w:r>
      <w:r>
        <w:rPr>
          <w:color w:val="231F20"/>
          <w:spacing w:val="18"/>
        </w:rPr>
        <w:t> </w:t>
      </w:r>
      <w:r>
        <w:rPr>
          <w:color w:val="231F20"/>
        </w:rPr>
        <w:t>2:32.</w:t>
      </w:r>
    </w:p>
    <w:p>
      <w:pPr>
        <w:pStyle w:val="BodyText"/>
        <w:spacing w:line="218" w:lineRule="auto" w:before="96"/>
      </w:pPr>
      <w:r>
        <w:rPr>
          <w:color w:val="231F20"/>
        </w:rPr>
        <w:t>Iedere schuldeiser die op grond van artikel 14:55 over een verzets- recht beschikt kan, vanaf de bekendmaking van het omzettingsvoorstel overeenkomstig artikel 14:54 op de zetel van de vereniging kosteloos een</w:t>
      </w:r>
      <w:r>
        <w:rPr>
          <w:color w:val="231F20"/>
          <w:spacing w:val="17"/>
        </w:rPr>
        <w:t> </w:t>
      </w:r>
      <w:r>
        <w:rPr>
          <w:color w:val="231F20"/>
        </w:rPr>
        <w:t>kopie</w:t>
      </w:r>
      <w:r>
        <w:rPr>
          <w:color w:val="231F20"/>
          <w:spacing w:val="17"/>
        </w:rPr>
        <w:t> </w:t>
      </w:r>
      <w:r>
        <w:rPr>
          <w:color w:val="231F20"/>
        </w:rPr>
        <w:t>van</w:t>
      </w:r>
      <w:r>
        <w:rPr>
          <w:color w:val="231F20"/>
          <w:spacing w:val="17"/>
        </w:rPr>
        <w:t> </w:t>
      </w:r>
      <w:r>
        <w:rPr>
          <w:color w:val="231F20"/>
        </w:rPr>
        <w:t>de</w:t>
      </w:r>
      <w:r>
        <w:rPr>
          <w:color w:val="231F20"/>
          <w:spacing w:val="17"/>
        </w:rPr>
        <w:t> </w:t>
      </w:r>
      <w:r>
        <w:rPr>
          <w:color w:val="231F20"/>
        </w:rPr>
        <w:t>in</w:t>
      </w:r>
      <w:r>
        <w:rPr>
          <w:color w:val="231F20"/>
          <w:spacing w:val="18"/>
        </w:rPr>
        <w:t> </w:t>
      </w:r>
      <w:r>
        <w:rPr>
          <w:color w:val="231F20"/>
        </w:rPr>
        <w:t>het</w:t>
      </w:r>
      <w:r>
        <w:rPr>
          <w:color w:val="231F20"/>
          <w:spacing w:val="17"/>
        </w:rPr>
        <w:t> </w:t>
      </w:r>
      <w:r>
        <w:rPr>
          <w:color w:val="231F20"/>
        </w:rPr>
        <w:t>eerste</w:t>
      </w:r>
      <w:r>
        <w:rPr>
          <w:color w:val="231F20"/>
          <w:spacing w:val="17"/>
        </w:rPr>
        <w:t> </w:t>
      </w:r>
      <w:r>
        <w:rPr>
          <w:color w:val="231F20"/>
        </w:rPr>
        <w:t>lid</w:t>
      </w:r>
      <w:r>
        <w:rPr>
          <w:color w:val="231F20"/>
          <w:spacing w:val="17"/>
        </w:rPr>
        <w:t> </w:t>
      </w:r>
      <w:r>
        <w:rPr>
          <w:color w:val="231F20"/>
        </w:rPr>
        <w:t>bedoelde</w:t>
      </w:r>
      <w:r>
        <w:rPr>
          <w:color w:val="231F20"/>
          <w:spacing w:val="17"/>
        </w:rPr>
        <w:t> </w:t>
      </w:r>
      <w:r>
        <w:rPr>
          <w:color w:val="231F20"/>
        </w:rPr>
        <w:t>stukken</w:t>
      </w:r>
      <w:r>
        <w:rPr>
          <w:color w:val="231F20"/>
          <w:spacing w:val="18"/>
        </w:rPr>
        <w:t> </w:t>
      </w:r>
      <w:r>
        <w:rPr>
          <w:color w:val="231F20"/>
        </w:rPr>
        <w:t>verkrijgen.</w:t>
      </w:r>
    </w:p>
    <w:p>
      <w:pPr>
        <w:spacing w:after="0" w:line="218" w:lineRule="auto"/>
        <w:sectPr>
          <w:pgSz w:w="11940" w:h="16880"/>
          <w:pgMar w:header="666" w:footer="0" w:top="1140" w:bottom="280" w:left="340" w:right="360"/>
          <w:cols w:num="2" w:equalWidth="0">
            <w:col w:w="5527" w:space="101"/>
            <w:col w:w="5612"/>
          </w:cols>
        </w:sectPr>
      </w:pPr>
    </w:p>
    <w:p>
      <w:pPr>
        <w:pStyle w:val="BodyText"/>
        <w:spacing w:before="105"/>
        <w:ind w:left="283" w:right="0" w:firstLine="0"/>
        <w:jc w:val="left"/>
      </w:pPr>
      <w:r>
        <w:rPr/>
        <w:pict>
          <v:line style="position:absolute;mso-position-horizontal-relative:page;mso-position-vertical-relative:page;z-index:7504" from="298.170502pt,64.473pt" to="298.170502pt,812.819pt" stroked="true" strokeweight=".533pt" strokecolor="#231f20">
            <v:stroke dashstyle="solid"/>
            <w10:wrap type="none"/>
          </v:line>
        </w:pict>
      </w:r>
      <w:bookmarkStart w:name="_bookmark270" w:id="276"/>
      <w:bookmarkEnd w:id="276"/>
      <w:r>
        <w:rPr/>
      </w:r>
      <w:r>
        <w:rPr>
          <w:color w:val="231F20"/>
        </w:rPr>
        <w:t>Sous-section 2. Décision de transformation transfrontalière.</w:t>
      </w:r>
    </w:p>
    <w:p>
      <w:pPr>
        <w:pStyle w:val="BodyText"/>
        <w:spacing w:line="218" w:lineRule="auto" w:before="93"/>
        <w:ind w:right="38"/>
      </w:pPr>
      <w:r>
        <w:rPr>
          <w:color w:val="231F20"/>
        </w:rPr>
        <w:t>Art. 14:59. Après l’expiration du délai visé à l’article 14:55, l’assem- blée générale pour l’ASBL ou l’organe désigné par les statuts pour l’AISBL décide de la transformation transfrontalière conformément aux dispositions de la présente sous-section.</w:t>
      </w:r>
    </w:p>
    <w:p>
      <w:pPr>
        <w:pStyle w:val="BodyText"/>
        <w:spacing w:line="218" w:lineRule="auto" w:before="81"/>
        <w:ind w:right="38"/>
      </w:pPr>
      <w:r>
        <w:rPr>
          <w:color w:val="231F20"/>
        </w:rPr>
        <w:t>Art. 14:60. § 1</w:t>
      </w:r>
      <w:r>
        <w:rPr>
          <w:color w:val="231F20"/>
          <w:position w:val="7"/>
          <w:sz w:val="11"/>
        </w:rPr>
        <w:t>er</w:t>
      </w:r>
      <w:r>
        <w:rPr>
          <w:color w:val="231F20"/>
        </w:rPr>
        <w:t>. Sous réserve des dispositions particulières énoncées dans le présent article et de dispositions statutaires plus rigoureuses, l’assemblée générale pour l’ASBL ou l’organe désigné par les statuts pour l’AISBL décide de la transformation transfrontalière dans le respect des règles de présence et de majorité suivantes:</w:t>
      </w:r>
    </w:p>
    <w:p>
      <w:pPr>
        <w:pStyle w:val="BodyText"/>
        <w:spacing w:line="218" w:lineRule="auto" w:before="97"/>
        <w:ind w:right="38"/>
      </w:pPr>
      <w:r>
        <w:rPr>
          <w:color w:val="231F20"/>
        </w:rPr>
        <w:t>1° au moins deux tiers des membres de l’organe compétent doivent être présents ou représentés à l’assemblée;</w:t>
      </w:r>
    </w:p>
    <w:p>
      <w:pPr>
        <w:pStyle w:val="BodyText"/>
        <w:spacing w:line="218" w:lineRule="auto" w:before="107"/>
        <w:ind w:right="38"/>
      </w:pPr>
      <w:r>
        <w:rPr>
          <w:color w:val="231F20"/>
        </w:rPr>
        <w:t>2° une proposition de transformation transfrontalière est seulement acceptée si elle réunit les quatre cinquièmes des voix.</w:t>
      </w:r>
    </w:p>
    <w:p>
      <w:pPr>
        <w:pStyle w:val="BodyText"/>
        <w:spacing w:line="218" w:lineRule="auto" w:before="91"/>
        <w:ind w:right="38"/>
      </w:pPr>
      <w:r>
        <w:rPr>
          <w:color w:val="231F20"/>
        </w:rPr>
        <w:t>§ 2. Lorsque le quorum de présence visé au paragraphe 1</w:t>
      </w:r>
      <w:r>
        <w:rPr>
          <w:color w:val="231F20"/>
          <w:position w:val="7"/>
          <w:sz w:val="11"/>
        </w:rPr>
        <w:t>er </w:t>
      </w:r>
      <w:r>
        <w:rPr>
          <w:color w:val="231F20"/>
        </w:rPr>
        <w:t>n’est pas atteint,</w:t>
      </w:r>
      <w:r>
        <w:rPr>
          <w:color w:val="231F20"/>
          <w:spacing w:val="-5"/>
        </w:rPr>
        <w:t> </w:t>
      </w:r>
      <w:r>
        <w:rPr>
          <w:color w:val="231F20"/>
        </w:rPr>
        <w:t>une</w:t>
      </w:r>
      <w:r>
        <w:rPr>
          <w:color w:val="231F20"/>
          <w:spacing w:val="-5"/>
        </w:rPr>
        <w:t> </w:t>
      </w:r>
      <w:r>
        <w:rPr>
          <w:color w:val="231F20"/>
        </w:rPr>
        <w:t>deuxième</w:t>
      </w:r>
      <w:r>
        <w:rPr>
          <w:color w:val="231F20"/>
          <w:spacing w:val="-5"/>
        </w:rPr>
        <w:t> </w:t>
      </w:r>
      <w:r>
        <w:rPr>
          <w:color w:val="231F20"/>
        </w:rPr>
        <w:t>assemblée</w:t>
      </w:r>
      <w:r>
        <w:rPr>
          <w:color w:val="231F20"/>
          <w:spacing w:val="-5"/>
        </w:rPr>
        <w:t> </w:t>
      </w:r>
      <w:r>
        <w:rPr>
          <w:color w:val="231F20"/>
        </w:rPr>
        <w:t>générale</w:t>
      </w:r>
      <w:r>
        <w:rPr>
          <w:color w:val="231F20"/>
          <w:spacing w:val="-4"/>
        </w:rPr>
        <w:t> </w:t>
      </w:r>
      <w:r>
        <w:rPr>
          <w:color w:val="231F20"/>
        </w:rPr>
        <w:t>pour</w:t>
      </w:r>
      <w:r>
        <w:rPr>
          <w:color w:val="231F20"/>
          <w:spacing w:val="-5"/>
        </w:rPr>
        <w:t> </w:t>
      </w:r>
      <w:r>
        <w:rPr>
          <w:color w:val="231F20"/>
        </w:rPr>
        <w:t>l’ASBL</w:t>
      </w:r>
      <w:r>
        <w:rPr>
          <w:color w:val="231F20"/>
          <w:spacing w:val="-11"/>
        </w:rPr>
        <w:t> </w:t>
      </w:r>
      <w:r>
        <w:rPr>
          <w:color w:val="231F20"/>
        </w:rPr>
        <w:t>ou</w:t>
      </w:r>
      <w:r>
        <w:rPr>
          <w:color w:val="231F20"/>
          <w:spacing w:val="-5"/>
        </w:rPr>
        <w:t> </w:t>
      </w:r>
      <w:r>
        <w:rPr>
          <w:color w:val="231F20"/>
        </w:rPr>
        <w:t>une</w:t>
      </w:r>
      <w:r>
        <w:rPr>
          <w:color w:val="231F20"/>
          <w:spacing w:val="-5"/>
        </w:rPr>
        <w:t> </w:t>
      </w:r>
      <w:r>
        <w:rPr>
          <w:color w:val="231F20"/>
        </w:rPr>
        <w:t>deuxième réunion de l’organe désigné par les statuts pour l’AISBL peut être convoquée. Respectivement cette assemblée ou réunion peut valable- ment délibérer et statuer sur la transformation transfrontalière avec les majorités visées au présent article quel que soit le nombre des membres présents ou</w:t>
      </w:r>
      <w:r>
        <w:rPr>
          <w:color w:val="231F20"/>
          <w:spacing w:val="-12"/>
        </w:rPr>
        <w:t> </w:t>
      </w:r>
      <w:r>
        <w:rPr>
          <w:color w:val="231F20"/>
        </w:rPr>
        <w:t>représentés.</w:t>
      </w:r>
    </w:p>
    <w:p>
      <w:pPr>
        <w:pStyle w:val="BodyText"/>
        <w:spacing w:line="218" w:lineRule="auto" w:before="92"/>
        <w:ind w:right="39"/>
      </w:pPr>
      <w:r>
        <w:rPr>
          <w:color w:val="231F20"/>
        </w:rPr>
        <w:t>§ 3. Par dérogation au paragraphes 1</w:t>
      </w:r>
      <w:r>
        <w:rPr>
          <w:color w:val="231F20"/>
          <w:position w:val="7"/>
          <w:sz w:val="11"/>
        </w:rPr>
        <w:t>er </w:t>
      </w:r>
      <w:r>
        <w:rPr>
          <w:color w:val="231F20"/>
        </w:rPr>
        <w:t>à 2, l’accord de tous les membres est requis:</w:t>
      </w:r>
    </w:p>
    <w:p>
      <w:pPr>
        <w:pStyle w:val="BodyText"/>
        <w:spacing w:line="218" w:lineRule="auto" w:before="107"/>
        <w:ind w:right="38"/>
      </w:pPr>
      <w:r>
        <w:rPr>
          <w:color w:val="231F20"/>
        </w:rPr>
        <w:t>1° pour la décision de transformation transfrontalière en une association ou les membres répondent de manière illimitée des dettes de l’association;</w:t>
      </w:r>
    </w:p>
    <w:p>
      <w:pPr>
        <w:pStyle w:val="BodyText"/>
        <w:spacing w:before="93"/>
        <w:ind w:left="283" w:right="0" w:firstLine="0"/>
        <w:jc w:val="left"/>
      </w:pPr>
      <w:r>
        <w:rPr>
          <w:color w:val="231F20"/>
        </w:rPr>
        <w:t>2° si l’association n’existe pas depuis deux ans au moins;</w:t>
      </w:r>
    </w:p>
    <w:p>
      <w:pPr>
        <w:pStyle w:val="BodyText"/>
        <w:spacing w:line="218" w:lineRule="auto" w:before="103"/>
        <w:ind w:right="38"/>
      </w:pPr>
      <w:r>
        <w:rPr>
          <w:color w:val="231F20"/>
        </w:rPr>
        <w:t>3° si les statuts prévoient qu’elle ne pourra adopter une autre forme légale. Cette clause des statuts ne peut être modifiée qu’avec l’accord de tous les membres.</w:t>
      </w:r>
    </w:p>
    <w:p>
      <w:pPr>
        <w:pStyle w:val="BodyText"/>
        <w:spacing w:line="218" w:lineRule="auto" w:before="107"/>
        <w:ind w:right="38"/>
      </w:pPr>
      <w:r>
        <w:rPr>
          <w:color w:val="231F20"/>
        </w:rPr>
        <w:t>Art. 14:61. La transformation transfrontalière est, à peine de nullité, constatée par un acte authentique dressé par le notaire désigné dans la proposition de transformation visée à l’article 14:54. L’acte authentique reproduit les conclusions du rapport établi par le commissaire ou par le réviseur d’entreprises ou l’expert-comptable externe. L’état résumant la situation active et passive y est joint.</w:t>
      </w:r>
    </w:p>
    <w:p>
      <w:pPr>
        <w:pStyle w:val="BodyText"/>
        <w:spacing w:line="218" w:lineRule="auto" w:before="107"/>
        <w:ind w:right="38"/>
      </w:pPr>
      <w:r>
        <w:rPr>
          <w:color w:val="231F20"/>
        </w:rPr>
        <w:t>Art. 14:62. À la demande de  l’association,  le  notaire  </w:t>
      </w:r>
      <w:r>
        <w:rPr>
          <w:color w:val="231F20"/>
          <w:spacing w:val="9"/>
        </w:rPr>
        <w:t>visé </w:t>
      </w:r>
      <w:r>
        <w:rPr>
          <w:color w:val="231F20"/>
        </w:rPr>
        <w:t>à</w:t>
      </w:r>
      <w:r>
        <w:rPr>
          <w:color w:val="231F20"/>
          <w:spacing w:val="24"/>
        </w:rPr>
        <w:t> </w:t>
      </w:r>
      <w:r>
        <w:rPr>
          <w:color w:val="231F20"/>
        </w:rPr>
        <w:t>l’arti- cle 14:61 délivre un certificat attestant l’accomplissement des actes et des formalités préalables à la décision de transformation transfronta- lière. Ce notaire ne délivre pas le certificat aussi longtemps que les créanciers ayant fait valoir leurs droits dans le délai de deux mois visé  à l’article 14:55 n’auront pas obtenu satisfaction, à moins qu’une décision</w:t>
      </w:r>
      <w:r>
        <w:rPr>
          <w:color w:val="231F20"/>
          <w:spacing w:val="13"/>
        </w:rPr>
        <w:t> </w:t>
      </w:r>
      <w:r>
        <w:rPr>
          <w:color w:val="231F20"/>
        </w:rPr>
        <w:t>judiciaire</w:t>
      </w:r>
      <w:r>
        <w:rPr>
          <w:color w:val="231F20"/>
          <w:spacing w:val="13"/>
        </w:rPr>
        <w:t> </w:t>
      </w:r>
      <w:r>
        <w:rPr>
          <w:color w:val="231F20"/>
        </w:rPr>
        <w:t>exécutoire</w:t>
      </w:r>
      <w:r>
        <w:rPr>
          <w:color w:val="231F20"/>
          <w:spacing w:val="14"/>
        </w:rPr>
        <w:t> </w:t>
      </w:r>
      <w:r>
        <w:rPr>
          <w:color w:val="231F20"/>
        </w:rPr>
        <w:t>n’ait</w:t>
      </w:r>
      <w:r>
        <w:rPr>
          <w:color w:val="231F20"/>
          <w:spacing w:val="13"/>
        </w:rPr>
        <w:t> </w:t>
      </w:r>
      <w:r>
        <w:rPr>
          <w:color w:val="231F20"/>
        </w:rPr>
        <w:t>rejeté</w:t>
      </w:r>
      <w:r>
        <w:rPr>
          <w:color w:val="231F20"/>
          <w:spacing w:val="14"/>
        </w:rPr>
        <w:t> </w:t>
      </w:r>
      <w:r>
        <w:rPr>
          <w:color w:val="231F20"/>
        </w:rPr>
        <w:t>leurs</w:t>
      </w:r>
      <w:r>
        <w:rPr>
          <w:color w:val="231F20"/>
          <w:spacing w:val="13"/>
        </w:rPr>
        <w:t> </w:t>
      </w:r>
      <w:r>
        <w:rPr>
          <w:color w:val="231F20"/>
        </w:rPr>
        <w:t>prétentions.</w:t>
      </w:r>
    </w:p>
    <w:p>
      <w:pPr>
        <w:pStyle w:val="BodyText"/>
        <w:spacing w:before="11"/>
        <w:ind w:left="0" w:right="0" w:firstLine="0"/>
        <w:jc w:val="left"/>
        <w:rPr>
          <w:sz w:val="24"/>
        </w:rPr>
      </w:pPr>
    </w:p>
    <w:p>
      <w:pPr>
        <w:pStyle w:val="BodyText"/>
        <w:spacing w:line="218" w:lineRule="auto"/>
        <w:ind w:right="38"/>
      </w:pPr>
      <w:r>
        <w:rPr>
          <w:color w:val="231F20"/>
        </w:rPr>
        <w:t>Art. 14:63. L’association peut seulement être radiée du registre belge des personnes morales si elle peut apporter la preuve de son immatriculation au registre pertinent du pays dans lequel elle transfère son siège et sur présentation du certificat délivré par le notaire conformément à l’article 14:62. Le registre belge des personnes morales mentionne l’immatriculation de l’association dans le registre étranger.</w:t>
      </w:r>
    </w:p>
    <w:p>
      <w:pPr>
        <w:pStyle w:val="BodyText"/>
        <w:spacing w:line="218" w:lineRule="auto" w:before="107"/>
        <w:ind w:right="38"/>
      </w:pPr>
      <w:r>
        <w:rPr>
          <w:color w:val="231F20"/>
        </w:rPr>
        <w:t>La transformation transfrontalière et la modification des statuts qui en résulte prennent seulement effet à dater de la radiation de l’immatriculation dans le registre belge des personnes morales.</w:t>
      </w:r>
    </w:p>
    <w:p>
      <w:pPr>
        <w:pStyle w:val="BodyText"/>
        <w:spacing w:before="93"/>
        <w:ind w:left="283" w:right="0" w:firstLine="0"/>
        <w:jc w:val="left"/>
      </w:pPr>
      <w:r>
        <w:rPr>
          <w:color w:val="231F20"/>
        </w:rPr>
        <w:t>Cette radiation est publiée conformément à l’article 2:15 ou 2:16.</w:t>
      </w:r>
    </w:p>
    <w:p>
      <w:pPr>
        <w:pStyle w:val="BodyText"/>
        <w:spacing w:before="3"/>
        <w:ind w:left="0" w:right="0" w:firstLine="0"/>
        <w:jc w:val="left"/>
        <w:rPr>
          <w:sz w:val="23"/>
        </w:rPr>
      </w:pPr>
    </w:p>
    <w:p>
      <w:pPr>
        <w:pStyle w:val="BodyText"/>
        <w:ind w:left="283" w:right="0" w:firstLine="0"/>
        <w:jc w:val="left"/>
      </w:pPr>
      <w:r>
        <w:rPr>
          <w:color w:val="231F20"/>
        </w:rPr>
        <w:t>Section 3. Immigration.</w:t>
      </w:r>
    </w:p>
    <w:p>
      <w:pPr>
        <w:pStyle w:val="BodyText"/>
        <w:spacing w:line="218" w:lineRule="auto" w:before="104"/>
        <w:ind w:right="38"/>
      </w:pPr>
      <w:r>
        <w:rPr>
          <w:color w:val="231F20"/>
        </w:rPr>
        <w:t>Art. 14:64. La transformation transfrontalière d’une personne morale étrangère en une association dotée de la personalité juridique régie par le présent code est constatée dans un acte authentique, sur</w:t>
      </w:r>
      <w:r>
        <w:rPr>
          <w:color w:val="231F20"/>
          <w:spacing w:val="-18"/>
        </w:rPr>
        <w:t> </w:t>
      </w:r>
      <w:r>
        <w:rPr>
          <w:color w:val="231F20"/>
        </w:rPr>
        <w:t>présentation par</w:t>
      </w:r>
      <w:r>
        <w:rPr>
          <w:color w:val="231F20"/>
          <w:spacing w:val="-4"/>
        </w:rPr>
        <w:t> </w:t>
      </w:r>
      <w:r>
        <w:rPr>
          <w:color w:val="231F20"/>
        </w:rPr>
        <w:t>la</w:t>
      </w:r>
      <w:r>
        <w:rPr>
          <w:color w:val="231F20"/>
          <w:spacing w:val="-3"/>
        </w:rPr>
        <w:t> </w:t>
      </w:r>
      <w:r>
        <w:rPr>
          <w:color w:val="231F20"/>
        </w:rPr>
        <w:t>personne</w:t>
      </w:r>
      <w:r>
        <w:rPr>
          <w:color w:val="231F20"/>
          <w:spacing w:val="-3"/>
        </w:rPr>
        <w:t> </w:t>
      </w:r>
      <w:r>
        <w:rPr>
          <w:color w:val="231F20"/>
        </w:rPr>
        <w:t>morale</w:t>
      </w:r>
      <w:r>
        <w:rPr>
          <w:color w:val="231F20"/>
          <w:spacing w:val="-3"/>
        </w:rPr>
        <w:t> </w:t>
      </w:r>
      <w:r>
        <w:rPr>
          <w:color w:val="231F20"/>
        </w:rPr>
        <w:t>qui</w:t>
      </w:r>
      <w:r>
        <w:rPr>
          <w:color w:val="231F20"/>
          <w:spacing w:val="-4"/>
        </w:rPr>
        <w:t> </w:t>
      </w:r>
      <w:r>
        <w:rPr>
          <w:color w:val="231F20"/>
        </w:rPr>
        <w:t>se</w:t>
      </w:r>
      <w:r>
        <w:rPr>
          <w:color w:val="231F20"/>
          <w:spacing w:val="-3"/>
        </w:rPr>
        <w:t> </w:t>
      </w:r>
      <w:r>
        <w:rPr>
          <w:color w:val="231F20"/>
        </w:rPr>
        <w:t>transforme</w:t>
      </w:r>
      <w:r>
        <w:rPr>
          <w:color w:val="231F20"/>
          <w:spacing w:val="-3"/>
        </w:rPr>
        <w:t> </w:t>
      </w:r>
      <w:r>
        <w:rPr>
          <w:color w:val="231F20"/>
        </w:rPr>
        <w:t>de</w:t>
      </w:r>
      <w:r>
        <w:rPr>
          <w:color w:val="231F20"/>
          <w:spacing w:val="-3"/>
        </w:rPr>
        <w:t> </w:t>
      </w:r>
      <w:r>
        <w:rPr>
          <w:color w:val="231F20"/>
        </w:rPr>
        <w:t>pièces</w:t>
      </w:r>
      <w:r>
        <w:rPr>
          <w:color w:val="231F20"/>
          <w:spacing w:val="-3"/>
        </w:rPr>
        <w:t> </w:t>
      </w:r>
      <w:r>
        <w:rPr>
          <w:color w:val="231F20"/>
        </w:rPr>
        <w:t>attestant</w:t>
      </w:r>
      <w:r>
        <w:rPr>
          <w:color w:val="231F20"/>
          <w:spacing w:val="-4"/>
        </w:rPr>
        <w:t> </w:t>
      </w:r>
      <w:r>
        <w:rPr>
          <w:color w:val="231F20"/>
        </w:rPr>
        <w:t>que</w:t>
      </w:r>
      <w:r>
        <w:rPr>
          <w:color w:val="231F20"/>
          <w:spacing w:val="-3"/>
        </w:rPr>
        <w:t> </w:t>
      </w:r>
      <w:r>
        <w:rPr>
          <w:color w:val="231F20"/>
        </w:rPr>
        <w:t>celle-ci a</w:t>
      </w:r>
      <w:r>
        <w:rPr>
          <w:color w:val="231F20"/>
          <w:spacing w:val="13"/>
        </w:rPr>
        <w:t> </w:t>
      </w:r>
      <w:r>
        <w:rPr>
          <w:color w:val="231F20"/>
        </w:rPr>
        <w:t>respecté</w:t>
      </w:r>
      <w:r>
        <w:rPr>
          <w:color w:val="231F20"/>
          <w:spacing w:val="13"/>
        </w:rPr>
        <w:t> </w:t>
      </w:r>
      <w:r>
        <w:rPr>
          <w:color w:val="231F20"/>
        </w:rPr>
        <w:t>les</w:t>
      </w:r>
      <w:r>
        <w:rPr>
          <w:color w:val="231F20"/>
          <w:spacing w:val="13"/>
        </w:rPr>
        <w:t> </w:t>
      </w:r>
      <w:r>
        <w:rPr>
          <w:color w:val="231F20"/>
        </w:rPr>
        <w:t>prescriptions</w:t>
      </w:r>
      <w:r>
        <w:rPr>
          <w:color w:val="231F20"/>
          <w:spacing w:val="13"/>
        </w:rPr>
        <w:t> </w:t>
      </w:r>
      <w:r>
        <w:rPr>
          <w:color w:val="231F20"/>
        </w:rPr>
        <w:t>étrangères</w:t>
      </w:r>
      <w:r>
        <w:rPr>
          <w:color w:val="231F20"/>
          <w:spacing w:val="13"/>
        </w:rPr>
        <w:t> </w:t>
      </w:r>
      <w:r>
        <w:rPr>
          <w:color w:val="231F20"/>
        </w:rPr>
        <w:t>applicables</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matière.</w:t>
      </w:r>
    </w:p>
    <w:p>
      <w:pPr>
        <w:pStyle w:val="BodyText"/>
        <w:spacing w:before="10"/>
        <w:ind w:left="0" w:right="0" w:firstLine="0"/>
        <w:jc w:val="left"/>
        <w:rPr>
          <w:sz w:val="24"/>
        </w:rPr>
      </w:pPr>
    </w:p>
    <w:p>
      <w:pPr>
        <w:pStyle w:val="BodyText"/>
        <w:spacing w:line="218" w:lineRule="auto"/>
        <w:ind w:right="38"/>
      </w:pPr>
      <w:r>
        <w:rPr>
          <w:color w:val="231F20"/>
        </w:rPr>
        <w:t>Cet acte est déposé et publié en entier; les statuts sont déposés et publiés conformément aux articles 2:9 ou 2:10 et 2:15 ou 2:16.</w:t>
      </w:r>
    </w:p>
    <w:p>
      <w:pPr>
        <w:pStyle w:val="BodyText"/>
        <w:spacing w:before="10"/>
        <w:ind w:left="0" w:right="0" w:firstLine="0"/>
        <w:jc w:val="left"/>
        <w:rPr>
          <w:sz w:val="24"/>
        </w:rPr>
      </w:pPr>
    </w:p>
    <w:p>
      <w:pPr>
        <w:pStyle w:val="BodyText"/>
        <w:spacing w:line="218" w:lineRule="auto"/>
        <w:ind w:right="38"/>
      </w:pPr>
      <w:r>
        <w:rPr>
          <w:color w:val="231F20"/>
        </w:rPr>
        <w:t>Art. 14:65. La transformation transfrontalière et la modification statutaire qui en résulte prennent effet à dater de l’immatriculation de l’association dans le registre belge des personnes morales, laquelle ne peut se faire dans le cas d’une transformation en une AISBL qu’après l’approbation du Roi.</w:t>
      </w:r>
    </w:p>
    <w:p>
      <w:pPr>
        <w:pStyle w:val="BodyText"/>
        <w:spacing w:line="218" w:lineRule="auto" w:before="107"/>
        <w:ind w:right="38"/>
      </w:pPr>
      <w:r>
        <w:rPr>
          <w:color w:val="231F20"/>
        </w:rPr>
        <w:t>Art. 14:66. La personne morale qui se transforme dépose à la Banque nationale de Belgique, par le biais de son organe d’administration, un état résumant sa situation active et passive qui reflète sa situation patrimoniale au moment de la transformation.</w:t>
      </w:r>
    </w:p>
    <w:p>
      <w:pPr>
        <w:pStyle w:val="BodyText"/>
        <w:spacing w:before="105"/>
        <w:ind w:left="283" w:right="0" w:firstLine="0"/>
        <w:jc w:val="left"/>
      </w:pPr>
      <w:r>
        <w:rPr/>
        <w:br w:type="column"/>
      </w:r>
      <w:r>
        <w:rPr>
          <w:color w:val="231F20"/>
        </w:rPr>
        <w:t>Onderafdeling 2. Besluit tot grensoverschrijdende omzetting.</w:t>
      </w:r>
    </w:p>
    <w:p>
      <w:pPr>
        <w:pStyle w:val="BodyText"/>
        <w:spacing w:line="218" w:lineRule="auto" w:before="93"/>
      </w:pPr>
      <w:r>
        <w:rPr>
          <w:color w:val="231F20"/>
        </w:rPr>
        <w:t>Art. 14:59. Na het verstrijken van de in artikel 14:55 bedoelde termijn besluit de algemene vergadering voor de VZW of het door de statuten aangewezen orgaan voor de IVZW tot de grensoverschrijdende omzet- ting overeenkomstig de bepalingen van deze onderafdeling.</w:t>
      </w:r>
    </w:p>
    <w:p>
      <w:pPr>
        <w:pStyle w:val="BodyText"/>
        <w:spacing w:line="218" w:lineRule="auto" w:before="96"/>
      </w:pPr>
      <w:r>
        <w:rPr>
          <w:color w:val="231F20"/>
        </w:rPr>
        <w:t>Art. 14:60. § 1. Onverminderd strengere bepalingen in de statuten en de bijzondere bepalingen van dit artikel, beslist de algemene vergade- ring voor de VZW of het door de statuten aangewezen orgaan voor de IVZW tot de grensoverschrijdende omzetting overeenkomstig de volgende regels van aanwezigheid en meerderheid:</w:t>
      </w:r>
    </w:p>
    <w:p>
      <w:pPr>
        <w:pStyle w:val="BodyText"/>
        <w:spacing w:line="218" w:lineRule="auto" w:before="97"/>
      </w:pPr>
      <w:r>
        <w:rPr>
          <w:color w:val="231F20"/>
          <w:w w:val="105"/>
        </w:rPr>
        <w:t>1°</w:t>
      </w:r>
      <w:r>
        <w:rPr>
          <w:color w:val="231F20"/>
          <w:spacing w:val="-16"/>
          <w:w w:val="105"/>
        </w:rPr>
        <w:t> </w:t>
      </w:r>
      <w:r>
        <w:rPr>
          <w:color w:val="231F20"/>
          <w:w w:val="105"/>
        </w:rPr>
        <w:t>op</w:t>
      </w:r>
      <w:r>
        <w:rPr>
          <w:color w:val="231F20"/>
          <w:spacing w:val="-17"/>
          <w:w w:val="105"/>
        </w:rPr>
        <w:t> </w:t>
      </w:r>
      <w:r>
        <w:rPr>
          <w:color w:val="231F20"/>
          <w:w w:val="105"/>
        </w:rPr>
        <w:t>de</w:t>
      </w:r>
      <w:r>
        <w:rPr>
          <w:color w:val="231F20"/>
          <w:spacing w:val="-16"/>
          <w:w w:val="105"/>
        </w:rPr>
        <w:t> </w:t>
      </w:r>
      <w:r>
        <w:rPr>
          <w:color w:val="231F20"/>
          <w:w w:val="105"/>
        </w:rPr>
        <w:t>vergadering</w:t>
      </w:r>
      <w:r>
        <w:rPr>
          <w:color w:val="231F20"/>
          <w:spacing w:val="-16"/>
          <w:w w:val="105"/>
        </w:rPr>
        <w:t> </w:t>
      </w:r>
      <w:r>
        <w:rPr>
          <w:color w:val="231F20"/>
          <w:w w:val="105"/>
        </w:rPr>
        <w:t>moeten</w:t>
      </w:r>
      <w:r>
        <w:rPr>
          <w:color w:val="231F20"/>
          <w:spacing w:val="-16"/>
          <w:w w:val="105"/>
        </w:rPr>
        <w:t> </w:t>
      </w:r>
      <w:r>
        <w:rPr>
          <w:color w:val="231F20"/>
          <w:w w:val="105"/>
        </w:rPr>
        <w:t>ten</w:t>
      </w:r>
      <w:r>
        <w:rPr>
          <w:color w:val="231F20"/>
          <w:spacing w:val="-16"/>
          <w:w w:val="105"/>
        </w:rPr>
        <w:t> </w:t>
      </w:r>
      <w:r>
        <w:rPr>
          <w:color w:val="231F20"/>
          <w:w w:val="105"/>
        </w:rPr>
        <w:t>minste</w:t>
      </w:r>
      <w:r>
        <w:rPr>
          <w:color w:val="231F20"/>
          <w:spacing w:val="-16"/>
          <w:w w:val="105"/>
        </w:rPr>
        <w:t> </w:t>
      </w:r>
      <w:r>
        <w:rPr>
          <w:color w:val="231F20"/>
          <w:w w:val="105"/>
        </w:rPr>
        <w:t>twee</w:t>
      </w:r>
      <w:r>
        <w:rPr>
          <w:color w:val="231F20"/>
          <w:spacing w:val="-16"/>
          <w:w w:val="105"/>
        </w:rPr>
        <w:t> </w:t>
      </w:r>
      <w:r>
        <w:rPr>
          <w:color w:val="231F20"/>
          <w:w w:val="105"/>
        </w:rPr>
        <w:t>derde</w:t>
      </w:r>
      <w:r>
        <w:rPr>
          <w:color w:val="231F20"/>
          <w:spacing w:val="-16"/>
          <w:w w:val="105"/>
        </w:rPr>
        <w:t> </w:t>
      </w:r>
      <w:r>
        <w:rPr>
          <w:color w:val="231F20"/>
          <w:w w:val="105"/>
        </w:rPr>
        <w:t>van</w:t>
      </w:r>
      <w:r>
        <w:rPr>
          <w:color w:val="231F20"/>
          <w:spacing w:val="-16"/>
          <w:w w:val="105"/>
        </w:rPr>
        <w:t> </w:t>
      </w:r>
      <w:r>
        <w:rPr>
          <w:color w:val="231F20"/>
          <w:w w:val="105"/>
        </w:rPr>
        <w:t>de</w:t>
      </w:r>
      <w:r>
        <w:rPr>
          <w:color w:val="231F20"/>
          <w:spacing w:val="-16"/>
          <w:w w:val="105"/>
        </w:rPr>
        <w:t> </w:t>
      </w:r>
      <w:r>
        <w:rPr>
          <w:color w:val="231F20"/>
          <w:w w:val="105"/>
        </w:rPr>
        <w:t>leden</w:t>
      </w:r>
      <w:r>
        <w:rPr>
          <w:color w:val="231F20"/>
          <w:spacing w:val="-16"/>
          <w:w w:val="105"/>
        </w:rPr>
        <w:t> </w:t>
      </w:r>
      <w:r>
        <w:rPr>
          <w:color w:val="231F20"/>
          <w:w w:val="105"/>
        </w:rPr>
        <w:t>van het bevoegd orgaan aanwezig of vertegenwoordigd</w:t>
      </w:r>
      <w:r>
        <w:rPr>
          <w:color w:val="231F20"/>
          <w:spacing w:val="10"/>
          <w:w w:val="105"/>
        </w:rPr>
        <w:t> </w:t>
      </w:r>
      <w:r>
        <w:rPr>
          <w:color w:val="231F20"/>
          <w:w w:val="105"/>
        </w:rPr>
        <w:t>zijn;</w:t>
      </w:r>
    </w:p>
    <w:p>
      <w:pPr>
        <w:pStyle w:val="BodyText"/>
        <w:spacing w:line="218" w:lineRule="auto" w:before="107"/>
      </w:pPr>
      <w:r>
        <w:rPr>
          <w:color w:val="231F20"/>
        </w:rPr>
        <w:t>2° een voorstel tot grensoverschrijdende omzetting is alleen dan aangenomen, wanneer het vier vijfde van de stemmen heeft verkregen.</w:t>
      </w:r>
    </w:p>
    <w:p>
      <w:pPr>
        <w:pStyle w:val="BodyText"/>
        <w:spacing w:line="218" w:lineRule="auto" w:before="106"/>
      </w:pPr>
      <w:r>
        <w:rPr>
          <w:color w:val="231F20"/>
        </w:rPr>
        <w:t>§ 2. Indien het in paragraaf 1 bedoelde aanwezigheidsquorum niet wordt behaald, kan een tweede algemene vergadering voor de VZW of een tweede vergadering van het door de statuten aangewezen orgaan voor de IVZW worden bijeengeroepen, die geldig kan beraadslagen en besluiten over de grensoverschrijdende omzetting met de meerderhe- den bedoeld in dit artikel, ongeacht het aantal aanwezige of vertegen- woordigde leden.</w:t>
      </w:r>
    </w:p>
    <w:p>
      <w:pPr>
        <w:pStyle w:val="BodyText"/>
        <w:spacing w:line="218" w:lineRule="auto" w:before="107"/>
      </w:pPr>
      <w:r>
        <w:rPr>
          <w:color w:val="231F20"/>
        </w:rPr>
        <w:t>§ 3. In afwijking van paragrafen 1 tot 2 is de instemming van alle leden vereist:</w:t>
      </w:r>
    </w:p>
    <w:p>
      <w:pPr>
        <w:pStyle w:val="BodyText"/>
        <w:spacing w:line="218" w:lineRule="auto" w:before="107"/>
      </w:pPr>
      <w:r>
        <w:rPr>
          <w:color w:val="231F20"/>
        </w:rPr>
        <w:t>1° voor het besluit tot grensoverschrijdende omzetting in een vereniging waarin de leden onbeperkt aansprakelijk zijn voor de schulden van de vereniging;</w:t>
      </w:r>
    </w:p>
    <w:p>
      <w:pPr>
        <w:pStyle w:val="BodyText"/>
        <w:spacing w:before="93"/>
        <w:ind w:left="283" w:right="0" w:firstLine="0"/>
        <w:jc w:val="left"/>
      </w:pPr>
      <w:r>
        <w:rPr>
          <w:color w:val="231F20"/>
        </w:rPr>
        <w:t>2° indien de vereniging niet ten minste twee jaar bestaat;</w:t>
      </w:r>
    </w:p>
    <w:p>
      <w:pPr>
        <w:pStyle w:val="BodyText"/>
        <w:spacing w:line="218" w:lineRule="auto" w:before="103"/>
      </w:pPr>
      <w:r>
        <w:rPr>
          <w:color w:val="231F20"/>
        </w:rPr>
        <w:t>3° indien in de statuten is bepaald dat zij geen andere rechtsvorm mag aannemen. Deze bepaling van de statuten kan slechts met instemming van alle leden worden gewijzigd.</w:t>
      </w:r>
    </w:p>
    <w:p>
      <w:pPr>
        <w:pStyle w:val="BodyText"/>
        <w:spacing w:line="218" w:lineRule="auto" w:before="107"/>
      </w:pPr>
      <w:r>
        <w:rPr>
          <w:color w:val="231F20"/>
        </w:rPr>
        <w:t>Art. 14:61. De grensoverschrijdende omzetting wordt, op straffe van nietigheid, bij authentieke akte vastgesteld door de notaris aangeduid in het in artikel 14:54 bedoelde omzettingsvoorstel. In de authentieke akte wordt de conclusie van het verslag van de commissaris of van de bedrijfsrevisor of externe accountant overgenomen. De staat van actief en passief wordt er</w:t>
      </w:r>
      <w:r>
        <w:rPr>
          <w:color w:val="231F20"/>
          <w:spacing w:val="19"/>
        </w:rPr>
        <w:t> </w:t>
      </w:r>
      <w:r>
        <w:rPr>
          <w:color w:val="231F20"/>
        </w:rPr>
        <w:t>aangehecht.</w:t>
      </w:r>
    </w:p>
    <w:p>
      <w:pPr>
        <w:pStyle w:val="BodyText"/>
        <w:spacing w:line="218" w:lineRule="auto" w:before="107"/>
      </w:pPr>
      <w:r>
        <w:rPr>
          <w:color w:val="231F20"/>
        </w:rPr>
        <w:t>Art. 14:62. De in artikel 14:61 bedoelde notaris geeft op vraag van de vereniging een attest af waaruit blijkt dat de aan het besluit tot grensoverschrijdende omzetting voorafgaande handelingen en forma- liteiten zijn vervuld. Deze notaris levert het attest niet af zolang de schuldeisers die binnen de artikel 14:55 bedoelde termijn van twee maanden hun rechten hebben doen gelden, geen voldoening hebben gekregen, tenzij hun aanspraken om zekerheid te verkrijgen bij een uitvoerbare rechterlijke beslissing zijn afgewezen.</w:t>
      </w:r>
    </w:p>
    <w:p>
      <w:pPr>
        <w:pStyle w:val="BodyText"/>
        <w:spacing w:line="218" w:lineRule="auto" w:before="107"/>
      </w:pPr>
      <w:r>
        <w:rPr>
          <w:color w:val="231F20"/>
        </w:rPr>
        <w:t>Art. 14:63. De vereniging kan pas worden uitgeschreven uit het Belgische rechtspersonenregister bij voorlegging van het bewijs van inschrijving in het relevante register van het land waarheen de vereniging haar zetel verplaatst en van het attest van de notaris zoals bedoeld in artikel 14:62. Het Belgische rechtspersonenregister vermeldt de inschrijving van de vereniging in het buitenlandse register.</w:t>
      </w:r>
    </w:p>
    <w:p>
      <w:pPr>
        <w:pStyle w:val="BodyText"/>
        <w:spacing w:line="218" w:lineRule="auto" w:before="108"/>
      </w:pPr>
      <w:r>
        <w:rPr>
          <w:color w:val="231F20"/>
        </w:rPr>
        <w:t>De grensoverschrijdende omzetting en de daarmee gepaard gaande statutenwijziging worden pas van kracht vanaf de doorhaling van de inschrijving in het Belgische rechtspersonenregister.</w:t>
      </w:r>
    </w:p>
    <w:p>
      <w:pPr>
        <w:pStyle w:val="BodyText"/>
        <w:spacing w:line="218" w:lineRule="auto" w:before="106"/>
      </w:pPr>
      <w:r>
        <w:rPr>
          <w:color w:val="231F20"/>
        </w:rPr>
        <w:t>Deze doorhaling wordt overeenkomstig artikel 2:15 of 2:16 bekend- gemaakt.</w:t>
      </w:r>
    </w:p>
    <w:p>
      <w:pPr>
        <w:pStyle w:val="BodyText"/>
        <w:spacing w:before="93"/>
        <w:ind w:left="283" w:right="0" w:firstLine="0"/>
        <w:jc w:val="left"/>
      </w:pPr>
      <w:r>
        <w:rPr>
          <w:color w:val="231F20"/>
        </w:rPr>
        <w:t>Afdeling 3. Immigratie.</w:t>
      </w:r>
    </w:p>
    <w:p>
      <w:pPr>
        <w:pStyle w:val="BodyText"/>
        <w:spacing w:line="218" w:lineRule="auto" w:before="103"/>
      </w:pPr>
      <w:r>
        <w:rPr>
          <w:color w:val="231F20"/>
        </w:rPr>
        <w:t>Art. 14:64. De grensoverschrijdende omzetting van een buitenlandse rechtspersoon naar een vereniging met rechtspersoonlijkheid geregeld door dit wetboek, wordt in een authentieke akte vastgesteld, op voorlegging van stukken door de zich omzettende rechtspersoon waaruit blijkt dat deze de desbetreffende toepasselijke buitenlandse voorschriften heeft nageleefd.</w:t>
      </w:r>
    </w:p>
    <w:p>
      <w:pPr>
        <w:pStyle w:val="BodyText"/>
        <w:spacing w:line="218" w:lineRule="auto" w:before="107"/>
      </w:pPr>
      <w:r>
        <w:rPr>
          <w:color w:val="231F20"/>
        </w:rPr>
        <w:t>Deze akte wordt neergelegd en in haar geheel bekendgemaakt; de statuten worden neergelegd en bekendgemaakt overeenkomstig de artikelen 2:9 of 2:10 en 2:15 of 2:16.</w:t>
      </w:r>
    </w:p>
    <w:p>
      <w:pPr>
        <w:pStyle w:val="BodyText"/>
        <w:spacing w:line="218" w:lineRule="auto" w:before="107"/>
      </w:pPr>
      <w:r>
        <w:rPr>
          <w:color w:val="231F20"/>
        </w:rPr>
        <w:t>Art. 14:65. De grensoverschrijdende omzetting en de daarmee gepaard gaande statutenwijziging worden van kracht vanaf de inschrij- ving van de vereniging in het Belgisch rechtspersonenregister, wat in het geval van een omzetting in een IVZW slechts mogelijk is na goedkeuring door de Koning.</w:t>
      </w:r>
    </w:p>
    <w:p>
      <w:pPr>
        <w:pStyle w:val="BodyText"/>
        <w:spacing w:line="218" w:lineRule="auto" w:before="107"/>
      </w:pPr>
      <w:r>
        <w:rPr>
          <w:color w:val="231F20"/>
        </w:rPr>
        <w:t>Art. 14:66. De zich omzettende rechtspersoon legt door toedoen van haar bestuursorgaan een staat van activa en passiva neer bij de Nationale Bank van België die haar vermogenstoestand weergeeft op het ogenblik van de</w:t>
      </w:r>
      <w:r>
        <w:rPr>
          <w:color w:val="231F20"/>
          <w:spacing w:val="21"/>
        </w:rPr>
        <w:t> </w:t>
      </w:r>
      <w:r>
        <w:rPr>
          <w:color w:val="231F20"/>
        </w:rPr>
        <w:t>omzetting.</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9"/>
        <w:ind w:right="38"/>
      </w:pPr>
      <w:r>
        <w:rPr/>
        <w:pict>
          <v:line style="position:absolute;mso-position-horizontal-relative:page;mso-position-vertical-relative:page;z-index:7528" from="298.170502pt,64.473pt" to="298.170502pt,812.819pt" stroked="true" strokeweight=".533pt" strokecolor="#231f20">
            <v:stroke dashstyle="solid"/>
            <w10:wrap type="none"/>
          </v:line>
        </w:pict>
      </w:r>
      <w:bookmarkStart w:name="_bookmark271" w:id="277"/>
      <w:bookmarkEnd w:id="277"/>
      <w:r>
        <w:rPr/>
      </w:r>
      <w:r>
        <w:rPr>
          <w:color w:val="231F20"/>
        </w:rPr>
        <w:t>Ce dépôt a lieu dans les trente jours qui suivent la réception de l’acte authentique de transformation.</w:t>
      </w:r>
    </w:p>
    <w:p>
      <w:pPr>
        <w:pStyle w:val="BodyText"/>
        <w:spacing w:line="218" w:lineRule="auto" w:before="97"/>
        <w:ind w:right="38"/>
      </w:pPr>
      <w:r>
        <w:rPr>
          <w:color w:val="231F20"/>
        </w:rPr>
        <w:t>Si l’état résumant la situation active et passive n’a pas été déposé conformément aux dispositions de l’alinéa 2, le dommage subi par les tiers est, sauf preuve contraire, présumé résulter de cette omission.</w:t>
      </w:r>
    </w:p>
    <w:p>
      <w:pPr>
        <w:pStyle w:val="BodyText"/>
        <w:spacing w:line="218" w:lineRule="auto" w:before="96"/>
        <w:ind w:right="38"/>
      </w:pPr>
      <w:r>
        <w:rPr>
          <w:color w:val="231F20"/>
        </w:rPr>
        <w:t>Le Roi peut déterminer le modèle de l’état résumant la situation active et passive.</w:t>
      </w:r>
    </w:p>
    <w:p>
      <w:pPr>
        <w:pStyle w:val="BodyText"/>
        <w:spacing w:line="331" w:lineRule="auto" w:before="82"/>
        <w:ind w:left="283" w:right="2014" w:firstLine="0"/>
        <w:jc w:val="left"/>
      </w:pPr>
      <w:r>
        <w:rPr>
          <w:color w:val="231F20"/>
        </w:rPr>
        <w:t>TITRE 5. Transformation de fondations. CHAPITRE 1</w:t>
      </w:r>
      <w:r>
        <w:rPr>
          <w:color w:val="231F20"/>
          <w:position w:val="7"/>
          <w:sz w:val="11"/>
        </w:rPr>
        <w:t>er</w:t>
      </w:r>
      <w:r>
        <w:rPr>
          <w:color w:val="231F20"/>
        </w:rPr>
        <w:t>. Transformation nationale.</w:t>
      </w:r>
    </w:p>
    <w:p>
      <w:pPr>
        <w:pStyle w:val="BodyText"/>
        <w:spacing w:line="218" w:lineRule="auto" w:before="16"/>
        <w:ind w:right="38"/>
      </w:pPr>
      <w:r>
        <w:rPr>
          <w:color w:val="231F20"/>
        </w:rPr>
        <w:t>Art. 14:67. § 1</w:t>
      </w:r>
      <w:r>
        <w:rPr>
          <w:color w:val="231F20"/>
          <w:position w:val="7"/>
          <w:sz w:val="11"/>
        </w:rPr>
        <w:t>er</w:t>
      </w:r>
      <w:r>
        <w:rPr>
          <w:color w:val="231F20"/>
        </w:rPr>
        <w:t>. Par acte authentique et moyennant l’approbation du Roi, toute fondation privée peut, en se conformant aux dispositions du livre </w:t>
      </w:r>
      <w:r>
        <w:rPr>
          <w:color w:val="231F20"/>
          <w:spacing w:val="-4"/>
        </w:rPr>
        <w:t>11, </w:t>
      </w:r>
      <w:r>
        <w:rPr>
          <w:color w:val="231F20"/>
        </w:rPr>
        <w:t>être transformée en fondation d’utilité publique. Cette transformation n’entraîne aucun changement dans la personnalité juridique de la</w:t>
      </w:r>
      <w:r>
        <w:rPr>
          <w:color w:val="231F20"/>
          <w:spacing w:val="4"/>
        </w:rPr>
        <w:t> </w:t>
      </w:r>
      <w:r>
        <w:rPr>
          <w:color w:val="231F20"/>
        </w:rPr>
        <w:t>fondation.</w:t>
      </w:r>
    </w:p>
    <w:p>
      <w:pPr>
        <w:pStyle w:val="BodyText"/>
        <w:spacing w:before="93"/>
        <w:ind w:left="283" w:right="0" w:firstLine="0"/>
        <w:jc w:val="left"/>
      </w:pPr>
      <w:r>
        <w:rPr>
          <w:color w:val="231F20"/>
        </w:rPr>
        <w:t>§ 2. A l’acte sont  joints:</w:t>
      </w:r>
    </w:p>
    <w:p>
      <w:pPr>
        <w:pStyle w:val="BodyText"/>
        <w:spacing w:before="89"/>
        <w:ind w:left="283" w:right="0" w:firstLine="0"/>
        <w:jc w:val="left"/>
      </w:pPr>
      <w:r>
        <w:rPr>
          <w:color w:val="231F20"/>
        </w:rPr>
        <w:t>1° un rapport justificatif établi par l’organe d’administration;</w:t>
      </w:r>
    </w:p>
    <w:p>
      <w:pPr>
        <w:pStyle w:val="BodyText"/>
        <w:spacing w:line="218" w:lineRule="auto" w:before="103"/>
        <w:ind w:right="38"/>
      </w:pPr>
      <w:r>
        <w:rPr>
          <w:color w:val="231F20"/>
        </w:rPr>
        <w:t>2° un état résumant la situation active et passive de la fondation, clôturé à une date ne remontant pas à plus de trois mois avant la réunion de l’organe d’administration appelée à se prononcer sur le projet;</w:t>
      </w:r>
    </w:p>
    <w:p>
      <w:pPr>
        <w:pStyle w:val="BodyText"/>
        <w:spacing w:line="218" w:lineRule="auto" w:before="107"/>
        <w:ind w:right="38"/>
      </w:pPr>
      <w:r>
        <w:rPr>
          <w:color w:val="231F20"/>
        </w:rPr>
        <w:t>3° un rapport de contrôle sur cet état indiquant spécialement s’il donne une image fidèle de la situation de la fondation, établi par le commissaire de la fondation ou, lorsqu’il n’y a pas de commissaire, par un réviseur d’entreprises ou un expert-comptable externe désigné par l’organe d’administration.</w:t>
      </w:r>
    </w:p>
    <w:p>
      <w:pPr>
        <w:pStyle w:val="BodyText"/>
        <w:spacing w:line="218" w:lineRule="auto" w:before="107"/>
        <w:ind w:right="38"/>
      </w:pPr>
      <w:r>
        <w:rPr>
          <w:color w:val="231F20"/>
        </w:rPr>
        <w:t>L’acte est déposé au dossier visé à l’article 2:11, et publié conformé- ment à l’article 2:17.</w:t>
      </w:r>
    </w:p>
    <w:p>
      <w:pPr>
        <w:pStyle w:val="BodyText"/>
        <w:spacing w:line="331" w:lineRule="auto" w:before="93"/>
        <w:ind w:left="283" w:right="1679" w:hanging="1"/>
        <w:jc w:val="left"/>
      </w:pPr>
      <w:r>
        <w:rPr>
          <w:color w:val="231F20"/>
        </w:rPr>
        <w:t>CHAPITRE 2. Transformation transfrontalière. Section 1</w:t>
      </w:r>
      <w:r>
        <w:rPr>
          <w:color w:val="231F20"/>
          <w:position w:val="7"/>
          <w:sz w:val="11"/>
        </w:rPr>
        <w:t>re</w:t>
      </w:r>
      <w:r>
        <w:rPr>
          <w:color w:val="231F20"/>
        </w:rPr>
        <w:t>. Dispositions introductives.</w:t>
      </w:r>
    </w:p>
    <w:p>
      <w:pPr>
        <w:pStyle w:val="BodyText"/>
        <w:spacing w:line="218" w:lineRule="auto" w:before="31"/>
        <w:ind w:right="38"/>
      </w:pPr>
      <w:r>
        <w:rPr>
          <w:color w:val="231F20"/>
        </w:rPr>
        <w:t>Art. 14:68. La section 2 du présent chapitre s’applique à toutes les fondations régies par le présent code qui veulent transférer leur siège à l’étranger (émigration), à l’exception du PPEU et de la FPEU.</w:t>
      </w:r>
    </w:p>
    <w:p>
      <w:pPr>
        <w:pStyle w:val="BodyText"/>
        <w:spacing w:before="10"/>
        <w:ind w:left="0" w:right="0" w:firstLine="0"/>
        <w:jc w:val="left"/>
        <w:rPr>
          <w:sz w:val="24"/>
        </w:rPr>
      </w:pPr>
    </w:p>
    <w:p>
      <w:pPr>
        <w:pStyle w:val="BodyText"/>
        <w:spacing w:line="218" w:lineRule="auto"/>
        <w:ind w:right="38"/>
      </w:pPr>
      <w:r>
        <w:rPr>
          <w:color w:val="231F20"/>
        </w:rPr>
        <w:t>La section 3 du présent chapitre est applicable à toutes les personnes morales régies par un droit étranger qui veulent transférer leur siège en Belgique (immigration), à l’exception du PPEU et de la FPEU.</w:t>
      </w:r>
    </w:p>
    <w:p>
      <w:pPr>
        <w:pStyle w:val="BodyText"/>
        <w:spacing w:before="10"/>
        <w:ind w:left="0" w:right="0" w:firstLine="0"/>
        <w:jc w:val="left"/>
        <w:rPr>
          <w:sz w:val="24"/>
        </w:rPr>
      </w:pPr>
    </w:p>
    <w:p>
      <w:pPr>
        <w:pStyle w:val="BodyText"/>
        <w:spacing w:line="218" w:lineRule="auto"/>
        <w:ind w:right="38"/>
      </w:pPr>
      <w:r>
        <w:rPr>
          <w:color w:val="231F20"/>
        </w:rPr>
        <w:t>Art. 14:69. Lorsqu’une personne morale transfère son siège statutaire à l’étranger, elle se transforme en une forme légale de la juridiction vers laquelle elle déplace son siège, en préservant la continuité de sa personnalité juridique.</w:t>
      </w:r>
    </w:p>
    <w:p>
      <w:pPr>
        <w:pStyle w:val="BodyText"/>
        <w:spacing w:line="218" w:lineRule="auto" w:before="107"/>
        <w:ind w:right="38"/>
      </w:pPr>
      <w:r>
        <w:rPr>
          <w:color w:val="231F20"/>
        </w:rPr>
        <w:t>Art. 14:70. La transformation transfrontalière n’est pas autorisée tant que la personne morale à transformer est soumise à une procédure d’insolvabilité.</w:t>
      </w:r>
    </w:p>
    <w:p>
      <w:pPr>
        <w:pStyle w:val="BodyText"/>
        <w:spacing w:before="93"/>
        <w:ind w:left="283" w:right="0" w:firstLine="0"/>
        <w:jc w:val="left"/>
      </w:pPr>
      <w:r>
        <w:rPr>
          <w:color w:val="231F20"/>
        </w:rPr>
        <w:t>Section 2. Émigration.</w:t>
      </w:r>
    </w:p>
    <w:p>
      <w:pPr>
        <w:pStyle w:val="BodyText"/>
        <w:spacing w:line="218" w:lineRule="auto" w:before="88"/>
        <w:ind w:right="38"/>
      </w:pPr>
      <w:r>
        <w:rPr>
          <w:color w:val="231F20"/>
        </w:rPr>
        <w:t>Sous-section 1</w:t>
      </w:r>
      <w:r>
        <w:rPr>
          <w:color w:val="231F20"/>
          <w:position w:val="7"/>
          <w:sz w:val="11"/>
        </w:rPr>
        <w:t>re</w:t>
      </w:r>
      <w:r>
        <w:rPr>
          <w:color w:val="231F20"/>
        </w:rPr>
        <w:t>. Formalités précédant la décision de transformation transfrontalière.</w:t>
      </w:r>
    </w:p>
    <w:p>
      <w:pPr>
        <w:pStyle w:val="BodyText"/>
        <w:spacing w:line="218" w:lineRule="auto" w:before="107"/>
        <w:ind w:right="38"/>
      </w:pPr>
      <w:r>
        <w:rPr>
          <w:color w:val="231F20"/>
        </w:rPr>
        <w:t>Art. 14:71. L’organe d’administration établit le projet de transforma- tion transfrontalière. Ce projet mentionne au moins la forme légale, la dénomination et le siège de la fondation après la transformation ainsi que le nom et la résidence du notaire devant lequel la transformation transfrontalière sera passée.</w:t>
      </w:r>
    </w:p>
    <w:p>
      <w:pPr>
        <w:pStyle w:val="BodyText"/>
        <w:spacing w:before="92"/>
        <w:ind w:left="283" w:right="0" w:firstLine="0"/>
        <w:jc w:val="left"/>
      </w:pPr>
      <w:r>
        <w:rPr>
          <w:color w:val="231F20"/>
        </w:rPr>
        <w:t>Ce projet est déposé et publié conformément aux articles 2:11 et 2:17.</w:t>
      </w:r>
    </w:p>
    <w:p>
      <w:pPr>
        <w:pStyle w:val="BodyText"/>
        <w:spacing w:before="7"/>
        <w:ind w:left="0" w:right="0" w:firstLine="0"/>
        <w:jc w:val="left"/>
        <w:rPr>
          <w:sz w:val="24"/>
        </w:rPr>
      </w:pPr>
    </w:p>
    <w:p>
      <w:pPr>
        <w:pStyle w:val="BodyText"/>
        <w:spacing w:line="218" w:lineRule="auto"/>
        <w:ind w:right="38"/>
      </w:pPr>
      <w:r>
        <w:rPr>
          <w:color w:val="231F20"/>
        </w:rPr>
        <w:t>Art. 14:72. Au plus tard dans les deux mois de la publication aux Annexes du </w:t>
      </w:r>
      <w:r>
        <w:rPr>
          <w:rFonts w:ascii="Times New Roman" w:hAnsi="Times New Roman"/>
          <w:i/>
          <w:color w:val="231F20"/>
        </w:rPr>
        <w:t>Moniteur belge </w:t>
      </w:r>
      <w:r>
        <w:rPr>
          <w:color w:val="231F20"/>
        </w:rPr>
        <w:t>du projet de transformation, les créanciers ont, nonobstant toute disposition contraire, le droit d’exiger une sûreté ou toute autre garantie de la fondation pour leurs créances certaines mais non encore exigibles au moment de la publication et, pour les créances faisant l’objet d’une action introduite en justice ou par voie d’arbitrage contre la fondation, avant la publication du projet de transformation.</w:t>
      </w:r>
    </w:p>
    <w:p>
      <w:pPr>
        <w:pStyle w:val="BodyText"/>
        <w:spacing w:line="218" w:lineRule="auto" w:before="105"/>
        <w:ind w:right="38"/>
      </w:pPr>
      <w:r>
        <w:rPr>
          <w:color w:val="231F20"/>
        </w:rPr>
        <w:t>À cet effet et sous peine d’irrecevabilité de la requête, le créancier adresse en même temps une demande écrite à la fondation et au notaire mentionné dans le projet de transformation.</w:t>
      </w:r>
    </w:p>
    <w:p>
      <w:pPr>
        <w:pStyle w:val="BodyText"/>
        <w:spacing w:line="218" w:lineRule="auto" w:before="106"/>
        <w:ind w:right="38"/>
      </w:pPr>
      <w:r>
        <w:rPr>
          <w:color w:val="231F20"/>
        </w:rPr>
        <w:t>La fondation peut écarter cette demande en payant la créance à sa valeur, après déduction de l’escompte.</w:t>
      </w:r>
    </w:p>
    <w:p>
      <w:pPr>
        <w:pStyle w:val="BodyText"/>
        <w:spacing w:line="218" w:lineRule="auto" w:before="107"/>
        <w:ind w:right="38"/>
      </w:pPr>
      <w:r>
        <w:rPr>
          <w:color w:val="231F20"/>
        </w:rPr>
        <w:t>À défaut d’accord ou si le créancier n’a pas reçu satisfaction, la partie la plus diligente soumet la contestation au président du tribunal de l’entreprise du siège de la fondation débitrice, siégeant en référé.</w:t>
      </w:r>
    </w:p>
    <w:p>
      <w:pPr>
        <w:pStyle w:val="BodyText"/>
        <w:spacing w:line="218" w:lineRule="auto" w:before="119"/>
      </w:pPr>
      <w:r>
        <w:rPr/>
        <w:br w:type="column"/>
      </w:r>
      <w:r>
        <w:rPr>
          <w:color w:val="231F20"/>
        </w:rPr>
        <w:t>Deze neerlegging gebeurt binnen dertig dagen nadat de authentieke omzettingsakte is verleden.</w:t>
      </w:r>
    </w:p>
    <w:p>
      <w:pPr>
        <w:pStyle w:val="BodyText"/>
        <w:spacing w:line="218" w:lineRule="auto" w:before="97"/>
      </w:pPr>
      <w:r>
        <w:rPr>
          <w:color w:val="231F20"/>
        </w:rPr>
        <w:t>Indien de staat van actief en passief niet werd neergelegd zoals bepaald in het tweede lid, wordt de door derden geleden schade, behoudens tegenbewijs, geacht voort te vloeien uit dit verzuim.</w:t>
      </w:r>
    </w:p>
    <w:p>
      <w:pPr>
        <w:pStyle w:val="BodyText"/>
        <w:spacing w:line="218" w:lineRule="auto" w:before="96"/>
      </w:pPr>
      <w:r>
        <w:rPr>
          <w:color w:val="231F20"/>
        </w:rPr>
        <w:t>De Koning kan het model van de staat van activa en passiva vaststellen.</w:t>
      </w:r>
    </w:p>
    <w:p>
      <w:pPr>
        <w:pStyle w:val="BodyText"/>
        <w:spacing w:line="350" w:lineRule="auto" w:before="82"/>
        <w:ind w:left="283" w:right="2162" w:firstLine="0"/>
        <w:jc w:val="left"/>
      </w:pPr>
      <w:r>
        <w:rPr>
          <w:color w:val="231F20"/>
        </w:rPr>
        <w:t>TITEL 5. Omzetting van stichtingen. Hoofdstuk 1. Nationale omzetting.</w:t>
      </w:r>
    </w:p>
    <w:p>
      <w:pPr>
        <w:pStyle w:val="BodyText"/>
        <w:spacing w:line="218" w:lineRule="auto" w:before="15"/>
      </w:pPr>
      <w:r>
        <w:rPr>
          <w:color w:val="231F20"/>
        </w:rPr>
        <w:t>Art. 14:67. § 1. Iedere private stichting kan bij authentieke akte en mits goedkeuring van de Koning worden omgezet in een stichting van openbaar nut overeenkomstig de bepalingen van boek 11. Die omzet- ting brengt geen wijziging mee in de rechtspersoonlijkheid van de stichting.</w:t>
      </w:r>
    </w:p>
    <w:p>
      <w:pPr>
        <w:pStyle w:val="BodyText"/>
        <w:spacing w:before="93"/>
        <w:ind w:left="283" w:right="0" w:firstLine="0"/>
        <w:jc w:val="left"/>
      </w:pPr>
      <w:r>
        <w:rPr>
          <w:color w:val="231F20"/>
        </w:rPr>
        <w:t>§ 2. Aan de akte worden toegevoegd:</w:t>
      </w:r>
    </w:p>
    <w:p>
      <w:pPr>
        <w:pStyle w:val="BodyText"/>
        <w:spacing w:before="89"/>
        <w:ind w:left="283" w:right="0" w:firstLine="0"/>
        <w:jc w:val="left"/>
      </w:pPr>
      <w:r>
        <w:rPr>
          <w:color w:val="231F20"/>
        </w:rPr>
        <w:t>1° een toelichtend verslag opgesteld door het bestuursorgaan;</w:t>
      </w:r>
    </w:p>
    <w:p>
      <w:pPr>
        <w:pStyle w:val="BodyText"/>
        <w:spacing w:line="218" w:lineRule="auto" w:before="103"/>
      </w:pPr>
      <w:r>
        <w:rPr>
          <w:color w:val="231F20"/>
        </w:rPr>
        <w:t>2° een staat van de activa en passiva van de stichting die niet meer dan drie maanden vóór de vergadering van het bestuursorgaan  dat over</w:t>
      </w:r>
      <w:r>
        <w:rPr>
          <w:color w:val="231F20"/>
          <w:spacing w:val="15"/>
        </w:rPr>
        <w:t> </w:t>
      </w:r>
      <w:r>
        <w:rPr>
          <w:color w:val="231F20"/>
        </w:rPr>
        <w:t>het</w:t>
      </w:r>
      <w:r>
        <w:rPr>
          <w:color w:val="231F20"/>
          <w:spacing w:val="15"/>
        </w:rPr>
        <w:t> </w:t>
      </w:r>
      <w:r>
        <w:rPr>
          <w:color w:val="231F20"/>
        </w:rPr>
        <w:t>voorstel</w:t>
      </w:r>
      <w:r>
        <w:rPr>
          <w:color w:val="231F20"/>
          <w:spacing w:val="15"/>
        </w:rPr>
        <w:t> </w:t>
      </w:r>
      <w:r>
        <w:rPr>
          <w:color w:val="231F20"/>
        </w:rPr>
        <w:t>moet</w:t>
      </w:r>
      <w:r>
        <w:rPr>
          <w:color w:val="231F20"/>
          <w:spacing w:val="15"/>
        </w:rPr>
        <w:t> </w:t>
      </w:r>
      <w:r>
        <w:rPr>
          <w:color w:val="231F20"/>
        </w:rPr>
        <w:t>besluiten</w:t>
      </w:r>
      <w:r>
        <w:rPr>
          <w:color w:val="231F20"/>
          <w:spacing w:val="15"/>
        </w:rPr>
        <w:t> </w:t>
      </w:r>
      <w:r>
        <w:rPr>
          <w:color w:val="231F20"/>
        </w:rPr>
        <w:t>is</w:t>
      </w:r>
      <w:r>
        <w:rPr>
          <w:color w:val="231F20"/>
          <w:spacing w:val="16"/>
        </w:rPr>
        <w:t> </w:t>
      </w:r>
      <w:r>
        <w:rPr>
          <w:color w:val="231F20"/>
        </w:rPr>
        <w:t>afgesloten;</w:t>
      </w:r>
    </w:p>
    <w:p>
      <w:pPr>
        <w:pStyle w:val="BodyText"/>
        <w:spacing w:before="10"/>
        <w:ind w:left="0" w:right="0" w:firstLine="0"/>
        <w:jc w:val="left"/>
        <w:rPr>
          <w:sz w:val="24"/>
        </w:rPr>
      </w:pPr>
    </w:p>
    <w:p>
      <w:pPr>
        <w:pStyle w:val="BodyText"/>
        <w:spacing w:line="218" w:lineRule="auto"/>
      </w:pPr>
      <w:r>
        <w:rPr>
          <w:color w:val="231F20"/>
        </w:rPr>
        <w:t>3° een controleverslag over die staat waarin inzonderheid wordt vermeld of daarin een getrouw beeld wordt gegeven van de toestand van de stichting, en dat is opgesteld door de commissaris van de stichting, of, als er geen commissaris is, een bedrijfsrevisor of externe accountant aangewezen door het</w:t>
      </w:r>
      <w:r>
        <w:rPr>
          <w:color w:val="231F20"/>
          <w:spacing w:val="22"/>
        </w:rPr>
        <w:t> </w:t>
      </w:r>
      <w:r>
        <w:rPr>
          <w:color w:val="231F20"/>
        </w:rPr>
        <w:t>bestuursorgaan.</w:t>
      </w:r>
    </w:p>
    <w:p>
      <w:pPr>
        <w:pStyle w:val="BodyText"/>
        <w:spacing w:line="218" w:lineRule="auto" w:before="107"/>
      </w:pPr>
      <w:r>
        <w:rPr>
          <w:color w:val="231F20"/>
        </w:rPr>
        <w:t>De akte wordt gevoegd bij het dossier bedoeld in artikel 2:11 en bekendgemaakt overeenkomstig artikel 2:17.</w:t>
      </w:r>
    </w:p>
    <w:p>
      <w:pPr>
        <w:pStyle w:val="BodyText"/>
        <w:spacing w:line="350" w:lineRule="auto" w:before="93"/>
        <w:ind w:left="283" w:right="1017" w:firstLine="0"/>
        <w:jc w:val="left"/>
      </w:pPr>
      <w:r>
        <w:rPr>
          <w:color w:val="231F20"/>
        </w:rPr>
        <w:t>HOOFDSTUK 2. Grensoverschrijdende omzetting. Afdeling 1. Inleidende bepalingen.</w:t>
      </w:r>
    </w:p>
    <w:p>
      <w:pPr>
        <w:pStyle w:val="BodyText"/>
        <w:spacing w:line="218" w:lineRule="auto" w:before="15"/>
      </w:pPr>
      <w:r>
        <w:rPr>
          <w:color w:val="231F20"/>
        </w:rPr>
        <w:t>Art. 14:68. Afdeling 2 van dit hoofdstuk is van toepassing op alle door dit wetboek geregelde stichtingen, die hun zetel naar het buitenland willen verplaatsen (emigratie), met uitzondering van de EUPP en de EUPS.</w:t>
      </w:r>
    </w:p>
    <w:p>
      <w:pPr>
        <w:pStyle w:val="BodyText"/>
        <w:spacing w:line="218" w:lineRule="auto" w:before="107"/>
      </w:pPr>
      <w:r>
        <w:rPr>
          <w:color w:val="231F20"/>
        </w:rPr>
        <w:t>Afdeling 3 van dit hoofdstuk is van toepassing op alle door buitenlands recht beheerste rechtspersonen, die hun zetel naar België willen verplaatsen (immigratie), met uitzondering van de EUPP en de EUPS.</w:t>
      </w:r>
    </w:p>
    <w:p>
      <w:pPr>
        <w:pStyle w:val="BodyText"/>
        <w:spacing w:line="218" w:lineRule="auto" w:before="107"/>
      </w:pPr>
      <w:r>
        <w:rPr>
          <w:color w:val="231F20"/>
        </w:rPr>
        <w:t>Art. 14:69. </w:t>
      </w:r>
      <w:r>
        <w:rPr>
          <w:color w:val="231F20"/>
          <w:spacing w:val="-3"/>
        </w:rPr>
        <w:t>Wanneer </w:t>
      </w:r>
      <w:r>
        <w:rPr>
          <w:color w:val="231F20"/>
        </w:rPr>
        <w:t>een rechtspersoon haar statutaire zetel over de grenzen heen verplaatst, zet zij zich om in een rechtsvorm van de jurisdictie waarheen zij haar zetel verplaatst, met continuïteit van haar rechtspersoonlijkheid.</w:t>
      </w:r>
    </w:p>
    <w:p>
      <w:pPr>
        <w:pStyle w:val="BodyText"/>
        <w:spacing w:line="218" w:lineRule="auto" w:before="107"/>
      </w:pPr>
      <w:r>
        <w:rPr>
          <w:color w:val="231F20"/>
        </w:rPr>
        <w:t>Art. 14:70. De grensoverschrijdende omzetting is niet toegelaten zolang de om te zetten rechtspersoon is onderworpen aan een insolventieprocedure.</w:t>
      </w:r>
    </w:p>
    <w:p>
      <w:pPr>
        <w:pStyle w:val="BodyText"/>
        <w:spacing w:before="93"/>
        <w:ind w:left="283" w:right="0" w:firstLine="0"/>
        <w:jc w:val="left"/>
      </w:pPr>
      <w:r>
        <w:rPr>
          <w:color w:val="231F20"/>
        </w:rPr>
        <w:t>Afdeling 2. Emigratie.</w:t>
      </w:r>
    </w:p>
    <w:p>
      <w:pPr>
        <w:pStyle w:val="BodyText"/>
        <w:spacing w:line="218" w:lineRule="auto" w:before="103"/>
      </w:pPr>
      <w:r>
        <w:rPr>
          <w:color w:val="231F20"/>
        </w:rPr>
        <w:t>Onderafdeling 1. Formaliteiten die het besluit tot grensoverschrij- dende omzetting voorafgaan.</w:t>
      </w:r>
    </w:p>
    <w:p>
      <w:pPr>
        <w:pStyle w:val="BodyText"/>
        <w:spacing w:line="218" w:lineRule="auto" w:before="107"/>
      </w:pPr>
      <w:r>
        <w:rPr>
          <w:color w:val="231F20"/>
        </w:rPr>
        <w:t>Art. 14:71. Het bestuursorgaan stelt het voorstel tot grensoverschrij- dende omzetting op. Dit voorstel vermeldt ten minste de rechtsvorm, de naam en de zetel van de stichting na omzetting evenals de naam en standplaats van de notaris voor wie de grensoverschrijdende omzetting zal worden</w:t>
      </w:r>
      <w:r>
        <w:rPr>
          <w:color w:val="231F20"/>
          <w:spacing w:val="-10"/>
        </w:rPr>
        <w:t> </w:t>
      </w:r>
      <w:r>
        <w:rPr>
          <w:color w:val="231F20"/>
        </w:rPr>
        <w:t>verleden.</w:t>
      </w:r>
    </w:p>
    <w:p>
      <w:pPr>
        <w:pStyle w:val="BodyText"/>
        <w:spacing w:line="218" w:lineRule="auto" w:before="107"/>
      </w:pPr>
      <w:r>
        <w:rPr>
          <w:color w:val="231F20"/>
        </w:rPr>
        <w:t>Dit voorstel wordt neergelegd en bekendgemaakt overeenkomstig de artikelen </w:t>
      </w:r>
      <w:r>
        <w:rPr>
          <w:color w:val="231F20"/>
          <w:spacing w:val="-3"/>
        </w:rPr>
        <w:t>2:11 </w:t>
      </w:r>
      <w:r>
        <w:rPr>
          <w:color w:val="231F20"/>
        </w:rPr>
        <w:t>en</w:t>
      </w:r>
      <w:r>
        <w:rPr>
          <w:color w:val="231F20"/>
          <w:spacing w:val="9"/>
        </w:rPr>
        <w:t> </w:t>
      </w:r>
      <w:r>
        <w:rPr>
          <w:color w:val="231F20"/>
        </w:rPr>
        <w:t>2:17.</w:t>
      </w:r>
    </w:p>
    <w:p>
      <w:pPr>
        <w:pStyle w:val="BodyText"/>
        <w:spacing w:line="218" w:lineRule="auto" w:before="106"/>
      </w:pPr>
      <w:r>
        <w:rPr>
          <w:color w:val="231F20"/>
        </w:rPr>
        <w:t>Art. 14:72. Uiterlijk binnen twee maanden na de bekendmaking van het omzettingsvoorstel in de Bijlagen bij het </w:t>
      </w:r>
      <w:r>
        <w:rPr>
          <w:rFonts w:ascii="Times New Roman" w:hAnsi="Times New Roman"/>
          <w:i/>
          <w:color w:val="231F20"/>
        </w:rPr>
        <w:t>Belgisch Staatsblad</w:t>
      </w:r>
      <w:r>
        <w:rPr>
          <w:color w:val="231F20"/>
        </w:rPr>
        <w:t>, kunnen de schuldeisers, niettegenstaande andersluidende bepaling, een zeker- heid of enige andere waarborg eisen van de stichting voor hun schuldvorderingen die op het tijdstip van de bekendmaking vaststaand maar nog niet opeisbaar zijn evenals voor hun schuldvorderingen waarvoor in rechte of via arbitrage een vordering tegen de stichting werd ingesteld vóór de bekendmaking van het omzettingsvoorstel.</w:t>
      </w:r>
    </w:p>
    <w:p>
      <w:pPr>
        <w:pStyle w:val="BodyText"/>
        <w:spacing w:line="218" w:lineRule="auto" w:before="105"/>
        <w:ind w:right="123"/>
      </w:pPr>
      <w:r>
        <w:rPr>
          <w:color w:val="231F20"/>
        </w:rPr>
        <w:t>Daartoe richt de schuldeiser tegelijkertijd een schriftelijk verzoek aan de stichting en de notaris vermeld in het omzettingsvoorstel, op straffe van niet-ontvankelijkheid van zijn verzoek.</w:t>
      </w:r>
    </w:p>
    <w:p>
      <w:pPr>
        <w:pStyle w:val="BodyText"/>
        <w:spacing w:line="218" w:lineRule="auto" w:before="107"/>
      </w:pPr>
      <w:r>
        <w:rPr>
          <w:color w:val="231F20"/>
        </w:rPr>
        <w:t>De stichting kan deze vordering afweren door de schuldvordering te betalen tegen haar waarde, na aftrek van het disconto.</w:t>
      </w:r>
    </w:p>
    <w:p>
      <w:pPr>
        <w:pStyle w:val="BodyText"/>
        <w:spacing w:line="218" w:lineRule="auto" w:before="107"/>
      </w:pPr>
      <w:r>
        <w:rPr>
          <w:color w:val="231F20"/>
        </w:rPr>
        <w:t>Indien geen overeenstemming wordt bereikt of indien de schuldeiser geen voldoening heeft gekregen, legt de meest gerede partij het geschil voor aan de voorzitter van de ondernemingsrechtbank van de zetel van de schuldplichtige stichting, zitting houdend in kort geding.</w:t>
      </w:r>
    </w:p>
    <w:p>
      <w:pPr>
        <w:spacing w:after="0" w:line="218" w:lineRule="auto"/>
        <w:sectPr>
          <w:headerReference w:type="even" r:id="rId115"/>
          <w:headerReference w:type="default" r:id="rId116"/>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552" from="298.170502pt,64.473pt" to="298.170502pt,812.819pt" stroked="true" strokeweight=".533pt" strokecolor="#231f20">
            <v:stroke dashstyle="solid"/>
            <w10:wrap type="none"/>
          </v:line>
        </w:pict>
      </w:r>
      <w:bookmarkStart w:name="_bookmark272" w:id="278"/>
      <w:bookmarkEnd w:id="278"/>
      <w:r>
        <w:rPr/>
      </w:r>
      <w:r>
        <w:rPr>
          <w:color w:val="231F20"/>
        </w:rPr>
        <w:t>Tous droits saufs au fond, le président détermine la sûreté à fournir par la fondation et fixe le délai dans lequel elle doit être constituée, à moins qu’il ne décide qu’aucune sûreté n’est requise, eu égard soit aux garanties et privilèges dont jouit le créancier, soit à la solvabilité de la fondation.</w:t>
      </w:r>
    </w:p>
    <w:p>
      <w:pPr>
        <w:pStyle w:val="BodyText"/>
        <w:spacing w:line="218" w:lineRule="auto" w:before="86"/>
        <w:ind w:right="38"/>
      </w:pPr>
      <w:r>
        <w:rPr>
          <w:color w:val="231F20"/>
        </w:rPr>
        <w:t>Art. 14:73. L’organe d’administration expose le projet de transforma- tion transfrontalière, ses motifs et conséquences juridiques et économi- ques, et ses conséquences pour les créanciers et les travailleurs dans un rapport.</w:t>
      </w:r>
    </w:p>
    <w:p>
      <w:pPr>
        <w:pStyle w:val="BodyText"/>
        <w:spacing w:line="218" w:lineRule="auto" w:before="85"/>
        <w:ind w:right="38"/>
      </w:pPr>
      <w:r>
        <w:rPr>
          <w:color w:val="231F20"/>
        </w:rPr>
        <w:t>Art. 14:74. </w:t>
      </w:r>
      <w:r>
        <w:rPr>
          <w:color w:val="231F20"/>
          <w:spacing w:val="-3"/>
        </w:rPr>
        <w:t>L’organe </w:t>
      </w:r>
      <w:r>
        <w:rPr>
          <w:color w:val="231F20"/>
        </w:rPr>
        <w:t>d’administration joint au rapport </w:t>
      </w:r>
      <w:r>
        <w:rPr>
          <w:color w:val="231F20"/>
          <w:spacing w:val="7"/>
        </w:rPr>
        <w:t>visé </w:t>
      </w:r>
      <w:r>
        <w:rPr>
          <w:color w:val="231F20"/>
        </w:rPr>
        <w:t>à l’arti-  cle 14:73 un état résumant la situation active et passive, </w:t>
      </w:r>
      <w:r>
        <w:rPr>
          <w:color w:val="231F20"/>
          <w:spacing w:val="2"/>
        </w:rPr>
        <w:t>clôturé </w:t>
      </w:r>
      <w:r>
        <w:rPr>
          <w:color w:val="231F20"/>
        </w:rPr>
        <w:t>à une date ne remontant pas à plus de quatre mois avant la réunion de l’organe d’administration </w:t>
      </w:r>
      <w:r>
        <w:rPr>
          <w:color w:val="231F20"/>
          <w:spacing w:val="2"/>
        </w:rPr>
        <w:t>appelé </w:t>
      </w:r>
      <w:r>
        <w:rPr>
          <w:color w:val="231F20"/>
        </w:rPr>
        <w:t>à se prononcer sur la proposition de transformation</w:t>
      </w:r>
      <w:r>
        <w:rPr>
          <w:color w:val="231F20"/>
          <w:spacing w:val="14"/>
        </w:rPr>
        <w:t> </w:t>
      </w:r>
      <w:r>
        <w:rPr>
          <w:color w:val="231F20"/>
        </w:rPr>
        <w:t>transfrontalière.</w:t>
      </w:r>
    </w:p>
    <w:p>
      <w:pPr>
        <w:pStyle w:val="BodyText"/>
        <w:ind w:left="0" w:right="0" w:firstLine="0"/>
        <w:jc w:val="left"/>
        <w:rPr>
          <w:sz w:val="23"/>
        </w:rPr>
      </w:pPr>
    </w:p>
    <w:p>
      <w:pPr>
        <w:pStyle w:val="BodyText"/>
        <w:spacing w:line="218" w:lineRule="auto"/>
        <w:ind w:right="38"/>
      </w:pPr>
      <w:r>
        <w:rPr>
          <w:color w:val="231F20"/>
        </w:rPr>
        <w:t>Le commissaire ou, lorsqu’il n’y a pas de commissaire, un réviseur d’entreprises ou un expert-comptable externe désigné par l’organe d’administration,</w:t>
      </w:r>
      <w:r>
        <w:rPr>
          <w:color w:val="231F20"/>
          <w:spacing w:val="-4"/>
        </w:rPr>
        <w:t> </w:t>
      </w:r>
      <w:r>
        <w:rPr>
          <w:color w:val="231F20"/>
        </w:rPr>
        <w:t>fait</w:t>
      </w:r>
      <w:r>
        <w:rPr>
          <w:color w:val="231F20"/>
          <w:spacing w:val="-4"/>
        </w:rPr>
        <w:t> </w:t>
      </w:r>
      <w:r>
        <w:rPr>
          <w:color w:val="231F20"/>
        </w:rPr>
        <w:t>rapport</w:t>
      </w:r>
      <w:r>
        <w:rPr>
          <w:color w:val="231F20"/>
          <w:spacing w:val="-4"/>
        </w:rPr>
        <w:t> </w:t>
      </w:r>
      <w:r>
        <w:rPr>
          <w:color w:val="231F20"/>
        </w:rPr>
        <w:t>sur</w:t>
      </w:r>
      <w:r>
        <w:rPr>
          <w:color w:val="231F20"/>
          <w:spacing w:val="-3"/>
        </w:rPr>
        <w:t> </w:t>
      </w:r>
      <w:r>
        <w:rPr>
          <w:color w:val="231F20"/>
        </w:rPr>
        <w:t>cet</w:t>
      </w:r>
      <w:r>
        <w:rPr>
          <w:color w:val="231F20"/>
          <w:spacing w:val="-4"/>
        </w:rPr>
        <w:t> </w:t>
      </w:r>
      <w:r>
        <w:rPr>
          <w:color w:val="231F20"/>
        </w:rPr>
        <w:t>état</w:t>
      </w:r>
      <w:r>
        <w:rPr>
          <w:color w:val="231F20"/>
          <w:spacing w:val="-4"/>
        </w:rPr>
        <w:t> </w:t>
      </w:r>
      <w:r>
        <w:rPr>
          <w:color w:val="231F20"/>
        </w:rPr>
        <w:t>et</w:t>
      </w:r>
      <w:r>
        <w:rPr>
          <w:color w:val="231F20"/>
          <w:spacing w:val="-3"/>
        </w:rPr>
        <w:t> </w:t>
      </w:r>
      <w:r>
        <w:rPr>
          <w:color w:val="231F20"/>
        </w:rPr>
        <w:t>indique</w:t>
      </w:r>
      <w:r>
        <w:rPr>
          <w:color w:val="231F20"/>
          <w:spacing w:val="-4"/>
        </w:rPr>
        <w:t> </w:t>
      </w:r>
      <w:r>
        <w:rPr>
          <w:color w:val="231F20"/>
        </w:rPr>
        <w:t>notamment</w:t>
      </w:r>
      <w:r>
        <w:rPr>
          <w:color w:val="231F20"/>
          <w:spacing w:val="-4"/>
        </w:rPr>
        <w:t> </w:t>
      </w:r>
      <w:r>
        <w:rPr>
          <w:color w:val="231F20"/>
        </w:rPr>
        <w:t>si</w:t>
      </w:r>
      <w:r>
        <w:rPr>
          <w:color w:val="231F20"/>
          <w:spacing w:val="-3"/>
        </w:rPr>
        <w:t> </w:t>
      </w:r>
      <w:r>
        <w:rPr>
          <w:color w:val="231F20"/>
        </w:rPr>
        <w:t>l’actif net est</w:t>
      </w:r>
      <w:r>
        <w:rPr>
          <w:color w:val="231F20"/>
          <w:spacing w:val="-11"/>
        </w:rPr>
        <w:t> </w:t>
      </w:r>
      <w:r>
        <w:rPr>
          <w:color w:val="231F20"/>
        </w:rPr>
        <w:t>surévalué.</w:t>
      </w:r>
    </w:p>
    <w:p>
      <w:pPr>
        <w:pStyle w:val="BodyText"/>
        <w:spacing w:line="213" w:lineRule="auto" w:before="89"/>
        <w:ind w:right="38"/>
      </w:pPr>
      <w:r>
        <w:rPr>
          <w:color w:val="231F20"/>
        </w:rPr>
        <w:t>Art. 14:75. </w:t>
      </w:r>
      <w:r>
        <w:rPr>
          <w:color w:val="231F20"/>
          <w:spacing w:val="-4"/>
        </w:rPr>
        <w:t>Tout </w:t>
      </w:r>
      <w:r>
        <w:rPr>
          <w:color w:val="231F20"/>
        </w:rPr>
        <w:t>créancier qui dispose d’un droit d’opposition sur la base de l’article 14:72 peut obtenir sans frais au siège de la fondation une copie des documents visés à l’alinéa 1</w:t>
      </w:r>
      <w:r>
        <w:rPr>
          <w:color w:val="231F20"/>
          <w:position w:val="7"/>
          <w:sz w:val="11"/>
        </w:rPr>
        <w:t>er </w:t>
      </w:r>
      <w:r>
        <w:rPr>
          <w:color w:val="231F20"/>
        </w:rPr>
        <w:t>dès la publication de la proposition</w:t>
      </w:r>
      <w:r>
        <w:rPr>
          <w:color w:val="231F20"/>
          <w:spacing w:val="14"/>
        </w:rPr>
        <w:t> </w:t>
      </w:r>
      <w:r>
        <w:rPr>
          <w:color w:val="231F20"/>
        </w:rPr>
        <w:t>de</w:t>
      </w:r>
      <w:r>
        <w:rPr>
          <w:color w:val="231F20"/>
          <w:spacing w:val="15"/>
        </w:rPr>
        <w:t> </w:t>
      </w:r>
      <w:r>
        <w:rPr>
          <w:color w:val="231F20"/>
        </w:rPr>
        <w:t>transformation</w:t>
      </w:r>
      <w:r>
        <w:rPr>
          <w:color w:val="231F20"/>
          <w:spacing w:val="15"/>
        </w:rPr>
        <w:t> </w:t>
      </w:r>
      <w:r>
        <w:rPr>
          <w:color w:val="231F20"/>
        </w:rPr>
        <w:t>conformément</w:t>
      </w:r>
      <w:r>
        <w:rPr>
          <w:color w:val="231F20"/>
          <w:spacing w:val="15"/>
        </w:rPr>
        <w:t> </w:t>
      </w:r>
      <w:r>
        <w:rPr>
          <w:color w:val="231F20"/>
        </w:rPr>
        <w:t>à</w:t>
      </w:r>
      <w:r>
        <w:rPr>
          <w:color w:val="231F20"/>
          <w:spacing w:val="15"/>
        </w:rPr>
        <w:t> </w:t>
      </w:r>
      <w:r>
        <w:rPr>
          <w:color w:val="231F20"/>
        </w:rPr>
        <w:t>l’article</w:t>
      </w:r>
      <w:r>
        <w:rPr>
          <w:color w:val="231F20"/>
          <w:spacing w:val="14"/>
        </w:rPr>
        <w:t> </w:t>
      </w:r>
      <w:r>
        <w:rPr>
          <w:color w:val="231F20"/>
        </w:rPr>
        <w:t>14:71.</w:t>
      </w:r>
    </w:p>
    <w:p>
      <w:pPr>
        <w:pStyle w:val="BodyText"/>
        <w:spacing w:before="6"/>
        <w:ind w:left="0" w:right="0" w:firstLine="0"/>
        <w:jc w:val="left"/>
        <w:rPr>
          <w:sz w:val="21"/>
        </w:rPr>
      </w:pPr>
    </w:p>
    <w:p>
      <w:pPr>
        <w:pStyle w:val="BodyText"/>
        <w:ind w:left="283" w:right="0" w:firstLine="0"/>
        <w:jc w:val="left"/>
      </w:pPr>
      <w:r>
        <w:rPr>
          <w:color w:val="231F20"/>
        </w:rPr>
        <w:t>Sous-section 2. Décision de transformation</w:t>
      </w:r>
      <w:r>
        <w:rPr>
          <w:color w:val="231F20"/>
          <w:spacing w:val="18"/>
        </w:rPr>
        <w:t> </w:t>
      </w:r>
      <w:r>
        <w:rPr>
          <w:color w:val="231F20"/>
        </w:rPr>
        <w:t>transfrontalière.</w:t>
      </w:r>
    </w:p>
    <w:p>
      <w:pPr>
        <w:pStyle w:val="BodyText"/>
        <w:spacing w:line="218" w:lineRule="auto" w:before="82"/>
        <w:ind w:right="38"/>
      </w:pPr>
      <w:r>
        <w:rPr>
          <w:color w:val="231F20"/>
        </w:rPr>
        <w:t>Art. 14:76. Après l’expiration du délai visé à l’article 14:72, l’organe d’administration décide de la transformation transfrontalière confor- mément aux dispositions de la présente sous-section.</w:t>
      </w:r>
    </w:p>
    <w:p>
      <w:pPr>
        <w:pStyle w:val="BodyText"/>
        <w:spacing w:line="218" w:lineRule="auto" w:before="70"/>
        <w:ind w:right="38"/>
      </w:pPr>
      <w:r>
        <w:rPr>
          <w:color w:val="231F20"/>
        </w:rPr>
        <w:t>Art. 14:77. § 1</w:t>
      </w:r>
      <w:r>
        <w:rPr>
          <w:color w:val="231F20"/>
          <w:position w:val="7"/>
          <w:sz w:val="11"/>
        </w:rPr>
        <w:t>er</w:t>
      </w:r>
      <w:r>
        <w:rPr>
          <w:color w:val="231F20"/>
        </w:rPr>
        <w:t>. Sous réserve des dispositions particulières énoncées dans le présent article et de dispositions statutaires plus rigoureuses, l’organe d’administration décide de la transformation transfrontalière dans le respect des règles de présence et de majorité suivantes:</w:t>
      </w:r>
    </w:p>
    <w:p>
      <w:pPr>
        <w:pStyle w:val="BodyText"/>
        <w:spacing w:line="218" w:lineRule="auto" w:before="86"/>
        <w:ind w:right="38"/>
      </w:pPr>
      <w:r>
        <w:rPr>
          <w:color w:val="231F20"/>
        </w:rPr>
        <w:t>1° au moins deux tiers des administrateurs doivent être présents ou représentés à la réunion;</w:t>
      </w:r>
    </w:p>
    <w:p>
      <w:pPr>
        <w:pStyle w:val="BodyText"/>
        <w:spacing w:line="218" w:lineRule="auto" w:before="86"/>
        <w:ind w:right="38"/>
      </w:pPr>
      <w:r>
        <w:rPr>
          <w:color w:val="231F20"/>
        </w:rPr>
        <w:t>2° une proposition de transformation transfrontalière est seulement acceptée si elle réunit les quatre cinquièmes des voix.</w:t>
      </w:r>
    </w:p>
    <w:p>
      <w:pPr>
        <w:pStyle w:val="BodyText"/>
        <w:spacing w:line="218" w:lineRule="auto" w:before="81"/>
        <w:ind w:right="38"/>
      </w:pPr>
      <w:r>
        <w:rPr>
          <w:color w:val="231F20"/>
        </w:rPr>
        <w:t>§ 2. Par dérogation au paragraphe 1</w:t>
      </w:r>
      <w:r>
        <w:rPr>
          <w:color w:val="231F20"/>
          <w:position w:val="7"/>
          <w:sz w:val="11"/>
        </w:rPr>
        <w:t>er</w:t>
      </w:r>
      <w:r>
        <w:rPr>
          <w:color w:val="231F20"/>
        </w:rPr>
        <w:t>, l’accord de tous les adminis- trateurs est requis:</w:t>
      </w:r>
    </w:p>
    <w:p>
      <w:pPr>
        <w:pStyle w:val="BodyText"/>
        <w:spacing w:line="218" w:lineRule="auto" w:before="96"/>
        <w:ind w:right="38"/>
      </w:pPr>
      <w:r>
        <w:rPr>
          <w:color w:val="231F20"/>
        </w:rPr>
        <w:t>1° pour la décision de transformation transfrontalière en une fondation ou les administrateurs répondent de manière illimitée des dettes de la fondation;</w:t>
      </w:r>
    </w:p>
    <w:p>
      <w:pPr>
        <w:pStyle w:val="BodyText"/>
        <w:spacing w:before="82"/>
        <w:ind w:left="283" w:right="0" w:firstLine="0"/>
        <w:jc w:val="left"/>
      </w:pPr>
      <w:r>
        <w:rPr>
          <w:color w:val="231F20"/>
        </w:rPr>
        <w:t>2° si la fondation n’existe pas depuis deux ans au moins;</w:t>
      </w:r>
    </w:p>
    <w:p>
      <w:pPr>
        <w:pStyle w:val="BodyText"/>
        <w:spacing w:line="218" w:lineRule="auto" w:before="93"/>
        <w:ind w:right="38"/>
      </w:pPr>
      <w:r>
        <w:rPr>
          <w:color w:val="231F20"/>
        </w:rPr>
        <w:t>3° si les statuts prévoient qu’elle ne peut adopter une autre forme légale. Cette clause des statuts ne peut être modifiée qu’avec l’accord de tous les administrateurs.</w:t>
      </w:r>
    </w:p>
    <w:p>
      <w:pPr>
        <w:pStyle w:val="BodyText"/>
        <w:spacing w:line="218" w:lineRule="auto" w:before="96"/>
        <w:ind w:right="38"/>
      </w:pPr>
      <w:r>
        <w:rPr>
          <w:color w:val="231F20"/>
        </w:rPr>
        <w:t>Art. 14:78. La transformation transfrontalière est, à peine de nullité, constatée par un acte authentique dressé par le notaire désigné dans la proposition de transformation visée à l’article 14:71. L’acte authentique reproduit les conclusions du rapport établi par le commissaire ou par le réviseur d’entreprises ou expert-comptable externe. L’état résumant la situation active et passive y est joint.</w:t>
      </w:r>
    </w:p>
    <w:p>
      <w:pPr>
        <w:pStyle w:val="BodyText"/>
        <w:spacing w:line="218" w:lineRule="auto" w:before="96"/>
        <w:ind w:right="38"/>
      </w:pPr>
      <w:r>
        <w:rPr>
          <w:color w:val="231F20"/>
        </w:rPr>
        <w:t>Art. 14:79. À  la  demande  de  la  fondation,  le  notaire  visé  à l’article 14:78 délivre un certificat attestant l’accomplissement des actes et des formalités préalables à la décision de transformation transfron- talière. Ce notaire ne délivre pas le certificat aussi longtemps que les créanciers ayant fait valoir leurs droits dans le délai de deux mois visé  à l’article 14:72 n’auront pas obtenu satisfaction, à moins qu’une décision</w:t>
      </w:r>
      <w:r>
        <w:rPr>
          <w:color w:val="231F20"/>
          <w:spacing w:val="13"/>
        </w:rPr>
        <w:t> </w:t>
      </w:r>
      <w:r>
        <w:rPr>
          <w:color w:val="231F20"/>
        </w:rPr>
        <w:t>judiciaire</w:t>
      </w:r>
      <w:r>
        <w:rPr>
          <w:color w:val="231F20"/>
          <w:spacing w:val="13"/>
        </w:rPr>
        <w:t> </w:t>
      </w:r>
      <w:r>
        <w:rPr>
          <w:color w:val="231F20"/>
        </w:rPr>
        <w:t>exécutoire</w:t>
      </w:r>
      <w:r>
        <w:rPr>
          <w:color w:val="231F20"/>
          <w:spacing w:val="14"/>
        </w:rPr>
        <w:t> </w:t>
      </w:r>
      <w:r>
        <w:rPr>
          <w:color w:val="231F20"/>
        </w:rPr>
        <w:t>n’ait</w:t>
      </w:r>
      <w:r>
        <w:rPr>
          <w:color w:val="231F20"/>
          <w:spacing w:val="13"/>
        </w:rPr>
        <w:t> </w:t>
      </w:r>
      <w:r>
        <w:rPr>
          <w:color w:val="231F20"/>
        </w:rPr>
        <w:t>rejeté</w:t>
      </w:r>
      <w:r>
        <w:rPr>
          <w:color w:val="231F20"/>
          <w:spacing w:val="14"/>
        </w:rPr>
        <w:t> </w:t>
      </w:r>
      <w:r>
        <w:rPr>
          <w:color w:val="231F20"/>
        </w:rPr>
        <w:t>leurs</w:t>
      </w:r>
      <w:r>
        <w:rPr>
          <w:color w:val="231F20"/>
          <w:spacing w:val="13"/>
        </w:rPr>
        <w:t> </w:t>
      </w:r>
      <w:r>
        <w:rPr>
          <w:color w:val="231F20"/>
        </w:rPr>
        <w:t>prétentions.</w:t>
      </w:r>
    </w:p>
    <w:p>
      <w:pPr>
        <w:pStyle w:val="BodyText"/>
        <w:ind w:left="0" w:right="0" w:firstLine="0"/>
        <w:jc w:val="left"/>
        <w:rPr>
          <w:sz w:val="24"/>
        </w:rPr>
      </w:pPr>
    </w:p>
    <w:p>
      <w:pPr>
        <w:pStyle w:val="BodyText"/>
        <w:spacing w:line="218" w:lineRule="auto"/>
        <w:ind w:right="38"/>
      </w:pPr>
      <w:r>
        <w:rPr>
          <w:color w:val="231F20"/>
        </w:rPr>
        <w:t>Art. 14:80. La fondation peut seulement être radiée du registre belge des personnes morales si elle peut apporter la preuve de son immatriculation au registre pertinent du pays dans lequel elle transfère son siège et sur présentation du certificat délivré par le notaire conformément à l’article 14:79. Le registre belge des personnes morales mentionne l’immatriculation de la fondation dans le registre étranger.</w:t>
      </w:r>
    </w:p>
    <w:p>
      <w:pPr>
        <w:pStyle w:val="BodyText"/>
        <w:spacing w:line="218" w:lineRule="auto" w:before="96"/>
        <w:ind w:right="38"/>
      </w:pPr>
      <w:r>
        <w:rPr>
          <w:color w:val="231F20"/>
        </w:rPr>
        <w:t>La transformation transfrontalière et la modification des statuts qui en résulte prennent seulement effet à dater de la radiation de l’immatriculation dans le registre belge des personnes morales.</w:t>
      </w:r>
    </w:p>
    <w:p>
      <w:pPr>
        <w:pStyle w:val="BodyText"/>
        <w:spacing w:line="338" w:lineRule="auto" w:before="82"/>
        <w:ind w:left="283" w:right="473" w:hanging="1"/>
        <w:jc w:val="left"/>
      </w:pPr>
      <w:r>
        <w:rPr>
          <w:color w:val="231F20"/>
        </w:rPr>
        <w:t>Cette radiation est publiée conformément à l’article 2:17. Section 3. Immigration.</w:t>
      </w:r>
    </w:p>
    <w:p>
      <w:pPr>
        <w:pStyle w:val="BodyText"/>
        <w:spacing w:line="218" w:lineRule="auto" w:before="13"/>
        <w:ind w:right="38"/>
      </w:pPr>
      <w:r>
        <w:rPr>
          <w:color w:val="231F20"/>
        </w:rPr>
        <w:t>Art. 14:81. La transformation transfrontalière d’une personne morale étrangère en une fondation régie par le présent code est constatée dans un acte authentique, sur présentation par la personne morale qui se transforme de pièces attestant que celle-ci a respecté les prescriptions étrangères applicables en la matière.</w:t>
      </w:r>
    </w:p>
    <w:p>
      <w:pPr>
        <w:pStyle w:val="BodyText"/>
        <w:spacing w:line="218" w:lineRule="auto" w:before="119"/>
      </w:pPr>
      <w:r>
        <w:rPr/>
        <w:br w:type="column"/>
      </w:r>
      <w:r>
        <w:rPr>
          <w:color w:val="231F20"/>
        </w:rPr>
        <w:t>Zonder afbreuk te doen aan de grond van de zaak, bepaalt de voorzitter de zekerheid die de stichting moet stellen en de termijn waarbinnen dit moet gebeuren, tenzij hij beslist dat geen zekerheid is vereist gelet op de waarborgen en voorrechten waarover de schuldeiser beschikt of op de solvabiliteit van de stichting.</w:t>
      </w:r>
    </w:p>
    <w:p>
      <w:pPr>
        <w:pStyle w:val="BodyText"/>
        <w:spacing w:line="218" w:lineRule="auto" w:before="86"/>
      </w:pPr>
      <w:r>
        <w:rPr>
          <w:color w:val="231F20"/>
        </w:rPr>
        <w:t>Art. 14:73 Het bestuursorgaan licht het voorstel tot grensoverschrij- dende omzetting, haar juridische en economische redenen en gevolgen, en haar gevolgen voor de schuldeisers en de werknemers toe in een verslag.</w:t>
      </w:r>
    </w:p>
    <w:p>
      <w:pPr>
        <w:pStyle w:val="BodyText"/>
        <w:spacing w:line="218" w:lineRule="auto" w:before="86"/>
      </w:pPr>
      <w:r>
        <w:rPr>
          <w:color w:val="231F20"/>
        </w:rPr>
        <w:t>Art. 14:74. Bij het in artikel 14:73 bedoelde verslag voegt het bestuursorgaan een staat van activa en passiva, die niet meer dan vier maanden vóór de vergadering van het bestuursorgaan die over het voorstel tot grensoverschrijdende omzetting moet besluiten is afgeslo- ten.</w:t>
      </w:r>
    </w:p>
    <w:p>
      <w:pPr>
        <w:pStyle w:val="BodyText"/>
        <w:ind w:left="0" w:right="0" w:firstLine="0"/>
        <w:jc w:val="left"/>
        <w:rPr>
          <w:sz w:val="23"/>
        </w:rPr>
      </w:pPr>
    </w:p>
    <w:p>
      <w:pPr>
        <w:pStyle w:val="BodyText"/>
        <w:spacing w:line="218" w:lineRule="auto"/>
      </w:pPr>
      <w:r>
        <w:rPr>
          <w:color w:val="231F20"/>
        </w:rPr>
        <w:t>De commissaris of, als er geen commissaris is, een door het bestuursorgaan aangewezen bedrijfsrevisor of externe accountant, brengt over deze staat verslag uit en vermeldt inzonderheid of het nettoactief is overgewaardeerd.</w:t>
      </w:r>
    </w:p>
    <w:p>
      <w:pPr>
        <w:pStyle w:val="BodyText"/>
        <w:spacing w:line="218" w:lineRule="auto" w:before="86"/>
      </w:pPr>
      <w:r>
        <w:rPr>
          <w:color w:val="231F20"/>
        </w:rPr>
        <w:t>Art. 14:75. Iedere schuldeiser die op grond van artikel 14:72 over een verzetsrecht beschikt kan, vanaf de bekendmaking van het omzettings- voorstel overeenkomstig artikel 14:71 op de zetel van de stichting kosteloos een kopie van de in het eerste lid bedoelde stukken verkrijgen.</w:t>
      </w:r>
    </w:p>
    <w:p>
      <w:pPr>
        <w:pStyle w:val="BodyText"/>
        <w:spacing w:before="71"/>
        <w:ind w:left="283" w:right="0" w:firstLine="0"/>
        <w:jc w:val="left"/>
      </w:pPr>
      <w:r>
        <w:rPr>
          <w:color w:val="231F20"/>
        </w:rPr>
        <w:t>Onderafdeling 2. Besluit tot grensoverschrijdende omzetting.</w:t>
      </w:r>
    </w:p>
    <w:p>
      <w:pPr>
        <w:pStyle w:val="BodyText"/>
        <w:spacing w:line="218" w:lineRule="auto" w:before="82"/>
      </w:pPr>
      <w:r>
        <w:rPr>
          <w:color w:val="231F20"/>
        </w:rPr>
        <w:t>Art. 14:76. Na het verstrijken van de in artikel 14:72 bedoelde termijn besluit het bestuursorgaan tot de grensoverschrijdende omzetting overeenkomstig de bepalingen van deze onderafdeling.</w:t>
      </w:r>
    </w:p>
    <w:p>
      <w:pPr>
        <w:pStyle w:val="BodyText"/>
        <w:spacing w:line="218" w:lineRule="auto" w:before="86"/>
      </w:pPr>
      <w:r>
        <w:rPr>
          <w:color w:val="231F20"/>
        </w:rPr>
        <w:t>Art. 14:77. § 1. Onverminderd strengere bepalingen in de statuten en de bijzondere bepalingen van dit artikel, beslist het bestuursorgaan tot de grensoverschrijdende omzetting overeenkomstig de volgende regels van aanwezigheid en meerderheid:</w:t>
      </w:r>
    </w:p>
    <w:p>
      <w:pPr>
        <w:pStyle w:val="BodyText"/>
        <w:spacing w:line="218" w:lineRule="auto" w:before="86"/>
      </w:pPr>
      <w:r>
        <w:rPr>
          <w:color w:val="231F20"/>
          <w:w w:val="105"/>
        </w:rPr>
        <w:t>1° op de vergadering moeten ten minste twee derde van de bestuurders aanwezig of vertegenwoordigd zijn;</w:t>
      </w:r>
    </w:p>
    <w:p>
      <w:pPr>
        <w:pStyle w:val="BodyText"/>
        <w:spacing w:line="218" w:lineRule="auto" w:before="85"/>
      </w:pPr>
      <w:r>
        <w:rPr>
          <w:color w:val="231F20"/>
        </w:rPr>
        <w:t>2° een voorstel tot grensoverschrijdende omzetting is alleen dan aangenomen, wanneer het vier vijfde van de stemmen heeft verkregen.</w:t>
      </w:r>
    </w:p>
    <w:p>
      <w:pPr>
        <w:pStyle w:val="BodyText"/>
        <w:spacing w:line="218" w:lineRule="auto" w:before="96"/>
        <w:ind w:right="125"/>
      </w:pPr>
      <w:r>
        <w:rPr>
          <w:color w:val="231F20"/>
        </w:rPr>
        <w:t>§ 2. In afwijking van paragraaf 1 is de instemming van alle bestuurders vereist:</w:t>
      </w:r>
    </w:p>
    <w:p>
      <w:pPr>
        <w:pStyle w:val="BodyText"/>
        <w:spacing w:line="218" w:lineRule="auto" w:before="96"/>
      </w:pPr>
      <w:r>
        <w:rPr>
          <w:color w:val="231F20"/>
        </w:rPr>
        <w:t>1° voor het besluit tot grensoverschrijdende omzetting in een stichting waarin de bestuurders onbeperkt aansprakelijk zijn voor de schulden van de stichting;</w:t>
      </w:r>
    </w:p>
    <w:p>
      <w:pPr>
        <w:pStyle w:val="BodyText"/>
        <w:spacing w:before="82"/>
        <w:ind w:left="283" w:right="0" w:firstLine="0"/>
        <w:jc w:val="left"/>
      </w:pPr>
      <w:r>
        <w:rPr>
          <w:color w:val="231F20"/>
        </w:rPr>
        <w:t>2° indien de stichting niet ten minste twee jaar bestaat;</w:t>
      </w:r>
    </w:p>
    <w:p>
      <w:pPr>
        <w:pStyle w:val="BodyText"/>
        <w:spacing w:line="218" w:lineRule="auto" w:before="93"/>
      </w:pPr>
      <w:r>
        <w:rPr>
          <w:color w:val="231F20"/>
        </w:rPr>
        <w:t>3° indien in de statuten is bepaald dat zij geen andere rechtsvorm mag aannemen. Deze bepaling van de statuten kan slechts met instemming van alle bestuurders worden gewijzigd.</w:t>
      </w:r>
    </w:p>
    <w:p>
      <w:pPr>
        <w:pStyle w:val="BodyText"/>
        <w:spacing w:line="218" w:lineRule="auto" w:before="96"/>
      </w:pPr>
      <w:r>
        <w:rPr>
          <w:color w:val="231F20"/>
        </w:rPr>
        <w:t>Art. 14:78. De grensoverschrijdende omzetting wordt, op straffe van nietigheid, bij authentieke akte vastgesteld door de notaris aangeduid in het in artikel 14:71 bedoelde omzettingsvoorstel. In de authentieke akte wordt de conclusie van het verslag van de commissaris of van de bedrijfsrevisor of externe accountant overgenomen. De staat van actief en passief wordt er</w:t>
      </w:r>
      <w:r>
        <w:rPr>
          <w:color w:val="231F20"/>
          <w:spacing w:val="19"/>
        </w:rPr>
        <w:t> </w:t>
      </w:r>
      <w:r>
        <w:rPr>
          <w:color w:val="231F20"/>
        </w:rPr>
        <w:t>aangehecht.</w:t>
      </w:r>
    </w:p>
    <w:p>
      <w:pPr>
        <w:pStyle w:val="BodyText"/>
        <w:spacing w:line="218" w:lineRule="auto" w:before="97"/>
      </w:pPr>
      <w:r>
        <w:rPr>
          <w:color w:val="231F20"/>
        </w:rPr>
        <w:t>Art. 14:79. De in artikel 14:78 bedoelde notaris geeft op vraag van de stichting een attest af waaruit blijkt dat de aan het besluit tot grensoverschrijdende omzetting voorafgaande handelingen en forma- liteiten zijn vervuld. Deze notaris levert het attest niet af zolang de schuldeisers die binnen de artikel 14:72 bedoelde termijn van twee maanden hun rechten hebben doen gelden, geen voldoening hebben gekregen, tenzij hun aanspraken om zekerheid te verkrijgen bij</w:t>
      </w:r>
      <w:r>
        <w:rPr>
          <w:color w:val="231F20"/>
          <w:spacing w:val="19"/>
        </w:rPr>
        <w:t> </w:t>
      </w:r>
      <w:r>
        <w:rPr>
          <w:color w:val="231F20"/>
        </w:rPr>
        <w:t>een uitvoerbare rechterlijke beslissing zijn</w:t>
      </w:r>
      <w:r>
        <w:rPr>
          <w:color w:val="231F20"/>
          <w:spacing w:val="21"/>
        </w:rPr>
        <w:t> </w:t>
      </w:r>
      <w:r>
        <w:rPr>
          <w:color w:val="231F20"/>
        </w:rPr>
        <w:t>afgewezen.</w:t>
      </w:r>
    </w:p>
    <w:p>
      <w:pPr>
        <w:pStyle w:val="BodyText"/>
        <w:spacing w:line="218" w:lineRule="auto" w:before="96"/>
      </w:pPr>
      <w:r>
        <w:rPr>
          <w:color w:val="231F20"/>
        </w:rPr>
        <w:t>Art. 14:80. De stichting kan pas worden uitgeschreven uit het Belgische rechtspersonenregister bij voorlegging van het bewijs van inschrijving in het relevante register van het land waarheen de stichting haar zetel verplaatst en van het attest van de notaris zoals bedoeld in artikel</w:t>
      </w:r>
      <w:r>
        <w:rPr>
          <w:color w:val="231F20"/>
          <w:spacing w:val="-9"/>
        </w:rPr>
        <w:t> </w:t>
      </w:r>
      <w:r>
        <w:rPr>
          <w:color w:val="231F20"/>
        </w:rPr>
        <w:t>14:79.</w:t>
      </w:r>
      <w:r>
        <w:rPr>
          <w:color w:val="231F20"/>
          <w:spacing w:val="-8"/>
        </w:rPr>
        <w:t> </w:t>
      </w:r>
      <w:r>
        <w:rPr>
          <w:color w:val="231F20"/>
        </w:rPr>
        <w:t>Het</w:t>
      </w:r>
      <w:r>
        <w:rPr>
          <w:color w:val="231F20"/>
          <w:spacing w:val="-9"/>
        </w:rPr>
        <w:t> </w:t>
      </w:r>
      <w:r>
        <w:rPr>
          <w:color w:val="231F20"/>
        </w:rPr>
        <w:t>Belgische</w:t>
      </w:r>
      <w:r>
        <w:rPr>
          <w:color w:val="231F20"/>
          <w:spacing w:val="-8"/>
        </w:rPr>
        <w:t> </w:t>
      </w:r>
      <w:r>
        <w:rPr>
          <w:color w:val="231F20"/>
        </w:rPr>
        <w:t>rechtspersonenregister</w:t>
      </w:r>
      <w:r>
        <w:rPr>
          <w:color w:val="231F20"/>
          <w:spacing w:val="-9"/>
        </w:rPr>
        <w:t> </w:t>
      </w:r>
      <w:r>
        <w:rPr>
          <w:color w:val="231F20"/>
        </w:rPr>
        <w:t>vermeldt</w:t>
      </w:r>
      <w:r>
        <w:rPr>
          <w:color w:val="231F20"/>
          <w:spacing w:val="-9"/>
        </w:rPr>
        <w:t> </w:t>
      </w:r>
      <w:r>
        <w:rPr>
          <w:color w:val="231F20"/>
        </w:rPr>
        <w:t>de</w:t>
      </w:r>
      <w:r>
        <w:rPr>
          <w:color w:val="231F20"/>
          <w:spacing w:val="-8"/>
        </w:rPr>
        <w:t> </w:t>
      </w:r>
      <w:r>
        <w:rPr>
          <w:color w:val="231F20"/>
        </w:rPr>
        <w:t>inschrij- ving</w:t>
      </w:r>
      <w:r>
        <w:rPr>
          <w:color w:val="231F20"/>
          <w:spacing w:val="15"/>
        </w:rPr>
        <w:t> </w:t>
      </w:r>
      <w:r>
        <w:rPr>
          <w:color w:val="231F20"/>
        </w:rPr>
        <w:t>van</w:t>
      </w:r>
      <w:r>
        <w:rPr>
          <w:color w:val="231F20"/>
          <w:spacing w:val="15"/>
        </w:rPr>
        <w:t> </w:t>
      </w:r>
      <w:r>
        <w:rPr>
          <w:color w:val="231F20"/>
        </w:rPr>
        <w:t>de</w:t>
      </w:r>
      <w:r>
        <w:rPr>
          <w:color w:val="231F20"/>
          <w:spacing w:val="15"/>
        </w:rPr>
        <w:t> </w:t>
      </w:r>
      <w:r>
        <w:rPr>
          <w:color w:val="231F20"/>
        </w:rPr>
        <w:t>stichting</w:t>
      </w:r>
      <w:r>
        <w:rPr>
          <w:color w:val="231F20"/>
          <w:spacing w:val="16"/>
        </w:rPr>
        <w:t> </w:t>
      </w:r>
      <w:r>
        <w:rPr>
          <w:color w:val="231F20"/>
        </w:rPr>
        <w:t>in</w:t>
      </w:r>
      <w:r>
        <w:rPr>
          <w:color w:val="231F20"/>
          <w:spacing w:val="15"/>
        </w:rPr>
        <w:t> </w:t>
      </w:r>
      <w:r>
        <w:rPr>
          <w:color w:val="231F20"/>
        </w:rPr>
        <w:t>het</w:t>
      </w:r>
      <w:r>
        <w:rPr>
          <w:color w:val="231F20"/>
          <w:spacing w:val="15"/>
        </w:rPr>
        <w:t> </w:t>
      </w:r>
      <w:r>
        <w:rPr>
          <w:color w:val="231F20"/>
        </w:rPr>
        <w:t>buitenlandse</w:t>
      </w:r>
      <w:r>
        <w:rPr>
          <w:color w:val="231F20"/>
          <w:spacing w:val="16"/>
        </w:rPr>
        <w:t> </w:t>
      </w:r>
      <w:r>
        <w:rPr>
          <w:color w:val="231F20"/>
        </w:rPr>
        <w:t>register.</w:t>
      </w:r>
    </w:p>
    <w:p>
      <w:pPr>
        <w:pStyle w:val="BodyText"/>
        <w:spacing w:line="218" w:lineRule="auto" w:before="97"/>
      </w:pPr>
      <w:r>
        <w:rPr>
          <w:color w:val="231F20"/>
        </w:rPr>
        <w:t>De grensoverschrijdende omzetting en de daarmee gepaard gaande statutenwijziging worden pas van kracht vanaf de doorhaling van de inschrijving in het Belgische rechtspersonenregister.</w:t>
      </w:r>
    </w:p>
    <w:p>
      <w:pPr>
        <w:pStyle w:val="BodyText"/>
        <w:spacing w:line="338" w:lineRule="auto" w:before="82"/>
        <w:ind w:left="283" w:right="0" w:firstLine="0"/>
        <w:jc w:val="left"/>
      </w:pPr>
      <w:r>
        <w:rPr>
          <w:color w:val="231F20"/>
        </w:rPr>
        <w:t>Deze doorhaling wordt overeenkomstig artikel 2:17 bekendgemaakt. Afdeling 3. Immigratie.</w:t>
      </w:r>
    </w:p>
    <w:p>
      <w:pPr>
        <w:pStyle w:val="BodyText"/>
        <w:spacing w:line="218" w:lineRule="auto" w:before="13"/>
      </w:pPr>
      <w:r>
        <w:rPr>
          <w:color w:val="231F20"/>
        </w:rPr>
        <w:t>Art. 14:81. De grensoverschrijdende omzetting van een buitenlandse rechtspersoon naar een stichting geregeld door dit wetboek, wordt in een authentieke akte vastgesteld, op voorlegging van stukken door de zich omzettende rechtspersoon waaruit blijkt dat deze de desbetref- fende toepasselijke buitenlandse voorschriften heeft nageleefd.</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576" from="298.170502pt,64.473pt" to="298.170502pt,812.819pt" stroked="true" strokeweight=".533pt" strokecolor="#231f20">
            <v:stroke dashstyle="solid"/>
            <w10:wrap type="none"/>
          </v:line>
        </w:pict>
      </w:r>
      <w:bookmarkStart w:name="_bookmark273" w:id="279"/>
      <w:bookmarkEnd w:id="279"/>
      <w:r>
        <w:rPr/>
      </w:r>
      <w:r>
        <w:rPr>
          <w:color w:val="231F20"/>
        </w:rPr>
        <w:t>Cet acte est déposé et publié en entier; les statuts sont déposés et publiés conformément aux articles 2:11 et 2:17.</w:t>
      </w:r>
    </w:p>
    <w:p>
      <w:pPr>
        <w:pStyle w:val="BodyText"/>
        <w:spacing w:before="10"/>
        <w:ind w:left="0" w:right="0" w:firstLine="0"/>
        <w:jc w:val="left"/>
        <w:rPr>
          <w:sz w:val="24"/>
        </w:rPr>
      </w:pPr>
    </w:p>
    <w:p>
      <w:pPr>
        <w:pStyle w:val="BodyText"/>
        <w:spacing w:line="218" w:lineRule="auto"/>
        <w:ind w:right="38"/>
      </w:pPr>
      <w:r>
        <w:rPr>
          <w:color w:val="231F20"/>
        </w:rPr>
        <w:t>Art. 14:82. La transformation transfrontalière et la modification statutaire qui en résulte prennent </w:t>
      </w:r>
      <w:r>
        <w:rPr>
          <w:color w:val="231F20"/>
          <w:spacing w:val="-3"/>
        </w:rPr>
        <w:t>effet </w:t>
      </w:r>
      <w:r>
        <w:rPr>
          <w:color w:val="231F20"/>
        </w:rPr>
        <w:t>à dater de l’immatriculation de la fondation dans le registre belge des personnes morales, laquelle ne peut se faire dans le cas d’une transformation en fondation d’utilité publique qu’après l’approbation du</w:t>
      </w:r>
      <w:r>
        <w:rPr>
          <w:color w:val="231F20"/>
          <w:spacing w:val="22"/>
        </w:rPr>
        <w:t> </w:t>
      </w:r>
      <w:r>
        <w:rPr>
          <w:color w:val="231F20"/>
        </w:rPr>
        <w:t>Roi.</w:t>
      </w:r>
    </w:p>
    <w:p>
      <w:pPr>
        <w:pStyle w:val="BodyText"/>
        <w:spacing w:line="218" w:lineRule="auto" w:before="107"/>
        <w:ind w:right="38"/>
      </w:pPr>
      <w:r>
        <w:rPr>
          <w:color w:val="231F20"/>
        </w:rPr>
        <w:t>Art. 14:83. La personne morale qui se transforme dépose à la Banque nationale de Belgique, par le biais de son organe d’administration, un état résumant sa situation active et passive qui reflète sa situation patrimoniale au moment de la transformation.</w:t>
      </w:r>
    </w:p>
    <w:p>
      <w:pPr>
        <w:pStyle w:val="BodyText"/>
        <w:spacing w:line="218" w:lineRule="auto" w:before="107"/>
        <w:ind w:right="38"/>
      </w:pPr>
      <w:r>
        <w:rPr>
          <w:color w:val="231F20"/>
        </w:rPr>
        <w:t>Ce dépôt a lieu dans les trente jours qui suivent la réception de l’acte authentique de transformation.</w:t>
      </w:r>
    </w:p>
    <w:p>
      <w:pPr>
        <w:pStyle w:val="BodyText"/>
        <w:spacing w:line="218" w:lineRule="auto" w:before="107"/>
        <w:ind w:right="38"/>
      </w:pPr>
      <w:r>
        <w:rPr>
          <w:color w:val="231F20"/>
        </w:rPr>
        <w:t>Si l’état résumant la situation active et passive n’a pas été déposé conformément aux dispositions de l’alinéa 2, le dommage subi par les tiers est, sauf preuve contraire, présumé résulter de cette omission.</w:t>
      </w:r>
    </w:p>
    <w:p>
      <w:pPr>
        <w:pStyle w:val="BodyText"/>
        <w:spacing w:line="218" w:lineRule="auto" w:before="106"/>
        <w:ind w:right="38"/>
      </w:pPr>
      <w:r>
        <w:rPr>
          <w:color w:val="231F20"/>
        </w:rPr>
        <w:t>Le Roi peut déterminer le modèle de l’état résumant la situation active et passive.</w:t>
      </w:r>
    </w:p>
    <w:p>
      <w:pPr>
        <w:pStyle w:val="BodyText"/>
        <w:spacing w:line="350" w:lineRule="auto" w:before="93"/>
        <w:ind w:left="283" w:right="1760" w:hanging="1"/>
        <w:jc w:val="left"/>
      </w:pPr>
      <w:r>
        <w:rPr>
          <w:color w:val="231F20"/>
          <w:spacing w:val="-4"/>
        </w:rPr>
        <w:t>PARTIE </w:t>
      </w:r>
      <w:r>
        <w:rPr>
          <w:color w:val="231F20"/>
        </w:rPr>
        <w:t>5. Les formes légales européennes. LIVRE 15. La société</w:t>
      </w:r>
      <w:r>
        <w:rPr>
          <w:color w:val="231F20"/>
          <w:spacing w:val="16"/>
        </w:rPr>
        <w:t> </w:t>
      </w:r>
      <w:r>
        <w:rPr>
          <w:color w:val="231F20"/>
        </w:rPr>
        <w:t>européenne.</w:t>
      </w:r>
    </w:p>
    <w:p>
      <w:pPr>
        <w:pStyle w:val="BodyText"/>
        <w:spacing w:line="194" w:lineRule="exact"/>
        <w:ind w:left="283" w:right="0" w:firstLine="0"/>
        <w:jc w:val="left"/>
      </w:pPr>
      <w:r>
        <w:rPr>
          <w:color w:val="231F20"/>
        </w:rPr>
        <w:t>TITRE 1</w:t>
      </w:r>
      <w:r>
        <w:rPr>
          <w:color w:val="231F20"/>
          <w:position w:val="7"/>
          <w:sz w:val="11"/>
        </w:rPr>
        <w:t>er</w:t>
      </w:r>
      <w:r>
        <w:rPr>
          <w:color w:val="231F20"/>
        </w:rPr>
        <w:t>. Dispositions </w:t>
      </w:r>
      <w:r>
        <w:rPr>
          <w:color w:val="231F20"/>
          <w:spacing w:val="8"/>
        </w:rPr>
        <w:t> </w:t>
      </w:r>
      <w:r>
        <w:rPr>
          <w:color w:val="231F20"/>
        </w:rPr>
        <w:t>générales.</w:t>
      </w:r>
    </w:p>
    <w:p>
      <w:pPr>
        <w:pStyle w:val="BodyText"/>
        <w:spacing w:before="74"/>
        <w:ind w:left="283" w:right="0" w:firstLine="0"/>
        <w:jc w:val="left"/>
      </w:pPr>
      <w:r>
        <w:rPr>
          <w:color w:val="231F20"/>
        </w:rPr>
        <w:t>CHAPITRE 1</w:t>
      </w:r>
      <w:r>
        <w:rPr>
          <w:color w:val="231F20"/>
          <w:position w:val="7"/>
          <w:sz w:val="11"/>
        </w:rPr>
        <w:t>er</w:t>
      </w:r>
      <w:r>
        <w:rPr>
          <w:color w:val="231F20"/>
        </w:rPr>
        <w:t>. Définitions et droit applicable.</w:t>
      </w:r>
    </w:p>
    <w:p>
      <w:pPr>
        <w:pStyle w:val="BodyText"/>
        <w:spacing w:line="218" w:lineRule="auto" w:before="103"/>
        <w:ind w:right="38"/>
      </w:pPr>
      <w:r>
        <w:rPr>
          <w:color w:val="231F20"/>
        </w:rPr>
        <w:t>Art. 15:1. Pour l’application du présent livre, l’on entend par “règlement (CE) n° 2157/2001”: le règlement (CE) n° 2157/2001 du Conseil du 8 octobre 2001 relatif au statut de la société européenne.</w:t>
      </w:r>
    </w:p>
    <w:p>
      <w:pPr>
        <w:pStyle w:val="BodyText"/>
        <w:spacing w:before="10"/>
        <w:ind w:left="0" w:right="0" w:firstLine="0"/>
        <w:jc w:val="left"/>
        <w:rPr>
          <w:sz w:val="24"/>
        </w:rPr>
      </w:pPr>
    </w:p>
    <w:p>
      <w:pPr>
        <w:pStyle w:val="BodyText"/>
        <w:spacing w:line="218" w:lineRule="auto"/>
        <w:ind w:right="38"/>
      </w:pPr>
      <w:r>
        <w:rPr>
          <w:color w:val="231F20"/>
        </w:rPr>
        <w:t>Art. 15:2. La société européenne  est  régie  par  le  règlement  (CE)  n°</w:t>
      </w:r>
      <w:r>
        <w:rPr>
          <w:color w:val="231F20"/>
          <w:spacing w:val="14"/>
        </w:rPr>
        <w:t> </w:t>
      </w:r>
      <w:r>
        <w:rPr>
          <w:color w:val="231F20"/>
        </w:rPr>
        <w:t>2157/2001.</w:t>
      </w:r>
    </w:p>
    <w:p>
      <w:pPr>
        <w:pStyle w:val="BodyText"/>
        <w:spacing w:line="218" w:lineRule="auto" w:before="107"/>
        <w:ind w:right="38"/>
      </w:pPr>
      <w:r>
        <w:rPr>
          <w:color w:val="231F20"/>
        </w:rPr>
        <w:t>Pour les matières non réglées par le règlement (CE) n° 2157/2001, les dispositions du livre 7 sont applicables, sauf dans la mesure où il y est dérogé par le présent livre.</w:t>
      </w:r>
    </w:p>
    <w:p>
      <w:pPr>
        <w:pStyle w:val="BodyText"/>
        <w:spacing w:before="93"/>
        <w:ind w:left="283" w:right="0" w:firstLine="0"/>
        <w:jc w:val="left"/>
      </w:pPr>
      <w:r>
        <w:rPr>
          <w:color w:val="231F20"/>
        </w:rPr>
        <w:t>CHAPITRE 2. Siège.</w:t>
      </w:r>
    </w:p>
    <w:p>
      <w:pPr>
        <w:pStyle w:val="BodyText"/>
        <w:spacing w:line="218" w:lineRule="auto" w:before="103"/>
        <w:ind w:right="38"/>
      </w:pPr>
      <w:r>
        <w:rPr>
          <w:color w:val="231F20"/>
        </w:rPr>
        <w:t>Art. 15:3. Lorsqu’il est constaté, conformément à l’article 64, § 4, du règlement (CE) n° 2157/2001, que seule l’administration centrale est située en Belgique, le ministère public en informe sans délai l’État membre où est situé le siège statutaire de la SE.</w:t>
      </w:r>
    </w:p>
    <w:p>
      <w:pPr>
        <w:pStyle w:val="BodyText"/>
        <w:spacing w:before="7"/>
        <w:ind w:left="0" w:right="0" w:firstLine="0"/>
        <w:jc w:val="left"/>
        <w:rPr>
          <w:sz w:val="23"/>
        </w:rPr>
      </w:pPr>
    </w:p>
    <w:p>
      <w:pPr>
        <w:pStyle w:val="BodyText"/>
        <w:spacing w:before="1"/>
        <w:ind w:left="283" w:right="0" w:firstLine="0"/>
        <w:jc w:val="left"/>
      </w:pPr>
      <w:r>
        <w:rPr>
          <w:color w:val="231F20"/>
        </w:rPr>
        <w:t>TITRE 2. Constitution.</w:t>
      </w:r>
    </w:p>
    <w:p>
      <w:pPr>
        <w:pStyle w:val="BodyText"/>
        <w:spacing w:line="345" w:lineRule="auto" w:before="74"/>
        <w:ind w:left="283" w:right="1360" w:firstLine="0"/>
        <w:jc w:val="left"/>
      </w:pPr>
      <w:r>
        <w:rPr>
          <w:color w:val="231F20"/>
        </w:rPr>
        <w:t>CHAPITRE 1</w:t>
      </w:r>
      <w:r>
        <w:rPr>
          <w:color w:val="231F20"/>
          <w:position w:val="7"/>
          <w:sz w:val="11"/>
        </w:rPr>
        <w:t>er</w:t>
      </w:r>
      <w:r>
        <w:rPr>
          <w:color w:val="231F20"/>
        </w:rPr>
        <w:t>. Constitution par voie de fusion. Section 1</w:t>
      </w:r>
      <w:r>
        <w:rPr>
          <w:color w:val="231F20"/>
          <w:position w:val="7"/>
          <w:sz w:val="11"/>
        </w:rPr>
        <w:t>re</w:t>
      </w:r>
      <w:r>
        <w:rPr>
          <w:color w:val="231F20"/>
        </w:rPr>
        <w:t>. Disposition introductive.</w:t>
      </w:r>
    </w:p>
    <w:p>
      <w:pPr>
        <w:pStyle w:val="BodyText"/>
        <w:spacing w:line="218" w:lineRule="auto" w:before="29"/>
        <w:ind w:right="38"/>
      </w:pPr>
      <w:r>
        <w:rPr>
          <w:color w:val="231F20"/>
        </w:rPr>
        <w:t>Art. 15:4. Une société ne peut participer à la constitution d’une SE</w:t>
      </w:r>
      <w:r>
        <w:rPr>
          <w:color w:val="231F20"/>
          <w:spacing w:val="-28"/>
        </w:rPr>
        <w:t> </w:t>
      </w:r>
      <w:r>
        <w:rPr>
          <w:color w:val="231F20"/>
        </w:rPr>
        <w:t>par voie de fusion si le ministre qui a l’Économie dans ses attributions s’y oppose, conformément à l’article 19 du règlement (CE) n° 2157/2001, par notification </w:t>
      </w:r>
      <w:r>
        <w:rPr>
          <w:color w:val="231F20"/>
          <w:spacing w:val="-3"/>
        </w:rPr>
        <w:t>officielle </w:t>
      </w:r>
      <w:r>
        <w:rPr>
          <w:color w:val="231F20"/>
        </w:rPr>
        <w:t>à la société concernée dans le mois de la publication des indications visées à l’article 21 du même règlement. La notification </w:t>
      </w:r>
      <w:r>
        <w:rPr>
          <w:color w:val="231F20"/>
          <w:spacing w:val="-3"/>
        </w:rPr>
        <w:t>officielle </w:t>
      </w:r>
      <w:r>
        <w:rPr>
          <w:color w:val="231F20"/>
        </w:rPr>
        <w:t>est publiée conformément à l’article 2:14,</w:t>
      </w:r>
      <w:r>
        <w:rPr>
          <w:color w:val="231F20"/>
          <w:spacing w:val="22"/>
        </w:rPr>
        <w:t> </w:t>
      </w:r>
      <w:r>
        <w:rPr>
          <w:color w:val="231F20"/>
        </w:rPr>
        <w:t>4°.</w:t>
      </w:r>
    </w:p>
    <w:p>
      <w:pPr>
        <w:pStyle w:val="BodyText"/>
        <w:spacing w:before="9"/>
        <w:ind w:left="0" w:right="0" w:firstLine="0"/>
        <w:jc w:val="left"/>
        <w:rPr>
          <w:sz w:val="25"/>
        </w:rPr>
      </w:pPr>
    </w:p>
    <w:p>
      <w:pPr>
        <w:pStyle w:val="BodyText"/>
        <w:spacing w:line="218" w:lineRule="auto"/>
        <w:ind w:right="38"/>
      </w:pPr>
      <w:r>
        <w:rPr>
          <w:color w:val="231F20"/>
        </w:rPr>
        <w:t>Le certificat visé à l’article 15:7 ne peut être délivré qu’après le retrait de l’opposition ou annulation de celle-ci par une décision non- susceptible de recours.</w:t>
      </w:r>
    </w:p>
    <w:p>
      <w:pPr>
        <w:pStyle w:val="BodyText"/>
        <w:spacing w:line="218" w:lineRule="auto" w:before="118"/>
        <w:ind w:right="38"/>
      </w:pPr>
      <w:r>
        <w:rPr>
          <w:color w:val="231F20"/>
        </w:rPr>
        <w:t>Le Roi détermine, par arrêté délibéré en Conseil des ministres, la procédure accélérée applicable au recours formé à l’encontre de l’opposition visée au présent article.</w:t>
      </w:r>
    </w:p>
    <w:p>
      <w:pPr>
        <w:pStyle w:val="BodyText"/>
        <w:spacing w:before="103"/>
        <w:ind w:left="283" w:right="0" w:firstLine="0"/>
        <w:jc w:val="left"/>
      </w:pPr>
      <w:r>
        <w:rPr>
          <w:color w:val="231F20"/>
        </w:rPr>
        <w:t>Section 2. Procédure.</w:t>
      </w:r>
    </w:p>
    <w:p>
      <w:pPr>
        <w:pStyle w:val="BodyText"/>
        <w:spacing w:line="218" w:lineRule="auto" w:before="114"/>
        <w:ind w:right="38"/>
      </w:pPr>
      <w:r>
        <w:rPr>
          <w:color w:val="231F20"/>
        </w:rPr>
        <w:t>Art. 15:5. Le projet de fusion est déposé conformément au présent code  et  les  indications  prévues  à  l’article  21  du  règlement  (CE)    n°</w:t>
      </w:r>
      <w:r>
        <w:rPr>
          <w:color w:val="231F20"/>
          <w:spacing w:val="13"/>
        </w:rPr>
        <w:t> </w:t>
      </w:r>
      <w:r>
        <w:rPr>
          <w:color w:val="231F20"/>
        </w:rPr>
        <w:t>2157/2001</w:t>
      </w:r>
      <w:r>
        <w:rPr>
          <w:color w:val="231F20"/>
          <w:spacing w:val="13"/>
        </w:rPr>
        <w:t> </w:t>
      </w:r>
      <w:r>
        <w:rPr>
          <w:color w:val="231F20"/>
        </w:rPr>
        <w:t>sont</w:t>
      </w:r>
      <w:r>
        <w:rPr>
          <w:color w:val="231F20"/>
          <w:spacing w:val="14"/>
        </w:rPr>
        <w:t> </w:t>
      </w:r>
      <w:r>
        <w:rPr>
          <w:color w:val="231F20"/>
        </w:rPr>
        <w:t>publiées</w:t>
      </w:r>
      <w:r>
        <w:rPr>
          <w:color w:val="231F20"/>
          <w:spacing w:val="13"/>
        </w:rPr>
        <w:t> </w:t>
      </w:r>
      <w:r>
        <w:rPr>
          <w:color w:val="231F20"/>
        </w:rPr>
        <w:t>conformément</w:t>
      </w:r>
      <w:r>
        <w:rPr>
          <w:color w:val="231F20"/>
          <w:spacing w:val="13"/>
        </w:rPr>
        <w:t> </w:t>
      </w:r>
      <w:r>
        <w:rPr>
          <w:color w:val="231F20"/>
        </w:rPr>
        <w:t>à</w:t>
      </w:r>
      <w:r>
        <w:rPr>
          <w:color w:val="231F20"/>
          <w:spacing w:val="14"/>
        </w:rPr>
        <w:t> </w:t>
      </w:r>
      <w:r>
        <w:rPr>
          <w:color w:val="231F20"/>
        </w:rPr>
        <w:t>l’article</w:t>
      </w:r>
      <w:r>
        <w:rPr>
          <w:color w:val="231F20"/>
          <w:spacing w:val="13"/>
        </w:rPr>
        <w:t> </w:t>
      </w:r>
      <w:r>
        <w:rPr>
          <w:color w:val="231F20"/>
        </w:rPr>
        <w:t>2:14,</w:t>
      </w:r>
      <w:r>
        <w:rPr>
          <w:color w:val="231F20"/>
          <w:spacing w:val="13"/>
        </w:rPr>
        <w:t> </w:t>
      </w:r>
      <w:r>
        <w:rPr>
          <w:color w:val="231F20"/>
        </w:rPr>
        <w:t>1°.</w:t>
      </w:r>
    </w:p>
    <w:p>
      <w:pPr>
        <w:pStyle w:val="BodyText"/>
        <w:spacing w:line="218" w:lineRule="auto" w:before="118"/>
        <w:ind w:right="38"/>
      </w:pPr>
      <w:r>
        <w:rPr>
          <w:color w:val="231F20"/>
        </w:rPr>
        <w:t>Art.  15:6.  L’autorité  prévue  à   l’article   22   du   règlement   (CE)  n° 2157/2001 est le président du tribunal de l’entreprise statuant conformément</w:t>
      </w:r>
      <w:r>
        <w:rPr>
          <w:color w:val="231F20"/>
          <w:spacing w:val="14"/>
        </w:rPr>
        <w:t> </w:t>
      </w:r>
      <w:r>
        <w:rPr>
          <w:color w:val="231F20"/>
        </w:rPr>
        <w:t>à</w:t>
      </w:r>
      <w:r>
        <w:rPr>
          <w:color w:val="231F20"/>
          <w:spacing w:val="14"/>
        </w:rPr>
        <w:t> </w:t>
      </w:r>
      <w:r>
        <w:rPr>
          <w:color w:val="231F20"/>
        </w:rPr>
        <w:t>l’article</w:t>
      </w:r>
      <w:r>
        <w:rPr>
          <w:color w:val="231F20"/>
          <w:spacing w:val="14"/>
        </w:rPr>
        <w:t> </w:t>
      </w:r>
      <w:r>
        <w:rPr>
          <w:color w:val="231F20"/>
        </w:rPr>
        <w:t>588,</w:t>
      </w:r>
      <w:r>
        <w:rPr>
          <w:color w:val="231F20"/>
          <w:spacing w:val="14"/>
        </w:rPr>
        <w:t> </w:t>
      </w:r>
      <w:r>
        <w:rPr>
          <w:color w:val="231F20"/>
        </w:rPr>
        <w:t>14°,</w:t>
      </w:r>
      <w:r>
        <w:rPr>
          <w:color w:val="231F20"/>
          <w:spacing w:val="14"/>
        </w:rPr>
        <w:t> </w:t>
      </w:r>
      <w:r>
        <w:rPr>
          <w:color w:val="231F20"/>
        </w:rPr>
        <w:t>du</w:t>
      </w:r>
      <w:r>
        <w:rPr>
          <w:color w:val="231F20"/>
          <w:spacing w:val="14"/>
        </w:rPr>
        <w:t> </w:t>
      </w:r>
      <w:r>
        <w:rPr>
          <w:color w:val="231F20"/>
        </w:rPr>
        <w:t>Code</w:t>
      </w:r>
      <w:r>
        <w:rPr>
          <w:color w:val="231F20"/>
          <w:spacing w:val="14"/>
        </w:rPr>
        <w:t> </w:t>
      </w:r>
      <w:r>
        <w:rPr>
          <w:color w:val="231F20"/>
        </w:rPr>
        <w:t>judiciaire.</w:t>
      </w:r>
    </w:p>
    <w:p>
      <w:pPr>
        <w:pStyle w:val="BodyText"/>
        <w:spacing w:before="6"/>
        <w:ind w:left="0" w:right="0" w:firstLine="0"/>
        <w:jc w:val="left"/>
        <w:rPr>
          <w:sz w:val="24"/>
        </w:rPr>
      </w:pPr>
    </w:p>
    <w:p>
      <w:pPr>
        <w:pStyle w:val="BodyText"/>
        <w:ind w:left="283" w:right="0" w:firstLine="0"/>
        <w:jc w:val="left"/>
      </w:pPr>
      <w:r>
        <w:rPr>
          <w:color w:val="231F20"/>
        </w:rPr>
        <w:t>Section 3. Contrôle de la légalité.</w:t>
      </w:r>
    </w:p>
    <w:p>
      <w:pPr>
        <w:pStyle w:val="BodyText"/>
        <w:spacing w:line="218" w:lineRule="auto" w:before="114"/>
        <w:ind w:right="38"/>
      </w:pPr>
      <w:r>
        <w:rPr>
          <w:color w:val="231F20"/>
        </w:rPr>
        <w:t>Art. 15:7. Le notaire instrumentant contrôle la légalité de la fusion conformément à l’article 12:31 ou l’article 12:44 selon le cas, et délivre</w:t>
      </w:r>
      <w:r>
        <w:rPr>
          <w:color w:val="231F20"/>
          <w:spacing w:val="-26"/>
        </w:rPr>
        <w:t> </w:t>
      </w:r>
      <w:r>
        <w:rPr>
          <w:color w:val="231F20"/>
        </w:rPr>
        <w:t>le certificat</w:t>
      </w:r>
      <w:r>
        <w:rPr>
          <w:color w:val="231F20"/>
          <w:spacing w:val="13"/>
        </w:rPr>
        <w:t> </w:t>
      </w:r>
      <w:r>
        <w:rPr>
          <w:color w:val="231F20"/>
        </w:rPr>
        <w:t>prévu</w:t>
      </w:r>
      <w:r>
        <w:rPr>
          <w:color w:val="231F20"/>
          <w:spacing w:val="14"/>
        </w:rPr>
        <w:t> </w:t>
      </w:r>
      <w:r>
        <w:rPr>
          <w:color w:val="231F20"/>
        </w:rPr>
        <w:t>à</w:t>
      </w:r>
      <w:r>
        <w:rPr>
          <w:color w:val="231F20"/>
          <w:spacing w:val="14"/>
        </w:rPr>
        <w:t> </w:t>
      </w:r>
      <w:r>
        <w:rPr>
          <w:color w:val="231F20"/>
        </w:rPr>
        <w:t>l’article</w:t>
      </w:r>
      <w:r>
        <w:rPr>
          <w:color w:val="231F20"/>
          <w:spacing w:val="13"/>
        </w:rPr>
        <w:t> </w:t>
      </w:r>
      <w:r>
        <w:rPr>
          <w:color w:val="231F20"/>
        </w:rPr>
        <w:t>25</w:t>
      </w:r>
      <w:r>
        <w:rPr>
          <w:color w:val="231F20"/>
          <w:spacing w:val="14"/>
        </w:rPr>
        <w:t> </w:t>
      </w:r>
      <w:r>
        <w:rPr>
          <w:color w:val="231F20"/>
        </w:rPr>
        <w:t>du</w:t>
      </w:r>
      <w:r>
        <w:rPr>
          <w:color w:val="231F20"/>
          <w:spacing w:val="14"/>
        </w:rPr>
        <w:t> </w:t>
      </w:r>
      <w:r>
        <w:rPr>
          <w:color w:val="231F20"/>
        </w:rPr>
        <w:t>règlement</w:t>
      </w:r>
      <w:r>
        <w:rPr>
          <w:color w:val="231F20"/>
          <w:spacing w:val="13"/>
        </w:rPr>
        <w:t> </w:t>
      </w:r>
      <w:r>
        <w:rPr>
          <w:color w:val="231F20"/>
        </w:rPr>
        <w:t>(CE)</w:t>
      </w:r>
      <w:r>
        <w:rPr>
          <w:color w:val="231F20"/>
          <w:spacing w:val="14"/>
        </w:rPr>
        <w:t> </w:t>
      </w:r>
      <w:r>
        <w:rPr>
          <w:color w:val="231F20"/>
        </w:rPr>
        <w:t>n°</w:t>
      </w:r>
      <w:r>
        <w:rPr>
          <w:color w:val="231F20"/>
          <w:spacing w:val="14"/>
        </w:rPr>
        <w:t> </w:t>
      </w:r>
      <w:r>
        <w:rPr>
          <w:color w:val="231F20"/>
        </w:rPr>
        <w:t>2157/2001.</w:t>
      </w:r>
    </w:p>
    <w:p>
      <w:pPr>
        <w:pStyle w:val="BodyText"/>
        <w:spacing w:before="10"/>
        <w:ind w:left="0" w:right="0" w:firstLine="0"/>
        <w:jc w:val="left"/>
        <w:rPr>
          <w:sz w:val="25"/>
        </w:rPr>
      </w:pPr>
    </w:p>
    <w:p>
      <w:pPr>
        <w:pStyle w:val="BodyText"/>
        <w:spacing w:line="218" w:lineRule="auto"/>
        <w:ind w:right="38"/>
      </w:pPr>
      <w:r>
        <w:rPr>
          <w:color w:val="231F20"/>
        </w:rPr>
        <w:t>Art. 15:8. Le notaire instrumentant contrôle la légalité de la fusion conformément à l’article 26 du règlement (CE) n° 2157/2001.</w:t>
      </w:r>
    </w:p>
    <w:p>
      <w:pPr>
        <w:pStyle w:val="BodyText"/>
        <w:spacing w:line="218" w:lineRule="auto" w:before="119"/>
      </w:pPr>
      <w:r>
        <w:rPr/>
        <w:br w:type="column"/>
      </w:r>
      <w:r>
        <w:rPr>
          <w:color w:val="231F20"/>
        </w:rPr>
        <w:t>Deze akte wordt neergelegd en in haar geheel bekendgemaakt; de statuten worden neergelegd en bekendgemaakt overeenkomstig de artikelen 2:11 en 2:17.</w:t>
      </w:r>
    </w:p>
    <w:p>
      <w:pPr>
        <w:pStyle w:val="BodyText"/>
        <w:spacing w:line="218" w:lineRule="auto" w:before="107"/>
        <w:ind w:right="123"/>
      </w:pPr>
      <w:r>
        <w:rPr>
          <w:color w:val="231F20"/>
        </w:rPr>
        <w:t>Art. 14:82. De grensoverschrijdende omzetting en de daarmee gepaard gaande statutenwijziging worden van kracht vanaf de inschrij- ving van de stichting in het Belgisch rechtspersonenregister, wat in het geval van een omzetting in stichting van openbaar nut slechts mogelijk is na goedkeuring door de Koning.</w:t>
      </w:r>
    </w:p>
    <w:p>
      <w:pPr>
        <w:pStyle w:val="BodyText"/>
        <w:spacing w:line="218" w:lineRule="auto" w:before="107"/>
      </w:pPr>
      <w:r>
        <w:rPr>
          <w:color w:val="231F20"/>
        </w:rPr>
        <w:t>Art. 14:83. De zich omzettende rechtspersoon legt door toedoen van haar bestuursorgaan een staat van activa en passiva neer bij de Nationale Bank van België die haar vermogenstoestand weergeeft op het ogenblik van de</w:t>
      </w:r>
      <w:r>
        <w:rPr>
          <w:color w:val="231F20"/>
          <w:spacing w:val="21"/>
        </w:rPr>
        <w:t> </w:t>
      </w:r>
      <w:r>
        <w:rPr>
          <w:color w:val="231F20"/>
        </w:rPr>
        <w:t>omzetting.</w:t>
      </w:r>
    </w:p>
    <w:p>
      <w:pPr>
        <w:pStyle w:val="BodyText"/>
        <w:spacing w:line="218" w:lineRule="auto" w:before="107"/>
      </w:pPr>
      <w:r>
        <w:rPr>
          <w:color w:val="231F20"/>
        </w:rPr>
        <w:t>Deze neerlegging gebeurt binnen dertig dagen nadat de authentieke omzettingsakte is verleden.</w:t>
      </w:r>
    </w:p>
    <w:p>
      <w:pPr>
        <w:pStyle w:val="BodyText"/>
        <w:spacing w:line="218" w:lineRule="auto" w:before="107"/>
      </w:pPr>
      <w:r>
        <w:rPr>
          <w:color w:val="231F20"/>
        </w:rPr>
        <w:t>Indien de staat van actief en passief niet werd neergelegd zoals bepaald in het tweede lid, wordt de door derden geleden schade, behoudens tegenbewijs, geacht voort te vloeien uit dit verzuim.</w:t>
      </w:r>
    </w:p>
    <w:p>
      <w:pPr>
        <w:pStyle w:val="BodyText"/>
        <w:spacing w:line="218" w:lineRule="auto" w:before="107"/>
      </w:pPr>
      <w:r>
        <w:rPr>
          <w:color w:val="231F20"/>
        </w:rPr>
        <w:t>De Koning kan het model van de staat van activa en passiva vaststellen.</w:t>
      </w:r>
    </w:p>
    <w:p>
      <w:pPr>
        <w:pStyle w:val="BodyText"/>
        <w:spacing w:line="350" w:lineRule="auto" w:before="93"/>
        <w:ind w:left="283" w:right="2162" w:firstLine="0"/>
        <w:jc w:val="left"/>
      </w:pPr>
      <w:r>
        <w:rPr>
          <w:color w:val="231F20"/>
        </w:rPr>
        <w:t>DEEL 5. De Europese rechtsvormen. BOEK 15. De Europese vennootschap. TITEL 1. Algemene bepalingen.</w:t>
      </w:r>
    </w:p>
    <w:p>
      <w:pPr>
        <w:pStyle w:val="BodyText"/>
        <w:spacing w:before="1"/>
        <w:ind w:left="283" w:right="0" w:firstLine="0"/>
        <w:jc w:val="left"/>
      </w:pPr>
      <w:r>
        <w:rPr>
          <w:color w:val="231F20"/>
        </w:rPr>
        <w:t>HOOFDSTUK 1. Definities en toepasselijk recht.</w:t>
      </w:r>
    </w:p>
    <w:p>
      <w:pPr>
        <w:pStyle w:val="BodyText"/>
        <w:spacing w:line="218" w:lineRule="auto" w:before="103"/>
      </w:pPr>
      <w:r>
        <w:rPr>
          <w:color w:val="231F20"/>
        </w:rPr>
        <w:t>Art. 15:1. Voor de toepassing van dit boek wordt verstaan onder “verordening (EG) nr. 2157/2001”: verordening (EG) nr. 2157/2001 van de Raad van 8 oktober 2001 betreffende het statuut van de Europese vennootschap.</w:t>
      </w:r>
    </w:p>
    <w:p>
      <w:pPr>
        <w:pStyle w:val="BodyText"/>
        <w:spacing w:line="218" w:lineRule="auto" w:before="107"/>
      </w:pPr>
      <w:r>
        <w:rPr>
          <w:color w:val="231F20"/>
        </w:rPr>
        <w:t>Art. 15:2. De Europese vennootschap wordt beheerst door verorde- ning (EG) nr. 2157/2001.</w:t>
      </w:r>
    </w:p>
    <w:p>
      <w:pPr>
        <w:pStyle w:val="BodyText"/>
        <w:spacing w:line="218" w:lineRule="auto" w:before="107"/>
      </w:pPr>
      <w:r>
        <w:rPr>
          <w:color w:val="231F20"/>
        </w:rPr>
        <w:t>Voor  </w:t>
      </w:r>
      <w:r>
        <w:rPr>
          <w:color w:val="231F20"/>
          <w:spacing w:val="4"/>
        </w:rPr>
        <w:t>de  </w:t>
      </w:r>
      <w:r>
        <w:rPr>
          <w:color w:val="231F20"/>
          <w:spacing w:val="7"/>
        </w:rPr>
        <w:t>aangelegenheden   </w:t>
      </w:r>
      <w:r>
        <w:rPr>
          <w:color w:val="231F20"/>
          <w:spacing w:val="5"/>
        </w:rPr>
        <w:t>die   </w:t>
      </w:r>
      <w:r>
        <w:rPr>
          <w:color w:val="231F20"/>
          <w:spacing w:val="6"/>
        </w:rPr>
        <w:t>niet   </w:t>
      </w:r>
      <w:r>
        <w:rPr>
          <w:color w:val="231F20"/>
          <w:spacing w:val="5"/>
        </w:rPr>
        <w:t>bij   </w:t>
      </w:r>
      <w:r>
        <w:rPr>
          <w:color w:val="231F20"/>
          <w:spacing w:val="6"/>
        </w:rPr>
        <w:t>verordening   </w:t>
      </w:r>
      <w:r>
        <w:rPr>
          <w:color w:val="231F20"/>
          <w:spacing w:val="8"/>
        </w:rPr>
        <w:t>(EG) </w:t>
      </w:r>
      <w:r>
        <w:rPr>
          <w:color w:val="231F20"/>
          <w:spacing w:val="-5"/>
        </w:rPr>
        <w:t>nr. </w:t>
      </w:r>
      <w:r>
        <w:rPr>
          <w:color w:val="231F20"/>
        </w:rPr>
        <w:t>2157/2001 zijn geregeld, zijn de bepalingen van boek 7 van toepassing,</w:t>
      </w:r>
      <w:r>
        <w:rPr>
          <w:color w:val="231F20"/>
          <w:spacing w:val="18"/>
        </w:rPr>
        <w:t> </w:t>
      </w:r>
      <w:r>
        <w:rPr>
          <w:color w:val="231F20"/>
        </w:rPr>
        <w:t>tenzij</w:t>
      </w:r>
      <w:r>
        <w:rPr>
          <w:color w:val="231F20"/>
          <w:spacing w:val="19"/>
        </w:rPr>
        <w:t> </w:t>
      </w:r>
      <w:r>
        <w:rPr>
          <w:color w:val="231F20"/>
        </w:rPr>
        <w:t>in</w:t>
      </w:r>
      <w:r>
        <w:rPr>
          <w:color w:val="231F20"/>
          <w:spacing w:val="19"/>
        </w:rPr>
        <w:t> </w:t>
      </w:r>
      <w:r>
        <w:rPr>
          <w:color w:val="231F20"/>
        </w:rPr>
        <w:t>zoverre</w:t>
      </w:r>
      <w:r>
        <w:rPr>
          <w:color w:val="231F20"/>
          <w:spacing w:val="19"/>
        </w:rPr>
        <w:t> </w:t>
      </w:r>
      <w:r>
        <w:rPr>
          <w:color w:val="231F20"/>
        </w:rPr>
        <w:t>er</w:t>
      </w:r>
      <w:r>
        <w:rPr>
          <w:color w:val="231F20"/>
          <w:spacing w:val="19"/>
        </w:rPr>
        <w:t> </w:t>
      </w:r>
      <w:r>
        <w:rPr>
          <w:color w:val="231F20"/>
        </w:rPr>
        <w:t>in</w:t>
      </w:r>
      <w:r>
        <w:rPr>
          <w:color w:val="231F20"/>
          <w:spacing w:val="19"/>
        </w:rPr>
        <w:t> </w:t>
      </w:r>
      <w:r>
        <w:rPr>
          <w:color w:val="231F20"/>
        </w:rPr>
        <w:t>dit</w:t>
      </w:r>
      <w:r>
        <w:rPr>
          <w:color w:val="231F20"/>
          <w:spacing w:val="19"/>
        </w:rPr>
        <w:t> </w:t>
      </w:r>
      <w:r>
        <w:rPr>
          <w:color w:val="231F20"/>
        </w:rPr>
        <w:t>boek</w:t>
      </w:r>
      <w:r>
        <w:rPr>
          <w:color w:val="231F20"/>
          <w:spacing w:val="19"/>
        </w:rPr>
        <w:t> </w:t>
      </w:r>
      <w:r>
        <w:rPr>
          <w:color w:val="231F20"/>
        </w:rPr>
        <w:t>van</w:t>
      </w:r>
      <w:r>
        <w:rPr>
          <w:color w:val="231F20"/>
          <w:spacing w:val="19"/>
        </w:rPr>
        <w:t> </w:t>
      </w:r>
      <w:r>
        <w:rPr>
          <w:color w:val="231F20"/>
        </w:rPr>
        <w:t>wordt</w:t>
      </w:r>
      <w:r>
        <w:rPr>
          <w:color w:val="231F20"/>
          <w:spacing w:val="19"/>
        </w:rPr>
        <w:t> </w:t>
      </w:r>
      <w:r>
        <w:rPr>
          <w:color w:val="231F20"/>
        </w:rPr>
        <w:t>afgeweken.</w:t>
      </w:r>
    </w:p>
    <w:p>
      <w:pPr>
        <w:pStyle w:val="BodyText"/>
        <w:spacing w:before="93"/>
        <w:ind w:left="283" w:right="0" w:firstLine="0"/>
        <w:jc w:val="left"/>
      </w:pPr>
      <w:r>
        <w:rPr>
          <w:color w:val="231F20"/>
        </w:rPr>
        <w:t>HOOFDSTUK 2. Zetel.</w:t>
      </w:r>
    </w:p>
    <w:p>
      <w:pPr>
        <w:pStyle w:val="BodyText"/>
        <w:spacing w:line="218" w:lineRule="auto" w:before="103"/>
      </w:pPr>
      <w:r>
        <w:rPr>
          <w:color w:val="231F20"/>
        </w:rPr>
        <w:t>Art. 15:3. Wanneer, overeenkomstig artikel 64, lid 4, van verordening (EG) nr. 2157/2001, wordt vastgesteld dat enkel het hoofdbestuur in België is gevestigd, brengt het openbaar ministerie onverwijld de lidstaat waar de statutaire zetel van de SE is gevestigd hiervan op de hoogte.</w:t>
      </w:r>
    </w:p>
    <w:p>
      <w:pPr>
        <w:pStyle w:val="BodyText"/>
        <w:spacing w:before="93"/>
        <w:ind w:left="283" w:right="0" w:firstLine="0"/>
        <w:jc w:val="left"/>
      </w:pPr>
      <w:r>
        <w:rPr>
          <w:color w:val="231F20"/>
        </w:rPr>
        <w:t>TITEL 2. Oprichting.</w:t>
      </w:r>
    </w:p>
    <w:p>
      <w:pPr>
        <w:pStyle w:val="BodyText"/>
        <w:spacing w:line="364" w:lineRule="auto" w:before="89"/>
        <w:ind w:left="283" w:right="2162" w:firstLine="0"/>
        <w:jc w:val="left"/>
      </w:pPr>
      <w:r>
        <w:rPr>
          <w:color w:val="231F20"/>
          <w:w w:val="105"/>
        </w:rPr>
        <w:t>HOOFDSTUK 1. Oprichting via fusie. Afdeling 1. Inleidende bepaling.</w:t>
      </w:r>
    </w:p>
    <w:p>
      <w:pPr>
        <w:pStyle w:val="BodyText"/>
        <w:spacing w:line="218" w:lineRule="auto" w:before="14"/>
        <w:ind w:right="117"/>
      </w:pPr>
      <w:r>
        <w:rPr>
          <w:color w:val="231F20"/>
        </w:rPr>
        <w:t>Art. 15:4. Een vennootschap mag niet deelnemen aan de oprichting van een SE via fusie wanneer de minister bevoegd voor Economie zich </w:t>
      </w:r>
      <w:r>
        <w:rPr>
          <w:color w:val="231F20"/>
          <w:spacing w:val="6"/>
        </w:rPr>
        <w:t>daartegen  overeenkomstig  artikel   </w:t>
      </w:r>
      <w:r>
        <w:rPr>
          <w:color w:val="231F20"/>
          <w:spacing w:val="3"/>
        </w:rPr>
        <w:t>19   </w:t>
      </w:r>
      <w:r>
        <w:rPr>
          <w:color w:val="231F20"/>
          <w:spacing w:val="4"/>
        </w:rPr>
        <w:t>van   </w:t>
      </w:r>
      <w:r>
        <w:rPr>
          <w:color w:val="231F20"/>
          <w:spacing w:val="5"/>
        </w:rPr>
        <w:t>verordening   </w:t>
      </w:r>
      <w:r>
        <w:rPr>
          <w:color w:val="231F20"/>
          <w:spacing w:val="7"/>
        </w:rPr>
        <w:t>(EG) </w:t>
      </w:r>
      <w:r>
        <w:rPr>
          <w:color w:val="231F20"/>
          <w:spacing w:val="-5"/>
        </w:rPr>
        <w:t>nr. </w:t>
      </w:r>
      <w:r>
        <w:rPr>
          <w:color w:val="231F20"/>
        </w:rPr>
        <w:t>2157/2001 verzet, middels </w:t>
      </w:r>
      <w:r>
        <w:rPr>
          <w:color w:val="231F20"/>
          <w:spacing w:val="-3"/>
        </w:rPr>
        <w:t>officiële </w:t>
      </w:r>
      <w:r>
        <w:rPr>
          <w:color w:val="231F20"/>
        </w:rPr>
        <w:t>kennisgeving aan de betrokken vennootschap binnen de maand na de publicatie van de aanwijzingen beoogd in artikel 21 van dezelfde verordening. De </w:t>
      </w:r>
      <w:r>
        <w:rPr>
          <w:color w:val="231F20"/>
          <w:spacing w:val="-3"/>
        </w:rPr>
        <w:t>officiële </w:t>
      </w:r>
      <w:r>
        <w:rPr>
          <w:color w:val="231F20"/>
        </w:rPr>
        <w:t>kennisge- ving</w:t>
      </w:r>
      <w:r>
        <w:rPr>
          <w:color w:val="231F20"/>
          <w:spacing w:val="16"/>
        </w:rPr>
        <w:t> </w:t>
      </w:r>
      <w:r>
        <w:rPr>
          <w:color w:val="231F20"/>
        </w:rPr>
        <w:t>wordt</w:t>
      </w:r>
      <w:r>
        <w:rPr>
          <w:color w:val="231F20"/>
          <w:spacing w:val="16"/>
        </w:rPr>
        <w:t> </w:t>
      </w:r>
      <w:r>
        <w:rPr>
          <w:color w:val="231F20"/>
        </w:rPr>
        <w:t>bekendgemaakt</w:t>
      </w:r>
      <w:r>
        <w:rPr>
          <w:color w:val="231F20"/>
          <w:spacing w:val="16"/>
        </w:rPr>
        <w:t> </w:t>
      </w:r>
      <w:r>
        <w:rPr>
          <w:color w:val="231F20"/>
        </w:rPr>
        <w:t>in</w:t>
      </w:r>
      <w:r>
        <w:rPr>
          <w:color w:val="231F20"/>
          <w:spacing w:val="16"/>
        </w:rPr>
        <w:t> </w:t>
      </w:r>
      <w:r>
        <w:rPr>
          <w:color w:val="231F20"/>
        </w:rPr>
        <w:t>overeenstemming</w:t>
      </w:r>
      <w:r>
        <w:rPr>
          <w:color w:val="231F20"/>
          <w:spacing w:val="17"/>
        </w:rPr>
        <w:t> </w:t>
      </w:r>
      <w:r>
        <w:rPr>
          <w:color w:val="231F20"/>
        </w:rPr>
        <w:t>met</w:t>
      </w:r>
      <w:r>
        <w:rPr>
          <w:color w:val="231F20"/>
          <w:spacing w:val="16"/>
        </w:rPr>
        <w:t> </w:t>
      </w:r>
      <w:r>
        <w:rPr>
          <w:color w:val="231F20"/>
        </w:rPr>
        <w:t>artikel</w:t>
      </w:r>
      <w:r>
        <w:rPr>
          <w:color w:val="231F20"/>
          <w:spacing w:val="16"/>
        </w:rPr>
        <w:t> </w:t>
      </w:r>
      <w:r>
        <w:rPr>
          <w:color w:val="231F20"/>
        </w:rPr>
        <w:t>2:14,</w:t>
      </w:r>
      <w:r>
        <w:rPr>
          <w:color w:val="231F20"/>
          <w:spacing w:val="16"/>
        </w:rPr>
        <w:t> </w:t>
      </w:r>
      <w:r>
        <w:rPr>
          <w:color w:val="231F20"/>
        </w:rPr>
        <w:t>4°.</w:t>
      </w:r>
    </w:p>
    <w:p>
      <w:pPr>
        <w:pStyle w:val="BodyText"/>
        <w:spacing w:line="218" w:lineRule="auto" w:before="117"/>
      </w:pPr>
      <w:r>
        <w:rPr>
          <w:color w:val="231F20"/>
        </w:rPr>
        <w:t>Het attest bedoeld in artikel 15:7 kan pas worden afgeleverd nadat het verzet is ingetrokken of vernietigd door een beslissing die niet vatbaar is voor</w:t>
      </w:r>
      <w:r>
        <w:rPr>
          <w:color w:val="231F20"/>
          <w:spacing w:val="4"/>
        </w:rPr>
        <w:t> </w:t>
      </w:r>
      <w:r>
        <w:rPr>
          <w:color w:val="231F20"/>
        </w:rPr>
        <w:t>verhaal.</w:t>
      </w:r>
    </w:p>
    <w:p>
      <w:pPr>
        <w:pStyle w:val="BodyText"/>
        <w:spacing w:line="218" w:lineRule="auto" w:before="118"/>
      </w:pPr>
      <w:r>
        <w:rPr>
          <w:color w:val="231F20"/>
        </w:rPr>
        <w:t>De Koning bepaalt bij een in Ministerraad overlegd besluit de versnelde procedure die van toepassing is op het beroep tegen het verzet bepaald in dit</w:t>
      </w:r>
      <w:r>
        <w:rPr>
          <w:color w:val="231F20"/>
          <w:spacing w:val="20"/>
        </w:rPr>
        <w:t> </w:t>
      </w:r>
      <w:r>
        <w:rPr>
          <w:color w:val="231F20"/>
        </w:rPr>
        <w:t>artikel.</w:t>
      </w:r>
    </w:p>
    <w:p>
      <w:pPr>
        <w:pStyle w:val="BodyText"/>
        <w:spacing w:before="103"/>
        <w:ind w:left="283" w:right="0" w:firstLine="0"/>
        <w:jc w:val="left"/>
      </w:pPr>
      <w:r>
        <w:rPr>
          <w:color w:val="231F20"/>
        </w:rPr>
        <w:t>Afdeling 2. Procedure.</w:t>
      </w:r>
    </w:p>
    <w:p>
      <w:pPr>
        <w:pStyle w:val="BodyText"/>
        <w:spacing w:line="218" w:lineRule="auto" w:before="114"/>
      </w:pPr>
      <w:r>
        <w:rPr>
          <w:color w:val="231F20"/>
        </w:rPr>
        <w:t>Art. 15:5. Het fusievoorstel wordt overeenkomstig dit wetboek neergelegd en de gegevens bepaald in artikel 21 van verordening (EG) nr. 2157/2001 worden bekendgemaakt overeenkomstig artikel 2:14, 1°.</w:t>
      </w:r>
    </w:p>
    <w:p>
      <w:pPr>
        <w:pStyle w:val="BodyText"/>
        <w:spacing w:line="218" w:lineRule="auto" w:before="118"/>
      </w:pPr>
      <w:r>
        <w:rPr>
          <w:color w:val="231F20"/>
        </w:rPr>
        <w:t>Art. 15:6. De instantie bedoeld in artikel 22 van verordening (EG)   </w:t>
      </w:r>
      <w:r>
        <w:rPr>
          <w:color w:val="231F20"/>
          <w:spacing w:val="-5"/>
        </w:rPr>
        <w:t>nr. </w:t>
      </w:r>
      <w:r>
        <w:rPr>
          <w:color w:val="231F20"/>
        </w:rPr>
        <w:t>2157/2001 is de voorzitter van de ondernemingsrechtbank, die uitspraak doet overeenkomstig artikel 588, 14°, van het Gerechtelijk Wetboek.</w:t>
      </w:r>
    </w:p>
    <w:p>
      <w:pPr>
        <w:pStyle w:val="BodyText"/>
        <w:spacing w:before="103"/>
        <w:ind w:left="283" w:right="0" w:firstLine="0"/>
        <w:jc w:val="left"/>
      </w:pPr>
      <w:r>
        <w:rPr>
          <w:color w:val="231F20"/>
        </w:rPr>
        <w:t>Afdeling 3. Wettigheidscontrole.</w:t>
      </w:r>
    </w:p>
    <w:p>
      <w:pPr>
        <w:pStyle w:val="BodyText"/>
        <w:spacing w:line="218" w:lineRule="auto" w:before="114"/>
      </w:pPr>
      <w:r>
        <w:rPr>
          <w:color w:val="231F20"/>
        </w:rPr>
        <w:t>Art. 15:7. De instrumenterende notaris controleert de wettigheid van de fusie overeenkomstig artikel 12:31 of artikel 12:44 naargelang van het geval, en geeft het attest af voorgeschreven door artikel 25</w:t>
      </w:r>
      <w:r>
        <w:rPr>
          <w:color w:val="231F20"/>
          <w:spacing w:val="20"/>
        </w:rPr>
        <w:t> </w:t>
      </w:r>
      <w:r>
        <w:rPr>
          <w:color w:val="231F20"/>
        </w:rPr>
        <w:t>van verordening (EG) </w:t>
      </w:r>
      <w:r>
        <w:rPr>
          <w:color w:val="231F20"/>
          <w:spacing w:val="-5"/>
        </w:rPr>
        <w:t>nr.</w:t>
      </w:r>
      <w:r>
        <w:rPr>
          <w:color w:val="231F20"/>
          <w:spacing w:val="7"/>
        </w:rPr>
        <w:t> </w:t>
      </w:r>
      <w:r>
        <w:rPr>
          <w:color w:val="231F20"/>
        </w:rPr>
        <w:t>2157/2001.</w:t>
      </w:r>
    </w:p>
    <w:p>
      <w:pPr>
        <w:pStyle w:val="BodyText"/>
        <w:spacing w:line="218" w:lineRule="auto" w:before="118"/>
      </w:pPr>
      <w:r>
        <w:rPr>
          <w:color w:val="231F20"/>
        </w:rPr>
        <w:t>Art. 15:8. De instrumenterende notaris controleert de wettigheid van de fusie overeenkomstig artikel 26 van verordening (EG) </w:t>
      </w:r>
      <w:r>
        <w:rPr>
          <w:color w:val="231F20"/>
          <w:spacing w:val="-5"/>
        </w:rPr>
        <w:t>nr. </w:t>
      </w:r>
      <w:r>
        <w:rPr>
          <w:color w:val="231F20"/>
        </w:rPr>
        <w:t>2157/2001.</w:t>
      </w:r>
    </w:p>
    <w:p>
      <w:pPr>
        <w:spacing w:after="0" w:line="218" w:lineRule="auto"/>
        <w:sectPr>
          <w:headerReference w:type="even" r:id="rId117"/>
          <w:headerReference w:type="default" r:id="rId118"/>
          <w:pgSz w:w="11940" w:h="16880"/>
          <w:pgMar w:header="666" w:footer="0" w:top="1140" w:bottom="280" w:left="340" w:right="360"/>
          <w:pgNumType w:start="33512"/>
          <w:cols w:num="2" w:equalWidth="0">
            <w:col w:w="5527" w:space="101"/>
            <w:col w:w="5612"/>
          </w:cols>
        </w:sectPr>
      </w:pPr>
    </w:p>
    <w:p>
      <w:pPr>
        <w:pStyle w:val="BodyText"/>
        <w:spacing w:before="106"/>
        <w:ind w:left="283" w:right="0" w:firstLine="0"/>
        <w:jc w:val="left"/>
      </w:pPr>
      <w:r>
        <w:rPr/>
        <w:pict>
          <v:line style="position:absolute;mso-position-horizontal-relative:page;mso-position-vertical-relative:page;z-index:7600" from="298.170502pt,64.473pt" to="298.170502pt,812.819pt" stroked="true" strokeweight=".533pt" strokecolor="#231f20">
            <v:stroke dashstyle="solid"/>
            <w10:wrap type="none"/>
          </v:line>
        </w:pict>
      </w:r>
      <w:bookmarkStart w:name="_bookmark274" w:id="280"/>
      <w:bookmarkEnd w:id="280"/>
      <w:r>
        <w:rPr/>
      </w:r>
      <w:r>
        <w:rPr>
          <w:color w:val="231F20"/>
        </w:rPr>
        <w:t>Section 4. Immatriculation et publicité.</w:t>
      </w:r>
    </w:p>
    <w:p>
      <w:pPr>
        <w:pStyle w:val="BodyText"/>
        <w:spacing w:line="218" w:lineRule="auto" w:before="82"/>
        <w:ind w:right="38"/>
      </w:pPr>
      <w:r>
        <w:rPr>
          <w:color w:val="231F20"/>
        </w:rPr>
        <w:t>Art. 15:9. Après l’accomplissement des formalités de publicité requises dans chaque État membre et relatives à la décision de fusion dans chaque société concernée, le notaire instrumentant constate la réalisation de la fusion à la requête des sociétés qui fusionnent sur présentation des certificats et autres documents justificatifs de l’opéra- tion.</w:t>
      </w:r>
    </w:p>
    <w:p>
      <w:pPr>
        <w:pStyle w:val="BodyText"/>
        <w:spacing w:before="71"/>
        <w:ind w:left="283" w:right="0" w:firstLine="0"/>
        <w:jc w:val="left"/>
      </w:pPr>
      <w:r>
        <w:rPr>
          <w:color w:val="231F20"/>
        </w:rPr>
        <w:t>Cet</w:t>
      </w:r>
      <w:r>
        <w:rPr>
          <w:color w:val="231F20"/>
          <w:spacing w:val="-6"/>
        </w:rPr>
        <w:t> </w:t>
      </w:r>
      <w:r>
        <w:rPr>
          <w:color w:val="231F20"/>
        </w:rPr>
        <w:t>acte</w:t>
      </w:r>
      <w:r>
        <w:rPr>
          <w:color w:val="231F20"/>
          <w:spacing w:val="-6"/>
        </w:rPr>
        <w:t> </w:t>
      </w:r>
      <w:r>
        <w:rPr>
          <w:color w:val="231F20"/>
        </w:rPr>
        <w:t>est</w:t>
      </w:r>
      <w:r>
        <w:rPr>
          <w:color w:val="231F20"/>
          <w:spacing w:val="-6"/>
        </w:rPr>
        <w:t> </w:t>
      </w:r>
      <w:r>
        <w:rPr>
          <w:color w:val="231F20"/>
        </w:rPr>
        <w:t>déposé</w:t>
      </w:r>
      <w:r>
        <w:rPr>
          <w:color w:val="231F20"/>
          <w:spacing w:val="-6"/>
        </w:rPr>
        <w:t> </w:t>
      </w:r>
      <w:r>
        <w:rPr>
          <w:color w:val="231F20"/>
        </w:rPr>
        <w:t>et</w:t>
      </w:r>
      <w:r>
        <w:rPr>
          <w:color w:val="231F20"/>
          <w:spacing w:val="-5"/>
        </w:rPr>
        <w:t> </w:t>
      </w:r>
      <w:r>
        <w:rPr>
          <w:color w:val="231F20"/>
        </w:rPr>
        <w:t>publié</w:t>
      </w:r>
      <w:r>
        <w:rPr>
          <w:color w:val="231F20"/>
          <w:spacing w:val="-6"/>
        </w:rPr>
        <w:t> </w:t>
      </w:r>
      <w:r>
        <w:rPr>
          <w:color w:val="231F20"/>
        </w:rPr>
        <w:t>conformément</w:t>
      </w:r>
      <w:r>
        <w:rPr>
          <w:color w:val="231F20"/>
          <w:spacing w:val="-6"/>
        </w:rPr>
        <w:t> </w:t>
      </w:r>
      <w:r>
        <w:rPr>
          <w:color w:val="231F20"/>
        </w:rPr>
        <w:t>aux</w:t>
      </w:r>
      <w:r>
        <w:rPr>
          <w:color w:val="231F20"/>
          <w:spacing w:val="-6"/>
        </w:rPr>
        <w:t> </w:t>
      </w:r>
      <w:r>
        <w:rPr>
          <w:color w:val="231F20"/>
        </w:rPr>
        <w:t>articles</w:t>
      </w:r>
      <w:r>
        <w:rPr>
          <w:color w:val="231F20"/>
          <w:spacing w:val="-6"/>
        </w:rPr>
        <w:t> </w:t>
      </w:r>
      <w:r>
        <w:rPr>
          <w:color w:val="231F20"/>
        </w:rPr>
        <w:t>2:8</w:t>
      </w:r>
      <w:r>
        <w:rPr>
          <w:color w:val="231F20"/>
          <w:spacing w:val="-5"/>
        </w:rPr>
        <w:t> </w:t>
      </w:r>
      <w:r>
        <w:rPr>
          <w:color w:val="231F20"/>
        </w:rPr>
        <w:t>et</w:t>
      </w:r>
      <w:r>
        <w:rPr>
          <w:color w:val="231F20"/>
          <w:spacing w:val="-6"/>
        </w:rPr>
        <w:t> </w:t>
      </w:r>
      <w:r>
        <w:rPr>
          <w:color w:val="231F20"/>
        </w:rPr>
        <w:t>2:14,</w:t>
      </w:r>
      <w:r>
        <w:rPr>
          <w:color w:val="231F20"/>
          <w:spacing w:val="-6"/>
        </w:rPr>
        <w:t> </w:t>
      </w:r>
      <w:r>
        <w:rPr>
          <w:color w:val="231F20"/>
        </w:rPr>
        <w:t>1°.</w:t>
      </w:r>
    </w:p>
    <w:p>
      <w:pPr>
        <w:pStyle w:val="BodyText"/>
        <w:spacing w:before="5"/>
        <w:ind w:left="0" w:right="0" w:firstLine="0"/>
        <w:jc w:val="left"/>
        <w:rPr>
          <w:sz w:val="21"/>
        </w:rPr>
      </w:pPr>
    </w:p>
    <w:p>
      <w:pPr>
        <w:pStyle w:val="BodyText"/>
        <w:spacing w:before="1"/>
        <w:ind w:left="283" w:right="0" w:firstLine="0"/>
        <w:jc w:val="left"/>
      </w:pPr>
      <w:r>
        <w:rPr>
          <w:color w:val="231F20"/>
        </w:rPr>
        <w:t>CHAPITRE 2. Constitution par voie de holding.</w:t>
      </w:r>
    </w:p>
    <w:p>
      <w:pPr>
        <w:pStyle w:val="BodyText"/>
        <w:spacing w:line="218" w:lineRule="auto" w:before="82"/>
        <w:ind w:right="38"/>
      </w:pPr>
      <w:r>
        <w:rPr>
          <w:color w:val="231F20"/>
        </w:rPr>
        <w:t>Art. 15:10. Le projet de constitution de la SE est déposé et publié conformément aux articles 2:8 et 2:14, 1°.</w:t>
      </w:r>
    </w:p>
    <w:p>
      <w:pPr>
        <w:pStyle w:val="BodyText"/>
        <w:spacing w:line="218" w:lineRule="auto" w:before="85"/>
        <w:ind w:right="38"/>
      </w:pPr>
      <w:r>
        <w:rPr>
          <w:color w:val="231F20"/>
        </w:rPr>
        <w:t>Art. 15:11. Le ou les experts indépendants, visés à l’article 32, § 4, du règlement</w:t>
      </w:r>
      <w:r>
        <w:rPr>
          <w:color w:val="231F20"/>
          <w:spacing w:val="-4"/>
        </w:rPr>
        <w:t> </w:t>
      </w:r>
      <w:r>
        <w:rPr>
          <w:color w:val="231F20"/>
        </w:rPr>
        <w:t>(CE)</w:t>
      </w:r>
      <w:r>
        <w:rPr>
          <w:color w:val="231F20"/>
          <w:spacing w:val="-3"/>
        </w:rPr>
        <w:t> </w:t>
      </w:r>
      <w:r>
        <w:rPr>
          <w:color w:val="231F20"/>
        </w:rPr>
        <w:t>n°</w:t>
      </w:r>
      <w:r>
        <w:rPr>
          <w:color w:val="231F20"/>
          <w:spacing w:val="-3"/>
        </w:rPr>
        <w:t> </w:t>
      </w:r>
      <w:r>
        <w:rPr>
          <w:color w:val="231F20"/>
        </w:rPr>
        <w:t>2157/2001</w:t>
      </w:r>
      <w:r>
        <w:rPr>
          <w:color w:val="231F20"/>
          <w:spacing w:val="-4"/>
        </w:rPr>
        <w:t> </w:t>
      </w:r>
      <w:r>
        <w:rPr>
          <w:color w:val="231F20"/>
        </w:rPr>
        <w:t>sont</w:t>
      </w:r>
      <w:r>
        <w:rPr>
          <w:color w:val="231F20"/>
          <w:spacing w:val="-3"/>
        </w:rPr>
        <w:t> </w:t>
      </w:r>
      <w:r>
        <w:rPr>
          <w:color w:val="231F20"/>
        </w:rPr>
        <w:t>le</w:t>
      </w:r>
      <w:r>
        <w:rPr>
          <w:color w:val="231F20"/>
          <w:spacing w:val="-3"/>
        </w:rPr>
        <w:t> </w:t>
      </w:r>
      <w:r>
        <w:rPr>
          <w:color w:val="231F20"/>
        </w:rPr>
        <w:t>commissaire,</w:t>
      </w:r>
      <w:r>
        <w:rPr>
          <w:color w:val="231F20"/>
          <w:spacing w:val="-4"/>
        </w:rPr>
        <w:t> </w:t>
      </w:r>
      <w:r>
        <w:rPr>
          <w:color w:val="231F20"/>
        </w:rPr>
        <w:t>ou,</w:t>
      </w:r>
      <w:r>
        <w:rPr>
          <w:color w:val="231F20"/>
          <w:spacing w:val="-3"/>
        </w:rPr>
        <w:t> </w:t>
      </w:r>
      <w:r>
        <w:rPr>
          <w:color w:val="231F20"/>
        </w:rPr>
        <w:t>lorsqu’il</w:t>
      </w:r>
      <w:r>
        <w:rPr>
          <w:color w:val="231F20"/>
          <w:spacing w:val="-3"/>
        </w:rPr>
        <w:t> </w:t>
      </w:r>
      <w:r>
        <w:rPr>
          <w:color w:val="231F20"/>
        </w:rPr>
        <w:t>n’y</w:t>
      </w:r>
      <w:r>
        <w:rPr>
          <w:color w:val="231F20"/>
          <w:spacing w:val="-4"/>
        </w:rPr>
        <w:t> </w:t>
      </w:r>
      <w:r>
        <w:rPr>
          <w:color w:val="231F20"/>
        </w:rPr>
        <w:t>a</w:t>
      </w:r>
      <w:r>
        <w:rPr>
          <w:color w:val="231F20"/>
          <w:spacing w:val="-3"/>
        </w:rPr>
        <w:t> </w:t>
      </w:r>
      <w:r>
        <w:rPr>
          <w:color w:val="231F20"/>
        </w:rPr>
        <w:t>pas de commissaire, un réviseur d’entreprises ou un expert-comptable externe désigné par l’organe</w:t>
      </w:r>
      <w:r>
        <w:rPr>
          <w:color w:val="231F20"/>
          <w:spacing w:val="21"/>
        </w:rPr>
        <w:t> </w:t>
      </w:r>
      <w:r>
        <w:rPr>
          <w:color w:val="231F20"/>
        </w:rPr>
        <w:t>d’administration.</w:t>
      </w:r>
    </w:p>
    <w:p>
      <w:pPr>
        <w:pStyle w:val="BodyText"/>
        <w:spacing w:line="218" w:lineRule="auto" w:before="86"/>
        <w:ind w:right="38"/>
      </w:pPr>
      <w:r>
        <w:rPr>
          <w:color w:val="231F20"/>
        </w:rPr>
        <w:t>Art. 15:12. Chaque société de droit belge qui promeut l’opération dépose, conformément aux articles 2:8 et 2:14, 4°, un document constatant, pour ce qui la concerne, la réalisation des conditions requises pour la constitution de la SE.</w:t>
      </w:r>
    </w:p>
    <w:p>
      <w:pPr>
        <w:pStyle w:val="BodyText"/>
        <w:spacing w:line="216" w:lineRule="auto" w:before="87"/>
        <w:ind w:right="38"/>
      </w:pPr>
      <w:r>
        <w:rPr>
          <w:color w:val="231F20"/>
        </w:rPr>
        <w:t>Art. 15:13. L’acte constitutif de la SE-holding constate que dans le délai visé à l’article 33, § 1</w:t>
      </w:r>
      <w:r>
        <w:rPr>
          <w:color w:val="231F20"/>
          <w:position w:val="7"/>
          <w:sz w:val="11"/>
        </w:rPr>
        <w:t>er</w:t>
      </w:r>
      <w:r>
        <w:rPr>
          <w:color w:val="231F20"/>
        </w:rPr>
        <w:t>, du règlement (CE) n° 2157/2001 les actionnaires ou associés des sociétés qui promeuvent l’opération ont apporté le pourcentage minimal d’actions ou parts de chaque société fixé conformément au projet de constitution et que toutes les autres conditions sont remplies.</w:t>
      </w:r>
    </w:p>
    <w:p>
      <w:pPr>
        <w:pStyle w:val="BodyText"/>
        <w:spacing w:line="542" w:lineRule="auto" w:before="66"/>
        <w:ind w:left="283" w:right="-12" w:firstLine="0"/>
        <w:jc w:val="left"/>
      </w:pPr>
      <w:r>
        <w:rPr>
          <w:color w:val="231F20"/>
        </w:rPr>
        <w:t>Cette constatation est mentionnée dans l’extrait viséà l’article 2:8, § 2. CHAPITRE 3. Transformation d’une société anonyme en SE.</w:t>
      </w:r>
    </w:p>
    <w:p>
      <w:pPr>
        <w:pStyle w:val="BodyText"/>
        <w:spacing w:line="218" w:lineRule="auto" w:before="15"/>
        <w:ind w:right="38"/>
      </w:pPr>
      <w:r>
        <w:rPr>
          <w:color w:val="231F20"/>
        </w:rPr>
        <w:t>Art. 15:14. Le projet de transformation est déposé et publié confor- mément aux articles 2:8 et 2:14, 4°.</w:t>
      </w:r>
    </w:p>
    <w:p>
      <w:pPr>
        <w:pStyle w:val="BodyText"/>
        <w:spacing w:line="218" w:lineRule="auto" w:before="86"/>
        <w:ind w:right="38"/>
      </w:pPr>
      <w:r>
        <w:rPr>
          <w:color w:val="231F20"/>
        </w:rPr>
        <w:t>Art. 15:15. Le ou les experts indépendants, visés à l’article 37, § 6, du règlement</w:t>
      </w:r>
      <w:r>
        <w:rPr>
          <w:color w:val="231F20"/>
          <w:spacing w:val="-4"/>
        </w:rPr>
        <w:t> </w:t>
      </w:r>
      <w:r>
        <w:rPr>
          <w:color w:val="231F20"/>
        </w:rPr>
        <w:t>(CE)</w:t>
      </w:r>
      <w:r>
        <w:rPr>
          <w:color w:val="231F20"/>
          <w:spacing w:val="-3"/>
        </w:rPr>
        <w:t> </w:t>
      </w:r>
      <w:r>
        <w:rPr>
          <w:color w:val="231F20"/>
        </w:rPr>
        <w:t>n°</w:t>
      </w:r>
      <w:r>
        <w:rPr>
          <w:color w:val="231F20"/>
          <w:spacing w:val="-3"/>
        </w:rPr>
        <w:t> </w:t>
      </w:r>
      <w:r>
        <w:rPr>
          <w:color w:val="231F20"/>
        </w:rPr>
        <w:t>2157/2001</w:t>
      </w:r>
      <w:r>
        <w:rPr>
          <w:color w:val="231F20"/>
          <w:spacing w:val="-4"/>
        </w:rPr>
        <w:t> </w:t>
      </w:r>
      <w:r>
        <w:rPr>
          <w:color w:val="231F20"/>
        </w:rPr>
        <w:t>sont</w:t>
      </w:r>
      <w:r>
        <w:rPr>
          <w:color w:val="231F20"/>
          <w:spacing w:val="-3"/>
        </w:rPr>
        <w:t> </w:t>
      </w:r>
      <w:r>
        <w:rPr>
          <w:color w:val="231F20"/>
        </w:rPr>
        <w:t>le</w:t>
      </w:r>
      <w:r>
        <w:rPr>
          <w:color w:val="231F20"/>
          <w:spacing w:val="-3"/>
        </w:rPr>
        <w:t> </w:t>
      </w:r>
      <w:r>
        <w:rPr>
          <w:color w:val="231F20"/>
        </w:rPr>
        <w:t>commissaire,</w:t>
      </w:r>
      <w:r>
        <w:rPr>
          <w:color w:val="231F20"/>
          <w:spacing w:val="-4"/>
        </w:rPr>
        <w:t> </w:t>
      </w:r>
      <w:r>
        <w:rPr>
          <w:color w:val="231F20"/>
        </w:rPr>
        <w:t>ou,</w:t>
      </w:r>
      <w:r>
        <w:rPr>
          <w:color w:val="231F20"/>
          <w:spacing w:val="-3"/>
        </w:rPr>
        <w:t> </w:t>
      </w:r>
      <w:r>
        <w:rPr>
          <w:color w:val="231F20"/>
        </w:rPr>
        <w:t>lorsqu’il</w:t>
      </w:r>
      <w:r>
        <w:rPr>
          <w:color w:val="231F20"/>
          <w:spacing w:val="-3"/>
        </w:rPr>
        <w:t> </w:t>
      </w:r>
      <w:r>
        <w:rPr>
          <w:color w:val="231F20"/>
        </w:rPr>
        <w:t>n’y</w:t>
      </w:r>
      <w:r>
        <w:rPr>
          <w:color w:val="231F20"/>
          <w:spacing w:val="-4"/>
        </w:rPr>
        <w:t> </w:t>
      </w:r>
      <w:r>
        <w:rPr>
          <w:color w:val="231F20"/>
        </w:rPr>
        <w:t>a</w:t>
      </w:r>
      <w:r>
        <w:rPr>
          <w:color w:val="231F20"/>
          <w:spacing w:val="-3"/>
        </w:rPr>
        <w:t> </w:t>
      </w:r>
      <w:r>
        <w:rPr>
          <w:color w:val="231F20"/>
        </w:rPr>
        <w:t>pas de commissaire, un réviseur d’entreprises ou un expert-comptable externe désigné par l’organe</w:t>
      </w:r>
      <w:r>
        <w:rPr>
          <w:color w:val="231F20"/>
          <w:spacing w:val="21"/>
        </w:rPr>
        <w:t> </w:t>
      </w:r>
      <w:r>
        <w:rPr>
          <w:color w:val="231F20"/>
        </w:rPr>
        <w:t>d’administration.</w:t>
      </w:r>
    </w:p>
    <w:p>
      <w:pPr>
        <w:pStyle w:val="BodyText"/>
        <w:spacing w:line="218" w:lineRule="auto" w:before="85"/>
        <w:ind w:right="38"/>
      </w:pPr>
      <w:r>
        <w:rPr>
          <w:color w:val="231F20"/>
        </w:rPr>
        <w:t>CHAPITRE 4. Participation à une SE par une société ayant son administration centrale en dehors de l’Union européenne.</w:t>
      </w:r>
    </w:p>
    <w:p>
      <w:pPr>
        <w:pStyle w:val="BodyText"/>
        <w:spacing w:line="218" w:lineRule="auto" w:before="86"/>
        <w:ind w:right="38"/>
      </w:pPr>
      <w:r>
        <w:rPr>
          <w:color w:val="231F20"/>
        </w:rPr>
        <w:t>Art. 15:16. Une société n’ayant pas son administration centrale dans l’Union européenne peut participer à la constitution d’une SE, si elle est constituée selon le droit d’un État membre, a son siège statutaire dans ce même État membre et a un lien effectif et continu avec l’économie d’un État membre.</w:t>
      </w:r>
    </w:p>
    <w:p>
      <w:pPr>
        <w:pStyle w:val="BodyText"/>
        <w:spacing w:line="319" w:lineRule="auto" w:before="72"/>
        <w:ind w:left="283" w:right="2417" w:firstLine="0"/>
        <w:jc w:val="left"/>
      </w:pPr>
      <w:r>
        <w:rPr>
          <w:color w:val="231F20"/>
        </w:rPr>
        <w:t>TITRE 3.  Administration. CHAPITRE 1</w:t>
      </w:r>
      <w:r>
        <w:rPr>
          <w:color w:val="231F20"/>
          <w:position w:val="7"/>
          <w:sz w:val="11"/>
        </w:rPr>
        <w:t>er</w:t>
      </w:r>
      <w:r>
        <w:rPr>
          <w:color w:val="231F20"/>
        </w:rPr>
        <w:t>. Disposition</w:t>
      </w:r>
      <w:r>
        <w:rPr>
          <w:color w:val="231F20"/>
          <w:spacing w:val="1"/>
        </w:rPr>
        <w:t> </w:t>
      </w:r>
      <w:r>
        <w:rPr>
          <w:color w:val="231F20"/>
        </w:rPr>
        <w:t>générale.</w:t>
      </w:r>
    </w:p>
    <w:p>
      <w:pPr>
        <w:pStyle w:val="BodyText"/>
        <w:spacing w:line="218" w:lineRule="auto" w:before="28"/>
        <w:ind w:right="38"/>
      </w:pPr>
      <w:r>
        <w:rPr>
          <w:color w:val="231F20"/>
        </w:rPr>
        <w:t>Art. 15:17. Une société européenne a le choix entre une administra- tion moniste ou une administration duale. Elle inscrit le choix effectué dans ses statuts.</w:t>
      </w:r>
    </w:p>
    <w:p>
      <w:pPr>
        <w:pStyle w:val="BodyText"/>
        <w:spacing w:before="82"/>
        <w:ind w:left="283" w:right="0" w:firstLine="0"/>
        <w:jc w:val="left"/>
      </w:pPr>
      <w:r>
        <w:rPr>
          <w:color w:val="231F20"/>
        </w:rPr>
        <w:t>CHAPITRE 2. Administration moniste.</w:t>
      </w:r>
    </w:p>
    <w:p>
      <w:pPr>
        <w:pStyle w:val="BodyText"/>
        <w:spacing w:line="218" w:lineRule="auto" w:before="93"/>
        <w:ind w:right="38"/>
      </w:pPr>
      <w:r>
        <w:rPr>
          <w:color w:val="231F20"/>
        </w:rPr>
        <w:t>Art. 15:18. Le conseil d’administration peut déléguer la gestion journalière à un ou plusieurs de ses membres  conformément  à  l’article</w:t>
      </w:r>
      <w:r>
        <w:rPr>
          <w:color w:val="231F20"/>
          <w:spacing w:val="15"/>
        </w:rPr>
        <w:t> </w:t>
      </w:r>
      <w:r>
        <w:rPr>
          <w:color w:val="231F20"/>
        </w:rPr>
        <w:t>7:121.</w:t>
      </w:r>
    </w:p>
    <w:p>
      <w:pPr>
        <w:pStyle w:val="BodyText"/>
        <w:spacing w:before="82"/>
        <w:ind w:left="283" w:right="0" w:firstLine="0"/>
        <w:jc w:val="left"/>
      </w:pPr>
      <w:r>
        <w:rPr>
          <w:color w:val="231F20"/>
        </w:rPr>
        <w:t>CHAPITRE 3. Administration duale.</w:t>
      </w:r>
    </w:p>
    <w:p>
      <w:pPr>
        <w:pStyle w:val="BodyText"/>
        <w:spacing w:line="218" w:lineRule="auto" w:before="78"/>
        <w:ind w:right="38"/>
      </w:pPr>
      <w:r>
        <w:rPr>
          <w:color w:val="231F20"/>
        </w:rPr>
        <w:t>Art. 15:19. § 1</w:t>
      </w:r>
      <w:r>
        <w:rPr>
          <w:color w:val="231F20"/>
          <w:position w:val="7"/>
          <w:sz w:val="11"/>
        </w:rPr>
        <w:t>er</w:t>
      </w:r>
      <w:r>
        <w:rPr>
          <w:color w:val="231F20"/>
        </w:rPr>
        <w:t>. Conformément à l’article 39, § 1</w:t>
      </w:r>
      <w:r>
        <w:rPr>
          <w:color w:val="231F20"/>
          <w:position w:val="7"/>
          <w:sz w:val="11"/>
        </w:rPr>
        <w:t>er</w:t>
      </w:r>
      <w:r>
        <w:rPr>
          <w:color w:val="231F20"/>
        </w:rPr>
        <w:t>, du règlement (CE) n° 2157/2001, le conseil de direction d’une société européenne à administration duale exerce tous les pouvoirs qui, conformément à l’article 7:109, incombent au conseil de surveillance dans un système dual, à l’exception de la surveillance du conseil de direction.</w:t>
      </w:r>
    </w:p>
    <w:p>
      <w:pPr>
        <w:pStyle w:val="BodyText"/>
        <w:spacing w:line="218" w:lineRule="auto" w:before="96"/>
        <w:ind w:right="38"/>
      </w:pPr>
      <w:r>
        <w:rPr>
          <w:color w:val="231F20"/>
        </w:rPr>
        <w:t>Le conseil de surveillance ne peut en aucune manière s’ingérer dans l’administration de la société.</w:t>
      </w:r>
    </w:p>
    <w:p>
      <w:pPr>
        <w:pStyle w:val="BodyText"/>
        <w:spacing w:line="218" w:lineRule="auto" w:before="96"/>
        <w:ind w:right="38"/>
      </w:pPr>
      <w:r>
        <w:rPr>
          <w:color w:val="231F20"/>
        </w:rPr>
        <w:t>Les statuts peuvent toutefois déterminer les opérations pour lesquel- les le conseil de direction doit recevoir l’autorisation du conseil de surveillance.</w:t>
      </w:r>
    </w:p>
    <w:p>
      <w:pPr>
        <w:pStyle w:val="BodyText"/>
        <w:spacing w:line="218" w:lineRule="auto" w:before="97"/>
        <w:ind w:right="38"/>
      </w:pPr>
      <w:r>
        <w:rPr>
          <w:color w:val="231F20"/>
        </w:rPr>
        <w:t>§</w:t>
      </w:r>
      <w:r>
        <w:rPr>
          <w:color w:val="231F20"/>
          <w:spacing w:val="-14"/>
        </w:rPr>
        <w:t> </w:t>
      </w:r>
      <w:r>
        <w:rPr>
          <w:color w:val="231F20"/>
        </w:rPr>
        <w:t>2.</w:t>
      </w:r>
      <w:r>
        <w:rPr>
          <w:color w:val="231F20"/>
          <w:spacing w:val="-14"/>
        </w:rPr>
        <w:t> </w:t>
      </w:r>
      <w:r>
        <w:rPr>
          <w:color w:val="231F20"/>
        </w:rPr>
        <w:t>Les</w:t>
      </w:r>
      <w:r>
        <w:rPr>
          <w:color w:val="231F20"/>
          <w:spacing w:val="-14"/>
        </w:rPr>
        <w:t> </w:t>
      </w:r>
      <w:r>
        <w:rPr>
          <w:color w:val="231F20"/>
        </w:rPr>
        <w:t>articles</w:t>
      </w:r>
      <w:r>
        <w:rPr>
          <w:color w:val="231F20"/>
          <w:spacing w:val="-13"/>
        </w:rPr>
        <w:t> </w:t>
      </w:r>
      <w:r>
        <w:rPr>
          <w:color w:val="231F20"/>
        </w:rPr>
        <w:t>7:86,</w:t>
      </w:r>
      <w:r>
        <w:rPr>
          <w:color w:val="231F20"/>
          <w:spacing w:val="-14"/>
        </w:rPr>
        <w:t> </w:t>
      </w:r>
      <w:r>
        <w:rPr>
          <w:color w:val="231F20"/>
        </w:rPr>
        <w:t>7:87,</w:t>
      </w:r>
      <w:r>
        <w:rPr>
          <w:color w:val="231F20"/>
          <w:spacing w:val="-14"/>
        </w:rPr>
        <w:t> </w:t>
      </w:r>
      <w:r>
        <w:rPr>
          <w:color w:val="231F20"/>
        </w:rPr>
        <w:t>7:88,</w:t>
      </w:r>
      <w:r>
        <w:rPr>
          <w:color w:val="231F20"/>
          <w:spacing w:val="-13"/>
        </w:rPr>
        <w:t> </w:t>
      </w:r>
      <w:r>
        <w:rPr>
          <w:color w:val="231F20"/>
        </w:rPr>
        <w:t>7:99</w:t>
      </w:r>
      <w:r>
        <w:rPr>
          <w:color w:val="231F20"/>
          <w:spacing w:val="-14"/>
        </w:rPr>
        <w:t> </w:t>
      </w:r>
      <w:r>
        <w:rPr>
          <w:color w:val="231F20"/>
        </w:rPr>
        <w:t>et</w:t>
      </w:r>
      <w:r>
        <w:rPr>
          <w:color w:val="231F20"/>
          <w:spacing w:val="-14"/>
        </w:rPr>
        <w:t> </w:t>
      </w:r>
      <w:r>
        <w:rPr>
          <w:color w:val="231F20"/>
        </w:rPr>
        <w:t>7:100</w:t>
      </w:r>
      <w:r>
        <w:rPr>
          <w:color w:val="231F20"/>
          <w:spacing w:val="-13"/>
        </w:rPr>
        <w:t> </w:t>
      </w:r>
      <w:r>
        <w:rPr>
          <w:color w:val="231F20"/>
        </w:rPr>
        <w:t>s’appliquent</w:t>
      </w:r>
      <w:r>
        <w:rPr>
          <w:color w:val="231F20"/>
          <w:spacing w:val="-14"/>
        </w:rPr>
        <w:t> </w:t>
      </w:r>
      <w:r>
        <w:rPr>
          <w:color w:val="231F20"/>
        </w:rPr>
        <w:t>par</w:t>
      </w:r>
      <w:r>
        <w:rPr>
          <w:color w:val="231F20"/>
          <w:spacing w:val="-14"/>
        </w:rPr>
        <w:t> </w:t>
      </w:r>
      <w:r>
        <w:rPr>
          <w:color w:val="231F20"/>
        </w:rPr>
        <w:t>analogie au conseil de</w:t>
      </w:r>
      <w:r>
        <w:rPr>
          <w:color w:val="231F20"/>
          <w:spacing w:val="4"/>
        </w:rPr>
        <w:t> </w:t>
      </w:r>
      <w:r>
        <w:rPr>
          <w:color w:val="231F20"/>
        </w:rPr>
        <w:t>surveillance.</w:t>
      </w:r>
    </w:p>
    <w:p>
      <w:pPr>
        <w:pStyle w:val="BodyText"/>
        <w:spacing w:line="218" w:lineRule="auto" w:before="96"/>
        <w:ind w:right="38"/>
      </w:pPr>
      <w:r>
        <w:rPr>
          <w:color w:val="231F20"/>
        </w:rPr>
        <w:t>Art. 15:20. L’assemblée générale nomme et révoque les membres du conseil de direction et les membres du conseil de surveillance.</w:t>
      </w:r>
    </w:p>
    <w:p>
      <w:pPr>
        <w:pStyle w:val="BodyText"/>
        <w:spacing w:line="218" w:lineRule="auto" w:before="96"/>
        <w:ind w:right="38"/>
      </w:pPr>
      <w:r>
        <w:rPr>
          <w:color w:val="231F20"/>
        </w:rPr>
        <w:t>Art. 15:21. En cas de conflit d’intérêts visé à l’article 7:115 ou à l’article 7:116, le conseil de direction renvoie la décision au conseil de surveillance.</w:t>
      </w:r>
    </w:p>
    <w:p>
      <w:pPr>
        <w:pStyle w:val="BodyText"/>
        <w:spacing w:line="218" w:lineRule="auto" w:before="96"/>
        <w:ind w:right="41"/>
      </w:pPr>
      <w:r>
        <w:rPr>
          <w:color w:val="231F20"/>
        </w:rPr>
        <w:t>Art. 15:22. Le conseil de direction peut déléguer la gestion journalière à un ou plusieurs de ses membres conformément à l’article 7:121.</w:t>
      </w:r>
    </w:p>
    <w:p>
      <w:pPr>
        <w:pStyle w:val="BodyText"/>
        <w:spacing w:before="105"/>
        <w:ind w:left="283" w:right="0" w:firstLine="0"/>
        <w:jc w:val="left"/>
      </w:pPr>
      <w:r>
        <w:rPr/>
        <w:br w:type="column"/>
      </w:r>
      <w:r>
        <w:rPr>
          <w:color w:val="231F20"/>
        </w:rPr>
        <w:t>Afdeling 4. Inschrijving en openbaarmaking.</w:t>
      </w:r>
    </w:p>
    <w:p>
      <w:pPr>
        <w:pStyle w:val="BodyText"/>
        <w:spacing w:line="218" w:lineRule="auto" w:before="82"/>
      </w:pPr>
      <w:r>
        <w:rPr>
          <w:color w:val="231F20"/>
        </w:rPr>
        <w:t>Art. 15:9. Na de vervulling van de openbaarmakingsvereisten eigen aan elke lidstaat met betrekking tot het besluit tot fusie in elke betrokken vennootschap, stelt de instrumenterende notaris de verwe- zenlijking van de fusie vast op verzoek van de vennootschappen die fuseren, op voorlegging van de attesten en andere documenten die de verrichting rechtvaardigen.</w:t>
      </w:r>
    </w:p>
    <w:p>
      <w:pPr>
        <w:pStyle w:val="BodyText"/>
        <w:spacing w:line="218" w:lineRule="auto" w:before="86"/>
      </w:pPr>
      <w:r>
        <w:rPr>
          <w:color w:val="231F20"/>
        </w:rPr>
        <w:t>Deze akte wordt neergelegd en bekendgemaakt overeenkomstig de artikelen 2:8 en 2:14, 1°.</w:t>
      </w:r>
    </w:p>
    <w:p>
      <w:pPr>
        <w:pStyle w:val="BodyText"/>
        <w:spacing w:before="72"/>
        <w:ind w:left="283" w:right="0" w:firstLine="0"/>
        <w:jc w:val="left"/>
      </w:pPr>
      <w:r>
        <w:rPr>
          <w:color w:val="231F20"/>
        </w:rPr>
        <w:t>HOOFDSTUK 2. Oprichting via holding.</w:t>
      </w:r>
    </w:p>
    <w:p>
      <w:pPr>
        <w:pStyle w:val="BodyText"/>
        <w:spacing w:line="218" w:lineRule="auto" w:before="82"/>
      </w:pPr>
      <w:r>
        <w:rPr>
          <w:color w:val="231F20"/>
        </w:rPr>
        <w:t>Art. 15:10. Het oprichtingsvoorstel van de SE wordt neergelegd en bekendgemaakt overeenkomstig de artikelen 2:8 en 2:14, 1°.</w:t>
      </w:r>
    </w:p>
    <w:p>
      <w:pPr>
        <w:pStyle w:val="BodyText"/>
        <w:spacing w:line="218" w:lineRule="auto" w:before="85"/>
      </w:pPr>
      <w:r>
        <w:rPr>
          <w:color w:val="231F20"/>
        </w:rPr>
        <w:t>Art. 15:11. De onafhankelijke deskundige(n) bedoeld in artikel 32, lid 4, van verordening (EG) nr. 2157/2001 is de commissaris of, als er geen commissaris is, een door het bestuursorgaan aangewezen bedrijfsrevi- sor of externe accountant.</w:t>
      </w:r>
    </w:p>
    <w:p>
      <w:pPr>
        <w:pStyle w:val="BodyText"/>
        <w:spacing w:line="218" w:lineRule="auto" w:before="86"/>
      </w:pPr>
      <w:r>
        <w:rPr>
          <w:color w:val="231F20"/>
        </w:rPr>
        <w:t>Art. 15:12. Elke initiatiefnemende vennootschap naar Belgisch recht legt,</w:t>
      </w:r>
      <w:r>
        <w:rPr>
          <w:color w:val="231F20"/>
          <w:spacing w:val="-5"/>
        </w:rPr>
        <w:t> </w:t>
      </w:r>
      <w:r>
        <w:rPr>
          <w:color w:val="231F20"/>
        </w:rPr>
        <w:t>overeenkomstig</w:t>
      </w:r>
      <w:r>
        <w:rPr>
          <w:color w:val="231F20"/>
          <w:spacing w:val="-5"/>
        </w:rPr>
        <w:t> </w:t>
      </w:r>
      <w:r>
        <w:rPr>
          <w:color w:val="231F20"/>
        </w:rPr>
        <w:t>de</w:t>
      </w:r>
      <w:r>
        <w:rPr>
          <w:color w:val="231F20"/>
          <w:spacing w:val="-5"/>
        </w:rPr>
        <w:t> </w:t>
      </w:r>
      <w:r>
        <w:rPr>
          <w:color w:val="231F20"/>
        </w:rPr>
        <w:t>artikelen</w:t>
      </w:r>
      <w:r>
        <w:rPr>
          <w:color w:val="231F20"/>
          <w:spacing w:val="-5"/>
        </w:rPr>
        <w:t> </w:t>
      </w:r>
      <w:r>
        <w:rPr>
          <w:color w:val="231F20"/>
        </w:rPr>
        <w:t>2:8</w:t>
      </w:r>
      <w:r>
        <w:rPr>
          <w:color w:val="231F20"/>
          <w:spacing w:val="-5"/>
        </w:rPr>
        <w:t> </w:t>
      </w:r>
      <w:r>
        <w:rPr>
          <w:color w:val="231F20"/>
        </w:rPr>
        <w:t>en</w:t>
      </w:r>
      <w:r>
        <w:rPr>
          <w:color w:val="231F20"/>
          <w:spacing w:val="-4"/>
        </w:rPr>
        <w:t> </w:t>
      </w:r>
      <w:r>
        <w:rPr>
          <w:color w:val="231F20"/>
        </w:rPr>
        <w:t>2:14,</w:t>
      </w:r>
      <w:r>
        <w:rPr>
          <w:color w:val="231F20"/>
          <w:spacing w:val="-5"/>
        </w:rPr>
        <w:t> </w:t>
      </w:r>
      <w:r>
        <w:rPr>
          <w:color w:val="231F20"/>
        </w:rPr>
        <w:t>4°,</w:t>
      </w:r>
      <w:r>
        <w:rPr>
          <w:color w:val="231F20"/>
          <w:spacing w:val="-5"/>
        </w:rPr>
        <w:t> </w:t>
      </w:r>
      <w:r>
        <w:rPr>
          <w:color w:val="231F20"/>
        </w:rPr>
        <w:t>een</w:t>
      </w:r>
      <w:r>
        <w:rPr>
          <w:color w:val="231F20"/>
          <w:spacing w:val="-5"/>
        </w:rPr>
        <w:t> </w:t>
      </w:r>
      <w:r>
        <w:rPr>
          <w:color w:val="231F20"/>
        </w:rPr>
        <w:t>document</w:t>
      </w:r>
      <w:r>
        <w:rPr>
          <w:color w:val="231F20"/>
          <w:spacing w:val="-5"/>
        </w:rPr>
        <w:t> </w:t>
      </w:r>
      <w:r>
        <w:rPr>
          <w:color w:val="231F20"/>
        </w:rPr>
        <w:t>neer</w:t>
      </w:r>
      <w:r>
        <w:rPr>
          <w:color w:val="231F20"/>
          <w:spacing w:val="-5"/>
        </w:rPr>
        <w:t> </w:t>
      </w:r>
      <w:r>
        <w:rPr>
          <w:color w:val="231F20"/>
        </w:rPr>
        <w:t>dat vaststelt dat, wat haar betreft, aan de voorwaarden voor de oprichting van de SE is</w:t>
      </w:r>
      <w:r>
        <w:rPr>
          <w:color w:val="231F20"/>
          <w:spacing w:val="20"/>
        </w:rPr>
        <w:t> </w:t>
      </w:r>
      <w:r>
        <w:rPr>
          <w:color w:val="231F20"/>
        </w:rPr>
        <w:t>voldaan.</w:t>
      </w:r>
    </w:p>
    <w:p>
      <w:pPr>
        <w:pStyle w:val="BodyText"/>
        <w:spacing w:line="218" w:lineRule="auto" w:before="85"/>
      </w:pPr>
      <w:r>
        <w:rPr>
          <w:color w:val="231F20"/>
        </w:rPr>
        <w:t>Art. 15:13. De oprichtingsakte van de holding-SE stelt vast dat binnen de in artikel 33, lid 1, van verordening (EG) </w:t>
      </w:r>
      <w:r>
        <w:rPr>
          <w:color w:val="231F20"/>
          <w:spacing w:val="-5"/>
        </w:rPr>
        <w:t>nr. </w:t>
      </w:r>
      <w:r>
        <w:rPr>
          <w:color w:val="231F20"/>
        </w:rPr>
        <w:t>2157/2001 bepaalde termijn de aandeelhouders of vennoten van de initiatiefnemende vennootschappen</w:t>
      </w:r>
      <w:r>
        <w:rPr>
          <w:color w:val="231F20"/>
          <w:spacing w:val="-8"/>
        </w:rPr>
        <w:t> </w:t>
      </w:r>
      <w:r>
        <w:rPr>
          <w:color w:val="231F20"/>
        </w:rPr>
        <w:t>het</w:t>
      </w:r>
      <w:r>
        <w:rPr>
          <w:color w:val="231F20"/>
          <w:spacing w:val="-7"/>
        </w:rPr>
        <w:t> </w:t>
      </w:r>
      <w:r>
        <w:rPr>
          <w:color w:val="231F20"/>
        </w:rPr>
        <w:t>in</w:t>
      </w:r>
      <w:r>
        <w:rPr>
          <w:color w:val="231F20"/>
          <w:spacing w:val="-8"/>
        </w:rPr>
        <w:t> </w:t>
      </w:r>
      <w:r>
        <w:rPr>
          <w:color w:val="231F20"/>
        </w:rPr>
        <w:t>het</w:t>
      </w:r>
      <w:r>
        <w:rPr>
          <w:color w:val="231F20"/>
          <w:spacing w:val="-7"/>
        </w:rPr>
        <w:t> </w:t>
      </w:r>
      <w:r>
        <w:rPr>
          <w:color w:val="231F20"/>
        </w:rPr>
        <w:t>oprichtingsvoorstel</w:t>
      </w:r>
      <w:r>
        <w:rPr>
          <w:color w:val="231F20"/>
          <w:spacing w:val="-7"/>
        </w:rPr>
        <w:t> </w:t>
      </w:r>
      <w:r>
        <w:rPr>
          <w:color w:val="231F20"/>
        </w:rPr>
        <w:t>vastgestelde</w:t>
      </w:r>
      <w:r>
        <w:rPr>
          <w:color w:val="231F20"/>
          <w:spacing w:val="-8"/>
        </w:rPr>
        <w:t> </w:t>
      </w:r>
      <w:r>
        <w:rPr>
          <w:color w:val="231F20"/>
        </w:rPr>
        <w:t>minimum- percentage van de aandelen van elke vennootschap hebben ingebracht en</w:t>
      </w:r>
      <w:r>
        <w:rPr>
          <w:color w:val="231F20"/>
          <w:spacing w:val="16"/>
        </w:rPr>
        <w:t> </w:t>
      </w:r>
      <w:r>
        <w:rPr>
          <w:color w:val="231F20"/>
        </w:rPr>
        <w:t>dat</w:t>
      </w:r>
      <w:r>
        <w:rPr>
          <w:color w:val="231F20"/>
          <w:spacing w:val="17"/>
        </w:rPr>
        <w:t> </w:t>
      </w:r>
      <w:r>
        <w:rPr>
          <w:color w:val="231F20"/>
        </w:rPr>
        <w:t>aan</w:t>
      </w:r>
      <w:r>
        <w:rPr>
          <w:color w:val="231F20"/>
          <w:spacing w:val="16"/>
        </w:rPr>
        <w:t> </w:t>
      </w:r>
      <w:r>
        <w:rPr>
          <w:color w:val="231F20"/>
        </w:rPr>
        <w:t>alle</w:t>
      </w:r>
      <w:r>
        <w:rPr>
          <w:color w:val="231F20"/>
          <w:spacing w:val="17"/>
        </w:rPr>
        <w:t> </w:t>
      </w:r>
      <w:r>
        <w:rPr>
          <w:color w:val="231F20"/>
        </w:rPr>
        <w:t>overige</w:t>
      </w:r>
      <w:r>
        <w:rPr>
          <w:color w:val="231F20"/>
          <w:spacing w:val="17"/>
        </w:rPr>
        <w:t> </w:t>
      </w:r>
      <w:r>
        <w:rPr>
          <w:color w:val="231F20"/>
        </w:rPr>
        <w:t>voorwaarden</w:t>
      </w:r>
      <w:r>
        <w:rPr>
          <w:color w:val="231F20"/>
          <w:spacing w:val="16"/>
        </w:rPr>
        <w:t> </w:t>
      </w:r>
      <w:r>
        <w:rPr>
          <w:color w:val="231F20"/>
        </w:rPr>
        <w:t>is</w:t>
      </w:r>
      <w:r>
        <w:rPr>
          <w:color w:val="231F20"/>
          <w:spacing w:val="17"/>
        </w:rPr>
        <w:t> </w:t>
      </w:r>
      <w:r>
        <w:rPr>
          <w:color w:val="231F20"/>
        </w:rPr>
        <w:t>voldaan.</w:t>
      </w:r>
    </w:p>
    <w:p>
      <w:pPr>
        <w:pStyle w:val="BodyText"/>
        <w:spacing w:line="218" w:lineRule="auto" w:before="86"/>
      </w:pPr>
      <w:r>
        <w:rPr>
          <w:color w:val="231F20"/>
        </w:rPr>
        <w:t>Deze vaststelling wordt opgenomen in het uittreksel bedoeld in artikel 2:8, §</w:t>
      </w:r>
      <w:r>
        <w:rPr>
          <w:color w:val="231F20"/>
          <w:spacing w:val="1"/>
        </w:rPr>
        <w:t> </w:t>
      </w:r>
      <w:r>
        <w:rPr>
          <w:color w:val="231F20"/>
        </w:rPr>
        <w:t>2.</w:t>
      </w:r>
    </w:p>
    <w:p>
      <w:pPr>
        <w:pStyle w:val="BodyText"/>
        <w:spacing w:line="218" w:lineRule="auto" w:before="86"/>
      </w:pPr>
      <w:r>
        <w:rPr>
          <w:color w:val="231F20"/>
        </w:rPr>
        <w:t>HOOFDSTUK 3. Omzetting van een naamloze vennootschap in een SE.</w:t>
      </w:r>
    </w:p>
    <w:p>
      <w:pPr>
        <w:pStyle w:val="BodyText"/>
        <w:spacing w:line="218" w:lineRule="auto" w:before="85"/>
      </w:pPr>
      <w:r>
        <w:rPr>
          <w:color w:val="231F20"/>
        </w:rPr>
        <w:t>Art. 15:14. Het voorstel tot omzetting wordt neergelegd en bekend- gemaakt overeenkomstig de artikelen 2:8 en 2:14, 4°.</w:t>
      </w:r>
    </w:p>
    <w:p>
      <w:pPr>
        <w:pStyle w:val="BodyText"/>
        <w:spacing w:line="218" w:lineRule="auto" w:before="86"/>
      </w:pPr>
      <w:r>
        <w:rPr>
          <w:color w:val="231F20"/>
        </w:rPr>
        <w:t>Art. 15:15. De onafhankelijke deskundige(n) bedoeld in artikel 37, lid 6,</w:t>
      </w:r>
      <w:r>
        <w:rPr>
          <w:color w:val="231F20"/>
          <w:spacing w:val="-6"/>
        </w:rPr>
        <w:t> </w:t>
      </w:r>
      <w:r>
        <w:rPr>
          <w:color w:val="231F20"/>
        </w:rPr>
        <w:t>van</w:t>
      </w:r>
      <w:r>
        <w:rPr>
          <w:color w:val="231F20"/>
          <w:spacing w:val="-5"/>
        </w:rPr>
        <w:t> </w:t>
      </w:r>
      <w:r>
        <w:rPr>
          <w:color w:val="231F20"/>
        </w:rPr>
        <w:t>verordening</w:t>
      </w:r>
      <w:r>
        <w:rPr>
          <w:color w:val="231F20"/>
          <w:spacing w:val="-5"/>
        </w:rPr>
        <w:t> </w:t>
      </w:r>
      <w:r>
        <w:rPr>
          <w:color w:val="231F20"/>
        </w:rPr>
        <w:t>(EG)</w:t>
      </w:r>
      <w:r>
        <w:rPr>
          <w:color w:val="231F20"/>
          <w:spacing w:val="-6"/>
        </w:rPr>
        <w:t> </w:t>
      </w:r>
      <w:r>
        <w:rPr>
          <w:color w:val="231F20"/>
          <w:spacing w:val="-5"/>
        </w:rPr>
        <w:t>nr. </w:t>
      </w:r>
      <w:r>
        <w:rPr>
          <w:color w:val="231F20"/>
        </w:rPr>
        <w:t>2157/2001,</w:t>
      </w:r>
      <w:r>
        <w:rPr>
          <w:color w:val="231F20"/>
          <w:spacing w:val="-5"/>
        </w:rPr>
        <w:t> </w:t>
      </w:r>
      <w:r>
        <w:rPr>
          <w:color w:val="231F20"/>
        </w:rPr>
        <w:t>is</w:t>
      </w:r>
      <w:r>
        <w:rPr>
          <w:color w:val="231F20"/>
          <w:spacing w:val="-6"/>
        </w:rPr>
        <w:t> </w:t>
      </w:r>
      <w:r>
        <w:rPr>
          <w:color w:val="231F20"/>
        </w:rPr>
        <w:t>de</w:t>
      </w:r>
      <w:r>
        <w:rPr>
          <w:color w:val="231F20"/>
          <w:spacing w:val="-5"/>
        </w:rPr>
        <w:t> </w:t>
      </w:r>
      <w:r>
        <w:rPr>
          <w:color w:val="231F20"/>
        </w:rPr>
        <w:t>commissaris,</w:t>
      </w:r>
      <w:r>
        <w:rPr>
          <w:color w:val="231F20"/>
          <w:spacing w:val="-5"/>
        </w:rPr>
        <w:t> </w:t>
      </w:r>
      <w:r>
        <w:rPr>
          <w:color w:val="231F20"/>
        </w:rPr>
        <w:t>of,</w:t>
      </w:r>
      <w:r>
        <w:rPr>
          <w:color w:val="231F20"/>
          <w:spacing w:val="-5"/>
        </w:rPr>
        <w:t> </w:t>
      </w:r>
      <w:r>
        <w:rPr>
          <w:color w:val="231F20"/>
        </w:rPr>
        <w:t>als</w:t>
      </w:r>
      <w:r>
        <w:rPr>
          <w:color w:val="231F20"/>
          <w:spacing w:val="-6"/>
        </w:rPr>
        <w:t> </w:t>
      </w:r>
      <w:r>
        <w:rPr>
          <w:color w:val="231F20"/>
        </w:rPr>
        <w:t>er</w:t>
      </w:r>
      <w:r>
        <w:rPr>
          <w:color w:val="231F20"/>
          <w:spacing w:val="-5"/>
        </w:rPr>
        <w:t> </w:t>
      </w:r>
      <w:r>
        <w:rPr>
          <w:color w:val="231F20"/>
        </w:rPr>
        <w:t>geen commissaris is, een door het bestuursorgaan aangewezen bedrijfsrevi- sor of externe</w:t>
      </w:r>
      <w:r>
        <w:rPr>
          <w:color w:val="231F20"/>
          <w:spacing w:val="3"/>
        </w:rPr>
        <w:t> </w:t>
      </w:r>
      <w:r>
        <w:rPr>
          <w:color w:val="231F20"/>
        </w:rPr>
        <w:t>accountant.</w:t>
      </w:r>
    </w:p>
    <w:p>
      <w:pPr>
        <w:pStyle w:val="BodyText"/>
        <w:spacing w:line="218" w:lineRule="auto" w:before="85"/>
      </w:pPr>
      <w:r>
        <w:rPr>
          <w:color w:val="231F20"/>
        </w:rPr>
        <w:t>HOOFDSTUK 4. Deelname aan een SE door een vennootschap die haar hoofdbestuur niet in de Europese Unie heeft.</w:t>
      </w:r>
    </w:p>
    <w:p>
      <w:pPr>
        <w:pStyle w:val="BodyText"/>
        <w:spacing w:line="218" w:lineRule="auto" w:before="86"/>
      </w:pPr>
      <w:r>
        <w:rPr>
          <w:color w:val="231F20"/>
        </w:rPr>
        <w:t>Art. 15:16. Een vennootschap die haar hoofdbestuur niet in de Europese Unie heeft kan deelnemen aan de oprichting van een SE, op voorwaarde dat zij overeenkomstig het recht van een lidstaat is opgericht, haar statutaire zetel in die lidstaat heeft en een daadwerke- lijk en duurzaam verband met de economie van een lidstaat heeft.</w:t>
      </w:r>
    </w:p>
    <w:p>
      <w:pPr>
        <w:pStyle w:val="BodyText"/>
        <w:spacing w:before="71"/>
        <w:ind w:left="283" w:right="0" w:firstLine="0"/>
        <w:jc w:val="left"/>
      </w:pPr>
      <w:r>
        <w:rPr>
          <w:color w:val="231F20"/>
        </w:rPr>
        <w:t>TITEL 3. Bestuur.</w:t>
      </w:r>
    </w:p>
    <w:p>
      <w:pPr>
        <w:pStyle w:val="BodyText"/>
        <w:spacing w:before="79"/>
        <w:ind w:left="283" w:right="0" w:firstLine="0"/>
        <w:jc w:val="left"/>
      </w:pPr>
      <w:r>
        <w:rPr>
          <w:color w:val="231F20"/>
          <w:w w:val="105"/>
        </w:rPr>
        <w:t>HOOFDSTUK 1. Algemene bepaling.</w:t>
      </w:r>
    </w:p>
    <w:p>
      <w:pPr>
        <w:pStyle w:val="BodyText"/>
        <w:spacing w:line="218" w:lineRule="auto" w:before="93"/>
      </w:pPr>
      <w:r>
        <w:rPr>
          <w:color w:val="231F20"/>
        </w:rPr>
        <w:t>Art. 15:17. Een Europese vennootschap heeft de keuze tussen een monistisch of een duaal bestuur. Zij schrijft de gemaakte keuze in in haar statuten.</w:t>
      </w:r>
    </w:p>
    <w:p>
      <w:pPr>
        <w:pStyle w:val="BodyText"/>
        <w:spacing w:before="82"/>
        <w:ind w:left="283" w:right="0" w:firstLine="0"/>
        <w:jc w:val="left"/>
      </w:pPr>
      <w:r>
        <w:rPr>
          <w:color w:val="231F20"/>
        </w:rPr>
        <w:t>HOOFDSTUK 2. Monistisch bestuur.</w:t>
      </w:r>
    </w:p>
    <w:p>
      <w:pPr>
        <w:pStyle w:val="BodyText"/>
        <w:spacing w:line="218" w:lineRule="auto" w:before="92"/>
      </w:pPr>
      <w:r>
        <w:rPr>
          <w:color w:val="231F20"/>
        </w:rPr>
        <w:t>Art. 15:18. De raad van bestuur kan het dagelijks bestuur delegeren aan een of meerdere van zijn leden, overeenkomstig artikel 7:121.</w:t>
      </w:r>
    </w:p>
    <w:p>
      <w:pPr>
        <w:pStyle w:val="BodyText"/>
        <w:spacing w:before="8"/>
        <w:ind w:left="0" w:right="0" w:firstLine="0"/>
        <w:jc w:val="left"/>
        <w:rPr>
          <w:sz w:val="22"/>
        </w:rPr>
      </w:pPr>
    </w:p>
    <w:p>
      <w:pPr>
        <w:pStyle w:val="BodyText"/>
        <w:ind w:left="283" w:right="0" w:firstLine="0"/>
        <w:jc w:val="left"/>
      </w:pPr>
      <w:r>
        <w:rPr>
          <w:color w:val="231F20"/>
        </w:rPr>
        <w:t>HOOFDSTUK 3. Duaal bestuur.</w:t>
      </w:r>
    </w:p>
    <w:p>
      <w:pPr>
        <w:pStyle w:val="BodyText"/>
        <w:spacing w:line="218" w:lineRule="auto" w:before="93"/>
      </w:pPr>
      <w:r>
        <w:rPr>
          <w:color w:val="231F20"/>
        </w:rPr>
        <w:t>Art. 15:19. § 1. Overeenkomstig artikel 39, lid 1, van verordening (EG) </w:t>
      </w:r>
      <w:r>
        <w:rPr>
          <w:color w:val="231F20"/>
          <w:spacing w:val="-5"/>
        </w:rPr>
        <w:t>nr. </w:t>
      </w:r>
      <w:r>
        <w:rPr>
          <w:color w:val="231F20"/>
        </w:rPr>
        <w:t>2157/2001, oefent, in een Europese vennootschap met een duaal bestuur, de directieraad alle bevoegdheden uit die overeenkomstig artikel</w:t>
      </w:r>
      <w:r>
        <w:rPr>
          <w:color w:val="231F20"/>
          <w:spacing w:val="-5"/>
        </w:rPr>
        <w:t> </w:t>
      </w:r>
      <w:r>
        <w:rPr>
          <w:color w:val="231F20"/>
        </w:rPr>
        <w:t>7:109</w:t>
      </w:r>
      <w:r>
        <w:rPr>
          <w:color w:val="231F20"/>
          <w:spacing w:val="-5"/>
        </w:rPr>
        <w:t> </w:t>
      </w:r>
      <w:r>
        <w:rPr>
          <w:color w:val="231F20"/>
        </w:rPr>
        <w:t>in</w:t>
      </w:r>
      <w:r>
        <w:rPr>
          <w:color w:val="231F20"/>
          <w:spacing w:val="-5"/>
        </w:rPr>
        <w:t> </w:t>
      </w:r>
      <w:r>
        <w:rPr>
          <w:color w:val="231F20"/>
        </w:rPr>
        <w:t>een</w:t>
      </w:r>
      <w:r>
        <w:rPr>
          <w:color w:val="231F20"/>
          <w:spacing w:val="-4"/>
        </w:rPr>
        <w:t> </w:t>
      </w:r>
      <w:r>
        <w:rPr>
          <w:color w:val="231F20"/>
        </w:rPr>
        <w:t>duaal</w:t>
      </w:r>
      <w:r>
        <w:rPr>
          <w:color w:val="231F20"/>
          <w:spacing w:val="-5"/>
        </w:rPr>
        <w:t> </w:t>
      </w:r>
      <w:r>
        <w:rPr>
          <w:color w:val="231F20"/>
        </w:rPr>
        <w:t>stelsel</w:t>
      </w:r>
      <w:r>
        <w:rPr>
          <w:color w:val="231F20"/>
          <w:spacing w:val="-5"/>
        </w:rPr>
        <w:t> </w:t>
      </w:r>
      <w:r>
        <w:rPr>
          <w:color w:val="231F20"/>
        </w:rPr>
        <w:t>aan</w:t>
      </w:r>
      <w:r>
        <w:rPr>
          <w:color w:val="231F20"/>
          <w:spacing w:val="-5"/>
        </w:rPr>
        <w:t> </w:t>
      </w:r>
      <w:r>
        <w:rPr>
          <w:color w:val="231F20"/>
        </w:rPr>
        <w:t>de</w:t>
      </w:r>
      <w:r>
        <w:rPr>
          <w:color w:val="231F20"/>
          <w:spacing w:val="-4"/>
        </w:rPr>
        <w:t> </w:t>
      </w:r>
      <w:r>
        <w:rPr>
          <w:color w:val="231F20"/>
        </w:rPr>
        <w:t>raad</w:t>
      </w:r>
      <w:r>
        <w:rPr>
          <w:color w:val="231F20"/>
          <w:spacing w:val="-5"/>
        </w:rPr>
        <w:t> </w:t>
      </w:r>
      <w:r>
        <w:rPr>
          <w:color w:val="231F20"/>
        </w:rPr>
        <w:t>van</w:t>
      </w:r>
      <w:r>
        <w:rPr>
          <w:color w:val="231F20"/>
          <w:spacing w:val="-5"/>
        </w:rPr>
        <w:t> </w:t>
      </w:r>
      <w:r>
        <w:rPr>
          <w:color w:val="231F20"/>
        </w:rPr>
        <w:t>toezicht</w:t>
      </w:r>
      <w:r>
        <w:rPr>
          <w:color w:val="231F20"/>
          <w:spacing w:val="-4"/>
        </w:rPr>
        <w:t> </w:t>
      </w:r>
      <w:r>
        <w:rPr>
          <w:color w:val="231F20"/>
        </w:rPr>
        <w:t>toekomen,</w:t>
      </w:r>
      <w:r>
        <w:rPr>
          <w:color w:val="231F20"/>
          <w:spacing w:val="-5"/>
        </w:rPr>
        <w:t> </w:t>
      </w:r>
      <w:r>
        <w:rPr>
          <w:color w:val="231F20"/>
        </w:rPr>
        <w:t>met uitzondering</w:t>
      </w:r>
      <w:r>
        <w:rPr>
          <w:color w:val="231F20"/>
          <w:spacing w:val="16"/>
        </w:rPr>
        <w:t> </w:t>
      </w:r>
      <w:r>
        <w:rPr>
          <w:color w:val="231F20"/>
        </w:rPr>
        <w:t>van</w:t>
      </w:r>
      <w:r>
        <w:rPr>
          <w:color w:val="231F20"/>
          <w:spacing w:val="16"/>
        </w:rPr>
        <w:t> </w:t>
      </w:r>
      <w:r>
        <w:rPr>
          <w:color w:val="231F20"/>
        </w:rPr>
        <w:t>het</w:t>
      </w:r>
      <w:r>
        <w:rPr>
          <w:color w:val="231F20"/>
          <w:spacing w:val="16"/>
        </w:rPr>
        <w:t> </w:t>
      </w:r>
      <w:r>
        <w:rPr>
          <w:color w:val="231F20"/>
        </w:rPr>
        <w:t>toezicht</w:t>
      </w:r>
      <w:r>
        <w:rPr>
          <w:color w:val="231F20"/>
          <w:spacing w:val="16"/>
        </w:rPr>
        <w:t> </w:t>
      </w:r>
      <w:r>
        <w:rPr>
          <w:color w:val="231F20"/>
        </w:rPr>
        <w:t>op</w:t>
      </w:r>
      <w:r>
        <w:rPr>
          <w:color w:val="231F20"/>
          <w:spacing w:val="16"/>
        </w:rPr>
        <w:t> </w:t>
      </w:r>
      <w:r>
        <w:rPr>
          <w:color w:val="231F20"/>
        </w:rPr>
        <w:t>de</w:t>
      </w:r>
      <w:r>
        <w:rPr>
          <w:color w:val="231F20"/>
          <w:spacing w:val="16"/>
        </w:rPr>
        <w:t> </w:t>
      </w:r>
      <w:r>
        <w:rPr>
          <w:color w:val="231F20"/>
        </w:rPr>
        <w:t>directieraad.</w:t>
      </w:r>
    </w:p>
    <w:p>
      <w:pPr>
        <w:pStyle w:val="BodyText"/>
        <w:spacing w:line="218" w:lineRule="auto" w:before="96"/>
      </w:pPr>
      <w:r>
        <w:rPr>
          <w:color w:val="231F20"/>
        </w:rPr>
        <w:t>De raad van toezicht mag zich op geen enkele wijze met het bestuur van de vennootschap bemoeien.</w:t>
      </w:r>
    </w:p>
    <w:p>
      <w:pPr>
        <w:pStyle w:val="BodyText"/>
        <w:spacing w:line="218" w:lineRule="auto" w:before="96"/>
      </w:pPr>
      <w:r>
        <w:rPr>
          <w:color w:val="231F20"/>
        </w:rPr>
        <w:t>De statuten kunnen evenwel de handelingen bepalen waarvoor de directieraad de goedkeuring van de raad van toezicht moet krijgen.</w:t>
      </w:r>
    </w:p>
    <w:p>
      <w:pPr>
        <w:pStyle w:val="BodyText"/>
        <w:spacing w:before="11"/>
        <w:ind w:left="0" w:right="0" w:firstLine="0"/>
        <w:jc w:val="left"/>
        <w:rPr>
          <w:sz w:val="23"/>
        </w:rPr>
      </w:pPr>
    </w:p>
    <w:p>
      <w:pPr>
        <w:pStyle w:val="BodyText"/>
        <w:spacing w:line="218" w:lineRule="auto"/>
        <w:ind w:right="125"/>
      </w:pPr>
      <w:r>
        <w:rPr>
          <w:color w:val="231F20"/>
        </w:rPr>
        <w:t>§ 2. De artikelen 7:86, 7:87, 7:88, 7:99 en 7:100 zijn van</w:t>
      </w:r>
      <w:r>
        <w:rPr>
          <w:color w:val="231F20"/>
          <w:spacing w:val="-5"/>
        </w:rPr>
        <w:t> </w:t>
      </w:r>
      <w:r>
        <w:rPr>
          <w:color w:val="231F20"/>
        </w:rPr>
        <w:t>overeenkom- stige</w:t>
      </w:r>
      <w:r>
        <w:rPr>
          <w:color w:val="231F20"/>
          <w:spacing w:val="15"/>
        </w:rPr>
        <w:t> </w:t>
      </w:r>
      <w:r>
        <w:rPr>
          <w:color w:val="231F20"/>
        </w:rPr>
        <w:t>toepassing</w:t>
      </w:r>
      <w:r>
        <w:rPr>
          <w:color w:val="231F20"/>
          <w:spacing w:val="16"/>
        </w:rPr>
        <w:t> </w:t>
      </w:r>
      <w:r>
        <w:rPr>
          <w:color w:val="231F20"/>
        </w:rPr>
        <w:t>op</w:t>
      </w:r>
      <w:r>
        <w:rPr>
          <w:color w:val="231F20"/>
          <w:spacing w:val="16"/>
        </w:rPr>
        <w:t> </w:t>
      </w:r>
      <w:r>
        <w:rPr>
          <w:color w:val="231F20"/>
        </w:rPr>
        <w:t>de</w:t>
      </w:r>
      <w:r>
        <w:rPr>
          <w:color w:val="231F20"/>
          <w:spacing w:val="16"/>
        </w:rPr>
        <w:t> </w:t>
      </w:r>
      <w:r>
        <w:rPr>
          <w:color w:val="231F20"/>
        </w:rPr>
        <w:t>raad</w:t>
      </w:r>
      <w:r>
        <w:rPr>
          <w:color w:val="231F20"/>
          <w:spacing w:val="16"/>
        </w:rPr>
        <w:t> </w:t>
      </w:r>
      <w:r>
        <w:rPr>
          <w:color w:val="231F20"/>
        </w:rPr>
        <w:t>van</w:t>
      </w:r>
      <w:r>
        <w:rPr>
          <w:color w:val="231F20"/>
          <w:spacing w:val="15"/>
        </w:rPr>
        <w:t> </w:t>
      </w:r>
      <w:r>
        <w:rPr>
          <w:color w:val="231F20"/>
        </w:rPr>
        <w:t>toezicht.</w:t>
      </w:r>
    </w:p>
    <w:p>
      <w:pPr>
        <w:pStyle w:val="BodyText"/>
        <w:spacing w:line="218" w:lineRule="auto" w:before="96"/>
      </w:pPr>
      <w:r>
        <w:rPr>
          <w:color w:val="231F20"/>
        </w:rPr>
        <w:t>Art. 15:20. De algemene vergadering benoemt en ontslaat de leden van de directieraad en de leden van de raad van toezicht.</w:t>
      </w:r>
    </w:p>
    <w:p>
      <w:pPr>
        <w:pStyle w:val="BodyText"/>
        <w:spacing w:line="218" w:lineRule="auto" w:before="96"/>
      </w:pPr>
      <w:r>
        <w:rPr>
          <w:color w:val="231F20"/>
        </w:rPr>
        <w:t>Art. 15:21. In geval van een belangenconflict  als  bedoeld  in  arti-  kel 7:115 of als bedoeld in artikel 7:116 verwijst de directieraad de beslissing</w:t>
      </w:r>
      <w:r>
        <w:rPr>
          <w:color w:val="231F20"/>
          <w:spacing w:val="15"/>
        </w:rPr>
        <w:t> </w:t>
      </w:r>
      <w:r>
        <w:rPr>
          <w:color w:val="231F20"/>
        </w:rPr>
        <w:t>naar</w:t>
      </w:r>
      <w:r>
        <w:rPr>
          <w:color w:val="231F20"/>
          <w:spacing w:val="15"/>
        </w:rPr>
        <w:t> </w:t>
      </w:r>
      <w:r>
        <w:rPr>
          <w:color w:val="231F20"/>
        </w:rPr>
        <w:t>de</w:t>
      </w:r>
      <w:r>
        <w:rPr>
          <w:color w:val="231F20"/>
          <w:spacing w:val="16"/>
        </w:rPr>
        <w:t> </w:t>
      </w:r>
      <w:r>
        <w:rPr>
          <w:color w:val="231F20"/>
        </w:rPr>
        <w:t>raad</w:t>
      </w:r>
      <w:r>
        <w:rPr>
          <w:color w:val="231F20"/>
          <w:spacing w:val="15"/>
        </w:rPr>
        <w:t> </w:t>
      </w:r>
      <w:r>
        <w:rPr>
          <w:color w:val="231F20"/>
        </w:rPr>
        <w:t>van</w:t>
      </w:r>
      <w:r>
        <w:rPr>
          <w:color w:val="231F20"/>
          <w:spacing w:val="15"/>
        </w:rPr>
        <w:t> </w:t>
      </w:r>
      <w:r>
        <w:rPr>
          <w:color w:val="231F20"/>
        </w:rPr>
        <w:t>toezicht.</w:t>
      </w:r>
    </w:p>
    <w:p>
      <w:pPr>
        <w:pStyle w:val="BodyText"/>
        <w:spacing w:line="218" w:lineRule="auto" w:before="96"/>
      </w:pPr>
      <w:r>
        <w:rPr>
          <w:color w:val="231F20"/>
        </w:rPr>
        <w:t>Art. 15:22. De directieraad kan het dagelijks bestuur delegeren aan één of meerdere van zijn leden, overeenkomstig artikel 7:121.</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20"/>
        <w:ind w:right="38"/>
      </w:pPr>
      <w:r>
        <w:rPr/>
        <w:pict>
          <v:line style="position:absolute;mso-position-horizontal-relative:page;mso-position-vertical-relative:page;z-index:7624" from="298.170502pt,64.473pt" to="298.170502pt,812.819pt" stroked="true" strokeweight=".533pt" strokecolor="#231f20">
            <v:stroke dashstyle="solid"/>
            <w10:wrap type="none"/>
          </v:line>
        </w:pict>
      </w:r>
      <w:bookmarkStart w:name="_bookmark275" w:id="281"/>
      <w:bookmarkEnd w:id="281"/>
      <w:r>
        <w:rPr/>
      </w:r>
      <w:r>
        <w:rPr>
          <w:color w:val="231F20"/>
        </w:rPr>
        <w:t>Art. 15:23. Lors de l’assemblée générale ordinaire, l’assemblée générale décide de la décharge des membres du conseil de surveillance et des membres du conseil de direction pour ce qui concerne les pouvoirs qui ont été conférés à chacun d’eux.</w:t>
      </w:r>
    </w:p>
    <w:p>
      <w:pPr>
        <w:pStyle w:val="BodyText"/>
        <w:spacing w:before="125"/>
        <w:ind w:left="283" w:right="0" w:firstLine="0"/>
        <w:jc w:val="left"/>
      </w:pPr>
      <w:r>
        <w:rPr>
          <w:color w:val="231F20"/>
        </w:rPr>
        <w:t>TITRE 4. Transfert du siège statutaire.</w:t>
      </w:r>
    </w:p>
    <w:p>
      <w:pPr>
        <w:pStyle w:val="BodyText"/>
        <w:spacing w:line="218" w:lineRule="auto" w:before="135"/>
        <w:ind w:right="38"/>
      </w:pPr>
      <w:r>
        <w:rPr>
          <w:color w:val="231F20"/>
        </w:rPr>
        <w:t>Art. 15:24. Le projet de transfert du siège est déposé et publié conformément aux articles 2:8 et 2:14, 4°.</w:t>
      </w:r>
    </w:p>
    <w:p>
      <w:pPr>
        <w:pStyle w:val="BodyText"/>
        <w:spacing w:line="218" w:lineRule="auto" w:before="139"/>
        <w:ind w:right="38"/>
      </w:pPr>
      <w:r>
        <w:rPr>
          <w:color w:val="231F20"/>
        </w:rPr>
        <w:t>Art. 15:25.  Conformément  à  l’article  8,  §  8,  du  règlement  (CE)  n° 2157/2001 un notaire instrumentant ayant sa résidence en Belgique délivre un certificat attestant d’une manière concluante l’accomplisse- ment</w:t>
      </w:r>
      <w:r>
        <w:rPr>
          <w:color w:val="231F20"/>
          <w:spacing w:val="14"/>
        </w:rPr>
        <w:t> </w:t>
      </w:r>
      <w:r>
        <w:rPr>
          <w:color w:val="231F20"/>
        </w:rPr>
        <w:t>des</w:t>
      </w:r>
      <w:r>
        <w:rPr>
          <w:color w:val="231F20"/>
          <w:spacing w:val="14"/>
        </w:rPr>
        <w:t> </w:t>
      </w:r>
      <w:r>
        <w:rPr>
          <w:color w:val="231F20"/>
        </w:rPr>
        <w:t>actes</w:t>
      </w:r>
      <w:r>
        <w:rPr>
          <w:color w:val="231F20"/>
          <w:spacing w:val="14"/>
        </w:rPr>
        <w:t> </w:t>
      </w:r>
      <w:r>
        <w:rPr>
          <w:color w:val="231F20"/>
        </w:rPr>
        <w:t>et</w:t>
      </w:r>
      <w:r>
        <w:rPr>
          <w:color w:val="231F20"/>
          <w:spacing w:val="15"/>
        </w:rPr>
        <w:t> </w:t>
      </w:r>
      <w:r>
        <w:rPr>
          <w:color w:val="231F20"/>
        </w:rPr>
        <w:t>des</w:t>
      </w:r>
      <w:r>
        <w:rPr>
          <w:color w:val="231F20"/>
          <w:spacing w:val="14"/>
        </w:rPr>
        <w:t> </w:t>
      </w:r>
      <w:r>
        <w:rPr>
          <w:color w:val="231F20"/>
        </w:rPr>
        <w:t>formalités</w:t>
      </w:r>
      <w:r>
        <w:rPr>
          <w:color w:val="231F20"/>
          <w:spacing w:val="14"/>
        </w:rPr>
        <w:t> </w:t>
      </w:r>
      <w:r>
        <w:rPr>
          <w:color w:val="231F20"/>
        </w:rPr>
        <w:t>préalables</w:t>
      </w:r>
      <w:r>
        <w:rPr>
          <w:color w:val="231F20"/>
          <w:spacing w:val="15"/>
        </w:rPr>
        <w:t> </w:t>
      </w:r>
      <w:r>
        <w:rPr>
          <w:color w:val="231F20"/>
        </w:rPr>
        <w:t>au</w:t>
      </w:r>
      <w:r>
        <w:rPr>
          <w:color w:val="231F20"/>
          <w:spacing w:val="14"/>
        </w:rPr>
        <w:t> </w:t>
      </w:r>
      <w:r>
        <w:rPr>
          <w:color w:val="231F20"/>
        </w:rPr>
        <w:t>transfert.</w:t>
      </w:r>
    </w:p>
    <w:p>
      <w:pPr>
        <w:pStyle w:val="BodyText"/>
        <w:spacing w:line="218" w:lineRule="auto" w:before="139"/>
        <w:ind w:right="38"/>
      </w:pPr>
      <w:r>
        <w:rPr>
          <w:color w:val="231F20"/>
        </w:rPr>
        <w:t>Art. 15:26. Le transfert du siège d’une société européenne ayant son siège statutaire en Belgique dans un autre État membre ne prend pas </w:t>
      </w:r>
      <w:r>
        <w:rPr>
          <w:color w:val="231F20"/>
          <w:spacing w:val="-3"/>
        </w:rPr>
        <w:t>effet </w:t>
      </w:r>
      <w:r>
        <w:rPr>
          <w:color w:val="231F20"/>
        </w:rPr>
        <w:t>lorsque le ministre qui a l’Économie dans ses attributions s’y oppose,</w:t>
      </w:r>
      <w:r>
        <w:rPr>
          <w:color w:val="231F20"/>
          <w:spacing w:val="-19"/>
        </w:rPr>
        <w:t> </w:t>
      </w:r>
      <w:r>
        <w:rPr>
          <w:color w:val="231F20"/>
        </w:rPr>
        <w:t>conformément</w:t>
      </w:r>
      <w:r>
        <w:rPr>
          <w:color w:val="231F20"/>
          <w:spacing w:val="-18"/>
        </w:rPr>
        <w:t> </w:t>
      </w:r>
      <w:r>
        <w:rPr>
          <w:color w:val="231F20"/>
        </w:rPr>
        <w:t>à</w:t>
      </w:r>
      <w:r>
        <w:rPr>
          <w:color w:val="231F20"/>
          <w:spacing w:val="-18"/>
        </w:rPr>
        <w:t> </w:t>
      </w:r>
      <w:r>
        <w:rPr>
          <w:color w:val="231F20"/>
        </w:rPr>
        <w:t>l’article</w:t>
      </w:r>
      <w:r>
        <w:rPr>
          <w:color w:val="231F20"/>
          <w:spacing w:val="-18"/>
        </w:rPr>
        <w:t> </w:t>
      </w:r>
      <w:r>
        <w:rPr>
          <w:color w:val="231F20"/>
        </w:rPr>
        <w:t>8,</w:t>
      </w:r>
      <w:r>
        <w:rPr>
          <w:color w:val="231F20"/>
          <w:spacing w:val="-18"/>
        </w:rPr>
        <w:t> </w:t>
      </w:r>
      <w:r>
        <w:rPr>
          <w:color w:val="231F20"/>
        </w:rPr>
        <w:t>§</w:t>
      </w:r>
      <w:r>
        <w:rPr>
          <w:color w:val="231F20"/>
          <w:spacing w:val="-18"/>
        </w:rPr>
        <w:t> </w:t>
      </w:r>
      <w:r>
        <w:rPr>
          <w:color w:val="231F20"/>
        </w:rPr>
        <w:t>14,</w:t>
      </w:r>
      <w:r>
        <w:rPr>
          <w:color w:val="231F20"/>
          <w:spacing w:val="-18"/>
        </w:rPr>
        <w:t> </w:t>
      </w:r>
      <w:r>
        <w:rPr>
          <w:color w:val="231F20"/>
        </w:rPr>
        <w:t>du</w:t>
      </w:r>
      <w:r>
        <w:rPr>
          <w:color w:val="231F20"/>
          <w:spacing w:val="-18"/>
        </w:rPr>
        <w:t> </w:t>
      </w:r>
      <w:r>
        <w:rPr>
          <w:color w:val="231F20"/>
        </w:rPr>
        <w:t>règlement</w:t>
      </w:r>
      <w:r>
        <w:rPr>
          <w:color w:val="231F20"/>
          <w:spacing w:val="-18"/>
        </w:rPr>
        <w:t> </w:t>
      </w:r>
      <w:r>
        <w:rPr>
          <w:color w:val="231F20"/>
        </w:rPr>
        <w:t>(CE)</w:t>
      </w:r>
      <w:r>
        <w:rPr>
          <w:color w:val="231F20"/>
          <w:spacing w:val="-18"/>
        </w:rPr>
        <w:t> </w:t>
      </w:r>
      <w:r>
        <w:rPr>
          <w:color w:val="231F20"/>
        </w:rPr>
        <w:t>n°</w:t>
      </w:r>
      <w:r>
        <w:rPr>
          <w:color w:val="231F20"/>
          <w:spacing w:val="-18"/>
        </w:rPr>
        <w:t> </w:t>
      </w:r>
      <w:r>
        <w:rPr>
          <w:color w:val="231F20"/>
        </w:rPr>
        <w:t>2157/2001, par notification </w:t>
      </w:r>
      <w:r>
        <w:rPr>
          <w:color w:val="231F20"/>
          <w:spacing w:val="-3"/>
        </w:rPr>
        <w:t>officielle </w:t>
      </w:r>
      <w:r>
        <w:rPr>
          <w:color w:val="231F20"/>
        </w:rPr>
        <w:t>à la société concernée dans le délai de deux mois après la publication du projet de transfert aux Annexes du </w:t>
      </w:r>
      <w:r>
        <w:rPr>
          <w:rFonts w:ascii="Times New Roman" w:hAnsi="Times New Roman"/>
          <w:i/>
          <w:color w:val="231F20"/>
        </w:rPr>
        <w:t>Moniteur belge</w:t>
      </w:r>
      <w:r>
        <w:rPr>
          <w:color w:val="231F20"/>
        </w:rPr>
        <w:t>. La notification </w:t>
      </w:r>
      <w:r>
        <w:rPr>
          <w:color w:val="231F20"/>
          <w:spacing w:val="-3"/>
        </w:rPr>
        <w:t>officielle </w:t>
      </w:r>
      <w:r>
        <w:rPr>
          <w:color w:val="231F20"/>
        </w:rPr>
        <w:t>est publiée conformément à l’article 2:14,</w:t>
      </w:r>
      <w:r>
        <w:rPr>
          <w:color w:val="231F20"/>
          <w:spacing w:val="-12"/>
        </w:rPr>
        <w:t> </w:t>
      </w:r>
      <w:r>
        <w:rPr>
          <w:color w:val="231F20"/>
        </w:rPr>
        <w:t>4°.</w:t>
      </w:r>
    </w:p>
    <w:p>
      <w:pPr>
        <w:pStyle w:val="BodyText"/>
        <w:spacing w:line="218" w:lineRule="auto" w:before="136"/>
        <w:ind w:right="38"/>
      </w:pPr>
      <w:r>
        <w:rPr>
          <w:color w:val="231F20"/>
        </w:rPr>
        <w:t>Le certificat prévu par l’article 15:25 ne peut être délivré qu’après le retrait de l’opposition ou annulation de celle-ci par une décision qui n’est pas susceptible de recours.</w:t>
      </w:r>
    </w:p>
    <w:p>
      <w:pPr>
        <w:pStyle w:val="BodyText"/>
        <w:spacing w:line="218" w:lineRule="auto" w:before="150"/>
        <w:ind w:right="38"/>
      </w:pPr>
      <w:r>
        <w:rPr>
          <w:color w:val="231F20"/>
        </w:rPr>
        <w:t>Le Roi détermine, par arrêté délibéré en Conseil des ministres, la procédure accélérée applicable au recours formé à l’encontre de l’opposition visée au présent article.</w:t>
      </w:r>
    </w:p>
    <w:p>
      <w:pPr>
        <w:pStyle w:val="BodyText"/>
        <w:spacing w:line="218" w:lineRule="auto" w:before="149"/>
        <w:ind w:right="38"/>
      </w:pPr>
      <w:r>
        <w:rPr>
          <w:color w:val="231F20"/>
        </w:rPr>
        <w:t>Art. 15:27. La radiation en Belgique de l’ancienne immatriculation suite au transfert à l’étranger du siège statutaire est publiée conformé- ment à l’article 2:14, 4°.</w:t>
      </w:r>
    </w:p>
    <w:p>
      <w:pPr>
        <w:pStyle w:val="BodyText"/>
        <w:spacing w:line="218" w:lineRule="auto" w:before="150"/>
        <w:ind w:right="38"/>
      </w:pPr>
      <w:r>
        <w:rPr>
          <w:color w:val="231F20"/>
        </w:rPr>
        <w:t>Art. 15:28. Le transfert en Belgique du siège statutaire d’une SE doit être constaté par acte authentique. Cet acte ne peut être reçu que sur présentation du certificat délivré par l’autorité compétente dans le pays d’origine de la SE.</w:t>
      </w:r>
    </w:p>
    <w:p>
      <w:pPr>
        <w:pStyle w:val="BodyText"/>
        <w:spacing w:line="218" w:lineRule="auto" w:before="149"/>
        <w:ind w:right="38"/>
      </w:pPr>
      <w:r>
        <w:rPr>
          <w:color w:val="231F20"/>
        </w:rPr>
        <w:t>Cet acte ainsi que la modification des statuts qui en résulte sont déposés et publiés conformément aux articles 2:8 et 2:14, 1°; ils ne prennent effet qu’à dater de l’immatriculation de la société.</w:t>
      </w:r>
    </w:p>
    <w:p>
      <w:pPr>
        <w:pStyle w:val="BodyText"/>
        <w:spacing w:before="7"/>
        <w:ind w:left="0" w:right="0" w:firstLine="0"/>
        <w:jc w:val="left"/>
        <w:rPr>
          <w:sz w:val="28"/>
        </w:rPr>
      </w:pPr>
    </w:p>
    <w:p>
      <w:pPr>
        <w:pStyle w:val="BodyText"/>
        <w:spacing w:line="218" w:lineRule="auto"/>
        <w:ind w:right="38"/>
      </w:pPr>
      <w:r>
        <w:rPr>
          <w:color w:val="231F20"/>
        </w:rPr>
        <w:t>TITRE 5. Comptes annuels et comptes consolidés, et contrôle de ceux-ci - Dispositions particulières applicables à l’administration duale.</w:t>
      </w:r>
    </w:p>
    <w:p>
      <w:pPr>
        <w:pStyle w:val="BodyText"/>
        <w:spacing w:line="218" w:lineRule="auto" w:before="150"/>
        <w:ind w:right="38"/>
      </w:pPr>
      <w:r>
        <w:rPr>
          <w:color w:val="231F20"/>
        </w:rPr>
        <w:t>Art. 15:29. Le conseil de surveillance présente à l’assemblée générale visée à l’article 3:1 un rapport contenant ses observations sur les comptes de l’exercice ainsi que, le cas échéant, sur le rapport de gestion du conseil de direction.</w:t>
      </w:r>
    </w:p>
    <w:p>
      <w:pPr>
        <w:pStyle w:val="BodyText"/>
        <w:spacing w:line="201" w:lineRule="auto" w:before="160"/>
        <w:ind w:right="38"/>
      </w:pPr>
      <w:r>
        <w:rPr>
          <w:color w:val="231F20"/>
        </w:rPr>
        <w:t>Ce rapport est déposé en même temps que les comptes annuels, conformément à l’article 3:12, § 1</w:t>
      </w:r>
      <w:r>
        <w:rPr>
          <w:color w:val="231F20"/>
          <w:position w:val="7"/>
          <w:sz w:val="11"/>
        </w:rPr>
        <w:t>er</w:t>
      </w:r>
      <w:r>
        <w:rPr>
          <w:color w:val="231F20"/>
        </w:rPr>
        <w:t>, 10°.</w:t>
      </w:r>
    </w:p>
    <w:p>
      <w:pPr>
        <w:pStyle w:val="BodyText"/>
        <w:spacing w:before="136"/>
        <w:ind w:left="283" w:right="0" w:firstLine="0"/>
        <w:jc w:val="left"/>
      </w:pPr>
      <w:r>
        <w:rPr>
          <w:color w:val="231F20"/>
        </w:rPr>
        <w:t>TITRE 6. Dissolution et liquidation.</w:t>
      </w:r>
    </w:p>
    <w:p>
      <w:pPr>
        <w:pStyle w:val="BodyText"/>
        <w:spacing w:line="218" w:lineRule="auto" w:before="146"/>
        <w:ind w:right="38"/>
      </w:pPr>
      <w:r>
        <w:rPr>
          <w:color w:val="231F20"/>
        </w:rPr>
        <w:t>Art. 15:30. A la demande de tout intéressé ou du ministère public, le tribunal de l’entreprise prononce la dissolution de la société euro- péenne qui a son siège statutaire en Belgique si son administration centrale n’y est pas située.</w:t>
      </w:r>
    </w:p>
    <w:p>
      <w:pPr>
        <w:pStyle w:val="BodyText"/>
        <w:spacing w:line="211" w:lineRule="auto" w:before="155"/>
        <w:ind w:right="38"/>
      </w:pPr>
      <w:r>
        <w:rPr>
          <w:color w:val="231F20"/>
          <w:spacing w:val="-4"/>
        </w:rPr>
        <w:t>Avant </w:t>
      </w:r>
      <w:r>
        <w:rPr>
          <w:color w:val="231F20"/>
        </w:rPr>
        <w:t>de prononcer la dissolution, le tribunal peut accorder à la société européenne un délai pour régulariser sa situation conformé- ment</w:t>
      </w:r>
      <w:r>
        <w:rPr>
          <w:color w:val="231F20"/>
          <w:spacing w:val="14"/>
        </w:rPr>
        <w:t> </w:t>
      </w:r>
      <w:r>
        <w:rPr>
          <w:color w:val="231F20"/>
        </w:rPr>
        <w:t>à</w:t>
      </w:r>
      <w:r>
        <w:rPr>
          <w:color w:val="231F20"/>
          <w:spacing w:val="14"/>
        </w:rPr>
        <w:t> </w:t>
      </w:r>
      <w:r>
        <w:rPr>
          <w:color w:val="231F20"/>
        </w:rPr>
        <w:t>l’article</w:t>
      </w:r>
      <w:r>
        <w:rPr>
          <w:color w:val="231F20"/>
          <w:spacing w:val="14"/>
        </w:rPr>
        <w:t> </w:t>
      </w:r>
      <w:r>
        <w:rPr>
          <w:color w:val="231F20"/>
        </w:rPr>
        <w:t>64,</w:t>
      </w:r>
      <w:r>
        <w:rPr>
          <w:color w:val="231F20"/>
          <w:spacing w:val="14"/>
        </w:rPr>
        <w:t> </w:t>
      </w:r>
      <w:r>
        <w:rPr>
          <w:color w:val="231F20"/>
        </w:rPr>
        <w:t>§</w:t>
      </w:r>
      <w:r>
        <w:rPr>
          <w:color w:val="231F20"/>
          <w:spacing w:val="14"/>
        </w:rPr>
        <w:t> </w:t>
      </w:r>
      <w:r>
        <w:rPr>
          <w:color w:val="231F20"/>
        </w:rPr>
        <w:t>1</w:t>
      </w:r>
      <w:r>
        <w:rPr>
          <w:color w:val="231F20"/>
          <w:position w:val="7"/>
          <w:sz w:val="11"/>
        </w:rPr>
        <w:t>er</w:t>
      </w:r>
      <w:r>
        <w:rPr>
          <w:color w:val="231F20"/>
        </w:rPr>
        <w:t>,</w:t>
      </w:r>
      <w:r>
        <w:rPr>
          <w:color w:val="231F20"/>
          <w:spacing w:val="15"/>
        </w:rPr>
        <w:t> </w:t>
      </w:r>
      <w:r>
        <w:rPr>
          <w:color w:val="231F20"/>
        </w:rPr>
        <w:t>du</w:t>
      </w:r>
      <w:r>
        <w:rPr>
          <w:color w:val="231F20"/>
          <w:spacing w:val="14"/>
        </w:rPr>
        <w:t> </w:t>
      </w:r>
      <w:r>
        <w:rPr>
          <w:color w:val="231F20"/>
        </w:rPr>
        <w:t>règlement</w:t>
      </w:r>
      <w:r>
        <w:rPr>
          <w:color w:val="231F20"/>
          <w:spacing w:val="14"/>
        </w:rPr>
        <w:t> </w:t>
      </w:r>
      <w:r>
        <w:rPr>
          <w:color w:val="231F20"/>
        </w:rPr>
        <w:t>(CE)</w:t>
      </w:r>
      <w:r>
        <w:rPr>
          <w:color w:val="231F20"/>
          <w:spacing w:val="14"/>
        </w:rPr>
        <w:t> </w:t>
      </w:r>
      <w:r>
        <w:rPr>
          <w:color w:val="231F20"/>
        </w:rPr>
        <w:t>n°</w:t>
      </w:r>
      <w:r>
        <w:rPr>
          <w:color w:val="231F20"/>
          <w:spacing w:val="14"/>
        </w:rPr>
        <w:t> </w:t>
      </w:r>
      <w:r>
        <w:rPr>
          <w:color w:val="231F20"/>
        </w:rPr>
        <w:t>2157/2001.</w:t>
      </w:r>
    </w:p>
    <w:p>
      <w:pPr>
        <w:pStyle w:val="BodyText"/>
        <w:spacing w:before="4"/>
        <w:ind w:left="0" w:right="0" w:firstLine="0"/>
        <w:jc w:val="left"/>
        <w:rPr>
          <w:sz w:val="28"/>
        </w:rPr>
      </w:pPr>
    </w:p>
    <w:p>
      <w:pPr>
        <w:pStyle w:val="BodyText"/>
        <w:spacing w:line="218" w:lineRule="auto" w:before="1"/>
        <w:ind w:right="39"/>
      </w:pPr>
      <w:r>
        <w:rPr>
          <w:color w:val="231F20"/>
        </w:rPr>
        <w:t>Conformément à l’article 64, § 3, du règlement (CE) n° 2157/2001, cette</w:t>
      </w:r>
      <w:r>
        <w:rPr>
          <w:color w:val="231F20"/>
          <w:spacing w:val="15"/>
        </w:rPr>
        <w:t> </w:t>
      </w:r>
      <w:r>
        <w:rPr>
          <w:color w:val="231F20"/>
        </w:rPr>
        <w:t>décision</w:t>
      </w:r>
      <w:r>
        <w:rPr>
          <w:color w:val="231F20"/>
          <w:spacing w:val="16"/>
        </w:rPr>
        <w:t> </w:t>
      </w:r>
      <w:r>
        <w:rPr>
          <w:color w:val="231F20"/>
        </w:rPr>
        <w:t>n’est</w:t>
      </w:r>
      <w:r>
        <w:rPr>
          <w:color w:val="231F20"/>
          <w:spacing w:val="16"/>
        </w:rPr>
        <w:t> </w:t>
      </w:r>
      <w:r>
        <w:rPr>
          <w:color w:val="231F20"/>
        </w:rPr>
        <w:t>pas</w:t>
      </w:r>
      <w:r>
        <w:rPr>
          <w:color w:val="231F20"/>
          <w:spacing w:val="16"/>
        </w:rPr>
        <w:t> </w:t>
      </w:r>
      <w:r>
        <w:rPr>
          <w:color w:val="231F20"/>
        </w:rPr>
        <w:t>susceptible</w:t>
      </w:r>
      <w:r>
        <w:rPr>
          <w:color w:val="231F20"/>
          <w:spacing w:val="16"/>
        </w:rPr>
        <w:t> </w:t>
      </w:r>
      <w:r>
        <w:rPr>
          <w:color w:val="231F20"/>
        </w:rPr>
        <w:t>d’exécution</w:t>
      </w:r>
      <w:r>
        <w:rPr>
          <w:color w:val="231F20"/>
          <w:spacing w:val="16"/>
        </w:rPr>
        <w:t> </w:t>
      </w:r>
      <w:r>
        <w:rPr>
          <w:color w:val="231F20"/>
        </w:rPr>
        <w:t>provisoire.</w:t>
      </w:r>
    </w:p>
    <w:p>
      <w:pPr>
        <w:pStyle w:val="BodyText"/>
        <w:spacing w:line="218" w:lineRule="auto" w:before="149"/>
        <w:ind w:right="39"/>
      </w:pPr>
      <w:r>
        <w:rPr>
          <w:color w:val="231F20"/>
        </w:rPr>
        <w:t>Art. 15:31.  La  publicité  prévue  à  l’article  65  du  règlement  (CE)  n°</w:t>
      </w:r>
      <w:r>
        <w:rPr>
          <w:color w:val="231F20"/>
          <w:spacing w:val="9"/>
        </w:rPr>
        <w:t> </w:t>
      </w:r>
      <w:r>
        <w:rPr>
          <w:color w:val="231F20"/>
        </w:rPr>
        <w:t>2157/2001</w:t>
      </w:r>
      <w:r>
        <w:rPr>
          <w:color w:val="231F20"/>
          <w:spacing w:val="10"/>
        </w:rPr>
        <w:t> </w:t>
      </w:r>
      <w:r>
        <w:rPr>
          <w:color w:val="231F20"/>
        </w:rPr>
        <w:t>se</w:t>
      </w:r>
      <w:r>
        <w:rPr>
          <w:color w:val="231F20"/>
          <w:spacing w:val="10"/>
        </w:rPr>
        <w:t> </w:t>
      </w:r>
      <w:r>
        <w:rPr>
          <w:color w:val="231F20"/>
        </w:rPr>
        <w:t>réalise</w:t>
      </w:r>
      <w:r>
        <w:rPr>
          <w:color w:val="231F20"/>
          <w:spacing w:val="10"/>
        </w:rPr>
        <w:t> </w:t>
      </w:r>
      <w:r>
        <w:rPr>
          <w:color w:val="231F20"/>
        </w:rPr>
        <w:t>conformément</w:t>
      </w:r>
      <w:r>
        <w:rPr>
          <w:color w:val="231F20"/>
          <w:spacing w:val="10"/>
        </w:rPr>
        <w:t> </w:t>
      </w:r>
      <w:r>
        <w:rPr>
          <w:color w:val="231F20"/>
        </w:rPr>
        <w:t>aux</w:t>
      </w:r>
      <w:r>
        <w:rPr>
          <w:color w:val="231F20"/>
          <w:spacing w:val="10"/>
        </w:rPr>
        <w:t> </w:t>
      </w:r>
      <w:r>
        <w:rPr>
          <w:color w:val="231F20"/>
        </w:rPr>
        <w:t>articles</w:t>
      </w:r>
      <w:r>
        <w:rPr>
          <w:color w:val="231F20"/>
          <w:spacing w:val="10"/>
        </w:rPr>
        <w:t> </w:t>
      </w:r>
      <w:r>
        <w:rPr>
          <w:color w:val="231F20"/>
        </w:rPr>
        <w:t>2:8</w:t>
      </w:r>
      <w:r>
        <w:rPr>
          <w:color w:val="231F20"/>
          <w:spacing w:val="10"/>
        </w:rPr>
        <w:t> </w:t>
      </w:r>
      <w:r>
        <w:rPr>
          <w:color w:val="231F20"/>
        </w:rPr>
        <w:t>et</w:t>
      </w:r>
      <w:r>
        <w:rPr>
          <w:color w:val="231F20"/>
          <w:spacing w:val="10"/>
        </w:rPr>
        <w:t> </w:t>
      </w:r>
      <w:r>
        <w:rPr>
          <w:color w:val="231F20"/>
        </w:rPr>
        <w:t>2:14,</w:t>
      </w:r>
      <w:r>
        <w:rPr>
          <w:color w:val="231F20"/>
          <w:spacing w:val="10"/>
        </w:rPr>
        <w:t> </w:t>
      </w:r>
      <w:r>
        <w:rPr>
          <w:color w:val="231F20"/>
        </w:rPr>
        <w:t>1°.</w:t>
      </w:r>
    </w:p>
    <w:p>
      <w:pPr>
        <w:pStyle w:val="BodyText"/>
        <w:spacing w:before="135"/>
        <w:ind w:left="283" w:right="0" w:firstLine="0"/>
        <w:jc w:val="left"/>
      </w:pPr>
      <w:r>
        <w:rPr>
          <w:color w:val="231F20"/>
        </w:rPr>
        <w:t>TITRE 7. Transformation d’une SE en SA.</w:t>
      </w:r>
    </w:p>
    <w:p>
      <w:pPr>
        <w:pStyle w:val="BodyText"/>
        <w:spacing w:line="218" w:lineRule="auto" w:before="146"/>
        <w:ind w:right="39"/>
      </w:pPr>
      <w:r>
        <w:rPr>
          <w:color w:val="231F20"/>
        </w:rPr>
        <w:t>Art. 15:32. Le projet de transformation est publié et déposé confor- mément aux articles 2:8 et 2:14, 4°.</w:t>
      </w:r>
    </w:p>
    <w:p>
      <w:pPr>
        <w:pStyle w:val="BodyText"/>
        <w:spacing w:line="218" w:lineRule="auto" w:before="150"/>
        <w:ind w:right="38"/>
      </w:pPr>
      <w:r>
        <w:rPr>
          <w:color w:val="231F20"/>
        </w:rPr>
        <w:t>Art.</w:t>
      </w:r>
      <w:r>
        <w:rPr>
          <w:color w:val="231F20"/>
          <w:spacing w:val="-8"/>
        </w:rPr>
        <w:t> </w:t>
      </w:r>
      <w:r>
        <w:rPr>
          <w:color w:val="231F20"/>
        </w:rPr>
        <w:t>15:33.</w:t>
      </w:r>
      <w:r>
        <w:rPr>
          <w:color w:val="231F20"/>
          <w:spacing w:val="-7"/>
        </w:rPr>
        <w:t> </w:t>
      </w:r>
      <w:r>
        <w:rPr>
          <w:color w:val="231F20"/>
        </w:rPr>
        <w:t>Le</w:t>
      </w:r>
      <w:r>
        <w:rPr>
          <w:color w:val="231F20"/>
          <w:spacing w:val="-7"/>
        </w:rPr>
        <w:t> </w:t>
      </w:r>
      <w:r>
        <w:rPr>
          <w:color w:val="231F20"/>
        </w:rPr>
        <w:t>ou</w:t>
      </w:r>
      <w:r>
        <w:rPr>
          <w:color w:val="231F20"/>
          <w:spacing w:val="-7"/>
        </w:rPr>
        <w:t> </w:t>
      </w:r>
      <w:r>
        <w:rPr>
          <w:color w:val="231F20"/>
        </w:rPr>
        <w:t>les</w:t>
      </w:r>
      <w:r>
        <w:rPr>
          <w:color w:val="231F20"/>
          <w:spacing w:val="-8"/>
        </w:rPr>
        <w:t> </w:t>
      </w:r>
      <w:r>
        <w:rPr>
          <w:color w:val="231F20"/>
        </w:rPr>
        <w:t>expert(s)</w:t>
      </w:r>
      <w:r>
        <w:rPr>
          <w:color w:val="231F20"/>
          <w:spacing w:val="-7"/>
        </w:rPr>
        <w:t> </w:t>
      </w:r>
      <w:r>
        <w:rPr>
          <w:color w:val="231F20"/>
        </w:rPr>
        <w:t>indépendant(s),</w:t>
      </w:r>
      <w:r>
        <w:rPr>
          <w:color w:val="231F20"/>
          <w:spacing w:val="-7"/>
        </w:rPr>
        <w:t> </w:t>
      </w:r>
      <w:r>
        <w:rPr>
          <w:color w:val="231F20"/>
        </w:rPr>
        <w:t>visé(s)</w:t>
      </w:r>
      <w:r>
        <w:rPr>
          <w:color w:val="231F20"/>
          <w:spacing w:val="-7"/>
        </w:rPr>
        <w:t> </w:t>
      </w:r>
      <w:r>
        <w:rPr>
          <w:color w:val="231F20"/>
        </w:rPr>
        <w:t>à</w:t>
      </w:r>
      <w:r>
        <w:rPr>
          <w:color w:val="231F20"/>
          <w:spacing w:val="-7"/>
        </w:rPr>
        <w:t> </w:t>
      </w:r>
      <w:r>
        <w:rPr>
          <w:color w:val="231F20"/>
        </w:rPr>
        <w:t>l’article</w:t>
      </w:r>
      <w:r>
        <w:rPr>
          <w:color w:val="231F20"/>
          <w:spacing w:val="-8"/>
        </w:rPr>
        <w:t> </w:t>
      </w:r>
      <w:r>
        <w:rPr>
          <w:color w:val="231F20"/>
        </w:rPr>
        <w:t>66,</w:t>
      </w:r>
      <w:r>
        <w:rPr>
          <w:color w:val="231F20"/>
          <w:spacing w:val="-7"/>
        </w:rPr>
        <w:t> </w:t>
      </w:r>
      <w:r>
        <w:rPr>
          <w:color w:val="231F20"/>
        </w:rPr>
        <w:t>§</w:t>
      </w:r>
      <w:r>
        <w:rPr>
          <w:color w:val="231F20"/>
          <w:spacing w:val="-7"/>
        </w:rPr>
        <w:t> </w:t>
      </w:r>
      <w:r>
        <w:rPr>
          <w:color w:val="231F20"/>
        </w:rPr>
        <w:t>5, du règlement (CE) n° 2157/2001 sont le commissaire, ou, lorsqu’il n’y  a pas de commissaire, un réviseur d’entreprises ou un expert- comptable</w:t>
      </w:r>
      <w:r>
        <w:rPr>
          <w:color w:val="231F20"/>
          <w:spacing w:val="16"/>
        </w:rPr>
        <w:t> </w:t>
      </w:r>
      <w:r>
        <w:rPr>
          <w:color w:val="231F20"/>
        </w:rPr>
        <w:t>externe</w:t>
      </w:r>
      <w:r>
        <w:rPr>
          <w:color w:val="231F20"/>
          <w:spacing w:val="16"/>
        </w:rPr>
        <w:t> </w:t>
      </w:r>
      <w:r>
        <w:rPr>
          <w:color w:val="231F20"/>
        </w:rPr>
        <w:t>désigné</w:t>
      </w:r>
      <w:r>
        <w:rPr>
          <w:color w:val="231F20"/>
          <w:spacing w:val="16"/>
        </w:rPr>
        <w:t> </w:t>
      </w:r>
      <w:r>
        <w:rPr>
          <w:color w:val="231F20"/>
        </w:rPr>
        <w:t>par</w:t>
      </w:r>
      <w:r>
        <w:rPr>
          <w:color w:val="231F20"/>
          <w:spacing w:val="16"/>
        </w:rPr>
        <w:t> </w:t>
      </w:r>
      <w:r>
        <w:rPr>
          <w:color w:val="231F20"/>
        </w:rPr>
        <w:t>l’organe</w:t>
      </w:r>
      <w:r>
        <w:rPr>
          <w:color w:val="231F20"/>
          <w:spacing w:val="16"/>
        </w:rPr>
        <w:t> </w:t>
      </w:r>
      <w:r>
        <w:rPr>
          <w:color w:val="231F20"/>
        </w:rPr>
        <w:t>d’administration.</w:t>
      </w:r>
    </w:p>
    <w:p>
      <w:pPr>
        <w:pStyle w:val="BodyText"/>
        <w:spacing w:before="135"/>
        <w:ind w:left="283" w:right="0" w:firstLine="0"/>
        <w:jc w:val="left"/>
      </w:pPr>
      <w:r>
        <w:rPr>
          <w:color w:val="231F20"/>
        </w:rPr>
        <w:t>TITRE 8. Dispositions pénales.</w:t>
      </w:r>
    </w:p>
    <w:p>
      <w:pPr>
        <w:pStyle w:val="BodyText"/>
        <w:spacing w:line="218" w:lineRule="auto" w:before="146"/>
        <w:ind w:right="39"/>
      </w:pPr>
      <w:r>
        <w:rPr>
          <w:color w:val="231F20"/>
        </w:rPr>
        <w:t>Art. 15:34. Les dispositions pénales du présent code relatives à la société anonyme sont applicables par analogie à la SE.</w:t>
      </w:r>
    </w:p>
    <w:p>
      <w:pPr>
        <w:pStyle w:val="BodyText"/>
        <w:spacing w:line="218" w:lineRule="auto" w:before="119"/>
      </w:pPr>
      <w:r>
        <w:rPr/>
        <w:br w:type="column"/>
      </w:r>
      <w:r>
        <w:rPr>
          <w:color w:val="231F20"/>
        </w:rPr>
        <w:t>Art. 15:23. Op de gewone algemene vergadering beslist de algemene vergadering over de kwijting aan de leden van de raad van toezicht en aan de leden van de directieraad, ieder voor de hem toegewezen bevoegdheden.</w:t>
      </w:r>
    </w:p>
    <w:p>
      <w:pPr>
        <w:pStyle w:val="BodyText"/>
        <w:spacing w:before="125"/>
        <w:ind w:left="283" w:right="0" w:firstLine="0"/>
        <w:jc w:val="left"/>
      </w:pPr>
      <w:r>
        <w:rPr>
          <w:color w:val="231F20"/>
        </w:rPr>
        <w:t>TITEL 4. Verplaatsing van de statutaire zetel.</w:t>
      </w:r>
    </w:p>
    <w:p>
      <w:pPr>
        <w:pStyle w:val="BodyText"/>
        <w:spacing w:line="218" w:lineRule="auto" w:before="136"/>
      </w:pPr>
      <w:r>
        <w:rPr>
          <w:color w:val="231F20"/>
        </w:rPr>
        <w:t>Art. 15:24. Het voorstel tot zetelverplaatsing wordt neergelegd en bekendgemaakt overeenkomstig de artikelen 2:8 en 2:14, 4°.</w:t>
      </w:r>
    </w:p>
    <w:p>
      <w:pPr>
        <w:pStyle w:val="BodyText"/>
        <w:spacing w:line="218" w:lineRule="auto" w:before="138"/>
      </w:pPr>
      <w:r>
        <w:rPr>
          <w:color w:val="231F20"/>
        </w:rPr>
        <w:t>Art. 15:25. Overeenkomstig artikel 8, lid 8, van verordening (EG)    </w:t>
      </w:r>
      <w:r>
        <w:rPr>
          <w:color w:val="231F20"/>
          <w:spacing w:val="-5"/>
        </w:rPr>
        <w:t>nr. </w:t>
      </w:r>
      <w:r>
        <w:rPr>
          <w:color w:val="231F20"/>
        </w:rPr>
        <w:t>2157/2001 geeft een instrumenterende notaris met standplaats in België een attest af waaruit afdoende blijkt dat de aan de zetelverplaat- sing</w:t>
      </w:r>
      <w:r>
        <w:rPr>
          <w:color w:val="231F20"/>
          <w:spacing w:val="18"/>
        </w:rPr>
        <w:t> </w:t>
      </w:r>
      <w:r>
        <w:rPr>
          <w:color w:val="231F20"/>
        </w:rPr>
        <w:t>voorafgaande</w:t>
      </w:r>
      <w:r>
        <w:rPr>
          <w:color w:val="231F20"/>
          <w:spacing w:val="19"/>
        </w:rPr>
        <w:t> </w:t>
      </w:r>
      <w:r>
        <w:rPr>
          <w:color w:val="231F20"/>
        </w:rPr>
        <w:t>handelingen</w:t>
      </w:r>
      <w:r>
        <w:rPr>
          <w:color w:val="231F20"/>
          <w:spacing w:val="18"/>
        </w:rPr>
        <w:t> </w:t>
      </w:r>
      <w:r>
        <w:rPr>
          <w:color w:val="231F20"/>
        </w:rPr>
        <w:t>en</w:t>
      </w:r>
      <w:r>
        <w:rPr>
          <w:color w:val="231F20"/>
          <w:spacing w:val="19"/>
        </w:rPr>
        <w:t> </w:t>
      </w:r>
      <w:r>
        <w:rPr>
          <w:color w:val="231F20"/>
        </w:rPr>
        <w:t>formaliteiten</w:t>
      </w:r>
      <w:r>
        <w:rPr>
          <w:color w:val="231F20"/>
          <w:spacing w:val="18"/>
        </w:rPr>
        <w:t> </w:t>
      </w:r>
      <w:r>
        <w:rPr>
          <w:color w:val="231F20"/>
        </w:rPr>
        <w:t>zijn</w:t>
      </w:r>
      <w:r>
        <w:rPr>
          <w:color w:val="231F20"/>
          <w:spacing w:val="19"/>
        </w:rPr>
        <w:t> </w:t>
      </w:r>
      <w:r>
        <w:rPr>
          <w:color w:val="231F20"/>
        </w:rPr>
        <w:t>vervuld.</w:t>
      </w:r>
    </w:p>
    <w:p>
      <w:pPr>
        <w:pStyle w:val="BodyText"/>
        <w:spacing w:line="218" w:lineRule="auto" w:before="139"/>
        <w:ind w:right="123"/>
      </w:pPr>
      <w:r>
        <w:rPr>
          <w:color w:val="231F20"/>
        </w:rPr>
        <w:t>Art. 15:26. De zetelverplaatsing van een Europese vennootschap met statutaire zetel in België naar een andere lidstaat heeft geen rechtsge- volg wanneer de minister bevoegd voor Economie zich daartegen </w:t>
      </w:r>
      <w:r>
        <w:rPr>
          <w:color w:val="231F20"/>
          <w:spacing w:val="-3"/>
        </w:rPr>
        <w:t>overeenkomstig</w:t>
      </w:r>
      <w:r>
        <w:rPr>
          <w:color w:val="231F20"/>
          <w:spacing w:val="-12"/>
        </w:rPr>
        <w:t> </w:t>
      </w:r>
      <w:r>
        <w:rPr>
          <w:color w:val="231F20"/>
        </w:rPr>
        <w:t>artikel</w:t>
      </w:r>
      <w:r>
        <w:rPr>
          <w:color w:val="231F20"/>
          <w:spacing w:val="-11"/>
        </w:rPr>
        <w:t> </w:t>
      </w:r>
      <w:r>
        <w:rPr>
          <w:color w:val="231F20"/>
        </w:rPr>
        <w:t>8,</w:t>
      </w:r>
      <w:r>
        <w:rPr>
          <w:color w:val="231F20"/>
          <w:spacing w:val="-12"/>
        </w:rPr>
        <w:t> </w:t>
      </w:r>
      <w:r>
        <w:rPr>
          <w:color w:val="231F20"/>
        </w:rPr>
        <w:t>lid</w:t>
      </w:r>
      <w:r>
        <w:rPr>
          <w:color w:val="231F20"/>
          <w:spacing w:val="-11"/>
        </w:rPr>
        <w:t> </w:t>
      </w:r>
      <w:r>
        <w:rPr>
          <w:color w:val="231F20"/>
        </w:rPr>
        <w:t>14,</w:t>
      </w:r>
      <w:r>
        <w:rPr>
          <w:color w:val="231F20"/>
          <w:spacing w:val="-12"/>
        </w:rPr>
        <w:t> </w:t>
      </w:r>
      <w:r>
        <w:rPr>
          <w:color w:val="231F20"/>
        </w:rPr>
        <w:t>van</w:t>
      </w:r>
      <w:r>
        <w:rPr>
          <w:color w:val="231F20"/>
          <w:spacing w:val="-11"/>
        </w:rPr>
        <w:t> </w:t>
      </w:r>
      <w:r>
        <w:rPr>
          <w:color w:val="231F20"/>
          <w:spacing w:val="-3"/>
        </w:rPr>
        <w:t>verordening</w:t>
      </w:r>
      <w:r>
        <w:rPr>
          <w:color w:val="231F20"/>
          <w:spacing w:val="-12"/>
        </w:rPr>
        <w:t> </w:t>
      </w:r>
      <w:r>
        <w:rPr>
          <w:color w:val="231F20"/>
        </w:rPr>
        <w:t>(EG)</w:t>
      </w:r>
      <w:r>
        <w:rPr>
          <w:color w:val="231F20"/>
          <w:spacing w:val="-11"/>
        </w:rPr>
        <w:t> </w:t>
      </w:r>
      <w:r>
        <w:rPr>
          <w:color w:val="231F20"/>
          <w:spacing w:val="-6"/>
        </w:rPr>
        <w:t>nr.</w:t>
      </w:r>
      <w:r>
        <w:rPr>
          <w:color w:val="231F20"/>
          <w:spacing w:val="-11"/>
        </w:rPr>
        <w:t> </w:t>
      </w:r>
      <w:r>
        <w:rPr>
          <w:color w:val="231F20"/>
        </w:rPr>
        <w:t>2157/2001</w:t>
      </w:r>
      <w:r>
        <w:rPr>
          <w:color w:val="231F20"/>
          <w:spacing w:val="-12"/>
        </w:rPr>
        <w:t> </w:t>
      </w:r>
      <w:r>
        <w:rPr>
          <w:color w:val="231F20"/>
        </w:rPr>
        <w:t>mid- dels </w:t>
      </w:r>
      <w:r>
        <w:rPr>
          <w:color w:val="231F20"/>
          <w:spacing w:val="-3"/>
        </w:rPr>
        <w:t>officiële </w:t>
      </w:r>
      <w:r>
        <w:rPr>
          <w:color w:val="231F20"/>
        </w:rPr>
        <w:t>kennisgeving verzet binnen twee maanden na de bekend- making van het verplaatsingsvoorstel in de Bijlagen bij het </w:t>
      </w:r>
      <w:r>
        <w:rPr>
          <w:rFonts w:ascii="Times New Roman" w:hAnsi="Times New Roman"/>
          <w:i/>
          <w:color w:val="231F20"/>
        </w:rPr>
        <w:t>Belgisch </w:t>
      </w:r>
      <w:r>
        <w:rPr>
          <w:rFonts w:ascii="Times New Roman" w:hAnsi="Times New Roman"/>
          <w:i/>
          <w:color w:val="231F20"/>
        </w:rPr>
        <w:t>Staatsblad</w:t>
      </w:r>
      <w:r>
        <w:rPr>
          <w:color w:val="231F20"/>
        </w:rPr>
        <w:t>. De </w:t>
      </w:r>
      <w:r>
        <w:rPr>
          <w:color w:val="231F20"/>
          <w:spacing w:val="-3"/>
        </w:rPr>
        <w:t>officiële </w:t>
      </w:r>
      <w:r>
        <w:rPr>
          <w:color w:val="231F20"/>
        </w:rPr>
        <w:t>kennisgeving wordt gepubliceerd in overeen- stemming met artikel 2:14,</w:t>
      </w:r>
      <w:r>
        <w:rPr>
          <w:color w:val="231F20"/>
          <w:spacing w:val="16"/>
        </w:rPr>
        <w:t> </w:t>
      </w:r>
      <w:r>
        <w:rPr>
          <w:color w:val="231F20"/>
        </w:rPr>
        <w:t>4°.</w:t>
      </w:r>
    </w:p>
    <w:p>
      <w:pPr>
        <w:pStyle w:val="BodyText"/>
        <w:spacing w:line="218" w:lineRule="auto" w:before="134"/>
      </w:pPr>
      <w:r>
        <w:rPr>
          <w:color w:val="231F20"/>
        </w:rPr>
        <w:t>Het attest bedoeld in artikel 15:25 kan pas worden afgeleverd nadat het verzet is ingetrokken of vernietigd door een beslissing die niet vatbaar is voor verhaal.</w:t>
      </w:r>
    </w:p>
    <w:p>
      <w:pPr>
        <w:pStyle w:val="BodyText"/>
        <w:spacing w:line="218" w:lineRule="auto" w:before="150"/>
      </w:pPr>
      <w:r>
        <w:rPr>
          <w:color w:val="231F20"/>
        </w:rPr>
        <w:t>De Koning bepaalt bij een in Ministerraad overlegd besluit de versnelde procedure die van toepassing is op het beroep tegen het verzet bedoeld in dit</w:t>
      </w:r>
      <w:r>
        <w:rPr>
          <w:color w:val="231F20"/>
          <w:spacing w:val="20"/>
        </w:rPr>
        <w:t> </w:t>
      </w:r>
      <w:r>
        <w:rPr>
          <w:color w:val="231F20"/>
        </w:rPr>
        <w:t>artikel.</w:t>
      </w:r>
    </w:p>
    <w:p>
      <w:pPr>
        <w:pStyle w:val="BodyText"/>
        <w:spacing w:line="218" w:lineRule="auto" w:before="149"/>
      </w:pPr>
      <w:r>
        <w:rPr>
          <w:color w:val="231F20"/>
        </w:rPr>
        <w:t>Art. 15:27. De doorhaling in België van de oude inschrijving ten gevolge van de verplaatsing van de statutaire zetel naar het buitenland wordt overeenkomstig artikel 2:14, 4°, bekendgemaakt.</w:t>
      </w:r>
    </w:p>
    <w:p>
      <w:pPr>
        <w:pStyle w:val="BodyText"/>
        <w:spacing w:line="218" w:lineRule="auto" w:before="150"/>
      </w:pPr>
      <w:r>
        <w:rPr>
          <w:color w:val="231F20"/>
        </w:rPr>
        <w:t>Art. 15:28. De verplaatsing in België van de statutaire zetel van een SE moet in een authentieke akte worden vastgesteld. Deze akte kan pas worden verleden op voorlegging van het attest afgeleverd door de bevoegde</w:t>
      </w:r>
      <w:r>
        <w:rPr>
          <w:color w:val="231F20"/>
          <w:spacing w:val="16"/>
        </w:rPr>
        <w:t> </w:t>
      </w:r>
      <w:r>
        <w:rPr>
          <w:color w:val="231F20"/>
        </w:rPr>
        <w:t>instantie</w:t>
      </w:r>
      <w:r>
        <w:rPr>
          <w:color w:val="231F20"/>
          <w:spacing w:val="16"/>
        </w:rPr>
        <w:t> </w:t>
      </w:r>
      <w:r>
        <w:rPr>
          <w:color w:val="231F20"/>
        </w:rPr>
        <w:t>in</w:t>
      </w:r>
      <w:r>
        <w:rPr>
          <w:color w:val="231F20"/>
          <w:spacing w:val="16"/>
        </w:rPr>
        <w:t> </w:t>
      </w:r>
      <w:r>
        <w:rPr>
          <w:color w:val="231F20"/>
        </w:rPr>
        <w:t>het</w:t>
      </w:r>
      <w:r>
        <w:rPr>
          <w:color w:val="231F20"/>
          <w:spacing w:val="17"/>
        </w:rPr>
        <w:t> </w:t>
      </w:r>
      <w:r>
        <w:rPr>
          <w:color w:val="231F20"/>
        </w:rPr>
        <w:t>land</w:t>
      </w:r>
      <w:r>
        <w:rPr>
          <w:color w:val="231F20"/>
          <w:spacing w:val="16"/>
        </w:rPr>
        <w:t> </w:t>
      </w:r>
      <w:r>
        <w:rPr>
          <w:color w:val="231F20"/>
        </w:rPr>
        <w:t>van</w:t>
      </w:r>
      <w:r>
        <w:rPr>
          <w:color w:val="231F20"/>
          <w:spacing w:val="16"/>
        </w:rPr>
        <w:t> </w:t>
      </w:r>
      <w:r>
        <w:rPr>
          <w:color w:val="231F20"/>
        </w:rPr>
        <w:t>oorsprong</w:t>
      </w:r>
      <w:r>
        <w:rPr>
          <w:color w:val="231F20"/>
          <w:spacing w:val="16"/>
        </w:rPr>
        <w:t> </w:t>
      </w:r>
      <w:r>
        <w:rPr>
          <w:color w:val="231F20"/>
        </w:rPr>
        <w:t>van</w:t>
      </w:r>
      <w:r>
        <w:rPr>
          <w:color w:val="231F20"/>
          <w:spacing w:val="17"/>
        </w:rPr>
        <w:t> </w:t>
      </w:r>
      <w:r>
        <w:rPr>
          <w:color w:val="231F20"/>
        </w:rPr>
        <w:t>de</w:t>
      </w:r>
      <w:r>
        <w:rPr>
          <w:color w:val="231F20"/>
          <w:spacing w:val="16"/>
        </w:rPr>
        <w:t> </w:t>
      </w:r>
      <w:r>
        <w:rPr>
          <w:color w:val="231F20"/>
        </w:rPr>
        <w:t>SE.</w:t>
      </w:r>
    </w:p>
    <w:p>
      <w:pPr>
        <w:pStyle w:val="BodyText"/>
        <w:spacing w:line="218" w:lineRule="auto" w:before="149"/>
      </w:pPr>
      <w:r>
        <w:rPr>
          <w:color w:val="231F20"/>
        </w:rPr>
        <w:t>Deze akte alsook de daarmee gepaard gaande statutenwijziging worden neergelegd en bekendgemaakt overeenkomstig de artikelen 2:8 en 2:14, 1°; zij worden pas van kracht vanaf de inschrijving van de vennootschap.</w:t>
      </w:r>
    </w:p>
    <w:p>
      <w:pPr>
        <w:pStyle w:val="BodyText"/>
        <w:spacing w:line="218" w:lineRule="auto" w:before="150"/>
      </w:pPr>
      <w:r>
        <w:rPr>
          <w:color w:val="231F20"/>
        </w:rPr>
        <w:t>TITEL 5. Jaarrekening en geconsolideerde jaarrekening, en controle hierop - Specifieke bepalingen van toepassing op het duale bestuur.</w:t>
      </w:r>
    </w:p>
    <w:p>
      <w:pPr>
        <w:pStyle w:val="BodyText"/>
        <w:spacing w:line="218" w:lineRule="auto" w:before="149"/>
      </w:pPr>
      <w:r>
        <w:rPr>
          <w:color w:val="231F20"/>
        </w:rPr>
        <w:t>Art. 15:29. De raad van toezicht legt aan de algemene vergadering bepaald in artikel 3:1 een verslag voor met zijn opmerkingen over de rekeningen van het boekjaar, alsook, in voorkomend geval, over het jaarverslag van de directieraad.</w:t>
      </w:r>
    </w:p>
    <w:p>
      <w:pPr>
        <w:pStyle w:val="BodyText"/>
        <w:spacing w:line="218" w:lineRule="auto" w:before="150"/>
      </w:pPr>
      <w:r>
        <w:rPr>
          <w:color w:val="231F20"/>
        </w:rPr>
        <w:t>Dit verslag wordt samen met de  jaarrekening  overeenkomstig artikel</w:t>
      </w:r>
      <w:r>
        <w:rPr>
          <w:color w:val="231F20"/>
          <w:spacing w:val="14"/>
        </w:rPr>
        <w:t> </w:t>
      </w:r>
      <w:r>
        <w:rPr>
          <w:color w:val="231F20"/>
        </w:rPr>
        <w:t>3:12,</w:t>
      </w:r>
      <w:r>
        <w:rPr>
          <w:color w:val="231F20"/>
          <w:spacing w:val="15"/>
        </w:rPr>
        <w:t> </w:t>
      </w:r>
      <w:r>
        <w:rPr>
          <w:color w:val="231F20"/>
        </w:rPr>
        <w:t>§</w:t>
      </w:r>
      <w:r>
        <w:rPr>
          <w:color w:val="231F20"/>
          <w:spacing w:val="15"/>
        </w:rPr>
        <w:t> </w:t>
      </w:r>
      <w:r>
        <w:rPr>
          <w:color w:val="231F20"/>
        </w:rPr>
        <w:t>1,</w:t>
      </w:r>
      <w:r>
        <w:rPr>
          <w:color w:val="231F20"/>
          <w:spacing w:val="14"/>
        </w:rPr>
        <w:t> </w:t>
      </w:r>
      <w:r>
        <w:rPr>
          <w:color w:val="231F20"/>
        </w:rPr>
        <w:t>10°,</w:t>
      </w:r>
      <w:r>
        <w:rPr>
          <w:color w:val="231F20"/>
          <w:spacing w:val="15"/>
        </w:rPr>
        <w:t> </w:t>
      </w:r>
      <w:r>
        <w:rPr>
          <w:color w:val="231F20"/>
        </w:rPr>
        <w:t>neergelegd.</w:t>
      </w:r>
    </w:p>
    <w:p>
      <w:pPr>
        <w:pStyle w:val="BodyText"/>
        <w:spacing w:before="135"/>
        <w:ind w:left="283" w:right="0" w:firstLine="0"/>
        <w:jc w:val="left"/>
      </w:pPr>
      <w:r>
        <w:rPr>
          <w:color w:val="231F20"/>
        </w:rPr>
        <w:t>TITEL 6. Ontbinding en vereffening.</w:t>
      </w:r>
    </w:p>
    <w:p>
      <w:pPr>
        <w:pStyle w:val="BodyText"/>
        <w:spacing w:line="218" w:lineRule="auto" w:before="146"/>
      </w:pPr>
      <w:r>
        <w:rPr>
          <w:color w:val="231F20"/>
        </w:rPr>
        <w:t>Art. 15:30. Op vraag van elke belanghebbende of van het openbaar ministerie spreekt de ondernemingsrechtbank de ontbinding van de Europese vennootschap uit die haar statutaire zetel in België heeft indien haar hoofdbestuur er niet is gevestigd.</w:t>
      </w:r>
    </w:p>
    <w:p>
      <w:pPr>
        <w:pStyle w:val="BodyText"/>
        <w:spacing w:line="218" w:lineRule="auto" w:before="150"/>
        <w:ind w:right="123"/>
      </w:pPr>
      <w:r>
        <w:rPr>
          <w:color w:val="231F20"/>
        </w:rPr>
        <w:t>Alvorens de ontbinding uit te spreken, kan de rechtbank de Europese vennootschap in de gelegenheid stellen binnen een termijn haar</w:t>
      </w:r>
      <w:r>
        <w:rPr>
          <w:color w:val="231F20"/>
          <w:spacing w:val="-16"/>
        </w:rPr>
        <w:t> </w:t>
      </w:r>
      <w:r>
        <w:rPr>
          <w:color w:val="231F20"/>
        </w:rPr>
        <w:t>situatie te regulariseren overeenkomstig artikel 64, lid 1, van verordening (EG) </w:t>
      </w:r>
      <w:r>
        <w:rPr>
          <w:color w:val="231F20"/>
          <w:spacing w:val="-5"/>
        </w:rPr>
        <w:t>nr.</w:t>
      </w:r>
      <w:r>
        <w:rPr>
          <w:color w:val="231F20"/>
          <w:spacing w:val="14"/>
        </w:rPr>
        <w:t> </w:t>
      </w:r>
      <w:r>
        <w:rPr>
          <w:color w:val="231F20"/>
        </w:rPr>
        <w:t>2157/2001.</w:t>
      </w:r>
    </w:p>
    <w:p>
      <w:pPr>
        <w:pStyle w:val="BodyText"/>
        <w:spacing w:line="218" w:lineRule="auto" w:before="149"/>
        <w:ind w:right="121"/>
      </w:pPr>
      <w:r>
        <w:rPr>
          <w:color w:val="231F20"/>
          <w:spacing w:val="-3"/>
        </w:rPr>
        <w:t>Overeenkomstig</w:t>
      </w:r>
      <w:r>
        <w:rPr>
          <w:color w:val="231F20"/>
          <w:spacing w:val="-11"/>
        </w:rPr>
        <w:t> </w:t>
      </w:r>
      <w:r>
        <w:rPr>
          <w:color w:val="231F20"/>
        </w:rPr>
        <w:t>artikel</w:t>
      </w:r>
      <w:r>
        <w:rPr>
          <w:color w:val="231F20"/>
          <w:spacing w:val="-11"/>
        </w:rPr>
        <w:t> </w:t>
      </w:r>
      <w:r>
        <w:rPr>
          <w:color w:val="231F20"/>
        </w:rPr>
        <w:t>64,</w:t>
      </w:r>
      <w:r>
        <w:rPr>
          <w:color w:val="231F20"/>
          <w:spacing w:val="-11"/>
        </w:rPr>
        <w:t> </w:t>
      </w:r>
      <w:r>
        <w:rPr>
          <w:color w:val="231F20"/>
        </w:rPr>
        <w:t>lid</w:t>
      </w:r>
      <w:r>
        <w:rPr>
          <w:color w:val="231F20"/>
          <w:spacing w:val="-11"/>
        </w:rPr>
        <w:t> </w:t>
      </w:r>
      <w:r>
        <w:rPr>
          <w:color w:val="231F20"/>
        </w:rPr>
        <w:t>3,</w:t>
      </w:r>
      <w:r>
        <w:rPr>
          <w:color w:val="231F20"/>
          <w:spacing w:val="-11"/>
        </w:rPr>
        <w:t> </w:t>
      </w:r>
      <w:r>
        <w:rPr>
          <w:color w:val="231F20"/>
        </w:rPr>
        <w:t>van</w:t>
      </w:r>
      <w:r>
        <w:rPr>
          <w:color w:val="231F20"/>
          <w:spacing w:val="-11"/>
        </w:rPr>
        <w:t> </w:t>
      </w:r>
      <w:r>
        <w:rPr>
          <w:color w:val="231F20"/>
          <w:spacing w:val="-3"/>
        </w:rPr>
        <w:t>verordening</w:t>
      </w:r>
      <w:r>
        <w:rPr>
          <w:color w:val="231F20"/>
          <w:spacing w:val="-11"/>
        </w:rPr>
        <w:t> </w:t>
      </w:r>
      <w:r>
        <w:rPr>
          <w:color w:val="231F20"/>
        </w:rPr>
        <w:t>(EG)</w:t>
      </w:r>
      <w:r>
        <w:rPr>
          <w:color w:val="231F20"/>
          <w:spacing w:val="-11"/>
        </w:rPr>
        <w:t> </w:t>
      </w:r>
      <w:r>
        <w:rPr>
          <w:color w:val="231F20"/>
          <w:spacing w:val="-6"/>
        </w:rPr>
        <w:t>nr.</w:t>
      </w:r>
      <w:r>
        <w:rPr>
          <w:color w:val="231F20"/>
          <w:spacing w:val="-11"/>
        </w:rPr>
        <w:t> </w:t>
      </w:r>
      <w:r>
        <w:rPr>
          <w:color w:val="231F20"/>
        </w:rPr>
        <w:t>2157/2001</w:t>
      </w:r>
      <w:r>
        <w:rPr>
          <w:color w:val="231F20"/>
          <w:spacing w:val="-11"/>
        </w:rPr>
        <w:t> </w:t>
      </w:r>
      <w:r>
        <w:rPr>
          <w:color w:val="231F20"/>
        </w:rPr>
        <w:t>is deze</w:t>
      </w:r>
      <w:r>
        <w:rPr>
          <w:color w:val="231F20"/>
          <w:spacing w:val="20"/>
        </w:rPr>
        <w:t> </w:t>
      </w:r>
      <w:r>
        <w:rPr>
          <w:color w:val="231F20"/>
        </w:rPr>
        <w:t>beslissing</w:t>
      </w:r>
      <w:r>
        <w:rPr>
          <w:color w:val="231F20"/>
          <w:spacing w:val="21"/>
        </w:rPr>
        <w:t> </w:t>
      </w:r>
      <w:r>
        <w:rPr>
          <w:color w:val="231F20"/>
        </w:rPr>
        <w:t>niet</w:t>
      </w:r>
      <w:r>
        <w:rPr>
          <w:color w:val="231F20"/>
          <w:spacing w:val="20"/>
        </w:rPr>
        <w:t> </w:t>
      </w:r>
      <w:r>
        <w:rPr>
          <w:color w:val="231F20"/>
        </w:rPr>
        <w:t>vatbaar</w:t>
      </w:r>
      <w:r>
        <w:rPr>
          <w:color w:val="231F20"/>
          <w:spacing w:val="21"/>
        </w:rPr>
        <w:t> </w:t>
      </w:r>
      <w:r>
        <w:rPr>
          <w:color w:val="231F20"/>
        </w:rPr>
        <w:t>voor</w:t>
      </w:r>
      <w:r>
        <w:rPr>
          <w:color w:val="231F20"/>
          <w:spacing w:val="20"/>
        </w:rPr>
        <w:t> </w:t>
      </w:r>
      <w:r>
        <w:rPr>
          <w:color w:val="231F20"/>
        </w:rPr>
        <w:t>voorlopige</w:t>
      </w:r>
      <w:r>
        <w:rPr>
          <w:color w:val="231F20"/>
          <w:spacing w:val="21"/>
        </w:rPr>
        <w:t> </w:t>
      </w:r>
      <w:r>
        <w:rPr>
          <w:color w:val="231F20"/>
        </w:rPr>
        <w:t>tenuitvoerlegging.</w:t>
      </w:r>
    </w:p>
    <w:p>
      <w:pPr>
        <w:pStyle w:val="BodyText"/>
        <w:spacing w:line="218" w:lineRule="auto" w:before="150"/>
      </w:pPr>
      <w:r>
        <w:rPr>
          <w:color w:val="231F20"/>
        </w:rPr>
        <w:t>Art. 15:31. De openbaarmaking bedoeld in artikel 65 van verordening (EG) </w:t>
      </w:r>
      <w:r>
        <w:rPr>
          <w:color w:val="231F20"/>
          <w:spacing w:val="-5"/>
        </w:rPr>
        <w:t>nr. </w:t>
      </w:r>
      <w:r>
        <w:rPr>
          <w:color w:val="231F20"/>
        </w:rPr>
        <w:t>2157/2001 gebeurt overeenkomstig de artikelen 2:8 en 2:14, 1°.</w:t>
      </w:r>
    </w:p>
    <w:p>
      <w:pPr>
        <w:pStyle w:val="BodyText"/>
        <w:spacing w:before="135"/>
        <w:ind w:left="283" w:right="0" w:firstLine="0"/>
        <w:jc w:val="left"/>
      </w:pPr>
      <w:r>
        <w:rPr>
          <w:color w:val="231F20"/>
        </w:rPr>
        <w:t>TITEL 7. Omzetting van een SE in een NV.</w:t>
      </w:r>
    </w:p>
    <w:p>
      <w:pPr>
        <w:pStyle w:val="BodyText"/>
        <w:spacing w:line="218" w:lineRule="auto" w:before="146"/>
      </w:pPr>
      <w:r>
        <w:rPr>
          <w:color w:val="231F20"/>
        </w:rPr>
        <w:t>Art. 15:32. Het voorstel tot omzetting wordt neergelegd en bekend- gemaakt overeenkomstig de artikelen 2:8 en 2:14, 4°.</w:t>
      </w:r>
    </w:p>
    <w:p>
      <w:pPr>
        <w:pStyle w:val="BodyText"/>
        <w:spacing w:line="218" w:lineRule="auto" w:before="150"/>
      </w:pPr>
      <w:r>
        <w:rPr>
          <w:color w:val="231F20"/>
        </w:rPr>
        <w:t>Art. 15:33. De onafhankelijke deskundige(n) bedoeld in artikel 66, lid 5,</w:t>
      </w:r>
      <w:r>
        <w:rPr>
          <w:color w:val="231F20"/>
          <w:spacing w:val="-5"/>
        </w:rPr>
        <w:t> </w:t>
      </w:r>
      <w:r>
        <w:rPr>
          <w:color w:val="231F20"/>
        </w:rPr>
        <w:t>van</w:t>
      </w:r>
      <w:r>
        <w:rPr>
          <w:color w:val="231F20"/>
          <w:spacing w:val="-5"/>
        </w:rPr>
        <w:t> </w:t>
      </w:r>
      <w:r>
        <w:rPr>
          <w:color w:val="231F20"/>
        </w:rPr>
        <w:t>verordening</w:t>
      </w:r>
      <w:r>
        <w:rPr>
          <w:color w:val="231F20"/>
          <w:spacing w:val="-5"/>
        </w:rPr>
        <w:t> </w:t>
      </w:r>
      <w:r>
        <w:rPr>
          <w:color w:val="231F20"/>
        </w:rPr>
        <w:t>(EG)</w:t>
      </w:r>
      <w:r>
        <w:rPr>
          <w:color w:val="231F20"/>
          <w:spacing w:val="-5"/>
        </w:rPr>
        <w:t> nr.</w:t>
      </w:r>
      <w:r>
        <w:rPr>
          <w:color w:val="231F20"/>
          <w:spacing w:val="-4"/>
        </w:rPr>
        <w:t> </w:t>
      </w:r>
      <w:r>
        <w:rPr>
          <w:color w:val="231F20"/>
        </w:rPr>
        <w:t>2157/2001,</w:t>
      </w:r>
      <w:r>
        <w:rPr>
          <w:color w:val="231F20"/>
          <w:spacing w:val="-5"/>
        </w:rPr>
        <w:t> </w:t>
      </w:r>
      <w:r>
        <w:rPr>
          <w:color w:val="231F20"/>
        </w:rPr>
        <w:t>is</w:t>
      </w:r>
      <w:r>
        <w:rPr>
          <w:color w:val="231F20"/>
          <w:spacing w:val="-5"/>
        </w:rPr>
        <w:t> </w:t>
      </w:r>
      <w:r>
        <w:rPr>
          <w:color w:val="231F20"/>
        </w:rPr>
        <w:t>de</w:t>
      </w:r>
      <w:r>
        <w:rPr>
          <w:color w:val="231F20"/>
          <w:spacing w:val="-5"/>
        </w:rPr>
        <w:t> </w:t>
      </w:r>
      <w:r>
        <w:rPr>
          <w:color w:val="231F20"/>
        </w:rPr>
        <w:t>commissaris,</w:t>
      </w:r>
      <w:r>
        <w:rPr>
          <w:color w:val="231F20"/>
          <w:spacing w:val="-4"/>
        </w:rPr>
        <w:t> </w:t>
      </w:r>
      <w:r>
        <w:rPr>
          <w:color w:val="231F20"/>
        </w:rPr>
        <w:t>of,</w:t>
      </w:r>
      <w:r>
        <w:rPr>
          <w:color w:val="231F20"/>
          <w:spacing w:val="-5"/>
        </w:rPr>
        <w:t> </w:t>
      </w:r>
      <w:r>
        <w:rPr>
          <w:color w:val="231F20"/>
        </w:rPr>
        <w:t>als</w:t>
      </w:r>
      <w:r>
        <w:rPr>
          <w:color w:val="231F20"/>
          <w:spacing w:val="-5"/>
        </w:rPr>
        <w:t> </w:t>
      </w:r>
      <w:r>
        <w:rPr>
          <w:color w:val="231F20"/>
        </w:rPr>
        <w:t>er</w:t>
      </w:r>
      <w:r>
        <w:rPr>
          <w:color w:val="231F20"/>
          <w:spacing w:val="-5"/>
        </w:rPr>
        <w:t> </w:t>
      </w:r>
      <w:r>
        <w:rPr>
          <w:color w:val="231F20"/>
        </w:rPr>
        <w:t>geen commissaris is, een bedrijfsrevisor of externe accountant aangewezen door het</w:t>
      </w:r>
      <w:r>
        <w:rPr>
          <w:color w:val="231F20"/>
          <w:spacing w:val="-11"/>
        </w:rPr>
        <w:t> </w:t>
      </w:r>
      <w:r>
        <w:rPr>
          <w:color w:val="231F20"/>
        </w:rPr>
        <w:t>bestuursorgaan.</w:t>
      </w:r>
    </w:p>
    <w:p>
      <w:pPr>
        <w:pStyle w:val="BodyText"/>
        <w:spacing w:before="135"/>
        <w:ind w:left="283" w:right="0" w:firstLine="0"/>
        <w:jc w:val="left"/>
      </w:pPr>
      <w:r>
        <w:rPr>
          <w:color w:val="231F20"/>
        </w:rPr>
        <w:t>TITEL 8. Strafbepalingen.</w:t>
      </w:r>
    </w:p>
    <w:p>
      <w:pPr>
        <w:pStyle w:val="BodyText"/>
        <w:spacing w:line="218" w:lineRule="auto" w:before="146"/>
      </w:pPr>
      <w:r>
        <w:rPr>
          <w:color w:val="231F20"/>
        </w:rPr>
        <w:t>Art. 15:34. De strafbepalingen van dit wetboek betreffende de naamloze vennootschap zijn van overeenkomstige toepassing op de SE.</w:t>
      </w:r>
    </w:p>
    <w:p>
      <w:pPr>
        <w:spacing w:after="0" w:line="218" w:lineRule="auto"/>
        <w:sectPr>
          <w:pgSz w:w="11940" w:h="16880"/>
          <w:pgMar w:header="666" w:footer="0" w:top="1140" w:bottom="280" w:left="340" w:right="360"/>
          <w:cols w:num="2" w:equalWidth="0">
            <w:col w:w="5527" w:space="100"/>
            <w:col w:w="5613"/>
          </w:cols>
        </w:sectPr>
      </w:pPr>
    </w:p>
    <w:p>
      <w:pPr>
        <w:pStyle w:val="BodyText"/>
        <w:spacing w:line="304" w:lineRule="auto" w:before="106"/>
        <w:ind w:left="283" w:right="1715" w:hanging="1"/>
        <w:jc w:val="left"/>
      </w:pPr>
      <w:r>
        <w:rPr/>
        <w:pict>
          <v:line style="position:absolute;mso-position-horizontal-relative:page;mso-position-vertical-relative:page;z-index:7648" from="298.170502pt,64.473pt" to="298.170502pt,812.819pt" stroked="true" strokeweight=".533pt" strokecolor="#231f20">
            <v:stroke dashstyle="solid"/>
            <w10:wrap type="none"/>
          </v:line>
        </w:pict>
      </w:r>
      <w:bookmarkStart w:name="_bookmark276" w:id="282"/>
      <w:bookmarkEnd w:id="282"/>
      <w:r>
        <w:rPr/>
      </w:r>
      <w:r>
        <w:rPr>
          <w:color w:val="231F20"/>
        </w:rPr>
        <w:t>LIVRE 16. La société coopérative européenne. TITRE 1</w:t>
      </w:r>
      <w:r>
        <w:rPr>
          <w:color w:val="231F20"/>
          <w:position w:val="7"/>
          <w:sz w:val="11"/>
        </w:rPr>
        <w:t>er</w:t>
      </w:r>
      <w:r>
        <w:rPr>
          <w:color w:val="231F20"/>
        </w:rPr>
        <w:t>. Dispositions générales.</w:t>
      </w:r>
    </w:p>
    <w:p>
      <w:pPr>
        <w:pStyle w:val="BodyText"/>
        <w:spacing w:before="1"/>
        <w:ind w:left="283" w:right="0" w:firstLine="0"/>
        <w:jc w:val="left"/>
      </w:pPr>
      <w:r>
        <w:rPr>
          <w:color w:val="231F20"/>
        </w:rPr>
        <w:t>CHAPITRE 1</w:t>
      </w:r>
      <w:r>
        <w:rPr>
          <w:color w:val="231F20"/>
          <w:position w:val="7"/>
          <w:sz w:val="11"/>
        </w:rPr>
        <w:t>er</w:t>
      </w:r>
      <w:r>
        <w:rPr>
          <w:color w:val="231F20"/>
        </w:rPr>
        <w:t>. Définitions et droit applicable.</w:t>
      </w:r>
    </w:p>
    <w:p>
      <w:pPr>
        <w:pStyle w:val="BodyText"/>
        <w:spacing w:line="218" w:lineRule="auto" w:before="82"/>
        <w:ind w:right="86"/>
      </w:pPr>
      <w:r>
        <w:rPr>
          <w:color w:val="231F20"/>
        </w:rPr>
        <w:t>Art. 16:1. Pour l’application du présent livre, il faut entendre par “règlement (CE) n° 1435/2003”: règlement (CE) n° 1435/2003 du Conseil du 22 juillet 2003 relatif  au  statut  de  la  société  coopéra-  tive européenne</w:t>
      </w:r>
      <w:r>
        <w:rPr>
          <w:color w:val="231F20"/>
          <w:spacing w:val="-12"/>
        </w:rPr>
        <w:t> </w:t>
      </w:r>
      <w:r>
        <w:rPr>
          <w:color w:val="231F20"/>
        </w:rPr>
        <w:t>(SCE).</w:t>
      </w:r>
    </w:p>
    <w:p>
      <w:pPr>
        <w:pStyle w:val="BodyText"/>
        <w:spacing w:line="218" w:lineRule="auto" w:before="86"/>
        <w:ind w:right="85"/>
      </w:pPr>
      <w:r>
        <w:rPr>
          <w:color w:val="231F20"/>
        </w:rPr>
        <w:t>Art. 16:2. La société coopérative européenne est régie par le règlement (CE) n° 1435/2003.</w:t>
      </w:r>
    </w:p>
    <w:p>
      <w:pPr>
        <w:pStyle w:val="BodyText"/>
        <w:spacing w:line="218" w:lineRule="auto" w:before="85"/>
        <w:ind w:right="85"/>
      </w:pPr>
      <w:r>
        <w:rPr>
          <w:color w:val="231F20"/>
        </w:rPr>
        <w:t>Pour</w:t>
      </w:r>
      <w:r>
        <w:rPr>
          <w:color w:val="231F20"/>
          <w:spacing w:val="-3"/>
        </w:rPr>
        <w:t> </w:t>
      </w:r>
      <w:r>
        <w:rPr>
          <w:color w:val="231F20"/>
        </w:rPr>
        <w:t>les</w:t>
      </w:r>
      <w:r>
        <w:rPr>
          <w:color w:val="231F20"/>
          <w:spacing w:val="-3"/>
        </w:rPr>
        <w:t> </w:t>
      </w:r>
      <w:r>
        <w:rPr>
          <w:color w:val="231F20"/>
        </w:rPr>
        <w:t>matières</w:t>
      </w:r>
      <w:r>
        <w:rPr>
          <w:color w:val="231F20"/>
          <w:spacing w:val="-3"/>
        </w:rPr>
        <w:t> </w:t>
      </w:r>
      <w:r>
        <w:rPr>
          <w:color w:val="231F20"/>
        </w:rPr>
        <w:t>non</w:t>
      </w:r>
      <w:r>
        <w:rPr>
          <w:color w:val="231F20"/>
          <w:spacing w:val="-3"/>
        </w:rPr>
        <w:t> </w:t>
      </w:r>
      <w:r>
        <w:rPr>
          <w:color w:val="231F20"/>
        </w:rPr>
        <w:t>réglées</w:t>
      </w:r>
      <w:r>
        <w:rPr>
          <w:color w:val="231F20"/>
          <w:spacing w:val="-3"/>
        </w:rPr>
        <w:t> </w:t>
      </w:r>
      <w:r>
        <w:rPr>
          <w:color w:val="231F20"/>
        </w:rPr>
        <w:t>par</w:t>
      </w:r>
      <w:r>
        <w:rPr>
          <w:color w:val="231F20"/>
          <w:spacing w:val="-3"/>
        </w:rPr>
        <w:t> </w:t>
      </w:r>
      <w:r>
        <w:rPr>
          <w:color w:val="231F20"/>
        </w:rPr>
        <w:t>le</w:t>
      </w:r>
      <w:r>
        <w:rPr>
          <w:color w:val="231F20"/>
          <w:spacing w:val="-2"/>
        </w:rPr>
        <w:t> </w:t>
      </w:r>
      <w:r>
        <w:rPr>
          <w:color w:val="231F20"/>
        </w:rPr>
        <w:t>règlement</w:t>
      </w:r>
      <w:r>
        <w:rPr>
          <w:color w:val="231F20"/>
          <w:spacing w:val="-3"/>
        </w:rPr>
        <w:t> </w:t>
      </w:r>
      <w:r>
        <w:rPr>
          <w:color w:val="231F20"/>
        </w:rPr>
        <w:t>(CE)</w:t>
      </w:r>
      <w:r>
        <w:rPr>
          <w:color w:val="231F20"/>
          <w:spacing w:val="-3"/>
        </w:rPr>
        <w:t> </w:t>
      </w:r>
      <w:r>
        <w:rPr>
          <w:color w:val="231F20"/>
        </w:rPr>
        <w:t>n°</w:t>
      </w:r>
      <w:r>
        <w:rPr>
          <w:color w:val="231F20"/>
          <w:spacing w:val="-3"/>
        </w:rPr>
        <w:t> </w:t>
      </w:r>
      <w:r>
        <w:rPr>
          <w:color w:val="231F20"/>
        </w:rPr>
        <w:t>1435/2003,</w:t>
      </w:r>
      <w:r>
        <w:rPr>
          <w:color w:val="231F20"/>
          <w:spacing w:val="-3"/>
        </w:rPr>
        <w:t> </w:t>
      </w:r>
      <w:r>
        <w:rPr>
          <w:color w:val="231F20"/>
        </w:rPr>
        <w:t>les dispositions du livre 6 sont d’application, sauf dans la mesure où elles sont expressément exclues par le règlement (CE) n° 1435/2003 ou qu’il y</w:t>
      </w:r>
      <w:r>
        <w:rPr>
          <w:color w:val="231F20"/>
          <w:spacing w:val="15"/>
        </w:rPr>
        <w:t> </w:t>
      </w:r>
      <w:r>
        <w:rPr>
          <w:color w:val="231F20"/>
        </w:rPr>
        <w:t>est</w:t>
      </w:r>
      <w:r>
        <w:rPr>
          <w:color w:val="231F20"/>
          <w:spacing w:val="15"/>
        </w:rPr>
        <w:t> </w:t>
      </w:r>
      <w:r>
        <w:rPr>
          <w:color w:val="231F20"/>
        </w:rPr>
        <w:t>dérogé</w:t>
      </w:r>
      <w:r>
        <w:rPr>
          <w:color w:val="231F20"/>
          <w:spacing w:val="15"/>
        </w:rPr>
        <w:t> </w:t>
      </w:r>
      <w:r>
        <w:rPr>
          <w:color w:val="231F20"/>
        </w:rPr>
        <w:t>par</w:t>
      </w:r>
      <w:r>
        <w:rPr>
          <w:color w:val="231F20"/>
          <w:spacing w:val="16"/>
        </w:rPr>
        <w:t> </w:t>
      </w:r>
      <w:r>
        <w:rPr>
          <w:color w:val="231F20"/>
        </w:rPr>
        <w:t>le</w:t>
      </w:r>
      <w:r>
        <w:rPr>
          <w:color w:val="231F20"/>
          <w:spacing w:val="15"/>
        </w:rPr>
        <w:t> </w:t>
      </w:r>
      <w:r>
        <w:rPr>
          <w:color w:val="231F20"/>
        </w:rPr>
        <w:t>présent</w:t>
      </w:r>
      <w:r>
        <w:rPr>
          <w:color w:val="231F20"/>
          <w:spacing w:val="15"/>
        </w:rPr>
        <w:t> </w:t>
      </w:r>
      <w:r>
        <w:rPr>
          <w:color w:val="231F20"/>
        </w:rPr>
        <w:t>livre.</w:t>
      </w:r>
    </w:p>
    <w:p>
      <w:pPr>
        <w:pStyle w:val="BodyText"/>
        <w:spacing w:before="9"/>
        <w:ind w:left="0" w:right="0" w:firstLine="0"/>
        <w:jc w:val="left"/>
        <w:rPr>
          <w:sz w:val="21"/>
        </w:rPr>
      </w:pPr>
    </w:p>
    <w:p>
      <w:pPr>
        <w:pStyle w:val="BodyText"/>
        <w:ind w:left="283" w:right="0" w:firstLine="0"/>
        <w:jc w:val="left"/>
      </w:pPr>
      <w:r>
        <w:rPr>
          <w:color w:val="231F20"/>
        </w:rPr>
        <w:t>CHAPITRE 2. Siège.</w:t>
      </w:r>
    </w:p>
    <w:p>
      <w:pPr>
        <w:pStyle w:val="BodyText"/>
        <w:spacing w:line="218" w:lineRule="auto" w:before="82"/>
        <w:ind w:right="85"/>
      </w:pPr>
      <w:r>
        <w:rPr>
          <w:color w:val="231F20"/>
        </w:rPr>
        <w:t>Art. 16:3. Lorsqu’il est constaté, conformément à l’article 73, § 5, du règlement (CE) n° 1435/2003, que seule l’administration centrale est établie en Belgique, le ministère public en informe sans délai l’État membre où se trouve le siège statutaire de la SCE.</w:t>
      </w:r>
    </w:p>
    <w:p>
      <w:pPr>
        <w:pStyle w:val="BodyText"/>
        <w:spacing w:before="9"/>
        <w:ind w:left="0" w:right="0" w:firstLine="0"/>
        <w:jc w:val="left"/>
        <w:rPr>
          <w:sz w:val="21"/>
        </w:rPr>
      </w:pPr>
    </w:p>
    <w:p>
      <w:pPr>
        <w:pStyle w:val="BodyText"/>
        <w:ind w:left="283" w:right="0" w:firstLine="0"/>
        <w:jc w:val="left"/>
      </w:pPr>
      <w:r>
        <w:rPr>
          <w:color w:val="231F20"/>
        </w:rPr>
        <w:t>CHAPITRE 3. Membres investisseurs.</w:t>
      </w:r>
    </w:p>
    <w:p>
      <w:pPr>
        <w:pStyle w:val="BodyText"/>
        <w:spacing w:line="218" w:lineRule="auto" w:before="67"/>
        <w:ind w:right="85"/>
      </w:pPr>
      <w:r>
        <w:rPr>
          <w:color w:val="231F20"/>
        </w:rPr>
        <w:t>Art. 16:4. Conformément  à  l’article  14,  §  1</w:t>
      </w:r>
      <w:r>
        <w:rPr>
          <w:color w:val="231F20"/>
          <w:position w:val="7"/>
          <w:sz w:val="11"/>
        </w:rPr>
        <w:t>er</w:t>
      </w:r>
      <w:r>
        <w:rPr>
          <w:color w:val="231F20"/>
        </w:rPr>
        <w:t>,  du  règlement  (CE)  n° 1435/2003, les statuts peuvent permettre que des personnes n’ayant pas vocation à utiliser les biens et les services de la SCE ou à livrer des biens et des services à la SCE, peuvent être admises en qualité de membres investisseurs (membres</w:t>
      </w:r>
      <w:r>
        <w:rPr>
          <w:color w:val="231F20"/>
          <w:spacing w:val="1"/>
        </w:rPr>
        <w:t> </w:t>
      </w:r>
      <w:r>
        <w:rPr>
          <w:color w:val="231F20"/>
        </w:rPr>
        <w:t>non-usagers).</w:t>
      </w:r>
    </w:p>
    <w:p>
      <w:pPr>
        <w:pStyle w:val="BodyText"/>
        <w:spacing w:before="9"/>
        <w:ind w:left="0" w:right="0" w:firstLine="0"/>
        <w:jc w:val="left"/>
        <w:rPr>
          <w:sz w:val="21"/>
        </w:rPr>
      </w:pPr>
    </w:p>
    <w:p>
      <w:pPr>
        <w:pStyle w:val="BodyText"/>
        <w:ind w:left="283" w:right="0" w:firstLine="0"/>
        <w:jc w:val="left"/>
      </w:pPr>
      <w:r>
        <w:rPr>
          <w:color w:val="231F20"/>
        </w:rPr>
        <w:t>TITRE 2. Constitution.</w:t>
      </w:r>
    </w:p>
    <w:p>
      <w:pPr>
        <w:pStyle w:val="BodyText"/>
        <w:spacing w:line="304" w:lineRule="auto" w:before="53"/>
        <w:ind w:left="283" w:right="1715" w:firstLine="0"/>
        <w:jc w:val="left"/>
      </w:pPr>
      <w:r>
        <w:rPr>
          <w:color w:val="231F20"/>
        </w:rPr>
        <w:t>CHAPITRE 1</w:t>
      </w:r>
      <w:r>
        <w:rPr>
          <w:color w:val="231F20"/>
          <w:position w:val="7"/>
          <w:sz w:val="11"/>
        </w:rPr>
        <w:t>er</w:t>
      </w:r>
      <w:r>
        <w:rPr>
          <w:color w:val="231F20"/>
        </w:rPr>
        <w:t>. Constitution par voie de fusion. Section 1</w:t>
      </w:r>
      <w:r>
        <w:rPr>
          <w:color w:val="231F20"/>
          <w:position w:val="7"/>
          <w:sz w:val="11"/>
        </w:rPr>
        <w:t>re</w:t>
      </w:r>
      <w:r>
        <w:rPr>
          <w:color w:val="231F20"/>
        </w:rPr>
        <w:t>. Disposition introductive.</w:t>
      </w:r>
    </w:p>
    <w:p>
      <w:pPr>
        <w:pStyle w:val="BodyText"/>
        <w:spacing w:line="218" w:lineRule="auto" w:before="30"/>
        <w:ind w:right="85"/>
      </w:pPr>
      <w:r>
        <w:rPr>
          <w:color w:val="231F20"/>
        </w:rPr>
        <w:t>Art. 16:5. Une société coopérative ne peut participer à la constitution d’une SCE par voie de fusion si le ministre qui a l’Économie dans ses attributions s’y oppose, conformément à l’article 21 du règlement (CE) n° 1435/2003, par notification officielle à la société concernée dans le mois de la publication des indications visées à l’article 24 du même règlement. La notification officielle est publiée conformément à l’arti- cle 2:14, 4°.</w:t>
      </w:r>
    </w:p>
    <w:p>
      <w:pPr>
        <w:pStyle w:val="BodyText"/>
        <w:spacing w:before="1"/>
        <w:ind w:left="0" w:right="0" w:firstLine="0"/>
        <w:jc w:val="left"/>
        <w:rPr>
          <w:sz w:val="23"/>
        </w:rPr>
      </w:pPr>
    </w:p>
    <w:p>
      <w:pPr>
        <w:pStyle w:val="BodyText"/>
        <w:spacing w:line="218" w:lineRule="auto"/>
        <w:ind w:right="85"/>
      </w:pPr>
      <w:r>
        <w:rPr>
          <w:color w:val="231F20"/>
        </w:rPr>
        <w:t>Le certificat visé à l’article 16:7 ne peut être délivré qu’après le retrait de l’opposition ou annulation de celle-ci par une décision qui n’est pas susceptible de recours.</w:t>
      </w:r>
    </w:p>
    <w:p>
      <w:pPr>
        <w:pStyle w:val="BodyText"/>
        <w:spacing w:line="218" w:lineRule="auto" w:before="96"/>
        <w:ind w:right="85"/>
      </w:pPr>
      <w:r>
        <w:rPr>
          <w:color w:val="231F20"/>
        </w:rPr>
        <w:t>Le Roi détermine, par arrêté délibéré en Conseil des ministres, la procédure accélérée applicable au recours formé à l’encontre de l’opposition visée au présent article.</w:t>
      </w:r>
    </w:p>
    <w:p>
      <w:pPr>
        <w:pStyle w:val="BodyText"/>
        <w:spacing w:before="82"/>
        <w:ind w:left="283" w:right="0" w:firstLine="0"/>
        <w:jc w:val="left"/>
      </w:pPr>
      <w:r>
        <w:rPr>
          <w:color w:val="231F20"/>
        </w:rPr>
        <w:t>Section 2. Procédure.</w:t>
      </w:r>
    </w:p>
    <w:p>
      <w:pPr>
        <w:pStyle w:val="BodyText"/>
        <w:spacing w:line="218" w:lineRule="auto" w:before="93"/>
        <w:ind w:right="85"/>
      </w:pPr>
      <w:r>
        <w:rPr>
          <w:color w:val="231F20"/>
        </w:rPr>
        <w:t>Art. 16:6. Le projet de fusion est déposé conformément au présent code  et  les  données   prévues   à   l’article   24   du   règlement   (CE)  n°</w:t>
      </w:r>
      <w:r>
        <w:rPr>
          <w:color w:val="231F20"/>
          <w:spacing w:val="11"/>
        </w:rPr>
        <w:t> </w:t>
      </w:r>
      <w:r>
        <w:rPr>
          <w:color w:val="231F20"/>
        </w:rPr>
        <w:t>1435/2003</w:t>
      </w:r>
      <w:r>
        <w:rPr>
          <w:color w:val="231F20"/>
          <w:spacing w:val="12"/>
        </w:rPr>
        <w:t> </w:t>
      </w:r>
      <w:r>
        <w:rPr>
          <w:color w:val="231F20"/>
        </w:rPr>
        <w:t>sont</w:t>
      </w:r>
      <w:r>
        <w:rPr>
          <w:color w:val="231F20"/>
          <w:spacing w:val="12"/>
        </w:rPr>
        <w:t> </w:t>
      </w:r>
      <w:r>
        <w:rPr>
          <w:color w:val="231F20"/>
        </w:rPr>
        <w:t>publiées</w:t>
      </w:r>
      <w:r>
        <w:rPr>
          <w:color w:val="231F20"/>
          <w:spacing w:val="12"/>
        </w:rPr>
        <w:t> </w:t>
      </w:r>
      <w:r>
        <w:rPr>
          <w:color w:val="231F20"/>
        </w:rPr>
        <w:t>conformément</w:t>
      </w:r>
      <w:r>
        <w:rPr>
          <w:color w:val="231F20"/>
          <w:spacing w:val="12"/>
        </w:rPr>
        <w:t> </w:t>
      </w:r>
      <w:r>
        <w:rPr>
          <w:color w:val="231F20"/>
        </w:rPr>
        <w:t>à</w:t>
      </w:r>
      <w:r>
        <w:rPr>
          <w:color w:val="231F20"/>
          <w:spacing w:val="12"/>
        </w:rPr>
        <w:t> </w:t>
      </w:r>
      <w:r>
        <w:rPr>
          <w:color w:val="231F20"/>
        </w:rPr>
        <w:t>l’article</w:t>
      </w:r>
      <w:r>
        <w:rPr>
          <w:color w:val="231F20"/>
          <w:spacing w:val="12"/>
        </w:rPr>
        <w:t> </w:t>
      </w:r>
      <w:r>
        <w:rPr>
          <w:color w:val="231F20"/>
        </w:rPr>
        <w:t>2:14,</w:t>
      </w:r>
      <w:r>
        <w:rPr>
          <w:color w:val="231F20"/>
          <w:spacing w:val="12"/>
        </w:rPr>
        <w:t> </w:t>
      </w:r>
      <w:r>
        <w:rPr>
          <w:color w:val="231F20"/>
        </w:rPr>
        <w:t>1°.</w:t>
      </w:r>
    </w:p>
    <w:p>
      <w:pPr>
        <w:pStyle w:val="BodyText"/>
        <w:spacing w:before="82"/>
        <w:ind w:left="283" w:right="0" w:firstLine="0"/>
        <w:jc w:val="left"/>
      </w:pPr>
      <w:r>
        <w:rPr>
          <w:color w:val="231F20"/>
        </w:rPr>
        <w:t>Section 3. Contrôle de la légalité.</w:t>
      </w:r>
    </w:p>
    <w:p>
      <w:pPr>
        <w:pStyle w:val="BodyText"/>
        <w:spacing w:line="218" w:lineRule="auto" w:before="93"/>
        <w:ind w:right="85"/>
      </w:pPr>
      <w:r>
        <w:rPr>
          <w:color w:val="231F20"/>
        </w:rPr>
        <w:t>Art. 16:7. Le notaire instrumentant contrôle la légalité de la fusion conformément à l’article 12:31 ou l’article 12:44 selon le cas, et délivre</w:t>
      </w:r>
      <w:r>
        <w:rPr>
          <w:color w:val="231F20"/>
          <w:spacing w:val="-26"/>
        </w:rPr>
        <w:t> </w:t>
      </w:r>
      <w:r>
        <w:rPr>
          <w:color w:val="231F20"/>
        </w:rPr>
        <w:t>le certificat</w:t>
      </w:r>
      <w:r>
        <w:rPr>
          <w:color w:val="231F20"/>
          <w:spacing w:val="11"/>
        </w:rPr>
        <w:t> </w:t>
      </w:r>
      <w:r>
        <w:rPr>
          <w:color w:val="231F20"/>
        </w:rPr>
        <w:t>prévu</w:t>
      </w:r>
      <w:r>
        <w:rPr>
          <w:color w:val="231F20"/>
          <w:spacing w:val="12"/>
        </w:rPr>
        <w:t> </w:t>
      </w:r>
      <w:r>
        <w:rPr>
          <w:color w:val="231F20"/>
        </w:rPr>
        <w:t>à</w:t>
      </w:r>
      <w:r>
        <w:rPr>
          <w:color w:val="231F20"/>
          <w:spacing w:val="12"/>
        </w:rPr>
        <w:t> </w:t>
      </w:r>
      <w:r>
        <w:rPr>
          <w:color w:val="231F20"/>
        </w:rPr>
        <w:t>l’article</w:t>
      </w:r>
      <w:r>
        <w:rPr>
          <w:color w:val="231F20"/>
          <w:spacing w:val="12"/>
        </w:rPr>
        <w:t> </w:t>
      </w:r>
      <w:r>
        <w:rPr>
          <w:color w:val="231F20"/>
        </w:rPr>
        <w:t>29</w:t>
      </w:r>
      <w:r>
        <w:rPr>
          <w:color w:val="231F20"/>
          <w:spacing w:val="12"/>
        </w:rPr>
        <w:t> </w:t>
      </w:r>
      <w:r>
        <w:rPr>
          <w:color w:val="231F20"/>
        </w:rPr>
        <w:t>du</w:t>
      </w:r>
      <w:r>
        <w:rPr>
          <w:color w:val="231F20"/>
          <w:spacing w:val="12"/>
        </w:rPr>
        <w:t> </w:t>
      </w:r>
      <w:r>
        <w:rPr>
          <w:color w:val="231F20"/>
        </w:rPr>
        <w:t>règlement</w:t>
      </w:r>
      <w:r>
        <w:rPr>
          <w:color w:val="231F20"/>
          <w:spacing w:val="12"/>
        </w:rPr>
        <w:t> </w:t>
      </w:r>
      <w:r>
        <w:rPr>
          <w:color w:val="231F20"/>
        </w:rPr>
        <w:t>(CE)</w:t>
      </w:r>
      <w:r>
        <w:rPr>
          <w:color w:val="231F20"/>
          <w:spacing w:val="12"/>
        </w:rPr>
        <w:t> </w:t>
      </w:r>
      <w:r>
        <w:rPr>
          <w:color w:val="231F20"/>
        </w:rPr>
        <w:t>n°</w:t>
      </w:r>
      <w:r>
        <w:rPr>
          <w:color w:val="231F20"/>
          <w:spacing w:val="12"/>
        </w:rPr>
        <w:t> </w:t>
      </w:r>
      <w:r>
        <w:rPr>
          <w:color w:val="231F20"/>
        </w:rPr>
        <w:t>1435/2003.</w:t>
      </w:r>
    </w:p>
    <w:p>
      <w:pPr>
        <w:pStyle w:val="BodyText"/>
        <w:spacing w:before="10"/>
        <w:ind w:left="0" w:right="0" w:firstLine="0"/>
        <w:jc w:val="left"/>
        <w:rPr>
          <w:sz w:val="23"/>
        </w:rPr>
      </w:pPr>
    </w:p>
    <w:p>
      <w:pPr>
        <w:pStyle w:val="BodyText"/>
        <w:spacing w:line="218" w:lineRule="auto"/>
        <w:ind w:right="85"/>
      </w:pPr>
      <w:r>
        <w:rPr>
          <w:color w:val="231F20"/>
        </w:rPr>
        <w:t>Art. 16:8. Le notaire instrumentant contrôle la légalité de la fusion conformément à l’article 30 du règlement (CE) n° 1435/2003.</w:t>
      </w:r>
    </w:p>
    <w:p>
      <w:pPr>
        <w:pStyle w:val="BodyText"/>
        <w:spacing w:before="82"/>
        <w:ind w:left="283" w:right="0" w:firstLine="0"/>
        <w:jc w:val="left"/>
      </w:pPr>
      <w:r>
        <w:rPr>
          <w:color w:val="231F20"/>
        </w:rPr>
        <w:t>Section 4. Immatriculation et publicité.</w:t>
      </w:r>
    </w:p>
    <w:p>
      <w:pPr>
        <w:pStyle w:val="BodyText"/>
        <w:spacing w:line="218" w:lineRule="auto" w:before="93"/>
        <w:ind w:right="85"/>
      </w:pPr>
      <w:r>
        <w:rPr>
          <w:color w:val="231F20"/>
        </w:rPr>
        <w:t>Art. 16:9. Après l’accomplissement des formalités de publicité requises dans chaque État membre et relatives à la décision de fusion dans chaque société concernée, le notaire instrumentant constate la réalisation de la fusion à la requête des sociétés qui fusionnent sur présentation des certificats et autres documents justificatifs de l’opéra- tion.</w:t>
      </w:r>
    </w:p>
    <w:p>
      <w:pPr>
        <w:pStyle w:val="BodyText"/>
        <w:spacing w:before="83"/>
        <w:ind w:left="283" w:right="0" w:firstLine="0"/>
        <w:jc w:val="left"/>
      </w:pPr>
      <w:r>
        <w:rPr>
          <w:color w:val="231F20"/>
        </w:rPr>
        <w:t>Cet acte est déposé et publié conformément aux articles 2:8 et 2:14, 1°.</w:t>
      </w:r>
    </w:p>
    <w:p>
      <w:pPr>
        <w:pStyle w:val="BodyText"/>
        <w:spacing w:before="7"/>
        <w:ind w:left="0" w:right="0" w:firstLine="0"/>
        <w:jc w:val="left"/>
        <w:rPr>
          <w:sz w:val="23"/>
        </w:rPr>
      </w:pPr>
    </w:p>
    <w:p>
      <w:pPr>
        <w:pStyle w:val="BodyText"/>
        <w:spacing w:line="218" w:lineRule="auto"/>
        <w:ind w:right="85"/>
      </w:pPr>
      <w:r>
        <w:rPr>
          <w:color w:val="231F20"/>
        </w:rPr>
        <w:t>CHAPITRE 2. Transformation d’une société coopérative en société coopérative européenne.</w:t>
      </w:r>
    </w:p>
    <w:p>
      <w:pPr>
        <w:pStyle w:val="BodyText"/>
        <w:spacing w:line="218" w:lineRule="auto" w:before="96"/>
        <w:ind w:right="85"/>
      </w:pPr>
      <w:r>
        <w:rPr>
          <w:color w:val="231F20"/>
        </w:rPr>
        <w:t>Art. 16:10. Le projet de transformation est déposé et publié confor- mément aux articles 2:8 et 2:14, 4°.</w:t>
      </w:r>
    </w:p>
    <w:p>
      <w:pPr>
        <w:pStyle w:val="BodyText"/>
        <w:spacing w:line="218" w:lineRule="auto" w:before="96"/>
        <w:ind w:right="38"/>
      </w:pPr>
      <w:r>
        <w:rPr>
          <w:color w:val="231F20"/>
        </w:rPr>
        <w:t>Art. 16:11. Le ou les expert(s) indépendant(s) visé(s) à l’article 35, § 5, du règlement (CE) n° 1435/2003 sont le commissaire ou, lorsqu’il n’y a pas de commissaire, un réviseur d’entreprises ou un expert-comptable externe désigné par l’organe d’administration.</w:t>
      </w:r>
    </w:p>
    <w:p>
      <w:pPr>
        <w:pStyle w:val="BodyText"/>
        <w:spacing w:line="324" w:lineRule="auto" w:before="105"/>
        <w:ind w:left="283" w:right="1262" w:firstLine="0"/>
        <w:jc w:val="left"/>
      </w:pPr>
      <w:r>
        <w:rPr/>
        <w:br w:type="column"/>
      </w:r>
      <w:r>
        <w:rPr>
          <w:color w:val="231F20"/>
        </w:rPr>
        <w:t>BOEK 16. De Europese coöperatieve vennootschap. TITEL 1. Algemene bepalingen.</w:t>
      </w:r>
    </w:p>
    <w:p>
      <w:pPr>
        <w:pStyle w:val="BodyText"/>
        <w:spacing w:before="1"/>
        <w:ind w:left="283" w:right="0" w:firstLine="0"/>
        <w:jc w:val="left"/>
      </w:pPr>
      <w:r>
        <w:rPr>
          <w:color w:val="231F20"/>
        </w:rPr>
        <w:t>HOOFDSTUK 1. Definities en toepasselijk recht.</w:t>
      </w:r>
    </w:p>
    <w:p>
      <w:pPr>
        <w:pStyle w:val="BodyText"/>
        <w:spacing w:line="218" w:lineRule="auto" w:before="82"/>
      </w:pPr>
      <w:r>
        <w:rPr>
          <w:color w:val="231F20"/>
        </w:rPr>
        <w:t>Art. 16:1. </w:t>
      </w:r>
      <w:r>
        <w:rPr>
          <w:color w:val="231F20"/>
          <w:spacing w:val="-5"/>
        </w:rPr>
        <w:t>Voor </w:t>
      </w:r>
      <w:r>
        <w:rPr>
          <w:color w:val="231F20"/>
        </w:rPr>
        <w:t>de toepassing van dit boek wordt verstaan onder “verordening (EG) </w:t>
      </w:r>
      <w:r>
        <w:rPr>
          <w:color w:val="231F20"/>
          <w:spacing w:val="-5"/>
        </w:rPr>
        <w:t>nr. </w:t>
      </w:r>
      <w:r>
        <w:rPr>
          <w:color w:val="231F20"/>
        </w:rPr>
        <w:t>1435/2003”: verordening (EG) </w:t>
      </w:r>
      <w:r>
        <w:rPr>
          <w:color w:val="231F20"/>
          <w:spacing w:val="-5"/>
        </w:rPr>
        <w:t>nr. </w:t>
      </w:r>
      <w:r>
        <w:rPr>
          <w:color w:val="231F20"/>
        </w:rPr>
        <w:t>1435/2003</w:t>
      </w:r>
      <w:r>
        <w:rPr>
          <w:color w:val="231F20"/>
          <w:spacing w:val="-28"/>
        </w:rPr>
        <w:t> </w:t>
      </w:r>
      <w:r>
        <w:rPr>
          <w:color w:val="231F20"/>
        </w:rPr>
        <w:t>van de Raad van 22 juli 2003 betreffende het statuut voor een Europese coöperatieve vennootschap</w:t>
      </w:r>
      <w:r>
        <w:rPr>
          <w:color w:val="231F20"/>
          <w:spacing w:val="-11"/>
        </w:rPr>
        <w:t> </w:t>
      </w:r>
      <w:r>
        <w:rPr>
          <w:color w:val="231F20"/>
        </w:rPr>
        <w:t>(SCE).</w:t>
      </w:r>
    </w:p>
    <w:p>
      <w:pPr>
        <w:pStyle w:val="BodyText"/>
        <w:spacing w:line="218" w:lineRule="auto" w:before="86"/>
      </w:pPr>
      <w:r>
        <w:rPr>
          <w:color w:val="231F20"/>
        </w:rPr>
        <w:t>Art. 16:2. De Europese coöperatieve vennootschap wordt beheerst door verordening (EG) nr. 1435/2003.</w:t>
      </w:r>
    </w:p>
    <w:p>
      <w:pPr>
        <w:pStyle w:val="BodyText"/>
        <w:spacing w:line="218" w:lineRule="auto" w:before="85"/>
      </w:pPr>
      <w:r>
        <w:rPr>
          <w:color w:val="231F20"/>
        </w:rPr>
        <w:t>Voor  </w:t>
      </w:r>
      <w:r>
        <w:rPr>
          <w:color w:val="231F20"/>
          <w:spacing w:val="4"/>
        </w:rPr>
        <w:t>de  </w:t>
      </w:r>
      <w:r>
        <w:rPr>
          <w:color w:val="231F20"/>
          <w:spacing w:val="7"/>
        </w:rPr>
        <w:t>aangelegenheden   </w:t>
      </w:r>
      <w:r>
        <w:rPr>
          <w:color w:val="231F20"/>
          <w:spacing w:val="5"/>
        </w:rPr>
        <w:t>die   </w:t>
      </w:r>
      <w:r>
        <w:rPr>
          <w:color w:val="231F20"/>
          <w:spacing w:val="6"/>
        </w:rPr>
        <w:t>niet   </w:t>
      </w:r>
      <w:r>
        <w:rPr>
          <w:color w:val="231F20"/>
          <w:spacing w:val="5"/>
        </w:rPr>
        <w:t>bij   </w:t>
      </w:r>
      <w:r>
        <w:rPr>
          <w:color w:val="231F20"/>
          <w:spacing w:val="6"/>
        </w:rPr>
        <w:t>verordening   </w:t>
      </w:r>
      <w:r>
        <w:rPr>
          <w:color w:val="231F20"/>
          <w:spacing w:val="8"/>
        </w:rPr>
        <w:t>(EG) </w:t>
      </w:r>
      <w:r>
        <w:rPr>
          <w:color w:val="231F20"/>
          <w:spacing w:val="-5"/>
        </w:rPr>
        <w:t>nr. </w:t>
      </w:r>
      <w:r>
        <w:rPr>
          <w:color w:val="231F20"/>
        </w:rPr>
        <w:t>1435/2003 zijn geregeld, zijn de bepalingen van boek 6 van toepassing,</w:t>
      </w:r>
      <w:r>
        <w:rPr>
          <w:color w:val="231F20"/>
          <w:spacing w:val="-13"/>
        </w:rPr>
        <w:t> </w:t>
      </w:r>
      <w:r>
        <w:rPr>
          <w:color w:val="231F20"/>
        </w:rPr>
        <w:t>tenzij</w:t>
      </w:r>
      <w:r>
        <w:rPr>
          <w:color w:val="231F20"/>
          <w:spacing w:val="-13"/>
        </w:rPr>
        <w:t> </w:t>
      </w:r>
      <w:r>
        <w:rPr>
          <w:color w:val="231F20"/>
        </w:rPr>
        <w:t>in</w:t>
      </w:r>
      <w:r>
        <w:rPr>
          <w:color w:val="231F20"/>
          <w:spacing w:val="-13"/>
        </w:rPr>
        <w:t> </w:t>
      </w:r>
      <w:r>
        <w:rPr>
          <w:color w:val="231F20"/>
        </w:rPr>
        <w:t>zoverre</w:t>
      </w:r>
      <w:r>
        <w:rPr>
          <w:color w:val="231F20"/>
          <w:spacing w:val="-12"/>
        </w:rPr>
        <w:t> </w:t>
      </w:r>
      <w:r>
        <w:rPr>
          <w:color w:val="231F20"/>
        </w:rPr>
        <w:t>zij</w:t>
      </w:r>
      <w:r>
        <w:rPr>
          <w:color w:val="231F20"/>
          <w:spacing w:val="-13"/>
        </w:rPr>
        <w:t> </w:t>
      </w:r>
      <w:r>
        <w:rPr>
          <w:color w:val="231F20"/>
        </w:rPr>
        <w:t>in</w:t>
      </w:r>
      <w:r>
        <w:rPr>
          <w:color w:val="231F20"/>
          <w:spacing w:val="-13"/>
        </w:rPr>
        <w:t> </w:t>
      </w:r>
      <w:r>
        <w:rPr>
          <w:color w:val="231F20"/>
        </w:rPr>
        <w:t>de</w:t>
      </w:r>
      <w:r>
        <w:rPr>
          <w:color w:val="231F20"/>
          <w:spacing w:val="-13"/>
        </w:rPr>
        <w:t> </w:t>
      </w:r>
      <w:r>
        <w:rPr>
          <w:color w:val="231F20"/>
        </w:rPr>
        <w:t>verordening</w:t>
      </w:r>
      <w:r>
        <w:rPr>
          <w:color w:val="231F20"/>
          <w:spacing w:val="-12"/>
        </w:rPr>
        <w:t> </w:t>
      </w:r>
      <w:r>
        <w:rPr>
          <w:color w:val="231F20"/>
        </w:rPr>
        <w:t>(EG)</w:t>
      </w:r>
      <w:r>
        <w:rPr>
          <w:color w:val="231F20"/>
          <w:spacing w:val="-13"/>
        </w:rPr>
        <w:t> </w:t>
      </w:r>
      <w:r>
        <w:rPr>
          <w:color w:val="231F20"/>
          <w:spacing w:val="-5"/>
        </w:rPr>
        <w:t>nr.</w:t>
      </w:r>
      <w:r>
        <w:rPr>
          <w:color w:val="231F20"/>
          <w:spacing w:val="-13"/>
        </w:rPr>
        <w:t> </w:t>
      </w:r>
      <w:r>
        <w:rPr>
          <w:color w:val="231F20"/>
        </w:rPr>
        <w:t>1435/2003</w:t>
      </w:r>
      <w:r>
        <w:rPr>
          <w:color w:val="231F20"/>
          <w:spacing w:val="-13"/>
        </w:rPr>
        <w:t> </w:t>
      </w:r>
      <w:r>
        <w:rPr>
          <w:color w:val="231F20"/>
        </w:rPr>
        <w:t>uit- drukkelijk worden uitgesloten dan wel er in dit boek van wordt afgeweken.</w:t>
      </w:r>
    </w:p>
    <w:p>
      <w:pPr>
        <w:pStyle w:val="BodyText"/>
        <w:spacing w:before="72"/>
        <w:ind w:left="283" w:right="0" w:firstLine="0"/>
        <w:jc w:val="left"/>
      </w:pPr>
      <w:r>
        <w:rPr>
          <w:color w:val="231F20"/>
        </w:rPr>
        <w:t>HOOFDSTUK 2. Zetel.</w:t>
      </w:r>
    </w:p>
    <w:p>
      <w:pPr>
        <w:pStyle w:val="BodyText"/>
        <w:spacing w:line="218" w:lineRule="auto" w:before="82"/>
      </w:pPr>
      <w:r>
        <w:rPr>
          <w:color w:val="231F20"/>
        </w:rPr>
        <w:t>Art. 16:3. Wanneer, overeenkomstig artikel 73, lid 5, van verordening (EG) nr. 1435/2003, wordt vastgesteld dat enkel het hoofdbestuur in België is gevestigd, brengt het openbaar ministerie onverwijld de lidstaat waar de statutaire zetel van de SCE is gevestigd hiervan op de hoogte.</w:t>
      </w:r>
    </w:p>
    <w:p>
      <w:pPr>
        <w:pStyle w:val="BodyText"/>
        <w:spacing w:before="72"/>
        <w:ind w:left="283" w:right="0" w:firstLine="0"/>
        <w:jc w:val="left"/>
      </w:pPr>
      <w:r>
        <w:rPr>
          <w:color w:val="231F20"/>
        </w:rPr>
        <w:t>HOOFDSTUK 3. Kapitaalverschaffers.</w:t>
      </w:r>
    </w:p>
    <w:p>
      <w:pPr>
        <w:pStyle w:val="BodyText"/>
        <w:spacing w:line="218" w:lineRule="auto" w:before="82"/>
      </w:pPr>
      <w:r>
        <w:rPr>
          <w:color w:val="231F20"/>
        </w:rPr>
        <w:t>Art. 16:4. Overeenkomstig artikel 14, lid  1,  van  verordening  (EG) </w:t>
      </w:r>
      <w:r>
        <w:rPr>
          <w:color w:val="231F20"/>
          <w:spacing w:val="-5"/>
        </w:rPr>
        <w:t>nr. </w:t>
      </w:r>
      <w:r>
        <w:rPr>
          <w:color w:val="231F20"/>
        </w:rPr>
        <w:t>1435/2003, kunnen de statuten toestaan dat personen die naar verwachting geen gebruik zullen maken van de door de SCE aangebo- den goederen en diensten of geen goederen en diensten aan de SCE zullen leveren, kunnen worden toegelaten in de hoedanigheid van kapitaalverschaffers (niet-gebruikende</w:t>
      </w:r>
      <w:r>
        <w:rPr>
          <w:color w:val="231F20"/>
          <w:spacing w:val="-12"/>
        </w:rPr>
        <w:t> </w:t>
      </w:r>
      <w:r>
        <w:rPr>
          <w:color w:val="231F20"/>
        </w:rPr>
        <w:t>leden).</w:t>
      </w:r>
    </w:p>
    <w:p>
      <w:pPr>
        <w:pStyle w:val="BodyText"/>
        <w:spacing w:before="71"/>
        <w:ind w:left="283" w:right="0" w:firstLine="0"/>
        <w:jc w:val="left"/>
      </w:pPr>
      <w:r>
        <w:rPr>
          <w:color w:val="231F20"/>
        </w:rPr>
        <w:t>TITEL 2. Oprichting.</w:t>
      </w:r>
    </w:p>
    <w:p>
      <w:pPr>
        <w:pStyle w:val="BodyText"/>
        <w:spacing w:line="324" w:lineRule="auto" w:before="68"/>
        <w:ind w:left="283" w:right="1786" w:firstLine="0"/>
        <w:jc w:val="left"/>
      </w:pPr>
      <w:r>
        <w:rPr>
          <w:color w:val="231F20"/>
          <w:w w:val="105"/>
        </w:rPr>
        <w:t>HOOFDSTUK 1. Oprichting via fusie. Afdeling 1. Inleidende bepaling.</w:t>
      </w:r>
    </w:p>
    <w:p>
      <w:pPr>
        <w:pStyle w:val="BodyText"/>
        <w:spacing w:line="218" w:lineRule="auto" w:before="15"/>
      </w:pPr>
      <w:r>
        <w:rPr>
          <w:color w:val="231F20"/>
        </w:rPr>
        <w:t>Art. 16:5. Een coöperatieve vennootschap mag niet deelnemen aan de oprichting van een SCE via fusie wanneer de minister bevoegd voor Economie zich daartegen overeenkomstig artikel 21 van verordening (EG) </w:t>
      </w:r>
      <w:r>
        <w:rPr>
          <w:color w:val="231F20"/>
          <w:spacing w:val="-5"/>
        </w:rPr>
        <w:t>nr. </w:t>
      </w:r>
      <w:r>
        <w:rPr>
          <w:color w:val="231F20"/>
        </w:rPr>
        <w:t>1435/2003 verzet, middels </w:t>
      </w:r>
      <w:r>
        <w:rPr>
          <w:color w:val="231F20"/>
          <w:spacing w:val="-3"/>
        </w:rPr>
        <w:t>officiële </w:t>
      </w:r>
      <w:r>
        <w:rPr>
          <w:color w:val="231F20"/>
        </w:rPr>
        <w:t>kennisgeving aan de betrokken vennootschap binnen de maand na de publicatie van de aanwijzingen beoogd in artikel 24 van dezelfde verordening. De  </w:t>
      </w:r>
      <w:r>
        <w:rPr>
          <w:color w:val="231F20"/>
          <w:spacing w:val="-3"/>
        </w:rPr>
        <w:t>officiële </w:t>
      </w:r>
      <w:r>
        <w:rPr>
          <w:color w:val="231F20"/>
        </w:rPr>
        <w:t>kennisgeving wordt bekendgemaakt in overeenstemming met artikel 2:14,</w:t>
      </w:r>
      <w:r>
        <w:rPr>
          <w:color w:val="231F20"/>
          <w:spacing w:val="-13"/>
        </w:rPr>
        <w:t> </w:t>
      </w:r>
      <w:r>
        <w:rPr>
          <w:color w:val="231F20"/>
        </w:rPr>
        <w:t>4°.</w:t>
      </w:r>
    </w:p>
    <w:p>
      <w:pPr>
        <w:pStyle w:val="BodyText"/>
        <w:spacing w:line="218" w:lineRule="auto" w:before="86"/>
      </w:pPr>
      <w:r>
        <w:rPr>
          <w:color w:val="231F20"/>
        </w:rPr>
        <w:t>Het attest beoogd in artikel 16:7 kan pas worden afgeleverd nadat het verzet is ingetrokken of vernietigd door een beslissing die niet vatbaar is voor</w:t>
      </w:r>
      <w:r>
        <w:rPr>
          <w:color w:val="231F20"/>
          <w:spacing w:val="-11"/>
        </w:rPr>
        <w:t> </w:t>
      </w:r>
      <w:r>
        <w:rPr>
          <w:color w:val="231F20"/>
        </w:rPr>
        <w:t>verhaal.</w:t>
      </w:r>
    </w:p>
    <w:p>
      <w:pPr>
        <w:pStyle w:val="BodyText"/>
        <w:spacing w:line="218" w:lineRule="auto" w:before="96"/>
      </w:pPr>
      <w:r>
        <w:rPr>
          <w:color w:val="231F20"/>
        </w:rPr>
        <w:t>De Koning bepaalt bij een in Ministerraad overlegd besluit de versnelde procedure die van toepassing is op het beroep tegen het verzet bepaald in dit</w:t>
      </w:r>
      <w:r>
        <w:rPr>
          <w:color w:val="231F20"/>
          <w:spacing w:val="20"/>
        </w:rPr>
        <w:t> </w:t>
      </w:r>
      <w:r>
        <w:rPr>
          <w:color w:val="231F20"/>
        </w:rPr>
        <w:t>artikel.</w:t>
      </w:r>
    </w:p>
    <w:p>
      <w:pPr>
        <w:pStyle w:val="BodyText"/>
        <w:spacing w:before="82"/>
        <w:ind w:left="283" w:right="0" w:firstLine="0"/>
        <w:jc w:val="left"/>
      </w:pPr>
      <w:r>
        <w:rPr>
          <w:color w:val="231F20"/>
        </w:rPr>
        <w:t>Afdeling 2. Procedure.</w:t>
      </w:r>
    </w:p>
    <w:p>
      <w:pPr>
        <w:pStyle w:val="BodyText"/>
        <w:spacing w:line="218" w:lineRule="auto" w:before="93"/>
      </w:pPr>
      <w:r>
        <w:rPr>
          <w:color w:val="231F20"/>
        </w:rPr>
        <w:t>Art. 16:6. Het fusievoorstel wordt overeenkomstig dit wetboek neergelegd en de gegevens bepaald in artikel 24 van verordening (EG) nr. 1435/2003 worden bekendgemaakt overeenkomstig artikel 2:14, 1°.</w:t>
      </w:r>
    </w:p>
    <w:p>
      <w:pPr>
        <w:pStyle w:val="BodyText"/>
        <w:spacing w:before="82"/>
        <w:ind w:left="283" w:right="0" w:firstLine="0"/>
        <w:jc w:val="left"/>
      </w:pPr>
      <w:r>
        <w:rPr>
          <w:color w:val="231F20"/>
        </w:rPr>
        <w:t>Afdeling 3. Wettigheidscontrole.</w:t>
      </w:r>
    </w:p>
    <w:p>
      <w:pPr>
        <w:pStyle w:val="BodyText"/>
        <w:spacing w:line="218" w:lineRule="auto" w:before="93"/>
      </w:pPr>
      <w:r>
        <w:rPr>
          <w:color w:val="231F20"/>
        </w:rPr>
        <w:t>Art. 16:7. De instrumenterende notaris controleert de wettigheid van de fusie overeenkomstig artikel 12:31 of artikel 12:44 naargelang van het geval, en geeft het attest af voorgeschreven door artikel 29</w:t>
      </w:r>
      <w:r>
        <w:rPr>
          <w:color w:val="231F20"/>
          <w:spacing w:val="13"/>
        </w:rPr>
        <w:t> </w:t>
      </w:r>
      <w:r>
        <w:rPr>
          <w:color w:val="231F20"/>
        </w:rPr>
        <w:t>van verordening (EG) </w:t>
      </w:r>
      <w:r>
        <w:rPr>
          <w:color w:val="231F20"/>
          <w:spacing w:val="-5"/>
        </w:rPr>
        <w:t>nr.</w:t>
      </w:r>
      <w:r>
        <w:rPr>
          <w:color w:val="231F20"/>
          <w:spacing w:val="6"/>
        </w:rPr>
        <w:t> </w:t>
      </w:r>
      <w:r>
        <w:rPr>
          <w:color w:val="231F20"/>
        </w:rPr>
        <w:t>1435/2003.</w:t>
      </w:r>
    </w:p>
    <w:p>
      <w:pPr>
        <w:pStyle w:val="BodyText"/>
        <w:spacing w:line="218" w:lineRule="auto" w:before="96"/>
      </w:pPr>
      <w:r>
        <w:rPr>
          <w:color w:val="231F20"/>
        </w:rPr>
        <w:t>Art. 16:8. De instrumenterende notaris controleert de wettigheid van de</w:t>
      </w:r>
      <w:r>
        <w:rPr>
          <w:color w:val="231F20"/>
          <w:spacing w:val="-5"/>
        </w:rPr>
        <w:t> </w:t>
      </w:r>
      <w:r>
        <w:rPr>
          <w:color w:val="231F20"/>
        </w:rPr>
        <w:t>fusie</w:t>
      </w:r>
      <w:r>
        <w:rPr>
          <w:color w:val="231F20"/>
          <w:spacing w:val="-4"/>
        </w:rPr>
        <w:t> </w:t>
      </w:r>
      <w:r>
        <w:rPr>
          <w:color w:val="231F20"/>
        </w:rPr>
        <w:t>overeenkomstig</w:t>
      </w:r>
      <w:r>
        <w:rPr>
          <w:color w:val="231F20"/>
          <w:spacing w:val="-4"/>
        </w:rPr>
        <w:t> </w:t>
      </w:r>
      <w:r>
        <w:rPr>
          <w:color w:val="231F20"/>
        </w:rPr>
        <w:t>artikel</w:t>
      </w:r>
      <w:r>
        <w:rPr>
          <w:color w:val="231F20"/>
          <w:spacing w:val="-4"/>
        </w:rPr>
        <w:t> </w:t>
      </w:r>
      <w:r>
        <w:rPr>
          <w:color w:val="231F20"/>
        </w:rPr>
        <w:t>30</w:t>
      </w:r>
      <w:r>
        <w:rPr>
          <w:color w:val="231F20"/>
          <w:spacing w:val="-5"/>
        </w:rPr>
        <w:t> </w:t>
      </w:r>
      <w:r>
        <w:rPr>
          <w:color w:val="231F20"/>
        </w:rPr>
        <w:t>van</w:t>
      </w:r>
      <w:r>
        <w:rPr>
          <w:color w:val="231F20"/>
          <w:spacing w:val="-4"/>
        </w:rPr>
        <w:t> </w:t>
      </w:r>
      <w:r>
        <w:rPr>
          <w:color w:val="231F20"/>
        </w:rPr>
        <w:t>verordening</w:t>
      </w:r>
      <w:r>
        <w:rPr>
          <w:color w:val="231F20"/>
          <w:spacing w:val="-4"/>
        </w:rPr>
        <w:t> </w:t>
      </w:r>
      <w:r>
        <w:rPr>
          <w:color w:val="231F20"/>
        </w:rPr>
        <w:t>(EG)</w:t>
      </w:r>
      <w:r>
        <w:rPr>
          <w:color w:val="231F20"/>
          <w:spacing w:val="-4"/>
        </w:rPr>
        <w:t> </w:t>
      </w:r>
      <w:r>
        <w:rPr>
          <w:color w:val="231F20"/>
          <w:spacing w:val="-5"/>
        </w:rPr>
        <w:t>nr. </w:t>
      </w:r>
      <w:r>
        <w:rPr>
          <w:color w:val="231F20"/>
        </w:rPr>
        <w:t>1435/2003.</w:t>
      </w:r>
    </w:p>
    <w:p>
      <w:pPr>
        <w:pStyle w:val="BodyText"/>
        <w:spacing w:before="82"/>
        <w:ind w:left="283" w:right="0" w:firstLine="0"/>
        <w:jc w:val="left"/>
      </w:pPr>
      <w:r>
        <w:rPr>
          <w:color w:val="231F20"/>
        </w:rPr>
        <w:t>Afdeling 4. Inschrijving en openbaarmaking.</w:t>
      </w:r>
    </w:p>
    <w:p>
      <w:pPr>
        <w:pStyle w:val="BodyText"/>
        <w:spacing w:line="218" w:lineRule="auto" w:before="93"/>
      </w:pPr>
      <w:r>
        <w:rPr>
          <w:color w:val="231F20"/>
        </w:rPr>
        <w:t>Art. 16:9. Na de vervulling van de openbaarmakingsvereisten eigen aan elke lidstaat met betrekking tot het besluit tot fusie in elke betrokken vennootschap, stelt de instrumenterende notaris de verwe- zenlijking van de fusie vast op verzoek van de vennootschappen die fuseren, op voorlegging van de attesten en andere documenten die de verrichting rechtvaardigen.</w:t>
      </w:r>
    </w:p>
    <w:p>
      <w:pPr>
        <w:pStyle w:val="BodyText"/>
        <w:spacing w:line="218" w:lineRule="auto" w:before="96"/>
      </w:pPr>
      <w:r>
        <w:rPr>
          <w:color w:val="231F20"/>
        </w:rPr>
        <w:t>Deze akte wordt neergelegd en bekendgemaakt overeenkomstig de artikelen 2:8 en 2:14, 1°.</w:t>
      </w:r>
    </w:p>
    <w:p>
      <w:pPr>
        <w:pStyle w:val="BodyText"/>
        <w:spacing w:line="218" w:lineRule="auto" w:before="96"/>
      </w:pPr>
      <w:r>
        <w:rPr>
          <w:color w:val="231F20"/>
        </w:rPr>
        <w:t>HOOFDSTUK 2. Omzetting van een coöperatieve vennootschap in een Europese coöperatieve vennootschap.</w:t>
      </w:r>
    </w:p>
    <w:p>
      <w:pPr>
        <w:pStyle w:val="BodyText"/>
        <w:spacing w:line="218" w:lineRule="auto" w:before="97"/>
      </w:pPr>
      <w:r>
        <w:rPr>
          <w:color w:val="231F20"/>
        </w:rPr>
        <w:t>Art. 16:10. Het voorstel tot omzetting wordt neergelegd en bekend- gemaakt overeenkomstig de artikelen 2:8 en 2:14, 4°.</w:t>
      </w:r>
    </w:p>
    <w:p>
      <w:pPr>
        <w:pStyle w:val="BodyText"/>
        <w:spacing w:line="218" w:lineRule="auto" w:before="96"/>
      </w:pPr>
      <w:r>
        <w:rPr>
          <w:color w:val="231F20"/>
        </w:rPr>
        <w:t>Art. 16:11. De onafhankelijke deskundige(n) bedoeld in artikel 35,   lid 5, van verordening (EG) </w:t>
      </w:r>
      <w:r>
        <w:rPr>
          <w:color w:val="231F20"/>
          <w:spacing w:val="-5"/>
        </w:rPr>
        <w:t>nr. </w:t>
      </w:r>
      <w:r>
        <w:rPr>
          <w:color w:val="231F20"/>
        </w:rPr>
        <w:t>1435/2003, is de commissaris, of, als er geen commissaris is, een bedrijfsrevisor of externe accountant aange- wezen door het</w:t>
      </w:r>
      <w:r>
        <w:rPr>
          <w:color w:val="231F20"/>
          <w:spacing w:val="5"/>
        </w:rPr>
        <w:t> </w:t>
      </w:r>
      <w:r>
        <w:rPr>
          <w:color w:val="231F20"/>
        </w:rPr>
        <w:t>bestuursorgaan.</w:t>
      </w:r>
    </w:p>
    <w:p>
      <w:pPr>
        <w:spacing w:after="0" w:line="218" w:lineRule="auto"/>
        <w:sectPr>
          <w:pgSz w:w="11940" w:h="16880"/>
          <w:pgMar w:header="666" w:footer="0" w:top="1140" w:bottom="280" w:left="340" w:right="360"/>
          <w:cols w:num="2" w:equalWidth="0">
            <w:col w:w="5574" w:space="53"/>
            <w:col w:w="5613"/>
          </w:cols>
        </w:sectPr>
      </w:pPr>
    </w:p>
    <w:p>
      <w:pPr>
        <w:pStyle w:val="BodyText"/>
        <w:spacing w:line="218" w:lineRule="auto" w:before="120"/>
        <w:ind w:right="39"/>
      </w:pPr>
      <w:r>
        <w:rPr/>
        <w:pict>
          <v:line style="position:absolute;mso-position-horizontal-relative:page;mso-position-vertical-relative:page;z-index:7672" from="298.170502pt,64.473pt" to="298.170502pt,812.819pt" stroked="true" strokeweight=".533pt" strokecolor="#231f20">
            <v:stroke dashstyle="solid"/>
            <w10:wrap type="none"/>
          </v:line>
        </w:pict>
      </w:r>
      <w:bookmarkStart w:name="_bookmark277" w:id="283"/>
      <w:bookmarkEnd w:id="283"/>
      <w:r>
        <w:rPr/>
      </w:r>
      <w:r>
        <w:rPr>
          <w:color w:val="231F20"/>
        </w:rPr>
        <w:t>CHAPITRE 3. Participation à une SCE d’une société dont l’adminis- tration centrale ne se trouve pas sur le territoire de l’Union européenne.</w:t>
      </w:r>
    </w:p>
    <w:p>
      <w:pPr>
        <w:pStyle w:val="BodyText"/>
        <w:spacing w:line="218" w:lineRule="auto" w:before="85"/>
        <w:ind w:right="39"/>
      </w:pPr>
      <w:r>
        <w:rPr>
          <w:color w:val="231F20"/>
        </w:rPr>
        <w:t>Art. 16:12. Une société n’ayant pas son administration centrale dans l’Union européenne peut participer à la constitution d’une SCE, si elle est constituée selon le droit d’un État membre, a son siège statutaire dans ce même État membre et a un lien effectif et continu avec l’économie d’un État membre.</w:t>
      </w:r>
    </w:p>
    <w:p>
      <w:pPr>
        <w:pStyle w:val="BodyText"/>
        <w:spacing w:before="72"/>
        <w:ind w:left="283" w:right="0" w:firstLine="0"/>
        <w:jc w:val="left"/>
      </w:pPr>
      <w:r>
        <w:rPr>
          <w:color w:val="231F20"/>
        </w:rPr>
        <w:t>TITRE 3. Organes.</w:t>
      </w:r>
    </w:p>
    <w:p>
      <w:pPr>
        <w:pStyle w:val="BodyText"/>
        <w:spacing w:line="319" w:lineRule="auto" w:before="64"/>
        <w:ind w:left="283" w:right="2658" w:firstLine="0"/>
        <w:jc w:val="left"/>
      </w:pPr>
      <w:r>
        <w:rPr>
          <w:color w:val="231F20"/>
        </w:rPr>
        <w:t>CHAPITRE 1</w:t>
      </w:r>
      <w:r>
        <w:rPr>
          <w:color w:val="231F20"/>
          <w:position w:val="7"/>
          <w:sz w:val="11"/>
        </w:rPr>
        <w:t>er</w:t>
      </w:r>
      <w:r>
        <w:rPr>
          <w:color w:val="231F20"/>
        </w:rPr>
        <w:t>. Administration. Section 1</w:t>
      </w:r>
      <w:r>
        <w:rPr>
          <w:color w:val="231F20"/>
          <w:position w:val="7"/>
          <w:sz w:val="11"/>
        </w:rPr>
        <w:t>re</w:t>
      </w:r>
      <w:r>
        <w:rPr>
          <w:color w:val="231F20"/>
        </w:rPr>
        <w:t>. Disposition générale.</w:t>
      </w:r>
    </w:p>
    <w:p>
      <w:pPr>
        <w:pStyle w:val="BodyText"/>
        <w:spacing w:line="218" w:lineRule="auto" w:before="28"/>
        <w:ind w:right="39"/>
      </w:pPr>
      <w:r>
        <w:rPr>
          <w:color w:val="231F20"/>
        </w:rPr>
        <w:t>Art. 16:13. Une société coopérative européenne a le choix entre une administration moniste ou une administration duale. Elle inscrit le choix effectué dans ses statuts.</w:t>
      </w:r>
    </w:p>
    <w:p>
      <w:pPr>
        <w:pStyle w:val="BodyText"/>
        <w:spacing w:before="82"/>
        <w:ind w:left="283" w:right="0" w:firstLine="0"/>
        <w:jc w:val="left"/>
      </w:pPr>
      <w:r>
        <w:rPr>
          <w:color w:val="231F20"/>
        </w:rPr>
        <w:t>Section 2. Administration moniste.</w:t>
      </w:r>
    </w:p>
    <w:p>
      <w:pPr>
        <w:pStyle w:val="BodyText"/>
        <w:spacing w:line="213" w:lineRule="auto" w:before="96"/>
        <w:ind w:right="39"/>
      </w:pPr>
      <w:r>
        <w:rPr>
          <w:color w:val="231F20"/>
        </w:rPr>
        <w:t>Art. 16:14. Les dispositions de la deuxième partie, livre 6, titre 4, chapitre 1</w:t>
      </w:r>
      <w:r>
        <w:rPr>
          <w:color w:val="231F20"/>
          <w:position w:val="7"/>
          <w:sz w:val="11"/>
        </w:rPr>
        <w:t>er</w:t>
      </w:r>
      <w:r>
        <w:rPr>
          <w:color w:val="231F20"/>
        </w:rPr>
        <w:t>, s’appliquent à l’administration  d’une  société  coopéra-  tive européenne qui opte pour une administration moniste, sauf dans la mesure</w:t>
      </w:r>
      <w:r>
        <w:rPr>
          <w:color w:val="231F20"/>
          <w:spacing w:val="15"/>
        </w:rPr>
        <w:t> </w:t>
      </w:r>
      <w:r>
        <w:rPr>
          <w:color w:val="231F20"/>
        </w:rPr>
        <w:t>où</w:t>
      </w:r>
      <w:r>
        <w:rPr>
          <w:color w:val="231F20"/>
          <w:spacing w:val="15"/>
        </w:rPr>
        <w:t> </w:t>
      </w:r>
      <w:r>
        <w:rPr>
          <w:color w:val="231F20"/>
        </w:rPr>
        <w:t>il</w:t>
      </w:r>
      <w:r>
        <w:rPr>
          <w:color w:val="231F20"/>
          <w:spacing w:val="16"/>
        </w:rPr>
        <w:t> </w:t>
      </w:r>
      <w:r>
        <w:rPr>
          <w:color w:val="231F20"/>
        </w:rPr>
        <w:t>y</w:t>
      </w:r>
      <w:r>
        <w:rPr>
          <w:color w:val="231F20"/>
          <w:spacing w:val="15"/>
        </w:rPr>
        <w:t> </w:t>
      </w:r>
      <w:r>
        <w:rPr>
          <w:color w:val="231F20"/>
        </w:rPr>
        <w:t>est</w:t>
      </w:r>
      <w:r>
        <w:rPr>
          <w:color w:val="231F20"/>
          <w:spacing w:val="16"/>
        </w:rPr>
        <w:t> </w:t>
      </w:r>
      <w:r>
        <w:rPr>
          <w:color w:val="231F20"/>
        </w:rPr>
        <w:t>dérogé</w:t>
      </w:r>
      <w:r>
        <w:rPr>
          <w:color w:val="231F20"/>
          <w:spacing w:val="15"/>
        </w:rPr>
        <w:t> </w:t>
      </w:r>
      <w:r>
        <w:rPr>
          <w:color w:val="231F20"/>
        </w:rPr>
        <w:t>par</w:t>
      </w:r>
      <w:r>
        <w:rPr>
          <w:color w:val="231F20"/>
          <w:spacing w:val="16"/>
        </w:rPr>
        <w:t> </w:t>
      </w:r>
      <w:r>
        <w:rPr>
          <w:color w:val="231F20"/>
        </w:rPr>
        <w:t>le</w:t>
      </w:r>
      <w:r>
        <w:rPr>
          <w:color w:val="231F20"/>
          <w:spacing w:val="15"/>
        </w:rPr>
        <w:t> </w:t>
      </w:r>
      <w:r>
        <w:rPr>
          <w:color w:val="231F20"/>
        </w:rPr>
        <w:t>présent</w:t>
      </w:r>
      <w:r>
        <w:rPr>
          <w:color w:val="231F20"/>
          <w:spacing w:val="16"/>
        </w:rPr>
        <w:t> </w:t>
      </w:r>
      <w:r>
        <w:rPr>
          <w:color w:val="231F20"/>
        </w:rPr>
        <w:t>livre.</w:t>
      </w:r>
    </w:p>
    <w:p>
      <w:pPr>
        <w:pStyle w:val="BodyText"/>
        <w:spacing w:before="80"/>
        <w:ind w:left="283" w:right="0" w:firstLine="0"/>
        <w:jc w:val="left"/>
      </w:pPr>
      <w:r>
        <w:rPr>
          <w:color w:val="231F20"/>
        </w:rPr>
        <w:t>Section 3. Administration duale.</w:t>
      </w:r>
    </w:p>
    <w:p>
      <w:pPr>
        <w:pStyle w:val="BodyText"/>
        <w:spacing w:line="213" w:lineRule="auto" w:before="80"/>
        <w:ind w:right="39"/>
      </w:pPr>
      <w:r>
        <w:rPr>
          <w:color w:val="231F20"/>
        </w:rPr>
        <w:t>Art. 16:15. § 1</w:t>
      </w:r>
      <w:r>
        <w:rPr>
          <w:color w:val="231F20"/>
          <w:position w:val="7"/>
          <w:sz w:val="11"/>
        </w:rPr>
        <w:t>er</w:t>
      </w:r>
      <w:r>
        <w:rPr>
          <w:color w:val="231F20"/>
        </w:rPr>
        <w:t>. Les dispositions de la deuxième partie, livre 7, titre   4, chapitre 1</w:t>
      </w:r>
      <w:r>
        <w:rPr>
          <w:color w:val="231F20"/>
          <w:position w:val="7"/>
          <w:sz w:val="11"/>
        </w:rPr>
        <w:t>er</w:t>
      </w:r>
      <w:r>
        <w:rPr>
          <w:color w:val="231F20"/>
        </w:rPr>
        <w:t>, sections  3  et  4,  s’appliquent  à  la  société  coopéra-  tive européenne qui opte pour une administration duale, sauf les dispositions qui concernent spécifiquement les sociétés anonymes cotées</w:t>
      </w:r>
      <w:r>
        <w:rPr>
          <w:color w:val="231F20"/>
          <w:spacing w:val="16"/>
        </w:rPr>
        <w:t> </w:t>
      </w:r>
      <w:r>
        <w:rPr>
          <w:color w:val="231F20"/>
        </w:rPr>
        <w:t>et</w:t>
      </w:r>
      <w:r>
        <w:rPr>
          <w:color w:val="231F20"/>
          <w:spacing w:val="16"/>
        </w:rPr>
        <w:t> </w:t>
      </w:r>
      <w:r>
        <w:rPr>
          <w:color w:val="231F20"/>
        </w:rPr>
        <w:t>sauf</w:t>
      </w:r>
      <w:r>
        <w:rPr>
          <w:color w:val="231F20"/>
          <w:spacing w:val="16"/>
        </w:rPr>
        <w:t> </w:t>
      </w:r>
      <w:r>
        <w:rPr>
          <w:color w:val="231F20"/>
        </w:rPr>
        <w:t>dans</w:t>
      </w:r>
      <w:r>
        <w:rPr>
          <w:color w:val="231F20"/>
          <w:spacing w:val="16"/>
        </w:rPr>
        <w:t> </w:t>
      </w:r>
      <w:r>
        <w:rPr>
          <w:color w:val="231F20"/>
        </w:rPr>
        <w:t>la</w:t>
      </w:r>
      <w:r>
        <w:rPr>
          <w:color w:val="231F20"/>
          <w:spacing w:val="16"/>
        </w:rPr>
        <w:t> </w:t>
      </w:r>
      <w:r>
        <w:rPr>
          <w:color w:val="231F20"/>
        </w:rPr>
        <w:t>mesure</w:t>
      </w:r>
      <w:r>
        <w:rPr>
          <w:color w:val="231F20"/>
          <w:spacing w:val="17"/>
        </w:rPr>
        <w:t> </w:t>
      </w:r>
      <w:r>
        <w:rPr>
          <w:color w:val="231F20"/>
        </w:rPr>
        <w:t>où</w:t>
      </w:r>
      <w:r>
        <w:rPr>
          <w:color w:val="231F20"/>
          <w:spacing w:val="16"/>
        </w:rPr>
        <w:t> </w:t>
      </w:r>
      <w:r>
        <w:rPr>
          <w:color w:val="231F20"/>
        </w:rPr>
        <w:t>il</w:t>
      </w:r>
      <w:r>
        <w:rPr>
          <w:color w:val="231F20"/>
          <w:spacing w:val="16"/>
        </w:rPr>
        <w:t> </w:t>
      </w:r>
      <w:r>
        <w:rPr>
          <w:color w:val="231F20"/>
        </w:rPr>
        <w:t>y</w:t>
      </w:r>
      <w:r>
        <w:rPr>
          <w:color w:val="231F20"/>
          <w:spacing w:val="16"/>
        </w:rPr>
        <w:t> </w:t>
      </w:r>
      <w:r>
        <w:rPr>
          <w:color w:val="231F20"/>
        </w:rPr>
        <w:t>est</w:t>
      </w:r>
      <w:r>
        <w:rPr>
          <w:color w:val="231F20"/>
          <w:spacing w:val="16"/>
        </w:rPr>
        <w:t> </w:t>
      </w:r>
      <w:r>
        <w:rPr>
          <w:color w:val="231F20"/>
        </w:rPr>
        <w:t>dérogé</w:t>
      </w:r>
      <w:r>
        <w:rPr>
          <w:color w:val="231F20"/>
          <w:spacing w:val="16"/>
        </w:rPr>
        <w:t> </w:t>
      </w:r>
      <w:r>
        <w:rPr>
          <w:color w:val="231F20"/>
        </w:rPr>
        <w:t>par</w:t>
      </w:r>
      <w:r>
        <w:rPr>
          <w:color w:val="231F20"/>
          <w:spacing w:val="17"/>
        </w:rPr>
        <w:t> </w:t>
      </w:r>
      <w:r>
        <w:rPr>
          <w:color w:val="231F20"/>
        </w:rPr>
        <w:t>le</w:t>
      </w:r>
      <w:r>
        <w:rPr>
          <w:color w:val="231F20"/>
          <w:spacing w:val="16"/>
        </w:rPr>
        <w:t> </w:t>
      </w:r>
      <w:r>
        <w:rPr>
          <w:color w:val="231F20"/>
        </w:rPr>
        <w:t>présent</w:t>
      </w:r>
      <w:r>
        <w:rPr>
          <w:color w:val="231F20"/>
          <w:spacing w:val="16"/>
        </w:rPr>
        <w:t> </w:t>
      </w:r>
      <w:r>
        <w:rPr>
          <w:color w:val="231F20"/>
        </w:rPr>
        <w:t>livre.</w:t>
      </w:r>
    </w:p>
    <w:p>
      <w:pPr>
        <w:pStyle w:val="BodyText"/>
        <w:spacing w:line="218" w:lineRule="auto" w:before="83"/>
        <w:ind w:right="38"/>
      </w:pPr>
      <w:r>
        <w:rPr>
          <w:color w:val="231F20"/>
        </w:rPr>
        <w:t>§</w:t>
      </w:r>
      <w:r>
        <w:rPr>
          <w:color w:val="231F20"/>
          <w:spacing w:val="-18"/>
        </w:rPr>
        <w:t> </w:t>
      </w:r>
      <w:r>
        <w:rPr>
          <w:color w:val="231F20"/>
        </w:rPr>
        <w:t>2.</w:t>
      </w:r>
      <w:r>
        <w:rPr>
          <w:color w:val="231F20"/>
          <w:spacing w:val="-18"/>
        </w:rPr>
        <w:t> </w:t>
      </w:r>
      <w:r>
        <w:rPr>
          <w:color w:val="231F20"/>
        </w:rPr>
        <w:t>Conformément</w:t>
      </w:r>
      <w:r>
        <w:rPr>
          <w:color w:val="231F20"/>
          <w:spacing w:val="-18"/>
        </w:rPr>
        <w:t> </w:t>
      </w:r>
      <w:r>
        <w:rPr>
          <w:color w:val="231F20"/>
        </w:rPr>
        <w:t>à</w:t>
      </w:r>
      <w:r>
        <w:rPr>
          <w:color w:val="231F20"/>
          <w:spacing w:val="-18"/>
        </w:rPr>
        <w:t> </w:t>
      </w:r>
      <w:r>
        <w:rPr>
          <w:color w:val="231F20"/>
        </w:rPr>
        <w:t>l’article</w:t>
      </w:r>
      <w:r>
        <w:rPr>
          <w:color w:val="231F20"/>
          <w:spacing w:val="-17"/>
        </w:rPr>
        <w:t> </w:t>
      </w:r>
      <w:r>
        <w:rPr>
          <w:color w:val="231F20"/>
        </w:rPr>
        <w:t>39,</w:t>
      </w:r>
      <w:r>
        <w:rPr>
          <w:color w:val="231F20"/>
          <w:spacing w:val="-18"/>
        </w:rPr>
        <w:t> </w:t>
      </w:r>
      <w:r>
        <w:rPr>
          <w:color w:val="231F20"/>
        </w:rPr>
        <w:t>§</w:t>
      </w:r>
      <w:r>
        <w:rPr>
          <w:color w:val="231F20"/>
          <w:spacing w:val="-18"/>
        </w:rPr>
        <w:t> </w:t>
      </w:r>
      <w:r>
        <w:rPr>
          <w:color w:val="231F20"/>
        </w:rPr>
        <w:t>1</w:t>
      </w:r>
      <w:r>
        <w:rPr>
          <w:color w:val="231F20"/>
          <w:position w:val="7"/>
          <w:sz w:val="11"/>
        </w:rPr>
        <w:t>er</w:t>
      </w:r>
      <w:r>
        <w:rPr>
          <w:color w:val="231F20"/>
        </w:rPr>
        <w:t>,</w:t>
      </w:r>
      <w:r>
        <w:rPr>
          <w:color w:val="231F20"/>
          <w:spacing w:val="-18"/>
        </w:rPr>
        <w:t> </w:t>
      </w:r>
      <w:r>
        <w:rPr>
          <w:color w:val="231F20"/>
        </w:rPr>
        <w:t>du</w:t>
      </w:r>
      <w:r>
        <w:rPr>
          <w:color w:val="231F20"/>
          <w:spacing w:val="-17"/>
        </w:rPr>
        <w:t> </w:t>
      </w:r>
      <w:r>
        <w:rPr>
          <w:color w:val="231F20"/>
        </w:rPr>
        <w:t>règlement</w:t>
      </w:r>
      <w:r>
        <w:rPr>
          <w:color w:val="231F20"/>
          <w:spacing w:val="-18"/>
        </w:rPr>
        <w:t> </w:t>
      </w:r>
      <w:r>
        <w:rPr>
          <w:color w:val="231F20"/>
        </w:rPr>
        <w:t>(CE)</w:t>
      </w:r>
      <w:r>
        <w:rPr>
          <w:color w:val="231F20"/>
          <w:spacing w:val="-18"/>
        </w:rPr>
        <w:t> </w:t>
      </w:r>
      <w:r>
        <w:rPr>
          <w:color w:val="231F20"/>
        </w:rPr>
        <w:t>n°</w:t>
      </w:r>
      <w:r>
        <w:rPr>
          <w:color w:val="231F20"/>
          <w:spacing w:val="-18"/>
        </w:rPr>
        <w:t> </w:t>
      </w:r>
      <w:r>
        <w:rPr>
          <w:color w:val="231F20"/>
        </w:rPr>
        <w:t>1435/2003, le conseil de direction d’une société coopérative européenne à admi- nistration duale exerce tous les pouvoirs qui, conformément à l’arti-   cle 7:109, incombent au conseil de surveillance dans un système dual, à l’exception</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surveillance</w:t>
      </w:r>
      <w:r>
        <w:rPr>
          <w:color w:val="231F20"/>
          <w:spacing w:val="16"/>
        </w:rPr>
        <w:t> </w:t>
      </w:r>
      <w:r>
        <w:rPr>
          <w:color w:val="231F20"/>
        </w:rPr>
        <w:t>du</w:t>
      </w:r>
      <w:r>
        <w:rPr>
          <w:color w:val="231F20"/>
          <w:spacing w:val="17"/>
        </w:rPr>
        <w:t> </w:t>
      </w:r>
      <w:r>
        <w:rPr>
          <w:color w:val="231F20"/>
        </w:rPr>
        <w:t>conseil</w:t>
      </w:r>
      <w:r>
        <w:rPr>
          <w:color w:val="231F20"/>
          <w:spacing w:val="16"/>
        </w:rPr>
        <w:t> </w:t>
      </w:r>
      <w:r>
        <w:rPr>
          <w:color w:val="231F20"/>
        </w:rPr>
        <w:t>de</w:t>
      </w:r>
      <w:r>
        <w:rPr>
          <w:color w:val="231F20"/>
          <w:spacing w:val="16"/>
        </w:rPr>
        <w:t> </w:t>
      </w:r>
      <w:r>
        <w:rPr>
          <w:color w:val="231F20"/>
        </w:rPr>
        <w:t>direction.</w:t>
      </w:r>
    </w:p>
    <w:p>
      <w:pPr>
        <w:pStyle w:val="BodyText"/>
        <w:spacing w:line="218" w:lineRule="auto" w:before="96"/>
        <w:ind w:right="39"/>
      </w:pPr>
      <w:r>
        <w:rPr>
          <w:color w:val="231F20"/>
        </w:rPr>
        <w:t>Le conseil de surveillance contrôle exclusivement la gestion assurée par le conseil de direction. Il ne peut en aucune manière s’ingérer dans l’administration de la société ni représenter la sociétéà l’égard des tiers. Le conseil de surveillance représente toutefois la société à l’égard du conseil de direction ou des membres qui le composent, en cas de litige ou lors de la conclusion de contrats.</w:t>
      </w:r>
    </w:p>
    <w:p>
      <w:pPr>
        <w:pStyle w:val="BodyText"/>
        <w:spacing w:line="218" w:lineRule="auto" w:before="97"/>
        <w:ind w:right="39"/>
      </w:pPr>
      <w:r>
        <w:rPr>
          <w:color w:val="231F20"/>
        </w:rPr>
        <w:t>Les statuts peuvent toutefois déterminer les opérations pour lesquel- les le conseil de direction doit recevoir l’autorisation du conseil de surveillance.</w:t>
      </w:r>
    </w:p>
    <w:p>
      <w:pPr>
        <w:pStyle w:val="BodyText"/>
        <w:spacing w:line="218" w:lineRule="auto" w:before="96"/>
        <w:ind w:right="40"/>
      </w:pPr>
      <w:r>
        <w:rPr>
          <w:color w:val="231F20"/>
        </w:rPr>
        <w:t>Art. 16:16. En cas de conflit d’intérêts tel que visé à l’article 7:115, le conseil de direction renvoie la décision au conseil de surveillance.</w:t>
      </w:r>
    </w:p>
    <w:p>
      <w:pPr>
        <w:pStyle w:val="BodyText"/>
        <w:spacing w:before="10"/>
        <w:ind w:left="0" w:right="0" w:firstLine="0"/>
        <w:jc w:val="left"/>
        <w:rPr>
          <w:sz w:val="23"/>
        </w:rPr>
      </w:pPr>
    </w:p>
    <w:p>
      <w:pPr>
        <w:pStyle w:val="BodyText"/>
        <w:spacing w:line="218" w:lineRule="auto" w:before="1"/>
        <w:ind w:right="39"/>
      </w:pPr>
      <w:r>
        <w:rPr>
          <w:color w:val="231F20"/>
        </w:rPr>
        <w:t>En cas de conflit d’intérêts tel que visé à l’article 7:116, le conseil de direction renvoie la décision au conseil de surveillance.</w:t>
      </w:r>
    </w:p>
    <w:p>
      <w:pPr>
        <w:pStyle w:val="BodyText"/>
        <w:spacing w:line="218" w:lineRule="auto" w:before="96"/>
        <w:ind w:right="39"/>
      </w:pPr>
      <w:r>
        <w:rPr>
          <w:color w:val="231F20"/>
        </w:rPr>
        <w:t>Ces compétences du conseil de surveillance sont énumérées dans les statuts.</w:t>
      </w:r>
    </w:p>
    <w:p>
      <w:pPr>
        <w:pStyle w:val="BodyText"/>
        <w:spacing w:line="218" w:lineRule="auto" w:before="96"/>
        <w:ind w:right="42"/>
      </w:pPr>
      <w:r>
        <w:rPr>
          <w:color w:val="231F20"/>
        </w:rPr>
        <w:t>Art. 16:17. Le conseil de direction peut déléguer la gestion journalière à un ou plusieurs de ses membres conformément à l’article 7:121.</w:t>
      </w:r>
    </w:p>
    <w:p>
      <w:pPr>
        <w:pStyle w:val="BodyText"/>
        <w:spacing w:line="218" w:lineRule="auto" w:before="96"/>
        <w:ind w:right="39"/>
      </w:pPr>
      <w:r>
        <w:rPr>
          <w:color w:val="231F20"/>
        </w:rPr>
        <w:t>Art. 16:18. Lors de l’assemblée générale ordinaire, l’assemblée générale décide de la décharge des membres du conseil de surveillance et des membres du conseil de direction pour ce qui concerne les pouvoirs qui ont été conférés à chacun d’eux.</w:t>
      </w:r>
    </w:p>
    <w:p>
      <w:pPr>
        <w:pStyle w:val="BodyText"/>
        <w:spacing w:before="82"/>
        <w:ind w:left="283" w:right="0" w:firstLine="0"/>
        <w:jc w:val="left"/>
      </w:pPr>
      <w:r>
        <w:rPr>
          <w:color w:val="231F20"/>
        </w:rPr>
        <w:t>CHAPITRE 2. Droit de vote.</w:t>
      </w:r>
    </w:p>
    <w:p>
      <w:pPr>
        <w:pStyle w:val="BodyText"/>
        <w:spacing w:line="218" w:lineRule="auto" w:before="93"/>
        <w:ind w:right="39"/>
      </w:pPr>
      <w:r>
        <w:rPr>
          <w:color w:val="231F20"/>
        </w:rPr>
        <w:t>Art. 16:19. Chaque actionnaire dispose d’une seule voix quel que soit le nombre d’actions qu’il possède. Conformément à l’article 59, § 2, du règlement (CE) n° 1435/2003, les statuts peuvent prévoir qu’un actionnaire dispose d’un nombre de voix qui est déterminé par sa participation aux activités de la coopérative, à l’exclusion de sa participation sous forme de contribution au capital. Les voix ainsi attribuées ne peuvent dépasser le nombre de 5 par actionnaire, ou trente pour cent du total des droits de vote si ce nombre est inférieur.</w:t>
      </w:r>
    </w:p>
    <w:p>
      <w:pPr>
        <w:pStyle w:val="BodyText"/>
        <w:spacing w:line="218" w:lineRule="auto" w:before="96"/>
        <w:ind w:right="39"/>
      </w:pPr>
      <w:r>
        <w:rPr>
          <w:color w:val="231F20"/>
        </w:rPr>
        <w:t>Conformément</w:t>
      </w:r>
      <w:r>
        <w:rPr>
          <w:color w:val="231F20"/>
          <w:spacing w:val="-6"/>
        </w:rPr>
        <w:t> </w:t>
      </w:r>
      <w:r>
        <w:rPr>
          <w:color w:val="231F20"/>
        </w:rPr>
        <w:t>à</w:t>
      </w:r>
      <w:r>
        <w:rPr>
          <w:color w:val="231F20"/>
          <w:spacing w:val="-5"/>
        </w:rPr>
        <w:t> </w:t>
      </w:r>
      <w:r>
        <w:rPr>
          <w:color w:val="231F20"/>
        </w:rPr>
        <w:t>l’article</w:t>
      </w:r>
      <w:r>
        <w:rPr>
          <w:color w:val="231F20"/>
          <w:spacing w:val="-5"/>
        </w:rPr>
        <w:t> </w:t>
      </w:r>
      <w:r>
        <w:rPr>
          <w:color w:val="231F20"/>
        </w:rPr>
        <w:t>59,</w:t>
      </w:r>
      <w:r>
        <w:rPr>
          <w:color w:val="231F20"/>
          <w:spacing w:val="-5"/>
        </w:rPr>
        <w:t> </w:t>
      </w:r>
      <w:r>
        <w:rPr>
          <w:color w:val="231F20"/>
        </w:rPr>
        <w:t>§</w:t>
      </w:r>
      <w:r>
        <w:rPr>
          <w:color w:val="231F20"/>
          <w:spacing w:val="-5"/>
        </w:rPr>
        <w:t> </w:t>
      </w:r>
      <w:r>
        <w:rPr>
          <w:color w:val="231F20"/>
        </w:rPr>
        <w:t>2,</w:t>
      </w:r>
      <w:r>
        <w:rPr>
          <w:color w:val="231F20"/>
          <w:spacing w:val="-5"/>
        </w:rPr>
        <w:t> </w:t>
      </w:r>
      <w:r>
        <w:rPr>
          <w:color w:val="231F20"/>
        </w:rPr>
        <w:t>du</w:t>
      </w:r>
      <w:r>
        <w:rPr>
          <w:color w:val="231F20"/>
          <w:spacing w:val="-5"/>
        </w:rPr>
        <w:t> </w:t>
      </w:r>
      <w:r>
        <w:rPr>
          <w:color w:val="231F20"/>
        </w:rPr>
        <w:t>règlement</w:t>
      </w:r>
      <w:r>
        <w:rPr>
          <w:color w:val="231F20"/>
          <w:spacing w:val="-5"/>
        </w:rPr>
        <w:t> </w:t>
      </w:r>
      <w:r>
        <w:rPr>
          <w:color w:val="231F20"/>
        </w:rPr>
        <w:t>(CE)</w:t>
      </w:r>
      <w:r>
        <w:rPr>
          <w:color w:val="231F20"/>
          <w:spacing w:val="-6"/>
        </w:rPr>
        <w:t> </w:t>
      </w:r>
      <w:r>
        <w:rPr>
          <w:color w:val="231F20"/>
        </w:rPr>
        <w:t>n°</w:t>
      </w:r>
      <w:r>
        <w:rPr>
          <w:color w:val="231F20"/>
          <w:spacing w:val="-5"/>
        </w:rPr>
        <w:t> </w:t>
      </w:r>
      <w:r>
        <w:rPr>
          <w:color w:val="231F20"/>
        </w:rPr>
        <w:t>1435/2003,</w:t>
      </w:r>
      <w:r>
        <w:rPr>
          <w:color w:val="231F20"/>
          <w:spacing w:val="-5"/>
        </w:rPr>
        <w:t> </w:t>
      </w:r>
      <w:r>
        <w:rPr>
          <w:color w:val="231F20"/>
        </w:rPr>
        <w:t>les statuts d’une société coopérative européenne participant à des activités dans le domaine financier ou de l’assurance peuvent prévoir que</w:t>
      </w:r>
      <w:r>
        <w:rPr>
          <w:color w:val="231F20"/>
          <w:spacing w:val="15"/>
        </w:rPr>
        <w:t> </w:t>
      </w:r>
      <w:r>
        <w:rPr>
          <w:color w:val="231F20"/>
        </w:rPr>
        <w:t>le nombre de voix est déterminé par la participation de l’actionnaire aux activités de la coopérative, y compris sous forme de participation au capital de la SCE. Les voix ainsi attribuées ne peuvent dépasser le nombre de 5 par actionnaire, ou vingt pour cent du total des droits de vote</w:t>
      </w:r>
      <w:r>
        <w:rPr>
          <w:color w:val="231F20"/>
          <w:spacing w:val="14"/>
        </w:rPr>
        <w:t> </w:t>
      </w:r>
      <w:r>
        <w:rPr>
          <w:color w:val="231F20"/>
        </w:rPr>
        <w:t>si</w:t>
      </w:r>
      <w:r>
        <w:rPr>
          <w:color w:val="231F20"/>
          <w:spacing w:val="15"/>
        </w:rPr>
        <w:t> </w:t>
      </w:r>
      <w:r>
        <w:rPr>
          <w:color w:val="231F20"/>
        </w:rPr>
        <w:t>ce</w:t>
      </w:r>
      <w:r>
        <w:rPr>
          <w:color w:val="231F20"/>
          <w:spacing w:val="14"/>
        </w:rPr>
        <w:t> </w:t>
      </w:r>
      <w:r>
        <w:rPr>
          <w:color w:val="231F20"/>
        </w:rPr>
        <w:t>nombre</w:t>
      </w:r>
      <w:r>
        <w:rPr>
          <w:color w:val="231F20"/>
          <w:spacing w:val="15"/>
        </w:rPr>
        <w:t> </w:t>
      </w:r>
      <w:r>
        <w:rPr>
          <w:color w:val="231F20"/>
        </w:rPr>
        <w:t>est</w:t>
      </w:r>
      <w:r>
        <w:rPr>
          <w:color w:val="231F20"/>
          <w:spacing w:val="15"/>
        </w:rPr>
        <w:t> </w:t>
      </w:r>
      <w:r>
        <w:rPr>
          <w:color w:val="231F20"/>
        </w:rPr>
        <w:t>inférieur.</w:t>
      </w:r>
    </w:p>
    <w:p>
      <w:pPr>
        <w:pStyle w:val="BodyText"/>
        <w:spacing w:line="218" w:lineRule="auto" w:before="97"/>
        <w:ind w:right="39"/>
      </w:pPr>
      <w:r>
        <w:rPr>
          <w:color w:val="231F20"/>
        </w:rPr>
        <w:t>Les statuts des sociétés coopératives européennes dont les actionnai- res sont majoritairement des coopératives peuvent prévoir que le nombre de voix d’un actionnaire est déterminé en fonction de sa participation aux activités exercées par la coopérative, y compris sous forme de participation au capital de la SCE, et/ou du nombre d’actionnaires de chaque entité constitutive.</w:t>
      </w:r>
    </w:p>
    <w:p>
      <w:pPr>
        <w:pStyle w:val="BodyText"/>
        <w:spacing w:line="218" w:lineRule="auto" w:before="119"/>
      </w:pPr>
      <w:r>
        <w:rPr/>
        <w:br w:type="column"/>
      </w:r>
      <w:r>
        <w:rPr>
          <w:color w:val="231F20"/>
        </w:rPr>
        <w:t>HOOFDSTUK 3. Deelname aan een SCE door een vennootschap die haar hoofdbestuur niet in de Europese Unie heeft.</w:t>
      </w:r>
    </w:p>
    <w:p>
      <w:pPr>
        <w:pStyle w:val="BodyText"/>
        <w:spacing w:line="218" w:lineRule="auto" w:before="86"/>
      </w:pPr>
      <w:r>
        <w:rPr>
          <w:color w:val="231F20"/>
        </w:rPr>
        <w:t>Art. 16:12. Een vennootschap die haar hoofdbestuur niet in de Europese Unie heeft kan deelnemen aan de oprichting van een SCE, op voorwaarde dat zij overeenkomstig het recht van een lidstaat is opgericht, haar statutaire zetel in die lidstaat heeft en een daadwerke- lijk en duurzaam verband met de economie van een lidstaat heeft.</w:t>
      </w:r>
    </w:p>
    <w:p>
      <w:pPr>
        <w:pStyle w:val="BodyText"/>
        <w:spacing w:before="72"/>
        <w:ind w:left="283" w:right="0" w:firstLine="0"/>
        <w:jc w:val="left"/>
      </w:pPr>
      <w:r>
        <w:rPr>
          <w:color w:val="231F20"/>
        </w:rPr>
        <w:t>TITEL 3. Organen.</w:t>
      </w:r>
    </w:p>
    <w:p>
      <w:pPr>
        <w:pStyle w:val="BodyText"/>
        <w:spacing w:line="338" w:lineRule="auto" w:before="78"/>
        <w:ind w:left="283" w:right="2880" w:firstLine="0"/>
        <w:jc w:val="left"/>
      </w:pPr>
      <w:r>
        <w:rPr>
          <w:color w:val="231F20"/>
          <w:w w:val="105"/>
        </w:rPr>
        <w:t>HOOFDSTUK 1. Bestuur. Afdeling 1. Algemene bepaling.</w:t>
      </w:r>
    </w:p>
    <w:p>
      <w:pPr>
        <w:pStyle w:val="BodyText"/>
        <w:spacing w:line="218" w:lineRule="auto" w:before="13"/>
      </w:pPr>
      <w:r>
        <w:rPr>
          <w:color w:val="231F20"/>
        </w:rPr>
        <w:t>Art. 16:13. Een Europese coöperatieve vennootschap heeft de keuze tussen een monistisch of een duaal bestuur. Zij schrijft de gemaakte keuze in in haar statuten.</w:t>
      </w:r>
    </w:p>
    <w:p>
      <w:pPr>
        <w:pStyle w:val="BodyText"/>
        <w:spacing w:before="82"/>
        <w:ind w:left="283" w:right="0" w:firstLine="0"/>
        <w:jc w:val="left"/>
      </w:pPr>
      <w:r>
        <w:rPr>
          <w:color w:val="231F20"/>
        </w:rPr>
        <w:t>Afdeling 2. Monistisch bestuur.</w:t>
      </w:r>
    </w:p>
    <w:p>
      <w:pPr>
        <w:pStyle w:val="BodyText"/>
        <w:spacing w:line="218" w:lineRule="auto" w:before="93"/>
      </w:pPr>
      <w:r>
        <w:rPr>
          <w:color w:val="231F20"/>
        </w:rPr>
        <w:t>Art. 16:14. De bepalingen van deel 2, boek 6, titel 4, hoofdstuk 1 zijn van toepassing op het bestuur van een Europese coöperatieve vennoot- schap die kiest voor een monistisch bestuur, tenzij in zoverre er in dit boek van wordt afgeweken.</w:t>
      </w:r>
    </w:p>
    <w:p>
      <w:pPr>
        <w:pStyle w:val="BodyText"/>
        <w:spacing w:before="82"/>
        <w:ind w:left="283" w:right="0" w:firstLine="0"/>
        <w:jc w:val="left"/>
      </w:pPr>
      <w:r>
        <w:rPr>
          <w:color w:val="231F20"/>
        </w:rPr>
        <w:t>Afdeling 3. Duaal bestuur.</w:t>
      </w:r>
    </w:p>
    <w:p>
      <w:pPr>
        <w:pStyle w:val="BodyText"/>
        <w:spacing w:line="218" w:lineRule="auto" w:before="93"/>
      </w:pPr>
      <w:r>
        <w:rPr>
          <w:color w:val="231F20"/>
        </w:rPr>
        <w:t>Art. 16:15. § 1. De bepalingen van deel 2, boek 7, titel 4, hoofdstuk 1, afdelingen 3 en 4 zijn van toepassing op de Europese coöperatieve vennootschap die voor een duaal bestuur kiest, met uitzondering van  de bepalingen die specifiek de genoteerde naamloze vennootschappen betreffen,</w:t>
      </w:r>
      <w:r>
        <w:rPr>
          <w:color w:val="231F20"/>
          <w:spacing w:val="17"/>
        </w:rPr>
        <w:t> </w:t>
      </w:r>
      <w:r>
        <w:rPr>
          <w:color w:val="231F20"/>
        </w:rPr>
        <w:t>en</w:t>
      </w:r>
      <w:r>
        <w:rPr>
          <w:color w:val="231F20"/>
          <w:spacing w:val="17"/>
        </w:rPr>
        <w:t> </w:t>
      </w:r>
      <w:r>
        <w:rPr>
          <w:color w:val="231F20"/>
        </w:rPr>
        <w:t>tenzij</w:t>
      </w:r>
      <w:r>
        <w:rPr>
          <w:color w:val="231F20"/>
          <w:spacing w:val="17"/>
        </w:rPr>
        <w:t> </w:t>
      </w:r>
      <w:r>
        <w:rPr>
          <w:color w:val="231F20"/>
        </w:rPr>
        <w:t>in</w:t>
      </w:r>
      <w:r>
        <w:rPr>
          <w:color w:val="231F20"/>
          <w:spacing w:val="17"/>
        </w:rPr>
        <w:t> </w:t>
      </w:r>
      <w:r>
        <w:rPr>
          <w:color w:val="231F20"/>
        </w:rPr>
        <w:t>zoverre</w:t>
      </w:r>
      <w:r>
        <w:rPr>
          <w:color w:val="231F20"/>
          <w:spacing w:val="17"/>
        </w:rPr>
        <w:t> </w:t>
      </w:r>
      <w:r>
        <w:rPr>
          <w:color w:val="231F20"/>
        </w:rPr>
        <w:t>er</w:t>
      </w:r>
      <w:r>
        <w:rPr>
          <w:color w:val="231F20"/>
          <w:spacing w:val="17"/>
        </w:rPr>
        <w:t> </w:t>
      </w:r>
      <w:r>
        <w:rPr>
          <w:color w:val="231F20"/>
        </w:rPr>
        <w:t>in</w:t>
      </w:r>
      <w:r>
        <w:rPr>
          <w:color w:val="231F20"/>
          <w:spacing w:val="17"/>
        </w:rPr>
        <w:t> </w:t>
      </w:r>
      <w:r>
        <w:rPr>
          <w:color w:val="231F20"/>
        </w:rPr>
        <w:t>dit</w:t>
      </w:r>
      <w:r>
        <w:rPr>
          <w:color w:val="231F20"/>
          <w:spacing w:val="17"/>
        </w:rPr>
        <w:t> </w:t>
      </w:r>
      <w:r>
        <w:rPr>
          <w:color w:val="231F20"/>
        </w:rPr>
        <w:t>boek</w:t>
      </w:r>
      <w:r>
        <w:rPr>
          <w:color w:val="231F20"/>
          <w:spacing w:val="17"/>
        </w:rPr>
        <w:t> </w:t>
      </w:r>
      <w:r>
        <w:rPr>
          <w:color w:val="231F20"/>
        </w:rPr>
        <w:t>van</w:t>
      </w:r>
      <w:r>
        <w:rPr>
          <w:color w:val="231F20"/>
          <w:spacing w:val="18"/>
        </w:rPr>
        <w:t> </w:t>
      </w:r>
      <w:r>
        <w:rPr>
          <w:color w:val="231F20"/>
        </w:rPr>
        <w:t>wordt</w:t>
      </w:r>
      <w:r>
        <w:rPr>
          <w:color w:val="231F20"/>
          <w:spacing w:val="17"/>
        </w:rPr>
        <w:t> </w:t>
      </w:r>
      <w:r>
        <w:rPr>
          <w:color w:val="231F20"/>
        </w:rPr>
        <w:t>afgeweken.</w:t>
      </w:r>
    </w:p>
    <w:p>
      <w:pPr>
        <w:pStyle w:val="BodyText"/>
        <w:spacing w:line="218" w:lineRule="auto" w:before="96"/>
      </w:pPr>
      <w:r>
        <w:rPr>
          <w:color w:val="231F20"/>
        </w:rPr>
        <w:t>§  2.  Overeenkomstig  artikel  39,  lid   1,   van   verordening   (EG)  </w:t>
      </w:r>
      <w:r>
        <w:rPr>
          <w:color w:val="231F20"/>
          <w:spacing w:val="-5"/>
        </w:rPr>
        <w:t>nr. </w:t>
      </w:r>
      <w:r>
        <w:rPr>
          <w:color w:val="231F20"/>
        </w:rPr>
        <w:t>1435/2003, oefent, in een Europese coöperatieve vennootschap met een duaal bestuur, de directieraad alle bevoegdheden uit die overeen- komstig artikel 7:109 in een duaal stelsel aan de raad van toezicht toekomen,</w:t>
      </w:r>
      <w:r>
        <w:rPr>
          <w:color w:val="231F20"/>
          <w:spacing w:val="17"/>
        </w:rPr>
        <w:t> </w:t>
      </w:r>
      <w:r>
        <w:rPr>
          <w:color w:val="231F20"/>
        </w:rPr>
        <w:t>met</w:t>
      </w:r>
      <w:r>
        <w:rPr>
          <w:color w:val="231F20"/>
          <w:spacing w:val="17"/>
        </w:rPr>
        <w:t> </w:t>
      </w:r>
      <w:r>
        <w:rPr>
          <w:color w:val="231F20"/>
        </w:rPr>
        <w:t>uitzondering</w:t>
      </w:r>
      <w:r>
        <w:rPr>
          <w:color w:val="231F20"/>
          <w:spacing w:val="18"/>
        </w:rPr>
        <w:t> </w:t>
      </w:r>
      <w:r>
        <w:rPr>
          <w:color w:val="231F20"/>
        </w:rPr>
        <w:t>van</w:t>
      </w:r>
      <w:r>
        <w:rPr>
          <w:color w:val="231F20"/>
          <w:spacing w:val="17"/>
        </w:rPr>
        <w:t> </w:t>
      </w:r>
      <w:r>
        <w:rPr>
          <w:color w:val="231F20"/>
        </w:rPr>
        <w:t>het</w:t>
      </w:r>
      <w:r>
        <w:rPr>
          <w:color w:val="231F20"/>
          <w:spacing w:val="17"/>
        </w:rPr>
        <w:t> </w:t>
      </w:r>
      <w:r>
        <w:rPr>
          <w:color w:val="231F20"/>
        </w:rPr>
        <w:t>toezicht</w:t>
      </w:r>
      <w:r>
        <w:rPr>
          <w:color w:val="231F20"/>
          <w:spacing w:val="18"/>
        </w:rPr>
        <w:t> </w:t>
      </w:r>
      <w:r>
        <w:rPr>
          <w:color w:val="231F20"/>
        </w:rPr>
        <w:t>op</w:t>
      </w:r>
      <w:r>
        <w:rPr>
          <w:color w:val="231F20"/>
          <w:spacing w:val="17"/>
        </w:rPr>
        <w:t> </w:t>
      </w:r>
      <w:r>
        <w:rPr>
          <w:color w:val="231F20"/>
        </w:rPr>
        <w:t>de</w:t>
      </w:r>
      <w:r>
        <w:rPr>
          <w:color w:val="231F20"/>
          <w:spacing w:val="17"/>
        </w:rPr>
        <w:t> </w:t>
      </w:r>
      <w:r>
        <w:rPr>
          <w:color w:val="231F20"/>
        </w:rPr>
        <w:t>directieraad.</w:t>
      </w:r>
    </w:p>
    <w:p>
      <w:pPr>
        <w:pStyle w:val="BodyText"/>
        <w:spacing w:line="218" w:lineRule="auto" w:before="97"/>
      </w:pPr>
      <w:r>
        <w:rPr>
          <w:color w:val="231F20"/>
        </w:rPr>
        <w:t>De raad van toezicht houdt uitsluitend toezicht op het bestuur gevoerd door de directieraad. Hij mag zich op geen enkele wijze met  het bestuur van de vennootschap bemoeien en kan de vennootschap niet jegens derden vertegenwoordigen. De raad van toezicht vertegen- woordigt evenwel de vennootschap tegenover de directieraad of diens leden</w:t>
      </w:r>
      <w:r>
        <w:rPr>
          <w:color w:val="231F20"/>
          <w:spacing w:val="16"/>
        </w:rPr>
        <w:t> </w:t>
      </w:r>
      <w:r>
        <w:rPr>
          <w:color w:val="231F20"/>
        </w:rPr>
        <w:t>in</w:t>
      </w:r>
      <w:r>
        <w:rPr>
          <w:color w:val="231F20"/>
          <w:spacing w:val="17"/>
        </w:rPr>
        <w:t> </w:t>
      </w:r>
      <w:r>
        <w:rPr>
          <w:color w:val="231F20"/>
        </w:rPr>
        <w:t>geschillen</w:t>
      </w:r>
      <w:r>
        <w:rPr>
          <w:color w:val="231F20"/>
          <w:spacing w:val="17"/>
        </w:rPr>
        <w:t> </w:t>
      </w:r>
      <w:r>
        <w:rPr>
          <w:color w:val="231F20"/>
        </w:rPr>
        <w:t>en</w:t>
      </w:r>
      <w:r>
        <w:rPr>
          <w:color w:val="231F20"/>
          <w:spacing w:val="16"/>
        </w:rPr>
        <w:t> </w:t>
      </w:r>
      <w:r>
        <w:rPr>
          <w:color w:val="231F20"/>
        </w:rPr>
        <w:t>voor</w:t>
      </w:r>
      <w:r>
        <w:rPr>
          <w:color w:val="231F20"/>
          <w:spacing w:val="17"/>
        </w:rPr>
        <w:t> </w:t>
      </w:r>
      <w:r>
        <w:rPr>
          <w:color w:val="231F20"/>
        </w:rPr>
        <w:t>het</w:t>
      </w:r>
      <w:r>
        <w:rPr>
          <w:color w:val="231F20"/>
          <w:spacing w:val="17"/>
        </w:rPr>
        <w:t> </w:t>
      </w:r>
      <w:r>
        <w:rPr>
          <w:color w:val="231F20"/>
        </w:rPr>
        <w:t>aangaan</w:t>
      </w:r>
      <w:r>
        <w:rPr>
          <w:color w:val="231F20"/>
          <w:spacing w:val="16"/>
        </w:rPr>
        <w:t> </w:t>
      </w:r>
      <w:r>
        <w:rPr>
          <w:color w:val="231F20"/>
        </w:rPr>
        <w:t>van</w:t>
      </w:r>
      <w:r>
        <w:rPr>
          <w:color w:val="231F20"/>
          <w:spacing w:val="17"/>
        </w:rPr>
        <w:t> </w:t>
      </w:r>
      <w:r>
        <w:rPr>
          <w:color w:val="231F20"/>
        </w:rPr>
        <w:t>overeenkomsten.</w:t>
      </w:r>
    </w:p>
    <w:p>
      <w:pPr>
        <w:pStyle w:val="BodyText"/>
        <w:spacing w:line="218" w:lineRule="auto" w:before="96"/>
      </w:pPr>
      <w:r>
        <w:rPr>
          <w:color w:val="231F20"/>
        </w:rPr>
        <w:t>De statuten kunnen evenwel de handelingen bepalen waarvoor de directieraad de goedkeuring van de raad van toezicht moet krijgen.</w:t>
      </w:r>
    </w:p>
    <w:p>
      <w:pPr>
        <w:pStyle w:val="BodyText"/>
        <w:spacing w:before="11"/>
        <w:ind w:left="0" w:right="0" w:firstLine="0"/>
        <w:jc w:val="left"/>
        <w:rPr>
          <w:sz w:val="23"/>
        </w:rPr>
      </w:pPr>
    </w:p>
    <w:p>
      <w:pPr>
        <w:pStyle w:val="BodyText"/>
        <w:spacing w:line="218" w:lineRule="auto"/>
      </w:pPr>
      <w:r>
        <w:rPr>
          <w:color w:val="231F20"/>
        </w:rPr>
        <w:t>Art. 16:16. In geval van een belangenconflict  als  bedoeld  in  arti-  kel 7:115 verwijst de directieraad de beslissing naar de raad van toezicht.</w:t>
      </w:r>
    </w:p>
    <w:p>
      <w:pPr>
        <w:pStyle w:val="BodyText"/>
        <w:spacing w:line="218" w:lineRule="auto" w:before="96"/>
      </w:pPr>
      <w:r>
        <w:rPr>
          <w:color w:val="231F20"/>
        </w:rPr>
        <w:t>In geval van een belangenconflict als bedoeld in artikel 7:116 verwijst de directieraad de beslissing naar de raad van toezicht.</w:t>
      </w:r>
    </w:p>
    <w:p>
      <w:pPr>
        <w:pStyle w:val="BodyText"/>
        <w:spacing w:line="218" w:lineRule="auto" w:before="96"/>
      </w:pPr>
      <w:r>
        <w:rPr>
          <w:color w:val="231F20"/>
        </w:rPr>
        <w:t>Deze bevoegdheden van de raad van toezicht worden in de statuten opgesomd.</w:t>
      </w:r>
    </w:p>
    <w:p>
      <w:pPr>
        <w:pStyle w:val="BodyText"/>
        <w:spacing w:line="218" w:lineRule="auto" w:before="96"/>
      </w:pPr>
      <w:r>
        <w:rPr>
          <w:color w:val="231F20"/>
        </w:rPr>
        <w:t>Art. 16:17. De directieraad kan het dagelijks bestuur delegeren aan een of meerdere van zijn leden, overeenkomstig artikel 7:121.</w:t>
      </w:r>
    </w:p>
    <w:p>
      <w:pPr>
        <w:pStyle w:val="BodyText"/>
        <w:spacing w:line="218" w:lineRule="auto" w:before="96"/>
      </w:pPr>
      <w:r>
        <w:rPr>
          <w:color w:val="231F20"/>
        </w:rPr>
        <w:t>Art. 16:18. Op de gewone algemene vergadering beslist de algemene vergadering over de kwijting aan de leden van de raad van toezicht en aan de leden van de directieraad, ieder voor de hem toegewezen bevoegdheden.</w:t>
      </w:r>
    </w:p>
    <w:p>
      <w:pPr>
        <w:pStyle w:val="BodyText"/>
        <w:spacing w:before="83"/>
        <w:ind w:left="283" w:right="0" w:firstLine="0"/>
        <w:jc w:val="left"/>
      </w:pPr>
      <w:r>
        <w:rPr>
          <w:color w:val="231F20"/>
        </w:rPr>
        <w:t>HOOFDSTUK 2. Stemrecht.</w:t>
      </w:r>
    </w:p>
    <w:p>
      <w:pPr>
        <w:pStyle w:val="BodyText"/>
        <w:spacing w:line="218" w:lineRule="auto" w:before="92"/>
      </w:pPr>
      <w:r>
        <w:rPr>
          <w:color w:val="231F20"/>
        </w:rPr>
        <w:t>Art. 16:19. Elke aandeelhouder beschikt over één stem, ongeacht het aantal aandelen dat hij bezit. Overeenkomstig artikel 59, lid 2, van verordening (EG) nr. 1435/2003 kunnen de statuten bepalen dat een aandeelhouder beschikt over een aantal stemmen naargelang zijn niet uit kapitaalinbreng bestaande deelneming in het coöperatieve bedrijf. Per aandeelhouder mogen niet meer dan vijf stemmen of, indien dit lager is, dertig percent van de totale stemrechten worden toegekend.</w:t>
      </w:r>
    </w:p>
    <w:p>
      <w:pPr>
        <w:pStyle w:val="BodyText"/>
        <w:ind w:left="0" w:right="0" w:firstLine="0"/>
        <w:jc w:val="left"/>
        <w:rPr>
          <w:sz w:val="24"/>
        </w:rPr>
      </w:pPr>
    </w:p>
    <w:p>
      <w:pPr>
        <w:pStyle w:val="BodyText"/>
        <w:spacing w:line="218" w:lineRule="auto"/>
      </w:pPr>
      <w:r>
        <w:rPr>
          <w:color w:val="231F20"/>
          <w:spacing w:val="7"/>
        </w:rPr>
        <w:t>Overeenkomstig  </w:t>
      </w:r>
      <w:r>
        <w:rPr>
          <w:color w:val="231F20"/>
          <w:spacing w:val="6"/>
        </w:rPr>
        <w:t>artikel  </w:t>
      </w:r>
      <w:r>
        <w:rPr>
          <w:color w:val="231F20"/>
          <w:spacing w:val="5"/>
        </w:rPr>
        <w:t>59,   lid   </w:t>
      </w:r>
      <w:r>
        <w:rPr>
          <w:color w:val="231F20"/>
          <w:spacing w:val="4"/>
        </w:rPr>
        <w:t>2,   </w:t>
      </w:r>
      <w:r>
        <w:rPr>
          <w:color w:val="231F20"/>
          <w:spacing w:val="5"/>
        </w:rPr>
        <w:t>van   </w:t>
      </w:r>
      <w:r>
        <w:rPr>
          <w:color w:val="231F20"/>
          <w:spacing w:val="6"/>
        </w:rPr>
        <w:t>verordening   </w:t>
      </w:r>
      <w:r>
        <w:rPr>
          <w:color w:val="231F20"/>
          <w:spacing w:val="8"/>
        </w:rPr>
        <w:t>(EG) </w:t>
      </w:r>
      <w:r>
        <w:rPr>
          <w:color w:val="231F20"/>
          <w:spacing w:val="-5"/>
        </w:rPr>
        <w:t>nr. </w:t>
      </w:r>
      <w:r>
        <w:rPr>
          <w:color w:val="231F20"/>
        </w:rPr>
        <w:t>1435/2003 kunnen de statuten van een Europese coöperatieve vennootschap waarvan het bedrijf bestaat in financiële of verzekerings- werkzaamheden, bepalen dat een aandeelhouder beschikt over een aantal stemmen naargelang zijn deelneming in het coöperatieve bedrijf, inclusief zijn deelneming in het kapitaal van de SCE. Per aandeelhou- der mogen niet meer dan vijf stemmen of, indien dit lager is, twintig percent</w:t>
      </w:r>
      <w:r>
        <w:rPr>
          <w:color w:val="231F20"/>
          <w:spacing w:val="15"/>
        </w:rPr>
        <w:t> </w:t>
      </w:r>
      <w:r>
        <w:rPr>
          <w:color w:val="231F20"/>
        </w:rPr>
        <w:t>van</w:t>
      </w:r>
      <w:r>
        <w:rPr>
          <w:color w:val="231F20"/>
          <w:spacing w:val="16"/>
        </w:rPr>
        <w:t> </w:t>
      </w:r>
      <w:r>
        <w:rPr>
          <w:color w:val="231F20"/>
        </w:rPr>
        <w:t>de</w:t>
      </w:r>
      <w:r>
        <w:rPr>
          <w:color w:val="231F20"/>
          <w:spacing w:val="15"/>
        </w:rPr>
        <w:t> </w:t>
      </w:r>
      <w:r>
        <w:rPr>
          <w:color w:val="231F20"/>
        </w:rPr>
        <w:t>totale</w:t>
      </w:r>
      <w:r>
        <w:rPr>
          <w:color w:val="231F20"/>
          <w:spacing w:val="16"/>
        </w:rPr>
        <w:t> </w:t>
      </w:r>
      <w:r>
        <w:rPr>
          <w:color w:val="231F20"/>
        </w:rPr>
        <w:t>stemrechten</w:t>
      </w:r>
      <w:r>
        <w:rPr>
          <w:color w:val="231F20"/>
          <w:spacing w:val="15"/>
        </w:rPr>
        <w:t> </w:t>
      </w:r>
      <w:r>
        <w:rPr>
          <w:color w:val="231F20"/>
        </w:rPr>
        <w:t>worden</w:t>
      </w:r>
      <w:r>
        <w:rPr>
          <w:color w:val="231F20"/>
          <w:spacing w:val="16"/>
        </w:rPr>
        <w:t> </w:t>
      </w:r>
      <w:r>
        <w:rPr>
          <w:color w:val="231F20"/>
        </w:rPr>
        <w:t>toegekend.</w:t>
      </w:r>
    </w:p>
    <w:p>
      <w:pPr>
        <w:pStyle w:val="BodyText"/>
        <w:spacing w:line="218" w:lineRule="auto" w:before="97"/>
      </w:pPr>
      <w:r>
        <w:rPr>
          <w:color w:val="231F20"/>
        </w:rPr>
        <w:t>In een Europese coöperatieve vennootschap waarvan een meerder- heid van de aandeelhouders coöperaties zijn, kunnen de statuten bepalen dat een aandeelhouder beschikt over een aantal stemmen naargelang zijn deelneming in het coöperatieve bedrijf, inclusief zijn deelneming in het kapitaal van de SCE, en/of naargelang het aantal aandeelhouders van elke rechtspersoon die er deel van uitmaakt.</w:t>
      </w:r>
    </w:p>
    <w:p>
      <w:pPr>
        <w:spacing w:after="0" w:line="218" w:lineRule="auto"/>
        <w:sectPr>
          <w:pgSz w:w="11940" w:h="16880"/>
          <w:pgMar w:header="666" w:footer="0" w:top="1140" w:bottom="280" w:left="340" w:right="360"/>
          <w:cols w:num="2" w:equalWidth="0">
            <w:col w:w="5528" w:space="99"/>
            <w:col w:w="5613"/>
          </w:cols>
        </w:sectPr>
      </w:pPr>
    </w:p>
    <w:p>
      <w:pPr>
        <w:pStyle w:val="BodyText"/>
        <w:spacing w:line="218" w:lineRule="auto" w:before="120"/>
        <w:ind w:right="85"/>
      </w:pPr>
      <w:r>
        <w:rPr/>
        <w:pict>
          <v:line style="position:absolute;mso-position-horizontal-relative:page;mso-position-vertical-relative:page;z-index:7696" from="298.170502pt,64.473pt" to="298.170502pt,812.819pt" stroked="true" strokeweight=".533pt" strokecolor="#231f20">
            <v:stroke dashstyle="solid"/>
            <w10:wrap type="none"/>
          </v:line>
        </w:pict>
      </w:r>
      <w:bookmarkStart w:name="_bookmark278" w:id="284"/>
      <w:bookmarkEnd w:id="284"/>
      <w:r>
        <w:rPr/>
      </w:r>
      <w:r>
        <w:rPr>
          <w:color w:val="231F20"/>
        </w:rPr>
        <w:t>Les membres investisseurs visés à l’article 16:4 ne peuvent disposer de plus de vingt-cinq pour cent du total des droits de vote.</w:t>
      </w:r>
    </w:p>
    <w:p>
      <w:pPr>
        <w:pStyle w:val="BodyText"/>
        <w:spacing w:before="71"/>
        <w:ind w:left="283" w:right="0" w:firstLine="0"/>
        <w:jc w:val="left"/>
      </w:pPr>
      <w:r>
        <w:rPr>
          <w:color w:val="231F20"/>
        </w:rPr>
        <w:t>CHAPITRE 3. Assemblées de section ou de branche.</w:t>
      </w:r>
    </w:p>
    <w:p>
      <w:pPr>
        <w:pStyle w:val="BodyText"/>
        <w:spacing w:line="218" w:lineRule="auto" w:before="67"/>
        <w:ind w:right="85"/>
      </w:pPr>
      <w:r>
        <w:rPr>
          <w:color w:val="231F20"/>
        </w:rPr>
        <w:t>Art. 16:20. Conformément à l’article  63,  §  1</w:t>
      </w:r>
      <w:r>
        <w:rPr>
          <w:color w:val="231F20"/>
          <w:position w:val="7"/>
          <w:sz w:val="11"/>
        </w:rPr>
        <w:t>er</w:t>
      </w:r>
      <w:r>
        <w:rPr>
          <w:color w:val="231F20"/>
        </w:rPr>
        <w:t>,  du  règlement  (CE) n° 1435/2003, les statuts de la SCE peuvent prévoir des assemblées de branche ou de section.</w:t>
      </w:r>
    </w:p>
    <w:p>
      <w:pPr>
        <w:pStyle w:val="BodyText"/>
        <w:spacing w:before="71"/>
        <w:ind w:left="283" w:right="0" w:firstLine="0"/>
        <w:jc w:val="left"/>
      </w:pPr>
      <w:r>
        <w:rPr>
          <w:color w:val="231F20"/>
        </w:rPr>
        <w:t>TITRE 4. Capital et actions.</w:t>
      </w:r>
    </w:p>
    <w:p>
      <w:pPr>
        <w:pStyle w:val="BodyText"/>
        <w:spacing w:line="218" w:lineRule="auto" w:before="82"/>
        <w:ind w:right="86"/>
      </w:pPr>
      <w:r>
        <w:rPr>
          <w:color w:val="231F20"/>
        </w:rPr>
        <w:t>Art. 16:21. L’article 7:7 s’applique par analogie en cas d’apport en nature à la constitution.</w:t>
      </w:r>
    </w:p>
    <w:p>
      <w:pPr>
        <w:pStyle w:val="BodyText"/>
        <w:spacing w:line="218" w:lineRule="auto" w:before="86"/>
        <w:ind w:right="86"/>
      </w:pPr>
      <w:r>
        <w:rPr>
          <w:color w:val="231F20"/>
        </w:rPr>
        <w:t>L’article 7:197 s’applique par analogie en cas d’apport en nature lors d’une augmentation de capital.</w:t>
      </w:r>
    </w:p>
    <w:p>
      <w:pPr>
        <w:pStyle w:val="BodyText"/>
        <w:spacing w:before="71"/>
        <w:ind w:left="283" w:right="0" w:firstLine="0"/>
        <w:jc w:val="left"/>
      </w:pPr>
      <w:r>
        <w:rPr>
          <w:color w:val="231F20"/>
        </w:rPr>
        <w:t>TITRE 5. Transfert du siège statutaire.</w:t>
      </w:r>
    </w:p>
    <w:p>
      <w:pPr>
        <w:pStyle w:val="BodyText"/>
        <w:spacing w:line="218" w:lineRule="auto" w:before="82"/>
        <w:ind w:right="85"/>
      </w:pPr>
      <w:r>
        <w:rPr>
          <w:color w:val="231F20"/>
        </w:rPr>
        <w:t>Art. 16:22. Le projet de transfert du siège est déposé et publié conformément aux articles 2:8 et 2:14, 4°.</w:t>
      </w:r>
    </w:p>
    <w:p>
      <w:pPr>
        <w:pStyle w:val="BodyText"/>
        <w:spacing w:line="218" w:lineRule="auto" w:before="86"/>
        <w:ind w:right="85"/>
      </w:pPr>
      <w:r>
        <w:rPr>
          <w:color w:val="231F20"/>
        </w:rPr>
        <w:t>Art. 16:23.  Conformément  à  l’article  7,  §  8,  du  règlement  (CE)  n° 1435/2003, le notaire instrumentant ayant sa résidence en Belgique délivre un certificat attestant d’une manière concluante l’accomplisse- ment</w:t>
      </w:r>
      <w:r>
        <w:rPr>
          <w:color w:val="231F20"/>
          <w:spacing w:val="14"/>
        </w:rPr>
        <w:t> </w:t>
      </w:r>
      <w:r>
        <w:rPr>
          <w:color w:val="231F20"/>
        </w:rPr>
        <w:t>des</w:t>
      </w:r>
      <w:r>
        <w:rPr>
          <w:color w:val="231F20"/>
          <w:spacing w:val="14"/>
        </w:rPr>
        <w:t> </w:t>
      </w:r>
      <w:r>
        <w:rPr>
          <w:color w:val="231F20"/>
        </w:rPr>
        <w:t>actes</w:t>
      </w:r>
      <w:r>
        <w:rPr>
          <w:color w:val="231F20"/>
          <w:spacing w:val="14"/>
        </w:rPr>
        <w:t> </w:t>
      </w:r>
      <w:r>
        <w:rPr>
          <w:color w:val="231F20"/>
        </w:rPr>
        <w:t>et</w:t>
      </w:r>
      <w:r>
        <w:rPr>
          <w:color w:val="231F20"/>
          <w:spacing w:val="15"/>
        </w:rPr>
        <w:t> </w:t>
      </w:r>
      <w:r>
        <w:rPr>
          <w:color w:val="231F20"/>
        </w:rPr>
        <w:t>des</w:t>
      </w:r>
      <w:r>
        <w:rPr>
          <w:color w:val="231F20"/>
          <w:spacing w:val="14"/>
        </w:rPr>
        <w:t> </w:t>
      </w:r>
      <w:r>
        <w:rPr>
          <w:color w:val="231F20"/>
        </w:rPr>
        <w:t>formalités</w:t>
      </w:r>
      <w:r>
        <w:rPr>
          <w:color w:val="231F20"/>
          <w:spacing w:val="14"/>
        </w:rPr>
        <w:t> </w:t>
      </w:r>
      <w:r>
        <w:rPr>
          <w:color w:val="231F20"/>
        </w:rPr>
        <w:t>préalables</w:t>
      </w:r>
      <w:r>
        <w:rPr>
          <w:color w:val="231F20"/>
          <w:spacing w:val="15"/>
        </w:rPr>
        <w:t> </w:t>
      </w:r>
      <w:r>
        <w:rPr>
          <w:color w:val="231F20"/>
        </w:rPr>
        <w:t>au</w:t>
      </w:r>
      <w:r>
        <w:rPr>
          <w:color w:val="231F20"/>
          <w:spacing w:val="14"/>
        </w:rPr>
        <w:t> </w:t>
      </w:r>
      <w:r>
        <w:rPr>
          <w:color w:val="231F20"/>
        </w:rPr>
        <w:t>transfert.</w:t>
      </w:r>
    </w:p>
    <w:p>
      <w:pPr>
        <w:pStyle w:val="BodyText"/>
        <w:spacing w:line="218" w:lineRule="auto" w:before="85"/>
        <w:ind w:right="85"/>
      </w:pPr>
      <w:r>
        <w:rPr>
          <w:color w:val="231F20"/>
        </w:rPr>
        <w:t>Art. 16:24. Le transfert du siège d’une SCE ayant son siège statutaire en Belgique dans un autre État membre ne prend pas </w:t>
      </w:r>
      <w:r>
        <w:rPr>
          <w:color w:val="231F20"/>
          <w:spacing w:val="-3"/>
        </w:rPr>
        <w:t>effet </w:t>
      </w:r>
      <w:r>
        <w:rPr>
          <w:color w:val="231F20"/>
        </w:rPr>
        <w:t>lorsque le ministre qui a l’Économie dans ses attributions s’y oppose, conformé- ment</w:t>
      </w:r>
      <w:r>
        <w:rPr>
          <w:color w:val="231F20"/>
          <w:spacing w:val="-6"/>
        </w:rPr>
        <w:t> </w:t>
      </w:r>
      <w:r>
        <w:rPr>
          <w:color w:val="231F20"/>
        </w:rPr>
        <w:t>à</w:t>
      </w:r>
      <w:r>
        <w:rPr>
          <w:color w:val="231F20"/>
          <w:spacing w:val="-5"/>
        </w:rPr>
        <w:t> </w:t>
      </w:r>
      <w:r>
        <w:rPr>
          <w:color w:val="231F20"/>
        </w:rPr>
        <w:t>l’article</w:t>
      </w:r>
      <w:r>
        <w:rPr>
          <w:color w:val="231F20"/>
          <w:spacing w:val="-5"/>
        </w:rPr>
        <w:t> </w:t>
      </w:r>
      <w:r>
        <w:rPr>
          <w:color w:val="231F20"/>
        </w:rPr>
        <w:t>7,</w:t>
      </w:r>
      <w:r>
        <w:rPr>
          <w:color w:val="231F20"/>
          <w:spacing w:val="-5"/>
        </w:rPr>
        <w:t> </w:t>
      </w:r>
      <w:r>
        <w:rPr>
          <w:color w:val="231F20"/>
        </w:rPr>
        <w:t>§</w:t>
      </w:r>
      <w:r>
        <w:rPr>
          <w:color w:val="231F20"/>
          <w:spacing w:val="-5"/>
        </w:rPr>
        <w:t> </w:t>
      </w:r>
      <w:r>
        <w:rPr>
          <w:color w:val="231F20"/>
        </w:rPr>
        <w:t>14,</w:t>
      </w:r>
      <w:r>
        <w:rPr>
          <w:color w:val="231F20"/>
          <w:spacing w:val="-5"/>
        </w:rPr>
        <w:t> </w:t>
      </w:r>
      <w:r>
        <w:rPr>
          <w:color w:val="231F20"/>
        </w:rPr>
        <w:t>du</w:t>
      </w:r>
      <w:r>
        <w:rPr>
          <w:color w:val="231F20"/>
          <w:spacing w:val="-5"/>
        </w:rPr>
        <w:t> </w:t>
      </w:r>
      <w:r>
        <w:rPr>
          <w:color w:val="231F20"/>
        </w:rPr>
        <w:t>règlement</w:t>
      </w:r>
      <w:r>
        <w:rPr>
          <w:color w:val="231F20"/>
          <w:spacing w:val="-6"/>
        </w:rPr>
        <w:t> </w:t>
      </w:r>
      <w:r>
        <w:rPr>
          <w:color w:val="231F20"/>
        </w:rPr>
        <w:t>(CE)</w:t>
      </w:r>
      <w:r>
        <w:rPr>
          <w:color w:val="231F20"/>
          <w:spacing w:val="-5"/>
        </w:rPr>
        <w:t> </w:t>
      </w:r>
      <w:r>
        <w:rPr>
          <w:color w:val="231F20"/>
        </w:rPr>
        <w:t>n°</w:t>
      </w:r>
      <w:r>
        <w:rPr>
          <w:color w:val="231F20"/>
          <w:spacing w:val="-5"/>
        </w:rPr>
        <w:t> </w:t>
      </w:r>
      <w:r>
        <w:rPr>
          <w:color w:val="231F20"/>
        </w:rPr>
        <w:t>1435/2003,</w:t>
      </w:r>
      <w:r>
        <w:rPr>
          <w:color w:val="231F20"/>
          <w:spacing w:val="-5"/>
        </w:rPr>
        <w:t> </w:t>
      </w:r>
      <w:r>
        <w:rPr>
          <w:color w:val="231F20"/>
        </w:rPr>
        <w:t>par</w:t>
      </w:r>
      <w:r>
        <w:rPr>
          <w:color w:val="231F20"/>
          <w:spacing w:val="-5"/>
        </w:rPr>
        <w:t> </w:t>
      </w:r>
      <w:r>
        <w:rPr>
          <w:color w:val="231F20"/>
        </w:rPr>
        <w:t>notification </w:t>
      </w:r>
      <w:r>
        <w:rPr>
          <w:color w:val="231F20"/>
          <w:spacing w:val="-3"/>
        </w:rPr>
        <w:t>officielle </w:t>
      </w:r>
      <w:r>
        <w:rPr>
          <w:color w:val="231F20"/>
        </w:rPr>
        <w:t>à la société concernée dans le délai de deux mois après la publication du projet de transfert aux Annexes du </w:t>
      </w:r>
      <w:r>
        <w:rPr>
          <w:rFonts w:ascii="Times New Roman" w:hAnsi="Times New Roman"/>
          <w:i/>
          <w:color w:val="231F20"/>
        </w:rPr>
        <w:t>Moniteur belge</w:t>
      </w:r>
      <w:r>
        <w:rPr>
          <w:color w:val="231F20"/>
        </w:rPr>
        <w:t>. La notification </w:t>
      </w:r>
      <w:r>
        <w:rPr>
          <w:color w:val="231F20"/>
          <w:spacing w:val="-3"/>
        </w:rPr>
        <w:t>officielle </w:t>
      </w:r>
      <w:r>
        <w:rPr>
          <w:color w:val="231F20"/>
        </w:rPr>
        <w:t>est publiée conformément à l’article 2:14,</w:t>
      </w:r>
      <w:r>
        <w:rPr>
          <w:color w:val="231F20"/>
          <w:spacing w:val="22"/>
        </w:rPr>
        <w:t> </w:t>
      </w:r>
      <w:r>
        <w:rPr>
          <w:color w:val="231F20"/>
        </w:rPr>
        <w:t>4°.</w:t>
      </w:r>
    </w:p>
    <w:p>
      <w:pPr>
        <w:pStyle w:val="BodyText"/>
        <w:spacing w:before="9"/>
        <w:ind w:left="0" w:right="0" w:firstLine="0"/>
        <w:jc w:val="left"/>
        <w:rPr>
          <w:sz w:val="22"/>
        </w:rPr>
      </w:pPr>
    </w:p>
    <w:p>
      <w:pPr>
        <w:pStyle w:val="BodyText"/>
        <w:spacing w:line="218" w:lineRule="auto" w:before="1"/>
        <w:ind w:right="85"/>
      </w:pPr>
      <w:r>
        <w:rPr>
          <w:color w:val="231F20"/>
        </w:rPr>
        <w:t>Le certificat prévu par l’article 16:23 ne peut être délivré qu’après le retrait de l’opposition ou annulation de celle-ci par une décision qui n’est pas susceptible de recours.</w:t>
      </w:r>
    </w:p>
    <w:p>
      <w:pPr>
        <w:pStyle w:val="BodyText"/>
        <w:spacing w:line="218" w:lineRule="auto" w:before="85"/>
        <w:ind w:right="85"/>
      </w:pPr>
      <w:r>
        <w:rPr>
          <w:color w:val="231F20"/>
        </w:rPr>
        <w:t>Le Roi détermine, par arrêté délibéré en Conseil des ministres, la procédure accélérée applicable aux recours formés à l’encontre de l’opposition visée au présent article.</w:t>
      </w:r>
    </w:p>
    <w:p>
      <w:pPr>
        <w:pStyle w:val="BodyText"/>
        <w:spacing w:line="218" w:lineRule="auto" w:before="86"/>
        <w:ind w:right="85"/>
      </w:pPr>
      <w:r>
        <w:rPr>
          <w:color w:val="231F20"/>
        </w:rPr>
        <w:t>Art. 16:25. La radiation en Belgique de l’ancienne immatriculation suite au transfert à l’étranger du siège statutaire est publiée conformé- ment à l’article 2:14, 4°.</w:t>
      </w:r>
    </w:p>
    <w:p>
      <w:pPr>
        <w:pStyle w:val="BodyText"/>
        <w:spacing w:line="218" w:lineRule="auto" w:before="85"/>
        <w:ind w:right="85"/>
      </w:pPr>
      <w:r>
        <w:rPr>
          <w:color w:val="231F20"/>
        </w:rPr>
        <w:t>Art. 16:26. Le transfert en Belgique du siège statutaire d’une SCE doit être constaté par acte authentique. Cet acte ne peut être reçu que sur présentation du certificat délivré par l’autorité compétente dans le pays d’origine de la SCE.</w:t>
      </w:r>
    </w:p>
    <w:p>
      <w:pPr>
        <w:pStyle w:val="BodyText"/>
        <w:spacing w:line="218" w:lineRule="auto" w:before="86"/>
        <w:ind w:right="85"/>
      </w:pPr>
      <w:r>
        <w:rPr>
          <w:color w:val="231F20"/>
        </w:rPr>
        <w:t>Cet acte ainsi que la modification des statuts qui en résulte sont publiés conformément aux articles 2:8 et 2:14, 1°; ils ne prennent effet qu’à dater de l’immatriculation de la société.</w:t>
      </w:r>
    </w:p>
    <w:p>
      <w:pPr>
        <w:pStyle w:val="BodyText"/>
        <w:spacing w:before="10"/>
        <w:ind w:left="0" w:right="0" w:firstLine="0"/>
        <w:jc w:val="left"/>
        <w:rPr>
          <w:sz w:val="23"/>
        </w:rPr>
      </w:pPr>
    </w:p>
    <w:p>
      <w:pPr>
        <w:pStyle w:val="BodyText"/>
        <w:spacing w:line="218" w:lineRule="auto"/>
        <w:ind w:right="85"/>
      </w:pPr>
      <w:r>
        <w:rPr>
          <w:color w:val="231F20"/>
        </w:rPr>
        <w:t>TITRE 6. Comptes annuels et comptes consolidés, et contrôle de ceux-ci - Dispositions particulières applicables à l’administration duale.</w:t>
      </w:r>
    </w:p>
    <w:p>
      <w:pPr>
        <w:pStyle w:val="BodyText"/>
        <w:spacing w:line="218" w:lineRule="auto" w:before="97"/>
        <w:ind w:right="84"/>
      </w:pPr>
      <w:r>
        <w:rPr>
          <w:color w:val="231F20"/>
        </w:rPr>
        <w:t>Art. 16:27. Le conseil de surveillance présente à l’assemblée générale visée à l’article 3:1 un rapport contenant ses observations sur les comptes de l’exercice ainsi que, le cas échéant, sur le rapport de gestion du conseil de direction.</w:t>
      </w:r>
    </w:p>
    <w:p>
      <w:pPr>
        <w:pStyle w:val="BodyText"/>
        <w:spacing w:line="201" w:lineRule="auto" w:before="107"/>
        <w:ind w:right="85"/>
      </w:pPr>
      <w:r>
        <w:rPr>
          <w:color w:val="231F20"/>
        </w:rPr>
        <w:t>Ce rapport est déposé en même temps que les comptes annuels, conformément à l’article 3:12, § 1</w:t>
      </w:r>
      <w:r>
        <w:rPr>
          <w:color w:val="231F20"/>
          <w:position w:val="7"/>
          <w:sz w:val="11"/>
        </w:rPr>
        <w:t>er</w:t>
      </w:r>
      <w:r>
        <w:rPr>
          <w:color w:val="231F20"/>
        </w:rPr>
        <w:t>, 10°.</w:t>
      </w:r>
    </w:p>
    <w:p>
      <w:pPr>
        <w:pStyle w:val="BodyText"/>
        <w:spacing w:before="83"/>
        <w:ind w:left="283" w:right="0" w:firstLine="0"/>
        <w:jc w:val="left"/>
      </w:pPr>
      <w:r>
        <w:rPr>
          <w:color w:val="231F20"/>
        </w:rPr>
        <w:t>TITRE 7. Dissolution et liquidation.</w:t>
      </w:r>
    </w:p>
    <w:p>
      <w:pPr>
        <w:pStyle w:val="BodyText"/>
        <w:spacing w:line="218" w:lineRule="auto" w:before="92"/>
        <w:ind w:right="85"/>
      </w:pPr>
      <w:r>
        <w:rPr>
          <w:color w:val="231F20"/>
        </w:rPr>
        <w:t>Art. 16:28. À la demande de tout intéressé ou du ministère public, le tribunal de l’entreprise prononce la dissolution de la SCE qui a son siège statutaire en Belgique si son administration centrale n’y est pas située.</w:t>
      </w:r>
    </w:p>
    <w:p>
      <w:pPr>
        <w:pStyle w:val="BodyText"/>
        <w:spacing w:line="211" w:lineRule="auto" w:before="101"/>
        <w:ind w:right="85"/>
      </w:pPr>
      <w:r>
        <w:rPr>
          <w:color w:val="231F20"/>
        </w:rPr>
        <w:t>Avant de prononcer la dissolution, le tribunal peut accorder à la SCE un délai pour régulariser sa situation conformément à l’article 73, § 1</w:t>
      </w:r>
      <w:r>
        <w:rPr>
          <w:color w:val="231F20"/>
          <w:position w:val="7"/>
          <w:sz w:val="11"/>
        </w:rPr>
        <w:t>er</w:t>
      </w:r>
      <w:r>
        <w:rPr>
          <w:color w:val="231F20"/>
        </w:rPr>
        <w:t>, du règlement (CE) n° 1435/2003.</w:t>
      </w:r>
    </w:p>
    <w:p>
      <w:pPr>
        <w:pStyle w:val="BodyText"/>
        <w:spacing w:line="218" w:lineRule="auto" w:before="94"/>
        <w:ind w:right="85"/>
      </w:pPr>
      <w:r>
        <w:rPr>
          <w:color w:val="231F20"/>
        </w:rPr>
        <w:t>Conformément à l’article 73, § 4, du règlement (CE) n° 1435/2003, cette décision n’est pas susceptible d’exécution provisoire.</w:t>
      </w:r>
    </w:p>
    <w:p>
      <w:pPr>
        <w:pStyle w:val="BodyText"/>
        <w:spacing w:line="218" w:lineRule="auto" w:before="96"/>
        <w:ind w:right="85"/>
      </w:pPr>
      <w:r>
        <w:rPr>
          <w:color w:val="231F20"/>
        </w:rPr>
        <w:t>Art. 16:29. La  publicité  prévue  à  l’article  74  du  règlement  (CE)  n°</w:t>
      </w:r>
      <w:r>
        <w:rPr>
          <w:color w:val="231F20"/>
          <w:spacing w:val="8"/>
        </w:rPr>
        <w:t> </w:t>
      </w:r>
      <w:r>
        <w:rPr>
          <w:color w:val="231F20"/>
        </w:rPr>
        <w:t>1435/2003</w:t>
      </w:r>
      <w:r>
        <w:rPr>
          <w:color w:val="231F20"/>
          <w:spacing w:val="8"/>
        </w:rPr>
        <w:t> </w:t>
      </w:r>
      <w:r>
        <w:rPr>
          <w:color w:val="231F20"/>
        </w:rPr>
        <w:t>se</w:t>
      </w:r>
      <w:r>
        <w:rPr>
          <w:color w:val="231F20"/>
          <w:spacing w:val="8"/>
        </w:rPr>
        <w:t> </w:t>
      </w:r>
      <w:r>
        <w:rPr>
          <w:color w:val="231F20"/>
        </w:rPr>
        <w:t>réalise</w:t>
      </w:r>
      <w:r>
        <w:rPr>
          <w:color w:val="231F20"/>
          <w:spacing w:val="8"/>
        </w:rPr>
        <w:t> </w:t>
      </w:r>
      <w:r>
        <w:rPr>
          <w:color w:val="231F20"/>
        </w:rPr>
        <w:t>conformément</w:t>
      </w:r>
      <w:r>
        <w:rPr>
          <w:color w:val="231F20"/>
          <w:spacing w:val="9"/>
        </w:rPr>
        <w:t> </w:t>
      </w:r>
      <w:r>
        <w:rPr>
          <w:color w:val="231F20"/>
        </w:rPr>
        <w:t>aux</w:t>
      </w:r>
      <w:r>
        <w:rPr>
          <w:color w:val="231F20"/>
          <w:spacing w:val="8"/>
        </w:rPr>
        <w:t> </w:t>
      </w:r>
      <w:r>
        <w:rPr>
          <w:color w:val="231F20"/>
        </w:rPr>
        <w:t>articles</w:t>
      </w:r>
      <w:r>
        <w:rPr>
          <w:color w:val="231F20"/>
          <w:spacing w:val="8"/>
        </w:rPr>
        <w:t> </w:t>
      </w:r>
      <w:r>
        <w:rPr>
          <w:color w:val="231F20"/>
        </w:rPr>
        <w:t>2:8</w:t>
      </w:r>
      <w:r>
        <w:rPr>
          <w:color w:val="231F20"/>
          <w:spacing w:val="8"/>
        </w:rPr>
        <w:t> </w:t>
      </w:r>
      <w:r>
        <w:rPr>
          <w:color w:val="231F20"/>
        </w:rPr>
        <w:t>et</w:t>
      </w:r>
      <w:r>
        <w:rPr>
          <w:color w:val="231F20"/>
          <w:spacing w:val="8"/>
        </w:rPr>
        <w:t> </w:t>
      </w:r>
      <w:r>
        <w:rPr>
          <w:color w:val="231F20"/>
        </w:rPr>
        <w:t>2:14,</w:t>
      </w:r>
      <w:r>
        <w:rPr>
          <w:color w:val="231F20"/>
          <w:spacing w:val="9"/>
        </w:rPr>
        <w:t> </w:t>
      </w:r>
      <w:r>
        <w:rPr>
          <w:color w:val="231F20"/>
        </w:rPr>
        <w:t>1°.</w:t>
      </w:r>
    </w:p>
    <w:p>
      <w:pPr>
        <w:pStyle w:val="BodyText"/>
        <w:spacing w:line="218" w:lineRule="auto" w:before="97"/>
        <w:ind w:right="85"/>
      </w:pPr>
      <w:r>
        <w:rPr>
          <w:color w:val="231F20"/>
        </w:rPr>
        <w:t>Les statuts peuvent déroger au principe de dévolution désintéressée visée à l’article 75 du règlement (CE) n° 1435/2003.</w:t>
      </w:r>
    </w:p>
    <w:p>
      <w:pPr>
        <w:pStyle w:val="BodyText"/>
        <w:spacing w:before="82"/>
        <w:ind w:left="283" w:right="0" w:firstLine="0"/>
        <w:jc w:val="left"/>
      </w:pPr>
      <w:r>
        <w:rPr>
          <w:color w:val="231F20"/>
        </w:rPr>
        <w:t>TITRE 8. Transformation d’une SCE en SC.</w:t>
      </w:r>
    </w:p>
    <w:p>
      <w:pPr>
        <w:pStyle w:val="BodyText"/>
        <w:spacing w:line="218" w:lineRule="auto" w:before="92"/>
        <w:ind w:right="85"/>
      </w:pPr>
      <w:r>
        <w:rPr>
          <w:color w:val="231F20"/>
        </w:rPr>
        <w:t>Art. 16:30. Le projet de transformation est déposé et publié confor- mément aux articles 2:8 et 2:14, 4°.</w:t>
      </w:r>
    </w:p>
    <w:p>
      <w:pPr>
        <w:pStyle w:val="BodyText"/>
        <w:spacing w:line="218" w:lineRule="auto" w:before="96"/>
        <w:ind w:right="38"/>
      </w:pPr>
      <w:r>
        <w:rPr>
          <w:color w:val="231F20"/>
        </w:rPr>
        <w:t>Art. 16:31. Le ou les expert(s) indépendant(s) visé(s) à l’article 76, § 5, du règlement (CE) n° 1435/2003 sont le commissaire ou, lorsqu’il n’y a pas de commissaire, un réviseur d’entreprises ou un expert-comptable externe désigné par l’organe d’administration.</w:t>
      </w:r>
    </w:p>
    <w:p>
      <w:pPr>
        <w:pStyle w:val="BodyText"/>
        <w:spacing w:line="218" w:lineRule="auto" w:before="119"/>
      </w:pPr>
      <w:r>
        <w:rPr/>
        <w:br w:type="column"/>
      </w:r>
      <w:r>
        <w:rPr>
          <w:color w:val="231F20"/>
        </w:rPr>
        <w:t>De kapitaalverschaffers bepaald in artikel 16:4 mogen over niet meer dan vijfentwintig percent van de totale stemrechten beschikken.</w:t>
      </w:r>
    </w:p>
    <w:p>
      <w:pPr>
        <w:pStyle w:val="BodyText"/>
        <w:spacing w:before="72"/>
        <w:ind w:left="283" w:right="0" w:firstLine="0"/>
        <w:jc w:val="left"/>
      </w:pPr>
      <w:r>
        <w:rPr>
          <w:color w:val="231F20"/>
        </w:rPr>
        <w:t>HOOFDSTUK 3. Sector- en afdelingsvergaderingen.</w:t>
      </w:r>
    </w:p>
    <w:p>
      <w:pPr>
        <w:pStyle w:val="BodyText"/>
        <w:spacing w:line="218" w:lineRule="auto" w:before="82"/>
      </w:pPr>
      <w:r>
        <w:rPr>
          <w:color w:val="231F20"/>
        </w:rPr>
        <w:t>Art. 16:20. Overeenkomstig artikel 63, lid 1, van verordening (EG)  </w:t>
      </w:r>
      <w:r>
        <w:rPr>
          <w:color w:val="231F20"/>
          <w:spacing w:val="-5"/>
        </w:rPr>
        <w:t>nr. </w:t>
      </w:r>
      <w:r>
        <w:rPr>
          <w:color w:val="231F20"/>
        </w:rPr>
        <w:t>1435/2003 kunnen de statuten van de SCE voorzien in sector- en afdelingsvergaderingen.</w:t>
      </w:r>
    </w:p>
    <w:p>
      <w:pPr>
        <w:pStyle w:val="BodyText"/>
        <w:spacing w:before="71"/>
        <w:ind w:left="283" w:right="0" w:firstLine="0"/>
        <w:jc w:val="left"/>
      </w:pPr>
      <w:r>
        <w:rPr>
          <w:color w:val="231F20"/>
        </w:rPr>
        <w:t>TITEL 4. Kapitaal en aandelen.</w:t>
      </w:r>
    </w:p>
    <w:p>
      <w:pPr>
        <w:pStyle w:val="BodyText"/>
        <w:spacing w:line="218" w:lineRule="auto" w:before="82"/>
      </w:pPr>
      <w:r>
        <w:rPr>
          <w:color w:val="231F20"/>
        </w:rPr>
        <w:t>Art. 16:21. Artikel 7:7 is van overeenkomstige toepassing in geval van inbreng in natura bij oprichting.</w:t>
      </w:r>
    </w:p>
    <w:p>
      <w:pPr>
        <w:pStyle w:val="BodyText"/>
        <w:spacing w:line="218" w:lineRule="auto" w:before="86"/>
      </w:pPr>
      <w:r>
        <w:rPr>
          <w:color w:val="231F20"/>
        </w:rPr>
        <w:t>Artikel 7:197 is van overeenkomstige toepassing in geval van inbreng in natura bij kapitaalverhoging.</w:t>
      </w:r>
    </w:p>
    <w:p>
      <w:pPr>
        <w:pStyle w:val="BodyText"/>
        <w:spacing w:before="71"/>
        <w:ind w:left="283" w:right="0" w:firstLine="0"/>
        <w:jc w:val="left"/>
      </w:pPr>
      <w:r>
        <w:rPr>
          <w:color w:val="231F20"/>
        </w:rPr>
        <w:t>TITEL 5. Verplaatsing van de statutaire zetel.</w:t>
      </w:r>
    </w:p>
    <w:p>
      <w:pPr>
        <w:pStyle w:val="BodyText"/>
        <w:spacing w:line="218" w:lineRule="auto" w:before="82"/>
      </w:pPr>
      <w:r>
        <w:rPr>
          <w:color w:val="231F20"/>
        </w:rPr>
        <w:t>Art. 16:22. Het voorstel tot zetelverplaatsing wordt neergelegd en bekendgemaakt overeenkomstig de artikelen 2:8 en 2:14, 4°.</w:t>
      </w:r>
    </w:p>
    <w:p>
      <w:pPr>
        <w:pStyle w:val="BodyText"/>
        <w:spacing w:line="218" w:lineRule="auto" w:before="86"/>
      </w:pPr>
      <w:r>
        <w:rPr>
          <w:color w:val="231F20"/>
        </w:rPr>
        <w:t>Art. 16:23. Overeenkomstig artikel 7, lid 8, van verordening (EG)    </w:t>
      </w:r>
      <w:r>
        <w:rPr>
          <w:color w:val="231F20"/>
          <w:spacing w:val="-5"/>
        </w:rPr>
        <w:t>nr. </w:t>
      </w:r>
      <w:r>
        <w:rPr>
          <w:color w:val="231F20"/>
        </w:rPr>
        <w:t>1435/2003 geeft de instrumenterende notaris met standplaats in België een attest af waaruit afdoende blijkt dat de aan de zetelverplaat- sing</w:t>
      </w:r>
      <w:r>
        <w:rPr>
          <w:color w:val="231F20"/>
          <w:spacing w:val="18"/>
        </w:rPr>
        <w:t> </w:t>
      </w:r>
      <w:r>
        <w:rPr>
          <w:color w:val="231F20"/>
        </w:rPr>
        <w:t>voorafgaande</w:t>
      </w:r>
      <w:r>
        <w:rPr>
          <w:color w:val="231F20"/>
          <w:spacing w:val="19"/>
        </w:rPr>
        <w:t> </w:t>
      </w:r>
      <w:r>
        <w:rPr>
          <w:color w:val="231F20"/>
        </w:rPr>
        <w:t>handelingen</w:t>
      </w:r>
      <w:r>
        <w:rPr>
          <w:color w:val="231F20"/>
          <w:spacing w:val="18"/>
        </w:rPr>
        <w:t> </w:t>
      </w:r>
      <w:r>
        <w:rPr>
          <w:color w:val="231F20"/>
        </w:rPr>
        <w:t>en</w:t>
      </w:r>
      <w:r>
        <w:rPr>
          <w:color w:val="231F20"/>
          <w:spacing w:val="19"/>
        </w:rPr>
        <w:t> </w:t>
      </w:r>
      <w:r>
        <w:rPr>
          <w:color w:val="231F20"/>
        </w:rPr>
        <w:t>formaliteiten</w:t>
      </w:r>
      <w:r>
        <w:rPr>
          <w:color w:val="231F20"/>
          <w:spacing w:val="18"/>
        </w:rPr>
        <w:t> </w:t>
      </w:r>
      <w:r>
        <w:rPr>
          <w:color w:val="231F20"/>
        </w:rPr>
        <w:t>zijn</w:t>
      </w:r>
      <w:r>
        <w:rPr>
          <w:color w:val="231F20"/>
          <w:spacing w:val="19"/>
        </w:rPr>
        <w:t> </w:t>
      </w:r>
      <w:r>
        <w:rPr>
          <w:color w:val="231F20"/>
        </w:rPr>
        <w:t>vervuld.</w:t>
      </w:r>
    </w:p>
    <w:p>
      <w:pPr>
        <w:pStyle w:val="BodyText"/>
        <w:spacing w:line="218" w:lineRule="auto" w:before="85"/>
      </w:pPr>
      <w:r>
        <w:rPr>
          <w:color w:val="231F20"/>
        </w:rPr>
        <w:t>Art. 16:24. De zetelverplaatsing van een SCE met statutaire zetel in België naar een andere lidstaat heeft geen rechtsgevolg wanneer</w:t>
      </w:r>
      <w:r>
        <w:rPr>
          <w:color w:val="231F20"/>
          <w:spacing w:val="34"/>
        </w:rPr>
        <w:t> </w:t>
      </w:r>
      <w:r>
        <w:rPr>
          <w:color w:val="231F20"/>
        </w:rPr>
        <w:t>de minister bevoegd voor Economie zich daartegen overeenkomstig  artikel 7, lid 14, van verordening (EG) </w:t>
      </w:r>
      <w:r>
        <w:rPr>
          <w:color w:val="231F20"/>
          <w:spacing w:val="-5"/>
        </w:rPr>
        <w:t>nr. </w:t>
      </w:r>
      <w:r>
        <w:rPr>
          <w:color w:val="231F20"/>
        </w:rPr>
        <w:t>1435/2003 middels </w:t>
      </w:r>
      <w:r>
        <w:rPr>
          <w:color w:val="231F20"/>
          <w:spacing w:val="-3"/>
        </w:rPr>
        <w:t>officiële </w:t>
      </w:r>
      <w:r>
        <w:rPr>
          <w:color w:val="231F20"/>
        </w:rPr>
        <w:t>kennisgeving verzet binnen twee maanden na de bekendmaking van  het verplaatsingsvoorstel in de Bijlagen bij het </w:t>
      </w:r>
      <w:r>
        <w:rPr>
          <w:rFonts w:ascii="Times New Roman" w:hAnsi="Times New Roman"/>
          <w:i/>
          <w:color w:val="231F20"/>
        </w:rPr>
        <w:t>Belgisch Staatsblad</w:t>
      </w:r>
      <w:r>
        <w:rPr>
          <w:color w:val="231F20"/>
        </w:rPr>
        <w:t>. De </w:t>
      </w:r>
      <w:r>
        <w:rPr>
          <w:color w:val="231F20"/>
          <w:spacing w:val="-3"/>
        </w:rPr>
        <w:t>officiële </w:t>
      </w:r>
      <w:r>
        <w:rPr>
          <w:color w:val="231F20"/>
        </w:rPr>
        <w:t>kennisgeving wordt gepubliceerd in overeenstemming met artikel 2:14,</w:t>
      </w:r>
      <w:r>
        <w:rPr>
          <w:color w:val="231F20"/>
          <w:spacing w:val="-13"/>
        </w:rPr>
        <w:t> </w:t>
      </w:r>
      <w:r>
        <w:rPr>
          <w:color w:val="231F20"/>
        </w:rPr>
        <w:t>4°.</w:t>
      </w:r>
    </w:p>
    <w:p>
      <w:pPr>
        <w:pStyle w:val="BodyText"/>
        <w:spacing w:line="218" w:lineRule="auto" w:before="84"/>
      </w:pPr>
      <w:r>
        <w:rPr>
          <w:color w:val="231F20"/>
        </w:rPr>
        <w:t>Het attest bedoeld in artikel 16:23 mag enkel worden afgegeven nadat het verzet is ingetrokken of vernietigd door een beslissing die  niet vatbaar is voor</w:t>
      </w:r>
      <w:r>
        <w:rPr>
          <w:color w:val="231F20"/>
          <w:spacing w:val="19"/>
        </w:rPr>
        <w:t> </w:t>
      </w:r>
      <w:r>
        <w:rPr>
          <w:color w:val="231F20"/>
        </w:rPr>
        <w:t>verhaal.</w:t>
      </w:r>
    </w:p>
    <w:p>
      <w:pPr>
        <w:pStyle w:val="BodyText"/>
        <w:spacing w:line="218" w:lineRule="auto" w:before="85"/>
      </w:pPr>
      <w:r>
        <w:rPr>
          <w:color w:val="231F20"/>
        </w:rPr>
        <w:t>De Koning bepaalt bij een in Ministerraad overlegd besluit de versnelde procedure die van toepassing is op het beroep tegen het verzet bepaald in dit</w:t>
      </w:r>
      <w:r>
        <w:rPr>
          <w:color w:val="231F20"/>
          <w:spacing w:val="20"/>
        </w:rPr>
        <w:t> </w:t>
      </w:r>
      <w:r>
        <w:rPr>
          <w:color w:val="231F20"/>
        </w:rPr>
        <w:t>artikel.</w:t>
      </w:r>
    </w:p>
    <w:p>
      <w:pPr>
        <w:pStyle w:val="BodyText"/>
        <w:spacing w:line="218" w:lineRule="auto" w:before="86"/>
      </w:pPr>
      <w:r>
        <w:rPr>
          <w:color w:val="231F20"/>
        </w:rPr>
        <w:t>Art. 16:25. De doorhaling in België van de oude inschrijving ten gevolge van de verplaatsing van de statutaire zetel naar het buitenland wordt overeenkomstig artikel 2:14, 4°, bekendgemaakt.</w:t>
      </w:r>
    </w:p>
    <w:p>
      <w:pPr>
        <w:pStyle w:val="BodyText"/>
        <w:spacing w:line="218" w:lineRule="auto" w:before="85"/>
      </w:pPr>
      <w:r>
        <w:rPr>
          <w:color w:val="231F20"/>
        </w:rPr>
        <w:t>Art. 16:26. De verplaatsing naar België van de statutaire zetel van een SCE moet in een authentieke akte worden vastgesteld. Deze akte kan pas worden verleden op voorlegging van het attest afgeleverd door de bevoegde instantie in het land van oorsprong van de SCE.</w:t>
      </w:r>
    </w:p>
    <w:p>
      <w:pPr>
        <w:pStyle w:val="BodyText"/>
        <w:spacing w:line="218" w:lineRule="auto" w:before="86"/>
      </w:pPr>
      <w:r>
        <w:rPr>
          <w:color w:val="231F20"/>
        </w:rPr>
        <w:t>Deze akte alsook de daarmee gepaard gaande statutenwijziging worden neergelegd en bekendgemaakt overeenkomstig de artikelen 2:8 en 2:14, 1°; zij worden pas van kracht vanaf de inschrijving van de vennootschap.</w:t>
      </w:r>
    </w:p>
    <w:p>
      <w:pPr>
        <w:pStyle w:val="BodyText"/>
        <w:spacing w:line="218" w:lineRule="auto" w:before="96"/>
      </w:pPr>
      <w:r>
        <w:rPr>
          <w:color w:val="231F20"/>
        </w:rPr>
        <w:t>TITEL 6. Jaarrekening en geconsolideerde jaarrekening, en controle hierop - Specifieke bepalingen van toepassing op het duale bestuur.</w:t>
      </w:r>
    </w:p>
    <w:p>
      <w:pPr>
        <w:pStyle w:val="BodyText"/>
        <w:spacing w:line="218" w:lineRule="auto" w:before="96"/>
      </w:pPr>
      <w:r>
        <w:rPr>
          <w:color w:val="231F20"/>
        </w:rPr>
        <w:t>Art. 16:27. De raad van toezicht legt aan de algemene vergadering bepaald in artikel 3:1 een verslag voor met zijn opmerkingen over de rekeningen van het boekjaar, alsook, in voorkomend geval, over het jaarverslag van de directieraad.</w:t>
      </w:r>
    </w:p>
    <w:p>
      <w:pPr>
        <w:pStyle w:val="BodyText"/>
        <w:spacing w:line="218" w:lineRule="auto" w:before="97"/>
      </w:pPr>
      <w:r>
        <w:rPr>
          <w:color w:val="231F20"/>
        </w:rPr>
        <w:t>Dit verslag wordt samen met de  jaarrekening  overeenkomstig artikel</w:t>
      </w:r>
      <w:r>
        <w:rPr>
          <w:color w:val="231F20"/>
          <w:spacing w:val="14"/>
        </w:rPr>
        <w:t> </w:t>
      </w:r>
      <w:r>
        <w:rPr>
          <w:color w:val="231F20"/>
        </w:rPr>
        <w:t>3:12,</w:t>
      </w:r>
      <w:r>
        <w:rPr>
          <w:color w:val="231F20"/>
          <w:spacing w:val="15"/>
        </w:rPr>
        <w:t> </w:t>
      </w:r>
      <w:r>
        <w:rPr>
          <w:color w:val="231F20"/>
        </w:rPr>
        <w:t>§</w:t>
      </w:r>
      <w:r>
        <w:rPr>
          <w:color w:val="231F20"/>
          <w:spacing w:val="15"/>
        </w:rPr>
        <w:t> </w:t>
      </w:r>
      <w:r>
        <w:rPr>
          <w:color w:val="231F20"/>
        </w:rPr>
        <w:t>1,</w:t>
      </w:r>
      <w:r>
        <w:rPr>
          <w:color w:val="231F20"/>
          <w:spacing w:val="14"/>
        </w:rPr>
        <w:t> </w:t>
      </w:r>
      <w:r>
        <w:rPr>
          <w:color w:val="231F20"/>
        </w:rPr>
        <w:t>10°,</w:t>
      </w:r>
      <w:r>
        <w:rPr>
          <w:color w:val="231F20"/>
          <w:spacing w:val="15"/>
        </w:rPr>
        <w:t> </w:t>
      </w:r>
      <w:r>
        <w:rPr>
          <w:color w:val="231F20"/>
        </w:rPr>
        <w:t>neergelegd.</w:t>
      </w:r>
    </w:p>
    <w:p>
      <w:pPr>
        <w:pStyle w:val="BodyText"/>
        <w:spacing w:before="82"/>
        <w:ind w:left="283" w:right="0" w:firstLine="0"/>
        <w:jc w:val="left"/>
      </w:pPr>
      <w:r>
        <w:rPr>
          <w:color w:val="231F20"/>
        </w:rPr>
        <w:t>TITEL 7. Ontbinding en vereffening.</w:t>
      </w:r>
    </w:p>
    <w:p>
      <w:pPr>
        <w:pStyle w:val="BodyText"/>
        <w:spacing w:line="218" w:lineRule="auto" w:before="92"/>
      </w:pPr>
      <w:r>
        <w:rPr>
          <w:color w:val="231F20"/>
        </w:rPr>
        <w:t>Art. 16:28. Op vraag van elke belanghebbende of van het openbaar ministerie spreekt de ondernemingsrechtbank de ontbinding van de SCE uit die haar statutaire zetel in België heeft indien haar hoofdbe- stuur er niet is gevestigd.</w:t>
      </w:r>
    </w:p>
    <w:p>
      <w:pPr>
        <w:pStyle w:val="BodyText"/>
        <w:spacing w:line="218" w:lineRule="auto" w:before="97"/>
        <w:ind w:right="125"/>
      </w:pPr>
      <w:r>
        <w:rPr>
          <w:color w:val="231F20"/>
        </w:rPr>
        <w:t>Alvorens de ontbinding uit te spreken, kan de rechtbank de SCE in de gelegenheid stellen binnen een termijn haar situatie te regulariseren overeenkomstig artikel 73, lid 1, van verordening (EG) nr. 1435/2003.</w:t>
      </w:r>
    </w:p>
    <w:p>
      <w:pPr>
        <w:pStyle w:val="BodyText"/>
        <w:spacing w:line="218" w:lineRule="auto" w:before="96"/>
      </w:pPr>
      <w:r>
        <w:rPr>
          <w:color w:val="231F20"/>
        </w:rPr>
        <w:t>Overeenkomstig</w:t>
      </w:r>
      <w:r>
        <w:rPr>
          <w:color w:val="231F20"/>
          <w:spacing w:val="-9"/>
        </w:rPr>
        <w:t> </w:t>
      </w:r>
      <w:r>
        <w:rPr>
          <w:color w:val="231F20"/>
        </w:rPr>
        <w:t>artikel</w:t>
      </w:r>
      <w:r>
        <w:rPr>
          <w:color w:val="231F20"/>
          <w:spacing w:val="-9"/>
        </w:rPr>
        <w:t> </w:t>
      </w:r>
      <w:r>
        <w:rPr>
          <w:color w:val="231F20"/>
        </w:rPr>
        <w:t>73,</w:t>
      </w:r>
      <w:r>
        <w:rPr>
          <w:color w:val="231F20"/>
          <w:spacing w:val="-8"/>
        </w:rPr>
        <w:t> </w:t>
      </w:r>
      <w:r>
        <w:rPr>
          <w:color w:val="231F20"/>
        </w:rPr>
        <w:t>lid</w:t>
      </w:r>
      <w:r>
        <w:rPr>
          <w:color w:val="231F20"/>
          <w:spacing w:val="-9"/>
        </w:rPr>
        <w:t> </w:t>
      </w:r>
      <w:r>
        <w:rPr>
          <w:color w:val="231F20"/>
        </w:rPr>
        <w:t>4,</w:t>
      </w:r>
      <w:r>
        <w:rPr>
          <w:color w:val="231F20"/>
          <w:spacing w:val="-9"/>
        </w:rPr>
        <w:t> </w:t>
      </w:r>
      <w:r>
        <w:rPr>
          <w:color w:val="231F20"/>
        </w:rPr>
        <w:t>van</w:t>
      </w:r>
      <w:r>
        <w:rPr>
          <w:color w:val="231F20"/>
          <w:spacing w:val="-8"/>
        </w:rPr>
        <w:t> </w:t>
      </w:r>
      <w:r>
        <w:rPr>
          <w:color w:val="231F20"/>
        </w:rPr>
        <w:t>verordening</w:t>
      </w:r>
      <w:r>
        <w:rPr>
          <w:color w:val="231F20"/>
          <w:spacing w:val="-9"/>
        </w:rPr>
        <w:t> </w:t>
      </w:r>
      <w:r>
        <w:rPr>
          <w:color w:val="231F20"/>
        </w:rPr>
        <w:t>(EG)</w:t>
      </w:r>
      <w:r>
        <w:rPr>
          <w:color w:val="231F20"/>
          <w:spacing w:val="-8"/>
        </w:rPr>
        <w:t> </w:t>
      </w:r>
      <w:r>
        <w:rPr>
          <w:color w:val="231F20"/>
          <w:spacing w:val="-5"/>
        </w:rPr>
        <w:t>nr.</w:t>
      </w:r>
      <w:r>
        <w:rPr>
          <w:color w:val="231F20"/>
          <w:spacing w:val="-9"/>
        </w:rPr>
        <w:t> </w:t>
      </w:r>
      <w:r>
        <w:rPr>
          <w:color w:val="231F20"/>
        </w:rPr>
        <w:t>1435/2003, is</w:t>
      </w:r>
      <w:r>
        <w:rPr>
          <w:color w:val="231F20"/>
          <w:spacing w:val="21"/>
        </w:rPr>
        <w:t> </w:t>
      </w:r>
      <w:r>
        <w:rPr>
          <w:color w:val="231F20"/>
        </w:rPr>
        <w:t>deze</w:t>
      </w:r>
      <w:r>
        <w:rPr>
          <w:color w:val="231F20"/>
          <w:spacing w:val="21"/>
        </w:rPr>
        <w:t> </w:t>
      </w:r>
      <w:r>
        <w:rPr>
          <w:color w:val="231F20"/>
        </w:rPr>
        <w:t>beslissing</w:t>
      </w:r>
      <w:r>
        <w:rPr>
          <w:color w:val="231F20"/>
          <w:spacing w:val="22"/>
        </w:rPr>
        <w:t> </w:t>
      </w:r>
      <w:r>
        <w:rPr>
          <w:color w:val="231F20"/>
        </w:rPr>
        <w:t>niet</w:t>
      </w:r>
      <w:r>
        <w:rPr>
          <w:color w:val="231F20"/>
          <w:spacing w:val="21"/>
        </w:rPr>
        <w:t> </w:t>
      </w:r>
      <w:r>
        <w:rPr>
          <w:color w:val="231F20"/>
        </w:rPr>
        <w:t>vatbaar</w:t>
      </w:r>
      <w:r>
        <w:rPr>
          <w:color w:val="231F20"/>
          <w:spacing w:val="21"/>
        </w:rPr>
        <w:t> </w:t>
      </w:r>
      <w:r>
        <w:rPr>
          <w:color w:val="231F20"/>
        </w:rPr>
        <w:t>voor</w:t>
      </w:r>
      <w:r>
        <w:rPr>
          <w:color w:val="231F20"/>
          <w:spacing w:val="22"/>
        </w:rPr>
        <w:t> </w:t>
      </w:r>
      <w:r>
        <w:rPr>
          <w:color w:val="231F20"/>
        </w:rPr>
        <w:t>voorlopige</w:t>
      </w:r>
      <w:r>
        <w:rPr>
          <w:color w:val="231F20"/>
          <w:spacing w:val="21"/>
        </w:rPr>
        <w:t> </w:t>
      </w:r>
      <w:r>
        <w:rPr>
          <w:color w:val="231F20"/>
        </w:rPr>
        <w:t>tenuitvoerlegging.</w:t>
      </w:r>
    </w:p>
    <w:p>
      <w:pPr>
        <w:pStyle w:val="BodyText"/>
        <w:spacing w:line="218" w:lineRule="auto" w:before="96"/>
      </w:pPr>
      <w:r>
        <w:rPr>
          <w:color w:val="231F20"/>
        </w:rPr>
        <w:t>Art. 16:29. De openbaarmaking bedoeld in artikel 74 van verordening (EG) </w:t>
      </w:r>
      <w:r>
        <w:rPr>
          <w:color w:val="231F20"/>
          <w:spacing w:val="-5"/>
        </w:rPr>
        <w:t>nr. </w:t>
      </w:r>
      <w:r>
        <w:rPr>
          <w:color w:val="231F20"/>
        </w:rPr>
        <w:t>1435/2003 gebeurt overeenkomstig de artikelen 2:8 en 2:14,</w:t>
      </w:r>
      <w:r>
        <w:rPr>
          <w:color w:val="231F20"/>
          <w:spacing w:val="-29"/>
        </w:rPr>
        <w:t> </w:t>
      </w:r>
      <w:r>
        <w:rPr>
          <w:color w:val="231F20"/>
        </w:rPr>
        <w:t>1°.</w:t>
      </w:r>
    </w:p>
    <w:p>
      <w:pPr>
        <w:pStyle w:val="BodyText"/>
        <w:spacing w:line="218" w:lineRule="auto" w:before="96"/>
      </w:pPr>
      <w:r>
        <w:rPr>
          <w:color w:val="231F20"/>
        </w:rPr>
        <w:t>De statuten kunnen afwijken van het beginsel van de belangeloze verdeling bepaald in artikel 75 van verordening (EG) nr. 1435/2003.</w:t>
      </w:r>
    </w:p>
    <w:p>
      <w:pPr>
        <w:pStyle w:val="BodyText"/>
        <w:spacing w:before="82"/>
        <w:ind w:left="283" w:right="0" w:firstLine="0"/>
        <w:jc w:val="left"/>
      </w:pPr>
      <w:r>
        <w:rPr>
          <w:color w:val="231F20"/>
        </w:rPr>
        <w:t>TITEL 8. Omzetting van een SCE in een CV.</w:t>
      </w:r>
    </w:p>
    <w:p>
      <w:pPr>
        <w:pStyle w:val="BodyText"/>
        <w:spacing w:line="218" w:lineRule="auto" w:before="93"/>
      </w:pPr>
      <w:r>
        <w:rPr>
          <w:color w:val="231F20"/>
        </w:rPr>
        <w:t>Art. 16:30. Het voorstel tot omzetting wordt neergelegd en bekend- gemaakt overeenkomstig de artikelen 2:8 en 2:14, 4°.</w:t>
      </w:r>
    </w:p>
    <w:p>
      <w:pPr>
        <w:pStyle w:val="BodyText"/>
        <w:spacing w:line="218" w:lineRule="auto" w:before="96"/>
      </w:pPr>
      <w:r>
        <w:rPr>
          <w:color w:val="231F20"/>
        </w:rPr>
        <w:t>Art. 16:31. De onafhankelijke deskundige(n) bedoeld in artikel 76,   lid 5, van verordening (EG) </w:t>
      </w:r>
      <w:r>
        <w:rPr>
          <w:color w:val="231F20"/>
          <w:spacing w:val="-5"/>
        </w:rPr>
        <w:t>nr. </w:t>
      </w:r>
      <w:r>
        <w:rPr>
          <w:color w:val="231F20"/>
        </w:rPr>
        <w:t>1435/2003, is de commissaris, of, als er geen commissaris is, een bedrijfsrevisor of externe accountant aange- wezen door het</w:t>
      </w:r>
      <w:r>
        <w:rPr>
          <w:color w:val="231F20"/>
          <w:spacing w:val="5"/>
        </w:rPr>
        <w:t> </w:t>
      </w:r>
      <w:r>
        <w:rPr>
          <w:color w:val="231F20"/>
        </w:rPr>
        <w:t>bestuursorgaan.</w:t>
      </w:r>
    </w:p>
    <w:p>
      <w:pPr>
        <w:spacing w:after="0" w:line="218" w:lineRule="auto"/>
        <w:sectPr>
          <w:pgSz w:w="11940" w:h="16880"/>
          <w:pgMar w:header="666" w:footer="0" w:top="1140" w:bottom="280" w:left="340" w:right="360"/>
          <w:cols w:num="2" w:equalWidth="0">
            <w:col w:w="5574" w:space="54"/>
            <w:col w:w="5612"/>
          </w:cols>
        </w:sectPr>
      </w:pPr>
    </w:p>
    <w:p>
      <w:pPr>
        <w:pStyle w:val="BodyText"/>
        <w:spacing w:before="106"/>
        <w:ind w:left="283" w:right="0" w:firstLine="0"/>
        <w:jc w:val="left"/>
      </w:pPr>
      <w:r>
        <w:rPr/>
        <w:pict>
          <v:line style="position:absolute;mso-position-horizontal-relative:page;mso-position-vertical-relative:page;z-index:7720" from="298.170502pt,64.473pt" to="298.170502pt,812.819pt" stroked="true" strokeweight=".533pt" strokecolor="#231f20">
            <v:stroke dashstyle="solid"/>
            <w10:wrap type="none"/>
          </v:line>
        </w:pict>
      </w:r>
      <w:bookmarkStart w:name="_bookmark279" w:id="285"/>
      <w:bookmarkEnd w:id="285"/>
      <w:r>
        <w:rPr/>
      </w:r>
      <w:r>
        <w:rPr>
          <w:color w:val="231F20"/>
        </w:rPr>
        <w:t>TITRE 9. Dispositions pénales.</w:t>
      </w:r>
    </w:p>
    <w:p>
      <w:pPr>
        <w:pStyle w:val="BodyText"/>
        <w:spacing w:line="218" w:lineRule="auto" w:before="103"/>
        <w:ind w:right="65"/>
      </w:pPr>
      <w:r>
        <w:rPr>
          <w:color w:val="231F20"/>
        </w:rPr>
        <w:t>Art. 16:32. Seront punis d’une amende de cinquante à dix mille euros et pourront en outre être punis d’un emprisonnement d’un mois à un an:</w:t>
      </w:r>
    </w:p>
    <w:p>
      <w:pPr>
        <w:pStyle w:val="BodyText"/>
        <w:spacing w:line="218" w:lineRule="auto" w:before="107"/>
        <w:ind w:right="65"/>
      </w:pPr>
      <w:r>
        <w:rPr>
          <w:color w:val="231F20"/>
        </w:rPr>
        <w:t>1° les administrateurs visés à l’article 2:51 qui n’ont pas présenté le rapport spécial accompagné du rapport du commissaire ou du réviseur d’entreprises, ainsi que le prévoient les articles 7:7 et 7:197;</w:t>
      </w:r>
    </w:p>
    <w:p>
      <w:pPr>
        <w:pStyle w:val="BodyText"/>
        <w:spacing w:line="218" w:lineRule="auto" w:before="107"/>
        <w:ind w:right="65"/>
      </w:pPr>
      <w:r>
        <w:rPr>
          <w:color w:val="231F20"/>
        </w:rPr>
        <w:t>2° les administrateurs visés à l’article 2:51 qui ont contrevenu à l’article 7:212;</w:t>
      </w:r>
    </w:p>
    <w:p>
      <w:pPr>
        <w:pStyle w:val="BodyText"/>
        <w:spacing w:line="218" w:lineRule="auto" w:before="106"/>
        <w:ind w:right="65"/>
      </w:pPr>
      <w:r>
        <w:rPr>
          <w:color w:val="231F20"/>
        </w:rPr>
        <w:t>3° tous ceux qui, comme administrateurs visés à l’article 2:51 ou commissaires, auront fait, par un usage quelconque, aux frais de la société, des versements sur les actions ou admis comme faits des versements qui ne sont pas effectués réellement de la manière et aux époques prescrites;</w:t>
      </w:r>
    </w:p>
    <w:p>
      <w:pPr>
        <w:pStyle w:val="BodyText"/>
        <w:spacing w:line="218" w:lineRule="auto" w:before="107"/>
        <w:ind w:right="65"/>
      </w:pPr>
      <w:r>
        <w:rPr>
          <w:color w:val="231F20"/>
        </w:rPr>
        <w:t>4°  ceux  qui  ont  contrevenu  à  l’article  4,  §  12,  du  règlement       n°</w:t>
      </w:r>
      <w:r>
        <w:rPr>
          <w:color w:val="231F20"/>
          <w:spacing w:val="14"/>
        </w:rPr>
        <w:t> </w:t>
      </w:r>
      <w:r>
        <w:rPr>
          <w:color w:val="231F20"/>
        </w:rPr>
        <w:t>1435/2003.</w:t>
      </w:r>
    </w:p>
    <w:p>
      <w:pPr>
        <w:pStyle w:val="BodyText"/>
        <w:spacing w:line="218" w:lineRule="auto" w:before="107"/>
        <w:ind w:right="65"/>
      </w:pPr>
      <w:r>
        <w:rPr>
          <w:color w:val="231F20"/>
        </w:rPr>
        <w:t>LIVRE  17.  Le  parti  politique  européen  et  la   fondation </w:t>
      </w:r>
      <w:r>
        <w:rPr>
          <w:color w:val="231F20"/>
          <w:spacing w:val="24"/>
        </w:rPr>
        <w:t> </w:t>
      </w:r>
      <w:r>
        <w:rPr>
          <w:color w:val="231F20"/>
        </w:rPr>
        <w:t>politi- que</w:t>
      </w:r>
      <w:r>
        <w:rPr>
          <w:color w:val="231F20"/>
          <w:spacing w:val="15"/>
        </w:rPr>
        <w:t> </w:t>
      </w:r>
      <w:r>
        <w:rPr>
          <w:color w:val="231F20"/>
        </w:rPr>
        <w:t>européenne.</w:t>
      </w:r>
    </w:p>
    <w:p>
      <w:pPr>
        <w:pStyle w:val="BodyText"/>
        <w:spacing w:before="78"/>
        <w:ind w:left="283" w:right="0" w:firstLine="0"/>
        <w:jc w:val="left"/>
      </w:pPr>
      <w:r>
        <w:rPr>
          <w:color w:val="231F20"/>
        </w:rPr>
        <w:t>TITRE 1</w:t>
      </w:r>
      <w:r>
        <w:rPr>
          <w:color w:val="231F20"/>
          <w:position w:val="7"/>
          <w:sz w:val="11"/>
        </w:rPr>
        <w:t>er</w:t>
      </w:r>
      <w:r>
        <w:rPr>
          <w:color w:val="231F20"/>
        </w:rPr>
        <w:t>. Le parti politique européen.</w:t>
      </w:r>
    </w:p>
    <w:p>
      <w:pPr>
        <w:pStyle w:val="BodyText"/>
        <w:spacing w:line="218" w:lineRule="auto" w:before="103"/>
        <w:ind w:right="65"/>
      </w:pPr>
      <w:r>
        <w:rPr>
          <w:color w:val="231F20"/>
        </w:rPr>
        <w:t>Art. 17:1. Pour l’application du présent livre, l’on entend</w:t>
      </w:r>
      <w:r>
        <w:rPr>
          <w:color w:val="231F20"/>
          <w:spacing w:val="21"/>
        </w:rPr>
        <w:t> </w:t>
      </w:r>
      <w:r>
        <w:rPr>
          <w:color w:val="231F20"/>
        </w:rPr>
        <w:t>par “règlement (UE, Euratom) n° 1141/2014”: règlement n° 1141/2014 du Parlement</w:t>
      </w:r>
      <w:r>
        <w:rPr>
          <w:color w:val="231F20"/>
          <w:spacing w:val="-3"/>
        </w:rPr>
        <w:t> </w:t>
      </w:r>
      <w:r>
        <w:rPr>
          <w:color w:val="231F20"/>
        </w:rPr>
        <w:t>européen</w:t>
      </w:r>
      <w:r>
        <w:rPr>
          <w:color w:val="231F20"/>
          <w:spacing w:val="-2"/>
        </w:rPr>
        <w:t> </w:t>
      </w:r>
      <w:r>
        <w:rPr>
          <w:color w:val="231F20"/>
        </w:rPr>
        <w:t>et</w:t>
      </w:r>
      <w:r>
        <w:rPr>
          <w:color w:val="231F20"/>
          <w:spacing w:val="-3"/>
        </w:rPr>
        <w:t> </w:t>
      </w:r>
      <w:r>
        <w:rPr>
          <w:color w:val="231F20"/>
        </w:rPr>
        <w:t>du</w:t>
      </w:r>
      <w:r>
        <w:rPr>
          <w:color w:val="231F20"/>
          <w:spacing w:val="-2"/>
        </w:rPr>
        <w:t> </w:t>
      </w:r>
      <w:r>
        <w:rPr>
          <w:color w:val="231F20"/>
        </w:rPr>
        <w:t>Conseil</w:t>
      </w:r>
      <w:r>
        <w:rPr>
          <w:color w:val="231F20"/>
          <w:spacing w:val="-3"/>
        </w:rPr>
        <w:t> </w:t>
      </w:r>
      <w:r>
        <w:rPr>
          <w:color w:val="231F20"/>
        </w:rPr>
        <w:t>du</w:t>
      </w:r>
      <w:r>
        <w:rPr>
          <w:color w:val="231F20"/>
          <w:spacing w:val="-2"/>
        </w:rPr>
        <w:t> </w:t>
      </w:r>
      <w:r>
        <w:rPr>
          <w:color w:val="231F20"/>
        </w:rPr>
        <w:t>22</w:t>
      </w:r>
      <w:r>
        <w:rPr>
          <w:color w:val="231F20"/>
          <w:spacing w:val="-3"/>
        </w:rPr>
        <w:t> </w:t>
      </w:r>
      <w:r>
        <w:rPr>
          <w:color w:val="231F20"/>
        </w:rPr>
        <w:t>octobre</w:t>
      </w:r>
      <w:r>
        <w:rPr>
          <w:color w:val="231F20"/>
          <w:spacing w:val="-2"/>
        </w:rPr>
        <w:t> </w:t>
      </w:r>
      <w:r>
        <w:rPr>
          <w:color w:val="231F20"/>
        </w:rPr>
        <w:t>2014</w:t>
      </w:r>
      <w:r>
        <w:rPr>
          <w:color w:val="231F20"/>
          <w:spacing w:val="-3"/>
        </w:rPr>
        <w:t> </w:t>
      </w:r>
      <w:r>
        <w:rPr>
          <w:color w:val="231F20"/>
        </w:rPr>
        <w:t>relatif</w:t>
      </w:r>
      <w:r>
        <w:rPr>
          <w:color w:val="231F20"/>
          <w:spacing w:val="-2"/>
        </w:rPr>
        <w:t> </w:t>
      </w:r>
      <w:r>
        <w:rPr>
          <w:color w:val="231F20"/>
        </w:rPr>
        <w:t>au</w:t>
      </w:r>
      <w:r>
        <w:rPr>
          <w:color w:val="231F20"/>
          <w:spacing w:val="-3"/>
        </w:rPr>
        <w:t> </w:t>
      </w:r>
      <w:r>
        <w:rPr>
          <w:color w:val="231F20"/>
        </w:rPr>
        <w:t>statut</w:t>
      </w:r>
      <w:r>
        <w:rPr>
          <w:color w:val="231F20"/>
          <w:spacing w:val="-2"/>
        </w:rPr>
        <w:t> </w:t>
      </w:r>
      <w:r>
        <w:rPr>
          <w:color w:val="231F20"/>
        </w:rPr>
        <w:t>et au financement des partis politiques européens et des fondations politiques</w:t>
      </w:r>
      <w:r>
        <w:rPr>
          <w:color w:val="231F20"/>
          <w:spacing w:val="15"/>
        </w:rPr>
        <w:t> </w:t>
      </w:r>
      <w:r>
        <w:rPr>
          <w:color w:val="231F20"/>
        </w:rPr>
        <w:t>européennes.</w:t>
      </w:r>
    </w:p>
    <w:p>
      <w:pPr>
        <w:pStyle w:val="BodyText"/>
        <w:spacing w:line="211" w:lineRule="auto" w:before="112"/>
        <w:ind w:right="65"/>
      </w:pPr>
      <w:r>
        <w:rPr>
          <w:color w:val="231F20"/>
        </w:rPr>
        <w:t>Art. 17:2. Chaque parti politique européen ayant son siège en Belgique, en abrégé PPEU, est soumis, complémentairement aux dispositions du règlement (UE, Euratom) n° 1141/2014, aux disposi- tions du présent titre, du livre 2, titres 1</w:t>
      </w:r>
      <w:r>
        <w:rPr>
          <w:color w:val="231F20"/>
          <w:position w:val="7"/>
          <w:sz w:val="11"/>
        </w:rPr>
        <w:t>er</w:t>
      </w:r>
      <w:r>
        <w:rPr>
          <w:color w:val="231F20"/>
        </w:rPr>
        <w:t>, 2, 3, 4, 5, 6, 8, chapitres 2 et 3, et 9, et, selon le statut choisi, soit aux dispositions du livre 9, titres 1</w:t>
      </w:r>
      <w:r>
        <w:rPr>
          <w:color w:val="231F20"/>
          <w:position w:val="7"/>
          <w:sz w:val="11"/>
        </w:rPr>
        <w:t>er </w:t>
      </w:r>
      <w:r>
        <w:rPr>
          <w:color w:val="231F20"/>
        </w:rPr>
        <w:t>à 4, soit aux dispositions du livre 10.</w:t>
      </w:r>
    </w:p>
    <w:p>
      <w:pPr>
        <w:pStyle w:val="BodyText"/>
        <w:spacing w:line="218" w:lineRule="auto" w:before="92"/>
        <w:ind w:right="65"/>
      </w:pPr>
      <w:r>
        <w:rPr>
          <w:color w:val="231F20"/>
        </w:rPr>
        <w:t>Une copie de la publication visée à l’article 15, § 1</w:t>
      </w:r>
      <w:r>
        <w:rPr>
          <w:color w:val="231F20"/>
          <w:position w:val="7"/>
          <w:sz w:val="11"/>
        </w:rPr>
        <w:t>er</w:t>
      </w:r>
      <w:r>
        <w:rPr>
          <w:color w:val="231F20"/>
        </w:rPr>
        <w:t>, du règlement (UE, Euratom) n° 1141/2014 est déposée par le notaire au dossier visé soit à l’article 2:9 soit à l’article 2:10, selon le statut choisi. Jusqu’au moment prévu à l’article 17:5, les articles 2:9 et 2:10 ne sont pas applicables.</w:t>
      </w:r>
    </w:p>
    <w:p>
      <w:pPr>
        <w:pStyle w:val="BodyText"/>
        <w:spacing w:line="218" w:lineRule="auto" w:before="107"/>
        <w:ind w:right="19"/>
        <w:jc w:val="left"/>
      </w:pPr>
      <w:r>
        <w:rPr>
          <w:color w:val="231F20"/>
        </w:rPr>
        <w:t>Art. 17:3. Les statuts du PPEU sont établis par acte authentique. Dans le cas d’une ASBL ou d’une AISBL existante, la transformation en un PPEU se fait également par  acte  authentique.  Conformément  à l’article 15, § 2, du règlement (UE, Euratom) n° 1141/2014, le notaire délivre une attestation qui certifie que le siège du PPEU est établi en Belgique et que ses statuts sont conformes au droit applicable </w:t>
      </w:r>
      <w:r>
        <w:rPr>
          <w:color w:val="231F20"/>
          <w:spacing w:val="6"/>
        </w:rPr>
        <w:t>visé </w:t>
      </w:r>
      <w:r>
        <w:rPr>
          <w:color w:val="231F20"/>
        </w:rPr>
        <w:t>à l’article</w:t>
      </w:r>
      <w:r>
        <w:rPr>
          <w:color w:val="231F20"/>
          <w:spacing w:val="14"/>
        </w:rPr>
        <w:t> </w:t>
      </w:r>
      <w:r>
        <w:rPr>
          <w:color w:val="231F20"/>
        </w:rPr>
        <w:t>17:2.</w:t>
      </w:r>
    </w:p>
    <w:p>
      <w:pPr>
        <w:pStyle w:val="BodyText"/>
        <w:spacing w:line="185" w:lineRule="exact" w:before="104"/>
        <w:ind w:left="283" w:right="0" w:firstLine="0"/>
        <w:jc w:val="left"/>
      </w:pPr>
      <w:r>
        <w:rPr>
          <w:color w:val="231F20"/>
        </w:rPr>
        <w:t>Art. 17:4. L’instance compétente qui, conformément à l’article 16,</w:t>
      </w:r>
    </w:p>
    <w:p>
      <w:pPr>
        <w:pStyle w:val="BodyText"/>
        <w:spacing w:line="218" w:lineRule="auto" w:before="5"/>
        <w:ind w:right="4" w:hanging="1"/>
        <w:jc w:val="left"/>
      </w:pPr>
      <w:r>
        <w:rPr>
          <w:color w:val="231F20"/>
        </w:rPr>
        <w:t>§§ 2, 3 et 4, du règlement (UE, Euratom) n° 1141/2014, peut transmettre une demande de radiation, est le ministère public.</w:t>
      </w:r>
    </w:p>
    <w:p>
      <w:pPr>
        <w:pStyle w:val="BodyText"/>
        <w:spacing w:line="218" w:lineRule="auto" w:before="118"/>
        <w:ind w:right="65"/>
      </w:pPr>
      <w:r>
        <w:rPr>
          <w:color w:val="231F20"/>
        </w:rPr>
        <w:t>Art. 17:5. En cas de perte de la personnalité juridique européenne en application de l’article 16 du règlement (UE, Euratom) n° 1141/2014, le PPEU est transformé de plein droit en ASBL.</w:t>
      </w:r>
    </w:p>
    <w:p>
      <w:pPr>
        <w:pStyle w:val="BodyText"/>
        <w:spacing w:line="218" w:lineRule="auto" w:before="117"/>
        <w:ind w:right="65"/>
      </w:pPr>
      <w:r>
        <w:rPr>
          <w:color w:val="231F20"/>
        </w:rPr>
        <w:t>Les dispositions de l’article 16,  §  7,  du  règlement  (UE,  Euratom) n° 1141/2014 font, le cas échéant, l’objet d’une concertation avec</w:t>
      </w:r>
      <w:r>
        <w:rPr>
          <w:color w:val="231F20"/>
          <w:spacing w:val="15"/>
        </w:rPr>
        <w:t> </w:t>
      </w:r>
      <w:r>
        <w:rPr>
          <w:color w:val="231F20"/>
        </w:rPr>
        <w:t>le ministère</w:t>
      </w:r>
      <w:r>
        <w:rPr>
          <w:color w:val="231F20"/>
          <w:spacing w:val="14"/>
        </w:rPr>
        <w:t> </w:t>
      </w:r>
      <w:r>
        <w:rPr>
          <w:color w:val="231F20"/>
        </w:rPr>
        <w:t>public.</w:t>
      </w:r>
    </w:p>
    <w:p>
      <w:pPr>
        <w:pStyle w:val="BodyText"/>
        <w:spacing w:line="218" w:lineRule="auto" w:before="103"/>
        <w:ind w:right="65"/>
      </w:pPr>
      <w:r>
        <w:rPr>
          <w:color w:val="231F20"/>
        </w:rPr>
        <w:t>Art. 17:6. § 1</w:t>
      </w:r>
      <w:r>
        <w:rPr>
          <w:color w:val="231F20"/>
          <w:position w:val="7"/>
          <w:sz w:val="11"/>
        </w:rPr>
        <w:t>er</w:t>
      </w:r>
      <w:r>
        <w:rPr>
          <w:color w:val="231F20"/>
        </w:rPr>
        <w:t>. Au plus tard dans les deux mois de la publication relative au transfert de siège à l’étranger, les créanciers du PPEU qui procède au transfert de son siège et dont la créance est certaine avant cette publication mais n’est pas encore exigible ou dont la créance a fait l’objet d’une action introduite en justice ou par voie d’arbitrage avant cette publication, peuvent exiger une sûreté, nonobstant toute conven- tion contraire.</w:t>
      </w:r>
    </w:p>
    <w:p>
      <w:pPr>
        <w:pStyle w:val="BodyText"/>
        <w:spacing w:line="218" w:lineRule="auto" w:before="117"/>
        <w:ind w:right="65"/>
      </w:pPr>
      <w:r>
        <w:rPr>
          <w:color w:val="231F20"/>
        </w:rPr>
        <w:t>Le PPEU peut écarter cette exigence en payant la créance à sa valeur, après déduction de l’escompte.</w:t>
      </w:r>
    </w:p>
    <w:p>
      <w:pPr>
        <w:pStyle w:val="BodyText"/>
        <w:spacing w:line="218" w:lineRule="auto" w:before="118"/>
        <w:ind w:right="65"/>
      </w:pPr>
      <w:r>
        <w:rPr>
          <w:color w:val="231F20"/>
        </w:rPr>
        <w:t>À défaut d’accord ou si le créancier n’a pas obtenu satisfaction, la contestation est soumise par la partie la plus diligente au président du tribunal de l’entreprise du ressort dans lequel le PPEU débiteur a son siège. La procédure est introduite et instruite en référé; il en est de même de l’exécution de la décision rendue. </w:t>
      </w:r>
      <w:r>
        <w:rPr>
          <w:color w:val="231F20"/>
          <w:spacing w:val="-4"/>
        </w:rPr>
        <w:t>Tous </w:t>
      </w:r>
      <w:r>
        <w:rPr>
          <w:color w:val="231F20"/>
        </w:rPr>
        <w:t>droits saufs au fond,  le président détermine la </w:t>
      </w:r>
      <w:r>
        <w:rPr>
          <w:color w:val="231F20"/>
          <w:spacing w:val="2"/>
        </w:rPr>
        <w:t>sûreté </w:t>
      </w:r>
      <w:r>
        <w:rPr>
          <w:color w:val="231F20"/>
        </w:rPr>
        <w:t>à fournir par le PPEU et fixe le délai dans lequel elle doit être constituée, à moins qu’il ne décide qu’aucune sûreté ne sera fournie, eu égard soit aux garanties et privilèges dont jouit</w:t>
      </w:r>
      <w:r>
        <w:rPr>
          <w:color w:val="231F20"/>
          <w:spacing w:val="13"/>
        </w:rPr>
        <w:t> </w:t>
      </w:r>
      <w:r>
        <w:rPr>
          <w:color w:val="231F20"/>
        </w:rPr>
        <w:t>le</w:t>
      </w:r>
      <w:r>
        <w:rPr>
          <w:color w:val="231F20"/>
          <w:spacing w:val="14"/>
        </w:rPr>
        <w:t> </w:t>
      </w:r>
      <w:r>
        <w:rPr>
          <w:color w:val="231F20"/>
        </w:rPr>
        <w:t>créancier,</w:t>
      </w:r>
      <w:r>
        <w:rPr>
          <w:color w:val="231F20"/>
          <w:spacing w:val="14"/>
        </w:rPr>
        <w:t> </w:t>
      </w:r>
      <w:r>
        <w:rPr>
          <w:color w:val="231F20"/>
        </w:rPr>
        <w:t>soit</w:t>
      </w:r>
      <w:r>
        <w:rPr>
          <w:color w:val="231F20"/>
          <w:spacing w:val="14"/>
        </w:rPr>
        <w:t> </w:t>
      </w:r>
      <w:r>
        <w:rPr>
          <w:color w:val="231F20"/>
        </w:rPr>
        <w:t>à</w:t>
      </w:r>
      <w:r>
        <w:rPr>
          <w:color w:val="231F20"/>
          <w:spacing w:val="14"/>
        </w:rPr>
        <w:t> </w:t>
      </w:r>
      <w:r>
        <w:rPr>
          <w:color w:val="231F20"/>
        </w:rPr>
        <w:t>la</w:t>
      </w:r>
      <w:r>
        <w:rPr>
          <w:color w:val="231F20"/>
          <w:spacing w:val="14"/>
        </w:rPr>
        <w:t> </w:t>
      </w:r>
      <w:r>
        <w:rPr>
          <w:color w:val="231F20"/>
        </w:rPr>
        <w:t>solvabilité</w:t>
      </w:r>
      <w:r>
        <w:rPr>
          <w:color w:val="231F20"/>
          <w:spacing w:val="13"/>
        </w:rPr>
        <w:t> </w:t>
      </w:r>
      <w:r>
        <w:rPr>
          <w:color w:val="231F20"/>
        </w:rPr>
        <w:t>du</w:t>
      </w:r>
      <w:r>
        <w:rPr>
          <w:color w:val="231F20"/>
          <w:spacing w:val="14"/>
        </w:rPr>
        <w:t> </w:t>
      </w:r>
      <w:r>
        <w:rPr>
          <w:color w:val="231F20"/>
        </w:rPr>
        <w:t>PPEU</w:t>
      </w:r>
      <w:r>
        <w:rPr>
          <w:color w:val="231F20"/>
          <w:spacing w:val="14"/>
        </w:rPr>
        <w:t> </w:t>
      </w:r>
      <w:r>
        <w:rPr>
          <w:color w:val="231F20"/>
        </w:rPr>
        <w:t>concerné.</w:t>
      </w:r>
    </w:p>
    <w:p>
      <w:pPr>
        <w:pStyle w:val="BodyText"/>
        <w:ind w:left="0" w:right="0" w:firstLine="0"/>
        <w:jc w:val="left"/>
        <w:rPr>
          <w:sz w:val="20"/>
        </w:rPr>
      </w:pPr>
    </w:p>
    <w:p>
      <w:pPr>
        <w:pStyle w:val="BodyText"/>
        <w:ind w:left="0" w:right="0" w:firstLine="0"/>
        <w:jc w:val="left"/>
        <w:rPr>
          <w:sz w:val="20"/>
        </w:rPr>
      </w:pPr>
    </w:p>
    <w:p>
      <w:pPr>
        <w:pStyle w:val="BodyText"/>
        <w:spacing w:before="9"/>
        <w:ind w:left="0" w:right="0" w:firstLine="0"/>
        <w:jc w:val="left"/>
        <w:rPr>
          <w:sz w:val="16"/>
        </w:rPr>
      </w:pPr>
    </w:p>
    <w:p>
      <w:pPr>
        <w:pStyle w:val="BodyText"/>
        <w:spacing w:line="218" w:lineRule="auto"/>
        <w:ind w:right="65"/>
      </w:pPr>
      <w:r>
        <w:rPr>
          <w:color w:val="231F20"/>
        </w:rPr>
        <w:t>Si la sûreté n’est pas fournie dans le délai fixé, la créance devient immédiatement exigible.</w:t>
      </w:r>
    </w:p>
    <w:p>
      <w:pPr>
        <w:pStyle w:val="BodyText"/>
        <w:spacing w:before="105"/>
        <w:ind w:left="283" w:right="0" w:firstLine="0"/>
        <w:jc w:val="left"/>
      </w:pPr>
      <w:r>
        <w:rPr/>
        <w:br w:type="column"/>
      </w:r>
      <w:r>
        <w:rPr>
          <w:color w:val="231F20"/>
        </w:rPr>
        <w:t>TITEL 9. Strafbepalingen.</w:t>
      </w:r>
    </w:p>
    <w:p>
      <w:pPr>
        <w:pStyle w:val="BodyText"/>
        <w:spacing w:line="218" w:lineRule="auto" w:before="104"/>
      </w:pPr>
      <w:r>
        <w:rPr>
          <w:color w:val="231F20"/>
        </w:rPr>
        <w:t>Art. 16:32. Met geldboete van vijftig euro tot tienduizend euro en bovendien met gevangenisstraf van één maand tot één jaar kunnen worden gestraft:</w:t>
      </w:r>
    </w:p>
    <w:p>
      <w:pPr>
        <w:pStyle w:val="BodyText"/>
        <w:spacing w:line="218" w:lineRule="auto" w:before="107"/>
      </w:pPr>
      <w:r>
        <w:rPr>
          <w:color w:val="231F20"/>
        </w:rPr>
        <w:t>1° de bestuurders als bedoeld in artikel 2:51 die het bijzonder verslag samen met het verslag van de commissaris of van de bedrijfsrevisor, niet voorleggen zoals voorgeschreven door de artikelen 7:7 en 7:197;</w:t>
      </w:r>
    </w:p>
    <w:p>
      <w:pPr>
        <w:pStyle w:val="BodyText"/>
        <w:spacing w:line="218" w:lineRule="auto" w:before="106"/>
      </w:pPr>
      <w:r>
        <w:rPr>
          <w:color w:val="231F20"/>
        </w:rPr>
        <w:t>2° de bestuurders als bedoeld in artikel 2:51 die het voorschrift van artikel 7:212 hebben overtreden;</w:t>
      </w:r>
    </w:p>
    <w:p>
      <w:pPr>
        <w:pStyle w:val="BodyText"/>
        <w:spacing w:line="218" w:lineRule="auto" w:before="107"/>
        <w:ind w:right="125"/>
      </w:pPr>
      <w:r>
        <w:rPr>
          <w:color w:val="231F20"/>
        </w:rPr>
        <w:t>3° zij die als bestuurder zoals bedoeld in artikel 2:51 of commissaris door enig middel op kosten van de vennootschap geldstortingen op de aandelen doen of geldstortingen als gedaan erkennen die niet werkelijk gedaan zijn op de voorgeschreven wijze en tijdstippen;</w:t>
      </w:r>
    </w:p>
    <w:p>
      <w:pPr>
        <w:pStyle w:val="BodyText"/>
        <w:spacing w:before="10"/>
        <w:ind w:left="0" w:right="0" w:firstLine="0"/>
        <w:jc w:val="left"/>
        <w:rPr>
          <w:sz w:val="24"/>
        </w:rPr>
      </w:pPr>
    </w:p>
    <w:p>
      <w:pPr>
        <w:pStyle w:val="BodyText"/>
        <w:spacing w:line="218" w:lineRule="auto"/>
      </w:pPr>
      <w:r>
        <w:rPr>
          <w:color w:val="231F20"/>
        </w:rPr>
        <w:t>4° zij die de voorschriften van artikel 4, lid 12, van verordening (EG) nr. 1435/2003 hebben overtreden.</w:t>
      </w:r>
    </w:p>
    <w:p>
      <w:pPr>
        <w:pStyle w:val="BodyText"/>
        <w:spacing w:line="218" w:lineRule="auto" w:before="107"/>
      </w:pPr>
      <w:r>
        <w:rPr>
          <w:color w:val="231F20"/>
        </w:rPr>
        <w:t>BOEK 17. De Europese politieke partij en de Europese politieke stichting.</w:t>
      </w:r>
    </w:p>
    <w:p>
      <w:pPr>
        <w:pStyle w:val="BodyText"/>
        <w:spacing w:before="93"/>
        <w:ind w:left="283" w:right="0" w:firstLine="0"/>
        <w:jc w:val="left"/>
      </w:pPr>
      <w:r>
        <w:rPr>
          <w:color w:val="231F20"/>
        </w:rPr>
        <w:t>TITEL 1. De Europese politieke partij.</w:t>
      </w:r>
    </w:p>
    <w:p>
      <w:pPr>
        <w:pStyle w:val="BodyText"/>
        <w:spacing w:line="218" w:lineRule="auto" w:before="103"/>
        <w:ind w:right="114"/>
      </w:pPr>
      <w:r>
        <w:rPr>
          <w:color w:val="231F20"/>
        </w:rPr>
        <w:t>Art. 17:1. </w:t>
      </w:r>
      <w:r>
        <w:rPr>
          <w:color w:val="231F20"/>
          <w:spacing w:val="-5"/>
        </w:rPr>
        <w:t>Voor </w:t>
      </w:r>
      <w:r>
        <w:rPr>
          <w:color w:val="231F20"/>
        </w:rPr>
        <w:t>de toepassing van dit boek wordt verstaan onder </w:t>
      </w:r>
      <w:r>
        <w:rPr>
          <w:color w:val="231F20"/>
          <w:spacing w:val="10"/>
        </w:rPr>
        <w:t>“verordening  </w:t>
      </w:r>
      <w:r>
        <w:rPr>
          <w:color w:val="231F20"/>
          <w:spacing w:val="9"/>
        </w:rPr>
        <w:t>(EU,  </w:t>
      </w:r>
      <w:r>
        <w:rPr>
          <w:color w:val="231F20"/>
          <w:spacing w:val="10"/>
        </w:rPr>
        <w:t>Euratom)   </w:t>
      </w:r>
      <w:r>
        <w:rPr>
          <w:color w:val="231F20"/>
          <w:spacing w:val="3"/>
        </w:rPr>
        <w:t>nr.   </w:t>
      </w:r>
      <w:r>
        <w:rPr>
          <w:color w:val="231F20"/>
          <w:spacing w:val="9"/>
        </w:rPr>
        <w:t>1141/2014”:   </w:t>
      </w:r>
      <w:r>
        <w:rPr>
          <w:color w:val="231F20"/>
          <w:spacing w:val="11"/>
        </w:rPr>
        <w:t>verordening </w:t>
      </w:r>
      <w:r>
        <w:rPr>
          <w:color w:val="231F20"/>
          <w:spacing w:val="-5"/>
        </w:rPr>
        <w:t>nr.  </w:t>
      </w:r>
      <w:r>
        <w:rPr>
          <w:color w:val="231F20"/>
        </w:rPr>
        <w:t>1141/2014 van het Europees Parlement en de Raad van 22 okto-   ber 2014 betreffende het statuut en de financiering van de Europese politieke</w:t>
      </w:r>
      <w:r>
        <w:rPr>
          <w:color w:val="231F20"/>
          <w:spacing w:val="14"/>
        </w:rPr>
        <w:t> </w:t>
      </w:r>
      <w:r>
        <w:rPr>
          <w:color w:val="231F20"/>
        </w:rPr>
        <w:t>partijen</w:t>
      </w:r>
      <w:r>
        <w:rPr>
          <w:color w:val="231F20"/>
          <w:spacing w:val="15"/>
        </w:rPr>
        <w:t> </w:t>
      </w:r>
      <w:r>
        <w:rPr>
          <w:color w:val="231F20"/>
        </w:rPr>
        <w:t>en</w:t>
      </w:r>
      <w:r>
        <w:rPr>
          <w:color w:val="231F20"/>
          <w:spacing w:val="15"/>
        </w:rPr>
        <w:t> </w:t>
      </w:r>
      <w:r>
        <w:rPr>
          <w:color w:val="231F20"/>
        </w:rPr>
        <w:t>de</w:t>
      </w:r>
      <w:r>
        <w:rPr>
          <w:color w:val="231F20"/>
          <w:spacing w:val="15"/>
        </w:rPr>
        <w:t> </w:t>
      </w:r>
      <w:r>
        <w:rPr>
          <w:color w:val="231F20"/>
        </w:rPr>
        <w:t>Europese</w:t>
      </w:r>
      <w:r>
        <w:rPr>
          <w:color w:val="231F20"/>
          <w:spacing w:val="15"/>
        </w:rPr>
        <w:t> </w:t>
      </w:r>
      <w:r>
        <w:rPr>
          <w:color w:val="231F20"/>
        </w:rPr>
        <w:t>politieke</w:t>
      </w:r>
      <w:r>
        <w:rPr>
          <w:color w:val="231F20"/>
          <w:spacing w:val="15"/>
        </w:rPr>
        <w:t> </w:t>
      </w:r>
      <w:r>
        <w:rPr>
          <w:color w:val="231F20"/>
        </w:rPr>
        <w:t>stichtingen.</w:t>
      </w:r>
    </w:p>
    <w:p>
      <w:pPr>
        <w:pStyle w:val="BodyText"/>
        <w:spacing w:line="218" w:lineRule="auto" w:before="107"/>
      </w:pPr>
      <w:r>
        <w:rPr>
          <w:color w:val="231F20"/>
        </w:rPr>
        <w:t>Art. 17:2. Elke Europese politieke partij met zetel in België, afgekort </w:t>
      </w:r>
      <w:r>
        <w:rPr>
          <w:color w:val="231F20"/>
          <w:spacing w:val="-5"/>
        </w:rPr>
        <w:t>EUPP, </w:t>
      </w:r>
      <w:r>
        <w:rPr>
          <w:color w:val="231F20"/>
        </w:rPr>
        <w:t>is aanvullend aan de bepalingen van verordening (EU, Euratom) </w:t>
      </w:r>
      <w:r>
        <w:rPr>
          <w:color w:val="231F20"/>
          <w:spacing w:val="-5"/>
        </w:rPr>
        <w:t>nr. </w:t>
      </w:r>
      <w:r>
        <w:rPr>
          <w:color w:val="231F20"/>
        </w:rPr>
        <w:t>1141/2014, onderworpen aan de bepalingen van deze  titel,  van  boek 2, titels 1, 2, 3, 4, 5, 6, 8, hoofdstukken 2 en 3, en 9 en, naargelang van  het  gekozen  statuut,  hetzij  aan  de  bepalingen  van  boek </w:t>
      </w:r>
      <w:r>
        <w:rPr>
          <w:color w:val="231F20"/>
          <w:spacing w:val="15"/>
        </w:rPr>
        <w:t> </w:t>
      </w:r>
      <w:r>
        <w:rPr>
          <w:color w:val="231F20"/>
        </w:rPr>
        <w:t>9, titels</w:t>
      </w:r>
      <w:r>
        <w:rPr>
          <w:color w:val="231F20"/>
          <w:spacing w:val="15"/>
        </w:rPr>
        <w:t> </w:t>
      </w:r>
      <w:r>
        <w:rPr>
          <w:color w:val="231F20"/>
        </w:rPr>
        <w:t>1</w:t>
      </w:r>
      <w:r>
        <w:rPr>
          <w:color w:val="231F20"/>
          <w:spacing w:val="15"/>
        </w:rPr>
        <w:t> </w:t>
      </w:r>
      <w:r>
        <w:rPr>
          <w:color w:val="231F20"/>
        </w:rPr>
        <w:t>tot</w:t>
      </w:r>
      <w:r>
        <w:rPr>
          <w:color w:val="231F20"/>
          <w:spacing w:val="15"/>
        </w:rPr>
        <w:t> </w:t>
      </w:r>
      <w:r>
        <w:rPr>
          <w:color w:val="231F20"/>
        </w:rPr>
        <w:t>4,</w:t>
      </w:r>
      <w:r>
        <w:rPr>
          <w:color w:val="231F20"/>
          <w:spacing w:val="15"/>
        </w:rPr>
        <w:t> </w:t>
      </w:r>
      <w:r>
        <w:rPr>
          <w:color w:val="231F20"/>
        </w:rPr>
        <w:t>hetzij</w:t>
      </w:r>
      <w:r>
        <w:rPr>
          <w:color w:val="231F20"/>
          <w:spacing w:val="15"/>
        </w:rPr>
        <w:t> </w:t>
      </w:r>
      <w:r>
        <w:rPr>
          <w:color w:val="231F20"/>
        </w:rPr>
        <w:t>aan</w:t>
      </w:r>
      <w:r>
        <w:rPr>
          <w:color w:val="231F20"/>
          <w:spacing w:val="15"/>
        </w:rPr>
        <w:t> </w:t>
      </w:r>
      <w:r>
        <w:rPr>
          <w:color w:val="231F20"/>
        </w:rPr>
        <w:t>de</w:t>
      </w:r>
      <w:r>
        <w:rPr>
          <w:color w:val="231F20"/>
          <w:spacing w:val="15"/>
        </w:rPr>
        <w:t> </w:t>
      </w:r>
      <w:r>
        <w:rPr>
          <w:color w:val="231F20"/>
        </w:rPr>
        <w:t>bepalingen</w:t>
      </w:r>
      <w:r>
        <w:rPr>
          <w:color w:val="231F20"/>
          <w:spacing w:val="15"/>
        </w:rPr>
        <w:t> </w:t>
      </w:r>
      <w:r>
        <w:rPr>
          <w:color w:val="231F20"/>
        </w:rPr>
        <w:t>van</w:t>
      </w:r>
      <w:r>
        <w:rPr>
          <w:color w:val="231F20"/>
          <w:spacing w:val="15"/>
        </w:rPr>
        <w:t> </w:t>
      </w:r>
      <w:r>
        <w:rPr>
          <w:color w:val="231F20"/>
        </w:rPr>
        <w:t>boek</w:t>
      </w:r>
      <w:r>
        <w:rPr>
          <w:color w:val="231F20"/>
          <w:spacing w:val="15"/>
        </w:rPr>
        <w:t> </w:t>
      </w:r>
      <w:r>
        <w:rPr>
          <w:color w:val="231F20"/>
        </w:rPr>
        <w:t>10.</w:t>
      </w:r>
    </w:p>
    <w:p>
      <w:pPr>
        <w:pStyle w:val="BodyText"/>
        <w:spacing w:line="218" w:lineRule="auto" w:before="107"/>
      </w:pPr>
      <w:r>
        <w:rPr>
          <w:color w:val="231F20"/>
        </w:rPr>
        <w:t>Een kopie van de bekendmaking bedoeld in artikel 15, lid 1, van verordening (EU, Euratom) nr. 1141/2014 wordt door de notaris neergelegd, naargelang van het gekozen statuut, in het dossier bepaald in artikel 2:9 of 2:10. Tot het ogenblik bepaald in artikel 17:5 zijn de artikelen 2:9 en 2:10 niet van toepassing.</w:t>
      </w:r>
    </w:p>
    <w:p>
      <w:pPr>
        <w:pStyle w:val="BodyText"/>
        <w:spacing w:line="218" w:lineRule="auto" w:before="107"/>
      </w:pPr>
      <w:r>
        <w:rPr>
          <w:color w:val="231F20"/>
        </w:rPr>
        <w:t>Art. 17:3. De statuten van de EUPP worden opgesteld bij authentieke akte. Ingeval van een bestaande VZW of IVZW geschiedt de omzetting tot EUPP eveneens bij authentieke akte. Overeenkomstig artikel 15, lid 2, van verordening (EU, Euratom) nr. 1141/2014 levert de notaris een attest af dat bevestigt dat de zetel van de EUPP in België is gevestigd en dat zijn statuten in overeenstemming zijn met het in artikel 17:2 bepaalde toepasselijk recht.</w:t>
      </w:r>
    </w:p>
    <w:p>
      <w:pPr>
        <w:pStyle w:val="BodyText"/>
        <w:spacing w:line="218" w:lineRule="auto" w:before="118"/>
      </w:pPr>
      <w:r>
        <w:rPr>
          <w:color w:val="231F20"/>
        </w:rPr>
        <w:t>Art. 17:4. De bevoegde instantie die overeenkomstig artikel 16, leden 2, 3 en 4, van verordening (EU, Euratom) </w:t>
      </w:r>
      <w:r>
        <w:rPr>
          <w:color w:val="231F20"/>
          <w:spacing w:val="-5"/>
        </w:rPr>
        <w:t>nr. </w:t>
      </w:r>
      <w:r>
        <w:rPr>
          <w:color w:val="231F20"/>
        </w:rPr>
        <w:t>1141/2014, een verzoek tot schrapping kan overmaken, is het openbaar ministerie.</w:t>
      </w:r>
    </w:p>
    <w:p>
      <w:pPr>
        <w:pStyle w:val="BodyText"/>
        <w:spacing w:line="218" w:lineRule="auto" w:before="118"/>
        <w:ind w:right="123"/>
      </w:pPr>
      <w:r>
        <w:rPr>
          <w:color w:val="231F20"/>
        </w:rPr>
        <w:t>Art. 17:5. In geval van verlies van de Europese rechtspersoonlijkheid in  </w:t>
      </w:r>
      <w:r>
        <w:rPr>
          <w:color w:val="231F20"/>
          <w:spacing w:val="2"/>
        </w:rPr>
        <w:t>toepassing  </w:t>
      </w:r>
      <w:r>
        <w:rPr>
          <w:color w:val="231F20"/>
        </w:rPr>
        <w:t>van  </w:t>
      </w:r>
      <w:r>
        <w:rPr>
          <w:color w:val="231F20"/>
          <w:spacing w:val="2"/>
        </w:rPr>
        <w:t>artikel  </w:t>
      </w:r>
      <w:r>
        <w:rPr>
          <w:color w:val="231F20"/>
        </w:rPr>
        <w:t>16   van   </w:t>
      </w:r>
      <w:r>
        <w:rPr>
          <w:color w:val="231F20"/>
          <w:spacing w:val="2"/>
        </w:rPr>
        <w:t>verordening   (EU,   </w:t>
      </w:r>
      <w:r>
        <w:rPr>
          <w:color w:val="231F20"/>
          <w:spacing w:val="3"/>
        </w:rPr>
        <w:t>Euratom)   </w:t>
      </w:r>
      <w:r>
        <w:rPr>
          <w:color w:val="231F20"/>
          <w:spacing w:val="-5"/>
        </w:rPr>
        <w:t>nr.</w:t>
      </w:r>
      <w:r>
        <w:rPr>
          <w:color w:val="231F20"/>
          <w:spacing w:val="16"/>
        </w:rPr>
        <w:t> </w:t>
      </w:r>
      <w:r>
        <w:rPr>
          <w:color w:val="231F20"/>
        </w:rPr>
        <w:t>1141/2014</w:t>
      </w:r>
      <w:r>
        <w:rPr>
          <w:color w:val="231F20"/>
          <w:spacing w:val="17"/>
        </w:rPr>
        <w:t> </w:t>
      </w:r>
      <w:r>
        <w:rPr>
          <w:color w:val="231F20"/>
        </w:rPr>
        <w:t>wordt</w:t>
      </w:r>
      <w:r>
        <w:rPr>
          <w:color w:val="231F20"/>
          <w:spacing w:val="17"/>
        </w:rPr>
        <w:t> </w:t>
      </w:r>
      <w:r>
        <w:rPr>
          <w:color w:val="231F20"/>
        </w:rPr>
        <w:t>de</w:t>
      </w:r>
      <w:r>
        <w:rPr>
          <w:color w:val="231F20"/>
          <w:spacing w:val="17"/>
        </w:rPr>
        <w:t> </w:t>
      </w:r>
      <w:r>
        <w:rPr>
          <w:color w:val="231F20"/>
        </w:rPr>
        <w:t>EUPP</w:t>
      </w:r>
      <w:r>
        <w:rPr>
          <w:color w:val="231F20"/>
          <w:spacing w:val="13"/>
        </w:rPr>
        <w:t> </w:t>
      </w:r>
      <w:r>
        <w:rPr>
          <w:color w:val="231F20"/>
        </w:rPr>
        <w:t>van</w:t>
      </w:r>
      <w:r>
        <w:rPr>
          <w:color w:val="231F20"/>
          <w:spacing w:val="17"/>
        </w:rPr>
        <w:t> </w:t>
      </w:r>
      <w:r>
        <w:rPr>
          <w:color w:val="231F20"/>
        </w:rPr>
        <w:t>rechtswege</w:t>
      </w:r>
      <w:r>
        <w:rPr>
          <w:color w:val="231F20"/>
          <w:spacing w:val="17"/>
        </w:rPr>
        <w:t> </w:t>
      </w:r>
      <w:r>
        <w:rPr>
          <w:color w:val="231F20"/>
        </w:rPr>
        <w:t>omgezet</w:t>
      </w:r>
      <w:r>
        <w:rPr>
          <w:color w:val="231F20"/>
          <w:spacing w:val="17"/>
        </w:rPr>
        <w:t> </w:t>
      </w:r>
      <w:r>
        <w:rPr>
          <w:color w:val="231F20"/>
        </w:rPr>
        <w:t>naar</w:t>
      </w:r>
      <w:r>
        <w:rPr>
          <w:color w:val="231F20"/>
          <w:spacing w:val="16"/>
        </w:rPr>
        <w:t> </w:t>
      </w:r>
      <w:r>
        <w:rPr>
          <w:color w:val="231F20"/>
        </w:rPr>
        <w:t>een</w:t>
      </w:r>
      <w:r>
        <w:rPr>
          <w:color w:val="231F20"/>
          <w:spacing w:val="17"/>
        </w:rPr>
        <w:t> </w:t>
      </w:r>
      <w:r>
        <w:rPr>
          <w:color w:val="231F20"/>
          <w:spacing w:val="-4"/>
        </w:rPr>
        <w:t>VZW.</w:t>
      </w:r>
    </w:p>
    <w:p>
      <w:pPr>
        <w:pStyle w:val="BodyText"/>
        <w:spacing w:line="218" w:lineRule="auto" w:before="117"/>
      </w:pPr>
      <w:r>
        <w:rPr>
          <w:color w:val="231F20"/>
          <w:spacing w:val="4"/>
        </w:rPr>
        <w:t>Het  </w:t>
      </w:r>
      <w:r>
        <w:rPr>
          <w:color w:val="231F20"/>
          <w:spacing w:val="3"/>
        </w:rPr>
        <w:t>in</w:t>
      </w:r>
      <w:r>
        <w:rPr>
          <w:color w:val="231F20"/>
          <w:spacing w:val="47"/>
        </w:rPr>
        <w:t> </w:t>
      </w:r>
      <w:r>
        <w:rPr>
          <w:color w:val="231F20"/>
          <w:spacing w:val="5"/>
        </w:rPr>
        <w:t>artikel  </w:t>
      </w:r>
      <w:r>
        <w:rPr>
          <w:color w:val="231F20"/>
          <w:spacing w:val="4"/>
        </w:rPr>
        <w:t>16,  lid   </w:t>
      </w:r>
      <w:r>
        <w:rPr>
          <w:color w:val="231F20"/>
          <w:spacing w:val="3"/>
        </w:rPr>
        <w:t>7,   </w:t>
      </w:r>
      <w:r>
        <w:rPr>
          <w:color w:val="231F20"/>
          <w:spacing w:val="4"/>
        </w:rPr>
        <w:t>van   verordening   (EU,   </w:t>
      </w:r>
      <w:r>
        <w:rPr>
          <w:color w:val="231F20"/>
          <w:spacing w:val="6"/>
        </w:rPr>
        <w:t>Euratom)  </w:t>
      </w:r>
      <w:r>
        <w:rPr>
          <w:color w:val="231F20"/>
          <w:spacing w:val="-5"/>
        </w:rPr>
        <w:t>nr. </w:t>
      </w:r>
      <w:r>
        <w:rPr>
          <w:color w:val="231F20"/>
        </w:rPr>
        <w:t>1141/2014 bepaalde wordt in voorkomend geval overlegd met het openbaar</w:t>
      </w:r>
      <w:r>
        <w:rPr>
          <w:color w:val="231F20"/>
          <w:spacing w:val="14"/>
        </w:rPr>
        <w:t> </w:t>
      </w:r>
      <w:r>
        <w:rPr>
          <w:color w:val="231F20"/>
        </w:rPr>
        <w:t>ministerie.</w:t>
      </w:r>
    </w:p>
    <w:p>
      <w:pPr>
        <w:pStyle w:val="BodyText"/>
        <w:spacing w:line="218" w:lineRule="auto" w:before="118"/>
      </w:pPr>
      <w:r>
        <w:rPr>
          <w:color w:val="231F20"/>
        </w:rPr>
        <w:t>Art. 17:6. § 1. Uiterlijk binnen twee maanden na de bekendmaking van de buitenlandse zetelverplaatsing, kunnen de schuldeisers van de EUPP die tot zetelverplaatsing overgaat en van wie de vordering vaststaand is vóór die bekendmaking maar nog niet opeisbaar is of die voor deze schuldvordering in rechte of via arbitrage een vordering  heeft ingesteld vóór die bekendmaking, niettegenstaande enig anders- luidend beding, zekerheid</w:t>
      </w:r>
      <w:r>
        <w:rPr>
          <w:color w:val="231F20"/>
          <w:spacing w:val="5"/>
        </w:rPr>
        <w:t> </w:t>
      </w:r>
      <w:r>
        <w:rPr>
          <w:color w:val="231F20"/>
        </w:rPr>
        <w:t>eisen.</w:t>
      </w:r>
    </w:p>
    <w:p>
      <w:pPr>
        <w:pStyle w:val="BodyText"/>
        <w:spacing w:line="218" w:lineRule="auto" w:before="118"/>
      </w:pPr>
      <w:r>
        <w:rPr>
          <w:color w:val="231F20"/>
        </w:rPr>
        <w:t>De EUPP kan deze eis afweren door de schuldvordering te voldoen tegen haar waarde, na aftrek van het disconto.</w:t>
      </w:r>
    </w:p>
    <w:p>
      <w:pPr>
        <w:pStyle w:val="BodyText"/>
        <w:spacing w:line="218" w:lineRule="auto" w:before="117"/>
        <w:ind w:right="123"/>
      </w:pPr>
      <w:r>
        <w:rPr>
          <w:color w:val="231F20"/>
        </w:rPr>
        <w:t>Indien geen overeenstemming wordt bereikt of indien de schuldeiser geen voldoening heeft gekregen, wordt het geschil door de meest  gerede partij voorgelegd aan de voorzitter van de ondernemingsrecht- bank van het rechtsgebied waarbinnen de schuldplichtige EUPP haar zetel heeft. De rechtspleging wordt ingeleid en behandeld in kort geding; hetzelfde geldt voor de tenuitvoerlegging van de gewezen beslissing. Zonder afbreuk te doen aan de grond van de zaak bepaalt de voorzitter de zekerheid die de EUPP moet stellen en de termijn waarbinnen zulks moet geschieden, tenzij hij beslist dat geen zekerheid moet worden gesteld gelet op de waarborgen en de voorrechten waarover de schuldeiser beschikt of gelet op de solvabiliteit van de betrokken</w:t>
      </w:r>
      <w:r>
        <w:rPr>
          <w:color w:val="231F20"/>
          <w:spacing w:val="14"/>
        </w:rPr>
        <w:t> </w:t>
      </w:r>
      <w:r>
        <w:rPr>
          <w:color w:val="231F20"/>
          <w:spacing w:val="-5"/>
        </w:rPr>
        <w:t>EUPP.</w:t>
      </w:r>
    </w:p>
    <w:p>
      <w:pPr>
        <w:pStyle w:val="BodyText"/>
        <w:spacing w:line="218" w:lineRule="auto" w:before="118"/>
      </w:pPr>
      <w:r>
        <w:rPr>
          <w:color w:val="231F20"/>
        </w:rPr>
        <w:t>Indien de zekerheid niet binnen de bepaalde termijn is gesteld, wordt de schuldvordering onmiddellijk opeisbaar.</w:t>
      </w:r>
    </w:p>
    <w:p>
      <w:pPr>
        <w:spacing w:after="0" w:line="218" w:lineRule="auto"/>
        <w:sectPr>
          <w:pgSz w:w="11940" w:h="16880"/>
          <w:pgMar w:header="666" w:footer="0" w:top="1140" w:bottom="280" w:left="340" w:right="360"/>
          <w:cols w:num="2" w:equalWidth="0">
            <w:col w:w="5554" w:space="74"/>
            <w:col w:w="5612"/>
          </w:cols>
        </w:sectPr>
      </w:pPr>
    </w:p>
    <w:p>
      <w:pPr>
        <w:pStyle w:val="BodyText"/>
        <w:spacing w:line="216" w:lineRule="auto" w:before="121"/>
        <w:ind w:right="65"/>
      </w:pPr>
      <w:r>
        <w:rPr/>
        <w:pict>
          <v:line style="position:absolute;mso-position-horizontal-relative:page;mso-position-vertical-relative:page;z-index:7744" from="298.170502pt,64.473pt" to="298.170502pt,812.819pt" stroked="true" strokeweight=".533pt" strokecolor="#231f20">
            <v:stroke dashstyle="solid"/>
            <w10:wrap type="none"/>
          </v:line>
        </w:pict>
      </w:r>
      <w:bookmarkStart w:name="_bookmark280" w:id="286"/>
      <w:bookmarkEnd w:id="286"/>
      <w:r>
        <w:rPr/>
      </w:r>
      <w:r>
        <w:rPr>
          <w:color w:val="231F20"/>
        </w:rPr>
        <w:t>§ 2. La radiation en Belgique de l’ancienne immatriculation au registre des personnes morales suite au transfert à l’étranger du siège statutaire est publiée aux Annexes du </w:t>
      </w:r>
      <w:r>
        <w:rPr>
          <w:rFonts w:ascii="Times New Roman" w:hAnsi="Times New Roman"/>
          <w:i/>
          <w:color w:val="231F20"/>
        </w:rPr>
        <w:t>Moniteur belge</w:t>
      </w:r>
      <w:r>
        <w:rPr>
          <w:color w:val="231F20"/>
        </w:rPr>
        <w:t>.</w:t>
      </w:r>
    </w:p>
    <w:p>
      <w:pPr>
        <w:pStyle w:val="BodyText"/>
        <w:spacing w:before="10"/>
        <w:ind w:left="0" w:right="0" w:firstLine="0"/>
        <w:jc w:val="left"/>
        <w:rPr>
          <w:sz w:val="21"/>
        </w:rPr>
      </w:pPr>
    </w:p>
    <w:p>
      <w:pPr>
        <w:pStyle w:val="BodyText"/>
        <w:ind w:left="283" w:right="0" w:firstLine="0"/>
        <w:jc w:val="left"/>
      </w:pPr>
      <w:r>
        <w:rPr>
          <w:color w:val="231F20"/>
        </w:rPr>
        <w:t>TITRE 2. La fondation politique européenne.</w:t>
      </w:r>
    </w:p>
    <w:p>
      <w:pPr>
        <w:pStyle w:val="BodyText"/>
        <w:spacing w:line="211" w:lineRule="auto" w:before="87"/>
        <w:ind w:right="65"/>
      </w:pPr>
      <w:r>
        <w:rPr>
          <w:color w:val="231F20"/>
        </w:rPr>
        <w:t>Art. 17:7. Chaque fondation politique européenne ayant son siège en Belgique, en abrégé FPEU, est soumise, complémentairement aux dispositions du règlement (UE, Euratom) n° 1141/2014, aux disposi- tions du présent titre, du livre 2, titres 1</w:t>
      </w:r>
      <w:r>
        <w:rPr>
          <w:color w:val="231F20"/>
          <w:position w:val="7"/>
          <w:sz w:val="11"/>
        </w:rPr>
        <w:t>er</w:t>
      </w:r>
      <w:r>
        <w:rPr>
          <w:color w:val="231F20"/>
        </w:rPr>
        <w:t>, 2, 3, 4, 5, 6, 8, chapitres 2 et 3, et 9, et, selon le statut choisi, soit aux dispositions du livre 9, titres 1</w:t>
      </w:r>
      <w:r>
        <w:rPr>
          <w:color w:val="231F20"/>
          <w:position w:val="7"/>
          <w:sz w:val="11"/>
        </w:rPr>
        <w:t>er </w:t>
      </w:r>
      <w:r>
        <w:rPr>
          <w:color w:val="231F20"/>
        </w:rPr>
        <w:t>à 4, soit aux dispositions du livre 10.</w:t>
      </w:r>
    </w:p>
    <w:p>
      <w:pPr>
        <w:pStyle w:val="BodyText"/>
        <w:spacing w:line="218" w:lineRule="auto" w:before="71"/>
        <w:ind w:right="65"/>
      </w:pPr>
      <w:r>
        <w:rPr>
          <w:color w:val="231F20"/>
        </w:rPr>
        <w:t>Une copie de la publication visée à l’article 15, § 1</w:t>
      </w:r>
      <w:r>
        <w:rPr>
          <w:color w:val="231F20"/>
          <w:position w:val="7"/>
          <w:sz w:val="11"/>
        </w:rPr>
        <w:t>er</w:t>
      </w:r>
      <w:r>
        <w:rPr>
          <w:color w:val="231F20"/>
        </w:rPr>
        <w:t>, du règlement (UE, Euratom) n° 1141/2014 est déposée par le notaire au dossier visé  à l’article 2:9 ou 2:10, selon le statut choisi. Jusqu’au moment prévu à l’article</w:t>
      </w:r>
      <w:r>
        <w:rPr>
          <w:color w:val="231F20"/>
          <w:spacing w:val="11"/>
        </w:rPr>
        <w:t> </w:t>
      </w:r>
      <w:r>
        <w:rPr>
          <w:color w:val="231F20"/>
        </w:rPr>
        <w:t>17:10,</w:t>
      </w:r>
      <w:r>
        <w:rPr>
          <w:color w:val="231F20"/>
          <w:spacing w:val="12"/>
        </w:rPr>
        <w:t> </w:t>
      </w:r>
      <w:r>
        <w:rPr>
          <w:color w:val="231F20"/>
        </w:rPr>
        <w:t>les</w:t>
      </w:r>
      <w:r>
        <w:rPr>
          <w:color w:val="231F20"/>
          <w:spacing w:val="12"/>
        </w:rPr>
        <w:t> </w:t>
      </w:r>
      <w:r>
        <w:rPr>
          <w:color w:val="231F20"/>
        </w:rPr>
        <w:t>articles</w:t>
      </w:r>
      <w:r>
        <w:rPr>
          <w:color w:val="231F20"/>
          <w:spacing w:val="12"/>
        </w:rPr>
        <w:t> </w:t>
      </w:r>
      <w:r>
        <w:rPr>
          <w:color w:val="231F20"/>
        </w:rPr>
        <w:t>2:9</w:t>
      </w:r>
      <w:r>
        <w:rPr>
          <w:color w:val="231F20"/>
          <w:spacing w:val="12"/>
        </w:rPr>
        <w:t> </w:t>
      </w:r>
      <w:r>
        <w:rPr>
          <w:color w:val="231F20"/>
        </w:rPr>
        <w:t>et</w:t>
      </w:r>
      <w:r>
        <w:rPr>
          <w:color w:val="231F20"/>
          <w:spacing w:val="12"/>
        </w:rPr>
        <w:t> </w:t>
      </w:r>
      <w:r>
        <w:rPr>
          <w:color w:val="231F20"/>
        </w:rPr>
        <w:t>2:10</w:t>
      </w:r>
      <w:r>
        <w:rPr>
          <w:color w:val="231F20"/>
          <w:spacing w:val="12"/>
        </w:rPr>
        <w:t> </w:t>
      </w:r>
      <w:r>
        <w:rPr>
          <w:color w:val="231F20"/>
        </w:rPr>
        <w:t>ne</w:t>
      </w:r>
      <w:r>
        <w:rPr>
          <w:color w:val="231F20"/>
          <w:spacing w:val="12"/>
        </w:rPr>
        <w:t> </w:t>
      </w:r>
      <w:r>
        <w:rPr>
          <w:color w:val="231F20"/>
        </w:rPr>
        <w:t>sont</w:t>
      </w:r>
      <w:r>
        <w:rPr>
          <w:color w:val="231F20"/>
          <w:spacing w:val="12"/>
        </w:rPr>
        <w:t> </w:t>
      </w:r>
      <w:r>
        <w:rPr>
          <w:color w:val="231F20"/>
        </w:rPr>
        <w:t>pas</w:t>
      </w:r>
      <w:r>
        <w:rPr>
          <w:color w:val="231F20"/>
          <w:spacing w:val="12"/>
        </w:rPr>
        <w:t> </w:t>
      </w:r>
      <w:r>
        <w:rPr>
          <w:color w:val="231F20"/>
        </w:rPr>
        <w:t>applicables.</w:t>
      </w:r>
    </w:p>
    <w:p>
      <w:pPr>
        <w:pStyle w:val="BodyText"/>
        <w:ind w:left="0" w:right="0" w:firstLine="0"/>
        <w:jc w:val="left"/>
        <w:rPr>
          <w:sz w:val="23"/>
        </w:rPr>
      </w:pPr>
    </w:p>
    <w:p>
      <w:pPr>
        <w:pStyle w:val="BodyText"/>
        <w:spacing w:line="218" w:lineRule="auto"/>
        <w:ind w:right="69"/>
        <w:jc w:val="left"/>
      </w:pPr>
      <w:r>
        <w:rPr>
          <w:color w:val="231F20"/>
        </w:rPr>
        <w:t>Art. 17:8. Les statuts de la FPEU sont établis par acte authentique. Dans le cas d’une ASBL ou d’une AISBL existante, la transformation en FPEU se fait également par  acte  authentique.  Conformément  à l’article 15, § 2, du règlement (UE, Euratom) n° 1141/2014, le notaire délivre une attestation certifiant que le siège de la FPEU est établi en Belgique et que ses statuts sont conformes au droit applicable </w:t>
      </w:r>
      <w:r>
        <w:rPr>
          <w:color w:val="231F20"/>
          <w:spacing w:val="6"/>
        </w:rPr>
        <w:t>visé </w:t>
      </w:r>
      <w:r>
        <w:rPr>
          <w:color w:val="231F20"/>
        </w:rPr>
        <w:t>à l’article</w:t>
      </w:r>
      <w:r>
        <w:rPr>
          <w:color w:val="231F20"/>
          <w:spacing w:val="15"/>
        </w:rPr>
        <w:t> </w:t>
      </w:r>
      <w:r>
        <w:rPr>
          <w:color w:val="231F20"/>
        </w:rPr>
        <w:t>17:7.</w:t>
      </w:r>
    </w:p>
    <w:p>
      <w:pPr>
        <w:pStyle w:val="BodyText"/>
        <w:spacing w:line="185" w:lineRule="exact" w:before="72"/>
        <w:ind w:left="283" w:right="0" w:firstLine="0"/>
        <w:jc w:val="left"/>
      </w:pPr>
      <w:r>
        <w:rPr>
          <w:color w:val="231F20"/>
        </w:rPr>
        <w:t>Art. 17:9. L’instance compétente qui, conformément à l’article 16,</w:t>
      </w:r>
    </w:p>
    <w:p>
      <w:pPr>
        <w:pStyle w:val="BodyText"/>
        <w:spacing w:line="218" w:lineRule="auto" w:before="5"/>
        <w:ind w:right="4" w:hanging="1"/>
        <w:jc w:val="left"/>
      </w:pPr>
      <w:r>
        <w:rPr>
          <w:color w:val="231F20"/>
        </w:rPr>
        <w:t>§§ 2, 3 et 4, du règlement (UE, Euratom) n° 1141/2014, peut transmettre une demande de radiation, est le ministère public.</w:t>
      </w:r>
    </w:p>
    <w:p>
      <w:pPr>
        <w:pStyle w:val="BodyText"/>
        <w:spacing w:line="218" w:lineRule="auto" w:before="86"/>
        <w:ind w:right="65"/>
      </w:pPr>
      <w:r>
        <w:rPr>
          <w:color w:val="231F20"/>
        </w:rPr>
        <w:t>Art. 17:10. En cas de perte de la personnalité juridique européenne en application de l’article 16 du règlement (UE, Euratom) n° 1141/2014, la FPEU est transformée de plein droit en ASBL.</w:t>
      </w:r>
    </w:p>
    <w:p>
      <w:pPr>
        <w:pStyle w:val="BodyText"/>
        <w:spacing w:line="218" w:lineRule="auto" w:before="85"/>
        <w:ind w:right="65"/>
      </w:pPr>
      <w:r>
        <w:rPr>
          <w:color w:val="231F20"/>
        </w:rPr>
        <w:t>Les dispositions de l’article 16,  §  7,  du  règlement  (UE,  Euratom) n° 1141/2014 font, le cas échéant, l’objet d’une concertation avec</w:t>
      </w:r>
      <w:r>
        <w:rPr>
          <w:color w:val="231F20"/>
          <w:spacing w:val="15"/>
        </w:rPr>
        <w:t> </w:t>
      </w:r>
      <w:r>
        <w:rPr>
          <w:color w:val="231F20"/>
        </w:rPr>
        <w:t>le ministère</w:t>
      </w:r>
      <w:r>
        <w:rPr>
          <w:color w:val="231F20"/>
          <w:spacing w:val="14"/>
        </w:rPr>
        <w:t> </w:t>
      </w:r>
      <w:r>
        <w:rPr>
          <w:color w:val="231F20"/>
        </w:rPr>
        <w:t>public.</w:t>
      </w:r>
    </w:p>
    <w:p>
      <w:pPr>
        <w:pStyle w:val="BodyText"/>
        <w:spacing w:line="218" w:lineRule="auto" w:before="71"/>
        <w:ind w:right="64"/>
      </w:pPr>
      <w:r>
        <w:rPr>
          <w:color w:val="231F20"/>
        </w:rPr>
        <w:t>Art. 17:11. § 1</w:t>
      </w:r>
      <w:r>
        <w:rPr>
          <w:color w:val="231F20"/>
          <w:position w:val="7"/>
          <w:sz w:val="11"/>
        </w:rPr>
        <w:t>er</w:t>
      </w:r>
      <w:r>
        <w:rPr>
          <w:color w:val="231F20"/>
        </w:rPr>
        <w:t>. Au plus tard dans les deux mois de la publication relative au transfert de siège à l’étranger, les créanciers de la FPEU qui procède au transfert de son siège et dont la créance est certaine avant cette publication mais n’est pas encore exigible ou dont la créance a fait l’objet d’une action introduite en justice ou par voie d’arbitrage avant cette publication, peuvent exiger une sûreté, nonobstant toute conven- tion contraire.</w:t>
      </w:r>
    </w:p>
    <w:p>
      <w:pPr>
        <w:pStyle w:val="BodyText"/>
        <w:spacing w:line="218" w:lineRule="auto" w:before="86"/>
        <w:ind w:right="65"/>
      </w:pPr>
      <w:r>
        <w:rPr>
          <w:color w:val="231F20"/>
        </w:rPr>
        <w:t>La FPEU peut écarter cette exigence en payant la créance à sa valeur, après déduction de l’escompte.</w:t>
      </w:r>
    </w:p>
    <w:p>
      <w:pPr>
        <w:pStyle w:val="BodyText"/>
        <w:spacing w:line="218" w:lineRule="auto" w:before="96"/>
        <w:ind w:right="65"/>
      </w:pPr>
      <w:r>
        <w:rPr>
          <w:color w:val="231F20"/>
        </w:rPr>
        <w:t>À défaut d’accord ou si le créancier n’a pas obtenu satisfaction, la contestation est soumise par la partie la plus diligente au président du tribunal de l’entreprise du ressort dans lequel le FPEU débiteur a son siège. La procédure est introduite et instruite en référé; il en est de même de l’exécution de la décision rendue. </w:t>
      </w:r>
      <w:r>
        <w:rPr>
          <w:color w:val="231F20"/>
          <w:spacing w:val="-4"/>
        </w:rPr>
        <w:t>Tous </w:t>
      </w:r>
      <w:r>
        <w:rPr>
          <w:color w:val="231F20"/>
        </w:rPr>
        <w:t>droits saufs au fond,  le président détermine la </w:t>
      </w:r>
      <w:r>
        <w:rPr>
          <w:color w:val="231F20"/>
          <w:spacing w:val="2"/>
        </w:rPr>
        <w:t>sûreté </w:t>
      </w:r>
      <w:r>
        <w:rPr>
          <w:color w:val="231F20"/>
        </w:rPr>
        <w:t>à fournir par la FPEU et fixe le délai dans lequel elle doit être constituée, à moins qu’il ne décide qu’aucune sûreté ne sera fournie, eu égard soit aux garanties et privilèges dont jouit</w:t>
      </w:r>
      <w:r>
        <w:rPr>
          <w:color w:val="231F20"/>
          <w:spacing w:val="13"/>
        </w:rPr>
        <w:t> </w:t>
      </w:r>
      <w:r>
        <w:rPr>
          <w:color w:val="231F20"/>
        </w:rPr>
        <w:t>le</w:t>
      </w:r>
      <w:r>
        <w:rPr>
          <w:color w:val="231F20"/>
          <w:spacing w:val="13"/>
        </w:rPr>
        <w:t> </w:t>
      </w:r>
      <w:r>
        <w:rPr>
          <w:color w:val="231F20"/>
        </w:rPr>
        <w:t>créancier,</w:t>
      </w:r>
      <w:r>
        <w:rPr>
          <w:color w:val="231F20"/>
          <w:spacing w:val="13"/>
        </w:rPr>
        <w:t> </w:t>
      </w:r>
      <w:r>
        <w:rPr>
          <w:color w:val="231F20"/>
        </w:rPr>
        <w:t>soit</w:t>
      </w:r>
      <w:r>
        <w:rPr>
          <w:color w:val="231F20"/>
          <w:spacing w:val="13"/>
        </w:rPr>
        <w:t> </w:t>
      </w:r>
      <w:r>
        <w:rPr>
          <w:color w:val="231F20"/>
        </w:rPr>
        <w:t>à</w:t>
      </w:r>
      <w:r>
        <w:rPr>
          <w:color w:val="231F20"/>
          <w:spacing w:val="14"/>
        </w:rPr>
        <w:t> </w:t>
      </w:r>
      <w:r>
        <w:rPr>
          <w:color w:val="231F20"/>
        </w:rPr>
        <w:t>la</w:t>
      </w:r>
      <w:r>
        <w:rPr>
          <w:color w:val="231F20"/>
          <w:spacing w:val="13"/>
        </w:rPr>
        <w:t> </w:t>
      </w:r>
      <w:r>
        <w:rPr>
          <w:color w:val="231F20"/>
        </w:rPr>
        <w:t>solvabilité</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FPEU</w:t>
      </w:r>
      <w:r>
        <w:rPr>
          <w:color w:val="231F20"/>
          <w:spacing w:val="14"/>
        </w:rPr>
        <w:t> </w:t>
      </w:r>
      <w:r>
        <w:rPr>
          <w:color w:val="231F20"/>
        </w:rPr>
        <w:t>concernée.</w:t>
      </w:r>
    </w:p>
    <w:p>
      <w:pPr>
        <w:pStyle w:val="BodyText"/>
        <w:ind w:left="0" w:right="0" w:firstLine="0"/>
        <w:jc w:val="left"/>
        <w:rPr>
          <w:sz w:val="20"/>
        </w:rPr>
      </w:pPr>
    </w:p>
    <w:p>
      <w:pPr>
        <w:pStyle w:val="BodyText"/>
        <w:ind w:left="0" w:right="0" w:firstLine="0"/>
        <w:jc w:val="left"/>
        <w:rPr>
          <w:sz w:val="20"/>
        </w:rPr>
      </w:pPr>
    </w:p>
    <w:p>
      <w:pPr>
        <w:pStyle w:val="BodyText"/>
        <w:spacing w:line="218" w:lineRule="auto" w:before="170"/>
        <w:ind w:right="65"/>
      </w:pPr>
      <w:r>
        <w:rPr>
          <w:color w:val="231F20"/>
        </w:rPr>
        <w:t>Si la sûreté n’est pas fournie dans le délai fixé, la créance devient immédiatement exigible.</w:t>
      </w:r>
    </w:p>
    <w:p>
      <w:pPr>
        <w:pStyle w:val="BodyText"/>
        <w:spacing w:line="216" w:lineRule="auto" w:before="97"/>
        <w:ind w:right="65"/>
      </w:pPr>
      <w:r>
        <w:rPr>
          <w:color w:val="231F20"/>
        </w:rPr>
        <w:t>§ 2. La radiation en Belgique de l’ancienne immatriculation suite au transfert à l’étranger du siège statutaire est publiée aux Annexes du </w:t>
      </w:r>
      <w:r>
        <w:rPr>
          <w:rFonts w:ascii="Times New Roman" w:hAnsi="Times New Roman"/>
          <w:i/>
          <w:color w:val="231F20"/>
        </w:rPr>
        <w:t>Moniteur belge</w:t>
      </w:r>
      <w:r>
        <w:rPr>
          <w:color w:val="231F20"/>
        </w:rPr>
        <w:t>.</w:t>
      </w:r>
    </w:p>
    <w:p>
      <w:pPr>
        <w:pStyle w:val="BodyText"/>
        <w:spacing w:line="319" w:lineRule="auto" w:before="84"/>
        <w:ind w:left="283" w:right="401" w:hanging="1"/>
        <w:jc w:val="left"/>
      </w:pPr>
      <w:r>
        <w:rPr>
          <w:color w:val="231F20"/>
        </w:rPr>
        <w:t>LIVRE 18. Le groupement européen d’intérêt économique. TITRE 1</w:t>
      </w:r>
      <w:r>
        <w:rPr>
          <w:color w:val="231F20"/>
          <w:position w:val="7"/>
          <w:sz w:val="11"/>
        </w:rPr>
        <w:t>er</w:t>
      </w:r>
      <w:r>
        <w:rPr>
          <w:color w:val="231F20"/>
        </w:rPr>
        <w:t>. Dispositions générales.</w:t>
      </w:r>
    </w:p>
    <w:p>
      <w:pPr>
        <w:pStyle w:val="BodyText"/>
        <w:spacing w:line="208" w:lineRule="exact"/>
        <w:ind w:left="283" w:right="0" w:firstLine="0"/>
        <w:jc w:val="left"/>
      </w:pPr>
      <w:r>
        <w:rPr>
          <w:color w:val="231F20"/>
        </w:rPr>
        <w:t>CHAPITRE 1</w:t>
      </w:r>
      <w:r>
        <w:rPr>
          <w:color w:val="231F20"/>
          <w:position w:val="7"/>
          <w:sz w:val="11"/>
        </w:rPr>
        <w:t>er</w:t>
      </w:r>
      <w:r>
        <w:rPr>
          <w:color w:val="231F20"/>
        </w:rPr>
        <w:t>. Définition et droit applicable.</w:t>
      </w:r>
    </w:p>
    <w:p>
      <w:pPr>
        <w:pStyle w:val="BodyText"/>
        <w:spacing w:line="218" w:lineRule="auto" w:before="93"/>
        <w:ind w:right="65"/>
      </w:pPr>
      <w:r>
        <w:rPr>
          <w:color w:val="231F20"/>
        </w:rPr>
        <w:t>Art. 18:1. Pour l’application du présent livre, l’on entend par “règlement (CEE) n° 2137/85”: règlement (CEE) n° 2137/85 du Conseil du 25 juillet 1985 relatif à l’institution d’un groupement européen d’intérêt économique (GEIE).</w:t>
      </w:r>
    </w:p>
    <w:p>
      <w:pPr>
        <w:pStyle w:val="BodyText"/>
        <w:spacing w:line="218" w:lineRule="auto" w:before="96"/>
        <w:ind w:right="65"/>
      </w:pPr>
      <w:r>
        <w:rPr>
          <w:color w:val="231F20"/>
        </w:rPr>
        <w:t>Art. 18:2. Le groupement européen d’intérêt économique est régi par le règlement (CEE) n° 2137/85.</w:t>
      </w:r>
    </w:p>
    <w:p>
      <w:pPr>
        <w:pStyle w:val="BodyText"/>
        <w:spacing w:line="218" w:lineRule="auto" w:before="96"/>
        <w:ind w:right="65"/>
      </w:pPr>
      <w:r>
        <w:rPr>
          <w:color w:val="231F20"/>
        </w:rPr>
        <w:t>Pour les matières non réglées par le règlement (CEE) n° 2137/85, les dispositions du livre 2, titre 4, sont applicables par analogie.</w:t>
      </w:r>
    </w:p>
    <w:p>
      <w:pPr>
        <w:pStyle w:val="BodyText"/>
        <w:spacing w:before="8"/>
        <w:ind w:left="0" w:right="0" w:firstLine="0"/>
        <w:jc w:val="left"/>
        <w:rPr>
          <w:sz w:val="22"/>
        </w:rPr>
      </w:pPr>
    </w:p>
    <w:p>
      <w:pPr>
        <w:pStyle w:val="BodyText"/>
        <w:ind w:left="283" w:right="0" w:firstLine="0"/>
        <w:jc w:val="left"/>
      </w:pPr>
      <w:r>
        <w:rPr>
          <w:color w:val="231F20"/>
        </w:rPr>
        <w:t>CHAPITRE 2. Membres.</w:t>
      </w:r>
    </w:p>
    <w:p>
      <w:pPr>
        <w:pStyle w:val="BodyText"/>
        <w:spacing w:line="218" w:lineRule="auto" w:before="93"/>
        <w:ind w:right="65"/>
      </w:pPr>
      <w:r>
        <w:rPr>
          <w:color w:val="231F20"/>
        </w:rPr>
        <w:t>Art. 18:3. Sans préjudice des dispositions particulières qui leur sont applicables, les institutions publiques nationales de crédit ne peuvent être membres d’un groupement européen d’intérêt économique que moyennant l’accord des ministres nationaux de tutelle.</w:t>
      </w:r>
    </w:p>
    <w:p>
      <w:pPr>
        <w:pStyle w:val="BodyText"/>
        <w:spacing w:line="216" w:lineRule="auto" w:before="121"/>
      </w:pPr>
      <w:r>
        <w:rPr/>
        <w:br w:type="column"/>
      </w:r>
      <w:r>
        <w:rPr>
          <w:color w:val="231F20"/>
        </w:rPr>
        <w:t>§ 2. De doorhaling in België van de oude inschrijving in het rechtspersonenregister ten gevolge van de verplaatsing van de statu- taire zetel naar het buitenland wordt in de Bijlagen bij het </w:t>
      </w:r>
      <w:r>
        <w:rPr>
          <w:rFonts w:ascii="Times New Roman" w:hAnsi="Times New Roman"/>
          <w:i/>
          <w:color w:val="231F20"/>
        </w:rPr>
        <w:t>Belgisch </w:t>
      </w:r>
      <w:r>
        <w:rPr>
          <w:rFonts w:ascii="Times New Roman" w:hAnsi="Times New Roman"/>
          <w:i/>
          <w:color w:val="231F20"/>
        </w:rPr>
        <w:t>Staatsblad </w:t>
      </w:r>
      <w:r>
        <w:rPr>
          <w:color w:val="231F20"/>
        </w:rPr>
        <w:t>bekendgemaakt.</w:t>
      </w:r>
    </w:p>
    <w:p>
      <w:pPr>
        <w:pStyle w:val="BodyText"/>
        <w:spacing w:before="73"/>
        <w:ind w:left="283" w:right="0" w:firstLine="0"/>
        <w:jc w:val="left"/>
      </w:pPr>
      <w:r>
        <w:rPr>
          <w:color w:val="231F20"/>
        </w:rPr>
        <w:t>TITEL 2. De Europese politieke stichting.</w:t>
      </w:r>
    </w:p>
    <w:p>
      <w:pPr>
        <w:pStyle w:val="BodyText"/>
        <w:spacing w:line="218" w:lineRule="auto" w:before="82"/>
      </w:pPr>
      <w:r>
        <w:rPr>
          <w:color w:val="231F20"/>
        </w:rPr>
        <w:t>Art. 17:7. Elke Europese politieke stichting met zetel in België, afgekort EUPS, is aanvullend aan de bepalingen van verordening (EU, Euratom) nr. 1141/2014 onderworpen aan de bepalingen van deze titel, van boek 2, titels 1, 2, 3, 4, 5, 6, 8, hoofdstukken 2 en 3, en 9 en, naargelang van het gekozen statuut, hetzij aan de bepalingen van boek 9, titels 1 tot 4, hetzij aan de bepalingen van boek 10.</w:t>
      </w:r>
    </w:p>
    <w:p>
      <w:pPr>
        <w:pStyle w:val="BodyText"/>
        <w:spacing w:line="218" w:lineRule="auto" w:before="85"/>
      </w:pPr>
      <w:r>
        <w:rPr>
          <w:color w:val="231F20"/>
        </w:rPr>
        <w:t>Een kopie van de bekendmaking bedoeld in artikel 15, lid 1, van verordening (EU, Euratom) nr. 1141/2014 wordt door de notaris neergelegd, naargelang van het gekozen statuut, in het dossier bepaald in artikel 2:9 of 2:10. Tot het ogenblik bepaald in artikel 17:10 zijn de artikelen 2:9 en 2:10 niet van toepassing.</w:t>
      </w:r>
    </w:p>
    <w:p>
      <w:pPr>
        <w:pStyle w:val="BodyText"/>
        <w:spacing w:line="218" w:lineRule="auto" w:before="86"/>
        <w:ind w:right="123"/>
      </w:pPr>
      <w:r>
        <w:rPr>
          <w:color w:val="231F20"/>
        </w:rPr>
        <w:t>Art. 17:8. De statuten van de EUPS worden opgesteld bij authentieke akte. Ingeval van een bestaande VZW of IVZW geschiedt de omzetting tot EUPS eveneens bij authentieke akte. Overeenkomstig artikel 15, lid 2, van verordening (EU, Euratom) nr. 1141/2014 levert de notaris een attest af dat bevestigt dat de zetel van de EUPS is gevestigd in België en dat de statuten ervan in overeenstemming zijn met het in artikel 17:7 bepaalde toepasselijk recht.</w:t>
      </w:r>
    </w:p>
    <w:p>
      <w:pPr>
        <w:pStyle w:val="BodyText"/>
        <w:spacing w:line="218" w:lineRule="auto" w:before="86"/>
      </w:pPr>
      <w:r>
        <w:rPr>
          <w:color w:val="231F20"/>
        </w:rPr>
        <w:t>Art. 17:9. De bevoegde instantie die overeenkomstig artikel 16, leden 2, 3 en 4, van verordening (EU, Euratom) </w:t>
      </w:r>
      <w:r>
        <w:rPr>
          <w:color w:val="231F20"/>
          <w:spacing w:val="-5"/>
        </w:rPr>
        <w:t>nr. </w:t>
      </w:r>
      <w:r>
        <w:rPr>
          <w:color w:val="231F20"/>
        </w:rPr>
        <w:t>1141/2014, een verzoek tot schrapping kan overmaken, is het openbaar ministerie.</w:t>
      </w:r>
    </w:p>
    <w:p>
      <w:pPr>
        <w:pStyle w:val="BodyText"/>
        <w:spacing w:line="218" w:lineRule="auto" w:before="86"/>
        <w:ind w:right="123"/>
      </w:pPr>
      <w:r>
        <w:rPr>
          <w:color w:val="231F20"/>
        </w:rPr>
        <w:t>Art. 17:10. In geval van verlies van de Europese rechtspersoonlijkheid in  </w:t>
      </w:r>
      <w:r>
        <w:rPr>
          <w:color w:val="231F20"/>
          <w:spacing w:val="2"/>
        </w:rPr>
        <w:t>toepassing  </w:t>
      </w:r>
      <w:r>
        <w:rPr>
          <w:color w:val="231F20"/>
        </w:rPr>
        <w:t>van  </w:t>
      </w:r>
      <w:r>
        <w:rPr>
          <w:color w:val="231F20"/>
          <w:spacing w:val="2"/>
        </w:rPr>
        <w:t>artikel  </w:t>
      </w:r>
      <w:r>
        <w:rPr>
          <w:color w:val="231F20"/>
        </w:rPr>
        <w:t>16   van   </w:t>
      </w:r>
      <w:r>
        <w:rPr>
          <w:color w:val="231F20"/>
          <w:spacing w:val="2"/>
        </w:rPr>
        <w:t>verordening   (EU,   </w:t>
      </w:r>
      <w:r>
        <w:rPr>
          <w:color w:val="231F20"/>
          <w:spacing w:val="3"/>
        </w:rPr>
        <w:t>Euratom)   </w:t>
      </w:r>
      <w:r>
        <w:rPr>
          <w:color w:val="231F20"/>
          <w:spacing w:val="-5"/>
        </w:rPr>
        <w:t>nr.</w:t>
      </w:r>
      <w:r>
        <w:rPr>
          <w:color w:val="231F20"/>
          <w:spacing w:val="17"/>
        </w:rPr>
        <w:t> </w:t>
      </w:r>
      <w:r>
        <w:rPr>
          <w:color w:val="231F20"/>
        </w:rPr>
        <w:t>1141/2014</w:t>
      </w:r>
      <w:r>
        <w:rPr>
          <w:color w:val="231F20"/>
          <w:spacing w:val="17"/>
        </w:rPr>
        <w:t> </w:t>
      </w:r>
      <w:r>
        <w:rPr>
          <w:color w:val="231F20"/>
        </w:rPr>
        <w:t>wordt</w:t>
      </w:r>
      <w:r>
        <w:rPr>
          <w:color w:val="231F20"/>
          <w:spacing w:val="17"/>
        </w:rPr>
        <w:t> </w:t>
      </w:r>
      <w:r>
        <w:rPr>
          <w:color w:val="231F20"/>
        </w:rPr>
        <w:t>de</w:t>
      </w:r>
      <w:r>
        <w:rPr>
          <w:color w:val="231F20"/>
          <w:spacing w:val="18"/>
        </w:rPr>
        <w:t> </w:t>
      </w:r>
      <w:r>
        <w:rPr>
          <w:color w:val="231F20"/>
        </w:rPr>
        <w:t>EUPS</w:t>
      </w:r>
      <w:r>
        <w:rPr>
          <w:color w:val="231F20"/>
          <w:spacing w:val="17"/>
        </w:rPr>
        <w:t> </w:t>
      </w:r>
      <w:r>
        <w:rPr>
          <w:color w:val="231F20"/>
        </w:rPr>
        <w:t>van</w:t>
      </w:r>
      <w:r>
        <w:rPr>
          <w:color w:val="231F20"/>
          <w:spacing w:val="17"/>
        </w:rPr>
        <w:t> </w:t>
      </w:r>
      <w:r>
        <w:rPr>
          <w:color w:val="231F20"/>
        </w:rPr>
        <w:t>rechtswege</w:t>
      </w:r>
      <w:r>
        <w:rPr>
          <w:color w:val="231F20"/>
          <w:spacing w:val="17"/>
        </w:rPr>
        <w:t> </w:t>
      </w:r>
      <w:r>
        <w:rPr>
          <w:color w:val="231F20"/>
        </w:rPr>
        <w:t>omgezet</w:t>
      </w:r>
      <w:r>
        <w:rPr>
          <w:color w:val="231F20"/>
          <w:spacing w:val="18"/>
        </w:rPr>
        <w:t> </w:t>
      </w:r>
      <w:r>
        <w:rPr>
          <w:color w:val="231F20"/>
        </w:rPr>
        <w:t>naar</w:t>
      </w:r>
      <w:r>
        <w:rPr>
          <w:color w:val="231F20"/>
          <w:spacing w:val="17"/>
        </w:rPr>
        <w:t> </w:t>
      </w:r>
      <w:r>
        <w:rPr>
          <w:color w:val="231F20"/>
        </w:rPr>
        <w:t>een</w:t>
      </w:r>
      <w:r>
        <w:rPr>
          <w:color w:val="231F20"/>
          <w:spacing w:val="17"/>
        </w:rPr>
        <w:t> </w:t>
      </w:r>
      <w:r>
        <w:rPr>
          <w:color w:val="231F20"/>
          <w:spacing w:val="-4"/>
        </w:rPr>
        <w:t>VZW.</w:t>
      </w:r>
    </w:p>
    <w:p>
      <w:pPr>
        <w:pStyle w:val="BodyText"/>
        <w:spacing w:line="218" w:lineRule="auto" w:before="85"/>
      </w:pPr>
      <w:r>
        <w:rPr>
          <w:color w:val="231F20"/>
          <w:spacing w:val="4"/>
        </w:rPr>
        <w:t>Het  </w:t>
      </w:r>
      <w:r>
        <w:rPr>
          <w:color w:val="231F20"/>
          <w:spacing w:val="3"/>
        </w:rPr>
        <w:t>in</w:t>
      </w:r>
      <w:r>
        <w:rPr>
          <w:color w:val="231F20"/>
          <w:spacing w:val="47"/>
        </w:rPr>
        <w:t> </w:t>
      </w:r>
      <w:r>
        <w:rPr>
          <w:color w:val="231F20"/>
          <w:spacing w:val="5"/>
        </w:rPr>
        <w:t>artikel  </w:t>
      </w:r>
      <w:r>
        <w:rPr>
          <w:color w:val="231F20"/>
          <w:spacing w:val="4"/>
        </w:rPr>
        <w:t>16,  lid   </w:t>
      </w:r>
      <w:r>
        <w:rPr>
          <w:color w:val="231F20"/>
          <w:spacing w:val="3"/>
        </w:rPr>
        <w:t>7,   </w:t>
      </w:r>
      <w:r>
        <w:rPr>
          <w:color w:val="231F20"/>
          <w:spacing w:val="4"/>
        </w:rPr>
        <w:t>van   verordening   (EU,   </w:t>
      </w:r>
      <w:r>
        <w:rPr>
          <w:color w:val="231F20"/>
          <w:spacing w:val="6"/>
        </w:rPr>
        <w:t>Euratom)  </w:t>
      </w:r>
      <w:r>
        <w:rPr>
          <w:color w:val="231F20"/>
          <w:spacing w:val="-5"/>
        </w:rPr>
        <w:t>nr. </w:t>
      </w:r>
      <w:r>
        <w:rPr>
          <w:color w:val="231F20"/>
        </w:rPr>
        <w:t>1141/2014 bepaalde wordt in voorkomend geval overlegd met het openbaar</w:t>
      </w:r>
      <w:r>
        <w:rPr>
          <w:color w:val="231F20"/>
          <w:spacing w:val="14"/>
        </w:rPr>
        <w:t> </w:t>
      </w:r>
      <w:r>
        <w:rPr>
          <w:color w:val="231F20"/>
        </w:rPr>
        <w:t>ministerie.</w:t>
      </w:r>
    </w:p>
    <w:p>
      <w:pPr>
        <w:pStyle w:val="BodyText"/>
        <w:spacing w:line="218" w:lineRule="auto" w:before="86"/>
      </w:pPr>
      <w:r>
        <w:rPr>
          <w:color w:val="231F20"/>
        </w:rPr>
        <w:t>Art. 17:11. § 1. Uiterlijk twee maanden na de bekendmaking van de buitenlandse zetelverplaatsing, kunnen de schuldeisers van de EUPS die tot zetelverplaatsing overgaat en van wie de vordering vaststaand   is vóór die bekendmaking maar nog niet opeisbaar is of die voor deze schuldvordering in rechte of via arbitrage een vordering heeft ingesteld vóór die bekendmaking, niettegenstaande enig andersluidend beding, zekerheid</w:t>
      </w:r>
      <w:r>
        <w:rPr>
          <w:color w:val="231F20"/>
          <w:spacing w:val="15"/>
        </w:rPr>
        <w:t> </w:t>
      </w:r>
      <w:r>
        <w:rPr>
          <w:color w:val="231F20"/>
        </w:rPr>
        <w:t>eisen.</w:t>
      </w:r>
    </w:p>
    <w:p>
      <w:pPr>
        <w:pStyle w:val="BodyText"/>
        <w:spacing w:line="218" w:lineRule="auto" w:before="85"/>
      </w:pPr>
      <w:r>
        <w:rPr>
          <w:color w:val="231F20"/>
        </w:rPr>
        <w:t>De EUPS kan deze eis afweren door de schuldvordering te voldoen tegen haar waarde, na aftrek van het disconto.</w:t>
      </w:r>
    </w:p>
    <w:p>
      <w:pPr>
        <w:pStyle w:val="BodyText"/>
        <w:spacing w:line="218" w:lineRule="auto" w:before="97"/>
        <w:ind w:right="125"/>
      </w:pPr>
      <w:r>
        <w:rPr>
          <w:color w:val="231F20"/>
        </w:rPr>
        <w:t>Indien geen overeenstemming wordt bereikt of indien de schuldeiser geen voldoening heeft gekregen, wordt het geschil door de meest gerede partij voorgelegd aan de voorzitter van de ondernemingsrecht- bank van het rechtsgebied waarbinnen de schuldplichtige EUPS haar zetel heeft. De rechtspleging wordt ingeleid en behandeld in kort geding; hetzelfde geldt voor de tenuitvoerlegging van de gewezen beslissing. Zonder afbreuk te doen aan de grond van de zaak bepaalt de voorzitter de zekerheid die de EUPS moet stellen en de termijn waarbinnen zulks moet geschieden, tenzij hij beslist dat geen zekerheid moet worden gesteld gelet op de waarborgen en de voorrechten waarover de schuldeiser beschikt of gelet op de solvabiliteit van</w:t>
      </w:r>
      <w:r>
        <w:rPr>
          <w:color w:val="231F20"/>
          <w:spacing w:val="32"/>
        </w:rPr>
        <w:t> </w:t>
      </w:r>
      <w:r>
        <w:rPr>
          <w:color w:val="231F20"/>
        </w:rPr>
        <w:t>de betrokken</w:t>
      </w:r>
      <w:r>
        <w:rPr>
          <w:color w:val="231F20"/>
          <w:spacing w:val="14"/>
        </w:rPr>
        <w:t> </w:t>
      </w:r>
      <w:r>
        <w:rPr>
          <w:color w:val="231F20"/>
        </w:rPr>
        <w:t>EUPS.</w:t>
      </w:r>
    </w:p>
    <w:p>
      <w:pPr>
        <w:pStyle w:val="BodyText"/>
        <w:spacing w:line="218" w:lineRule="auto" w:before="96"/>
      </w:pPr>
      <w:r>
        <w:rPr>
          <w:color w:val="231F20"/>
        </w:rPr>
        <w:t>Indien de zekerheid niet binnen de bepaalde termijn is gesteld, wordt de schuldvordering onmiddellijk opeisbaar.</w:t>
      </w:r>
    </w:p>
    <w:p>
      <w:pPr>
        <w:pStyle w:val="BodyText"/>
        <w:spacing w:line="216" w:lineRule="auto" w:before="98"/>
      </w:pPr>
      <w:r>
        <w:rPr>
          <w:color w:val="231F20"/>
        </w:rPr>
        <w:t>§ 2. De doorhaling in België van de oude inschrijving ten gevolge van de verplaatsing van de statutaire zetel naar het buitenland wordt in de Bijlagen bij het </w:t>
      </w:r>
      <w:r>
        <w:rPr>
          <w:rFonts w:ascii="Times New Roman" w:hAnsi="Times New Roman"/>
          <w:i/>
          <w:color w:val="231F20"/>
        </w:rPr>
        <w:t>Belgisch Staatsblad </w:t>
      </w:r>
      <w:r>
        <w:rPr>
          <w:color w:val="231F20"/>
        </w:rPr>
        <w:t>bekendgemaakt.</w:t>
      </w:r>
    </w:p>
    <w:p>
      <w:pPr>
        <w:pStyle w:val="BodyText"/>
        <w:spacing w:line="338" w:lineRule="auto" w:before="84"/>
        <w:ind w:left="283" w:right="345" w:firstLine="0"/>
        <w:jc w:val="left"/>
      </w:pPr>
      <w:r>
        <w:rPr>
          <w:color w:val="231F20"/>
        </w:rPr>
        <w:t>BOEK 18. Het Europees economisch samenwerkingsverband. TITEL 1. Algemene bepalingen.</w:t>
      </w:r>
    </w:p>
    <w:p>
      <w:pPr>
        <w:pStyle w:val="BodyText"/>
        <w:spacing w:line="192" w:lineRule="exact"/>
        <w:ind w:left="283" w:right="0" w:firstLine="0"/>
        <w:jc w:val="left"/>
      </w:pPr>
      <w:r>
        <w:rPr>
          <w:color w:val="231F20"/>
        </w:rPr>
        <w:t>HOOFDSTUK 1. Definitie en toepasselijk recht.</w:t>
      </w:r>
    </w:p>
    <w:p>
      <w:pPr>
        <w:pStyle w:val="BodyText"/>
        <w:spacing w:line="218" w:lineRule="auto" w:before="93"/>
      </w:pPr>
      <w:r>
        <w:rPr>
          <w:color w:val="231F20"/>
        </w:rPr>
        <w:t>Art. 18:1. </w:t>
      </w:r>
      <w:r>
        <w:rPr>
          <w:color w:val="231F20"/>
          <w:spacing w:val="-5"/>
        </w:rPr>
        <w:t>Voor </w:t>
      </w:r>
      <w:r>
        <w:rPr>
          <w:color w:val="231F20"/>
        </w:rPr>
        <w:t>de toepassing van dit boek wordt verstaan onder “verordening (EEG) </w:t>
      </w:r>
      <w:r>
        <w:rPr>
          <w:color w:val="231F20"/>
          <w:spacing w:val="-5"/>
        </w:rPr>
        <w:t>nr. </w:t>
      </w:r>
      <w:r>
        <w:rPr>
          <w:color w:val="231F20"/>
        </w:rPr>
        <w:t>2137/85”: verordening (EEG) </w:t>
      </w:r>
      <w:r>
        <w:rPr>
          <w:color w:val="231F20"/>
          <w:spacing w:val="-5"/>
        </w:rPr>
        <w:t>nr. </w:t>
      </w:r>
      <w:r>
        <w:rPr>
          <w:color w:val="231F20"/>
        </w:rPr>
        <w:t>2137/85 van de Raad van 25 juli 1985 tot instelling van Europese economische samenwerkingsverbanden</w:t>
      </w:r>
      <w:r>
        <w:rPr>
          <w:color w:val="231F20"/>
          <w:spacing w:val="15"/>
        </w:rPr>
        <w:t> </w:t>
      </w:r>
      <w:r>
        <w:rPr>
          <w:color w:val="231F20"/>
        </w:rPr>
        <w:t>(EESV).</w:t>
      </w:r>
    </w:p>
    <w:p>
      <w:pPr>
        <w:pStyle w:val="BodyText"/>
        <w:spacing w:line="218" w:lineRule="auto" w:before="96"/>
      </w:pPr>
      <w:r>
        <w:rPr>
          <w:color w:val="231F20"/>
        </w:rPr>
        <w:t>Art. 18:2. Het Europees economisch samenwerkingsverband wordt beheerst door verordening (EEG) nr. 2137/85.</w:t>
      </w:r>
    </w:p>
    <w:p>
      <w:pPr>
        <w:pStyle w:val="BodyText"/>
        <w:spacing w:line="218" w:lineRule="auto" w:before="96"/>
      </w:pPr>
      <w:r>
        <w:rPr>
          <w:color w:val="231F20"/>
        </w:rPr>
        <w:t>Voor  </w:t>
      </w:r>
      <w:r>
        <w:rPr>
          <w:color w:val="231F20"/>
          <w:spacing w:val="3"/>
        </w:rPr>
        <w:t>de</w:t>
      </w:r>
      <w:r>
        <w:rPr>
          <w:color w:val="231F20"/>
          <w:spacing w:val="47"/>
        </w:rPr>
        <w:t> </w:t>
      </w:r>
      <w:r>
        <w:rPr>
          <w:color w:val="231F20"/>
          <w:spacing w:val="5"/>
        </w:rPr>
        <w:t>aangelegenheden   </w:t>
      </w:r>
      <w:r>
        <w:rPr>
          <w:color w:val="231F20"/>
          <w:spacing w:val="4"/>
        </w:rPr>
        <w:t>die   niet   bij   verordening   </w:t>
      </w:r>
      <w:r>
        <w:rPr>
          <w:color w:val="231F20"/>
          <w:spacing w:val="6"/>
        </w:rPr>
        <w:t>(EEG) </w:t>
      </w:r>
      <w:r>
        <w:rPr>
          <w:color w:val="231F20"/>
          <w:spacing w:val="-5"/>
        </w:rPr>
        <w:t>nr. </w:t>
      </w:r>
      <w:r>
        <w:rPr>
          <w:color w:val="231F20"/>
        </w:rPr>
        <w:t>2137/85 zijn geregeld, zijn de bepalingen van boek 2, titel 4, van overeenkomstige</w:t>
      </w:r>
      <w:r>
        <w:rPr>
          <w:color w:val="231F20"/>
          <w:spacing w:val="15"/>
        </w:rPr>
        <w:t> </w:t>
      </w:r>
      <w:r>
        <w:rPr>
          <w:color w:val="231F20"/>
        </w:rPr>
        <w:t>toepassing.</w:t>
      </w:r>
    </w:p>
    <w:p>
      <w:pPr>
        <w:pStyle w:val="BodyText"/>
        <w:spacing w:before="82"/>
        <w:ind w:left="283" w:right="0" w:firstLine="0"/>
        <w:jc w:val="left"/>
      </w:pPr>
      <w:r>
        <w:rPr>
          <w:color w:val="231F20"/>
        </w:rPr>
        <w:t>HOOFDSTUK 2. Leden.</w:t>
      </w:r>
    </w:p>
    <w:p>
      <w:pPr>
        <w:pStyle w:val="BodyText"/>
        <w:spacing w:line="218" w:lineRule="auto" w:before="93"/>
      </w:pPr>
      <w:r>
        <w:rPr>
          <w:color w:val="231F20"/>
        </w:rPr>
        <w:t>Art. 18:3. Onverminderd de bijzondere bepalingen die op hen toepasselijk zijn, kunnen de nationale openbare kredietinstellingen geen lid van een Europees economisch samenwerkingsverband zijn  dan met de toestemming van de nationale toezichthoudende</w:t>
      </w:r>
      <w:r>
        <w:rPr>
          <w:color w:val="231F20"/>
          <w:spacing w:val="13"/>
        </w:rPr>
        <w:t> </w:t>
      </w:r>
      <w:r>
        <w:rPr>
          <w:color w:val="231F20"/>
        </w:rPr>
        <w:t>ministers.</w:t>
      </w:r>
    </w:p>
    <w:p>
      <w:pPr>
        <w:spacing w:after="0" w:line="218" w:lineRule="auto"/>
        <w:sectPr>
          <w:pgSz w:w="11940" w:h="16880"/>
          <w:pgMar w:header="666" w:footer="0" w:top="1140" w:bottom="280" w:left="340" w:right="360"/>
          <w:cols w:num="2" w:equalWidth="0">
            <w:col w:w="5554" w:space="74"/>
            <w:col w:w="5612"/>
          </w:cols>
        </w:sectPr>
      </w:pPr>
    </w:p>
    <w:p>
      <w:pPr>
        <w:pStyle w:val="BodyText"/>
        <w:spacing w:line="218" w:lineRule="auto" w:before="120"/>
        <w:ind w:right="38"/>
      </w:pPr>
      <w:r>
        <w:rPr/>
        <w:pict>
          <v:line style="position:absolute;mso-position-horizontal-relative:page;mso-position-vertical-relative:page;z-index:7768" from="298.170502pt,64.473pt" to="298.170502pt,812.819pt" stroked="true" strokeweight=".533pt" strokecolor="#231f20">
            <v:stroke dashstyle="solid"/>
            <w10:wrap type="none"/>
          </v:line>
        </w:pict>
      </w:r>
      <w:bookmarkStart w:name="_bookmark281" w:id="287"/>
      <w:bookmarkEnd w:id="287"/>
      <w:r>
        <w:rPr/>
      </w:r>
      <w:r>
        <w:rPr>
          <w:color w:val="231F20"/>
        </w:rPr>
        <w:t>Dans le cas d’un groupement européen d’intérêt économique cons- </w:t>
      </w:r>
      <w:r>
        <w:rPr>
          <w:color w:val="231F20"/>
          <w:spacing w:val="2"/>
        </w:rPr>
        <w:t>titué  </w:t>
      </w:r>
      <w:r>
        <w:rPr>
          <w:color w:val="231F20"/>
        </w:rPr>
        <w:t>de  </w:t>
      </w:r>
      <w:r>
        <w:rPr>
          <w:color w:val="231F20"/>
          <w:spacing w:val="2"/>
        </w:rPr>
        <w:t>sociétés  publiques  </w:t>
      </w:r>
      <w:r>
        <w:rPr>
          <w:color w:val="231F20"/>
        </w:rPr>
        <w:t>ou  </w:t>
      </w:r>
      <w:r>
        <w:rPr>
          <w:color w:val="231F20"/>
          <w:spacing w:val="2"/>
        </w:rPr>
        <w:t>privées  </w:t>
      </w:r>
      <w:r>
        <w:rPr>
          <w:color w:val="231F20"/>
        </w:rPr>
        <w:t>de  </w:t>
      </w:r>
      <w:r>
        <w:rPr>
          <w:color w:val="231F20"/>
          <w:spacing w:val="2"/>
        </w:rPr>
        <w:t>crédit,  </w:t>
      </w:r>
      <w:r>
        <w:rPr>
          <w:color w:val="231F20"/>
        </w:rPr>
        <w:t>ce   </w:t>
      </w:r>
      <w:r>
        <w:rPr>
          <w:color w:val="231F20"/>
          <w:spacing w:val="2"/>
        </w:rPr>
        <w:t>groupe-   </w:t>
      </w:r>
      <w:r>
        <w:rPr>
          <w:color w:val="231F20"/>
        </w:rPr>
        <w:t>ment européen d’intérêt économique ne pourra déroger aux prescrip- tions de la loi du 25 avril 2014 relative au statut et au contrôle des établissements</w:t>
      </w:r>
      <w:r>
        <w:rPr>
          <w:color w:val="231F20"/>
          <w:spacing w:val="14"/>
        </w:rPr>
        <w:t> </w:t>
      </w:r>
      <w:r>
        <w:rPr>
          <w:color w:val="231F20"/>
        </w:rPr>
        <w:t>de</w:t>
      </w:r>
      <w:r>
        <w:rPr>
          <w:color w:val="231F20"/>
          <w:spacing w:val="15"/>
        </w:rPr>
        <w:t> </w:t>
      </w:r>
      <w:r>
        <w:rPr>
          <w:color w:val="231F20"/>
        </w:rPr>
        <w:t>crédit</w:t>
      </w:r>
      <w:r>
        <w:rPr>
          <w:color w:val="231F20"/>
          <w:spacing w:val="15"/>
        </w:rPr>
        <w:t> </w:t>
      </w:r>
      <w:r>
        <w:rPr>
          <w:color w:val="231F20"/>
        </w:rPr>
        <w:t>et</w:t>
      </w:r>
      <w:r>
        <w:rPr>
          <w:color w:val="231F20"/>
          <w:spacing w:val="14"/>
        </w:rPr>
        <w:t> </w:t>
      </w:r>
      <w:r>
        <w:rPr>
          <w:color w:val="231F20"/>
        </w:rPr>
        <w:t>des</w:t>
      </w:r>
      <w:r>
        <w:rPr>
          <w:color w:val="231F20"/>
          <w:spacing w:val="15"/>
        </w:rPr>
        <w:t> </w:t>
      </w:r>
      <w:r>
        <w:rPr>
          <w:color w:val="231F20"/>
        </w:rPr>
        <w:t>sociétés</w:t>
      </w:r>
      <w:r>
        <w:rPr>
          <w:color w:val="231F20"/>
          <w:spacing w:val="15"/>
        </w:rPr>
        <w:t> </w:t>
      </w:r>
      <w:r>
        <w:rPr>
          <w:color w:val="231F20"/>
        </w:rPr>
        <w:t>de</w:t>
      </w:r>
      <w:r>
        <w:rPr>
          <w:color w:val="231F20"/>
          <w:spacing w:val="15"/>
        </w:rPr>
        <w:t> </w:t>
      </w:r>
      <w:r>
        <w:rPr>
          <w:color w:val="231F20"/>
        </w:rPr>
        <w:t>bourse.</w:t>
      </w:r>
    </w:p>
    <w:p>
      <w:pPr>
        <w:pStyle w:val="BodyText"/>
        <w:spacing w:line="218" w:lineRule="auto" w:before="85"/>
        <w:ind w:right="39"/>
      </w:pPr>
      <w:r>
        <w:rPr>
          <w:color w:val="231F20"/>
        </w:rPr>
        <w:t>Art. 18:4. Tout membre d’un groupement européen d’intérêt écono- mique cesse d’en faire partie à dater du jour où il a été déclaré en faillite par un jugement définitif d’un tribunal belge.</w:t>
      </w:r>
    </w:p>
    <w:p>
      <w:pPr>
        <w:pStyle w:val="BodyText"/>
        <w:spacing w:before="9"/>
        <w:ind w:left="0" w:right="0" w:firstLine="0"/>
        <w:jc w:val="left"/>
        <w:rPr>
          <w:sz w:val="21"/>
        </w:rPr>
      </w:pPr>
    </w:p>
    <w:p>
      <w:pPr>
        <w:pStyle w:val="BodyText"/>
        <w:ind w:left="283" w:right="0" w:firstLine="0"/>
        <w:jc w:val="left"/>
      </w:pPr>
      <w:r>
        <w:rPr>
          <w:color w:val="231F20"/>
        </w:rPr>
        <w:t>CHAPITRE 3. Ester en justice.</w:t>
      </w:r>
    </w:p>
    <w:p>
      <w:pPr>
        <w:pStyle w:val="BodyText"/>
        <w:spacing w:line="218" w:lineRule="auto" w:before="82"/>
        <w:ind w:right="38"/>
      </w:pPr>
      <w:r>
        <w:rPr>
          <w:color w:val="231F20"/>
        </w:rPr>
        <w:t>Art. 18:5. Le groupement européen d’intérêt économique peut ester en justice, soit en demandant, soit en défendant, pour la défense des droits individuels que ses membres tiennent en cette qualité, sans préjudice au droit de ces membres d’agir directement, de se joindre à l’action ou d’intervenir en cours d’instance.</w:t>
      </w:r>
    </w:p>
    <w:p>
      <w:pPr>
        <w:pStyle w:val="BodyText"/>
        <w:spacing w:before="8"/>
        <w:ind w:left="0" w:right="0" w:firstLine="0"/>
        <w:jc w:val="left"/>
        <w:rPr>
          <w:sz w:val="22"/>
        </w:rPr>
      </w:pPr>
    </w:p>
    <w:p>
      <w:pPr>
        <w:pStyle w:val="BodyText"/>
        <w:ind w:left="283" w:right="0" w:firstLine="0"/>
        <w:jc w:val="left"/>
      </w:pPr>
      <w:r>
        <w:rPr>
          <w:color w:val="231F20"/>
        </w:rPr>
        <w:t>CHAPITRE 4. Administration.</w:t>
      </w:r>
    </w:p>
    <w:p>
      <w:pPr>
        <w:pStyle w:val="BodyText"/>
        <w:spacing w:line="218" w:lineRule="auto" w:before="93"/>
        <w:ind w:right="39"/>
      </w:pPr>
      <w:r>
        <w:rPr>
          <w:color w:val="231F20"/>
        </w:rPr>
        <w:t>Art. 18:6. Nonobstant toute disposition contraire du contrat, tout membre peut demander en justice la révocation d’un gérant pour de justes motifs.</w:t>
      </w:r>
    </w:p>
    <w:p>
      <w:pPr>
        <w:pStyle w:val="BodyText"/>
        <w:spacing w:before="82"/>
        <w:ind w:left="283" w:right="0" w:firstLine="0"/>
        <w:jc w:val="left"/>
      </w:pPr>
      <w:r>
        <w:rPr>
          <w:color w:val="231F20"/>
        </w:rPr>
        <w:t>TITRE 2. Disposition de droit social.</w:t>
      </w:r>
    </w:p>
    <w:p>
      <w:pPr>
        <w:pStyle w:val="BodyText"/>
        <w:spacing w:line="218" w:lineRule="auto" w:before="93"/>
        <w:ind w:right="39"/>
      </w:pPr>
      <w:r>
        <w:rPr>
          <w:color w:val="231F20"/>
        </w:rPr>
        <w:t>Art. 18:7. Les entreprises disposant d’un conseil d’entreprise, mem- bres d’un groupement européen d’intérêt économique, sont tenues de fournir à leur conseil d’entreprise les informations relatives au groupement européen d’intérêt économique dont elles sont membres telles qu’elles sont définies aux articles 5, 8, 11 et 14 de l’arrêté royal du 27 novembre 1973 portant réglementation des informations économi- ques et financières à fournir aux conseils d’entreprise.</w:t>
      </w:r>
    </w:p>
    <w:p>
      <w:pPr>
        <w:pStyle w:val="BodyText"/>
        <w:spacing w:before="8"/>
        <w:ind w:left="0" w:right="0" w:firstLine="0"/>
        <w:jc w:val="left"/>
        <w:rPr>
          <w:sz w:val="22"/>
        </w:rPr>
      </w:pPr>
    </w:p>
    <w:p>
      <w:pPr>
        <w:pStyle w:val="BodyText"/>
        <w:ind w:left="283" w:right="0" w:firstLine="0"/>
        <w:jc w:val="left"/>
      </w:pPr>
      <w:r>
        <w:rPr>
          <w:color w:val="231F20"/>
        </w:rPr>
        <w:t>TITRE 3. Dispositions fiscales.</w:t>
      </w:r>
    </w:p>
    <w:p>
      <w:pPr>
        <w:pStyle w:val="BodyText"/>
        <w:spacing w:line="218" w:lineRule="auto" w:before="93"/>
        <w:ind w:right="39"/>
      </w:pPr>
      <w:r>
        <w:rPr>
          <w:color w:val="231F20"/>
        </w:rPr>
        <w:t>Art. 18:8. Par dérogation aux articles 1:5, § 3, et 2:6, les groupe- ments européens d’intérêt économique constitués conformément au présent code sont considérés comme dénués de la personnalité juridique pour leur assujettissement aux impôts sur les revenus.</w:t>
      </w:r>
    </w:p>
    <w:p>
      <w:pPr>
        <w:pStyle w:val="BodyText"/>
        <w:spacing w:line="218" w:lineRule="auto" w:before="96"/>
        <w:ind w:right="38"/>
      </w:pPr>
      <w:r>
        <w:rPr>
          <w:color w:val="231F20"/>
        </w:rPr>
        <w:t>Le groupement européen d’intérêt économique n’est en tant que tel pas soumis auxdits impôts. Les bénéfices ou profits distribués ou non distribués, ainsi que les prélèvements des membres sont considérés comme des bénéfices ou profits desdits membres et taxés dans leur chef selon le régime qui leur est applicable.</w:t>
      </w:r>
    </w:p>
    <w:p>
      <w:pPr>
        <w:pStyle w:val="BodyText"/>
        <w:ind w:left="0" w:right="0" w:firstLine="0"/>
        <w:jc w:val="left"/>
        <w:rPr>
          <w:sz w:val="24"/>
        </w:rPr>
      </w:pPr>
    </w:p>
    <w:p>
      <w:pPr>
        <w:pStyle w:val="BodyText"/>
        <w:spacing w:line="218" w:lineRule="auto"/>
        <w:ind w:right="38"/>
      </w:pPr>
      <w:r>
        <w:rPr>
          <w:color w:val="231F20"/>
        </w:rPr>
        <w:t>Ces bénéfices ou profits sont censés être payés ou attribués aux membres à la date de clôture de l’exercice comptable auquel ils se rapportent, la part de chacun dans les bénéfices ou profits non distribués étant déterminée conformément aux stipulations du contrat ou à défaut par part virile.</w:t>
      </w:r>
    </w:p>
    <w:p>
      <w:pPr>
        <w:spacing w:before="79"/>
        <w:ind w:left="1327" w:right="0" w:firstLine="0"/>
        <w:jc w:val="left"/>
        <w:rPr>
          <w:rFonts w:ascii="Times New Roman" w:hAnsi="Times New Roman"/>
          <w:i/>
          <w:sz w:val="17"/>
        </w:rPr>
      </w:pPr>
      <w:r>
        <w:rPr>
          <w:color w:val="231F20"/>
          <w:sz w:val="17"/>
        </w:rPr>
        <w:t>CHAPITRE III. — </w:t>
      </w:r>
      <w:r>
        <w:rPr>
          <w:rFonts w:ascii="Times New Roman" w:hAnsi="Times New Roman"/>
          <w:i/>
          <w:color w:val="231F20"/>
          <w:sz w:val="17"/>
        </w:rPr>
        <w:t>Dispositions diverses.</w:t>
      </w:r>
    </w:p>
    <w:p>
      <w:pPr>
        <w:spacing w:before="116"/>
        <w:ind w:left="1031" w:right="0" w:firstLine="0"/>
        <w:jc w:val="left"/>
        <w:rPr>
          <w:sz w:val="17"/>
        </w:rPr>
      </w:pPr>
      <w:r>
        <w:rPr>
          <w:rFonts w:ascii="Times New Roman" w:hAnsi="Times New Roman"/>
          <w:i/>
          <w:color w:val="231F20"/>
          <w:sz w:val="17"/>
        </w:rPr>
        <w:t>Section I</w:t>
      </w:r>
      <w:r>
        <w:rPr>
          <w:rFonts w:ascii="Times New Roman" w:hAnsi="Times New Roman"/>
          <w:i/>
          <w:color w:val="231F20"/>
          <w:position w:val="7"/>
          <w:sz w:val="11"/>
        </w:rPr>
        <w:t>re</w:t>
      </w:r>
      <w:r>
        <w:rPr>
          <w:rFonts w:ascii="Times New Roman" w:hAnsi="Times New Roman"/>
          <w:i/>
          <w:color w:val="231F20"/>
          <w:sz w:val="17"/>
        </w:rPr>
        <w:t>. </w:t>
      </w:r>
      <w:r>
        <w:rPr>
          <w:i/>
          <w:color w:val="231F20"/>
          <w:sz w:val="17"/>
        </w:rPr>
        <w:t>— </w:t>
      </w:r>
      <w:r>
        <w:rPr>
          <w:color w:val="231F20"/>
          <w:sz w:val="17"/>
        </w:rPr>
        <w:t>Modification du Code judiciaire.</w:t>
      </w:r>
    </w:p>
    <w:p>
      <w:pPr>
        <w:pStyle w:val="BodyText"/>
        <w:spacing w:line="186" w:lineRule="exact" w:before="117"/>
        <w:ind w:left="283" w:right="0" w:firstLine="0"/>
        <w:jc w:val="left"/>
      </w:pPr>
      <w:r>
        <w:rPr>
          <w:rFonts w:ascii="Times New Roman" w:hAnsi="Times New Roman"/>
          <w:b/>
          <w:color w:val="231F20"/>
        </w:rPr>
        <w:t>Art. 3. </w:t>
      </w:r>
      <w:r>
        <w:rPr>
          <w:color w:val="231F20"/>
        </w:rPr>
        <w:t>Dans l’article 574, 12°, du Code judiciaire, inséré par la loi du</w:t>
      </w:r>
    </w:p>
    <w:p>
      <w:pPr>
        <w:pStyle w:val="BodyText"/>
        <w:spacing w:line="218" w:lineRule="auto" w:before="5"/>
        <w:ind w:right="39" w:hanging="1"/>
      </w:pPr>
      <w:r>
        <w:rPr>
          <w:color w:val="231F20"/>
        </w:rPr>
        <w:t>10 février 1999, les mots « 43</w:t>
      </w:r>
      <w:r>
        <w:rPr>
          <w:rFonts w:ascii="Times New Roman" w:hAnsi="Times New Roman"/>
          <w:i/>
          <w:color w:val="231F20"/>
        </w:rPr>
        <w:t>bis </w:t>
      </w:r>
      <w:r>
        <w:rPr>
          <w:color w:val="231F20"/>
        </w:rPr>
        <w:t>et 124</w:t>
      </w:r>
      <w:r>
        <w:rPr>
          <w:rFonts w:ascii="Times New Roman" w:hAnsi="Times New Roman"/>
          <w:i/>
          <w:color w:val="231F20"/>
        </w:rPr>
        <w:t>ter </w:t>
      </w:r>
      <w:r>
        <w:rPr>
          <w:color w:val="231F20"/>
        </w:rPr>
        <w:t>des lois sur les sociétés commerciales, coordonnées le 30 novembre 1935. » sont remplacés par les mots « 5:28, 5:49, 6:27, 7:33 et 7:61 du Code des sociétés et des associations;</w:t>
      </w:r>
      <w:r>
        <w:rPr>
          <w:color w:val="231F20"/>
          <w:spacing w:val="14"/>
        </w:rPr>
        <w:t> </w:t>
      </w:r>
      <w:r>
        <w:rPr>
          <w:color w:val="231F20"/>
        </w:rPr>
        <w:t>».</w:t>
      </w:r>
    </w:p>
    <w:p>
      <w:pPr>
        <w:pStyle w:val="BodyText"/>
        <w:spacing w:line="218" w:lineRule="auto" w:before="136"/>
        <w:ind w:right="39"/>
      </w:pPr>
      <w:r>
        <w:rPr>
          <w:rFonts w:ascii="Times New Roman" w:hAnsi="Times New Roman"/>
          <w:b/>
          <w:color w:val="231F20"/>
        </w:rPr>
        <w:t>Art. 4. </w:t>
      </w:r>
      <w:r>
        <w:rPr>
          <w:color w:val="231F20"/>
        </w:rPr>
        <w:t>À l’article 588 du même code, les  modifications</w:t>
      </w:r>
      <w:r>
        <w:rPr>
          <w:color w:val="231F20"/>
          <w:spacing w:val="25"/>
        </w:rPr>
        <w:t> </w:t>
      </w:r>
      <w:r>
        <w:rPr>
          <w:color w:val="231F20"/>
        </w:rPr>
        <w:t>suivantes sont</w:t>
      </w:r>
      <w:r>
        <w:rPr>
          <w:color w:val="231F20"/>
          <w:spacing w:val="14"/>
        </w:rPr>
        <w:t> </w:t>
      </w:r>
      <w:r>
        <w:rPr>
          <w:color w:val="231F20"/>
        </w:rPr>
        <w:t>apportées:</w:t>
      </w:r>
    </w:p>
    <w:p>
      <w:pPr>
        <w:pStyle w:val="BodyText"/>
        <w:spacing w:before="82"/>
        <w:ind w:left="283" w:right="0" w:firstLine="0"/>
        <w:jc w:val="left"/>
      </w:pPr>
      <w:r>
        <w:rPr>
          <w:color w:val="231F20"/>
        </w:rPr>
        <w:t>1° le 17°, inséré par la loi du 8 juin 2008, est remplacé par ce qui suit:</w:t>
      </w:r>
    </w:p>
    <w:p>
      <w:pPr>
        <w:pStyle w:val="BodyText"/>
        <w:spacing w:before="7"/>
        <w:ind w:left="0" w:right="0" w:firstLine="0"/>
        <w:jc w:val="left"/>
        <w:rPr>
          <w:sz w:val="23"/>
        </w:rPr>
      </w:pPr>
    </w:p>
    <w:p>
      <w:pPr>
        <w:pStyle w:val="BodyText"/>
        <w:spacing w:line="218" w:lineRule="auto"/>
        <w:ind w:right="40"/>
      </w:pPr>
      <w:r>
        <w:rPr>
          <w:color w:val="231F20"/>
        </w:rPr>
        <w:t>« 17° des demandes formées en vertu de l’article 12:114, § 2, du Code des sociétés et des associations; »;</w:t>
      </w:r>
    </w:p>
    <w:p>
      <w:pPr>
        <w:pStyle w:val="BodyText"/>
        <w:spacing w:before="82"/>
        <w:ind w:left="283" w:right="0" w:firstLine="0"/>
        <w:jc w:val="left"/>
      </w:pPr>
      <w:r>
        <w:rPr>
          <w:color w:val="231F20"/>
        </w:rPr>
        <w:t>2°</w:t>
      </w:r>
      <w:r>
        <w:rPr>
          <w:color w:val="231F20"/>
          <w:spacing w:val="-8"/>
        </w:rPr>
        <w:t> </w:t>
      </w:r>
      <w:r>
        <w:rPr>
          <w:color w:val="231F20"/>
        </w:rPr>
        <w:t>le</w:t>
      </w:r>
      <w:r>
        <w:rPr>
          <w:color w:val="231F20"/>
          <w:spacing w:val="-7"/>
        </w:rPr>
        <w:t> </w:t>
      </w:r>
      <w:r>
        <w:rPr>
          <w:color w:val="231F20"/>
        </w:rPr>
        <w:t>19°,</w:t>
      </w:r>
      <w:r>
        <w:rPr>
          <w:color w:val="231F20"/>
          <w:spacing w:val="-7"/>
        </w:rPr>
        <w:t> </w:t>
      </w:r>
      <w:r>
        <w:rPr>
          <w:color w:val="231F20"/>
        </w:rPr>
        <w:t>inséré</w:t>
      </w:r>
      <w:r>
        <w:rPr>
          <w:color w:val="231F20"/>
          <w:spacing w:val="-7"/>
        </w:rPr>
        <w:t> </w:t>
      </w:r>
      <w:r>
        <w:rPr>
          <w:color w:val="231F20"/>
        </w:rPr>
        <w:t>par</w:t>
      </w:r>
      <w:r>
        <w:rPr>
          <w:color w:val="231F20"/>
          <w:spacing w:val="-7"/>
        </w:rPr>
        <w:t> </w:t>
      </w:r>
      <w:r>
        <w:rPr>
          <w:color w:val="231F20"/>
        </w:rPr>
        <w:t>la</w:t>
      </w:r>
      <w:r>
        <w:rPr>
          <w:color w:val="231F20"/>
          <w:spacing w:val="-8"/>
        </w:rPr>
        <w:t> </w:t>
      </w:r>
      <w:r>
        <w:rPr>
          <w:color w:val="231F20"/>
        </w:rPr>
        <w:t>loi</w:t>
      </w:r>
      <w:r>
        <w:rPr>
          <w:color w:val="231F20"/>
          <w:spacing w:val="-7"/>
        </w:rPr>
        <w:t> </w:t>
      </w:r>
      <w:r>
        <w:rPr>
          <w:color w:val="231F20"/>
        </w:rPr>
        <w:t>du</w:t>
      </w:r>
      <w:r>
        <w:rPr>
          <w:color w:val="231F20"/>
          <w:spacing w:val="-7"/>
        </w:rPr>
        <w:t> </w:t>
      </w:r>
      <w:r>
        <w:rPr>
          <w:color w:val="231F20"/>
        </w:rPr>
        <w:t>22</w:t>
      </w:r>
      <w:r>
        <w:rPr>
          <w:color w:val="231F20"/>
          <w:spacing w:val="-7"/>
        </w:rPr>
        <w:t> </w:t>
      </w:r>
      <w:r>
        <w:rPr>
          <w:color w:val="231F20"/>
        </w:rPr>
        <w:t>avril</w:t>
      </w:r>
      <w:r>
        <w:rPr>
          <w:color w:val="231F20"/>
          <w:spacing w:val="-7"/>
        </w:rPr>
        <w:t> </w:t>
      </w:r>
      <w:r>
        <w:rPr>
          <w:color w:val="231F20"/>
        </w:rPr>
        <w:t>2012,</w:t>
      </w:r>
      <w:r>
        <w:rPr>
          <w:color w:val="231F20"/>
          <w:spacing w:val="-8"/>
        </w:rPr>
        <w:t> </w:t>
      </w:r>
      <w:r>
        <w:rPr>
          <w:color w:val="231F20"/>
        </w:rPr>
        <w:t>est</w:t>
      </w:r>
      <w:r>
        <w:rPr>
          <w:color w:val="231F20"/>
          <w:spacing w:val="-7"/>
        </w:rPr>
        <w:t> </w:t>
      </w:r>
      <w:r>
        <w:rPr>
          <w:color w:val="231F20"/>
        </w:rPr>
        <w:t>remplacé</w:t>
      </w:r>
      <w:r>
        <w:rPr>
          <w:color w:val="231F20"/>
          <w:spacing w:val="-7"/>
        </w:rPr>
        <w:t> </w:t>
      </w:r>
      <w:r>
        <w:rPr>
          <w:color w:val="231F20"/>
        </w:rPr>
        <w:t>par</w:t>
      </w:r>
      <w:r>
        <w:rPr>
          <w:color w:val="231F20"/>
          <w:spacing w:val="-7"/>
        </w:rPr>
        <w:t> </w:t>
      </w:r>
      <w:r>
        <w:rPr>
          <w:color w:val="231F20"/>
        </w:rPr>
        <w:t>ce</w:t>
      </w:r>
      <w:r>
        <w:rPr>
          <w:color w:val="231F20"/>
          <w:spacing w:val="-7"/>
        </w:rPr>
        <w:t> </w:t>
      </w:r>
      <w:r>
        <w:rPr>
          <w:color w:val="231F20"/>
        </w:rPr>
        <w:t>qui</w:t>
      </w:r>
      <w:r>
        <w:rPr>
          <w:color w:val="231F20"/>
          <w:spacing w:val="-8"/>
        </w:rPr>
        <w:t> </w:t>
      </w:r>
      <w:r>
        <w:rPr>
          <w:color w:val="231F20"/>
        </w:rPr>
        <w:t>suit:</w:t>
      </w:r>
    </w:p>
    <w:p>
      <w:pPr>
        <w:pStyle w:val="BodyText"/>
        <w:spacing w:before="7"/>
        <w:ind w:left="0" w:right="0" w:firstLine="0"/>
        <w:jc w:val="left"/>
        <w:rPr>
          <w:sz w:val="23"/>
        </w:rPr>
      </w:pPr>
    </w:p>
    <w:p>
      <w:pPr>
        <w:pStyle w:val="BodyText"/>
        <w:spacing w:line="218" w:lineRule="auto"/>
        <w:ind w:right="39"/>
      </w:pPr>
      <w:r>
        <w:rPr>
          <w:color w:val="231F20"/>
        </w:rPr>
        <w:t>« 19° les demandes de confirmation et d’homologation de la désigna- tion des liquidateurs visées à l’article 2:84 ou 2:119 du Code des</w:t>
      </w:r>
      <w:r>
        <w:rPr>
          <w:color w:val="231F20"/>
          <w:spacing w:val="-19"/>
        </w:rPr>
        <w:t> </w:t>
      </w:r>
      <w:r>
        <w:rPr>
          <w:color w:val="231F20"/>
        </w:rPr>
        <w:t>sociétés et des associations et les demandes de remplacement du liquidateur visées</w:t>
      </w:r>
      <w:r>
        <w:rPr>
          <w:color w:val="231F20"/>
          <w:spacing w:val="12"/>
        </w:rPr>
        <w:t> </w:t>
      </w:r>
      <w:r>
        <w:rPr>
          <w:color w:val="231F20"/>
        </w:rPr>
        <w:t>aux</w:t>
      </w:r>
      <w:r>
        <w:rPr>
          <w:color w:val="231F20"/>
          <w:spacing w:val="13"/>
        </w:rPr>
        <w:t> </w:t>
      </w:r>
      <w:r>
        <w:rPr>
          <w:color w:val="231F20"/>
        </w:rPr>
        <w:t>articles</w:t>
      </w:r>
      <w:r>
        <w:rPr>
          <w:color w:val="231F20"/>
          <w:spacing w:val="13"/>
        </w:rPr>
        <w:t> </w:t>
      </w:r>
      <w:r>
        <w:rPr>
          <w:color w:val="231F20"/>
        </w:rPr>
        <w:t>2:86</w:t>
      </w:r>
      <w:r>
        <w:rPr>
          <w:color w:val="231F20"/>
          <w:spacing w:val="12"/>
        </w:rPr>
        <w:t> </w:t>
      </w:r>
      <w:r>
        <w:rPr>
          <w:color w:val="231F20"/>
        </w:rPr>
        <w:t>et</w:t>
      </w:r>
      <w:r>
        <w:rPr>
          <w:color w:val="231F20"/>
          <w:spacing w:val="13"/>
        </w:rPr>
        <w:t> </w:t>
      </w:r>
      <w:r>
        <w:rPr>
          <w:color w:val="231F20"/>
        </w:rPr>
        <w:t>2:120</w:t>
      </w:r>
      <w:r>
        <w:rPr>
          <w:color w:val="231F20"/>
          <w:spacing w:val="13"/>
        </w:rPr>
        <w:t> </w:t>
      </w:r>
      <w:r>
        <w:rPr>
          <w:color w:val="231F20"/>
        </w:rPr>
        <w:t>du</w:t>
      </w:r>
      <w:r>
        <w:rPr>
          <w:color w:val="231F20"/>
          <w:spacing w:val="13"/>
        </w:rPr>
        <w:t> </w:t>
      </w:r>
      <w:r>
        <w:rPr>
          <w:color w:val="231F20"/>
        </w:rPr>
        <w:t>même</w:t>
      </w:r>
      <w:r>
        <w:rPr>
          <w:color w:val="231F20"/>
          <w:spacing w:val="12"/>
        </w:rPr>
        <w:t> </w:t>
      </w:r>
      <w:r>
        <w:rPr>
          <w:color w:val="231F20"/>
        </w:rPr>
        <w:t>code; »</w:t>
      </w:r>
    </w:p>
    <w:p>
      <w:pPr>
        <w:pStyle w:val="BodyText"/>
        <w:spacing w:before="6"/>
        <w:ind w:left="0" w:right="0" w:firstLine="0"/>
        <w:jc w:val="left"/>
        <w:rPr>
          <w:sz w:val="27"/>
        </w:rPr>
      </w:pPr>
    </w:p>
    <w:p>
      <w:pPr>
        <w:pStyle w:val="BodyText"/>
        <w:spacing w:line="218" w:lineRule="auto"/>
        <w:ind w:right="39"/>
      </w:pPr>
      <w:r>
        <w:rPr>
          <w:rFonts w:ascii="Times New Roman" w:hAnsi="Times New Roman"/>
          <w:b/>
          <w:color w:val="231F20"/>
        </w:rPr>
        <w:t>Art. 5. </w:t>
      </w:r>
      <w:r>
        <w:rPr>
          <w:color w:val="231F20"/>
        </w:rPr>
        <w:t>Dans l’article 764 du même code, les modifications suivantes sont apportées:</w:t>
      </w:r>
    </w:p>
    <w:p>
      <w:pPr>
        <w:pStyle w:val="BodyText"/>
        <w:spacing w:line="218" w:lineRule="auto" w:before="107"/>
        <w:ind w:right="39"/>
      </w:pPr>
      <w:r>
        <w:rPr>
          <w:color w:val="231F20"/>
        </w:rPr>
        <w:t>1° dans le 9°, rétabli par la loi du 17 mai 2017 modifiant diverses lois en vue de compléter la procédure de dissolution judiciaire des sociétés, les mots « article 182, § 3, du Code des sociétés » sont remplacés par les mots « article 2:74 du Code des sociétés et des associations » et les</w:t>
      </w:r>
      <w:r>
        <w:rPr>
          <w:color w:val="231F20"/>
          <w:spacing w:val="-26"/>
        </w:rPr>
        <w:t> </w:t>
      </w:r>
      <w:r>
        <w:rPr>
          <w:color w:val="231F20"/>
        </w:rPr>
        <w:t>mots</w:t>
      </w:r>
    </w:p>
    <w:p>
      <w:pPr>
        <w:pStyle w:val="BodyText"/>
        <w:spacing w:line="218" w:lineRule="auto"/>
        <w:ind w:right="39" w:firstLine="0"/>
        <w:jc w:val="center"/>
      </w:pPr>
      <w:r>
        <w:rPr>
          <w:color w:val="231F20"/>
        </w:rPr>
        <w:t>« visées à l’article 182 du Code des sociétés » sont remplacés par les mots « visées à l’article 2:74 du Code des sociétés et des associations </w:t>
      </w:r>
      <w:r>
        <w:rPr>
          <w:color w:val="231F20"/>
          <w:spacing w:val="22"/>
        </w:rPr>
        <w:t> </w:t>
      </w:r>
      <w:r>
        <w:rPr>
          <w:color w:val="231F20"/>
        </w:rPr>
        <w:t>»;</w:t>
      </w:r>
    </w:p>
    <w:p>
      <w:pPr>
        <w:pStyle w:val="BodyText"/>
        <w:spacing w:line="218" w:lineRule="auto" w:before="119"/>
      </w:pPr>
      <w:r>
        <w:rPr/>
        <w:br w:type="column"/>
      </w:r>
      <w:r>
        <w:rPr>
          <w:color w:val="231F20"/>
          <w:spacing w:val="-3"/>
        </w:rPr>
        <w:t>Wanneer </w:t>
      </w:r>
      <w:r>
        <w:rPr>
          <w:color w:val="231F20"/>
        </w:rPr>
        <w:t>een Europees economisch samenwerkingsverband bestaat uit openbare en particuliere kredietinstellingen, mag dat Europees economisch samenwerkingsverband niet afwijken van de</w:t>
      </w:r>
      <w:r>
        <w:rPr>
          <w:color w:val="231F20"/>
          <w:spacing w:val="32"/>
        </w:rPr>
        <w:t> </w:t>
      </w:r>
      <w:r>
        <w:rPr>
          <w:color w:val="231F20"/>
        </w:rPr>
        <w:t>bepalingen van de wet van 25 april 2014 op het statuut van en het toezicht op kredietinstellingen en</w:t>
      </w:r>
      <w:r>
        <w:rPr>
          <w:color w:val="231F20"/>
          <w:spacing w:val="-11"/>
        </w:rPr>
        <w:t> </w:t>
      </w:r>
      <w:r>
        <w:rPr>
          <w:color w:val="231F20"/>
        </w:rPr>
        <w:t>beursvennootschappen.</w:t>
      </w:r>
    </w:p>
    <w:p>
      <w:pPr>
        <w:pStyle w:val="BodyText"/>
        <w:spacing w:line="218" w:lineRule="auto" w:before="86"/>
      </w:pPr>
      <w:r>
        <w:rPr>
          <w:color w:val="231F20"/>
        </w:rPr>
        <w:t>Art. 18:4. Een lid van een Europees economisch samenwerkingsver- band houdt op van dat Europees economisch samenwerkingsverband deel uit te maken vanaf de dag dat hij failliet is verklaard door een definitief</w:t>
      </w:r>
      <w:r>
        <w:rPr>
          <w:color w:val="231F20"/>
          <w:spacing w:val="15"/>
        </w:rPr>
        <w:t> </w:t>
      </w:r>
      <w:r>
        <w:rPr>
          <w:color w:val="231F20"/>
        </w:rPr>
        <w:t>vonnis</w:t>
      </w:r>
      <w:r>
        <w:rPr>
          <w:color w:val="231F20"/>
          <w:spacing w:val="15"/>
        </w:rPr>
        <w:t> </w:t>
      </w:r>
      <w:r>
        <w:rPr>
          <w:color w:val="231F20"/>
        </w:rPr>
        <w:t>van</w:t>
      </w:r>
      <w:r>
        <w:rPr>
          <w:color w:val="231F20"/>
          <w:spacing w:val="15"/>
        </w:rPr>
        <w:t> </w:t>
      </w:r>
      <w:r>
        <w:rPr>
          <w:color w:val="231F20"/>
        </w:rPr>
        <w:t>een</w:t>
      </w:r>
      <w:r>
        <w:rPr>
          <w:color w:val="231F20"/>
          <w:spacing w:val="15"/>
        </w:rPr>
        <w:t> </w:t>
      </w:r>
      <w:r>
        <w:rPr>
          <w:color w:val="231F20"/>
        </w:rPr>
        <w:t>Belgische</w:t>
      </w:r>
      <w:r>
        <w:rPr>
          <w:color w:val="231F20"/>
          <w:spacing w:val="15"/>
        </w:rPr>
        <w:t> </w:t>
      </w:r>
      <w:r>
        <w:rPr>
          <w:color w:val="231F20"/>
        </w:rPr>
        <w:t>rechtbank.</w:t>
      </w:r>
    </w:p>
    <w:p>
      <w:pPr>
        <w:pStyle w:val="BodyText"/>
        <w:spacing w:before="72"/>
        <w:ind w:left="283" w:right="0" w:firstLine="0"/>
        <w:jc w:val="left"/>
      </w:pPr>
      <w:r>
        <w:rPr>
          <w:color w:val="231F20"/>
        </w:rPr>
        <w:t>HOOFDSTUK 3. Optreden in rechte.</w:t>
      </w:r>
    </w:p>
    <w:p>
      <w:pPr>
        <w:pStyle w:val="BodyText"/>
        <w:spacing w:line="218" w:lineRule="auto" w:before="82"/>
      </w:pPr>
      <w:r>
        <w:rPr>
          <w:color w:val="231F20"/>
        </w:rPr>
        <w:t>Art. 18:5. Het Europees economisch samenwerkingsverband mag in rechte optreden, hetzij als eiser, hetzij als verweerder, voor de verdediging van de persoonlijke rechten waarop haar leden aanspraak mogen maken in die hoedanigheid, onverminderd het recht voor die leden om rechtstreeks op te treden, zich bij het geding aan te sluiten of tussen te komen in de loop van het rechtsgeding.</w:t>
      </w:r>
    </w:p>
    <w:p>
      <w:pPr>
        <w:pStyle w:val="BodyText"/>
        <w:spacing w:before="82"/>
        <w:ind w:left="283" w:right="0" w:firstLine="0"/>
        <w:jc w:val="left"/>
      </w:pPr>
      <w:r>
        <w:rPr>
          <w:color w:val="231F20"/>
        </w:rPr>
        <w:t>HOOFDSTUK 4. Bestuur.</w:t>
      </w:r>
    </w:p>
    <w:p>
      <w:pPr>
        <w:pStyle w:val="BodyText"/>
        <w:spacing w:line="218" w:lineRule="auto" w:before="93"/>
      </w:pPr>
      <w:r>
        <w:rPr>
          <w:color w:val="231F20"/>
        </w:rPr>
        <w:t>Art. 18:6. Niettegenstaande andersluidende bepaling in de overeen- komst, kan ieder lid in rechte het ontslag van een zaakvoerder wegens wettige redenen vorderen.</w:t>
      </w:r>
    </w:p>
    <w:p>
      <w:pPr>
        <w:pStyle w:val="BodyText"/>
        <w:spacing w:before="82"/>
        <w:ind w:left="283" w:right="0" w:firstLine="0"/>
        <w:jc w:val="left"/>
      </w:pPr>
      <w:r>
        <w:rPr>
          <w:color w:val="231F20"/>
        </w:rPr>
        <w:t>TITEL 2. Sociaalrechtelijke bepaling.</w:t>
      </w:r>
    </w:p>
    <w:p>
      <w:pPr>
        <w:pStyle w:val="BodyText"/>
        <w:spacing w:line="218" w:lineRule="auto" w:before="93"/>
      </w:pPr>
      <w:r>
        <w:rPr>
          <w:color w:val="231F20"/>
        </w:rPr>
        <w:t>Art. 18:7. De ondernemingen die over een ondernemingsraad beschikken en lid zijn van een Europees economisch samenwerkings- verband zijn ertoe gehouden hun ondernemingsraad de inlichtingen te verstrekken met betrekking tot het Europees economisch samenwer- kingsverband waarvan zij deel uitmaken, zoals die zijn bepaald in de artikelen 5, 8, </w:t>
      </w:r>
      <w:r>
        <w:rPr>
          <w:color w:val="231F20"/>
          <w:spacing w:val="-5"/>
        </w:rPr>
        <w:t>11 </w:t>
      </w:r>
      <w:r>
        <w:rPr>
          <w:color w:val="231F20"/>
        </w:rPr>
        <w:t>en  14  van  het  koninklijk  besluit  van  27  novem-  ber 1973 houdende reglementering van de economische en financiële inlichtingen</w:t>
      </w:r>
      <w:r>
        <w:rPr>
          <w:color w:val="231F20"/>
          <w:spacing w:val="15"/>
        </w:rPr>
        <w:t> </w:t>
      </w:r>
      <w:r>
        <w:rPr>
          <w:color w:val="231F20"/>
        </w:rPr>
        <w:t>te</w:t>
      </w:r>
      <w:r>
        <w:rPr>
          <w:color w:val="231F20"/>
          <w:spacing w:val="16"/>
        </w:rPr>
        <w:t> </w:t>
      </w:r>
      <w:r>
        <w:rPr>
          <w:color w:val="231F20"/>
        </w:rPr>
        <w:t>verstrekken</w:t>
      </w:r>
      <w:r>
        <w:rPr>
          <w:color w:val="231F20"/>
          <w:spacing w:val="15"/>
        </w:rPr>
        <w:t> </w:t>
      </w:r>
      <w:r>
        <w:rPr>
          <w:color w:val="231F20"/>
        </w:rPr>
        <w:t>aan</w:t>
      </w:r>
      <w:r>
        <w:rPr>
          <w:color w:val="231F20"/>
          <w:spacing w:val="16"/>
        </w:rPr>
        <w:t> </w:t>
      </w:r>
      <w:r>
        <w:rPr>
          <w:color w:val="231F20"/>
        </w:rPr>
        <w:t>de</w:t>
      </w:r>
      <w:r>
        <w:rPr>
          <w:color w:val="231F20"/>
          <w:spacing w:val="15"/>
        </w:rPr>
        <w:t> </w:t>
      </w:r>
      <w:r>
        <w:rPr>
          <w:color w:val="231F20"/>
        </w:rPr>
        <w:t>ondernemingsraden.</w:t>
      </w:r>
    </w:p>
    <w:p>
      <w:pPr>
        <w:pStyle w:val="BodyText"/>
        <w:spacing w:before="82"/>
        <w:ind w:left="283" w:right="0" w:firstLine="0"/>
        <w:jc w:val="left"/>
      </w:pPr>
      <w:r>
        <w:rPr>
          <w:color w:val="231F20"/>
        </w:rPr>
        <w:t>TITEL 3. Fiscale bepalingen.</w:t>
      </w:r>
    </w:p>
    <w:p>
      <w:pPr>
        <w:pStyle w:val="BodyText"/>
        <w:spacing w:line="218" w:lineRule="auto" w:before="93"/>
      </w:pPr>
      <w:r>
        <w:rPr>
          <w:color w:val="231F20"/>
        </w:rPr>
        <w:t>Art. 18:8. In afwijking van de artikelen 1:5, § 3, en 2:6 wordt het overeenkomstig dit wetboek opgerichte Europees economisch samen- werkingsverband geacht geen rechtspersoonlijkheid te bezitten voor de toepassing van de inkomstenbelastingen.</w:t>
      </w:r>
    </w:p>
    <w:p>
      <w:pPr>
        <w:pStyle w:val="BodyText"/>
        <w:spacing w:line="218" w:lineRule="auto" w:before="96"/>
      </w:pPr>
      <w:r>
        <w:rPr>
          <w:color w:val="231F20"/>
        </w:rPr>
        <w:t>Het Europees economisch samenwerkingsverband wordt als dusda- nig niet aan deze belastingen onderworpen. De uitgekeerde of niet uitgekeerde winst of baten evenals de opnemingen door de leden worden als winst of baten van de desbetreffende leden beschouwd en ten hunne name belast overeenkomstig het stelsel dat op hen van toepassing is.</w:t>
      </w:r>
    </w:p>
    <w:p>
      <w:pPr>
        <w:pStyle w:val="BodyText"/>
        <w:spacing w:line="218" w:lineRule="auto" w:before="97"/>
      </w:pPr>
      <w:r>
        <w:rPr>
          <w:color w:val="231F20"/>
        </w:rPr>
        <w:t>Deze winst of baten worden geacht te zijn betaald of toegekend aan de leden op de datum van afsluiting van het boekjaar waarop zij betrekking hebben; het aandeel in de niet uitgekeerde winst of baten wordt voor elk lid vastgesteld overeenkomstig de bepalingen van de overeenkomst</w:t>
      </w:r>
      <w:r>
        <w:rPr>
          <w:color w:val="231F20"/>
          <w:spacing w:val="17"/>
        </w:rPr>
        <w:t> </w:t>
      </w:r>
      <w:r>
        <w:rPr>
          <w:color w:val="231F20"/>
        </w:rPr>
        <w:t>of,</w:t>
      </w:r>
      <w:r>
        <w:rPr>
          <w:color w:val="231F20"/>
          <w:spacing w:val="17"/>
        </w:rPr>
        <w:t> </w:t>
      </w:r>
      <w:r>
        <w:rPr>
          <w:color w:val="231F20"/>
        </w:rPr>
        <w:t>bij</w:t>
      </w:r>
      <w:r>
        <w:rPr>
          <w:color w:val="231F20"/>
          <w:spacing w:val="17"/>
        </w:rPr>
        <w:t> </w:t>
      </w:r>
      <w:r>
        <w:rPr>
          <w:color w:val="231F20"/>
        </w:rPr>
        <w:t>gebrek</w:t>
      </w:r>
      <w:r>
        <w:rPr>
          <w:color w:val="231F20"/>
          <w:spacing w:val="17"/>
        </w:rPr>
        <w:t> </w:t>
      </w:r>
      <w:r>
        <w:rPr>
          <w:color w:val="231F20"/>
        </w:rPr>
        <w:t>daaraan,</w:t>
      </w:r>
      <w:r>
        <w:rPr>
          <w:color w:val="231F20"/>
          <w:spacing w:val="17"/>
        </w:rPr>
        <w:t> </w:t>
      </w:r>
      <w:r>
        <w:rPr>
          <w:color w:val="231F20"/>
        </w:rPr>
        <w:t>volgens</w:t>
      </w:r>
      <w:r>
        <w:rPr>
          <w:color w:val="231F20"/>
          <w:spacing w:val="17"/>
        </w:rPr>
        <w:t> </w:t>
      </w:r>
      <w:r>
        <w:rPr>
          <w:color w:val="231F20"/>
        </w:rPr>
        <w:t>het</w:t>
      </w:r>
      <w:r>
        <w:rPr>
          <w:color w:val="231F20"/>
          <w:spacing w:val="17"/>
        </w:rPr>
        <w:t> </w:t>
      </w:r>
      <w:r>
        <w:rPr>
          <w:color w:val="231F20"/>
        </w:rPr>
        <w:t>hoofdelijk</w:t>
      </w:r>
      <w:r>
        <w:rPr>
          <w:color w:val="231F20"/>
          <w:spacing w:val="17"/>
        </w:rPr>
        <w:t> </w:t>
      </w:r>
      <w:r>
        <w:rPr>
          <w:color w:val="231F20"/>
        </w:rPr>
        <w:t>aandeel.</w:t>
      </w:r>
    </w:p>
    <w:p>
      <w:pPr>
        <w:spacing w:before="79"/>
        <w:ind w:left="1291" w:right="0" w:firstLine="0"/>
        <w:jc w:val="left"/>
        <w:rPr>
          <w:rFonts w:ascii="Times New Roman" w:hAnsi="Times New Roman"/>
          <w:i/>
          <w:sz w:val="17"/>
        </w:rPr>
      </w:pPr>
      <w:r>
        <w:rPr>
          <w:color w:val="231F20"/>
          <w:sz w:val="17"/>
        </w:rPr>
        <w:t>HOOFDSTUK III. — </w:t>
      </w:r>
      <w:r>
        <w:rPr>
          <w:rFonts w:ascii="Times New Roman" w:hAnsi="Times New Roman"/>
          <w:i/>
          <w:color w:val="231F20"/>
          <w:sz w:val="17"/>
        </w:rPr>
        <w:t>Diverse bepalingen.</w:t>
      </w:r>
    </w:p>
    <w:p>
      <w:pPr>
        <w:spacing w:before="129"/>
        <w:ind w:left="745" w:right="0" w:firstLine="0"/>
        <w:jc w:val="left"/>
        <w:rPr>
          <w:sz w:val="17"/>
        </w:rPr>
      </w:pPr>
      <w:r>
        <w:rPr>
          <w:rFonts w:ascii="Times New Roman" w:hAnsi="Times New Roman"/>
          <w:i/>
          <w:color w:val="231F20"/>
          <w:w w:val="105"/>
          <w:sz w:val="17"/>
        </w:rPr>
        <w:t>Afdeling I. </w:t>
      </w:r>
      <w:r>
        <w:rPr>
          <w:i/>
          <w:color w:val="231F20"/>
          <w:w w:val="105"/>
          <w:sz w:val="17"/>
        </w:rPr>
        <w:t>— </w:t>
      </w:r>
      <w:r>
        <w:rPr>
          <w:color w:val="231F20"/>
          <w:w w:val="105"/>
          <w:sz w:val="17"/>
        </w:rPr>
        <w:t>Wijziging van het Gerechtelijk Wetboek.</w:t>
      </w:r>
    </w:p>
    <w:p>
      <w:pPr>
        <w:pStyle w:val="BodyText"/>
        <w:spacing w:line="218" w:lineRule="auto" w:before="133"/>
      </w:pPr>
      <w:r>
        <w:rPr>
          <w:rFonts w:ascii="Times New Roman" w:hAnsi="Times New Roman"/>
          <w:b/>
          <w:color w:val="231F20"/>
        </w:rPr>
        <w:t>Art. 3. </w:t>
      </w:r>
      <w:r>
        <w:rPr>
          <w:color w:val="231F20"/>
        </w:rPr>
        <w:t>In artikel 574, 12° van het Gerechtelijk Wetboek, ingevoegd  bij de wet van 10 februari 1999, worden de woorden “43</w:t>
      </w:r>
      <w:r>
        <w:rPr>
          <w:rFonts w:ascii="Times New Roman" w:hAnsi="Times New Roman"/>
          <w:i/>
          <w:color w:val="231F20"/>
        </w:rPr>
        <w:t>bis </w:t>
      </w:r>
      <w:r>
        <w:rPr>
          <w:color w:val="231F20"/>
        </w:rPr>
        <w:t>en 124</w:t>
      </w:r>
      <w:r>
        <w:rPr>
          <w:rFonts w:ascii="Times New Roman" w:hAnsi="Times New Roman"/>
          <w:i/>
          <w:color w:val="231F20"/>
        </w:rPr>
        <w:t>ter </w:t>
      </w:r>
      <w:r>
        <w:rPr>
          <w:color w:val="231F20"/>
        </w:rPr>
        <w:t>van  de  wetten  op  de  handelsvennootschappen,  gecoördineerd  op   30 november 1935.” vervangen door de woorden “5:28, 5:49, 6:27, 7:33 en</w:t>
      </w:r>
      <w:r>
        <w:rPr>
          <w:color w:val="231F20"/>
          <w:spacing w:val="18"/>
        </w:rPr>
        <w:t> </w:t>
      </w:r>
      <w:r>
        <w:rPr>
          <w:color w:val="231F20"/>
        </w:rPr>
        <w:t>7:61</w:t>
      </w:r>
      <w:r>
        <w:rPr>
          <w:color w:val="231F20"/>
          <w:spacing w:val="18"/>
        </w:rPr>
        <w:t> </w:t>
      </w:r>
      <w:r>
        <w:rPr>
          <w:color w:val="231F20"/>
        </w:rPr>
        <w:t>van</w:t>
      </w:r>
      <w:r>
        <w:rPr>
          <w:color w:val="231F20"/>
          <w:spacing w:val="19"/>
        </w:rPr>
        <w:t> </w:t>
      </w:r>
      <w:r>
        <w:rPr>
          <w:color w:val="231F20"/>
        </w:rPr>
        <w:t>het</w:t>
      </w:r>
      <w:r>
        <w:rPr>
          <w:color w:val="231F20"/>
          <w:spacing w:val="18"/>
        </w:rPr>
        <w:t> </w:t>
      </w:r>
      <w:r>
        <w:rPr>
          <w:color w:val="231F20"/>
          <w:spacing w:val="-3"/>
        </w:rPr>
        <w:t>Wetboek</w:t>
      </w:r>
      <w:r>
        <w:rPr>
          <w:color w:val="231F20"/>
          <w:spacing w:val="19"/>
        </w:rPr>
        <w:t> </w:t>
      </w:r>
      <w:r>
        <w:rPr>
          <w:color w:val="231F20"/>
        </w:rPr>
        <w:t>van</w:t>
      </w:r>
      <w:r>
        <w:rPr>
          <w:color w:val="231F20"/>
          <w:spacing w:val="18"/>
        </w:rPr>
        <w:t> </w:t>
      </w:r>
      <w:r>
        <w:rPr>
          <w:color w:val="231F20"/>
        </w:rPr>
        <w:t>vennootschappen</w:t>
      </w:r>
      <w:r>
        <w:rPr>
          <w:color w:val="231F20"/>
          <w:spacing w:val="19"/>
        </w:rPr>
        <w:t> </w:t>
      </w:r>
      <w:r>
        <w:rPr>
          <w:color w:val="231F20"/>
        </w:rPr>
        <w:t>en</w:t>
      </w:r>
      <w:r>
        <w:rPr>
          <w:color w:val="231F20"/>
          <w:spacing w:val="18"/>
        </w:rPr>
        <w:t> </w:t>
      </w:r>
      <w:r>
        <w:rPr>
          <w:color w:val="231F20"/>
        </w:rPr>
        <w:t>verenigingen;”.</w:t>
      </w:r>
    </w:p>
    <w:p>
      <w:pPr>
        <w:pStyle w:val="BodyText"/>
        <w:spacing w:line="218" w:lineRule="auto" w:before="134"/>
      </w:pPr>
      <w:r>
        <w:rPr>
          <w:rFonts w:ascii="Times New Roman"/>
          <w:b/>
          <w:color w:val="231F20"/>
        </w:rPr>
        <w:t>Art. 4. </w:t>
      </w:r>
      <w:r>
        <w:rPr>
          <w:color w:val="231F20"/>
        </w:rPr>
        <w:t>In artikel 588 van hetzelfde wetboek worden de volgende wijzigingen aangebracht:</w:t>
      </w:r>
    </w:p>
    <w:p>
      <w:pPr>
        <w:pStyle w:val="BodyText"/>
        <w:spacing w:line="218" w:lineRule="auto" w:before="96"/>
        <w:ind w:right="125"/>
      </w:pPr>
      <w:r>
        <w:rPr>
          <w:color w:val="231F20"/>
        </w:rPr>
        <w:t>1° de bepaling onder 17°, ingevoegd bij de wet van 8 juni 2008, wordt vervangen als volgt:</w:t>
      </w:r>
    </w:p>
    <w:p>
      <w:pPr>
        <w:pStyle w:val="BodyText"/>
        <w:spacing w:line="218" w:lineRule="auto" w:before="96"/>
      </w:pPr>
      <w:r>
        <w:rPr>
          <w:color w:val="231F20"/>
        </w:rPr>
        <w:t>“17° op de vorderingen ingesteld op grond van artikel 12:114, § 2, van het Wetboek van vennootschappen en verenigingen;”;</w:t>
      </w:r>
    </w:p>
    <w:p>
      <w:pPr>
        <w:pStyle w:val="BodyText"/>
        <w:spacing w:line="218" w:lineRule="auto" w:before="96"/>
      </w:pPr>
      <w:r>
        <w:rPr>
          <w:color w:val="231F20"/>
          <w:w w:val="105"/>
        </w:rPr>
        <w:t>2° de bepaling onder 19°, ingevoegd bij de wet van 22 april 2012, wordt vervangen als volgt:</w:t>
      </w:r>
    </w:p>
    <w:p>
      <w:pPr>
        <w:pStyle w:val="BodyText"/>
        <w:spacing w:line="218" w:lineRule="auto" w:before="96"/>
      </w:pPr>
      <w:r>
        <w:rPr>
          <w:color w:val="231F20"/>
        </w:rPr>
        <w:t>“19° op de vorderingen tot bevestiging en homologatie van de aanstelling van de vereffenaars bedoeld in artikel 2:84 of 2:119 van het Wetboek van vennootschappen en verenigingen en op de vorderingen tot vervanging van de vereffenaar bedoeld in de artikelen 2:86 en 2:120 van hetzelfde wetboek;”</w:t>
      </w:r>
    </w:p>
    <w:p>
      <w:pPr>
        <w:pStyle w:val="BodyText"/>
        <w:spacing w:line="218" w:lineRule="auto" w:before="137"/>
      </w:pPr>
      <w:r>
        <w:rPr>
          <w:rFonts w:ascii="Times New Roman"/>
          <w:b/>
          <w:color w:val="231F20"/>
        </w:rPr>
        <w:t>Art. 5. </w:t>
      </w:r>
      <w:r>
        <w:rPr>
          <w:color w:val="231F20"/>
        </w:rPr>
        <w:t>In artikel 764 van hetzelfde wetboek worden de volgende wijzigingen aangebracht:</w:t>
      </w:r>
    </w:p>
    <w:p>
      <w:pPr>
        <w:pStyle w:val="BodyText"/>
        <w:spacing w:line="218" w:lineRule="auto" w:before="106"/>
      </w:pPr>
      <w:r>
        <w:rPr>
          <w:color w:val="231F20"/>
        </w:rPr>
        <w:t>1° in de bepaling onder 9°, hersteld bij de wet van 17 mei 2017 tot wijziging van diverse wetten met het oog op de aanvulling van de gerechtelijke ontbindingsprocedure van vennootschappen, worden de woorden “artikel 182, § 3, van het Wetboek van vennootschappen” vervangen door de woorden “artikel 2:74 van het Wetboek van vennootschappen en verenigingen” en worden de woorden “bedoeld in</w:t>
      </w:r>
    </w:p>
    <w:p>
      <w:pPr>
        <w:spacing w:after="0" w:line="218" w:lineRule="auto"/>
        <w:sectPr>
          <w:headerReference w:type="even" r:id="rId119"/>
          <w:headerReference w:type="default" r:id="rId120"/>
          <w:pgSz w:w="11940" w:h="16880"/>
          <w:pgMar w:header="666" w:footer="0" w:top="1140" w:bottom="280" w:left="340" w:right="360"/>
          <w:cols w:num="2" w:equalWidth="0">
            <w:col w:w="5528" w:space="100"/>
            <w:col w:w="5612"/>
          </w:cols>
        </w:sectPr>
      </w:pPr>
    </w:p>
    <w:p>
      <w:pPr>
        <w:pStyle w:val="BodyText"/>
        <w:ind w:left="0" w:right="0" w:firstLine="0"/>
        <w:jc w:val="left"/>
        <w:rPr>
          <w:sz w:val="20"/>
        </w:rPr>
      </w:pPr>
      <w:r>
        <w:rPr/>
        <w:pict>
          <v:line style="position:absolute;mso-position-horizontal-relative:page;mso-position-vertical-relative:page;z-index:7792" from="298.170502pt,64.473pt" to="298.170502pt,812.819pt" stroked="true" strokeweight=".533pt" strokecolor="#231f20">
            <v:stroke dashstyle="solid"/>
            <w10:wrap type="none"/>
          </v:line>
        </w:pict>
      </w:r>
    </w:p>
    <w:p>
      <w:pPr>
        <w:pStyle w:val="BodyText"/>
        <w:ind w:left="0" w:right="0" w:firstLine="0"/>
        <w:jc w:val="left"/>
        <w:rPr>
          <w:sz w:val="20"/>
        </w:rPr>
      </w:pPr>
    </w:p>
    <w:p>
      <w:pPr>
        <w:pStyle w:val="BodyText"/>
        <w:ind w:left="0" w:right="0" w:firstLine="0"/>
        <w:jc w:val="left"/>
        <w:rPr>
          <w:sz w:val="20"/>
        </w:rPr>
      </w:pPr>
    </w:p>
    <w:p>
      <w:pPr>
        <w:pStyle w:val="BodyText"/>
        <w:spacing w:line="213" w:lineRule="auto" w:before="147"/>
        <w:ind w:right="79"/>
      </w:pPr>
      <w:bookmarkStart w:name="_bookmark282" w:id="288"/>
      <w:bookmarkEnd w:id="288"/>
      <w:r>
        <w:rPr/>
      </w:r>
      <w:r>
        <w:rPr>
          <w:color w:val="231F20"/>
        </w:rPr>
        <w:t>2° dans le 9°</w:t>
      </w:r>
      <w:r>
        <w:rPr>
          <w:rFonts w:ascii="Times New Roman" w:hAnsi="Times New Roman"/>
          <w:i/>
          <w:color w:val="231F20"/>
        </w:rPr>
        <w:t>bis</w:t>
      </w:r>
      <w:r>
        <w:rPr>
          <w:color w:val="231F20"/>
        </w:rPr>
        <w:t>, inséré par la loi du </w:t>
      </w:r>
      <w:r>
        <w:rPr>
          <w:color w:val="231F20"/>
          <w:spacing w:val="-5"/>
        </w:rPr>
        <w:t>11 </w:t>
      </w:r>
      <w:r>
        <w:rPr>
          <w:color w:val="231F20"/>
        </w:rPr>
        <w:t>août 2017 portant insertion du Livre XX « Insolvabilité des entreprises », dans le Code de droit économique, et portant insertion des définitions propres au livre XX, et des dispositions d’application au livre XX, dans le livre I du Code de droit économique, les mots « aux articles 18, alinéa 1</w:t>
      </w:r>
      <w:r>
        <w:rPr>
          <w:color w:val="231F20"/>
          <w:position w:val="7"/>
          <w:sz w:val="11"/>
        </w:rPr>
        <w:t>er</w:t>
      </w:r>
      <w:r>
        <w:rPr>
          <w:color w:val="231F20"/>
        </w:rPr>
        <w:t>, 4°,  et  39,  alinéa 1</w:t>
      </w:r>
      <w:r>
        <w:rPr>
          <w:color w:val="231F20"/>
          <w:position w:val="7"/>
          <w:sz w:val="11"/>
        </w:rPr>
        <w:t>er</w:t>
      </w:r>
      <w:r>
        <w:rPr>
          <w:color w:val="231F20"/>
        </w:rPr>
        <w:t>, 5°, de la loi du 27 juin 1921 sur les associations sans but lucratif, les fondations, les partis politiques européens et les fondations politiques européennes » sont remplacés  par  les  mots  « aux  arti-  cles 2:113, § 1</w:t>
      </w:r>
      <w:r>
        <w:rPr>
          <w:color w:val="231F20"/>
          <w:position w:val="7"/>
          <w:sz w:val="11"/>
        </w:rPr>
        <w:t>er</w:t>
      </w:r>
      <w:r>
        <w:rPr>
          <w:color w:val="231F20"/>
        </w:rPr>
        <w:t>, 4°, et 2:114, § 1</w:t>
      </w:r>
      <w:r>
        <w:rPr>
          <w:color w:val="231F20"/>
          <w:position w:val="7"/>
          <w:sz w:val="11"/>
        </w:rPr>
        <w:t>er</w:t>
      </w:r>
      <w:r>
        <w:rPr>
          <w:color w:val="231F20"/>
        </w:rPr>
        <w:t>, 5°, du Code des sociétés et des associations ».</w:t>
      </w:r>
    </w:p>
    <w:p>
      <w:pPr>
        <w:pStyle w:val="BodyText"/>
        <w:ind w:left="0" w:right="0" w:firstLine="0"/>
        <w:jc w:val="left"/>
        <w:rPr>
          <w:sz w:val="20"/>
        </w:rPr>
      </w:pPr>
    </w:p>
    <w:p>
      <w:pPr>
        <w:pStyle w:val="BodyText"/>
        <w:spacing w:line="218" w:lineRule="auto" w:before="172"/>
        <w:ind w:right="80"/>
      </w:pPr>
      <w:r>
        <w:rPr>
          <w:rFonts w:ascii="Times New Roman" w:hAnsi="Times New Roman"/>
          <w:b/>
          <w:color w:val="231F20"/>
        </w:rPr>
        <w:t>Art. 6. </w:t>
      </w:r>
      <w:r>
        <w:rPr>
          <w:color w:val="231F20"/>
        </w:rPr>
        <w:t>L’article 1128, alinéa 3, du même Code, remplacé par la loi du 29 juin 1993 et modifié par la loi du 13 avril 1995, est remplacé par ce qui suit:</w:t>
      </w:r>
    </w:p>
    <w:p>
      <w:pPr>
        <w:pStyle w:val="BodyText"/>
        <w:spacing w:before="10"/>
        <w:ind w:left="0" w:right="0" w:firstLine="0"/>
        <w:jc w:val="left"/>
        <w:rPr>
          <w:sz w:val="16"/>
        </w:rPr>
      </w:pPr>
    </w:p>
    <w:p>
      <w:pPr>
        <w:pStyle w:val="BodyText"/>
        <w:spacing w:line="218" w:lineRule="auto"/>
        <w:ind w:right="79"/>
      </w:pPr>
      <w:r>
        <w:rPr>
          <w:color w:val="231F20"/>
        </w:rPr>
        <w:t>« N’est plus recevable après l’expiration d’un délai de six mois à compter de la publication de la décision judiciaire faite conformément  à l’article 2:14, 2:15, 2:16 ou 2:17 du Code des sociétés et des associations, la tierce-opposition formée contre une décision judiciaire prononçant:</w:t>
      </w:r>
    </w:p>
    <w:p>
      <w:pPr>
        <w:pStyle w:val="BodyText"/>
        <w:spacing w:before="179"/>
        <w:ind w:left="283" w:right="0" w:firstLine="0"/>
        <w:jc w:val="left"/>
      </w:pPr>
      <w:r>
        <w:rPr>
          <w:color w:val="231F20"/>
        </w:rPr>
        <w:t>1° la nullité d’une personne morale;</w:t>
      </w:r>
    </w:p>
    <w:p>
      <w:pPr>
        <w:pStyle w:val="BodyText"/>
        <w:spacing w:before="174"/>
        <w:ind w:left="283" w:right="0" w:firstLine="0"/>
        <w:jc w:val="left"/>
      </w:pPr>
      <w:r>
        <w:rPr>
          <w:color w:val="231F20"/>
        </w:rPr>
        <w:t>2° la nullité d’une modification des statuts;</w:t>
      </w:r>
    </w:p>
    <w:p>
      <w:pPr>
        <w:pStyle w:val="BodyText"/>
        <w:spacing w:before="175"/>
        <w:ind w:left="283" w:right="0" w:firstLine="0"/>
        <w:jc w:val="left"/>
      </w:pPr>
      <w:r>
        <w:rPr>
          <w:color w:val="231F20"/>
        </w:rPr>
        <w:t>3° la nullité d’une fusion ou d’une scission d’une société;</w:t>
      </w:r>
    </w:p>
    <w:p>
      <w:pPr>
        <w:pStyle w:val="BodyText"/>
        <w:ind w:left="0" w:right="0" w:firstLine="0"/>
        <w:jc w:val="left"/>
        <w:rPr>
          <w:sz w:val="20"/>
        </w:rPr>
      </w:pPr>
    </w:p>
    <w:p>
      <w:pPr>
        <w:pStyle w:val="BodyText"/>
        <w:spacing w:line="218" w:lineRule="auto" w:before="137"/>
        <w:ind w:right="79"/>
      </w:pPr>
      <w:r>
        <w:rPr>
          <w:color w:val="231F20"/>
        </w:rPr>
        <w:t>4° la nullité d’une opération visée à l’article 12:2, 12:3, 12:4 ou 12:5</w:t>
      </w:r>
      <w:r>
        <w:rPr>
          <w:color w:val="231F20"/>
          <w:spacing w:val="-23"/>
        </w:rPr>
        <w:t> </w:t>
      </w:r>
      <w:r>
        <w:rPr>
          <w:color w:val="231F20"/>
        </w:rPr>
        <w:t>du Code</w:t>
      </w:r>
      <w:r>
        <w:rPr>
          <w:color w:val="231F20"/>
          <w:spacing w:val="15"/>
        </w:rPr>
        <w:t> </w:t>
      </w:r>
      <w:r>
        <w:rPr>
          <w:color w:val="231F20"/>
        </w:rPr>
        <w:t>des</w:t>
      </w:r>
      <w:r>
        <w:rPr>
          <w:color w:val="231F20"/>
          <w:spacing w:val="15"/>
        </w:rPr>
        <w:t> </w:t>
      </w:r>
      <w:r>
        <w:rPr>
          <w:color w:val="231F20"/>
        </w:rPr>
        <w:t>sociétés</w:t>
      </w:r>
      <w:r>
        <w:rPr>
          <w:color w:val="231F20"/>
          <w:spacing w:val="15"/>
        </w:rPr>
        <w:t> </w:t>
      </w:r>
      <w:r>
        <w:rPr>
          <w:color w:val="231F20"/>
        </w:rPr>
        <w:t>et</w:t>
      </w:r>
      <w:r>
        <w:rPr>
          <w:color w:val="231F20"/>
          <w:spacing w:val="15"/>
        </w:rPr>
        <w:t> </w:t>
      </w:r>
      <w:r>
        <w:rPr>
          <w:color w:val="231F20"/>
        </w:rPr>
        <w:t>des</w:t>
      </w:r>
      <w:r>
        <w:rPr>
          <w:color w:val="231F20"/>
          <w:spacing w:val="15"/>
        </w:rPr>
        <w:t> </w:t>
      </w:r>
      <w:r>
        <w:rPr>
          <w:color w:val="231F20"/>
        </w:rPr>
        <w:t>associations;</w:t>
      </w:r>
    </w:p>
    <w:p>
      <w:pPr>
        <w:pStyle w:val="BodyText"/>
        <w:ind w:left="0" w:right="0" w:firstLine="0"/>
        <w:jc w:val="left"/>
        <w:rPr>
          <w:sz w:val="20"/>
        </w:rPr>
      </w:pPr>
    </w:p>
    <w:p>
      <w:pPr>
        <w:pStyle w:val="BodyText"/>
        <w:spacing w:before="126"/>
        <w:ind w:left="283" w:right="0" w:firstLine="0"/>
        <w:jc w:val="left"/>
      </w:pPr>
      <w:r>
        <w:rPr>
          <w:color w:val="231F20"/>
        </w:rPr>
        <w:t>5° la nullité d’une décision d’un organe d’une personne morale;</w:t>
      </w:r>
    </w:p>
    <w:p>
      <w:pPr>
        <w:pStyle w:val="BodyText"/>
        <w:ind w:left="0" w:right="0" w:firstLine="0"/>
        <w:jc w:val="left"/>
        <w:rPr>
          <w:sz w:val="20"/>
        </w:rPr>
      </w:pPr>
    </w:p>
    <w:p>
      <w:pPr>
        <w:pStyle w:val="BodyText"/>
        <w:spacing w:line="218" w:lineRule="auto" w:before="138"/>
        <w:ind w:right="79"/>
      </w:pPr>
      <w:r>
        <w:rPr>
          <w:color w:val="231F20"/>
        </w:rPr>
        <w:t>6° la dissolution ou la clôture de la liquidation d’une personne morale prononcée en vertu des articles 2:74, 2:75, 2:81 et 2:101 du Code des sociétés et des</w:t>
      </w:r>
      <w:r>
        <w:rPr>
          <w:color w:val="231F20"/>
          <w:spacing w:val="17"/>
        </w:rPr>
        <w:t> </w:t>
      </w:r>
      <w:r>
        <w:rPr>
          <w:color w:val="231F20"/>
        </w:rPr>
        <w:t>associations;</w:t>
      </w:r>
    </w:p>
    <w:p>
      <w:pPr>
        <w:pStyle w:val="BodyText"/>
        <w:spacing w:before="10"/>
        <w:ind w:left="0" w:right="0" w:firstLine="0"/>
        <w:jc w:val="left"/>
        <w:rPr>
          <w:sz w:val="16"/>
        </w:rPr>
      </w:pPr>
    </w:p>
    <w:p>
      <w:pPr>
        <w:pStyle w:val="BodyText"/>
        <w:spacing w:line="218" w:lineRule="auto"/>
        <w:ind w:right="79"/>
      </w:pPr>
      <w:r>
        <w:rPr>
          <w:color w:val="231F20"/>
        </w:rPr>
        <w:t>7° une cession ou un retrait en vertu des articles 2:60 à 2:69, ou se prononçant sur les conditions d’une reprise en vertu des articles 5:69 et 7:82 du Code des sociétés et des associations. ».</w:t>
      </w:r>
    </w:p>
    <w:p>
      <w:pPr>
        <w:pStyle w:val="BodyText"/>
        <w:ind w:left="0" w:right="0" w:firstLine="0"/>
        <w:jc w:val="left"/>
        <w:rPr>
          <w:sz w:val="20"/>
        </w:rPr>
      </w:pPr>
    </w:p>
    <w:p>
      <w:pPr>
        <w:pStyle w:val="BodyText"/>
        <w:spacing w:line="218" w:lineRule="auto" w:before="138"/>
        <w:ind w:right="79"/>
      </w:pPr>
      <w:r>
        <w:rPr>
          <w:rFonts w:ascii="Times New Roman" w:hAnsi="Times New Roman"/>
          <w:i/>
          <w:color w:val="231F20"/>
        </w:rPr>
        <w:t>Section  II.  </w:t>
      </w:r>
      <w:r>
        <w:rPr>
          <w:i/>
          <w:color w:val="231F20"/>
        </w:rPr>
        <w:t>—  </w:t>
      </w:r>
      <w:r>
        <w:rPr>
          <w:color w:val="231F20"/>
        </w:rPr>
        <w:t>Modification  de  l’arrêté  royal  n°  22  du  24  octo-  bre 1934 relatif à l’interdiction judiciaire faite à certains condamnés et aux</w:t>
      </w:r>
      <w:r>
        <w:rPr>
          <w:color w:val="231F20"/>
          <w:spacing w:val="14"/>
        </w:rPr>
        <w:t> </w:t>
      </w:r>
      <w:r>
        <w:rPr>
          <w:color w:val="231F20"/>
        </w:rPr>
        <w:t>faillis</w:t>
      </w:r>
      <w:r>
        <w:rPr>
          <w:color w:val="231F20"/>
          <w:spacing w:val="15"/>
        </w:rPr>
        <w:t> </w:t>
      </w:r>
      <w:r>
        <w:rPr>
          <w:color w:val="231F20"/>
        </w:rPr>
        <w:t>d’exercer</w:t>
      </w:r>
      <w:r>
        <w:rPr>
          <w:color w:val="231F20"/>
          <w:spacing w:val="15"/>
        </w:rPr>
        <w:t> </w:t>
      </w:r>
      <w:r>
        <w:rPr>
          <w:color w:val="231F20"/>
        </w:rPr>
        <w:t>certaines</w:t>
      </w:r>
      <w:r>
        <w:rPr>
          <w:color w:val="231F20"/>
          <w:spacing w:val="15"/>
        </w:rPr>
        <w:t> </w:t>
      </w:r>
      <w:r>
        <w:rPr>
          <w:color w:val="231F20"/>
        </w:rPr>
        <w:t>fonctions,</w:t>
      </w:r>
      <w:r>
        <w:rPr>
          <w:color w:val="231F20"/>
          <w:spacing w:val="15"/>
        </w:rPr>
        <w:t> </w:t>
      </w:r>
      <w:r>
        <w:rPr>
          <w:color w:val="231F20"/>
        </w:rPr>
        <w:t>professions</w:t>
      </w:r>
      <w:r>
        <w:rPr>
          <w:color w:val="231F20"/>
          <w:spacing w:val="15"/>
        </w:rPr>
        <w:t> </w:t>
      </w:r>
      <w:r>
        <w:rPr>
          <w:color w:val="231F20"/>
        </w:rPr>
        <w:t>ou</w:t>
      </w:r>
      <w:r>
        <w:rPr>
          <w:color w:val="231F20"/>
          <w:spacing w:val="15"/>
        </w:rPr>
        <w:t> </w:t>
      </w:r>
      <w:r>
        <w:rPr>
          <w:color w:val="231F20"/>
        </w:rPr>
        <w:t>activités.</w:t>
      </w:r>
    </w:p>
    <w:p>
      <w:pPr>
        <w:pStyle w:val="BodyText"/>
        <w:ind w:left="0" w:right="0" w:firstLine="0"/>
        <w:jc w:val="left"/>
        <w:rPr>
          <w:sz w:val="20"/>
        </w:rPr>
      </w:pPr>
    </w:p>
    <w:p>
      <w:pPr>
        <w:pStyle w:val="BodyText"/>
        <w:spacing w:line="218" w:lineRule="auto" w:before="169"/>
        <w:ind w:right="38"/>
      </w:pPr>
      <w:r>
        <w:rPr>
          <w:rFonts w:ascii="Times New Roman" w:hAnsi="Times New Roman"/>
          <w:b/>
          <w:color w:val="231F20"/>
        </w:rPr>
        <w:t>Art.  7.  </w:t>
      </w:r>
      <w:r>
        <w:rPr>
          <w:color w:val="231F20"/>
        </w:rPr>
        <w:t>Dans  l’article  3</w:t>
      </w:r>
      <w:r>
        <w:rPr>
          <w:rFonts w:ascii="Times New Roman" w:hAnsi="Times New Roman"/>
          <w:i/>
          <w:color w:val="231F20"/>
        </w:rPr>
        <w:t>quater</w:t>
      </w:r>
      <w:r>
        <w:rPr>
          <w:color w:val="231F20"/>
        </w:rPr>
        <w:t>,  §  1</w:t>
      </w:r>
      <w:r>
        <w:rPr>
          <w:color w:val="231F20"/>
          <w:position w:val="7"/>
          <w:sz w:val="11"/>
        </w:rPr>
        <w:t>er</w:t>
      </w:r>
      <w:r>
        <w:rPr>
          <w:color w:val="231F20"/>
        </w:rPr>
        <w:t>,  alinéa  1</w:t>
      </w:r>
      <w:r>
        <w:rPr>
          <w:color w:val="231F20"/>
          <w:position w:val="7"/>
          <w:sz w:val="11"/>
        </w:rPr>
        <w:t>er</w:t>
      </w:r>
      <w:r>
        <w:rPr>
          <w:color w:val="231F20"/>
        </w:rPr>
        <w:t>,  de  l’arrêté  royal    n° 22 du 24 octobre 1934 relatif à l’interdiction judiciaire faite à certains condamnés et aux faillis d’exercer certaines fonctions, professions ou activités,  inséré  par  la  loi  du  17  mai  2017,  les  mots  « par  l’arti-   cle 182/1 du Code des sociétés » sont remplacés par les mots « à  l’article</w:t>
      </w:r>
      <w:r>
        <w:rPr>
          <w:color w:val="231F20"/>
          <w:spacing w:val="13"/>
        </w:rPr>
        <w:t> </w:t>
      </w:r>
      <w:r>
        <w:rPr>
          <w:color w:val="231F20"/>
        </w:rPr>
        <w:t>2:90</w:t>
      </w:r>
      <w:r>
        <w:rPr>
          <w:color w:val="231F20"/>
          <w:spacing w:val="14"/>
        </w:rPr>
        <w:t> </w:t>
      </w:r>
      <w:r>
        <w:rPr>
          <w:color w:val="231F20"/>
        </w:rPr>
        <w:t>du</w:t>
      </w:r>
      <w:r>
        <w:rPr>
          <w:color w:val="231F20"/>
          <w:spacing w:val="13"/>
        </w:rPr>
        <w:t> </w:t>
      </w:r>
      <w:r>
        <w:rPr>
          <w:color w:val="231F20"/>
        </w:rPr>
        <w:t>Code</w:t>
      </w:r>
      <w:r>
        <w:rPr>
          <w:color w:val="231F20"/>
          <w:spacing w:val="14"/>
        </w:rPr>
        <w:t> </w:t>
      </w:r>
      <w:r>
        <w:rPr>
          <w:color w:val="231F20"/>
        </w:rPr>
        <w:t>des</w:t>
      </w:r>
      <w:r>
        <w:rPr>
          <w:color w:val="231F20"/>
          <w:spacing w:val="14"/>
        </w:rPr>
        <w:t> </w:t>
      </w:r>
      <w:r>
        <w:rPr>
          <w:color w:val="231F20"/>
        </w:rPr>
        <w:t>sociétés</w:t>
      </w:r>
      <w:r>
        <w:rPr>
          <w:color w:val="231F20"/>
          <w:spacing w:val="13"/>
        </w:rPr>
        <w:t> </w:t>
      </w:r>
      <w:r>
        <w:rPr>
          <w:color w:val="231F20"/>
        </w:rPr>
        <w:t>et</w:t>
      </w:r>
      <w:r>
        <w:rPr>
          <w:color w:val="231F20"/>
          <w:spacing w:val="14"/>
        </w:rPr>
        <w:t> </w:t>
      </w:r>
      <w:r>
        <w:rPr>
          <w:color w:val="231F20"/>
        </w:rPr>
        <w:t>des</w:t>
      </w:r>
      <w:r>
        <w:rPr>
          <w:color w:val="231F20"/>
          <w:spacing w:val="13"/>
        </w:rPr>
        <w:t> </w:t>
      </w:r>
      <w:r>
        <w:rPr>
          <w:color w:val="231F20"/>
        </w:rPr>
        <w:t>associations ».</w:t>
      </w:r>
    </w:p>
    <w:p>
      <w:pPr>
        <w:pStyle w:val="BodyText"/>
        <w:ind w:left="0" w:right="0" w:firstLine="0"/>
        <w:jc w:val="left"/>
        <w:rPr>
          <w:sz w:val="20"/>
        </w:rPr>
      </w:pPr>
    </w:p>
    <w:p>
      <w:pPr>
        <w:pStyle w:val="BodyText"/>
        <w:spacing w:line="218" w:lineRule="auto" w:before="138"/>
        <w:ind w:right="79"/>
      </w:pPr>
      <w:r>
        <w:rPr>
          <w:rFonts w:ascii="Times New Roman" w:hAnsi="Times New Roman"/>
          <w:i/>
          <w:color w:val="231F20"/>
        </w:rPr>
        <w:t>Section III. </w:t>
      </w:r>
      <w:r>
        <w:rPr>
          <w:i/>
          <w:color w:val="231F20"/>
        </w:rPr>
        <w:t>— </w:t>
      </w:r>
      <w:r>
        <w:rPr>
          <w:color w:val="231F20"/>
        </w:rPr>
        <w:t>Modification de la loi du 2 mai 2007 relative à la publicité des participations importantes dans des émetteurs dont les actions sont admises à la négociation sur un marché réglementé et portant des dispositions diverses.</w:t>
      </w:r>
    </w:p>
    <w:p>
      <w:pPr>
        <w:pStyle w:val="BodyText"/>
        <w:spacing w:before="5"/>
        <w:ind w:left="0" w:right="0" w:firstLine="0"/>
        <w:jc w:val="left"/>
        <w:rPr>
          <w:sz w:val="20"/>
        </w:rPr>
      </w:pPr>
    </w:p>
    <w:p>
      <w:pPr>
        <w:pStyle w:val="BodyText"/>
        <w:spacing w:line="218" w:lineRule="auto"/>
        <w:ind w:right="79"/>
      </w:pPr>
      <w:r>
        <w:rPr>
          <w:rFonts w:ascii="Times New Roman" w:hAnsi="Times New Roman"/>
          <w:b/>
          <w:color w:val="231F20"/>
        </w:rPr>
        <w:t>Art. 8. </w:t>
      </w:r>
      <w:r>
        <w:rPr>
          <w:color w:val="231F20"/>
        </w:rPr>
        <w:t>Dans le titre II de la loi du 2 mai 2007 relative à la publicité des participations importantes dans des émetteurs dont les actions sont admises à la négociation sur un marché réglementé et portant des dispositions diverses, il est inséré un chapitre VI/1 intitulé  « Sanc- tions ».</w:t>
      </w:r>
    </w:p>
    <w:p>
      <w:pPr>
        <w:pStyle w:val="BodyText"/>
        <w:spacing w:before="5"/>
        <w:ind w:left="0" w:right="0" w:firstLine="0"/>
        <w:jc w:val="left"/>
        <w:rPr>
          <w:sz w:val="20"/>
        </w:rPr>
      </w:pPr>
    </w:p>
    <w:p>
      <w:pPr>
        <w:pStyle w:val="BodyText"/>
        <w:spacing w:line="218" w:lineRule="auto"/>
        <w:ind w:right="79"/>
      </w:pPr>
      <w:r>
        <w:rPr>
          <w:rFonts w:ascii="Times New Roman" w:hAnsi="Times New Roman"/>
          <w:b/>
          <w:color w:val="231F20"/>
        </w:rPr>
        <w:t>Art. 9. </w:t>
      </w:r>
      <w:r>
        <w:rPr>
          <w:color w:val="231F20"/>
        </w:rPr>
        <w:t>Dans le chapitre VI/1 inséré par l’article 8, il est inséré un article 25/1 rédigé comme suit:</w:t>
      </w:r>
    </w:p>
    <w:p>
      <w:pPr>
        <w:pStyle w:val="BodyText"/>
        <w:spacing w:before="10"/>
        <w:ind w:left="0" w:right="0" w:firstLine="0"/>
        <w:jc w:val="left"/>
        <w:rPr>
          <w:sz w:val="16"/>
        </w:rPr>
      </w:pPr>
    </w:p>
    <w:p>
      <w:pPr>
        <w:pStyle w:val="BodyText"/>
        <w:spacing w:line="218" w:lineRule="auto"/>
        <w:ind w:right="79"/>
      </w:pPr>
      <w:r>
        <w:rPr>
          <w:color w:val="231F20"/>
        </w:rPr>
        <w:t>« Art. 25/1. Nul ne peut prendre part au vote à l’assemblée générale d’une société dont le siège statutaire est établi en Belgique pour un nombre de voix supérieur à celui </w:t>
      </w:r>
      <w:r>
        <w:rPr>
          <w:color w:val="231F20"/>
          <w:spacing w:val="-3"/>
        </w:rPr>
        <w:t>afférent </w:t>
      </w:r>
      <w:r>
        <w:rPr>
          <w:color w:val="231F20"/>
        </w:rPr>
        <w:t>aux titres dont il a déclaré la possession en vertu des dispositions qui précèdent, vingt jours au moins avant la date de l’assemblée générale. Les droits de vote attachés à ces titres sont</w:t>
      </w:r>
      <w:r>
        <w:rPr>
          <w:color w:val="231F20"/>
          <w:spacing w:val="18"/>
        </w:rPr>
        <w:t> </w:t>
      </w:r>
      <w:r>
        <w:rPr>
          <w:color w:val="231F20"/>
        </w:rPr>
        <w:t>suspendus.</w:t>
      </w:r>
    </w:p>
    <w:p>
      <w:pPr>
        <w:pStyle w:val="BodyText"/>
        <w:spacing w:line="218" w:lineRule="auto" w:before="119"/>
        <w:ind w:firstLine="0"/>
      </w:pPr>
      <w:r>
        <w:rPr/>
        <w:br w:type="column"/>
      </w:r>
      <w:r>
        <w:rPr>
          <w:color w:val="231F20"/>
        </w:rPr>
        <w:t>artikel 182 van het Wetboek van vennootschappen” vervangen door de woorden “bedoeld in artikel 2:74 van het Wetboek van vennootschap- pen en verenigingen”;</w:t>
      </w:r>
    </w:p>
    <w:p>
      <w:pPr>
        <w:pStyle w:val="BodyText"/>
        <w:spacing w:line="218" w:lineRule="auto" w:before="179"/>
      </w:pPr>
      <w:r>
        <w:rPr>
          <w:color w:val="231F20"/>
        </w:rPr>
        <w:t>2° in de bepaling onder 9°</w:t>
      </w:r>
      <w:r>
        <w:rPr>
          <w:rFonts w:ascii="Times New Roman" w:hAnsi="Times New Roman"/>
          <w:i/>
          <w:color w:val="231F20"/>
        </w:rPr>
        <w:t>bis</w:t>
      </w:r>
      <w:r>
        <w:rPr>
          <w:color w:val="231F20"/>
        </w:rPr>
        <w:t>, ingevoegd bij de wet van </w:t>
      </w:r>
      <w:r>
        <w:rPr>
          <w:color w:val="231F20"/>
          <w:spacing w:val="-5"/>
        </w:rPr>
        <w:t>11  </w:t>
      </w:r>
      <w:r>
        <w:rPr>
          <w:color w:val="231F20"/>
        </w:rPr>
        <w:t>augus-    tus 2017 houdende invoeging van het Boek XX “Insolventie van ondernemingen”, in het </w:t>
      </w:r>
      <w:r>
        <w:rPr>
          <w:color w:val="231F20"/>
          <w:spacing w:val="-3"/>
        </w:rPr>
        <w:t>Wetboek </w:t>
      </w:r>
      <w:r>
        <w:rPr>
          <w:color w:val="231F20"/>
        </w:rPr>
        <w:t>van economisch recht, en houdende invoeging van de definities eigen aan boek XX, en van de rechtshand- havingsbepalingen eigen aan boek XX, in het boek I van het </w:t>
      </w:r>
      <w:r>
        <w:rPr>
          <w:color w:val="231F20"/>
          <w:spacing w:val="-3"/>
        </w:rPr>
        <w:t>Wetboek </w:t>
      </w:r>
      <w:r>
        <w:rPr>
          <w:color w:val="231F20"/>
        </w:rPr>
        <w:t>van economisch recht, worden de woorden “artikelen 18, eerste lid, 4°, en 39, eerste lid, 5°, van de wet van 27 juni 1921 betreffende de verenigingen zonder winstoogmerk, de stichtingen en de Europese politieke partijen en stichtingen” vervangen door de woorden “de artikelen 2:113, § 1, 4°, en 2:114, § 1, 5°, van het </w:t>
      </w:r>
      <w:r>
        <w:rPr>
          <w:color w:val="231F20"/>
          <w:spacing w:val="-3"/>
        </w:rPr>
        <w:t>Wetboek </w:t>
      </w:r>
      <w:r>
        <w:rPr>
          <w:color w:val="231F20"/>
        </w:rPr>
        <w:t>van vennootschappen en</w:t>
      </w:r>
      <w:r>
        <w:rPr>
          <w:color w:val="231F20"/>
          <w:spacing w:val="-10"/>
        </w:rPr>
        <w:t> </w:t>
      </w:r>
      <w:r>
        <w:rPr>
          <w:color w:val="231F20"/>
        </w:rPr>
        <w:t>verenigingen”.</w:t>
      </w:r>
    </w:p>
    <w:p>
      <w:pPr>
        <w:pStyle w:val="BodyText"/>
        <w:spacing w:before="6"/>
        <w:ind w:left="0" w:right="0" w:firstLine="0"/>
        <w:jc w:val="left"/>
        <w:rPr>
          <w:sz w:val="20"/>
        </w:rPr>
      </w:pPr>
    </w:p>
    <w:p>
      <w:pPr>
        <w:pStyle w:val="BodyText"/>
        <w:spacing w:line="218" w:lineRule="auto"/>
      </w:pPr>
      <w:r>
        <w:rPr>
          <w:rFonts w:ascii="Times New Roman"/>
          <w:b/>
          <w:color w:val="231F20"/>
          <w:w w:val="105"/>
        </w:rPr>
        <w:t>Art.</w:t>
      </w:r>
      <w:r>
        <w:rPr>
          <w:rFonts w:ascii="Times New Roman"/>
          <w:b/>
          <w:color w:val="231F20"/>
          <w:spacing w:val="9"/>
          <w:w w:val="105"/>
        </w:rPr>
        <w:t> </w:t>
      </w:r>
      <w:r>
        <w:rPr>
          <w:rFonts w:ascii="Times New Roman"/>
          <w:b/>
          <w:color w:val="231F20"/>
          <w:w w:val="105"/>
        </w:rPr>
        <w:t>6.</w:t>
      </w:r>
      <w:r>
        <w:rPr>
          <w:rFonts w:ascii="Times New Roman"/>
          <w:b/>
          <w:color w:val="231F20"/>
          <w:spacing w:val="10"/>
          <w:w w:val="105"/>
        </w:rPr>
        <w:t> </w:t>
      </w:r>
      <w:r>
        <w:rPr>
          <w:color w:val="231F20"/>
          <w:w w:val="105"/>
        </w:rPr>
        <w:t>Artikel</w:t>
      </w:r>
      <w:r>
        <w:rPr>
          <w:color w:val="231F20"/>
          <w:spacing w:val="-15"/>
          <w:w w:val="105"/>
        </w:rPr>
        <w:t> </w:t>
      </w:r>
      <w:r>
        <w:rPr>
          <w:color w:val="231F20"/>
          <w:w w:val="105"/>
        </w:rPr>
        <w:t>1128,</w:t>
      </w:r>
      <w:r>
        <w:rPr>
          <w:color w:val="231F20"/>
          <w:spacing w:val="-15"/>
          <w:w w:val="105"/>
        </w:rPr>
        <w:t> </w:t>
      </w:r>
      <w:r>
        <w:rPr>
          <w:color w:val="231F20"/>
          <w:w w:val="105"/>
        </w:rPr>
        <w:t>derde</w:t>
      </w:r>
      <w:r>
        <w:rPr>
          <w:color w:val="231F20"/>
          <w:spacing w:val="-14"/>
          <w:w w:val="105"/>
        </w:rPr>
        <w:t> </w:t>
      </w:r>
      <w:r>
        <w:rPr>
          <w:color w:val="231F20"/>
          <w:w w:val="105"/>
        </w:rPr>
        <w:t>lid,</w:t>
      </w:r>
      <w:r>
        <w:rPr>
          <w:color w:val="231F20"/>
          <w:spacing w:val="-15"/>
          <w:w w:val="105"/>
        </w:rPr>
        <w:t> </w:t>
      </w:r>
      <w:r>
        <w:rPr>
          <w:color w:val="231F20"/>
          <w:w w:val="105"/>
        </w:rPr>
        <w:t>van</w:t>
      </w:r>
      <w:r>
        <w:rPr>
          <w:color w:val="231F20"/>
          <w:spacing w:val="-15"/>
          <w:w w:val="105"/>
        </w:rPr>
        <w:t> </w:t>
      </w:r>
      <w:r>
        <w:rPr>
          <w:color w:val="231F20"/>
          <w:w w:val="105"/>
        </w:rPr>
        <w:t>hetzelfde</w:t>
      </w:r>
      <w:r>
        <w:rPr>
          <w:color w:val="231F20"/>
          <w:spacing w:val="-15"/>
          <w:w w:val="105"/>
        </w:rPr>
        <w:t> </w:t>
      </w:r>
      <w:r>
        <w:rPr>
          <w:color w:val="231F20"/>
          <w:w w:val="105"/>
        </w:rPr>
        <w:t>Wetboek,</w:t>
      </w:r>
      <w:r>
        <w:rPr>
          <w:color w:val="231F20"/>
          <w:spacing w:val="-15"/>
          <w:w w:val="105"/>
        </w:rPr>
        <w:t> </w:t>
      </w:r>
      <w:r>
        <w:rPr>
          <w:color w:val="231F20"/>
          <w:w w:val="105"/>
        </w:rPr>
        <w:t>vervangen</w:t>
      </w:r>
      <w:r>
        <w:rPr>
          <w:color w:val="231F20"/>
          <w:spacing w:val="-15"/>
          <w:w w:val="105"/>
        </w:rPr>
        <w:t> </w:t>
      </w:r>
      <w:r>
        <w:rPr>
          <w:color w:val="231F20"/>
          <w:w w:val="105"/>
        </w:rPr>
        <w:t>bij de</w:t>
      </w:r>
      <w:r>
        <w:rPr>
          <w:color w:val="231F20"/>
          <w:spacing w:val="-16"/>
          <w:w w:val="105"/>
        </w:rPr>
        <w:t> </w:t>
      </w:r>
      <w:r>
        <w:rPr>
          <w:color w:val="231F20"/>
          <w:w w:val="105"/>
        </w:rPr>
        <w:t>wet</w:t>
      </w:r>
      <w:r>
        <w:rPr>
          <w:color w:val="231F20"/>
          <w:spacing w:val="-16"/>
          <w:w w:val="105"/>
        </w:rPr>
        <w:t> </w:t>
      </w:r>
      <w:r>
        <w:rPr>
          <w:color w:val="231F20"/>
          <w:w w:val="105"/>
        </w:rPr>
        <w:t>van</w:t>
      </w:r>
      <w:r>
        <w:rPr>
          <w:color w:val="231F20"/>
          <w:spacing w:val="-15"/>
          <w:w w:val="105"/>
        </w:rPr>
        <w:t> </w:t>
      </w:r>
      <w:r>
        <w:rPr>
          <w:color w:val="231F20"/>
          <w:w w:val="105"/>
        </w:rPr>
        <w:t>29</w:t>
      </w:r>
      <w:r>
        <w:rPr>
          <w:color w:val="231F20"/>
          <w:spacing w:val="-16"/>
          <w:w w:val="105"/>
        </w:rPr>
        <w:t> </w:t>
      </w:r>
      <w:r>
        <w:rPr>
          <w:color w:val="231F20"/>
          <w:w w:val="105"/>
        </w:rPr>
        <w:t>juni</w:t>
      </w:r>
      <w:r>
        <w:rPr>
          <w:color w:val="231F20"/>
          <w:spacing w:val="-15"/>
          <w:w w:val="105"/>
        </w:rPr>
        <w:t> </w:t>
      </w:r>
      <w:r>
        <w:rPr>
          <w:color w:val="231F20"/>
          <w:w w:val="105"/>
        </w:rPr>
        <w:t>1993</w:t>
      </w:r>
      <w:r>
        <w:rPr>
          <w:color w:val="231F20"/>
          <w:spacing w:val="-16"/>
          <w:w w:val="105"/>
        </w:rPr>
        <w:t> </w:t>
      </w:r>
      <w:r>
        <w:rPr>
          <w:color w:val="231F20"/>
          <w:w w:val="105"/>
        </w:rPr>
        <w:t>en</w:t>
      </w:r>
      <w:r>
        <w:rPr>
          <w:color w:val="231F20"/>
          <w:spacing w:val="-15"/>
          <w:w w:val="105"/>
        </w:rPr>
        <w:t> </w:t>
      </w:r>
      <w:r>
        <w:rPr>
          <w:color w:val="231F20"/>
          <w:w w:val="105"/>
        </w:rPr>
        <w:t>gewijzigd</w:t>
      </w:r>
      <w:r>
        <w:rPr>
          <w:color w:val="231F20"/>
          <w:spacing w:val="-16"/>
          <w:w w:val="105"/>
        </w:rPr>
        <w:t> </w:t>
      </w:r>
      <w:r>
        <w:rPr>
          <w:color w:val="231F20"/>
          <w:w w:val="105"/>
        </w:rPr>
        <w:t>bij</w:t>
      </w:r>
      <w:r>
        <w:rPr>
          <w:color w:val="231F20"/>
          <w:spacing w:val="-16"/>
          <w:w w:val="105"/>
        </w:rPr>
        <w:t> </w:t>
      </w:r>
      <w:r>
        <w:rPr>
          <w:color w:val="231F20"/>
          <w:w w:val="105"/>
        </w:rPr>
        <w:t>de</w:t>
      </w:r>
      <w:r>
        <w:rPr>
          <w:color w:val="231F20"/>
          <w:spacing w:val="-15"/>
          <w:w w:val="105"/>
        </w:rPr>
        <w:t> </w:t>
      </w:r>
      <w:r>
        <w:rPr>
          <w:color w:val="231F20"/>
          <w:w w:val="105"/>
        </w:rPr>
        <w:t>wet</w:t>
      </w:r>
      <w:r>
        <w:rPr>
          <w:color w:val="231F20"/>
          <w:spacing w:val="-16"/>
          <w:w w:val="105"/>
        </w:rPr>
        <w:t> </w:t>
      </w:r>
      <w:r>
        <w:rPr>
          <w:color w:val="231F20"/>
          <w:w w:val="105"/>
        </w:rPr>
        <w:t>van</w:t>
      </w:r>
      <w:r>
        <w:rPr>
          <w:color w:val="231F20"/>
          <w:spacing w:val="-15"/>
          <w:w w:val="105"/>
        </w:rPr>
        <w:t> </w:t>
      </w:r>
      <w:r>
        <w:rPr>
          <w:color w:val="231F20"/>
          <w:w w:val="105"/>
        </w:rPr>
        <w:t>13</w:t>
      </w:r>
      <w:r>
        <w:rPr>
          <w:color w:val="231F20"/>
          <w:spacing w:val="-16"/>
          <w:w w:val="105"/>
        </w:rPr>
        <w:t> </w:t>
      </w:r>
      <w:r>
        <w:rPr>
          <w:color w:val="231F20"/>
          <w:w w:val="105"/>
        </w:rPr>
        <w:t>april</w:t>
      </w:r>
      <w:r>
        <w:rPr>
          <w:color w:val="231F20"/>
          <w:spacing w:val="-15"/>
          <w:w w:val="105"/>
        </w:rPr>
        <w:t> </w:t>
      </w:r>
      <w:r>
        <w:rPr>
          <w:color w:val="231F20"/>
          <w:w w:val="105"/>
        </w:rPr>
        <w:t>1995,</w:t>
      </w:r>
      <w:r>
        <w:rPr>
          <w:color w:val="231F20"/>
          <w:spacing w:val="-16"/>
          <w:w w:val="105"/>
        </w:rPr>
        <w:t> </w:t>
      </w:r>
      <w:r>
        <w:rPr>
          <w:color w:val="231F20"/>
          <w:w w:val="105"/>
        </w:rPr>
        <w:t>wordt vervangen als</w:t>
      </w:r>
      <w:r>
        <w:rPr>
          <w:color w:val="231F20"/>
          <w:spacing w:val="24"/>
          <w:w w:val="105"/>
        </w:rPr>
        <w:t> </w:t>
      </w:r>
      <w:r>
        <w:rPr>
          <w:color w:val="231F20"/>
          <w:w w:val="105"/>
        </w:rPr>
        <w:t>volgt:</w:t>
      </w:r>
    </w:p>
    <w:p>
      <w:pPr>
        <w:pStyle w:val="BodyText"/>
        <w:spacing w:before="10"/>
        <w:ind w:left="0" w:right="0" w:firstLine="0"/>
        <w:jc w:val="left"/>
        <w:rPr>
          <w:sz w:val="16"/>
        </w:rPr>
      </w:pPr>
    </w:p>
    <w:p>
      <w:pPr>
        <w:pStyle w:val="BodyText"/>
        <w:spacing w:line="218" w:lineRule="auto"/>
      </w:pPr>
      <w:r>
        <w:rPr>
          <w:color w:val="231F20"/>
        </w:rPr>
        <w:t>“Na het verstrijken van een termijn van zes maanden te rekenen vanaf de bekendmaking van de rechterlijke beslissing, gedaan overeen- komstig artikel 2:14, 2:15, 2:16 of 2:17 van het Wetboek van vennoot- schappen en verenigingen, is niet meer ontvankelijk het derdenverzet tegen een rechterlijke beslissing:</w:t>
      </w:r>
    </w:p>
    <w:p>
      <w:pPr>
        <w:pStyle w:val="BodyText"/>
        <w:spacing w:before="178"/>
        <w:ind w:left="283" w:right="0" w:firstLine="0"/>
        <w:jc w:val="left"/>
      </w:pPr>
      <w:r>
        <w:rPr>
          <w:color w:val="231F20"/>
        </w:rPr>
        <w:t>1° tot nietigverklaring van een rechtspersoon;</w:t>
      </w:r>
    </w:p>
    <w:p>
      <w:pPr>
        <w:pStyle w:val="BodyText"/>
        <w:spacing w:before="175"/>
        <w:ind w:left="283" w:right="0" w:firstLine="0"/>
        <w:jc w:val="left"/>
      </w:pPr>
      <w:r>
        <w:rPr>
          <w:color w:val="231F20"/>
        </w:rPr>
        <w:t>2° tot nietigverklaring van een statutenwijziging;</w:t>
      </w:r>
    </w:p>
    <w:p>
      <w:pPr>
        <w:pStyle w:val="BodyText"/>
        <w:spacing w:before="7"/>
        <w:ind w:left="0" w:right="0" w:firstLine="0"/>
        <w:jc w:val="left"/>
        <w:rPr>
          <w:sz w:val="16"/>
        </w:rPr>
      </w:pPr>
    </w:p>
    <w:p>
      <w:pPr>
        <w:pStyle w:val="BodyText"/>
        <w:spacing w:line="218" w:lineRule="auto"/>
      </w:pPr>
      <w:r>
        <w:rPr>
          <w:color w:val="231F20"/>
        </w:rPr>
        <w:t>3° tot nietigverklaring van een fusie of splitsing van een vennoot- schap;</w:t>
      </w:r>
    </w:p>
    <w:p>
      <w:pPr>
        <w:pStyle w:val="BodyText"/>
        <w:spacing w:before="10"/>
        <w:ind w:left="0" w:right="0" w:firstLine="0"/>
        <w:jc w:val="left"/>
        <w:rPr>
          <w:sz w:val="16"/>
        </w:rPr>
      </w:pPr>
    </w:p>
    <w:p>
      <w:pPr>
        <w:pStyle w:val="BodyText"/>
        <w:spacing w:line="218" w:lineRule="auto"/>
      </w:pPr>
      <w:r>
        <w:rPr>
          <w:color w:val="231F20"/>
        </w:rPr>
        <w:t>4° tot nietigverklaring van  een  rechtshandeling  bedoeld  in  arti-  kel 12:2, 12:3, 12:4 of 12:5 van het </w:t>
      </w:r>
      <w:r>
        <w:rPr>
          <w:color w:val="231F20"/>
          <w:spacing w:val="-3"/>
        </w:rPr>
        <w:t>Wetboek </w:t>
      </w:r>
      <w:r>
        <w:rPr>
          <w:color w:val="231F20"/>
        </w:rPr>
        <w:t>van vennootschappen en verenigingen;</w:t>
      </w:r>
    </w:p>
    <w:p>
      <w:pPr>
        <w:pStyle w:val="BodyText"/>
        <w:spacing w:before="10"/>
        <w:ind w:left="0" w:right="0" w:firstLine="0"/>
        <w:jc w:val="left"/>
        <w:rPr>
          <w:sz w:val="16"/>
        </w:rPr>
      </w:pPr>
    </w:p>
    <w:p>
      <w:pPr>
        <w:pStyle w:val="BodyText"/>
        <w:spacing w:line="218" w:lineRule="auto"/>
      </w:pPr>
      <w:r>
        <w:rPr>
          <w:color w:val="231F20"/>
        </w:rPr>
        <w:t>5° tot nietigverklaring van een besluit van een orgaan van een rechtspersoon;</w:t>
      </w:r>
    </w:p>
    <w:p>
      <w:pPr>
        <w:pStyle w:val="BodyText"/>
        <w:spacing w:before="10"/>
        <w:ind w:left="0" w:right="0" w:firstLine="0"/>
        <w:jc w:val="left"/>
        <w:rPr>
          <w:sz w:val="16"/>
        </w:rPr>
      </w:pPr>
    </w:p>
    <w:p>
      <w:pPr>
        <w:pStyle w:val="BodyText"/>
        <w:spacing w:line="218" w:lineRule="auto" w:before="1"/>
      </w:pPr>
      <w:r>
        <w:rPr>
          <w:color w:val="231F20"/>
        </w:rPr>
        <w:t>6° van een ontbinding of van de sluiting van de vereffening van een rechtspersoon</w:t>
      </w:r>
      <w:r>
        <w:rPr>
          <w:color w:val="231F20"/>
          <w:spacing w:val="-8"/>
        </w:rPr>
        <w:t> </w:t>
      </w:r>
      <w:r>
        <w:rPr>
          <w:color w:val="231F20"/>
        </w:rPr>
        <w:t>uitgesproken</w:t>
      </w:r>
      <w:r>
        <w:rPr>
          <w:color w:val="231F20"/>
          <w:spacing w:val="-7"/>
        </w:rPr>
        <w:t> </w:t>
      </w:r>
      <w:r>
        <w:rPr>
          <w:color w:val="231F20"/>
        </w:rPr>
        <w:t>krachtens</w:t>
      </w:r>
      <w:r>
        <w:rPr>
          <w:color w:val="231F20"/>
          <w:spacing w:val="-8"/>
        </w:rPr>
        <w:t> </w:t>
      </w:r>
      <w:r>
        <w:rPr>
          <w:color w:val="231F20"/>
        </w:rPr>
        <w:t>artikelen</w:t>
      </w:r>
      <w:r>
        <w:rPr>
          <w:color w:val="231F20"/>
          <w:spacing w:val="-7"/>
        </w:rPr>
        <w:t> </w:t>
      </w:r>
      <w:r>
        <w:rPr>
          <w:color w:val="231F20"/>
        </w:rPr>
        <w:t>2:74,</w:t>
      </w:r>
      <w:r>
        <w:rPr>
          <w:color w:val="231F20"/>
          <w:spacing w:val="-8"/>
        </w:rPr>
        <w:t> </w:t>
      </w:r>
      <w:r>
        <w:rPr>
          <w:color w:val="231F20"/>
        </w:rPr>
        <w:t>2:75,</w:t>
      </w:r>
      <w:r>
        <w:rPr>
          <w:color w:val="231F20"/>
          <w:spacing w:val="-7"/>
        </w:rPr>
        <w:t> </w:t>
      </w:r>
      <w:r>
        <w:rPr>
          <w:color w:val="231F20"/>
        </w:rPr>
        <w:t>2:81</w:t>
      </w:r>
      <w:r>
        <w:rPr>
          <w:color w:val="231F20"/>
          <w:spacing w:val="-8"/>
        </w:rPr>
        <w:t> </w:t>
      </w:r>
      <w:r>
        <w:rPr>
          <w:color w:val="231F20"/>
        </w:rPr>
        <w:t>en</w:t>
      </w:r>
      <w:r>
        <w:rPr>
          <w:color w:val="231F20"/>
          <w:spacing w:val="-7"/>
        </w:rPr>
        <w:t> </w:t>
      </w:r>
      <w:r>
        <w:rPr>
          <w:color w:val="231F20"/>
        </w:rPr>
        <w:t>2:101 van het </w:t>
      </w:r>
      <w:r>
        <w:rPr>
          <w:color w:val="231F20"/>
          <w:spacing w:val="-3"/>
        </w:rPr>
        <w:t>Wetboek </w:t>
      </w:r>
      <w:r>
        <w:rPr>
          <w:color w:val="231F20"/>
        </w:rPr>
        <w:t>van vennootschappen en</w:t>
      </w:r>
      <w:r>
        <w:rPr>
          <w:color w:val="231F20"/>
          <w:spacing w:val="25"/>
        </w:rPr>
        <w:t> </w:t>
      </w:r>
      <w:r>
        <w:rPr>
          <w:color w:val="231F20"/>
        </w:rPr>
        <w:t>verenigingen;</w:t>
      </w:r>
    </w:p>
    <w:p>
      <w:pPr>
        <w:pStyle w:val="BodyText"/>
        <w:spacing w:before="10"/>
        <w:ind w:left="0" w:right="0" w:firstLine="0"/>
        <w:jc w:val="left"/>
        <w:rPr>
          <w:sz w:val="16"/>
        </w:rPr>
      </w:pPr>
    </w:p>
    <w:p>
      <w:pPr>
        <w:pStyle w:val="BodyText"/>
        <w:spacing w:line="218" w:lineRule="auto"/>
      </w:pPr>
      <w:r>
        <w:rPr>
          <w:color w:val="231F20"/>
        </w:rPr>
        <w:t>7° van een overdracht of uittreding krachtens de artikelen 2:60 tot 2:69, of van een beslissing over de voorwaarden van een overname krachtens de artikelen 5:69 en 7:82 van het </w:t>
      </w:r>
      <w:r>
        <w:rPr>
          <w:color w:val="231F20"/>
          <w:spacing w:val="-3"/>
        </w:rPr>
        <w:t>Wetboek </w:t>
      </w:r>
      <w:r>
        <w:rPr>
          <w:color w:val="231F20"/>
        </w:rPr>
        <w:t>van</w:t>
      </w:r>
      <w:r>
        <w:rPr>
          <w:color w:val="231F20"/>
          <w:spacing w:val="-13"/>
        </w:rPr>
        <w:t> </w:t>
      </w:r>
      <w:r>
        <w:rPr>
          <w:color w:val="231F20"/>
        </w:rPr>
        <w:t>vennootschap- pen en</w:t>
      </w:r>
      <w:r>
        <w:rPr>
          <w:color w:val="231F20"/>
          <w:spacing w:val="-11"/>
        </w:rPr>
        <w:t> </w:t>
      </w:r>
      <w:r>
        <w:rPr>
          <w:color w:val="231F20"/>
        </w:rPr>
        <w:t>verenigingen.”.</w:t>
      </w:r>
    </w:p>
    <w:p>
      <w:pPr>
        <w:spacing w:line="187" w:lineRule="exact" w:before="175"/>
        <w:ind w:left="283" w:right="0" w:firstLine="0"/>
        <w:jc w:val="left"/>
        <w:rPr>
          <w:sz w:val="17"/>
        </w:rPr>
      </w:pPr>
      <w:r>
        <w:rPr>
          <w:rFonts w:ascii="Times New Roman" w:hAnsi="Times New Roman"/>
          <w:i/>
          <w:color w:val="231F20"/>
          <w:sz w:val="17"/>
        </w:rPr>
        <w:t>Afdeling II. </w:t>
      </w:r>
      <w:r>
        <w:rPr>
          <w:i/>
          <w:color w:val="231F20"/>
          <w:sz w:val="17"/>
        </w:rPr>
        <w:t>— </w:t>
      </w:r>
      <w:r>
        <w:rPr>
          <w:color w:val="231F20"/>
          <w:sz w:val="17"/>
        </w:rPr>
        <w:t>Wijziging van het koninklijk besluit nr. 22 van</w:t>
      </w:r>
    </w:p>
    <w:p>
      <w:pPr>
        <w:pStyle w:val="BodyText"/>
        <w:spacing w:line="218" w:lineRule="auto" w:before="6"/>
        <w:ind w:firstLine="0"/>
      </w:pPr>
      <w:r>
        <w:rPr>
          <w:color w:val="231F20"/>
        </w:rPr>
        <w:t>24 oktober 1934 betreffende het rechterlijk verbod aan bepaalde veroordeelden en gefailleerden om bepaalde ambten, beroepen of werkzaamheden uit te oefenen.</w:t>
      </w:r>
    </w:p>
    <w:p>
      <w:pPr>
        <w:pStyle w:val="BodyText"/>
        <w:spacing w:before="4"/>
        <w:ind w:left="0" w:right="0" w:firstLine="0"/>
        <w:jc w:val="left"/>
        <w:rPr>
          <w:sz w:val="20"/>
        </w:rPr>
      </w:pPr>
    </w:p>
    <w:p>
      <w:pPr>
        <w:pStyle w:val="BodyText"/>
        <w:spacing w:line="218" w:lineRule="auto"/>
      </w:pPr>
      <w:r>
        <w:rPr>
          <w:rFonts w:ascii="Times New Roman" w:hAnsi="Times New Roman"/>
          <w:b/>
          <w:color w:val="231F20"/>
        </w:rPr>
        <w:t>Art.  7.  </w:t>
      </w:r>
      <w:r>
        <w:rPr>
          <w:color w:val="231F20"/>
        </w:rPr>
        <w:t>In artikel 3</w:t>
      </w:r>
      <w:r>
        <w:rPr>
          <w:rFonts w:ascii="Times New Roman" w:hAnsi="Times New Roman"/>
          <w:i/>
          <w:color w:val="231F20"/>
        </w:rPr>
        <w:t>quater</w:t>
      </w:r>
      <w:r>
        <w:rPr>
          <w:color w:val="231F20"/>
        </w:rPr>
        <w:t>, § 1, eerste lid, van het koninklijk besluit   </w:t>
      </w:r>
      <w:r>
        <w:rPr>
          <w:color w:val="231F20"/>
          <w:spacing w:val="-5"/>
        </w:rPr>
        <w:t>nr. </w:t>
      </w:r>
      <w:r>
        <w:rPr>
          <w:color w:val="231F20"/>
        </w:rPr>
        <w:t>22 van 24 oktober 1934 betreffende het rechterlijk verbod aan bepaalde veroordeelden en gefailleerden om bepaalde ambten, beroe- pen  of  werkzaamheden  uit  te  oefenen,  ingevoegd  bij  de  wet  van   17 mei 2017, worden de woorden “artikel 182/1 van het </w:t>
      </w:r>
      <w:r>
        <w:rPr>
          <w:color w:val="231F20"/>
          <w:spacing w:val="-3"/>
        </w:rPr>
        <w:t>Wetboek </w:t>
      </w:r>
      <w:r>
        <w:rPr>
          <w:color w:val="231F20"/>
        </w:rPr>
        <w:t>van vennootschappen” vervangen door de woorden “artikel 2:90 van het </w:t>
      </w:r>
      <w:r>
        <w:rPr>
          <w:color w:val="231F20"/>
          <w:spacing w:val="-3"/>
        </w:rPr>
        <w:t>Wetboek </w:t>
      </w:r>
      <w:r>
        <w:rPr>
          <w:color w:val="231F20"/>
        </w:rPr>
        <w:t>van vennootschappen en</w:t>
      </w:r>
      <w:r>
        <w:rPr>
          <w:color w:val="231F20"/>
          <w:spacing w:val="32"/>
        </w:rPr>
        <w:t> </w:t>
      </w:r>
      <w:r>
        <w:rPr>
          <w:color w:val="231F20"/>
        </w:rPr>
        <w:t>verenigingen”.</w:t>
      </w:r>
    </w:p>
    <w:p>
      <w:pPr>
        <w:pStyle w:val="BodyText"/>
        <w:spacing w:before="8"/>
        <w:ind w:left="0" w:right="0" w:firstLine="0"/>
        <w:jc w:val="left"/>
        <w:rPr>
          <w:sz w:val="16"/>
        </w:rPr>
      </w:pPr>
    </w:p>
    <w:p>
      <w:pPr>
        <w:pStyle w:val="BodyText"/>
        <w:spacing w:line="218" w:lineRule="auto"/>
        <w:ind w:right="125"/>
      </w:pPr>
      <w:r>
        <w:rPr>
          <w:rFonts w:ascii="Times New Roman" w:hAnsi="Times New Roman"/>
          <w:i/>
          <w:color w:val="231F20"/>
        </w:rPr>
        <w:t>Afdeling III. </w:t>
      </w:r>
      <w:r>
        <w:rPr>
          <w:i/>
          <w:color w:val="231F20"/>
        </w:rPr>
        <w:t>— </w:t>
      </w:r>
      <w:r>
        <w:rPr>
          <w:color w:val="231F20"/>
        </w:rPr>
        <w:t>Wijziging van de wet van 2 mei 2007 op de openbaarmaking van belangrijke deelnemingen in emittenten waarvan aandelen zijn toegelaten tot de verhandeling op een gereglementeerde markt en houdende diverse bepalingen.</w:t>
      </w:r>
    </w:p>
    <w:p>
      <w:pPr>
        <w:pStyle w:val="BodyText"/>
        <w:spacing w:before="5"/>
        <w:ind w:left="0" w:right="0" w:firstLine="0"/>
        <w:jc w:val="left"/>
        <w:rPr>
          <w:sz w:val="20"/>
        </w:rPr>
      </w:pPr>
    </w:p>
    <w:p>
      <w:pPr>
        <w:pStyle w:val="BodyText"/>
        <w:spacing w:line="218" w:lineRule="auto"/>
      </w:pPr>
      <w:r>
        <w:rPr>
          <w:rFonts w:ascii="Times New Roman" w:hAnsi="Times New Roman"/>
          <w:b/>
          <w:color w:val="231F20"/>
        </w:rPr>
        <w:t>Art. 8. </w:t>
      </w:r>
      <w:r>
        <w:rPr>
          <w:color w:val="231F20"/>
        </w:rPr>
        <w:t>In titel II van de wet van 2 mei 2007 op de openbaarmaking van belangrijke deelnemingen in emittenten waarvan aandelen zijn toegelaten tot de verhandeling op een gereglementeerde markt en houdende diverse bepalingen wordt een hoofdstuk VI/1 ingevoegd, luidende “Sancties”.</w:t>
      </w:r>
    </w:p>
    <w:p>
      <w:pPr>
        <w:pStyle w:val="BodyText"/>
        <w:spacing w:before="5"/>
        <w:ind w:left="0" w:right="0" w:firstLine="0"/>
        <w:jc w:val="left"/>
        <w:rPr>
          <w:sz w:val="20"/>
        </w:rPr>
      </w:pPr>
    </w:p>
    <w:p>
      <w:pPr>
        <w:pStyle w:val="BodyText"/>
        <w:spacing w:line="218" w:lineRule="auto"/>
      </w:pPr>
      <w:r>
        <w:rPr>
          <w:rFonts w:ascii="Times New Roman"/>
          <w:b/>
          <w:color w:val="231F20"/>
          <w:w w:val="105"/>
        </w:rPr>
        <w:t>Art. 9. </w:t>
      </w:r>
      <w:r>
        <w:rPr>
          <w:color w:val="231F20"/>
          <w:w w:val="105"/>
        </w:rPr>
        <w:t>In hoofdstuk VI/1, ingevoegd bij artikel 8, wordt een</w:t>
      </w:r>
      <w:r>
        <w:rPr>
          <w:color w:val="231F20"/>
          <w:spacing w:val="43"/>
          <w:w w:val="105"/>
        </w:rPr>
        <w:t> </w:t>
      </w:r>
      <w:r>
        <w:rPr>
          <w:color w:val="231F20"/>
          <w:w w:val="105"/>
        </w:rPr>
        <w:t>artikel 25/1 ingevoegd,</w:t>
      </w:r>
      <w:r>
        <w:rPr>
          <w:color w:val="231F20"/>
          <w:spacing w:val="35"/>
          <w:w w:val="105"/>
        </w:rPr>
        <w:t> </w:t>
      </w:r>
      <w:r>
        <w:rPr>
          <w:color w:val="231F20"/>
          <w:w w:val="105"/>
        </w:rPr>
        <w:t>luidende:</w:t>
      </w:r>
    </w:p>
    <w:p>
      <w:pPr>
        <w:pStyle w:val="BodyText"/>
        <w:spacing w:before="10"/>
        <w:ind w:left="0" w:right="0" w:firstLine="0"/>
        <w:jc w:val="left"/>
        <w:rPr>
          <w:sz w:val="16"/>
        </w:rPr>
      </w:pPr>
    </w:p>
    <w:p>
      <w:pPr>
        <w:pStyle w:val="BodyText"/>
        <w:spacing w:line="218" w:lineRule="auto" w:before="1"/>
      </w:pPr>
      <w:r>
        <w:rPr>
          <w:color w:val="231F20"/>
        </w:rPr>
        <w:t>“Art. 25/1. Niemand kan op de algemene vergadering van een vennootschap waarvan de statutaire zetel in België is gelegen aan de stemming deelnemen voor meer stemrechten dan die verbonden aan de effecten waarvan hij, overeenkomstig de bepalingen die voorafgaan, minstens twintig dagen voor de datum van de algemene vergadering kennis heeft gegeven. De stemrechten verbonden aan die effecten worden opgeschort.</w:t>
      </w:r>
    </w:p>
    <w:p>
      <w:pPr>
        <w:spacing w:after="0" w:line="218" w:lineRule="auto"/>
        <w:sectPr>
          <w:pgSz w:w="11940" w:h="16880"/>
          <w:pgMar w:header="666" w:footer="0" w:top="1140" w:bottom="280" w:left="340" w:right="360"/>
          <w:cols w:num="2" w:equalWidth="0">
            <w:col w:w="5568" w:space="59"/>
            <w:col w:w="5613"/>
          </w:cols>
        </w:sectPr>
      </w:pPr>
    </w:p>
    <w:p>
      <w:pPr>
        <w:pStyle w:val="BodyText"/>
        <w:spacing w:before="91"/>
        <w:ind w:left="283" w:right="0" w:firstLine="0"/>
        <w:jc w:val="left"/>
      </w:pPr>
      <w:r>
        <w:rPr/>
        <w:pict>
          <v:line style="position:absolute;mso-position-horizontal-relative:page;mso-position-vertical-relative:page;z-index:7816" from="298.170502pt,64.473pt" to="298.170502pt,812.819pt" stroked="true" strokeweight=".533pt" strokecolor="#231f20">
            <v:stroke dashstyle="solid"/>
            <w10:wrap type="none"/>
          </v:line>
        </w:pict>
      </w:r>
      <w:bookmarkStart w:name="_bookmark283" w:id="289"/>
      <w:bookmarkEnd w:id="289"/>
      <w:r>
        <w:rPr/>
      </w:r>
      <w:r>
        <w:rPr>
          <w:color w:val="231F20"/>
        </w:rPr>
        <w:t>L’alinéa 1</w:t>
      </w:r>
      <w:r>
        <w:rPr>
          <w:color w:val="231F20"/>
          <w:position w:val="7"/>
          <w:sz w:val="11"/>
        </w:rPr>
        <w:t>er </w:t>
      </w:r>
      <w:r>
        <w:rPr>
          <w:color w:val="231F20"/>
        </w:rPr>
        <w:t>n’est pas applicable:</w:t>
      </w:r>
    </w:p>
    <w:p>
      <w:pPr>
        <w:pStyle w:val="BodyText"/>
        <w:spacing w:line="218" w:lineRule="auto" w:before="135"/>
        <w:ind w:right="111"/>
        <w:jc w:val="left"/>
      </w:pPr>
      <w:r>
        <w:rPr>
          <w:color w:val="231F20"/>
        </w:rPr>
        <w:t>1° aux titres auxquels est attaché un pouvoir de vote inférieur à </w:t>
      </w:r>
      <w:r>
        <w:rPr>
          <w:color w:val="231F20"/>
          <w:spacing w:val="11"/>
        </w:rPr>
        <w:t>5 </w:t>
      </w:r>
      <w:r>
        <w:rPr>
          <w:color w:val="231F20"/>
        </w:rPr>
        <w:t>% du total des droits de vote existant à la date de l’assemblée générale ou  à la quotité inférieure fixée par les statuts comme seuil de notification conformément à l’article</w:t>
      </w:r>
      <w:r>
        <w:rPr>
          <w:color w:val="231F20"/>
          <w:spacing w:val="3"/>
        </w:rPr>
        <w:t> </w:t>
      </w:r>
      <w:r>
        <w:rPr>
          <w:color w:val="231F20"/>
        </w:rPr>
        <w:t>18;</w:t>
      </w:r>
    </w:p>
    <w:p>
      <w:pPr>
        <w:pStyle w:val="BodyText"/>
        <w:spacing w:line="213" w:lineRule="auto" w:before="142"/>
        <w:ind w:right="89"/>
      </w:pPr>
      <w:r>
        <w:rPr>
          <w:color w:val="231F20"/>
        </w:rPr>
        <w:t>2° aux titres auxquels est attaché un pouvoir de vote se situant entre deux des seuils successifs de cinq points visés à l’article 6, § 1</w:t>
      </w:r>
      <w:r>
        <w:rPr>
          <w:color w:val="231F20"/>
          <w:position w:val="7"/>
          <w:sz w:val="11"/>
        </w:rPr>
        <w:t>er</w:t>
      </w:r>
      <w:r>
        <w:rPr>
          <w:color w:val="231F20"/>
        </w:rPr>
        <w:t>, ou entre deux seuils successifs déterminés par les statuts conformément à l’article 18;</w:t>
      </w:r>
    </w:p>
    <w:p>
      <w:pPr>
        <w:pStyle w:val="BodyText"/>
        <w:spacing w:line="213" w:lineRule="auto" w:before="139"/>
        <w:ind w:right="89"/>
      </w:pPr>
      <w:r>
        <w:rPr>
          <w:color w:val="231F20"/>
        </w:rPr>
        <w:t>3° aux titres souscrits par exercice d’un droit de préférence, aux effets acquis par succession ou par suite de fusion, de scission ou de liquidation, ni aux effets acquis en exécution d’une </w:t>
      </w:r>
      <w:r>
        <w:rPr>
          <w:color w:val="231F20"/>
          <w:spacing w:val="-4"/>
        </w:rPr>
        <w:t>offre </w:t>
      </w:r>
      <w:r>
        <w:rPr>
          <w:color w:val="231F20"/>
        </w:rPr>
        <w:t>publique d’acquisition effectuée en conformité avec les dispositions de la loi du 1</w:t>
      </w:r>
      <w:r>
        <w:rPr>
          <w:color w:val="231F20"/>
          <w:position w:val="7"/>
          <w:sz w:val="11"/>
        </w:rPr>
        <w:t>er </w:t>
      </w:r>
      <w:r>
        <w:rPr>
          <w:color w:val="231F20"/>
        </w:rPr>
        <w:t>avril 2007 relative aux </w:t>
      </w:r>
      <w:r>
        <w:rPr>
          <w:color w:val="231F20"/>
          <w:spacing w:val="-3"/>
        </w:rPr>
        <w:t>offres </w:t>
      </w:r>
      <w:r>
        <w:rPr>
          <w:color w:val="231F20"/>
        </w:rPr>
        <w:t>publiques d’acquisition;</w:t>
      </w:r>
      <w:r>
        <w:rPr>
          <w:color w:val="231F20"/>
          <w:spacing w:val="23"/>
        </w:rPr>
        <w:t> </w:t>
      </w:r>
      <w:r>
        <w:rPr>
          <w:color w:val="231F20"/>
        </w:rPr>
        <w:t>et</w:t>
      </w:r>
    </w:p>
    <w:p>
      <w:pPr>
        <w:pStyle w:val="BodyText"/>
        <w:spacing w:before="11"/>
        <w:ind w:left="0" w:right="0" w:firstLine="0"/>
        <w:jc w:val="left"/>
        <w:rPr>
          <w:sz w:val="27"/>
        </w:rPr>
      </w:pPr>
    </w:p>
    <w:p>
      <w:pPr>
        <w:pStyle w:val="BodyText"/>
        <w:spacing w:line="216" w:lineRule="auto"/>
        <w:ind w:right="89"/>
      </w:pPr>
      <w:r>
        <w:rPr>
          <w:color w:val="231F20"/>
        </w:rPr>
        <w:t>4° aux titres notifiés par un mandataire en application de l’article 7, alinéa 1</w:t>
      </w:r>
      <w:r>
        <w:rPr>
          <w:color w:val="231F20"/>
          <w:position w:val="7"/>
          <w:sz w:val="11"/>
        </w:rPr>
        <w:t>er</w:t>
      </w:r>
      <w:r>
        <w:rPr>
          <w:color w:val="231F20"/>
        </w:rPr>
        <w:t>, 5°, pour autant que le ou les mandant(s) concerné(s) aient effectué eux-mêmes une notification, au plus tard vingt jours avant la date de l’assemblée générale, portant sur les titres conférant le droit de vote concernés, ou ne soient pas eux-mêmes obligés d’effectuer une notification portant sur les titres conférant le droit de vote concernés.</w:t>
      </w:r>
      <w:r>
        <w:rPr>
          <w:color w:val="231F20"/>
          <w:spacing w:val="-18"/>
        </w:rPr>
        <w:t> </w:t>
      </w:r>
      <w:r>
        <w:rPr>
          <w:color w:val="231F20"/>
        </w:rPr>
        <w:t>».</w:t>
      </w:r>
    </w:p>
    <w:p>
      <w:pPr>
        <w:pStyle w:val="BodyText"/>
        <w:ind w:left="0" w:right="0" w:firstLine="0"/>
        <w:jc w:val="left"/>
        <w:rPr>
          <w:sz w:val="20"/>
        </w:rPr>
      </w:pPr>
    </w:p>
    <w:p>
      <w:pPr>
        <w:pStyle w:val="BodyText"/>
        <w:spacing w:line="218" w:lineRule="auto" w:before="123"/>
        <w:ind w:right="89"/>
      </w:pPr>
      <w:r>
        <w:rPr>
          <w:rFonts w:ascii="Times New Roman" w:hAnsi="Times New Roman"/>
          <w:b/>
          <w:color w:val="231F20"/>
        </w:rPr>
        <w:t>Art.  10.  </w:t>
      </w:r>
      <w:r>
        <w:rPr>
          <w:color w:val="231F20"/>
        </w:rPr>
        <w:t>Dans  le  même  chapitre  VI/1,   il   est   inséré   un   arti-   cle 25/2 rédigé comme</w:t>
      </w:r>
      <w:r>
        <w:rPr>
          <w:color w:val="231F20"/>
          <w:spacing w:val="18"/>
        </w:rPr>
        <w:t> </w:t>
      </w:r>
      <w:r>
        <w:rPr>
          <w:color w:val="231F20"/>
        </w:rPr>
        <w:t>suit:</w:t>
      </w:r>
    </w:p>
    <w:p>
      <w:pPr>
        <w:pStyle w:val="BodyText"/>
        <w:spacing w:line="218" w:lineRule="auto" w:before="124"/>
        <w:ind w:right="89"/>
      </w:pPr>
      <w:r>
        <w:rPr>
          <w:color w:val="231F20"/>
        </w:rPr>
        <w:t>« Art. 25/2. § 1</w:t>
      </w:r>
      <w:r>
        <w:rPr>
          <w:color w:val="231F20"/>
          <w:position w:val="7"/>
          <w:sz w:val="11"/>
        </w:rPr>
        <w:t>er</w:t>
      </w:r>
      <w:r>
        <w:rPr>
          <w:color w:val="231F20"/>
        </w:rPr>
        <w:t>. Si les déclarations requises en vertu de la présente loi n’ont pas été effectuées selon les modalités et les délais prescrits, le président du tribunal de l’entreprise dans le ressort duquel la société a son siège, statuant comme en référé, peut:</w:t>
      </w:r>
    </w:p>
    <w:p>
      <w:pPr>
        <w:pStyle w:val="BodyText"/>
        <w:spacing w:before="7"/>
        <w:ind w:left="0" w:right="0" w:firstLine="0"/>
        <w:jc w:val="left"/>
        <w:rPr>
          <w:sz w:val="27"/>
        </w:rPr>
      </w:pPr>
    </w:p>
    <w:p>
      <w:pPr>
        <w:pStyle w:val="BodyText"/>
        <w:spacing w:line="218" w:lineRule="auto"/>
        <w:ind w:right="90"/>
      </w:pPr>
      <w:r>
        <w:rPr>
          <w:color w:val="231F20"/>
        </w:rPr>
        <w:t>1° prononcer pour une période d’un an au plus la suspension de l’exercice de tout ou partie des droits afférents aux titres concernés;</w:t>
      </w:r>
    </w:p>
    <w:p>
      <w:pPr>
        <w:pStyle w:val="BodyText"/>
        <w:spacing w:before="8"/>
        <w:ind w:left="0" w:right="0" w:firstLine="0"/>
        <w:jc w:val="left"/>
        <w:rPr>
          <w:sz w:val="27"/>
        </w:rPr>
      </w:pPr>
    </w:p>
    <w:p>
      <w:pPr>
        <w:pStyle w:val="BodyText"/>
        <w:spacing w:line="218" w:lineRule="auto"/>
        <w:ind w:right="89"/>
      </w:pPr>
      <w:r>
        <w:rPr>
          <w:color w:val="231F20"/>
        </w:rPr>
        <w:t>2° suspendre pendant la durée qu’il fixe, la tenue d’une assemblée générale déjà convoquée;</w:t>
      </w:r>
    </w:p>
    <w:p>
      <w:pPr>
        <w:pStyle w:val="BodyText"/>
        <w:spacing w:line="218" w:lineRule="auto" w:before="139"/>
        <w:ind w:right="89"/>
      </w:pPr>
      <w:r>
        <w:rPr>
          <w:color w:val="231F20"/>
        </w:rPr>
        <w:t>3° ordonner sous son contrôle la vente des titres concernés à un tiers qui n’est pas lié à l’actionnaire actuel, dans un délai qu’il fixe et qui est renouvelable.</w:t>
      </w:r>
    </w:p>
    <w:p>
      <w:pPr>
        <w:pStyle w:val="BodyText"/>
        <w:spacing w:line="218" w:lineRule="auto" w:before="139"/>
        <w:ind w:right="89"/>
      </w:pPr>
      <w:r>
        <w:rPr>
          <w:color w:val="231F20"/>
        </w:rPr>
        <w:t>§ 2. La procédure est engagée par citation émanant de la société ou d’un ou de plusieurs actionnaires ayant le droit de vote. Lorsque la demande a pour objet la suspension de la tenue d’une assemblée déjà convoquée, la procédure peut également être engagée par la personne dont les titres font l’objet d’une demande ou d’une décision de suspension de l’exercice de tout ou partie des droits y afférents.</w:t>
      </w:r>
    </w:p>
    <w:p>
      <w:pPr>
        <w:pStyle w:val="BodyText"/>
        <w:ind w:left="0" w:right="0" w:firstLine="0"/>
        <w:jc w:val="left"/>
        <w:rPr>
          <w:sz w:val="28"/>
        </w:rPr>
      </w:pPr>
    </w:p>
    <w:p>
      <w:pPr>
        <w:pStyle w:val="BodyText"/>
        <w:spacing w:line="213" w:lineRule="auto"/>
        <w:ind w:right="89"/>
      </w:pPr>
      <w:r>
        <w:rPr>
          <w:color w:val="231F20"/>
        </w:rPr>
        <w:t>Lorsque la demande a pour objet la suspension, visée au paragra- phe 1</w:t>
      </w:r>
      <w:r>
        <w:rPr>
          <w:color w:val="231F20"/>
          <w:position w:val="7"/>
          <w:sz w:val="11"/>
        </w:rPr>
        <w:t>er</w:t>
      </w:r>
      <w:r>
        <w:rPr>
          <w:color w:val="231F20"/>
        </w:rPr>
        <w:t>, 1°, de tout ou partie des droits afférents aux titres concernés, elle doit, si une déclaration a été notifiée, être introduite, à peine d’irrecevabilité,</w:t>
      </w:r>
      <w:r>
        <w:rPr>
          <w:color w:val="231F20"/>
          <w:spacing w:val="15"/>
        </w:rPr>
        <w:t> </w:t>
      </w:r>
      <w:r>
        <w:rPr>
          <w:color w:val="231F20"/>
        </w:rPr>
        <w:t>quinze</w:t>
      </w:r>
      <w:r>
        <w:rPr>
          <w:color w:val="231F20"/>
          <w:spacing w:val="16"/>
        </w:rPr>
        <w:t> </w:t>
      </w:r>
      <w:r>
        <w:rPr>
          <w:color w:val="231F20"/>
        </w:rPr>
        <w:t>jours</w:t>
      </w:r>
      <w:r>
        <w:rPr>
          <w:color w:val="231F20"/>
          <w:spacing w:val="15"/>
        </w:rPr>
        <w:t> </w:t>
      </w:r>
      <w:r>
        <w:rPr>
          <w:color w:val="231F20"/>
        </w:rPr>
        <w:t>au</w:t>
      </w:r>
      <w:r>
        <w:rPr>
          <w:color w:val="231F20"/>
          <w:spacing w:val="16"/>
        </w:rPr>
        <w:t> </w:t>
      </w:r>
      <w:r>
        <w:rPr>
          <w:color w:val="231F20"/>
        </w:rPr>
        <w:t>plus</w:t>
      </w:r>
      <w:r>
        <w:rPr>
          <w:color w:val="231F20"/>
          <w:spacing w:val="16"/>
        </w:rPr>
        <w:t> </w:t>
      </w:r>
      <w:r>
        <w:rPr>
          <w:color w:val="231F20"/>
        </w:rPr>
        <w:t>après</w:t>
      </w:r>
      <w:r>
        <w:rPr>
          <w:color w:val="231F20"/>
          <w:spacing w:val="15"/>
        </w:rPr>
        <w:t> </w:t>
      </w:r>
      <w:r>
        <w:rPr>
          <w:color w:val="231F20"/>
        </w:rPr>
        <w:t>la</w:t>
      </w:r>
      <w:r>
        <w:rPr>
          <w:color w:val="231F20"/>
          <w:spacing w:val="16"/>
        </w:rPr>
        <w:t> </w:t>
      </w:r>
      <w:r>
        <w:rPr>
          <w:color w:val="231F20"/>
        </w:rPr>
        <w:t>notification.</w:t>
      </w:r>
    </w:p>
    <w:p>
      <w:pPr>
        <w:pStyle w:val="BodyText"/>
        <w:spacing w:before="5"/>
        <w:ind w:left="0" w:right="0" w:firstLine="0"/>
        <w:jc w:val="left"/>
        <w:rPr>
          <w:sz w:val="27"/>
        </w:rPr>
      </w:pPr>
    </w:p>
    <w:p>
      <w:pPr>
        <w:pStyle w:val="BodyText"/>
        <w:spacing w:line="218" w:lineRule="auto"/>
        <w:ind w:right="89"/>
      </w:pPr>
      <w:r>
        <w:rPr>
          <w:color w:val="231F20"/>
        </w:rPr>
        <w:t>Le président peut, à la demande d’un des intéressés et après avoir entendu ceux qui l’ont saisi ainsi que la société accorder la levée des mesures ordonnées par lui. ».</w:t>
      </w:r>
    </w:p>
    <w:p>
      <w:pPr>
        <w:pStyle w:val="BodyText"/>
        <w:spacing w:before="11"/>
        <w:ind w:left="0" w:right="0" w:firstLine="0"/>
        <w:jc w:val="left"/>
        <w:rPr>
          <w:sz w:val="29"/>
        </w:rPr>
      </w:pPr>
    </w:p>
    <w:p>
      <w:pPr>
        <w:spacing w:line="185" w:lineRule="exact" w:before="0"/>
        <w:ind w:left="1317" w:right="0" w:firstLine="0"/>
        <w:jc w:val="left"/>
        <w:rPr>
          <w:sz w:val="17"/>
        </w:rPr>
      </w:pPr>
      <w:r>
        <w:rPr>
          <w:rFonts w:ascii="Times New Roman" w:hAnsi="Times New Roman"/>
          <w:i/>
          <w:color w:val="231F20"/>
          <w:sz w:val="17"/>
        </w:rPr>
        <w:t>Section IV. </w:t>
      </w:r>
      <w:r>
        <w:rPr>
          <w:i/>
          <w:color w:val="231F20"/>
          <w:sz w:val="17"/>
        </w:rPr>
        <w:t>— </w:t>
      </w:r>
      <w:r>
        <w:rPr>
          <w:color w:val="231F20"/>
          <w:sz w:val="17"/>
        </w:rPr>
        <w:t>Modification de la loi du</w:t>
      </w:r>
    </w:p>
    <w:p>
      <w:pPr>
        <w:pStyle w:val="BodyText"/>
        <w:spacing w:line="197" w:lineRule="exact"/>
        <w:ind w:left="642" w:right="0" w:firstLine="0"/>
        <w:jc w:val="left"/>
      </w:pPr>
      <w:r>
        <w:rPr>
          <w:color w:val="231F20"/>
        </w:rPr>
        <w:t>1</w:t>
      </w:r>
      <w:r>
        <w:rPr>
          <w:color w:val="231F20"/>
          <w:position w:val="7"/>
          <w:sz w:val="11"/>
        </w:rPr>
        <w:t>er </w:t>
      </w:r>
      <w:r>
        <w:rPr>
          <w:color w:val="231F20"/>
        </w:rPr>
        <w:t>avril 2007 relative aux offres publiques d’acquisition.</w:t>
      </w:r>
    </w:p>
    <w:p>
      <w:pPr>
        <w:pStyle w:val="BodyText"/>
        <w:spacing w:line="218" w:lineRule="auto" w:before="153"/>
        <w:ind w:right="90"/>
      </w:pPr>
      <w:r>
        <w:rPr>
          <w:rFonts w:ascii="Times New Roman" w:hAnsi="Times New Roman"/>
          <w:b/>
          <w:color w:val="231F20"/>
        </w:rPr>
        <w:t>Art. </w:t>
      </w:r>
      <w:r>
        <w:rPr>
          <w:rFonts w:ascii="Times New Roman" w:hAnsi="Times New Roman"/>
          <w:b/>
          <w:color w:val="231F20"/>
          <w:spacing w:val="-3"/>
        </w:rPr>
        <w:t>11. </w:t>
      </w:r>
      <w:r>
        <w:rPr>
          <w:color w:val="231F20"/>
        </w:rPr>
        <w:t>L’article 5 de la loi du 1</w:t>
      </w:r>
      <w:r>
        <w:rPr>
          <w:color w:val="231F20"/>
          <w:position w:val="7"/>
          <w:sz w:val="11"/>
        </w:rPr>
        <w:t>er </w:t>
      </w:r>
      <w:r>
        <w:rPr>
          <w:color w:val="231F20"/>
        </w:rPr>
        <w:t>avril 2007 relative aux </w:t>
      </w:r>
      <w:r>
        <w:rPr>
          <w:color w:val="231F20"/>
          <w:spacing w:val="-3"/>
        </w:rPr>
        <w:t>offres </w:t>
      </w:r>
      <w:r>
        <w:rPr>
          <w:color w:val="231F20"/>
        </w:rPr>
        <w:t>publiques  d’acquisition,  modifié   en   dernier   lieu   par   la   loi   du   </w:t>
      </w:r>
      <w:r>
        <w:rPr>
          <w:color w:val="231F20"/>
          <w:spacing w:val="-5"/>
        </w:rPr>
        <w:t>11</w:t>
      </w:r>
      <w:r>
        <w:rPr>
          <w:color w:val="231F20"/>
          <w:spacing w:val="13"/>
        </w:rPr>
        <w:t> </w:t>
      </w:r>
      <w:r>
        <w:rPr>
          <w:color w:val="231F20"/>
        </w:rPr>
        <w:t>juillet</w:t>
      </w:r>
      <w:r>
        <w:rPr>
          <w:color w:val="231F20"/>
          <w:spacing w:val="13"/>
        </w:rPr>
        <w:t> </w:t>
      </w:r>
      <w:r>
        <w:rPr>
          <w:color w:val="231F20"/>
        </w:rPr>
        <w:t>2018,</w:t>
      </w:r>
      <w:r>
        <w:rPr>
          <w:color w:val="231F20"/>
          <w:spacing w:val="13"/>
        </w:rPr>
        <w:t> </w:t>
      </w:r>
      <w:r>
        <w:rPr>
          <w:color w:val="231F20"/>
        </w:rPr>
        <w:t>est</w:t>
      </w:r>
      <w:r>
        <w:rPr>
          <w:color w:val="231F20"/>
          <w:spacing w:val="13"/>
        </w:rPr>
        <w:t> </w:t>
      </w:r>
      <w:r>
        <w:rPr>
          <w:color w:val="231F20"/>
        </w:rPr>
        <w:t>complété</w:t>
      </w:r>
      <w:r>
        <w:rPr>
          <w:color w:val="231F20"/>
          <w:spacing w:val="13"/>
        </w:rPr>
        <w:t> </w:t>
      </w:r>
      <w:r>
        <w:rPr>
          <w:color w:val="231F20"/>
        </w:rPr>
        <w:t>par</w:t>
      </w:r>
      <w:r>
        <w:rPr>
          <w:color w:val="231F20"/>
          <w:spacing w:val="13"/>
        </w:rPr>
        <w:t> </w:t>
      </w:r>
      <w:r>
        <w:rPr>
          <w:color w:val="231F20"/>
        </w:rPr>
        <w:t>quatre</w:t>
      </w:r>
      <w:r>
        <w:rPr>
          <w:color w:val="231F20"/>
          <w:spacing w:val="14"/>
        </w:rPr>
        <w:t> </w:t>
      </w:r>
      <w:r>
        <w:rPr>
          <w:color w:val="231F20"/>
        </w:rPr>
        <w:t>alinéas</w:t>
      </w:r>
      <w:r>
        <w:rPr>
          <w:color w:val="231F20"/>
          <w:spacing w:val="13"/>
        </w:rPr>
        <w:t> </w:t>
      </w:r>
      <w:r>
        <w:rPr>
          <w:color w:val="231F20"/>
        </w:rPr>
        <w:t>rédigés</w:t>
      </w:r>
      <w:r>
        <w:rPr>
          <w:color w:val="231F20"/>
          <w:spacing w:val="13"/>
        </w:rPr>
        <w:t> </w:t>
      </w:r>
      <w:r>
        <w:rPr>
          <w:color w:val="231F20"/>
        </w:rPr>
        <w:t>comme</w:t>
      </w:r>
      <w:r>
        <w:rPr>
          <w:color w:val="231F20"/>
          <w:spacing w:val="13"/>
        </w:rPr>
        <w:t> </w:t>
      </w:r>
      <w:r>
        <w:rPr>
          <w:color w:val="231F20"/>
        </w:rPr>
        <w:t>suit:</w:t>
      </w:r>
    </w:p>
    <w:p>
      <w:pPr>
        <w:pStyle w:val="BodyText"/>
        <w:spacing w:line="218" w:lineRule="auto" w:before="123"/>
        <w:ind w:right="89"/>
      </w:pPr>
      <w:r>
        <w:rPr>
          <w:color w:val="231F20"/>
        </w:rPr>
        <w:t>« Pour le calcul des pourcentages visés aux alinéas 1</w:t>
      </w:r>
      <w:r>
        <w:rPr>
          <w:color w:val="231F20"/>
          <w:position w:val="7"/>
          <w:sz w:val="11"/>
        </w:rPr>
        <w:t>er </w:t>
      </w:r>
      <w:r>
        <w:rPr>
          <w:color w:val="231F20"/>
          <w:spacing w:val="16"/>
        </w:rPr>
        <w:t>et </w:t>
      </w:r>
      <w:r>
        <w:rPr>
          <w:color w:val="231F20"/>
        </w:rPr>
        <w:t>2 et des pourcentages fixés par les arrêtés royaux pris en exécution de la présente loi, il est tenu compte du nombre de titres avec droit de vote  et non du nombre de droits de vote. Il n’est par conséquent pas tenu compte du droit de vote double </w:t>
      </w:r>
      <w:r>
        <w:rPr>
          <w:color w:val="231F20"/>
          <w:spacing w:val="7"/>
        </w:rPr>
        <w:t>viséà </w:t>
      </w:r>
      <w:r>
        <w:rPr>
          <w:color w:val="231F20"/>
        </w:rPr>
        <w:t>l’article 7:53 du Code des sociétés et des</w:t>
      </w:r>
      <w:r>
        <w:rPr>
          <w:color w:val="231F20"/>
          <w:spacing w:val="-12"/>
        </w:rPr>
        <w:t> </w:t>
      </w:r>
      <w:r>
        <w:rPr>
          <w:color w:val="231F20"/>
        </w:rPr>
        <w:t>associations.</w:t>
      </w:r>
    </w:p>
    <w:p>
      <w:pPr>
        <w:pStyle w:val="BodyText"/>
        <w:spacing w:line="218" w:lineRule="auto" w:before="139"/>
        <w:ind w:right="89"/>
      </w:pPr>
      <w:r>
        <w:rPr>
          <w:color w:val="231F20"/>
        </w:rPr>
        <w:t>Les sociétés non cotées dont les titres sont admis à la négociation sur un système multilatéral de négociation désigné par le Roi en vertu de l’alinéa 2 sont soumises au régime impératif du droit de vote applicable aux sociétés cotées. Elles pourront par conséquent, quelle que soit leur forme légale, faire application de l’article 7:53 du Code des sociétés et des associations, à l’exclusion de toute autre forme de droit de vote multiple.</w:t>
      </w:r>
    </w:p>
    <w:p>
      <w:pPr>
        <w:pStyle w:val="BodyText"/>
        <w:spacing w:before="105"/>
        <w:ind w:left="283" w:right="0" w:firstLine="0"/>
        <w:jc w:val="left"/>
      </w:pPr>
      <w:r>
        <w:rPr/>
        <w:br w:type="column"/>
      </w:r>
      <w:r>
        <w:rPr>
          <w:color w:val="231F20"/>
        </w:rPr>
        <w:t>Het</w:t>
      </w:r>
      <w:r>
        <w:rPr>
          <w:color w:val="231F20"/>
          <w:spacing w:val="15"/>
        </w:rPr>
        <w:t> </w:t>
      </w:r>
      <w:r>
        <w:rPr>
          <w:color w:val="231F20"/>
        </w:rPr>
        <w:t>eerste</w:t>
      </w:r>
      <w:r>
        <w:rPr>
          <w:color w:val="231F20"/>
          <w:spacing w:val="15"/>
        </w:rPr>
        <w:t> </w:t>
      </w:r>
      <w:r>
        <w:rPr>
          <w:color w:val="231F20"/>
        </w:rPr>
        <w:t>lid</w:t>
      </w:r>
      <w:r>
        <w:rPr>
          <w:color w:val="231F20"/>
          <w:spacing w:val="15"/>
        </w:rPr>
        <w:t> </w:t>
      </w:r>
      <w:r>
        <w:rPr>
          <w:color w:val="231F20"/>
        </w:rPr>
        <w:t>is</w:t>
      </w:r>
      <w:r>
        <w:rPr>
          <w:color w:val="231F20"/>
          <w:spacing w:val="15"/>
        </w:rPr>
        <w:t> </w:t>
      </w:r>
      <w:r>
        <w:rPr>
          <w:color w:val="231F20"/>
        </w:rPr>
        <w:t>niet</w:t>
      </w:r>
      <w:r>
        <w:rPr>
          <w:color w:val="231F20"/>
          <w:spacing w:val="15"/>
        </w:rPr>
        <w:t> </w:t>
      </w:r>
      <w:r>
        <w:rPr>
          <w:color w:val="231F20"/>
        </w:rPr>
        <w:t>van</w:t>
      </w:r>
      <w:r>
        <w:rPr>
          <w:color w:val="231F20"/>
          <w:spacing w:val="15"/>
        </w:rPr>
        <w:t> </w:t>
      </w:r>
      <w:r>
        <w:rPr>
          <w:color w:val="231F20"/>
        </w:rPr>
        <w:t>toepassing:</w:t>
      </w:r>
    </w:p>
    <w:p>
      <w:pPr>
        <w:pStyle w:val="BodyText"/>
        <w:spacing w:line="218" w:lineRule="auto" w:before="136"/>
      </w:pPr>
      <w:r>
        <w:rPr>
          <w:color w:val="231F20"/>
        </w:rPr>
        <w:t>1° op de effecten waaraan stemrechten van minder dan 5 % van het stemrechtentotaal op de datum van de algemene vergadering zijn verbonden of op een lager quotum dat in de statuten als kennisgevings- drempel</w:t>
      </w:r>
      <w:r>
        <w:rPr>
          <w:color w:val="231F20"/>
          <w:spacing w:val="15"/>
        </w:rPr>
        <w:t> </w:t>
      </w:r>
      <w:r>
        <w:rPr>
          <w:color w:val="231F20"/>
        </w:rPr>
        <w:t>conform</w:t>
      </w:r>
      <w:r>
        <w:rPr>
          <w:color w:val="231F20"/>
          <w:spacing w:val="15"/>
        </w:rPr>
        <w:t> </w:t>
      </w:r>
      <w:r>
        <w:rPr>
          <w:color w:val="231F20"/>
        </w:rPr>
        <w:t>artikel</w:t>
      </w:r>
      <w:r>
        <w:rPr>
          <w:color w:val="231F20"/>
          <w:spacing w:val="15"/>
        </w:rPr>
        <w:t> </w:t>
      </w:r>
      <w:r>
        <w:rPr>
          <w:color w:val="231F20"/>
        </w:rPr>
        <w:t>18</w:t>
      </w:r>
      <w:r>
        <w:rPr>
          <w:color w:val="231F20"/>
          <w:spacing w:val="15"/>
        </w:rPr>
        <w:t> </w:t>
      </w:r>
      <w:r>
        <w:rPr>
          <w:color w:val="231F20"/>
        </w:rPr>
        <w:t>is</w:t>
      </w:r>
      <w:r>
        <w:rPr>
          <w:color w:val="231F20"/>
          <w:spacing w:val="15"/>
        </w:rPr>
        <w:t> </w:t>
      </w:r>
      <w:r>
        <w:rPr>
          <w:color w:val="231F20"/>
        </w:rPr>
        <w:t>bepaald;</w:t>
      </w:r>
    </w:p>
    <w:p>
      <w:pPr>
        <w:pStyle w:val="BodyText"/>
        <w:spacing w:line="218" w:lineRule="auto" w:before="139"/>
      </w:pPr>
      <w:r>
        <w:rPr>
          <w:color w:val="231F20"/>
        </w:rPr>
        <w:t>2° op de effecten waaraan stemrechten verbonden zijn die tussen twee opeenvolgende drempels van vijf  punten  zoals  bedoeld  in  artikel 6, § 1, of tussen twee opeenvolgende drempels bepaald in de statuten</w:t>
      </w:r>
      <w:r>
        <w:rPr>
          <w:color w:val="231F20"/>
          <w:spacing w:val="14"/>
        </w:rPr>
        <w:t> </w:t>
      </w:r>
      <w:r>
        <w:rPr>
          <w:color w:val="231F20"/>
        </w:rPr>
        <w:t>conform</w:t>
      </w:r>
      <w:r>
        <w:rPr>
          <w:color w:val="231F20"/>
          <w:spacing w:val="15"/>
        </w:rPr>
        <w:t> </w:t>
      </w:r>
      <w:r>
        <w:rPr>
          <w:color w:val="231F20"/>
        </w:rPr>
        <w:t>artikel</w:t>
      </w:r>
      <w:r>
        <w:rPr>
          <w:color w:val="231F20"/>
          <w:spacing w:val="14"/>
        </w:rPr>
        <w:t> </w:t>
      </w:r>
      <w:r>
        <w:rPr>
          <w:color w:val="231F20"/>
        </w:rPr>
        <w:t>18</w:t>
      </w:r>
      <w:r>
        <w:rPr>
          <w:color w:val="231F20"/>
          <w:spacing w:val="15"/>
        </w:rPr>
        <w:t> </w:t>
      </w:r>
      <w:r>
        <w:rPr>
          <w:color w:val="231F20"/>
        </w:rPr>
        <w:t>begrepen</w:t>
      </w:r>
      <w:r>
        <w:rPr>
          <w:color w:val="231F20"/>
          <w:spacing w:val="14"/>
        </w:rPr>
        <w:t> </w:t>
      </w:r>
      <w:r>
        <w:rPr>
          <w:color w:val="231F20"/>
        </w:rPr>
        <w:t>zijn;</w:t>
      </w:r>
    </w:p>
    <w:p>
      <w:pPr>
        <w:pStyle w:val="BodyText"/>
        <w:spacing w:line="218" w:lineRule="auto" w:before="139"/>
      </w:pPr>
      <w:r>
        <w:rPr>
          <w:color w:val="231F20"/>
        </w:rPr>
        <w:t>3° op de effecten waarop is ingeschreven met uitoefening van een voorkeurrecht, op de effecten verworven door erfopvolging of inge- volge fusie, splitsing of vereffening, evenmin als op de effecten verworven in het kader van een openbaar koopaanbod uitgebracht in overeenstemming met de bepalingen van de wet van 1 april 2007 op de openbare overnamebiedingen; en</w:t>
      </w:r>
    </w:p>
    <w:p>
      <w:pPr>
        <w:pStyle w:val="BodyText"/>
        <w:spacing w:line="218" w:lineRule="auto" w:before="139"/>
        <w:ind w:right="123"/>
      </w:pPr>
      <w:r>
        <w:rPr>
          <w:color w:val="231F20"/>
        </w:rPr>
        <w:t>4° op de effecten waarvan werd kennisgegeven door een volmacht- drager met toepassing van artikel 7, eerste lid, 5°, op voorwaarde dat de betrokken volmachtgever of volmachtgevers ofwel zelf minstens  twintig dagen voor de datum van de algemene vergadering een kennisgeving hebben gedaan voor de betrokken stemrechtverlenende effecten, ofwel zelf niet verplicht zijn om een kennisgeving te doen voor de betrokken stemrechtverlenende</w:t>
      </w:r>
      <w:r>
        <w:rPr>
          <w:color w:val="231F20"/>
          <w:spacing w:val="3"/>
        </w:rPr>
        <w:t> </w:t>
      </w:r>
      <w:r>
        <w:rPr>
          <w:color w:val="231F20"/>
        </w:rPr>
        <w:t>effecten.”.</w:t>
      </w:r>
    </w:p>
    <w:p>
      <w:pPr>
        <w:pStyle w:val="BodyText"/>
        <w:spacing w:line="218" w:lineRule="auto" w:before="179"/>
        <w:ind w:right="111"/>
      </w:pPr>
      <w:r>
        <w:rPr>
          <w:rFonts w:ascii="Times New Roman"/>
          <w:b/>
          <w:color w:val="231F20"/>
          <w:spacing w:val="10"/>
        </w:rPr>
        <w:t>Art.  </w:t>
      </w:r>
      <w:r>
        <w:rPr>
          <w:rFonts w:ascii="Times New Roman"/>
          <w:b/>
          <w:color w:val="231F20"/>
          <w:spacing w:val="9"/>
        </w:rPr>
        <w:t>10.  </w:t>
      </w:r>
      <w:r>
        <w:rPr>
          <w:color w:val="231F20"/>
          <w:spacing w:val="7"/>
        </w:rPr>
        <w:t>In  </w:t>
      </w:r>
      <w:r>
        <w:rPr>
          <w:color w:val="231F20"/>
          <w:spacing w:val="12"/>
        </w:rPr>
        <w:t>hetzelfde  hoofdstuk  </w:t>
      </w:r>
      <w:r>
        <w:rPr>
          <w:color w:val="231F20"/>
          <w:spacing w:val="10"/>
        </w:rPr>
        <w:t>VI/1   wordt   </w:t>
      </w:r>
      <w:r>
        <w:rPr>
          <w:color w:val="231F20"/>
          <w:spacing w:val="9"/>
        </w:rPr>
        <w:t>een   </w:t>
      </w:r>
      <w:r>
        <w:rPr>
          <w:color w:val="231F20"/>
          <w:spacing w:val="14"/>
        </w:rPr>
        <w:t>arti-  </w:t>
      </w:r>
      <w:r>
        <w:rPr>
          <w:color w:val="231F20"/>
        </w:rPr>
        <w:t>kel 25/2 ingevoegd,</w:t>
      </w:r>
      <w:r>
        <w:rPr>
          <w:color w:val="231F20"/>
          <w:spacing w:val="6"/>
        </w:rPr>
        <w:t> </w:t>
      </w:r>
      <w:r>
        <w:rPr>
          <w:color w:val="231F20"/>
        </w:rPr>
        <w:t>luidende:</w:t>
      </w:r>
    </w:p>
    <w:p>
      <w:pPr>
        <w:pStyle w:val="BodyText"/>
        <w:spacing w:line="218" w:lineRule="auto" w:before="139"/>
      </w:pPr>
      <w:r>
        <w:rPr>
          <w:color w:val="231F20"/>
        </w:rPr>
        <w:t>“Art. 25/2. § 1. Indien de krachtens deze wet vereiste kennisgevingen niet werden verricht volgens de modaliteiten en binnen de termijnen zoals voorgeschreven, kan de voorzitter van de ondernemingsrecht- bank van het rechtsgebied waarbinnen de vennootschap haar zetel heeft, recht doende als in kort geding:</w:t>
      </w:r>
    </w:p>
    <w:p>
      <w:pPr>
        <w:pStyle w:val="BodyText"/>
        <w:spacing w:line="218" w:lineRule="auto" w:before="139"/>
      </w:pPr>
      <w:r>
        <w:rPr>
          <w:color w:val="231F20"/>
        </w:rPr>
        <w:t>1° de uitoefening van alle of een deel van de aan de betrokken effecten verbonden rechten voor een periode van ten hoogste één jaar opschorten;</w:t>
      </w:r>
    </w:p>
    <w:p>
      <w:pPr>
        <w:pStyle w:val="BodyText"/>
        <w:spacing w:line="218" w:lineRule="auto" w:before="139"/>
      </w:pPr>
      <w:r>
        <w:rPr>
          <w:color w:val="231F20"/>
        </w:rPr>
        <w:t>2° gedurende de termijn die hij vaststelt, een reeds bijeengeroepen algemene vergadering opschorten;</w:t>
      </w:r>
    </w:p>
    <w:p>
      <w:pPr>
        <w:pStyle w:val="BodyText"/>
        <w:spacing w:line="218" w:lineRule="auto" w:before="138"/>
      </w:pPr>
      <w:r>
        <w:rPr>
          <w:color w:val="231F20"/>
        </w:rPr>
        <w:t>3° onder zijn toezicht de verkoop van de bewuste effecten aan een derde, die niet met de huidige aandeelhouder verbonden is, bevelen binnen een termijn die hij vaststelt en die kan worden verlengd.</w:t>
      </w:r>
    </w:p>
    <w:p>
      <w:pPr>
        <w:pStyle w:val="BodyText"/>
        <w:spacing w:line="218" w:lineRule="auto" w:before="139"/>
      </w:pPr>
      <w:r>
        <w:rPr>
          <w:color w:val="231F20"/>
        </w:rPr>
        <w:t>§ 2. De procedure wordt ingesteld door een dagvaarding uitgaande van de vennootschap of van één of meer stemgerechtigde aandeelhou- ders. </w:t>
      </w:r>
      <w:r>
        <w:rPr>
          <w:color w:val="231F20"/>
          <w:spacing w:val="-3"/>
        </w:rPr>
        <w:t>Wanneer </w:t>
      </w:r>
      <w:r>
        <w:rPr>
          <w:color w:val="231F20"/>
        </w:rPr>
        <w:t>het voorwerp van de vraag de opschorting van een reeds bijeengeroepen algemene vergadering betreft, kan de procedure even- eens ingesteld worden door de persoon wiens effecten het voorwerp zijn van een vraag of beslissing tot opschorting van alle of een deel van de</w:t>
      </w:r>
      <w:r>
        <w:rPr>
          <w:color w:val="231F20"/>
          <w:spacing w:val="14"/>
        </w:rPr>
        <w:t> </w:t>
      </w:r>
      <w:r>
        <w:rPr>
          <w:color w:val="231F20"/>
        </w:rPr>
        <w:t>aan</w:t>
      </w:r>
      <w:r>
        <w:rPr>
          <w:color w:val="231F20"/>
          <w:spacing w:val="15"/>
        </w:rPr>
        <w:t> </w:t>
      </w:r>
      <w:r>
        <w:rPr>
          <w:color w:val="231F20"/>
        </w:rPr>
        <w:t>de</w:t>
      </w:r>
      <w:r>
        <w:rPr>
          <w:color w:val="231F20"/>
          <w:spacing w:val="14"/>
        </w:rPr>
        <w:t> </w:t>
      </w:r>
      <w:r>
        <w:rPr>
          <w:color w:val="231F20"/>
        </w:rPr>
        <w:t>betrokken</w:t>
      </w:r>
      <w:r>
        <w:rPr>
          <w:color w:val="231F20"/>
          <w:spacing w:val="15"/>
        </w:rPr>
        <w:t> </w:t>
      </w:r>
      <w:r>
        <w:rPr>
          <w:color w:val="231F20"/>
        </w:rPr>
        <w:t>effecten</w:t>
      </w:r>
      <w:r>
        <w:rPr>
          <w:color w:val="231F20"/>
          <w:spacing w:val="15"/>
        </w:rPr>
        <w:t> </w:t>
      </w:r>
      <w:r>
        <w:rPr>
          <w:color w:val="231F20"/>
        </w:rPr>
        <w:t>verbonden</w:t>
      </w:r>
      <w:r>
        <w:rPr>
          <w:color w:val="231F20"/>
          <w:spacing w:val="14"/>
        </w:rPr>
        <w:t> </w:t>
      </w:r>
      <w:r>
        <w:rPr>
          <w:color w:val="231F20"/>
        </w:rPr>
        <w:t>rechten.</w:t>
      </w:r>
    </w:p>
    <w:p>
      <w:pPr>
        <w:pStyle w:val="BodyText"/>
        <w:spacing w:line="218" w:lineRule="auto" w:before="139"/>
        <w:ind w:right="125"/>
      </w:pPr>
      <w:r>
        <w:rPr>
          <w:color w:val="231F20"/>
        </w:rPr>
        <w:t>Wanneer het voorwerp van de vraag de opschorting betreft, overeen- komstig paragraaf 1, 1°, van alle of een deel van de rechten verbonden aan de betrokken effecten, moet zij, indien een kennisgeving is verricht, op straffe van onontvankelijkheid, uiterlijk vijftien dagen na de betekening van de kennisgeving worden ingediend.</w:t>
      </w:r>
    </w:p>
    <w:p>
      <w:pPr>
        <w:pStyle w:val="BodyText"/>
        <w:spacing w:line="218" w:lineRule="auto" w:before="139"/>
      </w:pPr>
      <w:r>
        <w:rPr>
          <w:color w:val="231F20"/>
        </w:rPr>
        <w:t>De voorzitter kan de opheffing van de door hem bevolen maatregelen toestaan op vraag van één der belanghebbenden en na de personen die de zaak bij hem aanhangig hebben gemaakt alsook de vennootschap te hebben gehoord.”.</w:t>
      </w:r>
    </w:p>
    <w:p>
      <w:pPr>
        <w:spacing w:line="193" w:lineRule="exact" w:before="165"/>
        <w:ind w:left="1241" w:right="0" w:firstLine="0"/>
        <w:jc w:val="left"/>
        <w:rPr>
          <w:sz w:val="17"/>
        </w:rPr>
      </w:pPr>
      <w:r>
        <w:rPr>
          <w:rFonts w:ascii="Times New Roman" w:hAnsi="Times New Roman"/>
          <w:i/>
          <w:color w:val="231F20"/>
          <w:w w:val="105"/>
          <w:sz w:val="17"/>
        </w:rPr>
        <w:t>Afdeling IV. </w:t>
      </w:r>
      <w:r>
        <w:rPr>
          <w:i/>
          <w:color w:val="231F20"/>
          <w:w w:val="105"/>
          <w:sz w:val="17"/>
        </w:rPr>
        <w:t>— </w:t>
      </w:r>
      <w:r>
        <w:rPr>
          <w:color w:val="231F20"/>
          <w:w w:val="105"/>
          <w:sz w:val="17"/>
        </w:rPr>
        <w:t>Wijziging van de wet van</w:t>
      </w:r>
    </w:p>
    <w:p>
      <w:pPr>
        <w:pStyle w:val="BodyText"/>
        <w:spacing w:line="190" w:lineRule="exact"/>
        <w:ind w:left="920" w:right="0" w:firstLine="0"/>
        <w:jc w:val="left"/>
      </w:pPr>
      <w:r>
        <w:rPr>
          <w:color w:val="231F20"/>
        </w:rPr>
        <w:t>1 april 2007 op de openbare overnamebiedingen.</w:t>
      </w:r>
    </w:p>
    <w:p>
      <w:pPr>
        <w:pStyle w:val="BodyText"/>
        <w:spacing w:line="218" w:lineRule="auto" w:before="165"/>
        <w:ind w:right="121"/>
      </w:pPr>
      <w:r>
        <w:rPr>
          <w:rFonts w:ascii="Times New Roman"/>
          <w:b/>
          <w:color w:val="231F20"/>
        </w:rPr>
        <w:t>Art. </w:t>
      </w:r>
      <w:r>
        <w:rPr>
          <w:rFonts w:ascii="Times New Roman"/>
          <w:b/>
          <w:color w:val="231F20"/>
          <w:spacing w:val="-3"/>
        </w:rPr>
        <w:t>11. </w:t>
      </w:r>
      <w:r>
        <w:rPr>
          <w:color w:val="231F20"/>
        </w:rPr>
        <w:t>Artikel 5 van de wet van 1 april 2007 op de openbare overnamebiedingen</w:t>
      </w:r>
      <w:r>
        <w:rPr>
          <w:color w:val="231F20"/>
          <w:spacing w:val="-9"/>
        </w:rPr>
        <w:t> </w:t>
      </w:r>
      <w:r>
        <w:rPr>
          <w:color w:val="231F20"/>
        </w:rPr>
        <w:t>laatstelijk</w:t>
      </w:r>
      <w:r>
        <w:rPr>
          <w:color w:val="231F20"/>
          <w:spacing w:val="-9"/>
        </w:rPr>
        <w:t> </w:t>
      </w:r>
      <w:r>
        <w:rPr>
          <w:color w:val="231F20"/>
        </w:rPr>
        <w:t>gewijzigd</w:t>
      </w:r>
      <w:r>
        <w:rPr>
          <w:color w:val="231F20"/>
          <w:spacing w:val="-9"/>
        </w:rPr>
        <w:t> </w:t>
      </w:r>
      <w:r>
        <w:rPr>
          <w:color w:val="231F20"/>
        </w:rPr>
        <w:t>bij</w:t>
      </w:r>
      <w:r>
        <w:rPr>
          <w:color w:val="231F20"/>
          <w:spacing w:val="-8"/>
        </w:rPr>
        <w:t> </w:t>
      </w:r>
      <w:r>
        <w:rPr>
          <w:color w:val="231F20"/>
        </w:rPr>
        <w:t>de</w:t>
      </w:r>
      <w:r>
        <w:rPr>
          <w:color w:val="231F20"/>
          <w:spacing w:val="-9"/>
        </w:rPr>
        <w:t> </w:t>
      </w:r>
      <w:r>
        <w:rPr>
          <w:color w:val="231F20"/>
        </w:rPr>
        <w:t>wet</w:t>
      </w:r>
      <w:r>
        <w:rPr>
          <w:color w:val="231F20"/>
          <w:spacing w:val="-9"/>
        </w:rPr>
        <w:t> </w:t>
      </w:r>
      <w:r>
        <w:rPr>
          <w:color w:val="231F20"/>
        </w:rPr>
        <w:t>van</w:t>
      </w:r>
      <w:r>
        <w:rPr>
          <w:color w:val="231F20"/>
          <w:spacing w:val="-8"/>
        </w:rPr>
        <w:t> </w:t>
      </w:r>
      <w:r>
        <w:rPr>
          <w:color w:val="231F20"/>
          <w:spacing w:val="-6"/>
        </w:rPr>
        <w:t>11</w:t>
      </w:r>
      <w:r>
        <w:rPr>
          <w:color w:val="231F20"/>
          <w:spacing w:val="-9"/>
        </w:rPr>
        <w:t> </w:t>
      </w:r>
      <w:r>
        <w:rPr>
          <w:color w:val="231F20"/>
        </w:rPr>
        <w:t>juli</w:t>
      </w:r>
      <w:r>
        <w:rPr>
          <w:color w:val="231F20"/>
          <w:spacing w:val="-9"/>
        </w:rPr>
        <w:t> </w:t>
      </w:r>
      <w:r>
        <w:rPr>
          <w:color w:val="231F20"/>
        </w:rPr>
        <w:t>2018</w:t>
      </w:r>
      <w:r>
        <w:rPr>
          <w:color w:val="231F20"/>
          <w:spacing w:val="-8"/>
        </w:rPr>
        <w:t> </w:t>
      </w:r>
      <w:r>
        <w:rPr>
          <w:color w:val="231F20"/>
          <w:spacing w:val="-3"/>
        </w:rPr>
        <w:t>wordt </w:t>
      </w:r>
      <w:r>
        <w:rPr>
          <w:color w:val="231F20"/>
        </w:rPr>
        <w:t>aangevuld met vier leden,</w:t>
      </w:r>
      <w:r>
        <w:rPr>
          <w:color w:val="231F20"/>
          <w:spacing w:val="22"/>
        </w:rPr>
        <w:t> </w:t>
      </w:r>
      <w:r>
        <w:rPr>
          <w:color w:val="231F20"/>
        </w:rPr>
        <w:t>luidende:</w:t>
      </w:r>
    </w:p>
    <w:p>
      <w:pPr>
        <w:pStyle w:val="BodyText"/>
        <w:spacing w:line="218" w:lineRule="auto" w:before="138"/>
      </w:pPr>
      <w:r>
        <w:rPr>
          <w:color w:val="231F20"/>
        </w:rPr>
        <w:t>“Voor de toepassing van de percentages bedoeld in het eerste en tweede lid en in de koninklijke besluiten genomen in uitvoering van deze wet, wordt rekening gehouden met het aantal effecten met stemrecht en niet met het aantal stemrechten. Er wordt derhalve geen rekening gehouden met het in artikel 7:53 van het Wetboek van vennootschappen en verenigingen bedoelde dubbel stemrecht.</w:t>
      </w:r>
    </w:p>
    <w:p>
      <w:pPr>
        <w:pStyle w:val="BodyText"/>
        <w:spacing w:line="218" w:lineRule="auto" w:before="139"/>
        <w:ind w:right="123"/>
      </w:pPr>
      <w:r>
        <w:rPr>
          <w:color w:val="231F20"/>
        </w:rPr>
        <w:t>De niet genoteerde vennootschappen waarvan de effecten zijn toegelaten op een multilaterale handelsfaciliteit, die de Koning over- eenkomstig het tweede lid heeft aangeduid, zijn aan de dwingende regeling van het stemrecht in genoteerde vennootschappen onderwor- pen. Deze vennootschappen kunnen derhalve, ongeacht hun rechts- vorm, artikel 7:53 van het Wetboek van vennootschappen en verenigin- gen toepassen, met uitsluiting van enige andere vorm van meervoudig stemrecht.</w:t>
      </w:r>
    </w:p>
    <w:p>
      <w:pPr>
        <w:spacing w:after="0" w:line="218" w:lineRule="auto"/>
        <w:sectPr>
          <w:headerReference w:type="even" r:id="rId121"/>
          <w:headerReference w:type="default" r:id="rId122"/>
          <w:pgSz w:w="11940" w:h="16880"/>
          <w:pgMar w:header="666" w:footer="0" w:top="1140" w:bottom="280" w:left="340" w:right="360"/>
          <w:pgNumType w:start="33522"/>
          <w:cols w:num="2" w:equalWidth="0">
            <w:col w:w="5578" w:space="49"/>
            <w:col w:w="5613"/>
          </w:cols>
        </w:sectPr>
      </w:pPr>
    </w:p>
    <w:p>
      <w:pPr>
        <w:pStyle w:val="BodyText"/>
        <w:spacing w:line="218" w:lineRule="auto" w:before="120"/>
        <w:ind w:right="38"/>
      </w:pPr>
      <w:r>
        <w:rPr/>
        <w:pict>
          <v:line style="position:absolute;mso-position-horizontal-relative:page;mso-position-vertical-relative:page;z-index:7840" from="298.170502pt,64.473pt" to="298.170502pt,812.819pt" stroked="true" strokeweight=".533pt" strokecolor="#231f20">
            <v:stroke dashstyle="solid"/>
            <w10:wrap type="none"/>
          </v:line>
        </w:pict>
      </w:r>
      <w:bookmarkStart w:name="_bookmark284" w:id="290"/>
      <w:bookmarkEnd w:id="290"/>
      <w:r>
        <w:rPr/>
      </w:r>
      <w:r>
        <w:rPr>
          <w:color w:val="231F20"/>
        </w:rPr>
        <w:t>Lorsque à la suite d’une </w:t>
      </w:r>
      <w:r>
        <w:rPr>
          <w:color w:val="231F20"/>
          <w:spacing w:val="-4"/>
        </w:rPr>
        <w:t>offre </w:t>
      </w:r>
      <w:r>
        <w:rPr>
          <w:color w:val="231F20"/>
        </w:rPr>
        <w:t>publique d’acquisition,  l’offrant acquiert au moins deux tiers des titres avec droit le vote d’une société dont les statuts prévoient un droit  de  vote  double  au  sens  de  l’article 7:53 du Code des sociétés et des associations, cet offrant</w:t>
      </w:r>
      <w:r>
        <w:rPr>
          <w:color w:val="231F20"/>
          <w:spacing w:val="-29"/>
        </w:rPr>
        <w:t> </w:t>
      </w:r>
      <w:r>
        <w:rPr>
          <w:color w:val="231F20"/>
        </w:rPr>
        <w:t>pourra, dans le mois de la publication des  résultats  de  </w:t>
      </w:r>
      <w:r>
        <w:rPr>
          <w:color w:val="231F20"/>
          <w:spacing w:val="-3"/>
        </w:rPr>
        <w:t>l’offre  </w:t>
      </w:r>
      <w:r>
        <w:rPr>
          <w:color w:val="231F20"/>
        </w:rPr>
        <w:t>prévue  à  l’article 32 de l’arrêté royal du 27 avril 2007 relatif aux </w:t>
      </w:r>
      <w:r>
        <w:rPr>
          <w:color w:val="231F20"/>
          <w:spacing w:val="-3"/>
        </w:rPr>
        <w:t>offres </w:t>
      </w:r>
      <w:r>
        <w:rPr>
          <w:color w:val="231F20"/>
        </w:rPr>
        <w:t>publiques d’acquisition, demander la convocation, dans les trois semaines de</w:t>
      </w:r>
      <w:r>
        <w:rPr>
          <w:color w:val="231F20"/>
          <w:spacing w:val="-6"/>
        </w:rPr>
        <w:t> </w:t>
      </w:r>
      <w:r>
        <w:rPr>
          <w:color w:val="231F20"/>
        </w:rPr>
        <w:t>cette demande, d’une assemblée générale extraordinaire appelée à suppri- mer la disposition statutaire prévoyant le droit de vote double. À cette assemblée, les titres donnant lieu à un droit de vote double ne donneront lieu qu’à une</w:t>
      </w:r>
      <w:r>
        <w:rPr>
          <w:color w:val="231F20"/>
          <w:spacing w:val="21"/>
        </w:rPr>
        <w:t> </w:t>
      </w:r>
      <w:r>
        <w:rPr>
          <w:color w:val="231F20"/>
        </w:rPr>
        <w:t>voix.</w:t>
      </w:r>
    </w:p>
    <w:p>
      <w:pPr>
        <w:pStyle w:val="BodyText"/>
        <w:ind w:left="0" w:right="0" w:firstLine="0"/>
        <w:jc w:val="left"/>
        <w:rPr>
          <w:sz w:val="20"/>
        </w:rPr>
      </w:pPr>
    </w:p>
    <w:p>
      <w:pPr>
        <w:pStyle w:val="BodyText"/>
        <w:spacing w:before="1"/>
        <w:ind w:left="0" w:right="0" w:firstLine="0"/>
        <w:jc w:val="left"/>
      </w:pPr>
    </w:p>
    <w:p>
      <w:pPr>
        <w:pStyle w:val="BodyText"/>
        <w:spacing w:line="218" w:lineRule="auto"/>
        <w:ind w:right="38"/>
      </w:pPr>
      <w:r>
        <w:rPr>
          <w:color w:val="231F20"/>
        </w:rPr>
        <w:t>La suppression du droit de vote double par cette assemblée ne donnera droit à aucune compensation financière. ».</w:t>
      </w:r>
    </w:p>
    <w:p>
      <w:pPr>
        <w:pStyle w:val="BodyText"/>
        <w:spacing w:before="1"/>
        <w:ind w:left="0" w:right="0" w:firstLine="0"/>
        <w:jc w:val="left"/>
        <w:rPr>
          <w:sz w:val="24"/>
        </w:rPr>
      </w:pPr>
    </w:p>
    <w:p>
      <w:pPr>
        <w:pStyle w:val="BodyText"/>
        <w:spacing w:line="218" w:lineRule="auto"/>
        <w:ind w:right="39"/>
      </w:pPr>
      <w:r>
        <w:rPr>
          <w:rFonts w:ascii="Times New Roman" w:hAnsi="Times New Roman"/>
          <w:b/>
          <w:color w:val="231F20"/>
        </w:rPr>
        <w:t>Art. 12. </w:t>
      </w:r>
      <w:r>
        <w:rPr>
          <w:color w:val="231F20"/>
        </w:rPr>
        <w:t>L’article 46, paragraphe 1</w:t>
      </w:r>
      <w:r>
        <w:rPr>
          <w:color w:val="231F20"/>
          <w:position w:val="7"/>
          <w:sz w:val="11"/>
        </w:rPr>
        <w:t>er</w:t>
      </w:r>
      <w:r>
        <w:rPr>
          <w:color w:val="231F20"/>
        </w:rPr>
        <w:t>, 4° et 5°, de la même loi est remplacé par ce qui suit:</w:t>
      </w:r>
    </w:p>
    <w:p>
      <w:pPr>
        <w:pStyle w:val="BodyText"/>
        <w:spacing w:before="6"/>
        <w:ind w:left="0" w:right="0" w:firstLine="0"/>
        <w:jc w:val="left"/>
        <w:rPr>
          <w:sz w:val="21"/>
        </w:rPr>
      </w:pPr>
    </w:p>
    <w:p>
      <w:pPr>
        <w:pStyle w:val="BodyText"/>
        <w:spacing w:line="218" w:lineRule="auto"/>
        <w:ind w:right="38"/>
      </w:pPr>
      <w:r>
        <w:rPr>
          <w:color w:val="231F20"/>
        </w:rPr>
        <w:t>« 4° que, lors d’une assemblée générale qui serait convoquée pendant la période </w:t>
      </w:r>
      <w:r>
        <w:rPr>
          <w:color w:val="231F20"/>
          <w:spacing w:val="-3"/>
        </w:rPr>
        <w:t>d’offre </w:t>
      </w:r>
      <w:r>
        <w:rPr>
          <w:color w:val="231F20"/>
        </w:rPr>
        <w:t>et dont l’ordre du jour porterait notamment sur la prise de mesures de défense, les restrictions au droit de vote, inscrites tant dans les statuts que dans des accords contractuels conclus avec ou entre des détenteurs de titres, ne s’appliqueront pas et qu’à cette assemblée générale les titres à droit de vote multiple ne donneront</w:t>
      </w:r>
      <w:r>
        <w:rPr>
          <w:color w:val="231F20"/>
          <w:spacing w:val="-22"/>
        </w:rPr>
        <w:t> </w:t>
      </w:r>
      <w:r>
        <w:rPr>
          <w:color w:val="231F20"/>
        </w:rPr>
        <w:t>droit chacun qu’à une voix</w:t>
      </w:r>
      <w:r>
        <w:rPr>
          <w:color w:val="231F20"/>
          <w:spacing w:val="20"/>
        </w:rPr>
        <w:t> </w:t>
      </w:r>
      <w:r>
        <w:rPr>
          <w:color w:val="231F20"/>
        </w:rPr>
        <w:t>;</w:t>
      </w:r>
    </w:p>
    <w:p>
      <w:pPr>
        <w:pStyle w:val="BodyText"/>
        <w:spacing w:before="7"/>
        <w:ind w:left="0" w:right="0" w:firstLine="0"/>
        <w:jc w:val="left"/>
        <w:rPr>
          <w:sz w:val="21"/>
        </w:rPr>
      </w:pPr>
    </w:p>
    <w:p>
      <w:pPr>
        <w:pStyle w:val="BodyText"/>
        <w:spacing w:line="218" w:lineRule="auto"/>
        <w:ind w:right="38"/>
      </w:pPr>
      <w:r>
        <w:rPr>
          <w:color w:val="231F20"/>
        </w:rPr>
        <w:t>5° que, lorsqu’à la suite d’une </w:t>
      </w:r>
      <w:r>
        <w:rPr>
          <w:color w:val="231F20"/>
          <w:spacing w:val="-3"/>
        </w:rPr>
        <w:t>offre, </w:t>
      </w:r>
      <w:r>
        <w:rPr>
          <w:color w:val="231F20"/>
        </w:rPr>
        <w:t>l’offrant détient au moins 75 % du capital assorti de droits de vote, les restrictions au transfert de titres ou au droit de vote, en ce compris le droit de vote multiple, visées aux 3°  et 4°, ou les droits statutaires extraordinaires des actionnaires concer- nant la nomination ou la révocation de membres de l’organe d’admi- nistration, ne s’appliqueront pas lors de la première assemblée générale convoquée à la demande de l’offrant au plus tôt deux semaines, et au plus tard deux mois, après la publication des résultats de </w:t>
      </w:r>
      <w:r>
        <w:rPr>
          <w:color w:val="231F20"/>
          <w:spacing w:val="-3"/>
        </w:rPr>
        <w:t>l’offre </w:t>
      </w:r>
      <w:r>
        <w:rPr>
          <w:color w:val="231F20"/>
        </w:rPr>
        <w:t>publique aux fins de modifier les statuts ou de nommer ou révoquer  des membres de l’organe d’administration, et qu’à cette assemblée générale les titres à droit de vote multiple ne donneront droit chacun qu’à une voix.</w:t>
      </w:r>
      <w:r>
        <w:rPr>
          <w:color w:val="231F20"/>
          <w:spacing w:val="31"/>
        </w:rPr>
        <w:t> </w:t>
      </w:r>
      <w:r>
        <w:rPr>
          <w:color w:val="231F20"/>
        </w:rPr>
        <w:t>».</w:t>
      </w:r>
    </w:p>
    <w:p>
      <w:pPr>
        <w:pStyle w:val="BodyText"/>
        <w:spacing w:before="11"/>
        <w:ind w:left="0" w:right="0" w:firstLine="0"/>
        <w:jc w:val="left"/>
        <w:rPr>
          <w:sz w:val="23"/>
        </w:rPr>
      </w:pPr>
    </w:p>
    <w:p>
      <w:pPr>
        <w:spacing w:line="193" w:lineRule="exact" w:before="0"/>
        <w:ind w:left="1345" w:right="0" w:firstLine="0"/>
        <w:jc w:val="left"/>
        <w:rPr>
          <w:sz w:val="17"/>
        </w:rPr>
      </w:pPr>
      <w:r>
        <w:rPr>
          <w:rFonts w:ascii="Times New Roman" w:hAnsi="Times New Roman"/>
          <w:i/>
          <w:color w:val="231F20"/>
          <w:w w:val="105"/>
          <w:sz w:val="17"/>
        </w:rPr>
        <w:t>Section V. </w:t>
      </w:r>
      <w:r>
        <w:rPr>
          <w:i/>
          <w:color w:val="231F20"/>
          <w:w w:val="105"/>
          <w:sz w:val="17"/>
        </w:rPr>
        <w:t>— </w:t>
      </w:r>
      <w:r>
        <w:rPr>
          <w:color w:val="231F20"/>
          <w:w w:val="105"/>
          <w:sz w:val="17"/>
        </w:rPr>
        <w:t>Modification de la loi du</w:t>
      </w:r>
    </w:p>
    <w:p>
      <w:pPr>
        <w:pStyle w:val="BodyText"/>
        <w:spacing w:line="190" w:lineRule="exact"/>
        <w:ind w:left="547" w:right="0" w:firstLine="0"/>
        <w:jc w:val="left"/>
      </w:pPr>
      <w:r>
        <w:rPr>
          <w:color w:val="231F20"/>
        </w:rPr>
        <w:t>16 juillet 2004 portant le Code de droit international privé.</w:t>
      </w:r>
    </w:p>
    <w:p>
      <w:pPr>
        <w:pStyle w:val="BodyText"/>
        <w:spacing w:before="1"/>
        <w:ind w:left="0" w:right="0" w:firstLine="0"/>
        <w:jc w:val="left"/>
        <w:rPr>
          <w:sz w:val="20"/>
        </w:rPr>
      </w:pPr>
    </w:p>
    <w:p>
      <w:pPr>
        <w:pStyle w:val="BodyText"/>
        <w:spacing w:line="218" w:lineRule="auto"/>
        <w:ind w:right="38"/>
      </w:pPr>
      <w:r>
        <w:rPr>
          <w:rFonts w:ascii="Times New Roman" w:hAnsi="Times New Roman"/>
          <w:b/>
          <w:color w:val="231F20"/>
        </w:rPr>
        <w:t>Art. 13. </w:t>
      </w:r>
      <w:r>
        <w:rPr>
          <w:color w:val="231F20"/>
        </w:rPr>
        <w:t>Dans l’article 109 de la loi du 16 juillet 2004 portant le Code de droit international privé, les modifications suivantes sont apportées:</w:t>
      </w:r>
    </w:p>
    <w:p>
      <w:pPr>
        <w:pStyle w:val="BodyText"/>
        <w:ind w:left="0" w:right="0" w:firstLine="0"/>
        <w:jc w:val="left"/>
        <w:rPr>
          <w:sz w:val="20"/>
        </w:rPr>
      </w:pPr>
    </w:p>
    <w:p>
      <w:pPr>
        <w:pStyle w:val="BodyText"/>
        <w:spacing w:before="10"/>
        <w:ind w:left="0" w:right="0" w:firstLine="0"/>
        <w:jc w:val="left"/>
        <w:rPr>
          <w:sz w:val="15"/>
        </w:rPr>
      </w:pPr>
    </w:p>
    <w:p>
      <w:pPr>
        <w:pStyle w:val="BodyText"/>
        <w:spacing w:line="523" w:lineRule="auto"/>
        <w:ind w:left="283" w:right="855" w:hanging="1"/>
        <w:jc w:val="left"/>
      </w:pPr>
      <w:r>
        <w:rPr>
          <w:color w:val="231F20"/>
        </w:rPr>
        <w:t>1° les mots « l’établissement principal ou » sont abrogés; 2° l’article est complété par la phrase suivante:</w:t>
      </w:r>
    </w:p>
    <w:p>
      <w:pPr>
        <w:pStyle w:val="BodyText"/>
        <w:spacing w:line="216" w:lineRule="auto" w:before="26"/>
        <w:ind w:right="38"/>
      </w:pPr>
      <w:r>
        <w:rPr>
          <w:color w:val="231F20"/>
        </w:rPr>
        <w:t>« Nonobstant toute clause contraire, les juges belges sont toutefois toujours compétents pour connaître de demandes portant sur la responsabilité des administrateurs de la personne morale, telle que visée à l’article 2:56, alinéa 1</w:t>
      </w:r>
      <w:r>
        <w:rPr>
          <w:color w:val="231F20"/>
          <w:position w:val="7"/>
          <w:sz w:val="11"/>
        </w:rPr>
        <w:t>er</w:t>
      </w:r>
      <w:r>
        <w:rPr>
          <w:color w:val="231F20"/>
        </w:rPr>
        <w:t>, du Code des sociétés et des associations, envers d’autres personnes que la personne morale ou ses associés ou actionnaires ou membres, pour des comportements dans le cadre de l’exercice de la fonction d’administration, si l’établissement principal de la</w:t>
      </w:r>
      <w:r>
        <w:rPr>
          <w:color w:val="231F20"/>
          <w:spacing w:val="-3"/>
        </w:rPr>
        <w:t> </w:t>
      </w:r>
      <w:r>
        <w:rPr>
          <w:color w:val="231F20"/>
        </w:rPr>
        <w:t>personne</w:t>
      </w:r>
      <w:r>
        <w:rPr>
          <w:color w:val="231F20"/>
          <w:spacing w:val="-3"/>
        </w:rPr>
        <w:t> </w:t>
      </w:r>
      <w:r>
        <w:rPr>
          <w:color w:val="231F20"/>
        </w:rPr>
        <w:t>morale</w:t>
      </w:r>
      <w:r>
        <w:rPr>
          <w:color w:val="231F20"/>
          <w:spacing w:val="-2"/>
        </w:rPr>
        <w:t> </w:t>
      </w:r>
      <w:r>
        <w:rPr>
          <w:color w:val="231F20"/>
        </w:rPr>
        <w:t>se</w:t>
      </w:r>
      <w:r>
        <w:rPr>
          <w:color w:val="231F20"/>
          <w:spacing w:val="-3"/>
        </w:rPr>
        <w:t> </w:t>
      </w:r>
      <w:r>
        <w:rPr>
          <w:color w:val="231F20"/>
        </w:rPr>
        <w:t>situe</w:t>
      </w:r>
      <w:r>
        <w:rPr>
          <w:color w:val="231F20"/>
          <w:spacing w:val="-3"/>
        </w:rPr>
        <w:t> </w:t>
      </w:r>
      <w:r>
        <w:rPr>
          <w:color w:val="231F20"/>
        </w:rPr>
        <w:t>en</w:t>
      </w:r>
      <w:r>
        <w:rPr>
          <w:color w:val="231F20"/>
          <w:spacing w:val="-2"/>
        </w:rPr>
        <w:t> </w:t>
      </w:r>
      <w:r>
        <w:rPr>
          <w:color w:val="231F20"/>
        </w:rPr>
        <w:t>Belgique,</w:t>
      </w:r>
      <w:r>
        <w:rPr>
          <w:color w:val="231F20"/>
          <w:spacing w:val="-3"/>
        </w:rPr>
        <w:t> </w:t>
      </w:r>
      <w:r>
        <w:rPr>
          <w:color w:val="231F20"/>
        </w:rPr>
        <w:t>tandis</w:t>
      </w:r>
      <w:r>
        <w:rPr>
          <w:color w:val="231F20"/>
          <w:spacing w:val="-2"/>
        </w:rPr>
        <w:t> </w:t>
      </w:r>
      <w:r>
        <w:rPr>
          <w:color w:val="231F20"/>
        </w:rPr>
        <w:t>que</w:t>
      </w:r>
      <w:r>
        <w:rPr>
          <w:color w:val="231F20"/>
          <w:spacing w:val="-3"/>
        </w:rPr>
        <w:t> </w:t>
      </w:r>
      <w:r>
        <w:rPr>
          <w:color w:val="231F20"/>
        </w:rPr>
        <w:t>le</w:t>
      </w:r>
      <w:r>
        <w:rPr>
          <w:color w:val="231F20"/>
          <w:spacing w:val="-3"/>
        </w:rPr>
        <w:t> </w:t>
      </w:r>
      <w:r>
        <w:rPr>
          <w:color w:val="231F20"/>
        </w:rPr>
        <w:t>siège</w:t>
      </w:r>
      <w:r>
        <w:rPr>
          <w:color w:val="231F20"/>
          <w:spacing w:val="-2"/>
        </w:rPr>
        <w:t> </w:t>
      </w:r>
      <w:r>
        <w:rPr>
          <w:color w:val="231F20"/>
        </w:rPr>
        <w:t>statutaire</w:t>
      </w:r>
      <w:r>
        <w:rPr>
          <w:color w:val="231F20"/>
          <w:spacing w:val="-3"/>
        </w:rPr>
        <w:t> </w:t>
      </w:r>
      <w:r>
        <w:rPr>
          <w:color w:val="231F20"/>
        </w:rPr>
        <w:t>de la personne morale est établi dans un  État  situé  en  dehors  de  l’Union européenne et que la personne morale n’a qu’un lien formel avec cet État.</w:t>
      </w:r>
      <w:r>
        <w:rPr>
          <w:color w:val="231F20"/>
          <w:spacing w:val="29"/>
        </w:rPr>
        <w:t> </w:t>
      </w:r>
      <w:r>
        <w:rPr>
          <w:color w:val="231F20"/>
        </w:rPr>
        <w:t>».</w:t>
      </w:r>
    </w:p>
    <w:p>
      <w:pPr>
        <w:pStyle w:val="BodyText"/>
        <w:spacing w:before="3"/>
        <w:ind w:left="0" w:right="0" w:firstLine="0"/>
        <w:jc w:val="left"/>
        <w:rPr>
          <w:sz w:val="25"/>
        </w:rPr>
      </w:pPr>
    </w:p>
    <w:p>
      <w:pPr>
        <w:pStyle w:val="BodyText"/>
        <w:ind w:left="283" w:right="0" w:firstLine="0"/>
        <w:jc w:val="left"/>
      </w:pPr>
      <w:r>
        <w:rPr>
          <w:rFonts w:ascii="Times New Roman" w:hAnsi="Times New Roman"/>
          <w:b/>
          <w:color w:val="231F20"/>
        </w:rPr>
        <w:t>Art. 14. </w:t>
      </w:r>
      <w:r>
        <w:rPr>
          <w:color w:val="231F20"/>
        </w:rPr>
        <w:t>L’article 110 de la même loi est remplacé par ce qui suit:</w:t>
      </w:r>
    </w:p>
    <w:p>
      <w:pPr>
        <w:pStyle w:val="BodyText"/>
        <w:spacing w:before="2"/>
        <w:ind w:left="0" w:right="0" w:firstLine="0"/>
        <w:jc w:val="left"/>
        <w:rPr>
          <w:sz w:val="22"/>
        </w:rPr>
      </w:pPr>
    </w:p>
    <w:p>
      <w:pPr>
        <w:pStyle w:val="BodyText"/>
        <w:spacing w:line="218" w:lineRule="auto" w:before="1"/>
        <w:ind w:right="38"/>
      </w:pPr>
      <w:r>
        <w:rPr>
          <w:color w:val="231F20"/>
        </w:rPr>
        <w:t>« Art. 110. La personne morale est régie par le droit de l’État où se situe son siège statutaire. ».</w:t>
      </w:r>
    </w:p>
    <w:p>
      <w:pPr>
        <w:pStyle w:val="BodyText"/>
        <w:spacing w:before="11"/>
        <w:ind w:left="0" w:right="0" w:firstLine="0"/>
        <w:jc w:val="left"/>
        <w:rPr>
          <w:sz w:val="24"/>
        </w:rPr>
      </w:pPr>
    </w:p>
    <w:p>
      <w:pPr>
        <w:pStyle w:val="BodyText"/>
        <w:spacing w:line="218" w:lineRule="auto"/>
        <w:ind w:right="39"/>
      </w:pPr>
      <w:r>
        <w:rPr>
          <w:rFonts w:ascii="Times New Roman" w:hAnsi="Times New Roman"/>
          <w:b/>
          <w:color w:val="231F20"/>
        </w:rPr>
        <w:t>Art. 15. </w:t>
      </w:r>
      <w:r>
        <w:rPr>
          <w:color w:val="231F20"/>
        </w:rPr>
        <w:t>Dans l’article </w:t>
      </w:r>
      <w:r>
        <w:rPr>
          <w:color w:val="231F20"/>
          <w:spacing w:val="-5"/>
        </w:rPr>
        <w:t>111, </w:t>
      </w:r>
      <w:r>
        <w:rPr>
          <w:color w:val="231F20"/>
        </w:rPr>
        <w:t>§ 1</w:t>
      </w:r>
      <w:r>
        <w:rPr>
          <w:color w:val="231F20"/>
          <w:position w:val="7"/>
          <w:sz w:val="11"/>
        </w:rPr>
        <w:t>er</w:t>
      </w:r>
      <w:r>
        <w:rPr>
          <w:color w:val="231F20"/>
        </w:rPr>
        <w:t>, 9°, de la même loi, les mots « droit  des sociétés » est remplacé par le mot « droit des personnes morales</w:t>
      </w:r>
      <w:r>
        <w:rPr>
          <w:color w:val="231F20"/>
          <w:spacing w:val="22"/>
        </w:rPr>
        <w:t> </w:t>
      </w:r>
      <w:r>
        <w:rPr>
          <w:color w:val="231F20"/>
        </w:rPr>
        <w:t>».</w:t>
      </w:r>
    </w:p>
    <w:p>
      <w:pPr>
        <w:pStyle w:val="BodyText"/>
        <w:ind w:left="0" w:right="0" w:firstLine="0"/>
        <w:jc w:val="left"/>
        <w:rPr>
          <w:sz w:val="20"/>
        </w:rPr>
      </w:pPr>
    </w:p>
    <w:p>
      <w:pPr>
        <w:pStyle w:val="BodyText"/>
        <w:spacing w:before="6"/>
        <w:ind w:left="0" w:right="0" w:firstLine="0"/>
        <w:jc w:val="left"/>
        <w:rPr>
          <w:sz w:val="21"/>
        </w:rPr>
      </w:pPr>
    </w:p>
    <w:p>
      <w:pPr>
        <w:pStyle w:val="BodyText"/>
        <w:spacing w:line="218" w:lineRule="auto"/>
        <w:ind w:right="38"/>
      </w:pPr>
      <w:r>
        <w:rPr>
          <w:rFonts w:ascii="Times New Roman" w:hAnsi="Times New Roman"/>
          <w:b/>
          <w:color w:val="231F20"/>
        </w:rPr>
        <w:t>Art. 16. </w:t>
      </w:r>
      <w:r>
        <w:rPr>
          <w:color w:val="231F20"/>
        </w:rPr>
        <w:t>Dans l’article 112 de la même loi, les mots « de l’établisse- ment principal » sont chaque fois remplacés par les mots « du siège statutaire ».</w:t>
      </w:r>
    </w:p>
    <w:p>
      <w:pPr>
        <w:pStyle w:val="BodyText"/>
        <w:ind w:left="0" w:right="0" w:firstLine="0"/>
        <w:jc w:val="left"/>
        <w:rPr>
          <w:sz w:val="26"/>
        </w:rPr>
      </w:pPr>
    </w:p>
    <w:p>
      <w:pPr>
        <w:pStyle w:val="BodyText"/>
        <w:spacing w:line="218" w:lineRule="auto"/>
        <w:ind w:right="38"/>
      </w:pPr>
      <w:r>
        <w:rPr>
          <w:rFonts w:ascii="Times New Roman" w:hAnsi="Times New Roman"/>
          <w:b/>
          <w:color w:val="231F20"/>
        </w:rPr>
        <w:t>Art. 17. </w:t>
      </w:r>
      <w:r>
        <w:rPr>
          <w:color w:val="231F20"/>
        </w:rPr>
        <w:t>Dans le texte néerlandais de l’article 114 de la même loi, le mot « titels » est remplacé par le mot « effecten ».</w:t>
      </w:r>
    </w:p>
    <w:p>
      <w:pPr>
        <w:pStyle w:val="BodyText"/>
        <w:spacing w:line="218" w:lineRule="auto" w:before="119"/>
      </w:pPr>
      <w:r>
        <w:rPr/>
        <w:br w:type="column"/>
      </w:r>
      <w:r>
        <w:rPr>
          <w:color w:val="231F20"/>
          <w:spacing w:val="-3"/>
        </w:rPr>
        <w:t>Wanneer </w:t>
      </w:r>
      <w:r>
        <w:rPr>
          <w:color w:val="231F20"/>
        </w:rPr>
        <w:t>ten gevolge van een openbaar overnamebod, de bieder ten minste twee derde van de effecten met stemrecht verwerft van een vennootschap waarvan de statuten voorzien in een dubbel stemrecht als bedoeld in artikel 7:53 van het </w:t>
      </w:r>
      <w:r>
        <w:rPr>
          <w:color w:val="231F20"/>
          <w:spacing w:val="-3"/>
        </w:rPr>
        <w:t>Wetboek </w:t>
      </w:r>
      <w:r>
        <w:rPr>
          <w:color w:val="231F20"/>
        </w:rPr>
        <w:t>van vennootschappen en verenigingen, kan deze bieder, binnen één maand na de in artikel 32 van het koninklijk besluit van 27 april 2007 op de openbare overname- biedingen voorgeschreven bekendmaking van de resultaten van het bod, de bijeenroeping vragen, binnen drie weken van dit verzoek, van een buitengewone algemene vergadering om de statutaire bepaling te schrappen die in het dubbel stemrecht voorziet. Op die algemene vergadering zullen de effecten waaraan een dubbel stemrecht is verbonden</w:t>
      </w:r>
      <w:r>
        <w:rPr>
          <w:color w:val="231F20"/>
          <w:spacing w:val="15"/>
        </w:rPr>
        <w:t> </w:t>
      </w:r>
      <w:r>
        <w:rPr>
          <w:color w:val="231F20"/>
        </w:rPr>
        <w:t>slechts</w:t>
      </w:r>
      <w:r>
        <w:rPr>
          <w:color w:val="231F20"/>
          <w:spacing w:val="15"/>
        </w:rPr>
        <w:t> </w:t>
      </w:r>
      <w:r>
        <w:rPr>
          <w:color w:val="231F20"/>
        </w:rPr>
        <w:t>recht</w:t>
      </w:r>
      <w:r>
        <w:rPr>
          <w:color w:val="231F20"/>
          <w:spacing w:val="15"/>
        </w:rPr>
        <w:t> </w:t>
      </w:r>
      <w:r>
        <w:rPr>
          <w:color w:val="231F20"/>
        </w:rPr>
        <w:t>geven</w:t>
      </w:r>
      <w:r>
        <w:rPr>
          <w:color w:val="231F20"/>
          <w:spacing w:val="16"/>
        </w:rPr>
        <w:t> </w:t>
      </w:r>
      <w:r>
        <w:rPr>
          <w:color w:val="231F20"/>
        </w:rPr>
        <w:t>op</w:t>
      </w:r>
      <w:r>
        <w:rPr>
          <w:color w:val="231F20"/>
          <w:spacing w:val="15"/>
        </w:rPr>
        <w:t> </w:t>
      </w:r>
      <w:r>
        <w:rPr>
          <w:color w:val="231F20"/>
        </w:rPr>
        <w:t>één</w:t>
      </w:r>
      <w:r>
        <w:rPr>
          <w:color w:val="231F20"/>
          <w:spacing w:val="15"/>
        </w:rPr>
        <w:t> </w:t>
      </w:r>
      <w:r>
        <w:rPr>
          <w:color w:val="231F20"/>
        </w:rPr>
        <w:t>stem.</w:t>
      </w:r>
    </w:p>
    <w:p>
      <w:pPr>
        <w:pStyle w:val="BodyText"/>
        <w:spacing w:before="8"/>
        <w:ind w:left="0" w:right="0" w:firstLine="0"/>
        <w:jc w:val="left"/>
        <w:rPr>
          <w:sz w:val="21"/>
        </w:rPr>
      </w:pPr>
    </w:p>
    <w:p>
      <w:pPr>
        <w:pStyle w:val="BodyText"/>
        <w:spacing w:line="218" w:lineRule="auto"/>
      </w:pPr>
      <w:r>
        <w:rPr>
          <w:color w:val="231F20"/>
        </w:rPr>
        <w:t>De afschaffing van het dubbel stemrecht door deze algemene vergadering zal geen recht geven op enige financiële vergoeding.”.</w:t>
      </w:r>
    </w:p>
    <w:p>
      <w:pPr>
        <w:pStyle w:val="BodyText"/>
        <w:spacing w:before="1"/>
        <w:ind w:left="0" w:right="0" w:firstLine="0"/>
        <w:jc w:val="left"/>
        <w:rPr>
          <w:sz w:val="25"/>
        </w:rPr>
      </w:pPr>
    </w:p>
    <w:p>
      <w:pPr>
        <w:pStyle w:val="BodyText"/>
        <w:spacing w:line="218" w:lineRule="auto"/>
      </w:pPr>
      <w:r>
        <w:rPr>
          <w:rFonts w:ascii="Times New Roman" w:hAnsi="Times New Roman"/>
          <w:b/>
          <w:color w:val="231F20"/>
        </w:rPr>
        <w:t>Art. 12. </w:t>
      </w:r>
      <w:r>
        <w:rPr>
          <w:color w:val="231F20"/>
        </w:rPr>
        <w:t>Artikel 46, paragraaf 1, 4° en 5°, van dezelfde wet wordt vervangen als volgt:</w:t>
      </w:r>
    </w:p>
    <w:p>
      <w:pPr>
        <w:pStyle w:val="BodyText"/>
        <w:spacing w:before="7"/>
        <w:ind w:left="0" w:right="0" w:firstLine="0"/>
        <w:jc w:val="left"/>
        <w:rPr>
          <w:sz w:val="21"/>
        </w:rPr>
      </w:pPr>
    </w:p>
    <w:p>
      <w:pPr>
        <w:pStyle w:val="BodyText"/>
        <w:spacing w:line="218" w:lineRule="auto"/>
      </w:pPr>
      <w:r>
        <w:rPr>
          <w:color w:val="231F20"/>
        </w:rPr>
        <w:t>“4° op een algemene vergadering, bijeengeroepen tijdens de biedpe- riode en waar inzonderheid het nemen van beschermingsmaatregelen wordt geagendeerd, stemrechtbeperkingen bepaald in zowel de statu- ten als in overeenkomsten met en tussen effectenhouders, niet gelden en tijdens deze algemene vergadering aan effecten met meervoudig stemrecht slechts één stem is verbonden;</w:t>
      </w:r>
    </w:p>
    <w:p>
      <w:pPr>
        <w:pStyle w:val="BodyText"/>
        <w:ind w:left="0" w:right="0" w:firstLine="0"/>
        <w:jc w:val="left"/>
        <w:rPr>
          <w:sz w:val="20"/>
        </w:rPr>
      </w:pPr>
    </w:p>
    <w:p>
      <w:pPr>
        <w:pStyle w:val="BodyText"/>
        <w:spacing w:before="1"/>
        <w:ind w:left="0" w:right="0" w:firstLine="0"/>
        <w:jc w:val="left"/>
      </w:pPr>
    </w:p>
    <w:p>
      <w:pPr>
        <w:pStyle w:val="BodyText"/>
        <w:spacing w:line="218" w:lineRule="auto"/>
      </w:pPr>
      <w:r>
        <w:rPr>
          <w:color w:val="231F20"/>
        </w:rPr>
        <w:t>5° wanneer de bieder ten gevolge van een bod in het bezit komt van minstens 75 % van het kapitaal waaraan stemrecht is verbonden, de in 3° en 4°, bedoelde overdrachtsbeperkingen of stemrechtbeperkingen, inclusief meervoudig stemrecht, of buitengewone statutaire rechten van aandeelhouders ten aanzien van benoeming of ontslag van leden van het bestuursorgaan, niet gelden op de eerste algemene vergadering die op verzoek van de bieder ten vroegste twee weken, en uiterlijk twee maanden na de bekendmaking van de resultaten van het openbaar bod wordt bijeengeroepen om de statuten te wijzigen of leden van het bestuursorgaan te benoemen of te ontslaan, en tijdens deze algemene vergadering aan effecten met meervoudig stemrecht slechts één stem is verbonden.”.</w:t>
      </w:r>
    </w:p>
    <w:p>
      <w:pPr>
        <w:pStyle w:val="BodyText"/>
        <w:spacing w:before="4"/>
        <w:ind w:left="0" w:right="0" w:firstLine="0"/>
        <w:jc w:val="left"/>
        <w:rPr>
          <w:sz w:val="24"/>
        </w:rPr>
      </w:pPr>
    </w:p>
    <w:p>
      <w:pPr>
        <w:pStyle w:val="BodyText"/>
        <w:spacing w:line="232" w:lineRule="auto"/>
        <w:ind w:left="679" w:right="280" w:firstLine="128"/>
        <w:jc w:val="left"/>
      </w:pPr>
      <w:r>
        <w:rPr>
          <w:rFonts w:ascii="Times New Roman" w:hAnsi="Times New Roman"/>
          <w:i/>
          <w:color w:val="231F20"/>
        </w:rPr>
        <w:t>Afdeling V. </w:t>
      </w:r>
      <w:r>
        <w:rPr>
          <w:i/>
          <w:color w:val="231F20"/>
        </w:rPr>
        <w:t>— </w:t>
      </w:r>
      <w:r>
        <w:rPr>
          <w:color w:val="231F20"/>
        </w:rPr>
        <w:t>Wijziging van de wet van 16 juli 2004 houdende het Wetboek van internationaal privaatrecht.</w:t>
      </w:r>
    </w:p>
    <w:p>
      <w:pPr>
        <w:pStyle w:val="BodyText"/>
        <w:spacing w:before="2"/>
        <w:ind w:left="0" w:right="0" w:firstLine="0"/>
        <w:jc w:val="left"/>
        <w:rPr>
          <w:sz w:val="20"/>
        </w:rPr>
      </w:pPr>
    </w:p>
    <w:p>
      <w:pPr>
        <w:pStyle w:val="BodyText"/>
        <w:spacing w:line="218" w:lineRule="auto"/>
      </w:pPr>
      <w:r>
        <w:rPr>
          <w:rFonts w:ascii="Times New Roman"/>
          <w:b/>
          <w:color w:val="231F20"/>
        </w:rPr>
        <w:t>Art. 13. </w:t>
      </w:r>
      <w:r>
        <w:rPr>
          <w:color w:val="231F20"/>
        </w:rPr>
        <w:t>In artikel 109 van de wet van 16 juli 2004 houdende het Wetboek van internationaal privaatrecht worden de volgende wijzigin- gen aangebracht:</w:t>
      </w:r>
    </w:p>
    <w:p>
      <w:pPr>
        <w:pStyle w:val="BodyText"/>
        <w:spacing w:before="4"/>
        <w:ind w:left="0" w:right="0" w:firstLine="0"/>
        <w:jc w:val="left"/>
        <w:rPr>
          <w:sz w:val="20"/>
        </w:rPr>
      </w:pPr>
    </w:p>
    <w:p>
      <w:pPr>
        <w:pStyle w:val="BodyText"/>
        <w:spacing w:line="523" w:lineRule="auto"/>
        <w:ind w:left="283" w:right="317" w:hanging="1"/>
        <w:jc w:val="left"/>
      </w:pPr>
      <w:r>
        <w:rPr>
          <w:color w:val="231F20"/>
        </w:rPr>
        <w:t>1° de woorden “de voornaamste vestiging of” worden opgeheven;   2°</w:t>
      </w:r>
      <w:r>
        <w:rPr>
          <w:color w:val="231F20"/>
          <w:spacing w:val="17"/>
        </w:rPr>
        <w:t> </w:t>
      </w:r>
      <w:r>
        <w:rPr>
          <w:color w:val="231F20"/>
        </w:rPr>
        <w:t>het</w:t>
      </w:r>
      <w:r>
        <w:rPr>
          <w:color w:val="231F20"/>
          <w:spacing w:val="17"/>
        </w:rPr>
        <w:t> </w:t>
      </w:r>
      <w:r>
        <w:rPr>
          <w:color w:val="231F20"/>
        </w:rPr>
        <w:t>artikel</w:t>
      </w:r>
      <w:r>
        <w:rPr>
          <w:color w:val="231F20"/>
          <w:spacing w:val="17"/>
        </w:rPr>
        <w:t> </w:t>
      </w:r>
      <w:r>
        <w:rPr>
          <w:color w:val="231F20"/>
        </w:rPr>
        <w:t>wordt</w:t>
      </w:r>
      <w:r>
        <w:rPr>
          <w:color w:val="231F20"/>
          <w:spacing w:val="17"/>
        </w:rPr>
        <w:t> </w:t>
      </w:r>
      <w:r>
        <w:rPr>
          <w:color w:val="231F20"/>
        </w:rPr>
        <w:t>aangevuld</w:t>
      </w:r>
      <w:r>
        <w:rPr>
          <w:color w:val="231F20"/>
          <w:spacing w:val="17"/>
        </w:rPr>
        <w:t> </w:t>
      </w:r>
      <w:r>
        <w:rPr>
          <w:color w:val="231F20"/>
        </w:rPr>
        <w:t>met</w:t>
      </w:r>
      <w:r>
        <w:rPr>
          <w:color w:val="231F20"/>
          <w:spacing w:val="17"/>
        </w:rPr>
        <w:t> </w:t>
      </w:r>
      <w:r>
        <w:rPr>
          <w:color w:val="231F20"/>
        </w:rPr>
        <w:t>de</w:t>
      </w:r>
      <w:r>
        <w:rPr>
          <w:color w:val="231F20"/>
          <w:spacing w:val="17"/>
        </w:rPr>
        <w:t> </w:t>
      </w:r>
      <w:r>
        <w:rPr>
          <w:color w:val="231F20"/>
        </w:rPr>
        <w:t>volgende</w:t>
      </w:r>
      <w:r>
        <w:rPr>
          <w:color w:val="231F20"/>
          <w:spacing w:val="17"/>
        </w:rPr>
        <w:t> </w:t>
      </w:r>
      <w:r>
        <w:rPr>
          <w:color w:val="231F20"/>
        </w:rPr>
        <w:t>zin:</w:t>
      </w:r>
    </w:p>
    <w:p>
      <w:pPr>
        <w:pStyle w:val="BodyText"/>
        <w:spacing w:line="218" w:lineRule="auto" w:before="25"/>
        <w:ind w:right="123"/>
      </w:pPr>
      <w:r>
        <w:rPr>
          <w:color w:val="231F20"/>
        </w:rPr>
        <w:t>“De Belgische rechters zijn, niettegenstaande andersluidend beding, evenwel steeds bevoegd kennis te nemen van vorderingen die de aansprakelijkheid van de bestuurders van de rechtspersoon als bedoeld in artikel 2:56, eerste lid, van het </w:t>
      </w:r>
      <w:r>
        <w:rPr>
          <w:color w:val="231F20"/>
          <w:spacing w:val="-3"/>
        </w:rPr>
        <w:t>Wetboek </w:t>
      </w:r>
      <w:r>
        <w:rPr>
          <w:color w:val="231F20"/>
        </w:rPr>
        <w:t>van vennootschappen en verenigingen tegenover anderen dan de rechtspersoon of zijn vennoten of aandeelhouders of leden betreffen, voor gedragingen in het kader van de uitoefening van de bestuursfunctie, indien de voornaamste vestiging van de rechtspersoon zich in België bevindt, terwijl de statutaire zetel van de rechtspersoon zich in een staat buiten de Europese Unie bevindt en de rechtspersoon slechts een formele band met die staat</w:t>
      </w:r>
      <w:r>
        <w:rPr>
          <w:color w:val="231F20"/>
          <w:spacing w:val="4"/>
        </w:rPr>
        <w:t> </w:t>
      </w:r>
      <w:r>
        <w:rPr>
          <w:color w:val="231F20"/>
        </w:rPr>
        <w:t>heeft.”.</w:t>
      </w:r>
    </w:p>
    <w:p>
      <w:pPr>
        <w:pStyle w:val="BodyText"/>
        <w:spacing w:line="430" w:lineRule="atLeast" w:before="48"/>
        <w:ind w:left="283" w:right="169" w:firstLine="0"/>
        <w:jc w:val="left"/>
      </w:pPr>
      <w:r>
        <w:rPr>
          <w:rFonts w:ascii="Times New Roman" w:hAnsi="Times New Roman"/>
          <w:b/>
          <w:color w:val="231F20"/>
        </w:rPr>
        <w:t>Art. 14. </w:t>
      </w:r>
      <w:r>
        <w:rPr>
          <w:color w:val="231F20"/>
        </w:rPr>
        <w:t>Artikel </w:t>
      </w:r>
      <w:r>
        <w:rPr>
          <w:color w:val="231F20"/>
          <w:spacing w:val="-4"/>
        </w:rPr>
        <w:t>110 </w:t>
      </w:r>
      <w:r>
        <w:rPr>
          <w:color w:val="231F20"/>
        </w:rPr>
        <w:t>van dezelfde wet  wordt  vervangen  als  volgt: “Art. </w:t>
      </w:r>
      <w:r>
        <w:rPr>
          <w:color w:val="231F20"/>
          <w:spacing w:val="-3"/>
        </w:rPr>
        <w:t>110. </w:t>
      </w:r>
      <w:r>
        <w:rPr>
          <w:color w:val="231F20"/>
        </w:rPr>
        <w:t>Rechtspersonen worden beheerst door het recht van</w:t>
      </w:r>
      <w:r>
        <w:rPr>
          <w:color w:val="231F20"/>
          <w:spacing w:val="19"/>
        </w:rPr>
        <w:t> </w:t>
      </w:r>
      <w:r>
        <w:rPr>
          <w:color w:val="231F20"/>
        </w:rPr>
        <w:t>de</w:t>
      </w:r>
    </w:p>
    <w:p>
      <w:pPr>
        <w:pStyle w:val="BodyText"/>
        <w:spacing w:line="178" w:lineRule="exact"/>
        <w:ind w:right="0" w:firstLine="0"/>
        <w:jc w:val="left"/>
      </w:pPr>
      <w:r>
        <w:rPr>
          <w:color w:val="231F20"/>
        </w:rPr>
        <w:t>Staat waar hun statutaire zetel is gelegen.”.</w:t>
      </w:r>
    </w:p>
    <w:p>
      <w:pPr>
        <w:pStyle w:val="BodyText"/>
        <w:spacing w:before="9"/>
        <w:ind w:left="0" w:right="0" w:firstLine="0"/>
        <w:jc w:val="left"/>
        <w:rPr>
          <w:sz w:val="25"/>
        </w:rPr>
      </w:pPr>
    </w:p>
    <w:p>
      <w:pPr>
        <w:pStyle w:val="BodyText"/>
        <w:spacing w:line="218" w:lineRule="auto"/>
      </w:pPr>
      <w:r>
        <w:rPr>
          <w:rFonts w:ascii="Times New Roman" w:hAnsi="Times New Roman"/>
          <w:b/>
          <w:color w:val="231F20"/>
        </w:rPr>
        <w:t>Art. 15. </w:t>
      </w:r>
      <w:r>
        <w:rPr>
          <w:color w:val="231F20"/>
        </w:rPr>
        <w:t>In artikel </w:t>
      </w:r>
      <w:r>
        <w:rPr>
          <w:color w:val="231F20"/>
          <w:spacing w:val="-5"/>
        </w:rPr>
        <w:t>111, </w:t>
      </w:r>
      <w:r>
        <w:rPr>
          <w:color w:val="231F20"/>
        </w:rPr>
        <w:t>§ 1, van dezelfde wet wordt in de bepaling  onder 9° het woord “vennootschapsrecht” vervangen door het woord “rechtspersonenrecht”.</w:t>
      </w:r>
    </w:p>
    <w:p>
      <w:pPr>
        <w:pStyle w:val="BodyText"/>
        <w:ind w:left="0" w:right="0" w:firstLine="0"/>
        <w:jc w:val="left"/>
        <w:rPr>
          <w:sz w:val="26"/>
        </w:rPr>
      </w:pPr>
    </w:p>
    <w:p>
      <w:pPr>
        <w:pStyle w:val="BodyText"/>
        <w:spacing w:line="218" w:lineRule="auto"/>
      </w:pPr>
      <w:r>
        <w:rPr>
          <w:rFonts w:ascii="Times New Roman" w:hAnsi="Times New Roman"/>
          <w:b/>
          <w:color w:val="231F20"/>
          <w:w w:val="105"/>
        </w:rPr>
        <w:t>Art. 16. </w:t>
      </w:r>
      <w:r>
        <w:rPr>
          <w:color w:val="231F20"/>
          <w:w w:val="105"/>
        </w:rPr>
        <w:t>In artikel 112 van dezelfde wet worden de woorden “voornaamste vestiging” twee maal vervangen door de woorden “statutaire zetel”.</w:t>
      </w:r>
    </w:p>
    <w:p>
      <w:pPr>
        <w:pStyle w:val="BodyText"/>
        <w:spacing w:before="1"/>
        <w:ind w:left="0" w:right="0" w:firstLine="0"/>
        <w:jc w:val="left"/>
        <w:rPr>
          <w:sz w:val="26"/>
        </w:rPr>
      </w:pPr>
    </w:p>
    <w:p>
      <w:pPr>
        <w:pStyle w:val="BodyText"/>
        <w:spacing w:line="218" w:lineRule="auto"/>
      </w:pPr>
      <w:r>
        <w:rPr>
          <w:rFonts w:ascii="Times New Roman" w:hAnsi="Times New Roman"/>
          <w:b/>
          <w:color w:val="231F20"/>
          <w:w w:val="105"/>
        </w:rPr>
        <w:t>Art. 17. </w:t>
      </w:r>
      <w:r>
        <w:rPr>
          <w:color w:val="231F20"/>
          <w:w w:val="105"/>
        </w:rPr>
        <w:t>In artikel 114 van dezelfde wet wordt het woord “titels” vervangen door het woord “effecten”.</w:t>
      </w:r>
    </w:p>
    <w:p>
      <w:pPr>
        <w:spacing w:after="0" w:line="218" w:lineRule="auto"/>
        <w:sectPr>
          <w:pgSz w:w="11940" w:h="16880"/>
          <w:pgMar w:header="666" w:footer="0" w:top="1140" w:bottom="280" w:left="340" w:right="360"/>
          <w:cols w:num="2" w:equalWidth="0">
            <w:col w:w="5527" w:space="100"/>
            <w:col w:w="5613"/>
          </w:cols>
        </w:sectPr>
      </w:pPr>
    </w:p>
    <w:p>
      <w:pPr>
        <w:pStyle w:val="BodyText"/>
        <w:spacing w:line="218" w:lineRule="auto" w:before="117"/>
        <w:ind w:right="65"/>
      </w:pPr>
      <w:r>
        <w:rPr/>
        <w:pict>
          <v:line style="position:absolute;mso-position-horizontal-relative:page;mso-position-vertical-relative:page;z-index:7864" from="298.170502pt,64.473pt" to="298.170502pt,812.819pt" stroked="true" strokeweight=".533pt" strokecolor="#231f20">
            <v:stroke dashstyle="solid"/>
            <w10:wrap type="none"/>
          </v:line>
        </w:pict>
      </w:r>
      <w:bookmarkStart w:name="_bookmark285" w:id="291"/>
      <w:bookmarkEnd w:id="291"/>
      <w:r>
        <w:rPr/>
      </w:r>
      <w:r>
        <w:rPr>
          <w:rFonts w:ascii="Times New Roman" w:hAnsi="Times New Roman"/>
          <w:b/>
          <w:color w:val="231F20"/>
        </w:rPr>
        <w:t>Art. 18. </w:t>
      </w:r>
      <w:r>
        <w:rPr>
          <w:color w:val="231F20"/>
        </w:rPr>
        <w:t>Dans l’article 115 de la même loi, les mots « l’établissement principal » sont remplacés par les mots « le siège statutaire ».</w:t>
      </w:r>
    </w:p>
    <w:p>
      <w:pPr>
        <w:pStyle w:val="BodyText"/>
        <w:ind w:left="0" w:right="0" w:firstLine="0"/>
        <w:jc w:val="left"/>
        <w:rPr>
          <w:sz w:val="20"/>
        </w:rPr>
      </w:pPr>
    </w:p>
    <w:p>
      <w:pPr>
        <w:pStyle w:val="BodyText"/>
        <w:spacing w:before="1"/>
        <w:ind w:left="0" w:right="0" w:firstLine="0"/>
        <w:jc w:val="left"/>
        <w:rPr>
          <w:sz w:val="21"/>
        </w:rPr>
      </w:pPr>
    </w:p>
    <w:p>
      <w:pPr>
        <w:pStyle w:val="BodyText"/>
        <w:spacing w:line="199" w:lineRule="exact"/>
        <w:ind w:left="283" w:right="0" w:firstLine="0"/>
        <w:jc w:val="left"/>
      </w:pPr>
      <w:r>
        <w:rPr>
          <w:rFonts w:ascii="Times New Roman" w:hAnsi="Times New Roman"/>
          <w:b/>
          <w:color w:val="231F20"/>
        </w:rPr>
        <w:t>Art. 19. </w:t>
      </w:r>
      <w:r>
        <w:rPr>
          <w:color w:val="231F20"/>
        </w:rPr>
        <w:t>Dans l’article 119, § 1</w:t>
      </w:r>
      <w:r>
        <w:rPr>
          <w:color w:val="231F20"/>
          <w:position w:val="7"/>
          <w:sz w:val="11"/>
        </w:rPr>
        <w:t>er</w:t>
      </w:r>
      <w:r>
        <w:rPr>
          <w:color w:val="231F20"/>
        </w:rPr>
        <w:t>, alinéa 2, de la même loi, les mots « 4,</w:t>
      </w:r>
    </w:p>
    <w:p>
      <w:pPr>
        <w:pStyle w:val="BodyText"/>
        <w:spacing w:line="184" w:lineRule="exact"/>
        <w:ind w:right="0" w:firstLine="0"/>
        <w:jc w:val="left"/>
      </w:pPr>
      <w:r>
        <w:rPr>
          <w:color w:val="231F20"/>
        </w:rPr>
        <w:t>§ 2, (a) à (m) » sont remplacés par les mots « 7, § 2, (a) à (m) ».</w:t>
      </w:r>
    </w:p>
    <w:p>
      <w:pPr>
        <w:pStyle w:val="BodyText"/>
        <w:ind w:left="0" w:right="0" w:firstLine="0"/>
        <w:jc w:val="left"/>
        <w:rPr>
          <w:sz w:val="20"/>
        </w:rPr>
      </w:pPr>
    </w:p>
    <w:p>
      <w:pPr>
        <w:pStyle w:val="BodyText"/>
        <w:spacing w:before="3"/>
        <w:ind w:left="0" w:right="0" w:firstLine="0"/>
        <w:jc w:val="left"/>
        <w:rPr>
          <w:sz w:val="22"/>
        </w:rPr>
      </w:pPr>
    </w:p>
    <w:p>
      <w:pPr>
        <w:pStyle w:val="BodyText"/>
        <w:spacing w:line="232" w:lineRule="auto"/>
        <w:ind w:left="168" w:right="69" w:hanging="52"/>
        <w:jc w:val="left"/>
      </w:pPr>
      <w:r>
        <w:rPr>
          <w:rFonts w:ascii="Times New Roman" w:hAnsi="Times New Roman"/>
          <w:i/>
          <w:color w:val="231F20"/>
        </w:rPr>
        <w:t>Section VI. </w:t>
      </w:r>
      <w:r>
        <w:rPr>
          <w:i/>
          <w:color w:val="231F20"/>
        </w:rPr>
        <w:t>— </w:t>
      </w:r>
      <w:r>
        <w:rPr>
          <w:color w:val="231F20"/>
        </w:rPr>
        <w:t>Modification de la loi du 25 avril 2014 relative au statut   et</w:t>
      </w:r>
      <w:r>
        <w:rPr>
          <w:color w:val="231F20"/>
          <w:spacing w:val="14"/>
        </w:rPr>
        <w:t> </w:t>
      </w:r>
      <w:r>
        <w:rPr>
          <w:color w:val="231F20"/>
        </w:rPr>
        <w:t>au</w:t>
      </w:r>
      <w:r>
        <w:rPr>
          <w:color w:val="231F20"/>
          <w:spacing w:val="14"/>
        </w:rPr>
        <w:t> </w:t>
      </w:r>
      <w:r>
        <w:rPr>
          <w:color w:val="231F20"/>
        </w:rPr>
        <w:t>contrôle</w:t>
      </w:r>
      <w:r>
        <w:rPr>
          <w:color w:val="231F20"/>
          <w:spacing w:val="14"/>
        </w:rPr>
        <w:t> </w:t>
      </w:r>
      <w:r>
        <w:rPr>
          <w:color w:val="231F20"/>
        </w:rPr>
        <w:t>des</w:t>
      </w:r>
      <w:r>
        <w:rPr>
          <w:color w:val="231F20"/>
          <w:spacing w:val="15"/>
        </w:rPr>
        <w:t> </w:t>
      </w:r>
      <w:r>
        <w:rPr>
          <w:color w:val="231F20"/>
        </w:rPr>
        <w:t>établissements</w:t>
      </w:r>
      <w:r>
        <w:rPr>
          <w:color w:val="231F20"/>
          <w:spacing w:val="14"/>
        </w:rPr>
        <w:t> </w:t>
      </w:r>
      <w:r>
        <w:rPr>
          <w:color w:val="231F20"/>
        </w:rPr>
        <w:t>de</w:t>
      </w:r>
      <w:r>
        <w:rPr>
          <w:color w:val="231F20"/>
          <w:spacing w:val="14"/>
        </w:rPr>
        <w:t> </w:t>
      </w:r>
      <w:r>
        <w:rPr>
          <w:color w:val="231F20"/>
        </w:rPr>
        <w:t>crédit</w:t>
      </w:r>
      <w:r>
        <w:rPr>
          <w:color w:val="231F20"/>
          <w:spacing w:val="14"/>
        </w:rPr>
        <w:t> </w:t>
      </w:r>
      <w:r>
        <w:rPr>
          <w:color w:val="231F20"/>
        </w:rPr>
        <w:t>et</w:t>
      </w:r>
      <w:r>
        <w:rPr>
          <w:color w:val="231F20"/>
          <w:spacing w:val="14"/>
        </w:rPr>
        <w:t> </w:t>
      </w:r>
      <w:r>
        <w:rPr>
          <w:color w:val="231F20"/>
        </w:rPr>
        <w:t>des</w:t>
      </w:r>
      <w:r>
        <w:rPr>
          <w:color w:val="231F20"/>
          <w:spacing w:val="15"/>
        </w:rPr>
        <w:t> </w:t>
      </w:r>
      <w:r>
        <w:rPr>
          <w:color w:val="231F20"/>
        </w:rPr>
        <w:t>sociétés</w:t>
      </w:r>
      <w:r>
        <w:rPr>
          <w:color w:val="231F20"/>
          <w:spacing w:val="14"/>
        </w:rPr>
        <w:t> </w:t>
      </w:r>
      <w:r>
        <w:rPr>
          <w:color w:val="231F20"/>
        </w:rPr>
        <w:t>de</w:t>
      </w:r>
      <w:r>
        <w:rPr>
          <w:color w:val="231F20"/>
          <w:spacing w:val="14"/>
        </w:rPr>
        <w:t> </w:t>
      </w:r>
      <w:r>
        <w:rPr>
          <w:color w:val="231F20"/>
        </w:rPr>
        <w:t>bourse.</w:t>
      </w:r>
    </w:p>
    <w:p>
      <w:pPr>
        <w:pStyle w:val="BodyText"/>
        <w:spacing w:before="10"/>
        <w:ind w:left="0" w:right="0" w:firstLine="0"/>
        <w:jc w:val="left"/>
        <w:rPr>
          <w:sz w:val="20"/>
        </w:rPr>
      </w:pPr>
    </w:p>
    <w:p>
      <w:pPr>
        <w:pStyle w:val="BodyText"/>
        <w:spacing w:line="218" w:lineRule="auto" w:before="1"/>
        <w:ind w:right="65"/>
      </w:pPr>
      <w:r>
        <w:rPr>
          <w:rFonts w:ascii="Times New Roman" w:hAnsi="Times New Roman"/>
          <w:b/>
          <w:color w:val="231F20"/>
        </w:rPr>
        <w:t>Art. 20. </w:t>
      </w:r>
      <w:r>
        <w:rPr>
          <w:color w:val="231F20"/>
        </w:rPr>
        <w:t>L’article 24, § 1</w:t>
      </w:r>
      <w:r>
        <w:rPr>
          <w:color w:val="231F20"/>
          <w:position w:val="7"/>
          <w:sz w:val="11"/>
        </w:rPr>
        <w:t>er</w:t>
      </w:r>
      <w:r>
        <w:rPr>
          <w:color w:val="231F20"/>
        </w:rPr>
        <w:t>, de la loi du 25 avril 2014 relative au statut et au contrôle des établissements de crédit et des sociétés de bourse, est remplacé par ce qui</w:t>
      </w:r>
      <w:r>
        <w:rPr>
          <w:color w:val="231F20"/>
          <w:spacing w:val="18"/>
        </w:rPr>
        <w:t> </w:t>
      </w:r>
      <w:r>
        <w:rPr>
          <w:color w:val="231F20"/>
        </w:rPr>
        <w:t>suit:</w:t>
      </w:r>
    </w:p>
    <w:p>
      <w:pPr>
        <w:pStyle w:val="BodyText"/>
        <w:ind w:left="0" w:right="0" w:firstLine="0"/>
        <w:jc w:val="left"/>
        <w:rPr>
          <w:sz w:val="23"/>
        </w:rPr>
      </w:pPr>
    </w:p>
    <w:p>
      <w:pPr>
        <w:pStyle w:val="BodyText"/>
        <w:spacing w:line="218" w:lineRule="auto" w:before="1"/>
        <w:ind w:right="65"/>
      </w:pPr>
      <w:r>
        <w:rPr>
          <w:color w:val="231F20"/>
        </w:rPr>
        <w:t>« § 1</w:t>
      </w:r>
      <w:r>
        <w:rPr>
          <w:color w:val="231F20"/>
          <w:position w:val="7"/>
          <w:sz w:val="11"/>
        </w:rPr>
        <w:t>er</w:t>
      </w:r>
      <w:r>
        <w:rPr>
          <w:color w:val="231F20"/>
        </w:rPr>
        <w:t>. Les établissements de crédit constitués sous la forme de société anonyme mettent en place un comité de direction qui a les pouvoirs du conseil de direction visés à l’article 7:104 du Code des sociétés et des associations, et qui est exclusivement composé de membres du conseil d’administration. ».</w:t>
      </w:r>
    </w:p>
    <w:p>
      <w:pPr>
        <w:pStyle w:val="BodyText"/>
        <w:spacing w:before="10"/>
        <w:ind w:left="0" w:right="0" w:firstLine="0"/>
        <w:jc w:val="left"/>
        <w:rPr>
          <w:sz w:val="27"/>
        </w:rPr>
      </w:pPr>
    </w:p>
    <w:p>
      <w:pPr>
        <w:pStyle w:val="BodyText"/>
        <w:spacing w:line="218" w:lineRule="auto"/>
        <w:ind w:right="65"/>
      </w:pPr>
      <w:r>
        <w:rPr>
          <w:rFonts w:ascii="Times New Roman" w:hAnsi="Times New Roman"/>
          <w:b/>
          <w:color w:val="231F20"/>
        </w:rPr>
        <w:t>Art. 21. </w:t>
      </w:r>
      <w:r>
        <w:rPr>
          <w:color w:val="231F20"/>
        </w:rPr>
        <w:t>Dans la même loi, il est inséré un article 24</w:t>
      </w:r>
      <w:r>
        <w:rPr>
          <w:rFonts w:ascii="Times New Roman" w:hAnsi="Times New Roman"/>
          <w:i/>
          <w:color w:val="231F20"/>
        </w:rPr>
        <w:t>bis </w:t>
      </w:r>
      <w:r>
        <w:rPr>
          <w:color w:val="231F20"/>
        </w:rPr>
        <w:t>rédigé comme suit:</w:t>
      </w:r>
    </w:p>
    <w:p>
      <w:pPr>
        <w:pStyle w:val="BodyText"/>
        <w:spacing w:before="1"/>
        <w:ind w:left="0" w:right="0" w:firstLine="0"/>
        <w:jc w:val="left"/>
        <w:rPr>
          <w:sz w:val="24"/>
        </w:rPr>
      </w:pPr>
    </w:p>
    <w:p>
      <w:pPr>
        <w:pStyle w:val="BodyText"/>
        <w:spacing w:line="218" w:lineRule="auto"/>
        <w:ind w:right="92"/>
        <w:jc w:val="left"/>
      </w:pPr>
      <w:r>
        <w:rPr>
          <w:color w:val="231F20"/>
        </w:rPr>
        <w:t>« Art. 24</w:t>
      </w:r>
      <w:r>
        <w:rPr>
          <w:rFonts w:ascii="Times New Roman" w:hAnsi="Times New Roman"/>
          <w:i/>
          <w:color w:val="231F20"/>
        </w:rPr>
        <w:t>bis</w:t>
      </w:r>
      <w:r>
        <w:rPr>
          <w:color w:val="231F20"/>
        </w:rPr>
        <w:t>. § 1</w:t>
      </w:r>
      <w:r>
        <w:rPr>
          <w:color w:val="231F20"/>
          <w:position w:val="7"/>
          <w:sz w:val="11"/>
        </w:rPr>
        <w:t>er</w:t>
      </w:r>
      <w:r>
        <w:rPr>
          <w:color w:val="231F20"/>
        </w:rPr>
        <w:t>. Lorsque le comité de direction est appelé à prendre une décision ou se prononcer sur une opération relevant de sa compétence à propos de laquelle un membre du comité de direction a  un intérêt direct ou indirect de nature patrimoniale qui est </w:t>
      </w:r>
      <w:r>
        <w:rPr>
          <w:color w:val="231F20"/>
          <w:spacing w:val="4"/>
        </w:rPr>
        <w:t>opposé </w:t>
      </w:r>
      <w:r>
        <w:rPr>
          <w:color w:val="231F20"/>
        </w:rPr>
        <w:t>à l’intérêt de l’établissement de crédit, ce membre doit en informer les autres membres avant que le comité de direction ne prenne une décision. Sa déclaration et ses explications sur la nature de cet intérêt opposé doivent figurer dans le procès-verbal de la réunion du comité    de direction qui doit prendre cette décision. Le comité de direction ne peut pas déléguer cette</w:t>
      </w:r>
      <w:r>
        <w:rPr>
          <w:color w:val="231F20"/>
          <w:spacing w:val="20"/>
        </w:rPr>
        <w:t> </w:t>
      </w:r>
      <w:r>
        <w:rPr>
          <w:color w:val="231F20"/>
        </w:rPr>
        <w:t>décision.</w:t>
      </w:r>
    </w:p>
    <w:p>
      <w:pPr>
        <w:pStyle w:val="BodyText"/>
        <w:spacing w:before="6"/>
        <w:ind w:left="0" w:right="0" w:firstLine="0"/>
        <w:jc w:val="left"/>
        <w:rPr>
          <w:sz w:val="25"/>
        </w:rPr>
      </w:pPr>
    </w:p>
    <w:p>
      <w:pPr>
        <w:pStyle w:val="BodyText"/>
        <w:spacing w:line="216" w:lineRule="auto"/>
        <w:ind w:right="65"/>
      </w:pPr>
      <w:r>
        <w:rPr>
          <w:color w:val="231F20"/>
        </w:rPr>
        <w:t>Le comité de direction décrit, dans le procès-verbal, la nature de la décision ou de l’opération visée à l’alinéa 1</w:t>
      </w:r>
      <w:r>
        <w:rPr>
          <w:color w:val="231F20"/>
          <w:position w:val="7"/>
          <w:sz w:val="11"/>
        </w:rPr>
        <w:t>er </w:t>
      </w:r>
      <w:r>
        <w:rPr>
          <w:color w:val="231F20"/>
        </w:rPr>
        <w:t>et les conséquences patrimoniales pour l’établissement de crédit et justifie la décision qui a été prise, et transmet une copie du procès-verbal au conseil d’adminis- tation lors de sa prochaine réunion. Cette partie du procès-verbal est reprise dans son intégralité dans le rapport annuel visé à l’aricle 3:5 du Code des sociétés et</w:t>
      </w:r>
      <w:r>
        <w:rPr>
          <w:color w:val="231F20"/>
          <w:spacing w:val="19"/>
        </w:rPr>
        <w:t> </w:t>
      </w:r>
      <w:r>
        <w:rPr>
          <w:color w:val="231F20"/>
        </w:rPr>
        <w:t>associations.</w:t>
      </w:r>
    </w:p>
    <w:p>
      <w:pPr>
        <w:pStyle w:val="BodyText"/>
        <w:spacing w:before="3"/>
        <w:ind w:left="0" w:right="0" w:firstLine="0"/>
        <w:jc w:val="left"/>
        <w:rPr>
          <w:sz w:val="25"/>
        </w:rPr>
      </w:pPr>
    </w:p>
    <w:p>
      <w:pPr>
        <w:pStyle w:val="BodyText"/>
        <w:spacing w:line="216" w:lineRule="auto"/>
        <w:ind w:right="65"/>
      </w:pPr>
      <w:r>
        <w:rPr>
          <w:color w:val="231F20"/>
        </w:rPr>
        <w:t>Le procès-verbal de la réunion du comité de direction est communi- qué au commissaire. Dans son rapport visé à l’article 3:74 du Code des sociétés</w:t>
      </w:r>
      <w:r>
        <w:rPr>
          <w:color w:val="231F20"/>
          <w:spacing w:val="-5"/>
        </w:rPr>
        <w:t> </w:t>
      </w:r>
      <w:r>
        <w:rPr>
          <w:color w:val="231F20"/>
        </w:rPr>
        <w:t>et</w:t>
      </w:r>
      <w:r>
        <w:rPr>
          <w:color w:val="231F20"/>
          <w:spacing w:val="-5"/>
        </w:rPr>
        <w:t> </w:t>
      </w:r>
      <w:r>
        <w:rPr>
          <w:color w:val="231F20"/>
        </w:rPr>
        <w:t>associations,</w:t>
      </w:r>
      <w:r>
        <w:rPr>
          <w:color w:val="231F20"/>
          <w:spacing w:val="-5"/>
        </w:rPr>
        <w:t> </w:t>
      </w:r>
      <w:r>
        <w:rPr>
          <w:color w:val="231F20"/>
        </w:rPr>
        <w:t>le</w:t>
      </w:r>
      <w:r>
        <w:rPr>
          <w:color w:val="231F20"/>
          <w:spacing w:val="-5"/>
        </w:rPr>
        <w:t> </w:t>
      </w:r>
      <w:r>
        <w:rPr>
          <w:color w:val="231F20"/>
        </w:rPr>
        <w:t>commissaire</w:t>
      </w:r>
      <w:r>
        <w:rPr>
          <w:color w:val="231F20"/>
          <w:spacing w:val="-5"/>
        </w:rPr>
        <w:t> </w:t>
      </w:r>
      <w:r>
        <w:rPr>
          <w:color w:val="231F20"/>
        </w:rPr>
        <w:t>évalue</w:t>
      </w:r>
      <w:r>
        <w:rPr>
          <w:color w:val="231F20"/>
          <w:spacing w:val="-4"/>
        </w:rPr>
        <w:t> </w:t>
      </w:r>
      <w:r>
        <w:rPr>
          <w:color w:val="231F20"/>
        </w:rPr>
        <w:t>dans</w:t>
      </w:r>
      <w:r>
        <w:rPr>
          <w:color w:val="231F20"/>
          <w:spacing w:val="-5"/>
        </w:rPr>
        <w:t> </w:t>
      </w:r>
      <w:r>
        <w:rPr>
          <w:color w:val="231F20"/>
        </w:rPr>
        <w:t>une</w:t>
      </w:r>
      <w:r>
        <w:rPr>
          <w:color w:val="231F20"/>
          <w:spacing w:val="-5"/>
        </w:rPr>
        <w:t> </w:t>
      </w:r>
      <w:r>
        <w:rPr>
          <w:color w:val="231F20"/>
        </w:rPr>
        <w:t>section</w:t>
      </w:r>
      <w:r>
        <w:rPr>
          <w:color w:val="231F20"/>
          <w:spacing w:val="-5"/>
        </w:rPr>
        <w:t> </w:t>
      </w:r>
      <w:r>
        <w:rPr>
          <w:color w:val="231F20"/>
        </w:rPr>
        <w:t>séparée, les conséquences patrimoniales pour l’établissement de crédit des décisions du comité de direction telles que décrites par celui-ci, pour lesquelles</w:t>
      </w:r>
      <w:r>
        <w:rPr>
          <w:color w:val="231F20"/>
          <w:spacing w:val="16"/>
        </w:rPr>
        <w:t> </w:t>
      </w:r>
      <w:r>
        <w:rPr>
          <w:color w:val="231F20"/>
        </w:rPr>
        <w:t>il</w:t>
      </w:r>
      <w:r>
        <w:rPr>
          <w:color w:val="231F20"/>
          <w:spacing w:val="17"/>
        </w:rPr>
        <w:t> </w:t>
      </w:r>
      <w:r>
        <w:rPr>
          <w:color w:val="231F20"/>
        </w:rPr>
        <w:t>existe</w:t>
      </w:r>
      <w:r>
        <w:rPr>
          <w:color w:val="231F20"/>
          <w:spacing w:val="17"/>
        </w:rPr>
        <w:t> </w:t>
      </w:r>
      <w:r>
        <w:rPr>
          <w:color w:val="231F20"/>
        </w:rPr>
        <w:t>un</w:t>
      </w:r>
      <w:r>
        <w:rPr>
          <w:color w:val="231F20"/>
          <w:spacing w:val="16"/>
        </w:rPr>
        <w:t> </w:t>
      </w:r>
      <w:r>
        <w:rPr>
          <w:color w:val="231F20"/>
        </w:rPr>
        <w:t>intérêt</w:t>
      </w:r>
      <w:r>
        <w:rPr>
          <w:color w:val="231F20"/>
          <w:spacing w:val="17"/>
        </w:rPr>
        <w:t> </w:t>
      </w:r>
      <w:r>
        <w:rPr>
          <w:color w:val="231F20"/>
        </w:rPr>
        <w:t>opposé</w:t>
      </w:r>
      <w:r>
        <w:rPr>
          <w:color w:val="231F20"/>
          <w:spacing w:val="16"/>
        </w:rPr>
        <w:t> </w:t>
      </w:r>
      <w:r>
        <w:rPr>
          <w:color w:val="231F20"/>
        </w:rPr>
        <w:t>au</w:t>
      </w:r>
      <w:r>
        <w:rPr>
          <w:color w:val="231F20"/>
          <w:spacing w:val="17"/>
        </w:rPr>
        <w:t> </w:t>
      </w:r>
      <w:r>
        <w:rPr>
          <w:color w:val="231F20"/>
        </w:rPr>
        <w:t>sens</w:t>
      </w:r>
      <w:r>
        <w:rPr>
          <w:color w:val="231F20"/>
          <w:spacing w:val="17"/>
        </w:rPr>
        <w:t> </w:t>
      </w:r>
      <w:r>
        <w:rPr>
          <w:color w:val="231F20"/>
        </w:rPr>
        <w:t>de</w:t>
      </w:r>
      <w:r>
        <w:rPr>
          <w:color w:val="231F20"/>
          <w:spacing w:val="16"/>
        </w:rPr>
        <w:t> </w:t>
      </w:r>
      <w:r>
        <w:rPr>
          <w:color w:val="231F20"/>
        </w:rPr>
        <w:t>l’alinéa</w:t>
      </w:r>
      <w:r>
        <w:rPr>
          <w:color w:val="231F20"/>
          <w:spacing w:val="17"/>
        </w:rPr>
        <w:t> </w:t>
      </w:r>
      <w:r>
        <w:rPr>
          <w:color w:val="231F20"/>
        </w:rPr>
        <w:t>1</w:t>
      </w:r>
      <w:r>
        <w:rPr>
          <w:color w:val="231F20"/>
          <w:position w:val="7"/>
          <w:sz w:val="11"/>
        </w:rPr>
        <w:t>er</w:t>
      </w:r>
      <w:r>
        <w:rPr>
          <w:color w:val="231F20"/>
        </w:rPr>
        <w:t>.</w:t>
      </w:r>
    </w:p>
    <w:p>
      <w:pPr>
        <w:pStyle w:val="BodyText"/>
        <w:ind w:left="0" w:right="0" w:firstLine="0"/>
        <w:jc w:val="left"/>
        <w:rPr>
          <w:sz w:val="22"/>
        </w:rPr>
      </w:pPr>
    </w:p>
    <w:p>
      <w:pPr>
        <w:pStyle w:val="BodyText"/>
        <w:spacing w:line="218" w:lineRule="auto" w:before="194"/>
        <w:ind w:right="65"/>
      </w:pPr>
      <w:r>
        <w:rPr>
          <w:color w:val="231F20"/>
        </w:rPr>
        <w:t>Le membre ayant un conflit d’intérêts au sens de l’alinéa 1</w:t>
      </w:r>
      <w:r>
        <w:rPr>
          <w:color w:val="231F20"/>
          <w:position w:val="7"/>
          <w:sz w:val="11"/>
        </w:rPr>
        <w:t>er </w:t>
      </w:r>
      <w:r>
        <w:rPr>
          <w:color w:val="231F20"/>
        </w:rPr>
        <w:t>ne peut prendre part aux délibérations du comité de direction concernant ces opérations ou ces décisions, ni prendre part au vote. Si tous les membres ont un conflit d’intérêt, la décision ou l’opération est soumise au conseil d’administration; en cas d’approbation de la décision par celui-ci, le comité de direction peut l’exécuter.</w:t>
      </w:r>
    </w:p>
    <w:p>
      <w:pPr>
        <w:pStyle w:val="BodyText"/>
        <w:ind w:left="0" w:right="0" w:firstLine="0"/>
        <w:jc w:val="left"/>
        <w:rPr>
          <w:sz w:val="20"/>
        </w:rPr>
      </w:pPr>
    </w:p>
    <w:p>
      <w:pPr>
        <w:pStyle w:val="BodyText"/>
        <w:spacing w:before="10"/>
        <w:ind w:left="0" w:right="0" w:firstLine="0"/>
        <w:jc w:val="left"/>
        <w:rPr>
          <w:sz w:val="20"/>
        </w:rPr>
      </w:pPr>
    </w:p>
    <w:p>
      <w:pPr>
        <w:pStyle w:val="BodyText"/>
        <w:spacing w:line="218" w:lineRule="auto"/>
        <w:ind w:right="65"/>
      </w:pPr>
      <w:r>
        <w:rPr>
          <w:color w:val="231F20"/>
        </w:rPr>
        <w:t>§ 2. Sans préjudice du droit  des  personnes  mentionnées </w:t>
      </w:r>
      <w:r>
        <w:rPr>
          <w:color w:val="231F20"/>
          <w:spacing w:val="15"/>
        </w:rPr>
        <w:t> </w:t>
      </w:r>
      <w:r>
        <w:rPr>
          <w:color w:val="231F20"/>
        </w:rPr>
        <w:t>aux articles</w:t>
      </w:r>
      <w:r>
        <w:rPr>
          <w:color w:val="231F20"/>
          <w:spacing w:val="-4"/>
        </w:rPr>
        <w:t> </w:t>
      </w:r>
      <w:r>
        <w:rPr>
          <w:color w:val="231F20"/>
        </w:rPr>
        <w:t>2:44</w:t>
      </w:r>
      <w:r>
        <w:rPr>
          <w:color w:val="231F20"/>
          <w:spacing w:val="-3"/>
        </w:rPr>
        <w:t> </w:t>
      </w:r>
      <w:r>
        <w:rPr>
          <w:color w:val="231F20"/>
        </w:rPr>
        <w:t>et</w:t>
      </w:r>
      <w:r>
        <w:rPr>
          <w:color w:val="231F20"/>
          <w:spacing w:val="-3"/>
        </w:rPr>
        <w:t> </w:t>
      </w:r>
      <w:r>
        <w:rPr>
          <w:color w:val="231F20"/>
        </w:rPr>
        <w:t>2:46</w:t>
      </w:r>
      <w:r>
        <w:rPr>
          <w:color w:val="231F20"/>
          <w:spacing w:val="-3"/>
        </w:rPr>
        <w:t> </w:t>
      </w:r>
      <w:r>
        <w:rPr>
          <w:color w:val="231F20"/>
        </w:rPr>
        <w:t>du</w:t>
      </w:r>
      <w:r>
        <w:rPr>
          <w:color w:val="231F20"/>
          <w:spacing w:val="-3"/>
        </w:rPr>
        <w:t> </w:t>
      </w:r>
      <w:r>
        <w:rPr>
          <w:color w:val="231F20"/>
        </w:rPr>
        <w:t>Code</w:t>
      </w:r>
      <w:r>
        <w:rPr>
          <w:color w:val="231F20"/>
          <w:spacing w:val="-3"/>
        </w:rPr>
        <w:t> </w:t>
      </w:r>
      <w:r>
        <w:rPr>
          <w:color w:val="231F20"/>
        </w:rPr>
        <w:t>des</w:t>
      </w:r>
      <w:r>
        <w:rPr>
          <w:color w:val="231F20"/>
          <w:spacing w:val="-3"/>
        </w:rPr>
        <w:t> </w:t>
      </w:r>
      <w:r>
        <w:rPr>
          <w:color w:val="231F20"/>
        </w:rPr>
        <w:t>sociétés</w:t>
      </w:r>
      <w:r>
        <w:rPr>
          <w:color w:val="231F20"/>
          <w:spacing w:val="-3"/>
        </w:rPr>
        <w:t> </w:t>
      </w:r>
      <w:r>
        <w:rPr>
          <w:color w:val="231F20"/>
        </w:rPr>
        <w:t>et</w:t>
      </w:r>
      <w:r>
        <w:rPr>
          <w:color w:val="231F20"/>
          <w:spacing w:val="-4"/>
        </w:rPr>
        <w:t> </w:t>
      </w:r>
      <w:r>
        <w:rPr>
          <w:color w:val="231F20"/>
        </w:rPr>
        <w:t>associations</w:t>
      </w:r>
      <w:r>
        <w:rPr>
          <w:color w:val="231F20"/>
          <w:spacing w:val="-3"/>
        </w:rPr>
        <w:t> </w:t>
      </w:r>
      <w:r>
        <w:rPr>
          <w:color w:val="231F20"/>
        </w:rPr>
        <w:t>de</w:t>
      </w:r>
      <w:r>
        <w:rPr>
          <w:color w:val="231F20"/>
          <w:spacing w:val="-3"/>
        </w:rPr>
        <w:t> </w:t>
      </w:r>
      <w:r>
        <w:rPr>
          <w:color w:val="231F20"/>
        </w:rPr>
        <w:t>demander</w:t>
      </w:r>
      <w:r>
        <w:rPr>
          <w:color w:val="231F20"/>
          <w:spacing w:val="-3"/>
        </w:rPr>
        <w:t> </w:t>
      </w:r>
      <w:r>
        <w:rPr>
          <w:color w:val="231F20"/>
        </w:rPr>
        <w:t>la nullité ou la suspension de la décsion du comité de direction, l’établissement de crédit peut demander la nullité des décisions prises ou des opérations accomplies en violation des règles prévues au  présent article, si l’autre partie à ces décisions ou opérations avait ou devait</w:t>
      </w:r>
      <w:r>
        <w:rPr>
          <w:color w:val="231F20"/>
          <w:spacing w:val="15"/>
        </w:rPr>
        <w:t> </w:t>
      </w:r>
      <w:r>
        <w:rPr>
          <w:color w:val="231F20"/>
        </w:rPr>
        <w:t>avoir</w:t>
      </w:r>
      <w:r>
        <w:rPr>
          <w:color w:val="231F20"/>
          <w:spacing w:val="16"/>
        </w:rPr>
        <w:t> </w:t>
      </w:r>
      <w:r>
        <w:rPr>
          <w:color w:val="231F20"/>
        </w:rPr>
        <w:t>connaissance</w:t>
      </w:r>
      <w:r>
        <w:rPr>
          <w:color w:val="231F20"/>
          <w:spacing w:val="15"/>
        </w:rPr>
        <w:t> </w:t>
      </w:r>
      <w:r>
        <w:rPr>
          <w:color w:val="231F20"/>
        </w:rPr>
        <w:t>de</w:t>
      </w:r>
      <w:r>
        <w:rPr>
          <w:color w:val="231F20"/>
          <w:spacing w:val="16"/>
        </w:rPr>
        <w:t> </w:t>
      </w:r>
      <w:r>
        <w:rPr>
          <w:color w:val="231F20"/>
        </w:rPr>
        <w:t>cette</w:t>
      </w:r>
      <w:r>
        <w:rPr>
          <w:color w:val="231F20"/>
          <w:spacing w:val="15"/>
        </w:rPr>
        <w:t> </w:t>
      </w:r>
      <w:r>
        <w:rPr>
          <w:color w:val="231F20"/>
        </w:rPr>
        <w:t>violation.</w:t>
      </w:r>
    </w:p>
    <w:p>
      <w:pPr>
        <w:pStyle w:val="BodyText"/>
        <w:ind w:left="0" w:right="0" w:firstLine="0"/>
        <w:jc w:val="left"/>
        <w:rPr>
          <w:sz w:val="20"/>
        </w:rPr>
      </w:pPr>
    </w:p>
    <w:p>
      <w:pPr>
        <w:pStyle w:val="BodyText"/>
        <w:spacing w:before="6"/>
        <w:ind w:left="0" w:right="0" w:firstLine="0"/>
        <w:jc w:val="left"/>
        <w:rPr>
          <w:sz w:val="19"/>
        </w:rPr>
      </w:pPr>
    </w:p>
    <w:p>
      <w:pPr>
        <w:pStyle w:val="BodyText"/>
        <w:spacing w:line="218" w:lineRule="auto"/>
        <w:ind w:right="65"/>
      </w:pPr>
      <w:r>
        <w:rPr>
          <w:color w:val="231F20"/>
        </w:rPr>
        <w:t>§ 3. Le paragraphe 1</w:t>
      </w:r>
      <w:r>
        <w:rPr>
          <w:color w:val="231F20"/>
          <w:position w:val="7"/>
          <w:sz w:val="11"/>
        </w:rPr>
        <w:t>er </w:t>
      </w:r>
      <w:r>
        <w:rPr>
          <w:color w:val="231F20"/>
        </w:rPr>
        <w:t>n’est pas applicable lorsque les décisions ou les opérations relevant du comité de direction concernent des décisions ou des opérations conclues entre sociétés, dont l’établissement de crédit,</w:t>
      </w:r>
      <w:r>
        <w:rPr>
          <w:color w:val="231F20"/>
          <w:spacing w:val="-9"/>
        </w:rPr>
        <w:t> </w:t>
      </w:r>
      <w:r>
        <w:rPr>
          <w:color w:val="231F20"/>
        </w:rPr>
        <w:t>et dont</w:t>
      </w:r>
      <w:r>
        <w:rPr>
          <w:color w:val="231F20"/>
          <w:spacing w:val="-3"/>
        </w:rPr>
        <w:t> </w:t>
      </w:r>
      <w:r>
        <w:rPr>
          <w:color w:val="231F20"/>
        </w:rPr>
        <w:t>l’une</w:t>
      </w:r>
      <w:r>
        <w:rPr>
          <w:color w:val="231F20"/>
          <w:spacing w:val="-3"/>
        </w:rPr>
        <w:t> </w:t>
      </w:r>
      <w:r>
        <w:rPr>
          <w:color w:val="231F20"/>
        </w:rPr>
        <w:t>détient</w:t>
      </w:r>
      <w:r>
        <w:rPr>
          <w:color w:val="231F20"/>
          <w:spacing w:val="-3"/>
        </w:rPr>
        <w:t> </w:t>
      </w:r>
      <w:r>
        <w:rPr>
          <w:color w:val="231F20"/>
        </w:rPr>
        <w:t>directement</w:t>
      </w:r>
      <w:r>
        <w:rPr>
          <w:color w:val="231F20"/>
          <w:spacing w:val="-2"/>
        </w:rPr>
        <w:t> </w:t>
      </w:r>
      <w:r>
        <w:rPr>
          <w:color w:val="231F20"/>
        </w:rPr>
        <w:t>ou</w:t>
      </w:r>
      <w:r>
        <w:rPr>
          <w:color w:val="231F20"/>
          <w:spacing w:val="-3"/>
        </w:rPr>
        <w:t> </w:t>
      </w:r>
      <w:r>
        <w:rPr>
          <w:color w:val="231F20"/>
        </w:rPr>
        <w:t>indirectement</w:t>
      </w:r>
      <w:r>
        <w:rPr>
          <w:color w:val="231F20"/>
          <w:spacing w:val="-3"/>
        </w:rPr>
        <w:t> </w:t>
      </w:r>
      <w:r>
        <w:rPr>
          <w:color w:val="231F20"/>
        </w:rPr>
        <w:t>95</w:t>
      </w:r>
      <w:r>
        <w:rPr>
          <w:color w:val="231F20"/>
          <w:spacing w:val="-2"/>
        </w:rPr>
        <w:t> </w:t>
      </w:r>
      <w:r>
        <w:rPr>
          <w:color w:val="231F20"/>
        </w:rPr>
        <w:t>%</w:t>
      </w:r>
      <w:r>
        <w:rPr>
          <w:color w:val="231F20"/>
          <w:spacing w:val="-3"/>
        </w:rPr>
        <w:t> </w:t>
      </w:r>
      <w:r>
        <w:rPr>
          <w:color w:val="231F20"/>
        </w:rPr>
        <w:t>au</w:t>
      </w:r>
      <w:r>
        <w:rPr>
          <w:color w:val="231F20"/>
          <w:spacing w:val="-3"/>
        </w:rPr>
        <w:t> </w:t>
      </w:r>
      <w:r>
        <w:rPr>
          <w:color w:val="231F20"/>
        </w:rPr>
        <w:t>moins</w:t>
      </w:r>
      <w:r>
        <w:rPr>
          <w:color w:val="231F20"/>
          <w:spacing w:val="-2"/>
        </w:rPr>
        <w:t> </w:t>
      </w:r>
      <w:r>
        <w:rPr>
          <w:color w:val="231F20"/>
        </w:rPr>
        <w:t>des</w:t>
      </w:r>
      <w:r>
        <w:rPr>
          <w:color w:val="231F20"/>
          <w:spacing w:val="-3"/>
        </w:rPr>
        <w:t> </w:t>
      </w:r>
      <w:r>
        <w:rPr>
          <w:color w:val="231F20"/>
        </w:rPr>
        <w:t>voix attachées à l’ensemble des titres émis par l’autre ou entre sociétés, dont l’établissement de crédit, et dont 95 % au moins des voix attachées à l’ensemble des titres émis par chacune d’elles sont détenus par une autre</w:t>
      </w:r>
      <w:r>
        <w:rPr>
          <w:color w:val="231F20"/>
          <w:spacing w:val="14"/>
        </w:rPr>
        <w:t> </w:t>
      </w:r>
      <w:r>
        <w:rPr>
          <w:color w:val="231F20"/>
        </w:rPr>
        <w:t>société.</w:t>
      </w:r>
    </w:p>
    <w:p>
      <w:pPr>
        <w:pStyle w:val="BodyText"/>
        <w:spacing w:line="218" w:lineRule="auto" w:before="117"/>
      </w:pPr>
      <w:r>
        <w:rPr/>
        <w:br w:type="column"/>
      </w:r>
      <w:r>
        <w:rPr>
          <w:rFonts w:ascii="Times New Roman" w:hAnsi="Times New Roman"/>
          <w:b/>
          <w:color w:val="231F20"/>
          <w:w w:val="105"/>
        </w:rPr>
        <w:t>Art. 18. </w:t>
      </w:r>
      <w:r>
        <w:rPr>
          <w:color w:val="231F20"/>
          <w:w w:val="105"/>
        </w:rPr>
        <w:t>In artikel 115 van dezelfde wet worden de woorden “voornaamste vestiging” vervangen door de woorden “statutaire zetel”.</w:t>
      </w:r>
    </w:p>
    <w:p>
      <w:pPr>
        <w:pStyle w:val="BodyText"/>
        <w:spacing w:before="10"/>
        <w:ind w:left="0" w:right="0" w:firstLine="0"/>
        <w:jc w:val="left"/>
        <w:rPr>
          <w:sz w:val="27"/>
        </w:rPr>
      </w:pPr>
    </w:p>
    <w:p>
      <w:pPr>
        <w:pStyle w:val="BodyText"/>
        <w:spacing w:line="218" w:lineRule="auto"/>
      </w:pPr>
      <w:r>
        <w:rPr>
          <w:rFonts w:ascii="Times New Roman" w:hAnsi="Times New Roman"/>
          <w:b/>
          <w:color w:val="231F20"/>
        </w:rPr>
        <w:t>Art. 19. </w:t>
      </w:r>
      <w:r>
        <w:rPr>
          <w:color w:val="231F20"/>
        </w:rPr>
        <w:t>In artikel 119, § 1, tweede lid, van dezelfde wet, worden de woorden “4, § 2, (a) tot (m)” vervangen door de woorden “7, § 2, (a) tot (m)”.</w:t>
      </w:r>
    </w:p>
    <w:p>
      <w:pPr>
        <w:pStyle w:val="BodyText"/>
        <w:spacing w:before="1"/>
        <w:ind w:left="0" w:right="0" w:firstLine="0"/>
        <w:jc w:val="left"/>
        <w:rPr>
          <w:sz w:val="27"/>
        </w:rPr>
      </w:pPr>
    </w:p>
    <w:p>
      <w:pPr>
        <w:pStyle w:val="BodyText"/>
        <w:spacing w:line="232" w:lineRule="auto" w:before="1"/>
        <w:ind w:left="152" w:right="163" w:firstLine="0"/>
        <w:jc w:val="center"/>
      </w:pPr>
      <w:r>
        <w:rPr>
          <w:rFonts w:ascii="Times New Roman" w:hAnsi="Times New Roman"/>
          <w:i/>
          <w:color w:val="231F20"/>
        </w:rPr>
        <w:t>Afdeling VI. </w:t>
      </w:r>
      <w:r>
        <w:rPr>
          <w:i/>
          <w:color w:val="231F20"/>
        </w:rPr>
        <w:t>— </w:t>
      </w:r>
      <w:r>
        <w:rPr>
          <w:color w:val="231F20"/>
        </w:rPr>
        <w:t>Wijziging van de wet van 25 april 2014 op het statuut  van</w:t>
      </w:r>
      <w:r>
        <w:rPr>
          <w:color w:val="231F20"/>
          <w:spacing w:val="18"/>
        </w:rPr>
        <w:t> </w:t>
      </w:r>
      <w:r>
        <w:rPr>
          <w:color w:val="231F20"/>
        </w:rPr>
        <w:t>en</w:t>
      </w:r>
      <w:r>
        <w:rPr>
          <w:color w:val="231F20"/>
          <w:spacing w:val="18"/>
        </w:rPr>
        <w:t> </w:t>
      </w:r>
      <w:r>
        <w:rPr>
          <w:color w:val="231F20"/>
        </w:rPr>
        <w:t>het</w:t>
      </w:r>
      <w:r>
        <w:rPr>
          <w:color w:val="231F20"/>
          <w:spacing w:val="19"/>
        </w:rPr>
        <w:t> </w:t>
      </w:r>
      <w:r>
        <w:rPr>
          <w:color w:val="231F20"/>
        </w:rPr>
        <w:t>toezicht</w:t>
      </w:r>
      <w:r>
        <w:rPr>
          <w:color w:val="231F20"/>
          <w:spacing w:val="18"/>
        </w:rPr>
        <w:t> </w:t>
      </w:r>
      <w:r>
        <w:rPr>
          <w:color w:val="231F20"/>
        </w:rPr>
        <w:t>op</w:t>
      </w:r>
      <w:r>
        <w:rPr>
          <w:color w:val="231F20"/>
          <w:spacing w:val="19"/>
        </w:rPr>
        <w:t> </w:t>
      </w:r>
      <w:r>
        <w:rPr>
          <w:color w:val="231F20"/>
        </w:rPr>
        <w:t>kredietinstellingen</w:t>
      </w:r>
      <w:r>
        <w:rPr>
          <w:color w:val="231F20"/>
          <w:spacing w:val="18"/>
        </w:rPr>
        <w:t> </w:t>
      </w:r>
      <w:r>
        <w:rPr>
          <w:color w:val="231F20"/>
        </w:rPr>
        <w:t>en</w:t>
      </w:r>
      <w:r>
        <w:rPr>
          <w:color w:val="231F20"/>
          <w:spacing w:val="18"/>
        </w:rPr>
        <w:t> </w:t>
      </w:r>
      <w:r>
        <w:rPr>
          <w:color w:val="231F20"/>
        </w:rPr>
        <w:t>beursvennootschappen.</w:t>
      </w:r>
    </w:p>
    <w:p>
      <w:pPr>
        <w:pStyle w:val="BodyText"/>
        <w:ind w:left="0" w:right="0" w:firstLine="0"/>
        <w:jc w:val="left"/>
        <w:rPr>
          <w:sz w:val="22"/>
        </w:rPr>
      </w:pPr>
    </w:p>
    <w:p>
      <w:pPr>
        <w:pStyle w:val="BodyText"/>
        <w:spacing w:line="218" w:lineRule="auto"/>
        <w:ind w:right="125"/>
      </w:pPr>
      <w:r>
        <w:rPr>
          <w:rFonts w:ascii="Times New Roman" w:hAnsi="Times New Roman"/>
          <w:b/>
          <w:color w:val="231F20"/>
        </w:rPr>
        <w:t>Art. 20. </w:t>
      </w:r>
      <w:r>
        <w:rPr>
          <w:color w:val="231F20"/>
        </w:rPr>
        <w:t>Artikel 24, § 1, van de wet van 25 april 2014 op het statuut van en het toezicht op kredietinstellingen en beursvennootschappen, wordt vervangen als</w:t>
      </w:r>
      <w:r>
        <w:rPr>
          <w:color w:val="231F20"/>
          <w:spacing w:val="6"/>
        </w:rPr>
        <w:t> </w:t>
      </w:r>
      <w:r>
        <w:rPr>
          <w:color w:val="231F20"/>
        </w:rPr>
        <w:t>volgt:</w:t>
      </w:r>
    </w:p>
    <w:p>
      <w:pPr>
        <w:pStyle w:val="BodyText"/>
        <w:spacing w:before="4"/>
        <w:ind w:left="0" w:right="0" w:firstLine="0"/>
        <w:jc w:val="left"/>
        <w:rPr>
          <w:sz w:val="24"/>
        </w:rPr>
      </w:pPr>
    </w:p>
    <w:p>
      <w:pPr>
        <w:pStyle w:val="BodyText"/>
        <w:spacing w:line="218" w:lineRule="auto"/>
      </w:pPr>
      <w:r>
        <w:rPr>
          <w:color w:val="231F20"/>
        </w:rPr>
        <w:t>“§ 1. Iedere kredietinstelling die is opgericht als naamloze vennoot- schap richt een directiecomité op dat de bevoegdheden heeft van de directieraad zoals bepaald in artikel 7:104 van het Wetboek van vennootschappen en verenigingen, en dat uitsluitend is samengesteld uit leden van de raad van bestuur.”.</w:t>
      </w:r>
    </w:p>
    <w:p>
      <w:pPr>
        <w:pStyle w:val="BodyText"/>
        <w:spacing w:before="8"/>
        <w:ind w:left="0" w:right="0" w:firstLine="0"/>
        <w:jc w:val="left"/>
        <w:rPr>
          <w:sz w:val="26"/>
        </w:rPr>
      </w:pPr>
    </w:p>
    <w:p>
      <w:pPr>
        <w:pStyle w:val="BodyText"/>
        <w:ind w:left="283" w:right="0" w:firstLine="0"/>
        <w:jc w:val="left"/>
      </w:pPr>
      <w:r>
        <w:rPr>
          <w:rFonts w:ascii="Times New Roman"/>
          <w:b/>
          <w:color w:val="231F20"/>
        </w:rPr>
        <w:t>Art. 21. </w:t>
      </w:r>
      <w:r>
        <w:rPr>
          <w:color w:val="231F20"/>
        </w:rPr>
        <w:t>In dezelfde wet wordt een artikel 24</w:t>
      </w:r>
      <w:r>
        <w:rPr>
          <w:rFonts w:ascii="Times New Roman"/>
          <w:i/>
          <w:color w:val="231F20"/>
        </w:rPr>
        <w:t>bis </w:t>
      </w:r>
      <w:r>
        <w:rPr>
          <w:color w:val="231F20"/>
        </w:rPr>
        <w:t>ingevoegd, luidende:</w:t>
      </w:r>
    </w:p>
    <w:p>
      <w:pPr>
        <w:pStyle w:val="BodyText"/>
        <w:ind w:left="0" w:right="0" w:firstLine="0"/>
        <w:jc w:val="left"/>
        <w:rPr>
          <w:sz w:val="20"/>
        </w:rPr>
      </w:pPr>
    </w:p>
    <w:p>
      <w:pPr>
        <w:pStyle w:val="BodyText"/>
        <w:spacing w:before="4"/>
        <w:ind w:left="0" w:right="0" w:firstLine="0"/>
        <w:jc w:val="left"/>
        <w:rPr>
          <w:sz w:val="20"/>
        </w:rPr>
      </w:pPr>
    </w:p>
    <w:p>
      <w:pPr>
        <w:pStyle w:val="BodyText"/>
        <w:spacing w:line="218" w:lineRule="auto"/>
      </w:pPr>
      <w:r>
        <w:rPr>
          <w:color w:val="231F20"/>
        </w:rPr>
        <w:t>“Art. 24</w:t>
      </w:r>
      <w:r>
        <w:rPr>
          <w:rFonts w:ascii="Times New Roman" w:hAnsi="Times New Roman"/>
          <w:i/>
          <w:color w:val="231F20"/>
        </w:rPr>
        <w:t>bis</w:t>
      </w:r>
      <w:r>
        <w:rPr>
          <w:color w:val="231F20"/>
        </w:rPr>
        <w:t>. § 1. </w:t>
      </w:r>
      <w:r>
        <w:rPr>
          <w:color w:val="231F20"/>
          <w:spacing w:val="-3"/>
        </w:rPr>
        <w:t>Wanneer </w:t>
      </w:r>
      <w:r>
        <w:rPr>
          <w:color w:val="231F20"/>
        </w:rPr>
        <w:t>een lid van het directiecomité een rechtstreeks of onrechtstreeks belang van vermogensrechtelijke aard heeft dat strijdig is met het belang van de kredietinstelling naar aanleiding van een beslissing of een verrichting die tot de bevoegdheid behoort van het directiecomité, moet het betrokken lid dit mededelen aan de andere leden vóór het directiecomité een besluit neemt. Zijn verklaring en toelichting over de aard van dit strijdig belang worden opgenomen in de notulen van de vergadering van het directiecomité dat de beslissing moet nemen. Het directiecomité mag deze beslissing niet</w:t>
      </w:r>
      <w:r>
        <w:rPr>
          <w:color w:val="231F20"/>
          <w:spacing w:val="14"/>
        </w:rPr>
        <w:t> </w:t>
      </w:r>
      <w:r>
        <w:rPr>
          <w:color w:val="231F20"/>
        </w:rPr>
        <w:t>delegeren.</w:t>
      </w:r>
    </w:p>
    <w:p>
      <w:pPr>
        <w:pStyle w:val="BodyText"/>
        <w:spacing w:before="4"/>
        <w:ind w:left="0" w:right="0" w:firstLine="0"/>
        <w:jc w:val="left"/>
        <w:rPr>
          <w:sz w:val="25"/>
        </w:rPr>
      </w:pPr>
    </w:p>
    <w:p>
      <w:pPr>
        <w:pStyle w:val="BodyText"/>
        <w:spacing w:line="218" w:lineRule="auto"/>
      </w:pPr>
      <w:r>
        <w:rPr>
          <w:color w:val="231F20"/>
        </w:rPr>
        <w:t>Het directiecomité omschrijft in de notulen de aard van de in het eerste lid bedoelde beslissing of verrichting en de vermogensrechtelijke gevolgen ervan voor de kredietinstelling en verantwoordt het genomen besluit, en bezorgt een kopie van deze notulen aan de raad van bestuur tijdens zijn volgende vergadering. In het jaarverslag als bedoeld in artikel 3:5 van het Wetboek van vennootschappen en verenigingen wordt dit deel van de notulen in zijn geheel opgenomen.</w:t>
      </w:r>
    </w:p>
    <w:p>
      <w:pPr>
        <w:pStyle w:val="BodyText"/>
        <w:spacing w:before="4"/>
        <w:ind w:left="0" w:right="0" w:firstLine="0"/>
        <w:jc w:val="left"/>
        <w:rPr>
          <w:sz w:val="25"/>
        </w:rPr>
      </w:pPr>
    </w:p>
    <w:p>
      <w:pPr>
        <w:pStyle w:val="BodyText"/>
        <w:spacing w:line="218" w:lineRule="auto" w:before="1"/>
      </w:pPr>
      <w:r>
        <w:rPr>
          <w:color w:val="231F20"/>
        </w:rPr>
        <w:t>De notulen van de vergadering van het directiecomité worden aan de commissaris meegedeeld. In het in artikel 3:74 van het Wetboek van vennootschappen en verenigingen bedoelde verslag beoordeelt de commissaris, in een afzonderlijke sectie, de vermogensrechtelijke gevolgen voor de kredietinstelling van de besluiten van het directieco- mité, zoals door hem omschreven, waarvoor een strijdig belang als bedoeld in het eerste lid bestaat.</w:t>
      </w:r>
    </w:p>
    <w:p>
      <w:pPr>
        <w:pStyle w:val="BodyText"/>
        <w:spacing w:before="4"/>
        <w:ind w:left="0" w:right="0" w:firstLine="0"/>
        <w:jc w:val="left"/>
        <w:rPr>
          <w:sz w:val="25"/>
        </w:rPr>
      </w:pPr>
    </w:p>
    <w:p>
      <w:pPr>
        <w:pStyle w:val="BodyText"/>
        <w:spacing w:line="218" w:lineRule="auto"/>
      </w:pPr>
      <w:r>
        <w:rPr>
          <w:color w:val="231F20"/>
        </w:rPr>
        <w:t>Het lid met een belangenconflict als bedoeld in het eerste lid mag</w:t>
      </w:r>
      <w:r>
        <w:rPr>
          <w:color w:val="231F20"/>
          <w:spacing w:val="-13"/>
        </w:rPr>
        <w:t> </w:t>
      </w:r>
      <w:r>
        <w:rPr>
          <w:color w:val="231F20"/>
        </w:rPr>
        <w:t>niet deelnemen aan de beraadslagingen van het directiecomité over deze verrichtingen of beslissingen, noch aan de stemming in dat verband. </w:t>
      </w:r>
      <w:r>
        <w:rPr>
          <w:color w:val="231F20"/>
          <w:spacing w:val="-3"/>
        </w:rPr>
        <w:t>Wanneer </w:t>
      </w:r>
      <w:r>
        <w:rPr>
          <w:color w:val="231F20"/>
        </w:rPr>
        <w:t>alle leden een belangenconflict hebben, wordt de beslissing of de verrichting aan de raad van bestuur voorgelegd; ingeval de raad van bestuur de beslissing of de verrichting goedkeurt, kan het directieco- mité ze</w:t>
      </w:r>
      <w:r>
        <w:rPr>
          <w:color w:val="231F20"/>
          <w:spacing w:val="-11"/>
        </w:rPr>
        <w:t> </w:t>
      </w:r>
      <w:r>
        <w:rPr>
          <w:color w:val="231F20"/>
        </w:rPr>
        <w:t>uitvoeren.</w:t>
      </w:r>
    </w:p>
    <w:p>
      <w:pPr>
        <w:pStyle w:val="BodyText"/>
        <w:spacing w:before="4"/>
        <w:ind w:left="0" w:right="0" w:firstLine="0"/>
        <w:jc w:val="left"/>
        <w:rPr>
          <w:sz w:val="25"/>
        </w:rPr>
      </w:pPr>
    </w:p>
    <w:p>
      <w:pPr>
        <w:pStyle w:val="BodyText"/>
        <w:spacing w:line="218" w:lineRule="auto"/>
      </w:pPr>
      <w:r>
        <w:rPr>
          <w:color w:val="231F20"/>
        </w:rPr>
        <w:t>§ 2. Onverminderd het recht voor de in de artikelen 2:44 en 2:46 van het </w:t>
      </w:r>
      <w:r>
        <w:rPr>
          <w:color w:val="231F20"/>
          <w:spacing w:val="-3"/>
        </w:rPr>
        <w:t>Wetboek </w:t>
      </w:r>
      <w:r>
        <w:rPr>
          <w:color w:val="231F20"/>
        </w:rPr>
        <w:t>van vennootschappen en verenigingen genoemde perso- nen om de nietigheid of de opschorting van het besluit van het directiecomité te vorderen, kan de kredietinstelling de nietigheid vorderen van besluiten of verrichtingen die hebben  plaatsgevonden met overtreding van de in dit artikel bepaalde regels, indien de wederpartij bij die beslissingen of verrichtingen van die overtreding op de</w:t>
      </w:r>
      <w:r>
        <w:rPr>
          <w:color w:val="231F20"/>
          <w:spacing w:val="15"/>
        </w:rPr>
        <w:t> </w:t>
      </w:r>
      <w:r>
        <w:rPr>
          <w:color w:val="231F20"/>
        </w:rPr>
        <w:t>hoogte</w:t>
      </w:r>
      <w:r>
        <w:rPr>
          <w:color w:val="231F20"/>
          <w:spacing w:val="16"/>
        </w:rPr>
        <w:t> </w:t>
      </w:r>
      <w:r>
        <w:rPr>
          <w:color w:val="231F20"/>
        </w:rPr>
        <w:t>was</w:t>
      </w:r>
      <w:r>
        <w:rPr>
          <w:color w:val="231F20"/>
          <w:spacing w:val="15"/>
        </w:rPr>
        <w:t> </w:t>
      </w:r>
      <w:r>
        <w:rPr>
          <w:color w:val="231F20"/>
        </w:rPr>
        <w:t>of</w:t>
      </w:r>
      <w:r>
        <w:rPr>
          <w:color w:val="231F20"/>
          <w:spacing w:val="16"/>
        </w:rPr>
        <w:t> </w:t>
      </w:r>
      <w:r>
        <w:rPr>
          <w:color w:val="231F20"/>
        </w:rPr>
        <w:t>had</w:t>
      </w:r>
      <w:r>
        <w:rPr>
          <w:color w:val="231F20"/>
          <w:spacing w:val="15"/>
        </w:rPr>
        <w:t> </w:t>
      </w:r>
      <w:r>
        <w:rPr>
          <w:color w:val="231F20"/>
        </w:rPr>
        <w:t>moeten</w:t>
      </w:r>
      <w:r>
        <w:rPr>
          <w:color w:val="231F20"/>
          <w:spacing w:val="16"/>
        </w:rPr>
        <w:t> </w:t>
      </w:r>
      <w:r>
        <w:rPr>
          <w:color w:val="231F20"/>
        </w:rPr>
        <w:t>zijn.</w:t>
      </w:r>
    </w:p>
    <w:p>
      <w:pPr>
        <w:pStyle w:val="BodyText"/>
        <w:spacing w:before="4"/>
        <w:ind w:left="0" w:right="0" w:firstLine="0"/>
        <w:jc w:val="left"/>
        <w:rPr>
          <w:sz w:val="25"/>
        </w:rPr>
      </w:pPr>
    </w:p>
    <w:p>
      <w:pPr>
        <w:pStyle w:val="BodyText"/>
        <w:spacing w:line="218" w:lineRule="auto" w:before="1"/>
      </w:pPr>
      <w:r>
        <w:rPr>
          <w:color w:val="231F20"/>
        </w:rPr>
        <w:t>§ 3. Paragraaf 1 is niet van toepassing wanneer de beslissingen of verrichtingen die tot de bevoegdheid behoren van het directiecomité, betrekking hebben op beslissingen of verrichtingen die tot stand zijn gekomen tussen vennootschappen, waaronder de kredietinstelling, waarvan</w:t>
      </w:r>
      <w:r>
        <w:rPr>
          <w:color w:val="231F20"/>
          <w:spacing w:val="-6"/>
        </w:rPr>
        <w:t> </w:t>
      </w:r>
      <w:r>
        <w:rPr>
          <w:color w:val="231F20"/>
        </w:rPr>
        <w:t>de</w:t>
      </w:r>
      <w:r>
        <w:rPr>
          <w:color w:val="231F20"/>
          <w:spacing w:val="-5"/>
        </w:rPr>
        <w:t> </w:t>
      </w:r>
      <w:r>
        <w:rPr>
          <w:color w:val="231F20"/>
        </w:rPr>
        <w:t>ene</w:t>
      </w:r>
      <w:r>
        <w:rPr>
          <w:color w:val="231F20"/>
          <w:spacing w:val="-5"/>
        </w:rPr>
        <w:t> </w:t>
      </w:r>
      <w:r>
        <w:rPr>
          <w:color w:val="231F20"/>
        </w:rPr>
        <w:t>rechtstreeks</w:t>
      </w:r>
      <w:r>
        <w:rPr>
          <w:color w:val="231F20"/>
          <w:spacing w:val="-6"/>
        </w:rPr>
        <w:t> </w:t>
      </w:r>
      <w:r>
        <w:rPr>
          <w:color w:val="231F20"/>
        </w:rPr>
        <w:t>of</w:t>
      </w:r>
      <w:r>
        <w:rPr>
          <w:color w:val="231F20"/>
          <w:spacing w:val="-5"/>
        </w:rPr>
        <w:t> </w:t>
      </w:r>
      <w:r>
        <w:rPr>
          <w:color w:val="231F20"/>
        </w:rPr>
        <w:t>onrechtstreeks</w:t>
      </w:r>
      <w:r>
        <w:rPr>
          <w:color w:val="231F20"/>
          <w:spacing w:val="-5"/>
        </w:rPr>
        <w:t> </w:t>
      </w:r>
      <w:r>
        <w:rPr>
          <w:color w:val="231F20"/>
        </w:rPr>
        <w:t>ten</w:t>
      </w:r>
      <w:r>
        <w:rPr>
          <w:color w:val="231F20"/>
          <w:spacing w:val="-5"/>
        </w:rPr>
        <w:t> </w:t>
      </w:r>
      <w:r>
        <w:rPr>
          <w:color w:val="231F20"/>
        </w:rPr>
        <w:t>minste</w:t>
      </w:r>
      <w:r>
        <w:rPr>
          <w:color w:val="231F20"/>
          <w:spacing w:val="-6"/>
        </w:rPr>
        <w:t> </w:t>
      </w:r>
      <w:r>
        <w:rPr>
          <w:color w:val="231F20"/>
        </w:rPr>
        <w:t>95</w:t>
      </w:r>
      <w:r>
        <w:rPr>
          <w:color w:val="231F20"/>
          <w:spacing w:val="-5"/>
        </w:rPr>
        <w:t> </w:t>
      </w:r>
      <w:r>
        <w:rPr>
          <w:color w:val="231F20"/>
        </w:rPr>
        <w:t>%</w:t>
      </w:r>
      <w:r>
        <w:rPr>
          <w:color w:val="231F20"/>
          <w:spacing w:val="-5"/>
        </w:rPr>
        <w:t> </w:t>
      </w:r>
      <w:r>
        <w:rPr>
          <w:color w:val="231F20"/>
        </w:rPr>
        <w:t>bezit</w:t>
      </w:r>
      <w:r>
        <w:rPr>
          <w:color w:val="231F20"/>
          <w:spacing w:val="-5"/>
        </w:rPr>
        <w:t> </w:t>
      </w:r>
      <w:r>
        <w:rPr>
          <w:color w:val="231F20"/>
        </w:rPr>
        <w:t>van de stemmen verbonden aan het geheel van de door de andere uitgegeven effecten, dan wel tussen vennootschappen, waaronder de kredietinstelling, waarvan ten minste 95 % van de stemmen verbonden aan het geheel van de door elk van hen uitgegeven effecten in het bezit zijn van een andere</w:t>
      </w:r>
      <w:r>
        <w:rPr>
          <w:color w:val="231F20"/>
          <w:spacing w:val="19"/>
        </w:rPr>
        <w:t> </w:t>
      </w:r>
      <w:r>
        <w:rPr>
          <w:color w:val="231F20"/>
        </w:rPr>
        <w:t>vennootschap.</w:t>
      </w:r>
    </w:p>
    <w:p>
      <w:pPr>
        <w:spacing w:after="0" w:line="218" w:lineRule="auto"/>
        <w:sectPr>
          <w:pgSz w:w="11940" w:h="16880"/>
          <w:pgMar w:header="666" w:footer="0" w:top="1140" w:bottom="280" w:left="340" w:right="360"/>
          <w:cols w:num="2" w:equalWidth="0">
            <w:col w:w="5554" w:space="74"/>
            <w:col w:w="5612"/>
          </w:cols>
        </w:sectPr>
      </w:pPr>
    </w:p>
    <w:p>
      <w:pPr>
        <w:pStyle w:val="BodyText"/>
        <w:spacing w:line="218" w:lineRule="auto" w:before="105"/>
        <w:ind w:right="65"/>
      </w:pPr>
      <w:r>
        <w:rPr/>
        <w:pict>
          <v:line style="position:absolute;mso-position-horizontal-relative:page;mso-position-vertical-relative:page;z-index:7888" from="298.170502pt,64.473pt" to="298.170502pt,812.819pt" stroked="true" strokeweight=".533pt" strokecolor="#231f20">
            <v:stroke dashstyle="solid"/>
            <w10:wrap type="none"/>
          </v:line>
        </w:pict>
      </w:r>
      <w:bookmarkStart w:name="_bookmark286" w:id="292"/>
      <w:bookmarkEnd w:id="292"/>
      <w:r>
        <w:rPr/>
      </w:r>
      <w:r>
        <w:rPr>
          <w:color w:val="231F20"/>
        </w:rPr>
        <w:t>De même, le paragraphe 1</w:t>
      </w:r>
      <w:r>
        <w:rPr>
          <w:color w:val="231F20"/>
          <w:position w:val="7"/>
          <w:sz w:val="11"/>
        </w:rPr>
        <w:t>er </w:t>
      </w:r>
      <w:r>
        <w:rPr>
          <w:color w:val="231F20"/>
        </w:rPr>
        <w:t>ne s’applique pas lorsque les décisions  du comité de direction concernent des opérations habituelles conclues dans des conditions et sous les garanties normales du marché pour des opérations de même</w:t>
      </w:r>
      <w:r>
        <w:rPr>
          <w:color w:val="231F20"/>
          <w:spacing w:val="3"/>
        </w:rPr>
        <w:t> </w:t>
      </w:r>
      <w:r>
        <w:rPr>
          <w:color w:val="231F20"/>
        </w:rPr>
        <w:t>nature. ».</w:t>
      </w:r>
    </w:p>
    <w:p>
      <w:pPr>
        <w:pStyle w:val="BodyText"/>
        <w:spacing w:before="5"/>
        <w:ind w:left="0" w:right="0" w:firstLine="0"/>
        <w:jc w:val="left"/>
        <w:rPr>
          <w:sz w:val="20"/>
        </w:rPr>
      </w:pPr>
    </w:p>
    <w:p>
      <w:pPr>
        <w:pStyle w:val="BodyText"/>
        <w:spacing w:line="232" w:lineRule="auto" w:before="1"/>
        <w:ind w:left="233" w:right="101" w:firstLine="82"/>
        <w:jc w:val="left"/>
      </w:pPr>
      <w:r>
        <w:rPr>
          <w:rFonts w:ascii="Times New Roman" w:hAnsi="Times New Roman"/>
          <w:i/>
          <w:color w:val="231F20"/>
        </w:rPr>
        <w:t>Section VII. </w:t>
      </w:r>
      <w:r>
        <w:rPr>
          <w:i/>
          <w:color w:val="231F20"/>
        </w:rPr>
        <w:t>— </w:t>
      </w:r>
      <w:r>
        <w:rPr>
          <w:color w:val="231F20"/>
        </w:rPr>
        <w:t>Modification de la loi du 13 mars 2016 relative au statut et au contrôle des entreprises d’assurance ou de réassurance</w:t>
      </w:r>
    </w:p>
    <w:p>
      <w:pPr>
        <w:pStyle w:val="BodyText"/>
        <w:ind w:left="0" w:right="0" w:firstLine="0"/>
        <w:jc w:val="left"/>
        <w:rPr>
          <w:sz w:val="20"/>
        </w:rPr>
      </w:pPr>
    </w:p>
    <w:p>
      <w:pPr>
        <w:pStyle w:val="BodyText"/>
        <w:spacing w:line="218" w:lineRule="auto" w:before="144"/>
        <w:ind w:right="65"/>
      </w:pPr>
      <w:r>
        <w:rPr>
          <w:rFonts w:ascii="Times New Roman" w:hAnsi="Times New Roman"/>
          <w:b/>
          <w:color w:val="231F20"/>
        </w:rPr>
        <w:t>Art. 22. </w:t>
      </w:r>
      <w:r>
        <w:rPr>
          <w:color w:val="231F20"/>
        </w:rPr>
        <w:t>L’article 45, § 1</w:t>
      </w:r>
      <w:r>
        <w:rPr>
          <w:color w:val="231F20"/>
          <w:position w:val="7"/>
          <w:sz w:val="11"/>
        </w:rPr>
        <w:t>er</w:t>
      </w:r>
      <w:r>
        <w:rPr>
          <w:color w:val="231F20"/>
        </w:rPr>
        <w:t>, alinéa 1</w:t>
      </w:r>
      <w:r>
        <w:rPr>
          <w:color w:val="231F20"/>
          <w:position w:val="7"/>
          <w:sz w:val="11"/>
        </w:rPr>
        <w:t>er</w:t>
      </w:r>
      <w:r>
        <w:rPr>
          <w:color w:val="231F20"/>
        </w:rPr>
        <w:t>, de la loi du 13 mars 2016 relative au statut et au contrôle des entreprises d’assurance ou de réassurance est remplacé par ce qui suit:</w:t>
      </w:r>
    </w:p>
    <w:p>
      <w:pPr>
        <w:pStyle w:val="BodyText"/>
        <w:spacing w:before="5"/>
        <w:ind w:left="0" w:right="0" w:firstLine="0"/>
        <w:jc w:val="left"/>
        <w:rPr>
          <w:sz w:val="16"/>
        </w:rPr>
      </w:pPr>
    </w:p>
    <w:p>
      <w:pPr>
        <w:pStyle w:val="BodyText"/>
        <w:spacing w:line="218" w:lineRule="auto" w:before="1"/>
        <w:ind w:right="65"/>
      </w:pPr>
      <w:r>
        <w:rPr>
          <w:color w:val="231F20"/>
        </w:rPr>
        <w:t>« § 1</w:t>
      </w:r>
      <w:r>
        <w:rPr>
          <w:color w:val="231F20"/>
          <w:position w:val="7"/>
          <w:sz w:val="11"/>
        </w:rPr>
        <w:t>er</w:t>
      </w:r>
      <w:r>
        <w:rPr>
          <w:color w:val="231F20"/>
        </w:rPr>
        <w:t>. Les entreprises d’assurance ou de réassurance constituées sous la forme de société anonyme mettent en place un comité de direction qui a  les  pouvoirs  du  conseil  de  direction  visés  à  l’arti-  cle</w:t>
      </w:r>
      <w:r>
        <w:rPr>
          <w:color w:val="231F20"/>
          <w:spacing w:val="14"/>
        </w:rPr>
        <w:t> </w:t>
      </w:r>
      <w:r>
        <w:rPr>
          <w:color w:val="231F20"/>
        </w:rPr>
        <w:t>7:104</w:t>
      </w:r>
      <w:r>
        <w:rPr>
          <w:color w:val="231F20"/>
          <w:spacing w:val="14"/>
        </w:rPr>
        <w:t> </w:t>
      </w:r>
      <w:r>
        <w:rPr>
          <w:color w:val="231F20"/>
        </w:rPr>
        <w:t>du</w:t>
      </w:r>
      <w:r>
        <w:rPr>
          <w:color w:val="231F20"/>
          <w:spacing w:val="14"/>
        </w:rPr>
        <w:t> </w:t>
      </w:r>
      <w:r>
        <w:rPr>
          <w:color w:val="231F20"/>
        </w:rPr>
        <w:t>Code</w:t>
      </w:r>
      <w:r>
        <w:rPr>
          <w:color w:val="231F20"/>
          <w:spacing w:val="14"/>
        </w:rPr>
        <w:t> </w:t>
      </w:r>
      <w:r>
        <w:rPr>
          <w:color w:val="231F20"/>
        </w:rPr>
        <w:t>des</w:t>
      </w:r>
      <w:r>
        <w:rPr>
          <w:color w:val="231F20"/>
          <w:spacing w:val="14"/>
        </w:rPr>
        <w:t> </w:t>
      </w:r>
      <w:r>
        <w:rPr>
          <w:color w:val="231F20"/>
        </w:rPr>
        <w:t>sociétés</w:t>
      </w:r>
      <w:r>
        <w:rPr>
          <w:color w:val="231F20"/>
          <w:spacing w:val="15"/>
        </w:rPr>
        <w:t> </w:t>
      </w:r>
      <w:r>
        <w:rPr>
          <w:color w:val="231F20"/>
        </w:rPr>
        <w:t>et</w:t>
      </w:r>
      <w:r>
        <w:rPr>
          <w:color w:val="231F20"/>
          <w:spacing w:val="14"/>
        </w:rPr>
        <w:t> </w:t>
      </w:r>
      <w:r>
        <w:rPr>
          <w:color w:val="231F20"/>
        </w:rPr>
        <w:t>des</w:t>
      </w:r>
      <w:r>
        <w:rPr>
          <w:color w:val="231F20"/>
          <w:spacing w:val="14"/>
        </w:rPr>
        <w:t> </w:t>
      </w:r>
      <w:r>
        <w:rPr>
          <w:color w:val="231F20"/>
        </w:rPr>
        <w:t>associations. ».</w:t>
      </w:r>
    </w:p>
    <w:p>
      <w:pPr>
        <w:pStyle w:val="BodyText"/>
        <w:spacing w:before="4"/>
        <w:ind w:left="0" w:right="0" w:firstLine="0"/>
        <w:jc w:val="left"/>
        <w:rPr>
          <w:sz w:val="21"/>
        </w:rPr>
      </w:pPr>
    </w:p>
    <w:p>
      <w:pPr>
        <w:pStyle w:val="BodyText"/>
        <w:spacing w:line="218" w:lineRule="auto"/>
        <w:ind w:right="65"/>
      </w:pPr>
      <w:r>
        <w:rPr>
          <w:rFonts w:ascii="Times New Roman" w:hAnsi="Times New Roman"/>
          <w:b/>
          <w:color w:val="231F20"/>
        </w:rPr>
        <w:t>Art. 23. </w:t>
      </w:r>
      <w:r>
        <w:rPr>
          <w:color w:val="231F20"/>
        </w:rPr>
        <w:t>Dans la même loi, il est inséré un article 45</w:t>
      </w:r>
      <w:r>
        <w:rPr>
          <w:rFonts w:ascii="Times New Roman" w:hAnsi="Times New Roman"/>
          <w:i/>
          <w:color w:val="231F20"/>
        </w:rPr>
        <w:t>bis </w:t>
      </w:r>
      <w:r>
        <w:rPr>
          <w:color w:val="231F20"/>
        </w:rPr>
        <w:t>rédigé comme suit:</w:t>
      </w:r>
    </w:p>
    <w:p>
      <w:pPr>
        <w:pStyle w:val="BodyText"/>
        <w:spacing w:before="6"/>
        <w:ind w:left="0" w:right="0" w:firstLine="0"/>
        <w:jc w:val="left"/>
        <w:rPr>
          <w:sz w:val="16"/>
        </w:rPr>
      </w:pPr>
    </w:p>
    <w:p>
      <w:pPr>
        <w:pStyle w:val="BodyText"/>
        <w:spacing w:line="218" w:lineRule="auto"/>
        <w:ind w:right="77"/>
        <w:jc w:val="left"/>
      </w:pPr>
      <w:r>
        <w:rPr>
          <w:color w:val="231F20"/>
        </w:rPr>
        <w:t>« Art. 45</w:t>
      </w:r>
      <w:r>
        <w:rPr>
          <w:rFonts w:ascii="Times New Roman" w:hAnsi="Times New Roman"/>
          <w:i/>
          <w:color w:val="231F20"/>
        </w:rPr>
        <w:t>bis</w:t>
      </w:r>
      <w:r>
        <w:rPr>
          <w:color w:val="231F20"/>
        </w:rPr>
        <w:t>. § 1</w:t>
      </w:r>
      <w:r>
        <w:rPr>
          <w:color w:val="231F20"/>
          <w:position w:val="7"/>
          <w:sz w:val="11"/>
        </w:rPr>
        <w:t>er</w:t>
      </w:r>
      <w:r>
        <w:rPr>
          <w:color w:val="231F20"/>
        </w:rPr>
        <w:t>. Lorsque le comité de direction est appelé à prendre une décision ou se prononcer sur une opération relevant de sa compétence à propos de laquelle un membre du comité de direction a  un intérêt direct ou indirect de nature patrimoniale qui est </w:t>
      </w:r>
      <w:r>
        <w:rPr>
          <w:color w:val="231F20"/>
          <w:spacing w:val="4"/>
        </w:rPr>
        <w:t>opposé </w:t>
      </w:r>
      <w:r>
        <w:rPr>
          <w:color w:val="231F20"/>
        </w:rPr>
        <w:t>à l’intérêt de l’entreprise d’assurance ou de réassurance, ce membre doit en informer les autres membres avant que le comité de direction ne prenne une décision. Sa déclaration et ses explications sur la nature de cet intérêt opposé doivent figurer dans le procès-verbal de la réunion   du comité de direction qui doit prendre cette décision. Le comité de direction</w:t>
      </w:r>
      <w:r>
        <w:rPr>
          <w:color w:val="231F20"/>
          <w:spacing w:val="15"/>
        </w:rPr>
        <w:t> </w:t>
      </w:r>
      <w:r>
        <w:rPr>
          <w:color w:val="231F20"/>
        </w:rPr>
        <w:t>ne</w:t>
      </w:r>
      <w:r>
        <w:rPr>
          <w:color w:val="231F20"/>
          <w:spacing w:val="15"/>
        </w:rPr>
        <w:t> </w:t>
      </w:r>
      <w:r>
        <w:rPr>
          <w:color w:val="231F20"/>
        </w:rPr>
        <w:t>peut</w:t>
      </w:r>
      <w:r>
        <w:rPr>
          <w:color w:val="231F20"/>
          <w:spacing w:val="15"/>
        </w:rPr>
        <w:t> </w:t>
      </w:r>
      <w:r>
        <w:rPr>
          <w:color w:val="231F20"/>
        </w:rPr>
        <w:t>pas</w:t>
      </w:r>
      <w:r>
        <w:rPr>
          <w:color w:val="231F20"/>
          <w:spacing w:val="16"/>
        </w:rPr>
        <w:t> </w:t>
      </w:r>
      <w:r>
        <w:rPr>
          <w:color w:val="231F20"/>
        </w:rPr>
        <w:t>déléguer</w:t>
      </w:r>
      <w:r>
        <w:rPr>
          <w:color w:val="231F20"/>
          <w:spacing w:val="15"/>
        </w:rPr>
        <w:t> </w:t>
      </w:r>
      <w:r>
        <w:rPr>
          <w:color w:val="231F20"/>
        </w:rPr>
        <w:t>cette</w:t>
      </w:r>
      <w:r>
        <w:rPr>
          <w:color w:val="231F20"/>
          <w:spacing w:val="15"/>
        </w:rPr>
        <w:t> </w:t>
      </w:r>
      <w:r>
        <w:rPr>
          <w:color w:val="231F20"/>
        </w:rPr>
        <w:t>décision.</w:t>
      </w:r>
    </w:p>
    <w:p>
      <w:pPr>
        <w:pStyle w:val="BodyText"/>
        <w:ind w:left="0" w:right="0" w:firstLine="0"/>
        <w:jc w:val="left"/>
        <w:rPr>
          <w:sz w:val="18"/>
        </w:rPr>
      </w:pPr>
    </w:p>
    <w:p>
      <w:pPr>
        <w:pStyle w:val="BodyText"/>
        <w:spacing w:line="216" w:lineRule="auto"/>
        <w:ind w:right="65"/>
      </w:pPr>
      <w:r>
        <w:rPr>
          <w:color w:val="231F20"/>
        </w:rPr>
        <w:t>Le comité de direction décrit, dans le procès-verbal, la nature de la décision ou de l’opération visée à l’alinéa 1</w:t>
      </w:r>
      <w:r>
        <w:rPr>
          <w:color w:val="231F20"/>
          <w:position w:val="7"/>
          <w:sz w:val="11"/>
        </w:rPr>
        <w:t>er </w:t>
      </w:r>
      <w:r>
        <w:rPr>
          <w:color w:val="231F20"/>
        </w:rPr>
        <w:t>et les conséquences patrimoniales pour l’entreprise d’assurance ou de réassurance et</w:t>
      </w:r>
      <w:r>
        <w:rPr>
          <w:color w:val="231F20"/>
          <w:spacing w:val="-25"/>
        </w:rPr>
        <w:t> </w:t>
      </w:r>
      <w:r>
        <w:rPr>
          <w:color w:val="231F20"/>
        </w:rPr>
        <w:t>justifie la décision qui a été prise, et transmet une copie du procès-verbal au conseil d’administation lors de sa prochaine réunion. Cette partie du procès-verbal est reprise dans son intégralité dans le rapport annuel </w:t>
      </w:r>
      <w:r>
        <w:rPr>
          <w:color w:val="231F20"/>
          <w:spacing w:val="3"/>
        </w:rPr>
        <w:t>visé</w:t>
      </w:r>
      <w:r>
        <w:rPr>
          <w:color w:val="231F20"/>
        </w:rPr>
        <w:t> à</w:t>
      </w:r>
      <w:r>
        <w:rPr>
          <w:color w:val="231F20"/>
          <w:spacing w:val="15"/>
        </w:rPr>
        <w:t> </w:t>
      </w:r>
      <w:r>
        <w:rPr>
          <w:color w:val="231F20"/>
        </w:rPr>
        <w:t>l’aricle</w:t>
      </w:r>
      <w:r>
        <w:rPr>
          <w:color w:val="231F20"/>
          <w:spacing w:val="15"/>
        </w:rPr>
        <w:t> </w:t>
      </w:r>
      <w:r>
        <w:rPr>
          <w:color w:val="231F20"/>
        </w:rPr>
        <w:t>3:5</w:t>
      </w:r>
      <w:r>
        <w:rPr>
          <w:color w:val="231F20"/>
          <w:spacing w:val="16"/>
        </w:rPr>
        <w:t> </w:t>
      </w:r>
      <w:r>
        <w:rPr>
          <w:color w:val="231F20"/>
        </w:rPr>
        <w:t>du</w:t>
      </w:r>
      <w:r>
        <w:rPr>
          <w:color w:val="231F20"/>
          <w:spacing w:val="15"/>
        </w:rPr>
        <w:t> </w:t>
      </w:r>
      <w:r>
        <w:rPr>
          <w:color w:val="231F20"/>
        </w:rPr>
        <w:t>Code</w:t>
      </w:r>
      <w:r>
        <w:rPr>
          <w:color w:val="231F20"/>
          <w:spacing w:val="15"/>
        </w:rPr>
        <w:t> </w:t>
      </w:r>
      <w:r>
        <w:rPr>
          <w:color w:val="231F20"/>
        </w:rPr>
        <w:t>des</w:t>
      </w:r>
      <w:r>
        <w:rPr>
          <w:color w:val="231F20"/>
          <w:spacing w:val="16"/>
        </w:rPr>
        <w:t> </w:t>
      </w:r>
      <w:r>
        <w:rPr>
          <w:color w:val="231F20"/>
        </w:rPr>
        <w:t>sociétés</w:t>
      </w:r>
      <w:r>
        <w:rPr>
          <w:color w:val="231F20"/>
          <w:spacing w:val="15"/>
        </w:rPr>
        <w:t> </w:t>
      </w:r>
      <w:r>
        <w:rPr>
          <w:color w:val="231F20"/>
        </w:rPr>
        <w:t>et</w:t>
      </w:r>
      <w:r>
        <w:rPr>
          <w:color w:val="231F20"/>
          <w:spacing w:val="15"/>
        </w:rPr>
        <w:t> </w:t>
      </w:r>
      <w:r>
        <w:rPr>
          <w:color w:val="231F20"/>
        </w:rPr>
        <w:t>associations.</w:t>
      </w:r>
    </w:p>
    <w:p>
      <w:pPr>
        <w:pStyle w:val="BodyText"/>
        <w:ind w:left="0" w:right="0" w:firstLine="0"/>
        <w:jc w:val="left"/>
        <w:rPr>
          <w:sz w:val="20"/>
        </w:rPr>
      </w:pPr>
    </w:p>
    <w:p>
      <w:pPr>
        <w:pStyle w:val="BodyText"/>
        <w:spacing w:before="8"/>
        <w:ind w:left="0" w:right="0" w:firstLine="0"/>
        <w:jc w:val="left"/>
        <w:rPr>
          <w:sz w:val="28"/>
        </w:rPr>
      </w:pPr>
    </w:p>
    <w:p>
      <w:pPr>
        <w:pStyle w:val="BodyText"/>
        <w:spacing w:line="216" w:lineRule="auto"/>
        <w:ind w:right="65"/>
      </w:pPr>
      <w:r>
        <w:rPr>
          <w:color w:val="231F20"/>
        </w:rPr>
        <w:t>Le procès-verbal de la réunion du comité de direction est communi- qué au commissaire. Dans son rapport visé à l’article 3:74 du Code des sociétés</w:t>
      </w:r>
      <w:r>
        <w:rPr>
          <w:color w:val="231F20"/>
          <w:spacing w:val="-5"/>
        </w:rPr>
        <w:t> </w:t>
      </w:r>
      <w:r>
        <w:rPr>
          <w:color w:val="231F20"/>
        </w:rPr>
        <w:t>et</w:t>
      </w:r>
      <w:r>
        <w:rPr>
          <w:color w:val="231F20"/>
          <w:spacing w:val="-5"/>
        </w:rPr>
        <w:t> </w:t>
      </w:r>
      <w:r>
        <w:rPr>
          <w:color w:val="231F20"/>
        </w:rPr>
        <w:t>associations,</w:t>
      </w:r>
      <w:r>
        <w:rPr>
          <w:color w:val="231F20"/>
          <w:spacing w:val="-5"/>
        </w:rPr>
        <w:t> </w:t>
      </w:r>
      <w:r>
        <w:rPr>
          <w:color w:val="231F20"/>
        </w:rPr>
        <w:t>le</w:t>
      </w:r>
      <w:r>
        <w:rPr>
          <w:color w:val="231F20"/>
          <w:spacing w:val="-5"/>
        </w:rPr>
        <w:t> </w:t>
      </w:r>
      <w:r>
        <w:rPr>
          <w:color w:val="231F20"/>
        </w:rPr>
        <w:t>commissaire</w:t>
      </w:r>
      <w:r>
        <w:rPr>
          <w:color w:val="231F20"/>
          <w:spacing w:val="-5"/>
        </w:rPr>
        <w:t> </w:t>
      </w:r>
      <w:r>
        <w:rPr>
          <w:color w:val="231F20"/>
        </w:rPr>
        <w:t>évalue</w:t>
      </w:r>
      <w:r>
        <w:rPr>
          <w:color w:val="231F20"/>
          <w:spacing w:val="-4"/>
        </w:rPr>
        <w:t> </w:t>
      </w:r>
      <w:r>
        <w:rPr>
          <w:color w:val="231F20"/>
        </w:rPr>
        <w:t>dans</w:t>
      </w:r>
      <w:r>
        <w:rPr>
          <w:color w:val="231F20"/>
          <w:spacing w:val="-5"/>
        </w:rPr>
        <w:t> </w:t>
      </w:r>
      <w:r>
        <w:rPr>
          <w:color w:val="231F20"/>
        </w:rPr>
        <w:t>une</w:t>
      </w:r>
      <w:r>
        <w:rPr>
          <w:color w:val="231F20"/>
          <w:spacing w:val="-5"/>
        </w:rPr>
        <w:t> </w:t>
      </w:r>
      <w:r>
        <w:rPr>
          <w:color w:val="231F20"/>
        </w:rPr>
        <w:t>section</w:t>
      </w:r>
      <w:r>
        <w:rPr>
          <w:color w:val="231F20"/>
          <w:spacing w:val="-5"/>
        </w:rPr>
        <w:t> </w:t>
      </w:r>
      <w:r>
        <w:rPr>
          <w:color w:val="231F20"/>
        </w:rPr>
        <w:t>séparée, les conséquences patrimoniales pour de l’entreprise d’assurance ou de réassurance des décisions du comité de direction telles que décrites par celui-ci, pour lesquelles il  existe  un  intérêt  opposé  au  sens  de l’alinéa</w:t>
      </w:r>
      <w:r>
        <w:rPr>
          <w:color w:val="231F20"/>
          <w:spacing w:val="15"/>
        </w:rPr>
        <w:t> </w:t>
      </w:r>
      <w:r>
        <w:rPr>
          <w:color w:val="231F20"/>
        </w:rPr>
        <w:t>1</w:t>
      </w:r>
      <w:r>
        <w:rPr>
          <w:color w:val="231F20"/>
          <w:position w:val="7"/>
          <w:sz w:val="11"/>
        </w:rPr>
        <w:t>er</w:t>
      </w:r>
      <w:r>
        <w:rPr>
          <w:color w:val="231F20"/>
        </w:rPr>
        <w:t>.</w:t>
      </w:r>
    </w:p>
    <w:p>
      <w:pPr>
        <w:pStyle w:val="BodyText"/>
        <w:spacing w:line="218" w:lineRule="auto" w:before="185"/>
        <w:ind w:right="65"/>
      </w:pPr>
      <w:r>
        <w:rPr>
          <w:color w:val="231F20"/>
        </w:rPr>
        <w:t>Le membre ayant un conflit d’intérêts au sens de l’alinéa 1</w:t>
      </w:r>
      <w:r>
        <w:rPr>
          <w:color w:val="231F20"/>
          <w:position w:val="7"/>
          <w:sz w:val="11"/>
        </w:rPr>
        <w:t>er </w:t>
      </w:r>
      <w:r>
        <w:rPr>
          <w:color w:val="231F20"/>
        </w:rPr>
        <w:t>ne peut prendre part aux délibérations du comité de direction concernant ces opérations ou ces décisions, ni prendre part au vote. Si tous les membres ont un conflit d’intérêt, la décision ou l’opération est soumise au conseil d’administration; en cas d’approbation de la décision par celui-ci, le comité de direction peut l’exécuter.</w:t>
      </w:r>
    </w:p>
    <w:p>
      <w:pPr>
        <w:pStyle w:val="BodyText"/>
        <w:ind w:left="0" w:right="0" w:firstLine="0"/>
        <w:jc w:val="left"/>
        <w:rPr>
          <w:sz w:val="20"/>
        </w:rPr>
      </w:pPr>
    </w:p>
    <w:p>
      <w:pPr>
        <w:pStyle w:val="BodyText"/>
        <w:spacing w:line="218" w:lineRule="auto" w:before="152"/>
        <w:ind w:right="65"/>
      </w:pPr>
      <w:r>
        <w:rPr>
          <w:color w:val="231F20"/>
        </w:rPr>
        <w:t>§ 2. Sans préjudice du droit des  pêrsonnes  mentionnées  aux  articles</w:t>
      </w:r>
      <w:r>
        <w:rPr>
          <w:color w:val="231F20"/>
          <w:spacing w:val="-4"/>
        </w:rPr>
        <w:t> </w:t>
      </w:r>
      <w:r>
        <w:rPr>
          <w:color w:val="231F20"/>
        </w:rPr>
        <w:t>2:44</w:t>
      </w:r>
      <w:r>
        <w:rPr>
          <w:color w:val="231F20"/>
          <w:spacing w:val="-3"/>
        </w:rPr>
        <w:t> </w:t>
      </w:r>
      <w:r>
        <w:rPr>
          <w:color w:val="231F20"/>
        </w:rPr>
        <w:t>et</w:t>
      </w:r>
      <w:r>
        <w:rPr>
          <w:color w:val="231F20"/>
          <w:spacing w:val="-3"/>
        </w:rPr>
        <w:t> </w:t>
      </w:r>
      <w:r>
        <w:rPr>
          <w:color w:val="231F20"/>
        </w:rPr>
        <w:t>2:46</w:t>
      </w:r>
      <w:r>
        <w:rPr>
          <w:color w:val="231F20"/>
          <w:spacing w:val="-3"/>
        </w:rPr>
        <w:t> </w:t>
      </w:r>
      <w:r>
        <w:rPr>
          <w:color w:val="231F20"/>
        </w:rPr>
        <w:t>du</w:t>
      </w:r>
      <w:r>
        <w:rPr>
          <w:color w:val="231F20"/>
          <w:spacing w:val="-3"/>
        </w:rPr>
        <w:t> </w:t>
      </w:r>
      <w:r>
        <w:rPr>
          <w:color w:val="231F20"/>
        </w:rPr>
        <w:t>Code</w:t>
      </w:r>
      <w:r>
        <w:rPr>
          <w:color w:val="231F20"/>
          <w:spacing w:val="-3"/>
        </w:rPr>
        <w:t> </w:t>
      </w:r>
      <w:r>
        <w:rPr>
          <w:color w:val="231F20"/>
        </w:rPr>
        <w:t>des</w:t>
      </w:r>
      <w:r>
        <w:rPr>
          <w:color w:val="231F20"/>
          <w:spacing w:val="-3"/>
        </w:rPr>
        <w:t> </w:t>
      </w:r>
      <w:r>
        <w:rPr>
          <w:color w:val="231F20"/>
        </w:rPr>
        <w:t>sociétés</w:t>
      </w:r>
      <w:r>
        <w:rPr>
          <w:color w:val="231F20"/>
          <w:spacing w:val="-3"/>
        </w:rPr>
        <w:t> </w:t>
      </w:r>
      <w:r>
        <w:rPr>
          <w:color w:val="231F20"/>
        </w:rPr>
        <w:t>et</w:t>
      </w:r>
      <w:r>
        <w:rPr>
          <w:color w:val="231F20"/>
          <w:spacing w:val="-4"/>
        </w:rPr>
        <w:t> </w:t>
      </w:r>
      <w:r>
        <w:rPr>
          <w:color w:val="231F20"/>
        </w:rPr>
        <w:t>associations</w:t>
      </w:r>
      <w:r>
        <w:rPr>
          <w:color w:val="231F20"/>
          <w:spacing w:val="-3"/>
        </w:rPr>
        <w:t> </w:t>
      </w:r>
      <w:r>
        <w:rPr>
          <w:color w:val="231F20"/>
        </w:rPr>
        <w:t>de</w:t>
      </w:r>
      <w:r>
        <w:rPr>
          <w:color w:val="231F20"/>
          <w:spacing w:val="-3"/>
        </w:rPr>
        <w:t> </w:t>
      </w:r>
      <w:r>
        <w:rPr>
          <w:color w:val="231F20"/>
        </w:rPr>
        <w:t>demander</w:t>
      </w:r>
      <w:r>
        <w:rPr>
          <w:color w:val="231F20"/>
          <w:spacing w:val="-3"/>
        </w:rPr>
        <w:t> </w:t>
      </w:r>
      <w:r>
        <w:rPr>
          <w:color w:val="231F20"/>
        </w:rPr>
        <w:t>la nullité ou la suspension de la décsion du comité de direction, de l’entreprise d’assurance ou de réassurance peut demander la nullité des décisions prises ou des opérations accomplies en violation des règles prévues au présent article, si l’autre partie à ces décisions ou opérations avait</w:t>
      </w:r>
      <w:r>
        <w:rPr>
          <w:color w:val="231F20"/>
          <w:spacing w:val="16"/>
        </w:rPr>
        <w:t> </w:t>
      </w:r>
      <w:r>
        <w:rPr>
          <w:color w:val="231F20"/>
        </w:rPr>
        <w:t>ou</w:t>
      </w:r>
      <w:r>
        <w:rPr>
          <w:color w:val="231F20"/>
          <w:spacing w:val="16"/>
        </w:rPr>
        <w:t> </w:t>
      </w:r>
      <w:r>
        <w:rPr>
          <w:color w:val="231F20"/>
        </w:rPr>
        <w:t>devait</w:t>
      </w:r>
      <w:r>
        <w:rPr>
          <w:color w:val="231F20"/>
          <w:spacing w:val="16"/>
        </w:rPr>
        <w:t> </w:t>
      </w:r>
      <w:r>
        <w:rPr>
          <w:color w:val="231F20"/>
        </w:rPr>
        <w:t>avoir</w:t>
      </w:r>
      <w:r>
        <w:rPr>
          <w:color w:val="231F20"/>
          <w:spacing w:val="16"/>
        </w:rPr>
        <w:t> </w:t>
      </w:r>
      <w:r>
        <w:rPr>
          <w:color w:val="231F20"/>
        </w:rPr>
        <w:t>connaissance</w:t>
      </w:r>
      <w:r>
        <w:rPr>
          <w:color w:val="231F20"/>
          <w:spacing w:val="16"/>
        </w:rPr>
        <w:t> </w:t>
      </w:r>
      <w:r>
        <w:rPr>
          <w:color w:val="231F20"/>
        </w:rPr>
        <w:t>de</w:t>
      </w:r>
      <w:r>
        <w:rPr>
          <w:color w:val="231F20"/>
          <w:spacing w:val="17"/>
        </w:rPr>
        <w:t> </w:t>
      </w:r>
      <w:r>
        <w:rPr>
          <w:color w:val="231F20"/>
        </w:rPr>
        <w:t>cette</w:t>
      </w:r>
      <w:r>
        <w:rPr>
          <w:color w:val="231F20"/>
          <w:spacing w:val="16"/>
        </w:rPr>
        <w:t> </w:t>
      </w:r>
      <w:r>
        <w:rPr>
          <w:color w:val="231F20"/>
        </w:rPr>
        <w:t>violation.</w:t>
      </w:r>
    </w:p>
    <w:p>
      <w:pPr>
        <w:pStyle w:val="BodyText"/>
        <w:ind w:left="0" w:right="0" w:firstLine="0"/>
        <w:jc w:val="left"/>
        <w:rPr>
          <w:sz w:val="20"/>
        </w:rPr>
      </w:pPr>
    </w:p>
    <w:p>
      <w:pPr>
        <w:pStyle w:val="BodyText"/>
        <w:spacing w:line="218" w:lineRule="auto" w:before="137"/>
        <w:ind w:right="65"/>
      </w:pPr>
      <w:r>
        <w:rPr>
          <w:color w:val="231F20"/>
        </w:rPr>
        <w:t>§ 3. Le paragraphe 1</w:t>
      </w:r>
      <w:r>
        <w:rPr>
          <w:color w:val="231F20"/>
          <w:position w:val="7"/>
          <w:sz w:val="11"/>
        </w:rPr>
        <w:t>er </w:t>
      </w:r>
      <w:r>
        <w:rPr>
          <w:color w:val="231F20"/>
        </w:rPr>
        <w:t>n’est pas applicable lorsque les décisions ou les opérations relevant du comité de direction concernent des décisions ou des opérations conclues entre sociétés, dont de l’entreprise d’assurance ou de réassurance, et dont l’une détient directement ou indirectement 95</w:t>
      </w:r>
      <w:r>
        <w:rPr>
          <w:color w:val="231F20"/>
          <w:spacing w:val="-3"/>
        </w:rPr>
        <w:t> </w:t>
      </w:r>
      <w:r>
        <w:rPr>
          <w:color w:val="231F20"/>
        </w:rPr>
        <w:t>%</w:t>
      </w:r>
      <w:r>
        <w:rPr>
          <w:color w:val="231F20"/>
          <w:spacing w:val="-3"/>
        </w:rPr>
        <w:t> </w:t>
      </w:r>
      <w:r>
        <w:rPr>
          <w:color w:val="231F20"/>
        </w:rPr>
        <w:t>au</w:t>
      </w:r>
      <w:r>
        <w:rPr>
          <w:color w:val="231F20"/>
          <w:spacing w:val="-2"/>
        </w:rPr>
        <w:t> </w:t>
      </w:r>
      <w:r>
        <w:rPr>
          <w:color w:val="231F20"/>
        </w:rPr>
        <w:t>moins</w:t>
      </w:r>
      <w:r>
        <w:rPr>
          <w:color w:val="231F20"/>
          <w:spacing w:val="-3"/>
        </w:rPr>
        <w:t> </w:t>
      </w:r>
      <w:r>
        <w:rPr>
          <w:color w:val="231F20"/>
        </w:rPr>
        <w:t>des</w:t>
      </w:r>
      <w:r>
        <w:rPr>
          <w:color w:val="231F20"/>
          <w:spacing w:val="-3"/>
        </w:rPr>
        <w:t> </w:t>
      </w:r>
      <w:r>
        <w:rPr>
          <w:color w:val="231F20"/>
        </w:rPr>
        <w:t>voix</w:t>
      </w:r>
      <w:r>
        <w:rPr>
          <w:color w:val="231F20"/>
          <w:spacing w:val="-2"/>
        </w:rPr>
        <w:t> </w:t>
      </w:r>
      <w:r>
        <w:rPr>
          <w:color w:val="231F20"/>
        </w:rPr>
        <w:t>attachées</w:t>
      </w:r>
      <w:r>
        <w:rPr>
          <w:color w:val="231F20"/>
          <w:spacing w:val="-3"/>
        </w:rPr>
        <w:t> </w:t>
      </w:r>
      <w:r>
        <w:rPr>
          <w:color w:val="231F20"/>
        </w:rPr>
        <w:t>à</w:t>
      </w:r>
      <w:r>
        <w:rPr>
          <w:color w:val="231F20"/>
          <w:spacing w:val="-3"/>
        </w:rPr>
        <w:t> </w:t>
      </w:r>
      <w:r>
        <w:rPr>
          <w:color w:val="231F20"/>
        </w:rPr>
        <w:t>l’ensemble</w:t>
      </w:r>
      <w:r>
        <w:rPr>
          <w:color w:val="231F20"/>
          <w:spacing w:val="-2"/>
        </w:rPr>
        <w:t> </w:t>
      </w:r>
      <w:r>
        <w:rPr>
          <w:color w:val="231F20"/>
        </w:rPr>
        <w:t>des</w:t>
      </w:r>
      <w:r>
        <w:rPr>
          <w:color w:val="231F20"/>
          <w:spacing w:val="-3"/>
        </w:rPr>
        <w:t> </w:t>
      </w:r>
      <w:r>
        <w:rPr>
          <w:color w:val="231F20"/>
        </w:rPr>
        <w:t>titres</w:t>
      </w:r>
      <w:r>
        <w:rPr>
          <w:color w:val="231F20"/>
          <w:spacing w:val="-3"/>
        </w:rPr>
        <w:t> </w:t>
      </w:r>
      <w:r>
        <w:rPr>
          <w:color w:val="231F20"/>
        </w:rPr>
        <w:t>émis</w:t>
      </w:r>
      <w:r>
        <w:rPr>
          <w:color w:val="231F20"/>
          <w:spacing w:val="-2"/>
        </w:rPr>
        <w:t> </w:t>
      </w:r>
      <w:r>
        <w:rPr>
          <w:color w:val="231F20"/>
        </w:rPr>
        <w:t>par</w:t>
      </w:r>
      <w:r>
        <w:rPr>
          <w:color w:val="231F20"/>
          <w:spacing w:val="-3"/>
        </w:rPr>
        <w:t> </w:t>
      </w:r>
      <w:r>
        <w:rPr>
          <w:color w:val="231F20"/>
        </w:rPr>
        <w:t>l’autre ou entre sociétés, dont de l’entreprise d’assurance ou de réassurance, et dont 95 % au moins des voix attachées à l’ensemble des titres émis par chacune</w:t>
      </w:r>
      <w:r>
        <w:rPr>
          <w:color w:val="231F20"/>
          <w:spacing w:val="15"/>
        </w:rPr>
        <w:t> </w:t>
      </w:r>
      <w:r>
        <w:rPr>
          <w:color w:val="231F20"/>
        </w:rPr>
        <w:t>d’elles</w:t>
      </w:r>
      <w:r>
        <w:rPr>
          <w:color w:val="231F20"/>
          <w:spacing w:val="15"/>
        </w:rPr>
        <w:t> </w:t>
      </w:r>
      <w:r>
        <w:rPr>
          <w:color w:val="231F20"/>
        </w:rPr>
        <w:t>sont</w:t>
      </w:r>
      <w:r>
        <w:rPr>
          <w:color w:val="231F20"/>
          <w:spacing w:val="15"/>
        </w:rPr>
        <w:t> </w:t>
      </w:r>
      <w:r>
        <w:rPr>
          <w:color w:val="231F20"/>
        </w:rPr>
        <w:t>détenus</w:t>
      </w:r>
      <w:r>
        <w:rPr>
          <w:color w:val="231F20"/>
          <w:spacing w:val="15"/>
        </w:rPr>
        <w:t> </w:t>
      </w:r>
      <w:r>
        <w:rPr>
          <w:color w:val="231F20"/>
        </w:rPr>
        <w:t>par</w:t>
      </w:r>
      <w:r>
        <w:rPr>
          <w:color w:val="231F20"/>
          <w:spacing w:val="15"/>
        </w:rPr>
        <w:t> </w:t>
      </w:r>
      <w:r>
        <w:rPr>
          <w:color w:val="231F20"/>
        </w:rPr>
        <w:t>une</w:t>
      </w:r>
      <w:r>
        <w:rPr>
          <w:color w:val="231F20"/>
          <w:spacing w:val="16"/>
        </w:rPr>
        <w:t> </w:t>
      </w:r>
      <w:r>
        <w:rPr>
          <w:color w:val="231F20"/>
        </w:rPr>
        <w:t>autre</w:t>
      </w:r>
      <w:r>
        <w:rPr>
          <w:color w:val="231F20"/>
          <w:spacing w:val="15"/>
        </w:rPr>
        <w:t> </w:t>
      </w:r>
      <w:r>
        <w:rPr>
          <w:color w:val="231F20"/>
        </w:rPr>
        <w:t>société.</w:t>
      </w:r>
    </w:p>
    <w:p>
      <w:pPr>
        <w:pStyle w:val="BodyText"/>
        <w:ind w:left="0" w:right="0" w:firstLine="0"/>
        <w:jc w:val="left"/>
        <w:rPr>
          <w:sz w:val="20"/>
        </w:rPr>
      </w:pPr>
    </w:p>
    <w:p>
      <w:pPr>
        <w:pStyle w:val="BodyText"/>
        <w:ind w:left="0" w:right="0" w:firstLine="0"/>
        <w:jc w:val="left"/>
        <w:rPr>
          <w:sz w:val="20"/>
        </w:rPr>
      </w:pPr>
    </w:p>
    <w:p>
      <w:pPr>
        <w:pStyle w:val="BodyText"/>
        <w:spacing w:before="10"/>
        <w:ind w:left="0" w:right="0" w:firstLine="0"/>
        <w:jc w:val="left"/>
        <w:rPr>
          <w:sz w:val="23"/>
        </w:rPr>
      </w:pPr>
    </w:p>
    <w:p>
      <w:pPr>
        <w:pStyle w:val="BodyText"/>
        <w:spacing w:line="218" w:lineRule="auto"/>
        <w:ind w:right="65"/>
      </w:pPr>
      <w:r>
        <w:rPr>
          <w:color w:val="231F20"/>
        </w:rPr>
        <w:t>De même, le paragraphe 1</w:t>
      </w:r>
      <w:r>
        <w:rPr>
          <w:color w:val="231F20"/>
          <w:position w:val="7"/>
          <w:sz w:val="11"/>
        </w:rPr>
        <w:t>er </w:t>
      </w:r>
      <w:r>
        <w:rPr>
          <w:color w:val="231F20"/>
        </w:rPr>
        <w:t>ne s’applique pas lorsque les décisions  du comité de direction concernent des opérations habituelles conclues dans des conditions et sous les garanties normales du marché pour des opérations de même</w:t>
      </w:r>
      <w:r>
        <w:rPr>
          <w:color w:val="231F20"/>
          <w:spacing w:val="3"/>
        </w:rPr>
        <w:t> </w:t>
      </w:r>
      <w:r>
        <w:rPr>
          <w:color w:val="231F20"/>
        </w:rPr>
        <w:t>nature. ».</w:t>
      </w:r>
    </w:p>
    <w:p>
      <w:pPr>
        <w:pStyle w:val="BodyText"/>
        <w:spacing w:line="218" w:lineRule="auto" w:before="119"/>
        <w:ind w:right="123"/>
      </w:pPr>
      <w:r>
        <w:rPr/>
        <w:br w:type="column"/>
      </w:r>
      <w:r>
        <w:rPr>
          <w:color w:val="231F20"/>
        </w:rPr>
        <w:t>Bovendien is paragraaf 1 niet van toepassing wanneer de beslissin- gen van het directiecomité betrekking hebben op gebruikelijke verrich- tingen die plaatshebben onder de voorwaarden en tegen de zekerheden die op de markt gewoonlijk gelden voor soortgelijke verrichtingen.”.</w:t>
      </w:r>
    </w:p>
    <w:p>
      <w:pPr>
        <w:pStyle w:val="BodyText"/>
        <w:spacing w:before="6"/>
        <w:ind w:left="0" w:right="0" w:firstLine="0"/>
        <w:jc w:val="left"/>
        <w:rPr>
          <w:sz w:val="20"/>
        </w:rPr>
      </w:pPr>
    </w:p>
    <w:p>
      <w:pPr>
        <w:pStyle w:val="BodyText"/>
        <w:spacing w:line="232" w:lineRule="auto" w:before="1"/>
        <w:ind w:left="283" w:hanging="171"/>
      </w:pPr>
      <w:r>
        <w:rPr>
          <w:rFonts w:ascii="Times New Roman" w:hAnsi="Times New Roman"/>
          <w:i/>
          <w:color w:val="231F20"/>
        </w:rPr>
        <w:t>Afdeling VII. </w:t>
      </w:r>
      <w:r>
        <w:rPr>
          <w:i/>
          <w:color w:val="231F20"/>
        </w:rPr>
        <w:t>— </w:t>
      </w:r>
      <w:r>
        <w:rPr>
          <w:color w:val="231F20"/>
        </w:rPr>
        <w:t>Wijziging van de wet van 13 maart 2016 op het statuut van en het toezicht op de verzekerings- of herverzekeringsonderne- mingen</w:t>
      </w:r>
    </w:p>
    <w:p>
      <w:pPr>
        <w:pStyle w:val="BodyText"/>
        <w:spacing w:before="2"/>
        <w:ind w:left="0" w:right="0" w:firstLine="0"/>
        <w:jc w:val="left"/>
      </w:pPr>
    </w:p>
    <w:p>
      <w:pPr>
        <w:pStyle w:val="BodyText"/>
        <w:spacing w:line="218" w:lineRule="auto" w:before="1"/>
        <w:ind w:right="123"/>
      </w:pPr>
      <w:r>
        <w:rPr>
          <w:rFonts w:ascii="Times New Roman" w:hAnsi="Times New Roman"/>
          <w:b/>
          <w:color w:val="231F20"/>
        </w:rPr>
        <w:t>Art. 22. </w:t>
      </w:r>
      <w:r>
        <w:rPr>
          <w:color w:val="231F20"/>
        </w:rPr>
        <w:t>Artikel 45, § 1, eerste lid, van de wet van 13 maart 2016 op  het statuut van en het toezicht op de verzekerings- of herverzekerings- ondernemingen wordt vervangen als</w:t>
      </w:r>
      <w:r>
        <w:rPr>
          <w:color w:val="231F20"/>
          <w:spacing w:val="24"/>
        </w:rPr>
        <w:t> </w:t>
      </w:r>
      <w:r>
        <w:rPr>
          <w:color w:val="231F20"/>
        </w:rPr>
        <w:t>volgt:</w:t>
      </w:r>
    </w:p>
    <w:p>
      <w:pPr>
        <w:pStyle w:val="BodyText"/>
        <w:spacing w:before="9"/>
        <w:ind w:left="0" w:right="0" w:firstLine="0"/>
        <w:jc w:val="left"/>
      </w:pPr>
    </w:p>
    <w:p>
      <w:pPr>
        <w:pStyle w:val="BodyText"/>
        <w:spacing w:line="218" w:lineRule="auto"/>
      </w:pPr>
      <w:r>
        <w:rPr>
          <w:color w:val="231F20"/>
        </w:rPr>
        <w:t>“§ 1. Iedere verzekerings- of herverzekeringsonderneming die is opgericht als naamloze vennootschap richt een directiecomité op dat de bevoegdheden  heeft  van  de  directieraad  zoals   bepaald   in   arti-   kel</w:t>
      </w:r>
      <w:r>
        <w:rPr>
          <w:color w:val="231F20"/>
          <w:spacing w:val="18"/>
        </w:rPr>
        <w:t> </w:t>
      </w:r>
      <w:r>
        <w:rPr>
          <w:color w:val="231F20"/>
        </w:rPr>
        <w:t>7:104</w:t>
      </w:r>
      <w:r>
        <w:rPr>
          <w:color w:val="231F20"/>
          <w:spacing w:val="19"/>
        </w:rPr>
        <w:t> </w:t>
      </w:r>
      <w:r>
        <w:rPr>
          <w:color w:val="231F20"/>
        </w:rPr>
        <w:t>van</w:t>
      </w:r>
      <w:r>
        <w:rPr>
          <w:color w:val="231F20"/>
          <w:spacing w:val="19"/>
        </w:rPr>
        <w:t> </w:t>
      </w:r>
      <w:r>
        <w:rPr>
          <w:color w:val="231F20"/>
        </w:rPr>
        <w:t>het</w:t>
      </w:r>
      <w:r>
        <w:rPr>
          <w:color w:val="231F20"/>
          <w:spacing w:val="18"/>
        </w:rPr>
        <w:t> </w:t>
      </w:r>
      <w:r>
        <w:rPr>
          <w:color w:val="231F20"/>
          <w:spacing w:val="-3"/>
        </w:rPr>
        <w:t>Wetboek</w:t>
      </w:r>
      <w:r>
        <w:rPr>
          <w:color w:val="231F20"/>
          <w:spacing w:val="19"/>
        </w:rPr>
        <w:t> </w:t>
      </w:r>
      <w:r>
        <w:rPr>
          <w:color w:val="231F20"/>
        </w:rPr>
        <w:t>van</w:t>
      </w:r>
      <w:r>
        <w:rPr>
          <w:color w:val="231F20"/>
          <w:spacing w:val="19"/>
        </w:rPr>
        <w:t> </w:t>
      </w:r>
      <w:r>
        <w:rPr>
          <w:color w:val="231F20"/>
        </w:rPr>
        <w:t>vennootschappen</w:t>
      </w:r>
      <w:r>
        <w:rPr>
          <w:color w:val="231F20"/>
          <w:spacing w:val="18"/>
        </w:rPr>
        <w:t> </w:t>
      </w:r>
      <w:r>
        <w:rPr>
          <w:color w:val="231F20"/>
        </w:rPr>
        <w:t>en</w:t>
      </w:r>
      <w:r>
        <w:rPr>
          <w:color w:val="231F20"/>
          <w:spacing w:val="19"/>
        </w:rPr>
        <w:t> </w:t>
      </w:r>
      <w:r>
        <w:rPr>
          <w:color w:val="231F20"/>
        </w:rPr>
        <w:t>verenigingen.”.</w:t>
      </w:r>
    </w:p>
    <w:p>
      <w:pPr>
        <w:pStyle w:val="BodyText"/>
        <w:spacing w:before="1"/>
        <w:ind w:left="0" w:right="0" w:firstLine="0"/>
        <w:jc w:val="left"/>
        <w:rPr>
          <w:sz w:val="20"/>
        </w:rPr>
      </w:pPr>
    </w:p>
    <w:p>
      <w:pPr>
        <w:pStyle w:val="BodyText"/>
        <w:spacing w:before="1"/>
        <w:ind w:left="283" w:right="0" w:firstLine="0"/>
        <w:jc w:val="left"/>
      </w:pPr>
      <w:r>
        <w:rPr>
          <w:rFonts w:ascii="Times New Roman"/>
          <w:b/>
          <w:color w:val="231F20"/>
        </w:rPr>
        <w:t>Art. 23. </w:t>
      </w:r>
      <w:r>
        <w:rPr>
          <w:color w:val="231F20"/>
        </w:rPr>
        <w:t>In dezelfde wet wordt een artikel 45</w:t>
      </w:r>
      <w:r>
        <w:rPr>
          <w:rFonts w:ascii="Times New Roman"/>
          <w:i/>
          <w:color w:val="231F20"/>
        </w:rPr>
        <w:t>bis </w:t>
      </w:r>
      <w:r>
        <w:rPr>
          <w:color w:val="231F20"/>
        </w:rPr>
        <w:t>ingevoegd, luidende:</w:t>
      </w:r>
    </w:p>
    <w:p>
      <w:pPr>
        <w:pStyle w:val="BodyText"/>
        <w:ind w:left="0" w:right="0" w:firstLine="0"/>
        <w:jc w:val="left"/>
        <w:rPr>
          <w:sz w:val="20"/>
        </w:rPr>
      </w:pPr>
    </w:p>
    <w:p>
      <w:pPr>
        <w:pStyle w:val="BodyText"/>
        <w:spacing w:line="218" w:lineRule="auto" w:before="145"/>
      </w:pPr>
      <w:r>
        <w:rPr>
          <w:color w:val="231F20"/>
        </w:rPr>
        <w:t>“Art. 45</w:t>
      </w:r>
      <w:r>
        <w:rPr>
          <w:rFonts w:ascii="Times New Roman" w:hAnsi="Times New Roman"/>
          <w:i/>
          <w:color w:val="231F20"/>
        </w:rPr>
        <w:t>bis</w:t>
      </w:r>
      <w:r>
        <w:rPr>
          <w:color w:val="231F20"/>
        </w:rPr>
        <w:t>. § 1. Wanneer een lid van het directiecomité een rechtstreeks of onrechtstreeks belang van vermogensrechtelijke aard heeft dat strijdig is met het belang van de verzekerings- of herverze- keringsonderneming naar aanleiding van een beslissing of een verrich- ting die tot de bevoegdheid behoort van het directiecomité, moet het betrokken lid dit mededelen aan de andere leden vóór het directieco- mité een besluit neemt. Zijn verklaring en toelichting over de aard van dit strijdig belang worden opgenomen in de notulen van de vergade- ring van het directiecomité dat de beslissing moet nemen.</w:t>
      </w:r>
    </w:p>
    <w:p>
      <w:pPr>
        <w:pStyle w:val="BodyText"/>
        <w:ind w:left="0" w:right="0" w:firstLine="0"/>
        <w:jc w:val="left"/>
        <w:rPr>
          <w:sz w:val="20"/>
        </w:rPr>
      </w:pPr>
    </w:p>
    <w:p>
      <w:pPr>
        <w:pStyle w:val="BodyText"/>
        <w:spacing w:line="218" w:lineRule="auto" w:before="152"/>
      </w:pPr>
      <w:r>
        <w:rPr>
          <w:color w:val="231F20"/>
        </w:rPr>
        <w:t>Het directiecomité mag deze beslissing niet delegeren. Het directie- comité omschrijft in de notulen de aard van de in het eerste lid bedoelde beslissing of verrichting en de vermogensrechtelijke gevolgen ervan voor de verzekerings- of herverzekeringsonderneming en ver- antwoordt het genomen besluit, en bezorgt een kopie van deze notulen aan de raad van bestuur tijdens zijn volgende vergadering. In het jaarverslag als bedoeld in artikel 3:5 van het </w:t>
      </w:r>
      <w:r>
        <w:rPr>
          <w:color w:val="231F20"/>
          <w:spacing w:val="-3"/>
        </w:rPr>
        <w:t>Wetboek </w:t>
      </w:r>
      <w:r>
        <w:rPr>
          <w:color w:val="231F20"/>
        </w:rPr>
        <w:t>van vennoot- schappen en verenigingen wordt dit deel van de notulen in zijn geheel opgenomen.</w:t>
      </w:r>
    </w:p>
    <w:p>
      <w:pPr>
        <w:pStyle w:val="BodyText"/>
        <w:spacing w:before="10"/>
        <w:ind w:left="0" w:right="0" w:firstLine="0"/>
        <w:jc w:val="left"/>
      </w:pPr>
    </w:p>
    <w:p>
      <w:pPr>
        <w:pStyle w:val="BodyText"/>
        <w:spacing w:line="218" w:lineRule="auto"/>
      </w:pPr>
      <w:r>
        <w:rPr>
          <w:color w:val="231F20"/>
        </w:rPr>
        <w:t>De notulen van de vergadering van het directiecomité worden aan de commissaris meegedeeld. In het in artikel 3:74 van het </w:t>
      </w:r>
      <w:r>
        <w:rPr>
          <w:color w:val="231F20"/>
          <w:spacing w:val="-3"/>
        </w:rPr>
        <w:t>Wetboek </w:t>
      </w:r>
      <w:r>
        <w:rPr>
          <w:color w:val="231F20"/>
        </w:rPr>
        <w:t>van vennootschappen en verenigingen bedoelde verslag beoordeelt de commissaris, in een afzonderlijke sectie, de</w:t>
      </w:r>
      <w:r>
        <w:rPr>
          <w:color w:val="231F20"/>
          <w:spacing w:val="28"/>
        </w:rPr>
        <w:t> </w:t>
      </w:r>
      <w:r>
        <w:rPr>
          <w:color w:val="231F20"/>
        </w:rPr>
        <w:t>vermogensrechtelijke gevolgen voor de verzekerings- of  herverzekeringsonderneming  van  de besluiten van het directiecomité, zoals door hem omschreven, waarvoor</w:t>
      </w:r>
      <w:r>
        <w:rPr>
          <w:color w:val="231F20"/>
          <w:spacing w:val="16"/>
        </w:rPr>
        <w:t> </w:t>
      </w:r>
      <w:r>
        <w:rPr>
          <w:color w:val="231F20"/>
        </w:rPr>
        <w:t>een</w:t>
      </w:r>
      <w:r>
        <w:rPr>
          <w:color w:val="231F20"/>
          <w:spacing w:val="16"/>
        </w:rPr>
        <w:t> </w:t>
      </w:r>
      <w:r>
        <w:rPr>
          <w:color w:val="231F20"/>
        </w:rPr>
        <w:t>strijdig</w:t>
      </w:r>
      <w:r>
        <w:rPr>
          <w:color w:val="231F20"/>
          <w:spacing w:val="17"/>
        </w:rPr>
        <w:t> </w:t>
      </w:r>
      <w:r>
        <w:rPr>
          <w:color w:val="231F20"/>
        </w:rPr>
        <w:t>belang</w:t>
      </w:r>
      <w:r>
        <w:rPr>
          <w:color w:val="231F20"/>
          <w:spacing w:val="16"/>
        </w:rPr>
        <w:t> </w:t>
      </w:r>
      <w:r>
        <w:rPr>
          <w:color w:val="231F20"/>
        </w:rPr>
        <w:t>als</w:t>
      </w:r>
      <w:r>
        <w:rPr>
          <w:color w:val="231F20"/>
          <w:spacing w:val="17"/>
        </w:rPr>
        <w:t> </w:t>
      </w:r>
      <w:r>
        <w:rPr>
          <w:color w:val="231F20"/>
        </w:rPr>
        <w:t>bedoeld</w:t>
      </w:r>
      <w:r>
        <w:rPr>
          <w:color w:val="231F20"/>
          <w:spacing w:val="16"/>
        </w:rPr>
        <w:t> </w:t>
      </w:r>
      <w:r>
        <w:rPr>
          <w:color w:val="231F20"/>
        </w:rPr>
        <w:t>in</w:t>
      </w:r>
      <w:r>
        <w:rPr>
          <w:color w:val="231F20"/>
          <w:spacing w:val="17"/>
        </w:rPr>
        <w:t> </w:t>
      </w:r>
      <w:r>
        <w:rPr>
          <w:color w:val="231F20"/>
        </w:rPr>
        <w:t>het</w:t>
      </w:r>
      <w:r>
        <w:rPr>
          <w:color w:val="231F20"/>
          <w:spacing w:val="16"/>
        </w:rPr>
        <w:t> </w:t>
      </w:r>
      <w:r>
        <w:rPr>
          <w:color w:val="231F20"/>
        </w:rPr>
        <w:t>eerste</w:t>
      </w:r>
      <w:r>
        <w:rPr>
          <w:color w:val="231F20"/>
          <w:spacing w:val="16"/>
        </w:rPr>
        <w:t> </w:t>
      </w:r>
      <w:r>
        <w:rPr>
          <w:color w:val="231F20"/>
        </w:rPr>
        <w:t>lid</w:t>
      </w:r>
      <w:r>
        <w:rPr>
          <w:color w:val="231F20"/>
          <w:spacing w:val="17"/>
        </w:rPr>
        <w:t> </w:t>
      </w:r>
      <w:r>
        <w:rPr>
          <w:color w:val="231F20"/>
        </w:rPr>
        <w:t>bestaat.</w:t>
      </w:r>
    </w:p>
    <w:p>
      <w:pPr>
        <w:pStyle w:val="BodyText"/>
        <w:spacing w:before="10"/>
        <w:ind w:left="0" w:right="0" w:firstLine="0"/>
        <w:jc w:val="left"/>
      </w:pPr>
    </w:p>
    <w:p>
      <w:pPr>
        <w:pStyle w:val="BodyText"/>
        <w:spacing w:line="218" w:lineRule="auto"/>
      </w:pPr>
      <w:r>
        <w:rPr>
          <w:color w:val="231F20"/>
        </w:rPr>
        <w:t>Het lid met een belangenconflict als bedoeld in het eerste lid mag</w:t>
      </w:r>
      <w:r>
        <w:rPr>
          <w:color w:val="231F20"/>
          <w:spacing w:val="-13"/>
        </w:rPr>
        <w:t> </w:t>
      </w:r>
      <w:r>
        <w:rPr>
          <w:color w:val="231F20"/>
        </w:rPr>
        <w:t>niet deelnemen aan de beraadslagingen van het directiecomité over deze verrichtingen of beslissingen, noch aan de stemming in dat verband. </w:t>
      </w:r>
      <w:r>
        <w:rPr>
          <w:color w:val="231F20"/>
          <w:spacing w:val="-3"/>
        </w:rPr>
        <w:t>Wanneer </w:t>
      </w:r>
      <w:r>
        <w:rPr>
          <w:color w:val="231F20"/>
        </w:rPr>
        <w:t>alle leden een belangenconflict hebben, wordt de beslissing of de verrichting aan de raad van bestuur voorgelegd; ingeval de raad van bestuur de beslissing of de verrichting goedkeurt, kan het directieco- mité ze</w:t>
      </w:r>
      <w:r>
        <w:rPr>
          <w:color w:val="231F20"/>
          <w:spacing w:val="-11"/>
        </w:rPr>
        <w:t> </w:t>
      </w:r>
      <w:r>
        <w:rPr>
          <w:color w:val="231F20"/>
        </w:rPr>
        <w:t>uitvoeren.</w:t>
      </w:r>
    </w:p>
    <w:p>
      <w:pPr>
        <w:pStyle w:val="BodyText"/>
        <w:spacing w:before="10"/>
        <w:ind w:left="0" w:right="0" w:firstLine="0"/>
        <w:jc w:val="left"/>
      </w:pPr>
    </w:p>
    <w:p>
      <w:pPr>
        <w:pStyle w:val="BodyText"/>
        <w:spacing w:line="218" w:lineRule="auto"/>
      </w:pPr>
      <w:r>
        <w:rPr>
          <w:color w:val="231F20"/>
        </w:rPr>
        <w:t>§ 2. Onverminderd het recht voor de in de artikelen 2:44 en 2:46 van het Wetboek van vennootschappen en verenigingen genoemde perso- nen om de nietigheid of de opschorting van het besluit van het directiecomité te vorderen, kan de verzekerings- of herverzekeringson- derneming de nietigheid vorderen van besluiten of verrichtingen die hebben plaatsgevonden met overtreding van de in dit artikel bepaalde regels, indien de wederpartij bij die beslissingen of verrichtingen van die overtreding op de hoogte was of had moeten zijn.</w:t>
      </w:r>
    </w:p>
    <w:p>
      <w:pPr>
        <w:pStyle w:val="BodyText"/>
        <w:spacing w:before="10"/>
        <w:ind w:left="0" w:right="0" w:firstLine="0"/>
        <w:jc w:val="left"/>
      </w:pPr>
    </w:p>
    <w:p>
      <w:pPr>
        <w:pStyle w:val="BodyText"/>
        <w:spacing w:line="218" w:lineRule="auto"/>
        <w:ind w:right="123"/>
      </w:pPr>
      <w:r>
        <w:rPr>
          <w:color w:val="231F20"/>
        </w:rPr>
        <w:t>§ 3. Paragraaf 1 is niet van toepassing wanneer de beslissingen of verrichtingen die tot de bevoegdheid behoren van het directiecomité, betrekking hebben op beslissingen of verrichtingen die tot stand zijn gekomen tussen vennootschappen, waaronder de verzekerings- of herverzekeringsonderneming, waarvan de ene rechtstreeks of onrecht- streeks</w:t>
      </w:r>
      <w:r>
        <w:rPr>
          <w:color w:val="231F20"/>
          <w:spacing w:val="-4"/>
        </w:rPr>
        <w:t> </w:t>
      </w:r>
      <w:r>
        <w:rPr>
          <w:color w:val="231F20"/>
        </w:rPr>
        <w:t>ten</w:t>
      </w:r>
      <w:r>
        <w:rPr>
          <w:color w:val="231F20"/>
          <w:spacing w:val="-4"/>
        </w:rPr>
        <w:t> </w:t>
      </w:r>
      <w:r>
        <w:rPr>
          <w:color w:val="231F20"/>
        </w:rPr>
        <w:t>minste</w:t>
      </w:r>
      <w:r>
        <w:rPr>
          <w:color w:val="231F20"/>
          <w:spacing w:val="-4"/>
        </w:rPr>
        <w:t> </w:t>
      </w:r>
      <w:r>
        <w:rPr>
          <w:color w:val="231F20"/>
        </w:rPr>
        <w:t>95</w:t>
      </w:r>
      <w:r>
        <w:rPr>
          <w:color w:val="231F20"/>
          <w:spacing w:val="-4"/>
        </w:rPr>
        <w:t> </w:t>
      </w:r>
      <w:r>
        <w:rPr>
          <w:color w:val="231F20"/>
        </w:rPr>
        <w:t>%</w:t>
      </w:r>
      <w:r>
        <w:rPr>
          <w:color w:val="231F20"/>
          <w:spacing w:val="-3"/>
        </w:rPr>
        <w:t> </w:t>
      </w:r>
      <w:r>
        <w:rPr>
          <w:color w:val="231F20"/>
        </w:rPr>
        <w:t>bezit</w:t>
      </w:r>
      <w:r>
        <w:rPr>
          <w:color w:val="231F20"/>
          <w:spacing w:val="-4"/>
        </w:rPr>
        <w:t> </w:t>
      </w:r>
      <w:r>
        <w:rPr>
          <w:color w:val="231F20"/>
        </w:rPr>
        <w:t>van</w:t>
      </w:r>
      <w:r>
        <w:rPr>
          <w:color w:val="231F20"/>
          <w:spacing w:val="-4"/>
        </w:rPr>
        <w:t> </w:t>
      </w:r>
      <w:r>
        <w:rPr>
          <w:color w:val="231F20"/>
        </w:rPr>
        <w:t>de</w:t>
      </w:r>
      <w:r>
        <w:rPr>
          <w:color w:val="231F20"/>
          <w:spacing w:val="-4"/>
        </w:rPr>
        <w:t> </w:t>
      </w:r>
      <w:r>
        <w:rPr>
          <w:color w:val="231F20"/>
        </w:rPr>
        <w:t>stemmen</w:t>
      </w:r>
      <w:r>
        <w:rPr>
          <w:color w:val="231F20"/>
          <w:spacing w:val="-3"/>
        </w:rPr>
        <w:t> </w:t>
      </w:r>
      <w:r>
        <w:rPr>
          <w:color w:val="231F20"/>
        </w:rPr>
        <w:t>verbonden</w:t>
      </w:r>
      <w:r>
        <w:rPr>
          <w:color w:val="231F20"/>
          <w:spacing w:val="-4"/>
        </w:rPr>
        <w:t> </w:t>
      </w:r>
      <w:r>
        <w:rPr>
          <w:color w:val="231F20"/>
        </w:rPr>
        <w:t>aan</w:t>
      </w:r>
      <w:r>
        <w:rPr>
          <w:color w:val="231F20"/>
          <w:spacing w:val="-4"/>
        </w:rPr>
        <w:t> </w:t>
      </w:r>
      <w:r>
        <w:rPr>
          <w:color w:val="231F20"/>
        </w:rPr>
        <w:t>het</w:t>
      </w:r>
      <w:r>
        <w:rPr>
          <w:color w:val="231F20"/>
          <w:spacing w:val="-4"/>
        </w:rPr>
        <w:t> </w:t>
      </w:r>
      <w:r>
        <w:rPr>
          <w:color w:val="231F20"/>
        </w:rPr>
        <w:t>geheel van de door de andere uitgegeven effecten, dan wel tussen vennoot- schappen, waaronder de verzekerings- of herverzekeringsonderne- ming, waarvan ten minste 95 % van de stemmen verbonden aan het geheel van de door elk van hen uitgegeven effecten in het bezit zijn van een andere</w:t>
      </w:r>
      <w:r>
        <w:rPr>
          <w:color w:val="231F20"/>
          <w:spacing w:val="-11"/>
        </w:rPr>
        <w:t> </w:t>
      </w:r>
      <w:r>
        <w:rPr>
          <w:color w:val="231F20"/>
        </w:rPr>
        <w:t>vennootschap.</w:t>
      </w:r>
    </w:p>
    <w:p>
      <w:pPr>
        <w:pStyle w:val="BodyText"/>
        <w:spacing w:before="9"/>
        <w:ind w:left="0" w:right="0" w:firstLine="0"/>
        <w:jc w:val="left"/>
        <w:rPr>
          <w:sz w:val="18"/>
        </w:rPr>
      </w:pPr>
    </w:p>
    <w:p>
      <w:pPr>
        <w:pStyle w:val="BodyText"/>
        <w:spacing w:line="218" w:lineRule="auto" w:before="1"/>
        <w:ind w:right="123"/>
      </w:pPr>
      <w:r>
        <w:rPr>
          <w:color w:val="231F20"/>
        </w:rPr>
        <w:t>Bovendien is paragraaf 1 niet van toepassing wanneer de beslissin- gen van het directiecomité betrekking hebben op gebruikelijke verrich- tingen die plaatshebben onder de voorwaarden en tegen de zekerheden die op de markt gewoonlijk gelden voor soortgelijke verrichtingen.”.</w:t>
      </w:r>
    </w:p>
    <w:p>
      <w:pPr>
        <w:spacing w:after="0" w:line="218" w:lineRule="auto"/>
        <w:sectPr>
          <w:pgSz w:w="11940" w:h="16880"/>
          <w:pgMar w:header="666" w:footer="0" w:top="1140" w:bottom="280" w:left="340" w:right="360"/>
          <w:cols w:num="2" w:equalWidth="0">
            <w:col w:w="5554" w:space="74"/>
            <w:col w:w="5612"/>
          </w:cols>
        </w:sectPr>
      </w:pPr>
    </w:p>
    <w:p>
      <w:pPr>
        <w:pStyle w:val="BodyText"/>
        <w:spacing w:line="232" w:lineRule="auto" w:before="108"/>
        <w:ind w:left="509" w:right="434" w:hanging="1"/>
        <w:jc w:val="center"/>
      </w:pPr>
      <w:r>
        <w:rPr/>
        <w:pict>
          <v:line style="position:absolute;mso-position-horizontal-relative:page;mso-position-vertical-relative:page;z-index:7912" from="298.170502pt,64.473pt" to="298.170502pt,812.819pt" stroked="true" strokeweight=".533pt" strokecolor="#231f20">
            <v:stroke dashstyle="solid"/>
            <w10:wrap type="none"/>
          </v:line>
        </w:pict>
      </w:r>
      <w:bookmarkStart w:name="_bookmark287" w:id="293"/>
      <w:bookmarkEnd w:id="293"/>
      <w:r>
        <w:rPr/>
      </w:r>
      <w:r>
        <w:rPr>
          <w:rFonts w:ascii="Times New Roman" w:hAnsi="Times New Roman"/>
          <w:i/>
          <w:color w:val="231F20"/>
        </w:rPr>
        <w:t>Section VIII. </w:t>
      </w:r>
      <w:r>
        <w:rPr>
          <w:i/>
          <w:color w:val="231F20"/>
        </w:rPr>
        <w:t>— </w:t>
      </w:r>
      <w:r>
        <w:rPr>
          <w:color w:val="231F20"/>
        </w:rPr>
        <w:t>Modification de la loi du 20 juillet 1955 portant institution d’un Conseil national de la Coopération.</w:t>
      </w:r>
    </w:p>
    <w:p>
      <w:pPr>
        <w:pStyle w:val="BodyText"/>
        <w:spacing w:line="218" w:lineRule="auto" w:before="154"/>
        <w:ind w:right="38"/>
      </w:pPr>
      <w:r>
        <w:rPr>
          <w:rFonts w:ascii="Times New Roman" w:hAnsi="Times New Roman"/>
          <w:b/>
          <w:color w:val="231F20"/>
        </w:rPr>
        <w:t>Art. 24. </w:t>
      </w:r>
      <w:r>
        <w:rPr>
          <w:color w:val="231F20"/>
        </w:rPr>
        <w:t>L’intitulé de la loi du 20 juillet 1955 portant institution d’un Conseil national de la Coopération est remplacé par ce qui suit:</w:t>
      </w:r>
    </w:p>
    <w:p>
      <w:pPr>
        <w:pStyle w:val="BodyText"/>
        <w:spacing w:before="8"/>
        <w:ind w:left="0" w:right="0" w:firstLine="0"/>
        <w:jc w:val="left"/>
        <w:rPr>
          <w:sz w:val="26"/>
        </w:rPr>
      </w:pPr>
    </w:p>
    <w:p>
      <w:pPr>
        <w:pStyle w:val="BodyText"/>
        <w:spacing w:line="218" w:lineRule="auto"/>
        <w:ind w:right="38"/>
      </w:pPr>
      <w:r>
        <w:rPr>
          <w:color w:val="231F20"/>
        </w:rPr>
        <w:t>« Loi du 20 juillet 1955 portant institution d’un Conseil national de la Coopération, de l’Entrepreunariat social et de l’entreprise Agricole ».</w:t>
      </w:r>
    </w:p>
    <w:p>
      <w:pPr>
        <w:pStyle w:val="BodyText"/>
        <w:spacing w:before="2"/>
        <w:ind w:left="0" w:right="0" w:firstLine="0"/>
        <w:jc w:val="left"/>
        <w:rPr>
          <w:sz w:val="29"/>
        </w:rPr>
      </w:pPr>
    </w:p>
    <w:p>
      <w:pPr>
        <w:pStyle w:val="BodyText"/>
        <w:spacing w:line="218" w:lineRule="auto" w:before="1"/>
        <w:ind w:right="38"/>
      </w:pPr>
      <w:r>
        <w:rPr>
          <w:rFonts w:ascii="Times New Roman" w:hAnsi="Times New Roman"/>
          <w:b/>
          <w:color w:val="231F20"/>
        </w:rPr>
        <w:t>Art. 25. </w:t>
      </w:r>
      <w:r>
        <w:rPr>
          <w:color w:val="231F20"/>
        </w:rPr>
        <w:t>Dans les articles 1</w:t>
      </w:r>
      <w:r>
        <w:rPr>
          <w:color w:val="231F20"/>
          <w:position w:val="7"/>
          <w:sz w:val="11"/>
        </w:rPr>
        <w:t>er</w:t>
      </w:r>
      <w:r>
        <w:rPr>
          <w:color w:val="231F20"/>
        </w:rPr>
        <w:t>, 1/1, 2, 3, 4, 4/1, 5 et 9 de la même loi, modifiés,</w:t>
      </w:r>
      <w:r>
        <w:rPr>
          <w:color w:val="231F20"/>
          <w:spacing w:val="-9"/>
        </w:rPr>
        <w:t> </w:t>
      </w:r>
      <w:r>
        <w:rPr>
          <w:color w:val="231F20"/>
        </w:rPr>
        <w:t>respectivement</w:t>
      </w:r>
      <w:r>
        <w:rPr>
          <w:color w:val="231F20"/>
          <w:spacing w:val="-9"/>
        </w:rPr>
        <w:t> </w:t>
      </w:r>
      <w:r>
        <w:rPr>
          <w:color w:val="231F20"/>
        </w:rPr>
        <w:t>remplacés</w:t>
      </w:r>
      <w:r>
        <w:rPr>
          <w:color w:val="231F20"/>
          <w:spacing w:val="-8"/>
        </w:rPr>
        <w:t> </w:t>
      </w:r>
      <w:r>
        <w:rPr>
          <w:color w:val="231F20"/>
        </w:rPr>
        <w:t>par</w:t>
      </w:r>
      <w:r>
        <w:rPr>
          <w:color w:val="231F20"/>
          <w:spacing w:val="-9"/>
        </w:rPr>
        <w:t> </w:t>
      </w:r>
      <w:r>
        <w:rPr>
          <w:color w:val="231F20"/>
        </w:rPr>
        <w:t>la</w:t>
      </w:r>
      <w:r>
        <w:rPr>
          <w:color w:val="231F20"/>
          <w:spacing w:val="-8"/>
        </w:rPr>
        <w:t> </w:t>
      </w:r>
      <w:r>
        <w:rPr>
          <w:color w:val="231F20"/>
        </w:rPr>
        <w:t>loi</w:t>
      </w:r>
      <w:r>
        <w:rPr>
          <w:color w:val="231F20"/>
          <w:spacing w:val="-9"/>
        </w:rPr>
        <w:t> </w:t>
      </w:r>
      <w:r>
        <w:rPr>
          <w:color w:val="231F20"/>
        </w:rPr>
        <w:t>du</w:t>
      </w:r>
      <w:r>
        <w:rPr>
          <w:color w:val="231F20"/>
          <w:spacing w:val="-9"/>
        </w:rPr>
        <w:t> </w:t>
      </w:r>
      <w:r>
        <w:rPr>
          <w:color w:val="231F20"/>
        </w:rPr>
        <w:t>12</w:t>
      </w:r>
      <w:r>
        <w:rPr>
          <w:color w:val="231F20"/>
          <w:spacing w:val="-8"/>
        </w:rPr>
        <w:t> </w:t>
      </w:r>
      <w:r>
        <w:rPr>
          <w:color w:val="231F20"/>
        </w:rPr>
        <w:t>juillet</w:t>
      </w:r>
      <w:r>
        <w:rPr>
          <w:color w:val="231F20"/>
          <w:spacing w:val="-9"/>
        </w:rPr>
        <w:t> </w:t>
      </w:r>
      <w:r>
        <w:rPr>
          <w:color w:val="231F20"/>
        </w:rPr>
        <w:t>2003,</w:t>
      </w:r>
      <w:r>
        <w:rPr>
          <w:color w:val="231F20"/>
          <w:spacing w:val="-8"/>
        </w:rPr>
        <w:t> </w:t>
      </w:r>
      <w:r>
        <w:rPr>
          <w:color w:val="231F20"/>
        </w:rPr>
        <w:t>les</w:t>
      </w:r>
      <w:r>
        <w:rPr>
          <w:color w:val="231F20"/>
          <w:spacing w:val="-9"/>
        </w:rPr>
        <w:t> </w:t>
      </w:r>
      <w:r>
        <w:rPr>
          <w:color w:val="231F20"/>
        </w:rPr>
        <w:t>mots</w:t>
      </w:r>
    </w:p>
    <w:p>
      <w:pPr>
        <w:pStyle w:val="BodyText"/>
        <w:spacing w:line="218" w:lineRule="auto"/>
        <w:ind w:right="38" w:hanging="1"/>
      </w:pPr>
      <w:r>
        <w:rPr>
          <w:color w:val="231F20"/>
        </w:rPr>
        <w:t>« Conseil national de la Coopération » sont chaque fois remplacés par les mots « Conseil national de la Coopération, de l’Entrepreneuriat social et de l’entreprise Agricole ».</w:t>
      </w:r>
    </w:p>
    <w:p>
      <w:pPr>
        <w:pStyle w:val="BodyText"/>
        <w:spacing w:line="232" w:lineRule="auto" w:before="158"/>
        <w:ind w:left="162" w:right="87" w:hanging="1"/>
        <w:jc w:val="center"/>
      </w:pPr>
      <w:r>
        <w:rPr>
          <w:rFonts w:ascii="Times New Roman" w:hAnsi="Times New Roman"/>
          <w:i/>
          <w:color w:val="231F20"/>
        </w:rPr>
        <w:t>Section IX. </w:t>
      </w:r>
      <w:r>
        <w:rPr>
          <w:i/>
          <w:color w:val="231F20"/>
        </w:rPr>
        <w:t>— </w:t>
      </w:r>
      <w:r>
        <w:rPr>
          <w:color w:val="231F20"/>
        </w:rPr>
        <w:t>Modification de la loi du 6 mai 1999  visant  à promouvoir</w:t>
      </w:r>
      <w:r>
        <w:rPr>
          <w:color w:val="231F20"/>
          <w:spacing w:val="17"/>
        </w:rPr>
        <w:t> </w:t>
      </w:r>
      <w:r>
        <w:rPr>
          <w:color w:val="231F20"/>
        </w:rPr>
        <w:t>la</w:t>
      </w:r>
      <w:r>
        <w:rPr>
          <w:color w:val="231F20"/>
          <w:spacing w:val="17"/>
        </w:rPr>
        <w:t> </w:t>
      </w:r>
      <w:r>
        <w:rPr>
          <w:color w:val="231F20"/>
        </w:rPr>
        <w:t>création</w:t>
      </w:r>
      <w:r>
        <w:rPr>
          <w:color w:val="231F20"/>
          <w:spacing w:val="17"/>
        </w:rPr>
        <w:t> </w:t>
      </w:r>
      <w:r>
        <w:rPr>
          <w:color w:val="231F20"/>
        </w:rPr>
        <w:t>de</w:t>
      </w:r>
      <w:r>
        <w:rPr>
          <w:color w:val="231F20"/>
          <w:spacing w:val="17"/>
        </w:rPr>
        <w:t> </w:t>
      </w:r>
      <w:r>
        <w:rPr>
          <w:color w:val="231F20"/>
        </w:rPr>
        <w:t>sociétés</w:t>
      </w:r>
      <w:r>
        <w:rPr>
          <w:color w:val="231F20"/>
          <w:spacing w:val="17"/>
        </w:rPr>
        <w:t> </w:t>
      </w:r>
      <w:r>
        <w:rPr>
          <w:color w:val="231F20"/>
        </w:rPr>
        <w:t>civiles</w:t>
      </w:r>
      <w:r>
        <w:rPr>
          <w:color w:val="231F20"/>
          <w:spacing w:val="18"/>
        </w:rPr>
        <w:t> </w:t>
      </w:r>
      <w:r>
        <w:rPr>
          <w:color w:val="231F20"/>
        </w:rPr>
        <w:t>de</w:t>
      </w:r>
      <w:r>
        <w:rPr>
          <w:color w:val="231F20"/>
          <w:spacing w:val="17"/>
        </w:rPr>
        <w:t> </w:t>
      </w:r>
      <w:r>
        <w:rPr>
          <w:color w:val="231F20"/>
        </w:rPr>
        <w:t>groupements</w:t>
      </w:r>
      <w:r>
        <w:rPr>
          <w:color w:val="231F20"/>
          <w:spacing w:val="17"/>
        </w:rPr>
        <w:t> </w:t>
      </w:r>
      <w:r>
        <w:rPr>
          <w:color w:val="231F20"/>
        </w:rPr>
        <w:t>forestiers.</w:t>
      </w:r>
    </w:p>
    <w:p>
      <w:pPr>
        <w:pStyle w:val="BodyText"/>
        <w:spacing w:line="218" w:lineRule="auto" w:before="155"/>
        <w:ind w:right="38"/>
      </w:pPr>
      <w:r>
        <w:rPr>
          <w:rFonts w:ascii="Times New Roman" w:hAnsi="Times New Roman"/>
          <w:b/>
          <w:color w:val="231F20"/>
        </w:rPr>
        <w:t>Art. 26. </w:t>
      </w:r>
      <w:r>
        <w:rPr>
          <w:color w:val="231F20"/>
        </w:rPr>
        <w:t>L’article 2 de la loi du 6 mai 1999 visant à promouvoir la création de sociétés civiles de groupements forestiers est remplacé par ce qui suit:</w:t>
      </w:r>
    </w:p>
    <w:p>
      <w:pPr>
        <w:pStyle w:val="BodyText"/>
        <w:spacing w:line="218" w:lineRule="auto" w:before="128"/>
        <w:ind w:right="38"/>
      </w:pPr>
      <w:r>
        <w:rPr>
          <w:color w:val="231F20"/>
        </w:rPr>
        <w:t>« Pour l’application de la présente loi, on entend par groupement forestier toute société visée à l’article 8:1 du Code des sociétés et des associations. ».</w:t>
      </w:r>
    </w:p>
    <w:p>
      <w:pPr>
        <w:spacing w:before="154"/>
        <w:ind w:left="604" w:right="0" w:firstLine="0"/>
        <w:jc w:val="left"/>
        <w:rPr>
          <w:sz w:val="17"/>
        </w:rPr>
      </w:pPr>
      <w:r>
        <w:rPr>
          <w:rFonts w:ascii="Times New Roman" w:hAnsi="Times New Roman"/>
          <w:i/>
          <w:color w:val="231F20"/>
          <w:sz w:val="17"/>
        </w:rPr>
        <w:t>Section X. </w:t>
      </w:r>
      <w:r>
        <w:rPr>
          <w:i/>
          <w:color w:val="231F20"/>
          <w:sz w:val="17"/>
        </w:rPr>
        <w:t>— </w:t>
      </w:r>
      <w:r>
        <w:rPr>
          <w:color w:val="231F20"/>
          <w:sz w:val="17"/>
        </w:rPr>
        <w:t>Modification du Code de droit économique.</w:t>
      </w:r>
    </w:p>
    <w:p>
      <w:pPr>
        <w:pStyle w:val="BodyText"/>
        <w:spacing w:line="218" w:lineRule="auto" w:before="141"/>
        <w:ind w:right="38"/>
      </w:pPr>
      <w:r>
        <w:rPr>
          <w:rFonts w:ascii="Times New Roman" w:hAnsi="Times New Roman"/>
          <w:b/>
          <w:color w:val="231F20"/>
        </w:rPr>
        <w:t>Art. 27. </w:t>
      </w:r>
      <w:r>
        <w:rPr>
          <w:color w:val="231F20"/>
        </w:rPr>
        <w:t>L’article I.1, alinéa 1</w:t>
      </w:r>
      <w:r>
        <w:rPr>
          <w:color w:val="231F20"/>
          <w:position w:val="7"/>
          <w:sz w:val="11"/>
        </w:rPr>
        <w:t>er</w:t>
      </w:r>
      <w:r>
        <w:rPr>
          <w:color w:val="231F20"/>
        </w:rPr>
        <w:t>, du Code de droit économique est complété par les 16° et 17° rédigés comme suit:</w:t>
      </w:r>
    </w:p>
    <w:p>
      <w:pPr>
        <w:pStyle w:val="BodyText"/>
        <w:spacing w:line="218" w:lineRule="auto" w:before="129"/>
        <w:ind w:right="38"/>
      </w:pPr>
      <w:r>
        <w:rPr>
          <w:color w:val="231F20"/>
        </w:rPr>
        <w:t>« 16° </w:t>
      </w:r>
      <w:r>
        <w:rPr>
          <w:color w:val="231F20"/>
          <w:spacing w:val="-3"/>
        </w:rPr>
        <w:t>chiffre </w:t>
      </w:r>
      <w:r>
        <w:rPr>
          <w:color w:val="231F20"/>
        </w:rPr>
        <w:t>d’affaires pour les entreprises qui tiennent une compta- bilité simplifiée en application de l’article III.85, le montant des</w:t>
      </w:r>
      <w:r>
        <w:rPr>
          <w:color w:val="231F20"/>
          <w:spacing w:val="-20"/>
        </w:rPr>
        <w:t> </w:t>
      </w:r>
      <w:r>
        <w:rPr>
          <w:color w:val="231F20"/>
        </w:rPr>
        <w:t>recettes autres que non</w:t>
      </w:r>
      <w:r>
        <w:rPr>
          <w:color w:val="231F20"/>
          <w:spacing w:val="2"/>
        </w:rPr>
        <w:t> </w:t>
      </w:r>
      <w:r>
        <w:rPr>
          <w:color w:val="231F20"/>
        </w:rPr>
        <w:t>récurrente;</w:t>
      </w:r>
    </w:p>
    <w:p>
      <w:pPr>
        <w:pStyle w:val="BodyText"/>
        <w:spacing w:line="218" w:lineRule="auto" w:before="128"/>
        <w:ind w:right="38"/>
      </w:pPr>
      <w:r>
        <w:rPr>
          <w:color w:val="231F20"/>
        </w:rPr>
        <w:t>17° total du bilan pour les entreprises qui tiennent une comptabilité simplifiée en application de l’article III.85, le plus grand des deux montants figurant sous les avoirs et les dettes. ».</w:t>
      </w:r>
    </w:p>
    <w:p>
      <w:pPr>
        <w:pStyle w:val="BodyText"/>
        <w:spacing w:line="218" w:lineRule="auto" w:before="166"/>
        <w:ind w:right="38"/>
      </w:pPr>
      <w:r>
        <w:rPr>
          <w:rFonts w:ascii="Times New Roman" w:hAnsi="Times New Roman"/>
          <w:b/>
          <w:color w:val="231F20"/>
        </w:rPr>
        <w:t>Art. 28. </w:t>
      </w:r>
      <w:r>
        <w:rPr>
          <w:color w:val="231F20"/>
        </w:rPr>
        <w:t>Dans l’article III.82, § 1</w:t>
      </w:r>
      <w:r>
        <w:rPr>
          <w:color w:val="231F20"/>
          <w:position w:val="7"/>
          <w:sz w:val="11"/>
        </w:rPr>
        <w:t>er</w:t>
      </w:r>
      <w:r>
        <w:rPr>
          <w:color w:val="231F20"/>
        </w:rPr>
        <w:t>, alinéa 2, 2°, du même Code, remplacé par la loi du 15 avril 2018, les mots “les entreprises qui ont pour but l’objet l’exploitation d’une entreprise agricole ou horticole à l’exception des entreprises qui sont soumises à l’impôt des sociétés” sont remplacés par les mots “les entreprises agricoles agréées confor- mément l’article 8:2 du Code des sociétés et des associations qui ont pris la forme d’une société en nom collectif ou d’une société en commandite et qui sont assujetties à l’impôt des personnes physi-  ques. ».</w:t>
      </w:r>
    </w:p>
    <w:p>
      <w:pPr>
        <w:pStyle w:val="BodyText"/>
        <w:spacing w:before="9"/>
        <w:ind w:left="0" w:right="0" w:firstLine="0"/>
        <w:jc w:val="left"/>
        <w:rPr>
          <w:sz w:val="15"/>
        </w:rPr>
      </w:pPr>
    </w:p>
    <w:p>
      <w:pPr>
        <w:pStyle w:val="BodyText"/>
        <w:spacing w:line="218" w:lineRule="auto"/>
        <w:ind w:right="38"/>
      </w:pPr>
      <w:r>
        <w:rPr>
          <w:rFonts w:ascii="Times New Roman" w:hAnsi="Times New Roman"/>
          <w:b/>
          <w:color w:val="231F20"/>
        </w:rPr>
        <w:t>Art. 29. </w:t>
      </w:r>
      <w:r>
        <w:rPr>
          <w:color w:val="231F20"/>
        </w:rPr>
        <w:t>L’article III.85, §  2,  du  même  Code,  inséré  par  la  loi</w:t>
      </w:r>
      <w:r>
        <w:rPr>
          <w:color w:val="231F20"/>
          <w:spacing w:val="17"/>
        </w:rPr>
        <w:t> </w:t>
      </w:r>
      <w:r>
        <w:rPr>
          <w:color w:val="231F20"/>
        </w:rPr>
        <w:t>du 15</w:t>
      </w:r>
      <w:r>
        <w:rPr>
          <w:color w:val="231F20"/>
          <w:spacing w:val="14"/>
        </w:rPr>
        <w:t> </w:t>
      </w:r>
      <w:r>
        <w:rPr>
          <w:color w:val="231F20"/>
        </w:rPr>
        <w:t>avril</w:t>
      </w:r>
      <w:r>
        <w:rPr>
          <w:color w:val="231F20"/>
          <w:spacing w:val="14"/>
        </w:rPr>
        <w:t> </w:t>
      </w:r>
      <w:r>
        <w:rPr>
          <w:color w:val="231F20"/>
        </w:rPr>
        <w:t>2018,</w:t>
      </w:r>
      <w:r>
        <w:rPr>
          <w:color w:val="231F20"/>
          <w:spacing w:val="15"/>
        </w:rPr>
        <w:t> </w:t>
      </w:r>
      <w:r>
        <w:rPr>
          <w:color w:val="231F20"/>
        </w:rPr>
        <w:t>est</w:t>
      </w:r>
      <w:r>
        <w:rPr>
          <w:color w:val="231F20"/>
          <w:spacing w:val="14"/>
        </w:rPr>
        <w:t> </w:t>
      </w:r>
      <w:r>
        <w:rPr>
          <w:color w:val="231F20"/>
        </w:rPr>
        <w:t>remplacé</w:t>
      </w:r>
      <w:r>
        <w:rPr>
          <w:color w:val="231F20"/>
          <w:spacing w:val="14"/>
        </w:rPr>
        <w:t> </w:t>
      </w:r>
      <w:r>
        <w:rPr>
          <w:color w:val="231F20"/>
        </w:rPr>
        <w:t>par</w:t>
      </w:r>
      <w:r>
        <w:rPr>
          <w:color w:val="231F20"/>
          <w:spacing w:val="15"/>
        </w:rPr>
        <w:t> </w:t>
      </w:r>
      <w:r>
        <w:rPr>
          <w:color w:val="231F20"/>
        </w:rPr>
        <w:t>ce</w:t>
      </w:r>
      <w:r>
        <w:rPr>
          <w:color w:val="231F20"/>
          <w:spacing w:val="14"/>
        </w:rPr>
        <w:t> </w:t>
      </w:r>
      <w:r>
        <w:rPr>
          <w:color w:val="231F20"/>
        </w:rPr>
        <w:t>qui</w:t>
      </w:r>
      <w:r>
        <w:rPr>
          <w:color w:val="231F20"/>
          <w:spacing w:val="14"/>
        </w:rPr>
        <w:t> </w:t>
      </w:r>
      <w:r>
        <w:rPr>
          <w:color w:val="231F20"/>
        </w:rPr>
        <w:t>suit</w:t>
      </w:r>
      <w:r>
        <w:rPr>
          <w:color w:val="231F20"/>
          <w:spacing w:val="1"/>
        </w:rPr>
        <w:t> </w:t>
      </w:r>
      <w:r>
        <w:rPr>
          <w:color w:val="231F20"/>
        </w:rPr>
        <w:t>:</w:t>
      </w:r>
    </w:p>
    <w:p>
      <w:pPr>
        <w:pStyle w:val="BodyText"/>
        <w:spacing w:line="218" w:lineRule="auto" w:before="139"/>
        <w:ind w:right="38"/>
      </w:pPr>
      <w:r>
        <w:rPr>
          <w:color w:val="231F20"/>
        </w:rPr>
        <w:t>« § 2. Les associations sans but lucratif, les fondations et les associations internationales sans but lucratif qui n’excèdent pas un des critères</w:t>
      </w:r>
      <w:r>
        <w:rPr>
          <w:color w:val="231F20"/>
          <w:spacing w:val="-6"/>
        </w:rPr>
        <w:t> </w:t>
      </w:r>
      <w:r>
        <w:rPr>
          <w:color w:val="231F20"/>
        </w:rPr>
        <w:t>visés</w:t>
      </w:r>
      <w:r>
        <w:rPr>
          <w:color w:val="231F20"/>
          <w:spacing w:val="-5"/>
        </w:rPr>
        <w:t> </w:t>
      </w:r>
      <w:r>
        <w:rPr>
          <w:color w:val="231F20"/>
        </w:rPr>
        <w:t>au</w:t>
      </w:r>
      <w:r>
        <w:rPr>
          <w:color w:val="231F20"/>
          <w:spacing w:val="-5"/>
        </w:rPr>
        <w:t> </w:t>
      </w:r>
      <w:r>
        <w:rPr>
          <w:color w:val="231F20"/>
        </w:rPr>
        <w:t>paragraphe</w:t>
      </w:r>
      <w:r>
        <w:rPr>
          <w:color w:val="231F20"/>
          <w:spacing w:val="-5"/>
        </w:rPr>
        <w:t> </w:t>
      </w:r>
      <w:r>
        <w:rPr>
          <w:color w:val="231F20"/>
        </w:rPr>
        <w:t>2</w:t>
      </w:r>
      <w:r>
        <w:rPr>
          <w:color w:val="231F20"/>
          <w:spacing w:val="-5"/>
        </w:rPr>
        <w:t> </w:t>
      </w:r>
      <w:r>
        <w:rPr>
          <w:color w:val="231F20"/>
        </w:rPr>
        <w:t>des</w:t>
      </w:r>
      <w:r>
        <w:rPr>
          <w:color w:val="231F20"/>
          <w:spacing w:val="-5"/>
        </w:rPr>
        <w:t> </w:t>
      </w:r>
      <w:r>
        <w:rPr>
          <w:color w:val="231F20"/>
        </w:rPr>
        <w:t>articles</w:t>
      </w:r>
      <w:r>
        <w:rPr>
          <w:color w:val="231F20"/>
          <w:spacing w:val="-5"/>
        </w:rPr>
        <w:t> </w:t>
      </w:r>
      <w:r>
        <w:rPr>
          <w:color w:val="231F20"/>
        </w:rPr>
        <w:t>respectifs</w:t>
      </w:r>
      <w:r>
        <w:rPr>
          <w:color w:val="231F20"/>
          <w:spacing w:val="-5"/>
        </w:rPr>
        <w:t> </w:t>
      </w:r>
      <w:r>
        <w:rPr>
          <w:color w:val="231F20"/>
        </w:rPr>
        <w:t>3:47</w:t>
      </w:r>
      <w:r>
        <w:rPr>
          <w:color w:val="231F20"/>
          <w:spacing w:val="-5"/>
        </w:rPr>
        <w:t> </w:t>
      </w:r>
      <w:r>
        <w:rPr>
          <w:color w:val="231F20"/>
        </w:rPr>
        <w:t>et</w:t>
      </w:r>
      <w:r>
        <w:rPr>
          <w:color w:val="231F20"/>
          <w:spacing w:val="-5"/>
        </w:rPr>
        <w:t> </w:t>
      </w:r>
      <w:r>
        <w:rPr>
          <w:color w:val="231F20"/>
        </w:rPr>
        <w:t>3:51</w:t>
      </w:r>
      <w:r>
        <w:rPr>
          <w:color w:val="231F20"/>
          <w:spacing w:val="-5"/>
        </w:rPr>
        <w:t> </w:t>
      </w:r>
      <w:r>
        <w:rPr>
          <w:color w:val="231F20"/>
        </w:rPr>
        <w:t>du</w:t>
      </w:r>
      <w:r>
        <w:rPr>
          <w:color w:val="231F20"/>
          <w:spacing w:val="-5"/>
        </w:rPr>
        <w:t> </w:t>
      </w:r>
      <w:r>
        <w:rPr>
          <w:color w:val="231F20"/>
        </w:rPr>
        <w:t>Code des sociétés et des associations ne doivent pas tenir de comptabilité selon les prescrits des articles III.83 et III.84 lorsque les opérations se traduisant par des mouvements de disponibilités en espèces ou en comptes sont inscrites sans retard, de manière fidèle et complète et par ordre de date dans un livre comptable unique selon le modèle déterminé par le</w:t>
      </w:r>
      <w:r>
        <w:rPr>
          <w:color w:val="231F20"/>
          <w:spacing w:val="3"/>
        </w:rPr>
        <w:t> </w:t>
      </w:r>
      <w:r>
        <w:rPr>
          <w:color w:val="231F20"/>
        </w:rPr>
        <w:t>Roi. ».</w:t>
      </w:r>
    </w:p>
    <w:p>
      <w:pPr>
        <w:pStyle w:val="BodyText"/>
        <w:ind w:left="0" w:right="0" w:firstLine="0"/>
        <w:jc w:val="left"/>
        <w:rPr>
          <w:sz w:val="20"/>
        </w:rPr>
      </w:pPr>
    </w:p>
    <w:p>
      <w:pPr>
        <w:pStyle w:val="BodyText"/>
        <w:spacing w:line="218" w:lineRule="auto" w:before="128"/>
        <w:ind w:right="38"/>
      </w:pPr>
      <w:r>
        <w:rPr>
          <w:rFonts w:ascii="Times New Roman" w:hAnsi="Times New Roman"/>
          <w:b/>
          <w:color w:val="231F20"/>
        </w:rPr>
        <w:t>Art. 30. </w:t>
      </w:r>
      <w:r>
        <w:rPr>
          <w:color w:val="231F20"/>
        </w:rPr>
        <w:t>Dans l’article XX.225, § 2, du même Code, les mots « ou lorsqu’il s’agit d’une ASBL, AISBL ou fondation qui tient une compta- bilité simplifiée conformément aux articles 17, 37 et 53 de la loi du       27 juin 1921 sur les associations sans but lucratif, les fondations, les partis politiques européens et les fondations politiques européennes » sont</w:t>
      </w:r>
      <w:r>
        <w:rPr>
          <w:color w:val="231F20"/>
          <w:spacing w:val="15"/>
        </w:rPr>
        <w:t> </w:t>
      </w:r>
      <w:r>
        <w:rPr>
          <w:color w:val="231F20"/>
        </w:rPr>
        <w:t>supprimés.</w:t>
      </w:r>
    </w:p>
    <w:p>
      <w:pPr>
        <w:spacing w:before="165"/>
        <w:ind w:left="982" w:right="0" w:firstLine="0"/>
        <w:jc w:val="left"/>
        <w:rPr>
          <w:sz w:val="17"/>
        </w:rPr>
      </w:pPr>
      <w:r>
        <w:rPr>
          <w:rFonts w:ascii="Times New Roman" w:hAnsi="Times New Roman"/>
          <w:i/>
          <w:color w:val="231F20"/>
          <w:w w:val="105"/>
          <w:sz w:val="17"/>
        </w:rPr>
        <w:t>Section XI. </w:t>
      </w:r>
      <w:r>
        <w:rPr>
          <w:i/>
          <w:color w:val="231F20"/>
          <w:w w:val="105"/>
          <w:sz w:val="17"/>
        </w:rPr>
        <w:t>— </w:t>
      </w:r>
      <w:r>
        <w:rPr>
          <w:color w:val="231F20"/>
          <w:w w:val="105"/>
          <w:sz w:val="17"/>
        </w:rPr>
        <w:t>Des adaptations terminologiques.</w:t>
      </w:r>
    </w:p>
    <w:p>
      <w:pPr>
        <w:pStyle w:val="BodyText"/>
        <w:spacing w:line="218" w:lineRule="auto" w:before="165"/>
        <w:ind w:right="38"/>
      </w:pPr>
      <w:r>
        <w:rPr>
          <w:rFonts w:ascii="Times New Roman" w:hAnsi="Times New Roman"/>
          <w:b/>
          <w:color w:val="231F20"/>
        </w:rPr>
        <w:t>Art. 31. </w:t>
      </w:r>
      <w:r>
        <w:rPr>
          <w:color w:val="231F20"/>
        </w:rPr>
        <w:t>À compter de la date à laquelle la loi leur est applicable, la notion de « société agricole » visée à l’article 789 du Code de sociétés doit être comprise, dans toutes les lois, comme « société agréée comme entreprise agricole visée à l’article 8:2 du Code des sociétés et des associations ».</w:t>
      </w:r>
    </w:p>
    <w:p>
      <w:pPr>
        <w:pStyle w:val="BodyText"/>
        <w:spacing w:line="185" w:lineRule="exact" w:before="125"/>
        <w:ind w:left="283" w:right="0" w:firstLine="0"/>
        <w:jc w:val="left"/>
      </w:pPr>
      <w:r>
        <w:rPr>
          <w:color w:val="231F20"/>
        </w:rPr>
        <w:t>À</w:t>
      </w:r>
      <w:r>
        <w:rPr>
          <w:color w:val="231F20"/>
          <w:spacing w:val="29"/>
        </w:rPr>
        <w:t> </w:t>
      </w:r>
      <w:r>
        <w:rPr>
          <w:color w:val="231F20"/>
        </w:rPr>
        <w:t>compter</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date</w:t>
      </w:r>
      <w:r>
        <w:rPr>
          <w:color w:val="231F20"/>
          <w:spacing w:val="29"/>
        </w:rPr>
        <w:t> </w:t>
      </w:r>
      <w:r>
        <w:rPr>
          <w:color w:val="231F20"/>
        </w:rPr>
        <w:t>à</w:t>
      </w:r>
      <w:r>
        <w:rPr>
          <w:color w:val="231F20"/>
          <w:spacing w:val="29"/>
        </w:rPr>
        <w:t> </w:t>
      </w:r>
      <w:r>
        <w:rPr>
          <w:color w:val="231F20"/>
        </w:rPr>
        <w:t>laquelle</w:t>
      </w:r>
      <w:r>
        <w:rPr>
          <w:color w:val="231F20"/>
          <w:spacing w:val="29"/>
        </w:rPr>
        <w:t> </w:t>
      </w:r>
      <w:r>
        <w:rPr>
          <w:color w:val="231F20"/>
        </w:rPr>
        <w:t>la</w:t>
      </w:r>
      <w:r>
        <w:rPr>
          <w:color w:val="231F20"/>
          <w:spacing w:val="29"/>
        </w:rPr>
        <w:t> </w:t>
      </w:r>
      <w:r>
        <w:rPr>
          <w:color w:val="231F20"/>
        </w:rPr>
        <w:t>loi</w:t>
      </w:r>
      <w:r>
        <w:rPr>
          <w:color w:val="231F20"/>
          <w:spacing w:val="29"/>
        </w:rPr>
        <w:t> </w:t>
      </w:r>
      <w:r>
        <w:rPr>
          <w:color w:val="231F20"/>
        </w:rPr>
        <w:t>leur</w:t>
      </w:r>
      <w:r>
        <w:rPr>
          <w:color w:val="231F20"/>
          <w:spacing w:val="29"/>
        </w:rPr>
        <w:t> </w:t>
      </w:r>
      <w:r>
        <w:rPr>
          <w:color w:val="231F20"/>
        </w:rPr>
        <w:t>est</w:t>
      </w:r>
      <w:r>
        <w:rPr>
          <w:color w:val="231F20"/>
          <w:spacing w:val="29"/>
        </w:rPr>
        <w:t> </w:t>
      </w:r>
      <w:r>
        <w:rPr>
          <w:color w:val="231F20"/>
        </w:rPr>
        <w:t>applicable,</w:t>
      </w:r>
      <w:r>
        <w:rPr>
          <w:color w:val="231F20"/>
          <w:spacing w:val="29"/>
        </w:rPr>
        <w:t> </w:t>
      </w:r>
      <w:r>
        <w:rPr>
          <w:color w:val="231F20"/>
        </w:rPr>
        <w:t>les</w:t>
      </w:r>
      <w:r>
        <w:rPr>
          <w:color w:val="231F20"/>
          <w:spacing w:val="29"/>
        </w:rPr>
        <w:t> </w:t>
      </w:r>
      <w:r>
        <w:rPr>
          <w:color w:val="231F20"/>
        </w:rPr>
        <w:t>mots</w:t>
      </w:r>
    </w:p>
    <w:p>
      <w:pPr>
        <w:pStyle w:val="BodyText"/>
        <w:spacing w:line="218" w:lineRule="auto" w:before="5"/>
        <w:ind w:right="38" w:hanging="1"/>
      </w:pPr>
      <w:r>
        <w:rPr>
          <w:color w:val="231F20"/>
        </w:rPr>
        <w:t>« société en commandite simple », « société privée à responsabilité limitée</w:t>
      </w:r>
      <w:r>
        <w:rPr>
          <w:color w:val="231F20"/>
          <w:spacing w:val="-3"/>
        </w:rPr>
        <w:t> </w:t>
      </w:r>
      <w:r>
        <w:rPr>
          <w:color w:val="231F20"/>
        </w:rPr>
        <w:t>», </w:t>
      </w:r>
      <w:r>
        <w:rPr>
          <w:color w:val="231F20"/>
          <w:spacing w:val="23"/>
        </w:rPr>
        <w:t> </w:t>
      </w:r>
      <w:r>
        <w:rPr>
          <w:color w:val="231F20"/>
        </w:rPr>
        <w:t>«</w:t>
      </w:r>
      <w:r>
        <w:rPr>
          <w:color w:val="231F20"/>
          <w:spacing w:val="-2"/>
        </w:rPr>
        <w:t> </w:t>
      </w:r>
      <w:r>
        <w:rPr>
          <w:color w:val="231F20"/>
        </w:rPr>
        <w:t>société </w:t>
      </w:r>
      <w:r>
        <w:rPr>
          <w:color w:val="231F20"/>
          <w:spacing w:val="22"/>
        </w:rPr>
        <w:t> </w:t>
      </w:r>
      <w:r>
        <w:rPr>
          <w:color w:val="231F20"/>
        </w:rPr>
        <w:t>coopérative </w:t>
      </w:r>
      <w:r>
        <w:rPr>
          <w:color w:val="231F20"/>
          <w:spacing w:val="23"/>
        </w:rPr>
        <w:t> </w:t>
      </w:r>
      <w:r>
        <w:rPr>
          <w:color w:val="231F20"/>
        </w:rPr>
        <w:t>à </w:t>
      </w:r>
      <w:r>
        <w:rPr>
          <w:color w:val="231F20"/>
          <w:spacing w:val="23"/>
        </w:rPr>
        <w:t> </w:t>
      </w:r>
      <w:r>
        <w:rPr>
          <w:color w:val="231F20"/>
        </w:rPr>
        <w:t>responsabilité </w:t>
      </w:r>
      <w:r>
        <w:rPr>
          <w:color w:val="231F20"/>
          <w:spacing w:val="23"/>
        </w:rPr>
        <w:t> </w:t>
      </w:r>
      <w:r>
        <w:rPr>
          <w:color w:val="231F20"/>
        </w:rPr>
        <w:t>limitée</w:t>
      </w:r>
      <w:r>
        <w:rPr>
          <w:color w:val="231F20"/>
          <w:spacing w:val="-2"/>
        </w:rPr>
        <w:t> </w:t>
      </w:r>
      <w:r>
        <w:rPr>
          <w:color w:val="231F20"/>
        </w:rPr>
        <w:t>», </w:t>
      </w:r>
      <w:r>
        <w:rPr>
          <w:color w:val="231F20"/>
          <w:spacing w:val="22"/>
        </w:rPr>
        <w:t> </w:t>
      </w:r>
      <w:r>
        <w:rPr>
          <w:color w:val="231F20"/>
        </w:rPr>
        <w:t>«</w:t>
      </w:r>
      <w:r>
        <w:rPr>
          <w:color w:val="231F20"/>
          <w:spacing w:val="-2"/>
        </w:rPr>
        <w:t> </w:t>
      </w:r>
      <w:r>
        <w:rPr>
          <w:color w:val="231F20"/>
        </w:rPr>
        <w:t>SNC</w:t>
      </w:r>
      <w:r>
        <w:rPr>
          <w:color w:val="231F20"/>
          <w:spacing w:val="-2"/>
        </w:rPr>
        <w:t> </w:t>
      </w:r>
      <w:r>
        <w:rPr>
          <w:color w:val="231F20"/>
        </w:rPr>
        <w:t>»,</w:t>
      </w:r>
    </w:p>
    <w:p>
      <w:pPr>
        <w:pStyle w:val="BodyText"/>
        <w:spacing w:line="218" w:lineRule="auto"/>
        <w:ind w:right="38" w:firstLine="0"/>
      </w:pPr>
      <w:r>
        <w:rPr>
          <w:color w:val="231F20"/>
        </w:rPr>
        <w:t>«</w:t>
      </w:r>
      <w:r>
        <w:rPr>
          <w:color w:val="231F20"/>
          <w:spacing w:val="-5"/>
        </w:rPr>
        <w:t> </w:t>
      </w:r>
      <w:r>
        <w:rPr>
          <w:color w:val="231F20"/>
        </w:rPr>
        <w:t>SPRL</w:t>
      </w:r>
      <w:r>
        <w:rPr>
          <w:color w:val="231F20"/>
          <w:spacing w:val="-5"/>
        </w:rPr>
        <w:t> </w:t>
      </w:r>
      <w:r>
        <w:rPr>
          <w:color w:val="231F20"/>
        </w:rPr>
        <w:t>»</w:t>
      </w:r>
      <w:r>
        <w:rPr>
          <w:color w:val="231F20"/>
          <w:spacing w:val="-6"/>
        </w:rPr>
        <w:t> </w:t>
      </w:r>
      <w:r>
        <w:rPr>
          <w:color w:val="231F20"/>
        </w:rPr>
        <w:t>et</w:t>
      </w:r>
      <w:r>
        <w:rPr>
          <w:color w:val="231F20"/>
          <w:spacing w:val="-6"/>
        </w:rPr>
        <w:t> </w:t>
      </w:r>
      <w:r>
        <w:rPr>
          <w:color w:val="231F20"/>
        </w:rPr>
        <w:t>«</w:t>
      </w:r>
      <w:r>
        <w:rPr>
          <w:color w:val="231F20"/>
          <w:spacing w:val="-5"/>
        </w:rPr>
        <w:t> </w:t>
      </w:r>
      <w:r>
        <w:rPr>
          <w:color w:val="231F20"/>
        </w:rPr>
        <w:t>SCRL</w:t>
      </w:r>
      <w:r>
        <w:rPr>
          <w:color w:val="231F20"/>
          <w:spacing w:val="-4"/>
        </w:rPr>
        <w:t> </w:t>
      </w:r>
      <w:r>
        <w:rPr>
          <w:color w:val="231F20"/>
        </w:rPr>
        <w:t>»</w:t>
      </w:r>
      <w:r>
        <w:rPr>
          <w:color w:val="231F20"/>
          <w:spacing w:val="-7"/>
        </w:rPr>
        <w:t> </w:t>
      </w:r>
      <w:r>
        <w:rPr>
          <w:color w:val="231F20"/>
        </w:rPr>
        <w:t>sont</w:t>
      </w:r>
      <w:r>
        <w:rPr>
          <w:color w:val="231F20"/>
          <w:spacing w:val="-6"/>
        </w:rPr>
        <w:t> </w:t>
      </w:r>
      <w:r>
        <w:rPr>
          <w:color w:val="231F20"/>
        </w:rPr>
        <w:t>remplacés</w:t>
      </w:r>
      <w:r>
        <w:rPr>
          <w:color w:val="231F20"/>
          <w:spacing w:val="-6"/>
        </w:rPr>
        <w:t> </w:t>
      </w:r>
      <w:r>
        <w:rPr>
          <w:color w:val="231F20"/>
        </w:rPr>
        <w:t>dans</w:t>
      </w:r>
      <w:r>
        <w:rPr>
          <w:color w:val="231F20"/>
          <w:spacing w:val="-6"/>
        </w:rPr>
        <w:t> </w:t>
      </w:r>
      <w:r>
        <w:rPr>
          <w:color w:val="231F20"/>
        </w:rPr>
        <w:t>toutes</w:t>
      </w:r>
      <w:r>
        <w:rPr>
          <w:color w:val="231F20"/>
          <w:spacing w:val="-7"/>
        </w:rPr>
        <w:t> </w:t>
      </w:r>
      <w:r>
        <w:rPr>
          <w:color w:val="231F20"/>
        </w:rPr>
        <w:t>les</w:t>
      </w:r>
      <w:r>
        <w:rPr>
          <w:color w:val="231F20"/>
          <w:spacing w:val="-6"/>
        </w:rPr>
        <w:t> </w:t>
      </w:r>
      <w:r>
        <w:rPr>
          <w:color w:val="231F20"/>
        </w:rPr>
        <w:t>lois</w:t>
      </w:r>
      <w:r>
        <w:rPr>
          <w:color w:val="231F20"/>
          <w:spacing w:val="-6"/>
        </w:rPr>
        <w:t> </w:t>
      </w:r>
      <w:r>
        <w:rPr>
          <w:color w:val="231F20"/>
        </w:rPr>
        <w:t>respectivement par les mots « société en commandite », « société à responsabilité limitée</w:t>
      </w:r>
      <w:r>
        <w:rPr>
          <w:color w:val="231F20"/>
          <w:spacing w:val="-4"/>
        </w:rPr>
        <w:t> </w:t>
      </w:r>
      <w:r>
        <w:rPr>
          <w:color w:val="231F20"/>
        </w:rPr>
        <w:t>», </w:t>
      </w:r>
      <w:r>
        <w:rPr>
          <w:color w:val="231F20"/>
          <w:spacing w:val="28"/>
        </w:rPr>
        <w:t> </w:t>
      </w:r>
      <w:r>
        <w:rPr>
          <w:color w:val="231F20"/>
        </w:rPr>
        <w:t>«</w:t>
      </w:r>
      <w:r>
        <w:rPr>
          <w:color w:val="231F20"/>
          <w:spacing w:val="-4"/>
        </w:rPr>
        <w:t> </w:t>
      </w:r>
      <w:r>
        <w:rPr>
          <w:color w:val="231F20"/>
        </w:rPr>
        <w:t>société </w:t>
      </w:r>
      <w:r>
        <w:rPr>
          <w:color w:val="231F20"/>
          <w:spacing w:val="28"/>
        </w:rPr>
        <w:t> </w:t>
      </w:r>
      <w:r>
        <w:rPr>
          <w:color w:val="231F20"/>
        </w:rPr>
        <w:t>coopérative</w:t>
      </w:r>
      <w:r>
        <w:rPr>
          <w:color w:val="231F20"/>
          <w:spacing w:val="-4"/>
        </w:rPr>
        <w:t> </w:t>
      </w:r>
      <w:r>
        <w:rPr>
          <w:color w:val="231F20"/>
        </w:rPr>
        <w:t>», </w:t>
      </w:r>
      <w:r>
        <w:rPr>
          <w:color w:val="231F20"/>
          <w:spacing w:val="28"/>
        </w:rPr>
        <w:t> </w:t>
      </w:r>
      <w:r>
        <w:rPr>
          <w:color w:val="231F20"/>
        </w:rPr>
        <w:t>«</w:t>
      </w:r>
      <w:r>
        <w:rPr>
          <w:color w:val="231F20"/>
          <w:spacing w:val="-3"/>
        </w:rPr>
        <w:t> </w:t>
      </w:r>
      <w:r>
        <w:rPr>
          <w:color w:val="231F20"/>
        </w:rPr>
        <w:t>SNC</w:t>
      </w:r>
      <w:r>
        <w:rPr>
          <w:color w:val="231F20"/>
          <w:spacing w:val="-4"/>
        </w:rPr>
        <w:t> </w:t>
      </w:r>
      <w:r>
        <w:rPr>
          <w:color w:val="231F20"/>
        </w:rPr>
        <w:t>», </w:t>
      </w:r>
      <w:r>
        <w:rPr>
          <w:color w:val="231F20"/>
          <w:spacing w:val="28"/>
        </w:rPr>
        <w:t> </w:t>
      </w:r>
      <w:r>
        <w:rPr>
          <w:color w:val="231F20"/>
        </w:rPr>
        <w:t>«</w:t>
      </w:r>
      <w:r>
        <w:rPr>
          <w:color w:val="231F20"/>
          <w:spacing w:val="-4"/>
        </w:rPr>
        <w:t> </w:t>
      </w:r>
      <w:r>
        <w:rPr>
          <w:color w:val="231F20"/>
        </w:rPr>
        <w:t>SComm</w:t>
      </w:r>
      <w:r>
        <w:rPr>
          <w:color w:val="231F20"/>
          <w:spacing w:val="-3"/>
        </w:rPr>
        <w:t> </w:t>
      </w:r>
      <w:r>
        <w:rPr>
          <w:color w:val="231F20"/>
        </w:rPr>
        <w:t>», </w:t>
      </w:r>
      <w:r>
        <w:rPr>
          <w:color w:val="231F20"/>
          <w:spacing w:val="27"/>
        </w:rPr>
        <w:t> </w:t>
      </w:r>
      <w:r>
        <w:rPr>
          <w:color w:val="231F20"/>
        </w:rPr>
        <w:t>«</w:t>
      </w:r>
      <w:r>
        <w:rPr>
          <w:color w:val="231F20"/>
          <w:spacing w:val="-3"/>
        </w:rPr>
        <w:t> </w:t>
      </w:r>
      <w:r>
        <w:rPr>
          <w:color w:val="231F20"/>
        </w:rPr>
        <w:t>SRL</w:t>
      </w:r>
      <w:r>
        <w:rPr>
          <w:color w:val="231F20"/>
          <w:spacing w:val="-4"/>
        </w:rPr>
        <w:t> </w:t>
      </w:r>
      <w:r>
        <w:rPr>
          <w:color w:val="231F20"/>
        </w:rPr>
        <w:t>» </w:t>
      </w:r>
      <w:r>
        <w:rPr>
          <w:color w:val="231F20"/>
          <w:spacing w:val="28"/>
        </w:rPr>
        <w:t> </w:t>
      </w:r>
      <w:r>
        <w:rPr>
          <w:color w:val="231F20"/>
        </w:rPr>
        <w:t>et</w:t>
      </w:r>
    </w:p>
    <w:p>
      <w:pPr>
        <w:pStyle w:val="BodyText"/>
        <w:spacing w:line="179" w:lineRule="exact"/>
        <w:ind w:right="0" w:firstLine="0"/>
      </w:pPr>
      <w:r>
        <w:rPr>
          <w:color w:val="231F20"/>
        </w:rPr>
        <w:t>« SC ».</w:t>
      </w:r>
    </w:p>
    <w:p>
      <w:pPr>
        <w:pStyle w:val="BodyText"/>
        <w:spacing w:line="232" w:lineRule="auto" w:before="107"/>
        <w:ind w:left="418" w:right="430" w:hanging="1"/>
        <w:jc w:val="center"/>
      </w:pPr>
      <w:r>
        <w:rPr/>
        <w:br w:type="column"/>
      </w:r>
      <w:r>
        <w:rPr>
          <w:rFonts w:ascii="Times New Roman" w:hAnsi="Times New Roman"/>
          <w:i/>
          <w:color w:val="231F20"/>
        </w:rPr>
        <w:t>Afdeling VIII. </w:t>
      </w:r>
      <w:r>
        <w:rPr>
          <w:i/>
          <w:color w:val="231F20"/>
        </w:rPr>
        <w:t>— </w:t>
      </w:r>
      <w:r>
        <w:rPr>
          <w:color w:val="231F20"/>
        </w:rPr>
        <w:t>Wijziging van de wet van 20 juli  1955 houdende</w:t>
      </w:r>
      <w:r>
        <w:rPr>
          <w:color w:val="231F20"/>
          <w:spacing w:val="23"/>
        </w:rPr>
        <w:t> </w:t>
      </w:r>
      <w:r>
        <w:rPr>
          <w:color w:val="231F20"/>
        </w:rPr>
        <w:t>instelling</w:t>
      </w:r>
      <w:r>
        <w:rPr>
          <w:color w:val="231F20"/>
          <w:spacing w:val="23"/>
        </w:rPr>
        <w:t> </w:t>
      </w:r>
      <w:r>
        <w:rPr>
          <w:color w:val="231F20"/>
        </w:rPr>
        <w:t>van</w:t>
      </w:r>
      <w:r>
        <w:rPr>
          <w:color w:val="231F20"/>
          <w:spacing w:val="23"/>
        </w:rPr>
        <w:t> </w:t>
      </w:r>
      <w:r>
        <w:rPr>
          <w:color w:val="231F20"/>
        </w:rPr>
        <w:t>een</w:t>
      </w:r>
      <w:r>
        <w:rPr>
          <w:color w:val="231F20"/>
          <w:spacing w:val="24"/>
        </w:rPr>
        <w:t> </w:t>
      </w:r>
      <w:r>
        <w:rPr>
          <w:color w:val="231F20"/>
        </w:rPr>
        <w:t>Nationale</w:t>
      </w:r>
      <w:r>
        <w:rPr>
          <w:color w:val="231F20"/>
          <w:spacing w:val="23"/>
        </w:rPr>
        <w:t> </w:t>
      </w:r>
      <w:r>
        <w:rPr>
          <w:color w:val="231F20"/>
        </w:rPr>
        <w:t>Raad</w:t>
      </w:r>
      <w:r>
        <w:rPr>
          <w:color w:val="231F20"/>
          <w:spacing w:val="23"/>
        </w:rPr>
        <w:t> </w:t>
      </w:r>
      <w:r>
        <w:rPr>
          <w:color w:val="231F20"/>
        </w:rPr>
        <w:t>voor</w:t>
      </w:r>
      <w:r>
        <w:rPr>
          <w:color w:val="231F20"/>
          <w:spacing w:val="24"/>
        </w:rPr>
        <w:t> </w:t>
      </w:r>
      <w:r>
        <w:rPr>
          <w:color w:val="231F20"/>
        </w:rPr>
        <w:t>Coöperatie.</w:t>
      </w:r>
    </w:p>
    <w:p>
      <w:pPr>
        <w:pStyle w:val="BodyText"/>
        <w:spacing w:line="218" w:lineRule="auto" w:before="155"/>
      </w:pPr>
      <w:r>
        <w:rPr>
          <w:rFonts w:ascii="Times New Roman" w:hAnsi="Times New Roman"/>
          <w:b/>
          <w:color w:val="231F20"/>
        </w:rPr>
        <w:t>Art. 24. </w:t>
      </w:r>
      <w:r>
        <w:rPr>
          <w:color w:val="231F20"/>
        </w:rPr>
        <w:t>Het opschrift van de wet van 20 juli 1955 houdende  instelling van een Nationale Raad voor Coöperatie wordt vervangen als volgt:</w:t>
      </w:r>
    </w:p>
    <w:p>
      <w:pPr>
        <w:pStyle w:val="BodyText"/>
        <w:spacing w:line="218" w:lineRule="auto" w:before="128"/>
      </w:pPr>
      <w:r>
        <w:rPr>
          <w:color w:val="231F20"/>
        </w:rPr>
        <w:t>“Wet van 20 juli 1955 houdende instelling van een Nationale Raad voor Coöperatie, het Sociaal Ondernemerschap en de Landbouwonder- neming”.</w:t>
      </w:r>
    </w:p>
    <w:p>
      <w:pPr>
        <w:pStyle w:val="BodyText"/>
        <w:spacing w:line="218" w:lineRule="auto" w:before="168"/>
      </w:pPr>
      <w:r>
        <w:rPr>
          <w:rFonts w:ascii="Times New Roman" w:hAnsi="Times New Roman"/>
          <w:b/>
          <w:color w:val="231F20"/>
        </w:rPr>
        <w:t>Art. 25. </w:t>
      </w:r>
      <w:r>
        <w:rPr>
          <w:color w:val="231F20"/>
        </w:rPr>
        <w:t>In de artikelen 1, 1/1, 2, 3, 4, 4/1, 5 en 9 van dezelfde wet, vervangen, respectievelijk ingevoegd bij de wet van 12 juli 2003, worden de woorden “Nationale Raad voor de Coöperatie” vervangen door de woorden “Nationale Raad voor Coöperatie, het Sociaal Ondernemerschap en de</w:t>
      </w:r>
      <w:r>
        <w:rPr>
          <w:color w:val="231F20"/>
          <w:spacing w:val="10"/>
        </w:rPr>
        <w:t> </w:t>
      </w:r>
      <w:r>
        <w:rPr>
          <w:color w:val="231F20"/>
        </w:rPr>
        <w:t>Landbouwonderneming”.</w:t>
      </w:r>
    </w:p>
    <w:p>
      <w:pPr>
        <w:pStyle w:val="BodyText"/>
        <w:spacing w:line="232" w:lineRule="auto" w:before="159"/>
        <w:ind w:left="197" w:right="208" w:firstLine="0"/>
        <w:jc w:val="center"/>
      </w:pPr>
      <w:r>
        <w:rPr>
          <w:rFonts w:ascii="Times New Roman" w:hAnsi="Times New Roman"/>
          <w:i/>
          <w:color w:val="231F20"/>
        </w:rPr>
        <w:t>Afdeling IX. </w:t>
      </w:r>
      <w:r>
        <w:rPr>
          <w:i/>
          <w:color w:val="231F20"/>
        </w:rPr>
        <w:t>— </w:t>
      </w:r>
      <w:r>
        <w:rPr>
          <w:color w:val="231F20"/>
        </w:rPr>
        <w:t>Wijziging van de wet van 6 mei 1999 ter bevordering van</w:t>
      </w:r>
      <w:r>
        <w:rPr>
          <w:color w:val="231F20"/>
          <w:spacing w:val="24"/>
        </w:rPr>
        <w:t> </w:t>
      </w:r>
      <w:r>
        <w:rPr>
          <w:color w:val="231F20"/>
        </w:rPr>
        <w:t>de</w:t>
      </w:r>
      <w:r>
        <w:rPr>
          <w:color w:val="231F20"/>
          <w:spacing w:val="24"/>
        </w:rPr>
        <w:t> </w:t>
      </w:r>
      <w:r>
        <w:rPr>
          <w:color w:val="231F20"/>
        </w:rPr>
        <w:t>oprichting</w:t>
      </w:r>
      <w:r>
        <w:rPr>
          <w:color w:val="231F20"/>
          <w:spacing w:val="24"/>
        </w:rPr>
        <w:t> </w:t>
      </w:r>
      <w:r>
        <w:rPr>
          <w:color w:val="231F20"/>
        </w:rPr>
        <w:t>van</w:t>
      </w:r>
      <w:r>
        <w:rPr>
          <w:color w:val="231F20"/>
          <w:spacing w:val="25"/>
        </w:rPr>
        <w:t> </w:t>
      </w:r>
      <w:r>
        <w:rPr>
          <w:color w:val="231F20"/>
        </w:rPr>
        <w:t>burgerlijke</w:t>
      </w:r>
      <w:r>
        <w:rPr>
          <w:color w:val="231F20"/>
          <w:spacing w:val="24"/>
        </w:rPr>
        <w:t> </w:t>
      </w:r>
      <w:r>
        <w:rPr>
          <w:color w:val="231F20"/>
        </w:rPr>
        <w:t>bosgroeperingsvennootschappen.</w:t>
      </w:r>
    </w:p>
    <w:p>
      <w:pPr>
        <w:pStyle w:val="BodyText"/>
        <w:spacing w:line="218" w:lineRule="auto" w:before="154"/>
      </w:pPr>
      <w:r>
        <w:rPr>
          <w:rFonts w:ascii="Times New Roman"/>
          <w:b/>
          <w:color w:val="231F20"/>
        </w:rPr>
        <w:t>Art. 26. </w:t>
      </w:r>
      <w:r>
        <w:rPr>
          <w:color w:val="231F20"/>
        </w:rPr>
        <w:t>Artikel 2 van de wet van 6 mei 1999 ter bevordering van de oprichting van burgerlijke bosgroeperingsvennootschappen wordt ver- vangen als volgt:</w:t>
      </w:r>
    </w:p>
    <w:p>
      <w:pPr>
        <w:pStyle w:val="BodyText"/>
        <w:spacing w:line="218" w:lineRule="auto" w:before="115"/>
      </w:pPr>
      <w:r>
        <w:rPr>
          <w:rFonts w:ascii="Symbol" w:hAnsi="Symbol"/>
          <w:color w:val="231F20"/>
        </w:rPr>
        <w:t></w:t>
      </w:r>
      <w:r>
        <w:rPr>
          <w:color w:val="231F20"/>
        </w:rPr>
        <w:t>Voor de toepassing van deze wet wordt onder bosgroeperingsven- nootschap verstaan elke vennootschap als bedoeld in artikel 8:1 van het Wetboek van vennootschappen en verenigingen.”.</w:t>
      </w:r>
    </w:p>
    <w:p>
      <w:pPr>
        <w:spacing w:before="153"/>
        <w:ind w:left="333" w:right="0" w:firstLine="0"/>
        <w:jc w:val="left"/>
        <w:rPr>
          <w:sz w:val="17"/>
        </w:rPr>
      </w:pPr>
      <w:r>
        <w:rPr>
          <w:rFonts w:ascii="Times New Roman" w:hAnsi="Times New Roman"/>
          <w:i/>
          <w:color w:val="231F20"/>
          <w:w w:val="105"/>
          <w:sz w:val="17"/>
        </w:rPr>
        <w:t>Afdeling X. </w:t>
      </w:r>
      <w:r>
        <w:rPr>
          <w:i/>
          <w:color w:val="231F20"/>
          <w:w w:val="105"/>
          <w:sz w:val="17"/>
        </w:rPr>
        <w:t>— </w:t>
      </w:r>
      <w:r>
        <w:rPr>
          <w:color w:val="231F20"/>
          <w:w w:val="105"/>
          <w:sz w:val="17"/>
        </w:rPr>
        <w:t>Wijziging van het Wetboek van economisch recht.</w:t>
      </w:r>
    </w:p>
    <w:p>
      <w:pPr>
        <w:pStyle w:val="BodyText"/>
        <w:spacing w:line="218" w:lineRule="auto" w:before="154"/>
      </w:pPr>
      <w:r>
        <w:rPr>
          <w:rFonts w:ascii="Times New Roman" w:hAnsi="Times New Roman"/>
          <w:b/>
          <w:color w:val="231F20"/>
        </w:rPr>
        <w:t>Art. 27. </w:t>
      </w:r>
      <w:r>
        <w:rPr>
          <w:color w:val="231F20"/>
        </w:rPr>
        <w:t>Artikel I.1, eerste lid, van het Wetboek van economisch recht wordt aangevuld met de bepalingen onder 16° en 17°, luidende:</w:t>
      </w:r>
    </w:p>
    <w:p>
      <w:pPr>
        <w:pStyle w:val="BodyText"/>
        <w:spacing w:line="218" w:lineRule="auto" w:before="129"/>
      </w:pPr>
      <w:r>
        <w:rPr>
          <w:color w:val="231F20"/>
        </w:rPr>
        <w:t>“16° omzet voor  de  ondernemingen  die  in  toepassing  van  arti-  kel III.85 een vereenvoudigde boekhouding voeren: het bedrag van de andere dan niet-recurrente</w:t>
      </w:r>
      <w:r>
        <w:rPr>
          <w:color w:val="231F20"/>
          <w:spacing w:val="2"/>
        </w:rPr>
        <w:t> </w:t>
      </w:r>
      <w:r>
        <w:rPr>
          <w:color w:val="231F20"/>
        </w:rPr>
        <w:t>ontvangsten;</w:t>
      </w:r>
    </w:p>
    <w:p>
      <w:pPr>
        <w:pStyle w:val="BodyText"/>
        <w:spacing w:line="218" w:lineRule="auto" w:before="128"/>
      </w:pPr>
      <w:r>
        <w:rPr>
          <w:color w:val="231F20"/>
        </w:rPr>
        <w:t>17° balanstotaal voor de ondernemingen die in toepassing  van  artikel III.85 een vereenvoudigde boekhouding voeren: het grootste van de</w:t>
      </w:r>
      <w:r>
        <w:rPr>
          <w:color w:val="231F20"/>
          <w:spacing w:val="20"/>
        </w:rPr>
        <w:t> </w:t>
      </w:r>
      <w:r>
        <w:rPr>
          <w:color w:val="231F20"/>
        </w:rPr>
        <w:t>twee</w:t>
      </w:r>
      <w:r>
        <w:rPr>
          <w:color w:val="231F20"/>
          <w:spacing w:val="21"/>
        </w:rPr>
        <w:t> </w:t>
      </w:r>
      <w:r>
        <w:rPr>
          <w:color w:val="231F20"/>
        </w:rPr>
        <w:t>bedragen</w:t>
      </w:r>
      <w:r>
        <w:rPr>
          <w:color w:val="231F20"/>
          <w:spacing w:val="21"/>
        </w:rPr>
        <w:t> </w:t>
      </w:r>
      <w:r>
        <w:rPr>
          <w:color w:val="231F20"/>
        </w:rPr>
        <w:t>vermeld</w:t>
      </w:r>
      <w:r>
        <w:rPr>
          <w:color w:val="231F20"/>
          <w:spacing w:val="21"/>
        </w:rPr>
        <w:t> </w:t>
      </w:r>
      <w:r>
        <w:rPr>
          <w:color w:val="231F20"/>
        </w:rPr>
        <w:t>onder</w:t>
      </w:r>
      <w:r>
        <w:rPr>
          <w:color w:val="231F20"/>
          <w:spacing w:val="21"/>
        </w:rPr>
        <w:t> </w:t>
      </w:r>
      <w:r>
        <w:rPr>
          <w:color w:val="231F20"/>
        </w:rPr>
        <w:t>de</w:t>
      </w:r>
      <w:r>
        <w:rPr>
          <w:color w:val="231F20"/>
          <w:spacing w:val="21"/>
        </w:rPr>
        <w:t> </w:t>
      </w:r>
      <w:r>
        <w:rPr>
          <w:color w:val="231F20"/>
        </w:rPr>
        <w:t>bezittingen</w:t>
      </w:r>
      <w:r>
        <w:rPr>
          <w:color w:val="231F20"/>
          <w:spacing w:val="20"/>
        </w:rPr>
        <w:t> </w:t>
      </w:r>
      <w:r>
        <w:rPr>
          <w:color w:val="231F20"/>
        </w:rPr>
        <w:t>en</w:t>
      </w:r>
      <w:r>
        <w:rPr>
          <w:color w:val="231F20"/>
          <w:spacing w:val="21"/>
        </w:rPr>
        <w:t> </w:t>
      </w:r>
      <w:r>
        <w:rPr>
          <w:color w:val="231F20"/>
        </w:rPr>
        <w:t>de</w:t>
      </w:r>
      <w:r>
        <w:rPr>
          <w:color w:val="231F20"/>
          <w:spacing w:val="21"/>
        </w:rPr>
        <w:t> </w:t>
      </w:r>
      <w:r>
        <w:rPr>
          <w:color w:val="231F20"/>
        </w:rPr>
        <w:t>schulden.”</w:t>
      </w:r>
    </w:p>
    <w:p>
      <w:pPr>
        <w:pStyle w:val="BodyText"/>
        <w:spacing w:line="218" w:lineRule="auto" w:before="179"/>
      </w:pPr>
      <w:r>
        <w:rPr>
          <w:rFonts w:ascii="Times New Roman" w:hAnsi="Times New Roman"/>
          <w:b/>
          <w:color w:val="231F20"/>
        </w:rPr>
        <w:t>Art. 28. </w:t>
      </w:r>
      <w:r>
        <w:rPr>
          <w:color w:val="231F20"/>
        </w:rPr>
        <w:t>In artikel III.82, § 1, tweede lid, 2°, van hetzelfde Wetboek, vervangen bij de wet van 15 april 2018, worden de woorden “onder- nemingen die de exploitatie van een land- of tuinbouwbedrijf tot doel hebben met uitzondering van die ondernemingen die in de vennoot- schapsbelasting worden belast” vervangen door de woorden “de overeenkomstig artikel 8:2 van het Wetboek van vennootschappen en verenigingen erkende landbouwondernemingen die de vorm hebben aangenomen van een vennootschap onder firma of commanditaire vennootschap en die onderworpen zijn aan de personenbelasting. ».</w:t>
      </w:r>
    </w:p>
    <w:p>
      <w:pPr>
        <w:pStyle w:val="BodyText"/>
        <w:spacing w:line="218" w:lineRule="auto" w:before="179"/>
      </w:pPr>
      <w:r>
        <w:rPr>
          <w:rFonts w:ascii="Times New Roman" w:hAnsi="Times New Roman"/>
          <w:b/>
          <w:color w:val="231F20"/>
        </w:rPr>
        <w:t>Art. 29. </w:t>
      </w:r>
      <w:r>
        <w:rPr>
          <w:color w:val="231F20"/>
        </w:rPr>
        <w:t>Artikel III.85, § 2, van hetzelfde Wetboek, ingevoegd bij de wet van 15 april 2018, wordt vervangen als volgt:</w:t>
      </w:r>
    </w:p>
    <w:p>
      <w:pPr>
        <w:pStyle w:val="BodyText"/>
        <w:spacing w:line="218" w:lineRule="auto" w:before="139"/>
        <w:ind w:right="123"/>
      </w:pPr>
      <w:r>
        <w:rPr>
          <w:color w:val="231F20"/>
        </w:rPr>
        <w:t>“§ 2. De verenigingen zonder winstoogmerk, de stichtingen en de internationale verenigingen zonder winstoogmerk die niet meer</w:t>
      </w:r>
      <w:r>
        <w:rPr>
          <w:color w:val="231F20"/>
          <w:spacing w:val="24"/>
        </w:rPr>
        <w:t> </w:t>
      </w:r>
      <w:r>
        <w:rPr>
          <w:color w:val="231F20"/>
        </w:rPr>
        <w:t>dan één van de criteria vermeld in paragraaf 2 van de respectievelijke artikelen 3:47 en 3:51 van het </w:t>
      </w:r>
      <w:r>
        <w:rPr>
          <w:color w:val="231F20"/>
          <w:spacing w:val="-3"/>
        </w:rPr>
        <w:t>Wetboek </w:t>
      </w:r>
      <w:r>
        <w:rPr>
          <w:color w:val="231F20"/>
        </w:rPr>
        <w:t>van vennootschappen en verenigingen overschrijden, behoeven geen boekhouding te voeren volgens de voorschriften van de artikelen III.83 en III.84 wanneer de verrichtingen die betrekking hebben op mutaties in contant geld of op rekeningen zonder uitstel, getrouw en volledig en naar tijdsorde ingeschreven worden in een ongesplitst dagboek volgens het model door de Koning</w:t>
      </w:r>
      <w:r>
        <w:rPr>
          <w:color w:val="231F20"/>
          <w:spacing w:val="6"/>
        </w:rPr>
        <w:t> </w:t>
      </w:r>
      <w:r>
        <w:rPr>
          <w:color w:val="231F20"/>
        </w:rPr>
        <w:t>bepaald.”.</w:t>
      </w:r>
    </w:p>
    <w:p>
      <w:pPr>
        <w:pStyle w:val="BodyText"/>
        <w:spacing w:line="218" w:lineRule="auto" w:before="179"/>
      </w:pPr>
      <w:r>
        <w:rPr>
          <w:rFonts w:ascii="Times New Roman" w:hAnsi="Times New Roman"/>
          <w:b/>
          <w:color w:val="231F20"/>
        </w:rPr>
        <w:t>Art. 30. </w:t>
      </w:r>
      <w:r>
        <w:rPr>
          <w:color w:val="231F20"/>
        </w:rPr>
        <w:t>In artikel XX.225, § 2, van hetzelfde </w:t>
      </w:r>
      <w:r>
        <w:rPr>
          <w:color w:val="231F20"/>
          <w:spacing w:val="-3"/>
        </w:rPr>
        <w:t>Wetboek </w:t>
      </w:r>
      <w:r>
        <w:rPr>
          <w:color w:val="231F20"/>
        </w:rPr>
        <w:t>worden de woorden “of wanneer het een </w:t>
      </w:r>
      <w:r>
        <w:rPr>
          <w:color w:val="231F20"/>
          <w:spacing w:val="-4"/>
        </w:rPr>
        <w:t>vzw, </w:t>
      </w:r>
      <w:r>
        <w:rPr>
          <w:color w:val="231F20"/>
        </w:rPr>
        <w:t>ivzw of stichting betreft die een vereenvoudigde boekhouding voert, overeenkomstig de  artikelen  17, 37 en 53 van de wet van 27 juni 1921 betreffende de verenigingen zonder winstoogmerk, de stichtingen en de Europese politieke partijen en stichtingen”</w:t>
      </w:r>
      <w:r>
        <w:rPr>
          <w:color w:val="231F20"/>
          <w:spacing w:val="-10"/>
        </w:rPr>
        <w:t> </w:t>
      </w:r>
      <w:r>
        <w:rPr>
          <w:color w:val="231F20"/>
        </w:rPr>
        <w:t>opgeheven.</w:t>
      </w:r>
    </w:p>
    <w:p>
      <w:pPr>
        <w:spacing w:before="165"/>
        <w:ind w:left="1103" w:right="0" w:firstLine="0"/>
        <w:jc w:val="left"/>
        <w:rPr>
          <w:sz w:val="17"/>
        </w:rPr>
      </w:pPr>
      <w:r>
        <w:rPr>
          <w:rFonts w:ascii="Times New Roman" w:hAnsi="Times New Roman"/>
          <w:i/>
          <w:color w:val="231F20"/>
          <w:w w:val="105"/>
          <w:sz w:val="17"/>
        </w:rPr>
        <w:t>Afdeling XI. </w:t>
      </w:r>
      <w:r>
        <w:rPr>
          <w:i/>
          <w:color w:val="231F20"/>
          <w:w w:val="105"/>
          <w:sz w:val="17"/>
        </w:rPr>
        <w:t>— </w:t>
      </w:r>
      <w:r>
        <w:rPr>
          <w:color w:val="231F20"/>
          <w:w w:val="105"/>
          <w:sz w:val="17"/>
        </w:rPr>
        <w:t>Terminologische wijzigingen.</w:t>
      </w:r>
    </w:p>
    <w:p>
      <w:pPr>
        <w:pStyle w:val="BodyText"/>
        <w:spacing w:line="218" w:lineRule="auto" w:before="165"/>
      </w:pPr>
      <w:r>
        <w:rPr>
          <w:rFonts w:ascii="Times New Roman" w:hAnsi="Times New Roman"/>
          <w:b/>
          <w:color w:val="231F20"/>
          <w:w w:val="105"/>
        </w:rPr>
        <w:t>Art. 31. </w:t>
      </w:r>
      <w:r>
        <w:rPr>
          <w:color w:val="231F20"/>
          <w:spacing w:val="-4"/>
          <w:w w:val="105"/>
        </w:rPr>
        <w:t>Vanaf </w:t>
      </w:r>
      <w:r>
        <w:rPr>
          <w:color w:val="231F20"/>
          <w:w w:val="105"/>
        </w:rPr>
        <w:t>de datum dat de wet op hen van toepassing wordt moet het begrip “landbouwvennootschap” bedoeld in artikel 789</w:t>
      </w:r>
      <w:r>
        <w:rPr>
          <w:color w:val="231F20"/>
          <w:spacing w:val="-26"/>
          <w:w w:val="105"/>
        </w:rPr>
        <w:t> </w:t>
      </w:r>
      <w:r>
        <w:rPr>
          <w:color w:val="231F20"/>
          <w:w w:val="105"/>
        </w:rPr>
        <w:t>van het</w:t>
      </w:r>
      <w:r>
        <w:rPr>
          <w:color w:val="231F20"/>
          <w:spacing w:val="-9"/>
          <w:w w:val="105"/>
        </w:rPr>
        <w:t> </w:t>
      </w:r>
      <w:r>
        <w:rPr>
          <w:color w:val="231F20"/>
          <w:spacing w:val="-3"/>
          <w:w w:val="105"/>
        </w:rPr>
        <w:t>Wetboek</w:t>
      </w:r>
      <w:r>
        <w:rPr>
          <w:color w:val="231F20"/>
          <w:spacing w:val="-8"/>
          <w:w w:val="105"/>
        </w:rPr>
        <w:t> </w:t>
      </w:r>
      <w:r>
        <w:rPr>
          <w:color w:val="231F20"/>
          <w:w w:val="105"/>
        </w:rPr>
        <w:t>van</w:t>
      </w:r>
      <w:r>
        <w:rPr>
          <w:color w:val="231F20"/>
          <w:spacing w:val="-8"/>
          <w:w w:val="105"/>
        </w:rPr>
        <w:t> </w:t>
      </w:r>
      <w:r>
        <w:rPr>
          <w:color w:val="231F20"/>
          <w:w w:val="105"/>
        </w:rPr>
        <w:t>vennootschappen</w:t>
      </w:r>
      <w:r>
        <w:rPr>
          <w:color w:val="231F20"/>
          <w:spacing w:val="-8"/>
          <w:w w:val="105"/>
        </w:rPr>
        <w:t> </w:t>
      </w:r>
      <w:r>
        <w:rPr>
          <w:color w:val="231F20"/>
          <w:w w:val="105"/>
        </w:rPr>
        <w:t>in</w:t>
      </w:r>
      <w:r>
        <w:rPr>
          <w:color w:val="231F20"/>
          <w:spacing w:val="-8"/>
          <w:w w:val="105"/>
        </w:rPr>
        <w:t> </w:t>
      </w:r>
      <w:r>
        <w:rPr>
          <w:color w:val="231F20"/>
          <w:w w:val="105"/>
        </w:rPr>
        <w:t>alle</w:t>
      </w:r>
      <w:r>
        <w:rPr>
          <w:color w:val="231F20"/>
          <w:spacing w:val="-8"/>
          <w:w w:val="105"/>
        </w:rPr>
        <w:t> </w:t>
      </w:r>
      <w:r>
        <w:rPr>
          <w:color w:val="231F20"/>
          <w:w w:val="105"/>
        </w:rPr>
        <w:t>wetten</w:t>
      </w:r>
      <w:r>
        <w:rPr>
          <w:color w:val="231F20"/>
          <w:spacing w:val="-8"/>
          <w:w w:val="105"/>
        </w:rPr>
        <w:t> </w:t>
      </w:r>
      <w:r>
        <w:rPr>
          <w:color w:val="231F20"/>
          <w:w w:val="105"/>
        </w:rPr>
        <w:t>worden</w:t>
      </w:r>
      <w:r>
        <w:rPr>
          <w:color w:val="231F20"/>
          <w:spacing w:val="-8"/>
          <w:w w:val="105"/>
        </w:rPr>
        <w:t> </w:t>
      </w:r>
      <w:r>
        <w:rPr>
          <w:color w:val="231F20"/>
          <w:w w:val="105"/>
        </w:rPr>
        <w:t>verstaan</w:t>
      </w:r>
      <w:r>
        <w:rPr>
          <w:color w:val="231F20"/>
          <w:spacing w:val="-8"/>
          <w:w w:val="105"/>
        </w:rPr>
        <w:t> </w:t>
      </w:r>
      <w:r>
        <w:rPr>
          <w:color w:val="231F20"/>
          <w:w w:val="105"/>
        </w:rPr>
        <w:t>als “vennootschap erkend als landbouwonderneming als bedoeld in artikel</w:t>
      </w:r>
      <w:r>
        <w:rPr>
          <w:color w:val="231F20"/>
          <w:spacing w:val="-7"/>
          <w:w w:val="105"/>
        </w:rPr>
        <w:t> </w:t>
      </w:r>
      <w:r>
        <w:rPr>
          <w:color w:val="231F20"/>
          <w:w w:val="105"/>
        </w:rPr>
        <w:t>8:2</w:t>
      </w:r>
      <w:r>
        <w:rPr>
          <w:color w:val="231F20"/>
          <w:spacing w:val="-7"/>
          <w:w w:val="105"/>
        </w:rPr>
        <w:t> </w:t>
      </w:r>
      <w:r>
        <w:rPr>
          <w:color w:val="231F20"/>
          <w:w w:val="105"/>
        </w:rPr>
        <w:t>van</w:t>
      </w:r>
      <w:r>
        <w:rPr>
          <w:color w:val="231F20"/>
          <w:spacing w:val="-7"/>
          <w:w w:val="105"/>
        </w:rPr>
        <w:t> </w:t>
      </w:r>
      <w:r>
        <w:rPr>
          <w:color w:val="231F20"/>
          <w:w w:val="105"/>
        </w:rPr>
        <w:t>het</w:t>
      </w:r>
      <w:r>
        <w:rPr>
          <w:color w:val="231F20"/>
          <w:spacing w:val="-7"/>
          <w:w w:val="105"/>
        </w:rPr>
        <w:t> </w:t>
      </w:r>
      <w:r>
        <w:rPr>
          <w:color w:val="231F20"/>
          <w:spacing w:val="-3"/>
          <w:w w:val="105"/>
        </w:rPr>
        <w:t>Wetboek</w:t>
      </w:r>
      <w:r>
        <w:rPr>
          <w:color w:val="231F20"/>
          <w:spacing w:val="-7"/>
          <w:w w:val="105"/>
        </w:rPr>
        <w:t> </w:t>
      </w:r>
      <w:r>
        <w:rPr>
          <w:color w:val="231F20"/>
          <w:w w:val="105"/>
        </w:rPr>
        <w:t>van</w:t>
      </w:r>
      <w:r>
        <w:rPr>
          <w:color w:val="231F20"/>
          <w:spacing w:val="-7"/>
          <w:w w:val="105"/>
        </w:rPr>
        <w:t> </w:t>
      </w:r>
      <w:r>
        <w:rPr>
          <w:color w:val="231F20"/>
          <w:w w:val="105"/>
        </w:rPr>
        <w:t>vennootschappen</w:t>
      </w:r>
      <w:r>
        <w:rPr>
          <w:color w:val="231F20"/>
          <w:spacing w:val="-6"/>
          <w:w w:val="105"/>
        </w:rPr>
        <w:t> </w:t>
      </w:r>
      <w:r>
        <w:rPr>
          <w:color w:val="231F20"/>
          <w:w w:val="105"/>
        </w:rPr>
        <w:t>en</w:t>
      </w:r>
      <w:r>
        <w:rPr>
          <w:color w:val="231F20"/>
          <w:spacing w:val="-7"/>
          <w:w w:val="105"/>
        </w:rPr>
        <w:t> </w:t>
      </w:r>
      <w:r>
        <w:rPr>
          <w:color w:val="231F20"/>
          <w:w w:val="105"/>
        </w:rPr>
        <w:t>verenigingen”.</w:t>
      </w:r>
    </w:p>
    <w:p>
      <w:pPr>
        <w:pStyle w:val="BodyText"/>
        <w:spacing w:line="218" w:lineRule="auto" w:before="139"/>
        <w:ind w:right="122"/>
      </w:pPr>
      <w:r>
        <w:rPr>
          <w:color w:val="231F20"/>
        </w:rPr>
        <w:t>Vanaf de datum dat de wet op hen van toepassing wordt, worden in alle wetten de woorden “gewone commanditaire vennootschap”, “besloten vennootschap met beperkte aansprakelijkheid”, “coöperatie- ve vennootschap met beperkte aansprakelijkheid”, “V.O.F.”, “Com- m.V”, “BVBA” en “CVBA” respectievelijk vervangen door de woorden “commanditaire vennootschap”, “besloten vennootschap”, “coöperatie- ve vennootschap”, “VOF”, “CommV”, “BV” en “CV”.</w:t>
      </w:r>
    </w:p>
    <w:p>
      <w:pPr>
        <w:spacing w:after="0" w:line="218" w:lineRule="auto"/>
        <w:sectPr>
          <w:pgSz w:w="11940" w:h="16880"/>
          <w:pgMar w:header="666" w:footer="0" w:top="1140" w:bottom="280" w:left="340" w:right="360"/>
          <w:cols w:num="2" w:equalWidth="0">
            <w:col w:w="5527" w:space="101"/>
            <w:col w:w="5612"/>
          </w:cols>
        </w:sectPr>
      </w:pPr>
    </w:p>
    <w:p>
      <w:pPr>
        <w:spacing w:before="102"/>
        <w:ind w:left="1662" w:right="0" w:firstLine="0"/>
        <w:jc w:val="left"/>
        <w:rPr>
          <w:sz w:val="17"/>
        </w:rPr>
      </w:pPr>
      <w:r>
        <w:rPr/>
        <w:pict>
          <v:line style="position:absolute;mso-position-horizontal-relative:page;mso-position-vertical-relative:page;z-index:7936" from="298.170502pt,64.473pt" to="298.170502pt,812.819pt" stroked="true" strokeweight=".533pt" strokecolor="#231f20">
            <v:stroke dashstyle="solid"/>
            <w10:wrap type="none"/>
          </v:line>
        </w:pict>
      </w:r>
      <w:bookmarkStart w:name="_bookmark288" w:id="294"/>
      <w:bookmarkEnd w:id="294"/>
      <w:r>
        <w:rPr/>
      </w:r>
      <w:r>
        <w:rPr>
          <w:rFonts w:ascii="Times New Roman" w:hAnsi="Times New Roman"/>
          <w:i/>
          <w:color w:val="231F20"/>
          <w:w w:val="105"/>
          <w:sz w:val="17"/>
        </w:rPr>
        <w:t>Section XII. </w:t>
      </w:r>
      <w:r>
        <w:rPr>
          <w:i/>
          <w:color w:val="231F20"/>
          <w:w w:val="105"/>
          <w:sz w:val="17"/>
        </w:rPr>
        <w:t>— </w:t>
      </w:r>
      <w:r>
        <w:rPr>
          <w:color w:val="231F20"/>
          <w:w w:val="105"/>
          <w:sz w:val="17"/>
        </w:rPr>
        <w:t>Des références.</w:t>
      </w:r>
    </w:p>
    <w:p>
      <w:pPr>
        <w:pStyle w:val="BodyText"/>
        <w:spacing w:line="218" w:lineRule="auto" w:before="133"/>
        <w:ind w:right="40"/>
      </w:pPr>
      <w:r>
        <w:rPr>
          <w:rFonts w:ascii="Times New Roman" w:hAnsi="Times New Roman"/>
          <w:b/>
          <w:color w:val="231F20"/>
        </w:rPr>
        <w:t>Art. 32. </w:t>
      </w:r>
      <w:r>
        <w:rPr>
          <w:color w:val="231F20"/>
        </w:rPr>
        <w:t>Le Roi peut adapter les références des lois et arrêtés royaux aux dispositions reprises dans le Code des sociétés et des associations   à</w:t>
      </w:r>
      <w:r>
        <w:rPr>
          <w:color w:val="231F20"/>
          <w:spacing w:val="15"/>
        </w:rPr>
        <w:t> </w:t>
      </w:r>
      <w:r>
        <w:rPr>
          <w:color w:val="231F20"/>
        </w:rPr>
        <w:t>l’aide</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rPr>
        <w:t>table</w:t>
      </w:r>
      <w:r>
        <w:rPr>
          <w:color w:val="231F20"/>
          <w:spacing w:val="15"/>
        </w:rPr>
        <w:t> </w:t>
      </w:r>
      <w:r>
        <w:rPr>
          <w:color w:val="231F20"/>
        </w:rPr>
        <w:t>de</w:t>
      </w:r>
      <w:r>
        <w:rPr>
          <w:color w:val="231F20"/>
          <w:spacing w:val="16"/>
        </w:rPr>
        <w:t> </w:t>
      </w:r>
      <w:r>
        <w:rPr>
          <w:color w:val="231F20"/>
        </w:rPr>
        <w:t>concordance</w:t>
      </w:r>
      <w:r>
        <w:rPr>
          <w:color w:val="231F20"/>
          <w:spacing w:val="16"/>
        </w:rPr>
        <w:t> </w:t>
      </w:r>
      <w:r>
        <w:rPr>
          <w:color w:val="231F20"/>
        </w:rPr>
        <w:t>figurant</w:t>
      </w:r>
      <w:r>
        <w:rPr>
          <w:color w:val="231F20"/>
          <w:spacing w:val="15"/>
        </w:rPr>
        <w:t> </w:t>
      </w:r>
      <w:r>
        <w:rPr>
          <w:color w:val="231F20"/>
        </w:rPr>
        <w:t>en</w:t>
      </w:r>
      <w:r>
        <w:rPr>
          <w:color w:val="231F20"/>
          <w:spacing w:val="16"/>
        </w:rPr>
        <w:t> </w:t>
      </w:r>
      <w:r>
        <w:rPr>
          <w:color w:val="231F20"/>
        </w:rPr>
        <w:t>annexe.</w:t>
      </w:r>
    </w:p>
    <w:p>
      <w:pPr>
        <w:pStyle w:val="BodyText"/>
        <w:spacing w:before="8"/>
        <w:ind w:left="0" w:right="0" w:firstLine="0"/>
        <w:jc w:val="left"/>
        <w:rPr>
          <w:sz w:val="25"/>
        </w:rPr>
      </w:pPr>
    </w:p>
    <w:p>
      <w:pPr>
        <w:spacing w:line="232" w:lineRule="auto" w:before="0"/>
        <w:ind w:left="1252" w:right="1179" w:hanging="1"/>
        <w:jc w:val="center"/>
        <w:rPr>
          <w:sz w:val="17"/>
        </w:rPr>
      </w:pPr>
      <w:r>
        <w:rPr>
          <w:rFonts w:ascii="Times New Roman" w:hAnsi="Times New Roman"/>
          <w:i/>
          <w:color w:val="231F20"/>
          <w:sz w:val="17"/>
        </w:rPr>
        <w:t>Section XIII. </w:t>
      </w:r>
      <w:r>
        <w:rPr>
          <w:i/>
          <w:color w:val="231F20"/>
          <w:sz w:val="17"/>
        </w:rPr>
        <w:t>—  </w:t>
      </w:r>
      <w:r>
        <w:rPr>
          <w:color w:val="231F20"/>
          <w:sz w:val="17"/>
        </w:rPr>
        <w:t>Délégation  au  Roi  en vue</w:t>
      </w:r>
      <w:r>
        <w:rPr>
          <w:color w:val="231F20"/>
          <w:spacing w:val="24"/>
          <w:sz w:val="17"/>
        </w:rPr>
        <w:t> </w:t>
      </w:r>
      <w:r>
        <w:rPr>
          <w:color w:val="231F20"/>
          <w:sz w:val="17"/>
        </w:rPr>
        <w:t>d’insérer</w:t>
      </w:r>
      <w:r>
        <w:rPr>
          <w:color w:val="231F20"/>
          <w:spacing w:val="24"/>
          <w:sz w:val="17"/>
        </w:rPr>
        <w:t> </w:t>
      </w:r>
      <w:r>
        <w:rPr>
          <w:color w:val="231F20"/>
          <w:sz w:val="17"/>
        </w:rPr>
        <w:t>les</w:t>
      </w:r>
      <w:r>
        <w:rPr>
          <w:color w:val="231F20"/>
          <w:spacing w:val="24"/>
          <w:sz w:val="17"/>
        </w:rPr>
        <w:t> </w:t>
      </w:r>
      <w:r>
        <w:rPr>
          <w:color w:val="231F20"/>
          <w:sz w:val="17"/>
        </w:rPr>
        <w:t>nouvelles</w:t>
      </w:r>
      <w:r>
        <w:rPr>
          <w:color w:val="231F20"/>
          <w:spacing w:val="24"/>
          <w:sz w:val="17"/>
        </w:rPr>
        <w:t> </w:t>
      </w:r>
      <w:r>
        <w:rPr>
          <w:color w:val="231F20"/>
          <w:sz w:val="17"/>
        </w:rPr>
        <w:t>technologies.</w:t>
      </w:r>
    </w:p>
    <w:p>
      <w:pPr>
        <w:pStyle w:val="BodyText"/>
        <w:spacing w:line="218" w:lineRule="auto" w:before="133"/>
        <w:ind w:right="39"/>
      </w:pPr>
      <w:r>
        <w:rPr>
          <w:rFonts w:ascii="Times New Roman" w:hAnsi="Times New Roman"/>
          <w:b/>
          <w:color w:val="231F20"/>
        </w:rPr>
        <w:t>Art. 33. </w:t>
      </w:r>
      <w:r>
        <w:rPr>
          <w:color w:val="231F20"/>
        </w:rPr>
        <w:t>Le Roi peut prendre les mesures nécessaires afin de permettre l’utilisation de nouvelles technologies pour l’enregistrement d’opérations avec titres ou pour des adaptations du registre des sociétés, y compris celles d’abroger, de compléter, de modifier ou de remplacer des dispositions du Code des sociétés et des associations ou d’autres dispositions</w:t>
      </w:r>
      <w:r>
        <w:rPr>
          <w:color w:val="231F20"/>
          <w:spacing w:val="-11"/>
        </w:rPr>
        <w:t> </w:t>
      </w:r>
      <w:r>
        <w:rPr>
          <w:color w:val="231F20"/>
        </w:rPr>
        <w:t>légales.</w:t>
      </w:r>
    </w:p>
    <w:p>
      <w:pPr>
        <w:spacing w:line="228" w:lineRule="auto" w:before="77"/>
        <w:ind w:left="475" w:right="401" w:hanging="1"/>
        <w:jc w:val="center"/>
        <w:rPr>
          <w:rFonts w:ascii="Times New Roman" w:hAnsi="Times New Roman"/>
          <w:i/>
          <w:sz w:val="17"/>
        </w:rPr>
      </w:pPr>
      <w:r>
        <w:rPr>
          <w:color w:val="231F20"/>
          <w:w w:val="105"/>
          <w:sz w:val="17"/>
        </w:rPr>
        <w:t>CHAPITRE </w:t>
      </w:r>
      <w:r>
        <w:rPr>
          <w:color w:val="231F20"/>
          <w:spacing w:val="-8"/>
          <w:w w:val="105"/>
          <w:sz w:val="17"/>
        </w:rPr>
        <w:t>IV. </w:t>
      </w:r>
      <w:r>
        <w:rPr>
          <w:color w:val="231F20"/>
          <w:w w:val="105"/>
          <w:sz w:val="17"/>
        </w:rPr>
        <w:t>— </w:t>
      </w:r>
      <w:r>
        <w:rPr>
          <w:rFonts w:ascii="Times New Roman" w:hAnsi="Times New Roman"/>
          <w:i/>
          <w:color w:val="231F20"/>
          <w:w w:val="105"/>
          <w:sz w:val="17"/>
        </w:rPr>
        <w:t>Dispositions abrogatoires. </w:t>
      </w:r>
      <w:r>
        <w:rPr>
          <w:i/>
          <w:color w:val="231F20"/>
          <w:w w:val="105"/>
          <w:sz w:val="17"/>
        </w:rPr>
        <w:t>— </w:t>
      </w:r>
      <w:r>
        <w:rPr>
          <w:rFonts w:ascii="Times New Roman" w:hAnsi="Times New Roman"/>
          <w:i/>
          <w:color w:val="231F20"/>
          <w:w w:val="105"/>
          <w:sz w:val="17"/>
        </w:rPr>
        <w:t>Dispositions </w:t>
      </w:r>
      <w:r>
        <w:rPr>
          <w:rFonts w:ascii="Times New Roman" w:hAnsi="Times New Roman"/>
          <w:i/>
          <w:color w:val="231F20"/>
          <w:w w:val="105"/>
          <w:sz w:val="17"/>
        </w:rPr>
        <w:t>transitoires.</w:t>
      </w:r>
      <w:r>
        <w:rPr>
          <w:rFonts w:ascii="Times New Roman" w:hAnsi="Times New Roman"/>
          <w:i/>
          <w:color w:val="231F20"/>
          <w:spacing w:val="-5"/>
          <w:w w:val="105"/>
          <w:sz w:val="17"/>
        </w:rPr>
        <w:t> </w:t>
      </w:r>
      <w:r>
        <w:rPr>
          <w:i/>
          <w:color w:val="231F20"/>
          <w:w w:val="105"/>
          <w:sz w:val="17"/>
        </w:rPr>
        <w:t>—</w:t>
      </w:r>
      <w:r>
        <w:rPr>
          <w:i/>
          <w:color w:val="231F20"/>
          <w:spacing w:val="-4"/>
          <w:w w:val="105"/>
          <w:sz w:val="17"/>
        </w:rPr>
        <w:t> </w:t>
      </w:r>
      <w:r>
        <w:rPr>
          <w:rFonts w:ascii="Times New Roman" w:hAnsi="Times New Roman"/>
          <w:i/>
          <w:color w:val="231F20"/>
          <w:w w:val="105"/>
          <w:sz w:val="17"/>
        </w:rPr>
        <w:t>Entr</w:t>
      </w:r>
      <w:r>
        <w:rPr>
          <w:i/>
          <w:color w:val="231F20"/>
          <w:w w:val="105"/>
          <w:sz w:val="17"/>
        </w:rPr>
        <w:t>é</w:t>
      </w:r>
      <w:r>
        <w:rPr>
          <w:rFonts w:ascii="Times New Roman" w:hAnsi="Times New Roman"/>
          <w:i/>
          <w:color w:val="231F20"/>
          <w:w w:val="105"/>
          <w:sz w:val="17"/>
        </w:rPr>
        <w:t>e</w:t>
      </w:r>
      <w:r>
        <w:rPr>
          <w:rFonts w:ascii="Times New Roman" w:hAnsi="Times New Roman"/>
          <w:i/>
          <w:color w:val="231F20"/>
          <w:spacing w:val="-4"/>
          <w:w w:val="105"/>
          <w:sz w:val="17"/>
        </w:rPr>
        <w:t> </w:t>
      </w:r>
      <w:r>
        <w:rPr>
          <w:rFonts w:ascii="Times New Roman" w:hAnsi="Times New Roman"/>
          <w:i/>
          <w:color w:val="231F20"/>
          <w:w w:val="105"/>
          <w:sz w:val="17"/>
        </w:rPr>
        <w:t>en</w:t>
      </w:r>
      <w:r>
        <w:rPr>
          <w:rFonts w:ascii="Times New Roman" w:hAnsi="Times New Roman"/>
          <w:i/>
          <w:color w:val="231F20"/>
          <w:spacing w:val="-5"/>
          <w:w w:val="105"/>
          <w:sz w:val="17"/>
        </w:rPr>
        <w:t> </w:t>
      </w:r>
      <w:r>
        <w:rPr>
          <w:rFonts w:ascii="Times New Roman" w:hAnsi="Times New Roman"/>
          <w:i/>
          <w:color w:val="231F20"/>
          <w:w w:val="105"/>
          <w:sz w:val="17"/>
        </w:rPr>
        <w:t>vigueur.</w:t>
      </w:r>
      <w:r>
        <w:rPr>
          <w:rFonts w:ascii="Times New Roman" w:hAnsi="Times New Roman"/>
          <w:i/>
          <w:color w:val="231F20"/>
          <w:spacing w:val="-5"/>
          <w:w w:val="105"/>
          <w:sz w:val="17"/>
        </w:rPr>
        <w:t> </w:t>
      </w:r>
      <w:r>
        <w:rPr>
          <w:i/>
          <w:color w:val="231F20"/>
          <w:w w:val="105"/>
          <w:sz w:val="17"/>
        </w:rPr>
        <w:t>—</w:t>
      </w:r>
      <w:r>
        <w:rPr>
          <w:i/>
          <w:color w:val="231F20"/>
          <w:spacing w:val="-3"/>
          <w:w w:val="105"/>
          <w:sz w:val="17"/>
        </w:rPr>
        <w:t> </w:t>
      </w:r>
      <w:r>
        <w:rPr>
          <w:rFonts w:ascii="Times New Roman" w:hAnsi="Times New Roman"/>
          <w:i/>
          <w:color w:val="231F20"/>
          <w:w w:val="105"/>
          <w:sz w:val="17"/>
        </w:rPr>
        <w:t>Attribution</w:t>
      </w:r>
      <w:r>
        <w:rPr>
          <w:rFonts w:ascii="Times New Roman" w:hAnsi="Times New Roman"/>
          <w:i/>
          <w:color w:val="231F20"/>
          <w:spacing w:val="-5"/>
          <w:w w:val="105"/>
          <w:sz w:val="17"/>
        </w:rPr>
        <w:t> </w:t>
      </w:r>
      <w:r>
        <w:rPr>
          <w:rFonts w:ascii="Times New Roman" w:hAnsi="Times New Roman"/>
          <w:i/>
          <w:color w:val="231F20"/>
          <w:w w:val="105"/>
          <w:sz w:val="17"/>
        </w:rPr>
        <w:t>de</w:t>
      </w:r>
      <w:r>
        <w:rPr>
          <w:rFonts w:ascii="Times New Roman" w:hAnsi="Times New Roman"/>
          <w:i/>
          <w:color w:val="231F20"/>
          <w:spacing w:val="-5"/>
          <w:w w:val="105"/>
          <w:sz w:val="17"/>
        </w:rPr>
        <w:t> </w:t>
      </w:r>
      <w:r>
        <w:rPr>
          <w:rFonts w:ascii="Times New Roman" w:hAnsi="Times New Roman"/>
          <w:i/>
          <w:color w:val="231F20"/>
          <w:w w:val="105"/>
          <w:sz w:val="17"/>
        </w:rPr>
        <w:t>comp</w:t>
      </w:r>
      <w:r>
        <w:rPr>
          <w:i/>
          <w:color w:val="231F20"/>
          <w:w w:val="105"/>
          <w:sz w:val="17"/>
        </w:rPr>
        <w:t>é</w:t>
      </w:r>
      <w:r>
        <w:rPr>
          <w:rFonts w:ascii="Times New Roman" w:hAnsi="Times New Roman"/>
          <w:i/>
          <w:color w:val="231F20"/>
          <w:w w:val="105"/>
          <w:sz w:val="17"/>
        </w:rPr>
        <w:t>tences.</w:t>
      </w:r>
    </w:p>
    <w:p>
      <w:pPr>
        <w:spacing w:before="107"/>
        <w:ind w:left="1290" w:right="0" w:firstLine="0"/>
        <w:jc w:val="left"/>
        <w:rPr>
          <w:sz w:val="17"/>
        </w:rPr>
      </w:pPr>
      <w:r>
        <w:rPr>
          <w:rFonts w:ascii="Times New Roman" w:hAnsi="Times New Roman"/>
          <w:i/>
          <w:color w:val="231F20"/>
          <w:sz w:val="17"/>
        </w:rPr>
        <w:t>Section I</w:t>
      </w:r>
      <w:r>
        <w:rPr>
          <w:rFonts w:ascii="Times New Roman" w:hAnsi="Times New Roman"/>
          <w:i/>
          <w:color w:val="231F20"/>
          <w:position w:val="7"/>
          <w:sz w:val="11"/>
        </w:rPr>
        <w:t>re</w:t>
      </w:r>
      <w:r>
        <w:rPr>
          <w:rFonts w:ascii="Times New Roman" w:hAnsi="Times New Roman"/>
          <w:i/>
          <w:color w:val="231F20"/>
          <w:sz w:val="17"/>
        </w:rPr>
        <w:t>. </w:t>
      </w:r>
      <w:r>
        <w:rPr>
          <w:i/>
          <w:color w:val="231F20"/>
          <w:sz w:val="17"/>
        </w:rPr>
        <w:t>— </w:t>
      </w:r>
      <w:r>
        <w:rPr>
          <w:color w:val="231F20"/>
          <w:sz w:val="17"/>
        </w:rPr>
        <w:t>Dispositions abrogatoires.</w:t>
      </w:r>
    </w:p>
    <w:p>
      <w:pPr>
        <w:pStyle w:val="BodyText"/>
        <w:spacing w:line="218" w:lineRule="auto" w:before="132"/>
        <w:ind w:right="40"/>
      </w:pPr>
      <w:r>
        <w:rPr>
          <w:rFonts w:ascii="Times New Roman" w:hAnsi="Times New Roman"/>
          <w:b/>
          <w:color w:val="231F20"/>
        </w:rPr>
        <w:t>Art. 34. </w:t>
      </w:r>
      <w:r>
        <w:rPr>
          <w:color w:val="231F20"/>
        </w:rPr>
        <w:t>Sans préjudice de la section II, le Code de sociétés est  abrogé.</w:t>
      </w:r>
    </w:p>
    <w:p>
      <w:pPr>
        <w:pStyle w:val="BodyText"/>
        <w:spacing w:line="218" w:lineRule="auto" w:before="126"/>
        <w:ind w:right="38"/>
      </w:pPr>
      <w:r>
        <w:rPr>
          <w:rFonts w:ascii="Times New Roman" w:hAnsi="Times New Roman"/>
          <w:b/>
          <w:color w:val="231F20"/>
        </w:rPr>
        <w:t>Art. 35. </w:t>
      </w:r>
      <w:r>
        <w:rPr>
          <w:color w:val="231F20"/>
        </w:rPr>
        <w:t>Sans préjudice de la section II, la loi du 27 juin 1921 sur les associations  sans  but  lucratif,  les  fondations,  les  partis   politi-   ques</w:t>
      </w:r>
      <w:r>
        <w:rPr>
          <w:color w:val="231F20"/>
          <w:spacing w:val="15"/>
        </w:rPr>
        <w:t> </w:t>
      </w:r>
      <w:r>
        <w:rPr>
          <w:color w:val="231F20"/>
        </w:rPr>
        <w:t>européens</w:t>
      </w:r>
      <w:r>
        <w:rPr>
          <w:color w:val="231F20"/>
          <w:spacing w:val="15"/>
        </w:rPr>
        <w:t> </w:t>
      </w:r>
      <w:r>
        <w:rPr>
          <w:color w:val="231F20"/>
        </w:rPr>
        <w:t>et</w:t>
      </w:r>
      <w:r>
        <w:rPr>
          <w:color w:val="231F20"/>
          <w:spacing w:val="16"/>
        </w:rPr>
        <w:t> </w:t>
      </w:r>
      <w:r>
        <w:rPr>
          <w:color w:val="231F20"/>
        </w:rPr>
        <w:t>les</w:t>
      </w:r>
      <w:r>
        <w:rPr>
          <w:color w:val="231F20"/>
          <w:spacing w:val="15"/>
        </w:rPr>
        <w:t> </w:t>
      </w:r>
      <w:r>
        <w:rPr>
          <w:color w:val="231F20"/>
        </w:rPr>
        <w:t>fondations</w:t>
      </w:r>
      <w:r>
        <w:rPr>
          <w:color w:val="231F20"/>
          <w:spacing w:val="15"/>
        </w:rPr>
        <w:t> </w:t>
      </w:r>
      <w:r>
        <w:rPr>
          <w:color w:val="231F20"/>
        </w:rPr>
        <w:t>politiques</w:t>
      </w:r>
      <w:r>
        <w:rPr>
          <w:color w:val="231F20"/>
          <w:spacing w:val="16"/>
        </w:rPr>
        <w:t> </w:t>
      </w:r>
      <w:r>
        <w:rPr>
          <w:color w:val="231F20"/>
        </w:rPr>
        <w:t>européennes</w:t>
      </w:r>
      <w:r>
        <w:rPr>
          <w:color w:val="231F20"/>
          <w:spacing w:val="15"/>
        </w:rPr>
        <w:t> </w:t>
      </w:r>
      <w:r>
        <w:rPr>
          <w:color w:val="231F20"/>
        </w:rPr>
        <w:t>est</w:t>
      </w:r>
      <w:r>
        <w:rPr>
          <w:color w:val="231F20"/>
          <w:spacing w:val="15"/>
        </w:rPr>
        <w:t> </w:t>
      </w:r>
      <w:r>
        <w:rPr>
          <w:color w:val="231F20"/>
        </w:rPr>
        <w:t>abrogée.</w:t>
      </w:r>
    </w:p>
    <w:p>
      <w:pPr>
        <w:pStyle w:val="BodyText"/>
        <w:spacing w:line="218" w:lineRule="auto" w:before="125"/>
        <w:ind w:right="40"/>
      </w:pPr>
      <w:r>
        <w:rPr>
          <w:rFonts w:ascii="Times New Roman" w:hAnsi="Times New Roman"/>
          <w:b/>
          <w:color w:val="231F20"/>
        </w:rPr>
        <w:t>Art. 36. </w:t>
      </w:r>
      <w:r>
        <w:rPr>
          <w:color w:val="231F20"/>
        </w:rPr>
        <w:t>La loi du 31 mars 1898 sur les unions professionnelles est abrogée.</w:t>
      </w:r>
    </w:p>
    <w:p>
      <w:pPr>
        <w:pStyle w:val="BodyText"/>
        <w:spacing w:line="218" w:lineRule="auto" w:before="126"/>
        <w:ind w:right="38"/>
      </w:pPr>
      <w:r>
        <w:rPr>
          <w:rFonts w:ascii="Times New Roman" w:hAnsi="Times New Roman"/>
          <w:b/>
          <w:color w:val="231F20"/>
        </w:rPr>
        <w:t>Art. 37. </w:t>
      </w:r>
      <w:r>
        <w:rPr>
          <w:color w:val="231F20"/>
        </w:rPr>
        <w:t>La loi du 12 juillet 1989 portant diverses mesures d’appli- cation</w:t>
      </w:r>
      <w:r>
        <w:rPr>
          <w:color w:val="231F20"/>
          <w:spacing w:val="-12"/>
        </w:rPr>
        <w:t> </w:t>
      </w:r>
      <w:r>
        <w:rPr>
          <w:color w:val="231F20"/>
        </w:rPr>
        <w:t>du</w:t>
      </w:r>
      <w:r>
        <w:rPr>
          <w:color w:val="231F20"/>
          <w:spacing w:val="-11"/>
        </w:rPr>
        <w:t> </w:t>
      </w:r>
      <w:r>
        <w:rPr>
          <w:color w:val="231F20"/>
        </w:rPr>
        <w:t>Règlement</w:t>
      </w:r>
      <w:r>
        <w:rPr>
          <w:color w:val="231F20"/>
          <w:spacing w:val="-12"/>
        </w:rPr>
        <w:t> </w:t>
      </w:r>
      <w:r>
        <w:rPr>
          <w:color w:val="231F20"/>
        </w:rPr>
        <w:t>(CEE)</w:t>
      </w:r>
      <w:r>
        <w:rPr>
          <w:color w:val="231F20"/>
          <w:spacing w:val="-11"/>
        </w:rPr>
        <w:t> </w:t>
      </w:r>
      <w:r>
        <w:rPr>
          <w:color w:val="231F20"/>
        </w:rPr>
        <w:t>n°</w:t>
      </w:r>
      <w:r>
        <w:rPr>
          <w:color w:val="231F20"/>
          <w:spacing w:val="-12"/>
        </w:rPr>
        <w:t> </w:t>
      </w:r>
      <w:r>
        <w:rPr>
          <w:color w:val="231F20"/>
        </w:rPr>
        <w:t>2137/85</w:t>
      </w:r>
      <w:r>
        <w:rPr>
          <w:color w:val="231F20"/>
          <w:spacing w:val="-11"/>
        </w:rPr>
        <w:t> </w:t>
      </w:r>
      <w:r>
        <w:rPr>
          <w:color w:val="231F20"/>
        </w:rPr>
        <w:t>du</w:t>
      </w:r>
      <w:r>
        <w:rPr>
          <w:color w:val="231F20"/>
          <w:spacing w:val="-11"/>
        </w:rPr>
        <w:t> </w:t>
      </w:r>
      <w:r>
        <w:rPr>
          <w:color w:val="231F20"/>
        </w:rPr>
        <w:t>Conseil</w:t>
      </w:r>
      <w:r>
        <w:rPr>
          <w:color w:val="231F20"/>
          <w:spacing w:val="-12"/>
        </w:rPr>
        <w:t> </w:t>
      </w:r>
      <w:r>
        <w:rPr>
          <w:color w:val="231F20"/>
        </w:rPr>
        <w:t>du</w:t>
      </w:r>
      <w:r>
        <w:rPr>
          <w:color w:val="231F20"/>
          <w:spacing w:val="-11"/>
        </w:rPr>
        <w:t> </w:t>
      </w:r>
      <w:r>
        <w:rPr>
          <w:color w:val="231F20"/>
        </w:rPr>
        <w:t>25</w:t>
      </w:r>
      <w:r>
        <w:rPr>
          <w:color w:val="231F20"/>
          <w:spacing w:val="-12"/>
        </w:rPr>
        <w:t> </w:t>
      </w:r>
      <w:r>
        <w:rPr>
          <w:color w:val="231F20"/>
        </w:rPr>
        <w:t>juillet</w:t>
      </w:r>
      <w:r>
        <w:rPr>
          <w:color w:val="231F20"/>
          <w:spacing w:val="-11"/>
        </w:rPr>
        <w:t> </w:t>
      </w:r>
      <w:r>
        <w:rPr>
          <w:color w:val="231F20"/>
        </w:rPr>
        <w:t>1985</w:t>
      </w:r>
      <w:r>
        <w:rPr>
          <w:color w:val="231F20"/>
          <w:spacing w:val="-11"/>
        </w:rPr>
        <w:t> </w:t>
      </w:r>
      <w:r>
        <w:rPr>
          <w:color w:val="231F20"/>
        </w:rPr>
        <w:t>rela- tif à l’institution d’un groupement européen d’intérêt économique est abrogée.</w:t>
      </w:r>
    </w:p>
    <w:p>
      <w:pPr>
        <w:spacing w:before="111"/>
        <w:ind w:left="557" w:right="0" w:firstLine="0"/>
        <w:jc w:val="left"/>
        <w:rPr>
          <w:sz w:val="17"/>
        </w:rPr>
      </w:pPr>
      <w:r>
        <w:rPr>
          <w:rFonts w:ascii="Times New Roman" w:hAnsi="Times New Roman"/>
          <w:i/>
          <w:color w:val="231F20"/>
          <w:sz w:val="17"/>
        </w:rPr>
        <w:t>Section II. </w:t>
      </w:r>
      <w:r>
        <w:rPr>
          <w:i/>
          <w:color w:val="231F20"/>
          <w:sz w:val="17"/>
        </w:rPr>
        <w:t>— </w:t>
      </w:r>
      <w:r>
        <w:rPr>
          <w:color w:val="231F20"/>
          <w:sz w:val="17"/>
        </w:rPr>
        <w:t>Dispositions transitoires et entrée en vigueur.</w:t>
      </w:r>
    </w:p>
    <w:p>
      <w:pPr>
        <w:spacing w:before="106"/>
        <w:ind w:left="283" w:right="0" w:firstLine="0"/>
        <w:jc w:val="left"/>
        <w:rPr>
          <w:sz w:val="17"/>
        </w:rPr>
      </w:pPr>
      <w:r>
        <w:rPr>
          <w:rFonts w:ascii="Times New Roman" w:hAnsi="Times New Roman"/>
          <w:b/>
          <w:color w:val="231F20"/>
          <w:sz w:val="17"/>
        </w:rPr>
        <w:t>Art. 38. </w:t>
      </w:r>
      <w:r>
        <w:rPr>
          <w:color w:val="231F20"/>
          <w:sz w:val="17"/>
        </w:rPr>
        <w:t>La présente loi entre en vigueur le 1</w:t>
      </w:r>
      <w:r>
        <w:rPr>
          <w:color w:val="231F20"/>
          <w:position w:val="7"/>
          <w:sz w:val="11"/>
        </w:rPr>
        <w:t>er </w:t>
      </w:r>
      <w:r>
        <w:rPr>
          <w:color w:val="231F20"/>
          <w:sz w:val="17"/>
        </w:rPr>
        <w:t>mai 2019.</w:t>
      </w:r>
    </w:p>
    <w:p>
      <w:pPr>
        <w:pStyle w:val="BodyText"/>
        <w:spacing w:line="218" w:lineRule="auto" w:before="82"/>
        <w:ind w:right="40"/>
      </w:pPr>
      <w:r>
        <w:rPr>
          <w:color w:val="231F20"/>
        </w:rPr>
        <w:t>L’article 2:4, alinéa 5, du Code des sociétés et des associations, tel qu’inséré par l’article 2, produit ses effets le 31 décembre 2018.</w:t>
      </w:r>
    </w:p>
    <w:p>
      <w:pPr>
        <w:pStyle w:val="BodyText"/>
        <w:spacing w:before="7"/>
        <w:ind w:left="0" w:right="0" w:firstLine="0"/>
        <w:jc w:val="left"/>
        <w:rPr>
          <w:sz w:val="25"/>
        </w:rPr>
      </w:pPr>
    </w:p>
    <w:p>
      <w:pPr>
        <w:pStyle w:val="BodyText"/>
        <w:spacing w:line="216" w:lineRule="auto"/>
        <w:ind w:right="39"/>
      </w:pPr>
      <w:r>
        <w:rPr>
          <w:rFonts w:ascii="Times New Roman" w:hAnsi="Times New Roman"/>
          <w:b/>
          <w:color w:val="231F20"/>
        </w:rPr>
        <w:t>Art. 39. </w:t>
      </w:r>
      <w:r>
        <w:rPr>
          <w:color w:val="231F20"/>
        </w:rPr>
        <w:t>§ 1</w:t>
      </w:r>
      <w:r>
        <w:rPr>
          <w:color w:val="231F20"/>
          <w:position w:val="7"/>
          <w:sz w:val="11"/>
        </w:rPr>
        <w:t>er</w:t>
      </w:r>
      <w:r>
        <w:rPr>
          <w:color w:val="231F20"/>
        </w:rPr>
        <w:t>. Le Code des sociétés et des associations est pour la première fois d’application aux sociétés, associations et fondations existant  au  moment  de  l’entrée  en  vigueur  de  la  présente  loi  le   1</w:t>
      </w:r>
      <w:r>
        <w:rPr>
          <w:color w:val="231F20"/>
          <w:position w:val="7"/>
          <w:sz w:val="11"/>
        </w:rPr>
        <w:t>er </w:t>
      </w:r>
      <w:r>
        <w:rPr>
          <w:color w:val="231F20"/>
        </w:rPr>
        <w:t>janvier 2020. Les sociétés et associations dotées de la personnalité juridique, et les fondations sont censées exister à partir du jour où elles ont acquis la personnalité</w:t>
      </w:r>
      <w:r>
        <w:rPr>
          <w:color w:val="231F20"/>
          <w:spacing w:val="18"/>
        </w:rPr>
        <w:t> </w:t>
      </w:r>
      <w:r>
        <w:rPr>
          <w:color w:val="231F20"/>
        </w:rPr>
        <w:t>juridique.</w:t>
      </w:r>
    </w:p>
    <w:p>
      <w:pPr>
        <w:pStyle w:val="BodyText"/>
        <w:spacing w:line="208" w:lineRule="auto" w:before="85"/>
        <w:ind w:right="39"/>
      </w:pPr>
      <w:r>
        <w:rPr>
          <w:color w:val="231F20"/>
        </w:rPr>
        <w:t>Dès la publication de la présente loi au </w:t>
      </w:r>
      <w:r>
        <w:rPr>
          <w:rFonts w:ascii="Times New Roman" w:hAnsi="Times New Roman"/>
          <w:i/>
          <w:color w:val="231F20"/>
        </w:rPr>
        <w:t>Moniteur belge</w:t>
      </w:r>
      <w:r>
        <w:rPr>
          <w:color w:val="231F20"/>
        </w:rPr>
        <w:t>, les sociétés, associations et fondations visées à l’alinéa 1</w:t>
      </w:r>
      <w:r>
        <w:rPr>
          <w:color w:val="231F20"/>
          <w:position w:val="7"/>
          <w:sz w:val="11"/>
        </w:rPr>
        <w:t>er </w:t>
      </w:r>
      <w:r>
        <w:rPr>
          <w:color w:val="231F20"/>
        </w:rPr>
        <w:t>peuvent cependant décider d’appliquer les dispositions du même Code avant  le  1</w:t>
      </w:r>
      <w:r>
        <w:rPr>
          <w:color w:val="231F20"/>
          <w:position w:val="7"/>
          <w:sz w:val="11"/>
        </w:rPr>
        <w:t>er  </w:t>
      </w:r>
      <w:r>
        <w:rPr>
          <w:color w:val="231F20"/>
        </w:rPr>
        <w:t>jan- vier 2020. Cette décision requiert une modification des statuts. Si une société, association ou fondation visée à l’alinéa 1</w:t>
      </w:r>
      <w:r>
        <w:rPr>
          <w:color w:val="231F20"/>
          <w:position w:val="7"/>
          <w:sz w:val="11"/>
        </w:rPr>
        <w:t>er </w:t>
      </w:r>
      <w:r>
        <w:rPr>
          <w:color w:val="231F20"/>
        </w:rPr>
        <w:t>fait usage de cette faculté, elle doit mettre ses statuts en conformité avec les dispositions du Code et celui-ci lui est applicable à partir du jour de la publication de</w:t>
      </w:r>
      <w:r>
        <w:rPr>
          <w:color w:val="231F20"/>
          <w:spacing w:val="15"/>
        </w:rPr>
        <w:t> </w:t>
      </w:r>
      <w:r>
        <w:rPr>
          <w:color w:val="231F20"/>
        </w:rPr>
        <w:t>la</w:t>
      </w:r>
      <w:r>
        <w:rPr>
          <w:color w:val="231F20"/>
          <w:spacing w:val="15"/>
        </w:rPr>
        <w:t> </w:t>
      </w:r>
      <w:r>
        <w:rPr>
          <w:color w:val="231F20"/>
        </w:rPr>
        <w:t>modification</w:t>
      </w:r>
      <w:r>
        <w:rPr>
          <w:color w:val="231F20"/>
          <w:spacing w:val="16"/>
        </w:rPr>
        <w:t> </w:t>
      </w:r>
      <w:r>
        <w:rPr>
          <w:color w:val="231F20"/>
        </w:rPr>
        <w:t>des</w:t>
      </w:r>
      <w:r>
        <w:rPr>
          <w:color w:val="231F20"/>
          <w:spacing w:val="15"/>
        </w:rPr>
        <w:t> </w:t>
      </w:r>
      <w:r>
        <w:rPr>
          <w:color w:val="231F20"/>
        </w:rPr>
        <w:t>statuts</w:t>
      </w:r>
      <w:r>
        <w:rPr>
          <w:color w:val="231F20"/>
          <w:spacing w:val="16"/>
        </w:rPr>
        <w:t> </w:t>
      </w:r>
      <w:r>
        <w:rPr>
          <w:color w:val="231F20"/>
        </w:rPr>
        <w:t>mais</w:t>
      </w:r>
      <w:r>
        <w:rPr>
          <w:color w:val="231F20"/>
          <w:spacing w:val="15"/>
        </w:rPr>
        <w:t> </w:t>
      </w:r>
      <w:r>
        <w:rPr>
          <w:color w:val="231F20"/>
        </w:rPr>
        <w:t>au</w:t>
      </w:r>
      <w:r>
        <w:rPr>
          <w:color w:val="231F20"/>
          <w:spacing w:val="16"/>
        </w:rPr>
        <w:t> </w:t>
      </w:r>
      <w:r>
        <w:rPr>
          <w:color w:val="231F20"/>
        </w:rPr>
        <w:t>plus</w:t>
      </w:r>
      <w:r>
        <w:rPr>
          <w:color w:val="231F20"/>
          <w:spacing w:val="15"/>
        </w:rPr>
        <w:t> </w:t>
      </w:r>
      <w:r>
        <w:rPr>
          <w:color w:val="231F20"/>
        </w:rPr>
        <w:t>tôt</w:t>
      </w:r>
      <w:r>
        <w:rPr>
          <w:color w:val="231F20"/>
          <w:spacing w:val="16"/>
        </w:rPr>
        <w:t> </w:t>
      </w:r>
      <w:r>
        <w:rPr>
          <w:color w:val="231F20"/>
        </w:rPr>
        <w:t>le</w:t>
      </w:r>
      <w:r>
        <w:rPr>
          <w:color w:val="231F20"/>
          <w:spacing w:val="15"/>
        </w:rPr>
        <w:t> </w:t>
      </w:r>
      <w:r>
        <w:rPr>
          <w:color w:val="231F20"/>
        </w:rPr>
        <w:t>1</w:t>
      </w:r>
      <w:r>
        <w:rPr>
          <w:color w:val="231F20"/>
          <w:position w:val="7"/>
          <w:sz w:val="11"/>
        </w:rPr>
        <w:t>er</w:t>
      </w:r>
      <w:r>
        <w:rPr>
          <w:color w:val="231F20"/>
          <w:spacing w:val="17"/>
          <w:position w:val="7"/>
          <w:sz w:val="11"/>
        </w:rPr>
        <w:t> </w:t>
      </w:r>
      <w:r>
        <w:rPr>
          <w:color w:val="231F20"/>
        </w:rPr>
        <w:t>mai</w:t>
      </w:r>
      <w:r>
        <w:rPr>
          <w:color w:val="231F20"/>
          <w:spacing w:val="15"/>
        </w:rPr>
        <w:t> </w:t>
      </w:r>
      <w:r>
        <w:rPr>
          <w:color w:val="231F20"/>
        </w:rPr>
        <w:t>2019.</w:t>
      </w:r>
    </w:p>
    <w:p>
      <w:pPr>
        <w:pStyle w:val="BodyText"/>
        <w:spacing w:before="5"/>
        <w:ind w:left="0" w:right="0" w:firstLine="0"/>
        <w:jc w:val="left"/>
        <w:rPr>
          <w:sz w:val="21"/>
        </w:rPr>
      </w:pPr>
    </w:p>
    <w:p>
      <w:pPr>
        <w:pStyle w:val="BodyText"/>
        <w:spacing w:line="216" w:lineRule="auto"/>
        <w:ind w:right="39"/>
      </w:pPr>
      <w:r>
        <w:rPr>
          <w:color w:val="231F20"/>
        </w:rPr>
        <w:t>Les sociétés, associations et fondations visées à l’alinéa 1</w:t>
      </w:r>
      <w:r>
        <w:rPr>
          <w:color w:val="231F20"/>
          <w:position w:val="7"/>
          <w:sz w:val="11"/>
        </w:rPr>
        <w:t>er </w:t>
      </w:r>
      <w:r>
        <w:rPr>
          <w:color w:val="231F20"/>
        </w:rPr>
        <w:t>doivent mettre leurs statuts en conformité avec les dispositions du Code des sociétés et des associations à l’occasion de la première modification de leurs statuts après le 1</w:t>
      </w:r>
      <w:r>
        <w:rPr>
          <w:color w:val="231F20"/>
          <w:position w:val="7"/>
          <w:sz w:val="11"/>
        </w:rPr>
        <w:t>er </w:t>
      </w:r>
      <w:r>
        <w:rPr>
          <w:color w:val="231F20"/>
        </w:rPr>
        <w:t>janvier 2020, sauf s’il s’agit d’une modification des statuts qui résulte de l’utilisation du capital autorisé, de l’exercice de droits de souscription ou de la conversion d’obligations convertibles. Dans tous les cas, les statuts doivent être mis en conformité avec les dispositions du même Code au plus tard le 1</w:t>
      </w:r>
      <w:r>
        <w:rPr>
          <w:color w:val="231F20"/>
          <w:position w:val="7"/>
          <w:sz w:val="11"/>
        </w:rPr>
        <w:t>er </w:t>
      </w:r>
      <w:r>
        <w:rPr>
          <w:color w:val="231F20"/>
        </w:rPr>
        <w:t>janvier 2024. Les membres de l’organe d’administration sont personnellement et solidai- rement responsables des dommages subis par la société, l’association ou la fondation ou par des tiers résultant du non-respect de cette obligation.</w:t>
      </w:r>
    </w:p>
    <w:p>
      <w:pPr>
        <w:pStyle w:val="BodyText"/>
        <w:spacing w:line="216" w:lineRule="auto" w:before="65"/>
        <w:ind w:right="39"/>
      </w:pPr>
      <w:r>
        <w:rPr>
          <w:color w:val="231F20"/>
        </w:rPr>
        <w:t>§ 2. À partir du 1</w:t>
      </w:r>
      <w:r>
        <w:rPr>
          <w:color w:val="231F20"/>
          <w:position w:val="7"/>
          <w:sz w:val="11"/>
        </w:rPr>
        <w:t>er </w:t>
      </w:r>
      <w:r>
        <w:rPr>
          <w:color w:val="231F20"/>
        </w:rPr>
        <w:t>janvier 2020 ou, pour les sociétés, associations ou fondations qui ont fait usage de l’option prévue au paragraphe 1</w:t>
      </w:r>
      <w:r>
        <w:rPr>
          <w:color w:val="231F20"/>
          <w:position w:val="7"/>
          <w:sz w:val="11"/>
        </w:rPr>
        <w:t>er</w:t>
      </w:r>
      <w:r>
        <w:rPr>
          <w:color w:val="231F20"/>
        </w:rPr>
        <w:t>, alinéa 2, à partir de la publication de la modification des statuts visée dans cet alinéa, les dispositions impératives du Code des sociétés et des associations deviennent applicables. Les clauses des statuts contraires aux dispositions impératives du Code des sociétés et des associations sont réputées non écrites à dater de ce </w:t>
      </w:r>
      <w:r>
        <w:rPr>
          <w:color w:val="231F20"/>
          <w:spacing w:val="-3"/>
        </w:rPr>
        <w:t>jour. </w:t>
      </w:r>
      <w:r>
        <w:rPr>
          <w:color w:val="231F20"/>
        </w:rPr>
        <w:t>Les dispositions supplétives du Code des sociétés et des associations ne deviennent applicables que si</w:t>
      </w:r>
      <w:r>
        <w:rPr>
          <w:color w:val="231F20"/>
          <w:spacing w:val="14"/>
        </w:rPr>
        <w:t> </w:t>
      </w:r>
      <w:r>
        <w:rPr>
          <w:color w:val="231F20"/>
        </w:rPr>
        <w:t>elles</w:t>
      </w:r>
      <w:r>
        <w:rPr>
          <w:color w:val="231F20"/>
          <w:spacing w:val="14"/>
        </w:rPr>
        <w:t> </w:t>
      </w:r>
      <w:r>
        <w:rPr>
          <w:color w:val="231F20"/>
        </w:rPr>
        <w:t>ne</w:t>
      </w:r>
      <w:r>
        <w:rPr>
          <w:color w:val="231F20"/>
          <w:spacing w:val="14"/>
        </w:rPr>
        <w:t> </w:t>
      </w:r>
      <w:r>
        <w:rPr>
          <w:color w:val="231F20"/>
        </w:rPr>
        <w:t>sont</w:t>
      </w:r>
      <w:r>
        <w:rPr>
          <w:color w:val="231F20"/>
          <w:spacing w:val="14"/>
        </w:rPr>
        <w:t> </w:t>
      </w:r>
      <w:r>
        <w:rPr>
          <w:color w:val="231F20"/>
        </w:rPr>
        <w:t>pas</w:t>
      </w:r>
      <w:r>
        <w:rPr>
          <w:color w:val="231F20"/>
          <w:spacing w:val="15"/>
        </w:rPr>
        <w:t> </w:t>
      </w:r>
      <w:r>
        <w:rPr>
          <w:color w:val="231F20"/>
        </w:rPr>
        <w:t>écartées</w:t>
      </w:r>
      <w:r>
        <w:rPr>
          <w:color w:val="231F20"/>
          <w:spacing w:val="14"/>
        </w:rPr>
        <w:t> </w:t>
      </w:r>
      <w:r>
        <w:rPr>
          <w:color w:val="231F20"/>
        </w:rPr>
        <w:t>par</w:t>
      </w:r>
      <w:r>
        <w:rPr>
          <w:color w:val="231F20"/>
          <w:spacing w:val="14"/>
        </w:rPr>
        <w:t> </w:t>
      </w:r>
      <w:r>
        <w:rPr>
          <w:color w:val="231F20"/>
        </w:rPr>
        <w:t>des</w:t>
      </w:r>
      <w:r>
        <w:rPr>
          <w:color w:val="231F20"/>
          <w:spacing w:val="14"/>
        </w:rPr>
        <w:t> </w:t>
      </w:r>
      <w:r>
        <w:rPr>
          <w:color w:val="231F20"/>
        </w:rPr>
        <w:t>clauses</w:t>
      </w:r>
      <w:r>
        <w:rPr>
          <w:color w:val="231F20"/>
          <w:spacing w:val="15"/>
        </w:rPr>
        <w:t> </w:t>
      </w:r>
      <w:r>
        <w:rPr>
          <w:color w:val="231F20"/>
        </w:rPr>
        <w:t>statutaires.</w:t>
      </w:r>
    </w:p>
    <w:p>
      <w:pPr>
        <w:pStyle w:val="BodyText"/>
        <w:spacing w:before="1"/>
        <w:ind w:left="0" w:right="0" w:firstLine="0"/>
        <w:jc w:val="left"/>
        <w:rPr>
          <w:sz w:val="23"/>
        </w:rPr>
      </w:pPr>
    </w:p>
    <w:p>
      <w:pPr>
        <w:pStyle w:val="BodyText"/>
        <w:spacing w:line="218" w:lineRule="auto"/>
        <w:ind w:right="38"/>
      </w:pPr>
      <w:r>
        <w:rPr>
          <w:color w:val="231F20"/>
        </w:rPr>
        <w:t>À compter de ce jour la partie libérée du capital et la réserve légale des sociétés à responsabilité limitée et la partie libérée de la part fixe du capital et la réserve légale des sociétés coopératives à responsabilité limitée</w:t>
      </w:r>
      <w:r>
        <w:rPr>
          <w:color w:val="231F20"/>
          <w:spacing w:val="-8"/>
        </w:rPr>
        <w:t> </w:t>
      </w:r>
      <w:r>
        <w:rPr>
          <w:color w:val="231F20"/>
        </w:rPr>
        <w:t>sont</w:t>
      </w:r>
      <w:r>
        <w:rPr>
          <w:color w:val="231F20"/>
          <w:spacing w:val="-8"/>
        </w:rPr>
        <w:t> </w:t>
      </w:r>
      <w:r>
        <w:rPr>
          <w:color w:val="231F20"/>
        </w:rPr>
        <w:t>converties,</w:t>
      </w:r>
      <w:r>
        <w:rPr>
          <w:color w:val="231F20"/>
          <w:spacing w:val="-7"/>
        </w:rPr>
        <w:t> </w:t>
      </w:r>
      <w:r>
        <w:rPr>
          <w:color w:val="231F20"/>
        </w:rPr>
        <w:t>de</w:t>
      </w:r>
      <w:r>
        <w:rPr>
          <w:color w:val="231F20"/>
          <w:spacing w:val="-8"/>
        </w:rPr>
        <w:t> </w:t>
      </w:r>
      <w:r>
        <w:rPr>
          <w:color w:val="231F20"/>
        </w:rPr>
        <w:t>plein</w:t>
      </w:r>
      <w:r>
        <w:rPr>
          <w:color w:val="231F20"/>
          <w:spacing w:val="-8"/>
        </w:rPr>
        <w:t> </w:t>
      </w:r>
      <w:r>
        <w:rPr>
          <w:color w:val="231F20"/>
        </w:rPr>
        <w:t>droit</w:t>
      </w:r>
      <w:r>
        <w:rPr>
          <w:color w:val="231F20"/>
          <w:spacing w:val="-7"/>
        </w:rPr>
        <w:t> </w:t>
      </w:r>
      <w:r>
        <w:rPr>
          <w:color w:val="231F20"/>
        </w:rPr>
        <w:t>et</w:t>
      </w:r>
      <w:r>
        <w:rPr>
          <w:color w:val="231F20"/>
          <w:spacing w:val="-8"/>
        </w:rPr>
        <w:t> </w:t>
      </w:r>
      <w:r>
        <w:rPr>
          <w:color w:val="231F20"/>
        </w:rPr>
        <w:t>sans</w:t>
      </w:r>
      <w:r>
        <w:rPr>
          <w:color w:val="231F20"/>
          <w:spacing w:val="-8"/>
        </w:rPr>
        <w:t> </w:t>
      </w:r>
      <w:r>
        <w:rPr>
          <w:color w:val="231F20"/>
        </w:rPr>
        <w:t>accomplissement</w:t>
      </w:r>
      <w:r>
        <w:rPr>
          <w:color w:val="231F20"/>
          <w:spacing w:val="-7"/>
        </w:rPr>
        <w:t> </w:t>
      </w:r>
      <w:r>
        <w:rPr>
          <w:color w:val="231F20"/>
        </w:rPr>
        <w:t>d’aucune</w:t>
      </w:r>
    </w:p>
    <w:p>
      <w:pPr>
        <w:spacing w:before="103"/>
        <w:ind w:left="1672" w:right="0" w:firstLine="0"/>
        <w:jc w:val="left"/>
        <w:rPr>
          <w:sz w:val="17"/>
        </w:rPr>
      </w:pPr>
      <w:r>
        <w:rPr/>
        <w:br w:type="column"/>
      </w:r>
      <w:r>
        <w:rPr>
          <w:rFonts w:ascii="Times New Roman" w:hAnsi="Times New Roman"/>
          <w:i/>
          <w:color w:val="231F20"/>
          <w:w w:val="105"/>
          <w:sz w:val="17"/>
        </w:rPr>
        <w:t>Afdeling XII. </w:t>
      </w:r>
      <w:r>
        <w:rPr>
          <w:i/>
          <w:color w:val="231F20"/>
          <w:w w:val="105"/>
          <w:sz w:val="17"/>
        </w:rPr>
        <w:t>— </w:t>
      </w:r>
      <w:r>
        <w:rPr>
          <w:color w:val="231F20"/>
          <w:w w:val="105"/>
          <w:sz w:val="17"/>
        </w:rPr>
        <w:t>Verwijzingen.</w:t>
      </w:r>
    </w:p>
    <w:p>
      <w:pPr>
        <w:pStyle w:val="BodyText"/>
        <w:spacing w:line="218" w:lineRule="auto" w:before="132"/>
      </w:pPr>
      <w:r>
        <w:rPr>
          <w:rFonts w:ascii="Times New Roman"/>
          <w:b/>
          <w:color w:val="231F20"/>
        </w:rPr>
        <w:t>Art. 32. </w:t>
      </w:r>
      <w:r>
        <w:rPr>
          <w:color w:val="231F20"/>
        </w:rPr>
        <w:t>De Koning kan de verwijzingen in wetten en koninklijke besluiten naar bepalingen die in het Wetboek van vennootschappen en verenigingen werden opgenomen, aanpassen, met behulp van de bijgevoegde concordantietabel.</w:t>
      </w:r>
    </w:p>
    <w:p>
      <w:pPr>
        <w:pStyle w:val="BodyText"/>
        <w:spacing w:line="232" w:lineRule="auto" w:before="116"/>
        <w:ind w:left="917" w:right="929" w:hanging="1"/>
        <w:jc w:val="center"/>
      </w:pPr>
      <w:r>
        <w:rPr>
          <w:rFonts w:ascii="Times New Roman" w:hAnsi="Times New Roman"/>
          <w:i/>
          <w:color w:val="231F20"/>
        </w:rPr>
        <w:t>Afdeling XIII. </w:t>
      </w:r>
      <w:r>
        <w:rPr>
          <w:i/>
          <w:color w:val="231F20"/>
        </w:rPr>
        <w:t>— </w:t>
      </w:r>
      <w:r>
        <w:rPr>
          <w:color w:val="231F20"/>
        </w:rPr>
        <w:t>Machtiging aan de Koning  met het</w:t>
      </w:r>
      <w:r>
        <w:rPr>
          <w:color w:val="231F20"/>
          <w:spacing w:val="21"/>
        </w:rPr>
        <w:t> </w:t>
      </w:r>
      <w:r>
        <w:rPr>
          <w:color w:val="231F20"/>
        </w:rPr>
        <w:t>oog</w:t>
      </w:r>
      <w:r>
        <w:rPr>
          <w:color w:val="231F20"/>
          <w:spacing w:val="21"/>
        </w:rPr>
        <w:t> </w:t>
      </w:r>
      <w:r>
        <w:rPr>
          <w:color w:val="231F20"/>
        </w:rPr>
        <w:t>op</w:t>
      </w:r>
      <w:r>
        <w:rPr>
          <w:color w:val="231F20"/>
          <w:spacing w:val="21"/>
        </w:rPr>
        <w:t> </w:t>
      </w:r>
      <w:r>
        <w:rPr>
          <w:color w:val="231F20"/>
        </w:rPr>
        <w:t>het</w:t>
      </w:r>
      <w:r>
        <w:rPr>
          <w:color w:val="231F20"/>
          <w:spacing w:val="21"/>
        </w:rPr>
        <w:t> </w:t>
      </w:r>
      <w:r>
        <w:rPr>
          <w:color w:val="231F20"/>
        </w:rPr>
        <w:t>inpassen</w:t>
      </w:r>
      <w:r>
        <w:rPr>
          <w:color w:val="231F20"/>
          <w:spacing w:val="21"/>
        </w:rPr>
        <w:t> </w:t>
      </w:r>
      <w:r>
        <w:rPr>
          <w:color w:val="231F20"/>
        </w:rPr>
        <w:t>van</w:t>
      </w:r>
      <w:r>
        <w:rPr>
          <w:color w:val="231F20"/>
          <w:spacing w:val="21"/>
        </w:rPr>
        <w:t> </w:t>
      </w:r>
      <w:r>
        <w:rPr>
          <w:color w:val="231F20"/>
        </w:rPr>
        <w:t>nieuwe</w:t>
      </w:r>
      <w:r>
        <w:rPr>
          <w:color w:val="231F20"/>
          <w:spacing w:val="21"/>
        </w:rPr>
        <w:t> </w:t>
      </w:r>
      <w:r>
        <w:rPr>
          <w:color w:val="231F20"/>
        </w:rPr>
        <w:t>technologie.</w:t>
      </w:r>
    </w:p>
    <w:p>
      <w:pPr>
        <w:pStyle w:val="BodyText"/>
        <w:spacing w:line="218" w:lineRule="auto" w:before="133"/>
      </w:pPr>
      <w:r>
        <w:rPr>
          <w:rFonts w:ascii="Times New Roman" w:hAnsi="Times New Roman"/>
          <w:b/>
          <w:color w:val="231F20"/>
        </w:rPr>
        <w:t>Art. 33. </w:t>
      </w:r>
      <w:r>
        <w:rPr>
          <w:color w:val="231F20"/>
        </w:rPr>
        <w:t>De Koning kan de maatregelen nemen die nodig zijn om het gebruik van nieuwe technologieën mogelijk te maken voor de registra- tie van verrichtingen met effecten of voor aanpassingen van het vennootschapsregister, met inbegrip van de opheffing, aanvulling, wijziging of vervanging van de bepalingen van het Wetboek van vennootschappen en verenigingen of andere wetsbepalingen.</w:t>
      </w:r>
    </w:p>
    <w:p>
      <w:pPr>
        <w:spacing w:line="228" w:lineRule="auto" w:before="77"/>
        <w:ind w:left="371" w:right="0" w:firstLine="738"/>
        <w:jc w:val="left"/>
        <w:rPr>
          <w:rFonts w:ascii="Times New Roman" w:hAnsi="Times New Roman"/>
          <w:i/>
          <w:sz w:val="17"/>
        </w:rPr>
      </w:pPr>
      <w:r>
        <w:rPr>
          <w:color w:val="231F20"/>
          <w:w w:val="105"/>
          <w:sz w:val="17"/>
        </w:rPr>
        <w:t>HOOFDSTUK IV. — </w:t>
      </w:r>
      <w:r>
        <w:rPr>
          <w:rFonts w:ascii="Times New Roman" w:hAnsi="Times New Roman"/>
          <w:i/>
          <w:color w:val="231F20"/>
          <w:w w:val="105"/>
          <w:sz w:val="17"/>
        </w:rPr>
        <w:t>Opheffingsbepalingen. </w:t>
      </w:r>
      <w:r>
        <w:rPr>
          <w:i/>
          <w:color w:val="231F20"/>
          <w:w w:val="105"/>
          <w:sz w:val="17"/>
        </w:rPr>
        <w:t>— </w:t>
      </w:r>
      <w:r>
        <w:rPr>
          <w:rFonts w:ascii="Times New Roman" w:hAnsi="Times New Roman"/>
          <w:i/>
          <w:color w:val="231F20"/>
          <w:sz w:val="17"/>
        </w:rPr>
        <w:t>Overgangsregeling. </w:t>
      </w:r>
      <w:r>
        <w:rPr>
          <w:i/>
          <w:color w:val="231F20"/>
          <w:sz w:val="17"/>
        </w:rPr>
        <w:t>— </w:t>
      </w:r>
      <w:r>
        <w:rPr>
          <w:rFonts w:ascii="Times New Roman" w:hAnsi="Times New Roman"/>
          <w:i/>
          <w:color w:val="231F20"/>
          <w:sz w:val="17"/>
        </w:rPr>
        <w:t>Inwerkingtreding. </w:t>
      </w:r>
      <w:r>
        <w:rPr>
          <w:i/>
          <w:color w:val="231F20"/>
          <w:sz w:val="17"/>
        </w:rPr>
        <w:t>— </w:t>
      </w:r>
      <w:r>
        <w:rPr>
          <w:rFonts w:ascii="Times New Roman" w:hAnsi="Times New Roman"/>
          <w:i/>
          <w:color w:val="231F20"/>
          <w:sz w:val="17"/>
        </w:rPr>
        <w:t>Bevoegdheidstoewijzing.</w:t>
      </w:r>
    </w:p>
    <w:p>
      <w:pPr>
        <w:spacing w:before="121"/>
        <w:ind w:left="1427" w:right="0" w:firstLine="0"/>
        <w:jc w:val="left"/>
        <w:rPr>
          <w:sz w:val="17"/>
        </w:rPr>
      </w:pPr>
      <w:r>
        <w:rPr>
          <w:rFonts w:ascii="Times New Roman" w:hAnsi="Times New Roman"/>
          <w:i/>
          <w:color w:val="231F20"/>
          <w:w w:val="105"/>
          <w:sz w:val="17"/>
        </w:rPr>
        <w:t>Afdeling I. </w:t>
      </w:r>
      <w:r>
        <w:rPr>
          <w:i/>
          <w:color w:val="231F20"/>
          <w:w w:val="105"/>
          <w:sz w:val="17"/>
        </w:rPr>
        <w:t>— </w:t>
      </w:r>
      <w:r>
        <w:rPr>
          <w:color w:val="231F20"/>
          <w:w w:val="105"/>
          <w:sz w:val="17"/>
        </w:rPr>
        <w:t>Opheffingsbepalingen.</w:t>
      </w:r>
    </w:p>
    <w:p>
      <w:pPr>
        <w:pStyle w:val="BodyText"/>
        <w:spacing w:line="218" w:lineRule="auto" w:before="133"/>
      </w:pPr>
      <w:r>
        <w:rPr>
          <w:rFonts w:ascii="Times New Roman"/>
          <w:b/>
          <w:color w:val="231F20"/>
        </w:rPr>
        <w:t>Art. 34. </w:t>
      </w:r>
      <w:r>
        <w:rPr>
          <w:color w:val="231F20"/>
        </w:rPr>
        <w:t>Onverminderd afdeling II, wordt het Wetboek van vennoot- schappen opgeheven.</w:t>
      </w:r>
    </w:p>
    <w:p>
      <w:pPr>
        <w:pStyle w:val="BodyText"/>
        <w:spacing w:line="187" w:lineRule="exact" w:before="111"/>
        <w:ind w:left="283" w:right="0" w:firstLine="0"/>
        <w:jc w:val="left"/>
      </w:pPr>
      <w:r>
        <w:rPr>
          <w:rFonts w:ascii="Times New Roman"/>
          <w:b/>
          <w:color w:val="231F20"/>
          <w:spacing w:val="9"/>
        </w:rPr>
        <w:t>Art.   </w:t>
      </w:r>
      <w:r>
        <w:rPr>
          <w:rFonts w:ascii="Times New Roman"/>
          <w:b/>
          <w:color w:val="231F20"/>
          <w:spacing w:val="8"/>
        </w:rPr>
        <w:t>35.   </w:t>
      </w:r>
      <w:r>
        <w:rPr>
          <w:color w:val="231F20"/>
          <w:spacing w:val="10"/>
        </w:rPr>
        <w:t>Onverminderd   afdeling   </w:t>
      </w:r>
      <w:r>
        <w:rPr>
          <w:color w:val="231F20"/>
          <w:spacing w:val="8"/>
        </w:rPr>
        <w:t>II,    </w:t>
      </w:r>
      <w:r>
        <w:rPr>
          <w:color w:val="231F20"/>
          <w:spacing w:val="9"/>
        </w:rPr>
        <w:t>wordt   </w:t>
      </w:r>
      <w:r>
        <w:rPr>
          <w:color w:val="231F20"/>
          <w:spacing w:val="6"/>
        </w:rPr>
        <w:t>de    </w:t>
      </w:r>
      <w:r>
        <w:rPr>
          <w:color w:val="231F20"/>
          <w:spacing w:val="8"/>
        </w:rPr>
        <w:t>wet</w:t>
      </w:r>
      <w:r>
        <w:rPr>
          <w:color w:val="231F20"/>
          <w:spacing w:val="35"/>
        </w:rPr>
        <w:t> </w:t>
      </w:r>
      <w:r>
        <w:rPr>
          <w:color w:val="231F20"/>
          <w:spacing w:val="12"/>
        </w:rPr>
        <w:t>van</w:t>
      </w:r>
    </w:p>
    <w:p>
      <w:pPr>
        <w:pStyle w:val="BodyText"/>
        <w:spacing w:line="218" w:lineRule="auto" w:before="5"/>
        <w:ind w:right="108" w:firstLine="0"/>
        <w:jc w:val="left"/>
      </w:pPr>
      <w:r>
        <w:rPr>
          <w:color w:val="231F20"/>
        </w:rPr>
        <w:t>27 juni 1921 betreffende de verenigingen zonder winstoogmerk, de stichtingen en de Europese politieke partijen en stichtingen</w:t>
      </w:r>
      <w:r>
        <w:rPr>
          <w:color w:val="231F20"/>
          <w:spacing w:val="24"/>
        </w:rPr>
        <w:t> </w:t>
      </w:r>
      <w:r>
        <w:rPr>
          <w:color w:val="231F20"/>
        </w:rPr>
        <w:t>opgeheven.</w:t>
      </w:r>
    </w:p>
    <w:p>
      <w:pPr>
        <w:pStyle w:val="BodyText"/>
        <w:spacing w:line="218" w:lineRule="auto" w:before="126"/>
      </w:pPr>
      <w:r>
        <w:rPr>
          <w:rFonts w:ascii="Times New Roman"/>
          <w:b/>
          <w:color w:val="231F20"/>
        </w:rPr>
        <w:t>Art. 36. </w:t>
      </w:r>
      <w:r>
        <w:rPr>
          <w:color w:val="231F20"/>
        </w:rPr>
        <w:t>De wet van 31 maart 1898 op de beroepsverenigingen wordt opgeheven.</w:t>
      </w:r>
    </w:p>
    <w:p>
      <w:pPr>
        <w:pStyle w:val="BodyText"/>
        <w:spacing w:line="218" w:lineRule="auto" w:before="125"/>
      </w:pPr>
      <w:r>
        <w:rPr>
          <w:rFonts w:ascii="Times New Roman"/>
          <w:b/>
          <w:color w:val="231F20"/>
        </w:rPr>
        <w:t>Art. 37. </w:t>
      </w:r>
      <w:r>
        <w:rPr>
          <w:color w:val="231F20"/>
        </w:rPr>
        <w:t>De wet van 12 juli 1989 houdende verscheidene maatregelen tot toepassing van de Verordening (EEG) nr. 2137/85 van de Raad van 25 juli 1985 tot instelling van Europese economische samenwerkings- verbanden wordt opgeheven.</w:t>
      </w:r>
    </w:p>
    <w:p>
      <w:pPr>
        <w:spacing w:before="112"/>
        <w:ind w:left="700" w:right="0" w:firstLine="0"/>
        <w:jc w:val="left"/>
        <w:rPr>
          <w:sz w:val="17"/>
        </w:rPr>
      </w:pPr>
      <w:r>
        <w:rPr>
          <w:rFonts w:ascii="Times New Roman" w:hAnsi="Times New Roman"/>
          <w:i/>
          <w:color w:val="231F20"/>
          <w:w w:val="105"/>
          <w:sz w:val="17"/>
        </w:rPr>
        <w:t>Afdeling II. </w:t>
      </w:r>
      <w:r>
        <w:rPr>
          <w:i/>
          <w:color w:val="231F20"/>
          <w:w w:val="105"/>
          <w:sz w:val="17"/>
        </w:rPr>
        <w:t>— </w:t>
      </w:r>
      <w:r>
        <w:rPr>
          <w:color w:val="231F20"/>
          <w:w w:val="105"/>
          <w:sz w:val="17"/>
        </w:rPr>
        <w:t>Overgangsregeling en inwerkingtreding.</w:t>
      </w:r>
    </w:p>
    <w:p>
      <w:pPr>
        <w:pStyle w:val="BodyText"/>
        <w:spacing w:before="118"/>
        <w:ind w:left="283" w:right="0" w:firstLine="0"/>
        <w:jc w:val="left"/>
      </w:pPr>
      <w:r>
        <w:rPr>
          <w:rFonts w:ascii="Times New Roman"/>
          <w:b/>
          <w:color w:val="231F20"/>
          <w:w w:val="105"/>
        </w:rPr>
        <w:t>Art. 38. </w:t>
      </w:r>
      <w:r>
        <w:rPr>
          <w:color w:val="231F20"/>
          <w:w w:val="105"/>
        </w:rPr>
        <w:t>Deze wet treedt in werking op 1 mei 2019.</w:t>
      </w:r>
    </w:p>
    <w:p>
      <w:pPr>
        <w:pStyle w:val="BodyText"/>
        <w:spacing w:line="218" w:lineRule="auto" w:before="82"/>
      </w:pPr>
      <w:r>
        <w:rPr>
          <w:color w:val="231F20"/>
        </w:rPr>
        <w:t>Artikel 2:4, vijfde lid, van het Wetboek van vennootschappen en verenigingen, zoals ingevoegd bij artikel 2, heeft uitwerking met ingang van 31 december 2018.</w:t>
      </w:r>
    </w:p>
    <w:p>
      <w:pPr>
        <w:pStyle w:val="BodyText"/>
        <w:spacing w:line="218" w:lineRule="auto" w:before="126"/>
      </w:pPr>
      <w:r>
        <w:rPr>
          <w:rFonts w:ascii="Times New Roman" w:hAnsi="Times New Roman"/>
          <w:b/>
          <w:color w:val="231F20"/>
        </w:rPr>
        <w:t>Art.  39.  </w:t>
      </w:r>
      <w:r>
        <w:rPr>
          <w:color w:val="231F20"/>
        </w:rPr>
        <w:t>§ 1. Op de vennootschappen, verenigingen en stichtingen  die bestaan op de dag van de inwerkingtreding van deze wet is het </w:t>
      </w:r>
      <w:r>
        <w:rPr>
          <w:color w:val="231F20"/>
          <w:spacing w:val="-3"/>
        </w:rPr>
        <w:t>Wetboek </w:t>
      </w:r>
      <w:r>
        <w:rPr>
          <w:color w:val="231F20"/>
        </w:rPr>
        <w:t>van vennootschappen en verenigingen voor het eerst van toepassing op 1 januari 2020. Vennootschappen en verenigingen met rechtspersoonlijkheid, en stichtingen worden geacht te bestaan vanaf de</w:t>
      </w:r>
      <w:r>
        <w:rPr>
          <w:color w:val="231F20"/>
          <w:spacing w:val="16"/>
        </w:rPr>
        <w:t> </w:t>
      </w:r>
      <w:r>
        <w:rPr>
          <w:color w:val="231F20"/>
        </w:rPr>
        <w:t>dag</w:t>
      </w:r>
      <w:r>
        <w:rPr>
          <w:color w:val="231F20"/>
          <w:spacing w:val="17"/>
        </w:rPr>
        <w:t> </w:t>
      </w:r>
      <w:r>
        <w:rPr>
          <w:color w:val="231F20"/>
        </w:rPr>
        <w:t>waarop</w:t>
      </w:r>
      <w:r>
        <w:rPr>
          <w:color w:val="231F20"/>
          <w:spacing w:val="16"/>
        </w:rPr>
        <w:t> </w:t>
      </w:r>
      <w:r>
        <w:rPr>
          <w:color w:val="231F20"/>
        </w:rPr>
        <w:t>zij</w:t>
      </w:r>
      <w:r>
        <w:rPr>
          <w:color w:val="231F20"/>
          <w:spacing w:val="17"/>
        </w:rPr>
        <w:t> </w:t>
      </w:r>
      <w:r>
        <w:rPr>
          <w:color w:val="231F20"/>
        </w:rPr>
        <w:t>rechtspersoonlijkheid</w:t>
      </w:r>
      <w:r>
        <w:rPr>
          <w:color w:val="231F20"/>
          <w:spacing w:val="17"/>
        </w:rPr>
        <w:t> </w:t>
      </w:r>
      <w:r>
        <w:rPr>
          <w:color w:val="231F20"/>
        </w:rPr>
        <w:t>hebben</w:t>
      </w:r>
      <w:r>
        <w:rPr>
          <w:color w:val="231F20"/>
          <w:spacing w:val="16"/>
        </w:rPr>
        <w:t> </w:t>
      </w:r>
      <w:r>
        <w:rPr>
          <w:color w:val="231F20"/>
        </w:rPr>
        <w:t>verkregen.</w:t>
      </w:r>
    </w:p>
    <w:p>
      <w:pPr>
        <w:pStyle w:val="BodyText"/>
        <w:spacing w:line="218" w:lineRule="auto" w:before="83"/>
      </w:pPr>
      <w:r>
        <w:rPr>
          <w:color w:val="231F20"/>
          <w:spacing w:val="-4"/>
        </w:rPr>
        <w:t>Vanaf </w:t>
      </w:r>
      <w:r>
        <w:rPr>
          <w:color w:val="231F20"/>
        </w:rPr>
        <w:t>de bekendmaking van deze wet in het </w:t>
      </w:r>
      <w:r>
        <w:rPr>
          <w:rFonts w:ascii="Times New Roman" w:hAnsi="Times New Roman"/>
          <w:i/>
          <w:color w:val="231F20"/>
        </w:rPr>
        <w:t>Belgisch Staatsblad </w:t>
      </w:r>
      <w:r>
        <w:rPr>
          <w:color w:val="231F20"/>
        </w:rPr>
        <w:t>kunnen de in het eerste lid bedoelde vennootschappen, verenigingen en stichtingen evenwel beslissen de bepalingen van hetzelfde </w:t>
      </w:r>
      <w:r>
        <w:rPr>
          <w:color w:val="231F20"/>
          <w:spacing w:val="-3"/>
        </w:rPr>
        <w:t>Wetboek </w:t>
      </w:r>
      <w:r>
        <w:rPr>
          <w:color w:val="231F20"/>
        </w:rPr>
        <w:t>toe te passen vóór 1 januari 2020. Deze beslissing vereist een statutenwij- ziging. Als een in het eerste lid bedoelde vennootschap, vereniging of stichting van deze mogelijkheid gebruik maakt, dient zij haar statuten aan de bepalingen van het </w:t>
      </w:r>
      <w:r>
        <w:rPr>
          <w:color w:val="231F20"/>
          <w:spacing w:val="-3"/>
        </w:rPr>
        <w:t>Wetboek </w:t>
      </w:r>
      <w:r>
        <w:rPr>
          <w:color w:val="231F20"/>
        </w:rPr>
        <w:t>aan te passen en wordt het </w:t>
      </w:r>
      <w:r>
        <w:rPr>
          <w:color w:val="231F20"/>
          <w:spacing w:val="-3"/>
        </w:rPr>
        <w:t>Wetboek </w:t>
      </w:r>
      <w:r>
        <w:rPr>
          <w:color w:val="231F20"/>
        </w:rPr>
        <w:t>op haar van toepassing vanaf de dag van de bekendmaking van deze statutenwijziging maar ten vroegste op 1 mei 2019.</w:t>
      </w:r>
    </w:p>
    <w:p>
      <w:pPr>
        <w:pStyle w:val="BodyText"/>
        <w:spacing w:line="218" w:lineRule="auto" w:before="86"/>
      </w:pPr>
      <w:r>
        <w:rPr>
          <w:color w:val="231F20"/>
        </w:rPr>
        <w:t>De in het eerste lid bedoelde vennootschappen, verenigingen en stichtingen moeten hun statuten in overeenstemming brengen met de bepalingen van het Wetboek van vennootschappen en verenigingen ter gelegenheid van de eerstvolgende statutenwijziging na 1 januari 2020, tenzij deze statutenwijziging voortvloeit uit de toepassing van het toegestane kapitaal, de uitoefening van inschrijvingsrechten of de conversie van converteerbare obligaties. In ieder geval moeten de statuten uiterlijk op 1 januari 2024 met de bepalingen van hetzelfde Wetboek in overeenstemming worden gebracht. De leden van het bestuursorgaan zijn persoonlijk en hoofdelijk aansprakelijk voor de schade geleden door de vennootschap, vereniging of stichting, of door derden ten gevolge van de niet-nakoming van deze verplichting.</w:t>
      </w:r>
    </w:p>
    <w:p>
      <w:pPr>
        <w:pStyle w:val="BodyText"/>
        <w:spacing w:line="218" w:lineRule="auto" w:before="86"/>
      </w:pPr>
      <w:r>
        <w:rPr>
          <w:color w:val="231F20"/>
        </w:rPr>
        <w:t>§ 2. </w:t>
      </w:r>
      <w:r>
        <w:rPr>
          <w:color w:val="231F20"/>
          <w:spacing w:val="-4"/>
        </w:rPr>
        <w:t>Vanaf </w:t>
      </w:r>
      <w:r>
        <w:rPr>
          <w:color w:val="231F20"/>
        </w:rPr>
        <w:t>1 januari 2020 of, voor de vennootschappen, verenigingen of stichtingen die van de in paragraaf 1, tweede lid bedoelde mogelijkheid hebben gebruik gemaakt, vanaf de dag van de bekend- making van de in dat lid bedoelde statutenwijziging, zijn de dwin- gende bepalingen van het </w:t>
      </w:r>
      <w:r>
        <w:rPr>
          <w:color w:val="231F20"/>
          <w:spacing w:val="-3"/>
        </w:rPr>
        <w:t>Wetboek </w:t>
      </w:r>
      <w:r>
        <w:rPr>
          <w:color w:val="231F20"/>
        </w:rPr>
        <w:t>van vennootschappen en vereni- gingen van toepassing. Statutaire bepalingen die in strijd zijn met deze dwingende bepalingen worden vanaf die dag voor niet geschreven gehouden. De aanvullende bepalingen van het </w:t>
      </w:r>
      <w:r>
        <w:rPr>
          <w:color w:val="231F20"/>
          <w:spacing w:val="-3"/>
        </w:rPr>
        <w:t>Wetboek </w:t>
      </w:r>
      <w:r>
        <w:rPr>
          <w:color w:val="231F20"/>
        </w:rPr>
        <w:t>van vennoot- schappen en verenigingen worden slechts van toepassing in zoverre zij niet</w:t>
      </w:r>
      <w:r>
        <w:rPr>
          <w:color w:val="231F20"/>
          <w:spacing w:val="15"/>
        </w:rPr>
        <w:t> </w:t>
      </w:r>
      <w:r>
        <w:rPr>
          <w:color w:val="231F20"/>
        </w:rPr>
        <w:t>door</w:t>
      </w:r>
      <w:r>
        <w:rPr>
          <w:color w:val="231F20"/>
          <w:spacing w:val="15"/>
        </w:rPr>
        <w:t> </w:t>
      </w:r>
      <w:r>
        <w:rPr>
          <w:color w:val="231F20"/>
        </w:rPr>
        <w:t>statutaire</w:t>
      </w:r>
      <w:r>
        <w:rPr>
          <w:color w:val="231F20"/>
          <w:spacing w:val="16"/>
        </w:rPr>
        <w:t> </w:t>
      </w:r>
      <w:r>
        <w:rPr>
          <w:color w:val="231F20"/>
        </w:rPr>
        <w:t>clausules</w:t>
      </w:r>
      <w:r>
        <w:rPr>
          <w:color w:val="231F20"/>
          <w:spacing w:val="15"/>
        </w:rPr>
        <w:t> </w:t>
      </w:r>
      <w:r>
        <w:rPr>
          <w:color w:val="231F20"/>
        </w:rPr>
        <w:t>worden</w:t>
      </w:r>
      <w:r>
        <w:rPr>
          <w:color w:val="231F20"/>
          <w:spacing w:val="16"/>
        </w:rPr>
        <w:t> </w:t>
      </w:r>
      <w:r>
        <w:rPr>
          <w:color w:val="231F20"/>
        </w:rPr>
        <w:t>uitgesloten.</w:t>
      </w:r>
    </w:p>
    <w:p>
      <w:pPr>
        <w:pStyle w:val="BodyText"/>
        <w:spacing w:line="218" w:lineRule="auto" w:before="86"/>
      </w:pPr>
      <w:r>
        <w:rPr>
          <w:color w:val="231F20"/>
          <w:spacing w:val="-4"/>
        </w:rPr>
        <w:t>Vanaf </w:t>
      </w:r>
      <w:r>
        <w:rPr>
          <w:color w:val="231F20"/>
        </w:rPr>
        <w:t>die dag worden het volgestort gedeelte van het kapitaal en de wettelijke reserve van de besloten vennootschappen met beperkte aansprakelijkheid en het volgestorte gedeelte van het vaste</w:t>
      </w:r>
      <w:r>
        <w:rPr>
          <w:color w:val="231F20"/>
          <w:spacing w:val="32"/>
        </w:rPr>
        <w:t> </w:t>
      </w:r>
      <w:r>
        <w:rPr>
          <w:color w:val="231F20"/>
        </w:rPr>
        <w:t>gedeelte van het kapitaal en de wettelijke reserve van de coöperatieve vennoot- schappen met beperkte aansprakelijkheid, van rechtswege en</w:t>
      </w:r>
      <w:r>
        <w:rPr>
          <w:color w:val="231F20"/>
          <w:spacing w:val="-18"/>
        </w:rPr>
        <w:t> </w:t>
      </w:r>
      <w:r>
        <w:rPr>
          <w:color w:val="231F20"/>
        </w:rPr>
        <w:t>zonder</w:t>
      </w:r>
    </w:p>
    <w:p>
      <w:pPr>
        <w:spacing w:after="0" w:line="218" w:lineRule="auto"/>
        <w:sectPr>
          <w:pgSz w:w="11940" w:h="16880"/>
          <w:pgMar w:header="666" w:footer="0" w:top="1140" w:bottom="280" w:left="340" w:right="360"/>
          <w:cols w:num="2" w:equalWidth="0">
            <w:col w:w="5529" w:space="99"/>
            <w:col w:w="5612"/>
          </w:cols>
        </w:sectPr>
      </w:pPr>
    </w:p>
    <w:p>
      <w:pPr>
        <w:pStyle w:val="BodyText"/>
        <w:spacing w:line="218" w:lineRule="auto" w:before="120"/>
        <w:ind w:right="39" w:firstLine="0"/>
      </w:pPr>
      <w:r>
        <w:rPr/>
        <w:pict>
          <v:line style="position:absolute;mso-position-horizontal-relative:page;mso-position-vertical-relative:page;z-index:7960" from="298.170502pt,64.473pt" to="298.170502pt,812.819pt" stroked="true" strokeweight=".533pt" strokecolor="#231f20">
            <v:stroke dashstyle="solid"/>
            <w10:wrap type="none"/>
          </v:line>
        </w:pict>
      </w:r>
      <w:bookmarkStart w:name="_bookmark289" w:id="295"/>
      <w:bookmarkEnd w:id="295"/>
      <w:r>
        <w:rPr/>
      </w:r>
      <w:r>
        <w:rPr>
          <w:color w:val="231F20"/>
        </w:rPr>
        <w:t>formalité, en un compte de capitaux propres statutairement indisponi- ble. La partie non libérée du capital des sociétés à responsabilité limitée et la partie non libérée de la part fixe du capital des sociétés coopératives à responsabilité limitée sont converties de la même manière en un compte de capitaux propres “apports non appelés”. Lors de la libération, les montants versés seront comptabilisés dans le compte “capitaux propres” indisponible.</w:t>
      </w:r>
    </w:p>
    <w:p>
      <w:pPr>
        <w:pStyle w:val="BodyText"/>
        <w:ind w:left="0" w:right="0" w:firstLine="0"/>
        <w:jc w:val="left"/>
        <w:rPr>
          <w:sz w:val="20"/>
        </w:rPr>
      </w:pPr>
    </w:p>
    <w:p>
      <w:pPr>
        <w:pStyle w:val="BodyText"/>
        <w:spacing w:before="3"/>
        <w:ind w:left="0" w:right="0" w:firstLine="0"/>
        <w:jc w:val="left"/>
        <w:rPr>
          <w:sz w:val="22"/>
        </w:rPr>
      </w:pPr>
    </w:p>
    <w:p>
      <w:pPr>
        <w:pStyle w:val="BodyText"/>
        <w:spacing w:line="213" w:lineRule="auto"/>
        <w:ind w:right="39"/>
      </w:pPr>
      <w:r>
        <w:rPr>
          <w:color w:val="231F20"/>
        </w:rPr>
        <w:t>§ 3. Les articles 524</w:t>
      </w:r>
      <w:r>
        <w:rPr>
          <w:rFonts w:ascii="Times New Roman" w:hAnsi="Times New Roman"/>
          <w:i/>
          <w:color w:val="231F20"/>
        </w:rPr>
        <w:t>bis </w:t>
      </w:r>
      <w:r>
        <w:rPr>
          <w:color w:val="231F20"/>
        </w:rPr>
        <w:t>et 524</w:t>
      </w:r>
      <w:r>
        <w:rPr>
          <w:rFonts w:ascii="Times New Roman" w:hAnsi="Times New Roman"/>
          <w:i/>
          <w:color w:val="231F20"/>
        </w:rPr>
        <w:t>ter </w:t>
      </w:r>
      <w:r>
        <w:rPr>
          <w:color w:val="231F20"/>
        </w:rPr>
        <w:t>du Code des sociétés restent d’application aux comités de direction constitués conformément à ces dispositions, jusqu’au jour où les sociétés concernées auront adapté leurs statuts conformément au paragraphe 1</w:t>
      </w:r>
      <w:r>
        <w:rPr>
          <w:color w:val="231F20"/>
          <w:position w:val="7"/>
          <w:sz w:val="11"/>
        </w:rPr>
        <w:t>er</w:t>
      </w:r>
      <w:r>
        <w:rPr>
          <w:color w:val="231F20"/>
        </w:rPr>
        <w:t>, alinéas 2 ou 3.</w:t>
      </w:r>
    </w:p>
    <w:p>
      <w:pPr>
        <w:pStyle w:val="BodyText"/>
        <w:spacing w:before="11"/>
        <w:ind w:left="0" w:right="0" w:firstLine="0"/>
        <w:jc w:val="left"/>
        <w:rPr>
          <w:sz w:val="26"/>
        </w:rPr>
      </w:pPr>
    </w:p>
    <w:p>
      <w:pPr>
        <w:pStyle w:val="BodyText"/>
        <w:spacing w:line="211" w:lineRule="auto"/>
        <w:ind w:right="38"/>
      </w:pPr>
      <w:r>
        <w:rPr>
          <w:color w:val="231F20"/>
        </w:rPr>
        <w:t>§ 4. </w:t>
      </w:r>
      <w:r>
        <w:rPr>
          <w:color w:val="231F20"/>
          <w:spacing w:val="-4"/>
        </w:rPr>
        <w:t>Tant </w:t>
      </w:r>
      <w:r>
        <w:rPr>
          <w:color w:val="231F20"/>
        </w:rPr>
        <w:t>qu’une ASBL ou une AISBL n’a pas modifié son objet, elle</w:t>
      </w:r>
      <w:r>
        <w:rPr>
          <w:color w:val="231F20"/>
          <w:spacing w:val="-23"/>
        </w:rPr>
        <w:t> </w:t>
      </w:r>
      <w:r>
        <w:rPr>
          <w:color w:val="231F20"/>
        </w:rPr>
        <w:t>ne peut exercer que les seules activités entrant dans les  limites  de  l’article 1</w:t>
      </w:r>
      <w:r>
        <w:rPr>
          <w:color w:val="231F20"/>
          <w:position w:val="7"/>
          <w:sz w:val="11"/>
        </w:rPr>
        <w:t>er </w:t>
      </w:r>
      <w:r>
        <w:rPr>
          <w:color w:val="231F20"/>
        </w:rPr>
        <w:t>respectivement 46 de la loi du 27 juin 1921 sur les associations  sans  but  lucratif,  les  fondations,  les  partis   politi-   ques européens et les fondations politiques européennes. L’interdiction d’exercer</w:t>
      </w:r>
      <w:r>
        <w:rPr>
          <w:color w:val="231F20"/>
          <w:spacing w:val="14"/>
        </w:rPr>
        <w:t> </w:t>
      </w:r>
      <w:r>
        <w:rPr>
          <w:color w:val="231F20"/>
        </w:rPr>
        <w:t>d’autres</w:t>
      </w:r>
      <w:r>
        <w:rPr>
          <w:color w:val="231F20"/>
          <w:spacing w:val="15"/>
        </w:rPr>
        <w:t> </w:t>
      </w:r>
      <w:r>
        <w:rPr>
          <w:color w:val="231F20"/>
        </w:rPr>
        <w:t>activités</w:t>
      </w:r>
      <w:r>
        <w:rPr>
          <w:color w:val="231F20"/>
          <w:spacing w:val="15"/>
        </w:rPr>
        <w:t> </w:t>
      </w:r>
      <w:r>
        <w:rPr>
          <w:color w:val="231F20"/>
        </w:rPr>
        <w:t>prend</w:t>
      </w:r>
      <w:r>
        <w:rPr>
          <w:color w:val="231F20"/>
          <w:spacing w:val="14"/>
        </w:rPr>
        <w:t> </w:t>
      </w:r>
      <w:r>
        <w:rPr>
          <w:color w:val="231F20"/>
        </w:rPr>
        <w:t>fin</w:t>
      </w:r>
      <w:r>
        <w:rPr>
          <w:color w:val="231F20"/>
          <w:spacing w:val="15"/>
        </w:rPr>
        <w:t> </w:t>
      </w:r>
      <w:r>
        <w:rPr>
          <w:color w:val="231F20"/>
        </w:rPr>
        <w:t>au</w:t>
      </w:r>
      <w:r>
        <w:rPr>
          <w:color w:val="231F20"/>
          <w:spacing w:val="15"/>
        </w:rPr>
        <w:t> </w:t>
      </w:r>
      <w:r>
        <w:rPr>
          <w:color w:val="231F20"/>
        </w:rPr>
        <w:t>1</w:t>
      </w:r>
      <w:r>
        <w:rPr>
          <w:color w:val="231F20"/>
          <w:position w:val="7"/>
          <w:sz w:val="11"/>
        </w:rPr>
        <w:t>er</w:t>
      </w:r>
      <w:r>
        <w:rPr>
          <w:color w:val="231F20"/>
          <w:spacing w:val="16"/>
          <w:position w:val="7"/>
          <w:sz w:val="11"/>
        </w:rPr>
        <w:t> </w:t>
      </w:r>
      <w:r>
        <w:rPr>
          <w:color w:val="231F20"/>
        </w:rPr>
        <w:t>janvier</w:t>
      </w:r>
      <w:r>
        <w:rPr>
          <w:color w:val="231F20"/>
          <w:spacing w:val="15"/>
        </w:rPr>
        <w:t> </w:t>
      </w:r>
      <w:r>
        <w:rPr>
          <w:color w:val="231F20"/>
        </w:rPr>
        <w:t>2029.</w:t>
      </w:r>
    </w:p>
    <w:p>
      <w:pPr>
        <w:pStyle w:val="BodyText"/>
        <w:spacing w:line="218" w:lineRule="auto" w:before="128"/>
        <w:ind w:right="39"/>
      </w:pPr>
      <w:r>
        <w:rPr>
          <w:color w:val="231F20"/>
        </w:rPr>
        <w:t>§ 5. Le Livre 2, Titre 7, du Code des sociétés et des associations devient applicable à toutes les sociétés visées à l’article 2:60 du même Code à la date de l’entrée en vigueur de la loi. Les articles 334 à 342, ou 635 à 644 du Code des sociétés restent cependant d’application aux actions judiciaires introduites avant l’entrée en vigueur de la présente loi.</w:t>
      </w:r>
    </w:p>
    <w:p>
      <w:pPr>
        <w:pStyle w:val="BodyText"/>
        <w:spacing w:before="1"/>
        <w:ind w:left="0" w:right="0" w:firstLine="0"/>
        <w:jc w:val="left"/>
        <w:rPr>
          <w:sz w:val="27"/>
        </w:rPr>
      </w:pPr>
    </w:p>
    <w:p>
      <w:pPr>
        <w:pStyle w:val="BodyText"/>
        <w:spacing w:line="213" w:lineRule="auto"/>
        <w:ind w:right="40"/>
      </w:pPr>
      <w:r>
        <w:rPr>
          <w:color w:val="231F20"/>
        </w:rPr>
        <w:t>§ 6. Les articles 2:56 à 2:58 deviennent applicables aux faits dommageables commis à partir de la date à laquelle le Code des sociétés et associations devient applicable à la personne morale concernée</w:t>
      </w:r>
      <w:r>
        <w:rPr>
          <w:color w:val="231F20"/>
          <w:spacing w:val="16"/>
        </w:rPr>
        <w:t> </w:t>
      </w:r>
      <w:r>
        <w:rPr>
          <w:color w:val="231F20"/>
        </w:rPr>
        <w:t>conformément</w:t>
      </w:r>
      <w:r>
        <w:rPr>
          <w:color w:val="231F20"/>
          <w:spacing w:val="17"/>
        </w:rPr>
        <w:t> </w:t>
      </w:r>
      <w:r>
        <w:rPr>
          <w:color w:val="231F20"/>
        </w:rPr>
        <w:t>au</w:t>
      </w:r>
      <w:r>
        <w:rPr>
          <w:color w:val="231F20"/>
          <w:spacing w:val="17"/>
        </w:rPr>
        <w:t> </w:t>
      </w:r>
      <w:r>
        <w:rPr>
          <w:color w:val="231F20"/>
        </w:rPr>
        <w:t>paragraphe</w:t>
      </w:r>
      <w:r>
        <w:rPr>
          <w:color w:val="231F20"/>
          <w:spacing w:val="17"/>
        </w:rPr>
        <w:t> </w:t>
      </w:r>
      <w:r>
        <w:rPr>
          <w:color w:val="231F20"/>
        </w:rPr>
        <w:t>1</w:t>
      </w:r>
      <w:r>
        <w:rPr>
          <w:color w:val="231F20"/>
          <w:position w:val="7"/>
          <w:sz w:val="11"/>
        </w:rPr>
        <w:t>er</w:t>
      </w:r>
      <w:r>
        <w:rPr>
          <w:color w:val="231F20"/>
        </w:rPr>
        <w:t>,</w:t>
      </w:r>
      <w:r>
        <w:rPr>
          <w:color w:val="231F20"/>
          <w:spacing w:val="17"/>
        </w:rPr>
        <w:t> </w:t>
      </w:r>
      <w:r>
        <w:rPr>
          <w:color w:val="231F20"/>
        </w:rPr>
        <w:t>alinéas</w:t>
      </w:r>
      <w:r>
        <w:rPr>
          <w:color w:val="231F20"/>
          <w:spacing w:val="2"/>
        </w:rPr>
        <w:t> </w:t>
      </w:r>
      <w:r>
        <w:rPr>
          <w:color w:val="231F20"/>
        </w:rPr>
        <w:t>1</w:t>
      </w:r>
      <w:r>
        <w:rPr>
          <w:color w:val="231F20"/>
          <w:spacing w:val="17"/>
        </w:rPr>
        <w:t> </w:t>
      </w:r>
      <w:r>
        <w:rPr>
          <w:color w:val="231F20"/>
        </w:rPr>
        <w:t>ou</w:t>
      </w:r>
      <w:r>
        <w:rPr>
          <w:color w:val="231F20"/>
          <w:spacing w:val="17"/>
        </w:rPr>
        <w:t> </w:t>
      </w:r>
      <w:r>
        <w:rPr>
          <w:color w:val="231F20"/>
        </w:rPr>
        <w:t>2.</w:t>
      </w:r>
    </w:p>
    <w:p>
      <w:pPr>
        <w:pStyle w:val="BodyText"/>
        <w:spacing w:before="9"/>
        <w:ind w:left="0" w:right="0" w:firstLine="0"/>
        <w:jc w:val="left"/>
        <w:rPr>
          <w:sz w:val="28"/>
        </w:rPr>
      </w:pPr>
    </w:p>
    <w:p>
      <w:pPr>
        <w:pStyle w:val="BodyText"/>
        <w:spacing w:line="180" w:lineRule="exact"/>
        <w:ind w:left="283" w:right="0" w:firstLine="0"/>
        <w:jc w:val="left"/>
      </w:pPr>
      <w:r>
        <w:rPr>
          <w:rFonts w:ascii="Times New Roman" w:hAnsi="Times New Roman"/>
          <w:b/>
          <w:color w:val="231F20"/>
        </w:rPr>
        <w:t>Art.</w:t>
      </w:r>
      <w:r>
        <w:rPr>
          <w:rFonts w:ascii="Times New Roman" w:hAnsi="Times New Roman"/>
          <w:b/>
          <w:color w:val="231F20"/>
          <w:spacing w:val="26"/>
        </w:rPr>
        <w:t> </w:t>
      </w:r>
      <w:r>
        <w:rPr>
          <w:rFonts w:ascii="Times New Roman" w:hAnsi="Times New Roman"/>
          <w:b/>
          <w:color w:val="231F20"/>
        </w:rPr>
        <w:t>40.</w:t>
      </w:r>
      <w:r>
        <w:rPr>
          <w:rFonts w:ascii="Times New Roman" w:hAnsi="Times New Roman"/>
          <w:b/>
          <w:color w:val="231F20"/>
          <w:spacing w:val="27"/>
        </w:rPr>
        <w:t> </w:t>
      </w:r>
      <w:r>
        <w:rPr>
          <w:color w:val="231F20"/>
        </w:rPr>
        <w:t>Par</w:t>
      </w:r>
      <w:r>
        <w:rPr>
          <w:color w:val="231F20"/>
          <w:spacing w:val="-11"/>
        </w:rPr>
        <w:t> </w:t>
      </w:r>
      <w:r>
        <w:rPr>
          <w:color w:val="231F20"/>
        </w:rPr>
        <w:t>dérogation</w:t>
      </w:r>
      <w:r>
        <w:rPr>
          <w:color w:val="231F20"/>
          <w:spacing w:val="-11"/>
        </w:rPr>
        <w:t> </w:t>
      </w:r>
      <w:r>
        <w:rPr>
          <w:color w:val="231F20"/>
        </w:rPr>
        <w:t>aux</w:t>
      </w:r>
      <w:r>
        <w:rPr>
          <w:color w:val="231F20"/>
          <w:spacing w:val="-10"/>
        </w:rPr>
        <w:t> </w:t>
      </w:r>
      <w:r>
        <w:rPr>
          <w:color w:val="231F20"/>
        </w:rPr>
        <w:t>articles</w:t>
      </w:r>
      <w:r>
        <w:rPr>
          <w:color w:val="231F20"/>
          <w:spacing w:val="-11"/>
        </w:rPr>
        <w:t> </w:t>
      </w:r>
      <w:r>
        <w:rPr>
          <w:color w:val="231F20"/>
        </w:rPr>
        <w:t>38</w:t>
      </w:r>
      <w:r>
        <w:rPr>
          <w:color w:val="231F20"/>
          <w:spacing w:val="-11"/>
        </w:rPr>
        <w:t> </w:t>
      </w:r>
      <w:r>
        <w:rPr>
          <w:color w:val="231F20"/>
        </w:rPr>
        <w:t>et</w:t>
      </w:r>
      <w:r>
        <w:rPr>
          <w:color w:val="231F20"/>
          <w:spacing w:val="-11"/>
        </w:rPr>
        <w:t> </w:t>
      </w:r>
      <w:r>
        <w:rPr>
          <w:color w:val="231F20"/>
        </w:rPr>
        <w:t>39</w:t>
      </w:r>
      <w:r>
        <w:rPr>
          <w:color w:val="231F20"/>
          <w:spacing w:val="-11"/>
        </w:rPr>
        <w:t> </w:t>
      </w:r>
      <w:r>
        <w:rPr>
          <w:color w:val="231F20"/>
        </w:rPr>
        <w:t>les</w:t>
      </w:r>
      <w:r>
        <w:rPr>
          <w:color w:val="231F20"/>
          <w:spacing w:val="-11"/>
        </w:rPr>
        <w:t> </w:t>
      </w:r>
      <w:r>
        <w:rPr>
          <w:color w:val="231F20"/>
        </w:rPr>
        <w:t>articles</w:t>
      </w:r>
      <w:r>
        <w:rPr>
          <w:color w:val="231F20"/>
          <w:spacing w:val="-11"/>
        </w:rPr>
        <w:t> </w:t>
      </w:r>
      <w:r>
        <w:rPr>
          <w:color w:val="231F20"/>
        </w:rPr>
        <w:t>3:1,</w:t>
      </w:r>
      <w:r>
        <w:rPr>
          <w:color w:val="231F20"/>
          <w:spacing w:val="-10"/>
        </w:rPr>
        <w:t> </w:t>
      </w:r>
      <w:r>
        <w:rPr>
          <w:color w:val="231F20"/>
        </w:rPr>
        <w:t>§</w:t>
      </w:r>
      <w:r>
        <w:rPr>
          <w:color w:val="231F20"/>
          <w:spacing w:val="-11"/>
        </w:rPr>
        <w:t> </w:t>
      </w:r>
      <w:r>
        <w:rPr>
          <w:color w:val="231F20"/>
        </w:rPr>
        <w:t>3,</w:t>
      </w:r>
      <w:r>
        <w:rPr>
          <w:color w:val="231F20"/>
          <w:spacing w:val="-11"/>
        </w:rPr>
        <w:t> </w:t>
      </w:r>
      <w:r>
        <w:rPr>
          <w:color w:val="231F20"/>
        </w:rPr>
        <w:t>5°,</w:t>
      </w:r>
      <w:r>
        <w:rPr>
          <w:color w:val="231F20"/>
          <w:spacing w:val="-11"/>
        </w:rPr>
        <w:t> </w:t>
      </w:r>
      <w:r>
        <w:rPr>
          <w:color w:val="231F20"/>
        </w:rPr>
        <w:t>3:4,</w:t>
      </w:r>
    </w:p>
    <w:p>
      <w:pPr>
        <w:pStyle w:val="BodyText"/>
        <w:spacing w:line="183" w:lineRule="exact"/>
        <w:ind w:right="0" w:firstLine="0"/>
        <w:jc w:val="left"/>
      </w:pPr>
      <w:r>
        <w:rPr>
          <w:color w:val="231F20"/>
        </w:rPr>
        <w:t>alinéa</w:t>
      </w:r>
      <w:r>
        <w:rPr>
          <w:color w:val="231F20"/>
          <w:spacing w:val="-12"/>
        </w:rPr>
        <w:t> </w:t>
      </w:r>
      <w:r>
        <w:rPr>
          <w:color w:val="231F20"/>
        </w:rPr>
        <w:t>1</w:t>
      </w:r>
      <w:r>
        <w:rPr>
          <w:color w:val="231F20"/>
          <w:position w:val="7"/>
          <w:sz w:val="11"/>
        </w:rPr>
        <w:t>er</w:t>
      </w:r>
      <w:r>
        <w:rPr>
          <w:color w:val="231F20"/>
        </w:rPr>
        <w:t>,</w:t>
      </w:r>
      <w:r>
        <w:rPr>
          <w:color w:val="231F20"/>
          <w:spacing w:val="-11"/>
        </w:rPr>
        <w:t> </w:t>
      </w:r>
      <w:r>
        <w:rPr>
          <w:color w:val="231F20"/>
        </w:rPr>
        <w:t>4°,</w:t>
      </w:r>
      <w:r>
        <w:rPr>
          <w:color w:val="231F20"/>
          <w:spacing w:val="-11"/>
        </w:rPr>
        <w:t> </w:t>
      </w:r>
      <w:r>
        <w:rPr>
          <w:color w:val="231F20"/>
        </w:rPr>
        <w:t>3:8,</w:t>
      </w:r>
      <w:r>
        <w:rPr>
          <w:color w:val="231F20"/>
          <w:spacing w:val="-11"/>
        </w:rPr>
        <w:t> </w:t>
      </w:r>
      <w:r>
        <w:rPr>
          <w:color w:val="231F20"/>
        </w:rPr>
        <w:t>§</w:t>
      </w:r>
      <w:r>
        <w:rPr>
          <w:color w:val="231F20"/>
          <w:spacing w:val="-11"/>
        </w:rPr>
        <w:t> </w:t>
      </w:r>
      <w:r>
        <w:rPr>
          <w:color w:val="231F20"/>
        </w:rPr>
        <w:t>1</w:t>
      </w:r>
      <w:r>
        <w:rPr>
          <w:color w:val="231F20"/>
          <w:position w:val="7"/>
          <w:sz w:val="11"/>
        </w:rPr>
        <w:t>er</w:t>
      </w:r>
      <w:r>
        <w:rPr>
          <w:color w:val="231F20"/>
        </w:rPr>
        <w:t>,</w:t>
      </w:r>
      <w:r>
        <w:rPr>
          <w:color w:val="231F20"/>
          <w:spacing w:val="-11"/>
        </w:rPr>
        <w:t> </w:t>
      </w:r>
      <w:r>
        <w:rPr>
          <w:color w:val="231F20"/>
        </w:rPr>
        <w:t>alinéa</w:t>
      </w:r>
      <w:r>
        <w:rPr>
          <w:color w:val="231F20"/>
          <w:spacing w:val="-11"/>
        </w:rPr>
        <w:t> </w:t>
      </w:r>
      <w:r>
        <w:rPr>
          <w:color w:val="231F20"/>
        </w:rPr>
        <w:t>2,</w:t>
      </w:r>
      <w:r>
        <w:rPr>
          <w:color w:val="231F20"/>
          <w:spacing w:val="-11"/>
        </w:rPr>
        <w:t> </w:t>
      </w:r>
      <w:r>
        <w:rPr>
          <w:color w:val="231F20"/>
        </w:rPr>
        <w:t>2°,</w:t>
      </w:r>
      <w:r>
        <w:rPr>
          <w:color w:val="231F20"/>
          <w:spacing w:val="-11"/>
        </w:rPr>
        <w:t> </w:t>
      </w:r>
      <w:r>
        <w:rPr>
          <w:color w:val="231F20"/>
        </w:rPr>
        <w:t>3:21,</w:t>
      </w:r>
      <w:r>
        <w:rPr>
          <w:color w:val="231F20"/>
          <w:spacing w:val="-11"/>
        </w:rPr>
        <w:t> </w:t>
      </w:r>
      <w:r>
        <w:rPr>
          <w:color w:val="231F20"/>
        </w:rPr>
        <w:t>4°,</w:t>
      </w:r>
      <w:r>
        <w:rPr>
          <w:color w:val="231F20"/>
          <w:spacing w:val="-11"/>
        </w:rPr>
        <w:t> </w:t>
      </w:r>
      <w:r>
        <w:rPr>
          <w:color w:val="231F20"/>
        </w:rPr>
        <w:t>3:72,</w:t>
      </w:r>
      <w:r>
        <w:rPr>
          <w:color w:val="231F20"/>
          <w:spacing w:val="-11"/>
        </w:rPr>
        <w:t> </w:t>
      </w:r>
      <w:r>
        <w:rPr>
          <w:color w:val="231F20"/>
        </w:rPr>
        <w:t>3°,</w:t>
      </w:r>
      <w:r>
        <w:rPr>
          <w:color w:val="231F20"/>
          <w:spacing w:val="-11"/>
        </w:rPr>
        <w:t> </w:t>
      </w:r>
      <w:r>
        <w:rPr>
          <w:color w:val="231F20"/>
        </w:rPr>
        <w:t>3:76,</w:t>
      </w:r>
      <w:r>
        <w:rPr>
          <w:color w:val="231F20"/>
          <w:spacing w:val="-11"/>
        </w:rPr>
        <w:t> </w:t>
      </w:r>
      <w:r>
        <w:rPr>
          <w:color w:val="231F20"/>
        </w:rPr>
        <w:t>3°,</w:t>
      </w:r>
      <w:r>
        <w:rPr>
          <w:color w:val="231F20"/>
          <w:spacing w:val="-11"/>
        </w:rPr>
        <w:t> </w:t>
      </w:r>
      <w:r>
        <w:rPr>
          <w:color w:val="231F20"/>
        </w:rPr>
        <w:t>6:1,</w:t>
      </w:r>
      <w:r>
        <w:rPr>
          <w:color w:val="231F20"/>
          <w:spacing w:val="-11"/>
        </w:rPr>
        <w:t> </w:t>
      </w:r>
      <w:r>
        <w:rPr>
          <w:color w:val="231F20"/>
        </w:rPr>
        <w:t>§</w:t>
      </w:r>
      <w:r>
        <w:rPr>
          <w:color w:val="231F20"/>
          <w:spacing w:val="-11"/>
        </w:rPr>
        <w:t> </w:t>
      </w:r>
      <w:r>
        <w:rPr>
          <w:color w:val="231F20"/>
        </w:rPr>
        <w:t>3,</w:t>
      </w:r>
      <w:r>
        <w:rPr>
          <w:color w:val="231F20"/>
          <w:spacing w:val="-11"/>
        </w:rPr>
        <w:t> </w:t>
      </w:r>
      <w:r>
        <w:rPr>
          <w:color w:val="231F20"/>
        </w:rPr>
        <w:t>8:2,</w:t>
      </w:r>
    </w:p>
    <w:p>
      <w:pPr>
        <w:pStyle w:val="BodyText"/>
        <w:spacing w:line="201" w:lineRule="auto" w:before="16"/>
        <w:ind w:right="39" w:firstLine="0"/>
      </w:pPr>
      <w:r>
        <w:rPr>
          <w:color w:val="231F20"/>
        </w:rPr>
        <w:t>8:3 et 8:6 du Code des sociétés et des associations et les articles 31, alinéa 1</w:t>
      </w:r>
      <w:r>
        <w:rPr>
          <w:color w:val="231F20"/>
          <w:position w:val="7"/>
          <w:sz w:val="11"/>
        </w:rPr>
        <w:t>er</w:t>
      </w:r>
      <w:r>
        <w:rPr>
          <w:color w:val="231F20"/>
        </w:rPr>
        <w:t>, et 42, § 2, de la présente loi entrent en vigueur à une date fixée par le Roi, et au plus tard le 1</w:t>
      </w:r>
      <w:r>
        <w:rPr>
          <w:color w:val="231F20"/>
          <w:position w:val="7"/>
          <w:sz w:val="11"/>
        </w:rPr>
        <w:t>er </w:t>
      </w:r>
      <w:r>
        <w:rPr>
          <w:color w:val="231F20"/>
        </w:rPr>
        <w:t>janvier 2020.</w:t>
      </w:r>
    </w:p>
    <w:p>
      <w:pPr>
        <w:pStyle w:val="BodyText"/>
        <w:spacing w:before="4"/>
        <w:ind w:left="0" w:right="0" w:firstLine="0"/>
        <w:jc w:val="left"/>
        <w:rPr>
          <w:sz w:val="29"/>
        </w:rPr>
      </w:pPr>
    </w:p>
    <w:p>
      <w:pPr>
        <w:pStyle w:val="BodyText"/>
        <w:spacing w:line="216" w:lineRule="auto"/>
        <w:ind w:right="39"/>
      </w:pPr>
      <w:r>
        <w:rPr>
          <w:rFonts w:ascii="Times New Roman" w:hAnsi="Times New Roman"/>
          <w:b/>
          <w:color w:val="231F20"/>
        </w:rPr>
        <w:t>Art. 41. </w:t>
      </w:r>
      <w:r>
        <w:rPr>
          <w:color w:val="231F20"/>
        </w:rPr>
        <w:t>§ 1</w:t>
      </w:r>
      <w:r>
        <w:rPr>
          <w:color w:val="231F20"/>
          <w:position w:val="7"/>
          <w:sz w:val="11"/>
        </w:rPr>
        <w:t>er</w:t>
      </w:r>
      <w:r>
        <w:rPr>
          <w:color w:val="231F20"/>
        </w:rPr>
        <w:t>. Les personnes morales qui ont adopté la forme légale d’une société en commandite par actions, d’une société à finalité sociale, d’une société agricole, d’un groupement d’intérêt économique, d’une société coopérative à responsabilité illimitée, d’une société coopérative à responsabilité limitée ne répondant pas à la définition de société coopérative à l’article 6:1 ou d’union professionnelle restent soumises aux dispositions du Code des sociétés, respectivement de la loi du 31 mars 1898 sur les unions professionnelles, jusqu’à leur transformation</w:t>
      </w:r>
      <w:r>
        <w:rPr>
          <w:color w:val="231F20"/>
          <w:spacing w:val="-3"/>
        </w:rPr>
        <w:t> </w:t>
      </w:r>
      <w:r>
        <w:rPr>
          <w:color w:val="231F20"/>
        </w:rPr>
        <w:t>en</w:t>
      </w:r>
      <w:r>
        <w:rPr>
          <w:color w:val="231F20"/>
          <w:spacing w:val="-3"/>
        </w:rPr>
        <w:t> </w:t>
      </w:r>
      <w:r>
        <w:rPr>
          <w:color w:val="231F20"/>
        </w:rPr>
        <w:t>une</w:t>
      </w:r>
      <w:r>
        <w:rPr>
          <w:color w:val="231F20"/>
          <w:spacing w:val="-3"/>
        </w:rPr>
        <w:t> </w:t>
      </w:r>
      <w:r>
        <w:rPr>
          <w:color w:val="231F20"/>
        </w:rPr>
        <w:t>autre</w:t>
      </w:r>
      <w:r>
        <w:rPr>
          <w:color w:val="231F20"/>
          <w:spacing w:val="-3"/>
        </w:rPr>
        <w:t> </w:t>
      </w:r>
      <w:r>
        <w:rPr>
          <w:color w:val="231F20"/>
        </w:rPr>
        <w:t>forme</w:t>
      </w:r>
      <w:r>
        <w:rPr>
          <w:color w:val="231F20"/>
          <w:spacing w:val="-3"/>
        </w:rPr>
        <w:t> </w:t>
      </w:r>
      <w:r>
        <w:rPr>
          <w:color w:val="231F20"/>
        </w:rPr>
        <w:t>légale,</w:t>
      </w:r>
      <w:r>
        <w:rPr>
          <w:color w:val="231F20"/>
          <w:spacing w:val="-3"/>
        </w:rPr>
        <w:t> </w:t>
      </w:r>
      <w:r>
        <w:rPr>
          <w:color w:val="231F20"/>
        </w:rPr>
        <w:t>étant</w:t>
      </w:r>
      <w:r>
        <w:rPr>
          <w:color w:val="231F20"/>
          <w:spacing w:val="-3"/>
        </w:rPr>
        <w:t> </w:t>
      </w:r>
      <w:r>
        <w:rPr>
          <w:color w:val="231F20"/>
        </w:rPr>
        <w:t>entendu</w:t>
      </w:r>
      <w:r>
        <w:rPr>
          <w:color w:val="231F20"/>
          <w:spacing w:val="-3"/>
        </w:rPr>
        <w:t> </w:t>
      </w:r>
      <w:r>
        <w:rPr>
          <w:color w:val="231F20"/>
        </w:rPr>
        <w:t>que,</w:t>
      </w:r>
      <w:r>
        <w:rPr>
          <w:color w:val="231F20"/>
          <w:spacing w:val="-3"/>
        </w:rPr>
        <w:t> </w:t>
      </w:r>
      <w:r>
        <w:rPr>
          <w:color w:val="231F20"/>
        </w:rPr>
        <w:t>dès</w:t>
      </w:r>
      <w:r>
        <w:rPr>
          <w:color w:val="231F20"/>
          <w:spacing w:val="-3"/>
        </w:rPr>
        <w:t> </w:t>
      </w:r>
      <w:r>
        <w:rPr>
          <w:color w:val="231F20"/>
        </w:rPr>
        <w:t>le</w:t>
      </w:r>
      <w:r>
        <w:rPr>
          <w:color w:val="231F20"/>
          <w:spacing w:val="-2"/>
        </w:rPr>
        <w:t> </w:t>
      </w:r>
      <w:r>
        <w:rPr>
          <w:color w:val="231F20"/>
        </w:rPr>
        <w:t>jour où le Code des sociétés et des associations leur est applicable conformément</w:t>
      </w:r>
      <w:r>
        <w:rPr>
          <w:color w:val="231F20"/>
          <w:spacing w:val="15"/>
        </w:rPr>
        <w:t> </w:t>
      </w:r>
      <w:r>
        <w:rPr>
          <w:color w:val="231F20"/>
        </w:rPr>
        <w:t>à</w:t>
      </w:r>
      <w:r>
        <w:rPr>
          <w:color w:val="231F20"/>
          <w:spacing w:val="15"/>
        </w:rPr>
        <w:t> </w:t>
      </w:r>
      <w:r>
        <w:rPr>
          <w:color w:val="231F20"/>
        </w:rPr>
        <w:t>l’article</w:t>
      </w:r>
      <w:r>
        <w:rPr>
          <w:color w:val="231F20"/>
          <w:spacing w:val="15"/>
        </w:rPr>
        <w:t> </w:t>
      </w:r>
      <w:r>
        <w:rPr>
          <w:color w:val="231F20"/>
        </w:rPr>
        <w:t>39,</w:t>
      </w:r>
      <w:r>
        <w:rPr>
          <w:color w:val="231F20"/>
          <w:spacing w:val="15"/>
        </w:rPr>
        <w:t> </w:t>
      </w:r>
      <w:r>
        <w:rPr>
          <w:color w:val="231F20"/>
        </w:rPr>
        <w:t>§</w:t>
      </w:r>
      <w:r>
        <w:rPr>
          <w:color w:val="231F20"/>
          <w:spacing w:val="15"/>
        </w:rPr>
        <w:t> </w:t>
      </w:r>
      <w:r>
        <w:rPr>
          <w:color w:val="231F20"/>
        </w:rPr>
        <w:t>1</w:t>
      </w:r>
      <w:r>
        <w:rPr>
          <w:color w:val="231F20"/>
          <w:position w:val="7"/>
          <w:sz w:val="11"/>
        </w:rPr>
        <w:t>er</w:t>
      </w:r>
      <w:r>
        <w:rPr>
          <w:color w:val="231F20"/>
        </w:rPr>
        <w:t>,</w:t>
      </w:r>
      <w:r>
        <w:rPr>
          <w:color w:val="231F20"/>
          <w:spacing w:val="15"/>
        </w:rPr>
        <w:t> </w:t>
      </w:r>
      <w:r>
        <w:rPr>
          <w:color w:val="231F20"/>
        </w:rPr>
        <w:t>alinéa</w:t>
      </w:r>
      <w:r>
        <w:rPr>
          <w:color w:val="231F20"/>
          <w:spacing w:val="15"/>
        </w:rPr>
        <w:t> </w:t>
      </w:r>
      <w:r>
        <w:rPr>
          <w:color w:val="231F20"/>
        </w:rPr>
        <w:t>1</w:t>
      </w:r>
      <w:r>
        <w:rPr>
          <w:color w:val="231F20"/>
          <w:position w:val="7"/>
          <w:sz w:val="11"/>
        </w:rPr>
        <w:t>er</w:t>
      </w:r>
      <w:r>
        <w:rPr>
          <w:color w:val="231F20"/>
          <w:spacing w:val="16"/>
          <w:position w:val="7"/>
          <w:sz w:val="11"/>
        </w:rPr>
        <w:t> </w:t>
      </w:r>
      <w:r>
        <w:rPr>
          <w:color w:val="231F20"/>
        </w:rPr>
        <w:t>ou</w:t>
      </w:r>
      <w:r>
        <w:rPr>
          <w:color w:val="231F20"/>
          <w:spacing w:val="15"/>
        </w:rPr>
        <w:t> </w:t>
      </w:r>
      <w:r>
        <w:rPr>
          <w:color w:val="231F20"/>
        </w:rPr>
        <w:t>2,</w:t>
      </w:r>
      <w:r>
        <w:rPr>
          <w:color w:val="231F20"/>
          <w:spacing w:val="15"/>
        </w:rPr>
        <w:t> </w:t>
      </w:r>
      <w:r>
        <w:rPr>
          <w:color w:val="231F20"/>
        </w:rPr>
        <w:t>en</w:t>
      </w:r>
      <w:r>
        <w:rPr>
          <w:color w:val="231F20"/>
          <w:spacing w:val="15"/>
        </w:rPr>
        <w:t> </w:t>
      </w:r>
      <w:r>
        <w:rPr>
          <w:color w:val="231F20"/>
        </w:rPr>
        <w:t>outre:</w:t>
      </w:r>
    </w:p>
    <w:p>
      <w:pPr>
        <w:pStyle w:val="BodyText"/>
        <w:spacing w:before="5"/>
        <w:ind w:left="0" w:right="0" w:firstLine="0"/>
        <w:jc w:val="left"/>
        <w:rPr>
          <w:sz w:val="27"/>
        </w:rPr>
      </w:pPr>
    </w:p>
    <w:p>
      <w:pPr>
        <w:pStyle w:val="ListParagraph"/>
        <w:numPr>
          <w:ilvl w:val="0"/>
          <w:numId w:val="143"/>
        </w:numPr>
        <w:tabs>
          <w:tab w:pos="508" w:val="left" w:leader="none"/>
        </w:tabs>
        <w:spacing w:line="213" w:lineRule="auto" w:before="1" w:after="0"/>
        <w:ind w:left="113" w:right="40" w:firstLine="170"/>
        <w:jc w:val="both"/>
        <w:rPr>
          <w:sz w:val="17"/>
        </w:rPr>
      </w:pPr>
      <w:r>
        <w:rPr>
          <w:color w:val="231F20"/>
          <w:sz w:val="17"/>
        </w:rPr>
        <w:t>les dispositions impératives du même Code qui s’appliquent à la société anonyme, à l’exception du livre 7, titre 4, chapitre 1</w:t>
      </w:r>
      <w:r>
        <w:rPr>
          <w:color w:val="231F20"/>
          <w:position w:val="7"/>
          <w:sz w:val="11"/>
        </w:rPr>
        <w:t>er </w:t>
      </w:r>
      <w:r>
        <w:rPr>
          <w:color w:val="231F20"/>
          <w:sz w:val="17"/>
        </w:rPr>
        <w:t>(sauf les articles 7:97 et 7:102), deviennent applicables à la société en comman- dite par</w:t>
      </w:r>
      <w:r>
        <w:rPr>
          <w:color w:val="231F20"/>
          <w:spacing w:val="-12"/>
          <w:sz w:val="17"/>
        </w:rPr>
        <w:t> </w:t>
      </w:r>
      <w:r>
        <w:rPr>
          <w:color w:val="231F20"/>
          <w:sz w:val="17"/>
        </w:rPr>
        <w:t>actions;</w:t>
      </w:r>
    </w:p>
    <w:p>
      <w:pPr>
        <w:pStyle w:val="ListParagraph"/>
        <w:numPr>
          <w:ilvl w:val="0"/>
          <w:numId w:val="143"/>
        </w:numPr>
        <w:tabs>
          <w:tab w:pos="508" w:val="left" w:leader="none"/>
        </w:tabs>
        <w:spacing w:line="218" w:lineRule="auto" w:before="125" w:after="0"/>
        <w:ind w:left="113" w:right="39" w:firstLine="170"/>
        <w:jc w:val="both"/>
        <w:rPr>
          <w:sz w:val="17"/>
        </w:rPr>
      </w:pPr>
      <w:r>
        <w:rPr>
          <w:color w:val="231F20"/>
          <w:sz w:val="17"/>
        </w:rPr>
        <w:t>les dispositions impératives du même Code qui s’appliquent à la société en nom collectif deviennent applicables à la société coopérative à responsabilité illimitée, au groupement d’intérêt économique et à la société</w:t>
      </w:r>
      <w:r>
        <w:rPr>
          <w:color w:val="231F20"/>
          <w:spacing w:val="15"/>
          <w:sz w:val="17"/>
        </w:rPr>
        <w:t> </w:t>
      </w:r>
      <w:r>
        <w:rPr>
          <w:color w:val="231F20"/>
          <w:sz w:val="17"/>
        </w:rPr>
        <w:t>agricole</w:t>
      </w:r>
      <w:r>
        <w:rPr>
          <w:color w:val="231F20"/>
          <w:spacing w:val="15"/>
          <w:sz w:val="17"/>
        </w:rPr>
        <w:t> </w:t>
      </w:r>
      <w:r>
        <w:rPr>
          <w:color w:val="231F20"/>
          <w:sz w:val="17"/>
        </w:rPr>
        <w:t>qui</w:t>
      </w:r>
      <w:r>
        <w:rPr>
          <w:color w:val="231F20"/>
          <w:spacing w:val="15"/>
          <w:sz w:val="17"/>
        </w:rPr>
        <w:t> </w:t>
      </w:r>
      <w:r>
        <w:rPr>
          <w:color w:val="231F20"/>
          <w:sz w:val="17"/>
        </w:rPr>
        <w:t>ne</w:t>
      </w:r>
      <w:r>
        <w:rPr>
          <w:color w:val="231F20"/>
          <w:spacing w:val="15"/>
          <w:sz w:val="17"/>
        </w:rPr>
        <w:t> </w:t>
      </w:r>
      <w:r>
        <w:rPr>
          <w:color w:val="231F20"/>
          <w:sz w:val="17"/>
        </w:rPr>
        <w:t>compte</w:t>
      </w:r>
      <w:r>
        <w:rPr>
          <w:color w:val="231F20"/>
          <w:spacing w:val="15"/>
          <w:sz w:val="17"/>
        </w:rPr>
        <w:t> </w:t>
      </w:r>
      <w:r>
        <w:rPr>
          <w:color w:val="231F20"/>
          <w:sz w:val="17"/>
        </w:rPr>
        <w:t>pas</w:t>
      </w:r>
      <w:r>
        <w:rPr>
          <w:color w:val="231F20"/>
          <w:spacing w:val="15"/>
          <w:sz w:val="17"/>
        </w:rPr>
        <w:t> </w:t>
      </w:r>
      <w:r>
        <w:rPr>
          <w:color w:val="231F20"/>
          <w:sz w:val="17"/>
        </w:rPr>
        <w:t>d’associés</w:t>
      </w:r>
      <w:r>
        <w:rPr>
          <w:color w:val="231F20"/>
          <w:spacing w:val="16"/>
          <w:sz w:val="17"/>
        </w:rPr>
        <w:t> </w:t>
      </w:r>
      <w:r>
        <w:rPr>
          <w:color w:val="231F20"/>
          <w:sz w:val="17"/>
        </w:rPr>
        <w:t>commanditaires;</w:t>
      </w:r>
    </w:p>
    <w:p>
      <w:pPr>
        <w:pStyle w:val="BodyText"/>
        <w:spacing w:before="9"/>
        <w:ind w:left="0" w:right="0" w:firstLine="0"/>
        <w:jc w:val="left"/>
        <w:rPr>
          <w:sz w:val="26"/>
        </w:rPr>
      </w:pPr>
    </w:p>
    <w:p>
      <w:pPr>
        <w:pStyle w:val="ListParagraph"/>
        <w:numPr>
          <w:ilvl w:val="0"/>
          <w:numId w:val="143"/>
        </w:numPr>
        <w:tabs>
          <w:tab w:pos="509" w:val="left" w:leader="none"/>
        </w:tabs>
        <w:spacing w:line="218" w:lineRule="auto" w:before="0" w:after="0"/>
        <w:ind w:left="113" w:right="39" w:firstLine="170"/>
        <w:jc w:val="both"/>
        <w:rPr>
          <w:sz w:val="17"/>
        </w:rPr>
      </w:pPr>
      <w:r>
        <w:rPr>
          <w:color w:val="231F20"/>
          <w:sz w:val="17"/>
        </w:rPr>
        <w:t>les dispositions impératives du même Code qui s’appliquent à la société en commandite deviennent applicables à la société agricole qui compte des associés</w:t>
      </w:r>
      <w:r>
        <w:rPr>
          <w:color w:val="231F20"/>
          <w:spacing w:val="3"/>
          <w:sz w:val="17"/>
        </w:rPr>
        <w:t> </w:t>
      </w:r>
      <w:r>
        <w:rPr>
          <w:color w:val="231F20"/>
          <w:sz w:val="17"/>
        </w:rPr>
        <w:t>commanditaires;</w:t>
      </w:r>
    </w:p>
    <w:p>
      <w:pPr>
        <w:pStyle w:val="ListParagraph"/>
        <w:numPr>
          <w:ilvl w:val="0"/>
          <w:numId w:val="143"/>
        </w:numPr>
        <w:tabs>
          <w:tab w:pos="529" w:val="left" w:leader="none"/>
        </w:tabs>
        <w:spacing w:line="218" w:lineRule="auto" w:before="128" w:after="0"/>
        <w:ind w:left="113" w:right="40" w:firstLine="170"/>
        <w:jc w:val="both"/>
        <w:rPr>
          <w:sz w:val="17"/>
        </w:rPr>
      </w:pPr>
      <w:r>
        <w:rPr>
          <w:color w:val="231F20"/>
          <w:sz w:val="17"/>
        </w:rPr>
        <w:t>les dispositions impératives du même Code qui s’appliquent à l’ASBL deviennent applicables à l’union professionnelle et à la fédéra- tion d’unions</w:t>
      </w:r>
      <w:r>
        <w:rPr>
          <w:color w:val="231F20"/>
          <w:spacing w:val="-11"/>
          <w:sz w:val="17"/>
        </w:rPr>
        <w:t> </w:t>
      </w:r>
      <w:r>
        <w:rPr>
          <w:color w:val="231F20"/>
          <w:sz w:val="17"/>
        </w:rPr>
        <w:t>professionnelles;</w:t>
      </w:r>
    </w:p>
    <w:p>
      <w:pPr>
        <w:pStyle w:val="ListParagraph"/>
        <w:numPr>
          <w:ilvl w:val="0"/>
          <w:numId w:val="143"/>
        </w:numPr>
        <w:tabs>
          <w:tab w:pos="509" w:val="left" w:leader="none"/>
        </w:tabs>
        <w:spacing w:line="218" w:lineRule="auto" w:before="139" w:after="0"/>
        <w:ind w:left="113" w:right="40" w:firstLine="170"/>
        <w:jc w:val="both"/>
        <w:rPr>
          <w:sz w:val="17"/>
        </w:rPr>
      </w:pPr>
      <w:r>
        <w:rPr>
          <w:color w:val="231F20"/>
          <w:sz w:val="17"/>
        </w:rPr>
        <w:t>les dispositions impératives du même Code qui s’appliquent à la société à responsabilité limitée à l’exception du livre 2, titre 7, et livre 5, titres 5 et 6, deviennent applicables à la société coopérative à responsabilité limitée qui ne répond pas à la définition de société coopérative</w:t>
      </w:r>
      <w:r>
        <w:rPr>
          <w:color w:val="231F20"/>
          <w:spacing w:val="15"/>
          <w:sz w:val="17"/>
        </w:rPr>
        <w:t> </w:t>
      </w:r>
      <w:r>
        <w:rPr>
          <w:color w:val="231F20"/>
          <w:sz w:val="17"/>
        </w:rPr>
        <w:t>énoncée</w:t>
      </w:r>
      <w:r>
        <w:rPr>
          <w:color w:val="231F20"/>
          <w:spacing w:val="16"/>
          <w:sz w:val="17"/>
        </w:rPr>
        <w:t> </w:t>
      </w:r>
      <w:r>
        <w:rPr>
          <w:color w:val="231F20"/>
          <w:sz w:val="17"/>
        </w:rPr>
        <w:t>à</w:t>
      </w:r>
      <w:r>
        <w:rPr>
          <w:color w:val="231F20"/>
          <w:spacing w:val="15"/>
          <w:sz w:val="17"/>
        </w:rPr>
        <w:t> </w:t>
      </w:r>
      <w:r>
        <w:rPr>
          <w:color w:val="231F20"/>
          <w:sz w:val="17"/>
        </w:rPr>
        <w:t>l’article</w:t>
      </w:r>
      <w:r>
        <w:rPr>
          <w:color w:val="231F20"/>
          <w:spacing w:val="16"/>
          <w:sz w:val="17"/>
        </w:rPr>
        <w:t> </w:t>
      </w:r>
      <w:r>
        <w:rPr>
          <w:color w:val="231F20"/>
          <w:sz w:val="17"/>
        </w:rPr>
        <w:t>6:1</w:t>
      </w:r>
      <w:r>
        <w:rPr>
          <w:color w:val="231F20"/>
          <w:spacing w:val="16"/>
          <w:sz w:val="17"/>
        </w:rPr>
        <w:t> </w:t>
      </w:r>
      <w:r>
        <w:rPr>
          <w:color w:val="231F20"/>
          <w:sz w:val="17"/>
        </w:rPr>
        <w:t>du</w:t>
      </w:r>
      <w:r>
        <w:rPr>
          <w:color w:val="231F20"/>
          <w:spacing w:val="15"/>
          <w:sz w:val="17"/>
        </w:rPr>
        <w:t> </w:t>
      </w:r>
      <w:r>
        <w:rPr>
          <w:color w:val="231F20"/>
          <w:sz w:val="17"/>
        </w:rPr>
        <w:t>Code.</w:t>
      </w:r>
    </w:p>
    <w:p>
      <w:pPr>
        <w:pStyle w:val="BodyText"/>
        <w:spacing w:before="8"/>
        <w:ind w:left="0" w:right="0" w:firstLine="0"/>
        <w:jc w:val="left"/>
        <w:rPr>
          <w:sz w:val="27"/>
        </w:rPr>
      </w:pPr>
    </w:p>
    <w:p>
      <w:pPr>
        <w:pStyle w:val="BodyText"/>
        <w:spacing w:line="218" w:lineRule="auto"/>
        <w:ind w:right="39"/>
      </w:pPr>
      <w:r>
        <w:rPr>
          <w:color w:val="231F20"/>
        </w:rPr>
        <w:t>En cas de conflit entre les dispositions impératives du même Code et des dispositions impératives du Code des sociétés respectivement de la loi du 31 mars 1898 sur les unions professionnelle, les dispositions impératives du Code des sociétés et des associations prévalent.</w:t>
      </w:r>
    </w:p>
    <w:p>
      <w:pPr>
        <w:pStyle w:val="BodyText"/>
        <w:spacing w:line="218" w:lineRule="auto" w:before="119"/>
        <w:ind w:right="123" w:firstLine="0"/>
      </w:pPr>
      <w:r>
        <w:rPr/>
        <w:br w:type="column"/>
      </w:r>
      <w:r>
        <w:rPr>
          <w:color w:val="231F20"/>
        </w:rPr>
        <w:t>vervulling</w:t>
      </w:r>
      <w:r>
        <w:rPr>
          <w:color w:val="231F20"/>
          <w:spacing w:val="-6"/>
        </w:rPr>
        <w:t> </w:t>
      </w:r>
      <w:r>
        <w:rPr>
          <w:color w:val="231F20"/>
        </w:rPr>
        <w:t>van</w:t>
      </w:r>
      <w:r>
        <w:rPr>
          <w:color w:val="231F20"/>
          <w:spacing w:val="-5"/>
        </w:rPr>
        <w:t> </w:t>
      </w:r>
      <w:r>
        <w:rPr>
          <w:color w:val="231F20"/>
        </w:rPr>
        <w:t>enige</w:t>
      </w:r>
      <w:r>
        <w:rPr>
          <w:color w:val="231F20"/>
          <w:spacing w:val="-5"/>
        </w:rPr>
        <w:t> </w:t>
      </w:r>
      <w:r>
        <w:rPr>
          <w:color w:val="231F20"/>
        </w:rPr>
        <w:t>formaliteit,</w:t>
      </w:r>
      <w:r>
        <w:rPr>
          <w:color w:val="231F20"/>
          <w:spacing w:val="-5"/>
        </w:rPr>
        <w:t> </w:t>
      </w:r>
      <w:r>
        <w:rPr>
          <w:color w:val="231F20"/>
        </w:rPr>
        <w:t>omgevormd</w:t>
      </w:r>
      <w:r>
        <w:rPr>
          <w:color w:val="231F20"/>
          <w:spacing w:val="-6"/>
        </w:rPr>
        <w:t> </w:t>
      </w:r>
      <w:r>
        <w:rPr>
          <w:color w:val="231F20"/>
        </w:rPr>
        <w:t>in</w:t>
      </w:r>
      <w:r>
        <w:rPr>
          <w:color w:val="231F20"/>
          <w:spacing w:val="-5"/>
        </w:rPr>
        <w:t> </w:t>
      </w:r>
      <w:r>
        <w:rPr>
          <w:color w:val="231F20"/>
        </w:rPr>
        <w:t>een</w:t>
      </w:r>
      <w:r>
        <w:rPr>
          <w:color w:val="231F20"/>
          <w:spacing w:val="-5"/>
        </w:rPr>
        <w:t> </w:t>
      </w:r>
      <w:r>
        <w:rPr>
          <w:color w:val="231F20"/>
        </w:rPr>
        <w:t>statutair</w:t>
      </w:r>
      <w:r>
        <w:rPr>
          <w:color w:val="231F20"/>
          <w:spacing w:val="-5"/>
        </w:rPr>
        <w:t> </w:t>
      </w:r>
      <w:r>
        <w:rPr>
          <w:color w:val="231F20"/>
        </w:rPr>
        <w:t>onbeschik- bare eigen vermogensrekening. Het niet gestorte gedeelte van het kapitaal in de besloten vennootschappen met beperkte aansprakelijk- heid en het niet gestorte gedeelte van het vaste gedeelte van het kapitaal in de coöperatieve vennootschappen met beperkte aansprake- lijkheid worden op dezelfde wijze omgevormd in een eigen vermo- gensrekening “niet-opgevraagde inbrengen”. Bij volstorting worden de gestorte bedragen geboekt op de onbeschikbare eigen vermogensreke- ning.</w:t>
      </w:r>
    </w:p>
    <w:p>
      <w:pPr>
        <w:pStyle w:val="BodyText"/>
        <w:spacing w:line="218" w:lineRule="auto" w:before="127"/>
      </w:pPr>
      <w:r>
        <w:rPr>
          <w:color w:val="231F20"/>
        </w:rPr>
        <w:t>§ 3. De artikelen 524</w:t>
      </w:r>
      <w:r>
        <w:rPr>
          <w:rFonts w:ascii="Times New Roman" w:hAnsi="Times New Roman"/>
          <w:i/>
          <w:color w:val="231F20"/>
        </w:rPr>
        <w:t>bis </w:t>
      </w:r>
      <w:r>
        <w:rPr>
          <w:color w:val="231F20"/>
        </w:rPr>
        <w:t>en 524</w:t>
      </w:r>
      <w:r>
        <w:rPr>
          <w:rFonts w:ascii="Times New Roman" w:hAnsi="Times New Roman"/>
          <w:i/>
          <w:color w:val="231F20"/>
        </w:rPr>
        <w:t>ter </w:t>
      </w:r>
      <w:r>
        <w:rPr>
          <w:color w:val="231F20"/>
        </w:rPr>
        <w:t>van het </w:t>
      </w:r>
      <w:r>
        <w:rPr>
          <w:color w:val="231F20"/>
          <w:spacing w:val="-3"/>
        </w:rPr>
        <w:t>Wetboek </w:t>
      </w:r>
      <w:r>
        <w:rPr>
          <w:color w:val="231F20"/>
        </w:rPr>
        <w:t>van</w:t>
      </w:r>
      <w:r>
        <w:rPr>
          <w:color w:val="231F20"/>
          <w:spacing w:val="-25"/>
        </w:rPr>
        <w:t> </w:t>
      </w:r>
      <w:r>
        <w:rPr>
          <w:color w:val="231F20"/>
        </w:rPr>
        <w:t>vennootschap- pen blijven van toepassing op de directiecomités die overeenkomstig deze bepalingen werden opgericht, tot de dag waarop de</w:t>
      </w:r>
      <w:r>
        <w:rPr>
          <w:color w:val="231F20"/>
          <w:spacing w:val="29"/>
        </w:rPr>
        <w:t> </w:t>
      </w:r>
      <w:r>
        <w:rPr>
          <w:color w:val="231F20"/>
        </w:rPr>
        <w:t>betrokken vennootschappen hun statuten overeenkomstig paragraaf 1, tweede of derde lid, hebben</w:t>
      </w:r>
      <w:r>
        <w:rPr>
          <w:color w:val="231F20"/>
          <w:spacing w:val="4"/>
        </w:rPr>
        <w:t> </w:t>
      </w:r>
      <w:r>
        <w:rPr>
          <w:color w:val="231F20"/>
        </w:rPr>
        <w:t>aangepast.</w:t>
      </w:r>
    </w:p>
    <w:p>
      <w:pPr>
        <w:pStyle w:val="BodyText"/>
        <w:spacing w:line="218" w:lineRule="auto" w:before="128"/>
      </w:pPr>
      <w:r>
        <w:rPr>
          <w:color w:val="231F20"/>
        </w:rPr>
        <w:t>§ 4. Zolang een VZW of IVZW haar voorwerp niet heeft gewijzigd, mag zij slechts activiteiten uitoefenen binnen de perken van artikel 1, respectievelijk 46 van de wet van 27 juni 1921 betreffende de verenigingen zonder winstoogmerk, de stichtingen en de Europese politieke partijen en stichtingen. Het verbod om andere activiteiten uit te oefenen vervalt op 1 januari 2029.</w:t>
      </w:r>
    </w:p>
    <w:p>
      <w:pPr>
        <w:pStyle w:val="BodyText"/>
        <w:spacing w:line="218" w:lineRule="auto" w:before="128"/>
      </w:pPr>
      <w:r>
        <w:rPr>
          <w:color w:val="231F20"/>
        </w:rPr>
        <w:t>§ 5. Boek 2, Titel 7, van het Wetboek van vennootschappen en verenigingen wordt op de dag van de inwerkingtreding van de wet van toepassing op alle in artikel 2:60 van hetzelfde Wetboek bedoelde vennootschappen. De artikelen 334 tot 342, of 635 tot 644 van het Wetboek van vennootschappen blijven evenwel van toepassing op de rechtsvorderingen die werden ingeleid vóór de inwerkingtreding van deze wet.</w:t>
      </w:r>
    </w:p>
    <w:p>
      <w:pPr>
        <w:pStyle w:val="BodyText"/>
        <w:spacing w:line="218" w:lineRule="auto" w:before="129"/>
      </w:pPr>
      <w:r>
        <w:rPr>
          <w:color w:val="231F20"/>
        </w:rPr>
        <w:t>§ 6. De artikelen 2:56 tot 2:58 worden van toepassing op schadever- oorzakende feiten die plaatsvinden na de datum waarop het Wetboek van vennootschappen en verenigingen overeenkomstig paragraaf 1, eerste of tweede lid op de betrokken rechtspersoon van toepassing wordt.</w:t>
      </w:r>
    </w:p>
    <w:p>
      <w:pPr>
        <w:pStyle w:val="BodyText"/>
        <w:spacing w:line="218" w:lineRule="auto" w:before="168"/>
      </w:pPr>
      <w:r>
        <w:rPr>
          <w:rFonts w:ascii="Times New Roman" w:hAnsi="Times New Roman"/>
          <w:b/>
          <w:color w:val="231F20"/>
        </w:rPr>
        <w:t>Art.  40.  </w:t>
      </w:r>
      <w:r>
        <w:rPr>
          <w:color w:val="231F20"/>
        </w:rPr>
        <w:t>In afwijking van de artikelen 38 en 39, treden de artike-   len</w:t>
      </w:r>
      <w:r>
        <w:rPr>
          <w:color w:val="231F20"/>
          <w:spacing w:val="-8"/>
        </w:rPr>
        <w:t> </w:t>
      </w:r>
      <w:r>
        <w:rPr>
          <w:color w:val="231F20"/>
        </w:rPr>
        <w:t>3:1,</w:t>
      </w:r>
      <w:r>
        <w:rPr>
          <w:color w:val="231F20"/>
          <w:spacing w:val="-8"/>
        </w:rPr>
        <w:t> </w:t>
      </w:r>
      <w:r>
        <w:rPr>
          <w:color w:val="231F20"/>
        </w:rPr>
        <w:t>§</w:t>
      </w:r>
      <w:r>
        <w:rPr>
          <w:color w:val="231F20"/>
          <w:spacing w:val="-7"/>
        </w:rPr>
        <w:t> </w:t>
      </w:r>
      <w:r>
        <w:rPr>
          <w:color w:val="231F20"/>
        </w:rPr>
        <w:t>3,</w:t>
      </w:r>
      <w:r>
        <w:rPr>
          <w:color w:val="231F20"/>
          <w:spacing w:val="-8"/>
        </w:rPr>
        <w:t> </w:t>
      </w:r>
      <w:r>
        <w:rPr>
          <w:color w:val="231F20"/>
        </w:rPr>
        <w:t>5°,</w:t>
      </w:r>
      <w:r>
        <w:rPr>
          <w:color w:val="231F20"/>
          <w:spacing w:val="-7"/>
        </w:rPr>
        <w:t> </w:t>
      </w:r>
      <w:r>
        <w:rPr>
          <w:color w:val="231F20"/>
        </w:rPr>
        <w:t>3:4,</w:t>
      </w:r>
      <w:r>
        <w:rPr>
          <w:color w:val="231F20"/>
          <w:spacing w:val="-8"/>
        </w:rPr>
        <w:t> </w:t>
      </w:r>
      <w:r>
        <w:rPr>
          <w:color w:val="231F20"/>
        </w:rPr>
        <w:t>eerste</w:t>
      </w:r>
      <w:r>
        <w:rPr>
          <w:color w:val="231F20"/>
          <w:spacing w:val="-7"/>
        </w:rPr>
        <w:t> </w:t>
      </w:r>
      <w:r>
        <w:rPr>
          <w:color w:val="231F20"/>
        </w:rPr>
        <w:t>lid,</w:t>
      </w:r>
      <w:r>
        <w:rPr>
          <w:color w:val="231F20"/>
          <w:spacing w:val="-8"/>
        </w:rPr>
        <w:t> </w:t>
      </w:r>
      <w:r>
        <w:rPr>
          <w:color w:val="231F20"/>
        </w:rPr>
        <w:t>4°,</w:t>
      </w:r>
      <w:r>
        <w:rPr>
          <w:color w:val="231F20"/>
          <w:spacing w:val="-7"/>
        </w:rPr>
        <w:t> </w:t>
      </w:r>
      <w:r>
        <w:rPr>
          <w:color w:val="231F20"/>
        </w:rPr>
        <w:t>3:8,</w:t>
      </w:r>
      <w:r>
        <w:rPr>
          <w:color w:val="231F20"/>
          <w:spacing w:val="-8"/>
        </w:rPr>
        <w:t> </w:t>
      </w:r>
      <w:r>
        <w:rPr>
          <w:color w:val="231F20"/>
        </w:rPr>
        <w:t>§</w:t>
      </w:r>
      <w:r>
        <w:rPr>
          <w:color w:val="231F20"/>
          <w:spacing w:val="-8"/>
        </w:rPr>
        <w:t> </w:t>
      </w:r>
      <w:r>
        <w:rPr>
          <w:color w:val="231F20"/>
        </w:rPr>
        <w:t>1,</w:t>
      </w:r>
      <w:r>
        <w:rPr>
          <w:color w:val="231F20"/>
          <w:spacing w:val="-7"/>
        </w:rPr>
        <w:t> </w:t>
      </w:r>
      <w:r>
        <w:rPr>
          <w:color w:val="231F20"/>
        </w:rPr>
        <w:t>tweede</w:t>
      </w:r>
      <w:r>
        <w:rPr>
          <w:color w:val="231F20"/>
          <w:spacing w:val="-8"/>
        </w:rPr>
        <w:t> </w:t>
      </w:r>
      <w:r>
        <w:rPr>
          <w:color w:val="231F20"/>
        </w:rPr>
        <w:t>lid,</w:t>
      </w:r>
      <w:r>
        <w:rPr>
          <w:color w:val="231F20"/>
          <w:spacing w:val="-7"/>
        </w:rPr>
        <w:t> </w:t>
      </w:r>
      <w:r>
        <w:rPr>
          <w:color w:val="231F20"/>
        </w:rPr>
        <w:t>2°,</w:t>
      </w:r>
      <w:r>
        <w:rPr>
          <w:color w:val="231F20"/>
          <w:spacing w:val="-8"/>
        </w:rPr>
        <w:t> </w:t>
      </w:r>
      <w:r>
        <w:rPr>
          <w:color w:val="231F20"/>
        </w:rPr>
        <w:t>3:21,</w:t>
      </w:r>
      <w:r>
        <w:rPr>
          <w:color w:val="231F20"/>
          <w:spacing w:val="-7"/>
        </w:rPr>
        <w:t> </w:t>
      </w:r>
      <w:r>
        <w:rPr>
          <w:color w:val="231F20"/>
        </w:rPr>
        <w:t>4°,</w:t>
      </w:r>
      <w:r>
        <w:rPr>
          <w:color w:val="231F20"/>
          <w:spacing w:val="-8"/>
        </w:rPr>
        <w:t> </w:t>
      </w:r>
      <w:r>
        <w:rPr>
          <w:color w:val="231F20"/>
        </w:rPr>
        <w:t>3:72,</w:t>
      </w:r>
      <w:r>
        <w:rPr>
          <w:color w:val="231F20"/>
          <w:spacing w:val="-7"/>
        </w:rPr>
        <w:t> </w:t>
      </w:r>
      <w:r>
        <w:rPr>
          <w:color w:val="231F20"/>
        </w:rPr>
        <w:t>3°,</w:t>
      </w:r>
    </w:p>
    <w:p>
      <w:pPr>
        <w:pStyle w:val="BodyText"/>
        <w:spacing w:line="218" w:lineRule="auto" w:before="1"/>
        <w:ind w:firstLine="0"/>
      </w:pPr>
      <w:r>
        <w:rPr>
          <w:color w:val="231F20"/>
        </w:rPr>
        <w:t>3:76, 3°, 6:1, § 3, 8:2, 8:3 en 8:6 van het </w:t>
      </w:r>
      <w:r>
        <w:rPr>
          <w:color w:val="231F20"/>
          <w:spacing w:val="-3"/>
        </w:rPr>
        <w:t>Wetboek </w:t>
      </w:r>
      <w:r>
        <w:rPr>
          <w:color w:val="231F20"/>
        </w:rPr>
        <w:t>van vennootschappen en verenigingen en de artikelen 31, eerste lid, en 42, § 2, van deze wet  in werking op een door de Koning te bepalen datum, en uiterlijk op        1 januari</w:t>
      </w:r>
      <w:r>
        <w:rPr>
          <w:color w:val="231F20"/>
          <w:spacing w:val="-13"/>
        </w:rPr>
        <w:t> </w:t>
      </w:r>
      <w:r>
        <w:rPr>
          <w:color w:val="231F20"/>
        </w:rPr>
        <w:t>2020.</w:t>
      </w:r>
    </w:p>
    <w:p>
      <w:pPr>
        <w:pStyle w:val="BodyText"/>
        <w:spacing w:line="218" w:lineRule="auto" w:before="168"/>
        <w:ind w:right="121"/>
      </w:pPr>
      <w:r>
        <w:rPr>
          <w:rFonts w:ascii="Times New Roman" w:hAnsi="Times New Roman"/>
          <w:b/>
          <w:color w:val="231F20"/>
        </w:rPr>
        <w:t>Art. 41. </w:t>
      </w:r>
      <w:r>
        <w:rPr>
          <w:color w:val="231F20"/>
        </w:rPr>
        <w:t>§ 1. Rechtspersonen die de rechtsvorm hebben van comman- ditaire vennootschap op aandelen, vennootschap met sociaal oogmerk, landbouwvennootschap, economisch samenwerkingsverband, coöpera- tieve vennootschap met onbeperkte aansprakelijkheid, coöperatieve vennootschap met beperkte aansprakelijkheid die niet aan de definitie van coöperatieve vennootschap in artikel 6:1 beantwoordt, en beroeps- vereniging blijven tot hun omzetting in een andere rechtsvorm beheerst door het </w:t>
      </w:r>
      <w:r>
        <w:rPr>
          <w:color w:val="231F20"/>
          <w:spacing w:val="-3"/>
        </w:rPr>
        <w:t>Wetboek </w:t>
      </w:r>
      <w:r>
        <w:rPr>
          <w:color w:val="231F20"/>
        </w:rPr>
        <w:t>van vennootschappen, respectievelijk door de wet van 31 maart 1898 op de beroepsvereniging, met dien verstande dat, vanaf de dag waarop het </w:t>
      </w:r>
      <w:r>
        <w:rPr>
          <w:color w:val="231F20"/>
          <w:spacing w:val="-3"/>
        </w:rPr>
        <w:t>Wetboek </w:t>
      </w:r>
      <w:r>
        <w:rPr>
          <w:color w:val="231F20"/>
        </w:rPr>
        <w:t>van vennootschappen en verenigin- gen overeenkomstig artikel 39, § 1, eerste of tweede lid op hen van toepassing wordt,</w:t>
      </w:r>
      <w:r>
        <w:rPr>
          <w:color w:val="231F20"/>
          <w:spacing w:val="-11"/>
        </w:rPr>
        <w:t> </w:t>
      </w:r>
      <w:r>
        <w:rPr>
          <w:color w:val="231F20"/>
        </w:rPr>
        <w:t>bovendien:</w:t>
      </w:r>
    </w:p>
    <w:p>
      <w:pPr>
        <w:pStyle w:val="ListParagraph"/>
        <w:numPr>
          <w:ilvl w:val="0"/>
          <w:numId w:val="143"/>
        </w:numPr>
        <w:tabs>
          <w:tab w:pos="555" w:val="left" w:leader="none"/>
        </w:tabs>
        <w:spacing w:line="218" w:lineRule="auto" w:before="129" w:after="0"/>
        <w:ind w:left="113" w:right="124" w:firstLine="170"/>
        <w:jc w:val="both"/>
        <w:rPr>
          <w:sz w:val="17"/>
        </w:rPr>
      </w:pPr>
      <w:r>
        <w:rPr>
          <w:color w:val="231F20"/>
          <w:sz w:val="17"/>
        </w:rPr>
        <w:t>de dwingende bepalingen van hetzelfde </w:t>
      </w:r>
      <w:r>
        <w:rPr>
          <w:color w:val="231F20"/>
          <w:spacing w:val="-3"/>
          <w:sz w:val="17"/>
        </w:rPr>
        <w:t>Wetboek </w:t>
      </w:r>
      <w:r>
        <w:rPr>
          <w:color w:val="231F20"/>
          <w:sz w:val="17"/>
        </w:rPr>
        <w:t>die op de naamloze vennootschap toepassing vinden, met uitzondering van boek 7, titel 4, hoofdstuk 1, toepasselijk worden op de commanditaire vennootschap op</w:t>
      </w:r>
      <w:r>
        <w:rPr>
          <w:color w:val="231F20"/>
          <w:spacing w:val="-11"/>
          <w:sz w:val="17"/>
        </w:rPr>
        <w:t> </w:t>
      </w:r>
      <w:r>
        <w:rPr>
          <w:color w:val="231F20"/>
          <w:sz w:val="17"/>
        </w:rPr>
        <w:t>aandelen;</w:t>
      </w:r>
    </w:p>
    <w:p>
      <w:pPr>
        <w:pStyle w:val="ListParagraph"/>
        <w:numPr>
          <w:ilvl w:val="0"/>
          <w:numId w:val="143"/>
        </w:numPr>
        <w:tabs>
          <w:tab w:pos="555" w:val="left" w:leader="none"/>
        </w:tabs>
        <w:spacing w:line="218" w:lineRule="auto" w:before="128" w:after="0"/>
        <w:ind w:left="113" w:right="124" w:firstLine="170"/>
        <w:jc w:val="both"/>
        <w:rPr>
          <w:sz w:val="17"/>
        </w:rPr>
      </w:pPr>
      <w:r>
        <w:rPr>
          <w:color w:val="231F20"/>
          <w:sz w:val="17"/>
        </w:rPr>
        <w:t>de dwingende bepalingen van hetzelfde </w:t>
      </w:r>
      <w:r>
        <w:rPr>
          <w:color w:val="231F20"/>
          <w:spacing w:val="-3"/>
          <w:sz w:val="17"/>
        </w:rPr>
        <w:t>Wetboek </w:t>
      </w:r>
      <w:r>
        <w:rPr>
          <w:color w:val="231F20"/>
          <w:sz w:val="17"/>
        </w:rPr>
        <w:t>die op de vennootschap onder firma toepassing vinden toepasselijk worden op  de coöperatieve vennootschap met onbeperkte aansprakelijkheid,</w:t>
      </w:r>
      <w:r>
        <w:rPr>
          <w:color w:val="231F20"/>
          <w:spacing w:val="26"/>
          <w:sz w:val="17"/>
        </w:rPr>
        <w:t> </w:t>
      </w:r>
      <w:r>
        <w:rPr>
          <w:color w:val="231F20"/>
          <w:sz w:val="17"/>
        </w:rPr>
        <w:t>op het economisch samenwerkingverband en op de landbouwvennoot- schap</w:t>
      </w:r>
      <w:r>
        <w:rPr>
          <w:color w:val="231F20"/>
          <w:spacing w:val="15"/>
          <w:sz w:val="17"/>
        </w:rPr>
        <w:t> </w:t>
      </w:r>
      <w:r>
        <w:rPr>
          <w:color w:val="231F20"/>
          <w:sz w:val="17"/>
        </w:rPr>
        <w:t>die</w:t>
      </w:r>
      <w:r>
        <w:rPr>
          <w:color w:val="231F20"/>
          <w:spacing w:val="15"/>
          <w:sz w:val="17"/>
        </w:rPr>
        <w:t> </w:t>
      </w:r>
      <w:r>
        <w:rPr>
          <w:color w:val="231F20"/>
          <w:sz w:val="17"/>
        </w:rPr>
        <w:t>geen</w:t>
      </w:r>
      <w:r>
        <w:rPr>
          <w:color w:val="231F20"/>
          <w:spacing w:val="15"/>
          <w:sz w:val="17"/>
        </w:rPr>
        <w:t> </w:t>
      </w:r>
      <w:r>
        <w:rPr>
          <w:color w:val="231F20"/>
          <w:sz w:val="17"/>
        </w:rPr>
        <w:t>stille</w:t>
      </w:r>
      <w:r>
        <w:rPr>
          <w:color w:val="231F20"/>
          <w:spacing w:val="15"/>
          <w:sz w:val="17"/>
        </w:rPr>
        <w:t> </w:t>
      </w:r>
      <w:r>
        <w:rPr>
          <w:color w:val="231F20"/>
          <w:sz w:val="17"/>
        </w:rPr>
        <w:t>vennoten</w:t>
      </w:r>
      <w:r>
        <w:rPr>
          <w:color w:val="231F20"/>
          <w:spacing w:val="15"/>
          <w:sz w:val="17"/>
        </w:rPr>
        <w:t> </w:t>
      </w:r>
      <w:r>
        <w:rPr>
          <w:color w:val="231F20"/>
          <w:sz w:val="17"/>
        </w:rPr>
        <w:t>heeft;</w:t>
      </w:r>
    </w:p>
    <w:p>
      <w:pPr>
        <w:pStyle w:val="ListParagraph"/>
        <w:numPr>
          <w:ilvl w:val="0"/>
          <w:numId w:val="143"/>
        </w:numPr>
        <w:tabs>
          <w:tab w:pos="555" w:val="left" w:leader="none"/>
        </w:tabs>
        <w:spacing w:line="218" w:lineRule="auto" w:before="128" w:after="0"/>
        <w:ind w:left="113" w:right="124" w:firstLine="170"/>
        <w:jc w:val="both"/>
        <w:rPr>
          <w:sz w:val="17"/>
        </w:rPr>
      </w:pPr>
      <w:r>
        <w:rPr>
          <w:color w:val="231F20"/>
          <w:sz w:val="17"/>
        </w:rPr>
        <w:t>de dwingende bepalingen van hetzelfde </w:t>
      </w:r>
      <w:r>
        <w:rPr>
          <w:color w:val="231F20"/>
          <w:spacing w:val="-3"/>
          <w:sz w:val="17"/>
        </w:rPr>
        <w:t>Wetboek </w:t>
      </w:r>
      <w:r>
        <w:rPr>
          <w:color w:val="231F20"/>
          <w:sz w:val="17"/>
        </w:rPr>
        <w:t>die op de commanditaire vennootschap toepassing vinden toepasselijk worden op</w:t>
      </w:r>
      <w:r>
        <w:rPr>
          <w:color w:val="231F20"/>
          <w:spacing w:val="16"/>
          <w:sz w:val="17"/>
        </w:rPr>
        <w:t> </w:t>
      </w:r>
      <w:r>
        <w:rPr>
          <w:color w:val="231F20"/>
          <w:sz w:val="17"/>
        </w:rPr>
        <w:t>de</w:t>
      </w:r>
      <w:r>
        <w:rPr>
          <w:color w:val="231F20"/>
          <w:spacing w:val="17"/>
          <w:sz w:val="17"/>
        </w:rPr>
        <w:t> </w:t>
      </w:r>
      <w:r>
        <w:rPr>
          <w:color w:val="231F20"/>
          <w:sz w:val="17"/>
        </w:rPr>
        <w:t>landbouwvennootschap</w:t>
      </w:r>
      <w:r>
        <w:rPr>
          <w:color w:val="231F20"/>
          <w:spacing w:val="17"/>
          <w:sz w:val="17"/>
        </w:rPr>
        <w:t> </w:t>
      </w:r>
      <w:r>
        <w:rPr>
          <w:color w:val="231F20"/>
          <w:sz w:val="17"/>
        </w:rPr>
        <w:t>die</w:t>
      </w:r>
      <w:r>
        <w:rPr>
          <w:color w:val="231F20"/>
          <w:spacing w:val="17"/>
          <w:sz w:val="17"/>
        </w:rPr>
        <w:t> </w:t>
      </w:r>
      <w:r>
        <w:rPr>
          <w:color w:val="231F20"/>
          <w:sz w:val="17"/>
        </w:rPr>
        <w:t>stille</w:t>
      </w:r>
      <w:r>
        <w:rPr>
          <w:color w:val="231F20"/>
          <w:spacing w:val="17"/>
          <w:sz w:val="17"/>
        </w:rPr>
        <w:t> </w:t>
      </w:r>
      <w:r>
        <w:rPr>
          <w:color w:val="231F20"/>
          <w:sz w:val="17"/>
        </w:rPr>
        <w:t>vennoten</w:t>
      </w:r>
      <w:r>
        <w:rPr>
          <w:color w:val="231F20"/>
          <w:spacing w:val="17"/>
          <w:sz w:val="17"/>
        </w:rPr>
        <w:t> </w:t>
      </w:r>
      <w:r>
        <w:rPr>
          <w:color w:val="231F20"/>
          <w:sz w:val="17"/>
        </w:rPr>
        <w:t>heeft;</w:t>
      </w:r>
    </w:p>
    <w:p>
      <w:pPr>
        <w:pStyle w:val="ListParagraph"/>
        <w:numPr>
          <w:ilvl w:val="0"/>
          <w:numId w:val="143"/>
        </w:numPr>
        <w:tabs>
          <w:tab w:pos="504" w:val="left" w:leader="none"/>
        </w:tabs>
        <w:spacing w:line="218" w:lineRule="auto" w:before="128" w:after="0"/>
        <w:ind w:left="113" w:right="124" w:firstLine="170"/>
        <w:jc w:val="both"/>
        <w:rPr>
          <w:sz w:val="17"/>
        </w:rPr>
      </w:pPr>
      <w:r>
        <w:rPr>
          <w:color w:val="231F20"/>
          <w:sz w:val="17"/>
        </w:rPr>
        <w:t>de dwingende bepalingen van hetzelfde </w:t>
      </w:r>
      <w:r>
        <w:rPr>
          <w:color w:val="231F20"/>
          <w:spacing w:val="-3"/>
          <w:sz w:val="17"/>
        </w:rPr>
        <w:t>Wetboek </w:t>
      </w:r>
      <w:r>
        <w:rPr>
          <w:color w:val="231F20"/>
          <w:sz w:val="17"/>
        </w:rPr>
        <w:t>die op de VZW toepassing vinden toepasselijk worden op de beroepsvereniging en de federatie van</w:t>
      </w:r>
      <w:r>
        <w:rPr>
          <w:color w:val="231F20"/>
          <w:spacing w:val="-11"/>
          <w:sz w:val="17"/>
        </w:rPr>
        <w:t> </w:t>
      </w:r>
      <w:r>
        <w:rPr>
          <w:color w:val="231F20"/>
          <w:sz w:val="17"/>
        </w:rPr>
        <w:t>beroepsverenigingen;</w:t>
      </w:r>
    </w:p>
    <w:p>
      <w:pPr>
        <w:pStyle w:val="ListParagraph"/>
        <w:numPr>
          <w:ilvl w:val="0"/>
          <w:numId w:val="143"/>
        </w:numPr>
        <w:tabs>
          <w:tab w:pos="555" w:val="left" w:leader="none"/>
        </w:tabs>
        <w:spacing w:line="218" w:lineRule="auto" w:before="139" w:after="0"/>
        <w:ind w:left="113" w:right="124" w:firstLine="170"/>
        <w:jc w:val="both"/>
        <w:rPr>
          <w:sz w:val="17"/>
        </w:rPr>
      </w:pPr>
      <w:r>
        <w:rPr>
          <w:color w:val="231F20"/>
          <w:sz w:val="17"/>
        </w:rPr>
        <w:t>de dwingende bepalingen van hetzelfde </w:t>
      </w:r>
      <w:r>
        <w:rPr>
          <w:color w:val="231F20"/>
          <w:spacing w:val="-3"/>
          <w:sz w:val="17"/>
        </w:rPr>
        <w:t>Wetboek </w:t>
      </w:r>
      <w:r>
        <w:rPr>
          <w:color w:val="231F20"/>
          <w:sz w:val="17"/>
        </w:rPr>
        <w:t>die op de besloten vennootschap toepassing vinden met uitzondering van boek 2, titel 7, en boek 5, titels 5 en 6, toepasselijk worden op de coöperatieve vennootschap met beperkte aansprakelijkheid die niet aan de definitie van coöperatieve vennootschap in artikel 6:1 van het </w:t>
      </w:r>
      <w:r>
        <w:rPr>
          <w:color w:val="231F20"/>
          <w:spacing w:val="-3"/>
          <w:sz w:val="17"/>
        </w:rPr>
        <w:t>Wetboek </w:t>
      </w:r>
      <w:r>
        <w:rPr>
          <w:color w:val="231F20"/>
          <w:sz w:val="17"/>
        </w:rPr>
        <w:t>beant- woordt.</w:t>
      </w:r>
    </w:p>
    <w:p>
      <w:pPr>
        <w:pStyle w:val="BodyText"/>
        <w:spacing w:line="218" w:lineRule="auto" w:before="139"/>
      </w:pPr>
      <w:r>
        <w:rPr>
          <w:color w:val="231F20"/>
        </w:rPr>
        <w:t>In geval van tegenstrijdigheid tussen dwingende bepalingen van hetzelfde Wetboek en dwingende bepalingen van het Wetboek van vennootschappen respectievelijk de wet van 31 maart 1898 op de beroepsvereniging, prevaleren de dwingende bepalingen van het Wetboek van vennootschappen en verenigingen.</w:t>
      </w:r>
    </w:p>
    <w:p>
      <w:pPr>
        <w:spacing w:after="0" w:line="218" w:lineRule="auto"/>
        <w:sectPr>
          <w:pgSz w:w="11940" w:h="16880"/>
          <w:pgMar w:header="666" w:footer="0" w:top="1140" w:bottom="280" w:left="340" w:right="360"/>
          <w:cols w:num="2" w:equalWidth="0">
            <w:col w:w="5529" w:space="99"/>
            <w:col w:w="5612"/>
          </w:cols>
        </w:sectPr>
      </w:pPr>
    </w:p>
    <w:p>
      <w:pPr>
        <w:pStyle w:val="BodyText"/>
        <w:spacing w:line="213" w:lineRule="auto" w:before="123"/>
        <w:ind w:right="38"/>
      </w:pPr>
      <w:r>
        <w:rPr/>
        <w:pict>
          <v:line style="position:absolute;mso-position-horizontal-relative:page;mso-position-vertical-relative:page;z-index:7984" from="298.170502pt,64.473pt" to="298.170502pt,812.819pt" stroked="true" strokeweight=".533pt" strokecolor="#231f20">
            <v:stroke dashstyle="solid"/>
            <w10:wrap type="none"/>
          </v:line>
        </w:pict>
      </w:r>
      <w:bookmarkStart w:name="_bookmark290" w:id="296"/>
      <w:bookmarkEnd w:id="296"/>
      <w:r>
        <w:rPr/>
      </w:r>
      <w:r>
        <w:rPr>
          <w:color w:val="231F20"/>
        </w:rPr>
        <w:t>§ 2. Les personnes morales qui ont adopté une des formes légales mentionnées au paragraphe 1</w:t>
      </w:r>
      <w:r>
        <w:rPr>
          <w:color w:val="231F20"/>
          <w:position w:val="7"/>
          <w:sz w:val="11"/>
        </w:rPr>
        <w:t>er </w:t>
      </w:r>
      <w:r>
        <w:rPr>
          <w:color w:val="231F20"/>
        </w:rPr>
        <w:t>et qui à la date du 1</w:t>
      </w:r>
      <w:r>
        <w:rPr>
          <w:color w:val="231F20"/>
          <w:position w:val="7"/>
          <w:sz w:val="11"/>
        </w:rPr>
        <w:t>er </w:t>
      </w:r>
      <w:r>
        <w:rPr>
          <w:color w:val="231F20"/>
        </w:rPr>
        <w:t>janvier 2024 n’ont pas été transformées en une autre forme légale sont à cette date transformées de plein droit comme suit:</w:t>
      </w:r>
    </w:p>
    <w:p>
      <w:pPr>
        <w:pStyle w:val="ListParagraph"/>
        <w:numPr>
          <w:ilvl w:val="0"/>
          <w:numId w:val="143"/>
        </w:numPr>
        <w:tabs>
          <w:tab w:pos="496" w:val="left" w:leader="none"/>
        </w:tabs>
        <w:spacing w:line="218" w:lineRule="auto" w:before="104" w:after="0"/>
        <w:ind w:left="113" w:right="38" w:firstLine="170"/>
        <w:jc w:val="both"/>
        <w:rPr>
          <w:sz w:val="17"/>
        </w:rPr>
      </w:pPr>
      <w:r>
        <w:rPr>
          <w:color w:val="231F20"/>
          <w:sz w:val="17"/>
        </w:rPr>
        <w:t>la société en commandite par actions devient une société anonyme à administrateur</w:t>
      </w:r>
      <w:r>
        <w:rPr>
          <w:color w:val="231F20"/>
          <w:spacing w:val="-12"/>
          <w:sz w:val="17"/>
        </w:rPr>
        <w:t> </w:t>
      </w:r>
      <w:r>
        <w:rPr>
          <w:color w:val="231F20"/>
          <w:sz w:val="17"/>
        </w:rPr>
        <w:t>unique;</w:t>
      </w:r>
    </w:p>
    <w:p>
      <w:pPr>
        <w:pStyle w:val="ListParagraph"/>
        <w:numPr>
          <w:ilvl w:val="0"/>
          <w:numId w:val="143"/>
        </w:numPr>
        <w:tabs>
          <w:tab w:pos="521" w:val="left" w:leader="none"/>
        </w:tabs>
        <w:spacing w:line="218" w:lineRule="auto" w:before="107" w:after="0"/>
        <w:ind w:left="113" w:right="38" w:firstLine="170"/>
        <w:jc w:val="both"/>
        <w:rPr>
          <w:sz w:val="17"/>
        </w:rPr>
      </w:pPr>
      <w:r>
        <w:rPr>
          <w:color w:val="231F20"/>
          <w:sz w:val="17"/>
        </w:rPr>
        <w:t>la société agricole devient une société en nom collectif et si elle compte</w:t>
      </w:r>
      <w:r>
        <w:rPr>
          <w:color w:val="231F20"/>
          <w:spacing w:val="13"/>
          <w:sz w:val="17"/>
        </w:rPr>
        <w:t> </w:t>
      </w:r>
      <w:r>
        <w:rPr>
          <w:color w:val="231F20"/>
          <w:sz w:val="17"/>
        </w:rPr>
        <w:t>des</w:t>
      </w:r>
      <w:r>
        <w:rPr>
          <w:color w:val="231F20"/>
          <w:spacing w:val="14"/>
          <w:sz w:val="17"/>
        </w:rPr>
        <w:t> </w:t>
      </w:r>
      <w:r>
        <w:rPr>
          <w:color w:val="231F20"/>
          <w:sz w:val="17"/>
        </w:rPr>
        <w:t>associés</w:t>
      </w:r>
      <w:r>
        <w:rPr>
          <w:color w:val="231F20"/>
          <w:spacing w:val="13"/>
          <w:sz w:val="17"/>
        </w:rPr>
        <w:t> </w:t>
      </w:r>
      <w:r>
        <w:rPr>
          <w:color w:val="231F20"/>
          <w:sz w:val="17"/>
        </w:rPr>
        <w:t>commanditaires,</w:t>
      </w:r>
      <w:r>
        <w:rPr>
          <w:color w:val="231F20"/>
          <w:spacing w:val="14"/>
          <w:sz w:val="17"/>
        </w:rPr>
        <w:t> </w:t>
      </w:r>
      <w:r>
        <w:rPr>
          <w:color w:val="231F20"/>
          <w:sz w:val="17"/>
        </w:rPr>
        <w:t>une</w:t>
      </w:r>
      <w:r>
        <w:rPr>
          <w:color w:val="231F20"/>
          <w:spacing w:val="13"/>
          <w:sz w:val="17"/>
        </w:rPr>
        <w:t> </w:t>
      </w:r>
      <w:r>
        <w:rPr>
          <w:color w:val="231F20"/>
          <w:sz w:val="17"/>
        </w:rPr>
        <w:t>société</w:t>
      </w:r>
      <w:r>
        <w:rPr>
          <w:color w:val="231F20"/>
          <w:spacing w:val="14"/>
          <w:sz w:val="17"/>
        </w:rPr>
        <w:t> </w:t>
      </w:r>
      <w:r>
        <w:rPr>
          <w:color w:val="231F20"/>
          <w:sz w:val="17"/>
        </w:rPr>
        <w:t>en</w:t>
      </w:r>
      <w:r>
        <w:rPr>
          <w:color w:val="231F20"/>
          <w:spacing w:val="14"/>
          <w:sz w:val="17"/>
        </w:rPr>
        <w:t> </w:t>
      </w:r>
      <w:r>
        <w:rPr>
          <w:color w:val="231F20"/>
          <w:sz w:val="17"/>
        </w:rPr>
        <w:t>commandite;</w:t>
      </w:r>
    </w:p>
    <w:p>
      <w:pPr>
        <w:pStyle w:val="ListParagraph"/>
        <w:numPr>
          <w:ilvl w:val="0"/>
          <w:numId w:val="143"/>
        </w:numPr>
        <w:tabs>
          <w:tab w:pos="513" w:val="left" w:leader="none"/>
        </w:tabs>
        <w:spacing w:line="218" w:lineRule="auto" w:before="106" w:after="0"/>
        <w:ind w:left="113" w:right="38" w:firstLine="170"/>
        <w:jc w:val="both"/>
        <w:rPr>
          <w:sz w:val="17"/>
        </w:rPr>
      </w:pPr>
      <w:r>
        <w:rPr>
          <w:color w:val="231F20"/>
          <w:sz w:val="17"/>
        </w:rPr>
        <w:t>le groupement d’intérêt économique devient une société en nom collectif;</w:t>
      </w:r>
    </w:p>
    <w:p>
      <w:pPr>
        <w:pStyle w:val="ListParagraph"/>
        <w:numPr>
          <w:ilvl w:val="0"/>
          <w:numId w:val="143"/>
        </w:numPr>
        <w:tabs>
          <w:tab w:pos="498" w:val="left" w:leader="none"/>
        </w:tabs>
        <w:spacing w:line="218" w:lineRule="auto" w:before="107" w:after="0"/>
        <w:ind w:left="113" w:right="38" w:firstLine="170"/>
        <w:jc w:val="both"/>
        <w:rPr>
          <w:sz w:val="17"/>
        </w:rPr>
      </w:pPr>
      <w:r>
        <w:rPr>
          <w:color w:val="231F20"/>
          <w:sz w:val="17"/>
        </w:rPr>
        <w:t>la société coopérative à responsabilité illimitée devient une société en nom</w:t>
      </w:r>
      <w:r>
        <w:rPr>
          <w:color w:val="231F20"/>
          <w:spacing w:val="-12"/>
          <w:sz w:val="17"/>
        </w:rPr>
        <w:t> </w:t>
      </w:r>
      <w:r>
        <w:rPr>
          <w:color w:val="231F20"/>
          <w:sz w:val="17"/>
        </w:rPr>
        <w:t>collectif;</w:t>
      </w:r>
    </w:p>
    <w:p>
      <w:pPr>
        <w:pStyle w:val="ListParagraph"/>
        <w:numPr>
          <w:ilvl w:val="0"/>
          <w:numId w:val="143"/>
        </w:numPr>
        <w:tabs>
          <w:tab w:pos="503" w:val="left" w:leader="none"/>
        </w:tabs>
        <w:spacing w:line="218" w:lineRule="auto" w:before="107" w:after="0"/>
        <w:ind w:left="113" w:right="38" w:firstLine="170"/>
        <w:jc w:val="both"/>
        <w:rPr>
          <w:sz w:val="17"/>
        </w:rPr>
      </w:pPr>
      <w:r>
        <w:rPr>
          <w:color w:val="231F20"/>
          <w:sz w:val="17"/>
        </w:rPr>
        <w:t>la société coopérative à responsabilité limitée qui ne répond pas à la définition de société coopérative énoncée à l’article 6:1 du Code devient une société à responsabilité</w:t>
      </w:r>
      <w:r>
        <w:rPr>
          <w:color w:val="231F20"/>
          <w:spacing w:val="19"/>
          <w:sz w:val="17"/>
        </w:rPr>
        <w:t> </w:t>
      </w:r>
      <w:r>
        <w:rPr>
          <w:color w:val="231F20"/>
          <w:sz w:val="17"/>
        </w:rPr>
        <w:t>limitée;</w:t>
      </w:r>
    </w:p>
    <w:p>
      <w:pPr>
        <w:pStyle w:val="ListParagraph"/>
        <w:numPr>
          <w:ilvl w:val="0"/>
          <w:numId w:val="143"/>
        </w:numPr>
        <w:tabs>
          <w:tab w:pos="513" w:val="left" w:leader="none"/>
        </w:tabs>
        <w:spacing w:line="218" w:lineRule="auto" w:before="107" w:after="0"/>
        <w:ind w:left="113" w:right="38" w:firstLine="170"/>
        <w:jc w:val="both"/>
        <w:rPr>
          <w:sz w:val="17"/>
        </w:rPr>
      </w:pPr>
      <w:r>
        <w:rPr>
          <w:color w:val="231F20"/>
          <w:sz w:val="17"/>
        </w:rPr>
        <w:t>l’union professionnelle et la fédération d’unions professionnelles deviennent une</w:t>
      </w:r>
      <w:r>
        <w:rPr>
          <w:color w:val="231F20"/>
          <w:spacing w:val="-17"/>
          <w:sz w:val="17"/>
        </w:rPr>
        <w:t> </w:t>
      </w:r>
      <w:r>
        <w:rPr>
          <w:color w:val="231F20"/>
          <w:sz w:val="17"/>
        </w:rPr>
        <w:t>ASBL.</w:t>
      </w:r>
    </w:p>
    <w:p>
      <w:pPr>
        <w:pStyle w:val="BodyText"/>
        <w:spacing w:line="218" w:lineRule="auto" w:before="107"/>
        <w:ind w:right="38"/>
      </w:pPr>
      <w:r>
        <w:rPr>
          <w:color w:val="231F20"/>
        </w:rPr>
        <w:t>§ 3. Dans un délai de six mois à compter du jour où ces personnes morales ont été transformées de plein droit en une autre forme légale, l’organe d’administration doit convoquer une assemblée générale ayant à</w:t>
      </w:r>
      <w:r>
        <w:rPr>
          <w:color w:val="231F20"/>
          <w:spacing w:val="18"/>
        </w:rPr>
        <w:t> </w:t>
      </w:r>
      <w:r>
        <w:rPr>
          <w:color w:val="231F20"/>
        </w:rPr>
        <w:t>l’ordre</w:t>
      </w:r>
      <w:r>
        <w:rPr>
          <w:color w:val="231F20"/>
          <w:spacing w:val="18"/>
        </w:rPr>
        <w:t> </w:t>
      </w:r>
      <w:r>
        <w:rPr>
          <w:color w:val="231F20"/>
        </w:rPr>
        <w:t>du</w:t>
      </w:r>
      <w:r>
        <w:rPr>
          <w:color w:val="231F20"/>
          <w:spacing w:val="18"/>
        </w:rPr>
        <w:t> </w:t>
      </w:r>
      <w:r>
        <w:rPr>
          <w:color w:val="231F20"/>
        </w:rPr>
        <w:t>jour</w:t>
      </w:r>
      <w:r>
        <w:rPr>
          <w:color w:val="231F20"/>
          <w:spacing w:val="18"/>
        </w:rPr>
        <w:t> </w:t>
      </w:r>
      <w:r>
        <w:rPr>
          <w:color w:val="231F20"/>
        </w:rPr>
        <w:t>l’adaptation</w:t>
      </w:r>
      <w:r>
        <w:rPr>
          <w:color w:val="231F20"/>
          <w:spacing w:val="19"/>
        </w:rPr>
        <w:t> </w:t>
      </w:r>
      <w:r>
        <w:rPr>
          <w:color w:val="231F20"/>
        </w:rPr>
        <w:t>des</w:t>
      </w:r>
      <w:r>
        <w:rPr>
          <w:color w:val="231F20"/>
          <w:spacing w:val="18"/>
        </w:rPr>
        <w:t> </w:t>
      </w:r>
      <w:r>
        <w:rPr>
          <w:color w:val="231F20"/>
        </w:rPr>
        <w:t>statuts</w:t>
      </w:r>
      <w:r>
        <w:rPr>
          <w:color w:val="231F20"/>
          <w:spacing w:val="18"/>
        </w:rPr>
        <w:t> </w:t>
      </w:r>
      <w:r>
        <w:rPr>
          <w:color w:val="231F20"/>
        </w:rPr>
        <w:t>à</w:t>
      </w:r>
      <w:r>
        <w:rPr>
          <w:color w:val="231F20"/>
          <w:spacing w:val="18"/>
        </w:rPr>
        <w:t> </w:t>
      </w:r>
      <w:r>
        <w:rPr>
          <w:color w:val="231F20"/>
        </w:rPr>
        <w:t>la</w:t>
      </w:r>
      <w:r>
        <w:rPr>
          <w:color w:val="231F20"/>
          <w:spacing w:val="19"/>
        </w:rPr>
        <w:t> </w:t>
      </w:r>
      <w:r>
        <w:rPr>
          <w:color w:val="231F20"/>
        </w:rPr>
        <w:t>nouvelle</w:t>
      </w:r>
      <w:r>
        <w:rPr>
          <w:color w:val="231F20"/>
          <w:spacing w:val="18"/>
        </w:rPr>
        <w:t> </w:t>
      </w:r>
      <w:r>
        <w:rPr>
          <w:color w:val="231F20"/>
        </w:rPr>
        <w:t>forme</w:t>
      </w:r>
      <w:r>
        <w:rPr>
          <w:color w:val="231F20"/>
          <w:spacing w:val="18"/>
        </w:rPr>
        <w:t> </w:t>
      </w:r>
      <w:r>
        <w:rPr>
          <w:color w:val="231F20"/>
        </w:rPr>
        <w:t>légale.</w:t>
      </w:r>
    </w:p>
    <w:p>
      <w:pPr>
        <w:pStyle w:val="BodyText"/>
        <w:spacing w:before="9"/>
        <w:ind w:left="0" w:right="0" w:firstLine="0"/>
        <w:jc w:val="left"/>
        <w:rPr>
          <w:sz w:val="24"/>
        </w:rPr>
      </w:pPr>
    </w:p>
    <w:p>
      <w:pPr>
        <w:pStyle w:val="BodyText"/>
        <w:spacing w:line="218" w:lineRule="auto" w:before="1"/>
        <w:ind w:right="38"/>
      </w:pPr>
      <w:r>
        <w:rPr>
          <w:color w:val="231F20"/>
        </w:rPr>
        <w:t>Les membres de l’organe d’administration sont personnellement et solidairement responsables des dommages subis par la personne morale</w:t>
      </w:r>
      <w:r>
        <w:rPr>
          <w:color w:val="231F20"/>
          <w:spacing w:val="14"/>
        </w:rPr>
        <w:t> </w:t>
      </w:r>
      <w:r>
        <w:rPr>
          <w:color w:val="231F20"/>
        </w:rPr>
        <w:t>ou</w:t>
      </w:r>
      <w:r>
        <w:rPr>
          <w:color w:val="231F20"/>
          <w:spacing w:val="15"/>
        </w:rPr>
        <w:t> </w:t>
      </w:r>
      <w:r>
        <w:rPr>
          <w:color w:val="231F20"/>
        </w:rPr>
        <w:t>par</w:t>
      </w:r>
      <w:r>
        <w:rPr>
          <w:color w:val="231F20"/>
          <w:spacing w:val="15"/>
        </w:rPr>
        <w:t> </w:t>
      </w:r>
      <w:r>
        <w:rPr>
          <w:color w:val="231F20"/>
        </w:rPr>
        <w:t>des</w:t>
      </w:r>
      <w:r>
        <w:rPr>
          <w:color w:val="231F20"/>
          <w:spacing w:val="15"/>
        </w:rPr>
        <w:t> </w:t>
      </w:r>
      <w:r>
        <w:rPr>
          <w:color w:val="231F20"/>
        </w:rPr>
        <w:t>tiers</w:t>
      </w:r>
      <w:r>
        <w:rPr>
          <w:color w:val="231F20"/>
          <w:spacing w:val="14"/>
        </w:rPr>
        <w:t> </w:t>
      </w:r>
      <w:r>
        <w:rPr>
          <w:color w:val="231F20"/>
        </w:rPr>
        <w:t>résultant</w:t>
      </w:r>
      <w:r>
        <w:rPr>
          <w:color w:val="231F20"/>
          <w:spacing w:val="15"/>
        </w:rPr>
        <w:t> </w:t>
      </w:r>
      <w:r>
        <w:rPr>
          <w:color w:val="231F20"/>
        </w:rPr>
        <w:t>du</w:t>
      </w:r>
      <w:r>
        <w:rPr>
          <w:color w:val="231F20"/>
          <w:spacing w:val="15"/>
        </w:rPr>
        <w:t> </w:t>
      </w:r>
      <w:r>
        <w:rPr>
          <w:color w:val="231F20"/>
        </w:rPr>
        <w:t>non-respect</w:t>
      </w:r>
      <w:r>
        <w:rPr>
          <w:color w:val="231F20"/>
          <w:spacing w:val="15"/>
        </w:rPr>
        <w:t> </w:t>
      </w:r>
      <w:r>
        <w:rPr>
          <w:color w:val="231F20"/>
        </w:rPr>
        <w:t>de</w:t>
      </w:r>
      <w:r>
        <w:rPr>
          <w:color w:val="231F20"/>
          <w:spacing w:val="14"/>
        </w:rPr>
        <w:t> </w:t>
      </w:r>
      <w:r>
        <w:rPr>
          <w:color w:val="231F20"/>
        </w:rPr>
        <w:t>cette</w:t>
      </w:r>
      <w:r>
        <w:rPr>
          <w:color w:val="231F20"/>
          <w:spacing w:val="15"/>
        </w:rPr>
        <w:t> </w:t>
      </w:r>
      <w:r>
        <w:rPr>
          <w:color w:val="231F20"/>
        </w:rPr>
        <w:t>obligation.</w:t>
      </w:r>
    </w:p>
    <w:p>
      <w:pPr>
        <w:pStyle w:val="BodyText"/>
        <w:spacing w:line="213" w:lineRule="auto" w:before="110"/>
        <w:ind w:right="38"/>
      </w:pPr>
      <w:r>
        <w:rPr>
          <w:color w:val="231F20"/>
        </w:rPr>
        <w:t>§ 4. Les personnes morales qui ont adopté l’une des formes légales visées au paragraphe 1</w:t>
      </w:r>
      <w:r>
        <w:rPr>
          <w:color w:val="231F20"/>
          <w:position w:val="7"/>
          <w:sz w:val="11"/>
        </w:rPr>
        <w:t>er </w:t>
      </w:r>
      <w:r>
        <w:rPr>
          <w:color w:val="231F20"/>
        </w:rPr>
        <w:t>peuvent se transformer volontairement avant le 1</w:t>
      </w:r>
      <w:r>
        <w:rPr>
          <w:color w:val="231F20"/>
          <w:position w:val="7"/>
          <w:sz w:val="11"/>
        </w:rPr>
        <w:t>er </w:t>
      </w:r>
      <w:r>
        <w:rPr>
          <w:color w:val="231F20"/>
        </w:rPr>
        <w:t>janvier 2024 dans la forme légale qui leur est indiquée au paragraphe 2. Cette transformation requiert une modification des statuts. La procédure de transformation des sociétés prévue au livre 14, titre 1</w:t>
      </w:r>
      <w:r>
        <w:rPr>
          <w:color w:val="231F20"/>
          <w:position w:val="7"/>
          <w:sz w:val="11"/>
        </w:rPr>
        <w:t>er</w:t>
      </w:r>
      <w:r>
        <w:rPr>
          <w:color w:val="231F20"/>
        </w:rPr>
        <w:t>, chapitre 2 du Code des sociétés et des associations ne s’applique pas. En cas de transformation d’une société en commandite par actions en société anonyme, les associés commandités restent tenus solidairement et indéfiniment à l’égard des tiers des engagements de la société antérieurs à l’opposabilité aux tiers de l’acte de transformation conformément</w:t>
      </w:r>
      <w:r>
        <w:rPr>
          <w:color w:val="231F20"/>
          <w:spacing w:val="15"/>
        </w:rPr>
        <w:t> </w:t>
      </w:r>
      <w:r>
        <w:rPr>
          <w:color w:val="231F20"/>
        </w:rPr>
        <w:t>à</w:t>
      </w:r>
      <w:r>
        <w:rPr>
          <w:color w:val="231F20"/>
          <w:spacing w:val="15"/>
        </w:rPr>
        <w:t> </w:t>
      </w:r>
      <w:r>
        <w:rPr>
          <w:color w:val="231F20"/>
        </w:rPr>
        <w:t>l’article</w:t>
      </w:r>
      <w:r>
        <w:rPr>
          <w:color w:val="231F20"/>
          <w:spacing w:val="15"/>
        </w:rPr>
        <w:t> </w:t>
      </w:r>
      <w:r>
        <w:rPr>
          <w:color w:val="231F20"/>
        </w:rPr>
        <w:t>2:18</w:t>
      </w:r>
      <w:r>
        <w:rPr>
          <w:color w:val="231F20"/>
          <w:spacing w:val="15"/>
        </w:rPr>
        <w:t> </w:t>
      </w:r>
      <w:r>
        <w:rPr>
          <w:color w:val="231F20"/>
        </w:rPr>
        <w:t>du</w:t>
      </w:r>
      <w:r>
        <w:rPr>
          <w:color w:val="231F20"/>
          <w:spacing w:val="15"/>
        </w:rPr>
        <w:t> </w:t>
      </w:r>
      <w:r>
        <w:rPr>
          <w:color w:val="231F20"/>
        </w:rPr>
        <w:t>même</w:t>
      </w:r>
      <w:r>
        <w:rPr>
          <w:color w:val="231F20"/>
          <w:spacing w:val="15"/>
        </w:rPr>
        <w:t> </w:t>
      </w:r>
      <w:r>
        <w:rPr>
          <w:color w:val="231F20"/>
        </w:rPr>
        <w:t>Code.</w:t>
      </w:r>
    </w:p>
    <w:p>
      <w:pPr>
        <w:pStyle w:val="BodyText"/>
        <w:ind w:left="0" w:right="0" w:firstLine="0"/>
        <w:jc w:val="left"/>
        <w:rPr>
          <w:sz w:val="20"/>
        </w:rPr>
      </w:pPr>
    </w:p>
    <w:p>
      <w:pPr>
        <w:pStyle w:val="BodyText"/>
        <w:spacing w:before="9"/>
        <w:ind w:left="0" w:right="0" w:firstLine="0"/>
        <w:jc w:val="left"/>
        <w:rPr>
          <w:sz w:val="20"/>
        </w:rPr>
      </w:pPr>
    </w:p>
    <w:p>
      <w:pPr>
        <w:pStyle w:val="BodyText"/>
        <w:spacing w:line="218" w:lineRule="auto"/>
        <w:ind w:right="38"/>
      </w:pPr>
      <w:r>
        <w:rPr>
          <w:color w:val="231F20"/>
        </w:rPr>
        <w:t>Les statuts d’une société anonyme en laquelle une société comman- dite par actions est transformée ne peuvent limiter les droits de veto dont le gérant statutaire dispose avant la transformation aux termes de l’article 659 du Code des sociétés ou sur la base des statuts que si le gérant statutaire consent à cette limitation.</w:t>
      </w:r>
    </w:p>
    <w:p>
      <w:pPr>
        <w:pStyle w:val="BodyText"/>
        <w:spacing w:before="10"/>
        <w:ind w:left="0" w:right="0" w:firstLine="0"/>
        <w:jc w:val="left"/>
        <w:rPr>
          <w:sz w:val="25"/>
        </w:rPr>
      </w:pPr>
    </w:p>
    <w:p>
      <w:pPr>
        <w:pStyle w:val="BodyText"/>
        <w:spacing w:line="218" w:lineRule="auto"/>
        <w:ind w:right="38"/>
      </w:pPr>
      <w:r>
        <w:rPr>
          <w:color w:val="231F20"/>
        </w:rPr>
        <w:t>§ 5. La société agricole, l’union professionnelle et la fédération d’unions professionnelles conservent jusqu’à leur transformation les avantages liés à leur statut.</w:t>
      </w:r>
    </w:p>
    <w:p>
      <w:pPr>
        <w:pStyle w:val="BodyText"/>
        <w:spacing w:line="218" w:lineRule="auto" w:before="145"/>
        <w:ind w:right="38"/>
      </w:pPr>
      <w:r>
        <w:rPr>
          <w:rFonts w:ascii="Times New Roman" w:hAnsi="Times New Roman"/>
          <w:b/>
          <w:color w:val="231F20"/>
        </w:rPr>
        <w:t>Art. 42. </w:t>
      </w:r>
      <w:r>
        <w:rPr>
          <w:color w:val="231F20"/>
        </w:rPr>
        <w:t>§ 1</w:t>
      </w:r>
      <w:r>
        <w:rPr>
          <w:color w:val="231F20"/>
          <w:position w:val="7"/>
          <w:sz w:val="11"/>
        </w:rPr>
        <w:t>er</w:t>
      </w:r>
      <w:r>
        <w:rPr>
          <w:color w:val="231F20"/>
        </w:rPr>
        <w:t>. Les sociétés à finalité sociale existant à la date d’entrée en vigueur du Code des sociétés et des associations sont présumées agréées</w:t>
      </w:r>
      <w:r>
        <w:rPr>
          <w:color w:val="231F20"/>
          <w:spacing w:val="-6"/>
        </w:rPr>
        <w:t> </w:t>
      </w:r>
      <w:r>
        <w:rPr>
          <w:color w:val="231F20"/>
        </w:rPr>
        <w:t>comme</w:t>
      </w:r>
      <w:r>
        <w:rPr>
          <w:color w:val="231F20"/>
          <w:spacing w:val="-5"/>
        </w:rPr>
        <w:t> </w:t>
      </w:r>
      <w:r>
        <w:rPr>
          <w:color w:val="231F20"/>
        </w:rPr>
        <w:t>entreprise</w:t>
      </w:r>
      <w:r>
        <w:rPr>
          <w:color w:val="231F20"/>
          <w:spacing w:val="-5"/>
        </w:rPr>
        <w:t> </w:t>
      </w:r>
      <w:r>
        <w:rPr>
          <w:color w:val="231F20"/>
        </w:rPr>
        <w:t>sociale.</w:t>
      </w:r>
      <w:r>
        <w:rPr>
          <w:color w:val="231F20"/>
          <w:spacing w:val="-6"/>
        </w:rPr>
        <w:t> </w:t>
      </w:r>
      <w:r>
        <w:rPr>
          <w:color w:val="231F20"/>
        </w:rPr>
        <w:t>Le</w:t>
      </w:r>
      <w:r>
        <w:rPr>
          <w:color w:val="231F20"/>
          <w:spacing w:val="-5"/>
        </w:rPr>
        <w:t> </w:t>
      </w:r>
      <w:r>
        <w:rPr>
          <w:color w:val="231F20"/>
        </w:rPr>
        <w:t>ministre</w:t>
      </w:r>
      <w:r>
        <w:rPr>
          <w:color w:val="231F20"/>
          <w:spacing w:val="-5"/>
        </w:rPr>
        <w:t> </w:t>
      </w:r>
      <w:r>
        <w:rPr>
          <w:color w:val="231F20"/>
        </w:rPr>
        <w:t>qui</w:t>
      </w:r>
      <w:r>
        <w:rPr>
          <w:color w:val="231F20"/>
          <w:spacing w:val="-5"/>
        </w:rPr>
        <w:t> </w:t>
      </w:r>
      <w:r>
        <w:rPr>
          <w:color w:val="231F20"/>
        </w:rPr>
        <w:t>à</w:t>
      </w:r>
      <w:r>
        <w:rPr>
          <w:color w:val="231F20"/>
          <w:spacing w:val="-6"/>
        </w:rPr>
        <w:t> </w:t>
      </w:r>
      <w:r>
        <w:rPr>
          <w:color w:val="231F20"/>
        </w:rPr>
        <w:t>l’Economie</w:t>
      </w:r>
      <w:r>
        <w:rPr>
          <w:color w:val="231F20"/>
          <w:spacing w:val="-5"/>
        </w:rPr>
        <w:t> </w:t>
      </w:r>
      <w:r>
        <w:rPr>
          <w:color w:val="231F20"/>
        </w:rPr>
        <w:t>dans</w:t>
      </w:r>
      <w:r>
        <w:rPr>
          <w:color w:val="231F20"/>
          <w:spacing w:val="-5"/>
        </w:rPr>
        <w:t> </w:t>
      </w:r>
      <w:r>
        <w:rPr>
          <w:color w:val="231F20"/>
        </w:rPr>
        <w:t>ses attributions établit la liste des sociétés qui sont présumées agréées comme</w:t>
      </w:r>
      <w:r>
        <w:rPr>
          <w:color w:val="231F20"/>
          <w:spacing w:val="14"/>
        </w:rPr>
        <w:t> </w:t>
      </w:r>
      <w:r>
        <w:rPr>
          <w:color w:val="231F20"/>
        </w:rPr>
        <w:t>entreprise</w:t>
      </w:r>
      <w:r>
        <w:rPr>
          <w:color w:val="231F20"/>
          <w:spacing w:val="14"/>
        </w:rPr>
        <w:t> </w:t>
      </w:r>
      <w:r>
        <w:rPr>
          <w:color w:val="231F20"/>
        </w:rPr>
        <w:t>sociale</w:t>
      </w:r>
      <w:r>
        <w:rPr>
          <w:color w:val="231F20"/>
          <w:spacing w:val="14"/>
        </w:rPr>
        <w:t> </w:t>
      </w:r>
      <w:r>
        <w:rPr>
          <w:color w:val="231F20"/>
        </w:rPr>
        <w:t>et</w:t>
      </w:r>
      <w:r>
        <w:rPr>
          <w:color w:val="231F20"/>
          <w:spacing w:val="14"/>
        </w:rPr>
        <w:t> </w:t>
      </w:r>
      <w:r>
        <w:rPr>
          <w:color w:val="231F20"/>
        </w:rPr>
        <w:t>peut</w:t>
      </w:r>
      <w:r>
        <w:rPr>
          <w:color w:val="231F20"/>
          <w:spacing w:val="14"/>
        </w:rPr>
        <w:t> </w:t>
      </w:r>
      <w:r>
        <w:rPr>
          <w:color w:val="231F20"/>
        </w:rPr>
        <w:t>renverser</w:t>
      </w:r>
      <w:r>
        <w:rPr>
          <w:color w:val="231F20"/>
          <w:spacing w:val="14"/>
        </w:rPr>
        <w:t> </w:t>
      </w:r>
      <w:r>
        <w:rPr>
          <w:color w:val="231F20"/>
        </w:rPr>
        <w:t>cette</w:t>
      </w:r>
      <w:r>
        <w:rPr>
          <w:color w:val="231F20"/>
          <w:spacing w:val="14"/>
        </w:rPr>
        <w:t> </w:t>
      </w:r>
      <w:r>
        <w:rPr>
          <w:color w:val="231F20"/>
        </w:rPr>
        <w:t>présomption.</w:t>
      </w:r>
    </w:p>
    <w:p>
      <w:pPr>
        <w:pStyle w:val="BodyText"/>
        <w:spacing w:before="1"/>
        <w:ind w:left="0" w:right="0" w:firstLine="0"/>
        <w:jc w:val="left"/>
        <w:rPr>
          <w:sz w:val="26"/>
        </w:rPr>
      </w:pPr>
    </w:p>
    <w:p>
      <w:pPr>
        <w:pStyle w:val="BodyText"/>
        <w:spacing w:line="213" w:lineRule="auto"/>
        <w:ind w:right="38"/>
      </w:pPr>
      <w:r>
        <w:rPr>
          <w:color w:val="231F20"/>
        </w:rPr>
        <w:t>Les sociétés à finalité sociale existant à la date d’entrée en vigueur du Code des sociétés et des associations qui ne constituent pas une société coopérative et qui souhaitent conserver leur agrément comme entre- prise sociale doivent se transformer en société coopérative au plus tard au 1</w:t>
      </w:r>
      <w:r>
        <w:rPr>
          <w:color w:val="231F20"/>
          <w:position w:val="7"/>
          <w:sz w:val="11"/>
        </w:rPr>
        <w:t>er </w:t>
      </w:r>
      <w:r>
        <w:rPr>
          <w:color w:val="231F20"/>
        </w:rPr>
        <w:t>janvier 2024.</w:t>
      </w:r>
    </w:p>
    <w:p>
      <w:pPr>
        <w:pStyle w:val="BodyText"/>
        <w:spacing w:line="218" w:lineRule="auto" w:before="119"/>
        <w:ind w:right="38"/>
      </w:pPr>
      <w:r>
        <w:rPr>
          <w:color w:val="231F20"/>
        </w:rPr>
        <w:t>§ 2. Les sociétés agricoles existant à la date d’entrée en vigueur du Code des sociétés et des associations sont présumées agréées comme entreprise agricole. Le ministre qui a l’Economie dans ses attributions établit la liste des sociétés qui sont présumées agréées comme entreprise agricole et peut renverser cette présomption.</w:t>
      </w:r>
    </w:p>
    <w:p>
      <w:pPr>
        <w:pStyle w:val="BodyText"/>
        <w:spacing w:before="10"/>
        <w:ind w:left="0" w:right="0" w:firstLine="0"/>
        <w:jc w:val="left"/>
        <w:rPr>
          <w:sz w:val="25"/>
        </w:rPr>
      </w:pPr>
    </w:p>
    <w:p>
      <w:pPr>
        <w:pStyle w:val="BodyText"/>
        <w:spacing w:line="218" w:lineRule="auto"/>
        <w:ind w:right="38"/>
      </w:pPr>
      <w:r>
        <w:rPr>
          <w:color w:val="231F20"/>
        </w:rPr>
        <w:t>§ 3. Les unions professionnelles ou les fédérations d’unions profes- sionnelles existant à la date d’entrée en vigueur du Code des sociétés et des associations sont présumées agréées comme ASBL agréée comme union professionnelle ou comme fédération d’unions professionnelles. Le ministre qui a les Classes moyennes dans ses attributions établit la liste des unions professionnelles et des fédérations d’unions profession- nelles qui sont présumées agréées comme ASBL agréée comme union professionnelle ou comme fédération d’unions professionnelles et peut renverser cette présomption.</w:t>
      </w:r>
    </w:p>
    <w:p>
      <w:pPr>
        <w:pStyle w:val="BodyText"/>
        <w:spacing w:line="201" w:lineRule="auto" w:before="129"/>
        <w:ind w:right="38"/>
      </w:pPr>
      <w:r>
        <w:rPr>
          <w:color w:val="231F20"/>
        </w:rPr>
        <w:t>§ 4. Le Roi détermine les modalités relatives au renversement des présomptions visées aux paragraphes 1</w:t>
      </w:r>
      <w:r>
        <w:rPr>
          <w:color w:val="231F20"/>
          <w:position w:val="7"/>
          <w:sz w:val="11"/>
        </w:rPr>
        <w:t>er </w:t>
      </w:r>
      <w:r>
        <w:rPr>
          <w:color w:val="231F20"/>
        </w:rPr>
        <w:t>à 3.</w:t>
      </w:r>
    </w:p>
    <w:p>
      <w:pPr>
        <w:pStyle w:val="BodyText"/>
        <w:spacing w:line="218" w:lineRule="auto" w:before="119"/>
      </w:pPr>
      <w:r>
        <w:rPr/>
        <w:br w:type="column"/>
      </w:r>
      <w:r>
        <w:rPr>
          <w:color w:val="231F20"/>
        </w:rPr>
        <w:t>§ 2. De rechtspersonen die een van de in paragraaf 1 vermelde rechtsvormen hebben aangenomen en op 1 januari 2024 nog niet in een andere rechtsvorm zijn omgezet, worden op die dag van rechtswege als volgt omgezet:</w:t>
      </w:r>
    </w:p>
    <w:p>
      <w:pPr>
        <w:pStyle w:val="ListParagraph"/>
        <w:numPr>
          <w:ilvl w:val="0"/>
          <w:numId w:val="143"/>
        </w:numPr>
        <w:tabs>
          <w:tab w:pos="494" w:val="left" w:leader="none"/>
        </w:tabs>
        <w:spacing w:line="218" w:lineRule="auto" w:before="107" w:after="0"/>
        <w:ind w:left="113" w:right="124" w:firstLine="170"/>
        <w:jc w:val="both"/>
        <w:rPr>
          <w:sz w:val="17"/>
        </w:rPr>
      </w:pPr>
      <w:r>
        <w:rPr>
          <w:color w:val="231F20"/>
          <w:sz w:val="17"/>
        </w:rPr>
        <w:t>de commanditaire vennootschap op aandelen wordt een naamloze vennootschap met een enige</w:t>
      </w:r>
      <w:r>
        <w:rPr>
          <w:color w:val="231F20"/>
          <w:spacing w:val="19"/>
          <w:sz w:val="17"/>
        </w:rPr>
        <w:t> </w:t>
      </w:r>
      <w:r>
        <w:rPr>
          <w:color w:val="231F20"/>
          <w:sz w:val="17"/>
        </w:rPr>
        <w:t>bestuurder;</w:t>
      </w:r>
    </w:p>
    <w:p>
      <w:pPr>
        <w:pStyle w:val="ListParagraph"/>
        <w:numPr>
          <w:ilvl w:val="0"/>
          <w:numId w:val="143"/>
        </w:numPr>
        <w:tabs>
          <w:tab w:pos="511" w:val="left" w:leader="none"/>
        </w:tabs>
        <w:spacing w:line="218" w:lineRule="auto" w:before="107" w:after="0"/>
        <w:ind w:left="113" w:right="124" w:firstLine="170"/>
        <w:jc w:val="both"/>
        <w:rPr>
          <w:sz w:val="17"/>
        </w:rPr>
      </w:pPr>
      <w:r>
        <w:rPr>
          <w:color w:val="231F20"/>
          <w:sz w:val="17"/>
        </w:rPr>
        <w:t>de landbouwvennootschap wordt een vennootschap onder firma en</w:t>
      </w:r>
      <w:r>
        <w:rPr>
          <w:color w:val="231F20"/>
          <w:spacing w:val="14"/>
          <w:sz w:val="17"/>
        </w:rPr>
        <w:t> </w:t>
      </w:r>
      <w:r>
        <w:rPr>
          <w:color w:val="231F20"/>
          <w:sz w:val="17"/>
        </w:rPr>
        <w:t>indien</w:t>
      </w:r>
      <w:r>
        <w:rPr>
          <w:color w:val="231F20"/>
          <w:spacing w:val="14"/>
          <w:sz w:val="17"/>
        </w:rPr>
        <w:t> </w:t>
      </w:r>
      <w:r>
        <w:rPr>
          <w:color w:val="231F20"/>
          <w:sz w:val="17"/>
        </w:rPr>
        <w:t>er</w:t>
      </w:r>
      <w:r>
        <w:rPr>
          <w:color w:val="231F20"/>
          <w:spacing w:val="15"/>
          <w:sz w:val="17"/>
        </w:rPr>
        <w:t> </w:t>
      </w:r>
      <w:r>
        <w:rPr>
          <w:color w:val="231F20"/>
          <w:sz w:val="17"/>
        </w:rPr>
        <w:t>stille</w:t>
      </w:r>
      <w:r>
        <w:rPr>
          <w:color w:val="231F20"/>
          <w:spacing w:val="14"/>
          <w:sz w:val="17"/>
        </w:rPr>
        <w:t> </w:t>
      </w:r>
      <w:r>
        <w:rPr>
          <w:color w:val="231F20"/>
          <w:sz w:val="17"/>
        </w:rPr>
        <w:t>vennoten</w:t>
      </w:r>
      <w:r>
        <w:rPr>
          <w:color w:val="231F20"/>
          <w:spacing w:val="14"/>
          <w:sz w:val="17"/>
        </w:rPr>
        <w:t> </w:t>
      </w:r>
      <w:r>
        <w:rPr>
          <w:color w:val="231F20"/>
          <w:sz w:val="17"/>
        </w:rPr>
        <w:t>zijn,</w:t>
      </w:r>
      <w:r>
        <w:rPr>
          <w:color w:val="231F20"/>
          <w:spacing w:val="15"/>
          <w:sz w:val="17"/>
        </w:rPr>
        <w:t> </w:t>
      </w:r>
      <w:r>
        <w:rPr>
          <w:color w:val="231F20"/>
          <w:sz w:val="17"/>
        </w:rPr>
        <w:t>een</w:t>
      </w:r>
      <w:r>
        <w:rPr>
          <w:color w:val="231F20"/>
          <w:spacing w:val="14"/>
          <w:sz w:val="17"/>
        </w:rPr>
        <w:t> </w:t>
      </w:r>
      <w:r>
        <w:rPr>
          <w:color w:val="231F20"/>
          <w:sz w:val="17"/>
        </w:rPr>
        <w:t>commanditaire</w:t>
      </w:r>
      <w:r>
        <w:rPr>
          <w:color w:val="231F20"/>
          <w:spacing w:val="14"/>
          <w:sz w:val="17"/>
        </w:rPr>
        <w:t> </w:t>
      </w:r>
      <w:r>
        <w:rPr>
          <w:color w:val="231F20"/>
          <w:sz w:val="17"/>
        </w:rPr>
        <w:t>vennootschap;</w:t>
      </w:r>
    </w:p>
    <w:p>
      <w:pPr>
        <w:pStyle w:val="ListParagraph"/>
        <w:numPr>
          <w:ilvl w:val="0"/>
          <w:numId w:val="143"/>
        </w:numPr>
        <w:tabs>
          <w:tab w:pos="506" w:val="left" w:leader="none"/>
        </w:tabs>
        <w:spacing w:line="218" w:lineRule="auto" w:before="107" w:after="0"/>
        <w:ind w:left="113" w:right="124" w:firstLine="170"/>
        <w:jc w:val="both"/>
        <w:rPr>
          <w:sz w:val="17"/>
        </w:rPr>
      </w:pPr>
      <w:r>
        <w:rPr>
          <w:color w:val="231F20"/>
          <w:sz w:val="17"/>
        </w:rPr>
        <w:t>het economisch samenwerkingsverband wordt een vennootschap onder</w:t>
      </w:r>
      <w:r>
        <w:rPr>
          <w:color w:val="231F20"/>
          <w:spacing w:val="14"/>
          <w:sz w:val="17"/>
        </w:rPr>
        <w:t> </w:t>
      </w:r>
      <w:r>
        <w:rPr>
          <w:color w:val="231F20"/>
          <w:sz w:val="17"/>
        </w:rPr>
        <w:t>firma;</w:t>
      </w:r>
    </w:p>
    <w:p>
      <w:pPr>
        <w:pStyle w:val="ListParagraph"/>
        <w:numPr>
          <w:ilvl w:val="0"/>
          <w:numId w:val="143"/>
        </w:numPr>
        <w:tabs>
          <w:tab w:pos="512" w:val="left" w:leader="none"/>
        </w:tabs>
        <w:spacing w:line="218" w:lineRule="auto" w:before="107" w:after="0"/>
        <w:ind w:left="113" w:right="124" w:firstLine="170"/>
        <w:jc w:val="both"/>
        <w:rPr>
          <w:sz w:val="17"/>
        </w:rPr>
      </w:pPr>
      <w:r>
        <w:rPr>
          <w:color w:val="231F20"/>
          <w:sz w:val="17"/>
        </w:rPr>
        <w:t>de coöperatieve vennootschap met onbeperkte aansprakelijkheid wordt een vennootschap onder</w:t>
      </w:r>
      <w:r>
        <w:rPr>
          <w:color w:val="231F20"/>
          <w:spacing w:val="20"/>
          <w:sz w:val="17"/>
        </w:rPr>
        <w:t> </w:t>
      </w:r>
      <w:r>
        <w:rPr>
          <w:color w:val="231F20"/>
          <w:sz w:val="17"/>
        </w:rPr>
        <w:t>firma;</w:t>
      </w:r>
    </w:p>
    <w:p>
      <w:pPr>
        <w:pStyle w:val="ListParagraph"/>
        <w:numPr>
          <w:ilvl w:val="0"/>
          <w:numId w:val="143"/>
        </w:numPr>
        <w:tabs>
          <w:tab w:pos="498" w:val="left" w:leader="none"/>
        </w:tabs>
        <w:spacing w:line="218" w:lineRule="auto" w:before="106" w:after="0"/>
        <w:ind w:left="113" w:right="124" w:firstLine="170"/>
        <w:jc w:val="both"/>
        <w:rPr>
          <w:sz w:val="17"/>
        </w:rPr>
      </w:pPr>
      <w:r>
        <w:rPr>
          <w:color w:val="231F20"/>
          <w:sz w:val="17"/>
        </w:rPr>
        <w:t>de coöperatieve vennootschap met beperkte aansprakelijkheid die niet aan de definitie van coöperatieve vennootschap in artikel 6:1 van het </w:t>
      </w:r>
      <w:r>
        <w:rPr>
          <w:color w:val="231F20"/>
          <w:spacing w:val="-3"/>
          <w:sz w:val="17"/>
        </w:rPr>
        <w:t>Wetboek </w:t>
      </w:r>
      <w:r>
        <w:rPr>
          <w:color w:val="231F20"/>
          <w:sz w:val="17"/>
        </w:rPr>
        <w:t>beantwoordt, wordt een besloten</w:t>
      </w:r>
      <w:r>
        <w:rPr>
          <w:color w:val="231F20"/>
          <w:spacing w:val="21"/>
          <w:sz w:val="17"/>
        </w:rPr>
        <w:t> </w:t>
      </w:r>
      <w:r>
        <w:rPr>
          <w:color w:val="231F20"/>
          <w:sz w:val="17"/>
        </w:rPr>
        <w:t>vennootschap;</w:t>
      </w:r>
    </w:p>
    <w:p>
      <w:pPr>
        <w:pStyle w:val="ListParagraph"/>
        <w:numPr>
          <w:ilvl w:val="0"/>
          <w:numId w:val="143"/>
        </w:numPr>
        <w:tabs>
          <w:tab w:pos="533" w:val="left" w:leader="none"/>
        </w:tabs>
        <w:spacing w:line="218" w:lineRule="auto" w:before="107" w:after="0"/>
        <w:ind w:left="113" w:right="124" w:firstLine="170"/>
        <w:jc w:val="both"/>
        <w:rPr>
          <w:sz w:val="17"/>
        </w:rPr>
      </w:pPr>
      <w:r>
        <w:rPr>
          <w:color w:val="231F20"/>
          <w:sz w:val="17"/>
        </w:rPr>
        <w:t>de beroepsvereniging en de federatie van beroepsverenigingen wordt een</w:t>
      </w:r>
      <w:r>
        <w:rPr>
          <w:color w:val="231F20"/>
          <w:spacing w:val="-11"/>
          <w:sz w:val="17"/>
        </w:rPr>
        <w:t> </w:t>
      </w:r>
      <w:r>
        <w:rPr>
          <w:color w:val="231F20"/>
          <w:spacing w:val="-4"/>
          <w:sz w:val="17"/>
        </w:rPr>
        <w:t>VZW.</w:t>
      </w:r>
    </w:p>
    <w:p>
      <w:pPr>
        <w:pStyle w:val="BodyText"/>
        <w:spacing w:line="218" w:lineRule="auto" w:before="107"/>
      </w:pPr>
      <w:r>
        <w:rPr>
          <w:color w:val="231F20"/>
        </w:rPr>
        <w:t>§ 3. Binnen een termijn van zes maanden te rekenen van de dag dat deze rechtspersonen van rechtswege in een andere rechtsvorm zijn omgezet, dient het bestuursorgaan de algemene vergadering bijeen te roepen met als agenda de aanpassing van de statuten aan de nieuwe rechtsvorm.</w:t>
      </w:r>
    </w:p>
    <w:p>
      <w:pPr>
        <w:pStyle w:val="BodyText"/>
        <w:spacing w:line="218" w:lineRule="auto" w:before="107"/>
      </w:pPr>
      <w:r>
        <w:rPr>
          <w:color w:val="231F20"/>
        </w:rPr>
        <w:t>De leden van het bestuursorgaan zijn persoonlijk en hoofdelijk aansprakelijk voor de schade geleden door de rechtspersoon of door derden ten gevolge van de niet-nakoming van deze verplichting.</w:t>
      </w:r>
    </w:p>
    <w:p>
      <w:pPr>
        <w:pStyle w:val="BodyText"/>
        <w:spacing w:line="218" w:lineRule="auto" w:before="107"/>
      </w:pPr>
      <w:r>
        <w:rPr>
          <w:color w:val="231F20"/>
        </w:rPr>
        <w:t>§ 4. De rechtspersonen die één van de in paragraaf 1 vermelde rechtsvormen hebben aangenomen kunnen zich tot 1 januari 2024 vrij- willig omzetten in de in paragraaf 2 voor hen aangeduide rechtsvorm. Deze omzetting vereist een statutenwijziging. De procedure van omzetting van vennootschappen zoals bepaald in boek 14, titel 1, hoofdstuk 2 van het </w:t>
      </w:r>
      <w:r>
        <w:rPr>
          <w:color w:val="231F20"/>
          <w:spacing w:val="-3"/>
        </w:rPr>
        <w:t>Wetboek </w:t>
      </w:r>
      <w:r>
        <w:rPr>
          <w:color w:val="231F20"/>
        </w:rPr>
        <w:t>van vennootschappen en verenigingen vindt geen toepassing. In geval van omzetting van een commanditaire vennootschap op aandelen in een naamloze vennootschap blijven de gecommanditeerde vennoten ten aanzien van derden hoofdelijk en onbeperkt aansprakelijk voor de verbintenissen van de vennootschap die dateren van vóór het tijdstip vanaf hetwelk de akte van omzetting aan derden kan worden tegengeworpen overeenkomstig artikel 2:18 van hetzelfde</w:t>
      </w:r>
      <w:r>
        <w:rPr>
          <w:color w:val="231F20"/>
          <w:spacing w:val="-11"/>
        </w:rPr>
        <w:t> </w:t>
      </w:r>
      <w:r>
        <w:rPr>
          <w:color w:val="231F20"/>
        </w:rPr>
        <w:t>Wetboek.</w:t>
      </w:r>
    </w:p>
    <w:p>
      <w:pPr>
        <w:pStyle w:val="BodyText"/>
        <w:spacing w:line="218" w:lineRule="auto" w:before="118"/>
      </w:pPr>
      <w:r>
        <w:rPr>
          <w:color w:val="231F20"/>
        </w:rPr>
        <w:t>De statuten van de naamloze vennootschap waarin de commandi- taire vennootschap op aandelen wordt omgezet, kunnen de vetorechten waarover de statutaire zaakvoerder vóór de omzetting beschikt over- eenkomstig artikel 659 van het Wetboek van vennootschappen of de statuten slechts beperken indien de statutaire zaakvoerder daarmee instemt.</w:t>
      </w:r>
    </w:p>
    <w:p>
      <w:pPr>
        <w:pStyle w:val="BodyText"/>
        <w:spacing w:line="218" w:lineRule="auto" w:before="118"/>
      </w:pPr>
      <w:r>
        <w:rPr>
          <w:color w:val="231F20"/>
        </w:rPr>
        <w:t>§ 5. De landbouwvennootschap, de beroepsvereniging en de federa- tie van beroepsverenigingen behouden tot hun omzetting de voordelen die met hun statuut zijn verbonden.</w:t>
      </w:r>
    </w:p>
    <w:p>
      <w:pPr>
        <w:pStyle w:val="BodyText"/>
        <w:spacing w:line="218" w:lineRule="auto" w:before="158"/>
      </w:pPr>
      <w:r>
        <w:rPr>
          <w:rFonts w:ascii="Times New Roman" w:hAnsi="Times New Roman"/>
          <w:b/>
          <w:color w:val="231F20"/>
        </w:rPr>
        <w:t>Art. 42. </w:t>
      </w:r>
      <w:r>
        <w:rPr>
          <w:color w:val="231F20"/>
        </w:rPr>
        <w:t>§ 1. De op de dag van de inwerkingtreding van het </w:t>
      </w:r>
      <w:r>
        <w:rPr>
          <w:color w:val="231F20"/>
          <w:spacing w:val="-3"/>
        </w:rPr>
        <w:t>Wetboek </w:t>
      </w:r>
      <w:r>
        <w:rPr>
          <w:color w:val="231F20"/>
        </w:rPr>
        <w:t>van vennootschappen en verenigingen bestaande vennootschappen  met sociaal oogmerk worden vermoed erkend te zijn als een sociale onderneming. De minister bevoegd voor Economie stelt de lijst van de vennootschappen die vermoed erkend te zijn als een sociale onderne- ming</w:t>
      </w:r>
      <w:r>
        <w:rPr>
          <w:color w:val="231F20"/>
          <w:spacing w:val="16"/>
        </w:rPr>
        <w:t> </w:t>
      </w:r>
      <w:r>
        <w:rPr>
          <w:color w:val="231F20"/>
        </w:rPr>
        <w:t>op</w:t>
      </w:r>
      <w:r>
        <w:rPr>
          <w:color w:val="231F20"/>
          <w:spacing w:val="16"/>
        </w:rPr>
        <w:t> </w:t>
      </w:r>
      <w:r>
        <w:rPr>
          <w:color w:val="231F20"/>
        </w:rPr>
        <w:t>en</w:t>
      </w:r>
      <w:r>
        <w:rPr>
          <w:color w:val="231F20"/>
          <w:spacing w:val="17"/>
        </w:rPr>
        <w:t> </w:t>
      </w:r>
      <w:r>
        <w:rPr>
          <w:color w:val="231F20"/>
        </w:rPr>
        <w:t>kan</w:t>
      </w:r>
      <w:r>
        <w:rPr>
          <w:color w:val="231F20"/>
          <w:spacing w:val="16"/>
        </w:rPr>
        <w:t> </w:t>
      </w:r>
      <w:r>
        <w:rPr>
          <w:color w:val="231F20"/>
        </w:rPr>
        <w:t>dit</w:t>
      </w:r>
      <w:r>
        <w:rPr>
          <w:color w:val="231F20"/>
          <w:spacing w:val="17"/>
        </w:rPr>
        <w:t> </w:t>
      </w:r>
      <w:r>
        <w:rPr>
          <w:color w:val="231F20"/>
        </w:rPr>
        <w:t>vermoeden</w:t>
      </w:r>
      <w:r>
        <w:rPr>
          <w:color w:val="231F20"/>
          <w:spacing w:val="16"/>
        </w:rPr>
        <w:t> </w:t>
      </w:r>
      <w:r>
        <w:rPr>
          <w:color w:val="231F20"/>
        </w:rPr>
        <w:t>weerleggen.</w:t>
      </w:r>
    </w:p>
    <w:p>
      <w:pPr>
        <w:pStyle w:val="BodyText"/>
        <w:spacing w:line="218" w:lineRule="auto" w:before="118"/>
      </w:pPr>
      <w:r>
        <w:rPr>
          <w:color w:val="231F20"/>
        </w:rPr>
        <w:t>De op de dag van de inwerkingtreding van het </w:t>
      </w:r>
      <w:r>
        <w:rPr>
          <w:color w:val="231F20"/>
          <w:spacing w:val="-3"/>
        </w:rPr>
        <w:t>Wetboek </w:t>
      </w:r>
      <w:r>
        <w:rPr>
          <w:color w:val="231F20"/>
        </w:rPr>
        <w:t>van vennootschappen en verenigingen bestaande vennootschappen met sociaal oogmerk die geen coöperatieve vennootschap zijn en die als een sociale onderneming willen  erkend  blijven,  dienen  zich  uiterlijk  op  1</w:t>
      </w:r>
      <w:r>
        <w:rPr>
          <w:color w:val="231F20"/>
          <w:spacing w:val="13"/>
        </w:rPr>
        <w:t> </w:t>
      </w:r>
      <w:r>
        <w:rPr>
          <w:color w:val="231F20"/>
        </w:rPr>
        <w:t>januari</w:t>
      </w:r>
      <w:r>
        <w:rPr>
          <w:color w:val="231F20"/>
          <w:spacing w:val="13"/>
        </w:rPr>
        <w:t> </w:t>
      </w:r>
      <w:r>
        <w:rPr>
          <w:color w:val="231F20"/>
        </w:rPr>
        <w:t>2024</w:t>
      </w:r>
      <w:r>
        <w:rPr>
          <w:color w:val="231F20"/>
          <w:spacing w:val="14"/>
        </w:rPr>
        <w:t> </w:t>
      </w:r>
      <w:r>
        <w:rPr>
          <w:color w:val="231F20"/>
        </w:rPr>
        <w:t>om</w:t>
      </w:r>
      <w:r>
        <w:rPr>
          <w:color w:val="231F20"/>
          <w:spacing w:val="13"/>
        </w:rPr>
        <w:t> </w:t>
      </w:r>
      <w:r>
        <w:rPr>
          <w:color w:val="231F20"/>
        </w:rPr>
        <w:t>te</w:t>
      </w:r>
      <w:r>
        <w:rPr>
          <w:color w:val="231F20"/>
          <w:spacing w:val="14"/>
        </w:rPr>
        <w:t> </w:t>
      </w:r>
      <w:r>
        <w:rPr>
          <w:color w:val="231F20"/>
        </w:rPr>
        <w:t>zetten</w:t>
      </w:r>
      <w:r>
        <w:rPr>
          <w:color w:val="231F20"/>
          <w:spacing w:val="13"/>
        </w:rPr>
        <w:t> </w:t>
      </w:r>
      <w:r>
        <w:rPr>
          <w:color w:val="231F20"/>
        </w:rPr>
        <w:t>in</w:t>
      </w:r>
      <w:r>
        <w:rPr>
          <w:color w:val="231F20"/>
          <w:spacing w:val="14"/>
        </w:rPr>
        <w:t> </w:t>
      </w:r>
      <w:r>
        <w:rPr>
          <w:color w:val="231F20"/>
        </w:rPr>
        <w:t>een</w:t>
      </w:r>
      <w:r>
        <w:rPr>
          <w:color w:val="231F20"/>
          <w:spacing w:val="13"/>
        </w:rPr>
        <w:t> </w:t>
      </w:r>
      <w:r>
        <w:rPr>
          <w:color w:val="231F20"/>
        </w:rPr>
        <w:t>coöperatieve</w:t>
      </w:r>
      <w:r>
        <w:rPr>
          <w:color w:val="231F20"/>
          <w:spacing w:val="13"/>
        </w:rPr>
        <w:t> </w:t>
      </w:r>
      <w:r>
        <w:rPr>
          <w:color w:val="231F20"/>
        </w:rPr>
        <w:t>vennootschap.</w:t>
      </w:r>
    </w:p>
    <w:p>
      <w:pPr>
        <w:pStyle w:val="BodyText"/>
        <w:spacing w:line="218" w:lineRule="auto" w:before="117"/>
      </w:pPr>
      <w:r>
        <w:rPr>
          <w:color w:val="231F20"/>
        </w:rPr>
        <w:t>§ 2. De op de dag van de inwerkingtreding van het </w:t>
      </w:r>
      <w:r>
        <w:rPr>
          <w:color w:val="231F20"/>
          <w:spacing w:val="-3"/>
        </w:rPr>
        <w:t>Wetboek </w:t>
      </w:r>
      <w:r>
        <w:rPr>
          <w:color w:val="231F20"/>
        </w:rPr>
        <w:t>van vennootschappen en verenigingen bestaande landbouwvennootschap- pen worden vermoed erkend te zijn als landbouwonderneming. De minister bevoegd voor Economie stelt de lijst van de vennootschappen die vermoed erkend te zijn als een landbouwonderneming op en kan  dit vermoeden</w:t>
      </w:r>
      <w:r>
        <w:rPr>
          <w:color w:val="231F20"/>
          <w:spacing w:val="-10"/>
        </w:rPr>
        <w:t> </w:t>
      </w:r>
      <w:r>
        <w:rPr>
          <w:color w:val="231F20"/>
        </w:rPr>
        <w:t>weerleggen.</w:t>
      </w:r>
    </w:p>
    <w:p>
      <w:pPr>
        <w:pStyle w:val="BodyText"/>
        <w:spacing w:line="218" w:lineRule="auto" w:before="118"/>
      </w:pPr>
      <w:r>
        <w:rPr>
          <w:color w:val="231F20"/>
        </w:rPr>
        <w:t>§ 3. De op de dag van de inwerkingtreding van het Wetboek van vennootschappen en verenigingen bestaande beroepsverenigingen of federaties van beroepsverenigingen worden vermoed erkend te zijn als VZW erkend als beroepsvereniging of als federatie van beroepsvereni- gingen. De minister bevoegd voor Middenstand stelt de lijst op van de beroepsverenigingen en federaties van beroepsverenigingen die ver- moed erkend te zijn als VZW erkend als beroepsvereniging of als federatie van beroepsverenigingen en kan dit vermoeden weerleggen.</w:t>
      </w:r>
    </w:p>
    <w:p>
      <w:pPr>
        <w:pStyle w:val="BodyText"/>
        <w:spacing w:before="9"/>
        <w:ind w:left="0" w:right="0" w:firstLine="0"/>
        <w:jc w:val="left"/>
        <w:rPr>
          <w:sz w:val="25"/>
        </w:rPr>
      </w:pPr>
    </w:p>
    <w:p>
      <w:pPr>
        <w:pStyle w:val="BodyText"/>
        <w:spacing w:line="218" w:lineRule="auto" w:before="1"/>
      </w:pPr>
      <w:r>
        <w:rPr>
          <w:color w:val="231F20"/>
        </w:rPr>
        <w:t>§ 4. De Koning bepaalt de modaliteiten betreffende de weerlegging van de vermoedens bedoeld in de paragrafen 1 tot 3.</w:t>
      </w:r>
    </w:p>
    <w:p>
      <w:pPr>
        <w:spacing w:after="0" w:line="218" w:lineRule="auto"/>
        <w:sectPr>
          <w:pgSz w:w="11940" w:h="16880"/>
          <w:pgMar w:header="666" w:footer="0" w:top="1140" w:bottom="280" w:left="340" w:right="360"/>
          <w:cols w:num="2" w:equalWidth="0">
            <w:col w:w="5527" w:space="101"/>
            <w:col w:w="5612"/>
          </w:cols>
        </w:sectPr>
      </w:pPr>
    </w:p>
    <w:p>
      <w:pPr>
        <w:pStyle w:val="BodyText"/>
        <w:spacing w:line="218" w:lineRule="auto" w:before="117"/>
        <w:ind w:right="38"/>
      </w:pPr>
      <w:bookmarkStart w:name="_bookmark291" w:id="297"/>
      <w:bookmarkEnd w:id="297"/>
      <w:r>
        <w:rPr/>
      </w:r>
      <w:r>
        <w:rPr>
          <w:rFonts w:ascii="Times New Roman" w:hAnsi="Times New Roman"/>
          <w:b/>
          <w:color w:val="231F20"/>
        </w:rPr>
        <w:t>Art. 43. </w:t>
      </w:r>
      <w:r>
        <w:rPr>
          <w:color w:val="231F20"/>
        </w:rPr>
        <w:t>Le dépôt et la conservation des premières versions et des versions coordonnées du texte des statuts visés aux articles 2:8 à </w:t>
      </w:r>
      <w:r>
        <w:rPr>
          <w:color w:val="231F20"/>
          <w:spacing w:val="-3"/>
        </w:rPr>
        <w:t>2:11</w:t>
      </w:r>
      <w:r>
        <w:rPr>
          <w:color w:val="231F20"/>
          <w:spacing w:val="-27"/>
        </w:rPr>
        <w:t> </w:t>
      </w:r>
      <w:r>
        <w:rPr>
          <w:color w:val="231F20"/>
        </w:rPr>
        <w:t>du Code des sociétés et des associations est maintenu au </w:t>
      </w:r>
      <w:r>
        <w:rPr>
          <w:color w:val="231F20"/>
          <w:spacing w:val="-3"/>
        </w:rPr>
        <w:t>greffe </w:t>
      </w:r>
      <w:r>
        <w:rPr>
          <w:color w:val="231F20"/>
        </w:rPr>
        <w:t>du tribunal de l’entreprise en attendant que le système de base de données électronique consultable publiquement visé à l’article 2:7, § 2, du même Code devient opérationnel. Dès qu’au moins une des deux parties de cette base de données est opérationnelle, la mission du </w:t>
      </w:r>
      <w:r>
        <w:rPr>
          <w:color w:val="231F20"/>
          <w:spacing w:val="-3"/>
        </w:rPr>
        <w:t>greffe </w:t>
      </w:r>
      <w:r>
        <w:rPr>
          <w:color w:val="231F20"/>
        </w:rPr>
        <w:t>prendra fin</w:t>
      </w:r>
      <w:r>
        <w:rPr>
          <w:color w:val="231F20"/>
          <w:spacing w:val="4"/>
        </w:rPr>
        <w:t> </w:t>
      </w:r>
      <w:r>
        <w:rPr>
          <w:color w:val="231F20"/>
        </w:rPr>
        <w:t>pour</w:t>
      </w:r>
      <w:r>
        <w:rPr>
          <w:color w:val="231F20"/>
          <w:spacing w:val="4"/>
        </w:rPr>
        <w:t> </w:t>
      </w:r>
      <w:r>
        <w:rPr>
          <w:color w:val="231F20"/>
        </w:rPr>
        <w:t>cette</w:t>
      </w:r>
      <w:r>
        <w:rPr>
          <w:color w:val="231F20"/>
          <w:spacing w:val="4"/>
        </w:rPr>
        <w:t> </w:t>
      </w:r>
      <w:r>
        <w:rPr>
          <w:color w:val="231F20"/>
        </w:rPr>
        <w:t>partie</w:t>
      </w:r>
      <w:r>
        <w:rPr>
          <w:color w:val="231F20"/>
          <w:spacing w:val="4"/>
        </w:rPr>
        <w:t> </w:t>
      </w:r>
      <w:r>
        <w:rPr>
          <w:color w:val="231F20"/>
        </w:rPr>
        <w:t>pour</w:t>
      </w:r>
      <w:r>
        <w:rPr>
          <w:color w:val="231F20"/>
          <w:spacing w:val="5"/>
        </w:rPr>
        <w:t> </w:t>
      </w:r>
      <w:r>
        <w:rPr>
          <w:color w:val="231F20"/>
        </w:rPr>
        <w:t>tous</w:t>
      </w:r>
      <w:r>
        <w:rPr>
          <w:color w:val="231F20"/>
          <w:spacing w:val="4"/>
        </w:rPr>
        <w:t> </w:t>
      </w:r>
      <w:r>
        <w:rPr>
          <w:color w:val="231F20"/>
        </w:rPr>
        <w:t>les</w:t>
      </w:r>
      <w:r>
        <w:rPr>
          <w:color w:val="231F20"/>
          <w:spacing w:val="4"/>
        </w:rPr>
        <w:t> </w:t>
      </w:r>
      <w:r>
        <w:rPr>
          <w:color w:val="231F20"/>
        </w:rPr>
        <w:t>statuts</w:t>
      </w:r>
      <w:r>
        <w:rPr>
          <w:color w:val="231F20"/>
          <w:spacing w:val="4"/>
        </w:rPr>
        <w:t> </w:t>
      </w:r>
      <w:r>
        <w:rPr>
          <w:color w:val="231F20"/>
        </w:rPr>
        <w:t>déposés</w:t>
      </w:r>
      <w:r>
        <w:rPr>
          <w:color w:val="231F20"/>
          <w:spacing w:val="4"/>
        </w:rPr>
        <w:t> </w:t>
      </w:r>
      <w:r>
        <w:rPr>
          <w:color w:val="231F20"/>
        </w:rPr>
        <w:t>à</w:t>
      </w:r>
      <w:r>
        <w:rPr>
          <w:color w:val="231F20"/>
          <w:spacing w:val="5"/>
        </w:rPr>
        <w:t> </w:t>
      </w:r>
      <w:r>
        <w:rPr>
          <w:color w:val="231F20"/>
        </w:rPr>
        <w:t>partir</w:t>
      </w:r>
      <w:r>
        <w:rPr>
          <w:color w:val="231F20"/>
          <w:spacing w:val="4"/>
        </w:rPr>
        <w:t> </w:t>
      </w:r>
      <w:r>
        <w:rPr>
          <w:color w:val="231F20"/>
        </w:rPr>
        <w:t>de</w:t>
      </w:r>
      <w:r>
        <w:rPr>
          <w:color w:val="231F20"/>
          <w:spacing w:val="4"/>
        </w:rPr>
        <w:t> </w:t>
      </w:r>
      <w:r>
        <w:rPr>
          <w:color w:val="231F20"/>
        </w:rPr>
        <w:t>cette</w:t>
      </w:r>
      <w:r>
        <w:rPr>
          <w:color w:val="231F20"/>
          <w:spacing w:val="4"/>
        </w:rPr>
        <w:t> </w:t>
      </w:r>
      <w:r>
        <w:rPr>
          <w:color w:val="231F20"/>
        </w:rPr>
        <w:t>date.</w:t>
      </w:r>
    </w:p>
    <w:p>
      <w:pPr>
        <w:pStyle w:val="BodyText"/>
        <w:ind w:left="0" w:right="0" w:firstLine="0"/>
        <w:jc w:val="left"/>
        <w:rPr>
          <w:sz w:val="20"/>
        </w:rPr>
      </w:pPr>
    </w:p>
    <w:p>
      <w:pPr>
        <w:pStyle w:val="BodyText"/>
        <w:spacing w:line="216" w:lineRule="auto" w:before="172"/>
        <w:ind w:right="38"/>
      </w:pPr>
      <w:r>
        <w:rPr>
          <w:rFonts w:ascii="Times New Roman" w:hAnsi="Times New Roman"/>
          <w:b/>
          <w:color w:val="231F20"/>
        </w:rPr>
        <w:t>Art. 44. </w:t>
      </w:r>
      <w:r>
        <w:rPr>
          <w:color w:val="231F20"/>
        </w:rPr>
        <w:t>Pour les personnes morales visées à l’article 2:5 du Code des sociétés et des associations qui ont, au 1</w:t>
      </w:r>
      <w:r>
        <w:rPr>
          <w:color w:val="231F20"/>
          <w:position w:val="7"/>
          <w:sz w:val="11"/>
        </w:rPr>
        <w:t>er </w:t>
      </w:r>
      <w:r>
        <w:rPr>
          <w:color w:val="231F20"/>
        </w:rPr>
        <w:t>janvier 2020 ou, pour les sociétés, associations ou fondations qui ont fait usage de l’option prévue à l’article 39, § 1</w:t>
      </w:r>
      <w:r>
        <w:rPr>
          <w:color w:val="231F20"/>
          <w:position w:val="7"/>
          <w:sz w:val="11"/>
        </w:rPr>
        <w:t>er</w:t>
      </w:r>
      <w:r>
        <w:rPr>
          <w:color w:val="231F20"/>
        </w:rPr>
        <w:t>, alinéa 2, à la date de la publication de la modification des statuts visée dans cet alinéa, repris l’adresse à laquelle le siège de la personne morale est établi, dans les statuts et y prévoient que le siège peut être déplacé par l’organe d’administration,</w:t>
      </w:r>
      <w:r>
        <w:rPr>
          <w:color w:val="231F20"/>
          <w:spacing w:val="22"/>
        </w:rPr>
        <w:t> </w:t>
      </w:r>
      <w:r>
        <w:rPr>
          <w:color w:val="231F20"/>
        </w:rPr>
        <w:t>la référence à l’adresse à laquelle le siège de la personne morale est établi, est assimilée de plein droit à une mention du siège en dehors des statuts, et l’adresse à laquelle le siège de la personne morale est établi, sera supprimée des statuts et remplacée par une mention de la région dans laquelle le siège est établi à l’occasion de la première coordination des statuts qui</w:t>
      </w:r>
      <w:r>
        <w:rPr>
          <w:color w:val="231F20"/>
          <w:spacing w:val="4"/>
        </w:rPr>
        <w:t> </w:t>
      </w:r>
      <w:r>
        <w:rPr>
          <w:color w:val="231F20"/>
        </w:rPr>
        <w:t>suit.</w:t>
      </w:r>
    </w:p>
    <w:p>
      <w:pPr>
        <w:pStyle w:val="BodyText"/>
        <w:ind w:left="0" w:right="0" w:firstLine="0"/>
        <w:jc w:val="left"/>
        <w:rPr>
          <w:sz w:val="20"/>
        </w:rPr>
      </w:pPr>
    </w:p>
    <w:p>
      <w:pPr>
        <w:pStyle w:val="BodyText"/>
        <w:spacing w:line="218" w:lineRule="auto" w:before="124"/>
        <w:ind w:right="38"/>
      </w:pPr>
      <w:r>
        <w:rPr>
          <w:color w:val="231F20"/>
        </w:rPr>
        <w:t>Pour les personnes morales visées au même article qui ont, à la date  à laquelle les dispositions du présent code leurs deviennent applicables, repris l’adresse à laquelle le siège de la personne morale est établi, dans les statuts sans prévoir qu’il peut être déplacé par l’organe d’adminis- tration, toute modification de cette mention du siège nécessite une modification des statuts qui peut être décidée par l’organe d’adminis- tration.</w:t>
      </w:r>
    </w:p>
    <w:p>
      <w:pPr>
        <w:pStyle w:val="BodyText"/>
        <w:spacing w:before="3"/>
        <w:ind w:left="0" w:right="0" w:firstLine="0"/>
        <w:jc w:val="left"/>
        <w:rPr>
          <w:sz w:val="18"/>
        </w:rPr>
      </w:pPr>
    </w:p>
    <w:p>
      <w:pPr>
        <w:spacing w:before="1"/>
        <w:ind w:left="1186" w:right="0" w:firstLine="0"/>
        <w:jc w:val="left"/>
        <w:rPr>
          <w:sz w:val="17"/>
        </w:rPr>
      </w:pPr>
      <w:r>
        <w:rPr>
          <w:rFonts w:ascii="Times New Roman" w:hAnsi="Times New Roman"/>
          <w:i/>
          <w:color w:val="231F20"/>
          <w:sz w:val="17"/>
        </w:rPr>
        <w:t>Section III. </w:t>
      </w:r>
      <w:r>
        <w:rPr>
          <w:i/>
          <w:color w:val="231F20"/>
          <w:sz w:val="17"/>
        </w:rPr>
        <w:t>— </w:t>
      </w:r>
      <w:r>
        <w:rPr>
          <w:color w:val="231F20"/>
          <w:sz w:val="17"/>
        </w:rPr>
        <w:t>Attribution de compétences.</w:t>
      </w:r>
    </w:p>
    <w:p>
      <w:pPr>
        <w:pStyle w:val="BodyText"/>
        <w:spacing w:line="180" w:lineRule="exact" w:before="171"/>
        <w:ind w:left="283" w:right="0" w:firstLine="0"/>
        <w:jc w:val="left"/>
      </w:pPr>
      <w:r>
        <w:rPr>
          <w:rFonts w:ascii="Times New Roman" w:hAnsi="Times New Roman"/>
          <w:b/>
          <w:color w:val="231F20"/>
        </w:rPr>
        <w:t>Art. 45. </w:t>
      </w:r>
      <w:r>
        <w:rPr>
          <w:color w:val="231F20"/>
        </w:rPr>
        <w:t>Les arrêtés royaux d’exécution des articles 1:24, § 8, 1:26, §</w:t>
      </w:r>
      <w:r>
        <w:rPr>
          <w:color w:val="231F20"/>
          <w:spacing w:val="3"/>
        </w:rPr>
        <w:t> </w:t>
      </w:r>
      <w:r>
        <w:rPr>
          <w:color w:val="231F20"/>
        </w:rPr>
        <w:t>4,</w:t>
      </w:r>
    </w:p>
    <w:p>
      <w:pPr>
        <w:pStyle w:val="BodyText"/>
        <w:spacing w:line="183" w:lineRule="exact"/>
        <w:ind w:right="0" w:firstLine="0"/>
        <w:jc w:val="left"/>
      </w:pPr>
      <w:r>
        <w:rPr>
          <w:color w:val="231F20"/>
        </w:rPr>
        <w:t>3:1,</w:t>
      </w:r>
      <w:r>
        <w:rPr>
          <w:color w:val="231F20"/>
          <w:spacing w:val="-9"/>
        </w:rPr>
        <w:t> </w:t>
      </w:r>
      <w:r>
        <w:rPr>
          <w:color w:val="231F20"/>
        </w:rPr>
        <w:t>§</w:t>
      </w:r>
      <w:r>
        <w:rPr>
          <w:color w:val="231F20"/>
          <w:spacing w:val="-9"/>
        </w:rPr>
        <w:t> </w:t>
      </w:r>
      <w:r>
        <w:rPr>
          <w:color w:val="231F20"/>
        </w:rPr>
        <w:t>1</w:t>
      </w:r>
      <w:r>
        <w:rPr>
          <w:color w:val="231F20"/>
          <w:position w:val="7"/>
          <w:sz w:val="11"/>
        </w:rPr>
        <w:t>er</w:t>
      </w:r>
      <w:r>
        <w:rPr>
          <w:color w:val="231F20"/>
        </w:rPr>
        <w:t>,</w:t>
      </w:r>
      <w:r>
        <w:rPr>
          <w:color w:val="231F20"/>
          <w:spacing w:val="-9"/>
        </w:rPr>
        <w:t> </w:t>
      </w:r>
      <w:r>
        <w:rPr>
          <w:color w:val="231F20"/>
        </w:rPr>
        <w:t>3:2,</w:t>
      </w:r>
      <w:r>
        <w:rPr>
          <w:color w:val="231F20"/>
          <w:spacing w:val="-8"/>
        </w:rPr>
        <w:t> </w:t>
      </w:r>
      <w:r>
        <w:rPr>
          <w:color w:val="231F20"/>
        </w:rPr>
        <w:t>3:3,</w:t>
      </w:r>
      <w:r>
        <w:rPr>
          <w:color w:val="231F20"/>
          <w:spacing w:val="-9"/>
        </w:rPr>
        <w:t> </w:t>
      </w:r>
      <w:r>
        <w:rPr>
          <w:color w:val="231F20"/>
        </w:rPr>
        <w:t>3:6,</w:t>
      </w:r>
      <w:r>
        <w:rPr>
          <w:color w:val="231F20"/>
          <w:spacing w:val="-9"/>
        </w:rPr>
        <w:t> </w:t>
      </w:r>
      <w:r>
        <w:rPr>
          <w:color w:val="231F20"/>
        </w:rPr>
        <w:t>§</w:t>
      </w:r>
      <w:r>
        <w:rPr>
          <w:color w:val="231F20"/>
          <w:spacing w:val="-8"/>
        </w:rPr>
        <w:t> </w:t>
      </w:r>
      <w:r>
        <w:rPr>
          <w:color w:val="231F20"/>
        </w:rPr>
        <w:t>4,</w:t>
      </w:r>
      <w:r>
        <w:rPr>
          <w:color w:val="231F20"/>
          <w:spacing w:val="-9"/>
        </w:rPr>
        <w:t> </w:t>
      </w:r>
      <w:r>
        <w:rPr>
          <w:color w:val="231F20"/>
        </w:rPr>
        <w:t>3:8,</w:t>
      </w:r>
      <w:r>
        <w:rPr>
          <w:color w:val="231F20"/>
          <w:spacing w:val="-9"/>
        </w:rPr>
        <w:t> </w:t>
      </w:r>
      <w:r>
        <w:rPr>
          <w:color w:val="231F20"/>
        </w:rPr>
        <w:t>3:29,</w:t>
      </w:r>
      <w:r>
        <w:rPr>
          <w:color w:val="231F20"/>
          <w:spacing w:val="-9"/>
        </w:rPr>
        <w:t> </w:t>
      </w:r>
      <w:r>
        <w:rPr>
          <w:color w:val="231F20"/>
        </w:rPr>
        <w:t>3:30,</w:t>
      </w:r>
      <w:r>
        <w:rPr>
          <w:color w:val="231F20"/>
          <w:spacing w:val="-8"/>
        </w:rPr>
        <w:t> </w:t>
      </w:r>
      <w:r>
        <w:rPr>
          <w:color w:val="231F20"/>
        </w:rPr>
        <w:t>§</w:t>
      </w:r>
      <w:r>
        <w:rPr>
          <w:color w:val="231F20"/>
          <w:spacing w:val="-9"/>
        </w:rPr>
        <w:t> </w:t>
      </w:r>
      <w:r>
        <w:rPr>
          <w:color w:val="231F20"/>
        </w:rPr>
        <w:t>1</w:t>
      </w:r>
      <w:r>
        <w:rPr>
          <w:color w:val="231F20"/>
          <w:position w:val="7"/>
          <w:sz w:val="11"/>
        </w:rPr>
        <w:t>er</w:t>
      </w:r>
      <w:r>
        <w:rPr>
          <w:color w:val="231F20"/>
        </w:rPr>
        <w:t>,</w:t>
      </w:r>
      <w:r>
        <w:rPr>
          <w:color w:val="231F20"/>
          <w:spacing w:val="-9"/>
        </w:rPr>
        <w:t> </w:t>
      </w:r>
      <w:r>
        <w:rPr>
          <w:color w:val="231F20"/>
        </w:rPr>
        <w:t>3:32,</w:t>
      </w:r>
      <w:r>
        <w:rPr>
          <w:color w:val="231F20"/>
          <w:spacing w:val="-8"/>
        </w:rPr>
        <w:t> </w:t>
      </w:r>
      <w:r>
        <w:rPr>
          <w:color w:val="231F20"/>
        </w:rPr>
        <w:t>§</w:t>
      </w:r>
      <w:r>
        <w:rPr>
          <w:color w:val="231F20"/>
          <w:spacing w:val="-9"/>
        </w:rPr>
        <w:t> </w:t>
      </w:r>
      <w:r>
        <w:rPr>
          <w:color w:val="231F20"/>
        </w:rPr>
        <w:t>2,</w:t>
      </w:r>
      <w:r>
        <w:rPr>
          <w:color w:val="231F20"/>
          <w:spacing w:val="-9"/>
        </w:rPr>
        <w:t> </w:t>
      </w:r>
      <w:r>
        <w:rPr>
          <w:color w:val="231F20"/>
        </w:rPr>
        <w:t>3:33,</w:t>
      </w:r>
      <w:r>
        <w:rPr>
          <w:color w:val="231F20"/>
          <w:spacing w:val="-8"/>
        </w:rPr>
        <w:t> </w:t>
      </w:r>
      <w:r>
        <w:rPr>
          <w:color w:val="231F20"/>
        </w:rPr>
        <w:t>3:37,</w:t>
      </w:r>
      <w:r>
        <w:rPr>
          <w:color w:val="231F20"/>
          <w:spacing w:val="-9"/>
        </w:rPr>
        <w:t> </w:t>
      </w:r>
      <w:r>
        <w:rPr>
          <w:color w:val="231F20"/>
        </w:rPr>
        <w:t>3:38,</w:t>
      </w:r>
    </w:p>
    <w:p>
      <w:pPr>
        <w:pStyle w:val="BodyText"/>
        <w:spacing w:line="218" w:lineRule="auto" w:before="6"/>
        <w:ind w:right="38" w:hanging="1"/>
      </w:pPr>
      <w:r>
        <w:rPr>
          <w:color w:val="231F20"/>
        </w:rPr>
        <w:t>3:39, 3:40 et 3:81 du Code des sociétés et des associations sont pris sur proposition du ministre qui a l’Économie dans ses attributions et sont également signés par le ministre des Finances, le ministre de la Justice et le ministre qui a les Classes moyennes dans ses attributions.</w:t>
      </w:r>
    </w:p>
    <w:p>
      <w:pPr>
        <w:pStyle w:val="BodyText"/>
        <w:ind w:left="0" w:right="0" w:firstLine="0"/>
        <w:jc w:val="left"/>
        <w:rPr>
          <w:sz w:val="20"/>
        </w:rPr>
      </w:pPr>
    </w:p>
    <w:p>
      <w:pPr>
        <w:pStyle w:val="BodyText"/>
        <w:spacing w:line="218" w:lineRule="auto" w:before="130"/>
        <w:ind w:right="38"/>
      </w:pPr>
      <w:r>
        <w:rPr>
          <w:color w:val="231F20"/>
        </w:rPr>
        <w:t>Les arrêtés royaux d’exécution des articles 8:2 et 8:5 du Code des sociétés et des associations sont pris sur proposition du ministre qui a l’Économie dans ses attributions et sont également signés par le ministre de la Justice.</w:t>
      </w:r>
    </w:p>
    <w:p>
      <w:pPr>
        <w:pStyle w:val="BodyText"/>
        <w:spacing w:before="1"/>
        <w:ind w:left="0" w:right="0" w:firstLine="0"/>
        <w:jc w:val="left"/>
        <w:rPr>
          <w:sz w:val="16"/>
        </w:rPr>
      </w:pPr>
    </w:p>
    <w:p>
      <w:pPr>
        <w:pStyle w:val="BodyText"/>
        <w:spacing w:line="216" w:lineRule="auto"/>
        <w:ind w:right="38"/>
        <w:rPr>
          <w:rFonts w:ascii="Times New Roman" w:hAnsi="Times New Roman"/>
          <w:i/>
        </w:rPr>
      </w:pPr>
      <w:r>
        <w:rPr>
          <w:color w:val="231F20"/>
        </w:rPr>
        <w:t>Promulguons la présente loi, ordonnons qu’elle soit revêtue du sceau de l’Etat et publiée par le </w:t>
      </w:r>
      <w:r>
        <w:rPr>
          <w:rFonts w:ascii="Times New Roman" w:hAnsi="Times New Roman"/>
          <w:i/>
          <w:color w:val="231F20"/>
        </w:rPr>
        <w:t>Moniteur belge.</w:t>
      </w:r>
    </w:p>
    <w:p>
      <w:pPr>
        <w:pStyle w:val="BodyText"/>
        <w:spacing w:before="178"/>
        <w:ind w:left="283" w:right="0" w:firstLine="0"/>
        <w:jc w:val="left"/>
      </w:pPr>
      <w:r>
        <w:rPr>
          <w:color w:val="231F20"/>
        </w:rPr>
        <w:t>Donné à Bruxelles, le 23 mars 2019.</w:t>
      </w:r>
    </w:p>
    <w:p>
      <w:pPr>
        <w:pStyle w:val="BodyText"/>
        <w:spacing w:before="7"/>
        <w:ind w:left="0" w:right="0" w:firstLine="0"/>
        <w:jc w:val="left"/>
        <w:rPr>
          <w:sz w:val="28"/>
        </w:rPr>
      </w:pPr>
    </w:p>
    <w:p>
      <w:pPr>
        <w:pStyle w:val="Heading1"/>
        <w:ind w:left="253"/>
      </w:pPr>
      <w:r>
        <w:rPr>
          <w:color w:val="231F20"/>
        </w:rPr>
        <w:t>PHILIPPE</w:t>
      </w:r>
    </w:p>
    <w:p>
      <w:pPr>
        <w:pStyle w:val="BodyText"/>
        <w:spacing w:before="152"/>
        <w:ind w:left="253" w:right="182" w:firstLine="0"/>
        <w:jc w:val="center"/>
      </w:pPr>
      <w:r>
        <w:rPr>
          <w:color w:val="231F20"/>
        </w:rPr>
        <w:t>Par le Roi</w:t>
      </w:r>
      <w:r>
        <w:rPr>
          <w:color w:val="231F20"/>
          <w:spacing w:val="27"/>
        </w:rPr>
        <w:t> </w:t>
      </w:r>
      <w:r>
        <w:rPr>
          <w:color w:val="231F20"/>
        </w:rPr>
        <w:t>:</w:t>
      </w:r>
    </w:p>
    <w:p>
      <w:pPr>
        <w:pStyle w:val="BodyText"/>
        <w:spacing w:before="10"/>
        <w:ind w:left="0" w:right="0" w:firstLine="0"/>
        <w:jc w:val="left"/>
      </w:pPr>
    </w:p>
    <w:p>
      <w:pPr>
        <w:pStyle w:val="BodyText"/>
        <w:ind w:left="254" w:right="182" w:firstLine="0"/>
        <w:jc w:val="center"/>
      </w:pPr>
      <w:r>
        <w:rPr>
          <w:color w:val="231F20"/>
        </w:rPr>
        <w:t>Le Ministre de l’Emploi, de l’Économie et des Consommateurs,</w:t>
      </w:r>
    </w:p>
    <w:p>
      <w:pPr>
        <w:pStyle w:val="BodyText"/>
        <w:spacing w:before="36"/>
        <w:ind w:left="2325" w:right="0" w:firstLine="0"/>
        <w:jc w:val="left"/>
      </w:pPr>
      <w:r>
        <w:rPr>
          <w:color w:val="231F20"/>
        </w:rPr>
        <w:t>K. PEETERS</w:t>
      </w:r>
    </w:p>
    <w:p>
      <w:pPr>
        <w:pStyle w:val="BodyText"/>
        <w:spacing w:before="89"/>
        <w:ind w:left="254" w:right="182" w:firstLine="0"/>
        <w:jc w:val="center"/>
      </w:pPr>
      <w:r>
        <w:rPr>
          <w:color w:val="231F20"/>
        </w:rPr>
        <w:t>Le Ministre de la Justice,</w:t>
      </w:r>
    </w:p>
    <w:p>
      <w:pPr>
        <w:pStyle w:val="BodyText"/>
        <w:spacing w:before="36"/>
        <w:ind w:left="2402" w:right="0" w:firstLine="0"/>
        <w:jc w:val="left"/>
      </w:pPr>
      <w:r>
        <w:rPr>
          <w:color w:val="231F20"/>
        </w:rPr>
        <w:t>K. GEENS</w:t>
      </w:r>
    </w:p>
    <w:p>
      <w:pPr>
        <w:pStyle w:val="BodyText"/>
        <w:spacing w:before="90"/>
        <w:ind w:left="254" w:right="182" w:firstLine="0"/>
        <w:jc w:val="center"/>
      </w:pPr>
      <w:r>
        <w:rPr>
          <w:color w:val="231F20"/>
        </w:rPr>
        <w:t>Le Ministre des Finances</w:t>
      </w:r>
    </w:p>
    <w:p>
      <w:pPr>
        <w:pStyle w:val="BodyText"/>
        <w:spacing w:before="36"/>
        <w:ind w:left="2285" w:right="0" w:firstLine="0"/>
        <w:jc w:val="left"/>
      </w:pPr>
      <w:r>
        <w:rPr>
          <w:color w:val="231F20"/>
          <w:w w:val="105"/>
        </w:rPr>
        <w:t>A. DE CROO</w:t>
      </w:r>
    </w:p>
    <w:p>
      <w:pPr>
        <w:pStyle w:val="BodyText"/>
        <w:spacing w:before="89"/>
        <w:ind w:left="254" w:right="182" w:firstLine="0"/>
        <w:jc w:val="center"/>
      </w:pPr>
      <w:r>
        <w:rPr>
          <w:color w:val="231F20"/>
        </w:rPr>
        <w:t>Le Ministre des Classes moyennes, des Indépendants et des P.M.E.,</w:t>
      </w:r>
    </w:p>
    <w:p>
      <w:pPr>
        <w:pStyle w:val="BodyText"/>
        <w:spacing w:line="364" w:lineRule="auto" w:before="36"/>
        <w:ind w:left="1825" w:right="1739" w:firstLine="409"/>
        <w:jc w:val="left"/>
      </w:pPr>
      <w:r>
        <w:rPr>
          <w:color w:val="231F20"/>
          <w:w w:val="105"/>
        </w:rPr>
        <w:t>D. DUCARME Scellé</w:t>
      </w:r>
      <w:r>
        <w:rPr>
          <w:color w:val="231F20"/>
          <w:spacing w:val="-6"/>
          <w:w w:val="105"/>
        </w:rPr>
        <w:t> </w:t>
      </w:r>
      <w:r>
        <w:rPr>
          <w:color w:val="231F20"/>
          <w:w w:val="105"/>
        </w:rPr>
        <w:t>du</w:t>
      </w:r>
      <w:r>
        <w:rPr>
          <w:color w:val="231F20"/>
          <w:spacing w:val="-5"/>
          <w:w w:val="105"/>
        </w:rPr>
        <w:t> </w:t>
      </w:r>
      <w:r>
        <w:rPr>
          <w:color w:val="231F20"/>
          <w:w w:val="105"/>
        </w:rPr>
        <w:t>sceau</w:t>
      </w:r>
      <w:r>
        <w:rPr>
          <w:color w:val="231F20"/>
          <w:spacing w:val="-6"/>
          <w:w w:val="105"/>
        </w:rPr>
        <w:t> </w:t>
      </w:r>
      <w:r>
        <w:rPr>
          <w:color w:val="231F20"/>
          <w:w w:val="105"/>
        </w:rPr>
        <w:t>de</w:t>
      </w:r>
      <w:r>
        <w:rPr>
          <w:color w:val="231F20"/>
          <w:spacing w:val="-5"/>
          <w:w w:val="105"/>
        </w:rPr>
        <w:t> </w:t>
      </w:r>
      <w:r>
        <w:rPr>
          <w:color w:val="231F20"/>
          <w:w w:val="105"/>
        </w:rPr>
        <w:t>l’Etat</w:t>
      </w:r>
      <w:r>
        <w:rPr>
          <w:color w:val="231F20"/>
          <w:spacing w:val="-15"/>
          <w:w w:val="105"/>
        </w:rPr>
        <w:t> </w:t>
      </w:r>
      <w:r>
        <w:rPr>
          <w:color w:val="231F20"/>
          <w:w w:val="105"/>
        </w:rPr>
        <w:t>:</w:t>
      </w:r>
    </w:p>
    <w:p>
      <w:pPr>
        <w:pStyle w:val="BodyText"/>
        <w:spacing w:before="79"/>
        <w:ind w:left="254" w:right="182" w:firstLine="0"/>
        <w:jc w:val="center"/>
      </w:pPr>
      <w:r>
        <w:rPr>
          <w:color w:val="231F20"/>
        </w:rPr>
        <w:t>Le Ministre de la</w:t>
      </w:r>
      <w:r>
        <w:rPr>
          <w:color w:val="231F20"/>
          <w:spacing w:val="23"/>
        </w:rPr>
        <w:t> </w:t>
      </w:r>
      <w:r>
        <w:rPr>
          <w:color w:val="231F20"/>
        </w:rPr>
        <w:t>Justice,</w:t>
      </w:r>
    </w:p>
    <w:p>
      <w:pPr>
        <w:pStyle w:val="BodyText"/>
        <w:spacing w:before="9"/>
        <w:ind w:left="0" w:right="0" w:firstLine="0"/>
        <w:jc w:val="left"/>
        <w:rPr>
          <w:sz w:val="15"/>
        </w:rPr>
      </w:pPr>
    </w:p>
    <w:p>
      <w:pPr>
        <w:pStyle w:val="BodyText"/>
        <w:ind w:left="2402" w:right="0" w:firstLine="0"/>
        <w:jc w:val="left"/>
      </w:pPr>
      <w:r>
        <w:rPr>
          <w:color w:val="231F20"/>
        </w:rPr>
        <w:t>K. GEENS</w:t>
      </w:r>
    </w:p>
    <w:p>
      <w:pPr>
        <w:pStyle w:val="BodyText"/>
        <w:spacing w:line="218" w:lineRule="auto" w:before="117"/>
      </w:pPr>
      <w:r>
        <w:rPr/>
        <w:br w:type="column"/>
      </w:r>
      <w:r>
        <w:rPr>
          <w:rFonts w:ascii="Times New Roman" w:hAnsi="Times New Roman"/>
          <w:b/>
          <w:color w:val="231F20"/>
        </w:rPr>
        <w:t>Art. 43. </w:t>
      </w:r>
      <w:r>
        <w:rPr>
          <w:color w:val="231F20"/>
        </w:rPr>
        <w:t>De neerlegging en bewaring van de in de artikelen 2:8 tot  </w:t>
      </w:r>
      <w:r>
        <w:rPr>
          <w:color w:val="231F20"/>
          <w:spacing w:val="-3"/>
        </w:rPr>
        <w:t>2:11 </w:t>
      </w:r>
      <w:r>
        <w:rPr>
          <w:color w:val="231F20"/>
        </w:rPr>
        <w:t>van het </w:t>
      </w:r>
      <w:r>
        <w:rPr>
          <w:color w:val="231F20"/>
          <w:spacing w:val="-3"/>
        </w:rPr>
        <w:t>Wetboek </w:t>
      </w:r>
      <w:r>
        <w:rPr>
          <w:color w:val="231F20"/>
        </w:rPr>
        <w:t>van vennootschappen en verenigingen bedoelde eerste en gecoördineerde versies van de statuten blijft behouden ter </w:t>
      </w:r>
      <w:r>
        <w:rPr>
          <w:color w:val="231F20"/>
          <w:spacing w:val="-4"/>
        </w:rPr>
        <w:t>griffie </w:t>
      </w:r>
      <w:r>
        <w:rPr>
          <w:color w:val="231F20"/>
        </w:rPr>
        <w:t>van de ondernemingsrechtbank in afwachting van het operatio- neel worden van het openbaar raadpleegbaar elektronisch databank- systeem bedoeld in artikel 2:7, § 2, van hetzelfde Wetboek. </w:t>
      </w:r>
      <w:r>
        <w:rPr>
          <w:color w:val="231F20"/>
          <w:spacing w:val="-6"/>
        </w:rPr>
        <w:t>Van </w:t>
      </w:r>
      <w:r>
        <w:rPr>
          <w:color w:val="231F20"/>
        </w:rPr>
        <w:t>zodra ten minste één van beide onderdelen van dat databanksysteem operationeel is, zal de opdracht van de </w:t>
      </w:r>
      <w:r>
        <w:rPr>
          <w:color w:val="231F20"/>
          <w:spacing w:val="-4"/>
        </w:rPr>
        <w:t>griffie </w:t>
      </w:r>
      <w:r>
        <w:rPr>
          <w:color w:val="231F20"/>
        </w:rPr>
        <w:t>een einde nemen voor dat deel</w:t>
      </w:r>
      <w:r>
        <w:rPr>
          <w:color w:val="231F20"/>
          <w:spacing w:val="16"/>
        </w:rPr>
        <w:t> </w:t>
      </w:r>
      <w:r>
        <w:rPr>
          <w:color w:val="231F20"/>
        </w:rPr>
        <w:t>voor</w:t>
      </w:r>
      <w:r>
        <w:rPr>
          <w:color w:val="231F20"/>
          <w:spacing w:val="17"/>
        </w:rPr>
        <w:t> </w:t>
      </w:r>
      <w:r>
        <w:rPr>
          <w:color w:val="231F20"/>
        </w:rPr>
        <w:t>alle</w:t>
      </w:r>
      <w:r>
        <w:rPr>
          <w:color w:val="231F20"/>
          <w:spacing w:val="16"/>
        </w:rPr>
        <w:t> </w:t>
      </w:r>
      <w:r>
        <w:rPr>
          <w:color w:val="231F20"/>
        </w:rPr>
        <w:t>vanaf</w:t>
      </w:r>
      <w:r>
        <w:rPr>
          <w:color w:val="231F20"/>
          <w:spacing w:val="17"/>
        </w:rPr>
        <w:t> </w:t>
      </w:r>
      <w:r>
        <w:rPr>
          <w:color w:val="231F20"/>
        </w:rPr>
        <w:t>die</w:t>
      </w:r>
      <w:r>
        <w:rPr>
          <w:color w:val="231F20"/>
          <w:spacing w:val="17"/>
        </w:rPr>
        <w:t> </w:t>
      </w:r>
      <w:r>
        <w:rPr>
          <w:color w:val="231F20"/>
        </w:rPr>
        <w:t>datum</w:t>
      </w:r>
      <w:r>
        <w:rPr>
          <w:color w:val="231F20"/>
          <w:spacing w:val="16"/>
        </w:rPr>
        <w:t> </w:t>
      </w:r>
      <w:r>
        <w:rPr>
          <w:color w:val="231F20"/>
        </w:rPr>
        <w:t>neergelegde</w:t>
      </w:r>
      <w:r>
        <w:rPr>
          <w:color w:val="231F20"/>
          <w:spacing w:val="17"/>
        </w:rPr>
        <w:t> </w:t>
      </w:r>
      <w:r>
        <w:rPr>
          <w:color w:val="231F20"/>
        </w:rPr>
        <w:t>statuten.</w:t>
      </w:r>
    </w:p>
    <w:p>
      <w:pPr>
        <w:pStyle w:val="BodyText"/>
        <w:spacing w:before="6"/>
        <w:ind w:left="0" w:right="0" w:firstLine="0"/>
        <w:jc w:val="left"/>
        <w:rPr>
          <w:sz w:val="19"/>
        </w:rPr>
      </w:pPr>
    </w:p>
    <w:p>
      <w:pPr>
        <w:pStyle w:val="BodyText"/>
        <w:spacing w:line="218" w:lineRule="auto"/>
      </w:pPr>
      <w:r>
        <w:rPr>
          <w:rFonts w:ascii="Times New Roman" w:hAnsi="Times New Roman"/>
          <w:b/>
          <w:color w:val="231F20"/>
        </w:rPr>
        <w:t>Art. 44. </w:t>
      </w:r>
      <w:r>
        <w:rPr>
          <w:color w:val="231F20"/>
          <w:spacing w:val="-5"/>
        </w:rPr>
        <w:t>Voor </w:t>
      </w:r>
      <w:r>
        <w:rPr>
          <w:color w:val="231F20"/>
        </w:rPr>
        <w:t>de in artikel 2:5 van het </w:t>
      </w:r>
      <w:r>
        <w:rPr>
          <w:color w:val="231F20"/>
          <w:spacing w:val="-3"/>
        </w:rPr>
        <w:t>Wetboek </w:t>
      </w:r>
      <w:r>
        <w:rPr>
          <w:color w:val="231F20"/>
        </w:rPr>
        <w:t>van vennootschappen en</w:t>
      </w:r>
      <w:r>
        <w:rPr>
          <w:color w:val="231F20"/>
          <w:spacing w:val="-4"/>
        </w:rPr>
        <w:t> </w:t>
      </w:r>
      <w:r>
        <w:rPr>
          <w:color w:val="231F20"/>
        </w:rPr>
        <w:t>verenigingen</w:t>
      </w:r>
      <w:r>
        <w:rPr>
          <w:color w:val="231F20"/>
          <w:spacing w:val="-4"/>
        </w:rPr>
        <w:t> </w:t>
      </w:r>
      <w:r>
        <w:rPr>
          <w:color w:val="231F20"/>
        </w:rPr>
        <w:t>bedoelde</w:t>
      </w:r>
      <w:r>
        <w:rPr>
          <w:color w:val="231F20"/>
          <w:spacing w:val="-3"/>
        </w:rPr>
        <w:t> </w:t>
      </w:r>
      <w:r>
        <w:rPr>
          <w:color w:val="231F20"/>
        </w:rPr>
        <w:t>rechtspersonen</w:t>
      </w:r>
      <w:r>
        <w:rPr>
          <w:color w:val="231F20"/>
          <w:spacing w:val="-4"/>
        </w:rPr>
        <w:t> </w:t>
      </w:r>
      <w:r>
        <w:rPr>
          <w:color w:val="231F20"/>
        </w:rPr>
        <w:t>die,</w:t>
      </w:r>
      <w:r>
        <w:rPr>
          <w:color w:val="231F20"/>
          <w:spacing w:val="-4"/>
        </w:rPr>
        <w:t> </w:t>
      </w:r>
      <w:r>
        <w:rPr>
          <w:color w:val="231F20"/>
        </w:rPr>
        <w:t>op</w:t>
      </w:r>
      <w:r>
        <w:rPr>
          <w:color w:val="231F20"/>
          <w:spacing w:val="-3"/>
        </w:rPr>
        <w:t> </w:t>
      </w:r>
      <w:r>
        <w:rPr>
          <w:color w:val="231F20"/>
        </w:rPr>
        <w:t>1</w:t>
      </w:r>
      <w:r>
        <w:rPr>
          <w:color w:val="231F20"/>
          <w:spacing w:val="-4"/>
        </w:rPr>
        <w:t> </w:t>
      </w:r>
      <w:r>
        <w:rPr>
          <w:color w:val="231F20"/>
        </w:rPr>
        <w:t>januari</w:t>
      </w:r>
      <w:r>
        <w:rPr>
          <w:color w:val="231F20"/>
          <w:spacing w:val="-3"/>
        </w:rPr>
        <w:t> </w:t>
      </w:r>
      <w:r>
        <w:rPr>
          <w:color w:val="231F20"/>
        </w:rPr>
        <w:t>2020</w:t>
      </w:r>
      <w:r>
        <w:rPr>
          <w:color w:val="231F20"/>
          <w:spacing w:val="-4"/>
        </w:rPr>
        <w:t> </w:t>
      </w:r>
      <w:r>
        <w:rPr>
          <w:color w:val="231F20"/>
        </w:rPr>
        <w:t>of,</w:t>
      </w:r>
      <w:r>
        <w:rPr>
          <w:color w:val="231F20"/>
          <w:spacing w:val="-4"/>
        </w:rPr>
        <w:t> </w:t>
      </w:r>
      <w:r>
        <w:rPr>
          <w:color w:val="231F20"/>
        </w:rPr>
        <w:t>voor de vennootschappen, verenigingen of stichtingen  die  van  de  in  artikel 39, § 1, tweede lid, bedoelde mogelijkheid hebben gebruik gemaakt, op de datum van de bekendmaking van de in dat lid bedoelde statutenwijziging, het adres waarop de zetel van de rechtspersoon is gevestigd hebben opgenomen in de statuten en daarin bepalen dat de zetel kan worden verplaatst door het bestuursorgaan, wordt de verwijzing naar het adres waarop de zetel van de rechtspersoon is gevestigd van rechtswege gelijkgesteld met een vermelding hiervan buiten de statuten, en wordt het adres waarop de zetel van de rechtspersoon is gevestigd bij de eerstvolgende coördinatie van de statuten daaruit geschrapt en vervangen door de vermelding van het gewest</w:t>
      </w:r>
      <w:r>
        <w:rPr>
          <w:color w:val="231F20"/>
          <w:spacing w:val="18"/>
        </w:rPr>
        <w:t> </w:t>
      </w:r>
      <w:r>
        <w:rPr>
          <w:color w:val="231F20"/>
        </w:rPr>
        <w:t>waarin</w:t>
      </w:r>
      <w:r>
        <w:rPr>
          <w:color w:val="231F20"/>
          <w:spacing w:val="18"/>
        </w:rPr>
        <w:t> </w:t>
      </w:r>
      <w:r>
        <w:rPr>
          <w:color w:val="231F20"/>
        </w:rPr>
        <w:t>de</w:t>
      </w:r>
      <w:r>
        <w:rPr>
          <w:color w:val="231F20"/>
          <w:spacing w:val="18"/>
        </w:rPr>
        <w:t> </w:t>
      </w:r>
      <w:r>
        <w:rPr>
          <w:color w:val="231F20"/>
        </w:rPr>
        <w:t>zetel</w:t>
      </w:r>
      <w:r>
        <w:rPr>
          <w:color w:val="231F20"/>
          <w:spacing w:val="18"/>
        </w:rPr>
        <w:t> </w:t>
      </w:r>
      <w:r>
        <w:rPr>
          <w:color w:val="231F20"/>
        </w:rPr>
        <w:t>van</w:t>
      </w:r>
      <w:r>
        <w:rPr>
          <w:color w:val="231F20"/>
          <w:spacing w:val="19"/>
        </w:rPr>
        <w:t> </w:t>
      </w:r>
      <w:r>
        <w:rPr>
          <w:color w:val="231F20"/>
        </w:rPr>
        <w:t>de</w:t>
      </w:r>
      <w:r>
        <w:rPr>
          <w:color w:val="231F20"/>
          <w:spacing w:val="18"/>
        </w:rPr>
        <w:t> </w:t>
      </w:r>
      <w:r>
        <w:rPr>
          <w:color w:val="231F20"/>
        </w:rPr>
        <w:t>rechtspersoon</w:t>
      </w:r>
      <w:r>
        <w:rPr>
          <w:color w:val="231F20"/>
          <w:spacing w:val="18"/>
        </w:rPr>
        <w:t> </w:t>
      </w:r>
      <w:r>
        <w:rPr>
          <w:color w:val="231F20"/>
        </w:rPr>
        <w:t>is</w:t>
      </w:r>
      <w:r>
        <w:rPr>
          <w:color w:val="231F20"/>
          <w:spacing w:val="18"/>
        </w:rPr>
        <w:t> </w:t>
      </w:r>
      <w:r>
        <w:rPr>
          <w:color w:val="231F20"/>
        </w:rPr>
        <w:t>gevestigd.</w:t>
      </w:r>
    </w:p>
    <w:p>
      <w:pPr>
        <w:pStyle w:val="BodyText"/>
        <w:ind w:left="0" w:right="0" w:firstLine="0"/>
        <w:jc w:val="left"/>
        <w:rPr>
          <w:sz w:val="16"/>
        </w:rPr>
      </w:pPr>
    </w:p>
    <w:p>
      <w:pPr>
        <w:pStyle w:val="BodyText"/>
        <w:spacing w:line="218" w:lineRule="auto"/>
      </w:pPr>
      <w:r>
        <w:rPr>
          <w:color w:val="231F20"/>
          <w:spacing w:val="-5"/>
        </w:rPr>
        <w:t>Voor </w:t>
      </w:r>
      <w:r>
        <w:rPr>
          <w:color w:val="231F20"/>
        </w:rPr>
        <w:t>de in hetzelfde artikel bedoelde rechtspersonen die, op de datum waarop de bepalingen van dit wetboek op hen van toepassing worden, het adres waarop de zetel van de rechtspersoon is gevestigd hebben opgenomen in de statuten zonder daarbij te bepalen dat deze kan worden verplaatst door het bestuursorgaan, vereist elke wijziging van deze vermelding van de zetel een statutenwijziging waarvoor het bestuursorgaan evenwel bevoegd</w:t>
      </w:r>
      <w:r>
        <w:rPr>
          <w:color w:val="231F20"/>
          <w:spacing w:val="7"/>
        </w:rPr>
        <w:t> </w:t>
      </w:r>
      <w:r>
        <w:rPr>
          <w:color w:val="231F20"/>
        </w:rPr>
        <w:t>is.</w:t>
      </w:r>
    </w:p>
    <w:p>
      <w:pPr>
        <w:pStyle w:val="BodyText"/>
        <w:spacing w:before="3"/>
        <w:ind w:left="0" w:right="0" w:firstLine="0"/>
        <w:jc w:val="left"/>
        <w:rPr>
          <w:sz w:val="18"/>
        </w:rPr>
      </w:pPr>
    </w:p>
    <w:p>
      <w:pPr>
        <w:spacing w:before="0"/>
        <w:ind w:left="1275" w:right="0" w:firstLine="0"/>
        <w:jc w:val="left"/>
        <w:rPr>
          <w:sz w:val="17"/>
        </w:rPr>
      </w:pPr>
      <w:r>
        <w:rPr>
          <w:rFonts w:ascii="Times New Roman" w:hAnsi="Times New Roman"/>
          <w:i/>
          <w:color w:val="231F20"/>
          <w:w w:val="105"/>
          <w:sz w:val="17"/>
        </w:rPr>
        <w:t>Afdeling III. </w:t>
      </w:r>
      <w:r>
        <w:rPr>
          <w:i/>
          <w:color w:val="231F20"/>
          <w:w w:val="105"/>
          <w:sz w:val="17"/>
        </w:rPr>
        <w:t>— </w:t>
      </w:r>
      <w:r>
        <w:rPr>
          <w:color w:val="231F20"/>
          <w:w w:val="105"/>
          <w:sz w:val="17"/>
        </w:rPr>
        <w:t>Bevoegdheidstoewijzing.</w:t>
      </w:r>
    </w:p>
    <w:p>
      <w:pPr>
        <w:pStyle w:val="BodyText"/>
        <w:spacing w:line="187" w:lineRule="exact" w:before="172"/>
        <w:ind w:left="283" w:right="0" w:firstLine="0"/>
        <w:jc w:val="left"/>
      </w:pPr>
      <w:r>
        <w:rPr>
          <w:rFonts w:ascii="Times New Roman"/>
          <w:b/>
          <w:color w:val="231F20"/>
        </w:rPr>
        <w:t>Art.  45.  </w:t>
      </w:r>
      <w:r>
        <w:rPr>
          <w:color w:val="231F20"/>
        </w:rPr>
        <w:t>De koninklijke besluiten tot uitvoering van de artikelen</w:t>
      </w:r>
      <w:r>
        <w:rPr>
          <w:color w:val="231F20"/>
          <w:spacing w:val="-14"/>
        </w:rPr>
        <w:t> </w:t>
      </w:r>
      <w:r>
        <w:rPr>
          <w:color w:val="231F20"/>
        </w:rPr>
        <w:t>1:24,</w:t>
      </w:r>
    </w:p>
    <w:p>
      <w:pPr>
        <w:pStyle w:val="BodyText"/>
        <w:spacing w:line="176" w:lineRule="exact"/>
        <w:ind w:right="0" w:firstLine="0"/>
        <w:jc w:val="left"/>
      </w:pPr>
      <w:r>
        <w:rPr>
          <w:color w:val="231F20"/>
        </w:rPr>
        <w:t>§</w:t>
      </w:r>
      <w:r>
        <w:rPr>
          <w:color w:val="231F20"/>
          <w:spacing w:val="-8"/>
        </w:rPr>
        <w:t> </w:t>
      </w:r>
      <w:r>
        <w:rPr>
          <w:color w:val="231F20"/>
        </w:rPr>
        <w:t>8,</w:t>
      </w:r>
      <w:r>
        <w:rPr>
          <w:color w:val="231F20"/>
          <w:spacing w:val="-7"/>
        </w:rPr>
        <w:t> </w:t>
      </w:r>
      <w:r>
        <w:rPr>
          <w:color w:val="231F20"/>
        </w:rPr>
        <w:t>1:26,</w:t>
      </w:r>
      <w:r>
        <w:rPr>
          <w:color w:val="231F20"/>
          <w:spacing w:val="-7"/>
        </w:rPr>
        <w:t> </w:t>
      </w:r>
      <w:r>
        <w:rPr>
          <w:color w:val="231F20"/>
        </w:rPr>
        <w:t>§</w:t>
      </w:r>
      <w:r>
        <w:rPr>
          <w:color w:val="231F20"/>
          <w:spacing w:val="-7"/>
        </w:rPr>
        <w:t> </w:t>
      </w:r>
      <w:r>
        <w:rPr>
          <w:color w:val="231F20"/>
        </w:rPr>
        <w:t>4,</w:t>
      </w:r>
      <w:r>
        <w:rPr>
          <w:color w:val="231F20"/>
          <w:spacing w:val="-7"/>
        </w:rPr>
        <w:t> </w:t>
      </w:r>
      <w:r>
        <w:rPr>
          <w:color w:val="231F20"/>
        </w:rPr>
        <w:t>3:1,</w:t>
      </w:r>
      <w:r>
        <w:rPr>
          <w:color w:val="231F20"/>
          <w:spacing w:val="-7"/>
        </w:rPr>
        <w:t> </w:t>
      </w:r>
      <w:r>
        <w:rPr>
          <w:color w:val="231F20"/>
        </w:rPr>
        <w:t>§</w:t>
      </w:r>
      <w:r>
        <w:rPr>
          <w:color w:val="231F20"/>
          <w:spacing w:val="-7"/>
        </w:rPr>
        <w:t> </w:t>
      </w:r>
      <w:r>
        <w:rPr>
          <w:color w:val="231F20"/>
        </w:rPr>
        <w:t>1,</w:t>
      </w:r>
      <w:r>
        <w:rPr>
          <w:color w:val="231F20"/>
          <w:spacing w:val="-7"/>
        </w:rPr>
        <w:t> </w:t>
      </w:r>
      <w:r>
        <w:rPr>
          <w:color w:val="231F20"/>
        </w:rPr>
        <w:t>3:2,</w:t>
      </w:r>
      <w:r>
        <w:rPr>
          <w:color w:val="231F20"/>
          <w:spacing w:val="-7"/>
        </w:rPr>
        <w:t> </w:t>
      </w:r>
      <w:r>
        <w:rPr>
          <w:color w:val="231F20"/>
        </w:rPr>
        <w:t>3:3,</w:t>
      </w:r>
      <w:r>
        <w:rPr>
          <w:color w:val="231F20"/>
          <w:spacing w:val="-7"/>
        </w:rPr>
        <w:t> </w:t>
      </w:r>
      <w:r>
        <w:rPr>
          <w:color w:val="231F20"/>
        </w:rPr>
        <w:t>3:6,</w:t>
      </w:r>
      <w:r>
        <w:rPr>
          <w:color w:val="231F20"/>
          <w:spacing w:val="-7"/>
        </w:rPr>
        <w:t> </w:t>
      </w:r>
      <w:r>
        <w:rPr>
          <w:color w:val="231F20"/>
        </w:rPr>
        <w:t>§</w:t>
      </w:r>
      <w:r>
        <w:rPr>
          <w:color w:val="231F20"/>
          <w:spacing w:val="-7"/>
        </w:rPr>
        <w:t> </w:t>
      </w:r>
      <w:r>
        <w:rPr>
          <w:color w:val="231F20"/>
        </w:rPr>
        <w:t>4,</w:t>
      </w:r>
      <w:r>
        <w:rPr>
          <w:color w:val="231F20"/>
          <w:spacing w:val="-7"/>
        </w:rPr>
        <w:t> </w:t>
      </w:r>
      <w:r>
        <w:rPr>
          <w:color w:val="231F20"/>
        </w:rPr>
        <w:t>3:8,</w:t>
      </w:r>
      <w:r>
        <w:rPr>
          <w:color w:val="231F20"/>
          <w:spacing w:val="-7"/>
        </w:rPr>
        <w:t> </w:t>
      </w:r>
      <w:r>
        <w:rPr>
          <w:color w:val="231F20"/>
        </w:rPr>
        <w:t>3:29,</w:t>
      </w:r>
      <w:r>
        <w:rPr>
          <w:color w:val="231F20"/>
          <w:spacing w:val="-7"/>
        </w:rPr>
        <w:t> </w:t>
      </w:r>
      <w:r>
        <w:rPr>
          <w:color w:val="231F20"/>
        </w:rPr>
        <w:t>3:30,</w:t>
      </w:r>
      <w:r>
        <w:rPr>
          <w:color w:val="231F20"/>
          <w:spacing w:val="-7"/>
        </w:rPr>
        <w:t> </w:t>
      </w:r>
      <w:r>
        <w:rPr>
          <w:color w:val="231F20"/>
        </w:rPr>
        <w:t>§</w:t>
      </w:r>
      <w:r>
        <w:rPr>
          <w:color w:val="231F20"/>
          <w:spacing w:val="-7"/>
        </w:rPr>
        <w:t> </w:t>
      </w:r>
      <w:r>
        <w:rPr>
          <w:color w:val="231F20"/>
        </w:rPr>
        <w:t>1,</w:t>
      </w:r>
      <w:r>
        <w:rPr>
          <w:color w:val="231F20"/>
          <w:spacing w:val="-7"/>
        </w:rPr>
        <w:t> </w:t>
      </w:r>
      <w:r>
        <w:rPr>
          <w:color w:val="231F20"/>
        </w:rPr>
        <w:t>3:32,</w:t>
      </w:r>
      <w:r>
        <w:rPr>
          <w:color w:val="231F20"/>
          <w:spacing w:val="-7"/>
        </w:rPr>
        <w:t> </w:t>
      </w:r>
      <w:r>
        <w:rPr>
          <w:color w:val="231F20"/>
        </w:rPr>
        <w:t>§</w:t>
      </w:r>
      <w:r>
        <w:rPr>
          <w:color w:val="231F20"/>
          <w:spacing w:val="-7"/>
        </w:rPr>
        <w:t> </w:t>
      </w:r>
      <w:r>
        <w:rPr>
          <w:color w:val="231F20"/>
        </w:rPr>
        <w:t>2,</w:t>
      </w:r>
      <w:r>
        <w:rPr>
          <w:color w:val="231F20"/>
          <w:spacing w:val="-7"/>
        </w:rPr>
        <w:t> </w:t>
      </w:r>
      <w:r>
        <w:rPr>
          <w:color w:val="231F20"/>
        </w:rPr>
        <w:t>3:33,</w:t>
      </w:r>
    </w:p>
    <w:p>
      <w:pPr>
        <w:pStyle w:val="BodyText"/>
        <w:spacing w:line="218" w:lineRule="auto" w:before="6"/>
        <w:ind w:firstLine="0"/>
      </w:pPr>
      <w:r>
        <w:rPr>
          <w:color w:val="231F20"/>
        </w:rPr>
        <w:t>3:37, 3:38, 3:39, 3:40 en 3:81 van het </w:t>
      </w:r>
      <w:r>
        <w:rPr>
          <w:color w:val="231F20"/>
          <w:spacing w:val="-3"/>
        </w:rPr>
        <w:t>Wetboek </w:t>
      </w:r>
      <w:r>
        <w:rPr>
          <w:color w:val="231F20"/>
        </w:rPr>
        <w:t>van vennootschappen en verenigingen worden genomen op voorstel van de minister bevoegd voor Economie en worden eveneens getekend door de minister van Financiën, de minister van Justitie en de minister bevoegd voor Middenstand.</w:t>
      </w:r>
    </w:p>
    <w:p>
      <w:pPr>
        <w:pStyle w:val="BodyText"/>
        <w:spacing w:before="11"/>
        <w:ind w:left="0" w:right="0" w:firstLine="0"/>
        <w:jc w:val="left"/>
        <w:rPr>
          <w:sz w:val="15"/>
        </w:rPr>
      </w:pPr>
    </w:p>
    <w:p>
      <w:pPr>
        <w:pStyle w:val="BodyText"/>
        <w:spacing w:line="218" w:lineRule="auto"/>
      </w:pPr>
      <w:r>
        <w:rPr>
          <w:color w:val="231F20"/>
        </w:rPr>
        <w:t>De</w:t>
      </w:r>
      <w:r>
        <w:rPr>
          <w:color w:val="231F20"/>
          <w:spacing w:val="-4"/>
        </w:rPr>
        <w:t> </w:t>
      </w:r>
      <w:r>
        <w:rPr>
          <w:color w:val="231F20"/>
        </w:rPr>
        <w:t>koninklijke</w:t>
      </w:r>
      <w:r>
        <w:rPr>
          <w:color w:val="231F20"/>
          <w:spacing w:val="-3"/>
        </w:rPr>
        <w:t> </w:t>
      </w:r>
      <w:r>
        <w:rPr>
          <w:color w:val="231F20"/>
        </w:rPr>
        <w:t>besluiten</w:t>
      </w:r>
      <w:r>
        <w:rPr>
          <w:color w:val="231F20"/>
          <w:spacing w:val="-4"/>
        </w:rPr>
        <w:t> </w:t>
      </w:r>
      <w:r>
        <w:rPr>
          <w:color w:val="231F20"/>
        </w:rPr>
        <w:t>tot</w:t>
      </w:r>
      <w:r>
        <w:rPr>
          <w:color w:val="231F20"/>
          <w:spacing w:val="-3"/>
        </w:rPr>
        <w:t> </w:t>
      </w:r>
      <w:r>
        <w:rPr>
          <w:color w:val="231F20"/>
        </w:rPr>
        <w:t>uitvoering</w:t>
      </w:r>
      <w:r>
        <w:rPr>
          <w:color w:val="231F20"/>
          <w:spacing w:val="-4"/>
        </w:rPr>
        <w:t> </w:t>
      </w:r>
      <w:r>
        <w:rPr>
          <w:color w:val="231F20"/>
        </w:rPr>
        <w:t>van</w:t>
      </w:r>
      <w:r>
        <w:rPr>
          <w:color w:val="231F20"/>
          <w:spacing w:val="-3"/>
        </w:rPr>
        <w:t> </w:t>
      </w:r>
      <w:r>
        <w:rPr>
          <w:color w:val="231F20"/>
        </w:rPr>
        <w:t>de</w:t>
      </w:r>
      <w:r>
        <w:rPr>
          <w:color w:val="231F20"/>
          <w:spacing w:val="-4"/>
        </w:rPr>
        <w:t> </w:t>
      </w:r>
      <w:r>
        <w:rPr>
          <w:color w:val="231F20"/>
        </w:rPr>
        <w:t>artikelen</w:t>
      </w:r>
      <w:r>
        <w:rPr>
          <w:color w:val="231F20"/>
          <w:spacing w:val="-3"/>
        </w:rPr>
        <w:t> </w:t>
      </w:r>
      <w:r>
        <w:rPr>
          <w:color w:val="231F20"/>
        </w:rPr>
        <w:t>8:2</w:t>
      </w:r>
      <w:r>
        <w:rPr>
          <w:color w:val="231F20"/>
          <w:spacing w:val="-4"/>
        </w:rPr>
        <w:t> </w:t>
      </w:r>
      <w:r>
        <w:rPr>
          <w:color w:val="231F20"/>
        </w:rPr>
        <w:t>en</w:t>
      </w:r>
      <w:r>
        <w:rPr>
          <w:color w:val="231F20"/>
          <w:spacing w:val="-3"/>
        </w:rPr>
        <w:t> </w:t>
      </w:r>
      <w:r>
        <w:rPr>
          <w:color w:val="231F20"/>
        </w:rPr>
        <w:t>8:5</w:t>
      </w:r>
      <w:r>
        <w:rPr>
          <w:color w:val="231F20"/>
          <w:spacing w:val="-4"/>
        </w:rPr>
        <w:t> </w:t>
      </w:r>
      <w:r>
        <w:rPr>
          <w:color w:val="231F20"/>
        </w:rPr>
        <w:t>van het </w:t>
      </w:r>
      <w:r>
        <w:rPr>
          <w:color w:val="231F20"/>
          <w:spacing w:val="-3"/>
        </w:rPr>
        <w:t>Wetboek </w:t>
      </w:r>
      <w:r>
        <w:rPr>
          <w:color w:val="231F20"/>
        </w:rPr>
        <w:t>van vennootschappen en verenigingen worden genomen op voorstel van de minister bevoegd voor Economie en worden eveneens</w:t>
      </w:r>
      <w:r>
        <w:rPr>
          <w:color w:val="231F20"/>
          <w:spacing w:val="14"/>
        </w:rPr>
        <w:t> </w:t>
      </w:r>
      <w:r>
        <w:rPr>
          <w:color w:val="231F20"/>
        </w:rPr>
        <w:t>getekend</w:t>
      </w:r>
      <w:r>
        <w:rPr>
          <w:color w:val="231F20"/>
          <w:spacing w:val="15"/>
        </w:rPr>
        <w:t> </w:t>
      </w:r>
      <w:r>
        <w:rPr>
          <w:color w:val="231F20"/>
        </w:rPr>
        <w:t>door</w:t>
      </w:r>
      <w:r>
        <w:rPr>
          <w:color w:val="231F20"/>
          <w:spacing w:val="15"/>
        </w:rPr>
        <w:t> </w:t>
      </w:r>
      <w:r>
        <w:rPr>
          <w:color w:val="231F20"/>
        </w:rPr>
        <w:t>de</w:t>
      </w:r>
      <w:r>
        <w:rPr>
          <w:color w:val="231F20"/>
          <w:spacing w:val="15"/>
        </w:rPr>
        <w:t> </w:t>
      </w:r>
      <w:r>
        <w:rPr>
          <w:color w:val="231F20"/>
        </w:rPr>
        <w:t>minister</w:t>
      </w:r>
      <w:r>
        <w:rPr>
          <w:color w:val="231F20"/>
          <w:spacing w:val="15"/>
        </w:rPr>
        <w:t> </w:t>
      </w:r>
      <w:r>
        <w:rPr>
          <w:color w:val="231F20"/>
        </w:rPr>
        <w:t>van</w:t>
      </w:r>
      <w:r>
        <w:rPr>
          <w:color w:val="231F20"/>
          <w:spacing w:val="15"/>
        </w:rPr>
        <w:t> </w:t>
      </w:r>
      <w:r>
        <w:rPr>
          <w:color w:val="231F20"/>
        </w:rPr>
        <w:t>Justitie.</w:t>
      </w:r>
    </w:p>
    <w:p>
      <w:pPr>
        <w:pStyle w:val="BodyText"/>
        <w:spacing w:before="1"/>
        <w:ind w:left="0" w:right="0" w:firstLine="0"/>
        <w:jc w:val="left"/>
        <w:rPr>
          <w:sz w:val="16"/>
        </w:rPr>
      </w:pPr>
    </w:p>
    <w:p>
      <w:pPr>
        <w:pStyle w:val="BodyText"/>
        <w:spacing w:line="216" w:lineRule="auto"/>
        <w:ind w:right="125"/>
      </w:pPr>
      <w:r>
        <w:rPr>
          <w:color w:val="231F20"/>
        </w:rPr>
        <w:t>Kondigen deze wet af, bevelen dat zij met ’s Lands zegel zal worden bekleed en door het </w:t>
      </w:r>
      <w:r>
        <w:rPr>
          <w:rFonts w:ascii="Times New Roman" w:hAnsi="Times New Roman"/>
          <w:i/>
          <w:color w:val="231F20"/>
        </w:rPr>
        <w:t>Belgisch Staatsblad </w:t>
      </w:r>
      <w:r>
        <w:rPr>
          <w:color w:val="231F20"/>
        </w:rPr>
        <w:t>zal worden bekendgemaakt.</w:t>
      </w:r>
    </w:p>
    <w:p>
      <w:pPr>
        <w:pStyle w:val="BodyText"/>
        <w:spacing w:before="178"/>
        <w:ind w:left="283" w:right="0" w:firstLine="0"/>
        <w:jc w:val="left"/>
      </w:pPr>
      <w:r>
        <w:rPr>
          <w:color w:val="231F20"/>
        </w:rPr>
        <w:t>Gegeven te Brussel, 23 maart 2019.</w:t>
      </w:r>
    </w:p>
    <w:p>
      <w:pPr>
        <w:pStyle w:val="BodyText"/>
        <w:spacing w:before="7"/>
        <w:ind w:left="0" w:right="0" w:firstLine="0"/>
        <w:jc w:val="left"/>
        <w:rPr>
          <w:sz w:val="28"/>
        </w:rPr>
      </w:pPr>
    </w:p>
    <w:p>
      <w:pPr>
        <w:pStyle w:val="Heading1"/>
        <w:ind w:right="208"/>
      </w:pPr>
      <w:r>
        <w:rPr>
          <w:color w:val="231F20"/>
        </w:rPr>
        <w:t>FILIP</w:t>
      </w:r>
    </w:p>
    <w:p>
      <w:pPr>
        <w:pStyle w:val="BodyText"/>
        <w:spacing w:before="152"/>
        <w:ind w:left="196" w:right="208" w:firstLine="0"/>
        <w:jc w:val="center"/>
      </w:pPr>
      <w:r>
        <w:rPr>
          <w:color w:val="231F20"/>
        </w:rPr>
        <w:t>Van  Koningswege :</w:t>
      </w:r>
    </w:p>
    <w:p>
      <w:pPr>
        <w:pStyle w:val="BodyText"/>
        <w:spacing w:before="10"/>
        <w:ind w:left="0" w:right="0" w:firstLine="0"/>
        <w:jc w:val="left"/>
      </w:pPr>
    </w:p>
    <w:p>
      <w:pPr>
        <w:pStyle w:val="BodyText"/>
        <w:ind w:left="197" w:right="208" w:firstLine="0"/>
        <w:jc w:val="center"/>
      </w:pPr>
      <w:r>
        <w:rPr>
          <w:color w:val="231F20"/>
        </w:rPr>
        <w:t>De Minister van Werk, Economie en Consumenten,</w:t>
      </w:r>
    </w:p>
    <w:p>
      <w:pPr>
        <w:pStyle w:val="BodyText"/>
        <w:spacing w:before="36"/>
        <w:ind w:left="2325" w:right="0" w:firstLine="0"/>
        <w:jc w:val="left"/>
      </w:pPr>
      <w:r>
        <w:rPr>
          <w:color w:val="231F20"/>
        </w:rPr>
        <w:t>K. PEETERS</w:t>
      </w:r>
    </w:p>
    <w:p>
      <w:pPr>
        <w:pStyle w:val="BodyText"/>
        <w:spacing w:before="90"/>
        <w:ind w:left="197" w:right="208" w:firstLine="0"/>
        <w:jc w:val="center"/>
      </w:pPr>
      <w:r>
        <w:rPr>
          <w:color w:val="231F20"/>
        </w:rPr>
        <w:t>De Minister van  Justitie,</w:t>
      </w:r>
    </w:p>
    <w:p>
      <w:pPr>
        <w:pStyle w:val="BodyText"/>
        <w:spacing w:before="36"/>
        <w:ind w:left="2402" w:right="0" w:firstLine="0"/>
        <w:jc w:val="left"/>
      </w:pPr>
      <w:r>
        <w:rPr>
          <w:color w:val="231F20"/>
        </w:rPr>
        <w:t>K. GEENS</w:t>
      </w:r>
    </w:p>
    <w:p>
      <w:pPr>
        <w:pStyle w:val="BodyText"/>
        <w:spacing w:before="89"/>
        <w:ind w:left="197" w:right="208" w:firstLine="0"/>
        <w:jc w:val="center"/>
      </w:pPr>
      <w:r>
        <w:rPr>
          <w:color w:val="231F20"/>
        </w:rPr>
        <w:t>De Minister van Financiën,</w:t>
      </w:r>
    </w:p>
    <w:p>
      <w:pPr>
        <w:pStyle w:val="BodyText"/>
        <w:spacing w:before="36"/>
        <w:ind w:left="2285" w:right="0" w:firstLine="0"/>
        <w:jc w:val="left"/>
      </w:pPr>
      <w:r>
        <w:rPr>
          <w:color w:val="231F20"/>
          <w:w w:val="105"/>
        </w:rPr>
        <w:t>A. DE CROO</w:t>
      </w:r>
    </w:p>
    <w:p>
      <w:pPr>
        <w:pStyle w:val="BodyText"/>
        <w:spacing w:before="89"/>
        <w:ind w:left="197" w:right="208" w:firstLine="0"/>
        <w:jc w:val="center"/>
      </w:pPr>
      <w:r>
        <w:rPr>
          <w:color w:val="231F20"/>
        </w:rPr>
        <w:t>De Minister van Middenstand, Zelfstandigen, K.M.O.’s,</w:t>
      </w:r>
    </w:p>
    <w:p>
      <w:pPr>
        <w:pStyle w:val="BodyText"/>
        <w:spacing w:before="36"/>
        <w:ind w:left="2234" w:right="0" w:firstLine="0"/>
        <w:jc w:val="left"/>
      </w:pPr>
      <w:r>
        <w:rPr>
          <w:color w:val="231F20"/>
        </w:rPr>
        <w:t>D. DUCARME</w:t>
      </w:r>
    </w:p>
    <w:p>
      <w:pPr>
        <w:pStyle w:val="BodyText"/>
        <w:spacing w:line="463" w:lineRule="auto" w:before="100"/>
        <w:ind w:left="1707" w:right="1719" w:firstLine="0"/>
        <w:jc w:val="center"/>
      </w:pPr>
      <w:r>
        <w:rPr>
          <w:color w:val="231F20"/>
        </w:rPr>
        <w:t>Met ’s Lands zegel gezegeld : De Minister van Justitie,</w:t>
      </w:r>
    </w:p>
    <w:p>
      <w:pPr>
        <w:pStyle w:val="BodyText"/>
        <w:spacing w:before="1"/>
        <w:ind w:left="2402" w:right="0" w:firstLine="0"/>
        <w:jc w:val="left"/>
      </w:pPr>
      <w:r>
        <w:rPr>
          <w:color w:val="231F20"/>
        </w:rPr>
        <w:t>K. GEENS</w:t>
      </w:r>
    </w:p>
    <w:p>
      <w:pPr>
        <w:spacing w:after="0"/>
        <w:jc w:val="left"/>
        <w:sectPr>
          <w:headerReference w:type="even" r:id="rId123"/>
          <w:pgSz w:w="11940" w:h="16880"/>
          <w:pgMar w:header="666" w:footer="0" w:top="1140" w:bottom="280" w:left="340" w:right="360"/>
          <w:cols w:num="2" w:equalWidth="0">
            <w:col w:w="5527" w:space="101"/>
            <w:col w:w="5612"/>
          </w:cols>
        </w:sectPr>
      </w:pPr>
    </w:p>
    <w:p>
      <w:pPr>
        <w:pStyle w:val="BodyText"/>
        <w:ind w:left="0" w:right="0" w:firstLine="0"/>
        <w:jc w:val="left"/>
        <w:rPr>
          <w:sz w:val="20"/>
        </w:rPr>
      </w:pPr>
    </w:p>
    <w:p>
      <w:pPr>
        <w:pStyle w:val="BodyText"/>
        <w:spacing w:before="9"/>
        <w:ind w:left="0" w:right="0" w:firstLine="0"/>
        <w:jc w:val="left"/>
        <w:rPr>
          <w:sz w:val="11"/>
        </w:rPr>
      </w:pPr>
    </w:p>
    <w:p>
      <w:pPr>
        <w:tabs>
          <w:tab w:pos="8164" w:val="left" w:leader="none"/>
        </w:tabs>
        <w:spacing w:line="20" w:lineRule="exact"/>
        <w:ind w:left="2537" w:right="0" w:firstLine="0"/>
        <w:rPr>
          <w:sz w:val="2"/>
        </w:rPr>
      </w:pPr>
      <w:r>
        <w:rPr>
          <w:sz w:val="2"/>
        </w:rPr>
        <w:pict>
          <v:group style="width:25.6pt;height:.550pt;mso-position-horizontal-relative:char;mso-position-vertical-relative:line" coordorigin="0,0" coordsize="512,11">
            <v:line style="position:absolute" from="0,5" to="512,5" stroked="true" strokeweight=".533pt" strokecolor="#231f20">
              <v:stroke dashstyle="solid"/>
            </v:line>
          </v:group>
        </w:pict>
      </w:r>
      <w:r>
        <w:rPr>
          <w:sz w:val="2"/>
        </w:rPr>
      </w:r>
      <w:r>
        <w:rPr>
          <w:sz w:val="2"/>
        </w:rPr>
        <w:tab/>
      </w:r>
      <w:r>
        <w:rPr>
          <w:sz w:val="2"/>
        </w:rPr>
        <w:pict>
          <v:group style="width:25.6pt;height:.550pt;mso-position-horizontal-relative:char;mso-position-vertical-relative:line" coordorigin="0,0" coordsize="512,11">
            <v:line style="position:absolute" from="0,5" to="512,5" stroked="true" strokeweight=".533pt" strokecolor="#231f20">
              <v:stroke dashstyle="solid"/>
            </v:line>
          </v:group>
        </w:pict>
      </w:r>
      <w:r>
        <w:rPr>
          <w:sz w:val="2"/>
        </w:rPr>
      </w:r>
    </w:p>
    <w:p>
      <w:pPr>
        <w:spacing w:after="0" w:line="20" w:lineRule="exact"/>
        <w:rPr>
          <w:sz w:val="2"/>
        </w:rPr>
        <w:sectPr>
          <w:type w:val="continuous"/>
          <w:pgSz w:w="11940" w:h="16880"/>
          <w:pgMar w:top="1140" w:bottom="280" w:left="340" w:right="360"/>
        </w:sectPr>
      </w:pPr>
    </w:p>
    <w:p>
      <w:pPr>
        <w:pStyle w:val="BodyText"/>
        <w:ind w:left="0" w:right="0" w:firstLine="0"/>
        <w:jc w:val="left"/>
        <w:rPr>
          <w:sz w:val="20"/>
        </w:rPr>
      </w:pPr>
    </w:p>
    <w:p>
      <w:pPr>
        <w:spacing w:line="278" w:lineRule="auto" w:before="138"/>
        <w:ind w:left="283" w:right="-7" w:firstLine="0"/>
        <w:jc w:val="left"/>
        <w:rPr>
          <w:sz w:val="17"/>
        </w:rPr>
      </w:pPr>
      <w:r>
        <w:rPr>
          <w:color w:val="231F20"/>
          <w:sz w:val="17"/>
        </w:rPr>
        <w:t>(1) </w:t>
      </w:r>
      <w:r>
        <w:rPr>
          <w:rFonts w:ascii="Times New Roman" w:hAnsi="Times New Roman"/>
          <w:i/>
          <w:color w:val="231F20"/>
          <w:sz w:val="17"/>
        </w:rPr>
        <w:t>Chambre des repr</w:t>
      </w:r>
      <w:r>
        <w:rPr>
          <w:i/>
          <w:color w:val="231F20"/>
          <w:sz w:val="17"/>
        </w:rPr>
        <w:t>é</w:t>
      </w:r>
      <w:r>
        <w:rPr>
          <w:rFonts w:ascii="Times New Roman" w:hAnsi="Times New Roman"/>
          <w:i/>
          <w:color w:val="231F20"/>
          <w:sz w:val="17"/>
        </w:rPr>
        <w:t>sentants </w:t>
      </w:r>
      <w:r>
        <w:rPr>
          <w:color w:val="231F20"/>
          <w:sz w:val="17"/>
        </w:rPr>
        <w:t>(</w:t>
      </w:r>
      <w:r>
        <w:rPr>
          <w:color w:val="231F20"/>
          <w:sz w:val="17"/>
          <w:u w:val="single" w:color="231F20"/>
        </w:rPr>
        <w:t>www.lachambre.be</w:t>
      </w:r>
      <w:r>
        <w:rPr>
          <w:color w:val="231F20"/>
          <w:sz w:val="17"/>
        </w:rPr>
        <w:t>) Documents : 54 3119.</w:t>
      </w:r>
    </w:p>
    <w:p>
      <w:pPr>
        <w:pStyle w:val="BodyText"/>
        <w:spacing w:before="86"/>
        <w:ind w:left="160" w:right="0" w:firstLine="0"/>
        <w:jc w:val="left"/>
      </w:pPr>
      <w:r>
        <w:rPr/>
        <w:br w:type="column"/>
      </w:r>
      <w:r>
        <w:rPr>
          <w:color w:val="231F20"/>
          <w:w w:val="105"/>
        </w:rPr>
        <w:t>Note</w:t>
      </w:r>
    </w:p>
    <w:p>
      <w:pPr>
        <w:pStyle w:val="BodyText"/>
        <w:spacing w:before="86"/>
        <w:ind w:left="2611" w:right="0" w:firstLine="0"/>
        <w:jc w:val="left"/>
      </w:pPr>
      <w:r>
        <w:rPr/>
        <w:br w:type="column"/>
      </w:r>
      <w:r>
        <w:rPr>
          <w:color w:val="231F20"/>
          <w:w w:val="105"/>
        </w:rPr>
        <w:t>Nota</w:t>
      </w:r>
    </w:p>
    <w:p>
      <w:pPr>
        <w:spacing w:before="86"/>
        <w:ind w:left="283" w:right="0" w:firstLine="0"/>
        <w:jc w:val="left"/>
        <w:rPr>
          <w:rFonts w:ascii="Times New Roman"/>
          <w:i/>
          <w:sz w:val="17"/>
        </w:rPr>
      </w:pPr>
      <w:r>
        <w:rPr>
          <w:color w:val="231F20"/>
          <w:sz w:val="17"/>
        </w:rPr>
        <w:t>(1) </w:t>
      </w:r>
      <w:r>
        <w:rPr>
          <w:rFonts w:ascii="Times New Roman"/>
          <w:i/>
          <w:color w:val="231F20"/>
          <w:sz w:val="17"/>
        </w:rPr>
        <w:t>Kamer van</w:t>
      </w:r>
      <w:r>
        <w:rPr>
          <w:rFonts w:ascii="Times New Roman"/>
          <w:i/>
          <w:color w:val="231F20"/>
          <w:spacing w:val="30"/>
          <w:sz w:val="17"/>
        </w:rPr>
        <w:t> </w:t>
      </w:r>
      <w:r>
        <w:rPr>
          <w:rFonts w:ascii="Times New Roman"/>
          <w:i/>
          <w:color w:val="231F20"/>
          <w:sz w:val="17"/>
        </w:rPr>
        <w:t>volksvertegenwoordigers</w:t>
      </w:r>
    </w:p>
    <w:p>
      <w:pPr>
        <w:pStyle w:val="BodyText"/>
        <w:spacing w:line="278" w:lineRule="auto" w:before="31"/>
        <w:ind w:left="283" w:right="3878" w:firstLine="0"/>
        <w:jc w:val="left"/>
      </w:pPr>
      <w:r>
        <w:rPr>
          <w:color w:val="231F20"/>
        </w:rPr>
        <w:t>(</w:t>
      </w:r>
      <w:r>
        <w:rPr>
          <w:color w:val="231F20"/>
          <w:u w:val="single" w:color="231F20"/>
        </w:rPr>
        <w:t>www.dekamer.be</w:t>
      </w:r>
      <w:r>
        <w:rPr>
          <w:color w:val="231F20"/>
        </w:rPr>
        <w:t>) Stukken: 54 3119.</w:t>
      </w:r>
    </w:p>
    <w:p>
      <w:pPr>
        <w:spacing w:after="0" w:line="278" w:lineRule="auto"/>
        <w:jc w:val="left"/>
        <w:sectPr>
          <w:type w:val="continuous"/>
          <w:pgSz w:w="11940" w:h="16880"/>
          <w:pgMar w:top="1140" w:bottom="280" w:left="340" w:right="360"/>
          <w:cols w:num="3" w:equalWidth="0">
            <w:col w:w="2413" w:space="40"/>
            <w:col w:w="574" w:space="2601"/>
            <w:col w:w="5612"/>
          </w:cols>
        </w:sectPr>
      </w:pPr>
    </w:p>
    <w:p>
      <w:pPr>
        <w:pStyle w:val="BodyText"/>
        <w:tabs>
          <w:tab w:pos="5911" w:val="left" w:leader="none"/>
        </w:tabs>
        <w:spacing w:line="192" w:lineRule="exact"/>
        <w:ind w:left="283" w:right="0" w:firstLine="0"/>
        <w:jc w:val="left"/>
      </w:pPr>
      <w:r>
        <w:rPr/>
        <w:pict>
          <v:line style="position:absolute;mso-position-horizontal-relative:page;mso-position-vertical-relative:page;z-index:-387640" from="298.170502pt,64.473pt" to="298.170502pt,812.819pt" stroked="true" strokeweight=".533pt" strokecolor="#231f20">
            <v:stroke dashstyle="solid"/>
            <w10:wrap type="none"/>
          </v:line>
        </w:pict>
      </w:r>
      <w:r>
        <w:rPr>
          <w:color w:val="231F20"/>
        </w:rPr>
        <w:t>Compte rendu intégral : 28 </w:t>
      </w:r>
      <w:r>
        <w:rPr>
          <w:color w:val="231F20"/>
          <w:spacing w:val="3"/>
        </w:rPr>
        <w:t> </w:t>
      </w:r>
      <w:r>
        <w:rPr>
          <w:color w:val="231F20"/>
        </w:rPr>
        <w:t>février</w:t>
      </w:r>
      <w:r>
        <w:rPr>
          <w:color w:val="231F20"/>
          <w:spacing w:val="11"/>
        </w:rPr>
        <w:t> </w:t>
      </w:r>
      <w:r>
        <w:rPr>
          <w:color w:val="231F20"/>
        </w:rPr>
        <w:t>2019.</w:t>
        <w:tab/>
        <w:t>Integraal </w:t>
      </w:r>
      <w:r>
        <w:rPr>
          <w:color w:val="231F20"/>
          <w:spacing w:val="-3"/>
        </w:rPr>
        <w:t>Verslag: </w:t>
      </w:r>
      <w:r>
        <w:rPr>
          <w:color w:val="231F20"/>
        </w:rPr>
        <w:t>28 februari</w:t>
      </w:r>
      <w:r>
        <w:rPr>
          <w:color w:val="231F20"/>
          <w:spacing w:val="21"/>
        </w:rPr>
        <w:t> </w:t>
      </w:r>
      <w:r>
        <w:rPr>
          <w:color w:val="231F20"/>
        </w:rPr>
        <w:t>2019.</w:t>
      </w:r>
    </w:p>
    <w:sectPr>
      <w:type w:val="continuous"/>
      <w:pgSz w:w="11940" w:h="16880"/>
      <w:pgMar w:top="1140" w:bottom="280" w:left="34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672" from="22.653999pt,33.557999pt" to="572.620999pt,33.557999pt" stroked="true" strokeweight=".533pt" strokecolor="#231f20">
          <v:stroke dashstyle="solid"/>
          <w10:wrap type="none"/>
        </v:line>
      </w:pict>
    </w:r>
    <w:r>
      <w:rPr/>
      <w:pict>
        <v:line style="position:absolute;mso-position-horizontal-relative:page;mso-position-vertical-relative:page;z-index:-394648" from="22.653999pt,54.828999pt" to="572.620999pt,54.828999pt" stroked="true" strokeweight=".533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542.310974pt;margin-top:35.414761pt;width:31.35pt;height:16.2pt;mso-position-horizontal-relative:page;mso-position-vertical-relative:page;z-index:-394624" type="#_x0000_t202" filled="false" stroked="false">
          <v:textbox inset="0,0,0,0">
            <w:txbxContent>
              <w:p>
                <w:pPr>
                  <w:spacing w:before="26"/>
                  <w:ind w:left="20" w:right="0" w:firstLine="0"/>
                  <w:jc w:val="left"/>
                  <w:rPr>
                    <w:sz w:val="23"/>
                  </w:rPr>
                </w:pPr>
                <w:r>
                  <w:rPr>
                    <w:color w:val="231F20"/>
                    <w:w w:val="90"/>
                    <w:sz w:val="23"/>
                  </w:rPr>
                  <w:t>33239</w:t>
                </w:r>
              </w:p>
            </w:txbxContent>
          </v:textbox>
          <w10:wrap type="none"/>
        </v:shape>
      </w:pict>
    </w:r>
    <w:r>
      <w:rPr/>
      <w:pict>
        <v:shape style="position:absolute;margin-left:171.712006pt;margin-top:38.275845pt;width:277.650pt;height:13.65pt;mso-position-horizontal-relative:page;mso-position-vertical-relative:page;z-index:-39460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808" from="22.653999pt,33.557999pt" to="572.620999pt,33.557999pt" stroked="true" strokeweight=".533pt" strokecolor="#231f20">
          <v:stroke dashstyle="solid"/>
          <w10:wrap type="none"/>
        </v:line>
      </w:pict>
    </w:r>
    <w:r>
      <w:rPr/>
      <w:pict>
        <v:line style="position:absolute;mso-position-horizontal-relative:page;mso-position-vertical-relative:page;z-index:-39378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376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33253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373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168" from="22.653999pt,33.557999pt" to="572.620999pt,33.557999pt" stroked="true" strokeweight=".533pt" strokecolor="#231f20">
          <v:stroke dashstyle="solid"/>
          <w10:wrap type="none"/>
        </v:line>
      </w:pict>
    </w:r>
    <w:r>
      <w:rPr/>
      <w:pict>
        <v:line style="position:absolute;mso-position-horizontal-relative:page;mso-position-vertical-relative:page;z-index:-385144"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5120" type="#_x0000_t202" filled="false" stroked="false">
          <v:textbox inset="0,0,0,0">
            <w:txbxContent>
              <w:p>
                <w:pPr>
                  <w:spacing w:before="26"/>
                  <w:ind w:left="20" w:right="0" w:firstLine="0"/>
                  <w:jc w:val="left"/>
                  <w:rPr>
                    <w:sz w:val="23"/>
                  </w:rPr>
                </w:pPr>
                <w:r>
                  <w:rPr>
                    <w:color w:val="231F20"/>
                    <w:w w:val="95"/>
                    <w:sz w:val="23"/>
                  </w:rPr>
                  <w:t>33481</w:t>
                </w:r>
              </w:p>
            </w:txbxContent>
          </v:textbox>
          <w10:wrap type="none"/>
        </v:shape>
      </w:pict>
    </w:r>
    <w:r>
      <w:rPr/>
      <w:pict>
        <v:shape style="position:absolute;margin-left:171.712006pt;margin-top:38.275845pt;width:277.650pt;height:13.65pt;mso-position-horizontal-relative:page;mso-position-vertical-relative:page;z-index:-38509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072" from="22.653999pt,33.557999pt" to="572.620999pt,33.557999pt" stroked="true" strokeweight=".533pt" strokecolor="#231f20">
          <v:stroke dashstyle="solid"/>
          <w10:wrap type="none"/>
        </v:line>
      </w:pict>
    </w:r>
    <w:r>
      <w:rPr/>
      <w:pict>
        <v:line style="position:absolute;mso-position-horizontal-relative:page;mso-position-vertical-relative:page;z-index:-38504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5024"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33482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500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976" from="22.653999pt,33.557999pt" to="572.620999pt,33.557999pt" stroked="true" strokeweight=".533pt" strokecolor="#231f20">
          <v:stroke dashstyle="solid"/>
          <w10:wrap type="none"/>
        </v:line>
      </w:pict>
    </w:r>
    <w:r>
      <w:rPr/>
      <w:pict>
        <v:line style="position:absolute;mso-position-horizontal-relative:page;mso-position-vertical-relative:page;z-index:-38495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4928"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33483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490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880" from="22.653999pt,33.557999pt" to="572.620999pt,33.557999pt" stroked="true" strokeweight=".533pt" strokecolor="#231f20">
          <v:stroke dashstyle="solid"/>
          <w10:wrap type="none"/>
        </v:line>
      </w:pict>
    </w:r>
    <w:r>
      <w:rPr/>
      <w:pict>
        <v:line style="position:absolute;mso-position-horizontal-relative:page;mso-position-vertical-relative:page;z-index:-384856"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4832" type="#_x0000_t202" filled="false" stroked="false">
          <v:textbox inset="0,0,0,0">
            <w:txbxContent>
              <w:p>
                <w:pPr>
                  <w:spacing w:before="26"/>
                  <w:ind w:left="20" w:right="0" w:firstLine="0"/>
                  <w:jc w:val="left"/>
                  <w:rPr>
                    <w:sz w:val="23"/>
                  </w:rPr>
                </w:pPr>
                <w:r>
                  <w:rPr>
                    <w:color w:val="231F20"/>
                    <w:w w:val="90"/>
                    <w:sz w:val="23"/>
                  </w:rPr>
                  <w:t>33490</w:t>
                </w:r>
              </w:p>
            </w:txbxContent>
          </v:textbox>
          <w10:wrap type="none"/>
        </v:shape>
      </w:pict>
    </w:r>
    <w:r>
      <w:rPr/>
      <w:pict>
        <v:shape style="position:absolute;margin-left:171.712006pt;margin-top:38.275845pt;width:277.650pt;height:13.65pt;mso-position-horizontal-relative:page;mso-position-vertical-relative:page;z-index:-38480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784" from="22.653999pt,33.557999pt" to="572.620999pt,33.557999pt" stroked="true" strokeweight=".533pt" strokecolor="#231f20">
          <v:stroke dashstyle="solid"/>
          <w10:wrap type="none"/>
        </v:line>
      </w:pict>
    </w:r>
    <w:r>
      <w:rPr/>
      <w:pict>
        <v:line style="position:absolute;mso-position-horizontal-relative:page;mso-position-vertical-relative:page;z-index:-384760"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4736" type="#_x0000_t202" filled="false" stroked="false">
          <v:textbox inset="0,0,0,0">
            <w:txbxContent>
              <w:p>
                <w:pPr>
                  <w:spacing w:before="26"/>
                  <w:ind w:left="20" w:right="0" w:firstLine="0"/>
                  <w:jc w:val="left"/>
                  <w:rPr>
                    <w:sz w:val="23"/>
                  </w:rPr>
                </w:pPr>
                <w:r>
                  <w:rPr>
                    <w:color w:val="231F20"/>
                    <w:w w:val="95"/>
                    <w:sz w:val="23"/>
                  </w:rPr>
                  <w:t>33491</w:t>
                </w:r>
              </w:p>
            </w:txbxContent>
          </v:textbox>
          <w10:wrap type="none"/>
        </v:shape>
      </w:pict>
    </w:r>
    <w:r>
      <w:rPr/>
      <w:pict>
        <v:shape style="position:absolute;margin-left:171.712006pt;margin-top:38.275845pt;width:277.650pt;height:13.65pt;mso-position-horizontal-relative:page;mso-position-vertical-relative:page;z-index:-38471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688" from="22.653999pt,33.557999pt" to="572.620999pt,33.557999pt" stroked="true" strokeweight=".533pt" strokecolor="#231f20">
          <v:stroke dashstyle="solid"/>
          <w10:wrap type="none"/>
        </v:line>
      </w:pict>
    </w:r>
    <w:r>
      <w:rPr/>
      <w:pict>
        <v:line style="position:absolute;mso-position-horizontal-relative:page;mso-position-vertical-relative:page;z-index:-384664"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464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33492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461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592" from="22.653999pt,33.557999pt" to="572.620999pt,33.557999pt" stroked="true" strokeweight=".533pt" strokecolor="#231f20">
          <v:stroke dashstyle="solid"/>
          <w10:wrap type="none"/>
        </v:line>
      </w:pict>
    </w:r>
    <w:r>
      <w:rPr/>
      <w:pict>
        <v:line style="position:absolute;mso-position-horizontal-relative:page;mso-position-vertical-relative:page;z-index:-384568"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454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33493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452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496" from="22.653999pt,33.557999pt" to="572.620999pt,33.557999pt" stroked="true" strokeweight=".533pt" strokecolor="#231f20">
          <v:stroke dashstyle="solid"/>
          <w10:wrap type="none"/>
        </v:line>
      </w:pict>
    </w:r>
    <w:r>
      <w:rPr/>
      <w:pict>
        <v:line style="position:absolute;mso-position-horizontal-relative:page;mso-position-vertical-relative:page;z-index:-38447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4448" type="#_x0000_t202" filled="false" stroked="false">
          <v:textbox inset="0,0,0,0">
            <w:txbxContent>
              <w:p>
                <w:pPr>
                  <w:spacing w:before="26"/>
                  <w:ind w:left="20" w:right="0" w:firstLine="0"/>
                  <w:jc w:val="left"/>
                  <w:rPr>
                    <w:sz w:val="23"/>
                  </w:rPr>
                </w:pPr>
                <w:r>
                  <w:rPr>
                    <w:color w:val="231F20"/>
                    <w:w w:val="90"/>
                    <w:sz w:val="23"/>
                  </w:rPr>
                  <w:t>33500</w:t>
                </w:r>
              </w:p>
            </w:txbxContent>
          </v:textbox>
          <w10:wrap type="none"/>
        </v:shape>
      </w:pict>
    </w:r>
    <w:r>
      <w:rPr/>
      <w:pict>
        <v:shape style="position:absolute;margin-left:171.712006pt;margin-top:38.275845pt;width:277.650pt;height:13.65pt;mso-position-horizontal-relative:page;mso-position-vertical-relative:page;z-index:-38442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400" from="22.653999pt,33.557999pt" to="572.620999pt,33.557999pt" stroked="true" strokeweight=".533pt" strokecolor="#231f20">
          <v:stroke dashstyle="solid"/>
          <w10:wrap type="none"/>
        </v:line>
      </w:pict>
    </w:r>
    <w:r>
      <w:rPr/>
      <w:pict>
        <v:line style="position:absolute;mso-position-horizontal-relative:page;mso-position-vertical-relative:page;z-index:-38437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4352" type="#_x0000_t202" filled="false" stroked="false">
          <v:textbox inset="0,0,0,0">
            <w:txbxContent>
              <w:p>
                <w:pPr>
                  <w:spacing w:before="26"/>
                  <w:ind w:left="20" w:right="0" w:firstLine="0"/>
                  <w:jc w:val="left"/>
                  <w:rPr>
                    <w:sz w:val="23"/>
                  </w:rPr>
                </w:pPr>
                <w:r>
                  <w:rPr>
                    <w:color w:val="231F20"/>
                    <w:w w:val="95"/>
                    <w:sz w:val="23"/>
                  </w:rPr>
                  <w:t>33501</w:t>
                </w:r>
              </w:p>
            </w:txbxContent>
          </v:textbox>
          <w10:wrap type="none"/>
        </v:shape>
      </w:pict>
    </w:r>
    <w:r>
      <w:rPr/>
      <w:pict>
        <v:shape style="position:absolute;margin-left:171.712006pt;margin-top:38.275845pt;width:277.650pt;height:13.65pt;mso-position-horizontal-relative:page;mso-position-vertical-relative:page;z-index:-38432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304" from="22.653999pt,33.557999pt" to="572.620999pt,33.557999pt" stroked="true" strokeweight=".533pt" strokecolor="#231f20">
          <v:stroke dashstyle="solid"/>
          <w10:wrap type="none"/>
        </v:line>
      </w:pict>
    </w:r>
    <w:r>
      <w:rPr/>
      <w:pict>
        <v:line style="position:absolute;mso-position-horizontal-relative:page;mso-position-vertical-relative:page;z-index:-38428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425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33502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423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712" from="22.653999pt,33.557999pt" to="572.620999pt,33.557999pt" stroked="true" strokeweight=".533pt" strokecolor="#231f20">
          <v:stroke dashstyle="solid"/>
          <w10:wrap type="none"/>
        </v:line>
      </w:pict>
    </w:r>
    <w:r>
      <w:rPr/>
      <w:pict>
        <v:line style="position:absolute;mso-position-horizontal-relative:page;mso-position-vertical-relative:page;z-index:-39368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3664" type="#_x0000_t202" filled="false" stroked="false">
          <v:textbox inset="0,0,0,0">
            <w:txbxContent>
              <w:p>
                <w:pPr>
                  <w:spacing w:before="26"/>
                  <w:ind w:left="20" w:right="0" w:firstLine="0"/>
                  <w:jc w:val="left"/>
                  <w:rPr>
                    <w:sz w:val="23"/>
                  </w:rPr>
                </w:pPr>
                <w:r>
                  <w:rPr>
                    <w:color w:val="231F20"/>
                    <w:w w:val="90"/>
                    <w:sz w:val="23"/>
                  </w:rPr>
                  <w:t>33260</w:t>
                </w:r>
              </w:p>
            </w:txbxContent>
          </v:textbox>
          <w10:wrap type="none"/>
        </v:shape>
      </w:pict>
    </w:r>
    <w:r>
      <w:rPr/>
      <w:pict>
        <v:shape style="position:absolute;margin-left:171.712006pt;margin-top:38.275845pt;width:277.650pt;height:13.65pt;mso-position-horizontal-relative:page;mso-position-vertical-relative:page;z-index:-39364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208" from="22.653999pt,33.557999pt" to="572.620999pt,33.557999pt" stroked="true" strokeweight=".533pt" strokecolor="#231f20">
          <v:stroke dashstyle="solid"/>
          <w10:wrap type="none"/>
        </v:line>
      </w:pict>
    </w:r>
    <w:r>
      <w:rPr/>
      <w:pict>
        <v:line style="position:absolute;mso-position-horizontal-relative:page;mso-position-vertical-relative:page;z-index:-38418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416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33503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413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112" from="22.653999pt,33.557999pt" to="572.620999pt,33.557999pt" stroked="true" strokeweight=".533pt" strokecolor="#231f20">
          <v:stroke dashstyle="solid"/>
          <w10:wrap type="none"/>
        </v:line>
      </w:pict>
    </w:r>
    <w:r>
      <w:rPr/>
      <w:pict>
        <v:line style="position:absolute;mso-position-horizontal-relative:page;mso-position-vertical-relative:page;z-index:-38408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4064" type="#_x0000_t202" filled="false" stroked="false">
          <v:textbox inset="0,0,0,0">
            <w:txbxContent>
              <w:p>
                <w:pPr>
                  <w:spacing w:before="26"/>
                  <w:ind w:left="20" w:right="0" w:firstLine="0"/>
                  <w:jc w:val="left"/>
                  <w:rPr>
                    <w:sz w:val="23"/>
                  </w:rPr>
                </w:pPr>
                <w:r>
                  <w:rPr>
                    <w:color w:val="231F20"/>
                    <w:w w:val="95"/>
                    <w:sz w:val="23"/>
                  </w:rPr>
                  <w:t>33510</w:t>
                </w:r>
              </w:p>
            </w:txbxContent>
          </v:textbox>
          <w10:wrap type="none"/>
        </v:shape>
      </w:pict>
    </w:r>
    <w:r>
      <w:rPr/>
      <w:pict>
        <v:shape style="position:absolute;margin-left:171.712006pt;margin-top:38.275845pt;width:277.650pt;height:13.65pt;mso-position-horizontal-relative:page;mso-position-vertical-relative:page;z-index:-38404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4016" from="22.653999pt,33.557999pt" to="572.620999pt,33.557999pt" stroked="true" strokeweight=".533pt" strokecolor="#231f20">
          <v:stroke dashstyle="solid"/>
          <w10:wrap type="none"/>
        </v:line>
      </w:pict>
    </w:r>
    <w:r>
      <w:rPr/>
      <w:pict>
        <v:line style="position:absolute;mso-position-horizontal-relative:page;mso-position-vertical-relative:page;z-index:-38399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3968" type="#_x0000_t202" filled="false" stroked="false">
          <v:textbox inset="0,0,0,0">
            <w:txbxContent>
              <w:p>
                <w:pPr>
                  <w:spacing w:before="26"/>
                  <w:ind w:left="40" w:right="0" w:firstLine="0"/>
                  <w:jc w:val="left"/>
                  <w:rPr>
                    <w:sz w:val="23"/>
                  </w:rPr>
                </w:pPr>
                <w:r>
                  <w:rPr>
                    <w:color w:val="231F20"/>
                    <w:sz w:val="23"/>
                  </w:rPr>
                  <w:t>33513</w:t>
                </w:r>
              </w:p>
            </w:txbxContent>
          </v:textbox>
          <w10:wrap type="none"/>
        </v:shape>
      </w:pict>
    </w:r>
    <w:r>
      <w:rPr/>
      <w:pict>
        <v:shape style="position:absolute;margin-left:171.712006pt;margin-top:38.275845pt;width:277.650pt;height:13.65pt;mso-position-horizontal-relative:page;mso-position-vertical-relative:page;z-index:-38394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920" from="22.653999pt,33.557999pt" to="572.620999pt,33.557999pt" stroked="true" strokeweight=".533pt" strokecolor="#231f20">
          <v:stroke dashstyle="solid"/>
          <w10:wrap type="none"/>
        </v:line>
      </w:pict>
    </w:r>
    <w:r>
      <w:rPr/>
      <w:pict>
        <v:line style="position:absolute;mso-position-horizontal-relative:page;mso-position-vertical-relative:page;z-index:-38389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3872"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33512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384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824" from="22.653999pt,33.557999pt" to="572.620999pt,33.557999pt" stroked="true" strokeweight=".533pt" strokecolor="#231f20">
          <v:stroke dashstyle="solid"/>
          <w10:wrap type="none"/>
        </v:line>
      </w:pict>
    </w:r>
    <w:r>
      <w:rPr/>
      <w:pict>
        <v:line style="position:absolute;mso-position-horizontal-relative:page;mso-position-vertical-relative:page;z-index:-38380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3776"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33513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375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728" from="22.653999pt,33.557999pt" to="572.620999pt,33.557999pt" stroked="true" strokeweight=".533pt" strokecolor="#231f20">
          <v:stroke dashstyle="solid"/>
          <w10:wrap type="none"/>
        </v:line>
      </w:pict>
    </w:r>
    <w:r>
      <w:rPr/>
      <w:pict>
        <v:line style="position:absolute;mso-position-horizontal-relative:page;mso-position-vertical-relative:page;z-index:-38370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3680" type="#_x0000_t202" filled="false" stroked="false">
          <v:textbox inset="0,0,0,0">
            <w:txbxContent>
              <w:p>
                <w:pPr>
                  <w:spacing w:before="26"/>
                  <w:ind w:left="20" w:right="0" w:firstLine="0"/>
                  <w:jc w:val="left"/>
                  <w:rPr>
                    <w:sz w:val="23"/>
                  </w:rPr>
                </w:pPr>
                <w:r>
                  <w:rPr>
                    <w:color w:val="231F20"/>
                    <w:w w:val="90"/>
                    <w:sz w:val="23"/>
                  </w:rPr>
                  <w:t>33520</w:t>
                </w:r>
              </w:p>
            </w:txbxContent>
          </v:textbox>
          <w10:wrap type="none"/>
        </v:shape>
      </w:pict>
    </w:r>
    <w:r>
      <w:rPr/>
      <w:pict>
        <v:shape style="position:absolute;margin-left:171.712006pt;margin-top:38.275845pt;width:277.650pt;height:13.65pt;mso-position-horizontal-relative:page;mso-position-vertical-relative:page;z-index:-38365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632" from="22.653999pt,33.557999pt" to="572.620999pt,33.557999pt" stroked="true" strokeweight=".533pt" strokecolor="#231f20">
          <v:stroke dashstyle="solid"/>
          <w10:wrap type="none"/>
        </v:line>
      </w:pict>
    </w:r>
    <w:r>
      <w:rPr/>
      <w:pict>
        <v:line style="position:absolute;mso-position-horizontal-relative:page;mso-position-vertical-relative:page;z-index:-38360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3584" type="#_x0000_t202" filled="false" stroked="false">
          <v:textbox inset="0,0,0,0">
            <w:txbxContent>
              <w:p>
                <w:pPr>
                  <w:spacing w:before="26"/>
                  <w:ind w:left="20" w:right="0" w:firstLine="0"/>
                  <w:jc w:val="left"/>
                  <w:rPr>
                    <w:sz w:val="23"/>
                  </w:rPr>
                </w:pPr>
                <w:r>
                  <w:rPr>
                    <w:color w:val="231F20"/>
                    <w:w w:val="95"/>
                    <w:sz w:val="23"/>
                  </w:rPr>
                  <w:t>33521</w:t>
                </w:r>
              </w:p>
            </w:txbxContent>
          </v:textbox>
          <w10:wrap type="none"/>
        </v:shape>
      </w:pict>
    </w:r>
    <w:r>
      <w:rPr/>
      <w:pict>
        <v:shape style="position:absolute;margin-left:171.712006pt;margin-top:38.275845pt;width:277.650pt;height:13.65pt;mso-position-horizontal-relative:page;mso-position-vertical-relative:page;z-index:-38356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536" from="22.653999pt,33.557999pt" to="572.620999pt,33.557999pt" stroked="true" strokeweight=".533pt" strokecolor="#231f20">
          <v:stroke dashstyle="solid"/>
          <w10:wrap type="none"/>
        </v:line>
      </w:pict>
    </w:r>
    <w:r>
      <w:rPr/>
      <w:pict>
        <v:line style="position:absolute;mso-position-horizontal-relative:page;mso-position-vertical-relative:page;z-index:-38351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348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33522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346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440" from="22.653999pt,33.557999pt" to="572.620999pt,33.557999pt" stroked="true" strokeweight=".533pt" strokecolor="#231f20">
          <v:stroke dashstyle="solid"/>
          <w10:wrap type="none"/>
        </v:line>
      </w:pict>
    </w:r>
    <w:r>
      <w:rPr/>
      <w:pict>
        <v:line style="position:absolute;mso-position-horizontal-relative:page;mso-position-vertical-relative:page;z-index:-38341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339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33523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336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3344" from="22.653999pt,33.557999pt" to="572.620999pt,33.557999pt" stroked="true" strokeweight=".533pt" strokecolor="#231f20">
          <v:stroke dashstyle="solid"/>
          <w10:wrap type="none"/>
        </v:line>
      </w:pict>
    </w:r>
    <w:r>
      <w:rPr/>
      <w:pict>
        <v:line style="position:absolute;mso-position-horizontal-relative:page;mso-position-vertical-relative:page;z-index:-38332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3296" type="#_x0000_t202" filled="false" stroked="false">
          <v:textbox inset="0,0,0,0">
            <w:txbxContent>
              <w:p>
                <w:pPr>
                  <w:spacing w:before="26"/>
                  <w:ind w:left="20" w:right="0" w:firstLine="0"/>
                  <w:jc w:val="left"/>
                  <w:rPr>
                    <w:sz w:val="23"/>
                  </w:rPr>
                </w:pPr>
                <w:r>
                  <w:rPr>
                    <w:color w:val="231F20"/>
                    <w:w w:val="90"/>
                    <w:sz w:val="23"/>
                  </w:rPr>
                  <w:t>33530</w:t>
                </w:r>
              </w:p>
            </w:txbxContent>
          </v:textbox>
          <w10:wrap type="none"/>
        </v:shape>
      </w:pict>
    </w:r>
    <w:r>
      <w:rPr/>
      <w:pict>
        <v:shape style="position:absolute;margin-left:171.712006pt;margin-top:38.275845pt;width:277.650pt;height:13.65pt;mso-position-horizontal-relative:page;mso-position-vertical-relative:page;z-index:-38327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616" from="22.653999pt,33.557999pt" to="572.620999pt,33.557999pt" stroked="true" strokeweight=".533pt" strokecolor="#231f20">
          <v:stroke dashstyle="solid"/>
          <w10:wrap type="none"/>
        </v:line>
      </w:pict>
    </w:r>
    <w:r>
      <w:rPr/>
      <w:pict>
        <v:line style="position:absolute;mso-position-horizontal-relative:page;mso-position-vertical-relative:page;z-index:-393592"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3568" type="#_x0000_t202" filled="false" stroked="false">
          <v:textbox inset="0,0,0,0">
            <w:txbxContent>
              <w:p>
                <w:pPr>
                  <w:spacing w:before="26"/>
                  <w:ind w:left="20" w:right="0" w:firstLine="0"/>
                  <w:jc w:val="left"/>
                  <w:rPr>
                    <w:sz w:val="23"/>
                  </w:rPr>
                </w:pPr>
                <w:r>
                  <w:rPr>
                    <w:color w:val="231F20"/>
                    <w:w w:val="95"/>
                    <w:sz w:val="23"/>
                  </w:rPr>
                  <w:t>33261</w:t>
                </w:r>
              </w:p>
            </w:txbxContent>
          </v:textbox>
          <w10:wrap type="none"/>
        </v:shape>
      </w:pict>
    </w:r>
    <w:r>
      <w:rPr/>
      <w:pict>
        <v:shape style="position:absolute;margin-left:171.712006pt;margin-top:38.275845pt;width:277.650pt;height:13.65pt;mso-position-horizontal-relative:page;mso-position-vertical-relative:page;z-index:-39354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520" from="22.653999pt,33.557999pt" to="572.620999pt,33.557999pt" stroked="true" strokeweight=".533pt" strokecolor="#231f20">
          <v:stroke dashstyle="solid"/>
          <w10:wrap type="none"/>
        </v:line>
      </w:pict>
    </w:r>
    <w:r>
      <w:rPr/>
      <w:pict>
        <v:line style="position:absolute;mso-position-horizontal-relative:page;mso-position-vertical-relative:page;z-index:-39349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347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33262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344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424" from="22.653999pt,33.557999pt" to="572.620999pt,33.557999pt" stroked="true" strokeweight=".533pt" strokecolor="#231f20">
          <v:stroke dashstyle="solid"/>
          <w10:wrap type="none"/>
        </v:line>
      </w:pict>
    </w:r>
    <w:r>
      <w:rPr/>
      <w:pict>
        <v:line style="position:absolute;mso-position-horizontal-relative:page;mso-position-vertical-relative:page;z-index:-39340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337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33263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335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328" from="22.653999pt,33.557999pt" to="572.620999pt,33.557999pt" stroked="true" strokeweight=".533pt" strokecolor="#231f20">
          <v:stroke dashstyle="solid"/>
          <w10:wrap type="none"/>
        </v:line>
      </w:pict>
    </w:r>
    <w:r>
      <w:rPr/>
      <w:pict>
        <v:line style="position:absolute;mso-position-horizontal-relative:page;mso-position-vertical-relative:page;z-index:-39330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3280" type="#_x0000_t202" filled="false" stroked="false">
          <v:textbox inset="0,0,0,0">
            <w:txbxContent>
              <w:p>
                <w:pPr>
                  <w:spacing w:before="26"/>
                  <w:ind w:left="20" w:right="0" w:firstLine="0"/>
                  <w:jc w:val="left"/>
                  <w:rPr>
                    <w:sz w:val="23"/>
                  </w:rPr>
                </w:pPr>
                <w:r>
                  <w:rPr>
                    <w:color w:val="231F20"/>
                    <w:w w:val="90"/>
                    <w:sz w:val="23"/>
                  </w:rPr>
                  <w:t>33270</w:t>
                </w:r>
              </w:p>
            </w:txbxContent>
          </v:textbox>
          <w10:wrap type="none"/>
        </v:shape>
      </w:pict>
    </w:r>
    <w:r>
      <w:rPr/>
      <w:pict>
        <v:shape style="position:absolute;margin-left:171.712006pt;margin-top:38.275845pt;width:277.650pt;height:13.65pt;mso-position-horizontal-relative:page;mso-position-vertical-relative:page;z-index:-39325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232" from="22.653999pt,33.557999pt" to="572.620999pt,33.557999pt" stroked="true" strokeweight=".533pt" strokecolor="#231f20">
          <v:stroke dashstyle="solid"/>
          <w10:wrap type="none"/>
        </v:line>
      </w:pict>
    </w:r>
    <w:r>
      <w:rPr/>
      <w:pict>
        <v:line style="position:absolute;mso-position-horizontal-relative:page;mso-position-vertical-relative:page;z-index:-39320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3184" type="#_x0000_t202" filled="false" stroked="false">
          <v:textbox inset="0,0,0,0">
            <w:txbxContent>
              <w:p>
                <w:pPr>
                  <w:spacing w:before="26"/>
                  <w:ind w:left="20" w:right="0" w:firstLine="0"/>
                  <w:jc w:val="left"/>
                  <w:rPr>
                    <w:sz w:val="23"/>
                  </w:rPr>
                </w:pPr>
                <w:r>
                  <w:rPr>
                    <w:color w:val="231F20"/>
                    <w:sz w:val="23"/>
                  </w:rPr>
                  <w:t>33271</w:t>
                </w:r>
              </w:p>
            </w:txbxContent>
          </v:textbox>
          <w10:wrap type="none"/>
        </v:shape>
      </w:pict>
    </w:r>
    <w:r>
      <w:rPr/>
      <w:pict>
        <v:shape style="position:absolute;margin-left:171.712006pt;margin-top:38.275845pt;width:277.650pt;height:13.65pt;mso-position-horizontal-relative:page;mso-position-vertical-relative:page;z-index:-39316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136" from="22.653999pt,33.557999pt" to="572.620999pt,33.557999pt" stroked="true" strokeweight=".533pt" strokecolor="#231f20">
          <v:stroke dashstyle="solid"/>
          <w10:wrap type="none"/>
        </v:line>
      </w:pict>
    </w:r>
    <w:r>
      <w:rPr/>
      <w:pict>
        <v:line style="position:absolute;mso-position-horizontal-relative:page;mso-position-vertical-relative:page;z-index:-39311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308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33272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306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040" from="22.653999pt,33.557999pt" to="572.620999pt,33.557999pt" stroked="true" strokeweight=".533pt" strokecolor="#231f20">
          <v:stroke dashstyle="solid"/>
          <w10:wrap type="none"/>
        </v:line>
      </w:pict>
    </w:r>
    <w:r>
      <w:rPr/>
      <w:pict>
        <v:line style="position:absolute;mso-position-horizontal-relative:page;mso-position-vertical-relative:page;z-index:-39301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299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33273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296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944" from="22.653999pt,33.557999pt" to="572.620999pt,33.557999pt" stroked="true" strokeweight=".533pt" strokecolor="#231f20">
          <v:stroke dashstyle="solid"/>
          <w10:wrap type="none"/>
        </v:line>
      </w:pict>
    </w:r>
    <w:r>
      <w:rPr/>
      <w:pict>
        <v:line style="position:absolute;mso-position-horizontal-relative:page;mso-position-vertical-relative:page;z-index:-39292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2896" type="#_x0000_t202" filled="false" stroked="false">
          <v:textbox inset="0,0,0,0">
            <w:txbxContent>
              <w:p>
                <w:pPr>
                  <w:spacing w:before="26"/>
                  <w:ind w:left="20" w:right="0" w:firstLine="0"/>
                  <w:jc w:val="left"/>
                  <w:rPr>
                    <w:sz w:val="23"/>
                  </w:rPr>
                </w:pPr>
                <w:r>
                  <w:rPr>
                    <w:color w:val="231F20"/>
                    <w:w w:val="90"/>
                    <w:sz w:val="23"/>
                  </w:rPr>
                  <w:t>33280</w:t>
                </w:r>
              </w:p>
            </w:txbxContent>
          </v:textbox>
          <w10:wrap type="none"/>
        </v:shape>
      </w:pict>
    </w:r>
    <w:r>
      <w:rPr/>
      <w:pict>
        <v:shape style="position:absolute;margin-left:171.712006pt;margin-top:38.275845pt;width:277.650pt;height:13.65pt;mso-position-horizontal-relative:page;mso-position-vertical-relative:page;z-index:-39287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576" from="22.653999pt,33.557999pt" to="572.620999pt,33.557999pt" stroked="true" strokeweight=".533pt" strokecolor="#231f20">
          <v:stroke dashstyle="solid"/>
          <w10:wrap type="none"/>
        </v:line>
      </w:pict>
    </w:r>
    <w:r>
      <w:rPr/>
      <w:pict>
        <v:line style="position:absolute;mso-position-horizontal-relative:page;mso-position-vertical-relative:page;z-index:-39455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4528" type="#_x0000_t202" filled="false" stroked="false">
          <v:textbox inset="0,0,0,0">
            <w:txbxContent>
              <w:p>
                <w:pPr>
                  <w:spacing w:before="26"/>
                  <w:ind w:left="40" w:right="0" w:firstLine="0"/>
                  <w:jc w:val="left"/>
                  <w:rPr>
                    <w:sz w:val="23"/>
                  </w:rPr>
                </w:pPr>
                <w:r>
                  <w:rPr>
                    <w:color w:val="231F20"/>
                    <w:w w:val="90"/>
                    <w:sz w:val="23"/>
                  </w:rPr>
                  <w:t>33240</w:t>
                </w:r>
              </w:p>
            </w:txbxContent>
          </v:textbox>
          <w10:wrap type="none"/>
        </v:shape>
      </w:pict>
    </w:r>
    <w:r>
      <w:rPr/>
      <w:pict>
        <v:shape style="position:absolute;margin-left:171.712006pt;margin-top:38.275845pt;width:277.650pt;height:13.65pt;mso-position-horizontal-relative:page;mso-position-vertical-relative:page;z-index:-39450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848" from="22.653999pt,33.557999pt" to="572.620999pt,33.557999pt" stroked="true" strokeweight=".533pt" strokecolor="#231f20">
          <v:stroke dashstyle="solid"/>
          <w10:wrap type="none"/>
        </v:line>
      </w:pict>
    </w:r>
    <w:r>
      <w:rPr/>
      <w:pict>
        <v:line style="position:absolute;mso-position-horizontal-relative:page;mso-position-vertical-relative:page;z-index:-392824"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2800" type="#_x0000_t202" filled="false" stroked="false">
          <v:textbox inset="0,0,0,0">
            <w:txbxContent>
              <w:p>
                <w:pPr>
                  <w:spacing w:before="26"/>
                  <w:ind w:left="20" w:right="0" w:firstLine="0"/>
                  <w:jc w:val="left"/>
                  <w:rPr>
                    <w:sz w:val="23"/>
                  </w:rPr>
                </w:pPr>
                <w:r>
                  <w:rPr>
                    <w:color w:val="231F20"/>
                    <w:w w:val="95"/>
                    <w:sz w:val="23"/>
                  </w:rPr>
                  <w:t>33281</w:t>
                </w:r>
              </w:p>
            </w:txbxContent>
          </v:textbox>
          <w10:wrap type="none"/>
        </v:shape>
      </w:pict>
    </w:r>
    <w:r>
      <w:rPr/>
      <w:pict>
        <v:shape style="position:absolute;margin-left:171.712006pt;margin-top:38.275845pt;width:277.650pt;height:13.65pt;mso-position-horizontal-relative:page;mso-position-vertical-relative:page;z-index:-39277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752" from="22.653999pt,33.557999pt" to="572.620999pt,33.557999pt" stroked="true" strokeweight=".533pt" strokecolor="#231f20">
          <v:stroke dashstyle="solid"/>
          <w10:wrap type="none"/>
        </v:line>
      </w:pict>
    </w:r>
    <w:r>
      <w:rPr/>
      <w:pict>
        <v:line style="position:absolute;mso-position-horizontal-relative:page;mso-position-vertical-relative:page;z-index:-39272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2704"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33282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268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656" from="22.653999pt,33.557999pt" to="572.620999pt,33.557999pt" stroked="true" strokeweight=".533pt" strokecolor="#231f20">
          <v:stroke dashstyle="solid"/>
          <w10:wrap type="none"/>
        </v:line>
      </w:pict>
    </w:r>
    <w:r>
      <w:rPr/>
      <w:pict>
        <v:line style="position:absolute;mso-position-horizontal-relative:page;mso-position-vertical-relative:page;z-index:-39263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2608"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33283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258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560" from="22.653999pt,33.557999pt" to="572.620999pt,33.557999pt" stroked="true" strokeweight=".533pt" strokecolor="#231f20">
          <v:stroke dashstyle="solid"/>
          <w10:wrap type="none"/>
        </v:line>
      </w:pict>
    </w:r>
    <w:r>
      <w:rPr/>
      <w:pict>
        <v:line style="position:absolute;mso-position-horizontal-relative:page;mso-position-vertical-relative:page;z-index:-392536"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2512" type="#_x0000_t202" filled="false" stroked="false">
          <v:textbox inset="0,0,0,0">
            <w:txbxContent>
              <w:p>
                <w:pPr>
                  <w:spacing w:before="26"/>
                  <w:ind w:left="20" w:right="0" w:firstLine="0"/>
                  <w:jc w:val="left"/>
                  <w:rPr>
                    <w:sz w:val="23"/>
                  </w:rPr>
                </w:pPr>
                <w:r>
                  <w:rPr>
                    <w:color w:val="231F20"/>
                    <w:w w:val="90"/>
                    <w:sz w:val="23"/>
                  </w:rPr>
                  <w:t>33290</w:t>
                </w:r>
              </w:p>
            </w:txbxContent>
          </v:textbox>
          <w10:wrap type="none"/>
        </v:shape>
      </w:pict>
    </w:r>
    <w:r>
      <w:rPr/>
      <w:pict>
        <v:shape style="position:absolute;margin-left:171.712006pt;margin-top:38.275845pt;width:277.650pt;height:13.65pt;mso-position-horizontal-relative:page;mso-position-vertical-relative:page;z-index:-39248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464" from="22.653999pt,33.557999pt" to="572.620999pt,33.557999pt" stroked="true" strokeweight=".533pt" strokecolor="#231f20">
          <v:stroke dashstyle="solid"/>
          <w10:wrap type="none"/>
        </v:line>
      </w:pict>
    </w:r>
    <w:r>
      <w:rPr/>
      <w:pict>
        <v:line style="position:absolute;mso-position-horizontal-relative:page;mso-position-vertical-relative:page;z-index:-392440"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2416" type="#_x0000_t202" filled="false" stroked="false">
          <v:textbox inset="0,0,0,0">
            <w:txbxContent>
              <w:p>
                <w:pPr>
                  <w:spacing w:before="26"/>
                  <w:ind w:left="20" w:right="0" w:firstLine="0"/>
                  <w:jc w:val="left"/>
                  <w:rPr>
                    <w:sz w:val="23"/>
                  </w:rPr>
                </w:pPr>
                <w:r>
                  <w:rPr>
                    <w:color w:val="231F20"/>
                    <w:w w:val="95"/>
                    <w:sz w:val="23"/>
                  </w:rPr>
                  <w:t>33291</w:t>
                </w:r>
              </w:p>
            </w:txbxContent>
          </v:textbox>
          <w10:wrap type="none"/>
        </v:shape>
      </w:pict>
    </w:r>
    <w:r>
      <w:rPr/>
      <w:pict>
        <v:shape style="position:absolute;margin-left:171.712006pt;margin-top:38.275845pt;width:277.650pt;height:13.65pt;mso-position-horizontal-relative:page;mso-position-vertical-relative:page;z-index:-39239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368" from="22.653999pt,33.557999pt" to="572.620999pt,33.557999pt" stroked="true" strokeweight=".533pt" strokecolor="#231f20">
          <v:stroke dashstyle="solid"/>
          <w10:wrap type="none"/>
        </v:line>
      </w:pict>
    </w:r>
    <w:r>
      <w:rPr/>
      <w:pict>
        <v:line style="position:absolute;mso-position-horizontal-relative:page;mso-position-vertical-relative:page;z-index:-392344"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232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33292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229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272" from="22.653999pt,33.557999pt" to="572.620999pt,33.557999pt" stroked="true" strokeweight=".533pt" strokecolor="#231f20">
          <v:stroke dashstyle="solid"/>
          <w10:wrap type="none"/>
        </v:line>
      </w:pict>
    </w:r>
    <w:r>
      <w:rPr/>
      <w:pict>
        <v:line style="position:absolute;mso-position-horizontal-relative:page;mso-position-vertical-relative:page;z-index:-392248"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222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33293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220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176" from="22.653999pt,33.557999pt" to="572.620999pt,33.557999pt" stroked="true" strokeweight=".533pt" strokecolor="#231f20">
          <v:stroke dashstyle="solid"/>
          <w10:wrap type="none"/>
        </v:line>
      </w:pict>
    </w:r>
    <w:r>
      <w:rPr/>
      <w:pict>
        <v:line style="position:absolute;mso-position-horizontal-relative:page;mso-position-vertical-relative:page;z-index:-39215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2128" type="#_x0000_t202" filled="false" stroked="false">
          <v:textbox inset="0,0,0,0">
            <w:txbxContent>
              <w:p>
                <w:pPr>
                  <w:spacing w:before="26"/>
                  <w:ind w:left="20" w:right="0" w:firstLine="0"/>
                  <w:jc w:val="left"/>
                  <w:rPr>
                    <w:sz w:val="23"/>
                  </w:rPr>
                </w:pPr>
                <w:r>
                  <w:rPr>
                    <w:color w:val="231F20"/>
                    <w:w w:val="90"/>
                    <w:sz w:val="23"/>
                  </w:rPr>
                  <w:t>33300</w:t>
                </w:r>
              </w:p>
            </w:txbxContent>
          </v:textbox>
          <w10:wrap type="none"/>
        </v:shape>
      </w:pict>
    </w:r>
    <w:r>
      <w:rPr/>
      <w:pict>
        <v:shape style="position:absolute;margin-left:171.712006pt;margin-top:38.275845pt;width:277.650pt;height:13.65pt;mso-position-horizontal-relative:page;mso-position-vertical-relative:page;z-index:-39210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2080" from="22.653999pt,33.557999pt" to="572.620999pt,33.557999pt" stroked="true" strokeweight=".533pt" strokecolor="#231f20">
          <v:stroke dashstyle="solid"/>
          <w10:wrap type="none"/>
        </v:line>
      </w:pict>
    </w:r>
    <w:r>
      <w:rPr/>
      <w:pict>
        <v:line style="position:absolute;mso-position-horizontal-relative:page;mso-position-vertical-relative:page;z-index:-39205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2032" type="#_x0000_t202" filled="false" stroked="false">
          <v:textbox inset="0,0,0,0">
            <w:txbxContent>
              <w:p>
                <w:pPr>
                  <w:spacing w:before="26"/>
                  <w:ind w:left="20" w:right="0" w:firstLine="0"/>
                  <w:jc w:val="left"/>
                  <w:rPr>
                    <w:sz w:val="23"/>
                  </w:rPr>
                </w:pPr>
                <w:r>
                  <w:rPr>
                    <w:color w:val="231F20"/>
                    <w:w w:val="95"/>
                    <w:sz w:val="23"/>
                  </w:rPr>
                  <w:t>33301</w:t>
                </w:r>
              </w:p>
            </w:txbxContent>
          </v:textbox>
          <w10:wrap type="none"/>
        </v:shape>
      </w:pict>
    </w:r>
    <w:r>
      <w:rPr/>
      <w:pict>
        <v:shape style="position:absolute;margin-left:171.712006pt;margin-top:38.275845pt;width:277.650pt;height:13.65pt;mso-position-horizontal-relative:page;mso-position-vertical-relative:page;z-index:-39200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984" from="22.653999pt,33.557999pt" to="572.620999pt,33.557999pt" stroked="true" strokeweight=".533pt" strokecolor="#231f20">
          <v:stroke dashstyle="solid"/>
          <w10:wrap type="none"/>
        </v:line>
      </w:pict>
    </w:r>
    <w:r>
      <w:rPr/>
      <w:pict>
        <v:line style="position:absolute;mso-position-horizontal-relative:page;mso-position-vertical-relative:page;z-index:-39196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1936"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33302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91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480" from="22.653999pt,33.557999pt" to="572.620999pt,33.557999pt" stroked="true" strokeweight=".533pt" strokecolor="#231f20">
          <v:stroke dashstyle="solid"/>
          <w10:wrap type="none"/>
        </v:line>
      </w:pict>
    </w:r>
    <w:r>
      <w:rPr/>
      <w:pict>
        <v:line style="position:absolute;mso-position-horizontal-relative:page;mso-position-vertical-relative:page;z-index:-39445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4432" type="#_x0000_t202" filled="false" stroked="false">
          <v:textbox inset="0,0,0,0">
            <w:txbxContent>
              <w:p>
                <w:pPr>
                  <w:spacing w:before="26"/>
                  <w:ind w:left="20" w:right="0" w:firstLine="0"/>
                  <w:jc w:val="left"/>
                  <w:rPr>
                    <w:sz w:val="23"/>
                  </w:rPr>
                </w:pPr>
                <w:r>
                  <w:rPr>
                    <w:color w:val="231F20"/>
                    <w:w w:val="95"/>
                    <w:sz w:val="23"/>
                  </w:rPr>
                  <w:t>33241</w:t>
                </w:r>
              </w:p>
            </w:txbxContent>
          </v:textbox>
          <w10:wrap type="none"/>
        </v:shape>
      </w:pict>
    </w:r>
    <w:r>
      <w:rPr/>
      <w:pict>
        <v:shape style="position:absolute;margin-left:171.712006pt;margin-top:38.275845pt;width:277.650pt;height:13.65pt;mso-position-horizontal-relative:page;mso-position-vertical-relative:page;z-index:-39440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888" from="22.653999pt,33.557999pt" to="572.620999pt,33.557999pt" stroked="true" strokeweight=".533pt" strokecolor="#231f20">
          <v:stroke dashstyle="solid"/>
          <w10:wrap type="none"/>
        </v:line>
      </w:pict>
    </w:r>
    <w:r>
      <w:rPr/>
      <w:pict>
        <v:line style="position:absolute;mso-position-horizontal-relative:page;mso-position-vertical-relative:page;z-index:-39186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1840"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33303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81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792" from="22.653999pt,33.557999pt" to="572.620999pt,33.557999pt" stroked="true" strokeweight=".533pt" strokecolor="#231f20">
          <v:stroke dashstyle="solid"/>
          <w10:wrap type="none"/>
        </v:line>
      </w:pict>
    </w:r>
    <w:r>
      <w:rPr/>
      <w:pict>
        <v:line style="position:absolute;mso-position-horizontal-relative:page;mso-position-vertical-relative:page;z-index:-39176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1744" type="#_x0000_t202" filled="false" stroked="false">
          <v:textbox inset="0,0,0,0">
            <w:txbxContent>
              <w:p>
                <w:pPr>
                  <w:spacing w:before="26"/>
                  <w:ind w:left="20" w:right="0" w:firstLine="0"/>
                  <w:jc w:val="left"/>
                  <w:rPr>
                    <w:sz w:val="23"/>
                  </w:rPr>
                </w:pPr>
                <w:r>
                  <w:rPr>
                    <w:color w:val="231F20"/>
                    <w:w w:val="95"/>
                    <w:sz w:val="23"/>
                  </w:rPr>
                  <w:t>33310</w:t>
                </w:r>
              </w:p>
            </w:txbxContent>
          </v:textbox>
          <w10:wrap type="none"/>
        </v:shape>
      </w:pict>
    </w:r>
    <w:r>
      <w:rPr/>
      <w:pict>
        <v:shape style="position:absolute;margin-left:171.712006pt;margin-top:38.275845pt;width:277.650pt;height:13.65pt;mso-position-horizontal-relative:page;mso-position-vertical-relative:page;z-index:-39172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696" from="22.653999pt,33.557999pt" to="572.620999pt,33.557999pt" stroked="true" strokeweight=".533pt" strokecolor="#231f20">
          <v:stroke dashstyle="solid"/>
          <w10:wrap type="none"/>
        </v:line>
      </w:pict>
    </w:r>
    <w:r>
      <w:rPr/>
      <w:pict>
        <v:line style="position:absolute;mso-position-horizontal-relative:page;mso-position-vertical-relative:page;z-index:-39167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1648" type="#_x0000_t202" filled="false" stroked="false">
          <v:textbox inset="0,0,0,0">
            <w:txbxContent>
              <w:p>
                <w:pPr>
                  <w:spacing w:before="26"/>
                  <w:ind w:left="40" w:right="0" w:firstLine="0"/>
                  <w:jc w:val="left"/>
                  <w:rPr>
                    <w:sz w:val="23"/>
                  </w:rPr>
                </w:pPr>
                <w:r>
                  <w:rPr>
                    <w:color w:val="231F20"/>
                    <w:sz w:val="23"/>
                  </w:rPr>
                  <w:t>33313</w:t>
                </w:r>
              </w:p>
            </w:txbxContent>
          </v:textbox>
          <w10:wrap type="none"/>
        </v:shape>
      </w:pict>
    </w:r>
    <w:r>
      <w:rPr/>
      <w:pict>
        <v:shape style="position:absolute;margin-left:171.712006pt;margin-top:38.275845pt;width:277.650pt;height:13.65pt;mso-position-horizontal-relative:page;mso-position-vertical-relative:page;z-index:-39162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600" from="22.653999pt,33.557999pt" to="572.620999pt,33.557999pt" stroked="true" strokeweight=".533pt" strokecolor="#231f20">
          <v:stroke dashstyle="solid"/>
          <w10:wrap type="none"/>
        </v:line>
      </w:pict>
    </w:r>
    <w:r>
      <w:rPr/>
      <w:pict>
        <v:line style="position:absolute;mso-position-horizontal-relative:page;mso-position-vertical-relative:page;z-index:-39157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1552"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33312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52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504" from="22.653999pt,33.557999pt" to="572.620999pt,33.557999pt" stroked="true" strokeweight=".533pt" strokecolor="#231f20">
          <v:stroke dashstyle="solid"/>
          <w10:wrap type="none"/>
        </v:line>
      </w:pict>
    </w:r>
    <w:r>
      <w:rPr/>
      <w:pict>
        <v:line style="position:absolute;mso-position-horizontal-relative:page;mso-position-vertical-relative:page;z-index:-39148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1456"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33313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43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408" from="22.653999pt,33.557999pt" to="572.620999pt,33.557999pt" stroked="true" strokeweight=".533pt" strokecolor="#231f20">
          <v:stroke dashstyle="solid"/>
          <w10:wrap type="none"/>
        </v:line>
      </w:pict>
    </w:r>
    <w:r>
      <w:rPr/>
      <w:pict>
        <v:line style="position:absolute;mso-position-horizontal-relative:page;mso-position-vertical-relative:page;z-index:-39138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1360" type="#_x0000_t202" filled="false" stroked="false">
          <v:textbox inset="0,0,0,0">
            <w:txbxContent>
              <w:p>
                <w:pPr>
                  <w:spacing w:before="26"/>
                  <w:ind w:left="20" w:right="0" w:firstLine="0"/>
                  <w:jc w:val="left"/>
                  <w:rPr>
                    <w:sz w:val="23"/>
                  </w:rPr>
                </w:pPr>
                <w:r>
                  <w:rPr>
                    <w:color w:val="231F20"/>
                    <w:w w:val="90"/>
                    <w:sz w:val="23"/>
                  </w:rPr>
                  <w:t>33320</w:t>
                </w:r>
              </w:p>
            </w:txbxContent>
          </v:textbox>
          <w10:wrap type="none"/>
        </v:shape>
      </w:pict>
    </w:r>
    <w:r>
      <w:rPr/>
      <w:pict>
        <v:shape style="position:absolute;margin-left:171.712006pt;margin-top:38.275845pt;width:277.650pt;height:13.65pt;mso-position-horizontal-relative:page;mso-position-vertical-relative:page;z-index:-39133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312" from="22.653999pt,33.557999pt" to="572.620999pt,33.557999pt" stroked="true" strokeweight=".533pt" strokecolor="#231f20">
          <v:stroke dashstyle="solid"/>
          <w10:wrap type="none"/>
        </v:line>
      </w:pict>
    </w:r>
    <w:r>
      <w:rPr/>
      <w:pict>
        <v:line style="position:absolute;mso-position-horizontal-relative:page;mso-position-vertical-relative:page;z-index:-39128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1264" type="#_x0000_t202" filled="false" stroked="false">
          <v:textbox inset="0,0,0,0">
            <w:txbxContent>
              <w:p>
                <w:pPr>
                  <w:spacing w:before="26"/>
                  <w:ind w:left="20" w:right="0" w:firstLine="0"/>
                  <w:jc w:val="left"/>
                  <w:rPr>
                    <w:sz w:val="23"/>
                  </w:rPr>
                </w:pPr>
                <w:r>
                  <w:rPr>
                    <w:color w:val="231F20"/>
                    <w:w w:val="95"/>
                    <w:sz w:val="23"/>
                  </w:rPr>
                  <w:t>33321</w:t>
                </w:r>
              </w:p>
            </w:txbxContent>
          </v:textbox>
          <w10:wrap type="none"/>
        </v:shape>
      </w:pict>
    </w:r>
    <w:r>
      <w:rPr/>
      <w:pict>
        <v:shape style="position:absolute;margin-left:171.712006pt;margin-top:38.275845pt;width:277.650pt;height:13.65pt;mso-position-horizontal-relative:page;mso-position-vertical-relative:page;z-index:-39124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216" from="22.653999pt,33.557999pt" to="572.620999pt,33.557999pt" stroked="true" strokeweight=".533pt" strokecolor="#231f20">
          <v:stroke dashstyle="solid"/>
          <w10:wrap type="none"/>
        </v:line>
      </w:pict>
    </w:r>
    <w:r>
      <w:rPr/>
      <w:pict>
        <v:line style="position:absolute;mso-position-horizontal-relative:page;mso-position-vertical-relative:page;z-index:-39119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116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33322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14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120" from="22.653999pt,33.557999pt" to="572.620999pt,33.557999pt" stroked="true" strokeweight=".533pt" strokecolor="#231f20">
          <v:stroke dashstyle="solid"/>
          <w10:wrap type="none"/>
        </v:line>
      </w:pict>
    </w:r>
    <w:r>
      <w:rPr/>
      <w:pict>
        <v:line style="position:absolute;mso-position-horizontal-relative:page;mso-position-vertical-relative:page;z-index:-39109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107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33323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104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1024" from="22.653999pt,33.557999pt" to="572.620999pt,33.557999pt" stroked="true" strokeweight=".533pt" strokecolor="#231f20">
          <v:stroke dashstyle="solid"/>
          <w10:wrap type="none"/>
        </v:line>
      </w:pict>
    </w:r>
    <w:r>
      <w:rPr/>
      <w:pict>
        <v:line style="position:absolute;mso-position-horizontal-relative:page;mso-position-vertical-relative:page;z-index:-39100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0976" type="#_x0000_t202" filled="false" stroked="false">
          <v:textbox inset="0,0,0,0">
            <w:txbxContent>
              <w:p>
                <w:pPr>
                  <w:spacing w:before="26"/>
                  <w:ind w:left="20" w:right="0" w:firstLine="0"/>
                  <w:jc w:val="left"/>
                  <w:rPr>
                    <w:sz w:val="23"/>
                  </w:rPr>
                </w:pPr>
                <w:r>
                  <w:rPr>
                    <w:color w:val="231F20"/>
                    <w:w w:val="90"/>
                    <w:sz w:val="23"/>
                  </w:rPr>
                  <w:t>33330</w:t>
                </w:r>
              </w:p>
            </w:txbxContent>
          </v:textbox>
          <w10:wrap type="none"/>
        </v:shape>
      </w:pict>
    </w:r>
    <w:r>
      <w:rPr/>
      <w:pict>
        <v:shape style="position:absolute;margin-left:171.712006pt;margin-top:38.275845pt;width:277.650pt;height:13.65pt;mso-position-horizontal-relative:page;mso-position-vertical-relative:page;z-index:-39095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384" from="22.653999pt,33.557999pt" to="572.620999pt,33.557999pt" stroked="true" strokeweight=".533pt" strokecolor="#231f20">
          <v:stroke dashstyle="solid"/>
          <w10:wrap type="none"/>
        </v:line>
      </w:pict>
    </w:r>
    <w:r>
      <w:rPr/>
      <w:pict>
        <v:line style="position:absolute;mso-position-horizontal-relative:page;mso-position-vertical-relative:page;z-index:-39436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4336" type="#_x0000_t202" filled="false" stroked="false">
          <v:textbox inset="0,0,0,0">
            <w:txbxContent>
              <w:p>
                <w:pPr>
                  <w:spacing w:before="26"/>
                  <w:ind w:left="40" w:right="0" w:firstLine="0"/>
                  <w:jc w:val="left"/>
                  <w:rPr>
                    <w:sz w:val="23"/>
                  </w:rPr>
                </w:pPr>
                <w:r>
                  <w:rPr>
                    <w:color w:val="231F20"/>
                    <w:w w:val="95"/>
                    <w:sz w:val="23"/>
                  </w:rPr>
                  <w:t>33242</w:t>
                </w:r>
              </w:p>
            </w:txbxContent>
          </v:textbox>
          <w10:wrap type="none"/>
        </v:shape>
      </w:pict>
    </w:r>
    <w:r>
      <w:rPr/>
      <w:pict>
        <v:shape style="position:absolute;margin-left:171.712006pt;margin-top:38.275845pt;width:277.650pt;height:13.65pt;mso-position-horizontal-relative:page;mso-position-vertical-relative:page;z-index:-39431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928" from="22.653999pt,33.557999pt" to="572.620999pt,33.557999pt" stroked="true" strokeweight=".533pt" strokecolor="#231f20">
          <v:stroke dashstyle="solid"/>
          <w10:wrap type="none"/>
        </v:line>
      </w:pict>
    </w:r>
    <w:r>
      <w:rPr/>
      <w:pict>
        <v:line style="position:absolute;mso-position-horizontal-relative:page;mso-position-vertical-relative:page;z-index:-390904"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0880" type="#_x0000_t202" filled="false" stroked="false">
          <v:textbox inset="0,0,0,0">
            <w:txbxContent>
              <w:p>
                <w:pPr>
                  <w:spacing w:before="26"/>
                  <w:ind w:left="20" w:right="0" w:firstLine="0"/>
                  <w:jc w:val="left"/>
                  <w:rPr>
                    <w:sz w:val="23"/>
                  </w:rPr>
                </w:pPr>
                <w:r>
                  <w:rPr>
                    <w:color w:val="231F20"/>
                    <w:w w:val="95"/>
                    <w:sz w:val="23"/>
                  </w:rPr>
                  <w:t>33331</w:t>
                </w:r>
              </w:p>
            </w:txbxContent>
          </v:textbox>
          <w10:wrap type="none"/>
        </v:shape>
      </w:pict>
    </w:r>
    <w:r>
      <w:rPr/>
      <w:pict>
        <v:shape style="position:absolute;margin-left:171.712006pt;margin-top:38.275845pt;width:277.650pt;height:13.65pt;mso-position-horizontal-relative:page;mso-position-vertical-relative:page;z-index:-39085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832" from="22.653999pt,33.557999pt" to="572.620999pt,33.557999pt" stroked="true" strokeweight=".533pt" strokecolor="#231f20">
          <v:stroke dashstyle="solid"/>
          <w10:wrap type="none"/>
        </v:line>
      </w:pict>
    </w:r>
    <w:r>
      <w:rPr/>
      <w:pict>
        <v:line style="position:absolute;mso-position-horizontal-relative:page;mso-position-vertical-relative:page;z-index:-39080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078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33332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076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736" from="22.653999pt,33.557999pt" to="572.620999pt,33.557999pt" stroked="true" strokeweight=".533pt" strokecolor="#231f20">
          <v:stroke dashstyle="solid"/>
          <w10:wrap type="none"/>
        </v:line>
      </w:pict>
    </w:r>
    <w:r>
      <w:rPr/>
      <w:pict>
        <v:line style="position:absolute;mso-position-horizontal-relative:page;mso-position-vertical-relative:page;z-index:-39071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068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33333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066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640" from="22.653999pt,33.557999pt" to="572.620999pt,33.557999pt" stroked="true" strokeweight=".533pt" strokecolor="#231f20">
          <v:stroke dashstyle="solid"/>
          <w10:wrap type="none"/>
        </v:line>
      </w:pict>
    </w:r>
    <w:r>
      <w:rPr/>
      <w:pict>
        <v:line style="position:absolute;mso-position-horizontal-relative:page;mso-position-vertical-relative:page;z-index:-390616"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0592" type="#_x0000_t202" filled="false" stroked="false">
          <v:textbox inset="0,0,0,0">
            <w:txbxContent>
              <w:p>
                <w:pPr>
                  <w:spacing w:before="26"/>
                  <w:ind w:left="20" w:right="0" w:firstLine="0"/>
                  <w:jc w:val="left"/>
                  <w:rPr>
                    <w:sz w:val="23"/>
                  </w:rPr>
                </w:pPr>
                <w:r>
                  <w:rPr>
                    <w:color w:val="231F20"/>
                    <w:w w:val="90"/>
                    <w:sz w:val="23"/>
                  </w:rPr>
                  <w:t>33340</w:t>
                </w:r>
              </w:p>
            </w:txbxContent>
          </v:textbox>
          <w10:wrap type="none"/>
        </v:shape>
      </w:pict>
    </w:r>
    <w:r>
      <w:rPr/>
      <w:pict>
        <v:shape style="position:absolute;margin-left:171.712006pt;margin-top:38.275845pt;width:277.650pt;height:13.65pt;mso-position-horizontal-relative:page;mso-position-vertical-relative:page;z-index:-39056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544" from="22.653999pt,33.557999pt" to="572.620999pt,33.557999pt" stroked="true" strokeweight=".533pt" strokecolor="#231f20">
          <v:stroke dashstyle="solid"/>
          <w10:wrap type="none"/>
        </v:line>
      </w:pict>
    </w:r>
    <w:r>
      <w:rPr/>
      <w:pict>
        <v:line style="position:absolute;mso-position-horizontal-relative:page;mso-position-vertical-relative:page;z-index:-390520"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0496" type="#_x0000_t202" filled="false" stroked="false">
          <v:textbox inset="0,0,0,0">
            <w:txbxContent>
              <w:p>
                <w:pPr>
                  <w:spacing w:before="26"/>
                  <w:ind w:left="20" w:right="0" w:firstLine="0"/>
                  <w:jc w:val="left"/>
                  <w:rPr>
                    <w:sz w:val="23"/>
                  </w:rPr>
                </w:pPr>
                <w:r>
                  <w:rPr>
                    <w:color w:val="231F20"/>
                    <w:w w:val="95"/>
                    <w:sz w:val="23"/>
                  </w:rPr>
                  <w:t>33341</w:t>
                </w:r>
              </w:p>
            </w:txbxContent>
          </v:textbox>
          <w10:wrap type="none"/>
        </v:shape>
      </w:pict>
    </w:r>
    <w:r>
      <w:rPr/>
      <w:pict>
        <v:shape style="position:absolute;margin-left:171.712006pt;margin-top:38.275845pt;width:277.650pt;height:13.65pt;mso-position-horizontal-relative:page;mso-position-vertical-relative:page;z-index:-39047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448" from="22.653999pt,33.557999pt" to="572.620999pt,33.557999pt" stroked="true" strokeweight=".533pt" strokecolor="#231f20">
          <v:stroke dashstyle="solid"/>
          <w10:wrap type="none"/>
        </v:line>
      </w:pict>
    </w:r>
    <w:r>
      <w:rPr/>
      <w:pict>
        <v:line style="position:absolute;mso-position-horizontal-relative:page;mso-position-vertical-relative:page;z-index:-390424"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040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33342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037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352" from="22.653999pt,33.557999pt" to="572.620999pt,33.557999pt" stroked="true" strokeweight=".533pt" strokecolor="#231f20">
          <v:stroke dashstyle="solid"/>
          <w10:wrap type="none"/>
        </v:line>
      </w:pict>
    </w:r>
    <w:r>
      <w:rPr/>
      <w:pict>
        <v:line style="position:absolute;mso-position-horizontal-relative:page;mso-position-vertical-relative:page;z-index:-390328"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030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33343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028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256" from="22.653999pt,33.557999pt" to="572.620999pt,33.557999pt" stroked="true" strokeweight=".533pt" strokecolor="#231f20">
          <v:stroke dashstyle="solid"/>
          <w10:wrap type="none"/>
        </v:line>
      </w:pict>
    </w:r>
    <w:r>
      <w:rPr/>
      <w:pict>
        <v:line style="position:absolute;mso-position-horizontal-relative:page;mso-position-vertical-relative:page;z-index:-39023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0208" type="#_x0000_t202" filled="false" stroked="false">
          <v:textbox inset="0,0,0,0">
            <w:txbxContent>
              <w:p>
                <w:pPr>
                  <w:spacing w:before="26"/>
                  <w:ind w:left="20" w:right="0" w:firstLine="0"/>
                  <w:jc w:val="left"/>
                  <w:rPr>
                    <w:sz w:val="23"/>
                  </w:rPr>
                </w:pPr>
                <w:r>
                  <w:rPr>
                    <w:color w:val="231F20"/>
                    <w:w w:val="90"/>
                    <w:sz w:val="23"/>
                  </w:rPr>
                  <w:t>33350</w:t>
                </w:r>
              </w:p>
            </w:txbxContent>
          </v:textbox>
          <w10:wrap type="none"/>
        </v:shape>
      </w:pict>
    </w:r>
    <w:r>
      <w:rPr/>
      <w:pict>
        <v:shape style="position:absolute;margin-left:171.712006pt;margin-top:38.275845pt;width:277.650pt;height:13.65pt;mso-position-horizontal-relative:page;mso-position-vertical-relative:page;z-index:-39018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160" from="22.653999pt,33.557999pt" to="572.620999pt,33.557999pt" stroked="true" strokeweight=".533pt" strokecolor="#231f20">
          <v:stroke dashstyle="solid"/>
          <w10:wrap type="none"/>
        </v:line>
      </w:pict>
    </w:r>
    <w:r>
      <w:rPr/>
      <w:pict>
        <v:line style="position:absolute;mso-position-horizontal-relative:page;mso-position-vertical-relative:page;z-index:-39013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0112" type="#_x0000_t202" filled="false" stroked="false">
          <v:textbox inset="0,0,0,0">
            <w:txbxContent>
              <w:p>
                <w:pPr>
                  <w:spacing w:before="26"/>
                  <w:ind w:left="20" w:right="0" w:firstLine="0"/>
                  <w:jc w:val="left"/>
                  <w:rPr>
                    <w:sz w:val="23"/>
                  </w:rPr>
                </w:pPr>
                <w:r>
                  <w:rPr>
                    <w:color w:val="231F20"/>
                    <w:w w:val="95"/>
                    <w:sz w:val="23"/>
                  </w:rPr>
                  <w:t>33351</w:t>
                </w:r>
              </w:p>
            </w:txbxContent>
          </v:textbox>
          <w10:wrap type="none"/>
        </v:shape>
      </w:pict>
    </w:r>
    <w:r>
      <w:rPr/>
      <w:pict>
        <v:shape style="position:absolute;margin-left:171.712006pt;margin-top:38.275845pt;width:277.650pt;height:13.65pt;mso-position-horizontal-relative:page;mso-position-vertical-relative:page;z-index:-39008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0064" from="22.653999pt,33.557999pt" to="572.620999pt,33.557999pt" stroked="true" strokeweight=".533pt" strokecolor="#231f20">
          <v:stroke dashstyle="solid"/>
          <w10:wrap type="none"/>
        </v:line>
      </w:pict>
    </w:r>
    <w:r>
      <w:rPr/>
      <w:pict>
        <v:line style="position:absolute;mso-position-horizontal-relative:page;mso-position-vertical-relative:page;z-index:-39004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001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33352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99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288" from="22.653999pt,33.557999pt" to="572.620999pt,33.557999pt" stroked="true" strokeweight=".533pt" strokecolor="#231f20">
          <v:stroke dashstyle="solid"/>
          <w10:wrap type="none"/>
        </v:line>
      </w:pict>
    </w:r>
    <w:r>
      <w:rPr/>
      <w:pict>
        <v:line style="position:absolute;mso-position-horizontal-relative:page;mso-position-vertical-relative:page;z-index:-39426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9424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33243</w:t>
                </w:r>
                <w:r>
                  <w:rPr/>
                  <w:fldChar w:fldCharType="end"/>
                </w:r>
              </w:p>
            </w:txbxContent>
          </v:textbox>
          <w10:wrap type="none"/>
        </v:shape>
      </w:pict>
    </w:r>
    <w:r>
      <w:rPr/>
      <w:pict>
        <v:shape style="position:absolute;margin-left:171.712006pt;margin-top:38.275845pt;width:277.650pt;height:13.65pt;mso-position-horizontal-relative:page;mso-position-vertical-relative:page;z-index:-39421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968" from="22.653999pt,33.557999pt" to="572.620999pt,33.557999pt" stroked="true" strokeweight=".533pt" strokecolor="#231f20">
          <v:stroke dashstyle="solid"/>
          <w10:wrap type="none"/>
        </v:line>
      </w:pict>
    </w:r>
    <w:r>
      <w:rPr/>
      <w:pict>
        <v:line style="position:absolute;mso-position-horizontal-relative:page;mso-position-vertical-relative:page;z-index:-38994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992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33353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89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872" from="22.653999pt,33.557999pt" to="572.620999pt,33.557999pt" stroked="true" strokeweight=".533pt" strokecolor="#231f20">
          <v:stroke dashstyle="solid"/>
          <w10:wrap type="none"/>
        </v:line>
      </w:pict>
    </w:r>
    <w:r>
      <w:rPr/>
      <w:pict>
        <v:line style="position:absolute;mso-position-horizontal-relative:page;mso-position-vertical-relative:page;z-index:-38984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9824" type="#_x0000_t202" filled="false" stroked="false">
          <v:textbox inset="0,0,0,0">
            <w:txbxContent>
              <w:p>
                <w:pPr>
                  <w:spacing w:before="26"/>
                  <w:ind w:left="20" w:right="0" w:firstLine="0"/>
                  <w:jc w:val="left"/>
                  <w:rPr>
                    <w:sz w:val="23"/>
                  </w:rPr>
                </w:pPr>
                <w:r>
                  <w:rPr>
                    <w:color w:val="231F20"/>
                    <w:w w:val="90"/>
                    <w:sz w:val="23"/>
                  </w:rPr>
                  <w:t>33360</w:t>
                </w:r>
              </w:p>
            </w:txbxContent>
          </v:textbox>
          <w10:wrap type="none"/>
        </v:shape>
      </w:pict>
    </w:r>
    <w:r>
      <w:rPr/>
      <w:pict>
        <v:shape style="position:absolute;margin-left:171.712006pt;margin-top:38.275845pt;width:277.650pt;height:13.65pt;mso-position-horizontal-relative:page;mso-position-vertical-relative:page;z-index:-38980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776" from="22.653999pt,33.557999pt" to="572.620999pt,33.557999pt" stroked="true" strokeweight=".533pt" strokecolor="#231f20">
          <v:stroke dashstyle="solid"/>
          <w10:wrap type="none"/>
        </v:line>
      </w:pict>
    </w:r>
    <w:r>
      <w:rPr/>
      <w:pict>
        <v:line style="position:absolute;mso-position-horizontal-relative:page;mso-position-vertical-relative:page;z-index:-389752"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9728" type="#_x0000_t202" filled="false" stroked="false">
          <v:textbox inset="0,0,0,0">
            <w:txbxContent>
              <w:p>
                <w:pPr>
                  <w:spacing w:before="26"/>
                  <w:ind w:left="20" w:right="0" w:firstLine="0"/>
                  <w:jc w:val="left"/>
                  <w:rPr>
                    <w:sz w:val="23"/>
                  </w:rPr>
                </w:pPr>
                <w:r>
                  <w:rPr>
                    <w:color w:val="231F20"/>
                    <w:w w:val="95"/>
                    <w:sz w:val="23"/>
                  </w:rPr>
                  <w:t>33361</w:t>
                </w:r>
              </w:p>
            </w:txbxContent>
          </v:textbox>
          <w10:wrap type="none"/>
        </v:shape>
      </w:pict>
    </w:r>
    <w:r>
      <w:rPr/>
      <w:pict>
        <v:shape style="position:absolute;margin-left:171.712006pt;margin-top:38.275845pt;width:277.650pt;height:13.65pt;mso-position-horizontal-relative:page;mso-position-vertical-relative:page;z-index:-38970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680" from="22.653999pt,33.557999pt" to="572.620999pt,33.557999pt" stroked="true" strokeweight=".533pt" strokecolor="#231f20">
          <v:stroke dashstyle="solid"/>
          <w10:wrap type="none"/>
        </v:line>
      </w:pict>
    </w:r>
    <w:r>
      <w:rPr/>
      <w:pict>
        <v:line style="position:absolute;mso-position-horizontal-relative:page;mso-position-vertical-relative:page;z-index:-38965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963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33362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60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584" from="22.653999pt,33.557999pt" to="572.620999pt,33.557999pt" stroked="true" strokeweight=".533pt" strokecolor="#231f20">
          <v:stroke dashstyle="solid"/>
          <w10:wrap type="none"/>
        </v:line>
      </w:pict>
    </w:r>
    <w:r>
      <w:rPr/>
      <w:pict>
        <v:line style="position:absolute;mso-position-horizontal-relative:page;mso-position-vertical-relative:page;z-index:-38956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953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33363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51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488" from="22.653999pt,33.557999pt" to="572.620999pt,33.557999pt" stroked="true" strokeweight=".533pt" strokecolor="#231f20">
          <v:stroke dashstyle="solid"/>
          <w10:wrap type="none"/>
        </v:line>
      </w:pict>
    </w:r>
    <w:r>
      <w:rPr/>
      <w:pict>
        <v:line style="position:absolute;mso-position-horizontal-relative:page;mso-position-vertical-relative:page;z-index:-38946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9440" type="#_x0000_t202" filled="false" stroked="false">
          <v:textbox inset="0,0,0,0">
            <w:txbxContent>
              <w:p>
                <w:pPr>
                  <w:spacing w:before="26"/>
                  <w:ind w:left="20" w:right="0" w:firstLine="0"/>
                  <w:jc w:val="left"/>
                  <w:rPr>
                    <w:sz w:val="23"/>
                  </w:rPr>
                </w:pPr>
                <w:r>
                  <w:rPr>
                    <w:color w:val="231F20"/>
                    <w:w w:val="90"/>
                    <w:sz w:val="23"/>
                  </w:rPr>
                  <w:t>33370</w:t>
                </w:r>
              </w:p>
            </w:txbxContent>
          </v:textbox>
          <w10:wrap type="none"/>
        </v:shape>
      </w:pict>
    </w:r>
    <w:r>
      <w:rPr/>
      <w:pict>
        <v:shape style="position:absolute;margin-left:171.712006pt;margin-top:38.275845pt;width:277.650pt;height:13.65pt;mso-position-horizontal-relative:page;mso-position-vertical-relative:page;z-index:-38941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392" from="22.653999pt,33.557999pt" to="572.620999pt,33.557999pt" stroked="true" strokeweight=".533pt" strokecolor="#231f20">
          <v:stroke dashstyle="solid"/>
          <w10:wrap type="none"/>
        </v:line>
      </w:pict>
    </w:r>
    <w:r>
      <w:rPr/>
      <w:pict>
        <v:line style="position:absolute;mso-position-horizontal-relative:page;mso-position-vertical-relative:page;z-index:-38936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9344" type="#_x0000_t202" filled="false" stroked="false">
          <v:textbox inset="0,0,0,0">
            <w:txbxContent>
              <w:p>
                <w:pPr>
                  <w:spacing w:before="26"/>
                  <w:ind w:left="20" w:right="0" w:firstLine="0"/>
                  <w:jc w:val="left"/>
                  <w:rPr>
                    <w:sz w:val="23"/>
                  </w:rPr>
                </w:pPr>
                <w:r>
                  <w:rPr>
                    <w:color w:val="231F20"/>
                    <w:sz w:val="23"/>
                  </w:rPr>
                  <w:t>33371</w:t>
                </w:r>
              </w:p>
            </w:txbxContent>
          </v:textbox>
          <w10:wrap type="none"/>
        </v:shape>
      </w:pict>
    </w:r>
    <w:r>
      <w:rPr/>
      <w:pict>
        <v:shape style="position:absolute;margin-left:171.712006pt;margin-top:38.275845pt;width:277.650pt;height:13.65pt;mso-position-horizontal-relative:page;mso-position-vertical-relative:page;z-index:-38932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296" from="22.653999pt,33.557999pt" to="572.620999pt,33.557999pt" stroked="true" strokeweight=".533pt" strokecolor="#231f20">
          <v:stroke dashstyle="solid"/>
          <w10:wrap type="none"/>
        </v:line>
      </w:pict>
    </w:r>
    <w:r>
      <w:rPr/>
      <w:pict>
        <v:line style="position:absolute;mso-position-horizontal-relative:page;mso-position-vertical-relative:page;z-index:-38927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924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33372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22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200" from="22.653999pt,33.557999pt" to="572.620999pt,33.557999pt" stroked="true" strokeweight=".533pt" strokecolor="#231f20">
          <v:stroke dashstyle="solid"/>
          <w10:wrap type="none"/>
        </v:line>
      </w:pict>
    </w:r>
    <w:r>
      <w:rPr/>
      <w:pict>
        <v:line style="position:absolute;mso-position-horizontal-relative:page;mso-position-vertical-relative:page;z-index:-38917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915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33373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912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104" from="22.653999pt,33.557999pt" to="572.620999pt,33.557999pt" stroked="true" strokeweight=".533pt" strokecolor="#231f20">
          <v:stroke dashstyle="solid"/>
          <w10:wrap type="none"/>
        </v:line>
      </w:pict>
    </w:r>
    <w:r>
      <w:rPr/>
      <w:pict>
        <v:line style="position:absolute;mso-position-horizontal-relative:page;mso-position-vertical-relative:page;z-index:-38908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9056" type="#_x0000_t202" filled="false" stroked="false">
          <v:textbox inset="0,0,0,0">
            <w:txbxContent>
              <w:p>
                <w:pPr>
                  <w:spacing w:before="26"/>
                  <w:ind w:left="20" w:right="0" w:firstLine="0"/>
                  <w:jc w:val="left"/>
                  <w:rPr>
                    <w:sz w:val="23"/>
                  </w:rPr>
                </w:pPr>
                <w:r>
                  <w:rPr>
                    <w:color w:val="231F20"/>
                    <w:w w:val="90"/>
                    <w:sz w:val="23"/>
                  </w:rPr>
                  <w:t>33380</w:t>
                </w:r>
              </w:p>
            </w:txbxContent>
          </v:textbox>
          <w10:wrap type="none"/>
        </v:shape>
      </w:pict>
    </w:r>
    <w:r>
      <w:rPr/>
      <w:pict>
        <v:shape style="position:absolute;margin-left:171.712006pt;margin-top:38.275845pt;width:277.650pt;height:13.65pt;mso-position-horizontal-relative:page;mso-position-vertical-relative:page;z-index:-38903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192" from="22.653999pt,33.557999pt" to="572.620999pt,33.557999pt" stroked="true" strokeweight=".533pt" strokecolor="#231f20">
          <v:stroke dashstyle="solid"/>
          <w10:wrap type="none"/>
        </v:line>
      </w:pict>
    </w:r>
    <w:r>
      <w:rPr/>
      <w:pict>
        <v:line style="position:absolute;mso-position-horizontal-relative:page;mso-position-vertical-relative:page;z-index:-39416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414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33244</w:t>
                </w:r>
                <w:r>
                  <w:rPr/>
                  <w:fldChar w:fldCharType="end"/>
                </w:r>
              </w:p>
            </w:txbxContent>
          </v:textbox>
          <w10:wrap type="none"/>
        </v:shape>
      </w:pict>
    </w:r>
    <w:r>
      <w:rPr/>
      <w:pict>
        <v:shape style="position:absolute;margin-left:171.712006pt;margin-top:38.275845pt;width:277.650pt;height:13.65pt;mso-position-horizontal-relative:page;mso-position-vertical-relative:page;z-index:-39412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9008" from="22.653999pt,33.557999pt" to="572.620999pt,33.557999pt" stroked="true" strokeweight=".533pt" strokecolor="#231f20">
          <v:stroke dashstyle="solid"/>
          <w10:wrap type="none"/>
        </v:line>
      </w:pict>
    </w:r>
    <w:r>
      <w:rPr/>
      <w:pict>
        <v:line style="position:absolute;mso-position-horizontal-relative:page;mso-position-vertical-relative:page;z-index:-388984"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8960" type="#_x0000_t202" filled="false" stroked="false">
          <v:textbox inset="0,0,0,0">
            <w:txbxContent>
              <w:p>
                <w:pPr>
                  <w:spacing w:before="26"/>
                  <w:ind w:left="20" w:right="0" w:firstLine="0"/>
                  <w:jc w:val="left"/>
                  <w:rPr>
                    <w:sz w:val="23"/>
                  </w:rPr>
                </w:pPr>
                <w:r>
                  <w:rPr>
                    <w:color w:val="231F20"/>
                    <w:w w:val="95"/>
                    <w:sz w:val="23"/>
                  </w:rPr>
                  <w:t>33381</w:t>
                </w:r>
              </w:p>
            </w:txbxContent>
          </v:textbox>
          <w10:wrap type="none"/>
        </v:shape>
      </w:pict>
    </w:r>
    <w:r>
      <w:rPr/>
      <w:pict>
        <v:shape style="position:absolute;margin-left:171.712006pt;margin-top:38.275845pt;width:277.650pt;height:13.65pt;mso-position-horizontal-relative:page;mso-position-vertical-relative:page;z-index:-38893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912" from="22.653999pt,33.557999pt" to="572.620999pt,33.557999pt" stroked="true" strokeweight=".533pt" strokecolor="#231f20">
          <v:stroke dashstyle="solid"/>
          <w10:wrap type="none"/>
        </v:line>
      </w:pict>
    </w:r>
    <w:r>
      <w:rPr/>
      <w:pict>
        <v:line style="position:absolute;mso-position-horizontal-relative:page;mso-position-vertical-relative:page;z-index:-38888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8864"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33382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884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816" from="22.653999pt,33.557999pt" to="572.620999pt,33.557999pt" stroked="true" strokeweight=".533pt" strokecolor="#231f20">
          <v:stroke dashstyle="solid"/>
          <w10:wrap type="none"/>
        </v:line>
      </w:pict>
    </w:r>
    <w:r>
      <w:rPr/>
      <w:pict>
        <v:line style="position:absolute;mso-position-horizontal-relative:page;mso-position-vertical-relative:page;z-index:-38879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876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33383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874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720" from="22.653999pt,33.557999pt" to="572.620999pt,33.557999pt" stroked="true" strokeweight=".533pt" strokecolor="#231f20">
          <v:stroke dashstyle="solid"/>
          <w10:wrap type="none"/>
        </v:line>
      </w:pict>
    </w:r>
    <w:r>
      <w:rPr/>
      <w:pict>
        <v:line style="position:absolute;mso-position-horizontal-relative:page;mso-position-vertical-relative:page;z-index:-388696"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8672" type="#_x0000_t202" filled="false" stroked="false">
          <v:textbox inset="0,0,0,0">
            <w:txbxContent>
              <w:p>
                <w:pPr>
                  <w:spacing w:before="26"/>
                  <w:ind w:left="20" w:right="0" w:firstLine="0"/>
                  <w:jc w:val="left"/>
                  <w:rPr>
                    <w:sz w:val="23"/>
                  </w:rPr>
                </w:pPr>
                <w:r>
                  <w:rPr>
                    <w:color w:val="231F20"/>
                    <w:w w:val="90"/>
                    <w:sz w:val="23"/>
                  </w:rPr>
                  <w:t>33390</w:t>
                </w:r>
              </w:p>
            </w:txbxContent>
          </v:textbox>
          <w10:wrap type="none"/>
        </v:shape>
      </w:pict>
    </w:r>
    <w:r>
      <w:rPr/>
      <w:pict>
        <v:shape style="position:absolute;margin-left:171.712006pt;margin-top:38.275845pt;width:277.650pt;height:13.65pt;mso-position-horizontal-relative:page;mso-position-vertical-relative:page;z-index:-38864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624" from="22.653999pt,33.557999pt" to="572.620999pt,33.557999pt" stroked="true" strokeweight=".533pt" strokecolor="#231f20">
          <v:stroke dashstyle="solid"/>
          <w10:wrap type="none"/>
        </v:line>
      </w:pict>
    </w:r>
    <w:r>
      <w:rPr/>
      <w:pict>
        <v:line style="position:absolute;mso-position-horizontal-relative:page;mso-position-vertical-relative:page;z-index:-388600"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8576" type="#_x0000_t202" filled="false" stroked="false">
          <v:textbox inset="0,0,0,0">
            <w:txbxContent>
              <w:p>
                <w:pPr>
                  <w:spacing w:before="26"/>
                  <w:ind w:left="20" w:right="0" w:firstLine="0"/>
                  <w:jc w:val="left"/>
                  <w:rPr>
                    <w:sz w:val="23"/>
                  </w:rPr>
                </w:pPr>
                <w:r>
                  <w:rPr>
                    <w:color w:val="231F20"/>
                    <w:w w:val="95"/>
                    <w:sz w:val="23"/>
                  </w:rPr>
                  <w:t>33391</w:t>
                </w:r>
              </w:p>
            </w:txbxContent>
          </v:textbox>
          <w10:wrap type="none"/>
        </v:shape>
      </w:pict>
    </w:r>
    <w:r>
      <w:rPr/>
      <w:pict>
        <v:shape style="position:absolute;margin-left:171.712006pt;margin-top:38.275845pt;width:277.650pt;height:13.65pt;mso-position-horizontal-relative:page;mso-position-vertical-relative:page;z-index:-38855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528" from="22.653999pt,33.557999pt" to="572.620999pt,33.557999pt" stroked="true" strokeweight=".533pt" strokecolor="#231f20">
          <v:stroke dashstyle="solid"/>
          <w10:wrap type="none"/>
        </v:line>
      </w:pict>
    </w:r>
    <w:r>
      <w:rPr/>
      <w:pict>
        <v:line style="position:absolute;mso-position-horizontal-relative:page;mso-position-vertical-relative:page;z-index:-388504"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848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33392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845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432" from="22.653999pt,33.557999pt" to="572.620999pt,33.557999pt" stroked="true" strokeweight=".533pt" strokecolor="#231f20">
          <v:stroke dashstyle="solid"/>
          <w10:wrap type="none"/>
        </v:line>
      </w:pict>
    </w:r>
    <w:r>
      <w:rPr/>
      <w:pict>
        <v:line style="position:absolute;mso-position-horizontal-relative:page;mso-position-vertical-relative:page;z-index:-388408"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838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33393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836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336" from="22.653999pt,33.557999pt" to="572.620999pt,33.557999pt" stroked="true" strokeweight=".533pt" strokecolor="#231f20">
          <v:stroke dashstyle="solid"/>
          <w10:wrap type="none"/>
        </v:line>
      </w:pict>
    </w:r>
    <w:r>
      <w:rPr/>
      <w:pict>
        <v:line style="position:absolute;mso-position-horizontal-relative:page;mso-position-vertical-relative:page;z-index:-38831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8288" type="#_x0000_t202" filled="false" stroked="false">
          <v:textbox inset="0,0,0,0">
            <w:txbxContent>
              <w:p>
                <w:pPr>
                  <w:spacing w:before="26"/>
                  <w:ind w:left="20" w:right="0" w:firstLine="0"/>
                  <w:jc w:val="left"/>
                  <w:rPr>
                    <w:sz w:val="23"/>
                  </w:rPr>
                </w:pPr>
                <w:r>
                  <w:rPr>
                    <w:color w:val="231F20"/>
                    <w:w w:val="90"/>
                    <w:sz w:val="23"/>
                  </w:rPr>
                  <w:t>33400</w:t>
                </w:r>
              </w:p>
            </w:txbxContent>
          </v:textbox>
          <w10:wrap type="none"/>
        </v:shape>
      </w:pict>
    </w:r>
    <w:r>
      <w:rPr/>
      <w:pict>
        <v:shape style="position:absolute;margin-left:171.712006pt;margin-top:38.275845pt;width:277.650pt;height:13.65pt;mso-position-horizontal-relative:page;mso-position-vertical-relative:page;z-index:-38826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240" from="22.653999pt,33.557999pt" to="572.620999pt,33.557999pt" stroked="true" strokeweight=".533pt" strokecolor="#231f20">
          <v:stroke dashstyle="solid"/>
          <w10:wrap type="none"/>
        </v:line>
      </w:pict>
    </w:r>
    <w:r>
      <w:rPr/>
      <w:pict>
        <v:line style="position:absolute;mso-position-horizontal-relative:page;mso-position-vertical-relative:page;z-index:-38821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8192" type="#_x0000_t202" filled="false" stroked="false">
          <v:textbox inset="0,0,0,0">
            <w:txbxContent>
              <w:p>
                <w:pPr>
                  <w:spacing w:before="26"/>
                  <w:ind w:left="20" w:right="0" w:firstLine="0"/>
                  <w:jc w:val="left"/>
                  <w:rPr>
                    <w:sz w:val="23"/>
                  </w:rPr>
                </w:pPr>
                <w:r>
                  <w:rPr>
                    <w:color w:val="231F20"/>
                    <w:w w:val="95"/>
                    <w:sz w:val="23"/>
                  </w:rPr>
                  <w:t>33401</w:t>
                </w:r>
              </w:p>
            </w:txbxContent>
          </v:textbox>
          <w10:wrap type="none"/>
        </v:shape>
      </w:pict>
    </w:r>
    <w:r>
      <w:rPr/>
      <w:pict>
        <v:shape style="position:absolute;margin-left:171.712006pt;margin-top:38.275845pt;width:277.650pt;height:13.65pt;mso-position-horizontal-relative:page;mso-position-vertical-relative:page;z-index:-38816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144" from="22.653999pt,33.557999pt" to="572.620999pt,33.557999pt" stroked="true" strokeweight=".533pt" strokecolor="#231f20">
          <v:stroke dashstyle="solid"/>
          <w10:wrap type="none"/>
        </v:line>
      </w:pict>
    </w:r>
    <w:r>
      <w:rPr/>
      <w:pict>
        <v:line style="position:absolute;mso-position-horizontal-relative:page;mso-position-vertical-relative:page;z-index:-38812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8096"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33402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807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096" from="22.653999pt,33.557999pt" to="572.620999pt,33.557999pt" stroked="true" strokeweight=".533pt" strokecolor="#231f20">
          <v:stroke dashstyle="solid"/>
          <w10:wrap type="none"/>
        </v:line>
      </w:pict>
    </w:r>
    <w:r>
      <w:rPr/>
      <w:pict>
        <v:line style="position:absolute;mso-position-horizontal-relative:page;mso-position-vertical-relative:page;z-index:-39407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94048" type="#_x0000_t202" filled="false" stroked="false">
          <v:textbox inset="0,0,0,0">
            <w:txbxContent>
              <w:p>
                <w:pPr>
                  <w:spacing w:before="26"/>
                  <w:ind w:left="20" w:right="0" w:firstLine="0"/>
                  <w:jc w:val="left"/>
                  <w:rPr>
                    <w:sz w:val="23"/>
                  </w:rPr>
                </w:pPr>
                <w:r>
                  <w:rPr>
                    <w:color w:val="231F20"/>
                    <w:w w:val="90"/>
                    <w:sz w:val="23"/>
                  </w:rPr>
                  <w:t>33250</w:t>
                </w:r>
              </w:p>
            </w:txbxContent>
          </v:textbox>
          <w10:wrap type="none"/>
        </v:shape>
      </w:pict>
    </w:r>
    <w:r>
      <w:rPr/>
      <w:pict>
        <v:shape style="position:absolute;margin-left:171.712006pt;margin-top:38.275845pt;width:277.650pt;height:13.65pt;mso-position-horizontal-relative:page;mso-position-vertical-relative:page;z-index:-39402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8048" from="22.653999pt,33.557999pt" to="572.620999pt,33.557999pt" stroked="true" strokeweight=".533pt" strokecolor="#231f20">
          <v:stroke dashstyle="solid"/>
          <w10:wrap type="none"/>
        </v:line>
      </w:pict>
    </w:r>
    <w:r>
      <w:rPr/>
      <w:pict>
        <v:line style="position:absolute;mso-position-horizontal-relative:page;mso-position-vertical-relative:page;z-index:-38802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8000" type="#_x0000_t202" filled="false" stroked="false">
          <v:textbox inset="0,0,0,0">
            <w:txbxContent>
              <w:p>
                <w:pPr>
                  <w:spacing w:before="26"/>
                  <w:ind w:left="40" w:right="0" w:firstLine="0"/>
                  <w:jc w:val="left"/>
                  <w:rPr>
                    <w:sz w:val="23"/>
                  </w:rPr>
                </w:pPr>
                <w:r>
                  <w:rPr/>
                  <w:fldChar w:fldCharType="begin"/>
                </w:r>
                <w:r>
                  <w:rPr>
                    <w:color w:val="231F20"/>
                    <w:w w:val="90"/>
                    <w:sz w:val="23"/>
                  </w:rPr>
                  <w:instrText> PAGE </w:instrText>
                </w:r>
                <w:r>
                  <w:rPr/>
                  <w:fldChar w:fldCharType="separate"/>
                </w:r>
                <w:r>
                  <w:rPr/>
                  <w:t>33403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797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952" from="22.653999pt,33.557999pt" to="572.620999pt,33.557999pt" stroked="true" strokeweight=".533pt" strokecolor="#231f20">
          <v:stroke dashstyle="solid"/>
          <w10:wrap type="none"/>
        </v:line>
      </w:pict>
    </w:r>
    <w:r>
      <w:rPr/>
      <w:pict>
        <v:line style="position:absolute;mso-position-horizontal-relative:page;mso-position-vertical-relative:page;z-index:-38792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7904" type="#_x0000_t202" filled="false" stroked="false">
          <v:textbox inset="0,0,0,0">
            <w:txbxContent>
              <w:p>
                <w:pPr>
                  <w:spacing w:before="26"/>
                  <w:ind w:left="20" w:right="0" w:firstLine="0"/>
                  <w:jc w:val="left"/>
                  <w:rPr>
                    <w:sz w:val="23"/>
                  </w:rPr>
                </w:pPr>
                <w:r>
                  <w:rPr>
                    <w:color w:val="231F20"/>
                    <w:w w:val="95"/>
                    <w:sz w:val="23"/>
                  </w:rPr>
                  <w:t>33410</w:t>
                </w:r>
              </w:p>
            </w:txbxContent>
          </v:textbox>
          <w10:wrap type="none"/>
        </v:shape>
      </w:pict>
    </w:r>
    <w:r>
      <w:rPr/>
      <w:pict>
        <v:shape style="position:absolute;margin-left:171.712006pt;margin-top:38.275845pt;width:277.650pt;height:13.65pt;mso-position-horizontal-relative:page;mso-position-vertical-relative:page;z-index:-38788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856" from="22.653999pt,33.557999pt" to="572.620999pt,33.557999pt" stroked="true" strokeweight=".533pt" strokecolor="#231f20">
          <v:stroke dashstyle="solid"/>
          <w10:wrap type="none"/>
        </v:line>
      </w:pict>
    </w:r>
    <w:r>
      <w:rPr/>
      <w:pict>
        <v:line style="position:absolute;mso-position-horizontal-relative:page;mso-position-vertical-relative:page;z-index:-38783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7808" type="#_x0000_t202" filled="false" stroked="false">
          <v:textbox inset="0,0,0,0">
            <w:txbxContent>
              <w:p>
                <w:pPr>
                  <w:spacing w:before="26"/>
                  <w:ind w:left="40" w:right="0" w:firstLine="0"/>
                  <w:jc w:val="left"/>
                  <w:rPr>
                    <w:sz w:val="23"/>
                  </w:rPr>
                </w:pPr>
                <w:r>
                  <w:rPr>
                    <w:color w:val="231F20"/>
                    <w:sz w:val="23"/>
                  </w:rPr>
                  <w:t>33413</w:t>
                </w:r>
              </w:p>
            </w:txbxContent>
          </v:textbox>
          <w10:wrap type="none"/>
        </v:shape>
      </w:pict>
    </w:r>
    <w:r>
      <w:rPr/>
      <w:pict>
        <v:shape style="position:absolute;margin-left:171.712006pt;margin-top:38.275845pt;width:277.650pt;height:13.65pt;mso-position-horizontal-relative:page;mso-position-vertical-relative:page;z-index:-38778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760" from="22.653999pt,33.557999pt" to="572.620999pt,33.557999pt" stroked="true" strokeweight=".533pt" strokecolor="#231f20">
          <v:stroke dashstyle="solid"/>
          <w10:wrap type="none"/>
        </v:line>
      </w:pict>
    </w:r>
    <w:r>
      <w:rPr/>
      <w:pict>
        <v:line style="position:absolute;mso-position-horizontal-relative:page;mso-position-vertical-relative:page;z-index:-38773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7712"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33412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768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664" from="22.653999pt,33.557999pt" to="572.620999pt,33.557999pt" stroked="true" strokeweight=".533pt" strokecolor="#231f20">
          <v:stroke dashstyle="solid"/>
          <w10:wrap type="none"/>
        </v:line>
      </w:pict>
    </w:r>
    <w:r>
      <w:rPr/>
      <w:pict>
        <v:line style="position:absolute;mso-position-horizontal-relative:page;mso-position-vertical-relative:page;z-index:-38764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7616" type="#_x0000_t202" filled="false" stroked="false">
          <v:textbox inset="0,0,0,0">
            <w:txbxContent>
              <w:p>
                <w:pPr>
                  <w:spacing w:before="26"/>
                  <w:ind w:left="40" w:right="0" w:firstLine="0"/>
                  <w:jc w:val="left"/>
                  <w:rPr>
                    <w:sz w:val="23"/>
                  </w:rPr>
                </w:pPr>
                <w:r>
                  <w:rPr/>
                  <w:fldChar w:fldCharType="begin"/>
                </w:r>
                <w:r>
                  <w:rPr>
                    <w:color w:val="231F20"/>
                    <w:sz w:val="23"/>
                  </w:rPr>
                  <w:instrText> PAGE </w:instrText>
                </w:r>
                <w:r>
                  <w:rPr/>
                  <w:fldChar w:fldCharType="separate"/>
                </w:r>
                <w:r>
                  <w:rPr/>
                  <w:t>33413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759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568" from="22.653999pt,33.557999pt" to="572.620999pt,33.557999pt" stroked="true" strokeweight=".533pt" strokecolor="#231f20">
          <v:stroke dashstyle="solid"/>
          <w10:wrap type="none"/>
        </v:line>
      </w:pict>
    </w:r>
    <w:r>
      <w:rPr/>
      <w:pict>
        <v:line style="position:absolute;mso-position-horizontal-relative:page;mso-position-vertical-relative:page;z-index:-38754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7520" type="#_x0000_t202" filled="false" stroked="false">
          <v:textbox inset="0,0,0,0">
            <w:txbxContent>
              <w:p>
                <w:pPr>
                  <w:spacing w:before="26"/>
                  <w:ind w:left="20" w:right="0" w:firstLine="0"/>
                  <w:jc w:val="left"/>
                  <w:rPr>
                    <w:sz w:val="23"/>
                  </w:rPr>
                </w:pPr>
                <w:r>
                  <w:rPr>
                    <w:color w:val="231F20"/>
                    <w:w w:val="90"/>
                    <w:sz w:val="23"/>
                  </w:rPr>
                  <w:t>33420</w:t>
                </w:r>
              </w:p>
            </w:txbxContent>
          </v:textbox>
          <w10:wrap type="none"/>
        </v:shape>
      </w:pict>
    </w:r>
    <w:r>
      <w:rPr/>
      <w:pict>
        <v:shape style="position:absolute;margin-left:171.712006pt;margin-top:38.275845pt;width:277.650pt;height:13.65pt;mso-position-horizontal-relative:page;mso-position-vertical-relative:page;z-index:-38749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472" from="22.653999pt,33.557999pt" to="572.620999pt,33.557999pt" stroked="true" strokeweight=".533pt" strokecolor="#231f20">
          <v:stroke dashstyle="solid"/>
          <w10:wrap type="none"/>
        </v:line>
      </w:pict>
    </w:r>
    <w:r>
      <w:rPr/>
      <w:pict>
        <v:line style="position:absolute;mso-position-horizontal-relative:page;mso-position-vertical-relative:page;z-index:-38744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7424" type="#_x0000_t202" filled="false" stroked="false">
          <v:textbox inset="0,0,0,0">
            <w:txbxContent>
              <w:p>
                <w:pPr>
                  <w:spacing w:before="26"/>
                  <w:ind w:left="20" w:right="0" w:firstLine="0"/>
                  <w:jc w:val="left"/>
                  <w:rPr>
                    <w:sz w:val="23"/>
                  </w:rPr>
                </w:pPr>
                <w:r>
                  <w:rPr>
                    <w:color w:val="231F20"/>
                    <w:w w:val="95"/>
                    <w:sz w:val="23"/>
                  </w:rPr>
                  <w:t>33421</w:t>
                </w:r>
              </w:p>
            </w:txbxContent>
          </v:textbox>
          <w10:wrap type="none"/>
        </v:shape>
      </w:pict>
    </w:r>
    <w:r>
      <w:rPr/>
      <w:pict>
        <v:shape style="position:absolute;margin-left:171.712006pt;margin-top:38.275845pt;width:277.650pt;height:13.65pt;mso-position-horizontal-relative:page;mso-position-vertical-relative:page;z-index:-38740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376" from="22.653999pt,33.557999pt" to="572.620999pt,33.557999pt" stroked="true" strokeweight=".533pt" strokecolor="#231f20">
          <v:stroke dashstyle="solid"/>
          <w10:wrap type="none"/>
        </v:line>
      </w:pict>
    </w:r>
    <w:r>
      <w:rPr/>
      <w:pict>
        <v:line style="position:absolute;mso-position-horizontal-relative:page;mso-position-vertical-relative:page;z-index:-38735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732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33422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730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280" from="22.653999pt,33.557999pt" to="572.620999pt,33.557999pt" stroked="true" strokeweight=".533pt" strokecolor="#231f20">
          <v:stroke dashstyle="solid"/>
          <w10:wrap type="none"/>
        </v:line>
      </w:pict>
    </w:r>
    <w:r>
      <w:rPr/>
      <w:pict>
        <v:line style="position:absolute;mso-position-horizontal-relative:page;mso-position-vertical-relative:page;z-index:-38725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723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33423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720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184" from="22.653999pt,33.557999pt" to="572.620999pt,33.557999pt" stroked="true" strokeweight=".533pt" strokecolor="#231f20">
          <v:stroke dashstyle="solid"/>
          <w10:wrap type="none"/>
        </v:line>
      </w:pict>
    </w:r>
    <w:r>
      <w:rPr/>
      <w:pict>
        <v:line style="position:absolute;mso-position-horizontal-relative:page;mso-position-vertical-relative:page;z-index:-38716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7136" type="#_x0000_t202" filled="false" stroked="false">
          <v:textbox inset="0,0,0,0">
            <w:txbxContent>
              <w:p>
                <w:pPr>
                  <w:spacing w:before="26"/>
                  <w:ind w:left="20" w:right="0" w:firstLine="0"/>
                  <w:jc w:val="left"/>
                  <w:rPr>
                    <w:sz w:val="23"/>
                  </w:rPr>
                </w:pPr>
                <w:r>
                  <w:rPr>
                    <w:color w:val="231F20"/>
                    <w:w w:val="90"/>
                    <w:sz w:val="23"/>
                  </w:rPr>
                  <w:t>33430</w:t>
                </w:r>
              </w:p>
            </w:txbxContent>
          </v:textbox>
          <w10:wrap type="none"/>
        </v:shape>
      </w:pict>
    </w:r>
    <w:r>
      <w:rPr/>
      <w:pict>
        <v:shape style="position:absolute;margin-left:171.712006pt;margin-top:38.275845pt;width:277.650pt;height:13.65pt;mso-position-horizontal-relative:page;mso-position-vertical-relative:page;z-index:-38711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4000" from="22.653999pt,33.557999pt" to="572.620999pt,33.557999pt" stroked="true" strokeweight=".533pt" strokecolor="#231f20">
          <v:stroke dashstyle="solid"/>
          <w10:wrap type="none"/>
        </v:line>
      </w:pict>
    </w:r>
    <w:r>
      <w:rPr/>
      <w:pict>
        <v:line style="position:absolute;mso-position-horizontal-relative:page;mso-position-vertical-relative:page;z-index:-39397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93952" type="#_x0000_t202" filled="false" stroked="false">
          <v:textbox inset="0,0,0,0">
            <w:txbxContent>
              <w:p>
                <w:pPr>
                  <w:spacing w:before="26"/>
                  <w:ind w:left="20" w:right="0" w:firstLine="0"/>
                  <w:jc w:val="left"/>
                  <w:rPr>
                    <w:sz w:val="23"/>
                  </w:rPr>
                </w:pPr>
                <w:r>
                  <w:rPr>
                    <w:color w:val="231F20"/>
                    <w:w w:val="95"/>
                    <w:sz w:val="23"/>
                  </w:rPr>
                  <w:t>33251</w:t>
                </w:r>
              </w:p>
            </w:txbxContent>
          </v:textbox>
          <w10:wrap type="none"/>
        </v:shape>
      </w:pict>
    </w:r>
    <w:r>
      <w:rPr/>
      <w:pict>
        <v:shape style="position:absolute;margin-left:171.712006pt;margin-top:38.275845pt;width:277.650pt;height:13.65pt;mso-position-horizontal-relative:page;mso-position-vertical-relative:page;z-index:-39392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7088" from="22.653999pt,33.557999pt" to="572.620999pt,33.557999pt" stroked="true" strokeweight=".533pt" strokecolor="#231f20">
          <v:stroke dashstyle="solid"/>
          <w10:wrap type="none"/>
        </v:line>
      </w:pict>
    </w:r>
    <w:r>
      <w:rPr/>
      <w:pict>
        <v:line style="position:absolute;mso-position-horizontal-relative:page;mso-position-vertical-relative:page;z-index:-387064"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7040" type="#_x0000_t202" filled="false" stroked="false">
          <v:textbox inset="0,0,0,0">
            <w:txbxContent>
              <w:p>
                <w:pPr>
                  <w:spacing w:before="26"/>
                  <w:ind w:left="20" w:right="0" w:firstLine="0"/>
                  <w:jc w:val="left"/>
                  <w:rPr>
                    <w:sz w:val="23"/>
                  </w:rPr>
                </w:pPr>
                <w:r>
                  <w:rPr>
                    <w:color w:val="231F20"/>
                    <w:w w:val="95"/>
                    <w:sz w:val="23"/>
                  </w:rPr>
                  <w:t>33431</w:t>
                </w:r>
              </w:p>
            </w:txbxContent>
          </v:textbox>
          <w10:wrap type="none"/>
        </v:shape>
      </w:pict>
    </w:r>
    <w:r>
      <w:rPr/>
      <w:pict>
        <v:shape style="position:absolute;margin-left:171.712006pt;margin-top:38.275845pt;width:277.650pt;height:13.65pt;mso-position-horizontal-relative:page;mso-position-vertical-relative:page;z-index:-38701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992" from="22.653999pt,33.557999pt" to="572.620999pt,33.557999pt" stroked="true" strokeweight=".533pt" strokecolor="#231f20">
          <v:stroke dashstyle="solid"/>
          <w10:wrap type="none"/>
        </v:line>
      </w:pict>
    </w:r>
    <w:r>
      <w:rPr/>
      <w:pict>
        <v:line style="position:absolute;mso-position-horizontal-relative:page;mso-position-vertical-relative:page;z-index:-386968"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694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33432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92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896" from="22.653999pt,33.557999pt" to="572.620999pt,33.557999pt" stroked="true" strokeweight=".533pt" strokecolor="#231f20">
          <v:stroke dashstyle="solid"/>
          <w10:wrap type="none"/>
        </v:line>
      </w:pict>
    </w:r>
    <w:r>
      <w:rPr/>
      <w:pict>
        <v:line style="position:absolute;mso-position-horizontal-relative:page;mso-position-vertical-relative:page;z-index:-386872"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684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33433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82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800" from="22.653999pt,33.557999pt" to="572.620999pt,33.557999pt" stroked="true" strokeweight=".533pt" strokecolor="#231f20">
          <v:stroke dashstyle="solid"/>
          <w10:wrap type="none"/>
        </v:line>
      </w:pict>
    </w:r>
    <w:r>
      <w:rPr/>
      <w:pict>
        <v:line style="position:absolute;mso-position-horizontal-relative:page;mso-position-vertical-relative:page;z-index:-386776"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6752" type="#_x0000_t202" filled="false" stroked="false">
          <v:textbox inset="0,0,0,0">
            <w:txbxContent>
              <w:p>
                <w:pPr>
                  <w:spacing w:before="26"/>
                  <w:ind w:left="20" w:right="0" w:firstLine="0"/>
                  <w:jc w:val="left"/>
                  <w:rPr>
                    <w:sz w:val="23"/>
                  </w:rPr>
                </w:pPr>
                <w:r>
                  <w:rPr>
                    <w:color w:val="231F20"/>
                    <w:w w:val="90"/>
                    <w:sz w:val="23"/>
                  </w:rPr>
                  <w:t>33440</w:t>
                </w:r>
              </w:p>
            </w:txbxContent>
          </v:textbox>
          <w10:wrap type="none"/>
        </v:shape>
      </w:pict>
    </w:r>
    <w:r>
      <w:rPr/>
      <w:pict>
        <v:shape style="position:absolute;margin-left:171.712006pt;margin-top:38.275845pt;width:277.650pt;height:13.65pt;mso-position-horizontal-relative:page;mso-position-vertical-relative:page;z-index:-38672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704" from="22.653999pt,33.557999pt" to="572.620999pt,33.557999pt" stroked="true" strokeweight=".533pt" strokecolor="#231f20">
          <v:stroke dashstyle="solid"/>
          <w10:wrap type="none"/>
        </v:line>
      </w:pict>
    </w:r>
    <w:r>
      <w:rPr/>
      <w:pict>
        <v:line style="position:absolute;mso-position-horizontal-relative:page;mso-position-vertical-relative:page;z-index:-386680"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6656" type="#_x0000_t202" filled="false" stroked="false">
          <v:textbox inset="0,0,0,0">
            <w:txbxContent>
              <w:p>
                <w:pPr>
                  <w:spacing w:before="26"/>
                  <w:ind w:left="20" w:right="0" w:firstLine="0"/>
                  <w:jc w:val="left"/>
                  <w:rPr>
                    <w:sz w:val="23"/>
                  </w:rPr>
                </w:pPr>
                <w:r>
                  <w:rPr>
                    <w:color w:val="231F20"/>
                    <w:w w:val="95"/>
                    <w:sz w:val="23"/>
                  </w:rPr>
                  <w:t>33441</w:t>
                </w:r>
              </w:p>
            </w:txbxContent>
          </v:textbox>
          <w10:wrap type="none"/>
        </v:shape>
      </w:pict>
    </w:r>
    <w:r>
      <w:rPr/>
      <w:pict>
        <v:shape style="position:absolute;margin-left:171.712006pt;margin-top:38.275845pt;width:277.650pt;height:13.65pt;mso-position-horizontal-relative:page;mso-position-vertical-relative:page;z-index:-38663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608" from="22.653999pt,33.557999pt" to="572.620999pt,33.557999pt" stroked="true" strokeweight=".533pt" strokecolor="#231f20">
          <v:stroke dashstyle="solid"/>
          <w10:wrap type="none"/>
        </v:line>
      </w:pict>
    </w:r>
    <w:r>
      <w:rPr/>
      <w:pict>
        <v:line style="position:absolute;mso-position-horizontal-relative:page;mso-position-vertical-relative:page;z-index:-386584"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656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33442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53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512" from="22.653999pt,33.557999pt" to="572.620999pt,33.557999pt" stroked="true" strokeweight=".533pt" strokecolor="#231f20">
          <v:stroke dashstyle="solid"/>
          <w10:wrap type="none"/>
        </v:line>
      </w:pict>
    </w:r>
    <w:r>
      <w:rPr/>
      <w:pict>
        <v:line style="position:absolute;mso-position-horizontal-relative:page;mso-position-vertical-relative:page;z-index:-386488"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6464"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33443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44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416" from="22.653999pt,33.557999pt" to="572.620999pt,33.557999pt" stroked="true" strokeweight=".533pt" strokecolor="#231f20">
          <v:stroke dashstyle="solid"/>
          <w10:wrap type="none"/>
        </v:line>
      </w:pict>
    </w:r>
    <w:r>
      <w:rPr/>
      <w:pict>
        <v:line style="position:absolute;mso-position-horizontal-relative:page;mso-position-vertical-relative:page;z-index:-386392"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6368" type="#_x0000_t202" filled="false" stroked="false">
          <v:textbox inset="0,0,0,0">
            <w:txbxContent>
              <w:p>
                <w:pPr>
                  <w:spacing w:before="26"/>
                  <w:ind w:left="20" w:right="0" w:firstLine="0"/>
                  <w:jc w:val="left"/>
                  <w:rPr>
                    <w:sz w:val="23"/>
                  </w:rPr>
                </w:pPr>
                <w:r>
                  <w:rPr>
                    <w:color w:val="231F20"/>
                    <w:w w:val="90"/>
                    <w:sz w:val="23"/>
                  </w:rPr>
                  <w:t>33450</w:t>
                </w:r>
              </w:p>
            </w:txbxContent>
          </v:textbox>
          <w10:wrap type="none"/>
        </v:shape>
      </w:pict>
    </w:r>
    <w:r>
      <w:rPr/>
      <w:pict>
        <v:shape style="position:absolute;margin-left:171.712006pt;margin-top:38.275845pt;width:277.650pt;height:13.65pt;mso-position-horizontal-relative:page;mso-position-vertical-relative:page;z-index:-38634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320" from="22.653999pt,33.557999pt" to="572.620999pt,33.557999pt" stroked="true" strokeweight=".533pt" strokecolor="#231f20">
          <v:stroke dashstyle="solid"/>
          <w10:wrap type="none"/>
        </v:line>
      </w:pict>
    </w:r>
    <w:r>
      <w:rPr/>
      <w:pict>
        <v:line style="position:absolute;mso-position-horizontal-relative:page;mso-position-vertical-relative:page;z-index:-386296"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6272" type="#_x0000_t202" filled="false" stroked="false">
          <v:textbox inset="0,0,0,0">
            <w:txbxContent>
              <w:p>
                <w:pPr>
                  <w:spacing w:before="26"/>
                  <w:ind w:left="20" w:right="0" w:firstLine="0"/>
                  <w:jc w:val="left"/>
                  <w:rPr>
                    <w:sz w:val="23"/>
                  </w:rPr>
                </w:pPr>
                <w:r>
                  <w:rPr>
                    <w:color w:val="231F20"/>
                    <w:w w:val="95"/>
                    <w:sz w:val="23"/>
                  </w:rPr>
                  <w:t>33451</w:t>
                </w:r>
              </w:p>
            </w:txbxContent>
          </v:textbox>
          <w10:wrap type="none"/>
        </v:shape>
      </w:pict>
    </w:r>
    <w:r>
      <w:rPr/>
      <w:pict>
        <v:shape style="position:absolute;margin-left:171.712006pt;margin-top:38.275845pt;width:277.650pt;height:13.65pt;mso-position-horizontal-relative:page;mso-position-vertical-relative:page;z-index:-38624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224" from="22.653999pt,33.557999pt" to="572.620999pt,33.557999pt" stroked="true" strokeweight=".533pt" strokecolor="#231f20">
          <v:stroke dashstyle="solid"/>
          <w10:wrap type="none"/>
        </v:line>
      </w:pict>
    </w:r>
    <w:r>
      <w:rPr/>
      <w:pict>
        <v:line style="position:absolute;mso-position-horizontal-relative:page;mso-position-vertical-relative:page;z-index:-38620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617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33452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15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93904" from="22.653999pt,33.557999pt" to="572.620999pt,33.557999pt" stroked="true" strokeweight=".533pt" strokecolor="#231f20">
          <v:stroke dashstyle="solid"/>
          <w10:wrap type="none"/>
        </v:line>
      </w:pict>
    </w:r>
    <w:r>
      <w:rPr/>
      <w:pict>
        <v:line style="position:absolute;mso-position-horizontal-relative:page;mso-position-vertical-relative:page;z-index:-393880"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9385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33252</w:t>
                </w:r>
                <w:r>
                  <w:rPr/>
                  <w:fldChar w:fldCharType="end"/>
                </w:r>
              </w:p>
            </w:txbxContent>
          </v:textbox>
          <w10:wrap type="none"/>
        </v:shape>
      </w:pict>
    </w:r>
    <w:r>
      <w:rPr/>
      <w:pict>
        <v:shape style="position:absolute;margin-left:171.712006pt;margin-top:38.275845pt;width:277.650pt;height:13.65pt;mso-position-horizontal-relative:page;mso-position-vertical-relative:page;z-index:-39383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128" from="22.653999pt,33.557999pt" to="572.620999pt,33.557999pt" stroked="true" strokeweight=".533pt" strokecolor="#231f20">
          <v:stroke dashstyle="solid"/>
          <w10:wrap type="none"/>
        </v:line>
      </w:pict>
    </w:r>
    <w:r>
      <w:rPr/>
      <w:pict>
        <v:line style="position:absolute;mso-position-horizontal-relative:page;mso-position-vertical-relative:page;z-index:-386104"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6080"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33453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605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6032" from="22.653999pt,33.557999pt" to="572.620999pt,33.557999pt" stroked="true" strokeweight=".533pt" strokecolor="#231f20">
          <v:stroke dashstyle="solid"/>
          <w10:wrap type="none"/>
        </v:line>
      </w:pict>
    </w:r>
    <w:r>
      <w:rPr/>
      <w:pict>
        <v:line style="position:absolute;mso-position-horizontal-relative:page;mso-position-vertical-relative:page;z-index:-386008"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5984" type="#_x0000_t202" filled="false" stroked="false">
          <v:textbox inset="0,0,0,0">
            <w:txbxContent>
              <w:p>
                <w:pPr>
                  <w:spacing w:before="26"/>
                  <w:ind w:left="20" w:right="0" w:firstLine="0"/>
                  <w:jc w:val="left"/>
                  <w:rPr>
                    <w:sz w:val="23"/>
                  </w:rPr>
                </w:pPr>
                <w:r>
                  <w:rPr>
                    <w:color w:val="231F20"/>
                    <w:w w:val="90"/>
                    <w:sz w:val="23"/>
                  </w:rPr>
                  <w:t>33460</w:t>
                </w:r>
              </w:p>
            </w:txbxContent>
          </v:textbox>
          <w10:wrap type="none"/>
        </v:shape>
      </w:pict>
    </w:r>
    <w:r>
      <w:rPr/>
      <w:pict>
        <v:shape style="position:absolute;margin-left:171.712006pt;margin-top:38.275845pt;width:277.650pt;height:13.65pt;mso-position-horizontal-relative:page;mso-position-vertical-relative:page;z-index:-38596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936" from="22.653999pt,33.557999pt" to="572.620999pt,33.557999pt" stroked="true" strokeweight=".533pt" strokecolor="#231f20">
          <v:stroke dashstyle="solid"/>
          <w10:wrap type="none"/>
        </v:line>
      </w:pict>
    </w:r>
    <w:r>
      <w:rPr/>
      <w:pict>
        <v:line style="position:absolute;mso-position-horizontal-relative:page;mso-position-vertical-relative:page;z-index:-385912"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5888" type="#_x0000_t202" filled="false" stroked="false">
          <v:textbox inset="0,0,0,0">
            <w:txbxContent>
              <w:p>
                <w:pPr>
                  <w:spacing w:before="26"/>
                  <w:ind w:left="20" w:right="0" w:firstLine="0"/>
                  <w:jc w:val="left"/>
                  <w:rPr>
                    <w:sz w:val="23"/>
                  </w:rPr>
                </w:pPr>
                <w:r>
                  <w:rPr>
                    <w:color w:val="231F20"/>
                    <w:w w:val="95"/>
                    <w:sz w:val="23"/>
                  </w:rPr>
                  <w:t>33461</w:t>
                </w:r>
              </w:p>
            </w:txbxContent>
          </v:textbox>
          <w10:wrap type="none"/>
        </v:shape>
      </w:pict>
    </w:r>
    <w:r>
      <w:rPr/>
      <w:pict>
        <v:shape style="position:absolute;margin-left:171.712006pt;margin-top:38.275845pt;width:277.650pt;height:13.65pt;mso-position-horizontal-relative:page;mso-position-vertical-relative:page;z-index:-38586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840" from="22.653999pt,33.557999pt" to="572.620999pt,33.557999pt" stroked="true" strokeweight=".533pt" strokecolor="#231f20">
          <v:stroke dashstyle="solid"/>
          <w10:wrap type="none"/>
        </v:line>
      </w:pict>
    </w:r>
    <w:r>
      <w:rPr/>
      <w:pict>
        <v:line style="position:absolute;mso-position-horizontal-relative:page;mso-position-vertical-relative:page;z-index:-385816"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579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33462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576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744" from="22.653999pt,33.557999pt" to="572.620999pt,33.557999pt" stroked="true" strokeweight=".533pt" strokecolor="#231f20">
          <v:stroke dashstyle="solid"/>
          <w10:wrap type="none"/>
        </v:line>
      </w:pict>
    </w:r>
    <w:r>
      <w:rPr/>
      <w:pict>
        <v:line style="position:absolute;mso-position-horizontal-relative:page;mso-position-vertical-relative:page;z-index:-385720"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5696"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33463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567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648" from="22.653999pt,33.557999pt" to="572.620999pt,33.557999pt" stroked="true" strokeweight=".533pt" strokecolor="#231f20">
          <v:stroke dashstyle="solid"/>
          <w10:wrap type="none"/>
        </v:line>
      </w:pict>
    </w:r>
    <w:r>
      <w:rPr/>
      <w:pict>
        <v:line style="position:absolute;mso-position-horizontal-relative:page;mso-position-vertical-relative:page;z-index:-385624"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5600" type="#_x0000_t202" filled="false" stroked="false">
          <v:textbox inset="0,0,0,0">
            <w:txbxContent>
              <w:p>
                <w:pPr>
                  <w:spacing w:before="26"/>
                  <w:ind w:left="20" w:right="0" w:firstLine="0"/>
                  <w:jc w:val="left"/>
                  <w:rPr>
                    <w:sz w:val="23"/>
                  </w:rPr>
                </w:pPr>
                <w:r>
                  <w:rPr>
                    <w:color w:val="231F20"/>
                    <w:w w:val="90"/>
                    <w:sz w:val="23"/>
                  </w:rPr>
                  <w:t>33470</w:t>
                </w:r>
              </w:p>
            </w:txbxContent>
          </v:textbox>
          <w10:wrap type="none"/>
        </v:shape>
      </w:pict>
    </w:r>
    <w:r>
      <w:rPr/>
      <w:pict>
        <v:shape style="position:absolute;margin-left:171.712006pt;margin-top:38.275845pt;width:277.650pt;height:13.65pt;mso-position-horizontal-relative:page;mso-position-vertical-relative:page;z-index:-385576"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552" from="22.653999pt,33.557999pt" to="572.620999pt,33.557999pt" stroked="true" strokeweight=".533pt" strokecolor="#231f20">
          <v:stroke dashstyle="solid"/>
          <w10:wrap type="none"/>
        </v:line>
      </w:pict>
    </w:r>
    <w:r>
      <w:rPr/>
      <w:pict>
        <v:line style="position:absolute;mso-position-horizontal-relative:page;mso-position-vertical-relative:page;z-index:-385528" from="22.653999pt,54.828999pt" to="572.620999pt,54.828999pt" stroked="true" strokeweight=".533pt" strokecolor="#231f20">
          <v:stroke dashstyle="solid"/>
          <w10:wrap type="none"/>
        </v:line>
      </w:pict>
    </w:r>
    <w:r>
      <w:rPr/>
      <w:pict>
        <v:shape style="position:absolute;margin-left:542.310974pt;margin-top:35.414761pt;width:31.35pt;height:16.2pt;mso-position-horizontal-relative:page;mso-position-vertical-relative:page;z-index:-385504" type="#_x0000_t202" filled="false" stroked="false">
          <v:textbox inset="0,0,0,0">
            <w:txbxContent>
              <w:p>
                <w:pPr>
                  <w:spacing w:before="26"/>
                  <w:ind w:left="20" w:right="0" w:firstLine="0"/>
                  <w:jc w:val="left"/>
                  <w:rPr>
                    <w:sz w:val="23"/>
                  </w:rPr>
                </w:pPr>
                <w:r>
                  <w:rPr>
                    <w:color w:val="231F20"/>
                    <w:sz w:val="23"/>
                  </w:rPr>
                  <w:t>33471</w:t>
                </w:r>
              </w:p>
            </w:txbxContent>
          </v:textbox>
          <w10:wrap type="none"/>
        </v:shape>
      </w:pict>
    </w:r>
    <w:r>
      <w:rPr/>
      <w:pict>
        <v:shape style="position:absolute;margin-left:171.712006pt;margin-top:38.275845pt;width:277.650pt;height:13.65pt;mso-position-horizontal-relative:page;mso-position-vertical-relative:page;z-index:-385480"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456" from="22.653999pt,33.557999pt" to="572.620999pt,33.557999pt" stroked="true" strokeweight=".533pt" strokecolor="#231f20">
          <v:stroke dashstyle="solid"/>
          <w10:wrap type="none"/>
        </v:line>
      </w:pict>
    </w:r>
    <w:r>
      <w:rPr/>
      <w:pict>
        <v:line style="position:absolute;mso-position-horizontal-relative:page;mso-position-vertical-relative:page;z-index:-385432" from="22.653999pt,54.828999pt" to="572.620999pt,54.828999pt" stroked="true" strokeweight=".533pt" strokecolor="#231f20">
          <v:stroke dashstyle="solid"/>
          <w10:wrap type="none"/>
        </v:line>
      </w:pict>
    </w:r>
    <w:r>
      <w:rPr/>
      <w:pict>
        <v:shape style="position:absolute;margin-left:20.654499pt;margin-top:35.414761pt;width:33.35pt;height:16.2pt;mso-position-horizontal-relative:page;mso-position-vertical-relative:page;z-index:-385408"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33472</w:t>
                </w:r>
                <w:r>
                  <w:rPr/>
                  <w:fldChar w:fldCharType="end"/>
                </w:r>
              </w:p>
            </w:txbxContent>
          </v:textbox>
          <w10:wrap type="none"/>
        </v:shape>
      </w:pict>
    </w:r>
    <w:r>
      <w:rPr/>
      <w:pict>
        <v:shape style="position:absolute;margin-left:171.712006pt;margin-top:38.275845pt;width:277.650pt;height:13.65pt;mso-position-horizontal-relative:page;mso-position-vertical-relative:page;z-index:-385384"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360" from="22.653999pt,33.557999pt" to="572.620999pt,33.557999pt" stroked="true" strokeweight=".533pt" strokecolor="#231f20">
          <v:stroke dashstyle="solid"/>
          <w10:wrap type="none"/>
        </v:line>
      </w:pict>
    </w:r>
    <w:r>
      <w:rPr/>
      <w:pict>
        <v:line style="position:absolute;mso-position-horizontal-relative:page;mso-position-vertical-relative:page;z-index:-385336" from="22.653999pt,54.828999pt" to="572.620999pt,54.828999pt" stroked="true" strokeweight=".533pt" strokecolor="#231f20">
          <v:stroke dashstyle="solid"/>
          <w10:wrap type="none"/>
        </v:line>
      </w:pict>
    </w:r>
    <w:r>
      <w:rPr/>
      <w:pict>
        <v:shape style="position:absolute;margin-left:541.310974pt;margin-top:35.414761pt;width:33.35pt;height:16.2pt;mso-position-horizontal-relative:page;mso-position-vertical-relative:page;z-index:-385312" type="#_x0000_t202" filled="false" stroked="false">
          <v:textbox inset="0,0,0,0">
            <w:txbxContent>
              <w:p>
                <w:pPr>
                  <w:spacing w:before="26"/>
                  <w:ind w:left="40" w:right="0" w:firstLine="0"/>
                  <w:jc w:val="left"/>
                  <w:rPr>
                    <w:sz w:val="23"/>
                  </w:rPr>
                </w:pPr>
                <w:r>
                  <w:rPr/>
                  <w:fldChar w:fldCharType="begin"/>
                </w:r>
                <w:r>
                  <w:rPr>
                    <w:color w:val="231F20"/>
                    <w:w w:val="95"/>
                    <w:sz w:val="23"/>
                  </w:rPr>
                  <w:instrText> PAGE </w:instrText>
                </w:r>
                <w:r>
                  <w:rPr/>
                  <w:fldChar w:fldCharType="separate"/>
                </w:r>
                <w:r>
                  <w:rPr/>
                  <w:t>33473</w:t>
                </w:r>
                <w:r>
                  <w:rPr/>
                  <w:fldChar w:fldCharType="end"/>
                </w:r>
              </w:p>
            </w:txbxContent>
          </v:textbox>
          <w10:wrap type="none"/>
        </v:shape>
      </w:pict>
    </w:r>
    <w:r>
      <w:rPr/>
      <w:pict>
        <v:shape style="position:absolute;margin-left:171.712006pt;margin-top:38.275845pt;width:277.650pt;height:13.65pt;mso-position-horizontal-relative:page;mso-position-vertical-relative:page;z-index:-385288"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ight="0" w:firstLine="0"/>
      <w:jc w:val="left"/>
      <w:rPr>
        <w:sz w:val="20"/>
      </w:rPr>
    </w:pPr>
    <w:r>
      <w:rPr/>
      <w:pict>
        <v:line style="position:absolute;mso-position-horizontal-relative:page;mso-position-vertical-relative:page;z-index:-385264" from="22.653999pt,33.557999pt" to="572.620999pt,33.557999pt" stroked="true" strokeweight=".533pt" strokecolor="#231f20">
          <v:stroke dashstyle="solid"/>
          <w10:wrap type="none"/>
        </v:line>
      </w:pict>
    </w:r>
    <w:r>
      <w:rPr/>
      <w:pict>
        <v:line style="position:absolute;mso-position-horizontal-relative:page;mso-position-vertical-relative:page;z-index:-385240" from="22.653999pt,54.828999pt" to="572.620999pt,54.828999pt" stroked="true" strokeweight=".533pt" strokecolor="#231f20">
          <v:stroke dashstyle="solid"/>
          <w10:wrap type="none"/>
        </v:line>
      </w:pict>
    </w:r>
    <w:r>
      <w:rPr/>
      <w:pict>
        <v:shape style="position:absolute;margin-left:21.654499pt;margin-top:35.414761pt;width:31.35pt;height:16.2pt;mso-position-horizontal-relative:page;mso-position-vertical-relative:page;z-index:-385216" type="#_x0000_t202" filled="false" stroked="false">
          <v:textbox inset="0,0,0,0">
            <w:txbxContent>
              <w:p>
                <w:pPr>
                  <w:spacing w:before="26"/>
                  <w:ind w:left="20" w:right="0" w:firstLine="0"/>
                  <w:jc w:val="left"/>
                  <w:rPr>
                    <w:sz w:val="23"/>
                  </w:rPr>
                </w:pPr>
                <w:r>
                  <w:rPr>
                    <w:color w:val="231F20"/>
                    <w:w w:val="90"/>
                    <w:sz w:val="23"/>
                  </w:rPr>
                  <w:t>33480</w:t>
                </w:r>
              </w:p>
            </w:txbxContent>
          </v:textbox>
          <w10:wrap type="none"/>
        </v:shape>
      </w:pict>
    </w:r>
    <w:r>
      <w:rPr/>
      <w:pict>
        <v:shape style="position:absolute;margin-left:171.712006pt;margin-top:38.275845pt;width:277.650pt;height:13.65pt;mso-position-horizontal-relative:page;mso-position-vertical-relative:page;z-index:-385192" type="#_x0000_t202" filled="false" stroked="false">
          <v:textbox inset="0,0,0,0">
            <w:txbxContent>
              <w:p>
                <w:pPr>
                  <w:spacing w:before="23"/>
                  <w:ind w:left="20" w:right="0" w:firstLine="0"/>
                  <w:jc w:val="left"/>
                  <w:rPr>
                    <w:sz w:val="19"/>
                  </w:rPr>
                </w:pPr>
                <w:r>
                  <w:rPr>
                    <w:color w:val="231F20"/>
                    <w:w w:val="105"/>
                    <w:sz w:val="19"/>
                  </w:rPr>
                  <w:t>MONITEUR</w:t>
                </w:r>
                <w:r>
                  <w:rPr>
                    <w:color w:val="231F20"/>
                    <w:spacing w:val="-22"/>
                    <w:w w:val="105"/>
                    <w:sz w:val="19"/>
                  </w:rPr>
                  <w:t> </w:t>
                </w:r>
                <w:r>
                  <w:rPr>
                    <w:color w:val="231F20"/>
                    <w:w w:val="105"/>
                    <w:sz w:val="19"/>
                  </w:rPr>
                  <w:t>BELGE</w:t>
                </w:r>
                <w:r>
                  <w:rPr>
                    <w:color w:val="231F20"/>
                    <w:spacing w:val="-22"/>
                    <w:w w:val="105"/>
                    <w:sz w:val="19"/>
                  </w:rPr>
                  <w:t> </w:t>
                </w:r>
                <w:r>
                  <w:rPr>
                    <w:color w:val="231F20"/>
                    <w:w w:val="105"/>
                    <w:sz w:val="19"/>
                  </w:rPr>
                  <w:t>—</w:t>
                </w:r>
                <w:r>
                  <w:rPr>
                    <w:color w:val="231F20"/>
                    <w:spacing w:val="-22"/>
                    <w:w w:val="105"/>
                    <w:sz w:val="19"/>
                  </w:rPr>
                  <w:t> </w:t>
                </w:r>
                <w:r>
                  <w:rPr>
                    <w:color w:val="231F20"/>
                    <w:w w:val="105"/>
                    <w:sz w:val="19"/>
                  </w:rPr>
                  <w:t>04.04.2019</w:t>
                </w:r>
                <w:r>
                  <w:rPr>
                    <w:color w:val="231F20"/>
                    <w:spacing w:val="-22"/>
                    <w:w w:val="105"/>
                    <w:sz w:val="19"/>
                  </w:rPr>
                  <w:t> </w:t>
                </w:r>
                <w:r>
                  <w:rPr>
                    <w:color w:val="231F20"/>
                    <w:w w:val="105"/>
                    <w:sz w:val="19"/>
                  </w:rPr>
                  <w:t>—</w:t>
                </w:r>
                <w:r>
                  <w:rPr>
                    <w:color w:val="231F20"/>
                    <w:spacing w:val="-22"/>
                    <w:w w:val="105"/>
                    <w:sz w:val="19"/>
                  </w:rPr>
                  <w:t> </w:t>
                </w:r>
                <w:r>
                  <w:rPr>
                    <w:color w:val="231F20"/>
                    <w:w w:val="105"/>
                    <w:sz w:val="19"/>
                  </w:rPr>
                  <w:t>BELGISCH</w:t>
                </w:r>
                <w:r>
                  <w:rPr>
                    <w:color w:val="231F20"/>
                    <w:spacing w:val="-22"/>
                    <w:w w:val="105"/>
                    <w:sz w:val="19"/>
                  </w:rPr>
                  <w:t> </w:t>
                </w:r>
                <w:r>
                  <w:rPr>
                    <w:color w:val="231F20"/>
                    <w:spacing w:val="-3"/>
                    <w:w w:val="105"/>
                    <w:sz w:val="19"/>
                  </w:rPr>
                  <w:t>STAATSBLAD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8">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106">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48">
    <w:multiLevelType w:val="hybridMultilevel"/>
    <w:lvl w:ilvl="0">
      <w:start w:val="1"/>
      <w:numFmt w:val="lowerLetter"/>
      <w:lvlText w:val="%1)"/>
      <w:lvlJc w:val="left"/>
      <w:pPr>
        <w:ind w:left="113" w:hanging="18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2" w:hanging="188"/>
      </w:pPr>
      <w:rPr>
        <w:rFonts w:hint="default"/>
      </w:rPr>
    </w:lvl>
    <w:lvl w:ilvl="2">
      <w:start w:val="0"/>
      <w:numFmt w:val="bullet"/>
      <w:lvlText w:val="•"/>
      <w:lvlJc w:val="left"/>
      <w:pPr>
        <w:ind w:left="1205" w:hanging="188"/>
      </w:pPr>
      <w:rPr>
        <w:rFonts w:hint="default"/>
      </w:rPr>
    </w:lvl>
    <w:lvl w:ilvl="3">
      <w:start w:val="0"/>
      <w:numFmt w:val="bullet"/>
      <w:lvlText w:val="•"/>
      <w:lvlJc w:val="left"/>
      <w:pPr>
        <w:ind w:left="1748" w:hanging="188"/>
      </w:pPr>
      <w:rPr>
        <w:rFonts w:hint="default"/>
      </w:rPr>
    </w:lvl>
    <w:lvl w:ilvl="4">
      <w:start w:val="0"/>
      <w:numFmt w:val="bullet"/>
      <w:lvlText w:val="•"/>
      <w:lvlJc w:val="left"/>
      <w:pPr>
        <w:ind w:left="2291" w:hanging="188"/>
      </w:pPr>
      <w:rPr>
        <w:rFonts w:hint="default"/>
      </w:rPr>
    </w:lvl>
    <w:lvl w:ilvl="5">
      <w:start w:val="0"/>
      <w:numFmt w:val="bullet"/>
      <w:lvlText w:val="•"/>
      <w:lvlJc w:val="left"/>
      <w:pPr>
        <w:ind w:left="2834" w:hanging="188"/>
      </w:pPr>
      <w:rPr>
        <w:rFonts w:hint="default"/>
      </w:rPr>
    </w:lvl>
    <w:lvl w:ilvl="6">
      <w:start w:val="0"/>
      <w:numFmt w:val="bullet"/>
      <w:lvlText w:val="•"/>
      <w:lvlJc w:val="left"/>
      <w:pPr>
        <w:ind w:left="3377" w:hanging="188"/>
      </w:pPr>
      <w:rPr>
        <w:rFonts w:hint="default"/>
      </w:rPr>
    </w:lvl>
    <w:lvl w:ilvl="7">
      <w:start w:val="0"/>
      <w:numFmt w:val="bullet"/>
      <w:lvlText w:val="•"/>
      <w:lvlJc w:val="left"/>
      <w:pPr>
        <w:ind w:left="3920" w:hanging="188"/>
      </w:pPr>
      <w:rPr>
        <w:rFonts w:hint="default"/>
      </w:rPr>
    </w:lvl>
    <w:lvl w:ilvl="8">
      <w:start w:val="0"/>
      <w:numFmt w:val="bullet"/>
      <w:lvlText w:val="•"/>
      <w:lvlJc w:val="left"/>
      <w:pPr>
        <w:ind w:left="4463" w:hanging="188"/>
      </w:pPr>
      <w:rPr>
        <w:rFonts w:hint="default"/>
      </w:rPr>
    </w:lvl>
  </w:abstractNum>
  <w:abstractNum w:abstractNumId="142">
    <w:multiLevelType w:val="hybridMultilevel"/>
    <w:lvl w:ilvl="0">
      <w:start w:val="0"/>
      <w:numFmt w:val="bullet"/>
      <w:lvlText w:val="—"/>
      <w:lvlJc w:val="left"/>
      <w:pPr>
        <w:ind w:left="113" w:hanging="225"/>
      </w:pPr>
      <w:rPr>
        <w:rFonts w:hint="default" w:ascii="Georgia" w:hAnsi="Georgia" w:eastAsia="Georgia" w:cs="Georgia"/>
        <w:color w:val="231F20"/>
        <w:w w:val="117"/>
        <w:sz w:val="17"/>
        <w:szCs w:val="17"/>
      </w:rPr>
    </w:lvl>
    <w:lvl w:ilvl="1">
      <w:start w:val="0"/>
      <w:numFmt w:val="bullet"/>
      <w:lvlText w:val="•"/>
      <w:lvlJc w:val="left"/>
      <w:pPr>
        <w:ind w:left="2540" w:hanging="225"/>
      </w:pPr>
      <w:rPr>
        <w:rFonts w:hint="default"/>
      </w:rPr>
    </w:lvl>
    <w:lvl w:ilvl="2">
      <w:start w:val="0"/>
      <w:numFmt w:val="bullet"/>
      <w:lvlText w:val="•"/>
      <w:lvlJc w:val="left"/>
      <w:pPr>
        <w:ind w:left="2871" w:hanging="225"/>
      </w:pPr>
      <w:rPr>
        <w:rFonts w:hint="default"/>
      </w:rPr>
    </w:lvl>
    <w:lvl w:ilvl="3">
      <w:start w:val="0"/>
      <w:numFmt w:val="bullet"/>
      <w:lvlText w:val="•"/>
      <w:lvlJc w:val="left"/>
      <w:pPr>
        <w:ind w:left="3203" w:hanging="225"/>
      </w:pPr>
      <w:rPr>
        <w:rFonts w:hint="default"/>
      </w:rPr>
    </w:lvl>
    <w:lvl w:ilvl="4">
      <w:start w:val="0"/>
      <w:numFmt w:val="bullet"/>
      <w:lvlText w:val="•"/>
      <w:lvlJc w:val="left"/>
      <w:pPr>
        <w:ind w:left="3535" w:hanging="225"/>
      </w:pPr>
      <w:rPr>
        <w:rFonts w:hint="default"/>
      </w:rPr>
    </w:lvl>
    <w:lvl w:ilvl="5">
      <w:start w:val="0"/>
      <w:numFmt w:val="bullet"/>
      <w:lvlText w:val="•"/>
      <w:lvlJc w:val="left"/>
      <w:pPr>
        <w:ind w:left="3867" w:hanging="225"/>
      </w:pPr>
      <w:rPr>
        <w:rFonts w:hint="default"/>
      </w:rPr>
    </w:lvl>
    <w:lvl w:ilvl="6">
      <w:start w:val="0"/>
      <w:numFmt w:val="bullet"/>
      <w:lvlText w:val="•"/>
      <w:lvlJc w:val="left"/>
      <w:pPr>
        <w:ind w:left="4199" w:hanging="225"/>
      </w:pPr>
      <w:rPr>
        <w:rFonts w:hint="default"/>
      </w:rPr>
    </w:lvl>
    <w:lvl w:ilvl="7">
      <w:start w:val="0"/>
      <w:numFmt w:val="bullet"/>
      <w:lvlText w:val="•"/>
      <w:lvlJc w:val="left"/>
      <w:pPr>
        <w:ind w:left="4530" w:hanging="225"/>
      </w:pPr>
      <w:rPr>
        <w:rFonts w:hint="default"/>
      </w:rPr>
    </w:lvl>
    <w:lvl w:ilvl="8">
      <w:start w:val="0"/>
      <w:numFmt w:val="bullet"/>
      <w:lvlText w:val="•"/>
      <w:lvlJc w:val="left"/>
      <w:pPr>
        <w:ind w:left="4862" w:hanging="225"/>
      </w:pPr>
      <w:rPr>
        <w:rFonts w:hint="default"/>
      </w:rPr>
    </w:lvl>
  </w:abstractNum>
  <w:abstractNum w:abstractNumId="141">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40">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4" w:hanging="190"/>
      </w:pPr>
      <w:rPr>
        <w:rFonts w:hint="default"/>
      </w:rPr>
    </w:lvl>
    <w:lvl w:ilvl="2">
      <w:start w:val="0"/>
      <w:numFmt w:val="bullet"/>
      <w:lvlText w:val="•"/>
      <w:lvlJc w:val="left"/>
      <w:pPr>
        <w:ind w:left="1489" w:hanging="190"/>
      </w:pPr>
      <w:rPr>
        <w:rFonts w:hint="default"/>
      </w:rPr>
    </w:lvl>
    <w:lvl w:ilvl="3">
      <w:start w:val="0"/>
      <w:numFmt w:val="bullet"/>
      <w:lvlText w:val="•"/>
      <w:lvlJc w:val="left"/>
      <w:pPr>
        <w:ind w:left="1994" w:hanging="190"/>
      </w:pPr>
      <w:rPr>
        <w:rFonts w:hint="default"/>
      </w:rPr>
    </w:lvl>
    <w:lvl w:ilvl="4">
      <w:start w:val="0"/>
      <w:numFmt w:val="bullet"/>
      <w:lvlText w:val="•"/>
      <w:lvlJc w:val="left"/>
      <w:pPr>
        <w:ind w:left="2498" w:hanging="190"/>
      </w:pPr>
      <w:rPr>
        <w:rFonts w:hint="default"/>
      </w:rPr>
    </w:lvl>
    <w:lvl w:ilvl="5">
      <w:start w:val="0"/>
      <w:numFmt w:val="bullet"/>
      <w:lvlText w:val="•"/>
      <w:lvlJc w:val="left"/>
      <w:pPr>
        <w:ind w:left="3003" w:hanging="190"/>
      </w:pPr>
      <w:rPr>
        <w:rFonts w:hint="default"/>
      </w:rPr>
    </w:lvl>
    <w:lvl w:ilvl="6">
      <w:start w:val="0"/>
      <w:numFmt w:val="bullet"/>
      <w:lvlText w:val="•"/>
      <w:lvlJc w:val="left"/>
      <w:pPr>
        <w:ind w:left="3508" w:hanging="190"/>
      </w:pPr>
      <w:rPr>
        <w:rFonts w:hint="default"/>
      </w:rPr>
    </w:lvl>
    <w:lvl w:ilvl="7">
      <w:start w:val="0"/>
      <w:numFmt w:val="bullet"/>
      <w:lvlText w:val="•"/>
      <w:lvlJc w:val="left"/>
      <w:pPr>
        <w:ind w:left="4012" w:hanging="190"/>
      </w:pPr>
      <w:rPr>
        <w:rFonts w:hint="default"/>
      </w:rPr>
    </w:lvl>
    <w:lvl w:ilvl="8">
      <w:start w:val="0"/>
      <w:numFmt w:val="bullet"/>
      <w:lvlText w:val="•"/>
      <w:lvlJc w:val="left"/>
      <w:pPr>
        <w:ind w:left="4517" w:hanging="190"/>
      </w:pPr>
      <w:rPr>
        <w:rFonts w:hint="default"/>
      </w:rPr>
    </w:lvl>
  </w:abstractNum>
  <w:abstractNum w:abstractNumId="139">
    <w:multiLevelType w:val="hybridMultilevel"/>
    <w:lvl w:ilvl="0">
      <w:start w:val="1"/>
      <w:numFmt w:val="lowerLetter"/>
      <w:lvlText w:val="%1)"/>
      <w:lvlJc w:val="left"/>
      <w:pPr>
        <w:ind w:left="113" w:hanging="17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5"/>
      </w:pPr>
      <w:rPr>
        <w:rFonts w:hint="default"/>
      </w:rPr>
    </w:lvl>
    <w:lvl w:ilvl="2">
      <w:start w:val="0"/>
      <w:numFmt w:val="bullet"/>
      <w:lvlText w:val="•"/>
      <w:lvlJc w:val="left"/>
      <w:pPr>
        <w:ind w:left="1218" w:hanging="175"/>
      </w:pPr>
      <w:rPr>
        <w:rFonts w:hint="default"/>
      </w:rPr>
    </w:lvl>
    <w:lvl w:ilvl="3">
      <w:start w:val="0"/>
      <w:numFmt w:val="bullet"/>
      <w:lvlText w:val="•"/>
      <w:lvlJc w:val="left"/>
      <w:pPr>
        <w:ind w:left="1767" w:hanging="175"/>
      </w:pPr>
      <w:rPr>
        <w:rFonts w:hint="default"/>
      </w:rPr>
    </w:lvl>
    <w:lvl w:ilvl="4">
      <w:start w:val="0"/>
      <w:numFmt w:val="bullet"/>
      <w:lvlText w:val="•"/>
      <w:lvlJc w:val="left"/>
      <w:pPr>
        <w:ind w:left="2316" w:hanging="175"/>
      </w:pPr>
      <w:rPr>
        <w:rFonts w:hint="default"/>
      </w:rPr>
    </w:lvl>
    <w:lvl w:ilvl="5">
      <w:start w:val="0"/>
      <w:numFmt w:val="bullet"/>
      <w:lvlText w:val="•"/>
      <w:lvlJc w:val="left"/>
      <w:pPr>
        <w:ind w:left="2866" w:hanging="175"/>
      </w:pPr>
      <w:rPr>
        <w:rFonts w:hint="default"/>
      </w:rPr>
    </w:lvl>
    <w:lvl w:ilvl="6">
      <w:start w:val="0"/>
      <w:numFmt w:val="bullet"/>
      <w:lvlText w:val="•"/>
      <w:lvlJc w:val="left"/>
      <w:pPr>
        <w:ind w:left="3415" w:hanging="175"/>
      </w:pPr>
      <w:rPr>
        <w:rFonts w:hint="default"/>
      </w:rPr>
    </w:lvl>
    <w:lvl w:ilvl="7">
      <w:start w:val="0"/>
      <w:numFmt w:val="bullet"/>
      <w:lvlText w:val="•"/>
      <w:lvlJc w:val="left"/>
      <w:pPr>
        <w:ind w:left="3964" w:hanging="175"/>
      </w:pPr>
      <w:rPr>
        <w:rFonts w:hint="default"/>
      </w:rPr>
    </w:lvl>
    <w:lvl w:ilvl="8">
      <w:start w:val="0"/>
      <w:numFmt w:val="bullet"/>
      <w:lvlText w:val="•"/>
      <w:lvlJc w:val="left"/>
      <w:pPr>
        <w:ind w:left="4513" w:hanging="175"/>
      </w:pPr>
      <w:rPr>
        <w:rFonts w:hint="default"/>
      </w:rPr>
    </w:lvl>
  </w:abstractNum>
  <w:abstractNum w:abstractNumId="138">
    <w:multiLevelType w:val="hybridMultilevel"/>
    <w:lvl w:ilvl="0">
      <w:start w:val="1"/>
      <w:numFmt w:val="lowerLetter"/>
      <w:lvlText w:val="%1)"/>
      <w:lvlJc w:val="left"/>
      <w:pPr>
        <w:ind w:left="113" w:hanging="19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3" w:hanging="191"/>
      </w:pPr>
      <w:rPr>
        <w:rFonts w:hint="default"/>
      </w:rPr>
    </w:lvl>
    <w:lvl w:ilvl="2">
      <w:start w:val="0"/>
      <w:numFmt w:val="bullet"/>
      <w:lvlText w:val="•"/>
      <w:lvlJc w:val="left"/>
      <w:pPr>
        <w:ind w:left="1207" w:hanging="191"/>
      </w:pPr>
      <w:rPr>
        <w:rFonts w:hint="default"/>
      </w:rPr>
    </w:lvl>
    <w:lvl w:ilvl="3">
      <w:start w:val="0"/>
      <w:numFmt w:val="bullet"/>
      <w:lvlText w:val="•"/>
      <w:lvlJc w:val="left"/>
      <w:pPr>
        <w:ind w:left="1751" w:hanging="191"/>
      </w:pPr>
      <w:rPr>
        <w:rFonts w:hint="default"/>
      </w:rPr>
    </w:lvl>
    <w:lvl w:ilvl="4">
      <w:start w:val="0"/>
      <w:numFmt w:val="bullet"/>
      <w:lvlText w:val="•"/>
      <w:lvlJc w:val="left"/>
      <w:pPr>
        <w:ind w:left="2295" w:hanging="191"/>
      </w:pPr>
      <w:rPr>
        <w:rFonts w:hint="default"/>
      </w:rPr>
    </w:lvl>
    <w:lvl w:ilvl="5">
      <w:start w:val="0"/>
      <w:numFmt w:val="bullet"/>
      <w:lvlText w:val="•"/>
      <w:lvlJc w:val="left"/>
      <w:pPr>
        <w:ind w:left="2838" w:hanging="191"/>
      </w:pPr>
      <w:rPr>
        <w:rFonts w:hint="default"/>
      </w:rPr>
    </w:lvl>
    <w:lvl w:ilvl="6">
      <w:start w:val="0"/>
      <w:numFmt w:val="bullet"/>
      <w:lvlText w:val="•"/>
      <w:lvlJc w:val="left"/>
      <w:pPr>
        <w:ind w:left="3382" w:hanging="191"/>
      </w:pPr>
      <w:rPr>
        <w:rFonts w:hint="default"/>
      </w:rPr>
    </w:lvl>
    <w:lvl w:ilvl="7">
      <w:start w:val="0"/>
      <w:numFmt w:val="bullet"/>
      <w:lvlText w:val="•"/>
      <w:lvlJc w:val="left"/>
      <w:pPr>
        <w:ind w:left="3926" w:hanging="191"/>
      </w:pPr>
      <w:rPr>
        <w:rFonts w:hint="default"/>
      </w:rPr>
    </w:lvl>
    <w:lvl w:ilvl="8">
      <w:start w:val="0"/>
      <w:numFmt w:val="bullet"/>
      <w:lvlText w:val="•"/>
      <w:lvlJc w:val="left"/>
      <w:pPr>
        <w:ind w:left="4470" w:hanging="191"/>
      </w:pPr>
      <w:rPr>
        <w:rFonts w:hint="default"/>
      </w:rPr>
    </w:lvl>
  </w:abstractNum>
  <w:abstractNum w:abstractNumId="137">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36">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8" w:hanging="190"/>
      </w:pPr>
      <w:rPr>
        <w:rFonts w:hint="default"/>
      </w:rPr>
    </w:lvl>
    <w:lvl w:ilvl="2">
      <w:start w:val="0"/>
      <w:numFmt w:val="bullet"/>
      <w:lvlText w:val="•"/>
      <w:lvlJc w:val="left"/>
      <w:pPr>
        <w:ind w:left="1496" w:hanging="190"/>
      </w:pPr>
      <w:rPr>
        <w:rFonts w:hint="default"/>
      </w:rPr>
    </w:lvl>
    <w:lvl w:ilvl="3">
      <w:start w:val="0"/>
      <w:numFmt w:val="bullet"/>
      <w:lvlText w:val="•"/>
      <w:lvlJc w:val="left"/>
      <w:pPr>
        <w:ind w:left="2004" w:hanging="190"/>
      </w:pPr>
      <w:rPr>
        <w:rFonts w:hint="default"/>
      </w:rPr>
    </w:lvl>
    <w:lvl w:ilvl="4">
      <w:start w:val="0"/>
      <w:numFmt w:val="bullet"/>
      <w:lvlText w:val="•"/>
      <w:lvlJc w:val="left"/>
      <w:pPr>
        <w:ind w:left="2512" w:hanging="190"/>
      </w:pPr>
      <w:rPr>
        <w:rFonts w:hint="default"/>
      </w:rPr>
    </w:lvl>
    <w:lvl w:ilvl="5">
      <w:start w:val="0"/>
      <w:numFmt w:val="bullet"/>
      <w:lvlText w:val="•"/>
      <w:lvlJc w:val="left"/>
      <w:pPr>
        <w:ind w:left="3021" w:hanging="190"/>
      </w:pPr>
      <w:rPr>
        <w:rFonts w:hint="default"/>
      </w:rPr>
    </w:lvl>
    <w:lvl w:ilvl="6">
      <w:start w:val="0"/>
      <w:numFmt w:val="bullet"/>
      <w:lvlText w:val="•"/>
      <w:lvlJc w:val="left"/>
      <w:pPr>
        <w:ind w:left="3529" w:hanging="190"/>
      </w:pPr>
      <w:rPr>
        <w:rFonts w:hint="default"/>
      </w:rPr>
    </w:lvl>
    <w:lvl w:ilvl="7">
      <w:start w:val="0"/>
      <w:numFmt w:val="bullet"/>
      <w:lvlText w:val="•"/>
      <w:lvlJc w:val="left"/>
      <w:pPr>
        <w:ind w:left="4037" w:hanging="190"/>
      </w:pPr>
      <w:rPr>
        <w:rFonts w:hint="default"/>
      </w:rPr>
    </w:lvl>
    <w:lvl w:ilvl="8">
      <w:start w:val="0"/>
      <w:numFmt w:val="bullet"/>
      <w:lvlText w:val="•"/>
      <w:lvlJc w:val="left"/>
      <w:pPr>
        <w:ind w:left="4545" w:hanging="190"/>
      </w:pPr>
      <w:rPr>
        <w:rFonts w:hint="default"/>
      </w:rPr>
    </w:lvl>
  </w:abstractNum>
  <w:abstractNum w:abstractNumId="135">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34">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6" w:hanging="190"/>
      </w:pPr>
      <w:rPr>
        <w:rFonts w:hint="default"/>
      </w:rPr>
    </w:lvl>
    <w:lvl w:ilvl="2">
      <w:start w:val="0"/>
      <w:numFmt w:val="bullet"/>
      <w:lvlText w:val="•"/>
      <w:lvlJc w:val="left"/>
      <w:pPr>
        <w:ind w:left="1493" w:hanging="190"/>
      </w:pPr>
      <w:rPr>
        <w:rFonts w:hint="default"/>
      </w:rPr>
    </w:lvl>
    <w:lvl w:ilvl="3">
      <w:start w:val="0"/>
      <w:numFmt w:val="bullet"/>
      <w:lvlText w:val="•"/>
      <w:lvlJc w:val="left"/>
      <w:pPr>
        <w:ind w:left="2000" w:hanging="190"/>
      </w:pPr>
      <w:rPr>
        <w:rFonts w:hint="default"/>
      </w:rPr>
    </w:lvl>
    <w:lvl w:ilvl="4">
      <w:start w:val="0"/>
      <w:numFmt w:val="bullet"/>
      <w:lvlText w:val="•"/>
      <w:lvlJc w:val="left"/>
      <w:pPr>
        <w:ind w:left="2507" w:hanging="190"/>
      </w:pPr>
      <w:rPr>
        <w:rFonts w:hint="default"/>
      </w:rPr>
    </w:lvl>
    <w:lvl w:ilvl="5">
      <w:start w:val="0"/>
      <w:numFmt w:val="bullet"/>
      <w:lvlText w:val="•"/>
      <w:lvlJc w:val="left"/>
      <w:pPr>
        <w:ind w:left="3014" w:hanging="190"/>
      </w:pPr>
      <w:rPr>
        <w:rFonts w:hint="default"/>
      </w:rPr>
    </w:lvl>
    <w:lvl w:ilvl="6">
      <w:start w:val="0"/>
      <w:numFmt w:val="bullet"/>
      <w:lvlText w:val="•"/>
      <w:lvlJc w:val="left"/>
      <w:pPr>
        <w:ind w:left="3521" w:hanging="190"/>
      </w:pPr>
      <w:rPr>
        <w:rFonts w:hint="default"/>
      </w:rPr>
    </w:lvl>
    <w:lvl w:ilvl="7">
      <w:start w:val="0"/>
      <w:numFmt w:val="bullet"/>
      <w:lvlText w:val="•"/>
      <w:lvlJc w:val="left"/>
      <w:pPr>
        <w:ind w:left="4028" w:hanging="190"/>
      </w:pPr>
      <w:rPr>
        <w:rFonts w:hint="default"/>
      </w:rPr>
    </w:lvl>
    <w:lvl w:ilvl="8">
      <w:start w:val="0"/>
      <w:numFmt w:val="bullet"/>
      <w:lvlText w:val="•"/>
      <w:lvlJc w:val="left"/>
      <w:pPr>
        <w:ind w:left="4535" w:hanging="190"/>
      </w:pPr>
      <w:rPr>
        <w:rFonts w:hint="default"/>
      </w:rPr>
    </w:lvl>
  </w:abstractNum>
  <w:abstractNum w:abstractNumId="133">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32">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4" w:hanging="190"/>
      </w:pPr>
      <w:rPr>
        <w:rFonts w:hint="default"/>
      </w:rPr>
    </w:lvl>
    <w:lvl w:ilvl="2">
      <w:start w:val="0"/>
      <w:numFmt w:val="bullet"/>
      <w:lvlText w:val="•"/>
      <w:lvlJc w:val="left"/>
      <w:pPr>
        <w:ind w:left="1489" w:hanging="190"/>
      </w:pPr>
      <w:rPr>
        <w:rFonts w:hint="default"/>
      </w:rPr>
    </w:lvl>
    <w:lvl w:ilvl="3">
      <w:start w:val="0"/>
      <w:numFmt w:val="bullet"/>
      <w:lvlText w:val="•"/>
      <w:lvlJc w:val="left"/>
      <w:pPr>
        <w:ind w:left="1993" w:hanging="190"/>
      </w:pPr>
      <w:rPr>
        <w:rFonts w:hint="default"/>
      </w:rPr>
    </w:lvl>
    <w:lvl w:ilvl="4">
      <w:start w:val="0"/>
      <w:numFmt w:val="bullet"/>
      <w:lvlText w:val="•"/>
      <w:lvlJc w:val="left"/>
      <w:pPr>
        <w:ind w:left="2498" w:hanging="190"/>
      </w:pPr>
      <w:rPr>
        <w:rFonts w:hint="default"/>
      </w:rPr>
    </w:lvl>
    <w:lvl w:ilvl="5">
      <w:start w:val="0"/>
      <w:numFmt w:val="bullet"/>
      <w:lvlText w:val="•"/>
      <w:lvlJc w:val="left"/>
      <w:pPr>
        <w:ind w:left="3003" w:hanging="190"/>
      </w:pPr>
      <w:rPr>
        <w:rFonts w:hint="default"/>
      </w:rPr>
    </w:lvl>
    <w:lvl w:ilvl="6">
      <w:start w:val="0"/>
      <w:numFmt w:val="bullet"/>
      <w:lvlText w:val="•"/>
      <w:lvlJc w:val="left"/>
      <w:pPr>
        <w:ind w:left="3507" w:hanging="190"/>
      </w:pPr>
      <w:rPr>
        <w:rFonts w:hint="default"/>
      </w:rPr>
    </w:lvl>
    <w:lvl w:ilvl="7">
      <w:start w:val="0"/>
      <w:numFmt w:val="bullet"/>
      <w:lvlText w:val="•"/>
      <w:lvlJc w:val="left"/>
      <w:pPr>
        <w:ind w:left="4012" w:hanging="190"/>
      </w:pPr>
      <w:rPr>
        <w:rFonts w:hint="default"/>
      </w:rPr>
    </w:lvl>
    <w:lvl w:ilvl="8">
      <w:start w:val="0"/>
      <w:numFmt w:val="bullet"/>
      <w:lvlText w:val="•"/>
      <w:lvlJc w:val="left"/>
      <w:pPr>
        <w:ind w:left="4517" w:hanging="190"/>
      </w:pPr>
      <w:rPr>
        <w:rFonts w:hint="default"/>
      </w:rPr>
    </w:lvl>
  </w:abstractNum>
  <w:abstractNum w:abstractNumId="131">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30">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8" w:hanging="190"/>
      </w:pPr>
      <w:rPr>
        <w:rFonts w:hint="default"/>
      </w:rPr>
    </w:lvl>
    <w:lvl w:ilvl="2">
      <w:start w:val="0"/>
      <w:numFmt w:val="bullet"/>
      <w:lvlText w:val="•"/>
      <w:lvlJc w:val="left"/>
      <w:pPr>
        <w:ind w:left="1496" w:hanging="190"/>
      </w:pPr>
      <w:rPr>
        <w:rFonts w:hint="default"/>
      </w:rPr>
    </w:lvl>
    <w:lvl w:ilvl="3">
      <w:start w:val="0"/>
      <w:numFmt w:val="bullet"/>
      <w:lvlText w:val="•"/>
      <w:lvlJc w:val="left"/>
      <w:pPr>
        <w:ind w:left="2004" w:hanging="190"/>
      </w:pPr>
      <w:rPr>
        <w:rFonts w:hint="default"/>
      </w:rPr>
    </w:lvl>
    <w:lvl w:ilvl="4">
      <w:start w:val="0"/>
      <w:numFmt w:val="bullet"/>
      <w:lvlText w:val="•"/>
      <w:lvlJc w:val="left"/>
      <w:pPr>
        <w:ind w:left="2512" w:hanging="190"/>
      </w:pPr>
      <w:rPr>
        <w:rFonts w:hint="default"/>
      </w:rPr>
    </w:lvl>
    <w:lvl w:ilvl="5">
      <w:start w:val="0"/>
      <w:numFmt w:val="bullet"/>
      <w:lvlText w:val="•"/>
      <w:lvlJc w:val="left"/>
      <w:pPr>
        <w:ind w:left="3021" w:hanging="190"/>
      </w:pPr>
      <w:rPr>
        <w:rFonts w:hint="default"/>
      </w:rPr>
    </w:lvl>
    <w:lvl w:ilvl="6">
      <w:start w:val="0"/>
      <w:numFmt w:val="bullet"/>
      <w:lvlText w:val="•"/>
      <w:lvlJc w:val="left"/>
      <w:pPr>
        <w:ind w:left="3529" w:hanging="190"/>
      </w:pPr>
      <w:rPr>
        <w:rFonts w:hint="default"/>
      </w:rPr>
    </w:lvl>
    <w:lvl w:ilvl="7">
      <w:start w:val="0"/>
      <w:numFmt w:val="bullet"/>
      <w:lvlText w:val="•"/>
      <w:lvlJc w:val="left"/>
      <w:pPr>
        <w:ind w:left="4037" w:hanging="190"/>
      </w:pPr>
      <w:rPr>
        <w:rFonts w:hint="default"/>
      </w:rPr>
    </w:lvl>
    <w:lvl w:ilvl="8">
      <w:start w:val="0"/>
      <w:numFmt w:val="bullet"/>
      <w:lvlText w:val="•"/>
      <w:lvlJc w:val="left"/>
      <w:pPr>
        <w:ind w:left="4545" w:hanging="190"/>
      </w:pPr>
      <w:rPr>
        <w:rFonts w:hint="default"/>
      </w:rPr>
    </w:lvl>
  </w:abstractNum>
  <w:abstractNum w:abstractNumId="129">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93" w:hanging="190"/>
      </w:pPr>
      <w:rPr>
        <w:rFonts w:hint="default"/>
      </w:rPr>
    </w:lvl>
    <w:lvl w:ilvl="2">
      <w:start w:val="0"/>
      <w:numFmt w:val="bullet"/>
      <w:lvlText w:val="•"/>
      <w:lvlJc w:val="left"/>
      <w:pPr>
        <w:ind w:left="1506" w:hanging="190"/>
      </w:pPr>
      <w:rPr>
        <w:rFonts w:hint="default"/>
      </w:rPr>
    </w:lvl>
    <w:lvl w:ilvl="3">
      <w:start w:val="0"/>
      <w:numFmt w:val="bullet"/>
      <w:lvlText w:val="•"/>
      <w:lvlJc w:val="left"/>
      <w:pPr>
        <w:ind w:left="2019" w:hanging="190"/>
      </w:pPr>
      <w:rPr>
        <w:rFonts w:hint="default"/>
      </w:rPr>
    </w:lvl>
    <w:lvl w:ilvl="4">
      <w:start w:val="0"/>
      <w:numFmt w:val="bullet"/>
      <w:lvlText w:val="•"/>
      <w:lvlJc w:val="left"/>
      <w:pPr>
        <w:ind w:left="2532" w:hanging="190"/>
      </w:pPr>
      <w:rPr>
        <w:rFonts w:hint="default"/>
      </w:rPr>
    </w:lvl>
    <w:lvl w:ilvl="5">
      <w:start w:val="0"/>
      <w:numFmt w:val="bullet"/>
      <w:lvlText w:val="•"/>
      <w:lvlJc w:val="left"/>
      <w:pPr>
        <w:ind w:left="3046" w:hanging="190"/>
      </w:pPr>
      <w:rPr>
        <w:rFonts w:hint="default"/>
      </w:rPr>
    </w:lvl>
    <w:lvl w:ilvl="6">
      <w:start w:val="0"/>
      <w:numFmt w:val="bullet"/>
      <w:lvlText w:val="•"/>
      <w:lvlJc w:val="left"/>
      <w:pPr>
        <w:ind w:left="3559" w:hanging="190"/>
      </w:pPr>
      <w:rPr>
        <w:rFonts w:hint="default"/>
      </w:rPr>
    </w:lvl>
    <w:lvl w:ilvl="7">
      <w:start w:val="0"/>
      <w:numFmt w:val="bullet"/>
      <w:lvlText w:val="•"/>
      <w:lvlJc w:val="left"/>
      <w:pPr>
        <w:ind w:left="4072" w:hanging="190"/>
      </w:pPr>
      <w:rPr>
        <w:rFonts w:hint="default"/>
      </w:rPr>
    </w:lvl>
    <w:lvl w:ilvl="8">
      <w:start w:val="0"/>
      <w:numFmt w:val="bullet"/>
      <w:lvlText w:val="•"/>
      <w:lvlJc w:val="left"/>
      <w:pPr>
        <w:ind w:left="4585" w:hanging="190"/>
      </w:pPr>
      <w:rPr>
        <w:rFonts w:hint="default"/>
      </w:rPr>
    </w:lvl>
  </w:abstractNum>
  <w:abstractNum w:abstractNumId="128">
    <w:multiLevelType w:val="hybridMultilevel"/>
    <w:lvl w:ilvl="0">
      <w:start w:val="1"/>
      <w:numFmt w:val="lowerLetter"/>
      <w:lvlText w:val="%1)"/>
      <w:lvlJc w:val="left"/>
      <w:pPr>
        <w:ind w:left="47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4" w:hanging="190"/>
      </w:pPr>
      <w:rPr>
        <w:rFonts w:hint="default"/>
      </w:rPr>
    </w:lvl>
    <w:lvl w:ilvl="2">
      <w:start w:val="0"/>
      <w:numFmt w:val="bullet"/>
      <w:lvlText w:val="•"/>
      <w:lvlJc w:val="left"/>
      <w:pPr>
        <w:ind w:left="1489" w:hanging="190"/>
      </w:pPr>
      <w:rPr>
        <w:rFonts w:hint="default"/>
      </w:rPr>
    </w:lvl>
    <w:lvl w:ilvl="3">
      <w:start w:val="0"/>
      <w:numFmt w:val="bullet"/>
      <w:lvlText w:val="•"/>
      <w:lvlJc w:val="left"/>
      <w:pPr>
        <w:ind w:left="1993" w:hanging="190"/>
      </w:pPr>
      <w:rPr>
        <w:rFonts w:hint="default"/>
      </w:rPr>
    </w:lvl>
    <w:lvl w:ilvl="4">
      <w:start w:val="0"/>
      <w:numFmt w:val="bullet"/>
      <w:lvlText w:val="•"/>
      <w:lvlJc w:val="left"/>
      <w:pPr>
        <w:ind w:left="2498" w:hanging="190"/>
      </w:pPr>
      <w:rPr>
        <w:rFonts w:hint="default"/>
      </w:rPr>
    </w:lvl>
    <w:lvl w:ilvl="5">
      <w:start w:val="0"/>
      <w:numFmt w:val="bullet"/>
      <w:lvlText w:val="•"/>
      <w:lvlJc w:val="left"/>
      <w:pPr>
        <w:ind w:left="3003" w:hanging="190"/>
      </w:pPr>
      <w:rPr>
        <w:rFonts w:hint="default"/>
      </w:rPr>
    </w:lvl>
    <w:lvl w:ilvl="6">
      <w:start w:val="0"/>
      <w:numFmt w:val="bullet"/>
      <w:lvlText w:val="•"/>
      <w:lvlJc w:val="left"/>
      <w:pPr>
        <w:ind w:left="3507" w:hanging="190"/>
      </w:pPr>
      <w:rPr>
        <w:rFonts w:hint="default"/>
      </w:rPr>
    </w:lvl>
    <w:lvl w:ilvl="7">
      <w:start w:val="0"/>
      <w:numFmt w:val="bullet"/>
      <w:lvlText w:val="•"/>
      <w:lvlJc w:val="left"/>
      <w:pPr>
        <w:ind w:left="4012" w:hanging="190"/>
      </w:pPr>
      <w:rPr>
        <w:rFonts w:hint="default"/>
      </w:rPr>
    </w:lvl>
    <w:lvl w:ilvl="8">
      <w:start w:val="0"/>
      <w:numFmt w:val="bullet"/>
      <w:lvlText w:val="•"/>
      <w:lvlJc w:val="left"/>
      <w:pPr>
        <w:ind w:left="4517" w:hanging="190"/>
      </w:pPr>
      <w:rPr>
        <w:rFonts w:hint="default"/>
      </w:rPr>
    </w:lvl>
  </w:abstractNum>
  <w:abstractNum w:abstractNumId="127">
    <w:multiLevelType w:val="hybridMultilevel"/>
    <w:lvl w:ilvl="0">
      <w:start w:val="1"/>
      <w:numFmt w:val="lowerLetter"/>
      <w:lvlText w:val="%1)"/>
      <w:lvlJc w:val="left"/>
      <w:pPr>
        <w:ind w:left="113" w:hanging="18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2"/>
      </w:pPr>
      <w:rPr>
        <w:rFonts w:hint="default"/>
      </w:rPr>
    </w:lvl>
    <w:lvl w:ilvl="2">
      <w:start w:val="0"/>
      <w:numFmt w:val="bullet"/>
      <w:lvlText w:val="•"/>
      <w:lvlJc w:val="left"/>
      <w:pPr>
        <w:ind w:left="1218" w:hanging="182"/>
      </w:pPr>
      <w:rPr>
        <w:rFonts w:hint="default"/>
      </w:rPr>
    </w:lvl>
    <w:lvl w:ilvl="3">
      <w:start w:val="0"/>
      <w:numFmt w:val="bullet"/>
      <w:lvlText w:val="•"/>
      <w:lvlJc w:val="left"/>
      <w:pPr>
        <w:ind w:left="1767" w:hanging="182"/>
      </w:pPr>
      <w:rPr>
        <w:rFonts w:hint="default"/>
      </w:rPr>
    </w:lvl>
    <w:lvl w:ilvl="4">
      <w:start w:val="0"/>
      <w:numFmt w:val="bullet"/>
      <w:lvlText w:val="•"/>
      <w:lvlJc w:val="left"/>
      <w:pPr>
        <w:ind w:left="2316" w:hanging="182"/>
      </w:pPr>
      <w:rPr>
        <w:rFonts w:hint="default"/>
      </w:rPr>
    </w:lvl>
    <w:lvl w:ilvl="5">
      <w:start w:val="0"/>
      <w:numFmt w:val="bullet"/>
      <w:lvlText w:val="•"/>
      <w:lvlJc w:val="left"/>
      <w:pPr>
        <w:ind w:left="2866" w:hanging="182"/>
      </w:pPr>
      <w:rPr>
        <w:rFonts w:hint="default"/>
      </w:rPr>
    </w:lvl>
    <w:lvl w:ilvl="6">
      <w:start w:val="0"/>
      <w:numFmt w:val="bullet"/>
      <w:lvlText w:val="•"/>
      <w:lvlJc w:val="left"/>
      <w:pPr>
        <w:ind w:left="3415" w:hanging="182"/>
      </w:pPr>
      <w:rPr>
        <w:rFonts w:hint="default"/>
      </w:rPr>
    </w:lvl>
    <w:lvl w:ilvl="7">
      <w:start w:val="0"/>
      <w:numFmt w:val="bullet"/>
      <w:lvlText w:val="•"/>
      <w:lvlJc w:val="left"/>
      <w:pPr>
        <w:ind w:left="3964" w:hanging="182"/>
      </w:pPr>
      <w:rPr>
        <w:rFonts w:hint="default"/>
      </w:rPr>
    </w:lvl>
    <w:lvl w:ilvl="8">
      <w:start w:val="0"/>
      <w:numFmt w:val="bullet"/>
      <w:lvlText w:val="•"/>
      <w:lvlJc w:val="left"/>
      <w:pPr>
        <w:ind w:left="4513" w:hanging="182"/>
      </w:pPr>
      <w:rPr>
        <w:rFonts w:hint="default"/>
      </w:rPr>
    </w:lvl>
  </w:abstractNum>
  <w:abstractNum w:abstractNumId="126">
    <w:multiLevelType w:val="hybridMultilevel"/>
    <w:lvl w:ilvl="0">
      <w:start w:val="1"/>
      <w:numFmt w:val="lowerLetter"/>
      <w:lvlText w:val="%1)"/>
      <w:lvlJc w:val="left"/>
      <w:pPr>
        <w:ind w:left="113" w:hanging="18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3"/>
      </w:pPr>
      <w:rPr>
        <w:rFonts w:hint="default"/>
      </w:rPr>
    </w:lvl>
    <w:lvl w:ilvl="2">
      <w:start w:val="0"/>
      <w:numFmt w:val="bullet"/>
      <w:lvlText w:val="•"/>
      <w:lvlJc w:val="left"/>
      <w:pPr>
        <w:ind w:left="1201" w:hanging="183"/>
      </w:pPr>
      <w:rPr>
        <w:rFonts w:hint="default"/>
      </w:rPr>
    </w:lvl>
    <w:lvl w:ilvl="3">
      <w:start w:val="0"/>
      <w:numFmt w:val="bullet"/>
      <w:lvlText w:val="•"/>
      <w:lvlJc w:val="left"/>
      <w:pPr>
        <w:ind w:left="1742" w:hanging="183"/>
      </w:pPr>
      <w:rPr>
        <w:rFonts w:hint="default"/>
      </w:rPr>
    </w:lvl>
    <w:lvl w:ilvl="4">
      <w:start w:val="0"/>
      <w:numFmt w:val="bullet"/>
      <w:lvlText w:val="•"/>
      <w:lvlJc w:val="left"/>
      <w:pPr>
        <w:ind w:left="2283" w:hanging="183"/>
      </w:pPr>
      <w:rPr>
        <w:rFonts w:hint="default"/>
      </w:rPr>
    </w:lvl>
    <w:lvl w:ilvl="5">
      <w:start w:val="0"/>
      <w:numFmt w:val="bullet"/>
      <w:lvlText w:val="•"/>
      <w:lvlJc w:val="left"/>
      <w:pPr>
        <w:ind w:left="2823" w:hanging="183"/>
      </w:pPr>
      <w:rPr>
        <w:rFonts w:hint="default"/>
      </w:rPr>
    </w:lvl>
    <w:lvl w:ilvl="6">
      <w:start w:val="0"/>
      <w:numFmt w:val="bullet"/>
      <w:lvlText w:val="•"/>
      <w:lvlJc w:val="left"/>
      <w:pPr>
        <w:ind w:left="3364" w:hanging="183"/>
      </w:pPr>
      <w:rPr>
        <w:rFonts w:hint="default"/>
      </w:rPr>
    </w:lvl>
    <w:lvl w:ilvl="7">
      <w:start w:val="0"/>
      <w:numFmt w:val="bullet"/>
      <w:lvlText w:val="•"/>
      <w:lvlJc w:val="left"/>
      <w:pPr>
        <w:ind w:left="3905" w:hanging="183"/>
      </w:pPr>
      <w:rPr>
        <w:rFonts w:hint="default"/>
      </w:rPr>
    </w:lvl>
    <w:lvl w:ilvl="8">
      <w:start w:val="0"/>
      <w:numFmt w:val="bullet"/>
      <w:lvlText w:val="•"/>
      <w:lvlJc w:val="left"/>
      <w:pPr>
        <w:ind w:left="4446" w:hanging="183"/>
      </w:pPr>
      <w:rPr>
        <w:rFonts w:hint="default"/>
      </w:rPr>
    </w:lvl>
  </w:abstractNum>
  <w:abstractNum w:abstractNumId="125">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124">
    <w:multiLevelType w:val="hybridMultilevel"/>
    <w:lvl w:ilvl="0">
      <w:start w:val="1"/>
      <w:numFmt w:val="lowerLetter"/>
      <w:lvlText w:val="%1)"/>
      <w:lvlJc w:val="left"/>
      <w:pPr>
        <w:ind w:left="113" w:hanging="18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8"/>
      </w:pPr>
      <w:rPr>
        <w:rFonts w:hint="default"/>
      </w:rPr>
    </w:lvl>
    <w:lvl w:ilvl="2">
      <w:start w:val="0"/>
      <w:numFmt w:val="bullet"/>
      <w:lvlText w:val="•"/>
      <w:lvlJc w:val="left"/>
      <w:pPr>
        <w:ind w:left="1201" w:hanging="188"/>
      </w:pPr>
      <w:rPr>
        <w:rFonts w:hint="default"/>
      </w:rPr>
    </w:lvl>
    <w:lvl w:ilvl="3">
      <w:start w:val="0"/>
      <w:numFmt w:val="bullet"/>
      <w:lvlText w:val="•"/>
      <w:lvlJc w:val="left"/>
      <w:pPr>
        <w:ind w:left="1741" w:hanging="188"/>
      </w:pPr>
      <w:rPr>
        <w:rFonts w:hint="default"/>
      </w:rPr>
    </w:lvl>
    <w:lvl w:ilvl="4">
      <w:start w:val="0"/>
      <w:numFmt w:val="bullet"/>
      <w:lvlText w:val="•"/>
      <w:lvlJc w:val="left"/>
      <w:pPr>
        <w:ind w:left="2282" w:hanging="188"/>
      </w:pPr>
      <w:rPr>
        <w:rFonts w:hint="default"/>
      </w:rPr>
    </w:lvl>
    <w:lvl w:ilvl="5">
      <w:start w:val="0"/>
      <w:numFmt w:val="bullet"/>
      <w:lvlText w:val="•"/>
      <w:lvlJc w:val="left"/>
      <w:pPr>
        <w:ind w:left="2823" w:hanging="188"/>
      </w:pPr>
      <w:rPr>
        <w:rFonts w:hint="default"/>
      </w:rPr>
    </w:lvl>
    <w:lvl w:ilvl="6">
      <w:start w:val="0"/>
      <w:numFmt w:val="bullet"/>
      <w:lvlText w:val="•"/>
      <w:lvlJc w:val="left"/>
      <w:pPr>
        <w:ind w:left="3363" w:hanging="188"/>
      </w:pPr>
      <w:rPr>
        <w:rFonts w:hint="default"/>
      </w:rPr>
    </w:lvl>
    <w:lvl w:ilvl="7">
      <w:start w:val="0"/>
      <w:numFmt w:val="bullet"/>
      <w:lvlText w:val="•"/>
      <w:lvlJc w:val="left"/>
      <w:pPr>
        <w:ind w:left="3904" w:hanging="188"/>
      </w:pPr>
      <w:rPr>
        <w:rFonts w:hint="default"/>
      </w:rPr>
    </w:lvl>
    <w:lvl w:ilvl="8">
      <w:start w:val="0"/>
      <w:numFmt w:val="bullet"/>
      <w:lvlText w:val="•"/>
      <w:lvlJc w:val="left"/>
      <w:pPr>
        <w:ind w:left="4445" w:hanging="188"/>
      </w:pPr>
      <w:rPr>
        <w:rFonts w:hint="default"/>
      </w:rPr>
    </w:lvl>
  </w:abstractNum>
  <w:abstractNum w:abstractNumId="123">
    <w:multiLevelType w:val="hybridMultilevel"/>
    <w:lvl w:ilvl="0">
      <w:start w:val="1"/>
      <w:numFmt w:val="lowerLetter"/>
      <w:lvlText w:val="%1)"/>
      <w:lvlJc w:val="left"/>
      <w:pPr>
        <w:ind w:left="113" w:hanging="17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5"/>
      </w:pPr>
      <w:rPr>
        <w:rFonts w:hint="default"/>
      </w:rPr>
    </w:lvl>
    <w:lvl w:ilvl="2">
      <w:start w:val="0"/>
      <w:numFmt w:val="bullet"/>
      <w:lvlText w:val="•"/>
      <w:lvlJc w:val="left"/>
      <w:pPr>
        <w:ind w:left="1218" w:hanging="175"/>
      </w:pPr>
      <w:rPr>
        <w:rFonts w:hint="default"/>
      </w:rPr>
    </w:lvl>
    <w:lvl w:ilvl="3">
      <w:start w:val="0"/>
      <w:numFmt w:val="bullet"/>
      <w:lvlText w:val="•"/>
      <w:lvlJc w:val="left"/>
      <w:pPr>
        <w:ind w:left="1767" w:hanging="175"/>
      </w:pPr>
      <w:rPr>
        <w:rFonts w:hint="default"/>
      </w:rPr>
    </w:lvl>
    <w:lvl w:ilvl="4">
      <w:start w:val="0"/>
      <w:numFmt w:val="bullet"/>
      <w:lvlText w:val="•"/>
      <w:lvlJc w:val="left"/>
      <w:pPr>
        <w:ind w:left="2316" w:hanging="175"/>
      </w:pPr>
      <w:rPr>
        <w:rFonts w:hint="default"/>
      </w:rPr>
    </w:lvl>
    <w:lvl w:ilvl="5">
      <w:start w:val="0"/>
      <w:numFmt w:val="bullet"/>
      <w:lvlText w:val="•"/>
      <w:lvlJc w:val="left"/>
      <w:pPr>
        <w:ind w:left="2866" w:hanging="175"/>
      </w:pPr>
      <w:rPr>
        <w:rFonts w:hint="default"/>
      </w:rPr>
    </w:lvl>
    <w:lvl w:ilvl="6">
      <w:start w:val="0"/>
      <w:numFmt w:val="bullet"/>
      <w:lvlText w:val="•"/>
      <w:lvlJc w:val="left"/>
      <w:pPr>
        <w:ind w:left="3415" w:hanging="175"/>
      </w:pPr>
      <w:rPr>
        <w:rFonts w:hint="default"/>
      </w:rPr>
    </w:lvl>
    <w:lvl w:ilvl="7">
      <w:start w:val="0"/>
      <w:numFmt w:val="bullet"/>
      <w:lvlText w:val="•"/>
      <w:lvlJc w:val="left"/>
      <w:pPr>
        <w:ind w:left="3964" w:hanging="175"/>
      </w:pPr>
      <w:rPr>
        <w:rFonts w:hint="default"/>
      </w:rPr>
    </w:lvl>
    <w:lvl w:ilvl="8">
      <w:start w:val="0"/>
      <w:numFmt w:val="bullet"/>
      <w:lvlText w:val="•"/>
      <w:lvlJc w:val="left"/>
      <w:pPr>
        <w:ind w:left="4513" w:hanging="175"/>
      </w:pPr>
      <w:rPr>
        <w:rFonts w:hint="default"/>
      </w:rPr>
    </w:lvl>
  </w:abstractNum>
  <w:abstractNum w:abstractNumId="122">
    <w:multiLevelType w:val="hybridMultilevel"/>
    <w:lvl w:ilvl="0">
      <w:start w:val="1"/>
      <w:numFmt w:val="lowerLetter"/>
      <w:lvlText w:val="%1)"/>
      <w:lvlJc w:val="left"/>
      <w:pPr>
        <w:ind w:left="113" w:hanging="18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4"/>
      </w:pPr>
      <w:rPr>
        <w:rFonts w:hint="default"/>
      </w:rPr>
    </w:lvl>
    <w:lvl w:ilvl="2">
      <w:start w:val="0"/>
      <w:numFmt w:val="bullet"/>
      <w:lvlText w:val="•"/>
      <w:lvlJc w:val="left"/>
      <w:pPr>
        <w:ind w:left="1201" w:hanging="184"/>
      </w:pPr>
      <w:rPr>
        <w:rFonts w:hint="default"/>
      </w:rPr>
    </w:lvl>
    <w:lvl w:ilvl="3">
      <w:start w:val="0"/>
      <w:numFmt w:val="bullet"/>
      <w:lvlText w:val="•"/>
      <w:lvlJc w:val="left"/>
      <w:pPr>
        <w:ind w:left="1741" w:hanging="184"/>
      </w:pPr>
      <w:rPr>
        <w:rFonts w:hint="default"/>
      </w:rPr>
    </w:lvl>
    <w:lvl w:ilvl="4">
      <w:start w:val="0"/>
      <w:numFmt w:val="bullet"/>
      <w:lvlText w:val="•"/>
      <w:lvlJc w:val="left"/>
      <w:pPr>
        <w:ind w:left="2282" w:hanging="184"/>
      </w:pPr>
      <w:rPr>
        <w:rFonts w:hint="default"/>
      </w:rPr>
    </w:lvl>
    <w:lvl w:ilvl="5">
      <w:start w:val="0"/>
      <w:numFmt w:val="bullet"/>
      <w:lvlText w:val="•"/>
      <w:lvlJc w:val="left"/>
      <w:pPr>
        <w:ind w:left="2823" w:hanging="184"/>
      </w:pPr>
      <w:rPr>
        <w:rFonts w:hint="default"/>
      </w:rPr>
    </w:lvl>
    <w:lvl w:ilvl="6">
      <w:start w:val="0"/>
      <w:numFmt w:val="bullet"/>
      <w:lvlText w:val="•"/>
      <w:lvlJc w:val="left"/>
      <w:pPr>
        <w:ind w:left="3363" w:hanging="184"/>
      </w:pPr>
      <w:rPr>
        <w:rFonts w:hint="default"/>
      </w:rPr>
    </w:lvl>
    <w:lvl w:ilvl="7">
      <w:start w:val="0"/>
      <w:numFmt w:val="bullet"/>
      <w:lvlText w:val="•"/>
      <w:lvlJc w:val="left"/>
      <w:pPr>
        <w:ind w:left="3904" w:hanging="184"/>
      </w:pPr>
      <w:rPr>
        <w:rFonts w:hint="default"/>
      </w:rPr>
    </w:lvl>
    <w:lvl w:ilvl="8">
      <w:start w:val="0"/>
      <w:numFmt w:val="bullet"/>
      <w:lvlText w:val="•"/>
      <w:lvlJc w:val="left"/>
      <w:pPr>
        <w:ind w:left="4445" w:hanging="184"/>
      </w:pPr>
      <w:rPr>
        <w:rFonts w:hint="default"/>
      </w:rPr>
    </w:lvl>
  </w:abstractNum>
  <w:abstractNum w:abstractNumId="121">
    <w:multiLevelType w:val="hybridMultilevel"/>
    <w:lvl w:ilvl="0">
      <w:start w:val="3"/>
      <w:numFmt w:val="lowerLetter"/>
      <w:lvlText w:val="%1)"/>
      <w:lvlJc w:val="left"/>
      <w:pPr>
        <w:ind w:left="113" w:hanging="204"/>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04"/>
      </w:pPr>
      <w:rPr>
        <w:rFonts w:hint="default"/>
      </w:rPr>
    </w:lvl>
    <w:lvl w:ilvl="2">
      <w:start w:val="0"/>
      <w:numFmt w:val="bullet"/>
      <w:lvlText w:val="•"/>
      <w:lvlJc w:val="left"/>
      <w:pPr>
        <w:ind w:left="1218" w:hanging="204"/>
      </w:pPr>
      <w:rPr>
        <w:rFonts w:hint="default"/>
      </w:rPr>
    </w:lvl>
    <w:lvl w:ilvl="3">
      <w:start w:val="0"/>
      <w:numFmt w:val="bullet"/>
      <w:lvlText w:val="•"/>
      <w:lvlJc w:val="left"/>
      <w:pPr>
        <w:ind w:left="1767" w:hanging="204"/>
      </w:pPr>
      <w:rPr>
        <w:rFonts w:hint="default"/>
      </w:rPr>
    </w:lvl>
    <w:lvl w:ilvl="4">
      <w:start w:val="0"/>
      <w:numFmt w:val="bullet"/>
      <w:lvlText w:val="•"/>
      <w:lvlJc w:val="left"/>
      <w:pPr>
        <w:ind w:left="2316" w:hanging="204"/>
      </w:pPr>
      <w:rPr>
        <w:rFonts w:hint="default"/>
      </w:rPr>
    </w:lvl>
    <w:lvl w:ilvl="5">
      <w:start w:val="0"/>
      <w:numFmt w:val="bullet"/>
      <w:lvlText w:val="•"/>
      <w:lvlJc w:val="left"/>
      <w:pPr>
        <w:ind w:left="2866" w:hanging="204"/>
      </w:pPr>
      <w:rPr>
        <w:rFonts w:hint="default"/>
      </w:rPr>
    </w:lvl>
    <w:lvl w:ilvl="6">
      <w:start w:val="0"/>
      <w:numFmt w:val="bullet"/>
      <w:lvlText w:val="•"/>
      <w:lvlJc w:val="left"/>
      <w:pPr>
        <w:ind w:left="3415" w:hanging="204"/>
      </w:pPr>
      <w:rPr>
        <w:rFonts w:hint="default"/>
      </w:rPr>
    </w:lvl>
    <w:lvl w:ilvl="7">
      <w:start w:val="0"/>
      <w:numFmt w:val="bullet"/>
      <w:lvlText w:val="•"/>
      <w:lvlJc w:val="left"/>
      <w:pPr>
        <w:ind w:left="3964" w:hanging="204"/>
      </w:pPr>
      <w:rPr>
        <w:rFonts w:hint="default"/>
      </w:rPr>
    </w:lvl>
    <w:lvl w:ilvl="8">
      <w:start w:val="0"/>
      <w:numFmt w:val="bullet"/>
      <w:lvlText w:val="•"/>
      <w:lvlJc w:val="left"/>
      <w:pPr>
        <w:ind w:left="4513" w:hanging="204"/>
      </w:pPr>
      <w:rPr>
        <w:rFonts w:hint="default"/>
      </w:rPr>
    </w:lvl>
  </w:abstractNum>
  <w:abstractNum w:abstractNumId="120">
    <w:multiLevelType w:val="hybridMultilevel"/>
    <w:lvl w:ilvl="0">
      <w:start w:val="1"/>
      <w:numFmt w:val="lowerLetter"/>
      <w:lvlText w:val="%1)"/>
      <w:lvlJc w:val="left"/>
      <w:pPr>
        <w:ind w:left="113" w:hanging="18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6"/>
      </w:pPr>
      <w:rPr>
        <w:rFonts w:hint="default"/>
      </w:rPr>
    </w:lvl>
    <w:lvl w:ilvl="2">
      <w:start w:val="0"/>
      <w:numFmt w:val="bullet"/>
      <w:lvlText w:val="•"/>
      <w:lvlJc w:val="left"/>
      <w:pPr>
        <w:ind w:left="1218" w:hanging="186"/>
      </w:pPr>
      <w:rPr>
        <w:rFonts w:hint="default"/>
      </w:rPr>
    </w:lvl>
    <w:lvl w:ilvl="3">
      <w:start w:val="0"/>
      <w:numFmt w:val="bullet"/>
      <w:lvlText w:val="•"/>
      <w:lvlJc w:val="left"/>
      <w:pPr>
        <w:ind w:left="1767" w:hanging="186"/>
      </w:pPr>
      <w:rPr>
        <w:rFonts w:hint="default"/>
      </w:rPr>
    </w:lvl>
    <w:lvl w:ilvl="4">
      <w:start w:val="0"/>
      <w:numFmt w:val="bullet"/>
      <w:lvlText w:val="•"/>
      <w:lvlJc w:val="left"/>
      <w:pPr>
        <w:ind w:left="2316" w:hanging="186"/>
      </w:pPr>
      <w:rPr>
        <w:rFonts w:hint="default"/>
      </w:rPr>
    </w:lvl>
    <w:lvl w:ilvl="5">
      <w:start w:val="0"/>
      <w:numFmt w:val="bullet"/>
      <w:lvlText w:val="•"/>
      <w:lvlJc w:val="left"/>
      <w:pPr>
        <w:ind w:left="2866" w:hanging="186"/>
      </w:pPr>
      <w:rPr>
        <w:rFonts w:hint="default"/>
      </w:rPr>
    </w:lvl>
    <w:lvl w:ilvl="6">
      <w:start w:val="0"/>
      <w:numFmt w:val="bullet"/>
      <w:lvlText w:val="•"/>
      <w:lvlJc w:val="left"/>
      <w:pPr>
        <w:ind w:left="3415" w:hanging="186"/>
      </w:pPr>
      <w:rPr>
        <w:rFonts w:hint="default"/>
      </w:rPr>
    </w:lvl>
    <w:lvl w:ilvl="7">
      <w:start w:val="0"/>
      <w:numFmt w:val="bullet"/>
      <w:lvlText w:val="•"/>
      <w:lvlJc w:val="left"/>
      <w:pPr>
        <w:ind w:left="3964" w:hanging="186"/>
      </w:pPr>
      <w:rPr>
        <w:rFonts w:hint="default"/>
      </w:rPr>
    </w:lvl>
    <w:lvl w:ilvl="8">
      <w:start w:val="0"/>
      <w:numFmt w:val="bullet"/>
      <w:lvlText w:val="•"/>
      <w:lvlJc w:val="left"/>
      <w:pPr>
        <w:ind w:left="4513" w:hanging="186"/>
      </w:pPr>
      <w:rPr>
        <w:rFonts w:hint="default"/>
      </w:rPr>
    </w:lvl>
  </w:abstractNum>
  <w:abstractNum w:abstractNumId="119">
    <w:multiLevelType w:val="hybridMultilevel"/>
    <w:lvl w:ilvl="0">
      <w:start w:val="1"/>
      <w:numFmt w:val="lowerLetter"/>
      <w:lvlText w:val="%1)"/>
      <w:lvlJc w:val="left"/>
      <w:pPr>
        <w:ind w:left="113" w:hanging="17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9"/>
      </w:pPr>
      <w:rPr>
        <w:rFonts w:hint="default"/>
      </w:rPr>
    </w:lvl>
    <w:lvl w:ilvl="2">
      <w:start w:val="0"/>
      <w:numFmt w:val="bullet"/>
      <w:lvlText w:val="•"/>
      <w:lvlJc w:val="left"/>
      <w:pPr>
        <w:ind w:left="1201" w:hanging="179"/>
      </w:pPr>
      <w:rPr>
        <w:rFonts w:hint="default"/>
      </w:rPr>
    </w:lvl>
    <w:lvl w:ilvl="3">
      <w:start w:val="0"/>
      <w:numFmt w:val="bullet"/>
      <w:lvlText w:val="•"/>
      <w:lvlJc w:val="left"/>
      <w:pPr>
        <w:ind w:left="1741" w:hanging="179"/>
      </w:pPr>
      <w:rPr>
        <w:rFonts w:hint="default"/>
      </w:rPr>
    </w:lvl>
    <w:lvl w:ilvl="4">
      <w:start w:val="0"/>
      <w:numFmt w:val="bullet"/>
      <w:lvlText w:val="•"/>
      <w:lvlJc w:val="left"/>
      <w:pPr>
        <w:ind w:left="2282" w:hanging="179"/>
      </w:pPr>
      <w:rPr>
        <w:rFonts w:hint="default"/>
      </w:rPr>
    </w:lvl>
    <w:lvl w:ilvl="5">
      <w:start w:val="0"/>
      <w:numFmt w:val="bullet"/>
      <w:lvlText w:val="•"/>
      <w:lvlJc w:val="left"/>
      <w:pPr>
        <w:ind w:left="2823" w:hanging="179"/>
      </w:pPr>
      <w:rPr>
        <w:rFonts w:hint="default"/>
      </w:rPr>
    </w:lvl>
    <w:lvl w:ilvl="6">
      <w:start w:val="0"/>
      <w:numFmt w:val="bullet"/>
      <w:lvlText w:val="•"/>
      <w:lvlJc w:val="left"/>
      <w:pPr>
        <w:ind w:left="3363" w:hanging="179"/>
      </w:pPr>
      <w:rPr>
        <w:rFonts w:hint="default"/>
      </w:rPr>
    </w:lvl>
    <w:lvl w:ilvl="7">
      <w:start w:val="0"/>
      <w:numFmt w:val="bullet"/>
      <w:lvlText w:val="•"/>
      <w:lvlJc w:val="left"/>
      <w:pPr>
        <w:ind w:left="3904" w:hanging="179"/>
      </w:pPr>
      <w:rPr>
        <w:rFonts w:hint="default"/>
      </w:rPr>
    </w:lvl>
    <w:lvl w:ilvl="8">
      <w:start w:val="0"/>
      <w:numFmt w:val="bullet"/>
      <w:lvlText w:val="•"/>
      <w:lvlJc w:val="left"/>
      <w:pPr>
        <w:ind w:left="4445" w:hanging="179"/>
      </w:pPr>
      <w:rPr>
        <w:rFonts w:hint="default"/>
      </w:rPr>
    </w:lvl>
  </w:abstractNum>
  <w:abstractNum w:abstractNumId="118">
    <w:multiLevelType w:val="hybridMultilevel"/>
    <w:lvl w:ilvl="0">
      <w:start w:val="1"/>
      <w:numFmt w:val="lowerLetter"/>
      <w:lvlText w:val="%1)"/>
      <w:lvlJc w:val="left"/>
      <w:pPr>
        <w:ind w:left="113" w:hanging="18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6"/>
      </w:pPr>
      <w:rPr>
        <w:rFonts w:hint="default"/>
      </w:rPr>
    </w:lvl>
    <w:lvl w:ilvl="2">
      <w:start w:val="0"/>
      <w:numFmt w:val="bullet"/>
      <w:lvlText w:val="•"/>
      <w:lvlJc w:val="left"/>
      <w:pPr>
        <w:ind w:left="1218" w:hanging="186"/>
      </w:pPr>
      <w:rPr>
        <w:rFonts w:hint="default"/>
      </w:rPr>
    </w:lvl>
    <w:lvl w:ilvl="3">
      <w:start w:val="0"/>
      <w:numFmt w:val="bullet"/>
      <w:lvlText w:val="•"/>
      <w:lvlJc w:val="left"/>
      <w:pPr>
        <w:ind w:left="1767" w:hanging="186"/>
      </w:pPr>
      <w:rPr>
        <w:rFonts w:hint="default"/>
      </w:rPr>
    </w:lvl>
    <w:lvl w:ilvl="4">
      <w:start w:val="0"/>
      <w:numFmt w:val="bullet"/>
      <w:lvlText w:val="•"/>
      <w:lvlJc w:val="left"/>
      <w:pPr>
        <w:ind w:left="2316" w:hanging="186"/>
      </w:pPr>
      <w:rPr>
        <w:rFonts w:hint="default"/>
      </w:rPr>
    </w:lvl>
    <w:lvl w:ilvl="5">
      <w:start w:val="0"/>
      <w:numFmt w:val="bullet"/>
      <w:lvlText w:val="•"/>
      <w:lvlJc w:val="left"/>
      <w:pPr>
        <w:ind w:left="2866" w:hanging="186"/>
      </w:pPr>
      <w:rPr>
        <w:rFonts w:hint="default"/>
      </w:rPr>
    </w:lvl>
    <w:lvl w:ilvl="6">
      <w:start w:val="0"/>
      <w:numFmt w:val="bullet"/>
      <w:lvlText w:val="•"/>
      <w:lvlJc w:val="left"/>
      <w:pPr>
        <w:ind w:left="3415" w:hanging="186"/>
      </w:pPr>
      <w:rPr>
        <w:rFonts w:hint="default"/>
      </w:rPr>
    </w:lvl>
    <w:lvl w:ilvl="7">
      <w:start w:val="0"/>
      <w:numFmt w:val="bullet"/>
      <w:lvlText w:val="•"/>
      <w:lvlJc w:val="left"/>
      <w:pPr>
        <w:ind w:left="3964" w:hanging="186"/>
      </w:pPr>
      <w:rPr>
        <w:rFonts w:hint="default"/>
      </w:rPr>
    </w:lvl>
    <w:lvl w:ilvl="8">
      <w:start w:val="0"/>
      <w:numFmt w:val="bullet"/>
      <w:lvlText w:val="•"/>
      <w:lvlJc w:val="left"/>
      <w:pPr>
        <w:ind w:left="4513" w:hanging="186"/>
      </w:pPr>
      <w:rPr>
        <w:rFonts w:hint="default"/>
      </w:rPr>
    </w:lvl>
  </w:abstractNum>
  <w:abstractNum w:abstractNumId="117">
    <w:multiLevelType w:val="hybridMultilevel"/>
    <w:lvl w:ilvl="0">
      <w:start w:val="1"/>
      <w:numFmt w:val="lowerLetter"/>
      <w:lvlText w:val="%1)"/>
      <w:lvlJc w:val="left"/>
      <w:pPr>
        <w:ind w:left="113" w:hanging="17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9"/>
      </w:pPr>
      <w:rPr>
        <w:rFonts w:hint="default"/>
      </w:rPr>
    </w:lvl>
    <w:lvl w:ilvl="2">
      <w:start w:val="0"/>
      <w:numFmt w:val="bullet"/>
      <w:lvlText w:val="•"/>
      <w:lvlJc w:val="left"/>
      <w:pPr>
        <w:ind w:left="1201" w:hanging="179"/>
      </w:pPr>
      <w:rPr>
        <w:rFonts w:hint="default"/>
      </w:rPr>
    </w:lvl>
    <w:lvl w:ilvl="3">
      <w:start w:val="0"/>
      <w:numFmt w:val="bullet"/>
      <w:lvlText w:val="•"/>
      <w:lvlJc w:val="left"/>
      <w:pPr>
        <w:ind w:left="1741" w:hanging="179"/>
      </w:pPr>
      <w:rPr>
        <w:rFonts w:hint="default"/>
      </w:rPr>
    </w:lvl>
    <w:lvl w:ilvl="4">
      <w:start w:val="0"/>
      <w:numFmt w:val="bullet"/>
      <w:lvlText w:val="•"/>
      <w:lvlJc w:val="left"/>
      <w:pPr>
        <w:ind w:left="2282" w:hanging="179"/>
      </w:pPr>
      <w:rPr>
        <w:rFonts w:hint="default"/>
      </w:rPr>
    </w:lvl>
    <w:lvl w:ilvl="5">
      <w:start w:val="0"/>
      <w:numFmt w:val="bullet"/>
      <w:lvlText w:val="•"/>
      <w:lvlJc w:val="left"/>
      <w:pPr>
        <w:ind w:left="2823" w:hanging="179"/>
      </w:pPr>
      <w:rPr>
        <w:rFonts w:hint="default"/>
      </w:rPr>
    </w:lvl>
    <w:lvl w:ilvl="6">
      <w:start w:val="0"/>
      <w:numFmt w:val="bullet"/>
      <w:lvlText w:val="•"/>
      <w:lvlJc w:val="left"/>
      <w:pPr>
        <w:ind w:left="3363" w:hanging="179"/>
      </w:pPr>
      <w:rPr>
        <w:rFonts w:hint="default"/>
      </w:rPr>
    </w:lvl>
    <w:lvl w:ilvl="7">
      <w:start w:val="0"/>
      <w:numFmt w:val="bullet"/>
      <w:lvlText w:val="•"/>
      <w:lvlJc w:val="left"/>
      <w:pPr>
        <w:ind w:left="3904" w:hanging="179"/>
      </w:pPr>
      <w:rPr>
        <w:rFonts w:hint="default"/>
      </w:rPr>
    </w:lvl>
    <w:lvl w:ilvl="8">
      <w:start w:val="0"/>
      <w:numFmt w:val="bullet"/>
      <w:lvlText w:val="•"/>
      <w:lvlJc w:val="left"/>
      <w:pPr>
        <w:ind w:left="4445" w:hanging="179"/>
      </w:pPr>
      <w:rPr>
        <w:rFonts w:hint="default"/>
      </w:rPr>
    </w:lvl>
  </w:abstractNum>
  <w:abstractNum w:abstractNumId="116">
    <w:multiLevelType w:val="hybridMultilevel"/>
    <w:lvl w:ilvl="0">
      <w:start w:val="1"/>
      <w:numFmt w:val="lowerLetter"/>
      <w:lvlText w:val="%1)"/>
      <w:lvlJc w:val="left"/>
      <w:pPr>
        <w:ind w:left="113" w:hanging="19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4"/>
      </w:pPr>
      <w:rPr>
        <w:rFonts w:hint="default"/>
      </w:rPr>
    </w:lvl>
    <w:lvl w:ilvl="2">
      <w:start w:val="0"/>
      <w:numFmt w:val="bullet"/>
      <w:lvlText w:val="•"/>
      <w:lvlJc w:val="left"/>
      <w:pPr>
        <w:ind w:left="1218" w:hanging="194"/>
      </w:pPr>
      <w:rPr>
        <w:rFonts w:hint="default"/>
      </w:rPr>
    </w:lvl>
    <w:lvl w:ilvl="3">
      <w:start w:val="0"/>
      <w:numFmt w:val="bullet"/>
      <w:lvlText w:val="•"/>
      <w:lvlJc w:val="left"/>
      <w:pPr>
        <w:ind w:left="1767" w:hanging="194"/>
      </w:pPr>
      <w:rPr>
        <w:rFonts w:hint="default"/>
      </w:rPr>
    </w:lvl>
    <w:lvl w:ilvl="4">
      <w:start w:val="0"/>
      <w:numFmt w:val="bullet"/>
      <w:lvlText w:val="•"/>
      <w:lvlJc w:val="left"/>
      <w:pPr>
        <w:ind w:left="2316" w:hanging="194"/>
      </w:pPr>
      <w:rPr>
        <w:rFonts w:hint="default"/>
      </w:rPr>
    </w:lvl>
    <w:lvl w:ilvl="5">
      <w:start w:val="0"/>
      <w:numFmt w:val="bullet"/>
      <w:lvlText w:val="•"/>
      <w:lvlJc w:val="left"/>
      <w:pPr>
        <w:ind w:left="2866" w:hanging="194"/>
      </w:pPr>
      <w:rPr>
        <w:rFonts w:hint="default"/>
      </w:rPr>
    </w:lvl>
    <w:lvl w:ilvl="6">
      <w:start w:val="0"/>
      <w:numFmt w:val="bullet"/>
      <w:lvlText w:val="•"/>
      <w:lvlJc w:val="left"/>
      <w:pPr>
        <w:ind w:left="3415" w:hanging="194"/>
      </w:pPr>
      <w:rPr>
        <w:rFonts w:hint="default"/>
      </w:rPr>
    </w:lvl>
    <w:lvl w:ilvl="7">
      <w:start w:val="0"/>
      <w:numFmt w:val="bullet"/>
      <w:lvlText w:val="•"/>
      <w:lvlJc w:val="left"/>
      <w:pPr>
        <w:ind w:left="3964" w:hanging="194"/>
      </w:pPr>
      <w:rPr>
        <w:rFonts w:hint="default"/>
      </w:rPr>
    </w:lvl>
    <w:lvl w:ilvl="8">
      <w:start w:val="0"/>
      <w:numFmt w:val="bullet"/>
      <w:lvlText w:val="•"/>
      <w:lvlJc w:val="left"/>
      <w:pPr>
        <w:ind w:left="4513" w:hanging="194"/>
      </w:pPr>
      <w:rPr>
        <w:rFonts w:hint="default"/>
      </w:rPr>
    </w:lvl>
  </w:abstractNum>
  <w:abstractNum w:abstractNumId="115">
    <w:multiLevelType w:val="hybridMultilevel"/>
    <w:lvl w:ilvl="0">
      <w:start w:val="1"/>
      <w:numFmt w:val="lowerLetter"/>
      <w:lvlText w:val="%1)"/>
      <w:lvlJc w:val="left"/>
      <w:pPr>
        <w:ind w:left="113" w:hanging="23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34"/>
      </w:pPr>
      <w:rPr>
        <w:rFonts w:hint="default"/>
      </w:rPr>
    </w:lvl>
    <w:lvl w:ilvl="2">
      <w:start w:val="0"/>
      <w:numFmt w:val="bullet"/>
      <w:lvlText w:val="•"/>
      <w:lvlJc w:val="left"/>
      <w:pPr>
        <w:ind w:left="1201" w:hanging="234"/>
      </w:pPr>
      <w:rPr>
        <w:rFonts w:hint="default"/>
      </w:rPr>
    </w:lvl>
    <w:lvl w:ilvl="3">
      <w:start w:val="0"/>
      <w:numFmt w:val="bullet"/>
      <w:lvlText w:val="•"/>
      <w:lvlJc w:val="left"/>
      <w:pPr>
        <w:ind w:left="1742" w:hanging="234"/>
      </w:pPr>
      <w:rPr>
        <w:rFonts w:hint="default"/>
      </w:rPr>
    </w:lvl>
    <w:lvl w:ilvl="4">
      <w:start w:val="0"/>
      <w:numFmt w:val="bullet"/>
      <w:lvlText w:val="•"/>
      <w:lvlJc w:val="left"/>
      <w:pPr>
        <w:ind w:left="2283" w:hanging="234"/>
      </w:pPr>
      <w:rPr>
        <w:rFonts w:hint="default"/>
      </w:rPr>
    </w:lvl>
    <w:lvl w:ilvl="5">
      <w:start w:val="0"/>
      <w:numFmt w:val="bullet"/>
      <w:lvlText w:val="•"/>
      <w:lvlJc w:val="left"/>
      <w:pPr>
        <w:ind w:left="2824" w:hanging="234"/>
      </w:pPr>
      <w:rPr>
        <w:rFonts w:hint="default"/>
      </w:rPr>
    </w:lvl>
    <w:lvl w:ilvl="6">
      <w:start w:val="0"/>
      <w:numFmt w:val="bullet"/>
      <w:lvlText w:val="•"/>
      <w:lvlJc w:val="left"/>
      <w:pPr>
        <w:ind w:left="3365" w:hanging="234"/>
      </w:pPr>
      <w:rPr>
        <w:rFonts w:hint="default"/>
      </w:rPr>
    </w:lvl>
    <w:lvl w:ilvl="7">
      <w:start w:val="0"/>
      <w:numFmt w:val="bullet"/>
      <w:lvlText w:val="•"/>
      <w:lvlJc w:val="left"/>
      <w:pPr>
        <w:ind w:left="3906" w:hanging="234"/>
      </w:pPr>
      <w:rPr>
        <w:rFonts w:hint="default"/>
      </w:rPr>
    </w:lvl>
    <w:lvl w:ilvl="8">
      <w:start w:val="0"/>
      <w:numFmt w:val="bullet"/>
      <w:lvlText w:val="•"/>
      <w:lvlJc w:val="left"/>
      <w:pPr>
        <w:ind w:left="4447" w:hanging="234"/>
      </w:pPr>
      <w:rPr>
        <w:rFonts w:hint="default"/>
      </w:rPr>
    </w:lvl>
  </w:abstractNum>
  <w:abstractNum w:abstractNumId="114">
    <w:multiLevelType w:val="hybridMultilevel"/>
    <w:lvl w:ilvl="0">
      <w:start w:val="2"/>
      <w:numFmt w:val="lowerLetter"/>
      <w:lvlText w:val="%1)"/>
      <w:lvlJc w:val="left"/>
      <w:pPr>
        <w:ind w:left="113" w:hanging="250"/>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50"/>
      </w:pPr>
      <w:rPr>
        <w:rFonts w:hint="default"/>
      </w:rPr>
    </w:lvl>
    <w:lvl w:ilvl="2">
      <w:start w:val="0"/>
      <w:numFmt w:val="bullet"/>
      <w:lvlText w:val="•"/>
      <w:lvlJc w:val="left"/>
      <w:pPr>
        <w:ind w:left="1218" w:hanging="250"/>
      </w:pPr>
      <w:rPr>
        <w:rFonts w:hint="default"/>
      </w:rPr>
    </w:lvl>
    <w:lvl w:ilvl="3">
      <w:start w:val="0"/>
      <w:numFmt w:val="bullet"/>
      <w:lvlText w:val="•"/>
      <w:lvlJc w:val="left"/>
      <w:pPr>
        <w:ind w:left="1767" w:hanging="250"/>
      </w:pPr>
      <w:rPr>
        <w:rFonts w:hint="default"/>
      </w:rPr>
    </w:lvl>
    <w:lvl w:ilvl="4">
      <w:start w:val="0"/>
      <w:numFmt w:val="bullet"/>
      <w:lvlText w:val="•"/>
      <w:lvlJc w:val="left"/>
      <w:pPr>
        <w:ind w:left="2316" w:hanging="250"/>
      </w:pPr>
      <w:rPr>
        <w:rFonts w:hint="default"/>
      </w:rPr>
    </w:lvl>
    <w:lvl w:ilvl="5">
      <w:start w:val="0"/>
      <w:numFmt w:val="bullet"/>
      <w:lvlText w:val="•"/>
      <w:lvlJc w:val="left"/>
      <w:pPr>
        <w:ind w:left="2866" w:hanging="250"/>
      </w:pPr>
      <w:rPr>
        <w:rFonts w:hint="default"/>
      </w:rPr>
    </w:lvl>
    <w:lvl w:ilvl="6">
      <w:start w:val="0"/>
      <w:numFmt w:val="bullet"/>
      <w:lvlText w:val="•"/>
      <w:lvlJc w:val="left"/>
      <w:pPr>
        <w:ind w:left="3415" w:hanging="250"/>
      </w:pPr>
      <w:rPr>
        <w:rFonts w:hint="default"/>
      </w:rPr>
    </w:lvl>
    <w:lvl w:ilvl="7">
      <w:start w:val="0"/>
      <w:numFmt w:val="bullet"/>
      <w:lvlText w:val="•"/>
      <w:lvlJc w:val="left"/>
      <w:pPr>
        <w:ind w:left="3964" w:hanging="250"/>
      </w:pPr>
      <w:rPr>
        <w:rFonts w:hint="default"/>
      </w:rPr>
    </w:lvl>
    <w:lvl w:ilvl="8">
      <w:start w:val="0"/>
      <w:numFmt w:val="bullet"/>
      <w:lvlText w:val="•"/>
      <w:lvlJc w:val="left"/>
      <w:pPr>
        <w:ind w:left="4513" w:hanging="250"/>
      </w:pPr>
      <w:rPr>
        <w:rFonts w:hint="default"/>
      </w:rPr>
    </w:lvl>
  </w:abstractNum>
  <w:abstractNum w:abstractNumId="113">
    <w:multiLevelType w:val="hybridMultilevel"/>
    <w:lvl w:ilvl="0">
      <w:start w:val="1"/>
      <w:numFmt w:val="lowerLetter"/>
      <w:lvlText w:val="%1)"/>
      <w:lvlJc w:val="left"/>
      <w:pPr>
        <w:ind w:left="113" w:hanging="19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2"/>
      </w:pPr>
      <w:rPr>
        <w:rFonts w:hint="default"/>
      </w:rPr>
    </w:lvl>
    <w:lvl w:ilvl="2">
      <w:start w:val="0"/>
      <w:numFmt w:val="bullet"/>
      <w:lvlText w:val="•"/>
      <w:lvlJc w:val="left"/>
      <w:pPr>
        <w:ind w:left="1218" w:hanging="192"/>
      </w:pPr>
      <w:rPr>
        <w:rFonts w:hint="default"/>
      </w:rPr>
    </w:lvl>
    <w:lvl w:ilvl="3">
      <w:start w:val="0"/>
      <w:numFmt w:val="bullet"/>
      <w:lvlText w:val="•"/>
      <w:lvlJc w:val="left"/>
      <w:pPr>
        <w:ind w:left="1767" w:hanging="192"/>
      </w:pPr>
      <w:rPr>
        <w:rFonts w:hint="default"/>
      </w:rPr>
    </w:lvl>
    <w:lvl w:ilvl="4">
      <w:start w:val="0"/>
      <w:numFmt w:val="bullet"/>
      <w:lvlText w:val="•"/>
      <w:lvlJc w:val="left"/>
      <w:pPr>
        <w:ind w:left="2316" w:hanging="192"/>
      </w:pPr>
      <w:rPr>
        <w:rFonts w:hint="default"/>
      </w:rPr>
    </w:lvl>
    <w:lvl w:ilvl="5">
      <w:start w:val="0"/>
      <w:numFmt w:val="bullet"/>
      <w:lvlText w:val="•"/>
      <w:lvlJc w:val="left"/>
      <w:pPr>
        <w:ind w:left="2866" w:hanging="192"/>
      </w:pPr>
      <w:rPr>
        <w:rFonts w:hint="default"/>
      </w:rPr>
    </w:lvl>
    <w:lvl w:ilvl="6">
      <w:start w:val="0"/>
      <w:numFmt w:val="bullet"/>
      <w:lvlText w:val="•"/>
      <w:lvlJc w:val="left"/>
      <w:pPr>
        <w:ind w:left="3415" w:hanging="192"/>
      </w:pPr>
      <w:rPr>
        <w:rFonts w:hint="default"/>
      </w:rPr>
    </w:lvl>
    <w:lvl w:ilvl="7">
      <w:start w:val="0"/>
      <w:numFmt w:val="bullet"/>
      <w:lvlText w:val="•"/>
      <w:lvlJc w:val="left"/>
      <w:pPr>
        <w:ind w:left="3964" w:hanging="192"/>
      </w:pPr>
      <w:rPr>
        <w:rFonts w:hint="default"/>
      </w:rPr>
    </w:lvl>
    <w:lvl w:ilvl="8">
      <w:start w:val="0"/>
      <w:numFmt w:val="bullet"/>
      <w:lvlText w:val="•"/>
      <w:lvlJc w:val="left"/>
      <w:pPr>
        <w:ind w:left="4513" w:hanging="192"/>
      </w:pPr>
      <w:rPr>
        <w:rFonts w:hint="default"/>
      </w:rPr>
    </w:lvl>
  </w:abstractNum>
  <w:abstractNum w:abstractNumId="112">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111">
    <w:multiLevelType w:val="hybridMultilevel"/>
    <w:lvl w:ilvl="0">
      <w:start w:val="1"/>
      <w:numFmt w:val="lowerLetter"/>
      <w:lvlText w:val="%1)"/>
      <w:lvlJc w:val="left"/>
      <w:pPr>
        <w:ind w:left="113" w:hanging="17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3"/>
      </w:pPr>
      <w:rPr>
        <w:rFonts w:hint="default"/>
      </w:rPr>
    </w:lvl>
    <w:lvl w:ilvl="2">
      <w:start w:val="0"/>
      <w:numFmt w:val="bullet"/>
      <w:lvlText w:val="•"/>
      <w:lvlJc w:val="left"/>
      <w:pPr>
        <w:ind w:left="1201" w:hanging="173"/>
      </w:pPr>
      <w:rPr>
        <w:rFonts w:hint="default"/>
      </w:rPr>
    </w:lvl>
    <w:lvl w:ilvl="3">
      <w:start w:val="0"/>
      <w:numFmt w:val="bullet"/>
      <w:lvlText w:val="•"/>
      <w:lvlJc w:val="left"/>
      <w:pPr>
        <w:ind w:left="1742" w:hanging="173"/>
      </w:pPr>
      <w:rPr>
        <w:rFonts w:hint="default"/>
      </w:rPr>
    </w:lvl>
    <w:lvl w:ilvl="4">
      <w:start w:val="0"/>
      <w:numFmt w:val="bullet"/>
      <w:lvlText w:val="•"/>
      <w:lvlJc w:val="left"/>
      <w:pPr>
        <w:ind w:left="2282" w:hanging="173"/>
      </w:pPr>
      <w:rPr>
        <w:rFonts w:hint="default"/>
      </w:rPr>
    </w:lvl>
    <w:lvl w:ilvl="5">
      <w:start w:val="0"/>
      <w:numFmt w:val="bullet"/>
      <w:lvlText w:val="•"/>
      <w:lvlJc w:val="left"/>
      <w:pPr>
        <w:ind w:left="2823" w:hanging="173"/>
      </w:pPr>
      <w:rPr>
        <w:rFonts w:hint="default"/>
      </w:rPr>
    </w:lvl>
    <w:lvl w:ilvl="6">
      <w:start w:val="0"/>
      <w:numFmt w:val="bullet"/>
      <w:lvlText w:val="•"/>
      <w:lvlJc w:val="left"/>
      <w:pPr>
        <w:ind w:left="3364" w:hanging="173"/>
      </w:pPr>
      <w:rPr>
        <w:rFonts w:hint="default"/>
      </w:rPr>
    </w:lvl>
    <w:lvl w:ilvl="7">
      <w:start w:val="0"/>
      <w:numFmt w:val="bullet"/>
      <w:lvlText w:val="•"/>
      <w:lvlJc w:val="left"/>
      <w:pPr>
        <w:ind w:left="3904" w:hanging="173"/>
      </w:pPr>
      <w:rPr>
        <w:rFonts w:hint="default"/>
      </w:rPr>
    </w:lvl>
    <w:lvl w:ilvl="8">
      <w:start w:val="0"/>
      <w:numFmt w:val="bullet"/>
      <w:lvlText w:val="•"/>
      <w:lvlJc w:val="left"/>
      <w:pPr>
        <w:ind w:left="4445" w:hanging="173"/>
      </w:pPr>
      <w:rPr>
        <w:rFonts w:hint="default"/>
      </w:rPr>
    </w:lvl>
  </w:abstractNum>
  <w:abstractNum w:abstractNumId="110">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7"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4" w:hanging="190"/>
      </w:pPr>
      <w:rPr>
        <w:rFonts w:hint="default"/>
      </w:rPr>
    </w:lvl>
  </w:abstractNum>
  <w:abstractNum w:abstractNumId="109">
    <w:multiLevelType w:val="hybridMultilevel"/>
    <w:lvl w:ilvl="0">
      <w:start w:val="1"/>
      <w:numFmt w:val="lowerLetter"/>
      <w:lvlText w:val="%1)"/>
      <w:lvlJc w:val="left"/>
      <w:pPr>
        <w:ind w:left="113" w:hanging="17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3"/>
      </w:pPr>
      <w:rPr>
        <w:rFonts w:hint="default"/>
      </w:rPr>
    </w:lvl>
    <w:lvl w:ilvl="2">
      <w:start w:val="0"/>
      <w:numFmt w:val="bullet"/>
      <w:lvlText w:val="•"/>
      <w:lvlJc w:val="left"/>
      <w:pPr>
        <w:ind w:left="1201" w:hanging="173"/>
      </w:pPr>
      <w:rPr>
        <w:rFonts w:hint="default"/>
      </w:rPr>
    </w:lvl>
    <w:lvl w:ilvl="3">
      <w:start w:val="0"/>
      <w:numFmt w:val="bullet"/>
      <w:lvlText w:val="•"/>
      <w:lvlJc w:val="left"/>
      <w:pPr>
        <w:ind w:left="1742" w:hanging="173"/>
      </w:pPr>
      <w:rPr>
        <w:rFonts w:hint="default"/>
      </w:rPr>
    </w:lvl>
    <w:lvl w:ilvl="4">
      <w:start w:val="0"/>
      <w:numFmt w:val="bullet"/>
      <w:lvlText w:val="•"/>
      <w:lvlJc w:val="left"/>
      <w:pPr>
        <w:ind w:left="2282" w:hanging="173"/>
      </w:pPr>
      <w:rPr>
        <w:rFonts w:hint="default"/>
      </w:rPr>
    </w:lvl>
    <w:lvl w:ilvl="5">
      <w:start w:val="0"/>
      <w:numFmt w:val="bullet"/>
      <w:lvlText w:val="•"/>
      <w:lvlJc w:val="left"/>
      <w:pPr>
        <w:ind w:left="2823" w:hanging="173"/>
      </w:pPr>
      <w:rPr>
        <w:rFonts w:hint="default"/>
      </w:rPr>
    </w:lvl>
    <w:lvl w:ilvl="6">
      <w:start w:val="0"/>
      <w:numFmt w:val="bullet"/>
      <w:lvlText w:val="•"/>
      <w:lvlJc w:val="left"/>
      <w:pPr>
        <w:ind w:left="3364" w:hanging="173"/>
      </w:pPr>
      <w:rPr>
        <w:rFonts w:hint="default"/>
      </w:rPr>
    </w:lvl>
    <w:lvl w:ilvl="7">
      <w:start w:val="0"/>
      <w:numFmt w:val="bullet"/>
      <w:lvlText w:val="•"/>
      <w:lvlJc w:val="left"/>
      <w:pPr>
        <w:ind w:left="3904" w:hanging="173"/>
      </w:pPr>
      <w:rPr>
        <w:rFonts w:hint="default"/>
      </w:rPr>
    </w:lvl>
    <w:lvl w:ilvl="8">
      <w:start w:val="0"/>
      <w:numFmt w:val="bullet"/>
      <w:lvlText w:val="•"/>
      <w:lvlJc w:val="left"/>
      <w:pPr>
        <w:ind w:left="4445" w:hanging="173"/>
      </w:pPr>
      <w:rPr>
        <w:rFonts w:hint="default"/>
      </w:rPr>
    </w:lvl>
  </w:abstractNum>
  <w:abstractNum w:abstractNumId="107">
    <w:multiLevelType w:val="hybridMultilevel"/>
    <w:lvl w:ilvl="0">
      <w:start w:val="1"/>
      <w:numFmt w:val="lowerLetter"/>
      <w:lvlText w:val="%1)"/>
      <w:lvlJc w:val="left"/>
      <w:pPr>
        <w:ind w:left="113" w:hanging="17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7"/>
      </w:pPr>
      <w:rPr>
        <w:rFonts w:hint="default"/>
      </w:rPr>
    </w:lvl>
    <w:lvl w:ilvl="2">
      <w:start w:val="0"/>
      <w:numFmt w:val="bullet"/>
      <w:lvlText w:val="•"/>
      <w:lvlJc w:val="left"/>
      <w:pPr>
        <w:ind w:left="1201" w:hanging="177"/>
      </w:pPr>
      <w:rPr>
        <w:rFonts w:hint="default"/>
      </w:rPr>
    </w:lvl>
    <w:lvl w:ilvl="3">
      <w:start w:val="0"/>
      <w:numFmt w:val="bullet"/>
      <w:lvlText w:val="•"/>
      <w:lvlJc w:val="left"/>
      <w:pPr>
        <w:ind w:left="1741" w:hanging="177"/>
      </w:pPr>
      <w:rPr>
        <w:rFonts w:hint="default"/>
      </w:rPr>
    </w:lvl>
    <w:lvl w:ilvl="4">
      <w:start w:val="0"/>
      <w:numFmt w:val="bullet"/>
      <w:lvlText w:val="•"/>
      <w:lvlJc w:val="left"/>
      <w:pPr>
        <w:ind w:left="2282" w:hanging="177"/>
      </w:pPr>
      <w:rPr>
        <w:rFonts w:hint="default"/>
      </w:rPr>
    </w:lvl>
    <w:lvl w:ilvl="5">
      <w:start w:val="0"/>
      <w:numFmt w:val="bullet"/>
      <w:lvlText w:val="•"/>
      <w:lvlJc w:val="left"/>
      <w:pPr>
        <w:ind w:left="2823" w:hanging="177"/>
      </w:pPr>
      <w:rPr>
        <w:rFonts w:hint="default"/>
      </w:rPr>
    </w:lvl>
    <w:lvl w:ilvl="6">
      <w:start w:val="0"/>
      <w:numFmt w:val="bullet"/>
      <w:lvlText w:val="•"/>
      <w:lvlJc w:val="left"/>
      <w:pPr>
        <w:ind w:left="3363" w:hanging="177"/>
      </w:pPr>
      <w:rPr>
        <w:rFonts w:hint="default"/>
      </w:rPr>
    </w:lvl>
    <w:lvl w:ilvl="7">
      <w:start w:val="0"/>
      <w:numFmt w:val="bullet"/>
      <w:lvlText w:val="•"/>
      <w:lvlJc w:val="left"/>
      <w:pPr>
        <w:ind w:left="3904" w:hanging="177"/>
      </w:pPr>
      <w:rPr>
        <w:rFonts w:hint="default"/>
      </w:rPr>
    </w:lvl>
    <w:lvl w:ilvl="8">
      <w:start w:val="0"/>
      <w:numFmt w:val="bullet"/>
      <w:lvlText w:val="•"/>
      <w:lvlJc w:val="left"/>
      <w:pPr>
        <w:ind w:left="4445" w:hanging="177"/>
      </w:pPr>
      <w:rPr>
        <w:rFonts w:hint="default"/>
      </w:rPr>
    </w:lvl>
  </w:abstractNum>
  <w:abstractNum w:abstractNumId="105">
    <w:multiLevelType w:val="hybridMultilevel"/>
    <w:lvl w:ilvl="0">
      <w:start w:val="1"/>
      <w:numFmt w:val="lowerLetter"/>
      <w:lvlText w:val="%1)"/>
      <w:lvlJc w:val="left"/>
      <w:pPr>
        <w:ind w:left="113" w:hanging="17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7"/>
      </w:pPr>
      <w:rPr>
        <w:rFonts w:hint="default"/>
      </w:rPr>
    </w:lvl>
    <w:lvl w:ilvl="2">
      <w:start w:val="0"/>
      <w:numFmt w:val="bullet"/>
      <w:lvlText w:val="•"/>
      <w:lvlJc w:val="left"/>
      <w:pPr>
        <w:ind w:left="1201" w:hanging="177"/>
      </w:pPr>
      <w:rPr>
        <w:rFonts w:hint="default"/>
      </w:rPr>
    </w:lvl>
    <w:lvl w:ilvl="3">
      <w:start w:val="0"/>
      <w:numFmt w:val="bullet"/>
      <w:lvlText w:val="•"/>
      <w:lvlJc w:val="left"/>
      <w:pPr>
        <w:ind w:left="1741" w:hanging="177"/>
      </w:pPr>
      <w:rPr>
        <w:rFonts w:hint="default"/>
      </w:rPr>
    </w:lvl>
    <w:lvl w:ilvl="4">
      <w:start w:val="0"/>
      <w:numFmt w:val="bullet"/>
      <w:lvlText w:val="•"/>
      <w:lvlJc w:val="left"/>
      <w:pPr>
        <w:ind w:left="2282" w:hanging="177"/>
      </w:pPr>
      <w:rPr>
        <w:rFonts w:hint="default"/>
      </w:rPr>
    </w:lvl>
    <w:lvl w:ilvl="5">
      <w:start w:val="0"/>
      <w:numFmt w:val="bullet"/>
      <w:lvlText w:val="•"/>
      <w:lvlJc w:val="left"/>
      <w:pPr>
        <w:ind w:left="2823" w:hanging="177"/>
      </w:pPr>
      <w:rPr>
        <w:rFonts w:hint="default"/>
      </w:rPr>
    </w:lvl>
    <w:lvl w:ilvl="6">
      <w:start w:val="0"/>
      <w:numFmt w:val="bullet"/>
      <w:lvlText w:val="•"/>
      <w:lvlJc w:val="left"/>
      <w:pPr>
        <w:ind w:left="3363" w:hanging="177"/>
      </w:pPr>
      <w:rPr>
        <w:rFonts w:hint="default"/>
      </w:rPr>
    </w:lvl>
    <w:lvl w:ilvl="7">
      <w:start w:val="0"/>
      <w:numFmt w:val="bullet"/>
      <w:lvlText w:val="•"/>
      <w:lvlJc w:val="left"/>
      <w:pPr>
        <w:ind w:left="3904" w:hanging="177"/>
      </w:pPr>
      <w:rPr>
        <w:rFonts w:hint="default"/>
      </w:rPr>
    </w:lvl>
    <w:lvl w:ilvl="8">
      <w:start w:val="0"/>
      <w:numFmt w:val="bullet"/>
      <w:lvlText w:val="•"/>
      <w:lvlJc w:val="left"/>
      <w:pPr>
        <w:ind w:left="4445" w:hanging="177"/>
      </w:pPr>
      <w:rPr>
        <w:rFonts w:hint="default"/>
      </w:rPr>
    </w:lvl>
  </w:abstractNum>
  <w:abstractNum w:abstractNumId="104">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103">
    <w:multiLevelType w:val="hybridMultilevel"/>
    <w:lvl w:ilvl="0">
      <w:start w:val="1"/>
      <w:numFmt w:val="lowerLetter"/>
      <w:lvlText w:val="%1)"/>
      <w:lvlJc w:val="left"/>
      <w:pPr>
        <w:ind w:left="113" w:hanging="17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2"/>
      </w:pPr>
      <w:rPr>
        <w:rFonts w:hint="default"/>
      </w:rPr>
    </w:lvl>
    <w:lvl w:ilvl="2">
      <w:start w:val="0"/>
      <w:numFmt w:val="bullet"/>
      <w:lvlText w:val="•"/>
      <w:lvlJc w:val="left"/>
      <w:pPr>
        <w:ind w:left="1201" w:hanging="172"/>
      </w:pPr>
      <w:rPr>
        <w:rFonts w:hint="default"/>
      </w:rPr>
    </w:lvl>
    <w:lvl w:ilvl="3">
      <w:start w:val="0"/>
      <w:numFmt w:val="bullet"/>
      <w:lvlText w:val="•"/>
      <w:lvlJc w:val="left"/>
      <w:pPr>
        <w:ind w:left="1741" w:hanging="172"/>
      </w:pPr>
      <w:rPr>
        <w:rFonts w:hint="default"/>
      </w:rPr>
    </w:lvl>
    <w:lvl w:ilvl="4">
      <w:start w:val="0"/>
      <w:numFmt w:val="bullet"/>
      <w:lvlText w:val="•"/>
      <w:lvlJc w:val="left"/>
      <w:pPr>
        <w:ind w:left="2282" w:hanging="172"/>
      </w:pPr>
      <w:rPr>
        <w:rFonts w:hint="default"/>
      </w:rPr>
    </w:lvl>
    <w:lvl w:ilvl="5">
      <w:start w:val="0"/>
      <w:numFmt w:val="bullet"/>
      <w:lvlText w:val="•"/>
      <w:lvlJc w:val="left"/>
      <w:pPr>
        <w:ind w:left="2823" w:hanging="172"/>
      </w:pPr>
      <w:rPr>
        <w:rFonts w:hint="default"/>
      </w:rPr>
    </w:lvl>
    <w:lvl w:ilvl="6">
      <w:start w:val="0"/>
      <w:numFmt w:val="bullet"/>
      <w:lvlText w:val="•"/>
      <w:lvlJc w:val="left"/>
      <w:pPr>
        <w:ind w:left="3363" w:hanging="172"/>
      </w:pPr>
      <w:rPr>
        <w:rFonts w:hint="default"/>
      </w:rPr>
    </w:lvl>
    <w:lvl w:ilvl="7">
      <w:start w:val="0"/>
      <w:numFmt w:val="bullet"/>
      <w:lvlText w:val="•"/>
      <w:lvlJc w:val="left"/>
      <w:pPr>
        <w:ind w:left="3904" w:hanging="172"/>
      </w:pPr>
      <w:rPr>
        <w:rFonts w:hint="default"/>
      </w:rPr>
    </w:lvl>
    <w:lvl w:ilvl="8">
      <w:start w:val="0"/>
      <w:numFmt w:val="bullet"/>
      <w:lvlText w:val="•"/>
      <w:lvlJc w:val="left"/>
      <w:pPr>
        <w:ind w:left="4445" w:hanging="172"/>
      </w:pPr>
      <w:rPr>
        <w:rFonts w:hint="default"/>
      </w:rPr>
    </w:lvl>
  </w:abstractNum>
  <w:abstractNum w:abstractNumId="102">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101">
    <w:multiLevelType w:val="hybridMultilevel"/>
    <w:lvl w:ilvl="0">
      <w:start w:val="1"/>
      <w:numFmt w:val="lowerLetter"/>
      <w:lvlText w:val="%1)"/>
      <w:lvlJc w:val="left"/>
      <w:pPr>
        <w:ind w:left="113" w:hanging="17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7"/>
      </w:pPr>
      <w:rPr>
        <w:rFonts w:hint="default"/>
      </w:rPr>
    </w:lvl>
    <w:lvl w:ilvl="2">
      <w:start w:val="0"/>
      <w:numFmt w:val="bullet"/>
      <w:lvlText w:val="•"/>
      <w:lvlJc w:val="left"/>
      <w:pPr>
        <w:ind w:left="1201" w:hanging="177"/>
      </w:pPr>
      <w:rPr>
        <w:rFonts w:hint="default"/>
      </w:rPr>
    </w:lvl>
    <w:lvl w:ilvl="3">
      <w:start w:val="0"/>
      <w:numFmt w:val="bullet"/>
      <w:lvlText w:val="•"/>
      <w:lvlJc w:val="left"/>
      <w:pPr>
        <w:ind w:left="1741" w:hanging="177"/>
      </w:pPr>
      <w:rPr>
        <w:rFonts w:hint="default"/>
      </w:rPr>
    </w:lvl>
    <w:lvl w:ilvl="4">
      <w:start w:val="0"/>
      <w:numFmt w:val="bullet"/>
      <w:lvlText w:val="•"/>
      <w:lvlJc w:val="left"/>
      <w:pPr>
        <w:ind w:left="2282" w:hanging="177"/>
      </w:pPr>
      <w:rPr>
        <w:rFonts w:hint="default"/>
      </w:rPr>
    </w:lvl>
    <w:lvl w:ilvl="5">
      <w:start w:val="0"/>
      <w:numFmt w:val="bullet"/>
      <w:lvlText w:val="•"/>
      <w:lvlJc w:val="left"/>
      <w:pPr>
        <w:ind w:left="2823" w:hanging="177"/>
      </w:pPr>
      <w:rPr>
        <w:rFonts w:hint="default"/>
      </w:rPr>
    </w:lvl>
    <w:lvl w:ilvl="6">
      <w:start w:val="0"/>
      <w:numFmt w:val="bullet"/>
      <w:lvlText w:val="•"/>
      <w:lvlJc w:val="left"/>
      <w:pPr>
        <w:ind w:left="3363" w:hanging="177"/>
      </w:pPr>
      <w:rPr>
        <w:rFonts w:hint="default"/>
      </w:rPr>
    </w:lvl>
    <w:lvl w:ilvl="7">
      <w:start w:val="0"/>
      <w:numFmt w:val="bullet"/>
      <w:lvlText w:val="•"/>
      <w:lvlJc w:val="left"/>
      <w:pPr>
        <w:ind w:left="3904" w:hanging="177"/>
      </w:pPr>
      <w:rPr>
        <w:rFonts w:hint="default"/>
      </w:rPr>
    </w:lvl>
    <w:lvl w:ilvl="8">
      <w:start w:val="0"/>
      <w:numFmt w:val="bullet"/>
      <w:lvlText w:val="•"/>
      <w:lvlJc w:val="left"/>
      <w:pPr>
        <w:ind w:left="4445" w:hanging="177"/>
      </w:pPr>
      <w:rPr>
        <w:rFonts w:hint="default"/>
      </w:rPr>
    </w:lvl>
  </w:abstractNum>
  <w:abstractNum w:abstractNumId="100">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99">
    <w:multiLevelType w:val="hybridMultilevel"/>
    <w:lvl w:ilvl="0">
      <w:start w:val="1"/>
      <w:numFmt w:val="lowerLetter"/>
      <w:lvlText w:val="%1)"/>
      <w:lvlJc w:val="left"/>
      <w:pPr>
        <w:ind w:left="113" w:hanging="17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6" w:hanging="177"/>
      </w:pPr>
      <w:rPr>
        <w:rFonts w:hint="default"/>
      </w:rPr>
    </w:lvl>
    <w:lvl w:ilvl="2">
      <w:start w:val="0"/>
      <w:numFmt w:val="bullet"/>
      <w:lvlText w:val="•"/>
      <w:lvlJc w:val="left"/>
      <w:pPr>
        <w:ind w:left="1213" w:hanging="177"/>
      </w:pPr>
      <w:rPr>
        <w:rFonts w:hint="default"/>
      </w:rPr>
    </w:lvl>
    <w:lvl w:ilvl="3">
      <w:start w:val="0"/>
      <w:numFmt w:val="bullet"/>
      <w:lvlText w:val="•"/>
      <w:lvlJc w:val="left"/>
      <w:pPr>
        <w:ind w:left="1759" w:hanging="177"/>
      </w:pPr>
      <w:rPr>
        <w:rFonts w:hint="default"/>
      </w:rPr>
    </w:lvl>
    <w:lvl w:ilvl="4">
      <w:start w:val="0"/>
      <w:numFmt w:val="bullet"/>
      <w:lvlText w:val="•"/>
      <w:lvlJc w:val="left"/>
      <w:pPr>
        <w:ind w:left="2306" w:hanging="177"/>
      </w:pPr>
      <w:rPr>
        <w:rFonts w:hint="default"/>
      </w:rPr>
    </w:lvl>
    <w:lvl w:ilvl="5">
      <w:start w:val="0"/>
      <w:numFmt w:val="bullet"/>
      <w:lvlText w:val="•"/>
      <w:lvlJc w:val="left"/>
      <w:pPr>
        <w:ind w:left="2852" w:hanging="177"/>
      </w:pPr>
      <w:rPr>
        <w:rFonts w:hint="default"/>
      </w:rPr>
    </w:lvl>
    <w:lvl w:ilvl="6">
      <w:start w:val="0"/>
      <w:numFmt w:val="bullet"/>
      <w:lvlText w:val="•"/>
      <w:lvlJc w:val="left"/>
      <w:pPr>
        <w:ind w:left="3399" w:hanging="177"/>
      </w:pPr>
      <w:rPr>
        <w:rFonts w:hint="default"/>
      </w:rPr>
    </w:lvl>
    <w:lvl w:ilvl="7">
      <w:start w:val="0"/>
      <w:numFmt w:val="bullet"/>
      <w:lvlText w:val="•"/>
      <w:lvlJc w:val="left"/>
      <w:pPr>
        <w:ind w:left="3945" w:hanging="177"/>
      </w:pPr>
      <w:rPr>
        <w:rFonts w:hint="default"/>
      </w:rPr>
    </w:lvl>
    <w:lvl w:ilvl="8">
      <w:start w:val="0"/>
      <w:numFmt w:val="bullet"/>
      <w:lvlText w:val="•"/>
      <w:lvlJc w:val="left"/>
      <w:pPr>
        <w:ind w:left="4492" w:hanging="177"/>
      </w:pPr>
      <w:rPr>
        <w:rFonts w:hint="default"/>
      </w:rPr>
    </w:lvl>
  </w:abstractNum>
  <w:abstractNum w:abstractNumId="98">
    <w:multiLevelType w:val="hybridMultilevel"/>
    <w:lvl w:ilvl="0">
      <w:start w:val="1"/>
      <w:numFmt w:val="lowerLetter"/>
      <w:lvlText w:val="%1)"/>
      <w:lvlJc w:val="left"/>
      <w:pPr>
        <w:ind w:left="113" w:hanging="17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9"/>
      </w:pPr>
      <w:rPr>
        <w:rFonts w:hint="default"/>
      </w:rPr>
    </w:lvl>
    <w:lvl w:ilvl="2">
      <w:start w:val="0"/>
      <w:numFmt w:val="bullet"/>
      <w:lvlText w:val="•"/>
      <w:lvlJc w:val="left"/>
      <w:pPr>
        <w:ind w:left="1218" w:hanging="179"/>
      </w:pPr>
      <w:rPr>
        <w:rFonts w:hint="default"/>
      </w:rPr>
    </w:lvl>
    <w:lvl w:ilvl="3">
      <w:start w:val="0"/>
      <w:numFmt w:val="bullet"/>
      <w:lvlText w:val="•"/>
      <w:lvlJc w:val="left"/>
      <w:pPr>
        <w:ind w:left="1767" w:hanging="179"/>
      </w:pPr>
      <w:rPr>
        <w:rFonts w:hint="default"/>
      </w:rPr>
    </w:lvl>
    <w:lvl w:ilvl="4">
      <w:start w:val="0"/>
      <w:numFmt w:val="bullet"/>
      <w:lvlText w:val="•"/>
      <w:lvlJc w:val="left"/>
      <w:pPr>
        <w:ind w:left="2316" w:hanging="179"/>
      </w:pPr>
      <w:rPr>
        <w:rFonts w:hint="default"/>
      </w:rPr>
    </w:lvl>
    <w:lvl w:ilvl="5">
      <w:start w:val="0"/>
      <w:numFmt w:val="bullet"/>
      <w:lvlText w:val="•"/>
      <w:lvlJc w:val="left"/>
      <w:pPr>
        <w:ind w:left="2866" w:hanging="179"/>
      </w:pPr>
      <w:rPr>
        <w:rFonts w:hint="default"/>
      </w:rPr>
    </w:lvl>
    <w:lvl w:ilvl="6">
      <w:start w:val="0"/>
      <w:numFmt w:val="bullet"/>
      <w:lvlText w:val="•"/>
      <w:lvlJc w:val="left"/>
      <w:pPr>
        <w:ind w:left="3415" w:hanging="179"/>
      </w:pPr>
      <w:rPr>
        <w:rFonts w:hint="default"/>
      </w:rPr>
    </w:lvl>
    <w:lvl w:ilvl="7">
      <w:start w:val="0"/>
      <w:numFmt w:val="bullet"/>
      <w:lvlText w:val="•"/>
      <w:lvlJc w:val="left"/>
      <w:pPr>
        <w:ind w:left="3964" w:hanging="179"/>
      </w:pPr>
      <w:rPr>
        <w:rFonts w:hint="default"/>
      </w:rPr>
    </w:lvl>
    <w:lvl w:ilvl="8">
      <w:start w:val="0"/>
      <w:numFmt w:val="bullet"/>
      <w:lvlText w:val="•"/>
      <w:lvlJc w:val="left"/>
      <w:pPr>
        <w:ind w:left="4513" w:hanging="179"/>
      </w:pPr>
      <w:rPr>
        <w:rFonts w:hint="default"/>
      </w:rPr>
    </w:lvl>
  </w:abstractNum>
  <w:abstractNum w:abstractNumId="97">
    <w:multiLevelType w:val="hybridMultilevel"/>
    <w:lvl w:ilvl="0">
      <w:start w:val="1"/>
      <w:numFmt w:val="lowerLetter"/>
      <w:lvlText w:val="%1)"/>
      <w:lvlJc w:val="left"/>
      <w:pPr>
        <w:ind w:left="113" w:hanging="18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4"/>
      </w:pPr>
      <w:rPr>
        <w:rFonts w:hint="default"/>
      </w:rPr>
    </w:lvl>
    <w:lvl w:ilvl="2">
      <w:start w:val="0"/>
      <w:numFmt w:val="bullet"/>
      <w:lvlText w:val="•"/>
      <w:lvlJc w:val="left"/>
      <w:pPr>
        <w:ind w:left="1201" w:hanging="184"/>
      </w:pPr>
      <w:rPr>
        <w:rFonts w:hint="default"/>
      </w:rPr>
    </w:lvl>
    <w:lvl w:ilvl="3">
      <w:start w:val="0"/>
      <w:numFmt w:val="bullet"/>
      <w:lvlText w:val="•"/>
      <w:lvlJc w:val="left"/>
      <w:pPr>
        <w:ind w:left="1742" w:hanging="184"/>
      </w:pPr>
      <w:rPr>
        <w:rFonts w:hint="default"/>
      </w:rPr>
    </w:lvl>
    <w:lvl w:ilvl="4">
      <w:start w:val="0"/>
      <w:numFmt w:val="bullet"/>
      <w:lvlText w:val="•"/>
      <w:lvlJc w:val="left"/>
      <w:pPr>
        <w:ind w:left="2282" w:hanging="184"/>
      </w:pPr>
      <w:rPr>
        <w:rFonts w:hint="default"/>
      </w:rPr>
    </w:lvl>
    <w:lvl w:ilvl="5">
      <w:start w:val="0"/>
      <w:numFmt w:val="bullet"/>
      <w:lvlText w:val="•"/>
      <w:lvlJc w:val="left"/>
      <w:pPr>
        <w:ind w:left="2823" w:hanging="184"/>
      </w:pPr>
      <w:rPr>
        <w:rFonts w:hint="default"/>
      </w:rPr>
    </w:lvl>
    <w:lvl w:ilvl="6">
      <w:start w:val="0"/>
      <w:numFmt w:val="bullet"/>
      <w:lvlText w:val="•"/>
      <w:lvlJc w:val="left"/>
      <w:pPr>
        <w:ind w:left="3364" w:hanging="184"/>
      </w:pPr>
      <w:rPr>
        <w:rFonts w:hint="default"/>
      </w:rPr>
    </w:lvl>
    <w:lvl w:ilvl="7">
      <w:start w:val="0"/>
      <w:numFmt w:val="bullet"/>
      <w:lvlText w:val="•"/>
      <w:lvlJc w:val="left"/>
      <w:pPr>
        <w:ind w:left="3904" w:hanging="184"/>
      </w:pPr>
      <w:rPr>
        <w:rFonts w:hint="default"/>
      </w:rPr>
    </w:lvl>
    <w:lvl w:ilvl="8">
      <w:start w:val="0"/>
      <w:numFmt w:val="bullet"/>
      <w:lvlText w:val="•"/>
      <w:lvlJc w:val="left"/>
      <w:pPr>
        <w:ind w:left="4445" w:hanging="184"/>
      </w:pPr>
      <w:rPr>
        <w:rFonts w:hint="default"/>
      </w:rPr>
    </w:lvl>
  </w:abstractNum>
  <w:abstractNum w:abstractNumId="96">
    <w:multiLevelType w:val="hybridMultilevel"/>
    <w:lvl w:ilvl="0">
      <w:start w:val="1"/>
      <w:numFmt w:val="lowerLetter"/>
      <w:lvlText w:val="%1)"/>
      <w:lvlJc w:val="left"/>
      <w:pPr>
        <w:ind w:left="113" w:hanging="20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5"/>
      </w:pPr>
      <w:rPr>
        <w:rFonts w:hint="default"/>
      </w:rPr>
    </w:lvl>
    <w:lvl w:ilvl="2">
      <w:start w:val="0"/>
      <w:numFmt w:val="bullet"/>
      <w:lvlText w:val="•"/>
      <w:lvlJc w:val="left"/>
      <w:pPr>
        <w:ind w:left="1218" w:hanging="205"/>
      </w:pPr>
      <w:rPr>
        <w:rFonts w:hint="default"/>
      </w:rPr>
    </w:lvl>
    <w:lvl w:ilvl="3">
      <w:start w:val="0"/>
      <w:numFmt w:val="bullet"/>
      <w:lvlText w:val="•"/>
      <w:lvlJc w:val="left"/>
      <w:pPr>
        <w:ind w:left="1767" w:hanging="205"/>
      </w:pPr>
      <w:rPr>
        <w:rFonts w:hint="default"/>
      </w:rPr>
    </w:lvl>
    <w:lvl w:ilvl="4">
      <w:start w:val="0"/>
      <w:numFmt w:val="bullet"/>
      <w:lvlText w:val="•"/>
      <w:lvlJc w:val="left"/>
      <w:pPr>
        <w:ind w:left="2316" w:hanging="205"/>
      </w:pPr>
      <w:rPr>
        <w:rFonts w:hint="default"/>
      </w:rPr>
    </w:lvl>
    <w:lvl w:ilvl="5">
      <w:start w:val="0"/>
      <w:numFmt w:val="bullet"/>
      <w:lvlText w:val="•"/>
      <w:lvlJc w:val="left"/>
      <w:pPr>
        <w:ind w:left="2866" w:hanging="205"/>
      </w:pPr>
      <w:rPr>
        <w:rFonts w:hint="default"/>
      </w:rPr>
    </w:lvl>
    <w:lvl w:ilvl="6">
      <w:start w:val="0"/>
      <w:numFmt w:val="bullet"/>
      <w:lvlText w:val="•"/>
      <w:lvlJc w:val="left"/>
      <w:pPr>
        <w:ind w:left="3415" w:hanging="205"/>
      </w:pPr>
      <w:rPr>
        <w:rFonts w:hint="default"/>
      </w:rPr>
    </w:lvl>
    <w:lvl w:ilvl="7">
      <w:start w:val="0"/>
      <w:numFmt w:val="bullet"/>
      <w:lvlText w:val="•"/>
      <w:lvlJc w:val="left"/>
      <w:pPr>
        <w:ind w:left="3964" w:hanging="205"/>
      </w:pPr>
      <w:rPr>
        <w:rFonts w:hint="default"/>
      </w:rPr>
    </w:lvl>
    <w:lvl w:ilvl="8">
      <w:start w:val="0"/>
      <w:numFmt w:val="bullet"/>
      <w:lvlText w:val="•"/>
      <w:lvlJc w:val="left"/>
      <w:pPr>
        <w:ind w:left="4513" w:hanging="205"/>
      </w:pPr>
      <w:rPr>
        <w:rFonts w:hint="default"/>
      </w:rPr>
    </w:lvl>
  </w:abstractNum>
  <w:abstractNum w:abstractNumId="95">
    <w:multiLevelType w:val="hybridMultilevel"/>
    <w:lvl w:ilvl="0">
      <w:start w:val="1"/>
      <w:numFmt w:val="lowerLetter"/>
      <w:lvlText w:val="%1)"/>
      <w:lvlJc w:val="left"/>
      <w:pPr>
        <w:ind w:left="113" w:hanging="17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6"/>
      </w:pPr>
      <w:rPr>
        <w:rFonts w:hint="default"/>
      </w:rPr>
    </w:lvl>
    <w:lvl w:ilvl="2">
      <w:start w:val="0"/>
      <w:numFmt w:val="bullet"/>
      <w:lvlText w:val="•"/>
      <w:lvlJc w:val="left"/>
      <w:pPr>
        <w:ind w:left="1201" w:hanging="176"/>
      </w:pPr>
      <w:rPr>
        <w:rFonts w:hint="default"/>
      </w:rPr>
    </w:lvl>
    <w:lvl w:ilvl="3">
      <w:start w:val="0"/>
      <w:numFmt w:val="bullet"/>
      <w:lvlText w:val="•"/>
      <w:lvlJc w:val="left"/>
      <w:pPr>
        <w:ind w:left="1742" w:hanging="176"/>
      </w:pPr>
      <w:rPr>
        <w:rFonts w:hint="default"/>
      </w:rPr>
    </w:lvl>
    <w:lvl w:ilvl="4">
      <w:start w:val="0"/>
      <w:numFmt w:val="bullet"/>
      <w:lvlText w:val="•"/>
      <w:lvlJc w:val="left"/>
      <w:pPr>
        <w:ind w:left="2283" w:hanging="176"/>
      </w:pPr>
      <w:rPr>
        <w:rFonts w:hint="default"/>
      </w:rPr>
    </w:lvl>
    <w:lvl w:ilvl="5">
      <w:start w:val="0"/>
      <w:numFmt w:val="bullet"/>
      <w:lvlText w:val="•"/>
      <w:lvlJc w:val="left"/>
      <w:pPr>
        <w:ind w:left="2824" w:hanging="176"/>
      </w:pPr>
      <w:rPr>
        <w:rFonts w:hint="default"/>
      </w:rPr>
    </w:lvl>
    <w:lvl w:ilvl="6">
      <w:start w:val="0"/>
      <w:numFmt w:val="bullet"/>
      <w:lvlText w:val="•"/>
      <w:lvlJc w:val="left"/>
      <w:pPr>
        <w:ind w:left="3365" w:hanging="176"/>
      </w:pPr>
      <w:rPr>
        <w:rFonts w:hint="default"/>
      </w:rPr>
    </w:lvl>
    <w:lvl w:ilvl="7">
      <w:start w:val="0"/>
      <w:numFmt w:val="bullet"/>
      <w:lvlText w:val="•"/>
      <w:lvlJc w:val="left"/>
      <w:pPr>
        <w:ind w:left="3906" w:hanging="176"/>
      </w:pPr>
      <w:rPr>
        <w:rFonts w:hint="default"/>
      </w:rPr>
    </w:lvl>
    <w:lvl w:ilvl="8">
      <w:start w:val="0"/>
      <w:numFmt w:val="bullet"/>
      <w:lvlText w:val="•"/>
      <w:lvlJc w:val="left"/>
      <w:pPr>
        <w:ind w:left="4447" w:hanging="176"/>
      </w:pPr>
      <w:rPr>
        <w:rFonts w:hint="default"/>
      </w:rPr>
    </w:lvl>
  </w:abstractNum>
  <w:abstractNum w:abstractNumId="94">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93">
    <w:multiLevelType w:val="hybridMultilevel"/>
    <w:lvl w:ilvl="0">
      <w:start w:val="1"/>
      <w:numFmt w:val="decimal"/>
      <w:lvlText w:val="%1)"/>
      <w:lvlJc w:val="left"/>
      <w:pPr>
        <w:ind w:left="113" w:hanging="188"/>
        <w:jc w:val="left"/>
      </w:pPr>
      <w:rPr>
        <w:rFonts w:hint="default" w:ascii="Georgia" w:hAnsi="Georgia" w:eastAsia="Georgia" w:cs="Georgia"/>
        <w:color w:val="231F20"/>
        <w:w w:val="103"/>
        <w:sz w:val="17"/>
        <w:szCs w:val="17"/>
      </w:rPr>
    </w:lvl>
    <w:lvl w:ilvl="1">
      <w:start w:val="1"/>
      <w:numFmt w:val="lowerLetter"/>
      <w:lvlText w:val="%2)"/>
      <w:lvlJc w:val="left"/>
      <w:pPr>
        <w:ind w:left="113" w:hanging="172"/>
        <w:jc w:val="left"/>
      </w:pPr>
      <w:rPr>
        <w:rFonts w:hint="default" w:ascii="Times New Roman" w:hAnsi="Times New Roman" w:eastAsia="Times New Roman" w:cs="Times New Roman"/>
        <w:i/>
        <w:color w:val="231F20"/>
        <w:w w:val="93"/>
        <w:sz w:val="17"/>
        <w:szCs w:val="17"/>
      </w:rPr>
    </w:lvl>
    <w:lvl w:ilvl="2">
      <w:start w:val="0"/>
      <w:numFmt w:val="bullet"/>
      <w:lvlText w:val="•"/>
      <w:lvlJc w:val="left"/>
      <w:pPr>
        <w:ind w:left="75" w:hanging="172"/>
      </w:pPr>
      <w:rPr>
        <w:rFonts w:hint="default"/>
      </w:rPr>
    </w:lvl>
    <w:lvl w:ilvl="3">
      <w:start w:val="0"/>
      <w:numFmt w:val="bullet"/>
      <w:lvlText w:val="•"/>
      <w:lvlJc w:val="left"/>
      <w:pPr>
        <w:ind w:left="53" w:hanging="172"/>
      </w:pPr>
      <w:rPr>
        <w:rFonts w:hint="default"/>
      </w:rPr>
    </w:lvl>
    <w:lvl w:ilvl="4">
      <w:start w:val="0"/>
      <w:numFmt w:val="bullet"/>
      <w:lvlText w:val="•"/>
      <w:lvlJc w:val="left"/>
      <w:pPr>
        <w:ind w:left="31" w:hanging="172"/>
      </w:pPr>
      <w:rPr>
        <w:rFonts w:hint="default"/>
      </w:rPr>
    </w:lvl>
    <w:lvl w:ilvl="5">
      <w:start w:val="0"/>
      <w:numFmt w:val="bullet"/>
      <w:lvlText w:val="•"/>
      <w:lvlJc w:val="left"/>
      <w:pPr>
        <w:ind w:left="9" w:hanging="172"/>
      </w:pPr>
      <w:rPr>
        <w:rFonts w:hint="default"/>
      </w:rPr>
    </w:lvl>
    <w:lvl w:ilvl="6">
      <w:start w:val="0"/>
      <w:numFmt w:val="bullet"/>
      <w:lvlText w:val="•"/>
      <w:lvlJc w:val="left"/>
      <w:pPr>
        <w:ind w:left="-13" w:hanging="172"/>
      </w:pPr>
      <w:rPr>
        <w:rFonts w:hint="default"/>
      </w:rPr>
    </w:lvl>
    <w:lvl w:ilvl="7">
      <w:start w:val="0"/>
      <w:numFmt w:val="bullet"/>
      <w:lvlText w:val="•"/>
      <w:lvlJc w:val="left"/>
      <w:pPr>
        <w:ind w:left="-35" w:hanging="172"/>
      </w:pPr>
      <w:rPr>
        <w:rFonts w:hint="default"/>
      </w:rPr>
    </w:lvl>
    <w:lvl w:ilvl="8">
      <w:start w:val="0"/>
      <w:numFmt w:val="bullet"/>
      <w:lvlText w:val="•"/>
      <w:lvlJc w:val="left"/>
      <w:pPr>
        <w:ind w:left="-57" w:hanging="172"/>
      </w:pPr>
      <w:rPr>
        <w:rFonts w:hint="default"/>
      </w:rPr>
    </w:lvl>
  </w:abstractNum>
  <w:abstractNum w:abstractNumId="92">
    <w:multiLevelType w:val="hybridMultilevel"/>
    <w:lvl w:ilvl="0">
      <w:start w:val="1"/>
      <w:numFmt w:val="lowerLetter"/>
      <w:lvlText w:val="%1)"/>
      <w:lvlJc w:val="left"/>
      <w:pPr>
        <w:ind w:left="113" w:hanging="183"/>
        <w:jc w:val="left"/>
      </w:pPr>
      <w:rPr>
        <w:rFonts w:hint="default" w:ascii="Times New Roman" w:hAnsi="Times New Roman" w:eastAsia="Times New Roman" w:cs="Times New Roman"/>
        <w:i/>
        <w:color w:val="231F20"/>
        <w:w w:val="93"/>
        <w:sz w:val="17"/>
        <w:szCs w:val="17"/>
      </w:rPr>
    </w:lvl>
    <w:lvl w:ilvl="1">
      <w:start w:val="1"/>
      <w:numFmt w:val="decimal"/>
      <w:lvlText w:val="%2)"/>
      <w:lvlJc w:val="left"/>
      <w:pPr>
        <w:ind w:left="113" w:hanging="240"/>
        <w:jc w:val="left"/>
      </w:pPr>
      <w:rPr>
        <w:rFonts w:hint="default" w:ascii="Georgia" w:hAnsi="Georgia" w:eastAsia="Georgia" w:cs="Georgia"/>
        <w:color w:val="231F20"/>
        <w:w w:val="103"/>
        <w:sz w:val="17"/>
        <w:szCs w:val="17"/>
      </w:rPr>
    </w:lvl>
    <w:lvl w:ilvl="2">
      <w:start w:val="0"/>
      <w:numFmt w:val="bullet"/>
      <w:lvlText w:val="•"/>
      <w:lvlJc w:val="left"/>
      <w:pPr>
        <w:ind w:left="75" w:hanging="240"/>
      </w:pPr>
      <w:rPr>
        <w:rFonts w:hint="default"/>
      </w:rPr>
    </w:lvl>
    <w:lvl w:ilvl="3">
      <w:start w:val="0"/>
      <w:numFmt w:val="bullet"/>
      <w:lvlText w:val="•"/>
      <w:lvlJc w:val="left"/>
      <w:pPr>
        <w:ind w:left="53" w:hanging="240"/>
      </w:pPr>
      <w:rPr>
        <w:rFonts w:hint="default"/>
      </w:rPr>
    </w:lvl>
    <w:lvl w:ilvl="4">
      <w:start w:val="0"/>
      <w:numFmt w:val="bullet"/>
      <w:lvlText w:val="•"/>
      <w:lvlJc w:val="left"/>
      <w:pPr>
        <w:ind w:left="31" w:hanging="240"/>
      </w:pPr>
      <w:rPr>
        <w:rFonts w:hint="default"/>
      </w:rPr>
    </w:lvl>
    <w:lvl w:ilvl="5">
      <w:start w:val="0"/>
      <w:numFmt w:val="bullet"/>
      <w:lvlText w:val="•"/>
      <w:lvlJc w:val="left"/>
      <w:pPr>
        <w:ind w:left="9" w:hanging="240"/>
      </w:pPr>
      <w:rPr>
        <w:rFonts w:hint="default"/>
      </w:rPr>
    </w:lvl>
    <w:lvl w:ilvl="6">
      <w:start w:val="0"/>
      <w:numFmt w:val="bullet"/>
      <w:lvlText w:val="•"/>
      <w:lvlJc w:val="left"/>
      <w:pPr>
        <w:ind w:left="-13" w:hanging="240"/>
      </w:pPr>
      <w:rPr>
        <w:rFonts w:hint="default"/>
      </w:rPr>
    </w:lvl>
    <w:lvl w:ilvl="7">
      <w:start w:val="0"/>
      <w:numFmt w:val="bullet"/>
      <w:lvlText w:val="•"/>
      <w:lvlJc w:val="left"/>
      <w:pPr>
        <w:ind w:left="-35" w:hanging="240"/>
      </w:pPr>
      <w:rPr>
        <w:rFonts w:hint="default"/>
      </w:rPr>
    </w:lvl>
    <w:lvl w:ilvl="8">
      <w:start w:val="0"/>
      <w:numFmt w:val="bullet"/>
      <w:lvlText w:val="•"/>
      <w:lvlJc w:val="left"/>
      <w:pPr>
        <w:ind w:left="-57" w:hanging="240"/>
      </w:pPr>
      <w:rPr>
        <w:rFonts w:hint="default"/>
      </w:rPr>
    </w:lvl>
  </w:abstractNum>
  <w:abstractNum w:abstractNumId="91">
    <w:multiLevelType w:val="hybridMultilevel"/>
    <w:lvl w:ilvl="0">
      <w:start w:val="0"/>
      <w:numFmt w:val="bullet"/>
      <w:lvlText w:val="—"/>
      <w:lvlJc w:val="left"/>
      <w:pPr>
        <w:ind w:left="113" w:hanging="220"/>
      </w:pPr>
      <w:rPr>
        <w:rFonts w:hint="default" w:ascii="Georgia" w:hAnsi="Georgia" w:eastAsia="Georgia" w:cs="Georgia"/>
        <w:color w:val="231F20"/>
        <w:w w:val="117"/>
        <w:sz w:val="17"/>
        <w:szCs w:val="17"/>
      </w:rPr>
    </w:lvl>
    <w:lvl w:ilvl="1">
      <w:start w:val="0"/>
      <w:numFmt w:val="bullet"/>
      <w:lvlText w:val="•"/>
      <w:lvlJc w:val="left"/>
      <w:pPr>
        <w:ind w:left="660" w:hanging="220"/>
      </w:pPr>
      <w:rPr>
        <w:rFonts w:hint="default"/>
      </w:rPr>
    </w:lvl>
    <w:lvl w:ilvl="2">
      <w:start w:val="0"/>
      <w:numFmt w:val="bullet"/>
      <w:lvlText w:val="•"/>
      <w:lvlJc w:val="left"/>
      <w:pPr>
        <w:ind w:left="1201" w:hanging="220"/>
      </w:pPr>
      <w:rPr>
        <w:rFonts w:hint="default"/>
      </w:rPr>
    </w:lvl>
    <w:lvl w:ilvl="3">
      <w:start w:val="0"/>
      <w:numFmt w:val="bullet"/>
      <w:lvlText w:val="•"/>
      <w:lvlJc w:val="left"/>
      <w:pPr>
        <w:ind w:left="1741" w:hanging="220"/>
      </w:pPr>
      <w:rPr>
        <w:rFonts w:hint="default"/>
      </w:rPr>
    </w:lvl>
    <w:lvl w:ilvl="4">
      <w:start w:val="0"/>
      <w:numFmt w:val="bullet"/>
      <w:lvlText w:val="•"/>
      <w:lvlJc w:val="left"/>
      <w:pPr>
        <w:ind w:left="2282" w:hanging="220"/>
      </w:pPr>
      <w:rPr>
        <w:rFonts w:hint="default"/>
      </w:rPr>
    </w:lvl>
    <w:lvl w:ilvl="5">
      <w:start w:val="0"/>
      <w:numFmt w:val="bullet"/>
      <w:lvlText w:val="•"/>
      <w:lvlJc w:val="left"/>
      <w:pPr>
        <w:ind w:left="2823" w:hanging="220"/>
      </w:pPr>
      <w:rPr>
        <w:rFonts w:hint="default"/>
      </w:rPr>
    </w:lvl>
    <w:lvl w:ilvl="6">
      <w:start w:val="0"/>
      <w:numFmt w:val="bullet"/>
      <w:lvlText w:val="•"/>
      <w:lvlJc w:val="left"/>
      <w:pPr>
        <w:ind w:left="3363" w:hanging="220"/>
      </w:pPr>
      <w:rPr>
        <w:rFonts w:hint="default"/>
      </w:rPr>
    </w:lvl>
    <w:lvl w:ilvl="7">
      <w:start w:val="0"/>
      <w:numFmt w:val="bullet"/>
      <w:lvlText w:val="•"/>
      <w:lvlJc w:val="left"/>
      <w:pPr>
        <w:ind w:left="3904" w:hanging="220"/>
      </w:pPr>
      <w:rPr>
        <w:rFonts w:hint="default"/>
      </w:rPr>
    </w:lvl>
    <w:lvl w:ilvl="8">
      <w:start w:val="0"/>
      <w:numFmt w:val="bullet"/>
      <w:lvlText w:val="•"/>
      <w:lvlJc w:val="left"/>
      <w:pPr>
        <w:ind w:left="4445" w:hanging="220"/>
      </w:pPr>
      <w:rPr>
        <w:rFonts w:hint="default"/>
      </w:rPr>
    </w:lvl>
  </w:abstractNum>
  <w:abstractNum w:abstractNumId="90">
    <w:multiLevelType w:val="hybridMultilevel"/>
    <w:lvl w:ilvl="0">
      <w:start w:val="1"/>
      <w:numFmt w:val="lowerLetter"/>
      <w:lvlText w:val="%1)"/>
      <w:lvlJc w:val="left"/>
      <w:pPr>
        <w:ind w:left="113" w:hanging="23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36"/>
      </w:pPr>
      <w:rPr>
        <w:rFonts w:hint="default"/>
      </w:rPr>
    </w:lvl>
    <w:lvl w:ilvl="2">
      <w:start w:val="0"/>
      <w:numFmt w:val="bullet"/>
      <w:lvlText w:val="•"/>
      <w:lvlJc w:val="left"/>
      <w:pPr>
        <w:ind w:left="1201" w:hanging="236"/>
      </w:pPr>
      <w:rPr>
        <w:rFonts w:hint="default"/>
      </w:rPr>
    </w:lvl>
    <w:lvl w:ilvl="3">
      <w:start w:val="0"/>
      <w:numFmt w:val="bullet"/>
      <w:lvlText w:val="•"/>
      <w:lvlJc w:val="left"/>
      <w:pPr>
        <w:ind w:left="1741" w:hanging="236"/>
      </w:pPr>
      <w:rPr>
        <w:rFonts w:hint="default"/>
      </w:rPr>
    </w:lvl>
    <w:lvl w:ilvl="4">
      <w:start w:val="0"/>
      <w:numFmt w:val="bullet"/>
      <w:lvlText w:val="•"/>
      <w:lvlJc w:val="left"/>
      <w:pPr>
        <w:ind w:left="2282" w:hanging="236"/>
      </w:pPr>
      <w:rPr>
        <w:rFonts w:hint="default"/>
      </w:rPr>
    </w:lvl>
    <w:lvl w:ilvl="5">
      <w:start w:val="0"/>
      <w:numFmt w:val="bullet"/>
      <w:lvlText w:val="•"/>
      <w:lvlJc w:val="left"/>
      <w:pPr>
        <w:ind w:left="2823" w:hanging="236"/>
      </w:pPr>
      <w:rPr>
        <w:rFonts w:hint="default"/>
      </w:rPr>
    </w:lvl>
    <w:lvl w:ilvl="6">
      <w:start w:val="0"/>
      <w:numFmt w:val="bullet"/>
      <w:lvlText w:val="•"/>
      <w:lvlJc w:val="left"/>
      <w:pPr>
        <w:ind w:left="3363" w:hanging="236"/>
      </w:pPr>
      <w:rPr>
        <w:rFonts w:hint="default"/>
      </w:rPr>
    </w:lvl>
    <w:lvl w:ilvl="7">
      <w:start w:val="0"/>
      <w:numFmt w:val="bullet"/>
      <w:lvlText w:val="•"/>
      <w:lvlJc w:val="left"/>
      <w:pPr>
        <w:ind w:left="3904" w:hanging="236"/>
      </w:pPr>
      <w:rPr>
        <w:rFonts w:hint="default"/>
      </w:rPr>
    </w:lvl>
    <w:lvl w:ilvl="8">
      <w:start w:val="0"/>
      <w:numFmt w:val="bullet"/>
      <w:lvlText w:val="•"/>
      <w:lvlJc w:val="left"/>
      <w:pPr>
        <w:ind w:left="4445" w:hanging="236"/>
      </w:pPr>
      <w:rPr>
        <w:rFonts w:hint="default"/>
      </w:rPr>
    </w:lvl>
  </w:abstractNum>
  <w:abstractNum w:abstractNumId="89">
    <w:multiLevelType w:val="hybridMultilevel"/>
    <w:lvl w:ilvl="0">
      <w:start w:val="1"/>
      <w:numFmt w:val="lowerLetter"/>
      <w:lvlText w:val="%1)"/>
      <w:lvlJc w:val="left"/>
      <w:pPr>
        <w:ind w:left="113" w:hanging="18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3"/>
      </w:pPr>
      <w:rPr>
        <w:rFonts w:hint="default"/>
      </w:rPr>
    </w:lvl>
    <w:lvl w:ilvl="2">
      <w:start w:val="0"/>
      <w:numFmt w:val="bullet"/>
      <w:lvlText w:val="•"/>
      <w:lvlJc w:val="left"/>
      <w:pPr>
        <w:ind w:left="1218" w:hanging="183"/>
      </w:pPr>
      <w:rPr>
        <w:rFonts w:hint="default"/>
      </w:rPr>
    </w:lvl>
    <w:lvl w:ilvl="3">
      <w:start w:val="0"/>
      <w:numFmt w:val="bullet"/>
      <w:lvlText w:val="•"/>
      <w:lvlJc w:val="left"/>
      <w:pPr>
        <w:ind w:left="1767" w:hanging="183"/>
      </w:pPr>
      <w:rPr>
        <w:rFonts w:hint="default"/>
      </w:rPr>
    </w:lvl>
    <w:lvl w:ilvl="4">
      <w:start w:val="0"/>
      <w:numFmt w:val="bullet"/>
      <w:lvlText w:val="•"/>
      <w:lvlJc w:val="left"/>
      <w:pPr>
        <w:ind w:left="2316" w:hanging="183"/>
      </w:pPr>
      <w:rPr>
        <w:rFonts w:hint="default"/>
      </w:rPr>
    </w:lvl>
    <w:lvl w:ilvl="5">
      <w:start w:val="0"/>
      <w:numFmt w:val="bullet"/>
      <w:lvlText w:val="•"/>
      <w:lvlJc w:val="left"/>
      <w:pPr>
        <w:ind w:left="2866" w:hanging="183"/>
      </w:pPr>
      <w:rPr>
        <w:rFonts w:hint="default"/>
      </w:rPr>
    </w:lvl>
    <w:lvl w:ilvl="6">
      <w:start w:val="0"/>
      <w:numFmt w:val="bullet"/>
      <w:lvlText w:val="•"/>
      <w:lvlJc w:val="left"/>
      <w:pPr>
        <w:ind w:left="3415" w:hanging="183"/>
      </w:pPr>
      <w:rPr>
        <w:rFonts w:hint="default"/>
      </w:rPr>
    </w:lvl>
    <w:lvl w:ilvl="7">
      <w:start w:val="0"/>
      <w:numFmt w:val="bullet"/>
      <w:lvlText w:val="•"/>
      <w:lvlJc w:val="left"/>
      <w:pPr>
        <w:ind w:left="3964" w:hanging="183"/>
      </w:pPr>
      <w:rPr>
        <w:rFonts w:hint="default"/>
      </w:rPr>
    </w:lvl>
    <w:lvl w:ilvl="8">
      <w:start w:val="0"/>
      <w:numFmt w:val="bullet"/>
      <w:lvlText w:val="•"/>
      <w:lvlJc w:val="left"/>
      <w:pPr>
        <w:ind w:left="4513" w:hanging="183"/>
      </w:pPr>
      <w:rPr>
        <w:rFonts w:hint="default"/>
      </w:rPr>
    </w:lvl>
  </w:abstractNum>
  <w:abstractNum w:abstractNumId="88">
    <w:multiLevelType w:val="hybridMultilevel"/>
    <w:lvl w:ilvl="0">
      <w:start w:val="1"/>
      <w:numFmt w:val="lowerLetter"/>
      <w:lvlText w:val="%1)"/>
      <w:lvlJc w:val="left"/>
      <w:pPr>
        <w:ind w:left="113" w:hanging="17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1"/>
      </w:pPr>
      <w:rPr>
        <w:rFonts w:hint="default"/>
      </w:rPr>
    </w:lvl>
    <w:lvl w:ilvl="2">
      <w:start w:val="0"/>
      <w:numFmt w:val="bullet"/>
      <w:lvlText w:val="•"/>
      <w:lvlJc w:val="left"/>
      <w:pPr>
        <w:ind w:left="1218" w:hanging="171"/>
      </w:pPr>
      <w:rPr>
        <w:rFonts w:hint="default"/>
      </w:rPr>
    </w:lvl>
    <w:lvl w:ilvl="3">
      <w:start w:val="0"/>
      <w:numFmt w:val="bullet"/>
      <w:lvlText w:val="•"/>
      <w:lvlJc w:val="left"/>
      <w:pPr>
        <w:ind w:left="1767" w:hanging="171"/>
      </w:pPr>
      <w:rPr>
        <w:rFonts w:hint="default"/>
      </w:rPr>
    </w:lvl>
    <w:lvl w:ilvl="4">
      <w:start w:val="0"/>
      <w:numFmt w:val="bullet"/>
      <w:lvlText w:val="•"/>
      <w:lvlJc w:val="left"/>
      <w:pPr>
        <w:ind w:left="2316" w:hanging="171"/>
      </w:pPr>
      <w:rPr>
        <w:rFonts w:hint="default"/>
      </w:rPr>
    </w:lvl>
    <w:lvl w:ilvl="5">
      <w:start w:val="0"/>
      <w:numFmt w:val="bullet"/>
      <w:lvlText w:val="•"/>
      <w:lvlJc w:val="left"/>
      <w:pPr>
        <w:ind w:left="2866" w:hanging="171"/>
      </w:pPr>
      <w:rPr>
        <w:rFonts w:hint="default"/>
      </w:rPr>
    </w:lvl>
    <w:lvl w:ilvl="6">
      <w:start w:val="0"/>
      <w:numFmt w:val="bullet"/>
      <w:lvlText w:val="•"/>
      <w:lvlJc w:val="left"/>
      <w:pPr>
        <w:ind w:left="3415" w:hanging="171"/>
      </w:pPr>
      <w:rPr>
        <w:rFonts w:hint="default"/>
      </w:rPr>
    </w:lvl>
    <w:lvl w:ilvl="7">
      <w:start w:val="0"/>
      <w:numFmt w:val="bullet"/>
      <w:lvlText w:val="•"/>
      <w:lvlJc w:val="left"/>
      <w:pPr>
        <w:ind w:left="3964" w:hanging="171"/>
      </w:pPr>
      <w:rPr>
        <w:rFonts w:hint="default"/>
      </w:rPr>
    </w:lvl>
    <w:lvl w:ilvl="8">
      <w:start w:val="0"/>
      <w:numFmt w:val="bullet"/>
      <w:lvlText w:val="•"/>
      <w:lvlJc w:val="left"/>
      <w:pPr>
        <w:ind w:left="4513" w:hanging="171"/>
      </w:pPr>
      <w:rPr>
        <w:rFonts w:hint="default"/>
      </w:rPr>
    </w:lvl>
  </w:abstractNum>
  <w:abstractNum w:abstractNumId="87">
    <w:multiLevelType w:val="hybridMultilevel"/>
    <w:lvl w:ilvl="0">
      <w:start w:val="1"/>
      <w:numFmt w:val="lowerLetter"/>
      <w:lvlText w:val="%1)"/>
      <w:lvlJc w:val="left"/>
      <w:pPr>
        <w:ind w:left="113" w:hanging="23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36"/>
      </w:pPr>
      <w:rPr>
        <w:rFonts w:hint="default"/>
      </w:rPr>
    </w:lvl>
    <w:lvl w:ilvl="2">
      <w:start w:val="0"/>
      <w:numFmt w:val="bullet"/>
      <w:lvlText w:val="•"/>
      <w:lvlJc w:val="left"/>
      <w:pPr>
        <w:ind w:left="1201" w:hanging="236"/>
      </w:pPr>
      <w:rPr>
        <w:rFonts w:hint="default"/>
      </w:rPr>
    </w:lvl>
    <w:lvl w:ilvl="3">
      <w:start w:val="0"/>
      <w:numFmt w:val="bullet"/>
      <w:lvlText w:val="•"/>
      <w:lvlJc w:val="left"/>
      <w:pPr>
        <w:ind w:left="1742" w:hanging="236"/>
      </w:pPr>
      <w:rPr>
        <w:rFonts w:hint="default"/>
      </w:rPr>
    </w:lvl>
    <w:lvl w:ilvl="4">
      <w:start w:val="0"/>
      <w:numFmt w:val="bullet"/>
      <w:lvlText w:val="•"/>
      <w:lvlJc w:val="left"/>
      <w:pPr>
        <w:ind w:left="2282" w:hanging="236"/>
      </w:pPr>
      <w:rPr>
        <w:rFonts w:hint="default"/>
      </w:rPr>
    </w:lvl>
    <w:lvl w:ilvl="5">
      <w:start w:val="0"/>
      <w:numFmt w:val="bullet"/>
      <w:lvlText w:val="•"/>
      <w:lvlJc w:val="left"/>
      <w:pPr>
        <w:ind w:left="2823" w:hanging="236"/>
      </w:pPr>
      <w:rPr>
        <w:rFonts w:hint="default"/>
      </w:rPr>
    </w:lvl>
    <w:lvl w:ilvl="6">
      <w:start w:val="0"/>
      <w:numFmt w:val="bullet"/>
      <w:lvlText w:val="•"/>
      <w:lvlJc w:val="left"/>
      <w:pPr>
        <w:ind w:left="3364" w:hanging="236"/>
      </w:pPr>
      <w:rPr>
        <w:rFonts w:hint="default"/>
      </w:rPr>
    </w:lvl>
    <w:lvl w:ilvl="7">
      <w:start w:val="0"/>
      <w:numFmt w:val="bullet"/>
      <w:lvlText w:val="•"/>
      <w:lvlJc w:val="left"/>
      <w:pPr>
        <w:ind w:left="3904" w:hanging="236"/>
      </w:pPr>
      <w:rPr>
        <w:rFonts w:hint="default"/>
      </w:rPr>
    </w:lvl>
    <w:lvl w:ilvl="8">
      <w:start w:val="0"/>
      <w:numFmt w:val="bullet"/>
      <w:lvlText w:val="•"/>
      <w:lvlJc w:val="left"/>
      <w:pPr>
        <w:ind w:left="4445" w:hanging="236"/>
      </w:pPr>
      <w:rPr>
        <w:rFonts w:hint="default"/>
      </w:rPr>
    </w:lvl>
  </w:abstractNum>
  <w:abstractNum w:abstractNumId="86">
    <w:multiLevelType w:val="hybridMultilevel"/>
    <w:lvl w:ilvl="0">
      <w:start w:val="1"/>
      <w:numFmt w:val="lowerLetter"/>
      <w:lvlText w:val="%1)"/>
      <w:lvlJc w:val="left"/>
      <w:pPr>
        <w:ind w:left="113" w:hanging="17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8"/>
      </w:pPr>
      <w:rPr>
        <w:rFonts w:hint="default"/>
      </w:rPr>
    </w:lvl>
    <w:lvl w:ilvl="2">
      <w:start w:val="0"/>
      <w:numFmt w:val="bullet"/>
      <w:lvlText w:val="•"/>
      <w:lvlJc w:val="left"/>
      <w:pPr>
        <w:ind w:left="1201" w:hanging="178"/>
      </w:pPr>
      <w:rPr>
        <w:rFonts w:hint="default"/>
      </w:rPr>
    </w:lvl>
    <w:lvl w:ilvl="3">
      <w:start w:val="0"/>
      <w:numFmt w:val="bullet"/>
      <w:lvlText w:val="•"/>
      <w:lvlJc w:val="left"/>
      <w:pPr>
        <w:ind w:left="1742" w:hanging="178"/>
      </w:pPr>
      <w:rPr>
        <w:rFonts w:hint="default"/>
      </w:rPr>
    </w:lvl>
    <w:lvl w:ilvl="4">
      <w:start w:val="0"/>
      <w:numFmt w:val="bullet"/>
      <w:lvlText w:val="•"/>
      <w:lvlJc w:val="left"/>
      <w:pPr>
        <w:ind w:left="2282" w:hanging="178"/>
      </w:pPr>
      <w:rPr>
        <w:rFonts w:hint="default"/>
      </w:rPr>
    </w:lvl>
    <w:lvl w:ilvl="5">
      <w:start w:val="0"/>
      <w:numFmt w:val="bullet"/>
      <w:lvlText w:val="•"/>
      <w:lvlJc w:val="left"/>
      <w:pPr>
        <w:ind w:left="2823" w:hanging="178"/>
      </w:pPr>
      <w:rPr>
        <w:rFonts w:hint="default"/>
      </w:rPr>
    </w:lvl>
    <w:lvl w:ilvl="6">
      <w:start w:val="0"/>
      <w:numFmt w:val="bullet"/>
      <w:lvlText w:val="•"/>
      <w:lvlJc w:val="left"/>
      <w:pPr>
        <w:ind w:left="3364" w:hanging="178"/>
      </w:pPr>
      <w:rPr>
        <w:rFonts w:hint="default"/>
      </w:rPr>
    </w:lvl>
    <w:lvl w:ilvl="7">
      <w:start w:val="0"/>
      <w:numFmt w:val="bullet"/>
      <w:lvlText w:val="•"/>
      <w:lvlJc w:val="left"/>
      <w:pPr>
        <w:ind w:left="3904" w:hanging="178"/>
      </w:pPr>
      <w:rPr>
        <w:rFonts w:hint="default"/>
      </w:rPr>
    </w:lvl>
    <w:lvl w:ilvl="8">
      <w:start w:val="0"/>
      <w:numFmt w:val="bullet"/>
      <w:lvlText w:val="•"/>
      <w:lvlJc w:val="left"/>
      <w:pPr>
        <w:ind w:left="4445" w:hanging="178"/>
      </w:pPr>
      <w:rPr>
        <w:rFonts w:hint="default"/>
      </w:rPr>
    </w:lvl>
  </w:abstractNum>
  <w:abstractNum w:abstractNumId="85">
    <w:multiLevelType w:val="hybridMultilevel"/>
    <w:lvl w:ilvl="0">
      <w:start w:val="1"/>
      <w:numFmt w:val="lowerLetter"/>
      <w:lvlText w:val="%1)"/>
      <w:lvlJc w:val="left"/>
      <w:pPr>
        <w:ind w:left="113" w:hanging="20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3"/>
      </w:pPr>
      <w:rPr>
        <w:rFonts w:hint="default"/>
      </w:rPr>
    </w:lvl>
    <w:lvl w:ilvl="2">
      <w:start w:val="0"/>
      <w:numFmt w:val="bullet"/>
      <w:lvlText w:val="•"/>
      <w:lvlJc w:val="left"/>
      <w:pPr>
        <w:ind w:left="1218" w:hanging="203"/>
      </w:pPr>
      <w:rPr>
        <w:rFonts w:hint="default"/>
      </w:rPr>
    </w:lvl>
    <w:lvl w:ilvl="3">
      <w:start w:val="0"/>
      <w:numFmt w:val="bullet"/>
      <w:lvlText w:val="•"/>
      <w:lvlJc w:val="left"/>
      <w:pPr>
        <w:ind w:left="1767" w:hanging="203"/>
      </w:pPr>
      <w:rPr>
        <w:rFonts w:hint="default"/>
      </w:rPr>
    </w:lvl>
    <w:lvl w:ilvl="4">
      <w:start w:val="0"/>
      <w:numFmt w:val="bullet"/>
      <w:lvlText w:val="•"/>
      <w:lvlJc w:val="left"/>
      <w:pPr>
        <w:ind w:left="2316" w:hanging="203"/>
      </w:pPr>
      <w:rPr>
        <w:rFonts w:hint="default"/>
      </w:rPr>
    </w:lvl>
    <w:lvl w:ilvl="5">
      <w:start w:val="0"/>
      <w:numFmt w:val="bullet"/>
      <w:lvlText w:val="•"/>
      <w:lvlJc w:val="left"/>
      <w:pPr>
        <w:ind w:left="2866" w:hanging="203"/>
      </w:pPr>
      <w:rPr>
        <w:rFonts w:hint="default"/>
      </w:rPr>
    </w:lvl>
    <w:lvl w:ilvl="6">
      <w:start w:val="0"/>
      <w:numFmt w:val="bullet"/>
      <w:lvlText w:val="•"/>
      <w:lvlJc w:val="left"/>
      <w:pPr>
        <w:ind w:left="3415" w:hanging="203"/>
      </w:pPr>
      <w:rPr>
        <w:rFonts w:hint="default"/>
      </w:rPr>
    </w:lvl>
    <w:lvl w:ilvl="7">
      <w:start w:val="0"/>
      <w:numFmt w:val="bullet"/>
      <w:lvlText w:val="•"/>
      <w:lvlJc w:val="left"/>
      <w:pPr>
        <w:ind w:left="3964" w:hanging="203"/>
      </w:pPr>
      <w:rPr>
        <w:rFonts w:hint="default"/>
      </w:rPr>
    </w:lvl>
    <w:lvl w:ilvl="8">
      <w:start w:val="0"/>
      <w:numFmt w:val="bullet"/>
      <w:lvlText w:val="•"/>
      <w:lvlJc w:val="left"/>
      <w:pPr>
        <w:ind w:left="4513" w:hanging="203"/>
      </w:pPr>
      <w:rPr>
        <w:rFonts w:hint="default"/>
      </w:rPr>
    </w:lvl>
  </w:abstractNum>
  <w:abstractNum w:abstractNumId="84">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83">
    <w:multiLevelType w:val="hybridMultilevel"/>
    <w:lvl w:ilvl="0">
      <w:start w:val="1"/>
      <w:numFmt w:val="lowerRoman"/>
      <w:lvlText w:val="%1)"/>
      <w:lvlJc w:val="left"/>
      <w:pPr>
        <w:ind w:left="113" w:hanging="196"/>
        <w:jc w:val="left"/>
      </w:pPr>
      <w:rPr>
        <w:rFonts w:hint="default" w:ascii="Georgia" w:hAnsi="Georgia" w:eastAsia="Georgia" w:cs="Georgia"/>
        <w:color w:val="231F20"/>
        <w:w w:val="93"/>
        <w:sz w:val="17"/>
        <w:szCs w:val="17"/>
      </w:rPr>
    </w:lvl>
    <w:lvl w:ilvl="1">
      <w:start w:val="0"/>
      <w:numFmt w:val="bullet"/>
      <w:lvlText w:val="•"/>
      <w:lvlJc w:val="left"/>
      <w:pPr>
        <w:ind w:left="669" w:hanging="196"/>
      </w:pPr>
      <w:rPr>
        <w:rFonts w:hint="default"/>
      </w:rPr>
    </w:lvl>
    <w:lvl w:ilvl="2">
      <w:start w:val="0"/>
      <w:numFmt w:val="bullet"/>
      <w:lvlText w:val="•"/>
      <w:lvlJc w:val="left"/>
      <w:pPr>
        <w:ind w:left="1218" w:hanging="196"/>
      </w:pPr>
      <w:rPr>
        <w:rFonts w:hint="default"/>
      </w:rPr>
    </w:lvl>
    <w:lvl w:ilvl="3">
      <w:start w:val="0"/>
      <w:numFmt w:val="bullet"/>
      <w:lvlText w:val="•"/>
      <w:lvlJc w:val="left"/>
      <w:pPr>
        <w:ind w:left="1767" w:hanging="196"/>
      </w:pPr>
      <w:rPr>
        <w:rFonts w:hint="default"/>
      </w:rPr>
    </w:lvl>
    <w:lvl w:ilvl="4">
      <w:start w:val="0"/>
      <w:numFmt w:val="bullet"/>
      <w:lvlText w:val="•"/>
      <w:lvlJc w:val="left"/>
      <w:pPr>
        <w:ind w:left="2316" w:hanging="196"/>
      </w:pPr>
      <w:rPr>
        <w:rFonts w:hint="default"/>
      </w:rPr>
    </w:lvl>
    <w:lvl w:ilvl="5">
      <w:start w:val="0"/>
      <w:numFmt w:val="bullet"/>
      <w:lvlText w:val="•"/>
      <w:lvlJc w:val="left"/>
      <w:pPr>
        <w:ind w:left="2866" w:hanging="196"/>
      </w:pPr>
      <w:rPr>
        <w:rFonts w:hint="default"/>
      </w:rPr>
    </w:lvl>
    <w:lvl w:ilvl="6">
      <w:start w:val="0"/>
      <w:numFmt w:val="bullet"/>
      <w:lvlText w:val="•"/>
      <w:lvlJc w:val="left"/>
      <w:pPr>
        <w:ind w:left="3415" w:hanging="196"/>
      </w:pPr>
      <w:rPr>
        <w:rFonts w:hint="default"/>
      </w:rPr>
    </w:lvl>
    <w:lvl w:ilvl="7">
      <w:start w:val="0"/>
      <w:numFmt w:val="bullet"/>
      <w:lvlText w:val="•"/>
      <w:lvlJc w:val="left"/>
      <w:pPr>
        <w:ind w:left="3964" w:hanging="196"/>
      </w:pPr>
      <w:rPr>
        <w:rFonts w:hint="default"/>
      </w:rPr>
    </w:lvl>
    <w:lvl w:ilvl="8">
      <w:start w:val="0"/>
      <w:numFmt w:val="bullet"/>
      <w:lvlText w:val="•"/>
      <w:lvlJc w:val="left"/>
      <w:pPr>
        <w:ind w:left="4513" w:hanging="196"/>
      </w:pPr>
      <w:rPr>
        <w:rFonts w:hint="default"/>
      </w:rPr>
    </w:lvl>
  </w:abstractNum>
  <w:abstractNum w:abstractNumId="82">
    <w:multiLevelType w:val="hybridMultilevel"/>
    <w:lvl w:ilvl="0">
      <w:start w:val="1"/>
      <w:numFmt w:val="lowerLetter"/>
      <w:lvlText w:val="%1)"/>
      <w:lvlJc w:val="left"/>
      <w:pPr>
        <w:ind w:left="113" w:hanging="23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36"/>
      </w:pPr>
      <w:rPr>
        <w:rFonts w:hint="default"/>
      </w:rPr>
    </w:lvl>
    <w:lvl w:ilvl="2">
      <w:start w:val="0"/>
      <w:numFmt w:val="bullet"/>
      <w:lvlText w:val="•"/>
      <w:lvlJc w:val="left"/>
      <w:pPr>
        <w:ind w:left="1218" w:hanging="236"/>
      </w:pPr>
      <w:rPr>
        <w:rFonts w:hint="default"/>
      </w:rPr>
    </w:lvl>
    <w:lvl w:ilvl="3">
      <w:start w:val="0"/>
      <w:numFmt w:val="bullet"/>
      <w:lvlText w:val="•"/>
      <w:lvlJc w:val="left"/>
      <w:pPr>
        <w:ind w:left="1767" w:hanging="236"/>
      </w:pPr>
      <w:rPr>
        <w:rFonts w:hint="default"/>
      </w:rPr>
    </w:lvl>
    <w:lvl w:ilvl="4">
      <w:start w:val="0"/>
      <w:numFmt w:val="bullet"/>
      <w:lvlText w:val="•"/>
      <w:lvlJc w:val="left"/>
      <w:pPr>
        <w:ind w:left="2316" w:hanging="236"/>
      </w:pPr>
      <w:rPr>
        <w:rFonts w:hint="default"/>
      </w:rPr>
    </w:lvl>
    <w:lvl w:ilvl="5">
      <w:start w:val="0"/>
      <w:numFmt w:val="bullet"/>
      <w:lvlText w:val="•"/>
      <w:lvlJc w:val="left"/>
      <w:pPr>
        <w:ind w:left="2866" w:hanging="236"/>
      </w:pPr>
      <w:rPr>
        <w:rFonts w:hint="default"/>
      </w:rPr>
    </w:lvl>
    <w:lvl w:ilvl="6">
      <w:start w:val="0"/>
      <w:numFmt w:val="bullet"/>
      <w:lvlText w:val="•"/>
      <w:lvlJc w:val="left"/>
      <w:pPr>
        <w:ind w:left="3415" w:hanging="236"/>
      </w:pPr>
      <w:rPr>
        <w:rFonts w:hint="default"/>
      </w:rPr>
    </w:lvl>
    <w:lvl w:ilvl="7">
      <w:start w:val="0"/>
      <w:numFmt w:val="bullet"/>
      <w:lvlText w:val="•"/>
      <w:lvlJc w:val="left"/>
      <w:pPr>
        <w:ind w:left="3964" w:hanging="236"/>
      </w:pPr>
      <w:rPr>
        <w:rFonts w:hint="default"/>
      </w:rPr>
    </w:lvl>
    <w:lvl w:ilvl="8">
      <w:start w:val="0"/>
      <w:numFmt w:val="bullet"/>
      <w:lvlText w:val="•"/>
      <w:lvlJc w:val="left"/>
      <w:pPr>
        <w:ind w:left="4513" w:hanging="236"/>
      </w:pPr>
      <w:rPr>
        <w:rFonts w:hint="default"/>
      </w:rPr>
    </w:lvl>
  </w:abstractNum>
  <w:abstractNum w:abstractNumId="81">
    <w:multiLevelType w:val="hybridMultilevel"/>
    <w:lvl w:ilvl="0">
      <w:start w:val="1"/>
      <w:numFmt w:val="lowerLetter"/>
      <w:lvlText w:val="%1)"/>
      <w:lvlJc w:val="left"/>
      <w:pPr>
        <w:ind w:left="113" w:hanging="207"/>
        <w:jc w:val="left"/>
      </w:pPr>
      <w:rPr>
        <w:rFonts w:hint="default" w:ascii="Times New Roman" w:hAnsi="Times New Roman" w:eastAsia="Times New Roman" w:cs="Times New Roman"/>
        <w:i/>
        <w:color w:val="231F20"/>
        <w:w w:val="93"/>
        <w:sz w:val="17"/>
        <w:szCs w:val="17"/>
      </w:rPr>
    </w:lvl>
    <w:lvl w:ilvl="1">
      <w:start w:val="1"/>
      <w:numFmt w:val="lowerLetter"/>
      <w:lvlText w:val="%2)"/>
      <w:lvlJc w:val="left"/>
      <w:pPr>
        <w:ind w:left="113" w:hanging="185"/>
        <w:jc w:val="left"/>
      </w:pPr>
      <w:rPr>
        <w:rFonts w:hint="default" w:ascii="Times New Roman" w:hAnsi="Times New Roman" w:eastAsia="Times New Roman" w:cs="Times New Roman"/>
        <w:i/>
        <w:color w:val="231F20"/>
        <w:w w:val="93"/>
        <w:sz w:val="17"/>
        <w:szCs w:val="17"/>
      </w:rPr>
    </w:lvl>
    <w:lvl w:ilvl="2">
      <w:start w:val="0"/>
      <w:numFmt w:val="bullet"/>
      <w:lvlText w:val="•"/>
      <w:lvlJc w:val="left"/>
      <w:pPr>
        <w:ind w:left="1201" w:hanging="185"/>
      </w:pPr>
      <w:rPr>
        <w:rFonts w:hint="default"/>
      </w:rPr>
    </w:lvl>
    <w:lvl w:ilvl="3">
      <w:start w:val="0"/>
      <w:numFmt w:val="bullet"/>
      <w:lvlText w:val="•"/>
      <w:lvlJc w:val="left"/>
      <w:pPr>
        <w:ind w:left="1742" w:hanging="185"/>
      </w:pPr>
      <w:rPr>
        <w:rFonts w:hint="default"/>
      </w:rPr>
    </w:lvl>
    <w:lvl w:ilvl="4">
      <w:start w:val="0"/>
      <w:numFmt w:val="bullet"/>
      <w:lvlText w:val="•"/>
      <w:lvlJc w:val="left"/>
      <w:pPr>
        <w:ind w:left="2282" w:hanging="185"/>
      </w:pPr>
      <w:rPr>
        <w:rFonts w:hint="default"/>
      </w:rPr>
    </w:lvl>
    <w:lvl w:ilvl="5">
      <w:start w:val="0"/>
      <w:numFmt w:val="bullet"/>
      <w:lvlText w:val="•"/>
      <w:lvlJc w:val="left"/>
      <w:pPr>
        <w:ind w:left="2823" w:hanging="185"/>
      </w:pPr>
      <w:rPr>
        <w:rFonts w:hint="default"/>
      </w:rPr>
    </w:lvl>
    <w:lvl w:ilvl="6">
      <w:start w:val="0"/>
      <w:numFmt w:val="bullet"/>
      <w:lvlText w:val="•"/>
      <w:lvlJc w:val="left"/>
      <w:pPr>
        <w:ind w:left="3364" w:hanging="185"/>
      </w:pPr>
      <w:rPr>
        <w:rFonts w:hint="default"/>
      </w:rPr>
    </w:lvl>
    <w:lvl w:ilvl="7">
      <w:start w:val="0"/>
      <w:numFmt w:val="bullet"/>
      <w:lvlText w:val="•"/>
      <w:lvlJc w:val="left"/>
      <w:pPr>
        <w:ind w:left="3904" w:hanging="185"/>
      </w:pPr>
      <w:rPr>
        <w:rFonts w:hint="default"/>
      </w:rPr>
    </w:lvl>
    <w:lvl w:ilvl="8">
      <w:start w:val="0"/>
      <w:numFmt w:val="bullet"/>
      <w:lvlText w:val="•"/>
      <w:lvlJc w:val="left"/>
      <w:pPr>
        <w:ind w:left="4445" w:hanging="185"/>
      </w:pPr>
      <w:rPr>
        <w:rFonts w:hint="default"/>
      </w:rPr>
    </w:lvl>
  </w:abstractNum>
  <w:abstractNum w:abstractNumId="80">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2"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4"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79">
    <w:multiLevelType w:val="hybridMultilevel"/>
    <w:lvl w:ilvl="0">
      <w:start w:val="1"/>
      <w:numFmt w:val="lowerRoman"/>
      <w:lvlText w:val="%1)"/>
      <w:lvlJc w:val="left"/>
      <w:pPr>
        <w:ind w:left="446" w:hanging="164"/>
        <w:jc w:val="left"/>
      </w:pPr>
      <w:rPr>
        <w:rFonts w:hint="default" w:ascii="Georgia" w:hAnsi="Georgia" w:eastAsia="Georgia" w:cs="Georgia"/>
        <w:color w:val="231F20"/>
        <w:w w:val="93"/>
        <w:sz w:val="17"/>
        <w:szCs w:val="17"/>
      </w:rPr>
    </w:lvl>
    <w:lvl w:ilvl="1">
      <w:start w:val="0"/>
      <w:numFmt w:val="bullet"/>
      <w:lvlText w:val="•"/>
      <w:lvlJc w:val="left"/>
      <w:pPr>
        <w:ind w:left="948" w:hanging="164"/>
      </w:pPr>
      <w:rPr>
        <w:rFonts w:hint="default"/>
      </w:rPr>
    </w:lvl>
    <w:lvl w:ilvl="2">
      <w:start w:val="0"/>
      <w:numFmt w:val="bullet"/>
      <w:lvlText w:val="•"/>
      <w:lvlJc w:val="left"/>
      <w:pPr>
        <w:ind w:left="1457" w:hanging="164"/>
      </w:pPr>
      <w:rPr>
        <w:rFonts w:hint="default"/>
      </w:rPr>
    </w:lvl>
    <w:lvl w:ilvl="3">
      <w:start w:val="0"/>
      <w:numFmt w:val="bullet"/>
      <w:lvlText w:val="•"/>
      <w:lvlJc w:val="left"/>
      <w:pPr>
        <w:ind w:left="1966" w:hanging="164"/>
      </w:pPr>
      <w:rPr>
        <w:rFonts w:hint="default"/>
      </w:rPr>
    </w:lvl>
    <w:lvl w:ilvl="4">
      <w:start w:val="0"/>
      <w:numFmt w:val="bullet"/>
      <w:lvlText w:val="•"/>
      <w:lvlJc w:val="left"/>
      <w:pPr>
        <w:ind w:left="2474" w:hanging="164"/>
      </w:pPr>
      <w:rPr>
        <w:rFonts w:hint="default"/>
      </w:rPr>
    </w:lvl>
    <w:lvl w:ilvl="5">
      <w:start w:val="0"/>
      <w:numFmt w:val="bullet"/>
      <w:lvlText w:val="•"/>
      <w:lvlJc w:val="left"/>
      <w:pPr>
        <w:ind w:left="2983" w:hanging="164"/>
      </w:pPr>
      <w:rPr>
        <w:rFonts w:hint="default"/>
      </w:rPr>
    </w:lvl>
    <w:lvl w:ilvl="6">
      <w:start w:val="0"/>
      <w:numFmt w:val="bullet"/>
      <w:lvlText w:val="•"/>
      <w:lvlJc w:val="left"/>
      <w:pPr>
        <w:ind w:left="3492" w:hanging="164"/>
      </w:pPr>
      <w:rPr>
        <w:rFonts w:hint="default"/>
      </w:rPr>
    </w:lvl>
    <w:lvl w:ilvl="7">
      <w:start w:val="0"/>
      <w:numFmt w:val="bullet"/>
      <w:lvlText w:val="•"/>
      <w:lvlJc w:val="left"/>
      <w:pPr>
        <w:ind w:left="4000" w:hanging="164"/>
      </w:pPr>
      <w:rPr>
        <w:rFonts w:hint="default"/>
      </w:rPr>
    </w:lvl>
    <w:lvl w:ilvl="8">
      <w:start w:val="0"/>
      <w:numFmt w:val="bullet"/>
      <w:lvlText w:val="•"/>
      <w:lvlJc w:val="left"/>
      <w:pPr>
        <w:ind w:left="4509" w:hanging="164"/>
      </w:pPr>
      <w:rPr>
        <w:rFonts w:hint="default"/>
      </w:rPr>
    </w:lvl>
  </w:abstractNum>
  <w:abstractNum w:abstractNumId="78">
    <w:multiLevelType w:val="hybridMultilevel"/>
    <w:lvl w:ilvl="0">
      <w:start w:val="1"/>
      <w:numFmt w:val="lowerLetter"/>
      <w:lvlText w:val="%1)"/>
      <w:lvlJc w:val="left"/>
      <w:pPr>
        <w:ind w:left="113" w:hanging="20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03"/>
      </w:pPr>
      <w:rPr>
        <w:rFonts w:hint="default"/>
      </w:rPr>
    </w:lvl>
    <w:lvl w:ilvl="2">
      <w:start w:val="0"/>
      <w:numFmt w:val="bullet"/>
      <w:lvlText w:val="•"/>
      <w:lvlJc w:val="left"/>
      <w:pPr>
        <w:ind w:left="1201" w:hanging="203"/>
      </w:pPr>
      <w:rPr>
        <w:rFonts w:hint="default"/>
      </w:rPr>
    </w:lvl>
    <w:lvl w:ilvl="3">
      <w:start w:val="0"/>
      <w:numFmt w:val="bullet"/>
      <w:lvlText w:val="•"/>
      <w:lvlJc w:val="left"/>
      <w:pPr>
        <w:ind w:left="1742" w:hanging="203"/>
      </w:pPr>
      <w:rPr>
        <w:rFonts w:hint="default"/>
      </w:rPr>
    </w:lvl>
    <w:lvl w:ilvl="4">
      <w:start w:val="0"/>
      <w:numFmt w:val="bullet"/>
      <w:lvlText w:val="•"/>
      <w:lvlJc w:val="left"/>
      <w:pPr>
        <w:ind w:left="2282" w:hanging="203"/>
      </w:pPr>
      <w:rPr>
        <w:rFonts w:hint="default"/>
      </w:rPr>
    </w:lvl>
    <w:lvl w:ilvl="5">
      <w:start w:val="0"/>
      <w:numFmt w:val="bullet"/>
      <w:lvlText w:val="•"/>
      <w:lvlJc w:val="left"/>
      <w:pPr>
        <w:ind w:left="2823" w:hanging="203"/>
      </w:pPr>
      <w:rPr>
        <w:rFonts w:hint="default"/>
      </w:rPr>
    </w:lvl>
    <w:lvl w:ilvl="6">
      <w:start w:val="0"/>
      <w:numFmt w:val="bullet"/>
      <w:lvlText w:val="•"/>
      <w:lvlJc w:val="left"/>
      <w:pPr>
        <w:ind w:left="3364" w:hanging="203"/>
      </w:pPr>
      <w:rPr>
        <w:rFonts w:hint="default"/>
      </w:rPr>
    </w:lvl>
    <w:lvl w:ilvl="7">
      <w:start w:val="0"/>
      <w:numFmt w:val="bullet"/>
      <w:lvlText w:val="•"/>
      <w:lvlJc w:val="left"/>
      <w:pPr>
        <w:ind w:left="3904" w:hanging="203"/>
      </w:pPr>
      <w:rPr>
        <w:rFonts w:hint="default"/>
      </w:rPr>
    </w:lvl>
    <w:lvl w:ilvl="8">
      <w:start w:val="0"/>
      <w:numFmt w:val="bullet"/>
      <w:lvlText w:val="•"/>
      <w:lvlJc w:val="left"/>
      <w:pPr>
        <w:ind w:left="4445" w:hanging="203"/>
      </w:pPr>
      <w:rPr>
        <w:rFonts w:hint="default"/>
      </w:rPr>
    </w:lvl>
  </w:abstractNum>
  <w:abstractNum w:abstractNumId="77">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76">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1"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3"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75">
    <w:multiLevelType w:val="hybridMultilevel"/>
    <w:lvl w:ilvl="0">
      <w:start w:val="1"/>
      <w:numFmt w:val="lowerLetter"/>
      <w:lvlText w:val="%1)"/>
      <w:lvlJc w:val="left"/>
      <w:pPr>
        <w:ind w:left="113" w:hanging="21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18"/>
      </w:pPr>
      <w:rPr>
        <w:rFonts w:hint="default"/>
      </w:rPr>
    </w:lvl>
    <w:lvl w:ilvl="2">
      <w:start w:val="0"/>
      <w:numFmt w:val="bullet"/>
      <w:lvlText w:val="•"/>
      <w:lvlJc w:val="left"/>
      <w:pPr>
        <w:ind w:left="1218" w:hanging="218"/>
      </w:pPr>
      <w:rPr>
        <w:rFonts w:hint="default"/>
      </w:rPr>
    </w:lvl>
    <w:lvl w:ilvl="3">
      <w:start w:val="0"/>
      <w:numFmt w:val="bullet"/>
      <w:lvlText w:val="•"/>
      <w:lvlJc w:val="left"/>
      <w:pPr>
        <w:ind w:left="1767" w:hanging="218"/>
      </w:pPr>
      <w:rPr>
        <w:rFonts w:hint="default"/>
      </w:rPr>
    </w:lvl>
    <w:lvl w:ilvl="4">
      <w:start w:val="0"/>
      <w:numFmt w:val="bullet"/>
      <w:lvlText w:val="•"/>
      <w:lvlJc w:val="left"/>
      <w:pPr>
        <w:ind w:left="2316" w:hanging="218"/>
      </w:pPr>
      <w:rPr>
        <w:rFonts w:hint="default"/>
      </w:rPr>
    </w:lvl>
    <w:lvl w:ilvl="5">
      <w:start w:val="0"/>
      <w:numFmt w:val="bullet"/>
      <w:lvlText w:val="•"/>
      <w:lvlJc w:val="left"/>
      <w:pPr>
        <w:ind w:left="2866" w:hanging="218"/>
      </w:pPr>
      <w:rPr>
        <w:rFonts w:hint="default"/>
      </w:rPr>
    </w:lvl>
    <w:lvl w:ilvl="6">
      <w:start w:val="0"/>
      <w:numFmt w:val="bullet"/>
      <w:lvlText w:val="•"/>
      <w:lvlJc w:val="left"/>
      <w:pPr>
        <w:ind w:left="3415" w:hanging="218"/>
      </w:pPr>
      <w:rPr>
        <w:rFonts w:hint="default"/>
      </w:rPr>
    </w:lvl>
    <w:lvl w:ilvl="7">
      <w:start w:val="0"/>
      <w:numFmt w:val="bullet"/>
      <w:lvlText w:val="•"/>
      <w:lvlJc w:val="left"/>
      <w:pPr>
        <w:ind w:left="3964" w:hanging="218"/>
      </w:pPr>
      <w:rPr>
        <w:rFonts w:hint="default"/>
      </w:rPr>
    </w:lvl>
    <w:lvl w:ilvl="8">
      <w:start w:val="0"/>
      <w:numFmt w:val="bullet"/>
      <w:lvlText w:val="•"/>
      <w:lvlJc w:val="left"/>
      <w:pPr>
        <w:ind w:left="4513" w:hanging="218"/>
      </w:pPr>
      <w:rPr>
        <w:rFonts w:hint="default"/>
      </w:rPr>
    </w:lvl>
  </w:abstractNum>
  <w:abstractNum w:abstractNumId="74">
    <w:multiLevelType w:val="hybridMultilevel"/>
    <w:lvl w:ilvl="0">
      <w:start w:val="1"/>
      <w:numFmt w:val="lowerLetter"/>
      <w:lvlText w:val="%1)"/>
      <w:lvlJc w:val="left"/>
      <w:pPr>
        <w:ind w:left="113" w:hanging="22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26"/>
      </w:pPr>
      <w:rPr>
        <w:rFonts w:hint="default"/>
      </w:rPr>
    </w:lvl>
    <w:lvl w:ilvl="2">
      <w:start w:val="0"/>
      <w:numFmt w:val="bullet"/>
      <w:lvlText w:val="•"/>
      <w:lvlJc w:val="left"/>
      <w:pPr>
        <w:ind w:left="1218" w:hanging="226"/>
      </w:pPr>
      <w:rPr>
        <w:rFonts w:hint="default"/>
      </w:rPr>
    </w:lvl>
    <w:lvl w:ilvl="3">
      <w:start w:val="0"/>
      <w:numFmt w:val="bullet"/>
      <w:lvlText w:val="•"/>
      <w:lvlJc w:val="left"/>
      <w:pPr>
        <w:ind w:left="1767" w:hanging="226"/>
      </w:pPr>
      <w:rPr>
        <w:rFonts w:hint="default"/>
      </w:rPr>
    </w:lvl>
    <w:lvl w:ilvl="4">
      <w:start w:val="0"/>
      <w:numFmt w:val="bullet"/>
      <w:lvlText w:val="•"/>
      <w:lvlJc w:val="left"/>
      <w:pPr>
        <w:ind w:left="2316" w:hanging="226"/>
      </w:pPr>
      <w:rPr>
        <w:rFonts w:hint="default"/>
      </w:rPr>
    </w:lvl>
    <w:lvl w:ilvl="5">
      <w:start w:val="0"/>
      <w:numFmt w:val="bullet"/>
      <w:lvlText w:val="•"/>
      <w:lvlJc w:val="left"/>
      <w:pPr>
        <w:ind w:left="2866" w:hanging="226"/>
      </w:pPr>
      <w:rPr>
        <w:rFonts w:hint="default"/>
      </w:rPr>
    </w:lvl>
    <w:lvl w:ilvl="6">
      <w:start w:val="0"/>
      <w:numFmt w:val="bullet"/>
      <w:lvlText w:val="•"/>
      <w:lvlJc w:val="left"/>
      <w:pPr>
        <w:ind w:left="3415" w:hanging="226"/>
      </w:pPr>
      <w:rPr>
        <w:rFonts w:hint="default"/>
      </w:rPr>
    </w:lvl>
    <w:lvl w:ilvl="7">
      <w:start w:val="0"/>
      <w:numFmt w:val="bullet"/>
      <w:lvlText w:val="•"/>
      <w:lvlJc w:val="left"/>
      <w:pPr>
        <w:ind w:left="3964" w:hanging="226"/>
      </w:pPr>
      <w:rPr>
        <w:rFonts w:hint="default"/>
      </w:rPr>
    </w:lvl>
    <w:lvl w:ilvl="8">
      <w:start w:val="0"/>
      <w:numFmt w:val="bullet"/>
      <w:lvlText w:val="•"/>
      <w:lvlJc w:val="left"/>
      <w:pPr>
        <w:ind w:left="4513" w:hanging="226"/>
      </w:pPr>
      <w:rPr>
        <w:rFonts w:hint="default"/>
      </w:rPr>
    </w:lvl>
  </w:abstractNum>
  <w:abstractNum w:abstractNumId="73">
    <w:multiLevelType w:val="hybridMultilevel"/>
    <w:lvl w:ilvl="0">
      <w:start w:val="1"/>
      <w:numFmt w:val="lowerLetter"/>
      <w:lvlText w:val="%1)"/>
      <w:lvlJc w:val="left"/>
      <w:pPr>
        <w:ind w:left="113" w:hanging="21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14"/>
      </w:pPr>
      <w:rPr>
        <w:rFonts w:hint="default"/>
      </w:rPr>
    </w:lvl>
    <w:lvl w:ilvl="2">
      <w:start w:val="0"/>
      <w:numFmt w:val="bullet"/>
      <w:lvlText w:val="•"/>
      <w:lvlJc w:val="left"/>
      <w:pPr>
        <w:ind w:left="1201" w:hanging="214"/>
      </w:pPr>
      <w:rPr>
        <w:rFonts w:hint="default"/>
      </w:rPr>
    </w:lvl>
    <w:lvl w:ilvl="3">
      <w:start w:val="0"/>
      <w:numFmt w:val="bullet"/>
      <w:lvlText w:val="•"/>
      <w:lvlJc w:val="left"/>
      <w:pPr>
        <w:ind w:left="1741" w:hanging="214"/>
      </w:pPr>
      <w:rPr>
        <w:rFonts w:hint="default"/>
      </w:rPr>
    </w:lvl>
    <w:lvl w:ilvl="4">
      <w:start w:val="0"/>
      <w:numFmt w:val="bullet"/>
      <w:lvlText w:val="•"/>
      <w:lvlJc w:val="left"/>
      <w:pPr>
        <w:ind w:left="2282" w:hanging="214"/>
      </w:pPr>
      <w:rPr>
        <w:rFonts w:hint="default"/>
      </w:rPr>
    </w:lvl>
    <w:lvl w:ilvl="5">
      <w:start w:val="0"/>
      <w:numFmt w:val="bullet"/>
      <w:lvlText w:val="•"/>
      <w:lvlJc w:val="left"/>
      <w:pPr>
        <w:ind w:left="2823" w:hanging="214"/>
      </w:pPr>
      <w:rPr>
        <w:rFonts w:hint="default"/>
      </w:rPr>
    </w:lvl>
    <w:lvl w:ilvl="6">
      <w:start w:val="0"/>
      <w:numFmt w:val="bullet"/>
      <w:lvlText w:val="•"/>
      <w:lvlJc w:val="left"/>
      <w:pPr>
        <w:ind w:left="3363" w:hanging="214"/>
      </w:pPr>
      <w:rPr>
        <w:rFonts w:hint="default"/>
      </w:rPr>
    </w:lvl>
    <w:lvl w:ilvl="7">
      <w:start w:val="0"/>
      <w:numFmt w:val="bullet"/>
      <w:lvlText w:val="•"/>
      <w:lvlJc w:val="left"/>
      <w:pPr>
        <w:ind w:left="3904" w:hanging="214"/>
      </w:pPr>
      <w:rPr>
        <w:rFonts w:hint="default"/>
      </w:rPr>
    </w:lvl>
    <w:lvl w:ilvl="8">
      <w:start w:val="0"/>
      <w:numFmt w:val="bullet"/>
      <w:lvlText w:val="•"/>
      <w:lvlJc w:val="left"/>
      <w:pPr>
        <w:ind w:left="4445" w:hanging="214"/>
      </w:pPr>
      <w:rPr>
        <w:rFonts w:hint="default"/>
      </w:rPr>
    </w:lvl>
  </w:abstractNum>
  <w:abstractNum w:abstractNumId="72">
    <w:multiLevelType w:val="hybridMultilevel"/>
    <w:lvl w:ilvl="0">
      <w:start w:val="1"/>
      <w:numFmt w:val="lowerLetter"/>
      <w:lvlText w:val="%1)"/>
      <w:lvlJc w:val="left"/>
      <w:pPr>
        <w:ind w:left="113" w:hanging="18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6"/>
      </w:pPr>
      <w:rPr>
        <w:rFonts w:hint="default"/>
      </w:rPr>
    </w:lvl>
    <w:lvl w:ilvl="2">
      <w:start w:val="0"/>
      <w:numFmt w:val="bullet"/>
      <w:lvlText w:val="•"/>
      <w:lvlJc w:val="left"/>
      <w:pPr>
        <w:ind w:left="1201" w:hanging="186"/>
      </w:pPr>
      <w:rPr>
        <w:rFonts w:hint="default"/>
      </w:rPr>
    </w:lvl>
    <w:lvl w:ilvl="3">
      <w:start w:val="0"/>
      <w:numFmt w:val="bullet"/>
      <w:lvlText w:val="•"/>
      <w:lvlJc w:val="left"/>
      <w:pPr>
        <w:ind w:left="1741" w:hanging="186"/>
      </w:pPr>
      <w:rPr>
        <w:rFonts w:hint="default"/>
      </w:rPr>
    </w:lvl>
    <w:lvl w:ilvl="4">
      <w:start w:val="0"/>
      <w:numFmt w:val="bullet"/>
      <w:lvlText w:val="•"/>
      <w:lvlJc w:val="left"/>
      <w:pPr>
        <w:ind w:left="2282" w:hanging="186"/>
      </w:pPr>
      <w:rPr>
        <w:rFonts w:hint="default"/>
      </w:rPr>
    </w:lvl>
    <w:lvl w:ilvl="5">
      <w:start w:val="0"/>
      <w:numFmt w:val="bullet"/>
      <w:lvlText w:val="•"/>
      <w:lvlJc w:val="left"/>
      <w:pPr>
        <w:ind w:left="2823" w:hanging="186"/>
      </w:pPr>
      <w:rPr>
        <w:rFonts w:hint="default"/>
      </w:rPr>
    </w:lvl>
    <w:lvl w:ilvl="6">
      <w:start w:val="0"/>
      <w:numFmt w:val="bullet"/>
      <w:lvlText w:val="•"/>
      <w:lvlJc w:val="left"/>
      <w:pPr>
        <w:ind w:left="3363" w:hanging="186"/>
      </w:pPr>
      <w:rPr>
        <w:rFonts w:hint="default"/>
      </w:rPr>
    </w:lvl>
    <w:lvl w:ilvl="7">
      <w:start w:val="0"/>
      <w:numFmt w:val="bullet"/>
      <w:lvlText w:val="•"/>
      <w:lvlJc w:val="left"/>
      <w:pPr>
        <w:ind w:left="3904" w:hanging="186"/>
      </w:pPr>
      <w:rPr>
        <w:rFonts w:hint="default"/>
      </w:rPr>
    </w:lvl>
    <w:lvl w:ilvl="8">
      <w:start w:val="0"/>
      <w:numFmt w:val="bullet"/>
      <w:lvlText w:val="•"/>
      <w:lvlJc w:val="left"/>
      <w:pPr>
        <w:ind w:left="4445" w:hanging="186"/>
      </w:pPr>
      <w:rPr>
        <w:rFonts w:hint="default"/>
      </w:rPr>
    </w:lvl>
  </w:abstractNum>
  <w:abstractNum w:abstractNumId="71">
    <w:multiLevelType w:val="hybridMultilevel"/>
    <w:lvl w:ilvl="0">
      <w:start w:val="1"/>
      <w:numFmt w:val="lowerLetter"/>
      <w:lvlText w:val="%1)"/>
      <w:lvlJc w:val="left"/>
      <w:pPr>
        <w:ind w:left="113" w:hanging="23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31"/>
      </w:pPr>
      <w:rPr>
        <w:rFonts w:hint="default"/>
      </w:rPr>
    </w:lvl>
    <w:lvl w:ilvl="2">
      <w:start w:val="0"/>
      <w:numFmt w:val="bullet"/>
      <w:lvlText w:val="•"/>
      <w:lvlJc w:val="left"/>
      <w:pPr>
        <w:ind w:left="1218" w:hanging="231"/>
      </w:pPr>
      <w:rPr>
        <w:rFonts w:hint="default"/>
      </w:rPr>
    </w:lvl>
    <w:lvl w:ilvl="3">
      <w:start w:val="0"/>
      <w:numFmt w:val="bullet"/>
      <w:lvlText w:val="•"/>
      <w:lvlJc w:val="left"/>
      <w:pPr>
        <w:ind w:left="1767" w:hanging="231"/>
      </w:pPr>
      <w:rPr>
        <w:rFonts w:hint="default"/>
      </w:rPr>
    </w:lvl>
    <w:lvl w:ilvl="4">
      <w:start w:val="0"/>
      <w:numFmt w:val="bullet"/>
      <w:lvlText w:val="•"/>
      <w:lvlJc w:val="left"/>
      <w:pPr>
        <w:ind w:left="2316" w:hanging="231"/>
      </w:pPr>
      <w:rPr>
        <w:rFonts w:hint="default"/>
      </w:rPr>
    </w:lvl>
    <w:lvl w:ilvl="5">
      <w:start w:val="0"/>
      <w:numFmt w:val="bullet"/>
      <w:lvlText w:val="•"/>
      <w:lvlJc w:val="left"/>
      <w:pPr>
        <w:ind w:left="2866" w:hanging="231"/>
      </w:pPr>
      <w:rPr>
        <w:rFonts w:hint="default"/>
      </w:rPr>
    </w:lvl>
    <w:lvl w:ilvl="6">
      <w:start w:val="0"/>
      <w:numFmt w:val="bullet"/>
      <w:lvlText w:val="•"/>
      <w:lvlJc w:val="left"/>
      <w:pPr>
        <w:ind w:left="3415" w:hanging="231"/>
      </w:pPr>
      <w:rPr>
        <w:rFonts w:hint="default"/>
      </w:rPr>
    </w:lvl>
    <w:lvl w:ilvl="7">
      <w:start w:val="0"/>
      <w:numFmt w:val="bullet"/>
      <w:lvlText w:val="•"/>
      <w:lvlJc w:val="left"/>
      <w:pPr>
        <w:ind w:left="3964" w:hanging="231"/>
      </w:pPr>
      <w:rPr>
        <w:rFonts w:hint="default"/>
      </w:rPr>
    </w:lvl>
    <w:lvl w:ilvl="8">
      <w:start w:val="0"/>
      <w:numFmt w:val="bullet"/>
      <w:lvlText w:val="•"/>
      <w:lvlJc w:val="left"/>
      <w:pPr>
        <w:ind w:left="4513" w:hanging="231"/>
      </w:pPr>
      <w:rPr>
        <w:rFonts w:hint="default"/>
      </w:rPr>
    </w:lvl>
  </w:abstractNum>
  <w:abstractNum w:abstractNumId="70">
    <w:multiLevelType w:val="hybridMultilevel"/>
    <w:lvl w:ilvl="0">
      <w:start w:val="1"/>
      <w:numFmt w:val="lowerLetter"/>
      <w:lvlText w:val="%1)"/>
      <w:lvlJc w:val="left"/>
      <w:pPr>
        <w:ind w:left="113" w:hanging="19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7"/>
      </w:pPr>
      <w:rPr>
        <w:rFonts w:hint="default"/>
      </w:rPr>
    </w:lvl>
    <w:lvl w:ilvl="2">
      <w:start w:val="0"/>
      <w:numFmt w:val="bullet"/>
      <w:lvlText w:val="•"/>
      <w:lvlJc w:val="left"/>
      <w:pPr>
        <w:ind w:left="1201" w:hanging="197"/>
      </w:pPr>
      <w:rPr>
        <w:rFonts w:hint="default"/>
      </w:rPr>
    </w:lvl>
    <w:lvl w:ilvl="3">
      <w:start w:val="0"/>
      <w:numFmt w:val="bullet"/>
      <w:lvlText w:val="•"/>
      <w:lvlJc w:val="left"/>
      <w:pPr>
        <w:ind w:left="1741" w:hanging="197"/>
      </w:pPr>
      <w:rPr>
        <w:rFonts w:hint="default"/>
      </w:rPr>
    </w:lvl>
    <w:lvl w:ilvl="4">
      <w:start w:val="0"/>
      <w:numFmt w:val="bullet"/>
      <w:lvlText w:val="•"/>
      <w:lvlJc w:val="left"/>
      <w:pPr>
        <w:ind w:left="2282" w:hanging="197"/>
      </w:pPr>
      <w:rPr>
        <w:rFonts w:hint="default"/>
      </w:rPr>
    </w:lvl>
    <w:lvl w:ilvl="5">
      <w:start w:val="0"/>
      <w:numFmt w:val="bullet"/>
      <w:lvlText w:val="•"/>
      <w:lvlJc w:val="left"/>
      <w:pPr>
        <w:ind w:left="2823" w:hanging="197"/>
      </w:pPr>
      <w:rPr>
        <w:rFonts w:hint="default"/>
      </w:rPr>
    </w:lvl>
    <w:lvl w:ilvl="6">
      <w:start w:val="0"/>
      <w:numFmt w:val="bullet"/>
      <w:lvlText w:val="•"/>
      <w:lvlJc w:val="left"/>
      <w:pPr>
        <w:ind w:left="3363" w:hanging="197"/>
      </w:pPr>
      <w:rPr>
        <w:rFonts w:hint="default"/>
      </w:rPr>
    </w:lvl>
    <w:lvl w:ilvl="7">
      <w:start w:val="0"/>
      <w:numFmt w:val="bullet"/>
      <w:lvlText w:val="•"/>
      <w:lvlJc w:val="left"/>
      <w:pPr>
        <w:ind w:left="3904" w:hanging="197"/>
      </w:pPr>
      <w:rPr>
        <w:rFonts w:hint="default"/>
      </w:rPr>
    </w:lvl>
    <w:lvl w:ilvl="8">
      <w:start w:val="0"/>
      <w:numFmt w:val="bullet"/>
      <w:lvlText w:val="•"/>
      <w:lvlJc w:val="left"/>
      <w:pPr>
        <w:ind w:left="4445" w:hanging="197"/>
      </w:pPr>
      <w:rPr>
        <w:rFonts w:hint="default"/>
      </w:rPr>
    </w:lvl>
  </w:abstractNum>
  <w:abstractNum w:abstractNumId="69">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68">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2" w:hanging="190"/>
      </w:pPr>
      <w:rPr>
        <w:rFonts w:hint="default"/>
      </w:rPr>
    </w:lvl>
    <w:lvl w:ilvl="4">
      <w:start w:val="0"/>
      <w:numFmt w:val="bullet"/>
      <w:lvlText w:val="•"/>
      <w:lvlJc w:val="left"/>
      <w:pPr>
        <w:ind w:left="2283" w:hanging="190"/>
      </w:pPr>
      <w:rPr>
        <w:rFonts w:hint="default"/>
      </w:rPr>
    </w:lvl>
    <w:lvl w:ilvl="5">
      <w:start w:val="0"/>
      <w:numFmt w:val="bullet"/>
      <w:lvlText w:val="•"/>
      <w:lvlJc w:val="left"/>
      <w:pPr>
        <w:ind w:left="2824" w:hanging="190"/>
      </w:pPr>
      <w:rPr>
        <w:rFonts w:hint="default"/>
      </w:rPr>
    </w:lvl>
    <w:lvl w:ilvl="6">
      <w:start w:val="0"/>
      <w:numFmt w:val="bullet"/>
      <w:lvlText w:val="•"/>
      <w:lvlJc w:val="left"/>
      <w:pPr>
        <w:ind w:left="3365" w:hanging="190"/>
      </w:pPr>
      <w:rPr>
        <w:rFonts w:hint="default"/>
      </w:rPr>
    </w:lvl>
    <w:lvl w:ilvl="7">
      <w:start w:val="0"/>
      <w:numFmt w:val="bullet"/>
      <w:lvlText w:val="•"/>
      <w:lvlJc w:val="left"/>
      <w:pPr>
        <w:ind w:left="3906" w:hanging="190"/>
      </w:pPr>
      <w:rPr>
        <w:rFonts w:hint="default"/>
      </w:rPr>
    </w:lvl>
    <w:lvl w:ilvl="8">
      <w:start w:val="0"/>
      <w:numFmt w:val="bullet"/>
      <w:lvlText w:val="•"/>
      <w:lvlJc w:val="left"/>
      <w:pPr>
        <w:ind w:left="4447" w:hanging="190"/>
      </w:pPr>
      <w:rPr>
        <w:rFonts w:hint="default"/>
      </w:rPr>
    </w:lvl>
  </w:abstractNum>
  <w:abstractNum w:abstractNumId="67">
    <w:multiLevelType w:val="hybridMultilevel"/>
    <w:lvl w:ilvl="0">
      <w:start w:val="3"/>
      <w:numFmt w:val="lowerLetter"/>
      <w:lvlText w:val="%1)"/>
      <w:lvlJc w:val="left"/>
      <w:pPr>
        <w:ind w:left="113" w:hanging="180"/>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66">
    <w:multiLevelType w:val="hybridMultilevel"/>
    <w:lvl w:ilvl="0">
      <w:start w:val="2"/>
      <w:numFmt w:val="lowerLetter"/>
      <w:lvlText w:val="%1)"/>
      <w:lvlJc w:val="left"/>
      <w:pPr>
        <w:ind w:left="113" w:hanging="188"/>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188"/>
      </w:pPr>
      <w:rPr>
        <w:rFonts w:hint="default"/>
      </w:rPr>
    </w:lvl>
    <w:lvl w:ilvl="2">
      <w:start w:val="0"/>
      <w:numFmt w:val="bullet"/>
      <w:lvlText w:val="•"/>
      <w:lvlJc w:val="left"/>
      <w:pPr>
        <w:ind w:left="1218" w:hanging="188"/>
      </w:pPr>
      <w:rPr>
        <w:rFonts w:hint="default"/>
      </w:rPr>
    </w:lvl>
    <w:lvl w:ilvl="3">
      <w:start w:val="0"/>
      <w:numFmt w:val="bullet"/>
      <w:lvlText w:val="•"/>
      <w:lvlJc w:val="left"/>
      <w:pPr>
        <w:ind w:left="1767" w:hanging="188"/>
      </w:pPr>
      <w:rPr>
        <w:rFonts w:hint="default"/>
      </w:rPr>
    </w:lvl>
    <w:lvl w:ilvl="4">
      <w:start w:val="0"/>
      <w:numFmt w:val="bullet"/>
      <w:lvlText w:val="•"/>
      <w:lvlJc w:val="left"/>
      <w:pPr>
        <w:ind w:left="2316" w:hanging="188"/>
      </w:pPr>
      <w:rPr>
        <w:rFonts w:hint="default"/>
      </w:rPr>
    </w:lvl>
    <w:lvl w:ilvl="5">
      <w:start w:val="0"/>
      <w:numFmt w:val="bullet"/>
      <w:lvlText w:val="•"/>
      <w:lvlJc w:val="left"/>
      <w:pPr>
        <w:ind w:left="2866" w:hanging="188"/>
      </w:pPr>
      <w:rPr>
        <w:rFonts w:hint="default"/>
      </w:rPr>
    </w:lvl>
    <w:lvl w:ilvl="6">
      <w:start w:val="0"/>
      <w:numFmt w:val="bullet"/>
      <w:lvlText w:val="•"/>
      <w:lvlJc w:val="left"/>
      <w:pPr>
        <w:ind w:left="3415" w:hanging="188"/>
      </w:pPr>
      <w:rPr>
        <w:rFonts w:hint="default"/>
      </w:rPr>
    </w:lvl>
    <w:lvl w:ilvl="7">
      <w:start w:val="0"/>
      <w:numFmt w:val="bullet"/>
      <w:lvlText w:val="•"/>
      <w:lvlJc w:val="left"/>
      <w:pPr>
        <w:ind w:left="3964" w:hanging="188"/>
      </w:pPr>
      <w:rPr>
        <w:rFonts w:hint="default"/>
      </w:rPr>
    </w:lvl>
    <w:lvl w:ilvl="8">
      <w:start w:val="0"/>
      <w:numFmt w:val="bullet"/>
      <w:lvlText w:val="•"/>
      <w:lvlJc w:val="left"/>
      <w:pPr>
        <w:ind w:left="4513" w:hanging="188"/>
      </w:pPr>
      <w:rPr>
        <w:rFonts w:hint="default"/>
      </w:rPr>
    </w:lvl>
  </w:abstractNum>
  <w:abstractNum w:abstractNumId="65">
    <w:multiLevelType w:val="hybridMultilevel"/>
    <w:lvl w:ilvl="0">
      <w:start w:val="1"/>
      <w:numFmt w:val="lowerLetter"/>
      <w:lvlText w:val="%1)"/>
      <w:lvlJc w:val="left"/>
      <w:pPr>
        <w:ind w:left="113" w:hanging="18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8"/>
      </w:pPr>
      <w:rPr>
        <w:rFonts w:hint="default"/>
      </w:rPr>
    </w:lvl>
    <w:lvl w:ilvl="2">
      <w:start w:val="0"/>
      <w:numFmt w:val="bullet"/>
      <w:lvlText w:val="•"/>
      <w:lvlJc w:val="left"/>
      <w:pPr>
        <w:ind w:left="1218" w:hanging="188"/>
      </w:pPr>
      <w:rPr>
        <w:rFonts w:hint="default"/>
      </w:rPr>
    </w:lvl>
    <w:lvl w:ilvl="3">
      <w:start w:val="0"/>
      <w:numFmt w:val="bullet"/>
      <w:lvlText w:val="•"/>
      <w:lvlJc w:val="left"/>
      <w:pPr>
        <w:ind w:left="1767" w:hanging="188"/>
      </w:pPr>
      <w:rPr>
        <w:rFonts w:hint="default"/>
      </w:rPr>
    </w:lvl>
    <w:lvl w:ilvl="4">
      <w:start w:val="0"/>
      <w:numFmt w:val="bullet"/>
      <w:lvlText w:val="•"/>
      <w:lvlJc w:val="left"/>
      <w:pPr>
        <w:ind w:left="2316" w:hanging="188"/>
      </w:pPr>
      <w:rPr>
        <w:rFonts w:hint="default"/>
      </w:rPr>
    </w:lvl>
    <w:lvl w:ilvl="5">
      <w:start w:val="0"/>
      <w:numFmt w:val="bullet"/>
      <w:lvlText w:val="•"/>
      <w:lvlJc w:val="left"/>
      <w:pPr>
        <w:ind w:left="2866" w:hanging="188"/>
      </w:pPr>
      <w:rPr>
        <w:rFonts w:hint="default"/>
      </w:rPr>
    </w:lvl>
    <w:lvl w:ilvl="6">
      <w:start w:val="0"/>
      <w:numFmt w:val="bullet"/>
      <w:lvlText w:val="•"/>
      <w:lvlJc w:val="left"/>
      <w:pPr>
        <w:ind w:left="3415" w:hanging="188"/>
      </w:pPr>
      <w:rPr>
        <w:rFonts w:hint="default"/>
      </w:rPr>
    </w:lvl>
    <w:lvl w:ilvl="7">
      <w:start w:val="0"/>
      <w:numFmt w:val="bullet"/>
      <w:lvlText w:val="•"/>
      <w:lvlJc w:val="left"/>
      <w:pPr>
        <w:ind w:left="3964" w:hanging="188"/>
      </w:pPr>
      <w:rPr>
        <w:rFonts w:hint="default"/>
      </w:rPr>
    </w:lvl>
    <w:lvl w:ilvl="8">
      <w:start w:val="0"/>
      <w:numFmt w:val="bullet"/>
      <w:lvlText w:val="•"/>
      <w:lvlJc w:val="left"/>
      <w:pPr>
        <w:ind w:left="4513" w:hanging="188"/>
      </w:pPr>
      <w:rPr>
        <w:rFonts w:hint="default"/>
      </w:rPr>
    </w:lvl>
  </w:abstractNum>
  <w:abstractNum w:abstractNumId="64">
    <w:multiLevelType w:val="hybridMultilevel"/>
    <w:lvl w:ilvl="0">
      <w:start w:val="1"/>
      <w:numFmt w:val="lowerLetter"/>
      <w:lvlText w:val="%1)"/>
      <w:lvlJc w:val="left"/>
      <w:pPr>
        <w:ind w:left="113" w:hanging="23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32"/>
      </w:pPr>
      <w:rPr>
        <w:rFonts w:hint="default"/>
      </w:rPr>
    </w:lvl>
    <w:lvl w:ilvl="2">
      <w:start w:val="0"/>
      <w:numFmt w:val="bullet"/>
      <w:lvlText w:val="•"/>
      <w:lvlJc w:val="left"/>
      <w:pPr>
        <w:ind w:left="1218" w:hanging="232"/>
      </w:pPr>
      <w:rPr>
        <w:rFonts w:hint="default"/>
      </w:rPr>
    </w:lvl>
    <w:lvl w:ilvl="3">
      <w:start w:val="0"/>
      <w:numFmt w:val="bullet"/>
      <w:lvlText w:val="•"/>
      <w:lvlJc w:val="left"/>
      <w:pPr>
        <w:ind w:left="1767" w:hanging="232"/>
      </w:pPr>
      <w:rPr>
        <w:rFonts w:hint="default"/>
      </w:rPr>
    </w:lvl>
    <w:lvl w:ilvl="4">
      <w:start w:val="0"/>
      <w:numFmt w:val="bullet"/>
      <w:lvlText w:val="•"/>
      <w:lvlJc w:val="left"/>
      <w:pPr>
        <w:ind w:left="2316" w:hanging="232"/>
      </w:pPr>
      <w:rPr>
        <w:rFonts w:hint="default"/>
      </w:rPr>
    </w:lvl>
    <w:lvl w:ilvl="5">
      <w:start w:val="0"/>
      <w:numFmt w:val="bullet"/>
      <w:lvlText w:val="•"/>
      <w:lvlJc w:val="left"/>
      <w:pPr>
        <w:ind w:left="2866" w:hanging="232"/>
      </w:pPr>
      <w:rPr>
        <w:rFonts w:hint="default"/>
      </w:rPr>
    </w:lvl>
    <w:lvl w:ilvl="6">
      <w:start w:val="0"/>
      <w:numFmt w:val="bullet"/>
      <w:lvlText w:val="•"/>
      <w:lvlJc w:val="left"/>
      <w:pPr>
        <w:ind w:left="3415" w:hanging="232"/>
      </w:pPr>
      <w:rPr>
        <w:rFonts w:hint="default"/>
      </w:rPr>
    </w:lvl>
    <w:lvl w:ilvl="7">
      <w:start w:val="0"/>
      <w:numFmt w:val="bullet"/>
      <w:lvlText w:val="•"/>
      <w:lvlJc w:val="left"/>
      <w:pPr>
        <w:ind w:left="3964" w:hanging="232"/>
      </w:pPr>
      <w:rPr>
        <w:rFonts w:hint="default"/>
      </w:rPr>
    </w:lvl>
    <w:lvl w:ilvl="8">
      <w:start w:val="0"/>
      <w:numFmt w:val="bullet"/>
      <w:lvlText w:val="•"/>
      <w:lvlJc w:val="left"/>
      <w:pPr>
        <w:ind w:left="4513" w:hanging="232"/>
      </w:pPr>
      <w:rPr>
        <w:rFonts w:hint="default"/>
      </w:rPr>
    </w:lvl>
  </w:abstractNum>
  <w:abstractNum w:abstractNumId="63">
    <w:multiLevelType w:val="hybridMultilevel"/>
    <w:lvl w:ilvl="0">
      <w:start w:val="1"/>
      <w:numFmt w:val="lowerLetter"/>
      <w:lvlText w:val="%1)"/>
      <w:lvlJc w:val="left"/>
      <w:pPr>
        <w:ind w:left="113" w:hanging="20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07"/>
      </w:pPr>
      <w:rPr>
        <w:rFonts w:hint="default"/>
      </w:rPr>
    </w:lvl>
    <w:lvl w:ilvl="2">
      <w:start w:val="0"/>
      <w:numFmt w:val="bullet"/>
      <w:lvlText w:val="•"/>
      <w:lvlJc w:val="left"/>
      <w:pPr>
        <w:ind w:left="1201" w:hanging="207"/>
      </w:pPr>
      <w:rPr>
        <w:rFonts w:hint="default"/>
      </w:rPr>
    </w:lvl>
    <w:lvl w:ilvl="3">
      <w:start w:val="0"/>
      <w:numFmt w:val="bullet"/>
      <w:lvlText w:val="•"/>
      <w:lvlJc w:val="left"/>
      <w:pPr>
        <w:ind w:left="1742" w:hanging="207"/>
      </w:pPr>
      <w:rPr>
        <w:rFonts w:hint="default"/>
      </w:rPr>
    </w:lvl>
    <w:lvl w:ilvl="4">
      <w:start w:val="0"/>
      <w:numFmt w:val="bullet"/>
      <w:lvlText w:val="•"/>
      <w:lvlJc w:val="left"/>
      <w:pPr>
        <w:ind w:left="2282" w:hanging="207"/>
      </w:pPr>
      <w:rPr>
        <w:rFonts w:hint="default"/>
      </w:rPr>
    </w:lvl>
    <w:lvl w:ilvl="5">
      <w:start w:val="0"/>
      <w:numFmt w:val="bullet"/>
      <w:lvlText w:val="•"/>
      <w:lvlJc w:val="left"/>
      <w:pPr>
        <w:ind w:left="2823" w:hanging="207"/>
      </w:pPr>
      <w:rPr>
        <w:rFonts w:hint="default"/>
      </w:rPr>
    </w:lvl>
    <w:lvl w:ilvl="6">
      <w:start w:val="0"/>
      <w:numFmt w:val="bullet"/>
      <w:lvlText w:val="•"/>
      <w:lvlJc w:val="left"/>
      <w:pPr>
        <w:ind w:left="3364" w:hanging="207"/>
      </w:pPr>
      <w:rPr>
        <w:rFonts w:hint="default"/>
      </w:rPr>
    </w:lvl>
    <w:lvl w:ilvl="7">
      <w:start w:val="0"/>
      <w:numFmt w:val="bullet"/>
      <w:lvlText w:val="•"/>
      <w:lvlJc w:val="left"/>
      <w:pPr>
        <w:ind w:left="3904" w:hanging="207"/>
      </w:pPr>
      <w:rPr>
        <w:rFonts w:hint="default"/>
      </w:rPr>
    </w:lvl>
    <w:lvl w:ilvl="8">
      <w:start w:val="0"/>
      <w:numFmt w:val="bullet"/>
      <w:lvlText w:val="•"/>
      <w:lvlJc w:val="left"/>
      <w:pPr>
        <w:ind w:left="4445" w:hanging="207"/>
      </w:pPr>
      <w:rPr>
        <w:rFonts w:hint="default"/>
      </w:rPr>
    </w:lvl>
  </w:abstractNum>
  <w:abstractNum w:abstractNumId="62">
    <w:multiLevelType w:val="hybridMultilevel"/>
    <w:lvl w:ilvl="0">
      <w:start w:val="1"/>
      <w:numFmt w:val="lowerLetter"/>
      <w:lvlText w:val="%1)"/>
      <w:lvlJc w:val="left"/>
      <w:pPr>
        <w:ind w:left="113" w:hanging="17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1"/>
      </w:pPr>
      <w:rPr>
        <w:rFonts w:hint="default"/>
      </w:rPr>
    </w:lvl>
    <w:lvl w:ilvl="2">
      <w:start w:val="0"/>
      <w:numFmt w:val="bullet"/>
      <w:lvlText w:val="•"/>
      <w:lvlJc w:val="left"/>
      <w:pPr>
        <w:ind w:left="1201" w:hanging="171"/>
      </w:pPr>
      <w:rPr>
        <w:rFonts w:hint="default"/>
      </w:rPr>
    </w:lvl>
    <w:lvl w:ilvl="3">
      <w:start w:val="0"/>
      <w:numFmt w:val="bullet"/>
      <w:lvlText w:val="•"/>
      <w:lvlJc w:val="left"/>
      <w:pPr>
        <w:ind w:left="1742" w:hanging="171"/>
      </w:pPr>
      <w:rPr>
        <w:rFonts w:hint="default"/>
      </w:rPr>
    </w:lvl>
    <w:lvl w:ilvl="4">
      <w:start w:val="0"/>
      <w:numFmt w:val="bullet"/>
      <w:lvlText w:val="•"/>
      <w:lvlJc w:val="left"/>
      <w:pPr>
        <w:ind w:left="2282" w:hanging="171"/>
      </w:pPr>
      <w:rPr>
        <w:rFonts w:hint="default"/>
      </w:rPr>
    </w:lvl>
    <w:lvl w:ilvl="5">
      <w:start w:val="0"/>
      <w:numFmt w:val="bullet"/>
      <w:lvlText w:val="•"/>
      <w:lvlJc w:val="left"/>
      <w:pPr>
        <w:ind w:left="2823" w:hanging="171"/>
      </w:pPr>
      <w:rPr>
        <w:rFonts w:hint="default"/>
      </w:rPr>
    </w:lvl>
    <w:lvl w:ilvl="6">
      <w:start w:val="0"/>
      <w:numFmt w:val="bullet"/>
      <w:lvlText w:val="•"/>
      <w:lvlJc w:val="left"/>
      <w:pPr>
        <w:ind w:left="3364" w:hanging="171"/>
      </w:pPr>
      <w:rPr>
        <w:rFonts w:hint="default"/>
      </w:rPr>
    </w:lvl>
    <w:lvl w:ilvl="7">
      <w:start w:val="0"/>
      <w:numFmt w:val="bullet"/>
      <w:lvlText w:val="•"/>
      <w:lvlJc w:val="left"/>
      <w:pPr>
        <w:ind w:left="3904" w:hanging="171"/>
      </w:pPr>
      <w:rPr>
        <w:rFonts w:hint="default"/>
      </w:rPr>
    </w:lvl>
    <w:lvl w:ilvl="8">
      <w:start w:val="0"/>
      <w:numFmt w:val="bullet"/>
      <w:lvlText w:val="•"/>
      <w:lvlJc w:val="left"/>
      <w:pPr>
        <w:ind w:left="4445" w:hanging="171"/>
      </w:pPr>
      <w:rPr>
        <w:rFonts w:hint="default"/>
      </w:rPr>
    </w:lvl>
  </w:abstractNum>
  <w:abstractNum w:abstractNumId="61">
    <w:multiLevelType w:val="hybridMultilevel"/>
    <w:lvl w:ilvl="0">
      <w:start w:val="1"/>
      <w:numFmt w:val="lowerLetter"/>
      <w:lvlText w:val="%1)"/>
      <w:lvlJc w:val="left"/>
      <w:pPr>
        <w:ind w:left="113" w:hanging="18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5"/>
      </w:pPr>
      <w:rPr>
        <w:rFonts w:hint="default"/>
      </w:rPr>
    </w:lvl>
    <w:lvl w:ilvl="2">
      <w:start w:val="0"/>
      <w:numFmt w:val="bullet"/>
      <w:lvlText w:val="•"/>
      <w:lvlJc w:val="left"/>
      <w:pPr>
        <w:ind w:left="1218" w:hanging="185"/>
      </w:pPr>
      <w:rPr>
        <w:rFonts w:hint="default"/>
      </w:rPr>
    </w:lvl>
    <w:lvl w:ilvl="3">
      <w:start w:val="0"/>
      <w:numFmt w:val="bullet"/>
      <w:lvlText w:val="•"/>
      <w:lvlJc w:val="left"/>
      <w:pPr>
        <w:ind w:left="1767" w:hanging="185"/>
      </w:pPr>
      <w:rPr>
        <w:rFonts w:hint="default"/>
      </w:rPr>
    </w:lvl>
    <w:lvl w:ilvl="4">
      <w:start w:val="0"/>
      <w:numFmt w:val="bullet"/>
      <w:lvlText w:val="•"/>
      <w:lvlJc w:val="left"/>
      <w:pPr>
        <w:ind w:left="2316" w:hanging="185"/>
      </w:pPr>
      <w:rPr>
        <w:rFonts w:hint="default"/>
      </w:rPr>
    </w:lvl>
    <w:lvl w:ilvl="5">
      <w:start w:val="0"/>
      <w:numFmt w:val="bullet"/>
      <w:lvlText w:val="•"/>
      <w:lvlJc w:val="left"/>
      <w:pPr>
        <w:ind w:left="2866" w:hanging="185"/>
      </w:pPr>
      <w:rPr>
        <w:rFonts w:hint="default"/>
      </w:rPr>
    </w:lvl>
    <w:lvl w:ilvl="6">
      <w:start w:val="0"/>
      <w:numFmt w:val="bullet"/>
      <w:lvlText w:val="•"/>
      <w:lvlJc w:val="left"/>
      <w:pPr>
        <w:ind w:left="3415" w:hanging="185"/>
      </w:pPr>
      <w:rPr>
        <w:rFonts w:hint="default"/>
      </w:rPr>
    </w:lvl>
    <w:lvl w:ilvl="7">
      <w:start w:val="0"/>
      <w:numFmt w:val="bullet"/>
      <w:lvlText w:val="•"/>
      <w:lvlJc w:val="left"/>
      <w:pPr>
        <w:ind w:left="3964" w:hanging="185"/>
      </w:pPr>
      <w:rPr>
        <w:rFonts w:hint="default"/>
      </w:rPr>
    </w:lvl>
    <w:lvl w:ilvl="8">
      <w:start w:val="0"/>
      <w:numFmt w:val="bullet"/>
      <w:lvlText w:val="•"/>
      <w:lvlJc w:val="left"/>
      <w:pPr>
        <w:ind w:left="4513" w:hanging="185"/>
      </w:pPr>
      <w:rPr>
        <w:rFonts w:hint="default"/>
      </w:rPr>
    </w:lvl>
  </w:abstractNum>
  <w:abstractNum w:abstractNumId="60">
    <w:multiLevelType w:val="hybridMultilevel"/>
    <w:lvl w:ilvl="0">
      <w:start w:val="1"/>
      <w:numFmt w:val="lowerLetter"/>
      <w:lvlText w:val="%1)"/>
      <w:lvlJc w:val="left"/>
      <w:pPr>
        <w:ind w:left="113" w:hanging="18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2"/>
      </w:pPr>
      <w:rPr>
        <w:rFonts w:hint="default"/>
      </w:rPr>
    </w:lvl>
    <w:lvl w:ilvl="2">
      <w:start w:val="0"/>
      <w:numFmt w:val="bullet"/>
      <w:lvlText w:val="•"/>
      <w:lvlJc w:val="left"/>
      <w:pPr>
        <w:ind w:left="1201" w:hanging="182"/>
      </w:pPr>
      <w:rPr>
        <w:rFonts w:hint="default"/>
      </w:rPr>
    </w:lvl>
    <w:lvl w:ilvl="3">
      <w:start w:val="0"/>
      <w:numFmt w:val="bullet"/>
      <w:lvlText w:val="•"/>
      <w:lvlJc w:val="left"/>
      <w:pPr>
        <w:ind w:left="1741" w:hanging="182"/>
      </w:pPr>
      <w:rPr>
        <w:rFonts w:hint="default"/>
      </w:rPr>
    </w:lvl>
    <w:lvl w:ilvl="4">
      <w:start w:val="0"/>
      <w:numFmt w:val="bullet"/>
      <w:lvlText w:val="•"/>
      <w:lvlJc w:val="left"/>
      <w:pPr>
        <w:ind w:left="2282" w:hanging="182"/>
      </w:pPr>
      <w:rPr>
        <w:rFonts w:hint="default"/>
      </w:rPr>
    </w:lvl>
    <w:lvl w:ilvl="5">
      <w:start w:val="0"/>
      <w:numFmt w:val="bullet"/>
      <w:lvlText w:val="•"/>
      <w:lvlJc w:val="left"/>
      <w:pPr>
        <w:ind w:left="2823" w:hanging="182"/>
      </w:pPr>
      <w:rPr>
        <w:rFonts w:hint="default"/>
      </w:rPr>
    </w:lvl>
    <w:lvl w:ilvl="6">
      <w:start w:val="0"/>
      <w:numFmt w:val="bullet"/>
      <w:lvlText w:val="•"/>
      <w:lvlJc w:val="left"/>
      <w:pPr>
        <w:ind w:left="3363" w:hanging="182"/>
      </w:pPr>
      <w:rPr>
        <w:rFonts w:hint="default"/>
      </w:rPr>
    </w:lvl>
    <w:lvl w:ilvl="7">
      <w:start w:val="0"/>
      <w:numFmt w:val="bullet"/>
      <w:lvlText w:val="•"/>
      <w:lvlJc w:val="left"/>
      <w:pPr>
        <w:ind w:left="3904" w:hanging="182"/>
      </w:pPr>
      <w:rPr>
        <w:rFonts w:hint="default"/>
      </w:rPr>
    </w:lvl>
    <w:lvl w:ilvl="8">
      <w:start w:val="0"/>
      <w:numFmt w:val="bullet"/>
      <w:lvlText w:val="•"/>
      <w:lvlJc w:val="left"/>
      <w:pPr>
        <w:ind w:left="4445" w:hanging="182"/>
      </w:pPr>
      <w:rPr>
        <w:rFonts w:hint="default"/>
      </w:rPr>
    </w:lvl>
  </w:abstractNum>
  <w:abstractNum w:abstractNumId="59">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58">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1"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3"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57">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56">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55">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1"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3"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54">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1"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3"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53">
    <w:multiLevelType w:val="hybridMultilevel"/>
    <w:lvl w:ilvl="0">
      <w:start w:val="1"/>
      <w:numFmt w:val="lowerLetter"/>
      <w:lvlText w:val="%1)"/>
      <w:lvlJc w:val="left"/>
      <w:pPr>
        <w:ind w:left="113" w:hanging="19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2"/>
      </w:pPr>
      <w:rPr>
        <w:rFonts w:hint="default"/>
      </w:rPr>
    </w:lvl>
    <w:lvl w:ilvl="2">
      <w:start w:val="0"/>
      <w:numFmt w:val="bullet"/>
      <w:lvlText w:val="•"/>
      <w:lvlJc w:val="left"/>
      <w:pPr>
        <w:ind w:left="1218" w:hanging="192"/>
      </w:pPr>
      <w:rPr>
        <w:rFonts w:hint="default"/>
      </w:rPr>
    </w:lvl>
    <w:lvl w:ilvl="3">
      <w:start w:val="0"/>
      <w:numFmt w:val="bullet"/>
      <w:lvlText w:val="•"/>
      <w:lvlJc w:val="left"/>
      <w:pPr>
        <w:ind w:left="1767" w:hanging="192"/>
      </w:pPr>
      <w:rPr>
        <w:rFonts w:hint="default"/>
      </w:rPr>
    </w:lvl>
    <w:lvl w:ilvl="4">
      <w:start w:val="0"/>
      <w:numFmt w:val="bullet"/>
      <w:lvlText w:val="•"/>
      <w:lvlJc w:val="left"/>
      <w:pPr>
        <w:ind w:left="2316" w:hanging="192"/>
      </w:pPr>
      <w:rPr>
        <w:rFonts w:hint="default"/>
      </w:rPr>
    </w:lvl>
    <w:lvl w:ilvl="5">
      <w:start w:val="0"/>
      <w:numFmt w:val="bullet"/>
      <w:lvlText w:val="•"/>
      <w:lvlJc w:val="left"/>
      <w:pPr>
        <w:ind w:left="2866" w:hanging="192"/>
      </w:pPr>
      <w:rPr>
        <w:rFonts w:hint="default"/>
      </w:rPr>
    </w:lvl>
    <w:lvl w:ilvl="6">
      <w:start w:val="0"/>
      <w:numFmt w:val="bullet"/>
      <w:lvlText w:val="•"/>
      <w:lvlJc w:val="left"/>
      <w:pPr>
        <w:ind w:left="3415" w:hanging="192"/>
      </w:pPr>
      <w:rPr>
        <w:rFonts w:hint="default"/>
      </w:rPr>
    </w:lvl>
    <w:lvl w:ilvl="7">
      <w:start w:val="0"/>
      <w:numFmt w:val="bullet"/>
      <w:lvlText w:val="•"/>
      <w:lvlJc w:val="left"/>
      <w:pPr>
        <w:ind w:left="3964" w:hanging="192"/>
      </w:pPr>
      <w:rPr>
        <w:rFonts w:hint="default"/>
      </w:rPr>
    </w:lvl>
    <w:lvl w:ilvl="8">
      <w:start w:val="0"/>
      <w:numFmt w:val="bullet"/>
      <w:lvlText w:val="•"/>
      <w:lvlJc w:val="left"/>
      <w:pPr>
        <w:ind w:left="4513" w:hanging="192"/>
      </w:pPr>
      <w:rPr>
        <w:rFonts w:hint="default"/>
      </w:rPr>
    </w:lvl>
  </w:abstractNum>
  <w:abstractNum w:abstractNumId="52">
    <w:multiLevelType w:val="hybridMultilevel"/>
    <w:lvl w:ilvl="0">
      <w:start w:val="1"/>
      <w:numFmt w:val="lowerLetter"/>
      <w:lvlText w:val="%1)"/>
      <w:lvlJc w:val="left"/>
      <w:pPr>
        <w:ind w:left="113" w:hanging="17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2"/>
      </w:pPr>
      <w:rPr>
        <w:rFonts w:hint="default"/>
      </w:rPr>
    </w:lvl>
    <w:lvl w:ilvl="2">
      <w:start w:val="0"/>
      <w:numFmt w:val="bullet"/>
      <w:lvlText w:val="•"/>
      <w:lvlJc w:val="left"/>
      <w:pPr>
        <w:ind w:left="1218" w:hanging="172"/>
      </w:pPr>
      <w:rPr>
        <w:rFonts w:hint="default"/>
      </w:rPr>
    </w:lvl>
    <w:lvl w:ilvl="3">
      <w:start w:val="0"/>
      <w:numFmt w:val="bullet"/>
      <w:lvlText w:val="•"/>
      <w:lvlJc w:val="left"/>
      <w:pPr>
        <w:ind w:left="1767" w:hanging="172"/>
      </w:pPr>
      <w:rPr>
        <w:rFonts w:hint="default"/>
      </w:rPr>
    </w:lvl>
    <w:lvl w:ilvl="4">
      <w:start w:val="0"/>
      <w:numFmt w:val="bullet"/>
      <w:lvlText w:val="•"/>
      <w:lvlJc w:val="left"/>
      <w:pPr>
        <w:ind w:left="2316" w:hanging="172"/>
      </w:pPr>
      <w:rPr>
        <w:rFonts w:hint="default"/>
      </w:rPr>
    </w:lvl>
    <w:lvl w:ilvl="5">
      <w:start w:val="0"/>
      <w:numFmt w:val="bullet"/>
      <w:lvlText w:val="•"/>
      <w:lvlJc w:val="left"/>
      <w:pPr>
        <w:ind w:left="2866" w:hanging="172"/>
      </w:pPr>
      <w:rPr>
        <w:rFonts w:hint="default"/>
      </w:rPr>
    </w:lvl>
    <w:lvl w:ilvl="6">
      <w:start w:val="0"/>
      <w:numFmt w:val="bullet"/>
      <w:lvlText w:val="•"/>
      <w:lvlJc w:val="left"/>
      <w:pPr>
        <w:ind w:left="3415" w:hanging="172"/>
      </w:pPr>
      <w:rPr>
        <w:rFonts w:hint="default"/>
      </w:rPr>
    </w:lvl>
    <w:lvl w:ilvl="7">
      <w:start w:val="0"/>
      <w:numFmt w:val="bullet"/>
      <w:lvlText w:val="•"/>
      <w:lvlJc w:val="left"/>
      <w:pPr>
        <w:ind w:left="3964" w:hanging="172"/>
      </w:pPr>
      <w:rPr>
        <w:rFonts w:hint="default"/>
      </w:rPr>
    </w:lvl>
    <w:lvl w:ilvl="8">
      <w:start w:val="0"/>
      <w:numFmt w:val="bullet"/>
      <w:lvlText w:val="•"/>
      <w:lvlJc w:val="left"/>
      <w:pPr>
        <w:ind w:left="4513" w:hanging="172"/>
      </w:pPr>
      <w:rPr>
        <w:rFonts w:hint="default"/>
      </w:rPr>
    </w:lvl>
  </w:abstractNum>
  <w:abstractNum w:abstractNumId="51">
    <w:multiLevelType w:val="hybridMultilevel"/>
    <w:lvl w:ilvl="0">
      <w:start w:val="1"/>
      <w:numFmt w:val="lowerLetter"/>
      <w:lvlText w:val="%1)"/>
      <w:lvlJc w:val="left"/>
      <w:pPr>
        <w:ind w:left="113" w:hanging="20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08"/>
      </w:pPr>
      <w:rPr>
        <w:rFonts w:hint="default"/>
      </w:rPr>
    </w:lvl>
    <w:lvl w:ilvl="2">
      <w:start w:val="0"/>
      <w:numFmt w:val="bullet"/>
      <w:lvlText w:val="•"/>
      <w:lvlJc w:val="left"/>
      <w:pPr>
        <w:ind w:left="1201" w:hanging="208"/>
      </w:pPr>
      <w:rPr>
        <w:rFonts w:hint="default"/>
      </w:rPr>
    </w:lvl>
    <w:lvl w:ilvl="3">
      <w:start w:val="0"/>
      <w:numFmt w:val="bullet"/>
      <w:lvlText w:val="•"/>
      <w:lvlJc w:val="left"/>
      <w:pPr>
        <w:ind w:left="1741" w:hanging="208"/>
      </w:pPr>
      <w:rPr>
        <w:rFonts w:hint="default"/>
      </w:rPr>
    </w:lvl>
    <w:lvl w:ilvl="4">
      <w:start w:val="0"/>
      <w:numFmt w:val="bullet"/>
      <w:lvlText w:val="•"/>
      <w:lvlJc w:val="left"/>
      <w:pPr>
        <w:ind w:left="2282" w:hanging="208"/>
      </w:pPr>
      <w:rPr>
        <w:rFonts w:hint="default"/>
      </w:rPr>
    </w:lvl>
    <w:lvl w:ilvl="5">
      <w:start w:val="0"/>
      <w:numFmt w:val="bullet"/>
      <w:lvlText w:val="•"/>
      <w:lvlJc w:val="left"/>
      <w:pPr>
        <w:ind w:left="2823" w:hanging="208"/>
      </w:pPr>
      <w:rPr>
        <w:rFonts w:hint="default"/>
      </w:rPr>
    </w:lvl>
    <w:lvl w:ilvl="6">
      <w:start w:val="0"/>
      <w:numFmt w:val="bullet"/>
      <w:lvlText w:val="•"/>
      <w:lvlJc w:val="left"/>
      <w:pPr>
        <w:ind w:left="3363" w:hanging="208"/>
      </w:pPr>
      <w:rPr>
        <w:rFonts w:hint="default"/>
      </w:rPr>
    </w:lvl>
    <w:lvl w:ilvl="7">
      <w:start w:val="0"/>
      <w:numFmt w:val="bullet"/>
      <w:lvlText w:val="•"/>
      <w:lvlJc w:val="left"/>
      <w:pPr>
        <w:ind w:left="3904" w:hanging="208"/>
      </w:pPr>
      <w:rPr>
        <w:rFonts w:hint="default"/>
      </w:rPr>
    </w:lvl>
    <w:lvl w:ilvl="8">
      <w:start w:val="0"/>
      <w:numFmt w:val="bullet"/>
      <w:lvlText w:val="•"/>
      <w:lvlJc w:val="left"/>
      <w:pPr>
        <w:ind w:left="4445" w:hanging="208"/>
      </w:pPr>
      <w:rPr>
        <w:rFonts w:hint="default"/>
      </w:rPr>
    </w:lvl>
  </w:abstractNum>
  <w:abstractNum w:abstractNumId="50">
    <w:multiLevelType w:val="hybridMultilevel"/>
    <w:lvl w:ilvl="0">
      <w:start w:val="1"/>
      <w:numFmt w:val="lowerLetter"/>
      <w:lvlText w:val="%1)"/>
      <w:lvlJc w:val="left"/>
      <w:pPr>
        <w:ind w:left="113" w:hanging="18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8"/>
      </w:pPr>
      <w:rPr>
        <w:rFonts w:hint="default"/>
      </w:rPr>
    </w:lvl>
    <w:lvl w:ilvl="2">
      <w:start w:val="0"/>
      <w:numFmt w:val="bullet"/>
      <w:lvlText w:val="•"/>
      <w:lvlJc w:val="left"/>
      <w:pPr>
        <w:ind w:left="1201" w:hanging="188"/>
      </w:pPr>
      <w:rPr>
        <w:rFonts w:hint="default"/>
      </w:rPr>
    </w:lvl>
    <w:lvl w:ilvl="3">
      <w:start w:val="0"/>
      <w:numFmt w:val="bullet"/>
      <w:lvlText w:val="•"/>
      <w:lvlJc w:val="left"/>
      <w:pPr>
        <w:ind w:left="1741" w:hanging="188"/>
      </w:pPr>
      <w:rPr>
        <w:rFonts w:hint="default"/>
      </w:rPr>
    </w:lvl>
    <w:lvl w:ilvl="4">
      <w:start w:val="0"/>
      <w:numFmt w:val="bullet"/>
      <w:lvlText w:val="•"/>
      <w:lvlJc w:val="left"/>
      <w:pPr>
        <w:ind w:left="2282" w:hanging="188"/>
      </w:pPr>
      <w:rPr>
        <w:rFonts w:hint="default"/>
      </w:rPr>
    </w:lvl>
    <w:lvl w:ilvl="5">
      <w:start w:val="0"/>
      <w:numFmt w:val="bullet"/>
      <w:lvlText w:val="•"/>
      <w:lvlJc w:val="left"/>
      <w:pPr>
        <w:ind w:left="2823" w:hanging="188"/>
      </w:pPr>
      <w:rPr>
        <w:rFonts w:hint="default"/>
      </w:rPr>
    </w:lvl>
    <w:lvl w:ilvl="6">
      <w:start w:val="0"/>
      <w:numFmt w:val="bullet"/>
      <w:lvlText w:val="•"/>
      <w:lvlJc w:val="left"/>
      <w:pPr>
        <w:ind w:left="3363" w:hanging="188"/>
      </w:pPr>
      <w:rPr>
        <w:rFonts w:hint="default"/>
      </w:rPr>
    </w:lvl>
    <w:lvl w:ilvl="7">
      <w:start w:val="0"/>
      <w:numFmt w:val="bullet"/>
      <w:lvlText w:val="•"/>
      <w:lvlJc w:val="left"/>
      <w:pPr>
        <w:ind w:left="3904" w:hanging="188"/>
      </w:pPr>
      <w:rPr>
        <w:rFonts w:hint="default"/>
      </w:rPr>
    </w:lvl>
    <w:lvl w:ilvl="8">
      <w:start w:val="0"/>
      <w:numFmt w:val="bullet"/>
      <w:lvlText w:val="•"/>
      <w:lvlJc w:val="left"/>
      <w:pPr>
        <w:ind w:left="4445" w:hanging="188"/>
      </w:pPr>
      <w:rPr>
        <w:rFonts w:hint="default"/>
      </w:rPr>
    </w:lvl>
  </w:abstractNum>
  <w:abstractNum w:abstractNumId="49">
    <w:multiLevelType w:val="hybridMultilevel"/>
    <w:lvl w:ilvl="0">
      <w:start w:val="1"/>
      <w:numFmt w:val="lowerLetter"/>
      <w:lvlText w:val="%1)"/>
      <w:lvlJc w:val="left"/>
      <w:pPr>
        <w:ind w:left="113" w:hanging="17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4"/>
      </w:pPr>
      <w:rPr>
        <w:rFonts w:hint="default"/>
      </w:rPr>
    </w:lvl>
    <w:lvl w:ilvl="2">
      <w:start w:val="0"/>
      <w:numFmt w:val="bullet"/>
      <w:lvlText w:val="•"/>
      <w:lvlJc w:val="left"/>
      <w:pPr>
        <w:ind w:left="1218" w:hanging="174"/>
      </w:pPr>
      <w:rPr>
        <w:rFonts w:hint="default"/>
      </w:rPr>
    </w:lvl>
    <w:lvl w:ilvl="3">
      <w:start w:val="0"/>
      <w:numFmt w:val="bullet"/>
      <w:lvlText w:val="•"/>
      <w:lvlJc w:val="left"/>
      <w:pPr>
        <w:ind w:left="1767" w:hanging="174"/>
      </w:pPr>
      <w:rPr>
        <w:rFonts w:hint="default"/>
      </w:rPr>
    </w:lvl>
    <w:lvl w:ilvl="4">
      <w:start w:val="0"/>
      <w:numFmt w:val="bullet"/>
      <w:lvlText w:val="•"/>
      <w:lvlJc w:val="left"/>
      <w:pPr>
        <w:ind w:left="2316" w:hanging="174"/>
      </w:pPr>
      <w:rPr>
        <w:rFonts w:hint="default"/>
      </w:rPr>
    </w:lvl>
    <w:lvl w:ilvl="5">
      <w:start w:val="0"/>
      <w:numFmt w:val="bullet"/>
      <w:lvlText w:val="•"/>
      <w:lvlJc w:val="left"/>
      <w:pPr>
        <w:ind w:left="2866" w:hanging="174"/>
      </w:pPr>
      <w:rPr>
        <w:rFonts w:hint="default"/>
      </w:rPr>
    </w:lvl>
    <w:lvl w:ilvl="6">
      <w:start w:val="0"/>
      <w:numFmt w:val="bullet"/>
      <w:lvlText w:val="•"/>
      <w:lvlJc w:val="left"/>
      <w:pPr>
        <w:ind w:left="3415" w:hanging="174"/>
      </w:pPr>
      <w:rPr>
        <w:rFonts w:hint="default"/>
      </w:rPr>
    </w:lvl>
    <w:lvl w:ilvl="7">
      <w:start w:val="0"/>
      <w:numFmt w:val="bullet"/>
      <w:lvlText w:val="•"/>
      <w:lvlJc w:val="left"/>
      <w:pPr>
        <w:ind w:left="3964" w:hanging="174"/>
      </w:pPr>
      <w:rPr>
        <w:rFonts w:hint="default"/>
      </w:rPr>
    </w:lvl>
    <w:lvl w:ilvl="8">
      <w:start w:val="0"/>
      <w:numFmt w:val="bullet"/>
      <w:lvlText w:val="•"/>
      <w:lvlJc w:val="left"/>
      <w:pPr>
        <w:ind w:left="4513" w:hanging="174"/>
      </w:pPr>
      <w:rPr>
        <w:rFonts w:hint="default"/>
      </w:rPr>
    </w:lvl>
  </w:abstractNum>
  <w:abstractNum w:abstractNumId="47">
    <w:multiLevelType w:val="hybridMultilevel"/>
    <w:lvl w:ilvl="0">
      <w:start w:val="0"/>
      <w:numFmt w:val="bullet"/>
      <w:lvlText w:val="—"/>
      <w:lvlJc w:val="left"/>
      <w:pPr>
        <w:ind w:left="113" w:hanging="233"/>
      </w:pPr>
      <w:rPr>
        <w:rFonts w:hint="default" w:ascii="Georgia" w:hAnsi="Georgia" w:eastAsia="Georgia" w:cs="Georgia"/>
        <w:color w:val="231F20"/>
        <w:w w:val="117"/>
        <w:sz w:val="17"/>
        <w:szCs w:val="17"/>
      </w:rPr>
    </w:lvl>
    <w:lvl w:ilvl="1">
      <w:start w:val="0"/>
      <w:numFmt w:val="bullet"/>
      <w:lvlText w:val="•"/>
      <w:lvlJc w:val="left"/>
      <w:pPr>
        <w:ind w:left="660" w:hanging="233"/>
      </w:pPr>
      <w:rPr>
        <w:rFonts w:hint="default"/>
      </w:rPr>
    </w:lvl>
    <w:lvl w:ilvl="2">
      <w:start w:val="0"/>
      <w:numFmt w:val="bullet"/>
      <w:lvlText w:val="•"/>
      <w:lvlJc w:val="left"/>
      <w:pPr>
        <w:ind w:left="1201" w:hanging="233"/>
      </w:pPr>
      <w:rPr>
        <w:rFonts w:hint="default"/>
      </w:rPr>
    </w:lvl>
    <w:lvl w:ilvl="3">
      <w:start w:val="0"/>
      <w:numFmt w:val="bullet"/>
      <w:lvlText w:val="•"/>
      <w:lvlJc w:val="left"/>
      <w:pPr>
        <w:ind w:left="1742" w:hanging="233"/>
      </w:pPr>
      <w:rPr>
        <w:rFonts w:hint="default"/>
      </w:rPr>
    </w:lvl>
    <w:lvl w:ilvl="4">
      <w:start w:val="0"/>
      <w:numFmt w:val="bullet"/>
      <w:lvlText w:val="•"/>
      <w:lvlJc w:val="left"/>
      <w:pPr>
        <w:ind w:left="2282" w:hanging="233"/>
      </w:pPr>
      <w:rPr>
        <w:rFonts w:hint="default"/>
      </w:rPr>
    </w:lvl>
    <w:lvl w:ilvl="5">
      <w:start w:val="0"/>
      <w:numFmt w:val="bullet"/>
      <w:lvlText w:val="•"/>
      <w:lvlJc w:val="left"/>
      <w:pPr>
        <w:ind w:left="2823" w:hanging="233"/>
      </w:pPr>
      <w:rPr>
        <w:rFonts w:hint="default"/>
      </w:rPr>
    </w:lvl>
    <w:lvl w:ilvl="6">
      <w:start w:val="0"/>
      <w:numFmt w:val="bullet"/>
      <w:lvlText w:val="•"/>
      <w:lvlJc w:val="left"/>
      <w:pPr>
        <w:ind w:left="3364" w:hanging="233"/>
      </w:pPr>
      <w:rPr>
        <w:rFonts w:hint="default"/>
      </w:rPr>
    </w:lvl>
    <w:lvl w:ilvl="7">
      <w:start w:val="0"/>
      <w:numFmt w:val="bullet"/>
      <w:lvlText w:val="•"/>
      <w:lvlJc w:val="left"/>
      <w:pPr>
        <w:ind w:left="3904" w:hanging="233"/>
      </w:pPr>
      <w:rPr>
        <w:rFonts w:hint="default"/>
      </w:rPr>
    </w:lvl>
    <w:lvl w:ilvl="8">
      <w:start w:val="0"/>
      <w:numFmt w:val="bullet"/>
      <w:lvlText w:val="•"/>
      <w:lvlJc w:val="left"/>
      <w:pPr>
        <w:ind w:left="4445" w:hanging="233"/>
      </w:pPr>
      <w:rPr>
        <w:rFonts w:hint="default"/>
      </w:rPr>
    </w:lvl>
  </w:abstractNum>
  <w:abstractNum w:abstractNumId="46">
    <w:multiLevelType w:val="hybridMultilevel"/>
    <w:lvl w:ilvl="0">
      <w:start w:val="1"/>
      <w:numFmt w:val="lowerLetter"/>
      <w:lvlText w:val="%1)"/>
      <w:lvlJc w:val="left"/>
      <w:pPr>
        <w:ind w:left="113" w:hanging="17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8"/>
      </w:pPr>
      <w:rPr>
        <w:rFonts w:hint="default"/>
      </w:rPr>
    </w:lvl>
    <w:lvl w:ilvl="2">
      <w:start w:val="0"/>
      <w:numFmt w:val="bullet"/>
      <w:lvlText w:val="•"/>
      <w:lvlJc w:val="left"/>
      <w:pPr>
        <w:ind w:left="1218" w:hanging="178"/>
      </w:pPr>
      <w:rPr>
        <w:rFonts w:hint="default"/>
      </w:rPr>
    </w:lvl>
    <w:lvl w:ilvl="3">
      <w:start w:val="0"/>
      <w:numFmt w:val="bullet"/>
      <w:lvlText w:val="•"/>
      <w:lvlJc w:val="left"/>
      <w:pPr>
        <w:ind w:left="1767" w:hanging="178"/>
      </w:pPr>
      <w:rPr>
        <w:rFonts w:hint="default"/>
      </w:rPr>
    </w:lvl>
    <w:lvl w:ilvl="4">
      <w:start w:val="0"/>
      <w:numFmt w:val="bullet"/>
      <w:lvlText w:val="•"/>
      <w:lvlJc w:val="left"/>
      <w:pPr>
        <w:ind w:left="2316" w:hanging="178"/>
      </w:pPr>
      <w:rPr>
        <w:rFonts w:hint="default"/>
      </w:rPr>
    </w:lvl>
    <w:lvl w:ilvl="5">
      <w:start w:val="0"/>
      <w:numFmt w:val="bullet"/>
      <w:lvlText w:val="•"/>
      <w:lvlJc w:val="left"/>
      <w:pPr>
        <w:ind w:left="2866" w:hanging="178"/>
      </w:pPr>
      <w:rPr>
        <w:rFonts w:hint="default"/>
      </w:rPr>
    </w:lvl>
    <w:lvl w:ilvl="6">
      <w:start w:val="0"/>
      <w:numFmt w:val="bullet"/>
      <w:lvlText w:val="•"/>
      <w:lvlJc w:val="left"/>
      <w:pPr>
        <w:ind w:left="3415" w:hanging="178"/>
      </w:pPr>
      <w:rPr>
        <w:rFonts w:hint="default"/>
      </w:rPr>
    </w:lvl>
    <w:lvl w:ilvl="7">
      <w:start w:val="0"/>
      <w:numFmt w:val="bullet"/>
      <w:lvlText w:val="•"/>
      <w:lvlJc w:val="left"/>
      <w:pPr>
        <w:ind w:left="3964" w:hanging="178"/>
      </w:pPr>
      <w:rPr>
        <w:rFonts w:hint="default"/>
      </w:rPr>
    </w:lvl>
    <w:lvl w:ilvl="8">
      <w:start w:val="0"/>
      <w:numFmt w:val="bullet"/>
      <w:lvlText w:val="•"/>
      <w:lvlJc w:val="left"/>
      <w:pPr>
        <w:ind w:left="4513" w:hanging="178"/>
      </w:pPr>
      <w:rPr>
        <w:rFonts w:hint="default"/>
      </w:rPr>
    </w:lvl>
  </w:abstractNum>
  <w:abstractNum w:abstractNumId="45">
    <w:multiLevelType w:val="hybridMultilevel"/>
    <w:lvl w:ilvl="0">
      <w:start w:val="1"/>
      <w:numFmt w:val="lowerLetter"/>
      <w:lvlText w:val="%1)"/>
      <w:lvlJc w:val="left"/>
      <w:pPr>
        <w:ind w:left="113" w:hanging="18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1"/>
      </w:pPr>
      <w:rPr>
        <w:rFonts w:hint="default"/>
      </w:rPr>
    </w:lvl>
    <w:lvl w:ilvl="2">
      <w:start w:val="0"/>
      <w:numFmt w:val="bullet"/>
      <w:lvlText w:val="•"/>
      <w:lvlJc w:val="left"/>
      <w:pPr>
        <w:ind w:left="1201" w:hanging="181"/>
      </w:pPr>
      <w:rPr>
        <w:rFonts w:hint="default"/>
      </w:rPr>
    </w:lvl>
    <w:lvl w:ilvl="3">
      <w:start w:val="0"/>
      <w:numFmt w:val="bullet"/>
      <w:lvlText w:val="•"/>
      <w:lvlJc w:val="left"/>
      <w:pPr>
        <w:ind w:left="1741" w:hanging="181"/>
      </w:pPr>
      <w:rPr>
        <w:rFonts w:hint="default"/>
      </w:rPr>
    </w:lvl>
    <w:lvl w:ilvl="4">
      <w:start w:val="0"/>
      <w:numFmt w:val="bullet"/>
      <w:lvlText w:val="•"/>
      <w:lvlJc w:val="left"/>
      <w:pPr>
        <w:ind w:left="2282" w:hanging="181"/>
      </w:pPr>
      <w:rPr>
        <w:rFonts w:hint="default"/>
      </w:rPr>
    </w:lvl>
    <w:lvl w:ilvl="5">
      <w:start w:val="0"/>
      <w:numFmt w:val="bullet"/>
      <w:lvlText w:val="•"/>
      <w:lvlJc w:val="left"/>
      <w:pPr>
        <w:ind w:left="2823" w:hanging="181"/>
      </w:pPr>
      <w:rPr>
        <w:rFonts w:hint="default"/>
      </w:rPr>
    </w:lvl>
    <w:lvl w:ilvl="6">
      <w:start w:val="0"/>
      <w:numFmt w:val="bullet"/>
      <w:lvlText w:val="•"/>
      <w:lvlJc w:val="left"/>
      <w:pPr>
        <w:ind w:left="3363" w:hanging="181"/>
      </w:pPr>
      <w:rPr>
        <w:rFonts w:hint="default"/>
      </w:rPr>
    </w:lvl>
    <w:lvl w:ilvl="7">
      <w:start w:val="0"/>
      <w:numFmt w:val="bullet"/>
      <w:lvlText w:val="•"/>
      <w:lvlJc w:val="left"/>
      <w:pPr>
        <w:ind w:left="3904" w:hanging="181"/>
      </w:pPr>
      <w:rPr>
        <w:rFonts w:hint="default"/>
      </w:rPr>
    </w:lvl>
    <w:lvl w:ilvl="8">
      <w:start w:val="0"/>
      <w:numFmt w:val="bullet"/>
      <w:lvlText w:val="•"/>
      <w:lvlJc w:val="left"/>
      <w:pPr>
        <w:ind w:left="4445" w:hanging="181"/>
      </w:pPr>
      <w:rPr>
        <w:rFonts w:hint="default"/>
      </w:rPr>
    </w:lvl>
  </w:abstractNum>
  <w:abstractNum w:abstractNumId="44">
    <w:multiLevelType w:val="hybridMultilevel"/>
    <w:lvl w:ilvl="0">
      <w:start w:val="1"/>
      <w:numFmt w:val="lowerLetter"/>
      <w:lvlText w:val="%1)"/>
      <w:lvlJc w:val="left"/>
      <w:pPr>
        <w:ind w:left="113" w:hanging="172"/>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2"/>
      </w:pPr>
      <w:rPr>
        <w:rFonts w:hint="default"/>
      </w:rPr>
    </w:lvl>
    <w:lvl w:ilvl="2">
      <w:start w:val="0"/>
      <w:numFmt w:val="bullet"/>
      <w:lvlText w:val="•"/>
      <w:lvlJc w:val="left"/>
      <w:pPr>
        <w:ind w:left="1218" w:hanging="172"/>
      </w:pPr>
      <w:rPr>
        <w:rFonts w:hint="default"/>
      </w:rPr>
    </w:lvl>
    <w:lvl w:ilvl="3">
      <w:start w:val="0"/>
      <w:numFmt w:val="bullet"/>
      <w:lvlText w:val="•"/>
      <w:lvlJc w:val="left"/>
      <w:pPr>
        <w:ind w:left="1767" w:hanging="172"/>
      </w:pPr>
      <w:rPr>
        <w:rFonts w:hint="default"/>
      </w:rPr>
    </w:lvl>
    <w:lvl w:ilvl="4">
      <w:start w:val="0"/>
      <w:numFmt w:val="bullet"/>
      <w:lvlText w:val="•"/>
      <w:lvlJc w:val="left"/>
      <w:pPr>
        <w:ind w:left="2316" w:hanging="172"/>
      </w:pPr>
      <w:rPr>
        <w:rFonts w:hint="default"/>
      </w:rPr>
    </w:lvl>
    <w:lvl w:ilvl="5">
      <w:start w:val="0"/>
      <w:numFmt w:val="bullet"/>
      <w:lvlText w:val="•"/>
      <w:lvlJc w:val="left"/>
      <w:pPr>
        <w:ind w:left="2866" w:hanging="172"/>
      </w:pPr>
      <w:rPr>
        <w:rFonts w:hint="default"/>
      </w:rPr>
    </w:lvl>
    <w:lvl w:ilvl="6">
      <w:start w:val="0"/>
      <w:numFmt w:val="bullet"/>
      <w:lvlText w:val="•"/>
      <w:lvlJc w:val="left"/>
      <w:pPr>
        <w:ind w:left="3415" w:hanging="172"/>
      </w:pPr>
      <w:rPr>
        <w:rFonts w:hint="default"/>
      </w:rPr>
    </w:lvl>
    <w:lvl w:ilvl="7">
      <w:start w:val="0"/>
      <w:numFmt w:val="bullet"/>
      <w:lvlText w:val="•"/>
      <w:lvlJc w:val="left"/>
      <w:pPr>
        <w:ind w:left="3964" w:hanging="172"/>
      </w:pPr>
      <w:rPr>
        <w:rFonts w:hint="default"/>
      </w:rPr>
    </w:lvl>
    <w:lvl w:ilvl="8">
      <w:start w:val="0"/>
      <w:numFmt w:val="bullet"/>
      <w:lvlText w:val="•"/>
      <w:lvlJc w:val="left"/>
      <w:pPr>
        <w:ind w:left="4513" w:hanging="172"/>
      </w:pPr>
      <w:rPr>
        <w:rFonts w:hint="default"/>
      </w:rPr>
    </w:lvl>
  </w:abstractNum>
  <w:abstractNum w:abstractNumId="43">
    <w:multiLevelType w:val="hybridMultilevel"/>
    <w:lvl w:ilvl="0">
      <w:start w:val="1"/>
      <w:numFmt w:val="lowerLetter"/>
      <w:lvlText w:val="%1)"/>
      <w:lvlJc w:val="left"/>
      <w:pPr>
        <w:ind w:left="113" w:hanging="17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8"/>
      </w:pPr>
      <w:rPr>
        <w:rFonts w:hint="default"/>
      </w:rPr>
    </w:lvl>
    <w:lvl w:ilvl="2">
      <w:start w:val="0"/>
      <w:numFmt w:val="bullet"/>
      <w:lvlText w:val="•"/>
      <w:lvlJc w:val="left"/>
      <w:pPr>
        <w:ind w:left="1218" w:hanging="178"/>
      </w:pPr>
      <w:rPr>
        <w:rFonts w:hint="default"/>
      </w:rPr>
    </w:lvl>
    <w:lvl w:ilvl="3">
      <w:start w:val="0"/>
      <w:numFmt w:val="bullet"/>
      <w:lvlText w:val="•"/>
      <w:lvlJc w:val="left"/>
      <w:pPr>
        <w:ind w:left="1767" w:hanging="178"/>
      </w:pPr>
      <w:rPr>
        <w:rFonts w:hint="default"/>
      </w:rPr>
    </w:lvl>
    <w:lvl w:ilvl="4">
      <w:start w:val="0"/>
      <w:numFmt w:val="bullet"/>
      <w:lvlText w:val="•"/>
      <w:lvlJc w:val="left"/>
      <w:pPr>
        <w:ind w:left="2316" w:hanging="178"/>
      </w:pPr>
      <w:rPr>
        <w:rFonts w:hint="default"/>
      </w:rPr>
    </w:lvl>
    <w:lvl w:ilvl="5">
      <w:start w:val="0"/>
      <w:numFmt w:val="bullet"/>
      <w:lvlText w:val="•"/>
      <w:lvlJc w:val="left"/>
      <w:pPr>
        <w:ind w:left="2866" w:hanging="178"/>
      </w:pPr>
      <w:rPr>
        <w:rFonts w:hint="default"/>
      </w:rPr>
    </w:lvl>
    <w:lvl w:ilvl="6">
      <w:start w:val="0"/>
      <w:numFmt w:val="bullet"/>
      <w:lvlText w:val="•"/>
      <w:lvlJc w:val="left"/>
      <w:pPr>
        <w:ind w:left="3415" w:hanging="178"/>
      </w:pPr>
      <w:rPr>
        <w:rFonts w:hint="default"/>
      </w:rPr>
    </w:lvl>
    <w:lvl w:ilvl="7">
      <w:start w:val="0"/>
      <w:numFmt w:val="bullet"/>
      <w:lvlText w:val="•"/>
      <w:lvlJc w:val="left"/>
      <w:pPr>
        <w:ind w:left="3964" w:hanging="178"/>
      </w:pPr>
      <w:rPr>
        <w:rFonts w:hint="default"/>
      </w:rPr>
    </w:lvl>
    <w:lvl w:ilvl="8">
      <w:start w:val="0"/>
      <w:numFmt w:val="bullet"/>
      <w:lvlText w:val="•"/>
      <w:lvlJc w:val="left"/>
      <w:pPr>
        <w:ind w:left="4513" w:hanging="178"/>
      </w:pPr>
      <w:rPr>
        <w:rFonts w:hint="default"/>
      </w:rPr>
    </w:lvl>
  </w:abstractNum>
  <w:abstractNum w:abstractNumId="42">
    <w:multiLevelType w:val="hybridMultilevel"/>
    <w:lvl w:ilvl="0">
      <w:start w:val="1"/>
      <w:numFmt w:val="lowerLetter"/>
      <w:lvlText w:val="%1)"/>
      <w:lvlJc w:val="left"/>
      <w:pPr>
        <w:ind w:left="113" w:hanging="18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1"/>
      </w:pPr>
      <w:rPr>
        <w:rFonts w:hint="default"/>
      </w:rPr>
    </w:lvl>
    <w:lvl w:ilvl="2">
      <w:start w:val="0"/>
      <w:numFmt w:val="bullet"/>
      <w:lvlText w:val="•"/>
      <w:lvlJc w:val="left"/>
      <w:pPr>
        <w:ind w:left="1218" w:hanging="181"/>
      </w:pPr>
      <w:rPr>
        <w:rFonts w:hint="default"/>
      </w:rPr>
    </w:lvl>
    <w:lvl w:ilvl="3">
      <w:start w:val="0"/>
      <w:numFmt w:val="bullet"/>
      <w:lvlText w:val="•"/>
      <w:lvlJc w:val="left"/>
      <w:pPr>
        <w:ind w:left="1767" w:hanging="181"/>
      </w:pPr>
      <w:rPr>
        <w:rFonts w:hint="default"/>
      </w:rPr>
    </w:lvl>
    <w:lvl w:ilvl="4">
      <w:start w:val="0"/>
      <w:numFmt w:val="bullet"/>
      <w:lvlText w:val="•"/>
      <w:lvlJc w:val="left"/>
      <w:pPr>
        <w:ind w:left="2316" w:hanging="181"/>
      </w:pPr>
      <w:rPr>
        <w:rFonts w:hint="default"/>
      </w:rPr>
    </w:lvl>
    <w:lvl w:ilvl="5">
      <w:start w:val="0"/>
      <w:numFmt w:val="bullet"/>
      <w:lvlText w:val="•"/>
      <w:lvlJc w:val="left"/>
      <w:pPr>
        <w:ind w:left="2866" w:hanging="181"/>
      </w:pPr>
      <w:rPr>
        <w:rFonts w:hint="default"/>
      </w:rPr>
    </w:lvl>
    <w:lvl w:ilvl="6">
      <w:start w:val="0"/>
      <w:numFmt w:val="bullet"/>
      <w:lvlText w:val="•"/>
      <w:lvlJc w:val="left"/>
      <w:pPr>
        <w:ind w:left="3415" w:hanging="181"/>
      </w:pPr>
      <w:rPr>
        <w:rFonts w:hint="default"/>
      </w:rPr>
    </w:lvl>
    <w:lvl w:ilvl="7">
      <w:start w:val="0"/>
      <w:numFmt w:val="bullet"/>
      <w:lvlText w:val="•"/>
      <w:lvlJc w:val="left"/>
      <w:pPr>
        <w:ind w:left="3964" w:hanging="181"/>
      </w:pPr>
      <w:rPr>
        <w:rFonts w:hint="default"/>
      </w:rPr>
    </w:lvl>
    <w:lvl w:ilvl="8">
      <w:start w:val="0"/>
      <w:numFmt w:val="bullet"/>
      <w:lvlText w:val="•"/>
      <w:lvlJc w:val="left"/>
      <w:pPr>
        <w:ind w:left="4513" w:hanging="181"/>
      </w:pPr>
      <w:rPr>
        <w:rFonts w:hint="default"/>
      </w:rPr>
    </w:lvl>
  </w:abstractNum>
  <w:abstractNum w:abstractNumId="41">
    <w:multiLevelType w:val="hybridMultilevel"/>
    <w:lvl w:ilvl="0">
      <w:start w:val="1"/>
      <w:numFmt w:val="lowerLetter"/>
      <w:lvlText w:val="%1)"/>
      <w:lvlJc w:val="left"/>
      <w:pPr>
        <w:ind w:left="113" w:hanging="17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78"/>
      </w:pPr>
      <w:rPr>
        <w:rFonts w:hint="default"/>
      </w:rPr>
    </w:lvl>
    <w:lvl w:ilvl="2">
      <w:start w:val="0"/>
      <w:numFmt w:val="bullet"/>
      <w:lvlText w:val="•"/>
      <w:lvlJc w:val="left"/>
      <w:pPr>
        <w:ind w:left="1201" w:hanging="178"/>
      </w:pPr>
      <w:rPr>
        <w:rFonts w:hint="default"/>
      </w:rPr>
    </w:lvl>
    <w:lvl w:ilvl="3">
      <w:start w:val="0"/>
      <w:numFmt w:val="bullet"/>
      <w:lvlText w:val="•"/>
      <w:lvlJc w:val="left"/>
      <w:pPr>
        <w:ind w:left="1741" w:hanging="178"/>
      </w:pPr>
      <w:rPr>
        <w:rFonts w:hint="default"/>
      </w:rPr>
    </w:lvl>
    <w:lvl w:ilvl="4">
      <w:start w:val="0"/>
      <w:numFmt w:val="bullet"/>
      <w:lvlText w:val="•"/>
      <w:lvlJc w:val="left"/>
      <w:pPr>
        <w:ind w:left="2282" w:hanging="178"/>
      </w:pPr>
      <w:rPr>
        <w:rFonts w:hint="default"/>
      </w:rPr>
    </w:lvl>
    <w:lvl w:ilvl="5">
      <w:start w:val="0"/>
      <w:numFmt w:val="bullet"/>
      <w:lvlText w:val="•"/>
      <w:lvlJc w:val="left"/>
      <w:pPr>
        <w:ind w:left="2823" w:hanging="178"/>
      </w:pPr>
      <w:rPr>
        <w:rFonts w:hint="default"/>
      </w:rPr>
    </w:lvl>
    <w:lvl w:ilvl="6">
      <w:start w:val="0"/>
      <w:numFmt w:val="bullet"/>
      <w:lvlText w:val="•"/>
      <w:lvlJc w:val="left"/>
      <w:pPr>
        <w:ind w:left="3363" w:hanging="178"/>
      </w:pPr>
      <w:rPr>
        <w:rFonts w:hint="default"/>
      </w:rPr>
    </w:lvl>
    <w:lvl w:ilvl="7">
      <w:start w:val="0"/>
      <w:numFmt w:val="bullet"/>
      <w:lvlText w:val="•"/>
      <w:lvlJc w:val="left"/>
      <w:pPr>
        <w:ind w:left="3904" w:hanging="178"/>
      </w:pPr>
      <w:rPr>
        <w:rFonts w:hint="default"/>
      </w:rPr>
    </w:lvl>
    <w:lvl w:ilvl="8">
      <w:start w:val="0"/>
      <w:numFmt w:val="bullet"/>
      <w:lvlText w:val="•"/>
      <w:lvlJc w:val="left"/>
      <w:pPr>
        <w:ind w:left="4445" w:hanging="178"/>
      </w:pPr>
      <w:rPr>
        <w:rFonts w:hint="default"/>
      </w:rPr>
    </w:lvl>
  </w:abstractNum>
  <w:abstractNum w:abstractNumId="40">
    <w:multiLevelType w:val="hybridMultilevel"/>
    <w:lvl w:ilvl="0">
      <w:start w:val="1"/>
      <w:numFmt w:val="lowerLetter"/>
      <w:lvlText w:val="%1)"/>
      <w:lvlJc w:val="left"/>
      <w:pPr>
        <w:ind w:left="113" w:hanging="18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1"/>
      </w:pPr>
      <w:rPr>
        <w:rFonts w:hint="default"/>
      </w:rPr>
    </w:lvl>
    <w:lvl w:ilvl="2">
      <w:start w:val="0"/>
      <w:numFmt w:val="bullet"/>
      <w:lvlText w:val="•"/>
      <w:lvlJc w:val="left"/>
      <w:pPr>
        <w:ind w:left="1201" w:hanging="181"/>
      </w:pPr>
      <w:rPr>
        <w:rFonts w:hint="default"/>
      </w:rPr>
    </w:lvl>
    <w:lvl w:ilvl="3">
      <w:start w:val="0"/>
      <w:numFmt w:val="bullet"/>
      <w:lvlText w:val="•"/>
      <w:lvlJc w:val="left"/>
      <w:pPr>
        <w:ind w:left="1741" w:hanging="181"/>
      </w:pPr>
      <w:rPr>
        <w:rFonts w:hint="default"/>
      </w:rPr>
    </w:lvl>
    <w:lvl w:ilvl="4">
      <w:start w:val="0"/>
      <w:numFmt w:val="bullet"/>
      <w:lvlText w:val="•"/>
      <w:lvlJc w:val="left"/>
      <w:pPr>
        <w:ind w:left="2282" w:hanging="181"/>
      </w:pPr>
      <w:rPr>
        <w:rFonts w:hint="default"/>
      </w:rPr>
    </w:lvl>
    <w:lvl w:ilvl="5">
      <w:start w:val="0"/>
      <w:numFmt w:val="bullet"/>
      <w:lvlText w:val="•"/>
      <w:lvlJc w:val="left"/>
      <w:pPr>
        <w:ind w:left="2823" w:hanging="181"/>
      </w:pPr>
      <w:rPr>
        <w:rFonts w:hint="default"/>
      </w:rPr>
    </w:lvl>
    <w:lvl w:ilvl="6">
      <w:start w:val="0"/>
      <w:numFmt w:val="bullet"/>
      <w:lvlText w:val="•"/>
      <w:lvlJc w:val="left"/>
      <w:pPr>
        <w:ind w:left="3363" w:hanging="181"/>
      </w:pPr>
      <w:rPr>
        <w:rFonts w:hint="default"/>
      </w:rPr>
    </w:lvl>
    <w:lvl w:ilvl="7">
      <w:start w:val="0"/>
      <w:numFmt w:val="bullet"/>
      <w:lvlText w:val="•"/>
      <w:lvlJc w:val="left"/>
      <w:pPr>
        <w:ind w:left="3904" w:hanging="181"/>
      </w:pPr>
      <w:rPr>
        <w:rFonts w:hint="default"/>
      </w:rPr>
    </w:lvl>
    <w:lvl w:ilvl="8">
      <w:start w:val="0"/>
      <w:numFmt w:val="bullet"/>
      <w:lvlText w:val="•"/>
      <w:lvlJc w:val="left"/>
      <w:pPr>
        <w:ind w:left="4445" w:hanging="181"/>
      </w:pPr>
      <w:rPr>
        <w:rFonts w:hint="default"/>
      </w:rPr>
    </w:lvl>
  </w:abstractNum>
  <w:abstractNum w:abstractNumId="39">
    <w:multiLevelType w:val="hybridMultilevel"/>
    <w:lvl w:ilvl="0">
      <w:start w:val="1"/>
      <w:numFmt w:val="lowerLetter"/>
      <w:lvlText w:val="%1)"/>
      <w:lvlJc w:val="left"/>
      <w:pPr>
        <w:ind w:left="113" w:hanging="24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49"/>
      </w:pPr>
      <w:rPr>
        <w:rFonts w:hint="default"/>
      </w:rPr>
    </w:lvl>
    <w:lvl w:ilvl="2">
      <w:start w:val="0"/>
      <w:numFmt w:val="bullet"/>
      <w:lvlText w:val="•"/>
      <w:lvlJc w:val="left"/>
      <w:pPr>
        <w:ind w:left="1201" w:hanging="249"/>
      </w:pPr>
      <w:rPr>
        <w:rFonts w:hint="default"/>
      </w:rPr>
    </w:lvl>
    <w:lvl w:ilvl="3">
      <w:start w:val="0"/>
      <w:numFmt w:val="bullet"/>
      <w:lvlText w:val="•"/>
      <w:lvlJc w:val="left"/>
      <w:pPr>
        <w:ind w:left="1741" w:hanging="249"/>
      </w:pPr>
      <w:rPr>
        <w:rFonts w:hint="default"/>
      </w:rPr>
    </w:lvl>
    <w:lvl w:ilvl="4">
      <w:start w:val="0"/>
      <w:numFmt w:val="bullet"/>
      <w:lvlText w:val="•"/>
      <w:lvlJc w:val="left"/>
      <w:pPr>
        <w:ind w:left="2282" w:hanging="249"/>
      </w:pPr>
      <w:rPr>
        <w:rFonts w:hint="default"/>
      </w:rPr>
    </w:lvl>
    <w:lvl w:ilvl="5">
      <w:start w:val="0"/>
      <w:numFmt w:val="bullet"/>
      <w:lvlText w:val="•"/>
      <w:lvlJc w:val="left"/>
      <w:pPr>
        <w:ind w:left="2823" w:hanging="249"/>
      </w:pPr>
      <w:rPr>
        <w:rFonts w:hint="default"/>
      </w:rPr>
    </w:lvl>
    <w:lvl w:ilvl="6">
      <w:start w:val="0"/>
      <w:numFmt w:val="bullet"/>
      <w:lvlText w:val="•"/>
      <w:lvlJc w:val="left"/>
      <w:pPr>
        <w:ind w:left="3363" w:hanging="249"/>
      </w:pPr>
      <w:rPr>
        <w:rFonts w:hint="default"/>
      </w:rPr>
    </w:lvl>
    <w:lvl w:ilvl="7">
      <w:start w:val="0"/>
      <w:numFmt w:val="bullet"/>
      <w:lvlText w:val="•"/>
      <w:lvlJc w:val="left"/>
      <w:pPr>
        <w:ind w:left="3904" w:hanging="249"/>
      </w:pPr>
      <w:rPr>
        <w:rFonts w:hint="default"/>
      </w:rPr>
    </w:lvl>
    <w:lvl w:ilvl="8">
      <w:start w:val="0"/>
      <w:numFmt w:val="bullet"/>
      <w:lvlText w:val="•"/>
      <w:lvlJc w:val="left"/>
      <w:pPr>
        <w:ind w:left="4445" w:hanging="249"/>
      </w:pPr>
      <w:rPr>
        <w:rFonts w:hint="default"/>
      </w:rPr>
    </w:lvl>
  </w:abstractNum>
  <w:abstractNum w:abstractNumId="38">
    <w:multiLevelType w:val="hybridMultilevel"/>
    <w:lvl w:ilvl="0">
      <w:start w:val="1"/>
      <w:numFmt w:val="lowerLetter"/>
      <w:lvlText w:val="%1)"/>
      <w:lvlJc w:val="left"/>
      <w:pPr>
        <w:ind w:left="113" w:hanging="18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0"/>
      </w:pPr>
      <w:rPr>
        <w:rFonts w:hint="default"/>
      </w:rPr>
    </w:lvl>
    <w:lvl w:ilvl="2">
      <w:start w:val="0"/>
      <w:numFmt w:val="bullet"/>
      <w:lvlText w:val="•"/>
      <w:lvlJc w:val="left"/>
      <w:pPr>
        <w:ind w:left="1218" w:hanging="180"/>
      </w:pPr>
      <w:rPr>
        <w:rFonts w:hint="default"/>
      </w:rPr>
    </w:lvl>
    <w:lvl w:ilvl="3">
      <w:start w:val="0"/>
      <w:numFmt w:val="bullet"/>
      <w:lvlText w:val="•"/>
      <w:lvlJc w:val="left"/>
      <w:pPr>
        <w:ind w:left="1767" w:hanging="180"/>
      </w:pPr>
      <w:rPr>
        <w:rFonts w:hint="default"/>
      </w:rPr>
    </w:lvl>
    <w:lvl w:ilvl="4">
      <w:start w:val="0"/>
      <w:numFmt w:val="bullet"/>
      <w:lvlText w:val="•"/>
      <w:lvlJc w:val="left"/>
      <w:pPr>
        <w:ind w:left="2316" w:hanging="180"/>
      </w:pPr>
      <w:rPr>
        <w:rFonts w:hint="default"/>
      </w:rPr>
    </w:lvl>
    <w:lvl w:ilvl="5">
      <w:start w:val="0"/>
      <w:numFmt w:val="bullet"/>
      <w:lvlText w:val="•"/>
      <w:lvlJc w:val="left"/>
      <w:pPr>
        <w:ind w:left="2866" w:hanging="180"/>
      </w:pPr>
      <w:rPr>
        <w:rFonts w:hint="default"/>
      </w:rPr>
    </w:lvl>
    <w:lvl w:ilvl="6">
      <w:start w:val="0"/>
      <w:numFmt w:val="bullet"/>
      <w:lvlText w:val="•"/>
      <w:lvlJc w:val="left"/>
      <w:pPr>
        <w:ind w:left="3415" w:hanging="180"/>
      </w:pPr>
      <w:rPr>
        <w:rFonts w:hint="default"/>
      </w:rPr>
    </w:lvl>
    <w:lvl w:ilvl="7">
      <w:start w:val="0"/>
      <w:numFmt w:val="bullet"/>
      <w:lvlText w:val="•"/>
      <w:lvlJc w:val="left"/>
      <w:pPr>
        <w:ind w:left="3964" w:hanging="180"/>
      </w:pPr>
      <w:rPr>
        <w:rFonts w:hint="default"/>
      </w:rPr>
    </w:lvl>
    <w:lvl w:ilvl="8">
      <w:start w:val="0"/>
      <w:numFmt w:val="bullet"/>
      <w:lvlText w:val="•"/>
      <w:lvlJc w:val="left"/>
      <w:pPr>
        <w:ind w:left="4513" w:hanging="180"/>
      </w:pPr>
      <w:rPr>
        <w:rFonts w:hint="default"/>
      </w:rPr>
    </w:lvl>
  </w:abstractNum>
  <w:abstractNum w:abstractNumId="37">
    <w:multiLevelType w:val="hybridMultilevel"/>
    <w:lvl w:ilvl="0">
      <w:start w:val="1"/>
      <w:numFmt w:val="lowerLetter"/>
      <w:lvlText w:val="%1)"/>
      <w:lvlJc w:val="left"/>
      <w:pPr>
        <w:ind w:left="113" w:hanging="206"/>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6"/>
      </w:pPr>
      <w:rPr>
        <w:rFonts w:hint="default"/>
      </w:rPr>
    </w:lvl>
    <w:lvl w:ilvl="2">
      <w:start w:val="0"/>
      <w:numFmt w:val="bullet"/>
      <w:lvlText w:val="•"/>
      <w:lvlJc w:val="left"/>
      <w:pPr>
        <w:ind w:left="1218" w:hanging="206"/>
      </w:pPr>
      <w:rPr>
        <w:rFonts w:hint="default"/>
      </w:rPr>
    </w:lvl>
    <w:lvl w:ilvl="3">
      <w:start w:val="0"/>
      <w:numFmt w:val="bullet"/>
      <w:lvlText w:val="•"/>
      <w:lvlJc w:val="left"/>
      <w:pPr>
        <w:ind w:left="1767" w:hanging="206"/>
      </w:pPr>
      <w:rPr>
        <w:rFonts w:hint="default"/>
      </w:rPr>
    </w:lvl>
    <w:lvl w:ilvl="4">
      <w:start w:val="0"/>
      <w:numFmt w:val="bullet"/>
      <w:lvlText w:val="•"/>
      <w:lvlJc w:val="left"/>
      <w:pPr>
        <w:ind w:left="2316" w:hanging="206"/>
      </w:pPr>
      <w:rPr>
        <w:rFonts w:hint="default"/>
      </w:rPr>
    </w:lvl>
    <w:lvl w:ilvl="5">
      <w:start w:val="0"/>
      <w:numFmt w:val="bullet"/>
      <w:lvlText w:val="•"/>
      <w:lvlJc w:val="left"/>
      <w:pPr>
        <w:ind w:left="2866" w:hanging="206"/>
      </w:pPr>
      <w:rPr>
        <w:rFonts w:hint="default"/>
      </w:rPr>
    </w:lvl>
    <w:lvl w:ilvl="6">
      <w:start w:val="0"/>
      <w:numFmt w:val="bullet"/>
      <w:lvlText w:val="•"/>
      <w:lvlJc w:val="left"/>
      <w:pPr>
        <w:ind w:left="3415" w:hanging="206"/>
      </w:pPr>
      <w:rPr>
        <w:rFonts w:hint="default"/>
      </w:rPr>
    </w:lvl>
    <w:lvl w:ilvl="7">
      <w:start w:val="0"/>
      <w:numFmt w:val="bullet"/>
      <w:lvlText w:val="•"/>
      <w:lvlJc w:val="left"/>
      <w:pPr>
        <w:ind w:left="3964" w:hanging="206"/>
      </w:pPr>
      <w:rPr>
        <w:rFonts w:hint="default"/>
      </w:rPr>
    </w:lvl>
    <w:lvl w:ilvl="8">
      <w:start w:val="0"/>
      <w:numFmt w:val="bullet"/>
      <w:lvlText w:val="•"/>
      <w:lvlJc w:val="left"/>
      <w:pPr>
        <w:ind w:left="4513" w:hanging="206"/>
      </w:pPr>
      <w:rPr>
        <w:rFonts w:hint="default"/>
      </w:rPr>
    </w:lvl>
  </w:abstractNum>
  <w:abstractNum w:abstractNumId="36">
    <w:multiLevelType w:val="hybridMultilevel"/>
    <w:lvl w:ilvl="0">
      <w:start w:val="1"/>
      <w:numFmt w:val="lowerLetter"/>
      <w:lvlText w:val="%1)"/>
      <w:lvlJc w:val="left"/>
      <w:pPr>
        <w:ind w:left="113" w:hanging="18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9"/>
      </w:pPr>
      <w:rPr>
        <w:rFonts w:hint="default"/>
      </w:rPr>
    </w:lvl>
    <w:lvl w:ilvl="2">
      <w:start w:val="0"/>
      <w:numFmt w:val="bullet"/>
      <w:lvlText w:val="•"/>
      <w:lvlJc w:val="left"/>
      <w:pPr>
        <w:ind w:left="1201" w:hanging="189"/>
      </w:pPr>
      <w:rPr>
        <w:rFonts w:hint="default"/>
      </w:rPr>
    </w:lvl>
    <w:lvl w:ilvl="3">
      <w:start w:val="0"/>
      <w:numFmt w:val="bullet"/>
      <w:lvlText w:val="•"/>
      <w:lvlJc w:val="left"/>
      <w:pPr>
        <w:ind w:left="1741" w:hanging="189"/>
      </w:pPr>
      <w:rPr>
        <w:rFonts w:hint="default"/>
      </w:rPr>
    </w:lvl>
    <w:lvl w:ilvl="4">
      <w:start w:val="0"/>
      <w:numFmt w:val="bullet"/>
      <w:lvlText w:val="•"/>
      <w:lvlJc w:val="left"/>
      <w:pPr>
        <w:ind w:left="2282" w:hanging="189"/>
      </w:pPr>
      <w:rPr>
        <w:rFonts w:hint="default"/>
      </w:rPr>
    </w:lvl>
    <w:lvl w:ilvl="5">
      <w:start w:val="0"/>
      <w:numFmt w:val="bullet"/>
      <w:lvlText w:val="•"/>
      <w:lvlJc w:val="left"/>
      <w:pPr>
        <w:ind w:left="2823" w:hanging="189"/>
      </w:pPr>
      <w:rPr>
        <w:rFonts w:hint="default"/>
      </w:rPr>
    </w:lvl>
    <w:lvl w:ilvl="6">
      <w:start w:val="0"/>
      <w:numFmt w:val="bullet"/>
      <w:lvlText w:val="•"/>
      <w:lvlJc w:val="left"/>
      <w:pPr>
        <w:ind w:left="3363" w:hanging="189"/>
      </w:pPr>
      <w:rPr>
        <w:rFonts w:hint="default"/>
      </w:rPr>
    </w:lvl>
    <w:lvl w:ilvl="7">
      <w:start w:val="0"/>
      <w:numFmt w:val="bullet"/>
      <w:lvlText w:val="•"/>
      <w:lvlJc w:val="left"/>
      <w:pPr>
        <w:ind w:left="3904" w:hanging="189"/>
      </w:pPr>
      <w:rPr>
        <w:rFonts w:hint="default"/>
      </w:rPr>
    </w:lvl>
    <w:lvl w:ilvl="8">
      <w:start w:val="0"/>
      <w:numFmt w:val="bullet"/>
      <w:lvlText w:val="•"/>
      <w:lvlJc w:val="left"/>
      <w:pPr>
        <w:ind w:left="4445" w:hanging="189"/>
      </w:pPr>
      <w:rPr>
        <w:rFonts w:hint="default"/>
      </w:rPr>
    </w:lvl>
  </w:abstractNum>
  <w:abstractNum w:abstractNumId="35">
    <w:multiLevelType w:val="hybridMultilevel"/>
    <w:lvl w:ilvl="0">
      <w:start w:val="1"/>
      <w:numFmt w:val="lowerLetter"/>
      <w:lvlText w:val="%1)"/>
      <w:lvlJc w:val="left"/>
      <w:pPr>
        <w:ind w:left="113" w:hanging="19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7"/>
      </w:pPr>
      <w:rPr>
        <w:rFonts w:hint="default"/>
      </w:rPr>
    </w:lvl>
    <w:lvl w:ilvl="2">
      <w:start w:val="0"/>
      <w:numFmt w:val="bullet"/>
      <w:lvlText w:val="•"/>
      <w:lvlJc w:val="left"/>
      <w:pPr>
        <w:ind w:left="1201" w:hanging="197"/>
      </w:pPr>
      <w:rPr>
        <w:rFonts w:hint="default"/>
      </w:rPr>
    </w:lvl>
    <w:lvl w:ilvl="3">
      <w:start w:val="0"/>
      <w:numFmt w:val="bullet"/>
      <w:lvlText w:val="•"/>
      <w:lvlJc w:val="left"/>
      <w:pPr>
        <w:ind w:left="1741" w:hanging="197"/>
      </w:pPr>
      <w:rPr>
        <w:rFonts w:hint="default"/>
      </w:rPr>
    </w:lvl>
    <w:lvl w:ilvl="4">
      <w:start w:val="0"/>
      <w:numFmt w:val="bullet"/>
      <w:lvlText w:val="•"/>
      <w:lvlJc w:val="left"/>
      <w:pPr>
        <w:ind w:left="2282" w:hanging="197"/>
      </w:pPr>
      <w:rPr>
        <w:rFonts w:hint="default"/>
      </w:rPr>
    </w:lvl>
    <w:lvl w:ilvl="5">
      <w:start w:val="0"/>
      <w:numFmt w:val="bullet"/>
      <w:lvlText w:val="•"/>
      <w:lvlJc w:val="left"/>
      <w:pPr>
        <w:ind w:left="2823" w:hanging="197"/>
      </w:pPr>
      <w:rPr>
        <w:rFonts w:hint="default"/>
      </w:rPr>
    </w:lvl>
    <w:lvl w:ilvl="6">
      <w:start w:val="0"/>
      <w:numFmt w:val="bullet"/>
      <w:lvlText w:val="•"/>
      <w:lvlJc w:val="left"/>
      <w:pPr>
        <w:ind w:left="3363" w:hanging="197"/>
      </w:pPr>
      <w:rPr>
        <w:rFonts w:hint="default"/>
      </w:rPr>
    </w:lvl>
    <w:lvl w:ilvl="7">
      <w:start w:val="0"/>
      <w:numFmt w:val="bullet"/>
      <w:lvlText w:val="•"/>
      <w:lvlJc w:val="left"/>
      <w:pPr>
        <w:ind w:left="3904" w:hanging="197"/>
      </w:pPr>
      <w:rPr>
        <w:rFonts w:hint="default"/>
      </w:rPr>
    </w:lvl>
    <w:lvl w:ilvl="8">
      <w:start w:val="0"/>
      <w:numFmt w:val="bullet"/>
      <w:lvlText w:val="•"/>
      <w:lvlJc w:val="left"/>
      <w:pPr>
        <w:ind w:left="4445" w:hanging="197"/>
      </w:pPr>
      <w:rPr>
        <w:rFonts w:hint="default"/>
      </w:rPr>
    </w:lvl>
  </w:abstractNum>
  <w:abstractNum w:abstractNumId="34">
    <w:multiLevelType w:val="hybridMultilevel"/>
    <w:lvl w:ilvl="0">
      <w:start w:val="1"/>
      <w:numFmt w:val="lowerLetter"/>
      <w:lvlText w:val="%1)"/>
      <w:lvlJc w:val="left"/>
      <w:pPr>
        <w:ind w:left="113" w:hanging="21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10"/>
      </w:pPr>
      <w:rPr>
        <w:rFonts w:hint="default"/>
      </w:rPr>
    </w:lvl>
    <w:lvl w:ilvl="2">
      <w:start w:val="0"/>
      <w:numFmt w:val="bullet"/>
      <w:lvlText w:val="•"/>
      <w:lvlJc w:val="left"/>
      <w:pPr>
        <w:ind w:left="1218" w:hanging="210"/>
      </w:pPr>
      <w:rPr>
        <w:rFonts w:hint="default"/>
      </w:rPr>
    </w:lvl>
    <w:lvl w:ilvl="3">
      <w:start w:val="0"/>
      <w:numFmt w:val="bullet"/>
      <w:lvlText w:val="•"/>
      <w:lvlJc w:val="left"/>
      <w:pPr>
        <w:ind w:left="1767" w:hanging="210"/>
      </w:pPr>
      <w:rPr>
        <w:rFonts w:hint="default"/>
      </w:rPr>
    </w:lvl>
    <w:lvl w:ilvl="4">
      <w:start w:val="0"/>
      <w:numFmt w:val="bullet"/>
      <w:lvlText w:val="•"/>
      <w:lvlJc w:val="left"/>
      <w:pPr>
        <w:ind w:left="2316" w:hanging="210"/>
      </w:pPr>
      <w:rPr>
        <w:rFonts w:hint="default"/>
      </w:rPr>
    </w:lvl>
    <w:lvl w:ilvl="5">
      <w:start w:val="0"/>
      <w:numFmt w:val="bullet"/>
      <w:lvlText w:val="•"/>
      <w:lvlJc w:val="left"/>
      <w:pPr>
        <w:ind w:left="2866" w:hanging="210"/>
      </w:pPr>
      <w:rPr>
        <w:rFonts w:hint="default"/>
      </w:rPr>
    </w:lvl>
    <w:lvl w:ilvl="6">
      <w:start w:val="0"/>
      <w:numFmt w:val="bullet"/>
      <w:lvlText w:val="•"/>
      <w:lvlJc w:val="left"/>
      <w:pPr>
        <w:ind w:left="3415" w:hanging="210"/>
      </w:pPr>
      <w:rPr>
        <w:rFonts w:hint="default"/>
      </w:rPr>
    </w:lvl>
    <w:lvl w:ilvl="7">
      <w:start w:val="0"/>
      <w:numFmt w:val="bullet"/>
      <w:lvlText w:val="•"/>
      <w:lvlJc w:val="left"/>
      <w:pPr>
        <w:ind w:left="3964" w:hanging="210"/>
      </w:pPr>
      <w:rPr>
        <w:rFonts w:hint="default"/>
      </w:rPr>
    </w:lvl>
    <w:lvl w:ilvl="8">
      <w:start w:val="0"/>
      <w:numFmt w:val="bullet"/>
      <w:lvlText w:val="•"/>
      <w:lvlJc w:val="left"/>
      <w:pPr>
        <w:ind w:left="4513" w:hanging="210"/>
      </w:pPr>
      <w:rPr>
        <w:rFonts w:hint="default"/>
      </w:rPr>
    </w:lvl>
  </w:abstractNum>
  <w:abstractNum w:abstractNumId="33">
    <w:multiLevelType w:val="hybridMultilevel"/>
    <w:lvl w:ilvl="0">
      <w:start w:val="1"/>
      <w:numFmt w:val="lowerLetter"/>
      <w:lvlText w:val="%1)"/>
      <w:lvlJc w:val="left"/>
      <w:pPr>
        <w:ind w:left="113" w:hanging="19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7"/>
      </w:pPr>
      <w:rPr>
        <w:rFonts w:hint="default"/>
      </w:rPr>
    </w:lvl>
    <w:lvl w:ilvl="2">
      <w:start w:val="0"/>
      <w:numFmt w:val="bullet"/>
      <w:lvlText w:val="•"/>
      <w:lvlJc w:val="left"/>
      <w:pPr>
        <w:ind w:left="1201" w:hanging="197"/>
      </w:pPr>
      <w:rPr>
        <w:rFonts w:hint="default"/>
      </w:rPr>
    </w:lvl>
    <w:lvl w:ilvl="3">
      <w:start w:val="0"/>
      <w:numFmt w:val="bullet"/>
      <w:lvlText w:val="•"/>
      <w:lvlJc w:val="left"/>
      <w:pPr>
        <w:ind w:left="1741" w:hanging="197"/>
      </w:pPr>
      <w:rPr>
        <w:rFonts w:hint="default"/>
      </w:rPr>
    </w:lvl>
    <w:lvl w:ilvl="4">
      <w:start w:val="0"/>
      <w:numFmt w:val="bullet"/>
      <w:lvlText w:val="•"/>
      <w:lvlJc w:val="left"/>
      <w:pPr>
        <w:ind w:left="2282" w:hanging="197"/>
      </w:pPr>
      <w:rPr>
        <w:rFonts w:hint="default"/>
      </w:rPr>
    </w:lvl>
    <w:lvl w:ilvl="5">
      <w:start w:val="0"/>
      <w:numFmt w:val="bullet"/>
      <w:lvlText w:val="•"/>
      <w:lvlJc w:val="left"/>
      <w:pPr>
        <w:ind w:left="2823" w:hanging="197"/>
      </w:pPr>
      <w:rPr>
        <w:rFonts w:hint="default"/>
      </w:rPr>
    </w:lvl>
    <w:lvl w:ilvl="6">
      <w:start w:val="0"/>
      <w:numFmt w:val="bullet"/>
      <w:lvlText w:val="•"/>
      <w:lvlJc w:val="left"/>
      <w:pPr>
        <w:ind w:left="3363" w:hanging="197"/>
      </w:pPr>
      <w:rPr>
        <w:rFonts w:hint="default"/>
      </w:rPr>
    </w:lvl>
    <w:lvl w:ilvl="7">
      <w:start w:val="0"/>
      <w:numFmt w:val="bullet"/>
      <w:lvlText w:val="•"/>
      <w:lvlJc w:val="left"/>
      <w:pPr>
        <w:ind w:left="3904" w:hanging="197"/>
      </w:pPr>
      <w:rPr>
        <w:rFonts w:hint="default"/>
      </w:rPr>
    </w:lvl>
    <w:lvl w:ilvl="8">
      <w:start w:val="0"/>
      <w:numFmt w:val="bullet"/>
      <w:lvlText w:val="•"/>
      <w:lvlJc w:val="left"/>
      <w:pPr>
        <w:ind w:left="4445" w:hanging="197"/>
      </w:pPr>
      <w:rPr>
        <w:rFonts w:hint="default"/>
      </w:rPr>
    </w:lvl>
  </w:abstractNum>
  <w:abstractNum w:abstractNumId="32">
    <w:multiLevelType w:val="hybridMultilevel"/>
    <w:lvl w:ilvl="0">
      <w:start w:val="2"/>
      <w:numFmt w:val="lowerLetter"/>
      <w:lvlText w:val="%1)"/>
      <w:lvlJc w:val="left"/>
      <w:pPr>
        <w:ind w:left="113" w:hanging="198"/>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198"/>
      </w:pPr>
      <w:rPr>
        <w:rFonts w:hint="default"/>
      </w:rPr>
    </w:lvl>
    <w:lvl w:ilvl="2">
      <w:start w:val="0"/>
      <w:numFmt w:val="bullet"/>
      <w:lvlText w:val="•"/>
      <w:lvlJc w:val="left"/>
      <w:pPr>
        <w:ind w:left="1218" w:hanging="198"/>
      </w:pPr>
      <w:rPr>
        <w:rFonts w:hint="default"/>
      </w:rPr>
    </w:lvl>
    <w:lvl w:ilvl="3">
      <w:start w:val="0"/>
      <w:numFmt w:val="bullet"/>
      <w:lvlText w:val="•"/>
      <w:lvlJc w:val="left"/>
      <w:pPr>
        <w:ind w:left="1767" w:hanging="198"/>
      </w:pPr>
      <w:rPr>
        <w:rFonts w:hint="default"/>
      </w:rPr>
    </w:lvl>
    <w:lvl w:ilvl="4">
      <w:start w:val="0"/>
      <w:numFmt w:val="bullet"/>
      <w:lvlText w:val="•"/>
      <w:lvlJc w:val="left"/>
      <w:pPr>
        <w:ind w:left="2316" w:hanging="198"/>
      </w:pPr>
      <w:rPr>
        <w:rFonts w:hint="default"/>
      </w:rPr>
    </w:lvl>
    <w:lvl w:ilvl="5">
      <w:start w:val="0"/>
      <w:numFmt w:val="bullet"/>
      <w:lvlText w:val="•"/>
      <w:lvlJc w:val="left"/>
      <w:pPr>
        <w:ind w:left="2866" w:hanging="198"/>
      </w:pPr>
      <w:rPr>
        <w:rFonts w:hint="default"/>
      </w:rPr>
    </w:lvl>
    <w:lvl w:ilvl="6">
      <w:start w:val="0"/>
      <w:numFmt w:val="bullet"/>
      <w:lvlText w:val="•"/>
      <w:lvlJc w:val="left"/>
      <w:pPr>
        <w:ind w:left="3415" w:hanging="198"/>
      </w:pPr>
      <w:rPr>
        <w:rFonts w:hint="default"/>
      </w:rPr>
    </w:lvl>
    <w:lvl w:ilvl="7">
      <w:start w:val="0"/>
      <w:numFmt w:val="bullet"/>
      <w:lvlText w:val="•"/>
      <w:lvlJc w:val="left"/>
      <w:pPr>
        <w:ind w:left="3964" w:hanging="198"/>
      </w:pPr>
      <w:rPr>
        <w:rFonts w:hint="default"/>
      </w:rPr>
    </w:lvl>
    <w:lvl w:ilvl="8">
      <w:start w:val="0"/>
      <w:numFmt w:val="bullet"/>
      <w:lvlText w:val="•"/>
      <w:lvlJc w:val="left"/>
      <w:pPr>
        <w:ind w:left="4513" w:hanging="198"/>
      </w:pPr>
      <w:rPr>
        <w:rFonts w:hint="default"/>
      </w:rPr>
    </w:lvl>
  </w:abstractNum>
  <w:abstractNum w:abstractNumId="31">
    <w:multiLevelType w:val="hybridMultilevel"/>
    <w:lvl w:ilvl="0">
      <w:start w:val="2"/>
      <w:numFmt w:val="lowerLetter"/>
      <w:lvlText w:val="%1)"/>
      <w:lvlJc w:val="left"/>
      <w:pPr>
        <w:ind w:left="113" w:hanging="237"/>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237"/>
      </w:pPr>
      <w:rPr>
        <w:rFonts w:hint="default"/>
      </w:rPr>
    </w:lvl>
    <w:lvl w:ilvl="2">
      <w:start w:val="0"/>
      <w:numFmt w:val="bullet"/>
      <w:lvlText w:val="•"/>
      <w:lvlJc w:val="left"/>
      <w:pPr>
        <w:ind w:left="1201" w:hanging="237"/>
      </w:pPr>
      <w:rPr>
        <w:rFonts w:hint="default"/>
      </w:rPr>
    </w:lvl>
    <w:lvl w:ilvl="3">
      <w:start w:val="0"/>
      <w:numFmt w:val="bullet"/>
      <w:lvlText w:val="•"/>
      <w:lvlJc w:val="left"/>
      <w:pPr>
        <w:ind w:left="1741" w:hanging="237"/>
      </w:pPr>
      <w:rPr>
        <w:rFonts w:hint="default"/>
      </w:rPr>
    </w:lvl>
    <w:lvl w:ilvl="4">
      <w:start w:val="0"/>
      <w:numFmt w:val="bullet"/>
      <w:lvlText w:val="•"/>
      <w:lvlJc w:val="left"/>
      <w:pPr>
        <w:ind w:left="2282" w:hanging="237"/>
      </w:pPr>
      <w:rPr>
        <w:rFonts w:hint="default"/>
      </w:rPr>
    </w:lvl>
    <w:lvl w:ilvl="5">
      <w:start w:val="0"/>
      <w:numFmt w:val="bullet"/>
      <w:lvlText w:val="•"/>
      <w:lvlJc w:val="left"/>
      <w:pPr>
        <w:ind w:left="2823" w:hanging="237"/>
      </w:pPr>
      <w:rPr>
        <w:rFonts w:hint="default"/>
      </w:rPr>
    </w:lvl>
    <w:lvl w:ilvl="6">
      <w:start w:val="0"/>
      <w:numFmt w:val="bullet"/>
      <w:lvlText w:val="•"/>
      <w:lvlJc w:val="left"/>
      <w:pPr>
        <w:ind w:left="3363" w:hanging="237"/>
      </w:pPr>
      <w:rPr>
        <w:rFonts w:hint="default"/>
      </w:rPr>
    </w:lvl>
    <w:lvl w:ilvl="7">
      <w:start w:val="0"/>
      <w:numFmt w:val="bullet"/>
      <w:lvlText w:val="•"/>
      <w:lvlJc w:val="left"/>
      <w:pPr>
        <w:ind w:left="3904" w:hanging="237"/>
      </w:pPr>
      <w:rPr>
        <w:rFonts w:hint="default"/>
      </w:rPr>
    </w:lvl>
    <w:lvl w:ilvl="8">
      <w:start w:val="0"/>
      <w:numFmt w:val="bullet"/>
      <w:lvlText w:val="•"/>
      <w:lvlJc w:val="left"/>
      <w:pPr>
        <w:ind w:left="4445" w:hanging="237"/>
      </w:pPr>
      <w:rPr>
        <w:rFonts w:hint="default"/>
      </w:rPr>
    </w:lvl>
  </w:abstractNum>
  <w:abstractNum w:abstractNumId="30">
    <w:multiLevelType w:val="hybridMultilevel"/>
    <w:lvl w:ilvl="0">
      <w:start w:val="1"/>
      <w:numFmt w:val="lowerLetter"/>
      <w:lvlText w:val="%1)"/>
      <w:lvlJc w:val="left"/>
      <w:pPr>
        <w:ind w:left="113" w:hanging="20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1"/>
      </w:pPr>
      <w:rPr>
        <w:rFonts w:hint="default"/>
      </w:rPr>
    </w:lvl>
    <w:lvl w:ilvl="2">
      <w:start w:val="0"/>
      <w:numFmt w:val="bullet"/>
      <w:lvlText w:val="•"/>
      <w:lvlJc w:val="left"/>
      <w:pPr>
        <w:ind w:left="1218" w:hanging="201"/>
      </w:pPr>
      <w:rPr>
        <w:rFonts w:hint="default"/>
      </w:rPr>
    </w:lvl>
    <w:lvl w:ilvl="3">
      <w:start w:val="0"/>
      <w:numFmt w:val="bullet"/>
      <w:lvlText w:val="•"/>
      <w:lvlJc w:val="left"/>
      <w:pPr>
        <w:ind w:left="1767" w:hanging="201"/>
      </w:pPr>
      <w:rPr>
        <w:rFonts w:hint="default"/>
      </w:rPr>
    </w:lvl>
    <w:lvl w:ilvl="4">
      <w:start w:val="0"/>
      <w:numFmt w:val="bullet"/>
      <w:lvlText w:val="•"/>
      <w:lvlJc w:val="left"/>
      <w:pPr>
        <w:ind w:left="2316" w:hanging="201"/>
      </w:pPr>
      <w:rPr>
        <w:rFonts w:hint="default"/>
      </w:rPr>
    </w:lvl>
    <w:lvl w:ilvl="5">
      <w:start w:val="0"/>
      <w:numFmt w:val="bullet"/>
      <w:lvlText w:val="•"/>
      <w:lvlJc w:val="left"/>
      <w:pPr>
        <w:ind w:left="2866" w:hanging="201"/>
      </w:pPr>
      <w:rPr>
        <w:rFonts w:hint="default"/>
      </w:rPr>
    </w:lvl>
    <w:lvl w:ilvl="6">
      <w:start w:val="0"/>
      <w:numFmt w:val="bullet"/>
      <w:lvlText w:val="•"/>
      <w:lvlJc w:val="left"/>
      <w:pPr>
        <w:ind w:left="3415" w:hanging="201"/>
      </w:pPr>
      <w:rPr>
        <w:rFonts w:hint="default"/>
      </w:rPr>
    </w:lvl>
    <w:lvl w:ilvl="7">
      <w:start w:val="0"/>
      <w:numFmt w:val="bullet"/>
      <w:lvlText w:val="•"/>
      <w:lvlJc w:val="left"/>
      <w:pPr>
        <w:ind w:left="3964" w:hanging="201"/>
      </w:pPr>
      <w:rPr>
        <w:rFonts w:hint="default"/>
      </w:rPr>
    </w:lvl>
    <w:lvl w:ilvl="8">
      <w:start w:val="0"/>
      <w:numFmt w:val="bullet"/>
      <w:lvlText w:val="•"/>
      <w:lvlJc w:val="left"/>
      <w:pPr>
        <w:ind w:left="4513" w:hanging="201"/>
      </w:pPr>
      <w:rPr>
        <w:rFonts w:hint="default"/>
      </w:rPr>
    </w:lvl>
  </w:abstractNum>
  <w:abstractNum w:abstractNumId="29">
    <w:multiLevelType w:val="hybridMultilevel"/>
    <w:lvl w:ilvl="0">
      <w:start w:val="2"/>
      <w:numFmt w:val="lowerLetter"/>
      <w:lvlText w:val="%1)"/>
      <w:lvlJc w:val="left"/>
      <w:pPr>
        <w:ind w:left="113" w:hanging="207"/>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07"/>
      </w:pPr>
      <w:rPr>
        <w:rFonts w:hint="default"/>
      </w:rPr>
    </w:lvl>
    <w:lvl w:ilvl="2">
      <w:start w:val="0"/>
      <w:numFmt w:val="bullet"/>
      <w:lvlText w:val="•"/>
      <w:lvlJc w:val="left"/>
      <w:pPr>
        <w:ind w:left="1218" w:hanging="207"/>
      </w:pPr>
      <w:rPr>
        <w:rFonts w:hint="default"/>
      </w:rPr>
    </w:lvl>
    <w:lvl w:ilvl="3">
      <w:start w:val="0"/>
      <w:numFmt w:val="bullet"/>
      <w:lvlText w:val="•"/>
      <w:lvlJc w:val="left"/>
      <w:pPr>
        <w:ind w:left="1767" w:hanging="207"/>
      </w:pPr>
      <w:rPr>
        <w:rFonts w:hint="default"/>
      </w:rPr>
    </w:lvl>
    <w:lvl w:ilvl="4">
      <w:start w:val="0"/>
      <w:numFmt w:val="bullet"/>
      <w:lvlText w:val="•"/>
      <w:lvlJc w:val="left"/>
      <w:pPr>
        <w:ind w:left="2316" w:hanging="207"/>
      </w:pPr>
      <w:rPr>
        <w:rFonts w:hint="default"/>
      </w:rPr>
    </w:lvl>
    <w:lvl w:ilvl="5">
      <w:start w:val="0"/>
      <w:numFmt w:val="bullet"/>
      <w:lvlText w:val="•"/>
      <w:lvlJc w:val="left"/>
      <w:pPr>
        <w:ind w:left="2866" w:hanging="207"/>
      </w:pPr>
      <w:rPr>
        <w:rFonts w:hint="default"/>
      </w:rPr>
    </w:lvl>
    <w:lvl w:ilvl="6">
      <w:start w:val="0"/>
      <w:numFmt w:val="bullet"/>
      <w:lvlText w:val="•"/>
      <w:lvlJc w:val="left"/>
      <w:pPr>
        <w:ind w:left="3415" w:hanging="207"/>
      </w:pPr>
      <w:rPr>
        <w:rFonts w:hint="default"/>
      </w:rPr>
    </w:lvl>
    <w:lvl w:ilvl="7">
      <w:start w:val="0"/>
      <w:numFmt w:val="bullet"/>
      <w:lvlText w:val="•"/>
      <w:lvlJc w:val="left"/>
      <w:pPr>
        <w:ind w:left="3964" w:hanging="207"/>
      </w:pPr>
      <w:rPr>
        <w:rFonts w:hint="default"/>
      </w:rPr>
    </w:lvl>
    <w:lvl w:ilvl="8">
      <w:start w:val="0"/>
      <w:numFmt w:val="bullet"/>
      <w:lvlText w:val="•"/>
      <w:lvlJc w:val="left"/>
      <w:pPr>
        <w:ind w:left="4513" w:hanging="207"/>
      </w:pPr>
      <w:rPr>
        <w:rFonts w:hint="default"/>
      </w:rPr>
    </w:lvl>
  </w:abstractNum>
  <w:abstractNum w:abstractNumId="28">
    <w:multiLevelType w:val="hybridMultilevel"/>
    <w:lvl w:ilvl="0">
      <w:start w:val="2"/>
      <w:numFmt w:val="lowerLetter"/>
      <w:lvlText w:val="%1)"/>
      <w:lvlJc w:val="left"/>
      <w:pPr>
        <w:ind w:left="113" w:hanging="197"/>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197"/>
      </w:pPr>
      <w:rPr>
        <w:rFonts w:hint="default"/>
      </w:rPr>
    </w:lvl>
    <w:lvl w:ilvl="2">
      <w:start w:val="0"/>
      <w:numFmt w:val="bullet"/>
      <w:lvlText w:val="•"/>
      <w:lvlJc w:val="left"/>
      <w:pPr>
        <w:ind w:left="1218" w:hanging="197"/>
      </w:pPr>
      <w:rPr>
        <w:rFonts w:hint="default"/>
      </w:rPr>
    </w:lvl>
    <w:lvl w:ilvl="3">
      <w:start w:val="0"/>
      <w:numFmt w:val="bullet"/>
      <w:lvlText w:val="•"/>
      <w:lvlJc w:val="left"/>
      <w:pPr>
        <w:ind w:left="1767" w:hanging="197"/>
      </w:pPr>
      <w:rPr>
        <w:rFonts w:hint="default"/>
      </w:rPr>
    </w:lvl>
    <w:lvl w:ilvl="4">
      <w:start w:val="0"/>
      <w:numFmt w:val="bullet"/>
      <w:lvlText w:val="•"/>
      <w:lvlJc w:val="left"/>
      <w:pPr>
        <w:ind w:left="2316" w:hanging="197"/>
      </w:pPr>
      <w:rPr>
        <w:rFonts w:hint="default"/>
      </w:rPr>
    </w:lvl>
    <w:lvl w:ilvl="5">
      <w:start w:val="0"/>
      <w:numFmt w:val="bullet"/>
      <w:lvlText w:val="•"/>
      <w:lvlJc w:val="left"/>
      <w:pPr>
        <w:ind w:left="2866" w:hanging="197"/>
      </w:pPr>
      <w:rPr>
        <w:rFonts w:hint="default"/>
      </w:rPr>
    </w:lvl>
    <w:lvl w:ilvl="6">
      <w:start w:val="0"/>
      <w:numFmt w:val="bullet"/>
      <w:lvlText w:val="•"/>
      <w:lvlJc w:val="left"/>
      <w:pPr>
        <w:ind w:left="3415" w:hanging="197"/>
      </w:pPr>
      <w:rPr>
        <w:rFonts w:hint="default"/>
      </w:rPr>
    </w:lvl>
    <w:lvl w:ilvl="7">
      <w:start w:val="0"/>
      <w:numFmt w:val="bullet"/>
      <w:lvlText w:val="•"/>
      <w:lvlJc w:val="left"/>
      <w:pPr>
        <w:ind w:left="3964" w:hanging="197"/>
      </w:pPr>
      <w:rPr>
        <w:rFonts w:hint="default"/>
      </w:rPr>
    </w:lvl>
    <w:lvl w:ilvl="8">
      <w:start w:val="0"/>
      <w:numFmt w:val="bullet"/>
      <w:lvlText w:val="•"/>
      <w:lvlJc w:val="left"/>
      <w:pPr>
        <w:ind w:left="4513" w:hanging="197"/>
      </w:pPr>
      <w:rPr>
        <w:rFonts w:hint="default"/>
      </w:rPr>
    </w:lvl>
  </w:abstractNum>
  <w:abstractNum w:abstractNumId="27">
    <w:multiLevelType w:val="hybridMultilevel"/>
    <w:lvl w:ilvl="0">
      <w:start w:val="1"/>
      <w:numFmt w:val="lowerLetter"/>
      <w:lvlText w:val="%1)"/>
      <w:lvlJc w:val="left"/>
      <w:pPr>
        <w:ind w:left="113" w:hanging="20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03"/>
      </w:pPr>
      <w:rPr>
        <w:rFonts w:hint="default"/>
      </w:rPr>
    </w:lvl>
    <w:lvl w:ilvl="2">
      <w:start w:val="0"/>
      <w:numFmt w:val="bullet"/>
      <w:lvlText w:val="•"/>
      <w:lvlJc w:val="left"/>
      <w:pPr>
        <w:ind w:left="1201" w:hanging="203"/>
      </w:pPr>
      <w:rPr>
        <w:rFonts w:hint="default"/>
      </w:rPr>
    </w:lvl>
    <w:lvl w:ilvl="3">
      <w:start w:val="0"/>
      <w:numFmt w:val="bullet"/>
      <w:lvlText w:val="•"/>
      <w:lvlJc w:val="left"/>
      <w:pPr>
        <w:ind w:left="1742" w:hanging="203"/>
      </w:pPr>
      <w:rPr>
        <w:rFonts w:hint="default"/>
      </w:rPr>
    </w:lvl>
    <w:lvl w:ilvl="4">
      <w:start w:val="0"/>
      <w:numFmt w:val="bullet"/>
      <w:lvlText w:val="•"/>
      <w:lvlJc w:val="left"/>
      <w:pPr>
        <w:ind w:left="2282" w:hanging="203"/>
      </w:pPr>
      <w:rPr>
        <w:rFonts w:hint="default"/>
      </w:rPr>
    </w:lvl>
    <w:lvl w:ilvl="5">
      <w:start w:val="0"/>
      <w:numFmt w:val="bullet"/>
      <w:lvlText w:val="•"/>
      <w:lvlJc w:val="left"/>
      <w:pPr>
        <w:ind w:left="2823" w:hanging="203"/>
      </w:pPr>
      <w:rPr>
        <w:rFonts w:hint="default"/>
      </w:rPr>
    </w:lvl>
    <w:lvl w:ilvl="6">
      <w:start w:val="0"/>
      <w:numFmt w:val="bullet"/>
      <w:lvlText w:val="•"/>
      <w:lvlJc w:val="left"/>
      <w:pPr>
        <w:ind w:left="3364" w:hanging="203"/>
      </w:pPr>
      <w:rPr>
        <w:rFonts w:hint="default"/>
      </w:rPr>
    </w:lvl>
    <w:lvl w:ilvl="7">
      <w:start w:val="0"/>
      <w:numFmt w:val="bullet"/>
      <w:lvlText w:val="•"/>
      <w:lvlJc w:val="left"/>
      <w:pPr>
        <w:ind w:left="3904" w:hanging="203"/>
      </w:pPr>
      <w:rPr>
        <w:rFonts w:hint="default"/>
      </w:rPr>
    </w:lvl>
    <w:lvl w:ilvl="8">
      <w:start w:val="0"/>
      <w:numFmt w:val="bullet"/>
      <w:lvlText w:val="•"/>
      <w:lvlJc w:val="left"/>
      <w:pPr>
        <w:ind w:left="4445" w:hanging="203"/>
      </w:pPr>
      <w:rPr>
        <w:rFonts w:hint="default"/>
      </w:rPr>
    </w:lvl>
  </w:abstractNum>
  <w:abstractNum w:abstractNumId="26">
    <w:multiLevelType w:val="hybridMultilevel"/>
    <w:lvl w:ilvl="0">
      <w:start w:val="2"/>
      <w:numFmt w:val="lowerLetter"/>
      <w:lvlText w:val="%1)"/>
      <w:lvlJc w:val="left"/>
      <w:pPr>
        <w:ind w:left="113" w:hanging="228"/>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228"/>
      </w:pPr>
      <w:rPr>
        <w:rFonts w:hint="default"/>
      </w:rPr>
    </w:lvl>
    <w:lvl w:ilvl="2">
      <w:start w:val="0"/>
      <w:numFmt w:val="bullet"/>
      <w:lvlText w:val="•"/>
      <w:lvlJc w:val="left"/>
      <w:pPr>
        <w:ind w:left="1201" w:hanging="228"/>
      </w:pPr>
      <w:rPr>
        <w:rFonts w:hint="default"/>
      </w:rPr>
    </w:lvl>
    <w:lvl w:ilvl="3">
      <w:start w:val="0"/>
      <w:numFmt w:val="bullet"/>
      <w:lvlText w:val="•"/>
      <w:lvlJc w:val="left"/>
      <w:pPr>
        <w:ind w:left="1742" w:hanging="228"/>
      </w:pPr>
      <w:rPr>
        <w:rFonts w:hint="default"/>
      </w:rPr>
    </w:lvl>
    <w:lvl w:ilvl="4">
      <w:start w:val="0"/>
      <w:numFmt w:val="bullet"/>
      <w:lvlText w:val="•"/>
      <w:lvlJc w:val="left"/>
      <w:pPr>
        <w:ind w:left="2282" w:hanging="228"/>
      </w:pPr>
      <w:rPr>
        <w:rFonts w:hint="default"/>
      </w:rPr>
    </w:lvl>
    <w:lvl w:ilvl="5">
      <w:start w:val="0"/>
      <w:numFmt w:val="bullet"/>
      <w:lvlText w:val="•"/>
      <w:lvlJc w:val="left"/>
      <w:pPr>
        <w:ind w:left="2823" w:hanging="228"/>
      </w:pPr>
      <w:rPr>
        <w:rFonts w:hint="default"/>
      </w:rPr>
    </w:lvl>
    <w:lvl w:ilvl="6">
      <w:start w:val="0"/>
      <w:numFmt w:val="bullet"/>
      <w:lvlText w:val="•"/>
      <w:lvlJc w:val="left"/>
      <w:pPr>
        <w:ind w:left="3364" w:hanging="228"/>
      </w:pPr>
      <w:rPr>
        <w:rFonts w:hint="default"/>
      </w:rPr>
    </w:lvl>
    <w:lvl w:ilvl="7">
      <w:start w:val="0"/>
      <w:numFmt w:val="bullet"/>
      <w:lvlText w:val="•"/>
      <w:lvlJc w:val="left"/>
      <w:pPr>
        <w:ind w:left="3904" w:hanging="228"/>
      </w:pPr>
      <w:rPr>
        <w:rFonts w:hint="default"/>
      </w:rPr>
    </w:lvl>
    <w:lvl w:ilvl="8">
      <w:start w:val="0"/>
      <w:numFmt w:val="bullet"/>
      <w:lvlText w:val="•"/>
      <w:lvlJc w:val="left"/>
      <w:pPr>
        <w:ind w:left="4445" w:hanging="228"/>
      </w:pPr>
      <w:rPr>
        <w:rFonts w:hint="default"/>
      </w:rPr>
    </w:lvl>
  </w:abstractNum>
  <w:abstractNum w:abstractNumId="25">
    <w:multiLevelType w:val="hybridMultilevel"/>
    <w:lvl w:ilvl="0">
      <w:start w:val="2"/>
      <w:numFmt w:val="lowerLetter"/>
      <w:lvlText w:val="%1)"/>
      <w:lvlJc w:val="left"/>
      <w:pPr>
        <w:ind w:left="113" w:hanging="184"/>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184"/>
      </w:pPr>
      <w:rPr>
        <w:rFonts w:hint="default"/>
      </w:rPr>
    </w:lvl>
    <w:lvl w:ilvl="2">
      <w:start w:val="0"/>
      <w:numFmt w:val="bullet"/>
      <w:lvlText w:val="•"/>
      <w:lvlJc w:val="left"/>
      <w:pPr>
        <w:ind w:left="1201" w:hanging="184"/>
      </w:pPr>
      <w:rPr>
        <w:rFonts w:hint="default"/>
      </w:rPr>
    </w:lvl>
    <w:lvl w:ilvl="3">
      <w:start w:val="0"/>
      <w:numFmt w:val="bullet"/>
      <w:lvlText w:val="•"/>
      <w:lvlJc w:val="left"/>
      <w:pPr>
        <w:ind w:left="1742" w:hanging="184"/>
      </w:pPr>
      <w:rPr>
        <w:rFonts w:hint="default"/>
      </w:rPr>
    </w:lvl>
    <w:lvl w:ilvl="4">
      <w:start w:val="0"/>
      <w:numFmt w:val="bullet"/>
      <w:lvlText w:val="•"/>
      <w:lvlJc w:val="left"/>
      <w:pPr>
        <w:ind w:left="2282" w:hanging="184"/>
      </w:pPr>
      <w:rPr>
        <w:rFonts w:hint="default"/>
      </w:rPr>
    </w:lvl>
    <w:lvl w:ilvl="5">
      <w:start w:val="0"/>
      <w:numFmt w:val="bullet"/>
      <w:lvlText w:val="•"/>
      <w:lvlJc w:val="left"/>
      <w:pPr>
        <w:ind w:left="2823" w:hanging="184"/>
      </w:pPr>
      <w:rPr>
        <w:rFonts w:hint="default"/>
      </w:rPr>
    </w:lvl>
    <w:lvl w:ilvl="6">
      <w:start w:val="0"/>
      <w:numFmt w:val="bullet"/>
      <w:lvlText w:val="•"/>
      <w:lvlJc w:val="left"/>
      <w:pPr>
        <w:ind w:left="3364" w:hanging="184"/>
      </w:pPr>
      <w:rPr>
        <w:rFonts w:hint="default"/>
      </w:rPr>
    </w:lvl>
    <w:lvl w:ilvl="7">
      <w:start w:val="0"/>
      <w:numFmt w:val="bullet"/>
      <w:lvlText w:val="•"/>
      <w:lvlJc w:val="left"/>
      <w:pPr>
        <w:ind w:left="3904" w:hanging="184"/>
      </w:pPr>
      <w:rPr>
        <w:rFonts w:hint="default"/>
      </w:rPr>
    </w:lvl>
    <w:lvl w:ilvl="8">
      <w:start w:val="0"/>
      <w:numFmt w:val="bullet"/>
      <w:lvlText w:val="•"/>
      <w:lvlJc w:val="left"/>
      <w:pPr>
        <w:ind w:left="4445" w:hanging="184"/>
      </w:pPr>
      <w:rPr>
        <w:rFonts w:hint="default"/>
      </w:rPr>
    </w:lvl>
  </w:abstractNum>
  <w:abstractNum w:abstractNumId="24">
    <w:multiLevelType w:val="hybridMultilevel"/>
    <w:lvl w:ilvl="0">
      <w:start w:val="1"/>
      <w:numFmt w:val="lowerLetter"/>
      <w:lvlText w:val="%1)"/>
      <w:lvlJc w:val="left"/>
      <w:pPr>
        <w:ind w:left="113" w:hanging="20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1"/>
      </w:pPr>
      <w:rPr>
        <w:rFonts w:hint="default"/>
      </w:rPr>
    </w:lvl>
    <w:lvl w:ilvl="2">
      <w:start w:val="0"/>
      <w:numFmt w:val="bullet"/>
      <w:lvlText w:val="•"/>
      <w:lvlJc w:val="left"/>
      <w:pPr>
        <w:ind w:left="1218" w:hanging="201"/>
      </w:pPr>
      <w:rPr>
        <w:rFonts w:hint="default"/>
      </w:rPr>
    </w:lvl>
    <w:lvl w:ilvl="3">
      <w:start w:val="0"/>
      <w:numFmt w:val="bullet"/>
      <w:lvlText w:val="•"/>
      <w:lvlJc w:val="left"/>
      <w:pPr>
        <w:ind w:left="1767" w:hanging="201"/>
      </w:pPr>
      <w:rPr>
        <w:rFonts w:hint="default"/>
      </w:rPr>
    </w:lvl>
    <w:lvl w:ilvl="4">
      <w:start w:val="0"/>
      <w:numFmt w:val="bullet"/>
      <w:lvlText w:val="•"/>
      <w:lvlJc w:val="left"/>
      <w:pPr>
        <w:ind w:left="2316" w:hanging="201"/>
      </w:pPr>
      <w:rPr>
        <w:rFonts w:hint="default"/>
      </w:rPr>
    </w:lvl>
    <w:lvl w:ilvl="5">
      <w:start w:val="0"/>
      <w:numFmt w:val="bullet"/>
      <w:lvlText w:val="•"/>
      <w:lvlJc w:val="left"/>
      <w:pPr>
        <w:ind w:left="2866" w:hanging="201"/>
      </w:pPr>
      <w:rPr>
        <w:rFonts w:hint="default"/>
      </w:rPr>
    </w:lvl>
    <w:lvl w:ilvl="6">
      <w:start w:val="0"/>
      <w:numFmt w:val="bullet"/>
      <w:lvlText w:val="•"/>
      <w:lvlJc w:val="left"/>
      <w:pPr>
        <w:ind w:left="3415" w:hanging="201"/>
      </w:pPr>
      <w:rPr>
        <w:rFonts w:hint="default"/>
      </w:rPr>
    </w:lvl>
    <w:lvl w:ilvl="7">
      <w:start w:val="0"/>
      <w:numFmt w:val="bullet"/>
      <w:lvlText w:val="•"/>
      <w:lvlJc w:val="left"/>
      <w:pPr>
        <w:ind w:left="3964" w:hanging="201"/>
      </w:pPr>
      <w:rPr>
        <w:rFonts w:hint="default"/>
      </w:rPr>
    </w:lvl>
    <w:lvl w:ilvl="8">
      <w:start w:val="0"/>
      <w:numFmt w:val="bullet"/>
      <w:lvlText w:val="•"/>
      <w:lvlJc w:val="left"/>
      <w:pPr>
        <w:ind w:left="4513" w:hanging="201"/>
      </w:pPr>
      <w:rPr>
        <w:rFonts w:hint="default"/>
      </w:rPr>
    </w:lvl>
  </w:abstractNum>
  <w:abstractNum w:abstractNumId="23">
    <w:multiLevelType w:val="hybridMultilevel"/>
    <w:lvl w:ilvl="0">
      <w:start w:val="2"/>
      <w:numFmt w:val="lowerLetter"/>
      <w:lvlText w:val="%1)"/>
      <w:lvlJc w:val="left"/>
      <w:pPr>
        <w:ind w:left="113" w:hanging="207"/>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07"/>
      </w:pPr>
      <w:rPr>
        <w:rFonts w:hint="default"/>
      </w:rPr>
    </w:lvl>
    <w:lvl w:ilvl="2">
      <w:start w:val="0"/>
      <w:numFmt w:val="bullet"/>
      <w:lvlText w:val="•"/>
      <w:lvlJc w:val="left"/>
      <w:pPr>
        <w:ind w:left="1218" w:hanging="207"/>
      </w:pPr>
      <w:rPr>
        <w:rFonts w:hint="default"/>
      </w:rPr>
    </w:lvl>
    <w:lvl w:ilvl="3">
      <w:start w:val="0"/>
      <w:numFmt w:val="bullet"/>
      <w:lvlText w:val="•"/>
      <w:lvlJc w:val="left"/>
      <w:pPr>
        <w:ind w:left="1767" w:hanging="207"/>
      </w:pPr>
      <w:rPr>
        <w:rFonts w:hint="default"/>
      </w:rPr>
    </w:lvl>
    <w:lvl w:ilvl="4">
      <w:start w:val="0"/>
      <w:numFmt w:val="bullet"/>
      <w:lvlText w:val="•"/>
      <w:lvlJc w:val="left"/>
      <w:pPr>
        <w:ind w:left="2316" w:hanging="207"/>
      </w:pPr>
      <w:rPr>
        <w:rFonts w:hint="default"/>
      </w:rPr>
    </w:lvl>
    <w:lvl w:ilvl="5">
      <w:start w:val="0"/>
      <w:numFmt w:val="bullet"/>
      <w:lvlText w:val="•"/>
      <w:lvlJc w:val="left"/>
      <w:pPr>
        <w:ind w:left="2866" w:hanging="207"/>
      </w:pPr>
      <w:rPr>
        <w:rFonts w:hint="default"/>
      </w:rPr>
    </w:lvl>
    <w:lvl w:ilvl="6">
      <w:start w:val="0"/>
      <w:numFmt w:val="bullet"/>
      <w:lvlText w:val="•"/>
      <w:lvlJc w:val="left"/>
      <w:pPr>
        <w:ind w:left="3415" w:hanging="207"/>
      </w:pPr>
      <w:rPr>
        <w:rFonts w:hint="default"/>
      </w:rPr>
    </w:lvl>
    <w:lvl w:ilvl="7">
      <w:start w:val="0"/>
      <w:numFmt w:val="bullet"/>
      <w:lvlText w:val="•"/>
      <w:lvlJc w:val="left"/>
      <w:pPr>
        <w:ind w:left="3964" w:hanging="207"/>
      </w:pPr>
      <w:rPr>
        <w:rFonts w:hint="default"/>
      </w:rPr>
    </w:lvl>
    <w:lvl w:ilvl="8">
      <w:start w:val="0"/>
      <w:numFmt w:val="bullet"/>
      <w:lvlText w:val="•"/>
      <w:lvlJc w:val="left"/>
      <w:pPr>
        <w:ind w:left="4513" w:hanging="207"/>
      </w:pPr>
      <w:rPr>
        <w:rFonts w:hint="default"/>
      </w:rPr>
    </w:lvl>
  </w:abstractNum>
  <w:abstractNum w:abstractNumId="22">
    <w:multiLevelType w:val="hybridMultilevel"/>
    <w:lvl w:ilvl="0">
      <w:start w:val="2"/>
      <w:numFmt w:val="lowerLetter"/>
      <w:lvlText w:val="%1)"/>
      <w:lvlJc w:val="left"/>
      <w:pPr>
        <w:ind w:left="113" w:hanging="195"/>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195"/>
      </w:pPr>
      <w:rPr>
        <w:rFonts w:hint="default"/>
      </w:rPr>
    </w:lvl>
    <w:lvl w:ilvl="2">
      <w:start w:val="0"/>
      <w:numFmt w:val="bullet"/>
      <w:lvlText w:val="•"/>
      <w:lvlJc w:val="left"/>
      <w:pPr>
        <w:ind w:left="1218" w:hanging="195"/>
      </w:pPr>
      <w:rPr>
        <w:rFonts w:hint="default"/>
      </w:rPr>
    </w:lvl>
    <w:lvl w:ilvl="3">
      <w:start w:val="0"/>
      <w:numFmt w:val="bullet"/>
      <w:lvlText w:val="•"/>
      <w:lvlJc w:val="left"/>
      <w:pPr>
        <w:ind w:left="1767" w:hanging="195"/>
      </w:pPr>
      <w:rPr>
        <w:rFonts w:hint="default"/>
      </w:rPr>
    </w:lvl>
    <w:lvl w:ilvl="4">
      <w:start w:val="0"/>
      <w:numFmt w:val="bullet"/>
      <w:lvlText w:val="•"/>
      <w:lvlJc w:val="left"/>
      <w:pPr>
        <w:ind w:left="2316" w:hanging="195"/>
      </w:pPr>
      <w:rPr>
        <w:rFonts w:hint="default"/>
      </w:rPr>
    </w:lvl>
    <w:lvl w:ilvl="5">
      <w:start w:val="0"/>
      <w:numFmt w:val="bullet"/>
      <w:lvlText w:val="•"/>
      <w:lvlJc w:val="left"/>
      <w:pPr>
        <w:ind w:left="2866" w:hanging="195"/>
      </w:pPr>
      <w:rPr>
        <w:rFonts w:hint="default"/>
      </w:rPr>
    </w:lvl>
    <w:lvl w:ilvl="6">
      <w:start w:val="0"/>
      <w:numFmt w:val="bullet"/>
      <w:lvlText w:val="•"/>
      <w:lvlJc w:val="left"/>
      <w:pPr>
        <w:ind w:left="3415" w:hanging="195"/>
      </w:pPr>
      <w:rPr>
        <w:rFonts w:hint="default"/>
      </w:rPr>
    </w:lvl>
    <w:lvl w:ilvl="7">
      <w:start w:val="0"/>
      <w:numFmt w:val="bullet"/>
      <w:lvlText w:val="•"/>
      <w:lvlJc w:val="left"/>
      <w:pPr>
        <w:ind w:left="3964" w:hanging="195"/>
      </w:pPr>
      <w:rPr>
        <w:rFonts w:hint="default"/>
      </w:rPr>
    </w:lvl>
    <w:lvl w:ilvl="8">
      <w:start w:val="0"/>
      <w:numFmt w:val="bullet"/>
      <w:lvlText w:val="•"/>
      <w:lvlJc w:val="left"/>
      <w:pPr>
        <w:ind w:left="4513" w:hanging="195"/>
      </w:pPr>
      <w:rPr>
        <w:rFonts w:hint="default"/>
      </w:rPr>
    </w:lvl>
  </w:abstractNum>
  <w:abstractNum w:abstractNumId="21">
    <w:multiLevelType w:val="hybridMultilevel"/>
    <w:lvl w:ilvl="0">
      <w:start w:val="1"/>
      <w:numFmt w:val="lowerLetter"/>
      <w:lvlText w:val="%1)"/>
      <w:lvlJc w:val="left"/>
      <w:pPr>
        <w:ind w:left="113" w:hanging="20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03"/>
      </w:pPr>
      <w:rPr>
        <w:rFonts w:hint="default"/>
      </w:rPr>
    </w:lvl>
    <w:lvl w:ilvl="2">
      <w:start w:val="0"/>
      <w:numFmt w:val="bullet"/>
      <w:lvlText w:val="•"/>
      <w:lvlJc w:val="left"/>
      <w:pPr>
        <w:ind w:left="1201" w:hanging="203"/>
      </w:pPr>
      <w:rPr>
        <w:rFonts w:hint="default"/>
      </w:rPr>
    </w:lvl>
    <w:lvl w:ilvl="3">
      <w:start w:val="0"/>
      <w:numFmt w:val="bullet"/>
      <w:lvlText w:val="•"/>
      <w:lvlJc w:val="left"/>
      <w:pPr>
        <w:ind w:left="1742" w:hanging="203"/>
      </w:pPr>
      <w:rPr>
        <w:rFonts w:hint="default"/>
      </w:rPr>
    </w:lvl>
    <w:lvl w:ilvl="4">
      <w:start w:val="0"/>
      <w:numFmt w:val="bullet"/>
      <w:lvlText w:val="•"/>
      <w:lvlJc w:val="left"/>
      <w:pPr>
        <w:ind w:left="2283" w:hanging="203"/>
      </w:pPr>
      <w:rPr>
        <w:rFonts w:hint="default"/>
      </w:rPr>
    </w:lvl>
    <w:lvl w:ilvl="5">
      <w:start w:val="0"/>
      <w:numFmt w:val="bullet"/>
      <w:lvlText w:val="•"/>
      <w:lvlJc w:val="left"/>
      <w:pPr>
        <w:ind w:left="2824" w:hanging="203"/>
      </w:pPr>
      <w:rPr>
        <w:rFonts w:hint="default"/>
      </w:rPr>
    </w:lvl>
    <w:lvl w:ilvl="6">
      <w:start w:val="0"/>
      <w:numFmt w:val="bullet"/>
      <w:lvlText w:val="•"/>
      <w:lvlJc w:val="left"/>
      <w:pPr>
        <w:ind w:left="3365" w:hanging="203"/>
      </w:pPr>
      <w:rPr>
        <w:rFonts w:hint="default"/>
      </w:rPr>
    </w:lvl>
    <w:lvl w:ilvl="7">
      <w:start w:val="0"/>
      <w:numFmt w:val="bullet"/>
      <w:lvlText w:val="•"/>
      <w:lvlJc w:val="left"/>
      <w:pPr>
        <w:ind w:left="3906" w:hanging="203"/>
      </w:pPr>
      <w:rPr>
        <w:rFonts w:hint="default"/>
      </w:rPr>
    </w:lvl>
    <w:lvl w:ilvl="8">
      <w:start w:val="0"/>
      <w:numFmt w:val="bullet"/>
      <w:lvlText w:val="•"/>
      <w:lvlJc w:val="left"/>
      <w:pPr>
        <w:ind w:left="4447" w:hanging="203"/>
      </w:pPr>
      <w:rPr>
        <w:rFonts w:hint="default"/>
      </w:rPr>
    </w:lvl>
  </w:abstractNum>
  <w:abstractNum w:abstractNumId="20">
    <w:multiLevelType w:val="hybridMultilevel"/>
    <w:lvl w:ilvl="0">
      <w:start w:val="2"/>
      <w:numFmt w:val="lowerLetter"/>
      <w:lvlText w:val="%1)"/>
      <w:lvlJc w:val="left"/>
      <w:pPr>
        <w:ind w:left="113" w:hanging="206"/>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206"/>
      </w:pPr>
      <w:rPr>
        <w:rFonts w:hint="default"/>
      </w:rPr>
    </w:lvl>
    <w:lvl w:ilvl="2">
      <w:start w:val="0"/>
      <w:numFmt w:val="bullet"/>
      <w:lvlText w:val="•"/>
      <w:lvlJc w:val="left"/>
      <w:pPr>
        <w:ind w:left="1201" w:hanging="206"/>
      </w:pPr>
      <w:rPr>
        <w:rFonts w:hint="default"/>
      </w:rPr>
    </w:lvl>
    <w:lvl w:ilvl="3">
      <w:start w:val="0"/>
      <w:numFmt w:val="bullet"/>
      <w:lvlText w:val="•"/>
      <w:lvlJc w:val="left"/>
      <w:pPr>
        <w:ind w:left="1742" w:hanging="206"/>
      </w:pPr>
      <w:rPr>
        <w:rFonts w:hint="default"/>
      </w:rPr>
    </w:lvl>
    <w:lvl w:ilvl="4">
      <w:start w:val="0"/>
      <w:numFmt w:val="bullet"/>
      <w:lvlText w:val="•"/>
      <w:lvlJc w:val="left"/>
      <w:pPr>
        <w:ind w:left="2283" w:hanging="206"/>
      </w:pPr>
      <w:rPr>
        <w:rFonts w:hint="default"/>
      </w:rPr>
    </w:lvl>
    <w:lvl w:ilvl="5">
      <w:start w:val="0"/>
      <w:numFmt w:val="bullet"/>
      <w:lvlText w:val="•"/>
      <w:lvlJc w:val="left"/>
      <w:pPr>
        <w:ind w:left="2824" w:hanging="206"/>
      </w:pPr>
      <w:rPr>
        <w:rFonts w:hint="default"/>
      </w:rPr>
    </w:lvl>
    <w:lvl w:ilvl="6">
      <w:start w:val="0"/>
      <w:numFmt w:val="bullet"/>
      <w:lvlText w:val="•"/>
      <w:lvlJc w:val="left"/>
      <w:pPr>
        <w:ind w:left="3365" w:hanging="206"/>
      </w:pPr>
      <w:rPr>
        <w:rFonts w:hint="default"/>
      </w:rPr>
    </w:lvl>
    <w:lvl w:ilvl="7">
      <w:start w:val="0"/>
      <w:numFmt w:val="bullet"/>
      <w:lvlText w:val="•"/>
      <w:lvlJc w:val="left"/>
      <w:pPr>
        <w:ind w:left="3906" w:hanging="206"/>
      </w:pPr>
      <w:rPr>
        <w:rFonts w:hint="default"/>
      </w:rPr>
    </w:lvl>
    <w:lvl w:ilvl="8">
      <w:start w:val="0"/>
      <w:numFmt w:val="bullet"/>
      <w:lvlText w:val="•"/>
      <w:lvlJc w:val="left"/>
      <w:pPr>
        <w:ind w:left="4447" w:hanging="206"/>
      </w:pPr>
      <w:rPr>
        <w:rFonts w:hint="default"/>
      </w:rPr>
    </w:lvl>
  </w:abstractNum>
  <w:abstractNum w:abstractNumId="19">
    <w:multiLevelType w:val="hybridMultilevel"/>
    <w:lvl w:ilvl="0">
      <w:start w:val="2"/>
      <w:numFmt w:val="lowerLetter"/>
      <w:lvlText w:val="%1)"/>
      <w:lvlJc w:val="left"/>
      <w:pPr>
        <w:ind w:left="113" w:hanging="184"/>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184"/>
      </w:pPr>
      <w:rPr>
        <w:rFonts w:hint="default"/>
      </w:rPr>
    </w:lvl>
    <w:lvl w:ilvl="2">
      <w:start w:val="0"/>
      <w:numFmt w:val="bullet"/>
      <w:lvlText w:val="•"/>
      <w:lvlJc w:val="left"/>
      <w:pPr>
        <w:ind w:left="1201" w:hanging="184"/>
      </w:pPr>
      <w:rPr>
        <w:rFonts w:hint="default"/>
      </w:rPr>
    </w:lvl>
    <w:lvl w:ilvl="3">
      <w:start w:val="0"/>
      <w:numFmt w:val="bullet"/>
      <w:lvlText w:val="•"/>
      <w:lvlJc w:val="left"/>
      <w:pPr>
        <w:ind w:left="1742" w:hanging="184"/>
      </w:pPr>
      <w:rPr>
        <w:rFonts w:hint="default"/>
      </w:rPr>
    </w:lvl>
    <w:lvl w:ilvl="4">
      <w:start w:val="0"/>
      <w:numFmt w:val="bullet"/>
      <w:lvlText w:val="•"/>
      <w:lvlJc w:val="left"/>
      <w:pPr>
        <w:ind w:left="2283" w:hanging="184"/>
      </w:pPr>
      <w:rPr>
        <w:rFonts w:hint="default"/>
      </w:rPr>
    </w:lvl>
    <w:lvl w:ilvl="5">
      <w:start w:val="0"/>
      <w:numFmt w:val="bullet"/>
      <w:lvlText w:val="•"/>
      <w:lvlJc w:val="left"/>
      <w:pPr>
        <w:ind w:left="2824" w:hanging="184"/>
      </w:pPr>
      <w:rPr>
        <w:rFonts w:hint="default"/>
      </w:rPr>
    </w:lvl>
    <w:lvl w:ilvl="6">
      <w:start w:val="0"/>
      <w:numFmt w:val="bullet"/>
      <w:lvlText w:val="•"/>
      <w:lvlJc w:val="left"/>
      <w:pPr>
        <w:ind w:left="3365" w:hanging="184"/>
      </w:pPr>
      <w:rPr>
        <w:rFonts w:hint="default"/>
      </w:rPr>
    </w:lvl>
    <w:lvl w:ilvl="7">
      <w:start w:val="0"/>
      <w:numFmt w:val="bullet"/>
      <w:lvlText w:val="•"/>
      <w:lvlJc w:val="left"/>
      <w:pPr>
        <w:ind w:left="3906" w:hanging="184"/>
      </w:pPr>
      <w:rPr>
        <w:rFonts w:hint="default"/>
      </w:rPr>
    </w:lvl>
    <w:lvl w:ilvl="8">
      <w:start w:val="0"/>
      <w:numFmt w:val="bullet"/>
      <w:lvlText w:val="•"/>
      <w:lvlJc w:val="left"/>
      <w:pPr>
        <w:ind w:left="4447" w:hanging="184"/>
      </w:pPr>
      <w:rPr>
        <w:rFonts w:hint="default"/>
      </w:rPr>
    </w:lvl>
  </w:abstractNum>
  <w:abstractNum w:abstractNumId="18">
    <w:multiLevelType w:val="hybridMultilevel"/>
    <w:lvl w:ilvl="0">
      <w:start w:val="1"/>
      <w:numFmt w:val="lowerLetter"/>
      <w:lvlText w:val="%1)"/>
      <w:lvlJc w:val="left"/>
      <w:pPr>
        <w:ind w:left="113" w:hanging="20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01"/>
      </w:pPr>
      <w:rPr>
        <w:rFonts w:hint="default"/>
      </w:rPr>
    </w:lvl>
    <w:lvl w:ilvl="2">
      <w:start w:val="0"/>
      <w:numFmt w:val="bullet"/>
      <w:lvlText w:val="•"/>
      <w:lvlJc w:val="left"/>
      <w:pPr>
        <w:ind w:left="1218" w:hanging="201"/>
      </w:pPr>
      <w:rPr>
        <w:rFonts w:hint="default"/>
      </w:rPr>
    </w:lvl>
    <w:lvl w:ilvl="3">
      <w:start w:val="0"/>
      <w:numFmt w:val="bullet"/>
      <w:lvlText w:val="•"/>
      <w:lvlJc w:val="left"/>
      <w:pPr>
        <w:ind w:left="1767" w:hanging="201"/>
      </w:pPr>
      <w:rPr>
        <w:rFonts w:hint="default"/>
      </w:rPr>
    </w:lvl>
    <w:lvl w:ilvl="4">
      <w:start w:val="0"/>
      <w:numFmt w:val="bullet"/>
      <w:lvlText w:val="•"/>
      <w:lvlJc w:val="left"/>
      <w:pPr>
        <w:ind w:left="2316" w:hanging="201"/>
      </w:pPr>
      <w:rPr>
        <w:rFonts w:hint="default"/>
      </w:rPr>
    </w:lvl>
    <w:lvl w:ilvl="5">
      <w:start w:val="0"/>
      <w:numFmt w:val="bullet"/>
      <w:lvlText w:val="•"/>
      <w:lvlJc w:val="left"/>
      <w:pPr>
        <w:ind w:left="2866" w:hanging="201"/>
      </w:pPr>
      <w:rPr>
        <w:rFonts w:hint="default"/>
      </w:rPr>
    </w:lvl>
    <w:lvl w:ilvl="6">
      <w:start w:val="0"/>
      <w:numFmt w:val="bullet"/>
      <w:lvlText w:val="•"/>
      <w:lvlJc w:val="left"/>
      <w:pPr>
        <w:ind w:left="3415" w:hanging="201"/>
      </w:pPr>
      <w:rPr>
        <w:rFonts w:hint="default"/>
      </w:rPr>
    </w:lvl>
    <w:lvl w:ilvl="7">
      <w:start w:val="0"/>
      <w:numFmt w:val="bullet"/>
      <w:lvlText w:val="•"/>
      <w:lvlJc w:val="left"/>
      <w:pPr>
        <w:ind w:left="3964" w:hanging="201"/>
      </w:pPr>
      <w:rPr>
        <w:rFonts w:hint="default"/>
      </w:rPr>
    </w:lvl>
    <w:lvl w:ilvl="8">
      <w:start w:val="0"/>
      <w:numFmt w:val="bullet"/>
      <w:lvlText w:val="•"/>
      <w:lvlJc w:val="left"/>
      <w:pPr>
        <w:ind w:left="4513" w:hanging="201"/>
      </w:pPr>
      <w:rPr>
        <w:rFonts w:hint="default"/>
      </w:rPr>
    </w:lvl>
  </w:abstractNum>
  <w:abstractNum w:abstractNumId="17">
    <w:multiLevelType w:val="hybridMultilevel"/>
    <w:lvl w:ilvl="0">
      <w:start w:val="2"/>
      <w:numFmt w:val="lowerLetter"/>
      <w:lvlText w:val="%1)"/>
      <w:lvlJc w:val="left"/>
      <w:pPr>
        <w:ind w:left="113" w:hanging="207"/>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07"/>
      </w:pPr>
      <w:rPr>
        <w:rFonts w:hint="default"/>
      </w:rPr>
    </w:lvl>
    <w:lvl w:ilvl="2">
      <w:start w:val="0"/>
      <w:numFmt w:val="bullet"/>
      <w:lvlText w:val="•"/>
      <w:lvlJc w:val="left"/>
      <w:pPr>
        <w:ind w:left="1218" w:hanging="207"/>
      </w:pPr>
      <w:rPr>
        <w:rFonts w:hint="default"/>
      </w:rPr>
    </w:lvl>
    <w:lvl w:ilvl="3">
      <w:start w:val="0"/>
      <w:numFmt w:val="bullet"/>
      <w:lvlText w:val="•"/>
      <w:lvlJc w:val="left"/>
      <w:pPr>
        <w:ind w:left="1767" w:hanging="207"/>
      </w:pPr>
      <w:rPr>
        <w:rFonts w:hint="default"/>
      </w:rPr>
    </w:lvl>
    <w:lvl w:ilvl="4">
      <w:start w:val="0"/>
      <w:numFmt w:val="bullet"/>
      <w:lvlText w:val="•"/>
      <w:lvlJc w:val="left"/>
      <w:pPr>
        <w:ind w:left="2316" w:hanging="207"/>
      </w:pPr>
      <w:rPr>
        <w:rFonts w:hint="default"/>
      </w:rPr>
    </w:lvl>
    <w:lvl w:ilvl="5">
      <w:start w:val="0"/>
      <w:numFmt w:val="bullet"/>
      <w:lvlText w:val="•"/>
      <w:lvlJc w:val="left"/>
      <w:pPr>
        <w:ind w:left="2866" w:hanging="207"/>
      </w:pPr>
      <w:rPr>
        <w:rFonts w:hint="default"/>
      </w:rPr>
    </w:lvl>
    <w:lvl w:ilvl="6">
      <w:start w:val="0"/>
      <w:numFmt w:val="bullet"/>
      <w:lvlText w:val="•"/>
      <w:lvlJc w:val="left"/>
      <w:pPr>
        <w:ind w:left="3415" w:hanging="207"/>
      </w:pPr>
      <w:rPr>
        <w:rFonts w:hint="default"/>
      </w:rPr>
    </w:lvl>
    <w:lvl w:ilvl="7">
      <w:start w:val="0"/>
      <w:numFmt w:val="bullet"/>
      <w:lvlText w:val="•"/>
      <w:lvlJc w:val="left"/>
      <w:pPr>
        <w:ind w:left="3964" w:hanging="207"/>
      </w:pPr>
      <w:rPr>
        <w:rFonts w:hint="default"/>
      </w:rPr>
    </w:lvl>
    <w:lvl w:ilvl="8">
      <w:start w:val="0"/>
      <w:numFmt w:val="bullet"/>
      <w:lvlText w:val="•"/>
      <w:lvlJc w:val="left"/>
      <w:pPr>
        <w:ind w:left="4513" w:hanging="207"/>
      </w:pPr>
      <w:rPr>
        <w:rFonts w:hint="default"/>
      </w:rPr>
    </w:lvl>
  </w:abstractNum>
  <w:abstractNum w:abstractNumId="16">
    <w:multiLevelType w:val="hybridMultilevel"/>
    <w:lvl w:ilvl="0">
      <w:start w:val="2"/>
      <w:numFmt w:val="lowerLetter"/>
      <w:lvlText w:val="%1)"/>
      <w:lvlJc w:val="left"/>
      <w:pPr>
        <w:ind w:left="113" w:hanging="213"/>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9" w:hanging="213"/>
      </w:pPr>
      <w:rPr>
        <w:rFonts w:hint="default"/>
      </w:rPr>
    </w:lvl>
    <w:lvl w:ilvl="2">
      <w:start w:val="0"/>
      <w:numFmt w:val="bullet"/>
      <w:lvlText w:val="•"/>
      <w:lvlJc w:val="left"/>
      <w:pPr>
        <w:ind w:left="1218" w:hanging="213"/>
      </w:pPr>
      <w:rPr>
        <w:rFonts w:hint="default"/>
      </w:rPr>
    </w:lvl>
    <w:lvl w:ilvl="3">
      <w:start w:val="0"/>
      <w:numFmt w:val="bullet"/>
      <w:lvlText w:val="•"/>
      <w:lvlJc w:val="left"/>
      <w:pPr>
        <w:ind w:left="1767" w:hanging="213"/>
      </w:pPr>
      <w:rPr>
        <w:rFonts w:hint="default"/>
      </w:rPr>
    </w:lvl>
    <w:lvl w:ilvl="4">
      <w:start w:val="0"/>
      <w:numFmt w:val="bullet"/>
      <w:lvlText w:val="•"/>
      <w:lvlJc w:val="left"/>
      <w:pPr>
        <w:ind w:left="2316" w:hanging="213"/>
      </w:pPr>
      <w:rPr>
        <w:rFonts w:hint="default"/>
      </w:rPr>
    </w:lvl>
    <w:lvl w:ilvl="5">
      <w:start w:val="0"/>
      <w:numFmt w:val="bullet"/>
      <w:lvlText w:val="•"/>
      <w:lvlJc w:val="left"/>
      <w:pPr>
        <w:ind w:left="2866" w:hanging="213"/>
      </w:pPr>
      <w:rPr>
        <w:rFonts w:hint="default"/>
      </w:rPr>
    </w:lvl>
    <w:lvl w:ilvl="6">
      <w:start w:val="0"/>
      <w:numFmt w:val="bullet"/>
      <w:lvlText w:val="•"/>
      <w:lvlJc w:val="left"/>
      <w:pPr>
        <w:ind w:left="3415" w:hanging="213"/>
      </w:pPr>
      <w:rPr>
        <w:rFonts w:hint="default"/>
      </w:rPr>
    </w:lvl>
    <w:lvl w:ilvl="7">
      <w:start w:val="0"/>
      <w:numFmt w:val="bullet"/>
      <w:lvlText w:val="•"/>
      <w:lvlJc w:val="left"/>
      <w:pPr>
        <w:ind w:left="3964" w:hanging="213"/>
      </w:pPr>
      <w:rPr>
        <w:rFonts w:hint="default"/>
      </w:rPr>
    </w:lvl>
    <w:lvl w:ilvl="8">
      <w:start w:val="0"/>
      <w:numFmt w:val="bullet"/>
      <w:lvlText w:val="•"/>
      <w:lvlJc w:val="left"/>
      <w:pPr>
        <w:ind w:left="4513" w:hanging="213"/>
      </w:pPr>
      <w:rPr>
        <w:rFonts w:hint="default"/>
      </w:rPr>
    </w:lvl>
  </w:abstractNum>
  <w:abstractNum w:abstractNumId="15">
    <w:multiLevelType w:val="hybridMultilevel"/>
    <w:lvl w:ilvl="0">
      <w:start w:val="1"/>
      <w:numFmt w:val="lowerLetter"/>
      <w:lvlText w:val="%1)"/>
      <w:lvlJc w:val="left"/>
      <w:pPr>
        <w:ind w:left="113" w:hanging="221"/>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221"/>
      </w:pPr>
      <w:rPr>
        <w:rFonts w:hint="default"/>
      </w:rPr>
    </w:lvl>
    <w:lvl w:ilvl="2">
      <w:start w:val="0"/>
      <w:numFmt w:val="bullet"/>
      <w:lvlText w:val="•"/>
      <w:lvlJc w:val="left"/>
      <w:pPr>
        <w:ind w:left="1201" w:hanging="221"/>
      </w:pPr>
      <w:rPr>
        <w:rFonts w:hint="default"/>
      </w:rPr>
    </w:lvl>
    <w:lvl w:ilvl="3">
      <w:start w:val="0"/>
      <w:numFmt w:val="bullet"/>
      <w:lvlText w:val="•"/>
      <w:lvlJc w:val="left"/>
      <w:pPr>
        <w:ind w:left="1741" w:hanging="221"/>
      </w:pPr>
      <w:rPr>
        <w:rFonts w:hint="default"/>
      </w:rPr>
    </w:lvl>
    <w:lvl w:ilvl="4">
      <w:start w:val="0"/>
      <w:numFmt w:val="bullet"/>
      <w:lvlText w:val="•"/>
      <w:lvlJc w:val="left"/>
      <w:pPr>
        <w:ind w:left="2282" w:hanging="221"/>
      </w:pPr>
      <w:rPr>
        <w:rFonts w:hint="default"/>
      </w:rPr>
    </w:lvl>
    <w:lvl w:ilvl="5">
      <w:start w:val="0"/>
      <w:numFmt w:val="bullet"/>
      <w:lvlText w:val="•"/>
      <w:lvlJc w:val="left"/>
      <w:pPr>
        <w:ind w:left="2823" w:hanging="221"/>
      </w:pPr>
      <w:rPr>
        <w:rFonts w:hint="default"/>
      </w:rPr>
    </w:lvl>
    <w:lvl w:ilvl="6">
      <w:start w:val="0"/>
      <w:numFmt w:val="bullet"/>
      <w:lvlText w:val="•"/>
      <w:lvlJc w:val="left"/>
      <w:pPr>
        <w:ind w:left="3363" w:hanging="221"/>
      </w:pPr>
      <w:rPr>
        <w:rFonts w:hint="default"/>
      </w:rPr>
    </w:lvl>
    <w:lvl w:ilvl="7">
      <w:start w:val="0"/>
      <w:numFmt w:val="bullet"/>
      <w:lvlText w:val="•"/>
      <w:lvlJc w:val="left"/>
      <w:pPr>
        <w:ind w:left="3904" w:hanging="221"/>
      </w:pPr>
      <w:rPr>
        <w:rFonts w:hint="default"/>
      </w:rPr>
    </w:lvl>
    <w:lvl w:ilvl="8">
      <w:start w:val="0"/>
      <w:numFmt w:val="bullet"/>
      <w:lvlText w:val="•"/>
      <w:lvlJc w:val="left"/>
      <w:pPr>
        <w:ind w:left="4445" w:hanging="221"/>
      </w:pPr>
      <w:rPr>
        <w:rFonts w:hint="default"/>
      </w:rPr>
    </w:lvl>
  </w:abstractNum>
  <w:abstractNum w:abstractNumId="14">
    <w:multiLevelType w:val="hybridMultilevel"/>
    <w:lvl w:ilvl="0">
      <w:start w:val="2"/>
      <w:numFmt w:val="lowerLetter"/>
      <w:lvlText w:val="%1)"/>
      <w:lvlJc w:val="left"/>
      <w:pPr>
        <w:ind w:left="113" w:hanging="206"/>
        <w:jc w:val="left"/>
      </w:pPr>
      <w:rPr>
        <w:rFonts w:hint="default" w:ascii="Times New Roman" w:hAnsi="Times New Roman" w:eastAsia="Times New Roman" w:cs="Times New Roman"/>
        <w:i/>
        <w:color w:val="231F20"/>
        <w:w w:val="95"/>
        <w:sz w:val="17"/>
        <w:szCs w:val="17"/>
      </w:rPr>
    </w:lvl>
    <w:lvl w:ilvl="1">
      <w:start w:val="0"/>
      <w:numFmt w:val="bullet"/>
      <w:lvlText w:val="•"/>
      <w:lvlJc w:val="left"/>
      <w:pPr>
        <w:ind w:left="660" w:hanging="206"/>
      </w:pPr>
      <w:rPr>
        <w:rFonts w:hint="default"/>
      </w:rPr>
    </w:lvl>
    <w:lvl w:ilvl="2">
      <w:start w:val="0"/>
      <w:numFmt w:val="bullet"/>
      <w:lvlText w:val="•"/>
      <w:lvlJc w:val="left"/>
      <w:pPr>
        <w:ind w:left="1201" w:hanging="206"/>
      </w:pPr>
      <w:rPr>
        <w:rFonts w:hint="default"/>
      </w:rPr>
    </w:lvl>
    <w:lvl w:ilvl="3">
      <w:start w:val="0"/>
      <w:numFmt w:val="bullet"/>
      <w:lvlText w:val="•"/>
      <w:lvlJc w:val="left"/>
      <w:pPr>
        <w:ind w:left="1741" w:hanging="206"/>
      </w:pPr>
      <w:rPr>
        <w:rFonts w:hint="default"/>
      </w:rPr>
    </w:lvl>
    <w:lvl w:ilvl="4">
      <w:start w:val="0"/>
      <w:numFmt w:val="bullet"/>
      <w:lvlText w:val="•"/>
      <w:lvlJc w:val="left"/>
      <w:pPr>
        <w:ind w:left="2282" w:hanging="206"/>
      </w:pPr>
      <w:rPr>
        <w:rFonts w:hint="default"/>
      </w:rPr>
    </w:lvl>
    <w:lvl w:ilvl="5">
      <w:start w:val="0"/>
      <w:numFmt w:val="bullet"/>
      <w:lvlText w:val="•"/>
      <w:lvlJc w:val="left"/>
      <w:pPr>
        <w:ind w:left="2823" w:hanging="206"/>
      </w:pPr>
      <w:rPr>
        <w:rFonts w:hint="default"/>
      </w:rPr>
    </w:lvl>
    <w:lvl w:ilvl="6">
      <w:start w:val="0"/>
      <w:numFmt w:val="bullet"/>
      <w:lvlText w:val="•"/>
      <w:lvlJc w:val="left"/>
      <w:pPr>
        <w:ind w:left="3363" w:hanging="206"/>
      </w:pPr>
      <w:rPr>
        <w:rFonts w:hint="default"/>
      </w:rPr>
    </w:lvl>
    <w:lvl w:ilvl="7">
      <w:start w:val="0"/>
      <w:numFmt w:val="bullet"/>
      <w:lvlText w:val="•"/>
      <w:lvlJc w:val="left"/>
      <w:pPr>
        <w:ind w:left="3904" w:hanging="206"/>
      </w:pPr>
      <w:rPr>
        <w:rFonts w:hint="default"/>
      </w:rPr>
    </w:lvl>
    <w:lvl w:ilvl="8">
      <w:start w:val="0"/>
      <w:numFmt w:val="bullet"/>
      <w:lvlText w:val="•"/>
      <w:lvlJc w:val="left"/>
      <w:pPr>
        <w:ind w:left="4445" w:hanging="206"/>
      </w:pPr>
      <w:rPr>
        <w:rFonts w:hint="default"/>
      </w:rPr>
    </w:lvl>
  </w:abstractNum>
  <w:abstractNum w:abstractNumId="13">
    <w:multiLevelType w:val="hybridMultilevel"/>
    <w:lvl w:ilvl="0">
      <w:start w:val="1"/>
      <w:numFmt w:val="lowerLetter"/>
      <w:lvlText w:val="%1)"/>
      <w:lvlJc w:val="left"/>
      <w:pPr>
        <w:ind w:left="113" w:hanging="24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45"/>
      </w:pPr>
      <w:rPr>
        <w:rFonts w:hint="default"/>
      </w:rPr>
    </w:lvl>
    <w:lvl w:ilvl="2">
      <w:start w:val="0"/>
      <w:numFmt w:val="bullet"/>
      <w:lvlText w:val="•"/>
      <w:lvlJc w:val="left"/>
      <w:pPr>
        <w:ind w:left="1218" w:hanging="245"/>
      </w:pPr>
      <w:rPr>
        <w:rFonts w:hint="default"/>
      </w:rPr>
    </w:lvl>
    <w:lvl w:ilvl="3">
      <w:start w:val="0"/>
      <w:numFmt w:val="bullet"/>
      <w:lvlText w:val="•"/>
      <w:lvlJc w:val="left"/>
      <w:pPr>
        <w:ind w:left="1767" w:hanging="245"/>
      </w:pPr>
      <w:rPr>
        <w:rFonts w:hint="default"/>
      </w:rPr>
    </w:lvl>
    <w:lvl w:ilvl="4">
      <w:start w:val="0"/>
      <w:numFmt w:val="bullet"/>
      <w:lvlText w:val="•"/>
      <w:lvlJc w:val="left"/>
      <w:pPr>
        <w:ind w:left="2316" w:hanging="245"/>
      </w:pPr>
      <w:rPr>
        <w:rFonts w:hint="default"/>
      </w:rPr>
    </w:lvl>
    <w:lvl w:ilvl="5">
      <w:start w:val="0"/>
      <w:numFmt w:val="bullet"/>
      <w:lvlText w:val="•"/>
      <w:lvlJc w:val="left"/>
      <w:pPr>
        <w:ind w:left="2866" w:hanging="245"/>
      </w:pPr>
      <w:rPr>
        <w:rFonts w:hint="default"/>
      </w:rPr>
    </w:lvl>
    <w:lvl w:ilvl="6">
      <w:start w:val="0"/>
      <w:numFmt w:val="bullet"/>
      <w:lvlText w:val="•"/>
      <w:lvlJc w:val="left"/>
      <w:pPr>
        <w:ind w:left="3415" w:hanging="245"/>
      </w:pPr>
      <w:rPr>
        <w:rFonts w:hint="default"/>
      </w:rPr>
    </w:lvl>
    <w:lvl w:ilvl="7">
      <w:start w:val="0"/>
      <w:numFmt w:val="bullet"/>
      <w:lvlText w:val="•"/>
      <w:lvlJc w:val="left"/>
      <w:pPr>
        <w:ind w:left="3964" w:hanging="245"/>
      </w:pPr>
      <w:rPr>
        <w:rFonts w:hint="default"/>
      </w:rPr>
    </w:lvl>
    <w:lvl w:ilvl="8">
      <w:start w:val="0"/>
      <w:numFmt w:val="bullet"/>
      <w:lvlText w:val="•"/>
      <w:lvlJc w:val="left"/>
      <w:pPr>
        <w:ind w:left="4513" w:hanging="245"/>
      </w:pPr>
      <w:rPr>
        <w:rFonts w:hint="default"/>
      </w:rPr>
    </w:lvl>
  </w:abstractNum>
  <w:abstractNum w:abstractNumId="12">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11">
    <w:multiLevelType w:val="hybridMultilevel"/>
    <w:lvl w:ilvl="0">
      <w:start w:val="1"/>
      <w:numFmt w:val="lowerLetter"/>
      <w:lvlText w:val="%1)"/>
      <w:lvlJc w:val="left"/>
      <w:pPr>
        <w:ind w:left="113" w:hanging="19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9"/>
      </w:pPr>
      <w:rPr>
        <w:rFonts w:hint="default"/>
      </w:rPr>
    </w:lvl>
    <w:lvl w:ilvl="2">
      <w:start w:val="0"/>
      <w:numFmt w:val="bullet"/>
      <w:lvlText w:val="•"/>
      <w:lvlJc w:val="left"/>
      <w:pPr>
        <w:ind w:left="1218" w:hanging="199"/>
      </w:pPr>
      <w:rPr>
        <w:rFonts w:hint="default"/>
      </w:rPr>
    </w:lvl>
    <w:lvl w:ilvl="3">
      <w:start w:val="0"/>
      <w:numFmt w:val="bullet"/>
      <w:lvlText w:val="•"/>
      <w:lvlJc w:val="left"/>
      <w:pPr>
        <w:ind w:left="1767" w:hanging="199"/>
      </w:pPr>
      <w:rPr>
        <w:rFonts w:hint="default"/>
      </w:rPr>
    </w:lvl>
    <w:lvl w:ilvl="4">
      <w:start w:val="0"/>
      <w:numFmt w:val="bullet"/>
      <w:lvlText w:val="•"/>
      <w:lvlJc w:val="left"/>
      <w:pPr>
        <w:ind w:left="2316" w:hanging="199"/>
      </w:pPr>
      <w:rPr>
        <w:rFonts w:hint="default"/>
      </w:rPr>
    </w:lvl>
    <w:lvl w:ilvl="5">
      <w:start w:val="0"/>
      <w:numFmt w:val="bullet"/>
      <w:lvlText w:val="•"/>
      <w:lvlJc w:val="left"/>
      <w:pPr>
        <w:ind w:left="2866" w:hanging="199"/>
      </w:pPr>
      <w:rPr>
        <w:rFonts w:hint="default"/>
      </w:rPr>
    </w:lvl>
    <w:lvl w:ilvl="6">
      <w:start w:val="0"/>
      <w:numFmt w:val="bullet"/>
      <w:lvlText w:val="•"/>
      <w:lvlJc w:val="left"/>
      <w:pPr>
        <w:ind w:left="3415" w:hanging="199"/>
      </w:pPr>
      <w:rPr>
        <w:rFonts w:hint="default"/>
      </w:rPr>
    </w:lvl>
    <w:lvl w:ilvl="7">
      <w:start w:val="0"/>
      <w:numFmt w:val="bullet"/>
      <w:lvlText w:val="•"/>
      <w:lvlJc w:val="left"/>
      <w:pPr>
        <w:ind w:left="3964" w:hanging="199"/>
      </w:pPr>
      <w:rPr>
        <w:rFonts w:hint="default"/>
      </w:rPr>
    </w:lvl>
    <w:lvl w:ilvl="8">
      <w:start w:val="0"/>
      <w:numFmt w:val="bullet"/>
      <w:lvlText w:val="•"/>
      <w:lvlJc w:val="left"/>
      <w:pPr>
        <w:ind w:left="4513" w:hanging="199"/>
      </w:pPr>
      <w:rPr>
        <w:rFonts w:hint="default"/>
      </w:rPr>
    </w:lvl>
  </w:abstractNum>
  <w:abstractNum w:abstractNumId="10">
    <w:multiLevelType w:val="hybridMultilevel"/>
    <w:lvl w:ilvl="0">
      <w:start w:val="1"/>
      <w:numFmt w:val="lowerLetter"/>
      <w:lvlText w:val="%1)"/>
      <w:lvlJc w:val="left"/>
      <w:pPr>
        <w:ind w:left="472"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4" w:hanging="190"/>
      </w:pPr>
      <w:rPr>
        <w:rFonts w:hint="default"/>
      </w:rPr>
    </w:lvl>
    <w:lvl w:ilvl="2">
      <w:start w:val="0"/>
      <w:numFmt w:val="bullet"/>
      <w:lvlText w:val="•"/>
      <w:lvlJc w:val="left"/>
      <w:pPr>
        <w:ind w:left="1489" w:hanging="190"/>
      </w:pPr>
      <w:rPr>
        <w:rFonts w:hint="default"/>
      </w:rPr>
    </w:lvl>
    <w:lvl w:ilvl="3">
      <w:start w:val="0"/>
      <w:numFmt w:val="bullet"/>
      <w:lvlText w:val="•"/>
      <w:lvlJc w:val="left"/>
      <w:pPr>
        <w:ind w:left="1994" w:hanging="190"/>
      </w:pPr>
      <w:rPr>
        <w:rFonts w:hint="default"/>
      </w:rPr>
    </w:lvl>
    <w:lvl w:ilvl="4">
      <w:start w:val="0"/>
      <w:numFmt w:val="bullet"/>
      <w:lvlText w:val="•"/>
      <w:lvlJc w:val="left"/>
      <w:pPr>
        <w:ind w:left="2498" w:hanging="190"/>
      </w:pPr>
      <w:rPr>
        <w:rFonts w:hint="default"/>
      </w:rPr>
    </w:lvl>
    <w:lvl w:ilvl="5">
      <w:start w:val="0"/>
      <w:numFmt w:val="bullet"/>
      <w:lvlText w:val="•"/>
      <w:lvlJc w:val="left"/>
      <w:pPr>
        <w:ind w:left="3003" w:hanging="190"/>
      </w:pPr>
      <w:rPr>
        <w:rFonts w:hint="default"/>
      </w:rPr>
    </w:lvl>
    <w:lvl w:ilvl="6">
      <w:start w:val="0"/>
      <w:numFmt w:val="bullet"/>
      <w:lvlText w:val="•"/>
      <w:lvlJc w:val="left"/>
      <w:pPr>
        <w:ind w:left="3508" w:hanging="190"/>
      </w:pPr>
      <w:rPr>
        <w:rFonts w:hint="default"/>
      </w:rPr>
    </w:lvl>
    <w:lvl w:ilvl="7">
      <w:start w:val="0"/>
      <w:numFmt w:val="bullet"/>
      <w:lvlText w:val="•"/>
      <w:lvlJc w:val="left"/>
      <w:pPr>
        <w:ind w:left="4012" w:hanging="190"/>
      </w:pPr>
      <w:rPr>
        <w:rFonts w:hint="default"/>
      </w:rPr>
    </w:lvl>
    <w:lvl w:ilvl="8">
      <w:start w:val="0"/>
      <w:numFmt w:val="bullet"/>
      <w:lvlText w:val="•"/>
      <w:lvlJc w:val="left"/>
      <w:pPr>
        <w:ind w:left="4517" w:hanging="190"/>
      </w:pPr>
      <w:rPr>
        <w:rFonts w:hint="default"/>
      </w:rPr>
    </w:lvl>
  </w:abstractNum>
  <w:abstractNum w:abstractNumId="9">
    <w:multiLevelType w:val="hybridMultilevel"/>
    <w:lvl w:ilvl="0">
      <w:start w:val="1"/>
      <w:numFmt w:val="lowerLetter"/>
      <w:lvlText w:val="%1)"/>
      <w:lvlJc w:val="left"/>
      <w:pPr>
        <w:ind w:left="113" w:hanging="194"/>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4"/>
      </w:pPr>
      <w:rPr>
        <w:rFonts w:hint="default"/>
      </w:rPr>
    </w:lvl>
    <w:lvl w:ilvl="2">
      <w:start w:val="0"/>
      <w:numFmt w:val="bullet"/>
      <w:lvlText w:val="•"/>
      <w:lvlJc w:val="left"/>
      <w:pPr>
        <w:ind w:left="1201" w:hanging="194"/>
      </w:pPr>
      <w:rPr>
        <w:rFonts w:hint="default"/>
      </w:rPr>
    </w:lvl>
    <w:lvl w:ilvl="3">
      <w:start w:val="0"/>
      <w:numFmt w:val="bullet"/>
      <w:lvlText w:val="•"/>
      <w:lvlJc w:val="left"/>
      <w:pPr>
        <w:ind w:left="1742" w:hanging="194"/>
      </w:pPr>
      <w:rPr>
        <w:rFonts w:hint="default"/>
      </w:rPr>
    </w:lvl>
    <w:lvl w:ilvl="4">
      <w:start w:val="0"/>
      <w:numFmt w:val="bullet"/>
      <w:lvlText w:val="•"/>
      <w:lvlJc w:val="left"/>
      <w:pPr>
        <w:ind w:left="2282" w:hanging="194"/>
      </w:pPr>
      <w:rPr>
        <w:rFonts w:hint="default"/>
      </w:rPr>
    </w:lvl>
    <w:lvl w:ilvl="5">
      <w:start w:val="0"/>
      <w:numFmt w:val="bullet"/>
      <w:lvlText w:val="•"/>
      <w:lvlJc w:val="left"/>
      <w:pPr>
        <w:ind w:left="2823" w:hanging="194"/>
      </w:pPr>
      <w:rPr>
        <w:rFonts w:hint="default"/>
      </w:rPr>
    </w:lvl>
    <w:lvl w:ilvl="6">
      <w:start w:val="0"/>
      <w:numFmt w:val="bullet"/>
      <w:lvlText w:val="•"/>
      <w:lvlJc w:val="left"/>
      <w:pPr>
        <w:ind w:left="3364" w:hanging="194"/>
      </w:pPr>
      <w:rPr>
        <w:rFonts w:hint="default"/>
      </w:rPr>
    </w:lvl>
    <w:lvl w:ilvl="7">
      <w:start w:val="0"/>
      <w:numFmt w:val="bullet"/>
      <w:lvlText w:val="•"/>
      <w:lvlJc w:val="left"/>
      <w:pPr>
        <w:ind w:left="3904" w:hanging="194"/>
      </w:pPr>
      <w:rPr>
        <w:rFonts w:hint="default"/>
      </w:rPr>
    </w:lvl>
    <w:lvl w:ilvl="8">
      <w:start w:val="0"/>
      <w:numFmt w:val="bullet"/>
      <w:lvlText w:val="•"/>
      <w:lvlJc w:val="left"/>
      <w:pPr>
        <w:ind w:left="4445" w:hanging="194"/>
      </w:pPr>
      <w:rPr>
        <w:rFonts w:hint="default"/>
      </w:rPr>
    </w:lvl>
  </w:abstractNum>
  <w:abstractNum w:abstractNumId="8">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90"/>
      </w:pPr>
      <w:rPr>
        <w:rFonts w:hint="default"/>
      </w:rPr>
    </w:lvl>
    <w:lvl w:ilvl="2">
      <w:start w:val="0"/>
      <w:numFmt w:val="bullet"/>
      <w:lvlText w:val="•"/>
      <w:lvlJc w:val="left"/>
      <w:pPr>
        <w:ind w:left="1218" w:hanging="190"/>
      </w:pPr>
      <w:rPr>
        <w:rFonts w:hint="default"/>
      </w:rPr>
    </w:lvl>
    <w:lvl w:ilvl="3">
      <w:start w:val="0"/>
      <w:numFmt w:val="bullet"/>
      <w:lvlText w:val="•"/>
      <w:lvlJc w:val="left"/>
      <w:pPr>
        <w:ind w:left="1767" w:hanging="190"/>
      </w:pPr>
      <w:rPr>
        <w:rFonts w:hint="default"/>
      </w:rPr>
    </w:lvl>
    <w:lvl w:ilvl="4">
      <w:start w:val="0"/>
      <w:numFmt w:val="bullet"/>
      <w:lvlText w:val="•"/>
      <w:lvlJc w:val="left"/>
      <w:pPr>
        <w:ind w:left="2316" w:hanging="190"/>
      </w:pPr>
      <w:rPr>
        <w:rFonts w:hint="default"/>
      </w:rPr>
    </w:lvl>
    <w:lvl w:ilvl="5">
      <w:start w:val="0"/>
      <w:numFmt w:val="bullet"/>
      <w:lvlText w:val="•"/>
      <w:lvlJc w:val="left"/>
      <w:pPr>
        <w:ind w:left="2866" w:hanging="190"/>
      </w:pPr>
      <w:rPr>
        <w:rFonts w:hint="default"/>
      </w:rPr>
    </w:lvl>
    <w:lvl w:ilvl="6">
      <w:start w:val="0"/>
      <w:numFmt w:val="bullet"/>
      <w:lvlText w:val="•"/>
      <w:lvlJc w:val="left"/>
      <w:pPr>
        <w:ind w:left="3415" w:hanging="190"/>
      </w:pPr>
      <w:rPr>
        <w:rFonts w:hint="default"/>
      </w:rPr>
    </w:lvl>
    <w:lvl w:ilvl="7">
      <w:start w:val="0"/>
      <w:numFmt w:val="bullet"/>
      <w:lvlText w:val="•"/>
      <w:lvlJc w:val="left"/>
      <w:pPr>
        <w:ind w:left="3964" w:hanging="190"/>
      </w:pPr>
      <w:rPr>
        <w:rFonts w:hint="default"/>
      </w:rPr>
    </w:lvl>
    <w:lvl w:ilvl="8">
      <w:start w:val="0"/>
      <w:numFmt w:val="bullet"/>
      <w:lvlText w:val="•"/>
      <w:lvlJc w:val="left"/>
      <w:pPr>
        <w:ind w:left="4513" w:hanging="190"/>
      </w:pPr>
      <w:rPr>
        <w:rFonts w:hint="default"/>
      </w:rPr>
    </w:lvl>
  </w:abstractNum>
  <w:abstractNum w:abstractNumId="7">
    <w:multiLevelType w:val="hybridMultilevel"/>
    <w:lvl w:ilvl="0">
      <w:start w:val="1"/>
      <w:numFmt w:val="lowerLetter"/>
      <w:lvlText w:val="%1)"/>
      <w:lvlJc w:val="left"/>
      <w:pPr>
        <w:ind w:left="113" w:hanging="173"/>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73"/>
      </w:pPr>
      <w:rPr>
        <w:rFonts w:hint="default"/>
      </w:rPr>
    </w:lvl>
    <w:lvl w:ilvl="2">
      <w:start w:val="0"/>
      <w:numFmt w:val="bullet"/>
      <w:lvlText w:val="•"/>
      <w:lvlJc w:val="left"/>
      <w:pPr>
        <w:ind w:left="1218" w:hanging="173"/>
      </w:pPr>
      <w:rPr>
        <w:rFonts w:hint="default"/>
      </w:rPr>
    </w:lvl>
    <w:lvl w:ilvl="3">
      <w:start w:val="0"/>
      <w:numFmt w:val="bullet"/>
      <w:lvlText w:val="•"/>
      <w:lvlJc w:val="left"/>
      <w:pPr>
        <w:ind w:left="1767" w:hanging="173"/>
      </w:pPr>
      <w:rPr>
        <w:rFonts w:hint="default"/>
      </w:rPr>
    </w:lvl>
    <w:lvl w:ilvl="4">
      <w:start w:val="0"/>
      <w:numFmt w:val="bullet"/>
      <w:lvlText w:val="•"/>
      <w:lvlJc w:val="left"/>
      <w:pPr>
        <w:ind w:left="2316" w:hanging="173"/>
      </w:pPr>
      <w:rPr>
        <w:rFonts w:hint="default"/>
      </w:rPr>
    </w:lvl>
    <w:lvl w:ilvl="5">
      <w:start w:val="0"/>
      <w:numFmt w:val="bullet"/>
      <w:lvlText w:val="•"/>
      <w:lvlJc w:val="left"/>
      <w:pPr>
        <w:ind w:left="2866" w:hanging="173"/>
      </w:pPr>
      <w:rPr>
        <w:rFonts w:hint="default"/>
      </w:rPr>
    </w:lvl>
    <w:lvl w:ilvl="6">
      <w:start w:val="0"/>
      <w:numFmt w:val="bullet"/>
      <w:lvlText w:val="•"/>
      <w:lvlJc w:val="left"/>
      <w:pPr>
        <w:ind w:left="3415" w:hanging="173"/>
      </w:pPr>
      <w:rPr>
        <w:rFonts w:hint="default"/>
      </w:rPr>
    </w:lvl>
    <w:lvl w:ilvl="7">
      <w:start w:val="0"/>
      <w:numFmt w:val="bullet"/>
      <w:lvlText w:val="•"/>
      <w:lvlJc w:val="left"/>
      <w:pPr>
        <w:ind w:left="3964" w:hanging="173"/>
      </w:pPr>
      <w:rPr>
        <w:rFonts w:hint="default"/>
      </w:rPr>
    </w:lvl>
    <w:lvl w:ilvl="8">
      <w:start w:val="0"/>
      <w:numFmt w:val="bullet"/>
      <w:lvlText w:val="•"/>
      <w:lvlJc w:val="left"/>
      <w:pPr>
        <w:ind w:left="4513" w:hanging="173"/>
      </w:pPr>
      <w:rPr>
        <w:rFonts w:hint="default"/>
      </w:rPr>
    </w:lvl>
  </w:abstractNum>
  <w:abstractNum w:abstractNumId="6">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1"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3"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5">
    <w:multiLevelType w:val="hybridMultilevel"/>
    <w:lvl w:ilvl="0">
      <w:start w:val="1"/>
      <w:numFmt w:val="lowerLetter"/>
      <w:lvlText w:val="%1)"/>
      <w:lvlJc w:val="left"/>
      <w:pPr>
        <w:ind w:left="471" w:hanging="188"/>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984" w:hanging="188"/>
      </w:pPr>
      <w:rPr>
        <w:rFonts w:hint="default"/>
      </w:rPr>
    </w:lvl>
    <w:lvl w:ilvl="2">
      <w:start w:val="0"/>
      <w:numFmt w:val="bullet"/>
      <w:lvlText w:val="•"/>
      <w:lvlJc w:val="left"/>
      <w:pPr>
        <w:ind w:left="1489" w:hanging="188"/>
      </w:pPr>
      <w:rPr>
        <w:rFonts w:hint="default"/>
      </w:rPr>
    </w:lvl>
    <w:lvl w:ilvl="3">
      <w:start w:val="0"/>
      <w:numFmt w:val="bullet"/>
      <w:lvlText w:val="•"/>
      <w:lvlJc w:val="left"/>
      <w:pPr>
        <w:ind w:left="1993" w:hanging="188"/>
      </w:pPr>
      <w:rPr>
        <w:rFonts w:hint="default"/>
      </w:rPr>
    </w:lvl>
    <w:lvl w:ilvl="4">
      <w:start w:val="0"/>
      <w:numFmt w:val="bullet"/>
      <w:lvlText w:val="•"/>
      <w:lvlJc w:val="left"/>
      <w:pPr>
        <w:ind w:left="2498" w:hanging="188"/>
      </w:pPr>
      <w:rPr>
        <w:rFonts w:hint="default"/>
      </w:rPr>
    </w:lvl>
    <w:lvl w:ilvl="5">
      <w:start w:val="0"/>
      <w:numFmt w:val="bullet"/>
      <w:lvlText w:val="•"/>
      <w:lvlJc w:val="left"/>
      <w:pPr>
        <w:ind w:left="3003" w:hanging="188"/>
      </w:pPr>
      <w:rPr>
        <w:rFonts w:hint="default"/>
      </w:rPr>
    </w:lvl>
    <w:lvl w:ilvl="6">
      <w:start w:val="0"/>
      <w:numFmt w:val="bullet"/>
      <w:lvlText w:val="•"/>
      <w:lvlJc w:val="left"/>
      <w:pPr>
        <w:ind w:left="3507" w:hanging="188"/>
      </w:pPr>
      <w:rPr>
        <w:rFonts w:hint="default"/>
      </w:rPr>
    </w:lvl>
    <w:lvl w:ilvl="7">
      <w:start w:val="0"/>
      <w:numFmt w:val="bullet"/>
      <w:lvlText w:val="•"/>
      <w:lvlJc w:val="left"/>
      <w:pPr>
        <w:ind w:left="4012" w:hanging="188"/>
      </w:pPr>
      <w:rPr>
        <w:rFonts w:hint="default"/>
      </w:rPr>
    </w:lvl>
    <w:lvl w:ilvl="8">
      <w:start w:val="0"/>
      <w:numFmt w:val="bullet"/>
      <w:lvlText w:val="•"/>
      <w:lvlJc w:val="left"/>
      <w:pPr>
        <w:ind w:left="4517" w:hanging="188"/>
      </w:pPr>
      <w:rPr>
        <w:rFonts w:hint="default"/>
      </w:rPr>
    </w:lvl>
  </w:abstractNum>
  <w:abstractNum w:abstractNumId="4">
    <w:multiLevelType w:val="hybridMultilevel"/>
    <w:lvl w:ilvl="0">
      <w:start w:val="1"/>
      <w:numFmt w:val="lowerLetter"/>
      <w:lvlText w:val="%1)"/>
      <w:lvlJc w:val="left"/>
      <w:pPr>
        <w:ind w:left="113" w:hanging="239"/>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239"/>
      </w:pPr>
      <w:rPr>
        <w:rFonts w:hint="default"/>
      </w:rPr>
    </w:lvl>
    <w:lvl w:ilvl="2">
      <w:start w:val="0"/>
      <w:numFmt w:val="bullet"/>
      <w:lvlText w:val="•"/>
      <w:lvlJc w:val="left"/>
      <w:pPr>
        <w:ind w:left="1218" w:hanging="239"/>
      </w:pPr>
      <w:rPr>
        <w:rFonts w:hint="default"/>
      </w:rPr>
    </w:lvl>
    <w:lvl w:ilvl="3">
      <w:start w:val="0"/>
      <w:numFmt w:val="bullet"/>
      <w:lvlText w:val="•"/>
      <w:lvlJc w:val="left"/>
      <w:pPr>
        <w:ind w:left="1767" w:hanging="239"/>
      </w:pPr>
      <w:rPr>
        <w:rFonts w:hint="default"/>
      </w:rPr>
    </w:lvl>
    <w:lvl w:ilvl="4">
      <w:start w:val="0"/>
      <w:numFmt w:val="bullet"/>
      <w:lvlText w:val="•"/>
      <w:lvlJc w:val="left"/>
      <w:pPr>
        <w:ind w:left="2316" w:hanging="239"/>
      </w:pPr>
      <w:rPr>
        <w:rFonts w:hint="default"/>
      </w:rPr>
    </w:lvl>
    <w:lvl w:ilvl="5">
      <w:start w:val="0"/>
      <w:numFmt w:val="bullet"/>
      <w:lvlText w:val="•"/>
      <w:lvlJc w:val="left"/>
      <w:pPr>
        <w:ind w:left="2866" w:hanging="239"/>
      </w:pPr>
      <w:rPr>
        <w:rFonts w:hint="default"/>
      </w:rPr>
    </w:lvl>
    <w:lvl w:ilvl="6">
      <w:start w:val="0"/>
      <w:numFmt w:val="bullet"/>
      <w:lvlText w:val="•"/>
      <w:lvlJc w:val="left"/>
      <w:pPr>
        <w:ind w:left="3415" w:hanging="239"/>
      </w:pPr>
      <w:rPr>
        <w:rFonts w:hint="default"/>
      </w:rPr>
    </w:lvl>
    <w:lvl w:ilvl="7">
      <w:start w:val="0"/>
      <w:numFmt w:val="bullet"/>
      <w:lvlText w:val="•"/>
      <w:lvlJc w:val="left"/>
      <w:pPr>
        <w:ind w:left="3964" w:hanging="239"/>
      </w:pPr>
      <w:rPr>
        <w:rFonts w:hint="default"/>
      </w:rPr>
    </w:lvl>
    <w:lvl w:ilvl="8">
      <w:start w:val="0"/>
      <w:numFmt w:val="bullet"/>
      <w:lvlText w:val="•"/>
      <w:lvlJc w:val="left"/>
      <w:pPr>
        <w:ind w:left="4513" w:hanging="239"/>
      </w:pPr>
      <w:rPr>
        <w:rFonts w:hint="default"/>
      </w:rPr>
    </w:lvl>
  </w:abstractNum>
  <w:abstractNum w:abstractNumId="3">
    <w:multiLevelType w:val="hybridMultilevel"/>
    <w:lvl w:ilvl="0">
      <w:start w:val="1"/>
      <w:numFmt w:val="lowerLetter"/>
      <w:lvlText w:val="%1)"/>
      <w:lvlJc w:val="left"/>
      <w:pPr>
        <w:ind w:left="113" w:hanging="187"/>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87"/>
      </w:pPr>
      <w:rPr>
        <w:rFonts w:hint="default"/>
      </w:rPr>
    </w:lvl>
    <w:lvl w:ilvl="2">
      <w:start w:val="0"/>
      <w:numFmt w:val="bullet"/>
      <w:lvlText w:val="•"/>
      <w:lvlJc w:val="left"/>
      <w:pPr>
        <w:ind w:left="1201" w:hanging="187"/>
      </w:pPr>
      <w:rPr>
        <w:rFonts w:hint="default"/>
      </w:rPr>
    </w:lvl>
    <w:lvl w:ilvl="3">
      <w:start w:val="0"/>
      <w:numFmt w:val="bullet"/>
      <w:lvlText w:val="•"/>
      <w:lvlJc w:val="left"/>
      <w:pPr>
        <w:ind w:left="1741" w:hanging="187"/>
      </w:pPr>
      <w:rPr>
        <w:rFonts w:hint="default"/>
      </w:rPr>
    </w:lvl>
    <w:lvl w:ilvl="4">
      <w:start w:val="0"/>
      <w:numFmt w:val="bullet"/>
      <w:lvlText w:val="•"/>
      <w:lvlJc w:val="left"/>
      <w:pPr>
        <w:ind w:left="2282" w:hanging="187"/>
      </w:pPr>
      <w:rPr>
        <w:rFonts w:hint="default"/>
      </w:rPr>
    </w:lvl>
    <w:lvl w:ilvl="5">
      <w:start w:val="0"/>
      <w:numFmt w:val="bullet"/>
      <w:lvlText w:val="•"/>
      <w:lvlJc w:val="left"/>
      <w:pPr>
        <w:ind w:left="2823" w:hanging="187"/>
      </w:pPr>
      <w:rPr>
        <w:rFonts w:hint="default"/>
      </w:rPr>
    </w:lvl>
    <w:lvl w:ilvl="6">
      <w:start w:val="0"/>
      <w:numFmt w:val="bullet"/>
      <w:lvlText w:val="•"/>
      <w:lvlJc w:val="left"/>
      <w:pPr>
        <w:ind w:left="3363" w:hanging="187"/>
      </w:pPr>
      <w:rPr>
        <w:rFonts w:hint="default"/>
      </w:rPr>
    </w:lvl>
    <w:lvl w:ilvl="7">
      <w:start w:val="0"/>
      <w:numFmt w:val="bullet"/>
      <w:lvlText w:val="•"/>
      <w:lvlJc w:val="left"/>
      <w:pPr>
        <w:ind w:left="3904" w:hanging="187"/>
      </w:pPr>
      <w:rPr>
        <w:rFonts w:hint="default"/>
      </w:rPr>
    </w:lvl>
    <w:lvl w:ilvl="8">
      <w:start w:val="0"/>
      <w:numFmt w:val="bullet"/>
      <w:lvlText w:val="•"/>
      <w:lvlJc w:val="left"/>
      <w:pPr>
        <w:ind w:left="4445" w:hanging="187"/>
      </w:pPr>
      <w:rPr>
        <w:rFonts w:hint="default"/>
      </w:rPr>
    </w:lvl>
  </w:abstractNum>
  <w:abstractNum w:abstractNumId="2">
    <w:multiLevelType w:val="hybridMultilevel"/>
    <w:lvl w:ilvl="0">
      <w:start w:val="1"/>
      <w:numFmt w:val="lowerLetter"/>
      <w:lvlText w:val="%1)"/>
      <w:lvlJc w:val="left"/>
      <w:pPr>
        <w:ind w:left="113" w:hanging="185"/>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9" w:hanging="185"/>
      </w:pPr>
      <w:rPr>
        <w:rFonts w:hint="default"/>
      </w:rPr>
    </w:lvl>
    <w:lvl w:ilvl="2">
      <w:start w:val="0"/>
      <w:numFmt w:val="bullet"/>
      <w:lvlText w:val="•"/>
      <w:lvlJc w:val="left"/>
      <w:pPr>
        <w:ind w:left="1218" w:hanging="185"/>
      </w:pPr>
      <w:rPr>
        <w:rFonts w:hint="default"/>
      </w:rPr>
    </w:lvl>
    <w:lvl w:ilvl="3">
      <w:start w:val="0"/>
      <w:numFmt w:val="bullet"/>
      <w:lvlText w:val="•"/>
      <w:lvlJc w:val="left"/>
      <w:pPr>
        <w:ind w:left="1767" w:hanging="185"/>
      </w:pPr>
      <w:rPr>
        <w:rFonts w:hint="default"/>
      </w:rPr>
    </w:lvl>
    <w:lvl w:ilvl="4">
      <w:start w:val="0"/>
      <w:numFmt w:val="bullet"/>
      <w:lvlText w:val="•"/>
      <w:lvlJc w:val="left"/>
      <w:pPr>
        <w:ind w:left="2316" w:hanging="185"/>
      </w:pPr>
      <w:rPr>
        <w:rFonts w:hint="default"/>
      </w:rPr>
    </w:lvl>
    <w:lvl w:ilvl="5">
      <w:start w:val="0"/>
      <w:numFmt w:val="bullet"/>
      <w:lvlText w:val="•"/>
      <w:lvlJc w:val="left"/>
      <w:pPr>
        <w:ind w:left="2866" w:hanging="185"/>
      </w:pPr>
      <w:rPr>
        <w:rFonts w:hint="default"/>
      </w:rPr>
    </w:lvl>
    <w:lvl w:ilvl="6">
      <w:start w:val="0"/>
      <w:numFmt w:val="bullet"/>
      <w:lvlText w:val="•"/>
      <w:lvlJc w:val="left"/>
      <w:pPr>
        <w:ind w:left="3415" w:hanging="185"/>
      </w:pPr>
      <w:rPr>
        <w:rFonts w:hint="default"/>
      </w:rPr>
    </w:lvl>
    <w:lvl w:ilvl="7">
      <w:start w:val="0"/>
      <w:numFmt w:val="bullet"/>
      <w:lvlText w:val="•"/>
      <w:lvlJc w:val="left"/>
      <w:pPr>
        <w:ind w:left="3964" w:hanging="185"/>
      </w:pPr>
      <w:rPr>
        <w:rFonts w:hint="default"/>
      </w:rPr>
    </w:lvl>
    <w:lvl w:ilvl="8">
      <w:start w:val="0"/>
      <w:numFmt w:val="bullet"/>
      <w:lvlText w:val="•"/>
      <w:lvlJc w:val="left"/>
      <w:pPr>
        <w:ind w:left="4513" w:hanging="185"/>
      </w:pPr>
      <w:rPr>
        <w:rFonts w:hint="default"/>
      </w:rPr>
    </w:lvl>
  </w:abstractNum>
  <w:abstractNum w:abstractNumId="1">
    <w:multiLevelType w:val="hybridMultilevel"/>
    <w:lvl w:ilvl="0">
      <w:start w:val="1"/>
      <w:numFmt w:val="lowerLetter"/>
      <w:lvlText w:val="%1)"/>
      <w:lvlJc w:val="left"/>
      <w:pPr>
        <w:ind w:left="113" w:hanging="190"/>
        <w:jc w:val="left"/>
      </w:pPr>
      <w:rPr>
        <w:rFonts w:hint="default" w:ascii="Times New Roman" w:hAnsi="Times New Roman" w:eastAsia="Times New Roman" w:cs="Times New Roman"/>
        <w:i/>
        <w:color w:val="231F20"/>
        <w:w w:val="93"/>
        <w:sz w:val="17"/>
        <w:szCs w:val="17"/>
      </w:rPr>
    </w:lvl>
    <w:lvl w:ilvl="1">
      <w:start w:val="0"/>
      <w:numFmt w:val="bullet"/>
      <w:lvlText w:val="•"/>
      <w:lvlJc w:val="left"/>
      <w:pPr>
        <w:ind w:left="660" w:hanging="190"/>
      </w:pPr>
      <w:rPr>
        <w:rFonts w:hint="default"/>
      </w:rPr>
    </w:lvl>
    <w:lvl w:ilvl="2">
      <w:start w:val="0"/>
      <w:numFmt w:val="bullet"/>
      <w:lvlText w:val="•"/>
      <w:lvlJc w:val="left"/>
      <w:pPr>
        <w:ind w:left="1201" w:hanging="190"/>
      </w:pPr>
      <w:rPr>
        <w:rFonts w:hint="default"/>
      </w:rPr>
    </w:lvl>
    <w:lvl w:ilvl="3">
      <w:start w:val="0"/>
      <w:numFmt w:val="bullet"/>
      <w:lvlText w:val="•"/>
      <w:lvlJc w:val="left"/>
      <w:pPr>
        <w:ind w:left="1742" w:hanging="190"/>
      </w:pPr>
      <w:rPr>
        <w:rFonts w:hint="default"/>
      </w:rPr>
    </w:lvl>
    <w:lvl w:ilvl="4">
      <w:start w:val="0"/>
      <w:numFmt w:val="bullet"/>
      <w:lvlText w:val="•"/>
      <w:lvlJc w:val="left"/>
      <w:pPr>
        <w:ind w:left="2282" w:hanging="190"/>
      </w:pPr>
      <w:rPr>
        <w:rFonts w:hint="default"/>
      </w:rPr>
    </w:lvl>
    <w:lvl w:ilvl="5">
      <w:start w:val="0"/>
      <w:numFmt w:val="bullet"/>
      <w:lvlText w:val="•"/>
      <w:lvlJc w:val="left"/>
      <w:pPr>
        <w:ind w:left="2823" w:hanging="190"/>
      </w:pPr>
      <w:rPr>
        <w:rFonts w:hint="default"/>
      </w:rPr>
    </w:lvl>
    <w:lvl w:ilvl="6">
      <w:start w:val="0"/>
      <w:numFmt w:val="bullet"/>
      <w:lvlText w:val="•"/>
      <w:lvlJc w:val="left"/>
      <w:pPr>
        <w:ind w:left="3364" w:hanging="190"/>
      </w:pPr>
      <w:rPr>
        <w:rFonts w:hint="default"/>
      </w:rPr>
    </w:lvl>
    <w:lvl w:ilvl="7">
      <w:start w:val="0"/>
      <w:numFmt w:val="bullet"/>
      <w:lvlText w:val="•"/>
      <w:lvlJc w:val="left"/>
      <w:pPr>
        <w:ind w:left="3904" w:hanging="190"/>
      </w:pPr>
      <w:rPr>
        <w:rFonts w:hint="default"/>
      </w:rPr>
    </w:lvl>
    <w:lvl w:ilvl="8">
      <w:start w:val="0"/>
      <w:numFmt w:val="bullet"/>
      <w:lvlText w:val="•"/>
      <w:lvlJc w:val="left"/>
      <w:pPr>
        <w:ind w:left="4445" w:hanging="190"/>
      </w:pPr>
      <w:rPr>
        <w:rFonts w:hint="default"/>
      </w:rPr>
    </w:lvl>
  </w:abstractNum>
  <w:abstractNum w:abstractNumId="0">
    <w:multiLevelType w:val="hybridMultilevel"/>
    <w:lvl w:ilvl="0">
      <w:start w:val="0"/>
      <w:numFmt w:val="bullet"/>
      <w:lvlText w:val="—"/>
      <w:lvlJc w:val="left"/>
      <w:pPr>
        <w:ind w:left="283" w:hanging="228"/>
      </w:pPr>
      <w:rPr>
        <w:rFonts w:hint="default" w:ascii="Georgia" w:hAnsi="Georgia" w:eastAsia="Georgia" w:cs="Georgia"/>
        <w:color w:val="231F20"/>
        <w:w w:val="117"/>
        <w:sz w:val="17"/>
        <w:szCs w:val="17"/>
      </w:rPr>
    </w:lvl>
    <w:lvl w:ilvl="1">
      <w:start w:val="0"/>
      <w:numFmt w:val="bullet"/>
      <w:lvlText w:val="•"/>
      <w:lvlJc w:val="left"/>
      <w:pPr>
        <w:ind w:left="804" w:hanging="228"/>
      </w:pPr>
      <w:rPr>
        <w:rFonts w:hint="default"/>
      </w:rPr>
    </w:lvl>
    <w:lvl w:ilvl="2">
      <w:start w:val="0"/>
      <w:numFmt w:val="bullet"/>
      <w:lvlText w:val="•"/>
      <w:lvlJc w:val="left"/>
      <w:pPr>
        <w:ind w:left="1329" w:hanging="228"/>
      </w:pPr>
      <w:rPr>
        <w:rFonts w:hint="default"/>
      </w:rPr>
    </w:lvl>
    <w:lvl w:ilvl="3">
      <w:start w:val="0"/>
      <w:numFmt w:val="bullet"/>
      <w:lvlText w:val="•"/>
      <w:lvlJc w:val="left"/>
      <w:pPr>
        <w:ind w:left="1853" w:hanging="228"/>
      </w:pPr>
      <w:rPr>
        <w:rFonts w:hint="default"/>
      </w:rPr>
    </w:lvl>
    <w:lvl w:ilvl="4">
      <w:start w:val="0"/>
      <w:numFmt w:val="bullet"/>
      <w:lvlText w:val="•"/>
      <w:lvlJc w:val="left"/>
      <w:pPr>
        <w:ind w:left="2378" w:hanging="228"/>
      </w:pPr>
      <w:rPr>
        <w:rFonts w:hint="default"/>
      </w:rPr>
    </w:lvl>
    <w:lvl w:ilvl="5">
      <w:start w:val="0"/>
      <w:numFmt w:val="bullet"/>
      <w:lvlText w:val="•"/>
      <w:lvlJc w:val="left"/>
      <w:pPr>
        <w:ind w:left="2903" w:hanging="228"/>
      </w:pPr>
      <w:rPr>
        <w:rFonts w:hint="default"/>
      </w:rPr>
    </w:lvl>
    <w:lvl w:ilvl="6">
      <w:start w:val="0"/>
      <w:numFmt w:val="bullet"/>
      <w:lvlText w:val="•"/>
      <w:lvlJc w:val="left"/>
      <w:pPr>
        <w:ind w:left="3427" w:hanging="228"/>
      </w:pPr>
      <w:rPr>
        <w:rFonts w:hint="default"/>
      </w:rPr>
    </w:lvl>
    <w:lvl w:ilvl="7">
      <w:start w:val="0"/>
      <w:numFmt w:val="bullet"/>
      <w:lvlText w:val="•"/>
      <w:lvlJc w:val="left"/>
      <w:pPr>
        <w:ind w:left="3952" w:hanging="228"/>
      </w:pPr>
      <w:rPr>
        <w:rFonts w:hint="default"/>
      </w:rPr>
    </w:lvl>
    <w:lvl w:ilvl="8">
      <w:start w:val="0"/>
      <w:numFmt w:val="bullet"/>
      <w:lvlText w:val="•"/>
      <w:lvlJc w:val="left"/>
      <w:pPr>
        <w:ind w:left="4477" w:hanging="228"/>
      </w:pPr>
      <w:rPr>
        <w:rFonts w:hint="default"/>
      </w:rPr>
    </w:lvl>
  </w:abstractNum>
  <w:num w:numId="109">
    <w:abstractNumId w:val="108"/>
  </w:num>
  <w:num w:numId="107">
    <w:abstractNumId w:val="106"/>
  </w:num>
  <w:num w:numId="49">
    <w:abstractNumId w:val="48"/>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8">
    <w:abstractNumId w:val="107"/>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BodyText" w:type="paragraph">
    <w:name w:val="Body Text"/>
    <w:basedOn w:val="Normal"/>
    <w:uiPriority w:val="1"/>
    <w:qFormat/>
    <w:pPr>
      <w:ind w:left="113" w:right="124" w:firstLine="170"/>
      <w:jc w:val="both"/>
    </w:pPr>
    <w:rPr>
      <w:rFonts w:ascii="Georgia" w:hAnsi="Georgia" w:eastAsia="Georgia" w:cs="Georgia"/>
      <w:sz w:val="17"/>
      <w:szCs w:val="17"/>
    </w:rPr>
  </w:style>
  <w:style w:styleId="Heading1" w:type="paragraph">
    <w:name w:val="Heading 1"/>
    <w:basedOn w:val="Normal"/>
    <w:uiPriority w:val="1"/>
    <w:qFormat/>
    <w:pPr>
      <w:ind w:left="196" w:right="182"/>
      <w:jc w:val="center"/>
      <w:outlineLvl w:val="1"/>
    </w:pPr>
    <w:rPr>
      <w:rFonts w:ascii="Georgia" w:hAnsi="Georgia" w:eastAsia="Georgia" w:cs="Georgia"/>
      <w:sz w:val="21"/>
      <w:szCs w:val="21"/>
    </w:rPr>
  </w:style>
  <w:style w:styleId="ListParagraph" w:type="paragraph">
    <w:name w:val="List Paragraph"/>
    <w:basedOn w:val="Normal"/>
    <w:uiPriority w:val="1"/>
    <w:qFormat/>
    <w:pPr>
      <w:ind w:left="113" w:right="124" w:firstLine="170"/>
      <w:jc w:val="both"/>
    </w:pPr>
    <w:rPr>
      <w:rFonts w:ascii="Georgia" w:hAnsi="Georgia" w:eastAsia="Georgia" w:cs="Georg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header" Target="header32.xml"/><Relationship Id="rId37" Type="http://schemas.openxmlformats.org/officeDocument/2006/relationships/header" Target="header33.xml"/><Relationship Id="rId38" Type="http://schemas.openxmlformats.org/officeDocument/2006/relationships/header" Target="header34.xml"/><Relationship Id="rId39" Type="http://schemas.openxmlformats.org/officeDocument/2006/relationships/header" Target="header35.xml"/><Relationship Id="rId40" Type="http://schemas.openxmlformats.org/officeDocument/2006/relationships/header" Target="header36.xml"/><Relationship Id="rId41" Type="http://schemas.openxmlformats.org/officeDocument/2006/relationships/header" Target="header37.xml"/><Relationship Id="rId42" Type="http://schemas.openxmlformats.org/officeDocument/2006/relationships/header" Target="header38.xml"/><Relationship Id="rId43" Type="http://schemas.openxmlformats.org/officeDocument/2006/relationships/header" Target="header39.xml"/><Relationship Id="rId44" Type="http://schemas.openxmlformats.org/officeDocument/2006/relationships/header" Target="header40.xml"/><Relationship Id="rId45" Type="http://schemas.openxmlformats.org/officeDocument/2006/relationships/header" Target="header41.xml"/><Relationship Id="rId46" Type="http://schemas.openxmlformats.org/officeDocument/2006/relationships/header" Target="header42.xml"/><Relationship Id="rId47" Type="http://schemas.openxmlformats.org/officeDocument/2006/relationships/header" Target="header43.xml"/><Relationship Id="rId48" Type="http://schemas.openxmlformats.org/officeDocument/2006/relationships/header" Target="header44.xml"/><Relationship Id="rId49" Type="http://schemas.openxmlformats.org/officeDocument/2006/relationships/header" Target="header45.xml"/><Relationship Id="rId50" Type="http://schemas.openxmlformats.org/officeDocument/2006/relationships/header" Target="header46.xml"/><Relationship Id="rId51" Type="http://schemas.openxmlformats.org/officeDocument/2006/relationships/header" Target="header47.xml"/><Relationship Id="rId52" Type="http://schemas.openxmlformats.org/officeDocument/2006/relationships/header" Target="header48.xml"/><Relationship Id="rId53" Type="http://schemas.openxmlformats.org/officeDocument/2006/relationships/header" Target="header49.xml"/><Relationship Id="rId54" Type="http://schemas.openxmlformats.org/officeDocument/2006/relationships/header" Target="header50.xml"/><Relationship Id="rId55" Type="http://schemas.openxmlformats.org/officeDocument/2006/relationships/header" Target="header51.xml"/><Relationship Id="rId56" Type="http://schemas.openxmlformats.org/officeDocument/2006/relationships/header" Target="header52.xml"/><Relationship Id="rId57" Type="http://schemas.openxmlformats.org/officeDocument/2006/relationships/header" Target="header53.xml"/><Relationship Id="rId58" Type="http://schemas.openxmlformats.org/officeDocument/2006/relationships/header" Target="header54.xml"/><Relationship Id="rId59" Type="http://schemas.openxmlformats.org/officeDocument/2006/relationships/header" Target="header55.xml"/><Relationship Id="rId60" Type="http://schemas.openxmlformats.org/officeDocument/2006/relationships/header" Target="header56.xml"/><Relationship Id="rId61" Type="http://schemas.openxmlformats.org/officeDocument/2006/relationships/header" Target="header57.xml"/><Relationship Id="rId62" Type="http://schemas.openxmlformats.org/officeDocument/2006/relationships/header" Target="header58.xml"/><Relationship Id="rId63" Type="http://schemas.openxmlformats.org/officeDocument/2006/relationships/header" Target="header59.xml"/><Relationship Id="rId64" Type="http://schemas.openxmlformats.org/officeDocument/2006/relationships/header" Target="header60.xml"/><Relationship Id="rId65" Type="http://schemas.openxmlformats.org/officeDocument/2006/relationships/header" Target="header61.xml"/><Relationship Id="rId66" Type="http://schemas.openxmlformats.org/officeDocument/2006/relationships/header" Target="header62.xml"/><Relationship Id="rId67" Type="http://schemas.openxmlformats.org/officeDocument/2006/relationships/header" Target="header63.xml"/><Relationship Id="rId68" Type="http://schemas.openxmlformats.org/officeDocument/2006/relationships/header" Target="header64.xml"/><Relationship Id="rId69" Type="http://schemas.openxmlformats.org/officeDocument/2006/relationships/header" Target="header65.xml"/><Relationship Id="rId70" Type="http://schemas.openxmlformats.org/officeDocument/2006/relationships/header" Target="header66.xml"/><Relationship Id="rId71" Type="http://schemas.openxmlformats.org/officeDocument/2006/relationships/header" Target="header67.xml"/><Relationship Id="rId72" Type="http://schemas.openxmlformats.org/officeDocument/2006/relationships/header" Target="header68.xml"/><Relationship Id="rId73" Type="http://schemas.openxmlformats.org/officeDocument/2006/relationships/header" Target="header69.xml"/><Relationship Id="rId74" Type="http://schemas.openxmlformats.org/officeDocument/2006/relationships/header" Target="header70.xml"/><Relationship Id="rId75" Type="http://schemas.openxmlformats.org/officeDocument/2006/relationships/header" Target="header71.xml"/><Relationship Id="rId76" Type="http://schemas.openxmlformats.org/officeDocument/2006/relationships/header" Target="header72.xml"/><Relationship Id="rId77" Type="http://schemas.openxmlformats.org/officeDocument/2006/relationships/header" Target="header73.xml"/><Relationship Id="rId78" Type="http://schemas.openxmlformats.org/officeDocument/2006/relationships/header" Target="header74.xml"/><Relationship Id="rId79" Type="http://schemas.openxmlformats.org/officeDocument/2006/relationships/header" Target="header75.xml"/><Relationship Id="rId80" Type="http://schemas.openxmlformats.org/officeDocument/2006/relationships/header" Target="header76.xml"/><Relationship Id="rId81" Type="http://schemas.openxmlformats.org/officeDocument/2006/relationships/header" Target="header77.xml"/><Relationship Id="rId82" Type="http://schemas.openxmlformats.org/officeDocument/2006/relationships/header" Target="header78.xml"/><Relationship Id="rId83" Type="http://schemas.openxmlformats.org/officeDocument/2006/relationships/header" Target="header79.xml"/><Relationship Id="rId84" Type="http://schemas.openxmlformats.org/officeDocument/2006/relationships/header" Target="header80.xml"/><Relationship Id="rId85" Type="http://schemas.openxmlformats.org/officeDocument/2006/relationships/header" Target="header81.xml"/><Relationship Id="rId86" Type="http://schemas.openxmlformats.org/officeDocument/2006/relationships/header" Target="header82.xml"/><Relationship Id="rId87" Type="http://schemas.openxmlformats.org/officeDocument/2006/relationships/header" Target="header83.xml"/><Relationship Id="rId88" Type="http://schemas.openxmlformats.org/officeDocument/2006/relationships/header" Target="header84.xml"/><Relationship Id="rId89" Type="http://schemas.openxmlformats.org/officeDocument/2006/relationships/header" Target="header85.xml"/><Relationship Id="rId90" Type="http://schemas.openxmlformats.org/officeDocument/2006/relationships/header" Target="header86.xml"/><Relationship Id="rId91" Type="http://schemas.openxmlformats.org/officeDocument/2006/relationships/header" Target="header87.xml"/><Relationship Id="rId92" Type="http://schemas.openxmlformats.org/officeDocument/2006/relationships/header" Target="header88.xml"/><Relationship Id="rId93" Type="http://schemas.openxmlformats.org/officeDocument/2006/relationships/header" Target="header89.xml"/><Relationship Id="rId94" Type="http://schemas.openxmlformats.org/officeDocument/2006/relationships/header" Target="header90.xml"/><Relationship Id="rId95" Type="http://schemas.openxmlformats.org/officeDocument/2006/relationships/header" Target="header91.xml"/><Relationship Id="rId96" Type="http://schemas.openxmlformats.org/officeDocument/2006/relationships/header" Target="header92.xml"/><Relationship Id="rId97" Type="http://schemas.openxmlformats.org/officeDocument/2006/relationships/header" Target="header93.xml"/><Relationship Id="rId98" Type="http://schemas.openxmlformats.org/officeDocument/2006/relationships/header" Target="header94.xml"/><Relationship Id="rId99" Type="http://schemas.openxmlformats.org/officeDocument/2006/relationships/header" Target="header95.xml"/><Relationship Id="rId100" Type="http://schemas.openxmlformats.org/officeDocument/2006/relationships/header" Target="header96.xml"/><Relationship Id="rId101" Type="http://schemas.openxmlformats.org/officeDocument/2006/relationships/header" Target="header97.xml"/><Relationship Id="rId102" Type="http://schemas.openxmlformats.org/officeDocument/2006/relationships/header" Target="header98.xml"/><Relationship Id="rId103" Type="http://schemas.openxmlformats.org/officeDocument/2006/relationships/header" Target="header99.xml"/><Relationship Id="rId104" Type="http://schemas.openxmlformats.org/officeDocument/2006/relationships/header" Target="header100.xml"/><Relationship Id="rId105" Type="http://schemas.openxmlformats.org/officeDocument/2006/relationships/header" Target="header101.xml"/><Relationship Id="rId106" Type="http://schemas.openxmlformats.org/officeDocument/2006/relationships/header" Target="header102.xml"/><Relationship Id="rId107" Type="http://schemas.openxmlformats.org/officeDocument/2006/relationships/header" Target="header103.xml"/><Relationship Id="rId108" Type="http://schemas.openxmlformats.org/officeDocument/2006/relationships/header" Target="header104.xml"/><Relationship Id="rId109" Type="http://schemas.openxmlformats.org/officeDocument/2006/relationships/header" Target="header105.xml"/><Relationship Id="rId110" Type="http://schemas.openxmlformats.org/officeDocument/2006/relationships/header" Target="header106.xml"/><Relationship Id="rId111" Type="http://schemas.openxmlformats.org/officeDocument/2006/relationships/header" Target="header107.xml"/><Relationship Id="rId112" Type="http://schemas.openxmlformats.org/officeDocument/2006/relationships/header" Target="header108.xml"/><Relationship Id="rId113" Type="http://schemas.openxmlformats.org/officeDocument/2006/relationships/header" Target="header109.xml"/><Relationship Id="rId114" Type="http://schemas.openxmlformats.org/officeDocument/2006/relationships/header" Target="header110.xml"/><Relationship Id="rId115" Type="http://schemas.openxmlformats.org/officeDocument/2006/relationships/header" Target="header111.xml"/><Relationship Id="rId116" Type="http://schemas.openxmlformats.org/officeDocument/2006/relationships/header" Target="header112.xml"/><Relationship Id="rId117" Type="http://schemas.openxmlformats.org/officeDocument/2006/relationships/header" Target="header113.xml"/><Relationship Id="rId118" Type="http://schemas.openxmlformats.org/officeDocument/2006/relationships/header" Target="header114.xml"/><Relationship Id="rId119" Type="http://schemas.openxmlformats.org/officeDocument/2006/relationships/header" Target="header115.xml"/><Relationship Id="rId120" Type="http://schemas.openxmlformats.org/officeDocument/2006/relationships/header" Target="header116.xml"/><Relationship Id="rId121" Type="http://schemas.openxmlformats.org/officeDocument/2006/relationships/header" Target="header117.xml"/><Relationship Id="rId122" Type="http://schemas.openxmlformats.org/officeDocument/2006/relationships/header" Target="header118.xml"/><Relationship Id="rId123" Type="http://schemas.openxmlformats.org/officeDocument/2006/relationships/header" Target="header119.xml"/><Relationship Id="rId1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Moniteur belge - Belgisch Staatsblad</dc:creator>
  <cp:keywords>Belgisch Staatsblad - Moniteur belge</cp:keywords>
  <dcterms:created xsi:type="dcterms:W3CDTF">2019-04-05T07:33:45Z</dcterms:created>
  <dcterms:modified xsi:type="dcterms:W3CDTF">2019-04-05T07:33:45Z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XPP</vt:lpwstr>
  </property>
  <property fmtid="{D5CDD505-2E9C-101B-9397-08002B2CF9AE}" pid="4" name="LastSaved">
    <vt:filetime>2019-04-05T00:00:00Z</vt:filetime>
  </property>
</Properties>
</file>